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838E2" w14:textId="77777777" w:rsidR="00205033" w:rsidRDefault="00205033" w:rsidP="00205033">
      <w:pPr>
        <w:spacing w:after="0" w:line="360" w:lineRule="auto"/>
        <w:jc w:val="both"/>
        <w:rPr>
          <w:rFonts w:ascii="Times New Roman" w:eastAsia="Calibri" w:hAnsi="Times New Roman" w:cs="Times New Roman"/>
          <w:sz w:val="24"/>
          <w:szCs w:val="24"/>
        </w:rPr>
      </w:pPr>
      <w:bookmarkStart w:id="0" w:name="_GoBack"/>
      <w:bookmarkEnd w:id="0"/>
    </w:p>
    <w:p w14:paraId="549B1A0E" w14:textId="7F8FEFD9" w:rsidR="00205033" w:rsidRDefault="00205033" w:rsidP="00205033">
      <w:pPr>
        <w:spacing w:after="0" w:line="360" w:lineRule="auto"/>
        <w:jc w:val="both"/>
        <w:rPr>
          <w:rFonts w:ascii="Times New Roman" w:eastAsia="Calibri" w:hAnsi="Times New Roman" w:cs="Times New Roman"/>
          <w:sz w:val="24"/>
          <w:szCs w:val="24"/>
        </w:rPr>
      </w:pPr>
      <w:r>
        <w:rPr>
          <w:noProof/>
          <w:lang w:eastAsia="en-ZA"/>
        </w:rPr>
        <w:drawing>
          <wp:anchor distT="0" distB="0" distL="114300" distR="114300" simplePos="0" relativeHeight="251658240" behindDoc="0" locked="0" layoutInCell="1" allowOverlap="1" wp14:anchorId="6063184D" wp14:editId="1A8F1E73">
            <wp:simplePos x="0" y="0"/>
            <wp:positionH relativeFrom="margin">
              <wp:posOffset>2278380</wp:posOffset>
            </wp:positionH>
            <wp:positionV relativeFrom="margin">
              <wp:posOffset>-600075</wp:posOffset>
            </wp:positionV>
            <wp:extent cx="1352550" cy="1352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pic:spPr>
                </pic:pic>
              </a:graphicData>
            </a:graphic>
            <wp14:sizeRelH relativeFrom="page">
              <wp14:pctWidth>0</wp14:pctWidth>
            </wp14:sizeRelH>
            <wp14:sizeRelV relativeFrom="page">
              <wp14:pctHeight>0</wp14:pctHeight>
            </wp14:sizeRelV>
          </wp:anchor>
        </w:drawing>
      </w:r>
    </w:p>
    <w:p w14:paraId="5D4370C3" w14:textId="77777777" w:rsidR="00205033" w:rsidRDefault="00205033" w:rsidP="00205033">
      <w:pPr>
        <w:spacing w:after="0" w:line="360" w:lineRule="auto"/>
        <w:jc w:val="both"/>
        <w:rPr>
          <w:rFonts w:ascii="Times New Roman" w:eastAsia="Calibri" w:hAnsi="Times New Roman" w:cs="Times New Roman"/>
          <w:sz w:val="24"/>
          <w:szCs w:val="24"/>
        </w:rPr>
      </w:pPr>
    </w:p>
    <w:p w14:paraId="7F49D555" w14:textId="77777777" w:rsidR="00205033" w:rsidRDefault="00205033" w:rsidP="00205033">
      <w:pPr>
        <w:spacing w:after="0" w:line="360" w:lineRule="auto"/>
        <w:jc w:val="center"/>
        <w:rPr>
          <w:rFonts w:ascii="Times New Roman" w:eastAsia="Calibri" w:hAnsi="Times New Roman" w:cs="Times New Roman"/>
          <w:b/>
          <w:caps/>
          <w:sz w:val="24"/>
          <w:szCs w:val="24"/>
        </w:rPr>
      </w:pPr>
    </w:p>
    <w:p w14:paraId="4E8A1EAE" w14:textId="77777777" w:rsidR="00205033" w:rsidRDefault="00205033" w:rsidP="00205033">
      <w:pPr>
        <w:spacing w:after="0" w:line="240" w:lineRule="auto"/>
        <w:jc w:val="center"/>
        <w:rPr>
          <w:rFonts w:ascii="Times New Roman" w:eastAsia="Calibri" w:hAnsi="Times New Roman" w:cs="Times New Roman"/>
          <w:b/>
          <w:caps/>
          <w:sz w:val="24"/>
          <w:szCs w:val="24"/>
          <w:u w:val="single"/>
        </w:rPr>
      </w:pPr>
      <w:r>
        <w:rPr>
          <w:rFonts w:ascii="Times New Roman" w:eastAsia="Calibri" w:hAnsi="Times New Roman" w:cs="Times New Roman"/>
          <w:b/>
          <w:caps/>
          <w:sz w:val="24"/>
          <w:szCs w:val="24"/>
          <w:u w:val="single"/>
        </w:rPr>
        <w:t>In the HIGH COURT OF south africa</w:t>
      </w:r>
    </w:p>
    <w:p w14:paraId="23C7DC58" w14:textId="77777777" w:rsidR="00205033" w:rsidRDefault="00205033" w:rsidP="00205033">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u w:val="single"/>
        </w:rPr>
        <w:t>FREE STATE PROVINCIAL DIVISION</w:t>
      </w:r>
      <w:r>
        <w:rPr>
          <w:rFonts w:ascii="Times New Roman" w:eastAsia="Times New Roman" w:hAnsi="Times New Roman" w:cs="Times New Roman"/>
          <w:sz w:val="24"/>
          <w:szCs w:val="24"/>
          <w:u w:val="single"/>
          <w:lang w:val="en-GB"/>
        </w:rPr>
        <w:t xml:space="preserve"> </w:t>
      </w:r>
      <w:r>
        <w:rPr>
          <w:rFonts w:ascii="Times New Roman" w:eastAsia="Times New Roman" w:hAnsi="Times New Roman" w:cs="Times New Roman"/>
          <w:sz w:val="24"/>
          <w:szCs w:val="24"/>
          <w:lang w:val="en-GB"/>
        </w:rPr>
        <w:t xml:space="preserve">  </w:t>
      </w:r>
    </w:p>
    <w:p w14:paraId="455CDB5C" w14:textId="77777777" w:rsidR="00205033" w:rsidRDefault="00205033" w:rsidP="00205033">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205033" w14:paraId="484DC688" w14:textId="77777777" w:rsidTr="00205033">
        <w:trPr>
          <w:trHeight w:val="702"/>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hideMark/>
          </w:tcPr>
          <w:p w14:paraId="16582587" w14:textId="77777777" w:rsidR="00205033" w:rsidRDefault="00205033">
            <w:pPr>
              <w:autoSpaceDE w:val="0"/>
              <w:autoSpaceDN w:val="0"/>
              <w:spacing w:before="60" w:after="0" w:line="240" w:lineRule="auto"/>
              <w:rPr>
                <w:rFonts w:ascii="Times New Roman" w:eastAsia="Arial Unicode MS" w:hAnsi="Times New Roman" w:cs="Times New Roman"/>
                <w:b/>
                <w:bCs/>
                <w:color w:val="000000"/>
                <w:sz w:val="16"/>
                <w:szCs w:val="16"/>
                <w:lang w:eastAsia="en-ZA"/>
              </w:rPr>
            </w:pPr>
            <w:r>
              <w:rPr>
                <w:rFonts w:ascii="Times New Roman" w:eastAsia="Arial Unicode MS" w:hAnsi="Times New Roman" w:cs="Times New Roman"/>
                <w:b/>
                <w:bCs/>
                <w:color w:val="000000"/>
                <w:sz w:val="16"/>
                <w:szCs w:val="16"/>
                <w:lang w:eastAsia="en-ZA"/>
              </w:rPr>
              <w:t xml:space="preserve">Reportable:                              </w:t>
            </w:r>
          </w:p>
          <w:p w14:paraId="4EA45BFF" w14:textId="77777777" w:rsidR="00205033" w:rsidRDefault="00205033">
            <w:pPr>
              <w:autoSpaceDE w:val="0"/>
              <w:autoSpaceDN w:val="0"/>
              <w:spacing w:after="0" w:line="240" w:lineRule="auto"/>
              <w:rPr>
                <w:rFonts w:ascii="Times New Roman" w:eastAsia="Arial Unicode MS" w:hAnsi="Times New Roman" w:cs="Times New Roman"/>
                <w:b/>
                <w:bCs/>
                <w:color w:val="000000"/>
                <w:sz w:val="16"/>
                <w:szCs w:val="16"/>
                <w:lang w:eastAsia="en-ZA"/>
              </w:rPr>
            </w:pPr>
            <w:r>
              <w:rPr>
                <w:rFonts w:ascii="Times New Roman" w:eastAsia="Arial Unicode MS" w:hAnsi="Times New Roman" w:cs="Times New Roman"/>
                <w:b/>
                <w:bCs/>
                <w:color w:val="000000"/>
                <w:sz w:val="16"/>
                <w:szCs w:val="16"/>
                <w:lang w:eastAsia="en-ZA"/>
              </w:rPr>
              <w:t xml:space="preserve">Of Interest to other Judges:   </w:t>
            </w:r>
          </w:p>
          <w:p w14:paraId="126A2912" w14:textId="77777777" w:rsidR="00205033" w:rsidRDefault="00205033">
            <w:pPr>
              <w:autoSpaceDE w:val="0"/>
              <w:autoSpaceDN w:val="0"/>
              <w:spacing w:after="0" w:line="240" w:lineRule="auto"/>
              <w:rPr>
                <w:rFonts w:ascii="Times New Roman" w:eastAsia="Arial Unicode MS" w:hAnsi="Times New Roman" w:cs="Times New Roman"/>
                <w:color w:val="000000"/>
                <w:lang w:eastAsia="en-ZA"/>
              </w:rPr>
            </w:pPr>
            <w:r>
              <w:rPr>
                <w:rFonts w:ascii="Times New Roman" w:eastAsia="Arial Unicode MS" w:hAnsi="Times New Roman" w:cs="Times New Roman"/>
                <w:b/>
                <w:bCs/>
                <w:color w:val="000000"/>
                <w:sz w:val="16"/>
                <w:szCs w:val="16"/>
                <w:lang w:eastAsia="en-ZA"/>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hideMark/>
          </w:tcPr>
          <w:p w14:paraId="0DB64C71" w14:textId="77777777" w:rsidR="00205033" w:rsidRDefault="00205033">
            <w:pPr>
              <w:autoSpaceDE w:val="0"/>
              <w:autoSpaceDN w:val="0"/>
              <w:spacing w:before="60" w:after="0" w:line="240" w:lineRule="auto"/>
              <w:rPr>
                <w:rFonts w:ascii="Times New Roman" w:eastAsia="Arial Unicode MS" w:hAnsi="Times New Roman" w:cs="Times New Roman"/>
                <w:b/>
                <w:bCs/>
                <w:color w:val="000000"/>
                <w:sz w:val="16"/>
                <w:szCs w:val="16"/>
                <w:lang w:eastAsia="en-ZA"/>
              </w:rPr>
            </w:pPr>
            <w:r>
              <w:rPr>
                <w:rFonts w:ascii="Times New Roman" w:eastAsia="Arial Unicode MS" w:hAnsi="Times New Roman" w:cs="Times New Roman"/>
                <w:b/>
                <w:bCs/>
                <w:color w:val="000000"/>
                <w:sz w:val="16"/>
                <w:szCs w:val="16"/>
                <w:lang w:eastAsia="en-ZA"/>
              </w:rPr>
              <w:t xml:space="preserve">YES/NO </w:t>
            </w:r>
          </w:p>
          <w:p w14:paraId="259F47AB" w14:textId="77777777" w:rsidR="00205033" w:rsidRDefault="00205033">
            <w:pPr>
              <w:autoSpaceDE w:val="0"/>
              <w:autoSpaceDN w:val="0"/>
              <w:spacing w:after="0" w:line="240" w:lineRule="auto"/>
              <w:rPr>
                <w:rFonts w:ascii="Times New Roman" w:eastAsia="Arial Unicode MS" w:hAnsi="Times New Roman" w:cs="Times New Roman"/>
                <w:b/>
                <w:bCs/>
                <w:color w:val="000000"/>
                <w:sz w:val="16"/>
                <w:szCs w:val="16"/>
                <w:lang w:eastAsia="en-ZA"/>
              </w:rPr>
            </w:pPr>
            <w:r>
              <w:rPr>
                <w:rFonts w:ascii="Times New Roman" w:eastAsia="Arial Unicode MS" w:hAnsi="Times New Roman" w:cs="Times New Roman"/>
                <w:b/>
                <w:bCs/>
                <w:color w:val="000000"/>
                <w:sz w:val="16"/>
                <w:szCs w:val="16"/>
                <w:lang w:eastAsia="en-ZA"/>
              </w:rPr>
              <w:t xml:space="preserve">YES/NO </w:t>
            </w:r>
          </w:p>
          <w:p w14:paraId="6A8D42EF" w14:textId="77777777" w:rsidR="00205033" w:rsidRDefault="00205033">
            <w:pPr>
              <w:autoSpaceDE w:val="0"/>
              <w:autoSpaceDN w:val="0"/>
              <w:spacing w:after="0" w:line="240" w:lineRule="auto"/>
              <w:rPr>
                <w:rFonts w:ascii="Times New Roman" w:eastAsia="Arial Unicode MS" w:hAnsi="Times New Roman" w:cs="Times New Roman"/>
                <w:color w:val="000000"/>
                <w:lang w:eastAsia="en-ZA"/>
              </w:rPr>
            </w:pPr>
            <w:r>
              <w:rPr>
                <w:rFonts w:ascii="Times New Roman" w:eastAsia="Arial Unicode MS" w:hAnsi="Times New Roman" w:cs="Times New Roman"/>
                <w:b/>
                <w:bCs/>
                <w:color w:val="000000"/>
                <w:sz w:val="16"/>
                <w:szCs w:val="16"/>
                <w:lang w:eastAsia="en-ZA"/>
              </w:rPr>
              <w:t>YES/NO</w:t>
            </w:r>
          </w:p>
        </w:tc>
      </w:tr>
    </w:tbl>
    <w:p w14:paraId="6AC624F9" w14:textId="77777777" w:rsidR="00205033" w:rsidRDefault="00205033" w:rsidP="00205033">
      <w:pPr>
        <w:spacing w:after="0" w:line="240" w:lineRule="auto"/>
        <w:jc w:val="center"/>
        <w:rPr>
          <w:rFonts w:ascii="Times New Roman" w:hAnsi="Times New Roman" w:cs="Times New Roman"/>
          <w:b/>
          <w:sz w:val="24"/>
          <w:szCs w:val="24"/>
          <w:u w:val="single"/>
        </w:rPr>
      </w:pPr>
    </w:p>
    <w:p w14:paraId="4E854EEE" w14:textId="77777777" w:rsidR="00205033" w:rsidRDefault="00205033" w:rsidP="00205033">
      <w:pPr>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b/>
        <w:t xml:space="preserve">    </w:t>
      </w:r>
    </w:p>
    <w:p w14:paraId="6B31DEA5" w14:textId="39DFB0BC" w:rsidR="00205033" w:rsidRDefault="00205033" w:rsidP="00205033">
      <w:pPr>
        <w:spacing w:after="0" w:line="240" w:lineRule="auto"/>
        <w:jc w:val="right"/>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 xml:space="preserve">Case No: </w:t>
      </w:r>
      <w:r w:rsidR="00D36C10">
        <w:rPr>
          <w:rFonts w:ascii="Times New Roman" w:eastAsia="Times New Roman" w:hAnsi="Times New Roman" w:cs="Times New Roman"/>
          <w:b/>
          <w:bCs/>
          <w:sz w:val="24"/>
          <w:szCs w:val="24"/>
          <w:lang w:val="en-GB"/>
        </w:rPr>
        <w:t>2557</w:t>
      </w:r>
      <w:r>
        <w:rPr>
          <w:rFonts w:ascii="Times New Roman" w:eastAsia="Times New Roman" w:hAnsi="Times New Roman" w:cs="Times New Roman"/>
          <w:b/>
          <w:bCs/>
          <w:sz w:val="24"/>
          <w:szCs w:val="24"/>
          <w:lang w:val="en-GB"/>
        </w:rPr>
        <w:t>/20</w:t>
      </w:r>
      <w:r w:rsidR="00D36C10">
        <w:rPr>
          <w:rFonts w:ascii="Times New Roman" w:eastAsia="Times New Roman" w:hAnsi="Times New Roman" w:cs="Times New Roman"/>
          <w:b/>
          <w:bCs/>
          <w:sz w:val="24"/>
          <w:szCs w:val="24"/>
          <w:lang w:val="en-GB"/>
        </w:rPr>
        <w:t>21</w:t>
      </w:r>
    </w:p>
    <w:p w14:paraId="73374624" w14:textId="77777777" w:rsidR="00205033" w:rsidRDefault="00205033" w:rsidP="00205033">
      <w:pPr>
        <w:spacing w:after="0" w:line="240" w:lineRule="auto"/>
        <w:jc w:val="right"/>
        <w:rPr>
          <w:rFonts w:ascii="Times New Roman" w:eastAsia="Times New Roman" w:hAnsi="Times New Roman" w:cs="Times New Roman"/>
          <w:b/>
          <w:bCs/>
          <w:sz w:val="24"/>
          <w:szCs w:val="24"/>
          <w:lang w:val="en-GB"/>
        </w:rPr>
      </w:pPr>
    </w:p>
    <w:p w14:paraId="2A8AC9FE" w14:textId="77777777" w:rsidR="00205033" w:rsidRDefault="00205033" w:rsidP="00205033">
      <w:pPr>
        <w:tabs>
          <w:tab w:val="left" w:pos="5103"/>
        </w:tabs>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the</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matter between:</w:t>
      </w:r>
    </w:p>
    <w:p w14:paraId="2973D2F1" w14:textId="55A395CF" w:rsidR="00205033" w:rsidRDefault="00D36C10" w:rsidP="00205033">
      <w:pPr>
        <w:tabs>
          <w:tab w:val="left" w:pos="5103"/>
        </w:tabs>
        <w:spacing w:line="360" w:lineRule="auto"/>
        <w:jc w:val="both"/>
        <w:rPr>
          <w:rFonts w:ascii="Times New Roman" w:hAnsi="Times New Roman" w:cs="Times New Roman"/>
          <w:bCs/>
          <w:sz w:val="24"/>
          <w:szCs w:val="24"/>
          <w:lang w:val="en-GB"/>
        </w:rPr>
      </w:pPr>
      <w:r>
        <w:rPr>
          <w:rFonts w:ascii="Times New Roman" w:hAnsi="Times New Roman" w:cs="Times New Roman"/>
          <w:b/>
          <w:sz w:val="24"/>
          <w:szCs w:val="24"/>
        </w:rPr>
        <w:t>TERENCE SANDILE TSHABALALA</w:t>
      </w:r>
      <w:r w:rsidR="00205033">
        <w:rPr>
          <w:rFonts w:ascii="Times New Roman" w:hAnsi="Times New Roman" w:cs="Times New Roman"/>
          <w:b/>
          <w:sz w:val="24"/>
          <w:szCs w:val="24"/>
        </w:rPr>
        <w:tab/>
        <w:t xml:space="preserve">                                  </w:t>
      </w:r>
      <w:r w:rsidR="00205033">
        <w:rPr>
          <w:rFonts w:ascii="Times New Roman" w:hAnsi="Times New Roman" w:cs="Times New Roman"/>
          <w:b/>
          <w:sz w:val="24"/>
          <w:szCs w:val="24"/>
        </w:rPr>
        <w:tab/>
      </w:r>
      <w:r w:rsidR="00205033">
        <w:rPr>
          <w:rFonts w:ascii="Times New Roman" w:hAnsi="Times New Roman" w:cs="Times New Roman"/>
          <w:b/>
          <w:sz w:val="24"/>
          <w:szCs w:val="24"/>
        </w:rPr>
        <w:tab/>
        <w:t xml:space="preserve">    </w:t>
      </w:r>
      <w:r w:rsidR="003475CD">
        <w:rPr>
          <w:rFonts w:ascii="Times New Roman" w:hAnsi="Times New Roman" w:cs="Times New Roman"/>
          <w:b/>
          <w:sz w:val="24"/>
          <w:szCs w:val="24"/>
        </w:rPr>
        <w:t xml:space="preserve">      </w:t>
      </w:r>
      <w:r w:rsidR="00205033">
        <w:rPr>
          <w:rFonts w:ascii="Times New Roman" w:hAnsi="Times New Roman" w:cs="Times New Roman"/>
          <w:bCs/>
          <w:sz w:val="24"/>
          <w:szCs w:val="24"/>
        </w:rPr>
        <w:t>Plaintiff</w:t>
      </w:r>
    </w:p>
    <w:p w14:paraId="5B702DD5" w14:textId="77777777" w:rsidR="00205033" w:rsidRDefault="00205033" w:rsidP="00205033">
      <w:pPr>
        <w:tabs>
          <w:tab w:val="left" w:pos="5625"/>
        </w:tabs>
        <w:spacing w:after="0" w:line="240" w:lineRule="auto"/>
        <w:ind w:right="-613"/>
        <w:contextualSpacing/>
        <w:jc w:val="both"/>
        <w:rPr>
          <w:rFonts w:ascii="Times New Roman" w:hAnsi="Times New Roman" w:cs="Times New Roman"/>
          <w:b/>
          <w:sz w:val="24"/>
          <w:szCs w:val="24"/>
        </w:rPr>
      </w:pPr>
    </w:p>
    <w:p w14:paraId="799B2CC0" w14:textId="77777777" w:rsidR="00205033" w:rsidRDefault="00205033" w:rsidP="00205033">
      <w:pPr>
        <w:tabs>
          <w:tab w:val="left" w:pos="5625"/>
        </w:tabs>
        <w:spacing w:after="0" w:line="240" w:lineRule="auto"/>
        <w:ind w:right="-613"/>
        <w:contextualSpacing/>
        <w:jc w:val="both"/>
        <w:rPr>
          <w:rFonts w:ascii="Times New Roman" w:eastAsia="Times New Roman" w:hAnsi="Times New Roman" w:cs="Times New Roman"/>
          <w:sz w:val="24"/>
          <w:szCs w:val="24"/>
          <w:lang w:val="en-GB"/>
        </w:rPr>
      </w:pPr>
      <w:r>
        <w:rPr>
          <w:rFonts w:ascii="Times New Roman" w:hAnsi="Times New Roman" w:cs="Times New Roman"/>
          <w:sz w:val="24"/>
          <w:szCs w:val="24"/>
        </w:rPr>
        <w:t>a</w:t>
      </w:r>
      <w:r>
        <w:rPr>
          <w:rFonts w:ascii="Times New Roman" w:eastAsia="Times New Roman" w:hAnsi="Times New Roman" w:cs="Times New Roman"/>
          <w:sz w:val="24"/>
          <w:szCs w:val="24"/>
          <w:lang w:val="en-GB"/>
        </w:rPr>
        <w:t>nd</w:t>
      </w:r>
    </w:p>
    <w:p w14:paraId="5110C2ED" w14:textId="77777777" w:rsidR="00205033" w:rsidRDefault="00205033" w:rsidP="00205033">
      <w:pPr>
        <w:tabs>
          <w:tab w:val="left" w:pos="5625"/>
        </w:tabs>
        <w:spacing w:after="0" w:line="240" w:lineRule="auto"/>
        <w:ind w:right="-613"/>
        <w:contextualSpacing/>
        <w:jc w:val="both"/>
        <w:rPr>
          <w:rFonts w:ascii="Times New Roman" w:eastAsia="Times New Roman" w:hAnsi="Times New Roman" w:cs="Times New Roman"/>
          <w:sz w:val="24"/>
          <w:szCs w:val="24"/>
          <w:lang w:val="en-GB"/>
        </w:rPr>
      </w:pPr>
    </w:p>
    <w:p w14:paraId="0B12DDA3" w14:textId="77777777" w:rsidR="00205033" w:rsidRDefault="00205033" w:rsidP="00205033">
      <w:pPr>
        <w:tabs>
          <w:tab w:val="left" w:pos="5625"/>
        </w:tabs>
        <w:spacing w:after="0" w:line="240" w:lineRule="auto"/>
        <w:ind w:right="-613"/>
        <w:contextualSpacing/>
        <w:jc w:val="both"/>
        <w:rPr>
          <w:rFonts w:ascii="Times New Roman" w:eastAsia="Times New Roman" w:hAnsi="Times New Roman" w:cs="Times New Roman"/>
          <w:sz w:val="24"/>
          <w:szCs w:val="24"/>
          <w:lang w:val="en-GB"/>
        </w:rPr>
      </w:pPr>
    </w:p>
    <w:p w14:paraId="6DCD5A07" w14:textId="1B1F0665" w:rsidR="00205033" w:rsidRDefault="00205033" w:rsidP="00205033">
      <w:pPr>
        <w:spacing w:after="0" w:line="240" w:lineRule="auto"/>
        <w:ind w:right="-613"/>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THE ROAD ACCIDENT FUND</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t xml:space="preserve">            </w:t>
      </w:r>
      <w:r w:rsidR="003475CD">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Defendant</w:t>
      </w:r>
    </w:p>
    <w:p w14:paraId="7A03B800" w14:textId="77777777" w:rsidR="00205033" w:rsidRDefault="00205033" w:rsidP="00205033">
      <w:pPr>
        <w:spacing w:before="180" w:after="180" w:line="360" w:lineRule="auto"/>
        <w:ind w:left="1701" w:hanging="1701"/>
        <w:jc w:val="both"/>
        <w:rPr>
          <w:rFonts w:ascii="Times New Roman" w:eastAsia="Times New Roman" w:hAnsi="Times New Roman" w:cs="Times New Roman"/>
          <w:b/>
          <w:sz w:val="24"/>
          <w:szCs w:val="24"/>
          <w:lang w:val="en-GB"/>
        </w:rPr>
      </w:pPr>
    </w:p>
    <w:p w14:paraId="7BB6C2C5" w14:textId="443754BE" w:rsidR="00205033" w:rsidRDefault="00205033" w:rsidP="00455EE3">
      <w:pPr>
        <w:spacing w:before="180" w:after="0" w:line="360" w:lineRule="auto"/>
        <w:ind w:left="1440" w:hanging="1440"/>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Coram:</w:t>
      </w:r>
      <w:r w:rsidR="00967727">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sz w:val="24"/>
          <w:szCs w:val="24"/>
          <w:lang w:val="en-GB"/>
        </w:rPr>
        <w:t>Opperman, J</w:t>
      </w:r>
    </w:p>
    <w:p w14:paraId="2D5AF9A0" w14:textId="314240F4" w:rsidR="00205033" w:rsidRPr="00967727" w:rsidRDefault="00205033" w:rsidP="00430E0D">
      <w:pPr>
        <w:spacing w:after="0" w:line="360" w:lineRule="auto"/>
        <w:ind w:left="1440" w:hanging="1440"/>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Heard</w:t>
      </w:r>
      <w:r w:rsidRPr="00967727">
        <w:rPr>
          <w:rFonts w:ascii="Times New Roman" w:eastAsia="Times New Roman" w:hAnsi="Times New Roman" w:cs="Times New Roman"/>
          <w:b/>
          <w:sz w:val="24"/>
          <w:szCs w:val="24"/>
          <w:lang w:val="en-GB"/>
        </w:rPr>
        <w:t xml:space="preserve">:   </w:t>
      </w:r>
      <w:r w:rsidR="00967727" w:rsidRPr="00967727">
        <w:rPr>
          <w:rFonts w:ascii="Times New Roman" w:eastAsia="Times New Roman" w:hAnsi="Times New Roman" w:cs="Times New Roman"/>
          <w:b/>
          <w:sz w:val="24"/>
          <w:szCs w:val="24"/>
          <w:lang w:val="en-GB"/>
        </w:rPr>
        <w:t xml:space="preserve">       </w:t>
      </w:r>
      <w:r w:rsidR="00D36C10" w:rsidRPr="00967727">
        <w:rPr>
          <w:rFonts w:ascii="Times New Roman" w:eastAsia="Times New Roman" w:hAnsi="Times New Roman" w:cs="Times New Roman"/>
          <w:bCs/>
          <w:sz w:val="24"/>
          <w:szCs w:val="24"/>
          <w:lang w:val="en-GB"/>
        </w:rPr>
        <w:t xml:space="preserve">28 </w:t>
      </w:r>
      <w:r w:rsidR="00070E03" w:rsidRPr="00967727">
        <w:rPr>
          <w:rFonts w:ascii="Times New Roman" w:eastAsia="Times New Roman" w:hAnsi="Times New Roman" w:cs="Times New Roman"/>
          <w:bCs/>
          <w:sz w:val="24"/>
          <w:szCs w:val="24"/>
          <w:lang w:val="en-GB"/>
        </w:rPr>
        <w:t>October</w:t>
      </w:r>
      <w:r w:rsidRPr="00967727">
        <w:rPr>
          <w:rFonts w:ascii="Times New Roman" w:eastAsia="Times New Roman" w:hAnsi="Times New Roman" w:cs="Times New Roman"/>
          <w:bCs/>
          <w:sz w:val="24"/>
          <w:szCs w:val="24"/>
          <w:lang w:val="en-GB"/>
        </w:rPr>
        <w:t xml:space="preserve"> 2022</w:t>
      </w:r>
      <w:r w:rsidR="00967727" w:rsidRPr="00967727">
        <w:rPr>
          <w:rFonts w:ascii="Times New Roman" w:eastAsia="Times New Roman" w:hAnsi="Times New Roman" w:cs="Times New Roman"/>
          <w:bCs/>
          <w:sz w:val="24"/>
          <w:szCs w:val="24"/>
          <w:lang w:val="en-GB"/>
        </w:rPr>
        <w:t xml:space="preserve">. </w:t>
      </w:r>
      <w:r w:rsidR="00967727" w:rsidRPr="00967727">
        <w:rPr>
          <w:rFonts w:ascii="Times New Roman" w:eastAsia="Times New Roman" w:hAnsi="Times New Roman"/>
          <w:sz w:val="24"/>
          <w:szCs w:val="24"/>
          <w:lang w:val="en-GB"/>
        </w:rPr>
        <w:t>The application was disposed of without hearing oral argument and on the Heads of Argument filed on record on behalf of the parties.</w:t>
      </w:r>
      <w:r w:rsidR="009E613A">
        <w:rPr>
          <w:rFonts w:ascii="Times New Roman" w:eastAsia="Times New Roman" w:hAnsi="Times New Roman"/>
          <w:sz w:val="24"/>
          <w:szCs w:val="24"/>
          <w:lang w:val="en-GB"/>
        </w:rPr>
        <w:t xml:space="preserve"> This was by agreement between the parties and on order of the court.</w:t>
      </w:r>
      <w:r w:rsidR="00967727" w:rsidRPr="00967727">
        <w:rPr>
          <w:rFonts w:ascii="Times New Roman" w:eastAsia="Times New Roman" w:hAnsi="Times New Roman"/>
          <w:sz w:val="24"/>
          <w:szCs w:val="24"/>
          <w:lang w:val="en-GB"/>
        </w:rPr>
        <w:t xml:space="preserve">  </w:t>
      </w:r>
    </w:p>
    <w:p w14:paraId="595BA990" w14:textId="77777777" w:rsidR="003475CD" w:rsidRDefault="00205033" w:rsidP="003475CD">
      <w:pPr>
        <w:spacing w:after="0" w:line="360" w:lineRule="auto"/>
        <w:ind w:left="1440" w:hanging="1440"/>
        <w:jc w:val="both"/>
        <w:rPr>
          <w:rFonts w:ascii="Times New Roman" w:hAnsi="Times New Roman" w:cs="Times New Roman"/>
          <w:sz w:val="24"/>
          <w:szCs w:val="24"/>
        </w:rPr>
      </w:pPr>
      <w:r>
        <w:rPr>
          <w:rFonts w:ascii="Times New Roman" w:eastAsia="Times New Roman" w:hAnsi="Times New Roman" w:cs="Times New Roman"/>
          <w:b/>
          <w:sz w:val="24"/>
          <w:szCs w:val="24"/>
          <w:lang w:val="en-GB"/>
        </w:rPr>
        <w:t>Delivered:</w:t>
      </w:r>
      <w:r w:rsidR="00967727">
        <w:rPr>
          <w:rFonts w:ascii="Times New Roman" w:eastAsia="Times New Roman" w:hAnsi="Times New Roman" w:cs="Times New Roman"/>
          <w:b/>
          <w:sz w:val="24"/>
          <w:szCs w:val="24"/>
          <w:lang w:val="en-GB"/>
        </w:rPr>
        <w:t xml:space="preserve">     </w:t>
      </w:r>
      <w:r>
        <w:rPr>
          <w:rFonts w:ascii="Times New Roman" w:hAnsi="Times New Roman" w:cs="Times New Roman"/>
          <w:sz w:val="24"/>
          <w:szCs w:val="24"/>
        </w:rPr>
        <w:t xml:space="preserve">The judgment was handed down electronically by circulation to the parties’ legal representatives by email and release to SAFLII on </w:t>
      </w:r>
      <w:r w:rsidR="007742C8">
        <w:rPr>
          <w:rFonts w:ascii="Times New Roman" w:hAnsi="Times New Roman" w:cs="Times New Roman"/>
          <w:sz w:val="24"/>
          <w:szCs w:val="24"/>
        </w:rPr>
        <w:t>1 November</w:t>
      </w:r>
      <w:r>
        <w:rPr>
          <w:rFonts w:ascii="Times New Roman" w:hAnsi="Times New Roman" w:cs="Times New Roman"/>
          <w:sz w:val="24"/>
          <w:szCs w:val="24"/>
        </w:rPr>
        <w:t xml:space="preserve"> 2022. The date and time for hand-down is deemed to be </w:t>
      </w:r>
      <w:r w:rsidR="007742C8">
        <w:rPr>
          <w:rFonts w:ascii="Times New Roman" w:hAnsi="Times New Roman" w:cs="Times New Roman"/>
          <w:sz w:val="24"/>
          <w:szCs w:val="24"/>
        </w:rPr>
        <w:t>1 November</w:t>
      </w:r>
      <w:r>
        <w:rPr>
          <w:rFonts w:ascii="Times New Roman" w:hAnsi="Times New Roman" w:cs="Times New Roman"/>
          <w:sz w:val="24"/>
          <w:szCs w:val="24"/>
        </w:rPr>
        <w:t xml:space="preserve"> 2022 at 15h00</w:t>
      </w:r>
    </w:p>
    <w:p w14:paraId="7B8BC462" w14:textId="5A7AFBF7" w:rsidR="00205033" w:rsidRDefault="00205033" w:rsidP="003475CD">
      <w:pPr>
        <w:spacing w:after="0" w:line="360" w:lineRule="auto"/>
        <w:ind w:left="1440" w:hanging="1440"/>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 xml:space="preserve">Summary: </w:t>
      </w:r>
      <w:r>
        <w:rPr>
          <w:rFonts w:ascii="Times New Roman" w:eastAsia="Times New Roman" w:hAnsi="Times New Roman" w:cs="Times New Roman"/>
          <w:b/>
          <w:sz w:val="24"/>
          <w:szCs w:val="24"/>
          <w:lang w:val="en-GB"/>
        </w:rPr>
        <w:tab/>
      </w:r>
      <w:r>
        <w:rPr>
          <w:rFonts w:ascii="Times New Roman" w:eastAsia="Times New Roman" w:hAnsi="Times New Roman" w:cs="Times New Roman"/>
          <w:bCs/>
          <w:i/>
          <w:iCs/>
          <w:sz w:val="24"/>
          <w:szCs w:val="24"/>
          <w:lang w:val="en-GB"/>
        </w:rPr>
        <w:t xml:space="preserve">Quantum </w:t>
      </w:r>
      <w:r w:rsidR="009710D2">
        <w:rPr>
          <w:rFonts w:ascii="Times New Roman" w:eastAsia="Times New Roman" w:hAnsi="Times New Roman" w:cs="Times New Roman"/>
          <w:bCs/>
          <w:i/>
          <w:iCs/>
          <w:sz w:val="24"/>
          <w:szCs w:val="24"/>
          <w:lang w:val="en-GB"/>
        </w:rPr>
        <w:t xml:space="preserve">- </w:t>
      </w:r>
      <w:r w:rsidR="009710D2">
        <w:rPr>
          <w:rFonts w:ascii="Times New Roman" w:eastAsia="Times New Roman" w:hAnsi="Times New Roman" w:cs="Times New Roman"/>
          <w:bCs/>
          <w:sz w:val="24"/>
          <w:szCs w:val="24"/>
          <w:lang w:val="en-GB"/>
        </w:rPr>
        <w:t>loss</w:t>
      </w:r>
      <w:r>
        <w:rPr>
          <w:rFonts w:ascii="Times New Roman" w:eastAsia="Times New Roman" w:hAnsi="Times New Roman" w:cs="Times New Roman"/>
          <w:bCs/>
          <w:sz w:val="24"/>
          <w:szCs w:val="24"/>
          <w:lang w:val="en-GB"/>
        </w:rPr>
        <w:t xml:space="preserve"> of income </w:t>
      </w:r>
    </w:p>
    <w:p w14:paraId="3BF9DBB6" w14:textId="77777777" w:rsidR="00205033" w:rsidRDefault="00205033" w:rsidP="00205033">
      <w:pPr>
        <w:pBdr>
          <w:top w:val="single" w:sz="18" w:space="12" w:color="auto"/>
          <w:bottom w:val="single" w:sz="18" w:space="12" w:color="auto"/>
        </w:pBdr>
        <w:spacing w:line="360" w:lineRule="auto"/>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JUDGMENT</w:t>
      </w:r>
    </w:p>
    <w:p w14:paraId="7B6EB58C" w14:textId="77777777" w:rsidR="00205033" w:rsidRDefault="00205033" w:rsidP="00205033">
      <w:pPr>
        <w:pStyle w:val="ListParagraph"/>
        <w:spacing w:after="0" w:line="360" w:lineRule="auto"/>
        <w:jc w:val="both"/>
        <w:rPr>
          <w:rFonts w:ascii="Times New Roman" w:hAnsi="Times New Roman" w:cs="Times New Roman"/>
          <w:b/>
          <w:bCs/>
          <w:sz w:val="24"/>
          <w:szCs w:val="24"/>
        </w:rPr>
      </w:pPr>
    </w:p>
    <w:p w14:paraId="658D88B5" w14:textId="77777777" w:rsidR="00430E0D" w:rsidRDefault="00430E0D" w:rsidP="00EA3D6E">
      <w:pPr>
        <w:spacing w:after="0" w:line="360" w:lineRule="auto"/>
        <w:ind w:left="720" w:hanging="720"/>
        <w:jc w:val="both"/>
        <w:rPr>
          <w:rFonts w:ascii="Times New Roman" w:hAnsi="Times New Roman" w:cs="Times New Roman"/>
          <w:b/>
          <w:bCs/>
          <w:sz w:val="24"/>
          <w:szCs w:val="24"/>
          <w:lang w:val="en-US"/>
        </w:rPr>
      </w:pPr>
    </w:p>
    <w:p w14:paraId="068923B5" w14:textId="39149464" w:rsidR="00C7613C" w:rsidRPr="00EA3D6E" w:rsidRDefault="00EA3D6E" w:rsidP="00EA3D6E">
      <w:pPr>
        <w:spacing w:after="0" w:line="360" w:lineRule="auto"/>
        <w:ind w:left="720" w:hanging="720"/>
        <w:jc w:val="both"/>
        <w:rPr>
          <w:rFonts w:ascii="Times New Roman" w:hAnsi="Times New Roman" w:cs="Times New Roman"/>
          <w:b/>
          <w:bCs/>
          <w:sz w:val="24"/>
          <w:szCs w:val="24"/>
          <w:lang w:val="en-US"/>
        </w:rPr>
      </w:pPr>
      <w:r w:rsidRPr="00EA3D6E">
        <w:rPr>
          <w:rFonts w:ascii="Times New Roman" w:hAnsi="Times New Roman" w:cs="Times New Roman"/>
          <w:b/>
          <w:bCs/>
          <w:sz w:val="24"/>
          <w:szCs w:val="24"/>
          <w:lang w:val="en-US"/>
        </w:rPr>
        <w:lastRenderedPageBreak/>
        <w:t>COMMON CAUSE</w:t>
      </w:r>
    </w:p>
    <w:p w14:paraId="74CE246C" w14:textId="3F640CF9" w:rsidR="00BB60FE" w:rsidRPr="002E75B6" w:rsidRDefault="00F63552" w:rsidP="003E4F69">
      <w:pPr>
        <w:spacing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67488">
        <w:rPr>
          <w:rFonts w:ascii="Times New Roman" w:hAnsi="Times New Roman" w:cs="Times New Roman"/>
          <w:sz w:val="24"/>
          <w:szCs w:val="24"/>
          <w:lang w:val="en-US"/>
        </w:rPr>
        <w:t>1</w:t>
      </w:r>
      <w:r>
        <w:rPr>
          <w:rFonts w:ascii="Times New Roman" w:hAnsi="Times New Roman" w:cs="Times New Roman"/>
          <w:sz w:val="24"/>
          <w:szCs w:val="24"/>
          <w:lang w:val="en-US"/>
        </w:rPr>
        <w:t>]</w:t>
      </w:r>
      <w:r>
        <w:rPr>
          <w:rFonts w:ascii="Times New Roman" w:hAnsi="Times New Roman" w:cs="Times New Roman"/>
          <w:sz w:val="24"/>
          <w:szCs w:val="24"/>
          <w:lang w:val="en-US"/>
        </w:rPr>
        <w:tab/>
      </w:r>
      <w:r w:rsidR="00EA3D6E" w:rsidRPr="002E75B6">
        <w:rPr>
          <w:rFonts w:ascii="Times New Roman" w:hAnsi="Times New Roman" w:cs="Times New Roman"/>
          <w:sz w:val="24"/>
          <w:szCs w:val="24"/>
          <w:lang w:val="en-US"/>
        </w:rPr>
        <w:t>The parties are agreed that:</w:t>
      </w:r>
    </w:p>
    <w:p w14:paraId="350AC5DC" w14:textId="5D096069" w:rsidR="00EA3D6E" w:rsidRPr="002E75B6" w:rsidRDefault="002E75B6" w:rsidP="00EA3D6E">
      <w:pPr>
        <w:pStyle w:val="ListParagraph"/>
        <w:numPr>
          <w:ilvl w:val="0"/>
          <w:numId w:val="5"/>
        </w:numPr>
        <w:spacing w:after="0" w:line="360" w:lineRule="auto"/>
        <w:ind w:left="1440" w:hanging="720"/>
        <w:jc w:val="both"/>
        <w:rPr>
          <w:rFonts w:ascii="Times New Roman" w:hAnsi="Times New Roman" w:cs="Times New Roman"/>
          <w:sz w:val="24"/>
          <w:szCs w:val="24"/>
        </w:rPr>
      </w:pPr>
      <w:r w:rsidRPr="002E75B6">
        <w:rPr>
          <w:rFonts w:ascii="Times New Roman" w:hAnsi="Times New Roman" w:cs="Times New Roman"/>
          <w:sz w:val="24"/>
          <w:szCs w:val="24"/>
        </w:rPr>
        <w:t xml:space="preserve">On 8 October 2016 </w:t>
      </w:r>
      <w:r w:rsidR="00F7678B">
        <w:rPr>
          <w:rFonts w:ascii="Times New Roman" w:hAnsi="Times New Roman" w:cs="Times New Roman"/>
          <w:sz w:val="24"/>
          <w:szCs w:val="24"/>
        </w:rPr>
        <w:t xml:space="preserve">the </w:t>
      </w:r>
      <w:r w:rsidR="00BB59FB">
        <w:rPr>
          <w:rFonts w:ascii="Times New Roman" w:hAnsi="Times New Roman" w:cs="Times New Roman"/>
          <w:sz w:val="24"/>
          <w:szCs w:val="24"/>
        </w:rPr>
        <w:t>p</w:t>
      </w:r>
      <w:r w:rsidRPr="002E75B6">
        <w:rPr>
          <w:rFonts w:ascii="Times New Roman" w:hAnsi="Times New Roman" w:cs="Times New Roman"/>
          <w:sz w:val="24"/>
          <w:szCs w:val="24"/>
        </w:rPr>
        <w:t>laintiff was a</w:t>
      </w:r>
      <w:r w:rsidR="00523A39">
        <w:rPr>
          <w:rFonts w:ascii="Times New Roman" w:hAnsi="Times New Roman" w:cs="Times New Roman"/>
          <w:sz w:val="24"/>
          <w:szCs w:val="24"/>
        </w:rPr>
        <w:t>s</w:t>
      </w:r>
      <w:r w:rsidRPr="002E75B6">
        <w:rPr>
          <w:rFonts w:ascii="Times New Roman" w:hAnsi="Times New Roman" w:cs="Times New Roman"/>
          <w:sz w:val="24"/>
          <w:szCs w:val="24"/>
        </w:rPr>
        <w:t xml:space="preserve"> passenger involved in a motor vehicle collision and sustained a number of injuries as a result thereof, most importantly</w:t>
      </w:r>
      <w:r w:rsidR="008F6F4F">
        <w:rPr>
          <w:rFonts w:ascii="Times New Roman" w:hAnsi="Times New Roman" w:cs="Times New Roman"/>
          <w:sz w:val="24"/>
          <w:szCs w:val="24"/>
        </w:rPr>
        <w:t>,</w:t>
      </w:r>
      <w:r w:rsidRPr="002E75B6">
        <w:rPr>
          <w:rFonts w:ascii="Times New Roman" w:hAnsi="Times New Roman" w:cs="Times New Roman"/>
          <w:sz w:val="24"/>
          <w:szCs w:val="24"/>
        </w:rPr>
        <w:t xml:space="preserve"> </w:t>
      </w:r>
      <w:r w:rsidR="00667524" w:rsidRPr="007742C8">
        <w:rPr>
          <w:rFonts w:ascii="Times New Roman" w:hAnsi="Times New Roman" w:cs="Times New Roman"/>
          <w:sz w:val="24"/>
          <w:szCs w:val="24"/>
        </w:rPr>
        <w:t>quadriplegi</w:t>
      </w:r>
      <w:r w:rsidR="00667524">
        <w:rPr>
          <w:rFonts w:ascii="Times New Roman" w:hAnsi="Times New Roman" w:cs="Times New Roman"/>
          <w:sz w:val="24"/>
          <w:szCs w:val="24"/>
        </w:rPr>
        <w:t>a</w:t>
      </w:r>
      <w:r w:rsidRPr="002E75B6">
        <w:rPr>
          <w:rFonts w:ascii="Times New Roman" w:hAnsi="Times New Roman" w:cs="Times New Roman"/>
          <w:sz w:val="24"/>
          <w:szCs w:val="24"/>
        </w:rPr>
        <w:t xml:space="preserve">. </w:t>
      </w:r>
      <w:r w:rsidR="00EA3D6E" w:rsidRPr="002E75B6">
        <w:rPr>
          <w:rFonts w:ascii="Times New Roman" w:hAnsi="Times New Roman" w:cs="Times New Roman"/>
          <w:sz w:val="24"/>
          <w:szCs w:val="24"/>
        </w:rPr>
        <w:t xml:space="preserve">The matter was set down for adjudication of </w:t>
      </w:r>
      <w:r w:rsidR="00EA3D6E" w:rsidRPr="003475CD">
        <w:rPr>
          <w:rFonts w:ascii="Times New Roman" w:hAnsi="Times New Roman" w:cs="Times New Roman"/>
          <w:i/>
          <w:iCs/>
          <w:sz w:val="24"/>
          <w:szCs w:val="24"/>
        </w:rPr>
        <w:t>quantum.</w:t>
      </w:r>
      <w:r w:rsidR="00EA3D6E" w:rsidRPr="002E75B6">
        <w:rPr>
          <w:rFonts w:ascii="Times New Roman" w:hAnsi="Times New Roman" w:cs="Times New Roman"/>
          <w:sz w:val="24"/>
          <w:szCs w:val="24"/>
        </w:rPr>
        <w:t xml:space="preserve">  </w:t>
      </w:r>
    </w:p>
    <w:p w14:paraId="79554E01" w14:textId="77777777" w:rsidR="00EA3D6E" w:rsidRPr="002E75B6" w:rsidRDefault="00EA3D6E" w:rsidP="002E75B6">
      <w:pPr>
        <w:pStyle w:val="ListParagraph"/>
        <w:spacing w:after="0" w:line="360" w:lineRule="auto"/>
        <w:ind w:left="1440" w:hanging="720"/>
        <w:jc w:val="both"/>
        <w:rPr>
          <w:rFonts w:ascii="Times New Roman" w:hAnsi="Times New Roman" w:cs="Times New Roman"/>
          <w:sz w:val="24"/>
          <w:szCs w:val="24"/>
        </w:rPr>
      </w:pPr>
    </w:p>
    <w:p w14:paraId="3617E0B7" w14:textId="16A643F1" w:rsidR="002E75B6" w:rsidRDefault="002E75B6" w:rsidP="002E75B6">
      <w:pPr>
        <w:pStyle w:val="ListParagraph"/>
        <w:numPr>
          <w:ilvl w:val="0"/>
          <w:numId w:val="5"/>
        </w:numPr>
        <w:spacing w:after="0" w:line="360" w:lineRule="auto"/>
        <w:ind w:left="1440" w:hanging="720"/>
        <w:jc w:val="both"/>
        <w:rPr>
          <w:rFonts w:ascii="Times New Roman" w:hAnsi="Times New Roman" w:cs="Times New Roman"/>
          <w:sz w:val="24"/>
          <w:szCs w:val="24"/>
        </w:rPr>
      </w:pPr>
      <w:r w:rsidRPr="002E75B6">
        <w:rPr>
          <w:rFonts w:ascii="Times New Roman" w:hAnsi="Times New Roman" w:cs="Times New Roman"/>
          <w:sz w:val="24"/>
          <w:szCs w:val="24"/>
        </w:rPr>
        <w:t xml:space="preserve">The injuries and </w:t>
      </w:r>
      <w:r w:rsidRPr="003475CD">
        <w:rPr>
          <w:rFonts w:ascii="Times New Roman" w:hAnsi="Times New Roman" w:cs="Times New Roman"/>
          <w:i/>
          <w:iCs/>
          <w:sz w:val="24"/>
          <w:szCs w:val="24"/>
        </w:rPr>
        <w:t xml:space="preserve">sequelae </w:t>
      </w:r>
      <w:r w:rsidRPr="002E75B6">
        <w:rPr>
          <w:rFonts w:ascii="Times New Roman" w:hAnsi="Times New Roman" w:cs="Times New Roman"/>
          <w:sz w:val="24"/>
          <w:szCs w:val="24"/>
        </w:rPr>
        <w:t xml:space="preserve">have rendered </w:t>
      </w:r>
      <w:r w:rsidR="0015275A">
        <w:rPr>
          <w:rFonts w:ascii="Times New Roman" w:hAnsi="Times New Roman" w:cs="Times New Roman"/>
          <w:sz w:val="24"/>
          <w:szCs w:val="24"/>
        </w:rPr>
        <w:t>the p</w:t>
      </w:r>
      <w:r w:rsidRPr="002E75B6">
        <w:rPr>
          <w:rFonts w:ascii="Times New Roman" w:hAnsi="Times New Roman" w:cs="Times New Roman"/>
          <w:sz w:val="24"/>
          <w:szCs w:val="24"/>
        </w:rPr>
        <w:t xml:space="preserve">laintiff unemployable and following the injuries, he suffers a </w:t>
      </w:r>
      <w:r w:rsidR="003475CD">
        <w:rPr>
          <w:rFonts w:ascii="Times New Roman" w:hAnsi="Times New Roman" w:cs="Times New Roman"/>
          <w:sz w:val="24"/>
          <w:szCs w:val="24"/>
        </w:rPr>
        <w:t>complete</w:t>
      </w:r>
      <w:r w:rsidRPr="002E75B6">
        <w:rPr>
          <w:rFonts w:ascii="Times New Roman" w:hAnsi="Times New Roman" w:cs="Times New Roman"/>
          <w:sz w:val="24"/>
          <w:szCs w:val="24"/>
        </w:rPr>
        <w:t xml:space="preserve"> loss of earnings. </w:t>
      </w:r>
    </w:p>
    <w:p w14:paraId="5702EC2D" w14:textId="77777777" w:rsidR="002E75B6" w:rsidRPr="002E75B6" w:rsidRDefault="002E75B6" w:rsidP="00F4682C">
      <w:pPr>
        <w:pStyle w:val="ListParagraph"/>
        <w:spacing w:line="360" w:lineRule="auto"/>
        <w:rPr>
          <w:rFonts w:ascii="Times New Roman" w:hAnsi="Times New Roman" w:cs="Times New Roman"/>
          <w:sz w:val="24"/>
          <w:szCs w:val="24"/>
        </w:rPr>
      </w:pPr>
    </w:p>
    <w:p w14:paraId="0A258E0B" w14:textId="5A7A4541" w:rsidR="00BA4B5C" w:rsidRDefault="00EA3D6E" w:rsidP="00BA4B5C">
      <w:pPr>
        <w:pStyle w:val="ListParagraph"/>
        <w:numPr>
          <w:ilvl w:val="0"/>
          <w:numId w:val="5"/>
        </w:numPr>
        <w:spacing w:after="0" w:line="360" w:lineRule="auto"/>
        <w:ind w:left="1440" w:hanging="720"/>
        <w:jc w:val="both"/>
        <w:rPr>
          <w:rFonts w:ascii="Times New Roman" w:hAnsi="Times New Roman" w:cs="Times New Roman"/>
          <w:sz w:val="24"/>
          <w:szCs w:val="24"/>
        </w:rPr>
      </w:pPr>
      <w:r w:rsidRPr="002E75B6">
        <w:rPr>
          <w:rFonts w:ascii="Times New Roman" w:hAnsi="Times New Roman" w:cs="Times New Roman"/>
          <w:sz w:val="24"/>
          <w:szCs w:val="24"/>
        </w:rPr>
        <w:t>The defendant admitted liability and is liable to pay 100% of the plaintiff</w:t>
      </w:r>
      <w:r w:rsidR="003475CD">
        <w:rPr>
          <w:rFonts w:ascii="Times New Roman" w:hAnsi="Times New Roman" w:cs="Times New Roman"/>
          <w:sz w:val="24"/>
          <w:szCs w:val="24"/>
        </w:rPr>
        <w:t>’s</w:t>
      </w:r>
      <w:r w:rsidRPr="002E75B6">
        <w:rPr>
          <w:rFonts w:ascii="Times New Roman" w:hAnsi="Times New Roman" w:cs="Times New Roman"/>
          <w:sz w:val="24"/>
          <w:szCs w:val="24"/>
        </w:rPr>
        <w:t xml:space="preserve"> proven or agreed damages</w:t>
      </w:r>
      <w:r w:rsidR="00BA4B5C">
        <w:rPr>
          <w:rFonts w:ascii="Times New Roman" w:hAnsi="Times New Roman" w:cs="Times New Roman"/>
          <w:sz w:val="24"/>
          <w:szCs w:val="24"/>
        </w:rPr>
        <w:t xml:space="preserve"> on the merits</w:t>
      </w:r>
      <w:r w:rsidRPr="002E75B6">
        <w:rPr>
          <w:rFonts w:ascii="Times New Roman" w:hAnsi="Times New Roman" w:cs="Times New Roman"/>
          <w:sz w:val="24"/>
          <w:szCs w:val="24"/>
        </w:rPr>
        <w:t>.</w:t>
      </w:r>
      <w:r w:rsidR="00BA4B5C">
        <w:rPr>
          <w:rFonts w:ascii="Times New Roman" w:hAnsi="Times New Roman" w:cs="Times New Roman"/>
          <w:sz w:val="24"/>
          <w:szCs w:val="24"/>
        </w:rPr>
        <w:t xml:space="preserve"> </w:t>
      </w:r>
      <w:r w:rsidR="00BA4B5C" w:rsidRPr="00BA4B5C">
        <w:rPr>
          <w:rFonts w:ascii="Times New Roman" w:hAnsi="Times New Roman" w:cs="Times New Roman"/>
          <w:sz w:val="24"/>
          <w:szCs w:val="24"/>
        </w:rPr>
        <w:t>Merits w</w:t>
      </w:r>
      <w:r w:rsidR="00BA4B5C">
        <w:rPr>
          <w:rFonts w:ascii="Times New Roman" w:hAnsi="Times New Roman" w:cs="Times New Roman"/>
          <w:sz w:val="24"/>
          <w:szCs w:val="24"/>
        </w:rPr>
        <w:t>ere</w:t>
      </w:r>
      <w:r w:rsidR="00BA4B5C" w:rsidRPr="00BA4B5C">
        <w:rPr>
          <w:rFonts w:ascii="Times New Roman" w:hAnsi="Times New Roman" w:cs="Times New Roman"/>
          <w:sz w:val="24"/>
          <w:szCs w:val="24"/>
        </w:rPr>
        <w:t xml:space="preserve"> conceded in favour of </w:t>
      </w:r>
      <w:r w:rsidR="00713144">
        <w:rPr>
          <w:rFonts w:ascii="Times New Roman" w:hAnsi="Times New Roman" w:cs="Times New Roman"/>
          <w:sz w:val="24"/>
          <w:szCs w:val="24"/>
        </w:rPr>
        <w:t xml:space="preserve">the </w:t>
      </w:r>
      <w:r w:rsidR="0015275A">
        <w:rPr>
          <w:rFonts w:ascii="Times New Roman" w:hAnsi="Times New Roman" w:cs="Times New Roman"/>
          <w:sz w:val="24"/>
          <w:szCs w:val="24"/>
        </w:rPr>
        <w:t>p</w:t>
      </w:r>
      <w:r w:rsidR="00BA4B5C" w:rsidRPr="00BA4B5C">
        <w:rPr>
          <w:rFonts w:ascii="Times New Roman" w:hAnsi="Times New Roman" w:cs="Times New Roman"/>
          <w:sz w:val="24"/>
          <w:szCs w:val="24"/>
        </w:rPr>
        <w:t xml:space="preserve">laintiff during 2017.  </w:t>
      </w:r>
    </w:p>
    <w:p w14:paraId="5DC6E8CD" w14:textId="77777777" w:rsidR="00BA4B5C" w:rsidRPr="00BA4B5C" w:rsidRDefault="00BA4B5C" w:rsidP="003475CD">
      <w:pPr>
        <w:pStyle w:val="ListParagraph"/>
        <w:spacing w:after="0" w:line="360" w:lineRule="auto"/>
        <w:jc w:val="both"/>
        <w:rPr>
          <w:rFonts w:ascii="Times New Roman" w:hAnsi="Times New Roman" w:cs="Times New Roman"/>
          <w:sz w:val="24"/>
          <w:szCs w:val="24"/>
        </w:rPr>
      </w:pPr>
    </w:p>
    <w:p w14:paraId="4DE3C593" w14:textId="014E7934" w:rsidR="00EA3D6E" w:rsidRDefault="00BA4B5C" w:rsidP="00421D92">
      <w:pPr>
        <w:pStyle w:val="ListParagraph"/>
        <w:numPr>
          <w:ilvl w:val="0"/>
          <w:numId w:val="5"/>
        </w:numPr>
        <w:spacing w:after="0" w:line="360" w:lineRule="auto"/>
        <w:ind w:left="1440" w:hanging="720"/>
        <w:jc w:val="both"/>
        <w:rPr>
          <w:rFonts w:ascii="Times New Roman" w:hAnsi="Times New Roman" w:cs="Times New Roman"/>
          <w:sz w:val="24"/>
          <w:szCs w:val="24"/>
        </w:rPr>
      </w:pPr>
      <w:r w:rsidRPr="008E77E7">
        <w:rPr>
          <w:rFonts w:ascii="Times New Roman" w:hAnsi="Times New Roman" w:cs="Times New Roman"/>
          <w:sz w:val="24"/>
          <w:szCs w:val="24"/>
        </w:rPr>
        <w:t xml:space="preserve">During March 2018, and at the time when </w:t>
      </w:r>
      <w:r w:rsidR="008F6F4F">
        <w:rPr>
          <w:rFonts w:ascii="Times New Roman" w:hAnsi="Times New Roman" w:cs="Times New Roman"/>
          <w:sz w:val="24"/>
          <w:szCs w:val="24"/>
        </w:rPr>
        <w:t xml:space="preserve">the </w:t>
      </w:r>
      <w:r w:rsidR="00D90588" w:rsidRPr="008E77E7">
        <w:rPr>
          <w:rFonts w:ascii="Times New Roman" w:hAnsi="Times New Roman" w:cs="Times New Roman"/>
          <w:sz w:val="24"/>
          <w:szCs w:val="24"/>
        </w:rPr>
        <w:t>p</w:t>
      </w:r>
      <w:r w:rsidRPr="008E77E7">
        <w:rPr>
          <w:rFonts w:ascii="Times New Roman" w:hAnsi="Times New Roman" w:cs="Times New Roman"/>
          <w:sz w:val="24"/>
          <w:szCs w:val="24"/>
        </w:rPr>
        <w:t>laintiff was still representing himself, he settled his claim for general damages in the amount of R2</w:t>
      </w:r>
      <w:r w:rsidR="003475CD">
        <w:rPr>
          <w:rFonts w:ascii="Times New Roman" w:hAnsi="Times New Roman" w:cs="Times New Roman"/>
          <w:sz w:val="24"/>
          <w:szCs w:val="24"/>
        </w:rPr>
        <w:t xml:space="preserve"> </w:t>
      </w:r>
      <w:r w:rsidRPr="008E77E7">
        <w:rPr>
          <w:rFonts w:ascii="Times New Roman" w:hAnsi="Times New Roman" w:cs="Times New Roman"/>
          <w:sz w:val="24"/>
          <w:szCs w:val="24"/>
        </w:rPr>
        <w:t>000</w:t>
      </w:r>
      <w:r w:rsidR="008F6F4F">
        <w:rPr>
          <w:rFonts w:ascii="Times New Roman" w:hAnsi="Times New Roman" w:cs="Times New Roman"/>
          <w:sz w:val="24"/>
          <w:szCs w:val="24"/>
        </w:rPr>
        <w:t xml:space="preserve"> </w:t>
      </w:r>
      <w:r w:rsidRPr="008E77E7">
        <w:rPr>
          <w:rFonts w:ascii="Times New Roman" w:hAnsi="Times New Roman" w:cs="Times New Roman"/>
          <w:sz w:val="24"/>
          <w:szCs w:val="24"/>
        </w:rPr>
        <w:t>000.00 (</w:t>
      </w:r>
      <w:r w:rsidR="0015275A" w:rsidRPr="008E77E7">
        <w:rPr>
          <w:rFonts w:ascii="Times New Roman" w:hAnsi="Times New Roman" w:cs="Times New Roman"/>
          <w:sz w:val="24"/>
          <w:szCs w:val="24"/>
        </w:rPr>
        <w:t>two million rand</w:t>
      </w:r>
      <w:r w:rsidRPr="008E77E7">
        <w:rPr>
          <w:rFonts w:ascii="Times New Roman" w:hAnsi="Times New Roman" w:cs="Times New Roman"/>
          <w:sz w:val="24"/>
          <w:szCs w:val="24"/>
        </w:rPr>
        <w:t>)</w:t>
      </w:r>
      <w:r w:rsidR="00F7678B">
        <w:rPr>
          <w:rFonts w:ascii="Times New Roman" w:hAnsi="Times New Roman" w:cs="Times New Roman"/>
          <w:sz w:val="24"/>
          <w:szCs w:val="24"/>
        </w:rPr>
        <w:t>. He</w:t>
      </w:r>
      <w:r w:rsidRPr="008E77E7">
        <w:rPr>
          <w:rFonts w:ascii="Times New Roman" w:hAnsi="Times New Roman" w:cs="Times New Roman"/>
          <w:sz w:val="24"/>
          <w:szCs w:val="24"/>
        </w:rPr>
        <w:t xml:space="preserve"> also accepted an (unlimited) undertaking, as envisaged in </w:t>
      </w:r>
      <w:r w:rsidR="003475CD">
        <w:rPr>
          <w:rFonts w:ascii="Times New Roman" w:hAnsi="Times New Roman" w:cs="Times New Roman"/>
          <w:sz w:val="24"/>
          <w:szCs w:val="24"/>
        </w:rPr>
        <w:t>s</w:t>
      </w:r>
      <w:r w:rsidRPr="008E77E7">
        <w:rPr>
          <w:rFonts w:ascii="Times New Roman" w:hAnsi="Times New Roman" w:cs="Times New Roman"/>
          <w:sz w:val="24"/>
          <w:szCs w:val="24"/>
        </w:rPr>
        <w:t>ection 17(4)(a) of Act 56 of 1996, for future medical expenses.</w:t>
      </w:r>
      <w:r w:rsidR="008E77E7" w:rsidRPr="008E77E7">
        <w:rPr>
          <w:rFonts w:ascii="Times New Roman" w:hAnsi="Times New Roman" w:cs="Times New Roman"/>
          <w:sz w:val="24"/>
          <w:szCs w:val="24"/>
        </w:rPr>
        <w:t xml:space="preserve"> </w:t>
      </w:r>
      <w:r w:rsidRPr="008E77E7">
        <w:rPr>
          <w:rFonts w:ascii="Times New Roman" w:hAnsi="Times New Roman" w:cs="Times New Roman"/>
          <w:sz w:val="24"/>
          <w:szCs w:val="24"/>
        </w:rPr>
        <w:t xml:space="preserve">Since 2018 a number of payments have been made, </w:t>
      </w:r>
      <w:r w:rsidRPr="008E77E7">
        <w:rPr>
          <w:rFonts w:ascii="Times New Roman" w:hAnsi="Times New Roman" w:cs="Times New Roman"/>
          <w:i/>
          <w:iCs/>
          <w:sz w:val="24"/>
          <w:szCs w:val="24"/>
        </w:rPr>
        <w:t>inter alia</w:t>
      </w:r>
      <w:r w:rsidR="00F7678B">
        <w:rPr>
          <w:rFonts w:ascii="Times New Roman" w:hAnsi="Times New Roman" w:cs="Times New Roman"/>
          <w:i/>
          <w:iCs/>
          <w:sz w:val="24"/>
          <w:szCs w:val="24"/>
        </w:rPr>
        <w:t>,</w:t>
      </w:r>
      <w:r w:rsidRPr="008E77E7">
        <w:rPr>
          <w:rFonts w:ascii="Times New Roman" w:hAnsi="Times New Roman" w:cs="Times New Roman"/>
          <w:sz w:val="24"/>
          <w:szCs w:val="24"/>
        </w:rPr>
        <w:t xml:space="preserve"> monthly payments towards the expenses relating to </w:t>
      </w:r>
      <w:r w:rsidR="00F7678B">
        <w:rPr>
          <w:rFonts w:ascii="Times New Roman" w:hAnsi="Times New Roman" w:cs="Times New Roman"/>
          <w:sz w:val="24"/>
          <w:szCs w:val="24"/>
        </w:rPr>
        <w:t xml:space="preserve">the </w:t>
      </w:r>
      <w:r w:rsidR="00A30B01">
        <w:rPr>
          <w:rFonts w:ascii="Times New Roman" w:hAnsi="Times New Roman" w:cs="Times New Roman"/>
          <w:sz w:val="24"/>
          <w:szCs w:val="24"/>
        </w:rPr>
        <w:t>p</w:t>
      </w:r>
      <w:r w:rsidRPr="008E77E7">
        <w:rPr>
          <w:rFonts w:ascii="Times New Roman" w:hAnsi="Times New Roman" w:cs="Times New Roman"/>
          <w:sz w:val="24"/>
          <w:szCs w:val="24"/>
        </w:rPr>
        <w:t>laintiff’s caregiver.</w:t>
      </w:r>
    </w:p>
    <w:p w14:paraId="3ECADDF3" w14:textId="77777777" w:rsidR="008E77E7" w:rsidRPr="008E77E7" w:rsidRDefault="008E77E7" w:rsidP="008E77E7">
      <w:pPr>
        <w:spacing w:after="0" w:line="360" w:lineRule="auto"/>
        <w:jc w:val="both"/>
        <w:rPr>
          <w:rFonts w:ascii="Times New Roman" w:hAnsi="Times New Roman" w:cs="Times New Roman"/>
          <w:sz w:val="24"/>
          <w:szCs w:val="24"/>
        </w:rPr>
      </w:pPr>
    </w:p>
    <w:p w14:paraId="361F82A7" w14:textId="3873A63F" w:rsidR="00EA3D6E" w:rsidRPr="002E75B6" w:rsidRDefault="00EA3D6E" w:rsidP="00EA3D6E">
      <w:pPr>
        <w:pStyle w:val="ListParagraph"/>
        <w:numPr>
          <w:ilvl w:val="0"/>
          <w:numId w:val="5"/>
        </w:numPr>
        <w:spacing w:after="0" w:line="360" w:lineRule="auto"/>
        <w:ind w:left="1440" w:hanging="720"/>
        <w:jc w:val="both"/>
        <w:rPr>
          <w:rFonts w:ascii="Times New Roman" w:hAnsi="Times New Roman" w:cs="Times New Roman"/>
          <w:sz w:val="24"/>
          <w:szCs w:val="24"/>
        </w:rPr>
      </w:pPr>
      <w:r w:rsidRPr="002E75B6">
        <w:rPr>
          <w:rFonts w:ascii="Times New Roman" w:hAnsi="Times New Roman" w:cs="Times New Roman"/>
          <w:sz w:val="24"/>
          <w:szCs w:val="24"/>
        </w:rPr>
        <w:t xml:space="preserve">The only </w:t>
      </w:r>
      <w:r w:rsidR="007F1A24">
        <w:rPr>
          <w:rFonts w:ascii="Times New Roman" w:hAnsi="Times New Roman" w:cs="Times New Roman"/>
          <w:sz w:val="24"/>
          <w:szCs w:val="24"/>
        </w:rPr>
        <w:t>dispute is</w:t>
      </w:r>
      <w:r w:rsidRPr="002E75B6">
        <w:rPr>
          <w:rFonts w:ascii="Times New Roman" w:hAnsi="Times New Roman" w:cs="Times New Roman"/>
          <w:sz w:val="24"/>
          <w:szCs w:val="24"/>
        </w:rPr>
        <w:t xml:space="preserve"> the amount to be awarded for the plaintiff’s loss of income</w:t>
      </w:r>
      <w:r w:rsidR="00323636">
        <w:rPr>
          <w:rFonts w:ascii="Times New Roman" w:hAnsi="Times New Roman" w:cs="Times New Roman"/>
          <w:sz w:val="24"/>
          <w:szCs w:val="24"/>
        </w:rPr>
        <w:t>.</w:t>
      </w:r>
      <w:r w:rsidRPr="002E75B6">
        <w:rPr>
          <w:rFonts w:ascii="Times New Roman" w:hAnsi="Times New Roman" w:cs="Times New Roman"/>
          <w:sz w:val="24"/>
          <w:szCs w:val="24"/>
        </w:rPr>
        <w:t xml:space="preserve"> </w:t>
      </w:r>
      <w:r w:rsidR="00323636">
        <w:rPr>
          <w:rFonts w:ascii="Times New Roman" w:hAnsi="Times New Roman" w:cs="Times New Roman"/>
          <w:sz w:val="24"/>
          <w:szCs w:val="24"/>
        </w:rPr>
        <w:t>T</w:t>
      </w:r>
      <w:r w:rsidRPr="002E75B6">
        <w:rPr>
          <w:rFonts w:ascii="Times New Roman" w:hAnsi="Times New Roman" w:cs="Times New Roman"/>
          <w:sz w:val="24"/>
          <w:szCs w:val="24"/>
        </w:rPr>
        <w:t>he plaintiff and the defendant ha</w:t>
      </w:r>
      <w:r w:rsidR="00323636">
        <w:rPr>
          <w:rFonts w:ascii="Times New Roman" w:hAnsi="Times New Roman" w:cs="Times New Roman"/>
          <w:sz w:val="24"/>
          <w:szCs w:val="24"/>
        </w:rPr>
        <w:t>ve</w:t>
      </w:r>
      <w:r w:rsidRPr="002E75B6">
        <w:rPr>
          <w:rFonts w:ascii="Times New Roman" w:hAnsi="Times New Roman" w:cs="Times New Roman"/>
          <w:sz w:val="24"/>
          <w:szCs w:val="24"/>
        </w:rPr>
        <w:t xml:space="preserve"> agreed that the defendant accepts the </w:t>
      </w:r>
      <w:r w:rsidR="008E77E7">
        <w:rPr>
          <w:rFonts w:ascii="Times New Roman" w:hAnsi="Times New Roman" w:cs="Times New Roman"/>
          <w:sz w:val="24"/>
          <w:szCs w:val="24"/>
        </w:rPr>
        <w:t>conten</w:t>
      </w:r>
      <w:r w:rsidR="00FE468B">
        <w:rPr>
          <w:rFonts w:ascii="Times New Roman" w:hAnsi="Times New Roman" w:cs="Times New Roman"/>
          <w:sz w:val="24"/>
          <w:szCs w:val="24"/>
        </w:rPr>
        <w:t>ts</w:t>
      </w:r>
      <w:r w:rsidR="008E77E7">
        <w:rPr>
          <w:rFonts w:ascii="Times New Roman" w:hAnsi="Times New Roman" w:cs="Times New Roman"/>
          <w:sz w:val="24"/>
          <w:szCs w:val="24"/>
        </w:rPr>
        <w:t xml:space="preserve"> of the </w:t>
      </w:r>
      <w:r w:rsidRPr="002E75B6">
        <w:rPr>
          <w:rFonts w:ascii="Times New Roman" w:hAnsi="Times New Roman" w:cs="Times New Roman"/>
          <w:sz w:val="24"/>
          <w:szCs w:val="24"/>
        </w:rPr>
        <w:t>exp</w:t>
      </w:r>
      <w:r w:rsidR="007F1A24">
        <w:rPr>
          <w:rFonts w:ascii="Times New Roman" w:hAnsi="Times New Roman" w:cs="Times New Roman"/>
          <w:sz w:val="24"/>
          <w:szCs w:val="24"/>
        </w:rPr>
        <w:t>e</w:t>
      </w:r>
      <w:r w:rsidRPr="002E75B6">
        <w:rPr>
          <w:rFonts w:ascii="Times New Roman" w:hAnsi="Times New Roman" w:cs="Times New Roman"/>
          <w:sz w:val="24"/>
          <w:szCs w:val="24"/>
        </w:rPr>
        <w:t>rt reports of the plaintiff</w:t>
      </w:r>
      <w:r w:rsidR="003475CD">
        <w:rPr>
          <w:rFonts w:ascii="Times New Roman" w:hAnsi="Times New Roman" w:cs="Times New Roman"/>
          <w:sz w:val="24"/>
          <w:szCs w:val="24"/>
        </w:rPr>
        <w:t>;</w:t>
      </w:r>
      <w:r w:rsidRPr="002E75B6">
        <w:rPr>
          <w:rFonts w:ascii="Times New Roman" w:hAnsi="Times New Roman" w:cs="Times New Roman"/>
          <w:sz w:val="24"/>
          <w:szCs w:val="24"/>
        </w:rPr>
        <w:t xml:space="preserve"> </w:t>
      </w:r>
      <w:r w:rsidR="008E77E7">
        <w:rPr>
          <w:rFonts w:ascii="Times New Roman" w:hAnsi="Times New Roman" w:cs="Times New Roman"/>
          <w:sz w:val="24"/>
          <w:szCs w:val="24"/>
        </w:rPr>
        <w:t>it stands undisputed</w:t>
      </w:r>
      <w:r w:rsidRPr="002E75B6">
        <w:rPr>
          <w:rFonts w:ascii="Times New Roman" w:hAnsi="Times New Roman" w:cs="Times New Roman"/>
          <w:sz w:val="24"/>
          <w:szCs w:val="24"/>
        </w:rPr>
        <w:t xml:space="preserve">. </w:t>
      </w:r>
    </w:p>
    <w:p w14:paraId="71E409DF" w14:textId="77777777" w:rsidR="00EA3D6E" w:rsidRPr="002E75B6" w:rsidRDefault="00EA3D6E" w:rsidP="008E77E7">
      <w:pPr>
        <w:spacing w:after="0" w:line="360" w:lineRule="auto"/>
        <w:ind w:left="1440" w:hanging="720"/>
        <w:jc w:val="both"/>
        <w:rPr>
          <w:rFonts w:ascii="Times New Roman" w:hAnsi="Times New Roman" w:cs="Times New Roman"/>
          <w:sz w:val="24"/>
          <w:szCs w:val="24"/>
        </w:rPr>
      </w:pPr>
    </w:p>
    <w:p w14:paraId="22B02456" w14:textId="67D2316E" w:rsidR="00425259" w:rsidRPr="003E4F69" w:rsidRDefault="00EA3D6E" w:rsidP="00425259">
      <w:pPr>
        <w:pStyle w:val="ListParagraph"/>
        <w:numPr>
          <w:ilvl w:val="0"/>
          <w:numId w:val="5"/>
        </w:numPr>
        <w:spacing w:after="0" w:line="360" w:lineRule="auto"/>
        <w:ind w:left="1440" w:hanging="720"/>
        <w:jc w:val="both"/>
        <w:rPr>
          <w:rFonts w:ascii="Times New Roman" w:hAnsi="Times New Roman" w:cs="Times New Roman"/>
          <w:sz w:val="24"/>
          <w:szCs w:val="24"/>
        </w:rPr>
      </w:pPr>
      <w:r w:rsidRPr="003E4F69">
        <w:rPr>
          <w:rFonts w:ascii="Times New Roman" w:hAnsi="Times New Roman" w:cs="Times New Roman"/>
          <w:sz w:val="24"/>
          <w:szCs w:val="24"/>
        </w:rPr>
        <w:t>The parties further agreed that the actuarial report compiled by Wim Loots and dated 17 October 2022</w:t>
      </w:r>
      <w:r w:rsidR="00F4264E">
        <w:rPr>
          <w:rFonts w:ascii="Times New Roman" w:hAnsi="Times New Roman" w:cs="Times New Roman"/>
          <w:sz w:val="24"/>
          <w:szCs w:val="24"/>
        </w:rPr>
        <w:t>,</w:t>
      </w:r>
      <w:r w:rsidRPr="003E4F69">
        <w:rPr>
          <w:rFonts w:ascii="Times New Roman" w:hAnsi="Times New Roman" w:cs="Times New Roman"/>
          <w:sz w:val="24"/>
          <w:szCs w:val="24"/>
        </w:rPr>
        <w:t xml:space="preserve"> forms the basis of the calculation</w:t>
      </w:r>
      <w:r w:rsidR="00B85DC7">
        <w:rPr>
          <w:rFonts w:ascii="Times New Roman" w:hAnsi="Times New Roman" w:cs="Times New Roman"/>
          <w:sz w:val="24"/>
          <w:szCs w:val="24"/>
        </w:rPr>
        <w:t>s</w:t>
      </w:r>
      <w:r w:rsidRPr="003E4F69">
        <w:rPr>
          <w:rFonts w:ascii="Times New Roman" w:hAnsi="Times New Roman" w:cs="Times New Roman"/>
          <w:sz w:val="24"/>
          <w:szCs w:val="24"/>
        </w:rPr>
        <w:t xml:space="preserve"> for determination of the loss of earnings</w:t>
      </w:r>
      <w:r w:rsidR="008E77E7" w:rsidRPr="003E4F69">
        <w:rPr>
          <w:rFonts w:ascii="Times New Roman" w:hAnsi="Times New Roman" w:cs="Times New Roman"/>
          <w:sz w:val="24"/>
          <w:szCs w:val="24"/>
        </w:rPr>
        <w:t>.</w:t>
      </w:r>
      <w:r w:rsidRPr="003E4F69">
        <w:rPr>
          <w:rFonts w:ascii="Times New Roman" w:hAnsi="Times New Roman" w:cs="Times New Roman"/>
          <w:sz w:val="24"/>
          <w:szCs w:val="24"/>
        </w:rPr>
        <w:t xml:space="preserve"> </w:t>
      </w:r>
      <w:r w:rsidR="008E77E7" w:rsidRPr="003E4F69">
        <w:rPr>
          <w:rFonts w:ascii="Times New Roman" w:hAnsi="Times New Roman" w:cs="Times New Roman"/>
          <w:sz w:val="24"/>
          <w:szCs w:val="24"/>
        </w:rPr>
        <w:t>T</w:t>
      </w:r>
      <w:r w:rsidRPr="003E4F69">
        <w:rPr>
          <w:rFonts w:ascii="Times New Roman" w:hAnsi="Times New Roman" w:cs="Times New Roman"/>
          <w:sz w:val="24"/>
          <w:szCs w:val="24"/>
        </w:rPr>
        <w:t>hus</w:t>
      </w:r>
      <w:r w:rsidR="008E77E7" w:rsidRPr="003E4F69">
        <w:rPr>
          <w:rFonts w:ascii="Times New Roman" w:hAnsi="Times New Roman" w:cs="Times New Roman"/>
          <w:sz w:val="24"/>
          <w:szCs w:val="24"/>
        </w:rPr>
        <w:t>,</w:t>
      </w:r>
      <w:r w:rsidRPr="003E4F69">
        <w:rPr>
          <w:rFonts w:ascii="Times New Roman" w:hAnsi="Times New Roman" w:cs="Times New Roman"/>
          <w:sz w:val="24"/>
          <w:szCs w:val="24"/>
        </w:rPr>
        <w:t xml:space="preserve"> the only aspect in dispute between the parties relates to the contingency applied by the plaintiff’s </w:t>
      </w:r>
      <w:r w:rsidR="00E075E6">
        <w:rPr>
          <w:rFonts w:ascii="Times New Roman" w:hAnsi="Times New Roman" w:cs="Times New Roman"/>
          <w:sz w:val="24"/>
          <w:szCs w:val="24"/>
        </w:rPr>
        <w:t>A</w:t>
      </w:r>
      <w:r w:rsidRPr="003E4F69">
        <w:rPr>
          <w:rFonts w:ascii="Times New Roman" w:hAnsi="Times New Roman" w:cs="Times New Roman"/>
          <w:sz w:val="24"/>
          <w:szCs w:val="24"/>
        </w:rPr>
        <w:t>ctuary in respect of the pre-morbid future loss of income calculation.</w:t>
      </w:r>
    </w:p>
    <w:p w14:paraId="5A6ECB9C" w14:textId="77777777" w:rsidR="00425259" w:rsidRPr="00425259" w:rsidRDefault="00425259" w:rsidP="003475CD">
      <w:pPr>
        <w:pStyle w:val="ListParagraph"/>
        <w:spacing w:line="360" w:lineRule="auto"/>
        <w:rPr>
          <w:rFonts w:ascii="Times New Roman" w:hAnsi="Times New Roman" w:cs="Times New Roman"/>
          <w:sz w:val="24"/>
          <w:szCs w:val="24"/>
        </w:rPr>
      </w:pPr>
    </w:p>
    <w:p w14:paraId="0808FE99" w14:textId="59E9EE60" w:rsidR="00425259" w:rsidRPr="00F4264E" w:rsidRDefault="00EA3D6E" w:rsidP="00F4264E">
      <w:pPr>
        <w:pStyle w:val="ListParagraph"/>
        <w:numPr>
          <w:ilvl w:val="0"/>
          <w:numId w:val="5"/>
        </w:numPr>
        <w:spacing w:after="0" w:line="360" w:lineRule="auto"/>
        <w:ind w:left="1440" w:hanging="720"/>
        <w:jc w:val="both"/>
        <w:rPr>
          <w:rFonts w:ascii="Times New Roman" w:hAnsi="Times New Roman" w:cs="Times New Roman"/>
          <w:sz w:val="24"/>
          <w:szCs w:val="24"/>
        </w:rPr>
      </w:pPr>
      <w:r w:rsidRPr="00425259">
        <w:rPr>
          <w:rFonts w:ascii="Times New Roman" w:hAnsi="Times New Roman" w:cs="Times New Roman"/>
          <w:sz w:val="24"/>
          <w:szCs w:val="24"/>
        </w:rPr>
        <w:lastRenderedPageBreak/>
        <w:t xml:space="preserve">The parties agreed to the amounts as set out under paragraph 12 of the </w:t>
      </w:r>
      <w:r w:rsidR="00F4264E">
        <w:rPr>
          <w:rFonts w:ascii="Times New Roman" w:hAnsi="Times New Roman" w:cs="Times New Roman"/>
          <w:sz w:val="24"/>
          <w:szCs w:val="24"/>
        </w:rPr>
        <w:t>a</w:t>
      </w:r>
      <w:r w:rsidRPr="00425259">
        <w:rPr>
          <w:rFonts w:ascii="Times New Roman" w:hAnsi="Times New Roman" w:cs="Times New Roman"/>
          <w:sz w:val="24"/>
          <w:szCs w:val="24"/>
        </w:rPr>
        <w:t>ctuarial report dated 17 October 2022</w:t>
      </w:r>
      <w:r w:rsidR="00DA4C41">
        <w:rPr>
          <w:rFonts w:ascii="Times New Roman" w:hAnsi="Times New Roman" w:cs="Times New Roman"/>
          <w:sz w:val="24"/>
          <w:szCs w:val="24"/>
        </w:rPr>
        <w:t>;</w:t>
      </w:r>
      <w:r w:rsidRPr="00425259">
        <w:rPr>
          <w:rFonts w:ascii="Times New Roman" w:hAnsi="Times New Roman" w:cs="Times New Roman"/>
          <w:sz w:val="24"/>
          <w:szCs w:val="24"/>
        </w:rPr>
        <w:t xml:space="preserve"> being that the total past loss amounting to </w:t>
      </w:r>
      <w:r w:rsidRPr="00F4264E">
        <w:rPr>
          <w:rFonts w:ascii="Times New Roman" w:hAnsi="Times New Roman" w:cs="Times New Roman"/>
          <w:sz w:val="24"/>
          <w:szCs w:val="24"/>
        </w:rPr>
        <w:t>R338 189.00 (where 5% contingency has been applied) and which calculation has been accepted by both parties and agreed upon</w:t>
      </w:r>
      <w:r w:rsidR="00DA4C41">
        <w:rPr>
          <w:rFonts w:ascii="Times New Roman" w:hAnsi="Times New Roman" w:cs="Times New Roman"/>
          <w:sz w:val="24"/>
          <w:szCs w:val="24"/>
        </w:rPr>
        <w:t>.</w:t>
      </w:r>
      <w:r w:rsidRPr="00F4264E">
        <w:rPr>
          <w:rFonts w:ascii="Times New Roman" w:hAnsi="Times New Roman" w:cs="Times New Roman"/>
          <w:sz w:val="24"/>
          <w:szCs w:val="24"/>
        </w:rPr>
        <w:t xml:space="preserve"> </w:t>
      </w:r>
      <w:r w:rsidR="00DA4C41">
        <w:rPr>
          <w:rFonts w:ascii="Times New Roman" w:hAnsi="Times New Roman" w:cs="Times New Roman"/>
          <w:sz w:val="24"/>
          <w:szCs w:val="24"/>
        </w:rPr>
        <w:t>T</w:t>
      </w:r>
      <w:r w:rsidRPr="00F4264E">
        <w:rPr>
          <w:rFonts w:ascii="Times New Roman" w:hAnsi="Times New Roman" w:cs="Times New Roman"/>
          <w:sz w:val="24"/>
          <w:szCs w:val="24"/>
        </w:rPr>
        <w:t>he disability grant to be deducted in the amount of R116 960.00</w:t>
      </w:r>
      <w:r w:rsidR="00DA4C41">
        <w:rPr>
          <w:rFonts w:ascii="Times New Roman" w:hAnsi="Times New Roman" w:cs="Times New Roman"/>
          <w:sz w:val="24"/>
          <w:szCs w:val="24"/>
        </w:rPr>
        <w:t xml:space="preserve"> is also agreed to</w:t>
      </w:r>
      <w:r w:rsidRPr="00F4264E">
        <w:rPr>
          <w:rFonts w:ascii="Times New Roman" w:hAnsi="Times New Roman" w:cs="Times New Roman"/>
          <w:sz w:val="24"/>
          <w:szCs w:val="24"/>
        </w:rPr>
        <w:t xml:space="preserve">. </w:t>
      </w:r>
    </w:p>
    <w:p w14:paraId="5C1BDA9E" w14:textId="77777777" w:rsidR="00425259" w:rsidRPr="00425259" w:rsidRDefault="00425259" w:rsidP="00F4682C">
      <w:pPr>
        <w:pStyle w:val="ListParagraph"/>
        <w:spacing w:line="360" w:lineRule="auto"/>
        <w:rPr>
          <w:rFonts w:ascii="Times New Roman" w:hAnsi="Times New Roman" w:cs="Times New Roman"/>
          <w:sz w:val="24"/>
          <w:szCs w:val="24"/>
        </w:rPr>
      </w:pPr>
    </w:p>
    <w:p w14:paraId="0EADF221" w14:textId="7E6AC6CB" w:rsidR="00EA3D6E" w:rsidRPr="00425259" w:rsidRDefault="00EA3D6E" w:rsidP="00425259">
      <w:pPr>
        <w:pStyle w:val="ListParagraph"/>
        <w:numPr>
          <w:ilvl w:val="0"/>
          <w:numId w:val="5"/>
        </w:numPr>
        <w:spacing w:after="0" w:line="360" w:lineRule="auto"/>
        <w:ind w:left="1440" w:hanging="720"/>
        <w:jc w:val="both"/>
        <w:rPr>
          <w:rFonts w:ascii="Times New Roman" w:hAnsi="Times New Roman" w:cs="Times New Roman"/>
          <w:sz w:val="24"/>
          <w:szCs w:val="24"/>
        </w:rPr>
      </w:pPr>
      <w:r w:rsidRPr="00425259">
        <w:rPr>
          <w:rFonts w:ascii="Times New Roman" w:hAnsi="Times New Roman" w:cs="Times New Roman"/>
          <w:sz w:val="24"/>
          <w:szCs w:val="24"/>
        </w:rPr>
        <w:t>The parties further agree</w:t>
      </w:r>
      <w:r w:rsidR="003475CD">
        <w:rPr>
          <w:rFonts w:ascii="Times New Roman" w:hAnsi="Times New Roman" w:cs="Times New Roman"/>
          <w:sz w:val="24"/>
          <w:szCs w:val="24"/>
        </w:rPr>
        <w:t>d</w:t>
      </w:r>
      <w:r w:rsidRPr="00425259">
        <w:rPr>
          <w:rFonts w:ascii="Times New Roman" w:hAnsi="Times New Roman" w:cs="Times New Roman"/>
          <w:sz w:val="24"/>
          <w:szCs w:val="24"/>
        </w:rPr>
        <w:t xml:space="preserve"> that the amount to be used for the future loss calculation is R3 001 364.00 being the amount from which the deduction is to be made once the court determined the contingency to be applied.</w:t>
      </w:r>
    </w:p>
    <w:p w14:paraId="422E9CA7" w14:textId="77777777" w:rsidR="00EA3D6E" w:rsidRPr="002E75B6" w:rsidRDefault="00EA3D6E" w:rsidP="00EA3D6E">
      <w:pPr>
        <w:pStyle w:val="ListParagraph"/>
        <w:spacing w:line="360" w:lineRule="auto"/>
        <w:ind w:left="1440" w:hanging="720"/>
        <w:jc w:val="both"/>
        <w:rPr>
          <w:rFonts w:ascii="Times New Roman" w:hAnsi="Times New Roman" w:cs="Times New Roman"/>
          <w:sz w:val="24"/>
          <w:szCs w:val="24"/>
        </w:rPr>
      </w:pPr>
    </w:p>
    <w:p w14:paraId="4D99F6CD" w14:textId="3506783E" w:rsidR="00D2393A" w:rsidRPr="003E4F69" w:rsidRDefault="00EA3D6E" w:rsidP="00D2393A">
      <w:pPr>
        <w:pStyle w:val="ListParagraph"/>
        <w:numPr>
          <w:ilvl w:val="0"/>
          <w:numId w:val="5"/>
        </w:numPr>
        <w:spacing w:after="0" w:line="360" w:lineRule="auto"/>
        <w:ind w:left="1440" w:hanging="720"/>
        <w:jc w:val="both"/>
        <w:rPr>
          <w:rFonts w:ascii="Times New Roman" w:hAnsi="Times New Roman" w:cs="Times New Roman"/>
          <w:sz w:val="24"/>
          <w:szCs w:val="24"/>
          <w:u w:val="single"/>
        </w:rPr>
      </w:pPr>
      <w:r w:rsidRPr="003E4F69">
        <w:rPr>
          <w:rFonts w:ascii="Times New Roman" w:hAnsi="Times New Roman" w:cs="Times New Roman"/>
          <w:sz w:val="24"/>
          <w:szCs w:val="24"/>
          <w:u w:val="single"/>
        </w:rPr>
        <w:t xml:space="preserve">This </w:t>
      </w:r>
      <w:r w:rsidR="007804D8">
        <w:rPr>
          <w:rFonts w:ascii="Times New Roman" w:hAnsi="Times New Roman" w:cs="Times New Roman"/>
          <w:sz w:val="24"/>
          <w:szCs w:val="24"/>
          <w:u w:val="single"/>
        </w:rPr>
        <w:t>c</w:t>
      </w:r>
      <w:r w:rsidRPr="003E4F69">
        <w:rPr>
          <w:rFonts w:ascii="Times New Roman" w:hAnsi="Times New Roman" w:cs="Times New Roman"/>
          <w:sz w:val="24"/>
          <w:szCs w:val="24"/>
          <w:u w:val="single"/>
        </w:rPr>
        <w:t>ourt is thus only called upon to determine the contingency to be applied to the pre-morbid future loss of income calculation in respect of the plaintiff’s claim.</w:t>
      </w:r>
    </w:p>
    <w:p w14:paraId="269DFA94" w14:textId="77777777" w:rsidR="00D2393A" w:rsidRPr="00D2393A" w:rsidRDefault="00D2393A" w:rsidP="00082293">
      <w:pPr>
        <w:pStyle w:val="ListParagraph"/>
        <w:spacing w:line="360" w:lineRule="auto"/>
        <w:rPr>
          <w:rFonts w:ascii="Times New Roman" w:hAnsi="Times New Roman" w:cs="Times New Roman"/>
          <w:sz w:val="24"/>
          <w:szCs w:val="24"/>
        </w:rPr>
      </w:pPr>
    </w:p>
    <w:p w14:paraId="757F90B6" w14:textId="38CBD468" w:rsidR="00D2393A" w:rsidRPr="0053056F" w:rsidRDefault="00D2393A" w:rsidP="00EB5952">
      <w:pPr>
        <w:pStyle w:val="ListParagraph"/>
        <w:numPr>
          <w:ilvl w:val="0"/>
          <w:numId w:val="5"/>
        </w:numPr>
        <w:spacing w:after="0" w:line="360" w:lineRule="auto"/>
        <w:ind w:left="1440" w:hanging="720"/>
        <w:jc w:val="both"/>
        <w:rPr>
          <w:rFonts w:ascii="Times New Roman" w:hAnsi="Times New Roman" w:cs="Times New Roman"/>
          <w:sz w:val="24"/>
          <w:szCs w:val="24"/>
        </w:rPr>
      </w:pPr>
      <w:r w:rsidRPr="0053056F">
        <w:rPr>
          <w:rFonts w:ascii="Times New Roman" w:hAnsi="Times New Roman" w:cs="Times New Roman"/>
          <w:sz w:val="24"/>
          <w:szCs w:val="24"/>
        </w:rPr>
        <w:t xml:space="preserve">The </w:t>
      </w:r>
      <w:r w:rsidR="008F6F4F">
        <w:rPr>
          <w:rFonts w:ascii="Times New Roman" w:hAnsi="Times New Roman" w:cs="Times New Roman"/>
          <w:sz w:val="24"/>
          <w:szCs w:val="24"/>
        </w:rPr>
        <w:t>p</w:t>
      </w:r>
      <w:r w:rsidRPr="0053056F">
        <w:rPr>
          <w:rFonts w:ascii="Times New Roman" w:hAnsi="Times New Roman" w:cs="Times New Roman"/>
          <w:sz w:val="24"/>
          <w:szCs w:val="24"/>
        </w:rPr>
        <w:t xml:space="preserve">arties agreed that the reports contained in Bundle 5 – ‘Plaintiff’s Medico-Legal Reports’ be received as </w:t>
      </w:r>
      <w:r w:rsidR="00CC6794">
        <w:rPr>
          <w:rFonts w:ascii="Times New Roman" w:hAnsi="Times New Roman" w:cs="Times New Roman"/>
          <w:sz w:val="24"/>
          <w:szCs w:val="24"/>
        </w:rPr>
        <w:t>e</w:t>
      </w:r>
      <w:r w:rsidRPr="0053056F">
        <w:rPr>
          <w:rFonts w:ascii="Times New Roman" w:hAnsi="Times New Roman" w:cs="Times New Roman"/>
          <w:sz w:val="24"/>
          <w:szCs w:val="24"/>
        </w:rPr>
        <w:t>xhibits in the proceedings:</w:t>
      </w:r>
    </w:p>
    <w:p w14:paraId="1F81C2BD" w14:textId="38AD7D6C" w:rsidR="00D2393A" w:rsidRPr="00D2393A" w:rsidRDefault="00D2393A" w:rsidP="00D2393A">
      <w:pPr>
        <w:pStyle w:val="ListParagraph"/>
        <w:numPr>
          <w:ilvl w:val="0"/>
          <w:numId w:val="6"/>
        </w:numPr>
        <w:spacing w:after="0" w:line="360" w:lineRule="auto"/>
        <w:jc w:val="both"/>
        <w:rPr>
          <w:rFonts w:ascii="Times New Roman" w:hAnsi="Times New Roman" w:cs="Times New Roman"/>
          <w:sz w:val="24"/>
          <w:szCs w:val="24"/>
        </w:rPr>
      </w:pPr>
      <w:r w:rsidRPr="00D2393A">
        <w:rPr>
          <w:rFonts w:ascii="Times New Roman" w:hAnsi="Times New Roman" w:cs="Times New Roman"/>
          <w:sz w:val="24"/>
          <w:szCs w:val="24"/>
        </w:rPr>
        <w:t>Dr Makau – General Practitioner</w:t>
      </w:r>
    </w:p>
    <w:p w14:paraId="5942F601" w14:textId="3531210E" w:rsidR="00D2393A" w:rsidRPr="00D2393A" w:rsidRDefault="00D2393A" w:rsidP="00D2393A">
      <w:pPr>
        <w:pStyle w:val="ListParagraph"/>
        <w:numPr>
          <w:ilvl w:val="0"/>
          <w:numId w:val="6"/>
        </w:numPr>
        <w:spacing w:after="0" w:line="360" w:lineRule="auto"/>
        <w:jc w:val="both"/>
        <w:rPr>
          <w:rFonts w:ascii="Times New Roman" w:hAnsi="Times New Roman" w:cs="Times New Roman"/>
          <w:sz w:val="24"/>
          <w:szCs w:val="24"/>
        </w:rPr>
      </w:pPr>
      <w:r w:rsidRPr="00D2393A">
        <w:rPr>
          <w:rFonts w:ascii="Times New Roman" w:hAnsi="Times New Roman" w:cs="Times New Roman"/>
          <w:sz w:val="24"/>
          <w:szCs w:val="24"/>
        </w:rPr>
        <w:t>Dr Scher – Orthopaedic Surgeon</w:t>
      </w:r>
    </w:p>
    <w:p w14:paraId="11D43893" w14:textId="77777777" w:rsidR="00D2393A" w:rsidRDefault="00D2393A" w:rsidP="00D2393A">
      <w:pPr>
        <w:pStyle w:val="ListParagraph"/>
        <w:numPr>
          <w:ilvl w:val="0"/>
          <w:numId w:val="6"/>
        </w:numPr>
        <w:spacing w:after="0" w:line="360" w:lineRule="auto"/>
        <w:jc w:val="both"/>
        <w:rPr>
          <w:rFonts w:ascii="Times New Roman" w:hAnsi="Times New Roman" w:cs="Times New Roman"/>
          <w:sz w:val="24"/>
          <w:szCs w:val="24"/>
        </w:rPr>
      </w:pPr>
      <w:r w:rsidRPr="00D2393A">
        <w:rPr>
          <w:rFonts w:ascii="Times New Roman" w:hAnsi="Times New Roman" w:cs="Times New Roman"/>
          <w:sz w:val="24"/>
          <w:szCs w:val="24"/>
        </w:rPr>
        <w:t>Dr T. Townsend – Neurologist</w:t>
      </w:r>
    </w:p>
    <w:p w14:paraId="2E6B9A66" w14:textId="3540CBB9" w:rsidR="00D2393A" w:rsidRPr="00D2393A" w:rsidRDefault="00D2393A" w:rsidP="00D2393A">
      <w:pPr>
        <w:pStyle w:val="ListParagraph"/>
        <w:numPr>
          <w:ilvl w:val="0"/>
          <w:numId w:val="6"/>
        </w:numPr>
        <w:spacing w:after="0" w:line="360" w:lineRule="auto"/>
        <w:jc w:val="both"/>
        <w:rPr>
          <w:rFonts w:ascii="Times New Roman" w:hAnsi="Times New Roman" w:cs="Times New Roman"/>
          <w:sz w:val="24"/>
          <w:szCs w:val="24"/>
        </w:rPr>
      </w:pPr>
      <w:r w:rsidRPr="00D2393A">
        <w:rPr>
          <w:rFonts w:ascii="Times New Roman" w:hAnsi="Times New Roman" w:cs="Times New Roman"/>
          <w:sz w:val="24"/>
          <w:szCs w:val="24"/>
        </w:rPr>
        <w:t>T. Da Costa – Clinical Psychologist</w:t>
      </w:r>
    </w:p>
    <w:p w14:paraId="66C1B37B" w14:textId="24E596E7" w:rsidR="00D2393A" w:rsidRPr="00D2393A" w:rsidRDefault="00D2393A" w:rsidP="00D2393A">
      <w:pPr>
        <w:pStyle w:val="ListParagraph"/>
        <w:numPr>
          <w:ilvl w:val="0"/>
          <w:numId w:val="6"/>
        </w:numPr>
        <w:spacing w:after="0" w:line="360" w:lineRule="auto"/>
        <w:jc w:val="both"/>
        <w:rPr>
          <w:rFonts w:ascii="Times New Roman" w:hAnsi="Times New Roman" w:cs="Times New Roman"/>
          <w:sz w:val="24"/>
          <w:szCs w:val="24"/>
        </w:rPr>
      </w:pPr>
      <w:r w:rsidRPr="00D2393A">
        <w:rPr>
          <w:rFonts w:ascii="Times New Roman" w:hAnsi="Times New Roman" w:cs="Times New Roman"/>
          <w:sz w:val="24"/>
          <w:szCs w:val="24"/>
        </w:rPr>
        <w:t>S. Fletcher – Occupational Therapist</w:t>
      </w:r>
    </w:p>
    <w:p w14:paraId="56B555FD" w14:textId="35C45721" w:rsidR="00D2393A" w:rsidRPr="00D2393A" w:rsidRDefault="00D2393A" w:rsidP="00D2393A">
      <w:pPr>
        <w:pStyle w:val="ListParagraph"/>
        <w:numPr>
          <w:ilvl w:val="0"/>
          <w:numId w:val="6"/>
        </w:numPr>
        <w:spacing w:after="0" w:line="360" w:lineRule="auto"/>
        <w:jc w:val="both"/>
        <w:rPr>
          <w:rFonts w:ascii="Times New Roman" w:hAnsi="Times New Roman" w:cs="Times New Roman"/>
          <w:sz w:val="24"/>
          <w:szCs w:val="24"/>
        </w:rPr>
      </w:pPr>
      <w:r w:rsidRPr="00D2393A">
        <w:rPr>
          <w:rFonts w:ascii="Times New Roman" w:hAnsi="Times New Roman" w:cs="Times New Roman"/>
          <w:sz w:val="24"/>
          <w:szCs w:val="24"/>
        </w:rPr>
        <w:t>L. Leibowitz – Industrial Psychologist</w:t>
      </w:r>
    </w:p>
    <w:p w14:paraId="65CC9E7D" w14:textId="41A49C7D" w:rsidR="00D2393A" w:rsidRPr="00D2393A" w:rsidRDefault="00D2393A" w:rsidP="00D2393A">
      <w:pPr>
        <w:pStyle w:val="ListParagraph"/>
        <w:numPr>
          <w:ilvl w:val="0"/>
          <w:numId w:val="6"/>
        </w:numPr>
        <w:spacing w:after="0" w:line="360" w:lineRule="auto"/>
        <w:jc w:val="both"/>
        <w:rPr>
          <w:rFonts w:ascii="Times New Roman" w:hAnsi="Times New Roman" w:cs="Times New Roman"/>
          <w:sz w:val="24"/>
          <w:szCs w:val="24"/>
        </w:rPr>
      </w:pPr>
      <w:r w:rsidRPr="00D2393A">
        <w:rPr>
          <w:rFonts w:ascii="Times New Roman" w:hAnsi="Times New Roman" w:cs="Times New Roman"/>
          <w:sz w:val="24"/>
          <w:szCs w:val="24"/>
        </w:rPr>
        <w:t>W. Loots – Actuary (updated report, dated 17 October 2022</w:t>
      </w:r>
      <w:r w:rsidR="00B10376">
        <w:rPr>
          <w:rFonts w:ascii="Times New Roman" w:hAnsi="Times New Roman" w:cs="Times New Roman"/>
          <w:sz w:val="24"/>
          <w:szCs w:val="24"/>
        </w:rPr>
        <w:t>)</w:t>
      </w:r>
    </w:p>
    <w:p w14:paraId="36A52E19" w14:textId="77777777" w:rsidR="008E77E7" w:rsidRDefault="008E77E7" w:rsidP="00F4682C">
      <w:pPr>
        <w:spacing w:after="0" w:line="360" w:lineRule="auto"/>
        <w:jc w:val="both"/>
        <w:rPr>
          <w:rFonts w:ascii="Times New Roman" w:hAnsi="Times New Roman" w:cs="Times New Roman"/>
          <w:sz w:val="24"/>
          <w:szCs w:val="24"/>
        </w:rPr>
      </w:pPr>
    </w:p>
    <w:p w14:paraId="43608C8B" w14:textId="3D281821" w:rsidR="008E77E7" w:rsidRDefault="008E77E7" w:rsidP="008E77E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667524">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In monetary value the p</w:t>
      </w:r>
      <w:r w:rsidR="00D2393A" w:rsidRPr="008E77E7">
        <w:rPr>
          <w:rFonts w:ascii="Times New Roman" w:hAnsi="Times New Roman" w:cs="Times New Roman"/>
          <w:sz w:val="24"/>
          <w:szCs w:val="24"/>
        </w:rPr>
        <w:t>laintiff alleges that he suffer</w:t>
      </w:r>
      <w:r w:rsidR="001D6920">
        <w:rPr>
          <w:rFonts w:ascii="Times New Roman" w:hAnsi="Times New Roman" w:cs="Times New Roman"/>
          <w:sz w:val="24"/>
          <w:szCs w:val="24"/>
        </w:rPr>
        <w:t>s</w:t>
      </w:r>
      <w:r w:rsidR="00407E3D">
        <w:rPr>
          <w:rFonts w:ascii="Times New Roman" w:hAnsi="Times New Roman" w:cs="Times New Roman"/>
          <w:sz w:val="24"/>
          <w:szCs w:val="24"/>
        </w:rPr>
        <w:t xml:space="preserve"> </w:t>
      </w:r>
      <w:r w:rsidR="00D2393A" w:rsidRPr="008E77E7">
        <w:rPr>
          <w:rFonts w:ascii="Times New Roman" w:hAnsi="Times New Roman" w:cs="Times New Roman"/>
          <w:sz w:val="24"/>
          <w:szCs w:val="24"/>
        </w:rPr>
        <w:t>a loss of earnings in the amount of R2</w:t>
      </w:r>
      <w:r w:rsidR="0053056F" w:rsidRPr="008E77E7">
        <w:rPr>
          <w:rFonts w:ascii="Times New Roman" w:hAnsi="Times New Roman" w:cs="Times New Roman"/>
          <w:sz w:val="24"/>
          <w:szCs w:val="24"/>
        </w:rPr>
        <w:t xml:space="preserve"> </w:t>
      </w:r>
      <w:r w:rsidRPr="008E77E7">
        <w:rPr>
          <w:rFonts w:ascii="Times New Roman" w:hAnsi="Times New Roman" w:cs="Times New Roman"/>
          <w:sz w:val="24"/>
          <w:szCs w:val="24"/>
        </w:rPr>
        <w:t>622</w:t>
      </w:r>
      <w:r w:rsidR="00251290">
        <w:rPr>
          <w:rFonts w:ascii="Times New Roman" w:hAnsi="Times New Roman" w:cs="Times New Roman"/>
          <w:sz w:val="24"/>
          <w:szCs w:val="24"/>
        </w:rPr>
        <w:t xml:space="preserve"> </w:t>
      </w:r>
      <w:r w:rsidRPr="008E77E7">
        <w:rPr>
          <w:rFonts w:ascii="Times New Roman" w:hAnsi="Times New Roman" w:cs="Times New Roman"/>
          <w:sz w:val="24"/>
          <w:szCs w:val="24"/>
        </w:rPr>
        <w:t>319.00</w:t>
      </w:r>
      <w:r w:rsidR="00D2393A" w:rsidRPr="008E77E7">
        <w:rPr>
          <w:rFonts w:ascii="Times New Roman" w:hAnsi="Times New Roman" w:cs="Times New Roman"/>
          <w:sz w:val="24"/>
          <w:szCs w:val="24"/>
        </w:rPr>
        <w:t xml:space="preserve"> </w:t>
      </w:r>
      <w:r w:rsidR="007B77C7">
        <w:rPr>
          <w:rFonts w:ascii="Times New Roman" w:hAnsi="Times New Roman" w:cs="Times New Roman"/>
          <w:sz w:val="24"/>
          <w:szCs w:val="24"/>
        </w:rPr>
        <w:t xml:space="preserve">also </w:t>
      </w:r>
      <w:r w:rsidR="00D2393A" w:rsidRPr="008E77E7">
        <w:rPr>
          <w:rFonts w:ascii="Times New Roman" w:hAnsi="Times New Roman" w:cs="Times New Roman"/>
          <w:sz w:val="24"/>
          <w:szCs w:val="24"/>
        </w:rPr>
        <w:t>having had regard to the monthly disability grant (‘state welfare benefits’) which he has been receiving since July 2017.</w:t>
      </w:r>
    </w:p>
    <w:p w14:paraId="15CD1404" w14:textId="77777777" w:rsidR="008E77E7" w:rsidRDefault="008E77E7" w:rsidP="008E77E7">
      <w:pPr>
        <w:spacing w:after="0" w:line="360" w:lineRule="auto"/>
        <w:ind w:left="720" w:hanging="720"/>
        <w:jc w:val="both"/>
        <w:rPr>
          <w:rFonts w:ascii="Times New Roman" w:hAnsi="Times New Roman" w:cs="Times New Roman"/>
          <w:sz w:val="24"/>
          <w:szCs w:val="24"/>
        </w:rPr>
      </w:pPr>
    </w:p>
    <w:p w14:paraId="7B6E02AC" w14:textId="28C2B6F9" w:rsidR="00D2393A" w:rsidRDefault="008E77E7" w:rsidP="003E4F6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667524">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 xml:space="preserve">The </w:t>
      </w:r>
      <w:r w:rsidR="00D2393A" w:rsidRPr="008E77E7">
        <w:rPr>
          <w:rFonts w:ascii="Times New Roman" w:hAnsi="Times New Roman" w:cs="Times New Roman"/>
          <w:sz w:val="24"/>
          <w:szCs w:val="24"/>
        </w:rPr>
        <w:t xml:space="preserve">calculations by </w:t>
      </w:r>
      <w:r w:rsidR="00523A39">
        <w:rPr>
          <w:rFonts w:ascii="Times New Roman" w:hAnsi="Times New Roman" w:cs="Times New Roman"/>
          <w:sz w:val="24"/>
          <w:szCs w:val="24"/>
        </w:rPr>
        <w:t xml:space="preserve">the </w:t>
      </w:r>
      <w:r w:rsidR="00B822D5">
        <w:rPr>
          <w:rFonts w:ascii="Times New Roman" w:hAnsi="Times New Roman" w:cs="Times New Roman"/>
          <w:sz w:val="24"/>
          <w:szCs w:val="24"/>
        </w:rPr>
        <w:t>p</w:t>
      </w:r>
      <w:r w:rsidR="00D2393A" w:rsidRPr="008E77E7">
        <w:rPr>
          <w:rFonts w:ascii="Times New Roman" w:hAnsi="Times New Roman" w:cs="Times New Roman"/>
          <w:sz w:val="24"/>
          <w:szCs w:val="24"/>
        </w:rPr>
        <w:t xml:space="preserve">laintiff’s </w:t>
      </w:r>
      <w:r w:rsidR="008614E3">
        <w:rPr>
          <w:rFonts w:ascii="Times New Roman" w:hAnsi="Times New Roman" w:cs="Times New Roman"/>
          <w:sz w:val="24"/>
          <w:szCs w:val="24"/>
        </w:rPr>
        <w:t>A</w:t>
      </w:r>
      <w:r w:rsidR="00D2393A" w:rsidRPr="008E77E7">
        <w:rPr>
          <w:rFonts w:ascii="Times New Roman" w:hAnsi="Times New Roman" w:cs="Times New Roman"/>
          <w:sz w:val="24"/>
          <w:szCs w:val="24"/>
        </w:rPr>
        <w:t xml:space="preserve">ctuary </w:t>
      </w:r>
      <w:r w:rsidR="00B822D5">
        <w:rPr>
          <w:rFonts w:ascii="Times New Roman" w:hAnsi="Times New Roman" w:cs="Times New Roman"/>
          <w:sz w:val="24"/>
          <w:szCs w:val="24"/>
        </w:rPr>
        <w:t xml:space="preserve">will </w:t>
      </w:r>
      <w:r w:rsidR="00D2393A" w:rsidRPr="008E77E7">
        <w:rPr>
          <w:rFonts w:ascii="Times New Roman" w:hAnsi="Times New Roman" w:cs="Times New Roman"/>
          <w:sz w:val="24"/>
          <w:szCs w:val="24"/>
        </w:rPr>
        <w:t xml:space="preserve">be the starting point for the </w:t>
      </w:r>
      <w:r w:rsidR="00B822D5">
        <w:rPr>
          <w:rFonts w:ascii="Times New Roman" w:hAnsi="Times New Roman" w:cs="Times New Roman"/>
          <w:sz w:val="24"/>
          <w:szCs w:val="24"/>
        </w:rPr>
        <w:t>adjudication</w:t>
      </w:r>
      <w:r w:rsidR="00D2393A" w:rsidRPr="008E77E7">
        <w:rPr>
          <w:rFonts w:ascii="Times New Roman" w:hAnsi="Times New Roman" w:cs="Times New Roman"/>
          <w:sz w:val="24"/>
          <w:szCs w:val="24"/>
        </w:rPr>
        <w:t xml:space="preserve"> as to the contingencies to be applied to both the past- and future loss of earnings.</w:t>
      </w:r>
    </w:p>
    <w:p w14:paraId="7884265E" w14:textId="77777777" w:rsidR="00251290" w:rsidRDefault="00251290" w:rsidP="00C7613C">
      <w:pPr>
        <w:spacing w:after="0" w:line="360" w:lineRule="auto"/>
        <w:rPr>
          <w:rFonts w:ascii="Times New Roman" w:hAnsi="Times New Roman" w:cs="Times New Roman"/>
          <w:b/>
          <w:bCs/>
          <w:sz w:val="24"/>
          <w:szCs w:val="24"/>
        </w:rPr>
      </w:pPr>
    </w:p>
    <w:p w14:paraId="0283C857" w14:textId="77777777" w:rsidR="00251290" w:rsidRDefault="00251290" w:rsidP="00C7613C">
      <w:pPr>
        <w:spacing w:after="0" w:line="360" w:lineRule="auto"/>
        <w:rPr>
          <w:rFonts w:ascii="Times New Roman" w:hAnsi="Times New Roman" w:cs="Times New Roman"/>
          <w:b/>
          <w:bCs/>
          <w:sz w:val="24"/>
          <w:szCs w:val="24"/>
        </w:rPr>
      </w:pPr>
    </w:p>
    <w:p w14:paraId="07186C0D" w14:textId="00C0E0FC" w:rsidR="00C7613C" w:rsidRPr="00852C92" w:rsidRDefault="001E7333" w:rsidP="00C7613C">
      <w:pPr>
        <w:spacing w:after="0" w:line="360" w:lineRule="auto"/>
        <w:rPr>
          <w:rFonts w:ascii="Times New Roman" w:hAnsi="Times New Roman" w:cs="Times New Roman"/>
          <w:b/>
          <w:bCs/>
          <w:sz w:val="24"/>
          <w:szCs w:val="24"/>
        </w:rPr>
      </w:pPr>
      <w:r w:rsidRPr="00852C92">
        <w:rPr>
          <w:rFonts w:ascii="Times New Roman" w:hAnsi="Times New Roman" w:cs="Times New Roman"/>
          <w:b/>
          <w:bCs/>
          <w:sz w:val="24"/>
          <w:szCs w:val="24"/>
        </w:rPr>
        <w:lastRenderedPageBreak/>
        <w:t>DISPUTE</w:t>
      </w:r>
    </w:p>
    <w:p w14:paraId="1F2E44DB" w14:textId="0ED8E7F6" w:rsidR="00425259" w:rsidRPr="001E7333" w:rsidRDefault="001E7333" w:rsidP="00C761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667524">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425259" w:rsidRPr="001E7333">
        <w:rPr>
          <w:rFonts w:ascii="Times New Roman" w:hAnsi="Times New Roman" w:cs="Times New Roman"/>
          <w:sz w:val="24"/>
          <w:szCs w:val="24"/>
        </w:rPr>
        <w:t xml:space="preserve">The above culminates in the singular dispute of a contingency </w:t>
      </w:r>
      <w:r w:rsidR="00CC454A">
        <w:rPr>
          <w:rFonts w:ascii="Times New Roman" w:hAnsi="Times New Roman" w:cs="Times New Roman"/>
          <w:sz w:val="24"/>
          <w:szCs w:val="24"/>
        </w:rPr>
        <w:t>on the following basis</w:t>
      </w:r>
      <w:r w:rsidR="00425259" w:rsidRPr="001E7333">
        <w:rPr>
          <w:rFonts w:ascii="Times New Roman" w:hAnsi="Times New Roman" w:cs="Times New Roman"/>
          <w:sz w:val="24"/>
          <w:szCs w:val="24"/>
        </w:rPr>
        <w:t>:</w:t>
      </w:r>
    </w:p>
    <w:p w14:paraId="02B858D0" w14:textId="6A437809" w:rsidR="00CC454A" w:rsidRPr="00CC454A" w:rsidRDefault="00E8504E" w:rsidP="001C6163">
      <w:pPr>
        <w:pStyle w:val="ListParagraph"/>
        <w:numPr>
          <w:ilvl w:val="0"/>
          <w:numId w:val="14"/>
        </w:numPr>
        <w:tabs>
          <w:tab w:val="left" w:pos="1170"/>
        </w:tabs>
        <w:spacing w:after="0" w:line="360" w:lineRule="auto"/>
        <w:jc w:val="both"/>
        <w:rPr>
          <w:rFonts w:ascii="Times New Roman" w:hAnsi="Times New Roman" w:cs="Times New Roman"/>
          <w:sz w:val="24"/>
          <w:szCs w:val="24"/>
        </w:rPr>
      </w:pPr>
      <w:r w:rsidRPr="00CC454A">
        <w:rPr>
          <w:rFonts w:ascii="Times New Roman" w:hAnsi="Times New Roman" w:cs="Times New Roman"/>
          <w:sz w:val="24"/>
          <w:szCs w:val="24"/>
        </w:rPr>
        <w:t xml:space="preserve">The plaintiff: Less </w:t>
      </w:r>
      <w:r w:rsidR="00082293" w:rsidRPr="00CC454A">
        <w:rPr>
          <w:rFonts w:ascii="Times New Roman" w:hAnsi="Times New Roman" w:cs="Times New Roman"/>
          <w:sz w:val="24"/>
          <w:szCs w:val="24"/>
        </w:rPr>
        <w:t xml:space="preserve">contingencies </w:t>
      </w:r>
      <w:r w:rsidR="00082293">
        <w:rPr>
          <w:rFonts w:ascii="Times New Roman" w:hAnsi="Times New Roman" w:cs="Times New Roman"/>
          <w:sz w:val="24"/>
          <w:szCs w:val="24"/>
        </w:rPr>
        <w:t>of</w:t>
      </w:r>
      <w:r w:rsidR="00B27353">
        <w:rPr>
          <w:rFonts w:ascii="Times New Roman" w:hAnsi="Times New Roman" w:cs="Times New Roman"/>
          <w:sz w:val="24"/>
          <w:szCs w:val="24"/>
        </w:rPr>
        <w:t xml:space="preserve"> “</w:t>
      </w:r>
      <w:r w:rsidRPr="00CC454A">
        <w:rPr>
          <w:rFonts w:ascii="Times New Roman" w:hAnsi="Times New Roman" w:cs="Times New Roman"/>
          <w:sz w:val="24"/>
          <w:szCs w:val="24"/>
        </w:rPr>
        <w:t>5%/20%</w:t>
      </w:r>
      <w:r w:rsidR="00B27353">
        <w:rPr>
          <w:rFonts w:ascii="Times New Roman" w:hAnsi="Times New Roman" w:cs="Times New Roman"/>
          <w:sz w:val="24"/>
          <w:szCs w:val="24"/>
        </w:rPr>
        <w:t>”</w:t>
      </w:r>
      <w:r w:rsidR="007120CD" w:rsidRPr="00CC454A">
        <w:rPr>
          <w:rFonts w:ascii="Times New Roman" w:hAnsi="Times New Roman" w:cs="Times New Roman"/>
          <w:sz w:val="24"/>
          <w:szCs w:val="24"/>
        </w:rPr>
        <w:t>.</w:t>
      </w:r>
      <w:r w:rsidR="00AC4172">
        <w:rPr>
          <w:rFonts w:ascii="Times New Roman" w:hAnsi="Times New Roman" w:cs="Times New Roman"/>
          <w:sz w:val="24"/>
          <w:szCs w:val="24"/>
        </w:rPr>
        <w:t xml:space="preserve"> The </w:t>
      </w:r>
      <w:r w:rsidR="00AC4172" w:rsidRPr="00CC454A">
        <w:rPr>
          <w:rFonts w:ascii="Times New Roman" w:hAnsi="Times New Roman" w:cs="Times New Roman"/>
          <w:sz w:val="24"/>
          <w:szCs w:val="24"/>
        </w:rPr>
        <w:t>R116</w:t>
      </w:r>
      <w:r w:rsidR="00AC4172">
        <w:rPr>
          <w:rFonts w:ascii="Times New Roman" w:hAnsi="Times New Roman" w:cs="Times New Roman"/>
          <w:sz w:val="24"/>
          <w:szCs w:val="24"/>
        </w:rPr>
        <w:t xml:space="preserve"> </w:t>
      </w:r>
      <w:r w:rsidR="00AC4172" w:rsidRPr="00CC454A">
        <w:rPr>
          <w:rFonts w:ascii="Times New Roman" w:hAnsi="Times New Roman" w:cs="Times New Roman"/>
          <w:sz w:val="24"/>
          <w:szCs w:val="24"/>
        </w:rPr>
        <w:t>960.00 (disability grant)</w:t>
      </w:r>
      <w:r w:rsidR="00AC4172">
        <w:rPr>
          <w:rFonts w:ascii="Times New Roman" w:hAnsi="Times New Roman" w:cs="Times New Roman"/>
          <w:sz w:val="24"/>
          <w:szCs w:val="24"/>
        </w:rPr>
        <w:t xml:space="preserve"> must be deducted</w:t>
      </w:r>
      <w:r w:rsidR="00813853">
        <w:rPr>
          <w:rFonts w:ascii="Times New Roman" w:hAnsi="Times New Roman" w:cs="Times New Roman"/>
          <w:sz w:val="24"/>
          <w:szCs w:val="24"/>
        </w:rPr>
        <w:t xml:space="preserve"> from the total</w:t>
      </w:r>
      <w:r w:rsidR="00FA35DA">
        <w:rPr>
          <w:rFonts w:ascii="Times New Roman" w:hAnsi="Times New Roman" w:cs="Times New Roman"/>
          <w:sz w:val="24"/>
          <w:szCs w:val="24"/>
        </w:rPr>
        <w:t xml:space="preserve"> and brings the amount claimed to R2 622 319.80.</w:t>
      </w:r>
    </w:p>
    <w:p w14:paraId="71C71704" w14:textId="59703231" w:rsidR="00CC454A" w:rsidRDefault="00371EF5" w:rsidP="001C6163">
      <w:pPr>
        <w:spacing w:after="0" w:line="360" w:lineRule="auto"/>
        <w:ind w:left="1170" w:hanging="90"/>
        <w:jc w:val="both"/>
        <w:rPr>
          <w:rFonts w:ascii="Times New Roman" w:hAnsi="Times New Roman" w:cs="Times New Roman"/>
          <w:sz w:val="24"/>
          <w:szCs w:val="24"/>
        </w:rPr>
      </w:pPr>
      <w:r w:rsidRPr="00137D31">
        <w:rPr>
          <w:rFonts w:ascii="Arial" w:hAnsi="Arial" w:cs="Arial"/>
          <w:noProof/>
          <w:sz w:val="26"/>
          <w:szCs w:val="26"/>
          <w:lang w:eastAsia="en-ZA"/>
        </w:rPr>
        <w:drawing>
          <wp:inline distT="0" distB="0" distL="0" distR="0" wp14:anchorId="17CE0489" wp14:editId="5B2DCEDA">
            <wp:extent cx="3334673" cy="2442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025" cy="2476157"/>
                    </a:xfrm>
                    <a:prstGeom prst="rect">
                      <a:avLst/>
                    </a:prstGeom>
                    <a:noFill/>
                    <a:ln>
                      <a:noFill/>
                    </a:ln>
                  </pic:spPr>
                </pic:pic>
              </a:graphicData>
            </a:graphic>
          </wp:inline>
        </w:drawing>
      </w:r>
    </w:p>
    <w:p w14:paraId="6B38C3E2" w14:textId="77777777" w:rsidR="00CC454A" w:rsidRDefault="00CC454A" w:rsidP="001E7333">
      <w:pPr>
        <w:spacing w:after="0" w:line="360" w:lineRule="auto"/>
        <w:ind w:firstLine="720"/>
        <w:jc w:val="both"/>
        <w:rPr>
          <w:rFonts w:ascii="Times New Roman" w:hAnsi="Times New Roman" w:cs="Times New Roman"/>
          <w:sz w:val="24"/>
          <w:szCs w:val="24"/>
        </w:rPr>
      </w:pPr>
    </w:p>
    <w:p w14:paraId="2D02F486" w14:textId="6C6D488D" w:rsidR="00D20AC5" w:rsidRPr="001C6163" w:rsidRDefault="00E8504E" w:rsidP="001C6163">
      <w:pPr>
        <w:pStyle w:val="ListParagraph"/>
        <w:numPr>
          <w:ilvl w:val="0"/>
          <w:numId w:val="14"/>
        </w:numPr>
        <w:spacing w:after="0" w:line="360" w:lineRule="auto"/>
        <w:jc w:val="both"/>
        <w:rPr>
          <w:rFonts w:ascii="Times New Roman" w:hAnsi="Times New Roman" w:cs="Times New Roman"/>
          <w:sz w:val="24"/>
          <w:szCs w:val="24"/>
        </w:rPr>
      </w:pPr>
      <w:r w:rsidRPr="001C6163">
        <w:rPr>
          <w:rFonts w:ascii="Times New Roman" w:hAnsi="Times New Roman" w:cs="Times New Roman"/>
          <w:sz w:val="24"/>
          <w:szCs w:val="24"/>
        </w:rPr>
        <w:t xml:space="preserve">The defendant: </w:t>
      </w:r>
      <w:r w:rsidR="00270947" w:rsidRPr="001C6163">
        <w:rPr>
          <w:rFonts w:ascii="Times New Roman" w:hAnsi="Times New Roman" w:cs="Times New Roman"/>
          <w:sz w:val="24"/>
          <w:szCs w:val="24"/>
        </w:rPr>
        <w:t xml:space="preserve">Less contingencies </w:t>
      </w:r>
      <w:r w:rsidR="00B27353" w:rsidRPr="001C6163">
        <w:rPr>
          <w:rFonts w:ascii="Times New Roman" w:hAnsi="Times New Roman" w:cs="Times New Roman"/>
          <w:sz w:val="24"/>
          <w:szCs w:val="24"/>
        </w:rPr>
        <w:t>“</w:t>
      </w:r>
      <w:r w:rsidR="00270947" w:rsidRPr="001C6163">
        <w:rPr>
          <w:rFonts w:ascii="Times New Roman" w:hAnsi="Times New Roman" w:cs="Times New Roman"/>
          <w:sz w:val="24"/>
          <w:szCs w:val="24"/>
        </w:rPr>
        <w:t>5%/</w:t>
      </w:r>
      <w:r w:rsidR="007120CD" w:rsidRPr="001C6163">
        <w:rPr>
          <w:rFonts w:ascii="Times New Roman" w:hAnsi="Times New Roman" w:cs="Times New Roman"/>
          <w:sz w:val="24"/>
          <w:szCs w:val="24"/>
        </w:rPr>
        <w:t>45%</w:t>
      </w:r>
      <w:r w:rsidR="00B27353" w:rsidRPr="001C6163">
        <w:rPr>
          <w:rFonts w:ascii="Times New Roman" w:hAnsi="Times New Roman" w:cs="Times New Roman"/>
          <w:sz w:val="24"/>
          <w:szCs w:val="24"/>
        </w:rPr>
        <w:t>”</w:t>
      </w:r>
      <w:r w:rsidR="007120CD" w:rsidRPr="001C6163">
        <w:rPr>
          <w:rFonts w:ascii="Times New Roman" w:hAnsi="Times New Roman" w:cs="Times New Roman"/>
          <w:sz w:val="24"/>
          <w:szCs w:val="24"/>
        </w:rPr>
        <w:t>. R1</w:t>
      </w:r>
      <w:r w:rsidR="00690608" w:rsidRPr="001C6163">
        <w:rPr>
          <w:rFonts w:ascii="Times New Roman" w:hAnsi="Times New Roman" w:cs="Times New Roman"/>
          <w:sz w:val="24"/>
          <w:szCs w:val="24"/>
        </w:rPr>
        <w:t xml:space="preserve"> </w:t>
      </w:r>
      <w:r w:rsidR="007120CD" w:rsidRPr="001C6163">
        <w:rPr>
          <w:rFonts w:ascii="Times New Roman" w:hAnsi="Times New Roman" w:cs="Times New Roman"/>
          <w:sz w:val="24"/>
          <w:szCs w:val="24"/>
        </w:rPr>
        <w:t>988</w:t>
      </w:r>
      <w:r w:rsidR="00690608" w:rsidRPr="001C6163">
        <w:rPr>
          <w:rFonts w:ascii="Times New Roman" w:hAnsi="Times New Roman" w:cs="Times New Roman"/>
          <w:sz w:val="24"/>
          <w:szCs w:val="24"/>
        </w:rPr>
        <w:t xml:space="preserve"> </w:t>
      </w:r>
      <w:r w:rsidR="007120CD" w:rsidRPr="001C6163">
        <w:rPr>
          <w:rFonts w:ascii="Times New Roman" w:hAnsi="Times New Roman" w:cs="Times New Roman"/>
          <w:sz w:val="24"/>
          <w:szCs w:val="24"/>
        </w:rPr>
        <w:t>938.80 – R116</w:t>
      </w:r>
      <w:r w:rsidR="00690608" w:rsidRPr="001C6163">
        <w:rPr>
          <w:rFonts w:ascii="Times New Roman" w:hAnsi="Times New Roman" w:cs="Times New Roman"/>
          <w:sz w:val="24"/>
          <w:szCs w:val="24"/>
        </w:rPr>
        <w:t xml:space="preserve"> </w:t>
      </w:r>
      <w:r w:rsidR="007120CD" w:rsidRPr="001C6163">
        <w:rPr>
          <w:rFonts w:ascii="Times New Roman" w:hAnsi="Times New Roman" w:cs="Times New Roman"/>
          <w:sz w:val="24"/>
          <w:szCs w:val="24"/>
        </w:rPr>
        <w:t>960.00 (disability grant) = R1</w:t>
      </w:r>
      <w:r w:rsidR="00690608" w:rsidRPr="001C6163">
        <w:rPr>
          <w:rFonts w:ascii="Times New Roman" w:hAnsi="Times New Roman" w:cs="Times New Roman"/>
          <w:sz w:val="24"/>
          <w:szCs w:val="24"/>
        </w:rPr>
        <w:t xml:space="preserve"> </w:t>
      </w:r>
      <w:r w:rsidR="007120CD" w:rsidRPr="001C6163">
        <w:rPr>
          <w:rFonts w:ascii="Times New Roman" w:hAnsi="Times New Roman" w:cs="Times New Roman"/>
          <w:sz w:val="24"/>
          <w:szCs w:val="24"/>
        </w:rPr>
        <w:t>871</w:t>
      </w:r>
      <w:r w:rsidR="00690608" w:rsidRPr="001C6163">
        <w:rPr>
          <w:rFonts w:ascii="Times New Roman" w:hAnsi="Times New Roman" w:cs="Times New Roman"/>
          <w:sz w:val="24"/>
          <w:szCs w:val="24"/>
        </w:rPr>
        <w:t xml:space="preserve"> </w:t>
      </w:r>
      <w:r w:rsidR="007120CD" w:rsidRPr="001C6163">
        <w:rPr>
          <w:rFonts w:ascii="Times New Roman" w:hAnsi="Times New Roman" w:cs="Times New Roman"/>
          <w:sz w:val="24"/>
          <w:szCs w:val="24"/>
        </w:rPr>
        <w:t xml:space="preserve">978.80. The </w:t>
      </w:r>
      <w:r w:rsidR="008E77E7" w:rsidRPr="001C6163">
        <w:rPr>
          <w:rFonts w:ascii="Times New Roman" w:hAnsi="Times New Roman" w:cs="Times New Roman"/>
          <w:sz w:val="24"/>
          <w:szCs w:val="24"/>
        </w:rPr>
        <w:t>c</w:t>
      </w:r>
      <w:r w:rsidR="007120CD" w:rsidRPr="001C6163">
        <w:rPr>
          <w:rFonts w:ascii="Times New Roman" w:hAnsi="Times New Roman" w:cs="Times New Roman"/>
          <w:sz w:val="24"/>
          <w:szCs w:val="24"/>
        </w:rPr>
        <w:t xml:space="preserve">ourt is therefore requested </w:t>
      </w:r>
      <w:r w:rsidR="008E77E7" w:rsidRPr="001C6163">
        <w:rPr>
          <w:rFonts w:ascii="Times New Roman" w:hAnsi="Times New Roman" w:cs="Times New Roman"/>
          <w:sz w:val="24"/>
          <w:szCs w:val="24"/>
        </w:rPr>
        <w:t xml:space="preserve">by the defendant </w:t>
      </w:r>
      <w:r w:rsidR="007120CD" w:rsidRPr="001C6163">
        <w:rPr>
          <w:rFonts w:ascii="Times New Roman" w:hAnsi="Times New Roman" w:cs="Times New Roman"/>
          <w:sz w:val="24"/>
          <w:szCs w:val="24"/>
        </w:rPr>
        <w:t>to award an amount of R1</w:t>
      </w:r>
      <w:r w:rsidR="00690608" w:rsidRPr="001C6163">
        <w:rPr>
          <w:rFonts w:ascii="Times New Roman" w:hAnsi="Times New Roman" w:cs="Times New Roman"/>
          <w:sz w:val="24"/>
          <w:szCs w:val="24"/>
        </w:rPr>
        <w:t xml:space="preserve"> </w:t>
      </w:r>
      <w:r w:rsidR="007120CD" w:rsidRPr="001C6163">
        <w:rPr>
          <w:rFonts w:ascii="Times New Roman" w:hAnsi="Times New Roman" w:cs="Times New Roman"/>
          <w:sz w:val="24"/>
          <w:szCs w:val="24"/>
        </w:rPr>
        <w:t>871</w:t>
      </w:r>
      <w:r w:rsidR="00690608" w:rsidRPr="001C6163">
        <w:rPr>
          <w:rFonts w:ascii="Times New Roman" w:hAnsi="Times New Roman" w:cs="Times New Roman"/>
          <w:sz w:val="24"/>
          <w:szCs w:val="24"/>
        </w:rPr>
        <w:t xml:space="preserve"> </w:t>
      </w:r>
      <w:r w:rsidR="007120CD" w:rsidRPr="001C6163">
        <w:rPr>
          <w:rFonts w:ascii="Times New Roman" w:hAnsi="Times New Roman" w:cs="Times New Roman"/>
          <w:sz w:val="24"/>
          <w:szCs w:val="24"/>
        </w:rPr>
        <w:t xml:space="preserve">978.80 in respect of </w:t>
      </w:r>
      <w:r w:rsidR="008E77E7" w:rsidRPr="001C6163">
        <w:rPr>
          <w:rFonts w:ascii="Times New Roman" w:hAnsi="Times New Roman" w:cs="Times New Roman"/>
          <w:sz w:val="24"/>
          <w:szCs w:val="24"/>
        </w:rPr>
        <w:t>p</w:t>
      </w:r>
      <w:r w:rsidR="007120CD" w:rsidRPr="001C6163">
        <w:rPr>
          <w:rFonts w:ascii="Times New Roman" w:hAnsi="Times New Roman" w:cs="Times New Roman"/>
          <w:sz w:val="24"/>
          <w:szCs w:val="24"/>
        </w:rPr>
        <w:t>laintiff’s claim for loss of earnings.</w:t>
      </w:r>
      <w:r w:rsidR="00CC454A" w:rsidRPr="00137D31">
        <w:rPr>
          <w:noProof/>
          <w:lang w:eastAsia="en-ZA"/>
        </w:rPr>
        <w:drawing>
          <wp:inline distT="0" distB="0" distL="0" distR="0" wp14:anchorId="612F2D61" wp14:editId="3E143762">
            <wp:extent cx="3350903" cy="2454097"/>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6157" cy="2479916"/>
                    </a:xfrm>
                    <a:prstGeom prst="rect">
                      <a:avLst/>
                    </a:prstGeom>
                    <a:noFill/>
                    <a:ln>
                      <a:noFill/>
                    </a:ln>
                  </pic:spPr>
                </pic:pic>
              </a:graphicData>
            </a:graphic>
          </wp:inline>
        </w:drawing>
      </w:r>
    </w:p>
    <w:p w14:paraId="55213047" w14:textId="77777777" w:rsidR="00B0268B" w:rsidRDefault="00B0268B" w:rsidP="00175E41">
      <w:pPr>
        <w:spacing w:after="0" w:line="480" w:lineRule="auto"/>
        <w:ind w:left="720" w:hanging="720"/>
        <w:jc w:val="both"/>
        <w:rPr>
          <w:rFonts w:ascii="Times New Roman" w:hAnsi="Times New Roman" w:cs="Times New Roman"/>
          <w:b/>
          <w:bCs/>
          <w:sz w:val="24"/>
          <w:szCs w:val="24"/>
        </w:rPr>
      </w:pPr>
    </w:p>
    <w:p w14:paraId="7D4BA99D" w14:textId="77777777" w:rsidR="001C6163" w:rsidRDefault="001C6163" w:rsidP="00C7613C">
      <w:pPr>
        <w:spacing w:after="0" w:line="360" w:lineRule="auto"/>
        <w:ind w:left="720" w:hanging="720"/>
        <w:jc w:val="both"/>
        <w:rPr>
          <w:rFonts w:ascii="Times New Roman" w:hAnsi="Times New Roman" w:cs="Times New Roman"/>
          <w:b/>
          <w:bCs/>
          <w:sz w:val="24"/>
          <w:szCs w:val="24"/>
        </w:rPr>
      </w:pPr>
    </w:p>
    <w:p w14:paraId="3812E094" w14:textId="77777777" w:rsidR="001C6163" w:rsidRDefault="001C6163" w:rsidP="00C7613C">
      <w:pPr>
        <w:spacing w:after="0" w:line="360" w:lineRule="auto"/>
        <w:ind w:left="720" w:hanging="720"/>
        <w:jc w:val="both"/>
        <w:rPr>
          <w:rFonts w:ascii="Times New Roman" w:hAnsi="Times New Roman" w:cs="Times New Roman"/>
          <w:b/>
          <w:bCs/>
          <w:sz w:val="24"/>
          <w:szCs w:val="24"/>
        </w:rPr>
      </w:pPr>
    </w:p>
    <w:p w14:paraId="7E49FCFE" w14:textId="5AB6F647" w:rsidR="00C7613C" w:rsidRDefault="009C7673" w:rsidP="00C7613C">
      <w:pPr>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lastRenderedPageBreak/>
        <w:t>THE LAW</w:t>
      </w:r>
    </w:p>
    <w:p w14:paraId="509AA329" w14:textId="324771E1" w:rsidR="009C7673" w:rsidRDefault="009C7673" w:rsidP="00C7613C">
      <w:pPr>
        <w:spacing w:after="0" w:line="360" w:lineRule="auto"/>
        <w:ind w:left="720" w:hanging="720"/>
        <w:jc w:val="both"/>
        <w:rPr>
          <w:rFonts w:ascii="Times New Roman" w:hAnsi="Times New Roman" w:cs="Times New Roman"/>
          <w:b/>
          <w:bCs/>
          <w:sz w:val="24"/>
          <w:szCs w:val="24"/>
        </w:rPr>
      </w:pPr>
      <w:r>
        <w:rPr>
          <w:rFonts w:ascii="Times New Roman" w:eastAsia="Times New Roman" w:hAnsi="Times New Roman" w:cs="Times New Roman"/>
          <w:sz w:val="24"/>
          <w:szCs w:val="24"/>
        </w:rPr>
        <w:t>[</w:t>
      </w:r>
      <w:r w:rsidR="00667524">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9C7673">
        <w:rPr>
          <w:rFonts w:ascii="Times New Roman" w:eastAsia="Times New Roman" w:hAnsi="Times New Roman" w:cs="Times New Roman"/>
          <w:sz w:val="24"/>
          <w:szCs w:val="24"/>
        </w:rPr>
        <w:t xml:space="preserve">It is trite that it is vital that the evidence pinioned by an expert is solid. “Solid” supposes veracity of the facts of the particular case, expertise on the issue and an opinion that makes legal sense based on the facts combined with the expertise. </w:t>
      </w:r>
      <w:r w:rsidR="00222155">
        <w:rPr>
          <w:rFonts w:ascii="Times New Roman" w:eastAsia="Times New Roman" w:hAnsi="Times New Roman" w:cs="Times New Roman"/>
          <w:sz w:val="24"/>
          <w:szCs w:val="24"/>
        </w:rPr>
        <w:t xml:space="preserve">In </w:t>
      </w:r>
      <w:r w:rsidR="00222155" w:rsidRPr="00222155">
        <w:rPr>
          <w:rFonts w:ascii="Times New Roman" w:eastAsia="Times New Roman" w:hAnsi="Times New Roman" w:cs="Times New Roman"/>
          <w:i/>
          <w:iCs/>
          <w:sz w:val="24"/>
          <w:szCs w:val="24"/>
        </w:rPr>
        <w:t>casu,</w:t>
      </w:r>
      <w:r w:rsidR="00222155">
        <w:rPr>
          <w:rFonts w:ascii="Times New Roman" w:eastAsia="Times New Roman" w:hAnsi="Times New Roman" w:cs="Times New Roman"/>
          <w:sz w:val="24"/>
          <w:szCs w:val="24"/>
        </w:rPr>
        <w:t xml:space="preserve"> n</w:t>
      </w:r>
      <w:r w:rsidRPr="009C7673">
        <w:rPr>
          <w:rFonts w:ascii="Times New Roman" w:eastAsia="Times New Roman" w:hAnsi="Times New Roman" w:cs="Times New Roman"/>
          <w:sz w:val="24"/>
          <w:szCs w:val="24"/>
        </w:rPr>
        <w:t>either the Industrial Psychologist that instructed the Actuary, nor the Actuary can be faulted on their postulations and calculations.</w:t>
      </w:r>
    </w:p>
    <w:p w14:paraId="55F6E2C6" w14:textId="77777777" w:rsidR="009C7673" w:rsidRDefault="009C7673" w:rsidP="009C7673">
      <w:pPr>
        <w:spacing w:after="0" w:line="360" w:lineRule="auto"/>
        <w:ind w:left="720" w:hanging="720"/>
        <w:jc w:val="both"/>
        <w:rPr>
          <w:rFonts w:ascii="Times New Roman" w:hAnsi="Times New Roman" w:cs="Times New Roman"/>
          <w:b/>
          <w:bCs/>
          <w:sz w:val="24"/>
          <w:szCs w:val="24"/>
        </w:rPr>
      </w:pPr>
    </w:p>
    <w:p w14:paraId="670ABC67" w14:textId="79E89056" w:rsidR="009C7673" w:rsidRPr="009C7673" w:rsidRDefault="009C7673" w:rsidP="009C7673">
      <w:pPr>
        <w:spacing w:after="0" w:line="360" w:lineRule="auto"/>
        <w:ind w:left="720" w:hanging="720"/>
        <w:jc w:val="both"/>
        <w:rPr>
          <w:rFonts w:ascii="Times New Roman" w:hAnsi="Times New Roman" w:cs="Times New Roman"/>
          <w:b/>
          <w:bCs/>
          <w:sz w:val="24"/>
          <w:szCs w:val="24"/>
        </w:rPr>
      </w:pPr>
      <w:r w:rsidRPr="00241BED">
        <w:rPr>
          <w:rFonts w:ascii="Times New Roman" w:hAnsi="Times New Roman" w:cs="Times New Roman"/>
          <w:sz w:val="24"/>
          <w:szCs w:val="24"/>
        </w:rPr>
        <w:t>[</w:t>
      </w:r>
      <w:r w:rsidR="00667524">
        <w:rPr>
          <w:rFonts w:ascii="Times New Roman" w:hAnsi="Times New Roman" w:cs="Times New Roman"/>
          <w:sz w:val="24"/>
          <w:szCs w:val="24"/>
        </w:rPr>
        <w:t>6</w:t>
      </w:r>
      <w:r w:rsidRPr="00241BED">
        <w:rPr>
          <w:rFonts w:ascii="Times New Roman" w:hAnsi="Times New Roman" w:cs="Times New Roman"/>
          <w:sz w:val="24"/>
          <w:szCs w:val="24"/>
        </w:rPr>
        <w:t>]</w:t>
      </w:r>
      <w:r>
        <w:rPr>
          <w:rFonts w:ascii="Times New Roman" w:hAnsi="Times New Roman" w:cs="Times New Roman"/>
          <w:b/>
          <w:bCs/>
          <w:sz w:val="24"/>
          <w:szCs w:val="24"/>
        </w:rPr>
        <w:tab/>
      </w:r>
      <w:r w:rsidRPr="009C7673">
        <w:rPr>
          <w:rFonts w:ascii="Times New Roman" w:eastAsia="Times New Roman" w:hAnsi="Times New Roman" w:cs="Times New Roman"/>
          <w:sz w:val="24"/>
          <w:szCs w:val="24"/>
          <w:lang w:val="en-GB"/>
        </w:rPr>
        <w:t xml:space="preserve">In </w:t>
      </w:r>
      <w:r w:rsidRPr="009C7673">
        <w:rPr>
          <w:rFonts w:ascii="Times New Roman" w:eastAsia="Times New Roman" w:hAnsi="Times New Roman" w:cs="Times New Roman"/>
          <w:i/>
          <w:iCs/>
          <w:sz w:val="24"/>
          <w:szCs w:val="24"/>
          <w:lang w:val="en-GB"/>
        </w:rPr>
        <w:t>Southern Insurance Association v Baily NO</w:t>
      </w:r>
      <w:r w:rsidRPr="009C7673">
        <w:rPr>
          <w:rFonts w:ascii="Times New Roman" w:eastAsia="Times New Roman" w:hAnsi="Times New Roman" w:cs="Times New Roman"/>
          <w:sz w:val="24"/>
          <w:szCs w:val="24"/>
          <w:lang w:val="en-GB"/>
        </w:rPr>
        <w:t xml:space="preserve"> 1984 (1) SA 98 (A) that was supported in </w:t>
      </w:r>
      <w:r w:rsidRPr="009C7673">
        <w:rPr>
          <w:rFonts w:ascii="Times New Roman" w:eastAsia="Times New Roman" w:hAnsi="Times New Roman" w:cs="Times New Roman"/>
          <w:i/>
          <w:iCs/>
          <w:sz w:val="24"/>
          <w:szCs w:val="24"/>
          <w:lang w:val="en-GB"/>
        </w:rPr>
        <w:t>Adv Johan Malherbe Kilian N.O Plaintiff in his capacity as Curator Ad Litem to Jansen Van Rensburg: Andre Abraham Petrus Le Grange v Road Accident Fund, The High Court of South Africa (Gauteng Division, Pretoria)</w:t>
      </w:r>
      <w:r w:rsidRPr="009C7673">
        <w:rPr>
          <w:rFonts w:ascii="Times New Roman" w:eastAsia="Times New Roman" w:hAnsi="Times New Roman" w:cs="Times New Roman"/>
          <w:b/>
          <w:bCs/>
          <w:sz w:val="24"/>
          <w:szCs w:val="24"/>
          <w:lang w:val="en-GB"/>
        </w:rPr>
        <w:t xml:space="preserve"> </w:t>
      </w:r>
      <w:r w:rsidRPr="009C7673">
        <w:rPr>
          <w:rFonts w:ascii="Times New Roman" w:eastAsia="Times New Roman" w:hAnsi="Times New Roman" w:cs="Times New Roman"/>
          <w:sz w:val="24"/>
          <w:szCs w:val="24"/>
          <w:lang w:val="en-GB"/>
        </w:rPr>
        <w:t>Case No. 34116/2016 Judgement 15/9/2016 Gauteng Division, Pretoria it was held that:</w:t>
      </w:r>
    </w:p>
    <w:p w14:paraId="21EAA434" w14:textId="77777777" w:rsidR="009C7673" w:rsidRDefault="009C7673" w:rsidP="009C7673">
      <w:pPr>
        <w:spacing w:after="0" w:line="360" w:lineRule="auto"/>
        <w:ind w:left="1440" w:hanging="720"/>
        <w:jc w:val="both"/>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ab/>
        <w:t xml:space="preserve">Any enquiry into damages for loss of earning capacity is of its nature speculative, because it involves a prediction as to the future, without the benefit of crystal balls, soothsayers, augurs or oracles. All that the court can do is to make estimates, which is often a very rough estimate, of the present value of loss. It has open to it, two possible approaches: One is for the judge to make a round estimate of an amount which seems to him to be fair and reasonable. That is entirely a matter of guesswork, a blind plunge into the unknown. The other is to try to make an assessment, by way of mathematical calculations, on the basis of assumptions resting on the evidence. The validity of this approach depends of course upon the soundness of the assumptions, and these may vary from the strongly probable to the speculative. </w:t>
      </w:r>
    </w:p>
    <w:p w14:paraId="41AA35E2" w14:textId="77777777" w:rsidR="009C7673" w:rsidRDefault="009C7673" w:rsidP="009C7673">
      <w:pPr>
        <w:spacing w:after="0" w:line="360" w:lineRule="auto"/>
        <w:ind w:left="1440" w:hanging="720"/>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 xml:space="preserve">It is manifest that either approach involves guesswork to a greater or lesser extent. When it comes to scanning the uncertain future, the Court is virtually pondering the imponderable, but must do the best it can, on the material available even if the result may not inappropriately be described as an informed guess, for no better system has yet been devised for assessing general damages for future loss. </w:t>
      </w:r>
    </w:p>
    <w:p w14:paraId="39E1F485" w14:textId="77777777" w:rsidR="009C7673" w:rsidRDefault="009C7673" w:rsidP="009C7673">
      <w:pPr>
        <w:spacing w:after="0" w:line="360" w:lineRule="auto"/>
        <w:ind w:left="1440" w:hanging="720"/>
        <w:jc w:val="both"/>
        <w:rPr>
          <w:rFonts w:ascii="Times New Roman" w:hAnsi="Times New Roman" w:cs="Times New Roman"/>
          <w:sz w:val="20"/>
          <w:szCs w:val="20"/>
        </w:rPr>
      </w:pPr>
      <w:r>
        <w:rPr>
          <w:rFonts w:ascii="Times New Roman" w:hAnsi="Times New Roman" w:cs="Times New Roman"/>
          <w:sz w:val="20"/>
          <w:szCs w:val="20"/>
        </w:rPr>
        <w:t xml:space="preserve">[6] </w:t>
      </w:r>
      <w:r>
        <w:rPr>
          <w:rFonts w:ascii="Times New Roman" w:hAnsi="Times New Roman" w:cs="Times New Roman"/>
          <w:sz w:val="20"/>
          <w:szCs w:val="20"/>
        </w:rPr>
        <w:tab/>
        <w:t>I must however emphasise that because of the speculative nature of the enquiry, when parties elect to approach the court on a stated case and lump sum of money is claimed, as in the present case, R6 653 636.00 from the public coffers, it is incumbent on the parties to place before the court sufficient evidence in the form of admissions and other admitted format.</w:t>
      </w:r>
    </w:p>
    <w:p w14:paraId="2C6E6EDB" w14:textId="77777777" w:rsidR="009C7673" w:rsidRPr="0035276D" w:rsidRDefault="009C7673" w:rsidP="009C7673">
      <w:pPr>
        <w:spacing w:after="0" w:line="360" w:lineRule="auto"/>
        <w:ind w:left="851"/>
        <w:jc w:val="both"/>
        <w:rPr>
          <w:rFonts w:ascii="Times New Roman" w:hAnsi="Times New Roman" w:cs="Times New Roman"/>
          <w:sz w:val="24"/>
          <w:szCs w:val="24"/>
        </w:rPr>
      </w:pPr>
    </w:p>
    <w:p w14:paraId="00F57B91" w14:textId="69F63E02" w:rsidR="009C7673" w:rsidRDefault="009C7673" w:rsidP="009C7673">
      <w:pPr>
        <w:spacing w:after="0" w:line="36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w:t>
      </w:r>
      <w:r w:rsidR="00667524">
        <w:rPr>
          <w:rFonts w:ascii="Times New Roman" w:hAnsi="Times New Roman" w:cs="Times New Roman"/>
          <w:bCs/>
          <w:sz w:val="24"/>
          <w:szCs w:val="24"/>
        </w:rPr>
        <w:t>7</w:t>
      </w:r>
      <w:r>
        <w:rPr>
          <w:rFonts w:ascii="Times New Roman" w:hAnsi="Times New Roman" w:cs="Times New Roman"/>
          <w:bCs/>
          <w:sz w:val="24"/>
          <w:szCs w:val="24"/>
        </w:rPr>
        <w:t>]</w:t>
      </w:r>
      <w:r>
        <w:rPr>
          <w:rFonts w:ascii="Times New Roman" w:hAnsi="Times New Roman" w:cs="Times New Roman"/>
          <w:bCs/>
          <w:sz w:val="24"/>
          <w:szCs w:val="24"/>
        </w:rPr>
        <w:tab/>
        <w:t>The issue of contingencies is complicated. Speculation abounds. This causes the court</w:t>
      </w:r>
      <w:r w:rsidR="00222155">
        <w:rPr>
          <w:rFonts w:ascii="Times New Roman" w:hAnsi="Times New Roman" w:cs="Times New Roman"/>
          <w:bCs/>
          <w:sz w:val="24"/>
          <w:szCs w:val="24"/>
        </w:rPr>
        <w:t>s</w:t>
      </w:r>
      <w:r>
        <w:rPr>
          <w:rFonts w:ascii="Times New Roman" w:hAnsi="Times New Roman" w:cs="Times New Roman"/>
          <w:bCs/>
          <w:sz w:val="24"/>
          <w:szCs w:val="24"/>
        </w:rPr>
        <w:t xml:space="preserve"> to, inevitably, have a wide discretion. The discretion is curtailed by the application of law on the conspectus of facts. </w:t>
      </w:r>
    </w:p>
    <w:p w14:paraId="479857F2" w14:textId="632C785D" w:rsidR="00A53F13" w:rsidRDefault="009C7673" w:rsidP="00A53F13">
      <w:pPr>
        <w:spacing w:after="0" w:line="360" w:lineRule="auto"/>
        <w:ind w:left="720" w:hanging="720"/>
        <w:jc w:val="both"/>
      </w:pPr>
      <w:r>
        <w:rPr>
          <w:rFonts w:ascii="Times New Roman" w:hAnsi="Times New Roman" w:cs="Times New Roman"/>
          <w:bCs/>
          <w:sz w:val="24"/>
          <w:szCs w:val="24"/>
        </w:rPr>
        <w:lastRenderedPageBreak/>
        <w:t>[</w:t>
      </w:r>
      <w:r w:rsidR="00667524">
        <w:rPr>
          <w:rFonts w:ascii="Times New Roman" w:hAnsi="Times New Roman" w:cs="Times New Roman"/>
          <w:bCs/>
          <w:sz w:val="24"/>
          <w:szCs w:val="24"/>
        </w:rPr>
        <w:t>8</w:t>
      </w:r>
      <w:r>
        <w:rPr>
          <w:rFonts w:ascii="Times New Roman" w:hAnsi="Times New Roman" w:cs="Times New Roman"/>
          <w:bCs/>
          <w:sz w:val="24"/>
          <w:szCs w:val="24"/>
        </w:rPr>
        <w:t>]</w:t>
      </w:r>
      <w:r>
        <w:rPr>
          <w:rFonts w:ascii="Times New Roman" w:hAnsi="Times New Roman" w:cs="Times New Roman"/>
          <w:bCs/>
          <w:sz w:val="24"/>
          <w:szCs w:val="24"/>
        </w:rPr>
        <w:tab/>
        <w:t xml:space="preserve">Contingencies are by mere definition a control mechanism to adjust the loss to the circumstances of the case to achieve a just and equitable outcome. </w:t>
      </w:r>
      <w:r w:rsidR="006779A3">
        <w:rPr>
          <w:rFonts w:ascii="Times New Roman" w:hAnsi="Times New Roman" w:cs="Times New Roman"/>
          <w:bCs/>
          <w:sz w:val="24"/>
          <w:szCs w:val="24"/>
        </w:rPr>
        <w:t>What is reasonable and fair within the subjection of the presiding officer.</w:t>
      </w:r>
      <w:r w:rsidR="00A53F13">
        <w:rPr>
          <w:rFonts w:ascii="Times New Roman" w:hAnsi="Times New Roman" w:cs="Times New Roman"/>
          <w:bCs/>
          <w:sz w:val="24"/>
          <w:szCs w:val="24"/>
        </w:rPr>
        <w:t xml:space="preserve"> These are some factors that </w:t>
      </w:r>
      <w:r w:rsidR="00082293">
        <w:rPr>
          <w:rFonts w:ascii="Times New Roman" w:hAnsi="Times New Roman" w:cs="Times New Roman"/>
          <w:bCs/>
          <w:sz w:val="24"/>
          <w:szCs w:val="24"/>
        </w:rPr>
        <w:t xml:space="preserve">have </w:t>
      </w:r>
      <w:r w:rsidR="00A53F13">
        <w:rPr>
          <w:rFonts w:ascii="Times New Roman" w:hAnsi="Times New Roman" w:cs="Times New Roman"/>
          <w:bCs/>
          <w:sz w:val="24"/>
          <w:szCs w:val="24"/>
        </w:rPr>
        <w:t>evolved in case law as depicted by counsel for the plaintiff:</w:t>
      </w:r>
    </w:p>
    <w:p w14:paraId="682C5A3B" w14:textId="77777777" w:rsidR="00A53F13" w:rsidRPr="007B77C7" w:rsidRDefault="00A53F13" w:rsidP="00A53F13">
      <w:pPr>
        <w:pStyle w:val="ListParagraph"/>
        <w:numPr>
          <w:ilvl w:val="0"/>
          <w:numId w:val="13"/>
        </w:numPr>
        <w:spacing w:after="0" w:line="360" w:lineRule="auto"/>
        <w:ind w:left="1440" w:hanging="720"/>
        <w:jc w:val="both"/>
        <w:rPr>
          <w:rFonts w:ascii="Times New Roman" w:hAnsi="Times New Roman" w:cs="Times New Roman"/>
          <w:bCs/>
          <w:sz w:val="20"/>
          <w:szCs w:val="20"/>
        </w:rPr>
      </w:pPr>
      <w:r w:rsidRPr="007B77C7">
        <w:rPr>
          <w:rFonts w:ascii="Times New Roman" w:hAnsi="Times New Roman" w:cs="Times New Roman"/>
          <w:bCs/>
          <w:sz w:val="20"/>
          <w:szCs w:val="20"/>
        </w:rPr>
        <w:t xml:space="preserve">It is trite that the determination of allowances for contingencies involves, by its very nature, a process of subjective impression or estimation rather than an objective calculation. </w:t>
      </w:r>
    </w:p>
    <w:p w14:paraId="58E7829D" w14:textId="70B0F584" w:rsidR="00A53F13" w:rsidRPr="007B77C7" w:rsidRDefault="00A53F13" w:rsidP="00A53F13">
      <w:pPr>
        <w:pStyle w:val="ListParagraph"/>
        <w:numPr>
          <w:ilvl w:val="0"/>
          <w:numId w:val="13"/>
        </w:numPr>
        <w:spacing w:after="0" w:line="360" w:lineRule="auto"/>
        <w:ind w:left="1440" w:hanging="720"/>
        <w:jc w:val="both"/>
        <w:rPr>
          <w:rFonts w:ascii="Times New Roman" w:hAnsi="Times New Roman" w:cs="Times New Roman"/>
          <w:bCs/>
          <w:sz w:val="20"/>
          <w:szCs w:val="20"/>
        </w:rPr>
      </w:pPr>
      <w:r w:rsidRPr="007B77C7">
        <w:rPr>
          <w:rFonts w:ascii="Times New Roman" w:hAnsi="Times New Roman" w:cs="Times New Roman"/>
          <w:bCs/>
          <w:sz w:val="20"/>
          <w:szCs w:val="20"/>
        </w:rPr>
        <w:t xml:space="preserve">The question of the contingencies deductions to be applied, as is the issue of the calculation of the quantum of a future amount, such as loss of earning capacity, are often difficult matters.  </w:t>
      </w:r>
    </w:p>
    <w:p w14:paraId="6FF0AB4E" w14:textId="439CD84D" w:rsidR="00A53F13" w:rsidRPr="007B77C7" w:rsidRDefault="00A53F13" w:rsidP="00A53F13">
      <w:pPr>
        <w:pStyle w:val="ListParagraph"/>
        <w:numPr>
          <w:ilvl w:val="0"/>
          <w:numId w:val="13"/>
        </w:numPr>
        <w:spacing w:after="0" w:line="360" w:lineRule="auto"/>
        <w:ind w:left="1440" w:hanging="720"/>
        <w:jc w:val="both"/>
        <w:rPr>
          <w:rFonts w:ascii="Times New Roman" w:hAnsi="Times New Roman" w:cs="Times New Roman"/>
          <w:bCs/>
          <w:sz w:val="20"/>
          <w:szCs w:val="20"/>
        </w:rPr>
      </w:pPr>
      <w:r w:rsidRPr="007B77C7">
        <w:rPr>
          <w:rFonts w:ascii="Times New Roman" w:hAnsi="Times New Roman" w:cs="Times New Roman"/>
          <w:bCs/>
          <w:sz w:val="20"/>
          <w:szCs w:val="20"/>
        </w:rPr>
        <w:t xml:space="preserve">The </w:t>
      </w:r>
      <w:r w:rsidR="00082293" w:rsidRPr="007B77C7">
        <w:rPr>
          <w:rFonts w:ascii="Times New Roman" w:hAnsi="Times New Roman" w:cs="Times New Roman"/>
          <w:bCs/>
          <w:sz w:val="20"/>
          <w:szCs w:val="20"/>
        </w:rPr>
        <w:t>c</w:t>
      </w:r>
      <w:r w:rsidRPr="007B77C7">
        <w:rPr>
          <w:rFonts w:ascii="Times New Roman" w:hAnsi="Times New Roman" w:cs="Times New Roman"/>
          <w:bCs/>
          <w:sz w:val="20"/>
          <w:szCs w:val="20"/>
        </w:rPr>
        <w:t xml:space="preserve">ourt has a wide discretion based upon a consideration of all the relevant facts and circumstances. </w:t>
      </w:r>
    </w:p>
    <w:p w14:paraId="4954747A" w14:textId="77777777" w:rsidR="00A53F13" w:rsidRPr="007B77C7" w:rsidRDefault="00A53F13" w:rsidP="00A53F13">
      <w:pPr>
        <w:pStyle w:val="ListParagraph"/>
        <w:numPr>
          <w:ilvl w:val="0"/>
          <w:numId w:val="13"/>
        </w:numPr>
        <w:spacing w:after="0" w:line="360" w:lineRule="auto"/>
        <w:ind w:left="1440" w:hanging="720"/>
        <w:jc w:val="both"/>
        <w:rPr>
          <w:rFonts w:ascii="Times New Roman" w:hAnsi="Times New Roman" w:cs="Times New Roman"/>
          <w:bCs/>
          <w:sz w:val="20"/>
          <w:szCs w:val="20"/>
        </w:rPr>
      </w:pPr>
      <w:r w:rsidRPr="007B77C7">
        <w:rPr>
          <w:rFonts w:ascii="Times New Roman" w:hAnsi="Times New Roman" w:cs="Times New Roman"/>
          <w:bCs/>
          <w:sz w:val="20"/>
          <w:szCs w:val="20"/>
        </w:rPr>
        <w:t xml:space="preserve">Contingencies of whatever nature generally serve as a control mechanism to adjust the loss to the circumstances of the individual case in order to achieve justice and fairness to the parties. </w:t>
      </w:r>
    </w:p>
    <w:p w14:paraId="5F6794BD" w14:textId="1A54D7E0" w:rsidR="00A53F13" w:rsidRPr="007B77C7" w:rsidRDefault="00A53F13" w:rsidP="00A53F13">
      <w:pPr>
        <w:pStyle w:val="ListParagraph"/>
        <w:numPr>
          <w:ilvl w:val="0"/>
          <w:numId w:val="13"/>
        </w:numPr>
        <w:spacing w:after="0" w:line="360" w:lineRule="auto"/>
        <w:ind w:left="1440" w:hanging="720"/>
        <w:jc w:val="both"/>
        <w:rPr>
          <w:rFonts w:ascii="Times New Roman" w:hAnsi="Times New Roman" w:cs="Times New Roman"/>
          <w:bCs/>
          <w:sz w:val="20"/>
          <w:szCs w:val="20"/>
        </w:rPr>
      </w:pPr>
      <w:r w:rsidRPr="007B77C7">
        <w:rPr>
          <w:rFonts w:ascii="Times New Roman" w:hAnsi="Times New Roman" w:cs="Times New Roman"/>
          <w:bCs/>
          <w:sz w:val="20"/>
          <w:szCs w:val="20"/>
        </w:rPr>
        <w:t xml:space="preserve">The provision for contingencies falls squarely within the subjective discretion of the trial </w:t>
      </w:r>
      <w:r w:rsidR="00082293" w:rsidRPr="007B77C7">
        <w:rPr>
          <w:rFonts w:ascii="Times New Roman" w:hAnsi="Times New Roman" w:cs="Times New Roman"/>
          <w:bCs/>
          <w:sz w:val="20"/>
          <w:szCs w:val="20"/>
        </w:rPr>
        <w:t>j</w:t>
      </w:r>
      <w:r w:rsidRPr="007B77C7">
        <w:rPr>
          <w:rFonts w:ascii="Times New Roman" w:hAnsi="Times New Roman" w:cs="Times New Roman"/>
          <w:bCs/>
          <w:sz w:val="20"/>
          <w:szCs w:val="20"/>
        </w:rPr>
        <w:t xml:space="preserve">udge as to what is reasonable and fair. </w:t>
      </w:r>
    </w:p>
    <w:p w14:paraId="3939C58C" w14:textId="3C1282BE" w:rsidR="00A53F13" w:rsidRPr="007B77C7" w:rsidRDefault="00A53F13" w:rsidP="00A53F13">
      <w:pPr>
        <w:pStyle w:val="ListParagraph"/>
        <w:numPr>
          <w:ilvl w:val="0"/>
          <w:numId w:val="13"/>
        </w:numPr>
        <w:spacing w:after="0" w:line="360" w:lineRule="auto"/>
        <w:ind w:left="1440" w:hanging="720"/>
        <w:jc w:val="both"/>
        <w:rPr>
          <w:rFonts w:ascii="Times New Roman" w:hAnsi="Times New Roman" w:cs="Times New Roman"/>
          <w:bCs/>
          <w:sz w:val="20"/>
          <w:szCs w:val="20"/>
        </w:rPr>
      </w:pPr>
      <w:r w:rsidRPr="007B77C7">
        <w:rPr>
          <w:rFonts w:ascii="Times New Roman" w:hAnsi="Times New Roman" w:cs="Times New Roman"/>
          <w:bCs/>
          <w:sz w:val="20"/>
          <w:szCs w:val="20"/>
        </w:rPr>
        <w:t xml:space="preserve">In coming to a contingency calculation there are no fixed rules and direct evidence cannot be given by an </w:t>
      </w:r>
      <w:r w:rsidR="00D722AD" w:rsidRPr="007B77C7">
        <w:rPr>
          <w:rFonts w:ascii="Times New Roman" w:hAnsi="Times New Roman" w:cs="Times New Roman"/>
          <w:bCs/>
          <w:sz w:val="20"/>
          <w:szCs w:val="20"/>
        </w:rPr>
        <w:t>A</w:t>
      </w:r>
      <w:r w:rsidRPr="007B77C7">
        <w:rPr>
          <w:rFonts w:ascii="Times New Roman" w:hAnsi="Times New Roman" w:cs="Times New Roman"/>
          <w:bCs/>
          <w:sz w:val="20"/>
          <w:szCs w:val="20"/>
        </w:rPr>
        <w:t xml:space="preserve">ctuary. Actuarial evidence only serves as a guide to the Court.  </w:t>
      </w:r>
    </w:p>
    <w:p w14:paraId="53C4BEF2" w14:textId="75671A84" w:rsidR="00A53F13" w:rsidRPr="007B77C7" w:rsidRDefault="00A53F13" w:rsidP="00A53F13">
      <w:pPr>
        <w:pStyle w:val="ListParagraph"/>
        <w:numPr>
          <w:ilvl w:val="0"/>
          <w:numId w:val="13"/>
        </w:numPr>
        <w:spacing w:after="0" w:line="360" w:lineRule="auto"/>
        <w:ind w:left="1440" w:hanging="720"/>
        <w:jc w:val="both"/>
        <w:rPr>
          <w:rFonts w:ascii="Times New Roman" w:hAnsi="Times New Roman" w:cs="Times New Roman"/>
          <w:bCs/>
          <w:sz w:val="20"/>
          <w:szCs w:val="20"/>
        </w:rPr>
      </w:pPr>
      <w:r w:rsidRPr="007B77C7">
        <w:rPr>
          <w:rFonts w:ascii="Times New Roman" w:hAnsi="Times New Roman" w:cs="Times New Roman"/>
          <w:bCs/>
          <w:sz w:val="20"/>
          <w:szCs w:val="20"/>
        </w:rPr>
        <w:t xml:space="preserve">Contingency deductions imply that provision is made for the prospective loss at the time of assessment of damages </w:t>
      </w:r>
      <w:r w:rsidR="002F2C01">
        <w:rPr>
          <w:rFonts w:ascii="Times New Roman" w:hAnsi="Times New Roman" w:cs="Times New Roman"/>
          <w:bCs/>
          <w:sz w:val="20"/>
          <w:szCs w:val="20"/>
        </w:rPr>
        <w:t xml:space="preserve">that </w:t>
      </w:r>
      <w:r w:rsidRPr="007B77C7">
        <w:rPr>
          <w:rFonts w:ascii="Times New Roman" w:hAnsi="Times New Roman" w:cs="Times New Roman"/>
          <w:bCs/>
          <w:sz w:val="20"/>
          <w:szCs w:val="20"/>
        </w:rPr>
        <w:t xml:space="preserve">might in any event possibly have occurred independently of the accident in question.   </w:t>
      </w:r>
    </w:p>
    <w:p w14:paraId="11B3D9F0" w14:textId="77777777" w:rsidR="00A53F13" w:rsidRPr="007B77C7" w:rsidRDefault="00A53F13" w:rsidP="00A53F13">
      <w:pPr>
        <w:pStyle w:val="ListParagraph"/>
        <w:numPr>
          <w:ilvl w:val="0"/>
          <w:numId w:val="13"/>
        </w:numPr>
        <w:spacing w:after="0" w:line="360" w:lineRule="auto"/>
        <w:ind w:left="1440" w:hanging="720"/>
        <w:jc w:val="both"/>
        <w:rPr>
          <w:rFonts w:ascii="Times New Roman" w:hAnsi="Times New Roman" w:cs="Times New Roman"/>
          <w:bCs/>
          <w:sz w:val="20"/>
          <w:szCs w:val="20"/>
        </w:rPr>
      </w:pPr>
      <w:r w:rsidRPr="007B77C7">
        <w:rPr>
          <w:rFonts w:ascii="Times New Roman" w:hAnsi="Times New Roman" w:cs="Times New Roman"/>
          <w:bCs/>
          <w:sz w:val="20"/>
          <w:szCs w:val="20"/>
        </w:rPr>
        <w:t xml:space="preserve">The usual effect of an adjustment based on contingencies is that the amount of damages are reduced by a percentage which may vary from 5% and 50%.  </w:t>
      </w:r>
    </w:p>
    <w:p w14:paraId="23529200" w14:textId="77777777" w:rsidR="00A53F13" w:rsidRPr="007B77C7" w:rsidRDefault="00A53F13" w:rsidP="00A53F13">
      <w:pPr>
        <w:pStyle w:val="ListParagraph"/>
        <w:numPr>
          <w:ilvl w:val="0"/>
          <w:numId w:val="13"/>
        </w:numPr>
        <w:spacing w:after="0" w:line="360" w:lineRule="auto"/>
        <w:ind w:left="1440" w:hanging="720"/>
        <w:jc w:val="both"/>
        <w:rPr>
          <w:rFonts w:ascii="Times New Roman" w:hAnsi="Times New Roman" w:cs="Times New Roman"/>
          <w:bCs/>
          <w:sz w:val="20"/>
          <w:szCs w:val="20"/>
        </w:rPr>
      </w:pPr>
      <w:r w:rsidRPr="007B77C7">
        <w:rPr>
          <w:rFonts w:ascii="Times New Roman" w:hAnsi="Times New Roman" w:cs="Times New Roman"/>
          <w:bCs/>
          <w:sz w:val="20"/>
          <w:szCs w:val="20"/>
        </w:rPr>
        <w:t xml:space="preserve">However, contingencies should logically not always reduce damages, since it should also be possible to consider positive contingencies which may increase the damages. </w:t>
      </w:r>
    </w:p>
    <w:p w14:paraId="4EC78681" w14:textId="77777777" w:rsidR="00A53F13" w:rsidRPr="007B77C7" w:rsidRDefault="00A53F13" w:rsidP="00A53F13">
      <w:pPr>
        <w:pStyle w:val="ListParagraph"/>
        <w:numPr>
          <w:ilvl w:val="0"/>
          <w:numId w:val="13"/>
        </w:numPr>
        <w:spacing w:after="0" w:line="360" w:lineRule="auto"/>
        <w:ind w:left="1440" w:hanging="720"/>
        <w:jc w:val="both"/>
        <w:rPr>
          <w:rFonts w:ascii="Times New Roman" w:hAnsi="Times New Roman" w:cs="Times New Roman"/>
          <w:bCs/>
          <w:sz w:val="20"/>
          <w:szCs w:val="20"/>
        </w:rPr>
      </w:pPr>
      <w:r w:rsidRPr="007B77C7">
        <w:rPr>
          <w:rFonts w:ascii="Times New Roman" w:hAnsi="Times New Roman" w:cs="Times New Roman"/>
          <w:bCs/>
          <w:sz w:val="20"/>
          <w:szCs w:val="20"/>
        </w:rPr>
        <w:t xml:space="preserve">Henochsberg J concluded that in any estimate of the person’s loss of earning capacity allowance must be made for all contingencies including the vicissitudes of life and certain deductions must be made from the gross income to allow for unemployment benefits, insurance and so on. </w:t>
      </w:r>
    </w:p>
    <w:p w14:paraId="6EA7DB7A" w14:textId="26427B4D" w:rsidR="009D30BA" w:rsidRPr="007B77C7" w:rsidRDefault="00A53F13" w:rsidP="009D30BA">
      <w:pPr>
        <w:pStyle w:val="ListParagraph"/>
        <w:numPr>
          <w:ilvl w:val="0"/>
          <w:numId w:val="13"/>
        </w:numPr>
        <w:spacing w:after="0" w:line="360" w:lineRule="auto"/>
        <w:ind w:left="1440" w:hanging="720"/>
        <w:jc w:val="both"/>
        <w:rPr>
          <w:rFonts w:ascii="Times New Roman" w:hAnsi="Times New Roman" w:cs="Times New Roman"/>
          <w:bCs/>
          <w:sz w:val="20"/>
          <w:szCs w:val="20"/>
        </w:rPr>
      </w:pPr>
      <w:r w:rsidRPr="007B77C7">
        <w:rPr>
          <w:rFonts w:ascii="Times New Roman" w:hAnsi="Times New Roman" w:cs="Times New Roman"/>
          <w:bCs/>
          <w:sz w:val="20"/>
          <w:szCs w:val="20"/>
        </w:rPr>
        <w:t>This configuration would include – a possibility that a Plaintiff’s working life may have been less than 65 years; a possibility of his death before he reaches the age of 65 years; the likelihood of him suffering an illness of long duration; unemployment;</w:t>
      </w:r>
      <w:r w:rsidR="009D30BA" w:rsidRPr="007B77C7">
        <w:rPr>
          <w:rFonts w:ascii="Times New Roman" w:hAnsi="Times New Roman" w:cs="Times New Roman"/>
          <w:bCs/>
          <w:sz w:val="20"/>
          <w:szCs w:val="20"/>
        </w:rPr>
        <w:t xml:space="preserve"> </w:t>
      </w:r>
      <w:r w:rsidRPr="007B77C7">
        <w:rPr>
          <w:rFonts w:ascii="Times New Roman" w:hAnsi="Times New Roman" w:cs="Times New Roman"/>
          <w:bCs/>
          <w:sz w:val="20"/>
          <w:szCs w:val="20"/>
        </w:rPr>
        <w:t>inflation and deflation;</w:t>
      </w:r>
      <w:r w:rsidR="009D30BA" w:rsidRPr="007B77C7">
        <w:rPr>
          <w:rFonts w:ascii="Times New Roman" w:hAnsi="Times New Roman" w:cs="Times New Roman"/>
          <w:bCs/>
          <w:sz w:val="20"/>
          <w:szCs w:val="20"/>
        </w:rPr>
        <w:t xml:space="preserve"> </w:t>
      </w:r>
      <w:r w:rsidRPr="007B77C7">
        <w:rPr>
          <w:rFonts w:ascii="Times New Roman" w:hAnsi="Times New Roman" w:cs="Times New Roman"/>
          <w:bCs/>
          <w:sz w:val="20"/>
          <w:szCs w:val="20"/>
        </w:rPr>
        <w:t>alterations on the cost of living allowance;</w:t>
      </w:r>
      <w:r w:rsidR="009D30BA" w:rsidRPr="007B77C7">
        <w:rPr>
          <w:rFonts w:ascii="Times New Roman" w:hAnsi="Times New Roman" w:cs="Times New Roman"/>
          <w:bCs/>
          <w:sz w:val="20"/>
          <w:szCs w:val="20"/>
        </w:rPr>
        <w:t xml:space="preserve"> </w:t>
      </w:r>
      <w:r w:rsidRPr="007B77C7">
        <w:rPr>
          <w:rFonts w:ascii="Times New Roman" w:hAnsi="Times New Roman" w:cs="Times New Roman"/>
          <w:bCs/>
          <w:sz w:val="20"/>
          <w:szCs w:val="20"/>
        </w:rPr>
        <w:t xml:space="preserve">an accident whilst participating in sport such as hockey or cricket or at any other time which would affect his earning capacity; and any other contingency that may affect his earning capacity. </w:t>
      </w:r>
    </w:p>
    <w:p w14:paraId="603BE1C7" w14:textId="77777777" w:rsidR="009D30BA" w:rsidRPr="007B77C7" w:rsidRDefault="00A53F13" w:rsidP="009D30BA">
      <w:pPr>
        <w:pStyle w:val="ListParagraph"/>
        <w:numPr>
          <w:ilvl w:val="0"/>
          <w:numId w:val="13"/>
        </w:numPr>
        <w:spacing w:after="0" w:line="360" w:lineRule="auto"/>
        <w:ind w:left="1440" w:hanging="720"/>
        <w:jc w:val="both"/>
        <w:rPr>
          <w:rFonts w:ascii="Times New Roman" w:hAnsi="Times New Roman" w:cs="Times New Roman"/>
          <w:bCs/>
          <w:sz w:val="20"/>
          <w:szCs w:val="20"/>
        </w:rPr>
      </w:pPr>
      <w:r w:rsidRPr="007B77C7">
        <w:rPr>
          <w:rFonts w:ascii="Times New Roman" w:hAnsi="Times New Roman" w:cs="Times New Roman"/>
          <w:bCs/>
          <w:sz w:val="20"/>
          <w:szCs w:val="20"/>
        </w:rPr>
        <w:t xml:space="preserve">Contingencies have been described as a normal consequences and circumstances of life, which beset every human being and which directly affect the amount that a Plaintiff would have earned. </w:t>
      </w:r>
    </w:p>
    <w:p w14:paraId="47C43122" w14:textId="0EA57B72" w:rsidR="009D30BA" w:rsidRPr="007B77C7" w:rsidRDefault="00A53F13" w:rsidP="009D30BA">
      <w:pPr>
        <w:pStyle w:val="ListParagraph"/>
        <w:numPr>
          <w:ilvl w:val="0"/>
          <w:numId w:val="13"/>
        </w:numPr>
        <w:spacing w:after="0" w:line="360" w:lineRule="auto"/>
        <w:ind w:left="1440" w:hanging="720"/>
        <w:jc w:val="both"/>
        <w:rPr>
          <w:rFonts w:ascii="Times New Roman" w:hAnsi="Times New Roman" w:cs="Times New Roman"/>
          <w:bCs/>
          <w:sz w:val="20"/>
          <w:szCs w:val="20"/>
        </w:rPr>
      </w:pPr>
      <w:r w:rsidRPr="007B77C7">
        <w:rPr>
          <w:rFonts w:ascii="Times New Roman" w:hAnsi="Times New Roman" w:cs="Times New Roman"/>
          <w:bCs/>
          <w:sz w:val="20"/>
          <w:szCs w:val="20"/>
        </w:rPr>
        <w:t xml:space="preserve">According to Dr. Koch in his book, the Quantum Yearbook, it is stated that when assessing damages for loss of earnings or support it is usual for deductions to be made for general contingencies for which no explicit allowance has been made in the </w:t>
      </w:r>
      <w:r w:rsidR="00053430" w:rsidRPr="007B77C7">
        <w:rPr>
          <w:rFonts w:ascii="Times New Roman" w:hAnsi="Times New Roman" w:cs="Times New Roman"/>
          <w:bCs/>
          <w:sz w:val="20"/>
          <w:szCs w:val="20"/>
        </w:rPr>
        <w:t>A</w:t>
      </w:r>
      <w:r w:rsidRPr="007B77C7">
        <w:rPr>
          <w:rFonts w:ascii="Times New Roman" w:hAnsi="Times New Roman" w:cs="Times New Roman"/>
          <w:bCs/>
          <w:sz w:val="20"/>
          <w:szCs w:val="20"/>
        </w:rPr>
        <w:t>ctuary</w:t>
      </w:r>
      <w:r w:rsidR="00053430" w:rsidRPr="007B77C7">
        <w:rPr>
          <w:rFonts w:ascii="Times New Roman" w:hAnsi="Times New Roman" w:cs="Times New Roman"/>
          <w:bCs/>
          <w:sz w:val="20"/>
          <w:szCs w:val="20"/>
        </w:rPr>
        <w:t>’s</w:t>
      </w:r>
      <w:r w:rsidRPr="007B77C7">
        <w:rPr>
          <w:rFonts w:ascii="Times New Roman" w:hAnsi="Times New Roman" w:cs="Times New Roman"/>
          <w:bCs/>
          <w:sz w:val="20"/>
          <w:szCs w:val="20"/>
        </w:rPr>
        <w:t xml:space="preserve"> calculation.  </w:t>
      </w:r>
    </w:p>
    <w:p w14:paraId="31A92002" w14:textId="5F80F9A3" w:rsidR="009D30BA" w:rsidRPr="007B77C7" w:rsidRDefault="00A53F13" w:rsidP="009D30BA">
      <w:pPr>
        <w:pStyle w:val="ListParagraph"/>
        <w:numPr>
          <w:ilvl w:val="0"/>
          <w:numId w:val="13"/>
        </w:numPr>
        <w:spacing w:after="0" w:line="360" w:lineRule="auto"/>
        <w:ind w:left="1440" w:hanging="720"/>
        <w:jc w:val="both"/>
        <w:rPr>
          <w:rFonts w:ascii="Times New Roman" w:hAnsi="Times New Roman" w:cs="Times New Roman"/>
          <w:bCs/>
          <w:sz w:val="20"/>
          <w:szCs w:val="20"/>
        </w:rPr>
      </w:pPr>
      <w:r w:rsidRPr="007B77C7">
        <w:rPr>
          <w:rFonts w:ascii="Times New Roman" w:hAnsi="Times New Roman" w:cs="Times New Roman"/>
          <w:bCs/>
          <w:sz w:val="20"/>
          <w:szCs w:val="20"/>
        </w:rPr>
        <w:lastRenderedPageBreak/>
        <w:t xml:space="preserve">The deduction is in the prerogative of the Court. General contingencies cover a wide range of considerations which may vary from case to case and may include:  taxation, early death, loss of employment, promotion prospect, divorce etc. </w:t>
      </w:r>
    </w:p>
    <w:p w14:paraId="0BAB2020" w14:textId="6D8329FD" w:rsidR="009D30BA" w:rsidRPr="007B77C7" w:rsidRDefault="00A53F13" w:rsidP="009D30BA">
      <w:pPr>
        <w:pStyle w:val="ListParagraph"/>
        <w:numPr>
          <w:ilvl w:val="0"/>
          <w:numId w:val="13"/>
        </w:numPr>
        <w:spacing w:after="0" w:line="360" w:lineRule="auto"/>
        <w:ind w:left="1440" w:hanging="720"/>
        <w:jc w:val="both"/>
        <w:rPr>
          <w:rFonts w:ascii="Times New Roman" w:hAnsi="Times New Roman" w:cs="Times New Roman"/>
          <w:bCs/>
          <w:sz w:val="20"/>
          <w:szCs w:val="20"/>
        </w:rPr>
      </w:pPr>
      <w:r w:rsidRPr="007B77C7">
        <w:rPr>
          <w:rFonts w:ascii="Times New Roman" w:hAnsi="Times New Roman" w:cs="Times New Roman"/>
          <w:bCs/>
          <w:sz w:val="20"/>
          <w:szCs w:val="20"/>
        </w:rPr>
        <w:t>In substantiation of the aforementioned, Dr. Koch refers to some guideline in respect of contingencies:</w:t>
      </w:r>
      <w:r w:rsidR="009D30BA" w:rsidRPr="007B77C7">
        <w:rPr>
          <w:rFonts w:ascii="Times New Roman" w:hAnsi="Times New Roman" w:cs="Times New Roman"/>
          <w:bCs/>
          <w:sz w:val="20"/>
          <w:szCs w:val="20"/>
        </w:rPr>
        <w:t xml:space="preserve"> </w:t>
      </w:r>
      <w:r w:rsidRPr="007B77C7">
        <w:rPr>
          <w:rFonts w:ascii="Times New Roman" w:hAnsi="Times New Roman" w:cs="Times New Roman"/>
          <w:bCs/>
          <w:sz w:val="20"/>
          <w:szCs w:val="20"/>
        </w:rPr>
        <w:t xml:space="preserve">“Normal contingencies”:  as deductions of 5% for past loss and 15% for future </w:t>
      </w:r>
      <w:r w:rsidR="009D30BA" w:rsidRPr="007B77C7">
        <w:rPr>
          <w:rFonts w:ascii="Times New Roman" w:hAnsi="Times New Roman" w:cs="Times New Roman"/>
          <w:bCs/>
          <w:sz w:val="20"/>
          <w:szCs w:val="20"/>
        </w:rPr>
        <w:t>loss, “a</w:t>
      </w:r>
      <w:r w:rsidRPr="007B77C7">
        <w:rPr>
          <w:rFonts w:ascii="Times New Roman" w:hAnsi="Times New Roman" w:cs="Times New Roman"/>
          <w:bCs/>
          <w:sz w:val="20"/>
          <w:szCs w:val="20"/>
        </w:rPr>
        <w:t xml:space="preserve"> sliding scale”:  half % per year to retirement age, </w:t>
      </w:r>
      <w:r w:rsidR="00511070" w:rsidRPr="007B77C7">
        <w:rPr>
          <w:rFonts w:ascii="Times New Roman" w:hAnsi="Times New Roman" w:cs="Times New Roman"/>
          <w:bCs/>
          <w:sz w:val="20"/>
          <w:szCs w:val="20"/>
        </w:rPr>
        <w:t>i.e.,</w:t>
      </w:r>
      <w:r w:rsidRPr="007B77C7">
        <w:rPr>
          <w:rFonts w:ascii="Times New Roman" w:hAnsi="Times New Roman" w:cs="Times New Roman"/>
          <w:bCs/>
          <w:sz w:val="20"/>
          <w:szCs w:val="20"/>
        </w:rPr>
        <w:t xml:space="preserve"> 25% for a child, 20% for a youth and 10% in the middle age</w:t>
      </w:r>
      <w:r w:rsidR="009D30BA" w:rsidRPr="007B77C7">
        <w:rPr>
          <w:rFonts w:ascii="Times New Roman" w:hAnsi="Times New Roman" w:cs="Times New Roman"/>
          <w:bCs/>
          <w:sz w:val="20"/>
          <w:szCs w:val="20"/>
        </w:rPr>
        <w:t xml:space="preserve"> and d</w:t>
      </w:r>
      <w:r w:rsidRPr="007B77C7">
        <w:rPr>
          <w:rFonts w:ascii="Times New Roman" w:hAnsi="Times New Roman" w:cs="Times New Roman"/>
          <w:bCs/>
          <w:sz w:val="20"/>
          <w:szCs w:val="20"/>
        </w:rPr>
        <w:t xml:space="preserve">eferential contingencies are commonly applied that is to say 1% apply to earnings but for the accident a different percentage earnings having regard to the accident. </w:t>
      </w:r>
    </w:p>
    <w:p w14:paraId="4648CF2A" w14:textId="77777777" w:rsidR="009D30BA" w:rsidRPr="007B77C7" w:rsidRDefault="00A53F13" w:rsidP="009D30BA">
      <w:pPr>
        <w:pStyle w:val="ListParagraph"/>
        <w:numPr>
          <w:ilvl w:val="0"/>
          <w:numId w:val="13"/>
        </w:numPr>
        <w:spacing w:after="0" w:line="360" w:lineRule="auto"/>
        <w:ind w:left="1440" w:hanging="720"/>
        <w:jc w:val="both"/>
        <w:rPr>
          <w:rFonts w:ascii="Times New Roman" w:hAnsi="Times New Roman" w:cs="Times New Roman"/>
          <w:bCs/>
          <w:sz w:val="20"/>
          <w:szCs w:val="20"/>
        </w:rPr>
      </w:pPr>
      <w:r w:rsidRPr="007B77C7">
        <w:rPr>
          <w:rFonts w:ascii="Times New Roman" w:hAnsi="Times New Roman" w:cs="Times New Roman"/>
          <w:bCs/>
          <w:sz w:val="20"/>
          <w:szCs w:val="20"/>
        </w:rPr>
        <w:t xml:space="preserve">The assessment of contingencies is largely arbitrary and depends on the court’s impression of the case. The contingencies allow for general hazards of life such as periods of unemployment, possible loss of earnings due to illness and risk of future retrenchments. </w:t>
      </w:r>
    </w:p>
    <w:p w14:paraId="3F9325A4" w14:textId="77777777" w:rsidR="009D30BA" w:rsidRPr="007B77C7" w:rsidRDefault="00A53F13" w:rsidP="009D30BA">
      <w:pPr>
        <w:pStyle w:val="ListParagraph"/>
        <w:numPr>
          <w:ilvl w:val="0"/>
          <w:numId w:val="13"/>
        </w:numPr>
        <w:spacing w:after="0" w:line="360" w:lineRule="auto"/>
        <w:ind w:left="1440" w:hanging="720"/>
        <w:jc w:val="both"/>
        <w:rPr>
          <w:rFonts w:ascii="Times New Roman" w:hAnsi="Times New Roman" w:cs="Times New Roman"/>
          <w:bCs/>
          <w:sz w:val="20"/>
          <w:szCs w:val="20"/>
        </w:rPr>
      </w:pPr>
      <w:r w:rsidRPr="007B77C7">
        <w:rPr>
          <w:rFonts w:ascii="Times New Roman" w:hAnsi="Times New Roman" w:cs="Times New Roman"/>
          <w:bCs/>
          <w:sz w:val="20"/>
          <w:szCs w:val="20"/>
        </w:rPr>
        <w:t xml:space="preserve">There are guidelines to assist the court. Generally, the younger a claimant, and the longer the remaining working life of a claimant, there is more likely the possibility of an unforeseen event impacting on the assumed trajectory of his or her remaining career. </w:t>
      </w:r>
    </w:p>
    <w:p w14:paraId="36AA8075" w14:textId="77777777" w:rsidR="009D30BA" w:rsidRPr="007B77C7" w:rsidRDefault="00A53F13" w:rsidP="009D30BA">
      <w:pPr>
        <w:pStyle w:val="ListParagraph"/>
        <w:numPr>
          <w:ilvl w:val="0"/>
          <w:numId w:val="13"/>
        </w:numPr>
        <w:spacing w:after="0" w:line="360" w:lineRule="auto"/>
        <w:ind w:left="1440" w:hanging="720"/>
        <w:jc w:val="both"/>
        <w:rPr>
          <w:rFonts w:ascii="Times New Roman" w:hAnsi="Times New Roman" w:cs="Times New Roman"/>
          <w:bCs/>
          <w:sz w:val="20"/>
          <w:szCs w:val="20"/>
        </w:rPr>
      </w:pPr>
      <w:r w:rsidRPr="007B77C7">
        <w:rPr>
          <w:rFonts w:ascii="Times New Roman" w:hAnsi="Times New Roman" w:cs="Times New Roman"/>
          <w:bCs/>
          <w:sz w:val="20"/>
          <w:szCs w:val="20"/>
        </w:rPr>
        <w:t xml:space="preserve">Over time, our courts have accepted that the extent of the period over which a plaintiff’s income has to be established has a direct influence on the extent to which contingencies have to be accounted for. Put differently, the longer period over which unforeseen contingencies can have an influence over the accuracy of the amount adjudged to be the probable income of the plaintiff, the higher the contingencies that have to be applied.  </w:t>
      </w:r>
    </w:p>
    <w:p w14:paraId="588946FF" w14:textId="7D475F38" w:rsidR="00A53F13" w:rsidRPr="007B77C7" w:rsidRDefault="00A53F13" w:rsidP="009D30BA">
      <w:pPr>
        <w:pStyle w:val="ListParagraph"/>
        <w:numPr>
          <w:ilvl w:val="0"/>
          <w:numId w:val="13"/>
        </w:numPr>
        <w:spacing w:after="0" w:line="360" w:lineRule="auto"/>
        <w:ind w:left="1440" w:hanging="720"/>
        <w:jc w:val="both"/>
        <w:rPr>
          <w:rFonts w:ascii="Times New Roman" w:hAnsi="Times New Roman" w:cs="Times New Roman"/>
          <w:bCs/>
          <w:sz w:val="20"/>
          <w:szCs w:val="20"/>
        </w:rPr>
      </w:pPr>
      <w:r w:rsidRPr="007B77C7">
        <w:rPr>
          <w:rFonts w:ascii="Times New Roman" w:hAnsi="Times New Roman" w:cs="Times New Roman"/>
          <w:bCs/>
          <w:sz w:val="20"/>
          <w:szCs w:val="20"/>
        </w:rPr>
        <w:t>In past cases, the Supreme Court of Appeal has found the appropriate pre-morbid contingency for a young man of 26 years was 20% which would decrease on a sliding scale as the claimant got older. Although dependant on the specific circumstances of each case, it serves as a convenient starting point.</w:t>
      </w:r>
    </w:p>
    <w:p w14:paraId="088F06DB" w14:textId="33AEBC4D" w:rsidR="009C7673" w:rsidRDefault="00A53F13" w:rsidP="00082293">
      <w:pPr>
        <w:spacing w:after="0" w:line="36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ab/>
      </w:r>
      <w:r w:rsidR="006779A3">
        <w:rPr>
          <w:rFonts w:ascii="Times New Roman" w:hAnsi="Times New Roman" w:cs="Times New Roman"/>
          <w:bCs/>
          <w:sz w:val="24"/>
          <w:szCs w:val="24"/>
        </w:rPr>
        <w:t xml:space="preserve"> </w:t>
      </w:r>
      <w:r w:rsidR="009C7673">
        <w:rPr>
          <w:rFonts w:ascii="Times New Roman" w:hAnsi="Times New Roman" w:cs="Times New Roman"/>
          <w:bCs/>
          <w:sz w:val="24"/>
          <w:szCs w:val="24"/>
        </w:rPr>
        <w:t xml:space="preserve"> </w:t>
      </w:r>
    </w:p>
    <w:p w14:paraId="2D4F77FD" w14:textId="24F46DF8" w:rsidR="006779A3" w:rsidRPr="006779A3" w:rsidRDefault="009C7673" w:rsidP="006779A3">
      <w:pPr>
        <w:spacing w:after="0" w:line="360" w:lineRule="auto"/>
        <w:ind w:left="720" w:hanging="720"/>
        <w:jc w:val="both"/>
        <w:rPr>
          <w:rFonts w:ascii="Times New Roman" w:hAnsi="Times New Roman" w:cs="Times New Roman"/>
          <w:b/>
          <w:bCs/>
          <w:sz w:val="24"/>
          <w:szCs w:val="24"/>
        </w:rPr>
      </w:pPr>
      <w:r w:rsidRPr="006779A3">
        <w:rPr>
          <w:rFonts w:ascii="Times New Roman" w:hAnsi="Times New Roman" w:cs="Times New Roman"/>
          <w:bCs/>
          <w:sz w:val="24"/>
          <w:szCs w:val="24"/>
        </w:rPr>
        <w:t>[</w:t>
      </w:r>
      <w:r w:rsidR="00667524">
        <w:rPr>
          <w:rFonts w:ascii="Times New Roman" w:hAnsi="Times New Roman" w:cs="Times New Roman"/>
          <w:bCs/>
          <w:sz w:val="24"/>
          <w:szCs w:val="24"/>
        </w:rPr>
        <w:t>9</w:t>
      </w:r>
      <w:r w:rsidRPr="006779A3">
        <w:rPr>
          <w:rFonts w:ascii="Times New Roman" w:hAnsi="Times New Roman" w:cs="Times New Roman"/>
          <w:bCs/>
          <w:sz w:val="24"/>
          <w:szCs w:val="24"/>
        </w:rPr>
        <w:t>]</w:t>
      </w:r>
      <w:r w:rsidRPr="006779A3">
        <w:rPr>
          <w:rFonts w:ascii="Times New Roman" w:hAnsi="Times New Roman" w:cs="Times New Roman"/>
          <w:bCs/>
          <w:sz w:val="24"/>
          <w:szCs w:val="24"/>
        </w:rPr>
        <w:tab/>
      </w:r>
      <w:r w:rsidR="006779A3" w:rsidRPr="006779A3">
        <w:rPr>
          <w:rFonts w:ascii="Times New Roman" w:hAnsi="Times New Roman" w:cs="Times New Roman"/>
          <w:bCs/>
          <w:sz w:val="24"/>
          <w:szCs w:val="24"/>
        </w:rPr>
        <w:t>There are no fixed rules. The evidence of experts and actuaries serves as guidance to the courts.</w:t>
      </w:r>
      <w:r w:rsidR="006779A3" w:rsidRPr="006779A3">
        <w:rPr>
          <w:rFonts w:ascii="Times New Roman" w:eastAsia="Times New Roman" w:hAnsi="Times New Roman" w:cs="Times New Roman"/>
          <w:sz w:val="24"/>
          <w:szCs w:val="24"/>
        </w:rPr>
        <w:t xml:space="preserve"> </w:t>
      </w:r>
    </w:p>
    <w:p w14:paraId="5CBAE1D3" w14:textId="77777777" w:rsidR="006779A3" w:rsidRDefault="006779A3" w:rsidP="006779A3">
      <w:pPr>
        <w:pStyle w:val="ListParagraph"/>
        <w:spacing w:after="0" w:line="360" w:lineRule="auto"/>
        <w:ind w:left="851"/>
        <w:jc w:val="both"/>
        <w:rPr>
          <w:rFonts w:ascii="Times New Roman" w:hAnsi="Times New Roman" w:cs="Times New Roman"/>
          <w:b/>
          <w:bCs/>
          <w:sz w:val="24"/>
          <w:szCs w:val="24"/>
        </w:rPr>
      </w:pPr>
    </w:p>
    <w:p w14:paraId="6D882D5F" w14:textId="2EDDCBCC" w:rsidR="006779A3" w:rsidRDefault="006779A3" w:rsidP="006779A3">
      <w:pPr>
        <w:spacing w:after="0" w:line="36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w:t>
      </w:r>
      <w:r w:rsidR="00667524">
        <w:rPr>
          <w:rFonts w:ascii="Times New Roman" w:hAnsi="Times New Roman" w:cs="Times New Roman"/>
          <w:bCs/>
          <w:sz w:val="24"/>
          <w:szCs w:val="24"/>
        </w:rPr>
        <w:t>10</w:t>
      </w:r>
      <w:r>
        <w:rPr>
          <w:rFonts w:ascii="Times New Roman" w:hAnsi="Times New Roman" w:cs="Times New Roman"/>
          <w:bCs/>
          <w:sz w:val="24"/>
          <w:szCs w:val="24"/>
        </w:rPr>
        <w:t>]</w:t>
      </w:r>
      <w:r>
        <w:rPr>
          <w:rFonts w:ascii="Times New Roman" w:hAnsi="Times New Roman" w:cs="Times New Roman"/>
          <w:bCs/>
          <w:sz w:val="24"/>
          <w:szCs w:val="24"/>
        </w:rPr>
        <w:tab/>
        <w:t xml:space="preserve">The case of </w:t>
      </w:r>
      <w:r w:rsidRPr="002D7C9D">
        <w:rPr>
          <w:rFonts w:ascii="Times New Roman" w:hAnsi="Times New Roman" w:cs="Times New Roman"/>
          <w:bCs/>
          <w:i/>
          <w:iCs/>
          <w:sz w:val="24"/>
          <w:szCs w:val="24"/>
        </w:rPr>
        <w:t>National Justice Compania Naviera S.A v Prudential Assurance Co Ltd</w:t>
      </w:r>
      <w:r>
        <w:rPr>
          <w:rFonts w:ascii="Times New Roman" w:hAnsi="Times New Roman" w:cs="Times New Roman"/>
          <w:bCs/>
          <w:sz w:val="24"/>
          <w:szCs w:val="24"/>
        </w:rPr>
        <w:t xml:space="preserve"> 1993 (2) Lloyds Reports 68-81 set out the duty and role of an expert. </w:t>
      </w:r>
    </w:p>
    <w:p w14:paraId="1C4196D7" w14:textId="77777777" w:rsidR="006779A3" w:rsidRDefault="006779A3" w:rsidP="006779A3">
      <w:pPr>
        <w:spacing w:line="360" w:lineRule="auto"/>
        <w:ind w:left="1440" w:hanging="720"/>
        <w:jc w:val="both"/>
        <w:rPr>
          <w:rFonts w:ascii="Times New Roman" w:hAnsi="Times New Roman" w:cs="Times New Roman"/>
          <w:bCs/>
          <w:sz w:val="20"/>
          <w:szCs w:val="20"/>
        </w:rPr>
      </w:pPr>
      <w:r>
        <w:rPr>
          <w:rFonts w:ascii="Times New Roman" w:hAnsi="Times New Roman" w:cs="Times New Roman"/>
          <w:bCs/>
          <w:sz w:val="20"/>
          <w:szCs w:val="20"/>
        </w:rPr>
        <w:t xml:space="preserve">1. </w:t>
      </w:r>
      <w:r>
        <w:rPr>
          <w:rFonts w:ascii="Times New Roman" w:hAnsi="Times New Roman" w:cs="Times New Roman"/>
          <w:bCs/>
          <w:sz w:val="20"/>
          <w:szCs w:val="20"/>
        </w:rPr>
        <w:tab/>
        <w:t>Expert evidence presented to the court should be, and should be seen to be, the independent product of the expert uninfluenced as to form or content by the exigencies of litigation.</w:t>
      </w:r>
    </w:p>
    <w:p w14:paraId="1B447D5D" w14:textId="77777777" w:rsidR="006779A3" w:rsidRDefault="006779A3" w:rsidP="006779A3">
      <w:pPr>
        <w:spacing w:line="360" w:lineRule="auto"/>
        <w:ind w:left="1440" w:hanging="720"/>
        <w:jc w:val="both"/>
        <w:rPr>
          <w:rFonts w:ascii="Times New Roman" w:hAnsi="Times New Roman" w:cs="Times New Roman"/>
          <w:bCs/>
          <w:sz w:val="20"/>
          <w:szCs w:val="20"/>
        </w:rPr>
      </w:pPr>
      <w:r>
        <w:rPr>
          <w:rFonts w:ascii="Times New Roman" w:hAnsi="Times New Roman" w:cs="Times New Roman"/>
          <w:bCs/>
          <w:sz w:val="20"/>
          <w:szCs w:val="20"/>
        </w:rPr>
        <w:t xml:space="preserve">2. </w:t>
      </w:r>
      <w:r>
        <w:rPr>
          <w:rFonts w:ascii="Times New Roman" w:hAnsi="Times New Roman" w:cs="Times New Roman"/>
          <w:bCs/>
          <w:sz w:val="20"/>
          <w:szCs w:val="20"/>
        </w:rPr>
        <w:tab/>
        <w:t>An expert witness should provide independent assistance to the court by way of objective, unbiased opinion in relation to matters within his expertise. An expert witness should never assume the role of an advocate.</w:t>
      </w:r>
    </w:p>
    <w:p w14:paraId="2D8A28A9" w14:textId="77777777" w:rsidR="006779A3" w:rsidRDefault="006779A3" w:rsidP="006779A3">
      <w:pPr>
        <w:spacing w:line="360" w:lineRule="auto"/>
        <w:ind w:left="1440" w:hanging="720"/>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3. </w:t>
      </w:r>
      <w:r>
        <w:rPr>
          <w:rFonts w:ascii="Times New Roman" w:hAnsi="Times New Roman" w:cs="Times New Roman"/>
          <w:bCs/>
          <w:sz w:val="20"/>
          <w:szCs w:val="20"/>
        </w:rPr>
        <w:tab/>
        <w:t>An expert witness should state the facts or assumptions upon which his opinion is based. He should not omit to consider material facts which could detract from his concluded opinion.</w:t>
      </w:r>
    </w:p>
    <w:p w14:paraId="2846A700" w14:textId="77777777" w:rsidR="006779A3" w:rsidRDefault="006779A3" w:rsidP="006779A3">
      <w:pPr>
        <w:spacing w:line="360" w:lineRule="auto"/>
        <w:ind w:left="1440" w:hanging="720"/>
        <w:jc w:val="both"/>
        <w:rPr>
          <w:rFonts w:ascii="Times New Roman" w:hAnsi="Times New Roman" w:cs="Times New Roman"/>
          <w:bCs/>
          <w:sz w:val="20"/>
          <w:szCs w:val="20"/>
        </w:rPr>
      </w:pPr>
      <w:r>
        <w:rPr>
          <w:rFonts w:ascii="Times New Roman" w:hAnsi="Times New Roman" w:cs="Times New Roman"/>
          <w:bCs/>
          <w:sz w:val="20"/>
          <w:szCs w:val="20"/>
        </w:rPr>
        <w:t xml:space="preserve">4. </w:t>
      </w:r>
      <w:r>
        <w:rPr>
          <w:rFonts w:ascii="Times New Roman" w:hAnsi="Times New Roman" w:cs="Times New Roman"/>
          <w:bCs/>
          <w:sz w:val="20"/>
          <w:szCs w:val="20"/>
        </w:rPr>
        <w:tab/>
        <w:t>An expert witness should make it clear when a particular question or issue falls outside his expertise.</w:t>
      </w:r>
    </w:p>
    <w:p w14:paraId="3981690B" w14:textId="77777777" w:rsidR="006779A3" w:rsidRDefault="006779A3" w:rsidP="006779A3">
      <w:pPr>
        <w:spacing w:after="0" w:line="360" w:lineRule="auto"/>
        <w:ind w:left="1440" w:hanging="720"/>
        <w:jc w:val="both"/>
        <w:rPr>
          <w:rFonts w:ascii="Times New Roman" w:hAnsi="Times New Roman" w:cs="Times New Roman"/>
          <w:bCs/>
          <w:sz w:val="20"/>
          <w:szCs w:val="20"/>
        </w:rPr>
      </w:pPr>
      <w:r>
        <w:rPr>
          <w:rFonts w:ascii="Times New Roman" w:hAnsi="Times New Roman" w:cs="Times New Roman"/>
          <w:bCs/>
          <w:sz w:val="20"/>
          <w:szCs w:val="20"/>
        </w:rPr>
        <w:t xml:space="preserve">5. </w:t>
      </w:r>
      <w:r>
        <w:rPr>
          <w:rFonts w:ascii="Times New Roman" w:hAnsi="Times New Roman" w:cs="Times New Roman"/>
          <w:bCs/>
          <w:sz w:val="20"/>
          <w:szCs w:val="20"/>
        </w:rPr>
        <w:tab/>
        <w:t>If an expert opinion is not properly researched because he considers that insufficient data is available, then this must be stated with an indication that the opinion is no more than a provisional one. In the case of where an expert witness who has prepared a report could not assert that the report contained the truth, the whole truth and nothing but the truth without some qualification, that qualification should be stated in the report.</w:t>
      </w:r>
    </w:p>
    <w:p w14:paraId="34A78DC2" w14:textId="77777777" w:rsidR="006779A3" w:rsidRDefault="006779A3" w:rsidP="006779A3">
      <w:pPr>
        <w:spacing w:after="0" w:line="360" w:lineRule="auto"/>
        <w:ind w:left="1418" w:hanging="567"/>
        <w:jc w:val="both"/>
        <w:rPr>
          <w:rFonts w:ascii="Times New Roman" w:hAnsi="Times New Roman" w:cs="Times New Roman"/>
          <w:bCs/>
          <w:sz w:val="24"/>
          <w:szCs w:val="24"/>
        </w:rPr>
      </w:pPr>
    </w:p>
    <w:p w14:paraId="1AF61F40" w14:textId="6B528428" w:rsidR="006779A3" w:rsidRDefault="006779A3" w:rsidP="006779A3">
      <w:pPr>
        <w:spacing w:after="0" w:line="36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w:t>
      </w:r>
      <w:r w:rsidR="00667524">
        <w:rPr>
          <w:rFonts w:ascii="Times New Roman" w:hAnsi="Times New Roman" w:cs="Times New Roman"/>
          <w:bCs/>
          <w:sz w:val="24"/>
          <w:szCs w:val="24"/>
        </w:rPr>
        <w:t>11</w:t>
      </w:r>
      <w:r>
        <w:rPr>
          <w:rFonts w:ascii="Times New Roman" w:hAnsi="Times New Roman" w:cs="Times New Roman"/>
          <w:bCs/>
          <w:sz w:val="24"/>
          <w:szCs w:val="24"/>
        </w:rPr>
        <w:t>]</w:t>
      </w:r>
      <w:r>
        <w:rPr>
          <w:rFonts w:ascii="Times New Roman" w:hAnsi="Times New Roman" w:cs="Times New Roman"/>
          <w:bCs/>
          <w:sz w:val="24"/>
          <w:szCs w:val="24"/>
        </w:rPr>
        <w:tab/>
        <w:t xml:space="preserve">In </w:t>
      </w:r>
      <w:r w:rsidRPr="002D7C9D">
        <w:rPr>
          <w:rFonts w:ascii="Times New Roman" w:hAnsi="Times New Roman" w:cs="Times New Roman"/>
          <w:bCs/>
          <w:i/>
          <w:iCs/>
          <w:sz w:val="24"/>
          <w:szCs w:val="24"/>
        </w:rPr>
        <w:t>Schneider NO &amp; Others v AA &amp; Another</w:t>
      </w:r>
      <w:r>
        <w:rPr>
          <w:rFonts w:ascii="Times New Roman" w:hAnsi="Times New Roman" w:cs="Times New Roman"/>
          <w:bCs/>
          <w:sz w:val="24"/>
          <w:szCs w:val="24"/>
        </w:rPr>
        <w:t xml:space="preserve"> 2010 (5) 203 WCC Davis, J stated at paragraph 211J-212B: </w:t>
      </w:r>
    </w:p>
    <w:p w14:paraId="6F199092" w14:textId="77777777" w:rsidR="006779A3" w:rsidRDefault="006779A3" w:rsidP="006779A3">
      <w:pPr>
        <w:spacing w:after="0" w:line="360" w:lineRule="auto"/>
        <w:ind w:left="720"/>
        <w:jc w:val="both"/>
        <w:rPr>
          <w:rFonts w:ascii="Times New Roman" w:hAnsi="Times New Roman" w:cs="Times New Roman"/>
          <w:bCs/>
          <w:sz w:val="20"/>
          <w:szCs w:val="20"/>
        </w:rPr>
      </w:pPr>
      <w:r>
        <w:rPr>
          <w:rFonts w:ascii="Times New Roman" w:hAnsi="Times New Roman" w:cs="Times New Roman"/>
          <w:bCs/>
          <w:sz w:val="20"/>
          <w:szCs w:val="20"/>
        </w:rPr>
        <w:t>In short, an expert comes to court to give the court the benefit of his or her expertise. Agreed, an expert is called by a particular party, presumably because the conclusions of the expert, using his or her expertise, are in favour of the line of argument of the particular party. But that does not absolve the expert from providing the court with as objective and unbiased an opinion, based on his or her expertise, as far as possible. An expert should not be a hired gun who dispenses his or her expertise for the purpose of a particular case. An expert does not assume the role of an advocate, nor gives evidence which goes beyond the logic which is dictated by the scientific knowledge which that expert claims to possess.</w:t>
      </w:r>
    </w:p>
    <w:p w14:paraId="42CC2554" w14:textId="77777777" w:rsidR="006779A3" w:rsidRDefault="006779A3" w:rsidP="006779A3">
      <w:pPr>
        <w:spacing w:after="0" w:line="360" w:lineRule="auto"/>
        <w:ind w:left="851" w:hanging="851"/>
        <w:jc w:val="both"/>
        <w:rPr>
          <w:rFonts w:ascii="Times New Roman" w:hAnsi="Times New Roman" w:cs="Times New Roman"/>
          <w:bCs/>
          <w:sz w:val="24"/>
          <w:szCs w:val="24"/>
        </w:rPr>
      </w:pPr>
    </w:p>
    <w:p w14:paraId="2CC0DDC2" w14:textId="6915E0B0" w:rsidR="006779A3" w:rsidRDefault="006779A3" w:rsidP="006779A3">
      <w:pPr>
        <w:spacing w:after="0" w:line="36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w:t>
      </w:r>
      <w:r w:rsidR="00667524">
        <w:rPr>
          <w:rFonts w:ascii="Times New Roman" w:hAnsi="Times New Roman" w:cs="Times New Roman"/>
          <w:bCs/>
          <w:sz w:val="24"/>
          <w:szCs w:val="24"/>
        </w:rPr>
        <w:t>12</w:t>
      </w:r>
      <w:r>
        <w:rPr>
          <w:rFonts w:ascii="Times New Roman" w:hAnsi="Times New Roman" w:cs="Times New Roman"/>
          <w:bCs/>
          <w:sz w:val="24"/>
          <w:szCs w:val="24"/>
        </w:rPr>
        <w:t>]</w:t>
      </w:r>
      <w:r>
        <w:rPr>
          <w:rFonts w:ascii="Times New Roman" w:hAnsi="Times New Roman" w:cs="Times New Roman"/>
          <w:bCs/>
          <w:sz w:val="24"/>
          <w:szCs w:val="24"/>
        </w:rPr>
        <w:tab/>
        <w:t xml:space="preserve">In </w:t>
      </w:r>
      <w:r w:rsidRPr="002D7C9D">
        <w:rPr>
          <w:rFonts w:ascii="Times New Roman" w:hAnsi="Times New Roman" w:cs="Times New Roman"/>
          <w:bCs/>
          <w:i/>
          <w:iCs/>
          <w:sz w:val="24"/>
          <w:szCs w:val="24"/>
        </w:rPr>
        <w:t>RAF v Zulu</w:t>
      </w:r>
      <w:r>
        <w:rPr>
          <w:rFonts w:ascii="Times New Roman" w:hAnsi="Times New Roman" w:cs="Times New Roman"/>
          <w:bCs/>
          <w:sz w:val="24"/>
          <w:szCs w:val="24"/>
        </w:rPr>
        <w:t xml:space="preserve"> [2011] ZASCA 223 the court dealt with the approach to expert evidence that has to be adopted by the courts. The court reaffirmed the principles set out in </w:t>
      </w:r>
      <w:r w:rsidRPr="002D7C9D">
        <w:rPr>
          <w:rFonts w:ascii="Times New Roman" w:hAnsi="Times New Roman" w:cs="Times New Roman"/>
          <w:bCs/>
          <w:i/>
          <w:iCs/>
          <w:sz w:val="24"/>
          <w:szCs w:val="24"/>
        </w:rPr>
        <w:t>Michael v Linksfield Clinic (Pty) Ltd</w:t>
      </w:r>
      <w:r>
        <w:rPr>
          <w:rFonts w:ascii="Times New Roman" w:hAnsi="Times New Roman" w:cs="Times New Roman"/>
          <w:bCs/>
          <w:sz w:val="24"/>
          <w:szCs w:val="24"/>
        </w:rPr>
        <w:t xml:space="preserve"> 2001 (3) SA 1188 (SCA) that: </w:t>
      </w:r>
    </w:p>
    <w:p w14:paraId="7E0837EF" w14:textId="77777777" w:rsidR="006779A3" w:rsidRPr="00C7613C" w:rsidRDefault="006779A3" w:rsidP="00C7613C">
      <w:pPr>
        <w:spacing w:after="0" w:line="360" w:lineRule="auto"/>
        <w:ind w:left="1440" w:hanging="720"/>
        <w:jc w:val="both"/>
        <w:rPr>
          <w:rFonts w:ascii="Times New Roman" w:hAnsi="Times New Roman" w:cs="Times New Roman"/>
          <w:bCs/>
          <w:sz w:val="24"/>
          <w:szCs w:val="24"/>
        </w:rPr>
      </w:pPr>
      <w:r>
        <w:rPr>
          <w:rFonts w:ascii="Times New Roman" w:hAnsi="Times New Roman" w:cs="Times New Roman"/>
          <w:bCs/>
          <w:sz w:val="20"/>
          <w:szCs w:val="20"/>
        </w:rPr>
        <w:t>[14]</w:t>
      </w:r>
      <w:r>
        <w:rPr>
          <w:rFonts w:ascii="Times New Roman" w:hAnsi="Times New Roman" w:cs="Times New Roman"/>
          <w:bCs/>
          <w:sz w:val="20"/>
          <w:szCs w:val="20"/>
        </w:rPr>
        <w:tab/>
        <w:t>What is required in the evaluation of such evidence is to determine whether and to what extent their opinions advanced are founded on logical reasoning.</w:t>
      </w:r>
    </w:p>
    <w:p w14:paraId="1C56D193" w14:textId="77777777" w:rsidR="006779A3" w:rsidRDefault="006779A3" w:rsidP="00C7613C">
      <w:pPr>
        <w:spacing w:after="0" w:line="360" w:lineRule="auto"/>
        <w:ind w:left="851" w:hanging="851"/>
        <w:jc w:val="both"/>
        <w:rPr>
          <w:rFonts w:ascii="Times New Roman" w:hAnsi="Times New Roman" w:cs="Times New Roman"/>
          <w:bCs/>
          <w:sz w:val="24"/>
          <w:szCs w:val="24"/>
        </w:rPr>
      </w:pPr>
    </w:p>
    <w:p w14:paraId="49B2B0B8" w14:textId="14B20A5B" w:rsidR="006779A3" w:rsidRDefault="006779A3" w:rsidP="006779A3">
      <w:pPr>
        <w:spacing w:after="0" w:line="360" w:lineRule="auto"/>
        <w:ind w:left="720" w:hanging="720"/>
        <w:jc w:val="both"/>
        <w:rPr>
          <w:rFonts w:ascii="Times New Roman" w:hAnsi="Times New Roman" w:cs="Times New Roman"/>
          <w:bCs/>
          <w:sz w:val="24"/>
          <w:szCs w:val="24"/>
        </w:rPr>
      </w:pPr>
      <w:r>
        <w:rPr>
          <w:rFonts w:ascii="Times New Roman" w:hAnsi="Times New Roman" w:cs="Times New Roman"/>
          <w:bCs/>
          <w:sz w:val="24"/>
          <w:szCs w:val="24"/>
        </w:rPr>
        <w:t>[</w:t>
      </w:r>
      <w:r w:rsidR="00667524">
        <w:rPr>
          <w:rFonts w:ascii="Times New Roman" w:hAnsi="Times New Roman" w:cs="Times New Roman"/>
          <w:bCs/>
          <w:sz w:val="24"/>
          <w:szCs w:val="24"/>
        </w:rPr>
        <w:t>13</w:t>
      </w:r>
      <w:r>
        <w:rPr>
          <w:rFonts w:ascii="Times New Roman" w:hAnsi="Times New Roman" w:cs="Times New Roman"/>
          <w:bCs/>
          <w:sz w:val="24"/>
          <w:szCs w:val="24"/>
        </w:rPr>
        <w:t>]</w:t>
      </w:r>
      <w:r>
        <w:rPr>
          <w:rFonts w:ascii="Times New Roman" w:hAnsi="Times New Roman" w:cs="Times New Roman"/>
          <w:bCs/>
          <w:sz w:val="24"/>
          <w:szCs w:val="24"/>
        </w:rPr>
        <w:tab/>
        <w:t>The common theme is that courts must jealously protect their role and powers. Courts are the ultimate arbiters in any court proceedings. The facts that caused the expert opinions in this case are vital. It was supplied by the plaintiff and corroborated by experts and surrounding evidence. It is logic and sound.</w:t>
      </w:r>
    </w:p>
    <w:p w14:paraId="50F910C9" w14:textId="77777777" w:rsidR="009C7673" w:rsidRDefault="009C7673" w:rsidP="00C7613C">
      <w:pPr>
        <w:spacing w:after="0" w:line="360" w:lineRule="auto"/>
        <w:ind w:left="720" w:hanging="720"/>
        <w:jc w:val="both"/>
        <w:rPr>
          <w:rFonts w:ascii="Times New Roman" w:hAnsi="Times New Roman" w:cs="Times New Roman"/>
          <w:b/>
          <w:bCs/>
          <w:sz w:val="24"/>
          <w:szCs w:val="24"/>
        </w:rPr>
      </w:pPr>
    </w:p>
    <w:p w14:paraId="30FE98E9" w14:textId="3DCE4E7E" w:rsidR="00175E41" w:rsidRDefault="00175E41" w:rsidP="00C7613C">
      <w:pPr>
        <w:spacing w:after="0" w:line="360" w:lineRule="auto"/>
        <w:jc w:val="both"/>
        <w:rPr>
          <w:rFonts w:ascii="Times New Roman" w:hAnsi="Times New Roman" w:cs="Times New Roman"/>
          <w:b/>
          <w:bCs/>
          <w:sz w:val="24"/>
          <w:szCs w:val="24"/>
        </w:rPr>
      </w:pPr>
      <w:r w:rsidRPr="00175E41">
        <w:rPr>
          <w:rFonts w:ascii="Times New Roman" w:hAnsi="Times New Roman" w:cs="Times New Roman"/>
          <w:b/>
          <w:bCs/>
          <w:sz w:val="24"/>
          <w:szCs w:val="24"/>
        </w:rPr>
        <w:t>ADJUCATION</w:t>
      </w:r>
    </w:p>
    <w:p w14:paraId="171BB8CE" w14:textId="02C51B67" w:rsidR="009D30BA" w:rsidRDefault="0069104E" w:rsidP="00C7613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667524">
        <w:rPr>
          <w:rFonts w:ascii="Times New Roman" w:hAnsi="Times New Roman" w:cs="Times New Roman"/>
          <w:sz w:val="24"/>
          <w:szCs w:val="24"/>
        </w:rPr>
        <w:t>14</w:t>
      </w:r>
      <w:r>
        <w:rPr>
          <w:rFonts w:ascii="Times New Roman" w:hAnsi="Times New Roman" w:cs="Times New Roman"/>
          <w:sz w:val="24"/>
          <w:szCs w:val="24"/>
        </w:rPr>
        <w:t>]</w:t>
      </w:r>
      <w:r>
        <w:rPr>
          <w:rFonts w:ascii="Times New Roman" w:hAnsi="Times New Roman" w:cs="Times New Roman"/>
          <w:sz w:val="24"/>
          <w:szCs w:val="24"/>
        </w:rPr>
        <w:tab/>
        <w:t xml:space="preserve">The </w:t>
      </w:r>
      <w:r w:rsidR="00852C92">
        <w:rPr>
          <w:rFonts w:ascii="Times New Roman" w:hAnsi="Times New Roman" w:cs="Times New Roman"/>
          <w:sz w:val="24"/>
          <w:szCs w:val="24"/>
        </w:rPr>
        <w:t xml:space="preserve">monetary </w:t>
      </w:r>
      <w:r>
        <w:rPr>
          <w:rFonts w:ascii="Times New Roman" w:hAnsi="Times New Roman" w:cs="Times New Roman"/>
          <w:sz w:val="24"/>
          <w:szCs w:val="24"/>
        </w:rPr>
        <w:t xml:space="preserve">difference </w:t>
      </w:r>
      <w:r w:rsidR="007742C8">
        <w:rPr>
          <w:rFonts w:ascii="Times New Roman" w:hAnsi="Times New Roman" w:cs="Times New Roman"/>
          <w:sz w:val="24"/>
          <w:szCs w:val="24"/>
        </w:rPr>
        <w:t xml:space="preserve">in the views of the parties </w:t>
      </w:r>
      <w:r w:rsidR="00852C92">
        <w:rPr>
          <w:rFonts w:ascii="Times New Roman" w:hAnsi="Times New Roman" w:cs="Times New Roman"/>
          <w:sz w:val="24"/>
          <w:szCs w:val="24"/>
        </w:rPr>
        <w:t>to be R750 340.20</w:t>
      </w:r>
      <w:r w:rsidR="00112257">
        <w:rPr>
          <w:rFonts w:ascii="Times New Roman" w:hAnsi="Times New Roman" w:cs="Times New Roman"/>
          <w:sz w:val="24"/>
          <w:szCs w:val="24"/>
        </w:rPr>
        <w:t xml:space="preserve">; </w:t>
      </w:r>
      <w:r w:rsidR="00DC009A">
        <w:rPr>
          <w:rFonts w:ascii="Times New Roman" w:hAnsi="Times New Roman" w:cs="Times New Roman"/>
          <w:sz w:val="24"/>
          <w:szCs w:val="24"/>
        </w:rPr>
        <w:t xml:space="preserve">the percentage contingency 25%. The parties are too far apart </w:t>
      </w:r>
      <w:r w:rsidR="00EF6A79">
        <w:rPr>
          <w:rFonts w:ascii="Times New Roman" w:hAnsi="Times New Roman" w:cs="Times New Roman"/>
          <w:sz w:val="24"/>
          <w:szCs w:val="24"/>
        </w:rPr>
        <w:t>in</w:t>
      </w:r>
      <w:r w:rsidR="00DC009A">
        <w:rPr>
          <w:rFonts w:ascii="Times New Roman" w:hAnsi="Times New Roman" w:cs="Times New Roman"/>
          <w:sz w:val="24"/>
          <w:szCs w:val="24"/>
        </w:rPr>
        <w:t xml:space="preserve"> their postulations and submissions</w:t>
      </w:r>
      <w:r w:rsidR="00EF6A79">
        <w:rPr>
          <w:rFonts w:ascii="Times New Roman" w:hAnsi="Times New Roman" w:cs="Times New Roman"/>
          <w:sz w:val="24"/>
          <w:szCs w:val="24"/>
        </w:rPr>
        <w:t xml:space="preserve"> if the </w:t>
      </w:r>
      <w:r w:rsidR="00EF6A79">
        <w:rPr>
          <w:rFonts w:ascii="Times New Roman" w:hAnsi="Times New Roman" w:cs="Times New Roman"/>
          <w:sz w:val="24"/>
          <w:szCs w:val="24"/>
        </w:rPr>
        <w:lastRenderedPageBreak/>
        <w:t>facts are regarded</w:t>
      </w:r>
      <w:r w:rsidR="00DC009A">
        <w:rPr>
          <w:rFonts w:ascii="Times New Roman" w:hAnsi="Times New Roman" w:cs="Times New Roman"/>
          <w:sz w:val="24"/>
          <w:szCs w:val="24"/>
        </w:rPr>
        <w:t xml:space="preserve">. The evidence of the Industrial Psychologist </w:t>
      </w:r>
      <w:r w:rsidR="00F73E11">
        <w:rPr>
          <w:rFonts w:ascii="Times New Roman" w:hAnsi="Times New Roman" w:cs="Times New Roman"/>
          <w:sz w:val="24"/>
          <w:szCs w:val="24"/>
        </w:rPr>
        <w:t>applied on the reigning law</w:t>
      </w:r>
      <w:r w:rsidR="00082293">
        <w:rPr>
          <w:rFonts w:ascii="Times New Roman" w:hAnsi="Times New Roman" w:cs="Times New Roman"/>
          <w:sz w:val="24"/>
          <w:szCs w:val="24"/>
        </w:rPr>
        <w:t xml:space="preserve"> and</w:t>
      </w:r>
      <w:r w:rsidR="001F051C">
        <w:rPr>
          <w:rFonts w:ascii="Times New Roman" w:hAnsi="Times New Roman" w:cs="Times New Roman"/>
          <w:sz w:val="24"/>
          <w:szCs w:val="24"/>
        </w:rPr>
        <w:t xml:space="preserve"> </w:t>
      </w:r>
      <w:r w:rsidR="00F73E11">
        <w:rPr>
          <w:rFonts w:ascii="Times New Roman" w:hAnsi="Times New Roman" w:cs="Times New Roman"/>
          <w:sz w:val="24"/>
          <w:szCs w:val="24"/>
        </w:rPr>
        <w:t xml:space="preserve">on the facts </w:t>
      </w:r>
      <w:r w:rsidR="00DC009A">
        <w:rPr>
          <w:rFonts w:ascii="Times New Roman" w:hAnsi="Times New Roman" w:cs="Times New Roman"/>
          <w:sz w:val="24"/>
          <w:szCs w:val="24"/>
        </w:rPr>
        <w:t xml:space="preserve">brings the matter to </w:t>
      </w:r>
      <w:r w:rsidR="00F73E11">
        <w:rPr>
          <w:rFonts w:ascii="Times New Roman" w:hAnsi="Times New Roman" w:cs="Times New Roman"/>
          <w:sz w:val="24"/>
          <w:szCs w:val="24"/>
        </w:rPr>
        <w:t>a more just and equitable outcome.</w:t>
      </w:r>
    </w:p>
    <w:p w14:paraId="5EEAC983" w14:textId="63964681" w:rsidR="00EA3D6E" w:rsidRDefault="00F73E11" w:rsidP="009D30B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14:paraId="0D4C1988" w14:textId="20255BD0" w:rsidR="00D55D5E" w:rsidRDefault="007742C8" w:rsidP="00D55D5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667524">
        <w:rPr>
          <w:rFonts w:ascii="Times New Roman" w:hAnsi="Times New Roman" w:cs="Times New Roman"/>
          <w:sz w:val="24"/>
          <w:szCs w:val="24"/>
        </w:rPr>
        <w:t>15</w:t>
      </w:r>
      <w:r>
        <w:rPr>
          <w:rFonts w:ascii="Times New Roman" w:hAnsi="Times New Roman" w:cs="Times New Roman"/>
          <w:sz w:val="24"/>
          <w:szCs w:val="24"/>
        </w:rPr>
        <w:t>]</w:t>
      </w:r>
      <w:r>
        <w:rPr>
          <w:rFonts w:ascii="Times New Roman" w:hAnsi="Times New Roman" w:cs="Times New Roman"/>
          <w:sz w:val="24"/>
          <w:szCs w:val="24"/>
        </w:rPr>
        <w:tab/>
      </w:r>
      <w:r w:rsidRPr="007742C8">
        <w:rPr>
          <w:rFonts w:ascii="Times New Roman" w:hAnsi="Times New Roman" w:cs="Times New Roman"/>
          <w:sz w:val="24"/>
          <w:szCs w:val="24"/>
        </w:rPr>
        <w:t>L</w:t>
      </w:r>
      <w:r>
        <w:rPr>
          <w:rFonts w:ascii="Times New Roman" w:hAnsi="Times New Roman" w:cs="Times New Roman"/>
          <w:sz w:val="24"/>
          <w:szCs w:val="24"/>
        </w:rPr>
        <w:t>ee</w:t>
      </w:r>
      <w:r w:rsidRPr="007742C8">
        <w:rPr>
          <w:rFonts w:ascii="Times New Roman" w:hAnsi="Times New Roman" w:cs="Times New Roman"/>
          <w:sz w:val="24"/>
          <w:szCs w:val="24"/>
        </w:rPr>
        <w:t xml:space="preserve"> Leibowitz</w:t>
      </w:r>
      <w:r w:rsidR="009D30BA">
        <w:rPr>
          <w:rFonts w:ascii="Times New Roman" w:hAnsi="Times New Roman" w:cs="Times New Roman"/>
          <w:sz w:val="24"/>
          <w:szCs w:val="24"/>
        </w:rPr>
        <w:t>,</w:t>
      </w:r>
      <w:r w:rsidRPr="007742C8">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742C8">
        <w:rPr>
          <w:rFonts w:ascii="Times New Roman" w:hAnsi="Times New Roman" w:cs="Times New Roman"/>
          <w:sz w:val="24"/>
          <w:szCs w:val="24"/>
        </w:rPr>
        <w:t>Industrial Psychologist</w:t>
      </w:r>
      <w:r w:rsidR="009D30BA">
        <w:rPr>
          <w:rFonts w:ascii="Times New Roman" w:hAnsi="Times New Roman" w:cs="Times New Roman"/>
          <w:sz w:val="24"/>
          <w:szCs w:val="24"/>
        </w:rPr>
        <w:t>,</w:t>
      </w:r>
      <w:r>
        <w:rPr>
          <w:rFonts w:ascii="Times New Roman" w:hAnsi="Times New Roman" w:cs="Times New Roman"/>
          <w:sz w:val="24"/>
          <w:szCs w:val="24"/>
        </w:rPr>
        <w:t xml:space="preserve"> </w:t>
      </w:r>
      <w:r w:rsidR="00875D2C">
        <w:rPr>
          <w:rFonts w:ascii="Times New Roman" w:hAnsi="Times New Roman" w:cs="Times New Roman"/>
          <w:sz w:val="24"/>
          <w:szCs w:val="24"/>
        </w:rPr>
        <w:t>with veracity</w:t>
      </w:r>
      <w:r>
        <w:rPr>
          <w:rFonts w:ascii="Times New Roman" w:hAnsi="Times New Roman" w:cs="Times New Roman"/>
          <w:sz w:val="24"/>
          <w:szCs w:val="24"/>
        </w:rPr>
        <w:t xml:space="preserve"> </w:t>
      </w:r>
      <w:r w:rsidR="009D30BA">
        <w:rPr>
          <w:rFonts w:ascii="Times New Roman" w:hAnsi="Times New Roman" w:cs="Times New Roman"/>
          <w:sz w:val="24"/>
          <w:szCs w:val="24"/>
        </w:rPr>
        <w:t>interpreted and reflected</w:t>
      </w:r>
      <w:r>
        <w:rPr>
          <w:rFonts w:ascii="Times New Roman" w:hAnsi="Times New Roman" w:cs="Times New Roman"/>
          <w:sz w:val="24"/>
          <w:szCs w:val="24"/>
        </w:rPr>
        <w:t xml:space="preserve"> the condition of the plaintiff. The plaintiff is </w:t>
      </w:r>
      <w:r w:rsidRPr="007742C8">
        <w:rPr>
          <w:rFonts w:ascii="Times New Roman" w:hAnsi="Times New Roman" w:cs="Times New Roman"/>
          <w:sz w:val="24"/>
          <w:szCs w:val="24"/>
        </w:rPr>
        <w:t>confined to a wheelchair (the plaintiff is a quadriplegic)</w:t>
      </w:r>
      <w:r>
        <w:rPr>
          <w:rFonts w:ascii="Times New Roman" w:hAnsi="Times New Roman" w:cs="Times New Roman"/>
          <w:sz w:val="24"/>
          <w:szCs w:val="24"/>
        </w:rPr>
        <w:t xml:space="preserve">, </w:t>
      </w:r>
      <w:r w:rsidRPr="007742C8">
        <w:rPr>
          <w:rFonts w:ascii="Times New Roman" w:hAnsi="Times New Roman" w:cs="Times New Roman"/>
          <w:sz w:val="24"/>
          <w:szCs w:val="24"/>
        </w:rPr>
        <w:t>unable to sit unsupported</w:t>
      </w:r>
      <w:r>
        <w:rPr>
          <w:rFonts w:ascii="Times New Roman" w:hAnsi="Times New Roman" w:cs="Times New Roman"/>
          <w:sz w:val="24"/>
          <w:szCs w:val="24"/>
        </w:rPr>
        <w:t>, has</w:t>
      </w:r>
      <w:r w:rsidRPr="007742C8">
        <w:rPr>
          <w:rFonts w:ascii="Times New Roman" w:hAnsi="Times New Roman" w:cs="Times New Roman"/>
          <w:sz w:val="24"/>
          <w:szCs w:val="24"/>
        </w:rPr>
        <w:t xml:space="preserve"> limited movement in his hands and wrists</w:t>
      </w:r>
      <w:r>
        <w:rPr>
          <w:rFonts w:ascii="Times New Roman" w:hAnsi="Times New Roman" w:cs="Times New Roman"/>
          <w:sz w:val="24"/>
          <w:szCs w:val="24"/>
        </w:rPr>
        <w:t>, suffers l</w:t>
      </w:r>
      <w:r w:rsidRPr="007742C8">
        <w:rPr>
          <w:rFonts w:ascii="Times New Roman" w:hAnsi="Times New Roman" w:cs="Times New Roman"/>
          <w:sz w:val="24"/>
          <w:szCs w:val="24"/>
        </w:rPr>
        <w:t>oss of sensation to touch over the front of the upper chest distally, down the trunk and lower limbs and upper back downwards</w:t>
      </w:r>
      <w:r>
        <w:rPr>
          <w:rFonts w:ascii="Times New Roman" w:hAnsi="Times New Roman" w:cs="Times New Roman"/>
          <w:sz w:val="24"/>
          <w:szCs w:val="24"/>
        </w:rPr>
        <w:t xml:space="preserve">, suffers </w:t>
      </w:r>
      <w:r w:rsidRPr="007742C8">
        <w:rPr>
          <w:rFonts w:ascii="Times New Roman" w:hAnsi="Times New Roman" w:cs="Times New Roman"/>
          <w:sz w:val="24"/>
          <w:szCs w:val="24"/>
        </w:rPr>
        <w:t>leg spasms</w:t>
      </w:r>
      <w:r w:rsidR="002F2107">
        <w:rPr>
          <w:rFonts w:ascii="Times New Roman" w:hAnsi="Times New Roman" w:cs="Times New Roman"/>
          <w:sz w:val="24"/>
          <w:szCs w:val="24"/>
        </w:rPr>
        <w:t xml:space="preserve"> and </w:t>
      </w:r>
      <w:r>
        <w:rPr>
          <w:rFonts w:ascii="Times New Roman" w:hAnsi="Times New Roman" w:cs="Times New Roman"/>
          <w:sz w:val="24"/>
          <w:szCs w:val="24"/>
        </w:rPr>
        <w:t>has</w:t>
      </w:r>
      <w:r w:rsidRPr="007742C8">
        <w:rPr>
          <w:rFonts w:ascii="Times New Roman" w:hAnsi="Times New Roman" w:cs="Times New Roman"/>
          <w:sz w:val="24"/>
          <w:szCs w:val="24"/>
        </w:rPr>
        <w:t xml:space="preserve"> no control over his bladder. An </w:t>
      </w:r>
      <w:r>
        <w:rPr>
          <w:rFonts w:ascii="Times New Roman" w:hAnsi="Times New Roman" w:cs="Times New Roman"/>
          <w:sz w:val="24"/>
          <w:szCs w:val="24"/>
        </w:rPr>
        <w:t>i</w:t>
      </w:r>
      <w:r w:rsidRPr="007742C8">
        <w:rPr>
          <w:rFonts w:ascii="Times New Roman" w:hAnsi="Times New Roman" w:cs="Times New Roman"/>
          <w:sz w:val="24"/>
          <w:szCs w:val="24"/>
        </w:rPr>
        <w:t>ndwelling catheter was inserted</w:t>
      </w:r>
      <w:r>
        <w:rPr>
          <w:rFonts w:ascii="Times New Roman" w:hAnsi="Times New Roman" w:cs="Times New Roman"/>
          <w:sz w:val="24"/>
          <w:szCs w:val="24"/>
        </w:rPr>
        <w:t>. He has</w:t>
      </w:r>
      <w:r w:rsidRPr="007742C8">
        <w:rPr>
          <w:rFonts w:ascii="Times New Roman" w:hAnsi="Times New Roman" w:cs="Times New Roman"/>
          <w:sz w:val="24"/>
          <w:szCs w:val="24"/>
        </w:rPr>
        <w:t xml:space="preserve"> no control over his anal sphincter and need</w:t>
      </w:r>
      <w:r>
        <w:rPr>
          <w:rFonts w:ascii="Times New Roman" w:hAnsi="Times New Roman" w:cs="Times New Roman"/>
          <w:sz w:val="24"/>
          <w:szCs w:val="24"/>
        </w:rPr>
        <w:t>s</w:t>
      </w:r>
      <w:r w:rsidRPr="007742C8">
        <w:rPr>
          <w:rFonts w:ascii="Times New Roman" w:hAnsi="Times New Roman" w:cs="Times New Roman"/>
          <w:sz w:val="24"/>
          <w:szCs w:val="24"/>
        </w:rPr>
        <w:t xml:space="preserve"> to wear nappies</w:t>
      </w:r>
      <w:r>
        <w:rPr>
          <w:rFonts w:ascii="Times New Roman" w:hAnsi="Times New Roman" w:cs="Times New Roman"/>
          <w:sz w:val="24"/>
          <w:szCs w:val="24"/>
        </w:rPr>
        <w:t xml:space="preserve"> and he s</w:t>
      </w:r>
      <w:r w:rsidRPr="007742C8">
        <w:rPr>
          <w:rFonts w:ascii="Times New Roman" w:hAnsi="Times New Roman" w:cs="Times New Roman"/>
          <w:sz w:val="24"/>
          <w:szCs w:val="24"/>
        </w:rPr>
        <w:t>uffer</w:t>
      </w:r>
      <w:r>
        <w:rPr>
          <w:rFonts w:ascii="Times New Roman" w:hAnsi="Times New Roman" w:cs="Times New Roman"/>
          <w:sz w:val="24"/>
          <w:szCs w:val="24"/>
        </w:rPr>
        <w:t>s</w:t>
      </w:r>
      <w:r w:rsidRPr="007742C8">
        <w:rPr>
          <w:rFonts w:ascii="Times New Roman" w:hAnsi="Times New Roman" w:cs="Times New Roman"/>
          <w:sz w:val="24"/>
          <w:szCs w:val="24"/>
        </w:rPr>
        <w:t xml:space="preserve"> from </w:t>
      </w:r>
      <w:r>
        <w:rPr>
          <w:rFonts w:ascii="Times New Roman" w:hAnsi="Times New Roman" w:cs="Times New Roman"/>
          <w:sz w:val="24"/>
          <w:szCs w:val="24"/>
        </w:rPr>
        <w:t xml:space="preserve">prevailing </w:t>
      </w:r>
      <w:r w:rsidRPr="007742C8">
        <w:rPr>
          <w:rFonts w:ascii="Times New Roman" w:hAnsi="Times New Roman" w:cs="Times New Roman"/>
          <w:sz w:val="24"/>
          <w:szCs w:val="24"/>
        </w:rPr>
        <w:t>constipation</w:t>
      </w:r>
      <w:r>
        <w:rPr>
          <w:rFonts w:ascii="Times New Roman" w:hAnsi="Times New Roman" w:cs="Times New Roman"/>
          <w:sz w:val="24"/>
          <w:szCs w:val="24"/>
        </w:rPr>
        <w:t xml:space="preserve"> with the added consequences. </w:t>
      </w:r>
    </w:p>
    <w:p w14:paraId="3A53F88D" w14:textId="77777777" w:rsidR="00D55D5E" w:rsidRDefault="00D55D5E" w:rsidP="00D55D5E">
      <w:pPr>
        <w:spacing w:after="0" w:line="360" w:lineRule="auto"/>
        <w:ind w:left="720" w:hanging="720"/>
        <w:jc w:val="both"/>
        <w:rPr>
          <w:rFonts w:ascii="Times New Roman" w:hAnsi="Times New Roman" w:cs="Times New Roman"/>
          <w:sz w:val="24"/>
          <w:szCs w:val="24"/>
        </w:rPr>
      </w:pPr>
    </w:p>
    <w:p w14:paraId="6A05ABD8" w14:textId="452D0935" w:rsidR="007742C8" w:rsidRDefault="00D55D5E" w:rsidP="00C7613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667524">
        <w:rPr>
          <w:rFonts w:ascii="Times New Roman" w:hAnsi="Times New Roman" w:cs="Times New Roman"/>
          <w:sz w:val="24"/>
          <w:szCs w:val="24"/>
        </w:rPr>
        <w:t>16</w:t>
      </w:r>
      <w:r>
        <w:rPr>
          <w:rFonts w:ascii="Times New Roman" w:hAnsi="Times New Roman" w:cs="Times New Roman"/>
          <w:sz w:val="24"/>
          <w:szCs w:val="24"/>
        </w:rPr>
        <w:t>]</w:t>
      </w:r>
      <w:r>
        <w:rPr>
          <w:rFonts w:ascii="Times New Roman" w:hAnsi="Times New Roman" w:cs="Times New Roman"/>
          <w:sz w:val="24"/>
          <w:szCs w:val="24"/>
        </w:rPr>
        <w:tab/>
      </w:r>
      <w:r w:rsidR="007742C8">
        <w:rPr>
          <w:rFonts w:ascii="Times New Roman" w:hAnsi="Times New Roman" w:cs="Times New Roman"/>
          <w:sz w:val="24"/>
          <w:szCs w:val="24"/>
        </w:rPr>
        <w:t>He suffers from severe</w:t>
      </w:r>
      <w:r w:rsidR="007742C8" w:rsidRPr="007742C8">
        <w:rPr>
          <w:rFonts w:ascii="Times New Roman" w:hAnsi="Times New Roman" w:cs="Times New Roman"/>
          <w:sz w:val="24"/>
          <w:szCs w:val="24"/>
        </w:rPr>
        <w:t xml:space="preserve"> frustrat</w:t>
      </w:r>
      <w:r w:rsidR="007742C8">
        <w:rPr>
          <w:rFonts w:ascii="Times New Roman" w:hAnsi="Times New Roman" w:cs="Times New Roman"/>
          <w:sz w:val="24"/>
          <w:szCs w:val="24"/>
        </w:rPr>
        <w:t>ion due to his</w:t>
      </w:r>
      <w:r w:rsidR="007742C8" w:rsidRPr="007742C8">
        <w:rPr>
          <w:rFonts w:ascii="Times New Roman" w:hAnsi="Times New Roman" w:cs="Times New Roman"/>
          <w:sz w:val="24"/>
          <w:szCs w:val="24"/>
        </w:rPr>
        <w:t xml:space="preserve"> physical limitations</w:t>
      </w:r>
      <w:r w:rsidR="00875D2C">
        <w:rPr>
          <w:rFonts w:ascii="Times New Roman" w:hAnsi="Times New Roman" w:cs="Times New Roman"/>
          <w:sz w:val="24"/>
          <w:szCs w:val="24"/>
        </w:rPr>
        <w:t xml:space="preserve"> and s</w:t>
      </w:r>
      <w:r w:rsidR="007742C8" w:rsidRPr="007742C8">
        <w:rPr>
          <w:rFonts w:ascii="Times New Roman" w:hAnsi="Times New Roman" w:cs="Times New Roman"/>
          <w:sz w:val="24"/>
          <w:szCs w:val="24"/>
        </w:rPr>
        <w:t xml:space="preserve">ometimes </w:t>
      </w:r>
      <w:r w:rsidR="00875D2C">
        <w:rPr>
          <w:rFonts w:ascii="Times New Roman" w:hAnsi="Times New Roman" w:cs="Times New Roman"/>
          <w:sz w:val="24"/>
          <w:szCs w:val="24"/>
        </w:rPr>
        <w:t xml:space="preserve">experiences the </w:t>
      </w:r>
      <w:r w:rsidR="007742C8" w:rsidRPr="007742C8">
        <w:rPr>
          <w:rFonts w:ascii="Times New Roman" w:hAnsi="Times New Roman" w:cs="Times New Roman"/>
          <w:sz w:val="24"/>
          <w:szCs w:val="24"/>
        </w:rPr>
        <w:t>feeling that it would have been better if he died in the accident</w:t>
      </w:r>
      <w:r w:rsidR="00875D2C">
        <w:rPr>
          <w:rFonts w:ascii="Times New Roman" w:hAnsi="Times New Roman" w:cs="Times New Roman"/>
          <w:sz w:val="24"/>
          <w:szCs w:val="24"/>
        </w:rPr>
        <w:t>. This is aggravated by d</w:t>
      </w:r>
      <w:r w:rsidR="007742C8" w:rsidRPr="007742C8">
        <w:rPr>
          <w:rFonts w:ascii="Times New Roman" w:hAnsi="Times New Roman" w:cs="Times New Roman"/>
          <w:sz w:val="24"/>
          <w:szCs w:val="24"/>
        </w:rPr>
        <w:t>isturbed sleep patterns</w:t>
      </w:r>
      <w:r w:rsidR="00875D2C">
        <w:rPr>
          <w:rFonts w:ascii="Times New Roman" w:hAnsi="Times New Roman" w:cs="Times New Roman"/>
          <w:sz w:val="24"/>
          <w:szCs w:val="24"/>
        </w:rPr>
        <w:t>, being</w:t>
      </w:r>
      <w:r w:rsidR="007742C8" w:rsidRPr="007742C8">
        <w:rPr>
          <w:rFonts w:ascii="Times New Roman" w:hAnsi="Times New Roman" w:cs="Times New Roman"/>
          <w:sz w:val="24"/>
          <w:szCs w:val="24"/>
        </w:rPr>
        <w:t xml:space="preserve"> short tempered and irritable; </w:t>
      </w:r>
      <w:r w:rsidR="00667524" w:rsidRPr="007742C8">
        <w:rPr>
          <w:rFonts w:ascii="Times New Roman" w:hAnsi="Times New Roman" w:cs="Times New Roman"/>
          <w:sz w:val="24"/>
          <w:szCs w:val="24"/>
        </w:rPr>
        <w:t>and</w:t>
      </w:r>
      <w:r w:rsidR="00667524">
        <w:rPr>
          <w:rFonts w:ascii="Times New Roman" w:hAnsi="Times New Roman" w:cs="Times New Roman"/>
          <w:sz w:val="24"/>
          <w:szCs w:val="24"/>
        </w:rPr>
        <w:t xml:space="preserve"> worry</w:t>
      </w:r>
      <w:r w:rsidR="007742C8" w:rsidRPr="007742C8">
        <w:rPr>
          <w:rFonts w:ascii="Times New Roman" w:hAnsi="Times New Roman" w:cs="Times New Roman"/>
          <w:sz w:val="24"/>
          <w:szCs w:val="24"/>
        </w:rPr>
        <w:t xml:space="preserve"> and anxiety about his future.</w:t>
      </w:r>
    </w:p>
    <w:p w14:paraId="6DB81460" w14:textId="77777777" w:rsidR="009D30BA" w:rsidRPr="007742C8" w:rsidRDefault="009D30BA" w:rsidP="009D30BA">
      <w:pPr>
        <w:spacing w:after="0" w:line="360" w:lineRule="auto"/>
        <w:ind w:left="720" w:hanging="720"/>
        <w:jc w:val="both"/>
        <w:rPr>
          <w:rFonts w:ascii="Times New Roman" w:hAnsi="Times New Roman" w:cs="Times New Roman"/>
          <w:sz w:val="24"/>
          <w:szCs w:val="24"/>
        </w:rPr>
      </w:pPr>
    </w:p>
    <w:p w14:paraId="769E79FF" w14:textId="6ECC4C93" w:rsidR="007742C8" w:rsidRPr="007742C8" w:rsidRDefault="00875D2C" w:rsidP="009D30B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667524">
        <w:rPr>
          <w:rFonts w:ascii="Times New Roman" w:hAnsi="Times New Roman" w:cs="Times New Roman"/>
          <w:sz w:val="24"/>
          <w:szCs w:val="24"/>
        </w:rPr>
        <w:t>17</w:t>
      </w:r>
      <w:r>
        <w:rPr>
          <w:rFonts w:ascii="Times New Roman" w:hAnsi="Times New Roman" w:cs="Times New Roman"/>
          <w:sz w:val="24"/>
          <w:szCs w:val="24"/>
        </w:rPr>
        <w:t>]</w:t>
      </w:r>
      <w:r>
        <w:rPr>
          <w:rFonts w:ascii="Times New Roman" w:hAnsi="Times New Roman" w:cs="Times New Roman"/>
          <w:sz w:val="24"/>
          <w:szCs w:val="24"/>
        </w:rPr>
        <w:tab/>
      </w:r>
      <w:r w:rsidRPr="007742C8">
        <w:rPr>
          <w:rFonts w:ascii="Times New Roman" w:hAnsi="Times New Roman" w:cs="Times New Roman"/>
          <w:sz w:val="24"/>
          <w:szCs w:val="24"/>
        </w:rPr>
        <w:t>Leibowitz</w:t>
      </w:r>
      <w:r>
        <w:rPr>
          <w:rFonts w:ascii="Times New Roman" w:hAnsi="Times New Roman" w:cs="Times New Roman"/>
          <w:sz w:val="24"/>
          <w:szCs w:val="24"/>
        </w:rPr>
        <w:t xml:space="preserve"> continues to describe the pre-accident </w:t>
      </w:r>
      <w:r w:rsidR="00C02588">
        <w:rPr>
          <w:rFonts w:ascii="Times New Roman" w:hAnsi="Times New Roman" w:cs="Times New Roman"/>
          <w:sz w:val="24"/>
          <w:szCs w:val="24"/>
        </w:rPr>
        <w:t xml:space="preserve">and post accident </w:t>
      </w:r>
      <w:r>
        <w:rPr>
          <w:rFonts w:ascii="Times New Roman" w:hAnsi="Times New Roman" w:cs="Times New Roman"/>
          <w:sz w:val="24"/>
          <w:szCs w:val="24"/>
        </w:rPr>
        <w:t>employment and earnings postulations to be:</w:t>
      </w:r>
    </w:p>
    <w:p w14:paraId="7EE6F05A" w14:textId="5FDEE2B9" w:rsidR="007742C8" w:rsidRPr="006244D3" w:rsidRDefault="00875D2C" w:rsidP="009D30BA">
      <w:pPr>
        <w:spacing w:after="0" w:line="360" w:lineRule="auto"/>
        <w:ind w:left="720"/>
        <w:jc w:val="both"/>
        <w:rPr>
          <w:rFonts w:ascii="Times New Roman" w:hAnsi="Times New Roman" w:cs="Times New Roman"/>
          <w:sz w:val="20"/>
          <w:szCs w:val="20"/>
        </w:rPr>
      </w:pPr>
      <w:r w:rsidRPr="006244D3">
        <w:rPr>
          <w:rFonts w:ascii="Times New Roman" w:hAnsi="Times New Roman" w:cs="Times New Roman"/>
          <w:sz w:val="20"/>
          <w:szCs w:val="20"/>
        </w:rPr>
        <w:t xml:space="preserve">A: </w:t>
      </w:r>
      <w:r w:rsidR="007742C8" w:rsidRPr="006244D3">
        <w:rPr>
          <w:rFonts w:ascii="Times New Roman" w:hAnsi="Times New Roman" w:cs="Times New Roman"/>
          <w:sz w:val="20"/>
          <w:szCs w:val="20"/>
        </w:rPr>
        <w:t>Pre-Accident</w:t>
      </w:r>
    </w:p>
    <w:p w14:paraId="11021CE6" w14:textId="77777777" w:rsidR="00875D2C" w:rsidRPr="006244D3" w:rsidRDefault="007742C8" w:rsidP="009D30BA">
      <w:pPr>
        <w:pStyle w:val="ListParagraph"/>
        <w:numPr>
          <w:ilvl w:val="0"/>
          <w:numId w:val="9"/>
        </w:numPr>
        <w:spacing w:line="360" w:lineRule="auto"/>
        <w:ind w:hanging="720"/>
        <w:jc w:val="both"/>
        <w:rPr>
          <w:rFonts w:ascii="Times New Roman" w:hAnsi="Times New Roman" w:cs="Times New Roman"/>
          <w:sz w:val="20"/>
          <w:szCs w:val="20"/>
        </w:rPr>
      </w:pPr>
      <w:r w:rsidRPr="006244D3">
        <w:rPr>
          <w:rFonts w:ascii="Times New Roman" w:hAnsi="Times New Roman" w:cs="Times New Roman"/>
          <w:sz w:val="20"/>
          <w:szCs w:val="20"/>
        </w:rPr>
        <w:t>In anticipating the level to which an individual may have advanced in his/her occupation, several aspects play a role. Important aspects include the familial background, developmental and medical history, the individual’s socio-economic circumstances, overall functioning (i.e., cognitive, psychological, physical etc.) educational achievements, vocational history, job performance and career aspirations, as well as various external factors such as labour market conditions, the availability of promotional opportunities, employment policies, etc.</w:t>
      </w:r>
    </w:p>
    <w:p w14:paraId="5A54084A" w14:textId="7EC6C730" w:rsidR="00875D2C" w:rsidRPr="006244D3" w:rsidRDefault="007742C8" w:rsidP="009D30BA">
      <w:pPr>
        <w:pStyle w:val="ListParagraph"/>
        <w:numPr>
          <w:ilvl w:val="0"/>
          <w:numId w:val="9"/>
        </w:numPr>
        <w:spacing w:line="360" w:lineRule="auto"/>
        <w:ind w:hanging="720"/>
        <w:jc w:val="both"/>
        <w:rPr>
          <w:rFonts w:ascii="Times New Roman" w:hAnsi="Times New Roman" w:cs="Times New Roman"/>
          <w:sz w:val="20"/>
          <w:szCs w:val="20"/>
        </w:rPr>
      </w:pPr>
      <w:r w:rsidRPr="006244D3">
        <w:rPr>
          <w:rFonts w:ascii="Times New Roman" w:hAnsi="Times New Roman" w:cs="Times New Roman"/>
          <w:sz w:val="20"/>
          <w:szCs w:val="20"/>
        </w:rPr>
        <w:t xml:space="preserve">With regards his education, </w:t>
      </w:r>
      <w:r w:rsidR="00EC6EB1" w:rsidRPr="006244D3">
        <w:rPr>
          <w:rFonts w:ascii="Times New Roman" w:hAnsi="Times New Roman" w:cs="Times New Roman"/>
          <w:sz w:val="20"/>
          <w:szCs w:val="20"/>
        </w:rPr>
        <w:t>p</w:t>
      </w:r>
      <w:r w:rsidR="003475CD" w:rsidRPr="006244D3">
        <w:rPr>
          <w:rFonts w:ascii="Times New Roman" w:hAnsi="Times New Roman" w:cs="Times New Roman"/>
          <w:sz w:val="20"/>
          <w:szCs w:val="20"/>
        </w:rPr>
        <w:t>laintiff</w:t>
      </w:r>
      <w:r w:rsidRPr="006244D3">
        <w:rPr>
          <w:rFonts w:ascii="Times New Roman" w:hAnsi="Times New Roman" w:cs="Times New Roman"/>
          <w:sz w:val="20"/>
          <w:szCs w:val="20"/>
        </w:rPr>
        <w:t xml:space="preserve"> exited the schooling system in December 2012, after having successfully completed his Grade 12 year. His National Senior Certificate reflects that he met minimum requirements for admission to higher certificate studies.</w:t>
      </w:r>
    </w:p>
    <w:p w14:paraId="5CA3FB96" w14:textId="15B67459" w:rsidR="00875D2C" w:rsidRPr="006244D3" w:rsidRDefault="007742C8" w:rsidP="009D30BA">
      <w:pPr>
        <w:pStyle w:val="ListParagraph"/>
        <w:numPr>
          <w:ilvl w:val="0"/>
          <w:numId w:val="9"/>
        </w:numPr>
        <w:spacing w:line="360" w:lineRule="auto"/>
        <w:ind w:hanging="720"/>
        <w:jc w:val="both"/>
        <w:rPr>
          <w:rFonts w:ascii="Times New Roman" w:hAnsi="Times New Roman" w:cs="Times New Roman"/>
          <w:sz w:val="20"/>
          <w:szCs w:val="20"/>
        </w:rPr>
      </w:pPr>
      <w:r w:rsidRPr="006244D3">
        <w:rPr>
          <w:rFonts w:ascii="Times New Roman" w:hAnsi="Times New Roman" w:cs="Times New Roman"/>
          <w:sz w:val="20"/>
          <w:szCs w:val="20"/>
        </w:rPr>
        <w:t xml:space="preserve">In terms of further skills development, </w:t>
      </w:r>
      <w:r w:rsidR="001D5543" w:rsidRPr="006244D3">
        <w:rPr>
          <w:rFonts w:ascii="Times New Roman" w:hAnsi="Times New Roman" w:cs="Times New Roman"/>
          <w:sz w:val="20"/>
          <w:szCs w:val="20"/>
        </w:rPr>
        <w:t>p</w:t>
      </w:r>
      <w:r w:rsidRPr="006244D3">
        <w:rPr>
          <w:rFonts w:ascii="Times New Roman" w:hAnsi="Times New Roman" w:cs="Times New Roman"/>
          <w:sz w:val="20"/>
          <w:szCs w:val="20"/>
        </w:rPr>
        <w:t xml:space="preserve">laintiff did not further his tertiary studies or complete any training. Upon direct questioning, </w:t>
      </w:r>
      <w:r w:rsidR="001D5543" w:rsidRPr="006244D3">
        <w:rPr>
          <w:rFonts w:ascii="Times New Roman" w:hAnsi="Times New Roman" w:cs="Times New Roman"/>
          <w:sz w:val="20"/>
          <w:szCs w:val="20"/>
        </w:rPr>
        <w:t>p</w:t>
      </w:r>
      <w:r w:rsidRPr="006244D3">
        <w:rPr>
          <w:rFonts w:ascii="Times New Roman" w:hAnsi="Times New Roman" w:cs="Times New Roman"/>
          <w:sz w:val="20"/>
          <w:szCs w:val="20"/>
        </w:rPr>
        <w:t>laintiff indicated that he does not have a driver’s license.</w:t>
      </w:r>
    </w:p>
    <w:p w14:paraId="16710F88" w14:textId="4CB92AC7" w:rsidR="00875D2C" w:rsidRPr="006244D3" w:rsidRDefault="007742C8" w:rsidP="009D30BA">
      <w:pPr>
        <w:pStyle w:val="ListParagraph"/>
        <w:numPr>
          <w:ilvl w:val="0"/>
          <w:numId w:val="9"/>
        </w:numPr>
        <w:spacing w:line="360" w:lineRule="auto"/>
        <w:ind w:hanging="720"/>
        <w:jc w:val="both"/>
        <w:rPr>
          <w:rFonts w:ascii="Times New Roman" w:hAnsi="Times New Roman" w:cs="Times New Roman"/>
          <w:sz w:val="20"/>
          <w:szCs w:val="20"/>
        </w:rPr>
      </w:pPr>
      <w:r w:rsidRPr="006244D3">
        <w:rPr>
          <w:rFonts w:ascii="Times New Roman" w:hAnsi="Times New Roman" w:cs="Times New Roman"/>
          <w:sz w:val="20"/>
          <w:szCs w:val="20"/>
        </w:rPr>
        <w:t xml:space="preserve">From an occupational perspective, </w:t>
      </w:r>
      <w:r w:rsidR="00FE2127" w:rsidRPr="006244D3">
        <w:rPr>
          <w:rFonts w:ascii="Times New Roman" w:hAnsi="Times New Roman" w:cs="Times New Roman"/>
          <w:sz w:val="20"/>
          <w:szCs w:val="20"/>
        </w:rPr>
        <w:t>p</w:t>
      </w:r>
      <w:r w:rsidRPr="006244D3">
        <w:rPr>
          <w:rFonts w:ascii="Times New Roman" w:hAnsi="Times New Roman" w:cs="Times New Roman"/>
          <w:sz w:val="20"/>
          <w:szCs w:val="20"/>
        </w:rPr>
        <w:t xml:space="preserve">laintiff has held employment doing instore promotions for Auto Reach during school holidays. In 2015 he worked as a casual/shelf packer at Cash </w:t>
      </w:r>
      <w:r w:rsidR="002F2107">
        <w:rPr>
          <w:rFonts w:ascii="Times New Roman" w:hAnsi="Times New Roman" w:cs="Times New Roman"/>
          <w:sz w:val="20"/>
          <w:szCs w:val="20"/>
        </w:rPr>
        <w:t>‘n</w:t>
      </w:r>
      <w:r w:rsidRPr="006244D3">
        <w:rPr>
          <w:rFonts w:ascii="Times New Roman" w:hAnsi="Times New Roman" w:cs="Times New Roman"/>
          <w:sz w:val="20"/>
          <w:szCs w:val="20"/>
        </w:rPr>
        <w:t xml:space="preserve"> Carry in 2015 for five to eight months. As per the affidavit referred to in section 7 of this report, </w:t>
      </w:r>
      <w:r w:rsidR="00FE2127" w:rsidRPr="006244D3">
        <w:rPr>
          <w:rFonts w:ascii="Times New Roman" w:hAnsi="Times New Roman" w:cs="Times New Roman"/>
          <w:sz w:val="20"/>
          <w:szCs w:val="20"/>
        </w:rPr>
        <w:t>p</w:t>
      </w:r>
      <w:r w:rsidRPr="006244D3">
        <w:rPr>
          <w:rFonts w:ascii="Times New Roman" w:hAnsi="Times New Roman" w:cs="Times New Roman"/>
          <w:sz w:val="20"/>
          <w:szCs w:val="20"/>
        </w:rPr>
        <w:t xml:space="preserve">laintiff was </w:t>
      </w:r>
      <w:r w:rsidRPr="006244D3">
        <w:rPr>
          <w:rFonts w:ascii="Times New Roman" w:hAnsi="Times New Roman" w:cs="Times New Roman"/>
          <w:sz w:val="20"/>
          <w:szCs w:val="20"/>
        </w:rPr>
        <w:lastRenderedPageBreak/>
        <w:t>earning R2 500.00 per month for his efforts in this capacity. He reportedly left this position at around the end of November 2015. He was thus unemployed at the time of the accident.</w:t>
      </w:r>
    </w:p>
    <w:p w14:paraId="54BEF2DE" w14:textId="30F131D5" w:rsidR="00875D2C" w:rsidRPr="006244D3" w:rsidRDefault="00677DB5" w:rsidP="009D30BA">
      <w:pPr>
        <w:pStyle w:val="ListParagraph"/>
        <w:numPr>
          <w:ilvl w:val="0"/>
          <w:numId w:val="9"/>
        </w:numPr>
        <w:spacing w:line="360" w:lineRule="auto"/>
        <w:ind w:hanging="720"/>
        <w:jc w:val="both"/>
        <w:rPr>
          <w:rFonts w:ascii="Times New Roman" w:hAnsi="Times New Roman" w:cs="Times New Roman"/>
          <w:sz w:val="20"/>
          <w:szCs w:val="20"/>
        </w:rPr>
      </w:pPr>
      <w:r w:rsidRPr="006244D3">
        <w:rPr>
          <w:rFonts w:ascii="Times New Roman" w:hAnsi="Times New Roman" w:cs="Times New Roman"/>
          <w:sz w:val="20"/>
          <w:szCs w:val="20"/>
        </w:rPr>
        <w:t>The p</w:t>
      </w:r>
      <w:r w:rsidR="007742C8" w:rsidRPr="006244D3">
        <w:rPr>
          <w:rFonts w:ascii="Times New Roman" w:hAnsi="Times New Roman" w:cs="Times New Roman"/>
          <w:sz w:val="20"/>
          <w:szCs w:val="20"/>
        </w:rPr>
        <w:t xml:space="preserve">laintiff was 25 </w:t>
      </w:r>
      <w:r w:rsidR="00CB287A" w:rsidRPr="006244D3">
        <w:rPr>
          <w:rFonts w:ascii="Times New Roman" w:hAnsi="Times New Roman" w:cs="Times New Roman"/>
          <w:sz w:val="20"/>
          <w:szCs w:val="20"/>
        </w:rPr>
        <w:t xml:space="preserve">years old </w:t>
      </w:r>
      <w:r w:rsidR="007742C8" w:rsidRPr="006244D3">
        <w:rPr>
          <w:rFonts w:ascii="Times New Roman" w:hAnsi="Times New Roman" w:cs="Times New Roman"/>
          <w:sz w:val="20"/>
          <w:szCs w:val="20"/>
        </w:rPr>
        <w:t>at the time of the accident. He asserted that he was in good health pre-morbidly and that he would not have had any limitations meeting the requirements of any position for which he was suited.</w:t>
      </w:r>
    </w:p>
    <w:p w14:paraId="4BF0ED1A" w14:textId="6115EFB6" w:rsidR="00875D2C" w:rsidRPr="006244D3" w:rsidRDefault="007742C8" w:rsidP="009D30BA">
      <w:pPr>
        <w:pStyle w:val="ListParagraph"/>
        <w:numPr>
          <w:ilvl w:val="0"/>
          <w:numId w:val="9"/>
        </w:numPr>
        <w:spacing w:line="360" w:lineRule="auto"/>
        <w:ind w:hanging="720"/>
        <w:jc w:val="both"/>
        <w:rPr>
          <w:rFonts w:ascii="Times New Roman" w:hAnsi="Times New Roman" w:cs="Times New Roman"/>
          <w:sz w:val="20"/>
          <w:szCs w:val="20"/>
        </w:rPr>
      </w:pPr>
      <w:r w:rsidRPr="006244D3">
        <w:rPr>
          <w:rFonts w:ascii="Times New Roman" w:hAnsi="Times New Roman" w:cs="Times New Roman"/>
          <w:sz w:val="20"/>
          <w:szCs w:val="20"/>
        </w:rPr>
        <w:t xml:space="preserve">When asked about his career aspirations, </w:t>
      </w:r>
      <w:r w:rsidR="00EA6F3F" w:rsidRPr="006244D3">
        <w:rPr>
          <w:rFonts w:ascii="Times New Roman" w:hAnsi="Times New Roman" w:cs="Times New Roman"/>
          <w:sz w:val="20"/>
          <w:szCs w:val="20"/>
        </w:rPr>
        <w:t>p</w:t>
      </w:r>
      <w:r w:rsidRPr="006244D3">
        <w:rPr>
          <w:rFonts w:ascii="Times New Roman" w:hAnsi="Times New Roman" w:cs="Times New Roman"/>
          <w:sz w:val="20"/>
          <w:szCs w:val="20"/>
        </w:rPr>
        <w:t>laintiff reported that “he loved playing soccer" and that he had played for a soccer club since high school till the date of the accident. He indicated that his “dream” would have been to be a professional player. He however acknowledged that he had never derived any income from his soccer interests. Upon further probing, he explained that at the time of the accident he was searching for employment as he needed an income and that he would have accepted any entry level work with the aim of developing skills in the workplace.</w:t>
      </w:r>
      <w:r w:rsidR="00875D2C" w:rsidRPr="006244D3">
        <w:rPr>
          <w:rFonts w:ascii="Times New Roman" w:hAnsi="Times New Roman" w:cs="Times New Roman"/>
          <w:sz w:val="20"/>
          <w:szCs w:val="20"/>
        </w:rPr>
        <w:t xml:space="preserve"> </w:t>
      </w:r>
    </w:p>
    <w:p w14:paraId="364A4E2D" w14:textId="76AB025C" w:rsidR="00875D2C" w:rsidRPr="006244D3" w:rsidRDefault="007742C8" w:rsidP="009D30BA">
      <w:pPr>
        <w:pStyle w:val="ListParagraph"/>
        <w:numPr>
          <w:ilvl w:val="0"/>
          <w:numId w:val="9"/>
        </w:numPr>
        <w:spacing w:line="360" w:lineRule="auto"/>
        <w:ind w:hanging="720"/>
        <w:jc w:val="both"/>
        <w:rPr>
          <w:rFonts w:ascii="Times New Roman" w:hAnsi="Times New Roman" w:cs="Times New Roman"/>
          <w:sz w:val="20"/>
          <w:szCs w:val="20"/>
        </w:rPr>
      </w:pPr>
      <w:r w:rsidRPr="006244D3">
        <w:rPr>
          <w:rFonts w:ascii="Times New Roman" w:hAnsi="Times New Roman" w:cs="Times New Roman"/>
          <w:sz w:val="20"/>
          <w:szCs w:val="20"/>
        </w:rPr>
        <w:t xml:space="preserve">Having considered </w:t>
      </w:r>
      <w:r w:rsidR="00713D89" w:rsidRPr="006244D3">
        <w:rPr>
          <w:rFonts w:ascii="Times New Roman" w:hAnsi="Times New Roman" w:cs="Times New Roman"/>
          <w:sz w:val="20"/>
          <w:szCs w:val="20"/>
        </w:rPr>
        <w:t>p</w:t>
      </w:r>
      <w:r w:rsidRPr="006244D3">
        <w:rPr>
          <w:rFonts w:ascii="Times New Roman" w:hAnsi="Times New Roman" w:cs="Times New Roman"/>
          <w:sz w:val="20"/>
          <w:szCs w:val="20"/>
        </w:rPr>
        <w:t xml:space="preserve">laintiff’s background, his level of education and the limited work experience Leibowitz is of the opinion that he would have had to rely on his physical abilities and psychological wellbeing to remain competitive and earn a living. It is further considered that he would have remained competitive for positions for which he had the requisite skills, abilities and experience. Whilst Leibowitz acknowledges </w:t>
      </w:r>
      <w:r w:rsidR="007464BF" w:rsidRPr="006244D3">
        <w:rPr>
          <w:rFonts w:ascii="Times New Roman" w:hAnsi="Times New Roman" w:cs="Times New Roman"/>
          <w:sz w:val="20"/>
          <w:szCs w:val="20"/>
        </w:rPr>
        <w:t>p</w:t>
      </w:r>
      <w:r w:rsidRPr="006244D3">
        <w:rPr>
          <w:rFonts w:ascii="Times New Roman" w:hAnsi="Times New Roman" w:cs="Times New Roman"/>
          <w:sz w:val="20"/>
          <w:szCs w:val="20"/>
        </w:rPr>
        <w:t>laintiff’s love of sport, it is however considered that very few people manage to progress to a professional level. As such Leibowitz is of the view that but for the accident the following would have ensued:</w:t>
      </w:r>
    </w:p>
    <w:p w14:paraId="76E9DD32" w14:textId="3BBF603A" w:rsidR="00875D2C" w:rsidRPr="002F2107" w:rsidRDefault="002F2107" w:rsidP="006B4C34">
      <w:pPr>
        <w:spacing w:line="360" w:lineRule="auto"/>
        <w:ind w:left="2160" w:hanging="720"/>
        <w:jc w:val="both"/>
        <w:rPr>
          <w:rFonts w:ascii="Times New Roman" w:hAnsi="Times New Roman" w:cs="Times New Roman"/>
          <w:sz w:val="20"/>
          <w:szCs w:val="20"/>
        </w:rPr>
      </w:pPr>
      <w:r>
        <w:rPr>
          <w:rFonts w:ascii="Times New Roman" w:hAnsi="Times New Roman" w:cs="Times New Roman"/>
          <w:sz w:val="20"/>
          <w:szCs w:val="20"/>
        </w:rPr>
        <w:t>7</w:t>
      </w:r>
      <w:r w:rsidRPr="002F2107">
        <w:rPr>
          <w:rFonts w:ascii="Times New Roman" w:hAnsi="Times New Roman" w:cs="Times New Roman"/>
          <w:sz w:val="20"/>
          <w:szCs w:val="20"/>
        </w:rPr>
        <w:t>.1</w:t>
      </w:r>
      <w:r>
        <w:rPr>
          <w:rFonts w:ascii="Times New Roman" w:hAnsi="Times New Roman" w:cs="Times New Roman"/>
          <w:sz w:val="20"/>
          <w:szCs w:val="20"/>
        </w:rPr>
        <w:tab/>
      </w:r>
      <w:r w:rsidR="007742C8" w:rsidRPr="002F2107">
        <w:rPr>
          <w:rFonts w:ascii="Times New Roman" w:hAnsi="Times New Roman" w:cs="Times New Roman"/>
          <w:sz w:val="20"/>
          <w:szCs w:val="20"/>
        </w:rPr>
        <w:t xml:space="preserve">Given that </w:t>
      </w:r>
      <w:r w:rsidR="00F83170" w:rsidRPr="002F2107">
        <w:rPr>
          <w:rFonts w:ascii="Times New Roman" w:hAnsi="Times New Roman" w:cs="Times New Roman"/>
          <w:sz w:val="20"/>
          <w:szCs w:val="20"/>
        </w:rPr>
        <w:t>p</w:t>
      </w:r>
      <w:r w:rsidR="007742C8" w:rsidRPr="002F2107">
        <w:rPr>
          <w:rFonts w:ascii="Times New Roman" w:hAnsi="Times New Roman" w:cs="Times New Roman"/>
          <w:sz w:val="20"/>
          <w:szCs w:val="20"/>
        </w:rPr>
        <w:t>laintiff was unemployed at the time of the accident, he may have accepted work as a casual worker such as he had previously held in 2015. It is however considered that in time (although timeframes are difficult to accurately predict) he would have secured more stable work. His earnings would have depended on various factors, such as his job context.</w:t>
      </w:r>
    </w:p>
    <w:p w14:paraId="22FF5E5F" w14:textId="5CE4912C" w:rsidR="00875D2C" w:rsidRDefault="007742C8" w:rsidP="006B4C34">
      <w:pPr>
        <w:pStyle w:val="ListParagraph"/>
        <w:numPr>
          <w:ilvl w:val="1"/>
          <w:numId w:val="9"/>
        </w:numPr>
        <w:spacing w:line="360" w:lineRule="auto"/>
        <w:ind w:left="2160" w:hanging="720"/>
        <w:jc w:val="both"/>
        <w:rPr>
          <w:rFonts w:ascii="Times New Roman" w:hAnsi="Times New Roman" w:cs="Times New Roman"/>
          <w:sz w:val="20"/>
          <w:szCs w:val="20"/>
        </w:rPr>
      </w:pPr>
      <w:r w:rsidRPr="002F2107">
        <w:rPr>
          <w:rFonts w:ascii="Times New Roman" w:hAnsi="Times New Roman" w:cs="Times New Roman"/>
          <w:sz w:val="20"/>
          <w:szCs w:val="20"/>
        </w:rPr>
        <w:t xml:space="preserve">Broadly speaking, it is acknowledged that although </w:t>
      </w:r>
      <w:r w:rsidR="000E7F70" w:rsidRPr="002F2107">
        <w:rPr>
          <w:rFonts w:ascii="Times New Roman" w:hAnsi="Times New Roman" w:cs="Times New Roman"/>
          <w:sz w:val="20"/>
          <w:szCs w:val="20"/>
        </w:rPr>
        <w:t>p</w:t>
      </w:r>
      <w:r w:rsidRPr="002F2107">
        <w:rPr>
          <w:rFonts w:ascii="Times New Roman" w:hAnsi="Times New Roman" w:cs="Times New Roman"/>
          <w:sz w:val="20"/>
          <w:szCs w:val="20"/>
        </w:rPr>
        <w:t xml:space="preserve">laintiff had completed Grade 12, given labour market conditions </w:t>
      </w:r>
      <w:r w:rsidR="002F2107">
        <w:rPr>
          <w:rFonts w:ascii="Times New Roman" w:hAnsi="Times New Roman" w:cs="Times New Roman"/>
          <w:sz w:val="20"/>
          <w:szCs w:val="20"/>
        </w:rPr>
        <w:t xml:space="preserve">he </w:t>
      </w:r>
      <w:r w:rsidRPr="002F2107">
        <w:rPr>
          <w:rFonts w:ascii="Times New Roman" w:hAnsi="Times New Roman" w:cs="Times New Roman"/>
          <w:sz w:val="20"/>
          <w:szCs w:val="20"/>
        </w:rPr>
        <w:t>may initially have had to accept work where he would have earned at least in line with the National Minimum Wage. Had he secured full-time work, his earnings may have been at the R4 229.55 per month/R50 745.60 per annum levels in 2021 terms.</w:t>
      </w:r>
    </w:p>
    <w:p w14:paraId="7F5A1E05" w14:textId="77777777" w:rsidR="002F2107" w:rsidRPr="002F2107" w:rsidRDefault="002F2107" w:rsidP="006B4C34">
      <w:pPr>
        <w:pStyle w:val="ListParagraph"/>
        <w:spacing w:after="0" w:line="360" w:lineRule="auto"/>
        <w:ind w:left="2160" w:hanging="720"/>
        <w:jc w:val="both"/>
        <w:rPr>
          <w:rFonts w:ascii="Times New Roman" w:hAnsi="Times New Roman" w:cs="Times New Roman"/>
          <w:sz w:val="20"/>
          <w:szCs w:val="20"/>
        </w:rPr>
      </w:pPr>
    </w:p>
    <w:p w14:paraId="48B39C7D" w14:textId="73D05C4C" w:rsidR="002F2107" w:rsidRDefault="002F2107" w:rsidP="006B4C34">
      <w:pPr>
        <w:pStyle w:val="ListParagraph"/>
        <w:numPr>
          <w:ilvl w:val="1"/>
          <w:numId w:val="9"/>
        </w:numPr>
        <w:spacing w:after="0" w:line="360" w:lineRule="auto"/>
        <w:ind w:left="2160" w:hanging="720"/>
        <w:jc w:val="both"/>
        <w:rPr>
          <w:rFonts w:ascii="Times New Roman" w:hAnsi="Times New Roman" w:cs="Times New Roman"/>
          <w:sz w:val="20"/>
          <w:szCs w:val="20"/>
        </w:rPr>
      </w:pPr>
      <w:r w:rsidRPr="002F2107">
        <w:rPr>
          <w:rFonts w:ascii="Times New Roman" w:hAnsi="Times New Roman" w:cs="Times New Roman"/>
          <w:sz w:val="20"/>
          <w:szCs w:val="20"/>
        </w:rPr>
        <w:t>G</w:t>
      </w:r>
      <w:r w:rsidR="007742C8" w:rsidRPr="002F2107">
        <w:rPr>
          <w:rFonts w:ascii="Times New Roman" w:hAnsi="Times New Roman" w:cs="Times New Roman"/>
          <w:sz w:val="20"/>
          <w:szCs w:val="20"/>
        </w:rPr>
        <w:t xml:space="preserve">iven </w:t>
      </w:r>
      <w:r w:rsidR="00D316FC" w:rsidRPr="002F2107">
        <w:rPr>
          <w:rFonts w:ascii="Times New Roman" w:hAnsi="Times New Roman" w:cs="Times New Roman"/>
          <w:sz w:val="20"/>
          <w:szCs w:val="20"/>
        </w:rPr>
        <w:t>p</w:t>
      </w:r>
      <w:r w:rsidR="007742C8" w:rsidRPr="002F2107">
        <w:rPr>
          <w:rFonts w:ascii="Times New Roman" w:hAnsi="Times New Roman" w:cs="Times New Roman"/>
          <w:sz w:val="20"/>
          <w:szCs w:val="20"/>
        </w:rPr>
        <w:t xml:space="preserve">laintiff’s relatively young age at the time of the accident (he was only 25), and that he had obtained a Grade 12, it would only be fair to allow for progression. It may be considered that given the opportunity, with time, experience, and the acquisition of additional skills (which may have been obtained through attending additional courses, workplace interventions/undergoing on the job training, etc.), </w:t>
      </w:r>
      <w:r w:rsidR="001E2A11" w:rsidRPr="002F2107">
        <w:rPr>
          <w:rFonts w:ascii="Times New Roman" w:hAnsi="Times New Roman" w:cs="Times New Roman"/>
          <w:sz w:val="20"/>
          <w:szCs w:val="20"/>
        </w:rPr>
        <w:t>p</w:t>
      </w:r>
      <w:r w:rsidR="007742C8" w:rsidRPr="002F2107">
        <w:rPr>
          <w:rFonts w:ascii="Times New Roman" w:hAnsi="Times New Roman" w:cs="Times New Roman"/>
          <w:sz w:val="20"/>
          <w:szCs w:val="20"/>
        </w:rPr>
        <w:t>laintiff would have been able to progress within semi-skilled environments to reach R193 000</w:t>
      </w:r>
      <w:r w:rsidRPr="002F2107">
        <w:rPr>
          <w:rFonts w:ascii="Times New Roman" w:hAnsi="Times New Roman" w:cs="Times New Roman"/>
          <w:sz w:val="20"/>
          <w:szCs w:val="20"/>
        </w:rPr>
        <w:t>.00</w:t>
      </w:r>
      <w:r w:rsidR="007742C8" w:rsidRPr="002F2107">
        <w:rPr>
          <w:rFonts w:ascii="Times New Roman" w:hAnsi="Times New Roman" w:cs="Times New Roman"/>
          <w:sz w:val="20"/>
          <w:szCs w:val="20"/>
        </w:rPr>
        <w:t xml:space="preserve"> per annum levels by age 45- 50</w:t>
      </w:r>
      <w:r>
        <w:rPr>
          <w:rFonts w:ascii="Times New Roman" w:hAnsi="Times New Roman" w:cs="Times New Roman"/>
          <w:sz w:val="20"/>
          <w:szCs w:val="20"/>
        </w:rPr>
        <w:t>.</w:t>
      </w:r>
    </w:p>
    <w:p w14:paraId="1B71BA89" w14:textId="77777777" w:rsidR="002F2107" w:rsidRPr="002F2107" w:rsidRDefault="002F2107" w:rsidP="006B4C34">
      <w:pPr>
        <w:spacing w:after="0" w:line="360" w:lineRule="auto"/>
        <w:ind w:left="2160" w:hanging="720"/>
        <w:jc w:val="both"/>
        <w:rPr>
          <w:rFonts w:ascii="Times New Roman" w:hAnsi="Times New Roman" w:cs="Times New Roman"/>
          <w:sz w:val="20"/>
          <w:szCs w:val="20"/>
        </w:rPr>
      </w:pPr>
    </w:p>
    <w:p w14:paraId="7F21BA4A" w14:textId="191A5780" w:rsidR="007742C8" w:rsidRPr="002F2107" w:rsidRDefault="007742C8" w:rsidP="006B4C34">
      <w:pPr>
        <w:pStyle w:val="ListParagraph"/>
        <w:numPr>
          <w:ilvl w:val="1"/>
          <w:numId w:val="9"/>
        </w:numPr>
        <w:spacing w:line="360" w:lineRule="auto"/>
        <w:ind w:left="2160" w:hanging="720"/>
        <w:jc w:val="both"/>
        <w:rPr>
          <w:rFonts w:ascii="Times New Roman" w:hAnsi="Times New Roman" w:cs="Times New Roman"/>
          <w:sz w:val="20"/>
          <w:szCs w:val="20"/>
        </w:rPr>
      </w:pPr>
      <w:r w:rsidRPr="002F2107">
        <w:rPr>
          <w:rFonts w:ascii="Times New Roman" w:hAnsi="Times New Roman" w:cs="Times New Roman"/>
          <w:sz w:val="20"/>
          <w:szCs w:val="20"/>
        </w:rPr>
        <w:t>Thereafter, his earnings may have increased annually in line with inflation, until retirement at age 65.</w:t>
      </w:r>
    </w:p>
    <w:p w14:paraId="5BD14F71" w14:textId="77777777" w:rsidR="00C7613C" w:rsidRPr="00875D2C" w:rsidRDefault="00C7613C" w:rsidP="00C7613C">
      <w:pPr>
        <w:pStyle w:val="ListParagraph"/>
        <w:spacing w:after="0" w:line="360" w:lineRule="auto"/>
        <w:ind w:left="1440"/>
        <w:jc w:val="both"/>
        <w:rPr>
          <w:rFonts w:ascii="Times New Roman" w:hAnsi="Times New Roman" w:cs="Times New Roman"/>
          <w:sz w:val="24"/>
          <w:szCs w:val="24"/>
        </w:rPr>
      </w:pPr>
    </w:p>
    <w:p w14:paraId="057A51FC" w14:textId="1E0454A6" w:rsidR="007742C8" w:rsidRPr="002F2107" w:rsidRDefault="007742C8" w:rsidP="009D30BA">
      <w:pPr>
        <w:spacing w:after="0" w:line="360" w:lineRule="auto"/>
        <w:ind w:left="720" w:hanging="720"/>
        <w:jc w:val="both"/>
        <w:rPr>
          <w:rFonts w:ascii="Times New Roman" w:hAnsi="Times New Roman" w:cs="Times New Roman"/>
          <w:sz w:val="20"/>
          <w:szCs w:val="20"/>
        </w:rPr>
      </w:pPr>
      <w:r w:rsidRPr="007742C8">
        <w:rPr>
          <w:rFonts w:ascii="Times New Roman" w:hAnsi="Times New Roman" w:cs="Times New Roman"/>
          <w:sz w:val="24"/>
          <w:szCs w:val="24"/>
        </w:rPr>
        <w:tab/>
      </w:r>
      <w:r w:rsidR="00C02588" w:rsidRPr="002F2107">
        <w:rPr>
          <w:rFonts w:ascii="Times New Roman" w:hAnsi="Times New Roman" w:cs="Times New Roman"/>
          <w:sz w:val="20"/>
          <w:szCs w:val="20"/>
        </w:rPr>
        <w:t xml:space="preserve">B: </w:t>
      </w:r>
      <w:r w:rsidRPr="002F2107">
        <w:rPr>
          <w:rFonts w:ascii="Times New Roman" w:hAnsi="Times New Roman" w:cs="Times New Roman"/>
          <w:sz w:val="20"/>
          <w:szCs w:val="20"/>
        </w:rPr>
        <w:t>Post-Accident</w:t>
      </w:r>
    </w:p>
    <w:p w14:paraId="0C388855" w14:textId="624AED45" w:rsidR="00C02588" w:rsidRPr="006244D3" w:rsidRDefault="0041006B" w:rsidP="009D30BA">
      <w:pPr>
        <w:pStyle w:val="ListParagraph"/>
        <w:numPr>
          <w:ilvl w:val="0"/>
          <w:numId w:val="11"/>
        </w:numPr>
        <w:spacing w:line="360" w:lineRule="auto"/>
        <w:jc w:val="both"/>
        <w:rPr>
          <w:rFonts w:ascii="Times New Roman" w:hAnsi="Times New Roman" w:cs="Times New Roman"/>
          <w:sz w:val="20"/>
          <w:szCs w:val="20"/>
        </w:rPr>
      </w:pPr>
      <w:r w:rsidRPr="006244D3">
        <w:rPr>
          <w:rFonts w:ascii="Times New Roman" w:hAnsi="Times New Roman" w:cs="Times New Roman"/>
          <w:sz w:val="20"/>
          <w:szCs w:val="20"/>
        </w:rPr>
        <w:t>The p</w:t>
      </w:r>
      <w:r w:rsidR="007742C8" w:rsidRPr="006244D3">
        <w:rPr>
          <w:rFonts w:ascii="Times New Roman" w:hAnsi="Times New Roman" w:cs="Times New Roman"/>
          <w:sz w:val="20"/>
          <w:szCs w:val="20"/>
        </w:rPr>
        <w:t>laintiff was involved in an accident on the 10 August 2016, in which he sustained injury.</w:t>
      </w:r>
    </w:p>
    <w:p w14:paraId="542D8006" w14:textId="77777777" w:rsidR="00C02588" w:rsidRPr="006244D3" w:rsidRDefault="007742C8" w:rsidP="009D30BA">
      <w:pPr>
        <w:pStyle w:val="ListParagraph"/>
        <w:numPr>
          <w:ilvl w:val="0"/>
          <w:numId w:val="11"/>
        </w:numPr>
        <w:spacing w:line="360" w:lineRule="auto"/>
        <w:jc w:val="both"/>
        <w:rPr>
          <w:rFonts w:ascii="Times New Roman" w:hAnsi="Times New Roman" w:cs="Times New Roman"/>
          <w:sz w:val="20"/>
          <w:szCs w:val="20"/>
        </w:rPr>
      </w:pPr>
      <w:r w:rsidRPr="006244D3">
        <w:rPr>
          <w:rFonts w:ascii="Times New Roman" w:hAnsi="Times New Roman" w:cs="Times New Roman"/>
          <w:sz w:val="20"/>
          <w:szCs w:val="20"/>
        </w:rPr>
        <w:t>He reportedly remained unemployed since the date of the accident.</w:t>
      </w:r>
    </w:p>
    <w:p w14:paraId="08A4D19B" w14:textId="77777777" w:rsidR="00C02588" w:rsidRPr="006244D3" w:rsidRDefault="007742C8" w:rsidP="009D30BA">
      <w:pPr>
        <w:pStyle w:val="ListParagraph"/>
        <w:numPr>
          <w:ilvl w:val="0"/>
          <w:numId w:val="11"/>
        </w:numPr>
        <w:spacing w:line="360" w:lineRule="auto"/>
        <w:jc w:val="both"/>
        <w:rPr>
          <w:rFonts w:ascii="Times New Roman" w:hAnsi="Times New Roman" w:cs="Times New Roman"/>
          <w:sz w:val="20"/>
          <w:szCs w:val="20"/>
        </w:rPr>
      </w:pPr>
      <w:r w:rsidRPr="006244D3">
        <w:rPr>
          <w:rFonts w:ascii="Times New Roman" w:hAnsi="Times New Roman" w:cs="Times New Roman"/>
          <w:sz w:val="20"/>
          <w:szCs w:val="20"/>
        </w:rPr>
        <w:t xml:space="preserve">Leibowitz took note of the opinions of the experts on record. </w:t>
      </w:r>
    </w:p>
    <w:p w14:paraId="523D3D9E" w14:textId="0C77AE1E" w:rsidR="00C02588" w:rsidRPr="006244D3" w:rsidRDefault="007742C8" w:rsidP="009D30BA">
      <w:pPr>
        <w:pStyle w:val="ListParagraph"/>
        <w:numPr>
          <w:ilvl w:val="0"/>
          <w:numId w:val="11"/>
        </w:numPr>
        <w:spacing w:line="360" w:lineRule="auto"/>
        <w:jc w:val="both"/>
        <w:rPr>
          <w:rFonts w:ascii="Times New Roman" w:hAnsi="Times New Roman" w:cs="Times New Roman"/>
          <w:sz w:val="20"/>
          <w:szCs w:val="20"/>
        </w:rPr>
      </w:pPr>
      <w:r w:rsidRPr="006244D3">
        <w:rPr>
          <w:rFonts w:ascii="Times New Roman" w:hAnsi="Times New Roman" w:cs="Times New Roman"/>
          <w:sz w:val="20"/>
          <w:szCs w:val="20"/>
        </w:rPr>
        <w:t xml:space="preserve">Having taken cognisance of the experts’ collective findings, it is Leibowitz’s opinion that </w:t>
      </w:r>
      <w:r w:rsidR="002F27C5" w:rsidRPr="006244D3">
        <w:rPr>
          <w:rFonts w:ascii="Times New Roman" w:hAnsi="Times New Roman" w:cs="Times New Roman"/>
          <w:sz w:val="20"/>
          <w:szCs w:val="20"/>
        </w:rPr>
        <w:t>p</w:t>
      </w:r>
      <w:r w:rsidRPr="006244D3">
        <w:rPr>
          <w:rFonts w:ascii="Times New Roman" w:hAnsi="Times New Roman" w:cs="Times New Roman"/>
          <w:sz w:val="20"/>
          <w:szCs w:val="20"/>
        </w:rPr>
        <w:t xml:space="preserve">laintiff has been rendered exceptionally vulnerable and unemployable as a result of the injuries he sustained in the accident and the </w:t>
      </w:r>
      <w:r w:rsidRPr="00034D10">
        <w:rPr>
          <w:rFonts w:ascii="Times New Roman" w:hAnsi="Times New Roman" w:cs="Times New Roman"/>
          <w:i/>
          <w:iCs/>
          <w:sz w:val="20"/>
          <w:szCs w:val="20"/>
        </w:rPr>
        <w:t>sequelae</w:t>
      </w:r>
      <w:r w:rsidRPr="006244D3">
        <w:rPr>
          <w:rFonts w:ascii="Times New Roman" w:hAnsi="Times New Roman" w:cs="Times New Roman"/>
          <w:sz w:val="20"/>
          <w:szCs w:val="20"/>
        </w:rPr>
        <w:t xml:space="preserve"> thereof.</w:t>
      </w:r>
    </w:p>
    <w:p w14:paraId="7C22F351" w14:textId="4401ADF6" w:rsidR="00C02588" w:rsidRPr="006244D3" w:rsidRDefault="007742C8" w:rsidP="009D30BA">
      <w:pPr>
        <w:pStyle w:val="ListParagraph"/>
        <w:numPr>
          <w:ilvl w:val="0"/>
          <w:numId w:val="11"/>
        </w:numPr>
        <w:spacing w:line="360" w:lineRule="auto"/>
        <w:jc w:val="both"/>
        <w:rPr>
          <w:rFonts w:ascii="Times New Roman" w:hAnsi="Times New Roman" w:cs="Times New Roman"/>
          <w:sz w:val="20"/>
          <w:szCs w:val="20"/>
        </w:rPr>
      </w:pPr>
      <w:r w:rsidRPr="006244D3">
        <w:rPr>
          <w:rFonts w:ascii="Times New Roman" w:hAnsi="Times New Roman" w:cs="Times New Roman"/>
          <w:sz w:val="20"/>
          <w:szCs w:val="20"/>
        </w:rPr>
        <w:t xml:space="preserve">In essence, </w:t>
      </w:r>
      <w:r w:rsidR="00234D06" w:rsidRPr="006244D3">
        <w:rPr>
          <w:rFonts w:ascii="Times New Roman" w:hAnsi="Times New Roman" w:cs="Times New Roman"/>
          <w:sz w:val="20"/>
          <w:szCs w:val="20"/>
        </w:rPr>
        <w:t>p</w:t>
      </w:r>
      <w:r w:rsidRPr="006244D3">
        <w:rPr>
          <w:rFonts w:ascii="Times New Roman" w:hAnsi="Times New Roman" w:cs="Times New Roman"/>
          <w:sz w:val="20"/>
          <w:szCs w:val="20"/>
        </w:rPr>
        <w:t xml:space="preserve">laintiff sustained serious orthopaedic injuries as outlined by Dr Scher. Dr Scher explained that consequent to the cervical spinal cord damage </w:t>
      </w:r>
      <w:r w:rsidR="00234D06" w:rsidRPr="006244D3">
        <w:rPr>
          <w:rFonts w:ascii="Times New Roman" w:hAnsi="Times New Roman" w:cs="Times New Roman"/>
          <w:sz w:val="20"/>
          <w:szCs w:val="20"/>
        </w:rPr>
        <w:t>p</w:t>
      </w:r>
      <w:r w:rsidRPr="006244D3">
        <w:rPr>
          <w:rFonts w:ascii="Times New Roman" w:hAnsi="Times New Roman" w:cs="Times New Roman"/>
          <w:sz w:val="20"/>
          <w:szCs w:val="20"/>
        </w:rPr>
        <w:t xml:space="preserve">laintiff </w:t>
      </w:r>
      <w:r w:rsidR="00034D10">
        <w:rPr>
          <w:rFonts w:ascii="Times New Roman" w:hAnsi="Times New Roman" w:cs="Times New Roman"/>
          <w:sz w:val="20"/>
          <w:szCs w:val="20"/>
        </w:rPr>
        <w:t xml:space="preserve">has </w:t>
      </w:r>
      <w:r w:rsidRPr="006244D3">
        <w:rPr>
          <w:rFonts w:ascii="Times New Roman" w:hAnsi="Times New Roman" w:cs="Times New Roman"/>
          <w:sz w:val="20"/>
          <w:szCs w:val="20"/>
        </w:rPr>
        <w:t>been left virtually totally incapacitated, wheelchair bound and dependent on daily care for the rest of his life. In his opinion, post-accident he has been rendered unemployable.</w:t>
      </w:r>
    </w:p>
    <w:p w14:paraId="32D08252" w14:textId="42D790F8" w:rsidR="00C02588" w:rsidRPr="006244D3" w:rsidRDefault="007742C8" w:rsidP="009D30BA">
      <w:pPr>
        <w:pStyle w:val="ListParagraph"/>
        <w:numPr>
          <w:ilvl w:val="0"/>
          <w:numId w:val="11"/>
        </w:numPr>
        <w:spacing w:line="360" w:lineRule="auto"/>
        <w:jc w:val="both"/>
        <w:rPr>
          <w:rFonts w:ascii="Times New Roman" w:hAnsi="Times New Roman" w:cs="Times New Roman"/>
          <w:sz w:val="20"/>
          <w:szCs w:val="20"/>
        </w:rPr>
      </w:pPr>
      <w:r w:rsidRPr="006244D3">
        <w:rPr>
          <w:rFonts w:ascii="Times New Roman" w:hAnsi="Times New Roman" w:cs="Times New Roman"/>
          <w:sz w:val="20"/>
          <w:szCs w:val="20"/>
        </w:rPr>
        <w:t xml:space="preserve">In addition, Dr Townsend, Neurologist was of the opinion that he sustained a mild traumatic brain injury. Her neurological outcome diagnosis was that </w:t>
      </w:r>
      <w:r w:rsidR="000D44AF" w:rsidRPr="006244D3">
        <w:rPr>
          <w:rFonts w:ascii="Times New Roman" w:hAnsi="Times New Roman" w:cs="Times New Roman"/>
          <w:sz w:val="20"/>
          <w:szCs w:val="20"/>
        </w:rPr>
        <w:t>p</w:t>
      </w:r>
      <w:r w:rsidRPr="006244D3">
        <w:rPr>
          <w:rFonts w:ascii="Times New Roman" w:hAnsi="Times New Roman" w:cs="Times New Roman"/>
          <w:sz w:val="20"/>
          <w:szCs w:val="20"/>
        </w:rPr>
        <w:t xml:space="preserve">laintiff has posttraumatic cervical myelopathy ASIA-A C8 and posttraumatic mood disorder. In her opinion </w:t>
      </w:r>
      <w:r w:rsidR="00074CE8" w:rsidRPr="006244D3">
        <w:rPr>
          <w:rFonts w:ascii="Times New Roman" w:hAnsi="Times New Roman" w:cs="Times New Roman"/>
          <w:sz w:val="20"/>
          <w:szCs w:val="20"/>
        </w:rPr>
        <w:t>p</w:t>
      </w:r>
      <w:r w:rsidRPr="006244D3">
        <w:rPr>
          <w:rFonts w:ascii="Times New Roman" w:hAnsi="Times New Roman" w:cs="Times New Roman"/>
          <w:sz w:val="20"/>
          <w:szCs w:val="20"/>
        </w:rPr>
        <w:t>laintiff is rendered unemployable in the open labour market as a result of his spinal cord injury and neurological deficits.</w:t>
      </w:r>
    </w:p>
    <w:p w14:paraId="16833DC2" w14:textId="421D1F3A" w:rsidR="00C02588" w:rsidRPr="006244D3" w:rsidRDefault="007742C8" w:rsidP="009D30BA">
      <w:pPr>
        <w:pStyle w:val="ListParagraph"/>
        <w:numPr>
          <w:ilvl w:val="0"/>
          <w:numId w:val="11"/>
        </w:numPr>
        <w:spacing w:line="360" w:lineRule="auto"/>
        <w:jc w:val="both"/>
        <w:rPr>
          <w:rFonts w:ascii="Times New Roman" w:hAnsi="Times New Roman" w:cs="Times New Roman"/>
          <w:sz w:val="20"/>
          <w:szCs w:val="20"/>
        </w:rPr>
      </w:pPr>
      <w:r w:rsidRPr="006244D3">
        <w:rPr>
          <w:rFonts w:ascii="Times New Roman" w:hAnsi="Times New Roman" w:cs="Times New Roman"/>
          <w:sz w:val="20"/>
          <w:szCs w:val="20"/>
        </w:rPr>
        <w:t xml:space="preserve">Ms Da Costa, Clinical Psychologist, indicates that post-accident </w:t>
      </w:r>
      <w:r w:rsidR="00074CE8" w:rsidRPr="006244D3">
        <w:rPr>
          <w:rFonts w:ascii="Times New Roman" w:hAnsi="Times New Roman" w:cs="Times New Roman"/>
          <w:sz w:val="20"/>
          <w:szCs w:val="20"/>
        </w:rPr>
        <w:t>p</w:t>
      </w:r>
      <w:r w:rsidRPr="006244D3">
        <w:rPr>
          <w:rFonts w:ascii="Times New Roman" w:hAnsi="Times New Roman" w:cs="Times New Roman"/>
          <w:sz w:val="20"/>
          <w:szCs w:val="20"/>
        </w:rPr>
        <w:t xml:space="preserve">laintiff presents with deficits including severe depression, and severe anxiety/panic. Ms Da Costa is of the view that he will not likely be able to return to pre-accident levels of mental functioning if the physical pain and cognitive deficits either continues at the current level or intensifies. In her opinion, </w:t>
      </w:r>
      <w:r w:rsidR="00043301" w:rsidRPr="006244D3">
        <w:rPr>
          <w:rFonts w:ascii="Times New Roman" w:hAnsi="Times New Roman" w:cs="Times New Roman"/>
          <w:sz w:val="20"/>
          <w:szCs w:val="20"/>
        </w:rPr>
        <w:t>p</w:t>
      </w:r>
      <w:r w:rsidRPr="006244D3">
        <w:rPr>
          <w:rFonts w:ascii="Times New Roman" w:hAnsi="Times New Roman" w:cs="Times New Roman"/>
          <w:sz w:val="20"/>
          <w:szCs w:val="20"/>
        </w:rPr>
        <w:t>laintiff will remain unemployed.</w:t>
      </w:r>
    </w:p>
    <w:p w14:paraId="056E4EC6" w14:textId="440C0FCA" w:rsidR="00C02588" w:rsidRPr="00034D10" w:rsidRDefault="007742C8" w:rsidP="009D30BA">
      <w:pPr>
        <w:pStyle w:val="ListParagraph"/>
        <w:numPr>
          <w:ilvl w:val="0"/>
          <w:numId w:val="11"/>
        </w:numPr>
        <w:spacing w:line="360" w:lineRule="auto"/>
        <w:jc w:val="both"/>
        <w:rPr>
          <w:rFonts w:ascii="Times New Roman" w:hAnsi="Times New Roman" w:cs="Times New Roman"/>
          <w:sz w:val="20"/>
          <w:szCs w:val="20"/>
        </w:rPr>
      </w:pPr>
      <w:r w:rsidRPr="006244D3">
        <w:rPr>
          <w:rFonts w:ascii="Times New Roman" w:hAnsi="Times New Roman" w:cs="Times New Roman"/>
          <w:sz w:val="20"/>
          <w:szCs w:val="20"/>
        </w:rPr>
        <w:t>Ms Fletcher, Occupational Therapist,</w:t>
      </w:r>
      <w:r w:rsidR="00034D10">
        <w:rPr>
          <w:rFonts w:ascii="Times New Roman" w:hAnsi="Times New Roman" w:cs="Times New Roman"/>
          <w:sz w:val="20"/>
          <w:szCs w:val="20"/>
        </w:rPr>
        <w:t xml:space="preserve"> reports that</w:t>
      </w:r>
      <w:r w:rsidRPr="006244D3">
        <w:rPr>
          <w:rFonts w:ascii="Times New Roman" w:hAnsi="Times New Roman" w:cs="Times New Roman"/>
          <w:sz w:val="20"/>
          <w:szCs w:val="20"/>
        </w:rPr>
        <w:t xml:space="preserve"> </w:t>
      </w:r>
      <w:r w:rsidR="00426349" w:rsidRPr="006244D3">
        <w:rPr>
          <w:rFonts w:ascii="Times New Roman" w:hAnsi="Times New Roman" w:cs="Times New Roman"/>
          <w:sz w:val="20"/>
          <w:szCs w:val="20"/>
        </w:rPr>
        <w:t>p</w:t>
      </w:r>
      <w:r w:rsidRPr="006244D3">
        <w:rPr>
          <w:rFonts w:ascii="Times New Roman" w:hAnsi="Times New Roman" w:cs="Times New Roman"/>
          <w:sz w:val="20"/>
          <w:szCs w:val="20"/>
        </w:rPr>
        <w:t xml:space="preserve">laintiff identified several physical/functional limitations as well as visual perceptive skill deficits. She also concludes that </w:t>
      </w:r>
      <w:r w:rsidR="00E5081F" w:rsidRPr="006244D3">
        <w:rPr>
          <w:rFonts w:ascii="Times New Roman" w:hAnsi="Times New Roman" w:cs="Times New Roman"/>
          <w:sz w:val="20"/>
          <w:szCs w:val="20"/>
        </w:rPr>
        <w:t>p</w:t>
      </w:r>
      <w:r w:rsidRPr="006244D3">
        <w:rPr>
          <w:rFonts w:ascii="Times New Roman" w:hAnsi="Times New Roman" w:cs="Times New Roman"/>
          <w:sz w:val="20"/>
          <w:szCs w:val="20"/>
        </w:rPr>
        <w:t>laintiff is unemployable in the open labour market.</w:t>
      </w:r>
    </w:p>
    <w:p w14:paraId="206C60A8" w14:textId="067B8D64" w:rsidR="007742C8" w:rsidRDefault="007742C8" w:rsidP="006244D3">
      <w:pPr>
        <w:pStyle w:val="ListParagraph"/>
        <w:numPr>
          <w:ilvl w:val="0"/>
          <w:numId w:val="11"/>
        </w:numPr>
        <w:spacing w:after="0" w:line="360" w:lineRule="auto"/>
        <w:jc w:val="both"/>
        <w:rPr>
          <w:rFonts w:ascii="Times New Roman" w:hAnsi="Times New Roman" w:cs="Times New Roman"/>
          <w:sz w:val="24"/>
          <w:szCs w:val="24"/>
        </w:rPr>
      </w:pPr>
      <w:r w:rsidRPr="00034D10">
        <w:rPr>
          <w:rFonts w:ascii="Times New Roman" w:hAnsi="Times New Roman" w:cs="Times New Roman"/>
          <w:sz w:val="20"/>
          <w:szCs w:val="20"/>
        </w:rPr>
        <w:t xml:space="preserve">In light of the above, Leibowitz concludes that as a result of the injuries sustained in the accident and the </w:t>
      </w:r>
      <w:r w:rsidRPr="00034D10">
        <w:rPr>
          <w:rFonts w:ascii="Times New Roman" w:hAnsi="Times New Roman" w:cs="Times New Roman"/>
          <w:i/>
          <w:iCs/>
          <w:sz w:val="20"/>
          <w:szCs w:val="20"/>
        </w:rPr>
        <w:t>sequelae</w:t>
      </w:r>
      <w:r w:rsidRPr="00034D10">
        <w:rPr>
          <w:rFonts w:ascii="Times New Roman" w:hAnsi="Times New Roman" w:cs="Times New Roman"/>
          <w:sz w:val="20"/>
          <w:szCs w:val="20"/>
        </w:rPr>
        <w:t xml:space="preserve"> thereof, </w:t>
      </w:r>
      <w:r w:rsidR="00E5081F" w:rsidRPr="00034D10">
        <w:rPr>
          <w:rFonts w:ascii="Times New Roman" w:hAnsi="Times New Roman" w:cs="Times New Roman"/>
          <w:sz w:val="20"/>
          <w:szCs w:val="20"/>
        </w:rPr>
        <w:t>p</w:t>
      </w:r>
      <w:r w:rsidRPr="00034D10">
        <w:rPr>
          <w:rFonts w:ascii="Times New Roman" w:hAnsi="Times New Roman" w:cs="Times New Roman"/>
          <w:sz w:val="20"/>
          <w:szCs w:val="20"/>
        </w:rPr>
        <w:t>laintiff is c</w:t>
      </w:r>
      <w:r w:rsidRPr="006244D3">
        <w:rPr>
          <w:rFonts w:ascii="Times New Roman" w:hAnsi="Times New Roman" w:cs="Times New Roman"/>
          <w:sz w:val="20"/>
          <w:szCs w:val="20"/>
        </w:rPr>
        <w:t>onsidered unemployable and will suffer a total loss of earnings</w:t>
      </w:r>
      <w:r w:rsidRPr="00C02588">
        <w:rPr>
          <w:rFonts w:ascii="Times New Roman" w:hAnsi="Times New Roman" w:cs="Times New Roman"/>
          <w:sz w:val="24"/>
          <w:szCs w:val="24"/>
        </w:rPr>
        <w:t>.</w:t>
      </w:r>
    </w:p>
    <w:p w14:paraId="5426C398" w14:textId="77777777" w:rsidR="006244D3" w:rsidRDefault="006244D3" w:rsidP="00523D7B">
      <w:pPr>
        <w:spacing w:after="0" w:line="360" w:lineRule="auto"/>
        <w:ind w:left="720" w:hanging="720"/>
        <w:jc w:val="both"/>
        <w:rPr>
          <w:rFonts w:ascii="Times New Roman" w:hAnsi="Times New Roman" w:cs="Times New Roman"/>
          <w:sz w:val="24"/>
          <w:szCs w:val="24"/>
        </w:rPr>
      </w:pPr>
    </w:p>
    <w:p w14:paraId="6D7F2EBC" w14:textId="24453421" w:rsidR="00667524" w:rsidRDefault="00667524" w:rsidP="00523D7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902D51">
        <w:rPr>
          <w:rFonts w:ascii="Times New Roman" w:hAnsi="Times New Roman" w:cs="Times New Roman"/>
          <w:sz w:val="24"/>
          <w:szCs w:val="24"/>
        </w:rPr>
        <w:t>18</w:t>
      </w:r>
      <w:r>
        <w:rPr>
          <w:rFonts w:ascii="Times New Roman" w:hAnsi="Times New Roman" w:cs="Times New Roman"/>
          <w:sz w:val="24"/>
          <w:szCs w:val="24"/>
        </w:rPr>
        <w:t>]</w:t>
      </w:r>
      <w:r>
        <w:rPr>
          <w:rFonts w:ascii="Times New Roman" w:hAnsi="Times New Roman" w:cs="Times New Roman"/>
          <w:sz w:val="24"/>
          <w:szCs w:val="24"/>
        </w:rPr>
        <w:tab/>
      </w:r>
      <w:r w:rsidR="00523D7B">
        <w:rPr>
          <w:rFonts w:ascii="Times New Roman" w:hAnsi="Times New Roman" w:cs="Times New Roman"/>
          <w:sz w:val="24"/>
          <w:szCs w:val="24"/>
        </w:rPr>
        <w:t xml:space="preserve">The </w:t>
      </w:r>
      <w:r w:rsidR="004A556D">
        <w:rPr>
          <w:rFonts w:ascii="Times New Roman" w:hAnsi="Times New Roman" w:cs="Times New Roman"/>
          <w:sz w:val="24"/>
          <w:szCs w:val="24"/>
        </w:rPr>
        <w:t>d</w:t>
      </w:r>
      <w:r w:rsidR="00523D7B">
        <w:rPr>
          <w:rFonts w:ascii="Times New Roman" w:hAnsi="Times New Roman" w:cs="Times New Roman"/>
          <w:sz w:val="24"/>
          <w:szCs w:val="24"/>
        </w:rPr>
        <w:t xml:space="preserve">efendant did not adduce any evidence to bolster their view. </w:t>
      </w:r>
      <w:r>
        <w:rPr>
          <w:rFonts w:ascii="Times New Roman" w:hAnsi="Times New Roman" w:cs="Times New Roman"/>
          <w:sz w:val="24"/>
          <w:szCs w:val="24"/>
        </w:rPr>
        <w:t>Counsel for the defendant drew the court’s attention to the following:</w:t>
      </w:r>
    </w:p>
    <w:p w14:paraId="581186D6" w14:textId="07599E96" w:rsidR="00667524" w:rsidRPr="00902D51" w:rsidRDefault="007667A8" w:rsidP="00667524">
      <w:pPr>
        <w:pStyle w:val="ListParagraph"/>
        <w:numPr>
          <w:ilvl w:val="0"/>
          <w:numId w:val="15"/>
        </w:numPr>
        <w:spacing w:after="0" w:line="360" w:lineRule="auto"/>
        <w:ind w:left="1440" w:hanging="720"/>
        <w:jc w:val="both"/>
        <w:rPr>
          <w:rFonts w:ascii="Times New Roman" w:hAnsi="Times New Roman" w:cs="Times New Roman"/>
          <w:sz w:val="20"/>
          <w:szCs w:val="20"/>
        </w:rPr>
      </w:pPr>
      <w:r w:rsidRPr="00902D51">
        <w:rPr>
          <w:rFonts w:ascii="Times New Roman" w:hAnsi="Times New Roman" w:cs="Times New Roman"/>
          <w:sz w:val="20"/>
          <w:szCs w:val="20"/>
        </w:rPr>
        <w:t>P</w:t>
      </w:r>
      <w:r w:rsidR="00667524" w:rsidRPr="00902D51">
        <w:rPr>
          <w:rFonts w:ascii="Times New Roman" w:hAnsi="Times New Roman" w:cs="Times New Roman"/>
          <w:sz w:val="20"/>
          <w:szCs w:val="20"/>
        </w:rPr>
        <w:t>laintiff did not further his studies and Grade 12 is his highest qualification.</w:t>
      </w:r>
      <w:r w:rsidR="00034D10">
        <w:rPr>
          <w:rFonts w:ascii="Times New Roman" w:hAnsi="Times New Roman" w:cs="Times New Roman"/>
          <w:sz w:val="20"/>
          <w:szCs w:val="20"/>
        </w:rPr>
        <w:t xml:space="preserve"> He did not complete any further training.</w:t>
      </w:r>
    </w:p>
    <w:p w14:paraId="74AA6756" w14:textId="77777777" w:rsidR="00667524" w:rsidRPr="00902D51" w:rsidRDefault="00667524" w:rsidP="00667524">
      <w:pPr>
        <w:pStyle w:val="ListParagraph"/>
        <w:numPr>
          <w:ilvl w:val="0"/>
          <w:numId w:val="15"/>
        </w:numPr>
        <w:spacing w:after="0" w:line="360" w:lineRule="auto"/>
        <w:ind w:left="1440" w:hanging="720"/>
        <w:jc w:val="both"/>
        <w:rPr>
          <w:rFonts w:ascii="Times New Roman" w:hAnsi="Times New Roman" w:cs="Times New Roman"/>
          <w:sz w:val="20"/>
          <w:szCs w:val="20"/>
        </w:rPr>
      </w:pPr>
      <w:r w:rsidRPr="00902D51">
        <w:rPr>
          <w:rFonts w:ascii="Times New Roman" w:hAnsi="Times New Roman" w:cs="Times New Roman"/>
          <w:sz w:val="20"/>
          <w:szCs w:val="20"/>
        </w:rPr>
        <w:t>He did not hold a driver’s licence.</w:t>
      </w:r>
    </w:p>
    <w:p w14:paraId="4D85E7EA" w14:textId="63DA1445" w:rsidR="00667524" w:rsidRPr="00902D51" w:rsidRDefault="00667524" w:rsidP="00667524">
      <w:pPr>
        <w:pStyle w:val="ListParagraph"/>
        <w:numPr>
          <w:ilvl w:val="0"/>
          <w:numId w:val="15"/>
        </w:numPr>
        <w:spacing w:after="0" w:line="360" w:lineRule="auto"/>
        <w:ind w:left="1440" w:hanging="720"/>
        <w:jc w:val="both"/>
        <w:rPr>
          <w:rFonts w:ascii="Times New Roman" w:hAnsi="Times New Roman" w:cs="Times New Roman"/>
          <w:sz w:val="20"/>
          <w:szCs w:val="20"/>
        </w:rPr>
      </w:pPr>
      <w:r w:rsidRPr="00902D51">
        <w:rPr>
          <w:rFonts w:ascii="Times New Roman" w:hAnsi="Times New Roman" w:cs="Times New Roman"/>
          <w:sz w:val="20"/>
          <w:szCs w:val="20"/>
        </w:rPr>
        <w:lastRenderedPageBreak/>
        <w:t xml:space="preserve">His employment with both Auto Reach and Bibi Cash </w:t>
      </w:r>
      <w:r w:rsidR="00034D10">
        <w:rPr>
          <w:rFonts w:ascii="Times New Roman" w:hAnsi="Times New Roman" w:cs="Times New Roman"/>
          <w:sz w:val="20"/>
          <w:szCs w:val="20"/>
        </w:rPr>
        <w:t>‘n</w:t>
      </w:r>
      <w:r w:rsidRPr="00902D51">
        <w:rPr>
          <w:rFonts w:ascii="Times New Roman" w:hAnsi="Times New Roman" w:cs="Times New Roman"/>
          <w:sz w:val="20"/>
          <w:szCs w:val="20"/>
        </w:rPr>
        <w:t xml:space="preserve"> Carry, was uncorroborated in any manner and in both instances, it was temporary work. </w:t>
      </w:r>
    </w:p>
    <w:p w14:paraId="6FFC406D" w14:textId="77777777" w:rsidR="00667524" w:rsidRPr="00902D51" w:rsidRDefault="00667524" w:rsidP="00667524">
      <w:pPr>
        <w:pStyle w:val="ListParagraph"/>
        <w:numPr>
          <w:ilvl w:val="0"/>
          <w:numId w:val="15"/>
        </w:numPr>
        <w:spacing w:after="0" w:line="360" w:lineRule="auto"/>
        <w:ind w:left="1440" w:hanging="720"/>
        <w:jc w:val="both"/>
        <w:rPr>
          <w:rFonts w:ascii="Times New Roman" w:hAnsi="Times New Roman" w:cs="Times New Roman"/>
          <w:sz w:val="20"/>
          <w:szCs w:val="20"/>
        </w:rPr>
      </w:pPr>
      <w:r w:rsidRPr="00902D51">
        <w:rPr>
          <w:rFonts w:ascii="Times New Roman" w:hAnsi="Times New Roman" w:cs="Times New Roman"/>
          <w:sz w:val="20"/>
          <w:szCs w:val="20"/>
        </w:rPr>
        <w:t>He voluntarily ended his employment there and one is left to wonder why, in the general economic climate of the country, he had done so.</w:t>
      </w:r>
    </w:p>
    <w:p w14:paraId="6643E6E0" w14:textId="77777777" w:rsidR="00667524" w:rsidRPr="00902D51" w:rsidRDefault="00667524" w:rsidP="00667524">
      <w:pPr>
        <w:pStyle w:val="ListParagraph"/>
        <w:numPr>
          <w:ilvl w:val="0"/>
          <w:numId w:val="15"/>
        </w:numPr>
        <w:spacing w:after="0" w:line="360" w:lineRule="auto"/>
        <w:ind w:left="1440" w:hanging="720"/>
        <w:jc w:val="both"/>
        <w:rPr>
          <w:rFonts w:ascii="Times New Roman" w:hAnsi="Times New Roman" w:cs="Times New Roman"/>
          <w:sz w:val="20"/>
          <w:szCs w:val="20"/>
        </w:rPr>
      </w:pPr>
      <w:r w:rsidRPr="00902D51">
        <w:rPr>
          <w:rFonts w:ascii="Times New Roman" w:hAnsi="Times New Roman" w:cs="Times New Roman"/>
          <w:sz w:val="20"/>
          <w:szCs w:val="20"/>
        </w:rPr>
        <w:t>He was unemployed at the time of the collision.</w:t>
      </w:r>
    </w:p>
    <w:p w14:paraId="57A4A162" w14:textId="77777777" w:rsidR="00523D7B" w:rsidRPr="00902D51" w:rsidRDefault="00667524" w:rsidP="00667524">
      <w:pPr>
        <w:pStyle w:val="ListParagraph"/>
        <w:numPr>
          <w:ilvl w:val="0"/>
          <w:numId w:val="15"/>
        </w:numPr>
        <w:spacing w:after="0" w:line="360" w:lineRule="auto"/>
        <w:ind w:left="1440" w:hanging="720"/>
        <w:jc w:val="both"/>
        <w:rPr>
          <w:rFonts w:ascii="Times New Roman" w:hAnsi="Times New Roman" w:cs="Times New Roman"/>
          <w:sz w:val="20"/>
          <w:szCs w:val="20"/>
        </w:rPr>
      </w:pPr>
      <w:r w:rsidRPr="00902D51">
        <w:rPr>
          <w:rFonts w:ascii="Times New Roman" w:hAnsi="Times New Roman" w:cs="Times New Roman"/>
          <w:sz w:val="20"/>
          <w:szCs w:val="20"/>
        </w:rPr>
        <w:t>He completed Grade 12 in 2012, and from January 2013 to October 2016 (3 years and 10 months) he was (on uncorroborated information) employed for at best 8 months of the 46 months (only 17% of the time).</w:t>
      </w:r>
    </w:p>
    <w:p w14:paraId="2411CE6F" w14:textId="3FC47D5F" w:rsidR="00523D7B" w:rsidRPr="00902D51" w:rsidRDefault="00667524" w:rsidP="00667524">
      <w:pPr>
        <w:pStyle w:val="ListParagraph"/>
        <w:numPr>
          <w:ilvl w:val="0"/>
          <w:numId w:val="15"/>
        </w:numPr>
        <w:spacing w:after="0" w:line="360" w:lineRule="auto"/>
        <w:ind w:left="1440" w:hanging="720"/>
        <w:jc w:val="both"/>
        <w:rPr>
          <w:rFonts w:ascii="Times New Roman" w:hAnsi="Times New Roman" w:cs="Times New Roman"/>
          <w:sz w:val="20"/>
          <w:szCs w:val="20"/>
        </w:rPr>
      </w:pPr>
      <w:r w:rsidRPr="00902D51">
        <w:rPr>
          <w:rFonts w:ascii="Times New Roman" w:hAnsi="Times New Roman" w:cs="Times New Roman"/>
          <w:sz w:val="20"/>
          <w:szCs w:val="20"/>
        </w:rPr>
        <w:t xml:space="preserve">If accepted that he did in fact obtain temporary employment with Bibi Cash </w:t>
      </w:r>
      <w:r w:rsidR="00034D10">
        <w:rPr>
          <w:rFonts w:ascii="Times New Roman" w:hAnsi="Times New Roman" w:cs="Times New Roman"/>
          <w:sz w:val="20"/>
          <w:szCs w:val="20"/>
        </w:rPr>
        <w:t>‘</w:t>
      </w:r>
      <w:r w:rsidRPr="00902D51">
        <w:rPr>
          <w:rFonts w:ascii="Times New Roman" w:hAnsi="Times New Roman" w:cs="Times New Roman"/>
          <w:sz w:val="20"/>
          <w:szCs w:val="20"/>
        </w:rPr>
        <w:t>n Carry, and then merely terminated same, one may conclude that h</w:t>
      </w:r>
      <w:r w:rsidR="00034D10">
        <w:rPr>
          <w:rFonts w:ascii="Times New Roman" w:hAnsi="Times New Roman" w:cs="Times New Roman"/>
          <w:sz w:val="20"/>
          <w:szCs w:val="20"/>
        </w:rPr>
        <w:t>e</w:t>
      </w:r>
      <w:r w:rsidRPr="00902D51">
        <w:rPr>
          <w:rFonts w:ascii="Times New Roman" w:hAnsi="Times New Roman" w:cs="Times New Roman"/>
          <w:sz w:val="20"/>
          <w:szCs w:val="20"/>
        </w:rPr>
        <w:t xml:space="preserve"> lacks dedication and commitment towards his employment and may in fact have not progressed to the semi-skilled level of employment, or by the age, as postulated by Leibowitz.</w:t>
      </w:r>
    </w:p>
    <w:p w14:paraId="5B01B056" w14:textId="5BBA6FC3" w:rsidR="00523D7B" w:rsidRPr="00902D51" w:rsidRDefault="00667524" w:rsidP="00667524">
      <w:pPr>
        <w:pStyle w:val="ListParagraph"/>
        <w:numPr>
          <w:ilvl w:val="0"/>
          <w:numId w:val="15"/>
        </w:numPr>
        <w:spacing w:after="0" w:line="360" w:lineRule="auto"/>
        <w:ind w:left="1440" w:hanging="720"/>
        <w:jc w:val="both"/>
        <w:rPr>
          <w:rFonts w:ascii="Times New Roman" w:hAnsi="Times New Roman" w:cs="Times New Roman"/>
          <w:sz w:val="20"/>
          <w:szCs w:val="20"/>
        </w:rPr>
      </w:pPr>
      <w:r w:rsidRPr="00902D51">
        <w:rPr>
          <w:rFonts w:ascii="Times New Roman" w:hAnsi="Times New Roman" w:cs="Times New Roman"/>
          <w:sz w:val="20"/>
          <w:szCs w:val="20"/>
        </w:rPr>
        <w:t>South Africa has a high unemployment rate, even under graduates. It also suffers of low economic growth. This can lead to a significant delay in entry and career breaks.</w:t>
      </w:r>
      <w:r w:rsidR="00523D7B" w:rsidRPr="00902D51">
        <w:rPr>
          <w:rFonts w:ascii="Times New Roman" w:hAnsi="Times New Roman" w:cs="Times New Roman"/>
          <w:sz w:val="20"/>
          <w:szCs w:val="20"/>
        </w:rPr>
        <w:t xml:space="preserve"> </w:t>
      </w:r>
      <w:r w:rsidRPr="00902D51">
        <w:rPr>
          <w:rFonts w:ascii="Times New Roman" w:hAnsi="Times New Roman" w:cs="Times New Roman"/>
          <w:sz w:val="20"/>
          <w:szCs w:val="20"/>
        </w:rPr>
        <w:t xml:space="preserve">The fact that </w:t>
      </w:r>
      <w:r w:rsidR="00FA5B7B" w:rsidRPr="00902D51">
        <w:rPr>
          <w:rFonts w:ascii="Times New Roman" w:hAnsi="Times New Roman" w:cs="Times New Roman"/>
          <w:sz w:val="20"/>
          <w:szCs w:val="20"/>
        </w:rPr>
        <w:t>p</w:t>
      </w:r>
      <w:r w:rsidRPr="00902D51">
        <w:rPr>
          <w:rFonts w:ascii="Times New Roman" w:hAnsi="Times New Roman" w:cs="Times New Roman"/>
          <w:sz w:val="20"/>
          <w:szCs w:val="20"/>
        </w:rPr>
        <w:t xml:space="preserve">laintiff was, at the time of the collision, searching for employment serves to confirm the scarcity thereof, and him possibly only obtaining employment much later than January 2017. There is always the possibility that </w:t>
      </w:r>
      <w:r w:rsidR="00CB473A" w:rsidRPr="00902D51">
        <w:rPr>
          <w:rFonts w:ascii="Times New Roman" w:hAnsi="Times New Roman" w:cs="Times New Roman"/>
          <w:sz w:val="20"/>
          <w:szCs w:val="20"/>
        </w:rPr>
        <w:t>p</w:t>
      </w:r>
      <w:r w:rsidRPr="00902D51">
        <w:rPr>
          <w:rFonts w:ascii="Times New Roman" w:hAnsi="Times New Roman" w:cs="Times New Roman"/>
          <w:sz w:val="20"/>
          <w:szCs w:val="20"/>
        </w:rPr>
        <w:t xml:space="preserve">laintiff may have been unemployed for extended periods of time and there is even a possibility that he would have remained unemployed in the absence of the accident.  </w:t>
      </w:r>
    </w:p>
    <w:p w14:paraId="50F73D94" w14:textId="77777777" w:rsidR="00523D7B" w:rsidRPr="00902D51" w:rsidRDefault="00667524" w:rsidP="00667524">
      <w:pPr>
        <w:pStyle w:val="ListParagraph"/>
        <w:numPr>
          <w:ilvl w:val="0"/>
          <w:numId w:val="15"/>
        </w:numPr>
        <w:spacing w:after="0" w:line="360" w:lineRule="auto"/>
        <w:ind w:left="1440" w:hanging="720"/>
        <w:jc w:val="both"/>
        <w:rPr>
          <w:rFonts w:ascii="Times New Roman" w:hAnsi="Times New Roman" w:cs="Times New Roman"/>
          <w:sz w:val="20"/>
          <w:szCs w:val="20"/>
        </w:rPr>
      </w:pPr>
      <w:r w:rsidRPr="00902D51">
        <w:rPr>
          <w:rFonts w:ascii="Times New Roman" w:hAnsi="Times New Roman" w:cs="Times New Roman"/>
          <w:sz w:val="20"/>
          <w:szCs w:val="20"/>
        </w:rPr>
        <w:t>A much higher contingency deduction for future income is more in keeping with the probabilities of the case.</w:t>
      </w:r>
    </w:p>
    <w:p w14:paraId="6724C3A6" w14:textId="299DE05B" w:rsidR="00523D7B" w:rsidRPr="00902D51" w:rsidRDefault="00667524" w:rsidP="00667524">
      <w:pPr>
        <w:pStyle w:val="ListParagraph"/>
        <w:numPr>
          <w:ilvl w:val="0"/>
          <w:numId w:val="15"/>
        </w:numPr>
        <w:spacing w:after="0" w:line="360" w:lineRule="auto"/>
        <w:ind w:left="1440" w:hanging="720"/>
        <w:jc w:val="both"/>
        <w:rPr>
          <w:rFonts w:ascii="Times New Roman" w:hAnsi="Times New Roman" w:cs="Times New Roman"/>
          <w:sz w:val="20"/>
          <w:szCs w:val="20"/>
        </w:rPr>
      </w:pPr>
      <w:r w:rsidRPr="00902D51">
        <w:rPr>
          <w:rFonts w:ascii="Times New Roman" w:hAnsi="Times New Roman" w:cs="Times New Roman"/>
          <w:sz w:val="20"/>
          <w:szCs w:val="20"/>
        </w:rPr>
        <w:t xml:space="preserve">There is a possibility that </w:t>
      </w:r>
      <w:r w:rsidR="00F157B7" w:rsidRPr="00902D51">
        <w:rPr>
          <w:rFonts w:ascii="Times New Roman" w:hAnsi="Times New Roman" w:cs="Times New Roman"/>
          <w:sz w:val="20"/>
          <w:szCs w:val="20"/>
        </w:rPr>
        <w:t>p</w:t>
      </w:r>
      <w:r w:rsidRPr="00902D51">
        <w:rPr>
          <w:rFonts w:ascii="Times New Roman" w:hAnsi="Times New Roman" w:cs="Times New Roman"/>
          <w:sz w:val="20"/>
          <w:szCs w:val="20"/>
        </w:rPr>
        <w:t>laintiff could have retired earlier than postulated by Leibowitz (being at the age of 65 years) and it is noted from tax regulation that a person can retire from age 55 and government grant starts at age 60.</w:t>
      </w:r>
    </w:p>
    <w:p w14:paraId="6C1E7EE5" w14:textId="3EA7DB59" w:rsidR="00667524" w:rsidRPr="00902D51" w:rsidRDefault="00667524" w:rsidP="00667524">
      <w:pPr>
        <w:pStyle w:val="ListParagraph"/>
        <w:numPr>
          <w:ilvl w:val="0"/>
          <w:numId w:val="15"/>
        </w:numPr>
        <w:spacing w:after="0" w:line="360" w:lineRule="auto"/>
        <w:ind w:left="1440" w:hanging="720"/>
        <w:jc w:val="both"/>
        <w:rPr>
          <w:rFonts w:ascii="Times New Roman" w:hAnsi="Times New Roman" w:cs="Times New Roman"/>
          <w:sz w:val="20"/>
          <w:szCs w:val="20"/>
        </w:rPr>
      </w:pPr>
      <w:r w:rsidRPr="00902D51">
        <w:rPr>
          <w:rFonts w:ascii="Times New Roman" w:hAnsi="Times New Roman" w:cs="Times New Roman"/>
          <w:sz w:val="20"/>
          <w:szCs w:val="20"/>
        </w:rPr>
        <w:t>The calculations done from 1 January 2017 onwards (Leibowitz postulated a 3 months period to seek and obtain employment, from date of accident), is done at R4</w:t>
      </w:r>
      <w:r w:rsidR="00034D10">
        <w:rPr>
          <w:rFonts w:ascii="Times New Roman" w:hAnsi="Times New Roman" w:cs="Times New Roman"/>
          <w:sz w:val="20"/>
          <w:szCs w:val="20"/>
        </w:rPr>
        <w:t xml:space="preserve"> </w:t>
      </w:r>
      <w:r w:rsidRPr="00902D51">
        <w:rPr>
          <w:rFonts w:ascii="Times New Roman" w:hAnsi="Times New Roman" w:cs="Times New Roman"/>
          <w:sz w:val="20"/>
          <w:szCs w:val="20"/>
        </w:rPr>
        <w:t xml:space="preserve">229.55 per month.  </w:t>
      </w:r>
      <w:r w:rsidR="00523D7B" w:rsidRPr="00902D51">
        <w:rPr>
          <w:rFonts w:ascii="Times New Roman" w:hAnsi="Times New Roman" w:cs="Times New Roman"/>
          <w:sz w:val="20"/>
          <w:szCs w:val="20"/>
        </w:rPr>
        <w:t xml:space="preserve">Counsel for the defendant </w:t>
      </w:r>
      <w:r w:rsidRPr="00902D51">
        <w:rPr>
          <w:rFonts w:ascii="Times New Roman" w:hAnsi="Times New Roman" w:cs="Times New Roman"/>
          <w:sz w:val="20"/>
          <w:szCs w:val="20"/>
        </w:rPr>
        <w:t xml:space="preserve">submitted that a calculation starting </w:t>
      </w:r>
      <w:r w:rsidR="00034D10">
        <w:rPr>
          <w:rFonts w:ascii="Times New Roman" w:hAnsi="Times New Roman" w:cs="Times New Roman"/>
          <w:sz w:val="20"/>
          <w:szCs w:val="20"/>
        </w:rPr>
        <w:t>at</w:t>
      </w:r>
      <w:r w:rsidRPr="00902D51">
        <w:rPr>
          <w:rFonts w:ascii="Times New Roman" w:hAnsi="Times New Roman" w:cs="Times New Roman"/>
          <w:sz w:val="20"/>
          <w:szCs w:val="20"/>
        </w:rPr>
        <w:t xml:space="preserve"> R2</w:t>
      </w:r>
      <w:r w:rsidR="00034D10">
        <w:rPr>
          <w:rFonts w:ascii="Times New Roman" w:hAnsi="Times New Roman" w:cs="Times New Roman"/>
          <w:sz w:val="20"/>
          <w:szCs w:val="20"/>
        </w:rPr>
        <w:t xml:space="preserve"> </w:t>
      </w:r>
      <w:r w:rsidRPr="00902D51">
        <w:rPr>
          <w:rFonts w:ascii="Times New Roman" w:hAnsi="Times New Roman" w:cs="Times New Roman"/>
          <w:sz w:val="20"/>
          <w:szCs w:val="20"/>
        </w:rPr>
        <w:t xml:space="preserve">500.00 per month, would be more realistic and in keeping with </w:t>
      </w:r>
      <w:r w:rsidR="00523D7B" w:rsidRPr="00902D51">
        <w:rPr>
          <w:rFonts w:ascii="Times New Roman" w:hAnsi="Times New Roman" w:cs="Times New Roman"/>
          <w:sz w:val="20"/>
          <w:szCs w:val="20"/>
        </w:rPr>
        <w:t>p</w:t>
      </w:r>
      <w:r w:rsidRPr="00902D51">
        <w:rPr>
          <w:rFonts w:ascii="Times New Roman" w:hAnsi="Times New Roman" w:cs="Times New Roman"/>
          <w:sz w:val="20"/>
          <w:szCs w:val="20"/>
        </w:rPr>
        <w:t xml:space="preserve">laintiff’s (alleged) employment history.  </w:t>
      </w:r>
    </w:p>
    <w:p w14:paraId="68F7167E" w14:textId="77777777" w:rsidR="00667524" w:rsidRPr="00902D51" w:rsidRDefault="00667524" w:rsidP="00667524">
      <w:pPr>
        <w:spacing w:after="0" w:line="360" w:lineRule="auto"/>
        <w:jc w:val="both"/>
        <w:rPr>
          <w:rFonts w:ascii="Times New Roman" w:hAnsi="Times New Roman" w:cs="Times New Roman"/>
          <w:sz w:val="20"/>
          <w:szCs w:val="20"/>
        </w:rPr>
      </w:pPr>
    </w:p>
    <w:p w14:paraId="1CF604D8" w14:textId="77777777" w:rsidR="009D30BA" w:rsidRDefault="008E4ECA" w:rsidP="00C7613C">
      <w:pPr>
        <w:spacing w:after="0" w:line="360" w:lineRule="auto"/>
        <w:ind w:left="720" w:hanging="720"/>
        <w:jc w:val="both"/>
        <w:rPr>
          <w:rFonts w:ascii="Times New Roman" w:hAnsi="Times New Roman" w:cs="Times New Roman"/>
          <w:b/>
          <w:bCs/>
          <w:sz w:val="24"/>
          <w:szCs w:val="24"/>
        </w:rPr>
      </w:pPr>
      <w:r w:rsidRPr="008E4ECA">
        <w:rPr>
          <w:rFonts w:ascii="Times New Roman" w:hAnsi="Times New Roman" w:cs="Times New Roman"/>
          <w:b/>
          <w:bCs/>
          <w:sz w:val="24"/>
          <w:szCs w:val="24"/>
        </w:rPr>
        <w:t>CONCLUSION</w:t>
      </w:r>
    </w:p>
    <w:p w14:paraId="1D80D557" w14:textId="6E9116F3" w:rsidR="009D30BA" w:rsidRDefault="009D30BA" w:rsidP="00C7613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902D51">
        <w:rPr>
          <w:rFonts w:ascii="Times New Roman" w:hAnsi="Times New Roman" w:cs="Times New Roman"/>
          <w:sz w:val="24"/>
          <w:szCs w:val="24"/>
        </w:rPr>
        <w:t>19</w:t>
      </w:r>
      <w:r>
        <w:rPr>
          <w:rFonts w:ascii="Times New Roman" w:hAnsi="Times New Roman" w:cs="Times New Roman"/>
          <w:sz w:val="24"/>
          <w:szCs w:val="24"/>
        </w:rPr>
        <w:t>]</w:t>
      </w:r>
      <w:r>
        <w:rPr>
          <w:rFonts w:ascii="Times New Roman" w:hAnsi="Times New Roman" w:cs="Times New Roman"/>
          <w:sz w:val="24"/>
          <w:szCs w:val="24"/>
        </w:rPr>
        <w:tab/>
      </w:r>
      <w:r w:rsidR="00523D7B">
        <w:rPr>
          <w:rFonts w:ascii="Times New Roman" w:hAnsi="Times New Roman" w:cs="Times New Roman"/>
          <w:sz w:val="24"/>
          <w:szCs w:val="24"/>
        </w:rPr>
        <w:t>A</w:t>
      </w:r>
      <w:r>
        <w:rPr>
          <w:rFonts w:ascii="Times New Roman" w:hAnsi="Times New Roman" w:cs="Times New Roman"/>
          <w:sz w:val="24"/>
          <w:szCs w:val="24"/>
        </w:rPr>
        <w:t xml:space="preserve"> contingency of 5%/32,5% meets the facts and the law </w:t>
      </w:r>
      <w:r w:rsidR="00FA4F1A">
        <w:rPr>
          <w:rFonts w:ascii="Times New Roman" w:hAnsi="Times New Roman" w:cs="Times New Roman"/>
          <w:sz w:val="24"/>
          <w:szCs w:val="24"/>
        </w:rPr>
        <w:t xml:space="preserve">of the case </w:t>
      </w:r>
      <w:r>
        <w:rPr>
          <w:rFonts w:ascii="Times New Roman" w:hAnsi="Times New Roman" w:cs="Times New Roman"/>
          <w:sz w:val="24"/>
          <w:szCs w:val="24"/>
        </w:rPr>
        <w:t>to cause fairness and equity.</w:t>
      </w:r>
      <w:r w:rsidR="00FA4F1A">
        <w:rPr>
          <w:rFonts w:ascii="Times New Roman" w:hAnsi="Times New Roman" w:cs="Times New Roman"/>
          <w:sz w:val="24"/>
          <w:szCs w:val="24"/>
        </w:rPr>
        <w:t xml:space="preserve"> The matter will be referred back to the </w:t>
      </w:r>
      <w:r w:rsidR="0048050D">
        <w:rPr>
          <w:rFonts w:ascii="Times New Roman" w:hAnsi="Times New Roman" w:cs="Times New Roman"/>
          <w:sz w:val="24"/>
          <w:szCs w:val="24"/>
        </w:rPr>
        <w:t>A</w:t>
      </w:r>
      <w:r w:rsidR="00FA4F1A">
        <w:rPr>
          <w:rFonts w:ascii="Times New Roman" w:hAnsi="Times New Roman" w:cs="Times New Roman"/>
          <w:sz w:val="24"/>
          <w:szCs w:val="24"/>
        </w:rPr>
        <w:t>ctuary to conclude the calculation on this basis.</w:t>
      </w:r>
    </w:p>
    <w:p w14:paraId="5398E120" w14:textId="77777777" w:rsidR="00C7613C" w:rsidRPr="009D30BA" w:rsidRDefault="00C7613C" w:rsidP="00C7613C">
      <w:pPr>
        <w:spacing w:after="0" w:line="360" w:lineRule="auto"/>
        <w:ind w:left="720" w:hanging="720"/>
        <w:jc w:val="both"/>
        <w:rPr>
          <w:rFonts w:ascii="Times New Roman" w:hAnsi="Times New Roman" w:cs="Times New Roman"/>
          <w:sz w:val="24"/>
          <w:szCs w:val="24"/>
        </w:rPr>
      </w:pPr>
    </w:p>
    <w:p w14:paraId="3EE36FC1" w14:textId="2695A3D9" w:rsidR="00205033" w:rsidRDefault="00205033" w:rsidP="00C7613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902D51">
        <w:rPr>
          <w:rFonts w:ascii="Times New Roman" w:hAnsi="Times New Roman" w:cs="Times New Roman"/>
          <w:b/>
          <w:bCs/>
          <w:sz w:val="24"/>
          <w:szCs w:val="24"/>
        </w:rPr>
        <w:t>20</w:t>
      </w:r>
      <w:r>
        <w:rPr>
          <w:rFonts w:ascii="Times New Roman" w:hAnsi="Times New Roman" w:cs="Times New Roman"/>
          <w:b/>
          <w:bCs/>
          <w:sz w:val="24"/>
          <w:szCs w:val="24"/>
        </w:rPr>
        <w:t>]</w:t>
      </w:r>
      <w:r>
        <w:rPr>
          <w:rFonts w:ascii="Times New Roman" w:hAnsi="Times New Roman" w:cs="Times New Roman"/>
          <w:b/>
          <w:bCs/>
          <w:sz w:val="24"/>
          <w:szCs w:val="24"/>
        </w:rPr>
        <w:tab/>
        <w:t>ORDER</w:t>
      </w:r>
    </w:p>
    <w:p w14:paraId="69EB33F0" w14:textId="629DBD00" w:rsidR="005136EF" w:rsidRDefault="005136EF" w:rsidP="00C7613C">
      <w:pPr>
        <w:spacing w:line="360" w:lineRule="auto"/>
        <w:ind w:left="720"/>
        <w:jc w:val="both"/>
        <w:rPr>
          <w:rFonts w:ascii="Times New Roman" w:hAnsi="Times New Roman" w:cs="Times New Roman"/>
          <w:b/>
          <w:bCs/>
          <w:sz w:val="24"/>
          <w:szCs w:val="24"/>
        </w:rPr>
      </w:pPr>
      <w:r>
        <w:rPr>
          <w:rFonts w:ascii="Times New Roman" w:hAnsi="Times New Roman" w:cs="Times New Roman"/>
          <w:sz w:val="24"/>
          <w:szCs w:val="24"/>
        </w:rPr>
        <w:t xml:space="preserve">With due cognisance </w:t>
      </w:r>
      <w:r w:rsidR="00FA4F1A">
        <w:rPr>
          <w:rFonts w:ascii="Times New Roman" w:hAnsi="Times New Roman" w:cs="Times New Roman"/>
          <w:sz w:val="24"/>
          <w:szCs w:val="24"/>
        </w:rPr>
        <w:t>of</w:t>
      </w:r>
      <w:r>
        <w:rPr>
          <w:rFonts w:ascii="Times New Roman" w:hAnsi="Times New Roman" w:cs="Times New Roman"/>
          <w:sz w:val="24"/>
          <w:szCs w:val="24"/>
        </w:rPr>
        <w:t xml:space="preserve"> the fact that t</w:t>
      </w:r>
      <w:r w:rsidRPr="00175E41">
        <w:rPr>
          <w:rFonts w:ascii="Times New Roman" w:hAnsi="Times New Roman" w:cs="Times New Roman"/>
          <w:sz w:val="24"/>
          <w:szCs w:val="24"/>
        </w:rPr>
        <w:t xml:space="preserve">he </w:t>
      </w:r>
      <w:r>
        <w:rPr>
          <w:rFonts w:ascii="Times New Roman" w:hAnsi="Times New Roman" w:cs="Times New Roman"/>
          <w:sz w:val="24"/>
          <w:szCs w:val="24"/>
        </w:rPr>
        <w:t>p</w:t>
      </w:r>
      <w:r w:rsidRPr="00175E41">
        <w:rPr>
          <w:rFonts w:ascii="Times New Roman" w:hAnsi="Times New Roman" w:cs="Times New Roman"/>
          <w:sz w:val="24"/>
          <w:szCs w:val="24"/>
        </w:rPr>
        <w:t xml:space="preserve">laintiff has concluded a written Contingency Fee Agreement with </w:t>
      </w:r>
      <w:r w:rsidR="00FA4F1A">
        <w:rPr>
          <w:rFonts w:ascii="Times New Roman" w:hAnsi="Times New Roman" w:cs="Times New Roman"/>
          <w:sz w:val="24"/>
          <w:szCs w:val="24"/>
        </w:rPr>
        <w:t>his</w:t>
      </w:r>
      <w:r w:rsidRPr="00175E41">
        <w:rPr>
          <w:rFonts w:ascii="Times New Roman" w:hAnsi="Times New Roman" w:cs="Times New Roman"/>
          <w:sz w:val="24"/>
          <w:szCs w:val="24"/>
        </w:rPr>
        <w:t xml:space="preserve"> Attorneys</w:t>
      </w:r>
      <w:r>
        <w:rPr>
          <w:rFonts w:ascii="Times New Roman" w:hAnsi="Times New Roman" w:cs="Times New Roman"/>
          <w:sz w:val="24"/>
          <w:szCs w:val="24"/>
        </w:rPr>
        <w:t xml:space="preserve"> the following order is made:</w:t>
      </w:r>
    </w:p>
    <w:p w14:paraId="1B0A3F38" w14:textId="26304333" w:rsidR="00175E41" w:rsidRPr="00175E41" w:rsidRDefault="00175E41" w:rsidP="00175E41">
      <w:pPr>
        <w:spacing w:after="0" w:line="360" w:lineRule="auto"/>
        <w:ind w:left="1440" w:hanging="720"/>
        <w:jc w:val="both"/>
        <w:rPr>
          <w:rFonts w:ascii="Times New Roman" w:hAnsi="Times New Roman" w:cs="Times New Roman"/>
          <w:sz w:val="24"/>
          <w:szCs w:val="24"/>
        </w:rPr>
      </w:pPr>
      <w:r w:rsidRPr="00175E41">
        <w:rPr>
          <w:rFonts w:ascii="Times New Roman" w:hAnsi="Times New Roman" w:cs="Times New Roman"/>
          <w:sz w:val="24"/>
          <w:szCs w:val="24"/>
        </w:rPr>
        <w:lastRenderedPageBreak/>
        <w:t>1.</w:t>
      </w:r>
      <w:r w:rsidRPr="00175E41">
        <w:rPr>
          <w:rFonts w:ascii="Times New Roman" w:hAnsi="Times New Roman" w:cs="Times New Roman"/>
          <w:sz w:val="24"/>
          <w:szCs w:val="24"/>
        </w:rPr>
        <w:tab/>
        <w:t xml:space="preserve">The </w:t>
      </w:r>
      <w:r w:rsidR="00447D5C">
        <w:rPr>
          <w:rFonts w:ascii="Times New Roman" w:hAnsi="Times New Roman" w:cs="Times New Roman"/>
          <w:sz w:val="24"/>
          <w:szCs w:val="24"/>
        </w:rPr>
        <w:t>d</w:t>
      </w:r>
      <w:r w:rsidRPr="00175E41">
        <w:rPr>
          <w:rFonts w:ascii="Times New Roman" w:hAnsi="Times New Roman" w:cs="Times New Roman"/>
          <w:sz w:val="24"/>
          <w:szCs w:val="24"/>
        </w:rPr>
        <w:t xml:space="preserve">efendant is 100% liable for the </w:t>
      </w:r>
      <w:r w:rsidR="00002E4F">
        <w:rPr>
          <w:rFonts w:ascii="Times New Roman" w:hAnsi="Times New Roman" w:cs="Times New Roman"/>
          <w:sz w:val="24"/>
          <w:szCs w:val="24"/>
        </w:rPr>
        <w:t>p</w:t>
      </w:r>
      <w:r w:rsidRPr="00175E41">
        <w:rPr>
          <w:rFonts w:ascii="Times New Roman" w:hAnsi="Times New Roman" w:cs="Times New Roman"/>
          <w:sz w:val="24"/>
          <w:szCs w:val="24"/>
        </w:rPr>
        <w:t>laintiff’s proven damages.</w:t>
      </w:r>
    </w:p>
    <w:p w14:paraId="732805D5" w14:textId="77777777" w:rsidR="00175E41" w:rsidRPr="00175E41" w:rsidRDefault="00175E41" w:rsidP="00175E41">
      <w:pPr>
        <w:spacing w:after="0" w:line="360" w:lineRule="auto"/>
        <w:ind w:left="1440" w:hanging="720"/>
        <w:jc w:val="both"/>
        <w:rPr>
          <w:rFonts w:ascii="Times New Roman" w:hAnsi="Times New Roman" w:cs="Times New Roman"/>
          <w:sz w:val="24"/>
          <w:szCs w:val="24"/>
        </w:rPr>
      </w:pPr>
    </w:p>
    <w:p w14:paraId="46552A07" w14:textId="5A368C65" w:rsidR="00112257" w:rsidRPr="008977A7" w:rsidRDefault="00175E41" w:rsidP="00112257">
      <w:pPr>
        <w:spacing w:after="0" w:line="360" w:lineRule="auto"/>
        <w:ind w:left="1440" w:hanging="720"/>
        <w:jc w:val="both"/>
        <w:rPr>
          <w:rFonts w:ascii="Times New Roman" w:hAnsi="Times New Roman" w:cs="Times New Roman"/>
          <w:sz w:val="24"/>
          <w:szCs w:val="24"/>
          <w:u w:val="single"/>
        </w:rPr>
      </w:pPr>
      <w:r w:rsidRPr="00175E41">
        <w:rPr>
          <w:rFonts w:ascii="Times New Roman" w:hAnsi="Times New Roman" w:cs="Times New Roman"/>
          <w:sz w:val="24"/>
          <w:szCs w:val="24"/>
        </w:rPr>
        <w:t>2.</w:t>
      </w:r>
      <w:r w:rsidRPr="00175E41">
        <w:rPr>
          <w:rFonts w:ascii="Times New Roman" w:hAnsi="Times New Roman" w:cs="Times New Roman"/>
          <w:sz w:val="24"/>
          <w:szCs w:val="24"/>
        </w:rPr>
        <w:tab/>
      </w:r>
      <w:r w:rsidR="00112257" w:rsidRPr="00112257">
        <w:rPr>
          <w:rFonts w:ascii="Times New Roman" w:hAnsi="Times New Roman" w:cs="Times New Roman"/>
          <w:sz w:val="24"/>
          <w:szCs w:val="24"/>
        </w:rPr>
        <w:t xml:space="preserve">The plaintiff’s claim for past and future loss of earning capacity </w:t>
      </w:r>
      <w:r w:rsidR="00112257">
        <w:rPr>
          <w:rFonts w:ascii="Times New Roman" w:hAnsi="Times New Roman" w:cs="Times New Roman"/>
          <w:sz w:val="24"/>
          <w:szCs w:val="24"/>
        </w:rPr>
        <w:t xml:space="preserve">must be </w:t>
      </w:r>
      <w:r w:rsidR="00112257" w:rsidRPr="00112257">
        <w:rPr>
          <w:rFonts w:ascii="Times New Roman" w:hAnsi="Times New Roman" w:cs="Times New Roman"/>
          <w:sz w:val="24"/>
          <w:szCs w:val="24"/>
        </w:rPr>
        <w:t xml:space="preserve">referred to </w:t>
      </w:r>
      <w:r w:rsidR="00112257">
        <w:rPr>
          <w:rFonts w:ascii="Times New Roman" w:hAnsi="Times New Roman" w:cs="Times New Roman"/>
          <w:sz w:val="24"/>
          <w:szCs w:val="24"/>
        </w:rPr>
        <w:t xml:space="preserve">Wim Loots </w:t>
      </w:r>
      <w:r w:rsidR="00034D10">
        <w:rPr>
          <w:rFonts w:ascii="Times New Roman" w:hAnsi="Times New Roman" w:cs="Times New Roman"/>
          <w:sz w:val="24"/>
          <w:szCs w:val="24"/>
        </w:rPr>
        <w:t>A</w:t>
      </w:r>
      <w:r w:rsidR="00112257" w:rsidRPr="00112257">
        <w:rPr>
          <w:rFonts w:ascii="Times New Roman" w:hAnsi="Times New Roman" w:cs="Times New Roman"/>
          <w:sz w:val="24"/>
          <w:szCs w:val="24"/>
        </w:rPr>
        <w:t xml:space="preserve">ctuaries to be calculated, within 20 days of the date of this order, in accordance with the actuarial report dated </w:t>
      </w:r>
      <w:r w:rsidR="00112257">
        <w:rPr>
          <w:rFonts w:ascii="Times New Roman" w:hAnsi="Times New Roman" w:cs="Times New Roman"/>
          <w:sz w:val="24"/>
          <w:szCs w:val="24"/>
        </w:rPr>
        <w:t>17 October 2022 (Reference WLAC13663.1)</w:t>
      </w:r>
      <w:r w:rsidR="00112257" w:rsidRPr="00112257">
        <w:rPr>
          <w:rFonts w:ascii="Times New Roman" w:hAnsi="Times New Roman" w:cs="Times New Roman"/>
          <w:sz w:val="24"/>
          <w:szCs w:val="24"/>
        </w:rPr>
        <w:t xml:space="preserve"> and applying the contingency deductions</w:t>
      </w:r>
      <w:r w:rsidR="00112257">
        <w:rPr>
          <w:rFonts w:ascii="Times New Roman" w:hAnsi="Times New Roman" w:cs="Times New Roman"/>
          <w:sz w:val="24"/>
          <w:szCs w:val="24"/>
        </w:rPr>
        <w:t xml:space="preserve"> </w:t>
      </w:r>
      <w:r w:rsidR="008977A7">
        <w:rPr>
          <w:rFonts w:ascii="Times New Roman" w:hAnsi="Times New Roman" w:cs="Times New Roman"/>
          <w:sz w:val="24"/>
          <w:szCs w:val="24"/>
        </w:rPr>
        <w:t xml:space="preserve">of </w:t>
      </w:r>
      <w:r w:rsidR="00112257" w:rsidRPr="008977A7">
        <w:rPr>
          <w:rFonts w:ascii="Times New Roman" w:hAnsi="Times New Roman" w:cs="Times New Roman"/>
          <w:sz w:val="24"/>
          <w:szCs w:val="24"/>
          <w:u w:val="single"/>
        </w:rPr>
        <w:t>5%/32,5%.</w:t>
      </w:r>
    </w:p>
    <w:p w14:paraId="4C3A193F" w14:textId="77777777" w:rsidR="00112257" w:rsidRPr="00112257" w:rsidRDefault="00112257" w:rsidP="00112257">
      <w:pPr>
        <w:spacing w:after="0" w:line="360" w:lineRule="auto"/>
        <w:ind w:left="1440" w:hanging="720"/>
        <w:jc w:val="both"/>
        <w:rPr>
          <w:rFonts w:ascii="Times New Roman" w:hAnsi="Times New Roman" w:cs="Times New Roman"/>
          <w:sz w:val="24"/>
          <w:szCs w:val="24"/>
        </w:rPr>
      </w:pPr>
    </w:p>
    <w:p w14:paraId="538253C2" w14:textId="229FBE9F" w:rsidR="00175E41" w:rsidRDefault="006B4C34" w:rsidP="006B4C34">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sidR="00112257" w:rsidRPr="00112257">
        <w:rPr>
          <w:rFonts w:ascii="Times New Roman" w:hAnsi="Times New Roman" w:cs="Times New Roman"/>
          <w:sz w:val="24"/>
          <w:szCs w:val="24"/>
        </w:rPr>
        <w:t>.</w:t>
      </w:r>
      <w:r w:rsidR="00112257" w:rsidRPr="00112257">
        <w:rPr>
          <w:rFonts w:ascii="Times New Roman" w:hAnsi="Times New Roman" w:cs="Times New Roman"/>
          <w:sz w:val="24"/>
          <w:szCs w:val="24"/>
        </w:rPr>
        <w:tab/>
        <w:t>Upon receipt of the actuarial calculation the parties are to approach court to make the actuarial calculation of the plaintiff’s claim for past and future loss of earning capacity an order of court.</w:t>
      </w:r>
    </w:p>
    <w:p w14:paraId="3E2B698C" w14:textId="77777777" w:rsidR="00112257" w:rsidRPr="00175E41" w:rsidRDefault="00112257" w:rsidP="00112257">
      <w:pPr>
        <w:spacing w:after="0" w:line="360" w:lineRule="auto"/>
        <w:ind w:left="1440" w:hanging="720"/>
        <w:jc w:val="both"/>
        <w:rPr>
          <w:rFonts w:ascii="Times New Roman" w:hAnsi="Times New Roman" w:cs="Times New Roman"/>
          <w:sz w:val="24"/>
          <w:szCs w:val="24"/>
        </w:rPr>
      </w:pPr>
    </w:p>
    <w:p w14:paraId="69C4A746" w14:textId="457E7EAB" w:rsidR="00175E41" w:rsidRPr="00175E41" w:rsidRDefault="006B4C34" w:rsidP="00175E41">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sidR="00175E41" w:rsidRPr="00175E41">
        <w:rPr>
          <w:rFonts w:ascii="Times New Roman" w:hAnsi="Times New Roman" w:cs="Times New Roman"/>
          <w:sz w:val="24"/>
          <w:szCs w:val="24"/>
        </w:rPr>
        <w:t>.</w:t>
      </w:r>
      <w:r w:rsidR="00175E41" w:rsidRPr="00175E41">
        <w:rPr>
          <w:rFonts w:ascii="Times New Roman" w:hAnsi="Times New Roman" w:cs="Times New Roman"/>
          <w:sz w:val="24"/>
          <w:szCs w:val="24"/>
        </w:rPr>
        <w:tab/>
        <w:t xml:space="preserve">Payment will be made directly to the trust account of the </w:t>
      </w:r>
      <w:r w:rsidR="00D42DA5">
        <w:rPr>
          <w:rFonts w:ascii="Times New Roman" w:hAnsi="Times New Roman" w:cs="Times New Roman"/>
          <w:sz w:val="24"/>
          <w:szCs w:val="24"/>
        </w:rPr>
        <w:t>p</w:t>
      </w:r>
      <w:r w:rsidR="00175E41" w:rsidRPr="00175E41">
        <w:rPr>
          <w:rFonts w:ascii="Times New Roman" w:hAnsi="Times New Roman" w:cs="Times New Roman"/>
          <w:sz w:val="24"/>
          <w:szCs w:val="24"/>
        </w:rPr>
        <w:t>laintiff’s attorneys of record, the details are as follows:</w:t>
      </w:r>
    </w:p>
    <w:p w14:paraId="38521CDE" w14:textId="0D020D1D" w:rsidR="00175E41" w:rsidRPr="00175E41" w:rsidRDefault="00175E41" w:rsidP="00175E41">
      <w:pPr>
        <w:spacing w:line="360" w:lineRule="auto"/>
        <w:ind w:left="1440"/>
        <w:jc w:val="both"/>
        <w:rPr>
          <w:rFonts w:ascii="Times New Roman" w:hAnsi="Times New Roman" w:cs="Times New Roman"/>
          <w:sz w:val="24"/>
          <w:szCs w:val="24"/>
        </w:rPr>
      </w:pPr>
      <w:r w:rsidRPr="00175E41">
        <w:rPr>
          <w:rFonts w:ascii="Times New Roman" w:hAnsi="Times New Roman" w:cs="Times New Roman"/>
          <w:sz w:val="24"/>
          <w:szCs w:val="24"/>
        </w:rPr>
        <w:t>Holder:</w:t>
      </w:r>
      <w:r w:rsidRPr="00175E41">
        <w:rPr>
          <w:rFonts w:ascii="Times New Roman" w:hAnsi="Times New Roman" w:cs="Times New Roman"/>
          <w:sz w:val="24"/>
          <w:szCs w:val="24"/>
        </w:rPr>
        <w:tab/>
      </w:r>
      <w:r w:rsidR="00B0268B">
        <w:rPr>
          <w:rFonts w:ascii="Times New Roman" w:hAnsi="Times New Roman" w:cs="Times New Roman"/>
          <w:sz w:val="24"/>
          <w:szCs w:val="24"/>
        </w:rPr>
        <w:tab/>
      </w:r>
      <w:r w:rsidRPr="00175E41">
        <w:rPr>
          <w:rFonts w:ascii="Times New Roman" w:hAnsi="Times New Roman" w:cs="Times New Roman"/>
          <w:sz w:val="24"/>
          <w:szCs w:val="24"/>
        </w:rPr>
        <w:t>Mokoduo Erasmus Davidson Attorneys Trust Account</w:t>
      </w:r>
    </w:p>
    <w:p w14:paraId="412A54D4" w14:textId="77777777" w:rsidR="00175E41" w:rsidRPr="00175E41" w:rsidRDefault="00175E41" w:rsidP="00175E41">
      <w:pPr>
        <w:spacing w:line="360" w:lineRule="auto"/>
        <w:ind w:left="1440"/>
        <w:jc w:val="both"/>
        <w:rPr>
          <w:rFonts w:ascii="Times New Roman" w:hAnsi="Times New Roman" w:cs="Times New Roman"/>
          <w:sz w:val="24"/>
          <w:szCs w:val="24"/>
        </w:rPr>
      </w:pPr>
      <w:r w:rsidRPr="00175E41">
        <w:rPr>
          <w:rFonts w:ascii="Times New Roman" w:hAnsi="Times New Roman" w:cs="Times New Roman"/>
          <w:sz w:val="24"/>
          <w:szCs w:val="24"/>
        </w:rPr>
        <w:t>Bank and Branch:</w:t>
      </w:r>
      <w:r w:rsidRPr="00175E41">
        <w:rPr>
          <w:rFonts w:ascii="Times New Roman" w:hAnsi="Times New Roman" w:cs="Times New Roman"/>
          <w:sz w:val="24"/>
          <w:szCs w:val="24"/>
        </w:rPr>
        <w:tab/>
        <w:t>First National Bank (FNB), Rosebank</w:t>
      </w:r>
    </w:p>
    <w:p w14:paraId="10051D3D" w14:textId="77777777" w:rsidR="00175E41" w:rsidRPr="00175E41" w:rsidRDefault="00175E41" w:rsidP="00175E41">
      <w:pPr>
        <w:spacing w:line="360" w:lineRule="auto"/>
        <w:ind w:left="1440"/>
        <w:jc w:val="both"/>
        <w:rPr>
          <w:rFonts w:ascii="Times New Roman" w:hAnsi="Times New Roman" w:cs="Times New Roman"/>
          <w:sz w:val="24"/>
          <w:szCs w:val="24"/>
        </w:rPr>
      </w:pPr>
      <w:r w:rsidRPr="00175E41">
        <w:rPr>
          <w:rFonts w:ascii="Times New Roman" w:hAnsi="Times New Roman" w:cs="Times New Roman"/>
          <w:sz w:val="24"/>
          <w:szCs w:val="24"/>
        </w:rPr>
        <w:t>Account number:</w:t>
      </w:r>
      <w:r w:rsidRPr="00175E41">
        <w:rPr>
          <w:rFonts w:ascii="Times New Roman" w:hAnsi="Times New Roman" w:cs="Times New Roman"/>
          <w:sz w:val="24"/>
          <w:szCs w:val="24"/>
        </w:rPr>
        <w:tab/>
        <w:t>62222488290</w:t>
      </w:r>
    </w:p>
    <w:p w14:paraId="2F3F66EE" w14:textId="667247CB" w:rsidR="00175E41" w:rsidRPr="00175E41" w:rsidRDefault="00175E41" w:rsidP="00175E41">
      <w:pPr>
        <w:spacing w:line="360" w:lineRule="auto"/>
        <w:ind w:left="1440"/>
        <w:jc w:val="both"/>
        <w:rPr>
          <w:rFonts w:ascii="Times New Roman" w:hAnsi="Times New Roman" w:cs="Times New Roman"/>
          <w:sz w:val="24"/>
          <w:szCs w:val="24"/>
        </w:rPr>
      </w:pPr>
      <w:r w:rsidRPr="00175E41">
        <w:rPr>
          <w:rFonts w:ascii="Times New Roman" w:hAnsi="Times New Roman" w:cs="Times New Roman"/>
          <w:sz w:val="24"/>
          <w:szCs w:val="24"/>
        </w:rPr>
        <w:t>Code:</w:t>
      </w:r>
      <w:r w:rsidRPr="00175E41">
        <w:rPr>
          <w:rFonts w:ascii="Times New Roman" w:hAnsi="Times New Roman" w:cs="Times New Roman"/>
          <w:sz w:val="24"/>
          <w:szCs w:val="24"/>
        </w:rPr>
        <w:tab/>
      </w:r>
      <w:r w:rsidR="00B0268B">
        <w:rPr>
          <w:rFonts w:ascii="Times New Roman" w:hAnsi="Times New Roman" w:cs="Times New Roman"/>
          <w:sz w:val="24"/>
          <w:szCs w:val="24"/>
        </w:rPr>
        <w:tab/>
      </w:r>
      <w:r w:rsidR="00B0268B">
        <w:rPr>
          <w:rFonts w:ascii="Times New Roman" w:hAnsi="Times New Roman" w:cs="Times New Roman"/>
          <w:sz w:val="24"/>
          <w:szCs w:val="24"/>
        </w:rPr>
        <w:tab/>
      </w:r>
      <w:r w:rsidRPr="00175E41">
        <w:rPr>
          <w:rFonts w:ascii="Times New Roman" w:hAnsi="Times New Roman" w:cs="Times New Roman"/>
          <w:sz w:val="24"/>
          <w:szCs w:val="24"/>
        </w:rPr>
        <w:t>253305</w:t>
      </w:r>
    </w:p>
    <w:p w14:paraId="2E5C9406" w14:textId="2F77428F" w:rsidR="00175E41" w:rsidRPr="00175E41" w:rsidRDefault="00175E41" w:rsidP="008977A7">
      <w:pPr>
        <w:spacing w:after="0" w:line="360" w:lineRule="auto"/>
        <w:ind w:left="1440"/>
        <w:jc w:val="both"/>
        <w:rPr>
          <w:rFonts w:ascii="Times New Roman" w:hAnsi="Times New Roman" w:cs="Times New Roman"/>
          <w:sz w:val="24"/>
          <w:szCs w:val="24"/>
        </w:rPr>
      </w:pPr>
      <w:r w:rsidRPr="00175E41">
        <w:rPr>
          <w:rFonts w:ascii="Times New Roman" w:hAnsi="Times New Roman" w:cs="Times New Roman"/>
          <w:sz w:val="24"/>
          <w:szCs w:val="24"/>
        </w:rPr>
        <w:t>Ref:</w:t>
      </w:r>
      <w:r w:rsidRPr="00175E41">
        <w:rPr>
          <w:rFonts w:ascii="Times New Roman" w:hAnsi="Times New Roman" w:cs="Times New Roman"/>
          <w:sz w:val="24"/>
          <w:szCs w:val="24"/>
        </w:rPr>
        <w:tab/>
      </w:r>
      <w:r w:rsidR="00B0268B">
        <w:rPr>
          <w:rFonts w:ascii="Times New Roman" w:hAnsi="Times New Roman" w:cs="Times New Roman"/>
          <w:sz w:val="24"/>
          <w:szCs w:val="24"/>
        </w:rPr>
        <w:tab/>
      </w:r>
      <w:r w:rsidR="00B0268B">
        <w:rPr>
          <w:rFonts w:ascii="Times New Roman" w:hAnsi="Times New Roman" w:cs="Times New Roman"/>
          <w:sz w:val="24"/>
          <w:szCs w:val="24"/>
        </w:rPr>
        <w:tab/>
      </w:r>
      <w:r w:rsidRPr="00175E41">
        <w:rPr>
          <w:rFonts w:ascii="Times New Roman" w:hAnsi="Times New Roman" w:cs="Times New Roman"/>
          <w:sz w:val="24"/>
          <w:szCs w:val="24"/>
        </w:rPr>
        <w:t>T827</w:t>
      </w:r>
    </w:p>
    <w:p w14:paraId="30A782AC" w14:textId="77777777" w:rsidR="00175E41" w:rsidRPr="00175E41" w:rsidRDefault="00175E41" w:rsidP="008977A7">
      <w:pPr>
        <w:spacing w:after="0" w:line="360" w:lineRule="auto"/>
        <w:ind w:left="1440" w:hanging="720"/>
        <w:jc w:val="both"/>
        <w:rPr>
          <w:rFonts w:ascii="Times New Roman" w:hAnsi="Times New Roman" w:cs="Times New Roman"/>
          <w:sz w:val="24"/>
          <w:szCs w:val="24"/>
        </w:rPr>
      </w:pPr>
    </w:p>
    <w:p w14:paraId="4305F523" w14:textId="009BE5BF" w:rsidR="00175E41" w:rsidRDefault="006B4C34" w:rsidP="00175E41">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sidR="00175E41" w:rsidRPr="00175E41">
        <w:rPr>
          <w:rFonts w:ascii="Times New Roman" w:hAnsi="Times New Roman" w:cs="Times New Roman"/>
          <w:sz w:val="24"/>
          <w:szCs w:val="24"/>
        </w:rPr>
        <w:t>.</w:t>
      </w:r>
      <w:r w:rsidR="00175E41" w:rsidRPr="00175E41">
        <w:rPr>
          <w:rFonts w:ascii="Times New Roman" w:hAnsi="Times New Roman" w:cs="Times New Roman"/>
          <w:sz w:val="24"/>
          <w:szCs w:val="24"/>
        </w:rPr>
        <w:tab/>
        <w:t xml:space="preserve">Interest </w:t>
      </w:r>
      <w:r w:rsidR="00175E41" w:rsidRPr="005428CF">
        <w:rPr>
          <w:rFonts w:ascii="Times New Roman" w:hAnsi="Times New Roman" w:cs="Times New Roman"/>
          <w:i/>
          <w:iCs/>
          <w:sz w:val="24"/>
          <w:szCs w:val="24"/>
        </w:rPr>
        <w:t>a tempore-morae</w:t>
      </w:r>
      <w:r w:rsidR="00175E41" w:rsidRPr="00175E41">
        <w:rPr>
          <w:rFonts w:ascii="Times New Roman" w:hAnsi="Times New Roman" w:cs="Times New Roman"/>
          <w:sz w:val="24"/>
          <w:szCs w:val="24"/>
        </w:rPr>
        <w:t xml:space="preserve"> shall be calculated in accordance with the Prescribed Rate of </w:t>
      </w:r>
      <w:r>
        <w:rPr>
          <w:rFonts w:ascii="Times New Roman" w:hAnsi="Times New Roman" w:cs="Times New Roman"/>
          <w:sz w:val="24"/>
          <w:szCs w:val="24"/>
        </w:rPr>
        <w:t>I</w:t>
      </w:r>
      <w:r w:rsidR="00175E41" w:rsidRPr="00175E41">
        <w:rPr>
          <w:rFonts w:ascii="Times New Roman" w:hAnsi="Times New Roman" w:cs="Times New Roman"/>
          <w:sz w:val="24"/>
          <w:szCs w:val="24"/>
        </w:rPr>
        <w:t>nterest Act 55 of 1975, read with section 17(3)(a) of the Road Accident Fund Act 56 of 1996, one hundred and eighty (180) days from the date of this order.</w:t>
      </w:r>
    </w:p>
    <w:p w14:paraId="302119FC" w14:textId="77777777" w:rsidR="00175E41" w:rsidRPr="00175E41" w:rsidRDefault="00175E41" w:rsidP="00175E41">
      <w:pPr>
        <w:spacing w:after="0" w:line="360" w:lineRule="auto"/>
        <w:ind w:left="1440" w:hanging="720"/>
        <w:jc w:val="both"/>
        <w:rPr>
          <w:rFonts w:ascii="Times New Roman" w:hAnsi="Times New Roman" w:cs="Times New Roman"/>
          <w:sz w:val="24"/>
          <w:szCs w:val="24"/>
        </w:rPr>
      </w:pPr>
    </w:p>
    <w:p w14:paraId="729959D2" w14:textId="64D4B846" w:rsidR="00175E41" w:rsidRPr="00175E41" w:rsidRDefault="006B4C34" w:rsidP="00175E41">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sidR="00175E41" w:rsidRPr="00175E41">
        <w:rPr>
          <w:rFonts w:ascii="Times New Roman" w:hAnsi="Times New Roman" w:cs="Times New Roman"/>
          <w:sz w:val="24"/>
          <w:szCs w:val="24"/>
        </w:rPr>
        <w:t>.</w:t>
      </w:r>
      <w:r w:rsidR="00175E41" w:rsidRPr="00175E41">
        <w:rPr>
          <w:rFonts w:ascii="Times New Roman" w:hAnsi="Times New Roman" w:cs="Times New Roman"/>
          <w:sz w:val="24"/>
          <w:szCs w:val="24"/>
        </w:rPr>
        <w:tab/>
        <w:t xml:space="preserve">The </w:t>
      </w:r>
      <w:r w:rsidR="00AE66FF">
        <w:rPr>
          <w:rFonts w:ascii="Times New Roman" w:hAnsi="Times New Roman" w:cs="Times New Roman"/>
          <w:sz w:val="24"/>
          <w:szCs w:val="24"/>
        </w:rPr>
        <w:t>d</w:t>
      </w:r>
      <w:r w:rsidR="00175E41" w:rsidRPr="00175E41">
        <w:rPr>
          <w:rFonts w:ascii="Times New Roman" w:hAnsi="Times New Roman" w:cs="Times New Roman"/>
          <w:sz w:val="24"/>
          <w:szCs w:val="24"/>
        </w:rPr>
        <w:t xml:space="preserve">efendant is to pay the </w:t>
      </w:r>
      <w:r w:rsidR="006A7D8E">
        <w:rPr>
          <w:rFonts w:ascii="Times New Roman" w:hAnsi="Times New Roman" w:cs="Times New Roman"/>
          <w:sz w:val="24"/>
          <w:szCs w:val="24"/>
        </w:rPr>
        <w:t>p</w:t>
      </w:r>
      <w:r w:rsidR="00175E41" w:rsidRPr="00175E41">
        <w:rPr>
          <w:rFonts w:ascii="Times New Roman" w:hAnsi="Times New Roman" w:cs="Times New Roman"/>
          <w:sz w:val="24"/>
          <w:szCs w:val="24"/>
        </w:rPr>
        <w:t>laintiff’s agreed or taxed High Court costs as between party and party, such costs no</w:t>
      </w:r>
      <w:r>
        <w:rPr>
          <w:rFonts w:ascii="Times New Roman" w:hAnsi="Times New Roman" w:cs="Times New Roman"/>
          <w:sz w:val="24"/>
          <w:szCs w:val="24"/>
        </w:rPr>
        <w:t>t</w:t>
      </w:r>
      <w:r w:rsidR="00175E41" w:rsidRPr="00175E41">
        <w:rPr>
          <w:rFonts w:ascii="Times New Roman" w:hAnsi="Times New Roman" w:cs="Times New Roman"/>
          <w:sz w:val="24"/>
          <w:szCs w:val="24"/>
        </w:rPr>
        <w:t xml:space="preserve"> limited to, but to include</w:t>
      </w:r>
      <w:r w:rsidR="005428CF">
        <w:rPr>
          <w:rFonts w:ascii="Times New Roman" w:hAnsi="Times New Roman" w:cs="Times New Roman"/>
          <w:sz w:val="24"/>
          <w:szCs w:val="24"/>
        </w:rPr>
        <w:t>:</w:t>
      </w:r>
    </w:p>
    <w:p w14:paraId="2C4A2B7D" w14:textId="0A6414FC" w:rsidR="00175E41" w:rsidRDefault="006B4C34" w:rsidP="005428CF">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6</w:t>
      </w:r>
      <w:r w:rsidR="00175E41" w:rsidRPr="00175E41">
        <w:rPr>
          <w:rFonts w:ascii="Times New Roman" w:hAnsi="Times New Roman" w:cs="Times New Roman"/>
          <w:sz w:val="24"/>
          <w:szCs w:val="24"/>
        </w:rPr>
        <w:t>.1.</w:t>
      </w:r>
      <w:r w:rsidR="00175E41" w:rsidRPr="00175E41">
        <w:rPr>
          <w:rFonts w:ascii="Times New Roman" w:hAnsi="Times New Roman" w:cs="Times New Roman"/>
          <w:sz w:val="24"/>
          <w:szCs w:val="24"/>
        </w:rPr>
        <w:tab/>
        <w:t>Costs attendant upon the obtaining of payment of the capital amount;</w:t>
      </w:r>
    </w:p>
    <w:p w14:paraId="13A84509" w14:textId="77777777" w:rsidR="005428CF" w:rsidRPr="00175E41" w:rsidRDefault="005428CF" w:rsidP="005428CF">
      <w:pPr>
        <w:spacing w:after="0" w:line="360" w:lineRule="auto"/>
        <w:ind w:left="1440"/>
        <w:jc w:val="both"/>
        <w:rPr>
          <w:rFonts w:ascii="Times New Roman" w:hAnsi="Times New Roman" w:cs="Times New Roman"/>
          <w:sz w:val="24"/>
          <w:szCs w:val="24"/>
        </w:rPr>
      </w:pPr>
    </w:p>
    <w:p w14:paraId="347319CD" w14:textId="73758F0E" w:rsidR="00175E41" w:rsidRPr="00175E41" w:rsidRDefault="006B4C34" w:rsidP="001606F6">
      <w:pPr>
        <w:spacing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6</w:t>
      </w:r>
      <w:r w:rsidR="00175E41" w:rsidRPr="00175E41">
        <w:rPr>
          <w:rFonts w:ascii="Times New Roman" w:hAnsi="Times New Roman" w:cs="Times New Roman"/>
          <w:sz w:val="24"/>
          <w:szCs w:val="24"/>
        </w:rPr>
        <w:t>.2.</w:t>
      </w:r>
      <w:r w:rsidR="00175E41" w:rsidRPr="00175E41">
        <w:rPr>
          <w:rFonts w:ascii="Times New Roman" w:hAnsi="Times New Roman" w:cs="Times New Roman"/>
          <w:sz w:val="24"/>
          <w:szCs w:val="24"/>
        </w:rPr>
        <w:tab/>
        <w:t xml:space="preserve">The preparation and qualifying fees of the experts consequent upon obtaining the </w:t>
      </w:r>
      <w:r w:rsidR="00AC3483">
        <w:rPr>
          <w:rFonts w:ascii="Times New Roman" w:hAnsi="Times New Roman" w:cs="Times New Roman"/>
          <w:sz w:val="24"/>
          <w:szCs w:val="24"/>
        </w:rPr>
        <w:t>p</w:t>
      </w:r>
      <w:r w:rsidR="00175E41" w:rsidRPr="00175E41">
        <w:rPr>
          <w:rFonts w:ascii="Times New Roman" w:hAnsi="Times New Roman" w:cs="Times New Roman"/>
          <w:sz w:val="24"/>
          <w:szCs w:val="24"/>
        </w:rPr>
        <w:t xml:space="preserve">laintiff’s reports and addendum reports </w:t>
      </w:r>
      <w:r w:rsidR="00175E41" w:rsidRPr="00511070">
        <w:rPr>
          <w:rFonts w:ascii="Times New Roman" w:hAnsi="Times New Roman" w:cs="Times New Roman"/>
          <w:i/>
          <w:iCs/>
          <w:sz w:val="24"/>
          <w:szCs w:val="24"/>
        </w:rPr>
        <w:t>inter alia</w:t>
      </w:r>
      <w:r w:rsidR="00175E41" w:rsidRPr="00175E41">
        <w:rPr>
          <w:rFonts w:ascii="Times New Roman" w:hAnsi="Times New Roman" w:cs="Times New Roman"/>
          <w:sz w:val="24"/>
          <w:szCs w:val="24"/>
        </w:rPr>
        <w:t xml:space="preserve"> </w:t>
      </w:r>
      <w:r w:rsidR="00511070" w:rsidRPr="00175E41">
        <w:rPr>
          <w:rFonts w:ascii="Times New Roman" w:hAnsi="Times New Roman" w:cs="Times New Roman"/>
          <w:sz w:val="24"/>
          <w:szCs w:val="24"/>
        </w:rPr>
        <w:t>by: -</w:t>
      </w:r>
    </w:p>
    <w:p w14:paraId="3EB1A836" w14:textId="4BB2381A" w:rsidR="00175E41" w:rsidRPr="00175E41" w:rsidRDefault="006B4C34" w:rsidP="001606F6">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6</w:t>
      </w:r>
      <w:r w:rsidR="00175E41" w:rsidRPr="00175E41">
        <w:rPr>
          <w:rFonts w:ascii="Times New Roman" w:hAnsi="Times New Roman" w:cs="Times New Roman"/>
          <w:sz w:val="24"/>
          <w:szCs w:val="24"/>
        </w:rPr>
        <w:t>.2.1.</w:t>
      </w:r>
      <w:r w:rsidR="00175E41" w:rsidRPr="00175E41">
        <w:rPr>
          <w:rFonts w:ascii="Times New Roman" w:hAnsi="Times New Roman" w:cs="Times New Roman"/>
          <w:sz w:val="24"/>
          <w:szCs w:val="24"/>
        </w:rPr>
        <w:tab/>
        <w:t xml:space="preserve">Dr Makua (General Practitioner); </w:t>
      </w:r>
    </w:p>
    <w:p w14:paraId="408EF82F" w14:textId="365FE21B" w:rsidR="00175E41" w:rsidRPr="00175E41" w:rsidRDefault="006B4C34" w:rsidP="001606F6">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6</w:t>
      </w:r>
      <w:r w:rsidR="00175E41" w:rsidRPr="00175E41">
        <w:rPr>
          <w:rFonts w:ascii="Times New Roman" w:hAnsi="Times New Roman" w:cs="Times New Roman"/>
          <w:sz w:val="24"/>
          <w:szCs w:val="24"/>
        </w:rPr>
        <w:t>.2.2.</w:t>
      </w:r>
      <w:r w:rsidR="00175E41" w:rsidRPr="00175E41">
        <w:rPr>
          <w:rFonts w:ascii="Times New Roman" w:hAnsi="Times New Roman" w:cs="Times New Roman"/>
          <w:sz w:val="24"/>
          <w:szCs w:val="24"/>
        </w:rPr>
        <w:tab/>
        <w:t>Dr Scher (Orthopaedic Surgeon);</w:t>
      </w:r>
    </w:p>
    <w:p w14:paraId="47D3F160" w14:textId="68A01881" w:rsidR="00175E41" w:rsidRPr="00175E41" w:rsidRDefault="006B4C34" w:rsidP="001606F6">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6</w:t>
      </w:r>
      <w:r w:rsidR="00175E41" w:rsidRPr="00175E41">
        <w:rPr>
          <w:rFonts w:ascii="Times New Roman" w:hAnsi="Times New Roman" w:cs="Times New Roman"/>
          <w:sz w:val="24"/>
          <w:szCs w:val="24"/>
        </w:rPr>
        <w:t>.2.3.</w:t>
      </w:r>
      <w:r w:rsidR="00175E41" w:rsidRPr="00175E41">
        <w:rPr>
          <w:rFonts w:ascii="Times New Roman" w:hAnsi="Times New Roman" w:cs="Times New Roman"/>
          <w:sz w:val="24"/>
          <w:szCs w:val="24"/>
        </w:rPr>
        <w:tab/>
        <w:t>Burger Inc (Radiologist);</w:t>
      </w:r>
    </w:p>
    <w:p w14:paraId="28DFC299" w14:textId="2FE6F078" w:rsidR="00175E41" w:rsidRPr="00175E41" w:rsidRDefault="006B4C34" w:rsidP="001606F6">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6</w:t>
      </w:r>
      <w:r w:rsidR="00175E41" w:rsidRPr="00175E41">
        <w:rPr>
          <w:rFonts w:ascii="Times New Roman" w:hAnsi="Times New Roman" w:cs="Times New Roman"/>
          <w:sz w:val="24"/>
          <w:szCs w:val="24"/>
        </w:rPr>
        <w:t>.2.4.</w:t>
      </w:r>
      <w:r w:rsidR="00175E41" w:rsidRPr="00175E41">
        <w:rPr>
          <w:rFonts w:ascii="Times New Roman" w:hAnsi="Times New Roman" w:cs="Times New Roman"/>
          <w:sz w:val="24"/>
          <w:szCs w:val="24"/>
        </w:rPr>
        <w:tab/>
        <w:t>Dr Taniel Townsend (Neurologist)</w:t>
      </w:r>
      <w:r>
        <w:rPr>
          <w:rFonts w:ascii="Times New Roman" w:hAnsi="Times New Roman" w:cs="Times New Roman"/>
          <w:sz w:val="24"/>
          <w:szCs w:val="24"/>
        </w:rPr>
        <w:t>;</w:t>
      </w:r>
      <w:r w:rsidR="00175E41" w:rsidRPr="00175E41">
        <w:rPr>
          <w:rFonts w:ascii="Times New Roman" w:hAnsi="Times New Roman" w:cs="Times New Roman"/>
          <w:sz w:val="24"/>
          <w:szCs w:val="24"/>
        </w:rPr>
        <w:t xml:space="preserve"> </w:t>
      </w:r>
    </w:p>
    <w:p w14:paraId="2B392F71" w14:textId="656BDB63" w:rsidR="00175E41" w:rsidRPr="00175E41" w:rsidRDefault="006B4C34" w:rsidP="001606F6">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6</w:t>
      </w:r>
      <w:r w:rsidR="00175E41" w:rsidRPr="00175E41">
        <w:rPr>
          <w:rFonts w:ascii="Times New Roman" w:hAnsi="Times New Roman" w:cs="Times New Roman"/>
          <w:sz w:val="24"/>
          <w:szCs w:val="24"/>
        </w:rPr>
        <w:t>.2.5.</w:t>
      </w:r>
      <w:r w:rsidR="00175E41" w:rsidRPr="00175E41">
        <w:rPr>
          <w:rFonts w:ascii="Times New Roman" w:hAnsi="Times New Roman" w:cs="Times New Roman"/>
          <w:sz w:val="24"/>
          <w:szCs w:val="24"/>
        </w:rPr>
        <w:tab/>
        <w:t>Talita da Costa (Clinical Psychologist)</w:t>
      </w:r>
      <w:r>
        <w:rPr>
          <w:rFonts w:ascii="Times New Roman" w:hAnsi="Times New Roman" w:cs="Times New Roman"/>
          <w:sz w:val="24"/>
          <w:szCs w:val="24"/>
        </w:rPr>
        <w:t>;</w:t>
      </w:r>
    </w:p>
    <w:p w14:paraId="4BDDBCF2" w14:textId="0ED66A87" w:rsidR="00175E41" w:rsidRPr="00175E41" w:rsidRDefault="006B4C34" w:rsidP="001606F6">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6</w:t>
      </w:r>
      <w:r w:rsidR="00175E41" w:rsidRPr="00175E41">
        <w:rPr>
          <w:rFonts w:ascii="Times New Roman" w:hAnsi="Times New Roman" w:cs="Times New Roman"/>
          <w:sz w:val="24"/>
          <w:szCs w:val="24"/>
        </w:rPr>
        <w:t>.2.6.</w:t>
      </w:r>
      <w:r w:rsidR="00175E41" w:rsidRPr="00175E41">
        <w:rPr>
          <w:rFonts w:ascii="Times New Roman" w:hAnsi="Times New Roman" w:cs="Times New Roman"/>
          <w:sz w:val="24"/>
          <w:szCs w:val="24"/>
        </w:rPr>
        <w:tab/>
        <w:t>S Fletcher (Occupational Therapist)</w:t>
      </w:r>
      <w:r>
        <w:rPr>
          <w:rFonts w:ascii="Times New Roman" w:hAnsi="Times New Roman" w:cs="Times New Roman"/>
          <w:sz w:val="24"/>
          <w:szCs w:val="24"/>
        </w:rPr>
        <w:t>;</w:t>
      </w:r>
    </w:p>
    <w:p w14:paraId="14A660EA" w14:textId="60CD1E15" w:rsidR="00175E41" w:rsidRPr="00175E41" w:rsidRDefault="006B4C34" w:rsidP="001606F6">
      <w:pPr>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6</w:t>
      </w:r>
      <w:r w:rsidR="00175E41" w:rsidRPr="00175E41">
        <w:rPr>
          <w:rFonts w:ascii="Times New Roman" w:hAnsi="Times New Roman" w:cs="Times New Roman"/>
          <w:sz w:val="24"/>
          <w:szCs w:val="24"/>
        </w:rPr>
        <w:t>.2.7.</w:t>
      </w:r>
      <w:r w:rsidR="00175E41" w:rsidRPr="00175E41">
        <w:rPr>
          <w:rFonts w:ascii="Times New Roman" w:hAnsi="Times New Roman" w:cs="Times New Roman"/>
          <w:sz w:val="24"/>
          <w:szCs w:val="24"/>
        </w:rPr>
        <w:tab/>
        <w:t>L Leibowitz (Industrial Psychologist)</w:t>
      </w:r>
      <w:r>
        <w:rPr>
          <w:rFonts w:ascii="Times New Roman" w:hAnsi="Times New Roman" w:cs="Times New Roman"/>
          <w:sz w:val="24"/>
          <w:szCs w:val="24"/>
        </w:rPr>
        <w:t>;</w:t>
      </w:r>
      <w:r w:rsidR="00175E41" w:rsidRPr="00175E41">
        <w:rPr>
          <w:rFonts w:ascii="Times New Roman" w:hAnsi="Times New Roman" w:cs="Times New Roman"/>
          <w:sz w:val="24"/>
          <w:szCs w:val="24"/>
        </w:rPr>
        <w:t xml:space="preserve"> and </w:t>
      </w:r>
    </w:p>
    <w:p w14:paraId="4DE0B20C" w14:textId="4438EB29" w:rsidR="00175E41" w:rsidRPr="00175E41" w:rsidRDefault="006B4C34" w:rsidP="001606F6">
      <w:pPr>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6</w:t>
      </w:r>
      <w:r w:rsidR="00175E41" w:rsidRPr="00175E41">
        <w:rPr>
          <w:rFonts w:ascii="Times New Roman" w:hAnsi="Times New Roman" w:cs="Times New Roman"/>
          <w:sz w:val="24"/>
          <w:szCs w:val="24"/>
        </w:rPr>
        <w:t>.2.8.</w:t>
      </w:r>
      <w:r w:rsidR="00175E41" w:rsidRPr="00175E41">
        <w:rPr>
          <w:rFonts w:ascii="Times New Roman" w:hAnsi="Times New Roman" w:cs="Times New Roman"/>
          <w:sz w:val="24"/>
          <w:szCs w:val="24"/>
        </w:rPr>
        <w:tab/>
        <w:t>Wim Loots (Actuary).</w:t>
      </w:r>
    </w:p>
    <w:p w14:paraId="401B4350" w14:textId="77777777" w:rsidR="00175E41" w:rsidRPr="00175E41" w:rsidRDefault="00175E41" w:rsidP="00175E41">
      <w:pPr>
        <w:spacing w:after="0" w:line="360" w:lineRule="auto"/>
        <w:ind w:left="1440" w:hanging="720"/>
        <w:jc w:val="both"/>
        <w:rPr>
          <w:rFonts w:ascii="Times New Roman" w:hAnsi="Times New Roman" w:cs="Times New Roman"/>
          <w:sz w:val="24"/>
          <w:szCs w:val="24"/>
        </w:rPr>
      </w:pPr>
    </w:p>
    <w:p w14:paraId="70F21C71" w14:textId="75664478" w:rsidR="00175E41" w:rsidRPr="00175E41" w:rsidRDefault="006B4C34" w:rsidP="001606F6">
      <w:pPr>
        <w:spacing w:after="0" w:line="360" w:lineRule="auto"/>
        <w:ind w:left="2160" w:hanging="720"/>
        <w:jc w:val="both"/>
        <w:rPr>
          <w:rFonts w:ascii="Times New Roman" w:hAnsi="Times New Roman" w:cs="Times New Roman"/>
          <w:sz w:val="24"/>
          <w:szCs w:val="24"/>
        </w:rPr>
      </w:pPr>
      <w:r>
        <w:rPr>
          <w:rFonts w:ascii="Times New Roman" w:hAnsi="Times New Roman" w:cs="Times New Roman"/>
          <w:sz w:val="24"/>
          <w:szCs w:val="24"/>
        </w:rPr>
        <w:t>6</w:t>
      </w:r>
      <w:r w:rsidR="00175E41" w:rsidRPr="00175E41">
        <w:rPr>
          <w:rFonts w:ascii="Times New Roman" w:hAnsi="Times New Roman" w:cs="Times New Roman"/>
          <w:sz w:val="24"/>
          <w:szCs w:val="24"/>
        </w:rPr>
        <w:t>.3.</w:t>
      </w:r>
      <w:r w:rsidR="00175E41" w:rsidRPr="00175E41">
        <w:rPr>
          <w:rFonts w:ascii="Times New Roman" w:hAnsi="Times New Roman" w:cs="Times New Roman"/>
          <w:sz w:val="24"/>
          <w:szCs w:val="24"/>
        </w:rPr>
        <w:tab/>
        <w:t xml:space="preserve">The </w:t>
      </w:r>
      <w:r w:rsidR="001606F6">
        <w:rPr>
          <w:rFonts w:ascii="Times New Roman" w:hAnsi="Times New Roman" w:cs="Times New Roman"/>
          <w:sz w:val="24"/>
          <w:szCs w:val="24"/>
        </w:rPr>
        <w:t>p</w:t>
      </w:r>
      <w:r w:rsidR="00175E41" w:rsidRPr="00175E41">
        <w:rPr>
          <w:rFonts w:ascii="Times New Roman" w:hAnsi="Times New Roman" w:cs="Times New Roman"/>
          <w:sz w:val="24"/>
          <w:szCs w:val="24"/>
        </w:rPr>
        <w:t>laintiff’s reasonable travel and accommodation costs to attend appointments</w:t>
      </w:r>
      <w:r>
        <w:rPr>
          <w:rFonts w:ascii="Times New Roman" w:hAnsi="Times New Roman" w:cs="Times New Roman"/>
          <w:sz w:val="24"/>
          <w:szCs w:val="24"/>
        </w:rPr>
        <w:t>.</w:t>
      </w:r>
    </w:p>
    <w:p w14:paraId="133A06BA" w14:textId="77777777" w:rsidR="00175E41" w:rsidRPr="00175E41" w:rsidRDefault="00175E41" w:rsidP="00175E41">
      <w:pPr>
        <w:spacing w:after="0" w:line="360" w:lineRule="auto"/>
        <w:ind w:left="1440" w:hanging="720"/>
        <w:jc w:val="both"/>
        <w:rPr>
          <w:rFonts w:ascii="Times New Roman" w:hAnsi="Times New Roman" w:cs="Times New Roman"/>
          <w:sz w:val="24"/>
          <w:szCs w:val="24"/>
        </w:rPr>
      </w:pPr>
    </w:p>
    <w:p w14:paraId="3420C1CC" w14:textId="6A70C865" w:rsidR="00175E41" w:rsidRPr="006B4C34" w:rsidRDefault="006B4C34" w:rsidP="006B4C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7.</w:t>
      </w:r>
      <w:r>
        <w:rPr>
          <w:rFonts w:ascii="Times New Roman" w:hAnsi="Times New Roman" w:cs="Times New Roman"/>
          <w:sz w:val="24"/>
          <w:szCs w:val="24"/>
        </w:rPr>
        <w:tab/>
      </w:r>
      <w:r w:rsidR="00175E41" w:rsidRPr="006B4C34">
        <w:rPr>
          <w:rFonts w:ascii="Times New Roman" w:hAnsi="Times New Roman" w:cs="Times New Roman"/>
          <w:sz w:val="24"/>
          <w:szCs w:val="24"/>
        </w:rPr>
        <w:t>The costs of counsel up until 28 October 2022.</w:t>
      </w:r>
    </w:p>
    <w:p w14:paraId="20C39C76" w14:textId="77777777" w:rsidR="00175E41" w:rsidRPr="00175E41" w:rsidRDefault="00175E41" w:rsidP="00175E41">
      <w:pPr>
        <w:spacing w:after="0" w:line="360" w:lineRule="auto"/>
        <w:ind w:left="1440" w:hanging="720"/>
        <w:jc w:val="both"/>
        <w:rPr>
          <w:rFonts w:ascii="Times New Roman" w:hAnsi="Times New Roman" w:cs="Times New Roman"/>
          <w:sz w:val="24"/>
          <w:szCs w:val="24"/>
        </w:rPr>
      </w:pPr>
    </w:p>
    <w:p w14:paraId="67B779BC" w14:textId="20B394F9" w:rsidR="00175E41" w:rsidRPr="00175E41" w:rsidRDefault="006B4C34" w:rsidP="00175E41">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8</w:t>
      </w:r>
      <w:r w:rsidR="00175E41" w:rsidRPr="00175E41">
        <w:rPr>
          <w:rFonts w:ascii="Times New Roman" w:hAnsi="Times New Roman" w:cs="Times New Roman"/>
          <w:sz w:val="24"/>
          <w:szCs w:val="24"/>
        </w:rPr>
        <w:t>.</w:t>
      </w:r>
      <w:r w:rsidR="00175E41" w:rsidRPr="00175E41">
        <w:rPr>
          <w:rFonts w:ascii="Times New Roman" w:hAnsi="Times New Roman" w:cs="Times New Roman"/>
          <w:sz w:val="24"/>
          <w:szCs w:val="24"/>
        </w:rPr>
        <w:tab/>
        <w:t xml:space="preserve">The party and party costs, as agreed or taxed, shall be paid by the </w:t>
      </w:r>
      <w:r w:rsidR="001606F6">
        <w:rPr>
          <w:rFonts w:ascii="Times New Roman" w:hAnsi="Times New Roman" w:cs="Times New Roman"/>
          <w:sz w:val="24"/>
          <w:szCs w:val="24"/>
        </w:rPr>
        <w:t>d</w:t>
      </w:r>
      <w:r w:rsidR="00175E41" w:rsidRPr="00175E41">
        <w:rPr>
          <w:rFonts w:ascii="Times New Roman" w:hAnsi="Times New Roman" w:cs="Times New Roman"/>
          <w:sz w:val="24"/>
          <w:szCs w:val="24"/>
        </w:rPr>
        <w:t xml:space="preserve">efendant directly into the trust account of Mokoduo Erasmus Davidson Attorneys for the benefit of the </w:t>
      </w:r>
      <w:r w:rsidR="001606F6">
        <w:rPr>
          <w:rFonts w:ascii="Times New Roman" w:hAnsi="Times New Roman" w:cs="Times New Roman"/>
          <w:sz w:val="24"/>
          <w:szCs w:val="24"/>
        </w:rPr>
        <w:t>p</w:t>
      </w:r>
      <w:r w:rsidR="00175E41" w:rsidRPr="00175E41">
        <w:rPr>
          <w:rFonts w:ascii="Times New Roman" w:hAnsi="Times New Roman" w:cs="Times New Roman"/>
          <w:sz w:val="24"/>
          <w:szCs w:val="24"/>
        </w:rPr>
        <w:t>laintiff</w:t>
      </w:r>
    </w:p>
    <w:p w14:paraId="04C61E35" w14:textId="77777777" w:rsidR="00175E41" w:rsidRPr="00175E41" w:rsidRDefault="00175E41" w:rsidP="00175E41">
      <w:pPr>
        <w:spacing w:line="360" w:lineRule="auto"/>
        <w:ind w:left="1440" w:hanging="720"/>
        <w:jc w:val="both"/>
        <w:rPr>
          <w:rFonts w:ascii="Times New Roman" w:hAnsi="Times New Roman" w:cs="Times New Roman"/>
          <w:sz w:val="24"/>
          <w:szCs w:val="24"/>
        </w:rPr>
      </w:pPr>
    </w:p>
    <w:p w14:paraId="3F8182DD" w14:textId="5569F83D" w:rsidR="00175E41" w:rsidRPr="00175E41" w:rsidRDefault="00175E41" w:rsidP="00175E41">
      <w:pPr>
        <w:spacing w:line="360" w:lineRule="auto"/>
        <w:ind w:left="1440" w:hanging="720"/>
        <w:jc w:val="both"/>
        <w:rPr>
          <w:rFonts w:ascii="Times New Roman" w:hAnsi="Times New Roman" w:cs="Times New Roman"/>
          <w:sz w:val="24"/>
          <w:szCs w:val="24"/>
        </w:rPr>
      </w:pPr>
      <w:r w:rsidRPr="00175E41">
        <w:rPr>
          <w:rFonts w:ascii="Times New Roman" w:hAnsi="Times New Roman" w:cs="Times New Roman"/>
          <w:sz w:val="24"/>
          <w:szCs w:val="24"/>
        </w:rPr>
        <w:t xml:space="preserve"> </w:t>
      </w:r>
    </w:p>
    <w:p w14:paraId="77132987" w14:textId="77777777" w:rsidR="00205033" w:rsidRDefault="00205033" w:rsidP="00205033">
      <w:pPr>
        <w:spacing w:line="360" w:lineRule="auto"/>
        <w:ind w:left="1440" w:hanging="720"/>
        <w:jc w:val="both"/>
        <w:rPr>
          <w:rFonts w:ascii="Times New Roman" w:hAnsi="Times New Roman" w:cs="Times New Roman"/>
          <w:sz w:val="24"/>
          <w:szCs w:val="24"/>
        </w:rPr>
      </w:pPr>
    </w:p>
    <w:p w14:paraId="352D0D84" w14:textId="77777777" w:rsidR="00205033" w:rsidRDefault="00205033" w:rsidP="00FA4F1A">
      <w:pPr>
        <w:pStyle w:val="ListParagraph"/>
        <w:spacing w:after="0" w:line="360" w:lineRule="auto"/>
        <w:ind w:left="4483" w:firstLine="688"/>
        <w:jc w:val="right"/>
        <w:rPr>
          <w:rFonts w:ascii="Times New Roman" w:hAnsi="Times New Roman" w:cs="Times New Roman"/>
          <w:sz w:val="24"/>
          <w:szCs w:val="24"/>
        </w:rPr>
      </w:pPr>
      <w:r>
        <w:rPr>
          <w:rFonts w:ascii="Times New Roman" w:hAnsi="Times New Roman" w:cs="Times New Roman"/>
          <w:sz w:val="24"/>
          <w:szCs w:val="24"/>
        </w:rPr>
        <w:t>______________________________</w:t>
      </w:r>
    </w:p>
    <w:p w14:paraId="1C6C42F8" w14:textId="77777777" w:rsidR="00205033" w:rsidRDefault="00205033" w:rsidP="00FA4F1A">
      <w:pPr>
        <w:spacing w:after="0" w:line="360" w:lineRule="auto"/>
        <w:ind w:left="4451" w:firstLine="720"/>
        <w:jc w:val="right"/>
        <w:rPr>
          <w:rFonts w:ascii="Times New Roman" w:hAnsi="Times New Roman" w:cs="Times New Roman"/>
          <w:b/>
          <w:bCs/>
          <w:sz w:val="24"/>
          <w:szCs w:val="24"/>
        </w:rPr>
      </w:pPr>
      <w:r>
        <w:rPr>
          <w:rFonts w:ascii="Times New Roman" w:hAnsi="Times New Roman" w:cs="Times New Roman"/>
          <w:b/>
          <w:bCs/>
          <w:sz w:val="24"/>
          <w:szCs w:val="24"/>
        </w:rPr>
        <w:t xml:space="preserve">                           M. OPPERMAN, J</w:t>
      </w:r>
    </w:p>
    <w:p w14:paraId="40FC6F67" w14:textId="77777777" w:rsidR="00FA4F1A" w:rsidRDefault="00FA4F1A">
      <w:pPr>
        <w:spacing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1473E1DD" w14:textId="5868A12F" w:rsidR="00205033" w:rsidRDefault="00205033" w:rsidP="0020503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u w:val="single"/>
        </w:rPr>
        <w:lastRenderedPageBreak/>
        <w:t>Appearances</w:t>
      </w:r>
      <w:r>
        <w:rPr>
          <w:rFonts w:ascii="Times New Roman" w:hAnsi="Times New Roman" w:cs="Times New Roman"/>
          <w:b/>
          <w:bCs/>
          <w:sz w:val="24"/>
          <w:szCs w:val="24"/>
        </w:rPr>
        <w:t xml:space="preserve"> </w:t>
      </w:r>
    </w:p>
    <w:p w14:paraId="3CAC8FF6" w14:textId="2A12E030" w:rsidR="00205033" w:rsidRPr="006F407F" w:rsidRDefault="00205033" w:rsidP="001606F6">
      <w:pPr>
        <w:spacing w:after="0" w:line="360" w:lineRule="auto"/>
        <w:rPr>
          <w:rFonts w:ascii="Times New Roman" w:hAnsi="Times New Roman" w:cs="Times New Roman"/>
          <w:b/>
          <w:bCs/>
          <w:sz w:val="24"/>
          <w:szCs w:val="24"/>
        </w:rPr>
      </w:pPr>
      <w:r>
        <w:rPr>
          <w:rFonts w:ascii="Times New Roman" w:hAnsi="Times New Roman" w:cs="Times New Roman"/>
          <w:sz w:val="24"/>
          <w:szCs w:val="24"/>
        </w:rPr>
        <w:t>For plaintiff:</w:t>
      </w:r>
      <w:r>
        <w:rPr>
          <w:rFonts w:ascii="Times New Roman" w:hAnsi="Times New Roman" w:cs="Times New Roman"/>
          <w:sz w:val="24"/>
          <w:szCs w:val="24"/>
        </w:rPr>
        <w:tab/>
      </w:r>
      <w:r>
        <w:rPr>
          <w:rFonts w:ascii="Times New Roman" w:hAnsi="Times New Roman" w:cs="Times New Roman"/>
          <w:sz w:val="24"/>
          <w:szCs w:val="24"/>
        </w:rPr>
        <w:tab/>
      </w:r>
      <w:r w:rsidR="001606F6">
        <w:rPr>
          <w:rFonts w:ascii="Times New Roman" w:hAnsi="Times New Roman" w:cs="Times New Roman"/>
          <w:sz w:val="24"/>
          <w:szCs w:val="24"/>
        </w:rPr>
        <w:t xml:space="preserve">                                                                     </w:t>
      </w:r>
      <w:r w:rsidR="00112257" w:rsidRPr="006F407F">
        <w:rPr>
          <w:rFonts w:ascii="Times New Roman" w:hAnsi="Times New Roman" w:cs="Times New Roman"/>
          <w:b/>
          <w:bCs/>
          <w:sz w:val="24"/>
          <w:szCs w:val="24"/>
        </w:rPr>
        <w:t>ADVOCATE ILZE SANDER</w:t>
      </w:r>
    </w:p>
    <w:p w14:paraId="7375C5AF" w14:textId="5E84B949" w:rsidR="00112257" w:rsidRDefault="00112257" w:rsidP="001606F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079 890 2166</w:t>
      </w:r>
    </w:p>
    <w:p w14:paraId="24C4FBB0" w14:textId="4F01936C" w:rsidR="00112257" w:rsidRDefault="00112257" w:rsidP="001606F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 w:history="1">
        <w:r w:rsidRPr="005C7CEB">
          <w:rPr>
            <w:rStyle w:val="Hyperlink"/>
            <w:rFonts w:ascii="Times New Roman" w:hAnsi="Times New Roman" w:cs="Times New Roman"/>
            <w:sz w:val="24"/>
            <w:szCs w:val="24"/>
          </w:rPr>
          <w:t>Olivier.ilze@yahoo.com</w:t>
        </w:r>
      </w:hyperlink>
    </w:p>
    <w:p w14:paraId="431B9E71" w14:textId="77777777" w:rsidR="00205033" w:rsidRDefault="00205033" w:rsidP="001606F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Instructed by:</w:t>
      </w:r>
    </w:p>
    <w:p w14:paraId="159A393C" w14:textId="0AB27566" w:rsidR="00205033" w:rsidRDefault="00205033" w:rsidP="001606F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2257">
        <w:rPr>
          <w:rFonts w:ascii="Times New Roman" w:hAnsi="Times New Roman" w:cs="Times New Roman"/>
          <w:sz w:val="24"/>
          <w:szCs w:val="24"/>
        </w:rPr>
        <w:t>MED</w:t>
      </w:r>
      <w:r>
        <w:rPr>
          <w:rFonts w:ascii="Times New Roman" w:hAnsi="Times New Roman" w:cs="Times New Roman"/>
          <w:sz w:val="24"/>
          <w:szCs w:val="24"/>
        </w:rPr>
        <w:t xml:space="preserve"> Attorneys</w:t>
      </w:r>
    </w:p>
    <w:p w14:paraId="0D466BC4" w14:textId="195A2553" w:rsidR="00205033" w:rsidRDefault="00205033" w:rsidP="001606F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606F6">
        <w:rPr>
          <w:rFonts w:ascii="Times New Roman" w:hAnsi="Times New Roman" w:cs="Times New Roman"/>
          <w:sz w:val="24"/>
          <w:szCs w:val="24"/>
        </w:rPr>
        <w:t>Office G03, Regus Business Centre</w:t>
      </w:r>
    </w:p>
    <w:p w14:paraId="623B10E6" w14:textId="77777777" w:rsidR="001606F6" w:rsidRDefault="001606F6" w:rsidP="001606F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Ground Floor, Unipark Building</w:t>
      </w:r>
    </w:p>
    <w:p w14:paraId="4FE862A0" w14:textId="77777777" w:rsidR="001606F6" w:rsidRDefault="001606F6" w:rsidP="001606F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Vodacom Lane, Nobel Street</w:t>
      </w:r>
    </w:p>
    <w:p w14:paraId="4AB785DD" w14:textId="77777777" w:rsidR="001606F6" w:rsidRDefault="001606F6" w:rsidP="001606F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Brandwag</w:t>
      </w:r>
    </w:p>
    <w:p w14:paraId="0C5FCD47" w14:textId="77777777" w:rsidR="001606F6" w:rsidRDefault="001606F6" w:rsidP="001606F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BLOEMFONTEIN</w:t>
      </w:r>
    </w:p>
    <w:p w14:paraId="1037A769" w14:textId="77777777" w:rsidR="001606F6" w:rsidRDefault="001606F6" w:rsidP="001606F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051 101 2329</w:t>
      </w:r>
    </w:p>
    <w:p w14:paraId="1978F9C4" w14:textId="77777777" w:rsidR="001606F6" w:rsidRDefault="001606F6" w:rsidP="001606F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086 697 5499</w:t>
      </w:r>
    </w:p>
    <w:p w14:paraId="32569BD3" w14:textId="2BF84EDD" w:rsidR="001606F6" w:rsidRDefault="00817462" w:rsidP="001606F6">
      <w:pPr>
        <w:spacing w:after="0" w:line="360" w:lineRule="auto"/>
        <w:ind w:left="1440" w:firstLine="720"/>
        <w:jc w:val="right"/>
        <w:rPr>
          <w:rFonts w:ascii="Times New Roman" w:hAnsi="Times New Roman" w:cs="Times New Roman"/>
          <w:sz w:val="24"/>
          <w:szCs w:val="24"/>
        </w:rPr>
      </w:pPr>
      <w:hyperlink r:id="rId11" w:history="1">
        <w:r w:rsidR="001606F6" w:rsidRPr="005C7CEB">
          <w:rPr>
            <w:rStyle w:val="Hyperlink"/>
            <w:rFonts w:ascii="Times New Roman" w:hAnsi="Times New Roman" w:cs="Times New Roman"/>
            <w:sz w:val="24"/>
            <w:szCs w:val="24"/>
          </w:rPr>
          <w:t>nicolle@medlaw.co.za</w:t>
        </w:r>
      </w:hyperlink>
      <w:r w:rsidR="001606F6">
        <w:rPr>
          <w:rFonts w:ascii="Times New Roman" w:hAnsi="Times New Roman" w:cs="Times New Roman"/>
          <w:sz w:val="24"/>
          <w:szCs w:val="24"/>
        </w:rPr>
        <w:t xml:space="preserve"> </w:t>
      </w:r>
    </w:p>
    <w:p w14:paraId="6F49DD1C" w14:textId="3A401741" w:rsidR="001606F6" w:rsidRDefault="001606F6" w:rsidP="001606F6">
      <w:pPr>
        <w:spacing w:after="0" w:line="360" w:lineRule="auto"/>
        <w:ind w:left="1440" w:firstLine="720"/>
        <w:jc w:val="right"/>
        <w:rPr>
          <w:rFonts w:ascii="Times New Roman" w:hAnsi="Times New Roman" w:cs="Times New Roman"/>
          <w:sz w:val="24"/>
          <w:szCs w:val="24"/>
        </w:rPr>
      </w:pPr>
      <w:r>
        <w:rPr>
          <w:rFonts w:ascii="Times New Roman" w:hAnsi="Times New Roman" w:cs="Times New Roman"/>
          <w:sz w:val="24"/>
          <w:szCs w:val="24"/>
        </w:rPr>
        <w:t>Ref: ND/no/T827</w:t>
      </w:r>
    </w:p>
    <w:p w14:paraId="0A7FB6DF" w14:textId="6D157DDD" w:rsidR="001606F6" w:rsidRDefault="001606F6" w:rsidP="001606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1A0F62C" w14:textId="77777777" w:rsidR="00205033" w:rsidRDefault="00205033" w:rsidP="00205033">
      <w:pPr>
        <w:spacing w:after="0" w:line="360" w:lineRule="auto"/>
        <w:jc w:val="both"/>
        <w:rPr>
          <w:rFonts w:ascii="Times New Roman" w:hAnsi="Times New Roman" w:cs="Times New Roman"/>
          <w:bCs/>
          <w:sz w:val="24"/>
          <w:szCs w:val="24"/>
        </w:rPr>
      </w:pPr>
    </w:p>
    <w:p w14:paraId="7710EA1F" w14:textId="312F5420" w:rsidR="00205033" w:rsidRDefault="00205033" w:rsidP="001606F6">
      <w:pPr>
        <w:spacing w:after="0" w:line="360" w:lineRule="auto"/>
        <w:rPr>
          <w:rFonts w:ascii="Times New Roman" w:hAnsi="Times New Roman" w:cs="Times New Roman"/>
          <w:sz w:val="24"/>
          <w:szCs w:val="24"/>
        </w:rPr>
      </w:pPr>
      <w:r>
        <w:rPr>
          <w:rFonts w:ascii="Times New Roman" w:hAnsi="Times New Roman" w:cs="Times New Roman"/>
          <w:sz w:val="24"/>
          <w:szCs w:val="24"/>
        </w:rPr>
        <w:t>For defendant:</w:t>
      </w:r>
      <w:r>
        <w:rPr>
          <w:rFonts w:ascii="Times New Roman" w:hAnsi="Times New Roman" w:cs="Times New Roman"/>
          <w:sz w:val="24"/>
          <w:szCs w:val="24"/>
        </w:rPr>
        <w:tab/>
      </w:r>
      <w:r>
        <w:rPr>
          <w:rFonts w:ascii="Times New Roman" w:hAnsi="Times New Roman" w:cs="Times New Roman"/>
          <w:sz w:val="24"/>
          <w:szCs w:val="24"/>
        </w:rPr>
        <w:tab/>
      </w:r>
      <w:r w:rsidR="001606F6">
        <w:rPr>
          <w:rFonts w:ascii="Times New Roman" w:hAnsi="Times New Roman" w:cs="Times New Roman"/>
          <w:sz w:val="24"/>
          <w:szCs w:val="24"/>
        </w:rPr>
        <w:t xml:space="preserve">                                                                                             </w:t>
      </w:r>
      <w:r w:rsidR="001606F6" w:rsidRPr="006F407F">
        <w:rPr>
          <w:rFonts w:ascii="Times New Roman" w:hAnsi="Times New Roman" w:cs="Times New Roman"/>
          <w:b/>
          <w:bCs/>
          <w:sz w:val="24"/>
          <w:szCs w:val="24"/>
        </w:rPr>
        <w:t>MS. J GOUWS</w:t>
      </w:r>
    </w:p>
    <w:p w14:paraId="5EF295EE" w14:textId="77777777" w:rsidR="00205033" w:rsidRDefault="00205033" w:rsidP="001606F6">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Instructed by:</w:t>
      </w:r>
    </w:p>
    <w:p w14:paraId="1B6EB03E" w14:textId="77777777" w:rsidR="00205033" w:rsidRDefault="00205033" w:rsidP="001606F6">
      <w:pPr>
        <w:spacing w:after="0" w:line="360" w:lineRule="auto"/>
        <w:ind w:left="1440" w:firstLine="720"/>
        <w:jc w:val="right"/>
        <w:rPr>
          <w:rFonts w:ascii="Times New Roman" w:hAnsi="Times New Roman" w:cs="Times New Roman"/>
          <w:sz w:val="24"/>
          <w:szCs w:val="24"/>
        </w:rPr>
      </w:pPr>
      <w:r>
        <w:rPr>
          <w:rFonts w:ascii="Times New Roman" w:hAnsi="Times New Roman" w:cs="Times New Roman"/>
          <w:sz w:val="24"/>
          <w:szCs w:val="24"/>
        </w:rPr>
        <w:t xml:space="preserve">State Attorneys, Free State </w:t>
      </w:r>
    </w:p>
    <w:p w14:paraId="006BF9C4" w14:textId="77777777" w:rsidR="00205033" w:rsidRDefault="00205033" w:rsidP="001606F6">
      <w:pPr>
        <w:spacing w:after="0" w:line="360" w:lineRule="auto"/>
        <w:ind w:left="1440" w:firstLine="720"/>
        <w:jc w:val="right"/>
        <w:rPr>
          <w:rFonts w:ascii="Times New Roman" w:hAnsi="Times New Roman" w:cs="Times New Roman"/>
          <w:sz w:val="24"/>
          <w:szCs w:val="24"/>
        </w:rPr>
      </w:pPr>
      <w:r>
        <w:rPr>
          <w:rFonts w:ascii="Times New Roman" w:hAnsi="Times New Roman" w:cs="Times New Roman"/>
          <w:sz w:val="24"/>
          <w:szCs w:val="24"/>
        </w:rPr>
        <w:t xml:space="preserve">Bloemfontein </w:t>
      </w:r>
    </w:p>
    <w:p w14:paraId="4959935E" w14:textId="77777777" w:rsidR="00205033" w:rsidRDefault="00205033" w:rsidP="001606F6">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 The Road Accident Fund</w:t>
      </w:r>
    </w:p>
    <w:p w14:paraId="0C775BB6" w14:textId="77777777" w:rsidR="00205033" w:rsidRDefault="00205033" w:rsidP="001606F6">
      <w:pPr>
        <w:jc w:val="right"/>
        <w:rPr>
          <w:rFonts w:ascii="Arial" w:hAnsi="Arial" w:cs="Arial"/>
          <w:b/>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2" w:history="1">
        <w:r>
          <w:rPr>
            <w:rStyle w:val="Hyperlink"/>
            <w:rFonts w:ascii="Times New Roman" w:hAnsi="Times New Roman" w:cs="Times New Roman"/>
            <w:sz w:val="24"/>
            <w:szCs w:val="24"/>
          </w:rPr>
          <w:t>johandig@raf.co.za</w:t>
        </w:r>
      </w:hyperlink>
      <w:r>
        <w:rPr>
          <w:rFonts w:ascii="Times New Roman" w:hAnsi="Times New Roman" w:cs="Times New Roman"/>
          <w:sz w:val="24"/>
          <w:szCs w:val="24"/>
        </w:rPr>
        <w:t xml:space="preserve"> </w:t>
      </w:r>
    </w:p>
    <w:p w14:paraId="5A061CE6" w14:textId="381AAAB4" w:rsidR="00205033" w:rsidRDefault="00205033" w:rsidP="001606F6">
      <w:pPr>
        <w:spacing w:after="0" w:line="360" w:lineRule="auto"/>
        <w:jc w:val="right"/>
        <w:rPr>
          <w:rFonts w:ascii="Times New Roman" w:hAnsi="Times New Roman" w:cs="Times New Roman"/>
          <w:bCs/>
          <w:sz w:val="24"/>
          <w:szCs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1606F6">
        <w:rPr>
          <w:rFonts w:ascii="Times New Roman" w:hAnsi="Times New Roman" w:cs="Times New Roman"/>
          <w:bCs/>
          <w:sz w:val="24"/>
          <w:szCs w:val="24"/>
        </w:rPr>
        <w:t>Claim no. 502/12448705/07/3</w:t>
      </w:r>
    </w:p>
    <w:p w14:paraId="72138890" w14:textId="435855E0" w:rsidR="001606F6" w:rsidRDefault="001606F6" w:rsidP="001606F6">
      <w:pPr>
        <w:spacing w:after="0" w:line="360" w:lineRule="auto"/>
        <w:jc w:val="righ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Link no: 4068507</w:t>
      </w:r>
    </w:p>
    <w:p w14:paraId="378F7DD8" w14:textId="77777777" w:rsidR="00205033" w:rsidRDefault="00205033" w:rsidP="001606F6">
      <w:pPr>
        <w:spacing w:after="0" w:line="360" w:lineRule="auto"/>
        <w:jc w:val="right"/>
        <w:rPr>
          <w:rFonts w:ascii="Arial" w:hAnsi="Arial" w:cs="Arial"/>
          <w:b/>
          <w:sz w:val="28"/>
          <w:szCs w:val="28"/>
        </w:rPr>
      </w:pPr>
    </w:p>
    <w:p w14:paraId="16DB9C97" w14:textId="77777777" w:rsidR="00205033" w:rsidRDefault="00205033" w:rsidP="001606F6">
      <w:pPr>
        <w:jc w:val="right"/>
      </w:pPr>
    </w:p>
    <w:p w14:paraId="162D33F4" w14:textId="77777777" w:rsidR="00D3347A" w:rsidRDefault="00D3347A"/>
    <w:sectPr w:rsidR="00D3347A" w:rsidSect="00B14713">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B8B52" w14:textId="77777777" w:rsidR="00817462" w:rsidRDefault="00817462" w:rsidP="00205033">
      <w:pPr>
        <w:spacing w:after="0" w:line="240" w:lineRule="auto"/>
      </w:pPr>
      <w:r>
        <w:separator/>
      </w:r>
    </w:p>
  </w:endnote>
  <w:endnote w:type="continuationSeparator" w:id="0">
    <w:p w14:paraId="3B85434F" w14:textId="77777777" w:rsidR="00817462" w:rsidRDefault="00817462" w:rsidP="00205033">
      <w:pPr>
        <w:spacing w:after="0" w:line="240" w:lineRule="auto"/>
      </w:pPr>
      <w:r>
        <w:continuationSeparator/>
      </w:r>
    </w:p>
  </w:endnote>
  <w:endnote w:type="continuationNotice" w:id="1">
    <w:p w14:paraId="39911C73" w14:textId="77777777" w:rsidR="00817462" w:rsidRDefault="008174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E01FA" w14:textId="77777777" w:rsidR="00817462" w:rsidRDefault="00817462" w:rsidP="00205033">
      <w:pPr>
        <w:spacing w:after="0" w:line="240" w:lineRule="auto"/>
      </w:pPr>
      <w:r>
        <w:separator/>
      </w:r>
    </w:p>
  </w:footnote>
  <w:footnote w:type="continuationSeparator" w:id="0">
    <w:p w14:paraId="4092D280" w14:textId="77777777" w:rsidR="00817462" w:rsidRDefault="00817462" w:rsidP="00205033">
      <w:pPr>
        <w:spacing w:after="0" w:line="240" w:lineRule="auto"/>
      </w:pPr>
      <w:r>
        <w:continuationSeparator/>
      </w:r>
    </w:p>
  </w:footnote>
  <w:footnote w:type="continuationNotice" w:id="1">
    <w:p w14:paraId="7D0427DC" w14:textId="77777777" w:rsidR="00817462" w:rsidRDefault="0081746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176302"/>
      <w:docPartObj>
        <w:docPartGallery w:val="Page Numbers (Top of Page)"/>
        <w:docPartUnique/>
      </w:docPartObj>
    </w:sdtPr>
    <w:sdtEndPr>
      <w:rPr>
        <w:noProof/>
      </w:rPr>
    </w:sdtEndPr>
    <w:sdtContent>
      <w:p w14:paraId="13A911C5" w14:textId="17DD5462" w:rsidR="00B14713" w:rsidRDefault="00B14713">
        <w:pPr>
          <w:pStyle w:val="Header"/>
          <w:jc w:val="right"/>
        </w:pPr>
        <w:r>
          <w:fldChar w:fldCharType="begin"/>
        </w:r>
        <w:r>
          <w:instrText xml:space="preserve"> PAGE   \* MERGEFORMAT </w:instrText>
        </w:r>
        <w:r>
          <w:fldChar w:fldCharType="separate"/>
        </w:r>
        <w:r w:rsidR="004E35D7">
          <w:rPr>
            <w:noProof/>
          </w:rPr>
          <w:t>2</w:t>
        </w:r>
        <w:r>
          <w:rPr>
            <w:noProof/>
          </w:rPr>
          <w:fldChar w:fldCharType="end"/>
        </w:r>
      </w:p>
    </w:sdtContent>
  </w:sdt>
  <w:p w14:paraId="7E8008D5" w14:textId="77777777" w:rsidR="00B14713" w:rsidRDefault="00B147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AD3"/>
    <w:multiLevelType w:val="hybridMultilevel"/>
    <w:tmpl w:val="69EC12A2"/>
    <w:lvl w:ilvl="0" w:tplc="6DE8E148">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30408BF8">
      <w:start w:val="1"/>
      <w:numFmt w:val="decimal"/>
      <w:lvlText w:val="%4."/>
      <w:lvlJc w:val="left"/>
      <w:pPr>
        <w:ind w:left="2880" w:hanging="360"/>
      </w:pPr>
      <w:rPr>
        <w:b w:val="0"/>
        <w:bCs w:val="0"/>
        <w:sz w:val="24"/>
        <w:szCs w:val="24"/>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DAA77B4"/>
    <w:multiLevelType w:val="hybridMultilevel"/>
    <w:tmpl w:val="FAC2A51A"/>
    <w:lvl w:ilvl="0" w:tplc="E6280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44C0A"/>
    <w:multiLevelType w:val="multilevel"/>
    <w:tmpl w:val="D1CC1A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85230EA"/>
    <w:multiLevelType w:val="hybridMultilevel"/>
    <w:tmpl w:val="CF022A8A"/>
    <w:lvl w:ilvl="0" w:tplc="10F00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1B7039"/>
    <w:multiLevelType w:val="hybridMultilevel"/>
    <w:tmpl w:val="D6BA3898"/>
    <w:lvl w:ilvl="0" w:tplc="6AA249D6">
      <w:start w:val="1"/>
      <w:numFmt w:val="decimal"/>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D447D"/>
    <w:multiLevelType w:val="hybridMultilevel"/>
    <w:tmpl w:val="705C047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3EB31659"/>
    <w:multiLevelType w:val="multilevel"/>
    <w:tmpl w:val="76761840"/>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414005D7"/>
    <w:multiLevelType w:val="hybridMultilevel"/>
    <w:tmpl w:val="5114E13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4C868C9"/>
    <w:multiLevelType w:val="hybridMultilevel"/>
    <w:tmpl w:val="7D606042"/>
    <w:lvl w:ilvl="0" w:tplc="FCEEE0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5417A5"/>
    <w:multiLevelType w:val="hybridMultilevel"/>
    <w:tmpl w:val="3486629A"/>
    <w:lvl w:ilvl="0" w:tplc="34786E0C">
      <w:start w:val="1"/>
      <w:numFmt w:val="decimal"/>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CD1E5E"/>
    <w:multiLevelType w:val="hybridMultilevel"/>
    <w:tmpl w:val="164CE766"/>
    <w:lvl w:ilvl="0" w:tplc="53BCD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7E0E63"/>
    <w:multiLevelType w:val="hybridMultilevel"/>
    <w:tmpl w:val="F348D50A"/>
    <w:lvl w:ilvl="0" w:tplc="BD88C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38483C"/>
    <w:multiLevelType w:val="hybridMultilevel"/>
    <w:tmpl w:val="590481C6"/>
    <w:lvl w:ilvl="0" w:tplc="EC58A010">
      <w:start w:val="1"/>
      <w:numFmt w:val="lowerLetter"/>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771D6B11"/>
    <w:multiLevelType w:val="hybridMultilevel"/>
    <w:tmpl w:val="8970053C"/>
    <w:lvl w:ilvl="0" w:tplc="BC20C268">
      <w:start w:val="7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0"/>
  </w:num>
  <w:num w:numId="8">
    <w:abstractNumId w:val="5"/>
  </w:num>
  <w:num w:numId="9">
    <w:abstractNumId w:val="6"/>
  </w:num>
  <w:num w:numId="10">
    <w:abstractNumId w:val="10"/>
  </w:num>
  <w:num w:numId="11">
    <w:abstractNumId w:val="4"/>
  </w:num>
  <w:num w:numId="12">
    <w:abstractNumId w:val="11"/>
  </w:num>
  <w:num w:numId="13">
    <w:abstractNumId w:val="9"/>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54"/>
    <w:rsid w:val="00002E4F"/>
    <w:rsid w:val="00034D10"/>
    <w:rsid w:val="00041583"/>
    <w:rsid w:val="00043301"/>
    <w:rsid w:val="00053430"/>
    <w:rsid w:val="00070E03"/>
    <w:rsid w:val="00074CE8"/>
    <w:rsid w:val="00082293"/>
    <w:rsid w:val="000D44AF"/>
    <w:rsid w:val="000E7F70"/>
    <w:rsid w:val="00112257"/>
    <w:rsid w:val="0015275A"/>
    <w:rsid w:val="001606F6"/>
    <w:rsid w:val="00175E41"/>
    <w:rsid w:val="00182628"/>
    <w:rsid w:val="001842BC"/>
    <w:rsid w:val="001C6163"/>
    <w:rsid w:val="001D5543"/>
    <w:rsid w:val="001D6920"/>
    <w:rsid w:val="001E2A11"/>
    <w:rsid w:val="001E2C88"/>
    <w:rsid w:val="001E7333"/>
    <w:rsid w:val="001F051C"/>
    <w:rsid w:val="001F0CC2"/>
    <w:rsid w:val="00205033"/>
    <w:rsid w:val="00222155"/>
    <w:rsid w:val="00234D06"/>
    <w:rsid w:val="00241BED"/>
    <w:rsid w:val="00251290"/>
    <w:rsid w:val="00270947"/>
    <w:rsid w:val="002D1375"/>
    <w:rsid w:val="002E2554"/>
    <w:rsid w:val="002E75B6"/>
    <w:rsid w:val="002F2107"/>
    <w:rsid w:val="002F27C5"/>
    <w:rsid w:val="002F2C01"/>
    <w:rsid w:val="002F61E2"/>
    <w:rsid w:val="00323636"/>
    <w:rsid w:val="003475CD"/>
    <w:rsid w:val="00371EF5"/>
    <w:rsid w:val="003E4F69"/>
    <w:rsid w:val="00407E3D"/>
    <w:rsid w:val="0041006B"/>
    <w:rsid w:val="00425259"/>
    <w:rsid w:val="00426349"/>
    <w:rsid w:val="00430E0D"/>
    <w:rsid w:val="00447D5C"/>
    <w:rsid w:val="00455EE3"/>
    <w:rsid w:val="00462FA8"/>
    <w:rsid w:val="00464E55"/>
    <w:rsid w:val="0048050D"/>
    <w:rsid w:val="004A556D"/>
    <w:rsid w:val="004E35D7"/>
    <w:rsid w:val="00511070"/>
    <w:rsid w:val="005136EF"/>
    <w:rsid w:val="00516529"/>
    <w:rsid w:val="00523A39"/>
    <w:rsid w:val="00523D7B"/>
    <w:rsid w:val="0053056F"/>
    <w:rsid w:val="005428CF"/>
    <w:rsid w:val="005C6F00"/>
    <w:rsid w:val="006244D3"/>
    <w:rsid w:val="006526B2"/>
    <w:rsid w:val="00667524"/>
    <w:rsid w:val="00672C76"/>
    <w:rsid w:val="006779A3"/>
    <w:rsid w:val="00677DB5"/>
    <w:rsid w:val="00690608"/>
    <w:rsid w:val="0069104E"/>
    <w:rsid w:val="006A7D8E"/>
    <w:rsid w:val="006B4C34"/>
    <w:rsid w:val="006F407F"/>
    <w:rsid w:val="007120CD"/>
    <w:rsid w:val="00713144"/>
    <w:rsid w:val="00713D89"/>
    <w:rsid w:val="00744B34"/>
    <w:rsid w:val="007464BF"/>
    <w:rsid w:val="007667A8"/>
    <w:rsid w:val="007742C8"/>
    <w:rsid w:val="007804D8"/>
    <w:rsid w:val="007B77C7"/>
    <w:rsid w:val="007E1417"/>
    <w:rsid w:val="007F1A24"/>
    <w:rsid w:val="00813853"/>
    <w:rsid w:val="00817462"/>
    <w:rsid w:val="00847494"/>
    <w:rsid w:val="00852C92"/>
    <w:rsid w:val="00852DE3"/>
    <w:rsid w:val="008614E3"/>
    <w:rsid w:val="00875D2C"/>
    <w:rsid w:val="008977A7"/>
    <w:rsid w:val="008E4ECA"/>
    <w:rsid w:val="008E77E7"/>
    <w:rsid w:val="008F6F4F"/>
    <w:rsid w:val="00902D51"/>
    <w:rsid w:val="00967727"/>
    <w:rsid w:val="009710D2"/>
    <w:rsid w:val="00992270"/>
    <w:rsid w:val="009C7673"/>
    <w:rsid w:val="009D16C1"/>
    <w:rsid w:val="009D30BA"/>
    <w:rsid w:val="009E613A"/>
    <w:rsid w:val="009E6719"/>
    <w:rsid w:val="00A06A23"/>
    <w:rsid w:val="00A30B01"/>
    <w:rsid w:val="00A53F13"/>
    <w:rsid w:val="00A67AFA"/>
    <w:rsid w:val="00AC3483"/>
    <w:rsid w:val="00AC4172"/>
    <w:rsid w:val="00AD5FF0"/>
    <w:rsid w:val="00AE66FF"/>
    <w:rsid w:val="00B0268B"/>
    <w:rsid w:val="00B10376"/>
    <w:rsid w:val="00B14713"/>
    <w:rsid w:val="00B27353"/>
    <w:rsid w:val="00B822D5"/>
    <w:rsid w:val="00B85DC7"/>
    <w:rsid w:val="00B94CB9"/>
    <w:rsid w:val="00BA4B5C"/>
    <w:rsid w:val="00BB59FB"/>
    <w:rsid w:val="00BB60FE"/>
    <w:rsid w:val="00BC3174"/>
    <w:rsid w:val="00BC6A69"/>
    <w:rsid w:val="00C02588"/>
    <w:rsid w:val="00C0774F"/>
    <w:rsid w:val="00C67488"/>
    <w:rsid w:val="00C73DC2"/>
    <w:rsid w:val="00C7613C"/>
    <w:rsid w:val="00CA0D61"/>
    <w:rsid w:val="00CB287A"/>
    <w:rsid w:val="00CB473A"/>
    <w:rsid w:val="00CC454A"/>
    <w:rsid w:val="00CC6794"/>
    <w:rsid w:val="00D03E4D"/>
    <w:rsid w:val="00D20AC5"/>
    <w:rsid w:val="00D2393A"/>
    <w:rsid w:val="00D316FC"/>
    <w:rsid w:val="00D3347A"/>
    <w:rsid w:val="00D36C10"/>
    <w:rsid w:val="00D42DA5"/>
    <w:rsid w:val="00D54F43"/>
    <w:rsid w:val="00D55D5E"/>
    <w:rsid w:val="00D722AD"/>
    <w:rsid w:val="00D90588"/>
    <w:rsid w:val="00DA4C41"/>
    <w:rsid w:val="00DC009A"/>
    <w:rsid w:val="00DF1457"/>
    <w:rsid w:val="00E075E6"/>
    <w:rsid w:val="00E5081F"/>
    <w:rsid w:val="00E8504E"/>
    <w:rsid w:val="00EA3D6E"/>
    <w:rsid w:val="00EA6F3F"/>
    <w:rsid w:val="00EC6EB1"/>
    <w:rsid w:val="00ED5D9E"/>
    <w:rsid w:val="00EF07BA"/>
    <w:rsid w:val="00EF6A79"/>
    <w:rsid w:val="00F157B7"/>
    <w:rsid w:val="00F4264E"/>
    <w:rsid w:val="00F4682C"/>
    <w:rsid w:val="00F61CE4"/>
    <w:rsid w:val="00F63552"/>
    <w:rsid w:val="00F73E11"/>
    <w:rsid w:val="00F7678B"/>
    <w:rsid w:val="00F83170"/>
    <w:rsid w:val="00FA35DA"/>
    <w:rsid w:val="00FA4F1A"/>
    <w:rsid w:val="00FA5B7B"/>
    <w:rsid w:val="00FE2127"/>
    <w:rsid w:val="00FE468B"/>
    <w:rsid w:val="00FF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CBFA"/>
  <w15:chartTrackingRefBased/>
  <w15:docId w15:val="{4E8DDB4E-A197-48DD-8EEB-08366467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33"/>
    <w:pPr>
      <w:spacing w:line="252"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033"/>
    <w:rPr>
      <w:color w:val="0563C1" w:themeColor="hyperlink"/>
      <w:u w:val="single"/>
    </w:rPr>
  </w:style>
  <w:style w:type="paragraph" w:styleId="FootnoteText">
    <w:name w:val="footnote text"/>
    <w:basedOn w:val="Normal"/>
    <w:link w:val="FootnoteTextChar"/>
    <w:uiPriority w:val="99"/>
    <w:semiHidden/>
    <w:unhideWhenUsed/>
    <w:rsid w:val="002050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033"/>
    <w:rPr>
      <w:sz w:val="20"/>
      <w:szCs w:val="20"/>
      <w:lang w:val="en-ZA"/>
    </w:rPr>
  </w:style>
  <w:style w:type="paragraph" w:styleId="ListParagraph">
    <w:name w:val="List Paragraph"/>
    <w:basedOn w:val="Normal"/>
    <w:qFormat/>
    <w:rsid w:val="00205033"/>
    <w:pPr>
      <w:ind w:left="720"/>
      <w:contextualSpacing/>
    </w:pPr>
  </w:style>
  <w:style w:type="paragraph" w:customStyle="1" w:styleId="BodyA">
    <w:name w:val="Body A"/>
    <w:rsid w:val="00205033"/>
    <w:pPr>
      <w:spacing w:after="120" w:line="240" w:lineRule="auto"/>
      <w:jc w:val="center"/>
    </w:pPr>
    <w:rPr>
      <w:rFonts w:ascii="Arial" w:eastAsia="Arial Unicode MS" w:hAnsi="Arial" w:cs="Arial Unicode MS"/>
      <w:color w:val="000000"/>
      <w:sz w:val="24"/>
      <w:szCs w:val="24"/>
      <w:u w:color="000000"/>
      <w14:textOutline w14:w="12700" w14:cap="flat" w14:cmpd="sng" w14:algn="ctr">
        <w14:noFill/>
        <w14:prstDash w14:val="solid"/>
        <w14:miter w14:lim="100000"/>
      </w14:textOutline>
    </w:rPr>
  </w:style>
  <w:style w:type="paragraph" w:customStyle="1" w:styleId="Footnote">
    <w:name w:val="Footnote"/>
    <w:rsid w:val="00205033"/>
    <w:pPr>
      <w:spacing w:after="0" w:line="240" w:lineRule="auto"/>
    </w:pPr>
    <w:rPr>
      <w:rFonts w:ascii="Helvetica Neue" w:eastAsia="Helvetica Neue" w:hAnsi="Helvetica Neue" w:cs="Helvetica Neue"/>
      <w:color w:val="000000"/>
      <w:u w:color="000000"/>
      <w14:textOutline w14:w="12700" w14:cap="flat" w14:cmpd="sng" w14:algn="ctr">
        <w14:noFill/>
        <w14:prstDash w14:val="solid"/>
        <w14:miter w14:lim="100000"/>
      </w14:textOutline>
    </w:rPr>
  </w:style>
  <w:style w:type="paragraph" w:customStyle="1" w:styleId="Default">
    <w:name w:val="Default"/>
    <w:rsid w:val="00205033"/>
    <w:pPr>
      <w:spacing w:before="160" w:after="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styleId="FootnoteReference">
    <w:name w:val="footnote reference"/>
    <w:basedOn w:val="DefaultParagraphFont"/>
    <w:semiHidden/>
    <w:unhideWhenUsed/>
    <w:rsid w:val="00205033"/>
    <w:rPr>
      <w:vertAlign w:val="superscript"/>
    </w:rPr>
  </w:style>
  <w:style w:type="character" w:customStyle="1" w:styleId="UnresolvedMention">
    <w:name w:val="Unresolved Mention"/>
    <w:basedOn w:val="DefaultParagraphFont"/>
    <w:uiPriority w:val="99"/>
    <w:semiHidden/>
    <w:unhideWhenUsed/>
    <w:rsid w:val="00112257"/>
    <w:rPr>
      <w:color w:val="605E5C"/>
      <w:shd w:val="clear" w:color="auto" w:fill="E1DFDD"/>
    </w:rPr>
  </w:style>
  <w:style w:type="paragraph" w:styleId="Header">
    <w:name w:val="header"/>
    <w:basedOn w:val="Normal"/>
    <w:link w:val="HeaderChar"/>
    <w:uiPriority w:val="99"/>
    <w:unhideWhenUsed/>
    <w:rsid w:val="00B14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713"/>
    <w:rPr>
      <w:lang w:val="en-ZA"/>
    </w:rPr>
  </w:style>
  <w:style w:type="paragraph" w:styleId="Footer">
    <w:name w:val="footer"/>
    <w:basedOn w:val="Normal"/>
    <w:link w:val="FooterChar"/>
    <w:uiPriority w:val="99"/>
    <w:unhideWhenUsed/>
    <w:rsid w:val="00B14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713"/>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handig@raf.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olle@medlaw.co.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livier.ilze@yahoo.co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4329</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Judge-Mareena Lani Opperman</dc:creator>
  <cp:keywords/>
  <dc:description/>
  <cp:lastModifiedBy>Elsa Pieterse</cp:lastModifiedBy>
  <cp:revision>2</cp:revision>
  <cp:lastPrinted>2022-11-01T08:30:00Z</cp:lastPrinted>
  <dcterms:created xsi:type="dcterms:W3CDTF">2022-11-01T08:54:00Z</dcterms:created>
  <dcterms:modified xsi:type="dcterms:W3CDTF">2022-11-01T08:54:00Z</dcterms:modified>
</cp:coreProperties>
</file>