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1A8" w:rsidRDefault="00EF11A8" w:rsidP="00EF11A8">
      <w:pPr>
        <w:ind w:left="2160" w:firstLine="720"/>
        <w:rPr>
          <w:rFonts w:ascii="Arial" w:hAnsi="Arial" w:cs="Arial"/>
          <w:b/>
          <w:u w:val="single"/>
        </w:rPr>
      </w:pPr>
      <w:r w:rsidRPr="005B354E">
        <w:rPr>
          <w:rFonts w:asciiTheme="minorHAnsi" w:eastAsiaTheme="minorHAnsi" w:hAnsiTheme="minorHAnsi" w:cstheme="minorBidi"/>
          <w:noProof/>
          <w:lang w:val="en-ZA" w:eastAsia="en-ZA"/>
        </w:rPr>
        <w:drawing>
          <wp:anchor distT="0" distB="0" distL="114300" distR="114300" simplePos="0" relativeHeight="251659264" behindDoc="1" locked="0" layoutInCell="1" allowOverlap="1" wp14:anchorId="11080741" wp14:editId="467AD6B9">
            <wp:simplePos x="0" y="0"/>
            <wp:positionH relativeFrom="margin">
              <wp:posOffset>2089150</wp:posOffset>
            </wp:positionH>
            <wp:positionV relativeFrom="paragraph">
              <wp:posOffset>-717550</wp:posOffset>
            </wp:positionV>
            <wp:extent cx="1797050" cy="1668780"/>
            <wp:effectExtent l="0" t="0" r="0" b="762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DC6873" w:rsidRDefault="00DC6873" w:rsidP="00EF11A8">
      <w:pPr>
        <w:ind w:left="2160" w:firstLine="720"/>
        <w:rPr>
          <w:rFonts w:ascii="Arial" w:hAnsi="Arial" w:cs="Arial"/>
          <w:b/>
          <w:u w:val="single"/>
        </w:rPr>
      </w:pPr>
    </w:p>
    <w:p w:rsidR="00EF11A8" w:rsidRDefault="00EF11A8" w:rsidP="00EF11A8">
      <w:pPr>
        <w:ind w:left="1440" w:firstLine="720"/>
        <w:rPr>
          <w:rFonts w:ascii="Arial" w:hAnsi="Arial" w:cs="Arial"/>
          <w:b/>
          <w:u w:val="single"/>
        </w:rPr>
      </w:pPr>
      <w:r>
        <w:rPr>
          <w:rFonts w:ascii="Arial" w:hAnsi="Arial" w:cs="Arial"/>
          <w:b/>
          <w:u w:val="single"/>
        </w:rPr>
        <w:t>IN THE HIGH COURT OF SOUTH AFRICA,</w:t>
      </w:r>
    </w:p>
    <w:p w:rsidR="00EF11A8" w:rsidRDefault="00EF11A8" w:rsidP="00EF11A8">
      <w:pPr>
        <w:ind w:left="1440" w:firstLine="720"/>
        <w:rPr>
          <w:rFonts w:ascii="Arial" w:hAnsi="Arial" w:cs="Arial"/>
          <w:b/>
          <w:u w:val="single"/>
        </w:rPr>
      </w:pPr>
      <w:r>
        <w:rPr>
          <w:rFonts w:ascii="Arial" w:hAnsi="Arial" w:cs="Arial"/>
          <w:b/>
          <w:u w:val="single"/>
        </w:rPr>
        <w:t>FREE STATE DIVISION, BLOEMFONTEIN</w:t>
      </w:r>
    </w:p>
    <w:p w:rsidR="003F2617" w:rsidRDefault="003F2617" w:rsidP="00EF11A8">
      <w:pPr>
        <w:ind w:left="1440" w:firstLine="720"/>
        <w:rPr>
          <w:rFonts w:ascii="Arial" w:hAnsi="Arial" w:cs="Arial"/>
          <w:b/>
          <w:u w:val="single"/>
        </w:rPr>
      </w:pPr>
    </w:p>
    <w:p w:rsidR="003F2617" w:rsidRDefault="003F2617" w:rsidP="00EF11A8">
      <w:pPr>
        <w:ind w:left="1440" w:firstLine="720"/>
        <w:rPr>
          <w:rFonts w:ascii="Arial" w:hAnsi="Arial" w:cs="Arial"/>
          <w:b/>
          <w:u w:val="single"/>
        </w:rPr>
      </w:pPr>
    </w:p>
    <w:tbl>
      <w:tblPr>
        <w:tblStyle w:val="TableGrid"/>
        <w:tblW w:w="2693" w:type="dxa"/>
        <w:tblInd w:w="6487" w:type="dxa"/>
        <w:tblLook w:val="04A0" w:firstRow="1" w:lastRow="0" w:firstColumn="1" w:lastColumn="0" w:noHBand="0" w:noVBand="1"/>
      </w:tblPr>
      <w:tblGrid>
        <w:gridCol w:w="2693"/>
      </w:tblGrid>
      <w:tr w:rsidR="00EF11A8" w:rsidTr="007C2356">
        <w:trPr>
          <w:trHeight w:val="64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11A8" w:rsidRPr="005D6CBF" w:rsidRDefault="00EF11A8" w:rsidP="007C2356">
            <w:pPr>
              <w:rPr>
                <w:rFonts w:ascii="Arial" w:hAnsi="Arial" w:cs="Arial"/>
                <w:b/>
                <w:sz w:val="16"/>
                <w:szCs w:val="16"/>
              </w:rPr>
            </w:pPr>
            <w:r w:rsidRPr="005D6CBF">
              <w:rPr>
                <w:rFonts w:ascii="Arial" w:hAnsi="Arial" w:cs="Arial"/>
                <w:b/>
                <w:sz w:val="16"/>
                <w:szCs w:val="16"/>
              </w:rPr>
              <w:t>Reportable:                              NO</w:t>
            </w:r>
          </w:p>
          <w:p w:rsidR="00EF11A8" w:rsidRPr="005D6CBF" w:rsidRDefault="00EF11A8" w:rsidP="007C2356">
            <w:pPr>
              <w:rPr>
                <w:rFonts w:ascii="Arial" w:hAnsi="Arial" w:cs="Arial"/>
                <w:b/>
                <w:sz w:val="16"/>
                <w:szCs w:val="16"/>
              </w:rPr>
            </w:pPr>
            <w:r w:rsidRPr="005D6CBF">
              <w:rPr>
                <w:rFonts w:ascii="Arial" w:hAnsi="Arial" w:cs="Arial"/>
                <w:b/>
                <w:sz w:val="16"/>
                <w:szCs w:val="16"/>
              </w:rPr>
              <w:t>Of Interest to other Judges:   NO</w:t>
            </w:r>
          </w:p>
          <w:p w:rsidR="00EF11A8" w:rsidRPr="005D6CBF" w:rsidRDefault="00EF11A8" w:rsidP="007C2356">
            <w:pPr>
              <w:rPr>
                <w:rFonts w:ascii="Arial" w:hAnsi="Arial" w:cs="Arial"/>
                <w:b/>
                <w:sz w:val="16"/>
                <w:szCs w:val="16"/>
                <w:u w:val="single"/>
              </w:rPr>
            </w:pPr>
            <w:r w:rsidRPr="005D6CBF">
              <w:rPr>
                <w:rFonts w:ascii="Arial" w:hAnsi="Arial" w:cs="Arial"/>
                <w:b/>
                <w:sz w:val="16"/>
                <w:szCs w:val="16"/>
              </w:rPr>
              <w:t>Circulate to Magistrates:        NO</w:t>
            </w:r>
          </w:p>
        </w:tc>
      </w:tr>
    </w:tbl>
    <w:p w:rsidR="00EF11A8" w:rsidRDefault="00EF11A8" w:rsidP="00EF11A8">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781F07" w:rsidRPr="005D6CBF" w:rsidRDefault="00EF11A8" w:rsidP="00EF11A8">
      <w:pPr>
        <w:jc w:val="right"/>
        <w:rPr>
          <w:rFonts w:ascii="Arial" w:hAnsi="Arial" w:cs="Arial"/>
          <w:b/>
        </w:rPr>
      </w:pPr>
      <w:r w:rsidRPr="005D6CBF">
        <w:rPr>
          <w:rFonts w:ascii="Arial" w:hAnsi="Arial" w:cs="Arial"/>
          <w:b/>
        </w:rPr>
        <w:tab/>
      </w:r>
      <w:r w:rsidRPr="005D6CBF">
        <w:rPr>
          <w:rFonts w:ascii="Arial" w:hAnsi="Arial" w:cs="Arial"/>
          <w:b/>
        </w:rPr>
        <w:tab/>
      </w:r>
      <w:r w:rsidRPr="005D6CBF">
        <w:rPr>
          <w:rFonts w:ascii="Arial" w:hAnsi="Arial" w:cs="Arial"/>
          <w:b/>
        </w:rPr>
        <w:tab/>
      </w:r>
      <w:r w:rsidRPr="005D6CBF">
        <w:rPr>
          <w:rFonts w:ascii="Arial" w:hAnsi="Arial" w:cs="Arial"/>
          <w:b/>
        </w:rPr>
        <w:tab/>
      </w:r>
      <w:r w:rsidR="00781F07" w:rsidRPr="005D6CBF">
        <w:rPr>
          <w:rFonts w:ascii="Arial" w:hAnsi="Arial" w:cs="Arial"/>
          <w:b/>
        </w:rPr>
        <w:t xml:space="preserve"> </w:t>
      </w:r>
      <w:r w:rsidR="0094642F" w:rsidRPr="005D6CBF">
        <w:rPr>
          <w:rFonts w:ascii="Arial" w:hAnsi="Arial" w:cs="Arial"/>
          <w:b/>
        </w:rPr>
        <w:t>CASE NO</w:t>
      </w:r>
      <w:r w:rsidR="00781F07" w:rsidRPr="005D6CBF">
        <w:rPr>
          <w:rFonts w:ascii="Arial" w:hAnsi="Arial" w:cs="Arial"/>
          <w:b/>
        </w:rPr>
        <w:t xml:space="preserve">: </w:t>
      </w:r>
      <w:r w:rsidR="003A49EC">
        <w:rPr>
          <w:rFonts w:ascii="Arial" w:hAnsi="Arial" w:cs="Arial"/>
          <w:b/>
        </w:rPr>
        <w:t>5777/</w:t>
      </w:r>
      <w:r w:rsidR="00781F07" w:rsidRPr="005D6CBF">
        <w:rPr>
          <w:rFonts w:ascii="Arial" w:hAnsi="Arial" w:cs="Arial"/>
          <w:b/>
        </w:rPr>
        <w:t>202</w:t>
      </w:r>
      <w:r w:rsidR="003A49EC">
        <w:rPr>
          <w:rFonts w:ascii="Arial" w:hAnsi="Arial" w:cs="Arial"/>
          <w:b/>
        </w:rPr>
        <w:t>1</w:t>
      </w:r>
    </w:p>
    <w:p w:rsidR="00EF11A8" w:rsidRPr="005D6CBF" w:rsidRDefault="00EF11A8" w:rsidP="00EF11A8">
      <w:pPr>
        <w:jc w:val="right"/>
        <w:rPr>
          <w:rFonts w:ascii="Arial" w:hAnsi="Arial" w:cs="Arial"/>
        </w:rPr>
      </w:pPr>
      <w:r w:rsidRPr="005D6CBF">
        <w:rPr>
          <w:rFonts w:ascii="Arial" w:hAnsi="Arial" w:cs="Arial"/>
        </w:rPr>
        <w:t xml:space="preserve"> </w:t>
      </w:r>
      <w:r w:rsidRPr="005D6CBF">
        <w:rPr>
          <w:rFonts w:ascii="Arial" w:hAnsi="Arial" w:cs="Arial"/>
        </w:rPr>
        <w:tab/>
        <w:t xml:space="preserve"> </w:t>
      </w:r>
    </w:p>
    <w:p w:rsidR="00781F07" w:rsidRPr="005D6CBF" w:rsidRDefault="00EF11A8" w:rsidP="00EF11A8">
      <w:pPr>
        <w:jc w:val="both"/>
        <w:rPr>
          <w:rFonts w:ascii="Arial" w:hAnsi="Arial" w:cs="Arial"/>
        </w:rPr>
      </w:pPr>
      <w:r w:rsidRPr="005D6CBF">
        <w:rPr>
          <w:rFonts w:ascii="Arial" w:hAnsi="Arial" w:cs="Arial"/>
        </w:rPr>
        <w:t>In the matter between:</w:t>
      </w:r>
    </w:p>
    <w:p w:rsidR="00EF11A8" w:rsidRPr="005D6CBF" w:rsidRDefault="00EF11A8" w:rsidP="00EF11A8">
      <w:pPr>
        <w:jc w:val="both"/>
        <w:rPr>
          <w:rFonts w:ascii="Arial" w:hAnsi="Arial" w:cs="Arial"/>
        </w:rPr>
      </w:pPr>
      <w:r w:rsidRPr="005D6CBF">
        <w:rPr>
          <w:rFonts w:ascii="Arial" w:hAnsi="Arial" w:cs="Arial"/>
        </w:rPr>
        <w:t xml:space="preserve"> </w:t>
      </w:r>
    </w:p>
    <w:p w:rsidR="00EF11A8" w:rsidRDefault="003A49EC"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r>
        <w:rPr>
          <w:rFonts w:ascii="Arial" w:hAnsi="Arial" w:cs="Arial"/>
          <w:b/>
        </w:rPr>
        <w:t>TSHOLOHELO EDDIE MOKGOBO</w:t>
      </w:r>
      <w:r w:rsidR="005D6CBF" w:rsidRPr="005D6CBF">
        <w:rPr>
          <w:rFonts w:ascii="Arial" w:hAnsi="Arial" w:cs="Arial"/>
          <w:b/>
        </w:rPr>
        <w:t xml:space="preserve"> </w:t>
      </w:r>
      <w:r w:rsidR="00781F07" w:rsidRPr="005D6CBF">
        <w:rPr>
          <w:rFonts w:ascii="Arial" w:hAnsi="Arial" w:cs="Arial"/>
          <w:b/>
        </w:rPr>
        <w:t xml:space="preserve">        </w:t>
      </w:r>
      <w:r w:rsidR="005D6CBF" w:rsidRPr="005D6CBF">
        <w:rPr>
          <w:rFonts w:ascii="Arial" w:hAnsi="Arial" w:cs="Arial"/>
          <w:b/>
        </w:rPr>
        <w:t xml:space="preserve">     </w:t>
      </w:r>
      <w:r w:rsidR="001575AF" w:rsidRPr="005D6CBF">
        <w:rPr>
          <w:rFonts w:ascii="Arial" w:hAnsi="Arial" w:cs="Arial"/>
          <w:b/>
        </w:rPr>
        <w:t xml:space="preserve">                   </w:t>
      </w:r>
      <w:r w:rsidR="00077E52" w:rsidRPr="005D6CBF">
        <w:rPr>
          <w:rFonts w:ascii="Arial" w:hAnsi="Arial" w:cs="Arial"/>
          <w:b/>
        </w:rPr>
        <w:t xml:space="preserve"> </w:t>
      </w:r>
      <w:r w:rsidR="00781F07" w:rsidRPr="005D6CBF">
        <w:rPr>
          <w:rFonts w:ascii="Arial" w:hAnsi="Arial" w:cs="Arial"/>
          <w:b/>
        </w:rPr>
        <w:t xml:space="preserve"> </w:t>
      </w:r>
      <w:r w:rsidR="005D6CBF">
        <w:rPr>
          <w:rFonts w:ascii="Arial" w:hAnsi="Arial" w:cs="Arial"/>
          <w:b/>
        </w:rPr>
        <w:t xml:space="preserve">                     </w:t>
      </w:r>
      <w:r>
        <w:rPr>
          <w:rFonts w:ascii="Arial" w:hAnsi="Arial" w:cs="Arial"/>
          <w:b/>
        </w:rPr>
        <w:t xml:space="preserve">  </w:t>
      </w:r>
      <w:r>
        <w:rPr>
          <w:rFonts w:ascii="Arial" w:hAnsi="Arial" w:cs="Arial"/>
        </w:rPr>
        <w:t>1</w:t>
      </w:r>
      <w:r w:rsidRPr="003A49EC">
        <w:rPr>
          <w:rFonts w:ascii="Arial" w:hAnsi="Arial" w:cs="Arial"/>
          <w:vertAlign w:val="superscript"/>
        </w:rPr>
        <w:t>st</w:t>
      </w:r>
      <w:r>
        <w:rPr>
          <w:rFonts w:ascii="Arial" w:hAnsi="Arial" w:cs="Arial"/>
        </w:rPr>
        <w:t xml:space="preserve"> Applicant</w:t>
      </w:r>
    </w:p>
    <w:p w:rsidR="003A49EC" w:rsidRDefault="003A49EC"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p>
    <w:p w:rsidR="003A49EC" w:rsidRPr="003A49EC" w:rsidRDefault="003A49EC"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rPr>
      </w:pPr>
      <w:r>
        <w:rPr>
          <w:rFonts w:ascii="Arial" w:hAnsi="Arial" w:cs="Arial"/>
          <w:b/>
        </w:rPr>
        <w:t>APHAPHIA MPOTSENG MOKGOBO</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rPr>
        <w:t>2</w:t>
      </w:r>
      <w:r w:rsidRPr="003A49EC">
        <w:rPr>
          <w:rFonts w:ascii="Arial" w:hAnsi="Arial" w:cs="Arial"/>
          <w:vertAlign w:val="superscript"/>
        </w:rPr>
        <w:t>nd</w:t>
      </w:r>
      <w:r>
        <w:rPr>
          <w:rFonts w:ascii="Arial" w:hAnsi="Arial" w:cs="Arial"/>
        </w:rPr>
        <w:t xml:space="preserve"> Applicant </w:t>
      </w:r>
      <w:r>
        <w:rPr>
          <w:rFonts w:ascii="Arial" w:hAnsi="Arial" w:cs="Arial"/>
          <w:b/>
        </w:rPr>
        <w:t xml:space="preserve"> </w:t>
      </w:r>
    </w:p>
    <w:p w:rsidR="003F2617" w:rsidRPr="005D6CBF" w:rsidRDefault="003F2617"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rPr>
      </w:pPr>
    </w:p>
    <w:p w:rsidR="00EF11A8" w:rsidRPr="005D6CBF" w:rsidRDefault="00EF11A8" w:rsidP="00EF11A8">
      <w:pPr>
        <w:jc w:val="both"/>
        <w:rPr>
          <w:rFonts w:ascii="Arial" w:hAnsi="Arial" w:cs="Arial"/>
        </w:rPr>
      </w:pPr>
      <w:r w:rsidRPr="005D6CBF">
        <w:rPr>
          <w:rFonts w:ascii="Arial" w:hAnsi="Arial" w:cs="Arial"/>
        </w:rPr>
        <w:t xml:space="preserve">and </w:t>
      </w:r>
    </w:p>
    <w:p w:rsidR="00781F07" w:rsidRPr="005D6CBF" w:rsidRDefault="00781F07" w:rsidP="00EF11A8">
      <w:pPr>
        <w:jc w:val="both"/>
        <w:rPr>
          <w:rFonts w:ascii="Arial" w:hAnsi="Arial" w:cs="Arial"/>
        </w:rPr>
      </w:pPr>
    </w:p>
    <w:p w:rsidR="003A49EC" w:rsidRDefault="003A49EC" w:rsidP="00EF11A8">
      <w:pPr>
        <w:jc w:val="both"/>
        <w:rPr>
          <w:rFonts w:ascii="Arial" w:hAnsi="Arial" w:cs="Arial"/>
        </w:rPr>
      </w:pPr>
      <w:r>
        <w:rPr>
          <w:rFonts w:ascii="Arial" w:hAnsi="Arial" w:cs="Arial"/>
          <w:b/>
        </w:rPr>
        <w:t xml:space="preserve">KEITUMETSE MAGGIE MABONA </w:t>
      </w:r>
      <w:r w:rsidR="00781F07" w:rsidRPr="005D6CBF">
        <w:rPr>
          <w:rFonts w:ascii="Arial" w:hAnsi="Arial" w:cs="Arial"/>
          <w:b/>
        </w:rPr>
        <w:t xml:space="preserve">                                                  </w:t>
      </w:r>
      <w:r>
        <w:rPr>
          <w:rFonts w:ascii="Arial" w:hAnsi="Arial" w:cs="Arial"/>
          <w:b/>
        </w:rPr>
        <w:t xml:space="preserve">         </w:t>
      </w:r>
      <w:r>
        <w:rPr>
          <w:rFonts w:ascii="Arial" w:hAnsi="Arial" w:cs="Arial"/>
        </w:rPr>
        <w:t>1</w:t>
      </w:r>
      <w:r w:rsidRPr="003A49EC">
        <w:rPr>
          <w:rFonts w:ascii="Arial" w:hAnsi="Arial" w:cs="Arial"/>
          <w:vertAlign w:val="superscript"/>
        </w:rPr>
        <w:t>st</w:t>
      </w:r>
      <w:r>
        <w:rPr>
          <w:rFonts w:ascii="Arial" w:hAnsi="Arial" w:cs="Arial"/>
        </w:rPr>
        <w:t xml:space="preserve"> Respondent</w:t>
      </w:r>
    </w:p>
    <w:p w:rsidR="003A49EC" w:rsidRDefault="003A49EC" w:rsidP="00EF11A8">
      <w:pPr>
        <w:jc w:val="both"/>
        <w:rPr>
          <w:rFonts w:ascii="Arial" w:hAnsi="Arial" w:cs="Arial"/>
        </w:rPr>
      </w:pPr>
    </w:p>
    <w:p w:rsidR="003A49EC" w:rsidRDefault="003A49EC" w:rsidP="00EF11A8">
      <w:pPr>
        <w:jc w:val="both"/>
        <w:rPr>
          <w:rFonts w:ascii="Arial" w:hAnsi="Arial" w:cs="Arial"/>
          <w:b/>
        </w:rPr>
      </w:pPr>
      <w:r>
        <w:rPr>
          <w:rFonts w:ascii="Arial" w:hAnsi="Arial" w:cs="Arial"/>
          <w:b/>
        </w:rPr>
        <w:t>ANY AND ALL PERSONS RESIDING AT OR OCCUPYING</w:t>
      </w:r>
    </w:p>
    <w:p w:rsidR="003A49EC" w:rsidRDefault="003A49EC" w:rsidP="00EF11A8">
      <w:pPr>
        <w:jc w:val="both"/>
        <w:rPr>
          <w:rFonts w:ascii="Arial" w:hAnsi="Arial" w:cs="Arial"/>
          <w:b/>
        </w:rPr>
      </w:pPr>
    </w:p>
    <w:p w:rsidR="003A49EC" w:rsidRDefault="003A49EC" w:rsidP="00EF11A8">
      <w:pPr>
        <w:jc w:val="both"/>
        <w:rPr>
          <w:rFonts w:ascii="Arial" w:hAnsi="Arial" w:cs="Arial"/>
          <w:b/>
        </w:rPr>
      </w:pPr>
      <w:r>
        <w:rPr>
          <w:rFonts w:ascii="Arial" w:hAnsi="Arial" w:cs="Arial"/>
          <w:b/>
        </w:rPr>
        <w:t>THE PROPERTY OF THE APPLICANTS THROUGH OR BY</w:t>
      </w:r>
    </w:p>
    <w:p w:rsidR="003A49EC" w:rsidRDefault="003A49EC" w:rsidP="00EF11A8">
      <w:pPr>
        <w:jc w:val="both"/>
        <w:rPr>
          <w:rFonts w:ascii="Arial" w:hAnsi="Arial" w:cs="Arial"/>
          <w:b/>
        </w:rPr>
      </w:pPr>
    </w:p>
    <w:p w:rsidR="003A49EC" w:rsidRDefault="00AA01B2" w:rsidP="00EF11A8">
      <w:pPr>
        <w:jc w:val="both"/>
        <w:rPr>
          <w:rFonts w:ascii="Arial" w:hAnsi="Arial" w:cs="Arial"/>
          <w:b/>
        </w:rPr>
      </w:pPr>
      <w:r>
        <w:rPr>
          <w:rFonts w:ascii="Arial" w:hAnsi="Arial" w:cs="Arial"/>
          <w:b/>
        </w:rPr>
        <w:t>VI</w:t>
      </w:r>
      <w:r w:rsidR="003A49EC">
        <w:rPr>
          <w:rFonts w:ascii="Arial" w:hAnsi="Arial" w:cs="Arial"/>
          <w:b/>
        </w:rPr>
        <w:t>RTUE OF THE RESIDENCE BY OR OCCUPATION OF THE</w:t>
      </w:r>
    </w:p>
    <w:p w:rsidR="003A49EC" w:rsidRDefault="003A49EC" w:rsidP="00EF11A8">
      <w:pPr>
        <w:jc w:val="both"/>
        <w:rPr>
          <w:rFonts w:ascii="Arial" w:hAnsi="Arial" w:cs="Arial"/>
          <w:b/>
        </w:rPr>
      </w:pPr>
    </w:p>
    <w:p w:rsidR="003A49EC" w:rsidRDefault="003A49EC" w:rsidP="00EF11A8">
      <w:pPr>
        <w:jc w:val="both"/>
        <w:rPr>
          <w:rFonts w:ascii="Arial" w:hAnsi="Arial" w:cs="Arial"/>
        </w:rPr>
      </w:pPr>
      <w:r>
        <w:rPr>
          <w:rFonts w:ascii="Arial" w:hAnsi="Arial" w:cs="Arial"/>
          <w:b/>
        </w:rPr>
        <w:t>1</w:t>
      </w:r>
      <w:r w:rsidRPr="003A49EC">
        <w:rPr>
          <w:rFonts w:ascii="Arial" w:hAnsi="Arial" w:cs="Arial"/>
          <w:b/>
          <w:vertAlign w:val="superscript"/>
        </w:rPr>
        <w:t>ST</w:t>
      </w:r>
      <w:r>
        <w:rPr>
          <w:rFonts w:ascii="Arial" w:hAnsi="Arial" w:cs="Arial"/>
        </w:rPr>
        <w:t xml:space="preserve"> </w:t>
      </w:r>
      <w:r w:rsidR="00AA01B2">
        <w:rPr>
          <w:rFonts w:ascii="Arial" w:hAnsi="Arial" w:cs="Arial"/>
          <w:b/>
        </w:rPr>
        <w:t>RESPOND</w:t>
      </w:r>
      <w:r>
        <w:rPr>
          <w:rFonts w:ascii="Arial" w:hAnsi="Arial" w:cs="Arial"/>
          <w:b/>
        </w:rPr>
        <w:t>E</w:t>
      </w:r>
      <w:r w:rsidR="00AA01B2">
        <w:rPr>
          <w:rFonts w:ascii="Arial" w:hAnsi="Arial" w:cs="Arial"/>
          <w:b/>
        </w:rPr>
        <w:t>N</w:t>
      </w:r>
      <w:r>
        <w:rPr>
          <w:rFonts w:ascii="Arial" w:hAnsi="Arial" w:cs="Arial"/>
          <w:b/>
        </w:rPr>
        <w:t xml:space="preserve">T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Pr>
          <w:rFonts w:ascii="Arial" w:hAnsi="Arial" w:cs="Arial"/>
          <w:b/>
        </w:rPr>
        <w:tab/>
        <w:t xml:space="preserve">  </w:t>
      </w:r>
      <w:r>
        <w:rPr>
          <w:rFonts w:ascii="Arial" w:hAnsi="Arial" w:cs="Arial"/>
        </w:rPr>
        <w:t>2</w:t>
      </w:r>
      <w:proofErr w:type="gramEnd"/>
      <w:r w:rsidRPr="003A49EC">
        <w:rPr>
          <w:rFonts w:ascii="Arial" w:hAnsi="Arial" w:cs="Arial"/>
          <w:vertAlign w:val="superscript"/>
        </w:rPr>
        <w:t>nd</w:t>
      </w:r>
      <w:r>
        <w:rPr>
          <w:rFonts w:ascii="Arial" w:hAnsi="Arial" w:cs="Arial"/>
        </w:rPr>
        <w:t xml:space="preserve"> Respondent</w:t>
      </w:r>
    </w:p>
    <w:p w:rsidR="003A49EC" w:rsidRDefault="003A49EC" w:rsidP="00EF11A8">
      <w:pPr>
        <w:jc w:val="both"/>
        <w:rPr>
          <w:rFonts w:ascii="Arial" w:hAnsi="Arial" w:cs="Arial"/>
        </w:rPr>
      </w:pPr>
    </w:p>
    <w:p w:rsidR="00EF11A8" w:rsidRPr="003A49EC" w:rsidRDefault="003A49EC" w:rsidP="00EF11A8">
      <w:pPr>
        <w:jc w:val="both"/>
        <w:rPr>
          <w:rFonts w:ascii="Arial" w:hAnsi="Arial" w:cs="Arial"/>
        </w:rPr>
      </w:pPr>
      <w:r>
        <w:rPr>
          <w:rFonts w:ascii="Arial" w:hAnsi="Arial" w:cs="Arial"/>
          <w:b/>
        </w:rPr>
        <w:t>MANGAUNG METROPOLITAN MUNICIPALITY</w:t>
      </w:r>
      <w:r>
        <w:rPr>
          <w:rFonts w:ascii="Arial" w:hAnsi="Arial" w:cs="Arial"/>
          <w:b/>
        </w:rPr>
        <w:tab/>
      </w:r>
      <w:r>
        <w:rPr>
          <w:rFonts w:ascii="Arial" w:hAnsi="Arial" w:cs="Arial"/>
          <w:b/>
        </w:rPr>
        <w:tab/>
      </w:r>
      <w:r>
        <w:rPr>
          <w:rFonts w:ascii="Arial" w:hAnsi="Arial" w:cs="Arial"/>
          <w:b/>
        </w:rPr>
        <w:tab/>
        <w:t xml:space="preserve">   </w:t>
      </w:r>
      <w:r>
        <w:rPr>
          <w:rFonts w:ascii="Arial" w:hAnsi="Arial" w:cs="Arial"/>
        </w:rPr>
        <w:t>3</w:t>
      </w:r>
      <w:r w:rsidRPr="003A49EC">
        <w:rPr>
          <w:rFonts w:ascii="Arial" w:hAnsi="Arial" w:cs="Arial"/>
          <w:vertAlign w:val="superscript"/>
        </w:rPr>
        <w:t>rd</w:t>
      </w:r>
      <w:r>
        <w:rPr>
          <w:rFonts w:ascii="Arial" w:hAnsi="Arial" w:cs="Arial"/>
        </w:rPr>
        <w:t xml:space="preserve"> Respondent  </w:t>
      </w:r>
    </w:p>
    <w:p w:rsidR="00EF11A8" w:rsidRPr="005D6CBF" w:rsidRDefault="00EF11A8" w:rsidP="00EF11A8">
      <w:pPr>
        <w:pBdr>
          <w:bottom w:val="single" w:sz="12" w:space="1" w:color="auto"/>
        </w:pBdr>
        <w:jc w:val="both"/>
        <w:rPr>
          <w:rFonts w:ascii="Arial" w:hAnsi="Arial" w:cs="Arial"/>
          <w:b/>
        </w:rPr>
      </w:pPr>
      <w:r w:rsidRPr="005D6CBF">
        <w:rPr>
          <w:rFonts w:ascii="Arial" w:hAnsi="Arial" w:cs="Arial"/>
          <w:b/>
        </w:rPr>
        <w:tab/>
      </w:r>
      <w:r w:rsidRPr="005D6CBF">
        <w:rPr>
          <w:rFonts w:ascii="Arial" w:hAnsi="Arial" w:cs="Arial"/>
          <w:b/>
        </w:rPr>
        <w:tab/>
      </w:r>
    </w:p>
    <w:p w:rsidR="00EF11A8" w:rsidRPr="005D6CBF" w:rsidRDefault="00EF11A8" w:rsidP="00EF11A8">
      <w:pPr>
        <w:contextualSpacing/>
        <w:jc w:val="both"/>
        <w:rPr>
          <w:rFonts w:ascii="Arial" w:hAnsi="Arial" w:cs="Arial"/>
          <w:b/>
          <w:u w:val="single"/>
        </w:rPr>
      </w:pPr>
    </w:p>
    <w:p w:rsidR="00EF11A8" w:rsidRPr="005D6CBF" w:rsidRDefault="00EF11A8" w:rsidP="00EF11A8">
      <w:pPr>
        <w:ind w:left="2835" w:hanging="2835"/>
        <w:contextualSpacing/>
        <w:jc w:val="both"/>
        <w:rPr>
          <w:rFonts w:ascii="Arial" w:hAnsi="Arial" w:cs="Arial"/>
          <w:u w:val="single"/>
        </w:rPr>
      </w:pPr>
      <w:r w:rsidRPr="005D6CBF">
        <w:rPr>
          <w:rFonts w:ascii="Arial" w:hAnsi="Arial" w:cs="Arial"/>
          <w:b/>
          <w:u w:val="single"/>
        </w:rPr>
        <w:t>HEARD ON:</w:t>
      </w:r>
      <w:r w:rsidRPr="005D6CBF">
        <w:rPr>
          <w:rFonts w:ascii="Arial" w:hAnsi="Arial" w:cs="Arial"/>
          <w:b/>
        </w:rPr>
        <w:tab/>
      </w:r>
      <w:r w:rsidR="003A49EC" w:rsidRPr="003A49EC">
        <w:rPr>
          <w:rFonts w:ascii="Arial" w:hAnsi="Arial" w:cs="Arial"/>
        </w:rPr>
        <w:t>18</w:t>
      </w:r>
      <w:r w:rsidR="001575AF" w:rsidRPr="00F940D0">
        <w:rPr>
          <w:rFonts w:ascii="Arial" w:hAnsi="Arial" w:cs="Arial"/>
        </w:rPr>
        <w:t xml:space="preserve"> </w:t>
      </w:r>
      <w:r w:rsidR="005D6CBF" w:rsidRPr="00F940D0">
        <w:rPr>
          <w:rFonts w:ascii="Arial" w:hAnsi="Arial" w:cs="Arial"/>
        </w:rPr>
        <w:t>AUGUST</w:t>
      </w:r>
      <w:r w:rsidR="00781F07" w:rsidRPr="00F940D0">
        <w:rPr>
          <w:rFonts w:ascii="Arial" w:hAnsi="Arial" w:cs="Arial"/>
          <w:bCs/>
        </w:rPr>
        <w:t xml:space="preserve"> 202</w:t>
      </w:r>
      <w:r w:rsidR="002F71C5" w:rsidRPr="00F940D0">
        <w:rPr>
          <w:rFonts w:ascii="Arial" w:hAnsi="Arial" w:cs="Arial"/>
          <w:bCs/>
        </w:rPr>
        <w:t>2</w:t>
      </w:r>
      <w:r w:rsidRPr="00F940D0">
        <w:rPr>
          <w:rFonts w:ascii="Arial" w:hAnsi="Arial" w:cs="Arial"/>
        </w:rPr>
        <w:t xml:space="preserve">                                                                                         </w:t>
      </w:r>
    </w:p>
    <w:p w:rsidR="00EF11A8" w:rsidRPr="005D6CBF" w:rsidRDefault="00EF11A8" w:rsidP="00EF11A8">
      <w:pPr>
        <w:pBdr>
          <w:bottom w:val="single" w:sz="6" w:space="1" w:color="auto"/>
        </w:pBdr>
        <w:contextualSpacing/>
        <w:jc w:val="both"/>
        <w:rPr>
          <w:rFonts w:ascii="Arial" w:hAnsi="Arial" w:cs="Arial"/>
          <w:b/>
        </w:rPr>
      </w:pPr>
    </w:p>
    <w:p w:rsidR="00EF11A8" w:rsidRPr="005D6CBF" w:rsidRDefault="00EF11A8" w:rsidP="00EF11A8">
      <w:pPr>
        <w:contextualSpacing/>
        <w:jc w:val="both"/>
        <w:rPr>
          <w:rFonts w:ascii="Arial" w:hAnsi="Arial" w:cs="Arial"/>
          <w:b/>
        </w:rPr>
      </w:pPr>
    </w:p>
    <w:p w:rsidR="00EF11A8" w:rsidRPr="005D6CBF" w:rsidRDefault="00EF11A8" w:rsidP="00EF11A8">
      <w:pPr>
        <w:contextualSpacing/>
        <w:jc w:val="both"/>
        <w:rPr>
          <w:rFonts w:ascii="Arial" w:hAnsi="Arial" w:cs="Arial"/>
          <w:b/>
          <w:u w:val="single"/>
        </w:rPr>
      </w:pPr>
      <w:r w:rsidRPr="005D6CBF">
        <w:rPr>
          <w:rFonts w:ascii="Arial" w:hAnsi="Arial" w:cs="Arial"/>
          <w:b/>
          <w:u w:val="single"/>
        </w:rPr>
        <w:t>JUDGMENT BY:</w:t>
      </w:r>
      <w:r w:rsidRPr="005D6CBF">
        <w:rPr>
          <w:rFonts w:ascii="Arial" w:hAnsi="Arial" w:cs="Arial"/>
          <w:b/>
        </w:rPr>
        <w:tab/>
      </w:r>
      <w:r w:rsidR="00077E52" w:rsidRPr="005D6CBF">
        <w:rPr>
          <w:rFonts w:ascii="Arial" w:hAnsi="Arial" w:cs="Arial"/>
          <w:b/>
        </w:rPr>
        <w:t xml:space="preserve">        </w:t>
      </w:r>
      <w:r w:rsidR="003F410D" w:rsidRPr="005D6CBF">
        <w:rPr>
          <w:rFonts w:ascii="Arial" w:hAnsi="Arial" w:cs="Arial"/>
          <w:b/>
        </w:rPr>
        <w:t xml:space="preserve"> </w:t>
      </w:r>
      <w:r w:rsidR="005D6CBF">
        <w:rPr>
          <w:rFonts w:ascii="Arial" w:hAnsi="Arial" w:cs="Arial"/>
          <w:b/>
        </w:rPr>
        <w:t xml:space="preserve">  </w:t>
      </w:r>
      <w:r w:rsidR="00C104C3" w:rsidRPr="00F940D0">
        <w:rPr>
          <w:rFonts w:ascii="Arial" w:hAnsi="Arial" w:cs="Arial"/>
        </w:rPr>
        <w:t>M</w:t>
      </w:r>
      <w:r w:rsidR="002A631E" w:rsidRPr="00F940D0">
        <w:rPr>
          <w:rFonts w:ascii="Arial" w:hAnsi="Arial" w:cs="Arial"/>
        </w:rPr>
        <w:t>HLAMBI</w:t>
      </w:r>
      <w:r w:rsidR="00781F07" w:rsidRPr="00F940D0">
        <w:rPr>
          <w:rFonts w:ascii="Arial" w:hAnsi="Arial" w:cs="Arial"/>
        </w:rPr>
        <w:t>, J</w:t>
      </w:r>
      <w:r w:rsidR="005D6CBF" w:rsidRPr="00F940D0">
        <w:rPr>
          <w:rFonts w:ascii="Arial" w:hAnsi="Arial" w:cs="Arial"/>
        </w:rPr>
        <w:t xml:space="preserve"> </w:t>
      </w:r>
    </w:p>
    <w:p w:rsidR="00EF11A8" w:rsidRPr="005D6CBF" w:rsidRDefault="00EF11A8" w:rsidP="00EF11A8">
      <w:pPr>
        <w:pBdr>
          <w:bottom w:val="single" w:sz="6" w:space="1" w:color="auto"/>
        </w:pBdr>
        <w:contextualSpacing/>
        <w:jc w:val="both"/>
        <w:rPr>
          <w:rFonts w:ascii="Arial" w:hAnsi="Arial" w:cs="Arial"/>
          <w:b/>
        </w:rPr>
      </w:pPr>
    </w:p>
    <w:p w:rsidR="00EF11A8" w:rsidRPr="005D6CBF" w:rsidRDefault="00EF11A8" w:rsidP="00EF11A8">
      <w:pPr>
        <w:contextualSpacing/>
        <w:jc w:val="both"/>
        <w:rPr>
          <w:rFonts w:ascii="Arial" w:hAnsi="Arial" w:cs="Arial"/>
          <w:b/>
        </w:rPr>
      </w:pPr>
    </w:p>
    <w:p w:rsidR="007C348D" w:rsidRPr="005D6CBF" w:rsidRDefault="00EF11A8" w:rsidP="004A4E37">
      <w:pPr>
        <w:tabs>
          <w:tab w:val="left" w:pos="2940"/>
        </w:tabs>
        <w:ind w:left="1985" w:hanging="1985"/>
        <w:contextualSpacing/>
        <w:jc w:val="both"/>
        <w:rPr>
          <w:rFonts w:ascii="Arial" w:hAnsi="Arial" w:cs="Arial"/>
          <w:b/>
          <w:bCs/>
        </w:rPr>
      </w:pPr>
      <w:r w:rsidRPr="005D6CBF">
        <w:rPr>
          <w:rFonts w:ascii="Arial" w:hAnsi="Arial" w:cs="Arial"/>
          <w:b/>
          <w:u w:val="single"/>
        </w:rPr>
        <w:t>DELIVERED ON:</w:t>
      </w:r>
      <w:r w:rsidR="004A4E37">
        <w:rPr>
          <w:rFonts w:ascii="Arial" w:hAnsi="Arial" w:cs="Arial"/>
          <w:b/>
        </w:rPr>
        <w:t xml:space="preserve"> </w:t>
      </w:r>
      <w:r w:rsidR="004A4E37" w:rsidRPr="00C665C9">
        <w:rPr>
          <w:rFonts w:ascii="Arial" w:hAnsi="Arial" w:cs="Arial"/>
        </w:rPr>
        <w:t xml:space="preserve">This judgment was handed down electronically by circulation to the parties’ legal representatives by email and </w:t>
      </w:r>
      <w:r w:rsidR="004A4E37">
        <w:rPr>
          <w:rFonts w:ascii="Arial" w:hAnsi="Arial" w:cs="Arial"/>
        </w:rPr>
        <w:t>released</w:t>
      </w:r>
      <w:r w:rsidR="004A4E37" w:rsidRPr="00C665C9">
        <w:rPr>
          <w:rFonts w:ascii="Arial" w:hAnsi="Arial" w:cs="Arial"/>
        </w:rPr>
        <w:t xml:space="preserve"> to SAFLI. The date and time for hand-down </w:t>
      </w:r>
      <w:r w:rsidR="004A4E37">
        <w:rPr>
          <w:rFonts w:ascii="Arial" w:hAnsi="Arial" w:cs="Arial"/>
        </w:rPr>
        <w:t>are</w:t>
      </w:r>
      <w:r w:rsidR="004A4E37" w:rsidRPr="00C665C9">
        <w:rPr>
          <w:rFonts w:ascii="Arial" w:hAnsi="Arial" w:cs="Arial"/>
        </w:rPr>
        <w:t xml:space="preserve"> deemed to</w:t>
      </w:r>
      <w:r w:rsidR="004A4E37">
        <w:rPr>
          <w:rFonts w:ascii="Arial" w:hAnsi="Arial" w:cs="Arial"/>
        </w:rPr>
        <w:t xml:space="preserve"> be at 09h30</w:t>
      </w:r>
      <w:r w:rsidR="004A4E37" w:rsidRPr="00C665C9">
        <w:rPr>
          <w:rFonts w:ascii="Arial" w:hAnsi="Arial" w:cs="Arial"/>
        </w:rPr>
        <w:t xml:space="preserve"> </w:t>
      </w:r>
      <w:r w:rsidR="004A4E37">
        <w:rPr>
          <w:rFonts w:ascii="Arial" w:hAnsi="Arial" w:cs="Arial"/>
        </w:rPr>
        <w:t xml:space="preserve">on </w:t>
      </w:r>
      <w:r w:rsidR="005511B0">
        <w:rPr>
          <w:rFonts w:ascii="Arial" w:hAnsi="Arial" w:cs="Arial"/>
        </w:rPr>
        <w:t xml:space="preserve">14 </w:t>
      </w:r>
      <w:r w:rsidR="00B70963">
        <w:rPr>
          <w:rFonts w:ascii="Arial" w:hAnsi="Arial" w:cs="Arial"/>
        </w:rPr>
        <w:t>November</w:t>
      </w:r>
      <w:r w:rsidR="004A4E37" w:rsidRPr="00C665C9">
        <w:rPr>
          <w:rFonts w:ascii="Arial" w:hAnsi="Arial" w:cs="Arial"/>
        </w:rPr>
        <w:t xml:space="preserve"> </w:t>
      </w:r>
      <w:r w:rsidR="004A4E37">
        <w:rPr>
          <w:rFonts w:ascii="Arial" w:hAnsi="Arial" w:cs="Arial"/>
        </w:rPr>
        <w:t>2022</w:t>
      </w:r>
      <w:r w:rsidR="004A4E37" w:rsidRPr="00C665C9">
        <w:rPr>
          <w:rFonts w:ascii="Arial" w:hAnsi="Arial" w:cs="Arial"/>
        </w:rPr>
        <w:t xml:space="preserve">. </w:t>
      </w:r>
      <w:r w:rsidR="002F71C5" w:rsidRPr="005D6CBF">
        <w:rPr>
          <w:rFonts w:ascii="Arial" w:hAnsi="Arial" w:cs="Arial"/>
        </w:rPr>
        <w:t xml:space="preserve"> </w:t>
      </w:r>
    </w:p>
    <w:p w:rsidR="00891F14" w:rsidRPr="005D6CBF" w:rsidRDefault="00891F14" w:rsidP="00EF11A8">
      <w:pPr>
        <w:pBdr>
          <w:bottom w:val="single" w:sz="12" w:space="1" w:color="auto"/>
        </w:pBdr>
        <w:tabs>
          <w:tab w:val="left" w:pos="2940"/>
        </w:tabs>
        <w:contextualSpacing/>
        <w:jc w:val="both"/>
        <w:rPr>
          <w:rFonts w:ascii="Arial" w:hAnsi="Arial" w:cs="Arial"/>
          <w:b/>
          <w:bCs/>
          <w:u w:val="single"/>
        </w:rPr>
      </w:pPr>
    </w:p>
    <w:p w:rsidR="005D6CBF" w:rsidRPr="00EF11A8" w:rsidRDefault="005D6CBF" w:rsidP="00EF11A8">
      <w:pPr>
        <w:tabs>
          <w:tab w:val="left" w:pos="2940"/>
        </w:tabs>
        <w:contextualSpacing/>
        <w:jc w:val="both"/>
        <w:rPr>
          <w:rFonts w:ascii="Arial" w:hAnsi="Arial" w:cs="Arial"/>
          <w:sz w:val="28"/>
          <w:szCs w:val="28"/>
          <w:u w:val="single"/>
        </w:rPr>
      </w:pPr>
    </w:p>
    <w:p w:rsidR="007C348D" w:rsidRPr="002448A4" w:rsidRDefault="002448A4" w:rsidP="007C348D">
      <w:pPr>
        <w:spacing w:line="360" w:lineRule="auto"/>
        <w:ind w:left="709" w:hanging="709"/>
        <w:jc w:val="both"/>
        <w:rPr>
          <w:rFonts w:ascii="Arial" w:hAnsi="Arial" w:cs="Arial"/>
          <w:sz w:val="28"/>
          <w:szCs w:val="28"/>
          <w:u w:val="single"/>
        </w:rPr>
      </w:pPr>
      <w:r w:rsidRPr="002448A4">
        <w:rPr>
          <w:rFonts w:ascii="Arial" w:hAnsi="Arial" w:cs="Arial"/>
          <w:sz w:val="28"/>
          <w:szCs w:val="28"/>
          <w:u w:val="single"/>
        </w:rPr>
        <w:t>Introduction</w:t>
      </w:r>
    </w:p>
    <w:p w:rsidR="00CF29B4" w:rsidRDefault="002A631E" w:rsidP="00225396">
      <w:pPr>
        <w:spacing w:after="240" w:line="360" w:lineRule="auto"/>
        <w:ind w:left="567" w:hanging="567"/>
        <w:jc w:val="both"/>
        <w:rPr>
          <w:rFonts w:ascii="Arial" w:hAnsi="Arial" w:cs="Arial"/>
        </w:rPr>
      </w:pPr>
      <w:r>
        <w:rPr>
          <w:rFonts w:ascii="Arial" w:hAnsi="Arial" w:cs="Arial"/>
        </w:rPr>
        <w:t>[1]</w:t>
      </w:r>
      <w:r w:rsidR="00CF29B4">
        <w:rPr>
          <w:rFonts w:ascii="Arial" w:hAnsi="Arial" w:cs="Arial"/>
        </w:rPr>
        <w:tab/>
        <w:t xml:space="preserve">The applicants seek </w:t>
      </w:r>
      <w:r w:rsidR="001338CA">
        <w:rPr>
          <w:rFonts w:ascii="Arial" w:hAnsi="Arial" w:cs="Arial"/>
        </w:rPr>
        <w:t>an</w:t>
      </w:r>
      <w:r w:rsidR="00CF29B4">
        <w:rPr>
          <w:rFonts w:ascii="Arial" w:hAnsi="Arial" w:cs="Arial"/>
        </w:rPr>
        <w:t xml:space="preserve"> order in terms of the provisions of the Prevention of Illegal Eviction and Unlawful Occupation of Land Act, 19 of 1998</w:t>
      </w:r>
      <w:r w:rsidR="00DD2F9B">
        <w:rPr>
          <w:rFonts w:ascii="Arial" w:hAnsi="Arial" w:cs="Arial"/>
        </w:rPr>
        <w:t xml:space="preserve"> (the PIE Act)</w:t>
      </w:r>
      <w:r w:rsidR="00CF29B4">
        <w:rPr>
          <w:rFonts w:ascii="Arial" w:hAnsi="Arial" w:cs="Arial"/>
        </w:rPr>
        <w:t xml:space="preserve">, evicting the first and second respondents from the property known as 3818 </w:t>
      </w:r>
      <w:proofErr w:type="spellStart"/>
      <w:r w:rsidR="00CF29B4">
        <w:rPr>
          <w:rFonts w:ascii="Arial" w:hAnsi="Arial" w:cs="Arial"/>
        </w:rPr>
        <w:t>Modisenyane</w:t>
      </w:r>
      <w:proofErr w:type="spellEnd"/>
      <w:r w:rsidR="00CF29B4">
        <w:rPr>
          <w:rFonts w:ascii="Arial" w:hAnsi="Arial" w:cs="Arial"/>
        </w:rPr>
        <w:t xml:space="preserve"> street, Rocklands, Bloemfontein, Free State Province</w:t>
      </w:r>
      <w:r w:rsidR="001338CA">
        <w:rPr>
          <w:rFonts w:ascii="Arial" w:hAnsi="Arial" w:cs="Arial"/>
        </w:rPr>
        <w:t>,</w:t>
      </w:r>
      <w:r w:rsidR="00CF29B4">
        <w:rPr>
          <w:rFonts w:ascii="Arial" w:hAnsi="Arial" w:cs="Arial"/>
        </w:rPr>
        <w:t xml:space="preserve"> also known as erf number 43813, </w:t>
      </w:r>
      <w:r w:rsidR="001338CA" w:rsidRPr="001338CA">
        <w:rPr>
          <w:rFonts w:ascii="Arial" w:hAnsi="Arial" w:cs="Arial"/>
        </w:rPr>
        <w:t>Man</w:t>
      </w:r>
      <w:r w:rsidR="00CF29B4" w:rsidRPr="001338CA">
        <w:rPr>
          <w:rFonts w:ascii="Arial" w:hAnsi="Arial" w:cs="Arial"/>
        </w:rPr>
        <w:t>g</w:t>
      </w:r>
      <w:r w:rsidR="001338CA" w:rsidRPr="001338CA">
        <w:rPr>
          <w:rFonts w:ascii="Arial" w:hAnsi="Arial" w:cs="Arial"/>
        </w:rPr>
        <w:t>a</w:t>
      </w:r>
      <w:r w:rsidR="00CF29B4" w:rsidRPr="001338CA">
        <w:rPr>
          <w:rFonts w:ascii="Arial" w:hAnsi="Arial" w:cs="Arial"/>
        </w:rPr>
        <w:t>ung</w:t>
      </w:r>
      <w:r w:rsidR="00260D64">
        <w:rPr>
          <w:rFonts w:ascii="Arial" w:hAnsi="Arial" w:cs="Arial"/>
        </w:rPr>
        <w:t xml:space="preserve"> d</w:t>
      </w:r>
      <w:r w:rsidR="00CF29B4">
        <w:rPr>
          <w:rFonts w:ascii="Arial" w:hAnsi="Arial" w:cs="Arial"/>
        </w:rPr>
        <w:t xml:space="preserve">istrict, Bloemfontein. </w:t>
      </w:r>
    </w:p>
    <w:p w:rsidR="002448A4" w:rsidRDefault="00CF29B4" w:rsidP="00225396">
      <w:pPr>
        <w:spacing w:after="240" w:line="360" w:lineRule="auto"/>
        <w:ind w:left="567" w:hanging="567"/>
        <w:jc w:val="both"/>
        <w:rPr>
          <w:rFonts w:ascii="Arial" w:hAnsi="Arial" w:cs="Arial"/>
        </w:rPr>
      </w:pPr>
      <w:r>
        <w:rPr>
          <w:rFonts w:ascii="Arial" w:hAnsi="Arial" w:cs="Arial"/>
        </w:rPr>
        <w:t>[2]</w:t>
      </w:r>
      <w:r>
        <w:rPr>
          <w:rFonts w:ascii="Arial" w:hAnsi="Arial" w:cs="Arial"/>
        </w:rPr>
        <w:tab/>
        <w:t xml:space="preserve">The first respondent opposed the application and simultaneously filed a counter application seeking, </w:t>
      </w:r>
      <w:r>
        <w:rPr>
          <w:rFonts w:ascii="Arial" w:hAnsi="Arial" w:cs="Arial"/>
          <w:i/>
        </w:rPr>
        <w:t xml:space="preserve">inter alia, </w:t>
      </w:r>
      <w:r>
        <w:rPr>
          <w:rFonts w:ascii="Arial" w:hAnsi="Arial" w:cs="Arial"/>
        </w:rPr>
        <w:t xml:space="preserve">that the third respondent </w:t>
      </w:r>
      <w:r w:rsidR="00101BEF">
        <w:rPr>
          <w:rFonts w:ascii="Arial" w:hAnsi="Arial" w:cs="Arial"/>
        </w:rPr>
        <w:t>is</w:t>
      </w:r>
      <w:r>
        <w:rPr>
          <w:rFonts w:ascii="Arial" w:hAnsi="Arial" w:cs="Arial"/>
        </w:rPr>
        <w:t xml:space="preserve"> ordered to conduct an </w:t>
      </w:r>
      <w:r w:rsidR="00101BEF">
        <w:rPr>
          <w:rFonts w:ascii="Arial" w:hAnsi="Arial" w:cs="Arial"/>
        </w:rPr>
        <w:t>inquiry</w:t>
      </w:r>
      <w:r>
        <w:rPr>
          <w:rFonts w:ascii="Arial" w:hAnsi="Arial" w:cs="Arial"/>
        </w:rPr>
        <w:t xml:space="preserve"> in terms of section 2 of the Conversion of Certain Right</w:t>
      </w:r>
      <w:r w:rsidR="005A1466">
        <w:rPr>
          <w:rFonts w:ascii="Arial" w:hAnsi="Arial" w:cs="Arial"/>
        </w:rPr>
        <w:t>s</w:t>
      </w:r>
      <w:r>
        <w:rPr>
          <w:rFonts w:ascii="Arial" w:hAnsi="Arial" w:cs="Arial"/>
        </w:rPr>
        <w:t xml:space="preserve"> into Leasehold or Ownership Act, 81 of 1988</w:t>
      </w:r>
      <w:r w:rsidR="00973910">
        <w:rPr>
          <w:rFonts w:ascii="Arial" w:hAnsi="Arial" w:cs="Arial"/>
        </w:rPr>
        <w:t xml:space="preserve"> (the Conversion Act)</w:t>
      </w:r>
      <w:r>
        <w:rPr>
          <w:rFonts w:ascii="Arial" w:hAnsi="Arial" w:cs="Arial"/>
        </w:rPr>
        <w:t xml:space="preserve"> wit</w:t>
      </w:r>
      <w:r w:rsidR="005A1466">
        <w:rPr>
          <w:rFonts w:ascii="Arial" w:hAnsi="Arial" w:cs="Arial"/>
        </w:rPr>
        <w:t>h regards to erf 43813 Mangaung d</w:t>
      </w:r>
      <w:r>
        <w:rPr>
          <w:rFonts w:ascii="Arial" w:hAnsi="Arial" w:cs="Arial"/>
        </w:rPr>
        <w:t>istrict, Bloemfontein, Free State Province,</w:t>
      </w:r>
      <w:r w:rsidR="00101BEF">
        <w:rPr>
          <w:rFonts w:ascii="Arial" w:hAnsi="Arial" w:cs="Arial"/>
        </w:rPr>
        <w:t xml:space="preserve"> and that the parties are</w:t>
      </w:r>
      <w:r w:rsidR="002448A4">
        <w:rPr>
          <w:rFonts w:ascii="Arial" w:hAnsi="Arial" w:cs="Arial"/>
        </w:rPr>
        <w:t xml:space="preserve"> granted leave to approach the court on the same papers after the third respondent had conducted the </w:t>
      </w:r>
      <w:r w:rsidR="00101BEF">
        <w:rPr>
          <w:rFonts w:ascii="Arial" w:hAnsi="Arial" w:cs="Arial"/>
        </w:rPr>
        <w:t>inquiry</w:t>
      </w:r>
      <w:r w:rsidR="002448A4">
        <w:rPr>
          <w:rFonts w:ascii="Arial" w:hAnsi="Arial" w:cs="Arial"/>
        </w:rPr>
        <w:t>.</w:t>
      </w:r>
    </w:p>
    <w:p w:rsidR="002448A4" w:rsidRPr="002448A4" w:rsidRDefault="002448A4" w:rsidP="00225396">
      <w:pPr>
        <w:spacing w:after="240" w:line="360" w:lineRule="auto"/>
        <w:ind w:left="567" w:hanging="567"/>
        <w:jc w:val="both"/>
        <w:rPr>
          <w:rFonts w:ascii="Arial" w:hAnsi="Arial" w:cs="Arial"/>
          <w:u w:val="single"/>
        </w:rPr>
      </w:pPr>
      <w:r w:rsidRPr="002448A4">
        <w:rPr>
          <w:rFonts w:ascii="Arial" w:hAnsi="Arial" w:cs="Arial"/>
          <w:u w:val="single"/>
        </w:rPr>
        <w:t>The founding affidavit</w:t>
      </w:r>
    </w:p>
    <w:p w:rsidR="002448A4" w:rsidRDefault="002448A4" w:rsidP="00225396">
      <w:pPr>
        <w:spacing w:after="240" w:line="360" w:lineRule="auto"/>
        <w:ind w:left="567" w:hanging="567"/>
        <w:jc w:val="both"/>
        <w:rPr>
          <w:rFonts w:ascii="Arial" w:hAnsi="Arial" w:cs="Arial"/>
        </w:rPr>
      </w:pPr>
      <w:r>
        <w:rPr>
          <w:rFonts w:ascii="Arial" w:hAnsi="Arial" w:cs="Arial"/>
        </w:rPr>
        <w:t>[3]</w:t>
      </w:r>
      <w:r>
        <w:rPr>
          <w:rFonts w:ascii="Arial" w:hAnsi="Arial" w:cs="Arial"/>
        </w:rPr>
        <w:tab/>
        <w:t>The applicants were, in the year 2020, interest</w:t>
      </w:r>
      <w:r w:rsidR="0086556F">
        <w:rPr>
          <w:rFonts w:ascii="Arial" w:hAnsi="Arial" w:cs="Arial"/>
        </w:rPr>
        <w:t>ed</w:t>
      </w:r>
      <w:r>
        <w:rPr>
          <w:rFonts w:ascii="Arial" w:hAnsi="Arial" w:cs="Arial"/>
        </w:rPr>
        <w:t xml:space="preserve"> in purchasing a residential property. They were referred to a certain </w:t>
      </w:r>
      <w:proofErr w:type="spellStart"/>
      <w:r>
        <w:rPr>
          <w:rFonts w:ascii="Arial" w:hAnsi="Arial" w:cs="Arial"/>
        </w:rPr>
        <w:t>Matshidiso</w:t>
      </w:r>
      <w:proofErr w:type="spellEnd"/>
      <w:r>
        <w:rPr>
          <w:rFonts w:ascii="Arial" w:hAnsi="Arial" w:cs="Arial"/>
        </w:rPr>
        <w:t xml:space="preserve"> Emily </w:t>
      </w:r>
      <w:proofErr w:type="spellStart"/>
      <w:r>
        <w:rPr>
          <w:rFonts w:ascii="Arial" w:hAnsi="Arial" w:cs="Arial"/>
        </w:rPr>
        <w:t>Morakabi</w:t>
      </w:r>
      <w:proofErr w:type="spellEnd"/>
      <w:r w:rsidR="007D08EE">
        <w:rPr>
          <w:rFonts w:ascii="Arial" w:hAnsi="Arial" w:cs="Arial"/>
        </w:rPr>
        <w:t xml:space="preserve"> (Mrs Morakabi)</w:t>
      </w:r>
      <w:r w:rsidR="0086556F">
        <w:rPr>
          <w:rFonts w:ascii="Arial" w:hAnsi="Arial" w:cs="Arial"/>
        </w:rPr>
        <w:t>,</w:t>
      </w:r>
      <w:r>
        <w:rPr>
          <w:rFonts w:ascii="Arial" w:hAnsi="Arial" w:cs="Arial"/>
        </w:rPr>
        <w:t xml:space="preserve"> who confirmed that she was indeed selling a property</w:t>
      </w:r>
      <w:r w:rsidR="00101BEF">
        <w:rPr>
          <w:rFonts w:ascii="Arial" w:hAnsi="Arial" w:cs="Arial"/>
        </w:rPr>
        <w:t xml:space="preserve"> that she</w:t>
      </w:r>
      <w:r>
        <w:rPr>
          <w:rFonts w:ascii="Arial" w:hAnsi="Arial" w:cs="Arial"/>
        </w:rPr>
        <w:t xml:space="preserve"> showe</w:t>
      </w:r>
      <w:r w:rsidR="00101BEF">
        <w:rPr>
          <w:rFonts w:ascii="Arial" w:hAnsi="Arial" w:cs="Arial"/>
        </w:rPr>
        <w:t>d to them. T</w:t>
      </w:r>
      <w:r w:rsidR="0086556F">
        <w:rPr>
          <w:rFonts w:ascii="Arial" w:hAnsi="Arial" w:cs="Arial"/>
        </w:rPr>
        <w:t>he applicants</w:t>
      </w:r>
      <w:r>
        <w:rPr>
          <w:rFonts w:ascii="Arial" w:hAnsi="Arial" w:cs="Arial"/>
        </w:rPr>
        <w:t xml:space="preserve"> wished to formalise the agreement</w:t>
      </w:r>
      <w:r w:rsidR="00101BEF">
        <w:rPr>
          <w:rFonts w:ascii="Arial" w:hAnsi="Arial" w:cs="Arial"/>
        </w:rPr>
        <w:t xml:space="preserve"> and instructed </w:t>
      </w:r>
      <w:r w:rsidR="0086556F">
        <w:rPr>
          <w:rFonts w:ascii="Arial" w:hAnsi="Arial" w:cs="Arial"/>
        </w:rPr>
        <w:t>Mess</w:t>
      </w:r>
      <w:r>
        <w:rPr>
          <w:rFonts w:ascii="Arial" w:hAnsi="Arial" w:cs="Arial"/>
        </w:rPr>
        <w:t xml:space="preserve">rs </w:t>
      </w:r>
      <w:proofErr w:type="spellStart"/>
      <w:r>
        <w:rPr>
          <w:rFonts w:ascii="Arial" w:hAnsi="Arial" w:cs="Arial"/>
        </w:rPr>
        <w:t>Phatsoane</w:t>
      </w:r>
      <w:proofErr w:type="spellEnd"/>
      <w:r>
        <w:rPr>
          <w:rFonts w:ascii="Arial" w:hAnsi="Arial" w:cs="Arial"/>
        </w:rPr>
        <w:t xml:space="preserve"> </w:t>
      </w:r>
      <w:proofErr w:type="spellStart"/>
      <w:r>
        <w:rPr>
          <w:rFonts w:ascii="Arial" w:hAnsi="Arial" w:cs="Arial"/>
        </w:rPr>
        <w:t>He</w:t>
      </w:r>
      <w:r w:rsidR="00101BEF">
        <w:rPr>
          <w:rFonts w:ascii="Arial" w:hAnsi="Arial" w:cs="Arial"/>
        </w:rPr>
        <w:t>nney</w:t>
      </w:r>
      <w:proofErr w:type="spellEnd"/>
      <w:r w:rsidR="00101BEF">
        <w:rPr>
          <w:rFonts w:ascii="Arial" w:hAnsi="Arial" w:cs="Arial"/>
        </w:rPr>
        <w:t xml:space="preserve"> Attorneys to do the necessary</w:t>
      </w:r>
      <w:r>
        <w:rPr>
          <w:rFonts w:ascii="Arial" w:hAnsi="Arial" w:cs="Arial"/>
        </w:rPr>
        <w:t xml:space="preserve">. </w:t>
      </w:r>
    </w:p>
    <w:p w:rsidR="00407088" w:rsidRDefault="002448A4" w:rsidP="00225396">
      <w:pPr>
        <w:spacing w:after="240" w:line="360" w:lineRule="auto"/>
        <w:ind w:left="567" w:hanging="567"/>
        <w:jc w:val="both"/>
        <w:rPr>
          <w:rFonts w:ascii="Arial" w:hAnsi="Arial" w:cs="Arial"/>
        </w:rPr>
      </w:pPr>
      <w:r>
        <w:rPr>
          <w:rFonts w:ascii="Arial" w:hAnsi="Arial" w:cs="Arial"/>
        </w:rPr>
        <w:t>[4]</w:t>
      </w:r>
      <w:r>
        <w:rPr>
          <w:rFonts w:ascii="Arial" w:hAnsi="Arial" w:cs="Arial"/>
        </w:rPr>
        <w:tab/>
        <w:t>The attorneys, before drafting the</w:t>
      </w:r>
      <w:r w:rsidR="00822808">
        <w:rPr>
          <w:rFonts w:ascii="Arial" w:hAnsi="Arial" w:cs="Arial"/>
        </w:rPr>
        <w:t xml:space="preserve"> formal documents, conducted a D</w:t>
      </w:r>
      <w:r>
        <w:rPr>
          <w:rFonts w:ascii="Arial" w:hAnsi="Arial" w:cs="Arial"/>
        </w:rPr>
        <w:t>eed</w:t>
      </w:r>
      <w:r w:rsidR="00822808">
        <w:rPr>
          <w:rFonts w:ascii="Arial" w:hAnsi="Arial" w:cs="Arial"/>
        </w:rPr>
        <w:t>s O</w:t>
      </w:r>
      <w:r>
        <w:rPr>
          <w:rFonts w:ascii="Arial" w:hAnsi="Arial" w:cs="Arial"/>
        </w:rPr>
        <w:t>ffice search and established that the property to be sold belonged</w:t>
      </w:r>
      <w:r w:rsidR="00822808">
        <w:rPr>
          <w:rFonts w:ascii="Arial" w:hAnsi="Arial" w:cs="Arial"/>
        </w:rPr>
        <w:t>,</w:t>
      </w:r>
      <w:r>
        <w:rPr>
          <w:rFonts w:ascii="Arial" w:hAnsi="Arial" w:cs="Arial"/>
        </w:rPr>
        <w:t xml:space="preserve"> and was registered</w:t>
      </w:r>
      <w:r w:rsidR="00822808">
        <w:rPr>
          <w:rFonts w:ascii="Arial" w:hAnsi="Arial" w:cs="Arial"/>
        </w:rPr>
        <w:t>,</w:t>
      </w:r>
      <w:r>
        <w:rPr>
          <w:rFonts w:ascii="Arial" w:hAnsi="Arial" w:cs="Arial"/>
        </w:rPr>
        <w:t xml:space="preserve"> in the names of </w:t>
      </w:r>
      <w:proofErr w:type="spellStart"/>
      <w:r>
        <w:rPr>
          <w:rFonts w:ascii="Arial" w:hAnsi="Arial" w:cs="Arial"/>
        </w:rPr>
        <w:t>Matshidiso</w:t>
      </w:r>
      <w:proofErr w:type="spellEnd"/>
      <w:r>
        <w:rPr>
          <w:rFonts w:ascii="Arial" w:hAnsi="Arial" w:cs="Arial"/>
        </w:rPr>
        <w:t xml:space="preserve"> Emily </w:t>
      </w:r>
      <w:proofErr w:type="spellStart"/>
      <w:r>
        <w:rPr>
          <w:rFonts w:ascii="Arial" w:hAnsi="Arial" w:cs="Arial"/>
        </w:rPr>
        <w:t>Morakabi</w:t>
      </w:r>
      <w:proofErr w:type="spellEnd"/>
      <w:r>
        <w:rPr>
          <w:rFonts w:ascii="Arial" w:hAnsi="Arial" w:cs="Arial"/>
        </w:rPr>
        <w:t xml:space="preserve"> </w:t>
      </w:r>
      <w:r w:rsidR="00407088">
        <w:rPr>
          <w:rFonts w:ascii="Arial" w:hAnsi="Arial" w:cs="Arial"/>
        </w:rPr>
        <w:t xml:space="preserve">and Philip Mahlomola Morakabi on 17 November 2014. </w:t>
      </w:r>
    </w:p>
    <w:p w:rsidR="00407088" w:rsidRDefault="00407088" w:rsidP="00225396">
      <w:pPr>
        <w:spacing w:after="240" w:line="360" w:lineRule="auto"/>
        <w:ind w:left="567" w:hanging="567"/>
        <w:jc w:val="both"/>
        <w:rPr>
          <w:rFonts w:ascii="Arial" w:hAnsi="Arial" w:cs="Arial"/>
        </w:rPr>
      </w:pPr>
      <w:r>
        <w:rPr>
          <w:rFonts w:ascii="Arial" w:hAnsi="Arial" w:cs="Arial"/>
        </w:rPr>
        <w:t>[5]</w:t>
      </w:r>
      <w:r>
        <w:rPr>
          <w:rFonts w:ascii="Arial" w:hAnsi="Arial" w:cs="Arial"/>
        </w:rPr>
        <w:tab/>
        <w:t>A written sale agreement was concluded on 28 October 2020 at the attorneys</w:t>
      </w:r>
      <w:r w:rsidR="00822808">
        <w:rPr>
          <w:rFonts w:ascii="Arial" w:hAnsi="Arial" w:cs="Arial"/>
        </w:rPr>
        <w:t>’</w:t>
      </w:r>
      <w:r>
        <w:rPr>
          <w:rFonts w:ascii="Arial" w:hAnsi="Arial" w:cs="Arial"/>
        </w:rPr>
        <w:t xml:space="preserve"> offices. As of this date, Philip Mahlomola Morakabi was deceased and the sale of the property agreement was</w:t>
      </w:r>
      <w:r w:rsidR="007D08EE">
        <w:rPr>
          <w:rFonts w:ascii="Arial" w:hAnsi="Arial" w:cs="Arial"/>
        </w:rPr>
        <w:t xml:space="preserve"> concluded with Mrs</w:t>
      </w:r>
      <w:r>
        <w:rPr>
          <w:rFonts w:ascii="Arial" w:hAnsi="Arial" w:cs="Arial"/>
        </w:rPr>
        <w:t xml:space="preserve"> Morakabi in her capacity as </w:t>
      </w:r>
      <w:r w:rsidR="00822808">
        <w:rPr>
          <w:rFonts w:ascii="Arial" w:hAnsi="Arial" w:cs="Arial"/>
        </w:rPr>
        <w:t xml:space="preserve">the </w:t>
      </w:r>
      <w:r>
        <w:rPr>
          <w:rFonts w:ascii="Arial" w:hAnsi="Arial" w:cs="Arial"/>
        </w:rPr>
        <w:t>representativ</w:t>
      </w:r>
      <w:r w:rsidR="00822808">
        <w:rPr>
          <w:rFonts w:ascii="Arial" w:hAnsi="Arial" w:cs="Arial"/>
        </w:rPr>
        <w:t>e of the deceased estate; where</w:t>
      </w:r>
      <w:r>
        <w:rPr>
          <w:rFonts w:ascii="Arial" w:hAnsi="Arial" w:cs="Arial"/>
        </w:rPr>
        <w:t>after the transfer and registration process began and was finalised on 15 January 2021.</w:t>
      </w:r>
    </w:p>
    <w:p w:rsidR="00407088" w:rsidRDefault="005A6CAA" w:rsidP="00225396">
      <w:pPr>
        <w:spacing w:after="240" w:line="360" w:lineRule="auto"/>
        <w:ind w:left="567" w:hanging="567"/>
        <w:jc w:val="both"/>
        <w:rPr>
          <w:rFonts w:ascii="Arial" w:hAnsi="Arial" w:cs="Arial"/>
        </w:rPr>
      </w:pPr>
      <w:r>
        <w:rPr>
          <w:rFonts w:ascii="Arial" w:hAnsi="Arial" w:cs="Arial"/>
        </w:rPr>
        <w:t>[6]</w:t>
      </w:r>
      <w:r>
        <w:rPr>
          <w:rFonts w:ascii="Arial" w:hAnsi="Arial" w:cs="Arial"/>
        </w:rPr>
        <w:tab/>
        <w:t>Mrs</w:t>
      </w:r>
      <w:r w:rsidR="00407088">
        <w:rPr>
          <w:rFonts w:ascii="Arial" w:hAnsi="Arial" w:cs="Arial"/>
        </w:rPr>
        <w:t xml:space="preserve"> M</w:t>
      </w:r>
      <w:r w:rsidR="003B06E9">
        <w:rPr>
          <w:rFonts w:ascii="Arial" w:hAnsi="Arial" w:cs="Arial"/>
        </w:rPr>
        <w:t>orakabi informed the applicants</w:t>
      </w:r>
      <w:r w:rsidR="00407088">
        <w:rPr>
          <w:rFonts w:ascii="Arial" w:hAnsi="Arial" w:cs="Arial"/>
        </w:rPr>
        <w:t xml:space="preserve"> that the relevant property was occupied by the first respondent and that she, as the owner of the property, would inform the first respondent that she would be selling the property</w:t>
      </w:r>
      <w:r w:rsidR="003B06E9">
        <w:rPr>
          <w:rFonts w:ascii="Arial" w:hAnsi="Arial" w:cs="Arial"/>
        </w:rPr>
        <w:t>. T</w:t>
      </w:r>
      <w:r w:rsidR="00407088">
        <w:rPr>
          <w:rFonts w:ascii="Arial" w:hAnsi="Arial" w:cs="Arial"/>
        </w:rPr>
        <w:t>he first respondent would have to vacate the property and or relinquish her occupancy of the premises by virtue of the sale. The applica</w:t>
      </w:r>
      <w:r w:rsidR="003B06E9">
        <w:rPr>
          <w:rFonts w:ascii="Arial" w:hAnsi="Arial" w:cs="Arial"/>
        </w:rPr>
        <w:t xml:space="preserve">nts could </w:t>
      </w:r>
      <w:r w:rsidR="00407088">
        <w:rPr>
          <w:rFonts w:ascii="Arial" w:hAnsi="Arial" w:cs="Arial"/>
        </w:rPr>
        <w:t>not confirm wh</w:t>
      </w:r>
      <w:r w:rsidR="00515B26">
        <w:rPr>
          <w:rFonts w:ascii="Arial" w:hAnsi="Arial" w:cs="Arial"/>
        </w:rPr>
        <w:t xml:space="preserve">ether </w:t>
      </w:r>
      <w:r w:rsidR="006D07F5">
        <w:rPr>
          <w:rFonts w:ascii="Arial" w:hAnsi="Arial" w:cs="Arial"/>
        </w:rPr>
        <w:t xml:space="preserve">Mrs </w:t>
      </w:r>
      <w:r w:rsidR="00515B26">
        <w:rPr>
          <w:rFonts w:ascii="Arial" w:hAnsi="Arial" w:cs="Arial"/>
        </w:rPr>
        <w:t>Morakabi did act accordingly</w:t>
      </w:r>
      <w:r w:rsidR="00126337">
        <w:rPr>
          <w:rFonts w:ascii="Arial" w:hAnsi="Arial" w:cs="Arial"/>
        </w:rPr>
        <w:t>.</w:t>
      </w:r>
    </w:p>
    <w:p w:rsidR="005664C9" w:rsidRDefault="00407088" w:rsidP="00225396">
      <w:pPr>
        <w:spacing w:after="240" w:line="360" w:lineRule="auto"/>
        <w:ind w:left="567" w:hanging="567"/>
        <w:jc w:val="both"/>
        <w:rPr>
          <w:rFonts w:ascii="Arial" w:hAnsi="Arial" w:cs="Arial"/>
        </w:rPr>
      </w:pPr>
      <w:r>
        <w:rPr>
          <w:rFonts w:ascii="Arial" w:hAnsi="Arial" w:cs="Arial"/>
        </w:rPr>
        <w:t>[7]</w:t>
      </w:r>
      <w:r>
        <w:rPr>
          <w:rFonts w:ascii="Arial" w:hAnsi="Arial" w:cs="Arial"/>
        </w:rPr>
        <w:tab/>
        <w:t>Early in January 2021, the applicants were informed by their attorneys that the property would soon register in the</w:t>
      </w:r>
      <w:r w:rsidR="00ED51AC">
        <w:rPr>
          <w:rFonts w:ascii="Arial" w:hAnsi="Arial" w:cs="Arial"/>
        </w:rPr>
        <w:t>ir names. They informed</w:t>
      </w:r>
      <w:r>
        <w:rPr>
          <w:rFonts w:ascii="Arial" w:hAnsi="Arial" w:cs="Arial"/>
        </w:rPr>
        <w:t xml:space="preserve"> </w:t>
      </w:r>
      <w:r w:rsidR="006D07F5">
        <w:rPr>
          <w:rFonts w:ascii="Arial" w:hAnsi="Arial" w:cs="Arial"/>
        </w:rPr>
        <w:t xml:space="preserve">Mrs </w:t>
      </w:r>
      <w:r w:rsidR="00ED51AC">
        <w:rPr>
          <w:rFonts w:ascii="Arial" w:hAnsi="Arial" w:cs="Arial"/>
        </w:rPr>
        <w:t>Morakabi</w:t>
      </w:r>
      <w:r>
        <w:rPr>
          <w:rFonts w:ascii="Arial" w:hAnsi="Arial" w:cs="Arial"/>
        </w:rPr>
        <w:t xml:space="preserve"> of the impending property registration and requested her</w:t>
      </w:r>
      <w:r w:rsidR="00515B26">
        <w:rPr>
          <w:rFonts w:ascii="Arial" w:hAnsi="Arial" w:cs="Arial"/>
        </w:rPr>
        <w:t xml:space="preserve"> to inform the first respondent</w:t>
      </w:r>
      <w:r w:rsidR="005664C9">
        <w:rPr>
          <w:rFonts w:ascii="Arial" w:hAnsi="Arial" w:cs="Arial"/>
        </w:rPr>
        <w:t xml:space="preserve"> to vacate the premises once the registration had taken place. </w:t>
      </w:r>
    </w:p>
    <w:p w:rsidR="005664C9" w:rsidRDefault="005664C9" w:rsidP="00225396">
      <w:pPr>
        <w:spacing w:after="240" w:line="360" w:lineRule="auto"/>
        <w:ind w:left="567" w:hanging="567"/>
        <w:jc w:val="both"/>
        <w:rPr>
          <w:rFonts w:ascii="Arial" w:hAnsi="Arial" w:cs="Arial"/>
        </w:rPr>
      </w:pPr>
      <w:r>
        <w:rPr>
          <w:rFonts w:ascii="Arial" w:hAnsi="Arial" w:cs="Arial"/>
        </w:rPr>
        <w:t>[8]</w:t>
      </w:r>
      <w:r>
        <w:rPr>
          <w:rFonts w:ascii="Arial" w:hAnsi="Arial" w:cs="Arial"/>
        </w:rPr>
        <w:tab/>
        <w:t xml:space="preserve">To their surprise, </w:t>
      </w:r>
      <w:r w:rsidR="006D07F5">
        <w:rPr>
          <w:rFonts w:ascii="Arial" w:hAnsi="Arial" w:cs="Arial"/>
        </w:rPr>
        <w:t xml:space="preserve">Mrs </w:t>
      </w:r>
      <w:r>
        <w:rPr>
          <w:rFonts w:ascii="Arial" w:hAnsi="Arial" w:cs="Arial"/>
        </w:rPr>
        <w:t>Morakabi informed them that she could not go to the first respondent and give her notice to vacate</w:t>
      </w:r>
      <w:r w:rsidR="00030C05">
        <w:rPr>
          <w:rFonts w:ascii="Arial" w:hAnsi="Arial" w:cs="Arial"/>
        </w:rPr>
        <w:t xml:space="preserve"> the property</w:t>
      </w:r>
      <w:r>
        <w:rPr>
          <w:rFonts w:ascii="Arial" w:hAnsi="Arial" w:cs="Arial"/>
        </w:rPr>
        <w:t xml:space="preserve"> by virtue of the following:</w:t>
      </w:r>
    </w:p>
    <w:p w:rsidR="005664C9" w:rsidRDefault="005664C9" w:rsidP="00225396">
      <w:pPr>
        <w:spacing w:after="240" w:line="360" w:lineRule="auto"/>
        <w:ind w:left="1134" w:hanging="567"/>
        <w:jc w:val="both"/>
        <w:rPr>
          <w:rFonts w:ascii="Arial" w:hAnsi="Arial" w:cs="Arial"/>
        </w:rPr>
      </w:pPr>
      <w:r>
        <w:rPr>
          <w:rFonts w:ascii="Arial" w:hAnsi="Arial" w:cs="Arial"/>
        </w:rPr>
        <w:t>1.</w:t>
      </w:r>
      <w:r>
        <w:rPr>
          <w:rFonts w:ascii="Arial" w:hAnsi="Arial" w:cs="Arial"/>
        </w:rPr>
        <w:tab/>
        <w:t>A family dispute existed between them;</w:t>
      </w:r>
    </w:p>
    <w:p w:rsidR="005664C9" w:rsidRDefault="005664C9" w:rsidP="00225396">
      <w:pPr>
        <w:spacing w:after="240" w:line="360" w:lineRule="auto"/>
        <w:ind w:left="1134" w:hanging="567"/>
        <w:jc w:val="both"/>
        <w:rPr>
          <w:rFonts w:ascii="Arial" w:hAnsi="Arial" w:cs="Arial"/>
        </w:rPr>
      </w:pPr>
      <w:r>
        <w:rPr>
          <w:rFonts w:ascii="Arial" w:hAnsi="Arial" w:cs="Arial"/>
        </w:rPr>
        <w:t>2.</w:t>
      </w:r>
      <w:r>
        <w:rPr>
          <w:rFonts w:ascii="Arial" w:hAnsi="Arial" w:cs="Arial"/>
        </w:rPr>
        <w:tab/>
        <w:t xml:space="preserve">She and the first respondent had a pending court dispute between them which prohibited her from going to the first respondent; and </w:t>
      </w:r>
    </w:p>
    <w:p w:rsidR="005664C9" w:rsidRDefault="005664C9" w:rsidP="00225396">
      <w:pPr>
        <w:spacing w:after="240" w:line="360" w:lineRule="auto"/>
        <w:ind w:left="1134" w:hanging="567"/>
        <w:jc w:val="both"/>
        <w:rPr>
          <w:rFonts w:ascii="Arial" w:hAnsi="Arial" w:cs="Arial"/>
        </w:rPr>
      </w:pPr>
      <w:r>
        <w:rPr>
          <w:rFonts w:ascii="Arial" w:hAnsi="Arial" w:cs="Arial"/>
        </w:rPr>
        <w:t>3.</w:t>
      </w:r>
      <w:r>
        <w:rPr>
          <w:rFonts w:ascii="Arial" w:hAnsi="Arial" w:cs="Arial"/>
        </w:rPr>
        <w:tab/>
        <w:t xml:space="preserve">That the duty to give the occupant notice rested upon the applicants as she would no longer be the owner of the property. </w:t>
      </w:r>
    </w:p>
    <w:p w:rsidR="005664C9" w:rsidRDefault="005664C9" w:rsidP="00225396">
      <w:pPr>
        <w:spacing w:after="240" w:line="360" w:lineRule="auto"/>
        <w:ind w:left="567" w:hanging="567"/>
        <w:jc w:val="both"/>
        <w:rPr>
          <w:rFonts w:ascii="Arial" w:hAnsi="Arial" w:cs="Arial"/>
        </w:rPr>
      </w:pPr>
      <w:r>
        <w:rPr>
          <w:rFonts w:ascii="Arial" w:hAnsi="Arial" w:cs="Arial"/>
        </w:rPr>
        <w:t>[9]</w:t>
      </w:r>
      <w:r>
        <w:rPr>
          <w:rFonts w:ascii="Arial" w:hAnsi="Arial" w:cs="Arial"/>
        </w:rPr>
        <w:tab/>
        <w:t>The applicants then approach</w:t>
      </w:r>
      <w:r w:rsidR="00151A17">
        <w:rPr>
          <w:rFonts w:ascii="Arial" w:hAnsi="Arial" w:cs="Arial"/>
        </w:rPr>
        <w:t>ed</w:t>
      </w:r>
      <w:r>
        <w:rPr>
          <w:rFonts w:ascii="Arial" w:hAnsi="Arial" w:cs="Arial"/>
        </w:rPr>
        <w:t xml:space="preserve"> the first respondent</w:t>
      </w:r>
      <w:r w:rsidR="00BB43D1">
        <w:rPr>
          <w:rFonts w:ascii="Arial" w:hAnsi="Arial" w:cs="Arial"/>
        </w:rPr>
        <w:t xml:space="preserve"> and informed her that they </w:t>
      </w:r>
      <w:r>
        <w:rPr>
          <w:rFonts w:ascii="Arial" w:hAnsi="Arial" w:cs="Arial"/>
        </w:rPr>
        <w:t>purchased the property which she had to vacate once the registration process was finalised. Their attempts in this regard were unsuccessful and in May 2021 they approached their attorneys who despatched a formal notice to vacate the premises to the first respondent. The first respondent</w:t>
      </w:r>
      <w:r w:rsidR="00BB43D1">
        <w:rPr>
          <w:rFonts w:ascii="Arial" w:hAnsi="Arial" w:cs="Arial"/>
        </w:rPr>
        <w:t xml:space="preserve"> opposed the legal steps</w:t>
      </w:r>
      <w:r>
        <w:rPr>
          <w:rFonts w:ascii="Arial" w:hAnsi="Arial" w:cs="Arial"/>
        </w:rPr>
        <w:t xml:space="preserve"> through her attorneys at Legal Aid. </w:t>
      </w:r>
    </w:p>
    <w:p w:rsidR="005664C9" w:rsidRDefault="005664C9" w:rsidP="00225396">
      <w:pPr>
        <w:spacing w:after="240" w:line="360" w:lineRule="auto"/>
        <w:ind w:left="567" w:hanging="567"/>
        <w:jc w:val="both"/>
        <w:rPr>
          <w:rFonts w:ascii="Arial" w:hAnsi="Arial" w:cs="Arial"/>
          <w:u w:val="single"/>
        </w:rPr>
      </w:pPr>
      <w:r w:rsidRPr="005664C9">
        <w:rPr>
          <w:rFonts w:ascii="Arial" w:hAnsi="Arial" w:cs="Arial"/>
          <w:u w:val="single"/>
        </w:rPr>
        <w:t xml:space="preserve">The opposing affidavit and </w:t>
      </w:r>
      <w:r w:rsidR="00CC0CFA">
        <w:rPr>
          <w:rFonts w:ascii="Arial" w:hAnsi="Arial" w:cs="Arial"/>
          <w:u w:val="single"/>
        </w:rPr>
        <w:t>counterapplication</w:t>
      </w:r>
    </w:p>
    <w:p w:rsidR="00A84618" w:rsidRDefault="005664C9" w:rsidP="00225396">
      <w:pPr>
        <w:spacing w:after="240" w:line="360" w:lineRule="auto"/>
        <w:ind w:left="567" w:hanging="567"/>
        <w:jc w:val="both"/>
        <w:rPr>
          <w:rFonts w:ascii="Arial" w:hAnsi="Arial" w:cs="Arial"/>
        </w:rPr>
      </w:pPr>
      <w:r>
        <w:rPr>
          <w:rFonts w:ascii="Arial" w:hAnsi="Arial" w:cs="Arial"/>
        </w:rPr>
        <w:t>[10]</w:t>
      </w:r>
      <w:r>
        <w:rPr>
          <w:rFonts w:ascii="Arial" w:hAnsi="Arial" w:cs="Arial"/>
        </w:rPr>
        <w:tab/>
        <w:t>The first respondent</w:t>
      </w:r>
      <w:r w:rsidR="00CC0CFA">
        <w:rPr>
          <w:rFonts w:ascii="Arial" w:hAnsi="Arial" w:cs="Arial"/>
        </w:rPr>
        <w:t>’s</w:t>
      </w:r>
      <w:r>
        <w:rPr>
          <w:rFonts w:ascii="Arial" w:hAnsi="Arial" w:cs="Arial"/>
        </w:rPr>
        <w:t xml:space="preserve"> opposi</w:t>
      </w:r>
      <w:r w:rsidR="00CC0CFA">
        <w:rPr>
          <w:rFonts w:ascii="Arial" w:hAnsi="Arial" w:cs="Arial"/>
        </w:rPr>
        <w:t>ng affidavit also served as the</w:t>
      </w:r>
      <w:r>
        <w:rPr>
          <w:rFonts w:ascii="Arial" w:hAnsi="Arial" w:cs="Arial"/>
        </w:rPr>
        <w:t xml:space="preserve"> founding paper</w:t>
      </w:r>
      <w:r w:rsidR="00CC0CFA">
        <w:rPr>
          <w:rFonts w:ascii="Arial" w:hAnsi="Arial" w:cs="Arial"/>
        </w:rPr>
        <w:t>s for her counterapplication. She averred</w:t>
      </w:r>
      <w:r>
        <w:rPr>
          <w:rFonts w:ascii="Arial" w:hAnsi="Arial" w:cs="Arial"/>
        </w:rPr>
        <w:t xml:space="preserve"> that her mother</w:t>
      </w:r>
      <w:r w:rsidR="00CC0CFA">
        <w:rPr>
          <w:rFonts w:ascii="Arial" w:hAnsi="Arial" w:cs="Arial"/>
        </w:rPr>
        <w:t>,</w:t>
      </w:r>
      <w:r>
        <w:rPr>
          <w:rFonts w:ascii="Arial" w:hAnsi="Arial" w:cs="Arial"/>
        </w:rPr>
        <w:t xml:space="preserve"> Kenalemang Angelina </w:t>
      </w:r>
      <w:r w:rsidR="00A84618">
        <w:rPr>
          <w:rFonts w:ascii="Arial" w:hAnsi="Arial" w:cs="Arial"/>
        </w:rPr>
        <w:t>M</w:t>
      </w:r>
      <w:r w:rsidR="00CC0CFA">
        <w:rPr>
          <w:rFonts w:ascii="Arial" w:hAnsi="Arial" w:cs="Arial"/>
        </w:rPr>
        <w:t>a</w:t>
      </w:r>
      <w:r w:rsidR="00AD7CD1">
        <w:rPr>
          <w:rFonts w:ascii="Arial" w:hAnsi="Arial" w:cs="Arial"/>
        </w:rPr>
        <w:t>bona, and Mrs</w:t>
      </w:r>
      <w:r w:rsidR="00A84618">
        <w:rPr>
          <w:rFonts w:ascii="Arial" w:hAnsi="Arial" w:cs="Arial"/>
        </w:rPr>
        <w:t xml:space="preserve"> Morakabi</w:t>
      </w:r>
      <w:r w:rsidR="00CC0CFA">
        <w:rPr>
          <w:rFonts w:ascii="Arial" w:hAnsi="Arial" w:cs="Arial"/>
        </w:rPr>
        <w:t>,</w:t>
      </w:r>
      <w:r w:rsidR="00A84618">
        <w:rPr>
          <w:rFonts w:ascii="Arial" w:hAnsi="Arial" w:cs="Arial"/>
        </w:rPr>
        <w:t xml:space="preserve"> are the children of her late grandmother, Sophie Mabona, who was allocated the p</w:t>
      </w:r>
      <w:r w:rsidR="00CC0CFA">
        <w:rPr>
          <w:rFonts w:ascii="Arial" w:hAnsi="Arial" w:cs="Arial"/>
        </w:rPr>
        <w:t>roperty in question as per a sit</w:t>
      </w:r>
      <w:r w:rsidR="00A84618">
        <w:rPr>
          <w:rFonts w:ascii="Arial" w:hAnsi="Arial" w:cs="Arial"/>
        </w:rPr>
        <w:t>e permit iss</w:t>
      </w:r>
      <w:r w:rsidR="00CC0CFA">
        <w:rPr>
          <w:rFonts w:ascii="Arial" w:hAnsi="Arial" w:cs="Arial"/>
        </w:rPr>
        <w:t xml:space="preserve">ued by the third respondent on </w:t>
      </w:r>
      <w:r w:rsidR="00A84618">
        <w:rPr>
          <w:rFonts w:ascii="Arial" w:hAnsi="Arial" w:cs="Arial"/>
        </w:rPr>
        <w:t xml:space="preserve">9 February 1984. She was raised by her grandmother and occupied the property since birth. </w:t>
      </w:r>
    </w:p>
    <w:p w:rsidR="00A84618" w:rsidRDefault="004E237D" w:rsidP="00225396">
      <w:pPr>
        <w:spacing w:after="240" w:line="360" w:lineRule="auto"/>
        <w:ind w:left="567" w:hanging="567"/>
        <w:jc w:val="both"/>
        <w:rPr>
          <w:rFonts w:ascii="Arial" w:hAnsi="Arial" w:cs="Arial"/>
        </w:rPr>
      </w:pPr>
      <w:r>
        <w:rPr>
          <w:rFonts w:ascii="Arial" w:hAnsi="Arial" w:cs="Arial"/>
        </w:rPr>
        <w:t>[11]</w:t>
      </w:r>
      <w:r>
        <w:rPr>
          <w:rFonts w:ascii="Arial" w:hAnsi="Arial" w:cs="Arial"/>
        </w:rPr>
        <w:tab/>
        <w:t xml:space="preserve">Her grandmother died on </w:t>
      </w:r>
      <w:r w:rsidR="00A84618">
        <w:rPr>
          <w:rFonts w:ascii="Arial" w:hAnsi="Arial" w:cs="Arial"/>
        </w:rPr>
        <w:t>8 June 2010</w:t>
      </w:r>
      <w:r>
        <w:rPr>
          <w:rFonts w:ascii="Arial" w:hAnsi="Arial" w:cs="Arial"/>
        </w:rPr>
        <w:t>. S</w:t>
      </w:r>
      <w:r w:rsidR="00A84618">
        <w:rPr>
          <w:rFonts w:ascii="Arial" w:hAnsi="Arial" w:cs="Arial"/>
        </w:rPr>
        <w:t xml:space="preserve">he was 31 </w:t>
      </w:r>
      <w:r>
        <w:rPr>
          <w:rFonts w:ascii="Arial" w:hAnsi="Arial" w:cs="Arial"/>
        </w:rPr>
        <w:t>years</w:t>
      </w:r>
      <w:r w:rsidR="00A84618">
        <w:rPr>
          <w:rFonts w:ascii="Arial" w:hAnsi="Arial" w:cs="Arial"/>
        </w:rPr>
        <w:t xml:space="preserve"> at the time. She resided at the property with her grandmother until the date of her death. Her mother and aunt never lived with her grandmother. </w:t>
      </w:r>
    </w:p>
    <w:p w:rsidR="00A84618" w:rsidRDefault="00A84618" w:rsidP="00225396">
      <w:pPr>
        <w:spacing w:after="240" w:line="360" w:lineRule="auto"/>
        <w:ind w:left="567" w:hanging="567"/>
        <w:jc w:val="both"/>
        <w:rPr>
          <w:rFonts w:ascii="Arial" w:hAnsi="Arial" w:cs="Arial"/>
        </w:rPr>
      </w:pPr>
      <w:r>
        <w:rPr>
          <w:rFonts w:ascii="Arial" w:hAnsi="Arial" w:cs="Arial"/>
        </w:rPr>
        <w:t>[12]</w:t>
      </w:r>
      <w:r>
        <w:rPr>
          <w:rFonts w:ascii="Arial" w:hAnsi="Arial" w:cs="Arial"/>
        </w:rPr>
        <w:tab/>
        <w:t>She approach</w:t>
      </w:r>
      <w:r w:rsidR="004E237D">
        <w:rPr>
          <w:rFonts w:ascii="Arial" w:hAnsi="Arial" w:cs="Arial"/>
        </w:rPr>
        <w:t>ed the M</w:t>
      </w:r>
      <w:r>
        <w:rPr>
          <w:rFonts w:ascii="Arial" w:hAnsi="Arial" w:cs="Arial"/>
        </w:rPr>
        <w:t>aster of the High Court in 2014 when it came to her attention that he</w:t>
      </w:r>
      <w:r w:rsidR="0063187F">
        <w:rPr>
          <w:rFonts w:ascii="Arial" w:hAnsi="Arial" w:cs="Arial"/>
        </w:rPr>
        <w:t>r aunt,</w:t>
      </w:r>
      <w:r w:rsidR="004E237D">
        <w:rPr>
          <w:rFonts w:ascii="Arial" w:hAnsi="Arial" w:cs="Arial"/>
        </w:rPr>
        <w:t xml:space="preserve"> </w:t>
      </w:r>
      <w:r w:rsidR="00AD7CD1">
        <w:rPr>
          <w:rFonts w:ascii="Arial" w:hAnsi="Arial" w:cs="Arial"/>
        </w:rPr>
        <w:t xml:space="preserve">Mrs </w:t>
      </w:r>
      <w:r w:rsidR="004E237D">
        <w:rPr>
          <w:rFonts w:ascii="Arial" w:hAnsi="Arial" w:cs="Arial"/>
        </w:rPr>
        <w:t>Morakabi, had obtained Letters of A</w:t>
      </w:r>
      <w:r>
        <w:rPr>
          <w:rFonts w:ascii="Arial" w:hAnsi="Arial" w:cs="Arial"/>
        </w:rPr>
        <w:t>uthority in relation to her grandmother’s estate in a fraudulent manner.</w:t>
      </w:r>
      <w:r w:rsidR="006B2344">
        <w:rPr>
          <w:rFonts w:ascii="Arial" w:hAnsi="Arial" w:cs="Arial"/>
        </w:rPr>
        <w:t xml:space="preserve"> The Master issued fresh Letters of A</w:t>
      </w:r>
      <w:r>
        <w:rPr>
          <w:rFonts w:ascii="Arial" w:hAnsi="Arial" w:cs="Arial"/>
        </w:rPr>
        <w:t>uthority in the names of both her mother and her aunt</w:t>
      </w:r>
      <w:r w:rsidR="0063187F">
        <w:rPr>
          <w:rFonts w:ascii="Arial" w:hAnsi="Arial" w:cs="Arial"/>
        </w:rPr>
        <w:t>,</w:t>
      </w:r>
      <w:r w:rsidR="006B2344">
        <w:rPr>
          <w:rFonts w:ascii="Arial" w:hAnsi="Arial" w:cs="Arial"/>
        </w:rPr>
        <w:t xml:space="preserve"> </w:t>
      </w:r>
      <w:r w:rsidR="00AD7CD1">
        <w:rPr>
          <w:rFonts w:ascii="Arial" w:hAnsi="Arial" w:cs="Arial"/>
        </w:rPr>
        <w:t xml:space="preserve">Mrs </w:t>
      </w:r>
      <w:r w:rsidR="006B2344">
        <w:rPr>
          <w:rFonts w:ascii="Arial" w:hAnsi="Arial" w:cs="Arial"/>
        </w:rPr>
        <w:t>Morakabi. It</w:t>
      </w:r>
      <w:r>
        <w:rPr>
          <w:rFonts w:ascii="Arial" w:hAnsi="Arial" w:cs="Arial"/>
        </w:rPr>
        <w:t xml:space="preserve"> appear</w:t>
      </w:r>
      <w:r w:rsidR="006B2344">
        <w:rPr>
          <w:rFonts w:ascii="Arial" w:hAnsi="Arial" w:cs="Arial"/>
        </w:rPr>
        <w:t>ed to her</w:t>
      </w:r>
      <w:r w:rsidR="0063187F">
        <w:rPr>
          <w:rFonts w:ascii="Arial" w:hAnsi="Arial" w:cs="Arial"/>
        </w:rPr>
        <w:t xml:space="preserve"> that </w:t>
      </w:r>
      <w:r>
        <w:rPr>
          <w:rFonts w:ascii="Arial" w:hAnsi="Arial" w:cs="Arial"/>
        </w:rPr>
        <w:t>Morakabi had purposely omitted her mother’s name from the next</w:t>
      </w:r>
      <w:r w:rsidR="006B2344">
        <w:rPr>
          <w:rFonts w:ascii="Arial" w:hAnsi="Arial" w:cs="Arial"/>
        </w:rPr>
        <w:t>-</w:t>
      </w:r>
      <w:r>
        <w:rPr>
          <w:rFonts w:ascii="Arial" w:hAnsi="Arial" w:cs="Arial"/>
        </w:rPr>
        <w:t>of</w:t>
      </w:r>
      <w:r w:rsidR="006B2344">
        <w:rPr>
          <w:rFonts w:ascii="Arial" w:hAnsi="Arial" w:cs="Arial"/>
        </w:rPr>
        <w:t>-</w:t>
      </w:r>
      <w:r>
        <w:rPr>
          <w:rFonts w:ascii="Arial" w:hAnsi="Arial" w:cs="Arial"/>
        </w:rPr>
        <w:t>kin affidavit</w:t>
      </w:r>
      <w:r w:rsidR="006B2344">
        <w:rPr>
          <w:rFonts w:ascii="Arial" w:hAnsi="Arial" w:cs="Arial"/>
        </w:rPr>
        <w:t>,</w:t>
      </w:r>
      <w:r>
        <w:rPr>
          <w:rFonts w:ascii="Arial" w:hAnsi="Arial" w:cs="Arial"/>
        </w:rPr>
        <w:t xml:space="preserve"> creating the impression that she was the only child of her deceased grandmother</w:t>
      </w:r>
      <w:r w:rsidR="006B2344">
        <w:rPr>
          <w:rFonts w:ascii="Arial" w:hAnsi="Arial" w:cs="Arial"/>
        </w:rPr>
        <w:t xml:space="preserve">. As a result, she was </w:t>
      </w:r>
      <w:r>
        <w:rPr>
          <w:rFonts w:ascii="Arial" w:hAnsi="Arial" w:cs="Arial"/>
        </w:rPr>
        <w:t>appointed as</w:t>
      </w:r>
      <w:r w:rsidR="006B2344">
        <w:rPr>
          <w:rFonts w:ascii="Arial" w:hAnsi="Arial" w:cs="Arial"/>
        </w:rPr>
        <w:t xml:space="preserve"> the sole representative of the estate. Copies of all the</w:t>
      </w:r>
      <w:r>
        <w:rPr>
          <w:rFonts w:ascii="Arial" w:hAnsi="Arial" w:cs="Arial"/>
        </w:rPr>
        <w:t>s</w:t>
      </w:r>
      <w:r w:rsidR="006B2344">
        <w:rPr>
          <w:rFonts w:ascii="Arial" w:hAnsi="Arial" w:cs="Arial"/>
        </w:rPr>
        <w:t>e</w:t>
      </w:r>
      <w:r>
        <w:rPr>
          <w:rFonts w:ascii="Arial" w:hAnsi="Arial" w:cs="Arial"/>
        </w:rPr>
        <w:t xml:space="preserve"> documents</w:t>
      </w:r>
      <w:r w:rsidR="006B2344">
        <w:rPr>
          <w:rFonts w:ascii="Arial" w:hAnsi="Arial" w:cs="Arial"/>
        </w:rPr>
        <w:t>, including the revoked L</w:t>
      </w:r>
      <w:r>
        <w:rPr>
          <w:rFonts w:ascii="Arial" w:hAnsi="Arial" w:cs="Arial"/>
        </w:rPr>
        <w:t>etter</w:t>
      </w:r>
      <w:r w:rsidR="006B2344">
        <w:rPr>
          <w:rFonts w:ascii="Arial" w:hAnsi="Arial" w:cs="Arial"/>
        </w:rPr>
        <w:t>s of A</w:t>
      </w:r>
      <w:r>
        <w:rPr>
          <w:rFonts w:ascii="Arial" w:hAnsi="Arial" w:cs="Arial"/>
        </w:rPr>
        <w:t>uthority</w:t>
      </w:r>
      <w:r w:rsidR="006B2344">
        <w:rPr>
          <w:rFonts w:ascii="Arial" w:hAnsi="Arial" w:cs="Arial"/>
        </w:rPr>
        <w:t>,</w:t>
      </w:r>
      <w:r>
        <w:rPr>
          <w:rFonts w:ascii="Arial" w:hAnsi="Arial" w:cs="Arial"/>
        </w:rPr>
        <w:t xml:space="preserve"> were attached to the first respondent’s opposing affidavit.</w:t>
      </w:r>
    </w:p>
    <w:p w:rsidR="000B35EF" w:rsidRDefault="00A84618" w:rsidP="00225396">
      <w:pPr>
        <w:spacing w:after="240" w:line="360" w:lineRule="auto"/>
        <w:ind w:left="567" w:hanging="567"/>
        <w:jc w:val="both"/>
        <w:rPr>
          <w:rFonts w:ascii="Arial" w:hAnsi="Arial" w:cs="Arial"/>
        </w:rPr>
      </w:pPr>
      <w:r>
        <w:rPr>
          <w:rFonts w:ascii="Arial" w:hAnsi="Arial" w:cs="Arial"/>
        </w:rPr>
        <w:t>[13]</w:t>
      </w:r>
      <w:r>
        <w:rPr>
          <w:rFonts w:ascii="Arial" w:hAnsi="Arial" w:cs="Arial"/>
        </w:rPr>
        <w:tab/>
        <w:t xml:space="preserve">It was clear to her that her aunt </w:t>
      </w:r>
      <w:r w:rsidR="000B35EF">
        <w:rPr>
          <w:rFonts w:ascii="Arial" w:hAnsi="Arial" w:cs="Arial"/>
        </w:rPr>
        <w:t>did not have the right to sell the property</w:t>
      </w:r>
      <w:r w:rsidR="001A03A3">
        <w:rPr>
          <w:rFonts w:ascii="Arial" w:hAnsi="Arial" w:cs="Arial"/>
        </w:rPr>
        <w:t>. This fact and</w:t>
      </w:r>
      <w:r w:rsidR="000B35EF">
        <w:rPr>
          <w:rFonts w:ascii="Arial" w:hAnsi="Arial" w:cs="Arial"/>
        </w:rPr>
        <w:t xml:space="preserve"> state of affairs </w:t>
      </w:r>
      <w:r w:rsidR="001A03A3">
        <w:rPr>
          <w:rFonts w:ascii="Arial" w:hAnsi="Arial" w:cs="Arial"/>
        </w:rPr>
        <w:t>were</w:t>
      </w:r>
      <w:r w:rsidR="000B35EF">
        <w:rPr>
          <w:rFonts w:ascii="Arial" w:hAnsi="Arial" w:cs="Arial"/>
        </w:rPr>
        <w:t xml:space="preserve"> brought to the attention of the applicant’s attorneys through the exchange of correspondence between her attorneys and the applicants’. She was advised that the third respondent had a duty to conduct an </w:t>
      </w:r>
      <w:r w:rsidR="001A03A3">
        <w:rPr>
          <w:rFonts w:ascii="Arial" w:hAnsi="Arial" w:cs="Arial"/>
        </w:rPr>
        <w:t>inquiry</w:t>
      </w:r>
      <w:r w:rsidR="000B35EF">
        <w:rPr>
          <w:rFonts w:ascii="Arial" w:hAnsi="Arial" w:cs="Arial"/>
        </w:rPr>
        <w:t xml:space="preserve"> in accordance with the Conversion</w:t>
      </w:r>
      <w:r w:rsidR="0063187F">
        <w:rPr>
          <w:rFonts w:ascii="Arial" w:hAnsi="Arial" w:cs="Arial"/>
        </w:rPr>
        <w:t xml:space="preserve"> Act.</w:t>
      </w:r>
      <w:r w:rsidR="000B35EF">
        <w:rPr>
          <w:rFonts w:ascii="Arial" w:hAnsi="Arial" w:cs="Arial"/>
        </w:rPr>
        <w:t xml:space="preserve"> She was convinced that </w:t>
      </w:r>
      <w:r w:rsidR="001A03A3">
        <w:rPr>
          <w:rFonts w:ascii="Arial" w:hAnsi="Arial" w:cs="Arial"/>
        </w:rPr>
        <w:t>the</w:t>
      </w:r>
      <w:r w:rsidR="000B35EF">
        <w:rPr>
          <w:rFonts w:ascii="Arial" w:hAnsi="Arial" w:cs="Arial"/>
        </w:rPr>
        <w:t xml:space="preserve"> </w:t>
      </w:r>
      <w:r w:rsidR="001A03A3">
        <w:rPr>
          <w:rFonts w:ascii="Arial" w:hAnsi="Arial" w:cs="Arial"/>
        </w:rPr>
        <w:t>inquiry</w:t>
      </w:r>
      <w:r w:rsidR="000B35EF">
        <w:rPr>
          <w:rFonts w:ascii="Arial" w:hAnsi="Arial" w:cs="Arial"/>
        </w:rPr>
        <w:t xml:space="preserve"> was never done as she </w:t>
      </w:r>
      <w:r w:rsidR="001A03A3">
        <w:rPr>
          <w:rFonts w:ascii="Arial" w:hAnsi="Arial" w:cs="Arial"/>
        </w:rPr>
        <w:t>was never approached</w:t>
      </w:r>
      <w:r w:rsidR="000B35EF">
        <w:rPr>
          <w:rFonts w:ascii="Arial" w:hAnsi="Arial" w:cs="Arial"/>
        </w:rPr>
        <w:t xml:space="preserve"> by </w:t>
      </w:r>
      <w:r w:rsidR="001A03A3">
        <w:rPr>
          <w:rFonts w:ascii="Arial" w:hAnsi="Arial" w:cs="Arial"/>
        </w:rPr>
        <w:t>anyone</w:t>
      </w:r>
      <w:r w:rsidR="000B35EF">
        <w:rPr>
          <w:rFonts w:ascii="Arial" w:hAnsi="Arial" w:cs="Arial"/>
        </w:rPr>
        <w:t xml:space="preserve"> from the third respondent who had the duty to establish who the occupants</w:t>
      </w:r>
      <w:r w:rsidR="001A03A3">
        <w:rPr>
          <w:rFonts w:ascii="Arial" w:hAnsi="Arial" w:cs="Arial"/>
        </w:rPr>
        <w:t xml:space="preserve"> of the property</w:t>
      </w:r>
      <w:r w:rsidR="000B35EF">
        <w:rPr>
          <w:rFonts w:ascii="Arial" w:hAnsi="Arial" w:cs="Arial"/>
        </w:rPr>
        <w:t xml:space="preserve"> were</w:t>
      </w:r>
      <w:r w:rsidR="001A03A3">
        <w:rPr>
          <w:rFonts w:ascii="Arial" w:hAnsi="Arial" w:cs="Arial"/>
        </w:rPr>
        <w:t>,</w:t>
      </w:r>
      <w:r w:rsidR="000B35EF">
        <w:rPr>
          <w:rFonts w:ascii="Arial" w:hAnsi="Arial" w:cs="Arial"/>
        </w:rPr>
        <w:t xml:space="preserve"> as pa</w:t>
      </w:r>
      <w:r w:rsidR="001A03A3">
        <w:rPr>
          <w:rFonts w:ascii="Arial" w:hAnsi="Arial" w:cs="Arial"/>
        </w:rPr>
        <w:t>rt of the inquiry.</w:t>
      </w:r>
      <w:r w:rsidR="000B35EF">
        <w:rPr>
          <w:rFonts w:ascii="Arial" w:hAnsi="Arial" w:cs="Arial"/>
        </w:rPr>
        <w:t xml:space="preserve"> </w:t>
      </w:r>
    </w:p>
    <w:p w:rsidR="000B35EF" w:rsidRDefault="000B35EF" w:rsidP="00225396">
      <w:pPr>
        <w:spacing w:after="240" w:line="360" w:lineRule="auto"/>
        <w:ind w:left="567" w:hanging="567"/>
        <w:jc w:val="both"/>
        <w:rPr>
          <w:rFonts w:ascii="Arial" w:hAnsi="Arial" w:cs="Arial"/>
        </w:rPr>
      </w:pPr>
      <w:r>
        <w:rPr>
          <w:rFonts w:ascii="Arial" w:hAnsi="Arial" w:cs="Arial"/>
        </w:rPr>
        <w:t>[14]</w:t>
      </w:r>
      <w:r>
        <w:rPr>
          <w:rFonts w:ascii="Arial" w:hAnsi="Arial" w:cs="Arial"/>
        </w:rPr>
        <w:tab/>
        <w:t>Her occupation of the property was never unlawful as her right to occupy was never termin</w:t>
      </w:r>
      <w:r w:rsidR="004F7390">
        <w:rPr>
          <w:rFonts w:ascii="Arial" w:hAnsi="Arial" w:cs="Arial"/>
        </w:rPr>
        <w:t>ated by the lawfully appointed M</w:t>
      </w:r>
      <w:r>
        <w:rPr>
          <w:rFonts w:ascii="Arial" w:hAnsi="Arial" w:cs="Arial"/>
        </w:rPr>
        <w:t>aster</w:t>
      </w:r>
      <w:r w:rsidR="004F7390">
        <w:rPr>
          <w:rFonts w:ascii="Arial" w:hAnsi="Arial" w:cs="Arial"/>
        </w:rPr>
        <w:t>’s</w:t>
      </w:r>
      <w:r>
        <w:rPr>
          <w:rFonts w:ascii="Arial" w:hAnsi="Arial" w:cs="Arial"/>
        </w:rPr>
        <w:t xml:space="preserve"> representatives of the estate of her late grandmother. </w:t>
      </w:r>
    </w:p>
    <w:p w:rsidR="001A65D3" w:rsidRDefault="000B35EF" w:rsidP="00225396">
      <w:pPr>
        <w:spacing w:after="240" w:line="360" w:lineRule="auto"/>
        <w:ind w:left="567" w:hanging="567"/>
        <w:jc w:val="both"/>
        <w:rPr>
          <w:rFonts w:ascii="Arial" w:hAnsi="Arial" w:cs="Arial"/>
        </w:rPr>
      </w:pPr>
      <w:r>
        <w:rPr>
          <w:rFonts w:ascii="Arial" w:hAnsi="Arial" w:cs="Arial"/>
        </w:rPr>
        <w:t>[15]</w:t>
      </w:r>
      <w:r>
        <w:rPr>
          <w:rFonts w:ascii="Arial" w:hAnsi="Arial" w:cs="Arial"/>
        </w:rPr>
        <w:tab/>
        <w:t xml:space="preserve">Her averments </w:t>
      </w:r>
      <w:r w:rsidR="001A65D3">
        <w:rPr>
          <w:rFonts w:ascii="Arial" w:hAnsi="Arial" w:cs="Arial"/>
        </w:rPr>
        <w:t>were confirmed by her mother, Kenalemang M</w:t>
      </w:r>
      <w:r w:rsidR="00002CEF">
        <w:rPr>
          <w:rFonts w:ascii="Arial" w:hAnsi="Arial" w:cs="Arial"/>
        </w:rPr>
        <w:t>a</w:t>
      </w:r>
      <w:r w:rsidR="001A65D3">
        <w:rPr>
          <w:rFonts w:ascii="Arial" w:hAnsi="Arial" w:cs="Arial"/>
        </w:rPr>
        <w:t>bona</w:t>
      </w:r>
      <w:r w:rsidR="00002CEF">
        <w:rPr>
          <w:rFonts w:ascii="Arial" w:hAnsi="Arial" w:cs="Arial"/>
        </w:rPr>
        <w:t>,</w:t>
      </w:r>
      <w:r w:rsidR="001A65D3">
        <w:rPr>
          <w:rFonts w:ascii="Arial" w:hAnsi="Arial" w:cs="Arial"/>
        </w:rPr>
        <w:t xml:space="preserve"> who state</w:t>
      </w:r>
      <w:r w:rsidR="00002CEF">
        <w:rPr>
          <w:rFonts w:ascii="Arial" w:hAnsi="Arial" w:cs="Arial"/>
        </w:rPr>
        <w:t>d in her affidavit</w:t>
      </w:r>
      <w:r w:rsidR="001A65D3">
        <w:rPr>
          <w:rFonts w:ascii="Arial" w:hAnsi="Arial" w:cs="Arial"/>
        </w:rPr>
        <w:t xml:space="preserve"> that she was the first respondent’s mother and was appoin</w:t>
      </w:r>
      <w:r w:rsidR="00D74AA1">
        <w:rPr>
          <w:rFonts w:ascii="Arial" w:hAnsi="Arial" w:cs="Arial"/>
        </w:rPr>
        <w:t>ted, together with her sister,</w:t>
      </w:r>
      <w:r w:rsidR="005511B0">
        <w:rPr>
          <w:rFonts w:ascii="Arial" w:hAnsi="Arial" w:cs="Arial"/>
        </w:rPr>
        <w:t xml:space="preserve"> </w:t>
      </w:r>
      <w:r w:rsidR="00AD7CD1">
        <w:rPr>
          <w:rFonts w:ascii="Arial" w:hAnsi="Arial" w:cs="Arial"/>
        </w:rPr>
        <w:t>Mrs</w:t>
      </w:r>
      <w:r w:rsidR="00D74AA1">
        <w:rPr>
          <w:rFonts w:ascii="Arial" w:hAnsi="Arial" w:cs="Arial"/>
        </w:rPr>
        <w:t xml:space="preserve"> </w:t>
      </w:r>
      <w:proofErr w:type="spellStart"/>
      <w:r w:rsidR="001A65D3">
        <w:rPr>
          <w:rFonts w:ascii="Arial" w:hAnsi="Arial" w:cs="Arial"/>
        </w:rPr>
        <w:t>Morakabi</w:t>
      </w:r>
      <w:proofErr w:type="spellEnd"/>
      <w:r w:rsidR="001A65D3">
        <w:rPr>
          <w:rFonts w:ascii="Arial" w:hAnsi="Arial" w:cs="Arial"/>
        </w:rPr>
        <w:t>, as representatives of the estate of their late mother. She never agreed to</w:t>
      </w:r>
      <w:r w:rsidR="00002CEF">
        <w:rPr>
          <w:rFonts w:ascii="Arial" w:hAnsi="Arial" w:cs="Arial"/>
        </w:rPr>
        <w:t>,</w:t>
      </w:r>
      <w:r w:rsidR="001A65D3">
        <w:rPr>
          <w:rFonts w:ascii="Arial" w:hAnsi="Arial" w:cs="Arial"/>
        </w:rPr>
        <w:t xml:space="preserve"> nor was she aware of the sale of the property to </w:t>
      </w:r>
      <w:r w:rsidR="00D74AA1">
        <w:rPr>
          <w:rFonts w:ascii="Arial" w:hAnsi="Arial" w:cs="Arial"/>
        </w:rPr>
        <w:t>the applicants.</w:t>
      </w:r>
      <w:r w:rsidR="001A65D3">
        <w:rPr>
          <w:rFonts w:ascii="Arial" w:hAnsi="Arial" w:cs="Arial"/>
        </w:rPr>
        <w:t xml:space="preserve"> </w:t>
      </w:r>
      <w:r w:rsidR="00AD7CD1">
        <w:rPr>
          <w:rFonts w:ascii="Arial" w:hAnsi="Arial" w:cs="Arial"/>
        </w:rPr>
        <w:t xml:space="preserve">Mrs </w:t>
      </w:r>
      <w:r w:rsidR="001A65D3">
        <w:rPr>
          <w:rFonts w:ascii="Arial" w:hAnsi="Arial" w:cs="Arial"/>
        </w:rPr>
        <w:t xml:space="preserve">Morakabi never obtained her permission to dispose of the property of her late mother and she </w:t>
      </w:r>
      <w:r w:rsidR="00002CEF">
        <w:rPr>
          <w:rFonts w:ascii="Arial" w:hAnsi="Arial" w:cs="Arial"/>
        </w:rPr>
        <w:t>was not a</w:t>
      </w:r>
      <w:r w:rsidR="001A65D3">
        <w:rPr>
          <w:rFonts w:ascii="Arial" w:hAnsi="Arial" w:cs="Arial"/>
        </w:rPr>
        <w:t xml:space="preserve">ware of any </w:t>
      </w:r>
      <w:r w:rsidR="00D74AA1">
        <w:rPr>
          <w:rFonts w:ascii="Arial" w:hAnsi="Arial" w:cs="Arial"/>
        </w:rPr>
        <w:t>inquiries by the</w:t>
      </w:r>
      <w:r w:rsidR="001A65D3">
        <w:rPr>
          <w:rFonts w:ascii="Arial" w:hAnsi="Arial" w:cs="Arial"/>
        </w:rPr>
        <w:t xml:space="preserve"> third respondent</w:t>
      </w:r>
      <w:r w:rsidR="00002CEF">
        <w:rPr>
          <w:rFonts w:ascii="Arial" w:hAnsi="Arial" w:cs="Arial"/>
        </w:rPr>
        <w:t>. T</w:t>
      </w:r>
      <w:r w:rsidR="00E43A8B">
        <w:rPr>
          <w:rFonts w:ascii="Arial" w:hAnsi="Arial" w:cs="Arial"/>
        </w:rPr>
        <w:t xml:space="preserve">he first respondent resided on </w:t>
      </w:r>
      <w:r w:rsidR="001A65D3">
        <w:rPr>
          <w:rFonts w:ascii="Arial" w:hAnsi="Arial" w:cs="Arial"/>
        </w:rPr>
        <w:t xml:space="preserve">the property in question since her birth. </w:t>
      </w:r>
    </w:p>
    <w:p w:rsidR="00AD43F1" w:rsidRDefault="001A65D3" w:rsidP="00225396">
      <w:pPr>
        <w:spacing w:after="240" w:line="360" w:lineRule="auto"/>
        <w:ind w:left="567" w:hanging="567"/>
        <w:jc w:val="both"/>
        <w:rPr>
          <w:rFonts w:ascii="Arial" w:hAnsi="Arial" w:cs="Arial"/>
        </w:rPr>
      </w:pPr>
      <w:r>
        <w:rPr>
          <w:rFonts w:ascii="Arial" w:hAnsi="Arial" w:cs="Arial"/>
        </w:rPr>
        <w:t>[16]</w:t>
      </w:r>
      <w:r>
        <w:rPr>
          <w:rFonts w:ascii="Arial" w:hAnsi="Arial" w:cs="Arial"/>
        </w:rPr>
        <w:tab/>
        <w:t>The first respondent stated that she ha</w:t>
      </w:r>
      <w:r w:rsidR="00402307">
        <w:rPr>
          <w:rFonts w:ascii="Arial" w:hAnsi="Arial" w:cs="Arial"/>
        </w:rPr>
        <w:t>d a protection order against</w:t>
      </w:r>
      <w:r>
        <w:rPr>
          <w:rFonts w:ascii="Arial" w:hAnsi="Arial" w:cs="Arial"/>
        </w:rPr>
        <w:t xml:space="preserve"> </w:t>
      </w:r>
      <w:r w:rsidR="00AD7CD1">
        <w:rPr>
          <w:rFonts w:ascii="Arial" w:hAnsi="Arial" w:cs="Arial"/>
        </w:rPr>
        <w:t xml:space="preserve">Mrs </w:t>
      </w:r>
      <w:r>
        <w:rPr>
          <w:rFonts w:ascii="Arial" w:hAnsi="Arial" w:cs="Arial"/>
        </w:rPr>
        <w:t>Morakabi bar</w:t>
      </w:r>
      <w:r w:rsidR="00002CEF">
        <w:rPr>
          <w:rFonts w:ascii="Arial" w:hAnsi="Arial" w:cs="Arial"/>
        </w:rPr>
        <w:t>r</w:t>
      </w:r>
      <w:r w:rsidR="00402307">
        <w:rPr>
          <w:rFonts w:ascii="Arial" w:hAnsi="Arial" w:cs="Arial"/>
        </w:rPr>
        <w:t>ing the latter</w:t>
      </w:r>
      <w:r>
        <w:rPr>
          <w:rFonts w:ascii="Arial" w:hAnsi="Arial" w:cs="Arial"/>
        </w:rPr>
        <w:t xml:space="preserve"> from e</w:t>
      </w:r>
      <w:r w:rsidR="00402307">
        <w:rPr>
          <w:rFonts w:ascii="Arial" w:hAnsi="Arial" w:cs="Arial"/>
        </w:rPr>
        <w:t>ntering the property she occupied</w:t>
      </w:r>
      <w:r>
        <w:rPr>
          <w:rFonts w:ascii="Arial" w:hAnsi="Arial" w:cs="Arial"/>
        </w:rPr>
        <w:t>. To this effect</w:t>
      </w:r>
      <w:r w:rsidR="00002CEF">
        <w:rPr>
          <w:rFonts w:ascii="Arial" w:hAnsi="Arial" w:cs="Arial"/>
        </w:rPr>
        <w:t>, she attached a copy of the</w:t>
      </w:r>
      <w:r>
        <w:rPr>
          <w:rFonts w:ascii="Arial" w:hAnsi="Arial" w:cs="Arial"/>
        </w:rPr>
        <w:t xml:space="preserve"> protection order to her affidavit</w:t>
      </w:r>
      <w:r w:rsidR="00002CEF">
        <w:rPr>
          <w:rFonts w:ascii="Arial" w:hAnsi="Arial" w:cs="Arial"/>
        </w:rPr>
        <w:t>. This order was</w:t>
      </w:r>
      <w:r>
        <w:rPr>
          <w:rFonts w:ascii="Arial" w:hAnsi="Arial" w:cs="Arial"/>
        </w:rPr>
        <w:t xml:space="preserve"> granted on 25 September 2019</w:t>
      </w:r>
      <w:r w:rsidR="00002CEF">
        <w:rPr>
          <w:rFonts w:ascii="Arial" w:hAnsi="Arial" w:cs="Arial"/>
        </w:rPr>
        <w:t>,</w:t>
      </w:r>
      <w:r w:rsidR="00402307">
        <w:rPr>
          <w:rFonts w:ascii="Arial" w:hAnsi="Arial" w:cs="Arial"/>
        </w:rPr>
        <w:t xml:space="preserve"> ordering</w:t>
      </w:r>
      <w:r>
        <w:rPr>
          <w:rFonts w:ascii="Arial" w:hAnsi="Arial" w:cs="Arial"/>
        </w:rPr>
        <w:t xml:space="preserve"> </w:t>
      </w:r>
      <w:r w:rsidR="00AD7CD1">
        <w:rPr>
          <w:rFonts w:ascii="Arial" w:hAnsi="Arial" w:cs="Arial"/>
        </w:rPr>
        <w:t xml:space="preserve">Mrs </w:t>
      </w:r>
      <w:r>
        <w:rPr>
          <w:rFonts w:ascii="Arial" w:hAnsi="Arial" w:cs="Arial"/>
        </w:rPr>
        <w:t>Morakabi not to harass</w:t>
      </w:r>
      <w:r w:rsidR="00AD43F1">
        <w:rPr>
          <w:rFonts w:ascii="Arial" w:hAnsi="Arial" w:cs="Arial"/>
        </w:rPr>
        <w:t>, insult and emotio</w:t>
      </w:r>
      <w:r w:rsidR="00002CEF">
        <w:rPr>
          <w:rFonts w:ascii="Arial" w:hAnsi="Arial" w:cs="Arial"/>
        </w:rPr>
        <w:t>nally abuse her</w:t>
      </w:r>
      <w:r w:rsidR="00AD43F1">
        <w:rPr>
          <w:rFonts w:ascii="Arial" w:hAnsi="Arial" w:cs="Arial"/>
        </w:rPr>
        <w:t xml:space="preserve"> and</w:t>
      </w:r>
      <w:r w:rsidR="00002CEF">
        <w:rPr>
          <w:rFonts w:ascii="Arial" w:hAnsi="Arial" w:cs="Arial"/>
        </w:rPr>
        <w:t xml:space="preserve"> not</w:t>
      </w:r>
      <w:r w:rsidR="00402307">
        <w:rPr>
          <w:rFonts w:ascii="Arial" w:hAnsi="Arial" w:cs="Arial"/>
        </w:rPr>
        <w:t xml:space="preserve"> to</w:t>
      </w:r>
      <w:r w:rsidR="00002CEF">
        <w:rPr>
          <w:rFonts w:ascii="Arial" w:hAnsi="Arial" w:cs="Arial"/>
        </w:rPr>
        <w:t xml:space="preserve"> prevent her</w:t>
      </w:r>
      <w:r w:rsidR="00AD43F1">
        <w:rPr>
          <w:rFonts w:ascii="Arial" w:hAnsi="Arial" w:cs="Arial"/>
        </w:rPr>
        <w:t xml:space="preserve"> or </w:t>
      </w:r>
      <w:r w:rsidR="0023066B">
        <w:rPr>
          <w:rFonts w:ascii="Arial" w:hAnsi="Arial" w:cs="Arial"/>
        </w:rPr>
        <w:t>any child who ordinarily lived o</w:t>
      </w:r>
      <w:r w:rsidR="00AD43F1">
        <w:rPr>
          <w:rFonts w:ascii="Arial" w:hAnsi="Arial" w:cs="Arial"/>
        </w:rPr>
        <w:t>n the resi</w:t>
      </w:r>
      <w:r w:rsidR="00BF6CF2">
        <w:rPr>
          <w:rFonts w:ascii="Arial" w:hAnsi="Arial" w:cs="Arial"/>
        </w:rPr>
        <w:t xml:space="preserve">dence </w:t>
      </w:r>
      <w:r w:rsidR="00AD43F1">
        <w:rPr>
          <w:rFonts w:ascii="Arial" w:hAnsi="Arial" w:cs="Arial"/>
        </w:rPr>
        <w:t>at 43813 Kagisanong, Rocklands</w:t>
      </w:r>
      <w:r w:rsidR="00002CEF">
        <w:rPr>
          <w:rFonts w:ascii="Arial" w:hAnsi="Arial" w:cs="Arial"/>
        </w:rPr>
        <w:t>,</w:t>
      </w:r>
      <w:r w:rsidR="00AD43F1">
        <w:rPr>
          <w:rFonts w:ascii="Arial" w:hAnsi="Arial" w:cs="Arial"/>
        </w:rPr>
        <w:t xml:space="preserve"> Bloemfontein from ent</w:t>
      </w:r>
      <w:r w:rsidR="00002CEF">
        <w:rPr>
          <w:rFonts w:ascii="Arial" w:hAnsi="Arial" w:cs="Arial"/>
        </w:rPr>
        <w:t xml:space="preserve">ering or remaining </w:t>
      </w:r>
      <w:r w:rsidR="0023066B">
        <w:rPr>
          <w:rFonts w:ascii="Arial" w:hAnsi="Arial" w:cs="Arial"/>
        </w:rPr>
        <w:t>thereon</w:t>
      </w:r>
      <w:r w:rsidR="00AD43F1">
        <w:rPr>
          <w:rFonts w:ascii="Arial" w:hAnsi="Arial" w:cs="Arial"/>
        </w:rPr>
        <w:t xml:space="preserve"> or</w:t>
      </w:r>
      <w:r w:rsidR="0023066B">
        <w:rPr>
          <w:rFonts w:ascii="Arial" w:hAnsi="Arial" w:cs="Arial"/>
        </w:rPr>
        <w:t xml:space="preserve"> o</w:t>
      </w:r>
      <w:r w:rsidR="00402307">
        <w:rPr>
          <w:rFonts w:ascii="Arial" w:hAnsi="Arial" w:cs="Arial"/>
        </w:rPr>
        <w:t>n</w:t>
      </w:r>
      <w:r w:rsidR="00FA59CD">
        <w:rPr>
          <w:rFonts w:ascii="Arial" w:hAnsi="Arial" w:cs="Arial"/>
        </w:rPr>
        <w:t xml:space="preserve"> any part</w:t>
      </w:r>
      <w:r w:rsidR="00AD43F1">
        <w:rPr>
          <w:rFonts w:ascii="Arial" w:hAnsi="Arial" w:cs="Arial"/>
        </w:rPr>
        <w:t xml:space="preserve"> thereof.</w:t>
      </w:r>
    </w:p>
    <w:p w:rsidR="00AD43F1" w:rsidRDefault="00AD43F1" w:rsidP="00225396">
      <w:pPr>
        <w:spacing w:after="240" w:line="360" w:lineRule="auto"/>
        <w:ind w:left="567" w:hanging="567"/>
        <w:jc w:val="both"/>
        <w:rPr>
          <w:rFonts w:ascii="Arial" w:hAnsi="Arial" w:cs="Arial"/>
          <w:u w:val="single"/>
        </w:rPr>
      </w:pPr>
      <w:r>
        <w:rPr>
          <w:rFonts w:ascii="Arial" w:hAnsi="Arial" w:cs="Arial"/>
          <w:u w:val="single"/>
        </w:rPr>
        <w:t xml:space="preserve">The applicant’s answering and replying affidavit </w:t>
      </w:r>
    </w:p>
    <w:p w:rsidR="00A823A5" w:rsidRDefault="00AD43F1" w:rsidP="00225396">
      <w:pPr>
        <w:spacing w:after="240" w:line="360" w:lineRule="auto"/>
        <w:ind w:left="567" w:hanging="567"/>
        <w:jc w:val="both"/>
        <w:rPr>
          <w:rFonts w:ascii="Arial" w:hAnsi="Arial" w:cs="Arial"/>
        </w:rPr>
      </w:pPr>
      <w:r>
        <w:rPr>
          <w:rFonts w:ascii="Arial" w:hAnsi="Arial" w:cs="Arial"/>
        </w:rPr>
        <w:t>[17]</w:t>
      </w:r>
      <w:r>
        <w:rPr>
          <w:rFonts w:ascii="Arial" w:hAnsi="Arial" w:cs="Arial"/>
        </w:rPr>
        <w:tab/>
      </w:r>
      <w:r w:rsidR="00AA01B2">
        <w:rPr>
          <w:rFonts w:ascii="Arial" w:hAnsi="Arial" w:cs="Arial"/>
        </w:rPr>
        <w:t>The applicants</w:t>
      </w:r>
      <w:r>
        <w:rPr>
          <w:rFonts w:ascii="Arial" w:hAnsi="Arial" w:cs="Arial"/>
        </w:rPr>
        <w:t xml:space="preserve"> raised three points </w:t>
      </w:r>
      <w:r>
        <w:rPr>
          <w:rFonts w:ascii="Arial" w:hAnsi="Arial" w:cs="Arial"/>
          <w:i/>
        </w:rPr>
        <w:t xml:space="preserve">in limine </w:t>
      </w:r>
      <w:r>
        <w:rPr>
          <w:rFonts w:ascii="Arial" w:hAnsi="Arial" w:cs="Arial"/>
        </w:rPr>
        <w:t>t</w:t>
      </w:r>
      <w:r w:rsidR="001F7D2C">
        <w:rPr>
          <w:rFonts w:ascii="Arial" w:hAnsi="Arial" w:cs="Arial"/>
        </w:rPr>
        <w:t xml:space="preserve">o the </w:t>
      </w:r>
      <w:r w:rsidR="00AE3CE7">
        <w:rPr>
          <w:rFonts w:ascii="Arial" w:hAnsi="Arial" w:cs="Arial"/>
        </w:rPr>
        <w:t xml:space="preserve">first </w:t>
      </w:r>
      <w:r w:rsidR="001F7D2C">
        <w:rPr>
          <w:rFonts w:ascii="Arial" w:hAnsi="Arial" w:cs="Arial"/>
        </w:rPr>
        <w:t>respondent</w:t>
      </w:r>
      <w:r w:rsidR="00AE3CE7">
        <w:rPr>
          <w:rFonts w:ascii="Arial" w:hAnsi="Arial" w:cs="Arial"/>
        </w:rPr>
        <w:t>’</w:t>
      </w:r>
      <w:r w:rsidR="001F7D2C">
        <w:rPr>
          <w:rFonts w:ascii="Arial" w:hAnsi="Arial" w:cs="Arial"/>
        </w:rPr>
        <w:t>s counterapplication</w:t>
      </w:r>
      <w:r>
        <w:rPr>
          <w:rFonts w:ascii="Arial" w:hAnsi="Arial" w:cs="Arial"/>
        </w:rPr>
        <w:t xml:space="preserve"> in that</w:t>
      </w:r>
      <w:r w:rsidR="00AA01B2">
        <w:rPr>
          <w:rFonts w:ascii="Arial" w:hAnsi="Arial" w:cs="Arial"/>
        </w:rPr>
        <w:t>, firstly,</w:t>
      </w:r>
      <w:r>
        <w:rPr>
          <w:rFonts w:ascii="Arial" w:hAnsi="Arial" w:cs="Arial"/>
        </w:rPr>
        <w:t xml:space="preserve"> the </w:t>
      </w:r>
      <w:r w:rsidR="00BF6CF2">
        <w:rPr>
          <w:rFonts w:ascii="Arial" w:hAnsi="Arial" w:cs="Arial"/>
        </w:rPr>
        <w:t xml:space="preserve">first </w:t>
      </w:r>
      <w:r>
        <w:rPr>
          <w:rFonts w:ascii="Arial" w:hAnsi="Arial" w:cs="Arial"/>
        </w:rPr>
        <w:t>res</w:t>
      </w:r>
      <w:r w:rsidR="00AA01B2">
        <w:rPr>
          <w:rFonts w:ascii="Arial" w:hAnsi="Arial" w:cs="Arial"/>
        </w:rPr>
        <w:t>pondent</w:t>
      </w:r>
      <w:r w:rsidR="00AE3CE7">
        <w:rPr>
          <w:rFonts w:ascii="Arial" w:hAnsi="Arial" w:cs="Arial"/>
        </w:rPr>
        <w:t>’s</w:t>
      </w:r>
      <w:r w:rsidR="001F7D2C">
        <w:rPr>
          <w:rFonts w:ascii="Arial" w:hAnsi="Arial" w:cs="Arial"/>
        </w:rPr>
        <w:t xml:space="preserve"> relief sought in the counterapplication</w:t>
      </w:r>
      <w:r w:rsidR="00AA01B2">
        <w:rPr>
          <w:rFonts w:ascii="Arial" w:hAnsi="Arial" w:cs="Arial"/>
        </w:rPr>
        <w:t xml:space="preserve"> was not permissible in law; secondly, the</w:t>
      </w:r>
      <w:r>
        <w:rPr>
          <w:rFonts w:ascii="Arial" w:hAnsi="Arial" w:cs="Arial"/>
        </w:rPr>
        <w:t xml:space="preserve"> no</w:t>
      </w:r>
      <w:r w:rsidR="00AA01B2">
        <w:rPr>
          <w:rFonts w:ascii="Arial" w:hAnsi="Arial" w:cs="Arial"/>
        </w:rPr>
        <w:t>n</w:t>
      </w:r>
      <w:r>
        <w:rPr>
          <w:rFonts w:ascii="Arial" w:hAnsi="Arial" w:cs="Arial"/>
        </w:rPr>
        <w:t>-joinder</w:t>
      </w:r>
      <w:r w:rsidR="00AA01B2">
        <w:rPr>
          <w:rFonts w:ascii="Arial" w:hAnsi="Arial" w:cs="Arial"/>
        </w:rPr>
        <w:t xml:space="preserve"> of the seller</w:t>
      </w:r>
      <w:r w:rsidR="00A823A5">
        <w:rPr>
          <w:rFonts w:ascii="Arial" w:hAnsi="Arial" w:cs="Arial"/>
        </w:rPr>
        <w:t xml:space="preserve"> or </w:t>
      </w:r>
      <w:r w:rsidR="00BF6CF2">
        <w:rPr>
          <w:rFonts w:ascii="Arial" w:hAnsi="Arial" w:cs="Arial"/>
        </w:rPr>
        <w:t xml:space="preserve">the </w:t>
      </w:r>
      <w:r w:rsidR="00A823A5">
        <w:rPr>
          <w:rFonts w:ascii="Arial" w:hAnsi="Arial" w:cs="Arial"/>
        </w:rPr>
        <w:t>non-attachment of her confirmatory affidavit</w:t>
      </w:r>
      <w:r>
        <w:rPr>
          <w:rFonts w:ascii="Arial" w:hAnsi="Arial" w:cs="Arial"/>
        </w:rPr>
        <w:t xml:space="preserve"> and</w:t>
      </w:r>
      <w:r w:rsidR="00A823A5">
        <w:rPr>
          <w:rFonts w:ascii="Arial" w:hAnsi="Arial" w:cs="Arial"/>
        </w:rPr>
        <w:t>, thirdly, the</w:t>
      </w:r>
      <w:r>
        <w:rPr>
          <w:rFonts w:ascii="Arial" w:hAnsi="Arial" w:cs="Arial"/>
        </w:rPr>
        <w:t xml:space="preserve"> lack of </w:t>
      </w:r>
      <w:r>
        <w:rPr>
          <w:rFonts w:ascii="Arial" w:hAnsi="Arial" w:cs="Arial"/>
          <w:i/>
        </w:rPr>
        <w:t xml:space="preserve">locus standi </w:t>
      </w:r>
      <w:r>
        <w:rPr>
          <w:rFonts w:ascii="Arial" w:hAnsi="Arial" w:cs="Arial"/>
        </w:rPr>
        <w:t>of the first respondent’s attorney</w:t>
      </w:r>
      <w:r w:rsidR="001F7D2C">
        <w:rPr>
          <w:rFonts w:ascii="Arial" w:hAnsi="Arial" w:cs="Arial"/>
        </w:rPr>
        <w:t>,</w:t>
      </w:r>
      <w:r>
        <w:rPr>
          <w:rFonts w:ascii="Arial" w:hAnsi="Arial" w:cs="Arial"/>
        </w:rPr>
        <w:t xml:space="preserve"> who deposed to a confirmatory affidavit as</w:t>
      </w:r>
      <w:r w:rsidR="00A823A5">
        <w:rPr>
          <w:rFonts w:ascii="Arial" w:hAnsi="Arial" w:cs="Arial"/>
        </w:rPr>
        <w:t xml:space="preserve"> the</w:t>
      </w:r>
      <w:r>
        <w:rPr>
          <w:rFonts w:ascii="Arial" w:hAnsi="Arial" w:cs="Arial"/>
        </w:rPr>
        <w:t xml:space="preserve"> </w:t>
      </w:r>
      <w:r w:rsidR="00A823A5">
        <w:rPr>
          <w:rFonts w:ascii="Arial" w:hAnsi="Arial" w:cs="Arial"/>
        </w:rPr>
        <w:t>latter had no standing to act</w:t>
      </w:r>
      <w:r>
        <w:rPr>
          <w:rFonts w:ascii="Arial" w:hAnsi="Arial" w:cs="Arial"/>
        </w:rPr>
        <w:t xml:space="preserve"> on behalf of the first respondent as a party to these proceedings.</w:t>
      </w:r>
    </w:p>
    <w:p w:rsidR="00107F13" w:rsidRDefault="00A823A5" w:rsidP="00225396">
      <w:pPr>
        <w:spacing w:after="240" w:line="360" w:lineRule="auto"/>
        <w:ind w:left="567" w:hanging="567"/>
        <w:jc w:val="both"/>
        <w:rPr>
          <w:rFonts w:ascii="Arial" w:hAnsi="Arial" w:cs="Arial"/>
        </w:rPr>
      </w:pPr>
      <w:r>
        <w:rPr>
          <w:rFonts w:ascii="Arial" w:hAnsi="Arial" w:cs="Arial"/>
        </w:rPr>
        <w:t>[18</w:t>
      </w:r>
      <w:r w:rsidR="00F26219">
        <w:rPr>
          <w:rFonts w:ascii="Arial" w:hAnsi="Arial" w:cs="Arial"/>
        </w:rPr>
        <w:t>] The</w:t>
      </w:r>
      <w:r w:rsidR="006942D4">
        <w:rPr>
          <w:rFonts w:ascii="Arial" w:hAnsi="Arial" w:cs="Arial"/>
        </w:rPr>
        <w:t xml:space="preserve"> relief sought</w:t>
      </w:r>
      <w:r w:rsidR="008F0DA3">
        <w:rPr>
          <w:rFonts w:ascii="Arial" w:hAnsi="Arial" w:cs="Arial"/>
        </w:rPr>
        <w:t xml:space="preserve"> by the first respondent</w:t>
      </w:r>
      <w:r w:rsidR="006942D4">
        <w:rPr>
          <w:rFonts w:ascii="Arial" w:hAnsi="Arial" w:cs="Arial"/>
        </w:rPr>
        <w:t xml:space="preserve"> was not permissible in law as the court was requested to make a declaratory order in circumstances where the third resp</w:t>
      </w:r>
      <w:r w:rsidR="008F0DA3">
        <w:rPr>
          <w:rFonts w:ascii="Arial" w:hAnsi="Arial" w:cs="Arial"/>
        </w:rPr>
        <w:t>ondent had already made a decision</w:t>
      </w:r>
      <w:r w:rsidR="00F26219">
        <w:rPr>
          <w:rStyle w:val="FootnoteReference"/>
          <w:rFonts w:ascii="Arial" w:hAnsi="Arial" w:cs="Arial"/>
        </w:rPr>
        <w:footnoteReference w:id="2"/>
      </w:r>
      <w:r w:rsidR="006942D4">
        <w:rPr>
          <w:rFonts w:ascii="Arial" w:hAnsi="Arial" w:cs="Arial"/>
        </w:rPr>
        <w:t>.</w:t>
      </w:r>
      <w:r w:rsidR="00E20E3A">
        <w:rPr>
          <w:rFonts w:ascii="Arial" w:hAnsi="Arial" w:cs="Arial"/>
        </w:rPr>
        <w:t xml:space="preserve"> </w:t>
      </w:r>
      <w:r w:rsidR="008F0DA3">
        <w:rPr>
          <w:rFonts w:ascii="Arial" w:hAnsi="Arial" w:cs="Arial"/>
        </w:rPr>
        <w:t>As t</w:t>
      </w:r>
      <w:r w:rsidR="00D333ED">
        <w:rPr>
          <w:rFonts w:ascii="Arial" w:hAnsi="Arial" w:cs="Arial"/>
        </w:rPr>
        <w:t>he third respondent’s decision to transfer t</w:t>
      </w:r>
      <w:r w:rsidR="008F0DA3">
        <w:rPr>
          <w:rFonts w:ascii="Arial" w:hAnsi="Arial" w:cs="Arial"/>
        </w:rPr>
        <w:t>he property into the name of</w:t>
      </w:r>
      <w:r w:rsidR="00D333ED">
        <w:rPr>
          <w:rFonts w:ascii="Arial" w:hAnsi="Arial" w:cs="Arial"/>
        </w:rPr>
        <w:t xml:space="preserve"> </w:t>
      </w:r>
      <w:r w:rsidR="00AD7CD1">
        <w:rPr>
          <w:rFonts w:ascii="Arial" w:hAnsi="Arial" w:cs="Arial"/>
        </w:rPr>
        <w:t xml:space="preserve">Mrs </w:t>
      </w:r>
      <w:r w:rsidR="00D333ED">
        <w:rPr>
          <w:rFonts w:ascii="Arial" w:hAnsi="Arial" w:cs="Arial"/>
        </w:rPr>
        <w:t>Morakabi</w:t>
      </w:r>
      <w:r w:rsidR="008F0DA3">
        <w:rPr>
          <w:rFonts w:ascii="Arial" w:hAnsi="Arial" w:cs="Arial"/>
        </w:rPr>
        <w:t xml:space="preserve"> was not reviewed and set aside, t</w:t>
      </w:r>
      <w:r w:rsidR="00D333ED">
        <w:rPr>
          <w:rFonts w:ascii="Arial" w:hAnsi="Arial" w:cs="Arial"/>
        </w:rPr>
        <w:t xml:space="preserve">he court could not make an order that an </w:t>
      </w:r>
      <w:r w:rsidR="002D6FF9">
        <w:rPr>
          <w:rFonts w:ascii="Arial" w:hAnsi="Arial" w:cs="Arial"/>
        </w:rPr>
        <w:t>inquiry</w:t>
      </w:r>
      <w:r w:rsidR="00D333ED">
        <w:rPr>
          <w:rFonts w:ascii="Arial" w:hAnsi="Arial" w:cs="Arial"/>
        </w:rPr>
        <w:t xml:space="preserve"> in terms of the </w:t>
      </w:r>
      <w:r w:rsidR="00FF166A">
        <w:rPr>
          <w:rFonts w:ascii="Arial" w:hAnsi="Arial" w:cs="Arial"/>
        </w:rPr>
        <w:t>Conversion Act</w:t>
      </w:r>
      <w:r w:rsidR="008F0DA3">
        <w:rPr>
          <w:rFonts w:ascii="Arial" w:hAnsi="Arial" w:cs="Arial"/>
        </w:rPr>
        <w:t xml:space="preserve"> is</w:t>
      </w:r>
      <w:r w:rsidR="00D333ED">
        <w:rPr>
          <w:rFonts w:ascii="Arial" w:hAnsi="Arial" w:cs="Arial"/>
        </w:rPr>
        <w:t xml:space="preserve"> held</w:t>
      </w:r>
      <w:r w:rsidR="00FF166A">
        <w:rPr>
          <w:rFonts w:ascii="Arial" w:hAnsi="Arial" w:cs="Arial"/>
        </w:rPr>
        <w:t>,</w:t>
      </w:r>
      <w:r w:rsidR="00D333ED">
        <w:rPr>
          <w:rFonts w:ascii="Arial" w:hAnsi="Arial" w:cs="Arial"/>
        </w:rPr>
        <w:t xml:space="preserve"> as such an </w:t>
      </w:r>
      <w:r w:rsidR="002D6FF9">
        <w:rPr>
          <w:rFonts w:ascii="Arial" w:hAnsi="Arial" w:cs="Arial"/>
        </w:rPr>
        <w:t>inquiry</w:t>
      </w:r>
      <w:r w:rsidR="00D333ED">
        <w:rPr>
          <w:rFonts w:ascii="Arial" w:hAnsi="Arial" w:cs="Arial"/>
        </w:rPr>
        <w:t xml:space="preserve"> would be moot.</w:t>
      </w:r>
      <w:r w:rsidR="00D333ED">
        <w:rPr>
          <w:rStyle w:val="FootnoteReference"/>
          <w:rFonts w:ascii="Arial" w:hAnsi="Arial" w:cs="Arial"/>
        </w:rPr>
        <w:footnoteReference w:id="3"/>
      </w:r>
      <w:r w:rsidR="006942D4">
        <w:rPr>
          <w:rFonts w:ascii="Arial" w:hAnsi="Arial" w:cs="Arial"/>
        </w:rPr>
        <w:t xml:space="preserve"> </w:t>
      </w:r>
      <w:r w:rsidR="008F0DA3">
        <w:rPr>
          <w:rFonts w:ascii="Arial" w:hAnsi="Arial" w:cs="Arial"/>
        </w:rPr>
        <w:t>The Conversion</w:t>
      </w:r>
      <w:r w:rsidR="000B520E">
        <w:rPr>
          <w:rFonts w:ascii="Arial" w:hAnsi="Arial" w:cs="Arial"/>
        </w:rPr>
        <w:t xml:space="preserve"> Act provided for the transfer of property into the names of persons who were the holders of permits to occupy and who were not entitled</w:t>
      </w:r>
      <w:r w:rsidR="00571DE9">
        <w:rPr>
          <w:rFonts w:ascii="Arial" w:hAnsi="Arial" w:cs="Arial"/>
        </w:rPr>
        <w:t xml:space="preserve"> to become owners thereof.</w:t>
      </w:r>
      <w:r w:rsidR="00571DE9">
        <w:rPr>
          <w:rStyle w:val="FootnoteReference"/>
          <w:rFonts w:ascii="Arial" w:hAnsi="Arial" w:cs="Arial"/>
        </w:rPr>
        <w:footnoteReference w:id="4"/>
      </w:r>
      <w:r w:rsidR="005E5493">
        <w:rPr>
          <w:rFonts w:ascii="Arial" w:hAnsi="Arial" w:cs="Arial"/>
        </w:rPr>
        <w:t xml:space="preserve"> The Director-General was enjoined to conduct an investigation into the identity of the person(s) entitled to receive ownership.</w:t>
      </w:r>
      <w:r w:rsidR="005E5493">
        <w:rPr>
          <w:rStyle w:val="FootnoteReference"/>
          <w:rFonts w:ascii="Arial" w:hAnsi="Arial" w:cs="Arial"/>
        </w:rPr>
        <w:footnoteReference w:id="5"/>
      </w:r>
      <w:r>
        <w:rPr>
          <w:rFonts w:ascii="Arial" w:hAnsi="Arial" w:cs="Arial"/>
        </w:rPr>
        <w:t xml:space="preserve"> </w:t>
      </w:r>
      <w:r w:rsidR="00761428">
        <w:rPr>
          <w:rFonts w:ascii="Arial" w:hAnsi="Arial" w:cs="Arial"/>
        </w:rPr>
        <w:t>The decision taken by the Director-General or his delegate to transfer t</w:t>
      </w:r>
      <w:r w:rsidR="00CB3BE6">
        <w:rPr>
          <w:rFonts w:ascii="Arial" w:hAnsi="Arial" w:cs="Arial"/>
        </w:rPr>
        <w:t>he property into the name of</w:t>
      </w:r>
      <w:r w:rsidR="00761428">
        <w:rPr>
          <w:rFonts w:ascii="Arial" w:hAnsi="Arial" w:cs="Arial"/>
        </w:rPr>
        <w:t xml:space="preserve"> </w:t>
      </w:r>
      <w:r w:rsidR="00AD7CD1">
        <w:rPr>
          <w:rFonts w:ascii="Arial" w:hAnsi="Arial" w:cs="Arial"/>
        </w:rPr>
        <w:t xml:space="preserve">Mrs </w:t>
      </w:r>
      <w:r w:rsidR="00761428" w:rsidRPr="00AD7CD1">
        <w:rPr>
          <w:rFonts w:ascii="Arial" w:hAnsi="Arial" w:cs="Arial"/>
        </w:rPr>
        <w:t>Morakabi</w:t>
      </w:r>
      <w:r w:rsidR="00761428">
        <w:rPr>
          <w:rFonts w:ascii="Arial" w:hAnsi="Arial" w:cs="Arial"/>
        </w:rPr>
        <w:t xml:space="preserve"> and</w:t>
      </w:r>
      <w:r w:rsidR="00FF166A">
        <w:rPr>
          <w:rFonts w:ascii="Arial" w:hAnsi="Arial" w:cs="Arial"/>
        </w:rPr>
        <w:t>,</w:t>
      </w:r>
      <w:r w:rsidR="00761428">
        <w:rPr>
          <w:rFonts w:ascii="Arial" w:hAnsi="Arial" w:cs="Arial"/>
        </w:rPr>
        <w:t xml:space="preserve"> whether or not an enquiry was held,</w:t>
      </w:r>
      <w:r w:rsidR="00FF166A">
        <w:rPr>
          <w:rFonts w:ascii="Arial" w:hAnsi="Arial" w:cs="Arial"/>
        </w:rPr>
        <w:t xml:space="preserve"> was an administrative decision</w:t>
      </w:r>
      <w:r w:rsidR="00CB3BE6">
        <w:rPr>
          <w:rFonts w:ascii="Arial" w:hAnsi="Arial" w:cs="Arial"/>
        </w:rPr>
        <w:t xml:space="preserve"> that</w:t>
      </w:r>
      <w:r w:rsidR="00761428">
        <w:rPr>
          <w:rFonts w:ascii="Arial" w:hAnsi="Arial" w:cs="Arial"/>
        </w:rPr>
        <w:t xml:space="preserve"> could only be reviewed and set aside in terms of the Promotion of Administrative Justice Act 3 of 2000 (PAJA).</w:t>
      </w:r>
      <w:r w:rsidR="00761428">
        <w:rPr>
          <w:rStyle w:val="FootnoteReference"/>
          <w:rFonts w:ascii="Arial" w:hAnsi="Arial" w:cs="Arial"/>
        </w:rPr>
        <w:footnoteReference w:id="6"/>
      </w:r>
    </w:p>
    <w:p w:rsidR="00AD43F1" w:rsidRDefault="00107F13" w:rsidP="00225396">
      <w:pPr>
        <w:spacing w:after="240" w:line="360" w:lineRule="auto"/>
        <w:ind w:left="567" w:hanging="567"/>
        <w:jc w:val="both"/>
        <w:rPr>
          <w:rFonts w:ascii="Arial" w:hAnsi="Arial" w:cs="Arial"/>
        </w:rPr>
      </w:pPr>
      <w:r>
        <w:rPr>
          <w:rFonts w:ascii="Arial" w:hAnsi="Arial" w:cs="Arial"/>
        </w:rPr>
        <w:t>[19]</w:t>
      </w:r>
      <w:r w:rsidR="00C14C88">
        <w:rPr>
          <w:rFonts w:ascii="Arial" w:hAnsi="Arial" w:cs="Arial"/>
        </w:rPr>
        <w:t xml:space="preserve">  </w:t>
      </w:r>
      <w:r w:rsidR="00C14C88" w:rsidRPr="00AD7CD1">
        <w:rPr>
          <w:rFonts w:ascii="Arial" w:hAnsi="Arial" w:cs="Arial"/>
        </w:rPr>
        <w:t>Mrs Morakabi</w:t>
      </w:r>
      <w:r w:rsidR="00C14C88">
        <w:rPr>
          <w:rFonts w:ascii="Arial" w:hAnsi="Arial" w:cs="Arial"/>
        </w:rPr>
        <w:t xml:space="preserve"> was granted ownership of the property in terms of section 4(1)(b) of the Conversion Act and had the right to transfer ownership to the applicants.</w:t>
      </w:r>
      <w:r w:rsidR="00C14C88">
        <w:rPr>
          <w:rStyle w:val="FootnoteReference"/>
          <w:rFonts w:ascii="Arial" w:hAnsi="Arial" w:cs="Arial"/>
        </w:rPr>
        <w:footnoteReference w:id="7"/>
      </w:r>
      <w:r w:rsidR="00CF30C6">
        <w:rPr>
          <w:rFonts w:ascii="Arial" w:hAnsi="Arial" w:cs="Arial"/>
        </w:rPr>
        <w:t xml:space="preserve"> The</w:t>
      </w:r>
      <w:r w:rsidR="00522DCE">
        <w:rPr>
          <w:rFonts w:ascii="Arial" w:hAnsi="Arial" w:cs="Arial"/>
        </w:rPr>
        <w:t xml:space="preserve"> applicants admitted that the</w:t>
      </w:r>
      <w:r w:rsidR="00CF30C6">
        <w:rPr>
          <w:rFonts w:ascii="Arial" w:hAnsi="Arial" w:cs="Arial"/>
        </w:rPr>
        <w:t xml:space="preserve"> registration of the property into the names of Mr and Mrs Morakabi was in N</w:t>
      </w:r>
      <w:r w:rsidR="00EA2F53">
        <w:rPr>
          <w:rFonts w:ascii="Arial" w:hAnsi="Arial" w:cs="Arial"/>
        </w:rPr>
        <w:t>ovember 2014 after the amended Letters of A</w:t>
      </w:r>
      <w:r w:rsidR="00CF30C6">
        <w:rPr>
          <w:rFonts w:ascii="Arial" w:hAnsi="Arial" w:cs="Arial"/>
        </w:rPr>
        <w:t>uthority were issued by the Master</w:t>
      </w:r>
      <w:r w:rsidR="00DD2AFF">
        <w:rPr>
          <w:rStyle w:val="FootnoteReference"/>
          <w:rFonts w:ascii="Arial" w:hAnsi="Arial" w:cs="Arial"/>
        </w:rPr>
        <w:footnoteReference w:id="8"/>
      </w:r>
      <w:r w:rsidR="00CF30C6">
        <w:rPr>
          <w:rFonts w:ascii="Arial" w:hAnsi="Arial" w:cs="Arial"/>
        </w:rPr>
        <w:t>.</w:t>
      </w:r>
      <w:r w:rsidR="00AD43F1">
        <w:rPr>
          <w:rFonts w:ascii="Arial" w:hAnsi="Arial" w:cs="Arial"/>
        </w:rPr>
        <w:t xml:space="preserve"> </w:t>
      </w:r>
      <w:r w:rsidR="009674A2">
        <w:rPr>
          <w:rFonts w:ascii="Arial" w:hAnsi="Arial" w:cs="Arial"/>
        </w:rPr>
        <w:t>The</w:t>
      </w:r>
      <w:r w:rsidR="00522DCE">
        <w:rPr>
          <w:rFonts w:ascii="Arial" w:hAnsi="Arial" w:cs="Arial"/>
        </w:rPr>
        <w:t>y also</w:t>
      </w:r>
      <w:r w:rsidR="009674A2">
        <w:rPr>
          <w:rFonts w:ascii="Arial" w:hAnsi="Arial" w:cs="Arial"/>
        </w:rPr>
        <w:t xml:space="preserve"> admitted the contents of paragraph 2.8 of the answering affidavit</w:t>
      </w:r>
      <w:r w:rsidR="00C36758">
        <w:rPr>
          <w:rStyle w:val="FootnoteReference"/>
          <w:rFonts w:ascii="Arial" w:hAnsi="Arial" w:cs="Arial"/>
        </w:rPr>
        <w:footnoteReference w:id="9"/>
      </w:r>
      <w:r w:rsidR="009674A2">
        <w:rPr>
          <w:rFonts w:ascii="Arial" w:hAnsi="Arial" w:cs="Arial"/>
        </w:rPr>
        <w:t xml:space="preserve"> relating to</w:t>
      </w:r>
      <w:r w:rsidR="00DF1C43">
        <w:rPr>
          <w:rFonts w:ascii="Arial" w:hAnsi="Arial" w:cs="Arial"/>
        </w:rPr>
        <w:t xml:space="preserve"> annexures B,C,D and E to the first respondent’s counterapplication. Annexure B was the copy</w:t>
      </w:r>
      <w:r w:rsidR="009674A2">
        <w:rPr>
          <w:rFonts w:ascii="Arial" w:hAnsi="Arial" w:cs="Arial"/>
        </w:rPr>
        <w:t xml:space="preserve"> of the Master’s letter</w:t>
      </w:r>
      <w:r w:rsidR="00BC7247">
        <w:rPr>
          <w:rFonts w:ascii="Arial" w:hAnsi="Arial" w:cs="Arial"/>
        </w:rPr>
        <w:t xml:space="preserve"> dated 22 May 2014</w:t>
      </w:r>
      <w:r w:rsidR="00DF1C43">
        <w:rPr>
          <w:rFonts w:ascii="Arial" w:hAnsi="Arial" w:cs="Arial"/>
        </w:rPr>
        <w:t xml:space="preserve"> that</w:t>
      </w:r>
      <w:r w:rsidR="00EA2F53">
        <w:rPr>
          <w:rFonts w:ascii="Arial" w:hAnsi="Arial" w:cs="Arial"/>
        </w:rPr>
        <w:t xml:space="preserve"> invited</w:t>
      </w:r>
      <w:r w:rsidR="00BC7247">
        <w:rPr>
          <w:rFonts w:ascii="Arial" w:hAnsi="Arial" w:cs="Arial"/>
        </w:rPr>
        <w:t xml:space="preserve"> Mrs Morakabi’s comments to the first respondent’s allegations</w:t>
      </w:r>
      <w:r w:rsidR="00784F1E">
        <w:rPr>
          <w:rFonts w:ascii="Arial" w:hAnsi="Arial" w:cs="Arial"/>
        </w:rPr>
        <w:t>; annexure D, a copy of</w:t>
      </w:r>
      <w:r w:rsidR="00BC7247">
        <w:rPr>
          <w:rFonts w:ascii="Arial" w:hAnsi="Arial" w:cs="Arial"/>
        </w:rPr>
        <w:t xml:space="preserve"> the</w:t>
      </w:r>
      <w:r w:rsidR="009674A2">
        <w:rPr>
          <w:rFonts w:ascii="Arial" w:hAnsi="Arial" w:cs="Arial"/>
        </w:rPr>
        <w:t xml:space="preserve"> revok</w:t>
      </w:r>
      <w:r w:rsidR="00BC7247">
        <w:rPr>
          <w:rFonts w:ascii="Arial" w:hAnsi="Arial" w:cs="Arial"/>
        </w:rPr>
        <w:t>ed</w:t>
      </w:r>
      <w:r w:rsidR="00EA2F53">
        <w:rPr>
          <w:rFonts w:ascii="Arial" w:hAnsi="Arial" w:cs="Arial"/>
        </w:rPr>
        <w:t xml:space="preserve"> initial Letters of A</w:t>
      </w:r>
      <w:r w:rsidR="009674A2">
        <w:rPr>
          <w:rFonts w:ascii="Arial" w:hAnsi="Arial" w:cs="Arial"/>
        </w:rPr>
        <w:t>uthority</w:t>
      </w:r>
      <w:r w:rsidR="00784F1E">
        <w:rPr>
          <w:rFonts w:ascii="Arial" w:hAnsi="Arial" w:cs="Arial"/>
        </w:rPr>
        <w:t xml:space="preserve"> dated 24 October 2012; annexure</w:t>
      </w:r>
      <w:r w:rsidR="00E25DD7">
        <w:rPr>
          <w:rFonts w:ascii="Arial" w:hAnsi="Arial" w:cs="Arial"/>
        </w:rPr>
        <w:t xml:space="preserve"> C, a copy of </w:t>
      </w:r>
      <w:r w:rsidR="00EA2F53">
        <w:rPr>
          <w:rFonts w:ascii="Arial" w:hAnsi="Arial" w:cs="Arial"/>
        </w:rPr>
        <w:t>the</w:t>
      </w:r>
      <w:r w:rsidR="009674A2">
        <w:rPr>
          <w:rFonts w:ascii="Arial" w:hAnsi="Arial" w:cs="Arial"/>
        </w:rPr>
        <w:t xml:space="preserve"> </w:t>
      </w:r>
      <w:r w:rsidR="00E25DD7">
        <w:rPr>
          <w:rFonts w:ascii="Arial" w:hAnsi="Arial" w:cs="Arial"/>
        </w:rPr>
        <w:t>next-of-kin</w:t>
      </w:r>
      <w:r w:rsidR="009674A2">
        <w:rPr>
          <w:rFonts w:ascii="Arial" w:hAnsi="Arial" w:cs="Arial"/>
        </w:rPr>
        <w:t xml:space="preserve"> affidavit dated 24 October 2012 </w:t>
      </w:r>
      <w:r w:rsidR="00EA2F53">
        <w:rPr>
          <w:rFonts w:ascii="Arial" w:hAnsi="Arial" w:cs="Arial"/>
        </w:rPr>
        <w:t>and</w:t>
      </w:r>
      <w:r w:rsidR="00E25DD7">
        <w:rPr>
          <w:rFonts w:ascii="Arial" w:hAnsi="Arial" w:cs="Arial"/>
        </w:rPr>
        <w:t xml:space="preserve"> annexure E, a copy of</w:t>
      </w:r>
      <w:r w:rsidR="00EA2F53">
        <w:rPr>
          <w:rFonts w:ascii="Arial" w:hAnsi="Arial" w:cs="Arial"/>
        </w:rPr>
        <w:t xml:space="preserve"> the fresh Letters of A</w:t>
      </w:r>
      <w:r w:rsidR="009674A2">
        <w:rPr>
          <w:rFonts w:ascii="Arial" w:hAnsi="Arial" w:cs="Arial"/>
        </w:rPr>
        <w:t>uthority issued in both the first</w:t>
      </w:r>
      <w:r w:rsidR="00E25DD7">
        <w:rPr>
          <w:rFonts w:ascii="Arial" w:hAnsi="Arial" w:cs="Arial"/>
        </w:rPr>
        <w:t xml:space="preserve"> respondent’s mother and Mrs Morakabi</w:t>
      </w:r>
      <w:r w:rsidR="009674A2">
        <w:rPr>
          <w:rFonts w:ascii="Arial" w:hAnsi="Arial" w:cs="Arial"/>
        </w:rPr>
        <w:t>’s names</w:t>
      </w:r>
      <w:r w:rsidR="00E25DD7">
        <w:rPr>
          <w:rFonts w:ascii="Arial" w:hAnsi="Arial" w:cs="Arial"/>
        </w:rPr>
        <w:t>,</w:t>
      </w:r>
      <w:r w:rsidR="0064054A">
        <w:rPr>
          <w:rFonts w:ascii="Arial" w:hAnsi="Arial" w:cs="Arial"/>
        </w:rPr>
        <w:t xml:space="preserve"> bearing the date stamp of 2 July 2014</w:t>
      </w:r>
      <w:r w:rsidR="00CA39A1">
        <w:rPr>
          <w:rFonts w:ascii="Arial" w:hAnsi="Arial" w:cs="Arial"/>
        </w:rPr>
        <w:t>.</w:t>
      </w:r>
    </w:p>
    <w:p w:rsidR="00CA39A1" w:rsidRDefault="00CA39A1" w:rsidP="00225396">
      <w:pPr>
        <w:spacing w:after="240" w:line="360" w:lineRule="auto"/>
        <w:ind w:left="567" w:hanging="567"/>
        <w:jc w:val="both"/>
        <w:rPr>
          <w:rFonts w:ascii="Arial" w:hAnsi="Arial" w:cs="Arial"/>
        </w:rPr>
      </w:pPr>
      <w:r>
        <w:rPr>
          <w:rFonts w:ascii="Arial" w:hAnsi="Arial" w:cs="Arial"/>
        </w:rPr>
        <w:t>[20</w:t>
      </w:r>
      <w:r w:rsidR="000E2550">
        <w:rPr>
          <w:rFonts w:ascii="Arial" w:hAnsi="Arial" w:cs="Arial"/>
        </w:rPr>
        <w:t xml:space="preserve">] The applicants sought an order, </w:t>
      </w:r>
      <w:r w:rsidR="000E2550" w:rsidRPr="000E2550">
        <w:rPr>
          <w:rFonts w:ascii="Arial" w:hAnsi="Arial" w:cs="Arial"/>
          <w:i/>
        </w:rPr>
        <w:t>inter alia</w:t>
      </w:r>
      <w:r w:rsidR="000E2550">
        <w:rPr>
          <w:rFonts w:ascii="Arial" w:hAnsi="Arial" w:cs="Arial"/>
        </w:rPr>
        <w:t>, declaring the first a</w:t>
      </w:r>
      <w:r w:rsidR="00815B61">
        <w:rPr>
          <w:rFonts w:ascii="Arial" w:hAnsi="Arial" w:cs="Arial"/>
        </w:rPr>
        <w:t>nd second respondents unlawful o</w:t>
      </w:r>
      <w:r w:rsidR="000E2550">
        <w:rPr>
          <w:rFonts w:ascii="Arial" w:hAnsi="Arial" w:cs="Arial"/>
        </w:rPr>
        <w:t>ccupiers within the meaning of the PIE Act</w:t>
      </w:r>
      <w:r w:rsidR="000E2550">
        <w:rPr>
          <w:rStyle w:val="FootnoteReference"/>
          <w:rFonts w:ascii="Arial" w:hAnsi="Arial" w:cs="Arial"/>
        </w:rPr>
        <w:footnoteReference w:id="10"/>
      </w:r>
      <w:r w:rsidR="005531A8">
        <w:rPr>
          <w:rFonts w:ascii="Arial" w:hAnsi="Arial" w:cs="Arial"/>
        </w:rPr>
        <w:t xml:space="preserve"> and that it would be just and equitable that they </w:t>
      </w:r>
      <w:r w:rsidR="00F14BB3">
        <w:rPr>
          <w:rFonts w:ascii="Arial" w:hAnsi="Arial" w:cs="Arial"/>
        </w:rPr>
        <w:t>are</w:t>
      </w:r>
      <w:r w:rsidR="005531A8">
        <w:rPr>
          <w:rFonts w:ascii="Arial" w:hAnsi="Arial" w:cs="Arial"/>
        </w:rPr>
        <w:t xml:space="preserve"> evicted from </w:t>
      </w:r>
      <w:r w:rsidR="00815B61">
        <w:rPr>
          <w:rFonts w:ascii="Arial" w:hAnsi="Arial" w:cs="Arial"/>
        </w:rPr>
        <w:t>the property as the applicants we</w:t>
      </w:r>
      <w:r w:rsidR="005531A8">
        <w:rPr>
          <w:rFonts w:ascii="Arial" w:hAnsi="Arial" w:cs="Arial"/>
        </w:rPr>
        <w:t>re the owners of the property</w:t>
      </w:r>
      <w:r w:rsidR="005531A8">
        <w:rPr>
          <w:rStyle w:val="FootnoteReference"/>
          <w:rFonts w:ascii="Arial" w:hAnsi="Arial" w:cs="Arial"/>
        </w:rPr>
        <w:footnoteReference w:id="11"/>
      </w:r>
      <w:r w:rsidR="005531A8">
        <w:rPr>
          <w:rFonts w:ascii="Arial" w:hAnsi="Arial" w:cs="Arial"/>
        </w:rPr>
        <w:t>.</w:t>
      </w:r>
      <w:r w:rsidR="00F14BB3">
        <w:rPr>
          <w:rFonts w:ascii="Arial" w:hAnsi="Arial" w:cs="Arial"/>
        </w:rPr>
        <w:t xml:space="preserve"> T</w:t>
      </w:r>
      <w:r w:rsidR="00B30809">
        <w:rPr>
          <w:rFonts w:ascii="Arial" w:hAnsi="Arial" w:cs="Arial"/>
        </w:rPr>
        <w:t>he applicants were, among others, denied any form of rental income which could be raised from potential lesse</w:t>
      </w:r>
      <w:r w:rsidR="00F14BB3">
        <w:rPr>
          <w:rFonts w:ascii="Arial" w:hAnsi="Arial" w:cs="Arial"/>
        </w:rPr>
        <w:t>es and the property was not</w:t>
      </w:r>
      <w:r w:rsidR="00B30809">
        <w:rPr>
          <w:rFonts w:ascii="Arial" w:hAnsi="Arial" w:cs="Arial"/>
        </w:rPr>
        <w:t xml:space="preserve"> available and open for viewing to attr</w:t>
      </w:r>
      <w:r w:rsidR="002731DE">
        <w:rPr>
          <w:rFonts w:ascii="Arial" w:hAnsi="Arial" w:cs="Arial"/>
        </w:rPr>
        <w:t>a</w:t>
      </w:r>
      <w:r w:rsidR="00B30809">
        <w:rPr>
          <w:rFonts w:ascii="Arial" w:hAnsi="Arial" w:cs="Arial"/>
        </w:rPr>
        <w:t>ct potential buyers.</w:t>
      </w:r>
      <w:r w:rsidR="00B30809">
        <w:rPr>
          <w:rStyle w:val="FootnoteReference"/>
          <w:rFonts w:ascii="Arial" w:hAnsi="Arial" w:cs="Arial"/>
        </w:rPr>
        <w:footnoteReference w:id="12"/>
      </w:r>
      <w:r w:rsidR="00B30809">
        <w:rPr>
          <w:rFonts w:ascii="Arial" w:hAnsi="Arial" w:cs="Arial"/>
        </w:rPr>
        <w:t xml:space="preserve"> </w:t>
      </w:r>
    </w:p>
    <w:p w:rsidR="00815B61" w:rsidRPr="00815B61" w:rsidRDefault="00815B61" w:rsidP="00225396">
      <w:pPr>
        <w:spacing w:after="240" w:line="360" w:lineRule="auto"/>
        <w:ind w:left="567" w:hanging="567"/>
        <w:jc w:val="both"/>
        <w:rPr>
          <w:rFonts w:ascii="Arial" w:hAnsi="Arial" w:cs="Arial"/>
          <w:u w:val="single"/>
        </w:rPr>
      </w:pPr>
      <w:r w:rsidRPr="00815B61">
        <w:rPr>
          <w:rFonts w:ascii="Arial" w:hAnsi="Arial" w:cs="Arial"/>
          <w:u w:val="single"/>
        </w:rPr>
        <w:t>The legal position</w:t>
      </w:r>
    </w:p>
    <w:p w:rsidR="00830E8D" w:rsidRDefault="00D0203B" w:rsidP="00225396">
      <w:pPr>
        <w:spacing w:after="240" w:line="360" w:lineRule="auto"/>
        <w:ind w:left="567" w:hanging="567"/>
        <w:jc w:val="both"/>
        <w:rPr>
          <w:rFonts w:ascii="Arial" w:hAnsi="Arial" w:cs="Arial"/>
        </w:rPr>
      </w:pPr>
      <w:r w:rsidRPr="00D0203B">
        <w:rPr>
          <w:rFonts w:ascii="Arial" w:hAnsi="Arial" w:cs="Arial"/>
        </w:rPr>
        <w:t>[2</w:t>
      </w:r>
      <w:r w:rsidR="00225396">
        <w:rPr>
          <w:rFonts w:ascii="Arial" w:hAnsi="Arial" w:cs="Arial"/>
        </w:rPr>
        <w:t>1</w:t>
      </w:r>
      <w:r w:rsidRPr="00D0203B">
        <w:rPr>
          <w:rFonts w:ascii="Arial" w:hAnsi="Arial" w:cs="Arial"/>
        </w:rPr>
        <w:t>]</w:t>
      </w:r>
      <w:r w:rsidR="009A6D55">
        <w:rPr>
          <w:rFonts w:ascii="Arial" w:hAnsi="Arial" w:cs="Arial"/>
        </w:rPr>
        <w:t xml:space="preserve">  In </w:t>
      </w:r>
      <w:proofErr w:type="spellStart"/>
      <w:r w:rsidR="003A6230" w:rsidRPr="001F770D">
        <w:rPr>
          <w:rFonts w:ascii="Arial" w:hAnsi="Arial" w:cs="Arial"/>
          <w:i/>
        </w:rPr>
        <w:t>Grobler</w:t>
      </w:r>
      <w:proofErr w:type="spellEnd"/>
      <w:r w:rsidR="003A6230" w:rsidRPr="001F770D">
        <w:rPr>
          <w:rFonts w:ascii="Arial" w:hAnsi="Arial" w:cs="Arial"/>
          <w:i/>
        </w:rPr>
        <w:t xml:space="preserve"> v Phillips and Others</w:t>
      </w:r>
      <w:r w:rsidR="001F770D">
        <w:rPr>
          <w:rFonts w:ascii="Arial" w:hAnsi="Arial" w:cs="Arial"/>
          <w:i/>
        </w:rPr>
        <w:t>,</w:t>
      </w:r>
      <w:r w:rsidR="003A6230">
        <w:rPr>
          <w:rStyle w:val="FootnoteReference"/>
          <w:rFonts w:ascii="Arial" w:hAnsi="Arial" w:cs="Arial"/>
        </w:rPr>
        <w:footnoteReference w:id="13"/>
      </w:r>
      <w:r w:rsidR="001F770D">
        <w:rPr>
          <w:rFonts w:ascii="Arial" w:hAnsi="Arial" w:cs="Arial"/>
          <w:i/>
        </w:rPr>
        <w:t xml:space="preserve"> </w:t>
      </w:r>
      <w:r w:rsidR="001F770D">
        <w:rPr>
          <w:rFonts w:ascii="Arial" w:hAnsi="Arial" w:cs="Arial"/>
        </w:rPr>
        <w:t>it was stated that</w:t>
      </w:r>
      <w:r w:rsidR="00A735AF">
        <w:rPr>
          <w:rFonts w:ascii="Arial" w:hAnsi="Arial" w:cs="Arial"/>
        </w:rPr>
        <w:t xml:space="preserve"> justice and equity in terms of the PIE Act means tha</w:t>
      </w:r>
      <w:r w:rsidR="00E43A8B">
        <w:rPr>
          <w:rFonts w:ascii="Arial" w:hAnsi="Arial" w:cs="Arial"/>
        </w:rPr>
        <w:t>t a just and equitable balance is</w:t>
      </w:r>
      <w:r w:rsidR="00A735AF">
        <w:rPr>
          <w:rFonts w:ascii="Arial" w:hAnsi="Arial" w:cs="Arial"/>
        </w:rPr>
        <w:t xml:space="preserve"> struck between the rights of the occupier and those of the owner to infuse justice and equity in the inquiry.</w:t>
      </w:r>
      <w:r w:rsidR="00A735AF">
        <w:rPr>
          <w:rStyle w:val="FootnoteReference"/>
          <w:rFonts w:ascii="Arial" w:hAnsi="Arial" w:cs="Arial"/>
        </w:rPr>
        <w:footnoteReference w:id="14"/>
      </w:r>
      <w:r w:rsidR="00A735AF">
        <w:rPr>
          <w:rFonts w:ascii="Arial" w:hAnsi="Arial" w:cs="Arial"/>
        </w:rPr>
        <w:t xml:space="preserve"> </w:t>
      </w:r>
    </w:p>
    <w:p w:rsidR="00225396" w:rsidRDefault="00225396" w:rsidP="00225396">
      <w:pPr>
        <w:spacing w:after="240" w:line="360" w:lineRule="auto"/>
        <w:ind w:left="567" w:hanging="567"/>
        <w:jc w:val="both"/>
        <w:rPr>
          <w:rFonts w:ascii="Arial" w:hAnsi="Arial" w:cs="Arial"/>
        </w:rPr>
      </w:pPr>
      <w:r>
        <w:rPr>
          <w:rFonts w:ascii="Arial" w:hAnsi="Arial" w:cs="Arial"/>
        </w:rPr>
        <w:t>[22</w:t>
      </w:r>
      <w:r w:rsidR="00830E8D">
        <w:rPr>
          <w:rFonts w:ascii="Arial" w:hAnsi="Arial" w:cs="Arial"/>
        </w:rPr>
        <w:t>]</w:t>
      </w:r>
      <w:r>
        <w:rPr>
          <w:rFonts w:ascii="Arial" w:hAnsi="Arial" w:cs="Arial"/>
        </w:rPr>
        <w:t xml:space="preserve"> </w:t>
      </w:r>
      <w:r w:rsidR="00830E8D" w:rsidRPr="00427F53">
        <w:rPr>
          <w:rFonts w:ascii="Arial" w:hAnsi="Arial" w:cs="Arial"/>
        </w:rPr>
        <w:t xml:space="preserve">Section 4(8) of the Act provides </w:t>
      </w:r>
      <w:r w:rsidRPr="00427F53">
        <w:rPr>
          <w:rFonts w:ascii="Arial" w:hAnsi="Arial" w:cs="Arial"/>
        </w:rPr>
        <w:t>that If</w:t>
      </w:r>
      <w:r w:rsidR="00830E8D" w:rsidRPr="00427F53">
        <w:rPr>
          <w:rFonts w:ascii="Arial" w:hAnsi="Arial" w:cs="Arial"/>
        </w:rPr>
        <w:t xml:space="preserve"> the court is satisfied that all the requirements of this section have been complied with and that no valid defence</w:t>
      </w:r>
      <w:r w:rsidR="00427F53">
        <w:rPr>
          <w:rFonts w:ascii="Arial" w:hAnsi="Arial" w:cs="Arial"/>
        </w:rPr>
        <w:t xml:space="preserve"> has been raised by the unlawful occupier,</w:t>
      </w:r>
      <w:r w:rsidR="00830E8D" w:rsidRPr="00427F53">
        <w:rPr>
          <w:rFonts w:ascii="Arial" w:hAnsi="Arial" w:cs="Arial"/>
        </w:rPr>
        <w:t xml:space="preserve"> </w:t>
      </w:r>
      <w:r w:rsidR="00427F53" w:rsidRPr="00427F53">
        <w:rPr>
          <w:rFonts w:ascii="Arial" w:hAnsi="Arial" w:cs="Arial"/>
        </w:rPr>
        <w:t>it must grant an order for the eviction of the u</w:t>
      </w:r>
      <w:r w:rsidR="00427F53">
        <w:rPr>
          <w:rFonts w:ascii="Arial" w:hAnsi="Arial" w:cs="Arial"/>
        </w:rPr>
        <w:t>nlawful occupier, and determine a</w:t>
      </w:r>
      <w:r w:rsidR="00427F53" w:rsidRPr="00427F53">
        <w:rPr>
          <w:rFonts w:ascii="Arial" w:hAnsi="Arial" w:cs="Arial"/>
        </w:rPr>
        <w:t xml:space="preserve"> just and equitable date on which the unlawful occupier must vacate t</w:t>
      </w:r>
      <w:r w:rsidR="00427F53">
        <w:rPr>
          <w:rFonts w:ascii="Arial" w:hAnsi="Arial" w:cs="Arial"/>
        </w:rPr>
        <w:t>he land under the circumstances.</w:t>
      </w:r>
    </w:p>
    <w:p w:rsidR="00AB5642" w:rsidRPr="00225396" w:rsidRDefault="00225396" w:rsidP="00225396">
      <w:pPr>
        <w:spacing w:after="240" w:line="360" w:lineRule="auto"/>
        <w:ind w:left="567" w:hanging="567"/>
        <w:jc w:val="both"/>
        <w:rPr>
          <w:rFonts w:ascii="Arial" w:hAnsi="Arial" w:cs="Arial"/>
        </w:rPr>
      </w:pPr>
      <w:r>
        <w:rPr>
          <w:rFonts w:ascii="Arial" w:hAnsi="Arial" w:cs="Arial"/>
        </w:rPr>
        <w:t>[23]</w:t>
      </w:r>
      <w:r>
        <w:rPr>
          <w:rFonts w:ascii="Arial" w:hAnsi="Arial" w:cs="Arial"/>
        </w:rPr>
        <w:tab/>
      </w:r>
      <w:r w:rsidR="00573D2F" w:rsidRPr="00744CE6">
        <w:rPr>
          <w:rFonts w:ascii="Arial" w:hAnsi="Arial" w:cs="Arial"/>
        </w:rPr>
        <w:t>The questi</w:t>
      </w:r>
      <w:r w:rsidR="00483E6B" w:rsidRPr="00744CE6">
        <w:rPr>
          <w:rFonts w:ascii="Arial" w:hAnsi="Arial" w:cs="Arial"/>
        </w:rPr>
        <w:t>on that arises is whether it is just and equitable to grant an order of eviction on a consideration of all the relevant circumstances</w:t>
      </w:r>
      <w:r w:rsidR="00B7730D">
        <w:rPr>
          <w:rFonts w:ascii="Arial" w:hAnsi="Arial" w:cs="Arial"/>
        </w:rPr>
        <w:t xml:space="preserve"> of this case</w:t>
      </w:r>
      <w:r w:rsidR="00483E6B" w:rsidRPr="00744CE6">
        <w:rPr>
          <w:rFonts w:ascii="Arial" w:hAnsi="Arial" w:cs="Arial"/>
        </w:rPr>
        <w:t>.</w:t>
      </w:r>
      <w:r w:rsidR="00573D2F" w:rsidRPr="00744CE6">
        <w:rPr>
          <w:rFonts w:ascii="Arial" w:hAnsi="Arial" w:cs="Arial"/>
        </w:rPr>
        <w:t xml:space="preserve"> </w:t>
      </w:r>
      <w:r w:rsidR="00AB5642" w:rsidRPr="00744CE6">
        <w:rPr>
          <w:rFonts w:ascii="Arial" w:hAnsi="Arial" w:cs="Arial"/>
        </w:rPr>
        <w:t xml:space="preserve">In </w:t>
      </w:r>
      <w:proofErr w:type="spellStart"/>
      <w:r w:rsidR="00AB5642" w:rsidRPr="00744CE6">
        <w:rPr>
          <w:rFonts w:ascii="Arial" w:hAnsi="Arial" w:cs="Arial"/>
          <w:i/>
        </w:rPr>
        <w:t>Grobler</w:t>
      </w:r>
      <w:proofErr w:type="spellEnd"/>
      <w:r w:rsidR="00AB5642" w:rsidRPr="00744CE6">
        <w:rPr>
          <w:rFonts w:ascii="Arial" w:hAnsi="Arial" w:cs="Arial"/>
          <w:i/>
        </w:rPr>
        <w:t xml:space="preserve"> v Phillips and Others</w:t>
      </w:r>
      <w:r w:rsidR="00F41DE3">
        <w:rPr>
          <w:rFonts w:ascii="Arial" w:hAnsi="Arial" w:cs="Arial"/>
          <w:i/>
        </w:rPr>
        <w:t>,</w:t>
      </w:r>
      <w:r w:rsidR="00F41DE3">
        <w:rPr>
          <w:rStyle w:val="FootnoteReference"/>
          <w:rFonts w:ascii="Arial" w:hAnsi="Arial" w:cs="Arial"/>
          <w:i/>
        </w:rPr>
        <w:footnoteReference w:id="15"/>
      </w:r>
      <w:r w:rsidR="00744CE6">
        <w:rPr>
          <w:rStyle w:val="FootnoteReference"/>
          <w:rFonts w:ascii="Arial" w:hAnsi="Arial" w:cs="Arial"/>
        </w:rPr>
        <w:t xml:space="preserve"> </w:t>
      </w:r>
      <w:r w:rsidR="00AB5642" w:rsidRPr="00744CE6">
        <w:rPr>
          <w:rFonts w:ascii="Arial" w:hAnsi="Arial" w:cs="Arial"/>
        </w:rPr>
        <w:t>it was stated that</w:t>
      </w:r>
      <w:r w:rsidR="00AB5642">
        <w:rPr>
          <w:rFonts w:ascii="Arial" w:hAnsi="Arial" w:cs="Arial"/>
        </w:rPr>
        <w:t>:</w:t>
      </w:r>
      <w:r w:rsidR="00AB5642" w:rsidRPr="00225396">
        <w:rPr>
          <w:rFonts w:ascii="Arial" w:hAnsi="Arial" w:cs="Arial"/>
          <w:sz w:val="20"/>
          <w:szCs w:val="20"/>
        </w:rPr>
        <w:t xml:space="preserve"> </w:t>
      </w:r>
      <w:r w:rsidR="00AB5642" w:rsidRPr="00225396">
        <w:rPr>
          <w:rFonts w:ascii="Arial" w:hAnsi="Arial" w:cs="Arial"/>
          <w:sz w:val="20"/>
          <w:szCs w:val="20"/>
          <w:lang w:val="en-ZA" w:eastAsia="en-ZA"/>
        </w:rPr>
        <w:t>“</w:t>
      </w:r>
      <w:r w:rsidR="00AB5642" w:rsidRPr="00AB5642">
        <w:rPr>
          <w:rFonts w:ascii="Arial" w:hAnsi="Arial" w:cs="Arial"/>
          <w:i/>
          <w:color w:val="242121"/>
          <w:sz w:val="20"/>
          <w:szCs w:val="20"/>
          <w:shd w:val="clear" w:color="auto" w:fill="FFFFFF"/>
        </w:rPr>
        <w:t>No case in which an order of eviction from a residence is sought can ignore the visceral reality of what is sought, namely the ejectment of a person from their home in vindication of a superior right to property. Nor can the legal process by which the order is obtained be divorced from our fraught history of eviction and ejectment of vulnerable persons from their homes. It is to this visceral reality that our Constitution addresses itself in s 26, and in this context that relevant legislation is to be interpreted and applied.”</w:t>
      </w:r>
    </w:p>
    <w:p w:rsidR="00541FE7" w:rsidRDefault="00025DEB" w:rsidP="00225396">
      <w:pPr>
        <w:spacing w:after="240" w:line="360" w:lineRule="auto"/>
        <w:ind w:left="567" w:hanging="567"/>
        <w:jc w:val="both"/>
        <w:rPr>
          <w:rFonts w:ascii="Arial" w:hAnsi="Arial" w:cs="Arial"/>
          <w:lang w:val="en-ZA" w:eastAsia="en-ZA"/>
        </w:rPr>
      </w:pPr>
      <w:r>
        <w:rPr>
          <w:rFonts w:ascii="Arial" w:hAnsi="Arial" w:cs="Arial"/>
          <w:lang w:val="en-ZA" w:eastAsia="en-ZA"/>
        </w:rPr>
        <w:t>[2</w:t>
      </w:r>
      <w:r w:rsidR="00225396">
        <w:rPr>
          <w:rFonts w:ascii="Arial" w:hAnsi="Arial" w:cs="Arial"/>
          <w:lang w:val="en-ZA" w:eastAsia="en-ZA"/>
        </w:rPr>
        <w:t>4</w:t>
      </w:r>
      <w:r>
        <w:rPr>
          <w:rFonts w:ascii="Arial" w:hAnsi="Arial" w:cs="Arial"/>
          <w:lang w:val="en-ZA" w:eastAsia="en-ZA"/>
        </w:rPr>
        <w:t xml:space="preserve">] </w:t>
      </w:r>
      <w:r w:rsidR="005573B9">
        <w:rPr>
          <w:rFonts w:ascii="Arial" w:hAnsi="Arial" w:cs="Arial"/>
          <w:lang w:val="en-ZA" w:eastAsia="en-ZA"/>
        </w:rPr>
        <w:tab/>
      </w:r>
      <w:r>
        <w:rPr>
          <w:rFonts w:ascii="Arial" w:hAnsi="Arial" w:cs="Arial"/>
          <w:lang w:val="en-ZA" w:eastAsia="en-ZA"/>
        </w:rPr>
        <w:t>In the present matter, the first respondent</w:t>
      </w:r>
      <w:r w:rsidR="00E43A8B">
        <w:rPr>
          <w:rFonts w:ascii="Arial" w:hAnsi="Arial" w:cs="Arial"/>
          <w:lang w:val="en-ZA" w:eastAsia="en-ZA"/>
        </w:rPr>
        <w:t xml:space="preserve"> is 43 years old and has lived o</w:t>
      </w:r>
      <w:r>
        <w:rPr>
          <w:rFonts w:ascii="Arial" w:hAnsi="Arial" w:cs="Arial"/>
          <w:lang w:val="en-ZA" w:eastAsia="en-ZA"/>
        </w:rPr>
        <w:t xml:space="preserve">n the property since birth. It is not in dispute that Mrs </w:t>
      </w:r>
      <w:proofErr w:type="spellStart"/>
      <w:r>
        <w:rPr>
          <w:rFonts w:ascii="Arial" w:hAnsi="Arial" w:cs="Arial"/>
          <w:lang w:val="en-ZA" w:eastAsia="en-ZA"/>
        </w:rPr>
        <w:t>Morakabi</w:t>
      </w:r>
      <w:proofErr w:type="spellEnd"/>
      <w:r w:rsidR="004E6ADA">
        <w:rPr>
          <w:rFonts w:ascii="Arial" w:hAnsi="Arial" w:cs="Arial"/>
          <w:lang w:val="en-ZA" w:eastAsia="en-ZA"/>
        </w:rPr>
        <w:t xml:space="preserve"> sold the property on her own without the consent of her sister who was the co-executrix</w:t>
      </w:r>
      <w:r w:rsidR="00E43A8B">
        <w:rPr>
          <w:rFonts w:ascii="Arial" w:hAnsi="Arial" w:cs="Arial"/>
          <w:lang w:val="en-ZA" w:eastAsia="en-ZA"/>
        </w:rPr>
        <w:t xml:space="preserve"> or co-representative </w:t>
      </w:r>
      <w:r w:rsidR="004E6ADA">
        <w:rPr>
          <w:rFonts w:ascii="Arial" w:hAnsi="Arial" w:cs="Arial"/>
          <w:lang w:val="en-ZA" w:eastAsia="en-ZA"/>
        </w:rPr>
        <w:t>of their late mother’s estate.</w:t>
      </w:r>
      <w:r w:rsidR="00280A99">
        <w:rPr>
          <w:rFonts w:ascii="Arial" w:hAnsi="Arial" w:cs="Arial"/>
          <w:lang w:val="en-ZA" w:eastAsia="en-ZA"/>
        </w:rPr>
        <w:t xml:space="preserve"> The Master’s letter of 22</w:t>
      </w:r>
      <w:r w:rsidR="00443DB8">
        <w:rPr>
          <w:rFonts w:ascii="Arial" w:hAnsi="Arial" w:cs="Arial"/>
          <w:lang w:val="en-ZA" w:eastAsia="en-ZA"/>
        </w:rPr>
        <w:t xml:space="preserve"> May 2014 w</w:t>
      </w:r>
      <w:r w:rsidR="00280A99">
        <w:rPr>
          <w:rFonts w:ascii="Arial" w:hAnsi="Arial" w:cs="Arial"/>
          <w:lang w:val="en-ZA" w:eastAsia="en-ZA"/>
        </w:rPr>
        <w:t xml:space="preserve">ent unheeded </w:t>
      </w:r>
      <w:r w:rsidR="00E43A8B">
        <w:rPr>
          <w:rFonts w:ascii="Arial" w:hAnsi="Arial" w:cs="Arial"/>
          <w:lang w:val="en-ZA" w:eastAsia="en-ZA"/>
        </w:rPr>
        <w:t xml:space="preserve">by Mrs </w:t>
      </w:r>
      <w:proofErr w:type="spellStart"/>
      <w:r w:rsidR="00E43A8B">
        <w:rPr>
          <w:rFonts w:ascii="Arial" w:hAnsi="Arial" w:cs="Arial"/>
          <w:lang w:val="en-ZA" w:eastAsia="en-ZA"/>
        </w:rPr>
        <w:t>Morakabi</w:t>
      </w:r>
      <w:proofErr w:type="spellEnd"/>
      <w:r w:rsidR="00E43A8B">
        <w:rPr>
          <w:rFonts w:ascii="Arial" w:hAnsi="Arial" w:cs="Arial"/>
          <w:lang w:val="en-ZA" w:eastAsia="en-ZA"/>
        </w:rPr>
        <w:t xml:space="preserve"> </w:t>
      </w:r>
      <w:r w:rsidR="00280A99">
        <w:rPr>
          <w:rFonts w:ascii="Arial" w:hAnsi="Arial" w:cs="Arial"/>
          <w:lang w:val="en-ZA" w:eastAsia="en-ZA"/>
        </w:rPr>
        <w:t>which gave rise to the</w:t>
      </w:r>
      <w:r w:rsidR="00443DB8">
        <w:rPr>
          <w:rFonts w:ascii="Arial" w:hAnsi="Arial" w:cs="Arial"/>
          <w:lang w:val="en-ZA" w:eastAsia="en-ZA"/>
        </w:rPr>
        <w:t xml:space="preserve"> revo</w:t>
      </w:r>
      <w:r w:rsidR="00280A99">
        <w:rPr>
          <w:rFonts w:ascii="Arial" w:hAnsi="Arial" w:cs="Arial"/>
          <w:lang w:val="en-ZA" w:eastAsia="en-ZA"/>
        </w:rPr>
        <w:t xml:space="preserve">cation of the Letters of Authority of 24 October 2012 and the </w:t>
      </w:r>
      <w:r w:rsidR="00E43A8B">
        <w:rPr>
          <w:rFonts w:ascii="Arial" w:hAnsi="Arial" w:cs="Arial"/>
          <w:lang w:val="en-ZA" w:eastAsia="en-ZA"/>
        </w:rPr>
        <w:t xml:space="preserve">subsequent </w:t>
      </w:r>
      <w:r w:rsidR="00280A99">
        <w:rPr>
          <w:rFonts w:ascii="Arial" w:hAnsi="Arial" w:cs="Arial"/>
          <w:lang w:val="en-ZA" w:eastAsia="en-ZA"/>
        </w:rPr>
        <w:t>issue of fresh ones by the Master</w:t>
      </w:r>
      <w:r w:rsidR="00443DB8">
        <w:rPr>
          <w:rFonts w:ascii="Arial" w:hAnsi="Arial" w:cs="Arial"/>
          <w:lang w:val="en-ZA" w:eastAsia="en-ZA"/>
        </w:rPr>
        <w:t xml:space="preserve"> on 7 July 2014. Notwithstanding the changed circumstances, she proceeded to singlehandedly register the property, forming an asset in the estate, in her and her husband’s names. It is clear from a perusal of the Next-of-kin document</w:t>
      </w:r>
      <w:r w:rsidR="00D14182">
        <w:rPr>
          <w:rFonts w:ascii="Arial" w:hAnsi="Arial" w:cs="Arial"/>
          <w:lang w:val="en-ZA" w:eastAsia="en-ZA"/>
        </w:rPr>
        <w:t>, which is admitted by the applicants,</w:t>
      </w:r>
      <w:r w:rsidR="00443DB8">
        <w:rPr>
          <w:rFonts w:ascii="Arial" w:hAnsi="Arial" w:cs="Arial"/>
          <w:lang w:val="en-ZA" w:eastAsia="en-ZA"/>
        </w:rPr>
        <w:t xml:space="preserve"> that she presented herself</w:t>
      </w:r>
      <w:r w:rsidR="00D14182">
        <w:rPr>
          <w:rFonts w:ascii="Arial" w:hAnsi="Arial" w:cs="Arial"/>
          <w:lang w:val="en-ZA" w:eastAsia="en-ZA"/>
        </w:rPr>
        <w:t xml:space="preserve"> to the Master</w:t>
      </w:r>
      <w:r w:rsidR="00443DB8">
        <w:rPr>
          <w:rFonts w:ascii="Arial" w:hAnsi="Arial" w:cs="Arial"/>
          <w:lang w:val="en-ZA" w:eastAsia="en-ZA"/>
        </w:rPr>
        <w:t xml:space="preserve"> as the only surviving child of her deceased mother</w:t>
      </w:r>
      <w:r w:rsidR="00D837BB">
        <w:rPr>
          <w:rFonts w:ascii="Arial" w:hAnsi="Arial" w:cs="Arial"/>
          <w:lang w:val="en-ZA" w:eastAsia="en-ZA"/>
        </w:rPr>
        <w:t>. The conclusion is inescapable that she presented herself to the Master and probably the Director-General or his representative as the only survivor and possible heir to her deceased mother’s estate.</w:t>
      </w:r>
      <w:r w:rsidR="00443DB8">
        <w:rPr>
          <w:rFonts w:ascii="Arial" w:hAnsi="Arial" w:cs="Arial"/>
          <w:lang w:val="en-ZA" w:eastAsia="en-ZA"/>
        </w:rPr>
        <w:t xml:space="preserve"> </w:t>
      </w:r>
      <w:r w:rsidR="00D14182">
        <w:rPr>
          <w:rFonts w:ascii="Arial" w:hAnsi="Arial" w:cs="Arial"/>
          <w:lang w:val="en-ZA" w:eastAsia="en-ZA"/>
        </w:rPr>
        <w:t>She manipulated herself into the position to allocate to herself an asset in the deceased estate.</w:t>
      </w:r>
    </w:p>
    <w:p w:rsidR="00CE696B" w:rsidRDefault="00F224FA" w:rsidP="00225396">
      <w:pPr>
        <w:spacing w:after="240" w:line="360" w:lineRule="auto"/>
        <w:ind w:left="567" w:hanging="567"/>
        <w:jc w:val="both"/>
        <w:rPr>
          <w:rFonts w:ascii="Arial" w:hAnsi="Arial" w:cs="Arial"/>
          <w:lang w:val="en-ZA" w:eastAsia="en-ZA"/>
        </w:rPr>
      </w:pPr>
      <w:r>
        <w:rPr>
          <w:rFonts w:ascii="Arial" w:hAnsi="Arial" w:cs="Arial"/>
          <w:lang w:val="en-ZA" w:eastAsia="en-ZA"/>
        </w:rPr>
        <w:t>[2</w:t>
      </w:r>
      <w:r w:rsidR="00225396">
        <w:rPr>
          <w:rFonts w:ascii="Arial" w:hAnsi="Arial" w:cs="Arial"/>
          <w:lang w:val="en-ZA" w:eastAsia="en-ZA"/>
        </w:rPr>
        <w:t>5</w:t>
      </w:r>
      <w:r>
        <w:rPr>
          <w:rFonts w:ascii="Arial" w:hAnsi="Arial" w:cs="Arial"/>
          <w:lang w:val="en-ZA" w:eastAsia="en-ZA"/>
        </w:rPr>
        <w:t xml:space="preserve">] The </w:t>
      </w:r>
      <w:r w:rsidR="001E51B6">
        <w:rPr>
          <w:rFonts w:ascii="Arial" w:hAnsi="Arial" w:cs="Arial"/>
          <w:lang w:val="en-ZA" w:eastAsia="en-ZA"/>
        </w:rPr>
        <w:t>centrepiece</w:t>
      </w:r>
      <w:r>
        <w:rPr>
          <w:rFonts w:ascii="Arial" w:hAnsi="Arial" w:cs="Arial"/>
          <w:lang w:val="en-ZA" w:eastAsia="en-ZA"/>
        </w:rPr>
        <w:t xml:space="preserve"> of the applicants’</w:t>
      </w:r>
      <w:r w:rsidR="004654DF">
        <w:rPr>
          <w:rFonts w:ascii="Arial" w:hAnsi="Arial" w:cs="Arial"/>
          <w:lang w:val="en-ZA" w:eastAsia="en-ZA"/>
        </w:rPr>
        <w:t xml:space="preserve"> answering affidavit is that </w:t>
      </w:r>
      <w:r w:rsidR="004654DF">
        <w:rPr>
          <w:rFonts w:ascii="Arial" w:hAnsi="Arial" w:cs="Arial"/>
        </w:rPr>
        <w:t>the decision taken by the Director-General or his delegate to transfer the property into the name of Mrs Morakabi and</w:t>
      </w:r>
      <w:r w:rsidR="00B35947">
        <w:rPr>
          <w:rFonts w:ascii="Arial" w:hAnsi="Arial" w:cs="Arial"/>
        </w:rPr>
        <w:t>,</w:t>
      </w:r>
      <w:r w:rsidR="004654DF">
        <w:rPr>
          <w:rFonts w:ascii="Arial" w:hAnsi="Arial" w:cs="Arial"/>
        </w:rPr>
        <w:t xml:space="preserve"> whether or not an </w:t>
      </w:r>
      <w:r w:rsidR="001E51B6">
        <w:rPr>
          <w:rFonts w:ascii="Arial" w:hAnsi="Arial" w:cs="Arial"/>
        </w:rPr>
        <w:t>inquiry</w:t>
      </w:r>
      <w:r w:rsidR="004654DF">
        <w:rPr>
          <w:rFonts w:ascii="Arial" w:hAnsi="Arial" w:cs="Arial"/>
        </w:rPr>
        <w:t xml:space="preserve"> was held, was an administrative decision, which could only be reviewed and set aside in terms of the Promotion of Administrative Justice Act 3 of 2000 (PAJA).</w:t>
      </w:r>
      <w:r w:rsidR="00FF3DEE">
        <w:rPr>
          <w:rFonts w:ascii="Arial" w:hAnsi="Arial" w:cs="Arial"/>
        </w:rPr>
        <w:t xml:space="preserve"> In the absence of a review application to set aside the administrative decision, the first respondent did not have a case. </w:t>
      </w:r>
    </w:p>
    <w:p w:rsidR="00B70963" w:rsidRDefault="004654DF" w:rsidP="00225396">
      <w:pPr>
        <w:autoSpaceDE w:val="0"/>
        <w:autoSpaceDN w:val="0"/>
        <w:adjustRightInd w:val="0"/>
        <w:spacing w:after="240" w:line="360" w:lineRule="auto"/>
        <w:ind w:left="567" w:hanging="567"/>
        <w:jc w:val="both"/>
        <w:rPr>
          <w:rFonts w:ascii="ArialMT" w:eastAsiaTheme="minorHAnsi" w:hAnsi="ArialMT" w:cs="ArialMT"/>
          <w:lang w:val="en-ZA" w:eastAsia="en-US"/>
        </w:rPr>
      </w:pPr>
      <w:r>
        <w:rPr>
          <w:rFonts w:ascii="Arial" w:hAnsi="Arial" w:cs="Arial"/>
          <w:lang w:val="en-ZA" w:eastAsia="en-ZA"/>
        </w:rPr>
        <w:t>[2</w:t>
      </w:r>
      <w:r w:rsidR="00225396">
        <w:rPr>
          <w:rFonts w:ascii="Arial" w:hAnsi="Arial" w:cs="Arial"/>
          <w:lang w:val="en-ZA" w:eastAsia="en-ZA"/>
        </w:rPr>
        <w:t>6</w:t>
      </w:r>
      <w:r w:rsidR="00CE696B">
        <w:rPr>
          <w:rFonts w:ascii="Arial" w:hAnsi="Arial" w:cs="Arial"/>
          <w:lang w:val="en-ZA" w:eastAsia="en-ZA"/>
        </w:rPr>
        <w:t xml:space="preserve">] </w:t>
      </w:r>
      <w:r w:rsidR="005573B9">
        <w:rPr>
          <w:rFonts w:ascii="Arial" w:hAnsi="Arial" w:cs="Arial"/>
          <w:lang w:val="en-ZA" w:eastAsia="en-ZA"/>
        </w:rPr>
        <w:tab/>
      </w:r>
      <w:r w:rsidR="00C12413">
        <w:rPr>
          <w:rFonts w:ascii="Arial" w:hAnsi="Arial" w:cs="Arial"/>
          <w:lang w:val="en-ZA" w:eastAsia="en-ZA"/>
        </w:rPr>
        <w:t xml:space="preserve">In </w:t>
      </w:r>
      <w:r w:rsidR="00C12413" w:rsidRPr="004654DF">
        <w:rPr>
          <w:rFonts w:ascii="Arial-BoldItalicMT" w:eastAsiaTheme="minorHAnsi" w:hAnsi="Arial-BoldItalicMT" w:cs="Arial-BoldItalicMT"/>
          <w:bCs/>
          <w:i/>
          <w:iCs/>
          <w:lang w:val="en-ZA" w:eastAsia="en-US"/>
        </w:rPr>
        <w:t>Kuzwayo v Estate late Masilela</w:t>
      </w:r>
      <w:r w:rsidR="00437ADF">
        <w:rPr>
          <w:rFonts w:ascii="Arial-BoldItalicMT" w:eastAsiaTheme="minorHAnsi" w:hAnsi="Arial-BoldItalicMT" w:cs="Arial-BoldItalicMT"/>
          <w:bCs/>
          <w:i/>
          <w:iCs/>
          <w:lang w:val="en-ZA" w:eastAsia="en-US"/>
        </w:rPr>
        <w:t>,</w:t>
      </w:r>
      <w:r>
        <w:rPr>
          <w:rStyle w:val="FootnoteReference"/>
          <w:rFonts w:ascii="Arial-BoldItalicMT" w:eastAsiaTheme="minorHAnsi" w:hAnsi="Arial-BoldItalicMT" w:cs="Arial-BoldItalicMT"/>
          <w:bCs/>
          <w:i/>
          <w:iCs/>
          <w:lang w:val="en-ZA" w:eastAsia="en-US"/>
        </w:rPr>
        <w:footnoteReference w:id="16"/>
      </w:r>
      <w:r w:rsidR="00C12413">
        <w:rPr>
          <w:rFonts w:ascii="Arial-BoldItalicMT" w:eastAsiaTheme="minorHAnsi" w:hAnsi="Arial-BoldItalicMT" w:cs="Arial-BoldItalicMT"/>
          <w:b/>
          <w:bCs/>
          <w:i/>
          <w:iCs/>
          <w:lang w:val="en-ZA" w:eastAsia="en-US"/>
        </w:rPr>
        <w:t xml:space="preserve"> </w:t>
      </w:r>
      <w:r w:rsidR="000805C4" w:rsidRPr="000805C4">
        <w:rPr>
          <w:rFonts w:ascii="Arial-BoldMT" w:eastAsiaTheme="minorHAnsi" w:hAnsi="Arial-BoldMT" w:cs="Arial-BoldMT"/>
          <w:bCs/>
          <w:lang w:val="en-ZA" w:eastAsia="en-US"/>
        </w:rPr>
        <w:t>it</w:t>
      </w:r>
      <w:r w:rsidR="00F224FA">
        <w:rPr>
          <w:rFonts w:ascii="Arial-BoldMT" w:eastAsiaTheme="minorHAnsi" w:hAnsi="Arial-BoldMT" w:cs="Arial-BoldMT"/>
          <w:bCs/>
          <w:lang w:val="en-ZA" w:eastAsia="en-US"/>
        </w:rPr>
        <w:t xml:space="preserve"> was held that a</w:t>
      </w:r>
      <w:r w:rsidR="00F224FA">
        <w:rPr>
          <w:rFonts w:ascii="Arial" w:hAnsi="Arial" w:cs="Arial"/>
          <w:lang w:val="en-ZA" w:eastAsia="en-ZA"/>
        </w:rPr>
        <w:t xml:space="preserve"> h</w:t>
      </w:r>
      <w:r w:rsidR="00104BCE">
        <w:rPr>
          <w:rFonts w:ascii="ArialMT" w:eastAsiaTheme="minorHAnsi" w:hAnsi="ArialMT" w:cs="ArialMT"/>
          <w:lang w:val="en-ZA" w:eastAsia="en-US"/>
        </w:rPr>
        <w:t xml:space="preserve">older of a site permit and </w:t>
      </w:r>
      <w:r w:rsidR="00014460">
        <w:rPr>
          <w:rFonts w:ascii="ArialMT" w:eastAsiaTheme="minorHAnsi" w:hAnsi="ArialMT" w:cs="ArialMT"/>
          <w:lang w:val="en-ZA" w:eastAsia="en-US"/>
        </w:rPr>
        <w:t xml:space="preserve">an </w:t>
      </w:r>
      <w:r w:rsidR="00104BCE">
        <w:rPr>
          <w:rFonts w:ascii="ArialMT" w:eastAsiaTheme="minorHAnsi" w:hAnsi="ArialMT" w:cs="ArialMT"/>
          <w:lang w:val="en-ZA" w:eastAsia="en-US"/>
        </w:rPr>
        <w:t xml:space="preserve">occupier of </w:t>
      </w:r>
      <w:r w:rsidR="00F224FA">
        <w:rPr>
          <w:rFonts w:ascii="ArialMT" w:eastAsiaTheme="minorHAnsi" w:hAnsi="ArialMT" w:cs="ArialMT"/>
          <w:lang w:val="en-ZA" w:eastAsia="en-US"/>
        </w:rPr>
        <w:t xml:space="preserve">a </w:t>
      </w:r>
      <w:r w:rsidR="00104BCE">
        <w:rPr>
          <w:rFonts w:ascii="ArialMT" w:eastAsiaTheme="minorHAnsi" w:hAnsi="ArialMT" w:cs="ArialMT"/>
          <w:lang w:val="en-ZA" w:eastAsia="en-US"/>
        </w:rPr>
        <w:t xml:space="preserve">site </w:t>
      </w:r>
      <w:r w:rsidR="00014460">
        <w:rPr>
          <w:rFonts w:ascii="ArialMT" w:eastAsiaTheme="minorHAnsi" w:hAnsi="ArialMT" w:cs="ArialMT"/>
          <w:lang w:val="en-ZA" w:eastAsia="en-US"/>
        </w:rPr>
        <w:t xml:space="preserve">are </w:t>
      </w:r>
      <w:r w:rsidR="00104BCE">
        <w:rPr>
          <w:rFonts w:ascii="ArialMT" w:eastAsiaTheme="minorHAnsi" w:hAnsi="ArialMT" w:cs="ArialMT"/>
          <w:lang w:val="en-ZA" w:eastAsia="en-US"/>
        </w:rPr>
        <w:t>entitled to</w:t>
      </w:r>
      <w:r w:rsidR="00F224FA">
        <w:rPr>
          <w:rFonts w:ascii="Arial" w:hAnsi="Arial" w:cs="Arial"/>
          <w:lang w:val="en-ZA" w:eastAsia="en-ZA"/>
        </w:rPr>
        <w:t xml:space="preserve"> </w:t>
      </w:r>
      <w:r w:rsidR="00104BCE">
        <w:rPr>
          <w:rFonts w:ascii="ArialMT" w:eastAsiaTheme="minorHAnsi" w:hAnsi="ArialMT" w:cs="ArialMT"/>
          <w:lang w:val="en-ZA" w:eastAsia="en-US"/>
        </w:rPr>
        <w:t xml:space="preserve">apply for </w:t>
      </w:r>
      <w:r w:rsidR="00014460">
        <w:rPr>
          <w:rFonts w:ascii="ArialMT" w:eastAsiaTheme="minorHAnsi" w:hAnsi="ArialMT" w:cs="ArialMT"/>
          <w:lang w:val="en-ZA" w:eastAsia="en-US"/>
        </w:rPr>
        <w:t xml:space="preserve">an </w:t>
      </w:r>
      <w:r w:rsidR="00104BCE">
        <w:rPr>
          <w:rFonts w:ascii="ArialMT" w:eastAsiaTheme="minorHAnsi" w:hAnsi="ArialMT" w:cs="ArialMT"/>
          <w:lang w:val="en-ZA" w:eastAsia="en-US"/>
        </w:rPr>
        <w:t>order that</w:t>
      </w:r>
      <w:r w:rsidR="00014460">
        <w:rPr>
          <w:rFonts w:ascii="ArialMT" w:eastAsiaTheme="minorHAnsi" w:hAnsi="ArialMT" w:cs="ArialMT"/>
          <w:lang w:val="en-ZA" w:eastAsia="en-US"/>
        </w:rPr>
        <w:t xml:space="preserve"> the</w:t>
      </w:r>
      <w:r w:rsidR="00104BCE">
        <w:rPr>
          <w:rFonts w:ascii="ArialMT" w:eastAsiaTheme="minorHAnsi" w:hAnsi="ArialMT" w:cs="ArialMT"/>
          <w:lang w:val="en-ZA" w:eastAsia="en-US"/>
        </w:rPr>
        <w:t xml:space="preserve"> Registrar of Deeds</w:t>
      </w:r>
      <w:r w:rsidR="00014460">
        <w:rPr>
          <w:rFonts w:ascii="ArialMT" w:eastAsiaTheme="minorHAnsi" w:hAnsi="ArialMT" w:cs="ArialMT"/>
          <w:lang w:val="en-ZA" w:eastAsia="en-US"/>
        </w:rPr>
        <w:t xml:space="preserve"> can</w:t>
      </w:r>
      <w:r w:rsidR="00104BCE">
        <w:rPr>
          <w:rFonts w:ascii="ArialMT" w:eastAsiaTheme="minorHAnsi" w:hAnsi="ArialMT" w:cs="ArialMT"/>
          <w:lang w:val="en-ZA" w:eastAsia="en-US"/>
        </w:rPr>
        <w:t xml:space="preserve"> cancel</w:t>
      </w:r>
      <w:r w:rsidR="00014460">
        <w:rPr>
          <w:rFonts w:ascii="ArialMT" w:eastAsiaTheme="minorHAnsi" w:hAnsi="ArialMT" w:cs="ArialMT"/>
          <w:lang w:val="en-ZA" w:eastAsia="en-US"/>
        </w:rPr>
        <w:t xml:space="preserve"> a</w:t>
      </w:r>
      <w:r w:rsidR="00104BCE">
        <w:rPr>
          <w:rFonts w:ascii="ArialMT" w:eastAsiaTheme="minorHAnsi" w:hAnsi="ArialMT" w:cs="ArialMT"/>
          <w:lang w:val="en-ZA" w:eastAsia="en-US"/>
        </w:rPr>
        <w:t xml:space="preserve"> deed of transfer to </w:t>
      </w:r>
      <w:r w:rsidR="00014460">
        <w:rPr>
          <w:rFonts w:ascii="ArialMT" w:eastAsiaTheme="minorHAnsi" w:hAnsi="ArialMT" w:cs="ArialMT"/>
          <w:lang w:val="en-ZA" w:eastAsia="en-US"/>
        </w:rPr>
        <w:t xml:space="preserve">a </w:t>
      </w:r>
      <w:r w:rsidR="00104BCE">
        <w:rPr>
          <w:rFonts w:ascii="ArialMT" w:eastAsiaTheme="minorHAnsi" w:hAnsi="ArialMT" w:cs="ArialMT"/>
          <w:lang w:val="en-ZA" w:eastAsia="en-US"/>
        </w:rPr>
        <w:t>wrong</w:t>
      </w:r>
      <w:r w:rsidR="00F224FA">
        <w:rPr>
          <w:rFonts w:ascii="Arial" w:hAnsi="Arial" w:cs="Arial"/>
          <w:lang w:val="en-ZA" w:eastAsia="en-ZA"/>
        </w:rPr>
        <w:t xml:space="preserve"> </w:t>
      </w:r>
      <w:r w:rsidR="00014460">
        <w:rPr>
          <w:rFonts w:ascii="ArialMT" w:eastAsiaTheme="minorHAnsi" w:hAnsi="ArialMT" w:cs="ArialMT"/>
          <w:lang w:val="en-ZA" w:eastAsia="en-US"/>
        </w:rPr>
        <w:t>person. They are</w:t>
      </w:r>
      <w:r w:rsidR="00104BCE">
        <w:rPr>
          <w:rFonts w:ascii="ArialMT" w:eastAsiaTheme="minorHAnsi" w:hAnsi="ArialMT" w:cs="ArialMT"/>
          <w:lang w:val="en-ZA" w:eastAsia="en-US"/>
        </w:rPr>
        <w:t xml:space="preserve"> also entitled to </w:t>
      </w:r>
      <w:r w:rsidR="00014460">
        <w:rPr>
          <w:rFonts w:ascii="ArialMT" w:eastAsiaTheme="minorHAnsi" w:hAnsi="ArialMT" w:cs="ArialMT"/>
          <w:lang w:val="en-ZA" w:eastAsia="en-US"/>
        </w:rPr>
        <w:t>ask the director-ge</w:t>
      </w:r>
      <w:r w:rsidR="00104BCE">
        <w:rPr>
          <w:rFonts w:ascii="ArialMT" w:eastAsiaTheme="minorHAnsi" w:hAnsi="ArialMT" w:cs="ArialMT"/>
          <w:lang w:val="en-ZA" w:eastAsia="en-US"/>
        </w:rPr>
        <w:t xml:space="preserve">neral of Housing in </w:t>
      </w:r>
      <w:r w:rsidR="00014460">
        <w:rPr>
          <w:rFonts w:ascii="ArialMT" w:eastAsiaTheme="minorHAnsi" w:hAnsi="ArialMT" w:cs="ArialMT"/>
          <w:lang w:val="en-ZA" w:eastAsia="en-US"/>
        </w:rPr>
        <w:t xml:space="preserve">a </w:t>
      </w:r>
      <w:r w:rsidR="00104BCE">
        <w:rPr>
          <w:rFonts w:ascii="ArialMT" w:eastAsiaTheme="minorHAnsi" w:hAnsi="ArialMT" w:cs="ArialMT"/>
          <w:lang w:val="en-ZA" w:eastAsia="en-US"/>
        </w:rPr>
        <w:t xml:space="preserve">province </w:t>
      </w:r>
      <w:r w:rsidR="00014460">
        <w:rPr>
          <w:rFonts w:ascii="ArialMT" w:eastAsiaTheme="minorHAnsi" w:hAnsi="ArialMT" w:cs="ArialMT"/>
          <w:lang w:val="en-ZA" w:eastAsia="en-US"/>
        </w:rPr>
        <w:t xml:space="preserve">to </w:t>
      </w:r>
      <w:r w:rsidR="00104BCE">
        <w:rPr>
          <w:rFonts w:ascii="ArialMT" w:eastAsiaTheme="minorHAnsi" w:hAnsi="ArialMT" w:cs="ArialMT"/>
          <w:lang w:val="en-ZA" w:eastAsia="en-US"/>
        </w:rPr>
        <w:t>hold</w:t>
      </w:r>
      <w:r w:rsidR="00014460">
        <w:rPr>
          <w:rFonts w:ascii="Arial-BoldMT" w:eastAsiaTheme="minorHAnsi" w:hAnsi="Arial-BoldMT" w:cs="Arial-BoldMT"/>
          <w:bCs/>
          <w:lang w:val="en-ZA" w:eastAsia="en-US"/>
        </w:rPr>
        <w:t xml:space="preserve"> </w:t>
      </w:r>
      <w:r w:rsidR="00104BCE">
        <w:rPr>
          <w:rFonts w:ascii="ArialMT" w:eastAsiaTheme="minorHAnsi" w:hAnsi="ArialMT" w:cs="ArialMT"/>
          <w:lang w:val="en-ZA" w:eastAsia="en-US"/>
        </w:rPr>
        <w:t>an inquiry in terms of s</w:t>
      </w:r>
      <w:r w:rsidR="00014460">
        <w:rPr>
          <w:rFonts w:ascii="ArialMT" w:eastAsiaTheme="minorHAnsi" w:hAnsi="ArialMT" w:cs="ArialMT"/>
          <w:lang w:val="en-ZA" w:eastAsia="en-US"/>
        </w:rPr>
        <w:t>ection</w:t>
      </w:r>
      <w:r w:rsidR="00104BCE">
        <w:rPr>
          <w:rFonts w:ascii="ArialMT" w:eastAsiaTheme="minorHAnsi" w:hAnsi="ArialMT" w:cs="ArialMT"/>
          <w:lang w:val="en-ZA" w:eastAsia="en-US"/>
        </w:rPr>
        <w:t xml:space="preserve"> 2 of the Conversion of Certain Rights into Leasehold</w:t>
      </w:r>
      <w:r w:rsidR="00014460">
        <w:rPr>
          <w:rFonts w:ascii="Arial-BoldMT" w:eastAsiaTheme="minorHAnsi" w:hAnsi="Arial-BoldMT" w:cs="Arial-BoldMT"/>
          <w:bCs/>
          <w:lang w:val="en-ZA" w:eastAsia="en-US"/>
        </w:rPr>
        <w:t xml:space="preserve"> </w:t>
      </w:r>
      <w:r w:rsidR="00104BCE">
        <w:rPr>
          <w:rFonts w:ascii="ArialMT" w:eastAsiaTheme="minorHAnsi" w:hAnsi="ArialMT" w:cs="ArialMT"/>
          <w:lang w:val="en-ZA" w:eastAsia="en-US"/>
        </w:rPr>
        <w:t>or Ownership Act 81 of 1988 in order to determine to whom ownership should</w:t>
      </w:r>
      <w:r w:rsidR="00014460">
        <w:rPr>
          <w:rFonts w:ascii="Arial-BoldMT" w:eastAsiaTheme="minorHAnsi" w:hAnsi="Arial-BoldMT" w:cs="Arial-BoldMT"/>
          <w:bCs/>
          <w:lang w:val="en-ZA" w:eastAsia="en-US"/>
        </w:rPr>
        <w:t xml:space="preserve"> </w:t>
      </w:r>
      <w:r w:rsidR="00104BCE">
        <w:rPr>
          <w:rFonts w:ascii="ArialMT" w:eastAsiaTheme="minorHAnsi" w:hAnsi="ArialMT" w:cs="ArialMT"/>
          <w:lang w:val="en-ZA" w:eastAsia="en-US"/>
        </w:rPr>
        <w:t>be granted.</w:t>
      </w:r>
    </w:p>
    <w:p w:rsidR="0053471F" w:rsidRDefault="00C21D2D" w:rsidP="00225396">
      <w:pPr>
        <w:autoSpaceDE w:val="0"/>
        <w:autoSpaceDN w:val="0"/>
        <w:adjustRightInd w:val="0"/>
        <w:spacing w:after="240" w:line="360" w:lineRule="auto"/>
        <w:ind w:left="567" w:hanging="567"/>
        <w:jc w:val="both"/>
        <w:rPr>
          <w:rFonts w:ascii="ArialMT" w:eastAsiaTheme="minorHAnsi" w:hAnsi="ArialMT" w:cs="ArialMT"/>
          <w:lang w:val="en-ZA" w:eastAsia="en-US"/>
        </w:rPr>
      </w:pPr>
      <w:r>
        <w:rPr>
          <w:rFonts w:ascii="ArialMT" w:eastAsiaTheme="minorHAnsi" w:hAnsi="ArialMT" w:cs="ArialMT"/>
          <w:lang w:val="en-ZA" w:eastAsia="en-US"/>
        </w:rPr>
        <w:t>[2</w:t>
      </w:r>
      <w:r w:rsidR="00225396">
        <w:rPr>
          <w:rFonts w:ascii="ArialMT" w:eastAsiaTheme="minorHAnsi" w:hAnsi="ArialMT" w:cs="ArialMT"/>
          <w:lang w:val="en-ZA" w:eastAsia="en-US"/>
        </w:rPr>
        <w:t>7</w:t>
      </w:r>
      <w:r>
        <w:rPr>
          <w:rFonts w:ascii="ArialMT" w:eastAsiaTheme="minorHAnsi" w:hAnsi="ArialMT" w:cs="ArialMT"/>
          <w:lang w:val="en-ZA" w:eastAsia="en-US"/>
        </w:rPr>
        <w:t xml:space="preserve">] </w:t>
      </w:r>
      <w:r w:rsidR="005573B9">
        <w:rPr>
          <w:rFonts w:ascii="ArialMT" w:eastAsiaTheme="minorHAnsi" w:hAnsi="ArialMT" w:cs="ArialMT"/>
          <w:lang w:val="en-ZA" w:eastAsia="en-US"/>
        </w:rPr>
        <w:tab/>
      </w:r>
      <w:r w:rsidR="009A5CBB">
        <w:rPr>
          <w:rFonts w:ascii="ArialMT" w:eastAsiaTheme="minorHAnsi" w:hAnsi="ArialMT" w:cs="ArialMT"/>
          <w:lang w:val="en-ZA" w:eastAsia="en-US"/>
        </w:rPr>
        <w:t>The court</w:t>
      </w:r>
      <w:r w:rsidR="007204AD">
        <w:rPr>
          <w:rFonts w:ascii="ArialMT" w:eastAsiaTheme="minorHAnsi" w:hAnsi="ArialMT" w:cs="ArialMT"/>
          <w:lang w:val="en-ZA" w:eastAsia="en-US"/>
        </w:rPr>
        <w:t>, in this case,</w:t>
      </w:r>
      <w:r w:rsidR="009A5CBB">
        <w:rPr>
          <w:rFonts w:ascii="ArialMT" w:eastAsiaTheme="minorHAnsi" w:hAnsi="ArialMT" w:cs="ArialMT"/>
          <w:lang w:val="en-ZA" w:eastAsia="en-US"/>
        </w:rPr>
        <w:t xml:space="preserve"> rejected the</w:t>
      </w:r>
      <w:r w:rsidR="00216892">
        <w:rPr>
          <w:rFonts w:ascii="ArialMT" w:eastAsiaTheme="minorHAnsi" w:hAnsi="ArialMT" w:cs="ArialMT"/>
          <w:lang w:val="en-ZA" w:eastAsia="en-US"/>
        </w:rPr>
        <w:t xml:space="preserve"> argument</w:t>
      </w:r>
      <w:r w:rsidR="009A5CBB">
        <w:rPr>
          <w:rStyle w:val="FootnoteReference"/>
          <w:rFonts w:ascii="ArialMT" w:eastAsiaTheme="minorHAnsi" w:hAnsi="ArialMT" w:cs="ArialMT"/>
          <w:i/>
          <w:lang w:val="en-ZA" w:eastAsia="en-US"/>
        </w:rPr>
        <w:footnoteReference w:id="17"/>
      </w:r>
      <w:r>
        <w:rPr>
          <w:rFonts w:ascii="ArialMT" w:eastAsiaTheme="minorHAnsi" w:hAnsi="ArialMT" w:cs="ArialMT"/>
          <w:lang w:val="en-ZA" w:eastAsia="en-US"/>
        </w:rPr>
        <w:t xml:space="preserve"> that the proper co</w:t>
      </w:r>
      <w:r w:rsidR="00216892">
        <w:rPr>
          <w:rFonts w:ascii="ArialMT" w:eastAsiaTheme="minorHAnsi" w:hAnsi="ArialMT" w:cs="ArialMT"/>
          <w:lang w:val="en-ZA" w:eastAsia="en-US"/>
        </w:rPr>
        <w:t xml:space="preserve">urse of action to </w:t>
      </w:r>
      <w:r>
        <w:rPr>
          <w:rFonts w:ascii="ArialMT" w:eastAsiaTheme="minorHAnsi" w:hAnsi="ArialMT" w:cs="ArialMT"/>
          <w:lang w:val="en-ZA" w:eastAsia="en-US"/>
        </w:rPr>
        <w:t>have followed would have been to review the ‘decision’</w:t>
      </w:r>
      <w:r w:rsidR="00216892">
        <w:rPr>
          <w:rFonts w:ascii="ArialMT" w:eastAsiaTheme="minorHAnsi" w:hAnsi="ArialMT" w:cs="ArialMT"/>
          <w:lang w:val="en-ZA" w:eastAsia="en-US"/>
        </w:rPr>
        <w:t xml:space="preserve"> of the official</w:t>
      </w:r>
      <w:r>
        <w:rPr>
          <w:rFonts w:ascii="ArialMT" w:eastAsiaTheme="minorHAnsi" w:hAnsi="ArialMT" w:cs="ArialMT"/>
          <w:lang w:val="en-ZA" w:eastAsia="en-US"/>
        </w:rPr>
        <w:t xml:space="preserve"> </w:t>
      </w:r>
      <w:r w:rsidR="00930E21">
        <w:rPr>
          <w:rFonts w:ascii="ArialMT" w:eastAsiaTheme="minorHAnsi" w:hAnsi="ArialMT" w:cs="ArialMT"/>
          <w:lang w:val="en-ZA" w:eastAsia="en-US"/>
        </w:rPr>
        <w:t>who signed</w:t>
      </w:r>
      <w:r w:rsidR="00543A3E">
        <w:rPr>
          <w:rFonts w:ascii="ArialMT" w:eastAsiaTheme="minorHAnsi" w:hAnsi="ArialMT" w:cs="ArialMT"/>
          <w:lang w:val="en-ZA" w:eastAsia="en-US"/>
        </w:rPr>
        <w:t xml:space="preserve"> the declaration in terms of</w:t>
      </w:r>
      <w:r w:rsidR="00930E21">
        <w:rPr>
          <w:rFonts w:ascii="ArialMT" w:eastAsiaTheme="minorHAnsi" w:hAnsi="ArialMT" w:cs="ArialMT"/>
          <w:lang w:val="en-ZA" w:eastAsia="en-US"/>
        </w:rPr>
        <w:t xml:space="preserve"> PAJA,  as the only administrative decision </w:t>
      </w:r>
      <w:r>
        <w:rPr>
          <w:rFonts w:ascii="ArialMT" w:eastAsiaTheme="minorHAnsi" w:hAnsi="ArialMT" w:cs="ArialMT"/>
          <w:lang w:val="en-ZA" w:eastAsia="en-US"/>
        </w:rPr>
        <w:t>that could and should have been made</w:t>
      </w:r>
      <w:r w:rsidR="00EB5526">
        <w:rPr>
          <w:rFonts w:ascii="ArialMT" w:eastAsiaTheme="minorHAnsi" w:hAnsi="ArialMT" w:cs="ArialMT"/>
          <w:lang w:val="en-ZA" w:eastAsia="en-US"/>
        </w:rPr>
        <w:t>,</w:t>
      </w:r>
      <w:r>
        <w:rPr>
          <w:rFonts w:ascii="ArialMT" w:eastAsiaTheme="minorHAnsi" w:hAnsi="ArialMT" w:cs="ArialMT"/>
          <w:lang w:val="en-ZA" w:eastAsia="en-US"/>
        </w:rPr>
        <w:t xml:space="preserve"> was that</w:t>
      </w:r>
      <w:r w:rsidR="00930E21">
        <w:rPr>
          <w:rFonts w:ascii="ArialMT" w:eastAsiaTheme="minorHAnsi" w:hAnsi="ArialMT" w:cs="ArialMT"/>
          <w:lang w:val="en-ZA" w:eastAsia="en-US"/>
        </w:rPr>
        <w:t xml:space="preserve"> of the Director-General or his </w:t>
      </w:r>
      <w:r>
        <w:rPr>
          <w:rFonts w:ascii="ArialMT" w:eastAsiaTheme="minorHAnsi" w:hAnsi="ArialMT" w:cs="ArialMT"/>
          <w:lang w:val="en-ZA" w:eastAsia="en-US"/>
        </w:rPr>
        <w:t>delegate, after the inquiry mandated by s</w:t>
      </w:r>
      <w:r w:rsidR="00930E21">
        <w:rPr>
          <w:rFonts w:ascii="ArialMT" w:eastAsiaTheme="minorHAnsi" w:hAnsi="ArialMT" w:cs="ArialMT"/>
          <w:lang w:val="en-ZA" w:eastAsia="en-US"/>
        </w:rPr>
        <w:t xml:space="preserve">ection 2 of the Conversion Act. That </w:t>
      </w:r>
      <w:r>
        <w:rPr>
          <w:rFonts w:ascii="ArialMT" w:eastAsiaTheme="minorHAnsi" w:hAnsi="ArialMT" w:cs="ArialMT"/>
          <w:lang w:val="en-ZA" w:eastAsia="en-US"/>
        </w:rPr>
        <w:t>was the only decision that could be subject to</w:t>
      </w:r>
      <w:r w:rsidR="00930E21">
        <w:rPr>
          <w:rFonts w:ascii="ArialMT" w:eastAsiaTheme="minorHAnsi" w:hAnsi="ArialMT" w:cs="ArialMT"/>
          <w:lang w:val="en-ZA" w:eastAsia="en-US"/>
        </w:rPr>
        <w:t xml:space="preserve"> review. The act of signing the </w:t>
      </w:r>
      <w:r>
        <w:rPr>
          <w:rFonts w:ascii="ArialMT" w:eastAsiaTheme="minorHAnsi" w:hAnsi="ArialMT" w:cs="ArialMT"/>
          <w:lang w:val="en-ZA" w:eastAsia="en-US"/>
        </w:rPr>
        <w:t>declaration and the deed of transfer were bu</w:t>
      </w:r>
      <w:r w:rsidR="00930E21">
        <w:rPr>
          <w:rFonts w:ascii="ArialMT" w:eastAsiaTheme="minorHAnsi" w:hAnsi="ArialMT" w:cs="ArialMT"/>
          <w:lang w:val="en-ZA" w:eastAsia="en-US"/>
        </w:rPr>
        <w:t xml:space="preserve">t clerical acts that would have </w:t>
      </w:r>
      <w:r w:rsidR="00931D1D">
        <w:rPr>
          <w:rFonts w:ascii="ArialMT" w:eastAsiaTheme="minorHAnsi" w:hAnsi="ArialMT" w:cs="ArialMT"/>
          <w:lang w:val="en-ZA" w:eastAsia="en-US"/>
        </w:rPr>
        <w:t>followed a d</w:t>
      </w:r>
      <w:r>
        <w:rPr>
          <w:rFonts w:ascii="ArialMT" w:eastAsiaTheme="minorHAnsi" w:hAnsi="ArialMT" w:cs="ArialMT"/>
          <w:lang w:val="en-ZA" w:eastAsia="en-US"/>
        </w:rPr>
        <w:t xml:space="preserve">ecision. Not every act of an </w:t>
      </w:r>
      <w:r w:rsidR="000A6CEE">
        <w:rPr>
          <w:rFonts w:ascii="ArialMT" w:eastAsiaTheme="minorHAnsi" w:hAnsi="ArialMT" w:cs="ArialMT"/>
          <w:lang w:val="en-ZA" w:eastAsia="en-US"/>
        </w:rPr>
        <w:t>official amounts</w:t>
      </w:r>
      <w:r w:rsidR="00930E21">
        <w:rPr>
          <w:rFonts w:ascii="ArialMT" w:eastAsiaTheme="minorHAnsi" w:hAnsi="ArialMT" w:cs="ArialMT"/>
          <w:lang w:val="en-ZA" w:eastAsia="en-US"/>
        </w:rPr>
        <w:t xml:space="preserve"> </w:t>
      </w:r>
      <w:r w:rsidR="000A6CEE">
        <w:rPr>
          <w:rFonts w:ascii="ArialMT" w:eastAsiaTheme="minorHAnsi" w:hAnsi="ArialMT" w:cs="ArialMT"/>
          <w:lang w:val="en-ZA" w:eastAsia="en-US"/>
        </w:rPr>
        <w:t xml:space="preserve">to an </w:t>
      </w:r>
      <w:r w:rsidR="00930E21">
        <w:rPr>
          <w:rFonts w:ascii="ArialMT" w:eastAsiaTheme="minorHAnsi" w:hAnsi="ArialMT" w:cs="ArialMT"/>
          <w:lang w:val="en-ZA" w:eastAsia="en-US"/>
        </w:rPr>
        <w:t xml:space="preserve">administrative </w:t>
      </w:r>
      <w:r>
        <w:rPr>
          <w:rFonts w:ascii="ArialMT" w:eastAsiaTheme="minorHAnsi" w:hAnsi="ArialMT" w:cs="ArialMT"/>
          <w:lang w:val="en-ZA" w:eastAsia="en-US"/>
        </w:rPr>
        <w:t>action that is reviewable under PAJA or otherwise.</w:t>
      </w:r>
      <w:r w:rsidR="00ED6360">
        <w:rPr>
          <w:rStyle w:val="FootnoteReference"/>
          <w:rFonts w:ascii="ArialMT" w:eastAsiaTheme="minorHAnsi" w:hAnsi="ArialMT" w:cs="ArialMT"/>
          <w:lang w:val="en-ZA" w:eastAsia="en-US"/>
        </w:rPr>
        <w:footnoteReference w:id="18"/>
      </w:r>
    </w:p>
    <w:p w:rsidR="00BC6C8E" w:rsidRDefault="00C21D2D" w:rsidP="00225396">
      <w:pPr>
        <w:autoSpaceDE w:val="0"/>
        <w:autoSpaceDN w:val="0"/>
        <w:adjustRightInd w:val="0"/>
        <w:spacing w:after="240" w:line="360" w:lineRule="auto"/>
        <w:ind w:left="567" w:hanging="567"/>
        <w:jc w:val="both"/>
        <w:rPr>
          <w:rFonts w:ascii="Arial" w:eastAsiaTheme="minorHAnsi" w:hAnsi="Arial" w:cs="Arial"/>
          <w:i/>
          <w:sz w:val="20"/>
          <w:szCs w:val="20"/>
          <w:lang w:val="en-ZA" w:eastAsia="en-US"/>
        </w:rPr>
      </w:pPr>
      <w:r>
        <w:rPr>
          <w:rFonts w:ascii="ArialMT" w:eastAsiaTheme="minorHAnsi" w:hAnsi="ArialMT" w:cs="ArialMT"/>
          <w:lang w:val="en-ZA" w:eastAsia="en-US"/>
        </w:rPr>
        <w:t>[2</w:t>
      </w:r>
      <w:r w:rsidR="00225396">
        <w:rPr>
          <w:rFonts w:ascii="ArialMT" w:eastAsiaTheme="minorHAnsi" w:hAnsi="ArialMT" w:cs="ArialMT"/>
          <w:lang w:val="en-ZA" w:eastAsia="en-US"/>
        </w:rPr>
        <w:t>8</w:t>
      </w:r>
      <w:r>
        <w:rPr>
          <w:rFonts w:ascii="ArialMT" w:eastAsiaTheme="minorHAnsi" w:hAnsi="ArialMT" w:cs="ArialMT"/>
          <w:lang w:val="en-ZA" w:eastAsia="en-US"/>
        </w:rPr>
        <w:t>]</w:t>
      </w:r>
      <w:r w:rsidR="0053471F">
        <w:rPr>
          <w:rFonts w:ascii="ArialMT" w:eastAsiaTheme="minorHAnsi" w:hAnsi="ArialMT" w:cs="ArialMT"/>
          <w:lang w:val="en-ZA" w:eastAsia="en-US"/>
        </w:rPr>
        <w:t xml:space="preserve"> </w:t>
      </w:r>
      <w:r w:rsidR="005573B9">
        <w:rPr>
          <w:rFonts w:ascii="ArialMT" w:eastAsiaTheme="minorHAnsi" w:hAnsi="ArialMT" w:cs="ArialMT"/>
          <w:lang w:val="en-ZA" w:eastAsia="en-US"/>
        </w:rPr>
        <w:tab/>
      </w:r>
      <w:r w:rsidR="0053471F">
        <w:rPr>
          <w:rFonts w:ascii="ArialMT" w:eastAsiaTheme="minorHAnsi" w:hAnsi="ArialMT" w:cs="ArialMT"/>
          <w:lang w:val="en-ZA" w:eastAsia="en-US"/>
        </w:rPr>
        <w:t xml:space="preserve">The court went further and stated that: </w:t>
      </w:r>
      <w:r w:rsidR="0053471F" w:rsidRPr="00795FFA">
        <w:rPr>
          <w:rFonts w:ascii="ArialMT" w:eastAsiaTheme="minorHAnsi" w:hAnsi="ArialMT" w:cs="ArialMT"/>
          <w:sz w:val="20"/>
          <w:szCs w:val="20"/>
          <w:lang w:val="en-ZA" w:eastAsia="en-US"/>
        </w:rPr>
        <w:t>“</w:t>
      </w:r>
      <w:r w:rsidRPr="00795FFA">
        <w:rPr>
          <w:rFonts w:ascii="Arial" w:eastAsiaTheme="minorHAnsi" w:hAnsi="Arial" w:cs="Arial"/>
          <w:i/>
          <w:sz w:val="20"/>
          <w:szCs w:val="20"/>
          <w:lang w:val="en-ZA" w:eastAsia="en-US"/>
        </w:rPr>
        <w:t xml:space="preserve">Unfortunately neither party was aware of any </w:t>
      </w:r>
      <w:r w:rsidR="0053471F" w:rsidRPr="00795FFA">
        <w:rPr>
          <w:rFonts w:ascii="Arial" w:eastAsiaTheme="minorHAnsi" w:hAnsi="Arial" w:cs="Arial"/>
          <w:i/>
          <w:sz w:val="20"/>
          <w:szCs w:val="20"/>
          <w:lang w:val="en-ZA" w:eastAsia="en-US"/>
        </w:rPr>
        <w:t xml:space="preserve">inquiry that may have </w:t>
      </w:r>
      <w:r w:rsidRPr="00795FFA">
        <w:rPr>
          <w:rFonts w:ascii="Arial" w:eastAsiaTheme="minorHAnsi" w:hAnsi="Arial" w:cs="Arial"/>
          <w:i/>
          <w:sz w:val="20"/>
          <w:szCs w:val="20"/>
          <w:lang w:val="en-ZA" w:eastAsia="en-US"/>
        </w:rPr>
        <w:t>been conducted in terms of s 2 nor of a</w:t>
      </w:r>
      <w:r w:rsidR="0053471F" w:rsidRPr="00795FFA">
        <w:rPr>
          <w:rFonts w:ascii="Arial" w:eastAsiaTheme="minorHAnsi" w:hAnsi="Arial" w:cs="Arial"/>
          <w:i/>
          <w:sz w:val="20"/>
          <w:szCs w:val="20"/>
          <w:lang w:val="en-ZA" w:eastAsia="en-US"/>
        </w:rPr>
        <w:t xml:space="preserve">ny administrative decision made </w:t>
      </w:r>
      <w:r w:rsidRPr="00795FFA">
        <w:rPr>
          <w:rFonts w:ascii="Arial" w:eastAsiaTheme="minorHAnsi" w:hAnsi="Arial" w:cs="Arial"/>
          <w:i/>
          <w:sz w:val="20"/>
          <w:szCs w:val="20"/>
          <w:lang w:val="en-ZA" w:eastAsia="en-US"/>
        </w:rPr>
        <w:t>pursuant to the inquiry. It would undoubtedly</w:t>
      </w:r>
      <w:r w:rsidR="0053471F" w:rsidRPr="00795FFA">
        <w:rPr>
          <w:rFonts w:ascii="Arial" w:eastAsiaTheme="minorHAnsi" w:hAnsi="Arial" w:cs="Arial"/>
          <w:i/>
          <w:sz w:val="20"/>
          <w:szCs w:val="20"/>
          <w:lang w:val="en-ZA" w:eastAsia="en-US"/>
        </w:rPr>
        <w:t xml:space="preserve"> have been best for the Estate, </w:t>
      </w:r>
      <w:r w:rsidRPr="00795FFA">
        <w:rPr>
          <w:rFonts w:ascii="Arial" w:eastAsiaTheme="minorHAnsi" w:hAnsi="Arial" w:cs="Arial"/>
          <w:i/>
          <w:sz w:val="20"/>
          <w:szCs w:val="20"/>
          <w:lang w:val="en-ZA" w:eastAsia="en-US"/>
        </w:rPr>
        <w:t>had it been made aware of a decision of the Director-General, and of the</w:t>
      </w:r>
      <w:r w:rsidR="005573B9">
        <w:rPr>
          <w:rFonts w:ascii="Arial" w:eastAsiaTheme="minorHAnsi" w:hAnsi="Arial" w:cs="Arial"/>
          <w:i/>
          <w:sz w:val="20"/>
          <w:szCs w:val="20"/>
          <w:lang w:val="en-ZA" w:eastAsia="en-US"/>
        </w:rPr>
        <w:t xml:space="preserve"> </w:t>
      </w:r>
      <w:r w:rsidRPr="00795FFA">
        <w:rPr>
          <w:rFonts w:ascii="Arial" w:eastAsiaTheme="minorHAnsi" w:hAnsi="Arial" w:cs="Arial"/>
          <w:i/>
          <w:sz w:val="20"/>
          <w:szCs w:val="20"/>
          <w:lang w:val="en-ZA" w:eastAsia="en-US"/>
        </w:rPr>
        <w:t>declaration and transfer that would follow, to take the Director-General on</w:t>
      </w:r>
      <w:r w:rsidR="005573B9">
        <w:rPr>
          <w:rFonts w:ascii="Arial" w:eastAsiaTheme="minorHAnsi" w:hAnsi="Arial" w:cs="Arial"/>
          <w:i/>
          <w:sz w:val="20"/>
          <w:szCs w:val="20"/>
          <w:lang w:val="en-ZA" w:eastAsia="en-US"/>
        </w:rPr>
        <w:t xml:space="preserve"> </w:t>
      </w:r>
      <w:r w:rsidRPr="00795FFA">
        <w:rPr>
          <w:rFonts w:ascii="Arial" w:eastAsiaTheme="minorHAnsi" w:hAnsi="Arial" w:cs="Arial"/>
          <w:i/>
          <w:sz w:val="20"/>
          <w:szCs w:val="20"/>
          <w:lang w:val="en-ZA" w:eastAsia="en-US"/>
        </w:rPr>
        <w:t>review. But the Masilela family were not informed of any decision, and</w:t>
      </w:r>
      <w:r w:rsidR="005573B9">
        <w:rPr>
          <w:rFonts w:ascii="Arial" w:eastAsiaTheme="minorHAnsi" w:hAnsi="Arial" w:cs="Arial"/>
          <w:i/>
          <w:sz w:val="20"/>
          <w:szCs w:val="20"/>
          <w:lang w:val="en-ZA" w:eastAsia="en-US"/>
        </w:rPr>
        <w:t xml:space="preserve"> </w:t>
      </w:r>
      <w:r w:rsidRPr="00795FFA">
        <w:rPr>
          <w:rFonts w:ascii="Arial" w:eastAsiaTheme="minorHAnsi" w:hAnsi="Arial" w:cs="Arial"/>
          <w:i/>
          <w:sz w:val="20"/>
          <w:szCs w:val="20"/>
          <w:lang w:val="en-ZA" w:eastAsia="en-US"/>
        </w:rPr>
        <w:t>apparently Van der Merwe was also not advised of an inquiry or any of the</w:t>
      </w:r>
      <w:r w:rsidR="005573B9">
        <w:rPr>
          <w:rFonts w:ascii="Arial" w:eastAsiaTheme="minorHAnsi" w:hAnsi="Arial" w:cs="Arial"/>
          <w:i/>
          <w:sz w:val="20"/>
          <w:szCs w:val="20"/>
          <w:lang w:val="en-ZA" w:eastAsia="en-US"/>
        </w:rPr>
        <w:t xml:space="preserve"> </w:t>
      </w:r>
      <w:r w:rsidRPr="00795FFA">
        <w:rPr>
          <w:rFonts w:ascii="Arial" w:eastAsiaTheme="minorHAnsi" w:hAnsi="Arial" w:cs="Arial"/>
          <w:i/>
          <w:sz w:val="20"/>
          <w:szCs w:val="20"/>
          <w:lang w:val="en-ZA" w:eastAsia="en-US"/>
        </w:rPr>
        <w:t>consequences. The Director-General was cited as a respondent in the high</w:t>
      </w:r>
      <w:r w:rsidR="005573B9">
        <w:rPr>
          <w:rFonts w:ascii="Arial" w:eastAsiaTheme="minorHAnsi" w:hAnsi="Arial" w:cs="Arial"/>
          <w:i/>
          <w:sz w:val="20"/>
          <w:szCs w:val="20"/>
          <w:lang w:val="en-ZA" w:eastAsia="en-US"/>
        </w:rPr>
        <w:t xml:space="preserve"> </w:t>
      </w:r>
      <w:r w:rsidRPr="00795FFA">
        <w:rPr>
          <w:rFonts w:ascii="Arial" w:eastAsiaTheme="minorHAnsi" w:hAnsi="Arial" w:cs="Arial"/>
          <w:i/>
          <w:sz w:val="20"/>
          <w:szCs w:val="20"/>
          <w:lang w:val="en-ZA" w:eastAsia="en-US"/>
        </w:rPr>
        <w:t>court but did not participate in the proceedings. This court cannot assume that</w:t>
      </w:r>
      <w:r w:rsidR="005573B9">
        <w:rPr>
          <w:rFonts w:ascii="Arial" w:eastAsiaTheme="minorHAnsi" w:hAnsi="Arial" w:cs="Arial"/>
          <w:i/>
          <w:sz w:val="20"/>
          <w:szCs w:val="20"/>
          <w:lang w:val="en-ZA" w:eastAsia="en-US"/>
        </w:rPr>
        <w:t xml:space="preserve"> </w:t>
      </w:r>
      <w:r w:rsidRPr="00795FFA">
        <w:rPr>
          <w:rFonts w:ascii="Arial" w:eastAsiaTheme="minorHAnsi" w:hAnsi="Arial" w:cs="Arial"/>
          <w:i/>
          <w:sz w:val="20"/>
          <w:szCs w:val="20"/>
          <w:lang w:val="en-ZA" w:eastAsia="en-US"/>
        </w:rPr>
        <w:t xml:space="preserve">an inquiry was held and a decision was made. Thus </w:t>
      </w:r>
      <w:proofErr w:type="spellStart"/>
      <w:r w:rsidRPr="00795FFA">
        <w:rPr>
          <w:rFonts w:ascii="Arial" w:eastAsiaTheme="minorHAnsi" w:hAnsi="Arial" w:cs="Arial"/>
          <w:i/>
          <w:sz w:val="20"/>
          <w:szCs w:val="20"/>
          <w:lang w:val="en-ZA" w:eastAsia="en-US"/>
        </w:rPr>
        <w:t>Kuzwayo’s</w:t>
      </w:r>
      <w:proofErr w:type="spellEnd"/>
      <w:r w:rsidRPr="00795FFA">
        <w:rPr>
          <w:rFonts w:ascii="Arial" w:eastAsiaTheme="minorHAnsi" w:hAnsi="Arial" w:cs="Arial"/>
          <w:i/>
          <w:sz w:val="20"/>
          <w:szCs w:val="20"/>
          <w:lang w:val="en-ZA" w:eastAsia="en-US"/>
        </w:rPr>
        <w:t xml:space="preserve"> argument that</w:t>
      </w:r>
      <w:r w:rsidR="005573B9">
        <w:rPr>
          <w:rFonts w:ascii="Arial" w:eastAsiaTheme="minorHAnsi" w:hAnsi="Arial" w:cs="Arial"/>
          <w:i/>
          <w:sz w:val="20"/>
          <w:szCs w:val="20"/>
          <w:lang w:val="en-ZA" w:eastAsia="en-US"/>
        </w:rPr>
        <w:t xml:space="preserve"> </w:t>
      </w:r>
      <w:r w:rsidRPr="00795FFA">
        <w:rPr>
          <w:rFonts w:ascii="Arial" w:eastAsiaTheme="minorHAnsi" w:hAnsi="Arial" w:cs="Arial"/>
          <w:i/>
          <w:sz w:val="20"/>
          <w:szCs w:val="20"/>
          <w:lang w:val="en-ZA" w:eastAsia="en-US"/>
        </w:rPr>
        <w:t>Van der Merwe should have applied for a review of a decision is</w:t>
      </w:r>
      <w:r w:rsidR="005573B9">
        <w:rPr>
          <w:rFonts w:ascii="Arial" w:eastAsiaTheme="minorHAnsi" w:hAnsi="Arial" w:cs="Arial"/>
          <w:i/>
          <w:sz w:val="20"/>
          <w:szCs w:val="20"/>
          <w:lang w:val="en-ZA" w:eastAsia="en-US"/>
        </w:rPr>
        <w:t xml:space="preserve"> </w:t>
      </w:r>
      <w:r w:rsidRPr="00795FFA">
        <w:rPr>
          <w:rFonts w:ascii="Arial" w:eastAsiaTheme="minorHAnsi" w:hAnsi="Arial" w:cs="Arial"/>
          <w:i/>
          <w:sz w:val="20"/>
          <w:szCs w:val="20"/>
          <w:lang w:val="en-ZA" w:eastAsia="en-US"/>
        </w:rPr>
        <w:t>misconceived, as are all the attendant arguments in respect of such a review.</w:t>
      </w:r>
      <w:r w:rsidR="00795FFA" w:rsidRPr="00795FFA">
        <w:rPr>
          <w:rFonts w:ascii="Arial" w:eastAsiaTheme="minorHAnsi" w:hAnsi="Arial" w:cs="Arial"/>
          <w:i/>
          <w:sz w:val="20"/>
          <w:szCs w:val="20"/>
          <w:lang w:val="en-ZA" w:eastAsia="en-US"/>
        </w:rPr>
        <w:t>”</w:t>
      </w:r>
      <w:r w:rsidR="004F54EA">
        <w:rPr>
          <w:rStyle w:val="FootnoteReference"/>
          <w:rFonts w:ascii="Arial" w:eastAsiaTheme="minorHAnsi" w:hAnsi="Arial" w:cs="Arial"/>
          <w:i/>
          <w:sz w:val="20"/>
          <w:szCs w:val="20"/>
          <w:lang w:val="en-ZA" w:eastAsia="en-US"/>
        </w:rPr>
        <w:footnoteReference w:id="19"/>
      </w:r>
    </w:p>
    <w:p w:rsidR="00225396" w:rsidRDefault="00BC6C8E" w:rsidP="00225396">
      <w:pPr>
        <w:spacing w:after="240" w:line="360" w:lineRule="auto"/>
        <w:ind w:left="567" w:hanging="567"/>
        <w:jc w:val="both"/>
        <w:rPr>
          <w:rFonts w:ascii="Arial" w:hAnsi="Arial" w:cs="Arial"/>
        </w:rPr>
      </w:pPr>
      <w:r w:rsidRPr="00B35190">
        <w:rPr>
          <w:rFonts w:ascii="Arial" w:eastAsiaTheme="minorHAnsi" w:hAnsi="Arial" w:cs="Arial"/>
          <w:lang w:val="en-ZA" w:eastAsia="en-US"/>
        </w:rPr>
        <w:t xml:space="preserve">[29] </w:t>
      </w:r>
      <w:r w:rsidR="005573B9">
        <w:rPr>
          <w:rFonts w:ascii="Arial" w:eastAsiaTheme="minorHAnsi" w:hAnsi="Arial" w:cs="Arial"/>
          <w:lang w:val="en-ZA" w:eastAsia="en-US"/>
        </w:rPr>
        <w:tab/>
      </w:r>
      <w:r w:rsidR="00B35190" w:rsidRPr="00B35190">
        <w:rPr>
          <w:rFonts w:ascii="Arial" w:eastAsiaTheme="minorHAnsi" w:hAnsi="Arial" w:cs="Arial"/>
          <w:lang w:val="en-ZA" w:eastAsia="en-US"/>
        </w:rPr>
        <w:t xml:space="preserve">The Conversion Act requires the Director-general </w:t>
      </w:r>
      <w:r w:rsidR="00B35190">
        <w:rPr>
          <w:rFonts w:ascii="Arial" w:eastAsiaTheme="minorHAnsi" w:hAnsi="Arial" w:cs="Arial"/>
          <w:lang w:val="en-ZA" w:eastAsia="en-US"/>
        </w:rPr>
        <w:t xml:space="preserve">to </w:t>
      </w:r>
      <w:r w:rsidR="00B35190" w:rsidRPr="00B35190">
        <w:rPr>
          <w:rFonts w:ascii="Arial" w:hAnsi="Arial" w:cs="Arial"/>
          <w:color w:val="000000"/>
          <w:lang w:val="en-ZA" w:eastAsia="en-ZA"/>
        </w:rPr>
        <w:t xml:space="preserve">conduct an inquiry in the prescribed manner in respect of affected sites within his province in order to determine who shall be declared to have been granted a right of leasehold or, in the case where the affected sites </w:t>
      </w:r>
      <w:r w:rsidR="00B35190">
        <w:rPr>
          <w:rFonts w:ascii="Arial" w:hAnsi="Arial" w:cs="Arial"/>
          <w:color w:val="000000"/>
          <w:lang w:val="en-ZA" w:eastAsia="en-ZA"/>
        </w:rPr>
        <w:t>are situated</w:t>
      </w:r>
      <w:r w:rsidR="00B35190" w:rsidRPr="00B35190">
        <w:rPr>
          <w:rFonts w:ascii="Arial" w:hAnsi="Arial" w:cs="Arial"/>
          <w:color w:val="000000"/>
          <w:lang w:val="en-ZA" w:eastAsia="en-ZA"/>
        </w:rPr>
        <w:t xml:space="preserve"> in a formalized township for which a township register has been opened, ownership with regard to such sites.</w:t>
      </w:r>
      <w:r w:rsidR="008076CB">
        <w:rPr>
          <w:rStyle w:val="FootnoteReference"/>
          <w:rFonts w:ascii="Arial" w:hAnsi="Arial" w:cs="Arial"/>
          <w:color w:val="000000"/>
          <w:lang w:val="en-ZA" w:eastAsia="en-ZA"/>
        </w:rPr>
        <w:footnoteReference w:id="20"/>
      </w:r>
      <w:r w:rsidR="00D90B1E">
        <w:t xml:space="preserve"> </w:t>
      </w:r>
      <w:r w:rsidR="00D90B1E" w:rsidRPr="00B70963">
        <w:rPr>
          <w:rFonts w:ascii="Arial" w:hAnsi="Arial" w:cs="Arial"/>
        </w:rPr>
        <w:t>B</w:t>
      </w:r>
      <w:r w:rsidR="009C351D" w:rsidRPr="00B70963">
        <w:rPr>
          <w:rFonts w:ascii="Arial" w:hAnsi="Arial" w:cs="Arial"/>
        </w:rPr>
        <w:t>efore a declaration can be made</w:t>
      </w:r>
      <w:r w:rsidR="00FF4AF9" w:rsidRPr="00B70963">
        <w:rPr>
          <w:rFonts w:ascii="Arial" w:hAnsi="Arial" w:cs="Arial"/>
        </w:rPr>
        <w:t>,</w:t>
      </w:r>
      <w:r w:rsidR="009C351D" w:rsidRPr="00B70963">
        <w:rPr>
          <w:rFonts w:ascii="Arial" w:hAnsi="Arial" w:cs="Arial"/>
        </w:rPr>
        <w:t xml:space="preserve"> the Director-General is required to conduct an enquiry into the affected site, and the identity of the occupier of the relevant site. Essentially what has to be established is the identity of the person who is entitled to a site, and the rights that should be conferred on him or her.</w:t>
      </w:r>
      <w:r w:rsidR="00A83A8A" w:rsidRPr="00B70963">
        <w:rPr>
          <w:rStyle w:val="FootnoteReference"/>
          <w:rFonts w:ascii="Arial" w:hAnsi="Arial" w:cs="Arial"/>
        </w:rPr>
        <w:footnoteReference w:id="21"/>
      </w:r>
      <w:r w:rsidR="00FF4AF9" w:rsidRPr="00B70963">
        <w:rPr>
          <w:rFonts w:ascii="Arial" w:hAnsi="Arial" w:cs="Arial"/>
        </w:rPr>
        <w:t xml:space="preserve"> The determination</w:t>
      </w:r>
      <w:r w:rsidR="009C351D" w:rsidRPr="00B70963">
        <w:rPr>
          <w:rFonts w:ascii="Arial" w:hAnsi="Arial" w:cs="Arial"/>
        </w:rPr>
        <w:t xml:space="preserve"> as to whom to declare as</w:t>
      </w:r>
      <w:r w:rsidR="00FF4AF9" w:rsidRPr="00B70963">
        <w:rPr>
          <w:rFonts w:ascii="Arial" w:hAnsi="Arial" w:cs="Arial"/>
        </w:rPr>
        <w:t xml:space="preserve"> the owner</w:t>
      </w:r>
      <w:r w:rsidR="009C351D" w:rsidRPr="00B70963">
        <w:rPr>
          <w:rFonts w:ascii="Arial" w:hAnsi="Arial" w:cs="Arial"/>
        </w:rPr>
        <w:t xml:space="preserve"> is subject to </w:t>
      </w:r>
      <w:r w:rsidR="00FF4AF9" w:rsidRPr="00B70963">
        <w:rPr>
          <w:rFonts w:ascii="Arial" w:hAnsi="Arial" w:cs="Arial"/>
        </w:rPr>
        <w:t xml:space="preserve">an </w:t>
      </w:r>
      <w:r w:rsidR="009C351D" w:rsidRPr="00B70963">
        <w:rPr>
          <w:rFonts w:ascii="Arial" w:hAnsi="Arial" w:cs="Arial"/>
        </w:rPr>
        <w:t>appeal</w:t>
      </w:r>
      <w:r w:rsidR="00FF4AF9" w:rsidRPr="00B70963">
        <w:rPr>
          <w:rFonts w:ascii="Arial" w:hAnsi="Arial" w:cs="Arial"/>
        </w:rPr>
        <w:t>.</w:t>
      </w:r>
      <w:r w:rsidR="00FF4AF9" w:rsidRPr="00B70963">
        <w:rPr>
          <w:rStyle w:val="FootnoteReference"/>
          <w:rFonts w:ascii="Arial" w:hAnsi="Arial" w:cs="Arial"/>
        </w:rPr>
        <w:footnoteReference w:id="22"/>
      </w:r>
      <w:r w:rsidR="00FF4AF9" w:rsidRPr="00B70963">
        <w:rPr>
          <w:rFonts w:ascii="Arial" w:hAnsi="Arial" w:cs="Arial"/>
        </w:rPr>
        <w:t xml:space="preserve"> </w:t>
      </w:r>
      <w:r w:rsidR="009C351D" w:rsidRPr="00B70963">
        <w:rPr>
          <w:rFonts w:ascii="Arial" w:hAnsi="Arial" w:cs="Arial"/>
        </w:rPr>
        <w:t xml:space="preserve"> Section 3 sets out the procedure for</w:t>
      </w:r>
      <w:r w:rsidR="00FF4AF9" w:rsidRPr="00B70963">
        <w:rPr>
          <w:rFonts w:ascii="Arial" w:hAnsi="Arial" w:cs="Arial"/>
        </w:rPr>
        <w:t xml:space="preserve"> </w:t>
      </w:r>
      <w:r w:rsidR="00C672BE" w:rsidRPr="00B70963">
        <w:rPr>
          <w:rFonts w:ascii="Arial" w:hAnsi="Arial" w:cs="Arial"/>
        </w:rPr>
        <w:t xml:space="preserve">an </w:t>
      </w:r>
      <w:r w:rsidR="00FF4AF9" w:rsidRPr="00B70963">
        <w:rPr>
          <w:rFonts w:ascii="Arial" w:hAnsi="Arial" w:cs="Arial"/>
        </w:rPr>
        <w:t>appeal by a person aggrieved by such a</w:t>
      </w:r>
      <w:r w:rsidR="009C351D" w:rsidRPr="00B70963">
        <w:rPr>
          <w:rFonts w:ascii="Arial" w:hAnsi="Arial" w:cs="Arial"/>
        </w:rPr>
        <w:t xml:space="preserve"> determination.</w:t>
      </w:r>
      <w:r w:rsidR="009C056A" w:rsidRPr="00B70963">
        <w:rPr>
          <w:rStyle w:val="FootnoteReference"/>
          <w:rFonts w:ascii="Arial" w:hAnsi="Arial" w:cs="Arial"/>
        </w:rPr>
        <w:footnoteReference w:id="23"/>
      </w:r>
    </w:p>
    <w:p w:rsidR="00225396" w:rsidRDefault="00225396" w:rsidP="00225396">
      <w:pPr>
        <w:spacing w:after="240" w:line="360" w:lineRule="auto"/>
        <w:ind w:left="567" w:hanging="567"/>
        <w:jc w:val="both"/>
        <w:rPr>
          <w:rFonts w:ascii="Arial" w:eastAsiaTheme="minorHAnsi" w:hAnsi="Arial" w:cs="Arial"/>
          <w:lang w:val="en-ZA" w:eastAsia="en-US"/>
        </w:rPr>
      </w:pPr>
      <w:r>
        <w:rPr>
          <w:rFonts w:ascii="Arial" w:hAnsi="Arial" w:cs="Arial"/>
        </w:rPr>
        <w:t>[30]</w:t>
      </w:r>
      <w:r>
        <w:rPr>
          <w:rFonts w:ascii="Arial" w:hAnsi="Arial" w:cs="Arial"/>
        </w:rPr>
        <w:tab/>
      </w:r>
      <w:r w:rsidR="00C13E91">
        <w:rPr>
          <w:rFonts w:ascii="Arial" w:eastAsiaTheme="minorHAnsi" w:hAnsi="Arial" w:cs="Arial"/>
          <w:lang w:val="en-ZA" w:eastAsia="en-US"/>
        </w:rPr>
        <w:t xml:space="preserve">In </w:t>
      </w:r>
      <w:r w:rsidR="00C13E91" w:rsidRPr="00C13E91">
        <w:rPr>
          <w:rFonts w:ascii="Arial" w:eastAsiaTheme="minorHAnsi" w:hAnsi="Arial" w:cs="Arial"/>
          <w:i/>
          <w:lang w:val="en-ZA" w:eastAsia="en-US"/>
        </w:rPr>
        <w:t>Kuzwayo</w:t>
      </w:r>
      <w:r w:rsidR="00C13E91">
        <w:rPr>
          <w:rFonts w:ascii="Arial" w:eastAsiaTheme="minorHAnsi" w:hAnsi="Arial" w:cs="Arial"/>
          <w:lang w:val="en-ZA" w:eastAsia="en-US"/>
        </w:rPr>
        <w:t>, the court stated that, in its view, although the estate was probably entitled to acquire ownership, an inquiry should be held.</w:t>
      </w:r>
      <w:r w:rsidR="00F55BAE">
        <w:rPr>
          <w:rFonts w:ascii="Arial" w:eastAsiaTheme="minorHAnsi" w:hAnsi="Arial" w:cs="Arial"/>
          <w:lang w:val="en-ZA" w:eastAsia="en-US"/>
        </w:rPr>
        <w:t xml:space="preserve"> Taking into consideration the circumstances of this c</w:t>
      </w:r>
      <w:r w:rsidR="00A31C1A">
        <w:rPr>
          <w:rFonts w:ascii="Arial" w:eastAsiaTheme="minorHAnsi" w:hAnsi="Arial" w:cs="Arial"/>
          <w:lang w:val="en-ZA" w:eastAsia="en-US"/>
        </w:rPr>
        <w:t>ase, it is clear that Mrs</w:t>
      </w:r>
      <w:r w:rsidR="00F55BAE">
        <w:rPr>
          <w:rFonts w:ascii="Arial" w:eastAsiaTheme="minorHAnsi" w:hAnsi="Arial" w:cs="Arial"/>
          <w:lang w:val="en-ZA" w:eastAsia="en-US"/>
        </w:rPr>
        <w:t xml:space="preserve"> Morakabi’s conduct in falsifying the information presented to the Master, having the property registered in her name, and her alienation of the property to the applicant</w:t>
      </w:r>
      <w:r w:rsidR="00A31C1A">
        <w:rPr>
          <w:rFonts w:ascii="Arial" w:eastAsiaTheme="minorHAnsi" w:hAnsi="Arial" w:cs="Arial"/>
          <w:lang w:val="en-ZA" w:eastAsia="en-US"/>
        </w:rPr>
        <w:t xml:space="preserve">s, was </w:t>
      </w:r>
      <w:r w:rsidR="009E4816">
        <w:rPr>
          <w:rFonts w:ascii="Arial" w:eastAsiaTheme="minorHAnsi" w:hAnsi="Arial" w:cs="Arial"/>
          <w:lang w:val="en-ZA" w:eastAsia="en-US"/>
        </w:rPr>
        <w:t>outrageous and</w:t>
      </w:r>
      <w:r w:rsidR="00F55BAE">
        <w:rPr>
          <w:rFonts w:ascii="Arial" w:eastAsiaTheme="minorHAnsi" w:hAnsi="Arial" w:cs="Arial"/>
          <w:lang w:val="en-ZA" w:eastAsia="en-US"/>
        </w:rPr>
        <w:t xml:space="preserve"> opportunistic.</w:t>
      </w:r>
      <w:r w:rsidR="009C6656">
        <w:rPr>
          <w:rFonts w:ascii="Arial" w:eastAsiaTheme="minorHAnsi" w:hAnsi="Arial" w:cs="Arial"/>
          <w:lang w:val="en-ZA" w:eastAsia="en-US"/>
        </w:rPr>
        <w:t xml:space="preserve"> T</w:t>
      </w:r>
      <w:r w:rsidR="00AA3730">
        <w:rPr>
          <w:rFonts w:ascii="Arial" w:eastAsiaTheme="minorHAnsi" w:hAnsi="Arial" w:cs="Arial"/>
          <w:lang w:val="en-ZA" w:eastAsia="en-US"/>
        </w:rPr>
        <w:t>he only route to follow in order to infuse justice and equity in the given circumstances is</w:t>
      </w:r>
      <w:r w:rsidR="009C6656">
        <w:rPr>
          <w:rFonts w:ascii="Arial" w:eastAsiaTheme="minorHAnsi" w:hAnsi="Arial" w:cs="Arial"/>
          <w:lang w:val="en-ZA" w:eastAsia="en-US"/>
        </w:rPr>
        <w:t>, in my view,</w:t>
      </w:r>
      <w:r w:rsidR="00AA3730">
        <w:rPr>
          <w:rFonts w:ascii="Arial" w:eastAsiaTheme="minorHAnsi" w:hAnsi="Arial" w:cs="Arial"/>
          <w:lang w:val="en-ZA" w:eastAsia="en-US"/>
        </w:rPr>
        <w:t xml:space="preserve"> to follow the guidance of the provisions of the Conversion Act.</w:t>
      </w:r>
    </w:p>
    <w:p w:rsidR="00225396" w:rsidRDefault="00225396" w:rsidP="00225396">
      <w:pPr>
        <w:spacing w:after="240" w:line="360" w:lineRule="auto"/>
        <w:ind w:left="567" w:hanging="567"/>
        <w:jc w:val="both"/>
        <w:rPr>
          <w:rFonts w:ascii="Arial" w:hAnsi="Arial" w:cs="Arial"/>
        </w:rPr>
      </w:pPr>
      <w:r>
        <w:rPr>
          <w:rFonts w:ascii="Arial" w:eastAsiaTheme="minorHAnsi" w:hAnsi="Arial" w:cs="Arial"/>
          <w:lang w:val="en-ZA" w:eastAsia="en-US"/>
        </w:rPr>
        <w:t>[31]</w:t>
      </w:r>
      <w:r>
        <w:rPr>
          <w:rFonts w:ascii="Arial" w:eastAsiaTheme="minorHAnsi" w:hAnsi="Arial" w:cs="Arial"/>
          <w:lang w:val="en-ZA" w:eastAsia="en-US"/>
        </w:rPr>
        <w:tab/>
      </w:r>
      <w:r w:rsidR="00712BED">
        <w:rPr>
          <w:rFonts w:ascii="Arial" w:eastAsiaTheme="minorHAnsi" w:hAnsi="Arial" w:cs="Arial"/>
          <w:lang w:val="en-ZA" w:eastAsia="en-US"/>
        </w:rPr>
        <w:t>In her counterapplication</w:t>
      </w:r>
      <w:r w:rsidR="00973910">
        <w:rPr>
          <w:rFonts w:ascii="Arial" w:eastAsiaTheme="minorHAnsi" w:hAnsi="Arial" w:cs="Arial"/>
          <w:lang w:val="en-ZA" w:eastAsia="en-US"/>
        </w:rPr>
        <w:t>, the firs</w:t>
      </w:r>
      <w:r w:rsidR="00712BED">
        <w:rPr>
          <w:rFonts w:ascii="Arial" w:eastAsiaTheme="minorHAnsi" w:hAnsi="Arial" w:cs="Arial"/>
          <w:lang w:val="en-ZA" w:eastAsia="en-US"/>
        </w:rPr>
        <w:t>t respondent sought</w:t>
      </w:r>
      <w:r w:rsidR="00973910">
        <w:rPr>
          <w:rFonts w:ascii="Arial" w:eastAsiaTheme="minorHAnsi" w:hAnsi="Arial" w:cs="Arial"/>
          <w:lang w:val="en-ZA" w:eastAsia="en-US"/>
        </w:rPr>
        <w:t xml:space="preserve"> that an inquiry should be held</w:t>
      </w:r>
      <w:r w:rsidR="002D6FF9">
        <w:rPr>
          <w:rFonts w:ascii="Arial" w:eastAsiaTheme="minorHAnsi" w:hAnsi="Arial" w:cs="Arial"/>
          <w:lang w:val="en-ZA" w:eastAsia="en-US"/>
        </w:rPr>
        <w:t xml:space="preserve"> </w:t>
      </w:r>
      <w:r w:rsidR="002D6FF9">
        <w:rPr>
          <w:rFonts w:ascii="Arial" w:hAnsi="Arial" w:cs="Arial"/>
        </w:rPr>
        <w:t>and that the parties be granted leave to approach the court on the same papers after the third respondent had conducted the inquiry. The request is not preposterous as the applicants conceded that</w:t>
      </w:r>
      <w:r w:rsidR="00712BED">
        <w:rPr>
          <w:rFonts w:ascii="Arial" w:hAnsi="Arial" w:cs="Arial"/>
        </w:rPr>
        <w:t xml:space="preserve"> it was correct that the Conversion Act was applicable in this matter</w:t>
      </w:r>
      <w:r w:rsidR="00712BED">
        <w:rPr>
          <w:rStyle w:val="FootnoteReference"/>
          <w:rFonts w:ascii="Arial" w:hAnsi="Arial" w:cs="Arial"/>
        </w:rPr>
        <w:footnoteReference w:id="24"/>
      </w:r>
      <w:r w:rsidR="002D6FF9">
        <w:rPr>
          <w:rFonts w:ascii="Arial" w:hAnsi="Arial" w:cs="Arial"/>
        </w:rPr>
        <w:t xml:space="preserve"> </w:t>
      </w:r>
      <w:r w:rsidR="00551B93">
        <w:rPr>
          <w:rFonts w:ascii="Arial" w:hAnsi="Arial" w:cs="Arial"/>
        </w:rPr>
        <w:t xml:space="preserve">and </w:t>
      </w:r>
      <w:r w:rsidR="002D6FF9">
        <w:rPr>
          <w:rFonts w:ascii="Arial" w:hAnsi="Arial" w:cs="Arial"/>
        </w:rPr>
        <w:t>the Director-General was enjoined to conduct an investigation into the identity of the person(s) entitled to receive ownership in terms of the Conversion Act.</w:t>
      </w:r>
      <w:r w:rsidR="00551B93">
        <w:rPr>
          <w:rStyle w:val="FootnoteReference"/>
          <w:rFonts w:ascii="Arial" w:hAnsi="Arial" w:cs="Arial"/>
        </w:rPr>
        <w:footnoteReference w:id="25"/>
      </w:r>
      <w:r w:rsidR="005511B0">
        <w:rPr>
          <w:rFonts w:ascii="Arial" w:hAnsi="Arial" w:cs="Arial"/>
        </w:rPr>
        <w:t xml:space="preserve"> The remainder of the applicants’ special </w:t>
      </w:r>
      <w:proofErr w:type="spellStart"/>
      <w:r w:rsidR="005511B0">
        <w:rPr>
          <w:rFonts w:ascii="Arial" w:hAnsi="Arial" w:cs="Arial"/>
        </w:rPr>
        <w:t>pleas</w:t>
      </w:r>
      <w:proofErr w:type="spellEnd"/>
      <w:r w:rsidR="005511B0">
        <w:rPr>
          <w:rFonts w:ascii="Arial" w:hAnsi="Arial" w:cs="Arial"/>
        </w:rPr>
        <w:t xml:space="preserve"> do not hold water bearing in mind the legal position set out above. It is no</w:t>
      </w:r>
      <w:r w:rsidR="00E43A8B">
        <w:rPr>
          <w:rFonts w:ascii="Arial" w:hAnsi="Arial" w:cs="Arial"/>
        </w:rPr>
        <w:t xml:space="preserve">t correct that Mrs </w:t>
      </w:r>
      <w:proofErr w:type="spellStart"/>
      <w:r w:rsidR="00E43A8B">
        <w:rPr>
          <w:rFonts w:ascii="Arial" w:hAnsi="Arial" w:cs="Arial"/>
        </w:rPr>
        <w:t>Morakabi</w:t>
      </w:r>
      <w:proofErr w:type="spellEnd"/>
      <w:r w:rsidR="00E43A8B">
        <w:rPr>
          <w:rFonts w:ascii="Arial" w:hAnsi="Arial" w:cs="Arial"/>
        </w:rPr>
        <w:t xml:space="preserve"> would</w:t>
      </w:r>
      <w:r w:rsidR="005511B0">
        <w:rPr>
          <w:rFonts w:ascii="Arial" w:hAnsi="Arial" w:cs="Arial"/>
        </w:rPr>
        <w:t xml:space="preserve"> suffer prejudice if she were not joined as a party to the present proceedings.  </w:t>
      </w:r>
    </w:p>
    <w:p w:rsidR="005C63E1" w:rsidRDefault="005C63E1" w:rsidP="00225396">
      <w:pPr>
        <w:spacing w:after="240" w:line="360" w:lineRule="auto"/>
        <w:ind w:left="567" w:hanging="567"/>
        <w:jc w:val="both"/>
        <w:rPr>
          <w:rFonts w:ascii="Arial" w:hAnsi="Arial" w:cs="Arial"/>
        </w:rPr>
      </w:pPr>
      <w:r>
        <w:rPr>
          <w:rFonts w:ascii="Arial" w:hAnsi="Arial" w:cs="Arial"/>
        </w:rPr>
        <w:t>[32]</w:t>
      </w:r>
      <w:r>
        <w:rPr>
          <w:rFonts w:ascii="Arial" w:hAnsi="Arial" w:cs="Arial"/>
        </w:rPr>
        <w:tab/>
        <w:t>It is trite that the successful party is entitled to the costs.</w:t>
      </w:r>
      <w:r w:rsidR="0036710B">
        <w:rPr>
          <w:rFonts w:ascii="Arial" w:hAnsi="Arial" w:cs="Arial"/>
        </w:rPr>
        <w:t xml:space="preserve"> However, due to the circumstances and the direction that this matter may follow, </w:t>
      </w:r>
      <w:r>
        <w:rPr>
          <w:rFonts w:ascii="Arial" w:hAnsi="Arial" w:cs="Arial"/>
        </w:rPr>
        <w:t xml:space="preserve">I am of the view that costs should be reserved for later adjudication. </w:t>
      </w:r>
    </w:p>
    <w:p w:rsidR="008C733D" w:rsidRDefault="005C63E1" w:rsidP="00225396">
      <w:pPr>
        <w:spacing w:after="240" w:line="360" w:lineRule="auto"/>
        <w:ind w:left="567" w:hanging="567"/>
        <w:jc w:val="both"/>
        <w:rPr>
          <w:rFonts w:ascii="Arial" w:hAnsi="Arial" w:cs="Arial"/>
        </w:rPr>
      </w:pPr>
      <w:r>
        <w:rPr>
          <w:rFonts w:ascii="Arial" w:hAnsi="Arial" w:cs="Arial"/>
        </w:rPr>
        <w:t>[33</w:t>
      </w:r>
      <w:r w:rsidR="00225396">
        <w:rPr>
          <w:rFonts w:ascii="Arial" w:hAnsi="Arial" w:cs="Arial"/>
        </w:rPr>
        <w:t>]</w:t>
      </w:r>
      <w:r w:rsidR="00225396">
        <w:rPr>
          <w:rFonts w:ascii="Arial" w:hAnsi="Arial" w:cs="Arial"/>
        </w:rPr>
        <w:tab/>
      </w:r>
      <w:r w:rsidR="008C733D">
        <w:rPr>
          <w:rFonts w:ascii="Arial" w:hAnsi="Arial" w:cs="Arial"/>
        </w:rPr>
        <w:t xml:space="preserve">In the premises, I am of the view that the following order is appropriate in the </w:t>
      </w:r>
      <w:r w:rsidR="00A8688E">
        <w:rPr>
          <w:rFonts w:ascii="Arial" w:hAnsi="Arial" w:cs="Arial"/>
        </w:rPr>
        <w:t>circumstances:</w:t>
      </w:r>
    </w:p>
    <w:p w:rsidR="005C63E1" w:rsidRPr="005C63E1" w:rsidRDefault="005C63E1" w:rsidP="00225396">
      <w:pPr>
        <w:spacing w:after="240" w:line="360" w:lineRule="auto"/>
        <w:ind w:left="567" w:hanging="567"/>
        <w:jc w:val="both"/>
        <w:rPr>
          <w:rFonts w:ascii="Arial" w:hAnsi="Arial" w:cs="Arial"/>
          <w:b/>
          <w:u w:val="single"/>
        </w:rPr>
      </w:pPr>
      <w:r>
        <w:rPr>
          <w:rFonts w:ascii="Arial" w:hAnsi="Arial" w:cs="Arial"/>
          <w:b/>
          <w:u w:val="single"/>
        </w:rPr>
        <w:t>Order:</w:t>
      </w:r>
    </w:p>
    <w:p w:rsidR="008C733D" w:rsidRDefault="008C733D" w:rsidP="00225396">
      <w:pPr>
        <w:pStyle w:val="ListParagraph"/>
        <w:numPr>
          <w:ilvl w:val="0"/>
          <w:numId w:val="13"/>
        </w:numPr>
        <w:spacing w:after="240" w:line="360" w:lineRule="auto"/>
        <w:jc w:val="both"/>
        <w:rPr>
          <w:rFonts w:ascii="Arial" w:hAnsi="Arial" w:cs="Arial"/>
        </w:rPr>
      </w:pPr>
      <w:r>
        <w:rPr>
          <w:rFonts w:ascii="Arial" w:hAnsi="Arial" w:cs="Arial"/>
        </w:rPr>
        <w:t>The application for the eviction of the respondents on erf number 43813, Mangaung distri</w:t>
      </w:r>
      <w:r w:rsidR="0036710B">
        <w:rPr>
          <w:rFonts w:ascii="Arial" w:hAnsi="Arial" w:cs="Arial"/>
        </w:rPr>
        <w:t>ct, Bloemfontein, is dismissed</w:t>
      </w:r>
      <w:r>
        <w:rPr>
          <w:rFonts w:ascii="Arial" w:hAnsi="Arial" w:cs="Arial"/>
        </w:rPr>
        <w:t>;</w:t>
      </w:r>
    </w:p>
    <w:p w:rsidR="003D3952" w:rsidRPr="00225396" w:rsidRDefault="008C733D" w:rsidP="00225396">
      <w:pPr>
        <w:pStyle w:val="ListParagraph"/>
        <w:numPr>
          <w:ilvl w:val="0"/>
          <w:numId w:val="13"/>
        </w:numPr>
        <w:autoSpaceDE w:val="0"/>
        <w:autoSpaceDN w:val="0"/>
        <w:adjustRightInd w:val="0"/>
        <w:spacing w:after="240" w:line="360" w:lineRule="auto"/>
        <w:jc w:val="both"/>
        <w:rPr>
          <w:rFonts w:ascii="ArialMT" w:eastAsiaTheme="minorHAnsi" w:hAnsi="ArialMT" w:cs="ArialMT"/>
          <w:lang w:val="en-ZA" w:eastAsia="en-US"/>
        </w:rPr>
      </w:pPr>
      <w:r w:rsidRPr="00225396">
        <w:rPr>
          <w:rFonts w:ascii="ArialMT" w:eastAsiaTheme="minorHAnsi" w:hAnsi="ArialMT" w:cs="ArialMT"/>
          <w:lang w:val="en-ZA" w:eastAsia="en-US"/>
        </w:rPr>
        <w:t>The Director-General for the Department of Housing, Free State</w:t>
      </w:r>
      <w:r w:rsidR="00225396" w:rsidRPr="00225396">
        <w:rPr>
          <w:rFonts w:ascii="ArialMT" w:eastAsiaTheme="minorHAnsi" w:hAnsi="ArialMT" w:cs="ArialMT"/>
          <w:lang w:val="en-ZA" w:eastAsia="en-US"/>
        </w:rPr>
        <w:t xml:space="preserve"> </w:t>
      </w:r>
      <w:r w:rsidRPr="00225396">
        <w:rPr>
          <w:rFonts w:ascii="ArialMT" w:eastAsiaTheme="minorHAnsi" w:hAnsi="ArialMT" w:cs="ArialMT"/>
          <w:lang w:val="en-ZA" w:eastAsia="en-US"/>
        </w:rPr>
        <w:t>Province, is</w:t>
      </w:r>
      <w:r w:rsidR="003D3952" w:rsidRPr="00225396">
        <w:rPr>
          <w:rFonts w:ascii="ArialMT" w:eastAsiaTheme="minorHAnsi" w:hAnsi="ArialMT" w:cs="ArialMT"/>
          <w:lang w:val="en-ZA" w:eastAsia="en-US"/>
        </w:rPr>
        <w:t xml:space="preserve"> </w:t>
      </w:r>
      <w:r w:rsidRPr="00225396">
        <w:rPr>
          <w:rFonts w:ascii="ArialMT" w:eastAsiaTheme="minorHAnsi" w:hAnsi="ArialMT" w:cs="ArialMT"/>
          <w:lang w:val="en-ZA" w:eastAsia="en-US"/>
        </w:rPr>
        <w:t xml:space="preserve">directed to hold an inquiry </w:t>
      </w:r>
      <w:r w:rsidR="003D3952" w:rsidRPr="00225396">
        <w:rPr>
          <w:rFonts w:ascii="ArialMT" w:eastAsiaTheme="minorHAnsi" w:hAnsi="ArialMT" w:cs="ArialMT"/>
          <w:lang w:val="en-ZA" w:eastAsia="en-US"/>
        </w:rPr>
        <w:t xml:space="preserve">in respect of Erf 43813, Mangaung, Bloemfontein </w:t>
      </w:r>
      <w:r w:rsidRPr="00225396">
        <w:rPr>
          <w:rFonts w:ascii="ArialMT" w:eastAsiaTheme="minorHAnsi" w:hAnsi="ArialMT" w:cs="ArialMT"/>
          <w:lang w:val="en-ZA" w:eastAsia="en-US"/>
        </w:rPr>
        <w:t>in terms of s</w:t>
      </w:r>
      <w:r w:rsidR="00945AE3">
        <w:rPr>
          <w:rFonts w:ascii="ArialMT" w:eastAsiaTheme="minorHAnsi" w:hAnsi="ArialMT" w:cs="ArialMT"/>
          <w:lang w:val="en-ZA" w:eastAsia="en-US"/>
        </w:rPr>
        <w:t>ection</w:t>
      </w:r>
      <w:r w:rsidRPr="00225396">
        <w:rPr>
          <w:rFonts w:ascii="ArialMT" w:eastAsiaTheme="minorHAnsi" w:hAnsi="ArialMT" w:cs="ArialMT"/>
          <w:lang w:val="en-ZA" w:eastAsia="en-US"/>
        </w:rPr>
        <w:t xml:space="preserve"> 2 of the Conversion of Certain Rights into Leasehold or</w:t>
      </w:r>
      <w:r w:rsidR="00225396" w:rsidRPr="00225396">
        <w:rPr>
          <w:rFonts w:ascii="ArialMT" w:eastAsiaTheme="minorHAnsi" w:hAnsi="ArialMT" w:cs="ArialMT"/>
          <w:lang w:val="en-ZA" w:eastAsia="en-US"/>
        </w:rPr>
        <w:t xml:space="preserve"> </w:t>
      </w:r>
      <w:r w:rsidRPr="00225396">
        <w:rPr>
          <w:rFonts w:ascii="ArialMT" w:eastAsiaTheme="minorHAnsi" w:hAnsi="ArialMT" w:cs="ArialMT"/>
          <w:lang w:val="en-ZA" w:eastAsia="en-US"/>
        </w:rPr>
        <w:t xml:space="preserve">Ownership Act 81 of 1988, and to declare </w:t>
      </w:r>
      <w:r w:rsidR="003D3952" w:rsidRPr="00225396">
        <w:rPr>
          <w:rFonts w:ascii="ArialMT" w:eastAsiaTheme="minorHAnsi" w:hAnsi="ArialMT" w:cs="ArialMT"/>
          <w:lang w:val="en-ZA" w:eastAsia="en-US"/>
        </w:rPr>
        <w:t>who the owner of the Erf is.</w:t>
      </w:r>
    </w:p>
    <w:p w:rsidR="003D3952" w:rsidRDefault="003D3952" w:rsidP="00225396">
      <w:pPr>
        <w:pStyle w:val="ListParagraph"/>
        <w:numPr>
          <w:ilvl w:val="0"/>
          <w:numId w:val="13"/>
        </w:numPr>
        <w:autoSpaceDE w:val="0"/>
        <w:autoSpaceDN w:val="0"/>
        <w:adjustRightInd w:val="0"/>
        <w:spacing w:after="240" w:line="360" w:lineRule="auto"/>
        <w:jc w:val="both"/>
        <w:rPr>
          <w:rFonts w:ascii="ArialMT" w:eastAsiaTheme="minorHAnsi" w:hAnsi="ArialMT" w:cs="ArialMT"/>
          <w:lang w:val="en-ZA" w:eastAsia="en-US"/>
        </w:rPr>
      </w:pPr>
      <w:r>
        <w:rPr>
          <w:rFonts w:ascii="ArialMT" w:eastAsiaTheme="minorHAnsi" w:hAnsi="ArialMT" w:cs="ArialMT"/>
          <w:lang w:val="en-ZA" w:eastAsia="en-US"/>
        </w:rPr>
        <w:t>The parties are granted leave to approach the court on the same papers, supplemented if necessary, after prayer 1 above has been complied with.</w:t>
      </w:r>
    </w:p>
    <w:p w:rsidR="008C733D" w:rsidRPr="00B70963" w:rsidRDefault="00945AE3" w:rsidP="00225396">
      <w:pPr>
        <w:pStyle w:val="ListParagraph"/>
        <w:numPr>
          <w:ilvl w:val="0"/>
          <w:numId w:val="13"/>
        </w:numPr>
        <w:autoSpaceDE w:val="0"/>
        <w:autoSpaceDN w:val="0"/>
        <w:adjustRightInd w:val="0"/>
        <w:spacing w:after="240" w:line="360" w:lineRule="auto"/>
        <w:jc w:val="both"/>
        <w:rPr>
          <w:rFonts w:ascii="ArialMT" w:eastAsiaTheme="minorHAnsi" w:hAnsi="ArialMT" w:cs="ArialMT"/>
          <w:lang w:val="en-ZA" w:eastAsia="en-US"/>
        </w:rPr>
      </w:pPr>
      <w:r>
        <w:rPr>
          <w:rFonts w:ascii="ArialMT" w:eastAsiaTheme="minorHAnsi" w:hAnsi="ArialMT" w:cs="ArialMT"/>
          <w:lang w:val="en-ZA" w:eastAsia="en-US"/>
        </w:rPr>
        <w:t>C</w:t>
      </w:r>
      <w:r w:rsidR="00B70963">
        <w:rPr>
          <w:rFonts w:ascii="ArialMT" w:eastAsiaTheme="minorHAnsi" w:hAnsi="ArialMT" w:cs="ArialMT"/>
          <w:lang w:val="en-ZA" w:eastAsia="en-US"/>
        </w:rPr>
        <w:t>osts</w:t>
      </w:r>
      <w:r>
        <w:rPr>
          <w:rFonts w:ascii="ArialMT" w:eastAsiaTheme="minorHAnsi" w:hAnsi="ArialMT" w:cs="ArialMT"/>
          <w:lang w:val="en-ZA" w:eastAsia="en-US"/>
        </w:rPr>
        <w:t xml:space="preserve"> are reserved for later adjudication</w:t>
      </w:r>
      <w:r w:rsidR="00B70963">
        <w:rPr>
          <w:rFonts w:ascii="ArialMT" w:eastAsiaTheme="minorHAnsi" w:hAnsi="ArialMT" w:cs="ArialMT"/>
          <w:lang w:val="en-ZA" w:eastAsia="en-US"/>
        </w:rPr>
        <w:t>.</w:t>
      </w:r>
    </w:p>
    <w:p w:rsidR="007D2E4C" w:rsidRDefault="007D2E4C" w:rsidP="0035047C">
      <w:pPr>
        <w:pStyle w:val="ListParagraph"/>
        <w:ind w:left="5761"/>
        <w:jc w:val="right"/>
        <w:rPr>
          <w:rFonts w:ascii="Arial" w:hAnsi="Arial" w:cs="Arial"/>
          <w:sz w:val="28"/>
          <w:szCs w:val="28"/>
        </w:rPr>
      </w:pPr>
    </w:p>
    <w:p w:rsidR="007D2E4C" w:rsidRDefault="007D2E4C" w:rsidP="0035047C">
      <w:pPr>
        <w:pStyle w:val="ListParagraph"/>
        <w:ind w:left="5761"/>
        <w:jc w:val="right"/>
        <w:rPr>
          <w:rFonts w:ascii="Arial" w:hAnsi="Arial" w:cs="Arial"/>
          <w:sz w:val="28"/>
          <w:szCs w:val="28"/>
        </w:rPr>
      </w:pPr>
    </w:p>
    <w:p w:rsidR="007D2E4C" w:rsidRDefault="007D2E4C" w:rsidP="0035047C">
      <w:pPr>
        <w:pStyle w:val="ListParagraph"/>
        <w:ind w:left="5761"/>
        <w:jc w:val="right"/>
        <w:rPr>
          <w:rFonts w:ascii="Arial" w:hAnsi="Arial" w:cs="Arial"/>
          <w:sz w:val="28"/>
          <w:szCs w:val="28"/>
        </w:rPr>
      </w:pPr>
    </w:p>
    <w:p w:rsidR="00494476" w:rsidRDefault="00494476" w:rsidP="0035047C">
      <w:pPr>
        <w:pStyle w:val="ListParagraph"/>
        <w:ind w:left="5761"/>
        <w:jc w:val="right"/>
        <w:rPr>
          <w:rFonts w:ascii="Arial" w:hAnsi="Arial" w:cs="Arial"/>
          <w:sz w:val="28"/>
          <w:szCs w:val="28"/>
        </w:rPr>
      </w:pPr>
    </w:p>
    <w:p w:rsidR="00494476" w:rsidRDefault="00494476" w:rsidP="0035047C">
      <w:pPr>
        <w:pStyle w:val="ListParagraph"/>
        <w:ind w:left="5761"/>
        <w:jc w:val="right"/>
        <w:rPr>
          <w:rFonts w:ascii="Arial" w:hAnsi="Arial" w:cs="Arial"/>
          <w:sz w:val="28"/>
          <w:szCs w:val="28"/>
        </w:rPr>
      </w:pPr>
    </w:p>
    <w:p w:rsidR="005835FE" w:rsidRDefault="002D3664" w:rsidP="0035047C">
      <w:pPr>
        <w:pStyle w:val="ListParagraph"/>
        <w:ind w:left="5761"/>
        <w:jc w:val="right"/>
        <w:rPr>
          <w:rFonts w:ascii="Arial" w:hAnsi="Arial" w:cs="Arial"/>
          <w:sz w:val="28"/>
          <w:szCs w:val="28"/>
        </w:rPr>
      </w:pPr>
      <w:r>
        <w:rPr>
          <w:rFonts w:ascii="Arial" w:hAnsi="Arial" w:cs="Arial"/>
          <w:sz w:val="28"/>
          <w:szCs w:val="28"/>
        </w:rPr>
        <w:t>___</w:t>
      </w:r>
      <w:r w:rsidR="005835FE">
        <w:rPr>
          <w:rFonts w:ascii="Arial" w:hAnsi="Arial" w:cs="Arial"/>
          <w:sz w:val="28"/>
          <w:szCs w:val="28"/>
        </w:rPr>
        <w:t>______________</w:t>
      </w:r>
    </w:p>
    <w:p w:rsidR="005835FE" w:rsidRPr="00C20DEE" w:rsidRDefault="00E5481E" w:rsidP="0035047C">
      <w:pPr>
        <w:pStyle w:val="ListParagraph"/>
        <w:ind w:left="5761"/>
        <w:jc w:val="right"/>
        <w:rPr>
          <w:rFonts w:ascii="Arial" w:hAnsi="Arial" w:cs="Arial"/>
          <w:b/>
        </w:rPr>
      </w:pPr>
      <w:r w:rsidRPr="00C20DEE">
        <w:rPr>
          <w:rFonts w:ascii="Arial" w:hAnsi="Arial" w:cs="Arial"/>
          <w:b/>
        </w:rPr>
        <w:t xml:space="preserve">         </w:t>
      </w:r>
    </w:p>
    <w:p w:rsidR="005835FE" w:rsidRPr="002B369A" w:rsidRDefault="002B369A" w:rsidP="0035047C">
      <w:pPr>
        <w:jc w:val="right"/>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B369A">
        <w:rPr>
          <w:rFonts w:ascii="Arial" w:hAnsi="Arial" w:cs="Arial"/>
          <w:b/>
          <w:bCs/>
        </w:rPr>
        <w:t>MHLAMBI</w:t>
      </w:r>
      <w:r w:rsidR="0035047C">
        <w:rPr>
          <w:rFonts w:ascii="Arial" w:hAnsi="Arial" w:cs="Arial"/>
          <w:b/>
          <w:bCs/>
        </w:rPr>
        <w:t>,</w:t>
      </w:r>
      <w:r w:rsidRPr="002B369A">
        <w:rPr>
          <w:rFonts w:ascii="Arial" w:hAnsi="Arial" w:cs="Arial"/>
          <w:b/>
          <w:bCs/>
        </w:rPr>
        <w:t xml:space="preserve"> J</w:t>
      </w:r>
    </w:p>
    <w:p w:rsidR="005835FE" w:rsidRPr="00C20DEE" w:rsidRDefault="005835FE" w:rsidP="0035047C">
      <w:pPr>
        <w:jc w:val="right"/>
        <w:rPr>
          <w:rFonts w:ascii="Arial" w:hAnsi="Arial" w:cs="Arial"/>
        </w:rPr>
      </w:pPr>
    </w:p>
    <w:p w:rsidR="002D3664" w:rsidRPr="00C20DEE" w:rsidRDefault="002D3664" w:rsidP="002F71C5">
      <w:pPr>
        <w:spacing w:line="360" w:lineRule="auto"/>
        <w:ind w:left="851" w:hanging="851"/>
        <w:rPr>
          <w:rFonts w:ascii="Arial" w:hAnsi="Arial" w:cs="Arial"/>
          <w:color w:val="000000" w:themeColor="text1"/>
        </w:rPr>
      </w:pPr>
    </w:p>
    <w:p w:rsidR="00494476" w:rsidRDefault="00494476" w:rsidP="00E5549C">
      <w:pPr>
        <w:spacing w:line="360" w:lineRule="auto"/>
        <w:ind w:left="851" w:hanging="851"/>
        <w:rPr>
          <w:rFonts w:ascii="Arial" w:hAnsi="Arial" w:cs="Arial"/>
          <w:color w:val="000000" w:themeColor="text1"/>
        </w:rPr>
      </w:pPr>
    </w:p>
    <w:p w:rsidR="00494476" w:rsidRDefault="00494476" w:rsidP="00E5549C">
      <w:pPr>
        <w:spacing w:line="360" w:lineRule="auto"/>
        <w:ind w:left="851" w:hanging="851"/>
        <w:rPr>
          <w:rFonts w:ascii="Arial" w:hAnsi="Arial" w:cs="Arial"/>
          <w:color w:val="000000" w:themeColor="text1"/>
        </w:rPr>
      </w:pPr>
    </w:p>
    <w:p w:rsidR="00E5549C" w:rsidRPr="00C20DEE" w:rsidRDefault="005960F0" w:rsidP="00E5549C">
      <w:pPr>
        <w:spacing w:line="360" w:lineRule="auto"/>
        <w:ind w:left="851" w:hanging="851"/>
        <w:rPr>
          <w:rFonts w:ascii="Arial" w:hAnsi="Arial" w:cs="Arial"/>
          <w:color w:val="000000" w:themeColor="text1"/>
        </w:rPr>
      </w:pPr>
      <w:r w:rsidRPr="00C20DEE">
        <w:rPr>
          <w:rFonts w:ascii="Arial" w:hAnsi="Arial" w:cs="Arial"/>
          <w:color w:val="000000" w:themeColor="text1"/>
        </w:rPr>
        <w:t xml:space="preserve">On behalf of </w:t>
      </w:r>
      <w:r w:rsidR="00225396">
        <w:rPr>
          <w:rFonts w:ascii="Arial" w:hAnsi="Arial" w:cs="Arial"/>
          <w:color w:val="000000" w:themeColor="text1"/>
        </w:rPr>
        <w:t>the Applicant:</w:t>
      </w:r>
      <w:r w:rsidR="003F410D" w:rsidRPr="00C20DEE">
        <w:rPr>
          <w:rFonts w:ascii="Arial" w:hAnsi="Arial" w:cs="Arial"/>
          <w:color w:val="000000" w:themeColor="text1"/>
        </w:rPr>
        <w:t xml:space="preserve">  </w:t>
      </w:r>
      <w:r w:rsidR="004208B5" w:rsidRPr="00C20DEE">
        <w:rPr>
          <w:rFonts w:ascii="Arial" w:hAnsi="Arial" w:cs="Arial"/>
          <w:color w:val="000000" w:themeColor="text1"/>
        </w:rPr>
        <w:t xml:space="preserve">Adv. </w:t>
      </w:r>
      <w:r w:rsidR="004208B5">
        <w:rPr>
          <w:rFonts w:ascii="Arial" w:hAnsi="Arial" w:cs="Arial"/>
          <w:color w:val="000000" w:themeColor="text1"/>
        </w:rPr>
        <w:t>D.C Hatting-</w:t>
      </w:r>
      <w:proofErr w:type="spellStart"/>
      <w:r w:rsidR="004208B5">
        <w:rPr>
          <w:rFonts w:ascii="Arial" w:hAnsi="Arial" w:cs="Arial"/>
          <w:color w:val="000000" w:themeColor="text1"/>
        </w:rPr>
        <w:t>Boonzaaier</w:t>
      </w:r>
      <w:proofErr w:type="spellEnd"/>
      <w:r w:rsidR="004208B5">
        <w:rPr>
          <w:rFonts w:ascii="Arial" w:hAnsi="Arial" w:cs="Arial"/>
          <w:color w:val="000000" w:themeColor="text1"/>
        </w:rPr>
        <w:t xml:space="preserve">  </w:t>
      </w:r>
    </w:p>
    <w:p w:rsidR="00201F31" w:rsidRDefault="005960F0" w:rsidP="00201F31">
      <w:pPr>
        <w:spacing w:line="360" w:lineRule="auto"/>
        <w:rPr>
          <w:rFonts w:ascii="Arial" w:hAnsi="Arial" w:cs="Arial"/>
          <w:color w:val="000000" w:themeColor="text1"/>
        </w:rPr>
      </w:pPr>
      <w:r w:rsidRPr="00C20DEE">
        <w:rPr>
          <w:rFonts w:ascii="Arial" w:hAnsi="Arial" w:cs="Arial"/>
          <w:color w:val="000000" w:themeColor="text1"/>
        </w:rPr>
        <w:t>Instructed by:</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5B56EE">
        <w:rPr>
          <w:rFonts w:ascii="Arial" w:hAnsi="Arial" w:cs="Arial"/>
          <w:color w:val="000000" w:themeColor="text1"/>
        </w:rPr>
        <w:t xml:space="preserve"> </w:t>
      </w:r>
      <w:r w:rsidR="00225396">
        <w:rPr>
          <w:rFonts w:ascii="Arial" w:hAnsi="Arial" w:cs="Arial"/>
          <w:color w:val="000000" w:themeColor="text1"/>
        </w:rPr>
        <w:tab/>
      </w:r>
      <w:r w:rsidR="00494476">
        <w:rPr>
          <w:rFonts w:ascii="Arial" w:hAnsi="Arial" w:cs="Arial"/>
          <w:color w:val="000000" w:themeColor="text1"/>
        </w:rPr>
        <w:t xml:space="preserve">  </w:t>
      </w:r>
      <w:proofErr w:type="spellStart"/>
      <w:r w:rsidR="00201F31">
        <w:rPr>
          <w:rFonts w:ascii="Arial" w:hAnsi="Arial" w:cs="Arial"/>
          <w:color w:val="000000" w:themeColor="text1"/>
        </w:rPr>
        <w:t>Phat</w:t>
      </w:r>
      <w:r w:rsidR="0009112D">
        <w:rPr>
          <w:rFonts w:ascii="Arial" w:hAnsi="Arial" w:cs="Arial"/>
          <w:color w:val="000000" w:themeColor="text1"/>
        </w:rPr>
        <w:t>s</w:t>
      </w:r>
      <w:r w:rsidR="00201F31">
        <w:rPr>
          <w:rFonts w:ascii="Arial" w:hAnsi="Arial" w:cs="Arial"/>
          <w:color w:val="000000" w:themeColor="text1"/>
        </w:rPr>
        <w:t>oane</w:t>
      </w:r>
      <w:proofErr w:type="spellEnd"/>
      <w:r w:rsidR="00201F31">
        <w:rPr>
          <w:rFonts w:ascii="Arial" w:hAnsi="Arial" w:cs="Arial"/>
          <w:color w:val="000000" w:themeColor="text1"/>
        </w:rPr>
        <w:t xml:space="preserve"> </w:t>
      </w:r>
      <w:proofErr w:type="spellStart"/>
      <w:r w:rsidR="00201F31">
        <w:rPr>
          <w:rFonts w:ascii="Arial" w:hAnsi="Arial" w:cs="Arial"/>
          <w:color w:val="000000" w:themeColor="text1"/>
        </w:rPr>
        <w:t>Henney</w:t>
      </w:r>
      <w:proofErr w:type="spellEnd"/>
      <w:r w:rsidR="00201F31">
        <w:rPr>
          <w:rFonts w:ascii="Arial" w:hAnsi="Arial" w:cs="Arial"/>
          <w:color w:val="000000" w:themeColor="text1"/>
        </w:rPr>
        <w:t xml:space="preserve"> </w:t>
      </w:r>
      <w:proofErr w:type="spellStart"/>
      <w:r w:rsidR="00201F31">
        <w:rPr>
          <w:rFonts w:ascii="Arial" w:hAnsi="Arial" w:cs="Arial"/>
          <w:color w:val="000000" w:themeColor="text1"/>
        </w:rPr>
        <w:t>Inc</w:t>
      </w:r>
      <w:proofErr w:type="spellEnd"/>
    </w:p>
    <w:p w:rsidR="00201F31" w:rsidRDefault="00494476" w:rsidP="00201F31">
      <w:pPr>
        <w:spacing w:line="360" w:lineRule="auto"/>
        <w:ind w:left="2160" w:firstLine="720"/>
        <w:rPr>
          <w:rFonts w:ascii="Arial" w:hAnsi="Arial" w:cs="Arial"/>
          <w:color w:val="000000" w:themeColor="text1"/>
        </w:rPr>
      </w:pPr>
      <w:r>
        <w:rPr>
          <w:rFonts w:ascii="Arial" w:hAnsi="Arial" w:cs="Arial"/>
          <w:color w:val="000000" w:themeColor="text1"/>
        </w:rPr>
        <w:t xml:space="preserve">  </w:t>
      </w:r>
      <w:r w:rsidR="00201F31">
        <w:rPr>
          <w:rFonts w:ascii="Arial" w:hAnsi="Arial" w:cs="Arial"/>
          <w:color w:val="000000" w:themeColor="text1"/>
        </w:rPr>
        <w:t xml:space="preserve">35 </w:t>
      </w:r>
      <w:proofErr w:type="spellStart"/>
      <w:r w:rsidR="00201F31">
        <w:rPr>
          <w:rFonts w:ascii="Arial" w:hAnsi="Arial" w:cs="Arial"/>
          <w:color w:val="000000" w:themeColor="text1"/>
        </w:rPr>
        <w:t>Margraaf</w:t>
      </w:r>
      <w:proofErr w:type="spellEnd"/>
      <w:r w:rsidR="00201F31">
        <w:rPr>
          <w:rFonts w:ascii="Arial" w:hAnsi="Arial" w:cs="Arial"/>
          <w:color w:val="000000" w:themeColor="text1"/>
        </w:rPr>
        <w:t xml:space="preserve"> Street </w:t>
      </w:r>
    </w:p>
    <w:p w:rsidR="00201F31" w:rsidRDefault="00494476" w:rsidP="00201F31">
      <w:pPr>
        <w:spacing w:line="360" w:lineRule="auto"/>
        <w:ind w:left="2160" w:firstLine="720"/>
        <w:rPr>
          <w:rFonts w:ascii="Arial" w:hAnsi="Arial" w:cs="Arial"/>
          <w:color w:val="000000" w:themeColor="text1"/>
        </w:rPr>
      </w:pPr>
      <w:r>
        <w:rPr>
          <w:rFonts w:ascii="Arial" w:hAnsi="Arial" w:cs="Arial"/>
          <w:color w:val="000000" w:themeColor="text1"/>
        </w:rPr>
        <w:t xml:space="preserve">  </w:t>
      </w:r>
      <w:proofErr w:type="spellStart"/>
      <w:r w:rsidR="00201F31">
        <w:rPr>
          <w:rFonts w:ascii="Arial" w:hAnsi="Arial" w:cs="Arial"/>
          <w:color w:val="000000" w:themeColor="text1"/>
        </w:rPr>
        <w:t>Westdene</w:t>
      </w:r>
      <w:proofErr w:type="spellEnd"/>
    </w:p>
    <w:p w:rsidR="00201F31" w:rsidRDefault="00201F31" w:rsidP="002F71C5">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t xml:space="preserve">                               </w:t>
      </w:r>
      <w:r w:rsidR="00494476">
        <w:rPr>
          <w:rFonts w:ascii="Arial" w:hAnsi="Arial" w:cs="Arial"/>
          <w:color w:val="000000" w:themeColor="text1"/>
        </w:rPr>
        <w:t xml:space="preserve">  </w:t>
      </w:r>
      <w:r w:rsidRPr="00C20DEE">
        <w:rPr>
          <w:rFonts w:ascii="Arial" w:hAnsi="Arial" w:cs="Arial"/>
          <w:color w:val="000000" w:themeColor="text1"/>
        </w:rPr>
        <w:t>B</w:t>
      </w:r>
      <w:r>
        <w:rPr>
          <w:rFonts w:ascii="Arial" w:hAnsi="Arial" w:cs="Arial"/>
          <w:color w:val="000000" w:themeColor="text1"/>
        </w:rPr>
        <w:t xml:space="preserve">loemfontein </w:t>
      </w:r>
      <w:r w:rsidRPr="00C20DEE">
        <w:rPr>
          <w:rFonts w:ascii="Arial" w:hAnsi="Arial" w:cs="Arial"/>
          <w:color w:val="000000" w:themeColor="text1"/>
        </w:rPr>
        <w:tab/>
      </w:r>
    </w:p>
    <w:p w:rsidR="00201F31" w:rsidRDefault="00201F31" w:rsidP="002F71C5">
      <w:pPr>
        <w:tabs>
          <w:tab w:val="left" w:pos="2977"/>
        </w:tabs>
        <w:spacing w:line="360" w:lineRule="auto"/>
        <w:ind w:left="851" w:hanging="851"/>
        <w:rPr>
          <w:rFonts w:ascii="Arial" w:hAnsi="Arial" w:cs="Arial"/>
          <w:color w:val="000000" w:themeColor="text1"/>
        </w:rPr>
      </w:pPr>
    </w:p>
    <w:p w:rsidR="00201F31" w:rsidRDefault="00201F31" w:rsidP="002F71C5">
      <w:pPr>
        <w:tabs>
          <w:tab w:val="left" w:pos="2977"/>
        </w:tabs>
        <w:spacing w:line="360" w:lineRule="auto"/>
        <w:ind w:left="851" w:hanging="851"/>
        <w:rPr>
          <w:rFonts w:ascii="Arial" w:hAnsi="Arial" w:cs="Arial"/>
          <w:color w:val="000000" w:themeColor="text1"/>
        </w:rPr>
      </w:pPr>
    </w:p>
    <w:p w:rsidR="005960F0" w:rsidRPr="00C20DEE" w:rsidRDefault="005960F0" w:rsidP="004208B5">
      <w:pPr>
        <w:spacing w:line="360" w:lineRule="auto"/>
        <w:ind w:left="851" w:hanging="851"/>
        <w:rPr>
          <w:rFonts w:ascii="Arial" w:hAnsi="Arial" w:cs="Arial"/>
          <w:color w:val="000000" w:themeColor="text1"/>
        </w:rPr>
      </w:pPr>
      <w:r w:rsidRPr="00C20DEE">
        <w:rPr>
          <w:rFonts w:ascii="Arial" w:hAnsi="Arial" w:cs="Arial"/>
          <w:color w:val="000000" w:themeColor="text1"/>
        </w:rPr>
        <w:t>On behalf of</w:t>
      </w:r>
      <w:r w:rsidR="00225396">
        <w:rPr>
          <w:rFonts w:ascii="Arial" w:hAnsi="Arial" w:cs="Arial"/>
          <w:color w:val="000000" w:themeColor="text1"/>
        </w:rPr>
        <w:t xml:space="preserve"> the R</w:t>
      </w:r>
      <w:r w:rsidRPr="00C20DEE">
        <w:rPr>
          <w:rFonts w:ascii="Arial" w:hAnsi="Arial" w:cs="Arial"/>
          <w:color w:val="000000" w:themeColor="text1"/>
        </w:rPr>
        <w:t>espondent</w:t>
      </w:r>
      <w:r w:rsidR="00225396">
        <w:rPr>
          <w:rFonts w:ascii="Arial" w:hAnsi="Arial" w:cs="Arial"/>
          <w:color w:val="000000" w:themeColor="text1"/>
        </w:rPr>
        <w:t xml:space="preserve">:  </w:t>
      </w:r>
      <w:r w:rsidR="00201F31">
        <w:rPr>
          <w:rFonts w:ascii="Arial" w:hAnsi="Arial" w:cs="Arial"/>
          <w:color w:val="000000" w:themeColor="text1"/>
        </w:rPr>
        <w:t xml:space="preserve">  </w:t>
      </w:r>
      <w:r w:rsidR="004208B5">
        <w:rPr>
          <w:rFonts w:ascii="Arial" w:hAnsi="Arial" w:cs="Arial"/>
          <w:color w:val="000000" w:themeColor="text1"/>
        </w:rPr>
        <w:t>Ms I De Wet</w:t>
      </w:r>
    </w:p>
    <w:p w:rsidR="00201F31" w:rsidRDefault="00201F31" w:rsidP="00201F31">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Instructed by:</w:t>
      </w:r>
      <w:r>
        <w:rPr>
          <w:rFonts w:ascii="Arial" w:hAnsi="Arial" w:cs="Arial"/>
          <w:color w:val="000000" w:themeColor="text1"/>
        </w:rPr>
        <w:tab/>
        <w:t xml:space="preserve">      Bloemfontein Justice Centre </w:t>
      </w:r>
    </w:p>
    <w:p w:rsidR="00201F31" w:rsidRPr="00C20DEE" w:rsidRDefault="00201F31" w:rsidP="00201F31">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t xml:space="preserve">                            </w:t>
      </w:r>
      <w:r>
        <w:rPr>
          <w:rFonts w:ascii="Arial" w:hAnsi="Arial" w:cs="Arial"/>
          <w:color w:val="000000" w:themeColor="text1"/>
        </w:rPr>
        <w:tab/>
        <w:t xml:space="preserve">      4th Floor </w:t>
      </w:r>
      <w:proofErr w:type="spellStart"/>
      <w:r>
        <w:rPr>
          <w:rFonts w:ascii="Arial" w:hAnsi="Arial" w:cs="Arial"/>
          <w:color w:val="000000" w:themeColor="text1"/>
        </w:rPr>
        <w:t>Fedsure</w:t>
      </w:r>
      <w:proofErr w:type="spellEnd"/>
      <w:r>
        <w:rPr>
          <w:rFonts w:ascii="Arial" w:hAnsi="Arial" w:cs="Arial"/>
          <w:color w:val="000000" w:themeColor="text1"/>
        </w:rPr>
        <w:t xml:space="preserve"> Life Building </w:t>
      </w:r>
    </w:p>
    <w:p w:rsidR="00201F31" w:rsidRPr="00C20DEE" w:rsidRDefault="00201F31" w:rsidP="00201F31">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t xml:space="preserve">                            </w:t>
      </w:r>
      <w:r>
        <w:rPr>
          <w:rFonts w:ascii="Arial" w:hAnsi="Arial" w:cs="Arial"/>
          <w:color w:val="000000" w:themeColor="text1"/>
        </w:rPr>
        <w:tab/>
        <w:t xml:space="preserve">      49 Charlotte </w:t>
      </w:r>
      <w:proofErr w:type="spellStart"/>
      <w:r>
        <w:rPr>
          <w:rFonts w:ascii="Arial" w:hAnsi="Arial" w:cs="Arial"/>
          <w:color w:val="000000" w:themeColor="text1"/>
        </w:rPr>
        <w:t>Maxeke</w:t>
      </w:r>
      <w:proofErr w:type="spellEnd"/>
      <w:r>
        <w:rPr>
          <w:rFonts w:ascii="Arial" w:hAnsi="Arial" w:cs="Arial"/>
          <w:color w:val="000000" w:themeColor="text1"/>
        </w:rPr>
        <w:t xml:space="preserve"> Street </w:t>
      </w:r>
      <w:r w:rsidRPr="00C20DEE">
        <w:rPr>
          <w:rFonts w:ascii="Arial" w:hAnsi="Arial" w:cs="Arial"/>
          <w:color w:val="000000" w:themeColor="text1"/>
        </w:rPr>
        <w:t xml:space="preserve"> </w:t>
      </w:r>
    </w:p>
    <w:p w:rsidR="00201F31" w:rsidRPr="00C20DEE" w:rsidRDefault="00201F31" w:rsidP="00201F31">
      <w:pPr>
        <w:tabs>
          <w:tab w:val="left" w:pos="2977"/>
        </w:tabs>
        <w:spacing w:line="360" w:lineRule="auto"/>
        <w:ind w:left="851" w:hanging="851"/>
        <w:rPr>
          <w:rFonts w:ascii="Arial" w:hAnsi="Arial" w:cs="Arial"/>
          <w:color w:val="000000" w:themeColor="text1"/>
        </w:rPr>
      </w:pPr>
      <w:r w:rsidRPr="00C20DEE">
        <w:rPr>
          <w:rFonts w:ascii="Arial" w:hAnsi="Arial" w:cs="Arial"/>
          <w:color w:val="000000" w:themeColor="text1"/>
        </w:rPr>
        <w:t xml:space="preserve">                                        </w:t>
      </w:r>
      <w:r>
        <w:rPr>
          <w:rFonts w:ascii="Arial" w:hAnsi="Arial" w:cs="Arial"/>
          <w:color w:val="000000" w:themeColor="text1"/>
        </w:rPr>
        <w:t xml:space="preserve"> </w:t>
      </w:r>
      <w:r>
        <w:rPr>
          <w:rFonts w:ascii="Arial" w:hAnsi="Arial" w:cs="Arial"/>
          <w:color w:val="000000" w:themeColor="text1"/>
        </w:rPr>
        <w:tab/>
        <w:t xml:space="preserve">      </w:t>
      </w:r>
      <w:r w:rsidRPr="00C20DEE">
        <w:rPr>
          <w:rFonts w:ascii="Arial" w:hAnsi="Arial" w:cs="Arial"/>
          <w:color w:val="000000" w:themeColor="text1"/>
        </w:rPr>
        <w:t xml:space="preserve">Bloemfontein </w:t>
      </w:r>
    </w:p>
    <w:p w:rsidR="005960F0" w:rsidRPr="00C20DEE" w:rsidRDefault="005960F0" w:rsidP="00201F31">
      <w:pPr>
        <w:spacing w:line="360" w:lineRule="auto"/>
        <w:rPr>
          <w:rFonts w:ascii="Arial" w:hAnsi="Arial" w:cs="Arial"/>
          <w:color w:val="000000" w:themeColor="text1"/>
        </w:rPr>
      </w:pPr>
      <w:r w:rsidRPr="00C20DEE">
        <w:rPr>
          <w:rFonts w:ascii="Arial" w:hAnsi="Arial" w:cs="Arial"/>
          <w:color w:val="000000" w:themeColor="text1"/>
        </w:rPr>
        <w:tab/>
      </w:r>
      <w:r w:rsidRPr="00C20DEE">
        <w:rPr>
          <w:rFonts w:ascii="Arial" w:hAnsi="Arial" w:cs="Arial"/>
          <w:color w:val="000000" w:themeColor="text1"/>
        </w:rPr>
        <w:tab/>
      </w:r>
    </w:p>
    <w:p w:rsidR="005960F0" w:rsidRPr="00AE0369" w:rsidRDefault="005960F0" w:rsidP="003F2617">
      <w:pPr>
        <w:spacing w:line="360" w:lineRule="auto"/>
        <w:ind w:left="851" w:hanging="851"/>
        <w:jc w:val="both"/>
        <w:rPr>
          <w:rFonts w:ascii="Arial" w:hAnsi="Arial" w:cs="Arial"/>
          <w:sz w:val="28"/>
          <w:szCs w:val="28"/>
        </w:rPr>
      </w:pPr>
    </w:p>
    <w:sectPr w:rsidR="005960F0" w:rsidRPr="00AE0369" w:rsidSect="004208B5">
      <w:headerReference w:type="default" r:id="rId10"/>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786" w:rsidRDefault="00E41786" w:rsidP="00DA5395">
      <w:r>
        <w:separator/>
      </w:r>
    </w:p>
  </w:endnote>
  <w:endnote w:type="continuationSeparator" w:id="0">
    <w:p w:rsidR="00E41786" w:rsidRDefault="00E41786" w:rsidP="00DA5395">
      <w:r>
        <w:continuationSeparator/>
      </w:r>
    </w:p>
  </w:endnote>
  <w:endnote w:type="continuationNotice" w:id="1">
    <w:p w:rsidR="00E41786" w:rsidRDefault="00E41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786" w:rsidRDefault="00E41786" w:rsidP="00DA5395">
      <w:r>
        <w:separator/>
      </w:r>
    </w:p>
  </w:footnote>
  <w:footnote w:type="continuationSeparator" w:id="0">
    <w:p w:rsidR="00E41786" w:rsidRDefault="00E41786" w:rsidP="00DA5395">
      <w:r>
        <w:continuationSeparator/>
      </w:r>
    </w:p>
  </w:footnote>
  <w:footnote w:type="continuationNotice" w:id="1">
    <w:p w:rsidR="00E41786" w:rsidRDefault="00E41786"/>
  </w:footnote>
  <w:footnote w:id="2">
    <w:p w:rsidR="008C733D" w:rsidRPr="00F26219" w:rsidRDefault="008C733D">
      <w:pPr>
        <w:pStyle w:val="FootnoteText"/>
        <w:rPr>
          <w:lang w:val="en-ZA"/>
        </w:rPr>
      </w:pPr>
      <w:r>
        <w:rPr>
          <w:rStyle w:val="FootnoteReference"/>
        </w:rPr>
        <w:footnoteRef/>
      </w:r>
      <w:r>
        <w:t xml:space="preserve"> </w:t>
      </w:r>
      <w:r>
        <w:rPr>
          <w:lang w:val="en-ZA"/>
        </w:rPr>
        <w:t>Para 2.1.2.</w:t>
      </w:r>
    </w:p>
  </w:footnote>
  <w:footnote w:id="3">
    <w:p w:rsidR="008C733D" w:rsidRPr="00D333ED" w:rsidRDefault="008C733D">
      <w:pPr>
        <w:pStyle w:val="FootnoteText"/>
        <w:rPr>
          <w:lang w:val="en-ZA"/>
        </w:rPr>
      </w:pPr>
      <w:r>
        <w:rPr>
          <w:rStyle w:val="FootnoteReference"/>
        </w:rPr>
        <w:footnoteRef/>
      </w:r>
      <w:r>
        <w:t xml:space="preserve"> </w:t>
      </w:r>
      <w:r>
        <w:rPr>
          <w:lang w:val="en-ZA"/>
        </w:rPr>
        <w:t>Para 2.1.3.</w:t>
      </w:r>
    </w:p>
  </w:footnote>
  <w:footnote w:id="4">
    <w:p w:rsidR="008C733D" w:rsidRPr="00571DE9" w:rsidRDefault="008C733D">
      <w:pPr>
        <w:pStyle w:val="FootnoteText"/>
        <w:rPr>
          <w:lang w:val="en-ZA"/>
        </w:rPr>
      </w:pPr>
      <w:r>
        <w:rPr>
          <w:rStyle w:val="FootnoteReference"/>
        </w:rPr>
        <w:footnoteRef/>
      </w:r>
      <w:r>
        <w:t xml:space="preserve"> </w:t>
      </w:r>
      <w:r>
        <w:rPr>
          <w:lang w:val="en-ZA"/>
        </w:rPr>
        <w:t>Para 2.1.4.</w:t>
      </w:r>
    </w:p>
  </w:footnote>
  <w:footnote w:id="5">
    <w:p w:rsidR="008C733D" w:rsidRPr="005E5493" w:rsidRDefault="008C733D">
      <w:pPr>
        <w:pStyle w:val="FootnoteText"/>
        <w:rPr>
          <w:lang w:val="en-ZA"/>
        </w:rPr>
      </w:pPr>
      <w:r>
        <w:rPr>
          <w:rStyle w:val="FootnoteReference"/>
        </w:rPr>
        <w:footnoteRef/>
      </w:r>
      <w:r>
        <w:t xml:space="preserve"> </w:t>
      </w:r>
      <w:r>
        <w:rPr>
          <w:lang w:val="en-ZA"/>
        </w:rPr>
        <w:t>Para 2.1.5.</w:t>
      </w:r>
    </w:p>
  </w:footnote>
  <w:footnote w:id="6">
    <w:p w:rsidR="008C733D" w:rsidRPr="00761428" w:rsidRDefault="008C733D">
      <w:pPr>
        <w:pStyle w:val="FootnoteText"/>
        <w:rPr>
          <w:lang w:val="en-ZA"/>
        </w:rPr>
      </w:pPr>
      <w:r>
        <w:rPr>
          <w:rStyle w:val="FootnoteReference"/>
        </w:rPr>
        <w:footnoteRef/>
      </w:r>
      <w:r>
        <w:t xml:space="preserve"> </w:t>
      </w:r>
      <w:r>
        <w:rPr>
          <w:lang w:val="en-ZA"/>
        </w:rPr>
        <w:t>Para 2.1.6.</w:t>
      </w:r>
    </w:p>
  </w:footnote>
  <w:footnote w:id="7">
    <w:p w:rsidR="008C733D" w:rsidRPr="00C14C88" w:rsidRDefault="008C733D">
      <w:pPr>
        <w:pStyle w:val="FootnoteText"/>
        <w:rPr>
          <w:lang w:val="en-ZA"/>
        </w:rPr>
      </w:pPr>
      <w:r>
        <w:rPr>
          <w:rStyle w:val="FootnoteReference"/>
        </w:rPr>
        <w:footnoteRef/>
      </w:r>
      <w:r>
        <w:t xml:space="preserve"> </w:t>
      </w:r>
      <w:r>
        <w:rPr>
          <w:lang w:val="en-ZA"/>
        </w:rPr>
        <w:t>Para 7.5.</w:t>
      </w:r>
    </w:p>
  </w:footnote>
  <w:footnote w:id="8">
    <w:p w:rsidR="008C733D" w:rsidRPr="00DD2AFF" w:rsidRDefault="008C733D">
      <w:pPr>
        <w:pStyle w:val="FootnoteText"/>
        <w:rPr>
          <w:lang w:val="en-ZA"/>
        </w:rPr>
      </w:pPr>
      <w:r>
        <w:rPr>
          <w:rStyle w:val="FootnoteReference"/>
        </w:rPr>
        <w:footnoteRef/>
      </w:r>
      <w:r>
        <w:t xml:space="preserve"> </w:t>
      </w:r>
      <w:r>
        <w:rPr>
          <w:lang w:val="en-ZA"/>
        </w:rPr>
        <w:t>Para 7.2.</w:t>
      </w:r>
    </w:p>
  </w:footnote>
  <w:footnote w:id="9">
    <w:p w:rsidR="008C733D" w:rsidRPr="00C36758" w:rsidRDefault="008C733D">
      <w:pPr>
        <w:pStyle w:val="FootnoteText"/>
        <w:rPr>
          <w:lang w:val="en-ZA"/>
        </w:rPr>
      </w:pPr>
      <w:r>
        <w:rPr>
          <w:rStyle w:val="FootnoteReference"/>
        </w:rPr>
        <w:footnoteRef/>
      </w:r>
      <w:r>
        <w:t xml:space="preserve"> </w:t>
      </w:r>
      <w:r>
        <w:rPr>
          <w:lang w:val="en-ZA"/>
        </w:rPr>
        <w:t>Para 7.1.</w:t>
      </w:r>
    </w:p>
  </w:footnote>
  <w:footnote w:id="10">
    <w:p w:rsidR="008C733D" w:rsidRPr="000E2550" w:rsidRDefault="008C733D">
      <w:pPr>
        <w:pStyle w:val="FootnoteText"/>
        <w:rPr>
          <w:lang w:val="en-ZA"/>
        </w:rPr>
      </w:pPr>
      <w:r>
        <w:rPr>
          <w:rStyle w:val="FootnoteReference"/>
        </w:rPr>
        <w:footnoteRef/>
      </w:r>
      <w:r>
        <w:t xml:space="preserve"> </w:t>
      </w:r>
      <w:r>
        <w:rPr>
          <w:lang w:val="en-ZA"/>
        </w:rPr>
        <w:t>Prayer 1 of the notice of motion.</w:t>
      </w:r>
    </w:p>
  </w:footnote>
  <w:footnote w:id="11">
    <w:p w:rsidR="008C733D" w:rsidRPr="005531A8" w:rsidRDefault="008C733D">
      <w:pPr>
        <w:pStyle w:val="FootnoteText"/>
        <w:rPr>
          <w:lang w:val="en-ZA"/>
        </w:rPr>
      </w:pPr>
      <w:r>
        <w:rPr>
          <w:rStyle w:val="FootnoteReference"/>
        </w:rPr>
        <w:footnoteRef/>
      </w:r>
      <w:r>
        <w:t xml:space="preserve"> </w:t>
      </w:r>
      <w:r>
        <w:rPr>
          <w:lang w:val="en-ZA"/>
        </w:rPr>
        <w:t>Para 12.1 of the founding affidavit.</w:t>
      </w:r>
    </w:p>
  </w:footnote>
  <w:footnote w:id="12">
    <w:p w:rsidR="008C733D" w:rsidRPr="00B30809" w:rsidRDefault="008C733D">
      <w:pPr>
        <w:pStyle w:val="FootnoteText"/>
        <w:rPr>
          <w:lang w:val="en-ZA"/>
        </w:rPr>
      </w:pPr>
      <w:r>
        <w:rPr>
          <w:rStyle w:val="FootnoteReference"/>
        </w:rPr>
        <w:footnoteRef/>
      </w:r>
      <w:r>
        <w:t xml:space="preserve"> </w:t>
      </w:r>
      <w:r>
        <w:rPr>
          <w:lang w:val="en-ZA"/>
        </w:rPr>
        <w:t>Applicants’ heads of argument: paras 6.5.8 and 6.5.9.</w:t>
      </w:r>
    </w:p>
  </w:footnote>
  <w:footnote w:id="13">
    <w:p w:rsidR="008C733D" w:rsidRPr="003A6230" w:rsidRDefault="008C733D">
      <w:pPr>
        <w:pStyle w:val="FootnoteText"/>
        <w:rPr>
          <w:lang w:val="en-ZA"/>
        </w:rPr>
      </w:pPr>
      <w:r>
        <w:rPr>
          <w:rStyle w:val="FootnoteReference"/>
        </w:rPr>
        <w:footnoteRef/>
      </w:r>
      <w:r>
        <w:t xml:space="preserve"> </w:t>
      </w:r>
      <w:r>
        <w:rPr>
          <w:lang w:val="en-ZA"/>
        </w:rPr>
        <w:t>(CCT 243/21)</w:t>
      </w:r>
      <w:r w:rsidR="00B70963">
        <w:rPr>
          <w:lang w:val="en-ZA"/>
        </w:rPr>
        <w:t xml:space="preserve"> </w:t>
      </w:r>
      <w:r>
        <w:rPr>
          <w:lang w:val="en-ZA"/>
        </w:rPr>
        <w:t>[2022] ZACC 32 (2022) para 39.</w:t>
      </w:r>
    </w:p>
  </w:footnote>
  <w:footnote w:id="14">
    <w:p w:rsidR="008C733D" w:rsidRPr="00A735AF" w:rsidRDefault="008C733D">
      <w:pPr>
        <w:pStyle w:val="FootnoteText"/>
        <w:rPr>
          <w:lang w:val="en-ZA"/>
        </w:rPr>
      </w:pPr>
      <w:r>
        <w:rPr>
          <w:rStyle w:val="FootnoteReference"/>
        </w:rPr>
        <w:footnoteRef/>
      </w:r>
      <w:r>
        <w:t xml:space="preserve"> </w:t>
      </w:r>
      <w:proofErr w:type="spellStart"/>
      <w:r>
        <w:rPr>
          <w:lang w:val="en-ZA"/>
        </w:rPr>
        <w:t>Hattingh</w:t>
      </w:r>
      <w:proofErr w:type="spellEnd"/>
      <w:r>
        <w:rPr>
          <w:lang w:val="en-ZA"/>
        </w:rPr>
        <w:t xml:space="preserve"> v </w:t>
      </w:r>
      <w:proofErr w:type="spellStart"/>
      <w:r>
        <w:rPr>
          <w:lang w:val="en-ZA"/>
        </w:rPr>
        <w:t>Juta</w:t>
      </w:r>
      <w:proofErr w:type="spellEnd"/>
      <w:r>
        <w:rPr>
          <w:lang w:val="en-ZA"/>
        </w:rPr>
        <w:t xml:space="preserve"> [2013] ZACC 5; 2013 (3) SA 275 (CC).</w:t>
      </w:r>
    </w:p>
  </w:footnote>
  <w:footnote w:id="15">
    <w:p w:rsidR="00F41DE3" w:rsidRPr="00F41DE3" w:rsidRDefault="00F41DE3">
      <w:pPr>
        <w:pStyle w:val="FootnoteText"/>
        <w:rPr>
          <w:lang w:val="en-ZA"/>
        </w:rPr>
      </w:pPr>
      <w:r>
        <w:rPr>
          <w:rStyle w:val="FootnoteReference"/>
        </w:rPr>
        <w:footnoteRef/>
      </w:r>
      <w:r>
        <w:t xml:space="preserve"> </w:t>
      </w:r>
      <w:r w:rsidRPr="00E43A8B">
        <w:rPr>
          <w:i/>
          <w:lang w:val="en-ZA"/>
        </w:rPr>
        <w:t>Supra.</w:t>
      </w:r>
    </w:p>
  </w:footnote>
  <w:footnote w:id="16">
    <w:p w:rsidR="008C733D" w:rsidRPr="004654DF" w:rsidRDefault="008C733D" w:rsidP="00B70963">
      <w:pPr>
        <w:autoSpaceDE w:val="0"/>
        <w:autoSpaceDN w:val="0"/>
        <w:adjustRightInd w:val="0"/>
        <w:rPr>
          <w:lang w:val="en-ZA"/>
        </w:rPr>
      </w:pPr>
      <w:r w:rsidRPr="004654DF">
        <w:rPr>
          <w:rStyle w:val="FootnoteReference"/>
          <w:rFonts w:ascii="Arial" w:hAnsi="Arial" w:cs="Arial"/>
          <w:i/>
          <w:sz w:val="20"/>
          <w:szCs w:val="20"/>
        </w:rPr>
        <w:footnoteRef/>
      </w:r>
      <w:r w:rsidRPr="00225396">
        <w:rPr>
          <w:rFonts w:ascii="Arial" w:eastAsiaTheme="minorHAnsi" w:hAnsi="Arial" w:cs="Arial"/>
          <w:bCs/>
          <w:sz w:val="20"/>
          <w:szCs w:val="20"/>
          <w:lang w:val="en-ZA" w:eastAsia="en-US"/>
        </w:rPr>
        <w:t>(28/10) [2010] ZASCA 167 (1 December 2010</w:t>
      </w:r>
      <w:r w:rsidRPr="004654DF">
        <w:rPr>
          <w:rFonts w:ascii="Arial" w:eastAsiaTheme="minorHAnsi" w:hAnsi="Arial" w:cs="Arial"/>
          <w:bCs/>
          <w:i/>
          <w:sz w:val="20"/>
          <w:szCs w:val="20"/>
          <w:lang w:val="en-ZA" w:eastAsia="en-US"/>
        </w:rPr>
        <w:t>).</w:t>
      </w:r>
    </w:p>
  </w:footnote>
  <w:footnote w:id="17">
    <w:p w:rsidR="008C733D" w:rsidRPr="009A5CBB" w:rsidRDefault="008C733D">
      <w:pPr>
        <w:pStyle w:val="FootnoteText"/>
        <w:rPr>
          <w:lang w:val="en-ZA"/>
        </w:rPr>
      </w:pPr>
      <w:r>
        <w:rPr>
          <w:rStyle w:val="FootnoteReference"/>
        </w:rPr>
        <w:footnoteRef/>
      </w:r>
      <w:proofErr w:type="spellStart"/>
      <w:r w:rsidRPr="00225396">
        <w:t>Kuzwayo</w:t>
      </w:r>
      <w:proofErr w:type="spellEnd"/>
      <w:r>
        <w:t>, s</w:t>
      </w:r>
      <w:proofErr w:type="spellStart"/>
      <w:r w:rsidRPr="009A5CBB">
        <w:rPr>
          <w:i/>
          <w:lang w:val="en-ZA"/>
        </w:rPr>
        <w:t>upra</w:t>
      </w:r>
      <w:proofErr w:type="spellEnd"/>
      <w:r>
        <w:rPr>
          <w:lang w:val="en-ZA"/>
        </w:rPr>
        <w:t>.</w:t>
      </w:r>
    </w:p>
  </w:footnote>
  <w:footnote w:id="18">
    <w:p w:rsidR="00ED6360" w:rsidRPr="00ED6360" w:rsidRDefault="00ED6360">
      <w:pPr>
        <w:pStyle w:val="FootnoteText"/>
        <w:rPr>
          <w:lang w:val="en-ZA"/>
        </w:rPr>
      </w:pPr>
      <w:r>
        <w:rPr>
          <w:rStyle w:val="FootnoteReference"/>
        </w:rPr>
        <w:footnoteRef/>
      </w:r>
      <w:r>
        <w:t xml:space="preserve"> </w:t>
      </w:r>
      <w:proofErr w:type="spellStart"/>
      <w:r>
        <w:t>Kuzwayo</w:t>
      </w:r>
      <w:proofErr w:type="spellEnd"/>
      <w:r>
        <w:t>, supra para 28.</w:t>
      </w:r>
    </w:p>
  </w:footnote>
  <w:footnote w:id="19">
    <w:p w:rsidR="004F54EA" w:rsidRPr="004F54EA" w:rsidRDefault="004F54EA">
      <w:pPr>
        <w:pStyle w:val="FootnoteText"/>
        <w:rPr>
          <w:lang w:val="en-ZA"/>
        </w:rPr>
      </w:pPr>
      <w:r>
        <w:rPr>
          <w:rStyle w:val="FootnoteReference"/>
        </w:rPr>
        <w:footnoteRef/>
      </w:r>
      <w:r>
        <w:t xml:space="preserve"> </w:t>
      </w:r>
      <w:r>
        <w:rPr>
          <w:lang w:val="en-ZA"/>
        </w:rPr>
        <w:t>Kuzwayo, supra para 29.</w:t>
      </w:r>
    </w:p>
  </w:footnote>
  <w:footnote w:id="20">
    <w:p w:rsidR="008C733D" w:rsidRPr="008076CB" w:rsidRDefault="008C733D">
      <w:pPr>
        <w:pStyle w:val="FootnoteText"/>
        <w:rPr>
          <w:lang w:val="en-ZA"/>
        </w:rPr>
      </w:pPr>
      <w:r>
        <w:rPr>
          <w:rStyle w:val="FootnoteReference"/>
        </w:rPr>
        <w:footnoteRef/>
      </w:r>
      <w:r>
        <w:t xml:space="preserve"> </w:t>
      </w:r>
      <w:r w:rsidRPr="00225396">
        <w:rPr>
          <w:lang w:val="en-ZA"/>
        </w:rPr>
        <w:t>Section 1</w:t>
      </w:r>
      <w:r>
        <w:rPr>
          <w:lang w:val="en-ZA"/>
        </w:rPr>
        <w:t>.</w:t>
      </w:r>
    </w:p>
  </w:footnote>
  <w:footnote w:id="21">
    <w:p w:rsidR="00A83A8A" w:rsidRPr="00A83A8A" w:rsidRDefault="00A83A8A">
      <w:pPr>
        <w:pStyle w:val="FootnoteText"/>
        <w:rPr>
          <w:lang w:val="en-ZA"/>
        </w:rPr>
      </w:pPr>
      <w:r>
        <w:rPr>
          <w:rStyle w:val="FootnoteReference"/>
        </w:rPr>
        <w:footnoteRef/>
      </w:r>
      <w:r>
        <w:t xml:space="preserve"> </w:t>
      </w:r>
      <w:r w:rsidR="00171DB7">
        <w:rPr>
          <w:lang w:val="en-ZA"/>
        </w:rPr>
        <w:t>Nzimande and Another vs Nzimande and Others (24490/12) [2012] ZAGPJHC 223 (11 September 2012)</w:t>
      </w:r>
    </w:p>
  </w:footnote>
  <w:footnote w:id="22">
    <w:p w:rsidR="00FF4AF9" w:rsidRPr="00FF4AF9" w:rsidRDefault="00FF4AF9">
      <w:pPr>
        <w:pStyle w:val="FootnoteText"/>
        <w:rPr>
          <w:lang w:val="en-ZA"/>
        </w:rPr>
      </w:pPr>
      <w:r>
        <w:rPr>
          <w:rStyle w:val="FootnoteReference"/>
        </w:rPr>
        <w:footnoteRef/>
      </w:r>
      <w:r>
        <w:t xml:space="preserve"> </w:t>
      </w:r>
      <w:r>
        <w:rPr>
          <w:lang w:val="en-ZA"/>
        </w:rPr>
        <w:t>Section 3 of the Conversion Act.</w:t>
      </w:r>
    </w:p>
  </w:footnote>
  <w:footnote w:id="23">
    <w:p w:rsidR="009C056A" w:rsidRPr="009C056A" w:rsidRDefault="009C056A">
      <w:pPr>
        <w:pStyle w:val="FootnoteText"/>
        <w:rPr>
          <w:lang w:val="en-ZA"/>
        </w:rPr>
      </w:pPr>
      <w:r>
        <w:rPr>
          <w:rStyle w:val="FootnoteReference"/>
        </w:rPr>
        <w:footnoteRef/>
      </w:r>
      <w:r>
        <w:t xml:space="preserve"> </w:t>
      </w:r>
      <w:r>
        <w:rPr>
          <w:lang w:val="en-ZA"/>
        </w:rPr>
        <w:t>Section 3 of the</w:t>
      </w:r>
      <w:r w:rsidR="00A31C1A">
        <w:rPr>
          <w:lang w:val="en-ZA"/>
        </w:rPr>
        <w:t xml:space="preserve"> Conversion</w:t>
      </w:r>
      <w:r>
        <w:rPr>
          <w:lang w:val="en-ZA"/>
        </w:rPr>
        <w:t xml:space="preserve"> Act.</w:t>
      </w:r>
    </w:p>
  </w:footnote>
  <w:footnote w:id="24">
    <w:p w:rsidR="00712BED" w:rsidRPr="00712BED" w:rsidRDefault="00712BED">
      <w:pPr>
        <w:pStyle w:val="FootnoteText"/>
        <w:rPr>
          <w:lang w:val="en-ZA"/>
        </w:rPr>
      </w:pPr>
      <w:r>
        <w:rPr>
          <w:rStyle w:val="FootnoteReference"/>
        </w:rPr>
        <w:footnoteRef/>
      </w:r>
      <w:r>
        <w:t xml:space="preserve"> </w:t>
      </w:r>
      <w:r>
        <w:rPr>
          <w:lang w:val="en-ZA"/>
        </w:rPr>
        <w:t>Para 7.4: Applicants’ Answering and Replying Affidavit.</w:t>
      </w:r>
    </w:p>
  </w:footnote>
  <w:footnote w:id="25">
    <w:p w:rsidR="00551B93" w:rsidRPr="00551B93" w:rsidRDefault="00551B93">
      <w:pPr>
        <w:pStyle w:val="FootnoteText"/>
        <w:rPr>
          <w:lang w:val="en-ZA"/>
        </w:rPr>
      </w:pPr>
      <w:r>
        <w:rPr>
          <w:rStyle w:val="FootnoteReference"/>
        </w:rPr>
        <w:footnoteRef/>
      </w:r>
      <w:r>
        <w:t xml:space="preserve"> </w:t>
      </w:r>
      <w:r>
        <w:rPr>
          <w:lang w:val="en-ZA"/>
        </w:rPr>
        <w:t>Para 2.1.5</w:t>
      </w:r>
      <w:r w:rsidR="00F134AF">
        <w:rPr>
          <w:lang w:val="en-ZA"/>
        </w:rPr>
        <w:t>: Applicants’ Answering and Replying Affidavit.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722766"/>
      <w:docPartObj>
        <w:docPartGallery w:val="Page Numbers (Top of Page)"/>
        <w:docPartUnique/>
      </w:docPartObj>
    </w:sdtPr>
    <w:sdtEndPr>
      <w:rPr>
        <w:noProof/>
      </w:rPr>
    </w:sdtEndPr>
    <w:sdtContent>
      <w:p w:rsidR="008C733D" w:rsidRDefault="008C733D">
        <w:pPr>
          <w:pStyle w:val="Header"/>
          <w:jc w:val="right"/>
        </w:pPr>
        <w:r>
          <w:fldChar w:fldCharType="begin"/>
        </w:r>
        <w:r>
          <w:instrText xml:space="preserve"> PAGE   \* MERGEFORMAT </w:instrText>
        </w:r>
        <w:r>
          <w:fldChar w:fldCharType="separate"/>
        </w:r>
        <w:r w:rsidR="0023066B">
          <w:rPr>
            <w:noProof/>
          </w:rPr>
          <w:t>11</w:t>
        </w:r>
        <w:r>
          <w:rPr>
            <w:noProof/>
          </w:rPr>
          <w:fldChar w:fldCharType="end"/>
        </w:r>
      </w:p>
    </w:sdtContent>
  </w:sdt>
  <w:p w:rsidR="008C733D" w:rsidRDefault="008C73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233"/>
    <w:multiLevelType w:val="hybridMultilevel"/>
    <w:tmpl w:val="3FAE639E"/>
    <w:lvl w:ilvl="0" w:tplc="0F8478AC">
      <w:start w:val="1"/>
      <w:numFmt w:val="decimal"/>
      <w:lvlText w:val="[%1]"/>
      <w:lvlJc w:val="left"/>
      <w:pPr>
        <w:ind w:left="720" w:hanging="360"/>
      </w:pPr>
      <w:rPr>
        <w:rFonts w:hint="default"/>
        <w:strike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9820F1"/>
    <w:multiLevelType w:val="multilevel"/>
    <w:tmpl w:val="F26A4DA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AC35F5B"/>
    <w:multiLevelType w:val="hybridMultilevel"/>
    <w:tmpl w:val="04BCFFB0"/>
    <w:lvl w:ilvl="0" w:tplc="CF1AD304">
      <w:start w:val="89"/>
      <w:numFmt w:val="decimal"/>
      <w:lvlText w:val="%1"/>
      <w:lvlJc w:val="left"/>
      <w:pPr>
        <w:ind w:left="309"/>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1" w:tplc="DAA452BA">
      <w:start w:val="1"/>
      <w:numFmt w:val="decimal"/>
      <w:lvlText w:val="(%2)"/>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43AEDF7C">
      <w:start w:val="1"/>
      <w:numFmt w:val="lowerLetter"/>
      <w:lvlText w:val="(%3)"/>
      <w:lvlJc w:val="left"/>
      <w:pPr>
        <w:ind w:left="182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5288A39C">
      <w:start w:val="1"/>
      <w:numFmt w:val="decimal"/>
      <w:lvlText w:val="%4"/>
      <w:lvlJc w:val="left"/>
      <w:pPr>
        <w:ind w:left="15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11B4914C">
      <w:start w:val="1"/>
      <w:numFmt w:val="lowerLetter"/>
      <w:lvlText w:val="%5"/>
      <w:lvlJc w:val="left"/>
      <w:pPr>
        <w:ind w:left="22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81D43A5C">
      <w:start w:val="1"/>
      <w:numFmt w:val="lowerRoman"/>
      <w:lvlText w:val="%6"/>
      <w:lvlJc w:val="left"/>
      <w:pPr>
        <w:ind w:left="299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31D87456">
      <w:start w:val="1"/>
      <w:numFmt w:val="decimal"/>
      <w:lvlText w:val="%7"/>
      <w:lvlJc w:val="left"/>
      <w:pPr>
        <w:ind w:left="371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937EE536">
      <w:start w:val="1"/>
      <w:numFmt w:val="lowerLetter"/>
      <w:lvlText w:val="%8"/>
      <w:lvlJc w:val="left"/>
      <w:pPr>
        <w:ind w:left="443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0F5A62E8">
      <w:start w:val="1"/>
      <w:numFmt w:val="lowerRoman"/>
      <w:lvlText w:val="%9"/>
      <w:lvlJc w:val="left"/>
      <w:pPr>
        <w:ind w:left="51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280322DE"/>
    <w:multiLevelType w:val="hybridMultilevel"/>
    <w:tmpl w:val="466642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AFD5810"/>
    <w:multiLevelType w:val="hybridMultilevel"/>
    <w:tmpl w:val="8668C52A"/>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3A2127"/>
    <w:multiLevelType w:val="hybridMultilevel"/>
    <w:tmpl w:val="DB00352C"/>
    <w:lvl w:ilvl="0" w:tplc="B15A36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05F77F1"/>
    <w:multiLevelType w:val="hybridMultilevel"/>
    <w:tmpl w:val="78329DF2"/>
    <w:lvl w:ilvl="0" w:tplc="3F60C0EA">
      <w:start w:val="1"/>
      <w:numFmt w:val="decimal"/>
      <w:lvlText w:val="%1."/>
      <w:lvlJc w:val="left"/>
      <w:pPr>
        <w:ind w:left="644" w:hanging="360"/>
      </w:pPr>
      <w:rPr>
        <w:rFonts w:hint="default"/>
        <w:i w:val="0"/>
      </w:rPr>
    </w:lvl>
    <w:lvl w:ilvl="1" w:tplc="CC0A19C6">
      <w:start w:val="1"/>
      <w:numFmt w:val="lowerLetter"/>
      <w:lvlText w:val="%2."/>
      <w:lvlJc w:val="left"/>
      <w:pPr>
        <w:ind w:left="1440" w:hanging="360"/>
      </w:pPr>
      <w:rPr>
        <w:sz w:val="20"/>
        <w:szCs w:val="20"/>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1F24E39"/>
    <w:multiLevelType w:val="hybridMultilevel"/>
    <w:tmpl w:val="EB8853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5D07454"/>
    <w:multiLevelType w:val="hybridMultilevel"/>
    <w:tmpl w:val="424A65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1442E51"/>
    <w:multiLevelType w:val="hybridMultilevel"/>
    <w:tmpl w:val="C0B205E6"/>
    <w:lvl w:ilvl="0" w:tplc="B5D2CCC6">
      <w:start w:val="1"/>
      <w:numFmt w:val="decimal"/>
      <w:lvlText w:val="%1."/>
      <w:lvlJc w:val="left"/>
      <w:pPr>
        <w:ind w:left="554" w:hanging="360"/>
      </w:pPr>
      <w:rPr>
        <w:rFonts w:ascii="Arial" w:eastAsia="Times New Roman" w:hAnsi="Arial" w:cs="Arial"/>
      </w:rPr>
    </w:lvl>
    <w:lvl w:ilvl="1" w:tplc="1C090019" w:tentative="1">
      <w:start w:val="1"/>
      <w:numFmt w:val="lowerLetter"/>
      <w:lvlText w:val="%2."/>
      <w:lvlJc w:val="left"/>
      <w:pPr>
        <w:ind w:left="1274" w:hanging="360"/>
      </w:pPr>
    </w:lvl>
    <w:lvl w:ilvl="2" w:tplc="1C09001B" w:tentative="1">
      <w:start w:val="1"/>
      <w:numFmt w:val="lowerRoman"/>
      <w:lvlText w:val="%3."/>
      <w:lvlJc w:val="right"/>
      <w:pPr>
        <w:ind w:left="1994" w:hanging="180"/>
      </w:pPr>
    </w:lvl>
    <w:lvl w:ilvl="3" w:tplc="1C09000F" w:tentative="1">
      <w:start w:val="1"/>
      <w:numFmt w:val="decimal"/>
      <w:lvlText w:val="%4."/>
      <w:lvlJc w:val="left"/>
      <w:pPr>
        <w:ind w:left="2714" w:hanging="360"/>
      </w:pPr>
    </w:lvl>
    <w:lvl w:ilvl="4" w:tplc="1C090019" w:tentative="1">
      <w:start w:val="1"/>
      <w:numFmt w:val="lowerLetter"/>
      <w:lvlText w:val="%5."/>
      <w:lvlJc w:val="left"/>
      <w:pPr>
        <w:ind w:left="3434" w:hanging="360"/>
      </w:pPr>
    </w:lvl>
    <w:lvl w:ilvl="5" w:tplc="1C09001B" w:tentative="1">
      <w:start w:val="1"/>
      <w:numFmt w:val="lowerRoman"/>
      <w:lvlText w:val="%6."/>
      <w:lvlJc w:val="right"/>
      <w:pPr>
        <w:ind w:left="4154" w:hanging="180"/>
      </w:pPr>
    </w:lvl>
    <w:lvl w:ilvl="6" w:tplc="1C09000F" w:tentative="1">
      <w:start w:val="1"/>
      <w:numFmt w:val="decimal"/>
      <w:lvlText w:val="%7."/>
      <w:lvlJc w:val="left"/>
      <w:pPr>
        <w:ind w:left="4874" w:hanging="360"/>
      </w:pPr>
    </w:lvl>
    <w:lvl w:ilvl="7" w:tplc="1C090019" w:tentative="1">
      <w:start w:val="1"/>
      <w:numFmt w:val="lowerLetter"/>
      <w:lvlText w:val="%8."/>
      <w:lvlJc w:val="left"/>
      <w:pPr>
        <w:ind w:left="5594" w:hanging="360"/>
      </w:pPr>
    </w:lvl>
    <w:lvl w:ilvl="8" w:tplc="1C09001B" w:tentative="1">
      <w:start w:val="1"/>
      <w:numFmt w:val="lowerRoman"/>
      <w:lvlText w:val="%9."/>
      <w:lvlJc w:val="right"/>
      <w:pPr>
        <w:ind w:left="6314" w:hanging="180"/>
      </w:pPr>
    </w:lvl>
  </w:abstractNum>
  <w:abstractNum w:abstractNumId="10" w15:restartNumberingAfterBreak="0">
    <w:nsid w:val="694416D9"/>
    <w:multiLevelType w:val="multilevel"/>
    <w:tmpl w:val="78E4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423919"/>
    <w:multiLevelType w:val="hybridMultilevel"/>
    <w:tmpl w:val="81F40AC8"/>
    <w:lvl w:ilvl="0" w:tplc="888CEBCC">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2" w15:restartNumberingAfterBreak="0">
    <w:nsid w:val="6BE03973"/>
    <w:multiLevelType w:val="hybridMultilevel"/>
    <w:tmpl w:val="64DEFACA"/>
    <w:lvl w:ilvl="0" w:tplc="61EE4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E0C21EF"/>
    <w:multiLevelType w:val="multilevel"/>
    <w:tmpl w:val="206C269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F195D40"/>
    <w:multiLevelType w:val="hybridMultilevel"/>
    <w:tmpl w:val="6BE00970"/>
    <w:lvl w:ilvl="0" w:tplc="67EA116E">
      <w:start w:val="1"/>
      <w:numFmt w:val="decimal"/>
      <w:lvlText w:val="[%1]"/>
      <w:lvlJc w:val="left"/>
      <w:pPr>
        <w:ind w:left="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FA422A0">
      <w:start w:val="1"/>
      <w:numFmt w:val="lowerLetter"/>
      <w:lvlText w:val="%2"/>
      <w:lvlJc w:val="left"/>
      <w:pPr>
        <w:ind w:left="11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3766854">
      <w:start w:val="1"/>
      <w:numFmt w:val="lowerRoman"/>
      <w:lvlText w:val="%3"/>
      <w:lvlJc w:val="left"/>
      <w:pPr>
        <w:ind w:left="18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2403B96">
      <w:start w:val="1"/>
      <w:numFmt w:val="decimal"/>
      <w:lvlText w:val="%4"/>
      <w:lvlJc w:val="left"/>
      <w:pPr>
        <w:ind w:left="25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2F68042">
      <w:start w:val="1"/>
      <w:numFmt w:val="lowerLetter"/>
      <w:lvlText w:val="%5"/>
      <w:lvlJc w:val="left"/>
      <w:pPr>
        <w:ind w:left="32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CA8D204">
      <w:start w:val="1"/>
      <w:numFmt w:val="lowerRoman"/>
      <w:lvlText w:val="%6"/>
      <w:lvlJc w:val="left"/>
      <w:pPr>
        <w:ind w:left="39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53AF326">
      <w:start w:val="1"/>
      <w:numFmt w:val="decimal"/>
      <w:lvlText w:val="%7"/>
      <w:lvlJc w:val="left"/>
      <w:pPr>
        <w:ind w:left="47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C6F104">
      <w:start w:val="1"/>
      <w:numFmt w:val="lowerLetter"/>
      <w:lvlText w:val="%8"/>
      <w:lvlJc w:val="left"/>
      <w:pPr>
        <w:ind w:left="54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BB48C86">
      <w:start w:val="1"/>
      <w:numFmt w:val="lowerRoman"/>
      <w:lvlText w:val="%9"/>
      <w:lvlJc w:val="left"/>
      <w:pPr>
        <w:ind w:left="61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5"/>
  </w:num>
  <w:num w:numId="3">
    <w:abstractNumId w:val="9"/>
  </w:num>
  <w:num w:numId="4">
    <w:abstractNumId w:val="0"/>
  </w:num>
  <w:num w:numId="5">
    <w:abstractNumId w:val="1"/>
  </w:num>
  <w:num w:numId="6">
    <w:abstractNumId w:val="13"/>
  </w:num>
  <w:num w:numId="7">
    <w:abstractNumId w:val="6"/>
  </w:num>
  <w:num w:numId="8">
    <w:abstractNumId w:val="11"/>
  </w:num>
  <w:num w:numId="9">
    <w:abstractNumId w:val="2"/>
  </w:num>
  <w:num w:numId="10">
    <w:abstractNumId w:val="3"/>
  </w:num>
  <w:num w:numId="11">
    <w:abstractNumId w:val="7"/>
  </w:num>
  <w:num w:numId="12">
    <w:abstractNumId w:val="4"/>
  </w:num>
  <w:num w:numId="13">
    <w:abstractNumId w:val="8"/>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D"/>
    <w:rsid w:val="00002CEF"/>
    <w:rsid w:val="00014460"/>
    <w:rsid w:val="00025DEB"/>
    <w:rsid w:val="00030C05"/>
    <w:rsid w:val="00041CD0"/>
    <w:rsid w:val="00047074"/>
    <w:rsid w:val="00056043"/>
    <w:rsid w:val="00056E59"/>
    <w:rsid w:val="00056F05"/>
    <w:rsid w:val="00071BBE"/>
    <w:rsid w:val="00076CB8"/>
    <w:rsid w:val="00077E52"/>
    <w:rsid w:val="000805C4"/>
    <w:rsid w:val="0009112D"/>
    <w:rsid w:val="000A016A"/>
    <w:rsid w:val="000A4558"/>
    <w:rsid w:val="000A52BA"/>
    <w:rsid w:val="000A647C"/>
    <w:rsid w:val="000A6CEE"/>
    <w:rsid w:val="000B35EF"/>
    <w:rsid w:val="000B3B82"/>
    <w:rsid w:val="000B520E"/>
    <w:rsid w:val="000C72FC"/>
    <w:rsid w:val="000C77F8"/>
    <w:rsid w:val="000C7CAF"/>
    <w:rsid w:val="000D68EE"/>
    <w:rsid w:val="000D742D"/>
    <w:rsid w:val="000E2550"/>
    <w:rsid w:val="000E5025"/>
    <w:rsid w:val="000F0D5A"/>
    <w:rsid w:val="00101B7F"/>
    <w:rsid w:val="00101BEF"/>
    <w:rsid w:val="00101FFF"/>
    <w:rsid w:val="0010369D"/>
    <w:rsid w:val="00104BCE"/>
    <w:rsid w:val="00107F13"/>
    <w:rsid w:val="00122559"/>
    <w:rsid w:val="00124010"/>
    <w:rsid w:val="00126337"/>
    <w:rsid w:val="00131CF1"/>
    <w:rsid w:val="001338CA"/>
    <w:rsid w:val="00134B44"/>
    <w:rsid w:val="00136A1F"/>
    <w:rsid w:val="00140FF2"/>
    <w:rsid w:val="00141DCC"/>
    <w:rsid w:val="00143AAA"/>
    <w:rsid w:val="00151A17"/>
    <w:rsid w:val="001575AF"/>
    <w:rsid w:val="00171DB7"/>
    <w:rsid w:val="0018425D"/>
    <w:rsid w:val="001905C7"/>
    <w:rsid w:val="00196B60"/>
    <w:rsid w:val="001A03A3"/>
    <w:rsid w:val="001A65D3"/>
    <w:rsid w:val="001B34F4"/>
    <w:rsid w:val="001B7DC9"/>
    <w:rsid w:val="001D0A19"/>
    <w:rsid w:val="001D54AE"/>
    <w:rsid w:val="001E51B6"/>
    <w:rsid w:val="001E70EB"/>
    <w:rsid w:val="001F770D"/>
    <w:rsid w:val="001F7D2C"/>
    <w:rsid w:val="00201F31"/>
    <w:rsid w:val="00216892"/>
    <w:rsid w:val="00217700"/>
    <w:rsid w:val="00225396"/>
    <w:rsid w:val="0023066B"/>
    <w:rsid w:val="00234018"/>
    <w:rsid w:val="00240AC1"/>
    <w:rsid w:val="00240D77"/>
    <w:rsid w:val="002448A4"/>
    <w:rsid w:val="0025138E"/>
    <w:rsid w:val="00260D64"/>
    <w:rsid w:val="00261FF7"/>
    <w:rsid w:val="002647D9"/>
    <w:rsid w:val="002731DE"/>
    <w:rsid w:val="0027672C"/>
    <w:rsid w:val="00277577"/>
    <w:rsid w:val="0027763B"/>
    <w:rsid w:val="00280A99"/>
    <w:rsid w:val="00286EB0"/>
    <w:rsid w:val="0029022F"/>
    <w:rsid w:val="002938AA"/>
    <w:rsid w:val="002A46BB"/>
    <w:rsid w:val="002A60B8"/>
    <w:rsid w:val="002A61D2"/>
    <w:rsid w:val="002A62A7"/>
    <w:rsid w:val="002A631E"/>
    <w:rsid w:val="002A6FF0"/>
    <w:rsid w:val="002A7CB0"/>
    <w:rsid w:val="002B369A"/>
    <w:rsid w:val="002B48A4"/>
    <w:rsid w:val="002C0225"/>
    <w:rsid w:val="002C5414"/>
    <w:rsid w:val="002D3664"/>
    <w:rsid w:val="002D6FF9"/>
    <w:rsid w:val="002E15CB"/>
    <w:rsid w:val="002F4685"/>
    <w:rsid w:val="002F71C5"/>
    <w:rsid w:val="00302D2B"/>
    <w:rsid w:val="0030603E"/>
    <w:rsid w:val="00316479"/>
    <w:rsid w:val="00321BD2"/>
    <w:rsid w:val="00326787"/>
    <w:rsid w:val="00327340"/>
    <w:rsid w:val="00331CAF"/>
    <w:rsid w:val="00332C78"/>
    <w:rsid w:val="00343972"/>
    <w:rsid w:val="003448E3"/>
    <w:rsid w:val="0035047C"/>
    <w:rsid w:val="00356771"/>
    <w:rsid w:val="00366E58"/>
    <w:rsid w:val="0036710B"/>
    <w:rsid w:val="00374D49"/>
    <w:rsid w:val="003805E1"/>
    <w:rsid w:val="003A08D8"/>
    <w:rsid w:val="003A49EC"/>
    <w:rsid w:val="003A6230"/>
    <w:rsid w:val="003B06E9"/>
    <w:rsid w:val="003B1CBE"/>
    <w:rsid w:val="003B4BB1"/>
    <w:rsid w:val="003C331F"/>
    <w:rsid w:val="003C43FB"/>
    <w:rsid w:val="003D3952"/>
    <w:rsid w:val="003E07F9"/>
    <w:rsid w:val="003E7FE1"/>
    <w:rsid w:val="003F2617"/>
    <w:rsid w:val="003F410D"/>
    <w:rsid w:val="00402307"/>
    <w:rsid w:val="004041CC"/>
    <w:rsid w:val="00407088"/>
    <w:rsid w:val="00416341"/>
    <w:rsid w:val="0041714C"/>
    <w:rsid w:val="0042055E"/>
    <w:rsid w:val="004208B5"/>
    <w:rsid w:val="0042280C"/>
    <w:rsid w:val="00427F53"/>
    <w:rsid w:val="0043720B"/>
    <w:rsid w:val="00437ADF"/>
    <w:rsid w:val="00441D7B"/>
    <w:rsid w:val="00443DB8"/>
    <w:rsid w:val="00447C28"/>
    <w:rsid w:val="004537CD"/>
    <w:rsid w:val="004654DF"/>
    <w:rsid w:val="004749DA"/>
    <w:rsid w:val="00482AAD"/>
    <w:rsid w:val="00483E6B"/>
    <w:rsid w:val="00486723"/>
    <w:rsid w:val="004919CD"/>
    <w:rsid w:val="00494476"/>
    <w:rsid w:val="0049477D"/>
    <w:rsid w:val="004A4E37"/>
    <w:rsid w:val="004A56AE"/>
    <w:rsid w:val="004C368F"/>
    <w:rsid w:val="004E2339"/>
    <w:rsid w:val="004E237D"/>
    <w:rsid w:val="004E54EB"/>
    <w:rsid w:val="004E6ADA"/>
    <w:rsid w:val="004F54EA"/>
    <w:rsid w:val="004F5E70"/>
    <w:rsid w:val="004F605D"/>
    <w:rsid w:val="004F7390"/>
    <w:rsid w:val="0050073B"/>
    <w:rsid w:val="005013E3"/>
    <w:rsid w:val="00515B26"/>
    <w:rsid w:val="00522DCE"/>
    <w:rsid w:val="0053471F"/>
    <w:rsid w:val="00541FE7"/>
    <w:rsid w:val="00542C4E"/>
    <w:rsid w:val="00543A3E"/>
    <w:rsid w:val="005459C8"/>
    <w:rsid w:val="00545D37"/>
    <w:rsid w:val="005511B0"/>
    <w:rsid w:val="00551B93"/>
    <w:rsid w:val="005531A8"/>
    <w:rsid w:val="00554B8B"/>
    <w:rsid w:val="00554FDD"/>
    <w:rsid w:val="005573B9"/>
    <w:rsid w:val="005629E3"/>
    <w:rsid w:val="005664C9"/>
    <w:rsid w:val="00571DE9"/>
    <w:rsid w:val="00573D2F"/>
    <w:rsid w:val="005835FE"/>
    <w:rsid w:val="005851C9"/>
    <w:rsid w:val="00586501"/>
    <w:rsid w:val="00592534"/>
    <w:rsid w:val="0059404A"/>
    <w:rsid w:val="005960F0"/>
    <w:rsid w:val="00597EFA"/>
    <w:rsid w:val="005A1466"/>
    <w:rsid w:val="005A6CAA"/>
    <w:rsid w:val="005B271F"/>
    <w:rsid w:val="005B56EE"/>
    <w:rsid w:val="005B5C14"/>
    <w:rsid w:val="005C561C"/>
    <w:rsid w:val="005C63E1"/>
    <w:rsid w:val="005D0070"/>
    <w:rsid w:val="005D0D19"/>
    <w:rsid w:val="005D6CBF"/>
    <w:rsid w:val="005E0068"/>
    <w:rsid w:val="005E18AD"/>
    <w:rsid w:val="005E5493"/>
    <w:rsid w:val="005E61AB"/>
    <w:rsid w:val="005F37A4"/>
    <w:rsid w:val="005F65D4"/>
    <w:rsid w:val="006057B5"/>
    <w:rsid w:val="0062222E"/>
    <w:rsid w:val="00625250"/>
    <w:rsid w:val="00626E98"/>
    <w:rsid w:val="0063187F"/>
    <w:rsid w:val="0064054A"/>
    <w:rsid w:val="00645452"/>
    <w:rsid w:val="0065472D"/>
    <w:rsid w:val="0065643B"/>
    <w:rsid w:val="00666EAC"/>
    <w:rsid w:val="00682AD5"/>
    <w:rsid w:val="00684F83"/>
    <w:rsid w:val="006942D4"/>
    <w:rsid w:val="006A1F93"/>
    <w:rsid w:val="006A47FB"/>
    <w:rsid w:val="006B2344"/>
    <w:rsid w:val="006C0F71"/>
    <w:rsid w:val="006C3953"/>
    <w:rsid w:val="006D07F5"/>
    <w:rsid w:val="006D6CC4"/>
    <w:rsid w:val="006E0CE0"/>
    <w:rsid w:val="006F3811"/>
    <w:rsid w:val="007003E3"/>
    <w:rsid w:val="007013A6"/>
    <w:rsid w:val="007033AB"/>
    <w:rsid w:val="00707BA7"/>
    <w:rsid w:val="00712BED"/>
    <w:rsid w:val="007204AD"/>
    <w:rsid w:val="00724EA2"/>
    <w:rsid w:val="00743186"/>
    <w:rsid w:val="0074371E"/>
    <w:rsid w:val="00744550"/>
    <w:rsid w:val="00744CE6"/>
    <w:rsid w:val="00747B8E"/>
    <w:rsid w:val="00750200"/>
    <w:rsid w:val="00752379"/>
    <w:rsid w:val="00754E32"/>
    <w:rsid w:val="00761428"/>
    <w:rsid w:val="0077094C"/>
    <w:rsid w:val="00781F07"/>
    <w:rsid w:val="00784F1E"/>
    <w:rsid w:val="00786C0C"/>
    <w:rsid w:val="0079284C"/>
    <w:rsid w:val="00792BA2"/>
    <w:rsid w:val="00795FFA"/>
    <w:rsid w:val="007C2356"/>
    <w:rsid w:val="007C348D"/>
    <w:rsid w:val="007D08EE"/>
    <w:rsid w:val="007D1CFA"/>
    <w:rsid w:val="007D2E4C"/>
    <w:rsid w:val="007E14F4"/>
    <w:rsid w:val="007E3399"/>
    <w:rsid w:val="007E61BB"/>
    <w:rsid w:val="007F4F13"/>
    <w:rsid w:val="00800C08"/>
    <w:rsid w:val="008014A3"/>
    <w:rsid w:val="008076CB"/>
    <w:rsid w:val="00812151"/>
    <w:rsid w:val="00815B61"/>
    <w:rsid w:val="00816F15"/>
    <w:rsid w:val="00820441"/>
    <w:rsid w:val="00822808"/>
    <w:rsid w:val="00830E8D"/>
    <w:rsid w:val="00843543"/>
    <w:rsid w:val="0084509E"/>
    <w:rsid w:val="00845142"/>
    <w:rsid w:val="0086556F"/>
    <w:rsid w:val="00873B81"/>
    <w:rsid w:val="00875729"/>
    <w:rsid w:val="00876CD8"/>
    <w:rsid w:val="008803C0"/>
    <w:rsid w:val="00880BB3"/>
    <w:rsid w:val="00882721"/>
    <w:rsid w:val="00885EFB"/>
    <w:rsid w:val="00886805"/>
    <w:rsid w:val="00891F14"/>
    <w:rsid w:val="00894EEF"/>
    <w:rsid w:val="008957B5"/>
    <w:rsid w:val="008A51E4"/>
    <w:rsid w:val="008A5D23"/>
    <w:rsid w:val="008B6B38"/>
    <w:rsid w:val="008C0F83"/>
    <w:rsid w:val="008C733D"/>
    <w:rsid w:val="008D09E3"/>
    <w:rsid w:val="008D11BE"/>
    <w:rsid w:val="008D743A"/>
    <w:rsid w:val="008E5209"/>
    <w:rsid w:val="008E57BF"/>
    <w:rsid w:val="008E6526"/>
    <w:rsid w:val="008F0DA3"/>
    <w:rsid w:val="00902E43"/>
    <w:rsid w:val="00914772"/>
    <w:rsid w:val="00920087"/>
    <w:rsid w:val="00924826"/>
    <w:rsid w:val="00930E21"/>
    <w:rsid w:val="0093103C"/>
    <w:rsid w:val="00931298"/>
    <w:rsid w:val="00931D1D"/>
    <w:rsid w:val="009346A8"/>
    <w:rsid w:val="00935CE2"/>
    <w:rsid w:val="00935EE8"/>
    <w:rsid w:val="00937E16"/>
    <w:rsid w:val="0094409C"/>
    <w:rsid w:val="00945AE3"/>
    <w:rsid w:val="0094642F"/>
    <w:rsid w:val="00947956"/>
    <w:rsid w:val="00947981"/>
    <w:rsid w:val="00951E22"/>
    <w:rsid w:val="009561EF"/>
    <w:rsid w:val="009639DC"/>
    <w:rsid w:val="009674A2"/>
    <w:rsid w:val="009674B3"/>
    <w:rsid w:val="00973910"/>
    <w:rsid w:val="0097658B"/>
    <w:rsid w:val="00985E17"/>
    <w:rsid w:val="00994B47"/>
    <w:rsid w:val="009A4CAC"/>
    <w:rsid w:val="009A5CBB"/>
    <w:rsid w:val="009A6D55"/>
    <w:rsid w:val="009B3CCA"/>
    <w:rsid w:val="009C056A"/>
    <w:rsid w:val="009C351D"/>
    <w:rsid w:val="009C6656"/>
    <w:rsid w:val="009E40F8"/>
    <w:rsid w:val="009E469A"/>
    <w:rsid w:val="009E47FD"/>
    <w:rsid w:val="009E4816"/>
    <w:rsid w:val="009E7BBC"/>
    <w:rsid w:val="009F6077"/>
    <w:rsid w:val="00A00820"/>
    <w:rsid w:val="00A01419"/>
    <w:rsid w:val="00A103A2"/>
    <w:rsid w:val="00A2266C"/>
    <w:rsid w:val="00A23389"/>
    <w:rsid w:val="00A31C1A"/>
    <w:rsid w:val="00A353EF"/>
    <w:rsid w:val="00A35B69"/>
    <w:rsid w:val="00A556CC"/>
    <w:rsid w:val="00A735AF"/>
    <w:rsid w:val="00A74B52"/>
    <w:rsid w:val="00A80708"/>
    <w:rsid w:val="00A81C7A"/>
    <w:rsid w:val="00A823A5"/>
    <w:rsid w:val="00A83A8A"/>
    <w:rsid w:val="00A84618"/>
    <w:rsid w:val="00A8688E"/>
    <w:rsid w:val="00A8690C"/>
    <w:rsid w:val="00A90D5C"/>
    <w:rsid w:val="00A96D6D"/>
    <w:rsid w:val="00A9771A"/>
    <w:rsid w:val="00AA01B2"/>
    <w:rsid w:val="00AA22AB"/>
    <w:rsid w:val="00AA3730"/>
    <w:rsid w:val="00AB5642"/>
    <w:rsid w:val="00AB781A"/>
    <w:rsid w:val="00AC5040"/>
    <w:rsid w:val="00AC5AA4"/>
    <w:rsid w:val="00AD07EC"/>
    <w:rsid w:val="00AD43F1"/>
    <w:rsid w:val="00AD516D"/>
    <w:rsid w:val="00AD5191"/>
    <w:rsid w:val="00AD6579"/>
    <w:rsid w:val="00AD7CD1"/>
    <w:rsid w:val="00AE0369"/>
    <w:rsid w:val="00AE31F1"/>
    <w:rsid w:val="00AE3AEB"/>
    <w:rsid w:val="00AE3CE7"/>
    <w:rsid w:val="00B00E92"/>
    <w:rsid w:val="00B0296B"/>
    <w:rsid w:val="00B11417"/>
    <w:rsid w:val="00B21264"/>
    <w:rsid w:val="00B225BE"/>
    <w:rsid w:val="00B30809"/>
    <w:rsid w:val="00B30B07"/>
    <w:rsid w:val="00B32C75"/>
    <w:rsid w:val="00B35190"/>
    <w:rsid w:val="00B35947"/>
    <w:rsid w:val="00B50934"/>
    <w:rsid w:val="00B50972"/>
    <w:rsid w:val="00B70963"/>
    <w:rsid w:val="00B7730D"/>
    <w:rsid w:val="00B80991"/>
    <w:rsid w:val="00BB3128"/>
    <w:rsid w:val="00BB43D1"/>
    <w:rsid w:val="00BC07EE"/>
    <w:rsid w:val="00BC6C8E"/>
    <w:rsid w:val="00BC7247"/>
    <w:rsid w:val="00BD6072"/>
    <w:rsid w:val="00BD667B"/>
    <w:rsid w:val="00BD6800"/>
    <w:rsid w:val="00BE036F"/>
    <w:rsid w:val="00BE1A6F"/>
    <w:rsid w:val="00BE1B9D"/>
    <w:rsid w:val="00BF2C8F"/>
    <w:rsid w:val="00BF6CF2"/>
    <w:rsid w:val="00C018D6"/>
    <w:rsid w:val="00C01D44"/>
    <w:rsid w:val="00C104C3"/>
    <w:rsid w:val="00C12413"/>
    <w:rsid w:val="00C13571"/>
    <w:rsid w:val="00C13E91"/>
    <w:rsid w:val="00C140A6"/>
    <w:rsid w:val="00C14C88"/>
    <w:rsid w:val="00C15C47"/>
    <w:rsid w:val="00C16854"/>
    <w:rsid w:val="00C20DEE"/>
    <w:rsid w:val="00C21D2D"/>
    <w:rsid w:val="00C268C9"/>
    <w:rsid w:val="00C31C9E"/>
    <w:rsid w:val="00C348C9"/>
    <w:rsid w:val="00C36758"/>
    <w:rsid w:val="00C37505"/>
    <w:rsid w:val="00C50575"/>
    <w:rsid w:val="00C514D1"/>
    <w:rsid w:val="00C530E4"/>
    <w:rsid w:val="00C563B8"/>
    <w:rsid w:val="00C6681F"/>
    <w:rsid w:val="00C672BE"/>
    <w:rsid w:val="00C7528B"/>
    <w:rsid w:val="00C90981"/>
    <w:rsid w:val="00CA3518"/>
    <w:rsid w:val="00CA39A1"/>
    <w:rsid w:val="00CB3BE6"/>
    <w:rsid w:val="00CB76E2"/>
    <w:rsid w:val="00CC0CFA"/>
    <w:rsid w:val="00CD152C"/>
    <w:rsid w:val="00CE04B1"/>
    <w:rsid w:val="00CE0B31"/>
    <w:rsid w:val="00CE39C4"/>
    <w:rsid w:val="00CE5818"/>
    <w:rsid w:val="00CE696B"/>
    <w:rsid w:val="00CF29B4"/>
    <w:rsid w:val="00CF30C6"/>
    <w:rsid w:val="00CF3D71"/>
    <w:rsid w:val="00D0203B"/>
    <w:rsid w:val="00D040DC"/>
    <w:rsid w:val="00D07643"/>
    <w:rsid w:val="00D14182"/>
    <w:rsid w:val="00D15916"/>
    <w:rsid w:val="00D26E04"/>
    <w:rsid w:val="00D320F8"/>
    <w:rsid w:val="00D333ED"/>
    <w:rsid w:val="00D41D5B"/>
    <w:rsid w:val="00D55F80"/>
    <w:rsid w:val="00D63F82"/>
    <w:rsid w:val="00D74600"/>
    <w:rsid w:val="00D74AA1"/>
    <w:rsid w:val="00D77923"/>
    <w:rsid w:val="00D837BB"/>
    <w:rsid w:val="00D90B1E"/>
    <w:rsid w:val="00D918E8"/>
    <w:rsid w:val="00D9526F"/>
    <w:rsid w:val="00DA5395"/>
    <w:rsid w:val="00DB5D24"/>
    <w:rsid w:val="00DB7619"/>
    <w:rsid w:val="00DC0602"/>
    <w:rsid w:val="00DC5A12"/>
    <w:rsid w:val="00DC6873"/>
    <w:rsid w:val="00DD108B"/>
    <w:rsid w:val="00DD2AFF"/>
    <w:rsid w:val="00DD2F9B"/>
    <w:rsid w:val="00DE5AA8"/>
    <w:rsid w:val="00DF1C43"/>
    <w:rsid w:val="00E011A2"/>
    <w:rsid w:val="00E050C1"/>
    <w:rsid w:val="00E13F80"/>
    <w:rsid w:val="00E20E3A"/>
    <w:rsid w:val="00E23295"/>
    <w:rsid w:val="00E25A71"/>
    <w:rsid w:val="00E25DD7"/>
    <w:rsid w:val="00E31B13"/>
    <w:rsid w:val="00E35E68"/>
    <w:rsid w:val="00E3784E"/>
    <w:rsid w:val="00E41786"/>
    <w:rsid w:val="00E42996"/>
    <w:rsid w:val="00E43A8B"/>
    <w:rsid w:val="00E46434"/>
    <w:rsid w:val="00E51FE8"/>
    <w:rsid w:val="00E5481E"/>
    <w:rsid w:val="00E5549C"/>
    <w:rsid w:val="00E64F07"/>
    <w:rsid w:val="00E6513F"/>
    <w:rsid w:val="00E65ED6"/>
    <w:rsid w:val="00E661CA"/>
    <w:rsid w:val="00E71D96"/>
    <w:rsid w:val="00E7235C"/>
    <w:rsid w:val="00E72866"/>
    <w:rsid w:val="00E74E84"/>
    <w:rsid w:val="00E75816"/>
    <w:rsid w:val="00E77680"/>
    <w:rsid w:val="00E9554F"/>
    <w:rsid w:val="00E97B54"/>
    <w:rsid w:val="00EA0BBA"/>
    <w:rsid w:val="00EA2F53"/>
    <w:rsid w:val="00EA5959"/>
    <w:rsid w:val="00EA5FAD"/>
    <w:rsid w:val="00EB16C0"/>
    <w:rsid w:val="00EB5526"/>
    <w:rsid w:val="00EC1E9C"/>
    <w:rsid w:val="00EC40DB"/>
    <w:rsid w:val="00EC41C6"/>
    <w:rsid w:val="00EC7667"/>
    <w:rsid w:val="00ED51AC"/>
    <w:rsid w:val="00ED5BEE"/>
    <w:rsid w:val="00ED6360"/>
    <w:rsid w:val="00EF11A8"/>
    <w:rsid w:val="00EF412E"/>
    <w:rsid w:val="00EF5325"/>
    <w:rsid w:val="00EF5A67"/>
    <w:rsid w:val="00F00701"/>
    <w:rsid w:val="00F0291B"/>
    <w:rsid w:val="00F134AF"/>
    <w:rsid w:val="00F14654"/>
    <w:rsid w:val="00F14BB3"/>
    <w:rsid w:val="00F15DB4"/>
    <w:rsid w:val="00F224FA"/>
    <w:rsid w:val="00F24BE3"/>
    <w:rsid w:val="00F26219"/>
    <w:rsid w:val="00F3703A"/>
    <w:rsid w:val="00F41DE3"/>
    <w:rsid w:val="00F479DC"/>
    <w:rsid w:val="00F527A2"/>
    <w:rsid w:val="00F53D4E"/>
    <w:rsid w:val="00F55BAE"/>
    <w:rsid w:val="00F615A3"/>
    <w:rsid w:val="00F62A42"/>
    <w:rsid w:val="00F7034E"/>
    <w:rsid w:val="00F7253E"/>
    <w:rsid w:val="00F76483"/>
    <w:rsid w:val="00F80F0B"/>
    <w:rsid w:val="00F90B4F"/>
    <w:rsid w:val="00F940D0"/>
    <w:rsid w:val="00FA59CD"/>
    <w:rsid w:val="00FA70CA"/>
    <w:rsid w:val="00FB7BB4"/>
    <w:rsid w:val="00FD19ED"/>
    <w:rsid w:val="00FD30AF"/>
    <w:rsid w:val="00FE4E83"/>
    <w:rsid w:val="00FF166A"/>
    <w:rsid w:val="00FF3DEE"/>
    <w:rsid w:val="00FF4A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2612"/>
  <w15:docId w15:val="{FF832498-575D-4D52-AAC5-0C330C24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8D"/>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
    <w:semiHidden/>
    <w:unhideWhenUsed/>
    <w:qFormat/>
    <w:rsid w:val="009248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95"/>
    <w:pPr>
      <w:tabs>
        <w:tab w:val="center" w:pos="4513"/>
        <w:tab w:val="right" w:pos="9026"/>
      </w:tabs>
    </w:pPr>
  </w:style>
  <w:style w:type="character" w:customStyle="1" w:styleId="HeaderChar">
    <w:name w:val="Header Char"/>
    <w:basedOn w:val="DefaultParagraphFont"/>
    <w:link w:val="Header"/>
    <w:uiPriority w:val="99"/>
    <w:rsid w:val="00DA53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A5395"/>
    <w:pPr>
      <w:tabs>
        <w:tab w:val="center" w:pos="4513"/>
        <w:tab w:val="right" w:pos="9026"/>
      </w:tabs>
    </w:pPr>
  </w:style>
  <w:style w:type="character" w:customStyle="1" w:styleId="FooterChar">
    <w:name w:val="Footer Char"/>
    <w:basedOn w:val="DefaultParagraphFont"/>
    <w:link w:val="Footer"/>
    <w:uiPriority w:val="99"/>
    <w:rsid w:val="00DA5395"/>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F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81F"/>
    <w:rPr>
      <w:rFonts w:ascii="Tahoma" w:hAnsi="Tahoma" w:cs="Tahoma"/>
      <w:sz w:val="16"/>
      <w:szCs w:val="16"/>
    </w:rPr>
  </w:style>
  <w:style w:type="character" w:customStyle="1" w:styleId="BalloonTextChar">
    <w:name w:val="Balloon Text Char"/>
    <w:basedOn w:val="DefaultParagraphFont"/>
    <w:link w:val="BalloonText"/>
    <w:uiPriority w:val="99"/>
    <w:semiHidden/>
    <w:rsid w:val="00C6681F"/>
    <w:rPr>
      <w:rFonts w:ascii="Tahoma" w:eastAsia="Times New Roman" w:hAnsi="Tahoma" w:cs="Tahoma"/>
      <w:sz w:val="16"/>
      <w:szCs w:val="16"/>
      <w:lang w:val="en-GB" w:eastAsia="en-GB"/>
    </w:rPr>
  </w:style>
  <w:style w:type="paragraph" w:styleId="ListParagraph">
    <w:name w:val="List Paragraph"/>
    <w:basedOn w:val="Normal"/>
    <w:uiPriority w:val="34"/>
    <w:qFormat/>
    <w:rsid w:val="00781F07"/>
    <w:pPr>
      <w:ind w:left="720"/>
      <w:contextualSpacing/>
    </w:pPr>
  </w:style>
  <w:style w:type="paragraph" w:styleId="FootnoteText">
    <w:name w:val="footnote text"/>
    <w:basedOn w:val="Normal"/>
    <w:link w:val="FootnoteTextChar"/>
    <w:uiPriority w:val="99"/>
    <w:unhideWhenUsed/>
    <w:qFormat/>
    <w:rsid w:val="00781F07"/>
    <w:rPr>
      <w:sz w:val="20"/>
      <w:szCs w:val="20"/>
    </w:rPr>
  </w:style>
  <w:style w:type="character" w:customStyle="1" w:styleId="FootnoteTextChar">
    <w:name w:val="Footnote Text Char"/>
    <w:basedOn w:val="DefaultParagraphFont"/>
    <w:link w:val="FootnoteText"/>
    <w:uiPriority w:val="99"/>
    <w:rsid w:val="00781F0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81F07"/>
    <w:rPr>
      <w:vertAlign w:val="superscript"/>
    </w:rPr>
  </w:style>
  <w:style w:type="character" w:customStyle="1" w:styleId="mc">
    <w:name w:val="mc"/>
    <w:basedOn w:val="DefaultParagraphFont"/>
    <w:rsid w:val="00E46434"/>
  </w:style>
  <w:style w:type="character" w:styleId="Hyperlink">
    <w:name w:val="Hyperlink"/>
    <w:basedOn w:val="DefaultParagraphFont"/>
    <w:uiPriority w:val="99"/>
    <w:semiHidden/>
    <w:unhideWhenUsed/>
    <w:rsid w:val="00331CAF"/>
    <w:rPr>
      <w:color w:val="0000FF"/>
      <w:u w:val="single"/>
    </w:rPr>
  </w:style>
  <w:style w:type="paragraph" w:customStyle="1" w:styleId="para-10">
    <w:name w:val="para-10"/>
    <w:basedOn w:val="Normal"/>
    <w:rsid w:val="007D2E4C"/>
    <w:pPr>
      <w:spacing w:before="100" w:beforeAutospacing="1" w:after="100" w:afterAutospacing="1"/>
    </w:pPr>
    <w:rPr>
      <w:lang w:val="en-ZA" w:eastAsia="en-ZA"/>
    </w:rPr>
  </w:style>
  <w:style w:type="character" w:customStyle="1" w:styleId="footnote-link">
    <w:name w:val="footnote-link"/>
    <w:basedOn w:val="DefaultParagraphFont"/>
    <w:rsid w:val="007D2E4C"/>
  </w:style>
  <w:style w:type="paragraph" w:customStyle="1" w:styleId="arunninghead">
    <w:name w:val="arunninghead"/>
    <w:basedOn w:val="Normal"/>
    <w:rsid w:val="007D2E4C"/>
    <w:pPr>
      <w:spacing w:before="100" w:beforeAutospacing="1" w:after="100" w:afterAutospacing="1"/>
    </w:pPr>
    <w:rPr>
      <w:lang w:val="en-ZA" w:eastAsia="en-ZA"/>
    </w:rPr>
  </w:style>
  <w:style w:type="character" w:customStyle="1" w:styleId="popup-link">
    <w:name w:val="popup-link"/>
    <w:basedOn w:val="DefaultParagraphFont"/>
    <w:rsid w:val="007D2E4C"/>
  </w:style>
  <w:style w:type="paragraph" w:customStyle="1" w:styleId="boldhead">
    <w:name w:val="boldhead"/>
    <w:basedOn w:val="Normal"/>
    <w:rsid w:val="007D2E4C"/>
    <w:pPr>
      <w:spacing w:before="100" w:beforeAutospacing="1" w:after="100" w:afterAutospacing="1"/>
    </w:pPr>
    <w:rPr>
      <w:lang w:val="en-ZA" w:eastAsia="en-ZA"/>
    </w:rPr>
  </w:style>
  <w:style w:type="paragraph" w:customStyle="1" w:styleId="q-normal">
    <w:name w:val="q-normal"/>
    <w:basedOn w:val="Normal"/>
    <w:rsid w:val="007D2E4C"/>
    <w:pPr>
      <w:spacing w:before="100" w:beforeAutospacing="1" w:after="100" w:afterAutospacing="1"/>
    </w:pPr>
    <w:rPr>
      <w:lang w:val="en-ZA" w:eastAsia="en-ZA"/>
    </w:rPr>
  </w:style>
  <w:style w:type="character" w:customStyle="1" w:styleId="Heading2Char">
    <w:name w:val="Heading 2 Char"/>
    <w:basedOn w:val="DefaultParagraphFont"/>
    <w:link w:val="Heading2"/>
    <w:uiPriority w:val="9"/>
    <w:semiHidden/>
    <w:rsid w:val="00924826"/>
    <w:rPr>
      <w:rFonts w:asciiTheme="majorHAnsi" w:eastAsiaTheme="majorEastAsia" w:hAnsiTheme="majorHAnsi" w:cstheme="majorBidi"/>
      <w:color w:val="365F91"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81526">
      <w:bodyDiv w:val="1"/>
      <w:marLeft w:val="0"/>
      <w:marRight w:val="0"/>
      <w:marTop w:val="0"/>
      <w:marBottom w:val="0"/>
      <w:divBdr>
        <w:top w:val="none" w:sz="0" w:space="0" w:color="auto"/>
        <w:left w:val="none" w:sz="0" w:space="0" w:color="auto"/>
        <w:bottom w:val="none" w:sz="0" w:space="0" w:color="auto"/>
        <w:right w:val="none" w:sz="0" w:space="0" w:color="auto"/>
      </w:divBdr>
    </w:div>
    <w:div w:id="658655406">
      <w:bodyDiv w:val="1"/>
      <w:marLeft w:val="0"/>
      <w:marRight w:val="0"/>
      <w:marTop w:val="0"/>
      <w:marBottom w:val="0"/>
      <w:divBdr>
        <w:top w:val="none" w:sz="0" w:space="0" w:color="auto"/>
        <w:left w:val="none" w:sz="0" w:space="0" w:color="auto"/>
        <w:bottom w:val="none" w:sz="0" w:space="0" w:color="auto"/>
        <w:right w:val="none" w:sz="0" w:space="0" w:color="auto"/>
      </w:divBdr>
    </w:div>
    <w:div w:id="906108766">
      <w:bodyDiv w:val="1"/>
      <w:marLeft w:val="0"/>
      <w:marRight w:val="0"/>
      <w:marTop w:val="0"/>
      <w:marBottom w:val="0"/>
      <w:divBdr>
        <w:top w:val="none" w:sz="0" w:space="0" w:color="auto"/>
        <w:left w:val="none" w:sz="0" w:space="0" w:color="auto"/>
        <w:bottom w:val="none" w:sz="0" w:space="0" w:color="auto"/>
        <w:right w:val="none" w:sz="0" w:space="0" w:color="auto"/>
      </w:divBdr>
    </w:div>
    <w:div w:id="1020623228">
      <w:bodyDiv w:val="1"/>
      <w:marLeft w:val="0"/>
      <w:marRight w:val="0"/>
      <w:marTop w:val="0"/>
      <w:marBottom w:val="0"/>
      <w:divBdr>
        <w:top w:val="none" w:sz="0" w:space="0" w:color="auto"/>
        <w:left w:val="none" w:sz="0" w:space="0" w:color="auto"/>
        <w:bottom w:val="none" w:sz="0" w:space="0" w:color="auto"/>
        <w:right w:val="none" w:sz="0" w:space="0" w:color="auto"/>
      </w:divBdr>
    </w:div>
    <w:div w:id="1073313488">
      <w:bodyDiv w:val="1"/>
      <w:marLeft w:val="0"/>
      <w:marRight w:val="0"/>
      <w:marTop w:val="0"/>
      <w:marBottom w:val="0"/>
      <w:divBdr>
        <w:top w:val="none" w:sz="0" w:space="0" w:color="auto"/>
        <w:left w:val="none" w:sz="0" w:space="0" w:color="auto"/>
        <w:bottom w:val="none" w:sz="0" w:space="0" w:color="auto"/>
        <w:right w:val="none" w:sz="0" w:space="0" w:color="auto"/>
      </w:divBdr>
      <w:divsChild>
        <w:div w:id="1481850162">
          <w:marLeft w:val="0"/>
          <w:marRight w:val="0"/>
          <w:marTop w:val="120"/>
          <w:marBottom w:val="0"/>
          <w:divBdr>
            <w:top w:val="none" w:sz="0" w:space="0" w:color="auto"/>
            <w:left w:val="none" w:sz="0" w:space="0" w:color="auto"/>
            <w:bottom w:val="none" w:sz="0" w:space="0" w:color="auto"/>
            <w:right w:val="none" w:sz="0" w:space="0" w:color="auto"/>
          </w:divBdr>
        </w:div>
        <w:div w:id="1310132206">
          <w:marLeft w:val="0"/>
          <w:marRight w:val="0"/>
          <w:marTop w:val="120"/>
          <w:marBottom w:val="0"/>
          <w:divBdr>
            <w:top w:val="none" w:sz="0" w:space="0" w:color="auto"/>
            <w:left w:val="none" w:sz="0" w:space="0" w:color="auto"/>
            <w:bottom w:val="none" w:sz="0" w:space="0" w:color="auto"/>
            <w:right w:val="none" w:sz="0" w:space="0" w:color="auto"/>
          </w:divBdr>
        </w:div>
      </w:divsChild>
    </w:div>
    <w:div w:id="1408305242">
      <w:bodyDiv w:val="1"/>
      <w:marLeft w:val="0"/>
      <w:marRight w:val="0"/>
      <w:marTop w:val="0"/>
      <w:marBottom w:val="0"/>
      <w:divBdr>
        <w:top w:val="none" w:sz="0" w:space="0" w:color="auto"/>
        <w:left w:val="none" w:sz="0" w:space="0" w:color="auto"/>
        <w:bottom w:val="none" w:sz="0" w:space="0" w:color="auto"/>
        <w:right w:val="none" w:sz="0" w:space="0" w:color="auto"/>
      </w:divBdr>
      <w:divsChild>
        <w:div w:id="1219897569">
          <w:marLeft w:val="0"/>
          <w:marRight w:val="0"/>
          <w:marTop w:val="240"/>
          <w:marBottom w:val="0"/>
          <w:divBdr>
            <w:top w:val="none" w:sz="0" w:space="0" w:color="auto"/>
            <w:left w:val="none" w:sz="0" w:space="0" w:color="auto"/>
            <w:bottom w:val="none" w:sz="0" w:space="0" w:color="auto"/>
            <w:right w:val="none" w:sz="0" w:space="0" w:color="auto"/>
          </w:divBdr>
        </w:div>
        <w:div w:id="1547254216">
          <w:marLeft w:val="0"/>
          <w:marRight w:val="0"/>
          <w:marTop w:val="120"/>
          <w:marBottom w:val="0"/>
          <w:divBdr>
            <w:top w:val="none" w:sz="0" w:space="0" w:color="auto"/>
            <w:left w:val="none" w:sz="0" w:space="0" w:color="auto"/>
            <w:bottom w:val="none" w:sz="0" w:space="0" w:color="auto"/>
            <w:right w:val="none" w:sz="0" w:space="0" w:color="auto"/>
          </w:divBdr>
        </w:div>
        <w:div w:id="976490155">
          <w:marLeft w:val="567"/>
          <w:marRight w:val="567"/>
          <w:marTop w:val="20"/>
          <w:marBottom w:val="20"/>
          <w:divBdr>
            <w:top w:val="none" w:sz="0" w:space="0" w:color="auto"/>
            <w:left w:val="none" w:sz="0" w:space="0" w:color="auto"/>
            <w:bottom w:val="none" w:sz="0" w:space="0" w:color="auto"/>
            <w:right w:val="none" w:sz="0" w:space="0" w:color="auto"/>
          </w:divBdr>
        </w:div>
        <w:div w:id="854074992">
          <w:marLeft w:val="0"/>
          <w:marRight w:val="0"/>
          <w:marTop w:val="120"/>
          <w:marBottom w:val="0"/>
          <w:divBdr>
            <w:top w:val="none" w:sz="0" w:space="0" w:color="auto"/>
            <w:left w:val="none" w:sz="0" w:space="0" w:color="auto"/>
            <w:bottom w:val="none" w:sz="0" w:space="0" w:color="auto"/>
            <w:right w:val="none" w:sz="0" w:space="0" w:color="auto"/>
          </w:divBdr>
        </w:div>
        <w:div w:id="876351343">
          <w:marLeft w:val="567"/>
          <w:marRight w:val="567"/>
          <w:marTop w:val="20"/>
          <w:marBottom w:val="20"/>
          <w:divBdr>
            <w:top w:val="none" w:sz="0" w:space="0" w:color="auto"/>
            <w:left w:val="none" w:sz="0" w:space="0" w:color="auto"/>
            <w:bottom w:val="none" w:sz="0" w:space="0" w:color="auto"/>
            <w:right w:val="none" w:sz="0" w:space="0" w:color="auto"/>
          </w:divBdr>
        </w:div>
        <w:div w:id="403377671">
          <w:marLeft w:val="0"/>
          <w:marRight w:val="0"/>
          <w:marTop w:val="120"/>
          <w:marBottom w:val="0"/>
          <w:divBdr>
            <w:top w:val="none" w:sz="0" w:space="0" w:color="auto"/>
            <w:left w:val="none" w:sz="0" w:space="0" w:color="auto"/>
            <w:bottom w:val="none" w:sz="0" w:space="0" w:color="auto"/>
            <w:right w:val="none" w:sz="0" w:space="0" w:color="auto"/>
          </w:divBdr>
        </w:div>
        <w:div w:id="482354568">
          <w:marLeft w:val="1134"/>
          <w:marRight w:val="0"/>
          <w:marTop w:val="60"/>
          <w:marBottom w:val="0"/>
          <w:divBdr>
            <w:top w:val="none" w:sz="0" w:space="0" w:color="auto"/>
            <w:left w:val="none" w:sz="0" w:space="0" w:color="auto"/>
            <w:bottom w:val="none" w:sz="0" w:space="0" w:color="auto"/>
            <w:right w:val="none" w:sz="0" w:space="0" w:color="auto"/>
          </w:divBdr>
        </w:div>
        <w:div w:id="1623227292">
          <w:marLeft w:val="567"/>
          <w:marRight w:val="567"/>
          <w:marTop w:val="20"/>
          <w:marBottom w:val="20"/>
          <w:divBdr>
            <w:top w:val="none" w:sz="0" w:space="0" w:color="auto"/>
            <w:left w:val="none" w:sz="0" w:space="0" w:color="auto"/>
            <w:bottom w:val="none" w:sz="0" w:space="0" w:color="auto"/>
            <w:right w:val="none" w:sz="0" w:space="0" w:color="auto"/>
          </w:divBdr>
        </w:div>
        <w:div w:id="961181972">
          <w:marLeft w:val="1134"/>
          <w:marRight w:val="0"/>
          <w:marTop w:val="60"/>
          <w:marBottom w:val="0"/>
          <w:divBdr>
            <w:top w:val="none" w:sz="0" w:space="0" w:color="auto"/>
            <w:left w:val="none" w:sz="0" w:space="0" w:color="auto"/>
            <w:bottom w:val="none" w:sz="0" w:space="0" w:color="auto"/>
            <w:right w:val="none" w:sz="0" w:space="0" w:color="auto"/>
          </w:divBdr>
        </w:div>
        <w:div w:id="295793289">
          <w:marLeft w:val="1134"/>
          <w:marRight w:val="0"/>
          <w:marTop w:val="60"/>
          <w:marBottom w:val="0"/>
          <w:divBdr>
            <w:top w:val="none" w:sz="0" w:space="0" w:color="auto"/>
            <w:left w:val="none" w:sz="0" w:space="0" w:color="auto"/>
            <w:bottom w:val="none" w:sz="0" w:space="0" w:color="auto"/>
            <w:right w:val="none" w:sz="0" w:space="0" w:color="auto"/>
          </w:divBdr>
        </w:div>
        <w:div w:id="214776503">
          <w:marLeft w:val="567"/>
          <w:marRight w:val="567"/>
          <w:marTop w:val="20"/>
          <w:marBottom w:val="20"/>
          <w:divBdr>
            <w:top w:val="none" w:sz="0" w:space="0" w:color="auto"/>
            <w:left w:val="none" w:sz="0" w:space="0" w:color="auto"/>
            <w:bottom w:val="none" w:sz="0" w:space="0" w:color="auto"/>
            <w:right w:val="none" w:sz="0" w:space="0" w:color="auto"/>
          </w:divBdr>
        </w:div>
        <w:div w:id="341399228">
          <w:marLeft w:val="1134"/>
          <w:marRight w:val="0"/>
          <w:marTop w:val="60"/>
          <w:marBottom w:val="0"/>
          <w:divBdr>
            <w:top w:val="none" w:sz="0" w:space="0" w:color="auto"/>
            <w:left w:val="none" w:sz="0" w:space="0" w:color="auto"/>
            <w:bottom w:val="none" w:sz="0" w:space="0" w:color="auto"/>
            <w:right w:val="none" w:sz="0" w:space="0" w:color="auto"/>
          </w:divBdr>
        </w:div>
        <w:div w:id="175388067">
          <w:marLeft w:val="0"/>
          <w:marRight w:val="0"/>
          <w:marTop w:val="120"/>
          <w:marBottom w:val="0"/>
          <w:divBdr>
            <w:top w:val="none" w:sz="0" w:space="0" w:color="auto"/>
            <w:left w:val="none" w:sz="0" w:space="0" w:color="auto"/>
            <w:bottom w:val="none" w:sz="0" w:space="0" w:color="auto"/>
            <w:right w:val="none" w:sz="0" w:space="0" w:color="auto"/>
          </w:divBdr>
        </w:div>
        <w:div w:id="1294871865">
          <w:marLeft w:val="567"/>
          <w:marRight w:val="567"/>
          <w:marTop w:val="20"/>
          <w:marBottom w:val="20"/>
          <w:divBdr>
            <w:top w:val="none" w:sz="0" w:space="0" w:color="auto"/>
            <w:left w:val="none" w:sz="0" w:space="0" w:color="auto"/>
            <w:bottom w:val="none" w:sz="0" w:space="0" w:color="auto"/>
            <w:right w:val="none" w:sz="0" w:space="0" w:color="auto"/>
          </w:divBdr>
        </w:div>
        <w:div w:id="2081713639">
          <w:marLeft w:val="0"/>
          <w:marRight w:val="0"/>
          <w:marTop w:val="120"/>
          <w:marBottom w:val="0"/>
          <w:divBdr>
            <w:top w:val="none" w:sz="0" w:space="0" w:color="auto"/>
            <w:left w:val="none" w:sz="0" w:space="0" w:color="auto"/>
            <w:bottom w:val="none" w:sz="0" w:space="0" w:color="auto"/>
            <w:right w:val="none" w:sz="0" w:space="0" w:color="auto"/>
          </w:divBdr>
        </w:div>
        <w:div w:id="1568151909">
          <w:marLeft w:val="1134"/>
          <w:marRight w:val="0"/>
          <w:marTop w:val="60"/>
          <w:marBottom w:val="0"/>
          <w:divBdr>
            <w:top w:val="none" w:sz="0" w:space="0" w:color="auto"/>
            <w:left w:val="none" w:sz="0" w:space="0" w:color="auto"/>
            <w:bottom w:val="none" w:sz="0" w:space="0" w:color="auto"/>
            <w:right w:val="none" w:sz="0" w:space="0" w:color="auto"/>
          </w:divBdr>
        </w:div>
        <w:div w:id="1507015666">
          <w:marLeft w:val="1134"/>
          <w:marRight w:val="0"/>
          <w:marTop w:val="60"/>
          <w:marBottom w:val="0"/>
          <w:divBdr>
            <w:top w:val="none" w:sz="0" w:space="0" w:color="auto"/>
            <w:left w:val="none" w:sz="0" w:space="0" w:color="auto"/>
            <w:bottom w:val="none" w:sz="0" w:space="0" w:color="auto"/>
            <w:right w:val="none" w:sz="0" w:space="0" w:color="auto"/>
          </w:divBdr>
        </w:div>
        <w:div w:id="1290549385">
          <w:marLeft w:val="0"/>
          <w:marRight w:val="0"/>
          <w:marTop w:val="120"/>
          <w:marBottom w:val="0"/>
          <w:divBdr>
            <w:top w:val="none" w:sz="0" w:space="0" w:color="auto"/>
            <w:left w:val="none" w:sz="0" w:space="0" w:color="auto"/>
            <w:bottom w:val="none" w:sz="0" w:space="0" w:color="auto"/>
            <w:right w:val="none" w:sz="0" w:space="0" w:color="auto"/>
          </w:divBdr>
        </w:div>
        <w:div w:id="54817538">
          <w:marLeft w:val="567"/>
          <w:marRight w:val="567"/>
          <w:marTop w:val="20"/>
          <w:marBottom w:val="20"/>
          <w:divBdr>
            <w:top w:val="none" w:sz="0" w:space="0" w:color="auto"/>
            <w:left w:val="none" w:sz="0" w:space="0" w:color="auto"/>
            <w:bottom w:val="none" w:sz="0" w:space="0" w:color="auto"/>
            <w:right w:val="none" w:sz="0" w:space="0" w:color="auto"/>
          </w:divBdr>
        </w:div>
        <w:div w:id="1045182068">
          <w:marLeft w:val="0"/>
          <w:marRight w:val="0"/>
          <w:marTop w:val="120"/>
          <w:marBottom w:val="0"/>
          <w:divBdr>
            <w:top w:val="none" w:sz="0" w:space="0" w:color="auto"/>
            <w:left w:val="none" w:sz="0" w:space="0" w:color="auto"/>
            <w:bottom w:val="none" w:sz="0" w:space="0" w:color="auto"/>
            <w:right w:val="none" w:sz="0" w:space="0" w:color="auto"/>
          </w:divBdr>
        </w:div>
        <w:div w:id="429398695">
          <w:marLeft w:val="1134"/>
          <w:marRight w:val="0"/>
          <w:marTop w:val="60"/>
          <w:marBottom w:val="0"/>
          <w:divBdr>
            <w:top w:val="none" w:sz="0" w:space="0" w:color="auto"/>
            <w:left w:val="none" w:sz="0" w:space="0" w:color="auto"/>
            <w:bottom w:val="none" w:sz="0" w:space="0" w:color="auto"/>
            <w:right w:val="none" w:sz="0" w:space="0" w:color="auto"/>
          </w:divBdr>
        </w:div>
        <w:div w:id="381057174">
          <w:marLeft w:val="567"/>
          <w:marRight w:val="567"/>
          <w:marTop w:val="20"/>
          <w:marBottom w:val="20"/>
          <w:divBdr>
            <w:top w:val="none" w:sz="0" w:space="0" w:color="auto"/>
            <w:left w:val="none" w:sz="0" w:space="0" w:color="auto"/>
            <w:bottom w:val="none" w:sz="0" w:space="0" w:color="auto"/>
            <w:right w:val="none" w:sz="0" w:space="0" w:color="auto"/>
          </w:divBdr>
        </w:div>
        <w:div w:id="913246188">
          <w:marLeft w:val="1134"/>
          <w:marRight w:val="0"/>
          <w:marTop w:val="60"/>
          <w:marBottom w:val="0"/>
          <w:divBdr>
            <w:top w:val="none" w:sz="0" w:space="0" w:color="auto"/>
            <w:left w:val="none" w:sz="0" w:space="0" w:color="auto"/>
            <w:bottom w:val="none" w:sz="0" w:space="0" w:color="auto"/>
            <w:right w:val="none" w:sz="0" w:space="0" w:color="auto"/>
          </w:divBdr>
        </w:div>
        <w:div w:id="2126608108">
          <w:marLeft w:val="567"/>
          <w:marRight w:val="567"/>
          <w:marTop w:val="20"/>
          <w:marBottom w:val="20"/>
          <w:divBdr>
            <w:top w:val="none" w:sz="0" w:space="0" w:color="auto"/>
            <w:left w:val="none" w:sz="0" w:space="0" w:color="auto"/>
            <w:bottom w:val="none" w:sz="0" w:space="0" w:color="auto"/>
            <w:right w:val="none" w:sz="0" w:space="0" w:color="auto"/>
          </w:divBdr>
        </w:div>
        <w:div w:id="1418091767">
          <w:marLeft w:val="1134"/>
          <w:marRight w:val="0"/>
          <w:marTop w:val="60"/>
          <w:marBottom w:val="0"/>
          <w:divBdr>
            <w:top w:val="none" w:sz="0" w:space="0" w:color="auto"/>
            <w:left w:val="none" w:sz="0" w:space="0" w:color="auto"/>
            <w:bottom w:val="none" w:sz="0" w:space="0" w:color="auto"/>
            <w:right w:val="none" w:sz="0" w:space="0" w:color="auto"/>
          </w:divBdr>
        </w:div>
        <w:div w:id="90320589">
          <w:marLeft w:val="1134"/>
          <w:marRight w:val="0"/>
          <w:marTop w:val="60"/>
          <w:marBottom w:val="0"/>
          <w:divBdr>
            <w:top w:val="none" w:sz="0" w:space="0" w:color="auto"/>
            <w:left w:val="none" w:sz="0" w:space="0" w:color="auto"/>
            <w:bottom w:val="none" w:sz="0" w:space="0" w:color="auto"/>
            <w:right w:val="none" w:sz="0" w:space="0" w:color="auto"/>
          </w:divBdr>
        </w:div>
        <w:div w:id="128791591">
          <w:marLeft w:val="567"/>
          <w:marRight w:val="567"/>
          <w:marTop w:val="20"/>
          <w:marBottom w:val="20"/>
          <w:divBdr>
            <w:top w:val="none" w:sz="0" w:space="0" w:color="auto"/>
            <w:left w:val="none" w:sz="0" w:space="0" w:color="auto"/>
            <w:bottom w:val="none" w:sz="0" w:space="0" w:color="auto"/>
            <w:right w:val="none" w:sz="0" w:space="0" w:color="auto"/>
          </w:divBdr>
        </w:div>
        <w:div w:id="1551762619">
          <w:marLeft w:val="567"/>
          <w:marRight w:val="567"/>
          <w:marTop w:val="20"/>
          <w:marBottom w:val="20"/>
          <w:divBdr>
            <w:top w:val="none" w:sz="0" w:space="0" w:color="auto"/>
            <w:left w:val="none" w:sz="0" w:space="0" w:color="auto"/>
            <w:bottom w:val="none" w:sz="0" w:space="0" w:color="auto"/>
            <w:right w:val="none" w:sz="0" w:space="0" w:color="auto"/>
          </w:divBdr>
        </w:div>
        <w:div w:id="119568983">
          <w:marLeft w:val="0"/>
          <w:marRight w:val="0"/>
          <w:marTop w:val="240"/>
          <w:marBottom w:val="0"/>
          <w:divBdr>
            <w:top w:val="none" w:sz="0" w:space="0" w:color="auto"/>
            <w:left w:val="none" w:sz="0" w:space="0" w:color="auto"/>
            <w:bottom w:val="none" w:sz="0" w:space="0" w:color="auto"/>
            <w:right w:val="none" w:sz="0" w:space="0" w:color="auto"/>
          </w:divBdr>
        </w:div>
        <w:div w:id="2106146182">
          <w:marLeft w:val="0"/>
          <w:marRight w:val="0"/>
          <w:marTop w:val="120"/>
          <w:marBottom w:val="0"/>
          <w:divBdr>
            <w:top w:val="none" w:sz="0" w:space="0" w:color="auto"/>
            <w:left w:val="none" w:sz="0" w:space="0" w:color="auto"/>
            <w:bottom w:val="none" w:sz="0" w:space="0" w:color="auto"/>
            <w:right w:val="none" w:sz="0" w:space="0" w:color="auto"/>
          </w:divBdr>
        </w:div>
        <w:div w:id="1343126358">
          <w:marLeft w:val="0"/>
          <w:marRight w:val="0"/>
          <w:marTop w:val="120"/>
          <w:marBottom w:val="0"/>
          <w:divBdr>
            <w:top w:val="none" w:sz="0" w:space="0" w:color="auto"/>
            <w:left w:val="none" w:sz="0" w:space="0" w:color="auto"/>
            <w:bottom w:val="none" w:sz="0" w:space="0" w:color="auto"/>
            <w:right w:val="none" w:sz="0" w:space="0" w:color="auto"/>
          </w:divBdr>
        </w:div>
        <w:div w:id="801727371">
          <w:marLeft w:val="0"/>
          <w:marRight w:val="0"/>
          <w:marTop w:val="120"/>
          <w:marBottom w:val="0"/>
          <w:divBdr>
            <w:top w:val="none" w:sz="0" w:space="0" w:color="auto"/>
            <w:left w:val="none" w:sz="0" w:space="0" w:color="auto"/>
            <w:bottom w:val="none" w:sz="0" w:space="0" w:color="auto"/>
            <w:right w:val="none" w:sz="0" w:space="0" w:color="auto"/>
          </w:divBdr>
        </w:div>
        <w:div w:id="2246889">
          <w:marLeft w:val="567"/>
          <w:marRight w:val="567"/>
          <w:marTop w:val="20"/>
          <w:marBottom w:val="20"/>
          <w:divBdr>
            <w:top w:val="none" w:sz="0" w:space="0" w:color="auto"/>
            <w:left w:val="none" w:sz="0" w:space="0" w:color="auto"/>
            <w:bottom w:val="none" w:sz="0" w:space="0" w:color="auto"/>
            <w:right w:val="none" w:sz="0" w:space="0" w:color="auto"/>
          </w:divBdr>
        </w:div>
        <w:div w:id="606280776">
          <w:marLeft w:val="0"/>
          <w:marRight w:val="0"/>
          <w:marTop w:val="120"/>
          <w:marBottom w:val="0"/>
          <w:divBdr>
            <w:top w:val="none" w:sz="0" w:space="0" w:color="auto"/>
            <w:left w:val="none" w:sz="0" w:space="0" w:color="auto"/>
            <w:bottom w:val="none" w:sz="0" w:space="0" w:color="auto"/>
            <w:right w:val="none" w:sz="0" w:space="0" w:color="auto"/>
          </w:divBdr>
        </w:div>
        <w:div w:id="425032234">
          <w:marLeft w:val="1134"/>
          <w:marRight w:val="0"/>
          <w:marTop w:val="60"/>
          <w:marBottom w:val="0"/>
          <w:divBdr>
            <w:top w:val="none" w:sz="0" w:space="0" w:color="auto"/>
            <w:left w:val="none" w:sz="0" w:space="0" w:color="auto"/>
            <w:bottom w:val="none" w:sz="0" w:space="0" w:color="auto"/>
            <w:right w:val="none" w:sz="0" w:space="0" w:color="auto"/>
          </w:divBdr>
        </w:div>
        <w:div w:id="1473718411">
          <w:marLeft w:val="1134"/>
          <w:marRight w:val="0"/>
          <w:marTop w:val="60"/>
          <w:marBottom w:val="0"/>
          <w:divBdr>
            <w:top w:val="none" w:sz="0" w:space="0" w:color="auto"/>
            <w:left w:val="none" w:sz="0" w:space="0" w:color="auto"/>
            <w:bottom w:val="none" w:sz="0" w:space="0" w:color="auto"/>
            <w:right w:val="none" w:sz="0" w:space="0" w:color="auto"/>
          </w:divBdr>
        </w:div>
        <w:div w:id="1604924420">
          <w:marLeft w:val="1134"/>
          <w:marRight w:val="0"/>
          <w:marTop w:val="60"/>
          <w:marBottom w:val="0"/>
          <w:divBdr>
            <w:top w:val="none" w:sz="0" w:space="0" w:color="auto"/>
            <w:left w:val="none" w:sz="0" w:space="0" w:color="auto"/>
            <w:bottom w:val="none" w:sz="0" w:space="0" w:color="auto"/>
            <w:right w:val="none" w:sz="0" w:space="0" w:color="auto"/>
          </w:divBdr>
        </w:div>
        <w:div w:id="542450193">
          <w:marLeft w:val="567"/>
          <w:marRight w:val="567"/>
          <w:marTop w:val="20"/>
          <w:marBottom w:val="20"/>
          <w:divBdr>
            <w:top w:val="none" w:sz="0" w:space="0" w:color="auto"/>
            <w:left w:val="none" w:sz="0" w:space="0" w:color="auto"/>
            <w:bottom w:val="none" w:sz="0" w:space="0" w:color="auto"/>
            <w:right w:val="none" w:sz="0" w:space="0" w:color="auto"/>
          </w:divBdr>
        </w:div>
        <w:div w:id="1973292903">
          <w:marLeft w:val="0"/>
          <w:marRight w:val="0"/>
          <w:marTop w:val="120"/>
          <w:marBottom w:val="0"/>
          <w:divBdr>
            <w:top w:val="none" w:sz="0" w:space="0" w:color="auto"/>
            <w:left w:val="none" w:sz="0" w:space="0" w:color="auto"/>
            <w:bottom w:val="none" w:sz="0" w:space="0" w:color="auto"/>
            <w:right w:val="none" w:sz="0" w:space="0" w:color="auto"/>
          </w:divBdr>
        </w:div>
        <w:div w:id="1943224543">
          <w:marLeft w:val="0"/>
          <w:marRight w:val="0"/>
          <w:marTop w:val="120"/>
          <w:marBottom w:val="0"/>
          <w:divBdr>
            <w:top w:val="none" w:sz="0" w:space="0" w:color="auto"/>
            <w:left w:val="none" w:sz="0" w:space="0" w:color="auto"/>
            <w:bottom w:val="none" w:sz="0" w:space="0" w:color="auto"/>
            <w:right w:val="none" w:sz="0" w:space="0" w:color="auto"/>
          </w:divBdr>
        </w:div>
        <w:div w:id="1470392125">
          <w:marLeft w:val="0"/>
          <w:marRight w:val="0"/>
          <w:marTop w:val="120"/>
          <w:marBottom w:val="0"/>
          <w:divBdr>
            <w:top w:val="none" w:sz="0" w:space="0" w:color="auto"/>
            <w:left w:val="none" w:sz="0" w:space="0" w:color="auto"/>
            <w:bottom w:val="none" w:sz="0" w:space="0" w:color="auto"/>
            <w:right w:val="none" w:sz="0" w:space="0" w:color="auto"/>
          </w:divBdr>
        </w:div>
        <w:div w:id="902370527">
          <w:marLeft w:val="567"/>
          <w:marRight w:val="567"/>
          <w:marTop w:val="20"/>
          <w:marBottom w:val="20"/>
          <w:divBdr>
            <w:top w:val="none" w:sz="0" w:space="0" w:color="auto"/>
            <w:left w:val="none" w:sz="0" w:space="0" w:color="auto"/>
            <w:bottom w:val="none" w:sz="0" w:space="0" w:color="auto"/>
            <w:right w:val="none" w:sz="0" w:space="0" w:color="auto"/>
          </w:divBdr>
        </w:div>
        <w:div w:id="1292705760">
          <w:marLeft w:val="0"/>
          <w:marRight w:val="0"/>
          <w:marTop w:val="240"/>
          <w:marBottom w:val="0"/>
          <w:divBdr>
            <w:top w:val="none" w:sz="0" w:space="0" w:color="auto"/>
            <w:left w:val="none" w:sz="0" w:space="0" w:color="auto"/>
            <w:bottom w:val="none" w:sz="0" w:space="0" w:color="auto"/>
            <w:right w:val="none" w:sz="0" w:space="0" w:color="auto"/>
          </w:divBdr>
        </w:div>
        <w:div w:id="1610118576">
          <w:marLeft w:val="0"/>
          <w:marRight w:val="0"/>
          <w:marTop w:val="120"/>
          <w:marBottom w:val="0"/>
          <w:divBdr>
            <w:top w:val="none" w:sz="0" w:space="0" w:color="auto"/>
            <w:left w:val="none" w:sz="0" w:space="0" w:color="auto"/>
            <w:bottom w:val="none" w:sz="0" w:space="0" w:color="auto"/>
            <w:right w:val="none" w:sz="0" w:space="0" w:color="auto"/>
          </w:divBdr>
        </w:div>
        <w:div w:id="304169397">
          <w:marLeft w:val="1134"/>
          <w:marRight w:val="0"/>
          <w:marTop w:val="60"/>
          <w:marBottom w:val="0"/>
          <w:divBdr>
            <w:top w:val="none" w:sz="0" w:space="0" w:color="auto"/>
            <w:left w:val="none" w:sz="0" w:space="0" w:color="auto"/>
            <w:bottom w:val="none" w:sz="0" w:space="0" w:color="auto"/>
            <w:right w:val="none" w:sz="0" w:space="0" w:color="auto"/>
          </w:divBdr>
        </w:div>
        <w:div w:id="1313489215">
          <w:marLeft w:val="1134"/>
          <w:marRight w:val="0"/>
          <w:marTop w:val="60"/>
          <w:marBottom w:val="0"/>
          <w:divBdr>
            <w:top w:val="none" w:sz="0" w:space="0" w:color="auto"/>
            <w:left w:val="none" w:sz="0" w:space="0" w:color="auto"/>
            <w:bottom w:val="none" w:sz="0" w:space="0" w:color="auto"/>
            <w:right w:val="none" w:sz="0" w:space="0" w:color="auto"/>
          </w:divBdr>
        </w:div>
        <w:div w:id="483396051">
          <w:marLeft w:val="0"/>
          <w:marRight w:val="0"/>
          <w:marTop w:val="120"/>
          <w:marBottom w:val="0"/>
          <w:divBdr>
            <w:top w:val="none" w:sz="0" w:space="0" w:color="auto"/>
            <w:left w:val="none" w:sz="0" w:space="0" w:color="auto"/>
            <w:bottom w:val="none" w:sz="0" w:space="0" w:color="auto"/>
            <w:right w:val="none" w:sz="0" w:space="0" w:color="auto"/>
          </w:divBdr>
        </w:div>
        <w:div w:id="2082562190">
          <w:marLeft w:val="567"/>
          <w:marRight w:val="567"/>
          <w:marTop w:val="20"/>
          <w:marBottom w:val="20"/>
          <w:divBdr>
            <w:top w:val="none" w:sz="0" w:space="0" w:color="auto"/>
            <w:left w:val="none" w:sz="0" w:space="0" w:color="auto"/>
            <w:bottom w:val="none" w:sz="0" w:space="0" w:color="auto"/>
            <w:right w:val="none" w:sz="0" w:space="0" w:color="auto"/>
          </w:divBdr>
        </w:div>
      </w:divsChild>
    </w:div>
    <w:div w:id="1491864593">
      <w:bodyDiv w:val="1"/>
      <w:marLeft w:val="0"/>
      <w:marRight w:val="0"/>
      <w:marTop w:val="0"/>
      <w:marBottom w:val="0"/>
      <w:divBdr>
        <w:top w:val="none" w:sz="0" w:space="0" w:color="auto"/>
        <w:left w:val="none" w:sz="0" w:space="0" w:color="auto"/>
        <w:bottom w:val="none" w:sz="0" w:space="0" w:color="auto"/>
        <w:right w:val="none" w:sz="0" w:space="0" w:color="auto"/>
      </w:divBdr>
      <w:divsChild>
        <w:div w:id="1718432840">
          <w:marLeft w:val="0"/>
          <w:marRight w:val="0"/>
          <w:marTop w:val="240"/>
          <w:marBottom w:val="0"/>
          <w:divBdr>
            <w:top w:val="none" w:sz="0" w:space="0" w:color="auto"/>
            <w:left w:val="none" w:sz="0" w:space="0" w:color="auto"/>
            <w:bottom w:val="none" w:sz="0" w:space="0" w:color="auto"/>
            <w:right w:val="none" w:sz="0" w:space="0" w:color="auto"/>
          </w:divBdr>
        </w:div>
        <w:div w:id="1410273707">
          <w:marLeft w:val="0"/>
          <w:marRight w:val="0"/>
          <w:marTop w:val="120"/>
          <w:marBottom w:val="0"/>
          <w:divBdr>
            <w:top w:val="none" w:sz="0" w:space="0" w:color="auto"/>
            <w:left w:val="none" w:sz="0" w:space="0" w:color="auto"/>
            <w:bottom w:val="none" w:sz="0" w:space="0" w:color="auto"/>
            <w:right w:val="none" w:sz="0" w:space="0" w:color="auto"/>
          </w:divBdr>
        </w:div>
        <w:div w:id="1584100519">
          <w:marLeft w:val="0"/>
          <w:marRight w:val="0"/>
          <w:marTop w:val="120"/>
          <w:marBottom w:val="0"/>
          <w:divBdr>
            <w:top w:val="none" w:sz="0" w:space="0" w:color="auto"/>
            <w:left w:val="none" w:sz="0" w:space="0" w:color="auto"/>
            <w:bottom w:val="none" w:sz="0" w:space="0" w:color="auto"/>
            <w:right w:val="none" w:sz="0" w:space="0" w:color="auto"/>
          </w:divBdr>
        </w:div>
      </w:divsChild>
    </w:div>
    <w:div w:id="1619601546">
      <w:bodyDiv w:val="1"/>
      <w:marLeft w:val="0"/>
      <w:marRight w:val="0"/>
      <w:marTop w:val="0"/>
      <w:marBottom w:val="0"/>
      <w:divBdr>
        <w:top w:val="none" w:sz="0" w:space="0" w:color="auto"/>
        <w:left w:val="none" w:sz="0" w:space="0" w:color="auto"/>
        <w:bottom w:val="none" w:sz="0" w:space="0" w:color="auto"/>
        <w:right w:val="none" w:sz="0" w:space="0" w:color="auto"/>
      </w:divBdr>
    </w:div>
    <w:div w:id="1815177631">
      <w:bodyDiv w:val="1"/>
      <w:marLeft w:val="0"/>
      <w:marRight w:val="0"/>
      <w:marTop w:val="0"/>
      <w:marBottom w:val="0"/>
      <w:divBdr>
        <w:top w:val="none" w:sz="0" w:space="0" w:color="auto"/>
        <w:left w:val="none" w:sz="0" w:space="0" w:color="auto"/>
        <w:bottom w:val="none" w:sz="0" w:space="0" w:color="auto"/>
        <w:right w:val="none" w:sz="0" w:space="0" w:color="auto"/>
      </w:divBdr>
      <w:divsChild>
        <w:div w:id="1300379227">
          <w:marLeft w:val="0"/>
          <w:marRight w:val="0"/>
          <w:marTop w:val="144"/>
          <w:marBottom w:val="24"/>
          <w:divBdr>
            <w:top w:val="none" w:sz="0" w:space="0" w:color="auto"/>
            <w:left w:val="none" w:sz="0" w:space="0" w:color="auto"/>
            <w:bottom w:val="none" w:sz="0" w:space="0" w:color="auto"/>
            <w:right w:val="none" w:sz="0" w:space="0" w:color="auto"/>
          </w:divBdr>
        </w:div>
      </w:divsChild>
    </w:div>
    <w:div w:id="2078555941">
      <w:bodyDiv w:val="1"/>
      <w:marLeft w:val="0"/>
      <w:marRight w:val="0"/>
      <w:marTop w:val="0"/>
      <w:marBottom w:val="0"/>
      <w:divBdr>
        <w:top w:val="none" w:sz="0" w:space="0" w:color="auto"/>
        <w:left w:val="none" w:sz="0" w:space="0" w:color="auto"/>
        <w:bottom w:val="none" w:sz="0" w:space="0" w:color="auto"/>
        <w:right w:val="none" w:sz="0" w:space="0" w:color="auto"/>
      </w:divBdr>
      <w:divsChild>
        <w:div w:id="182059558">
          <w:marLeft w:val="0"/>
          <w:marRight w:val="0"/>
          <w:marTop w:val="120"/>
          <w:marBottom w:val="0"/>
          <w:divBdr>
            <w:top w:val="none" w:sz="0" w:space="0" w:color="auto"/>
            <w:left w:val="none" w:sz="0" w:space="0" w:color="auto"/>
            <w:bottom w:val="none" w:sz="0" w:space="0" w:color="auto"/>
            <w:right w:val="none" w:sz="0" w:space="0" w:color="auto"/>
          </w:divBdr>
        </w:div>
        <w:div w:id="1952666396">
          <w:marLeft w:val="56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B33EA-3FDD-40FD-A9DF-38E40FB1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Judge-Joseph Mhlambi</cp:lastModifiedBy>
  <cp:revision>56</cp:revision>
  <cp:lastPrinted>2022-11-14T07:17:00Z</cp:lastPrinted>
  <dcterms:created xsi:type="dcterms:W3CDTF">2022-11-11T13:29:00Z</dcterms:created>
  <dcterms:modified xsi:type="dcterms:W3CDTF">2022-11-14T07:17:00Z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23440ddef8f2d84d32b96441a23fc1d849ab7307c68c7943ae7cfe59a0cd983a</vt:lpwstr>
  </property>
</Properties>
</file>