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B0E4C" w14:textId="77777777" w:rsidR="005E5384" w:rsidRPr="00280793" w:rsidRDefault="005E5384" w:rsidP="00D73BED">
      <w:pPr>
        <w:rPr>
          <w:rFonts w:ascii="Arial" w:hAnsi="Arial" w:cs="Arial"/>
          <w:b/>
          <w:sz w:val="24"/>
          <w:szCs w:val="24"/>
          <w:u w:val="single"/>
        </w:rPr>
      </w:pPr>
      <w:r w:rsidRPr="00280793">
        <w:rPr>
          <w:rFonts w:ascii="Arial" w:hAnsi="Arial" w:cs="Arial"/>
          <w:noProof/>
          <w:sz w:val="24"/>
          <w:szCs w:val="24"/>
          <w:lang w:eastAsia="en-ZA"/>
        </w:rPr>
        <w:drawing>
          <wp:anchor distT="0" distB="0" distL="0" distR="0" simplePos="0" relativeHeight="251659264" behindDoc="0" locked="0" layoutInCell="1" allowOverlap="1" wp14:anchorId="158EB296" wp14:editId="1E65E096">
            <wp:simplePos x="0" y="0"/>
            <wp:positionH relativeFrom="margin">
              <wp:align>center</wp:align>
            </wp:positionH>
            <wp:positionV relativeFrom="margin">
              <wp:posOffset>-587188</wp:posOffset>
            </wp:positionV>
            <wp:extent cx="1342390" cy="13423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42390" cy="1342390"/>
                    </a:xfrm>
                    <a:prstGeom prst="rect">
                      <a:avLst/>
                    </a:prstGeom>
                    <a:noFill/>
                  </pic:spPr>
                </pic:pic>
              </a:graphicData>
            </a:graphic>
            <wp14:sizeRelH relativeFrom="page">
              <wp14:pctWidth>0</wp14:pctWidth>
            </wp14:sizeRelH>
            <wp14:sizeRelV relativeFrom="page">
              <wp14:pctHeight>0</wp14:pctHeight>
            </wp14:sizeRelV>
          </wp:anchor>
        </w:drawing>
      </w:r>
    </w:p>
    <w:p w14:paraId="25705A0B" w14:textId="77777777" w:rsidR="005E5384" w:rsidRPr="00280793" w:rsidRDefault="005E5384" w:rsidP="00FB32BC">
      <w:pPr>
        <w:jc w:val="center"/>
        <w:rPr>
          <w:rFonts w:ascii="Arial" w:hAnsi="Arial" w:cs="Arial"/>
          <w:b/>
          <w:sz w:val="24"/>
          <w:szCs w:val="24"/>
          <w:u w:val="single"/>
        </w:rPr>
      </w:pPr>
    </w:p>
    <w:p w14:paraId="623B2911" w14:textId="77777777" w:rsidR="005E5384" w:rsidRPr="00280793" w:rsidRDefault="005E5384" w:rsidP="00FB32BC">
      <w:pPr>
        <w:jc w:val="center"/>
        <w:rPr>
          <w:rFonts w:ascii="Arial" w:hAnsi="Arial" w:cs="Arial"/>
          <w:b/>
          <w:sz w:val="24"/>
          <w:szCs w:val="24"/>
          <w:u w:val="single"/>
        </w:rPr>
      </w:pPr>
    </w:p>
    <w:p w14:paraId="12A35F8C" w14:textId="77777777" w:rsidR="00FB32BC" w:rsidRPr="00280793" w:rsidRDefault="00FB32BC" w:rsidP="00FB32BC">
      <w:pPr>
        <w:jc w:val="center"/>
        <w:rPr>
          <w:rFonts w:ascii="Arial" w:hAnsi="Arial" w:cs="Arial"/>
          <w:b/>
          <w:sz w:val="24"/>
          <w:szCs w:val="24"/>
          <w:u w:val="single"/>
        </w:rPr>
      </w:pPr>
      <w:r w:rsidRPr="00280793">
        <w:rPr>
          <w:rFonts w:ascii="Arial" w:hAnsi="Arial" w:cs="Arial"/>
          <w:b/>
          <w:sz w:val="24"/>
          <w:szCs w:val="24"/>
          <w:u w:val="single"/>
        </w:rPr>
        <w:t>IN THE HIGH COURT OF SOUTH AFRICA,</w:t>
      </w:r>
    </w:p>
    <w:p w14:paraId="209546B1" w14:textId="77777777" w:rsidR="00FB32BC" w:rsidRPr="00280793" w:rsidRDefault="00FB32BC" w:rsidP="00FB32BC">
      <w:pPr>
        <w:jc w:val="center"/>
        <w:rPr>
          <w:rFonts w:ascii="Arial" w:hAnsi="Arial" w:cs="Arial"/>
          <w:b/>
          <w:sz w:val="24"/>
          <w:szCs w:val="24"/>
          <w:u w:val="single"/>
        </w:rPr>
      </w:pPr>
      <w:r w:rsidRPr="00280793">
        <w:rPr>
          <w:rFonts w:ascii="Arial" w:hAnsi="Arial" w:cs="Arial"/>
          <w:b/>
          <w:sz w:val="24"/>
          <w:szCs w:val="24"/>
          <w:u w:val="single"/>
        </w:rPr>
        <w:t>FREE STATE DIVISION, BLOEMFONTEIN</w:t>
      </w:r>
    </w:p>
    <w:tbl>
      <w:tblPr>
        <w:tblStyle w:val="TableGrid"/>
        <w:tblW w:w="3261" w:type="dxa"/>
        <w:tblInd w:w="5778" w:type="dxa"/>
        <w:tblLook w:val="04A0" w:firstRow="1" w:lastRow="0" w:firstColumn="1" w:lastColumn="0" w:noHBand="0" w:noVBand="1"/>
      </w:tblPr>
      <w:tblGrid>
        <w:gridCol w:w="3261"/>
      </w:tblGrid>
      <w:tr w:rsidR="00280793" w:rsidRPr="00280793" w14:paraId="07CAF414" w14:textId="77777777" w:rsidTr="009A1981">
        <w:trPr>
          <w:trHeight w:val="642"/>
        </w:trPr>
        <w:tc>
          <w:tcPr>
            <w:tcW w:w="3261" w:type="dxa"/>
            <w:shd w:val="clear" w:color="auto" w:fill="FFFFFF" w:themeFill="background1"/>
          </w:tcPr>
          <w:p w14:paraId="19C5BD0F" w14:textId="77777777" w:rsidR="00FB32BC" w:rsidRPr="00280793" w:rsidRDefault="00FB32BC" w:rsidP="009A1981">
            <w:pPr>
              <w:spacing w:line="360" w:lineRule="auto"/>
              <w:rPr>
                <w:rFonts w:ascii="Arial" w:hAnsi="Arial" w:cs="Arial"/>
                <w:b/>
                <w:sz w:val="16"/>
                <w:szCs w:val="16"/>
              </w:rPr>
            </w:pPr>
            <w:r w:rsidRPr="00280793">
              <w:rPr>
                <w:rFonts w:ascii="Arial" w:hAnsi="Arial" w:cs="Arial"/>
                <w:b/>
                <w:sz w:val="16"/>
                <w:szCs w:val="16"/>
              </w:rPr>
              <w:t>Reportable:                                  NO</w:t>
            </w:r>
          </w:p>
          <w:p w14:paraId="51F2AA3C" w14:textId="77777777" w:rsidR="00FB32BC" w:rsidRPr="00280793" w:rsidRDefault="00FB32BC" w:rsidP="009A1981">
            <w:pPr>
              <w:spacing w:line="360" w:lineRule="auto"/>
              <w:rPr>
                <w:rFonts w:ascii="Arial" w:hAnsi="Arial" w:cs="Arial"/>
                <w:b/>
                <w:sz w:val="16"/>
                <w:szCs w:val="16"/>
              </w:rPr>
            </w:pPr>
            <w:r w:rsidRPr="00280793">
              <w:rPr>
                <w:rFonts w:ascii="Arial" w:hAnsi="Arial" w:cs="Arial"/>
                <w:b/>
                <w:sz w:val="16"/>
                <w:szCs w:val="16"/>
              </w:rPr>
              <w:t>Of Interest to other Judges:       NO</w:t>
            </w:r>
          </w:p>
          <w:p w14:paraId="6579AC11" w14:textId="77777777" w:rsidR="00FB32BC" w:rsidRPr="00280793" w:rsidRDefault="00FB32BC" w:rsidP="009A1981">
            <w:pPr>
              <w:spacing w:line="360" w:lineRule="auto"/>
              <w:rPr>
                <w:rFonts w:ascii="Arial" w:hAnsi="Arial" w:cs="Arial"/>
                <w:b/>
                <w:sz w:val="16"/>
                <w:szCs w:val="16"/>
                <w:u w:val="single"/>
              </w:rPr>
            </w:pPr>
            <w:r w:rsidRPr="00280793">
              <w:rPr>
                <w:rFonts w:ascii="Arial" w:hAnsi="Arial" w:cs="Arial"/>
                <w:b/>
                <w:sz w:val="16"/>
                <w:szCs w:val="16"/>
              </w:rPr>
              <w:t>Circulate to Magistrates:            NO</w:t>
            </w:r>
          </w:p>
        </w:tc>
      </w:tr>
    </w:tbl>
    <w:p w14:paraId="100245F6" w14:textId="77777777" w:rsidR="00FB32BC" w:rsidRPr="00280793" w:rsidRDefault="00FB32BC" w:rsidP="00FB32BC">
      <w:pPr>
        <w:spacing w:after="0" w:line="240" w:lineRule="auto"/>
        <w:jc w:val="both"/>
        <w:rPr>
          <w:rFonts w:ascii="Arial" w:hAnsi="Arial" w:cs="Arial"/>
          <w:b/>
          <w:sz w:val="24"/>
          <w:szCs w:val="24"/>
        </w:rPr>
      </w:pPr>
    </w:p>
    <w:p w14:paraId="4242A5AA" w14:textId="77777777" w:rsidR="00C42782" w:rsidRPr="00280793" w:rsidRDefault="00C42782" w:rsidP="00C42782">
      <w:pPr>
        <w:spacing w:after="0" w:line="240" w:lineRule="auto"/>
        <w:jc w:val="right"/>
        <w:rPr>
          <w:rFonts w:ascii="Arial" w:hAnsi="Arial" w:cs="Arial"/>
          <w:b/>
          <w:sz w:val="24"/>
          <w:szCs w:val="24"/>
        </w:rPr>
      </w:pPr>
      <w:r w:rsidRPr="00280793">
        <w:rPr>
          <w:rFonts w:ascii="Arial" w:hAnsi="Arial" w:cs="Arial"/>
          <w:sz w:val="24"/>
          <w:szCs w:val="24"/>
        </w:rPr>
        <w:t xml:space="preserve">Case No:  </w:t>
      </w:r>
      <w:r w:rsidRPr="00280793">
        <w:rPr>
          <w:rFonts w:ascii="Arial" w:hAnsi="Arial" w:cs="Arial"/>
          <w:b/>
          <w:sz w:val="24"/>
          <w:szCs w:val="24"/>
        </w:rPr>
        <w:t>171/2022</w:t>
      </w:r>
    </w:p>
    <w:p w14:paraId="11DA468C" w14:textId="77777777" w:rsidR="00E40945" w:rsidRDefault="00E40945" w:rsidP="00C42782">
      <w:pPr>
        <w:spacing w:after="0" w:line="240" w:lineRule="auto"/>
        <w:jc w:val="both"/>
        <w:rPr>
          <w:rFonts w:ascii="Arial" w:hAnsi="Arial" w:cs="Arial"/>
          <w:sz w:val="24"/>
          <w:szCs w:val="24"/>
        </w:rPr>
      </w:pPr>
    </w:p>
    <w:p w14:paraId="7DD12FE3" w14:textId="77777777" w:rsidR="00C42782" w:rsidRPr="00280793" w:rsidRDefault="00C42782" w:rsidP="00C42782">
      <w:pPr>
        <w:spacing w:after="0" w:line="240" w:lineRule="auto"/>
        <w:jc w:val="both"/>
        <w:rPr>
          <w:rFonts w:ascii="Arial" w:hAnsi="Arial" w:cs="Arial"/>
          <w:sz w:val="24"/>
          <w:szCs w:val="24"/>
        </w:rPr>
      </w:pPr>
      <w:r w:rsidRPr="00280793">
        <w:rPr>
          <w:rFonts w:ascii="Arial" w:hAnsi="Arial" w:cs="Arial"/>
          <w:sz w:val="24"/>
          <w:szCs w:val="24"/>
        </w:rPr>
        <w:t>In the matter between:</w:t>
      </w:r>
    </w:p>
    <w:p w14:paraId="5D271F29" w14:textId="77777777" w:rsidR="00E40945" w:rsidRDefault="00E40945" w:rsidP="00C42782">
      <w:pPr>
        <w:spacing w:after="0" w:line="240" w:lineRule="auto"/>
        <w:jc w:val="both"/>
        <w:rPr>
          <w:rFonts w:ascii="Arial" w:hAnsi="Arial" w:cs="Arial"/>
          <w:b/>
          <w:sz w:val="24"/>
          <w:szCs w:val="24"/>
        </w:rPr>
      </w:pPr>
    </w:p>
    <w:p w14:paraId="40E33FEF" w14:textId="77777777" w:rsidR="00C42782" w:rsidRPr="00280793" w:rsidRDefault="00C42782" w:rsidP="00C42782">
      <w:pPr>
        <w:spacing w:after="0" w:line="240" w:lineRule="auto"/>
        <w:jc w:val="both"/>
        <w:rPr>
          <w:rFonts w:ascii="Arial" w:hAnsi="Arial" w:cs="Arial"/>
          <w:b/>
          <w:sz w:val="24"/>
          <w:szCs w:val="24"/>
        </w:rPr>
      </w:pPr>
      <w:r w:rsidRPr="00280793">
        <w:rPr>
          <w:rFonts w:ascii="Arial" w:hAnsi="Arial" w:cs="Arial"/>
          <w:b/>
          <w:sz w:val="24"/>
          <w:szCs w:val="24"/>
        </w:rPr>
        <w:tab/>
      </w:r>
      <w:r w:rsidRPr="00280793">
        <w:rPr>
          <w:rFonts w:ascii="Arial" w:hAnsi="Arial" w:cs="Arial"/>
          <w:b/>
          <w:sz w:val="24"/>
          <w:szCs w:val="24"/>
        </w:rPr>
        <w:tab/>
      </w:r>
      <w:r w:rsidRPr="00280793">
        <w:rPr>
          <w:rFonts w:ascii="Arial" w:hAnsi="Arial" w:cs="Arial"/>
          <w:b/>
          <w:sz w:val="24"/>
          <w:szCs w:val="24"/>
        </w:rPr>
        <w:tab/>
      </w:r>
    </w:p>
    <w:p w14:paraId="69189E12" w14:textId="77777777" w:rsidR="00C42782" w:rsidRPr="00280793" w:rsidRDefault="00C42782" w:rsidP="00C427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r w:rsidRPr="00280793">
        <w:rPr>
          <w:rFonts w:ascii="Arial" w:hAnsi="Arial" w:cs="Arial"/>
          <w:b/>
          <w:sz w:val="24"/>
          <w:szCs w:val="24"/>
        </w:rPr>
        <w:t>R</w:t>
      </w:r>
      <w:r w:rsidR="0070105B">
        <w:rPr>
          <w:rFonts w:ascii="Arial" w:hAnsi="Arial" w:cs="Arial"/>
          <w:b/>
          <w:sz w:val="24"/>
          <w:szCs w:val="24"/>
        </w:rPr>
        <w:t>OADMAC SURFACING (PTY) LTD</w:t>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t xml:space="preserve"> </w:t>
      </w:r>
      <w:r w:rsidRPr="00280793">
        <w:rPr>
          <w:rFonts w:ascii="Arial" w:hAnsi="Arial" w:cs="Arial"/>
          <w:sz w:val="24"/>
          <w:szCs w:val="24"/>
        </w:rPr>
        <w:t>Applicant</w:t>
      </w:r>
    </w:p>
    <w:p w14:paraId="7075081B" w14:textId="77777777" w:rsidR="00C42782" w:rsidRPr="00280793" w:rsidRDefault="00C42782" w:rsidP="00C42782">
      <w:pPr>
        <w:tabs>
          <w:tab w:val="left" w:pos="0"/>
          <w:tab w:val="left" w:pos="720"/>
          <w:tab w:val="left" w:pos="1440"/>
          <w:tab w:val="left" w:pos="2160"/>
          <w:tab w:val="left" w:pos="2880"/>
          <w:tab w:val="left" w:pos="3600"/>
          <w:tab w:val="left" w:pos="4320"/>
          <w:tab w:val="left" w:pos="5040"/>
          <w:tab w:val="left" w:pos="5760"/>
          <w:tab w:val="left" w:pos="6480"/>
          <w:tab w:val="left" w:pos="7200"/>
          <w:tab w:val="right" w:pos="8931"/>
        </w:tabs>
        <w:spacing w:after="0" w:line="240" w:lineRule="auto"/>
        <w:jc w:val="both"/>
        <w:rPr>
          <w:rFonts w:ascii="Arial" w:hAnsi="Arial" w:cs="Arial"/>
          <w:sz w:val="24"/>
          <w:szCs w:val="24"/>
        </w:rPr>
      </w:pPr>
      <w:r w:rsidRPr="00280793">
        <w:rPr>
          <w:rFonts w:ascii="Arial" w:hAnsi="Arial" w:cs="Arial"/>
          <w:sz w:val="24"/>
          <w:szCs w:val="24"/>
        </w:rPr>
        <w:t>(Registration number:  1992/001299/07)</w:t>
      </w:r>
    </w:p>
    <w:p w14:paraId="54C4DF68" w14:textId="77777777" w:rsidR="00C42782" w:rsidRPr="00280793" w:rsidRDefault="0070105B"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Pr>
          <w:rFonts w:ascii="Arial" w:hAnsi="Arial" w:cs="Arial"/>
          <w:sz w:val="24"/>
          <w:szCs w:val="24"/>
        </w:rPr>
        <w:t xml:space="preserve"> </w:t>
      </w:r>
    </w:p>
    <w:p w14:paraId="1FBB6C54"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p>
    <w:p w14:paraId="74379A4B" w14:textId="77777777" w:rsidR="00C42782" w:rsidRPr="00280793" w:rsidRDefault="00C42782" w:rsidP="00C42782">
      <w:pPr>
        <w:tabs>
          <w:tab w:val="right" w:pos="8931"/>
        </w:tabs>
        <w:spacing w:after="0" w:line="240" w:lineRule="auto"/>
        <w:jc w:val="both"/>
        <w:rPr>
          <w:rFonts w:ascii="Arial" w:hAnsi="Arial" w:cs="Arial"/>
          <w:sz w:val="24"/>
          <w:szCs w:val="24"/>
        </w:rPr>
      </w:pPr>
      <w:r w:rsidRPr="00280793">
        <w:rPr>
          <w:rFonts w:ascii="Arial" w:hAnsi="Arial" w:cs="Arial"/>
          <w:sz w:val="24"/>
          <w:szCs w:val="24"/>
        </w:rPr>
        <w:t>and</w:t>
      </w:r>
    </w:p>
    <w:p w14:paraId="14272FE7" w14:textId="77777777" w:rsidR="00C42782" w:rsidRPr="00280793" w:rsidRDefault="00C42782" w:rsidP="00C42782">
      <w:pPr>
        <w:tabs>
          <w:tab w:val="right" w:pos="8931"/>
        </w:tabs>
        <w:spacing w:after="0" w:line="240" w:lineRule="auto"/>
        <w:jc w:val="both"/>
        <w:rPr>
          <w:rFonts w:ascii="Arial" w:hAnsi="Arial" w:cs="Arial"/>
          <w:sz w:val="24"/>
          <w:szCs w:val="24"/>
        </w:rPr>
      </w:pPr>
    </w:p>
    <w:p w14:paraId="3E655FC0"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b/>
          <w:sz w:val="24"/>
          <w:szCs w:val="24"/>
        </w:rPr>
      </w:pPr>
      <w:r w:rsidRPr="00280793">
        <w:rPr>
          <w:rFonts w:ascii="Arial" w:hAnsi="Arial" w:cs="Arial"/>
          <w:b/>
          <w:sz w:val="24"/>
          <w:szCs w:val="24"/>
        </w:rPr>
        <w:t xml:space="preserve">MEC FOR THE DEPARTMENT OF POLICE, ROADS &amp; </w:t>
      </w:r>
    </w:p>
    <w:p w14:paraId="52171061"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sidRPr="00280793">
        <w:rPr>
          <w:rFonts w:ascii="Arial" w:hAnsi="Arial" w:cs="Arial"/>
          <w:b/>
          <w:sz w:val="24"/>
          <w:szCs w:val="24"/>
        </w:rPr>
        <w:t>TRAN</w:t>
      </w:r>
      <w:r w:rsidR="0070105B">
        <w:rPr>
          <w:rFonts w:ascii="Arial" w:hAnsi="Arial" w:cs="Arial"/>
          <w:b/>
          <w:sz w:val="24"/>
          <w:szCs w:val="24"/>
        </w:rPr>
        <w:t>SPORT, FREE STATE PROVINCE</w:t>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r>
      <w:r w:rsidR="0070105B">
        <w:rPr>
          <w:rFonts w:ascii="Arial" w:hAnsi="Arial" w:cs="Arial"/>
          <w:b/>
          <w:sz w:val="24"/>
          <w:szCs w:val="24"/>
        </w:rPr>
        <w:tab/>
      </w:r>
      <w:r w:rsidRPr="00280793">
        <w:rPr>
          <w:rFonts w:ascii="Arial" w:hAnsi="Arial" w:cs="Arial"/>
          <w:sz w:val="24"/>
          <w:szCs w:val="24"/>
        </w:rPr>
        <w:t>1</w:t>
      </w:r>
      <w:r w:rsidRPr="00280793">
        <w:rPr>
          <w:rFonts w:ascii="Arial" w:hAnsi="Arial" w:cs="Arial"/>
          <w:sz w:val="24"/>
          <w:szCs w:val="24"/>
          <w:vertAlign w:val="superscript"/>
        </w:rPr>
        <w:t>st</w:t>
      </w:r>
      <w:r w:rsidRPr="00280793">
        <w:rPr>
          <w:rFonts w:ascii="Arial" w:hAnsi="Arial" w:cs="Arial"/>
          <w:b/>
          <w:sz w:val="24"/>
          <w:szCs w:val="24"/>
        </w:rPr>
        <w:t xml:space="preserve"> </w:t>
      </w:r>
      <w:r w:rsidRPr="00280793">
        <w:rPr>
          <w:rFonts w:ascii="Arial" w:hAnsi="Arial" w:cs="Arial"/>
          <w:sz w:val="24"/>
          <w:szCs w:val="24"/>
        </w:rPr>
        <w:t>Respondent</w:t>
      </w:r>
    </w:p>
    <w:p w14:paraId="59DC4BF4"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p>
    <w:p w14:paraId="735AAD00"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sidRPr="00280793">
        <w:rPr>
          <w:rFonts w:ascii="Arial" w:hAnsi="Arial" w:cs="Arial"/>
          <w:b/>
          <w:sz w:val="24"/>
          <w:szCs w:val="24"/>
        </w:rPr>
        <w:t>TAU PELE CONSTRUCTION (PTY) LTD</w:t>
      </w:r>
      <w:r w:rsidRPr="00280793">
        <w:rPr>
          <w:rFonts w:ascii="Arial" w:hAnsi="Arial" w:cs="Arial"/>
          <w:b/>
          <w:sz w:val="24"/>
          <w:szCs w:val="24"/>
        </w:rPr>
        <w:tab/>
      </w:r>
      <w:r w:rsidRPr="00280793">
        <w:rPr>
          <w:rFonts w:ascii="Arial" w:hAnsi="Arial" w:cs="Arial"/>
          <w:b/>
          <w:sz w:val="24"/>
          <w:szCs w:val="24"/>
        </w:rPr>
        <w:tab/>
      </w:r>
      <w:r w:rsidRPr="00280793">
        <w:rPr>
          <w:rFonts w:ascii="Arial" w:hAnsi="Arial" w:cs="Arial"/>
          <w:b/>
          <w:sz w:val="24"/>
          <w:szCs w:val="24"/>
        </w:rPr>
        <w:tab/>
      </w:r>
      <w:r w:rsidRPr="00280793">
        <w:rPr>
          <w:rFonts w:ascii="Arial" w:hAnsi="Arial" w:cs="Arial"/>
          <w:b/>
          <w:sz w:val="24"/>
          <w:szCs w:val="24"/>
        </w:rPr>
        <w:tab/>
      </w:r>
      <w:r w:rsidRPr="00280793">
        <w:rPr>
          <w:rFonts w:ascii="Arial" w:hAnsi="Arial" w:cs="Arial"/>
          <w:b/>
          <w:sz w:val="24"/>
          <w:szCs w:val="24"/>
        </w:rPr>
        <w:tab/>
      </w:r>
      <w:r w:rsidRPr="00280793">
        <w:rPr>
          <w:rFonts w:ascii="Arial" w:hAnsi="Arial" w:cs="Arial"/>
          <w:b/>
          <w:sz w:val="24"/>
          <w:szCs w:val="24"/>
        </w:rPr>
        <w:tab/>
      </w:r>
      <w:r w:rsidR="0070105B">
        <w:rPr>
          <w:rFonts w:ascii="Arial" w:hAnsi="Arial" w:cs="Arial"/>
          <w:b/>
          <w:sz w:val="24"/>
          <w:szCs w:val="24"/>
        </w:rPr>
        <w:t xml:space="preserve"> </w:t>
      </w:r>
      <w:r w:rsidRPr="00280793">
        <w:rPr>
          <w:rFonts w:ascii="Arial" w:hAnsi="Arial" w:cs="Arial"/>
          <w:sz w:val="24"/>
          <w:szCs w:val="24"/>
        </w:rPr>
        <w:t>2</w:t>
      </w:r>
      <w:r w:rsidRPr="00280793">
        <w:rPr>
          <w:rFonts w:ascii="Arial" w:hAnsi="Arial" w:cs="Arial"/>
          <w:sz w:val="24"/>
          <w:szCs w:val="24"/>
          <w:vertAlign w:val="superscript"/>
        </w:rPr>
        <w:t>nd</w:t>
      </w:r>
      <w:r w:rsidRPr="00280793">
        <w:rPr>
          <w:rFonts w:ascii="Arial" w:hAnsi="Arial" w:cs="Arial"/>
          <w:sz w:val="24"/>
          <w:szCs w:val="24"/>
        </w:rPr>
        <w:t xml:space="preserve"> Respondent</w:t>
      </w:r>
    </w:p>
    <w:p w14:paraId="78ABBF46" w14:textId="77777777" w:rsidR="00C42782" w:rsidRPr="00280793" w:rsidRDefault="00C42782" w:rsidP="00C42782">
      <w:pPr>
        <w:tabs>
          <w:tab w:val="left" w:pos="720"/>
          <w:tab w:val="left" w:pos="1440"/>
          <w:tab w:val="left" w:pos="2160"/>
          <w:tab w:val="left" w:pos="2880"/>
          <w:tab w:val="left" w:pos="3600"/>
          <w:tab w:val="left" w:pos="4320"/>
          <w:tab w:val="left" w:pos="5040"/>
          <w:tab w:val="left" w:pos="5760"/>
          <w:tab w:val="left" w:pos="6480"/>
          <w:tab w:val="left" w:pos="6521"/>
          <w:tab w:val="left" w:pos="7200"/>
          <w:tab w:val="right" w:pos="8931"/>
          <w:tab w:val="right" w:pos="9027"/>
        </w:tabs>
        <w:spacing w:after="0" w:line="240" w:lineRule="auto"/>
        <w:jc w:val="both"/>
        <w:rPr>
          <w:rFonts w:ascii="Arial" w:hAnsi="Arial" w:cs="Arial"/>
          <w:sz w:val="24"/>
          <w:szCs w:val="24"/>
        </w:rPr>
      </w:pPr>
      <w:r w:rsidRPr="00280793">
        <w:rPr>
          <w:rFonts w:ascii="Arial" w:hAnsi="Arial" w:cs="Arial"/>
          <w:sz w:val="24"/>
          <w:szCs w:val="24"/>
        </w:rPr>
        <w:t>(Registration number:  2003/020819/07</w:t>
      </w:r>
    </w:p>
    <w:p w14:paraId="6FD5DE62" w14:textId="77777777" w:rsidR="00C42782" w:rsidRPr="00280793" w:rsidRDefault="00C42782" w:rsidP="00C42782">
      <w:pPr>
        <w:pStyle w:val="BodyAA"/>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val="en-ZA"/>
        </w:rPr>
        <mc:AlternateContent>
          <mc:Choice Requires="wps">
            <w:drawing>
              <wp:inline distT="0" distB="0" distL="0" distR="0" wp14:anchorId="4565A7E5" wp14:editId="67E6C804">
                <wp:extent cx="5715000" cy="19050"/>
                <wp:effectExtent l="0" t="0" r="0" b="0"/>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E435739" id="Rectangle 5"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e35fwIAAPsEAAAOAAAAZHJzL2Uyb0RvYy54bWysVMGO0zAQvSPxD5bvbZIqaZto09XuliKk&#10;AisWPsC1ncbCsY3tNi0r/p2x05YuXBBClVxPZjx+8+aNb24PnUR7bp3QqsbZOMWIK6qZUNsaf/m8&#10;Gs0xcp4oRqRWvMZH7vDt4vWrm95UfKJbLRm3CJIoV/Wmxq33pkoSR1veETfWhitwNtp2xINptwmz&#10;pIfsnUwmaTpNem2ZsZpy5+DrcnDiRczfNJz6j03juEeyxoDNx9XGdRPWZHFDqq0lphX0BIP8A4qO&#10;CAWXXlItiSdoZ8UfqTpBrXa68WOqu0Q3jaA81gDVZOlv1Ty1xPBYC5DjzIUm9//S0g/7R4sEq3GB&#10;kSIdtOgTkEbUVnJUBHp64yqIejKPNhTozFrTrw4p/dBCFL+zVvctJwxAZSE+eXEgGA6Ook3/XjPI&#10;TnZeR6YOje1CQuAAHWJDjpeG8INHFD4Ws6xIU+gbBV9WpkVsWEKq82FjnX/LdYfCpsYWoMfkZL92&#10;PoAh1TkkgtdSsJWQMhp2u3mQFu0JaOMuDb+IH2q8DpMqBCsdjg0Zhy+AEe4IvoA29vq5zCZ5ej8p&#10;R6vpfDbKV3kxKmfpfJRm5X05TfMyX65+BIBZXrWCMa7WQvGz7rL87/p6moBBMVF5qAd6JjNgKhZ2&#10;Dd9dVwlcBjqHMl5U2QkPcyhFV+P8EkSq0Ng3isEBUnki5LBPXuKPNAMJ5/9IS5RB6PygoI1mR1CB&#10;1dAl6Ce8GLBptf2OUQ/TV2P3bUcsx0i+U6CkMsvzMK7RyIvZBAx77dlce4iikKrGHqNh++CHEd8Z&#10;K7Yt3JRFYpS+A/U1IiojKHNAddIsTFis4PQahBG+tmPUrzdr8RM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xve35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7AC13C7A" w14:textId="77777777" w:rsidR="00C42782" w:rsidRPr="00280793" w:rsidRDefault="00C42782" w:rsidP="00C42782">
      <w:pPr>
        <w:spacing w:after="0" w:line="240" w:lineRule="auto"/>
        <w:jc w:val="both"/>
        <w:rPr>
          <w:rFonts w:ascii="Arial" w:hAnsi="Arial" w:cs="Arial"/>
          <w:b/>
          <w:sz w:val="24"/>
          <w:szCs w:val="24"/>
          <w:u w:val="single"/>
        </w:rPr>
      </w:pPr>
    </w:p>
    <w:p w14:paraId="6239FD4B" w14:textId="77777777"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CORAM</w:t>
      </w:r>
      <w:r w:rsidRPr="00280793">
        <w:rPr>
          <w:rFonts w:ascii="Arial" w:hAnsi="Arial" w:cs="Arial"/>
          <w:b/>
          <w:sz w:val="24"/>
          <w:szCs w:val="24"/>
        </w:rPr>
        <w:t>:</w:t>
      </w:r>
      <w:r w:rsidRPr="00280793">
        <w:rPr>
          <w:rFonts w:ascii="Arial" w:hAnsi="Arial" w:cs="Arial"/>
          <w:b/>
          <w:sz w:val="24"/>
          <w:szCs w:val="24"/>
        </w:rPr>
        <w:tab/>
        <w:t xml:space="preserve">           </w:t>
      </w:r>
      <w:r w:rsidR="00D23AD2">
        <w:rPr>
          <w:rFonts w:ascii="Arial" w:hAnsi="Arial" w:cs="Arial"/>
          <w:sz w:val="24"/>
          <w:szCs w:val="24"/>
        </w:rPr>
        <w:t>MOLITSOANE</w:t>
      </w:r>
      <w:r w:rsidR="007F36AB">
        <w:rPr>
          <w:rFonts w:ascii="Arial" w:hAnsi="Arial" w:cs="Arial"/>
          <w:sz w:val="24"/>
          <w:szCs w:val="24"/>
        </w:rPr>
        <w:t>, J et POHL, AJ</w:t>
      </w:r>
    </w:p>
    <w:p w14:paraId="65B71284" w14:textId="77777777" w:rsidR="00C42782" w:rsidRPr="00280793" w:rsidRDefault="00C42782" w:rsidP="00C42782">
      <w:pPr>
        <w:pStyle w:val="BodyAA"/>
        <w:tabs>
          <w:tab w:val="left" w:pos="2977"/>
        </w:tabs>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val="en-ZA"/>
        </w:rPr>
        <mc:AlternateContent>
          <mc:Choice Requires="wps">
            <w:drawing>
              <wp:inline distT="0" distB="0" distL="0" distR="0" wp14:anchorId="1B943AC4" wp14:editId="209F279A">
                <wp:extent cx="5715000" cy="19050"/>
                <wp:effectExtent l="0" t="0" r="0" b="0"/>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FE4E05F" id="Rectangle 4"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fnfwIAAPsEAAAOAAAAZHJzL2Uyb0RvYy54bWysVG1v0zAQ/o7Ef7D8vUtSpesSLZ32QhHS&#10;gInBD3Btp7FwbHN2m46J/87ZaUsHXxBClVxf7nx+7rnnfHm16zXZSvDKmoYWZzkl0nArlFk39Mvn&#10;5eSCEh+YEUxbIxv6JD29Wrx+dTm4Wk5tZ7WQQDCJ8fXgGtqF4Oos87yTPfNn1kmDztZCzwKasM4E&#10;sAGz9zqb5vl5NlgQDiyX3uPXu9FJFyl/20oePratl4HohiK2kFZI6yqu2eKS1WtgrlN8D4P9A4qe&#10;KYOXHlPdscDIBtQfqXrFwXrbhjNu+8y2reIy1YDVFPlv1Tx2zMlUC5Lj3ZEm///S8g/bByBKNLSk&#10;xLAeW/QJSWNmrSUpIz2D8zVGPboHiAV6d2/5V0+Mve0wSl4D2KGTTCCoIsZnLw5Ew+NRshreW4HZ&#10;2SbYxNSuhT4mRA7ILjXk6dgQuQuE48fZvJjlOfaNo6+o8llqWMbqw2EHPryVtidx01BA6Ck52977&#10;EMGw+hCSwFutxFJpnQxYr241kC1DbVzn8ZfwY42nYdrEYGPjsTHj+AUx4h3RF9GmXj9XxbTMb6bV&#10;ZHl+MZ+Uy3I2qeb5xSQvqpvqPC+r8m75IwIsyrpTQkhzr4w86K4o/66v+wkYFZOURwakZzpHplJh&#10;p/D9aZXIZaRzLONFlb0KOIda9SiEYxCrY2PfGIEHWB2Y0uM+e4k/0YwkHP4TLUkGsfOjglZWPKEK&#10;wGKXsJ/4YuCms/CdkgGnr6H+24aBpES/M6ikqijLOK7JKGfzKRpw6lmdepjhmKqhgZJxexvGEd84&#10;UOsObyoSMcZeo/palZQRlTmi2msWJyxVsH8N4gif2inq15u1+Ak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BA/2fn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3B4E3DDA" w14:textId="77777777" w:rsidR="00C42782" w:rsidRPr="00280793" w:rsidRDefault="00C42782" w:rsidP="00C42782">
      <w:pPr>
        <w:tabs>
          <w:tab w:val="left" w:pos="2977"/>
        </w:tabs>
        <w:spacing w:after="0" w:line="240" w:lineRule="auto"/>
        <w:jc w:val="both"/>
        <w:rPr>
          <w:rFonts w:ascii="Arial" w:hAnsi="Arial" w:cs="Arial"/>
          <w:b/>
          <w:sz w:val="24"/>
          <w:szCs w:val="24"/>
          <w:u w:val="single"/>
        </w:rPr>
      </w:pPr>
    </w:p>
    <w:p w14:paraId="43A79D40" w14:textId="77777777" w:rsidR="00C42782" w:rsidRPr="00280793" w:rsidRDefault="00C42782" w:rsidP="00C42782">
      <w:pPr>
        <w:tabs>
          <w:tab w:val="left" w:pos="2977"/>
        </w:tabs>
        <w:spacing w:after="0" w:line="240" w:lineRule="auto"/>
        <w:jc w:val="both"/>
        <w:rPr>
          <w:rFonts w:ascii="Arial" w:hAnsi="Arial" w:cs="Arial"/>
          <w:sz w:val="24"/>
          <w:szCs w:val="24"/>
        </w:rPr>
      </w:pPr>
      <w:r w:rsidRPr="00280793">
        <w:rPr>
          <w:rFonts w:ascii="Arial" w:hAnsi="Arial" w:cs="Arial"/>
          <w:b/>
          <w:sz w:val="24"/>
          <w:szCs w:val="24"/>
          <w:u w:val="single"/>
        </w:rPr>
        <w:t>HEARD ON</w:t>
      </w:r>
      <w:r w:rsidRPr="00280793">
        <w:rPr>
          <w:rFonts w:ascii="Arial" w:hAnsi="Arial" w:cs="Arial"/>
          <w:b/>
          <w:sz w:val="24"/>
          <w:szCs w:val="24"/>
        </w:rPr>
        <w:t>:</w:t>
      </w:r>
      <w:r w:rsidRPr="00280793">
        <w:rPr>
          <w:rFonts w:ascii="Arial" w:hAnsi="Arial" w:cs="Arial"/>
          <w:b/>
          <w:sz w:val="24"/>
          <w:szCs w:val="24"/>
        </w:rPr>
        <w:tab/>
        <w:t xml:space="preserve">           </w:t>
      </w:r>
      <w:r w:rsidR="00DA582F">
        <w:rPr>
          <w:rFonts w:ascii="Arial" w:hAnsi="Arial" w:cs="Arial"/>
          <w:sz w:val="24"/>
          <w:szCs w:val="24"/>
        </w:rPr>
        <w:t>07 NOVEMBER</w:t>
      </w:r>
      <w:r w:rsidRPr="00280793">
        <w:rPr>
          <w:rFonts w:ascii="Arial" w:hAnsi="Arial" w:cs="Arial"/>
          <w:sz w:val="24"/>
          <w:szCs w:val="24"/>
        </w:rPr>
        <w:t xml:space="preserve"> 2022</w:t>
      </w:r>
    </w:p>
    <w:p w14:paraId="10487DEA" w14:textId="77777777" w:rsidR="00C42782" w:rsidRPr="00280793" w:rsidRDefault="00C42782" w:rsidP="00C42782">
      <w:pPr>
        <w:pStyle w:val="BodyAA"/>
        <w:tabs>
          <w:tab w:val="left" w:pos="2977"/>
        </w:tabs>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val="en-ZA"/>
        </w:rPr>
        <mc:AlternateContent>
          <mc:Choice Requires="wps">
            <w:drawing>
              <wp:inline distT="0" distB="0" distL="0" distR="0" wp14:anchorId="14BF13D8" wp14:editId="0168F13B">
                <wp:extent cx="5715000" cy="19050"/>
                <wp:effectExtent l="0" t="0" r="0" b="0"/>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7E7AD15C" id="Rectangle 3"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dC+gAIAAPsEAAAOAAAAZHJzL2Uyb0RvYy54bWysVFFv0zAQfkfiP1h+75J06bpES6exUYQ0&#10;YGLwA1zbaSwcn7HdpgPx3zk7bengBSFUyfXlzufvvvvOV9e7XpOtdF6BaWhxllMiDQehzLqhnz8t&#10;J5eU+MCMYBqMbOiT9PR68fLF1WBrOYUOtJCOYBLj68E2tAvB1lnmeSd75s/ASoPOFlzPAppunQnH&#10;Bsze62ya5xfZAE5YB1x6j1/vRiddpPxtK3n40LZeBqIbithCWl1aV3HNFlesXjtmO8X3MNg/oOiZ&#10;MnjpMdUdC4xsnPojVa+4Aw9tOOPQZ9C2istUA1ZT5L9V89gxK1MtSI63R5r8/0vL328fHFGioeeU&#10;GNZjiz4iacystSTnkZ7B+hqjHu2DiwV6ew/8iycGbjuMkjfOwdBJJhBUEeOzZwei4fEoWQ3vQGB2&#10;tgmQmNq1ro8JkQOySw15OjZE7gLh+HE2L2Z5jn3j6CuqfJYalrH6cNg6H95I6EncNNQh9JScbe99&#10;iGBYfQhJ4EErsVRaJ8OtV7fakS1Dbdzk8ZfwY42nYdrEYAPx2Jhx/IIY8Y7oi2hTr79XxbTMX02r&#10;yfLicj4pl+VsUs3zy0leVK+qi7ysyrvljwiwKOtOCSHNvTLyoLui/Lu+7idgVExSHhmQnukcmUqF&#10;ncL3p1Uil5HOsYxnVfYq4Bxq1Te0PAaxOjb2tRF4gNWBKT3us+f4E81IwuE/0ZJkEDs/KmgF4glV&#10;4AC7hP3EFwM3HbhvlAw4fQ31XzfMSUr0W4NKqoqyjOOajHI2n6LhTj2rUw8zHFM1NFAybm/DOOIb&#10;69S6w5uKRIyBG1Rfq5IyojJHVHvN4oSlCvavQRzhUztF/XqzFj8BAAD//wMAUEsDBBQABgAIAAAA&#10;IQC08yH82AAAAAMBAAAPAAAAZHJzL2Rvd25yZXYueG1sTI/RSsNAEEXfBf9hGaEvYnetIJpmU1QQ&#10;RGiltR8wzU6TYHY2ZDdt7Nd39EVfBi53OHMmX4y+VQfqYxPYwu3UgCIug2u4srD9fL15ABUTssM2&#10;MFn4pgiL4vIix8yFI6/psEmVEgjHDC3UKXWZ1rGsyWOcho5Yun3oPSaJfaVdj0eB+1bPjLnXHhuW&#10;CzV29FJT+bUZvIW70zWv+X2Z/Pbtw5/weeWGsLJ2cjU+zUElGtPfMvzoizoU4rQLA7uoWgvySPqd&#10;0j0aI3EnYAO6yPV/9+IMAAD//wMAUEsBAi0AFAAGAAgAAAAhALaDOJL+AAAA4QEAABMAAAAAAAAA&#10;AAAAAAAAAAAAAFtDb250ZW50X1R5cGVzXS54bWxQSwECLQAUAAYACAAAACEAOP0h/9YAAACUAQAA&#10;CwAAAAAAAAAAAAAAAAAvAQAAX3JlbHMvLnJlbHNQSwECLQAUAAYACAAAACEA1zHQvoACAAD7BAAA&#10;DgAAAAAAAAAAAAAAAAAuAgAAZHJzL2Uyb0RvYy54bWxQSwECLQAUAAYACAAAACEAtPMh/NgAAAAD&#10;AQAADwAAAAAAAAAAAAAAAADaBAAAZHJzL2Rvd25yZXYueG1sUEsFBgAAAAAEAAQA8wAAAN8FAAAA&#10;AA==&#10;" fillcolor="#a0a0a0" stroked="f" strokeweight="1pt">
                <v:stroke miterlimit="4"/>
                <w10:anchorlock/>
              </v:rect>
            </w:pict>
          </mc:Fallback>
        </mc:AlternateContent>
      </w:r>
    </w:p>
    <w:p w14:paraId="48132F6E" w14:textId="77777777" w:rsidR="00C42782" w:rsidRPr="00280793" w:rsidRDefault="00C42782" w:rsidP="00C42782">
      <w:pPr>
        <w:tabs>
          <w:tab w:val="left" w:pos="2977"/>
        </w:tabs>
        <w:spacing w:after="0" w:line="240" w:lineRule="auto"/>
        <w:jc w:val="both"/>
        <w:rPr>
          <w:rFonts w:ascii="Arial" w:hAnsi="Arial" w:cs="Arial"/>
          <w:b/>
          <w:sz w:val="24"/>
          <w:szCs w:val="24"/>
          <w:u w:val="single"/>
        </w:rPr>
      </w:pPr>
    </w:p>
    <w:p w14:paraId="230F7C5C" w14:textId="77777777" w:rsidR="00C42782" w:rsidRPr="00280793" w:rsidRDefault="00643764" w:rsidP="00C42782">
      <w:pPr>
        <w:tabs>
          <w:tab w:val="left" w:pos="2977"/>
        </w:tabs>
        <w:spacing w:after="0" w:line="240" w:lineRule="auto"/>
        <w:jc w:val="both"/>
        <w:rPr>
          <w:rFonts w:ascii="Arial" w:hAnsi="Arial" w:cs="Arial"/>
          <w:sz w:val="24"/>
          <w:szCs w:val="24"/>
        </w:rPr>
      </w:pPr>
      <w:r>
        <w:rPr>
          <w:rFonts w:ascii="Arial" w:hAnsi="Arial" w:cs="Arial"/>
          <w:b/>
          <w:sz w:val="24"/>
          <w:szCs w:val="24"/>
          <w:u w:val="single"/>
        </w:rPr>
        <w:t>JUDGMENT BY</w:t>
      </w:r>
      <w:r w:rsidR="00C42782" w:rsidRPr="00280793">
        <w:rPr>
          <w:rFonts w:ascii="Arial" w:hAnsi="Arial" w:cs="Arial"/>
          <w:b/>
          <w:sz w:val="24"/>
          <w:szCs w:val="24"/>
        </w:rPr>
        <w:t>:</w:t>
      </w:r>
      <w:r w:rsidR="00C42782" w:rsidRPr="00280793">
        <w:rPr>
          <w:rFonts w:ascii="Arial" w:hAnsi="Arial" w:cs="Arial"/>
          <w:b/>
          <w:sz w:val="24"/>
          <w:szCs w:val="24"/>
        </w:rPr>
        <w:tab/>
        <w:t xml:space="preserve">           </w:t>
      </w:r>
      <w:r w:rsidR="0035049C">
        <w:rPr>
          <w:rFonts w:ascii="Arial" w:hAnsi="Arial" w:cs="Arial"/>
          <w:sz w:val="24"/>
          <w:szCs w:val="24"/>
        </w:rPr>
        <w:t>POHL, AJ</w:t>
      </w:r>
    </w:p>
    <w:p w14:paraId="24229064" w14:textId="77777777" w:rsidR="00C42782" w:rsidRPr="00280793" w:rsidRDefault="005E5384" w:rsidP="00C42782">
      <w:pPr>
        <w:tabs>
          <w:tab w:val="left" w:pos="2977"/>
        </w:tabs>
        <w:spacing w:after="0" w:line="240" w:lineRule="auto"/>
        <w:jc w:val="both"/>
        <w:rPr>
          <w:rFonts w:ascii="Arial" w:hAnsi="Arial" w:cs="Arial"/>
          <w:sz w:val="24"/>
          <w:szCs w:val="24"/>
        </w:rPr>
      </w:pPr>
      <w:r w:rsidRPr="00280793">
        <w:rPr>
          <w:rFonts w:ascii="Arial" w:hAnsi="Arial" w:cs="Arial"/>
          <w:noProof/>
          <w:sz w:val="24"/>
          <w:szCs w:val="24"/>
          <w:lang w:eastAsia="en-ZA"/>
        </w:rPr>
        <mc:AlternateContent>
          <mc:Choice Requires="wps">
            <w:drawing>
              <wp:inline distT="0" distB="0" distL="0" distR="0" wp14:anchorId="31FB1AE8" wp14:editId="09441226">
                <wp:extent cx="5715000" cy="19050"/>
                <wp:effectExtent l="0" t="0" r="0" b="0"/>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50F18C00" id="Rectangle 2"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1qgfwIAAPsEAAAOAAAAZHJzL2Uyb0RvYy54bWysVNuO0zAQfUfiHyy/t7kovSTadLW7pQip&#10;wIqFD3Btp7FwbGO7TcuKf2fstKULLwihSq4nMx6fOXPGN7eHTqI9t05oVeNsnGLEFdVMqG2Nv3xe&#10;jeYYOU8UI1IrXuMjd/h28frVTW8qnutWS8YtgiTKVb2pceu9qZLE0ZZ3xI214QqcjbYd8WDabcIs&#10;6SF7J5M8TadJry0zVlPuHHxdDk68iPmbhlP/sWkc90jWGLD5uNq4bsKaLG5ItbXEtIKeYJB/QNER&#10;oeDSS6ol8QTtrPgjVSeo1U43fkx1l+imEZTHGqCaLP2tmqeWGB5rAXKcudDk/l9a+mH/aJFgNc4x&#10;UqSDFn0C0ojaSo7yQE9vXAVRT+bRhgKdWWv61SGlH1qI4nfW6r7lhAGoLMQnLw4Ew8FRtOnfawbZ&#10;yc7ryNShsV1ICBygQ2zI8dIQfvCIwsfJLJukKfSNgi8r00lsWEKq82FjnX/LdYfCpsYWoMfkZL92&#10;PoAh1TkkgtdSsJWQMhp2u3mQFu0JaOMuDb+IH2q8DpMqBCsdjg0Zhy+AEe4IvoA29vq5zPIivc/L&#10;0Wo6n42KVTEZlbN0Pkqz8r6cpkVZLFc/AsCsqFrBGFdrofhZd1nxd309TcCgmKg81AM9+QyYioVd&#10;w3fXVQKXgc6hjBdVdsLDHErR1bi4BJEqNPaNYnCAVJ4IOeyTl/gjzUDC+T/SEmUQOj8oaKPZEVRg&#10;NXQJ+gkvBmxabb9j1MP01dh92xHLMZLvFCipzIoijGs0isksB8NeezbXHqIopKqxx2jYPvhhxHfG&#10;im0LN2WRGKXvQH2NiMoIyhxQnTQLExYrOL0GYYSv7Rj1681a/AQAAP//AwBQSwMEFAAGAAgAAAAh&#10;ALTzIfzYAAAAAwEAAA8AAABkcnMvZG93bnJldi54bWxMj9FKw0AQRd8F/2EZoS9id60gmmZTVBBE&#10;aKW1HzDNTpNgdjZkN23s13f0RV8GLnc4cyZfjL5VB+pjE9jC7dSAIi6Da7iysP18vXkAFROywzYw&#10;WfimCIvi8iLHzIUjr+mwSZUSCMcMLdQpdZnWsazJY5yGjli6feg9Jol9pV2PR4H7Vs+MudceG5YL&#10;NXb0UlP5tRm8hbvTNa/5fZn89u3Dn/B55YawsnZyNT7NQSUa098y/OiLOhTitAsDu6haC/JI+p3S&#10;PRojcSdgA7rI9X/34gwAAP//AwBQSwECLQAUAAYACAAAACEAtoM4kv4AAADhAQAAEwAAAAAAAAAA&#10;AAAAAAAAAAAAW0NvbnRlbnRfVHlwZXNdLnhtbFBLAQItABQABgAIAAAAIQA4/SH/1gAAAJQBAAAL&#10;AAAAAAAAAAAAAAAAAC8BAABfcmVscy8ucmVsc1BLAQItABQABgAIAAAAIQDmc1qgfwIAAPsEAAAO&#10;AAAAAAAAAAAAAAAAAC4CAABkcnMvZTJvRG9jLnhtbFBLAQItABQABgAIAAAAIQC08yH82AAAAAMB&#10;AAAPAAAAAAAAAAAAAAAAANkEAABkcnMvZG93bnJldi54bWxQSwUGAAAAAAQABADzAAAA3gUAAAAA&#10;" fillcolor="#a0a0a0" stroked="f" strokeweight="1pt">
                <v:stroke miterlimit="4"/>
                <w10:anchorlock/>
              </v:rect>
            </w:pict>
          </mc:Fallback>
        </mc:AlternateContent>
      </w:r>
    </w:p>
    <w:p w14:paraId="5D0A244B" w14:textId="77777777" w:rsidR="005E5384" w:rsidRPr="00280793" w:rsidRDefault="005E5384" w:rsidP="00C42782">
      <w:pPr>
        <w:tabs>
          <w:tab w:val="left" w:pos="2977"/>
        </w:tabs>
        <w:spacing w:after="0" w:line="240" w:lineRule="auto"/>
        <w:jc w:val="both"/>
        <w:rPr>
          <w:rFonts w:ascii="Arial" w:hAnsi="Arial" w:cs="Arial"/>
          <w:b/>
          <w:sz w:val="24"/>
          <w:szCs w:val="24"/>
          <w:u w:val="single"/>
        </w:rPr>
      </w:pPr>
    </w:p>
    <w:p w14:paraId="691F3486" w14:textId="77777777" w:rsidR="00C42782" w:rsidRPr="00280793" w:rsidRDefault="0035049C" w:rsidP="005A5524">
      <w:pPr>
        <w:tabs>
          <w:tab w:val="left" w:pos="2977"/>
        </w:tabs>
        <w:spacing w:after="0" w:line="240" w:lineRule="auto"/>
        <w:jc w:val="both"/>
        <w:rPr>
          <w:rFonts w:ascii="Arial" w:hAnsi="Arial" w:cs="Arial"/>
          <w:sz w:val="24"/>
          <w:szCs w:val="24"/>
        </w:rPr>
      </w:pPr>
      <w:r>
        <w:rPr>
          <w:rFonts w:ascii="Arial" w:hAnsi="Arial" w:cs="Arial"/>
          <w:b/>
          <w:sz w:val="24"/>
          <w:szCs w:val="24"/>
          <w:u w:val="single"/>
        </w:rPr>
        <w:t>DELIVERED</w:t>
      </w:r>
      <w:r w:rsidR="00C42782" w:rsidRPr="00280793">
        <w:rPr>
          <w:rFonts w:ascii="Arial" w:hAnsi="Arial" w:cs="Arial"/>
          <w:b/>
          <w:sz w:val="24"/>
          <w:szCs w:val="24"/>
          <w:u w:val="single"/>
        </w:rPr>
        <w:t xml:space="preserve"> ON</w:t>
      </w:r>
      <w:r w:rsidR="00C42782" w:rsidRPr="00280793">
        <w:rPr>
          <w:rFonts w:ascii="Arial" w:hAnsi="Arial" w:cs="Arial"/>
          <w:b/>
          <w:sz w:val="24"/>
          <w:szCs w:val="24"/>
        </w:rPr>
        <w:t xml:space="preserve">:  </w:t>
      </w:r>
      <w:r>
        <w:rPr>
          <w:rFonts w:ascii="Arial" w:hAnsi="Arial" w:cs="Arial"/>
          <w:b/>
          <w:sz w:val="24"/>
          <w:szCs w:val="24"/>
        </w:rPr>
        <w:t xml:space="preserve">                         </w:t>
      </w:r>
      <w:r w:rsidR="009E7F4D">
        <w:rPr>
          <w:rFonts w:ascii="Arial" w:hAnsi="Arial" w:cs="Arial"/>
          <w:sz w:val="24"/>
          <w:szCs w:val="24"/>
        </w:rPr>
        <w:t xml:space="preserve">14 </w:t>
      </w:r>
      <w:r w:rsidR="005437F4">
        <w:rPr>
          <w:rFonts w:ascii="Arial" w:hAnsi="Arial" w:cs="Arial"/>
          <w:sz w:val="24"/>
          <w:szCs w:val="24"/>
        </w:rPr>
        <w:t xml:space="preserve">NOVEMBER </w:t>
      </w:r>
      <w:r w:rsidR="00C42782" w:rsidRPr="00280793">
        <w:rPr>
          <w:rFonts w:ascii="Arial" w:hAnsi="Arial" w:cs="Arial"/>
          <w:sz w:val="24"/>
          <w:szCs w:val="24"/>
        </w:rPr>
        <w:t>2022</w:t>
      </w:r>
    </w:p>
    <w:p w14:paraId="6D2EEC5E" w14:textId="77777777" w:rsidR="00FB32BC" w:rsidRPr="00280793" w:rsidRDefault="00C42782" w:rsidP="00C42782">
      <w:pPr>
        <w:pStyle w:val="BodyAA"/>
        <w:spacing w:after="0" w:line="240" w:lineRule="auto"/>
        <w:jc w:val="both"/>
        <w:rPr>
          <w:rFonts w:ascii="Arial" w:hAnsi="Arial" w:cs="Arial"/>
          <w:color w:val="auto"/>
          <w:sz w:val="24"/>
          <w:szCs w:val="24"/>
          <w:lang w:val="en-ZA"/>
        </w:rPr>
      </w:pPr>
      <w:r w:rsidRPr="00280793">
        <w:rPr>
          <w:rFonts w:ascii="Arial" w:hAnsi="Arial" w:cs="Arial"/>
          <w:noProof/>
          <w:color w:val="auto"/>
          <w:sz w:val="24"/>
          <w:szCs w:val="24"/>
          <w:lang w:val="en-ZA"/>
        </w:rPr>
        <mc:AlternateContent>
          <mc:Choice Requires="wps">
            <w:drawing>
              <wp:inline distT="0" distB="0" distL="0" distR="0" wp14:anchorId="1378EEF2" wp14:editId="21737F6A">
                <wp:extent cx="5715000"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19050"/>
                        </a:xfrm>
                        <a:prstGeom prst="rect">
                          <a:avLst/>
                        </a:prstGeom>
                        <a:solidFill>
                          <a:srgbClr val="A0A0A0"/>
                        </a:solidFill>
                        <a:ln>
                          <a:noFill/>
                        </a:ln>
                        <a:extLst>
                          <a:ext uri="{91240B29-F687-4F45-9708-019B960494DF}">
                            <a14:hiddenLine xmlns:a14="http://schemas.microsoft.com/office/drawing/2010/main" w="12700">
                              <a:solidFill>
                                <a:srgbClr val="000000"/>
                              </a:solidFill>
                              <a:miter lim="400000"/>
                              <a:headEnd/>
                              <a:tailEnd/>
                            </a14:hiddenLine>
                          </a:ext>
                        </a:extLst>
                      </wps:spPr>
                      <wps:bodyPr rot="0" vert="horz" wrap="square" lIns="91440" tIns="45720" rIns="91440" bIns="45720" anchor="t" anchorCtr="0" upright="1">
                        <a:noAutofit/>
                      </wps:bodyPr>
                    </wps:wsp>
                  </a:graphicData>
                </a:graphic>
              </wp:inline>
            </w:drawing>
          </mc:Choice>
          <mc:Fallback>
            <w:pict>
              <v:rect w14:anchorId="1CC15C27" id="Rectangle 1" o:spid="_x0000_s1026" style="width:450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cSDfgIAAPsEAAAOAAAAZHJzL2Uyb0RvYy54bWysVG1v0zAQ/o7Ef7D8vUtSpesSLZ32QhHS&#10;gInBD3Btp7FwbHN2mw7Ef+fstKUDPiCEKrm+3Pn83PPc+fJq12uyleCVNQ0tznJKpOFWKLNu6KeP&#10;y8kFJT4wI5i2Rjb0SXp6tXj54nJwtZzazmohgWAS4+vBNbQLwdVZ5nkne+bPrJMGna2FngU0YZ0J&#10;YANm73U2zfPzbLAgHFguvcevd6OTLlL+tpU8vG9bLwPRDUVsIa2Q1lVcs8Ulq9fAXKf4Hgb7BxQ9&#10;UwYvPaa6Y4GRDajfUvWKg/W2DWfc9pltW8VlqgGrKfJfqnnsmJOpFiTHuyNN/v+l5e+2D0CUQO0o&#10;MaxHiT4gacystSRFpGdwvsaoR/cAsUDv7i3/7Imxtx1GyWsAO3SSCQSV4rNnB6Lh8ShZDW+twOxs&#10;E2xiatdCHxMiB2SXBHk6CiJ3gXD8OJsXszxH3Tj6iiqfJcEyVh8OO/DhtbQ9iZuGAkJPydn23gcE&#10;j6GHkATeaiWWSutkwHp1q4FsGfbGdR5/sV484k/DtInBxsZjo3v8ghjxjuiLaJPW36piWuY302qy&#10;PL+YT8plOZtU8/xikhfVTXWel1V5t/weARZl3SkhpLlXRh76rij/Ttf9BIwdkzqPDEjPdI5MpcJO&#10;4fvTKpHLSOcfquxVwDnUqm9oeQxidRT2lRF4gNWBKT3us+f4E2dIwuE/0ZLaICo/dtDKiifsArCo&#10;EuqJLwZuOgtfKRlw+hrqv2wYSEr0G4OdVBVlGcc1GeVsPkUDTj2rUw8zHFM1NFAybm/DOOIbB2rd&#10;4U1FIsbYa+y+VqXOiJ05okLc0cAJSxXsX4M4wqd2ivr5Zi1+AAAA//8DAFBLAwQUAAYACAAAACEA&#10;tPMh/NgAAAADAQAADwAAAGRycy9kb3ducmV2LnhtbEyP0UrDQBBF3wX/YRmhL2J3rSCaZlNUEERo&#10;pbUfMM1Ok2B2NmQ3bezXd/RFXwYudzhzJl+MvlUH6mMT2MLt1IAiLoNruLKw/Xy9eQAVE7LDNjBZ&#10;+KYIi+LyIsfMhSOv6bBJlRIIxwwt1Cl1mdaxrMljnIaOWLp96D0miX2lXY9HgftWz4y51x4blgs1&#10;dvRSU/m1GbyFu9M1r/l9mfz27cOf8HnlhrCydnI1Ps1BJRrT3zL86Is6FOK0CwO7qFoL8kj6ndI9&#10;GiNxJ2ADusj1f/fiDAAA//8DAFBLAQItABQABgAIAAAAIQC2gziS/gAAAOEBAAATAAAAAAAAAAAA&#10;AAAAAAAAAABbQ29udGVudF9UeXBlc10ueG1sUEsBAi0AFAAGAAgAAAAhADj9If/WAAAAlAEAAAsA&#10;AAAAAAAAAAAAAAAALwEAAF9yZWxzLy5yZWxzUEsBAi0AFAAGAAgAAAAhALW1xIN+AgAA+wQAAA4A&#10;AAAAAAAAAAAAAAAALgIAAGRycy9lMm9Eb2MueG1sUEsBAi0AFAAGAAgAAAAhALTzIfzYAAAAAwEA&#10;AA8AAAAAAAAAAAAAAAAA2AQAAGRycy9kb3ducmV2LnhtbFBLBQYAAAAABAAEAPMAAADdBQAAAAA=&#10;" fillcolor="#a0a0a0" stroked="f" strokeweight="1pt">
                <v:stroke miterlimit="4"/>
                <w10:anchorlock/>
              </v:rect>
            </w:pict>
          </mc:Fallback>
        </mc:AlternateContent>
      </w:r>
    </w:p>
    <w:p w14:paraId="3C2EBD5F" w14:textId="77777777" w:rsidR="00FB32BC" w:rsidRPr="00F51449" w:rsidRDefault="00FB32BC" w:rsidP="005A5524">
      <w:pPr>
        <w:spacing w:after="0" w:line="360" w:lineRule="auto"/>
        <w:rPr>
          <w:rFonts w:ascii="Arial" w:hAnsi="Arial" w:cs="Arial"/>
          <w:b/>
          <w:sz w:val="24"/>
          <w:szCs w:val="24"/>
          <w:u w:val="single"/>
        </w:rPr>
      </w:pPr>
    </w:p>
    <w:p w14:paraId="6823BCA7" w14:textId="77777777" w:rsidR="00E40945" w:rsidRPr="00F51449" w:rsidRDefault="00E40945" w:rsidP="00F51449">
      <w:pPr>
        <w:spacing w:after="0" w:line="360" w:lineRule="auto"/>
        <w:jc w:val="center"/>
        <w:rPr>
          <w:rFonts w:ascii="Arial" w:hAnsi="Arial" w:cs="Arial"/>
          <w:b/>
          <w:sz w:val="24"/>
          <w:szCs w:val="24"/>
          <w:u w:val="single"/>
        </w:rPr>
      </w:pPr>
    </w:p>
    <w:p w14:paraId="3E093606" w14:textId="77777777" w:rsidR="00FB32BC" w:rsidRPr="00063808" w:rsidRDefault="00FB32BC" w:rsidP="00063808">
      <w:pPr>
        <w:spacing w:after="0" w:line="360" w:lineRule="auto"/>
        <w:ind w:left="851" w:hanging="851"/>
        <w:jc w:val="both"/>
        <w:rPr>
          <w:rFonts w:ascii="Arial" w:hAnsi="Arial" w:cs="Arial"/>
          <w:b/>
          <w:sz w:val="24"/>
          <w:szCs w:val="24"/>
        </w:rPr>
      </w:pPr>
      <w:r w:rsidRPr="00F51449">
        <w:rPr>
          <w:rFonts w:ascii="Arial" w:hAnsi="Arial" w:cs="Arial"/>
          <w:b/>
          <w:sz w:val="24"/>
          <w:szCs w:val="24"/>
        </w:rPr>
        <w:t>I</w:t>
      </w:r>
      <w:r w:rsidRPr="00F51449">
        <w:rPr>
          <w:rFonts w:ascii="Arial" w:hAnsi="Arial" w:cs="Arial"/>
          <w:b/>
          <w:sz w:val="24"/>
          <w:szCs w:val="24"/>
        </w:rPr>
        <w:tab/>
        <w:t>INTRODUCTION</w:t>
      </w:r>
    </w:p>
    <w:p w14:paraId="026A587A" w14:textId="77777777" w:rsidR="0076686F"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 xml:space="preserve">[1]   </w:t>
      </w:r>
      <w:r w:rsidRPr="00F51449">
        <w:rPr>
          <w:rFonts w:ascii="Arial" w:hAnsi="Arial" w:cs="Arial"/>
          <w:sz w:val="24"/>
          <w:szCs w:val="24"/>
        </w:rPr>
        <w:tab/>
      </w:r>
      <w:r w:rsidR="009B1684">
        <w:rPr>
          <w:rFonts w:ascii="Arial" w:hAnsi="Arial" w:cs="Arial"/>
          <w:sz w:val="24"/>
          <w:szCs w:val="24"/>
        </w:rPr>
        <w:t>I</w:t>
      </w:r>
      <w:r w:rsidR="007968C5">
        <w:rPr>
          <w:rFonts w:ascii="Arial" w:hAnsi="Arial" w:cs="Arial"/>
          <w:sz w:val="24"/>
          <w:szCs w:val="24"/>
        </w:rPr>
        <w:t xml:space="preserve">n this </w:t>
      </w:r>
      <w:r w:rsidR="0070105B">
        <w:rPr>
          <w:rFonts w:ascii="Arial" w:hAnsi="Arial" w:cs="Arial"/>
          <w:sz w:val="24"/>
          <w:szCs w:val="24"/>
        </w:rPr>
        <w:t>application, the</w:t>
      </w:r>
      <w:r w:rsidR="007968C5">
        <w:rPr>
          <w:rFonts w:ascii="Arial" w:hAnsi="Arial" w:cs="Arial"/>
          <w:sz w:val="24"/>
          <w:szCs w:val="24"/>
        </w:rPr>
        <w:t xml:space="preserve"> </w:t>
      </w:r>
      <w:r w:rsidR="008E5E1F">
        <w:rPr>
          <w:rFonts w:ascii="Arial" w:hAnsi="Arial" w:cs="Arial"/>
          <w:sz w:val="24"/>
          <w:szCs w:val="24"/>
        </w:rPr>
        <w:t xml:space="preserve">applicant seeks </w:t>
      </w:r>
      <w:r w:rsidR="00D37CAF">
        <w:rPr>
          <w:rFonts w:ascii="Arial" w:hAnsi="Arial" w:cs="Arial"/>
          <w:sz w:val="24"/>
          <w:szCs w:val="24"/>
        </w:rPr>
        <w:t>an order that the decision by the first respondent</w:t>
      </w:r>
      <w:r w:rsidR="00387EFC">
        <w:rPr>
          <w:rFonts w:ascii="Arial" w:hAnsi="Arial" w:cs="Arial"/>
          <w:sz w:val="24"/>
          <w:szCs w:val="24"/>
        </w:rPr>
        <w:t xml:space="preserve"> to disqualify</w:t>
      </w:r>
      <w:r w:rsidR="008B2E53">
        <w:rPr>
          <w:rFonts w:ascii="Arial" w:hAnsi="Arial" w:cs="Arial"/>
          <w:sz w:val="24"/>
          <w:szCs w:val="24"/>
        </w:rPr>
        <w:t xml:space="preserve"> the applicant in a tender and/or the award of the tender to the</w:t>
      </w:r>
      <w:r w:rsidR="00FA5822">
        <w:rPr>
          <w:rFonts w:ascii="Arial" w:hAnsi="Arial" w:cs="Arial"/>
          <w:sz w:val="24"/>
          <w:szCs w:val="24"/>
        </w:rPr>
        <w:t xml:space="preserve"> second respondent be reviewed and set aside.</w:t>
      </w:r>
    </w:p>
    <w:p w14:paraId="44D1010F" w14:textId="77777777" w:rsidR="008E70A3" w:rsidRDefault="008E70A3" w:rsidP="00F51449">
      <w:pPr>
        <w:spacing w:after="0" w:line="360" w:lineRule="auto"/>
        <w:ind w:left="851" w:hanging="851"/>
        <w:jc w:val="both"/>
        <w:rPr>
          <w:rFonts w:ascii="Arial" w:hAnsi="Arial" w:cs="Arial"/>
          <w:sz w:val="24"/>
          <w:szCs w:val="24"/>
        </w:rPr>
      </w:pPr>
    </w:p>
    <w:p w14:paraId="212273E5" w14:textId="77777777" w:rsidR="00C42782" w:rsidRPr="00F51449" w:rsidRDefault="008E70A3" w:rsidP="00F51449">
      <w:pPr>
        <w:spacing w:after="0" w:line="360" w:lineRule="auto"/>
        <w:ind w:left="851" w:hanging="851"/>
        <w:jc w:val="both"/>
        <w:rPr>
          <w:rFonts w:ascii="Arial" w:hAnsi="Arial" w:cs="Arial"/>
          <w:b/>
          <w:bCs/>
          <w:sz w:val="24"/>
          <w:szCs w:val="24"/>
        </w:rPr>
      </w:pPr>
      <w:r>
        <w:rPr>
          <w:rFonts w:ascii="Arial" w:hAnsi="Arial" w:cs="Arial"/>
          <w:sz w:val="24"/>
          <w:szCs w:val="24"/>
        </w:rPr>
        <w:t>[2]</w:t>
      </w:r>
      <w:r>
        <w:rPr>
          <w:rFonts w:ascii="Arial" w:hAnsi="Arial" w:cs="Arial"/>
          <w:sz w:val="24"/>
          <w:szCs w:val="24"/>
        </w:rPr>
        <w:tab/>
      </w:r>
      <w:r w:rsidR="00AA5F36">
        <w:rPr>
          <w:rFonts w:ascii="Arial" w:hAnsi="Arial" w:cs="Arial"/>
          <w:sz w:val="24"/>
          <w:szCs w:val="24"/>
        </w:rPr>
        <w:t xml:space="preserve">During March </w:t>
      </w:r>
      <w:r w:rsidR="0070105B">
        <w:rPr>
          <w:rFonts w:ascii="Arial" w:hAnsi="Arial" w:cs="Arial"/>
          <w:sz w:val="24"/>
          <w:szCs w:val="24"/>
        </w:rPr>
        <w:t>2022, the</w:t>
      </w:r>
      <w:r w:rsidR="00AA5F36">
        <w:rPr>
          <w:rFonts w:ascii="Arial" w:hAnsi="Arial" w:cs="Arial"/>
          <w:sz w:val="24"/>
          <w:szCs w:val="24"/>
        </w:rPr>
        <w:t xml:space="preserve"> applicant applied</w:t>
      </w:r>
      <w:r w:rsidR="00C85AA0">
        <w:rPr>
          <w:rFonts w:ascii="Arial" w:hAnsi="Arial" w:cs="Arial"/>
          <w:sz w:val="24"/>
          <w:szCs w:val="24"/>
        </w:rPr>
        <w:t xml:space="preserve"> for interim </w:t>
      </w:r>
      <w:r w:rsidR="0070105B">
        <w:rPr>
          <w:rFonts w:ascii="Arial" w:hAnsi="Arial" w:cs="Arial"/>
          <w:sz w:val="24"/>
          <w:szCs w:val="24"/>
        </w:rPr>
        <w:t>relief, in</w:t>
      </w:r>
      <w:r w:rsidR="00C85AA0">
        <w:rPr>
          <w:rFonts w:ascii="Arial" w:hAnsi="Arial" w:cs="Arial"/>
          <w:sz w:val="24"/>
          <w:szCs w:val="24"/>
        </w:rPr>
        <w:t xml:space="preserve"> the form of an </w:t>
      </w:r>
      <w:r w:rsidR="0070105B">
        <w:rPr>
          <w:rFonts w:ascii="Arial" w:hAnsi="Arial" w:cs="Arial"/>
          <w:sz w:val="24"/>
          <w:szCs w:val="24"/>
        </w:rPr>
        <w:t>interdict, pending</w:t>
      </w:r>
      <w:r w:rsidR="00C85AA0">
        <w:rPr>
          <w:rFonts w:ascii="Arial" w:hAnsi="Arial" w:cs="Arial"/>
          <w:sz w:val="24"/>
          <w:szCs w:val="24"/>
        </w:rPr>
        <w:t xml:space="preserve"> the outcome of the present application </w:t>
      </w:r>
      <w:r w:rsidR="00220222">
        <w:rPr>
          <w:rFonts w:ascii="Arial" w:hAnsi="Arial" w:cs="Arial"/>
          <w:sz w:val="24"/>
          <w:szCs w:val="24"/>
        </w:rPr>
        <w:t>for review.</w:t>
      </w:r>
      <w:r w:rsidR="00EC6CE2" w:rsidRPr="00F51449">
        <w:rPr>
          <w:rFonts w:ascii="Arial" w:hAnsi="Arial" w:cs="Arial"/>
          <w:sz w:val="24"/>
          <w:szCs w:val="24"/>
        </w:rPr>
        <w:t xml:space="preserve"> On Monday, 28 March 2022 </w:t>
      </w:r>
      <w:r w:rsidR="0091275C">
        <w:rPr>
          <w:rFonts w:ascii="Arial" w:hAnsi="Arial" w:cs="Arial"/>
          <w:sz w:val="24"/>
          <w:szCs w:val="24"/>
        </w:rPr>
        <w:t>Daffue</w:t>
      </w:r>
      <w:r w:rsidR="00F63117">
        <w:rPr>
          <w:rFonts w:ascii="Arial" w:hAnsi="Arial" w:cs="Arial"/>
          <w:sz w:val="24"/>
          <w:szCs w:val="24"/>
        </w:rPr>
        <w:t xml:space="preserve"> </w:t>
      </w:r>
      <w:r w:rsidR="0091275C">
        <w:rPr>
          <w:rFonts w:ascii="Arial" w:hAnsi="Arial" w:cs="Arial"/>
          <w:sz w:val="24"/>
          <w:szCs w:val="24"/>
        </w:rPr>
        <w:t>J</w:t>
      </w:r>
      <w:r w:rsidR="00F63117">
        <w:rPr>
          <w:rFonts w:ascii="Arial" w:hAnsi="Arial" w:cs="Arial"/>
          <w:sz w:val="24"/>
          <w:szCs w:val="24"/>
        </w:rPr>
        <w:t>,</w:t>
      </w:r>
      <w:r w:rsidR="00EC6CE2" w:rsidRPr="00F51449">
        <w:rPr>
          <w:rFonts w:ascii="Arial" w:hAnsi="Arial" w:cs="Arial"/>
          <w:sz w:val="24"/>
          <w:szCs w:val="24"/>
        </w:rPr>
        <w:t xml:space="preserve"> issued the following order</w:t>
      </w:r>
      <w:r w:rsidR="00387E36">
        <w:rPr>
          <w:rFonts w:ascii="Arial" w:hAnsi="Arial" w:cs="Arial"/>
          <w:sz w:val="24"/>
          <w:szCs w:val="24"/>
        </w:rPr>
        <w:t>s</w:t>
      </w:r>
      <w:r w:rsidR="00C42782" w:rsidRPr="00F51449">
        <w:rPr>
          <w:rFonts w:ascii="Arial" w:hAnsi="Arial" w:cs="Arial"/>
          <w:sz w:val="24"/>
          <w:szCs w:val="24"/>
        </w:rPr>
        <w:t>:</w:t>
      </w:r>
    </w:p>
    <w:p w14:paraId="41C4E1B2" w14:textId="77777777" w:rsidR="00C42782" w:rsidRPr="00F51449" w:rsidRDefault="00C42782" w:rsidP="00F51449">
      <w:pPr>
        <w:spacing w:after="0" w:line="360" w:lineRule="auto"/>
        <w:ind w:left="1418" w:hanging="563"/>
        <w:jc w:val="both"/>
        <w:rPr>
          <w:rFonts w:ascii="Arial" w:hAnsi="Arial" w:cs="Arial"/>
          <w:sz w:val="20"/>
          <w:szCs w:val="20"/>
        </w:rPr>
      </w:pPr>
      <w:r w:rsidRPr="00F51449">
        <w:rPr>
          <w:rFonts w:ascii="Arial" w:hAnsi="Arial" w:cs="Arial"/>
          <w:sz w:val="20"/>
          <w:szCs w:val="20"/>
        </w:rPr>
        <w:t>“1.</w:t>
      </w:r>
      <w:r w:rsidRPr="00F51449">
        <w:rPr>
          <w:rFonts w:ascii="Arial" w:hAnsi="Arial" w:cs="Arial"/>
          <w:sz w:val="20"/>
          <w:szCs w:val="20"/>
        </w:rPr>
        <w:tab/>
        <w:t xml:space="preserve">The first respondent is interdicted from giving instructions to the second respondent and/or any other tenderer to perform any further work under </w:t>
      </w:r>
      <w:r w:rsidRPr="00F51449">
        <w:rPr>
          <w:rFonts w:ascii="Arial" w:hAnsi="Arial" w:cs="Arial"/>
          <w:b/>
          <w:sz w:val="20"/>
          <w:szCs w:val="20"/>
        </w:rPr>
        <w:t>Tender No:  PR&amp;T18/2021/22</w:t>
      </w:r>
      <w:r w:rsidRPr="00F51449">
        <w:rPr>
          <w:rFonts w:ascii="Arial" w:hAnsi="Arial" w:cs="Arial"/>
          <w:sz w:val="20"/>
          <w:szCs w:val="20"/>
        </w:rPr>
        <w:t>.</w:t>
      </w:r>
    </w:p>
    <w:p w14:paraId="39134AC6" w14:textId="77777777" w:rsidR="00C42782" w:rsidRPr="00F51449" w:rsidRDefault="00C42782" w:rsidP="00F51449">
      <w:pPr>
        <w:spacing w:after="0" w:line="360" w:lineRule="auto"/>
        <w:ind w:left="1418" w:hanging="567"/>
        <w:jc w:val="both"/>
        <w:rPr>
          <w:rFonts w:ascii="Arial" w:hAnsi="Arial" w:cs="Arial"/>
          <w:sz w:val="20"/>
          <w:szCs w:val="20"/>
        </w:rPr>
      </w:pPr>
    </w:p>
    <w:p w14:paraId="342850FE" w14:textId="77777777" w:rsidR="00C42782" w:rsidRPr="00F51449" w:rsidRDefault="00C42782" w:rsidP="00F51449">
      <w:pPr>
        <w:pStyle w:val="ListParagraph"/>
        <w:numPr>
          <w:ilvl w:val="0"/>
          <w:numId w:val="3"/>
        </w:numPr>
        <w:spacing w:after="0" w:line="360" w:lineRule="auto"/>
        <w:ind w:left="1418" w:hanging="567"/>
        <w:jc w:val="both"/>
        <w:rPr>
          <w:rFonts w:ascii="Arial" w:hAnsi="Arial" w:cs="Arial"/>
          <w:sz w:val="20"/>
          <w:szCs w:val="20"/>
        </w:rPr>
      </w:pPr>
      <w:r w:rsidRPr="00F51449">
        <w:rPr>
          <w:rFonts w:ascii="Arial" w:hAnsi="Arial" w:cs="Arial"/>
          <w:sz w:val="20"/>
          <w:szCs w:val="20"/>
        </w:rPr>
        <w:t xml:space="preserve">The second respondent is interdicted from commencing with any further work under </w:t>
      </w:r>
      <w:r w:rsidRPr="00F51449">
        <w:rPr>
          <w:rFonts w:ascii="Arial" w:hAnsi="Arial" w:cs="Arial"/>
          <w:b/>
          <w:sz w:val="20"/>
          <w:szCs w:val="20"/>
        </w:rPr>
        <w:t>Tender No:  PR&amp;T18/2021/22</w:t>
      </w:r>
      <w:r w:rsidRPr="00F51449">
        <w:rPr>
          <w:rFonts w:ascii="Arial" w:hAnsi="Arial" w:cs="Arial"/>
          <w:sz w:val="20"/>
          <w:szCs w:val="20"/>
        </w:rPr>
        <w:t>.</w:t>
      </w:r>
    </w:p>
    <w:p w14:paraId="09B7E98F"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6F87B8C9" w14:textId="77777777" w:rsidR="00C42782" w:rsidRPr="00F51449" w:rsidRDefault="00C42782" w:rsidP="00F51449">
      <w:pPr>
        <w:pStyle w:val="ListParagraph"/>
        <w:numPr>
          <w:ilvl w:val="0"/>
          <w:numId w:val="3"/>
        </w:numPr>
        <w:spacing w:after="0" w:line="360" w:lineRule="auto"/>
        <w:ind w:left="1418" w:hanging="567"/>
        <w:jc w:val="both"/>
        <w:rPr>
          <w:rFonts w:ascii="Arial" w:hAnsi="Arial" w:cs="Arial"/>
          <w:sz w:val="20"/>
          <w:szCs w:val="20"/>
        </w:rPr>
      </w:pPr>
      <w:r w:rsidRPr="00F51449">
        <w:rPr>
          <w:rFonts w:ascii="Arial" w:hAnsi="Arial" w:cs="Arial"/>
          <w:sz w:val="20"/>
          <w:szCs w:val="20"/>
        </w:rPr>
        <w:t xml:space="preserve">The orders in paragraphs 1 and 2 shall serve as interim interdicts with immediate effect pending finalisation of the review application to be instituted on/or before 22 April 2022 by the applicant against the decision of the first respondent to award </w:t>
      </w:r>
      <w:r w:rsidRPr="00F51449">
        <w:rPr>
          <w:rFonts w:ascii="Arial" w:hAnsi="Arial" w:cs="Arial"/>
          <w:b/>
          <w:sz w:val="20"/>
          <w:szCs w:val="20"/>
        </w:rPr>
        <w:t>Tender No:  PR&amp;T18/2021/22</w:t>
      </w:r>
      <w:r w:rsidRPr="00F51449">
        <w:rPr>
          <w:rFonts w:ascii="Arial" w:hAnsi="Arial" w:cs="Arial"/>
          <w:sz w:val="20"/>
          <w:szCs w:val="20"/>
        </w:rPr>
        <w:t xml:space="preserve"> to the second respondent.</w:t>
      </w:r>
    </w:p>
    <w:p w14:paraId="44C8ECCF"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6B31895A" w14:textId="77777777" w:rsidR="00C42782" w:rsidRPr="00F51449" w:rsidRDefault="00C42782" w:rsidP="00F51449">
      <w:pPr>
        <w:pStyle w:val="ListParagraph"/>
        <w:numPr>
          <w:ilvl w:val="0"/>
          <w:numId w:val="3"/>
        </w:numPr>
        <w:spacing w:after="0" w:line="360" w:lineRule="auto"/>
        <w:ind w:left="1418" w:hanging="567"/>
        <w:jc w:val="both"/>
        <w:rPr>
          <w:rFonts w:ascii="Arial" w:hAnsi="Arial" w:cs="Arial"/>
          <w:sz w:val="20"/>
          <w:szCs w:val="20"/>
        </w:rPr>
      </w:pPr>
      <w:r w:rsidRPr="00F51449">
        <w:rPr>
          <w:rFonts w:ascii="Arial" w:hAnsi="Arial" w:cs="Arial"/>
          <w:sz w:val="20"/>
          <w:szCs w:val="20"/>
        </w:rPr>
        <w:t>The costs of 28 January 2022, 10 February 2022 and 24 March 2022 shall stand over for later adjudication.</w:t>
      </w:r>
    </w:p>
    <w:p w14:paraId="666F3ED3" w14:textId="77777777" w:rsidR="00C42782" w:rsidRPr="00F51449" w:rsidRDefault="00C42782" w:rsidP="00F51449">
      <w:pPr>
        <w:pStyle w:val="ListParagraph"/>
        <w:spacing w:after="0" w:line="360" w:lineRule="auto"/>
        <w:ind w:left="1418" w:hanging="567"/>
        <w:rPr>
          <w:rFonts w:ascii="Arial" w:hAnsi="Arial" w:cs="Arial"/>
          <w:sz w:val="20"/>
          <w:szCs w:val="20"/>
        </w:rPr>
      </w:pPr>
    </w:p>
    <w:p w14:paraId="54CA0BAE" w14:textId="77777777" w:rsidR="00C42782" w:rsidRPr="00F51449" w:rsidRDefault="00C42782" w:rsidP="00F51449">
      <w:pPr>
        <w:pStyle w:val="ListParagraph"/>
        <w:numPr>
          <w:ilvl w:val="0"/>
          <w:numId w:val="3"/>
        </w:numPr>
        <w:spacing w:after="0" w:line="360" w:lineRule="auto"/>
        <w:ind w:left="1418" w:hanging="567"/>
        <w:jc w:val="both"/>
        <w:rPr>
          <w:rFonts w:ascii="Arial" w:hAnsi="Arial" w:cs="Arial"/>
          <w:sz w:val="20"/>
          <w:szCs w:val="20"/>
        </w:rPr>
      </w:pPr>
      <w:r w:rsidRPr="00F51449">
        <w:rPr>
          <w:rFonts w:ascii="Arial" w:hAnsi="Arial" w:cs="Arial"/>
          <w:sz w:val="20"/>
          <w:szCs w:val="20"/>
        </w:rPr>
        <w:t>The reasons for the orders will follow in due course.”</w:t>
      </w:r>
    </w:p>
    <w:p w14:paraId="662EE2AF" w14:textId="77777777" w:rsidR="009E3AC2" w:rsidRPr="00F51449" w:rsidRDefault="009E3AC2" w:rsidP="00F51449">
      <w:pPr>
        <w:spacing w:after="0" w:line="360" w:lineRule="auto"/>
        <w:ind w:left="851" w:hanging="851"/>
        <w:jc w:val="both"/>
        <w:rPr>
          <w:rFonts w:ascii="Arial" w:hAnsi="Arial" w:cs="Arial"/>
          <w:sz w:val="20"/>
          <w:szCs w:val="20"/>
        </w:rPr>
      </w:pPr>
    </w:p>
    <w:p w14:paraId="2FBB3090" w14:textId="77777777" w:rsidR="00EC6CE2"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470F48">
        <w:rPr>
          <w:rFonts w:ascii="Arial" w:hAnsi="Arial" w:cs="Arial"/>
          <w:sz w:val="24"/>
          <w:szCs w:val="24"/>
        </w:rPr>
        <w:t>3</w:t>
      </w:r>
      <w:r w:rsidRPr="00F51449">
        <w:rPr>
          <w:rFonts w:ascii="Arial" w:hAnsi="Arial" w:cs="Arial"/>
          <w:sz w:val="24"/>
          <w:szCs w:val="24"/>
        </w:rPr>
        <w:t>]</w:t>
      </w:r>
      <w:r w:rsidRPr="00F51449">
        <w:rPr>
          <w:rFonts w:ascii="Arial" w:hAnsi="Arial" w:cs="Arial"/>
          <w:sz w:val="24"/>
          <w:szCs w:val="24"/>
        </w:rPr>
        <w:tab/>
      </w:r>
      <w:r w:rsidR="009027BF">
        <w:rPr>
          <w:rFonts w:ascii="Arial" w:hAnsi="Arial" w:cs="Arial"/>
          <w:sz w:val="24"/>
          <w:szCs w:val="24"/>
        </w:rPr>
        <w:t>Daff</w:t>
      </w:r>
      <w:r w:rsidR="00E77357">
        <w:rPr>
          <w:rFonts w:ascii="Arial" w:hAnsi="Arial" w:cs="Arial"/>
          <w:sz w:val="24"/>
          <w:szCs w:val="24"/>
        </w:rPr>
        <w:t>ue J</w:t>
      </w:r>
      <w:r w:rsidR="003C2A92">
        <w:rPr>
          <w:rFonts w:ascii="Arial" w:hAnsi="Arial" w:cs="Arial"/>
          <w:sz w:val="24"/>
          <w:szCs w:val="24"/>
        </w:rPr>
        <w:t xml:space="preserve">, duly delivered his reasons on </w:t>
      </w:r>
      <w:r w:rsidR="00063808">
        <w:rPr>
          <w:rFonts w:ascii="Arial" w:hAnsi="Arial" w:cs="Arial"/>
          <w:sz w:val="24"/>
          <w:szCs w:val="24"/>
        </w:rPr>
        <w:t>2 June 2022.</w:t>
      </w:r>
    </w:p>
    <w:p w14:paraId="3B42C7C0" w14:textId="77777777" w:rsidR="00F61FA1" w:rsidRPr="00F51449" w:rsidRDefault="00F61FA1" w:rsidP="00F51449">
      <w:pPr>
        <w:spacing w:after="0" w:line="360" w:lineRule="auto"/>
        <w:ind w:left="851" w:hanging="851"/>
        <w:jc w:val="both"/>
        <w:rPr>
          <w:rFonts w:ascii="Arial" w:hAnsi="Arial" w:cs="Arial"/>
          <w:b/>
          <w:sz w:val="24"/>
          <w:szCs w:val="24"/>
        </w:rPr>
      </w:pPr>
    </w:p>
    <w:p w14:paraId="0BF5D683" w14:textId="77777777" w:rsidR="00FB32BC" w:rsidRPr="00F51449" w:rsidRDefault="00FB32BC" w:rsidP="00F51449">
      <w:pPr>
        <w:spacing w:after="0" w:line="360" w:lineRule="auto"/>
        <w:ind w:left="851" w:hanging="851"/>
        <w:jc w:val="both"/>
        <w:rPr>
          <w:rFonts w:ascii="Arial" w:hAnsi="Arial" w:cs="Arial"/>
          <w:b/>
          <w:sz w:val="24"/>
          <w:szCs w:val="24"/>
        </w:rPr>
      </w:pPr>
      <w:r w:rsidRPr="00F51449">
        <w:rPr>
          <w:rFonts w:ascii="Arial" w:hAnsi="Arial" w:cs="Arial"/>
          <w:b/>
          <w:sz w:val="24"/>
          <w:szCs w:val="24"/>
        </w:rPr>
        <w:t>II</w:t>
      </w:r>
      <w:r w:rsidRPr="00F51449">
        <w:rPr>
          <w:rFonts w:ascii="Arial" w:hAnsi="Arial" w:cs="Arial"/>
          <w:b/>
          <w:sz w:val="24"/>
          <w:szCs w:val="24"/>
        </w:rPr>
        <w:tab/>
        <w:t>THE PARTIES</w:t>
      </w:r>
    </w:p>
    <w:p w14:paraId="7133172F"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500D5DBC" w14:textId="77777777" w:rsidR="00FB32BC"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94083A">
        <w:rPr>
          <w:rFonts w:ascii="Arial" w:hAnsi="Arial" w:cs="Arial"/>
          <w:sz w:val="24"/>
          <w:szCs w:val="24"/>
        </w:rPr>
        <w:t>4</w:t>
      </w:r>
      <w:r w:rsidRPr="00F51449">
        <w:rPr>
          <w:rFonts w:ascii="Arial" w:hAnsi="Arial" w:cs="Arial"/>
          <w:sz w:val="24"/>
          <w:szCs w:val="24"/>
        </w:rPr>
        <w:t>]</w:t>
      </w:r>
      <w:r w:rsidRPr="00F51449">
        <w:rPr>
          <w:rFonts w:ascii="Arial" w:hAnsi="Arial" w:cs="Arial"/>
          <w:sz w:val="24"/>
          <w:szCs w:val="24"/>
        </w:rPr>
        <w:tab/>
      </w:r>
      <w:r w:rsidR="009C14A0" w:rsidRPr="00F51449">
        <w:rPr>
          <w:rFonts w:ascii="Arial" w:hAnsi="Arial" w:cs="Arial"/>
          <w:sz w:val="24"/>
          <w:szCs w:val="24"/>
        </w:rPr>
        <w:t>The applicant is Roadmac Surfacing (Pty) Ltd</w:t>
      </w:r>
      <w:r w:rsidR="00FB32BC" w:rsidRPr="00F51449">
        <w:rPr>
          <w:rFonts w:ascii="Arial" w:hAnsi="Arial" w:cs="Arial"/>
          <w:sz w:val="24"/>
          <w:szCs w:val="24"/>
        </w:rPr>
        <w:t>, represented by Adv</w:t>
      </w:r>
      <w:r w:rsidR="009C14A0" w:rsidRPr="00F51449">
        <w:rPr>
          <w:rFonts w:ascii="Arial" w:hAnsi="Arial" w:cs="Arial"/>
          <w:sz w:val="24"/>
          <w:szCs w:val="24"/>
        </w:rPr>
        <w:t xml:space="preserve"> N Snellenburg SC assisted by Adv</w:t>
      </w:r>
      <w:r w:rsidR="00FB32BC" w:rsidRPr="00F51449">
        <w:rPr>
          <w:rFonts w:ascii="Arial" w:hAnsi="Arial" w:cs="Arial"/>
          <w:sz w:val="24"/>
          <w:szCs w:val="24"/>
        </w:rPr>
        <w:t xml:space="preserve"> JJ Buys,</w:t>
      </w:r>
      <w:r w:rsidR="009C14A0" w:rsidRPr="00F51449">
        <w:rPr>
          <w:rFonts w:ascii="Arial" w:hAnsi="Arial" w:cs="Arial"/>
          <w:sz w:val="24"/>
          <w:szCs w:val="24"/>
        </w:rPr>
        <w:t xml:space="preserve"> they being</w:t>
      </w:r>
      <w:r w:rsidR="00FB32BC" w:rsidRPr="00F51449">
        <w:rPr>
          <w:rFonts w:ascii="Arial" w:hAnsi="Arial" w:cs="Arial"/>
          <w:sz w:val="24"/>
          <w:szCs w:val="24"/>
        </w:rPr>
        <w:t xml:space="preserve"> instructed by </w:t>
      </w:r>
      <w:r w:rsidR="0070105B">
        <w:rPr>
          <w:rFonts w:ascii="Arial" w:hAnsi="Arial" w:cs="Arial"/>
          <w:sz w:val="24"/>
          <w:szCs w:val="24"/>
        </w:rPr>
        <w:t xml:space="preserve">York </w:t>
      </w:r>
      <w:r w:rsidR="0070105B" w:rsidRPr="00F51449">
        <w:rPr>
          <w:rFonts w:ascii="Arial" w:hAnsi="Arial" w:cs="Arial"/>
          <w:sz w:val="24"/>
          <w:szCs w:val="24"/>
        </w:rPr>
        <w:t>Attorneys</w:t>
      </w:r>
      <w:r w:rsidR="009C14A0" w:rsidRPr="00F51449">
        <w:rPr>
          <w:rFonts w:ascii="Arial" w:hAnsi="Arial" w:cs="Arial"/>
          <w:sz w:val="24"/>
          <w:szCs w:val="24"/>
        </w:rPr>
        <w:t>, Bloemfontein.</w:t>
      </w:r>
    </w:p>
    <w:p w14:paraId="2BD1D249" w14:textId="77777777" w:rsidR="00EA3F5F" w:rsidRPr="00F51449" w:rsidRDefault="00EA3F5F" w:rsidP="00F51449">
      <w:pPr>
        <w:spacing w:after="0" w:line="360" w:lineRule="auto"/>
        <w:ind w:left="851" w:hanging="851"/>
        <w:jc w:val="both"/>
        <w:rPr>
          <w:rFonts w:ascii="Arial" w:hAnsi="Arial" w:cs="Arial"/>
          <w:sz w:val="24"/>
          <w:szCs w:val="24"/>
        </w:rPr>
      </w:pPr>
    </w:p>
    <w:p w14:paraId="2B7CFDF5" w14:textId="77777777" w:rsidR="00FB32BC"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630A55">
        <w:rPr>
          <w:rFonts w:ascii="Arial" w:hAnsi="Arial" w:cs="Arial"/>
          <w:sz w:val="24"/>
          <w:szCs w:val="24"/>
        </w:rPr>
        <w:t>5</w:t>
      </w:r>
      <w:r w:rsidRPr="00F51449">
        <w:rPr>
          <w:rFonts w:ascii="Arial" w:hAnsi="Arial" w:cs="Arial"/>
          <w:sz w:val="24"/>
          <w:szCs w:val="24"/>
        </w:rPr>
        <w:t>]</w:t>
      </w:r>
      <w:r w:rsidRPr="00F51449">
        <w:rPr>
          <w:rFonts w:ascii="Arial" w:hAnsi="Arial" w:cs="Arial"/>
          <w:sz w:val="24"/>
          <w:szCs w:val="24"/>
        </w:rPr>
        <w:tab/>
      </w:r>
      <w:r w:rsidR="00FB32BC" w:rsidRPr="00F51449">
        <w:rPr>
          <w:rFonts w:ascii="Arial" w:hAnsi="Arial" w:cs="Arial"/>
          <w:sz w:val="24"/>
          <w:szCs w:val="24"/>
        </w:rPr>
        <w:t xml:space="preserve">The </w:t>
      </w:r>
      <w:r w:rsidR="009C14A0" w:rsidRPr="00F51449">
        <w:rPr>
          <w:rFonts w:ascii="Arial" w:hAnsi="Arial" w:cs="Arial"/>
          <w:sz w:val="24"/>
          <w:szCs w:val="24"/>
        </w:rPr>
        <w:t>1</w:t>
      </w:r>
      <w:r w:rsidR="009C14A0" w:rsidRPr="00F51449">
        <w:rPr>
          <w:rFonts w:ascii="Arial" w:hAnsi="Arial" w:cs="Arial"/>
          <w:sz w:val="24"/>
          <w:szCs w:val="24"/>
          <w:vertAlign w:val="superscript"/>
        </w:rPr>
        <w:t>st</w:t>
      </w:r>
      <w:r w:rsidR="009C14A0" w:rsidRPr="00F51449">
        <w:rPr>
          <w:rFonts w:ascii="Arial" w:hAnsi="Arial" w:cs="Arial"/>
          <w:sz w:val="24"/>
          <w:szCs w:val="24"/>
        </w:rPr>
        <w:t xml:space="preserve"> </w:t>
      </w:r>
      <w:r w:rsidR="00FB32BC" w:rsidRPr="00F51449">
        <w:rPr>
          <w:rFonts w:ascii="Arial" w:hAnsi="Arial" w:cs="Arial"/>
          <w:sz w:val="24"/>
          <w:szCs w:val="24"/>
        </w:rPr>
        <w:t xml:space="preserve">respondent is </w:t>
      </w:r>
      <w:r w:rsidR="009C14A0" w:rsidRPr="00F51449">
        <w:rPr>
          <w:rFonts w:ascii="Arial" w:hAnsi="Arial" w:cs="Arial"/>
          <w:sz w:val="24"/>
          <w:szCs w:val="24"/>
        </w:rPr>
        <w:t xml:space="preserve">the MEC for the Department of Police, Roads and Transport, Free State Province, </w:t>
      </w:r>
      <w:r w:rsidR="00FB32BC" w:rsidRPr="00F51449">
        <w:rPr>
          <w:rFonts w:ascii="Arial" w:hAnsi="Arial" w:cs="Arial"/>
          <w:sz w:val="24"/>
          <w:szCs w:val="24"/>
        </w:rPr>
        <w:t xml:space="preserve">represented by Adv </w:t>
      </w:r>
      <w:r w:rsidR="006830CD">
        <w:rPr>
          <w:rFonts w:ascii="Arial" w:hAnsi="Arial" w:cs="Arial"/>
          <w:sz w:val="24"/>
          <w:szCs w:val="24"/>
        </w:rPr>
        <w:t>L Bomela</w:t>
      </w:r>
      <w:r w:rsidR="009C14A0" w:rsidRPr="00F51449">
        <w:rPr>
          <w:rFonts w:ascii="Arial" w:hAnsi="Arial" w:cs="Arial"/>
          <w:sz w:val="24"/>
          <w:szCs w:val="24"/>
        </w:rPr>
        <w:t xml:space="preserve">, </w:t>
      </w:r>
      <w:r w:rsidR="00FB32BC" w:rsidRPr="00F51449">
        <w:rPr>
          <w:rFonts w:ascii="Arial" w:hAnsi="Arial" w:cs="Arial"/>
          <w:sz w:val="24"/>
          <w:szCs w:val="24"/>
        </w:rPr>
        <w:t>instructed by</w:t>
      </w:r>
      <w:r w:rsidR="009C14A0" w:rsidRPr="00F51449">
        <w:rPr>
          <w:rFonts w:ascii="Arial" w:hAnsi="Arial" w:cs="Arial"/>
          <w:sz w:val="24"/>
          <w:szCs w:val="24"/>
        </w:rPr>
        <w:t xml:space="preserve"> the State Attorney</w:t>
      </w:r>
      <w:r w:rsidR="00FB32BC" w:rsidRPr="00F51449">
        <w:rPr>
          <w:rFonts w:ascii="Arial" w:hAnsi="Arial" w:cs="Arial"/>
          <w:sz w:val="24"/>
          <w:szCs w:val="24"/>
        </w:rPr>
        <w:t>, Bloemfontein.</w:t>
      </w:r>
    </w:p>
    <w:p w14:paraId="752765C2"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0377C7CE" w14:textId="77777777" w:rsidR="00FB32BC" w:rsidRPr="00F51449" w:rsidRDefault="00C42782"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630A55">
        <w:rPr>
          <w:rFonts w:ascii="Arial" w:hAnsi="Arial" w:cs="Arial"/>
          <w:sz w:val="24"/>
          <w:szCs w:val="24"/>
        </w:rPr>
        <w:t>6</w:t>
      </w:r>
      <w:r w:rsidRPr="00F51449">
        <w:rPr>
          <w:rFonts w:ascii="Arial" w:hAnsi="Arial" w:cs="Arial"/>
          <w:sz w:val="24"/>
          <w:szCs w:val="24"/>
        </w:rPr>
        <w:t>]</w:t>
      </w:r>
      <w:r w:rsidRPr="00F51449">
        <w:rPr>
          <w:rFonts w:ascii="Arial" w:hAnsi="Arial" w:cs="Arial"/>
          <w:sz w:val="24"/>
          <w:szCs w:val="24"/>
        </w:rPr>
        <w:tab/>
      </w:r>
      <w:r w:rsidR="00FB32BC" w:rsidRPr="00F51449">
        <w:rPr>
          <w:rFonts w:ascii="Arial" w:hAnsi="Arial" w:cs="Arial"/>
          <w:sz w:val="24"/>
          <w:szCs w:val="24"/>
        </w:rPr>
        <w:t xml:space="preserve">The </w:t>
      </w:r>
      <w:r w:rsidR="009C14A0" w:rsidRPr="00F51449">
        <w:rPr>
          <w:rFonts w:ascii="Arial" w:hAnsi="Arial" w:cs="Arial"/>
          <w:sz w:val="24"/>
          <w:szCs w:val="24"/>
        </w:rPr>
        <w:t>2</w:t>
      </w:r>
      <w:r w:rsidR="009C14A0" w:rsidRPr="00F51449">
        <w:rPr>
          <w:rFonts w:ascii="Arial" w:hAnsi="Arial" w:cs="Arial"/>
          <w:sz w:val="24"/>
          <w:szCs w:val="24"/>
          <w:vertAlign w:val="superscript"/>
        </w:rPr>
        <w:t>nd</w:t>
      </w:r>
      <w:r w:rsidR="009C14A0" w:rsidRPr="00F51449">
        <w:rPr>
          <w:rFonts w:ascii="Arial" w:hAnsi="Arial" w:cs="Arial"/>
          <w:sz w:val="24"/>
          <w:szCs w:val="24"/>
        </w:rPr>
        <w:t xml:space="preserve"> respondent is Tau Pele Construction (Pty) Ltd, represented by Adv S Grobler SC, instructed by Peyper Attorneys, Bloemfontein</w:t>
      </w:r>
      <w:r w:rsidR="00FB32BC" w:rsidRPr="00F51449">
        <w:rPr>
          <w:rFonts w:ascii="Arial" w:hAnsi="Arial" w:cs="Arial"/>
          <w:sz w:val="24"/>
          <w:szCs w:val="24"/>
        </w:rPr>
        <w:t>.</w:t>
      </w:r>
    </w:p>
    <w:p w14:paraId="2538D4EC" w14:textId="77777777" w:rsidR="00FB32BC" w:rsidRDefault="00FB32BC" w:rsidP="00F51449">
      <w:pPr>
        <w:pStyle w:val="ListParagraph"/>
        <w:spacing w:after="0" w:line="360" w:lineRule="auto"/>
        <w:ind w:left="851" w:hanging="851"/>
        <w:jc w:val="both"/>
        <w:rPr>
          <w:rFonts w:ascii="Arial" w:hAnsi="Arial" w:cs="Arial"/>
          <w:sz w:val="24"/>
          <w:szCs w:val="24"/>
        </w:rPr>
      </w:pPr>
    </w:p>
    <w:p w14:paraId="104D2639" w14:textId="77777777" w:rsidR="000561BF" w:rsidRDefault="000561BF" w:rsidP="00F51449">
      <w:pPr>
        <w:pStyle w:val="ListParagraph"/>
        <w:spacing w:after="0" w:line="360" w:lineRule="auto"/>
        <w:ind w:left="851" w:hanging="851"/>
        <w:jc w:val="both"/>
        <w:rPr>
          <w:rFonts w:ascii="Arial" w:hAnsi="Arial" w:cs="Arial"/>
          <w:sz w:val="24"/>
          <w:szCs w:val="24"/>
        </w:rPr>
      </w:pPr>
    </w:p>
    <w:p w14:paraId="7AC00CEE" w14:textId="77777777" w:rsidR="00E617AE" w:rsidRPr="0015352A" w:rsidRDefault="00E617AE" w:rsidP="00F51449">
      <w:pPr>
        <w:pStyle w:val="ListParagraph"/>
        <w:spacing w:after="0" w:line="360" w:lineRule="auto"/>
        <w:ind w:left="851" w:hanging="851"/>
        <w:jc w:val="both"/>
        <w:rPr>
          <w:rFonts w:ascii="Arial" w:hAnsi="Arial" w:cs="Arial"/>
          <w:sz w:val="20"/>
          <w:szCs w:val="20"/>
        </w:rPr>
      </w:pPr>
    </w:p>
    <w:p w14:paraId="34BCF774" w14:textId="77777777" w:rsidR="00E617AE" w:rsidRDefault="00FB32BC" w:rsidP="00E617AE">
      <w:pPr>
        <w:spacing w:after="0" w:line="360" w:lineRule="auto"/>
        <w:ind w:left="851" w:hanging="851"/>
        <w:jc w:val="both"/>
        <w:rPr>
          <w:rFonts w:ascii="Arial" w:eastAsia="Times New Roman" w:hAnsi="Arial" w:cs="Arial"/>
          <w:b/>
          <w:sz w:val="24"/>
          <w:szCs w:val="24"/>
          <w:lang w:eastAsia="en-ZA"/>
        </w:rPr>
      </w:pPr>
      <w:r w:rsidRPr="00F51449">
        <w:rPr>
          <w:rFonts w:ascii="Arial" w:eastAsia="Times New Roman" w:hAnsi="Arial" w:cs="Arial"/>
          <w:b/>
          <w:sz w:val="24"/>
          <w:szCs w:val="24"/>
          <w:lang w:eastAsia="en-ZA"/>
        </w:rPr>
        <w:t>III</w:t>
      </w:r>
      <w:r w:rsidRPr="00F51449">
        <w:rPr>
          <w:rFonts w:ascii="Arial" w:eastAsia="Times New Roman" w:hAnsi="Arial" w:cs="Arial"/>
          <w:b/>
          <w:sz w:val="24"/>
          <w:szCs w:val="24"/>
          <w:lang w:eastAsia="en-ZA"/>
        </w:rPr>
        <w:tab/>
        <w:t>THE</w:t>
      </w:r>
      <w:r w:rsidR="002113F7" w:rsidRPr="00F51449">
        <w:rPr>
          <w:rFonts w:ascii="Arial" w:eastAsia="Times New Roman" w:hAnsi="Arial" w:cs="Arial"/>
          <w:b/>
          <w:sz w:val="24"/>
          <w:szCs w:val="24"/>
          <w:lang w:eastAsia="en-ZA"/>
        </w:rPr>
        <w:t xml:space="preserve"> </w:t>
      </w:r>
      <w:r w:rsidRPr="00F51449">
        <w:rPr>
          <w:rFonts w:ascii="Arial" w:eastAsia="Times New Roman" w:hAnsi="Arial" w:cs="Arial"/>
          <w:b/>
          <w:sz w:val="24"/>
          <w:szCs w:val="24"/>
          <w:lang w:eastAsia="en-ZA"/>
        </w:rPr>
        <w:t>RELIEF CLAIMED</w:t>
      </w:r>
    </w:p>
    <w:p w14:paraId="506DF3AF" w14:textId="77777777" w:rsidR="00CB5C9D" w:rsidRDefault="00CB5C9D" w:rsidP="00E617AE">
      <w:pPr>
        <w:spacing w:after="0" w:line="360" w:lineRule="auto"/>
        <w:ind w:left="851" w:hanging="851"/>
        <w:jc w:val="both"/>
        <w:rPr>
          <w:rFonts w:ascii="Arial" w:eastAsia="Times New Roman" w:hAnsi="Arial" w:cs="Arial"/>
          <w:b/>
          <w:sz w:val="24"/>
          <w:szCs w:val="24"/>
          <w:lang w:eastAsia="en-ZA"/>
        </w:rPr>
      </w:pPr>
    </w:p>
    <w:p w14:paraId="252A528C" w14:textId="77777777" w:rsidR="00CB5C9D" w:rsidRDefault="00CB5C9D" w:rsidP="00E617AE">
      <w:pPr>
        <w:spacing w:after="0" w:line="360" w:lineRule="auto"/>
        <w:ind w:left="851" w:hanging="851"/>
        <w:jc w:val="both"/>
        <w:rPr>
          <w:rFonts w:ascii="Arial" w:eastAsia="Times New Roman" w:hAnsi="Arial" w:cs="Arial"/>
          <w:bCs/>
          <w:sz w:val="24"/>
          <w:szCs w:val="24"/>
          <w:lang w:eastAsia="en-ZA"/>
        </w:rPr>
      </w:pPr>
      <w:r>
        <w:rPr>
          <w:rFonts w:ascii="Arial" w:eastAsia="Times New Roman" w:hAnsi="Arial" w:cs="Arial"/>
          <w:bCs/>
          <w:sz w:val="24"/>
          <w:szCs w:val="24"/>
          <w:lang w:eastAsia="en-ZA"/>
        </w:rPr>
        <w:t>[7]</w:t>
      </w:r>
      <w:r>
        <w:rPr>
          <w:rFonts w:ascii="Arial" w:eastAsia="Times New Roman" w:hAnsi="Arial" w:cs="Arial"/>
          <w:bCs/>
          <w:sz w:val="24"/>
          <w:szCs w:val="24"/>
          <w:lang w:eastAsia="en-ZA"/>
        </w:rPr>
        <w:tab/>
      </w:r>
      <w:r w:rsidR="000F272E">
        <w:rPr>
          <w:rFonts w:ascii="Arial" w:eastAsia="Times New Roman" w:hAnsi="Arial" w:cs="Arial"/>
          <w:bCs/>
          <w:sz w:val="24"/>
          <w:szCs w:val="24"/>
          <w:lang w:eastAsia="en-ZA"/>
        </w:rPr>
        <w:t>The applicant</w:t>
      </w:r>
      <w:r w:rsidR="008246A6">
        <w:rPr>
          <w:rFonts w:ascii="Arial" w:eastAsia="Times New Roman" w:hAnsi="Arial" w:cs="Arial"/>
          <w:bCs/>
          <w:sz w:val="24"/>
          <w:szCs w:val="24"/>
          <w:lang w:eastAsia="en-ZA"/>
        </w:rPr>
        <w:t xml:space="preserve"> claims the following relief </w:t>
      </w:r>
      <w:r w:rsidR="0015352A">
        <w:rPr>
          <w:rFonts w:ascii="Arial" w:eastAsia="Times New Roman" w:hAnsi="Arial" w:cs="Arial"/>
          <w:bCs/>
          <w:sz w:val="24"/>
          <w:szCs w:val="24"/>
          <w:lang w:eastAsia="en-ZA"/>
        </w:rPr>
        <w:t xml:space="preserve">from this Court </w:t>
      </w:r>
      <w:r w:rsidR="008246A6">
        <w:rPr>
          <w:rFonts w:ascii="Arial" w:eastAsia="Times New Roman" w:hAnsi="Arial" w:cs="Arial"/>
          <w:bCs/>
          <w:sz w:val="24"/>
          <w:szCs w:val="24"/>
          <w:lang w:eastAsia="en-ZA"/>
        </w:rPr>
        <w:t>in the</w:t>
      </w:r>
      <w:r w:rsidR="0015352A">
        <w:rPr>
          <w:rFonts w:ascii="Arial" w:eastAsia="Times New Roman" w:hAnsi="Arial" w:cs="Arial"/>
          <w:bCs/>
          <w:sz w:val="24"/>
          <w:szCs w:val="24"/>
          <w:lang w:eastAsia="en-ZA"/>
        </w:rPr>
        <w:t xml:space="preserve"> </w:t>
      </w:r>
      <w:r w:rsidR="004E362A">
        <w:rPr>
          <w:rFonts w:ascii="Arial" w:eastAsia="Times New Roman" w:hAnsi="Arial" w:cs="Arial"/>
          <w:bCs/>
          <w:sz w:val="24"/>
          <w:szCs w:val="24"/>
          <w:lang w:eastAsia="en-ZA"/>
        </w:rPr>
        <w:t>notice of motion</w:t>
      </w:r>
      <w:r w:rsidR="0015352A">
        <w:rPr>
          <w:rFonts w:ascii="Arial" w:eastAsia="Times New Roman" w:hAnsi="Arial" w:cs="Arial"/>
          <w:bCs/>
          <w:sz w:val="24"/>
          <w:szCs w:val="24"/>
          <w:lang w:eastAsia="en-ZA"/>
        </w:rPr>
        <w:t>:</w:t>
      </w:r>
    </w:p>
    <w:p w14:paraId="63AD93C2" w14:textId="77777777" w:rsidR="00A53377" w:rsidRDefault="00A53377" w:rsidP="00E617AE">
      <w:pPr>
        <w:spacing w:after="0" w:line="360" w:lineRule="auto"/>
        <w:ind w:left="851" w:hanging="851"/>
        <w:jc w:val="both"/>
        <w:rPr>
          <w:rFonts w:ascii="Arial" w:eastAsia="Times New Roman" w:hAnsi="Arial" w:cs="Arial"/>
          <w:bCs/>
          <w:sz w:val="24"/>
          <w:szCs w:val="24"/>
          <w:lang w:eastAsia="en-ZA"/>
        </w:rPr>
      </w:pPr>
    </w:p>
    <w:p w14:paraId="150A5D95" w14:textId="77777777" w:rsidR="0015352A" w:rsidRDefault="0015352A" w:rsidP="00E617AE">
      <w:pPr>
        <w:spacing w:after="0" w:line="360" w:lineRule="auto"/>
        <w:ind w:left="851" w:hanging="851"/>
        <w:jc w:val="both"/>
        <w:rPr>
          <w:rFonts w:ascii="Arial" w:eastAsia="Times New Roman" w:hAnsi="Arial" w:cs="Arial"/>
          <w:bCs/>
          <w:sz w:val="20"/>
          <w:szCs w:val="20"/>
          <w:lang w:eastAsia="en-ZA"/>
        </w:rPr>
      </w:pPr>
      <w:r>
        <w:rPr>
          <w:rFonts w:ascii="Arial" w:eastAsia="Times New Roman" w:hAnsi="Arial" w:cs="Arial"/>
          <w:bCs/>
          <w:sz w:val="24"/>
          <w:szCs w:val="24"/>
          <w:lang w:eastAsia="en-ZA"/>
        </w:rPr>
        <w:tab/>
      </w:r>
      <w:r w:rsidR="00827DF4">
        <w:rPr>
          <w:rFonts w:ascii="Arial" w:eastAsia="Times New Roman" w:hAnsi="Arial" w:cs="Arial"/>
          <w:bCs/>
          <w:sz w:val="20"/>
          <w:szCs w:val="20"/>
          <w:lang w:eastAsia="en-ZA"/>
        </w:rPr>
        <w:t>“</w:t>
      </w:r>
      <w:r w:rsidR="0063686E">
        <w:rPr>
          <w:rFonts w:ascii="Arial" w:eastAsia="Times New Roman" w:hAnsi="Arial" w:cs="Arial"/>
          <w:bCs/>
          <w:sz w:val="20"/>
          <w:szCs w:val="20"/>
          <w:lang w:eastAsia="en-ZA"/>
        </w:rPr>
        <w:t>…an order in the following terms:</w:t>
      </w:r>
    </w:p>
    <w:p w14:paraId="49B4EA61" w14:textId="77777777" w:rsidR="00A4616D" w:rsidRPr="00A53377" w:rsidRDefault="00A4616D"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That the decision</w:t>
      </w:r>
      <w:r w:rsidR="001251F2">
        <w:rPr>
          <w:rFonts w:ascii="Arial" w:eastAsia="Times New Roman" w:hAnsi="Arial" w:cs="Arial"/>
          <w:bCs/>
          <w:sz w:val="20"/>
          <w:szCs w:val="20"/>
          <w:lang w:eastAsia="en-ZA"/>
        </w:rPr>
        <w:t xml:space="preserve"> of the first respondent to disqualify the applicant in </w:t>
      </w:r>
      <w:r w:rsidR="00D005AD">
        <w:rPr>
          <w:rFonts w:ascii="Arial" w:eastAsia="Times New Roman" w:hAnsi="Arial" w:cs="Arial"/>
          <w:b/>
          <w:sz w:val="20"/>
          <w:szCs w:val="20"/>
          <w:lang w:eastAsia="en-ZA"/>
        </w:rPr>
        <w:t>Tender no: PR&amp;T 18</w:t>
      </w:r>
      <w:r w:rsidR="00BD3C57">
        <w:rPr>
          <w:rFonts w:ascii="Arial" w:eastAsia="Times New Roman" w:hAnsi="Arial" w:cs="Arial"/>
          <w:b/>
          <w:sz w:val="20"/>
          <w:szCs w:val="20"/>
          <w:lang w:eastAsia="en-ZA"/>
        </w:rPr>
        <w:t xml:space="preserve">/2021/22 </w:t>
      </w:r>
      <w:r w:rsidR="00BD3C57">
        <w:rPr>
          <w:rFonts w:ascii="Arial" w:eastAsia="Times New Roman" w:hAnsi="Arial" w:cs="Arial"/>
          <w:bCs/>
          <w:sz w:val="20"/>
          <w:szCs w:val="20"/>
          <w:lang w:eastAsia="en-ZA"/>
        </w:rPr>
        <w:t>and/or to award</w:t>
      </w:r>
      <w:r w:rsidR="004D18E5">
        <w:rPr>
          <w:rFonts w:ascii="Arial" w:eastAsia="Times New Roman" w:hAnsi="Arial" w:cs="Arial"/>
          <w:bCs/>
          <w:sz w:val="20"/>
          <w:szCs w:val="20"/>
          <w:lang w:eastAsia="en-ZA"/>
        </w:rPr>
        <w:t xml:space="preserve"> </w:t>
      </w:r>
      <w:r w:rsidR="004D18E5">
        <w:rPr>
          <w:rFonts w:ascii="Arial" w:eastAsia="Times New Roman" w:hAnsi="Arial" w:cs="Arial"/>
          <w:b/>
          <w:sz w:val="20"/>
          <w:szCs w:val="20"/>
          <w:lang w:eastAsia="en-ZA"/>
        </w:rPr>
        <w:t>Tender No: PR&amp;T</w:t>
      </w:r>
      <w:r w:rsidR="00347EE0">
        <w:rPr>
          <w:rFonts w:ascii="Arial" w:eastAsia="Times New Roman" w:hAnsi="Arial" w:cs="Arial"/>
          <w:b/>
          <w:sz w:val="20"/>
          <w:szCs w:val="20"/>
          <w:lang w:eastAsia="en-ZA"/>
        </w:rPr>
        <w:t xml:space="preserve"> 18/2021/22 </w:t>
      </w:r>
      <w:r w:rsidR="00347EE0">
        <w:rPr>
          <w:rFonts w:ascii="Arial" w:eastAsia="Times New Roman" w:hAnsi="Arial" w:cs="Arial"/>
          <w:bCs/>
          <w:sz w:val="20"/>
          <w:szCs w:val="20"/>
          <w:lang w:eastAsia="en-ZA"/>
        </w:rPr>
        <w:t>to the second respondent</w:t>
      </w:r>
      <w:r w:rsidR="007E1EC4">
        <w:rPr>
          <w:rFonts w:ascii="Arial" w:eastAsia="Times New Roman" w:hAnsi="Arial" w:cs="Arial"/>
          <w:bCs/>
          <w:sz w:val="20"/>
          <w:szCs w:val="20"/>
          <w:lang w:eastAsia="en-ZA"/>
        </w:rPr>
        <w:t xml:space="preserve"> be reviewed and set aside.</w:t>
      </w:r>
    </w:p>
    <w:p w14:paraId="3C906F7E" w14:textId="77777777" w:rsidR="00A53377" w:rsidRPr="007E1EC4" w:rsidRDefault="00A53377" w:rsidP="00A53377">
      <w:pPr>
        <w:pStyle w:val="ListParagraph"/>
        <w:spacing w:after="0" w:line="360" w:lineRule="auto"/>
        <w:ind w:left="1220"/>
        <w:jc w:val="both"/>
        <w:rPr>
          <w:rFonts w:ascii="Arial" w:eastAsia="Times New Roman" w:hAnsi="Arial" w:cs="Arial"/>
          <w:b/>
          <w:sz w:val="20"/>
          <w:szCs w:val="20"/>
          <w:lang w:eastAsia="en-ZA"/>
        </w:rPr>
      </w:pPr>
    </w:p>
    <w:p w14:paraId="0C120FF7" w14:textId="77777777" w:rsidR="007E1EC4" w:rsidRPr="00A53377" w:rsidRDefault="001B44CD"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That the contract concluded with second respondent</w:t>
      </w:r>
      <w:r w:rsidR="00C87650">
        <w:rPr>
          <w:rFonts w:ascii="Arial" w:eastAsia="Times New Roman" w:hAnsi="Arial" w:cs="Arial"/>
          <w:bCs/>
          <w:sz w:val="20"/>
          <w:szCs w:val="20"/>
          <w:lang w:eastAsia="en-ZA"/>
        </w:rPr>
        <w:t xml:space="preserve"> pursuant to and as a result of the award of the tender</w:t>
      </w:r>
      <w:r w:rsidR="00B528C8">
        <w:rPr>
          <w:rFonts w:ascii="Arial" w:eastAsia="Times New Roman" w:hAnsi="Arial" w:cs="Arial"/>
          <w:bCs/>
          <w:sz w:val="20"/>
          <w:szCs w:val="20"/>
          <w:lang w:eastAsia="en-ZA"/>
        </w:rPr>
        <w:t xml:space="preserve"> under </w:t>
      </w:r>
      <w:r w:rsidR="00B528C8">
        <w:rPr>
          <w:rFonts w:ascii="Arial" w:eastAsia="Times New Roman" w:hAnsi="Arial" w:cs="Arial"/>
          <w:b/>
          <w:sz w:val="20"/>
          <w:szCs w:val="20"/>
          <w:lang w:eastAsia="en-ZA"/>
        </w:rPr>
        <w:t>Tender No: PR&amp;T 18/</w:t>
      </w:r>
      <w:r w:rsidR="00F779C5">
        <w:rPr>
          <w:rFonts w:ascii="Arial" w:eastAsia="Times New Roman" w:hAnsi="Arial" w:cs="Arial"/>
          <w:b/>
          <w:sz w:val="20"/>
          <w:szCs w:val="20"/>
          <w:lang w:eastAsia="en-ZA"/>
        </w:rPr>
        <w:t xml:space="preserve">2021/22 </w:t>
      </w:r>
      <w:r w:rsidR="00F779C5">
        <w:rPr>
          <w:rFonts w:ascii="Arial" w:eastAsia="Times New Roman" w:hAnsi="Arial" w:cs="Arial"/>
          <w:bCs/>
          <w:sz w:val="20"/>
          <w:szCs w:val="20"/>
          <w:lang w:eastAsia="en-ZA"/>
        </w:rPr>
        <w:t>be set aside.</w:t>
      </w:r>
    </w:p>
    <w:p w14:paraId="2BFB2C61" w14:textId="77777777" w:rsidR="00A53377" w:rsidRPr="00A53377" w:rsidRDefault="00A53377" w:rsidP="00A53377">
      <w:pPr>
        <w:pStyle w:val="ListParagraph"/>
        <w:rPr>
          <w:rFonts w:ascii="Arial" w:eastAsia="Times New Roman" w:hAnsi="Arial" w:cs="Arial"/>
          <w:b/>
          <w:sz w:val="20"/>
          <w:szCs w:val="20"/>
          <w:lang w:eastAsia="en-ZA"/>
        </w:rPr>
      </w:pPr>
    </w:p>
    <w:p w14:paraId="5DE2612C" w14:textId="77777777" w:rsidR="00A53377" w:rsidRPr="00F779C5" w:rsidRDefault="00A53377" w:rsidP="00A53377">
      <w:pPr>
        <w:pStyle w:val="ListParagraph"/>
        <w:spacing w:after="0" w:line="360" w:lineRule="auto"/>
        <w:ind w:left="1220"/>
        <w:jc w:val="both"/>
        <w:rPr>
          <w:rFonts w:ascii="Arial" w:eastAsia="Times New Roman" w:hAnsi="Arial" w:cs="Arial"/>
          <w:b/>
          <w:sz w:val="20"/>
          <w:szCs w:val="20"/>
          <w:lang w:eastAsia="en-ZA"/>
        </w:rPr>
      </w:pPr>
    </w:p>
    <w:p w14:paraId="50B6D051" w14:textId="77777777" w:rsidR="00F779C5" w:rsidRPr="00A53377" w:rsidRDefault="002E6E66"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 xml:space="preserve">That the tender under </w:t>
      </w:r>
      <w:r>
        <w:rPr>
          <w:rFonts w:ascii="Arial" w:eastAsia="Times New Roman" w:hAnsi="Arial" w:cs="Arial"/>
          <w:b/>
          <w:sz w:val="20"/>
          <w:szCs w:val="20"/>
          <w:lang w:eastAsia="en-ZA"/>
        </w:rPr>
        <w:t>Tender No: PR&amp;T</w:t>
      </w:r>
      <w:r w:rsidR="001460B9">
        <w:rPr>
          <w:rFonts w:ascii="Arial" w:eastAsia="Times New Roman" w:hAnsi="Arial" w:cs="Arial"/>
          <w:b/>
          <w:sz w:val="20"/>
          <w:szCs w:val="20"/>
          <w:lang w:eastAsia="en-ZA"/>
        </w:rPr>
        <w:t xml:space="preserve"> 18/2021/22 </w:t>
      </w:r>
      <w:r w:rsidR="001460B9">
        <w:rPr>
          <w:rFonts w:ascii="Arial" w:eastAsia="Times New Roman" w:hAnsi="Arial" w:cs="Arial"/>
          <w:bCs/>
          <w:sz w:val="20"/>
          <w:szCs w:val="20"/>
          <w:lang w:eastAsia="en-ZA"/>
        </w:rPr>
        <w:t>be awarded to the applicant</w:t>
      </w:r>
      <w:r w:rsidR="00DD39A8">
        <w:rPr>
          <w:rFonts w:ascii="Arial" w:eastAsia="Times New Roman" w:hAnsi="Arial" w:cs="Arial"/>
          <w:bCs/>
          <w:sz w:val="20"/>
          <w:szCs w:val="20"/>
          <w:lang w:eastAsia="en-ZA"/>
        </w:rPr>
        <w:t xml:space="preserve"> in terms of section 8(1)(c)(</w:t>
      </w:r>
      <w:r w:rsidR="00CE1249">
        <w:rPr>
          <w:rFonts w:ascii="Arial" w:eastAsia="Times New Roman" w:hAnsi="Arial" w:cs="Arial"/>
          <w:bCs/>
          <w:sz w:val="20"/>
          <w:szCs w:val="20"/>
          <w:lang w:eastAsia="en-ZA"/>
        </w:rPr>
        <w:t>ii)(aa) of the Promotion of</w:t>
      </w:r>
      <w:r w:rsidR="00274EE8">
        <w:rPr>
          <w:rFonts w:ascii="Arial" w:eastAsia="Times New Roman" w:hAnsi="Arial" w:cs="Arial"/>
          <w:bCs/>
          <w:sz w:val="20"/>
          <w:szCs w:val="20"/>
          <w:lang w:eastAsia="en-ZA"/>
        </w:rPr>
        <w:t xml:space="preserve"> Administrative Justice Act 3 of 2000 (“PAJA</w:t>
      </w:r>
      <w:r w:rsidR="00EE20FB">
        <w:rPr>
          <w:rFonts w:ascii="Arial" w:eastAsia="Times New Roman" w:hAnsi="Arial" w:cs="Arial"/>
          <w:bCs/>
          <w:sz w:val="20"/>
          <w:szCs w:val="20"/>
          <w:lang w:eastAsia="en-ZA"/>
        </w:rPr>
        <w:t xml:space="preserve">”), </w:t>
      </w:r>
      <w:r w:rsidR="00874EBE">
        <w:rPr>
          <w:rFonts w:ascii="Arial" w:eastAsia="Times New Roman" w:hAnsi="Arial" w:cs="Arial"/>
          <w:bCs/>
          <w:i/>
          <w:iCs/>
          <w:sz w:val="20"/>
          <w:szCs w:val="20"/>
          <w:lang w:eastAsia="en-ZA"/>
        </w:rPr>
        <w:t xml:space="preserve">alternatively </w:t>
      </w:r>
      <w:r w:rsidR="00874EBE">
        <w:rPr>
          <w:rFonts w:ascii="Arial" w:eastAsia="Times New Roman" w:hAnsi="Arial" w:cs="Arial"/>
          <w:bCs/>
          <w:sz w:val="20"/>
          <w:szCs w:val="20"/>
          <w:lang w:eastAsia="en-ZA"/>
        </w:rPr>
        <w:t>remitting the aforesaid tender</w:t>
      </w:r>
      <w:r w:rsidR="00BC0EDC">
        <w:rPr>
          <w:rFonts w:ascii="Arial" w:eastAsia="Times New Roman" w:hAnsi="Arial" w:cs="Arial"/>
          <w:bCs/>
          <w:sz w:val="20"/>
          <w:szCs w:val="20"/>
          <w:lang w:eastAsia="en-ZA"/>
        </w:rPr>
        <w:t xml:space="preserve"> for bid evaluation by the first respondent subject to such</w:t>
      </w:r>
      <w:r w:rsidR="00E43EFD">
        <w:rPr>
          <w:rFonts w:ascii="Arial" w:eastAsia="Times New Roman" w:hAnsi="Arial" w:cs="Arial"/>
          <w:bCs/>
          <w:sz w:val="20"/>
          <w:szCs w:val="20"/>
          <w:lang w:eastAsia="en-ZA"/>
        </w:rPr>
        <w:t xml:space="preserve"> directions as the Court deems meet and with </w:t>
      </w:r>
      <w:r w:rsidR="0094048F">
        <w:rPr>
          <w:rFonts w:ascii="Arial" w:eastAsia="Times New Roman" w:hAnsi="Arial" w:cs="Arial"/>
          <w:bCs/>
          <w:sz w:val="20"/>
          <w:szCs w:val="20"/>
          <w:lang w:eastAsia="en-ZA"/>
        </w:rPr>
        <w:t>due consideration of the Court’s findings</w:t>
      </w:r>
      <w:r w:rsidR="000570D2">
        <w:rPr>
          <w:rFonts w:ascii="Arial" w:eastAsia="Times New Roman" w:hAnsi="Arial" w:cs="Arial"/>
          <w:bCs/>
          <w:sz w:val="20"/>
          <w:szCs w:val="20"/>
          <w:lang w:eastAsia="en-ZA"/>
        </w:rPr>
        <w:t xml:space="preserve"> herein in terms of section 8(1)(c)</w:t>
      </w:r>
      <w:r w:rsidR="008A5442">
        <w:rPr>
          <w:rFonts w:ascii="Arial" w:eastAsia="Times New Roman" w:hAnsi="Arial" w:cs="Arial"/>
          <w:bCs/>
          <w:sz w:val="20"/>
          <w:szCs w:val="20"/>
          <w:lang w:eastAsia="en-ZA"/>
        </w:rPr>
        <w:t>(i) of PAJA.</w:t>
      </w:r>
    </w:p>
    <w:p w14:paraId="10628C85" w14:textId="77777777" w:rsidR="00A53377" w:rsidRPr="008A5442" w:rsidRDefault="00A53377" w:rsidP="00A53377">
      <w:pPr>
        <w:pStyle w:val="ListParagraph"/>
        <w:spacing w:after="0" w:line="360" w:lineRule="auto"/>
        <w:ind w:left="1220"/>
        <w:jc w:val="both"/>
        <w:rPr>
          <w:rFonts w:ascii="Arial" w:eastAsia="Times New Roman" w:hAnsi="Arial" w:cs="Arial"/>
          <w:b/>
          <w:sz w:val="20"/>
          <w:szCs w:val="20"/>
          <w:lang w:eastAsia="en-ZA"/>
        </w:rPr>
      </w:pPr>
    </w:p>
    <w:p w14:paraId="2FB57CAB" w14:textId="77777777" w:rsidR="008A5442" w:rsidRPr="00A53377" w:rsidRDefault="008A5442"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 xml:space="preserve">That the </w:t>
      </w:r>
      <w:r w:rsidR="009133C4">
        <w:rPr>
          <w:rFonts w:ascii="Arial" w:eastAsia="Times New Roman" w:hAnsi="Arial" w:cs="Arial"/>
          <w:bCs/>
          <w:sz w:val="20"/>
          <w:szCs w:val="20"/>
          <w:lang w:eastAsia="en-ZA"/>
        </w:rPr>
        <w:t xml:space="preserve">first </w:t>
      </w:r>
      <w:r>
        <w:rPr>
          <w:rFonts w:ascii="Arial" w:eastAsia="Times New Roman" w:hAnsi="Arial" w:cs="Arial"/>
          <w:bCs/>
          <w:sz w:val="20"/>
          <w:szCs w:val="20"/>
          <w:lang w:eastAsia="en-ZA"/>
        </w:rPr>
        <w:t>respondent</w:t>
      </w:r>
      <w:r w:rsidR="009133C4">
        <w:rPr>
          <w:rFonts w:ascii="Arial" w:eastAsia="Times New Roman" w:hAnsi="Arial" w:cs="Arial"/>
          <w:bCs/>
          <w:sz w:val="20"/>
          <w:szCs w:val="20"/>
          <w:lang w:eastAsia="en-ZA"/>
        </w:rPr>
        <w:t xml:space="preserve"> </w:t>
      </w:r>
      <w:r w:rsidR="005C229C">
        <w:rPr>
          <w:rFonts w:ascii="Arial" w:eastAsia="Times New Roman" w:hAnsi="Arial" w:cs="Arial"/>
          <w:bCs/>
          <w:sz w:val="20"/>
          <w:szCs w:val="20"/>
          <w:lang w:eastAsia="en-ZA"/>
        </w:rPr>
        <w:t>be ordered to pay the costs of this application on an attorney and client scale</w:t>
      </w:r>
      <w:r w:rsidR="003D47B1">
        <w:rPr>
          <w:rFonts w:ascii="Arial" w:eastAsia="Times New Roman" w:hAnsi="Arial" w:cs="Arial"/>
          <w:bCs/>
          <w:sz w:val="20"/>
          <w:szCs w:val="20"/>
          <w:lang w:eastAsia="en-ZA"/>
        </w:rPr>
        <w:t>.</w:t>
      </w:r>
    </w:p>
    <w:p w14:paraId="607C885B" w14:textId="77777777" w:rsidR="00A53377" w:rsidRPr="00A53377" w:rsidRDefault="00A53377" w:rsidP="00A53377">
      <w:pPr>
        <w:pStyle w:val="ListParagraph"/>
        <w:rPr>
          <w:rFonts w:ascii="Arial" w:eastAsia="Times New Roman" w:hAnsi="Arial" w:cs="Arial"/>
          <w:b/>
          <w:sz w:val="20"/>
          <w:szCs w:val="20"/>
          <w:lang w:eastAsia="en-ZA"/>
        </w:rPr>
      </w:pPr>
    </w:p>
    <w:p w14:paraId="2487FBE7" w14:textId="77777777" w:rsidR="00A53377" w:rsidRPr="003D47B1" w:rsidRDefault="00A53377" w:rsidP="00A53377">
      <w:pPr>
        <w:pStyle w:val="ListParagraph"/>
        <w:spacing w:after="0" w:line="360" w:lineRule="auto"/>
        <w:ind w:left="1220"/>
        <w:jc w:val="both"/>
        <w:rPr>
          <w:rFonts w:ascii="Arial" w:eastAsia="Times New Roman" w:hAnsi="Arial" w:cs="Arial"/>
          <w:b/>
          <w:sz w:val="20"/>
          <w:szCs w:val="20"/>
          <w:lang w:eastAsia="en-ZA"/>
        </w:rPr>
      </w:pPr>
    </w:p>
    <w:p w14:paraId="0FD79587" w14:textId="77777777" w:rsidR="003D47B1" w:rsidRPr="00A53377" w:rsidRDefault="003D47B1"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That the second respondent be ordered to pay the costs of this application</w:t>
      </w:r>
      <w:r w:rsidR="00D63133">
        <w:rPr>
          <w:rFonts w:ascii="Arial" w:eastAsia="Times New Roman" w:hAnsi="Arial" w:cs="Arial"/>
          <w:bCs/>
          <w:sz w:val="20"/>
          <w:szCs w:val="20"/>
          <w:lang w:eastAsia="en-ZA"/>
        </w:rPr>
        <w:t xml:space="preserve"> if the application is opposed by the second respondent.</w:t>
      </w:r>
    </w:p>
    <w:p w14:paraId="5C900FE4" w14:textId="77777777" w:rsidR="00A53377" w:rsidRPr="00F44AD3" w:rsidRDefault="00A53377" w:rsidP="00A53377">
      <w:pPr>
        <w:pStyle w:val="ListParagraph"/>
        <w:spacing w:after="0" w:line="360" w:lineRule="auto"/>
        <w:ind w:left="1220"/>
        <w:jc w:val="both"/>
        <w:rPr>
          <w:rFonts w:ascii="Arial" w:eastAsia="Times New Roman" w:hAnsi="Arial" w:cs="Arial"/>
          <w:b/>
          <w:sz w:val="20"/>
          <w:szCs w:val="20"/>
          <w:lang w:eastAsia="en-ZA"/>
        </w:rPr>
      </w:pPr>
    </w:p>
    <w:p w14:paraId="1DBE9258" w14:textId="77777777" w:rsidR="00F44AD3" w:rsidRPr="005A30BB" w:rsidRDefault="00F44AD3" w:rsidP="00A4616D">
      <w:pPr>
        <w:pStyle w:val="ListParagraph"/>
        <w:numPr>
          <w:ilvl w:val="0"/>
          <w:numId w:val="10"/>
        </w:numPr>
        <w:spacing w:after="0" w:line="360" w:lineRule="auto"/>
        <w:jc w:val="both"/>
        <w:rPr>
          <w:rFonts w:ascii="Arial" w:eastAsia="Times New Roman" w:hAnsi="Arial" w:cs="Arial"/>
          <w:b/>
          <w:sz w:val="20"/>
          <w:szCs w:val="20"/>
          <w:lang w:eastAsia="en-ZA"/>
        </w:rPr>
      </w:pPr>
      <w:r>
        <w:rPr>
          <w:rFonts w:ascii="Arial" w:eastAsia="Times New Roman" w:hAnsi="Arial" w:cs="Arial"/>
          <w:bCs/>
          <w:sz w:val="20"/>
          <w:szCs w:val="20"/>
          <w:lang w:eastAsia="en-ZA"/>
        </w:rPr>
        <w:t>Further and alternative relief”</w:t>
      </w:r>
    </w:p>
    <w:p w14:paraId="3300FEC1" w14:textId="77777777" w:rsidR="005A30BB" w:rsidRPr="005A30BB" w:rsidRDefault="005A30BB" w:rsidP="005A30BB">
      <w:pPr>
        <w:pStyle w:val="ListParagraph"/>
        <w:rPr>
          <w:rFonts w:ascii="Arial" w:eastAsia="Times New Roman" w:hAnsi="Arial" w:cs="Arial"/>
          <w:b/>
          <w:sz w:val="20"/>
          <w:szCs w:val="20"/>
          <w:lang w:eastAsia="en-ZA"/>
        </w:rPr>
      </w:pPr>
    </w:p>
    <w:p w14:paraId="483A0236" w14:textId="77777777" w:rsidR="005A30BB" w:rsidRPr="005A30BB" w:rsidRDefault="00C12E88" w:rsidP="005A30BB">
      <w:pPr>
        <w:spacing w:after="0" w:line="360" w:lineRule="auto"/>
        <w:jc w:val="both"/>
        <w:rPr>
          <w:rFonts w:ascii="Arial" w:eastAsia="Times New Roman" w:hAnsi="Arial" w:cs="Arial"/>
          <w:b/>
          <w:sz w:val="24"/>
          <w:szCs w:val="24"/>
          <w:lang w:eastAsia="en-ZA"/>
        </w:rPr>
      </w:pPr>
      <w:r>
        <w:rPr>
          <w:rFonts w:ascii="Arial" w:eastAsia="Times New Roman" w:hAnsi="Arial" w:cs="Arial"/>
          <w:b/>
          <w:sz w:val="24"/>
          <w:szCs w:val="24"/>
          <w:lang w:eastAsia="en-ZA"/>
        </w:rPr>
        <w:t>IV BACKGROUND</w:t>
      </w:r>
      <w:r w:rsidR="00A513AA">
        <w:rPr>
          <w:rFonts w:ascii="Arial" w:eastAsia="Times New Roman" w:hAnsi="Arial" w:cs="Arial"/>
          <w:b/>
          <w:sz w:val="24"/>
          <w:szCs w:val="24"/>
          <w:lang w:eastAsia="en-ZA"/>
        </w:rPr>
        <w:t xml:space="preserve"> AND TENDER DOCUMENTATION</w:t>
      </w:r>
    </w:p>
    <w:p w14:paraId="7473B21F" w14:textId="77777777" w:rsidR="00E617AE" w:rsidRPr="00630A55" w:rsidRDefault="00E617AE" w:rsidP="00E617AE">
      <w:pPr>
        <w:spacing w:after="0" w:line="360" w:lineRule="auto"/>
        <w:ind w:left="851" w:hanging="851"/>
        <w:jc w:val="both"/>
        <w:rPr>
          <w:rFonts w:ascii="Arial" w:eastAsia="Times New Roman" w:hAnsi="Arial" w:cs="Arial"/>
          <w:b/>
          <w:sz w:val="24"/>
          <w:szCs w:val="24"/>
          <w:lang w:eastAsia="en-ZA"/>
        </w:rPr>
      </w:pPr>
    </w:p>
    <w:p w14:paraId="15854DAB" w14:textId="77777777" w:rsidR="00613626" w:rsidRPr="00F51449" w:rsidRDefault="00613626" w:rsidP="00F51449">
      <w:pPr>
        <w:spacing w:after="0" w:line="360" w:lineRule="auto"/>
        <w:ind w:left="851" w:hanging="851"/>
        <w:jc w:val="both"/>
        <w:rPr>
          <w:rFonts w:ascii="Arial" w:hAnsi="Arial" w:cs="Arial"/>
          <w:sz w:val="28"/>
          <w:szCs w:val="28"/>
        </w:rPr>
      </w:pPr>
      <w:r w:rsidRPr="00F51449">
        <w:rPr>
          <w:rFonts w:ascii="Arial" w:hAnsi="Arial" w:cs="Arial"/>
          <w:sz w:val="24"/>
          <w:szCs w:val="24"/>
        </w:rPr>
        <w:t>[</w:t>
      </w:r>
      <w:r w:rsidR="00437B58">
        <w:rPr>
          <w:rFonts w:ascii="Arial" w:hAnsi="Arial" w:cs="Arial"/>
          <w:sz w:val="24"/>
          <w:szCs w:val="24"/>
        </w:rPr>
        <w:t>8</w:t>
      </w:r>
      <w:r w:rsidRPr="00F51449">
        <w:rPr>
          <w:rFonts w:ascii="Arial" w:hAnsi="Arial" w:cs="Arial"/>
          <w:sz w:val="24"/>
          <w:szCs w:val="24"/>
        </w:rPr>
        <w:t xml:space="preserve">] </w:t>
      </w:r>
      <w:r w:rsidRPr="00F51449">
        <w:rPr>
          <w:rFonts w:ascii="Arial" w:hAnsi="Arial" w:cs="Arial"/>
          <w:sz w:val="24"/>
          <w:szCs w:val="24"/>
        </w:rPr>
        <w:tab/>
        <w:t>Upon invitation by the Department of Police, Roads and Transport, Free State Province, several construction companies submitted tenders for</w:t>
      </w:r>
      <w:r w:rsidRPr="00F51449">
        <w:rPr>
          <w:rFonts w:ascii="Arial" w:hAnsi="Arial" w:cs="Arial"/>
          <w:sz w:val="28"/>
          <w:szCs w:val="28"/>
        </w:rPr>
        <w:t xml:space="preserve"> </w:t>
      </w:r>
      <w:r w:rsidRPr="00F51449">
        <w:rPr>
          <w:rFonts w:ascii="Arial" w:hAnsi="Arial" w:cs="Arial"/>
          <w:sz w:val="20"/>
          <w:szCs w:val="20"/>
        </w:rPr>
        <w:t>“the special maintenance on Route P44/1&amp;2 between Deneysville and Jim Fouche from section one (01) to section four (04).”</w:t>
      </w:r>
      <w:r w:rsidRPr="00F51449">
        <w:rPr>
          <w:rStyle w:val="FootnoteReference"/>
          <w:rFonts w:ascii="Arial" w:hAnsi="Arial" w:cs="Arial"/>
          <w:sz w:val="24"/>
          <w:szCs w:val="24"/>
        </w:rPr>
        <w:footnoteReference w:id="1"/>
      </w:r>
      <w:r w:rsidRPr="00F51449">
        <w:rPr>
          <w:rFonts w:ascii="Arial" w:hAnsi="Arial" w:cs="Arial"/>
          <w:sz w:val="28"/>
          <w:szCs w:val="28"/>
        </w:rPr>
        <w:t xml:space="preserve"> </w:t>
      </w:r>
    </w:p>
    <w:p w14:paraId="36015D15" w14:textId="77777777" w:rsidR="00613626" w:rsidRPr="00F51449" w:rsidRDefault="00613626" w:rsidP="00F51449">
      <w:pPr>
        <w:spacing w:after="0" w:line="360" w:lineRule="auto"/>
        <w:ind w:left="851"/>
        <w:jc w:val="both"/>
        <w:rPr>
          <w:rFonts w:ascii="Arial" w:hAnsi="Arial" w:cs="Arial"/>
          <w:sz w:val="24"/>
          <w:szCs w:val="24"/>
        </w:rPr>
      </w:pPr>
      <w:r w:rsidRPr="00F51449">
        <w:rPr>
          <w:rFonts w:ascii="Arial" w:hAnsi="Arial" w:cs="Arial"/>
          <w:sz w:val="24"/>
          <w:szCs w:val="24"/>
        </w:rPr>
        <w:lastRenderedPageBreak/>
        <w:t xml:space="preserve">The duration of the project was advertised to be six months only. Once the tender had been awarded, the applicant, being one of the unsuccessful tenderers, decided to embark on litigation.  </w:t>
      </w:r>
    </w:p>
    <w:p w14:paraId="6D5CBECD" w14:textId="77777777" w:rsidR="00613626" w:rsidRPr="00F51449" w:rsidRDefault="00613626" w:rsidP="00F51449">
      <w:pPr>
        <w:spacing w:after="0" w:line="360" w:lineRule="auto"/>
        <w:jc w:val="both"/>
        <w:rPr>
          <w:rFonts w:ascii="Arial" w:hAnsi="Arial" w:cs="Arial"/>
          <w:sz w:val="24"/>
          <w:szCs w:val="24"/>
        </w:rPr>
      </w:pPr>
    </w:p>
    <w:p w14:paraId="1A10A5F4" w14:textId="77777777" w:rsidR="002113F7" w:rsidRDefault="00613626"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067DB3">
        <w:rPr>
          <w:rFonts w:ascii="Arial" w:hAnsi="Arial" w:cs="Arial"/>
          <w:sz w:val="24"/>
          <w:szCs w:val="24"/>
        </w:rPr>
        <w:t>9</w:t>
      </w:r>
      <w:r w:rsidR="005E5384" w:rsidRPr="00F51449">
        <w:rPr>
          <w:rFonts w:ascii="Arial" w:hAnsi="Arial" w:cs="Arial"/>
          <w:sz w:val="24"/>
          <w:szCs w:val="24"/>
        </w:rPr>
        <w:t>]</w:t>
      </w:r>
      <w:r w:rsidR="005E5384" w:rsidRPr="00F51449">
        <w:rPr>
          <w:rFonts w:ascii="Arial" w:hAnsi="Arial" w:cs="Arial"/>
          <w:sz w:val="24"/>
          <w:szCs w:val="24"/>
        </w:rPr>
        <w:tab/>
      </w:r>
      <w:r w:rsidR="002113F7" w:rsidRPr="00F51449">
        <w:rPr>
          <w:rFonts w:ascii="Arial" w:hAnsi="Arial" w:cs="Arial"/>
          <w:sz w:val="24"/>
          <w:szCs w:val="24"/>
        </w:rPr>
        <w:t xml:space="preserve">On 11 January 2022 the applicant became aware that the tender had been awarded to the </w:t>
      </w:r>
      <w:r w:rsidR="00DC555C">
        <w:rPr>
          <w:rFonts w:ascii="Arial" w:hAnsi="Arial" w:cs="Arial"/>
          <w:sz w:val="24"/>
          <w:szCs w:val="24"/>
        </w:rPr>
        <w:t xml:space="preserve">second </w:t>
      </w:r>
      <w:r w:rsidR="002113F7" w:rsidRPr="00F51449">
        <w:rPr>
          <w:rFonts w:ascii="Arial" w:hAnsi="Arial" w:cs="Arial"/>
          <w:sz w:val="24"/>
          <w:szCs w:val="24"/>
        </w:rPr>
        <w:t xml:space="preserve">respondent.  It immediately reacted </w:t>
      </w:r>
      <w:r w:rsidR="00B47ADF">
        <w:rPr>
          <w:rFonts w:ascii="Arial" w:hAnsi="Arial" w:cs="Arial"/>
          <w:sz w:val="24"/>
          <w:szCs w:val="24"/>
        </w:rPr>
        <w:t xml:space="preserve">and </w:t>
      </w:r>
      <w:r w:rsidR="00876B68" w:rsidRPr="00F51449">
        <w:rPr>
          <w:rFonts w:ascii="Arial" w:hAnsi="Arial" w:cs="Arial"/>
          <w:sz w:val="24"/>
          <w:szCs w:val="24"/>
        </w:rPr>
        <w:t>requested reasons to be provided by 14 January 2022.  No reasons were provided.  O</w:t>
      </w:r>
      <w:r w:rsidR="002113F7" w:rsidRPr="00F51449">
        <w:rPr>
          <w:rFonts w:ascii="Arial" w:hAnsi="Arial" w:cs="Arial"/>
          <w:sz w:val="24"/>
          <w:szCs w:val="24"/>
        </w:rPr>
        <w:t xml:space="preserve">n 18 January 2022 its application for urgent relief, set down for 28 January 2022, was issued. </w:t>
      </w:r>
    </w:p>
    <w:p w14:paraId="0BBB2F47" w14:textId="77777777" w:rsidR="00F51449" w:rsidRPr="00F51449" w:rsidRDefault="00F51449" w:rsidP="00F51449">
      <w:pPr>
        <w:spacing w:after="0" w:line="360" w:lineRule="auto"/>
        <w:ind w:left="851" w:hanging="851"/>
        <w:jc w:val="both"/>
        <w:rPr>
          <w:rFonts w:ascii="Arial" w:hAnsi="Arial" w:cs="Arial"/>
          <w:sz w:val="24"/>
          <w:szCs w:val="24"/>
        </w:rPr>
      </w:pPr>
    </w:p>
    <w:p w14:paraId="27115BA9" w14:textId="77777777" w:rsidR="008E3F19" w:rsidRDefault="002113F7" w:rsidP="006711DE">
      <w:pPr>
        <w:spacing w:after="0" w:line="360" w:lineRule="auto"/>
        <w:ind w:left="851" w:hanging="851"/>
        <w:jc w:val="both"/>
        <w:rPr>
          <w:rFonts w:ascii="Arial" w:hAnsi="Arial" w:cs="Arial"/>
          <w:sz w:val="24"/>
          <w:szCs w:val="24"/>
        </w:rPr>
      </w:pPr>
      <w:r w:rsidRPr="00F51449">
        <w:rPr>
          <w:rFonts w:ascii="Arial" w:hAnsi="Arial" w:cs="Arial"/>
          <w:sz w:val="24"/>
          <w:szCs w:val="24"/>
        </w:rPr>
        <w:t>[</w:t>
      </w:r>
      <w:r w:rsidR="00067DB3">
        <w:rPr>
          <w:rFonts w:ascii="Arial" w:hAnsi="Arial" w:cs="Arial"/>
          <w:sz w:val="24"/>
          <w:szCs w:val="24"/>
        </w:rPr>
        <w:t>10</w:t>
      </w:r>
      <w:r w:rsidRPr="00F51449">
        <w:rPr>
          <w:rFonts w:ascii="Arial" w:hAnsi="Arial" w:cs="Arial"/>
          <w:sz w:val="24"/>
          <w:szCs w:val="24"/>
        </w:rPr>
        <w:t>]</w:t>
      </w:r>
      <w:r w:rsidR="0078705F" w:rsidRPr="00F51449">
        <w:rPr>
          <w:rFonts w:ascii="Arial" w:hAnsi="Arial" w:cs="Arial"/>
          <w:sz w:val="24"/>
          <w:szCs w:val="24"/>
        </w:rPr>
        <w:tab/>
      </w:r>
      <w:r w:rsidRPr="00F51449">
        <w:rPr>
          <w:rFonts w:ascii="Arial" w:hAnsi="Arial" w:cs="Arial"/>
          <w:sz w:val="24"/>
          <w:szCs w:val="24"/>
        </w:rPr>
        <w:t xml:space="preserve">On 28 January 2022 an order was granted by agreement.  The first respondent was directed to on or before 7 February 2022 file </w:t>
      </w:r>
      <w:r w:rsidRPr="00F51449">
        <w:rPr>
          <w:rFonts w:ascii="Arial" w:hAnsi="Arial" w:cs="Arial"/>
          <w:sz w:val="20"/>
          <w:szCs w:val="20"/>
        </w:rPr>
        <w:t>“full and written reasons”</w:t>
      </w:r>
      <w:r w:rsidRPr="00F51449">
        <w:rPr>
          <w:rFonts w:ascii="Arial" w:hAnsi="Arial" w:cs="Arial"/>
          <w:sz w:val="24"/>
          <w:szCs w:val="24"/>
        </w:rPr>
        <w:t xml:space="preserve"> for the decision not to award the tender to the applicant.  </w:t>
      </w:r>
      <w:r w:rsidR="006312E7">
        <w:rPr>
          <w:rFonts w:ascii="Arial" w:hAnsi="Arial" w:cs="Arial"/>
          <w:sz w:val="24"/>
          <w:szCs w:val="24"/>
        </w:rPr>
        <w:t>The reasons</w:t>
      </w:r>
      <w:r w:rsidR="00C15593">
        <w:rPr>
          <w:rStyle w:val="FootnoteReference"/>
          <w:rFonts w:ascii="Arial" w:hAnsi="Arial" w:cs="Arial"/>
          <w:sz w:val="24"/>
          <w:szCs w:val="24"/>
        </w:rPr>
        <w:footnoteReference w:id="2"/>
      </w:r>
      <w:r w:rsidR="006312E7">
        <w:rPr>
          <w:rFonts w:ascii="Arial" w:hAnsi="Arial" w:cs="Arial"/>
          <w:sz w:val="24"/>
          <w:szCs w:val="24"/>
        </w:rPr>
        <w:t xml:space="preserve"> then followed</w:t>
      </w:r>
      <w:r w:rsidR="000715A4">
        <w:rPr>
          <w:rFonts w:ascii="Arial" w:hAnsi="Arial" w:cs="Arial"/>
          <w:sz w:val="24"/>
          <w:szCs w:val="24"/>
        </w:rPr>
        <w:t xml:space="preserve">  as indicated above,  </w:t>
      </w:r>
      <w:r w:rsidR="00CC7C5C">
        <w:rPr>
          <w:rFonts w:ascii="Arial" w:hAnsi="Arial" w:cs="Arial"/>
          <w:sz w:val="24"/>
          <w:szCs w:val="24"/>
        </w:rPr>
        <w:t>and the</w:t>
      </w:r>
      <w:r w:rsidR="005A3E08">
        <w:rPr>
          <w:rFonts w:ascii="Arial" w:hAnsi="Arial" w:cs="Arial"/>
          <w:sz w:val="24"/>
          <w:szCs w:val="24"/>
        </w:rPr>
        <w:t>reafter</w:t>
      </w:r>
      <w:r w:rsidR="006811AD">
        <w:rPr>
          <w:rFonts w:ascii="Arial" w:hAnsi="Arial" w:cs="Arial"/>
          <w:sz w:val="24"/>
          <w:szCs w:val="24"/>
        </w:rPr>
        <w:t xml:space="preserve"> </w:t>
      </w:r>
      <w:r w:rsidR="001B7004">
        <w:rPr>
          <w:rFonts w:ascii="Arial" w:hAnsi="Arial" w:cs="Arial"/>
          <w:sz w:val="24"/>
          <w:szCs w:val="24"/>
        </w:rPr>
        <w:t xml:space="preserve">the application for </w:t>
      </w:r>
      <w:r w:rsidR="002B24D6">
        <w:rPr>
          <w:rFonts w:ascii="Arial" w:hAnsi="Arial" w:cs="Arial"/>
          <w:sz w:val="24"/>
          <w:szCs w:val="24"/>
        </w:rPr>
        <w:t xml:space="preserve">the interim relief referred to </w:t>
      </w:r>
      <w:r w:rsidRPr="00F51449">
        <w:rPr>
          <w:rFonts w:ascii="Arial" w:hAnsi="Arial" w:cs="Arial"/>
          <w:sz w:val="24"/>
          <w:szCs w:val="24"/>
        </w:rPr>
        <w:t xml:space="preserve"> </w:t>
      </w:r>
      <w:r w:rsidR="002B24D6">
        <w:rPr>
          <w:rFonts w:ascii="Arial" w:hAnsi="Arial" w:cs="Arial"/>
          <w:sz w:val="24"/>
          <w:szCs w:val="24"/>
        </w:rPr>
        <w:t>in paragraph</w:t>
      </w:r>
      <w:r w:rsidR="000362A5">
        <w:rPr>
          <w:rFonts w:ascii="Arial" w:hAnsi="Arial" w:cs="Arial"/>
          <w:sz w:val="24"/>
          <w:szCs w:val="24"/>
        </w:rPr>
        <w:t xml:space="preserve"> [2],  supra.</w:t>
      </w:r>
      <w:r w:rsidR="00197757">
        <w:rPr>
          <w:rFonts w:ascii="Arial" w:hAnsi="Arial" w:cs="Arial"/>
          <w:sz w:val="24"/>
          <w:szCs w:val="24"/>
        </w:rPr>
        <w:t xml:space="preserve"> The reasons</w:t>
      </w:r>
      <w:r w:rsidR="0065524F">
        <w:rPr>
          <w:rFonts w:ascii="Arial" w:hAnsi="Arial" w:cs="Arial"/>
          <w:sz w:val="24"/>
          <w:szCs w:val="24"/>
        </w:rPr>
        <w:t xml:space="preserve"> thus furnished by the first respondent</w:t>
      </w:r>
      <w:r w:rsidR="004269BD">
        <w:rPr>
          <w:rFonts w:ascii="Arial" w:hAnsi="Arial" w:cs="Arial"/>
          <w:sz w:val="24"/>
          <w:szCs w:val="24"/>
        </w:rPr>
        <w:t xml:space="preserve"> reads as follows: </w:t>
      </w:r>
      <w:r w:rsidR="004269BD">
        <w:rPr>
          <w:rFonts w:ascii="Arial" w:hAnsi="Arial" w:cs="Arial"/>
          <w:sz w:val="20"/>
          <w:szCs w:val="20"/>
        </w:rPr>
        <w:t xml:space="preserve">“It is a known </w:t>
      </w:r>
      <w:r w:rsidR="00EA5D44">
        <w:rPr>
          <w:rFonts w:ascii="Arial" w:hAnsi="Arial" w:cs="Arial"/>
          <w:sz w:val="20"/>
          <w:szCs w:val="20"/>
        </w:rPr>
        <w:t>fact that pre-qualification</w:t>
      </w:r>
      <w:r w:rsidR="00AF0254">
        <w:rPr>
          <w:rFonts w:ascii="Arial" w:hAnsi="Arial" w:cs="Arial"/>
          <w:sz w:val="20"/>
          <w:szCs w:val="20"/>
        </w:rPr>
        <w:t xml:space="preserve"> being stage one(1) is compulsory for the contrac</w:t>
      </w:r>
      <w:r w:rsidR="00626EEE">
        <w:rPr>
          <w:rFonts w:ascii="Arial" w:hAnsi="Arial" w:cs="Arial"/>
          <w:sz w:val="20"/>
          <w:szCs w:val="20"/>
        </w:rPr>
        <w:t>tor must complete</w:t>
      </w:r>
      <w:r w:rsidR="00AD09A1">
        <w:rPr>
          <w:rFonts w:ascii="Arial" w:hAnsi="Arial" w:cs="Arial"/>
          <w:sz w:val="20"/>
          <w:szCs w:val="20"/>
        </w:rPr>
        <w:t xml:space="preserve"> 30% subcontracting amount.</w:t>
      </w:r>
      <w:r w:rsidR="0029214D">
        <w:rPr>
          <w:rFonts w:ascii="Arial" w:hAnsi="Arial" w:cs="Arial"/>
          <w:sz w:val="20"/>
          <w:szCs w:val="20"/>
        </w:rPr>
        <w:t>The criteria found its way in terms</w:t>
      </w:r>
      <w:r w:rsidR="00EF107A">
        <w:rPr>
          <w:rFonts w:ascii="Arial" w:hAnsi="Arial" w:cs="Arial"/>
          <w:sz w:val="20"/>
          <w:szCs w:val="20"/>
        </w:rPr>
        <w:t xml:space="preserve"> of Section 14 subparagraphs </w:t>
      </w:r>
      <w:r w:rsidR="002F3A8C">
        <w:rPr>
          <w:rFonts w:ascii="Arial" w:hAnsi="Arial" w:cs="Arial"/>
          <w:sz w:val="20"/>
          <w:szCs w:val="20"/>
        </w:rPr>
        <w:t>14.1 to 14.6 of the Preferential Procurement</w:t>
      </w:r>
      <w:r w:rsidR="00FF7F0C">
        <w:rPr>
          <w:rFonts w:ascii="Arial" w:hAnsi="Arial" w:cs="Arial"/>
          <w:sz w:val="20"/>
          <w:szCs w:val="20"/>
        </w:rPr>
        <w:t xml:space="preserve"> Regulations, 2017 pertaining</w:t>
      </w:r>
      <w:r w:rsidR="006D0111">
        <w:rPr>
          <w:rFonts w:ascii="Arial" w:hAnsi="Arial" w:cs="Arial"/>
          <w:sz w:val="20"/>
          <w:szCs w:val="20"/>
        </w:rPr>
        <w:t xml:space="preserve"> to the Preferential Procurement Policy Framework</w:t>
      </w:r>
      <w:r w:rsidR="00534323">
        <w:rPr>
          <w:rFonts w:ascii="Arial" w:hAnsi="Arial" w:cs="Arial"/>
          <w:sz w:val="20"/>
          <w:szCs w:val="20"/>
        </w:rPr>
        <w:t xml:space="preserve"> Act of 2000. We further</w:t>
      </w:r>
      <w:r w:rsidR="002508B7">
        <w:rPr>
          <w:rFonts w:ascii="Arial" w:hAnsi="Arial" w:cs="Arial"/>
          <w:sz w:val="20"/>
          <w:szCs w:val="20"/>
        </w:rPr>
        <w:t xml:space="preserve"> refer Roadmac to SDB 6.1 of its tender</w:t>
      </w:r>
      <w:r w:rsidR="00345428">
        <w:rPr>
          <w:rFonts w:ascii="Arial" w:hAnsi="Arial" w:cs="Arial"/>
          <w:sz w:val="20"/>
          <w:szCs w:val="20"/>
        </w:rPr>
        <w:t xml:space="preserve"> whereby it says “Not Applicable” while it</w:t>
      </w:r>
      <w:r w:rsidR="00A35E41">
        <w:rPr>
          <w:rFonts w:ascii="Arial" w:hAnsi="Arial" w:cs="Arial"/>
          <w:sz w:val="20"/>
          <w:szCs w:val="20"/>
        </w:rPr>
        <w:t xml:space="preserve"> MUST to give subcontracting amount as part of terms</w:t>
      </w:r>
      <w:r w:rsidR="00536B12">
        <w:rPr>
          <w:rFonts w:ascii="Arial" w:hAnsi="Arial" w:cs="Arial"/>
          <w:sz w:val="20"/>
          <w:szCs w:val="20"/>
        </w:rPr>
        <w:t xml:space="preserve"> and conditions of the tender.</w:t>
      </w:r>
      <w:r w:rsidR="00080E16">
        <w:rPr>
          <w:rFonts w:ascii="Arial" w:hAnsi="Arial" w:cs="Arial"/>
          <w:sz w:val="20"/>
          <w:szCs w:val="20"/>
        </w:rPr>
        <w:t xml:space="preserve"> We further refer</w:t>
      </w:r>
      <w:r w:rsidR="00F158CB">
        <w:rPr>
          <w:rFonts w:ascii="Arial" w:hAnsi="Arial" w:cs="Arial"/>
          <w:sz w:val="20"/>
          <w:szCs w:val="20"/>
        </w:rPr>
        <w:t xml:space="preserve"> Roadmac to Tender Bulletin advertisement</w:t>
      </w:r>
      <w:r w:rsidR="00391749">
        <w:rPr>
          <w:rFonts w:ascii="Arial" w:hAnsi="Arial" w:cs="Arial"/>
          <w:sz w:val="20"/>
          <w:szCs w:val="20"/>
        </w:rPr>
        <w:t xml:space="preserve"> no. 75 dated 3</w:t>
      </w:r>
      <w:r w:rsidR="00391749" w:rsidRPr="00391749">
        <w:rPr>
          <w:rFonts w:ascii="Arial" w:hAnsi="Arial" w:cs="Arial"/>
          <w:sz w:val="20"/>
          <w:szCs w:val="20"/>
          <w:vertAlign w:val="superscript"/>
        </w:rPr>
        <w:t>rd</w:t>
      </w:r>
      <w:r w:rsidR="00391749">
        <w:rPr>
          <w:rFonts w:ascii="Arial" w:hAnsi="Arial" w:cs="Arial"/>
          <w:sz w:val="20"/>
          <w:szCs w:val="20"/>
        </w:rPr>
        <w:t xml:space="preserve"> December 2021 as to pre-qualification</w:t>
      </w:r>
      <w:r w:rsidR="00326183">
        <w:rPr>
          <w:rFonts w:ascii="Arial" w:hAnsi="Arial" w:cs="Arial"/>
          <w:sz w:val="20"/>
          <w:szCs w:val="20"/>
        </w:rPr>
        <w:t xml:space="preserve"> criteria (PPR2017). Based on non compl</w:t>
      </w:r>
      <w:r w:rsidR="00010D23">
        <w:rPr>
          <w:rFonts w:ascii="Arial" w:hAnsi="Arial" w:cs="Arial"/>
          <w:sz w:val="20"/>
          <w:szCs w:val="20"/>
        </w:rPr>
        <w:t>iance of 30% subcontracting, it was deemed</w:t>
      </w:r>
      <w:r w:rsidR="00C62174">
        <w:rPr>
          <w:rFonts w:ascii="Arial" w:hAnsi="Arial" w:cs="Arial"/>
          <w:sz w:val="20"/>
          <w:szCs w:val="20"/>
        </w:rPr>
        <w:t xml:space="preserve"> not to be responsive to pre-qualification at s</w:t>
      </w:r>
      <w:r w:rsidR="00456632">
        <w:rPr>
          <w:rFonts w:ascii="Arial" w:hAnsi="Arial" w:cs="Arial"/>
          <w:sz w:val="20"/>
          <w:szCs w:val="20"/>
        </w:rPr>
        <w:t>tage 1.”</w:t>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r w:rsidR="00763DA7">
        <w:rPr>
          <w:rFonts w:ascii="Arial" w:hAnsi="Arial" w:cs="Arial"/>
          <w:sz w:val="24"/>
          <w:szCs w:val="24"/>
        </w:rPr>
        <w:tab/>
      </w:r>
    </w:p>
    <w:p w14:paraId="5FF623F5" w14:textId="77777777" w:rsidR="008E3F19" w:rsidRDefault="008E3F19" w:rsidP="000362A5">
      <w:pPr>
        <w:spacing w:after="0" w:line="360" w:lineRule="auto"/>
        <w:ind w:left="851" w:hanging="851"/>
        <w:jc w:val="both"/>
        <w:rPr>
          <w:rFonts w:ascii="Arial" w:hAnsi="Arial" w:cs="Arial"/>
          <w:sz w:val="24"/>
          <w:szCs w:val="24"/>
        </w:rPr>
      </w:pPr>
      <w:r>
        <w:rPr>
          <w:rFonts w:ascii="Arial" w:hAnsi="Arial" w:cs="Arial"/>
          <w:sz w:val="24"/>
          <w:szCs w:val="24"/>
        </w:rPr>
        <w:t>[</w:t>
      </w:r>
      <w:r w:rsidR="00067DB3">
        <w:rPr>
          <w:rFonts w:ascii="Arial" w:hAnsi="Arial" w:cs="Arial"/>
          <w:sz w:val="24"/>
          <w:szCs w:val="24"/>
        </w:rPr>
        <w:t>11</w:t>
      </w:r>
      <w:r>
        <w:rPr>
          <w:rFonts w:ascii="Arial" w:hAnsi="Arial" w:cs="Arial"/>
          <w:sz w:val="24"/>
          <w:szCs w:val="24"/>
        </w:rPr>
        <w:t>]</w:t>
      </w:r>
      <w:r w:rsidR="00904656">
        <w:rPr>
          <w:rFonts w:ascii="Arial" w:hAnsi="Arial" w:cs="Arial"/>
          <w:sz w:val="24"/>
          <w:szCs w:val="24"/>
        </w:rPr>
        <w:tab/>
        <w:t>The present review application was the</w:t>
      </w:r>
      <w:r w:rsidR="0070105B" w:rsidRPr="0070105B">
        <w:rPr>
          <w:rFonts w:ascii="Arial" w:hAnsi="Arial" w:cs="Arial"/>
          <w:color w:val="00B0F0"/>
          <w:sz w:val="24"/>
          <w:szCs w:val="24"/>
        </w:rPr>
        <w:t>n</w:t>
      </w:r>
      <w:r w:rsidR="00904656" w:rsidRPr="0070105B">
        <w:rPr>
          <w:rFonts w:ascii="Arial" w:hAnsi="Arial" w:cs="Arial"/>
          <w:color w:val="00B0F0"/>
          <w:sz w:val="24"/>
          <w:szCs w:val="24"/>
        </w:rPr>
        <w:t xml:space="preserve"> </w:t>
      </w:r>
      <w:r w:rsidR="00904656">
        <w:rPr>
          <w:rFonts w:ascii="Arial" w:hAnsi="Arial" w:cs="Arial"/>
          <w:sz w:val="24"/>
          <w:szCs w:val="24"/>
        </w:rPr>
        <w:t>issued</w:t>
      </w:r>
      <w:r w:rsidR="000A6FA8">
        <w:rPr>
          <w:rFonts w:ascii="Arial" w:hAnsi="Arial" w:cs="Arial"/>
          <w:sz w:val="24"/>
          <w:szCs w:val="24"/>
        </w:rPr>
        <w:t xml:space="preserve"> on 22 April 2022 w</w:t>
      </w:r>
      <w:r w:rsidR="0070105B" w:rsidRPr="0070105B">
        <w:rPr>
          <w:rFonts w:ascii="Arial" w:hAnsi="Arial" w:cs="Arial"/>
          <w:color w:val="00B0F0"/>
          <w:sz w:val="24"/>
          <w:szCs w:val="24"/>
        </w:rPr>
        <w:t>h</w:t>
      </w:r>
      <w:r w:rsidR="000A6FA8">
        <w:rPr>
          <w:rFonts w:ascii="Arial" w:hAnsi="Arial" w:cs="Arial"/>
          <w:sz w:val="24"/>
          <w:szCs w:val="24"/>
        </w:rPr>
        <w:t>ich was opposed by the first and second respondents</w:t>
      </w:r>
      <w:r w:rsidR="00F732FD">
        <w:rPr>
          <w:rFonts w:ascii="Arial" w:hAnsi="Arial" w:cs="Arial"/>
          <w:sz w:val="24"/>
          <w:szCs w:val="24"/>
        </w:rPr>
        <w:t>. Opposing affidavits were filed</w:t>
      </w:r>
      <w:r w:rsidR="00A26B0D">
        <w:rPr>
          <w:rFonts w:ascii="Arial" w:hAnsi="Arial" w:cs="Arial"/>
          <w:sz w:val="24"/>
          <w:szCs w:val="24"/>
        </w:rPr>
        <w:t xml:space="preserve"> by the </w:t>
      </w:r>
      <w:r w:rsidR="0070105B">
        <w:rPr>
          <w:rFonts w:ascii="Arial" w:hAnsi="Arial" w:cs="Arial"/>
          <w:sz w:val="24"/>
          <w:szCs w:val="24"/>
        </w:rPr>
        <w:t>respondents and</w:t>
      </w:r>
      <w:r w:rsidR="00F732FD">
        <w:rPr>
          <w:rFonts w:ascii="Arial" w:hAnsi="Arial" w:cs="Arial"/>
          <w:sz w:val="24"/>
          <w:szCs w:val="24"/>
        </w:rPr>
        <w:t xml:space="preserve"> a replying affidavit was filed</w:t>
      </w:r>
      <w:r w:rsidR="00A26B0D">
        <w:rPr>
          <w:rFonts w:ascii="Arial" w:hAnsi="Arial" w:cs="Arial"/>
          <w:sz w:val="24"/>
          <w:szCs w:val="24"/>
        </w:rPr>
        <w:t xml:space="preserve"> by the applicant.</w:t>
      </w:r>
    </w:p>
    <w:p w14:paraId="00CE4560" w14:textId="77777777" w:rsidR="0082602B" w:rsidRDefault="0082602B" w:rsidP="000362A5">
      <w:pPr>
        <w:spacing w:after="0" w:line="360" w:lineRule="auto"/>
        <w:ind w:left="851" w:hanging="851"/>
        <w:jc w:val="both"/>
        <w:rPr>
          <w:rFonts w:ascii="Arial" w:hAnsi="Arial" w:cs="Arial"/>
          <w:sz w:val="24"/>
          <w:szCs w:val="24"/>
        </w:rPr>
      </w:pPr>
    </w:p>
    <w:p w14:paraId="04481F6A" w14:textId="77777777" w:rsidR="00F20A18" w:rsidRDefault="007C72BA" w:rsidP="000362A5">
      <w:pPr>
        <w:spacing w:after="0" w:line="360" w:lineRule="auto"/>
        <w:ind w:left="851" w:hanging="851"/>
        <w:jc w:val="both"/>
        <w:rPr>
          <w:rFonts w:ascii="Arial" w:hAnsi="Arial" w:cs="Arial"/>
          <w:sz w:val="24"/>
          <w:szCs w:val="24"/>
        </w:rPr>
      </w:pPr>
      <w:r>
        <w:rPr>
          <w:rFonts w:ascii="Arial" w:hAnsi="Arial" w:cs="Arial"/>
          <w:sz w:val="24"/>
          <w:szCs w:val="24"/>
        </w:rPr>
        <w:t>[1</w:t>
      </w:r>
      <w:r w:rsidR="00067DB3">
        <w:rPr>
          <w:rFonts w:ascii="Arial" w:hAnsi="Arial" w:cs="Arial"/>
          <w:sz w:val="24"/>
          <w:szCs w:val="24"/>
        </w:rPr>
        <w:t>2</w:t>
      </w:r>
      <w:r>
        <w:rPr>
          <w:rFonts w:ascii="Arial" w:hAnsi="Arial" w:cs="Arial"/>
          <w:sz w:val="24"/>
          <w:szCs w:val="24"/>
        </w:rPr>
        <w:t>]</w:t>
      </w:r>
      <w:r>
        <w:rPr>
          <w:rFonts w:ascii="Arial" w:hAnsi="Arial" w:cs="Arial"/>
          <w:sz w:val="24"/>
          <w:szCs w:val="24"/>
        </w:rPr>
        <w:tab/>
      </w:r>
      <w:r w:rsidR="00D95A5A">
        <w:rPr>
          <w:rFonts w:ascii="Arial" w:hAnsi="Arial" w:cs="Arial"/>
          <w:sz w:val="24"/>
          <w:szCs w:val="24"/>
        </w:rPr>
        <w:t xml:space="preserve">It is </w:t>
      </w:r>
      <w:r w:rsidR="00A25C3C">
        <w:rPr>
          <w:rFonts w:ascii="Arial" w:hAnsi="Arial" w:cs="Arial"/>
          <w:sz w:val="24"/>
          <w:szCs w:val="24"/>
        </w:rPr>
        <w:t>necessary to refer to the following portions of the tender documentation</w:t>
      </w:r>
      <w:r w:rsidR="00256AB1">
        <w:rPr>
          <w:rFonts w:ascii="Arial" w:hAnsi="Arial" w:cs="Arial"/>
          <w:sz w:val="24"/>
          <w:szCs w:val="24"/>
        </w:rPr>
        <w:t xml:space="preserve"> to give context to the</w:t>
      </w:r>
      <w:r w:rsidR="000F63BB">
        <w:rPr>
          <w:rFonts w:ascii="Arial" w:hAnsi="Arial" w:cs="Arial"/>
          <w:sz w:val="24"/>
          <w:szCs w:val="24"/>
        </w:rPr>
        <w:t xml:space="preserve"> cases put forward by the respective parties. </w:t>
      </w:r>
    </w:p>
    <w:p w14:paraId="5DE9C713" w14:textId="77777777" w:rsidR="00F20A18" w:rsidRDefault="00F20A18" w:rsidP="000362A5">
      <w:pPr>
        <w:spacing w:after="0" w:line="360" w:lineRule="auto"/>
        <w:ind w:left="851" w:hanging="851"/>
        <w:jc w:val="both"/>
        <w:rPr>
          <w:rFonts w:ascii="Arial" w:hAnsi="Arial" w:cs="Arial"/>
          <w:sz w:val="24"/>
          <w:szCs w:val="24"/>
        </w:rPr>
      </w:pPr>
    </w:p>
    <w:p w14:paraId="6C87179F" w14:textId="77777777" w:rsidR="00731753" w:rsidRPr="00CC0160" w:rsidRDefault="00F20A18" w:rsidP="00CC0160">
      <w:pPr>
        <w:spacing w:after="0" w:line="360" w:lineRule="auto"/>
        <w:ind w:left="851" w:hanging="851"/>
        <w:jc w:val="both"/>
        <w:rPr>
          <w:rFonts w:ascii="Arial" w:hAnsi="Arial" w:cs="Arial"/>
          <w:sz w:val="24"/>
          <w:szCs w:val="24"/>
        </w:rPr>
      </w:pPr>
      <w:r>
        <w:rPr>
          <w:rFonts w:ascii="Arial" w:hAnsi="Arial" w:cs="Arial"/>
          <w:sz w:val="24"/>
          <w:szCs w:val="24"/>
        </w:rPr>
        <w:lastRenderedPageBreak/>
        <w:t>[1</w:t>
      </w:r>
      <w:r w:rsidR="006329CB">
        <w:rPr>
          <w:rFonts w:ascii="Arial" w:hAnsi="Arial" w:cs="Arial"/>
          <w:sz w:val="24"/>
          <w:szCs w:val="24"/>
        </w:rPr>
        <w:t>3</w:t>
      </w:r>
      <w:r>
        <w:rPr>
          <w:rFonts w:ascii="Arial" w:hAnsi="Arial" w:cs="Arial"/>
          <w:sz w:val="24"/>
          <w:szCs w:val="24"/>
        </w:rPr>
        <w:t>]</w:t>
      </w:r>
      <w:r>
        <w:rPr>
          <w:rFonts w:ascii="Arial" w:hAnsi="Arial" w:cs="Arial"/>
          <w:sz w:val="24"/>
          <w:szCs w:val="24"/>
        </w:rPr>
        <w:tab/>
      </w:r>
      <w:r w:rsidR="001F5197">
        <w:rPr>
          <w:rFonts w:ascii="Arial" w:hAnsi="Arial" w:cs="Arial"/>
          <w:sz w:val="24"/>
          <w:szCs w:val="24"/>
        </w:rPr>
        <w:t>The tender notice and invitation to tender</w:t>
      </w:r>
      <w:r w:rsidR="00A877A2">
        <w:rPr>
          <w:rFonts w:ascii="Arial" w:hAnsi="Arial" w:cs="Arial"/>
          <w:sz w:val="24"/>
          <w:szCs w:val="24"/>
        </w:rPr>
        <w:t xml:space="preserve"> has the following </w:t>
      </w:r>
      <w:r w:rsidR="00222D4D">
        <w:rPr>
          <w:rFonts w:ascii="Arial" w:hAnsi="Arial" w:cs="Arial"/>
          <w:sz w:val="24"/>
          <w:szCs w:val="24"/>
        </w:rPr>
        <w:t>paragraph on the first page thereof:</w:t>
      </w:r>
      <w:r w:rsidR="005025C0">
        <w:rPr>
          <w:rStyle w:val="FootnoteReference"/>
          <w:rFonts w:ascii="Arial" w:hAnsi="Arial" w:cs="Arial"/>
          <w:sz w:val="24"/>
          <w:szCs w:val="24"/>
        </w:rPr>
        <w:footnoteReference w:id="3"/>
      </w:r>
      <w:r w:rsidR="00CC0160">
        <w:rPr>
          <w:rFonts w:ascii="Arial" w:hAnsi="Arial" w:cs="Arial"/>
          <w:sz w:val="24"/>
          <w:szCs w:val="24"/>
        </w:rPr>
        <w:t xml:space="preserve"> </w:t>
      </w:r>
      <w:r w:rsidR="00731753">
        <w:rPr>
          <w:rFonts w:ascii="Arial" w:hAnsi="Arial" w:cs="Arial"/>
          <w:sz w:val="20"/>
          <w:szCs w:val="20"/>
        </w:rPr>
        <w:t>“The successful tenderer</w:t>
      </w:r>
      <w:r w:rsidR="00BC5F6C">
        <w:rPr>
          <w:rFonts w:ascii="Arial" w:hAnsi="Arial" w:cs="Arial"/>
          <w:sz w:val="20"/>
          <w:szCs w:val="20"/>
        </w:rPr>
        <w:t xml:space="preserve"> must subcontract a minimum of 30% of the value of the contract</w:t>
      </w:r>
      <w:r w:rsidR="001B725B">
        <w:rPr>
          <w:rFonts w:ascii="Arial" w:hAnsi="Arial" w:cs="Arial"/>
          <w:sz w:val="20"/>
          <w:szCs w:val="20"/>
        </w:rPr>
        <w:t xml:space="preserve"> to Targeted Enterprises</w:t>
      </w:r>
      <w:r w:rsidR="004035F1">
        <w:rPr>
          <w:rFonts w:ascii="Arial" w:hAnsi="Arial" w:cs="Arial"/>
          <w:sz w:val="20"/>
          <w:szCs w:val="20"/>
        </w:rPr>
        <w:t xml:space="preserve"> through Contract</w:t>
      </w:r>
      <w:r w:rsidR="00351E1A">
        <w:rPr>
          <w:rFonts w:ascii="Arial" w:hAnsi="Arial" w:cs="Arial"/>
          <w:sz w:val="20"/>
          <w:szCs w:val="20"/>
        </w:rPr>
        <w:t xml:space="preserve"> Participation Goals (CPG)”</w:t>
      </w:r>
    </w:p>
    <w:p w14:paraId="15A2290C" w14:textId="77777777" w:rsidR="00F70B6B" w:rsidRDefault="00F70B6B" w:rsidP="000362A5">
      <w:pPr>
        <w:spacing w:after="0" w:line="360" w:lineRule="auto"/>
        <w:ind w:left="851" w:hanging="851"/>
        <w:jc w:val="both"/>
        <w:rPr>
          <w:rFonts w:ascii="Arial" w:hAnsi="Arial" w:cs="Arial"/>
          <w:sz w:val="20"/>
          <w:szCs w:val="20"/>
        </w:rPr>
      </w:pPr>
    </w:p>
    <w:p w14:paraId="090D759F" w14:textId="77777777" w:rsidR="00F70B6B" w:rsidRDefault="00F70B6B" w:rsidP="000362A5">
      <w:pPr>
        <w:spacing w:after="0" w:line="360" w:lineRule="auto"/>
        <w:ind w:left="851" w:hanging="851"/>
        <w:jc w:val="both"/>
        <w:rPr>
          <w:rFonts w:ascii="Arial" w:hAnsi="Arial" w:cs="Arial"/>
          <w:sz w:val="24"/>
          <w:szCs w:val="24"/>
        </w:rPr>
      </w:pPr>
      <w:r>
        <w:rPr>
          <w:rFonts w:ascii="Arial" w:hAnsi="Arial" w:cs="Arial"/>
          <w:sz w:val="24"/>
          <w:szCs w:val="24"/>
        </w:rPr>
        <w:t>[1</w:t>
      </w:r>
      <w:r w:rsidR="006329CB">
        <w:rPr>
          <w:rFonts w:ascii="Arial" w:hAnsi="Arial" w:cs="Arial"/>
          <w:sz w:val="24"/>
          <w:szCs w:val="24"/>
        </w:rPr>
        <w:t>4</w:t>
      </w:r>
      <w:r>
        <w:rPr>
          <w:rFonts w:ascii="Arial" w:hAnsi="Arial" w:cs="Arial"/>
          <w:sz w:val="24"/>
          <w:szCs w:val="24"/>
        </w:rPr>
        <w:t>]</w:t>
      </w:r>
      <w:r>
        <w:rPr>
          <w:rFonts w:ascii="Arial" w:hAnsi="Arial" w:cs="Arial"/>
          <w:sz w:val="24"/>
          <w:szCs w:val="24"/>
        </w:rPr>
        <w:tab/>
      </w:r>
      <w:r w:rsidR="00F93093">
        <w:rPr>
          <w:rFonts w:ascii="Arial" w:hAnsi="Arial" w:cs="Arial"/>
          <w:sz w:val="24"/>
          <w:szCs w:val="24"/>
        </w:rPr>
        <w:t>At the portion of the documentation</w:t>
      </w:r>
      <w:r w:rsidR="004E41AF">
        <w:rPr>
          <w:rFonts w:ascii="Arial" w:hAnsi="Arial" w:cs="Arial"/>
          <w:sz w:val="24"/>
          <w:szCs w:val="24"/>
        </w:rPr>
        <w:t xml:space="preserve">, just above the applicant’s representative’s signature, </w:t>
      </w:r>
      <w:r w:rsidR="003A2B2B">
        <w:rPr>
          <w:rFonts w:ascii="Arial" w:hAnsi="Arial" w:cs="Arial"/>
          <w:sz w:val="24"/>
          <w:szCs w:val="24"/>
        </w:rPr>
        <w:t>where the applicant was required to</w:t>
      </w:r>
      <w:r w:rsidR="00153400">
        <w:rPr>
          <w:rFonts w:ascii="Arial" w:hAnsi="Arial" w:cs="Arial"/>
          <w:sz w:val="24"/>
          <w:szCs w:val="24"/>
        </w:rPr>
        <w:t xml:space="preserve"> stipulate</w:t>
      </w:r>
      <w:r w:rsidR="00FE7EE3">
        <w:rPr>
          <w:rFonts w:ascii="Arial" w:hAnsi="Arial" w:cs="Arial"/>
          <w:sz w:val="24"/>
          <w:szCs w:val="24"/>
        </w:rPr>
        <w:t xml:space="preserve"> </w:t>
      </w:r>
      <w:r w:rsidR="008C33DD">
        <w:rPr>
          <w:rFonts w:ascii="Arial" w:hAnsi="Arial" w:cs="Arial"/>
          <w:sz w:val="24"/>
          <w:szCs w:val="24"/>
        </w:rPr>
        <w:t>its</w:t>
      </w:r>
      <w:r w:rsidR="00FE7EE3">
        <w:rPr>
          <w:rFonts w:ascii="Arial" w:hAnsi="Arial" w:cs="Arial"/>
          <w:sz w:val="24"/>
          <w:szCs w:val="24"/>
        </w:rPr>
        <w:t xml:space="preserve"> price for the bid,</w:t>
      </w:r>
      <w:r w:rsidR="00BF361A">
        <w:rPr>
          <w:rFonts w:ascii="Arial" w:hAnsi="Arial" w:cs="Arial"/>
          <w:sz w:val="24"/>
          <w:szCs w:val="24"/>
        </w:rPr>
        <w:t xml:space="preserve"> it stated that it offered the amount of R</w:t>
      </w:r>
      <w:r w:rsidR="008C33DD">
        <w:rPr>
          <w:rFonts w:ascii="Arial" w:hAnsi="Arial" w:cs="Arial"/>
          <w:sz w:val="24"/>
          <w:szCs w:val="24"/>
        </w:rPr>
        <w:t>38 803</w:t>
      </w:r>
      <w:r w:rsidR="00F80D74">
        <w:rPr>
          <w:rFonts w:ascii="Arial" w:hAnsi="Arial" w:cs="Arial"/>
          <w:sz w:val="24"/>
          <w:szCs w:val="24"/>
        </w:rPr>
        <w:t> 821.40 VAT included</w:t>
      </w:r>
      <w:r w:rsidR="008C6EE8">
        <w:rPr>
          <w:rFonts w:ascii="Arial" w:hAnsi="Arial" w:cs="Arial"/>
          <w:sz w:val="24"/>
          <w:szCs w:val="24"/>
        </w:rPr>
        <w:t>. Just below that</w:t>
      </w:r>
      <w:r w:rsidR="00981C54">
        <w:rPr>
          <w:rFonts w:ascii="Arial" w:hAnsi="Arial" w:cs="Arial"/>
          <w:sz w:val="24"/>
          <w:szCs w:val="24"/>
        </w:rPr>
        <w:t xml:space="preserve"> amount,</w:t>
      </w:r>
      <w:r w:rsidR="008C6EE8">
        <w:rPr>
          <w:rFonts w:ascii="Arial" w:hAnsi="Arial" w:cs="Arial"/>
          <w:sz w:val="24"/>
          <w:szCs w:val="24"/>
        </w:rPr>
        <w:t xml:space="preserve">  printed in bold</w:t>
      </w:r>
      <w:r w:rsidR="00F14EAB">
        <w:rPr>
          <w:rFonts w:ascii="Arial" w:hAnsi="Arial" w:cs="Arial"/>
          <w:sz w:val="24"/>
          <w:szCs w:val="24"/>
        </w:rPr>
        <w:t xml:space="preserve"> as part of the tender documentation</w:t>
      </w:r>
      <w:r w:rsidR="008C6EE8">
        <w:rPr>
          <w:rFonts w:ascii="Arial" w:hAnsi="Arial" w:cs="Arial"/>
          <w:sz w:val="24"/>
          <w:szCs w:val="24"/>
        </w:rPr>
        <w:t xml:space="preserve">,  </w:t>
      </w:r>
      <w:r w:rsidR="008C7267">
        <w:rPr>
          <w:rFonts w:ascii="Arial" w:hAnsi="Arial" w:cs="Arial"/>
          <w:sz w:val="24"/>
          <w:szCs w:val="24"/>
        </w:rPr>
        <w:t>the following</w:t>
      </w:r>
      <w:r w:rsidR="00F14EAB">
        <w:rPr>
          <w:rFonts w:ascii="Arial" w:hAnsi="Arial" w:cs="Arial"/>
          <w:sz w:val="24"/>
          <w:szCs w:val="24"/>
        </w:rPr>
        <w:t xml:space="preserve"> words appear: </w:t>
      </w:r>
      <w:r w:rsidR="00BD4E80">
        <w:rPr>
          <w:rFonts w:ascii="Arial" w:hAnsi="Arial" w:cs="Arial"/>
          <w:b/>
          <w:bCs/>
          <w:sz w:val="20"/>
          <w:szCs w:val="20"/>
        </w:rPr>
        <w:t>“WHICH WILL INCLUDE A MINIMUM SUBCONTRACTING</w:t>
      </w:r>
      <w:r w:rsidR="00005218">
        <w:rPr>
          <w:rFonts w:ascii="Arial" w:hAnsi="Arial" w:cs="Arial"/>
          <w:b/>
          <w:bCs/>
          <w:sz w:val="20"/>
          <w:szCs w:val="20"/>
        </w:rPr>
        <w:t xml:space="preserve"> VALUE OF:”</w:t>
      </w:r>
      <w:r w:rsidR="00005218">
        <w:rPr>
          <w:rStyle w:val="FootnoteReference"/>
          <w:rFonts w:ascii="Arial" w:hAnsi="Arial" w:cs="Arial"/>
          <w:b/>
          <w:bCs/>
          <w:sz w:val="20"/>
          <w:szCs w:val="20"/>
        </w:rPr>
        <w:footnoteReference w:id="4"/>
      </w:r>
      <w:r w:rsidR="007C5DB7">
        <w:rPr>
          <w:rFonts w:ascii="Arial" w:hAnsi="Arial" w:cs="Arial"/>
          <w:b/>
          <w:bCs/>
          <w:sz w:val="20"/>
          <w:szCs w:val="20"/>
        </w:rPr>
        <w:t xml:space="preserve">  </w:t>
      </w:r>
      <w:r w:rsidR="00C2322B">
        <w:rPr>
          <w:rFonts w:ascii="Arial" w:hAnsi="Arial" w:cs="Arial"/>
          <w:sz w:val="24"/>
          <w:szCs w:val="24"/>
        </w:rPr>
        <w:t xml:space="preserve">That portion </w:t>
      </w:r>
      <w:r w:rsidR="00177EC6">
        <w:rPr>
          <w:rFonts w:ascii="Arial" w:hAnsi="Arial" w:cs="Arial"/>
          <w:sz w:val="24"/>
          <w:szCs w:val="24"/>
        </w:rPr>
        <w:t>was</w:t>
      </w:r>
      <w:r w:rsidR="00C2322B">
        <w:rPr>
          <w:rFonts w:ascii="Arial" w:hAnsi="Arial" w:cs="Arial"/>
          <w:sz w:val="24"/>
          <w:szCs w:val="24"/>
        </w:rPr>
        <w:t xml:space="preserve"> however not</w:t>
      </w:r>
      <w:r w:rsidR="006D325B">
        <w:rPr>
          <w:rFonts w:ascii="Arial" w:hAnsi="Arial" w:cs="Arial"/>
          <w:sz w:val="24"/>
          <w:szCs w:val="24"/>
        </w:rPr>
        <w:t xml:space="preserve"> completed </w:t>
      </w:r>
      <w:r w:rsidR="00177EC6">
        <w:rPr>
          <w:rFonts w:ascii="Arial" w:hAnsi="Arial" w:cs="Arial"/>
          <w:sz w:val="24"/>
          <w:szCs w:val="24"/>
        </w:rPr>
        <w:t>by the applicant</w:t>
      </w:r>
      <w:r w:rsidR="007E38D9">
        <w:rPr>
          <w:rFonts w:ascii="Arial" w:hAnsi="Arial" w:cs="Arial"/>
          <w:sz w:val="24"/>
          <w:szCs w:val="24"/>
        </w:rPr>
        <w:t xml:space="preserve"> </w:t>
      </w:r>
      <w:r w:rsidR="006D325B">
        <w:rPr>
          <w:rFonts w:ascii="Arial" w:hAnsi="Arial" w:cs="Arial"/>
          <w:sz w:val="24"/>
          <w:szCs w:val="24"/>
        </w:rPr>
        <w:t xml:space="preserve">but for the acronym </w:t>
      </w:r>
      <w:r w:rsidR="00EE02F3">
        <w:rPr>
          <w:rFonts w:ascii="Arial" w:hAnsi="Arial" w:cs="Arial"/>
          <w:sz w:val="24"/>
          <w:szCs w:val="24"/>
        </w:rPr>
        <w:t xml:space="preserve">“TBC”. According to counsel </w:t>
      </w:r>
      <w:r w:rsidR="00E15065">
        <w:rPr>
          <w:rFonts w:ascii="Arial" w:hAnsi="Arial" w:cs="Arial"/>
          <w:sz w:val="24"/>
          <w:szCs w:val="24"/>
        </w:rPr>
        <w:t>it means “To be concluded</w:t>
      </w:r>
      <w:r w:rsidR="00A2143F">
        <w:rPr>
          <w:rFonts w:ascii="Arial" w:hAnsi="Arial" w:cs="Arial"/>
          <w:sz w:val="24"/>
          <w:szCs w:val="24"/>
        </w:rPr>
        <w:t xml:space="preserve">” or </w:t>
      </w:r>
      <w:r w:rsidR="005D6F89">
        <w:rPr>
          <w:rFonts w:ascii="Arial" w:hAnsi="Arial" w:cs="Arial"/>
          <w:sz w:val="24"/>
          <w:szCs w:val="24"/>
        </w:rPr>
        <w:t>“</w:t>
      </w:r>
      <w:r w:rsidR="00A2143F">
        <w:rPr>
          <w:rFonts w:ascii="Arial" w:hAnsi="Arial" w:cs="Arial"/>
          <w:sz w:val="24"/>
          <w:szCs w:val="24"/>
        </w:rPr>
        <w:t>To be calculated”.</w:t>
      </w:r>
      <w:r w:rsidR="001227DE">
        <w:rPr>
          <w:rFonts w:ascii="Arial" w:hAnsi="Arial" w:cs="Arial"/>
          <w:sz w:val="24"/>
          <w:szCs w:val="24"/>
        </w:rPr>
        <w:t xml:space="preserve">  </w:t>
      </w:r>
      <w:r w:rsidR="00BC69AC">
        <w:rPr>
          <w:rFonts w:ascii="Arial" w:hAnsi="Arial" w:cs="Arial"/>
          <w:sz w:val="24"/>
          <w:szCs w:val="24"/>
        </w:rPr>
        <w:t>Despite the</w:t>
      </w:r>
      <w:r w:rsidR="001E4D41">
        <w:rPr>
          <w:rFonts w:ascii="Arial" w:hAnsi="Arial" w:cs="Arial"/>
          <w:sz w:val="24"/>
          <w:szCs w:val="24"/>
        </w:rPr>
        <w:t xml:space="preserve"> fact that this part of the</w:t>
      </w:r>
      <w:r w:rsidR="00BC69AC">
        <w:rPr>
          <w:rFonts w:ascii="Arial" w:hAnsi="Arial" w:cs="Arial"/>
          <w:sz w:val="24"/>
          <w:szCs w:val="24"/>
        </w:rPr>
        <w:t xml:space="preserve"> tender document</w:t>
      </w:r>
      <w:r w:rsidR="001E4D41">
        <w:rPr>
          <w:rFonts w:ascii="Arial" w:hAnsi="Arial" w:cs="Arial"/>
          <w:sz w:val="24"/>
          <w:szCs w:val="24"/>
        </w:rPr>
        <w:t xml:space="preserve"> </w:t>
      </w:r>
      <w:r w:rsidR="00F94428">
        <w:rPr>
          <w:rFonts w:ascii="Arial" w:hAnsi="Arial" w:cs="Arial"/>
          <w:sz w:val="24"/>
          <w:szCs w:val="24"/>
        </w:rPr>
        <w:t xml:space="preserve">requesting </w:t>
      </w:r>
      <w:r w:rsidR="00937AD3">
        <w:rPr>
          <w:rFonts w:ascii="Arial" w:hAnsi="Arial" w:cs="Arial"/>
          <w:sz w:val="24"/>
          <w:szCs w:val="24"/>
        </w:rPr>
        <w:t>the subcontracting</w:t>
      </w:r>
      <w:r w:rsidR="00F94428">
        <w:rPr>
          <w:rFonts w:ascii="Arial" w:hAnsi="Arial" w:cs="Arial"/>
          <w:sz w:val="24"/>
          <w:szCs w:val="24"/>
        </w:rPr>
        <w:t xml:space="preserve"> amount in rand</w:t>
      </w:r>
      <w:r w:rsidR="00F76B8B">
        <w:rPr>
          <w:rFonts w:ascii="Arial" w:hAnsi="Arial" w:cs="Arial"/>
          <w:sz w:val="24"/>
          <w:szCs w:val="24"/>
        </w:rPr>
        <w:t xml:space="preserve"> to be written in, the applicant</w:t>
      </w:r>
      <w:r w:rsidR="006C631C">
        <w:rPr>
          <w:rFonts w:ascii="Arial" w:hAnsi="Arial" w:cs="Arial"/>
          <w:sz w:val="24"/>
          <w:szCs w:val="24"/>
        </w:rPr>
        <w:t xml:space="preserve"> did not do so</w:t>
      </w:r>
      <w:r w:rsidR="001227DE">
        <w:rPr>
          <w:rFonts w:ascii="Arial" w:hAnsi="Arial" w:cs="Arial"/>
          <w:sz w:val="24"/>
          <w:szCs w:val="24"/>
        </w:rPr>
        <w:t>.</w:t>
      </w:r>
      <w:r w:rsidR="00EC783C">
        <w:rPr>
          <w:rStyle w:val="FootnoteReference"/>
          <w:rFonts w:ascii="Arial" w:hAnsi="Arial" w:cs="Arial"/>
          <w:sz w:val="24"/>
          <w:szCs w:val="24"/>
        </w:rPr>
        <w:t>4</w:t>
      </w:r>
    </w:p>
    <w:p w14:paraId="64661A71" w14:textId="77777777" w:rsidR="00FD3975" w:rsidRDefault="00FD3975" w:rsidP="000362A5">
      <w:pPr>
        <w:spacing w:after="0" w:line="360" w:lineRule="auto"/>
        <w:ind w:left="851" w:hanging="851"/>
        <w:jc w:val="both"/>
        <w:rPr>
          <w:rFonts w:ascii="Arial" w:hAnsi="Arial" w:cs="Arial"/>
          <w:sz w:val="24"/>
          <w:szCs w:val="24"/>
        </w:rPr>
      </w:pPr>
    </w:p>
    <w:p w14:paraId="3C115E68" w14:textId="77777777" w:rsidR="0022711B" w:rsidRDefault="00DB2288" w:rsidP="000362A5">
      <w:pPr>
        <w:spacing w:after="0" w:line="360" w:lineRule="auto"/>
        <w:ind w:left="851" w:hanging="851"/>
        <w:jc w:val="both"/>
        <w:rPr>
          <w:rFonts w:ascii="Arial" w:hAnsi="Arial" w:cs="Arial"/>
          <w:sz w:val="24"/>
          <w:szCs w:val="24"/>
        </w:rPr>
      </w:pPr>
      <w:r>
        <w:rPr>
          <w:rFonts w:ascii="Arial" w:hAnsi="Arial" w:cs="Arial"/>
          <w:sz w:val="24"/>
          <w:szCs w:val="24"/>
        </w:rPr>
        <w:t>[1</w:t>
      </w:r>
      <w:r w:rsidR="005014E4">
        <w:rPr>
          <w:rFonts w:ascii="Arial" w:hAnsi="Arial" w:cs="Arial"/>
          <w:sz w:val="24"/>
          <w:szCs w:val="24"/>
        </w:rPr>
        <w:t>5</w:t>
      </w:r>
      <w:r>
        <w:rPr>
          <w:rFonts w:ascii="Arial" w:hAnsi="Arial" w:cs="Arial"/>
          <w:sz w:val="24"/>
          <w:szCs w:val="24"/>
        </w:rPr>
        <w:t>]</w:t>
      </w:r>
      <w:r>
        <w:rPr>
          <w:rFonts w:ascii="Arial" w:hAnsi="Arial" w:cs="Arial"/>
          <w:sz w:val="24"/>
          <w:szCs w:val="24"/>
        </w:rPr>
        <w:tab/>
      </w:r>
      <w:r w:rsidR="00FD3975">
        <w:rPr>
          <w:rFonts w:ascii="Arial" w:hAnsi="Arial" w:cs="Arial"/>
          <w:sz w:val="24"/>
          <w:szCs w:val="24"/>
        </w:rPr>
        <w:t>Clause F.1.4 of the Tender data</w:t>
      </w:r>
      <w:r w:rsidR="00F114FF">
        <w:rPr>
          <w:rFonts w:ascii="Arial" w:hAnsi="Arial" w:cs="Arial"/>
          <w:sz w:val="24"/>
          <w:szCs w:val="24"/>
        </w:rPr>
        <w:t xml:space="preserve"> requires that all communication between the</w:t>
      </w:r>
      <w:r w:rsidR="00EC1ECC">
        <w:rPr>
          <w:rFonts w:ascii="Arial" w:hAnsi="Arial" w:cs="Arial"/>
          <w:sz w:val="24"/>
          <w:szCs w:val="24"/>
        </w:rPr>
        <w:t xml:space="preserve"> Employer and the Tenderer must be in writing</w:t>
      </w:r>
      <w:r w:rsidR="0091465F">
        <w:rPr>
          <w:rFonts w:ascii="Arial" w:hAnsi="Arial" w:cs="Arial"/>
          <w:sz w:val="24"/>
          <w:szCs w:val="24"/>
        </w:rPr>
        <w:t xml:space="preserve"> between</w:t>
      </w:r>
      <w:r w:rsidR="0000334A">
        <w:rPr>
          <w:rFonts w:ascii="Arial" w:hAnsi="Arial" w:cs="Arial"/>
          <w:sz w:val="24"/>
          <w:szCs w:val="24"/>
        </w:rPr>
        <w:t xml:space="preserve"> the Tenderer and the</w:t>
      </w:r>
      <w:r w:rsidR="00BD63DD">
        <w:rPr>
          <w:rFonts w:ascii="Arial" w:hAnsi="Arial" w:cs="Arial"/>
          <w:sz w:val="24"/>
          <w:szCs w:val="24"/>
        </w:rPr>
        <w:t xml:space="preserve"> Employer’s engineers or agent.</w:t>
      </w:r>
      <w:r w:rsidR="005D6FCF">
        <w:rPr>
          <w:rStyle w:val="FootnoteReference"/>
          <w:rFonts w:ascii="Arial" w:hAnsi="Arial" w:cs="Arial"/>
          <w:sz w:val="24"/>
          <w:szCs w:val="24"/>
        </w:rPr>
        <w:footnoteReference w:id="5"/>
      </w:r>
      <w:r w:rsidR="00BD63DD">
        <w:rPr>
          <w:rFonts w:ascii="Arial" w:hAnsi="Arial" w:cs="Arial"/>
          <w:sz w:val="24"/>
          <w:szCs w:val="24"/>
        </w:rPr>
        <w:t xml:space="preserve"> </w:t>
      </w:r>
      <w:r w:rsidR="0000334A">
        <w:rPr>
          <w:rFonts w:ascii="Arial" w:hAnsi="Arial" w:cs="Arial"/>
          <w:sz w:val="24"/>
          <w:szCs w:val="24"/>
        </w:rPr>
        <w:t xml:space="preserve"> </w:t>
      </w:r>
    </w:p>
    <w:p w14:paraId="015F9134" w14:textId="77777777" w:rsidR="005D6FCF" w:rsidRDefault="005D6FCF" w:rsidP="000362A5">
      <w:pPr>
        <w:spacing w:after="0" w:line="360" w:lineRule="auto"/>
        <w:ind w:left="851" w:hanging="851"/>
        <w:jc w:val="both"/>
        <w:rPr>
          <w:rFonts w:ascii="Arial" w:hAnsi="Arial" w:cs="Arial"/>
          <w:sz w:val="24"/>
          <w:szCs w:val="24"/>
        </w:rPr>
      </w:pPr>
    </w:p>
    <w:p w14:paraId="4A522E10" w14:textId="77777777" w:rsidR="005D6FCF" w:rsidRDefault="005D6FCF" w:rsidP="000362A5">
      <w:pPr>
        <w:spacing w:after="0" w:line="360" w:lineRule="auto"/>
        <w:ind w:left="851" w:hanging="851"/>
        <w:jc w:val="both"/>
        <w:rPr>
          <w:rFonts w:ascii="Arial" w:hAnsi="Arial" w:cs="Arial"/>
          <w:sz w:val="24"/>
          <w:szCs w:val="24"/>
        </w:rPr>
      </w:pPr>
      <w:r>
        <w:rPr>
          <w:rFonts w:ascii="Arial" w:hAnsi="Arial" w:cs="Arial"/>
          <w:sz w:val="24"/>
          <w:szCs w:val="24"/>
        </w:rPr>
        <w:t>[1</w:t>
      </w:r>
      <w:r w:rsidR="005014E4">
        <w:rPr>
          <w:rFonts w:ascii="Arial" w:hAnsi="Arial" w:cs="Arial"/>
          <w:sz w:val="24"/>
          <w:szCs w:val="24"/>
        </w:rPr>
        <w:t>6</w:t>
      </w:r>
      <w:r>
        <w:rPr>
          <w:rFonts w:ascii="Arial" w:hAnsi="Arial" w:cs="Arial"/>
          <w:sz w:val="24"/>
          <w:szCs w:val="24"/>
        </w:rPr>
        <w:t>]</w:t>
      </w:r>
      <w:r>
        <w:rPr>
          <w:rFonts w:ascii="Arial" w:hAnsi="Arial" w:cs="Arial"/>
          <w:sz w:val="24"/>
          <w:szCs w:val="24"/>
        </w:rPr>
        <w:tab/>
      </w:r>
      <w:r w:rsidR="004F63FB">
        <w:rPr>
          <w:rFonts w:ascii="Arial" w:hAnsi="Arial" w:cs="Arial"/>
          <w:sz w:val="24"/>
          <w:szCs w:val="24"/>
        </w:rPr>
        <w:t>Clause F.2.</w:t>
      </w:r>
      <w:r w:rsidR="0048181B">
        <w:rPr>
          <w:rFonts w:ascii="Arial" w:hAnsi="Arial" w:cs="Arial"/>
          <w:sz w:val="24"/>
          <w:szCs w:val="24"/>
        </w:rPr>
        <w:t>3 of the Tender data,  which deals with the</w:t>
      </w:r>
      <w:r w:rsidR="00E93D51">
        <w:rPr>
          <w:rFonts w:ascii="Arial" w:hAnsi="Arial" w:cs="Arial"/>
          <w:sz w:val="24"/>
          <w:szCs w:val="24"/>
        </w:rPr>
        <w:t xml:space="preserve"> Tenderer’s obligations, requires the Tenderer </w:t>
      </w:r>
      <w:r w:rsidR="006C2B10">
        <w:rPr>
          <w:rFonts w:ascii="Arial" w:hAnsi="Arial" w:cs="Arial"/>
          <w:sz w:val="24"/>
          <w:szCs w:val="24"/>
        </w:rPr>
        <w:t>to check the tender documentation for completeness</w:t>
      </w:r>
      <w:r w:rsidR="000D2CF2">
        <w:rPr>
          <w:rFonts w:ascii="Arial" w:hAnsi="Arial" w:cs="Arial"/>
          <w:sz w:val="24"/>
          <w:szCs w:val="24"/>
        </w:rPr>
        <w:t xml:space="preserve"> and to communicate</w:t>
      </w:r>
      <w:r w:rsidR="00C669D9">
        <w:rPr>
          <w:rFonts w:ascii="Arial" w:hAnsi="Arial" w:cs="Arial"/>
          <w:sz w:val="24"/>
          <w:szCs w:val="24"/>
        </w:rPr>
        <w:t xml:space="preserve"> any discrepancy or omission  with the Employer.</w:t>
      </w:r>
      <w:r w:rsidR="00882EAE">
        <w:rPr>
          <w:rStyle w:val="FootnoteReference"/>
          <w:rFonts w:ascii="Arial" w:hAnsi="Arial" w:cs="Arial"/>
          <w:sz w:val="24"/>
          <w:szCs w:val="24"/>
        </w:rPr>
        <w:footnoteReference w:id="6"/>
      </w:r>
    </w:p>
    <w:p w14:paraId="4DBE022A" w14:textId="77777777" w:rsidR="009537DC" w:rsidRDefault="009537DC" w:rsidP="000362A5">
      <w:pPr>
        <w:spacing w:after="0" w:line="360" w:lineRule="auto"/>
        <w:ind w:left="851" w:hanging="851"/>
        <w:jc w:val="both"/>
        <w:rPr>
          <w:rFonts w:ascii="Arial" w:hAnsi="Arial" w:cs="Arial"/>
          <w:sz w:val="24"/>
          <w:szCs w:val="24"/>
        </w:rPr>
      </w:pPr>
    </w:p>
    <w:p w14:paraId="0D65EF36" w14:textId="77777777" w:rsidR="009537DC" w:rsidRDefault="009537DC" w:rsidP="000362A5">
      <w:pPr>
        <w:spacing w:after="0" w:line="360" w:lineRule="auto"/>
        <w:ind w:left="851" w:hanging="851"/>
        <w:jc w:val="both"/>
        <w:rPr>
          <w:rFonts w:ascii="Arial" w:hAnsi="Arial" w:cs="Arial"/>
          <w:sz w:val="24"/>
          <w:szCs w:val="24"/>
        </w:rPr>
      </w:pPr>
      <w:r>
        <w:rPr>
          <w:rFonts w:ascii="Arial" w:hAnsi="Arial" w:cs="Arial"/>
          <w:sz w:val="24"/>
          <w:szCs w:val="24"/>
        </w:rPr>
        <w:t>[1</w:t>
      </w:r>
      <w:r w:rsidR="005014E4">
        <w:rPr>
          <w:rFonts w:ascii="Arial" w:hAnsi="Arial" w:cs="Arial"/>
          <w:sz w:val="24"/>
          <w:szCs w:val="24"/>
        </w:rPr>
        <w:t>7</w:t>
      </w:r>
      <w:r>
        <w:rPr>
          <w:rFonts w:ascii="Arial" w:hAnsi="Arial" w:cs="Arial"/>
          <w:sz w:val="24"/>
          <w:szCs w:val="24"/>
        </w:rPr>
        <w:t>]</w:t>
      </w:r>
      <w:r>
        <w:rPr>
          <w:rFonts w:ascii="Arial" w:hAnsi="Arial" w:cs="Arial"/>
          <w:sz w:val="24"/>
          <w:szCs w:val="24"/>
        </w:rPr>
        <w:tab/>
      </w:r>
      <w:r w:rsidR="006C3A77">
        <w:rPr>
          <w:rFonts w:ascii="Arial" w:hAnsi="Arial" w:cs="Arial"/>
          <w:sz w:val="24"/>
          <w:szCs w:val="24"/>
        </w:rPr>
        <w:t xml:space="preserve">Clause F.2.8 </w:t>
      </w:r>
      <w:r w:rsidR="00791CC2">
        <w:rPr>
          <w:rFonts w:ascii="Arial" w:hAnsi="Arial" w:cs="Arial"/>
          <w:sz w:val="24"/>
          <w:szCs w:val="24"/>
        </w:rPr>
        <w:t xml:space="preserve"> requires the tenderer</w:t>
      </w:r>
      <w:r w:rsidR="00263F7B">
        <w:rPr>
          <w:rFonts w:ascii="Arial" w:hAnsi="Arial" w:cs="Arial"/>
          <w:sz w:val="24"/>
          <w:szCs w:val="24"/>
        </w:rPr>
        <w:t xml:space="preserve"> to seek clarification from the Employer</w:t>
      </w:r>
      <w:r w:rsidR="00A36640">
        <w:rPr>
          <w:rFonts w:ascii="Arial" w:hAnsi="Arial" w:cs="Arial"/>
          <w:sz w:val="24"/>
          <w:szCs w:val="24"/>
        </w:rPr>
        <w:t xml:space="preserve"> at least 2 days before closing</w:t>
      </w:r>
      <w:r w:rsidR="00FC70AE">
        <w:rPr>
          <w:rFonts w:ascii="Arial" w:hAnsi="Arial" w:cs="Arial"/>
          <w:sz w:val="24"/>
          <w:szCs w:val="24"/>
        </w:rPr>
        <w:t xml:space="preserve"> time </w:t>
      </w:r>
      <w:r w:rsidR="00D470D3">
        <w:rPr>
          <w:rFonts w:ascii="Arial" w:hAnsi="Arial" w:cs="Arial"/>
          <w:sz w:val="24"/>
          <w:szCs w:val="24"/>
        </w:rPr>
        <w:t>where clarification is needed.</w:t>
      </w:r>
      <w:r w:rsidR="00D470D3">
        <w:rPr>
          <w:rStyle w:val="FootnoteReference"/>
          <w:rFonts w:ascii="Arial" w:hAnsi="Arial" w:cs="Arial"/>
          <w:sz w:val="24"/>
          <w:szCs w:val="24"/>
        </w:rPr>
        <w:footnoteReference w:id="7"/>
      </w:r>
    </w:p>
    <w:p w14:paraId="1A9697F4" w14:textId="77777777" w:rsidR="005708DF" w:rsidRDefault="005708DF" w:rsidP="000362A5">
      <w:pPr>
        <w:spacing w:after="0" w:line="360" w:lineRule="auto"/>
        <w:ind w:left="851" w:hanging="851"/>
        <w:jc w:val="both"/>
        <w:rPr>
          <w:rFonts w:ascii="Arial" w:hAnsi="Arial" w:cs="Arial"/>
          <w:sz w:val="24"/>
          <w:szCs w:val="24"/>
        </w:rPr>
      </w:pPr>
    </w:p>
    <w:p w14:paraId="1E501AFF" w14:textId="77777777" w:rsidR="005708DF" w:rsidRDefault="005708DF" w:rsidP="000362A5">
      <w:pPr>
        <w:spacing w:after="0" w:line="360" w:lineRule="auto"/>
        <w:ind w:left="851" w:hanging="851"/>
        <w:jc w:val="both"/>
        <w:rPr>
          <w:rFonts w:ascii="Arial" w:hAnsi="Arial" w:cs="Arial"/>
          <w:sz w:val="20"/>
          <w:szCs w:val="20"/>
        </w:rPr>
      </w:pPr>
      <w:r>
        <w:rPr>
          <w:rFonts w:ascii="Arial" w:hAnsi="Arial" w:cs="Arial"/>
          <w:sz w:val="24"/>
          <w:szCs w:val="24"/>
        </w:rPr>
        <w:t>[1</w:t>
      </w:r>
      <w:r w:rsidR="005014E4">
        <w:rPr>
          <w:rFonts w:ascii="Arial" w:hAnsi="Arial" w:cs="Arial"/>
          <w:sz w:val="24"/>
          <w:szCs w:val="24"/>
        </w:rPr>
        <w:t>8</w:t>
      </w:r>
      <w:r>
        <w:rPr>
          <w:rFonts w:ascii="Arial" w:hAnsi="Arial" w:cs="Arial"/>
          <w:sz w:val="24"/>
          <w:szCs w:val="24"/>
        </w:rPr>
        <w:t>]</w:t>
      </w:r>
      <w:r>
        <w:rPr>
          <w:rFonts w:ascii="Arial" w:hAnsi="Arial" w:cs="Arial"/>
          <w:sz w:val="24"/>
          <w:szCs w:val="24"/>
        </w:rPr>
        <w:tab/>
      </w:r>
      <w:r w:rsidR="00D204B6">
        <w:rPr>
          <w:rFonts w:ascii="Arial" w:hAnsi="Arial" w:cs="Arial"/>
          <w:sz w:val="24"/>
          <w:szCs w:val="24"/>
        </w:rPr>
        <w:t xml:space="preserve">Clause </w:t>
      </w:r>
      <w:r w:rsidR="001943AE">
        <w:rPr>
          <w:rFonts w:ascii="Arial" w:hAnsi="Arial" w:cs="Arial"/>
          <w:sz w:val="24"/>
          <w:szCs w:val="24"/>
        </w:rPr>
        <w:t>F.2.14 requires “</w:t>
      </w:r>
      <w:r w:rsidR="00A050F0">
        <w:rPr>
          <w:rFonts w:ascii="Arial" w:hAnsi="Arial" w:cs="Arial"/>
          <w:sz w:val="20"/>
          <w:szCs w:val="20"/>
        </w:rPr>
        <w:t>Information and data to be completed in all respects</w:t>
      </w:r>
      <w:r w:rsidR="00430C2A">
        <w:rPr>
          <w:rFonts w:ascii="Arial" w:hAnsi="Arial" w:cs="Arial"/>
          <w:sz w:val="20"/>
          <w:szCs w:val="20"/>
        </w:rPr>
        <w:t xml:space="preserve">” </w:t>
      </w:r>
      <w:r w:rsidR="00430C2A">
        <w:rPr>
          <w:rFonts w:ascii="Arial" w:hAnsi="Arial" w:cs="Arial"/>
          <w:sz w:val="24"/>
          <w:szCs w:val="24"/>
        </w:rPr>
        <w:t xml:space="preserve">and further </w:t>
      </w:r>
      <w:r w:rsidR="00D04F6A">
        <w:rPr>
          <w:rFonts w:ascii="Arial" w:hAnsi="Arial" w:cs="Arial"/>
          <w:sz w:val="20"/>
          <w:szCs w:val="20"/>
        </w:rPr>
        <w:t>“Accept that tender offers, which do not provide</w:t>
      </w:r>
      <w:r w:rsidR="00BB2124">
        <w:rPr>
          <w:rFonts w:ascii="Arial" w:hAnsi="Arial" w:cs="Arial"/>
          <w:sz w:val="20"/>
          <w:szCs w:val="20"/>
        </w:rPr>
        <w:t xml:space="preserve"> all data or information requested completely and, in form</w:t>
      </w:r>
      <w:r w:rsidR="00282D48">
        <w:rPr>
          <w:rFonts w:ascii="Arial" w:hAnsi="Arial" w:cs="Arial"/>
          <w:sz w:val="20"/>
          <w:szCs w:val="20"/>
        </w:rPr>
        <w:t xml:space="preserve">, required may be regarded by the Employer as </w:t>
      </w:r>
      <w:r w:rsidR="00FD07E5">
        <w:rPr>
          <w:rFonts w:ascii="Arial" w:hAnsi="Arial" w:cs="Arial"/>
          <w:sz w:val="20"/>
          <w:szCs w:val="20"/>
        </w:rPr>
        <w:t>non-responsive.”</w:t>
      </w:r>
      <w:r w:rsidR="00FD07E5">
        <w:rPr>
          <w:rStyle w:val="FootnoteReference"/>
          <w:rFonts w:ascii="Arial" w:hAnsi="Arial" w:cs="Arial"/>
          <w:sz w:val="20"/>
          <w:szCs w:val="20"/>
        </w:rPr>
        <w:footnoteReference w:id="8"/>
      </w:r>
    </w:p>
    <w:p w14:paraId="02287AB0" w14:textId="77777777" w:rsidR="00560565" w:rsidRDefault="00560565" w:rsidP="000362A5">
      <w:pPr>
        <w:spacing w:after="0" w:line="360" w:lineRule="auto"/>
        <w:ind w:left="851" w:hanging="851"/>
        <w:jc w:val="both"/>
        <w:rPr>
          <w:rFonts w:ascii="Arial" w:hAnsi="Arial" w:cs="Arial"/>
          <w:sz w:val="20"/>
          <w:szCs w:val="20"/>
        </w:rPr>
      </w:pPr>
    </w:p>
    <w:p w14:paraId="65F76171" w14:textId="77777777" w:rsidR="00560565" w:rsidRDefault="00674335" w:rsidP="000362A5">
      <w:pPr>
        <w:spacing w:after="0" w:line="360" w:lineRule="auto"/>
        <w:ind w:left="851" w:hanging="851"/>
        <w:jc w:val="both"/>
        <w:rPr>
          <w:rFonts w:ascii="Arial" w:hAnsi="Arial" w:cs="Arial"/>
          <w:sz w:val="24"/>
          <w:szCs w:val="24"/>
        </w:rPr>
      </w:pPr>
      <w:r>
        <w:rPr>
          <w:rFonts w:ascii="Arial" w:hAnsi="Arial" w:cs="Arial"/>
          <w:sz w:val="24"/>
          <w:szCs w:val="24"/>
        </w:rPr>
        <w:lastRenderedPageBreak/>
        <w:t>[1</w:t>
      </w:r>
      <w:r w:rsidR="005014E4">
        <w:rPr>
          <w:rFonts w:ascii="Arial" w:hAnsi="Arial" w:cs="Arial"/>
          <w:sz w:val="24"/>
          <w:szCs w:val="24"/>
        </w:rPr>
        <w:t>9</w:t>
      </w:r>
      <w:r>
        <w:rPr>
          <w:rFonts w:ascii="Arial" w:hAnsi="Arial" w:cs="Arial"/>
          <w:sz w:val="24"/>
          <w:szCs w:val="24"/>
        </w:rPr>
        <w:t>]</w:t>
      </w:r>
      <w:r>
        <w:rPr>
          <w:rFonts w:ascii="Arial" w:hAnsi="Arial" w:cs="Arial"/>
          <w:sz w:val="24"/>
          <w:szCs w:val="24"/>
        </w:rPr>
        <w:tab/>
      </w:r>
      <w:r w:rsidR="00AD4576">
        <w:rPr>
          <w:rFonts w:ascii="Arial" w:hAnsi="Arial" w:cs="Arial"/>
          <w:sz w:val="24"/>
          <w:szCs w:val="24"/>
        </w:rPr>
        <w:t>Clause F.3.8</w:t>
      </w:r>
      <w:r w:rsidR="00242A0B">
        <w:rPr>
          <w:rFonts w:ascii="Arial" w:hAnsi="Arial" w:cs="Arial"/>
          <w:sz w:val="24"/>
          <w:szCs w:val="24"/>
        </w:rPr>
        <w:t>.1</w:t>
      </w:r>
      <w:r w:rsidR="008C33DD">
        <w:rPr>
          <w:rFonts w:ascii="Arial" w:hAnsi="Arial" w:cs="Arial"/>
          <w:sz w:val="24"/>
          <w:szCs w:val="24"/>
        </w:rPr>
        <w:t>, that</w:t>
      </w:r>
      <w:r w:rsidR="00242A0B">
        <w:rPr>
          <w:rFonts w:ascii="Arial" w:hAnsi="Arial" w:cs="Arial"/>
          <w:sz w:val="24"/>
          <w:szCs w:val="24"/>
        </w:rPr>
        <w:t xml:space="preserve"> deals with the test for responsiveness</w:t>
      </w:r>
      <w:r w:rsidR="00647214">
        <w:rPr>
          <w:rFonts w:ascii="Arial" w:hAnsi="Arial" w:cs="Arial"/>
          <w:sz w:val="24"/>
          <w:szCs w:val="24"/>
        </w:rPr>
        <w:t xml:space="preserve"> under</w:t>
      </w:r>
      <w:r w:rsidR="00DC2EDE">
        <w:rPr>
          <w:rFonts w:ascii="Arial" w:hAnsi="Arial" w:cs="Arial"/>
          <w:sz w:val="24"/>
          <w:szCs w:val="24"/>
        </w:rPr>
        <w:t xml:space="preserve"> the heading dealing with</w:t>
      </w:r>
      <w:r w:rsidR="00647214">
        <w:rPr>
          <w:rFonts w:ascii="Arial" w:hAnsi="Arial" w:cs="Arial"/>
          <w:sz w:val="24"/>
          <w:szCs w:val="24"/>
        </w:rPr>
        <w:t xml:space="preserve"> the employers obligations</w:t>
      </w:r>
      <w:r w:rsidR="001B7881">
        <w:rPr>
          <w:rFonts w:ascii="Arial" w:hAnsi="Arial" w:cs="Arial"/>
          <w:sz w:val="24"/>
          <w:szCs w:val="24"/>
        </w:rPr>
        <w:t xml:space="preserve"> </w:t>
      </w:r>
      <w:r w:rsidR="001B7881" w:rsidRPr="008C33DD">
        <w:rPr>
          <w:rFonts w:ascii="Arial" w:hAnsi="Arial" w:cs="Arial"/>
          <w:color w:val="FF0000"/>
          <w:sz w:val="24"/>
          <w:szCs w:val="24"/>
        </w:rPr>
        <w:t>and</w:t>
      </w:r>
      <w:r w:rsidR="00242A0B">
        <w:rPr>
          <w:rFonts w:ascii="Arial" w:hAnsi="Arial" w:cs="Arial"/>
          <w:sz w:val="24"/>
          <w:szCs w:val="24"/>
        </w:rPr>
        <w:t xml:space="preserve"> </w:t>
      </w:r>
      <w:r w:rsidR="00AD4576">
        <w:rPr>
          <w:rFonts w:ascii="Arial" w:hAnsi="Arial" w:cs="Arial"/>
          <w:sz w:val="24"/>
          <w:szCs w:val="24"/>
        </w:rPr>
        <w:t xml:space="preserve">reads as follows: </w:t>
      </w:r>
      <w:r w:rsidR="008C33DD">
        <w:rPr>
          <w:rFonts w:ascii="Arial" w:hAnsi="Arial" w:cs="Arial"/>
          <w:sz w:val="20"/>
          <w:szCs w:val="20"/>
        </w:rPr>
        <w:t>“Determine, on</w:t>
      </w:r>
      <w:r w:rsidR="00585AB2" w:rsidRPr="00C30907">
        <w:rPr>
          <w:rFonts w:ascii="Arial" w:hAnsi="Arial" w:cs="Arial"/>
          <w:sz w:val="20"/>
          <w:szCs w:val="20"/>
          <w:u w:val="single"/>
        </w:rPr>
        <w:t xml:space="preserve"> opening and before detailed </w:t>
      </w:r>
      <w:r w:rsidR="008C33DD" w:rsidRPr="00C30907">
        <w:rPr>
          <w:rFonts w:ascii="Arial" w:hAnsi="Arial" w:cs="Arial"/>
          <w:sz w:val="20"/>
          <w:szCs w:val="20"/>
          <w:u w:val="single"/>
        </w:rPr>
        <w:t>evaluation</w:t>
      </w:r>
      <w:r w:rsidR="008C33DD">
        <w:rPr>
          <w:rFonts w:ascii="Arial" w:hAnsi="Arial" w:cs="Arial"/>
          <w:sz w:val="20"/>
          <w:szCs w:val="20"/>
        </w:rPr>
        <w:t>, whether</w:t>
      </w:r>
      <w:r w:rsidR="00D17D5A">
        <w:rPr>
          <w:rFonts w:ascii="Arial" w:hAnsi="Arial" w:cs="Arial"/>
          <w:sz w:val="20"/>
          <w:szCs w:val="20"/>
        </w:rPr>
        <w:t xml:space="preserve"> each tender offer properly received: </w:t>
      </w:r>
      <w:r w:rsidR="00BF34DF">
        <w:rPr>
          <w:rFonts w:ascii="Arial" w:hAnsi="Arial" w:cs="Arial"/>
          <w:sz w:val="20"/>
          <w:szCs w:val="20"/>
        </w:rPr>
        <w:t xml:space="preserve">a) meets the requirements of these </w:t>
      </w:r>
      <w:r w:rsidR="00AB0061">
        <w:rPr>
          <w:rFonts w:ascii="Arial" w:hAnsi="Arial" w:cs="Arial"/>
          <w:sz w:val="20"/>
          <w:szCs w:val="20"/>
        </w:rPr>
        <w:t>C</w:t>
      </w:r>
      <w:r w:rsidR="00BF34DF">
        <w:rPr>
          <w:rFonts w:ascii="Arial" w:hAnsi="Arial" w:cs="Arial"/>
          <w:sz w:val="20"/>
          <w:szCs w:val="20"/>
        </w:rPr>
        <w:t>onditions</w:t>
      </w:r>
      <w:r w:rsidR="00AB0061">
        <w:rPr>
          <w:rFonts w:ascii="Arial" w:hAnsi="Arial" w:cs="Arial"/>
          <w:sz w:val="20"/>
          <w:szCs w:val="20"/>
        </w:rPr>
        <w:t xml:space="preserve"> of Tender, b)</w:t>
      </w:r>
      <w:r w:rsidR="001A5CD3">
        <w:rPr>
          <w:rFonts w:ascii="Arial" w:hAnsi="Arial" w:cs="Arial"/>
          <w:sz w:val="20"/>
          <w:szCs w:val="20"/>
        </w:rPr>
        <w:t xml:space="preserve"> has been properly and </w:t>
      </w:r>
      <w:r w:rsidR="001A5CD3" w:rsidRPr="00C30907">
        <w:rPr>
          <w:rFonts w:ascii="Arial" w:hAnsi="Arial" w:cs="Arial"/>
          <w:sz w:val="20"/>
          <w:szCs w:val="20"/>
          <w:u w:val="single"/>
        </w:rPr>
        <w:t>fully completed</w:t>
      </w:r>
      <w:r w:rsidR="001A5CD3">
        <w:rPr>
          <w:rFonts w:ascii="Arial" w:hAnsi="Arial" w:cs="Arial"/>
          <w:sz w:val="20"/>
          <w:szCs w:val="20"/>
        </w:rPr>
        <w:t xml:space="preserve"> and </w:t>
      </w:r>
      <w:r w:rsidR="008C33DD">
        <w:rPr>
          <w:rFonts w:ascii="Arial" w:hAnsi="Arial" w:cs="Arial"/>
          <w:sz w:val="20"/>
          <w:szCs w:val="20"/>
        </w:rPr>
        <w:t>signed, and</w:t>
      </w:r>
      <w:r w:rsidR="001A5CD3">
        <w:rPr>
          <w:rFonts w:ascii="Arial" w:hAnsi="Arial" w:cs="Arial"/>
          <w:sz w:val="20"/>
          <w:szCs w:val="20"/>
        </w:rPr>
        <w:t xml:space="preserve"> </w:t>
      </w:r>
      <w:r w:rsidR="009179C6">
        <w:rPr>
          <w:rFonts w:ascii="Arial" w:hAnsi="Arial" w:cs="Arial"/>
          <w:sz w:val="20"/>
          <w:szCs w:val="20"/>
        </w:rPr>
        <w:t xml:space="preserve">c) </w:t>
      </w:r>
      <w:r w:rsidR="009179C6" w:rsidRPr="002F5F3D">
        <w:rPr>
          <w:rFonts w:ascii="Arial" w:hAnsi="Arial" w:cs="Arial"/>
          <w:sz w:val="20"/>
          <w:szCs w:val="20"/>
          <w:u w:val="single"/>
        </w:rPr>
        <w:t>is responsive</w:t>
      </w:r>
      <w:r w:rsidR="009179C6">
        <w:rPr>
          <w:rFonts w:ascii="Arial" w:hAnsi="Arial" w:cs="Arial"/>
          <w:sz w:val="20"/>
          <w:szCs w:val="20"/>
        </w:rPr>
        <w:t xml:space="preserve"> to the other requirements of the tender documents.</w:t>
      </w:r>
      <w:r w:rsidR="00611749">
        <w:rPr>
          <w:rFonts w:ascii="Arial" w:hAnsi="Arial" w:cs="Arial"/>
          <w:sz w:val="20"/>
          <w:szCs w:val="20"/>
        </w:rPr>
        <w:t xml:space="preserve"> </w:t>
      </w:r>
      <w:r w:rsidR="008C33DD">
        <w:rPr>
          <w:rFonts w:ascii="Arial" w:hAnsi="Arial" w:cs="Arial"/>
          <w:sz w:val="24"/>
          <w:szCs w:val="24"/>
        </w:rPr>
        <w:t>(emphasis</w:t>
      </w:r>
      <w:r w:rsidR="00F23FCA">
        <w:rPr>
          <w:rFonts w:ascii="Arial" w:hAnsi="Arial" w:cs="Arial"/>
          <w:sz w:val="24"/>
          <w:szCs w:val="24"/>
        </w:rPr>
        <w:t xml:space="preserve"> added)</w:t>
      </w:r>
    </w:p>
    <w:p w14:paraId="5E620C09" w14:textId="77777777" w:rsidR="00305819" w:rsidRDefault="00305819" w:rsidP="000362A5">
      <w:pPr>
        <w:spacing w:after="0" w:line="360" w:lineRule="auto"/>
        <w:ind w:left="851" w:hanging="851"/>
        <w:jc w:val="both"/>
        <w:rPr>
          <w:rFonts w:ascii="Arial" w:hAnsi="Arial" w:cs="Arial"/>
          <w:sz w:val="24"/>
          <w:szCs w:val="24"/>
        </w:rPr>
      </w:pPr>
    </w:p>
    <w:p w14:paraId="727499E5" w14:textId="77777777" w:rsidR="00305819" w:rsidRDefault="00305819" w:rsidP="000362A5">
      <w:pPr>
        <w:spacing w:after="0" w:line="360" w:lineRule="auto"/>
        <w:ind w:left="851" w:hanging="851"/>
        <w:jc w:val="both"/>
        <w:rPr>
          <w:rFonts w:ascii="Arial" w:hAnsi="Arial" w:cs="Arial"/>
          <w:sz w:val="24"/>
          <w:szCs w:val="24"/>
        </w:rPr>
      </w:pPr>
      <w:r>
        <w:rPr>
          <w:rFonts w:ascii="Arial" w:hAnsi="Arial" w:cs="Arial"/>
          <w:sz w:val="24"/>
          <w:szCs w:val="24"/>
        </w:rPr>
        <w:t>[</w:t>
      </w:r>
      <w:r w:rsidR="005014E4">
        <w:rPr>
          <w:rFonts w:ascii="Arial" w:hAnsi="Arial" w:cs="Arial"/>
          <w:sz w:val="24"/>
          <w:szCs w:val="24"/>
        </w:rPr>
        <w:t>20</w:t>
      </w:r>
      <w:r>
        <w:rPr>
          <w:rFonts w:ascii="Arial" w:hAnsi="Arial" w:cs="Arial"/>
          <w:sz w:val="24"/>
          <w:szCs w:val="24"/>
        </w:rPr>
        <w:t>]</w:t>
      </w:r>
      <w:r>
        <w:rPr>
          <w:rFonts w:ascii="Arial" w:hAnsi="Arial" w:cs="Arial"/>
          <w:sz w:val="24"/>
          <w:szCs w:val="24"/>
        </w:rPr>
        <w:tab/>
      </w:r>
      <w:r w:rsidR="00EC5EE8">
        <w:rPr>
          <w:rFonts w:ascii="Arial" w:hAnsi="Arial" w:cs="Arial"/>
          <w:sz w:val="24"/>
          <w:szCs w:val="24"/>
        </w:rPr>
        <w:t>Clause F.3.8.3</w:t>
      </w:r>
      <w:r w:rsidR="00035C5A">
        <w:rPr>
          <w:rFonts w:ascii="Arial" w:hAnsi="Arial" w:cs="Arial"/>
          <w:sz w:val="24"/>
          <w:szCs w:val="24"/>
        </w:rPr>
        <w:t xml:space="preserve"> then requires the Employer to reject a </w:t>
      </w:r>
      <w:r w:rsidR="00394DFE">
        <w:rPr>
          <w:rFonts w:ascii="Arial" w:hAnsi="Arial" w:cs="Arial"/>
          <w:sz w:val="24"/>
          <w:szCs w:val="24"/>
        </w:rPr>
        <w:t xml:space="preserve">a non responsive </w:t>
      </w:r>
      <w:r w:rsidR="00035C5A">
        <w:rPr>
          <w:rFonts w:ascii="Arial" w:hAnsi="Arial" w:cs="Arial"/>
          <w:sz w:val="24"/>
          <w:szCs w:val="24"/>
        </w:rPr>
        <w:t>tender offer</w:t>
      </w:r>
      <w:r w:rsidR="006D1394">
        <w:rPr>
          <w:rFonts w:ascii="Arial" w:hAnsi="Arial" w:cs="Arial"/>
          <w:sz w:val="24"/>
          <w:szCs w:val="24"/>
        </w:rPr>
        <w:t>.</w:t>
      </w:r>
      <w:r w:rsidR="00820F0F">
        <w:rPr>
          <w:rStyle w:val="FootnoteReference"/>
          <w:rFonts w:ascii="Arial" w:hAnsi="Arial" w:cs="Arial"/>
          <w:sz w:val="24"/>
          <w:szCs w:val="24"/>
        </w:rPr>
        <w:footnoteReference w:id="9"/>
      </w:r>
    </w:p>
    <w:p w14:paraId="7E40E438" w14:textId="77777777" w:rsidR="00697AB9" w:rsidRDefault="00697AB9" w:rsidP="000362A5">
      <w:pPr>
        <w:spacing w:after="0" w:line="360" w:lineRule="auto"/>
        <w:ind w:left="851" w:hanging="851"/>
        <w:jc w:val="both"/>
        <w:rPr>
          <w:rFonts w:ascii="Arial" w:hAnsi="Arial" w:cs="Arial"/>
          <w:sz w:val="24"/>
          <w:szCs w:val="24"/>
        </w:rPr>
      </w:pPr>
    </w:p>
    <w:p w14:paraId="1A802644" w14:textId="77777777" w:rsidR="00697AB9" w:rsidRDefault="00081C22" w:rsidP="000362A5">
      <w:pPr>
        <w:spacing w:after="0" w:line="360" w:lineRule="auto"/>
        <w:ind w:left="851" w:hanging="851"/>
        <w:jc w:val="both"/>
        <w:rPr>
          <w:rFonts w:ascii="Arial" w:hAnsi="Arial" w:cs="Arial"/>
          <w:sz w:val="20"/>
          <w:szCs w:val="20"/>
        </w:rPr>
      </w:pPr>
      <w:r>
        <w:rPr>
          <w:rFonts w:ascii="Arial" w:hAnsi="Arial" w:cs="Arial"/>
          <w:sz w:val="24"/>
          <w:szCs w:val="24"/>
        </w:rPr>
        <w:t>[</w:t>
      </w:r>
      <w:r w:rsidR="005014E4">
        <w:rPr>
          <w:rFonts w:ascii="Arial" w:hAnsi="Arial" w:cs="Arial"/>
          <w:sz w:val="24"/>
          <w:szCs w:val="24"/>
        </w:rPr>
        <w:t>21</w:t>
      </w:r>
      <w:r>
        <w:rPr>
          <w:rFonts w:ascii="Arial" w:hAnsi="Arial" w:cs="Arial"/>
          <w:sz w:val="24"/>
          <w:szCs w:val="24"/>
        </w:rPr>
        <w:t>]</w:t>
      </w:r>
      <w:r w:rsidR="00B66897">
        <w:rPr>
          <w:rFonts w:ascii="Arial" w:hAnsi="Arial" w:cs="Arial"/>
          <w:sz w:val="24"/>
          <w:szCs w:val="24"/>
        </w:rPr>
        <w:tab/>
      </w:r>
      <w:r w:rsidR="0092474A">
        <w:rPr>
          <w:rFonts w:ascii="Arial" w:hAnsi="Arial" w:cs="Arial"/>
          <w:sz w:val="24"/>
          <w:szCs w:val="24"/>
        </w:rPr>
        <w:t>In the portion of the tender documentation that deals with the</w:t>
      </w:r>
      <w:r w:rsidR="00B17010">
        <w:rPr>
          <w:rFonts w:ascii="Arial" w:hAnsi="Arial" w:cs="Arial"/>
          <w:sz w:val="24"/>
          <w:szCs w:val="24"/>
        </w:rPr>
        <w:t xml:space="preserve"> returnable schedules, </w:t>
      </w:r>
      <w:r w:rsidR="00CE7127">
        <w:rPr>
          <w:rFonts w:ascii="Arial" w:hAnsi="Arial" w:cs="Arial"/>
          <w:sz w:val="24"/>
          <w:szCs w:val="24"/>
        </w:rPr>
        <w:t>a note appears that the tenderer must realise that</w:t>
      </w:r>
      <w:r w:rsidR="00F9680D">
        <w:rPr>
          <w:rFonts w:ascii="Arial" w:hAnsi="Arial" w:cs="Arial"/>
          <w:sz w:val="24"/>
          <w:szCs w:val="24"/>
        </w:rPr>
        <w:t xml:space="preserve"> failure to complete the said documentation to the satisfaction of the</w:t>
      </w:r>
      <w:r w:rsidR="005255D8">
        <w:rPr>
          <w:rFonts w:ascii="Arial" w:hAnsi="Arial" w:cs="Arial"/>
          <w:sz w:val="24"/>
          <w:szCs w:val="24"/>
        </w:rPr>
        <w:t xml:space="preserve"> Employer,  </w:t>
      </w:r>
      <w:r w:rsidR="005255D8">
        <w:rPr>
          <w:rFonts w:ascii="Arial" w:hAnsi="Arial" w:cs="Arial"/>
          <w:sz w:val="20"/>
          <w:szCs w:val="20"/>
        </w:rPr>
        <w:t>“may lead</w:t>
      </w:r>
      <w:r w:rsidR="004E6663">
        <w:rPr>
          <w:rFonts w:ascii="Arial" w:hAnsi="Arial" w:cs="Arial"/>
          <w:sz w:val="20"/>
          <w:szCs w:val="20"/>
        </w:rPr>
        <w:t xml:space="preserve"> to rejection on the grounds that the tender is non</w:t>
      </w:r>
      <w:r w:rsidR="00E81113">
        <w:rPr>
          <w:rFonts w:ascii="Arial" w:hAnsi="Arial" w:cs="Arial"/>
          <w:sz w:val="20"/>
          <w:szCs w:val="20"/>
        </w:rPr>
        <w:t>-</w:t>
      </w:r>
      <w:r w:rsidR="004E6663">
        <w:rPr>
          <w:rFonts w:ascii="Arial" w:hAnsi="Arial" w:cs="Arial"/>
          <w:sz w:val="20"/>
          <w:szCs w:val="20"/>
        </w:rPr>
        <w:t>responsive</w:t>
      </w:r>
      <w:r w:rsidR="00E81113">
        <w:rPr>
          <w:rFonts w:ascii="Arial" w:hAnsi="Arial" w:cs="Arial"/>
          <w:sz w:val="20"/>
          <w:szCs w:val="20"/>
        </w:rPr>
        <w:t>.”</w:t>
      </w:r>
      <w:r w:rsidR="005E46FA">
        <w:rPr>
          <w:rStyle w:val="FootnoteReference"/>
          <w:rFonts w:ascii="Arial" w:hAnsi="Arial" w:cs="Arial"/>
          <w:sz w:val="20"/>
          <w:szCs w:val="20"/>
        </w:rPr>
        <w:footnoteReference w:id="10"/>
      </w:r>
    </w:p>
    <w:p w14:paraId="4148C429" w14:textId="77777777" w:rsidR="007830E0" w:rsidRDefault="007830E0" w:rsidP="000362A5">
      <w:pPr>
        <w:spacing w:after="0" w:line="360" w:lineRule="auto"/>
        <w:ind w:left="851" w:hanging="851"/>
        <w:jc w:val="both"/>
        <w:rPr>
          <w:rFonts w:ascii="Arial" w:hAnsi="Arial" w:cs="Arial"/>
          <w:sz w:val="20"/>
          <w:szCs w:val="20"/>
        </w:rPr>
      </w:pPr>
    </w:p>
    <w:p w14:paraId="1F9A4159" w14:textId="77777777" w:rsidR="007830E0" w:rsidRDefault="007830E0" w:rsidP="000362A5">
      <w:pPr>
        <w:spacing w:after="0" w:line="360" w:lineRule="auto"/>
        <w:ind w:left="851" w:hanging="851"/>
        <w:jc w:val="both"/>
        <w:rPr>
          <w:rFonts w:ascii="Arial" w:hAnsi="Arial" w:cs="Arial"/>
          <w:sz w:val="20"/>
          <w:szCs w:val="20"/>
        </w:rPr>
      </w:pPr>
      <w:r>
        <w:rPr>
          <w:rFonts w:ascii="Arial" w:hAnsi="Arial" w:cs="Arial"/>
          <w:sz w:val="24"/>
          <w:szCs w:val="24"/>
        </w:rPr>
        <w:t>[2</w:t>
      </w:r>
      <w:r w:rsidR="005014E4">
        <w:rPr>
          <w:rFonts w:ascii="Arial" w:hAnsi="Arial" w:cs="Arial"/>
          <w:sz w:val="24"/>
          <w:szCs w:val="24"/>
        </w:rPr>
        <w:t>2</w:t>
      </w:r>
      <w:r w:rsidR="00D10BAF">
        <w:rPr>
          <w:rFonts w:ascii="Arial" w:hAnsi="Arial" w:cs="Arial"/>
          <w:sz w:val="24"/>
          <w:szCs w:val="24"/>
        </w:rPr>
        <w:t>]</w:t>
      </w:r>
      <w:r w:rsidR="00707D5F">
        <w:rPr>
          <w:rFonts w:ascii="Arial" w:hAnsi="Arial" w:cs="Arial"/>
          <w:sz w:val="24"/>
          <w:szCs w:val="24"/>
        </w:rPr>
        <w:tab/>
        <w:t>Paragraph 7 of the said documentation then deals</w:t>
      </w:r>
      <w:r w:rsidR="00595EA3">
        <w:rPr>
          <w:rFonts w:ascii="Arial" w:hAnsi="Arial" w:cs="Arial"/>
          <w:sz w:val="24"/>
          <w:szCs w:val="24"/>
        </w:rPr>
        <w:t xml:space="preserve"> specifically with sub-contracting</w:t>
      </w:r>
      <w:r w:rsidR="00186869">
        <w:rPr>
          <w:rFonts w:ascii="Arial" w:hAnsi="Arial" w:cs="Arial"/>
          <w:sz w:val="24"/>
          <w:szCs w:val="24"/>
        </w:rPr>
        <w:t>.</w:t>
      </w:r>
      <w:r w:rsidR="00947E43">
        <w:rPr>
          <w:rFonts w:ascii="Arial" w:hAnsi="Arial" w:cs="Arial"/>
          <w:sz w:val="24"/>
          <w:szCs w:val="24"/>
        </w:rPr>
        <w:t xml:space="preserve"> The first question is:</w:t>
      </w:r>
      <w:r w:rsidR="00C656F4">
        <w:rPr>
          <w:rFonts w:ascii="Arial" w:hAnsi="Arial" w:cs="Arial"/>
          <w:sz w:val="24"/>
          <w:szCs w:val="24"/>
        </w:rPr>
        <w:t xml:space="preserve"> </w:t>
      </w:r>
      <w:r w:rsidR="00C656F4">
        <w:rPr>
          <w:rFonts w:ascii="Arial" w:hAnsi="Arial" w:cs="Arial"/>
          <w:sz w:val="20"/>
          <w:szCs w:val="20"/>
        </w:rPr>
        <w:t>“Will any portion of the contract be sub-contracted?</w:t>
      </w:r>
      <w:r w:rsidR="005D61AB">
        <w:rPr>
          <w:rStyle w:val="FootnoteReference"/>
          <w:rFonts w:ascii="Arial" w:hAnsi="Arial" w:cs="Arial"/>
          <w:sz w:val="20"/>
          <w:szCs w:val="20"/>
        </w:rPr>
        <w:footnoteReference w:id="11"/>
      </w:r>
      <w:r w:rsidR="007D6F0D">
        <w:rPr>
          <w:rFonts w:ascii="Arial" w:hAnsi="Arial" w:cs="Arial"/>
          <w:sz w:val="20"/>
          <w:szCs w:val="20"/>
        </w:rPr>
        <w:t xml:space="preserve">  </w:t>
      </w:r>
      <w:r w:rsidR="000A4DCE">
        <w:rPr>
          <w:rFonts w:ascii="Arial" w:hAnsi="Arial" w:cs="Arial"/>
          <w:sz w:val="24"/>
          <w:szCs w:val="24"/>
        </w:rPr>
        <w:t xml:space="preserve">There is then a tick box with the options of </w:t>
      </w:r>
      <w:r w:rsidR="000A4DCE">
        <w:rPr>
          <w:rFonts w:ascii="Arial" w:hAnsi="Arial" w:cs="Arial"/>
          <w:sz w:val="20"/>
          <w:szCs w:val="20"/>
        </w:rPr>
        <w:t>“yes</w:t>
      </w:r>
      <w:r w:rsidR="00C44700">
        <w:rPr>
          <w:rFonts w:ascii="Arial" w:hAnsi="Arial" w:cs="Arial"/>
          <w:sz w:val="20"/>
          <w:szCs w:val="20"/>
        </w:rPr>
        <w:t xml:space="preserve">” </w:t>
      </w:r>
      <w:r w:rsidR="00C44700">
        <w:rPr>
          <w:rFonts w:ascii="Arial" w:hAnsi="Arial" w:cs="Arial"/>
          <w:sz w:val="24"/>
          <w:szCs w:val="24"/>
        </w:rPr>
        <w:t xml:space="preserve">or </w:t>
      </w:r>
      <w:r w:rsidR="00C44700">
        <w:rPr>
          <w:rFonts w:ascii="Arial" w:hAnsi="Arial" w:cs="Arial"/>
          <w:sz w:val="20"/>
          <w:szCs w:val="20"/>
        </w:rPr>
        <w:t xml:space="preserve">“no”.  </w:t>
      </w:r>
      <w:r w:rsidR="00682FEC">
        <w:rPr>
          <w:rFonts w:ascii="Arial" w:hAnsi="Arial" w:cs="Arial"/>
          <w:sz w:val="24"/>
          <w:szCs w:val="24"/>
        </w:rPr>
        <w:t>No box was ticked and t</w:t>
      </w:r>
      <w:r w:rsidR="000D0988">
        <w:rPr>
          <w:rFonts w:ascii="Arial" w:hAnsi="Arial" w:cs="Arial"/>
          <w:sz w:val="24"/>
          <w:szCs w:val="24"/>
        </w:rPr>
        <w:t>he applicant’s representative dealt with this section b</w:t>
      </w:r>
      <w:r w:rsidR="0055534A">
        <w:rPr>
          <w:rFonts w:ascii="Arial" w:hAnsi="Arial" w:cs="Arial"/>
          <w:sz w:val="24"/>
          <w:szCs w:val="24"/>
        </w:rPr>
        <w:t>y</w:t>
      </w:r>
      <w:r w:rsidR="000D0988">
        <w:rPr>
          <w:rFonts w:ascii="Arial" w:hAnsi="Arial" w:cs="Arial"/>
          <w:sz w:val="24"/>
          <w:szCs w:val="24"/>
        </w:rPr>
        <w:t xml:space="preserve"> drawing a line</w:t>
      </w:r>
      <w:r w:rsidR="00F339FC">
        <w:rPr>
          <w:rFonts w:ascii="Arial" w:hAnsi="Arial" w:cs="Arial"/>
          <w:sz w:val="24"/>
          <w:szCs w:val="24"/>
        </w:rPr>
        <w:t xml:space="preserve"> through it and writing in pen </w:t>
      </w:r>
      <w:r w:rsidR="00194BF2">
        <w:rPr>
          <w:rFonts w:ascii="Arial" w:hAnsi="Arial" w:cs="Arial"/>
          <w:sz w:val="20"/>
          <w:szCs w:val="20"/>
        </w:rPr>
        <w:t>“not applicable”.</w:t>
      </w:r>
      <w:r w:rsidR="001731A0">
        <w:rPr>
          <w:rStyle w:val="FootnoteReference"/>
          <w:rFonts w:ascii="Arial" w:hAnsi="Arial" w:cs="Arial"/>
          <w:sz w:val="20"/>
          <w:szCs w:val="20"/>
        </w:rPr>
        <w:footnoteReference w:id="12"/>
      </w:r>
    </w:p>
    <w:p w14:paraId="7BC9AEBF" w14:textId="77777777" w:rsidR="005457FB" w:rsidRDefault="005457FB" w:rsidP="000362A5">
      <w:pPr>
        <w:spacing w:after="0" w:line="360" w:lineRule="auto"/>
        <w:ind w:left="851" w:hanging="851"/>
        <w:jc w:val="both"/>
        <w:rPr>
          <w:rFonts w:ascii="Arial" w:hAnsi="Arial" w:cs="Arial"/>
          <w:sz w:val="20"/>
          <w:szCs w:val="20"/>
        </w:rPr>
      </w:pPr>
    </w:p>
    <w:p w14:paraId="0341D72B" w14:textId="77777777" w:rsidR="005457FB" w:rsidRDefault="00FD2088" w:rsidP="000362A5">
      <w:pPr>
        <w:spacing w:after="0" w:line="360" w:lineRule="auto"/>
        <w:ind w:left="851" w:hanging="851"/>
        <w:jc w:val="both"/>
        <w:rPr>
          <w:rFonts w:ascii="Arial" w:hAnsi="Arial" w:cs="Arial"/>
          <w:sz w:val="24"/>
          <w:szCs w:val="24"/>
        </w:rPr>
      </w:pPr>
      <w:r>
        <w:rPr>
          <w:rFonts w:ascii="Arial" w:hAnsi="Arial" w:cs="Arial"/>
          <w:sz w:val="24"/>
          <w:szCs w:val="24"/>
        </w:rPr>
        <w:t>[2</w:t>
      </w:r>
      <w:r w:rsidR="005014E4">
        <w:rPr>
          <w:rFonts w:ascii="Arial" w:hAnsi="Arial" w:cs="Arial"/>
          <w:sz w:val="24"/>
          <w:szCs w:val="24"/>
        </w:rPr>
        <w:t>3</w:t>
      </w:r>
      <w:r>
        <w:rPr>
          <w:rFonts w:ascii="Arial" w:hAnsi="Arial" w:cs="Arial"/>
          <w:sz w:val="24"/>
          <w:szCs w:val="24"/>
        </w:rPr>
        <w:t>]</w:t>
      </w:r>
      <w:r w:rsidR="007F4F6D">
        <w:rPr>
          <w:rFonts w:ascii="Arial" w:hAnsi="Arial" w:cs="Arial"/>
          <w:sz w:val="24"/>
          <w:szCs w:val="24"/>
        </w:rPr>
        <w:tab/>
        <w:t>The</w:t>
      </w:r>
      <w:r w:rsidR="0081778E">
        <w:rPr>
          <w:rFonts w:ascii="Arial" w:hAnsi="Arial" w:cs="Arial"/>
          <w:sz w:val="24"/>
          <w:szCs w:val="24"/>
        </w:rPr>
        <w:t xml:space="preserve"> applicant’s tender in the amount of R38</w:t>
      </w:r>
      <w:r w:rsidR="00F42BFD">
        <w:rPr>
          <w:rFonts w:ascii="Arial" w:hAnsi="Arial" w:cs="Arial"/>
          <w:sz w:val="24"/>
          <w:szCs w:val="24"/>
        </w:rPr>
        <w:t> </w:t>
      </w:r>
      <w:r w:rsidR="0081778E">
        <w:rPr>
          <w:rFonts w:ascii="Arial" w:hAnsi="Arial" w:cs="Arial"/>
          <w:sz w:val="24"/>
          <w:szCs w:val="24"/>
        </w:rPr>
        <w:t>803</w:t>
      </w:r>
      <w:r w:rsidR="00F42BFD">
        <w:rPr>
          <w:rFonts w:ascii="Arial" w:hAnsi="Arial" w:cs="Arial"/>
          <w:sz w:val="24"/>
          <w:szCs w:val="24"/>
        </w:rPr>
        <w:t> 821.40 was the lowest of the 14 tenders</w:t>
      </w:r>
      <w:r w:rsidR="003E4149">
        <w:rPr>
          <w:rFonts w:ascii="Arial" w:hAnsi="Arial" w:cs="Arial"/>
          <w:sz w:val="24"/>
          <w:szCs w:val="24"/>
        </w:rPr>
        <w:t xml:space="preserve">. The second respondent’s bid </w:t>
      </w:r>
      <w:r w:rsidR="006F72A6">
        <w:rPr>
          <w:rFonts w:ascii="Arial" w:hAnsi="Arial" w:cs="Arial"/>
          <w:sz w:val="24"/>
          <w:szCs w:val="24"/>
        </w:rPr>
        <w:t xml:space="preserve">was in the </w:t>
      </w:r>
      <w:r w:rsidR="003E4149">
        <w:rPr>
          <w:rFonts w:ascii="Arial" w:hAnsi="Arial" w:cs="Arial"/>
          <w:sz w:val="24"/>
          <w:szCs w:val="24"/>
        </w:rPr>
        <w:t>amount of R51</w:t>
      </w:r>
      <w:r w:rsidR="007274E6">
        <w:rPr>
          <w:rFonts w:ascii="Arial" w:hAnsi="Arial" w:cs="Arial"/>
          <w:sz w:val="24"/>
          <w:szCs w:val="24"/>
        </w:rPr>
        <w:t> </w:t>
      </w:r>
      <w:r w:rsidR="003E4149">
        <w:rPr>
          <w:rFonts w:ascii="Arial" w:hAnsi="Arial" w:cs="Arial"/>
          <w:sz w:val="24"/>
          <w:szCs w:val="24"/>
        </w:rPr>
        <w:t>615</w:t>
      </w:r>
      <w:r w:rsidR="007274E6">
        <w:rPr>
          <w:rFonts w:ascii="Arial" w:hAnsi="Arial" w:cs="Arial"/>
          <w:sz w:val="24"/>
          <w:szCs w:val="24"/>
        </w:rPr>
        <w:t> 000.00</w:t>
      </w:r>
      <w:r w:rsidR="008F215E">
        <w:rPr>
          <w:rFonts w:ascii="Arial" w:hAnsi="Arial" w:cs="Arial"/>
          <w:sz w:val="24"/>
          <w:szCs w:val="24"/>
        </w:rPr>
        <w:t>.</w:t>
      </w:r>
      <w:r w:rsidR="000D4774">
        <w:rPr>
          <w:rStyle w:val="FootnoteReference"/>
          <w:rFonts w:ascii="Arial" w:hAnsi="Arial" w:cs="Arial"/>
          <w:sz w:val="24"/>
          <w:szCs w:val="24"/>
        </w:rPr>
        <w:footnoteReference w:id="13"/>
      </w:r>
    </w:p>
    <w:p w14:paraId="0FE830D1" w14:textId="77777777" w:rsidR="00122A00" w:rsidRDefault="00122A00" w:rsidP="000362A5">
      <w:pPr>
        <w:spacing w:after="0" w:line="360" w:lineRule="auto"/>
        <w:ind w:left="851" w:hanging="851"/>
        <w:jc w:val="both"/>
        <w:rPr>
          <w:rFonts w:ascii="Arial" w:hAnsi="Arial" w:cs="Arial"/>
          <w:sz w:val="24"/>
          <w:szCs w:val="24"/>
        </w:rPr>
      </w:pPr>
    </w:p>
    <w:p w14:paraId="59A56B23" w14:textId="77777777" w:rsidR="00122A00" w:rsidRDefault="0087676D" w:rsidP="000362A5">
      <w:pPr>
        <w:spacing w:after="0" w:line="360" w:lineRule="auto"/>
        <w:ind w:left="851" w:hanging="851"/>
        <w:jc w:val="both"/>
        <w:rPr>
          <w:rFonts w:ascii="Arial" w:hAnsi="Arial" w:cs="Arial"/>
          <w:b/>
          <w:bCs/>
          <w:sz w:val="24"/>
          <w:szCs w:val="24"/>
        </w:rPr>
      </w:pPr>
      <w:r>
        <w:rPr>
          <w:rFonts w:ascii="Arial" w:hAnsi="Arial" w:cs="Arial"/>
          <w:b/>
          <w:bCs/>
          <w:sz w:val="24"/>
          <w:szCs w:val="24"/>
        </w:rPr>
        <w:t>V</w:t>
      </w:r>
      <w:r>
        <w:rPr>
          <w:rFonts w:ascii="Arial" w:hAnsi="Arial" w:cs="Arial"/>
          <w:b/>
          <w:bCs/>
          <w:sz w:val="24"/>
          <w:szCs w:val="24"/>
        </w:rPr>
        <w:tab/>
        <w:t>THE</w:t>
      </w:r>
      <w:r w:rsidR="0095209D">
        <w:rPr>
          <w:rFonts w:ascii="Arial" w:hAnsi="Arial" w:cs="Arial"/>
          <w:b/>
          <w:bCs/>
          <w:sz w:val="24"/>
          <w:szCs w:val="24"/>
        </w:rPr>
        <w:t xml:space="preserve"> PREFERENTIAL PROCUREMENT REGULATIONS</w:t>
      </w:r>
    </w:p>
    <w:p w14:paraId="3A0C0AD0" w14:textId="77777777" w:rsidR="0095209D" w:rsidRDefault="0095209D" w:rsidP="000362A5">
      <w:pPr>
        <w:spacing w:after="0" w:line="360" w:lineRule="auto"/>
        <w:ind w:left="851" w:hanging="851"/>
        <w:jc w:val="both"/>
        <w:rPr>
          <w:rFonts w:ascii="Arial" w:hAnsi="Arial" w:cs="Arial"/>
          <w:b/>
          <w:bCs/>
          <w:sz w:val="24"/>
          <w:szCs w:val="24"/>
        </w:rPr>
      </w:pPr>
    </w:p>
    <w:p w14:paraId="7B079305" w14:textId="77777777" w:rsidR="0095209D" w:rsidRDefault="0095209D" w:rsidP="000362A5">
      <w:pPr>
        <w:spacing w:after="0" w:line="360" w:lineRule="auto"/>
        <w:ind w:left="851" w:hanging="851"/>
        <w:jc w:val="both"/>
        <w:rPr>
          <w:rFonts w:ascii="Arial" w:hAnsi="Arial" w:cs="Arial"/>
          <w:sz w:val="24"/>
          <w:szCs w:val="24"/>
        </w:rPr>
      </w:pPr>
      <w:r>
        <w:rPr>
          <w:rFonts w:ascii="Arial" w:hAnsi="Arial" w:cs="Arial"/>
          <w:sz w:val="24"/>
          <w:szCs w:val="24"/>
        </w:rPr>
        <w:t>[2</w:t>
      </w:r>
      <w:r w:rsidR="005014E4">
        <w:rPr>
          <w:rFonts w:ascii="Arial" w:hAnsi="Arial" w:cs="Arial"/>
          <w:sz w:val="24"/>
          <w:szCs w:val="24"/>
        </w:rPr>
        <w:t>4</w:t>
      </w:r>
      <w:r w:rsidR="003F7A71">
        <w:rPr>
          <w:rFonts w:ascii="Arial" w:hAnsi="Arial" w:cs="Arial"/>
          <w:sz w:val="24"/>
          <w:szCs w:val="24"/>
        </w:rPr>
        <w:t>]</w:t>
      </w:r>
      <w:r w:rsidR="003F7A71">
        <w:rPr>
          <w:rFonts w:ascii="Arial" w:hAnsi="Arial" w:cs="Arial"/>
          <w:sz w:val="24"/>
          <w:szCs w:val="24"/>
        </w:rPr>
        <w:tab/>
      </w:r>
      <w:r w:rsidR="002C5C72">
        <w:rPr>
          <w:rFonts w:ascii="Arial" w:hAnsi="Arial" w:cs="Arial"/>
          <w:sz w:val="24"/>
          <w:szCs w:val="24"/>
        </w:rPr>
        <w:t>In the decision of</w:t>
      </w:r>
      <w:r w:rsidR="003F2E32">
        <w:rPr>
          <w:rFonts w:ascii="Arial" w:hAnsi="Arial" w:cs="Arial"/>
          <w:sz w:val="24"/>
          <w:szCs w:val="24"/>
        </w:rPr>
        <w:t xml:space="preserve"> </w:t>
      </w:r>
      <w:r w:rsidR="005612DC">
        <w:rPr>
          <w:rFonts w:ascii="Arial" w:hAnsi="Arial" w:cs="Arial"/>
          <w:i/>
          <w:iCs/>
          <w:sz w:val="24"/>
          <w:szCs w:val="24"/>
        </w:rPr>
        <w:t>Afribusiness v The Minister of Finance</w:t>
      </w:r>
      <w:r w:rsidR="009B6A97">
        <w:rPr>
          <w:rStyle w:val="FootnoteReference"/>
          <w:rFonts w:ascii="Arial" w:hAnsi="Arial" w:cs="Arial"/>
          <w:i/>
          <w:iCs/>
          <w:sz w:val="24"/>
          <w:szCs w:val="24"/>
        </w:rPr>
        <w:footnoteReference w:id="14"/>
      </w:r>
      <w:r w:rsidR="00BA2331">
        <w:rPr>
          <w:rFonts w:ascii="Arial" w:hAnsi="Arial" w:cs="Arial"/>
          <w:i/>
          <w:iCs/>
          <w:sz w:val="24"/>
          <w:szCs w:val="24"/>
        </w:rPr>
        <w:t xml:space="preserve">,  </w:t>
      </w:r>
      <w:r w:rsidR="00BA2331" w:rsidRPr="00A84D54">
        <w:rPr>
          <w:rFonts w:ascii="Arial" w:hAnsi="Arial" w:cs="Arial"/>
          <w:sz w:val="24"/>
          <w:szCs w:val="24"/>
        </w:rPr>
        <w:t xml:space="preserve">the </w:t>
      </w:r>
      <w:r w:rsidR="005F6160">
        <w:rPr>
          <w:rFonts w:ascii="Arial" w:hAnsi="Arial" w:cs="Arial"/>
          <w:sz w:val="24"/>
          <w:szCs w:val="24"/>
        </w:rPr>
        <w:t>P</w:t>
      </w:r>
      <w:r w:rsidR="00A84D54" w:rsidRPr="00A84D54">
        <w:rPr>
          <w:rFonts w:ascii="Arial" w:hAnsi="Arial" w:cs="Arial"/>
          <w:sz w:val="24"/>
          <w:szCs w:val="24"/>
        </w:rPr>
        <w:t xml:space="preserve">referential </w:t>
      </w:r>
      <w:r w:rsidR="005F6160">
        <w:rPr>
          <w:rFonts w:ascii="Arial" w:hAnsi="Arial" w:cs="Arial"/>
          <w:sz w:val="24"/>
          <w:szCs w:val="24"/>
        </w:rPr>
        <w:t>P</w:t>
      </w:r>
      <w:r w:rsidR="00A84D54" w:rsidRPr="00A84D54">
        <w:rPr>
          <w:rFonts w:ascii="Arial" w:hAnsi="Arial" w:cs="Arial"/>
          <w:sz w:val="24"/>
          <w:szCs w:val="24"/>
        </w:rPr>
        <w:t xml:space="preserve">rocurement </w:t>
      </w:r>
      <w:r w:rsidR="005F6160">
        <w:rPr>
          <w:rFonts w:ascii="Arial" w:hAnsi="Arial" w:cs="Arial"/>
          <w:sz w:val="24"/>
          <w:szCs w:val="24"/>
        </w:rPr>
        <w:t>R</w:t>
      </w:r>
      <w:r w:rsidR="00A84D54" w:rsidRPr="00A84D54">
        <w:rPr>
          <w:rFonts w:ascii="Arial" w:hAnsi="Arial" w:cs="Arial"/>
          <w:sz w:val="24"/>
          <w:szCs w:val="24"/>
        </w:rPr>
        <w:t>egulations wer</w:t>
      </w:r>
      <w:r w:rsidR="00A84D54">
        <w:rPr>
          <w:rFonts w:ascii="Arial" w:hAnsi="Arial" w:cs="Arial"/>
          <w:sz w:val="24"/>
          <w:szCs w:val="24"/>
        </w:rPr>
        <w:t>e</w:t>
      </w:r>
      <w:r w:rsidR="00494B1E">
        <w:rPr>
          <w:rFonts w:ascii="Arial" w:hAnsi="Arial" w:cs="Arial"/>
          <w:sz w:val="24"/>
          <w:szCs w:val="24"/>
        </w:rPr>
        <w:t xml:space="preserve"> declared invalid</w:t>
      </w:r>
      <w:r w:rsidR="007A732F">
        <w:rPr>
          <w:rFonts w:ascii="Arial" w:hAnsi="Arial" w:cs="Arial"/>
          <w:sz w:val="24"/>
          <w:szCs w:val="24"/>
        </w:rPr>
        <w:t xml:space="preserve"> </w:t>
      </w:r>
      <w:r w:rsidR="00A75B88">
        <w:rPr>
          <w:rFonts w:ascii="Arial" w:hAnsi="Arial" w:cs="Arial"/>
          <w:sz w:val="24"/>
          <w:szCs w:val="24"/>
        </w:rPr>
        <w:t>by the Supreme Court of Appeal</w:t>
      </w:r>
      <w:r w:rsidR="007B5FC3">
        <w:rPr>
          <w:rFonts w:ascii="Arial" w:hAnsi="Arial" w:cs="Arial"/>
          <w:sz w:val="24"/>
          <w:szCs w:val="24"/>
        </w:rPr>
        <w:t xml:space="preserve"> </w:t>
      </w:r>
      <w:r w:rsidR="007A732F">
        <w:rPr>
          <w:rFonts w:ascii="Arial" w:hAnsi="Arial" w:cs="Arial"/>
          <w:sz w:val="24"/>
          <w:szCs w:val="24"/>
        </w:rPr>
        <w:t xml:space="preserve">and the order of invalidity lapsed on </w:t>
      </w:r>
      <w:r w:rsidR="004557B4">
        <w:rPr>
          <w:rFonts w:ascii="Arial" w:hAnsi="Arial" w:cs="Arial"/>
          <w:sz w:val="24"/>
          <w:szCs w:val="24"/>
        </w:rPr>
        <w:t>2 November 2021.</w:t>
      </w:r>
      <w:r w:rsidR="007B5FC3">
        <w:rPr>
          <w:rFonts w:ascii="Arial" w:hAnsi="Arial" w:cs="Arial"/>
          <w:sz w:val="24"/>
          <w:szCs w:val="24"/>
        </w:rPr>
        <w:t xml:space="preserve">  </w:t>
      </w:r>
      <w:r w:rsidR="004E27DF">
        <w:rPr>
          <w:rFonts w:ascii="Arial" w:hAnsi="Arial" w:cs="Arial"/>
          <w:sz w:val="24"/>
          <w:szCs w:val="24"/>
        </w:rPr>
        <w:t xml:space="preserve">An application </w:t>
      </w:r>
      <w:r w:rsidR="004E27DF">
        <w:rPr>
          <w:rFonts w:ascii="Arial" w:hAnsi="Arial" w:cs="Arial"/>
          <w:sz w:val="24"/>
          <w:szCs w:val="24"/>
        </w:rPr>
        <w:lastRenderedPageBreak/>
        <w:t>for leave to appeal was directed</w:t>
      </w:r>
      <w:r w:rsidR="00990F55">
        <w:rPr>
          <w:rFonts w:ascii="Arial" w:hAnsi="Arial" w:cs="Arial"/>
          <w:sz w:val="24"/>
          <w:szCs w:val="24"/>
        </w:rPr>
        <w:t xml:space="preserve"> to the Constitutional Court requesting that the</w:t>
      </w:r>
      <w:r w:rsidR="005A3981">
        <w:rPr>
          <w:rFonts w:ascii="Arial" w:hAnsi="Arial" w:cs="Arial"/>
          <w:sz w:val="24"/>
          <w:szCs w:val="24"/>
        </w:rPr>
        <w:t xml:space="preserve"> order of the Supreme Court of Appeal be set aside.</w:t>
      </w:r>
      <w:r w:rsidR="002A52C6">
        <w:rPr>
          <w:rFonts w:ascii="Arial" w:hAnsi="Arial" w:cs="Arial"/>
          <w:sz w:val="24"/>
          <w:szCs w:val="24"/>
        </w:rPr>
        <w:t xml:space="preserve"> The matter was heard on 25 May 2021 and</w:t>
      </w:r>
      <w:r w:rsidR="0025153E">
        <w:rPr>
          <w:rFonts w:ascii="Arial" w:hAnsi="Arial" w:cs="Arial"/>
          <w:sz w:val="24"/>
          <w:szCs w:val="24"/>
        </w:rPr>
        <w:t xml:space="preserve"> the Court handed down judgment on 16 February</w:t>
      </w:r>
      <w:r w:rsidR="008A41D1">
        <w:rPr>
          <w:rFonts w:ascii="Arial" w:hAnsi="Arial" w:cs="Arial"/>
          <w:sz w:val="24"/>
          <w:szCs w:val="24"/>
        </w:rPr>
        <w:t xml:space="preserve"> 2022</w:t>
      </w:r>
      <w:r w:rsidR="006340BE">
        <w:rPr>
          <w:rFonts w:ascii="Arial" w:hAnsi="Arial" w:cs="Arial"/>
          <w:sz w:val="24"/>
          <w:szCs w:val="24"/>
        </w:rPr>
        <w:t xml:space="preserve"> </w:t>
      </w:r>
      <w:r w:rsidR="00070951">
        <w:rPr>
          <w:rFonts w:ascii="Arial" w:hAnsi="Arial" w:cs="Arial"/>
          <w:sz w:val="24"/>
          <w:szCs w:val="24"/>
        </w:rPr>
        <w:t>in which the invalidity was confirmed.</w:t>
      </w:r>
    </w:p>
    <w:p w14:paraId="6CA00F44" w14:textId="77777777" w:rsidR="00243421" w:rsidRDefault="00243421" w:rsidP="000362A5">
      <w:pPr>
        <w:spacing w:after="0" w:line="360" w:lineRule="auto"/>
        <w:ind w:left="851" w:hanging="851"/>
        <w:jc w:val="both"/>
        <w:rPr>
          <w:rFonts w:ascii="Arial" w:hAnsi="Arial" w:cs="Arial"/>
          <w:sz w:val="24"/>
          <w:szCs w:val="24"/>
        </w:rPr>
      </w:pPr>
    </w:p>
    <w:p w14:paraId="537685A2" w14:textId="77777777" w:rsidR="00243421" w:rsidRPr="008C33DD" w:rsidRDefault="00243421" w:rsidP="000362A5">
      <w:pPr>
        <w:spacing w:after="0" w:line="360" w:lineRule="auto"/>
        <w:ind w:left="851" w:hanging="851"/>
        <w:jc w:val="both"/>
        <w:rPr>
          <w:rFonts w:ascii="Arial" w:hAnsi="Arial" w:cs="Arial"/>
          <w:color w:val="FF0000"/>
          <w:sz w:val="24"/>
          <w:szCs w:val="24"/>
        </w:rPr>
      </w:pPr>
      <w:r>
        <w:rPr>
          <w:rFonts w:ascii="Arial" w:hAnsi="Arial" w:cs="Arial"/>
          <w:sz w:val="24"/>
          <w:szCs w:val="24"/>
        </w:rPr>
        <w:t>[2</w:t>
      </w:r>
      <w:r w:rsidR="005014E4">
        <w:rPr>
          <w:rFonts w:ascii="Arial" w:hAnsi="Arial" w:cs="Arial"/>
          <w:sz w:val="24"/>
          <w:szCs w:val="24"/>
        </w:rPr>
        <w:t>5</w:t>
      </w:r>
      <w:r>
        <w:rPr>
          <w:rFonts w:ascii="Arial" w:hAnsi="Arial" w:cs="Arial"/>
          <w:sz w:val="24"/>
          <w:szCs w:val="24"/>
        </w:rPr>
        <w:t>]</w:t>
      </w:r>
      <w:r>
        <w:rPr>
          <w:rFonts w:ascii="Arial" w:hAnsi="Arial" w:cs="Arial"/>
          <w:sz w:val="24"/>
          <w:szCs w:val="24"/>
        </w:rPr>
        <w:tab/>
        <w:t xml:space="preserve">In terms </w:t>
      </w:r>
      <w:r w:rsidR="008C33DD">
        <w:rPr>
          <w:rFonts w:ascii="Arial" w:hAnsi="Arial" w:cs="Arial"/>
          <w:sz w:val="24"/>
          <w:szCs w:val="24"/>
        </w:rPr>
        <w:t>of section</w:t>
      </w:r>
      <w:r>
        <w:rPr>
          <w:rFonts w:ascii="Arial" w:hAnsi="Arial" w:cs="Arial"/>
          <w:sz w:val="24"/>
          <w:szCs w:val="24"/>
        </w:rPr>
        <w:t xml:space="preserve"> 18</w:t>
      </w:r>
      <w:r w:rsidR="00C82873">
        <w:rPr>
          <w:rFonts w:ascii="Arial" w:hAnsi="Arial" w:cs="Arial"/>
          <w:sz w:val="24"/>
          <w:szCs w:val="24"/>
        </w:rPr>
        <w:t xml:space="preserve"> (1) of the Superior Courts </w:t>
      </w:r>
      <w:r w:rsidR="008C33DD">
        <w:rPr>
          <w:rFonts w:ascii="Arial" w:hAnsi="Arial" w:cs="Arial"/>
          <w:sz w:val="24"/>
          <w:szCs w:val="24"/>
        </w:rPr>
        <w:t>Act, the</w:t>
      </w:r>
      <w:r w:rsidR="00C82873">
        <w:rPr>
          <w:rFonts w:ascii="Arial" w:hAnsi="Arial" w:cs="Arial"/>
          <w:sz w:val="24"/>
          <w:szCs w:val="24"/>
        </w:rPr>
        <w:t xml:space="preserve"> </w:t>
      </w:r>
      <w:r w:rsidR="004F5567">
        <w:rPr>
          <w:rFonts w:ascii="Arial" w:hAnsi="Arial" w:cs="Arial"/>
          <w:sz w:val="24"/>
          <w:szCs w:val="24"/>
        </w:rPr>
        <w:t>Supreme Court of Appeal’s judgment w</w:t>
      </w:r>
      <w:r w:rsidR="006737EC">
        <w:rPr>
          <w:rFonts w:ascii="Arial" w:hAnsi="Arial" w:cs="Arial"/>
          <w:sz w:val="24"/>
          <w:szCs w:val="24"/>
        </w:rPr>
        <w:t>as</w:t>
      </w:r>
      <w:r w:rsidR="004F5567">
        <w:rPr>
          <w:rFonts w:ascii="Arial" w:hAnsi="Arial" w:cs="Arial"/>
          <w:sz w:val="24"/>
          <w:szCs w:val="24"/>
        </w:rPr>
        <w:t xml:space="preserve"> suspended</w:t>
      </w:r>
      <w:r w:rsidR="003B02C2">
        <w:rPr>
          <w:rFonts w:ascii="Arial" w:hAnsi="Arial" w:cs="Arial"/>
          <w:sz w:val="24"/>
          <w:szCs w:val="24"/>
        </w:rPr>
        <w:t xml:space="preserve"> when the application for leave to appeal w</w:t>
      </w:r>
      <w:r w:rsidR="0052575D">
        <w:rPr>
          <w:rFonts w:ascii="Arial" w:hAnsi="Arial" w:cs="Arial"/>
          <w:sz w:val="24"/>
          <w:szCs w:val="24"/>
        </w:rPr>
        <w:t>as</w:t>
      </w:r>
      <w:r w:rsidR="003B02C2">
        <w:rPr>
          <w:rFonts w:ascii="Arial" w:hAnsi="Arial" w:cs="Arial"/>
          <w:sz w:val="24"/>
          <w:szCs w:val="24"/>
        </w:rPr>
        <w:t xml:space="preserve"> launched</w:t>
      </w:r>
      <w:r w:rsidR="00411DDC">
        <w:rPr>
          <w:rFonts w:ascii="Arial" w:hAnsi="Arial" w:cs="Arial"/>
          <w:sz w:val="24"/>
          <w:szCs w:val="24"/>
        </w:rPr>
        <w:t>.  The tender in casu was duly advertised, published and closed</w:t>
      </w:r>
      <w:r w:rsidR="00467323">
        <w:rPr>
          <w:rFonts w:ascii="Arial" w:hAnsi="Arial" w:cs="Arial"/>
          <w:sz w:val="24"/>
          <w:szCs w:val="24"/>
        </w:rPr>
        <w:t xml:space="preserve"> during the time after the Constitutional Court</w:t>
      </w:r>
      <w:r w:rsidR="005F20A3">
        <w:rPr>
          <w:rFonts w:ascii="Arial" w:hAnsi="Arial" w:cs="Arial"/>
          <w:sz w:val="24"/>
          <w:szCs w:val="24"/>
        </w:rPr>
        <w:t xml:space="preserve"> had heard the appeal and before it handed down judgment.</w:t>
      </w:r>
      <w:r w:rsidR="00AA764D">
        <w:rPr>
          <w:rFonts w:ascii="Arial" w:hAnsi="Arial" w:cs="Arial"/>
          <w:sz w:val="24"/>
          <w:szCs w:val="24"/>
        </w:rPr>
        <w:t xml:space="preserve">  In the premises the Preferential </w:t>
      </w:r>
      <w:r w:rsidR="00AA527B">
        <w:rPr>
          <w:rFonts w:ascii="Arial" w:hAnsi="Arial" w:cs="Arial"/>
          <w:sz w:val="24"/>
          <w:szCs w:val="24"/>
        </w:rPr>
        <w:t>Procurement Regulations, 2017, found application and was in full force and effect</w:t>
      </w:r>
      <w:r w:rsidR="00587E96">
        <w:rPr>
          <w:rFonts w:ascii="Arial" w:hAnsi="Arial" w:cs="Arial"/>
          <w:sz w:val="24"/>
          <w:szCs w:val="24"/>
        </w:rPr>
        <w:t xml:space="preserve"> in respect of this matter that serves before this Court.</w:t>
      </w:r>
    </w:p>
    <w:p w14:paraId="04F18148" w14:textId="77777777" w:rsidR="00CA0855" w:rsidRDefault="00CA0855" w:rsidP="000362A5">
      <w:pPr>
        <w:spacing w:after="0" w:line="360" w:lineRule="auto"/>
        <w:ind w:left="851" w:hanging="851"/>
        <w:jc w:val="both"/>
        <w:rPr>
          <w:rFonts w:ascii="Arial" w:hAnsi="Arial" w:cs="Arial"/>
          <w:sz w:val="24"/>
          <w:szCs w:val="24"/>
        </w:rPr>
      </w:pPr>
    </w:p>
    <w:p w14:paraId="3FF94A13" w14:textId="77777777" w:rsidR="003675C0" w:rsidRDefault="00CA0855" w:rsidP="000362A5">
      <w:pPr>
        <w:spacing w:after="0" w:line="360" w:lineRule="auto"/>
        <w:ind w:left="851" w:hanging="851"/>
        <w:jc w:val="both"/>
        <w:rPr>
          <w:rFonts w:ascii="Arial" w:hAnsi="Arial" w:cs="Arial"/>
          <w:sz w:val="24"/>
          <w:szCs w:val="24"/>
        </w:rPr>
      </w:pPr>
      <w:r>
        <w:rPr>
          <w:rFonts w:ascii="Arial" w:hAnsi="Arial" w:cs="Arial"/>
          <w:sz w:val="24"/>
          <w:szCs w:val="24"/>
        </w:rPr>
        <w:t>[2</w:t>
      </w:r>
      <w:r w:rsidR="005014E4">
        <w:rPr>
          <w:rFonts w:ascii="Arial" w:hAnsi="Arial" w:cs="Arial"/>
          <w:sz w:val="24"/>
          <w:szCs w:val="24"/>
        </w:rPr>
        <w:t>6</w:t>
      </w:r>
      <w:r>
        <w:rPr>
          <w:rFonts w:ascii="Arial" w:hAnsi="Arial" w:cs="Arial"/>
          <w:sz w:val="24"/>
          <w:szCs w:val="24"/>
        </w:rPr>
        <w:t>]</w:t>
      </w:r>
      <w:r w:rsidR="006D7F5E">
        <w:rPr>
          <w:rFonts w:ascii="Arial" w:hAnsi="Arial" w:cs="Arial"/>
          <w:sz w:val="24"/>
          <w:szCs w:val="24"/>
        </w:rPr>
        <w:tab/>
      </w:r>
      <w:r w:rsidR="005B3800">
        <w:rPr>
          <w:rFonts w:ascii="Arial" w:hAnsi="Arial" w:cs="Arial"/>
          <w:sz w:val="24"/>
          <w:szCs w:val="24"/>
        </w:rPr>
        <w:t xml:space="preserve">The relevant portion of </w:t>
      </w:r>
      <w:r w:rsidR="00A82FE8">
        <w:rPr>
          <w:rFonts w:ascii="Arial" w:hAnsi="Arial" w:cs="Arial"/>
          <w:sz w:val="24"/>
          <w:szCs w:val="24"/>
        </w:rPr>
        <w:t>Regulation 4</w:t>
      </w:r>
      <w:r w:rsidR="005B3800">
        <w:rPr>
          <w:rFonts w:ascii="Arial" w:hAnsi="Arial" w:cs="Arial"/>
          <w:sz w:val="24"/>
          <w:szCs w:val="24"/>
        </w:rPr>
        <w:t xml:space="preserve"> reads as foll</w:t>
      </w:r>
      <w:r w:rsidR="003675C0">
        <w:rPr>
          <w:rFonts w:ascii="Arial" w:hAnsi="Arial" w:cs="Arial"/>
          <w:sz w:val="24"/>
          <w:szCs w:val="24"/>
        </w:rPr>
        <w:t>ows:</w:t>
      </w:r>
    </w:p>
    <w:p w14:paraId="599B871A" w14:textId="77777777" w:rsidR="003675C0" w:rsidRDefault="003675C0" w:rsidP="000362A5">
      <w:pPr>
        <w:spacing w:after="0" w:line="360" w:lineRule="auto"/>
        <w:ind w:left="851" w:hanging="851"/>
        <w:jc w:val="both"/>
        <w:rPr>
          <w:rFonts w:ascii="Arial" w:hAnsi="Arial" w:cs="Arial"/>
          <w:sz w:val="24"/>
          <w:szCs w:val="24"/>
        </w:rPr>
      </w:pPr>
    </w:p>
    <w:p w14:paraId="3E9AE63C" w14:textId="77777777" w:rsidR="00CA0855" w:rsidRDefault="003675C0" w:rsidP="000362A5">
      <w:pPr>
        <w:spacing w:after="0" w:line="360" w:lineRule="auto"/>
        <w:ind w:left="851" w:hanging="851"/>
        <w:jc w:val="both"/>
        <w:rPr>
          <w:rFonts w:ascii="Arial" w:hAnsi="Arial" w:cs="Arial"/>
          <w:b/>
          <w:bCs/>
          <w:sz w:val="20"/>
          <w:szCs w:val="20"/>
        </w:rPr>
      </w:pPr>
      <w:r>
        <w:rPr>
          <w:rFonts w:ascii="Arial" w:hAnsi="Arial" w:cs="Arial"/>
          <w:sz w:val="24"/>
          <w:szCs w:val="24"/>
        </w:rPr>
        <w:tab/>
      </w:r>
      <w:r>
        <w:rPr>
          <w:rFonts w:ascii="Arial" w:hAnsi="Arial" w:cs="Arial"/>
          <w:sz w:val="20"/>
          <w:szCs w:val="20"/>
        </w:rPr>
        <w:t>“</w:t>
      </w:r>
      <w:r w:rsidR="00550CA2">
        <w:rPr>
          <w:rFonts w:ascii="Arial" w:hAnsi="Arial" w:cs="Arial"/>
          <w:b/>
          <w:bCs/>
          <w:sz w:val="20"/>
          <w:szCs w:val="20"/>
        </w:rPr>
        <w:t>Pre-qualification criteria for preferential procurement</w:t>
      </w:r>
    </w:p>
    <w:p w14:paraId="577F53F4" w14:textId="77777777" w:rsidR="00A211B6" w:rsidRDefault="00A211B6" w:rsidP="000362A5">
      <w:pPr>
        <w:spacing w:after="0" w:line="360" w:lineRule="auto"/>
        <w:ind w:left="851" w:hanging="851"/>
        <w:jc w:val="both"/>
        <w:rPr>
          <w:rFonts w:ascii="Arial" w:hAnsi="Arial" w:cs="Arial"/>
          <w:b/>
          <w:bCs/>
          <w:sz w:val="20"/>
          <w:szCs w:val="20"/>
        </w:rPr>
      </w:pPr>
    </w:p>
    <w:p w14:paraId="4AC48E68" w14:textId="77777777" w:rsidR="00A211B6" w:rsidRDefault="00A211B6" w:rsidP="000362A5">
      <w:pPr>
        <w:spacing w:after="0" w:line="360" w:lineRule="auto"/>
        <w:ind w:left="851" w:hanging="851"/>
        <w:jc w:val="both"/>
        <w:rPr>
          <w:rFonts w:ascii="Arial" w:hAnsi="Arial" w:cs="Arial"/>
          <w:sz w:val="20"/>
          <w:szCs w:val="20"/>
        </w:rPr>
      </w:pPr>
      <w:r>
        <w:rPr>
          <w:rFonts w:ascii="Arial" w:hAnsi="Arial" w:cs="Arial"/>
          <w:b/>
          <w:bCs/>
          <w:sz w:val="20"/>
          <w:szCs w:val="20"/>
        </w:rPr>
        <w:tab/>
        <w:t xml:space="preserve">4. </w:t>
      </w:r>
      <w:r>
        <w:rPr>
          <w:rFonts w:ascii="Arial" w:hAnsi="Arial" w:cs="Arial"/>
          <w:sz w:val="20"/>
          <w:szCs w:val="20"/>
        </w:rPr>
        <w:t>(1)  If an organ of state decides</w:t>
      </w:r>
      <w:r w:rsidR="00005A07">
        <w:rPr>
          <w:rFonts w:ascii="Arial" w:hAnsi="Arial" w:cs="Arial"/>
          <w:sz w:val="20"/>
          <w:szCs w:val="20"/>
        </w:rPr>
        <w:t xml:space="preserve"> to apply pre-qualification criteria to advance certain</w:t>
      </w:r>
      <w:r w:rsidR="00337E8C">
        <w:rPr>
          <w:rFonts w:ascii="Arial" w:hAnsi="Arial" w:cs="Arial"/>
          <w:sz w:val="20"/>
          <w:szCs w:val="20"/>
        </w:rPr>
        <w:t xml:space="preserve"> designated groups, that organ of state must </w:t>
      </w:r>
      <w:r w:rsidR="001E7891">
        <w:rPr>
          <w:rFonts w:ascii="Arial" w:hAnsi="Arial" w:cs="Arial"/>
          <w:sz w:val="20"/>
          <w:szCs w:val="20"/>
        </w:rPr>
        <w:t>advertise the tender with specific</w:t>
      </w:r>
      <w:r w:rsidR="00432B01">
        <w:rPr>
          <w:rFonts w:ascii="Arial" w:hAnsi="Arial" w:cs="Arial"/>
          <w:sz w:val="20"/>
          <w:szCs w:val="20"/>
        </w:rPr>
        <w:t xml:space="preserve"> tendering</w:t>
      </w:r>
      <w:r w:rsidR="00592BBA">
        <w:rPr>
          <w:rFonts w:ascii="Arial" w:hAnsi="Arial" w:cs="Arial"/>
          <w:sz w:val="20"/>
          <w:szCs w:val="20"/>
        </w:rPr>
        <w:t xml:space="preserve"> condition</w:t>
      </w:r>
      <w:r w:rsidR="007E1F55">
        <w:rPr>
          <w:rFonts w:ascii="Arial" w:hAnsi="Arial" w:cs="Arial"/>
          <w:sz w:val="20"/>
          <w:szCs w:val="20"/>
        </w:rPr>
        <w:t xml:space="preserve"> that only one or more of the following tenders may respond</w:t>
      </w:r>
      <w:r w:rsidR="00F67207">
        <w:rPr>
          <w:rFonts w:ascii="Arial" w:hAnsi="Arial" w:cs="Arial"/>
          <w:sz w:val="20"/>
          <w:szCs w:val="20"/>
        </w:rPr>
        <w:t>-</w:t>
      </w:r>
    </w:p>
    <w:p w14:paraId="719812A8" w14:textId="77777777" w:rsidR="00F67207" w:rsidRDefault="00F67207" w:rsidP="000362A5">
      <w:pPr>
        <w:spacing w:after="0" w:line="360" w:lineRule="auto"/>
        <w:ind w:left="851" w:hanging="851"/>
        <w:jc w:val="both"/>
        <w:rPr>
          <w:rFonts w:ascii="Arial" w:hAnsi="Arial" w:cs="Arial"/>
          <w:sz w:val="20"/>
          <w:szCs w:val="20"/>
        </w:rPr>
      </w:pPr>
      <w:r>
        <w:rPr>
          <w:rFonts w:ascii="Arial" w:hAnsi="Arial" w:cs="Arial"/>
          <w:b/>
          <w:bCs/>
          <w:sz w:val="20"/>
          <w:szCs w:val="20"/>
        </w:rPr>
        <w:tab/>
      </w:r>
      <w:r>
        <w:rPr>
          <w:rFonts w:ascii="Arial" w:hAnsi="Arial" w:cs="Arial"/>
          <w:sz w:val="20"/>
          <w:szCs w:val="20"/>
        </w:rPr>
        <w:t>(a) a tenderer</w:t>
      </w:r>
      <w:r w:rsidR="003F77FE">
        <w:rPr>
          <w:rFonts w:ascii="Arial" w:hAnsi="Arial" w:cs="Arial"/>
          <w:sz w:val="20"/>
          <w:szCs w:val="20"/>
        </w:rPr>
        <w:t xml:space="preserve"> having a stipulated minimum B-BBEE status</w:t>
      </w:r>
      <w:r w:rsidR="00F039F5">
        <w:rPr>
          <w:rFonts w:ascii="Arial" w:hAnsi="Arial" w:cs="Arial"/>
          <w:sz w:val="20"/>
          <w:szCs w:val="20"/>
        </w:rPr>
        <w:t xml:space="preserve"> level of contributor;</w:t>
      </w:r>
    </w:p>
    <w:p w14:paraId="72109FEE" w14:textId="77777777" w:rsidR="00F039F5" w:rsidRDefault="00F039F5" w:rsidP="000362A5">
      <w:pPr>
        <w:spacing w:after="0" w:line="360" w:lineRule="auto"/>
        <w:ind w:left="851" w:hanging="851"/>
        <w:jc w:val="both"/>
        <w:rPr>
          <w:rFonts w:ascii="Arial" w:hAnsi="Arial" w:cs="Arial"/>
          <w:sz w:val="20"/>
          <w:szCs w:val="20"/>
        </w:rPr>
      </w:pPr>
      <w:r>
        <w:rPr>
          <w:rFonts w:ascii="Arial" w:hAnsi="Arial" w:cs="Arial"/>
          <w:sz w:val="20"/>
          <w:szCs w:val="20"/>
        </w:rPr>
        <w:tab/>
        <w:t>…..</w:t>
      </w:r>
    </w:p>
    <w:p w14:paraId="02D452B1" w14:textId="77777777" w:rsidR="00F039F5" w:rsidRDefault="00F039F5" w:rsidP="000362A5">
      <w:pPr>
        <w:spacing w:after="0" w:line="360" w:lineRule="auto"/>
        <w:ind w:left="851" w:hanging="851"/>
        <w:jc w:val="both"/>
        <w:rPr>
          <w:rFonts w:ascii="Arial" w:hAnsi="Arial" w:cs="Arial"/>
          <w:sz w:val="20"/>
          <w:szCs w:val="20"/>
        </w:rPr>
      </w:pPr>
      <w:r>
        <w:rPr>
          <w:rFonts w:ascii="Arial" w:hAnsi="Arial" w:cs="Arial"/>
          <w:sz w:val="20"/>
          <w:szCs w:val="20"/>
        </w:rPr>
        <w:tab/>
      </w:r>
      <w:r w:rsidR="00DC6D0E">
        <w:rPr>
          <w:rFonts w:ascii="Arial" w:hAnsi="Arial" w:cs="Arial"/>
          <w:sz w:val="20"/>
          <w:szCs w:val="20"/>
        </w:rPr>
        <w:t>(2) A tender that fails to meet the pre</w:t>
      </w:r>
      <w:r w:rsidR="001F35AE">
        <w:rPr>
          <w:rFonts w:ascii="Arial" w:hAnsi="Arial" w:cs="Arial"/>
          <w:sz w:val="20"/>
          <w:szCs w:val="20"/>
        </w:rPr>
        <w:t>-qualifying criteria stipulated in the tender documents</w:t>
      </w:r>
      <w:r w:rsidR="005D187B">
        <w:rPr>
          <w:rFonts w:ascii="Arial" w:hAnsi="Arial" w:cs="Arial"/>
          <w:sz w:val="20"/>
          <w:szCs w:val="20"/>
        </w:rPr>
        <w:t xml:space="preserve"> is an unacceptable tender.”</w:t>
      </w:r>
    </w:p>
    <w:p w14:paraId="26751310" w14:textId="77777777" w:rsidR="00716D6C" w:rsidRDefault="00716D6C" w:rsidP="000362A5">
      <w:pPr>
        <w:spacing w:after="0" w:line="360" w:lineRule="auto"/>
        <w:ind w:left="851" w:hanging="851"/>
        <w:jc w:val="both"/>
        <w:rPr>
          <w:rFonts w:ascii="Arial" w:hAnsi="Arial" w:cs="Arial"/>
          <w:sz w:val="20"/>
          <w:szCs w:val="20"/>
        </w:rPr>
      </w:pPr>
    </w:p>
    <w:p w14:paraId="74692095" w14:textId="77777777" w:rsidR="00716D6C" w:rsidRDefault="00716D6C" w:rsidP="000362A5">
      <w:pPr>
        <w:spacing w:after="0" w:line="360" w:lineRule="auto"/>
        <w:ind w:left="851" w:hanging="851"/>
        <w:jc w:val="both"/>
        <w:rPr>
          <w:rFonts w:ascii="Arial" w:hAnsi="Arial" w:cs="Arial"/>
          <w:sz w:val="24"/>
          <w:szCs w:val="24"/>
        </w:rPr>
      </w:pPr>
      <w:r>
        <w:rPr>
          <w:rFonts w:ascii="Arial" w:hAnsi="Arial" w:cs="Arial"/>
          <w:sz w:val="24"/>
          <w:szCs w:val="24"/>
        </w:rPr>
        <w:t>[2</w:t>
      </w:r>
      <w:r w:rsidR="005014E4">
        <w:rPr>
          <w:rFonts w:ascii="Arial" w:hAnsi="Arial" w:cs="Arial"/>
          <w:sz w:val="24"/>
          <w:szCs w:val="24"/>
        </w:rPr>
        <w:t>7</w:t>
      </w:r>
      <w:r>
        <w:rPr>
          <w:rFonts w:ascii="Arial" w:hAnsi="Arial" w:cs="Arial"/>
          <w:sz w:val="24"/>
          <w:szCs w:val="24"/>
        </w:rPr>
        <w:t>]</w:t>
      </w:r>
      <w:r>
        <w:rPr>
          <w:rFonts w:ascii="Arial" w:hAnsi="Arial" w:cs="Arial"/>
          <w:sz w:val="24"/>
          <w:szCs w:val="24"/>
        </w:rPr>
        <w:tab/>
      </w:r>
      <w:r w:rsidR="004C4BA5">
        <w:rPr>
          <w:rFonts w:ascii="Arial" w:hAnsi="Arial" w:cs="Arial"/>
          <w:sz w:val="24"/>
          <w:szCs w:val="24"/>
        </w:rPr>
        <w:t>The relevant portion of Regulation 9 reads as follows:</w:t>
      </w:r>
    </w:p>
    <w:p w14:paraId="0013E7D3" w14:textId="77777777" w:rsidR="004C4BA5" w:rsidRDefault="004C4BA5" w:rsidP="000362A5">
      <w:pPr>
        <w:spacing w:after="0" w:line="360" w:lineRule="auto"/>
        <w:ind w:left="851" w:hanging="851"/>
        <w:jc w:val="both"/>
        <w:rPr>
          <w:rFonts w:ascii="Arial" w:hAnsi="Arial" w:cs="Arial"/>
          <w:sz w:val="24"/>
          <w:szCs w:val="24"/>
        </w:rPr>
      </w:pPr>
    </w:p>
    <w:p w14:paraId="16B12827" w14:textId="77777777" w:rsidR="003D3C77" w:rsidRDefault="00D61B80" w:rsidP="000362A5">
      <w:pPr>
        <w:spacing w:after="0" w:line="360" w:lineRule="auto"/>
        <w:ind w:left="851" w:hanging="851"/>
        <w:jc w:val="both"/>
        <w:rPr>
          <w:rFonts w:ascii="Arial" w:hAnsi="Arial" w:cs="Arial"/>
          <w:b/>
          <w:bCs/>
          <w:sz w:val="20"/>
          <w:szCs w:val="20"/>
        </w:rPr>
      </w:pPr>
      <w:r>
        <w:rPr>
          <w:rFonts w:ascii="Arial" w:hAnsi="Arial" w:cs="Arial"/>
          <w:sz w:val="24"/>
          <w:szCs w:val="24"/>
        </w:rPr>
        <w:tab/>
        <w:t>“</w:t>
      </w:r>
      <w:r>
        <w:rPr>
          <w:rFonts w:ascii="Arial" w:hAnsi="Arial" w:cs="Arial"/>
          <w:b/>
          <w:bCs/>
          <w:sz w:val="20"/>
          <w:szCs w:val="20"/>
        </w:rPr>
        <w:t>Subcontracting as a condition of tende</w:t>
      </w:r>
      <w:r w:rsidR="003D3C77">
        <w:rPr>
          <w:rFonts w:ascii="Arial" w:hAnsi="Arial" w:cs="Arial"/>
          <w:b/>
          <w:bCs/>
          <w:sz w:val="20"/>
          <w:szCs w:val="20"/>
        </w:rPr>
        <w:t>r</w:t>
      </w:r>
    </w:p>
    <w:p w14:paraId="255E10E0" w14:textId="77777777" w:rsidR="003D3C77" w:rsidRDefault="003D3C77" w:rsidP="000362A5">
      <w:pPr>
        <w:spacing w:after="0" w:line="360" w:lineRule="auto"/>
        <w:ind w:left="851" w:hanging="851"/>
        <w:jc w:val="both"/>
        <w:rPr>
          <w:rFonts w:ascii="Arial" w:hAnsi="Arial" w:cs="Arial"/>
          <w:b/>
          <w:bCs/>
          <w:sz w:val="20"/>
          <w:szCs w:val="20"/>
        </w:rPr>
      </w:pPr>
    </w:p>
    <w:p w14:paraId="24BA250E" w14:textId="77777777" w:rsidR="00D2480B" w:rsidRDefault="003D3C77" w:rsidP="000362A5">
      <w:pPr>
        <w:spacing w:after="0" w:line="360" w:lineRule="auto"/>
        <w:ind w:left="851" w:hanging="851"/>
        <w:jc w:val="both"/>
        <w:rPr>
          <w:rFonts w:ascii="Arial" w:hAnsi="Arial" w:cs="Arial"/>
          <w:sz w:val="20"/>
          <w:szCs w:val="20"/>
        </w:rPr>
      </w:pPr>
      <w:r>
        <w:rPr>
          <w:rFonts w:ascii="Arial" w:hAnsi="Arial" w:cs="Arial"/>
          <w:b/>
          <w:bCs/>
          <w:sz w:val="20"/>
          <w:szCs w:val="20"/>
        </w:rPr>
        <w:tab/>
        <w:t>9.</w:t>
      </w:r>
      <w:r>
        <w:rPr>
          <w:rFonts w:ascii="Arial" w:hAnsi="Arial" w:cs="Arial"/>
          <w:sz w:val="20"/>
          <w:szCs w:val="20"/>
        </w:rPr>
        <w:t xml:space="preserve">(1) </w:t>
      </w:r>
      <w:r w:rsidR="00012A9C">
        <w:rPr>
          <w:rFonts w:ascii="Arial" w:hAnsi="Arial" w:cs="Arial"/>
          <w:sz w:val="20"/>
          <w:szCs w:val="20"/>
        </w:rPr>
        <w:t>If feasible to subcontract for a contract over R30 million</w:t>
      </w:r>
      <w:r w:rsidR="008E22C7">
        <w:rPr>
          <w:rFonts w:ascii="Arial" w:hAnsi="Arial" w:cs="Arial"/>
          <w:sz w:val="20"/>
          <w:szCs w:val="20"/>
        </w:rPr>
        <w:t>, an organ of state must apply subcontracting to advance designated groups</w:t>
      </w:r>
      <w:r w:rsidR="00552E6C">
        <w:rPr>
          <w:rFonts w:ascii="Arial" w:hAnsi="Arial" w:cs="Arial"/>
          <w:sz w:val="20"/>
          <w:szCs w:val="20"/>
        </w:rPr>
        <w:t>.</w:t>
      </w:r>
      <w:r w:rsidR="00876A9B">
        <w:rPr>
          <w:rFonts w:ascii="Arial" w:hAnsi="Arial" w:cs="Arial"/>
          <w:sz w:val="20"/>
          <w:szCs w:val="20"/>
        </w:rPr>
        <w:t>”</w:t>
      </w:r>
    </w:p>
    <w:p w14:paraId="142C5CE2" w14:textId="77777777" w:rsidR="00D2480B" w:rsidRDefault="00D2480B" w:rsidP="000362A5">
      <w:pPr>
        <w:spacing w:after="0" w:line="360" w:lineRule="auto"/>
        <w:ind w:left="851" w:hanging="851"/>
        <w:jc w:val="both"/>
        <w:rPr>
          <w:rFonts w:ascii="Arial" w:hAnsi="Arial" w:cs="Arial"/>
          <w:b/>
          <w:bCs/>
          <w:sz w:val="20"/>
          <w:szCs w:val="20"/>
        </w:rPr>
      </w:pPr>
    </w:p>
    <w:p w14:paraId="04F418EE" w14:textId="77777777" w:rsidR="004C4BA5" w:rsidRPr="009E7FC2" w:rsidRDefault="00341496" w:rsidP="009C6225">
      <w:pPr>
        <w:spacing w:after="0" w:line="360" w:lineRule="auto"/>
        <w:ind w:left="851" w:hanging="851"/>
        <w:jc w:val="both"/>
        <w:rPr>
          <w:rFonts w:ascii="Arial" w:hAnsi="Arial" w:cs="Arial"/>
          <w:sz w:val="20"/>
          <w:szCs w:val="20"/>
        </w:rPr>
      </w:pPr>
      <w:r>
        <w:rPr>
          <w:rFonts w:ascii="Arial" w:hAnsi="Arial" w:cs="Arial"/>
          <w:sz w:val="24"/>
          <w:szCs w:val="24"/>
        </w:rPr>
        <w:t>[2</w:t>
      </w:r>
      <w:r w:rsidR="005014E4">
        <w:rPr>
          <w:rFonts w:ascii="Arial" w:hAnsi="Arial" w:cs="Arial"/>
          <w:sz w:val="24"/>
          <w:szCs w:val="24"/>
        </w:rPr>
        <w:t>8</w:t>
      </w:r>
      <w:r>
        <w:rPr>
          <w:rFonts w:ascii="Arial" w:hAnsi="Arial" w:cs="Arial"/>
          <w:sz w:val="24"/>
          <w:szCs w:val="24"/>
        </w:rPr>
        <w:t>]</w:t>
      </w:r>
      <w:r>
        <w:rPr>
          <w:rFonts w:ascii="Arial" w:hAnsi="Arial" w:cs="Arial"/>
          <w:sz w:val="24"/>
          <w:szCs w:val="24"/>
        </w:rPr>
        <w:tab/>
      </w:r>
      <w:r w:rsidR="00007164">
        <w:rPr>
          <w:rFonts w:ascii="Arial" w:hAnsi="Arial" w:cs="Arial"/>
          <w:sz w:val="24"/>
          <w:szCs w:val="24"/>
        </w:rPr>
        <w:t>In the</w:t>
      </w:r>
      <w:r w:rsidR="0017415E">
        <w:rPr>
          <w:rFonts w:ascii="Arial" w:hAnsi="Arial" w:cs="Arial"/>
          <w:sz w:val="24"/>
          <w:szCs w:val="24"/>
        </w:rPr>
        <w:t xml:space="preserve"> applicant’s papers there is an affidavit by the applicant</w:t>
      </w:r>
      <w:r w:rsidR="000E7847">
        <w:rPr>
          <w:rFonts w:ascii="Arial" w:hAnsi="Arial" w:cs="Arial"/>
          <w:sz w:val="24"/>
          <w:szCs w:val="24"/>
        </w:rPr>
        <w:t xml:space="preserve">’s business development </w:t>
      </w:r>
      <w:r w:rsidR="00A90365">
        <w:rPr>
          <w:rFonts w:ascii="Arial" w:hAnsi="Arial" w:cs="Arial"/>
          <w:sz w:val="24"/>
          <w:szCs w:val="24"/>
        </w:rPr>
        <w:t>manager, Mr</w:t>
      </w:r>
      <w:r w:rsidR="000E7847">
        <w:rPr>
          <w:rFonts w:ascii="Arial" w:hAnsi="Arial" w:cs="Arial"/>
          <w:sz w:val="24"/>
          <w:szCs w:val="24"/>
        </w:rPr>
        <w:t xml:space="preserve"> Maluleke.</w:t>
      </w:r>
      <w:r w:rsidR="00A90365">
        <w:rPr>
          <w:rFonts w:ascii="Arial" w:hAnsi="Arial" w:cs="Arial"/>
          <w:sz w:val="24"/>
          <w:szCs w:val="24"/>
        </w:rPr>
        <w:t xml:space="preserve"> </w:t>
      </w:r>
      <w:r w:rsidR="00D25AAF">
        <w:rPr>
          <w:rFonts w:ascii="Arial" w:hAnsi="Arial" w:cs="Arial"/>
          <w:sz w:val="24"/>
          <w:szCs w:val="24"/>
        </w:rPr>
        <w:t xml:space="preserve">In this affidavit he alleges that he contacted Mr </w:t>
      </w:r>
      <w:r w:rsidR="00A90365">
        <w:rPr>
          <w:rFonts w:ascii="Arial" w:hAnsi="Arial" w:cs="Arial"/>
          <w:sz w:val="24"/>
          <w:szCs w:val="24"/>
        </w:rPr>
        <w:t>Ndaba, who</w:t>
      </w:r>
      <w:r w:rsidR="0010490B">
        <w:rPr>
          <w:rFonts w:ascii="Arial" w:hAnsi="Arial" w:cs="Arial"/>
          <w:sz w:val="24"/>
          <w:szCs w:val="24"/>
        </w:rPr>
        <w:t xml:space="preserve"> </w:t>
      </w:r>
      <w:r w:rsidR="00B74B39">
        <w:rPr>
          <w:rFonts w:ascii="Arial" w:hAnsi="Arial" w:cs="Arial"/>
          <w:sz w:val="24"/>
          <w:szCs w:val="24"/>
        </w:rPr>
        <w:t xml:space="preserve">was </w:t>
      </w:r>
      <w:r w:rsidR="0010490B">
        <w:rPr>
          <w:rFonts w:ascii="Arial" w:hAnsi="Arial" w:cs="Arial"/>
          <w:sz w:val="24"/>
          <w:szCs w:val="24"/>
        </w:rPr>
        <w:t>the</w:t>
      </w:r>
      <w:r w:rsidR="00B74B39">
        <w:rPr>
          <w:rFonts w:ascii="Arial" w:hAnsi="Arial" w:cs="Arial"/>
          <w:sz w:val="24"/>
          <w:szCs w:val="24"/>
        </w:rPr>
        <w:t xml:space="preserve"> Project Manager </w:t>
      </w:r>
      <w:r w:rsidR="0036728F">
        <w:rPr>
          <w:rFonts w:ascii="Arial" w:hAnsi="Arial" w:cs="Arial"/>
          <w:sz w:val="24"/>
          <w:szCs w:val="24"/>
        </w:rPr>
        <w:t xml:space="preserve">of the project and </w:t>
      </w:r>
      <w:r w:rsidR="00D17EEF" w:rsidRPr="00A90365">
        <w:rPr>
          <w:rFonts w:ascii="Arial" w:hAnsi="Arial" w:cs="Arial"/>
          <w:color w:val="FF0000"/>
          <w:sz w:val="24"/>
          <w:szCs w:val="24"/>
        </w:rPr>
        <w:t>he</w:t>
      </w:r>
      <w:r w:rsidR="00582EA5">
        <w:rPr>
          <w:rFonts w:ascii="Arial" w:hAnsi="Arial" w:cs="Arial"/>
          <w:sz w:val="24"/>
          <w:szCs w:val="24"/>
        </w:rPr>
        <w:t xml:space="preserve"> was employed by</w:t>
      </w:r>
      <w:r w:rsidR="00B74B39">
        <w:rPr>
          <w:rFonts w:ascii="Arial" w:hAnsi="Arial" w:cs="Arial"/>
          <w:sz w:val="24"/>
          <w:szCs w:val="24"/>
        </w:rPr>
        <w:t xml:space="preserve"> the Free State</w:t>
      </w:r>
      <w:r w:rsidR="00582EA5">
        <w:rPr>
          <w:rFonts w:ascii="Arial" w:hAnsi="Arial" w:cs="Arial"/>
          <w:sz w:val="24"/>
          <w:szCs w:val="24"/>
        </w:rPr>
        <w:t xml:space="preserve"> Department of </w:t>
      </w:r>
      <w:r w:rsidR="00A90365">
        <w:rPr>
          <w:rFonts w:ascii="Arial" w:hAnsi="Arial" w:cs="Arial"/>
          <w:sz w:val="24"/>
          <w:szCs w:val="24"/>
        </w:rPr>
        <w:t>Police, Roads</w:t>
      </w:r>
      <w:r w:rsidR="00582EA5">
        <w:rPr>
          <w:rFonts w:ascii="Arial" w:hAnsi="Arial" w:cs="Arial"/>
          <w:sz w:val="24"/>
          <w:szCs w:val="24"/>
        </w:rPr>
        <w:t xml:space="preserve"> and Transport</w:t>
      </w:r>
      <w:r w:rsidR="00D327CC">
        <w:rPr>
          <w:rFonts w:ascii="Arial" w:hAnsi="Arial" w:cs="Arial"/>
          <w:sz w:val="24"/>
          <w:szCs w:val="24"/>
        </w:rPr>
        <w:t>.</w:t>
      </w:r>
      <w:r w:rsidR="00574DAA">
        <w:rPr>
          <w:rFonts w:ascii="Arial" w:hAnsi="Arial" w:cs="Arial"/>
          <w:sz w:val="24"/>
          <w:szCs w:val="24"/>
        </w:rPr>
        <w:t xml:space="preserve">  </w:t>
      </w:r>
      <w:r w:rsidR="00A16386">
        <w:rPr>
          <w:rFonts w:ascii="Arial" w:hAnsi="Arial" w:cs="Arial"/>
          <w:sz w:val="24"/>
          <w:szCs w:val="24"/>
        </w:rPr>
        <w:t xml:space="preserve">The </w:t>
      </w:r>
      <w:r w:rsidR="00A16386">
        <w:rPr>
          <w:rFonts w:ascii="Arial" w:hAnsi="Arial" w:cs="Arial"/>
          <w:sz w:val="24"/>
          <w:szCs w:val="24"/>
        </w:rPr>
        <w:lastRenderedPageBreak/>
        <w:t>reason why he contacted him was to</w:t>
      </w:r>
      <w:r w:rsidR="00F5653F">
        <w:rPr>
          <w:rFonts w:ascii="Arial" w:hAnsi="Arial" w:cs="Arial"/>
          <w:sz w:val="24"/>
          <w:szCs w:val="24"/>
        </w:rPr>
        <w:t xml:space="preserve"> get clarity about the sub-contracting.</w:t>
      </w:r>
      <w:r w:rsidR="00476452">
        <w:rPr>
          <w:rStyle w:val="FootnoteReference"/>
          <w:rFonts w:ascii="Arial" w:hAnsi="Arial" w:cs="Arial"/>
          <w:sz w:val="24"/>
          <w:szCs w:val="24"/>
        </w:rPr>
        <w:footnoteReference w:id="15"/>
      </w:r>
      <w:r w:rsidR="0017503C">
        <w:rPr>
          <w:rFonts w:ascii="Arial" w:hAnsi="Arial" w:cs="Arial"/>
          <w:sz w:val="24"/>
          <w:szCs w:val="24"/>
        </w:rPr>
        <w:t xml:space="preserve">  According to him,  Mr Ndaba</w:t>
      </w:r>
      <w:r w:rsidR="002A7B7F">
        <w:rPr>
          <w:rFonts w:ascii="Arial" w:hAnsi="Arial" w:cs="Arial"/>
          <w:sz w:val="24"/>
          <w:szCs w:val="24"/>
        </w:rPr>
        <w:t xml:space="preserve"> told him that applicant need not</w:t>
      </w:r>
      <w:r w:rsidR="00246E7A">
        <w:rPr>
          <w:rFonts w:ascii="Arial" w:hAnsi="Arial" w:cs="Arial"/>
          <w:sz w:val="24"/>
          <w:szCs w:val="24"/>
        </w:rPr>
        <w:t xml:space="preserve"> deal with the sub-contracting,  as</w:t>
      </w:r>
      <w:r w:rsidR="008A0FAC">
        <w:rPr>
          <w:rFonts w:ascii="Arial" w:hAnsi="Arial" w:cs="Arial"/>
          <w:sz w:val="24"/>
          <w:szCs w:val="24"/>
        </w:rPr>
        <w:t xml:space="preserve"> that will be done</w:t>
      </w:r>
      <w:r w:rsidR="00746FC3">
        <w:rPr>
          <w:rFonts w:ascii="Arial" w:hAnsi="Arial" w:cs="Arial"/>
          <w:sz w:val="24"/>
          <w:szCs w:val="24"/>
        </w:rPr>
        <w:t xml:space="preserve"> with the successful tenderer</w:t>
      </w:r>
      <w:r w:rsidR="00496849">
        <w:rPr>
          <w:rFonts w:ascii="Arial" w:hAnsi="Arial" w:cs="Arial"/>
          <w:sz w:val="24"/>
          <w:szCs w:val="24"/>
        </w:rPr>
        <w:t xml:space="preserve">,  once </w:t>
      </w:r>
      <w:r w:rsidR="004A08F7">
        <w:rPr>
          <w:rFonts w:ascii="Arial" w:hAnsi="Arial" w:cs="Arial"/>
          <w:sz w:val="24"/>
          <w:szCs w:val="24"/>
        </w:rPr>
        <w:t>the tender</w:t>
      </w:r>
      <w:r w:rsidR="00496849">
        <w:rPr>
          <w:rFonts w:ascii="Arial" w:hAnsi="Arial" w:cs="Arial"/>
          <w:sz w:val="24"/>
          <w:szCs w:val="24"/>
        </w:rPr>
        <w:t xml:space="preserve"> has been awarded. </w:t>
      </w:r>
      <w:r w:rsidR="00746FC3">
        <w:rPr>
          <w:rFonts w:ascii="Arial" w:hAnsi="Arial" w:cs="Arial"/>
          <w:sz w:val="24"/>
          <w:szCs w:val="24"/>
        </w:rPr>
        <w:t xml:space="preserve"> </w:t>
      </w:r>
      <w:r w:rsidR="00D61B80">
        <w:rPr>
          <w:rFonts w:ascii="Arial" w:hAnsi="Arial" w:cs="Arial"/>
          <w:b/>
          <w:bCs/>
          <w:sz w:val="20"/>
          <w:szCs w:val="20"/>
        </w:rPr>
        <w:t xml:space="preserve"> </w:t>
      </w:r>
      <w:r w:rsidR="000B0853">
        <w:rPr>
          <w:rFonts w:ascii="Arial" w:hAnsi="Arial" w:cs="Arial"/>
          <w:sz w:val="24"/>
          <w:szCs w:val="24"/>
        </w:rPr>
        <w:t>In opposing the application, the first respondent filed an affidavit by Mr Ndaba.</w:t>
      </w:r>
      <w:r w:rsidR="00B74552">
        <w:rPr>
          <w:rFonts w:ascii="Arial" w:hAnsi="Arial" w:cs="Arial"/>
          <w:sz w:val="24"/>
          <w:szCs w:val="24"/>
        </w:rPr>
        <w:t xml:space="preserve">  In this affidavit,  Mr Ndaba then denied that he ever</w:t>
      </w:r>
      <w:r w:rsidR="00D27257">
        <w:rPr>
          <w:rFonts w:ascii="Arial" w:hAnsi="Arial" w:cs="Arial"/>
          <w:sz w:val="24"/>
          <w:szCs w:val="24"/>
        </w:rPr>
        <w:t xml:space="preserve"> said that sub-contracting was</w:t>
      </w:r>
      <w:r w:rsidR="00FF41FF">
        <w:rPr>
          <w:rFonts w:ascii="Arial" w:hAnsi="Arial" w:cs="Arial"/>
          <w:sz w:val="24"/>
          <w:szCs w:val="24"/>
        </w:rPr>
        <w:t xml:space="preserve"> not an issue or that sub-contracting will be discussed</w:t>
      </w:r>
      <w:r w:rsidR="00D86E51">
        <w:rPr>
          <w:rFonts w:ascii="Arial" w:hAnsi="Arial" w:cs="Arial"/>
          <w:sz w:val="24"/>
          <w:szCs w:val="24"/>
        </w:rPr>
        <w:t xml:space="preserve"> at a later stage with the successful tenderer.</w:t>
      </w:r>
      <w:r w:rsidR="00DD1F70">
        <w:rPr>
          <w:rStyle w:val="FootnoteReference"/>
          <w:rFonts w:ascii="Arial" w:hAnsi="Arial" w:cs="Arial"/>
          <w:sz w:val="24"/>
          <w:szCs w:val="24"/>
        </w:rPr>
        <w:footnoteReference w:id="16"/>
      </w:r>
      <w:r w:rsidR="00E472F8">
        <w:rPr>
          <w:rFonts w:ascii="Arial" w:hAnsi="Arial" w:cs="Arial"/>
          <w:sz w:val="24"/>
          <w:szCs w:val="24"/>
        </w:rPr>
        <w:t xml:space="preserve">  There is thus a substantial factual dispute</w:t>
      </w:r>
      <w:r w:rsidR="00873896">
        <w:rPr>
          <w:rFonts w:ascii="Arial" w:hAnsi="Arial" w:cs="Arial"/>
          <w:sz w:val="24"/>
          <w:szCs w:val="24"/>
        </w:rPr>
        <w:t xml:space="preserve"> between the applicant and the first respondent on this aspect.</w:t>
      </w:r>
    </w:p>
    <w:p w14:paraId="236D193C" w14:textId="77777777" w:rsidR="0075479C" w:rsidRPr="00F51449" w:rsidRDefault="0075479C" w:rsidP="00F51449">
      <w:pPr>
        <w:widowControl w:val="0"/>
        <w:autoSpaceDE w:val="0"/>
        <w:autoSpaceDN w:val="0"/>
        <w:adjustRightInd w:val="0"/>
        <w:spacing w:after="0" w:line="360" w:lineRule="auto"/>
        <w:jc w:val="both"/>
        <w:rPr>
          <w:rFonts w:ascii="Arial" w:hAnsi="Arial" w:cs="Arial"/>
          <w:b/>
          <w:bCs/>
          <w:sz w:val="24"/>
          <w:szCs w:val="24"/>
        </w:rPr>
      </w:pPr>
    </w:p>
    <w:p w14:paraId="2B6DE42C" w14:textId="77777777" w:rsidR="00B1453F" w:rsidRPr="00F51449" w:rsidRDefault="00AA24BB" w:rsidP="00F51449">
      <w:pPr>
        <w:widowControl w:val="0"/>
        <w:autoSpaceDE w:val="0"/>
        <w:autoSpaceDN w:val="0"/>
        <w:adjustRightInd w:val="0"/>
        <w:spacing w:after="0" w:line="360" w:lineRule="auto"/>
        <w:jc w:val="both"/>
        <w:rPr>
          <w:rFonts w:ascii="Arial" w:hAnsi="Arial" w:cs="Arial"/>
          <w:b/>
          <w:bCs/>
          <w:sz w:val="24"/>
          <w:szCs w:val="24"/>
        </w:rPr>
      </w:pPr>
      <w:r>
        <w:rPr>
          <w:rFonts w:ascii="Arial" w:hAnsi="Arial" w:cs="Arial"/>
          <w:b/>
          <w:bCs/>
          <w:sz w:val="24"/>
          <w:szCs w:val="24"/>
        </w:rPr>
        <w:t>V</w:t>
      </w:r>
      <w:r w:rsidR="00D44C63">
        <w:rPr>
          <w:rFonts w:ascii="Arial" w:hAnsi="Arial" w:cs="Arial"/>
          <w:b/>
          <w:bCs/>
          <w:sz w:val="24"/>
          <w:szCs w:val="24"/>
        </w:rPr>
        <w:t xml:space="preserve">I  </w:t>
      </w:r>
      <w:r w:rsidR="00B1453F" w:rsidRPr="00F51449">
        <w:rPr>
          <w:rFonts w:ascii="Arial" w:hAnsi="Arial" w:cs="Arial"/>
          <w:b/>
          <w:bCs/>
          <w:sz w:val="24"/>
          <w:szCs w:val="24"/>
        </w:rPr>
        <w:t xml:space="preserve">THE APPLICANT’S CASE </w:t>
      </w:r>
    </w:p>
    <w:p w14:paraId="31D72980" w14:textId="77777777" w:rsidR="00B1453F" w:rsidRPr="00F51449" w:rsidRDefault="00B1453F" w:rsidP="00F51449">
      <w:pPr>
        <w:widowControl w:val="0"/>
        <w:autoSpaceDE w:val="0"/>
        <w:autoSpaceDN w:val="0"/>
        <w:adjustRightInd w:val="0"/>
        <w:spacing w:after="0" w:line="360" w:lineRule="auto"/>
        <w:jc w:val="both"/>
        <w:rPr>
          <w:rFonts w:ascii="Arial" w:hAnsi="Arial" w:cs="Arial"/>
          <w:bCs/>
          <w:sz w:val="24"/>
          <w:szCs w:val="24"/>
        </w:rPr>
      </w:pPr>
    </w:p>
    <w:p w14:paraId="265FF236" w14:textId="66417995" w:rsidR="00B1453F" w:rsidRPr="00F51449" w:rsidRDefault="004346C1" w:rsidP="00F51449">
      <w:pPr>
        <w:widowControl w:val="0"/>
        <w:autoSpaceDE w:val="0"/>
        <w:autoSpaceDN w:val="0"/>
        <w:adjustRightInd w:val="0"/>
        <w:spacing w:after="0" w:line="360" w:lineRule="auto"/>
        <w:ind w:left="720" w:hanging="720"/>
        <w:jc w:val="both"/>
        <w:rPr>
          <w:rFonts w:ascii="Arial" w:hAnsi="Arial" w:cs="Arial"/>
          <w:bCs/>
          <w:sz w:val="24"/>
          <w:szCs w:val="24"/>
        </w:rPr>
      </w:pPr>
      <w:r w:rsidRPr="00F51449">
        <w:rPr>
          <w:rFonts w:ascii="Arial" w:hAnsi="Arial" w:cs="Arial"/>
          <w:bCs/>
          <w:sz w:val="24"/>
          <w:szCs w:val="24"/>
        </w:rPr>
        <w:t>[</w:t>
      </w:r>
      <w:r w:rsidR="00C606EC">
        <w:rPr>
          <w:rFonts w:ascii="Arial" w:hAnsi="Arial" w:cs="Arial"/>
          <w:bCs/>
          <w:sz w:val="24"/>
          <w:szCs w:val="24"/>
        </w:rPr>
        <w:t>2</w:t>
      </w:r>
      <w:r w:rsidR="005014E4">
        <w:rPr>
          <w:rFonts w:ascii="Arial" w:hAnsi="Arial" w:cs="Arial"/>
          <w:bCs/>
          <w:sz w:val="24"/>
          <w:szCs w:val="24"/>
        </w:rPr>
        <w:t>9</w:t>
      </w:r>
      <w:r w:rsidR="00B1453F" w:rsidRPr="00F51449">
        <w:rPr>
          <w:rFonts w:ascii="Arial" w:hAnsi="Arial" w:cs="Arial"/>
          <w:bCs/>
          <w:sz w:val="24"/>
          <w:szCs w:val="24"/>
        </w:rPr>
        <w:t>]</w:t>
      </w:r>
      <w:r w:rsidR="00B1453F" w:rsidRPr="00F51449">
        <w:rPr>
          <w:rFonts w:ascii="Arial" w:hAnsi="Arial" w:cs="Arial"/>
          <w:bCs/>
          <w:sz w:val="24"/>
          <w:szCs w:val="24"/>
        </w:rPr>
        <w:tab/>
        <w:t>The applicant</w:t>
      </w:r>
      <w:r w:rsidR="00587862">
        <w:rPr>
          <w:rFonts w:ascii="Arial" w:hAnsi="Arial" w:cs="Arial"/>
          <w:bCs/>
          <w:sz w:val="24"/>
          <w:szCs w:val="24"/>
        </w:rPr>
        <w:t>’s case in essence was that</w:t>
      </w:r>
      <w:r w:rsidR="00ED746B">
        <w:rPr>
          <w:rFonts w:ascii="Arial" w:hAnsi="Arial" w:cs="Arial"/>
          <w:bCs/>
          <w:sz w:val="24"/>
          <w:szCs w:val="24"/>
        </w:rPr>
        <w:t xml:space="preserve"> it should have been awarded the tender</w:t>
      </w:r>
      <w:r w:rsidR="00F031F2">
        <w:rPr>
          <w:rFonts w:ascii="Arial" w:hAnsi="Arial" w:cs="Arial"/>
          <w:bCs/>
          <w:sz w:val="24"/>
          <w:szCs w:val="24"/>
        </w:rPr>
        <w:t xml:space="preserve">. </w:t>
      </w:r>
      <w:r w:rsidR="004D77D7">
        <w:rPr>
          <w:rFonts w:ascii="Arial" w:hAnsi="Arial" w:cs="Arial"/>
          <w:bCs/>
          <w:sz w:val="24"/>
          <w:szCs w:val="24"/>
        </w:rPr>
        <w:t>It submitted that</w:t>
      </w:r>
      <w:r w:rsidR="00A943E1" w:rsidRPr="00A90365">
        <w:rPr>
          <w:rFonts w:ascii="Arial" w:hAnsi="Arial" w:cs="Arial"/>
          <w:bCs/>
          <w:color w:val="FF0000"/>
          <w:sz w:val="24"/>
          <w:szCs w:val="24"/>
        </w:rPr>
        <w:t xml:space="preserve"> </w:t>
      </w:r>
      <w:r w:rsidR="00191A87">
        <w:rPr>
          <w:rFonts w:ascii="Arial" w:hAnsi="Arial" w:cs="Arial"/>
          <w:bCs/>
          <w:sz w:val="24"/>
          <w:szCs w:val="24"/>
        </w:rPr>
        <w:t xml:space="preserve">its </w:t>
      </w:r>
      <w:r w:rsidR="00A943E1">
        <w:rPr>
          <w:rFonts w:ascii="Arial" w:hAnsi="Arial" w:cs="Arial"/>
          <w:bCs/>
          <w:sz w:val="24"/>
          <w:szCs w:val="24"/>
        </w:rPr>
        <w:t>t</w:t>
      </w:r>
      <w:r w:rsidR="00191A87">
        <w:rPr>
          <w:rFonts w:ascii="Arial" w:hAnsi="Arial" w:cs="Arial"/>
          <w:bCs/>
          <w:sz w:val="24"/>
          <w:szCs w:val="24"/>
        </w:rPr>
        <w:t>ender</w:t>
      </w:r>
      <w:r w:rsidR="00A943E1">
        <w:rPr>
          <w:rFonts w:ascii="Arial" w:hAnsi="Arial" w:cs="Arial"/>
          <w:bCs/>
          <w:sz w:val="24"/>
          <w:szCs w:val="24"/>
        </w:rPr>
        <w:t xml:space="preserve"> was responsive and</w:t>
      </w:r>
      <w:r w:rsidR="004D77D7">
        <w:rPr>
          <w:rFonts w:ascii="Arial" w:hAnsi="Arial" w:cs="Arial"/>
          <w:bCs/>
          <w:sz w:val="24"/>
          <w:szCs w:val="24"/>
        </w:rPr>
        <w:t xml:space="preserve"> it should have scored the highest points</w:t>
      </w:r>
      <w:r w:rsidR="00C04743">
        <w:rPr>
          <w:rFonts w:ascii="Arial" w:hAnsi="Arial" w:cs="Arial"/>
          <w:bCs/>
          <w:sz w:val="24"/>
          <w:szCs w:val="24"/>
        </w:rPr>
        <w:t xml:space="preserve"> based on price</w:t>
      </w:r>
      <w:r w:rsidR="00A90365">
        <w:rPr>
          <w:rFonts w:ascii="Arial" w:hAnsi="Arial" w:cs="Arial"/>
          <w:bCs/>
          <w:sz w:val="24"/>
          <w:szCs w:val="24"/>
        </w:rPr>
        <w:t xml:space="preserve"> </w:t>
      </w:r>
      <w:r w:rsidR="00095B2E">
        <w:rPr>
          <w:rFonts w:ascii="Arial" w:hAnsi="Arial" w:cs="Arial"/>
          <w:bCs/>
          <w:sz w:val="24"/>
          <w:szCs w:val="24"/>
        </w:rPr>
        <w:t xml:space="preserve">(the lowest) </w:t>
      </w:r>
      <w:r w:rsidR="00C04743">
        <w:rPr>
          <w:rFonts w:ascii="Arial" w:hAnsi="Arial" w:cs="Arial"/>
          <w:bCs/>
          <w:sz w:val="24"/>
          <w:szCs w:val="24"/>
        </w:rPr>
        <w:t>and B-BBEE.</w:t>
      </w:r>
    </w:p>
    <w:p w14:paraId="49DBCBDF" w14:textId="77777777" w:rsidR="00FC6FE4" w:rsidRPr="00F51449" w:rsidRDefault="00FC6FE4" w:rsidP="00F51449">
      <w:pPr>
        <w:widowControl w:val="0"/>
        <w:autoSpaceDE w:val="0"/>
        <w:autoSpaceDN w:val="0"/>
        <w:adjustRightInd w:val="0"/>
        <w:spacing w:after="0" w:line="360" w:lineRule="auto"/>
        <w:ind w:left="720" w:hanging="720"/>
        <w:jc w:val="both"/>
        <w:rPr>
          <w:rFonts w:ascii="Arial" w:hAnsi="Arial" w:cs="Arial"/>
          <w:bCs/>
          <w:sz w:val="24"/>
          <w:szCs w:val="24"/>
        </w:rPr>
      </w:pPr>
    </w:p>
    <w:p w14:paraId="10290414" w14:textId="77777777" w:rsidR="00FC6FE4" w:rsidRPr="00F51449" w:rsidRDefault="00AC5C67" w:rsidP="00AC5C67">
      <w:pPr>
        <w:widowControl w:val="0"/>
        <w:autoSpaceDE w:val="0"/>
        <w:autoSpaceDN w:val="0"/>
        <w:adjustRightInd w:val="0"/>
        <w:spacing w:after="0" w:line="360" w:lineRule="auto"/>
        <w:ind w:left="709" w:hanging="709"/>
        <w:jc w:val="both"/>
        <w:rPr>
          <w:rFonts w:ascii="Arial" w:hAnsi="Arial" w:cs="Arial"/>
          <w:bCs/>
          <w:sz w:val="24"/>
          <w:szCs w:val="24"/>
        </w:rPr>
      </w:pPr>
      <w:r>
        <w:rPr>
          <w:rFonts w:ascii="Arial" w:hAnsi="Arial" w:cs="Arial"/>
          <w:bCs/>
          <w:sz w:val="24"/>
          <w:szCs w:val="24"/>
        </w:rPr>
        <w:t>[</w:t>
      </w:r>
      <w:r w:rsidR="005014E4">
        <w:rPr>
          <w:rFonts w:ascii="Arial" w:hAnsi="Arial" w:cs="Arial"/>
          <w:bCs/>
          <w:sz w:val="24"/>
          <w:szCs w:val="24"/>
        </w:rPr>
        <w:t>30</w:t>
      </w:r>
      <w:r>
        <w:rPr>
          <w:rFonts w:ascii="Arial" w:hAnsi="Arial" w:cs="Arial"/>
          <w:bCs/>
          <w:sz w:val="24"/>
          <w:szCs w:val="24"/>
        </w:rPr>
        <w:t>]</w:t>
      </w:r>
      <w:r>
        <w:rPr>
          <w:rFonts w:ascii="Arial" w:hAnsi="Arial" w:cs="Arial"/>
          <w:bCs/>
          <w:sz w:val="24"/>
          <w:szCs w:val="24"/>
        </w:rPr>
        <w:tab/>
      </w:r>
      <w:r w:rsidR="00466F54">
        <w:rPr>
          <w:rFonts w:ascii="Arial" w:hAnsi="Arial" w:cs="Arial"/>
          <w:bCs/>
          <w:sz w:val="24"/>
          <w:szCs w:val="24"/>
        </w:rPr>
        <w:t>First respondent</w:t>
      </w:r>
      <w:r w:rsidR="007D6D73">
        <w:rPr>
          <w:rFonts w:ascii="Arial" w:hAnsi="Arial" w:cs="Arial"/>
          <w:bCs/>
          <w:sz w:val="24"/>
          <w:szCs w:val="24"/>
        </w:rPr>
        <w:t>,</w:t>
      </w:r>
      <w:r w:rsidR="00466F54">
        <w:rPr>
          <w:rFonts w:ascii="Arial" w:hAnsi="Arial" w:cs="Arial"/>
          <w:bCs/>
          <w:sz w:val="24"/>
          <w:szCs w:val="24"/>
        </w:rPr>
        <w:t xml:space="preserve"> i</w:t>
      </w:r>
      <w:r w:rsidR="00DC6000">
        <w:rPr>
          <w:rFonts w:ascii="Arial" w:hAnsi="Arial" w:cs="Arial"/>
          <w:bCs/>
          <w:sz w:val="24"/>
          <w:szCs w:val="24"/>
        </w:rPr>
        <w:t>n discarding</w:t>
      </w:r>
      <w:r w:rsidR="00184679" w:rsidRPr="00F51449">
        <w:rPr>
          <w:rFonts w:ascii="Arial" w:hAnsi="Arial" w:cs="Arial"/>
          <w:bCs/>
          <w:sz w:val="24"/>
          <w:szCs w:val="24"/>
        </w:rPr>
        <w:t xml:space="preserve"> </w:t>
      </w:r>
      <w:r w:rsidR="00DC6000">
        <w:rPr>
          <w:rFonts w:ascii="Arial" w:hAnsi="Arial" w:cs="Arial"/>
          <w:bCs/>
          <w:sz w:val="24"/>
          <w:szCs w:val="24"/>
        </w:rPr>
        <w:t>the applicant’s</w:t>
      </w:r>
      <w:r w:rsidR="00184679" w:rsidRPr="00F51449">
        <w:rPr>
          <w:rFonts w:ascii="Arial" w:hAnsi="Arial" w:cs="Arial"/>
          <w:bCs/>
          <w:sz w:val="24"/>
          <w:szCs w:val="24"/>
        </w:rPr>
        <w:t xml:space="preserve"> tender </w:t>
      </w:r>
      <w:r w:rsidR="009B0159">
        <w:rPr>
          <w:rFonts w:ascii="Arial" w:hAnsi="Arial" w:cs="Arial"/>
          <w:bCs/>
          <w:sz w:val="24"/>
          <w:szCs w:val="24"/>
        </w:rPr>
        <w:t xml:space="preserve">and </w:t>
      </w:r>
      <w:r w:rsidR="00184679" w:rsidRPr="00F51449">
        <w:rPr>
          <w:rFonts w:ascii="Arial" w:hAnsi="Arial" w:cs="Arial"/>
          <w:bCs/>
          <w:sz w:val="24"/>
          <w:szCs w:val="24"/>
        </w:rPr>
        <w:t>award</w:t>
      </w:r>
      <w:r w:rsidR="009B0159">
        <w:rPr>
          <w:rFonts w:ascii="Arial" w:hAnsi="Arial" w:cs="Arial"/>
          <w:bCs/>
          <w:sz w:val="24"/>
          <w:szCs w:val="24"/>
        </w:rPr>
        <w:t xml:space="preserve">ing same </w:t>
      </w:r>
      <w:r w:rsidR="00F93FDA" w:rsidRPr="00F51449">
        <w:rPr>
          <w:rFonts w:ascii="Arial" w:hAnsi="Arial" w:cs="Arial"/>
          <w:bCs/>
          <w:sz w:val="24"/>
          <w:szCs w:val="24"/>
        </w:rPr>
        <w:t>to second respondent</w:t>
      </w:r>
      <w:r w:rsidR="007D6D73">
        <w:rPr>
          <w:rFonts w:ascii="Arial" w:hAnsi="Arial" w:cs="Arial"/>
          <w:bCs/>
          <w:sz w:val="24"/>
          <w:szCs w:val="24"/>
        </w:rPr>
        <w:t>,</w:t>
      </w:r>
      <w:r w:rsidR="000C368E">
        <w:rPr>
          <w:rFonts w:ascii="Arial" w:hAnsi="Arial" w:cs="Arial"/>
          <w:bCs/>
          <w:sz w:val="24"/>
          <w:szCs w:val="24"/>
        </w:rPr>
        <w:t xml:space="preserve"> utilised</w:t>
      </w:r>
      <w:r w:rsidR="00F93FDA" w:rsidRPr="00F51449">
        <w:rPr>
          <w:rFonts w:ascii="Arial" w:hAnsi="Arial" w:cs="Arial"/>
          <w:bCs/>
          <w:sz w:val="24"/>
          <w:szCs w:val="24"/>
        </w:rPr>
        <w:t xml:space="preserve"> a process that was not fair, equitable, transparent, comparative </w:t>
      </w:r>
      <w:r w:rsidR="00D5180A" w:rsidRPr="00F51449">
        <w:rPr>
          <w:rFonts w:ascii="Arial" w:hAnsi="Arial" w:cs="Arial"/>
          <w:bCs/>
          <w:sz w:val="24"/>
          <w:szCs w:val="24"/>
        </w:rPr>
        <w:t>or cost</w:t>
      </w:r>
      <w:r w:rsidR="004B0AF0" w:rsidRPr="00F51449">
        <w:rPr>
          <w:rFonts w:ascii="Arial" w:hAnsi="Arial" w:cs="Arial"/>
          <w:bCs/>
          <w:sz w:val="24"/>
          <w:szCs w:val="24"/>
        </w:rPr>
        <w:t>-effective</w:t>
      </w:r>
      <w:r w:rsidR="00190723">
        <w:rPr>
          <w:rFonts w:ascii="Arial" w:hAnsi="Arial" w:cs="Arial"/>
          <w:bCs/>
          <w:sz w:val="24"/>
          <w:szCs w:val="24"/>
        </w:rPr>
        <w:t>.</w:t>
      </w:r>
    </w:p>
    <w:p w14:paraId="108E337B" w14:textId="77777777" w:rsidR="00D5180A" w:rsidRPr="00F51449" w:rsidRDefault="00D5180A" w:rsidP="00F51449">
      <w:pPr>
        <w:widowControl w:val="0"/>
        <w:autoSpaceDE w:val="0"/>
        <w:autoSpaceDN w:val="0"/>
        <w:adjustRightInd w:val="0"/>
        <w:spacing w:after="0" w:line="360" w:lineRule="auto"/>
        <w:ind w:left="1560" w:hanging="851"/>
        <w:jc w:val="both"/>
        <w:rPr>
          <w:rFonts w:ascii="Arial" w:hAnsi="Arial" w:cs="Arial"/>
          <w:bCs/>
          <w:sz w:val="24"/>
          <w:szCs w:val="24"/>
        </w:rPr>
      </w:pPr>
    </w:p>
    <w:p w14:paraId="3A59C2B6" w14:textId="77777777" w:rsidR="00987A18" w:rsidRDefault="00C606EC" w:rsidP="007D6D73">
      <w:pPr>
        <w:widowControl w:val="0"/>
        <w:autoSpaceDE w:val="0"/>
        <w:autoSpaceDN w:val="0"/>
        <w:adjustRightInd w:val="0"/>
        <w:spacing w:after="0" w:line="360" w:lineRule="auto"/>
        <w:ind w:left="709" w:hanging="709"/>
        <w:jc w:val="both"/>
        <w:rPr>
          <w:rFonts w:ascii="Arial" w:hAnsi="Arial" w:cs="Arial"/>
          <w:bCs/>
          <w:sz w:val="24"/>
          <w:szCs w:val="24"/>
        </w:rPr>
      </w:pPr>
      <w:r>
        <w:rPr>
          <w:rFonts w:ascii="Arial" w:hAnsi="Arial" w:cs="Arial"/>
          <w:bCs/>
          <w:sz w:val="24"/>
          <w:szCs w:val="24"/>
        </w:rPr>
        <w:t>[</w:t>
      </w:r>
      <w:r w:rsidR="005014E4">
        <w:rPr>
          <w:rFonts w:ascii="Arial" w:hAnsi="Arial" w:cs="Arial"/>
          <w:bCs/>
          <w:sz w:val="24"/>
          <w:szCs w:val="24"/>
        </w:rPr>
        <w:t>31</w:t>
      </w:r>
      <w:r w:rsidR="00190723">
        <w:rPr>
          <w:rFonts w:ascii="Arial" w:hAnsi="Arial" w:cs="Arial"/>
          <w:bCs/>
          <w:sz w:val="24"/>
          <w:szCs w:val="24"/>
        </w:rPr>
        <w:t>]</w:t>
      </w:r>
      <w:r w:rsidR="00190723">
        <w:rPr>
          <w:rFonts w:ascii="Arial" w:hAnsi="Arial" w:cs="Arial"/>
          <w:bCs/>
          <w:sz w:val="24"/>
          <w:szCs w:val="24"/>
        </w:rPr>
        <w:tab/>
        <w:t>T</w:t>
      </w:r>
      <w:r w:rsidR="00D5180A" w:rsidRPr="00F51449">
        <w:rPr>
          <w:rFonts w:ascii="Arial" w:hAnsi="Arial" w:cs="Arial"/>
          <w:bCs/>
          <w:sz w:val="24"/>
          <w:szCs w:val="24"/>
        </w:rPr>
        <w:t xml:space="preserve">he reasons advanced </w:t>
      </w:r>
      <w:r w:rsidR="0031595C" w:rsidRPr="00F51449">
        <w:rPr>
          <w:rFonts w:ascii="Arial" w:hAnsi="Arial" w:cs="Arial"/>
          <w:bCs/>
          <w:sz w:val="24"/>
          <w:szCs w:val="24"/>
        </w:rPr>
        <w:t xml:space="preserve">by the first respondent </w:t>
      </w:r>
      <w:r w:rsidR="003A4A37">
        <w:rPr>
          <w:rFonts w:ascii="Arial" w:hAnsi="Arial" w:cs="Arial"/>
          <w:bCs/>
          <w:sz w:val="24"/>
          <w:szCs w:val="24"/>
        </w:rPr>
        <w:t>amounts to</w:t>
      </w:r>
      <w:r w:rsidR="00F51988" w:rsidRPr="00F51449">
        <w:rPr>
          <w:rFonts w:ascii="Arial" w:hAnsi="Arial" w:cs="Arial"/>
          <w:bCs/>
          <w:sz w:val="24"/>
          <w:szCs w:val="24"/>
        </w:rPr>
        <w:t xml:space="preserve"> review</w:t>
      </w:r>
      <w:r w:rsidR="004B0AF0" w:rsidRPr="00F51449">
        <w:rPr>
          <w:rFonts w:ascii="Arial" w:hAnsi="Arial" w:cs="Arial"/>
          <w:bCs/>
          <w:sz w:val="24"/>
          <w:szCs w:val="24"/>
        </w:rPr>
        <w:t>able</w:t>
      </w:r>
      <w:r w:rsidR="00F51988" w:rsidRPr="00F51449">
        <w:rPr>
          <w:rFonts w:ascii="Arial" w:hAnsi="Arial" w:cs="Arial"/>
          <w:bCs/>
          <w:sz w:val="24"/>
          <w:szCs w:val="24"/>
        </w:rPr>
        <w:t xml:space="preserve"> </w:t>
      </w:r>
      <w:r w:rsidR="004B0AF0" w:rsidRPr="00F51449">
        <w:rPr>
          <w:rFonts w:ascii="Arial" w:hAnsi="Arial" w:cs="Arial"/>
          <w:bCs/>
          <w:sz w:val="24"/>
          <w:szCs w:val="24"/>
        </w:rPr>
        <w:t>irregularities</w:t>
      </w:r>
      <w:r w:rsidR="00190723">
        <w:rPr>
          <w:rFonts w:ascii="Arial" w:hAnsi="Arial" w:cs="Arial"/>
          <w:bCs/>
          <w:sz w:val="24"/>
          <w:szCs w:val="24"/>
        </w:rPr>
        <w:t>.</w:t>
      </w:r>
    </w:p>
    <w:p w14:paraId="208F8F78" w14:textId="77777777" w:rsidR="001A0D5D" w:rsidRPr="00F51449" w:rsidRDefault="001A0D5D" w:rsidP="00F51449">
      <w:pPr>
        <w:widowControl w:val="0"/>
        <w:autoSpaceDE w:val="0"/>
        <w:autoSpaceDN w:val="0"/>
        <w:adjustRightInd w:val="0"/>
        <w:spacing w:after="0" w:line="360" w:lineRule="auto"/>
        <w:ind w:left="1560" w:hanging="851"/>
        <w:jc w:val="both"/>
        <w:rPr>
          <w:rFonts w:ascii="Arial" w:hAnsi="Arial" w:cs="Arial"/>
          <w:bCs/>
          <w:sz w:val="24"/>
          <w:szCs w:val="24"/>
        </w:rPr>
      </w:pPr>
    </w:p>
    <w:p w14:paraId="3E7FAFC8" w14:textId="77777777" w:rsidR="00F772F0" w:rsidRPr="00F51449" w:rsidRDefault="00221F98" w:rsidP="00AA24BB">
      <w:pPr>
        <w:widowControl w:val="0"/>
        <w:autoSpaceDE w:val="0"/>
        <w:autoSpaceDN w:val="0"/>
        <w:adjustRightInd w:val="0"/>
        <w:spacing w:after="0" w:line="360" w:lineRule="auto"/>
        <w:ind w:left="709" w:hanging="709"/>
        <w:jc w:val="both"/>
        <w:rPr>
          <w:rFonts w:ascii="Arial" w:hAnsi="Arial" w:cs="Arial"/>
          <w:bCs/>
          <w:sz w:val="24"/>
          <w:szCs w:val="24"/>
        </w:rPr>
      </w:pPr>
      <w:r>
        <w:rPr>
          <w:rFonts w:ascii="Arial" w:hAnsi="Arial" w:cs="Arial"/>
          <w:bCs/>
          <w:sz w:val="24"/>
          <w:szCs w:val="24"/>
        </w:rPr>
        <w:t>[3</w:t>
      </w:r>
      <w:r w:rsidR="005014E4">
        <w:rPr>
          <w:rFonts w:ascii="Arial" w:hAnsi="Arial" w:cs="Arial"/>
          <w:bCs/>
          <w:sz w:val="24"/>
          <w:szCs w:val="24"/>
        </w:rPr>
        <w:t>2</w:t>
      </w:r>
      <w:r>
        <w:rPr>
          <w:rFonts w:ascii="Arial" w:hAnsi="Arial" w:cs="Arial"/>
          <w:bCs/>
          <w:sz w:val="24"/>
          <w:szCs w:val="24"/>
        </w:rPr>
        <w:t>]</w:t>
      </w:r>
      <w:r>
        <w:rPr>
          <w:rFonts w:ascii="Arial" w:hAnsi="Arial" w:cs="Arial"/>
          <w:bCs/>
          <w:sz w:val="24"/>
          <w:szCs w:val="24"/>
        </w:rPr>
        <w:tab/>
        <w:t>T</w:t>
      </w:r>
      <w:r w:rsidR="00987A18" w:rsidRPr="00F51449">
        <w:rPr>
          <w:rFonts w:ascii="Arial" w:hAnsi="Arial" w:cs="Arial"/>
          <w:bCs/>
          <w:sz w:val="24"/>
          <w:szCs w:val="24"/>
        </w:rPr>
        <w:t xml:space="preserve">he 30% sub-contracting </w:t>
      </w:r>
      <w:r w:rsidR="00D72DD3" w:rsidRPr="00F51449">
        <w:rPr>
          <w:rFonts w:ascii="Arial" w:hAnsi="Arial" w:cs="Arial"/>
          <w:bCs/>
          <w:sz w:val="24"/>
          <w:szCs w:val="24"/>
        </w:rPr>
        <w:t xml:space="preserve">requirement </w:t>
      </w:r>
      <w:r w:rsidR="009E5F06" w:rsidRPr="00F51449">
        <w:rPr>
          <w:rFonts w:ascii="Arial" w:hAnsi="Arial" w:cs="Arial"/>
          <w:bCs/>
          <w:sz w:val="24"/>
          <w:szCs w:val="24"/>
        </w:rPr>
        <w:t xml:space="preserve">was not a pre-qualification </w:t>
      </w:r>
      <w:r w:rsidR="0041149D" w:rsidRPr="00F51449">
        <w:rPr>
          <w:rFonts w:ascii="Arial" w:hAnsi="Arial" w:cs="Arial"/>
          <w:bCs/>
          <w:sz w:val="24"/>
          <w:szCs w:val="24"/>
        </w:rPr>
        <w:t xml:space="preserve">requirement in terms of the eligibility </w:t>
      </w:r>
      <w:r w:rsidR="00772057" w:rsidRPr="00F51449">
        <w:rPr>
          <w:rFonts w:ascii="Arial" w:hAnsi="Arial" w:cs="Arial"/>
          <w:bCs/>
          <w:sz w:val="24"/>
          <w:szCs w:val="24"/>
        </w:rPr>
        <w:t xml:space="preserve">criteria, being the first </w:t>
      </w:r>
      <w:r w:rsidR="00AF2EC1" w:rsidRPr="00F51449">
        <w:rPr>
          <w:rFonts w:ascii="Arial" w:hAnsi="Arial" w:cs="Arial"/>
          <w:bCs/>
          <w:sz w:val="24"/>
          <w:szCs w:val="24"/>
        </w:rPr>
        <w:t xml:space="preserve">stage of the evaluation </w:t>
      </w:r>
      <w:r w:rsidR="0041149D" w:rsidRPr="00F51449">
        <w:rPr>
          <w:rFonts w:ascii="Arial" w:hAnsi="Arial" w:cs="Arial"/>
          <w:bCs/>
          <w:sz w:val="24"/>
          <w:szCs w:val="24"/>
        </w:rPr>
        <w:t>process</w:t>
      </w:r>
      <w:r w:rsidR="00653B35">
        <w:rPr>
          <w:rFonts w:ascii="Arial" w:hAnsi="Arial" w:cs="Arial"/>
          <w:bCs/>
          <w:sz w:val="24"/>
          <w:szCs w:val="24"/>
        </w:rPr>
        <w:t>.</w:t>
      </w:r>
    </w:p>
    <w:p w14:paraId="4387668B" w14:textId="77777777" w:rsidR="00B1453F" w:rsidRPr="00F51449" w:rsidRDefault="00B1453F" w:rsidP="00F51449">
      <w:pPr>
        <w:widowControl w:val="0"/>
        <w:autoSpaceDE w:val="0"/>
        <w:autoSpaceDN w:val="0"/>
        <w:adjustRightInd w:val="0"/>
        <w:spacing w:after="0" w:line="360" w:lineRule="auto"/>
        <w:jc w:val="both"/>
        <w:rPr>
          <w:rFonts w:ascii="Arial" w:hAnsi="Arial" w:cs="Arial"/>
          <w:b/>
          <w:bCs/>
          <w:sz w:val="24"/>
          <w:szCs w:val="24"/>
        </w:rPr>
      </w:pPr>
    </w:p>
    <w:p w14:paraId="3C75C900" w14:textId="77777777" w:rsidR="00FB32BC" w:rsidRPr="00F51449" w:rsidRDefault="00FB32BC" w:rsidP="00F51449">
      <w:pPr>
        <w:widowControl w:val="0"/>
        <w:autoSpaceDE w:val="0"/>
        <w:autoSpaceDN w:val="0"/>
        <w:adjustRightInd w:val="0"/>
        <w:spacing w:after="0" w:line="360" w:lineRule="auto"/>
        <w:ind w:left="851" w:hanging="851"/>
        <w:jc w:val="both"/>
        <w:rPr>
          <w:rFonts w:ascii="Arial" w:hAnsi="Arial" w:cs="Arial"/>
          <w:b/>
          <w:bCs/>
          <w:sz w:val="24"/>
          <w:szCs w:val="24"/>
        </w:rPr>
      </w:pPr>
      <w:r w:rsidRPr="00F51449">
        <w:rPr>
          <w:rFonts w:ascii="Arial" w:hAnsi="Arial" w:cs="Arial"/>
          <w:b/>
          <w:bCs/>
          <w:sz w:val="24"/>
          <w:szCs w:val="24"/>
        </w:rPr>
        <w:t>V</w:t>
      </w:r>
      <w:r w:rsidR="001E0A01">
        <w:rPr>
          <w:rFonts w:ascii="Arial" w:hAnsi="Arial" w:cs="Arial"/>
          <w:b/>
          <w:bCs/>
          <w:sz w:val="24"/>
          <w:szCs w:val="24"/>
        </w:rPr>
        <w:t>II</w:t>
      </w:r>
      <w:r w:rsidRPr="00F51449">
        <w:rPr>
          <w:rFonts w:ascii="Arial" w:hAnsi="Arial" w:cs="Arial"/>
          <w:b/>
          <w:bCs/>
          <w:sz w:val="24"/>
          <w:szCs w:val="24"/>
        </w:rPr>
        <w:tab/>
        <w:t xml:space="preserve">THE DEFENCES </w:t>
      </w:r>
    </w:p>
    <w:p w14:paraId="0DACCB10" w14:textId="77777777" w:rsidR="00FB32BC" w:rsidRPr="00F51449" w:rsidRDefault="00FB32BC" w:rsidP="00F51449">
      <w:pPr>
        <w:widowControl w:val="0"/>
        <w:autoSpaceDE w:val="0"/>
        <w:autoSpaceDN w:val="0"/>
        <w:adjustRightInd w:val="0"/>
        <w:spacing w:after="0" w:line="360" w:lineRule="auto"/>
        <w:ind w:left="851" w:hanging="851"/>
        <w:jc w:val="both"/>
        <w:rPr>
          <w:rFonts w:ascii="Arial" w:hAnsi="Arial" w:cs="Arial"/>
          <w:bCs/>
          <w:sz w:val="24"/>
          <w:szCs w:val="24"/>
        </w:rPr>
      </w:pPr>
    </w:p>
    <w:p w14:paraId="38F6D1EC" w14:textId="77777777" w:rsidR="00FB32BC" w:rsidRDefault="005E5384" w:rsidP="00F51449">
      <w:pPr>
        <w:spacing w:after="0" w:line="360" w:lineRule="auto"/>
        <w:ind w:left="851" w:hanging="851"/>
        <w:jc w:val="both"/>
        <w:rPr>
          <w:rFonts w:ascii="Arial" w:hAnsi="Arial" w:cs="Arial"/>
          <w:sz w:val="24"/>
          <w:szCs w:val="24"/>
        </w:rPr>
      </w:pPr>
      <w:r w:rsidRPr="00F51449">
        <w:rPr>
          <w:rFonts w:ascii="Arial" w:hAnsi="Arial" w:cs="Arial"/>
          <w:sz w:val="24"/>
          <w:szCs w:val="24"/>
        </w:rPr>
        <w:t>[</w:t>
      </w:r>
      <w:r w:rsidR="005F451F">
        <w:rPr>
          <w:rFonts w:ascii="Arial" w:hAnsi="Arial" w:cs="Arial"/>
          <w:sz w:val="24"/>
          <w:szCs w:val="24"/>
        </w:rPr>
        <w:t>3</w:t>
      </w:r>
      <w:r w:rsidR="005014E4">
        <w:rPr>
          <w:rFonts w:ascii="Arial" w:hAnsi="Arial" w:cs="Arial"/>
          <w:sz w:val="24"/>
          <w:szCs w:val="24"/>
        </w:rPr>
        <w:t>3</w:t>
      </w:r>
      <w:r w:rsidRPr="00F51449">
        <w:rPr>
          <w:rFonts w:ascii="Arial" w:hAnsi="Arial" w:cs="Arial"/>
          <w:sz w:val="24"/>
          <w:szCs w:val="24"/>
        </w:rPr>
        <w:t>]</w:t>
      </w:r>
      <w:r w:rsidRPr="00F51449">
        <w:rPr>
          <w:rFonts w:ascii="Arial" w:hAnsi="Arial" w:cs="Arial"/>
          <w:sz w:val="24"/>
          <w:szCs w:val="24"/>
        </w:rPr>
        <w:tab/>
      </w:r>
      <w:r w:rsidR="00BA147D" w:rsidRPr="00F51449">
        <w:rPr>
          <w:rFonts w:ascii="Arial" w:hAnsi="Arial" w:cs="Arial"/>
          <w:sz w:val="24"/>
          <w:szCs w:val="24"/>
        </w:rPr>
        <w:t>The respondents relied on several defences which can be summarised as follows:</w:t>
      </w:r>
    </w:p>
    <w:p w14:paraId="6FE00B8B" w14:textId="77777777" w:rsidR="000A62DF" w:rsidRDefault="000A62DF" w:rsidP="00F51449">
      <w:pPr>
        <w:spacing w:after="0" w:line="360" w:lineRule="auto"/>
        <w:ind w:left="851" w:hanging="851"/>
        <w:jc w:val="both"/>
        <w:rPr>
          <w:rFonts w:ascii="Arial" w:hAnsi="Arial" w:cs="Arial"/>
          <w:sz w:val="24"/>
          <w:szCs w:val="24"/>
        </w:rPr>
      </w:pPr>
    </w:p>
    <w:p w14:paraId="0127D846" w14:textId="77777777" w:rsidR="000A62DF" w:rsidRDefault="005F451F" w:rsidP="00F205DB">
      <w:pPr>
        <w:spacing w:after="0" w:line="360" w:lineRule="auto"/>
        <w:ind w:left="1440" w:hanging="580"/>
        <w:jc w:val="both"/>
        <w:rPr>
          <w:rFonts w:ascii="Arial" w:hAnsi="Arial" w:cs="Arial"/>
          <w:sz w:val="24"/>
          <w:szCs w:val="24"/>
        </w:rPr>
      </w:pPr>
      <w:r>
        <w:rPr>
          <w:rFonts w:ascii="Arial" w:hAnsi="Arial" w:cs="Arial"/>
          <w:sz w:val="24"/>
          <w:szCs w:val="24"/>
        </w:rPr>
        <w:lastRenderedPageBreak/>
        <w:t>3</w:t>
      </w:r>
      <w:r w:rsidR="005014E4">
        <w:rPr>
          <w:rFonts w:ascii="Arial" w:hAnsi="Arial" w:cs="Arial"/>
          <w:sz w:val="24"/>
          <w:szCs w:val="24"/>
        </w:rPr>
        <w:t>3</w:t>
      </w:r>
      <w:r w:rsidR="000A62DF">
        <w:rPr>
          <w:rFonts w:ascii="Arial" w:hAnsi="Arial" w:cs="Arial"/>
          <w:sz w:val="24"/>
          <w:szCs w:val="24"/>
        </w:rPr>
        <w:t>.1</w:t>
      </w:r>
      <w:r w:rsidR="000A62DF">
        <w:rPr>
          <w:rFonts w:ascii="Arial" w:hAnsi="Arial" w:cs="Arial"/>
          <w:sz w:val="24"/>
          <w:szCs w:val="24"/>
        </w:rPr>
        <w:tab/>
      </w:r>
      <w:r w:rsidR="000E089D">
        <w:rPr>
          <w:rFonts w:ascii="Arial" w:hAnsi="Arial" w:cs="Arial"/>
          <w:sz w:val="24"/>
          <w:szCs w:val="24"/>
        </w:rPr>
        <w:t>It was submitted that</w:t>
      </w:r>
      <w:r w:rsidR="006E6879">
        <w:rPr>
          <w:rFonts w:ascii="Arial" w:hAnsi="Arial" w:cs="Arial"/>
          <w:sz w:val="24"/>
          <w:szCs w:val="24"/>
        </w:rPr>
        <w:t xml:space="preserve"> at</w:t>
      </w:r>
      <w:r w:rsidR="002F0CFB">
        <w:rPr>
          <w:rFonts w:ascii="Arial" w:hAnsi="Arial" w:cs="Arial"/>
          <w:sz w:val="24"/>
          <w:szCs w:val="24"/>
        </w:rPr>
        <w:t xml:space="preserve"> the heart of th</w:t>
      </w:r>
      <w:r w:rsidR="003A5871">
        <w:rPr>
          <w:rFonts w:ascii="Arial" w:hAnsi="Arial" w:cs="Arial"/>
          <w:sz w:val="24"/>
          <w:szCs w:val="24"/>
        </w:rPr>
        <w:t xml:space="preserve">is application lay at the applicant’s </w:t>
      </w:r>
      <w:r w:rsidR="00F205DB">
        <w:rPr>
          <w:rFonts w:ascii="Arial" w:hAnsi="Arial" w:cs="Arial"/>
          <w:sz w:val="24"/>
          <w:szCs w:val="24"/>
        </w:rPr>
        <w:t xml:space="preserve">contention that its bid was invalidly </w:t>
      </w:r>
      <w:r w:rsidR="00DF2731">
        <w:rPr>
          <w:rFonts w:ascii="Arial" w:hAnsi="Arial" w:cs="Arial"/>
          <w:sz w:val="24"/>
          <w:szCs w:val="24"/>
        </w:rPr>
        <w:t>and irregularly disqualified.  The true reason for the disqualification</w:t>
      </w:r>
      <w:r w:rsidR="0085364F">
        <w:rPr>
          <w:rFonts w:ascii="Arial" w:hAnsi="Arial" w:cs="Arial"/>
          <w:sz w:val="24"/>
          <w:szCs w:val="24"/>
        </w:rPr>
        <w:t xml:space="preserve"> is however because it submitted an incomplete bid</w:t>
      </w:r>
      <w:r w:rsidR="00C262D0">
        <w:rPr>
          <w:rFonts w:ascii="Arial" w:hAnsi="Arial" w:cs="Arial"/>
          <w:sz w:val="24"/>
          <w:szCs w:val="24"/>
        </w:rPr>
        <w:t xml:space="preserve">.  </w:t>
      </w:r>
      <w:r w:rsidR="00065245">
        <w:rPr>
          <w:rFonts w:ascii="Arial" w:hAnsi="Arial" w:cs="Arial"/>
          <w:sz w:val="24"/>
          <w:szCs w:val="24"/>
        </w:rPr>
        <w:t xml:space="preserve">The bid </w:t>
      </w:r>
      <w:r w:rsidR="00197C11">
        <w:rPr>
          <w:rFonts w:ascii="Arial" w:hAnsi="Arial" w:cs="Arial"/>
          <w:sz w:val="24"/>
          <w:szCs w:val="24"/>
        </w:rPr>
        <w:t>was incomplete</w:t>
      </w:r>
      <w:r w:rsidR="00065245">
        <w:rPr>
          <w:rFonts w:ascii="Arial" w:hAnsi="Arial" w:cs="Arial"/>
          <w:sz w:val="24"/>
          <w:szCs w:val="24"/>
        </w:rPr>
        <w:t xml:space="preserve"> because it</w:t>
      </w:r>
      <w:r w:rsidR="00385CE5">
        <w:rPr>
          <w:rFonts w:ascii="Arial" w:hAnsi="Arial" w:cs="Arial"/>
          <w:sz w:val="24"/>
          <w:szCs w:val="24"/>
        </w:rPr>
        <w:t xml:space="preserve"> </w:t>
      </w:r>
      <w:r w:rsidR="000523C3">
        <w:rPr>
          <w:rFonts w:ascii="Arial" w:hAnsi="Arial" w:cs="Arial"/>
          <w:sz w:val="24"/>
          <w:szCs w:val="24"/>
        </w:rPr>
        <w:t>did not indicate with whom and in what value it will subcontract</w:t>
      </w:r>
      <w:r w:rsidR="00F12168">
        <w:rPr>
          <w:rFonts w:ascii="Arial" w:hAnsi="Arial" w:cs="Arial"/>
          <w:sz w:val="24"/>
          <w:szCs w:val="24"/>
        </w:rPr>
        <w:t>.</w:t>
      </w:r>
    </w:p>
    <w:p w14:paraId="70A0A3CF" w14:textId="77777777" w:rsidR="009536CA" w:rsidRDefault="009536CA" w:rsidP="00F205DB">
      <w:pPr>
        <w:spacing w:after="0" w:line="360" w:lineRule="auto"/>
        <w:ind w:left="1440" w:hanging="580"/>
        <w:jc w:val="both"/>
        <w:rPr>
          <w:rFonts w:ascii="Arial" w:hAnsi="Arial" w:cs="Arial"/>
          <w:sz w:val="24"/>
          <w:szCs w:val="24"/>
        </w:rPr>
      </w:pPr>
    </w:p>
    <w:p w14:paraId="5DB926BF" w14:textId="77777777" w:rsidR="009536CA" w:rsidRPr="00F51449" w:rsidRDefault="005F451F" w:rsidP="00F205DB">
      <w:pPr>
        <w:spacing w:after="0" w:line="360" w:lineRule="auto"/>
        <w:ind w:left="1440" w:hanging="580"/>
        <w:jc w:val="both"/>
        <w:rPr>
          <w:rFonts w:ascii="Arial" w:hAnsi="Arial" w:cs="Arial"/>
          <w:sz w:val="24"/>
          <w:szCs w:val="24"/>
        </w:rPr>
      </w:pPr>
      <w:r>
        <w:rPr>
          <w:rFonts w:ascii="Arial" w:hAnsi="Arial" w:cs="Arial"/>
          <w:sz w:val="24"/>
          <w:szCs w:val="24"/>
        </w:rPr>
        <w:t>3</w:t>
      </w:r>
      <w:r w:rsidR="005014E4">
        <w:rPr>
          <w:rFonts w:ascii="Arial" w:hAnsi="Arial" w:cs="Arial"/>
          <w:sz w:val="24"/>
          <w:szCs w:val="24"/>
        </w:rPr>
        <w:t>3</w:t>
      </w:r>
      <w:r w:rsidR="009536CA">
        <w:rPr>
          <w:rFonts w:ascii="Arial" w:hAnsi="Arial" w:cs="Arial"/>
          <w:sz w:val="24"/>
          <w:szCs w:val="24"/>
        </w:rPr>
        <w:t>.2</w:t>
      </w:r>
      <w:r w:rsidR="009536CA">
        <w:rPr>
          <w:rFonts w:ascii="Arial" w:hAnsi="Arial" w:cs="Arial"/>
          <w:sz w:val="24"/>
          <w:szCs w:val="24"/>
        </w:rPr>
        <w:tab/>
      </w:r>
      <w:r w:rsidR="00550CA8">
        <w:rPr>
          <w:rFonts w:ascii="Arial" w:hAnsi="Arial" w:cs="Arial"/>
          <w:sz w:val="24"/>
          <w:szCs w:val="24"/>
        </w:rPr>
        <w:t>The applicant’s case should thus be seen as one</w:t>
      </w:r>
      <w:r w:rsidR="00981314">
        <w:rPr>
          <w:rFonts w:ascii="Arial" w:hAnsi="Arial" w:cs="Arial"/>
          <w:sz w:val="24"/>
          <w:szCs w:val="24"/>
        </w:rPr>
        <w:t xml:space="preserve"> of a disappointed tenderer seeking to avoid the consequences of a failure to</w:t>
      </w:r>
      <w:r w:rsidR="00F90347">
        <w:rPr>
          <w:rFonts w:ascii="Arial" w:hAnsi="Arial" w:cs="Arial"/>
          <w:sz w:val="24"/>
          <w:szCs w:val="24"/>
        </w:rPr>
        <w:t xml:space="preserve"> submit a complete and compliant bid.</w:t>
      </w:r>
    </w:p>
    <w:p w14:paraId="23105E02" w14:textId="77777777" w:rsidR="00FB32BC" w:rsidRPr="00F51449" w:rsidRDefault="00FB32BC" w:rsidP="00F51449">
      <w:pPr>
        <w:pStyle w:val="ListParagraph"/>
        <w:spacing w:after="0" w:line="360" w:lineRule="auto"/>
        <w:ind w:left="851" w:hanging="851"/>
        <w:jc w:val="both"/>
        <w:rPr>
          <w:rFonts w:ascii="Arial" w:hAnsi="Arial" w:cs="Arial"/>
          <w:sz w:val="24"/>
          <w:szCs w:val="24"/>
        </w:rPr>
      </w:pPr>
    </w:p>
    <w:p w14:paraId="45F3266D" w14:textId="77777777" w:rsidR="00A04C06" w:rsidRDefault="002075F0" w:rsidP="001B02E8">
      <w:pPr>
        <w:spacing w:after="0" w:line="360" w:lineRule="auto"/>
        <w:ind w:left="709" w:hanging="709"/>
        <w:jc w:val="both"/>
        <w:rPr>
          <w:rFonts w:ascii="Arial" w:hAnsi="Arial" w:cs="Arial"/>
          <w:b/>
          <w:bCs/>
          <w:sz w:val="24"/>
          <w:szCs w:val="24"/>
        </w:rPr>
      </w:pPr>
      <w:r w:rsidRPr="00F51449">
        <w:rPr>
          <w:rFonts w:ascii="Arial" w:hAnsi="Arial" w:cs="Arial"/>
          <w:b/>
          <w:sz w:val="24"/>
          <w:szCs w:val="24"/>
        </w:rPr>
        <w:t>V</w:t>
      </w:r>
      <w:r w:rsidR="00B1453F" w:rsidRPr="00F51449">
        <w:rPr>
          <w:rFonts w:ascii="Arial" w:hAnsi="Arial" w:cs="Arial"/>
          <w:b/>
          <w:sz w:val="24"/>
          <w:szCs w:val="24"/>
        </w:rPr>
        <w:t>I</w:t>
      </w:r>
      <w:r w:rsidR="009A1981" w:rsidRPr="00F51449">
        <w:rPr>
          <w:rFonts w:ascii="Arial" w:hAnsi="Arial" w:cs="Arial"/>
          <w:b/>
          <w:sz w:val="24"/>
          <w:szCs w:val="24"/>
        </w:rPr>
        <w:t>I</w:t>
      </w:r>
      <w:r w:rsidR="00C27F34">
        <w:rPr>
          <w:rFonts w:ascii="Arial" w:hAnsi="Arial" w:cs="Arial"/>
          <w:b/>
          <w:sz w:val="24"/>
          <w:szCs w:val="24"/>
        </w:rPr>
        <w:t>I</w:t>
      </w:r>
      <w:r w:rsidR="00B1453F" w:rsidRPr="00F51449">
        <w:rPr>
          <w:rFonts w:ascii="Arial" w:hAnsi="Arial" w:cs="Arial"/>
          <w:b/>
          <w:sz w:val="24"/>
          <w:szCs w:val="24"/>
        </w:rPr>
        <w:tab/>
      </w:r>
      <w:r w:rsidR="00C64547" w:rsidRPr="00F51449">
        <w:rPr>
          <w:rFonts w:ascii="Arial" w:hAnsi="Arial" w:cs="Arial"/>
          <w:b/>
          <w:bCs/>
          <w:sz w:val="24"/>
          <w:szCs w:val="24"/>
        </w:rPr>
        <w:t xml:space="preserve">EVALUATION OF THE EVIDENCE </w:t>
      </w:r>
      <w:r w:rsidR="00E51328">
        <w:rPr>
          <w:rFonts w:ascii="Arial" w:hAnsi="Arial" w:cs="Arial"/>
          <w:b/>
          <w:bCs/>
          <w:sz w:val="24"/>
          <w:szCs w:val="24"/>
        </w:rPr>
        <w:t>AND</w:t>
      </w:r>
      <w:r w:rsidR="00BD21DF">
        <w:rPr>
          <w:rFonts w:ascii="Arial" w:hAnsi="Arial" w:cs="Arial"/>
          <w:b/>
          <w:bCs/>
          <w:sz w:val="24"/>
          <w:szCs w:val="24"/>
        </w:rPr>
        <w:t xml:space="preserve"> THE APPLICABLE LEGAL</w:t>
      </w:r>
      <w:r w:rsidR="00356A44">
        <w:rPr>
          <w:rFonts w:ascii="Arial" w:hAnsi="Arial" w:cs="Arial"/>
          <w:b/>
          <w:bCs/>
          <w:sz w:val="24"/>
          <w:szCs w:val="24"/>
        </w:rPr>
        <w:t xml:space="preserve"> FRAMEWORK</w:t>
      </w:r>
    </w:p>
    <w:p w14:paraId="1C160A2D" w14:textId="77777777" w:rsidR="001B02E8" w:rsidRPr="001B02E8" w:rsidRDefault="001B02E8" w:rsidP="001B02E8">
      <w:pPr>
        <w:spacing w:after="0" w:line="360" w:lineRule="auto"/>
        <w:ind w:left="709" w:hanging="709"/>
        <w:jc w:val="both"/>
        <w:rPr>
          <w:rFonts w:ascii="Arial" w:hAnsi="Arial" w:cs="Arial"/>
          <w:b/>
          <w:bCs/>
          <w:sz w:val="24"/>
          <w:szCs w:val="24"/>
        </w:rPr>
      </w:pPr>
    </w:p>
    <w:p w14:paraId="14912D60" w14:textId="77777777" w:rsidR="00131DC0" w:rsidRPr="00F51449" w:rsidRDefault="004346C1" w:rsidP="00F51449">
      <w:pPr>
        <w:spacing w:after="0" w:line="360" w:lineRule="auto"/>
        <w:ind w:left="709" w:hanging="709"/>
        <w:jc w:val="both"/>
        <w:rPr>
          <w:rFonts w:ascii="Arial" w:hAnsi="Arial" w:cs="Arial"/>
          <w:sz w:val="24"/>
          <w:szCs w:val="24"/>
        </w:rPr>
      </w:pPr>
      <w:r w:rsidRPr="00F51449">
        <w:rPr>
          <w:rFonts w:ascii="Arial" w:hAnsi="Arial" w:cs="Arial"/>
          <w:sz w:val="24"/>
          <w:szCs w:val="24"/>
        </w:rPr>
        <w:t>[</w:t>
      </w:r>
      <w:r w:rsidR="009262C3">
        <w:rPr>
          <w:rFonts w:ascii="Arial" w:hAnsi="Arial" w:cs="Arial"/>
          <w:sz w:val="24"/>
          <w:szCs w:val="24"/>
        </w:rPr>
        <w:t>3</w:t>
      </w:r>
      <w:r w:rsidR="005014E4">
        <w:rPr>
          <w:rFonts w:ascii="Arial" w:hAnsi="Arial" w:cs="Arial"/>
          <w:sz w:val="24"/>
          <w:szCs w:val="24"/>
        </w:rPr>
        <w:t>4</w:t>
      </w:r>
      <w:r w:rsidR="00A04C06" w:rsidRPr="00F51449">
        <w:rPr>
          <w:rFonts w:ascii="Arial" w:hAnsi="Arial" w:cs="Arial"/>
          <w:sz w:val="24"/>
          <w:szCs w:val="24"/>
        </w:rPr>
        <w:t>]</w:t>
      </w:r>
      <w:r w:rsidR="00A04C06" w:rsidRPr="00F51449">
        <w:rPr>
          <w:rFonts w:ascii="Arial" w:hAnsi="Arial" w:cs="Arial"/>
          <w:sz w:val="24"/>
          <w:szCs w:val="24"/>
        </w:rPr>
        <w:tab/>
        <w:t>S</w:t>
      </w:r>
      <w:r w:rsidR="00AF570F" w:rsidRPr="00F51449">
        <w:rPr>
          <w:rFonts w:ascii="Arial" w:hAnsi="Arial" w:cs="Arial"/>
          <w:sz w:val="24"/>
          <w:szCs w:val="24"/>
        </w:rPr>
        <w:t>ection 217(1) of the Co</w:t>
      </w:r>
      <w:r w:rsidR="00232B4C" w:rsidRPr="00F51449">
        <w:rPr>
          <w:rFonts w:ascii="Arial" w:hAnsi="Arial" w:cs="Arial"/>
          <w:sz w:val="24"/>
          <w:szCs w:val="24"/>
        </w:rPr>
        <w:t>nstitution</w:t>
      </w:r>
      <w:r w:rsidR="00F45BB5" w:rsidRPr="00F51449">
        <w:rPr>
          <w:rStyle w:val="FootnoteReference"/>
          <w:rFonts w:ascii="Arial" w:hAnsi="Arial" w:cs="Arial"/>
          <w:sz w:val="24"/>
          <w:szCs w:val="24"/>
        </w:rPr>
        <w:footnoteReference w:id="17"/>
      </w:r>
      <w:r w:rsidR="00970057" w:rsidRPr="00F51449">
        <w:rPr>
          <w:rFonts w:ascii="Arial" w:hAnsi="Arial" w:cs="Arial"/>
          <w:sz w:val="24"/>
          <w:szCs w:val="24"/>
        </w:rPr>
        <w:t xml:space="preserve"> provides that </w:t>
      </w:r>
      <w:r w:rsidR="001A44DF" w:rsidRPr="00F51449">
        <w:rPr>
          <w:rFonts w:ascii="Arial" w:hAnsi="Arial" w:cs="Arial"/>
          <w:sz w:val="24"/>
          <w:szCs w:val="24"/>
        </w:rPr>
        <w:t xml:space="preserve">an organ of state </w:t>
      </w:r>
      <w:r w:rsidR="00295430" w:rsidRPr="00F51449">
        <w:rPr>
          <w:rFonts w:ascii="Arial" w:hAnsi="Arial" w:cs="Arial"/>
          <w:sz w:val="24"/>
          <w:szCs w:val="24"/>
        </w:rPr>
        <w:t xml:space="preserve">contracting </w:t>
      </w:r>
      <w:r w:rsidR="00967B28" w:rsidRPr="00F51449">
        <w:rPr>
          <w:rFonts w:ascii="Arial" w:hAnsi="Arial" w:cs="Arial"/>
          <w:sz w:val="24"/>
          <w:szCs w:val="24"/>
        </w:rPr>
        <w:t>for</w:t>
      </w:r>
      <w:r w:rsidR="00295430" w:rsidRPr="00F51449">
        <w:rPr>
          <w:rFonts w:ascii="Arial" w:hAnsi="Arial" w:cs="Arial"/>
          <w:sz w:val="24"/>
          <w:szCs w:val="24"/>
        </w:rPr>
        <w:t xml:space="preserve"> goods </w:t>
      </w:r>
      <w:r w:rsidR="00280861" w:rsidRPr="00F51449">
        <w:rPr>
          <w:rFonts w:ascii="Arial" w:hAnsi="Arial" w:cs="Arial"/>
          <w:sz w:val="24"/>
          <w:szCs w:val="24"/>
        </w:rPr>
        <w:t xml:space="preserve">of services </w:t>
      </w:r>
      <w:r w:rsidR="001B7513" w:rsidRPr="00F51449">
        <w:rPr>
          <w:rFonts w:ascii="Arial" w:hAnsi="Arial" w:cs="Arial"/>
          <w:sz w:val="24"/>
          <w:szCs w:val="24"/>
        </w:rPr>
        <w:t xml:space="preserve">must do so in accordance </w:t>
      </w:r>
      <w:r w:rsidR="0011712B" w:rsidRPr="00F51449">
        <w:rPr>
          <w:rFonts w:ascii="Arial" w:hAnsi="Arial" w:cs="Arial"/>
          <w:sz w:val="24"/>
          <w:szCs w:val="24"/>
        </w:rPr>
        <w:t xml:space="preserve">with a system which is fair, equitable, transparent, competitive </w:t>
      </w:r>
      <w:r w:rsidR="00FC2878" w:rsidRPr="00F51449">
        <w:rPr>
          <w:rFonts w:ascii="Arial" w:hAnsi="Arial" w:cs="Arial"/>
          <w:sz w:val="24"/>
          <w:szCs w:val="24"/>
        </w:rPr>
        <w:t>and cost-</w:t>
      </w:r>
      <w:r w:rsidR="005B41D0" w:rsidRPr="00F51449">
        <w:rPr>
          <w:rFonts w:ascii="Arial" w:hAnsi="Arial" w:cs="Arial"/>
          <w:sz w:val="24"/>
          <w:szCs w:val="24"/>
        </w:rPr>
        <w:t>effective</w:t>
      </w:r>
      <w:r w:rsidR="004D5E7C" w:rsidRPr="00F51449">
        <w:rPr>
          <w:rFonts w:ascii="Arial" w:hAnsi="Arial" w:cs="Arial"/>
          <w:sz w:val="24"/>
          <w:szCs w:val="24"/>
        </w:rPr>
        <w:t xml:space="preserve">.  Section 2(1)(f) of PPPFA </w:t>
      </w:r>
      <w:r w:rsidR="00002CE4" w:rsidRPr="00F51449">
        <w:rPr>
          <w:rFonts w:ascii="Arial" w:hAnsi="Arial" w:cs="Arial"/>
          <w:sz w:val="24"/>
          <w:szCs w:val="24"/>
        </w:rPr>
        <w:t>provides that</w:t>
      </w:r>
      <w:r w:rsidR="00D71063" w:rsidRPr="00F51449">
        <w:rPr>
          <w:rFonts w:ascii="Arial" w:hAnsi="Arial" w:cs="Arial"/>
          <w:sz w:val="24"/>
          <w:szCs w:val="24"/>
        </w:rPr>
        <w:t>:</w:t>
      </w:r>
      <w:r w:rsidR="00002CE4" w:rsidRPr="00F51449">
        <w:rPr>
          <w:rFonts w:ascii="Arial" w:hAnsi="Arial" w:cs="Arial"/>
          <w:sz w:val="24"/>
          <w:szCs w:val="24"/>
        </w:rPr>
        <w:t xml:space="preserve"> </w:t>
      </w:r>
    </w:p>
    <w:p w14:paraId="20868B3A" w14:textId="77777777" w:rsidR="00A04C06" w:rsidRPr="00F51449" w:rsidRDefault="00002CE4" w:rsidP="00F51449">
      <w:pPr>
        <w:spacing w:after="0" w:line="360" w:lineRule="auto"/>
        <w:ind w:left="709"/>
        <w:jc w:val="both"/>
        <w:rPr>
          <w:rFonts w:ascii="Arial" w:hAnsi="Arial" w:cs="Arial"/>
          <w:sz w:val="20"/>
          <w:szCs w:val="20"/>
        </w:rPr>
      </w:pPr>
      <w:r w:rsidRPr="00F51449">
        <w:rPr>
          <w:rFonts w:ascii="Arial" w:hAnsi="Arial" w:cs="Arial"/>
          <w:sz w:val="20"/>
          <w:szCs w:val="20"/>
        </w:rPr>
        <w:t>“</w:t>
      </w:r>
      <w:r w:rsidR="00131DC0" w:rsidRPr="00F51449">
        <w:rPr>
          <w:rFonts w:ascii="Arial" w:hAnsi="Arial" w:cs="Arial"/>
          <w:sz w:val="20"/>
          <w:szCs w:val="20"/>
        </w:rPr>
        <w:t>The contract must be awarded</w:t>
      </w:r>
      <w:r w:rsidR="00D71063" w:rsidRPr="00F51449">
        <w:rPr>
          <w:rFonts w:ascii="Arial" w:hAnsi="Arial" w:cs="Arial"/>
          <w:sz w:val="20"/>
          <w:szCs w:val="20"/>
        </w:rPr>
        <w:t xml:space="preserve"> </w:t>
      </w:r>
      <w:r w:rsidR="00A92420" w:rsidRPr="00F51449">
        <w:rPr>
          <w:rFonts w:ascii="Arial" w:hAnsi="Arial" w:cs="Arial"/>
          <w:sz w:val="20"/>
          <w:szCs w:val="20"/>
        </w:rPr>
        <w:t xml:space="preserve">to the tenderer who </w:t>
      </w:r>
      <w:r w:rsidR="00092F7E" w:rsidRPr="00F51449">
        <w:rPr>
          <w:rFonts w:ascii="Arial" w:hAnsi="Arial" w:cs="Arial"/>
          <w:sz w:val="20"/>
          <w:szCs w:val="20"/>
        </w:rPr>
        <w:t xml:space="preserve">scores the highest points, unless objective </w:t>
      </w:r>
      <w:r w:rsidR="00CD3096" w:rsidRPr="00F51449">
        <w:rPr>
          <w:rFonts w:ascii="Arial" w:hAnsi="Arial" w:cs="Arial"/>
          <w:sz w:val="20"/>
          <w:szCs w:val="20"/>
        </w:rPr>
        <w:t xml:space="preserve">criteria… justify the award to </w:t>
      </w:r>
      <w:r w:rsidR="009F536C" w:rsidRPr="00F51449">
        <w:rPr>
          <w:rFonts w:ascii="Arial" w:hAnsi="Arial" w:cs="Arial"/>
          <w:sz w:val="20"/>
          <w:szCs w:val="20"/>
        </w:rPr>
        <w:t>another tenderer.</w:t>
      </w:r>
      <w:r w:rsidR="00CD3096" w:rsidRPr="00F51449">
        <w:rPr>
          <w:rFonts w:ascii="Arial" w:hAnsi="Arial" w:cs="Arial"/>
          <w:sz w:val="20"/>
          <w:szCs w:val="20"/>
        </w:rPr>
        <w:t>”</w:t>
      </w:r>
    </w:p>
    <w:p w14:paraId="6497F142" w14:textId="77777777" w:rsidR="00A7155A" w:rsidRPr="00F51449" w:rsidRDefault="00A7155A" w:rsidP="00F51449">
      <w:pPr>
        <w:spacing w:after="0" w:line="360" w:lineRule="auto"/>
        <w:ind w:left="709" w:hanging="709"/>
        <w:jc w:val="both"/>
        <w:rPr>
          <w:rFonts w:ascii="Arial" w:hAnsi="Arial" w:cs="Arial"/>
          <w:sz w:val="24"/>
          <w:szCs w:val="24"/>
        </w:rPr>
      </w:pPr>
    </w:p>
    <w:p w14:paraId="340F4BDE" w14:textId="77777777" w:rsidR="005B5626" w:rsidRPr="00F51449" w:rsidRDefault="004346C1" w:rsidP="00F51449">
      <w:pPr>
        <w:spacing w:after="0" w:line="360" w:lineRule="auto"/>
        <w:ind w:left="709" w:hanging="709"/>
        <w:rPr>
          <w:rFonts w:ascii="Arial" w:eastAsia="Times New Roman" w:hAnsi="Arial" w:cs="Arial"/>
          <w:b/>
          <w:bCs/>
          <w:color w:val="000000"/>
          <w:sz w:val="20"/>
          <w:szCs w:val="20"/>
          <w:lang w:eastAsia="en-ZA"/>
        </w:rPr>
      </w:pPr>
      <w:r w:rsidRPr="00F51449">
        <w:rPr>
          <w:rFonts w:ascii="Arial" w:hAnsi="Arial" w:cs="Arial"/>
          <w:sz w:val="24"/>
          <w:szCs w:val="24"/>
        </w:rPr>
        <w:t>[</w:t>
      </w:r>
      <w:r w:rsidR="009262C3">
        <w:rPr>
          <w:rFonts w:ascii="Arial" w:hAnsi="Arial" w:cs="Arial"/>
          <w:sz w:val="24"/>
          <w:szCs w:val="24"/>
        </w:rPr>
        <w:t>3</w:t>
      </w:r>
      <w:r w:rsidR="005014E4">
        <w:rPr>
          <w:rFonts w:ascii="Arial" w:hAnsi="Arial" w:cs="Arial"/>
          <w:sz w:val="24"/>
          <w:szCs w:val="24"/>
        </w:rPr>
        <w:t>5</w:t>
      </w:r>
      <w:r w:rsidR="005B5626" w:rsidRPr="00F51449">
        <w:rPr>
          <w:rFonts w:ascii="Arial" w:hAnsi="Arial" w:cs="Arial"/>
          <w:sz w:val="24"/>
          <w:szCs w:val="24"/>
        </w:rPr>
        <w:t xml:space="preserve">]   </w:t>
      </w:r>
      <w:r w:rsidR="00F51449" w:rsidRPr="00F51449">
        <w:rPr>
          <w:rFonts w:ascii="Arial" w:hAnsi="Arial" w:cs="Arial"/>
          <w:sz w:val="24"/>
          <w:szCs w:val="24"/>
        </w:rPr>
        <w:tab/>
      </w:r>
      <w:r w:rsidR="005B5626" w:rsidRPr="00F51449">
        <w:rPr>
          <w:rFonts w:ascii="Arial" w:hAnsi="Arial" w:cs="Arial"/>
          <w:sz w:val="24"/>
          <w:szCs w:val="24"/>
        </w:rPr>
        <w:t xml:space="preserve">In </w:t>
      </w:r>
      <w:r w:rsidR="005B5626" w:rsidRPr="00F51449">
        <w:rPr>
          <w:rFonts w:ascii="Arial" w:hAnsi="Arial" w:cs="Arial"/>
          <w:i/>
          <w:sz w:val="24"/>
          <w:szCs w:val="24"/>
        </w:rPr>
        <w:t>Chairperson, Standing Tender Committee and Others v JFE Sapela Electronics and Others</w:t>
      </w:r>
      <w:r w:rsidR="00FD45E7" w:rsidRPr="00F51449">
        <w:rPr>
          <w:rStyle w:val="FootnoteReference"/>
          <w:rFonts w:ascii="Arial" w:hAnsi="Arial" w:cs="Arial"/>
          <w:sz w:val="24"/>
          <w:szCs w:val="24"/>
        </w:rPr>
        <w:footnoteReference w:id="18"/>
      </w:r>
      <w:r w:rsidR="00FD45E7" w:rsidRPr="00F51449">
        <w:rPr>
          <w:rFonts w:ascii="Arial" w:hAnsi="Arial" w:cs="Arial"/>
          <w:sz w:val="24"/>
          <w:szCs w:val="24"/>
        </w:rPr>
        <w:t xml:space="preserve"> the Supreme Court of Appeal  had this to say about an </w:t>
      </w:r>
      <w:r w:rsidR="00FD45E7" w:rsidRPr="00F51449">
        <w:rPr>
          <w:rFonts w:ascii="Arial" w:hAnsi="Arial" w:cs="Arial"/>
          <w:sz w:val="20"/>
          <w:szCs w:val="20"/>
        </w:rPr>
        <w:t>“acceptable tender”:</w:t>
      </w:r>
      <w:r w:rsidR="00FD45E7" w:rsidRPr="00F51449">
        <w:rPr>
          <w:rFonts w:ascii="Arial" w:hAnsi="Arial" w:cs="Arial"/>
          <w:sz w:val="24"/>
          <w:szCs w:val="24"/>
        </w:rPr>
        <w:t xml:space="preserve"> </w:t>
      </w:r>
    </w:p>
    <w:p w14:paraId="49DE43C9" w14:textId="77777777" w:rsidR="005B5626" w:rsidRPr="00F51449" w:rsidRDefault="005B5626" w:rsidP="00F51449">
      <w:pPr>
        <w:spacing w:after="0" w:line="360" w:lineRule="auto"/>
        <w:ind w:left="709"/>
        <w:jc w:val="both"/>
        <w:rPr>
          <w:rFonts w:ascii="Arial" w:hAnsi="Arial" w:cs="Arial"/>
          <w:sz w:val="24"/>
          <w:szCs w:val="24"/>
        </w:rPr>
      </w:pPr>
      <w:r w:rsidRPr="00F51449">
        <w:rPr>
          <w:rFonts w:ascii="Arial" w:hAnsi="Arial" w:cs="Arial"/>
          <w:color w:val="000000"/>
          <w:sz w:val="20"/>
          <w:szCs w:val="20"/>
        </w:rPr>
        <w:t xml:space="preserve">An </w:t>
      </w:r>
      <w:r w:rsidRPr="00175DB9">
        <w:rPr>
          <w:rFonts w:ascii="Arial" w:hAnsi="Arial" w:cs="Arial"/>
          <w:color w:val="000000"/>
          <w:sz w:val="18"/>
          <w:szCs w:val="18"/>
        </w:rPr>
        <w:t>'acceptable tender' in turn is defined in s 1 as meaning 'any tender which, in all respects, complies with the specifications and conditions of tender as set out in the tender document'</w:t>
      </w:r>
      <w:r w:rsidRPr="00F51449">
        <w:rPr>
          <w:rFonts w:ascii="Arial" w:hAnsi="Arial" w:cs="Arial"/>
          <w:color w:val="000000"/>
          <w:sz w:val="20"/>
          <w:szCs w:val="20"/>
        </w:rPr>
        <w:t xml:space="preserve">. It is well established that the legislature and executive in all spheres are constrained by the principle that they may exercise no power and perform no function beyond those conferred upon them by law. This is the doctrine of legality. </w:t>
      </w:r>
      <w:r w:rsidR="00FD45E7" w:rsidRPr="00F51449">
        <w:rPr>
          <w:rFonts w:ascii="Arial" w:hAnsi="Arial" w:cs="Arial"/>
          <w:color w:val="000000"/>
          <w:sz w:val="20"/>
          <w:szCs w:val="20"/>
        </w:rPr>
        <w:t xml:space="preserve">….. </w:t>
      </w:r>
      <w:r w:rsidRPr="00F51449">
        <w:rPr>
          <w:rFonts w:ascii="Arial" w:hAnsi="Arial" w:cs="Arial"/>
          <w:color w:val="000000"/>
          <w:sz w:val="20"/>
          <w:szCs w:val="20"/>
        </w:rPr>
        <w:t>The acceptance by an organ of State of a tender which is not 'acceptable' within the meaning of the Preferential Act is therefore an invalid act and falls to be set aside. In other words, the requirement of acceptability is a threshold requirement.</w:t>
      </w:r>
      <w:r w:rsidR="00FD45E7" w:rsidRPr="00F51449">
        <w:rPr>
          <w:rFonts w:ascii="Arial" w:hAnsi="Arial" w:cs="Arial"/>
          <w:color w:val="000000"/>
          <w:sz w:val="20"/>
          <w:szCs w:val="20"/>
        </w:rPr>
        <w:t>”</w:t>
      </w:r>
      <w:r w:rsidRPr="00F51449">
        <w:rPr>
          <w:rFonts w:ascii="Arial" w:hAnsi="Arial" w:cs="Arial"/>
          <w:color w:val="000000"/>
          <w:sz w:val="20"/>
          <w:szCs w:val="20"/>
        </w:rPr>
        <w:t> </w:t>
      </w:r>
    </w:p>
    <w:p w14:paraId="6EDB6270" w14:textId="77777777" w:rsidR="005B5626" w:rsidRPr="00F51449" w:rsidRDefault="005B5626" w:rsidP="00F51449">
      <w:pPr>
        <w:spacing w:after="0" w:line="360" w:lineRule="auto"/>
        <w:ind w:left="709" w:hanging="709"/>
        <w:jc w:val="both"/>
        <w:rPr>
          <w:rFonts w:ascii="Arial" w:hAnsi="Arial" w:cs="Arial"/>
          <w:sz w:val="24"/>
          <w:szCs w:val="24"/>
        </w:rPr>
      </w:pPr>
    </w:p>
    <w:p w14:paraId="715C5C85" w14:textId="77777777" w:rsidR="002056A5" w:rsidRPr="00F51449" w:rsidRDefault="004346C1" w:rsidP="00F51449">
      <w:pPr>
        <w:spacing w:after="0" w:line="360" w:lineRule="auto"/>
        <w:ind w:left="709" w:hanging="709"/>
        <w:jc w:val="both"/>
        <w:rPr>
          <w:rFonts w:ascii="Arial" w:hAnsi="Arial" w:cs="Arial"/>
          <w:sz w:val="20"/>
          <w:szCs w:val="20"/>
        </w:rPr>
      </w:pPr>
      <w:r w:rsidRPr="00F51449">
        <w:rPr>
          <w:rFonts w:ascii="Arial" w:hAnsi="Arial" w:cs="Arial"/>
          <w:sz w:val="24"/>
          <w:szCs w:val="24"/>
        </w:rPr>
        <w:lastRenderedPageBreak/>
        <w:t>[</w:t>
      </w:r>
      <w:r w:rsidR="00C41F89">
        <w:rPr>
          <w:rFonts w:ascii="Arial" w:hAnsi="Arial" w:cs="Arial"/>
          <w:sz w:val="24"/>
          <w:szCs w:val="24"/>
        </w:rPr>
        <w:t>3</w:t>
      </w:r>
      <w:r w:rsidR="005014E4">
        <w:rPr>
          <w:rFonts w:ascii="Arial" w:hAnsi="Arial" w:cs="Arial"/>
          <w:sz w:val="24"/>
          <w:szCs w:val="24"/>
        </w:rPr>
        <w:t>6</w:t>
      </w:r>
      <w:r w:rsidR="00F51449" w:rsidRPr="00F51449">
        <w:rPr>
          <w:rFonts w:ascii="Arial" w:hAnsi="Arial" w:cs="Arial"/>
          <w:sz w:val="24"/>
          <w:szCs w:val="24"/>
        </w:rPr>
        <w:t>]</w:t>
      </w:r>
      <w:r w:rsidR="00F51449" w:rsidRPr="00F51449">
        <w:rPr>
          <w:rFonts w:ascii="Arial" w:hAnsi="Arial" w:cs="Arial"/>
          <w:sz w:val="24"/>
          <w:szCs w:val="24"/>
        </w:rPr>
        <w:tab/>
      </w:r>
      <w:r w:rsidR="002056A5" w:rsidRPr="00F51449">
        <w:rPr>
          <w:rFonts w:ascii="Arial" w:hAnsi="Arial" w:cs="Arial"/>
          <w:i/>
          <w:sz w:val="24"/>
          <w:szCs w:val="24"/>
        </w:rPr>
        <w:t>In Millennium Waste Management (Pty) Ltd v Chairperson, Tender Board: Limpopo Province and Others</w:t>
      </w:r>
      <w:r w:rsidR="00BD4578" w:rsidRPr="00F51449">
        <w:rPr>
          <w:rFonts w:ascii="Arial" w:hAnsi="Arial" w:cs="Arial"/>
          <w:i/>
          <w:sz w:val="24"/>
          <w:szCs w:val="24"/>
        </w:rPr>
        <w:t>,</w:t>
      </w:r>
      <w:r w:rsidR="002056A5" w:rsidRPr="00F51449">
        <w:rPr>
          <w:rStyle w:val="FootnoteReference"/>
          <w:rFonts w:ascii="Arial" w:hAnsi="Arial" w:cs="Arial"/>
          <w:i/>
          <w:sz w:val="24"/>
          <w:szCs w:val="24"/>
        </w:rPr>
        <w:footnoteReference w:id="19"/>
      </w:r>
      <w:r w:rsidR="002056A5" w:rsidRPr="00F51449">
        <w:rPr>
          <w:rFonts w:ascii="Arial" w:hAnsi="Arial" w:cs="Arial"/>
          <w:sz w:val="24"/>
          <w:szCs w:val="24"/>
        </w:rPr>
        <w:t xml:space="preserve"> </w:t>
      </w:r>
      <w:r w:rsidR="00BD4578" w:rsidRPr="00F51449">
        <w:rPr>
          <w:rFonts w:ascii="Arial" w:hAnsi="Arial" w:cs="Arial"/>
          <w:sz w:val="24"/>
          <w:szCs w:val="24"/>
        </w:rPr>
        <w:t>Jafta JA (as he then was), writing for a unanimous bench of the</w:t>
      </w:r>
      <w:r w:rsidR="002056A5" w:rsidRPr="00F51449">
        <w:rPr>
          <w:rFonts w:ascii="Arial" w:hAnsi="Arial" w:cs="Arial"/>
          <w:sz w:val="24"/>
          <w:szCs w:val="24"/>
        </w:rPr>
        <w:t xml:space="preserve"> Supreme Court of Appeal</w:t>
      </w:r>
      <w:r w:rsidR="00BD4578" w:rsidRPr="00F51449">
        <w:rPr>
          <w:rFonts w:ascii="Arial" w:hAnsi="Arial" w:cs="Arial"/>
          <w:sz w:val="24"/>
          <w:szCs w:val="24"/>
        </w:rPr>
        <w:t>,</w:t>
      </w:r>
      <w:r w:rsidR="002056A5" w:rsidRPr="00F51449">
        <w:rPr>
          <w:rFonts w:ascii="Arial" w:hAnsi="Arial" w:cs="Arial"/>
          <w:sz w:val="24"/>
          <w:szCs w:val="24"/>
        </w:rPr>
        <w:t xml:space="preserve"> </w:t>
      </w:r>
      <w:r w:rsidR="00BD4578" w:rsidRPr="00F51449">
        <w:rPr>
          <w:rFonts w:ascii="Arial" w:hAnsi="Arial" w:cs="Arial"/>
          <w:sz w:val="24"/>
          <w:szCs w:val="24"/>
        </w:rPr>
        <w:t xml:space="preserve">considered the definition of </w:t>
      </w:r>
      <w:r w:rsidR="002056A5" w:rsidRPr="00F51449">
        <w:rPr>
          <w:rFonts w:ascii="Arial" w:hAnsi="Arial" w:cs="Arial"/>
          <w:sz w:val="20"/>
          <w:szCs w:val="20"/>
        </w:rPr>
        <w:t>“acceptable tender</w:t>
      </w:r>
      <w:r w:rsidR="00BD4578" w:rsidRPr="00F51449">
        <w:rPr>
          <w:rFonts w:ascii="Arial" w:hAnsi="Arial" w:cs="Arial"/>
          <w:sz w:val="20"/>
          <w:szCs w:val="20"/>
        </w:rPr>
        <w:t>”</w:t>
      </w:r>
      <w:r w:rsidR="00BD4578" w:rsidRPr="00F51449">
        <w:rPr>
          <w:rFonts w:ascii="Arial" w:hAnsi="Arial" w:cs="Arial"/>
          <w:sz w:val="24"/>
          <w:szCs w:val="24"/>
        </w:rPr>
        <w:t xml:space="preserve"> </w:t>
      </w:r>
      <w:r w:rsidR="00BD4578" w:rsidRPr="00F51449">
        <w:rPr>
          <w:rFonts w:ascii="Arial" w:hAnsi="Arial" w:cs="Arial"/>
          <w:sz w:val="20"/>
          <w:szCs w:val="20"/>
        </w:rPr>
        <w:t xml:space="preserve">and held as follows, quoting Scott JA’s dictum in </w:t>
      </w:r>
      <w:r w:rsidR="00BD4578" w:rsidRPr="00F51449">
        <w:rPr>
          <w:rFonts w:ascii="Arial" w:hAnsi="Arial" w:cs="Arial"/>
          <w:i/>
          <w:sz w:val="20"/>
          <w:szCs w:val="20"/>
        </w:rPr>
        <w:t>JFE Sapela Electronics</w:t>
      </w:r>
      <w:r w:rsidR="00BD4578" w:rsidRPr="00F51449">
        <w:rPr>
          <w:rFonts w:ascii="Arial" w:hAnsi="Arial" w:cs="Arial"/>
          <w:sz w:val="20"/>
          <w:szCs w:val="20"/>
        </w:rPr>
        <w:t xml:space="preserve"> with approval: </w:t>
      </w:r>
    </w:p>
    <w:p w14:paraId="7F5641A4" w14:textId="77777777" w:rsidR="00BD4578" w:rsidRPr="00F51449" w:rsidRDefault="00BD4578" w:rsidP="00175DB9">
      <w:pPr>
        <w:spacing w:after="0" w:line="360" w:lineRule="auto"/>
        <w:ind w:left="1276" w:hanging="567"/>
        <w:jc w:val="both"/>
        <w:rPr>
          <w:rFonts w:ascii="Arial" w:hAnsi="Arial" w:cs="Arial"/>
          <w:color w:val="000000"/>
          <w:sz w:val="20"/>
          <w:szCs w:val="20"/>
        </w:rPr>
      </w:pPr>
      <w:r w:rsidRPr="00F51449">
        <w:rPr>
          <w:rFonts w:ascii="Arial" w:hAnsi="Arial" w:cs="Arial"/>
          <w:color w:val="000000"/>
          <w:sz w:val="20"/>
          <w:szCs w:val="20"/>
        </w:rPr>
        <w:t xml:space="preserve">“[18] </w:t>
      </w:r>
      <w:r w:rsidR="00175DB9">
        <w:rPr>
          <w:rFonts w:ascii="Arial" w:hAnsi="Arial" w:cs="Arial"/>
          <w:color w:val="000000"/>
          <w:sz w:val="20"/>
          <w:szCs w:val="20"/>
        </w:rPr>
        <w:tab/>
      </w:r>
      <w:r w:rsidRPr="00F51449">
        <w:rPr>
          <w:rFonts w:ascii="Arial" w:hAnsi="Arial" w:cs="Arial"/>
          <w:color w:val="000000"/>
          <w:sz w:val="20"/>
          <w:szCs w:val="20"/>
        </w:rPr>
        <w:t>….. Therefore the definition in the statute must be construed within the context of the entire s 217 while striving for an interpretation which promotes 'the spirit, purport and objects of the Bill of Rights' as required by s 39(2) of the Constitution.</w:t>
      </w:r>
      <w:bookmarkStart w:id="0" w:name="0-0-0-323377"/>
      <w:bookmarkEnd w:id="0"/>
      <w:r w:rsidRPr="00F51449">
        <w:rPr>
          <w:rStyle w:val="g1"/>
          <w:rFonts w:ascii="Arial" w:hAnsi="Arial" w:cs="Arial"/>
          <w:color w:val="808080"/>
          <w:sz w:val="20"/>
          <w:szCs w:val="20"/>
        </w:rPr>
        <w:t xml:space="preserve">  </w:t>
      </w:r>
      <w:r w:rsidRPr="00F51449">
        <w:rPr>
          <w:rFonts w:ascii="Arial" w:hAnsi="Arial" w:cs="Arial"/>
          <w:color w:val="000000"/>
          <w:sz w:val="20"/>
          <w:szCs w:val="20"/>
        </w:rPr>
        <w:t>In </w:t>
      </w:r>
      <w:r w:rsidRPr="00F51449">
        <w:rPr>
          <w:rFonts w:ascii="Arial" w:hAnsi="Arial" w:cs="Arial"/>
          <w:i/>
          <w:iCs/>
          <w:color w:val="000000"/>
          <w:sz w:val="20"/>
          <w:szCs w:val="20"/>
        </w:rPr>
        <w:t>Chairperson: Standing Tender Committee and Others v JFE Sapela Electronics (Pty) Ltd and Others</w:t>
      </w:r>
      <w:bookmarkStart w:id="1" w:name="0-0-0-323381"/>
      <w:bookmarkEnd w:id="1"/>
      <w:r w:rsidRPr="00F51449">
        <w:rPr>
          <w:rStyle w:val="g1"/>
          <w:rFonts w:ascii="Arial" w:hAnsi="Arial" w:cs="Arial"/>
          <w:color w:val="808080"/>
          <w:sz w:val="20"/>
          <w:szCs w:val="20"/>
        </w:rPr>
        <w:t xml:space="preserve"> </w:t>
      </w:r>
      <w:r w:rsidRPr="00F51449">
        <w:rPr>
          <w:rFonts w:ascii="Arial" w:hAnsi="Arial" w:cs="Arial"/>
          <w:color w:val="000000"/>
          <w:sz w:val="20"/>
          <w:szCs w:val="20"/>
        </w:rPr>
        <w:t>Scott JA said (para 14):</w:t>
      </w:r>
    </w:p>
    <w:p w14:paraId="2B211D00" w14:textId="77777777" w:rsidR="00BD4578" w:rsidRPr="00F51449" w:rsidRDefault="00BD4578" w:rsidP="00175DB9">
      <w:pPr>
        <w:spacing w:after="0" w:line="360" w:lineRule="auto"/>
        <w:ind w:left="1276" w:hanging="567"/>
        <w:rPr>
          <w:rFonts w:ascii="Arial" w:hAnsi="Arial" w:cs="Arial"/>
          <w:color w:val="000000"/>
          <w:sz w:val="20"/>
          <w:szCs w:val="20"/>
        </w:rPr>
      </w:pPr>
      <w:r w:rsidRPr="00F51449">
        <w:rPr>
          <w:rFonts w:ascii="Arial" w:hAnsi="Arial" w:cs="Arial"/>
          <w:color w:val="000000"/>
          <w:sz w:val="20"/>
          <w:szCs w:val="20"/>
        </w:rPr>
        <w:t>  </w:t>
      </w:r>
      <w:r w:rsidR="00F51449" w:rsidRPr="00F51449">
        <w:rPr>
          <w:rFonts w:ascii="Arial" w:hAnsi="Arial" w:cs="Arial"/>
          <w:color w:val="000000"/>
          <w:sz w:val="20"/>
          <w:szCs w:val="20"/>
        </w:rPr>
        <w:tab/>
      </w:r>
      <w:r w:rsidRPr="00F51449">
        <w:rPr>
          <w:rFonts w:ascii="Arial" w:hAnsi="Arial" w:cs="Arial"/>
          <w:color w:val="000000"/>
          <w:sz w:val="18"/>
          <w:szCs w:val="18"/>
        </w:rPr>
        <w:t>‘The definition of 'acceptable tender' in the Preferential Act must be construed against the background of the system envisaged by section 217(1) of the Constitution, namely one which is 'fair, equitable, transparent, competitive and cost-effective'</w:t>
      </w:r>
      <w:r w:rsidRPr="00F51449">
        <w:rPr>
          <w:rFonts w:ascii="Arial" w:hAnsi="Arial" w:cs="Arial"/>
          <w:color w:val="000000"/>
          <w:sz w:val="20"/>
          <w:szCs w:val="20"/>
        </w:rPr>
        <w:t xml:space="preserve">. In other words, whether </w:t>
      </w:r>
      <w:r w:rsidRPr="00F51449">
        <w:rPr>
          <w:rFonts w:ascii="Arial" w:hAnsi="Arial" w:cs="Arial"/>
          <w:color w:val="000000"/>
          <w:sz w:val="18"/>
          <w:szCs w:val="18"/>
        </w:rPr>
        <w:t>'the tender in all respects complies with the specifications and conditions set out in the contract documents must be judged against these values'</w:t>
      </w:r>
      <w:r w:rsidRPr="00F51449">
        <w:rPr>
          <w:rFonts w:ascii="Arial" w:hAnsi="Arial" w:cs="Arial"/>
          <w:color w:val="000000"/>
          <w:sz w:val="20"/>
          <w:szCs w:val="20"/>
        </w:rPr>
        <w:t>.</w:t>
      </w:r>
    </w:p>
    <w:p w14:paraId="30625C8C" w14:textId="77777777" w:rsidR="00BD4578" w:rsidRDefault="00BD4578" w:rsidP="00175DB9">
      <w:pPr>
        <w:spacing w:after="0" w:line="360" w:lineRule="auto"/>
        <w:ind w:left="1276" w:hanging="567"/>
        <w:jc w:val="both"/>
        <w:rPr>
          <w:rFonts w:ascii="Arial" w:hAnsi="Arial" w:cs="Arial"/>
          <w:color w:val="000000"/>
          <w:sz w:val="20"/>
          <w:szCs w:val="20"/>
        </w:rPr>
      </w:pPr>
      <w:r w:rsidRPr="00F51449">
        <w:rPr>
          <w:rFonts w:ascii="Arial" w:hAnsi="Arial" w:cs="Arial"/>
          <w:color w:val="000000"/>
          <w:sz w:val="20"/>
          <w:szCs w:val="20"/>
        </w:rPr>
        <w:t xml:space="preserve">[19] </w:t>
      </w:r>
      <w:r w:rsidR="00175DB9">
        <w:rPr>
          <w:rFonts w:ascii="Arial" w:hAnsi="Arial" w:cs="Arial"/>
          <w:color w:val="000000"/>
          <w:sz w:val="20"/>
          <w:szCs w:val="20"/>
        </w:rPr>
        <w:tab/>
      </w:r>
      <w:r w:rsidRPr="00F51449">
        <w:rPr>
          <w:rFonts w:ascii="Arial" w:hAnsi="Arial" w:cs="Arial"/>
          <w:color w:val="000000"/>
          <w:sz w:val="20"/>
          <w:szCs w:val="20"/>
        </w:rPr>
        <w:t xml:space="preserve">In this context the definition of tender cannot be given its wide literal meaning. It certainly cannot mean that a tender must comply with conditions which are immaterial, unreasonable or unconstitutional. The defect relied on by the tender committee in this case is the appellant's failure to sign a duly completed form, in circumstances where it is clear that the failure was occasioned by an oversight. </w:t>
      </w:r>
      <w:r w:rsidRPr="00C41F89">
        <w:rPr>
          <w:rFonts w:ascii="Arial" w:hAnsi="Arial" w:cs="Arial"/>
          <w:color w:val="000000"/>
          <w:sz w:val="20"/>
          <w:szCs w:val="20"/>
        </w:rPr>
        <w:t>In determining whether this non-compliance rendered the appellant's tender unacceptable, regard must also be had to the purpose of the declaration of interest in relation to the tender process in question.</w:t>
      </w:r>
      <w:r w:rsidR="00C41F89">
        <w:rPr>
          <w:rFonts w:ascii="Arial" w:hAnsi="Arial" w:cs="Arial"/>
          <w:color w:val="000000"/>
          <w:sz w:val="20"/>
          <w:szCs w:val="20"/>
        </w:rPr>
        <w:t>”</w:t>
      </w:r>
    </w:p>
    <w:p w14:paraId="48852EA4" w14:textId="77777777" w:rsidR="00DE2E56" w:rsidRDefault="00DE2E56" w:rsidP="00175DB9">
      <w:pPr>
        <w:spacing w:after="0" w:line="360" w:lineRule="auto"/>
        <w:ind w:left="1276" w:hanging="567"/>
        <w:jc w:val="both"/>
        <w:rPr>
          <w:rFonts w:ascii="Arial" w:hAnsi="Arial" w:cs="Arial"/>
          <w:color w:val="000000"/>
          <w:sz w:val="20"/>
          <w:szCs w:val="20"/>
        </w:rPr>
      </w:pPr>
    </w:p>
    <w:p w14:paraId="385B23DE" w14:textId="0387071E" w:rsidR="0001670D" w:rsidRDefault="00B95536" w:rsidP="00333034">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[3</w:t>
      </w:r>
      <w:r w:rsidR="005014E4">
        <w:rPr>
          <w:rFonts w:ascii="Arial" w:hAnsi="Arial" w:cs="Arial"/>
          <w:color w:val="000000"/>
          <w:sz w:val="24"/>
          <w:szCs w:val="24"/>
        </w:rPr>
        <w:t>7</w:t>
      </w:r>
      <w:r>
        <w:rPr>
          <w:rFonts w:ascii="Arial" w:hAnsi="Arial" w:cs="Arial"/>
          <w:color w:val="000000"/>
          <w:sz w:val="24"/>
          <w:szCs w:val="24"/>
        </w:rPr>
        <w:t>]</w:t>
      </w:r>
      <w:r>
        <w:rPr>
          <w:rFonts w:ascii="Arial" w:hAnsi="Arial" w:cs="Arial"/>
          <w:color w:val="000000"/>
          <w:sz w:val="24"/>
          <w:szCs w:val="24"/>
        </w:rPr>
        <w:tab/>
      </w:r>
      <w:r w:rsidR="00CD5E1F">
        <w:rPr>
          <w:rFonts w:ascii="Arial" w:hAnsi="Arial" w:cs="Arial"/>
          <w:color w:val="000000"/>
          <w:sz w:val="24"/>
          <w:szCs w:val="24"/>
        </w:rPr>
        <w:t xml:space="preserve">In </w:t>
      </w:r>
      <w:r w:rsidR="008461CA">
        <w:rPr>
          <w:rFonts w:ascii="Arial" w:hAnsi="Arial" w:cs="Arial"/>
          <w:color w:val="000000"/>
          <w:sz w:val="24"/>
          <w:szCs w:val="24"/>
        </w:rPr>
        <w:t>evaluatin</w:t>
      </w:r>
      <w:r w:rsidR="007E2E13">
        <w:rPr>
          <w:rFonts w:ascii="Arial" w:hAnsi="Arial" w:cs="Arial"/>
          <w:color w:val="000000"/>
          <w:sz w:val="24"/>
          <w:szCs w:val="24"/>
        </w:rPr>
        <w:t xml:space="preserve">g </w:t>
      </w:r>
      <w:r w:rsidR="008461CA">
        <w:rPr>
          <w:rFonts w:ascii="Arial" w:hAnsi="Arial" w:cs="Arial"/>
          <w:color w:val="000000"/>
          <w:sz w:val="24"/>
          <w:szCs w:val="24"/>
        </w:rPr>
        <w:t>the evidence</w:t>
      </w:r>
      <w:r w:rsidR="00333034">
        <w:rPr>
          <w:rFonts w:ascii="Arial" w:hAnsi="Arial" w:cs="Arial"/>
          <w:color w:val="000000"/>
          <w:sz w:val="24"/>
          <w:szCs w:val="24"/>
        </w:rPr>
        <w:t xml:space="preserve"> and drawing the conclusions in</w:t>
      </w:r>
      <w:r w:rsidR="00426011">
        <w:rPr>
          <w:rFonts w:ascii="Arial" w:hAnsi="Arial" w:cs="Arial"/>
          <w:color w:val="000000"/>
          <w:sz w:val="24"/>
          <w:szCs w:val="24"/>
        </w:rPr>
        <w:t xml:space="preserve"> this</w:t>
      </w:r>
      <w:r w:rsidR="00333034">
        <w:rPr>
          <w:rFonts w:ascii="Arial" w:hAnsi="Arial" w:cs="Arial"/>
          <w:color w:val="000000"/>
          <w:sz w:val="24"/>
          <w:szCs w:val="24"/>
        </w:rPr>
        <w:t xml:space="preserve"> review application, this Court</w:t>
      </w:r>
      <w:r w:rsidR="003C4D78">
        <w:rPr>
          <w:rFonts w:ascii="Arial" w:hAnsi="Arial" w:cs="Arial"/>
          <w:color w:val="000000"/>
          <w:sz w:val="24"/>
          <w:szCs w:val="24"/>
        </w:rPr>
        <w:t xml:space="preserve"> takes due cognisance of the</w:t>
      </w:r>
      <w:r w:rsidR="00301D1B">
        <w:rPr>
          <w:rFonts w:ascii="Arial" w:hAnsi="Arial" w:cs="Arial"/>
          <w:color w:val="000000"/>
          <w:sz w:val="24"/>
          <w:szCs w:val="24"/>
        </w:rPr>
        <w:t xml:space="preserve"> well formulated judgment by Daffue J</w:t>
      </w:r>
      <w:r w:rsidR="00B2321D">
        <w:rPr>
          <w:rFonts w:ascii="Arial" w:hAnsi="Arial" w:cs="Arial"/>
          <w:color w:val="000000"/>
          <w:sz w:val="24"/>
          <w:szCs w:val="24"/>
        </w:rPr>
        <w:t>.  It must however be remembered that</w:t>
      </w:r>
      <w:r w:rsidR="00A406FC">
        <w:rPr>
          <w:rFonts w:ascii="Arial" w:hAnsi="Arial" w:cs="Arial"/>
          <w:color w:val="000000"/>
          <w:sz w:val="24"/>
          <w:szCs w:val="24"/>
        </w:rPr>
        <w:t xml:space="preserve"> his judgment was delivered when the applicant applied</w:t>
      </w:r>
      <w:r w:rsidR="00746AAA">
        <w:rPr>
          <w:rFonts w:ascii="Arial" w:hAnsi="Arial" w:cs="Arial"/>
          <w:color w:val="000000"/>
          <w:sz w:val="24"/>
          <w:szCs w:val="24"/>
        </w:rPr>
        <w:t xml:space="preserve"> for</w:t>
      </w:r>
      <w:r w:rsidR="00CF108F">
        <w:rPr>
          <w:rFonts w:ascii="Arial" w:hAnsi="Arial" w:cs="Arial"/>
          <w:color w:val="000000"/>
          <w:sz w:val="24"/>
          <w:szCs w:val="24"/>
        </w:rPr>
        <w:t xml:space="preserve"> the interim relief</w:t>
      </w:r>
      <w:r w:rsidR="00F96F61">
        <w:rPr>
          <w:rFonts w:ascii="Arial" w:hAnsi="Arial" w:cs="Arial"/>
          <w:color w:val="000000"/>
          <w:sz w:val="24"/>
          <w:szCs w:val="24"/>
        </w:rPr>
        <w:t xml:space="preserve"> as referred to in paragraph [2], supra.</w:t>
      </w:r>
      <w:r w:rsidR="000A0BD9">
        <w:rPr>
          <w:rFonts w:ascii="Arial" w:hAnsi="Arial" w:cs="Arial"/>
          <w:color w:val="000000"/>
          <w:sz w:val="24"/>
          <w:szCs w:val="24"/>
        </w:rPr>
        <w:t xml:space="preserve">  In doing </w:t>
      </w:r>
      <w:r w:rsidR="00197C11">
        <w:rPr>
          <w:rFonts w:ascii="Arial" w:hAnsi="Arial" w:cs="Arial"/>
          <w:color w:val="000000"/>
          <w:sz w:val="24"/>
          <w:szCs w:val="24"/>
        </w:rPr>
        <w:t>so, it</w:t>
      </w:r>
      <w:r w:rsidR="000A0BD9">
        <w:rPr>
          <w:rFonts w:ascii="Arial" w:hAnsi="Arial" w:cs="Arial"/>
          <w:color w:val="000000"/>
          <w:sz w:val="24"/>
          <w:szCs w:val="24"/>
        </w:rPr>
        <w:t xml:space="preserve"> is </w:t>
      </w:r>
      <w:r w:rsidR="00A123C3">
        <w:rPr>
          <w:rFonts w:ascii="Arial" w:hAnsi="Arial" w:cs="Arial"/>
          <w:color w:val="000000"/>
          <w:sz w:val="24"/>
          <w:szCs w:val="24"/>
        </w:rPr>
        <w:t>a</w:t>
      </w:r>
      <w:r w:rsidR="000A0BD9">
        <w:rPr>
          <w:rFonts w:ascii="Arial" w:hAnsi="Arial" w:cs="Arial"/>
          <w:color w:val="000000"/>
          <w:sz w:val="24"/>
          <w:szCs w:val="24"/>
        </w:rPr>
        <w:t xml:space="preserve"> fact that</w:t>
      </w:r>
      <w:r w:rsidR="009017B0">
        <w:rPr>
          <w:rFonts w:ascii="Arial" w:hAnsi="Arial" w:cs="Arial"/>
          <w:color w:val="000000"/>
          <w:sz w:val="24"/>
          <w:szCs w:val="24"/>
        </w:rPr>
        <w:t xml:space="preserve"> at that stage of the </w:t>
      </w:r>
      <w:r w:rsidR="00197C11">
        <w:rPr>
          <w:rFonts w:ascii="Arial" w:hAnsi="Arial" w:cs="Arial"/>
          <w:color w:val="000000"/>
          <w:sz w:val="24"/>
          <w:szCs w:val="24"/>
        </w:rPr>
        <w:t>proceedings, the</w:t>
      </w:r>
      <w:r w:rsidR="00EC7F2A">
        <w:rPr>
          <w:rFonts w:ascii="Arial" w:hAnsi="Arial" w:cs="Arial"/>
          <w:color w:val="000000"/>
          <w:sz w:val="24"/>
          <w:szCs w:val="24"/>
        </w:rPr>
        <w:t xml:space="preserve"> test that the Court then had to apply is</w:t>
      </w:r>
      <w:r w:rsidR="002B5C37">
        <w:rPr>
          <w:rFonts w:ascii="Arial" w:hAnsi="Arial" w:cs="Arial"/>
          <w:color w:val="000000"/>
          <w:sz w:val="24"/>
          <w:szCs w:val="24"/>
        </w:rPr>
        <w:t xml:space="preserve"> vastly different to the test and </w:t>
      </w:r>
      <w:r w:rsidR="00EF261F">
        <w:rPr>
          <w:rFonts w:ascii="Arial" w:hAnsi="Arial" w:cs="Arial"/>
          <w:color w:val="000000"/>
          <w:sz w:val="24"/>
          <w:szCs w:val="24"/>
        </w:rPr>
        <w:t xml:space="preserve">the further </w:t>
      </w:r>
      <w:r w:rsidR="002B5C37">
        <w:rPr>
          <w:rFonts w:ascii="Arial" w:hAnsi="Arial" w:cs="Arial"/>
          <w:color w:val="000000"/>
          <w:sz w:val="24"/>
          <w:szCs w:val="24"/>
        </w:rPr>
        <w:t xml:space="preserve">evidence that this Court now has to </w:t>
      </w:r>
      <w:r w:rsidR="00EF261F">
        <w:rPr>
          <w:rFonts w:ascii="Arial" w:hAnsi="Arial" w:cs="Arial"/>
          <w:color w:val="000000"/>
          <w:sz w:val="24"/>
          <w:szCs w:val="24"/>
        </w:rPr>
        <w:t xml:space="preserve">consider and </w:t>
      </w:r>
      <w:r w:rsidR="002B5C37">
        <w:rPr>
          <w:rFonts w:ascii="Arial" w:hAnsi="Arial" w:cs="Arial"/>
          <w:color w:val="000000"/>
          <w:sz w:val="24"/>
          <w:szCs w:val="24"/>
        </w:rPr>
        <w:t>apply in deciding</w:t>
      </w:r>
      <w:r w:rsidR="00426011">
        <w:rPr>
          <w:rFonts w:ascii="Arial" w:hAnsi="Arial" w:cs="Arial"/>
          <w:color w:val="000000"/>
          <w:sz w:val="24"/>
          <w:szCs w:val="24"/>
        </w:rPr>
        <w:t xml:space="preserve"> th</w:t>
      </w:r>
      <w:r w:rsidR="00EF261F">
        <w:rPr>
          <w:rFonts w:ascii="Arial" w:hAnsi="Arial" w:cs="Arial"/>
          <w:color w:val="000000"/>
          <w:sz w:val="24"/>
          <w:szCs w:val="24"/>
        </w:rPr>
        <w:t>is</w:t>
      </w:r>
      <w:r w:rsidR="00426011">
        <w:rPr>
          <w:rFonts w:ascii="Arial" w:hAnsi="Arial" w:cs="Arial"/>
          <w:color w:val="000000"/>
          <w:sz w:val="24"/>
          <w:szCs w:val="24"/>
        </w:rPr>
        <w:t xml:space="preserve"> review application.</w:t>
      </w:r>
      <w:r w:rsidR="00405753">
        <w:rPr>
          <w:rFonts w:ascii="Arial" w:hAnsi="Arial" w:cs="Arial"/>
          <w:color w:val="000000"/>
          <w:sz w:val="24"/>
          <w:szCs w:val="24"/>
        </w:rPr>
        <w:t xml:space="preserve">  </w:t>
      </w:r>
      <w:r w:rsidR="00ED6A79">
        <w:rPr>
          <w:rFonts w:ascii="Arial" w:hAnsi="Arial" w:cs="Arial"/>
          <w:color w:val="000000"/>
          <w:sz w:val="24"/>
          <w:szCs w:val="24"/>
        </w:rPr>
        <w:t>Where Daffue J pronounced on the</w:t>
      </w:r>
      <w:r w:rsidR="00916308">
        <w:rPr>
          <w:rFonts w:ascii="Arial" w:hAnsi="Arial" w:cs="Arial"/>
          <w:color w:val="000000"/>
          <w:sz w:val="24"/>
          <w:szCs w:val="24"/>
        </w:rPr>
        <w:t xml:space="preserve"> merits of the </w:t>
      </w:r>
      <w:r w:rsidR="00197C11">
        <w:rPr>
          <w:rFonts w:ascii="Arial" w:hAnsi="Arial" w:cs="Arial"/>
          <w:color w:val="000000"/>
          <w:sz w:val="24"/>
          <w:szCs w:val="24"/>
        </w:rPr>
        <w:t>review, this</w:t>
      </w:r>
      <w:r w:rsidR="008C5FED">
        <w:rPr>
          <w:rFonts w:ascii="Arial" w:hAnsi="Arial" w:cs="Arial"/>
          <w:color w:val="000000"/>
          <w:sz w:val="24"/>
          <w:szCs w:val="24"/>
        </w:rPr>
        <w:t xml:space="preserve"> Court will seriously consider same</w:t>
      </w:r>
      <w:r w:rsidR="0001670D">
        <w:rPr>
          <w:rFonts w:ascii="Arial" w:hAnsi="Arial" w:cs="Arial"/>
          <w:color w:val="000000"/>
          <w:sz w:val="24"/>
          <w:szCs w:val="24"/>
        </w:rPr>
        <w:t xml:space="preserve">, although </w:t>
      </w:r>
      <w:r w:rsidR="00007978">
        <w:rPr>
          <w:rFonts w:ascii="Arial" w:hAnsi="Arial" w:cs="Arial"/>
          <w:color w:val="000000"/>
          <w:sz w:val="24"/>
          <w:szCs w:val="24"/>
        </w:rPr>
        <w:t>his references</w:t>
      </w:r>
      <w:r w:rsidR="00266A22">
        <w:rPr>
          <w:rFonts w:ascii="Arial" w:hAnsi="Arial" w:cs="Arial"/>
          <w:color w:val="000000"/>
          <w:sz w:val="24"/>
          <w:szCs w:val="24"/>
        </w:rPr>
        <w:t xml:space="preserve"> to the merits</w:t>
      </w:r>
      <w:r w:rsidR="0001670D">
        <w:rPr>
          <w:rFonts w:ascii="Arial" w:hAnsi="Arial" w:cs="Arial"/>
          <w:color w:val="000000"/>
          <w:sz w:val="24"/>
          <w:szCs w:val="24"/>
        </w:rPr>
        <w:t xml:space="preserve"> may well</w:t>
      </w:r>
      <w:r w:rsidR="008C5FED">
        <w:rPr>
          <w:rFonts w:ascii="Arial" w:hAnsi="Arial" w:cs="Arial"/>
          <w:color w:val="000000"/>
          <w:sz w:val="24"/>
          <w:szCs w:val="24"/>
        </w:rPr>
        <w:t xml:space="preserve"> be</w:t>
      </w:r>
      <w:r w:rsidR="00347F3A">
        <w:rPr>
          <w:rFonts w:ascii="Arial" w:hAnsi="Arial" w:cs="Arial"/>
          <w:color w:val="000000"/>
          <w:sz w:val="24"/>
          <w:szCs w:val="24"/>
        </w:rPr>
        <w:t xml:space="preserve"> regard</w:t>
      </w:r>
      <w:r w:rsidR="00266A22">
        <w:rPr>
          <w:rFonts w:ascii="Arial" w:hAnsi="Arial" w:cs="Arial"/>
          <w:color w:val="000000"/>
          <w:sz w:val="24"/>
          <w:szCs w:val="24"/>
        </w:rPr>
        <w:t xml:space="preserve">ed by </w:t>
      </w:r>
      <w:r w:rsidR="00347F3A">
        <w:rPr>
          <w:rFonts w:ascii="Arial" w:hAnsi="Arial" w:cs="Arial"/>
          <w:color w:val="000000"/>
          <w:sz w:val="24"/>
          <w:szCs w:val="24"/>
        </w:rPr>
        <w:t xml:space="preserve"> </w:t>
      </w:r>
      <w:r w:rsidR="00347F3A" w:rsidRPr="00197C11">
        <w:rPr>
          <w:rFonts w:ascii="Arial" w:hAnsi="Arial" w:cs="Arial"/>
          <w:color w:val="FF0000"/>
          <w:sz w:val="24"/>
          <w:szCs w:val="24"/>
        </w:rPr>
        <w:t>it</w:t>
      </w:r>
      <w:r w:rsidR="00347F3A">
        <w:rPr>
          <w:rFonts w:ascii="Arial" w:hAnsi="Arial" w:cs="Arial"/>
          <w:color w:val="000000"/>
          <w:sz w:val="24"/>
          <w:szCs w:val="24"/>
        </w:rPr>
        <w:t xml:space="preserve"> as orbiter</w:t>
      </w:r>
      <w:r w:rsidR="0001670D">
        <w:rPr>
          <w:rFonts w:ascii="Arial" w:hAnsi="Arial" w:cs="Arial"/>
          <w:color w:val="000000"/>
          <w:sz w:val="24"/>
          <w:szCs w:val="24"/>
        </w:rPr>
        <w:t>.</w:t>
      </w:r>
    </w:p>
    <w:p w14:paraId="1B7BD0C5" w14:textId="77777777" w:rsidR="00397B5D" w:rsidRDefault="00397B5D" w:rsidP="00333034">
      <w:pPr>
        <w:spacing w:after="0" w:line="360" w:lineRule="auto"/>
        <w:ind w:left="709" w:hanging="709"/>
        <w:jc w:val="both"/>
        <w:rPr>
          <w:rFonts w:ascii="Arial" w:hAnsi="Arial" w:cs="Arial"/>
          <w:color w:val="000000"/>
          <w:sz w:val="24"/>
          <w:szCs w:val="24"/>
        </w:rPr>
      </w:pPr>
    </w:p>
    <w:p w14:paraId="7804D63A" w14:textId="77777777" w:rsidR="00397B5D" w:rsidRDefault="00397B5D" w:rsidP="00333034">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[3</w:t>
      </w:r>
      <w:r w:rsidR="005014E4">
        <w:rPr>
          <w:rFonts w:ascii="Arial" w:hAnsi="Arial" w:cs="Arial"/>
          <w:color w:val="000000"/>
          <w:sz w:val="24"/>
          <w:szCs w:val="24"/>
        </w:rPr>
        <w:t>8</w:t>
      </w:r>
      <w:r>
        <w:rPr>
          <w:rFonts w:ascii="Arial" w:hAnsi="Arial" w:cs="Arial"/>
          <w:color w:val="000000"/>
          <w:sz w:val="24"/>
          <w:szCs w:val="24"/>
        </w:rPr>
        <w:t>]</w:t>
      </w:r>
      <w:r>
        <w:rPr>
          <w:rFonts w:ascii="Arial" w:hAnsi="Arial" w:cs="Arial"/>
          <w:color w:val="000000"/>
          <w:sz w:val="24"/>
          <w:szCs w:val="24"/>
        </w:rPr>
        <w:tab/>
      </w:r>
      <w:r w:rsidR="001B02E8">
        <w:rPr>
          <w:rFonts w:ascii="Arial" w:hAnsi="Arial" w:cs="Arial"/>
          <w:color w:val="000000"/>
          <w:sz w:val="24"/>
          <w:szCs w:val="24"/>
        </w:rPr>
        <w:t>The factual dispute</w:t>
      </w:r>
      <w:r w:rsidR="00FE64AE">
        <w:rPr>
          <w:rFonts w:ascii="Arial" w:hAnsi="Arial" w:cs="Arial"/>
          <w:color w:val="000000"/>
          <w:sz w:val="24"/>
          <w:szCs w:val="24"/>
        </w:rPr>
        <w:t xml:space="preserve"> referred to in paragraph [2</w:t>
      </w:r>
      <w:r w:rsidR="00016134">
        <w:rPr>
          <w:rFonts w:ascii="Arial" w:hAnsi="Arial" w:cs="Arial"/>
          <w:color w:val="000000"/>
          <w:sz w:val="24"/>
          <w:szCs w:val="24"/>
        </w:rPr>
        <w:t>6</w:t>
      </w:r>
      <w:r w:rsidR="00197C11">
        <w:rPr>
          <w:rFonts w:ascii="Arial" w:hAnsi="Arial" w:cs="Arial"/>
          <w:color w:val="000000"/>
          <w:sz w:val="24"/>
          <w:szCs w:val="24"/>
        </w:rPr>
        <w:t>], supra, should</w:t>
      </w:r>
      <w:r w:rsidR="009A56F3">
        <w:rPr>
          <w:rFonts w:ascii="Arial" w:hAnsi="Arial" w:cs="Arial"/>
          <w:color w:val="000000"/>
          <w:sz w:val="24"/>
          <w:szCs w:val="24"/>
        </w:rPr>
        <w:t xml:space="preserve"> in my judgment be dealt with by applying the</w:t>
      </w:r>
      <w:r w:rsidR="00E7454D">
        <w:rPr>
          <w:rFonts w:ascii="Arial" w:hAnsi="Arial" w:cs="Arial"/>
          <w:color w:val="000000"/>
          <w:sz w:val="24"/>
          <w:szCs w:val="24"/>
        </w:rPr>
        <w:t xml:space="preserve"> so-called “Plascon-Evans Rule</w:t>
      </w:r>
      <w:r w:rsidR="005F67B4">
        <w:rPr>
          <w:rFonts w:ascii="Arial" w:hAnsi="Arial" w:cs="Arial"/>
          <w:color w:val="000000"/>
          <w:sz w:val="24"/>
          <w:szCs w:val="24"/>
        </w:rPr>
        <w:t>”</w:t>
      </w:r>
      <w:r w:rsidR="00E7454D">
        <w:rPr>
          <w:rFonts w:ascii="Arial" w:hAnsi="Arial" w:cs="Arial"/>
          <w:color w:val="000000"/>
          <w:sz w:val="24"/>
          <w:szCs w:val="24"/>
        </w:rPr>
        <w:t>.</w:t>
      </w:r>
      <w:r w:rsidR="005F67B4">
        <w:rPr>
          <w:rFonts w:ascii="Arial" w:hAnsi="Arial" w:cs="Arial"/>
          <w:color w:val="000000"/>
          <w:sz w:val="24"/>
          <w:szCs w:val="24"/>
        </w:rPr>
        <w:t xml:space="preserve">  It is trite that this </w:t>
      </w:r>
      <w:r w:rsidR="005F67B4">
        <w:rPr>
          <w:rFonts w:ascii="Arial" w:hAnsi="Arial" w:cs="Arial"/>
          <w:color w:val="000000"/>
          <w:sz w:val="24"/>
          <w:szCs w:val="24"/>
        </w:rPr>
        <w:lastRenderedPageBreak/>
        <w:t xml:space="preserve">rule that emanates from the </w:t>
      </w:r>
      <w:r w:rsidR="000C1ACD">
        <w:rPr>
          <w:rFonts w:ascii="Arial" w:hAnsi="Arial" w:cs="Arial"/>
          <w:color w:val="000000"/>
          <w:sz w:val="24"/>
          <w:szCs w:val="24"/>
        </w:rPr>
        <w:t xml:space="preserve">well known case of </w:t>
      </w:r>
      <w:r w:rsidR="000C1ACD">
        <w:rPr>
          <w:rFonts w:ascii="Arial" w:hAnsi="Arial" w:cs="Arial"/>
          <w:i/>
          <w:iCs/>
          <w:color w:val="000000"/>
          <w:sz w:val="24"/>
          <w:szCs w:val="24"/>
        </w:rPr>
        <w:t>Plasacon-Evans Paints</w:t>
      </w:r>
      <w:r w:rsidR="005D47FF">
        <w:rPr>
          <w:rFonts w:ascii="Arial" w:hAnsi="Arial" w:cs="Arial"/>
          <w:i/>
          <w:iCs/>
          <w:color w:val="000000"/>
          <w:sz w:val="24"/>
          <w:szCs w:val="24"/>
        </w:rPr>
        <w:t xml:space="preserve"> Ltd</w:t>
      </w:r>
      <w:r w:rsidR="000C1ACD">
        <w:rPr>
          <w:rFonts w:ascii="Arial" w:hAnsi="Arial" w:cs="Arial"/>
          <w:i/>
          <w:iCs/>
          <w:color w:val="000000"/>
          <w:sz w:val="24"/>
          <w:szCs w:val="24"/>
        </w:rPr>
        <w:t xml:space="preserve"> v Van Riebeeck</w:t>
      </w:r>
      <w:r w:rsidR="005D47FF">
        <w:rPr>
          <w:rFonts w:ascii="Arial" w:hAnsi="Arial" w:cs="Arial"/>
          <w:i/>
          <w:iCs/>
          <w:color w:val="000000"/>
          <w:sz w:val="24"/>
          <w:szCs w:val="24"/>
        </w:rPr>
        <w:t xml:space="preserve"> Paints</w:t>
      </w:r>
      <w:r w:rsidR="00A11A61">
        <w:rPr>
          <w:rFonts w:ascii="Arial" w:hAnsi="Arial" w:cs="Arial"/>
          <w:i/>
          <w:iCs/>
          <w:color w:val="000000"/>
          <w:sz w:val="24"/>
          <w:szCs w:val="24"/>
        </w:rPr>
        <w:t xml:space="preserve"> (Pty) Ltd</w:t>
      </w:r>
      <w:r w:rsidR="006A613F">
        <w:rPr>
          <w:rFonts w:ascii="Arial" w:hAnsi="Arial" w:cs="Arial"/>
          <w:i/>
          <w:iCs/>
          <w:color w:val="000000"/>
          <w:sz w:val="24"/>
          <w:szCs w:val="24"/>
        </w:rPr>
        <w:t>.</w:t>
      </w:r>
      <w:r w:rsidR="00A11A61">
        <w:rPr>
          <w:rStyle w:val="FootnoteReference"/>
          <w:rFonts w:ascii="Arial" w:hAnsi="Arial" w:cs="Arial"/>
          <w:i/>
          <w:iCs/>
          <w:color w:val="000000"/>
          <w:sz w:val="24"/>
          <w:szCs w:val="24"/>
        </w:rPr>
        <w:footnoteReference w:id="20"/>
      </w:r>
      <w:r w:rsidR="000F5162">
        <w:rPr>
          <w:rFonts w:ascii="Arial" w:hAnsi="Arial" w:cs="Arial"/>
          <w:i/>
          <w:iCs/>
          <w:color w:val="000000"/>
          <w:sz w:val="24"/>
          <w:szCs w:val="24"/>
        </w:rPr>
        <w:t xml:space="preserve"> </w:t>
      </w:r>
      <w:r w:rsidR="007F3BEF" w:rsidRPr="00E934AB">
        <w:rPr>
          <w:rFonts w:ascii="Arial" w:hAnsi="Arial" w:cs="Arial"/>
          <w:color w:val="000000"/>
          <w:sz w:val="24"/>
          <w:szCs w:val="24"/>
        </w:rPr>
        <w:t xml:space="preserve">In essence,  </w:t>
      </w:r>
      <w:r w:rsidR="006B1208" w:rsidRPr="00E934AB">
        <w:rPr>
          <w:rFonts w:ascii="Arial" w:hAnsi="Arial" w:cs="Arial"/>
          <w:color w:val="000000"/>
          <w:sz w:val="24"/>
          <w:szCs w:val="24"/>
        </w:rPr>
        <w:t>this entails that the relief</w:t>
      </w:r>
      <w:r w:rsidR="00E934AB">
        <w:rPr>
          <w:rFonts w:ascii="Arial" w:hAnsi="Arial" w:cs="Arial"/>
          <w:color w:val="000000"/>
          <w:sz w:val="24"/>
          <w:szCs w:val="24"/>
        </w:rPr>
        <w:t xml:space="preserve"> </w:t>
      </w:r>
      <w:r w:rsidR="00A109D9">
        <w:rPr>
          <w:rFonts w:ascii="Arial" w:hAnsi="Arial" w:cs="Arial"/>
          <w:color w:val="000000"/>
          <w:sz w:val="24"/>
          <w:szCs w:val="24"/>
        </w:rPr>
        <w:t>the applicant claims</w:t>
      </w:r>
      <w:r w:rsidR="002B1CAC">
        <w:rPr>
          <w:rFonts w:ascii="Arial" w:hAnsi="Arial" w:cs="Arial"/>
          <w:color w:val="000000"/>
          <w:sz w:val="24"/>
          <w:szCs w:val="24"/>
        </w:rPr>
        <w:t xml:space="preserve"> should only be granted</w:t>
      </w:r>
      <w:r w:rsidR="00E71D00">
        <w:rPr>
          <w:rFonts w:ascii="Arial" w:hAnsi="Arial" w:cs="Arial"/>
          <w:color w:val="000000"/>
          <w:sz w:val="24"/>
          <w:szCs w:val="24"/>
        </w:rPr>
        <w:t xml:space="preserve"> if the facts stated by the respondent,  together with the admitted facts</w:t>
      </w:r>
      <w:r w:rsidR="009C64AA">
        <w:rPr>
          <w:rFonts w:ascii="Arial" w:hAnsi="Arial" w:cs="Arial"/>
          <w:color w:val="000000"/>
          <w:sz w:val="24"/>
          <w:szCs w:val="24"/>
        </w:rPr>
        <w:t xml:space="preserve"> in the applicant’s affidavits, justify </w:t>
      </w:r>
      <w:r w:rsidR="0066343F">
        <w:rPr>
          <w:rFonts w:ascii="Arial" w:hAnsi="Arial" w:cs="Arial"/>
          <w:color w:val="000000"/>
          <w:sz w:val="24"/>
          <w:szCs w:val="24"/>
        </w:rPr>
        <w:t>the order.</w:t>
      </w:r>
      <w:r w:rsidR="00F51452">
        <w:rPr>
          <w:rFonts w:ascii="Arial" w:hAnsi="Arial" w:cs="Arial"/>
          <w:color w:val="000000"/>
          <w:sz w:val="24"/>
          <w:szCs w:val="24"/>
        </w:rPr>
        <w:t xml:space="preserve">  In applying this </w:t>
      </w:r>
      <w:r w:rsidR="008864BA">
        <w:rPr>
          <w:rFonts w:ascii="Arial" w:hAnsi="Arial" w:cs="Arial"/>
          <w:color w:val="000000"/>
          <w:sz w:val="24"/>
          <w:szCs w:val="24"/>
        </w:rPr>
        <w:t>rule, it</w:t>
      </w:r>
      <w:r w:rsidR="0002471F">
        <w:rPr>
          <w:rFonts w:ascii="Arial" w:hAnsi="Arial" w:cs="Arial"/>
          <w:color w:val="000000"/>
          <w:sz w:val="24"/>
          <w:szCs w:val="24"/>
        </w:rPr>
        <w:t xml:space="preserve"> follows that the case should be</w:t>
      </w:r>
      <w:r w:rsidR="002B3EF5">
        <w:rPr>
          <w:rFonts w:ascii="Arial" w:hAnsi="Arial" w:cs="Arial"/>
          <w:color w:val="000000"/>
          <w:sz w:val="24"/>
          <w:szCs w:val="24"/>
        </w:rPr>
        <w:t xml:space="preserve"> adjudicated on this </w:t>
      </w:r>
      <w:r w:rsidR="008864BA">
        <w:rPr>
          <w:rFonts w:ascii="Arial" w:hAnsi="Arial" w:cs="Arial"/>
          <w:color w:val="000000"/>
          <w:sz w:val="24"/>
          <w:szCs w:val="24"/>
        </w:rPr>
        <w:t>aspect, on</w:t>
      </w:r>
      <w:r w:rsidR="002B3EF5">
        <w:rPr>
          <w:rFonts w:ascii="Arial" w:hAnsi="Arial" w:cs="Arial"/>
          <w:color w:val="000000"/>
          <w:sz w:val="24"/>
          <w:szCs w:val="24"/>
        </w:rPr>
        <w:t xml:space="preserve"> the basis that</w:t>
      </w:r>
      <w:r w:rsidR="00016134">
        <w:rPr>
          <w:rFonts w:ascii="Arial" w:hAnsi="Arial" w:cs="Arial"/>
          <w:color w:val="000000"/>
          <w:sz w:val="24"/>
          <w:szCs w:val="24"/>
        </w:rPr>
        <w:t xml:space="preserve"> Mr Ndaba did not tell Mr Maluleke of the applicant</w:t>
      </w:r>
      <w:r w:rsidR="002D520E">
        <w:rPr>
          <w:rFonts w:ascii="Arial" w:hAnsi="Arial" w:cs="Arial"/>
          <w:color w:val="000000"/>
          <w:sz w:val="24"/>
          <w:szCs w:val="24"/>
        </w:rPr>
        <w:t xml:space="preserve"> </w:t>
      </w:r>
      <w:r w:rsidR="00B47D92">
        <w:rPr>
          <w:rFonts w:ascii="Arial" w:hAnsi="Arial" w:cs="Arial"/>
          <w:color w:val="000000"/>
          <w:sz w:val="24"/>
          <w:szCs w:val="24"/>
        </w:rPr>
        <w:t>that subcontracting was not an issue and that it will only be</w:t>
      </w:r>
      <w:r w:rsidR="003A2178">
        <w:rPr>
          <w:rFonts w:ascii="Arial" w:hAnsi="Arial" w:cs="Arial"/>
          <w:color w:val="000000"/>
          <w:sz w:val="24"/>
          <w:szCs w:val="24"/>
        </w:rPr>
        <w:t xml:space="preserve"> dealt with </w:t>
      </w:r>
      <w:r w:rsidR="00223B6C">
        <w:rPr>
          <w:rFonts w:ascii="Arial" w:hAnsi="Arial" w:cs="Arial"/>
          <w:color w:val="000000"/>
          <w:sz w:val="24"/>
          <w:szCs w:val="24"/>
        </w:rPr>
        <w:t xml:space="preserve">the successful tenderer, </w:t>
      </w:r>
      <w:r w:rsidR="003A2178">
        <w:rPr>
          <w:rFonts w:ascii="Arial" w:hAnsi="Arial" w:cs="Arial"/>
          <w:color w:val="000000"/>
          <w:sz w:val="24"/>
          <w:szCs w:val="24"/>
        </w:rPr>
        <w:t>after the tender had finally been awarded.</w:t>
      </w:r>
      <w:r w:rsidR="00E85AC2">
        <w:rPr>
          <w:rFonts w:ascii="Arial" w:hAnsi="Arial" w:cs="Arial"/>
          <w:color w:val="000000"/>
          <w:sz w:val="24"/>
          <w:szCs w:val="24"/>
        </w:rPr>
        <w:t xml:space="preserve">  </w:t>
      </w:r>
      <w:r w:rsidR="009B30C6">
        <w:rPr>
          <w:rFonts w:ascii="Arial" w:hAnsi="Arial" w:cs="Arial"/>
          <w:color w:val="000000"/>
          <w:sz w:val="24"/>
          <w:szCs w:val="24"/>
        </w:rPr>
        <w:t xml:space="preserve">Over and above this, it must be </w:t>
      </w:r>
      <w:r w:rsidR="008864BA">
        <w:rPr>
          <w:rFonts w:ascii="Arial" w:hAnsi="Arial" w:cs="Arial"/>
          <w:color w:val="000000"/>
          <w:sz w:val="24"/>
          <w:szCs w:val="24"/>
        </w:rPr>
        <w:t>remembered, as</w:t>
      </w:r>
      <w:r w:rsidR="00CD1E36">
        <w:rPr>
          <w:rFonts w:ascii="Arial" w:hAnsi="Arial" w:cs="Arial"/>
          <w:color w:val="000000"/>
          <w:sz w:val="24"/>
          <w:szCs w:val="24"/>
        </w:rPr>
        <w:t xml:space="preserve"> is indicated in paragraph [1</w:t>
      </w:r>
      <w:r w:rsidR="00BD7847">
        <w:rPr>
          <w:rFonts w:ascii="Arial" w:hAnsi="Arial" w:cs="Arial"/>
          <w:color w:val="000000"/>
          <w:sz w:val="24"/>
          <w:szCs w:val="24"/>
        </w:rPr>
        <w:t>5</w:t>
      </w:r>
      <w:r w:rsidR="008864BA">
        <w:rPr>
          <w:rFonts w:ascii="Arial" w:hAnsi="Arial" w:cs="Arial"/>
          <w:color w:val="000000"/>
          <w:sz w:val="24"/>
          <w:szCs w:val="24"/>
        </w:rPr>
        <w:t>], supra, that</w:t>
      </w:r>
      <w:r w:rsidR="009B30C6">
        <w:rPr>
          <w:rFonts w:ascii="Arial" w:hAnsi="Arial" w:cs="Arial"/>
          <w:color w:val="000000"/>
          <w:sz w:val="24"/>
          <w:szCs w:val="24"/>
        </w:rPr>
        <w:t xml:space="preserve"> the tender documentation</w:t>
      </w:r>
      <w:r w:rsidR="006D258B">
        <w:rPr>
          <w:rFonts w:ascii="Arial" w:hAnsi="Arial" w:cs="Arial"/>
          <w:color w:val="000000"/>
          <w:sz w:val="24"/>
          <w:szCs w:val="24"/>
        </w:rPr>
        <w:t xml:space="preserve"> clearly stipulates that</w:t>
      </w:r>
      <w:r w:rsidR="000D2F6C">
        <w:rPr>
          <w:rFonts w:ascii="Arial" w:hAnsi="Arial" w:cs="Arial"/>
          <w:color w:val="000000"/>
          <w:sz w:val="24"/>
          <w:szCs w:val="24"/>
        </w:rPr>
        <w:t xml:space="preserve"> communication between the tenderer and the</w:t>
      </w:r>
      <w:r w:rsidR="009D0AE4">
        <w:rPr>
          <w:rFonts w:ascii="Arial" w:hAnsi="Arial" w:cs="Arial"/>
          <w:color w:val="000000"/>
          <w:sz w:val="24"/>
          <w:szCs w:val="24"/>
        </w:rPr>
        <w:t xml:space="preserve"> employer must be in writing and with the employer’s engineer or agent.</w:t>
      </w:r>
      <w:r w:rsidR="006471DE">
        <w:rPr>
          <w:rFonts w:ascii="Arial" w:hAnsi="Arial" w:cs="Arial"/>
          <w:color w:val="000000"/>
          <w:sz w:val="24"/>
          <w:szCs w:val="24"/>
        </w:rPr>
        <w:t xml:space="preserve">  That did not happen.</w:t>
      </w:r>
    </w:p>
    <w:p w14:paraId="6C9B65E7" w14:textId="77777777" w:rsidR="006471DE" w:rsidRDefault="006471DE" w:rsidP="00333034">
      <w:pPr>
        <w:spacing w:after="0" w:line="360" w:lineRule="auto"/>
        <w:ind w:left="709" w:hanging="709"/>
        <w:jc w:val="both"/>
        <w:rPr>
          <w:rFonts w:ascii="Arial" w:hAnsi="Arial" w:cs="Arial"/>
          <w:color w:val="000000"/>
          <w:sz w:val="24"/>
          <w:szCs w:val="24"/>
        </w:rPr>
      </w:pPr>
    </w:p>
    <w:p w14:paraId="20A1526B" w14:textId="77777777" w:rsidR="006471DE" w:rsidRDefault="006471DE" w:rsidP="00333034">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[3</w:t>
      </w:r>
      <w:r w:rsidR="005014E4">
        <w:rPr>
          <w:rFonts w:ascii="Arial" w:hAnsi="Arial" w:cs="Arial"/>
          <w:color w:val="000000"/>
          <w:sz w:val="24"/>
          <w:szCs w:val="24"/>
        </w:rPr>
        <w:t>9</w:t>
      </w:r>
      <w:r>
        <w:rPr>
          <w:rFonts w:ascii="Arial" w:hAnsi="Arial" w:cs="Arial"/>
          <w:color w:val="000000"/>
          <w:sz w:val="24"/>
          <w:szCs w:val="24"/>
        </w:rPr>
        <w:t>]</w:t>
      </w:r>
      <w:r>
        <w:rPr>
          <w:rFonts w:ascii="Arial" w:hAnsi="Arial" w:cs="Arial"/>
          <w:color w:val="000000"/>
          <w:sz w:val="24"/>
          <w:szCs w:val="24"/>
        </w:rPr>
        <w:tab/>
      </w:r>
      <w:r w:rsidR="00A96679">
        <w:rPr>
          <w:rFonts w:ascii="Arial" w:hAnsi="Arial" w:cs="Arial"/>
          <w:color w:val="000000"/>
          <w:sz w:val="24"/>
          <w:szCs w:val="24"/>
        </w:rPr>
        <w:t>In the premises,  it follows in my judgment</w:t>
      </w:r>
      <w:r w:rsidR="00795DA8">
        <w:rPr>
          <w:rFonts w:ascii="Arial" w:hAnsi="Arial" w:cs="Arial"/>
          <w:color w:val="000000"/>
          <w:sz w:val="24"/>
          <w:szCs w:val="24"/>
        </w:rPr>
        <w:t>,</w:t>
      </w:r>
      <w:r w:rsidR="00A96679">
        <w:rPr>
          <w:rFonts w:ascii="Arial" w:hAnsi="Arial" w:cs="Arial"/>
          <w:color w:val="000000"/>
          <w:sz w:val="24"/>
          <w:szCs w:val="24"/>
        </w:rPr>
        <w:t xml:space="preserve"> that </w:t>
      </w:r>
      <w:r w:rsidR="008C3445">
        <w:rPr>
          <w:rFonts w:ascii="Arial" w:hAnsi="Arial" w:cs="Arial"/>
          <w:color w:val="000000"/>
          <w:sz w:val="24"/>
          <w:szCs w:val="24"/>
        </w:rPr>
        <w:t>the evaluation of</w:t>
      </w:r>
      <w:r w:rsidR="00C12039">
        <w:rPr>
          <w:rFonts w:ascii="Arial" w:hAnsi="Arial" w:cs="Arial"/>
          <w:color w:val="000000"/>
          <w:sz w:val="24"/>
          <w:szCs w:val="24"/>
        </w:rPr>
        <w:t xml:space="preserve"> the applicant’s bid must be done</w:t>
      </w:r>
      <w:r w:rsidR="000D67E2">
        <w:rPr>
          <w:rFonts w:ascii="Arial" w:hAnsi="Arial" w:cs="Arial"/>
          <w:color w:val="000000"/>
          <w:sz w:val="24"/>
          <w:szCs w:val="24"/>
        </w:rPr>
        <w:t xml:space="preserve"> on the tender documentation itself and how it was completed</w:t>
      </w:r>
      <w:r w:rsidR="00933145">
        <w:rPr>
          <w:rFonts w:ascii="Arial" w:hAnsi="Arial" w:cs="Arial"/>
          <w:color w:val="000000"/>
          <w:sz w:val="24"/>
          <w:szCs w:val="24"/>
        </w:rPr>
        <w:t xml:space="preserve"> or not completed by the applicant itself</w:t>
      </w:r>
      <w:r w:rsidR="0027233A">
        <w:rPr>
          <w:rFonts w:ascii="Arial" w:hAnsi="Arial" w:cs="Arial"/>
          <w:color w:val="000000"/>
          <w:sz w:val="24"/>
          <w:szCs w:val="24"/>
        </w:rPr>
        <w:t xml:space="preserve"> and</w:t>
      </w:r>
      <w:r w:rsidR="00FA7B95">
        <w:rPr>
          <w:rFonts w:ascii="Arial" w:hAnsi="Arial" w:cs="Arial"/>
          <w:color w:val="000000"/>
          <w:sz w:val="24"/>
          <w:szCs w:val="24"/>
        </w:rPr>
        <w:t xml:space="preserve"> applying that to the applicable legal framework.</w:t>
      </w:r>
    </w:p>
    <w:p w14:paraId="67E3A451" w14:textId="77777777" w:rsidR="00085CA8" w:rsidRDefault="00085CA8" w:rsidP="00333034">
      <w:pPr>
        <w:spacing w:after="0" w:line="360" w:lineRule="auto"/>
        <w:ind w:left="709" w:hanging="709"/>
        <w:jc w:val="both"/>
        <w:rPr>
          <w:rFonts w:ascii="Arial" w:hAnsi="Arial" w:cs="Arial"/>
          <w:color w:val="000000"/>
          <w:sz w:val="24"/>
          <w:szCs w:val="24"/>
        </w:rPr>
      </w:pPr>
    </w:p>
    <w:p w14:paraId="2323A247" w14:textId="77777777" w:rsidR="00085CA8" w:rsidRDefault="00085CA8" w:rsidP="00333034">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w:t>
      </w:r>
      <w:r w:rsidR="005014E4">
        <w:rPr>
          <w:rFonts w:ascii="Arial" w:hAnsi="Arial" w:cs="Arial"/>
          <w:color w:val="000000"/>
          <w:sz w:val="24"/>
          <w:szCs w:val="24"/>
        </w:rPr>
        <w:t>40</w:t>
      </w:r>
      <w:r>
        <w:rPr>
          <w:rFonts w:ascii="Arial" w:hAnsi="Arial" w:cs="Arial"/>
          <w:color w:val="000000"/>
          <w:sz w:val="24"/>
          <w:szCs w:val="24"/>
        </w:rPr>
        <w:t>]</w:t>
      </w:r>
      <w:r>
        <w:rPr>
          <w:rFonts w:ascii="Arial" w:hAnsi="Arial" w:cs="Arial"/>
          <w:color w:val="000000"/>
          <w:sz w:val="24"/>
          <w:szCs w:val="24"/>
        </w:rPr>
        <w:tab/>
      </w:r>
      <w:r w:rsidR="00224FD4">
        <w:rPr>
          <w:rFonts w:ascii="Arial" w:hAnsi="Arial" w:cs="Arial"/>
          <w:color w:val="000000"/>
          <w:sz w:val="24"/>
          <w:szCs w:val="24"/>
        </w:rPr>
        <w:t>In an affidavit</w:t>
      </w:r>
      <w:r w:rsidR="000C6B28">
        <w:rPr>
          <w:rFonts w:ascii="Arial" w:hAnsi="Arial" w:cs="Arial"/>
          <w:color w:val="000000"/>
          <w:sz w:val="24"/>
          <w:szCs w:val="24"/>
        </w:rPr>
        <w:t xml:space="preserve"> of Mr Monyane</w:t>
      </w:r>
      <w:r w:rsidR="009D0432">
        <w:rPr>
          <w:rStyle w:val="FootnoteReference"/>
          <w:rFonts w:ascii="Arial" w:hAnsi="Arial" w:cs="Arial"/>
          <w:color w:val="000000"/>
          <w:sz w:val="24"/>
          <w:szCs w:val="24"/>
        </w:rPr>
        <w:footnoteReference w:id="21"/>
      </w:r>
      <w:r w:rsidR="000C6B28">
        <w:rPr>
          <w:rFonts w:ascii="Arial" w:hAnsi="Arial" w:cs="Arial"/>
          <w:color w:val="000000"/>
          <w:sz w:val="24"/>
          <w:szCs w:val="24"/>
        </w:rPr>
        <w:t xml:space="preserve">, filed by the first respondent, </w:t>
      </w:r>
      <w:r w:rsidR="00B30132">
        <w:rPr>
          <w:rFonts w:ascii="Arial" w:hAnsi="Arial" w:cs="Arial"/>
          <w:color w:val="000000"/>
          <w:sz w:val="24"/>
          <w:szCs w:val="24"/>
        </w:rPr>
        <w:t>he explained that he was the person who drafted the “reason</w:t>
      </w:r>
      <w:r w:rsidR="00B31477">
        <w:rPr>
          <w:rFonts w:ascii="Arial" w:hAnsi="Arial" w:cs="Arial"/>
          <w:color w:val="000000"/>
          <w:sz w:val="24"/>
          <w:szCs w:val="24"/>
        </w:rPr>
        <w:t>s” referred to in paragraph [</w:t>
      </w:r>
      <w:r w:rsidR="005F13AC">
        <w:rPr>
          <w:rFonts w:ascii="Arial" w:hAnsi="Arial" w:cs="Arial"/>
          <w:color w:val="000000"/>
          <w:sz w:val="24"/>
          <w:szCs w:val="24"/>
        </w:rPr>
        <w:t>10</w:t>
      </w:r>
      <w:r w:rsidR="00AD1B63">
        <w:rPr>
          <w:rFonts w:ascii="Arial" w:hAnsi="Arial" w:cs="Arial"/>
          <w:color w:val="000000"/>
          <w:sz w:val="24"/>
          <w:szCs w:val="24"/>
        </w:rPr>
        <w:t>],  supra.</w:t>
      </w:r>
      <w:r w:rsidR="00E74BA4">
        <w:rPr>
          <w:rFonts w:ascii="Arial" w:hAnsi="Arial" w:cs="Arial"/>
          <w:color w:val="000000"/>
          <w:sz w:val="24"/>
          <w:szCs w:val="24"/>
        </w:rPr>
        <w:t xml:space="preserve">  He explained that he had the so-called “Implementation Guide</w:t>
      </w:r>
      <w:r w:rsidR="00AE79D4">
        <w:rPr>
          <w:rFonts w:ascii="Arial" w:hAnsi="Arial" w:cs="Arial"/>
          <w:color w:val="000000"/>
          <w:sz w:val="24"/>
          <w:szCs w:val="24"/>
        </w:rPr>
        <w:t>: Preferential Procurement Regulations” before him</w:t>
      </w:r>
      <w:r w:rsidR="00980498">
        <w:rPr>
          <w:rFonts w:ascii="Arial" w:hAnsi="Arial" w:cs="Arial"/>
          <w:color w:val="000000"/>
          <w:sz w:val="24"/>
          <w:szCs w:val="24"/>
        </w:rPr>
        <w:t>.</w:t>
      </w:r>
      <w:r w:rsidR="00FD37BE">
        <w:rPr>
          <w:rFonts w:ascii="Arial" w:hAnsi="Arial" w:cs="Arial"/>
          <w:color w:val="000000"/>
          <w:sz w:val="24"/>
          <w:szCs w:val="24"/>
        </w:rPr>
        <w:t xml:space="preserve">  In that guide</w:t>
      </w:r>
      <w:r w:rsidR="00AE24BC">
        <w:rPr>
          <w:rFonts w:ascii="Arial" w:hAnsi="Arial" w:cs="Arial"/>
          <w:color w:val="000000"/>
          <w:sz w:val="24"/>
          <w:szCs w:val="24"/>
        </w:rPr>
        <w:t>,  Regulation 9</w:t>
      </w:r>
      <w:r w:rsidR="002F2DEA">
        <w:rPr>
          <w:rFonts w:ascii="Arial" w:hAnsi="Arial" w:cs="Arial"/>
          <w:color w:val="000000"/>
          <w:sz w:val="24"/>
          <w:szCs w:val="24"/>
        </w:rPr>
        <w:t>,  on which he actually relied,  is discussed under paragraph 14 of the guide</w:t>
      </w:r>
      <w:r w:rsidR="00A95A04">
        <w:rPr>
          <w:rFonts w:ascii="Arial" w:hAnsi="Arial" w:cs="Arial"/>
          <w:color w:val="000000"/>
          <w:sz w:val="24"/>
          <w:szCs w:val="24"/>
        </w:rPr>
        <w:t>.</w:t>
      </w:r>
      <w:r w:rsidR="00A95A04">
        <w:rPr>
          <w:rStyle w:val="FootnoteReference"/>
          <w:rFonts w:ascii="Arial" w:hAnsi="Arial" w:cs="Arial"/>
          <w:color w:val="000000"/>
          <w:sz w:val="24"/>
          <w:szCs w:val="24"/>
        </w:rPr>
        <w:footnoteReference w:id="22"/>
      </w:r>
      <w:r w:rsidR="00111935">
        <w:rPr>
          <w:rFonts w:ascii="Arial" w:hAnsi="Arial" w:cs="Arial"/>
          <w:color w:val="000000"/>
          <w:sz w:val="24"/>
          <w:szCs w:val="24"/>
        </w:rPr>
        <w:t xml:space="preserve">  </w:t>
      </w:r>
      <w:r w:rsidR="00D02B15">
        <w:rPr>
          <w:rFonts w:ascii="Arial" w:hAnsi="Arial" w:cs="Arial"/>
          <w:color w:val="000000"/>
          <w:sz w:val="24"/>
          <w:szCs w:val="24"/>
        </w:rPr>
        <w:t xml:space="preserve">The incorrect reference to </w:t>
      </w:r>
      <w:r w:rsidR="00FE291F">
        <w:rPr>
          <w:rFonts w:ascii="Arial" w:hAnsi="Arial" w:cs="Arial"/>
          <w:color w:val="000000"/>
          <w:sz w:val="24"/>
          <w:szCs w:val="24"/>
        </w:rPr>
        <w:t>“</w:t>
      </w:r>
      <w:r w:rsidR="00D02B15">
        <w:rPr>
          <w:rFonts w:ascii="Arial" w:hAnsi="Arial" w:cs="Arial"/>
          <w:color w:val="000000"/>
          <w:sz w:val="24"/>
          <w:szCs w:val="24"/>
        </w:rPr>
        <w:t>Regulation 14</w:t>
      </w:r>
      <w:r w:rsidR="00FE291F">
        <w:rPr>
          <w:rFonts w:ascii="Arial" w:hAnsi="Arial" w:cs="Arial"/>
          <w:color w:val="000000"/>
          <w:sz w:val="24"/>
          <w:szCs w:val="24"/>
        </w:rPr>
        <w:t>”</w:t>
      </w:r>
      <w:r w:rsidR="00D02B15">
        <w:rPr>
          <w:rFonts w:ascii="Arial" w:hAnsi="Arial" w:cs="Arial"/>
          <w:color w:val="000000"/>
          <w:sz w:val="24"/>
          <w:szCs w:val="24"/>
        </w:rPr>
        <w:t xml:space="preserve"> by Mr Monyane</w:t>
      </w:r>
      <w:r w:rsidR="00B54C47">
        <w:rPr>
          <w:rFonts w:ascii="Arial" w:hAnsi="Arial" w:cs="Arial"/>
          <w:color w:val="000000"/>
          <w:sz w:val="24"/>
          <w:szCs w:val="24"/>
        </w:rPr>
        <w:t xml:space="preserve"> matters little in my judgment.  It is clear from a proper reading of his reasons that the first respondent</w:t>
      </w:r>
      <w:r w:rsidR="00905202">
        <w:rPr>
          <w:rFonts w:ascii="Arial" w:hAnsi="Arial" w:cs="Arial"/>
          <w:color w:val="000000"/>
          <w:sz w:val="24"/>
          <w:szCs w:val="24"/>
        </w:rPr>
        <w:t xml:space="preserve"> </w:t>
      </w:r>
      <w:r w:rsidR="00662B62">
        <w:rPr>
          <w:rFonts w:ascii="Arial" w:hAnsi="Arial" w:cs="Arial"/>
          <w:color w:val="000000"/>
          <w:sz w:val="24"/>
          <w:szCs w:val="24"/>
        </w:rPr>
        <w:t>rejected the applicant’s bid because of the applicant’s failure to</w:t>
      </w:r>
      <w:r w:rsidR="00CD7A07">
        <w:rPr>
          <w:rFonts w:ascii="Arial" w:hAnsi="Arial" w:cs="Arial"/>
          <w:color w:val="000000"/>
          <w:sz w:val="24"/>
          <w:szCs w:val="24"/>
        </w:rPr>
        <w:t xml:space="preserve"> complete the forms with regards to the 30</w:t>
      </w:r>
      <w:r w:rsidR="00B07B00">
        <w:rPr>
          <w:rFonts w:ascii="Arial" w:hAnsi="Arial" w:cs="Arial"/>
          <w:color w:val="000000"/>
          <w:sz w:val="24"/>
          <w:szCs w:val="24"/>
        </w:rPr>
        <w:t>% subcontracting and that is the subject matter of R</w:t>
      </w:r>
      <w:r w:rsidR="007F1524">
        <w:rPr>
          <w:rFonts w:ascii="Arial" w:hAnsi="Arial" w:cs="Arial"/>
          <w:color w:val="000000"/>
          <w:sz w:val="24"/>
          <w:szCs w:val="24"/>
        </w:rPr>
        <w:t>egulation 9</w:t>
      </w:r>
      <w:r w:rsidR="00454F43">
        <w:rPr>
          <w:rFonts w:ascii="Arial" w:hAnsi="Arial" w:cs="Arial"/>
          <w:color w:val="000000"/>
          <w:sz w:val="24"/>
          <w:szCs w:val="24"/>
        </w:rPr>
        <w:t>.</w:t>
      </w:r>
    </w:p>
    <w:p w14:paraId="29153205" w14:textId="77777777" w:rsidR="00532677" w:rsidRDefault="00532677" w:rsidP="00333034">
      <w:pPr>
        <w:spacing w:after="0" w:line="360" w:lineRule="auto"/>
        <w:ind w:left="709" w:hanging="709"/>
        <w:jc w:val="both"/>
        <w:rPr>
          <w:rFonts w:ascii="Arial" w:hAnsi="Arial" w:cs="Arial"/>
          <w:color w:val="000000"/>
          <w:sz w:val="24"/>
          <w:szCs w:val="24"/>
        </w:rPr>
      </w:pPr>
    </w:p>
    <w:p w14:paraId="2D2CB472" w14:textId="77777777" w:rsidR="00532677" w:rsidRDefault="00532677" w:rsidP="00333034">
      <w:pPr>
        <w:spacing w:after="0" w:line="360" w:lineRule="auto"/>
        <w:ind w:left="709" w:hanging="709"/>
        <w:jc w:val="both"/>
        <w:rPr>
          <w:rFonts w:ascii="Arial" w:hAnsi="Arial" w:cs="Arial"/>
          <w:color w:val="000000"/>
          <w:sz w:val="24"/>
          <w:szCs w:val="24"/>
        </w:rPr>
      </w:pPr>
      <w:r>
        <w:rPr>
          <w:rFonts w:ascii="Arial" w:hAnsi="Arial" w:cs="Arial"/>
          <w:color w:val="000000"/>
          <w:sz w:val="24"/>
          <w:szCs w:val="24"/>
        </w:rPr>
        <w:t>[41]</w:t>
      </w:r>
      <w:r>
        <w:rPr>
          <w:rFonts w:ascii="Arial" w:hAnsi="Arial" w:cs="Arial"/>
          <w:color w:val="000000"/>
          <w:sz w:val="24"/>
          <w:szCs w:val="24"/>
        </w:rPr>
        <w:tab/>
      </w:r>
      <w:r w:rsidR="009F2171">
        <w:rPr>
          <w:rFonts w:ascii="Arial" w:hAnsi="Arial" w:cs="Arial"/>
          <w:color w:val="000000"/>
          <w:sz w:val="24"/>
          <w:szCs w:val="24"/>
        </w:rPr>
        <w:t>It is</w:t>
      </w:r>
      <w:r w:rsidR="005731F2">
        <w:rPr>
          <w:rFonts w:ascii="Arial" w:hAnsi="Arial" w:cs="Arial"/>
          <w:color w:val="000000"/>
          <w:sz w:val="24"/>
          <w:szCs w:val="24"/>
        </w:rPr>
        <w:t xml:space="preserve"> patently clear for the following reasons that the applicant</w:t>
      </w:r>
      <w:r w:rsidR="00FD3168">
        <w:rPr>
          <w:rFonts w:ascii="Arial" w:hAnsi="Arial" w:cs="Arial"/>
          <w:color w:val="000000"/>
          <w:sz w:val="24"/>
          <w:szCs w:val="24"/>
        </w:rPr>
        <w:t xml:space="preserve"> failed to submit a</w:t>
      </w:r>
      <w:r w:rsidR="00DB17B7">
        <w:rPr>
          <w:rFonts w:ascii="Arial" w:hAnsi="Arial" w:cs="Arial"/>
          <w:color w:val="000000"/>
          <w:sz w:val="24"/>
          <w:szCs w:val="24"/>
        </w:rPr>
        <w:t xml:space="preserve"> complete and compliant bid:</w:t>
      </w:r>
    </w:p>
    <w:p w14:paraId="27134FF5" w14:textId="77777777" w:rsidR="00DB17B7" w:rsidRDefault="00DB17B7"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lastRenderedPageBreak/>
        <w:t>41.1</w:t>
      </w:r>
      <w:r w:rsidR="007B3432">
        <w:rPr>
          <w:rFonts w:ascii="Arial" w:hAnsi="Arial" w:cs="Arial"/>
          <w:color w:val="000000"/>
          <w:sz w:val="24"/>
          <w:szCs w:val="24"/>
        </w:rPr>
        <w:tab/>
      </w:r>
      <w:r w:rsidR="00EF6A76">
        <w:rPr>
          <w:rFonts w:ascii="Arial" w:hAnsi="Arial" w:cs="Arial"/>
          <w:color w:val="000000"/>
          <w:sz w:val="24"/>
          <w:szCs w:val="24"/>
        </w:rPr>
        <w:t>As is indicated in paragraph [13</w:t>
      </w:r>
      <w:r w:rsidR="008864BA">
        <w:rPr>
          <w:rFonts w:ascii="Arial" w:hAnsi="Arial" w:cs="Arial"/>
          <w:color w:val="000000"/>
          <w:sz w:val="24"/>
          <w:szCs w:val="24"/>
        </w:rPr>
        <w:t>], supra</w:t>
      </w:r>
      <w:r w:rsidR="00EF6A76">
        <w:rPr>
          <w:rFonts w:ascii="Arial" w:hAnsi="Arial" w:cs="Arial"/>
          <w:color w:val="000000"/>
          <w:sz w:val="24"/>
          <w:szCs w:val="24"/>
        </w:rPr>
        <w:t>, t</w:t>
      </w:r>
      <w:r w:rsidR="003C30BD">
        <w:rPr>
          <w:rFonts w:ascii="Arial" w:hAnsi="Arial" w:cs="Arial"/>
          <w:color w:val="000000"/>
          <w:sz w:val="24"/>
          <w:szCs w:val="24"/>
        </w:rPr>
        <w:t>he invitation to tender</w:t>
      </w:r>
      <w:r w:rsidR="0056153F">
        <w:rPr>
          <w:rFonts w:ascii="Arial" w:hAnsi="Arial" w:cs="Arial"/>
          <w:color w:val="000000"/>
          <w:sz w:val="24"/>
          <w:szCs w:val="24"/>
        </w:rPr>
        <w:t xml:space="preserve"> clearly required the </w:t>
      </w:r>
      <w:r w:rsidR="00BD044A">
        <w:rPr>
          <w:rFonts w:ascii="Arial" w:hAnsi="Arial" w:cs="Arial"/>
          <w:color w:val="000000"/>
          <w:sz w:val="24"/>
          <w:szCs w:val="24"/>
        </w:rPr>
        <w:t xml:space="preserve">successful </w:t>
      </w:r>
      <w:r w:rsidR="0056153F">
        <w:rPr>
          <w:rFonts w:ascii="Arial" w:hAnsi="Arial" w:cs="Arial"/>
          <w:color w:val="000000"/>
          <w:sz w:val="24"/>
          <w:szCs w:val="24"/>
        </w:rPr>
        <w:t>tenderer to su</w:t>
      </w:r>
      <w:r w:rsidR="00BD044A">
        <w:rPr>
          <w:rFonts w:ascii="Arial" w:hAnsi="Arial" w:cs="Arial"/>
          <w:color w:val="000000"/>
          <w:sz w:val="24"/>
          <w:szCs w:val="24"/>
        </w:rPr>
        <w:t>bcontract</w:t>
      </w:r>
      <w:r w:rsidR="006D512F">
        <w:rPr>
          <w:rFonts w:ascii="Arial" w:hAnsi="Arial" w:cs="Arial"/>
          <w:color w:val="000000"/>
          <w:sz w:val="24"/>
          <w:szCs w:val="24"/>
        </w:rPr>
        <w:t xml:space="preserve"> a minimum of 30%</w:t>
      </w:r>
      <w:r w:rsidR="00C141F3">
        <w:rPr>
          <w:rFonts w:ascii="Arial" w:hAnsi="Arial" w:cs="Arial"/>
          <w:color w:val="000000"/>
          <w:sz w:val="24"/>
          <w:szCs w:val="24"/>
        </w:rPr>
        <w:t xml:space="preserve"> of the value of the contract.</w:t>
      </w:r>
      <w:r w:rsidR="003A65E4">
        <w:rPr>
          <w:rFonts w:ascii="Arial" w:hAnsi="Arial" w:cs="Arial"/>
          <w:color w:val="000000"/>
          <w:sz w:val="24"/>
          <w:szCs w:val="24"/>
        </w:rPr>
        <w:t xml:space="preserve">  When any bidder sees that invitation and responds thereto</w:t>
      </w:r>
      <w:r w:rsidR="001819CD">
        <w:rPr>
          <w:rFonts w:ascii="Arial" w:hAnsi="Arial" w:cs="Arial"/>
          <w:color w:val="000000"/>
          <w:sz w:val="24"/>
          <w:szCs w:val="24"/>
        </w:rPr>
        <w:t xml:space="preserve">, it </w:t>
      </w:r>
      <w:r w:rsidR="00CE383A">
        <w:rPr>
          <w:rFonts w:ascii="Arial" w:hAnsi="Arial" w:cs="Arial"/>
          <w:color w:val="000000"/>
          <w:sz w:val="24"/>
          <w:szCs w:val="24"/>
        </w:rPr>
        <w:t xml:space="preserve">surely </w:t>
      </w:r>
      <w:r w:rsidR="001819CD">
        <w:rPr>
          <w:rFonts w:ascii="Arial" w:hAnsi="Arial" w:cs="Arial"/>
          <w:color w:val="000000"/>
          <w:sz w:val="24"/>
          <w:szCs w:val="24"/>
        </w:rPr>
        <w:t>wants to be the successful tenderer.</w:t>
      </w:r>
      <w:r w:rsidR="00C12284">
        <w:rPr>
          <w:rFonts w:ascii="Arial" w:hAnsi="Arial" w:cs="Arial"/>
          <w:color w:val="000000"/>
          <w:sz w:val="24"/>
          <w:szCs w:val="24"/>
        </w:rPr>
        <w:t xml:space="preserve">  </w:t>
      </w:r>
      <w:r w:rsidR="00C2399A">
        <w:rPr>
          <w:rFonts w:ascii="Arial" w:hAnsi="Arial" w:cs="Arial"/>
          <w:color w:val="000000"/>
          <w:sz w:val="24"/>
          <w:szCs w:val="24"/>
        </w:rPr>
        <w:t>The fact that the invitation re</w:t>
      </w:r>
      <w:r w:rsidR="008864BA">
        <w:rPr>
          <w:rFonts w:ascii="Arial" w:hAnsi="Arial" w:cs="Arial"/>
          <w:color w:val="000000"/>
          <w:sz w:val="24"/>
          <w:szCs w:val="24"/>
        </w:rPr>
        <w:t xml:space="preserve">fers to “successful tenderer”, </w:t>
      </w:r>
      <w:r w:rsidR="00C2399A">
        <w:rPr>
          <w:rFonts w:ascii="Arial" w:hAnsi="Arial" w:cs="Arial"/>
          <w:color w:val="000000"/>
          <w:sz w:val="24"/>
          <w:szCs w:val="24"/>
        </w:rPr>
        <w:t>does not mean</w:t>
      </w:r>
      <w:r w:rsidR="00E470D8">
        <w:rPr>
          <w:rFonts w:ascii="Arial" w:hAnsi="Arial" w:cs="Arial"/>
          <w:color w:val="000000"/>
          <w:sz w:val="24"/>
          <w:szCs w:val="24"/>
        </w:rPr>
        <w:t xml:space="preserve"> the 30% subcontracting only comes into play once the</w:t>
      </w:r>
      <w:r w:rsidR="00843285">
        <w:rPr>
          <w:rFonts w:ascii="Arial" w:hAnsi="Arial" w:cs="Arial"/>
          <w:color w:val="000000"/>
          <w:sz w:val="24"/>
          <w:szCs w:val="24"/>
        </w:rPr>
        <w:t xml:space="preserve"> eventual successful tenderer is identified.</w:t>
      </w:r>
    </w:p>
    <w:p w14:paraId="2AEF3BFA" w14:textId="77777777" w:rsidR="001772E9" w:rsidRDefault="001772E9" w:rsidP="006D512F">
      <w:pPr>
        <w:spacing w:after="0" w:line="360" w:lineRule="auto"/>
        <w:ind w:left="1440" w:hanging="740"/>
        <w:jc w:val="both"/>
        <w:rPr>
          <w:rFonts w:ascii="Arial" w:hAnsi="Arial" w:cs="Arial"/>
          <w:color w:val="000000"/>
          <w:sz w:val="24"/>
          <w:szCs w:val="24"/>
        </w:rPr>
      </w:pPr>
    </w:p>
    <w:p w14:paraId="36DCB4B8" w14:textId="77777777" w:rsidR="001772E9" w:rsidRDefault="001772E9"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t>41.2</w:t>
      </w:r>
      <w:r>
        <w:rPr>
          <w:rFonts w:ascii="Arial" w:hAnsi="Arial" w:cs="Arial"/>
          <w:color w:val="000000"/>
          <w:sz w:val="24"/>
          <w:szCs w:val="24"/>
        </w:rPr>
        <w:tab/>
      </w:r>
      <w:r w:rsidR="00515813">
        <w:rPr>
          <w:rFonts w:ascii="Arial" w:hAnsi="Arial" w:cs="Arial"/>
          <w:color w:val="000000"/>
          <w:sz w:val="24"/>
          <w:szCs w:val="24"/>
        </w:rPr>
        <w:t>As i</w:t>
      </w:r>
      <w:r w:rsidR="008864BA">
        <w:rPr>
          <w:rFonts w:ascii="Arial" w:hAnsi="Arial" w:cs="Arial"/>
          <w:color w:val="000000"/>
          <w:sz w:val="24"/>
          <w:szCs w:val="24"/>
        </w:rPr>
        <w:t xml:space="preserve">s indicated in paragraph [14], </w:t>
      </w:r>
      <w:r w:rsidR="004052C2">
        <w:rPr>
          <w:rFonts w:ascii="Arial" w:hAnsi="Arial" w:cs="Arial"/>
          <w:color w:val="000000"/>
          <w:sz w:val="24"/>
          <w:szCs w:val="24"/>
        </w:rPr>
        <w:t>supra, the</w:t>
      </w:r>
      <w:r w:rsidR="00A92F1A">
        <w:rPr>
          <w:rFonts w:ascii="Arial" w:hAnsi="Arial" w:cs="Arial"/>
          <w:color w:val="000000"/>
          <w:sz w:val="24"/>
          <w:szCs w:val="24"/>
        </w:rPr>
        <w:t xml:space="preserve"> applicant</w:t>
      </w:r>
      <w:r w:rsidR="00350273">
        <w:rPr>
          <w:rFonts w:ascii="Arial" w:hAnsi="Arial" w:cs="Arial"/>
          <w:color w:val="000000"/>
          <w:sz w:val="24"/>
          <w:szCs w:val="24"/>
        </w:rPr>
        <w:t>’s representative</w:t>
      </w:r>
      <w:r w:rsidR="007A7F08">
        <w:rPr>
          <w:rFonts w:ascii="Arial" w:hAnsi="Arial" w:cs="Arial"/>
          <w:color w:val="000000"/>
          <w:sz w:val="24"/>
          <w:szCs w:val="24"/>
        </w:rPr>
        <w:t xml:space="preserve"> failed to stipulate the monetary value of the</w:t>
      </w:r>
      <w:r w:rsidR="000D4D39">
        <w:rPr>
          <w:rFonts w:ascii="Arial" w:hAnsi="Arial" w:cs="Arial"/>
          <w:color w:val="000000"/>
          <w:sz w:val="24"/>
          <w:szCs w:val="24"/>
        </w:rPr>
        <w:t xml:space="preserve"> subcontracting, despite the </w:t>
      </w:r>
      <w:r w:rsidR="009E0F42">
        <w:rPr>
          <w:rFonts w:ascii="Arial" w:hAnsi="Arial" w:cs="Arial"/>
          <w:color w:val="000000"/>
          <w:sz w:val="24"/>
          <w:szCs w:val="24"/>
        </w:rPr>
        <w:t xml:space="preserve">tender documentation clearly and in bold </w:t>
      </w:r>
      <w:r w:rsidR="004052C2">
        <w:rPr>
          <w:rFonts w:ascii="Arial" w:hAnsi="Arial" w:cs="Arial"/>
          <w:color w:val="000000"/>
          <w:sz w:val="24"/>
          <w:szCs w:val="24"/>
        </w:rPr>
        <w:t>print, requesting</w:t>
      </w:r>
      <w:r w:rsidR="009E0F42">
        <w:rPr>
          <w:rFonts w:ascii="Arial" w:hAnsi="Arial" w:cs="Arial"/>
          <w:color w:val="000000"/>
          <w:sz w:val="24"/>
          <w:szCs w:val="24"/>
        </w:rPr>
        <w:t xml:space="preserve"> it to do so.</w:t>
      </w:r>
      <w:r w:rsidR="00BD7596">
        <w:rPr>
          <w:rFonts w:ascii="Arial" w:hAnsi="Arial" w:cs="Arial"/>
          <w:color w:val="000000"/>
          <w:sz w:val="24"/>
          <w:szCs w:val="24"/>
        </w:rPr>
        <w:t xml:space="preserve"> </w:t>
      </w:r>
      <w:r w:rsidR="008864BA">
        <w:rPr>
          <w:rFonts w:ascii="Arial" w:hAnsi="Arial" w:cs="Arial"/>
          <w:color w:val="000000"/>
          <w:sz w:val="24"/>
          <w:szCs w:val="24"/>
        </w:rPr>
        <w:t>Instead, he</w:t>
      </w:r>
      <w:r w:rsidR="00BD7596">
        <w:rPr>
          <w:rFonts w:ascii="Arial" w:hAnsi="Arial" w:cs="Arial"/>
          <w:color w:val="000000"/>
          <w:sz w:val="24"/>
          <w:szCs w:val="24"/>
        </w:rPr>
        <w:t xml:space="preserve"> wrote “TBC”</w:t>
      </w:r>
      <w:r w:rsidR="009949B8">
        <w:rPr>
          <w:rFonts w:ascii="Arial" w:hAnsi="Arial" w:cs="Arial"/>
          <w:color w:val="000000"/>
          <w:sz w:val="24"/>
          <w:szCs w:val="24"/>
        </w:rPr>
        <w:t>.</w:t>
      </w:r>
    </w:p>
    <w:p w14:paraId="4C0DDAF3" w14:textId="77777777" w:rsidR="0076361D" w:rsidRDefault="0076361D" w:rsidP="006D512F">
      <w:pPr>
        <w:spacing w:after="0" w:line="360" w:lineRule="auto"/>
        <w:ind w:left="1440" w:hanging="740"/>
        <w:jc w:val="both"/>
        <w:rPr>
          <w:rFonts w:ascii="Arial" w:hAnsi="Arial" w:cs="Arial"/>
          <w:color w:val="000000"/>
          <w:sz w:val="24"/>
          <w:szCs w:val="24"/>
        </w:rPr>
      </w:pPr>
    </w:p>
    <w:p w14:paraId="4A956987" w14:textId="77777777" w:rsidR="0076361D" w:rsidRDefault="0076361D"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t>41.3</w:t>
      </w:r>
      <w:r>
        <w:rPr>
          <w:rFonts w:ascii="Arial" w:hAnsi="Arial" w:cs="Arial"/>
          <w:color w:val="000000"/>
          <w:sz w:val="24"/>
          <w:szCs w:val="24"/>
        </w:rPr>
        <w:tab/>
      </w:r>
      <w:r w:rsidR="003D70B7">
        <w:rPr>
          <w:rFonts w:ascii="Arial" w:hAnsi="Arial" w:cs="Arial"/>
          <w:color w:val="000000"/>
          <w:sz w:val="24"/>
          <w:szCs w:val="24"/>
        </w:rPr>
        <w:t>As is indicated in paragraph [22</w:t>
      </w:r>
      <w:r w:rsidR="004052C2">
        <w:rPr>
          <w:rFonts w:ascii="Arial" w:hAnsi="Arial" w:cs="Arial"/>
          <w:color w:val="000000"/>
          <w:sz w:val="24"/>
          <w:szCs w:val="24"/>
        </w:rPr>
        <w:t>], supra, and</w:t>
      </w:r>
      <w:r w:rsidR="00185AA1">
        <w:rPr>
          <w:rFonts w:ascii="Arial" w:hAnsi="Arial" w:cs="Arial"/>
          <w:color w:val="000000"/>
          <w:sz w:val="24"/>
          <w:szCs w:val="24"/>
        </w:rPr>
        <w:t xml:space="preserve"> at the portion of the tender documentation</w:t>
      </w:r>
      <w:r w:rsidR="00F90AAD">
        <w:rPr>
          <w:rFonts w:ascii="Arial" w:hAnsi="Arial" w:cs="Arial"/>
          <w:color w:val="000000"/>
          <w:sz w:val="24"/>
          <w:szCs w:val="24"/>
        </w:rPr>
        <w:t xml:space="preserve"> which specifically deals with subcontracting, </w:t>
      </w:r>
      <w:r w:rsidR="009F3AA1">
        <w:rPr>
          <w:rFonts w:ascii="Arial" w:hAnsi="Arial" w:cs="Arial"/>
          <w:color w:val="000000"/>
          <w:sz w:val="24"/>
          <w:szCs w:val="24"/>
        </w:rPr>
        <w:t xml:space="preserve">the applicant’s representative simply drew a line through it </w:t>
      </w:r>
      <w:r w:rsidR="00F06ADA">
        <w:rPr>
          <w:rFonts w:ascii="Arial" w:hAnsi="Arial" w:cs="Arial"/>
          <w:color w:val="000000"/>
          <w:sz w:val="24"/>
          <w:szCs w:val="24"/>
        </w:rPr>
        <w:t>and wrote not applicable.</w:t>
      </w:r>
    </w:p>
    <w:p w14:paraId="60FE444C" w14:textId="77777777" w:rsidR="00156368" w:rsidRDefault="00156368" w:rsidP="006D512F">
      <w:pPr>
        <w:spacing w:after="0" w:line="360" w:lineRule="auto"/>
        <w:ind w:left="1440" w:hanging="740"/>
        <w:jc w:val="both"/>
        <w:rPr>
          <w:rFonts w:ascii="Arial" w:hAnsi="Arial" w:cs="Arial"/>
          <w:color w:val="000000"/>
          <w:sz w:val="24"/>
          <w:szCs w:val="24"/>
        </w:rPr>
      </w:pPr>
    </w:p>
    <w:p w14:paraId="158EF2CD" w14:textId="77777777" w:rsidR="00156368" w:rsidRDefault="00156368"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t>41.4</w:t>
      </w:r>
      <w:r>
        <w:rPr>
          <w:rFonts w:ascii="Arial" w:hAnsi="Arial" w:cs="Arial"/>
          <w:color w:val="000000"/>
          <w:sz w:val="24"/>
          <w:szCs w:val="24"/>
        </w:rPr>
        <w:tab/>
      </w:r>
      <w:r w:rsidR="00A31DF1">
        <w:rPr>
          <w:rFonts w:ascii="Arial" w:hAnsi="Arial" w:cs="Arial"/>
          <w:color w:val="000000"/>
          <w:sz w:val="24"/>
          <w:szCs w:val="24"/>
        </w:rPr>
        <w:t xml:space="preserve">As is indicated in paragraph </w:t>
      </w:r>
      <w:r w:rsidR="005731A8">
        <w:rPr>
          <w:rFonts w:ascii="Arial" w:hAnsi="Arial" w:cs="Arial"/>
          <w:color w:val="000000"/>
          <w:sz w:val="24"/>
          <w:szCs w:val="24"/>
        </w:rPr>
        <w:t>[16</w:t>
      </w:r>
      <w:r w:rsidR="004052C2">
        <w:rPr>
          <w:rFonts w:ascii="Arial" w:hAnsi="Arial" w:cs="Arial"/>
          <w:color w:val="000000"/>
          <w:sz w:val="24"/>
          <w:szCs w:val="24"/>
        </w:rPr>
        <w:t>], supra</w:t>
      </w:r>
      <w:r w:rsidR="005731A8">
        <w:rPr>
          <w:rFonts w:ascii="Arial" w:hAnsi="Arial" w:cs="Arial"/>
          <w:color w:val="000000"/>
          <w:sz w:val="24"/>
          <w:szCs w:val="24"/>
        </w:rPr>
        <w:t>,  there was throughout the tender process an obligation on the applicant to ensure that</w:t>
      </w:r>
      <w:r w:rsidR="00F40AE6">
        <w:rPr>
          <w:rFonts w:ascii="Arial" w:hAnsi="Arial" w:cs="Arial"/>
          <w:color w:val="000000"/>
          <w:sz w:val="24"/>
          <w:szCs w:val="24"/>
        </w:rPr>
        <w:t xml:space="preserve"> its documentation was complete.</w:t>
      </w:r>
    </w:p>
    <w:p w14:paraId="28055820" w14:textId="77777777" w:rsidR="008C4D07" w:rsidRDefault="008C4D07" w:rsidP="006D512F">
      <w:pPr>
        <w:spacing w:after="0" w:line="360" w:lineRule="auto"/>
        <w:ind w:left="1440" w:hanging="740"/>
        <w:jc w:val="both"/>
        <w:rPr>
          <w:rFonts w:ascii="Arial" w:hAnsi="Arial" w:cs="Arial"/>
          <w:color w:val="000000"/>
          <w:sz w:val="24"/>
          <w:szCs w:val="24"/>
        </w:rPr>
      </w:pPr>
    </w:p>
    <w:p w14:paraId="70127932" w14:textId="77777777" w:rsidR="008C4D07" w:rsidRDefault="008C4D07"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t>41.5</w:t>
      </w:r>
      <w:r>
        <w:rPr>
          <w:rFonts w:ascii="Arial" w:hAnsi="Arial" w:cs="Arial"/>
          <w:color w:val="000000"/>
          <w:sz w:val="24"/>
          <w:szCs w:val="24"/>
        </w:rPr>
        <w:tab/>
        <w:t>As is indicated in paragraph [</w:t>
      </w:r>
      <w:r w:rsidR="003C57EB">
        <w:rPr>
          <w:rFonts w:ascii="Arial" w:hAnsi="Arial" w:cs="Arial"/>
          <w:color w:val="000000"/>
          <w:sz w:val="24"/>
          <w:szCs w:val="24"/>
        </w:rPr>
        <w:t xml:space="preserve">18],  supra,  </w:t>
      </w:r>
      <w:r w:rsidR="00C265FB">
        <w:rPr>
          <w:rFonts w:ascii="Arial" w:hAnsi="Arial" w:cs="Arial"/>
          <w:color w:val="000000"/>
          <w:sz w:val="24"/>
          <w:szCs w:val="24"/>
        </w:rPr>
        <w:t xml:space="preserve">requires the first respondent to </w:t>
      </w:r>
      <w:r w:rsidR="009F1F9D">
        <w:rPr>
          <w:rFonts w:ascii="Arial" w:hAnsi="Arial" w:cs="Arial"/>
          <w:color w:val="000000"/>
          <w:sz w:val="24"/>
          <w:szCs w:val="24"/>
        </w:rPr>
        <w:t>check that all information and data is completed</w:t>
      </w:r>
      <w:r w:rsidR="00237AE1">
        <w:rPr>
          <w:rFonts w:ascii="Arial" w:hAnsi="Arial" w:cs="Arial"/>
          <w:color w:val="000000"/>
          <w:sz w:val="24"/>
          <w:szCs w:val="24"/>
        </w:rPr>
        <w:t xml:space="preserve"> in all respects and</w:t>
      </w:r>
      <w:r w:rsidR="004E7231">
        <w:rPr>
          <w:rFonts w:ascii="Arial" w:hAnsi="Arial" w:cs="Arial"/>
          <w:color w:val="000000"/>
          <w:sz w:val="24"/>
          <w:szCs w:val="24"/>
        </w:rPr>
        <w:t xml:space="preserve"> entitles it to reject tender offers</w:t>
      </w:r>
      <w:r w:rsidR="0060692F">
        <w:rPr>
          <w:rFonts w:ascii="Arial" w:hAnsi="Arial" w:cs="Arial"/>
          <w:color w:val="000000"/>
          <w:sz w:val="24"/>
          <w:szCs w:val="24"/>
        </w:rPr>
        <w:t xml:space="preserve"> as non-responsive,  when</w:t>
      </w:r>
      <w:r w:rsidR="004F4291">
        <w:rPr>
          <w:rFonts w:ascii="Arial" w:hAnsi="Arial" w:cs="Arial"/>
          <w:color w:val="000000"/>
          <w:sz w:val="24"/>
          <w:szCs w:val="24"/>
        </w:rPr>
        <w:t xml:space="preserve"> the tenders do not comply with same.</w:t>
      </w:r>
    </w:p>
    <w:p w14:paraId="0FC06E80" w14:textId="77777777" w:rsidR="006903B4" w:rsidRDefault="006903B4" w:rsidP="006D512F">
      <w:pPr>
        <w:spacing w:after="0" w:line="360" w:lineRule="auto"/>
        <w:ind w:left="1440" w:hanging="740"/>
        <w:jc w:val="both"/>
        <w:rPr>
          <w:rFonts w:ascii="Arial" w:hAnsi="Arial" w:cs="Arial"/>
          <w:color w:val="000000"/>
          <w:sz w:val="24"/>
          <w:szCs w:val="24"/>
        </w:rPr>
      </w:pPr>
    </w:p>
    <w:p w14:paraId="645BD760" w14:textId="77777777" w:rsidR="006903B4" w:rsidRDefault="006903B4" w:rsidP="006D512F">
      <w:pPr>
        <w:spacing w:after="0" w:line="360" w:lineRule="auto"/>
        <w:ind w:left="1440" w:hanging="740"/>
        <w:jc w:val="both"/>
        <w:rPr>
          <w:rFonts w:ascii="Arial" w:hAnsi="Arial" w:cs="Arial"/>
          <w:color w:val="000000"/>
          <w:sz w:val="24"/>
          <w:szCs w:val="24"/>
        </w:rPr>
      </w:pPr>
      <w:r>
        <w:rPr>
          <w:rFonts w:ascii="Arial" w:hAnsi="Arial" w:cs="Arial"/>
          <w:color w:val="000000"/>
          <w:sz w:val="24"/>
          <w:szCs w:val="24"/>
        </w:rPr>
        <w:t>41.6</w:t>
      </w:r>
      <w:r>
        <w:rPr>
          <w:rFonts w:ascii="Arial" w:hAnsi="Arial" w:cs="Arial"/>
          <w:color w:val="000000"/>
          <w:sz w:val="24"/>
          <w:szCs w:val="24"/>
        </w:rPr>
        <w:tab/>
        <w:t>As is indicated in paragraph</w:t>
      </w:r>
      <w:r w:rsidR="00DE2634">
        <w:rPr>
          <w:rFonts w:ascii="Arial" w:hAnsi="Arial" w:cs="Arial"/>
          <w:color w:val="000000"/>
          <w:sz w:val="24"/>
          <w:szCs w:val="24"/>
        </w:rPr>
        <w:t xml:space="preserve"> </w:t>
      </w:r>
      <w:r w:rsidR="003102B2">
        <w:rPr>
          <w:rFonts w:ascii="Arial" w:hAnsi="Arial" w:cs="Arial"/>
          <w:color w:val="000000"/>
          <w:sz w:val="24"/>
          <w:szCs w:val="24"/>
        </w:rPr>
        <w:t xml:space="preserve">[19], supra,  </w:t>
      </w:r>
      <w:r w:rsidR="004C4B50">
        <w:rPr>
          <w:rFonts w:ascii="Arial" w:hAnsi="Arial" w:cs="Arial"/>
          <w:color w:val="000000"/>
          <w:sz w:val="24"/>
          <w:szCs w:val="24"/>
        </w:rPr>
        <w:t xml:space="preserve">the tender documentation </w:t>
      </w:r>
      <w:r w:rsidR="00C46B75">
        <w:rPr>
          <w:rFonts w:ascii="Arial" w:hAnsi="Arial" w:cs="Arial"/>
          <w:color w:val="000000"/>
          <w:sz w:val="24"/>
          <w:szCs w:val="24"/>
        </w:rPr>
        <w:t>places an obligation</w:t>
      </w:r>
      <w:r w:rsidR="004C4B50">
        <w:rPr>
          <w:rFonts w:ascii="Arial" w:hAnsi="Arial" w:cs="Arial"/>
          <w:color w:val="000000"/>
          <w:sz w:val="24"/>
          <w:szCs w:val="24"/>
        </w:rPr>
        <w:t xml:space="preserve"> on the first respondent</w:t>
      </w:r>
      <w:r w:rsidR="00DE2634">
        <w:rPr>
          <w:rFonts w:ascii="Arial" w:hAnsi="Arial" w:cs="Arial"/>
          <w:color w:val="000000"/>
          <w:sz w:val="24"/>
          <w:szCs w:val="24"/>
        </w:rPr>
        <w:t xml:space="preserve"> to </w:t>
      </w:r>
      <w:r w:rsidR="00B77964">
        <w:rPr>
          <w:rFonts w:ascii="Arial" w:hAnsi="Arial" w:cs="Arial"/>
          <w:color w:val="000000"/>
          <w:sz w:val="20"/>
          <w:szCs w:val="20"/>
        </w:rPr>
        <w:t>“determine on opening and before detailed evaluatio</w:t>
      </w:r>
      <w:r w:rsidR="000676C4">
        <w:rPr>
          <w:rFonts w:ascii="Arial" w:hAnsi="Arial" w:cs="Arial"/>
          <w:color w:val="000000"/>
          <w:sz w:val="20"/>
          <w:szCs w:val="20"/>
        </w:rPr>
        <w:t>n,  whether</w:t>
      </w:r>
      <w:r w:rsidR="009650D6">
        <w:rPr>
          <w:rFonts w:ascii="Arial" w:hAnsi="Arial" w:cs="Arial"/>
          <w:color w:val="000000"/>
          <w:sz w:val="20"/>
          <w:szCs w:val="20"/>
        </w:rPr>
        <w:t xml:space="preserve"> each tender offer properly received :…</w:t>
      </w:r>
      <w:r w:rsidR="009E1160">
        <w:rPr>
          <w:rFonts w:ascii="Arial" w:hAnsi="Arial" w:cs="Arial"/>
          <w:color w:val="000000"/>
          <w:sz w:val="20"/>
          <w:szCs w:val="20"/>
        </w:rPr>
        <w:t>has been properly and fully completed</w:t>
      </w:r>
      <w:r w:rsidR="00916EA4">
        <w:rPr>
          <w:rFonts w:ascii="Arial" w:hAnsi="Arial" w:cs="Arial"/>
          <w:color w:val="000000"/>
          <w:sz w:val="20"/>
          <w:szCs w:val="20"/>
        </w:rPr>
        <w:t xml:space="preserve"> and signed, and..is responsive to the other requirements</w:t>
      </w:r>
      <w:r w:rsidR="002A60F4">
        <w:rPr>
          <w:rFonts w:ascii="Arial" w:hAnsi="Arial" w:cs="Arial"/>
          <w:color w:val="000000"/>
          <w:sz w:val="20"/>
          <w:szCs w:val="20"/>
        </w:rPr>
        <w:t xml:space="preserve"> of the tender documents”. </w:t>
      </w:r>
      <w:r w:rsidR="002A60F4">
        <w:rPr>
          <w:rFonts w:ascii="Arial" w:hAnsi="Arial" w:cs="Arial"/>
          <w:color w:val="000000"/>
          <w:sz w:val="24"/>
          <w:szCs w:val="24"/>
        </w:rPr>
        <w:t>If not responsive,  it should be rejected</w:t>
      </w:r>
      <w:r w:rsidR="000E7F2F">
        <w:rPr>
          <w:rFonts w:ascii="Arial" w:hAnsi="Arial" w:cs="Arial"/>
          <w:color w:val="000000"/>
          <w:sz w:val="24"/>
          <w:szCs w:val="24"/>
        </w:rPr>
        <w:t xml:space="preserve"> (paragraph [20]</w:t>
      </w:r>
      <w:r w:rsidR="00F643BC">
        <w:rPr>
          <w:rFonts w:ascii="Arial" w:hAnsi="Arial" w:cs="Arial"/>
          <w:color w:val="000000"/>
          <w:sz w:val="24"/>
          <w:szCs w:val="24"/>
        </w:rPr>
        <w:t xml:space="preserve"> supra)</w:t>
      </w:r>
      <w:r w:rsidR="007F3391">
        <w:rPr>
          <w:rFonts w:ascii="Arial" w:hAnsi="Arial" w:cs="Arial"/>
          <w:color w:val="000000"/>
          <w:sz w:val="24"/>
          <w:szCs w:val="24"/>
        </w:rPr>
        <w:t>, which is exactly what happened here.</w:t>
      </w:r>
    </w:p>
    <w:p w14:paraId="32626487" w14:textId="77777777" w:rsidR="00E308CB" w:rsidRDefault="00E308CB" w:rsidP="006D512F">
      <w:pPr>
        <w:spacing w:after="0" w:line="360" w:lineRule="auto"/>
        <w:ind w:left="1440" w:hanging="740"/>
        <w:jc w:val="both"/>
        <w:rPr>
          <w:rFonts w:ascii="Arial" w:hAnsi="Arial" w:cs="Arial"/>
          <w:color w:val="000000"/>
          <w:sz w:val="24"/>
          <w:szCs w:val="24"/>
        </w:rPr>
      </w:pPr>
    </w:p>
    <w:p w14:paraId="03B7630B" w14:textId="77777777" w:rsidR="002056A5" w:rsidRPr="00B310BF" w:rsidRDefault="00604FFE" w:rsidP="00B310BF">
      <w:pPr>
        <w:spacing w:after="0" w:line="360" w:lineRule="auto"/>
        <w:ind w:left="700" w:hanging="700"/>
        <w:jc w:val="both"/>
        <w:rPr>
          <w:rFonts w:ascii="Arial" w:hAnsi="Arial" w:cs="Arial"/>
          <w:i/>
          <w:iCs/>
          <w:color w:val="000000"/>
          <w:sz w:val="24"/>
          <w:szCs w:val="24"/>
        </w:rPr>
      </w:pPr>
      <w:r>
        <w:rPr>
          <w:rFonts w:ascii="Arial" w:hAnsi="Arial" w:cs="Arial"/>
          <w:color w:val="000000"/>
          <w:sz w:val="24"/>
          <w:szCs w:val="24"/>
        </w:rPr>
        <w:lastRenderedPageBreak/>
        <w:t>[42]</w:t>
      </w:r>
      <w:r>
        <w:rPr>
          <w:rFonts w:ascii="Arial" w:hAnsi="Arial" w:cs="Arial"/>
          <w:color w:val="000000"/>
          <w:sz w:val="24"/>
          <w:szCs w:val="24"/>
        </w:rPr>
        <w:tab/>
      </w:r>
      <w:r w:rsidR="005C3B2F">
        <w:rPr>
          <w:rFonts w:ascii="Arial" w:hAnsi="Arial" w:cs="Arial"/>
          <w:color w:val="000000"/>
          <w:sz w:val="24"/>
          <w:szCs w:val="24"/>
        </w:rPr>
        <w:t xml:space="preserve">In terms of </w:t>
      </w:r>
      <w:r w:rsidR="00BB10AD">
        <w:rPr>
          <w:rFonts w:ascii="Arial" w:hAnsi="Arial" w:cs="Arial"/>
          <w:color w:val="000000"/>
          <w:sz w:val="24"/>
          <w:szCs w:val="24"/>
        </w:rPr>
        <w:t xml:space="preserve">the abovementioned </w:t>
      </w:r>
      <w:r w:rsidR="005C3B2F">
        <w:rPr>
          <w:rFonts w:ascii="Arial" w:hAnsi="Arial" w:cs="Arial"/>
          <w:color w:val="000000"/>
          <w:sz w:val="24"/>
          <w:szCs w:val="24"/>
        </w:rPr>
        <w:t>Regulation 4</w:t>
      </w:r>
      <w:r w:rsidR="00BB10AD">
        <w:rPr>
          <w:rFonts w:ascii="Arial" w:hAnsi="Arial" w:cs="Arial"/>
          <w:color w:val="000000"/>
          <w:sz w:val="24"/>
          <w:szCs w:val="24"/>
        </w:rPr>
        <w:t xml:space="preserve"> (2)</w:t>
      </w:r>
      <w:r w:rsidR="00EF6FDD">
        <w:rPr>
          <w:rFonts w:ascii="Arial" w:hAnsi="Arial" w:cs="Arial"/>
          <w:color w:val="000000"/>
          <w:sz w:val="24"/>
          <w:szCs w:val="24"/>
        </w:rPr>
        <w:t xml:space="preserve"> a tender that fails to meet the pre-qualifying</w:t>
      </w:r>
      <w:r w:rsidR="0041557C">
        <w:rPr>
          <w:rFonts w:ascii="Arial" w:hAnsi="Arial" w:cs="Arial"/>
          <w:color w:val="000000"/>
          <w:sz w:val="24"/>
          <w:szCs w:val="24"/>
        </w:rPr>
        <w:t xml:space="preserve"> criteria stipulated in the tender documents,</w:t>
      </w:r>
      <w:r w:rsidR="00F74576">
        <w:rPr>
          <w:rFonts w:ascii="Arial" w:hAnsi="Arial" w:cs="Arial"/>
          <w:color w:val="000000"/>
          <w:sz w:val="24"/>
          <w:szCs w:val="24"/>
        </w:rPr>
        <w:t xml:space="preserve"> is an unacceptable tender.</w:t>
      </w:r>
      <w:r w:rsidR="00C93FF6">
        <w:rPr>
          <w:rFonts w:ascii="Arial" w:hAnsi="Arial" w:cs="Arial"/>
          <w:color w:val="000000"/>
          <w:sz w:val="24"/>
          <w:szCs w:val="24"/>
        </w:rPr>
        <w:t xml:space="preserve"> </w:t>
      </w:r>
      <w:r w:rsidR="001A22D8">
        <w:rPr>
          <w:rFonts w:ascii="Arial" w:hAnsi="Arial" w:cs="Arial"/>
          <w:color w:val="000000"/>
          <w:sz w:val="24"/>
          <w:szCs w:val="24"/>
        </w:rPr>
        <w:t xml:space="preserve">Having regard to the tender documentation above,  </w:t>
      </w:r>
      <w:r w:rsidR="00FB662D">
        <w:rPr>
          <w:rFonts w:ascii="Arial" w:hAnsi="Arial" w:cs="Arial"/>
          <w:color w:val="000000"/>
          <w:sz w:val="24"/>
          <w:szCs w:val="24"/>
        </w:rPr>
        <w:t>the applicant has failed to meet</w:t>
      </w:r>
      <w:r w:rsidR="00265951">
        <w:rPr>
          <w:rFonts w:ascii="Arial" w:hAnsi="Arial" w:cs="Arial"/>
          <w:color w:val="000000"/>
          <w:sz w:val="24"/>
          <w:szCs w:val="24"/>
        </w:rPr>
        <w:t xml:space="preserve"> the said pre-qualifying criteria</w:t>
      </w:r>
      <w:r w:rsidR="003924B9">
        <w:rPr>
          <w:rFonts w:ascii="Arial" w:hAnsi="Arial" w:cs="Arial"/>
          <w:color w:val="000000"/>
          <w:sz w:val="24"/>
          <w:szCs w:val="24"/>
        </w:rPr>
        <w:t xml:space="preserve"> and its bid was thus correctly rejected on this score as well.</w:t>
      </w:r>
    </w:p>
    <w:p w14:paraId="2D5F41DD" w14:textId="77777777" w:rsidR="00F51449" w:rsidRPr="00F51449" w:rsidRDefault="00F51449" w:rsidP="00F51449">
      <w:pPr>
        <w:spacing w:after="0" w:line="360" w:lineRule="auto"/>
        <w:ind w:left="709"/>
        <w:jc w:val="both"/>
        <w:rPr>
          <w:rFonts w:ascii="Arial" w:hAnsi="Arial" w:cs="Arial"/>
          <w:sz w:val="20"/>
          <w:szCs w:val="20"/>
        </w:rPr>
      </w:pPr>
    </w:p>
    <w:p w14:paraId="3A6E7CD9" w14:textId="77777777" w:rsidR="008A05A7" w:rsidRPr="00F51449" w:rsidRDefault="008A05A7" w:rsidP="00F51449">
      <w:pPr>
        <w:pStyle w:val="ListParagraph"/>
        <w:spacing w:after="0" w:line="360" w:lineRule="auto"/>
        <w:ind w:left="709" w:hanging="709"/>
        <w:jc w:val="both"/>
        <w:rPr>
          <w:rFonts w:ascii="Arial" w:hAnsi="Arial" w:cs="Arial"/>
          <w:sz w:val="24"/>
          <w:szCs w:val="24"/>
        </w:rPr>
      </w:pPr>
    </w:p>
    <w:p w14:paraId="3BB86833" w14:textId="77777777" w:rsidR="00573EBD" w:rsidRDefault="00573EBD" w:rsidP="00F51449">
      <w:pPr>
        <w:spacing w:after="0" w:line="360" w:lineRule="auto"/>
        <w:ind w:left="709" w:hanging="709"/>
        <w:jc w:val="both"/>
        <w:rPr>
          <w:rFonts w:ascii="Arial" w:hAnsi="Arial" w:cs="Arial"/>
          <w:b/>
          <w:bCs/>
        </w:rPr>
      </w:pPr>
      <w:r w:rsidRPr="00F51449">
        <w:rPr>
          <w:rFonts w:ascii="Arial" w:hAnsi="Arial" w:cs="Arial"/>
          <w:b/>
          <w:bCs/>
        </w:rPr>
        <w:t xml:space="preserve">VIII    </w:t>
      </w:r>
      <w:r w:rsidRPr="00F51449">
        <w:rPr>
          <w:rFonts w:ascii="Arial" w:hAnsi="Arial" w:cs="Arial"/>
          <w:b/>
          <w:bCs/>
        </w:rPr>
        <w:tab/>
        <w:t xml:space="preserve">CONCLUSION </w:t>
      </w:r>
    </w:p>
    <w:p w14:paraId="2C823E6D" w14:textId="77777777" w:rsidR="00B310BF" w:rsidRDefault="00B310BF" w:rsidP="00F51449">
      <w:pPr>
        <w:spacing w:after="0" w:line="360" w:lineRule="auto"/>
        <w:ind w:left="709" w:hanging="709"/>
        <w:jc w:val="both"/>
        <w:rPr>
          <w:rFonts w:ascii="Arial" w:hAnsi="Arial" w:cs="Arial"/>
          <w:b/>
          <w:bCs/>
        </w:rPr>
      </w:pPr>
    </w:p>
    <w:p w14:paraId="1BA1A388" w14:textId="77777777" w:rsidR="00B310BF" w:rsidRDefault="00636EF6" w:rsidP="00F51449">
      <w:pPr>
        <w:spacing w:after="0" w:line="360" w:lineRule="auto"/>
        <w:ind w:left="709" w:hanging="709"/>
        <w:jc w:val="both"/>
        <w:rPr>
          <w:rFonts w:ascii="Arial" w:hAnsi="Arial" w:cs="Arial"/>
          <w:sz w:val="24"/>
          <w:szCs w:val="24"/>
        </w:rPr>
      </w:pPr>
      <w:r>
        <w:rPr>
          <w:rFonts w:ascii="Arial" w:hAnsi="Arial" w:cs="Arial"/>
        </w:rPr>
        <w:t>[43]</w:t>
      </w:r>
      <w:r>
        <w:rPr>
          <w:rFonts w:ascii="Arial" w:hAnsi="Arial" w:cs="Arial"/>
        </w:rPr>
        <w:tab/>
      </w:r>
      <w:r w:rsidR="00F36227">
        <w:rPr>
          <w:rFonts w:ascii="Arial" w:hAnsi="Arial" w:cs="Arial"/>
          <w:sz w:val="24"/>
          <w:szCs w:val="24"/>
        </w:rPr>
        <w:t>In the final</w:t>
      </w:r>
      <w:r w:rsidR="00D20D30">
        <w:rPr>
          <w:rFonts w:ascii="Arial" w:hAnsi="Arial" w:cs="Arial"/>
          <w:sz w:val="24"/>
          <w:szCs w:val="24"/>
        </w:rPr>
        <w:t xml:space="preserve"> analysis,</w:t>
      </w:r>
      <w:r w:rsidR="004F6169">
        <w:rPr>
          <w:rFonts w:ascii="Arial" w:hAnsi="Arial" w:cs="Arial"/>
          <w:sz w:val="24"/>
          <w:szCs w:val="24"/>
        </w:rPr>
        <w:t xml:space="preserve"> I find that the tender documentation was clear, </w:t>
      </w:r>
      <w:r w:rsidR="00435471">
        <w:rPr>
          <w:rFonts w:ascii="Arial" w:hAnsi="Arial" w:cs="Arial"/>
          <w:sz w:val="24"/>
          <w:szCs w:val="24"/>
        </w:rPr>
        <w:t>both in relation to the duty to fill in</w:t>
      </w:r>
      <w:r w:rsidR="00732096">
        <w:rPr>
          <w:rFonts w:ascii="Arial" w:hAnsi="Arial" w:cs="Arial"/>
          <w:sz w:val="24"/>
          <w:szCs w:val="24"/>
        </w:rPr>
        <w:t xml:space="preserve"> the required documents completely and fully, as well as</w:t>
      </w:r>
      <w:r w:rsidR="008F555D">
        <w:rPr>
          <w:rFonts w:ascii="Arial" w:hAnsi="Arial" w:cs="Arial"/>
          <w:sz w:val="24"/>
          <w:szCs w:val="24"/>
        </w:rPr>
        <w:t xml:space="preserve"> the subcontracting requirements.</w:t>
      </w:r>
      <w:r w:rsidR="000F155F">
        <w:rPr>
          <w:rFonts w:ascii="Arial" w:hAnsi="Arial" w:cs="Arial"/>
          <w:sz w:val="24"/>
          <w:szCs w:val="24"/>
        </w:rPr>
        <w:t xml:space="preserve">  The applicant did not do so and its bid was therefore correctly rejected.</w:t>
      </w:r>
    </w:p>
    <w:p w14:paraId="230B5A45" w14:textId="77777777" w:rsidR="00237C5B" w:rsidRDefault="00237C5B" w:rsidP="00F51449">
      <w:pPr>
        <w:spacing w:after="0" w:line="360" w:lineRule="auto"/>
        <w:ind w:left="709" w:hanging="709"/>
        <w:jc w:val="both"/>
        <w:rPr>
          <w:rFonts w:ascii="Arial" w:hAnsi="Arial" w:cs="Arial"/>
          <w:sz w:val="24"/>
          <w:szCs w:val="24"/>
        </w:rPr>
      </w:pPr>
    </w:p>
    <w:p w14:paraId="0592D5F2" w14:textId="77777777" w:rsidR="00237C5B" w:rsidRDefault="00237C5B" w:rsidP="00F51449">
      <w:pPr>
        <w:spacing w:after="0" w:line="360" w:lineRule="auto"/>
        <w:ind w:left="709" w:hanging="709"/>
        <w:jc w:val="both"/>
        <w:rPr>
          <w:rFonts w:ascii="Arial" w:hAnsi="Arial" w:cs="Arial"/>
          <w:sz w:val="24"/>
          <w:szCs w:val="24"/>
        </w:rPr>
      </w:pPr>
      <w:r>
        <w:rPr>
          <w:rFonts w:ascii="Arial" w:hAnsi="Arial" w:cs="Arial"/>
          <w:sz w:val="24"/>
          <w:szCs w:val="24"/>
        </w:rPr>
        <w:t>[44</w:t>
      </w:r>
      <w:r w:rsidR="002C3AD1">
        <w:rPr>
          <w:rFonts w:ascii="Arial" w:hAnsi="Arial" w:cs="Arial"/>
          <w:sz w:val="24"/>
          <w:szCs w:val="24"/>
        </w:rPr>
        <w:t>]</w:t>
      </w:r>
      <w:r w:rsidR="002C3AD1">
        <w:rPr>
          <w:rFonts w:ascii="Arial" w:hAnsi="Arial" w:cs="Arial"/>
          <w:sz w:val="24"/>
          <w:szCs w:val="24"/>
        </w:rPr>
        <w:tab/>
      </w:r>
      <w:r w:rsidR="00A64792">
        <w:rPr>
          <w:rFonts w:ascii="Arial" w:hAnsi="Arial" w:cs="Arial"/>
          <w:sz w:val="24"/>
          <w:szCs w:val="24"/>
        </w:rPr>
        <w:t>The following order is thus made:</w:t>
      </w:r>
    </w:p>
    <w:p w14:paraId="6D266653" w14:textId="77777777" w:rsidR="00C9149D" w:rsidRDefault="00C9149D" w:rsidP="00F51449">
      <w:pPr>
        <w:spacing w:after="0" w:line="360" w:lineRule="auto"/>
        <w:ind w:left="709" w:hanging="709"/>
        <w:jc w:val="both"/>
        <w:rPr>
          <w:rFonts w:ascii="Arial" w:hAnsi="Arial" w:cs="Arial"/>
          <w:sz w:val="24"/>
          <w:szCs w:val="24"/>
        </w:rPr>
      </w:pPr>
    </w:p>
    <w:p w14:paraId="75306DF1" w14:textId="77777777" w:rsidR="00C9149D" w:rsidRDefault="00C9149D" w:rsidP="00C9149D">
      <w:pPr>
        <w:pStyle w:val="ListParagraph"/>
        <w:numPr>
          <w:ilvl w:val="0"/>
          <w:numId w:val="11"/>
        </w:numPr>
        <w:spacing w:after="0" w:line="360" w:lineRule="auto"/>
        <w:jc w:val="both"/>
        <w:rPr>
          <w:rFonts w:ascii="Arial" w:hAnsi="Arial" w:cs="Arial"/>
          <w:sz w:val="24"/>
          <w:szCs w:val="24"/>
        </w:rPr>
      </w:pPr>
      <w:r>
        <w:rPr>
          <w:rFonts w:ascii="Arial" w:hAnsi="Arial" w:cs="Arial"/>
          <w:sz w:val="24"/>
          <w:szCs w:val="24"/>
        </w:rPr>
        <w:t>The application is dismissed</w:t>
      </w:r>
      <w:r w:rsidR="00B03277">
        <w:rPr>
          <w:rFonts w:ascii="Arial" w:hAnsi="Arial" w:cs="Arial"/>
          <w:sz w:val="24"/>
          <w:szCs w:val="24"/>
        </w:rPr>
        <w:t xml:space="preserve"> with costs.</w:t>
      </w:r>
    </w:p>
    <w:p w14:paraId="5DF6B70D" w14:textId="77777777" w:rsidR="00B03277" w:rsidRDefault="00B03277" w:rsidP="00B03277">
      <w:pPr>
        <w:spacing w:after="0" w:line="360" w:lineRule="auto"/>
        <w:jc w:val="both"/>
        <w:rPr>
          <w:rFonts w:ascii="Arial" w:hAnsi="Arial" w:cs="Arial"/>
          <w:sz w:val="24"/>
          <w:szCs w:val="24"/>
        </w:rPr>
      </w:pPr>
    </w:p>
    <w:p w14:paraId="5CD95B57" w14:textId="77777777" w:rsidR="00B03277" w:rsidRDefault="00B03277" w:rsidP="00B03277">
      <w:pPr>
        <w:spacing w:after="0" w:line="360" w:lineRule="auto"/>
        <w:jc w:val="both"/>
        <w:rPr>
          <w:rFonts w:ascii="Arial" w:hAnsi="Arial" w:cs="Arial"/>
          <w:sz w:val="24"/>
          <w:szCs w:val="24"/>
        </w:rPr>
      </w:pPr>
    </w:p>
    <w:p w14:paraId="19920ED8" w14:textId="77777777" w:rsidR="00B03277" w:rsidRPr="00B03277" w:rsidRDefault="00490C3E" w:rsidP="00490C3E">
      <w:pPr>
        <w:spacing w:after="0" w:line="360" w:lineRule="auto"/>
        <w:jc w:val="right"/>
        <w:rPr>
          <w:rFonts w:ascii="Arial" w:hAnsi="Arial" w:cs="Arial"/>
          <w:sz w:val="24"/>
          <w:szCs w:val="24"/>
        </w:rPr>
      </w:pPr>
      <w:r>
        <w:rPr>
          <w:rFonts w:ascii="Arial" w:hAnsi="Arial" w:cs="Arial"/>
          <w:sz w:val="24"/>
          <w:szCs w:val="24"/>
        </w:rPr>
        <w:t>____________________</w:t>
      </w:r>
    </w:p>
    <w:p w14:paraId="13504013" w14:textId="77777777" w:rsidR="00A64792" w:rsidRDefault="008450DF" w:rsidP="008450DF">
      <w:pPr>
        <w:spacing w:after="0" w:line="360" w:lineRule="auto"/>
        <w:ind w:left="709" w:hanging="709"/>
        <w:jc w:val="right"/>
        <w:rPr>
          <w:rFonts w:ascii="Arial" w:hAnsi="Arial" w:cs="Arial"/>
          <w:b/>
          <w:bCs/>
          <w:sz w:val="24"/>
          <w:szCs w:val="24"/>
        </w:rPr>
      </w:pPr>
      <w:r>
        <w:rPr>
          <w:rFonts w:ascii="Arial" w:hAnsi="Arial" w:cs="Arial"/>
          <w:b/>
          <w:bCs/>
          <w:sz w:val="24"/>
          <w:szCs w:val="24"/>
        </w:rPr>
        <w:t>L. LE R. POHL, AJ</w:t>
      </w:r>
    </w:p>
    <w:p w14:paraId="08B6D6F2" w14:textId="77777777" w:rsidR="008450DF" w:rsidRDefault="008450DF" w:rsidP="008450DF">
      <w:pPr>
        <w:spacing w:after="0" w:line="360" w:lineRule="auto"/>
        <w:ind w:left="709" w:hanging="709"/>
        <w:jc w:val="right"/>
        <w:rPr>
          <w:rFonts w:ascii="Arial" w:hAnsi="Arial" w:cs="Arial"/>
          <w:b/>
          <w:bCs/>
          <w:sz w:val="24"/>
          <w:szCs w:val="24"/>
        </w:rPr>
      </w:pPr>
    </w:p>
    <w:p w14:paraId="6960C4AC" w14:textId="77777777" w:rsidR="00AA00DE" w:rsidRDefault="00AA00DE" w:rsidP="00AA00DE">
      <w:pPr>
        <w:spacing w:after="0" w:line="360" w:lineRule="auto"/>
        <w:ind w:left="709" w:hanging="709"/>
        <w:rPr>
          <w:rFonts w:ascii="Arial" w:hAnsi="Arial" w:cs="Arial"/>
          <w:sz w:val="24"/>
          <w:szCs w:val="24"/>
        </w:rPr>
      </w:pPr>
      <w:r>
        <w:rPr>
          <w:rFonts w:ascii="Arial" w:hAnsi="Arial" w:cs="Arial"/>
          <w:sz w:val="24"/>
          <w:szCs w:val="24"/>
        </w:rPr>
        <w:t>I concur:</w:t>
      </w:r>
    </w:p>
    <w:p w14:paraId="4065F49E" w14:textId="77777777" w:rsidR="00F8729F" w:rsidRDefault="00F8729F" w:rsidP="00F8729F">
      <w:pPr>
        <w:spacing w:after="0" w:line="360" w:lineRule="auto"/>
        <w:ind w:left="709" w:hanging="709"/>
        <w:rPr>
          <w:rFonts w:ascii="Arial" w:hAnsi="Arial" w:cs="Arial"/>
          <w:sz w:val="24"/>
          <w:szCs w:val="24"/>
        </w:rPr>
      </w:pPr>
    </w:p>
    <w:p w14:paraId="22662E16" w14:textId="77777777" w:rsidR="00F8729F" w:rsidRDefault="00F8729F" w:rsidP="00F8729F">
      <w:pPr>
        <w:spacing w:after="0" w:line="360" w:lineRule="auto"/>
        <w:ind w:left="709" w:hanging="709"/>
        <w:rPr>
          <w:rFonts w:ascii="Arial" w:hAnsi="Arial" w:cs="Arial"/>
          <w:sz w:val="24"/>
          <w:szCs w:val="24"/>
        </w:rPr>
      </w:pPr>
    </w:p>
    <w:p w14:paraId="4502CFEB" w14:textId="77777777" w:rsidR="00F8729F" w:rsidRDefault="00F8729F" w:rsidP="00AA00DE">
      <w:pPr>
        <w:spacing w:after="0" w:line="360" w:lineRule="auto"/>
        <w:ind w:left="709" w:hanging="709"/>
        <w:jc w:val="right"/>
        <w:rPr>
          <w:rFonts w:ascii="Arial" w:hAnsi="Arial" w:cs="Arial"/>
          <w:sz w:val="24"/>
          <w:szCs w:val="24"/>
        </w:rPr>
      </w:pPr>
      <w:r>
        <w:rPr>
          <w:rFonts w:ascii="Arial" w:hAnsi="Arial" w:cs="Arial"/>
          <w:sz w:val="24"/>
          <w:szCs w:val="24"/>
        </w:rPr>
        <w:t>___________________</w:t>
      </w:r>
    </w:p>
    <w:p w14:paraId="17EF409E" w14:textId="77777777" w:rsidR="008D0EAC" w:rsidRDefault="003A0AD1" w:rsidP="00AA00DE">
      <w:pPr>
        <w:spacing w:after="0" w:line="360" w:lineRule="auto"/>
        <w:ind w:left="709" w:hanging="709"/>
        <w:jc w:val="right"/>
        <w:rPr>
          <w:rFonts w:ascii="Arial" w:hAnsi="Arial" w:cs="Arial"/>
          <w:b/>
          <w:bCs/>
          <w:sz w:val="24"/>
          <w:szCs w:val="24"/>
        </w:rPr>
      </w:pPr>
      <w:r>
        <w:rPr>
          <w:rFonts w:ascii="Arial" w:hAnsi="Arial" w:cs="Arial"/>
          <w:b/>
          <w:bCs/>
          <w:sz w:val="24"/>
          <w:szCs w:val="24"/>
        </w:rPr>
        <w:t xml:space="preserve">P. E. </w:t>
      </w:r>
      <w:r w:rsidR="000369E6">
        <w:rPr>
          <w:rFonts w:ascii="Arial" w:hAnsi="Arial" w:cs="Arial"/>
          <w:b/>
          <w:bCs/>
          <w:sz w:val="24"/>
          <w:szCs w:val="24"/>
        </w:rPr>
        <w:t>MOLITSOANE</w:t>
      </w:r>
      <w:r w:rsidR="00F8729F">
        <w:rPr>
          <w:rFonts w:ascii="Arial" w:hAnsi="Arial" w:cs="Arial"/>
          <w:b/>
          <w:bCs/>
          <w:sz w:val="24"/>
          <w:szCs w:val="24"/>
        </w:rPr>
        <w:t>, J</w:t>
      </w:r>
    </w:p>
    <w:p w14:paraId="508EA37F" w14:textId="77777777" w:rsidR="00F8729F" w:rsidRPr="000369E6" w:rsidRDefault="00F8729F" w:rsidP="00AA00DE">
      <w:pPr>
        <w:spacing w:after="0" w:line="360" w:lineRule="auto"/>
        <w:ind w:left="709" w:hanging="709"/>
        <w:jc w:val="right"/>
        <w:rPr>
          <w:rFonts w:ascii="Arial" w:hAnsi="Arial" w:cs="Arial"/>
          <w:b/>
          <w:bCs/>
          <w:sz w:val="24"/>
          <w:szCs w:val="24"/>
        </w:rPr>
      </w:pPr>
    </w:p>
    <w:p w14:paraId="0B231E86" w14:textId="77777777" w:rsidR="00A64792" w:rsidRPr="00F36227" w:rsidRDefault="00A64792" w:rsidP="00F51449">
      <w:pPr>
        <w:spacing w:after="0" w:line="360" w:lineRule="auto"/>
        <w:ind w:left="709" w:hanging="709"/>
        <w:jc w:val="both"/>
        <w:rPr>
          <w:rFonts w:ascii="Arial" w:hAnsi="Arial" w:cs="Arial"/>
          <w:sz w:val="24"/>
          <w:szCs w:val="24"/>
        </w:rPr>
      </w:pPr>
    </w:p>
    <w:p w14:paraId="5D56B6EC" w14:textId="77777777" w:rsidR="00573EBD" w:rsidRPr="00F51449" w:rsidRDefault="00573EBD" w:rsidP="00F51449">
      <w:pPr>
        <w:spacing w:after="0" w:line="360" w:lineRule="auto"/>
        <w:ind w:left="709" w:hanging="709"/>
        <w:jc w:val="both"/>
        <w:rPr>
          <w:rFonts w:ascii="Arial" w:hAnsi="Arial" w:cs="Arial"/>
          <w:bCs/>
          <w:sz w:val="24"/>
          <w:szCs w:val="24"/>
        </w:rPr>
      </w:pPr>
    </w:p>
    <w:p w14:paraId="62B45712" w14:textId="77777777" w:rsidR="00FB32BC" w:rsidRDefault="00FB32BC" w:rsidP="00F51449">
      <w:pPr>
        <w:spacing w:after="0" w:line="240" w:lineRule="auto"/>
        <w:jc w:val="both"/>
        <w:rPr>
          <w:rFonts w:ascii="Arial" w:hAnsi="Arial" w:cs="Arial"/>
          <w:sz w:val="24"/>
          <w:szCs w:val="24"/>
        </w:rPr>
      </w:pPr>
    </w:p>
    <w:p w14:paraId="3B7D377D" w14:textId="77777777" w:rsidR="00FB32BC" w:rsidRPr="00F51449"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On behalf of Applicant</w:t>
      </w:r>
      <w:r w:rsidRPr="00F51449">
        <w:rPr>
          <w:rFonts w:ascii="Arial" w:hAnsi="Arial" w:cs="Arial"/>
          <w:sz w:val="24"/>
          <w:szCs w:val="24"/>
        </w:rPr>
        <w:tab/>
        <w:t>:</w:t>
      </w:r>
      <w:r w:rsidRPr="00F51449">
        <w:rPr>
          <w:rFonts w:ascii="Arial" w:hAnsi="Arial" w:cs="Arial"/>
          <w:sz w:val="24"/>
          <w:szCs w:val="24"/>
        </w:rPr>
        <w:tab/>
        <w:t>Advv N Snellenburg SC &amp; JJ Buys</w:t>
      </w:r>
    </w:p>
    <w:p w14:paraId="4DC68A1B" w14:textId="77777777" w:rsidR="00FB32BC" w:rsidRPr="00F51449" w:rsidRDefault="00FB32BC" w:rsidP="00F51449">
      <w:pPr>
        <w:tabs>
          <w:tab w:val="left" w:pos="1276"/>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Instructed by</w:t>
      </w:r>
      <w:r w:rsidRPr="00F51449">
        <w:rPr>
          <w:rFonts w:ascii="Arial" w:hAnsi="Arial" w:cs="Arial"/>
          <w:sz w:val="24"/>
          <w:szCs w:val="24"/>
        </w:rPr>
        <w:tab/>
        <w:t>:</w:t>
      </w:r>
      <w:r w:rsidRPr="00F51449">
        <w:rPr>
          <w:rFonts w:ascii="Arial" w:hAnsi="Arial" w:cs="Arial"/>
          <w:sz w:val="24"/>
          <w:szCs w:val="24"/>
        </w:rPr>
        <w:tab/>
      </w:r>
      <w:r w:rsidRPr="004052C2">
        <w:rPr>
          <w:rFonts w:ascii="Arial" w:hAnsi="Arial" w:cs="Arial"/>
          <w:color w:val="FF0000"/>
          <w:sz w:val="24"/>
          <w:szCs w:val="24"/>
        </w:rPr>
        <w:t xml:space="preserve">L&amp;V </w:t>
      </w:r>
      <w:r w:rsidR="004052C2">
        <w:rPr>
          <w:rFonts w:ascii="Arial" w:hAnsi="Arial" w:cs="Arial"/>
          <w:sz w:val="24"/>
          <w:szCs w:val="24"/>
        </w:rPr>
        <w:t xml:space="preserve"> </w:t>
      </w:r>
      <w:r w:rsidR="004052C2" w:rsidRPr="004052C2">
        <w:rPr>
          <w:rFonts w:ascii="Arial" w:hAnsi="Arial" w:cs="Arial"/>
          <w:color w:val="00B0F0"/>
          <w:sz w:val="24"/>
          <w:szCs w:val="24"/>
        </w:rPr>
        <w:t>York</w:t>
      </w:r>
      <w:r w:rsidR="004052C2">
        <w:rPr>
          <w:rFonts w:ascii="Arial" w:hAnsi="Arial" w:cs="Arial"/>
          <w:sz w:val="24"/>
          <w:szCs w:val="24"/>
        </w:rPr>
        <w:t xml:space="preserve"> </w:t>
      </w:r>
      <w:r w:rsidRPr="00F51449">
        <w:rPr>
          <w:rFonts w:ascii="Arial" w:hAnsi="Arial" w:cs="Arial"/>
          <w:sz w:val="24"/>
          <w:szCs w:val="24"/>
        </w:rPr>
        <w:t>Attorneys</w:t>
      </w:r>
    </w:p>
    <w:p w14:paraId="54AD0387" w14:textId="77777777" w:rsidR="00FB32BC" w:rsidRPr="00F51449" w:rsidRDefault="00FB32BC" w:rsidP="00F51449">
      <w:pPr>
        <w:tabs>
          <w:tab w:val="left" w:pos="720"/>
          <w:tab w:val="left" w:pos="1440"/>
          <w:tab w:val="left" w:pos="3544"/>
          <w:tab w:val="left" w:pos="3648"/>
          <w:tab w:val="left" w:pos="3969"/>
        </w:tabs>
        <w:spacing w:after="0" w:line="240" w:lineRule="auto"/>
        <w:jc w:val="both"/>
        <w:rPr>
          <w:rFonts w:ascii="Arial" w:hAnsi="Arial" w:cs="Arial"/>
          <w:sz w:val="24"/>
          <w:szCs w:val="24"/>
        </w:rPr>
      </w:pP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t>BLOEMFONTEIN</w:t>
      </w:r>
    </w:p>
    <w:p w14:paraId="0C6D2418" w14:textId="77777777" w:rsidR="00FB32BC" w:rsidRPr="00F51449" w:rsidRDefault="00FB32BC" w:rsidP="00F51449">
      <w:pPr>
        <w:tabs>
          <w:tab w:val="left" w:pos="720"/>
          <w:tab w:val="left" w:pos="1440"/>
          <w:tab w:val="left" w:pos="2160"/>
          <w:tab w:val="left" w:pos="2880"/>
          <w:tab w:val="left" w:pos="3544"/>
          <w:tab w:val="left" w:pos="3600"/>
          <w:tab w:val="left" w:pos="3969"/>
          <w:tab w:val="right" w:pos="9026"/>
        </w:tabs>
        <w:spacing w:after="0" w:line="240" w:lineRule="auto"/>
        <w:jc w:val="both"/>
        <w:rPr>
          <w:rFonts w:ascii="Arial" w:hAnsi="Arial" w:cs="Arial"/>
          <w:sz w:val="24"/>
          <w:szCs w:val="24"/>
        </w:rPr>
      </w:pP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r w:rsidRPr="00F51449">
        <w:rPr>
          <w:rFonts w:ascii="Arial" w:hAnsi="Arial" w:cs="Arial"/>
          <w:sz w:val="24"/>
          <w:szCs w:val="24"/>
        </w:rPr>
        <w:tab/>
      </w:r>
    </w:p>
    <w:p w14:paraId="520E5C39" w14:textId="77777777" w:rsidR="005134D8" w:rsidRDefault="005134D8" w:rsidP="00F51449">
      <w:pPr>
        <w:tabs>
          <w:tab w:val="left" w:pos="3544"/>
          <w:tab w:val="left" w:pos="3969"/>
        </w:tabs>
        <w:spacing w:after="0" w:line="240" w:lineRule="auto"/>
        <w:jc w:val="both"/>
        <w:rPr>
          <w:rFonts w:ascii="Arial" w:hAnsi="Arial" w:cs="Arial"/>
          <w:sz w:val="24"/>
          <w:szCs w:val="24"/>
        </w:rPr>
      </w:pPr>
    </w:p>
    <w:p w14:paraId="0BF4D6B2" w14:textId="77777777" w:rsidR="00FB32BC" w:rsidRPr="00F51449"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lastRenderedPageBreak/>
        <w:t>On behalf of 1</w:t>
      </w:r>
      <w:r w:rsidRPr="00F51449">
        <w:rPr>
          <w:rFonts w:ascii="Arial" w:hAnsi="Arial" w:cs="Arial"/>
          <w:sz w:val="24"/>
          <w:szCs w:val="24"/>
          <w:vertAlign w:val="superscript"/>
        </w:rPr>
        <w:t>st</w:t>
      </w:r>
      <w:r w:rsidRPr="00F51449">
        <w:rPr>
          <w:rFonts w:ascii="Arial" w:hAnsi="Arial" w:cs="Arial"/>
          <w:sz w:val="24"/>
          <w:szCs w:val="24"/>
        </w:rPr>
        <w:t xml:space="preserve"> Respondent</w:t>
      </w:r>
      <w:r w:rsidRPr="00F51449">
        <w:rPr>
          <w:rFonts w:ascii="Arial" w:hAnsi="Arial" w:cs="Arial"/>
          <w:sz w:val="24"/>
          <w:szCs w:val="24"/>
        </w:rPr>
        <w:tab/>
        <w:t>:</w:t>
      </w:r>
      <w:r w:rsidRPr="00F51449">
        <w:rPr>
          <w:rFonts w:ascii="Arial" w:hAnsi="Arial" w:cs="Arial"/>
          <w:sz w:val="24"/>
          <w:szCs w:val="24"/>
        </w:rPr>
        <w:tab/>
        <w:t xml:space="preserve">Adv </w:t>
      </w:r>
      <w:r w:rsidR="00A06824">
        <w:rPr>
          <w:rFonts w:ascii="Arial" w:hAnsi="Arial" w:cs="Arial"/>
          <w:sz w:val="24"/>
          <w:szCs w:val="24"/>
        </w:rPr>
        <w:t>L Bomela</w:t>
      </w:r>
    </w:p>
    <w:p w14:paraId="4ADD11ED" w14:textId="77777777" w:rsidR="00FB32BC" w:rsidRPr="00F51449" w:rsidRDefault="00FB32BC" w:rsidP="00F51449">
      <w:pPr>
        <w:tabs>
          <w:tab w:val="left" w:pos="3544"/>
          <w:tab w:val="left" w:pos="3969"/>
        </w:tabs>
        <w:spacing w:after="0" w:line="240" w:lineRule="auto"/>
        <w:jc w:val="both"/>
        <w:rPr>
          <w:rFonts w:ascii="Arial" w:hAnsi="Arial" w:cs="Arial"/>
          <w:sz w:val="24"/>
          <w:szCs w:val="24"/>
        </w:rPr>
      </w:pPr>
      <w:r w:rsidRPr="00F51449">
        <w:rPr>
          <w:rFonts w:ascii="Arial" w:hAnsi="Arial" w:cs="Arial"/>
          <w:sz w:val="24"/>
          <w:szCs w:val="24"/>
        </w:rPr>
        <w:t>Instructed by</w:t>
      </w:r>
      <w:r w:rsidRPr="00F51449">
        <w:rPr>
          <w:rFonts w:ascii="Arial" w:hAnsi="Arial" w:cs="Arial"/>
          <w:sz w:val="24"/>
          <w:szCs w:val="24"/>
        </w:rPr>
        <w:tab/>
        <w:t xml:space="preserve">: </w:t>
      </w:r>
      <w:r w:rsidRPr="00F51449">
        <w:rPr>
          <w:rFonts w:ascii="Arial" w:hAnsi="Arial" w:cs="Arial"/>
          <w:sz w:val="24"/>
          <w:szCs w:val="24"/>
        </w:rPr>
        <w:tab/>
        <w:t>State Attorney</w:t>
      </w:r>
    </w:p>
    <w:p w14:paraId="1E0591D5" w14:textId="77777777" w:rsidR="00FB32BC" w:rsidRPr="00F51449" w:rsidRDefault="00FB32BC" w:rsidP="00F51449">
      <w:pPr>
        <w:tabs>
          <w:tab w:val="left" w:pos="3544"/>
          <w:tab w:val="left" w:pos="3660"/>
          <w:tab w:val="left" w:pos="3969"/>
        </w:tabs>
        <w:spacing w:after="0" w:line="240" w:lineRule="auto"/>
        <w:jc w:val="both"/>
        <w:rPr>
          <w:rFonts w:ascii="Arial" w:hAnsi="Arial" w:cs="Arial"/>
          <w:sz w:val="24"/>
          <w:szCs w:val="24"/>
        </w:rPr>
      </w:pPr>
      <w:r w:rsidRPr="00F51449">
        <w:rPr>
          <w:rFonts w:ascii="Arial" w:hAnsi="Arial" w:cs="Arial"/>
          <w:sz w:val="24"/>
          <w:szCs w:val="24"/>
        </w:rPr>
        <w:t xml:space="preserve">                                              </w:t>
      </w:r>
      <w:r w:rsidRPr="00F51449">
        <w:rPr>
          <w:rFonts w:ascii="Arial" w:hAnsi="Arial" w:cs="Arial"/>
          <w:sz w:val="24"/>
          <w:szCs w:val="24"/>
        </w:rPr>
        <w:tab/>
      </w:r>
      <w:r w:rsidRPr="00F51449">
        <w:rPr>
          <w:rFonts w:ascii="Arial" w:hAnsi="Arial" w:cs="Arial"/>
          <w:sz w:val="24"/>
          <w:szCs w:val="24"/>
        </w:rPr>
        <w:tab/>
      </w:r>
      <w:r w:rsidR="00727060" w:rsidRPr="00F51449">
        <w:rPr>
          <w:rFonts w:ascii="Arial" w:hAnsi="Arial" w:cs="Arial"/>
          <w:sz w:val="24"/>
          <w:szCs w:val="24"/>
        </w:rPr>
        <w:tab/>
      </w:r>
      <w:r w:rsidRPr="00F51449">
        <w:rPr>
          <w:rFonts w:ascii="Arial" w:hAnsi="Arial" w:cs="Arial"/>
          <w:sz w:val="24"/>
          <w:szCs w:val="24"/>
        </w:rPr>
        <w:t>BLOEMFONTEIN</w:t>
      </w:r>
    </w:p>
    <w:p w14:paraId="56B85EF6" w14:textId="77777777" w:rsidR="00FB32BC" w:rsidRPr="00F51449" w:rsidRDefault="00FB32BC" w:rsidP="00F51449">
      <w:pPr>
        <w:tabs>
          <w:tab w:val="left" w:pos="3544"/>
          <w:tab w:val="left" w:pos="3660"/>
          <w:tab w:val="left" w:pos="3969"/>
        </w:tabs>
        <w:spacing w:after="0" w:line="240" w:lineRule="auto"/>
        <w:jc w:val="both"/>
        <w:rPr>
          <w:rFonts w:ascii="Arial" w:hAnsi="Arial" w:cs="Arial"/>
          <w:sz w:val="24"/>
          <w:szCs w:val="24"/>
        </w:rPr>
      </w:pPr>
    </w:p>
    <w:p w14:paraId="7A1FE140" w14:textId="77777777" w:rsidR="00FB32BC" w:rsidRPr="00F51449" w:rsidRDefault="00FB32BC" w:rsidP="00F51449">
      <w:pPr>
        <w:tabs>
          <w:tab w:val="left" w:pos="3544"/>
          <w:tab w:val="left" w:pos="3660"/>
          <w:tab w:val="left" w:pos="3969"/>
        </w:tabs>
        <w:spacing w:after="0" w:line="240" w:lineRule="auto"/>
        <w:jc w:val="both"/>
        <w:rPr>
          <w:rFonts w:ascii="Arial" w:hAnsi="Arial" w:cs="Arial"/>
          <w:sz w:val="24"/>
          <w:szCs w:val="24"/>
        </w:rPr>
      </w:pPr>
      <w:r w:rsidRPr="00F51449">
        <w:rPr>
          <w:rFonts w:ascii="Arial" w:hAnsi="Arial" w:cs="Arial"/>
          <w:sz w:val="24"/>
          <w:szCs w:val="24"/>
        </w:rPr>
        <w:t>On behalf of 2</w:t>
      </w:r>
      <w:r w:rsidRPr="00F51449">
        <w:rPr>
          <w:rFonts w:ascii="Arial" w:hAnsi="Arial" w:cs="Arial"/>
          <w:sz w:val="24"/>
          <w:szCs w:val="24"/>
          <w:vertAlign w:val="superscript"/>
        </w:rPr>
        <w:t>nd</w:t>
      </w:r>
      <w:r w:rsidRPr="00F51449">
        <w:rPr>
          <w:rFonts w:ascii="Arial" w:hAnsi="Arial" w:cs="Arial"/>
          <w:sz w:val="24"/>
          <w:szCs w:val="24"/>
        </w:rPr>
        <w:t xml:space="preserve"> Respondent</w:t>
      </w:r>
      <w:r w:rsidR="00727060" w:rsidRPr="00F51449">
        <w:rPr>
          <w:rFonts w:ascii="Arial" w:hAnsi="Arial" w:cs="Arial"/>
          <w:sz w:val="24"/>
          <w:szCs w:val="24"/>
        </w:rPr>
        <w:tab/>
      </w:r>
      <w:r w:rsidRPr="00F51449">
        <w:rPr>
          <w:rFonts w:ascii="Arial" w:hAnsi="Arial" w:cs="Arial"/>
          <w:sz w:val="24"/>
          <w:szCs w:val="24"/>
        </w:rPr>
        <w:t>:    Adv S Grobler SC</w:t>
      </w:r>
    </w:p>
    <w:p w14:paraId="341144F1" w14:textId="77777777" w:rsidR="003A0BF6" w:rsidRPr="00F51449" w:rsidRDefault="00FB32BC" w:rsidP="001255EA">
      <w:pPr>
        <w:tabs>
          <w:tab w:val="left" w:pos="3544"/>
          <w:tab w:val="left" w:pos="3660"/>
          <w:tab w:val="left" w:pos="3969"/>
        </w:tabs>
        <w:spacing w:after="0" w:line="240" w:lineRule="auto"/>
        <w:jc w:val="both"/>
        <w:rPr>
          <w:rFonts w:ascii="Arial" w:hAnsi="Arial" w:cs="Arial"/>
        </w:rPr>
      </w:pPr>
      <w:r w:rsidRPr="00F51449">
        <w:rPr>
          <w:rFonts w:ascii="Arial" w:hAnsi="Arial" w:cs="Arial"/>
          <w:sz w:val="24"/>
          <w:szCs w:val="24"/>
        </w:rPr>
        <w:t xml:space="preserve">Instructed by                         </w:t>
      </w:r>
      <w:r w:rsidR="00727060" w:rsidRPr="00F51449">
        <w:rPr>
          <w:rFonts w:ascii="Arial" w:hAnsi="Arial" w:cs="Arial"/>
          <w:sz w:val="24"/>
          <w:szCs w:val="24"/>
        </w:rPr>
        <w:tab/>
      </w:r>
      <w:r w:rsidRPr="00F51449">
        <w:rPr>
          <w:rFonts w:ascii="Arial" w:hAnsi="Arial" w:cs="Arial"/>
          <w:sz w:val="24"/>
          <w:szCs w:val="24"/>
        </w:rPr>
        <w:t>:    Peyper Attorneys</w:t>
      </w:r>
    </w:p>
    <w:sectPr w:rsidR="003A0BF6" w:rsidRPr="00F51449" w:rsidSect="009A1981">
      <w:headerReference w:type="default" r:id="rId9"/>
      <w:footerReference w:type="default" r:id="rId10"/>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27D6" w14:textId="77777777" w:rsidR="00BA6380" w:rsidRDefault="00BA6380" w:rsidP="00FB32BC">
      <w:pPr>
        <w:spacing w:after="0" w:line="240" w:lineRule="auto"/>
      </w:pPr>
      <w:r>
        <w:separator/>
      </w:r>
    </w:p>
  </w:endnote>
  <w:endnote w:type="continuationSeparator" w:id="0">
    <w:p w14:paraId="4C075FFA" w14:textId="77777777" w:rsidR="00BA6380" w:rsidRDefault="00BA6380" w:rsidP="00FB32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Arial"/>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73795" w14:textId="77777777" w:rsidR="00ED2E98" w:rsidRDefault="00ED2E98" w:rsidP="009A1981">
    <w:pPr>
      <w:pStyle w:val="Footer"/>
      <w:jc w:val="center"/>
    </w:pPr>
  </w:p>
  <w:p w14:paraId="267C1E54" w14:textId="77777777" w:rsidR="00ED2E98" w:rsidRDefault="00ED2E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FABF17" w14:textId="77777777" w:rsidR="00BA6380" w:rsidRDefault="00BA6380" w:rsidP="00FB32BC">
      <w:pPr>
        <w:spacing w:after="0" w:line="240" w:lineRule="auto"/>
      </w:pPr>
      <w:r>
        <w:separator/>
      </w:r>
    </w:p>
  </w:footnote>
  <w:footnote w:type="continuationSeparator" w:id="0">
    <w:p w14:paraId="592CBDCC" w14:textId="77777777" w:rsidR="00BA6380" w:rsidRDefault="00BA6380" w:rsidP="00FB32BC">
      <w:pPr>
        <w:spacing w:after="0" w:line="240" w:lineRule="auto"/>
      </w:pPr>
      <w:r>
        <w:continuationSeparator/>
      </w:r>
    </w:p>
  </w:footnote>
  <w:footnote w:id="1">
    <w:p w14:paraId="26AF4BA8" w14:textId="77777777" w:rsidR="00ED2E98" w:rsidRPr="00363B7A" w:rsidRDefault="00ED2E98" w:rsidP="00613626">
      <w:pPr>
        <w:pStyle w:val="FootnoteText"/>
        <w:rPr>
          <w:rFonts w:ascii="Times New Roman" w:hAnsi="Times New Roman" w:cs="Times New Roman"/>
        </w:rPr>
      </w:pPr>
      <w:r w:rsidRPr="00363B7A">
        <w:rPr>
          <w:rStyle w:val="FootnoteReference"/>
          <w:rFonts w:ascii="Times New Roman" w:hAnsi="Times New Roman" w:cs="Times New Roman"/>
        </w:rPr>
        <w:footnoteRef/>
      </w:r>
      <w:r w:rsidRPr="00363B7A">
        <w:rPr>
          <w:rFonts w:ascii="Times New Roman" w:hAnsi="Times New Roman" w:cs="Times New Roman"/>
        </w:rPr>
        <w:t xml:space="preserve"> </w:t>
      </w:r>
      <w:r w:rsidR="00200190">
        <w:rPr>
          <w:rFonts w:ascii="Times New Roman" w:hAnsi="Times New Roman" w:cs="Times New Roman"/>
        </w:rPr>
        <w:t>Index review application</w:t>
      </w:r>
      <w:r w:rsidRPr="00363B7A">
        <w:rPr>
          <w:rFonts w:ascii="Times New Roman" w:hAnsi="Times New Roman" w:cs="Times New Roman"/>
        </w:rPr>
        <w:t xml:space="preserve">, p </w:t>
      </w:r>
      <w:r w:rsidR="00280668">
        <w:rPr>
          <w:rFonts w:ascii="Times New Roman" w:hAnsi="Times New Roman" w:cs="Times New Roman"/>
        </w:rPr>
        <w:t>77</w:t>
      </w:r>
    </w:p>
  </w:footnote>
  <w:footnote w:id="2">
    <w:p w14:paraId="2DF629D9" w14:textId="77777777" w:rsidR="00C15593" w:rsidRPr="00C15593" w:rsidRDefault="00C15593">
      <w:pPr>
        <w:pStyle w:val="FootnoteText"/>
        <w:rPr>
          <w:lang w:val="en-GB"/>
        </w:rPr>
      </w:pPr>
      <w:r>
        <w:rPr>
          <w:rStyle w:val="FootnoteReference"/>
        </w:rPr>
        <w:footnoteRef/>
      </w:r>
      <w:r>
        <w:t xml:space="preserve"> </w:t>
      </w:r>
      <w:r w:rsidR="001769AD">
        <w:t xml:space="preserve">Index review application </w:t>
      </w:r>
      <w:r w:rsidR="003450CC">
        <w:t>p396</w:t>
      </w:r>
    </w:p>
  </w:footnote>
  <w:footnote w:id="3">
    <w:p w14:paraId="57B03E0D" w14:textId="77777777" w:rsidR="005025C0" w:rsidRPr="005025C0" w:rsidRDefault="005025C0">
      <w:pPr>
        <w:pStyle w:val="FootnoteText"/>
        <w:rPr>
          <w:lang w:val="en-GB"/>
        </w:rPr>
      </w:pPr>
      <w:r>
        <w:rPr>
          <w:rStyle w:val="FootnoteReference"/>
        </w:rPr>
        <w:footnoteRef/>
      </w:r>
      <w:r>
        <w:t xml:space="preserve"> </w:t>
      </w:r>
      <w:r>
        <w:t>Index review application p</w:t>
      </w:r>
      <w:r w:rsidR="00731753">
        <w:t>81</w:t>
      </w:r>
    </w:p>
  </w:footnote>
  <w:footnote w:id="4">
    <w:p w14:paraId="1F4958DC" w14:textId="77777777" w:rsidR="00005218" w:rsidRPr="00005218" w:rsidRDefault="00005218">
      <w:pPr>
        <w:pStyle w:val="FootnoteText"/>
        <w:rPr>
          <w:lang w:val="en-GB"/>
        </w:rPr>
      </w:pPr>
      <w:r>
        <w:rPr>
          <w:rStyle w:val="FootnoteReference"/>
        </w:rPr>
        <w:footnoteRef/>
      </w:r>
      <w:r>
        <w:t xml:space="preserve"> </w:t>
      </w:r>
      <w:r w:rsidR="00E0463F">
        <w:rPr>
          <w:lang w:val="en-GB"/>
        </w:rPr>
        <w:t>I</w:t>
      </w:r>
      <w:r w:rsidR="00236BDF">
        <w:rPr>
          <w:lang w:val="en-GB"/>
        </w:rPr>
        <w:t>ndex</w:t>
      </w:r>
      <w:r w:rsidR="00E0463F">
        <w:rPr>
          <w:lang w:val="en-GB"/>
        </w:rPr>
        <w:t xml:space="preserve"> review application</w:t>
      </w:r>
      <w:r w:rsidR="00236BDF">
        <w:rPr>
          <w:lang w:val="en-GB"/>
        </w:rPr>
        <w:t>, p264</w:t>
      </w:r>
    </w:p>
  </w:footnote>
  <w:footnote w:id="5">
    <w:p w14:paraId="5BE2A51F" w14:textId="77777777" w:rsidR="005D6FCF" w:rsidRPr="005D6FCF" w:rsidRDefault="005D6FCF">
      <w:pPr>
        <w:pStyle w:val="FootnoteText"/>
        <w:rPr>
          <w:lang w:val="en-GB"/>
        </w:rPr>
      </w:pPr>
      <w:r>
        <w:rPr>
          <w:rStyle w:val="FootnoteReference"/>
        </w:rPr>
        <w:footnoteRef/>
      </w:r>
      <w:r>
        <w:t xml:space="preserve"> </w:t>
      </w:r>
      <w:r>
        <w:rPr>
          <w:lang w:val="en-GB"/>
        </w:rPr>
        <w:t>Index review application, p89</w:t>
      </w:r>
    </w:p>
  </w:footnote>
  <w:footnote w:id="6">
    <w:p w14:paraId="20E56EC1" w14:textId="77777777" w:rsidR="00882EAE" w:rsidRPr="00882EAE" w:rsidRDefault="00882EAE">
      <w:pPr>
        <w:pStyle w:val="FootnoteText"/>
        <w:rPr>
          <w:lang w:val="en-GB"/>
        </w:rPr>
      </w:pPr>
      <w:r>
        <w:rPr>
          <w:rStyle w:val="FootnoteReference"/>
        </w:rPr>
        <w:footnoteRef/>
      </w:r>
      <w:r>
        <w:t xml:space="preserve"> </w:t>
      </w:r>
      <w:r>
        <w:rPr>
          <w:lang w:val="en-GB"/>
        </w:rPr>
        <w:t>Index review application, p 90</w:t>
      </w:r>
    </w:p>
  </w:footnote>
  <w:footnote w:id="7">
    <w:p w14:paraId="1CD6A973" w14:textId="77777777" w:rsidR="00D470D3" w:rsidRPr="00D470D3" w:rsidRDefault="00D470D3">
      <w:pPr>
        <w:pStyle w:val="FootnoteText"/>
        <w:rPr>
          <w:lang w:val="en-GB"/>
        </w:rPr>
      </w:pPr>
      <w:r>
        <w:rPr>
          <w:rStyle w:val="FootnoteReference"/>
        </w:rPr>
        <w:footnoteRef/>
      </w:r>
      <w:r>
        <w:t xml:space="preserve"> </w:t>
      </w:r>
      <w:r>
        <w:rPr>
          <w:lang w:val="en-GB"/>
        </w:rPr>
        <w:t>Index review application, p</w:t>
      </w:r>
      <w:r w:rsidR="005708DF">
        <w:rPr>
          <w:lang w:val="en-GB"/>
        </w:rPr>
        <w:t>91</w:t>
      </w:r>
    </w:p>
  </w:footnote>
  <w:footnote w:id="8">
    <w:p w14:paraId="722F5141" w14:textId="77777777" w:rsidR="00FD07E5" w:rsidRDefault="00FD07E5">
      <w:pPr>
        <w:pStyle w:val="FootnoteText"/>
        <w:rPr>
          <w:lang w:val="en-GB"/>
        </w:rPr>
      </w:pPr>
      <w:r>
        <w:rPr>
          <w:rStyle w:val="FootnoteReference"/>
        </w:rPr>
        <w:footnoteRef/>
      </w:r>
      <w:r>
        <w:t xml:space="preserve"> </w:t>
      </w:r>
      <w:r>
        <w:rPr>
          <w:lang w:val="en-GB"/>
        </w:rPr>
        <w:t>Index review appl</w:t>
      </w:r>
      <w:r w:rsidR="00560565">
        <w:rPr>
          <w:lang w:val="en-GB"/>
        </w:rPr>
        <w:t>ication, p92</w:t>
      </w:r>
    </w:p>
    <w:p w14:paraId="1C4D1876" w14:textId="77777777" w:rsidR="00560565" w:rsidRPr="00FD07E5" w:rsidRDefault="00560565">
      <w:pPr>
        <w:pStyle w:val="FootnoteText"/>
        <w:rPr>
          <w:lang w:val="en-GB"/>
        </w:rPr>
      </w:pPr>
    </w:p>
  </w:footnote>
  <w:footnote w:id="9">
    <w:p w14:paraId="54B0256E" w14:textId="77777777" w:rsidR="00820F0F" w:rsidRPr="00820F0F" w:rsidRDefault="00820F0F">
      <w:pPr>
        <w:pStyle w:val="FootnoteText"/>
        <w:rPr>
          <w:lang w:val="en-GB"/>
        </w:rPr>
      </w:pPr>
      <w:r>
        <w:rPr>
          <w:rStyle w:val="FootnoteReference"/>
        </w:rPr>
        <w:footnoteRef/>
      </w:r>
      <w:r>
        <w:t xml:space="preserve"> </w:t>
      </w:r>
      <w:r w:rsidR="00697AB9">
        <w:rPr>
          <w:lang w:val="en-GB"/>
        </w:rPr>
        <w:t>Index review application, p95</w:t>
      </w:r>
    </w:p>
  </w:footnote>
  <w:footnote w:id="10">
    <w:p w14:paraId="0498E081" w14:textId="77777777" w:rsidR="005E46FA" w:rsidRPr="005E46FA" w:rsidRDefault="005E46FA">
      <w:pPr>
        <w:pStyle w:val="FootnoteText"/>
        <w:rPr>
          <w:lang w:val="en-GB"/>
        </w:rPr>
      </w:pPr>
      <w:r>
        <w:rPr>
          <w:rStyle w:val="FootnoteReference"/>
        </w:rPr>
        <w:footnoteRef/>
      </w:r>
      <w:r>
        <w:t xml:space="preserve"> </w:t>
      </w:r>
      <w:r>
        <w:rPr>
          <w:lang w:val="en-GB"/>
        </w:rPr>
        <w:t>Index review application, p104</w:t>
      </w:r>
    </w:p>
  </w:footnote>
  <w:footnote w:id="11">
    <w:p w14:paraId="77E96BC8" w14:textId="77777777" w:rsidR="005D61AB" w:rsidRPr="005D61AB" w:rsidRDefault="005D61AB">
      <w:pPr>
        <w:pStyle w:val="FootnoteText"/>
        <w:rPr>
          <w:lang w:val="en-GB"/>
        </w:rPr>
      </w:pPr>
      <w:r>
        <w:rPr>
          <w:rStyle w:val="FootnoteReference"/>
        </w:rPr>
        <w:footnoteRef/>
      </w:r>
      <w:r>
        <w:t xml:space="preserve"> </w:t>
      </w:r>
      <w:r>
        <w:rPr>
          <w:lang w:val="en-GB"/>
        </w:rPr>
        <w:t>Index review application, p</w:t>
      </w:r>
      <w:r w:rsidR="007D6F0D">
        <w:rPr>
          <w:lang w:val="en-GB"/>
        </w:rPr>
        <w:t>152</w:t>
      </w:r>
    </w:p>
  </w:footnote>
  <w:footnote w:id="12">
    <w:p w14:paraId="50D8DD54" w14:textId="77777777" w:rsidR="005457FB" w:rsidRPr="001731A0" w:rsidRDefault="001731A0">
      <w:pPr>
        <w:pStyle w:val="FootnoteText"/>
        <w:rPr>
          <w:lang w:val="en-GB"/>
        </w:rPr>
      </w:pPr>
      <w:r>
        <w:rPr>
          <w:rStyle w:val="FootnoteReference"/>
        </w:rPr>
        <w:footnoteRef/>
      </w:r>
      <w:r>
        <w:t xml:space="preserve"> </w:t>
      </w:r>
      <w:r>
        <w:rPr>
          <w:lang w:val="en-GB"/>
        </w:rPr>
        <w:t>Index review application, p</w:t>
      </w:r>
      <w:r w:rsidR="005457FB">
        <w:rPr>
          <w:lang w:val="en-GB"/>
        </w:rPr>
        <w:t>152</w:t>
      </w:r>
    </w:p>
  </w:footnote>
  <w:footnote w:id="13">
    <w:p w14:paraId="2AAFBB28" w14:textId="77777777" w:rsidR="000D4774" w:rsidRPr="000D4774" w:rsidRDefault="000D4774">
      <w:pPr>
        <w:pStyle w:val="FootnoteText"/>
        <w:rPr>
          <w:lang w:val="en-GB"/>
        </w:rPr>
      </w:pPr>
      <w:r>
        <w:rPr>
          <w:rStyle w:val="FootnoteReference"/>
        </w:rPr>
        <w:footnoteRef/>
      </w:r>
      <w:r>
        <w:t xml:space="preserve"> </w:t>
      </w:r>
      <w:r>
        <w:rPr>
          <w:lang w:val="en-GB"/>
        </w:rPr>
        <w:t xml:space="preserve">Index review application, </w:t>
      </w:r>
      <w:r w:rsidR="006B16AB">
        <w:rPr>
          <w:lang w:val="en-GB"/>
        </w:rPr>
        <w:t>p269</w:t>
      </w:r>
    </w:p>
  </w:footnote>
  <w:footnote w:id="14">
    <w:p w14:paraId="32ABA6A1" w14:textId="77777777" w:rsidR="009B6A97" w:rsidRPr="009B6A97" w:rsidRDefault="009B6A97">
      <w:pPr>
        <w:pStyle w:val="FootnoteText"/>
        <w:rPr>
          <w:lang w:val="en-GB"/>
        </w:rPr>
      </w:pPr>
      <w:r>
        <w:rPr>
          <w:rStyle w:val="FootnoteReference"/>
        </w:rPr>
        <w:footnoteRef/>
      </w:r>
      <w:r>
        <w:t xml:space="preserve"> </w:t>
      </w:r>
      <w:r>
        <w:rPr>
          <w:lang w:val="en-GB"/>
        </w:rPr>
        <w:t xml:space="preserve">2021 (1) </w:t>
      </w:r>
      <w:r w:rsidR="00BA2331">
        <w:rPr>
          <w:lang w:val="en-GB"/>
        </w:rPr>
        <w:t>325 (SCA)</w:t>
      </w:r>
    </w:p>
  </w:footnote>
  <w:footnote w:id="15">
    <w:p w14:paraId="7E2431B2" w14:textId="77777777" w:rsidR="00476452" w:rsidRPr="00476452" w:rsidRDefault="00476452">
      <w:pPr>
        <w:pStyle w:val="FootnoteText"/>
        <w:rPr>
          <w:lang w:val="en-GB"/>
        </w:rPr>
      </w:pPr>
      <w:r>
        <w:rPr>
          <w:rStyle w:val="FootnoteReference"/>
        </w:rPr>
        <w:footnoteRef/>
      </w:r>
      <w:r>
        <w:t xml:space="preserve"> </w:t>
      </w:r>
      <w:r>
        <w:rPr>
          <w:lang w:val="en-GB"/>
        </w:rPr>
        <w:t>Index review application, p3</w:t>
      </w:r>
      <w:r w:rsidR="00FD3FBA">
        <w:rPr>
          <w:lang w:val="en-GB"/>
        </w:rPr>
        <w:t>15</w:t>
      </w:r>
    </w:p>
  </w:footnote>
  <w:footnote w:id="16">
    <w:p w14:paraId="4D93773E" w14:textId="77777777" w:rsidR="00DD1F70" w:rsidRPr="00DD1F70" w:rsidRDefault="00DD1F70">
      <w:pPr>
        <w:pStyle w:val="FootnoteText"/>
        <w:rPr>
          <w:lang w:val="en-GB"/>
        </w:rPr>
      </w:pPr>
      <w:r>
        <w:rPr>
          <w:rStyle w:val="FootnoteReference"/>
        </w:rPr>
        <w:footnoteRef/>
      </w:r>
      <w:r>
        <w:t xml:space="preserve"> </w:t>
      </w:r>
      <w:r>
        <w:rPr>
          <w:lang w:val="en-GB"/>
        </w:rPr>
        <w:t>Index review application, p498</w:t>
      </w:r>
    </w:p>
  </w:footnote>
  <w:footnote w:id="17">
    <w:p w14:paraId="2D526FD9" w14:textId="77777777" w:rsidR="00ED2E98" w:rsidRPr="00363B7A" w:rsidRDefault="00ED2E98">
      <w:pPr>
        <w:pStyle w:val="FootnoteText"/>
        <w:rPr>
          <w:rFonts w:ascii="Times New Roman" w:hAnsi="Times New Roman" w:cs="Times New Roman"/>
        </w:rPr>
      </w:pPr>
      <w:r w:rsidRPr="00363B7A">
        <w:rPr>
          <w:rStyle w:val="FootnoteReference"/>
          <w:rFonts w:ascii="Times New Roman" w:hAnsi="Times New Roman" w:cs="Times New Roman"/>
        </w:rPr>
        <w:footnoteRef/>
      </w:r>
      <w:r w:rsidR="006A6927">
        <w:rPr>
          <w:rFonts w:ascii="Times New Roman" w:hAnsi="Times New Roman" w:cs="Times New Roman"/>
        </w:rPr>
        <w:t xml:space="preserve"> </w:t>
      </w:r>
      <w:r w:rsidR="006A6927">
        <w:rPr>
          <w:rFonts w:ascii="Times New Roman" w:hAnsi="Times New Roman" w:cs="Times New Roman"/>
        </w:rPr>
        <w:t xml:space="preserve">See also </w:t>
      </w:r>
      <w:r w:rsidRPr="00363B7A">
        <w:rPr>
          <w:rFonts w:ascii="Times New Roman" w:hAnsi="Times New Roman" w:cs="Times New Roman"/>
          <w:i/>
        </w:rPr>
        <w:t>Metro Project CC and Another v Klerksdorp Local Municipality and Others</w:t>
      </w:r>
      <w:r w:rsidRPr="00363B7A">
        <w:rPr>
          <w:rFonts w:ascii="Times New Roman" w:hAnsi="Times New Roman" w:cs="Times New Roman"/>
        </w:rPr>
        <w:t xml:space="preserve"> 2004 (1) SA 16 (SCA) at paras 11 – 13 and numerous judgments thereafter, and </w:t>
      </w:r>
      <w:r w:rsidRPr="00363B7A">
        <w:rPr>
          <w:rFonts w:ascii="Times New Roman" w:hAnsi="Times New Roman" w:cs="Times New Roman"/>
          <w:i/>
        </w:rPr>
        <w:t>inter alia</w:t>
      </w:r>
      <w:r w:rsidRPr="00363B7A">
        <w:rPr>
          <w:rFonts w:ascii="Times New Roman" w:hAnsi="Times New Roman" w:cs="Times New Roman"/>
        </w:rPr>
        <w:t xml:space="preserve"> </w:t>
      </w:r>
      <w:r w:rsidRPr="00363B7A">
        <w:rPr>
          <w:rFonts w:ascii="Times New Roman" w:hAnsi="Times New Roman" w:cs="Times New Roman"/>
          <w:i/>
        </w:rPr>
        <w:t>Millennium Waste Management (Pty) v Chairperson Tender Board:  Limpopo Province and Others</w:t>
      </w:r>
      <w:r w:rsidRPr="00363B7A">
        <w:rPr>
          <w:rFonts w:ascii="Times New Roman" w:hAnsi="Times New Roman" w:cs="Times New Roman"/>
        </w:rPr>
        <w:t xml:space="preserve"> 2008 (2) SA 481 (SCA) at paras 17 - 21</w:t>
      </w:r>
    </w:p>
  </w:footnote>
  <w:footnote w:id="18">
    <w:p w14:paraId="4E99A801" w14:textId="77777777" w:rsidR="00ED2E98" w:rsidRPr="00363B7A" w:rsidRDefault="00ED2E98">
      <w:pPr>
        <w:pStyle w:val="FootnoteText"/>
        <w:rPr>
          <w:rFonts w:ascii="Times New Roman" w:hAnsi="Times New Roman" w:cs="Times New Roman"/>
        </w:rPr>
      </w:pPr>
      <w:r w:rsidRPr="00363B7A">
        <w:rPr>
          <w:rStyle w:val="FootnoteReference"/>
          <w:rFonts w:ascii="Times New Roman" w:hAnsi="Times New Roman" w:cs="Times New Roman"/>
        </w:rPr>
        <w:footnoteRef/>
      </w:r>
      <w:r w:rsidRPr="00363B7A">
        <w:rPr>
          <w:rFonts w:ascii="Times New Roman" w:hAnsi="Times New Roman" w:cs="Times New Roman"/>
        </w:rPr>
        <w:t xml:space="preserve"> 2008 </w:t>
      </w:r>
      <w:r w:rsidRPr="00363B7A">
        <w:rPr>
          <w:rFonts w:ascii="Times New Roman" w:hAnsi="Times New Roman" w:cs="Times New Roman"/>
        </w:rPr>
        <w:t>(2) SA 638 (SCA) at para 11</w:t>
      </w:r>
    </w:p>
  </w:footnote>
  <w:footnote w:id="19">
    <w:p w14:paraId="77CF15D6" w14:textId="77777777" w:rsidR="00ED2E98" w:rsidRPr="00363B7A" w:rsidRDefault="00ED2E98">
      <w:pPr>
        <w:pStyle w:val="FootnoteText"/>
        <w:rPr>
          <w:rFonts w:ascii="Times New Roman" w:hAnsi="Times New Roman" w:cs="Times New Roman"/>
        </w:rPr>
      </w:pPr>
      <w:r w:rsidRPr="00363B7A">
        <w:rPr>
          <w:rStyle w:val="FootnoteReference"/>
          <w:rFonts w:ascii="Times New Roman" w:hAnsi="Times New Roman" w:cs="Times New Roman"/>
        </w:rPr>
        <w:footnoteRef/>
      </w:r>
      <w:r w:rsidRPr="00363B7A">
        <w:rPr>
          <w:rFonts w:ascii="Times New Roman" w:hAnsi="Times New Roman" w:cs="Times New Roman"/>
        </w:rPr>
        <w:t xml:space="preserve"> 2008 </w:t>
      </w:r>
      <w:r w:rsidRPr="00363B7A">
        <w:rPr>
          <w:rFonts w:ascii="Times New Roman" w:hAnsi="Times New Roman" w:cs="Times New Roman"/>
        </w:rPr>
        <w:t>(2) SA (SCA) at paras 18 &amp; 19</w:t>
      </w:r>
    </w:p>
  </w:footnote>
  <w:footnote w:id="20">
    <w:p w14:paraId="5E85AD06" w14:textId="77777777" w:rsidR="00A11A61" w:rsidRPr="00A11A61" w:rsidRDefault="00A11A61">
      <w:pPr>
        <w:pStyle w:val="FootnoteText"/>
        <w:rPr>
          <w:lang w:val="en-GB"/>
        </w:rPr>
      </w:pPr>
      <w:r>
        <w:rPr>
          <w:rStyle w:val="FootnoteReference"/>
        </w:rPr>
        <w:footnoteRef/>
      </w:r>
      <w:r>
        <w:t xml:space="preserve"> </w:t>
      </w:r>
      <w:r>
        <w:rPr>
          <w:lang w:val="en-GB"/>
        </w:rPr>
        <w:t xml:space="preserve">1984 (3) SA </w:t>
      </w:r>
      <w:r w:rsidR="000F5162">
        <w:rPr>
          <w:lang w:val="en-GB"/>
        </w:rPr>
        <w:t>623 (A)</w:t>
      </w:r>
    </w:p>
  </w:footnote>
  <w:footnote w:id="21">
    <w:p w14:paraId="494BA9CD" w14:textId="77777777" w:rsidR="009D0432" w:rsidRPr="009D0432" w:rsidRDefault="009D0432">
      <w:pPr>
        <w:pStyle w:val="FootnoteText"/>
        <w:rPr>
          <w:lang w:val="en-GB"/>
        </w:rPr>
      </w:pPr>
      <w:r>
        <w:rPr>
          <w:rStyle w:val="FootnoteReference"/>
        </w:rPr>
        <w:footnoteRef/>
      </w:r>
      <w:r>
        <w:t xml:space="preserve"> </w:t>
      </w:r>
      <w:r w:rsidR="009B1708">
        <w:rPr>
          <w:lang w:val="en-GB"/>
        </w:rPr>
        <w:t>Index review application, p543-</w:t>
      </w:r>
      <w:r w:rsidR="00044517">
        <w:rPr>
          <w:lang w:val="en-GB"/>
        </w:rPr>
        <w:t>567</w:t>
      </w:r>
    </w:p>
  </w:footnote>
  <w:footnote w:id="22">
    <w:p w14:paraId="76BE0984" w14:textId="77777777" w:rsidR="00A95A04" w:rsidRPr="00A95A04" w:rsidRDefault="00A95A04">
      <w:pPr>
        <w:pStyle w:val="FootnoteText"/>
        <w:rPr>
          <w:lang w:val="en-GB"/>
        </w:rPr>
      </w:pPr>
      <w:r>
        <w:rPr>
          <w:rStyle w:val="FootnoteReference"/>
        </w:rPr>
        <w:footnoteRef/>
      </w:r>
      <w:r>
        <w:t xml:space="preserve"> </w:t>
      </w:r>
      <w:r>
        <w:rPr>
          <w:lang w:val="en-GB"/>
        </w:rPr>
        <w:t>Index review application, p560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8809934"/>
      <w:docPartObj>
        <w:docPartGallery w:val="Page Numbers (Top of Page)"/>
        <w:docPartUnique/>
      </w:docPartObj>
    </w:sdtPr>
    <w:sdtEndPr>
      <w:rPr>
        <w:noProof/>
      </w:rPr>
    </w:sdtEndPr>
    <w:sdtContent>
      <w:p w14:paraId="798FDCAC" w14:textId="77777777" w:rsidR="00ED2E98" w:rsidRDefault="00ED2E98">
        <w:pPr>
          <w:pStyle w:val="Header"/>
          <w:jc w:val="right"/>
        </w:pPr>
        <w:r>
          <w:fldChar w:fldCharType="begin"/>
        </w:r>
        <w:r>
          <w:instrText xml:space="preserve"> PAGE   \* MERGEFORMAT </w:instrText>
        </w:r>
        <w:r>
          <w:fldChar w:fldCharType="separate"/>
        </w:r>
        <w:r w:rsidR="00E62C72">
          <w:rPr>
            <w:noProof/>
          </w:rPr>
          <w:t>14</w:t>
        </w:r>
        <w:r>
          <w:rPr>
            <w:noProof/>
          </w:rPr>
          <w:fldChar w:fldCharType="end"/>
        </w:r>
      </w:p>
    </w:sdtContent>
  </w:sdt>
  <w:p w14:paraId="1F11BA8E" w14:textId="77777777" w:rsidR="00ED2E98" w:rsidRDefault="00ED2E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D94EDC"/>
    <w:multiLevelType w:val="hybridMultilevel"/>
    <w:tmpl w:val="33A4A760"/>
    <w:lvl w:ilvl="0" w:tplc="FFFFFFF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9B43F8"/>
    <w:multiLevelType w:val="multilevel"/>
    <w:tmpl w:val="A4724CD2"/>
    <w:lvl w:ilvl="0">
      <w:start w:val="4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665B8D"/>
    <w:multiLevelType w:val="hybridMultilevel"/>
    <w:tmpl w:val="C0702DBC"/>
    <w:lvl w:ilvl="0" w:tplc="FFFFFFFF">
      <w:start w:val="1"/>
      <w:numFmt w:val="decimal"/>
      <w:lvlText w:val="%1."/>
      <w:lvlJc w:val="left"/>
      <w:pPr>
        <w:ind w:left="1220" w:hanging="360"/>
      </w:pPr>
      <w:rPr>
        <w:rFonts w:hint="default"/>
        <w:b w:val="0"/>
      </w:rPr>
    </w:lvl>
    <w:lvl w:ilvl="1" w:tplc="08090019" w:tentative="1">
      <w:start w:val="1"/>
      <w:numFmt w:val="lowerLetter"/>
      <w:lvlText w:val="%2."/>
      <w:lvlJc w:val="left"/>
      <w:pPr>
        <w:ind w:left="1940" w:hanging="360"/>
      </w:pPr>
    </w:lvl>
    <w:lvl w:ilvl="2" w:tplc="0809001B" w:tentative="1">
      <w:start w:val="1"/>
      <w:numFmt w:val="lowerRoman"/>
      <w:lvlText w:val="%3."/>
      <w:lvlJc w:val="right"/>
      <w:pPr>
        <w:ind w:left="2660" w:hanging="180"/>
      </w:pPr>
    </w:lvl>
    <w:lvl w:ilvl="3" w:tplc="0809000F" w:tentative="1">
      <w:start w:val="1"/>
      <w:numFmt w:val="decimal"/>
      <w:lvlText w:val="%4."/>
      <w:lvlJc w:val="left"/>
      <w:pPr>
        <w:ind w:left="3380" w:hanging="360"/>
      </w:pPr>
    </w:lvl>
    <w:lvl w:ilvl="4" w:tplc="08090019" w:tentative="1">
      <w:start w:val="1"/>
      <w:numFmt w:val="lowerLetter"/>
      <w:lvlText w:val="%5."/>
      <w:lvlJc w:val="left"/>
      <w:pPr>
        <w:ind w:left="4100" w:hanging="360"/>
      </w:pPr>
    </w:lvl>
    <w:lvl w:ilvl="5" w:tplc="0809001B" w:tentative="1">
      <w:start w:val="1"/>
      <w:numFmt w:val="lowerRoman"/>
      <w:lvlText w:val="%6."/>
      <w:lvlJc w:val="right"/>
      <w:pPr>
        <w:ind w:left="4820" w:hanging="180"/>
      </w:pPr>
    </w:lvl>
    <w:lvl w:ilvl="6" w:tplc="0809000F" w:tentative="1">
      <w:start w:val="1"/>
      <w:numFmt w:val="decimal"/>
      <w:lvlText w:val="%7."/>
      <w:lvlJc w:val="left"/>
      <w:pPr>
        <w:ind w:left="5540" w:hanging="360"/>
      </w:pPr>
    </w:lvl>
    <w:lvl w:ilvl="7" w:tplc="08090019" w:tentative="1">
      <w:start w:val="1"/>
      <w:numFmt w:val="lowerLetter"/>
      <w:lvlText w:val="%8."/>
      <w:lvlJc w:val="left"/>
      <w:pPr>
        <w:ind w:left="6260" w:hanging="360"/>
      </w:pPr>
    </w:lvl>
    <w:lvl w:ilvl="8" w:tplc="0809001B" w:tentative="1">
      <w:start w:val="1"/>
      <w:numFmt w:val="lowerRoman"/>
      <w:lvlText w:val="%9."/>
      <w:lvlJc w:val="right"/>
      <w:pPr>
        <w:ind w:left="6980" w:hanging="180"/>
      </w:pPr>
    </w:lvl>
  </w:abstractNum>
  <w:abstractNum w:abstractNumId="3" w15:restartNumberingAfterBreak="0">
    <w:nsid w:val="229B59FA"/>
    <w:multiLevelType w:val="multilevel"/>
    <w:tmpl w:val="6B1C8F04"/>
    <w:lvl w:ilvl="0">
      <w:start w:val="2"/>
      <w:numFmt w:val="lowerLetter"/>
      <w:lvlText w:val="%1."/>
      <w:lvlJc w:val="left"/>
      <w:pPr>
        <w:tabs>
          <w:tab w:val="num" w:pos="720"/>
        </w:tabs>
        <w:ind w:left="720" w:hanging="360"/>
      </w:pPr>
      <w:rPr>
        <w:rFonts w:ascii="Arial" w:hAnsi="Arial" w:cs="Arial" w:hint="default"/>
        <w:sz w:val="20"/>
        <w:szCs w:val="20"/>
      </w:rPr>
    </w:lvl>
    <w:lvl w:ilvl="1">
      <w:numFmt w:val="lowerLetter"/>
      <w:lvlText w:val="%2."/>
      <w:lvlJc w:val="left"/>
      <w:pPr>
        <w:tabs>
          <w:tab w:val="num" w:pos="1440"/>
        </w:tabs>
        <w:ind w:left="1440" w:hanging="360"/>
      </w:pPr>
      <w:rPr>
        <w:rFonts w:hint="default"/>
      </w:rPr>
    </w:lvl>
    <w:lvl w:ilvl="2">
      <w:numFmt w:val="lowerLetter"/>
      <w:lvlText w:val="%3."/>
      <w:lvlJc w:val="left"/>
      <w:pPr>
        <w:tabs>
          <w:tab w:val="num" w:pos="2160"/>
        </w:tabs>
        <w:ind w:left="2160" w:hanging="360"/>
      </w:pPr>
      <w:rPr>
        <w:rFonts w:hint="default"/>
      </w:rPr>
    </w:lvl>
    <w:lvl w:ilvl="3">
      <w:numFmt w:val="lowerLetter"/>
      <w:lvlText w:val="%4."/>
      <w:lvlJc w:val="left"/>
      <w:pPr>
        <w:tabs>
          <w:tab w:val="num" w:pos="2880"/>
        </w:tabs>
        <w:ind w:left="2880" w:hanging="360"/>
      </w:pPr>
      <w:rPr>
        <w:rFonts w:hint="default"/>
      </w:rPr>
    </w:lvl>
    <w:lvl w:ilvl="4">
      <w:numFmt w:val="lowerLetter"/>
      <w:lvlText w:val="%5."/>
      <w:lvlJc w:val="left"/>
      <w:pPr>
        <w:tabs>
          <w:tab w:val="num" w:pos="3600"/>
        </w:tabs>
        <w:ind w:left="3600" w:hanging="360"/>
      </w:pPr>
      <w:rPr>
        <w:rFonts w:hint="default"/>
      </w:rPr>
    </w:lvl>
    <w:lvl w:ilvl="5">
      <w:numFmt w:val="lowerLetter"/>
      <w:lvlText w:val="%6."/>
      <w:lvlJc w:val="left"/>
      <w:pPr>
        <w:tabs>
          <w:tab w:val="num" w:pos="4320"/>
        </w:tabs>
        <w:ind w:left="4320" w:hanging="360"/>
      </w:pPr>
      <w:rPr>
        <w:rFonts w:hint="default"/>
      </w:rPr>
    </w:lvl>
    <w:lvl w:ilvl="6">
      <w:numFmt w:val="lowerLetter"/>
      <w:lvlText w:val="%7."/>
      <w:lvlJc w:val="left"/>
      <w:pPr>
        <w:tabs>
          <w:tab w:val="num" w:pos="5040"/>
        </w:tabs>
        <w:ind w:left="5040" w:hanging="360"/>
      </w:pPr>
      <w:rPr>
        <w:rFonts w:hint="default"/>
      </w:rPr>
    </w:lvl>
    <w:lvl w:ilvl="7">
      <w:numFmt w:val="lowerLetter"/>
      <w:lvlText w:val="%8."/>
      <w:lvlJc w:val="left"/>
      <w:pPr>
        <w:tabs>
          <w:tab w:val="num" w:pos="5760"/>
        </w:tabs>
        <w:ind w:left="5760" w:hanging="360"/>
      </w:pPr>
      <w:rPr>
        <w:rFonts w:hint="default"/>
      </w:rPr>
    </w:lvl>
    <w:lvl w:ilvl="8">
      <w:numFmt w:val="lowerLetter"/>
      <w:lvlText w:val="%9."/>
      <w:lvlJc w:val="left"/>
      <w:pPr>
        <w:tabs>
          <w:tab w:val="num" w:pos="6480"/>
        </w:tabs>
        <w:ind w:left="6480" w:hanging="360"/>
      </w:pPr>
      <w:rPr>
        <w:rFonts w:hint="default"/>
      </w:rPr>
    </w:lvl>
  </w:abstractNum>
  <w:abstractNum w:abstractNumId="4" w15:restartNumberingAfterBreak="0">
    <w:nsid w:val="3A2E24C5"/>
    <w:multiLevelType w:val="hybridMultilevel"/>
    <w:tmpl w:val="C096F482"/>
    <w:lvl w:ilvl="0" w:tplc="A8682C32">
      <w:start w:val="1"/>
      <w:numFmt w:val="decimal"/>
      <w:lvlText w:val="%1."/>
      <w:lvlJc w:val="left"/>
      <w:pPr>
        <w:ind w:left="1210" w:hanging="8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C46099A"/>
    <w:multiLevelType w:val="hybridMultilevel"/>
    <w:tmpl w:val="690443FA"/>
    <w:lvl w:ilvl="0" w:tplc="21622526">
      <w:start w:val="45"/>
      <w:numFmt w:val="decimal"/>
      <w:lvlText w:val="%1."/>
      <w:lvlJc w:val="left"/>
      <w:pPr>
        <w:ind w:left="1789" w:hanging="360"/>
      </w:pPr>
      <w:rPr>
        <w:rFonts w:hint="default"/>
      </w:rPr>
    </w:lvl>
    <w:lvl w:ilvl="1" w:tplc="1C090019" w:tentative="1">
      <w:start w:val="1"/>
      <w:numFmt w:val="lowerLetter"/>
      <w:lvlText w:val="%2."/>
      <w:lvlJc w:val="left"/>
      <w:pPr>
        <w:ind w:left="2509" w:hanging="360"/>
      </w:pPr>
    </w:lvl>
    <w:lvl w:ilvl="2" w:tplc="1C09001B" w:tentative="1">
      <w:start w:val="1"/>
      <w:numFmt w:val="lowerRoman"/>
      <w:lvlText w:val="%3."/>
      <w:lvlJc w:val="right"/>
      <w:pPr>
        <w:ind w:left="3229" w:hanging="180"/>
      </w:pPr>
    </w:lvl>
    <w:lvl w:ilvl="3" w:tplc="1C09000F" w:tentative="1">
      <w:start w:val="1"/>
      <w:numFmt w:val="decimal"/>
      <w:lvlText w:val="%4."/>
      <w:lvlJc w:val="left"/>
      <w:pPr>
        <w:ind w:left="3949" w:hanging="360"/>
      </w:pPr>
    </w:lvl>
    <w:lvl w:ilvl="4" w:tplc="1C090019" w:tentative="1">
      <w:start w:val="1"/>
      <w:numFmt w:val="lowerLetter"/>
      <w:lvlText w:val="%5."/>
      <w:lvlJc w:val="left"/>
      <w:pPr>
        <w:ind w:left="4669" w:hanging="360"/>
      </w:pPr>
    </w:lvl>
    <w:lvl w:ilvl="5" w:tplc="1C09001B" w:tentative="1">
      <w:start w:val="1"/>
      <w:numFmt w:val="lowerRoman"/>
      <w:lvlText w:val="%6."/>
      <w:lvlJc w:val="right"/>
      <w:pPr>
        <w:ind w:left="5389" w:hanging="180"/>
      </w:pPr>
    </w:lvl>
    <w:lvl w:ilvl="6" w:tplc="1C09000F" w:tentative="1">
      <w:start w:val="1"/>
      <w:numFmt w:val="decimal"/>
      <w:lvlText w:val="%7."/>
      <w:lvlJc w:val="left"/>
      <w:pPr>
        <w:ind w:left="6109" w:hanging="360"/>
      </w:pPr>
    </w:lvl>
    <w:lvl w:ilvl="7" w:tplc="1C090019" w:tentative="1">
      <w:start w:val="1"/>
      <w:numFmt w:val="lowerLetter"/>
      <w:lvlText w:val="%8."/>
      <w:lvlJc w:val="left"/>
      <w:pPr>
        <w:ind w:left="6829" w:hanging="360"/>
      </w:pPr>
    </w:lvl>
    <w:lvl w:ilvl="8" w:tplc="1C09001B" w:tentative="1">
      <w:start w:val="1"/>
      <w:numFmt w:val="lowerRoman"/>
      <w:lvlText w:val="%9."/>
      <w:lvlJc w:val="right"/>
      <w:pPr>
        <w:ind w:left="7549" w:hanging="180"/>
      </w:pPr>
    </w:lvl>
  </w:abstractNum>
  <w:abstractNum w:abstractNumId="6" w15:restartNumberingAfterBreak="0">
    <w:nsid w:val="3D4963B7"/>
    <w:multiLevelType w:val="hybridMultilevel"/>
    <w:tmpl w:val="278C909A"/>
    <w:lvl w:ilvl="0" w:tplc="1C09000F">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51B01694"/>
    <w:multiLevelType w:val="hybridMultilevel"/>
    <w:tmpl w:val="EFC4CBB6"/>
    <w:lvl w:ilvl="0" w:tplc="3EAEEA8E">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15:restartNumberingAfterBreak="0">
    <w:nsid w:val="54C66FE2"/>
    <w:multiLevelType w:val="multilevel"/>
    <w:tmpl w:val="029200AC"/>
    <w:lvl w:ilvl="0">
      <w:start w:val="4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9192AF5"/>
    <w:multiLevelType w:val="hybridMultilevel"/>
    <w:tmpl w:val="49A481DA"/>
    <w:lvl w:ilvl="0" w:tplc="1D32478A">
      <w:start w:val="1"/>
      <w:numFmt w:val="decimal"/>
      <w:lvlText w:val="[%1]"/>
      <w:lvlJc w:val="left"/>
      <w:pPr>
        <w:ind w:left="2880" w:hanging="360"/>
      </w:pPr>
      <w:rPr>
        <w:rFonts w:hint="default"/>
      </w:rPr>
    </w:lvl>
    <w:lvl w:ilvl="1" w:tplc="1C090019" w:tentative="1">
      <w:start w:val="1"/>
      <w:numFmt w:val="lowerLetter"/>
      <w:lvlText w:val="%2."/>
      <w:lvlJc w:val="left"/>
      <w:pPr>
        <w:ind w:left="3600" w:hanging="360"/>
      </w:pPr>
    </w:lvl>
    <w:lvl w:ilvl="2" w:tplc="1C09001B" w:tentative="1">
      <w:start w:val="1"/>
      <w:numFmt w:val="lowerRoman"/>
      <w:lvlText w:val="%3."/>
      <w:lvlJc w:val="right"/>
      <w:pPr>
        <w:ind w:left="4320" w:hanging="180"/>
      </w:pPr>
    </w:lvl>
    <w:lvl w:ilvl="3" w:tplc="1C09000F" w:tentative="1">
      <w:start w:val="1"/>
      <w:numFmt w:val="decimal"/>
      <w:lvlText w:val="%4."/>
      <w:lvlJc w:val="left"/>
      <w:pPr>
        <w:ind w:left="5040" w:hanging="360"/>
      </w:pPr>
    </w:lvl>
    <w:lvl w:ilvl="4" w:tplc="1C090019" w:tentative="1">
      <w:start w:val="1"/>
      <w:numFmt w:val="lowerLetter"/>
      <w:lvlText w:val="%5."/>
      <w:lvlJc w:val="left"/>
      <w:pPr>
        <w:ind w:left="5760" w:hanging="360"/>
      </w:pPr>
    </w:lvl>
    <w:lvl w:ilvl="5" w:tplc="1C09001B" w:tentative="1">
      <w:start w:val="1"/>
      <w:numFmt w:val="lowerRoman"/>
      <w:lvlText w:val="%6."/>
      <w:lvlJc w:val="right"/>
      <w:pPr>
        <w:ind w:left="6480" w:hanging="180"/>
      </w:pPr>
    </w:lvl>
    <w:lvl w:ilvl="6" w:tplc="1C09000F" w:tentative="1">
      <w:start w:val="1"/>
      <w:numFmt w:val="decimal"/>
      <w:lvlText w:val="%7."/>
      <w:lvlJc w:val="left"/>
      <w:pPr>
        <w:ind w:left="7200" w:hanging="360"/>
      </w:pPr>
    </w:lvl>
    <w:lvl w:ilvl="7" w:tplc="1C090019" w:tentative="1">
      <w:start w:val="1"/>
      <w:numFmt w:val="lowerLetter"/>
      <w:lvlText w:val="%8."/>
      <w:lvlJc w:val="left"/>
      <w:pPr>
        <w:ind w:left="7920" w:hanging="360"/>
      </w:pPr>
    </w:lvl>
    <w:lvl w:ilvl="8" w:tplc="1C09001B" w:tentative="1">
      <w:start w:val="1"/>
      <w:numFmt w:val="lowerRoman"/>
      <w:lvlText w:val="%9."/>
      <w:lvlJc w:val="right"/>
      <w:pPr>
        <w:ind w:left="8640" w:hanging="180"/>
      </w:pPr>
    </w:lvl>
  </w:abstractNum>
  <w:abstractNum w:abstractNumId="10" w15:restartNumberingAfterBreak="0">
    <w:nsid w:val="72200CA5"/>
    <w:multiLevelType w:val="hybridMultilevel"/>
    <w:tmpl w:val="E6B65D86"/>
    <w:lvl w:ilvl="0" w:tplc="8E36489C">
      <w:start w:val="45"/>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num w:numId="1" w16cid:durableId="1875075259">
    <w:abstractNumId w:val="9"/>
  </w:num>
  <w:num w:numId="2" w16cid:durableId="732312506">
    <w:abstractNumId w:val="7"/>
  </w:num>
  <w:num w:numId="3" w16cid:durableId="1957251613">
    <w:abstractNumId w:val="6"/>
  </w:num>
  <w:num w:numId="4" w16cid:durableId="1807815655">
    <w:abstractNumId w:val="4"/>
  </w:num>
  <w:num w:numId="5" w16cid:durableId="1553152326">
    <w:abstractNumId w:val="8"/>
  </w:num>
  <w:num w:numId="6" w16cid:durableId="1476335786">
    <w:abstractNumId w:val="1"/>
  </w:num>
  <w:num w:numId="7" w16cid:durableId="315302731">
    <w:abstractNumId w:val="10"/>
  </w:num>
  <w:num w:numId="8" w16cid:durableId="1743596005">
    <w:abstractNumId w:val="5"/>
  </w:num>
  <w:num w:numId="9" w16cid:durableId="766193497">
    <w:abstractNumId w:val="3"/>
  </w:num>
  <w:num w:numId="10" w16cid:durableId="1815490366">
    <w:abstractNumId w:val="2"/>
  </w:num>
  <w:num w:numId="11" w16cid:durableId="11756056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2BC"/>
    <w:rsid w:val="00002CE4"/>
    <w:rsid w:val="0000334A"/>
    <w:rsid w:val="00005218"/>
    <w:rsid w:val="00005A07"/>
    <w:rsid w:val="00007164"/>
    <w:rsid w:val="00007978"/>
    <w:rsid w:val="00010D23"/>
    <w:rsid w:val="0001151D"/>
    <w:rsid w:val="00012A9C"/>
    <w:rsid w:val="00014FB4"/>
    <w:rsid w:val="0001540C"/>
    <w:rsid w:val="0001581D"/>
    <w:rsid w:val="0001602D"/>
    <w:rsid w:val="00016134"/>
    <w:rsid w:val="0001670D"/>
    <w:rsid w:val="00021D26"/>
    <w:rsid w:val="00021E3F"/>
    <w:rsid w:val="000221E6"/>
    <w:rsid w:val="0002471F"/>
    <w:rsid w:val="00031347"/>
    <w:rsid w:val="00031A6C"/>
    <w:rsid w:val="00035039"/>
    <w:rsid w:val="00035C5A"/>
    <w:rsid w:val="00035EC5"/>
    <w:rsid w:val="000362A5"/>
    <w:rsid w:val="000369E6"/>
    <w:rsid w:val="000415B1"/>
    <w:rsid w:val="000436AB"/>
    <w:rsid w:val="00044165"/>
    <w:rsid w:val="00044517"/>
    <w:rsid w:val="000446EC"/>
    <w:rsid w:val="000447EC"/>
    <w:rsid w:val="00045DD1"/>
    <w:rsid w:val="00047175"/>
    <w:rsid w:val="000523C3"/>
    <w:rsid w:val="00053C22"/>
    <w:rsid w:val="00054269"/>
    <w:rsid w:val="000561BF"/>
    <w:rsid w:val="000570D2"/>
    <w:rsid w:val="00061139"/>
    <w:rsid w:val="00062496"/>
    <w:rsid w:val="00063808"/>
    <w:rsid w:val="00063BC5"/>
    <w:rsid w:val="00065245"/>
    <w:rsid w:val="0006651B"/>
    <w:rsid w:val="000676C4"/>
    <w:rsid w:val="00067DB3"/>
    <w:rsid w:val="00070951"/>
    <w:rsid w:val="000715A4"/>
    <w:rsid w:val="00080E16"/>
    <w:rsid w:val="0008147A"/>
    <w:rsid w:val="00081C22"/>
    <w:rsid w:val="000820F0"/>
    <w:rsid w:val="000847C2"/>
    <w:rsid w:val="00084E1B"/>
    <w:rsid w:val="00085CA8"/>
    <w:rsid w:val="00092F7E"/>
    <w:rsid w:val="00095B2E"/>
    <w:rsid w:val="000977CC"/>
    <w:rsid w:val="000A0BD9"/>
    <w:rsid w:val="000A1BD9"/>
    <w:rsid w:val="000A335A"/>
    <w:rsid w:val="000A4DCE"/>
    <w:rsid w:val="000A5286"/>
    <w:rsid w:val="000A62DF"/>
    <w:rsid w:val="000A6FA8"/>
    <w:rsid w:val="000A7F50"/>
    <w:rsid w:val="000B0853"/>
    <w:rsid w:val="000B2DDF"/>
    <w:rsid w:val="000B3590"/>
    <w:rsid w:val="000B373B"/>
    <w:rsid w:val="000B388E"/>
    <w:rsid w:val="000C1ACD"/>
    <w:rsid w:val="000C220C"/>
    <w:rsid w:val="000C368E"/>
    <w:rsid w:val="000C37B6"/>
    <w:rsid w:val="000C5F39"/>
    <w:rsid w:val="000C6B28"/>
    <w:rsid w:val="000C77F3"/>
    <w:rsid w:val="000D0988"/>
    <w:rsid w:val="000D2CF2"/>
    <w:rsid w:val="000D2F6C"/>
    <w:rsid w:val="000D30D5"/>
    <w:rsid w:val="000D4774"/>
    <w:rsid w:val="000D4D39"/>
    <w:rsid w:val="000D590F"/>
    <w:rsid w:val="000D5C7E"/>
    <w:rsid w:val="000D67E2"/>
    <w:rsid w:val="000D7ECB"/>
    <w:rsid w:val="000E089D"/>
    <w:rsid w:val="000E1E2C"/>
    <w:rsid w:val="000E285E"/>
    <w:rsid w:val="000E3018"/>
    <w:rsid w:val="000E7847"/>
    <w:rsid w:val="000E7F2F"/>
    <w:rsid w:val="000F155F"/>
    <w:rsid w:val="000F21E5"/>
    <w:rsid w:val="000F272E"/>
    <w:rsid w:val="000F3D83"/>
    <w:rsid w:val="000F5162"/>
    <w:rsid w:val="000F63BB"/>
    <w:rsid w:val="00101815"/>
    <w:rsid w:val="0010490B"/>
    <w:rsid w:val="00105691"/>
    <w:rsid w:val="00107ABF"/>
    <w:rsid w:val="001106CA"/>
    <w:rsid w:val="00111935"/>
    <w:rsid w:val="0011517A"/>
    <w:rsid w:val="00115D35"/>
    <w:rsid w:val="0011712B"/>
    <w:rsid w:val="00117842"/>
    <w:rsid w:val="00117FC8"/>
    <w:rsid w:val="00121DA3"/>
    <w:rsid w:val="001227DE"/>
    <w:rsid w:val="00122A00"/>
    <w:rsid w:val="001251F2"/>
    <w:rsid w:val="001255EA"/>
    <w:rsid w:val="00131DC0"/>
    <w:rsid w:val="0013616E"/>
    <w:rsid w:val="0013617D"/>
    <w:rsid w:val="00144EF8"/>
    <w:rsid w:val="0014503E"/>
    <w:rsid w:val="001460B9"/>
    <w:rsid w:val="00150A9B"/>
    <w:rsid w:val="00151BC6"/>
    <w:rsid w:val="001532FB"/>
    <w:rsid w:val="00153400"/>
    <w:rsid w:val="0015352A"/>
    <w:rsid w:val="00154AA4"/>
    <w:rsid w:val="00154CC8"/>
    <w:rsid w:val="00155117"/>
    <w:rsid w:val="00155CD0"/>
    <w:rsid w:val="00156368"/>
    <w:rsid w:val="00167E9C"/>
    <w:rsid w:val="001731A0"/>
    <w:rsid w:val="0017415E"/>
    <w:rsid w:val="00174AF2"/>
    <w:rsid w:val="0017503C"/>
    <w:rsid w:val="00175DB9"/>
    <w:rsid w:val="001769AD"/>
    <w:rsid w:val="001772E9"/>
    <w:rsid w:val="00177EC6"/>
    <w:rsid w:val="00180BA6"/>
    <w:rsid w:val="00180E16"/>
    <w:rsid w:val="001819CD"/>
    <w:rsid w:val="00184679"/>
    <w:rsid w:val="00184EA4"/>
    <w:rsid w:val="0018517B"/>
    <w:rsid w:val="00185AA1"/>
    <w:rsid w:val="00186869"/>
    <w:rsid w:val="00190723"/>
    <w:rsid w:val="00190F22"/>
    <w:rsid w:val="00191A87"/>
    <w:rsid w:val="001943AE"/>
    <w:rsid w:val="00194BF2"/>
    <w:rsid w:val="00194DDE"/>
    <w:rsid w:val="001968D7"/>
    <w:rsid w:val="00197757"/>
    <w:rsid w:val="00197C11"/>
    <w:rsid w:val="001A0D5D"/>
    <w:rsid w:val="001A22D8"/>
    <w:rsid w:val="001A44DF"/>
    <w:rsid w:val="001A48FD"/>
    <w:rsid w:val="001A5A76"/>
    <w:rsid w:val="001A5CD3"/>
    <w:rsid w:val="001A634E"/>
    <w:rsid w:val="001B02E8"/>
    <w:rsid w:val="001B0822"/>
    <w:rsid w:val="001B1AA0"/>
    <w:rsid w:val="001B1C6C"/>
    <w:rsid w:val="001B44CD"/>
    <w:rsid w:val="001B5E46"/>
    <w:rsid w:val="001B7004"/>
    <w:rsid w:val="001B725B"/>
    <w:rsid w:val="001B7416"/>
    <w:rsid w:val="001B7513"/>
    <w:rsid w:val="001B7881"/>
    <w:rsid w:val="001B7FED"/>
    <w:rsid w:val="001C69B7"/>
    <w:rsid w:val="001D2CCB"/>
    <w:rsid w:val="001D2E3C"/>
    <w:rsid w:val="001D376F"/>
    <w:rsid w:val="001D3EDD"/>
    <w:rsid w:val="001D4C29"/>
    <w:rsid w:val="001E0A01"/>
    <w:rsid w:val="001E2D42"/>
    <w:rsid w:val="001E4D41"/>
    <w:rsid w:val="001E52B4"/>
    <w:rsid w:val="001E7891"/>
    <w:rsid w:val="001F35AE"/>
    <w:rsid w:val="001F4AE0"/>
    <w:rsid w:val="001F5197"/>
    <w:rsid w:val="001F6771"/>
    <w:rsid w:val="00200190"/>
    <w:rsid w:val="00201403"/>
    <w:rsid w:val="00201ACC"/>
    <w:rsid w:val="00201D8B"/>
    <w:rsid w:val="0020495C"/>
    <w:rsid w:val="00204A46"/>
    <w:rsid w:val="002056A5"/>
    <w:rsid w:val="00205B0B"/>
    <w:rsid w:val="002075F0"/>
    <w:rsid w:val="002107A2"/>
    <w:rsid w:val="002113F7"/>
    <w:rsid w:val="00214678"/>
    <w:rsid w:val="00220222"/>
    <w:rsid w:val="002218D1"/>
    <w:rsid w:val="00221F98"/>
    <w:rsid w:val="00222D4D"/>
    <w:rsid w:val="00223B6C"/>
    <w:rsid w:val="00224FD4"/>
    <w:rsid w:val="00225BC1"/>
    <w:rsid w:val="00226FC7"/>
    <w:rsid w:val="0022708D"/>
    <w:rsid w:val="0022711B"/>
    <w:rsid w:val="00232B4C"/>
    <w:rsid w:val="00233010"/>
    <w:rsid w:val="00233B6F"/>
    <w:rsid w:val="00236BDF"/>
    <w:rsid w:val="00237AE1"/>
    <w:rsid w:val="00237C5B"/>
    <w:rsid w:val="00242A0B"/>
    <w:rsid w:val="00243421"/>
    <w:rsid w:val="00243942"/>
    <w:rsid w:val="00243984"/>
    <w:rsid w:val="00245CD6"/>
    <w:rsid w:val="00246E7A"/>
    <w:rsid w:val="002508B7"/>
    <w:rsid w:val="0025153E"/>
    <w:rsid w:val="0025229E"/>
    <w:rsid w:val="00253B8D"/>
    <w:rsid w:val="00254DC1"/>
    <w:rsid w:val="00254F9B"/>
    <w:rsid w:val="00256AB1"/>
    <w:rsid w:val="00262CFA"/>
    <w:rsid w:val="0026340C"/>
    <w:rsid w:val="00263F7B"/>
    <w:rsid w:val="00265951"/>
    <w:rsid w:val="00266A22"/>
    <w:rsid w:val="00271F81"/>
    <w:rsid w:val="0027233A"/>
    <w:rsid w:val="00272F08"/>
    <w:rsid w:val="00273855"/>
    <w:rsid w:val="00274EE8"/>
    <w:rsid w:val="00280668"/>
    <w:rsid w:val="00280680"/>
    <w:rsid w:val="00280793"/>
    <w:rsid w:val="00280861"/>
    <w:rsid w:val="00282D48"/>
    <w:rsid w:val="0029214D"/>
    <w:rsid w:val="00294C91"/>
    <w:rsid w:val="00295430"/>
    <w:rsid w:val="0029747A"/>
    <w:rsid w:val="002A1A06"/>
    <w:rsid w:val="002A3416"/>
    <w:rsid w:val="002A52C6"/>
    <w:rsid w:val="002A60F4"/>
    <w:rsid w:val="002A7B7F"/>
    <w:rsid w:val="002B1CAC"/>
    <w:rsid w:val="002B24D6"/>
    <w:rsid w:val="002B32D1"/>
    <w:rsid w:val="002B3EF5"/>
    <w:rsid w:val="002B5A65"/>
    <w:rsid w:val="002B5C37"/>
    <w:rsid w:val="002B63A7"/>
    <w:rsid w:val="002C2447"/>
    <w:rsid w:val="002C2973"/>
    <w:rsid w:val="002C3AD1"/>
    <w:rsid w:val="002C511F"/>
    <w:rsid w:val="002C5C72"/>
    <w:rsid w:val="002D08A6"/>
    <w:rsid w:val="002D1157"/>
    <w:rsid w:val="002D284A"/>
    <w:rsid w:val="002D520E"/>
    <w:rsid w:val="002E0261"/>
    <w:rsid w:val="002E226F"/>
    <w:rsid w:val="002E6E66"/>
    <w:rsid w:val="002E7268"/>
    <w:rsid w:val="002F0CFB"/>
    <w:rsid w:val="002F2DEA"/>
    <w:rsid w:val="002F3A8C"/>
    <w:rsid w:val="002F5F3D"/>
    <w:rsid w:val="003006D5"/>
    <w:rsid w:val="00301500"/>
    <w:rsid w:val="00301D1B"/>
    <w:rsid w:val="0030333B"/>
    <w:rsid w:val="003044E3"/>
    <w:rsid w:val="00305819"/>
    <w:rsid w:val="00307F8D"/>
    <w:rsid w:val="00310085"/>
    <w:rsid w:val="003102B2"/>
    <w:rsid w:val="00310BCA"/>
    <w:rsid w:val="00311A13"/>
    <w:rsid w:val="0031595C"/>
    <w:rsid w:val="0031696D"/>
    <w:rsid w:val="00326183"/>
    <w:rsid w:val="0033265A"/>
    <w:rsid w:val="00333034"/>
    <w:rsid w:val="00334C62"/>
    <w:rsid w:val="00337E8C"/>
    <w:rsid w:val="0034016A"/>
    <w:rsid w:val="00340D33"/>
    <w:rsid w:val="00341496"/>
    <w:rsid w:val="00344FC8"/>
    <w:rsid w:val="003450CC"/>
    <w:rsid w:val="00345428"/>
    <w:rsid w:val="00347EE0"/>
    <w:rsid w:val="00347F3A"/>
    <w:rsid w:val="00350273"/>
    <w:rsid w:val="0035049C"/>
    <w:rsid w:val="00351E1A"/>
    <w:rsid w:val="00354829"/>
    <w:rsid w:val="00355708"/>
    <w:rsid w:val="00355BAA"/>
    <w:rsid w:val="00356A44"/>
    <w:rsid w:val="00360127"/>
    <w:rsid w:val="003603A8"/>
    <w:rsid w:val="003636EC"/>
    <w:rsid w:val="00363B7A"/>
    <w:rsid w:val="00364B09"/>
    <w:rsid w:val="00365124"/>
    <w:rsid w:val="00366D88"/>
    <w:rsid w:val="0036728F"/>
    <w:rsid w:val="003675C0"/>
    <w:rsid w:val="00367DBF"/>
    <w:rsid w:val="00374F20"/>
    <w:rsid w:val="00376BDA"/>
    <w:rsid w:val="0037730D"/>
    <w:rsid w:val="00377676"/>
    <w:rsid w:val="00380536"/>
    <w:rsid w:val="003850BD"/>
    <w:rsid w:val="00385718"/>
    <w:rsid w:val="00385CE5"/>
    <w:rsid w:val="00385EF7"/>
    <w:rsid w:val="00387CAB"/>
    <w:rsid w:val="00387E36"/>
    <w:rsid w:val="00387EFC"/>
    <w:rsid w:val="00391749"/>
    <w:rsid w:val="003924B9"/>
    <w:rsid w:val="00392CA5"/>
    <w:rsid w:val="00393FFA"/>
    <w:rsid w:val="00394DFE"/>
    <w:rsid w:val="00395FD9"/>
    <w:rsid w:val="00397B5D"/>
    <w:rsid w:val="003A0AD1"/>
    <w:rsid w:val="003A0BF6"/>
    <w:rsid w:val="003A2178"/>
    <w:rsid w:val="003A2A78"/>
    <w:rsid w:val="003A2B2B"/>
    <w:rsid w:val="003A3EE8"/>
    <w:rsid w:val="003A4A37"/>
    <w:rsid w:val="003A5871"/>
    <w:rsid w:val="003A65E4"/>
    <w:rsid w:val="003A66D5"/>
    <w:rsid w:val="003A6EA4"/>
    <w:rsid w:val="003A7CBB"/>
    <w:rsid w:val="003B02C2"/>
    <w:rsid w:val="003B3A3A"/>
    <w:rsid w:val="003B56B7"/>
    <w:rsid w:val="003B5D75"/>
    <w:rsid w:val="003C046D"/>
    <w:rsid w:val="003C0528"/>
    <w:rsid w:val="003C0F2F"/>
    <w:rsid w:val="003C2A92"/>
    <w:rsid w:val="003C30BD"/>
    <w:rsid w:val="003C4D78"/>
    <w:rsid w:val="003C57EB"/>
    <w:rsid w:val="003C78E4"/>
    <w:rsid w:val="003D3C77"/>
    <w:rsid w:val="003D47B1"/>
    <w:rsid w:val="003D5117"/>
    <w:rsid w:val="003D70B7"/>
    <w:rsid w:val="003E1D37"/>
    <w:rsid w:val="003E3EAE"/>
    <w:rsid w:val="003E4149"/>
    <w:rsid w:val="003F1494"/>
    <w:rsid w:val="003F2E32"/>
    <w:rsid w:val="003F3444"/>
    <w:rsid w:val="003F77FE"/>
    <w:rsid w:val="003F7A71"/>
    <w:rsid w:val="00400A4D"/>
    <w:rsid w:val="004013A4"/>
    <w:rsid w:val="00401631"/>
    <w:rsid w:val="00401F2B"/>
    <w:rsid w:val="004035F1"/>
    <w:rsid w:val="004052C2"/>
    <w:rsid w:val="00405753"/>
    <w:rsid w:val="00407A6E"/>
    <w:rsid w:val="00410983"/>
    <w:rsid w:val="0041149D"/>
    <w:rsid w:val="00411DDC"/>
    <w:rsid w:val="0041260C"/>
    <w:rsid w:val="0041557C"/>
    <w:rsid w:val="0041604E"/>
    <w:rsid w:val="00426011"/>
    <w:rsid w:val="004269BD"/>
    <w:rsid w:val="00426C6B"/>
    <w:rsid w:val="00430C2A"/>
    <w:rsid w:val="00431CCA"/>
    <w:rsid w:val="00432B01"/>
    <w:rsid w:val="00433923"/>
    <w:rsid w:val="00433F2A"/>
    <w:rsid w:val="0043461B"/>
    <w:rsid w:val="004346C1"/>
    <w:rsid w:val="0043494E"/>
    <w:rsid w:val="00435471"/>
    <w:rsid w:val="004370DE"/>
    <w:rsid w:val="00437B58"/>
    <w:rsid w:val="0044389D"/>
    <w:rsid w:val="00444F9C"/>
    <w:rsid w:val="004462F2"/>
    <w:rsid w:val="004518F4"/>
    <w:rsid w:val="00453F88"/>
    <w:rsid w:val="004548DF"/>
    <w:rsid w:val="00454F43"/>
    <w:rsid w:val="00454F49"/>
    <w:rsid w:val="004552E7"/>
    <w:rsid w:val="004557B4"/>
    <w:rsid w:val="00456632"/>
    <w:rsid w:val="004634FE"/>
    <w:rsid w:val="00466F54"/>
    <w:rsid w:val="00467323"/>
    <w:rsid w:val="00467B25"/>
    <w:rsid w:val="00470F48"/>
    <w:rsid w:val="00471915"/>
    <w:rsid w:val="00472BF6"/>
    <w:rsid w:val="0047373F"/>
    <w:rsid w:val="004739AB"/>
    <w:rsid w:val="00474A70"/>
    <w:rsid w:val="004763D0"/>
    <w:rsid w:val="00476452"/>
    <w:rsid w:val="00476CB9"/>
    <w:rsid w:val="004802C3"/>
    <w:rsid w:val="0048181B"/>
    <w:rsid w:val="0048769B"/>
    <w:rsid w:val="00487B72"/>
    <w:rsid w:val="00490C3E"/>
    <w:rsid w:val="004916F9"/>
    <w:rsid w:val="00494B1E"/>
    <w:rsid w:val="00495ABE"/>
    <w:rsid w:val="00496849"/>
    <w:rsid w:val="00497F19"/>
    <w:rsid w:val="004A08F7"/>
    <w:rsid w:val="004A3756"/>
    <w:rsid w:val="004B0066"/>
    <w:rsid w:val="004B0AF0"/>
    <w:rsid w:val="004B5BB6"/>
    <w:rsid w:val="004C1E3D"/>
    <w:rsid w:val="004C4B50"/>
    <w:rsid w:val="004C4BA5"/>
    <w:rsid w:val="004C6A45"/>
    <w:rsid w:val="004C7312"/>
    <w:rsid w:val="004D0AEC"/>
    <w:rsid w:val="004D18E5"/>
    <w:rsid w:val="004D1BE3"/>
    <w:rsid w:val="004D24C4"/>
    <w:rsid w:val="004D29AE"/>
    <w:rsid w:val="004D5E7C"/>
    <w:rsid w:val="004D77D7"/>
    <w:rsid w:val="004E27DF"/>
    <w:rsid w:val="004E28E3"/>
    <w:rsid w:val="004E362A"/>
    <w:rsid w:val="004E41AF"/>
    <w:rsid w:val="004E6663"/>
    <w:rsid w:val="004E7231"/>
    <w:rsid w:val="004E758F"/>
    <w:rsid w:val="004F4291"/>
    <w:rsid w:val="004F42D8"/>
    <w:rsid w:val="004F4934"/>
    <w:rsid w:val="004F5567"/>
    <w:rsid w:val="004F6169"/>
    <w:rsid w:val="004F63FB"/>
    <w:rsid w:val="00500F77"/>
    <w:rsid w:val="005014E4"/>
    <w:rsid w:val="005019B9"/>
    <w:rsid w:val="005025C0"/>
    <w:rsid w:val="00502DC4"/>
    <w:rsid w:val="00504383"/>
    <w:rsid w:val="00504652"/>
    <w:rsid w:val="0050591C"/>
    <w:rsid w:val="00506C3E"/>
    <w:rsid w:val="00507189"/>
    <w:rsid w:val="00510D81"/>
    <w:rsid w:val="00511B5F"/>
    <w:rsid w:val="00511D8E"/>
    <w:rsid w:val="005134D8"/>
    <w:rsid w:val="00515479"/>
    <w:rsid w:val="00515813"/>
    <w:rsid w:val="0052052B"/>
    <w:rsid w:val="005213BC"/>
    <w:rsid w:val="00521F66"/>
    <w:rsid w:val="00522CAE"/>
    <w:rsid w:val="0052326C"/>
    <w:rsid w:val="005243DC"/>
    <w:rsid w:val="005251C8"/>
    <w:rsid w:val="005255D8"/>
    <w:rsid w:val="0052575D"/>
    <w:rsid w:val="0053076D"/>
    <w:rsid w:val="00530DEE"/>
    <w:rsid w:val="00532677"/>
    <w:rsid w:val="0053299F"/>
    <w:rsid w:val="00534323"/>
    <w:rsid w:val="005366DB"/>
    <w:rsid w:val="00536B12"/>
    <w:rsid w:val="00537100"/>
    <w:rsid w:val="005437F4"/>
    <w:rsid w:val="00544D4D"/>
    <w:rsid w:val="005457FB"/>
    <w:rsid w:val="005469B7"/>
    <w:rsid w:val="0055017E"/>
    <w:rsid w:val="005501E9"/>
    <w:rsid w:val="00550CA2"/>
    <w:rsid w:val="00550CA8"/>
    <w:rsid w:val="00550EC7"/>
    <w:rsid w:val="00552E6C"/>
    <w:rsid w:val="00554878"/>
    <w:rsid w:val="005548FF"/>
    <w:rsid w:val="0055534A"/>
    <w:rsid w:val="00560565"/>
    <w:rsid w:val="005612DC"/>
    <w:rsid w:val="0056153F"/>
    <w:rsid w:val="00562CB7"/>
    <w:rsid w:val="00563552"/>
    <w:rsid w:val="00567999"/>
    <w:rsid w:val="005705EA"/>
    <w:rsid w:val="005708DF"/>
    <w:rsid w:val="005716CC"/>
    <w:rsid w:val="005731A8"/>
    <w:rsid w:val="005731F2"/>
    <w:rsid w:val="00573263"/>
    <w:rsid w:val="00573EBD"/>
    <w:rsid w:val="00574DAA"/>
    <w:rsid w:val="00581CD5"/>
    <w:rsid w:val="0058288A"/>
    <w:rsid w:val="00582EA5"/>
    <w:rsid w:val="00585AB2"/>
    <w:rsid w:val="00586AF3"/>
    <w:rsid w:val="00586FBE"/>
    <w:rsid w:val="00587862"/>
    <w:rsid w:val="00587E96"/>
    <w:rsid w:val="005911B8"/>
    <w:rsid w:val="00591E9C"/>
    <w:rsid w:val="00592BBA"/>
    <w:rsid w:val="00593007"/>
    <w:rsid w:val="005939F1"/>
    <w:rsid w:val="00594057"/>
    <w:rsid w:val="00595EA3"/>
    <w:rsid w:val="00597E8F"/>
    <w:rsid w:val="005A0862"/>
    <w:rsid w:val="005A2FF9"/>
    <w:rsid w:val="005A30BB"/>
    <w:rsid w:val="005A3981"/>
    <w:rsid w:val="005A3E08"/>
    <w:rsid w:val="005A5524"/>
    <w:rsid w:val="005A7ACE"/>
    <w:rsid w:val="005B3800"/>
    <w:rsid w:val="005B41D0"/>
    <w:rsid w:val="005B5626"/>
    <w:rsid w:val="005B76DE"/>
    <w:rsid w:val="005C229C"/>
    <w:rsid w:val="005C2917"/>
    <w:rsid w:val="005C3B2F"/>
    <w:rsid w:val="005C4A6C"/>
    <w:rsid w:val="005D05A2"/>
    <w:rsid w:val="005D187B"/>
    <w:rsid w:val="005D18AA"/>
    <w:rsid w:val="005D47FF"/>
    <w:rsid w:val="005D58DA"/>
    <w:rsid w:val="005D61AB"/>
    <w:rsid w:val="005D6F89"/>
    <w:rsid w:val="005D6FCF"/>
    <w:rsid w:val="005E3306"/>
    <w:rsid w:val="005E46FA"/>
    <w:rsid w:val="005E5384"/>
    <w:rsid w:val="005E6C30"/>
    <w:rsid w:val="005F0719"/>
    <w:rsid w:val="005F13AC"/>
    <w:rsid w:val="005F20A3"/>
    <w:rsid w:val="005F2F45"/>
    <w:rsid w:val="005F3ED7"/>
    <w:rsid w:val="005F451F"/>
    <w:rsid w:val="005F6160"/>
    <w:rsid w:val="005F67B4"/>
    <w:rsid w:val="0060353B"/>
    <w:rsid w:val="00604D48"/>
    <w:rsid w:val="00604FFE"/>
    <w:rsid w:val="0060692F"/>
    <w:rsid w:val="00607E76"/>
    <w:rsid w:val="00611749"/>
    <w:rsid w:val="006127F5"/>
    <w:rsid w:val="00613626"/>
    <w:rsid w:val="006165A2"/>
    <w:rsid w:val="0061778C"/>
    <w:rsid w:val="00617E73"/>
    <w:rsid w:val="00620BC6"/>
    <w:rsid w:val="00625C60"/>
    <w:rsid w:val="00626EEE"/>
    <w:rsid w:val="00630A55"/>
    <w:rsid w:val="006312E7"/>
    <w:rsid w:val="00631DF3"/>
    <w:rsid w:val="006329CB"/>
    <w:rsid w:val="006340BE"/>
    <w:rsid w:val="0063686E"/>
    <w:rsid w:val="00636EF6"/>
    <w:rsid w:val="00643764"/>
    <w:rsid w:val="006471DE"/>
    <w:rsid w:val="00647214"/>
    <w:rsid w:val="006473AF"/>
    <w:rsid w:val="00647A3B"/>
    <w:rsid w:val="006524E9"/>
    <w:rsid w:val="00653B35"/>
    <w:rsid w:val="0065524F"/>
    <w:rsid w:val="0065545B"/>
    <w:rsid w:val="00660373"/>
    <w:rsid w:val="00662B62"/>
    <w:rsid w:val="00662D12"/>
    <w:rsid w:val="0066343F"/>
    <w:rsid w:val="00663655"/>
    <w:rsid w:val="006642BF"/>
    <w:rsid w:val="006711DE"/>
    <w:rsid w:val="00671D1A"/>
    <w:rsid w:val="006737EC"/>
    <w:rsid w:val="0067397E"/>
    <w:rsid w:val="00674335"/>
    <w:rsid w:val="00674AB1"/>
    <w:rsid w:val="006778E0"/>
    <w:rsid w:val="006811AD"/>
    <w:rsid w:val="00682FEC"/>
    <w:rsid w:val="006830CD"/>
    <w:rsid w:val="006839BB"/>
    <w:rsid w:val="00683CD5"/>
    <w:rsid w:val="00683DF2"/>
    <w:rsid w:val="00684520"/>
    <w:rsid w:val="00684C83"/>
    <w:rsid w:val="00685E01"/>
    <w:rsid w:val="006867E3"/>
    <w:rsid w:val="006903B4"/>
    <w:rsid w:val="00690BEC"/>
    <w:rsid w:val="0069171F"/>
    <w:rsid w:val="00691DAE"/>
    <w:rsid w:val="0069350E"/>
    <w:rsid w:val="00696D14"/>
    <w:rsid w:val="00697AB9"/>
    <w:rsid w:val="006A0458"/>
    <w:rsid w:val="006A47E0"/>
    <w:rsid w:val="006A4DB4"/>
    <w:rsid w:val="006A613F"/>
    <w:rsid w:val="006A643F"/>
    <w:rsid w:val="006A6779"/>
    <w:rsid w:val="006A6927"/>
    <w:rsid w:val="006A7114"/>
    <w:rsid w:val="006B1208"/>
    <w:rsid w:val="006B16AB"/>
    <w:rsid w:val="006B7582"/>
    <w:rsid w:val="006C2618"/>
    <w:rsid w:val="006C2B10"/>
    <w:rsid w:val="006C2FC1"/>
    <w:rsid w:val="006C3A77"/>
    <w:rsid w:val="006C5C42"/>
    <w:rsid w:val="006C631C"/>
    <w:rsid w:val="006D0111"/>
    <w:rsid w:val="006D1394"/>
    <w:rsid w:val="006D258B"/>
    <w:rsid w:val="006D2E3B"/>
    <w:rsid w:val="006D2EEB"/>
    <w:rsid w:val="006D325B"/>
    <w:rsid w:val="006D512F"/>
    <w:rsid w:val="006D6616"/>
    <w:rsid w:val="006D7D78"/>
    <w:rsid w:val="006D7F5E"/>
    <w:rsid w:val="006E1C8E"/>
    <w:rsid w:val="006E34AB"/>
    <w:rsid w:val="006E6879"/>
    <w:rsid w:val="006F0600"/>
    <w:rsid w:val="006F1A9F"/>
    <w:rsid w:val="006F3E9A"/>
    <w:rsid w:val="006F4986"/>
    <w:rsid w:val="006F72A6"/>
    <w:rsid w:val="0070105B"/>
    <w:rsid w:val="007044A2"/>
    <w:rsid w:val="007045D2"/>
    <w:rsid w:val="00704A59"/>
    <w:rsid w:val="00707D5F"/>
    <w:rsid w:val="00710816"/>
    <w:rsid w:val="00712685"/>
    <w:rsid w:val="0071296C"/>
    <w:rsid w:val="00712977"/>
    <w:rsid w:val="00713655"/>
    <w:rsid w:val="00713EF3"/>
    <w:rsid w:val="007168C4"/>
    <w:rsid w:val="00716D6C"/>
    <w:rsid w:val="00721E0B"/>
    <w:rsid w:val="007233B7"/>
    <w:rsid w:val="00727060"/>
    <w:rsid w:val="007274E6"/>
    <w:rsid w:val="00731753"/>
    <w:rsid w:val="00732096"/>
    <w:rsid w:val="00734870"/>
    <w:rsid w:val="00746AAA"/>
    <w:rsid w:val="00746FC3"/>
    <w:rsid w:val="00747A74"/>
    <w:rsid w:val="0075430C"/>
    <w:rsid w:val="0075479C"/>
    <w:rsid w:val="00755652"/>
    <w:rsid w:val="00757DEC"/>
    <w:rsid w:val="00760988"/>
    <w:rsid w:val="0076361D"/>
    <w:rsid w:val="00763DA7"/>
    <w:rsid w:val="0076686F"/>
    <w:rsid w:val="007713B0"/>
    <w:rsid w:val="00772057"/>
    <w:rsid w:val="0077373F"/>
    <w:rsid w:val="00773CB6"/>
    <w:rsid w:val="007758BD"/>
    <w:rsid w:val="00776736"/>
    <w:rsid w:val="00780932"/>
    <w:rsid w:val="007830E0"/>
    <w:rsid w:val="0078705F"/>
    <w:rsid w:val="007874CB"/>
    <w:rsid w:val="00791CC2"/>
    <w:rsid w:val="0079437C"/>
    <w:rsid w:val="007957C6"/>
    <w:rsid w:val="00795DA8"/>
    <w:rsid w:val="007968C5"/>
    <w:rsid w:val="007A10DF"/>
    <w:rsid w:val="007A5972"/>
    <w:rsid w:val="007A732F"/>
    <w:rsid w:val="007A7BF1"/>
    <w:rsid w:val="007A7F08"/>
    <w:rsid w:val="007B20F0"/>
    <w:rsid w:val="007B3432"/>
    <w:rsid w:val="007B57B6"/>
    <w:rsid w:val="007B5AF4"/>
    <w:rsid w:val="007B5FC3"/>
    <w:rsid w:val="007C0110"/>
    <w:rsid w:val="007C0AE1"/>
    <w:rsid w:val="007C2239"/>
    <w:rsid w:val="007C4796"/>
    <w:rsid w:val="007C4D66"/>
    <w:rsid w:val="007C56CC"/>
    <w:rsid w:val="007C5DB7"/>
    <w:rsid w:val="007C72BA"/>
    <w:rsid w:val="007C76D7"/>
    <w:rsid w:val="007C7AB9"/>
    <w:rsid w:val="007D093E"/>
    <w:rsid w:val="007D6D73"/>
    <w:rsid w:val="007D6F0D"/>
    <w:rsid w:val="007D7783"/>
    <w:rsid w:val="007E0CFC"/>
    <w:rsid w:val="007E1D04"/>
    <w:rsid w:val="007E1EC4"/>
    <w:rsid w:val="007E1F55"/>
    <w:rsid w:val="007E2E13"/>
    <w:rsid w:val="007E38D9"/>
    <w:rsid w:val="007F120A"/>
    <w:rsid w:val="007F1524"/>
    <w:rsid w:val="007F1D3A"/>
    <w:rsid w:val="007F1E25"/>
    <w:rsid w:val="007F3391"/>
    <w:rsid w:val="007F36AB"/>
    <w:rsid w:val="007F3BEF"/>
    <w:rsid w:val="007F45E5"/>
    <w:rsid w:val="007F4A05"/>
    <w:rsid w:val="007F4F6D"/>
    <w:rsid w:val="007F70BD"/>
    <w:rsid w:val="007F712C"/>
    <w:rsid w:val="0080119D"/>
    <w:rsid w:val="00801AD5"/>
    <w:rsid w:val="00803B23"/>
    <w:rsid w:val="00804B25"/>
    <w:rsid w:val="008056DA"/>
    <w:rsid w:val="00805B78"/>
    <w:rsid w:val="00805FE0"/>
    <w:rsid w:val="00810EA1"/>
    <w:rsid w:val="00812C3F"/>
    <w:rsid w:val="008130A7"/>
    <w:rsid w:val="0081768B"/>
    <w:rsid w:val="0081778E"/>
    <w:rsid w:val="00820C13"/>
    <w:rsid w:val="00820F0F"/>
    <w:rsid w:val="00821BD9"/>
    <w:rsid w:val="008246A6"/>
    <w:rsid w:val="00825687"/>
    <w:rsid w:val="0082602B"/>
    <w:rsid w:val="00826D27"/>
    <w:rsid w:val="00827DF4"/>
    <w:rsid w:val="00833FA7"/>
    <w:rsid w:val="008410EB"/>
    <w:rsid w:val="0084156C"/>
    <w:rsid w:val="008427A8"/>
    <w:rsid w:val="00842CAB"/>
    <w:rsid w:val="00843285"/>
    <w:rsid w:val="008450DF"/>
    <w:rsid w:val="008461CA"/>
    <w:rsid w:val="008502C1"/>
    <w:rsid w:val="0085149E"/>
    <w:rsid w:val="008527B0"/>
    <w:rsid w:val="00852A03"/>
    <w:rsid w:val="0085364F"/>
    <w:rsid w:val="00854949"/>
    <w:rsid w:val="00855503"/>
    <w:rsid w:val="00855991"/>
    <w:rsid w:val="0086038A"/>
    <w:rsid w:val="0086102C"/>
    <w:rsid w:val="008635CF"/>
    <w:rsid w:val="00864DFD"/>
    <w:rsid w:val="00864EC8"/>
    <w:rsid w:val="00873896"/>
    <w:rsid w:val="00873D90"/>
    <w:rsid w:val="00874031"/>
    <w:rsid w:val="0087434B"/>
    <w:rsid w:val="00874EBE"/>
    <w:rsid w:val="0087676D"/>
    <w:rsid w:val="00876A9B"/>
    <w:rsid w:val="00876B68"/>
    <w:rsid w:val="0087778F"/>
    <w:rsid w:val="00880A9E"/>
    <w:rsid w:val="00881BD9"/>
    <w:rsid w:val="00882EAE"/>
    <w:rsid w:val="00883E70"/>
    <w:rsid w:val="00883EB1"/>
    <w:rsid w:val="00884D27"/>
    <w:rsid w:val="008864BA"/>
    <w:rsid w:val="0089029E"/>
    <w:rsid w:val="0089396F"/>
    <w:rsid w:val="008A05A7"/>
    <w:rsid w:val="008A0FAC"/>
    <w:rsid w:val="008A20F0"/>
    <w:rsid w:val="008A34AC"/>
    <w:rsid w:val="008A41D1"/>
    <w:rsid w:val="008A5442"/>
    <w:rsid w:val="008A59EE"/>
    <w:rsid w:val="008B2CE8"/>
    <w:rsid w:val="008B2E53"/>
    <w:rsid w:val="008B4DBC"/>
    <w:rsid w:val="008B7A4A"/>
    <w:rsid w:val="008C1B59"/>
    <w:rsid w:val="008C33DD"/>
    <w:rsid w:val="008C3445"/>
    <w:rsid w:val="008C4D07"/>
    <w:rsid w:val="008C5A70"/>
    <w:rsid w:val="008C5FED"/>
    <w:rsid w:val="008C6EE8"/>
    <w:rsid w:val="008C7267"/>
    <w:rsid w:val="008C752E"/>
    <w:rsid w:val="008C7564"/>
    <w:rsid w:val="008C7582"/>
    <w:rsid w:val="008D059E"/>
    <w:rsid w:val="008D0EAC"/>
    <w:rsid w:val="008E22C7"/>
    <w:rsid w:val="008E3A6E"/>
    <w:rsid w:val="008E3F19"/>
    <w:rsid w:val="008E5E1F"/>
    <w:rsid w:val="008E70A3"/>
    <w:rsid w:val="008F215E"/>
    <w:rsid w:val="008F2B19"/>
    <w:rsid w:val="008F555D"/>
    <w:rsid w:val="008F69BD"/>
    <w:rsid w:val="009017B0"/>
    <w:rsid w:val="009027BF"/>
    <w:rsid w:val="00904656"/>
    <w:rsid w:val="00905202"/>
    <w:rsid w:val="00905350"/>
    <w:rsid w:val="0091275C"/>
    <w:rsid w:val="009129B9"/>
    <w:rsid w:val="009133C4"/>
    <w:rsid w:val="0091465F"/>
    <w:rsid w:val="009146DA"/>
    <w:rsid w:val="00916308"/>
    <w:rsid w:val="00916EA4"/>
    <w:rsid w:val="009179C6"/>
    <w:rsid w:val="0092023F"/>
    <w:rsid w:val="00922F6D"/>
    <w:rsid w:val="0092474A"/>
    <w:rsid w:val="009262C3"/>
    <w:rsid w:val="009322D4"/>
    <w:rsid w:val="00933145"/>
    <w:rsid w:val="00937AD3"/>
    <w:rsid w:val="00937C0C"/>
    <w:rsid w:val="00940045"/>
    <w:rsid w:val="0094048F"/>
    <w:rsid w:val="0094083A"/>
    <w:rsid w:val="00943B4F"/>
    <w:rsid w:val="0094760C"/>
    <w:rsid w:val="00947E43"/>
    <w:rsid w:val="0095209D"/>
    <w:rsid w:val="009536CA"/>
    <w:rsid w:val="009537DC"/>
    <w:rsid w:val="00960022"/>
    <w:rsid w:val="009643DC"/>
    <w:rsid w:val="009650D6"/>
    <w:rsid w:val="00965FAB"/>
    <w:rsid w:val="00966373"/>
    <w:rsid w:val="0096741C"/>
    <w:rsid w:val="0096766B"/>
    <w:rsid w:val="00967B28"/>
    <w:rsid w:val="00970057"/>
    <w:rsid w:val="009751A0"/>
    <w:rsid w:val="00977BCC"/>
    <w:rsid w:val="00977F64"/>
    <w:rsid w:val="00980498"/>
    <w:rsid w:val="00980504"/>
    <w:rsid w:val="009810E4"/>
    <w:rsid w:val="00981314"/>
    <w:rsid w:val="009818A6"/>
    <w:rsid w:val="00981C54"/>
    <w:rsid w:val="00982A5E"/>
    <w:rsid w:val="0098742A"/>
    <w:rsid w:val="00987A18"/>
    <w:rsid w:val="00987CE2"/>
    <w:rsid w:val="00990F55"/>
    <w:rsid w:val="0099246B"/>
    <w:rsid w:val="00992541"/>
    <w:rsid w:val="00994797"/>
    <w:rsid w:val="009949B8"/>
    <w:rsid w:val="00994D58"/>
    <w:rsid w:val="009A1981"/>
    <w:rsid w:val="009A56F3"/>
    <w:rsid w:val="009A615F"/>
    <w:rsid w:val="009B0159"/>
    <w:rsid w:val="009B1684"/>
    <w:rsid w:val="009B1708"/>
    <w:rsid w:val="009B30C6"/>
    <w:rsid w:val="009B54BF"/>
    <w:rsid w:val="009B6A97"/>
    <w:rsid w:val="009C0385"/>
    <w:rsid w:val="009C0485"/>
    <w:rsid w:val="009C14A0"/>
    <w:rsid w:val="009C2004"/>
    <w:rsid w:val="009C6225"/>
    <w:rsid w:val="009C64AA"/>
    <w:rsid w:val="009C71DC"/>
    <w:rsid w:val="009D0432"/>
    <w:rsid w:val="009D0AE4"/>
    <w:rsid w:val="009D0B32"/>
    <w:rsid w:val="009D0C93"/>
    <w:rsid w:val="009D258A"/>
    <w:rsid w:val="009D4706"/>
    <w:rsid w:val="009D4D03"/>
    <w:rsid w:val="009E05FB"/>
    <w:rsid w:val="009E0F42"/>
    <w:rsid w:val="009E1160"/>
    <w:rsid w:val="009E3AC2"/>
    <w:rsid w:val="009E4DBF"/>
    <w:rsid w:val="009E530E"/>
    <w:rsid w:val="009E5F06"/>
    <w:rsid w:val="009E7F4D"/>
    <w:rsid w:val="009E7FC2"/>
    <w:rsid w:val="009F07E0"/>
    <w:rsid w:val="009F1F9D"/>
    <w:rsid w:val="009F2171"/>
    <w:rsid w:val="009F3AA1"/>
    <w:rsid w:val="009F3F97"/>
    <w:rsid w:val="009F4AC5"/>
    <w:rsid w:val="009F536C"/>
    <w:rsid w:val="009F7338"/>
    <w:rsid w:val="009F7617"/>
    <w:rsid w:val="00A02444"/>
    <w:rsid w:val="00A02BFE"/>
    <w:rsid w:val="00A04C06"/>
    <w:rsid w:val="00A050F0"/>
    <w:rsid w:val="00A0533A"/>
    <w:rsid w:val="00A06824"/>
    <w:rsid w:val="00A109D9"/>
    <w:rsid w:val="00A11A61"/>
    <w:rsid w:val="00A123C3"/>
    <w:rsid w:val="00A14766"/>
    <w:rsid w:val="00A16386"/>
    <w:rsid w:val="00A179DD"/>
    <w:rsid w:val="00A17BB6"/>
    <w:rsid w:val="00A211B6"/>
    <w:rsid w:val="00A212FA"/>
    <w:rsid w:val="00A2143F"/>
    <w:rsid w:val="00A21464"/>
    <w:rsid w:val="00A225AA"/>
    <w:rsid w:val="00A22C26"/>
    <w:rsid w:val="00A24D8C"/>
    <w:rsid w:val="00A25C3C"/>
    <w:rsid w:val="00A263A4"/>
    <w:rsid w:val="00A26B0D"/>
    <w:rsid w:val="00A31DF1"/>
    <w:rsid w:val="00A34CDD"/>
    <w:rsid w:val="00A35E41"/>
    <w:rsid w:val="00A35FAC"/>
    <w:rsid w:val="00A365BE"/>
    <w:rsid w:val="00A36640"/>
    <w:rsid w:val="00A3722E"/>
    <w:rsid w:val="00A406FC"/>
    <w:rsid w:val="00A40F6E"/>
    <w:rsid w:val="00A41F18"/>
    <w:rsid w:val="00A42C61"/>
    <w:rsid w:val="00A4616D"/>
    <w:rsid w:val="00A47D56"/>
    <w:rsid w:val="00A50049"/>
    <w:rsid w:val="00A5051E"/>
    <w:rsid w:val="00A513AA"/>
    <w:rsid w:val="00A53377"/>
    <w:rsid w:val="00A550C4"/>
    <w:rsid w:val="00A55127"/>
    <w:rsid w:val="00A61CFB"/>
    <w:rsid w:val="00A64792"/>
    <w:rsid w:val="00A653D6"/>
    <w:rsid w:val="00A654E3"/>
    <w:rsid w:val="00A65B68"/>
    <w:rsid w:val="00A7155A"/>
    <w:rsid w:val="00A72E8A"/>
    <w:rsid w:val="00A74E92"/>
    <w:rsid w:val="00A74FBD"/>
    <w:rsid w:val="00A75B88"/>
    <w:rsid w:val="00A82399"/>
    <w:rsid w:val="00A82FE8"/>
    <w:rsid w:val="00A84156"/>
    <w:rsid w:val="00A84D54"/>
    <w:rsid w:val="00A877A2"/>
    <w:rsid w:val="00A90365"/>
    <w:rsid w:val="00A92420"/>
    <w:rsid w:val="00A929E8"/>
    <w:rsid w:val="00A92F1A"/>
    <w:rsid w:val="00A943E1"/>
    <w:rsid w:val="00A94677"/>
    <w:rsid w:val="00A95A04"/>
    <w:rsid w:val="00A96679"/>
    <w:rsid w:val="00A97E1A"/>
    <w:rsid w:val="00AA00DE"/>
    <w:rsid w:val="00AA1C8A"/>
    <w:rsid w:val="00AA24BB"/>
    <w:rsid w:val="00AA4F30"/>
    <w:rsid w:val="00AA527B"/>
    <w:rsid w:val="00AA5F36"/>
    <w:rsid w:val="00AA764D"/>
    <w:rsid w:val="00AB0061"/>
    <w:rsid w:val="00AB4DC3"/>
    <w:rsid w:val="00AC36F9"/>
    <w:rsid w:val="00AC5C67"/>
    <w:rsid w:val="00AC7272"/>
    <w:rsid w:val="00AD08AE"/>
    <w:rsid w:val="00AD09A1"/>
    <w:rsid w:val="00AD0E07"/>
    <w:rsid w:val="00AD1B5B"/>
    <w:rsid w:val="00AD1B63"/>
    <w:rsid w:val="00AD4576"/>
    <w:rsid w:val="00AE1717"/>
    <w:rsid w:val="00AE24BC"/>
    <w:rsid w:val="00AE297C"/>
    <w:rsid w:val="00AE31A1"/>
    <w:rsid w:val="00AE79D4"/>
    <w:rsid w:val="00AF0254"/>
    <w:rsid w:val="00AF03A0"/>
    <w:rsid w:val="00AF2EC1"/>
    <w:rsid w:val="00AF463D"/>
    <w:rsid w:val="00AF570F"/>
    <w:rsid w:val="00AF6CAC"/>
    <w:rsid w:val="00AF72CD"/>
    <w:rsid w:val="00B00473"/>
    <w:rsid w:val="00B02703"/>
    <w:rsid w:val="00B02A02"/>
    <w:rsid w:val="00B03277"/>
    <w:rsid w:val="00B03FE0"/>
    <w:rsid w:val="00B04672"/>
    <w:rsid w:val="00B04AA1"/>
    <w:rsid w:val="00B07B00"/>
    <w:rsid w:val="00B12877"/>
    <w:rsid w:val="00B13DA9"/>
    <w:rsid w:val="00B1453F"/>
    <w:rsid w:val="00B15FC8"/>
    <w:rsid w:val="00B17010"/>
    <w:rsid w:val="00B205E7"/>
    <w:rsid w:val="00B2321D"/>
    <w:rsid w:val="00B23A13"/>
    <w:rsid w:val="00B244BB"/>
    <w:rsid w:val="00B247AB"/>
    <w:rsid w:val="00B25BBB"/>
    <w:rsid w:val="00B26297"/>
    <w:rsid w:val="00B30132"/>
    <w:rsid w:val="00B310BF"/>
    <w:rsid w:val="00B31477"/>
    <w:rsid w:val="00B320A1"/>
    <w:rsid w:val="00B33B7E"/>
    <w:rsid w:val="00B35708"/>
    <w:rsid w:val="00B37FF1"/>
    <w:rsid w:val="00B4052A"/>
    <w:rsid w:val="00B408EC"/>
    <w:rsid w:val="00B40B4D"/>
    <w:rsid w:val="00B41F9B"/>
    <w:rsid w:val="00B44EB9"/>
    <w:rsid w:val="00B459BB"/>
    <w:rsid w:val="00B45ABA"/>
    <w:rsid w:val="00B47ADF"/>
    <w:rsid w:val="00B47D92"/>
    <w:rsid w:val="00B509E7"/>
    <w:rsid w:val="00B50C2E"/>
    <w:rsid w:val="00B528C8"/>
    <w:rsid w:val="00B52B65"/>
    <w:rsid w:val="00B54C47"/>
    <w:rsid w:val="00B55768"/>
    <w:rsid w:val="00B601BA"/>
    <w:rsid w:val="00B66897"/>
    <w:rsid w:val="00B675E5"/>
    <w:rsid w:val="00B73EF7"/>
    <w:rsid w:val="00B74552"/>
    <w:rsid w:val="00B74B39"/>
    <w:rsid w:val="00B74B54"/>
    <w:rsid w:val="00B77964"/>
    <w:rsid w:val="00B80C78"/>
    <w:rsid w:val="00B82664"/>
    <w:rsid w:val="00B82D73"/>
    <w:rsid w:val="00B8367C"/>
    <w:rsid w:val="00B84E44"/>
    <w:rsid w:val="00B856FF"/>
    <w:rsid w:val="00B8666F"/>
    <w:rsid w:val="00B868E3"/>
    <w:rsid w:val="00B91BD9"/>
    <w:rsid w:val="00B92735"/>
    <w:rsid w:val="00B95536"/>
    <w:rsid w:val="00BA049F"/>
    <w:rsid w:val="00BA1348"/>
    <w:rsid w:val="00BA1420"/>
    <w:rsid w:val="00BA147D"/>
    <w:rsid w:val="00BA2331"/>
    <w:rsid w:val="00BA48C4"/>
    <w:rsid w:val="00BA6380"/>
    <w:rsid w:val="00BB085D"/>
    <w:rsid w:val="00BB10AD"/>
    <w:rsid w:val="00BB2124"/>
    <w:rsid w:val="00BB22E2"/>
    <w:rsid w:val="00BB2918"/>
    <w:rsid w:val="00BB7C61"/>
    <w:rsid w:val="00BC0EDC"/>
    <w:rsid w:val="00BC1124"/>
    <w:rsid w:val="00BC5552"/>
    <w:rsid w:val="00BC5F6C"/>
    <w:rsid w:val="00BC69AC"/>
    <w:rsid w:val="00BC76C4"/>
    <w:rsid w:val="00BD044A"/>
    <w:rsid w:val="00BD21DF"/>
    <w:rsid w:val="00BD277A"/>
    <w:rsid w:val="00BD3C57"/>
    <w:rsid w:val="00BD4578"/>
    <w:rsid w:val="00BD4E7A"/>
    <w:rsid w:val="00BD4E80"/>
    <w:rsid w:val="00BD63DD"/>
    <w:rsid w:val="00BD6CDD"/>
    <w:rsid w:val="00BD7596"/>
    <w:rsid w:val="00BD7847"/>
    <w:rsid w:val="00BE677E"/>
    <w:rsid w:val="00BF2226"/>
    <w:rsid w:val="00BF34DF"/>
    <w:rsid w:val="00BF361A"/>
    <w:rsid w:val="00BF4AD9"/>
    <w:rsid w:val="00C00B51"/>
    <w:rsid w:val="00C0124E"/>
    <w:rsid w:val="00C02875"/>
    <w:rsid w:val="00C0405A"/>
    <w:rsid w:val="00C04408"/>
    <w:rsid w:val="00C04743"/>
    <w:rsid w:val="00C06EF7"/>
    <w:rsid w:val="00C115FA"/>
    <w:rsid w:val="00C12039"/>
    <w:rsid w:val="00C12284"/>
    <w:rsid w:val="00C12E88"/>
    <w:rsid w:val="00C136D7"/>
    <w:rsid w:val="00C141F3"/>
    <w:rsid w:val="00C15593"/>
    <w:rsid w:val="00C2078E"/>
    <w:rsid w:val="00C21D18"/>
    <w:rsid w:val="00C2322B"/>
    <w:rsid w:val="00C2399A"/>
    <w:rsid w:val="00C24CE6"/>
    <w:rsid w:val="00C262D0"/>
    <w:rsid w:val="00C26354"/>
    <w:rsid w:val="00C265FB"/>
    <w:rsid w:val="00C27F34"/>
    <w:rsid w:val="00C30907"/>
    <w:rsid w:val="00C30D19"/>
    <w:rsid w:val="00C348BA"/>
    <w:rsid w:val="00C41BB4"/>
    <w:rsid w:val="00C41F63"/>
    <w:rsid w:val="00C41F89"/>
    <w:rsid w:val="00C42782"/>
    <w:rsid w:val="00C44700"/>
    <w:rsid w:val="00C46B75"/>
    <w:rsid w:val="00C46C81"/>
    <w:rsid w:val="00C47E5E"/>
    <w:rsid w:val="00C5343D"/>
    <w:rsid w:val="00C5372F"/>
    <w:rsid w:val="00C57578"/>
    <w:rsid w:val="00C606EC"/>
    <w:rsid w:val="00C62174"/>
    <w:rsid w:val="00C62F4C"/>
    <w:rsid w:val="00C631EF"/>
    <w:rsid w:val="00C64547"/>
    <w:rsid w:val="00C64BFB"/>
    <w:rsid w:val="00C656F4"/>
    <w:rsid w:val="00C669D9"/>
    <w:rsid w:val="00C67045"/>
    <w:rsid w:val="00C67381"/>
    <w:rsid w:val="00C71587"/>
    <w:rsid w:val="00C74A12"/>
    <w:rsid w:val="00C7505D"/>
    <w:rsid w:val="00C76503"/>
    <w:rsid w:val="00C76511"/>
    <w:rsid w:val="00C80934"/>
    <w:rsid w:val="00C80DF2"/>
    <w:rsid w:val="00C82873"/>
    <w:rsid w:val="00C84862"/>
    <w:rsid w:val="00C85AA0"/>
    <w:rsid w:val="00C864CB"/>
    <w:rsid w:val="00C87650"/>
    <w:rsid w:val="00C9149D"/>
    <w:rsid w:val="00C91F54"/>
    <w:rsid w:val="00C923EC"/>
    <w:rsid w:val="00C93A7F"/>
    <w:rsid w:val="00C93FF6"/>
    <w:rsid w:val="00C94A4B"/>
    <w:rsid w:val="00CA0855"/>
    <w:rsid w:val="00CA7EB7"/>
    <w:rsid w:val="00CB2B7A"/>
    <w:rsid w:val="00CB4C61"/>
    <w:rsid w:val="00CB5C9D"/>
    <w:rsid w:val="00CC0160"/>
    <w:rsid w:val="00CC37D6"/>
    <w:rsid w:val="00CC5E57"/>
    <w:rsid w:val="00CC655F"/>
    <w:rsid w:val="00CC7C5C"/>
    <w:rsid w:val="00CD1E36"/>
    <w:rsid w:val="00CD3096"/>
    <w:rsid w:val="00CD330C"/>
    <w:rsid w:val="00CD4041"/>
    <w:rsid w:val="00CD5702"/>
    <w:rsid w:val="00CD5E1F"/>
    <w:rsid w:val="00CD68AD"/>
    <w:rsid w:val="00CD7A07"/>
    <w:rsid w:val="00CE1249"/>
    <w:rsid w:val="00CE24E9"/>
    <w:rsid w:val="00CE2E79"/>
    <w:rsid w:val="00CE383A"/>
    <w:rsid w:val="00CE4AB4"/>
    <w:rsid w:val="00CE6B1B"/>
    <w:rsid w:val="00CE7127"/>
    <w:rsid w:val="00CE7B9D"/>
    <w:rsid w:val="00CF108F"/>
    <w:rsid w:val="00CF2C8B"/>
    <w:rsid w:val="00CF66DB"/>
    <w:rsid w:val="00D005AD"/>
    <w:rsid w:val="00D02B15"/>
    <w:rsid w:val="00D03BB7"/>
    <w:rsid w:val="00D041B8"/>
    <w:rsid w:val="00D04F6A"/>
    <w:rsid w:val="00D10BAF"/>
    <w:rsid w:val="00D1395D"/>
    <w:rsid w:val="00D154DE"/>
    <w:rsid w:val="00D168D9"/>
    <w:rsid w:val="00D17D5A"/>
    <w:rsid w:val="00D17EEF"/>
    <w:rsid w:val="00D204B6"/>
    <w:rsid w:val="00D20D30"/>
    <w:rsid w:val="00D232A6"/>
    <w:rsid w:val="00D23AD2"/>
    <w:rsid w:val="00D2480B"/>
    <w:rsid w:val="00D25AAF"/>
    <w:rsid w:val="00D25BB0"/>
    <w:rsid w:val="00D26D7D"/>
    <w:rsid w:val="00D27257"/>
    <w:rsid w:val="00D31164"/>
    <w:rsid w:val="00D31440"/>
    <w:rsid w:val="00D327CC"/>
    <w:rsid w:val="00D3288A"/>
    <w:rsid w:val="00D32CC2"/>
    <w:rsid w:val="00D3619A"/>
    <w:rsid w:val="00D36EFE"/>
    <w:rsid w:val="00D37CAF"/>
    <w:rsid w:val="00D40609"/>
    <w:rsid w:val="00D413E5"/>
    <w:rsid w:val="00D422D4"/>
    <w:rsid w:val="00D42F1B"/>
    <w:rsid w:val="00D43330"/>
    <w:rsid w:val="00D4345E"/>
    <w:rsid w:val="00D44767"/>
    <w:rsid w:val="00D449B8"/>
    <w:rsid w:val="00D44C63"/>
    <w:rsid w:val="00D44D22"/>
    <w:rsid w:val="00D4562E"/>
    <w:rsid w:val="00D46A85"/>
    <w:rsid w:val="00D470D3"/>
    <w:rsid w:val="00D473DF"/>
    <w:rsid w:val="00D5046B"/>
    <w:rsid w:val="00D5180A"/>
    <w:rsid w:val="00D5238C"/>
    <w:rsid w:val="00D52C04"/>
    <w:rsid w:val="00D5590E"/>
    <w:rsid w:val="00D55B24"/>
    <w:rsid w:val="00D57119"/>
    <w:rsid w:val="00D579E2"/>
    <w:rsid w:val="00D61B80"/>
    <w:rsid w:val="00D63133"/>
    <w:rsid w:val="00D63555"/>
    <w:rsid w:val="00D647A3"/>
    <w:rsid w:val="00D6738C"/>
    <w:rsid w:val="00D67E82"/>
    <w:rsid w:val="00D704CC"/>
    <w:rsid w:val="00D71063"/>
    <w:rsid w:val="00D71343"/>
    <w:rsid w:val="00D7275C"/>
    <w:rsid w:val="00D72DD3"/>
    <w:rsid w:val="00D73BED"/>
    <w:rsid w:val="00D7523B"/>
    <w:rsid w:val="00D77A8E"/>
    <w:rsid w:val="00D82F80"/>
    <w:rsid w:val="00D832BD"/>
    <w:rsid w:val="00D849CD"/>
    <w:rsid w:val="00D86E51"/>
    <w:rsid w:val="00D90204"/>
    <w:rsid w:val="00D91A1C"/>
    <w:rsid w:val="00D92C65"/>
    <w:rsid w:val="00D95A5A"/>
    <w:rsid w:val="00D97A1D"/>
    <w:rsid w:val="00DA2531"/>
    <w:rsid w:val="00DA582F"/>
    <w:rsid w:val="00DB0191"/>
    <w:rsid w:val="00DB17B7"/>
    <w:rsid w:val="00DB2288"/>
    <w:rsid w:val="00DB293D"/>
    <w:rsid w:val="00DB5CE2"/>
    <w:rsid w:val="00DB7324"/>
    <w:rsid w:val="00DC1E4F"/>
    <w:rsid w:val="00DC2EDE"/>
    <w:rsid w:val="00DC454C"/>
    <w:rsid w:val="00DC555C"/>
    <w:rsid w:val="00DC5C33"/>
    <w:rsid w:val="00DC6000"/>
    <w:rsid w:val="00DC6D0E"/>
    <w:rsid w:val="00DD1531"/>
    <w:rsid w:val="00DD1F70"/>
    <w:rsid w:val="00DD39A8"/>
    <w:rsid w:val="00DD5A20"/>
    <w:rsid w:val="00DD63FC"/>
    <w:rsid w:val="00DD6E28"/>
    <w:rsid w:val="00DD7C1F"/>
    <w:rsid w:val="00DE16AD"/>
    <w:rsid w:val="00DE2634"/>
    <w:rsid w:val="00DE2D36"/>
    <w:rsid w:val="00DE2E56"/>
    <w:rsid w:val="00DE3055"/>
    <w:rsid w:val="00DE3878"/>
    <w:rsid w:val="00DE3B1E"/>
    <w:rsid w:val="00DF2731"/>
    <w:rsid w:val="00DF742F"/>
    <w:rsid w:val="00E02C1F"/>
    <w:rsid w:val="00E0317B"/>
    <w:rsid w:val="00E03812"/>
    <w:rsid w:val="00E0463F"/>
    <w:rsid w:val="00E04820"/>
    <w:rsid w:val="00E04BF6"/>
    <w:rsid w:val="00E100F8"/>
    <w:rsid w:val="00E10434"/>
    <w:rsid w:val="00E10F2C"/>
    <w:rsid w:val="00E12732"/>
    <w:rsid w:val="00E12A54"/>
    <w:rsid w:val="00E13FB6"/>
    <w:rsid w:val="00E15065"/>
    <w:rsid w:val="00E16549"/>
    <w:rsid w:val="00E16DFF"/>
    <w:rsid w:val="00E25279"/>
    <w:rsid w:val="00E308CB"/>
    <w:rsid w:val="00E32DB2"/>
    <w:rsid w:val="00E3656E"/>
    <w:rsid w:val="00E4090C"/>
    <w:rsid w:val="00E40945"/>
    <w:rsid w:val="00E439AB"/>
    <w:rsid w:val="00E43EFD"/>
    <w:rsid w:val="00E44396"/>
    <w:rsid w:val="00E470D8"/>
    <w:rsid w:val="00E472F8"/>
    <w:rsid w:val="00E51084"/>
    <w:rsid w:val="00E51328"/>
    <w:rsid w:val="00E54BC6"/>
    <w:rsid w:val="00E55C91"/>
    <w:rsid w:val="00E57C39"/>
    <w:rsid w:val="00E61661"/>
    <w:rsid w:val="00E617AE"/>
    <w:rsid w:val="00E61D08"/>
    <w:rsid w:val="00E62C72"/>
    <w:rsid w:val="00E62F88"/>
    <w:rsid w:val="00E67794"/>
    <w:rsid w:val="00E71D00"/>
    <w:rsid w:val="00E7454D"/>
    <w:rsid w:val="00E74BA4"/>
    <w:rsid w:val="00E76E97"/>
    <w:rsid w:val="00E77357"/>
    <w:rsid w:val="00E80435"/>
    <w:rsid w:val="00E80CF1"/>
    <w:rsid w:val="00E81113"/>
    <w:rsid w:val="00E81A1E"/>
    <w:rsid w:val="00E85AC2"/>
    <w:rsid w:val="00E87A7C"/>
    <w:rsid w:val="00E93477"/>
    <w:rsid w:val="00E934AB"/>
    <w:rsid w:val="00E93D51"/>
    <w:rsid w:val="00EA0DE9"/>
    <w:rsid w:val="00EA0E1C"/>
    <w:rsid w:val="00EA3F5F"/>
    <w:rsid w:val="00EA5D44"/>
    <w:rsid w:val="00EA7D25"/>
    <w:rsid w:val="00EB0B23"/>
    <w:rsid w:val="00EB1024"/>
    <w:rsid w:val="00EB2BCC"/>
    <w:rsid w:val="00EB2EC3"/>
    <w:rsid w:val="00EB474A"/>
    <w:rsid w:val="00EB7B4A"/>
    <w:rsid w:val="00EC1ECC"/>
    <w:rsid w:val="00EC2ABF"/>
    <w:rsid w:val="00EC5EE8"/>
    <w:rsid w:val="00EC6CE2"/>
    <w:rsid w:val="00EC7456"/>
    <w:rsid w:val="00EC783C"/>
    <w:rsid w:val="00EC7F2A"/>
    <w:rsid w:val="00ED0632"/>
    <w:rsid w:val="00ED1A1C"/>
    <w:rsid w:val="00ED2E98"/>
    <w:rsid w:val="00ED6A79"/>
    <w:rsid w:val="00ED746B"/>
    <w:rsid w:val="00EE02F3"/>
    <w:rsid w:val="00EE20FB"/>
    <w:rsid w:val="00EE214C"/>
    <w:rsid w:val="00EE54D7"/>
    <w:rsid w:val="00EE6056"/>
    <w:rsid w:val="00EF107A"/>
    <w:rsid w:val="00EF13E1"/>
    <w:rsid w:val="00EF261F"/>
    <w:rsid w:val="00EF3000"/>
    <w:rsid w:val="00EF5329"/>
    <w:rsid w:val="00EF5E5B"/>
    <w:rsid w:val="00EF6955"/>
    <w:rsid w:val="00EF6A76"/>
    <w:rsid w:val="00EF6FDD"/>
    <w:rsid w:val="00F0207E"/>
    <w:rsid w:val="00F02407"/>
    <w:rsid w:val="00F031F2"/>
    <w:rsid w:val="00F039F5"/>
    <w:rsid w:val="00F046A1"/>
    <w:rsid w:val="00F06ADA"/>
    <w:rsid w:val="00F11274"/>
    <w:rsid w:val="00F114A5"/>
    <w:rsid w:val="00F114FF"/>
    <w:rsid w:val="00F119E8"/>
    <w:rsid w:val="00F12168"/>
    <w:rsid w:val="00F1387E"/>
    <w:rsid w:val="00F14EAB"/>
    <w:rsid w:val="00F158CB"/>
    <w:rsid w:val="00F15B8C"/>
    <w:rsid w:val="00F16B15"/>
    <w:rsid w:val="00F1786F"/>
    <w:rsid w:val="00F205DB"/>
    <w:rsid w:val="00F20A18"/>
    <w:rsid w:val="00F23FCA"/>
    <w:rsid w:val="00F339FC"/>
    <w:rsid w:val="00F36227"/>
    <w:rsid w:val="00F3640A"/>
    <w:rsid w:val="00F40AE6"/>
    <w:rsid w:val="00F415A7"/>
    <w:rsid w:val="00F42BFD"/>
    <w:rsid w:val="00F44AD3"/>
    <w:rsid w:val="00F45BB5"/>
    <w:rsid w:val="00F4740D"/>
    <w:rsid w:val="00F51449"/>
    <w:rsid w:val="00F51452"/>
    <w:rsid w:val="00F51988"/>
    <w:rsid w:val="00F5219A"/>
    <w:rsid w:val="00F543A9"/>
    <w:rsid w:val="00F559D1"/>
    <w:rsid w:val="00F5653F"/>
    <w:rsid w:val="00F566EF"/>
    <w:rsid w:val="00F57A72"/>
    <w:rsid w:val="00F61044"/>
    <w:rsid w:val="00F61748"/>
    <w:rsid w:val="00F61C45"/>
    <w:rsid w:val="00F61FA1"/>
    <w:rsid w:val="00F61FD3"/>
    <w:rsid w:val="00F63117"/>
    <w:rsid w:val="00F633AB"/>
    <w:rsid w:val="00F643BC"/>
    <w:rsid w:val="00F65AAE"/>
    <w:rsid w:val="00F66BB2"/>
    <w:rsid w:val="00F67207"/>
    <w:rsid w:val="00F677D9"/>
    <w:rsid w:val="00F70B6B"/>
    <w:rsid w:val="00F7111D"/>
    <w:rsid w:val="00F732FD"/>
    <w:rsid w:val="00F739C9"/>
    <w:rsid w:val="00F74576"/>
    <w:rsid w:val="00F76239"/>
    <w:rsid w:val="00F76B8B"/>
    <w:rsid w:val="00F772F0"/>
    <w:rsid w:val="00F779C5"/>
    <w:rsid w:val="00F80D74"/>
    <w:rsid w:val="00F81F36"/>
    <w:rsid w:val="00F8729F"/>
    <w:rsid w:val="00F87771"/>
    <w:rsid w:val="00F90347"/>
    <w:rsid w:val="00F90AAD"/>
    <w:rsid w:val="00F93093"/>
    <w:rsid w:val="00F93FDA"/>
    <w:rsid w:val="00F94428"/>
    <w:rsid w:val="00F946B1"/>
    <w:rsid w:val="00F9680D"/>
    <w:rsid w:val="00F96DE5"/>
    <w:rsid w:val="00F96F61"/>
    <w:rsid w:val="00F97F42"/>
    <w:rsid w:val="00FA5822"/>
    <w:rsid w:val="00FA675A"/>
    <w:rsid w:val="00FA7B95"/>
    <w:rsid w:val="00FB201A"/>
    <w:rsid w:val="00FB32BC"/>
    <w:rsid w:val="00FB662D"/>
    <w:rsid w:val="00FC1020"/>
    <w:rsid w:val="00FC2878"/>
    <w:rsid w:val="00FC5202"/>
    <w:rsid w:val="00FC6FE4"/>
    <w:rsid w:val="00FC70AE"/>
    <w:rsid w:val="00FD07E5"/>
    <w:rsid w:val="00FD0E6A"/>
    <w:rsid w:val="00FD2088"/>
    <w:rsid w:val="00FD3168"/>
    <w:rsid w:val="00FD37BE"/>
    <w:rsid w:val="00FD3975"/>
    <w:rsid w:val="00FD3C11"/>
    <w:rsid w:val="00FD3FBA"/>
    <w:rsid w:val="00FD45E7"/>
    <w:rsid w:val="00FD4D22"/>
    <w:rsid w:val="00FD5EB4"/>
    <w:rsid w:val="00FD6F94"/>
    <w:rsid w:val="00FD7B6C"/>
    <w:rsid w:val="00FE1F77"/>
    <w:rsid w:val="00FE291F"/>
    <w:rsid w:val="00FE32AC"/>
    <w:rsid w:val="00FE64AE"/>
    <w:rsid w:val="00FE7EE3"/>
    <w:rsid w:val="00FF2075"/>
    <w:rsid w:val="00FF34F5"/>
    <w:rsid w:val="00FF36EE"/>
    <w:rsid w:val="00FF41FF"/>
    <w:rsid w:val="00FF55C7"/>
    <w:rsid w:val="00FF6E05"/>
    <w:rsid w:val="00FF7F0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C9161"/>
  <w15:chartTrackingRefBased/>
  <w15:docId w15:val="{38176D4D-0C84-4056-9FD3-E78072404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2BC"/>
    <w:pPr>
      <w:spacing w:line="254" w:lineRule="auto"/>
    </w:pPr>
  </w:style>
  <w:style w:type="paragraph" w:styleId="Heading2">
    <w:name w:val="heading 2"/>
    <w:basedOn w:val="Normal"/>
    <w:link w:val="Heading2Char"/>
    <w:uiPriority w:val="9"/>
    <w:qFormat/>
    <w:rsid w:val="00A02444"/>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32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B32BC"/>
    <w:pPr>
      <w:ind w:left="720"/>
      <w:contextualSpacing/>
    </w:pPr>
  </w:style>
  <w:style w:type="paragraph" w:styleId="Header">
    <w:name w:val="header"/>
    <w:basedOn w:val="Normal"/>
    <w:link w:val="HeaderChar"/>
    <w:uiPriority w:val="99"/>
    <w:unhideWhenUsed/>
    <w:rsid w:val="00FB32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2BC"/>
  </w:style>
  <w:style w:type="paragraph" w:styleId="Footer">
    <w:name w:val="footer"/>
    <w:basedOn w:val="Normal"/>
    <w:link w:val="FooterChar"/>
    <w:uiPriority w:val="99"/>
    <w:unhideWhenUsed/>
    <w:rsid w:val="00FB32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2BC"/>
  </w:style>
  <w:style w:type="paragraph" w:styleId="FootnoteText">
    <w:name w:val="footnote text"/>
    <w:basedOn w:val="Normal"/>
    <w:link w:val="FootnoteTextChar"/>
    <w:uiPriority w:val="99"/>
    <w:unhideWhenUsed/>
    <w:rsid w:val="00FB32BC"/>
    <w:pPr>
      <w:spacing w:after="0" w:line="240" w:lineRule="auto"/>
    </w:pPr>
    <w:rPr>
      <w:sz w:val="20"/>
      <w:szCs w:val="20"/>
    </w:rPr>
  </w:style>
  <w:style w:type="character" w:customStyle="1" w:styleId="FootnoteTextChar">
    <w:name w:val="Footnote Text Char"/>
    <w:basedOn w:val="DefaultParagraphFont"/>
    <w:link w:val="FootnoteText"/>
    <w:uiPriority w:val="99"/>
    <w:rsid w:val="00FB32BC"/>
    <w:rPr>
      <w:sz w:val="20"/>
      <w:szCs w:val="20"/>
    </w:rPr>
  </w:style>
  <w:style w:type="character" w:styleId="FootnoteReference">
    <w:name w:val="footnote reference"/>
    <w:basedOn w:val="DefaultParagraphFont"/>
    <w:uiPriority w:val="99"/>
    <w:semiHidden/>
    <w:unhideWhenUsed/>
    <w:rsid w:val="00FB32BC"/>
    <w:rPr>
      <w:vertAlign w:val="superscript"/>
    </w:rPr>
  </w:style>
  <w:style w:type="paragraph" w:customStyle="1" w:styleId="BodyAA">
    <w:name w:val="Body A A"/>
    <w:uiPriority w:val="99"/>
    <w:rsid w:val="00C42782"/>
    <w:pPr>
      <w:spacing w:line="256" w:lineRule="auto"/>
    </w:pPr>
    <w:rPr>
      <w:rFonts w:ascii="Calibri" w:eastAsia="Arial Unicode MS" w:hAnsi="Calibri" w:cs="Calibri"/>
      <w:color w:val="000000"/>
      <w:u w:color="000000"/>
      <w:lang w:val="en-US" w:eastAsia="en-ZA"/>
    </w:rPr>
  </w:style>
  <w:style w:type="character" w:customStyle="1" w:styleId="Heading2Char">
    <w:name w:val="Heading 2 Char"/>
    <w:basedOn w:val="DefaultParagraphFont"/>
    <w:link w:val="Heading2"/>
    <w:uiPriority w:val="9"/>
    <w:rsid w:val="00A02444"/>
    <w:rPr>
      <w:rFonts w:ascii="Times New Roman" w:eastAsia="Times New Roman" w:hAnsi="Times New Roman" w:cs="Times New Roman"/>
      <w:b/>
      <w:bCs/>
      <w:sz w:val="36"/>
      <w:szCs w:val="36"/>
      <w:lang w:eastAsia="en-ZA"/>
    </w:rPr>
  </w:style>
  <w:style w:type="paragraph" w:customStyle="1" w:styleId="western">
    <w:name w:val="western"/>
    <w:basedOn w:val="Normal"/>
    <w:rsid w:val="00BC1124"/>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Emphasis">
    <w:name w:val="Emphasis"/>
    <w:basedOn w:val="DefaultParagraphFont"/>
    <w:uiPriority w:val="20"/>
    <w:qFormat/>
    <w:rsid w:val="003C0F2F"/>
    <w:rPr>
      <w:i/>
      <w:iCs/>
    </w:rPr>
  </w:style>
  <w:style w:type="character" w:customStyle="1" w:styleId="mc">
    <w:name w:val="mc"/>
    <w:basedOn w:val="DefaultParagraphFont"/>
    <w:rsid w:val="00273855"/>
  </w:style>
  <w:style w:type="character" w:styleId="Hyperlink">
    <w:name w:val="Hyperlink"/>
    <w:basedOn w:val="DefaultParagraphFont"/>
    <w:uiPriority w:val="99"/>
    <w:semiHidden/>
    <w:unhideWhenUsed/>
    <w:rsid w:val="00C64547"/>
    <w:rPr>
      <w:color w:val="0563C1" w:themeColor="hyperlink"/>
      <w:u w:val="single"/>
    </w:rPr>
  </w:style>
  <w:style w:type="paragraph" w:styleId="NormalWeb">
    <w:name w:val="Normal (Web)"/>
    <w:basedOn w:val="Normal"/>
    <w:uiPriority w:val="99"/>
    <w:unhideWhenUsed/>
    <w:rsid w:val="00573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g1">
    <w:name w:val="g1"/>
    <w:basedOn w:val="DefaultParagraphFont"/>
    <w:rsid w:val="007B20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54">
      <w:bodyDiv w:val="1"/>
      <w:marLeft w:val="0"/>
      <w:marRight w:val="0"/>
      <w:marTop w:val="0"/>
      <w:marBottom w:val="0"/>
      <w:divBdr>
        <w:top w:val="none" w:sz="0" w:space="0" w:color="auto"/>
        <w:left w:val="none" w:sz="0" w:space="0" w:color="auto"/>
        <w:bottom w:val="none" w:sz="0" w:space="0" w:color="auto"/>
        <w:right w:val="none" w:sz="0" w:space="0" w:color="auto"/>
      </w:divBdr>
      <w:divsChild>
        <w:div w:id="1567496989">
          <w:marLeft w:val="0"/>
          <w:marRight w:val="0"/>
          <w:marTop w:val="120"/>
          <w:marBottom w:val="0"/>
          <w:divBdr>
            <w:top w:val="none" w:sz="0" w:space="0" w:color="auto"/>
            <w:left w:val="none" w:sz="0" w:space="0" w:color="auto"/>
            <w:bottom w:val="none" w:sz="0" w:space="0" w:color="auto"/>
            <w:right w:val="none" w:sz="0" w:space="0" w:color="auto"/>
          </w:divBdr>
        </w:div>
        <w:div w:id="611329085">
          <w:marLeft w:val="0"/>
          <w:marRight w:val="0"/>
          <w:marTop w:val="240"/>
          <w:marBottom w:val="24"/>
          <w:divBdr>
            <w:top w:val="single" w:sz="8" w:space="2" w:color="808080"/>
            <w:left w:val="none" w:sz="0" w:space="0" w:color="auto"/>
            <w:bottom w:val="none" w:sz="0" w:space="0" w:color="auto"/>
            <w:right w:val="none" w:sz="0" w:space="0" w:color="auto"/>
          </w:divBdr>
        </w:div>
        <w:div w:id="1375158458">
          <w:marLeft w:val="0"/>
          <w:marRight w:val="0"/>
          <w:marTop w:val="120"/>
          <w:marBottom w:val="0"/>
          <w:divBdr>
            <w:top w:val="none" w:sz="0" w:space="0" w:color="auto"/>
            <w:left w:val="none" w:sz="0" w:space="0" w:color="auto"/>
            <w:bottom w:val="none" w:sz="0" w:space="0" w:color="auto"/>
            <w:right w:val="none" w:sz="0" w:space="0" w:color="auto"/>
          </w:divBdr>
        </w:div>
        <w:div w:id="789323905">
          <w:marLeft w:val="0"/>
          <w:marRight w:val="0"/>
          <w:marTop w:val="120"/>
          <w:marBottom w:val="0"/>
          <w:divBdr>
            <w:top w:val="none" w:sz="0" w:space="0" w:color="auto"/>
            <w:left w:val="none" w:sz="0" w:space="0" w:color="auto"/>
            <w:bottom w:val="none" w:sz="0" w:space="0" w:color="auto"/>
            <w:right w:val="none" w:sz="0" w:space="0" w:color="auto"/>
          </w:divBdr>
        </w:div>
      </w:divsChild>
    </w:div>
    <w:div w:id="45154639">
      <w:bodyDiv w:val="1"/>
      <w:marLeft w:val="0"/>
      <w:marRight w:val="0"/>
      <w:marTop w:val="0"/>
      <w:marBottom w:val="0"/>
      <w:divBdr>
        <w:top w:val="none" w:sz="0" w:space="0" w:color="auto"/>
        <w:left w:val="none" w:sz="0" w:space="0" w:color="auto"/>
        <w:bottom w:val="none" w:sz="0" w:space="0" w:color="auto"/>
        <w:right w:val="none" w:sz="0" w:space="0" w:color="auto"/>
      </w:divBdr>
    </w:div>
    <w:div w:id="219295425">
      <w:bodyDiv w:val="1"/>
      <w:marLeft w:val="0"/>
      <w:marRight w:val="0"/>
      <w:marTop w:val="0"/>
      <w:marBottom w:val="0"/>
      <w:divBdr>
        <w:top w:val="none" w:sz="0" w:space="0" w:color="auto"/>
        <w:left w:val="none" w:sz="0" w:space="0" w:color="auto"/>
        <w:bottom w:val="none" w:sz="0" w:space="0" w:color="auto"/>
        <w:right w:val="none" w:sz="0" w:space="0" w:color="auto"/>
      </w:divBdr>
    </w:div>
    <w:div w:id="299502852">
      <w:bodyDiv w:val="1"/>
      <w:marLeft w:val="0"/>
      <w:marRight w:val="0"/>
      <w:marTop w:val="0"/>
      <w:marBottom w:val="0"/>
      <w:divBdr>
        <w:top w:val="none" w:sz="0" w:space="0" w:color="auto"/>
        <w:left w:val="none" w:sz="0" w:space="0" w:color="auto"/>
        <w:bottom w:val="none" w:sz="0" w:space="0" w:color="auto"/>
        <w:right w:val="none" w:sz="0" w:space="0" w:color="auto"/>
      </w:divBdr>
      <w:divsChild>
        <w:div w:id="982584895">
          <w:marLeft w:val="0"/>
          <w:marRight w:val="0"/>
          <w:marTop w:val="120"/>
          <w:marBottom w:val="0"/>
          <w:divBdr>
            <w:top w:val="none" w:sz="0" w:space="0" w:color="auto"/>
            <w:left w:val="none" w:sz="0" w:space="0" w:color="auto"/>
            <w:bottom w:val="none" w:sz="0" w:space="0" w:color="auto"/>
            <w:right w:val="none" w:sz="0" w:space="0" w:color="auto"/>
          </w:divBdr>
        </w:div>
      </w:divsChild>
    </w:div>
    <w:div w:id="728655459">
      <w:bodyDiv w:val="1"/>
      <w:marLeft w:val="0"/>
      <w:marRight w:val="0"/>
      <w:marTop w:val="0"/>
      <w:marBottom w:val="0"/>
      <w:divBdr>
        <w:top w:val="none" w:sz="0" w:space="0" w:color="auto"/>
        <w:left w:val="none" w:sz="0" w:space="0" w:color="auto"/>
        <w:bottom w:val="none" w:sz="0" w:space="0" w:color="auto"/>
        <w:right w:val="none" w:sz="0" w:space="0" w:color="auto"/>
      </w:divBdr>
      <w:divsChild>
        <w:div w:id="1996639327">
          <w:marLeft w:val="0"/>
          <w:marRight w:val="0"/>
          <w:marTop w:val="120"/>
          <w:marBottom w:val="0"/>
          <w:divBdr>
            <w:top w:val="none" w:sz="0" w:space="0" w:color="auto"/>
            <w:left w:val="none" w:sz="0" w:space="0" w:color="auto"/>
            <w:bottom w:val="none" w:sz="0" w:space="0" w:color="auto"/>
            <w:right w:val="none" w:sz="0" w:space="0" w:color="auto"/>
          </w:divBdr>
        </w:div>
        <w:div w:id="2024474455">
          <w:marLeft w:val="0"/>
          <w:marRight w:val="0"/>
          <w:marTop w:val="120"/>
          <w:marBottom w:val="0"/>
          <w:divBdr>
            <w:top w:val="none" w:sz="0" w:space="0" w:color="auto"/>
            <w:left w:val="none" w:sz="0" w:space="0" w:color="auto"/>
            <w:bottom w:val="none" w:sz="0" w:space="0" w:color="auto"/>
            <w:right w:val="none" w:sz="0" w:space="0" w:color="auto"/>
          </w:divBdr>
        </w:div>
      </w:divsChild>
    </w:div>
    <w:div w:id="929583842">
      <w:bodyDiv w:val="1"/>
      <w:marLeft w:val="0"/>
      <w:marRight w:val="0"/>
      <w:marTop w:val="0"/>
      <w:marBottom w:val="0"/>
      <w:divBdr>
        <w:top w:val="none" w:sz="0" w:space="0" w:color="auto"/>
        <w:left w:val="none" w:sz="0" w:space="0" w:color="auto"/>
        <w:bottom w:val="none" w:sz="0" w:space="0" w:color="auto"/>
        <w:right w:val="none" w:sz="0" w:space="0" w:color="auto"/>
      </w:divBdr>
    </w:div>
    <w:div w:id="959334504">
      <w:bodyDiv w:val="1"/>
      <w:marLeft w:val="0"/>
      <w:marRight w:val="0"/>
      <w:marTop w:val="0"/>
      <w:marBottom w:val="0"/>
      <w:divBdr>
        <w:top w:val="none" w:sz="0" w:space="0" w:color="auto"/>
        <w:left w:val="none" w:sz="0" w:space="0" w:color="auto"/>
        <w:bottom w:val="none" w:sz="0" w:space="0" w:color="auto"/>
        <w:right w:val="none" w:sz="0" w:space="0" w:color="auto"/>
      </w:divBdr>
    </w:div>
    <w:div w:id="972903408">
      <w:bodyDiv w:val="1"/>
      <w:marLeft w:val="0"/>
      <w:marRight w:val="0"/>
      <w:marTop w:val="0"/>
      <w:marBottom w:val="0"/>
      <w:divBdr>
        <w:top w:val="none" w:sz="0" w:space="0" w:color="auto"/>
        <w:left w:val="none" w:sz="0" w:space="0" w:color="auto"/>
        <w:bottom w:val="none" w:sz="0" w:space="0" w:color="auto"/>
        <w:right w:val="none" w:sz="0" w:space="0" w:color="auto"/>
      </w:divBdr>
    </w:div>
    <w:div w:id="1221281725">
      <w:bodyDiv w:val="1"/>
      <w:marLeft w:val="0"/>
      <w:marRight w:val="0"/>
      <w:marTop w:val="0"/>
      <w:marBottom w:val="0"/>
      <w:divBdr>
        <w:top w:val="none" w:sz="0" w:space="0" w:color="auto"/>
        <w:left w:val="none" w:sz="0" w:space="0" w:color="auto"/>
        <w:bottom w:val="none" w:sz="0" w:space="0" w:color="auto"/>
        <w:right w:val="none" w:sz="0" w:space="0" w:color="auto"/>
      </w:divBdr>
    </w:div>
    <w:div w:id="1405102891">
      <w:bodyDiv w:val="1"/>
      <w:marLeft w:val="0"/>
      <w:marRight w:val="0"/>
      <w:marTop w:val="0"/>
      <w:marBottom w:val="0"/>
      <w:divBdr>
        <w:top w:val="none" w:sz="0" w:space="0" w:color="auto"/>
        <w:left w:val="none" w:sz="0" w:space="0" w:color="auto"/>
        <w:bottom w:val="none" w:sz="0" w:space="0" w:color="auto"/>
        <w:right w:val="none" w:sz="0" w:space="0" w:color="auto"/>
      </w:divBdr>
      <w:divsChild>
        <w:div w:id="1623422620">
          <w:marLeft w:val="0"/>
          <w:marRight w:val="0"/>
          <w:marTop w:val="120"/>
          <w:marBottom w:val="0"/>
          <w:divBdr>
            <w:top w:val="none" w:sz="0" w:space="0" w:color="auto"/>
            <w:left w:val="none" w:sz="0" w:space="0" w:color="auto"/>
            <w:bottom w:val="none" w:sz="0" w:space="0" w:color="auto"/>
            <w:right w:val="none" w:sz="0" w:space="0" w:color="auto"/>
          </w:divBdr>
        </w:div>
        <w:div w:id="1705983292">
          <w:marLeft w:val="567"/>
          <w:marRight w:val="0"/>
          <w:marTop w:val="120"/>
          <w:marBottom w:val="0"/>
          <w:divBdr>
            <w:top w:val="none" w:sz="0" w:space="0" w:color="auto"/>
            <w:left w:val="none" w:sz="0" w:space="0" w:color="auto"/>
            <w:bottom w:val="none" w:sz="0" w:space="0" w:color="auto"/>
            <w:right w:val="none" w:sz="0" w:space="0" w:color="auto"/>
          </w:divBdr>
        </w:div>
        <w:div w:id="856043262">
          <w:marLeft w:val="0"/>
          <w:marRight w:val="0"/>
          <w:marTop w:val="120"/>
          <w:marBottom w:val="0"/>
          <w:divBdr>
            <w:top w:val="none" w:sz="0" w:space="0" w:color="auto"/>
            <w:left w:val="none" w:sz="0" w:space="0" w:color="auto"/>
            <w:bottom w:val="none" w:sz="0" w:space="0" w:color="auto"/>
            <w:right w:val="none" w:sz="0" w:space="0" w:color="auto"/>
          </w:divBdr>
        </w:div>
      </w:divsChild>
    </w:div>
    <w:div w:id="1647515831">
      <w:bodyDiv w:val="1"/>
      <w:marLeft w:val="0"/>
      <w:marRight w:val="0"/>
      <w:marTop w:val="0"/>
      <w:marBottom w:val="0"/>
      <w:divBdr>
        <w:top w:val="none" w:sz="0" w:space="0" w:color="auto"/>
        <w:left w:val="none" w:sz="0" w:space="0" w:color="auto"/>
        <w:bottom w:val="none" w:sz="0" w:space="0" w:color="auto"/>
        <w:right w:val="none" w:sz="0" w:space="0" w:color="auto"/>
      </w:divBdr>
    </w:div>
    <w:div w:id="1692681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A1028C-D3CD-44EB-B3E8-5A6DBC7964F6}">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3339</Words>
  <Characters>19034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Judge-Johannes Daffue</dc:creator>
  <cp:keywords/>
  <dc:description/>
  <cp:lastModifiedBy>Louis Pohl</cp:lastModifiedBy>
  <cp:revision>2</cp:revision>
  <cp:lastPrinted>2022-06-02T12:08:00Z</cp:lastPrinted>
  <dcterms:created xsi:type="dcterms:W3CDTF">2022-11-14T05:18:00Z</dcterms:created>
  <dcterms:modified xsi:type="dcterms:W3CDTF">2022-11-14T05:18:00Z</dcterms:modified>
</cp:coreProperties>
</file>