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27" w:rsidRDefault="00CF2227" w:rsidP="00CF2227">
      <w:pPr>
        <w:jc w:val="center"/>
        <w:rPr>
          <w:rFonts w:ascii="Arial" w:hAnsi="Arial" w:cs="Arial"/>
          <w:b/>
          <w:u w:val="single"/>
        </w:rPr>
      </w:pPr>
    </w:p>
    <w:p w:rsidR="00CF2227" w:rsidRDefault="00CF2227" w:rsidP="00CF2227">
      <w:pPr>
        <w:jc w:val="center"/>
        <w:rPr>
          <w:rFonts w:ascii="Arial" w:hAnsi="Arial" w:cs="Arial"/>
          <w:b/>
          <w:u w:val="single"/>
        </w:rPr>
      </w:pPr>
      <w:r>
        <w:rPr>
          <w:noProof/>
          <w:lang w:eastAsia="en-ZA"/>
        </w:rPr>
        <w:drawing>
          <wp:anchor distT="0" distB="0" distL="114300" distR="114300" simplePos="0" relativeHeight="251659264" behindDoc="1" locked="0" layoutInCell="1" allowOverlap="1" wp14:anchorId="2660D1EF" wp14:editId="6B629663">
            <wp:simplePos x="0" y="0"/>
            <wp:positionH relativeFrom="column">
              <wp:posOffset>2333625</wp:posOffset>
            </wp:positionH>
            <wp:positionV relativeFrom="paragraph">
              <wp:posOffset>-476250</wp:posOffset>
            </wp:positionV>
            <wp:extent cx="1190625" cy="1162862"/>
            <wp:effectExtent l="0" t="0" r="0" b="0"/>
            <wp:wrapNone/>
            <wp:docPr id="2" name="Picture 2"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6616" cy="1168713"/>
                    </a:xfrm>
                    <a:prstGeom prst="rect">
                      <a:avLst/>
                    </a:prstGeom>
                    <a:noFill/>
                  </pic:spPr>
                </pic:pic>
              </a:graphicData>
            </a:graphic>
            <wp14:sizeRelH relativeFrom="page">
              <wp14:pctWidth>0</wp14:pctWidth>
            </wp14:sizeRelH>
            <wp14:sizeRelV relativeFrom="page">
              <wp14:pctHeight>0</wp14:pctHeight>
            </wp14:sizeRelV>
          </wp:anchor>
        </w:drawing>
      </w:r>
    </w:p>
    <w:p w:rsidR="00CF2227" w:rsidRDefault="00CF2227" w:rsidP="00CF2227">
      <w:pPr>
        <w:jc w:val="center"/>
        <w:rPr>
          <w:rFonts w:ascii="Arial" w:hAnsi="Arial" w:cs="Arial"/>
          <w:b/>
          <w:u w:val="single"/>
        </w:rPr>
      </w:pPr>
    </w:p>
    <w:p w:rsidR="00CF2227" w:rsidRDefault="00CF2227" w:rsidP="00CF2227">
      <w:pPr>
        <w:jc w:val="center"/>
        <w:rPr>
          <w:rFonts w:ascii="Arial" w:hAnsi="Arial" w:cs="Arial"/>
          <w:b/>
          <w:u w:val="single"/>
        </w:rPr>
      </w:pPr>
    </w:p>
    <w:p w:rsidR="00CF2227" w:rsidRPr="006B533F" w:rsidRDefault="00CF2227" w:rsidP="00CF2227">
      <w:pPr>
        <w:jc w:val="center"/>
        <w:rPr>
          <w:rFonts w:ascii="Arial" w:hAnsi="Arial" w:cs="Arial"/>
          <w:b/>
          <w:sz w:val="24"/>
          <w:szCs w:val="24"/>
          <w:u w:val="single"/>
        </w:rPr>
      </w:pPr>
      <w:r w:rsidRPr="006B533F">
        <w:rPr>
          <w:rFonts w:ascii="Arial" w:hAnsi="Arial" w:cs="Arial"/>
          <w:b/>
          <w:sz w:val="24"/>
          <w:szCs w:val="24"/>
          <w:u w:val="single"/>
        </w:rPr>
        <w:t>IN THE HIGH COURT OF SOUTH AFRICA,</w:t>
      </w:r>
    </w:p>
    <w:p w:rsidR="00CF2227" w:rsidRPr="00693FDB" w:rsidRDefault="00CF2227" w:rsidP="00CF2227">
      <w:pPr>
        <w:jc w:val="center"/>
        <w:rPr>
          <w:rFonts w:ascii="Arial" w:hAnsi="Arial" w:cs="Arial"/>
          <w:b/>
          <w:sz w:val="24"/>
          <w:szCs w:val="24"/>
          <w:u w:val="single"/>
        </w:rPr>
      </w:pPr>
      <w:r w:rsidRPr="006B533F">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172"/>
      </w:tblGrid>
      <w:tr w:rsidR="00CF2227" w:rsidTr="00A355E3">
        <w:trPr>
          <w:trHeight w:val="624"/>
        </w:trPr>
        <w:tc>
          <w:tcPr>
            <w:tcW w:w="31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2227" w:rsidRDefault="00CF2227" w:rsidP="00A355E3">
            <w:pPr>
              <w:rPr>
                <w:rFonts w:ascii="Arial" w:eastAsia="Times New Roman" w:hAnsi="Arial" w:cs="Arial"/>
                <w:b/>
                <w:sz w:val="16"/>
                <w:szCs w:val="16"/>
                <w:lang w:eastAsia="en-GB"/>
              </w:rPr>
            </w:pPr>
            <w:r>
              <w:rPr>
                <w:rFonts w:ascii="Arial" w:hAnsi="Arial" w:cs="Arial"/>
                <w:b/>
                <w:sz w:val="16"/>
                <w:szCs w:val="16"/>
              </w:rPr>
              <w:t>Reportable:                              YES/NO</w:t>
            </w:r>
          </w:p>
          <w:p w:rsidR="00CF2227" w:rsidRDefault="00CF2227" w:rsidP="00A355E3">
            <w:pPr>
              <w:rPr>
                <w:rFonts w:ascii="Arial" w:hAnsi="Arial" w:cs="Arial"/>
                <w:b/>
                <w:sz w:val="16"/>
                <w:szCs w:val="16"/>
              </w:rPr>
            </w:pPr>
            <w:r>
              <w:rPr>
                <w:rFonts w:ascii="Arial" w:hAnsi="Arial" w:cs="Arial"/>
                <w:b/>
                <w:sz w:val="16"/>
                <w:szCs w:val="16"/>
              </w:rPr>
              <w:t>Of Interest to other Judges:   YES/NO</w:t>
            </w:r>
          </w:p>
          <w:p w:rsidR="00CF2227" w:rsidRDefault="00CF2227" w:rsidP="00A355E3">
            <w:pPr>
              <w:rPr>
                <w:rFonts w:ascii="Arial" w:eastAsia="Times New Roman" w:hAnsi="Arial" w:cs="Arial"/>
                <w:b/>
                <w:sz w:val="16"/>
                <w:szCs w:val="16"/>
                <w:u w:val="single"/>
                <w:lang w:eastAsia="en-GB"/>
              </w:rPr>
            </w:pPr>
            <w:r>
              <w:rPr>
                <w:rFonts w:ascii="Arial" w:hAnsi="Arial" w:cs="Arial"/>
                <w:b/>
                <w:sz w:val="16"/>
                <w:szCs w:val="16"/>
              </w:rPr>
              <w:t>Circulate to Magistrates:        YES/NO</w:t>
            </w:r>
          </w:p>
        </w:tc>
      </w:tr>
    </w:tbl>
    <w:p w:rsidR="00CF2227" w:rsidRPr="006B533F" w:rsidRDefault="00CF2227" w:rsidP="00CF2227">
      <w:pPr>
        <w:spacing w:after="0" w:line="240" w:lineRule="auto"/>
        <w:jc w:val="both"/>
        <w:rPr>
          <w:rFonts w:ascii="Arial" w:hAnsi="Arial" w:cs="Arial"/>
          <w:b/>
          <w:sz w:val="28"/>
          <w:szCs w:val="28"/>
        </w:rPr>
      </w:pPr>
      <w:r w:rsidRPr="001D52C9">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p>
    <w:p w:rsidR="00CF2227" w:rsidRDefault="00CF2227" w:rsidP="00CF2227">
      <w:pPr>
        <w:spacing w:after="0" w:line="240" w:lineRule="auto"/>
        <w:jc w:val="right"/>
        <w:rPr>
          <w:rFonts w:ascii="Arial" w:hAnsi="Arial" w:cs="Arial"/>
          <w:sz w:val="28"/>
          <w:szCs w:val="28"/>
        </w:rPr>
      </w:pPr>
    </w:p>
    <w:p w:rsidR="00CF2227" w:rsidRPr="004C5FCD" w:rsidRDefault="00CF2227" w:rsidP="00CF2227">
      <w:pPr>
        <w:spacing w:after="0" w:line="240" w:lineRule="auto"/>
        <w:jc w:val="right"/>
        <w:rPr>
          <w:rFonts w:ascii="Arial" w:hAnsi="Arial" w:cs="Arial"/>
          <w:sz w:val="24"/>
          <w:szCs w:val="24"/>
        </w:rPr>
      </w:pPr>
      <w:r w:rsidRPr="004C5FCD">
        <w:rPr>
          <w:rFonts w:ascii="Arial" w:hAnsi="Arial" w:cs="Arial"/>
          <w:sz w:val="24"/>
          <w:szCs w:val="24"/>
        </w:rPr>
        <w:t xml:space="preserve">Case number:   </w:t>
      </w:r>
      <w:r w:rsidR="0064732C">
        <w:rPr>
          <w:rFonts w:ascii="Arial" w:eastAsia="Times New Roman" w:hAnsi="Arial" w:cs="Arial"/>
          <w:sz w:val="24"/>
          <w:szCs w:val="24"/>
          <w:lang w:eastAsia="en-GB"/>
        </w:rPr>
        <w:t>543/2020</w:t>
      </w:r>
    </w:p>
    <w:p w:rsidR="00CF2227" w:rsidRPr="004C5FCD" w:rsidRDefault="00CF2227" w:rsidP="00CF2227">
      <w:pPr>
        <w:spacing w:after="0" w:line="240" w:lineRule="auto"/>
        <w:jc w:val="both"/>
        <w:rPr>
          <w:rFonts w:ascii="Arial" w:hAnsi="Arial" w:cs="Arial"/>
          <w:sz w:val="24"/>
          <w:szCs w:val="24"/>
        </w:rPr>
      </w:pPr>
    </w:p>
    <w:p w:rsidR="00CF2227" w:rsidRPr="004C5FCD" w:rsidRDefault="00CF2227" w:rsidP="00CF2227">
      <w:pPr>
        <w:spacing w:after="0" w:line="240" w:lineRule="auto"/>
        <w:jc w:val="both"/>
        <w:rPr>
          <w:rFonts w:ascii="Arial" w:hAnsi="Arial" w:cs="Arial"/>
          <w:sz w:val="24"/>
          <w:szCs w:val="24"/>
        </w:rPr>
      </w:pPr>
      <w:r w:rsidRPr="004C5FCD">
        <w:rPr>
          <w:rFonts w:ascii="Arial" w:hAnsi="Arial" w:cs="Arial"/>
          <w:sz w:val="24"/>
          <w:szCs w:val="24"/>
        </w:rPr>
        <w:t xml:space="preserve">In the matter between: </w:t>
      </w:r>
    </w:p>
    <w:p w:rsidR="00CF2227" w:rsidRPr="004C5FCD" w:rsidRDefault="00CF2227" w:rsidP="00CF2227">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rsidR="00CF2227" w:rsidRPr="00BA134C" w:rsidRDefault="0064732C" w:rsidP="0022130E">
      <w:pPr>
        <w:tabs>
          <w:tab w:val="right" w:pos="9180"/>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MARAMBA NYASHA DORCAS</w:t>
      </w:r>
      <w:r w:rsidR="00867D2D" w:rsidRPr="004C5FCD">
        <w:rPr>
          <w:rFonts w:ascii="Arial" w:eastAsia="Times New Roman" w:hAnsi="Arial" w:cs="Arial"/>
          <w:b/>
          <w:sz w:val="24"/>
          <w:szCs w:val="24"/>
          <w:lang w:eastAsia="en-GB"/>
        </w:rPr>
        <w:t xml:space="preserve">                                        </w:t>
      </w:r>
      <w:r w:rsidR="004C5FCD">
        <w:rPr>
          <w:rFonts w:ascii="Arial" w:eastAsia="Times New Roman" w:hAnsi="Arial" w:cs="Arial"/>
          <w:b/>
          <w:sz w:val="24"/>
          <w:szCs w:val="24"/>
          <w:lang w:eastAsia="en-GB"/>
        </w:rPr>
        <w:tab/>
      </w:r>
      <w:r w:rsidR="00867D2D" w:rsidRPr="004C5FCD">
        <w:rPr>
          <w:rFonts w:ascii="Arial" w:eastAsia="Times New Roman" w:hAnsi="Arial" w:cs="Arial"/>
          <w:b/>
          <w:sz w:val="24"/>
          <w:szCs w:val="24"/>
          <w:lang w:eastAsia="en-GB"/>
        </w:rPr>
        <w:t xml:space="preserve"> </w:t>
      </w:r>
      <w:r w:rsidR="00DB7CBA">
        <w:rPr>
          <w:rFonts w:ascii="Arial" w:eastAsia="Times New Roman" w:hAnsi="Arial" w:cs="Arial"/>
          <w:sz w:val="24"/>
          <w:szCs w:val="24"/>
          <w:lang w:eastAsia="en-GB"/>
        </w:rPr>
        <w:t>Plaintiff</w:t>
      </w:r>
    </w:p>
    <w:p w:rsidR="00FA6C3E" w:rsidRPr="004C5FCD" w:rsidRDefault="00FA6C3E" w:rsidP="00CF2227">
      <w:pPr>
        <w:tabs>
          <w:tab w:val="right" w:pos="8306"/>
        </w:tabs>
        <w:spacing w:after="0" w:line="360" w:lineRule="auto"/>
        <w:jc w:val="both"/>
        <w:rPr>
          <w:rFonts w:ascii="Arial" w:eastAsia="Times New Roman" w:hAnsi="Arial" w:cs="Arial"/>
          <w:sz w:val="24"/>
          <w:szCs w:val="24"/>
          <w:lang w:eastAsia="en-GB"/>
        </w:rPr>
      </w:pPr>
    </w:p>
    <w:p w:rsidR="00CF2227" w:rsidRPr="004C5FCD" w:rsidRDefault="00CF2227" w:rsidP="00CF2227">
      <w:pPr>
        <w:tabs>
          <w:tab w:val="right" w:pos="8306"/>
        </w:tabs>
        <w:spacing w:after="0" w:line="360" w:lineRule="auto"/>
        <w:jc w:val="both"/>
        <w:rPr>
          <w:rFonts w:ascii="Arial" w:eastAsia="Times New Roman" w:hAnsi="Arial" w:cs="Arial"/>
          <w:sz w:val="24"/>
          <w:szCs w:val="24"/>
          <w:lang w:eastAsia="en-GB"/>
        </w:rPr>
      </w:pPr>
      <w:r w:rsidRPr="004C5FCD">
        <w:rPr>
          <w:rFonts w:ascii="Arial" w:eastAsia="Times New Roman" w:hAnsi="Arial" w:cs="Arial"/>
          <w:sz w:val="24"/>
          <w:szCs w:val="24"/>
          <w:lang w:eastAsia="en-GB"/>
        </w:rPr>
        <w:t>and</w:t>
      </w:r>
    </w:p>
    <w:p w:rsidR="00CD4E18" w:rsidRPr="004C5FCD" w:rsidRDefault="00CD4E18" w:rsidP="00CF2227">
      <w:pPr>
        <w:tabs>
          <w:tab w:val="right" w:pos="9180"/>
        </w:tabs>
        <w:spacing w:after="0" w:line="360" w:lineRule="auto"/>
        <w:jc w:val="both"/>
        <w:rPr>
          <w:rFonts w:ascii="Arial" w:eastAsia="Times New Roman" w:hAnsi="Arial" w:cs="Arial"/>
          <w:sz w:val="24"/>
          <w:szCs w:val="24"/>
          <w:lang w:eastAsia="en-GB"/>
        </w:rPr>
      </w:pPr>
    </w:p>
    <w:p w:rsidR="0022130E" w:rsidRDefault="0064732C" w:rsidP="0022130E">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ROAD ACCIDENT FUND</w:t>
      </w:r>
      <w:r w:rsidR="00BA134C">
        <w:rPr>
          <w:rFonts w:ascii="Arial" w:eastAsia="Times New Roman" w:hAnsi="Arial" w:cs="Arial"/>
          <w:sz w:val="24"/>
          <w:szCs w:val="24"/>
          <w:lang w:eastAsia="en-GB"/>
        </w:rPr>
        <w:tab/>
      </w:r>
      <w:r w:rsidR="00DB7CBA">
        <w:rPr>
          <w:rFonts w:ascii="Arial" w:eastAsia="Times New Roman" w:hAnsi="Arial" w:cs="Arial"/>
          <w:sz w:val="24"/>
          <w:szCs w:val="24"/>
          <w:lang w:eastAsia="en-GB"/>
        </w:rPr>
        <w:t>Defendant</w:t>
      </w:r>
    </w:p>
    <w:p w:rsidR="00CF2227" w:rsidRPr="004C5FCD" w:rsidRDefault="00CF2227" w:rsidP="00CF2227">
      <w:pPr>
        <w:pBdr>
          <w:bottom w:val="single" w:sz="12" w:space="1" w:color="auto"/>
        </w:pBdr>
        <w:spacing w:after="0" w:line="240" w:lineRule="auto"/>
        <w:jc w:val="both"/>
        <w:rPr>
          <w:rFonts w:ascii="Arial" w:hAnsi="Arial" w:cs="Arial"/>
          <w:b/>
          <w:sz w:val="24"/>
          <w:szCs w:val="24"/>
        </w:rPr>
      </w:pPr>
      <w:r w:rsidRPr="004C5FCD">
        <w:rPr>
          <w:rFonts w:ascii="Arial" w:hAnsi="Arial" w:cs="Arial"/>
          <w:b/>
          <w:sz w:val="24"/>
          <w:szCs w:val="24"/>
        </w:rPr>
        <w:tab/>
      </w:r>
      <w:r w:rsidRPr="004C5FCD">
        <w:rPr>
          <w:rFonts w:ascii="Arial" w:hAnsi="Arial" w:cs="Arial"/>
          <w:b/>
          <w:sz w:val="24"/>
          <w:szCs w:val="24"/>
        </w:rPr>
        <w:tab/>
      </w:r>
    </w:p>
    <w:p w:rsidR="00CF2227" w:rsidRPr="004C5FCD" w:rsidRDefault="00CF2227" w:rsidP="00CF2227">
      <w:pPr>
        <w:spacing w:after="0" w:line="240" w:lineRule="auto"/>
        <w:contextualSpacing/>
        <w:jc w:val="both"/>
        <w:rPr>
          <w:rFonts w:ascii="Arial" w:hAnsi="Arial" w:cs="Arial"/>
          <w:b/>
          <w:sz w:val="24"/>
          <w:szCs w:val="24"/>
          <w:u w:val="single"/>
          <w:lang w:val="nb-NO"/>
        </w:rPr>
      </w:pPr>
    </w:p>
    <w:p w:rsidR="00CF2227" w:rsidRPr="004C5FCD" w:rsidRDefault="00CF2227" w:rsidP="00CF2227">
      <w:pPr>
        <w:spacing w:after="0" w:line="240" w:lineRule="auto"/>
        <w:contextualSpacing/>
        <w:jc w:val="both"/>
        <w:rPr>
          <w:rFonts w:ascii="Arial" w:hAnsi="Arial" w:cs="Arial"/>
          <w:sz w:val="24"/>
          <w:szCs w:val="24"/>
          <w:u w:val="single"/>
        </w:rPr>
      </w:pPr>
      <w:r w:rsidRPr="004C5FCD">
        <w:rPr>
          <w:rFonts w:ascii="Arial" w:hAnsi="Arial" w:cs="Arial"/>
          <w:b/>
          <w:sz w:val="24"/>
          <w:szCs w:val="24"/>
          <w:u w:val="single"/>
        </w:rPr>
        <w:t>HEARD ON:</w:t>
      </w:r>
      <w:r w:rsidR="0022130E" w:rsidRPr="004C5FCD">
        <w:rPr>
          <w:rFonts w:ascii="Arial" w:hAnsi="Arial" w:cs="Arial"/>
          <w:sz w:val="24"/>
          <w:szCs w:val="24"/>
        </w:rPr>
        <w:tab/>
      </w:r>
      <w:r w:rsidR="0022130E" w:rsidRPr="004C5FCD">
        <w:rPr>
          <w:rFonts w:ascii="Arial" w:hAnsi="Arial" w:cs="Arial"/>
          <w:sz w:val="24"/>
          <w:szCs w:val="24"/>
        </w:rPr>
        <w:tab/>
        <w:t xml:space="preserve"> </w:t>
      </w:r>
      <w:r w:rsidR="004C5FCD">
        <w:rPr>
          <w:rFonts w:ascii="Arial" w:hAnsi="Arial" w:cs="Arial"/>
          <w:sz w:val="24"/>
          <w:szCs w:val="24"/>
        </w:rPr>
        <w:tab/>
      </w:r>
      <w:r w:rsidR="0064732C">
        <w:rPr>
          <w:rFonts w:ascii="Arial" w:hAnsi="Arial" w:cs="Arial"/>
          <w:sz w:val="24"/>
          <w:szCs w:val="24"/>
        </w:rPr>
        <w:t>16 AUGUST</w:t>
      </w:r>
      <w:r w:rsidR="000F2C14">
        <w:rPr>
          <w:rFonts w:ascii="Arial" w:hAnsi="Arial" w:cs="Arial"/>
          <w:sz w:val="24"/>
          <w:szCs w:val="24"/>
        </w:rPr>
        <w:t xml:space="preserve"> </w:t>
      </w:r>
      <w:r w:rsidR="0022130E" w:rsidRPr="004C5FCD">
        <w:rPr>
          <w:rFonts w:ascii="Arial" w:hAnsi="Arial" w:cs="Arial"/>
          <w:sz w:val="24"/>
          <w:szCs w:val="24"/>
        </w:rPr>
        <w:t>2022</w:t>
      </w:r>
    </w:p>
    <w:p w:rsidR="00CF2227" w:rsidRPr="004C5FCD" w:rsidRDefault="00CF2227" w:rsidP="00CF2227">
      <w:pPr>
        <w:pBdr>
          <w:bottom w:val="single" w:sz="6" w:space="1" w:color="auto"/>
        </w:pBdr>
        <w:spacing w:after="0" w:line="240" w:lineRule="auto"/>
        <w:contextualSpacing/>
        <w:jc w:val="both"/>
        <w:rPr>
          <w:rFonts w:ascii="Arial" w:hAnsi="Arial" w:cs="Arial"/>
          <w:b/>
          <w:sz w:val="24"/>
          <w:szCs w:val="24"/>
        </w:rPr>
      </w:pPr>
    </w:p>
    <w:p w:rsidR="00CF2227" w:rsidRPr="004C5FCD" w:rsidRDefault="00CF2227" w:rsidP="00CF2227">
      <w:pPr>
        <w:spacing w:after="0" w:line="240" w:lineRule="auto"/>
        <w:contextualSpacing/>
        <w:jc w:val="both"/>
        <w:rPr>
          <w:rFonts w:ascii="Arial" w:hAnsi="Arial" w:cs="Arial"/>
          <w:b/>
          <w:sz w:val="24"/>
          <w:szCs w:val="24"/>
        </w:rPr>
      </w:pPr>
    </w:p>
    <w:p w:rsidR="00CF2227" w:rsidRPr="004C5FCD" w:rsidRDefault="00CF2227" w:rsidP="00CF2227">
      <w:pPr>
        <w:spacing w:after="0" w:line="240" w:lineRule="auto"/>
        <w:contextualSpacing/>
        <w:jc w:val="both"/>
        <w:rPr>
          <w:rFonts w:ascii="Arial" w:hAnsi="Arial" w:cs="Arial"/>
          <w:sz w:val="24"/>
          <w:szCs w:val="24"/>
          <w:u w:val="single"/>
        </w:rPr>
      </w:pPr>
      <w:r w:rsidRPr="004C5FCD">
        <w:rPr>
          <w:rFonts w:ascii="Arial" w:hAnsi="Arial" w:cs="Arial"/>
          <w:b/>
          <w:sz w:val="24"/>
          <w:szCs w:val="24"/>
          <w:u w:val="single"/>
        </w:rPr>
        <w:t>CORAM:</w:t>
      </w:r>
      <w:r w:rsidRPr="004C5FCD">
        <w:rPr>
          <w:rFonts w:ascii="Arial" w:hAnsi="Arial" w:cs="Arial"/>
          <w:b/>
          <w:sz w:val="24"/>
          <w:szCs w:val="24"/>
        </w:rPr>
        <w:tab/>
      </w:r>
      <w:r w:rsidRPr="004C5FCD">
        <w:rPr>
          <w:rFonts w:ascii="Arial" w:hAnsi="Arial" w:cs="Arial"/>
          <w:b/>
          <w:sz w:val="24"/>
          <w:szCs w:val="24"/>
        </w:rPr>
        <w:tab/>
      </w:r>
      <w:r w:rsidRPr="004C5FCD">
        <w:rPr>
          <w:rFonts w:ascii="Arial" w:hAnsi="Arial" w:cs="Arial"/>
          <w:sz w:val="24"/>
          <w:szCs w:val="24"/>
        </w:rPr>
        <w:tab/>
      </w:r>
      <w:r w:rsidRPr="004C5FCD">
        <w:rPr>
          <w:rFonts w:ascii="Arial" w:eastAsia="Times New Roman" w:hAnsi="Arial" w:cs="Arial"/>
          <w:sz w:val="24"/>
          <w:szCs w:val="24"/>
          <w:lang w:eastAsia="en-GB"/>
        </w:rPr>
        <w:t>MATHEBULA, J</w:t>
      </w:r>
    </w:p>
    <w:p w:rsidR="00CF2227" w:rsidRPr="004C5FCD" w:rsidRDefault="00CF2227" w:rsidP="00CF2227">
      <w:pPr>
        <w:pBdr>
          <w:bottom w:val="single" w:sz="6" w:space="1" w:color="auto"/>
        </w:pBdr>
        <w:spacing w:after="0" w:line="240" w:lineRule="auto"/>
        <w:contextualSpacing/>
        <w:jc w:val="both"/>
        <w:rPr>
          <w:rFonts w:ascii="Arial" w:hAnsi="Arial" w:cs="Arial"/>
          <w:b/>
          <w:sz w:val="24"/>
          <w:szCs w:val="24"/>
        </w:rPr>
      </w:pPr>
    </w:p>
    <w:p w:rsidR="00CF2227" w:rsidRPr="004C5FCD" w:rsidRDefault="00CF2227" w:rsidP="00CF2227">
      <w:pPr>
        <w:spacing w:after="0" w:line="240" w:lineRule="auto"/>
        <w:contextualSpacing/>
        <w:jc w:val="both"/>
        <w:rPr>
          <w:rFonts w:ascii="Arial" w:hAnsi="Arial" w:cs="Arial"/>
          <w:b/>
          <w:sz w:val="24"/>
          <w:szCs w:val="24"/>
        </w:rPr>
      </w:pPr>
    </w:p>
    <w:p w:rsidR="00CF2227" w:rsidRPr="004C5FCD" w:rsidRDefault="00CF2227" w:rsidP="00CF2227">
      <w:pPr>
        <w:tabs>
          <w:tab w:val="left" w:pos="2940"/>
        </w:tabs>
        <w:spacing w:after="0" w:line="240" w:lineRule="auto"/>
        <w:ind w:left="2880" w:hanging="2880"/>
        <w:contextualSpacing/>
        <w:jc w:val="both"/>
        <w:rPr>
          <w:rFonts w:ascii="Arial" w:hAnsi="Arial" w:cs="Arial"/>
          <w:sz w:val="24"/>
          <w:szCs w:val="24"/>
          <w:u w:val="single"/>
        </w:rPr>
      </w:pPr>
      <w:r w:rsidRPr="004C5FCD">
        <w:rPr>
          <w:rFonts w:ascii="Arial" w:hAnsi="Arial" w:cs="Arial"/>
          <w:b/>
          <w:sz w:val="24"/>
          <w:szCs w:val="24"/>
          <w:u w:val="single"/>
        </w:rPr>
        <w:t>DELIVERED ON:</w:t>
      </w:r>
      <w:r w:rsidR="00345430" w:rsidRPr="004C5FCD">
        <w:rPr>
          <w:rFonts w:ascii="Arial" w:hAnsi="Arial" w:cs="Arial"/>
          <w:sz w:val="24"/>
          <w:szCs w:val="24"/>
        </w:rPr>
        <w:tab/>
        <w:t>The judgment was handed down electronically by circulation to the parties’ legal representatives by</w:t>
      </w:r>
      <w:r w:rsidR="00490C25" w:rsidRPr="004C5FCD">
        <w:rPr>
          <w:rFonts w:ascii="Arial" w:hAnsi="Arial" w:cs="Arial"/>
          <w:sz w:val="24"/>
          <w:szCs w:val="24"/>
        </w:rPr>
        <w:t xml:space="preserve"> email and </w:t>
      </w:r>
      <w:r w:rsidR="000F2C14">
        <w:rPr>
          <w:rFonts w:ascii="Arial" w:hAnsi="Arial" w:cs="Arial"/>
          <w:sz w:val="24"/>
          <w:szCs w:val="24"/>
        </w:rPr>
        <w:t>release to SAFLII on</w:t>
      </w:r>
      <w:r w:rsidR="00DC7E7A">
        <w:rPr>
          <w:rFonts w:ascii="Arial" w:hAnsi="Arial" w:cs="Arial"/>
          <w:sz w:val="24"/>
          <w:szCs w:val="24"/>
        </w:rPr>
        <w:t xml:space="preserve"> 05 DECEMBER</w:t>
      </w:r>
      <w:r w:rsidR="00490C25" w:rsidRPr="004C5FCD">
        <w:rPr>
          <w:rFonts w:ascii="Arial" w:hAnsi="Arial" w:cs="Arial"/>
          <w:sz w:val="24"/>
          <w:szCs w:val="24"/>
        </w:rPr>
        <w:t xml:space="preserve"> 2022</w:t>
      </w:r>
      <w:r w:rsidR="00345430" w:rsidRPr="004C5FCD">
        <w:rPr>
          <w:rFonts w:ascii="Arial" w:hAnsi="Arial" w:cs="Arial"/>
          <w:sz w:val="24"/>
          <w:szCs w:val="24"/>
        </w:rPr>
        <w:t xml:space="preserve">. The date and time for hand-down </w:t>
      </w:r>
      <w:r w:rsidR="00B37E61" w:rsidRPr="004C5FCD">
        <w:rPr>
          <w:rFonts w:ascii="Arial" w:hAnsi="Arial" w:cs="Arial"/>
          <w:sz w:val="24"/>
          <w:szCs w:val="24"/>
        </w:rPr>
        <w:t xml:space="preserve">is deemed to be </w:t>
      </w:r>
      <w:r w:rsidR="00DC7E7A">
        <w:rPr>
          <w:rFonts w:ascii="Arial" w:hAnsi="Arial" w:cs="Arial"/>
          <w:sz w:val="24"/>
          <w:szCs w:val="24"/>
        </w:rPr>
        <w:t>05 DECE</w:t>
      </w:r>
      <w:r w:rsidR="0064732C">
        <w:rPr>
          <w:rFonts w:ascii="Arial" w:hAnsi="Arial" w:cs="Arial"/>
          <w:sz w:val="24"/>
          <w:szCs w:val="24"/>
        </w:rPr>
        <w:t xml:space="preserve">MBER </w:t>
      </w:r>
      <w:r w:rsidR="005D6843">
        <w:rPr>
          <w:rFonts w:ascii="Arial" w:hAnsi="Arial" w:cs="Arial"/>
          <w:sz w:val="24"/>
          <w:szCs w:val="24"/>
        </w:rPr>
        <w:t>2022 at 13</w:t>
      </w:r>
      <w:r w:rsidR="00DC7E7A">
        <w:rPr>
          <w:rFonts w:ascii="Arial" w:hAnsi="Arial" w:cs="Arial"/>
          <w:sz w:val="24"/>
          <w:szCs w:val="24"/>
        </w:rPr>
        <w:t>H00</w:t>
      </w:r>
      <w:r w:rsidR="00345430" w:rsidRPr="004C5FCD">
        <w:rPr>
          <w:rFonts w:ascii="Arial" w:hAnsi="Arial" w:cs="Arial"/>
          <w:sz w:val="24"/>
          <w:szCs w:val="24"/>
        </w:rPr>
        <w:t>.</w:t>
      </w:r>
    </w:p>
    <w:p w:rsidR="00CF2227" w:rsidRPr="004C5FCD" w:rsidRDefault="00CF2227" w:rsidP="00CF2227">
      <w:pPr>
        <w:pBdr>
          <w:bottom w:val="single" w:sz="12" w:space="1" w:color="auto"/>
        </w:pBdr>
        <w:tabs>
          <w:tab w:val="left" w:pos="2940"/>
        </w:tabs>
        <w:spacing w:after="0" w:line="240" w:lineRule="auto"/>
        <w:contextualSpacing/>
        <w:jc w:val="both"/>
        <w:rPr>
          <w:rFonts w:ascii="Arial" w:hAnsi="Arial" w:cs="Arial"/>
          <w:b/>
          <w:sz w:val="24"/>
          <w:szCs w:val="24"/>
        </w:rPr>
      </w:pPr>
    </w:p>
    <w:p w:rsidR="00115DBA" w:rsidRDefault="00115DBA" w:rsidP="00115DBA">
      <w:pPr>
        <w:tabs>
          <w:tab w:val="right" w:pos="9180"/>
        </w:tabs>
        <w:spacing w:after="0" w:line="360" w:lineRule="auto"/>
        <w:jc w:val="both"/>
        <w:rPr>
          <w:rFonts w:ascii="Arial" w:eastAsia="Calibri" w:hAnsi="Arial" w:cs="Arial"/>
          <w:sz w:val="24"/>
          <w:szCs w:val="24"/>
        </w:rPr>
      </w:pPr>
    </w:p>
    <w:p w:rsidR="00CF2227" w:rsidRPr="000D3BA2" w:rsidRDefault="00CF2227" w:rsidP="00BA500C">
      <w:pPr>
        <w:tabs>
          <w:tab w:val="right" w:pos="9180"/>
        </w:tabs>
        <w:spacing w:after="0" w:line="360" w:lineRule="auto"/>
        <w:ind w:left="851" w:hanging="851"/>
        <w:jc w:val="both"/>
        <w:rPr>
          <w:rFonts w:ascii="Arial" w:eastAsia="Calibri" w:hAnsi="Arial" w:cs="Arial"/>
          <w:sz w:val="20"/>
          <w:szCs w:val="20"/>
        </w:rPr>
      </w:pPr>
      <w:r w:rsidRPr="004C5FCD">
        <w:rPr>
          <w:rFonts w:ascii="Arial" w:eastAsia="Calibri" w:hAnsi="Arial" w:cs="Arial"/>
          <w:sz w:val="24"/>
          <w:szCs w:val="24"/>
        </w:rPr>
        <w:t>[1]</w:t>
      </w:r>
      <w:r w:rsidRPr="004C5FCD">
        <w:rPr>
          <w:rFonts w:ascii="Arial" w:eastAsia="Calibri" w:hAnsi="Arial" w:cs="Arial"/>
          <w:sz w:val="24"/>
          <w:szCs w:val="24"/>
        </w:rPr>
        <w:tab/>
      </w:r>
      <w:r w:rsidR="0064732C">
        <w:rPr>
          <w:rFonts w:ascii="Arial" w:eastAsia="Calibri" w:hAnsi="Arial" w:cs="Arial"/>
          <w:sz w:val="24"/>
          <w:szCs w:val="24"/>
        </w:rPr>
        <w:t xml:space="preserve">In this matter the plaintiff sustained serious bodily injuries in a motor vehicle collision on 7 August 2017. As a result, the plaintiff instituted a claim for damages under different headings. A substantial part of the </w:t>
      </w:r>
      <w:r w:rsidR="00FD2B26">
        <w:rPr>
          <w:rFonts w:ascii="Arial" w:eastAsia="Calibri" w:hAnsi="Arial" w:cs="Arial"/>
          <w:sz w:val="24"/>
          <w:szCs w:val="24"/>
        </w:rPr>
        <w:t xml:space="preserve">claim was settled before my brother </w:t>
      </w:r>
      <w:r w:rsidR="00594F3A">
        <w:rPr>
          <w:rFonts w:ascii="Arial" w:eastAsia="Calibri" w:hAnsi="Arial" w:cs="Arial"/>
          <w:sz w:val="24"/>
          <w:szCs w:val="24"/>
        </w:rPr>
        <w:t xml:space="preserve">Loubser </w:t>
      </w:r>
      <w:r w:rsidR="00FD2B26">
        <w:rPr>
          <w:rFonts w:ascii="Arial" w:eastAsia="Calibri" w:hAnsi="Arial" w:cs="Arial"/>
          <w:sz w:val="24"/>
          <w:szCs w:val="24"/>
        </w:rPr>
        <w:t>on 4 May 2022. The only issue for determination is the value of the plaintiff’s claim for future loss of earnings and earning capacity. I pause to mentio</w:t>
      </w:r>
      <w:r w:rsidR="00594F3A">
        <w:rPr>
          <w:rFonts w:ascii="Arial" w:eastAsia="Calibri" w:hAnsi="Arial" w:cs="Arial"/>
          <w:sz w:val="24"/>
          <w:szCs w:val="24"/>
        </w:rPr>
        <w:t xml:space="preserve">n that the defendant has </w:t>
      </w:r>
      <w:r w:rsidR="00FD2B26">
        <w:rPr>
          <w:rFonts w:ascii="Arial" w:eastAsia="Calibri" w:hAnsi="Arial" w:cs="Arial"/>
          <w:sz w:val="24"/>
          <w:szCs w:val="24"/>
        </w:rPr>
        <w:t>made an interim payment</w:t>
      </w:r>
      <w:r w:rsidR="009801DE">
        <w:rPr>
          <w:rFonts w:ascii="Arial" w:eastAsia="Calibri" w:hAnsi="Arial" w:cs="Arial"/>
          <w:sz w:val="24"/>
          <w:szCs w:val="24"/>
        </w:rPr>
        <w:t xml:space="preserve"> under this heading</w:t>
      </w:r>
      <w:r w:rsidR="00FD2B26">
        <w:rPr>
          <w:rFonts w:ascii="Arial" w:eastAsia="Calibri" w:hAnsi="Arial" w:cs="Arial"/>
          <w:sz w:val="24"/>
          <w:szCs w:val="24"/>
        </w:rPr>
        <w:t xml:space="preserve"> which must be taken into consideration in the final calculation of the appropriate award. Agreeing to pay in this regard is an </w:t>
      </w:r>
      <w:r w:rsidR="00594F3A">
        <w:rPr>
          <w:rFonts w:ascii="Arial" w:eastAsia="Calibri" w:hAnsi="Arial" w:cs="Arial"/>
          <w:sz w:val="24"/>
          <w:szCs w:val="24"/>
        </w:rPr>
        <w:t>acceptance of liability and</w:t>
      </w:r>
      <w:r w:rsidR="00FD2B26">
        <w:rPr>
          <w:rFonts w:ascii="Arial" w:eastAsia="Calibri" w:hAnsi="Arial" w:cs="Arial"/>
          <w:sz w:val="24"/>
          <w:szCs w:val="24"/>
        </w:rPr>
        <w:t xml:space="preserve"> that the plaintiff has established entitlement thereto.</w:t>
      </w:r>
    </w:p>
    <w:p w:rsidR="006433CE" w:rsidRPr="004C5FCD" w:rsidRDefault="006433CE" w:rsidP="006433CE">
      <w:pPr>
        <w:tabs>
          <w:tab w:val="right" w:pos="9180"/>
        </w:tabs>
        <w:spacing w:after="0" w:line="360" w:lineRule="auto"/>
        <w:ind w:left="851" w:hanging="851"/>
        <w:jc w:val="both"/>
        <w:rPr>
          <w:rFonts w:ascii="Arial" w:eastAsia="Calibri" w:hAnsi="Arial" w:cs="Arial"/>
          <w:sz w:val="24"/>
          <w:szCs w:val="24"/>
        </w:rPr>
      </w:pPr>
    </w:p>
    <w:p w:rsidR="00115DBA" w:rsidRPr="00CA4411" w:rsidRDefault="00CF2227" w:rsidP="00CA4411">
      <w:pPr>
        <w:tabs>
          <w:tab w:val="right" w:pos="9180"/>
        </w:tabs>
        <w:spacing w:after="0" w:line="360" w:lineRule="auto"/>
        <w:ind w:left="851" w:hanging="851"/>
        <w:jc w:val="both"/>
        <w:rPr>
          <w:rFonts w:ascii="Arial" w:eastAsia="Calibri" w:hAnsi="Arial" w:cs="Arial"/>
          <w:sz w:val="24"/>
          <w:szCs w:val="24"/>
        </w:rPr>
      </w:pPr>
      <w:r w:rsidRPr="004C5FCD">
        <w:rPr>
          <w:rFonts w:ascii="Arial" w:eastAsia="Calibri" w:hAnsi="Arial" w:cs="Arial"/>
          <w:sz w:val="24"/>
          <w:szCs w:val="24"/>
        </w:rPr>
        <w:t>[2]</w:t>
      </w:r>
      <w:r w:rsidRPr="004C5FCD">
        <w:rPr>
          <w:rFonts w:ascii="Arial" w:eastAsia="Calibri" w:hAnsi="Arial" w:cs="Arial"/>
          <w:sz w:val="24"/>
          <w:szCs w:val="24"/>
        </w:rPr>
        <w:tab/>
      </w:r>
      <w:r w:rsidR="003B7DE5" w:rsidRPr="004C5FCD">
        <w:rPr>
          <w:rFonts w:ascii="Arial" w:eastAsia="Calibri" w:hAnsi="Arial" w:cs="Arial"/>
          <w:sz w:val="24"/>
          <w:szCs w:val="24"/>
        </w:rPr>
        <w:t xml:space="preserve">The </w:t>
      </w:r>
      <w:r w:rsidR="00FD2B26">
        <w:rPr>
          <w:rFonts w:ascii="Arial" w:eastAsia="Calibri" w:hAnsi="Arial" w:cs="Arial"/>
          <w:sz w:val="24"/>
          <w:szCs w:val="24"/>
        </w:rPr>
        <w:t xml:space="preserve">plaintiff gave evidence concerning the circumstances leading to her injuries and </w:t>
      </w:r>
      <w:r w:rsidR="009801DE">
        <w:rPr>
          <w:rFonts w:ascii="Arial" w:eastAsia="Calibri" w:hAnsi="Arial" w:cs="Arial"/>
          <w:sz w:val="24"/>
          <w:szCs w:val="24"/>
        </w:rPr>
        <w:t>their effect</w:t>
      </w:r>
      <w:r w:rsidR="00FD2B26">
        <w:rPr>
          <w:rFonts w:ascii="Arial" w:eastAsia="Calibri" w:hAnsi="Arial" w:cs="Arial"/>
          <w:sz w:val="24"/>
          <w:szCs w:val="24"/>
        </w:rPr>
        <w:t xml:space="preserve"> in daily life activities. This is largely common cause between the parties. Especially the effect on her productivity as an employee. The onus is therefore on her to prove that she is entitled to the amount of damages claimed. I will proceed to set out in some detail her evidence and that of experts called to </w:t>
      </w:r>
      <w:r w:rsidR="00CA4411">
        <w:rPr>
          <w:rFonts w:ascii="Arial" w:eastAsia="Calibri" w:hAnsi="Arial" w:cs="Arial"/>
          <w:sz w:val="24"/>
          <w:szCs w:val="24"/>
        </w:rPr>
        <w:t>fortify her assertions.</w:t>
      </w:r>
    </w:p>
    <w:p w:rsidR="00CF2227" w:rsidRDefault="00CF2227" w:rsidP="00236E71">
      <w:pPr>
        <w:spacing w:line="360" w:lineRule="auto"/>
        <w:contextualSpacing/>
        <w:jc w:val="both"/>
        <w:rPr>
          <w:rFonts w:ascii="Arial" w:eastAsia="Calibri" w:hAnsi="Arial" w:cs="Arial"/>
          <w:sz w:val="28"/>
          <w:szCs w:val="28"/>
        </w:rPr>
      </w:pPr>
    </w:p>
    <w:p w:rsidR="00B05830" w:rsidRPr="00D31B6B" w:rsidRDefault="00450B47" w:rsidP="00393D0B">
      <w:pPr>
        <w:tabs>
          <w:tab w:val="right" w:pos="9180"/>
        </w:tabs>
        <w:spacing w:after="0" w:line="360" w:lineRule="auto"/>
        <w:ind w:left="851" w:hanging="851"/>
        <w:jc w:val="both"/>
        <w:rPr>
          <w:rFonts w:ascii="Arial" w:eastAsia="Calibri" w:hAnsi="Arial" w:cs="Arial"/>
          <w:sz w:val="20"/>
          <w:szCs w:val="20"/>
        </w:rPr>
      </w:pPr>
      <w:r w:rsidRPr="00393D0B">
        <w:rPr>
          <w:rFonts w:ascii="Arial" w:eastAsia="Calibri" w:hAnsi="Arial" w:cs="Arial"/>
          <w:sz w:val="24"/>
          <w:szCs w:val="24"/>
        </w:rPr>
        <w:t>[3]</w:t>
      </w:r>
      <w:r>
        <w:rPr>
          <w:rFonts w:ascii="Arial" w:eastAsia="Calibri" w:hAnsi="Arial" w:cs="Arial"/>
          <w:sz w:val="28"/>
          <w:szCs w:val="28"/>
        </w:rPr>
        <w:tab/>
      </w:r>
      <w:r w:rsidR="00CA4411">
        <w:rPr>
          <w:rFonts w:ascii="Arial" w:eastAsia="Calibri" w:hAnsi="Arial" w:cs="Arial"/>
          <w:sz w:val="24"/>
          <w:szCs w:val="24"/>
        </w:rPr>
        <w:t>At the time of the collision the plaintiff was twenty-five (25) years old and employed by One World Media as a Public Relations Specialist. Her duties were mainly media relations of her employer which cons</w:t>
      </w:r>
      <w:r w:rsidR="009801DE">
        <w:rPr>
          <w:rFonts w:ascii="Arial" w:eastAsia="Calibri" w:hAnsi="Arial" w:cs="Arial"/>
          <w:sz w:val="24"/>
          <w:szCs w:val="24"/>
        </w:rPr>
        <w:t xml:space="preserve">tituted eighty (80) percent </w:t>
      </w:r>
      <w:r w:rsidR="00CA4411">
        <w:rPr>
          <w:rFonts w:ascii="Arial" w:eastAsia="Calibri" w:hAnsi="Arial" w:cs="Arial"/>
          <w:sz w:val="24"/>
          <w:szCs w:val="24"/>
        </w:rPr>
        <w:t xml:space="preserve">and twenty (20) percent were meetings. </w:t>
      </w:r>
      <w:r w:rsidR="00D710A1">
        <w:rPr>
          <w:rFonts w:ascii="Arial" w:eastAsia="Calibri" w:hAnsi="Arial" w:cs="Arial"/>
          <w:sz w:val="24"/>
          <w:szCs w:val="24"/>
        </w:rPr>
        <w:t>Her job</w:t>
      </w:r>
      <w:r w:rsidR="00CA4411">
        <w:rPr>
          <w:rFonts w:ascii="Arial" w:eastAsia="Calibri" w:hAnsi="Arial" w:cs="Arial"/>
          <w:sz w:val="24"/>
          <w:szCs w:val="24"/>
        </w:rPr>
        <w:t xml:space="preserve"> required extensive travelling both locally and internationally. Because she was employed at a medium sized firm, she functioned without an assistant. </w:t>
      </w:r>
      <w:r w:rsidR="00D710A1">
        <w:rPr>
          <w:rFonts w:ascii="Arial" w:eastAsia="Calibri" w:hAnsi="Arial" w:cs="Arial"/>
          <w:sz w:val="24"/>
          <w:szCs w:val="24"/>
        </w:rPr>
        <w:t>S</w:t>
      </w:r>
      <w:r w:rsidR="00CA4411">
        <w:rPr>
          <w:rFonts w:ascii="Arial" w:eastAsia="Calibri" w:hAnsi="Arial" w:cs="Arial"/>
          <w:sz w:val="24"/>
          <w:szCs w:val="24"/>
        </w:rPr>
        <w:t>he</w:t>
      </w:r>
      <w:r w:rsidR="00D710A1">
        <w:rPr>
          <w:rFonts w:ascii="Arial" w:eastAsia="Calibri" w:hAnsi="Arial" w:cs="Arial"/>
          <w:sz w:val="24"/>
          <w:szCs w:val="24"/>
        </w:rPr>
        <w:t xml:space="preserve"> </w:t>
      </w:r>
      <w:r w:rsidR="00CA4411">
        <w:rPr>
          <w:rFonts w:ascii="Arial" w:eastAsia="Calibri" w:hAnsi="Arial" w:cs="Arial"/>
          <w:sz w:val="24"/>
          <w:szCs w:val="24"/>
        </w:rPr>
        <w:t xml:space="preserve">was hands on. </w:t>
      </w:r>
      <w:r w:rsidR="00594F3A">
        <w:rPr>
          <w:rFonts w:ascii="Arial" w:eastAsia="Calibri" w:hAnsi="Arial" w:cs="Arial"/>
          <w:sz w:val="24"/>
          <w:szCs w:val="24"/>
        </w:rPr>
        <w:t>Her main goal was</w:t>
      </w:r>
      <w:r w:rsidR="00CA4411">
        <w:rPr>
          <w:rFonts w:ascii="Arial" w:eastAsia="Calibri" w:hAnsi="Arial" w:cs="Arial"/>
          <w:sz w:val="24"/>
          <w:szCs w:val="24"/>
        </w:rPr>
        <w:t xml:space="preserve"> working </w:t>
      </w:r>
      <w:r w:rsidR="00594F3A">
        <w:rPr>
          <w:rFonts w:ascii="Arial" w:eastAsia="Calibri" w:hAnsi="Arial" w:cs="Arial"/>
          <w:sz w:val="24"/>
          <w:szCs w:val="24"/>
        </w:rPr>
        <w:t>to become an</w:t>
      </w:r>
      <w:r w:rsidR="00CA4411">
        <w:rPr>
          <w:rFonts w:ascii="Arial" w:eastAsia="Calibri" w:hAnsi="Arial" w:cs="Arial"/>
          <w:sz w:val="24"/>
          <w:szCs w:val="24"/>
        </w:rPr>
        <w:t xml:space="preserve"> independent consultant in the future.</w:t>
      </w:r>
    </w:p>
    <w:p w:rsidR="00236E71" w:rsidRPr="004C5FCD" w:rsidRDefault="00236E71" w:rsidP="00236E71">
      <w:pPr>
        <w:tabs>
          <w:tab w:val="right" w:pos="9180"/>
        </w:tabs>
        <w:spacing w:after="0" w:line="360" w:lineRule="auto"/>
        <w:ind w:left="851" w:hanging="851"/>
        <w:jc w:val="both"/>
        <w:rPr>
          <w:rFonts w:ascii="Arial" w:eastAsia="Times New Roman" w:hAnsi="Arial" w:cs="Arial"/>
          <w:sz w:val="24"/>
          <w:szCs w:val="24"/>
          <w:lang w:eastAsia="en-GB"/>
        </w:rPr>
      </w:pPr>
    </w:p>
    <w:p w:rsidR="009B10F8" w:rsidRDefault="00CF2227" w:rsidP="009B10F8">
      <w:pPr>
        <w:spacing w:line="360" w:lineRule="auto"/>
        <w:ind w:left="851" w:hanging="851"/>
        <w:contextualSpacing/>
        <w:jc w:val="both"/>
        <w:rPr>
          <w:rFonts w:ascii="Arial" w:eastAsia="Calibri" w:hAnsi="Arial" w:cs="Arial"/>
          <w:b/>
          <w:sz w:val="28"/>
          <w:szCs w:val="28"/>
          <w:u w:val="single"/>
        </w:rPr>
      </w:pPr>
      <w:r w:rsidRPr="004C5FCD">
        <w:rPr>
          <w:rFonts w:ascii="Arial" w:eastAsia="Calibri" w:hAnsi="Arial" w:cs="Arial"/>
          <w:sz w:val="24"/>
          <w:szCs w:val="24"/>
        </w:rPr>
        <w:t xml:space="preserve">[4] </w:t>
      </w:r>
      <w:r w:rsidRPr="004C5FCD">
        <w:rPr>
          <w:rFonts w:ascii="Arial" w:eastAsia="Calibri" w:hAnsi="Arial" w:cs="Arial"/>
          <w:sz w:val="24"/>
          <w:szCs w:val="24"/>
        </w:rPr>
        <w:tab/>
      </w:r>
      <w:r w:rsidR="00D710A1">
        <w:rPr>
          <w:rFonts w:ascii="Arial" w:eastAsia="Calibri" w:hAnsi="Arial" w:cs="Arial"/>
          <w:sz w:val="24"/>
          <w:szCs w:val="24"/>
        </w:rPr>
        <w:t>The</w:t>
      </w:r>
      <w:r w:rsidR="00B139AC">
        <w:rPr>
          <w:rFonts w:ascii="Arial" w:eastAsia="Calibri" w:hAnsi="Arial" w:cs="Arial"/>
          <w:sz w:val="24"/>
          <w:szCs w:val="24"/>
        </w:rPr>
        <w:t xml:space="preserve"> </w:t>
      </w:r>
      <w:r w:rsidR="00D710A1">
        <w:rPr>
          <w:rFonts w:ascii="Arial" w:eastAsia="Calibri" w:hAnsi="Arial" w:cs="Arial"/>
          <w:sz w:val="24"/>
          <w:szCs w:val="24"/>
        </w:rPr>
        <w:t xml:space="preserve">injuries sustained and treatment </w:t>
      </w:r>
      <w:r w:rsidR="00CA4411">
        <w:rPr>
          <w:rFonts w:ascii="Arial" w:eastAsia="Calibri" w:hAnsi="Arial" w:cs="Arial"/>
          <w:sz w:val="24"/>
          <w:szCs w:val="24"/>
        </w:rPr>
        <w:t xml:space="preserve">received </w:t>
      </w:r>
      <w:r w:rsidR="00594F3A">
        <w:rPr>
          <w:rFonts w:ascii="Arial" w:eastAsia="Calibri" w:hAnsi="Arial" w:cs="Arial"/>
          <w:sz w:val="24"/>
          <w:szCs w:val="24"/>
        </w:rPr>
        <w:t>is also common cause. After the collision</w:t>
      </w:r>
      <w:r w:rsidR="00CA4411">
        <w:rPr>
          <w:rFonts w:ascii="Arial" w:eastAsia="Calibri" w:hAnsi="Arial" w:cs="Arial"/>
          <w:sz w:val="24"/>
          <w:szCs w:val="24"/>
        </w:rPr>
        <w:t xml:space="preserve"> her employer was supportive. </w:t>
      </w:r>
      <w:r w:rsidR="00D710A1">
        <w:rPr>
          <w:rFonts w:ascii="Arial" w:eastAsia="Calibri" w:hAnsi="Arial" w:cs="Arial"/>
          <w:sz w:val="24"/>
          <w:szCs w:val="24"/>
        </w:rPr>
        <w:t>S</w:t>
      </w:r>
      <w:r w:rsidR="00CA4411">
        <w:rPr>
          <w:rFonts w:ascii="Arial" w:eastAsia="Calibri" w:hAnsi="Arial" w:cs="Arial"/>
          <w:sz w:val="24"/>
          <w:szCs w:val="24"/>
        </w:rPr>
        <w:t>he</w:t>
      </w:r>
      <w:r w:rsidR="00D710A1">
        <w:rPr>
          <w:rFonts w:ascii="Arial" w:eastAsia="Calibri" w:hAnsi="Arial" w:cs="Arial"/>
          <w:sz w:val="24"/>
          <w:szCs w:val="24"/>
        </w:rPr>
        <w:t xml:space="preserve"> </w:t>
      </w:r>
      <w:r w:rsidR="00CA4411">
        <w:rPr>
          <w:rFonts w:ascii="Arial" w:eastAsia="Calibri" w:hAnsi="Arial" w:cs="Arial"/>
          <w:sz w:val="24"/>
          <w:szCs w:val="24"/>
        </w:rPr>
        <w:t xml:space="preserve">simply stated that she went back to her employer but never got her job back after </w:t>
      </w:r>
      <w:r w:rsidR="000A7323">
        <w:rPr>
          <w:rFonts w:ascii="Arial" w:eastAsia="Calibri" w:hAnsi="Arial" w:cs="Arial"/>
          <w:sz w:val="24"/>
          <w:szCs w:val="24"/>
        </w:rPr>
        <w:t>spending about four (4) months on sick leave. She could not fulfil her duties anymore. This important aspec</w:t>
      </w:r>
      <w:r w:rsidR="00D710A1">
        <w:rPr>
          <w:rFonts w:ascii="Arial" w:eastAsia="Calibri" w:hAnsi="Arial" w:cs="Arial"/>
          <w:sz w:val="24"/>
          <w:szCs w:val="24"/>
        </w:rPr>
        <w:t xml:space="preserve">t was not dealt with adequately </w:t>
      </w:r>
      <w:r w:rsidR="000A7323">
        <w:rPr>
          <w:rFonts w:ascii="Arial" w:eastAsia="Calibri" w:hAnsi="Arial" w:cs="Arial"/>
          <w:sz w:val="24"/>
          <w:szCs w:val="24"/>
        </w:rPr>
        <w:t>and will be discussed</w:t>
      </w:r>
      <w:r w:rsidR="00D710A1">
        <w:rPr>
          <w:rFonts w:ascii="Arial" w:eastAsia="Calibri" w:hAnsi="Arial" w:cs="Arial"/>
          <w:sz w:val="24"/>
          <w:szCs w:val="24"/>
        </w:rPr>
        <w:t xml:space="preserve"> at length</w:t>
      </w:r>
      <w:r w:rsidR="000A7323">
        <w:rPr>
          <w:rFonts w:ascii="Arial" w:eastAsia="Calibri" w:hAnsi="Arial" w:cs="Arial"/>
          <w:sz w:val="24"/>
          <w:szCs w:val="24"/>
        </w:rPr>
        <w:t xml:space="preserve"> in the succeeding paragraphs. As a result, she was unemployed for a period of two (2) years.</w:t>
      </w:r>
      <w:r w:rsidR="00594F3A">
        <w:rPr>
          <w:rFonts w:ascii="Arial" w:eastAsia="Calibri" w:hAnsi="Arial" w:cs="Arial"/>
          <w:sz w:val="24"/>
          <w:szCs w:val="24"/>
        </w:rPr>
        <w:t xml:space="preserve"> Her</w:t>
      </w:r>
      <w:r w:rsidR="00D710A1">
        <w:rPr>
          <w:rFonts w:ascii="Arial" w:eastAsia="Calibri" w:hAnsi="Arial" w:cs="Arial"/>
          <w:sz w:val="24"/>
          <w:szCs w:val="24"/>
        </w:rPr>
        <w:t xml:space="preserve"> monetary</w:t>
      </w:r>
      <w:r w:rsidR="00594F3A">
        <w:rPr>
          <w:rFonts w:ascii="Arial" w:eastAsia="Calibri" w:hAnsi="Arial" w:cs="Arial"/>
          <w:sz w:val="24"/>
          <w:szCs w:val="24"/>
        </w:rPr>
        <w:t xml:space="preserve"> claim under the heading past loss of earnings was admitted by the defendant.</w:t>
      </w:r>
      <w:r w:rsidR="00D710A1">
        <w:rPr>
          <w:rFonts w:ascii="Arial" w:eastAsia="Calibri" w:hAnsi="Arial" w:cs="Arial"/>
          <w:sz w:val="24"/>
          <w:szCs w:val="24"/>
        </w:rPr>
        <w:t xml:space="preserve"> During this period</w:t>
      </w:r>
      <w:r w:rsidR="000A7323">
        <w:rPr>
          <w:rFonts w:ascii="Arial" w:eastAsia="Calibri" w:hAnsi="Arial" w:cs="Arial"/>
          <w:sz w:val="24"/>
          <w:szCs w:val="24"/>
        </w:rPr>
        <w:t>, she enrolled for and acquire</w:t>
      </w:r>
      <w:r w:rsidR="00594F3A">
        <w:rPr>
          <w:rFonts w:ascii="Arial" w:eastAsia="Calibri" w:hAnsi="Arial" w:cs="Arial"/>
          <w:sz w:val="24"/>
          <w:szCs w:val="24"/>
        </w:rPr>
        <w:t>d a Digital and Marketing Certificate</w:t>
      </w:r>
      <w:r w:rsidR="000A7323">
        <w:rPr>
          <w:rFonts w:ascii="Arial" w:eastAsia="Calibri" w:hAnsi="Arial" w:cs="Arial"/>
          <w:sz w:val="24"/>
          <w:szCs w:val="24"/>
        </w:rPr>
        <w:t xml:space="preserve"> offered by Google.</w:t>
      </w:r>
    </w:p>
    <w:p w:rsidR="00CF2227" w:rsidRPr="006B533F" w:rsidRDefault="00CF2227" w:rsidP="00CF2227">
      <w:pPr>
        <w:spacing w:line="360" w:lineRule="auto"/>
        <w:contextualSpacing/>
        <w:jc w:val="both"/>
        <w:rPr>
          <w:rFonts w:ascii="Arial" w:eastAsia="Calibri" w:hAnsi="Arial" w:cs="Arial"/>
          <w:sz w:val="28"/>
          <w:szCs w:val="28"/>
        </w:rPr>
      </w:pPr>
    </w:p>
    <w:p w:rsidR="00B139AC" w:rsidRDefault="00CF2227" w:rsidP="00C13854">
      <w:pPr>
        <w:spacing w:line="360" w:lineRule="auto"/>
        <w:ind w:left="851" w:hanging="851"/>
        <w:contextualSpacing/>
        <w:jc w:val="both"/>
        <w:rPr>
          <w:rFonts w:ascii="Arial" w:hAnsi="Arial" w:cs="Arial"/>
          <w:b/>
          <w:sz w:val="24"/>
          <w:szCs w:val="24"/>
          <w:u w:val="single"/>
        </w:rPr>
      </w:pPr>
      <w:r w:rsidRPr="004C5FCD">
        <w:rPr>
          <w:rFonts w:ascii="Arial" w:eastAsia="Calibri" w:hAnsi="Arial" w:cs="Arial"/>
          <w:sz w:val="24"/>
          <w:szCs w:val="24"/>
        </w:rPr>
        <w:t>[5]</w:t>
      </w:r>
      <w:r w:rsidRPr="004C5FCD">
        <w:rPr>
          <w:rFonts w:ascii="Arial" w:eastAsia="Calibri" w:hAnsi="Arial" w:cs="Arial"/>
          <w:sz w:val="24"/>
          <w:szCs w:val="24"/>
        </w:rPr>
        <w:tab/>
      </w:r>
      <w:r w:rsidR="000A7323">
        <w:rPr>
          <w:rFonts w:ascii="Arial" w:eastAsia="Calibri" w:hAnsi="Arial" w:cs="Arial"/>
          <w:sz w:val="24"/>
          <w:szCs w:val="24"/>
        </w:rPr>
        <w:t>She</w:t>
      </w:r>
      <w:r w:rsidR="00594F3A">
        <w:rPr>
          <w:rFonts w:ascii="Arial" w:eastAsia="Calibri" w:hAnsi="Arial" w:cs="Arial"/>
          <w:sz w:val="24"/>
          <w:szCs w:val="24"/>
        </w:rPr>
        <w:t xml:space="preserve"> is currently</w:t>
      </w:r>
      <w:r w:rsidR="00B64B33">
        <w:rPr>
          <w:rFonts w:ascii="Arial" w:eastAsia="Calibri" w:hAnsi="Arial" w:cs="Arial"/>
          <w:sz w:val="24"/>
          <w:szCs w:val="24"/>
        </w:rPr>
        <w:t xml:space="preserve"> employed </w:t>
      </w:r>
      <w:r w:rsidR="00675833">
        <w:rPr>
          <w:rFonts w:ascii="Arial" w:eastAsia="Calibri" w:hAnsi="Arial" w:cs="Arial"/>
          <w:sz w:val="24"/>
          <w:szCs w:val="24"/>
        </w:rPr>
        <w:t xml:space="preserve">as a </w:t>
      </w:r>
      <w:r w:rsidR="00A560B0">
        <w:rPr>
          <w:rFonts w:ascii="Arial" w:eastAsia="Calibri" w:hAnsi="Arial" w:cs="Arial"/>
          <w:sz w:val="24"/>
          <w:szCs w:val="24"/>
        </w:rPr>
        <w:t>Digital Campaign Manager</w:t>
      </w:r>
      <w:r w:rsidR="00594F3A">
        <w:rPr>
          <w:rFonts w:ascii="Arial" w:eastAsia="Calibri" w:hAnsi="Arial" w:cs="Arial"/>
          <w:sz w:val="24"/>
          <w:szCs w:val="24"/>
        </w:rPr>
        <w:t xml:space="preserve"> by Media 24 with effect from 1 July 2019. </w:t>
      </w:r>
      <w:r w:rsidR="00A560B0">
        <w:rPr>
          <w:rFonts w:ascii="Arial" w:eastAsia="Calibri" w:hAnsi="Arial" w:cs="Arial"/>
          <w:sz w:val="24"/>
          <w:szCs w:val="24"/>
        </w:rPr>
        <w:t>The contract of employment clearly stipulates that it will continue until the retirement age of sixty (60) or until it is terminated for other reasons.</w:t>
      </w:r>
      <w:r w:rsidR="00D710A1">
        <w:rPr>
          <w:rFonts w:ascii="Arial" w:eastAsia="Calibri" w:hAnsi="Arial" w:cs="Arial"/>
          <w:sz w:val="24"/>
          <w:szCs w:val="24"/>
        </w:rPr>
        <w:t xml:space="preserve"> At her</w:t>
      </w:r>
      <w:r w:rsidR="002A5E3F">
        <w:rPr>
          <w:rFonts w:ascii="Arial" w:eastAsia="Calibri" w:hAnsi="Arial" w:cs="Arial"/>
          <w:sz w:val="24"/>
          <w:szCs w:val="24"/>
        </w:rPr>
        <w:t xml:space="preserve"> current position</w:t>
      </w:r>
      <w:r w:rsidR="00D710A1">
        <w:rPr>
          <w:rFonts w:ascii="Arial" w:eastAsia="Calibri" w:hAnsi="Arial" w:cs="Arial"/>
          <w:sz w:val="24"/>
          <w:szCs w:val="24"/>
        </w:rPr>
        <w:t xml:space="preserve">, </w:t>
      </w:r>
      <w:r w:rsidR="002A5E3F">
        <w:rPr>
          <w:rFonts w:ascii="Arial" w:eastAsia="Calibri" w:hAnsi="Arial" w:cs="Arial"/>
          <w:sz w:val="24"/>
          <w:szCs w:val="24"/>
        </w:rPr>
        <w:t xml:space="preserve">ninety (90%) percent of her duties are </w:t>
      </w:r>
      <w:r w:rsidR="00A560B0">
        <w:rPr>
          <w:rFonts w:ascii="Arial" w:eastAsia="Calibri" w:hAnsi="Arial" w:cs="Arial"/>
          <w:sz w:val="24"/>
          <w:szCs w:val="24"/>
        </w:rPr>
        <w:t>performed while sitting down</w:t>
      </w:r>
      <w:r w:rsidR="002A5E3F">
        <w:rPr>
          <w:rFonts w:ascii="Arial" w:eastAsia="Calibri" w:hAnsi="Arial" w:cs="Arial"/>
          <w:sz w:val="24"/>
          <w:szCs w:val="24"/>
        </w:rPr>
        <w:t xml:space="preserve"> in front of a computer screen. She described her work environment</w:t>
      </w:r>
      <w:r w:rsidR="00A560B0">
        <w:rPr>
          <w:rFonts w:ascii="Arial" w:eastAsia="Calibri" w:hAnsi="Arial" w:cs="Arial"/>
          <w:sz w:val="24"/>
          <w:szCs w:val="24"/>
        </w:rPr>
        <w:t xml:space="preserve"> as a fast paced, pressurised and desk bound job in-front of a compu</w:t>
      </w:r>
      <w:r w:rsidR="002A5E3F">
        <w:rPr>
          <w:rFonts w:ascii="Arial" w:eastAsia="Calibri" w:hAnsi="Arial" w:cs="Arial"/>
          <w:sz w:val="24"/>
          <w:szCs w:val="24"/>
        </w:rPr>
        <w:t>ter screen. Since her employment she has</w:t>
      </w:r>
      <w:r w:rsidR="00A560B0">
        <w:rPr>
          <w:rFonts w:ascii="Arial" w:eastAsia="Calibri" w:hAnsi="Arial" w:cs="Arial"/>
          <w:sz w:val="24"/>
          <w:szCs w:val="24"/>
        </w:rPr>
        <w:t xml:space="preserve"> been working from home in line with the Covid-19 policies </w:t>
      </w:r>
      <w:r w:rsidR="002A5E3F">
        <w:rPr>
          <w:rFonts w:ascii="Arial" w:eastAsia="Calibri" w:hAnsi="Arial" w:cs="Arial"/>
          <w:sz w:val="24"/>
          <w:szCs w:val="24"/>
        </w:rPr>
        <w:t xml:space="preserve">of her employer. This changed </w:t>
      </w:r>
      <w:r w:rsidR="00A560B0">
        <w:rPr>
          <w:rFonts w:ascii="Arial" w:eastAsia="Calibri" w:hAnsi="Arial" w:cs="Arial"/>
          <w:sz w:val="24"/>
          <w:szCs w:val="24"/>
        </w:rPr>
        <w:t>about two (2) months ago as they were required to physically report at the office twice a wee</w:t>
      </w:r>
      <w:r w:rsidR="002A5E3F">
        <w:rPr>
          <w:rFonts w:ascii="Arial" w:eastAsia="Calibri" w:hAnsi="Arial" w:cs="Arial"/>
          <w:sz w:val="24"/>
          <w:szCs w:val="24"/>
        </w:rPr>
        <w:t>k. The</w:t>
      </w:r>
      <w:r w:rsidR="00A560B0">
        <w:rPr>
          <w:rFonts w:ascii="Arial" w:eastAsia="Calibri" w:hAnsi="Arial" w:cs="Arial"/>
          <w:sz w:val="24"/>
          <w:szCs w:val="24"/>
        </w:rPr>
        <w:t xml:space="preserve"> changed circumstances </w:t>
      </w:r>
      <w:r w:rsidR="00650226">
        <w:rPr>
          <w:rFonts w:ascii="Arial" w:eastAsia="Calibri" w:hAnsi="Arial" w:cs="Arial"/>
          <w:sz w:val="24"/>
          <w:szCs w:val="24"/>
        </w:rPr>
        <w:t>have negati</w:t>
      </w:r>
      <w:r w:rsidR="002A5E3F">
        <w:rPr>
          <w:rFonts w:ascii="Arial" w:eastAsia="Calibri" w:hAnsi="Arial" w:cs="Arial"/>
          <w:sz w:val="24"/>
          <w:szCs w:val="24"/>
        </w:rPr>
        <w:t>vely impacted her situation because</w:t>
      </w:r>
      <w:r w:rsidR="00650226">
        <w:rPr>
          <w:rFonts w:ascii="Arial" w:eastAsia="Calibri" w:hAnsi="Arial" w:cs="Arial"/>
          <w:sz w:val="24"/>
          <w:szCs w:val="24"/>
        </w:rPr>
        <w:t xml:space="preserve"> she cannot sit over lon</w:t>
      </w:r>
      <w:r w:rsidR="00C13854">
        <w:rPr>
          <w:rFonts w:ascii="Arial" w:eastAsia="Calibri" w:hAnsi="Arial" w:cs="Arial"/>
          <w:sz w:val="24"/>
          <w:szCs w:val="24"/>
        </w:rPr>
        <w:t>g periods and rest her leg.</w:t>
      </w:r>
    </w:p>
    <w:p w:rsidR="00B139AC" w:rsidRDefault="00B139AC" w:rsidP="00B139AC">
      <w:pPr>
        <w:spacing w:line="360" w:lineRule="auto"/>
        <w:ind w:left="851" w:hanging="851"/>
        <w:contextualSpacing/>
        <w:jc w:val="both"/>
        <w:rPr>
          <w:rFonts w:ascii="Arial" w:eastAsia="Calibri" w:hAnsi="Arial" w:cs="Arial"/>
          <w:sz w:val="24"/>
          <w:szCs w:val="24"/>
        </w:rPr>
      </w:pPr>
      <w:r w:rsidRPr="004C5FCD">
        <w:rPr>
          <w:rFonts w:ascii="Arial" w:eastAsia="Calibri" w:hAnsi="Arial" w:cs="Arial"/>
          <w:sz w:val="24"/>
          <w:szCs w:val="24"/>
        </w:rPr>
        <w:t xml:space="preserve"> </w:t>
      </w:r>
    </w:p>
    <w:p w:rsidR="00FB3D3C" w:rsidRDefault="00CF2227" w:rsidP="00B139AC">
      <w:pPr>
        <w:spacing w:line="360" w:lineRule="auto"/>
        <w:ind w:left="851" w:hanging="851"/>
        <w:contextualSpacing/>
        <w:jc w:val="both"/>
        <w:rPr>
          <w:rFonts w:ascii="Arial" w:eastAsia="Calibri" w:hAnsi="Arial" w:cs="Arial"/>
          <w:sz w:val="28"/>
          <w:szCs w:val="28"/>
        </w:rPr>
      </w:pPr>
      <w:r w:rsidRPr="004C5FCD">
        <w:rPr>
          <w:rFonts w:ascii="Arial" w:eastAsia="Calibri" w:hAnsi="Arial" w:cs="Arial"/>
          <w:sz w:val="24"/>
          <w:szCs w:val="24"/>
        </w:rPr>
        <w:t>[</w:t>
      </w:r>
      <w:r w:rsidR="00C90DFC" w:rsidRPr="004C5FCD">
        <w:rPr>
          <w:rFonts w:ascii="Arial" w:eastAsia="Calibri" w:hAnsi="Arial" w:cs="Arial"/>
          <w:sz w:val="24"/>
          <w:szCs w:val="24"/>
        </w:rPr>
        <w:t>6</w:t>
      </w:r>
      <w:r w:rsidRPr="004C5FCD">
        <w:rPr>
          <w:rFonts w:ascii="Arial" w:eastAsia="Calibri" w:hAnsi="Arial" w:cs="Arial"/>
          <w:sz w:val="24"/>
          <w:szCs w:val="24"/>
        </w:rPr>
        <w:t>]</w:t>
      </w:r>
      <w:r w:rsidRPr="004C5FCD">
        <w:rPr>
          <w:rFonts w:ascii="Arial" w:eastAsia="Calibri" w:hAnsi="Arial" w:cs="Arial"/>
          <w:sz w:val="24"/>
          <w:szCs w:val="24"/>
        </w:rPr>
        <w:tab/>
      </w:r>
      <w:r w:rsidR="00C13854">
        <w:rPr>
          <w:rFonts w:ascii="Arial" w:eastAsia="Calibri" w:hAnsi="Arial" w:cs="Arial"/>
          <w:sz w:val="24"/>
          <w:szCs w:val="24"/>
        </w:rPr>
        <w:t>As previously</w:t>
      </w:r>
      <w:r w:rsidR="002A5E3F">
        <w:rPr>
          <w:rFonts w:ascii="Arial" w:eastAsia="Calibri" w:hAnsi="Arial" w:cs="Arial"/>
          <w:sz w:val="24"/>
          <w:szCs w:val="24"/>
        </w:rPr>
        <w:t xml:space="preserve"> stated the plaintiff called</w:t>
      </w:r>
      <w:r w:rsidR="00C13854">
        <w:rPr>
          <w:rFonts w:ascii="Arial" w:eastAsia="Calibri" w:hAnsi="Arial" w:cs="Arial"/>
          <w:sz w:val="24"/>
          <w:szCs w:val="24"/>
        </w:rPr>
        <w:t xml:space="preserve"> experts who examined and assessed her on different occasions. </w:t>
      </w:r>
      <w:r w:rsidR="008C430A">
        <w:rPr>
          <w:rFonts w:ascii="Arial" w:eastAsia="Calibri" w:hAnsi="Arial" w:cs="Arial"/>
          <w:sz w:val="24"/>
          <w:szCs w:val="24"/>
        </w:rPr>
        <w:t xml:space="preserve">Their evidence is to a significant extent a repetition of what is contained in their reports. They seem to rely extensively on what the plaintiff narrated to them. They dealt with her prospects for promotion and that although she intended to work until age of sixty-five (65), she will now not </w:t>
      </w:r>
      <w:r w:rsidR="002A5E3F">
        <w:rPr>
          <w:rFonts w:ascii="Arial" w:eastAsia="Calibri" w:hAnsi="Arial" w:cs="Arial"/>
          <w:sz w:val="24"/>
          <w:szCs w:val="24"/>
        </w:rPr>
        <w:t>do so</w:t>
      </w:r>
      <w:r w:rsidR="008C430A">
        <w:rPr>
          <w:rFonts w:ascii="Arial" w:eastAsia="Calibri" w:hAnsi="Arial" w:cs="Arial"/>
          <w:sz w:val="24"/>
          <w:szCs w:val="24"/>
        </w:rPr>
        <w:t xml:space="preserve"> primarily because of her injuries sustained from the accident. The one aspect that stand out is that those reports are fairly old and somehow the plaintiff did not see the need to refresh them for the purposes of this hearing. They were both sourced about three (3) years</w:t>
      </w:r>
      <w:r w:rsidR="001C26D9">
        <w:rPr>
          <w:rFonts w:ascii="Arial" w:eastAsia="Calibri" w:hAnsi="Arial" w:cs="Arial"/>
          <w:sz w:val="24"/>
          <w:szCs w:val="24"/>
        </w:rPr>
        <w:t xml:space="preserve"> ago about a collision that occurred in 2017.</w:t>
      </w:r>
    </w:p>
    <w:p w:rsidR="0035748F" w:rsidRDefault="0035748F" w:rsidP="00CF2227">
      <w:pPr>
        <w:spacing w:line="360" w:lineRule="auto"/>
        <w:ind w:left="851" w:hanging="851"/>
        <w:contextualSpacing/>
        <w:jc w:val="both"/>
        <w:rPr>
          <w:rFonts w:ascii="Arial" w:eastAsia="Calibri" w:hAnsi="Arial" w:cs="Arial"/>
          <w:sz w:val="28"/>
          <w:szCs w:val="28"/>
        </w:rPr>
      </w:pPr>
    </w:p>
    <w:p w:rsidR="00D170FC" w:rsidRPr="00D170FC" w:rsidRDefault="002A3585" w:rsidP="00EE7DF3">
      <w:pPr>
        <w:spacing w:line="360" w:lineRule="auto"/>
        <w:ind w:left="851" w:hanging="851"/>
        <w:contextualSpacing/>
        <w:jc w:val="both"/>
        <w:rPr>
          <w:rFonts w:ascii="Arial" w:eastAsia="Calibri" w:hAnsi="Arial" w:cs="Arial"/>
          <w:sz w:val="24"/>
          <w:szCs w:val="24"/>
        </w:rPr>
      </w:pPr>
      <w:r w:rsidRPr="004C5FCD">
        <w:rPr>
          <w:rFonts w:ascii="Arial" w:eastAsia="Calibri" w:hAnsi="Arial" w:cs="Arial"/>
          <w:sz w:val="24"/>
          <w:szCs w:val="24"/>
        </w:rPr>
        <w:t>[</w:t>
      </w:r>
      <w:r>
        <w:rPr>
          <w:rFonts w:ascii="Arial" w:eastAsia="Calibri" w:hAnsi="Arial" w:cs="Arial"/>
          <w:sz w:val="24"/>
          <w:szCs w:val="24"/>
        </w:rPr>
        <w:t>7</w:t>
      </w:r>
      <w:r w:rsidRPr="004C5FCD">
        <w:rPr>
          <w:rFonts w:ascii="Arial" w:eastAsia="Calibri" w:hAnsi="Arial" w:cs="Arial"/>
          <w:sz w:val="24"/>
          <w:szCs w:val="24"/>
        </w:rPr>
        <w:t>]</w:t>
      </w:r>
      <w:r w:rsidRPr="004C5FCD">
        <w:rPr>
          <w:rFonts w:ascii="Arial" w:eastAsia="Calibri" w:hAnsi="Arial" w:cs="Arial"/>
          <w:sz w:val="24"/>
          <w:szCs w:val="24"/>
        </w:rPr>
        <w:tab/>
      </w:r>
      <w:r w:rsidR="002670AC">
        <w:rPr>
          <w:rFonts w:ascii="Arial" w:eastAsia="Calibri" w:hAnsi="Arial" w:cs="Arial"/>
          <w:sz w:val="24"/>
          <w:szCs w:val="24"/>
        </w:rPr>
        <w:t>The evidence of the plaintiff about the circumstances that led to the termination of her employment at One World Media is somewhat unsatisfactory. This is important because the plaintiff carries the burden to show that the employment relationship was terminated as</w:t>
      </w:r>
      <w:r w:rsidR="001C26D9">
        <w:rPr>
          <w:rFonts w:ascii="Arial" w:eastAsia="Calibri" w:hAnsi="Arial" w:cs="Arial"/>
          <w:sz w:val="24"/>
          <w:szCs w:val="24"/>
        </w:rPr>
        <w:t xml:space="preserve"> a direct result of the collision</w:t>
      </w:r>
      <w:r w:rsidR="002670AC">
        <w:rPr>
          <w:rFonts w:ascii="Arial" w:eastAsia="Calibri" w:hAnsi="Arial" w:cs="Arial"/>
          <w:sz w:val="24"/>
          <w:szCs w:val="24"/>
        </w:rPr>
        <w:t xml:space="preserve"> and her injuries. She simply testified that she went back and did not get her job back. This aspect was also not followed by the Industrial Psychologist</w:t>
      </w:r>
      <w:r w:rsidR="00D710A1">
        <w:rPr>
          <w:rFonts w:ascii="Arial" w:eastAsia="Calibri" w:hAnsi="Arial" w:cs="Arial"/>
          <w:sz w:val="24"/>
          <w:szCs w:val="24"/>
        </w:rPr>
        <w:t xml:space="preserve"> primarily from collateral sources</w:t>
      </w:r>
      <w:r w:rsidR="002670AC">
        <w:rPr>
          <w:rFonts w:ascii="Arial" w:eastAsia="Calibri" w:hAnsi="Arial" w:cs="Arial"/>
          <w:sz w:val="24"/>
          <w:szCs w:val="24"/>
        </w:rPr>
        <w:t>. Co</w:t>
      </w:r>
      <w:r w:rsidR="001C26D9">
        <w:rPr>
          <w:rFonts w:ascii="Arial" w:eastAsia="Calibri" w:hAnsi="Arial" w:cs="Arial"/>
          <w:sz w:val="24"/>
          <w:szCs w:val="24"/>
        </w:rPr>
        <w:t xml:space="preserve">unsel for the plaintiff </w:t>
      </w:r>
      <w:r w:rsidR="002670AC">
        <w:rPr>
          <w:rFonts w:ascii="Arial" w:eastAsia="Calibri" w:hAnsi="Arial" w:cs="Arial"/>
          <w:sz w:val="24"/>
          <w:szCs w:val="24"/>
        </w:rPr>
        <w:t>downplay</w:t>
      </w:r>
      <w:r w:rsidR="001C26D9">
        <w:rPr>
          <w:rFonts w:ascii="Arial" w:eastAsia="Calibri" w:hAnsi="Arial" w:cs="Arial"/>
          <w:sz w:val="24"/>
          <w:szCs w:val="24"/>
        </w:rPr>
        <w:t xml:space="preserve">ed it as a </w:t>
      </w:r>
      <w:r w:rsidR="002670AC">
        <w:rPr>
          <w:rFonts w:ascii="Arial" w:eastAsia="Calibri" w:hAnsi="Arial" w:cs="Arial"/>
          <w:sz w:val="24"/>
          <w:szCs w:val="24"/>
        </w:rPr>
        <w:t>factor that it does not advance or detract anything from her case. It does.</w:t>
      </w:r>
      <w:r w:rsidR="001C26D9">
        <w:rPr>
          <w:rFonts w:ascii="Arial" w:eastAsia="Calibri" w:hAnsi="Arial" w:cs="Arial"/>
          <w:sz w:val="24"/>
          <w:szCs w:val="24"/>
        </w:rPr>
        <w:t xml:space="preserve"> </w:t>
      </w:r>
      <w:r w:rsidR="00EE7DF3">
        <w:rPr>
          <w:rFonts w:ascii="Arial" w:eastAsia="Calibri" w:hAnsi="Arial" w:cs="Arial"/>
          <w:sz w:val="24"/>
          <w:szCs w:val="24"/>
        </w:rPr>
        <w:t xml:space="preserve">It has an important bearing on the case to demonstrate the extent to which her injuries served as an impediment to her continued employment at the aforementioned entity. </w:t>
      </w:r>
      <w:r w:rsidR="00772A2D">
        <w:rPr>
          <w:rFonts w:ascii="Arial" w:eastAsia="Calibri" w:hAnsi="Arial" w:cs="Arial"/>
          <w:sz w:val="24"/>
          <w:szCs w:val="24"/>
        </w:rPr>
        <w:t>H</w:t>
      </w:r>
      <w:r w:rsidR="00EE7DF3">
        <w:rPr>
          <w:rFonts w:ascii="Arial" w:eastAsia="Calibri" w:hAnsi="Arial" w:cs="Arial"/>
          <w:sz w:val="24"/>
          <w:szCs w:val="24"/>
        </w:rPr>
        <w:t>er</w:t>
      </w:r>
      <w:r w:rsidR="00772A2D">
        <w:rPr>
          <w:rFonts w:ascii="Arial" w:eastAsia="Calibri" w:hAnsi="Arial" w:cs="Arial"/>
          <w:sz w:val="24"/>
          <w:szCs w:val="24"/>
        </w:rPr>
        <w:t xml:space="preserve"> version on this aspect is un</w:t>
      </w:r>
      <w:r w:rsidR="00D710A1">
        <w:rPr>
          <w:rFonts w:ascii="Arial" w:eastAsia="Calibri" w:hAnsi="Arial" w:cs="Arial"/>
          <w:sz w:val="24"/>
          <w:szCs w:val="24"/>
        </w:rPr>
        <w:t>satisfactory and did not possess</w:t>
      </w:r>
      <w:r w:rsidR="00772A2D">
        <w:rPr>
          <w:rFonts w:ascii="Arial" w:eastAsia="Calibri" w:hAnsi="Arial" w:cs="Arial"/>
          <w:sz w:val="24"/>
          <w:szCs w:val="24"/>
        </w:rPr>
        <w:t xml:space="preserve"> a ring of truth, candour and frankness. This court is not satisfied that evidence shows that she left her employment because of the injuries she sustained.</w:t>
      </w:r>
    </w:p>
    <w:p w:rsidR="00D170FC" w:rsidRDefault="00D170FC" w:rsidP="00D170FC">
      <w:pPr>
        <w:spacing w:line="360" w:lineRule="auto"/>
        <w:ind w:left="851" w:hanging="851"/>
        <w:contextualSpacing/>
        <w:jc w:val="both"/>
        <w:rPr>
          <w:rFonts w:ascii="Arial" w:eastAsia="Calibri" w:hAnsi="Arial" w:cs="Arial"/>
          <w:sz w:val="28"/>
          <w:szCs w:val="28"/>
        </w:rPr>
      </w:pPr>
    </w:p>
    <w:p w:rsidR="000A2630" w:rsidRPr="00DB6BE4" w:rsidRDefault="00D170FC" w:rsidP="00475A50">
      <w:pPr>
        <w:tabs>
          <w:tab w:val="right" w:pos="9180"/>
        </w:tabs>
        <w:spacing w:after="0" w:line="360" w:lineRule="auto"/>
        <w:ind w:left="851" w:hanging="851"/>
        <w:jc w:val="both"/>
        <w:rPr>
          <w:rFonts w:ascii="Arial" w:eastAsia="Calibri" w:hAnsi="Arial" w:cs="Arial"/>
          <w:b/>
          <w:sz w:val="24"/>
          <w:szCs w:val="24"/>
          <w:u w:val="single"/>
        </w:rPr>
      </w:pPr>
      <w:r w:rsidRPr="004C5FCD">
        <w:rPr>
          <w:rFonts w:ascii="Arial" w:eastAsia="Calibri" w:hAnsi="Arial" w:cs="Arial"/>
          <w:sz w:val="24"/>
          <w:szCs w:val="24"/>
        </w:rPr>
        <w:t xml:space="preserve">  </w:t>
      </w:r>
      <w:r w:rsidR="001C26D9">
        <w:rPr>
          <w:rFonts w:ascii="Arial" w:eastAsia="Calibri" w:hAnsi="Arial" w:cs="Arial"/>
          <w:sz w:val="24"/>
          <w:szCs w:val="24"/>
        </w:rPr>
        <w:t>[8</w:t>
      </w:r>
      <w:r w:rsidRPr="004C5FCD">
        <w:rPr>
          <w:rFonts w:ascii="Arial" w:eastAsia="Calibri" w:hAnsi="Arial" w:cs="Arial"/>
          <w:sz w:val="24"/>
          <w:szCs w:val="24"/>
        </w:rPr>
        <w:t>]</w:t>
      </w:r>
      <w:r w:rsidRPr="004C5FCD">
        <w:rPr>
          <w:rFonts w:ascii="Arial" w:eastAsia="Calibri" w:hAnsi="Arial" w:cs="Arial"/>
          <w:sz w:val="24"/>
          <w:szCs w:val="24"/>
        </w:rPr>
        <w:tab/>
      </w:r>
      <w:r>
        <w:rPr>
          <w:rFonts w:ascii="Arial" w:eastAsia="Calibri" w:hAnsi="Arial" w:cs="Arial"/>
          <w:sz w:val="24"/>
          <w:szCs w:val="24"/>
        </w:rPr>
        <w:t>Th</w:t>
      </w:r>
      <w:r w:rsidR="00772A2D">
        <w:rPr>
          <w:rFonts w:ascii="Arial" w:eastAsia="Calibri" w:hAnsi="Arial" w:cs="Arial"/>
          <w:sz w:val="24"/>
          <w:szCs w:val="24"/>
        </w:rPr>
        <w:t>is brings into the fore the consideration whether the injuries she sustained did have any effect on her retirement age. The evidence and surrounding circumstances shows that they played no role at all. The plaintiff is a</w:t>
      </w:r>
      <w:r w:rsidR="001C26D9">
        <w:rPr>
          <w:rFonts w:ascii="Arial" w:eastAsia="Calibri" w:hAnsi="Arial" w:cs="Arial"/>
          <w:sz w:val="24"/>
          <w:szCs w:val="24"/>
        </w:rPr>
        <w:t xml:space="preserve"> confident</w:t>
      </w:r>
      <w:r w:rsidR="00D710A1">
        <w:rPr>
          <w:rFonts w:ascii="Arial" w:eastAsia="Calibri" w:hAnsi="Arial" w:cs="Arial"/>
          <w:sz w:val="24"/>
          <w:szCs w:val="24"/>
        </w:rPr>
        <w:t>,</w:t>
      </w:r>
      <w:r w:rsidR="00772A2D">
        <w:rPr>
          <w:rFonts w:ascii="Arial" w:eastAsia="Calibri" w:hAnsi="Arial" w:cs="Arial"/>
          <w:sz w:val="24"/>
          <w:szCs w:val="24"/>
        </w:rPr>
        <w:t xml:space="preserve"> </w:t>
      </w:r>
      <w:r w:rsidR="001C26D9">
        <w:rPr>
          <w:rFonts w:ascii="Arial" w:eastAsia="Calibri" w:hAnsi="Arial" w:cs="Arial"/>
          <w:sz w:val="24"/>
          <w:szCs w:val="24"/>
        </w:rPr>
        <w:t xml:space="preserve">well-read and </w:t>
      </w:r>
      <w:r w:rsidR="00772A2D">
        <w:rPr>
          <w:rFonts w:ascii="Arial" w:eastAsia="Calibri" w:hAnsi="Arial" w:cs="Arial"/>
          <w:sz w:val="24"/>
          <w:szCs w:val="24"/>
        </w:rPr>
        <w:t xml:space="preserve">spoken person with great ambitions for her future life. She </w:t>
      </w:r>
      <w:r w:rsidR="004C3184">
        <w:rPr>
          <w:rFonts w:ascii="Arial" w:eastAsia="Calibri" w:hAnsi="Arial" w:cs="Arial"/>
          <w:sz w:val="24"/>
          <w:szCs w:val="24"/>
        </w:rPr>
        <w:t>is pursuing academic qualifications wi</w:t>
      </w:r>
      <w:r w:rsidR="001C26D9">
        <w:rPr>
          <w:rFonts w:ascii="Arial" w:eastAsia="Calibri" w:hAnsi="Arial" w:cs="Arial"/>
          <w:sz w:val="24"/>
          <w:szCs w:val="24"/>
        </w:rPr>
        <w:t>th determination and passion in</w:t>
      </w:r>
      <w:r w:rsidR="004C3184">
        <w:rPr>
          <w:rFonts w:ascii="Arial" w:eastAsia="Calibri" w:hAnsi="Arial" w:cs="Arial"/>
          <w:sz w:val="24"/>
          <w:szCs w:val="24"/>
        </w:rPr>
        <w:t xml:space="preserve"> her chosen field.</w:t>
      </w:r>
      <w:r w:rsidR="001C26D9">
        <w:rPr>
          <w:rFonts w:ascii="Arial" w:eastAsia="Calibri" w:hAnsi="Arial" w:cs="Arial"/>
          <w:sz w:val="24"/>
          <w:szCs w:val="24"/>
        </w:rPr>
        <w:t xml:space="preserve"> </w:t>
      </w:r>
      <w:r w:rsidR="00CF2227" w:rsidRPr="004C5FCD">
        <w:rPr>
          <w:rFonts w:ascii="Arial" w:eastAsia="Calibri" w:hAnsi="Arial" w:cs="Arial"/>
          <w:sz w:val="24"/>
          <w:szCs w:val="24"/>
        </w:rPr>
        <w:tab/>
      </w:r>
      <w:r w:rsidR="00BB7CC1">
        <w:rPr>
          <w:rFonts w:ascii="Arial" w:eastAsia="Calibri" w:hAnsi="Arial" w:cs="Arial"/>
          <w:sz w:val="24"/>
          <w:szCs w:val="24"/>
        </w:rPr>
        <w:t>It is safe to conclude that in this environment the plaintiff could not have continued working beyond the retirement age of sixty (60) as stipulated in clause 1.2 of her employment contract. There is no</w:t>
      </w:r>
      <w:r w:rsidR="001C26D9">
        <w:rPr>
          <w:rFonts w:ascii="Arial" w:eastAsia="Calibri" w:hAnsi="Arial" w:cs="Arial"/>
          <w:sz w:val="24"/>
          <w:szCs w:val="24"/>
        </w:rPr>
        <w:t xml:space="preserve"> conclusive</w:t>
      </w:r>
      <w:r w:rsidR="00BB7CC1">
        <w:rPr>
          <w:rFonts w:ascii="Arial" w:eastAsia="Calibri" w:hAnsi="Arial" w:cs="Arial"/>
          <w:sz w:val="24"/>
          <w:szCs w:val="24"/>
        </w:rPr>
        <w:t xml:space="preserve"> e</w:t>
      </w:r>
      <w:r w:rsidR="003360F4">
        <w:rPr>
          <w:rFonts w:ascii="Arial" w:eastAsia="Calibri" w:hAnsi="Arial" w:cs="Arial"/>
          <w:sz w:val="24"/>
          <w:szCs w:val="24"/>
        </w:rPr>
        <w:t>vidence that she finds it impossible</w:t>
      </w:r>
      <w:r w:rsidR="00BB7CC1">
        <w:rPr>
          <w:rFonts w:ascii="Arial" w:eastAsia="Calibri" w:hAnsi="Arial" w:cs="Arial"/>
          <w:sz w:val="24"/>
          <w:szCs w:val="24"/>
        </w:rPr>
        <w:t xml:space="preserve"> to comply with the intensity of work. There is no independent evidence that the genesis thereof</w:t>
      </w:r>
      <w:r w:rsidR="001C26D9">
        <w:rPr>
          <w:rFonts w:ascii="Arial" w:eastAsia="Calibri" w:hAnsi="Arial" w:cs="Arial"/>
          <w:sz w:val="24"/>
          <w:szCs w:val="24"/>
        </w:rPr>
        <w:t xml:space="preserve"> is the injuries she sustained.</w:t>
      </w:r>
      <w:r w:rsidR="00AD7485">
        <w:rPr>
          <w:rFonts w:ascii="Arial" w:eastAsia="Calibri" w:hAnsi="Arial" w:cs="Arial"/>
          <w:sz w:val="24"/>
          <w:szCs w:val="24"/>
        </w:rPr>
        <w:t xml:space="preserve"> </w:t>
      </w:r>
      <w:r w:rsidR="003360F4">
        <w:rPr>
          <w:rFonts w:ascii="Arial" w:eastAsia="Calibri" w:hAnsi="Arial" w:cs="Arial"/>
          <w:sz w:val="24"/>
          <w:szCs w:val="24"/>
        </w:rPr>
        <w:t xml:space="preserve">In clause 7.1 of the aforementioned employment contract the plaintiff confirmed that she is medically fit to comply with the requirements of the job. Either she lied then or she is doing so now. </w:t>
      </w:r>
      <w:r w:rsidR="00AD7485">
        <w:rPr>
          <w:rFonts w:ascii="Arial" w:eastAsia="Calibri" w:hAnsi="Arial" w:cs="Arial"/>
          <w:sz w:val="24"/>
          <w:szCs w:val="24"/>
        </w:rPr>
        <w:t>Somehow the plaintiff shied away from presenting evidence of her appraisal performance at her current employment. This could have assisted to shed some light about her current difficulties to perform her duties.</w:t>
      </w:r>
    </w:p>
    <w:p w:rsidR="00CF2227" w:rsidRPr="004C5FCD" w:rsidRDefault="00CF2227" w:rsidP="00CF2227">
      <w:pPr>
        <w:spacing w:line="360" w:lineRule="auto"/>
        <w:ind w:left="851" w:hanging="851"/>
        <w:contextualSpacing/>
        <w:jc w:val="both"/>
        <w:rPr>
          <w:rFonts w:ascii="Arial" w:eastAsia="Calibri" w:hAnsi="Arial" w:cs="Arial"/>
          <w:sz w:val="24"/>
          <w:szCs w:val="24"/>
        </w:rPr>
      </w:pPr>
    </w:p>
    <w:p w:rsidR="00CF2227" w:rsidRDefault="00AB2954" w:rsidP="00CF2227">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[9</w:t>
      </w:r>
      <w:r w:rsidR="00CF2227" w:rsidRPr="004C5FCD">
        <w:rPr>
          <w:rFonts w:ascii="Arial" w:eastAsia="Calibri" w:hAnsi="Arial" w:cs="Arial"/>
          <w:sz w:val="24"/>
          <w:szCs w:val="24"/>
        </w:rPr>
        <w:t>]</w:t>
      </w:r>
      <w:r w:rsidR="00CF2227" w:rsidRPr="004C5FCD">
        <w:rPr>
          <w:rFonts w:ascii="Arial" w:eastAsia="Calibri" w:hAnsi="Arial" w:cs="Arial"/>
          <w:sz w:val="24"/>
          <w:szCs w:val="24"/>
        </w:rPr>
        <w:tab/>
      </w:r>
      <w:r w:rsidR="003712EB">
        <w:rPr>
          <w:rFonts w:ascii="Arial" w:eastAsia="Calibri" w:hAnsi="Arial" w:cs="Arial"/>
          <w:sz w:val="24"/>
          <w:szCs w:val="24"/>
        </w:rPr>
        <w:t>The</w:t>
      </w:r>
      <w:r w:rsidR="00BB7CC1">
        <w:rPr>
          <w:rFonts w:ascii="Arial" w:eastAsia="Calibri" w:hAnsi="Arial" w:cs="Arial"/>
          <w:sz w:val="24"/>
          <w:szCs w:val="24"/>
        </w:rPr>
        <w:t xml:space="preserve">re is also no evidence that she is in some kind of sheltered employment. Her evidence is that she has been able to </w:t>
      </w:r>
      <w:r w:rsidR="003E718C">
        <w:rPr>
          <w:rFonts w:ascii="Arial" w:eastAsia="Calibri" w:hAnsi="Arial" w:cs="Arial"/>
          <w:sz w:val="24"/>
          <w:szCs w:val="24"/>
        </w:rPr>
        <w:t>hide away her injuries from her employer for fear of appraisal. This far she has been able to get away with it. If her injuries were so intense, they would have given her away in many ways.</w:t>
      </w:r>
      <w:r>
        <w:rPr>
          <w:rFonts w:ascii="Arial" w:eastAsia="Calibri" w:hAnsi="Arial" w:cs="Arial"/>
          <w:sz w:val="24"/>
          <w:szCs w:val="24"/>
        </w:rPr>
        <w:t xml:space="preserve"> As to why she would go into this elaborate dishonest venture boggles the mind. It cast a dark cloud over her as a witness. This conduct is plain disingenuous.</w:t>
      </w:r>
      <w:r w:rsidR="003E718C">
        <w:rPr>
          <w:rFonts w:ascii="Arial" w:eastAsia="Calibri" w:hAnsi="Arial" w:cs="Arial"/>
          <w:sz w:val="24"/>
          <w:szCs w:val="24"/>
        </w:rPr>
        <w:t xml:space="preserve"> Evidence about her performance</w:t>
      </w:r>
      <w:r w:rsidR="00747F4B">
        <w:rPr>
          <w:rFonts w:ascii="Arial" w:eastAsia="Calibri" w:hAnsi="Arial" w:cs="Arial"/>
          <w:sz w:val="24"/>
          <w:szCs w:val="24"/>
        </w:rPr>
        <w:t>,</w:t>
      </w:r>
      <w:r w:rsidR="003E718C">
        <w:rPr>
          <w:rFonts w:ascii="Arial" w:eastAsia="Calibri" w:hAnsi="Arial" w:cs="Arial"/>
          <w:sz w:val="24"/>
          <w:szCs w:val="24"/>
        </w:rPr>
        <w:t xml:space="preserve"> unacceptable absence from work due to illness and physical</w:t>
      </w:r>
      <w:r w:rsidR="00747F4B">
        <w:rPr>
          <w:rFonts w:ascii="Arial" w:eastAsia="Calibri" w:hAnsi="Arial" w:cs="Arial"/>
          <w:sz w:val="24"/>
          <w:szCs w:val="24"/>
        </w:rPr>
        <w:t xml:space="preserve"> ability to attend to work are all aspects that are missing in her case. The plaintiff rather conveniently, in her papers, left out the payslips of One World Media and attached those of her current employer. They too, indicate that her emoluments particularly commission earned increased instead of dwindling. That speaks to good performance.</w:t>
      </w:r>
    </w:p>
    <w:p w:rsidR="00C65BB7" w:rsidRDefault="00C65BB7" w:rsidP="00CF2227">
      <w:pPr>
        <w:spacing w:line="360" w:lineRule="auto"/>
        <w:ind w:left="851" w:hanging="851"/>
        <w:contextualSpacing/>
        <w:jc w:val="both"/>
        <w:rPr>
          <w:rFonts w:ascii="Arial" w:eastAsia="Calibri" w:hAnsi="Arial" w:cs="Arial"/>
          <w:sz w:val="28"/>
          <w:szCs w:val="28"/>
        </w:rPr>
      </w:pPr>
    </w:p>
    <w:p w:rsidR="00C65BB7" w:rsidRPr="00C65BB7" w:rsidRDefault="00AB2954" w:rsidP="00C65BB7">
      <w:pPr>
        <w:spacing w:line="360" w:lineRule="auto"/>
        <w:ind w:left="851" w:hanging="851"/>
        <w:contextualSpacing/>
        <w:jc w:val="both"/>
        <w:rPr>
          <w:rFonts w:ascii="Arial" w:eastAsia="Calibri" w:hAnsi="Arial" w:cs="Arial"/>
          <w:b/>
          <w:sz w:val="24"/>
          <w:szCs w:val="24"/>
          <w:u w:val="single"/>
        </w:rPr>
      </w:pPr>
      <w:r>
        <w:rPr>
          <w:rFonts w:ascii="Arial" w:eastAsia="Calibri" w:hAnsi="Arial" w:cs="Arial"/>
          <w:sz w:val="24"/>
          <w:szCs w:val="24"/>
        </w:rPr>
        <w:t>[10</w:t>
      </w:r>
      <w:r w:rsidR="00CF2227" w:rsidRPr="004C5FCD">
        <w:rPr>
          <w:rFonts w:ascii="Arial" w:eastAsia="Calibri" w:hAnsi="Arial" w:cs="Arial"/>
          <w:sz w:val="24"/>
          <w:szCs w:val="24"/>
        </w:rPr>
        <w:t>]</w:t>
      </w:r>
      <w:r w:rsidR="00CF2227" w:rsidRPr="004C5FCD">
        <w:rPr>
          <w:rFonts w:ascii="Arial" w:eastAsia="Calibri" w:hAnsi="Arial" w:cs="Arial"/>
          <w:sz w:val="24"/>
          <w:szCs w:val="24"/>
        </w:rPr>
        <w:tab/>
      </w:r>
      <w:r w:rsidR="00747F4B">
        <w:rPr>
          <w:rFonts w:ascii="Arial" w:eastAsia="Calibri" w:hAnsi="Arial" w:cs="Arial"/>
          <w:sz w:val="24"/>
          <w:szCs w:val="24"/>
        </w:rPr>
        <w:t xml:space="preserve">What stand out is that the plaintiff must prove on a preponderance of probabilities the </w:t>
      </w:r>
      <w:r w:rsidR="00107D89">
        <w:rPr>
          <w:rFonts w:ascii="Arial" w:eastAsia="Calibri" w:hAnsi="Arial" w:cs="Arial"/>
          <w:sz w:val="24"/>
          <w:szCs w:val="24"/>
        </w:rPr>
        <w:t xml:space="preserve">causal link between the accident and the damages. The pertinent question is whether the defendant must compensate the plaintiff for her loss of income or earning capacity. It was agreed between the parties that the report of Dr Versfeld pertaining to her present </w:t>
      </w:r>
      <w:r w:rsidR="00965CCB">
        <w:rPr>
          <w:rFonts w:ascii="Arial" w:eastAsia="Calibri" w:hAnsi="Arial" w:cs="Arial"/>
          <w:sz w:val="24"/>
          <w:szCs w:val="24"/>
        </w:rPr>
        <w:t>condition and prognosis would be tendered in evidence without proof.</w:t>
      </w:r>
    </w:p>
    <w:p w:rsidR="00CF2227" w:rsidRPr="004C5FCD" w:rsidRDefault="00CF2227" w:rsidP="00CF2227">
      <w:pPr>
        <w:spacing w:line="360" w:lineRule="auto"/>
        <w:contextualSpacing/>
        <w:jc w:val="both"/>
        <w:rPr>
          <w:rFonts w:ascii="Arial" w:eastAsia="Calibri" w:hAnsi="Arial" w:cs="Arial"/>
          <w:sz w:val="24"/>
          <w:szCs w:val="24"/>
        </w:rPr>
      </w:pPr>
    </w:p>
    <w:p w:rsidR="00345874" w:rsidRDefault="00AB2954" w:rsidP="00C65BB7">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[11</w:t>
      </w:r>
      <w:r w:rsidR="00CF2227" w:rsidRPr="004C5FCD">
        <w:rPr>
          <w:rFonts w:ascii="Arial" w:eastAsia="Calibri" w:hAnsi="Arial" w:cs="Arial"/>
          <w:sz w:val="24"/>
          <w:szCs w:val="24"/>
        </w:rPr>
        <w:t>]</w:t>
      </w:r>
      <w:r w:rsidR="00CF2227" w:rsidRPr="004C5FCD">
        <w:rPr>
          <w:rFonts w:ascii="Arial" w:eastAsia="Calibri" w:hAnsi="Arial" w:cs="Arial"/>
          <w:sz w:val="24"/>
          <w:szCs w:val="24"/>
        </w:rPr>
        <w:tab/>
      </w:r>
      <w:r w:rsidR="00A21549">
        <w:rPr>
          <w:rFonts w:ascii="Arial" w:eastAsia="Calibri" w:hAnsi="Arial" w:cs="Arial"/>
          <w:sz w:val="24"/>
          <w:szCs w:val="24"/>
        </w:rPr>
        <w:t xml:space="preserve">The </w:t>
      </w:r>
      <w:r w:rsidR="00972B25">
        <w:rPr>
          <w:rFonts w:ascii="Arial" w:eastAsia="Calibri" w:hAnsi="Arial" w:cs="Arial"/>
          <w:sz w:val="24"/>
          <w:szCs w:val="24"/>
        </w:rPr>
        <w:t>v</w:t>
      </w:r>
      <w:r w:rsidR="00965CCB">
        <w:rPr>
          <w:rFonts w:ascii="Arial" w:eastAsia="Calibri" w:hAnsi="Arial" w:cs="Arial"/>
          <w:sz w:val="24"/>
          <w:szCs w:val="24"/>
        </w:rPr>
        <w:t xml:space="preserve">ital role of an expert in our law is well-known. It is to assist the court to come to a just decision. The opinion of an expert must make legal sense and </w:t>
      </w:r>
      <w:r>
        <w:rPr>
          <w:rFonts w:ascii="Arial" w:eastAsia="Calibri" w:hAnsi="Arial" w:cs="Arial"/>
          <w:sz w:val="24"/>
          <w:szCs w:val="24"/>
        </w:rPr>
        <w:t xml:space="preserve">be </w:t>
      </w:r>
      <w:r w:rsidR="00965CCB">
        <w:rPr>
          <w:rFonts w:ascii="Arial" w:eastAsia="Calibri" w:hAnsi="Arial" w:cs="Arial"/>
          <w:sz w:val="24"/>
          <w:szCs w:val="24"/>
        </w:rPr>
        <w:t xml:space="preserve">based on the facts. This passage in </w:t>
      </w:r>
      <w:r w:rsidR="00965CCB" w:rsidRPr="00965CCB">
        <w:rPr>
          <w:rFonts w:ascii="Arial" w:eastAsia="Calibri" w:hAnsi="Arial" w:cs="Arial"/>
          <w:b/>
          <w:sz w:val="24"/>
          <w:szCs w:val="24"/>
        </w:rPr>
        <w:t>Schneider NO and Others v AA and Another</w:t>
      </w:r>
      <w:r w:rsidR="00965CCB">
        <w:rPr>
          <w:rFonts w:ascii="Arial" w:eastAsia="Calibri" w:hAnsi="Arial" w:cs="Arial"/>
          <w:b/>
          <w:sz w:val="24"/>
          <w:szCs w:val="24"/>
        </w:rPr>
        <w:t xml:space="preserve"> </w:t>
      </w:r>
      <w:r w:rsidR="00965CCB">
        <w:rPr>
          <w:rFonts w:ascii="Arial" w:eastAsia="Calibri" w:hAnsi="Arial" w:cs="Arial"/>
          <w:sz w:val="24"/>
          <w:szCs w:val="24"/>
        </w:rPr>
        <w:t>is illustrative</w:t>
      </w:r>
      <w:r w:rsidR="005F3DC9">
        <w:rPr>
          <w:rFonts w:ascii="Arial" w:eastAsia="Calibri" w:hAnsi="Arial" w:cs="Arial"/>
          <w:sz w:val="24"/>
          <w:szCs w:val="24"/>
        </w:rPr>
        <w:t xml:space="preserve"> of the approach followed in our courts. It reads as follows: -</w:t>
      </w:r>
    </w:p>
    <w:p w:rsidR="005F3DC9" w:rsidRPr="00C35659" w:rsidRDefault="005F3DC9" w:rsidP="005F3DC9">
      <w:pPr>
        <w:spacing w:after="0" w:line="360" w:lineRule="auto"/>
        <w:ind w:left="1701" w:right="1254"/>
        <w:jc w:val="both"/>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w:t>
      </w:r>
      <w:r w:rsidRPr="00C35659">
        <w:rPr>
          <w:rFonts w:ascii="Arial" w:eastAsia="Times New Roman" w:hAnsi="Arial" w:cs="Arial"/>
          <w:color w:val="000000"/>
          <w:sz w:val="20"/>
          <w:szCs w:val="20"/>
          <w:lang w:eastAsia="en-ZA"/>
        </w:rPr>
        <w:t>In short, an expert comes to court to give the court the benefit of his or her expertise. Agreed, an expert is called by a particular party, presumably because the conclusion of the expert, using his or her expertise, is in favour of the line of argument of the particular party. But that does not absolve the expert from providing the court with as objective and unbiased an opinion, based on his or her expertise, as possible. An expert is not a hired gun who dispenses his or her expertise for the purposes of a particular case. An expert does not assume the role of an advocate, nor gives evidence which goes beyond the logic which is dictated by the scientific knowledge whic</w:t>
      </w:r>
      <w:r>
        <w:rPr>
          <w:rFonts w:ascii="Arial" w:eastAsia="Times New Roman" w:hAnsi="Arial" w:cs="Arial"/>
          <w:color w:val="000000"/>
          <w:sz w:val="20"/>
          <w:szCs w:val="20"/>
          <w:lang w:eastAsia="en-ZA"/>
        </w:rPr>
        <w:t>h that expert claims to possess”.</w:t>
      </w:r>
      <w:r>
        <w:rPr>
          <w:rStyle w:val="FootnoteReference"/>
          <w:rFonts w:ascii="Arial" w:eastAsia="Times New Roman" w:hAnsi="Arial" w:cs="Arial"/>
          <w:color w:val="000000"/>
          <w:sz w:val="20"/>
          <w:szCs w:val="20"/>
          <w:lang w:eastAsia="en-ZA"/>
        </w:rPr>
        <w:footnoteReference w:id="1"/>
      </w:r>
    </w:p>
    <w:p w:rsidR="005F3DC9" w:rsidRPr="00965CCB" w:rsidRDefault="005F3DC9" w:rsidP="00C65BB7">
      <w:pPr>
        <w:spacing w:line="360" w:lineRule="auto"/>
        <w:ind w:left="851" w:hanging="851"/>
        <w:contextualSpacing/>
        <w:jc w:val="both"/>
        <w:rPr>
          <w:rFonts w:ascii="Arial" w:hAnsi="Arial" w:cs="Arial"/>
          <w:sz w:val="20"/>
          <w:szCs w:val="20"/>
        </w:rPr>
      </w:pPr>
    </w:p>
    <w:p w:rsidR="00CF2227" w:rsidRPr="005F3DC9" w:rsidRDefault="003C3AB6" w:rsidP="00CF2227">
      <w:pPr>
        <w:spacing w:line="360" w:lineRule="auto"/>
        <w:ind w:left="851" w:hanging="851"/>
        <w:contextualSpacing/>
        <w:jc w:val="both"/>
        <w:rPr>
          <w:rFonts w:ascii="Arial" w:eastAsia="Calibri" w:hAnsi="Arial" w:cs="Arial"/>
          <w:b/>
          <w:sz w:val="24"/>
          <w:szCs w:val="24"/>
        </w:rPr>
      </w:pPr>
      <w:r>
        <w:rPr>
          <w:rFonts w:ascii="Arial" w:eastAsia="Calibri" w:hAnsi="Arial" w:cs="Arial"/>
          <w:sz w:val="24"/>
          <w:szCs w:val="24"/>
        </w:rPr>
        <w:t>[1</w:t>
      </w:r>
      <w:r w:rsidR="00AB2954">
        <w:rPr>
          <w:rFonts w:ascii="Arial" w:eastAsia="Calibri" w:hAnsi="Arial" w:cs="Arial"/>
          <w:sz w:val="24"/>
          <w:szCs w:val="24"/>
        </w:rPr>
        <w:t>2</w:t>
      </w:r>
      <w:r w:rsidR="00CF2227" w:rsidRPr="004C5FCD">
        <w:rPr>
          <w:rFonts w:ascii="Arial" w:eastAsia="Calibri" w:hAnsi="Arial" w:cs="Arial"/>
          <w:sz w:val="24"/>
          <w:szCs w:val="24"/>
        </w:rPr>
        <w:t>]</w:t>
      </w:r>
      <w:r w:rsidR="00CF2227" w:rsidRPr="004C5FCD">
        <w:rPr>
          <w:rFonts w:ascii="Arial" w:eastAsia="Calibri" w:hAnsi="Arial" w:cs="Arial"/>
          <w:sz w:val="24"/>
          <w:szCs w:val="24"/>
        </w:rPr>
        <w:tab/>
      </w:r>
      <w:r w:rsidR="006973F4">
        <w:rPr>
          <w:rFonts w:ascii="Arial" w:eastAsia="Calibri" w:hAnsi="Arial" w:cs="Arial"/>
          <w:sz w:val="24"/>
          <w:szCs w:val="24"/>
        </w:rPr>
        <w:t>Th</w:t>
      </w:r>
      <w:r w:rsidR="005F3DC9">
        <w:rPr>
          <w:rFonts w:ascii="Arial" w:eastAsia="Calibri" w:hAnsi="Arial" w:cs="Arial"/>
          <w:sz w:val="24"/>
          <w:szCs w:val="24"/>
        </w:rPr>
        <w:t xml:space="preserve">e two (2) experts that were called seemed to be leaning exclusively on the side of the plaintiff. It is the duty of the plaintiff to put before her experts all relevant information before them so that a proper evaluation can be made. An opinion can only be underpinned by proper reasoning if the facts are correct. Despite being confronted by these, the experts found it difficult to concede. The court ventures to say that if proper facts </w:t>
      </w:r>
      <w:r w:rsidR="005F3DC9">
        <w:rPr>
          <w:rFonts w:ascii="Arial" w:eastAsia="Calibri" w:hAnsi="Arial" w:cs="Arial"/>
          <w:i/>
          <w:sz w:val="24"/>
          <w:szCs w:val="24"/>
        </w:rPr>
        <w:t xml:space="preserve">inter alia </w:t>
      </w:r>
      <w:r w:rsidR="005F3DC9">
        <w:rPr>
          <w:rFonts w:ascii="Arial" w:eastAsia="Calibri" w:hAnsi="Arial" w:cs="Arial"/>
          <w:sz w:val="24"/>
          <w:szCs w:val="24"/>
        </w:rPr>
        <w:t>about her age of retirement were put before experts, their opinion on this aspect w</w:t>
      </w:r>
      <w:r w:rsidR="00765F45">
        <w:rPr>
          <w:rFonts w:ascii="Arial" w:eastAsia="Calibri" w:hAnsi="Arial" w:cs="Arial"/>
          <w:sz w:val="24"/>
          <w:szCs w:val="24"/>
        </w:rPr>
        <w:t>ould have been different.</w:t>
      </w:r>
    </w:p>
    <w:p w:rsidR="00CF2227" w:rsidRPr="004C5FCD" w:rsidRDefault="00CF2227" w:rsidP="00CF2227">
      <w:pPr>
        <w:spacing w:line="360" w:lineRule="auto"/>
        <w:ind w:left="851" w:hanging="851"/>
        <w:contextualSpacing/>
        <w:jc w:val="both"/>
        <w:rPr>
          <w:rFonts w:ascii="Arial" w:eastAsia="Calibri" w:hAnsi="Arial" w:cs="Arial"/>
          <w:sz w:val="24"/>
          <w:szCs w:val="24"/>
        </w:rPr>
      </w:pPr>
    </w:p>
    <w:p w:rsidR="002C5D61" w:rsidRPr="004C5FCD" w:rsidRDefault="003C3AB6" w:rsidP="00D65FE4">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[1</w:t>
      </w:r>
      <w:r w:rsidR="00AB2954">
        <w:rPr>
          <w:rFonts w:ascii="Arial" w:eastAsia="Calibri" w:hAnsi="Arial" w:cs="Arial"/>
          <w:sz w:val="24"/>
          <w:szCs w:val="24"/>
        </w:rPr>
        <w:t>3</w:t>
      </w:r>
      <w:r w:rsidR="00CF2227" w:rsidRPr="004C5FCD">
        <w:rPr>
          <w:rFonts w:ascii="Arial" w:eastAsia="Calibri" w:hAnsi="Arial" w:cs="Arial"/>
          <w:sz w:val="24"/>
          <w:szCs w:val="24"/>
        </w:rPr>
        <w:t>]</w:t>
      </w:r>
      <w:r w:rsidR="00CF2227" w:rsidRPr="004C5FCD">
        <w:rPr>
          <w:rFonts w:ascii="Arial" w:eastAsia="Calibri" w:hAnsi="Arial" w:cs="Arial"/>
          <w:sz w:val="24"/>
          <w:szCs w:val="24"/>
        </w:rPr>
        <w:tab/>
      </w:r>
      <w:r w:rsidR="00765F45">
        <w:rPr>
          <w:rFonts w:ascii="Arial" w:eastAsia="Calibri" w:hAnsi="Arial" w:cs="Arial"/>
          <w:sz w:val="24"/>
          <w:szCs w:val="24"/>
        </w:rPr>
        <w:t xml:space="preserve">Counsel for the defendant </w:t>
      </w:r>
      <w:r w:rsidR="007C5A26">
        <w:rPr>
          <w:rFonts w:ascii="Arial" w:eastAsia="Calibri" w:hAnsi="Arial" w:cs="Arial"/>
          <w:sz w:val="24"/>
          <w:szCs w:val="24"/>
        </w:rPr>
        <w:t xml:space="preserve">contended that the plaintiff has failed to establish that she suffered any loss of future </w:t>
      </w:r>
      <w:r w:rsidR="00D710A1">
        <w:rPr>
          <w:rFonts w:ascii="Arial" w:eastAsia="Calibri" w:hAnsi="Arial" w:cs="Arial"/>
          <w:sz w:val="24"/>
          <w:szCs w:val="24"/>
        </w:rPr>
        <w:t>earnings. The defendant correctly conceded</w:t>
      </w:r>
      <w:r w:rsidR="007C5A26">
        <w:rPr>
          <w:rFonts w:ascii="Arial" w:eastAsia="Calibri" w:hAnsi="Arial" w:cs="Arial"/>
          <w:sz w:val="24"/>
          <w:szCs w:val="24"/>
        </w:rPr>
        <w:t xml:space="preserve"> the existence of diminished earning capacity. The legal position is trite that the capacity to earn is part of a person’s estate</w:t>
      </w:r>
      <w:r w:rsidR="00AB2954">
        <w:rPr>
          <w:rFonts w:ascii="Arial" w:eastAsia="Calibri" w:hAnsi="Arial" w:cs="Arial"/>
          <w:sz w:val="24"/>
          <w:szCs w:val="24"/>
        </w:rPr>
        <w:t>.</w:t>
      </w:r>
      <w:r w:rsidR="007C5A26">
        <w:rPr>
          <w:rFonts w:ascii="Arial" w:eastAsia="Calibri" w:hAnsi="Arial" w:cs="Arial"/>
          <w:sz w:val="24"/>
          <w:szCs w:val="24"/>
        </w:rPr>
        <w:t xml:space="preserve"> </w:t>
      </w:r>
      <w:r w:rsidR="00AB2954">
        <w:rPr>
          <w:rFonts w:ascii="Arial" w:eastAsia="Calibri" w:hAnsi="Arial" w:cs="Arial"/>
          <w:sz w:val="24"/>
          <w:szCs w:val="24"/>
        </w:rPr>
        <w:t>T</w:t>
      </w:r>
      <w:r w:rsidR="007C5A26">
        <w:rPr>
          <w:rFonts w:ascii="Arial" w:eastAsia="Calibri" w:hAnsi="Arial" w:cs="Arial"/>
          <w:sz w:val="24"/>
          <w:szCs w:val="24"/>
        </w:rPr>
        <w:t>herefore</w:t>
      </w:r>
      <w:r w:rsidR="00AB2954">
        <w:rPr>
          <w:rFonts w:ascii="Arial" w:eastAsia="Calibri" w:hAnsi="Arial" w:cs="Arial"/>
          <w:sz w:val="24"/>
          <w:szCs w:val="24"/>
        </w:rPr>
        <w:t>,</w:t>
      </w:r>
      <w:r w:rsidR="007C5A26">
        <w:rPr>
          <w:rFonts w:ascii="Arial" w:eastAsia="Calibri" w:hAnsi="Arial" w:cs="Arial"/>
          <w:sz w:val="24"/>
          <w:szCs w:val="24"/>
        </w:rPr>
        <w:t xml:space="preserve"> a person must be compensated for the loss or impairment</w:t>
      </w:r>
      <w:r w:rsidR="007A26F9">
        <w:rPr>
          <w:rFonts w:ascii="Arial" w:eastAsia="Calibri" w:hAnsi="Arial" w:cs="Arial"/>
          <w:sz w:val="24"/>
          <w:szCs w:val="24"/>
        </w:rPr>
        <w:t xml:space="preserve"> if it has the effect of diminishing his/her estate.</w:t>
      </w:r>
      <w:r w:rsidR="007A26F9">
        <w:rPr>
          <w:rStyle w:val="FootnoteReference"/>
          <w:rFonts w:ascii="Arial" w:eastAsia="Calibri" w:hAnsi="Arial" w:cs="Arial"/>
          <w:sz w:val="24"/>
          <w:szCs w:val="24"/>
        </w:rPr>
        <w:footnoteReference w:id="2"/>
      </w:r>
      <w:r w:rsidR="007A26F9">
        <w:rPr>
          <w:rFonts w:ascii="Arial" w:eastAsia="Calibri" w:hAnsi="Arial" w:cs="Arial"/>
          <w:sz w:val="24"/>
          <w:szCs w:val="24"/>
        </w:rPr>
        <w:t xml:space="preserve"> In order to qualify it simply means that the capacity to earn must no longer be there.</w:t>
      </w:r>
    </w:p>
    <w:p w:rsidR="00ED0752" w:rsidRPr="004C5FCD" w:rsidRDefault="00ED0752" w:rsidP="00D65FE4">
      <w:pPr>
        <w:spacing w:line="360" w:lineRule="auto"/>
        <w:ind w:left="851" w:hanging="851"/>
        <w:contextualSpacing/>
        <w:jc w:val="both"/>
        <w:rPr>
          <w:rFonts w:ascii="Arial" w:eastAsia="Calibri" w:hAnsi="Arial" w:cs="Arial"/>
          <w:sz w:val="24"/>
          <w:szCs w:val="24"/>
        </w:rPr>
      </w:pPr>
    </w:p>
    <w:p w:rsidR="00E47173" w:rsidRPr="004C5FCD" w:rsidRDefault="003C3AB6" w:rsidP="00AC7F5B">
      <w:pPr>
        <w:spacing w:line="360" w:lineRule="auto"/>
        <w:ind w:left="851" w:hanging="851"/>
        <w:contextualSpacing/>
        <w:jc w:val="both"/>
        <w:rPr>
          <w:rFonts w:ascii="Arial" w:eastAsia="Calibri" w:hAnsi="Arial" w:cs="Arial"/>
          <w:b/>
          <w:sz w:val="24"/>
          <w:szCs w:val="24"/>
          <w:u w:val="single"/>
        </w:rPr>
      </w:pPr>
      <w:r>
        <w:rPr>
          <w:rFonts w:ascii="Arial" w:eastAsia="Calibri" w:hAnsi="Arial" w:cs="Arial"/>
          <w:sz w:val="24"/>
          <w:szCs w:val="24"/>
        </w:rPr>
        <w:t>[1</w:t>
      </w:r>
      <w:r w:rsidR="00AB2954">
        <w:rPr>
          <w:rFonts w:ascii="Arial" w:eastAsia="Calibri" w:hAnsi="Arial" w:cs="Arial"/>
          <w:sz w:val="24"/>
          <w:szCs w:val="24"/>
        </w:rPr>
        <w:t>4</w:t>
      </w:r>
      <w:r w:rsidR="00CF2227" w:rsidRPr="004C5FCD">
        <w:rPr>
          <w:rFonts w:ascii="Arial" w:eastAsia="Calibri" w:hAnsi="Arial" w:cs="Arial"/>
          <w:sz w:val="24"/>
          <w:szCs w:val="24"/>
        </w:rPr>
        <w:t>]</w:t>
      </w:r>
      <w:r w:rsidR="00CF2227" w:rsidRPr="004C5FCD">
        <w:rPr>
          <w:rFonts w:ascii="Arial" w:eastAsia="Calibri" w:hAnsi="Arial" w:cs="Arial"/>
          <w:sz w:val="24"/>
          <w:szCs w:val="24"/>
        </w:rPr>
        <w:tab/>
      </w:r>
      <w:r w:rsidR="007A26F9">
        <w:rPr>
          <w:rFonts w:ascii="Arial" w:eastAsia="Calibri" w:hAnsi="Arial" w:cs="Arial"/>
          <w:sz w:val="24"/>
          <w:szCs w:val="24"/>
        </w:rPr>
        <w:t>This court agrees with the contention above for the reasons that were enumerated in the analysis of the</w:t>
      </w:r>
      <w:r w:rsidR="00AB2954">
        <w:rPr>
          <w:rFonts w:ascii="Arial" w:eastAsia="Calibri" w:hAnsi="Arial" w:cs="Arial"/>
          <w:sz w:val="24"/>
          <w:szCs w:val="24"/>
        </w:rPr>
        <w:t xml:space="preserve"> mosaic of</w:t>
      </w:r>
      <w:r w:rsidR="007A26F9">
        <w:rPr>
          <w:rFonts w:ascii="Arial" w:eastAsia="Calibri" w:hAnsi="Arial" w:cs="Arial"/>
          <w:sz w:val="24"/>
          <w:szCs w:val="24"/>
        </w:rPr>
        <w:t xml:space="preserve"> evidence on behalf of the plaintiff. It </w:t>
      </w:r>
      <w:r w:rsidR="0098181F">
        <w:rPr>
          <w:rFonts w:ascii="Arial" w:eastAsia="Calibri" w:hAnsi="Arial" w:cs="Arial"/>
          <w:sz w:val="24"/>
          <w:szCs w:val="24"/>
        </w:rPr>
        <w:t>has already been stated that in assessing the expert evidence, there must be satisfaction that his/her opinion had a foundation in logical reasoning.</w:t>
      </w:r>
      <w:r w:rsidR="0098181F">
        <w:rPr>
          <w:rStyle w:val="FootnoteReference"/>
          <w:rFonts w:ascii="Arial" w:eastAsia="Calibri" w:hAnsi="Arial" w:cs="Arial"/>
          <w:sz w:val="24"/>
          <w:szCs w:val="24"/>
        </w:rPr>
        <w:footnoteReference w:id="3"/>
      </w:r>
      <w:r w:rsidR="0098181F">
        <w:rPr>
          <w:rFonts w:ascii="Arial" w:eastAsia="Calibri" w:hAnsi="Arial" w:cs="Arial"/>
          <w:sz w:val="24"/>
          <w:szCs w:val="24"/>
        </w:rPr>
        <w:t xml:space="preserve"> A court must be content that the expert has considered comparative rules and benefits and has “reached a defensible conc</w:t>
      </w:r>
      <w:r w:rsidR="00AB2954">
        <w:rPr>
          <w:rFonts w:ascii="Arial" w:eastAsia="Calibri" w:hAnsi="Arial" w:cs="Arial"/>
          <w:sz w:val="24"/>
          <w:szCs w:val="24"/>
        </w:rPr>
        <w:t>lusion”. On this aspect and</w:t>
      </w:r>
      <w:r w:rsidR="0098181F">
        <w:rPr>
          <w:rFonts w:ascii="Arial" w:eastAsia="Calibri" w:hAnsi="Arial" w:cs="Arial"/>
          <w:sz w:val="24"/>
          <w:szCs w:val="24"/>
        </w:rPr>
        <w:t xml:space="preserve"> because of the paucity of the facts, that is not the case with the experts called for the plaintiff. Despite clear pointers that their conclusions were also based on wrong facts, the two experts were hell-bent to rely on their reports.</w:t>
      </w:r>
    </w:p>
    <w:p w:rsidR="009F1FB5" w:rsidRPr="004C5FCD" w:rsidRDefault="009F1FB5" w:rsidP="009F1FB5">
      <w:pPr>
        <w:tabs>
          <w:tab w:val="left" w:pos="3105"/>
        </w:tabs>
        <w:rPr>
          <w:rFonts w:ascii="Arial" w:hAnsi="Arial" w:cs="Arial"/>
          <w:b/>
          <w:sz w:val="24"/>
          <w:szCs w:val="24"/>
          <w:lang w:val="en-US"/>
        </w:rPr>
      </w:pPr>
    </w:p>
    <w:p w:rsidR="009B5C40" w:rsidRPr="007165FF" w:rsidRDefault="00EC46BB" w:rsidP="009B5C40">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w:t>
      </w:r>
      <w:r w:rsidR="00AB2954">
        <w:rPr>
          <w:rFonts w:ascii="Arial" w:eastAsia="Calibri" w:hAnsi="Arial" w:cs="Arial"/>
          <w:sz w:val="24"/>
          <w:szCs w:val="24"/>
        </w:rPr>
        <w:t>15</w:t>
      </w:r>
      <w:r w:rsidR="009B5C40" w:rsidRPr="004C5FCD">
        <w:rPr>
          <w:rFonts w:ascii="Arial" w:eastAsia="Calibri" w:hAnsi="Arial" w:cs="Arial"/>
          <w:sz w:val="24"/>
          <w:szCs w:val="24"/>
        </w:rPr>
        <w:t>]</w:t>
      </w:r>
      <w:r w:rsidR="009B5C40" w:rsidRPr="004C5FCD">
        <w:rPr>
          <w:rFonts w:ascii="Arial" w:eastAsia="Calibri" w:hAnsi="Arial" w:cs="Arial"/>
          <w:sz w:val="24"/>
          <w:szCs w:val="24"/>
        </w:rPr>
        <w:tab/>
      </w:r>
      <w:r w:rsidR="00E431F8">
        <w:rPr>
          <w:rFonts w:ascii="Arial" w:eastAsia="Calibri" w:hAnsi="Arial" w:cs="Arial"/>
          <w:sz w:val="24"/>
          <w:szCs w:val="24"/>
        </w:rPr>
        <w:t>The point is that despite her injuries, the plaintiff has not allowed it to hinder her from progre</w:t>
      </w:r>
      <w:r w:rsidR="00AB2954">
        <w:rPr>
          <w:rFonts w:ascii="Arial" w:eastAsia="Calibri" w:hAnsi="Arial" w:cs="Arial"/>
          <w:sz w:val="24"/>
          <w:szCs w:val="24"/>
        </w:rPr>
        <w:t>ssing in her work. H</w:t>
      </w:r>
      <w:r w:rsidR="00E431F8">
        <w:rPr>
          <w:rFonts w:ascii="Arial" w:eastAsia="Calibri" w:hAnsi="Arial" w:cs="Arial"/>
          <w:sz w:val="24"/>
          <w:szCs w:val="24"/>
        </w:rPr>
        <w:t>er</w:t>
      </w:r>
      <w:r w:rsidR="00AB2954">
        <w:rPr>
          <w:rFonts w:ascii="Arial" w:eastAsia="Calibri" w:hAnsi="Arial" w:cs="Arial"/>
          <w:sz w:val="24"/>
          <w:szCs w:val="24"/>
        </w:rPr>
        <w:t xml:space="preserve"> </w:t>
      </w:r>
      <w:r w:rsidR="00E431F8">
        <w:rPr>
          <w:rFonts w:ascii="Arial" w:eastAsia="Calibri" w:hAnsi="Arial" w:cs="Arial"/>
          <w:sz w:val="24"/>
          <w:szCs w:val="24"/>
        </w:rPr>
        <w:t xml:space="preserve">academic achievement is unaffected and there is no evidence that it will be in the future. The plaintiff is </w:t>
      </w:r>
      <w:r w:rsidR="000B445B">
        <w:rPr>
          <w:rFonts w:ascii="Arial" w:eastAsia="Calibri" w:hAnsi="Arial" w:cs="Arial"/>
          <w:sz w:val="24"/>
          <w:szCs w:val="24"/>
        </w:rPr>
        <w:t>already doing work of sedentary nature. With her ever improving qualifications, it can be accepted that she will not have to do work which requires physical strength. Even in her previous employ, she only</w:t>
      </w:r>
      <w:r w:rsidR="00AB2954">
        <w:rPr>
          <w:rFonts w:ascii="Arial" w:eastAsia="Calibri" w:hAnsi="Arial" w:cs="Arial"/>
          <w:sz w:val="24"/>
          <w:szCs w:val="24"/>
        </w:rPr>
        <w:t xml:space="preserve"> did that because of the </w:t>
      </w:r>
      <w:r w:rsidR="000B445B">
        <w:rPr>
          <w:rFonts w:ascii="Arial" w:eastAsia="Calibri" w:hAnsi="Arial" w:cs="Arial"/>
          <w:sz w:val="24"/>
          <w:szCs w:val="24"/>
        </w:rPr>
        <w:t>size</w:t>
      </w:r>
      <w:r w:rsidR="00AB2954">
        <w:rPr>
          <w:rFonts w:ascii="Arial" w:eastAsia="Calibri" w:hAnsi="Arial" w:cs="Arial"/>
          <w:sz w:val="24"/>
          <w:szCs w:val="24"/>
        </w:rPr>
        <w:t xml:space="preserve"> of her company</w:t>
      </w:r>
      <w:r w:rsidR="000B445B">
        <w:rPr>
          <w:rFonts w:ascii="Arial" w:eastAsia="Calibri" w:hAnsi="Arial" w:cs="Arial"/>
          <w:sz w:val="24"/>
          <w:szCs w:val="24"/>
        </w:rPr>
        <w:t xml:space="preserve">. The evidence shows that </w:t>
      </w:r>
      <w:r w:rsidR="00AB2954">
        <w:rPr>
          <w:rFonts w:ascii="Arial" w:eastAsia="Calibri" w:hAnsi="Arial" w:cs="Arial"/>
          <w:sz w:val="24"/>
          <w:szCs w:val="24"/>
        </w:rPr>
        <w:t>it is not the case with her counterparts who are employed in much bigger companies</w:t>
      </w:r>
      <w:r w:rsidR="000B445B">
        <w:rPr>
          <w:rFonts w:ascii="Arial" w:eastAsia="Calibri" w:hAnsi="Arial" w:cs="Arial"/>
          <w:sz w:val="24"/>
          <w:szCs w:val="24"/>
        </w:rPr>
        <w:t>.</w:t>
      </w:r>
    </w:p>
    <w:p w:rsidR="00EC46BB" w:rsidRDefault="00EC46BB" w:rsidP="009B5C40">
      <w:pPr>
        <w:spacing w:line="360" w:lineRule="auto"/>
        <w:ind w:left="851" w:hanging="851"/>
        <w:contextualSpacing/>
        <w:jc w:val="both"/>
        <w:rPr>
          <w:rFonts w:ascii="Arial" w:eastAsia="Calibri" w:hAnsi="Arial" w:cs="Arial"/>
          <w:sz w:val="24"/>
          <w:szCs w:val="24"/>
        </w:rPr>
      </w:pPr>
    </w:p>
    <w:p w:rsidR="00EC46BB" w:rsidRDefault="00AB2954" w:rsidP="00EC46BB">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[16</w:t>
      </w:r>
      <w:r w:rsidR="00EC46BB" w:rsidRPr="004C5FCD">
        <w:rPr>
          <w:rFonts w:ascii="Arial" w:eastAsia="Calibri" w:hAnsi="Arial" w:cs="Arial"/>
          <w:sz w:val="24"/>
          <w:szCs w:val="24"/>
        </w:rPr>
        <w:t>]</w:t>
      </w:r>
      <w:r w:rsidR="00EC46BB" w:rsidRPr="004C5FCD">
        <w:rPr>
          <w:rFonts w:ascii="Arial" w:eastAsia="Calibri" w:hAnsi="Arial" w:cs="Arial"/>
          <w:sz w:val="24"/>
          <w:szCs w:val="24"/>
        </w:rPr>
        <w:tab/>
      </w:r>
      <w:r w:rsidR="000B445B">
        <w:rPr>
          <w:rFonts w:ascii="Arial" w:eastAsia="Calibri" w:hAnsi="Arial" w:cs="Arial"/>
          <w:sz w:val="24"/>
          <w:szCs w:val="24"/>
        </w:rPr>
        <w:t>It is trite that once the plaintiff has established that her injuries</w:t>
      </w:r>
      <w:r w:rsidR="00061A45">
        <w:rPr>
          <w:rFonts w:ascii="Arial" w:eastAsia="Calibri" w:hAnsi="Arial" w:cs="Arial"/>
          <w:sz w:val="24"/>
          <w:szCs w:val="24"/>
        </w:rPr>
        <w:t xml:space="preserve"> </w:t>
      </w:r>
      <w:r w:rsidR="00480DEF">
        <w:rPr>
          <w:rFonts w:ascii="Arial" w:eastAsia="Calibri" w:hAnsi="Arial" w:cs="Arial"/>
          <w:sz w:val="24"/>
          <w:szCs w:val="24"/>
        </w:rPr>
        <w:t xml:space="preserve">have somewhat compromised her earning capacity, she is entitled to damages. The approach of the court quoted in a long line of cases was articulated in </w:t>
      </w:r>
      <w:r w:rsidR="00480DEF">
        <w:rPr>
          <w:rFonts w:ascii="Arial" w:eastAsia="Calibri" w:hAnsi="Arial" w:cs="Arial"/>
          <w:b/>
          <w:sz w:val="24"/>
          <w:szCs w:val="24"/>
        </w:rPr>
        <w:t xml:space="preserve">Herman v Shapiro &amp; Co </w:t>
      </w:r>
      <w:r w:rsidR="00480DEF">
        <w:rPr>
          <w:rFonts w:ascii="Arial" w:eastAsia="Calibri" w:hAnsi="Arial" w:cs="Arial"/>
          <w:sz w:val="24"/>
          <w:szCs w:val="24"/>
        </w:rPr>
        <w:t>in the following terms: -</w:t>
      </w:r>
    </w:p>
    <w:p w:rsidR="00DD6232" w:rsidRDefault="00DD6232" w:rsidP="00EC46BB">
      <w:pPr>
        <w:spacing w:line="360" w:lineRule="auto"/>
        <w:ind w:left="851" w:hanging="851"/>
        <w:contextualSpacing/>
        <w:jc w:val="both"/>
        <w:rPr>
          <w:rFonts w:ascii="Arial" w:eastAsia="Calibri" w:hAnsi="Arial" w:cs="Arial"/>
          <w:sz w:val="24"/>
          <w:szCs w:val="24"/>
        </w:rPr>
      </w:pPr>
    </w:p>
    <w:p w:rsidR="00480DEF" w:rsidRPr="00FD79D6" w:rsidRDefault="00480DEF" w:rsidP="00FD79D6">
      <w:pPr>
        <w:spacing w:line="360" w:lineRule="auto"/>
        <w:ind w:left="1701" w:right="1254"/>
        <w:contextualSpacing/>
        <w:jc w:val="both"/>
        <w:rPr>
          <w:rFonts w:ascii="Arial" w:eastAsia="Calibri" w:hAnsi="Arial" w:cs="Arial"/>
          <w:sz w:val="20"/>
          <w:szCs w:val="20"/>
        </w:rPr>
      </w:pPr>
      <w:r w:rsidRPr="00FD79D6">
        <w:rPr>
          <w:rFonts w:ascii="Arial" w:eastAsia="Calibri" w:hAnsi="Arial" w:cs="Arial"/>
          <w:sz w:val="20"/>
          <w:szCs w:val="20"/>
        </w:rPr>
        <w:t>“Monetary damage having been suffered, it is necessary for the Court to assess the amount and make the best use it can of the evidence before it. There are cases where the assessment by the Court is very little more than an estimate; but even so, if it is certain that pecuniary damage has been suffered, the Court is bound to award damages”.</w:t>
      </w:r>
      <w:r w:rsidRPr="00FD79D6">
        <w:rPr>
          <w:rStyle w:val="FootnoteReference"/>
          <w:rFonts w:ascii="Arial" w:eastAsia="Calibri" w:hAnsi="Arial" w:cs="Arial"/>
          <w:sz w:val="20"/>
          <w:szCs w:val="20"/>
        </w:rPr>
        <w:footnoteReference w:id="4"/>
      </w:r>
    </w:p>
    <w:p w:rsidR="00EC46BB" w:rsidRDefault="00EC46BB" w:rsidP="00EC46BB">
      <w:pPr>
        <w:spacing w:line="360" w:lineRule="auto"/>
        <w:ind w:left="851" w:hanging="851"/>
        <w:contextualSpacing/>
        <w:jc w:val="both"/>
        <w:rPr>
          <w:rFonts w:ascii="Arial" w:eastAsia="Calibri" w:hAnsi="Arial" w:cs="Arial"/>
          <w:sz w:val="24"/>
          <w:szCs w:val="24"/>
        </w:rPr>
      </w:pPr>
    </w:p>
    <w:p w:rsidR="009A62DA" w:rsidRDefault="00EC46BB" w:rsidP="009A62DA">
      <w:pPr>
        <w:spacing w:line="360" w:lineRule="auto"/>
        <w:ind w:left="851" w:hanging="851"/>
        <w:contextualSpacing/>
        <w:jc w:val="both"/>
        <w:rPr>
          <w:rFonts w:ascii="Arial" w:eastAsia="Calibri" w:hAnsi="Arial" w:cs="Arial"/>
          <w:sz w:val="24"/>
          <w:szCs w:val="24"/>
        </w:rPr>
      </w:pPr>
      <w:r w:rsidRPr="004C5FCD">
        <w:rPr>
          <w:rFonts w:ascii="Arial" w:eastAsia="Calibri" w:hAnsi="Arial" w:cs="Arial"/>
          <w:sz w:val="24"/>
          <w:szCs w:val="24"/>
        </w:rPr>
        <w:t>[1</w:t>
      </w:r>
      <w:r w:rsidR="00AB2954">
        <w:rPr>
          <w:rFonts w:ascii="Arial" w:eastAsia="Calibri" w:hAnsi="Arial" w:cs="Arial"/>
          <w:sz w:val="24"/>
          <w:szCs w:val="24"/>
        </w:rPr>
        <w:t>7</w:t>
      </w:r>
      <w:r w:rsidRPr="004C5FCD">
        <w:rPr>
          <w:rFonts w:ascii="Arial" w:eastAsia="Calibri" w:hAnsi="Arial" w:cs="Arial"/>
          <w:sz w:val="24"/>
          <w:szCs w:val="24"/>
        </w:rPr>
        <w:t>]</w:t>
      </w:r>
      <w:r w:rsidRPr="004C5FCD">
        <w:rPr>
          <w:rFonts w:ascii="Arial" w:eastAsia="Calibri" w:hAnsi="Arial" w:cs="Arial"/>
          <w:sz w:val="24"/>
          <w:szCs w:val="24"/>
        </w:rPr>
        <w:tab/>
      </w:r>
      <w:r w:rsidR="00FD79D6">
        <w:rPr>
          <w:rFonts w:ascii="Arial" w:eastAsia="Calibri" w:hAnsi="Arial" w:cs="Arial"/>
          <w:sz w:val="24"/>
          <w:szCs w:val="24"/>
        </w:rPr>
        <w:t xml:space="preserve">When it comes to the actuarial assessment report which largely serve as a tool to assist the trial court, Nicholas JA in </w:t>
      </w:r>
      <w:r w:rsidR="00FD79D6">
        <w:rPr>
          <w:rFonts w:ascii="Arial" w:eastAsia="Calibri" w:hAnsi="Arial" w:cs="Arial"/>
          <w:b/>
          <w:sz w:val="24"/>
          <w:szCs w:val="24"/>
        </w:rPr>
        <w:t xml:space="preserve">Southern Insurance Association Ltd v Bailey NO </w:t>
      </w:r>
      <w:r w:rsidR="00FD79D6">
        <w:rPr>
          <w:rFonts w:ascii="Arial" w:eastAsia="Calibri" w:hAnsi="Arial" w:cs="Arial"/>
          <w:sz w:val="24"/>
          <w:szCs w:val="24"/>
        </w:rPr>
        <w:t>said the following: -</w:t>
      </w:r>
    </w:p>
    <w:p w:rsidR="00DD6232" w:rsidRDefault="00DD6232" w:rsidP="009A62DA">
      <w:pPr>
        <w:spacing w:line="360" w:lineRule="auto"/>
        <w:ind w:left="851" w:hanging="851"/>
        <w:contextualSpacing/>
        <w:jc w:val="both"/>
        <w:rPr>
          <w:rFonts w:ascii="Arial" w:eastAsia="Calibri" w:hAnsi="Arial" w:cs="Arial"/>
          <w:sz w:val="24"/>
          <w:szCs w:val="24"/>
        </w:rPr>
      </w:pPr>
    </w:p>
    <w:p w:rsidR="00FD79D6" w:rsidRPr="00FD79D6" w:rsidRDefault="00FD79D6" w:rsidP="00FD79D6">
      <w:pPr>
        <w:spacing w:after="0" w:line="360" w:lineRule="auto"/>
        <w:ind w:left="1701" w:right="1254"/>
        <w:jc w:val="both"/>
        <w:rPr>
          <w:rFonts w:ascii="Arial" w:eastAsia="Calibri" w:hAnsi="Arial" w:cs="Arial"/>
          <w:sz w:val="24"/>
          <w:szCs w:val="24"/>
        </w:rPr>
      </w:pPr>
      <w:r>
        <w:rPr>
          <w:rFonts w:ascii="Arial" w:eastAsia="Times New Roman" w:hAnsi="Arial" w:cs="Arial"/>
          <w:sz w:val="20"/>
          <w:szCs w:val="20"/>
          <w:lang w:eastAsia="en-ZA"/>
        </w:rPr>
        <w:t>“</w:t>
      </w:r>
      <w:r w:rsidRPr="009517A9">
        <w:rPr>
          <w:rFonts w:ascii="Arial" w:eastAsia="Times New Roman" w:hAnsi="Arial" w:cs="Arial"/>
          <w:sz w:val="20"/>
          <w:szCs w:val="20"/>
          <w:lang w:eastAsia="en-ZA"/>
        </w:rPr>
        <w:t>Where the method of actuarial computation is adopted, it does not mean that the trial Judge is "tied down by inexorable actuarial calculations". He has "a large discretion to award what he considers right" (</w:t>
      </w:r>
      <w:r w:rsidRPr="009517A9">
        <w:rPr>
          <w:rFonts w:ascii="Arial" w:eastAsia="Times New Roman" w:hAnsi="Arial" w:cs="Arial"/>
          <w:iCs/>
          <w:sz w:val="20"/>
          <w:szCs w:val="20"/>
          <w:lang w:eastAsia="en-ZA"/>
        </w:rPr>
        <w:t>per</w:t>
      </w:r>
      <w:r w:rsidRPr="009517A9">
        <w:rPr>
          <w:rFonts w:ascii="Arial" w:eastAsia="Times New Roman" w:hAnsi="Arial" w:cs="Arial"/>
          <w:sz w:val="20"/>
          <w:szCs w:val="20"/>
          <w:lang w:eastAsia="en-ZA"/>
        </w:rPr>
        <w:t> HOLMES JA in </w:t>
      </w:r>
      <w:r w:rsidRPr="009517A9">
        <w:rPr>
          <w:rFonts w:ascii="Arial" w:eastAsia="Times New Roman" w:hAnsi="Arial" w:cs="Arial"/>
          <w:iCs/>
          <w:sz w:val="20"/>
          <w:szCs w:val="20"/>
          <w:lang w:eastAsia="en-ZA"/>
        </w:rPr>
        <w:t>Legal Assurance Co Ltd v Botes</w:t>
      </w:r>
      <w:r w:rsidRPr="009517A9">
        <w:rPr>
          <w:rFonts w:ascii="Arial" w:eastAsia="Times New Roman" w:hAnsi="Arial" w:cs="Arial"/>
          <w:sz w:val="20"/>
          <w:szCs w:val="20"/>
          <w:lang w:eastAsia="en-ZA"/>
        </w:rPr>
        <w:t> </w:t>
      </w:r>
      <w:hyperlink r:id="rId10" w:tgtFrame="main" w:history="1">
        <w:r w:rsidRPr="009517A9">
          <w:rPr>
            <w:rFonts w:ascii="Arial" w:eastAsia="Times New Roman" w:hAnsi="Arial" w:cs="Arial"/>
            <w:sz w:val="20"/>
            <w:szCs w:val="20"/>
            <w:lang w:eastAsia="en-ZA"/>
          </w:rPr>
          <w:t>1963 (1) SA 608 (A)</w:t>
        </w:r>
      </w:hyperlink>
      <w:r w:rsidRPr="009517A9">
        <w:rPr>
          <w:rFonts w:ascii="Arial" w:eastAsia="Times New Roman" w:hAnsi="Arial" w:cs="Arial"/>
          <w:sz w:val="20"/>
          <w:szCs w:val="20"/>
          <w:lang w:eastAsia="en-ZA"/>
        </w:rPr>
        <w:t> at 614F). One of the elements in exercising that discretion is the making of a discount for "contingencies" or the "vicissitudes of life". These include such matters as the possibility that the plaintiff may in the result have less than a "normal" expectation of life; and that he may experience periods of unemployment by reason of incapacity due to illness or accident, or to labour unrest or general economic conditions. The amount of any discount may vary, depending upon the circumstances of the case. See </w:t>
      </w:r>
      <w:r w:rsidRPr="009517A9">
        <w:rPr>
          <w:rFonts w:ascii="Arial" w:eastAsia="Times New Roman" w:hAnsi="Arial" w:cs="Arial"/>
          <w:iCs/>
          <w:sz w:val="20"/>
          <w:szCs w:val="20"/>
          <w:lang w:eastAsia="en-ZA"/>
        </w:rPr>
        <w:t>Van der Plaats v South African Mutual Fire and General Insurance Co Ltd</w:t>
      </w:r>
      <w:r w:rsidRPr="009517A9">
        <w:rPr>
          <w:rFonts w:ascii="Arial" w:eastAsia="Times New Roman" w:hAnsi="Arial" w:cs="Arial"/>
          <w:sz w:val="20"/>
          <w:szCs w:val="20"/>
          <w:lang w:eastAsia="en-ZA"/>
        </w:rPr>
        <w:t> </w:t>
      </w:r>
      <w:hyperlink r:id="rId11" w:tgtFrame="main" w:history="1">
        <w:r w:rsidRPr="009517A9">
          <w:rPr>
            <w:rFonts w:ascii="Arial" w:eastAsia="Times New Roman" w:hAnsi="Arial" w:cs="Arial"/>
            <w:sz w:val="20"/>
            <w:szCs w:val="20"/>
            <w:lang w:eastAsia="en-ZA"/>
          </w:rPr>
          <w:t>1980 (3) SA 105 (A)</w:t>
        </w:r>
      </w:hyperlink>
      <w:r w:rsidRPr="009517A9">
        <w:rPr>
          <w:rFonts w:ascii="Arial" w:eastAsia="Times New Roman" w:hAnsi="Arial" w:cs="Arial"/>
          <w:sz w:val="20"/>
          <w:szCs w:val="20"/>
          <w:lang w:eastAsia="en-ZA"/>
        </w:rPr>
        <w:t> at 114 - 5. The rate of the discount cannot of course be assessed on any logical basis: the assessment must be largely arbitrary and must depend upon the trial</w:t>
      </w:r>
      <w:r>
        <w:rPr>
          <w:rFonts w:ascii="Arial" w:eastAsia="Times New Roman" w:hAnsi="Arial" w:cs="Arial"/>
          <w:sz w:val="20"/>
          <w:szCs w:val="20"/>
          <w:lang w:eastAsia="en-ZA"/>
        </w:rPr>
        <w:t xml:space="preserve"> Judge's impression of the case”.</w:t>
      </w:r>
      <w:r>
        <w:rPr>
          <w:rStyle w:val="FootnoteReference"/>
          <w:rFonts w:ascii="Arial" w:eastAsia="Times New Roman" w:hAnsi="Arial" w:cs="Arial"/>
          <w:sz w:val="20"/>
          <w:szCs w:val="20"/>
          <w:lang w:eastAsia="en-ZA"/>
        </w:rPr>
        <w:footnoteReference w:id="5"/>
      </w:r>
    </w:p>
    <w:p w:rsidR="009A62DA" w:rsidRDefault="009A62DA" w:rsidP="009A62DA">
      <w:pPr>
        <w:spacing w:line="360" w:lineRule="auto"/>
        <w:ind w:left="851" w:hanging="851"/>
        <w:contextualSpacing/>
        <w:jc w:val="both"/>
        <w:rPr>
          <w:rFonts w:ascii="Arial" w:eastAsia="Calibri" w:hAnsi="Arial" w:cs="Arial"/>
          <w:sz w:val="24"/>
          <w:szCs w:val="24"/>
        </w:rPr>
      </w:pPr>
    </w:p>
    <w:p w:rsidR="009A62DA" w:rsidRDefault="00AB2954" w:rsidP="009A62DA">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[18</w:t>
      </w:r>
      <w:r w:rsidR="009A62DA" w:rsidRPr="004C5FCD">
        <w:rPr>
          <w:rFonts w:ascii="Arial" w:eastAsia="Calibri" w:hAnsi="Arial" w:cs="Arial"/>
          <w:sz w:val="24"/>
          <w:szCs w:val="24"/>
        </w:rPr>
        <w:t>]</w:t>
      </w:r>
      <w:r w:rsidR="009A62DA" w:rsidRPr="004C5FCD">
        <w:rPr>
          <w:rFonts w:ascii="Arial" w:eastAsia="Calibri" w:hAnsi="Arial" w:cs="Arial"/>
          <w:sz w:val="24"/>
          <w:szCs w:val="24"/>
        </w:rPr>
        <w:tab/>
      </w:r>
      <w:r w:rsidR="0071530A">
        <w:rPr>
          <w:rFonts w:ascii="Arial" w:eastAsia="Calibri" w:hAnsi="Arial" w:cs="Arial"/>
          <w:sz w:val="24"/>
          <w:szCs w:val="24"/>
        </w:rPr>
        <w:t>Th</w:t>
      </w:r>
      <w:r w:rsidR="00FD79D6">
        <w:rPr>
          <w:rFonts w:ascii="Arial" w:eastAsia="Calibri" w:hAnsi="Arial" w:cs="Arial"/>
          <w:sz w:val="24"/>
          <w:szCs w:val="24"/>
        </w:rPr>
        <w:t xml:space="preserve">is brings us to the controversial issue of contingencies. In </w:t>
      </w:r>
      <w:r w:rsidR="00FD79D6">
        <w:rPr>
          <w:rFonts w:ascii="Arial" w:eastAsia="Calibri" w:hAnsi="Arial" w:cs="Arial"/>
          <w:b/>
          <w:sz w:val="24"/>
          <w:szCs w:val="24"/>
        </w:rPr>
        <w:t xml:space="preserve">Goodall v President Insurance Co Ltd </w:t>
      </w:r>
      <w:r w:rsidR="00FD79D6">
        <w:rPr>
          <w:rFonts w:ascii="Arial" w:eastAsia="Calibri" w:hAnsi="Arial" w:cs="Arial"/>
          <w:sz w:val="24"/>
          <w:szCs w:val="24"/>
        </w:rPr>
        <w:t>the court said the following: -</w:t>
      </w:r>
    </w:p>
    <w:p w:rsidR="00DD6232" w:rsidRDefault="00DD6232" w:rsidP="009A62DA">
      <w:pPr>
        <w:spacing w:line="360" w:lineRule="auto"/>
        <w:ind w:left="851" w:hanging="851"/>
        <w:contextualSpacing/>
        <w:jc w:val="both"/>
        <w:rPr>
          <w:rFonts w:ascii="Arial" w:eastAsia="Calibri" w:hAnsi="Arial" w:cs="Arial"/>
          <w:sz w:val="24"/>
          <w:szCs w:val="24"/>
        </w:rPr>
      </w:pPr>
    </w:p>
    <w:p w:rsidR="00FD79D6" w:rsidRPr="00FD79D6" w:rsidRDefault="00DD6232" w:rsidP="00DD6232">
      <w:pPr>
        <w:spacing w:after="0" w:line="360" w:lineRule="auto"/>
        <w:ind w:left="1440"/>
        <w:jc w:val="both"/>
        <w:rPr>
          <w:rFonts w:ascii="Arial" w:eastAsia="Calibri" w:hAnsi="Arial" w:cs="Arial"/>
          <w:sz w:val="24"/>
          <w:szCs w:val="24"/>
        </w:rPr>
      </w:pPr>
      <w:r>
        <w:rPr>
          <w:rFonts w:ascii="Arial" w:eastAsia="Times New Roman" w:hAnsi="Arial" w:cs="Arial"/>
          <w:color w:val="000000"/>
          <w:sz w:val="20"/>
          <w:szCs w:val="20"/>
          <w:lang w:eastAsia="en-ZA"/>
        </w:rPr>
        <w:t>“</w:t>
      </w:r>
      <w:r w:rsidRPr="009517A9">
        <w:rPr>
          <w:rFonts w:ascii="Arial" w:eastAsia="Times New Roman" w:hAnsi="Arial" w:cs="Arial"/>
          <w:color w:val="000000"/>
          <w:sz w:val="20"/>
          <w:szCs w:val="20"/>
          <w:lang w:eastAsia="en-ZA"/>
        </w:rPr>
        <w:t xml:space="preserve">In the assessment of a proper allowance for contingencies, arbitrary considerations must inevitably play a part, for the art or science of foretelling </w:t>
      </w:r>
      <w:r w:rsidRPr="009517A9">
        <w:rPr>
          <w:rFonts w:ascii="Arial" w:hAnsi="Arial" w:cs="Arial"/>
          <w:color w:val="000000"/>
          <w:sz w:val="20"/>
          <w:szCs w:val="20"/>
        </w:rPr>
        <w:t>the future, so confidently practised by ancient prophets and soothsayers, and by modern authors of a certain type of almanack, is not numbered among the qualifications for judicial office</w:t>
      </w:r>
      <w:r>
        <w:rPr>
          <w:rFonts w:ascii="Arial" w:hAnsi="Arial" w:cs="Arial"/>
          <w:color w:val="000000"/>
          <w:sz w:val="20"/>
          <w:szCs w:val="20"/>
        </w:rPr>
        <w:t>”</w:t>
      </w:r>
      <w:r w:rsidRPr="009517A9">
        <w:rPr>
          <w:rFonts w:ascii="Arial" w:hAnsi="Arial" w:cs="Arial"/>
          <w:color w:val="000000"/>
          <w:sz w:val="20"/>
          <w:szCs w:val="20"/>
        </w:rPr>
        <w:t>.</w:t>
      </w:r>
      <w:r>
        <w:rPr>
          <w:rStyle w:val="FootnoteReference"/>
          <w:rFonts w:ascii="Arial" w:hAnsi="Arial" w:cs="Arial"/>
          <w:color w:val="000000"/>
          <w:sz w:val="20"/>
          <w:szCs w:val="20"/>
        </w:rPr>
        <w:footnoteReference w:id="6"/>
      </w:r>
    </w:p>
    <w:p w:rsidR="00812BDC" w:rsidRDefault="00812BDC" w:rsidP="009A62DA">
      <w:pPr>
        <w:spacing w:line="360" w:lineRule="auto"/>
        <w:ind w:left="851" w:hanging="851"/>
        <w:contextualSpacing/>
        <w:jc w:val="both"/>
        <w:rPr>
          <w:rFonts w:ascii="Arial" w:eastAsia="Calibri" w:hAnsi="Arial" w:cs="Arial"/>
          <w:sz w:val="24"/>
          <w:szCs w:val="24"/>
        </w:rPr>
      </w:pPr>
    </w:p>
    <w:p w:rsidR="003C11C8" w:rsidRPr="00E54925" w:rsidRDefault="0053569E" w:rsidP="00E54925">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[19</w:t>
      </w:r>
      <w:r w:rsidR="00812BDC" w:rsidRPr="004C5FCD">
        <w:rPr>
          <w:rFonts w:ascii="Arial" w:eastAsia="Calibri" w:hAnsi="Arial" w:cs="Arial"/>
          <w:sz w:val="24"/>
          <w:szCs w:val="24"/>
        </w:rPr>
        <w:t>]</w:t>
      </w:r>
      <w:r w:rsidR="00812BDC" w:rsidRPr="004C5FCD">
        <w:rPr>
          <w:rFonts w:ascii="Arial" w:eastAsia="Calibri" w:hAnsi="Arial" w:cs="Arial"/>
          <w:sz w:val="24"/>
          <w:szCs w:val="24"/>
        </w:rPr>
        <w:tab/>
      </w:r>
      <w:r w:rsidR="00031B52">
        <w:rPr>
          <w:rFonts w:ascii="Arial" w:eastAsia="Calibri" w:hAnsi="Arial" w:cs="Arial"/>
          <w:sz w:val="24"/>
          <w:szCs w:val="24"/>
        </w:rPr>
        <w:t xml:space="preserve">It is trite that the court has a wide discretion on this issue and contingencies cover a wide range of considerations peculiar to each case. Some of the factors to be considered include loss of employment, promotion, career path but for the injury and career path having the injury, the age of retirement. These must be taken into account in making deductions in the injured and uninjured earnings. The exceptional circumstances of this case is that she has made full recovery. She is no longer at risk to develop major thrombo-embolic complications. It is a fact that the injuries have not affected her life expectancy. Her current employment status is better than before her </w:t>
      </w:r>
      <w:r w:rsidR="00E54925">
        <w:rPr>
          <w:rFonts w:ascii="Arial" w:eastAsia="Calibri" w:hAnsi="Arial" w:cs="Arial"/>
          <w:sz w:val="24"/>
          <w:szCs w:val="24"/>
        </w:rPr>
        <w:t xml:space="preserve">injuries with more remuneration and she is not in sheltered employment. There are, of course, some minor capacity loss sustained as a result of her injuries. Given all the factors enumerated above, I agree with counsel </w:t>
      </w:r>
      <w:r w:rsidR="00D710A1">
        <w:rPr>
          <w:rFonts w:ascii="Arial" w:eastAsia="Calibri" w:hAnsi="Arial" w:cs="Arial"/>
          <w:sz w:val="24"/>
          <w:szCs w:val="24"/>
        </w:rPr>
        <w:t xml:space="preserve">for the plaintiff that </w:t>
      </w:r>
      <w:r w:rsidR="00B42A02">
        <w:rPr>
          <w:rFonts w:ascii="Arial" w:eastAsia="Calibri" w:hAnsi="Arial" w:cs="Arial"/>
          <w:sz w:val="24"/>
          <w:szCs w:val="24"/>
        </w:rPr>
        <w:t>her diminished earning capacity</w:t>
      </w:r>
      <w:r w:rsidR="00E54925">
        <w:rPr>
          <w:rFonts w:ascii="Arial" w:eastAsia="Calibri" w:hAnsi="Arial" w:cs="Arial"/>
          <w:sz w:val="24"/>
          <w:szCs w:val="24"/>
        </w:rPr>
        <w:t xml:space="preserve"> must be calculated at only ten (10%) percent.</w:t>
      </w:r>
      <w:r w:rsidR="003C11C8">
        <w:rPr>
          <w:rFonts w:ascii="Arial" w:hAnsi="Arial" w:cs="Arial"/>
          <w:b/>
          <w:sz w:val="24"/>
          <w:szCs w:val="24"/>
          <w:u w:val="single"/>
        </w:rPr>
        <w:t xml:space="preserve"> </w:t>
      </w:r>
    </w:p>
    <w:p w:rsidR="003C11C8" w:rsidRDefault="003C11C8" w:rsidP="003C11C8">
      <w:pPr>
        <w:tabs>
          <w:tab w:val="right" w:pos="9180"/>
        </w:tabs>
        <w:spacing w:after="0" w:line="360" w:lineRule="auto"/>
        <w:jc w:val="both"/>
        <w:rPr>
          <w:rFonts w:ascii="Arial" w:hAnsi="Arial" w:cs="Arial"/>
          <w:b/>
          <w:sz w:val="24"/>
          <w:szCs w:val="24"/>
          <w:u w:val="single"/>
        </w:rPr>
      </w:pPr>
    </w:p>
    <w:p w:rsidR="00070541" w:rsidRDefault="003C11C8" w:rsidP="003C11C8">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 xml:space="preserve"> </w:t>
      </w:r>
      <w:r w:rsidR="00E54925">
        <w:rPr>
          <w:rFonts w:ascii="Arial" w:eastAsia="Calibri" w:hAnsi="Arial" w:cs="Arial"/>
          <w:sz w:val="24"/>
          <w:szCs w:val="24"/>
        </w:rPr>
        <w:t>[2</w:t>
      </w:r>
      <w:r w:rsidR="0053569E">
        <w:rPr>
          <w:rFonts w:ascii="Arial" w:eastAsia="Calibri" w:hAnsi="Arial" w:cs="Arial"/>
          <w:sz w:val="24"/>
          <w:szCs w:val="24"/>
        </w:rPr>
        <w:t>0</w:t>
      </w:r>
      <w:r w:rsidR="00070541" w:rsidRPr="004C5FCD">
        <w:rPr>
          <w:rFonts w:ascii="Arial" w:eastAsia="Calibri" w:hAnsi="Arial" w:cs="Arial"/>
          <w:sz w:val="24"/>
          <w:szCs w:val="24"/>
        </w:rPr>
        <w:t>]</w:t>
      </w:r>
      <w:r w:rsidR="00070541" w:rsidRPr="004C5FCD">
        <w:rPr>
          <w:rFonts w:ascii="Arial" w:eastAsia="Calibri" w:hAnsi="Arial" w:cs="Arial"/>
          <w:sz w:val="24"/>
          <w:szCs w:val="24"/>
        </w:rPr>
        <w:tab/>
      </w:r>
      <w:r w:rsidR="00E54925">
        <w:rPr>
          <w:rFonts w:ascii="Arial" w:eastAsia="Calibri" w:hAnsi="Arial" w:cs="Arial"/>
          <w:sz w:val="24"/>
          <w:szCs w:val="24"/>
        </w:rPr>
        <w:t>In the l</w:t>
      </w:r>
      <w:r w:rsidR="00B42A02">
        <w:rPr>
          <w:rFonts w:ascii="Arial" w:eastAsia="Calibri" w:hAnsi="Arial" w:cs="Arial"/>
          <w:sz w:val="24"/>
          <w:szCs w:val="24"/>
        </w:rPr>
        <w:t xml:space="preserve">ight of all the evidence, </w:t>
      </w:r>
      <w:r w:rsidR="00E54925">
        <w:rPr>
          <w:rFonts w:ascii="Arial" w:eastAsia="Calibri" w:hAnsi="Arial" w:cs="Arial"/>
          <w:sz w:val="24"/>
          <w:szCs w:val="24"/>
        </w:rPr>
        <w:t>the following Order</w:t>
      </w:r>
      <w:r w:rsidR="00B42A02">
        <w:rPr>
          <w:rFonts w:ascii="Arial" w:eastAsia="Calibri" w:hAnsi="Arial" w:cs="Arial"/>
          <w:sz w:val="24"/>
          <w:szCs w:val="24"/>
        </w:rPr>
        <w:t xml:space="preserve"> is made</w:t>
      </w:r>
      <w:r w:rsidR="00070541">
        <w:rPr>
          <w:rFonts w:ascii="Arial" w:eastAsia="Calibri" w:hAnsi="Arial" w:cs="Arial"/>
          <w:sz w:val="24"/>
          <w:szCs w:val="24"/>
        </w:rPr>
        <w:t>: -</w:t>
      </w:r>
    </w:p>
    <w:p w:rsidR="00070541" w:rsidRDefault="00070541" w:rsidP="00070541">
      <w:pPr>
        <w:spacing w:line="360" w:lineRule="auto"/>
        <w:ind w:left="851" w:hanging="851"/>
        <w:contextualSpacing/>
        <w:jc w:val="both"/>
        <w:rPr>
          <w:rFonts w:ascii="Arial" w:eastAsia="Calibri" w:hAnsi="Arial" w:cs="Arial"/>
          <w:sz w:val="24"/>
          <w:szCs w:val="24"/>
        </w:rPr>
      </w:pPr>
    </w:p>
    <w:p w:rsidR="000A6B5F" w:rsidRPr="0053569E" w:rsidRDefault="000A6B5F" w:rsidP="0053569E">
      <w:pPr>
        <w:pStyle w:val="ListParagraph"/>
        <w:widowControl w:val="0"/>
        <w:numPr>
          <w:ilvl w:val="1"/>
          <w:numId w:val="16"/>
        </w:numPr>
        <w:spacing w:after="0" w:line="360" w:lineRule="auto"/>
        <w:jc w:val="both"/>
        <w:rPr>
          <w:rFonts w:ascii="Arial" w:hAnsi="Arial" w:cs="Arial"/>
          <w:bCs/>
          <w:sz w:val="24"/>
          <w:szCs w:val="24"/>
          <w:lang w:val="en-GB"/>
        </w:rPr>
      </w:pPr>
      <w:r w:rsidRPr="0053569E">
        <w:rPr>
          <w:rFonts w:ascii="Arial" w:hAnsi="Arial" w:cs="Arial"/>
          <w:bCs/>
          <w:sz w:val="24"/>
          <w:szCs w:val="24"/>
          <w:lang w:val="en-GB"/>
        </w:rPr>
        <w:t>The Defendant shall pay to the Pla</w:t>
      </w:r>
      <w:r w:rsidR="00B42A02">
        <w:rPr>
          <w:rFonts w:ascii="Arial" w:hAnsi="Arial" w:cs="Arial"/>
          <w:bCs/>
          <w:sz w:val="24"/>
          <w:szCs w:val="24"/>
          <w:lang w:val="en-GB"/>
        </w:rPr>
        <w:t>intiff the capital amount of R 1 318 266.4</w:t>
      </w:r>
      <w:r w:rsidRPr="0053569E">
        <w:rPr>
          <w:rFonts w:ascii="Arial" w:hAnsi="Arial" w:cs="Arial"/>
          <w:bCs/>
          <w:sz w:val="24"/>
          <w:szCs w:val="24"/>
          <w:lang w:val="en-GB"/>
        </w:rPr>
        <w:t>0 (</w:t>
      </w:r>
      <w:r w:rsidR="00B42A02">
        <w:rPr>
          <w:rFonts w:ascii="Arial" w:hAnsi="Arial" w:cs="Arial"/>
          <w:bCs/>
          <w:sz w:val="24"/>
          <w:szCs w:val="24"/>
          <w:lang w:val="en-GB"/>
        </w:rPr>
        <w:t>One million, three hundred and eighteen thousand, two hundred and sixty-six rand and forty cents</w:t>
      </w:r>
      <w:r w:rsidRPr="0053569E">
        <w:rPr>
          <w:rFonts w:ascii="Arial" w:hAnsi="Arial" w:cs="Arial"/>
          <w:bCs/>
          <w:sz w:val="24"/>
          <w:szCs w:val="24"/>
          <w:lang w:val="en-GB"/>
        </w:rPr>
        <w:t xml:space="preserve"> only) in respect of the balance of the Plaintiff’s claim for delictual damages sustained, which is calculated as follows:</w:t>
      </w:r>
    </w:p>
    <w:p w:rsidR="005D2814" w:rsidRPr="005D2814" w:rsidRDefault="005D2814" w:rsidP="005D2814">
      <w:pPr>
        <w:pStyle w:val="ListParagraph"/>
        <w:widowControl w:val="0"/>
        <w:spacing w:after="0" w:line="360" w:lineRule="auto"/>
        <w:ind w:left="1145"/>
        <w:jc w:val="both"/>
        <w:rPr>
          <w:rFonts w:ascii="Arial" w:hAnsi="Arial" w:cs="Arial"/>
          <w:bCs/>
          <w:sz w:val="24"/>
          <w:szCs w:val="24"/>
          <w:lang w:val="en-GB"/>
        </w:rPr>
      </w:pPr>
    </w:p>
    <w:p w:rsidR="000A6B5F" w:rsidRPr="0053569E" w:rsidRDefault="000A6B5F" w:rsidP="0053569E">
      <w:pPr>
        <w:pStyle w:val="ListParagraph"/>
        <w:widowControl w:val="0"/>
        <w:numPr>
          <w:ilvl w:val="2"/>
          <w:numId w:val="16"/>
        </w:numPr>
        <w:spacing w:after="0" w:line="360" w:lineRule="auto"/>
        <w:jc w:val="both"/>
        <w:rPr>
          <w:rFonts w:ascii="Arial" w:hAnsi="Arial" w:cs="Arial"/>
          <w:bCs/>
          <w:sz w:val="24"/>
          <w:szCs w:val="24"/>
          <w:lang w:val="en-GB"/>
        </w:rPr>
      </w:pPr>
      <w:r w:rsidRPr="0053569E">
        <w:rPr>
          <w:rFonts w:ascii="Arial" w:eastAsia="Calibri" w:hAnsi="Arial" w:cs="Arial"/>
          <w:sz w:val="24"/>
          <w:szCs w:val="24"/>
        </w:rPr>
        <w:t>Past loss or earnings:                                                     R 356 081.00</w:t>
      </w:r>
    </w:p>
    <w:p w:rsidR="000A6B5F" w:rsidRPr="00DF5BF5" w:rsidRDefault="000A6B5F" w:rsidP="0053569E">
      <w:pPr>
        <w:pStyle w:val="ListParagraph"/>
        <w:widowControl w:val="0"/>
        <w:numPr>
          <w:ilvl w:val="2"/>
          <w:numId w:val="16"/>
        </w:numPr>
        <w:spacing w:after="0" w:line="360" w:lineRule="auto"/>
        <w:jc w:val="both"/>
        <w:rPr>
          <w:rFonts w:ascii="Arial" w:hAnsi="Arial" w:cs="Arial"/>
          <w:bCs/>
          <w:sz w:val="24"/>
          <w:szCs w:val="24"/>
          <w:lang w:val="en-GB"/>
        </w:rPr>
      </w:pPr>
      <w:r w:rsidRPr="00DF5BF5">
        <w:rPr>
          <w:rFonts w:ascii="Arial" w:eastAsia="Calibri" w:hAnsi="Arial" w:cs="Arial"/>
          <w:sz w:val="24"/>
          <w:szCs w:val="24"/>
        </w:rPr>
        <w:t xml:space="preserve">Future loss of earnings:                                         </w:t>
      </w:r>
      <w:r w:rsidR="0053569E">
        <w:rPr>
          <w:rFonts w:ascii="Arial" w:eastAsia="Calibri" w:hAnsi="Arial" w:cs="Arial"/>
          <w:sz w:val="24"/>
          <w:szCs w:val="24"/>
          <w:u w:val="single"/>
        </w:rPr>
        <w:t xml:space="preserve">     R 1 962 185.40</w:t>
      </w:r>
    </w:p>
    <w:p w:rsidR="000A6B5F" w:rsidRPr="00E93A79" w:rsidRDefault="000A6B5F" w:rsidP="005D2814">
      <w:pPr>
        <w:widowControl w:val="0"/>
        <w:spacing w:after="0" w:line="360" w:lineRule="auto"/>
        <w:ind w:left="1571" w:firstLine="589"/>
        <w:jc w:val="both"/>
        <w:rPr>
          <w:rFonts w:ascii="Arial" w:hAnsi="Arial" w:cs="Arial"/>
          <w:bCs/>
          <w:sz w:val="24"/>
          <w:szCs w:val="24"/>
          <w:lang w:val="en-GB"/>
        </w:rPr>
      </w:pPr>
      <w:r w:rsidRPr="00E93A79">
        <w:rPr>
          <w:rFonts w:ascii="Arial" w:eastAsia="Calibri" w:hAnsi="Arial" w:cs="Arial"/>
          <w:b/>
          <w:bCs/>
          <w:sz w:val="24"/>
          <w:szCs w:val="24"/>
        </w:rPr>
        <w:t>TOTAL:</w:t>
      </w:r>
      <w:r w:rsidRPr="00E93A79">
        <w:rPr>
          <w:rFonts w:ascii="Arial" w:eastAsia="Calibri" w:hAnsi="Arial" w:cs="Arial"/>
          <w:b/>
          <w:bCs/>
          <w:sz w:val="24"/>
          <w:szCs w:val="24"/>
        </w:rPr>
        <w:tab/>
      </w:r>
      <w:r w:rsidR="0053569E">
        <w:rPr>
          <w:rFonts w:ascii="Arial" w:eastAsia="Calibri" w:hAnsi="Arial" w:cs="Arial"/>
          <w:b/>
          <w:bCs/>
          <w:sz w:val="24"/>
          <w:szCs w:val="24"/>
        </w:rPr>
        <w:tab/>
      </w:r>
      <w:r w:rsidR="0053569E">
        <w:rPr>
          <w:rFonts w:ascii="Arial" w:eastAsia="Calibri" w:hAnsi="Arial" w:cs="Arial"/>
          <w:b/>
          <w:bCs/>
          <w:sz w:val="24"/>
          <w:szCs w:val="24"/>
        </w:rPr>
        <w:tab/>
      </w:r>
      <w:r w:rsidR="0053569E">
        <w:rPr>
          <w:rFonts w:ascii="Arial" w:eastAsia="Calibri" w:hAnsi="Arial" w:cs="Arial"/>
          <w:b/>
          <w:bCs/>
          <w:sz w:val="24"/>
          <w:szCs w:val="24"/>
        </w:rPr>
        <w:tab/>
      </w:r>
      <w:r w:rsidR="0053569E">
        <w:rPr>
          <w:rFonts w:ascii="Arial" w:eastAsia="Calibri" w:hAnsi="Arial" w:cs="Arial"/>
          <w:b/>
          <w:bCs/>
          <w:sz w:val="24"/>
          <w:szCs w:val="24"/>
        </w:rPr>
        <w:tab/>
        <w:t xml:space="preserve">              R 2 318 266.40</w:t>
      </w:r>
    </w:p>
    <w:p w:rsidR="000A6B5F" w:rsidRPr="00DF5BF5" w:rsidRDefault="000A6B5F" w:rsidP="0053569E">
      <w:pPr>
        <w:pStyle w:val="ListParagraph"/>
        <w:widowControl w:val="0"/>
        <w:numPr>
          <w:ilvl w:val="2"/>
          <w:numId w:val="16"/>
        </w:numPr>
        <w:spacing w:after="0" w:line="360" w:lineRule="auto"/>
        <w:jc w:val="both"/>
        <w:rPr>
          <w:rFonts w:ascii="Arial" w:hAnsi="Arial" w:cs="Arial"/>
          <w:bCs/>
          <w:sz w:val="24"/>
          <w:szCs w:val="24"/>
          <w:lang w:val="en-GB"/>
        </w:rPr>
      </w:pPr>
      <w:r w:rsidRPr="00DF5BF5">
        <w:rPr>
          <w:rFonts w:ascii="Arial" w:eastAsia="Calibri" w:hAnsi="Arial" w:cs="Arial"/>
          <w:sz w:val="24"/>
          <w:szCs w:val="24"/>
        </w:rPr>
        <w:t xml:space="preserve">Less interim payment in respect of loss:            </w:t>
      </w:r>
      <w:r w:rsidRPr="00DF5BF5">
        <w:rPr>
          <w:rFonts w:ascii="Arial" w:eastAsia="Calibri" w:hAnsi="Arial" w:cs="Arial"/>
          <w:sz w:val="24"/>
          <w:szCs w:val="24"/>
          <w:u w:val="single"/>
        </w:rPr>
        <w:t xml:space="preserve">    R 1 000 000.00</w:t>
      </w:r>
    </w:p>
    <w:p w:rsidR="000A6B5F" w:rsidRDefault="000A6B5F" w:rsidP="005D2814">
      <w:pPr>
        <w:widowControl w:val="0"/>
        <w:spacing w:after="0" w:line="360" w:lineRule="auto"/>
        <w:ind w:left="1571" w:firstLine="589"/>
        <w:jc w:val="both"/>
        <w:rPr>
          <w:rFonts w:ascii="Arial" w:eastAsia="Calibri" w:hAnsi="Arial" w:cs="Arial"/>
          <w:b/>
          <w:bCs/>
          <w:sz w:val="24"/>
          <w:szCs w:val="24"/>
        </w:rPr>
      </w:pPr>
      <w:r w:rsidRPr="00E93A79">
        <w:rPr>
          <w:rFonts w:ascii="Arial" w:eastAsia="Calibri" w:hAnsi="Arial" w:cs="Arial"/>
          <w:b/>
          <w:bCs/>
          <w:sz w:val="24"/>
          <w:szCs w:val="24"/>
        </w:rPr>
        <w:t xml:space="preserve">TOTAL:                                                </w:t>
      </w:r>
      <w:r w:rsidR="0053569E">
        <w:rPr>
          <w:rFonts w:ascii="Arial" w:eastAsia="Calibri" w:hAnsi="Arial" w:cs="Arial"/>
          <w:b/>
          <w:bCs/>
          <w:sz w:val="24"/>
          <w:szCs w:val="24"/>
        </w:rPr>
        <w:t xml:space="preserve">                  R 1 318 266.40</w:t>
      </w:r>
    </w:p>
    <w:p w:rsidR="00DF5BF5" w:rsidRPr="00E93A79" w:rsidRDefault="00DF5BF5" w:rsidP="005D2814">
      <w:pPr>
        <w:widowControl w:val="0"/>
        <w:spacing w:after="0" w:line="360" w:lineRule="auto"/>
        <w:ind w:left="1571" w:firstLine="589"/>
        <w:jc w:val="both"/>
        <w:rPr>
          <w:rFonts w:ascii="Arial" w:hAnsi="Arial" w:cs="Arial"/>
          <w:bCs/>
          <w:sz w:val="24"/>
          <w:szCs w:val="24"/>
          <w:lang w:val="en-GB"/>
        </w:rPr>
      </w:pPr>
    </w:p>
    <w:p w:rsidR="000A6B5F" w:rsidRPr="00DF5BF5" w:rsidRDefault="000A6B5F" w:rsidP="0053569E">
      <w:pPr>
        <w:pStyle w:val="ListParagraph"/>
        <w:widowControl w:val="0"/>
        <w:numPr>
          <w:ilvl w:val="1"/>
          <w:numId w:val="16"/>
        </w:numPr>
        <w:spacing w:after="0" w:line="360" w:lineRule="auto"/>
        <w:jc w:val="both"/>
        <w:rPr>
          <w:rFonts w:ascii="Arial" w:hAnsi="Arial" w:cs="Arial"/>
          <w:bCs/>
          <w:sz w:val="24"/>
          <w:szCs w:val="24"/>
          <w:lang w:val="en-GB"/>
        </w:rPr>
      </w:pPr>
      <w:r w:rsidRPr="00DF5BF5">
        <w:rPr>
          <w:rFonts w:ascii="Arial" w:hAnsi="Arial" w:cs="Arial"/>
          <w:bCs/>
          <w:sz w:val="24"/>
          <w:szCs w:val="24"/>
          <w:lang w:val="en-GB"/>
        </w:rPr>
        <w:t>Payment shall be effected within 180 (one hundred and eighty) days from date of this order being granted.</w:t>
      </w:r>
    </w:p>
    <w:p w:rsidR="000A6B5F" w:rsidRPr="00DF5BF5" w:rsidRDefault="000A6B5F" w:rsidP="0053569E">
      <w:pPr>
        <w:pStyle w:val="ListParagraph"/>
        <w:widowControl w:val="0"/>
        <w:numPr>
          <w:ilvl w:val="1"/>
          <w:numId w:val="16"/>
        </w:numPr>
        <w:spacing w:after="0" w:line="360" w:lineRule="auto"/>
        <w:jc w:val="both"/>
        <w:rPr>
          <w:rFonts w:ascii="Arial" w:hAnsi="Arial" w:cs="Arial"/>
          <w:bCs/>
          <w:sz w:val="24"/>
          <w:szCs w:val="24"/>
          <w:lang w:val="en-GB"/>
        </w:rPr>
      </w:pPr>
      <w:r w:rsidRPr="00DF5BF5">
        <w:rPr>
          <w:rFonts w:ascii="Arial" w:hAnsi="Arial" w:cs="Arial"/>
          <w:sz w:val="24"/>
          <w:szCs w:val="24"/>
          <w:lang w:val="en-GB"/>
        </w:rPr>
        <w:t>Defendant shall pay the Plaintiff’s taxed or agreed High Court party and party costs to date, which will include the following, but will not be limited to, subject to the taxing master’s discretion:</w:t>
      </w:r>
    </w:p>
    <w:p w:rsidR="000A6B5F" w:rsidRPr="00E93A79" w:rsidRDefault="000A6B5F" w:rsidP="005D2814">
      <w:pPr>
        <w:spacing w:line="360" w:lineRule="auto"/>
        <w:jc w:val="both"/>
        <w:rPr>
          <w:rFonts w:ascii="Arial" w:hAnsi="Arial" w:cs="Arial"/>
          <w:b/>
          <w:caps/>
          <w:sz w:val="24"/>
          <w:szCs w:val="24"/>
          <w:lang w:val="en-GB"/>
        </w:rPr>
      </w:pPr>
    </w:p>
    <w:p w:rsidR="000A6B5F" w:rsidRPr="00DF5BF5" w:rsidRDefault="000A6B5F" w:rsidP="0053569E">
      <w:pPr>
        <w:pStyle w:val="ListParagraph"/>
        <w:widowControl w:val="0"/>
        <w:numPr>
          <w:ilvl w:val="1"/>
          <w:numId w:val="16"/>
        </w:numPr>
        <w:spacing w:after="0" w:line="360" w:lineRule="auto"/>
        <w:jc w:val="both"/>
        <w:rPr>
          <w:rFonts w:ascii="Arial" w:hAnsi="Arial" w:cs="Arial"/>
          <w:b/>
          <w:caps/>
          <w:sz w:val="24"/>
          <w:szCs w:val="24"/>
          <w:lang w:val="en-GB"/>
        </w:rPr>
      </w:pPr>
      <w:r w:rsidRPr="00DF5BF5">
        <w:rPr>
          <w:rFonts w:ascii="Arial" w:hAnsi="Arial" w:cs="Arial"/>
          <w:bCs/>
          <w:sz w:val="24"/>
          <w:szCs w:val="24"/>
          <w:lang w:val="en-GB"/>
        </w:rPr>
        <w:t>The costs in respect of the preparation of the medico legal reports of the following experts, served in terms of the High Court Rules:</w:t>
      </w:r>
    </w:p>
    <w:p w:rsidR="000A6B5F" w:rsidRPr="00E93A79" w:rsidRDefault="000A6B5F" w:rsidP="005D2814">
      <w:pPr>
        <w:spacing w:line="360" w:lineRule="auto"/>
        <w:ind w:left="1701"/>
        <w:jc w:val="both"/>
        <w:rPr>
          <w:rFonts w:ascii="Arial" w:hAnsi="Arial" w:cs="Arial"/>
          <w:b/>
          <w:caps/>
          <w:sz w:val="24"/>
          <w:szCs w:val="24"/>
          <w:lang w:val="en-GB"/>
        </w:rPr>
      </w:pPr>
    </w:p>
    <w:p w:rsidR="000A6B5F" w:rsidRPr="00E93A79" w:rsidRDefault="000A6B5F" w:rsidP="0053569E">
      <w:pPr>
        <w:widowControl w:val="0"/>
        <w:numPr>
          <w:ilvl w:val="2"/>
          <w:numId w:val="16"/>
        </w:numPr>
        <w:spacing w:after="0" w:line="360" w:lineRule="auto"/>
        <w:ind w:left="2835" w:hanging="1134"/>
        <w:jc w:val="both"/>
        <w:rPr>
          <w:rFonts w:ascii="Arial" w:hAnsi="Arial" w:cs="Arial"/>
          <w:b/>
          <w:caps/>
          <w:sz w:val="24"/>
          <w:szCs w:val="24"/>
          <w:lang w:val="en-GB"/>
        </w:rPr>
      </w:pPr>
      <w:r w:rsidRPr="00E93A79">
        <w:rPr>
          <w:rFonts w:ascii="Arial" w:hAnsi="Arial" w:cs="Arial"/>
          <w:bCs/>
          <w:sz w:val="24"/>
          <w:szCs w:val="24"/>
          <w:lang w:val="en-GB"/>
        </w:rPr>
        <w:t>Dr. Botha (Internis / Specialist Physician);</w:t>
      </w:r>
    </w:p>
    <w:p w:rsidR="000A6B5F" w:rsidRPr="00E93A79" w:rsidRDefault="000A6B5F" w:rsidP="005D2814">
      <w:pPr>
        <w:spacing w:line="360" w:lineRule="auto"/>
        <w:ind w:left="2835"/>
        <w:jc w:val="both"/>
        <w:rPr>
          <w:rFonts w:ascii="Arial" w:hAnsi="Arial" w:cs="Arial"/>
          <w:b/>
          <w:caps/>
          <w:sz w:val="24"/>
          <w:szCs w:val="24"/>
          <w:lang w:val="en-GB"/>
        </w:rPr>
      </w:pPr>
    </w:p>
    <w:p w:rsidR="000A6B5F" w:rsidRPr="00E93A79" w:rsidRDefault="000A6B5F" w:rsidP="0053569E">
      <w:pPr>
        <w:widowControl w:val="0"/>
        <w:numPr>
          <w:ilvl w:val="2"/>
          <w:numId w:val="16"/>
        </w:numPr>
        <w:spacing w:after="0" w:line="360" w:lineRule="auto"/>
        <w:ind w:left="2835" w:hanging="1134"/>
        <w:jc w:val="both"/>
        <w:rPr>
          <w:rFonts w:ascii="Arial" w:hAnsi="Arial" w:cs="Arial"/>
          <w:b/>
          <w:caps/>
          <w:sz w:val="24"/>
          <w:szCs w:val="24"/>
          <w:lang w:val="en-GB"/>
        </w:rPr>
      </w:pPr>
      <w:r w:rsidRPr="00E93A79">
        <w:rPr>
          <w:rFonts w:ascii="Arial" w:hAnsi="Arial" w:cs="Arial"/>
          <w:bCs/>
          <w:sz w:val="24"/>
          <w:szCs w:val="24"/>
          <w:lang w:val="en-GB"/>
        </w:rPr>
        <w:t>Ms. Basson (Occupational Therapist);</w:t>
      </w:r>
    </w:p>
    <w:p w:rsidR="000A6B5F" w:rsidRPr="00E93A79" w:rsidRDefault="000A6B5F" w:rsidP="005D2814">
      <w:pPr>
        <w:spacing w:line="360" w:lineRule="auto"/>
        <w:ind w:left="1701"/>
        <w:jc w:val="both"/>
        <w:rPr>
          <w:rFonts w:ascii="Arial" w:hAnsi="Arial" w:cs="Arial"/>
          <w:b/>
          <w:caps/>
          <w:sz w:val="24"/>
          <w:szCs w:val="24"/>
          <w:lang w:val="en-GB"/>
        </w:rPr>
      </w:pPr>
    </w:p>
    <w:p w:rsidR="000A6B5F" w:rsidRPr="00E93A79" w:rsidRDefault="000A6B5F" w:rsidP="0053569E">
      <w:pPr>
        <w:widowControl w:val="0"/>
        <w:numPr>
          <w:ilvl w:val="2"/>
          <w:numId w:val="16"/>
        </w:numPr>
        <w:spacing w:after="0" w:line="360" w:lineRule="auto"/>
        <w:ind w:left="2835" w:hanging="1134"/>
        <w:jc w:val="both"/>
        <w:rPr>
          <w:rFonts w:ascii="Arial" w:hAnsi="Arial" w:cs="Arial"/>
          <w:b/>
          <w:caps/>
          <w:sz w:val="24"/>
          <w:szCs w:val="24"/>
          <w:lang w:val="en-GB"/>
        </w:rPr>
      </w:pPr>
      <w:r w:rsidRPr="00E93A79">
        <w:rPr>
          <w:rFonts w:ascii="Arial" w:hAnsi="Arial" w:cs="Arial"/>
          <w:bCs/>
          <w:sz w:val="24"/>
          <w:szCs w:val="24"/>
          <w:lang w:val="en-GB"/>
        </w:rPr>
        <w:t>Ms. Grove (Industrial Psychologist);</w:t>
      </w:r>
    </w:p>
    <w:p w:rsidR="000A6B5F" w:rsidRPr="00E93A79" w:rsidRDefault="000A6B5F" w:rsidP="005D2814">
      <w:pPr>
        <w:spacing w:line="360" w:lineRule="auto"/>
        <w:jc w:val="both"/>
        <w:rPr>
          <w:rFonts w:ascii="Arial" w:hAnsi="Arial" w:cs="Arial"/>
          <w:b/>
          <w:caps/>
          <w:sz w:val="24"/>
          <w:szCs w:val="24"/>
          <w:lang w:val="en-GB"/>
        </w:rPr>
      </w:pPr>
    </w:p>
    <w:p w:rsidR="000A6B5F" w:rsidRPr="00E93A79" w:rsidRDefault="000A6B5F" w:rsidP="0053569E">
      <w:pPr>
        <w:widowControl w:val="0"/>
        <w:numPr>
          <w:ilvl w:val="2"/>
          <w:numId w:val="16"/>
        </w:numPr>
        <w:spacing w:after="0" w:line="360" w:lineRule="auto"/>
        <w:ind w:left="2835" w:hanging="1134"/>
        <w:jc w:val="both"/>
        <w:rPr>
          <w:rFonts w:ascii="Arial" w:hAnsi="Arial" w:cs="Arial"/>
          <w:b/>
          <w:caps/>
          <w:sz w:val="24"/>
          <w:szCs w:val="24"/>
          <w:lang w:val="en-GB"/>
        </w:rPr>
      </w:pPr>
      <w:r w:rsidRPr="00E93A79">
        <w:rPr>
          <w:rFonts w:ascii="Arial" w:hAnsi="Arial" w:cs="Arial"/>
          <w:bCs/>
          <w:sz w:val="24"/>
          <w:szCs w:val="24"/>
          <w:lang w:val="en-GB"/>
        </w:rPr>
        <w:t>Mr. Whittaker (Actuary).</w:t>
      </w:r>
    </w:p>
    <w:p w:rsidR="000A6B5F" w:rsidRPr="00E93A79" w:rsidRDefault="000A6B5F" w:rsidP="005D6843">
      <w:pPr>
        <w:spacing w:line="360" w:lineRule="auto"/>
        <w:jc w:val="both"/>
        <w:rPr>
          <w:rFonts w:ascii="Arial" w:hAnsi="Arial" w:cs="Arial"/>
          <w:b/>
          <w:caps/>
          <w:sz w:val="24"/>
          <w:szCs w:val="24"/>
          <w:lang w:val="en-GB"/>
        </w:rPr>
      </w:pPr>
    </w:p>
    <w:p w:rsidR="000A6B5F" w:rsidRPr="00E93A79" w:rsidRDefault="000A6B5F" w:rsidP="0053569E">
      <w:pPr>
        <w:widowControl w:val="0"/>
        <w:numPr>
          <w:ilvl w:val="1"/>
          <w:numId w:val="16"/>
        </w:numPr>
        <w:spacing w:after="0" w:line="360" w:lineRule="auto"/>
        <w:ind w:left="1701" w:hanging="850"/>
        <w:jc w:val="both"/>
        <w:rPr>
          <w:rFonts w:ascii="Arial" w:hAnsi="Arial" w:cs="Arial"/>
          <w:b/>
          <w:caps/>
          <w:sz w:val="24"/>
          <w:szCs w:val="24"/>
          <w:lang w:val="en-GB"/>
        </w:rPr>
      </w:pPr>
      <w:r w:rsidRPr="00E93A79">
        <w:rPr>
          <w:rFonts w:ascii="Arial" w:hAnsi="Arial" w:cs="Arial"/>
          <w:bCs/>
          <w:sz w:val="24"/>
          <w:szCs w:val="24"/>
          <w:lang w:val="en-GB"/>
        </w:rPr>
        <w:t>The costs relating to the reservation, preparation,</w:t>
      </w:r>
      <w:r w:rsidR="0053569E">
        <w:rPr>
          <w:rFonts w:ascii="Arial" w:hAnsi="Arial" w:cs="Arial"/>
          <w:bCs/>
          <w:sz w:val="24"/>
          <w:szCs w:val="24"/>
          <w:lang w:val="en-GB"/>
        </w:rPr>
        <w:t xml:space="preserve"> travelling, accommodation and</w:t>
      </w:r>
      <w:r w:rsidRPr="00E93A79">
        <w:rPr>
          <w:rFonts w:ascii="Arial" w:hAnsi="Arial" w:cs="Arial"/>
          <w:bCs/>
          <w:sz w:val="24"/>
          <w:szCs w:val="24"/>
          <w:lang w:val="en-GB"/>
        </w:rPr>
        <w:t xml:space="preserve"> consultation with legal representatives including counsel and attendance at court of the following experts on the 16</w:t>
      </w:r>
      <w:r w:rsidRPr="00E93A79">
        <w:rPr>
          <w:rFonts w:ascii="Arial" w:hAnsi="Arial" w:cs="Arial"/>
          <w:bCs/>
          <w:sz w:val="24"/>
          <w:szCs w:val="24"/>
          <w:vertAlign w:val="superscript"/>
          <w:lang w:val="en-GB"/>
        </w:rPr>
        <w:t>th</w:t>
      </w:r>
      <w:r w:rsidRPr="00E93A79">
        <w:rPr>
          <w:rFonts w:ascii="Arial" w:hAnsi="Arial" w:cs="Arial"/>
          <w:bCs/>
          <w:sz w:val="24"/>
          <w:szCs w:val="24"/>
          <w:lang w:val="en-GB"/>
        </w:rPr>
        <w:t xml:space="preserve"> of August 2022:</w:t>
      </w:r>
    </w:p>
    <w:p w:rsidR="000A6B5F" w:rsidRPr="00E93A79" w:rsidRDefault="000A6B5F" w:rsidP="005D2814">
      <w:pPr>
        <w:spacing w:line="360" w:lineRule="auto"/>
        <w:ind w:left="1701"/>
        <w:jc w:val="both"/>
        <w:rPr>
          <w:rFonts w:ascii="Arial" w:hAnsi="Arial" w:cs="Arial"/>
          <w:b/>
          <w:caps/>
          <w:sz w:val="24"/>
          <w:szCs w:val="24"/>
          <w:lang w:val="en-GB"/>
        </w:rPr>
      </w:pPr>
    </w:p>
    <w:p w:rsidR="000A6B5F" w:rsidRPr="00E93A79" w:rsidRDefault="000A6B5F" w:rsidP="0053569E">
      <w:pPr>
        <w:widowControl w:val="0"/>
        <w:numPr>
          <w:ilvl w:val="2"/>
          <w:numId w:val="16"/>
        </w:numPr>
        <w:spacing w:after="0" w:line="360" w:lineRule="auto"/>
        <w:ind w:left="1134" w:firstLine="477"/>
        <w:jc w:val="both"/>
        <w:rPr>
          <w:rFonts w:ascii="Arial" w:hAnsi="Arial" w:cs="Arial"/>
          <w:b/>
          <w:caps/>
          <w:sz w:val="24"/>
          <w:szCs w:val="24"/>
          <w:lang w:val="en-GB"/>
        </w:rPr>
      </w:pPr>
      <w:r w:rsidRPr="00E93A79">
        <w:rPr>
          <w:rFonts w:ascii="Arial" w:hAnsi="Arial" w:cs="Arial"/>
          <w:bCs/>
          <w:sz w:val="24"/>
          <w:szCs w:val="24"/>
          <w:lang w:val="en-GB"/>
        </w:rPr>
        <w:t>Ms. Basson (Occupational Therapist);</w:t>
      </w:r>
    </w:p>
    <w:p w:rsidR="000A6B5F" w:rsidRPr="00E93A79" w:rsidRDefault="000A6B5F" w:rsidP="005D2814">
      <w:pPr>
        <w:spacing w:line="360" w:lineRule="auto"/>
        <w:ind w:left="1701"/>
        <w:jc w:val="both"/>
        <w:rPr>
          <w:rFonts w:ascii="Arial" w:hAnsi="Arial" w:cs="Arial"/>
          <w:b/>
          <w:caps/>
          <w:sz w:val="24"/>
          <w:szCs w:val="24"/>
          <w:lang w:val="en-GB"/>
        </w:rPr>
      </w:pPr>
    </w:p>
    <w:p w:rsidR="000A6B5F" w:rsidRPr="00E93A79" w:rsidRDefault="000A6B5F" w:rsidP="0053569E">
      <w:pPr>
        <w:widowControl w:val="0"/>
        <w:numPr>
          <w:ilvl w:val="2"/>
          <w:numId w:val="16"/>
        </w:numPr>
        <w:spacing w:after="0" w:line="360" w:lineRule="auto"/>
        <w:ind w:left="2835" w:hanging="1134"/>
        <w:jc w:val="both"/>
        <w:rPr>
          <w:rFonts w:ascii="Arial" w:hAnsi="Arial" w:cs="Arial"/>
          <w:b/>
          <w:caps/>
          <w:sz w:val="24"/>
          <w:szCs w:val="24"/>
          <w:lang w:val="en-GB"/>
        </w:rPr>
      </w:pPr>
      <w:r w:rsidRPr="00E93A79">
        <w:rPr>
          <w:rFonts w:ascii="Arial" w:hAnsi="Arial" w:cs="Arial"/>
          <w:bCs/>
          <w:sz w:val="24"/>
          <w:szCs w:val="24"/>
          <w:lang w:val="en-GB"/>
        </w:rPr>
        <w:t>Ms. Grove (Industrial Psychologist);</w:t>
      </w:r>
    </w:p>
    <w:p w:rsidR="000A6B5F" w:rsidRPr="00E93A79" w:rsidRDefault="000A6B5F" w:rsidP="005D2814">
      <w:pPr>
        <w:pStyle w:val="ListParagraph"/>
        <w:spacing w:line="360" w:lineRule="auto"/>
        <w:rPr>
          <w:rFonts w:ascii="Arial" w:hAnsi="Arial" w:cs="Arial"/>
          <w:bCs/>
          <w:sz w:val="24"/>
          <w:szCs w:val="24"/>
          <w:lang w:val="en-GB"/>
        </w:rPr>
      </w:pPr>
    </w:p>
    <w:p w:rsidR="000A6B5F" w:rsidRPr="00E93A79" w:rsidRDefault="005D2814" w:rsidP="0053569E">
      <w:pPr>
        <w:widowControl w:val="0"/>
        <w:numPr>
          <w:ilvl w:val="1"/>
          <w:numId w:val="16"/>
        </w:numPr>
        <w:spacing w:after="0" w:line="360" w:lineRule="auto"/>
        <w:ind w:left="1701" w:hanging="850"/>
        <w:jc w:val="both"/>
        <w:rPr>
          <w:rFonts w:ascii="Arial" w:hAnsi="Arial" w:cs="Arial"/>
          <w:b/>
          <w:caps/>
          <w:sz w:val="24"/>
          <w:szCs w:val="24"/>
          <w:lang w:val="en-GB"/>
        </w:rPr>
      </w:pPr>
      <w:r>
        <w:rPr>
          <w:rFonts w:ascii="Arial" w:hAnsi="Arial" w:cs="Arial"/>
          <w:bCs/>
          <w:sz w:val="24"/>
          <w:szCs w:val="24"/>
          <w:lang w:val="en-GB"/>
        </w:rPr>
        <w:t xml:space="preserve"> </w:t>
      </w:r>
      <w:r w:rsidR="000A6B5F" w:rsidRPr="00E93A79">
        <w:rPr>
          <w:rFonts w:ascii="Arial" w:hAnsi="Arial" w:cs="Arial"/>
          <w:bCs/>
          <w:sz w:val="24"/>
          <w:szCs w:val="24"/>
          <w:lang w:val="en-GB"/>
        </w:rPr>
        <w:t>The costs of counsel for trial on the 16</w:t>
      </w:r>
      <w:r w:rsidR="000A6B5F" w:rsidRPr="00E93A79">
        <w:rPr>
          <w:rFonts w:ascii="Arial" w:hAnsi="Arial" w:cs="Arial"/>
          <w:bCs/>
          <w:sz w:val="24"/>
          <w:szCs w:val="24"/>
          <w:vertAlign w:val="superscript"/>
          <w:lang w:val="en-GB"/>
        </w:rPr>
        <w:t>th</w:t>
      </w:r>
      <w:r w:rsidR="000A6B5F" w:rsidRPr="00E93A79">
        <w:rPr>
          <w:rFonts w:ascii="Arial" w:hAnsi="Arial" w:cs="Arial"/>
          <w:bCs/>
          <w:sz w:val="24"/>
          <w:szCs w:val="24"/>
          <w:lang w:val="en-GB"/>
        </w:rPr>
        <w:t xml:space="preserve"> - 17</w:t>
      </w:r>
      <w:r w:rsidR="000A6B5F" w:rsidRPr="00E93A79">
        <w:rPr>
          <w:rFonts w:ascii="Arial" w:hAnsi="Arial" w:cs="Arial"/>
          <w:bCs/>
          <w:sz w:val="24"/>
          <w:szCs w:val="24"/>
          <w:vertAlign w:val="superscript"/>
          <w:lang w:val="en-GB"/>
        </w:rPr>
        <w:t>th</w:t>
      </w:r>
      <w:r w:rsidR="000A6B5F" w:rsidRPr="00E93A79">
        <w:rPr>
          <w:rFonts w:ascii="Arial" w:hAnsi="Arial" w:cs="Arial"/>
          <w:bCs/>
          <w:sz w:val="24"/>
          <w:szCs w:val="24"/>
          <w:lang w:val="en-GB"/>
        </w:rPr>
        <w:t xml:space="preserve"> of August 2022. </w:t>
      </w:r>
    </w:p>
    <w:p w:rsidR="000A6B5F" w:rsidRPr="00E93A79" w:rsidRDefault="000A6B5F" w:rsidP="005D2814">
      <w:pPr>
        <w:pStyle w:val="ListParagraph"/>
        <w:spacing w:line="360" w:lineRule="auto"/>
        <w:ind w:left="0"/>
        <w:rPr>
          <w:rFonts w:ascii="Arial" w:hAnsi="Arial" w:cs="Arial"/>
          <w:b/>
          <w:caps/>
          <w:sz w:val="24"/>
          <w:szCs w:val="24"/>
          <w:lang w:val="en-GB"/>
        </w:rPr>
      </w:pPr>
    </w:p>
    <w:p w:rsidR="000A6B5F" w:rsidRPr="005D6843" w:rsidRDefault="005D2814" w:rsidP="005D6843">
      <w:pPr>
        <w:widowControl w:val="0"/>
        <w:numPr>
          <w:ilvl w:val="1"/>
          <w:numId w:val="16"/>
        </w:numPr>
        <w:spacing w:after="0" w:line="360" w:lineRule="auto"/>
        <w:ind w:left="1701" w:hanging="850"/>
        <w:jc w:val="both"/>
        <w:rPr>
          <w:rFonts w:ascii="Arial" w:hAnsi="Arial" w:cs="Arial"/>
          <w:b/>
          <w:caps/>
          <w:sz w:val="24"/>
          <w:szCs w:val="24"/>
          <w:lang w:val="en-GB"/>
        </w:rPr>
      </w:pPr>
      <w:r>
        <w:rPr>
          <w:rFonts w:ascii="Arial" w:hAnsi="Arial" w:cs="Arial"/>
          <w:sz w:val="24"/>
          <w:szCs w:val="24"/>
        </w:rPr>
        <w:t xml:space="preserve"> </w:t>
      </w:r>
      <w:r w:rsidR="000A6B5F" w:rsidRPr="00E93A79">
        <w:rPr>
          <w:rFonts w:ascii="Arial" w:hAnsi="Arial" w:cs="Arial"/>
          <w:sz w:val="24"/>
          <w:szCs w:val="24"/>
        </w:rPr>
        <w:t>Any costs attendant upon the obtaining of payment of the capital amount and the taxed costs.</w:t>
      </w:r>
    </w:p>
    <w:p w:rsidR="000A6B5F" w:rsidRPr="00E93A79" w:rsidRDefault="000A6B5F" w:rsidP="005D2814">
      <w:pPr>
        <w:pStyle w:val="ListParagraph"/>
        <w:spacing w:line="360" w:lineRule="auto"/>
        <w:ind w:left="0"/>
        <w:rPr>
          <w:rFonts w:ascii="Arial" w:hAnsi="Arial" w:cs="Arial"/>
          <w:b/>
          <w:caps/>
          <w:sz w:val="24"/>
          <w:szCs w:val="24"/>
          <w:lang w:val="en-GB"/>
        </w:rPr>
      </w:pPr>
    </w:p>
    <w:p w:rsidR="000A6B5F" w:rsidRPr="0053569E" w:rsidRDefault="000A6B5F" w:rsidP="0053569E">
      <w:pPr>
        <w:pStyle w:val="ListParagraph"/>
        <w:widowControl w:val="0"/>
        <w:numPr>
          <w:ilvl w:val="1"/>
          <w:numId w:val="16"/>
        </w:numPr>
        <w:spacing w:after="0" w:line="360" w:lineRule="auto"/>
        <w:ind w:left="1560"/>
        <w:jc w:val="both"/>
        <w:rPr>
          <w:rFonts w:ascii="Arial" w:hAnsi="Arial" w:cs="Arial"/>
          <w:b/>
          <w:caps/>
          <w:sz w:val="24"/>
          <w:szCs w:val="24"/>
          <w:lang w:val="en-GB"/>
        </w:rPr>
      </w:pPr>
      <w:r w:rsidRPr="0053569E">
        <w:rPr>
          <w:rFonts w:ascii="Arial" w:hAnsi="Arial" w:cs="Arial"/>
          <w:sz w:val="24"/>
          <w:szCs w:val="24"/>
        </w:rPr>
        <w:t xml:space="preserve">  Subject to the following conditions:</w:t>
      </w:r>
    </w:p>
    <w:p w:rsidR="000A6B5F" w:rsidRPr="00E93A79" w:rsidRDefault="000A6B5F" w:rsidP="005D2814">
      <w:pPr>
        <w:spacing w:line="360" w:lineRule="auto"/>
        <w:ind w:left="851"/>
        <w:jc w:val="both"/>
        <w:rPr>
          <w:rFonts w:ascii="Arial" w:hAnsi="Arial" w:cs="Arial"/>
          <w:b/>
          <w:caps/>
          <w:sz w:val="24"/>
          <w:szCs w:val="24"/>
          <w:lang w:val="en-GB"/>
        </w:rPr>
      </w:pPr>
    </w:p>
    <w:p w:rsidR="000A6B5F" w:rsidRPr="00E93A79" w:rsidRDefault="000A6B5F" w:rsidP="0053569E">
      <w:pPr>
        <w:widowControl w:val="0"/>
        <w:numPr>
          <w:ilvl w:val="1"/>
          <w:numId w:val="16"/>
        </w:numPr>
        <w:spacing w:after="0" w:line="360" w:lineRule="auto"/>
        <w:ind w:left="1701" w:hanging="850"/>
        <w:jc w:val="both"/>
        <w:rPr>
          <w:rFonts w:ascii="Arial" w:hAnsi="Arial" w:cs="Arial"/>
          <w:b/>
          <w:caps/>
          <w:sz w:val="24"/>
          <w:szCs w:val="24"/>
          <w:lang w:val="en-GB"/>
        </w:rPr>
      </w:pPr>
      <w:r w:rsidRPr="00E93A79">
        <w:rPr>
          <w:rFonts w:ascii="Arial" w:hAnsi="Arial" w:cs="Arial"/>
          <w:sz w:val="24"/>
          <w:szCs w:val="24"/>
        </w:rPr>
        <w:t>The Plaintiff shall, in the event that costs are not agreed, serve the notice of taxation on the Defendant’s attorney of record; and</w:t>
      </w:r>
    </w:p>
    <w:p w:rsidR="000A6B5F" w:rsidRPr="00E93A79" w:rsidRDefault="000A6B5F" w:rsidP="005D2814">
      <w:pPr>
        <w:spacing w:line="360" w:lineRule="auto"/>
        <w:ind w:left="1701"/>
        <w:jc w:val="both"/>
        <w:rPr>
          <w:rFonts w:ascii="Arial" w:hAnsi="Arial" w:cs="Arial"/>
          <w:b/>
          <w:caps/>
          <w:sz w:val="24"/>
          <w:szCs w:val="24"/>
          <w:lang w:val="en-GB"/>
        </w:rPr>
      </w:pPr>
    </w:p>
    <w:p w:rsidR="000A6B5F" w:rsidRPr="00E93A79" w:rsidRDefault="000A6B5F" w:rsidP="0053569E">
      <w:pPr>
        <w:widowControl w:val="0"/>
        <w:numPr>
          <w:ilvl w:val="1"/>
          <w:numId w:val="16"/>
        </w:numPr>
        <w:spacing w:after="0" w:line="360" w:lineRule="auto"/>
        <w:ind w:left="1701" w:hanging="850"/>
        <w:jc w:val="both"/>
        <w:rPr>
          <w:rFonts w:ascii="Arial" w:hAnsi="Arial" w:cs="Arial"/>
          <w:b/>
          <w:caps/>
          <w:sz w:val="24"/>
          <w:szCs w:val="24"/>
          <w:lang w:val="en-GB"/>
        </w:rPr>
      </w:pPr>
      <w:r w:rsidRPr="00E93A79">
        <w:rPr>
          <w:rFonts w:ascii="Arial" w:hAnsi="Arial" w:cs="Arial"/>
          <w:sz w:val="24"/>
          <w:szCs w:val="24"/>
        </w:rPr>
        <w:t xml:space="preserve">   The Plaintiff shall allow the Defendant 14 (Fourteen) court days to make payment of the taxed costs.</w:t>
      </w:r>
    </w:p>
    <w:p w:rsidR="000A6B5F" w:rsidRPr="00E93A79" w:rsidRDefault="000A6B5F" w:rsidP="005D2814">
      <w:pPr>
        <w:pStyle w:val="ListParagraph"/>
        <w:spacing w:line="360" w:lineRule="auto"/>
        <w:ind w:left="0"/>
        <w:rPr>
          <w:rFonts w:ascii="Arial" w:hAnsi="Arial" w:cs="Arial"/>
          <w:b/>
          <w:caps/>
          <w:sz w:val="24"/>
          <w:szCs w:val="24"/>
          <w:lang w:val="en-GB"/>
        </w:rPr>
      </w:pPr>
    </w:p>
    <w:p w:rsidR="000A6B5F" w:rsidRPr="00E93A79" w:rsidRDefault="000A6B5F" w:rsidP="0053569E">
      <w:pPr>
        <w:widowControl w:val="0"/>
        <w:numPr>
          <w:ilvl w:val="2"/>
          <w:numId w:val="16"/>
        </w:numPr>
        <w:spacing w:after="0" w:line="360" w:lineRule="auto"/>
        <w:ind w:left="2835" w:hanging="1134"/>
        <w:jc w:val="both"/>
        <w:rPr>
          <w:rFonts w:ascii="Arial" w:hAnsi="Arial" w:cs="Arial"/>
          <w:b/>
          <w:caps/>
          <w:sz w:val="24"/>
          <w:szCs w:val="24"/>
          <w:lang w:val="en-GB"/>
        </w:rPr>
      </w:pPr>
      <w:r w:rsidRPr="00E93A79">
        <w:rPr>
          <w:rFonts w:ascii="Arial" w:hAnsi="Arial" w:cs="Arial"/>
          <w:sz w:val="24"/>
          <w:szCs w:val="24"/>
        </w:rPr>
        <w:t xml:space="preserve">No interest will be payable, except in the event of default of payment of such costs, in which case interest will be payable </w:t>
      </w:r>
      <w:r w:rsidRPr="00E93A79">
        <w:rPr>
          <w:rFonts w:ascii="Arial" w:hAnsi="Arial" w:cs="Arial"/>
          <w:i/>
          <w:iCs/>
          <w:sz w:val="24"/>
          <w:szCs w:val="24"/>
        </w:rPr>
        <w:t>tempora morae</w:t>
      </w:r>
      <w:r w:rsidRPr="00E93A79">
        <w:rPr>
          <w:rFonts w:ascii="Arial" w:hAnsi="Arial" w:cs="Arial"/>
          <w:sz w:val="24"/>
          <w:szCs w:val="24"/>
        </w:rPr>
        <w:t xml:space="preserve"> at the prevailing rate of interest in terms of the Prescribed Rate of Interest Act from date of taxation.</w:t>
      </w:r>
    </w:p>
    <w:p w:rsidR="000A6B5F" w:rsidRPr="00E93A79" w:rsidRDefault="000A6B5F" w:rsidP="005D2814">
      <w:pPr>
        <w:spacing w:line="360" w:lineRule="auto"/>
        <w:ind w:left="2835"/>
        <w:jc w:val="both"/>
        <w:rPr>
          <w:rFonts w:ascii="Arial" w:hAnsi="Arial" w:cs="Arial"/>
          <w:b/>
          <w:caps/>
          <w:sz w:val="24"/>
          <w:szCs w:val="24"/>
          <w:lang w:val="en-GB"/>
        </w:rPr>
      </w:pPr>
    </w:p>
    <w:p w:rsidR="000A6B5F" w:rsidRPr="0053569E" w:rsidRDefault="000A6B5F" w:rsidP="0053569E">
      <w:pPr>
        <w:pStyle w:val="ListParagraph"/>
        <w:widowControl w:val="0"/>
        <w:numPr>
          <w:ilvl w:val="1"/>
          <w:numId w:val="16"/>
        </w:numPr>
        <w:spacing w:after="0" w:line="360" w:lineRule="auto"/>
        <w:jc w:val="both"/>
        <w:rPr>
          <w:rFonts w:ascii="Arial" w:hAnsi="Arial" w:cs="Arial"/>
          <w:b/>
          <w:caps/>
          <w:sz w:val="24"/>
          <w:szCs w:val="24"/>
          <w:lang w:val="en-GB"/>
        </w:rPr>
      </w:pPr>
      <w:r w:rsidRPr="0053569E">
        <w:rPr>
          <w:rFonts w:ascii="Arial" w:hAnsi="Arial" w:cs="Arial"/>
          <w:kern w:val="28"/>
          <w:sz w:val="24"/>
          <w:szCs w:val="24"/>
        </w:rPr>
        <w:t xml:space="preserve"> The capital and the taxed or agreed costs shall be paid directly to the Plaintiff’s attorneys of record with the following particulars:</w:t>
      </w:r>
    </w:p>
    <w:p w:rsidR="000A6B5F" w:rsidRPr="00E93A79" w:rsidRDefault="000A6B5F" w:rsidP="005D2814">
      <w:pPr>
        <w:tabs>
          <w:tab w:val="left" w:pos="862"/>
          <w:tab w:val="left" w:pos="1871"/>
          <w:tab w:val="left" w:pos="3022"/>
          <w:tab w:val="left" w:pos="4321"/>
          <w:tab w:val="left" w:pos="5761"/>
        </w:tabs>
        <w:spacing w:line="360" w:lineRule="auto"/>
        <w:rPr>
          <w:rFonts w:ascii="Arial" w:hAnsi="Arial" w:cs="Arial"/>
          <w:b/>
          <w:caps/>
          <w:kern w:val="25"/>
          <w:sz w:val="24"/>
          <w:szCs w:val="24"/>
        </w:rPr>
      </w:pPr>
    </w:p>
    <w:p w:rsidR="000A6B5F" w:rsidRPr="00E93A79" w:rsidRDefault="000A6B5F" w:rsidP="005D2814">
      <w:pPr>
        <w:pStyle w:val="ListParagraph"/>
        <w:tabs>
          <w:tab w:val="left" w:pos="862"/>
          <w:tab w:val="left" w:pos="1871"/>
          <w:tab w:val="left" w:pos="3022"/>
          <w:tab w:val="left" w:pos="4321"/>
          <w:tab w:val="left" w:pos="5761"/>
        </w:tabs>
        <w:spacing w:line="360" w:lineRule="auto"/>
        <w:ind w:left="851"/>
        <w:rPr>
          <w:rFonts w:ascii="Arial" w:hAnsi="Arial" w:cs="Arial"/>
          <w:b/>
          <w:kern w:val="25"/>
          <w:sz w:val="24"/>
          <w:szCs w:val="24"/>
        </w:rPr>
      </w:pPr>
      <w:r w:rsidRPr="00E93A79">
        <w:rPr>
          <w:rFonts w:ascii="Arial" w:hAnsi="Arial" w:cs="Arial"/>
          <w:b/>
          <w:kern w:val="25"/>
          <w:sz w:val="24"/>
          <w:szCs w:val="24"/>
        </w:rPr>
        <w:t xml:space="preserve">NAME OF ACCOUNT:                </w:t>
      </w:r>
      <w:r w:rsidRPr="00E93A79">
        <w:rPr>
          <w:rFonts w:ascii="Arial" w:hAnsi="Arial" w:cs="Arial"/>
          <w:kern w:val="25"/>
          <w:sz w:val="24"/>
          <w:szCs w:val="24"/>
        </w:rPr>
        <w:t xml:space="preserve">Munro Flowers &amp; Vermaak Trust Account </w:t>
      </w:r>
    </w:p>
    <w:p w:rsidR="000A6B5F" w:rsidRPr="00E93A79" w:rsidRDefault="000A6B5F" w:rsidP="005D2814">
      <w:pPr>
        <w:pStyle w:val="ListParagraph"/>
        <w:tabs>
          <w:tab w:val="left" w:pos="862"/>
          <w:tab w:val="left" w:pos="1871"/>
          <w:tab w:val="left" w:pos="3022"/>
          <w:tab w:val="left" w:pos="3544"/>
          <w:tab w:val="left" w:pos="4253"/>
        </w:tabs>
        <w:spacing w:line="360" w:lineRule="auto"/>
        <w:ind w:left="851"/>
        <w:rPr>
          <w:rFonts w:ascii="Arial" w:hAnsi="Arial" w:cs="Arial"/>
          <w:b/>
          <w:kern w:val="25"/>
          <w:sz w:val="24"/>
          <w:szCs w:val="24"/>
        </w:rPr>
      </w:pPr>
      <w:r w:rsidRPr="00E93A79">
        <w:rPr>
          <w:rFonts w:ascii="Arial" w:hAnsi="Arial" w:cs="Arial"/>
          <w:b/>
          <w:kern w:val="25"/>
          <w:sz w:val="24"/>
          <w:szCs w:val="24"/>
        </w:rPr>
        <w:t xml:space="preserve">BANK: </w:t>
      </w:r>
      <w:r w:rsidRPr="00E93A79">
        <w:rPr>
          <w:rFonts w:ascii="Arial" w:hAnsi="Arial" w:cs="Arial"/>
          <w:b/>
          <w:kern w:val="25"/>
          <w:sz w:val="24"/>
          <w:szCs w:val="24"/>
        </w:rPr>
        <w:tab/>
      </w:r>
      <w:r w:rsidRPr="00E93A79">
        <w:rPr>
          <w:rFonts w:ascii="Arial" w:hAnsi="Arial" w:cs="Arial"/>
          <w:b/>
          <w:kern w:val="25"/>
          <w:sz w:val="24"/>
          <w:szCs w:val="24"/>
        </w:rPr>
        <w:tab/>
      </w:r>
      <w:r w:rsidRPr="00E93A79">
        <w:rPr>
          <w:rFonts w:ascii="Arial" w:hAnsi="Arial" w:cs="Arial"/>
          <w:b/>
          <w:kern w:val="25"/>
          <w:sz w:val="24"/>
          <w:szCs w:val="24"/>
        </w:rPr>
        <w:tab/>
      </w:r>
      <w:r w:rsidRPr="00E93A79">
        <w:rPr>
          <w:rFonts w:ascii="Arial" w:hAnsi="Arial" w:cs="Arial"/>
          <w:b/>
          <w:kern w:val="25"/>
          <w:sz w:val="24"/>
          <w:szCs w:val="24"/>
        </w:rPr>
        <w:tab/>
        <w:t xml:space="preserve">  </w:t>
      </w:r>
      <w:r w:rsidRPr="00E93A79">
        <w:rPr>
          <w:rFonts w:ascii="Arial" w:hAnsi="Arial" w:cs="Arial"/>
          <w:kern w:val="25"/>
          <w:sz w:val="24"/>
          <w:szCs w:val="24"/>
        </w:rPr>
        <w:t xml:space="preserve">Nedbank </w:t>
      </w:r>
    </w:p>
    <w:p w:rsidR="000A6B5F" w:rsidRPr="00E93A79" w:rsidRDefault="000A6B5F" w:rsidP="005D2814">
      <w:pPr>
        <w:pStyle w:val="ListParagraph"/>
        <w:tabs>
          <w:tab w:val="left" w:pos="862"/>
          <w:tab w:val="left" w:pos="1871"/>
          <w:tab w:val="left" w:pos="3022"/>
          <w:tab w:val="left" w:pos="3544"/>
          <w:tab w:val="left" w:pos="4253"/>
        </w:tabs>
        <w:spacing w:line="360" w:lineRule="auto"/>
        <w:rPr>
          <w:rFonts w:ascii="Arial" w:hAnsi="Arial" w:cs="Arial"/>
          <w:kern w:val="25"/>
          <w:sz w:val="24"/>
          <w:szCs w:val="24"/>
        </w:rPr>
      </w:pPr>
      <w:r w:rsidRPr="00E93A79">
        <w:rPr>
          <w:rFonts w:ascii="Arial" w:hAnsi="Arial" w:cs="Arial"/>
          <w:b/>
          <w:kern w:val="25"/>
          <w:sz w:val="24"/>
          <w:szCs w:val="24"/>
        </w:rPr>
        <w:tab/>
        <w:t xml:space="preserve">BRANCH CODE: </w:t>
      </w:r>
      <w:r w:rsidRPr="00E93A79">
        <w:rPr>
          <w:rFonts w:ascii="Arial" w:hAnsi="Arial" w:cs="Arial"/>
          <w:b/>
          <w:kern w:val="25"/>
          <w:sz w:val="24"/>
          <w:szCs w:val="24"/>
        </w:rPr>
        <w:tab/>
      </w:r>
      <w:r w:rsidRPr="00E93A79">
        <w:rPr>
          <w:rFonts w:ascii="Arial" w:hAnsi="Arial" w:cs="Arial"/>
          <w:b/>
          <w:kern w:val="25"/>
          <w:sz w:val="24"/>
          <w:szCs w:val="24"/>
        </w:rPr>
        <w:tab/>
      </w:r>
      <w:r w:rsidRPr="00E93A79">
        <w:rPr>
          <w:rFonts w:ascii="Arial" w:hAnsi="Arial" w:cs="Arial"/>
          <w:b/>
          <w:kern w:val="25"/>
          <w:sz w:val="24"/>
          <w:szCs w:val="24"/>
        </w:rPr>
        <w:tab/>
        <w:t xml:space="preserve">  </w:t>
      </w:r>
      <w:r w:rsidRPr="00E93A79">
        <w:rPr>
          <w:rFonts w:ascii="Arial" w:hAnsi="Arial" w:cs="Arial"/>
          <w:kern w:val="25"/>
          <w:sz w:val="24"/>
          <w:szCs w:val="24"/>
        </w:rPr>
        <w:t>187505</w:t>
      </w:r>
    </w:p>
    <w:p w:rsidR="000A6B5F" w:rsidRPr="00E93A79" w:rsidRDefault="000A6B5F" w:rsidP="005D2814">
      <w:pPr>
        <w:pStyle w:val="ListParagraph"/>
        <w:tabs>
          <w:tab w:val="left" w:pos="862"/>
          <w:tab w:val="left" w:pos="1871"/>
          <w:tab w:val="left" w:pos="3022"/>
          <w:tab w:val="left" w:pos="3544"/>
          <w:tab w:val="left" w:pos="4253"/>
        </w:tabs>
        <w:spacing w:line="360" w:lineRule="auto"/>
        <w:rPr>
          <w:rFonts w:ascii="Arial" w:hAnsi="Arial" w:cs="Arial"/>
          <w:b/>
          <w:kern w:val="25"/>
          <w:sz w:val="24"/>
          <w:szCs w:val="24"/>
        </w:rPr>
      </w:pPr>
      <w:r w:rsidRPr="00E93A79">
        <w:rPr>
          <w:rFonts w:ascii="Arial" w:hAnsi="Arial" w:cs="Arial"/>
          <w:kern w:val="25"/>
          <w:sz w:val="24"/>
          <w:szCs w:val="24"/>
        </w:rPr>
        <w:tab/>
      </w:r>
      <w:r w:rsidRPr="00E93A79">
        <w:rPr>
          <w:rFonts w:ascii="Arial" w:hAnsi="Arial" w:cs="Arial"/>
          <w:b/>
          <w:caps/>
          <w:kern w:val="25"/>
          <w:sz w:val="24"/>
          <w:szCs w:val="24"/>
        </w:rPr>
        <w:t>Universal branch Code:</w:t>
      </w:r>
      <w:r w:rsidRPr="00E93A79">
        <w:rPr>
          <w:rFonts w:ascii="Arial" w:hAnsi="Arial" w:cs="Arial"/>
          <w:b/>
          <w:caps/>
          <w:kern w:val="25"/>
          <w:sz w:val="24"/>
          <w:szCs w:val="24"/>
        </w:rPr>
        <w:tab/>
      </w:r>
      <w:r w:rsidRPr="00E93A79">
        <w:rPr>
          <w:rFonts w:ascii="Arial" w:hAnsi="Arial" w:cs="Arial"/>
          <w:kern w:val="25"/>
          <w:sz w:val="24"/>
          <w:szCs w:val="24"/>
        </w:rPr>
        <w:tab/>
        <w:t>198765</w:t>
      </w:r>
    </w:p>
    <w:p w:rsidR="000A6B5F" w:rsidRPr="00E93A79" w:rsidRDefault="000A6B5F" w:rsidP="005D2814">
      <w:pPr>
        <w:pStyle w:val="ListParagraph"/>
        <w:tabs>
          <w:tab w:val="left" w:pos="862"/>
          <w:tab w:val="left" w:pos="1871"/>
          <w:tab w:val="left" w:pos="3022"/>
          <w:tab w:val="left" w:pos="3544"/>
          <w:tab w:val="left" w:pos="5761"/>
        </w:tabs>
        <w:spacing w:line="360" w:lineRule="auto"/>
        <w:rPr>
          <w:rFonts w:ascii="Arial" w:hAnsi="Arial" w:cs="Arial"/>
          <w:b/>
          <w:kern w:val="25"/>
          <w:sz w:val="24"/>
          <w:szCs w:val="24"/>
        </w:rPr>
      </w:pPr>
      <w:r w:rsidRPr="00E93A79">
        <w:rPr>
          <w:rFonts w:ascii="Arial" w:hAnsi="Arial" w:cs="Arial"/>
          <w:b/>
          <w:kern w:val="25"/>
          <w:sz w:val="24"/>
          <w:szCs w:val="24"/>
        </w:rPr>
        <w:tab/>
        <w:t>BRANCH:</w:t>
      </w:r>
      <w:r w:rsidRPr="00E93A79">
        <w:rPr>
          <w:rFonts w:ascii="Arial" w:hAnsi="Arial" w:cs="Arial"/>
          <w:b/>
          <w:kern w:val="25"/>
          <w:sz w:val="24"/>
          <w:szCs w:val="24"/>
        </w:rPr>
        <w:tab/>
        <w:t xml:space="preserve">                    </w:t>
      </w:r>
      <w:r w:rsidRPr="00E93A79">
        <w:rPr>
          <w:rFonts w:ascii="Arial" w:hAnsi="Arial" w:cs="Arial"/>
          <w:kern w:val="25"/>
          <w:sz w:val="24"/>
          <w:szCs w:val="24"/>
        </w:rPr>
        <w:t xml:space="preserve">Northern Gauteng </w:t>
      </w:r>
    </w:p>
    <w:p w:rsidR="000A6B5F" w:rsidRPr="00E93A79" w:rsidRDefault="000A6B5F" w:rsidP="005D2814">
      <w:pPr>
        <w:pStyle w:val="ListParagraph"/>
        <w:tabs>
          <w:tab w:val="left" w:pos="862"/>
          <w:tab w:val="left" w:pos="1871"/>
          <w:tab w:val="left" w:pos="3022"/>
          <w:tab w:val="left" w:pos="3544"/>
          <w:tab w:val="left" w:pos="5761"/>
        </w:tabs>
        <w:spacing w:line="360" w:lineRule="auto"/>
        <w:rPr>
          <w:rFonts w:ascii="Arial" w:hAnsi="Arial" w:cs="Arial"/>
          <w:b/>
          <w:kern w:val="25"/>
          <w:sz w:val="24"/>
          <w:szCs w:val="24"/>
        </w:rPr>
      </w:pPr>
      <w:r w:rsidRPr="00E93A79">
        <w:rPr>
          <w:rFonts w:ascii="Arial" w:hAnsi="Arial" w:cs="Arial"/>
          <w:b/>
          <w:kern w:val="25"/>
          <w:sz w:val="24"/>
          <w:szCs w:val="24"/>
        </w:rPr>
        <w:tab/>
        <w:t>ACCOUNT NO:</w:t>
      </w:r>
      <w:r w:rsidRPr="00E93A79">
        <w:rPr>
          <w:rFonts w:ascii="Arial" w:hAnsi="Arial" w:cs="Arial"/>
          <w:b/>
          <w:kern w:val="25"/>
          <w:sz w:val="24"/>
          <w:szCs w:val="24"/>
        </w:rPr>
        <w:tab/>
      </w:r>
      <w:r w:rsidRPr="00E93A79">
        <w:rPr>
          <w:rFonts w:ascii="Arial" w:hAnsi="Arial" w:cs="Arial"/>
          <w:b/>
          <w:kern w:val="25"/>
          <w:sz w:val="24"/>
          <w:szCs w:val="24"/>
        </w:rPr>
        <w:tab/>
      </w:r>
      <w:r w:rsidRPr="00E93A79">
        <w:rPr>
          <w:rFonts w:ascii="Arial" w:hAnsi="Arial" w:cs="Arial"/>
          <w:kern w:val="25"/>
          <w:sz w:val="24"/>
          <w:szCs w:val="24"/>
        </w:rPr>
        <w:t xml:space="preserve">            1469 036657</w:t>
      </w:r>
    </w:p>
    <w:p w:rsidR="000A6B5F" w:rsidRPr="00E93A79" w:rsidRDefault="000A6B5F" w:rsidP="005D2814">
      <w:pPr>
        <w:pStyle w:val="ListParagraph"/>
        <w:tabs>
          <w:tab w:val="left" w:pos="862"/>
          <w:tab w:val="left" w:pos="1871"/>
          <w:tab w:val="left" w:pos="3022"/>
          <w:tab w:val="left" w:pos="3544"/>
          <w:tab w:val="left" w:pos="5761"/>
        </w:tabs>
        <w:spacing w:line="360" w:lineRule="auto"/>
        <w:rPr>
          <w:rFonts w:ascii="Arial" w:hAnsi="Arial" w:cs="Arial"/>
          <w:kern w:val="25"/>
          <w:sz w:val="24"/>
          <w:szCs w:val="24"/>
        </w:rPr>
      </w:pPr>
      <w:r w:rsidRPr="00E93A79">
        <w:rPr>
          <w:rFonts w:ascii="Arial" w:hAnsi="Arial" w:cs="Arial"/>
          <w:b/>
          <w:kern w:val="25"/>
          <w:sz w:val="24"/>
          <w:szCs w:val="24"/>
        </w:rPr>
        <w:tab/>
        <w:t>REFERENCE:</w:t>
      </w:r>
      <w:r w:rsidRPr="00E93A79">
        <w:rPr>
          <w:rFonts w:ascii="Arial" w:hAnsi="Arial" w:cs="Arial"/>
          <w:b/>
          <w:kern w:val="25"/>
          <w:sz w:val="24"/>
          <w:szCs w:val="24"/>
        </w:rPr>
        <w:tab/>
      </w:r>
      <w:r w:rsidRPr="00E93A79">
        <w:rPr>
          <w:rFonts w:ascii="Arial" w:hAnsi="Arial" w:cs="Arial"/>
          <w:b/>
          <w:kern w:val="25"/>
          <w:sz w:val="24"/>
          <w:szCs w:val="24"/>
        </w:rPr>
        <w:tab/>
        <w:t xml:space="preserve">            </w:t>
      </w:r>
      <w:r w:rsidRPr="00E93A79">
        <w:rPr>
          <w:rFonts w:ascii="Arial" w:hAnsi="Arial" w:cs="Arial"/>
          <w:kern w:val="25"/>
          <w:sz w:val="24"/>
          <w:szCs w:val="24"/>
        </w:rPr>
        <w:t>MS K Vermaak/tgb/MARAMBA (M.4750)</w:t>
      </w:r>
    </w:p>
    <w:p w:rsidR="00AC332C" w:rsidRPr="00114B02" w:rsidRDefault="00AC332C" w:rsidP="00E54925">
      <w:pPr>
        <w:spacing w:after="0" w:line="240" w:lineRule="auto"/>
        <w:jc w:val="both"/>
        <w:rPr>
          <w:rFonts w:ascii="Arial" w:eastAsia="Calibri" w:hAnsi="Arial" w:cs="Arial"/>
          <w:sz w:val="24"/>
          <w:szCs w:val="24"/>
        </w:rPr>
      </w:pPr>
    </w:p>
    <w:p w:rsidR="00AC332C" w:rsidRPr="004C5FCD" w:rsidRDefault="00AC332C" w:rsidP="00AC332C">
      <w:pPr>
        <w:spacing w:line="360" w:lineRule="auto"/>
        <w:ind w:left="1440" w:hanging="585"/>
        <w:contextualSpacing/>
        <w:jc w:val="both"/>
        <w:rPr>
          <w:rFonts w:ascii="Arial" w:eastAsia="Calibri" w:hAnsi="Arial" w:cs="Arial"/>
          <w:sz w:val="24"/>
          <w:szCs w:val="24"/>
        </w:rPr>
      </w:pPr>
    </w:p>
    <w:p w:rsidR="004577B0" w:rsidRPr="004C5FCD" w:rsidRDefault="004577B0" w:rsidP="001838A8">
      <w:pPr>
        <w:spacing w:line="360" w:lineRule="auto"/>
        <w:ind w:left="851" w:hanging="851"/>
        <w:contextualSpacing/>
        <w:jc w:val="both"/>
        <w:rPr>
          <w:rFonts w:ascii="Arial" w:eastAsia="Calibri" w:hAnsi="Arial" w:cs="Arial"/>
          <w:sz w:val="24"/>
          <w:szCs w:val="24"/>
        </w:rPr>
      </w:pPr>
    </w:p>
    <w:p w:rsidR="00CF2227" w:rsidRPr="004C5FCD" w:rsidRDefault="00CF2227" w:rsidP="00CF2227">
      <w:pPr>
        <w:spacing w:after="0" w:line="240" w:lineRule="auto"/>
        <w:jc w:val="right"/>
        <w:rPr>
          <w:rFonts w:ascii="Arial" w:eastAsia="Times New Roman" w:hAnsi="Arial" w:cs="Arial"/>
          <w:b/>
          <w:sz w:val="24"/>
          <w:szCs w:val="24"/>
          <w:lang w:eastAsia="en-GB"/>
        </w:rPr>
      </w:pPr>
      <w:r w:rsidRPr="004C5FCD">
        <w:rPr>
          <w:rFonts w:ascii="Arial" w:eastAsia="Times New Roman" w:hAnsi="Arial" w:cs="Arial"/>
          <w:b/>
          <w:sz w:val="24"/>
          <w:szCs w:val="24"/>
          <w:lang w:eastAsia="en-GB"/>
        </w:rPr>
        <w:t>__________________</w:t>
      </w:r>
    </w:p>
    <w:p w:rsidR="00CF2227" w:rsidRPr="004C5FCD" w:rsidRDefault="00AA7959" w:rsidP="00CF2227">
      <w:pPr>
        <w:spacing w:after="0" w:line="240" w:lineRule="auto"/>
        <w:jc w:val="right"/>
        <w:rPr>
          <w:rFonts w:ascii="Arial" w:eastAsia="Times New Roman" w:hAnsi="Arial" w:cs="Arial"/>
          <w:b/>
          <w:sz w:val="24"/>
          <w:szCs w:val="24"/>
          <w:lang w:eastAsia="en-GB"/>
        </w:rPr>
      </w:pPr>
      <w:r w:rsidRPr="004C5FCD">
        <w:rPr>
          <w:rFonts w:ascii="Arial" w:eastAsia="Times New Roman" w:hAnsi="Arial" w:cs="Arial"/>
          <w:b/>
          <w:sz w:val="24"/>
          <w:szCs w:val="24"/>
          <w:lang w:eastAsia="en-GB"/>
        </w:rPr>
        <w:t>M.</w:t>
      </w:r>
      <w:r w:rsidR="00CF2227" w:rsidRPr="004C5FCD">
        <w:rPr>
          <w:rFonts w:ascii="Arial" w:eastAsia="Times New Roman" w:hAnsi="Arial" w:cs="Arial"/>
          <w:b/>
          <w:sz w:val="24"/>
          <w:szCs w:val="24"/>
          <w:lang w:eastAsia="en-GB"/>
        </w:rPr>
        <w:t>A. MATHEBULA, J</w:t>
      </w:r>
    </w:p>
    <w:p w:rsidR="00CF2227" w:rsidRPr="004C5FCD" w:rsidRDefault="00CF2227" w:rsidP="00CF2227">
      <w:pPr>
        <w:tabs>
          <w:tab w:val="left" w:pos="1701"/>
        </w:tabs>
        <w:spacing w:after="0"/>
        <w:jc w:val="both"/>
        <w:rPr>
          <w:rFonts w:ascii="Arial" w:hAnsi="Arial" w:cs="Arial"/>
          <w:color w:val="000000" w:themeColor="text1"/>
          <w:sz w:val="24"/>
          <w:szCs w:val="24"/>
        </w:rPr>
      </w:pPr>
    </w:p>
    <w:p w:rsidR="00CF2227" w:rsidRPr="004C5FCD" w:rsidRDefault="00CF2227" w:rsidP="00CF2227">
      <w:pPr>
        <w:tabs>
          <w:tab w:val="left" w:pos="1701"/>
        </w:tabs>
        <w:spacing w:after="0"/>
        <w:jc w:val="both"/>
        <w:rPr>
          <w:rFonts w:ascii="Arial" w:hAnsi="Arial" w:cs="Arial"/>
          <w:color w:val="000000" w:themeColor="text1"/>
          <w:sz w:val="24"/>
          <w:szCs w:val="24"/>
        </w:rPr>
      </w:pPr>
    </w:p>
    <w:p w:rsidR="008B74E2" w:rsidRDefault="008B74E2" w:rsidP="00CF2227">
      <w:pPr>
        <w:tabs>
          <w:tab w:val="left" w:pos="1701"/>
        </w:tabs>
        <w:spacing w:after="0"/>
        <w:jc w:val="both"/>
        <w:rPr>
          <w:rFonts w:ascii="Arial" w:hAnsi="Arial" w:cs="Arial"/>
          <w:color w:val="000000" w:themeColor="text1"/>
          <w:sz w:val="24"/>
          <w:szCs w:val="24"/>
        </w:rPr>
      </w:pPr>
    </w:p>
    <w:p w:rsidR="008462A4" w:rsidRDefault="008462A4" w:rsidP="00CF2227">
      <w:pPr>
        <w:tabs>
          <w:tab w:val="left" w:pos="1701"/>
        </w:tabs>
        <w:spacing w:after="0"/>
        <w:jc w:val="both"/>
        <w:rPr>
          <w:rFonts w:ascii="Arial" w:hAnsi="Arial" w:cs="Arial"/>
          <w:color w:val="000000" w:themeColor="text1"/>
          <w:sz w:val="24"/>
          <w:szCs w:val="24"/>
        </w:rPr>
      </w:pPr>
    </w:p>
    <w:p w:rsidR="008462A4" w:rsidRPr="004C5FCD" w:rsidRDefault="008462A4" w:rsidP="00CF2227">
      <w:pPr>
        <w:tabs>
          <w:tab w:val="left" w:pos="1701"/>
        </w:tabs>
        <w:spacing w:after="0"/>
        <w:jc w:val="both"/>
        <w:rPr>
          <w:rFonts w:ascii="Arial" w:hAnsi="Arial" w:cs="Arial"/>
          <w:color w:val="000000" w:themeColor="text1"/>
          <w:sz w:val="24"/>
          <w:szCs w:val="24"/>
        </w:rPr>
      </w:pPr>
    </w:p>
    <w:p w:rsidR="00CF2227" w:rsidRPr="004C5FCD" w:rsidRDefault="00CF2227" w:rsidP="00CF2227">
      <w:pPr>
        <w:tabs>
          <w:tab w:val="left" w:pos="1701"/>
        </w:tabs>
        <w:spacing w:after="0"/>
        <w:ind w:left="851" w:hanging="851"/>
        <w:jc w:val="both"/>
        <w:rPr>
          <w:rFonts w:ascii="Arial" w:hAnsi="Arial" w:cs="Arial"/>
          <w:color w:val="000000" w:themeColor="text1"/>
          <w:sz w:val="24"/>
          <w:szCs w:val="24"/>
        </w:rPr>
      </w:pPr>
    </w:p>
    <w:p w:rsidR="00CF2227" w:rsidRPr="004C5FCD" w:rsidRDefault="00CF2227" w:rsidP="00CF2227">
      <w:pPr>
        <w:tabs>
          <w:tab w:val="left" w:pos="1701"/>
        </w:tabs>
        <w:spacing w:after="0"/>
        <w:ind w:left="4320" w:hanging="4320"/>
        <w:jc w:val="both"/>
        <w:rPr>
          <w:rFonts w:ascii="Arial" w:hAnsi="Arial" w:cs="Arial"/>
          <w:color w:val="000000" w:themeColor="text1"/>
          <w:sz w:val="24"/>
          <w:szCs w:val="24"/>
        </w:rPr>
      </w:pPr>
      <w:r w:rsidRPr="004C5FCD">
        <w:rPr>
          <w:rFonts w:ascii="Arial" w:hAnsi="Arial" w:cs="Arial"/>
          <w:color w:val="000000" w:themeColor="text1"/>
          <w:sz w:val="24"/>
          <w:szCs w:val="24"/>
        </w:rPr>
        <w:t xml:space="preserve">On behalf </w:t>
      </w:r>
      <w:r w:rsidR="00324CBB" w:rsidRPr="004C5FCD">
        <w:rPr>
          <w:rFonts w:ascii="Arial" w:hAnsi="Arial" w:cs="Arial"/>
          <w:color w:val="000000" w:themeColor="text1"/>
          <w:sz w:val="24"/>
          <w:szCs w:val="24"/>
        </w:rPr>
        <w:t xml:space="preserve">of the </w:t>
      </w:r>
      <w:r w:rsidR="00EC0965">
        <w:rPr>
          <w:rFonts w:ascii="Arial" w:hAnsi="Arial" w:cs="Arial"/>
          <w:color w:val="000000" w:themeColor="text1"/>
          <w:sz w:val="24"/>
          <w:szCs w:val="24"/>
        </w:rPr>
        <w:t>Plaintiff</w:t>
      </w:r>
      <w:r w:rsidR="005D2814">
        <w:rPr>
          <w:rFonts w:ascii="Arial" w:hAnsi="Arial" w:cs="Arial"/>
          <w:color w:val="000000" w:themeColor="text1"/>
          <w:sz w:val="24"/>
          <w:szCs w:val="24"/>
        </w:rPr>
        <w:t>:</w:t>
      </w:r>
      <w:r w:rsidR="005D2814">
        <w:rPr>
          <w:rFonts w:ascii="Arial" w:hAnsi="Arial" w:cs="Arial"/>
          <w:color w:val="000000" w:themeColor="text1"/>
          <w:sz w:val="24"/>
          <w:szCs w:val="24"/>
        </w:rPr>
        <w:tab/>
      </w:r>
      <w:r w:rsidR="005D2814">
        <w:rPr>
          <w:rFonts w:ascii="Arial" w:hAnsi="Arial" w:cs="Arial"/>
          <w:color w:val="000000" w:themeColor="text1"/>
          <w:sz w:val="24"/>
          <w:szCs w:val="24"/>
        </w:rPr>
        <w:tab/>
      </w:r>
      <w:r w:rsidR="0053569E">
        <w:rPr>
          <w:rFonts w:ascii="Arial" w:hAnsi="Arial" w:cs="Arial"/>
          <w:color w:val="000000" w:themeColor="text1"/>
          <w:sz w:val="24"/>
          <w:szCs w:val="24"/>
        </w:rPr>
        <w:t>Adv. H. Schouten</w:t>
      </w:r>
    </w:p>
    <w:p w:rsidR="00CF2227" w:rsidRDefault="003D669B" w:rsidP="00CF2227">
      <w:pPr>
        <w:tabs>
          <w:tab w:val="left" w:pos="1701"/>
        </w:tabs>
        <w:spacing w:after="0"/>
        <w:ind w:left="4320" w:hanging="4320"/>
        <w:jc w:val="both"/>
        <w:rPr>
          <w:rFonts w:ascii="Arial" w:hAnsi="Arial" w:cs="Arial"/>
          <w:color w:val="000000" w:themeColor="text1"/>
          <w:sz w:val="24"/>
          <w:szCs w:val="24"/>
        </w:rPr>
      </w:pPr>
      <w:r w:rsidRPr="004C5FCD">
        <w:rPr>
          <w:rFonts w:ascii="Arial" w:hAnsi="Arial" w:cs="Arial"/>
          <w:color w:val="000000" w:themeColor="text1"/>
          <w:sz w:val="24"/>
          <w:szCs w:val="24"/>
        </w:rPr>
        <w:t>Instructed by:</w:t>
      </w:r>
      <w:r w:rsidRPr="004C5FCD">
        <w:rPr>
          <w:rFonts w:ascii="Arial" w:hAnsi="Arial" w:cs="Arial"/>
          <w:color w:val="000000" w:themeColor="text1"/>
          <w:sz w:val="24"/>
          <w:szCs w:val="24"/>
        </w:rPr>
        <w:tab/>
      </w:r>
      <w:r w:rsidR="009A3636" w:rsidRPr="004C5FCD">
        <w:rPr>
          <w:rFonts w:ascii="Arial" w:hAnsi="Arial" w:cs="Arial"/>
          <w:color w:val="000000" w:themeColor="text1"/>
          <w:sz w:val="24"/>
          <w:szCs w:val="24"/>
        </w:rPr>
        <w:tab/>
      </w:r>
      <w:r w:rsidR="00CD4E18" w:rsidRPr="004C5FCD">
        <w:rPr>
          <w:rFonts w:ascii="Arial" w:hAnsi="Arial" w:cs="Arial"/>
          <w:color w:val="000000" w:themeColor="text1"/>
          <w:sz w:val="24"/>
          <w:szCs w:val="24"/>
        </w:rPr>
        <w:tab/>
      </w:r>
      <w:r w:rsidR="0053569E">
        <w:rPr>
          <w:rFonts w:ascii="Arial" w:hAnsi="Arial" w:cs="Arial"/>
          <w:color w:val="000000" w:themeColor="text1"/>
          <w:sz w:val="24"/>
          <w:szCs w:val="24"/>
        </w:rPr>
        <w:t>Munro, Flowers &amp; Vermaak Attorneys</w:t>
      </w:r>
    </w:p>
    <w:p w:rsidR="0053569E" w:rsidRPr="004C5FCD" w:rsidRDefault="0053569E" w:rsidP="00CF2227">
      <w:pPr>
        <w:tabs>
          <w:tab w:val="left" w:pos="1701"/>
        </w:tabs>
        <w:spacing w:after="0"/>
        <w:ind w:left="4320" w:hanging="432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C/O Webbers Attorneys</w:t>
      </w:r>
    </w:p>
    <w:p w:rsidR="008462A4" w:rsidRDefault="00CF2227" w:rsidP="00324CBB">
      <w:pPr>
        <w:tabs>
          <w:tab w:val="left" w:pos="1701"/>
        </w:tabs>
        <w:spacing w:after="0"/>
        <w:ind w:left="851" w:hanging="851"/>
        <w:jc w:val="both"/>
        <w:rPr>
          <w:rFonts w:ascii="Arial" w:hAnsi="Arial" w:cs="Arial"/>
          <w:color w:val="000000" w:themeColor="text1"/>
          <w:sz w:val="24"/>
          <w:szCs w:val="24"/>
        </w:rPr>
      </w:pP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00324CBB" w:rsidRPr="004C5FCD">
        <w:rPr>
          <w:rFonts w:ascii="Arial" w:hAnsi="Arial" w:cs="Arial"/>
          <w:color w:val="000000" w:themeColor="text1"/>
          <w:sz w:val="24"/>
          <w:szCs w:val="24"/>
        </w:rPr>
        <w:tab/>
      </w:r>
      <w:r w:rsidRPr="004C5FCD">
        <w:rPr>
          <w:rFonts w:ascii="Arial" w:hAnsi="Arial" w:cs="Arial"/>
          <w:color w:val="000000" w:themeColor="text1"/>
          <w:sz w:val="24"/>
          <w:szCs w:val="24"/>
        </w:rPr>
        <w:t>BLOEMFONTEIN</w:t>
      </w:r>
      <w:r w:rsidRPr="004C5FCD">
        <w:rPr>
          <w:rFonts w:ascii="Arial" w:hAnsi="Arial" w:cs="Arial"/>
          <w:color w:val="000000" w:themeColor="text1"/>
          <w:sz w:val="24"/>
          <w:szCs w:val="24"/>
        </w:rPr>
        <w:tab/>
      </w:r>
    </w:p>
    <w:p w:rsidR="00114B02" w:rsidRDefault="00114B02" w:rsidP="00324CBB">
      <w:pPr>
        <w:tabs>
          <w:tab w:val="left" w:pos="1701"/>
        </w:tabs>
        <w:spacing w:after="0"/>
        <w:ind w:left="851" w:hanging="851"/>
        <w:jc w:val="both"/>
        <w:rPr>
          <w:rFonts w:ascii="Arial" w:hAnsi="Arial" w:cs="Arial"/>
          <w:color w:val="000000" w:themeColor="text1"/>
          <w:sz w:val="24"/>
          <w:szCs w:val="24"/>
        </w:rPr>
      </w:pPr>
    </w:p>
    <w:p w:rsidR="008462A4" w:rsidRPr="004C5FCD" w:rsidRDefault="008462A4" w:rsidP="00324CBB">
      <w:pPr>
        <w:tabs>
          <w:tab w:val="left" w:pos="1701"/>
        </w:tabs>
        <w:spacing w:after="0"/>
        <w:ind w:left="851" w:hanging="851"/>
        <w:jc w:val="both"/>
        <w:rPr>
          <w:rFonts w:ascii="Arial" w:hAnsi="Arial" w:cs="Arial"/>
          <w:color w:val="000000" w:themeColor="text1"/>
          <w:sz w:val="24"/>
          <w:szCs w:val="24"/>
        </w:rPr>
      </w:pPr>
    </w:p>
    <w:p w:rsidR="00AA7959" w:rsidRPr="004C5FCD" w:rsidRDefault="00AA7959" w:rsidP="00CF2227">
      <w:pPr>
        <w:tabs>
          <w:tab w:val="left" w:pos="1701"/>
        </w:tabs>
        <w:ind w:left="851" w:hanging="851"/>
        <w:jc w:val="both"/>
        <w:rPr>
          <w:rFonts w:ascii="Arial" w:hAnsi="Arial" w:cs="Arial"/>
          <w:color w:val="000000" w:themeColor="text1"/>
          <w:sz w:val="24"/>
          <w:szCs w:val="24"/>
        </w:rPr>
      </w:pPr>
    </w:p>
    <w:p w:rsidR="00CF2227" w:rsidRPr="004C5FCD" w:rsidRDefault="009A3636" w:rsidP="00CF2227">
      <w:pPr>
        <w:tabs>
          <w:tab w:val="left" w:pos="1701"/>
        </w:tabs>
        <w:spacing w:after="0"/>
        <w:ind w:left="4320" w:hanging="4320"/>
        <w:jc w:val="both"/>
        <w:rPr>
          <w:rFonts w:ascii="Arial" w:hAnsi="Arial" w:cs="Arial"/>
          <w:color w:val="000000" w:themeColor="text1"/>
          <w:sz w:val="24"/>
          <w:szCs w:val="24"/>
        </w:rPr>
      </w:pPr>
      <w:r w:rsidRPr="004C5FCD">
        <w:rPr>
          <w:rFonts w:ascii="Arial" w:hAnsi="Arial" w:cs="Arial"/>
          <w:color w:val="000000" w:themeColor="text1"/>
          <w:sz w:val="24"/>
          <w:szCs w:val="24"/>
        </w:rPr>
        <w:t xml:space="preserve">On </w:t>
      </w:r>
      <w:r w:rsidR="004A20F4">
        <w:rPr>
          <w:rFonts w:ascii="Arial" w:hAnsi="Arial" w:cs="Arial"/>
          <w:color w:val="000000" w:themeColor="text1"/>
          <w:sz w:val="24"/>
          <w:szCs w:val="24"/>
        </w:rPr>
        <w:t xml:space="preserve">behalf of the </w:t>
      </w:r>
      <w:r w:rsidR="00BA500C">
        <w:rPr>
          <w:rFonts w:ascii="Arial" w:hAnsi="Arial" w:cs="Arial"/>
          <w:color w:val="000000" w:themeColor="text1"/>
          <w:sz w:val="24"/>
          <w:szCs w:val="24"/>
        </w:rPr>
        <w:t>defendant</w:t>
      </w:r>
      <w:r w:rsidR="005D2814">
        <w:rPr>
          <w:rFonts w:ascii="Arial" w:hAnsi="Arial" w:cs="Arial"/>
          <w:color w:val="000000" w:themeColor="text1"/>
          <w:sz w:val="24"/>
          <w:szCs w:val="24"/>
        </w:rPr>
        <w:t>:</w:t>
      </w:r>
      <w:r w:rsidR="005D2814">
        <w:rPr>
          <w:rFonts w:ascii="Arial" w:hAnsi="Arial" w:cs="Arial"/>
          <w:color w:val="000000" w:themeColor="text1"/>
          <w:sz w:val="24"/>
          <w:szCs w:val="24"/>
        </w:rPr>
        <w:tab/>
      </w:r>
      <w:r w:rsidR="005D2814">
        <w:rPr>
          <w:rFonts w:ascii="Arial" w:hAnsi="Arial" w:cs="Arial"/>
          <w:color w:val="000000" w:themeColor="text1"/>
          <w:sz w:val="24"/>
          <w:szCs w:val="24"/>
        </w:rPr>
        <w:tab/>
      </w:r>
      <w:r w:rsidR="0053569E">
        <w:rPr>
          <w:rFonts w:ascii="Arial" w:hAnsi="Arial" w:cs="Arial"/>
          <w:color w:val="000000" w:themeColor="text1"/>
          <w:sz w:val="24"/>
          <w:szCs w:val="24"/>
        </w:rPr>
        <w:t>Ms</w:t>
      </w:r>
      <w:r w:rsidR="00DF5529">
        <w:rPr>
          <w:rFonts w:ascii="Arial" w:hAnsi="Arial" w:cs="Arial"/>
          <w:color w:val="000000" w:themeColor="text1"/>
          <w:sz w:val="24"/>
          <w:szCs w:val="24"/>
        </w:rPr>
        <w:t>.</w:t>
      </w:r>
      <w:r w:rsidR="0053569E">
        <w:rPr>
          <w:rFonts w:ascii="Arial" w:hAnsi="Arial" w:cs="Arial"/>
          <w:color w:val="000000" w:themeColor="text1"/>
          <w:sz w:val="24"/>
          <w:szCs w:val="24"/>
        </w:rPr>
        <w:t xml:space="preserve"> J. Gouws</w:t>
      </w:r>
    </w:p>
    <w:p w:rsidR="00CD4E18" w:rsidRPr="004C5FCD" w:rsidRDefault="00CF2227" w:rsidP="002827DF">
      <w:pPr>
        <w:tabs>
          <w:tab w:val="left" w:pos="1701"/>
        </w:tabs>
        <w:spacing w:after="0"/>
        <w:ind w:left="851" w:hanging="851"/>
        <w:jc w:val="both"/>
        <w:rPr>
          <w:rFonts w:ascii="Arial" w:hAnsi="Arial" w:cs="Arial"/>
          <w:color w:val="000000" w:themeColor="text1"/>
          <w:sz w:val="24"/>
          <w:szCs w:val="24"/>
        </w:rPr>
      </w:pPr>
      <w:r w:rsidRPr="004C5FCD">
        <w:rPr>
          <w:rFonts w:ascii="Arial" w:hAnsi="Arial" w:cs="Arial"/>
          <w:color w:val="000000" w:themeColor="text1"/>
          <w:sz w:val="24"/>
          <w:szCs w:val="24"/>
        </w:rPr>
        <w:t>Instructed by:</w:t>
      </w:r>
      <w:r w:rsidR="00BA500C">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000B1B97">
        <w:rPr>
          <w:rFonts w:ascii="Arial" w:hAnsi="Arial" w:cs="Arial"/>
          <w:color w:val="000000" w:themeColor="text1"/>
          <w:sz w:val="24"/>
          <w:szCs w:val="24"/>
        </w:rPr>
        <w:tab/>
      </w:r>
      <w:r w:rsidR="0053569E">
        <w:rPr>
          <w:rFonts w:ascii="Arial" w:hAnsi="Arial" w:cs="Arial"/>
          <w:color w:val="000000" w:themeColor="text1"/>
          <w:sz w:val="24"/>
          <w:szCs w:val="24"/>
        </w:rPr>
        <w:t>STATE ATTORNEY</w:t>
      </w:r>
    </w:p>
    <w:p w:rsidR="00EA7025" w:rsidRPr="004C5FCD" w:rsidRDefault="00CF2227" w:rsidP="003D669B">
      <w:pPr>
        <w:tabs>
          <w:tab w:val="left" w:pos="1701"/>
        </w:tabs>
        <w:spacing w:after="0"/>
        <w:ind w:left="851" w:hanging="851"/>
        <w:jc w:val="both"/>
        <w:rPr>
          <w:rFonts w:ascii="Arial" w:hAnsi="Arial" w:cs="Arial"/>
          <w:color w:val="000000" w:themeColor="text1"/>
          <w:sz w:val="24"/>
          <w:szCs w:val="24"/>
        </w:rPr>
      </w:pP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00324CBB" w:rsidRPr="004C5FCD">
        <w:rPr>
          <w:rFonts w:ascii="Arial" w:hAnsi="Arial" w:cs="Arial"/>
          <w:color w:val="000000" w:themeColor="text1"/>
          <w:sz w:val="24"/>
          <w:szCs w:val="24"/>
        </w:rPr>
        <w:tab/>
      </w:r>
      <w:r w:rsidRPr="004C5FCD">
        <w:rPr>
          <w:rFonts w:ascii="Arial" w:hAnsi="Arial" w:cs="Arial"/>
          <w:color w:val="000000" w:themeColor="text1"/>
          <w:sz w:val="24"/>
          <w:szCs w:val="24"/>
        </w:rPr>
        <w:t>BLOEMFONTEIN</w:t>
      </w:r>
    </w:p>
    <w:p w:rsidR="00324CBB" w:rsidRPr="004C5FCD" w:rsidRDefault="00324CBB" w:rsidP="003D669B">
      <w:pPr>
        <w:tabs>
          <w:tab w:val="left" w:pos="1701"/>
        </w:tabs>
        <w:spacing w:after="0"/>
        <w:ind w:left="851" w:hanging="851"/>
        <w:jc w:val="both"/>
        <w:rPr>
          <w:rFonts w:ascii="Arial" w:hAnsi="Arial" w:cs="Arial"/>
          <w:color w:val="000000" w:themeColor="text1"/>
          <w:sz w:val="24"/>
          <w:szCs w:val="24"/>
        </w:rPr>
      </w:pPr>
    </w:p>
    <w:p w:rsidR="00324CBB" w:rsidRPr="004C5FCD" w:rsidRDefault="00324CBB" w:rsidP="003D669B">
      <w:pPr>
        <w:tabs>
          <w:tab w:val="left" w:pos="1701"/>
        </w:tabs>
        <w:spacing w:after="0"/>
        <w:ind w:left="851" w:hanging="851"/>
        <w:jc w:val="both"/>
        <w:rPr>
          <w:rFonts w:ascii="Arial" w:hAnsi="Arial" w:cs="Arial"/>
          <w:color w:val="000000" w:themeColor="text1"/>
          <w:sz w:val="24"/>
          <w:szCs w:val="24"/>
        </w:rPr>
      </w:pPr>
    </w:p>
    <w:p w:rsidR="00EA7025" w:rsidRDefault="00EA7025" w:rsidP="00CF2227">
      <w:pPr>
        <w:tabs>
          <w:tab w:val="left" w:pos="1701"/>
        </w:tabs>
        <w:jc w:val="both"/>
        <w:rPr>
          <w:rFonts w:ascii="Arial" w:hAnsi="Arial" w:cs="Arial"/>
          <w:color w:val="000000" w:themeColor="text1"/>
          <w:sz w:val="12"/>
          <w:szCs w:val="12"/>
        </w:rPr>
      </w:pPr>
    </w:p>
    <w:p w:rsidR="00324CBB" w:rsidRDefault="00324CBB" w:rsidP="00CF2227">
      <w:pPr>
        <w:tabs>
          <w:tab w:val="left" w:pos="1701"/>
        </w:tabs>
        <w:jc w:val="both"/>
        <w:rPr>
          <w:rFonts w:ascii="Arial" w:hAnsi="Arial" w:cs="Arial"/>
          <w:color w:val="000000" w:themeColor="text1"/>
          <w:sz w:val="12"/>
          <w:szCs w:val="12"/>
        </w:rPr>
      </w:pPr>
    </w:p>
    <w:p w:rsidR="00A977D7" w:rsidRPr="005D6843" w:rsidRDefault="00324CBB" w:rsidP="00CF2227">
      <w:pPr>
        <w:tabs>
          <w:tab w:val="left" w:pos="1701"/>
        </w:tabs>
        <w:jc w:val="both"/>
        <w:rPr>
          <w:sz w:val="10"/>
          <w:szCs w:val="10"/>
        </w:rPr>
      </w:pPr>
      <w:r w:rsidRPr="005D6843">
        <w:rPr>
          <w:rFonts w:ascii="Arial" w:hAnsi="Arial" w:cs="Arial"/>
          <w:color w:val="000000" w:themeColor="text1"/>
          <w:sz w:val="10"/>
          <w:szCs w:val="10"/>
        </w:rPr>
        <w:t>\</w:t>
      </w:r>
      <w:r w:rsidR="00AC332C" w:rsidRPr="005D6843">
        <w:rPr>
          <w:rFonts w:ascii="Arial" w:hAnsi="Arial" w:cs="Arial"/>
          <w:color w:val="000000" w:themeColor="text1"/>
          <w:sz w:val="10"/>
          <w:szCs w:val="10"/>
        </w:rPr>
        <w:t>TK</w:t>
      </w:r>
      <w:r w:rsidR="00CF2227" w:rsidRPr="005D6843">
        <w:rPr>
          <w:rFonts w:ascii="Arial" w:hAnsi="Arial" w:cs="Arial"/>
          <w:color w:val="000000" w:themeColor="text1"/>
          <w:sz w:val="10"/>
          <w:szCs w:val="10"/>
        </w:rPr>
        <w:t>wapa</w:t>
      </w:r>
    </w:p>
    <w:sectPr w:rsidR="00A977D7" w:rsidRPr="005D6843" w:rsidSect="00A355E3">
      <w:headerReference w:type="even" r:id="rId12"/>
      <w:headerReference w:type="default" r:id="rId13"/>
      <w:pgSz w:w="11906" w:h="16838"/>
      <w:pgMar w:top="1080" w:right="1274"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980" w:rsidRDefault="00AC3980" w:rsidP="00CA200A">
      <w:pPr>
        <w:spacing w:after="0" w:line="240" w:lineRule="auto"/>
      </w:pPr>
      <w:r>
        <w:separator/>
      </w:r>
    </w:p>
  </w:endnote>
  <w:endnote w:type="continuationSeparator" w:id="0">
    <w:p w:rsidR="00AC3980" w:rsidRDefault="00AC3980" w:rsidP="00CA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980" w:rsidRDefault="00AC3980" w:rsidP="00CA200A">
      <w:pPr>
        <w:spacing w:after="0" w:line="240" w:lineRule="auto"/>
      </w:pPr>
      <w:r>
        <w:separator/>
      </w:r>
    </w:p>
  </w:footnote>
  <w:footnote w:type="continuationSeparator" w:id="0">
    <w:p w:rsidR="00AC3980" w:rsidRDefault="00AC3980" w:rsidP="00CA200A">
      <w:pPr>
        <w:spacing w:after="0" w:line="240" w:lineRule="auto"/>
      </w:pPr>
      <w:r>
        <w:continuationSeparator/>
      </w:r>
    </w:p>
  </w:footnote>
  <w:footnote w:id="1">
    <w:p w:rsidR="005F3DC9" w:rsidRPr="005F3DC9" w:rsidRDefault="005F3DC9">
      <w:pPr>
        <w:pStyle w:val="FootnoteText"/>
        <w:rPr>
          <w:rFonts w:ascii="Arial" w:hAnsi="Arial" w:cs="Arial"/>
          <w:lang w:val="en-US"/>
        </w:rPr>
      </w:pPr>
      <w:r>
        <w:rPr>
          <w:rStyle w:val="FootnoteReference"/>
        </w:rPr>
        <w:footnoteRef/>
      </w:r>
      <w:r>
        <w:t xml:space="preserve"> </w:t>
      </w:r>
      <w:r>
        <w:rPr>
          <w:rFonts w:ascii="Arial" w:hAnsi="Arial" w:cs="Arial"/>
          <w:lang w:val="en-US"/>
        </w:rPr>
        <w:t>2010 (5) SA 203 (WCC) at 211J – 212B.</w:t>
      </w:r>
    </w:p>
  </w:footnote>
  <w:footnote w:id="2">
    <w:p w:rsidR="007A26F9" w:rsidRPr="007A26F9" w:rsidRDefault="007A26F9">
      <w:pPr>
        <w:pStyle w:val="FootnoteText"/>
        <w:rPr>
          <w:rFonts w:ascii="Arial" w:hAnsi="Arial" w:cs="Arial"/>
        </w:rPr>
      </w:pPr>
      <w:r>
        <w:rPr>
          <w:rStyle w:val="FootnoteReference"/>
        </w:rPr>
        <w:footnoteRef/>
      </w:r>
      <w:r>
        <w:t xml:space="preserve"> </w:t>
      </w:r>
      <w:r>
        <w:rPr>
          <w:rFonts w:ascii="Arial" w:hAnsi="Arial" w:cs="Arial"/>
        </w:rPr>
        <w:t>Dippenaar v Shield Insurance Co Ltd 1979 (2) SA 904 (A) at 917B.</w:t>
      </w:r>
    </w:p>
  </w:footnote>
  <w:footnote w:id="3">
    <w:p w:rsidR="0098181F" w:rsidRPr="0098181F" w:rsidRDefault="0098181F">
      <w:pPr>
        <w:pStyle w:val="FootnoteText"/>
        <w:rPr>
          <w:rFonts w:ascii="Arial" w:hAnsi="Arial" w:cs="Arial"/>
        </w:rPr>
      </w:pPr>
      <w:r>
        <w:rPr>
          <w:rStyle w:val="FootnoteReference"/>
        </w:rPr>
        <w:footnoteRef/>
      </w:r>
      <w:r>
        <w:t xml:space="preserve"> </w:t>
      </w:r>
      <w:r>
        <w:rPr>
          <w:rFonts w:ascii="Arial" w:hAnsi="Arial" w:cs="Arial"/>
        </w:rPr>
        <w:t>Prinsloo v Road Accident Fund 2009 (5) SA 406 (SE).</w:t>
      </w:r>
    </w:p>
  </w:footnote>
  <w:footnote w:id="4">
    <w:p w:rsidR="00480DEF" w:rsidRPr="00480DEF" w:rsidRDefault="00480DEF">
      <w:pPr>
        <w:pStyle w:val="FootnoteText"/>
        <w:rPr>
          <w:rFonts w:ascii="Arial" w:hAnsi="Arial" w:cs="Arial"/>
        </w:rPr>
      </w:pPr>
      <w:r>
        <w:rPr>
          <w:rStyle w:val="FootnoteReference"/>
        </w:rPr>
        <w:footnoteRef/>
      </w:r>
      <w:r>
        <w:t xml:space="preserve"> </w:t>
      </w:r>
      <w:r>
        <w:rPr>
          <w:rFonts w:ascii="Arial" w:hAnsi="Arial" w:cs="Arial"/>
        </w:rPr>
        <w:t>1926 TPD 367 at 379</w:t>
      </w:r>
      <w:r w:rsidR="00FD79D6">
        <w:rPr>
          <w:rFonts w:ascii="Arial" w:hAnsi="Arial" w:cs="Arial"/>
        </w:rPr>
        <w:t>.</w:t>
      </w:r>
    </w:p>
  </w:footnote>
  <w:footnote w:id="5">
    <w:p w:rsidR="00FD79D6" w:rsidRPr="00FD79D6" w:rsidRDefault="00FD79D6">
      <w:pPr>
        <w:pStyle w:val="FootnoteText"/>
        <w:rPr>
          <w:rFonts w:ascii="Arial" w:hAnsi="Arial" w:cs="Arial"/>
        </w:rPr>
      </w:pPr>
      <w:r>
        <w:rPr>
          <w:rStyle w:val="FootnoteReference"/>
        </w:rPr>
        <w:footnoteRef/>
      </w:r>
      <w:r>
        <w:t xml:space="preserve"> </w:t>
      </w:r>
      <w:r>
        <w:rPr>
          <w:rFonts w:ascii="Arial" w:hAnsi="Arial" w:cs="Arial"/>
        </w:rPr>
        <w:t>1984 (1) SA 98 (A) at 116G – 117A.</w:t>
      </w:r>
    </w:p>
  </w:footnote>
  <w:footnote w:id="6">
    <w:p w:rsidR="00DD6232" w:rsidRPr="00DD6232" w:rsidRDefault="00DD6232">
      <w:pPr>
        <w:pStyle w:val="FootnoteText"/>
        <w:rPr>
          <w:rFonts w:ascii="Arial" w:hAnsi="Arial" w:cs="Arial"/>
        </w:rPr>
      </w:pPr>
      <w:r>
        <w:rPr>
          <w:rStyle w:val="FootnoteReference"/>
        </w:rPr>
        <w:footnoteRef/>
      </w:r>
      <w:r>
        <w:t xml:space="preserve"> </w:t>
      </w:r>
      <w:r>
        <w:rPr>
          <w:rFonts w:ascii="Arial" w:hAnsi="Arial" w:cs="Arial"/>
        </w:rPr>
        <w:t>1978 (1) SA 389 (W) at 392H – 393A.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CB" w:rsidRDefault="002F72CB">
    <w:pPr>
      <w:pStyle w:val="Header"/>
    </w:pPr>
    <w:r>
      <w:rPr>
        <w:noProof/>
        <w:lang w:eastAsia="en-ZA"/>
      </w:rPr>
      <mc:AlternateContent>
        <mc:Choice Requires="wps">
          <w:drawing>
            <wp:anchor distT="0" distB="0" distL="114300" distR="114300" simplePos="0" relativeHeight="251656704" behindDoc="1" locked="0" layoutInCell="0" allowOverlap="1" wp14:anchorId="56CAA32D" wp14:editId="36E2C898">
              <wp:simplePos x="0" y="0"/>
              <wp:positionH relativeFrom="margin">
                <wp:align>center</wp:align>
              </wp:positionH>
              <wp:positionV relativeFrom="margin">
                <wp:align>center</wp:align>
              </wp:positionV>
              <wp:extent cx="6732270" cy="1496060"/>
              <wp:effectExtent l="0" t="2009775" r="0" b="1913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2270" cy="1496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72CB" w:rsidRDefault="002F72CB" w:rsidP="00CA200A">
                          <w:pPr>
                            <w:pStyle w:val="NormalWeb"/>
                            <w:spacing w:before="0" w:beforeAutospacing="0" w:after="0" w:afterAutospacing="0"/>
                            <w:jc w:val="center"/>
                          </w:pPr>
                          <w:r>
                            <w:rPr>
                              <w:color w:val="C0C0C0"/>
                              <w:sz w:val="2"/>
                              <w:szCs w:val="2"/>
                              <w14:textFill>
                                <w14:solidFill>
                                  <w14:srgbClr w14:val="C0C0C0">
                                    <w14:alpha w14:val="50000"/>
                                  </w14:srgbClr>
                                </w14:solidFill>
                              </w14:textFill>
                            </w:rPr>
                            <w:t>2nd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CAA32D" id="_x0000_t202" coordsize="21600,21600" o:spt="202" path="m,l,21600r21600,l21600,xe">
              <v:stroke joinstyle="miter"/>
              <v:path gradientshapeok="t" o:connecttype="rect"/>
            </v:shapetype>
            <v:shape id="Text Box 3" o:spid="_x0000_s1026" type="#_x0000_t202" style="position:absolute;margin-left:0;margin-top:0;width:530.1pt;height:117.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" o:allowincell="f" filled="f" stroked="f">
              <v:stroke joinstyle="round"/>
              <o:lock v:ext="edit" shapetype="t"/>
              <v:textbox style="mso-fit-shape-to-text:t">
                <w:txbxContent>
                  <w:p w:rsidR="002F72CB" w:rsidRDefault="002F72CB" w:rsidP="00CA200A">
                    <w:pPr>
                      <w:pStyle w:val="NormalWeb"/>
                      <w:spacing w:before="0" w:beforeAutospacing="0" w:after="0" w:afterAutospacing="0"/>
                      <w:jc w:val="center"/>
                    </w:pPr>
                    <w:r>
                      <w:rPr>
                        <w:color w:val="C0C0C0"/>
                        <w:sz w:val="2"/>
                        <w:szCs w:val="2"/>
                        <w14:textFill>
                          <w14:solidFill>
                            <w14:srgbClr w14:val="C0C0C0">
                              <w14:alpha w14:val="50000"/>
                            </w14:srgbClr>
                          </w14:solidFill>
                        </w14:textFill>
                      </w:rPr>
                      <w:t>2nd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CB" w:rsidRDefault="002F72CB">
    <w:pPr>
      <w:pStyle w:val="Header"/>
      <w:jc w:val="right"/>
    </w:pPr>
    <w:r>
      <w:rPr>
        <w:noProof/>
        <w:lang w:eastAsia="en-ZA"/>
      </w:rPr>
      <mc:AlternateContent>
        <mc:Choice Requires="wps">
          <w:drawing>
            <wp:anchor distT="0" distB="0" distL="114300" distR="114300" simplePos="0" relativeHeight="251657728" behindDoc="1" locked="0" layoutInCell="0" allowOverlap="1" wp14:anchorId="7D7B432E" wp14:editId="7CCD35B1">
              <wp:simplePos x="0" y="0"/>
              <wp:positionH relativeFrom="margin">
                <wp:align>center</wp:align>
              </wp:positionH>
              <wp:positionV relativeFrom="margin">
                <wp:align>center</wp:align>
              </wp:positionV>
              <wp:extent cx="6732270" cy="1496060"/>
              <wp:effectExtent l="0" t="2009775" r="0" b="1913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2270" cy="1496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72CB" w:rsidRDefault="002F72CB" w:rsidP="00CA200A">
                          <w:pPr>
                            <w:pStyle w:val="NormalWeb"/>
                            <w:spacing w:before="0" w:beforeAutospacing="0" w:after="0" w:afterAutospacing="0"/>
                            <w:jc w:val="center"/>
                          </w:pPr>
                          <w:r>
                            <w:rPr>
                              <w:color w:val="C0C0C0"/>
                              <w:sz w:val="2"/>
                              <w:szCs w:val="2"/>
                              <w14:textFill>
                                <w14:solidFill>
                                  <w14:srgbClr w14:val="C0C0C0">
                                    <w14:alpha w14:val="50000"/>
                                  </w14:srgbClr>
                                </w14:solidFill>
                              </w14:textFill>
                            </w:rPr>
                            <w:t>2nd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7B432E" id="_x0000_t202" coordsize="21600,21600" o:spt="202" path="m,l,21600r21600,l21600,xe">
              <v:stroke joinstyle="miter"/>
              <v:path gradientshapeok="t" o:connecttype="rect"/>
            </v:shapetype>
            <v:shape id="Text Box 1" o:spid="_x0000_s1027" type="#_x0000_t202" style="position:absolute;left:0;text-align:left;margin-left:0;margin-top:0;width:530.1pt;height:117.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" o:allowincell="f" filled="f" stroked="f">
              <v:stroke joinstyle="round"/>
              <o:lock v:ext="edit" shapetype="t"/>
              <v:textbox style="mso-fit-shape-to-text:t">
                <w:txbxContent>
                  <w:p w:rsidR="002F72CB" w:rsidRDefault="002F72CB" w:rsidP="00CA200A">
                    <w:pPr>
                      <w:pStyle w:val="NormalWeb"/>
                      <w:spacing w:before="0" w:beforeAutospacing="0" w:after="0" w:afterAutospacing="0"/>
                      <w:jc w:val="center"/>
                    </w:pPr>
                    <w:r>
                      <w:rPr>
                        <w:color w:val="C0C0C0"/>
                        <w:sz w:val="2"/>
                        <w:szCs w:val="2"/>
                        <w14:textFill>
                          <w14:solidFill>
                            <w14:srgbClr w14:val="C0C0C0">
                              <w14:alpha w14:val="50000"/>
                            </w14:srgbClr>
                          </w14:solidFill>
                        </w14:textFill>
                      </w:rPr>
                      <w:t>2nd DRAFT</w:t>
                    </w:r>
                  </w:p>
                </w:txbxContent>
              </v:textbox>
              <w10:wrap anchorx="margin" anchory="margin"/>
            </v:shape>
          </w:pict>
        </mc:Fallback>
      </mc:AlternateContent>
    </w:r>
    <w:sdt>
      <w:sdtPr>
        <w:id w:val="20681408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F5529">
          <w:rPr>
            <w:noProof/>
          </w:rPr>
          <w:t>9</w:t>
        </w:r>
        <w:r>
          <w:rPr>
            <w:noProof/>
          </w:rPr>
          <w:fldChar w:fldCharType="end"/>
        </w:r>
      </w:sdtContent>
    </w:sdt>
  </w:p>
  <w:p w:rsidR="002F72CB" w:rsidRDefault="002F72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69A"/>
    <w:multiLevelType w:val="multilevel"/>
    <w:tmpl w:val="0696EEA4"/>
    <w:lvl w:ilvl="0">
      <w:start w:val="1"/>
      <w:numFmt w:val="decimal"/>
      <w:lvlText w:val="%1."/>
      <w:lvlJc w:val="left"/>
      <w:pPr>
        <w:ind w:left="2050" w:hanging="360"/>
      </w:pPr>
      <w:rPr>
        <w:rFonts w:hint="default"/>
      </w:rPr>
    </w:lvl>
    <w:lvl w:ilvl="1">
      <w:start w:val="1"/>
      <w:numFmt w:val="decimal"/>
      <w:isLgl/>
      <w:lvlText w:val="%1.%2"/>
      <w:lvlJc w:val="left"/>
      <w:pPr>
        <w:ind w:left="2050" w:hanging="360"/>
      </w:pPr>
      <w:rPr>
        <w:rFonts w:hint="default"/>
      </w:rPr>
    </w:lvl>
    <w:lvl w:ilvl="2">
      <w:start w:val="1"/>
      <w:numFmt w:val="decimal"/>
      <w:isLgl/>
      <w:lvlText w:val="%1.%2.%3"/>
      <w:lvlJc w:val="left"/>
      <w:pPr>
        <w:ind w:left="2410" w:hanging="720"/>
      </w:pPr>
      <w:rPr>
        <w:rFonts w:hint="default"/>
      </w:rPr>
    </w:lvl>
    <w:lvl w:ilvl="3">
      <w:start w:val="1"/>
      <w:numFmt w:val="decimal"/>
      <w:isLgl/>
      <w:lvlText w:val="%1.%2.%3.%4"/>
      <w:lvlJc w:val="left"/>
      <w:pPr>
        <w:ind w:left="2410" w:hanging="720"/>
      </w:pPr>
      <w:rPr>
        <w:rFonts w:hint="default"/>
      </w:rPr>
    </w:lvl>
    <w:lvl w:ilvl="4">
      <w:start w:val="1"/>
      <w:numFmt w:val="decimal"/>
      <w:isLgl/>
      <w:lvlText w:val="%1.%2.%3.%4.%5"/>
      <w:lvlJc w:val="left"/>
      <w:pPr>
        <w:ind w:left="2770" w:hanging="1080"/>
      </w:pPr>
      <w:rPr>
        <w:rFonts w:hint="default"/>
      </w:rPr>
    </w:lvl>
    <w:lvl w:ilvl="5">
      <w:start w:val="1"/>
      <w:numFmt w:val="decimal"/>
      <w:isLgl/>
      <w:lvlText w:val="%1.%2.%3.%4.%5.%6"/>
      <w:lvlJc w:val="left"/>
      <w:pPr>
        <w:ind w:left="2770" w:hanging="1080"/>
      </w:pPr>
      <w:rPr>
        <w:rFonts w:hint="default"/>
      </w:rPr>
    </w:lvl>
    <w:lvl w:ilvl="6">
      <w:start w:val="1"/>
      <w:numFmt w:val="decimal"/>
      <w:isLgl/>
      <w:lvlText w:val="%1.%2.%3.%4.%5.%6.%7"/>
      <w:lvlJc w:val="left"/>
      <w:pPr>
        <w:ind w:left="3130" w:hanging="1440"/>
      </w:pPr>
      <w:rPr>
        <w:rFonts w:hint="default"/>
      </w:rPr>
    </w:lvl>
    <w:lvl w:ilvl="7">
      <w:start w:val="1"/>
      <w:numFmt w:val="decimal"/>
      <w:isLgl/>
      <w:lvlText w:val="%1.%2.%3.%4.%5.%6.%7.%8"/>
      <w:lvlJc w:val="left"/>
      <w:pPr>
        <w:ind w:left="3130" w:hanging="1440"/>
      </w:pPr>
      <w:rPr>
        <w:rFonts w:hint="default"/>
      </w:rPr>
    </w:lvl>
    <w:lvl w:ilvl="8">
      <w:start w:val="1"/>
      <w:numFmt w:val="decimal"/>
      <w:isLgl/>
      <w:lvlText w:val="%1.%2.%3.%4.%5.%6.%7.%8.%9"/>
      <w:lvlJc w:val="left"/>
      <w:pPr>
        <w:ind w:left="3490" w:hanging="1800"/>
      </w:pPr>
      <w:rPr>
        <w:rFonts w:hint="default"/>
      </w:rPr>
    </w:lvl>
  </w:abstractNum>
  <w:abstractNum w:abstractNumId="1" w15:restartNumberingAfterBreak="0">
    <w:nsid w:val="17A70EF8"/>
    <w:multiLevelType w:val="hybridMultilevel"/>
    <w:tmpl w:val="C5DC2B60"/>
    <w:lvl w:ilvl="0" w:tplc="1C090001">
      <w:start w:val="1"/>
      <w:numFmt w:val="bullet"/>
      <w:lvlText w:val=""/>
      <w:lvlJc w:val="left"/>
      <w:pPr>
        <w:ind w:left="1575" w:hanging="360"/>
      </w:pPr>
      <w:rPr>
        <w:rFonts w:ascii="Symbol" w:hAnsi="Symbol" w:hint="default"/>
      </w:rPr>
    </w:lvl>
    <w:lvl w:ilvl="1" w:tplc="1C090003" w:tentative="1">
      <w:start w:val="1"/>
      <w:numFmt w:val="bullet"/>
      <w:lvlText w:val="o"/>
      <w:lvlJc w:val="left"/>
      <w:pPr>
        <w:ind w:left="2295" w:hanging="360"/>
      </w:pPr>
      <w:rPr>
        <w:rFonts w:ascii="Courier New" w:hAnsi="Courier New" w:cs="Courier New" w:hint="default"/>
      </w:rPr>
    </w:lvl>
    <w:lvl w:ilvl="2" w:tplc="1C090005" w:tentative="1">
      <w:start w:val="1"/>
      <w:numFmt w:val="bullet"/>
      <w:lvlText w:val=""/>
      <w:lvlJc w:val="left"/>
      <w:pPr>
        <w:ind w:left="3015" w:hanging="360"/>
      </w:pPr>
      <w:rPr>
        <w:rFonts w:ascii="Wingdings" w:hAnsi="Wingdings" w:hint="default"/>
      </w:rPr>
    </w:lvl>
    <w:lvl w:ilvl="3" w:tplc="1C090001" w:tentative="1">
      <w:start w:val="1"/>
      <w:numFmt w:val="bullet"/>
      <w:lvlText w:val=""/>
      <w:lvlJc w:val="left"/>
      <w:pPr>
        <w:ind w:left="3735" w:hanging="360"/>
      </w:pPr>
      <w:rPr>
        <w:rFonts w:ascii="Symbol" w:hAnsi="Symbol" w:hint="default"/>
      </w:rPr>
    </w:lvl>
    <w:lvl w:ilvl="4" w:tplc="1C090003" w:tentative="1">
      <w:start w:val="1"/>
      <w:numFmt w:val="bullet"/>
      <w:lvlText w:val="o"/>
      <w:lvlJc w:val="left"/>
      <w:pPr>
        <w:ind w:left="4455" w:hanging="360"/>
      </w:pPr>
      <w:rPr>
        <w:rFonts w:ascii="Courier New" w:hAnsi="Courier New" w:cs="Courier New" w:hint="default"/>
      </w:rPr>
    </w:lvl>
    <w:lvl w:ilvl="5" w:tplc="1C090005" w:tentative="1">
      <w:start w:val="1"/>
      <w:numFmt w:val="bullet"/>
      <w:lvlText w:val=""/>
      <w:lvlJc w:val="left"/>
      <w:pPr>
        <w:ind w:left="5175" w:hanging="360"/>
      </w:pPr>
      <w:rPr>
        <w:rFonts w:ascii="Wingdings" w:hAnsi="Wingdings" w:hint="default"/>
      </w:rPr>
    </w:lvl>
    <w:lvl w:ilvl="6" w:tplc="1C090001" w:tentative="1">
      <w:start w:val="1"/>
      <w:numFmt w:val="bullet"/>
      <w:lvlText w:val=""/>
      <w:lvlJc w:val="left"/>
      <w:pPr>
        <w:ind w:left="5895" w:hanging="360"/>
      </w:pPr>
      <w:rPr>
        <w:rFonts w:ascii="Symbol" w:hAnsi="Symbol" w:hint="default"/>
      </w:rPr>
    </w:lvl>
    <w:lvl w:ilvl="7" w:tplc="1C090003" w:tentative="1">
      <w:start w:val="1"/>
      <w:numFmt w:val="bullet"/>
      <w:lvlText w:val="o"/>
      <w:lvlJc w:val="left"/>
      <w:pPr>
        <w:ind w:left="6615" w:hanging="360"/>
      </w:pPr>
      <w:rPr>
        <w:rFonts w:ascii="Courier New" w:hAnsi="Courier New" w:cs="Courier New" w:hint="default"/>
      </w:rPr>
    </w:lvl>
    <w:lvl w:ilvl="8" w:tplc="1C090005" w:tentative="1">
      <w:start w:val="1"/>
      <w:numFmt w:val="bullet"/>
      <w:lvlText w:val=""/>
      <w:lvlJc w:val="left"/>
      <w:pPr>
        <w:ind w:left="7335" w:hanging="360"/>
      </w:pPr>
      <w:rPr>
        <w:rFonts w:ascii="Wingdings" w:hAnsi="Wingdings" w:hint="default"/>
      </w:rPr>
    </w:lvl>
  </w:abstractNum>
  <w:abstractNum w:abstractNumId="2" w15:restartNumberingAfterBreak="0">
    <w:nsid w:val="1D69765D"/>
    <w:multiLevelType w:val="hybridMultilevel"/>
    <w:tmpl w:val="0B4E32B2"/>
    <w:lvl w:ilvl="0" w:tplc="E432FB72">
      <w:start w:val="1"/>
      <w:numFmt w:val="lowerRoman"/>
      <w:lvlText w:val="(%1)"/>
      <w:lvlJc w:val="left"/>
      <w:pPr>
        <w:ind w:left="796" w:hanging="720"/>
      </w:pPr>
      <w:rPr>
        <w:rFonts w:hint="default"/>
      </w:rPr>
    </w:lvl>
    <w:lvl w:ilvl="1" w:tplc="1C090019" w:tentative="1">
      <w:start w:val="1"/>
      <w:numFmt w:val="lowerLetter"/>
      <w:lvlText w:val="%2."/>
      <w:lvlJc w:val="left"/>
      <w:pPr>
        <w:ind w:left="1156" w:hanging="360"/>
      </w:pPr>
    </w:lvl>
    <w:lvl w:ilvl="2" w:tplc="1C09001B" w:tentative="1">
      <w:start w:val="1"/>
      <w:numFmt w:val="lowerRoman"/>
      <w:lvlText w:val="%3."/>
      <w:lvlJc w:val="right"/>
      <w:pPr>
        <w:ind w:left="1876" w:hanging="180"/>
      </w:pPr>
    </w:lvl>
    <w:lvl w:ilvl="3" w:tplc="1C09000F" w:tentative="1">
      <w:start w:val="1"/>
      <w:numFmt w:val="decimal"/>
      <w:lvlText w:val="%4."/>
      <w:lvlJc w:val="left"/>
      <w:pPr>
        <w:ind w:left="2596" w:hanging="360"/>
      </w:pPr>
    </w:lvl>
    <w:lvl w:ilvl="4" w:tplc="1C090019" w:tentative="1">
      <w:start w:val="1"/>
      <w:numFmt w:val="lowerLetter"/>
      <w:lvlText w:val="%5."/>
      <w:lvlJc w:val="left"/>
      <w:pPr>
        <w:ind w:left="3316" w:hanging="360"/>
      </w:pPr>
    </w:lvl>
    <w:lvl w:ilvl="5" w:tplc="1C09001B" w:tentative="1">
      <w:start w:val="1"/>
      <w:numFmt w:val="lowerRoman"/>
      <w:lvlText w:val="%6."/>
      <w:lvlJc w:val="right"/>
      <w:pPr>
        <w:ind w:left="4036" w:hanging="180"/>
      </w:pPr>
    </w:lvl>
    <w:lvl w:ilvl="6" w:tplc="1C09000F" w:tentative="1">
      <w:start w:val="1"/>
      <w:numFmt w:val="decimal"/>
      <w:lvlText w:val="%7."/>
      <w:lvlJc w:val="left"/>
      <w:pPr>
        <w:ind w:left="4756" w:hanging="360"/>
      </w:pPr>
    </w:lvl>
    <w:lvl w:ilvl="7" w:tplc="1C090019" w:tentative="1">
      <w:start w:val="1"/>
      <w:numFmt w:val="lowerLetter"/>
      <w:lvlText w:val="%8."/>
      <w:lvlJc w:val="left"/>
      <w:pPr>
        <w:ind w:left="5476" w:hanging="360"/>
      </w:pPr>
    </w:lvl>
    <w:lvl w:ilvl="8" w:tplc="1C09001B" w:tentative="1">
      <w:start w:val="1"/>
      <w:numFmt w:val="lowerRoman"/>
      <w:lvlText w:val="%9."/>
      <w:lvlJc w:val="right"/>
      <w:pPr>
        <w:ind w:left="6196" w:hanging="180"/>
      </w:pPr>
    </w:lvl>
  </w:abstractNum>
  <w:abstractNum w:abstractNumId="3" w15:restartNumberingAfterBreak="0">
    <w:nsid w:val="26F4207D"/>
    <w:multiLevelType w:val="multilevel"/>
    <w:tmpl w:val="9794AB06"/>
    <w:lvl w:ilvl="0">
      <w:start w:val="1"/>
      <w:numFmt w:val="decimal"/>
      <w:lvlText w:val="%1."/>
      <w:lvlJc w:val="left"/>
      <w:pPr>
        <w:ind w:left="360" w:hanging="360"/>
      </w:pPr>
      <w:rPr>
        <w:rFonts w:ascii="Arial" w:hAnsi="Arial" w:cs="Arial" w:hint="default"/>
        <w:b w:val="0"/>
        <w:bCs/>
      </w:rPr>
    </w:lvl>
    <w:lvl w:ilvl="1">
      <w:start w:val="1"/>
      <w:numFmt w:val="decimal"/>
      <w:lvlText w:val="%1.%2."/>
      <w:lvlJc w:val="left"/>
      <w:pPr>
        <w:ind w:left="792" w:hanging="432"/>
      </w:pPr>
      <w:rPr>
        <w:rFonts w:ascii="Arial" w:hAnsi="Arial" w:cs="Arial" w:hint="default"/>
        <w:b w:val="0"/>
        <w:bCs/>
      </w:rPr>
    </w:lvl>
    <w:lvl w:ilvl="2">
      <w:start w:val="1"/>
      <w:numFmt w:val="decimal"/>
      <w:lvlText w:val="%1.%2.%3."/>
      <w:lvlJc w:val="left"/>
      <w:pPr>
        <w:ind w:left="1224" w:hanging="504"/>
      </w:pPr>
      <w:rPr>
        <w:rFonts w:ascii="Arial" w:hAnsi="Arial" w:cs="Arial" w:hint="default"/>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81288C"/>
    <w:multiLevelType w:val="multilevel"/>
    <w:tmpl w:val="D494CF88"/>
    <w:lvl w:ilvl="0">
      <w:start w:val="20"/>
      <w:numFmt w:val="decimal"/>
      <w:lvlText w:val="%1."/>
      <w:lvlJc w:val="left"/>
      <w:pPr>
        <w:ind w:left="525" w:hanging="525"/>
      </w:pPr>
      <w:rPr>
        <w:rFonts w:hint="default"/>
        <w:b w:val="0"/>
      </w:rPr>
    </w:lvl>
    <w:lvl w:ilvl="1">
      <w:start w:val="1"/>
      <w:numFmt w:val="decimal"/>
      <w:lvlText w:val="%1.%2."/>
      <w:lvlJc w:val="left"/>
      <w:pPr>
        <w:ind w:left="1145" w:hanging="72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15:restartNumberingAfterBreak="0">
    <w:nsid w:val="34A72D5B"/>
    <w:multiLevelType w:val="hybridMultilevel"/>
    <w:tmpl w:val="6EC623AE"/>
    <w:lvl w:ilvl="0" w:tplc="1C090003">
      <w:start w:val="1"/>
      <w:numFmt w:val="bullet"/>
      <w:lvlText w:val="o"/>
      <w:lvlJc w:val="left"/>
      <w:pPr>
        <w:ind w:left="2295" w:hanging="360"/>
      </w:pPr>
      <w:rPr>
        <w:rFonts w:ascii="Courier New" w:hAnsi="Courier New" w:cs="Courier New" w:hint="default"/>
      </w:rPr>
    </w:lvl>
    <w:lvl w:ilvl="1" w:tplc="1C090003" w:tentative="1">
      <w:start w:val="1"/>
      <w:numFmt w:val="bullet"/>
      <w:lvlText w:val="o"/>
      <w:lvlJc w:val="left"/>
      <w:pPr>
        <w:ind w:left="3015" w:hanging="360"/>
      </w:pPr>
      <w:rPr>
        <w:rFonts w:ascii="Courier New" w:hAnsi="Courier New" w:cs="Courier New" w:hint="default"/>
      </w:rPr>
    </w:lvl>
    <w:lvl w:ilvl="2" w:tplc="1C090005" w:tentative="1">
      <w:start w:val="1"/>
      <w:numFmt w:val="bullet"/>
      <w:lvlText w:val=""/>
      <w:lvlJc w:val="left"/>
      <w:pPr>
        <w:ind w:left="3735" w:hanging="360"/>
      </w:pPr>
      <w:rPr>
        <w:rFonts w:ascii="Wingdings" w:hAnsi="Wingdings" w:hint="default"/>
      </w:rPr>
    </w:lvl>
    <w:lvl w:ilvl="3" w:tplc="1C090001" w:tentative="1">
      <w:start w:val="1"/>
      <w:numFmt w:val="bullet"/>
      <w:lvlText w:val=""/>
      <w:lvlJc w:val="left"/>
      <w:pPr>
        <w:ind w:left="4455" w:hanging="360"/>
      </w:pPr>
      <w:rPr>
        <w:rFonts w:ascii="Symbol" w:hAnsi="Symbol" w:hint="default"/>
      </w:rPr>
    </w:lvl>
    <w:lvl w:ilvl="4" w:tplc="1C090003" w:tentative="1">
      <w:start w:val="1"/>
      <w:numFmt w:val="bullet"/>
      <w:lvlText w:val="o"/>
      <w:lvlJc w:val="left"/>
      <w:pPr>
        <w:ind w:left="5175" w:hanging="360"/>
      </w:pPr>
      <w:rPr>
        <w:rFonts w:ascii="Courier New" w:hAnsi="Courier New" w:cs="Courier New" w:hint="default"/>
      </w:rPr>
    </w:lvl>
    <w:lvl w:ilvl="5" w:tplc="1C090005" w:tentative="1">
      <w:start w:val="1"/>
      <w:numFmt w:val="bullet"/>
      <w:lvlText w:val=""/>
      <w:lvlJc w:val="left"/>
      <w:pPr>
        <w:ind w:left="5895" w:hanging="360"/>
      </w:pPr>
      <w:rPr>
        <w:rFonts w:ascii="Wingdings" w:hAnsi="Wingdings" w:hint="default"/>
      </w:rPr>
    </w:lvl>
    <w:lvl w:ilvl="6" w:tplc="1C090001" w:tentative="1">
      <w:start w:val="1"/>
      <w:numFmt w:val="bullet"/>
      <w:lvlText w:val=""/>
      <w:lvlJc w:val="left"/>
      <w:pPr>
        <w:ind w:left="6615" w:hanging="360"/>
      </w:pPr>
      <w:rPr>
        <w:rFonts w:ascii="Symbol" w:hAnsi="Symbol" w:hint="default"/>
      </w:rPr>
    </w:lvl>
    <w:lvl w:ilvl="7" w:tplc="1C090003" w:tentative="1">
      <w:start w:val="1"/>
      <w:numFmt w:val="bullet"/>
      <w:lvlText w:val="o"/>
      <w:lvlJc w:val="left"/>
      <w:pPr>
        <w:ind w:left="7335" w:hanging="360"/>
      </w:pPr>
      <w:rPr>
        <w:rFonts w:ascii="Courier New" w:hAnsi="Courier New" w:cs="Courier New" w:hint="default"/>
      </w:rPr>
    </w:lvl>
    <w:lvl w:ilvl="8" w:tplc="1C090005" w:tentative="1">
      <w:start w:val="1"/>
      <w:numFmt w:val="bullet"/>
      <w:lvlText w:val=""/>
      <w:lvlJc w:val="left"/>
      <w:pPr>
        <w:ind w:left="8055" w:hanging="360"/>
      </w:pPr>
      <w:rPr>
        <w:rFonts w:ascii="Wingdings" w:hAnsi="Wingdings" w:hint="default"/>
      </w:rPr>
    </w:lvl>
  </w:abstractNum>
  <w:abstractNum w:abstractNumId="6" w15:restartNumberingAfterBreak="0">
    <w:nsid w:val="35EE2B83"/>
    <w:multiLevelType w:val="hybridMultilevel"/>
    <w:tmpl w:val="EAE26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E8A010C"/>
    <w:multiLevelType w:val="hybridMultilevel"/>
    <w:tmpl w:val="A1B8B6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452E2703"/>
    <w:multiLevelType w:val="hybridMultilevel"/>
    <w:tmpl w:val="48160432"/>
    <w:lvl w:ilvl="0" w:tplc="4368806C">
      <w:start w:val="1"/>
      <w:numFmt w:val="lowerRoman"/>
      <w:lvlText w:val="(%1)"/>
      <w:lvlJc w:val="left"/>
      <w:pPr>
        <w:ind w:left="2880" w:hanging="72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4E7061E9"/>
    <w:multiLevelType w:val="multilevel"/>
    <w:tmpl w:val="9FA87936"/>
    <w:lvl w:ilvl="0">
      <w:start w:val="22"/>
      <w:numFmt w:val="decimal"/>
      <w:lvlText w:val="%1."/>
      <w:lvlJc w:val="left"/>
      <w:pPr>
        <w:ind w:left="720" w:hanging="720"/>
      </w:pPr>
      <w:rPr>
        <w:rFonts w:eastAsia="Calibri" w:hint="default"/>
        <w:b w:val="0"/>
      </w:rPr>
    </w:lvl>
    <w:lvl w:ilvl="1">
      <w:start w:val="1"/>
      <w:numFmt w:val="decimal"/>
      <w:lvlText w:val="%1.%2."/>
      <w:lvlJc w:val="left"/>
      <w:pPr>
        <w:ind w:left="1145" w:hanging="720"/>
      </w:pPr>
      <w:rPr>
        <w:rFonts w:eastAsia="Calibri" w:hint="default"/>
        <w:b w:val="0"/>
      </w:rPr>
    </w:lvl>
    <w:lvl w:ilvl="2">
      <w:start w:val="1"/>
      <w:numFmt w:val="decimal"/>
      <w:lvlText w:val="%1.%2.%3."/>
      <w:lvlJc w:val="left"/>
      <w:pPr>
        <w:ind w:left="1570" w:hanging="720"/>
      </w:pPr>
      <w:rPr>
        <w:rFonts w:eastAsia="Calibri" w:hint="default"/>
        <w:b w:val="0"/>
      </w:rPr>
    </w:lvl>
    <w:lvl w:ilvl="3">
      <w:start w:val="1"/>
      <w:numFmt w:val="decimal"/>
      <w:lvlText w:val="%1.%2.%3.%4."/>
      <w:lvlJc w:val="left"/>
      <w:pPr>
        <w:ind w:left="2355" w:hanging="1080"/>
      </w:pPr>
      <w:rPr>
        <w:rFonts w:eastAsia="Calibri" w:hint="default"/>
      </w:rPr>
    </w:lvl>
    <w:lvl w:ilvl="4">
      <w:start w:val="1"/>
      <w:numFmt w:val="decimal"/>
      <w:lvlText w:val="%1.%2.%3.%4.%5."/>
      <w:lvlJc w:val="left"/>
      <w:pPr>
        <w:ind w:left="2780" w:hanging="1080"/>
      </w:pPr>
      <w:rPr>
        <w:rFonts w:eastAsia="Calibri" w:hint="default"/>
      </w:rPr>
    </w:lvl>
    <w:lvl w:ilvl="5">
      <w:start w:val="1"/>
      <w:numFmt w:val="decimal"/>
      <w:lvlText w:val="%1.%2.%3.%4.%5.%6."/>
      <w:lvlJc w:val="left"/>
      <w:pPr>
        <w:ind w:left="3565" w:hanging="1440"/>
      </w:pPr>
      <w:rPr>
        <w:rFonts w:eastAsia="Calibri" w:hint="default"/>
      </w:rPr>
    </w:lvl>
    <w:lvl w:ilvl="6">
      <w:start w:val="1"/>
      <w:numFmt w:val="decimal"/>
      <w:lvlText w:val="%1.%2.%3.%4.%5.%6.%7."/>
      <w:lvlJc w:val="left"/>
      <w:pPr>
        <w:ind w:left="3990" w:hanging="1440"/>
      </w:pPr>
      <w:rPr>
        <w:rFonts w:eastAsia="Calibri" w:hint="default"/>
      </w:rPr>
    </w:lvl>
    <w:lvl w:ilvl="7">
      <w:start w:val="1"/>
      <w:numFmt w:val="decimal"/>
      <w:lvlText w:val="%1.%2.%3.%4.%5.%6.%7.%8."/>
      <w:lvlJc w:val="left"/>
      <w:pPr>
        <w:ind w:left="4775" w:hanging="1800"/>
      </w:pPr>
      <w:rPr>
        <w:rFonts w:eastAsia="Calibri" w:hint="default"/>
      </w:rPr>
    </w:lvl>
    <w:lvl w:ilvl="8">
      <w:start w:val="1"/>
      <w:numFmt w:val="decimal"/>
      <w:lvlText w:val="%1.%2.%3.%4.%5.%6.%7.%8.%9."/>
      <w:lvlJc w:val="left"/>
      <w:pPr>
        <w:ind w:left="5560" w:hanging="2160"/>
      </w:pPr>
      <w:rPr>
        <w:rFonts w:eastAsia="Calibri" w:hint="default"/>
      </w:rPr>
    </w:lvl>
  </w:abstractNum>
  <w:abstractNum w:abstractNumId="10" w15:restartNumberingAfterBreak="0">
    <w:nsid w:val="6CE83CC7"/>
    <w:multiLevelType w:val="hybridMultilevel"/>
    <w:tmpl w:val="AB08FB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EFE45CB"/>
    <w:multiLevelType w:val="hybridMultilevel"/>
    <w:tmpl w:val="F5821986"/>
    <w:lvl w:ilvl="0" w:tplc="D11CB070">
      <w:start w:val="1"/>
      <w:numFmt w:val="decimal"/>
      <w:lvlText w:val="%1."/>
      <w:lvlJc w:val="left"/>
      <w:pPr>
        <w:ind w:left="1215" w:hanging="360"/>
      </w:pPr>
      <w:rPr>
        <w:rFonts w:hint="default"/>
      </w:rPr>
    </w:lvl>
    <w:lvl w:ilvl="1" w:tplc="8B2CBD76">
      <w:start w:val="1"/>
      <w:numFmt w:val="lowerLetter"/>
      <w:lvlText w:val="(%2)"/>
      <w:lvlJc w:val="left"/>
      <w:pPr>
        <w:ind w:left="2040" w:hanging="465"/>
      </w:pPr>
      <w:rPr>
        <w:rFonts w:hint="default"/>
      </w:r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2" w15:restartNumberingAfterBreak="0">
    <w:nsid w:val="734E4863"/>
    <w:multiLevelType w:val="hybridMultilevel"/>
    <w:tmpl w:val="7FB01F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74D30C30"/>
    <w:multiLevelType w:val="hybridMultilevel"/>
    <w:tmpl w:val="82628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78752D1"/>
    <w:multiLevelType w:val="hybridMultilevel"/>
    <w:tmpl w:val="E2D474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7C4F2546"/>
    <w:multiLevelType w:val="hybridMultilevel"/>
    <w:tmpl w:val="48160432"/>
    <w:lvl w:ilvl="0" w:tplc="4368806C">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1"/>
  </w:num>
  <w:num w:numId="2">
    <w:abstractNumId w:val="5"/>
  </w:num>
  <w:num w:numId="3">
    <w:abstractNumId w:val="12"/>
  </w:num>
  <w:num w:numId="4">
    <w:abstractNumId w:val="13"/>
  </w:num>
  <w:num w:numId="5">
    <w:abstractNumId w:val="7"/>
  </w:num>
  <w:num w:numId="6">
    <w:abstractNumId w:val="6"/>
  </w:num>
  <w:num w:numId="7">
    <w:abstractNumId w:val="14"/>
  </w:num>
  <w:num w:numId="8">
    <w:abstractNumId w:val="10"/>
  </w:num>
  <w:num w:numId="9">
    <w:abstractNumId w:val="11"/>
  </w:num>
  <w:num w:numId="10">
    <w:abstractNumId w:val="0"/>
  </w:num>
  <w:num w:numId="11">
    <w:abstractNumId w:val="2"/>
  </w:num>
  <w:num w:numId="12">
    <w:abstractNumId w:val="15"/>
  </w:num>
  <w:num w:numId="13">
    <w:abstractNumId w:val="8"/>
  </w:num>
  <w:num w:numId="14">
    <w:abstractNumId w:val="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0A"/>
    <w:rsid w:val="00006552"/>
    <w:rsid w:val="00010D3D"/>
    <w:rsid w:val="000111E3"/>
    <w:rsid w:val="00031B52"/>
    <w:rsid w:val="00041142"/>
    <w:rsid w:val="000438CF"/>
    <w:rsid w:val="00061A45"/>
    <w:rsid w:val="00070541"/>
    <w:rsid w:val="0007188C"/>
    <w:rsid w:val="00090E97"/>
    <w:rsid w:val="000A065C"/>
    <w:rsid w:val="000A2630"/>
    <w:rsid w:val="000A3E51"/>
    <w:rsid w:val="000A6B5F"/>
    <w:rsid w:val="000A7323"/>
    <w:rsid w:val="000B1B97"/>
    <w:rsid w:val="000B41D5"/>
    <w:rsid w:val="000B445B"/>
    <w:rsid w:val="000C54AC"/>
    <w:rsid w:val="000D3BA2"/>
    <w:rsid w:val="000E2833"/>
    <w:rsid w:val="000F2B38"/>
    <w:rsid w:val="000F2C14"/>
    <w:rsid w:val="00107D89"/>
    <w:rsid w:val="00114B02"/>
    <w:rsid w:val="00115DBA"/>
    <w:rsid w:val="00120B02"/>
    <w:rsid w:val="00123D96"/>
    <w:rsid w:val="001358EE"/>
    <w:rsid w:val="001417AE"/>
    <w:rsid w:val="00157666"/>
    <w:rsid w:val="00167B1C"/>
    <w:rsid w:val="001838A8"/>
    <w:rsid w:val="001870C4"/>
    <w:rsid w:val="00191B2D"/>
    <w:rsid w:val="00192F59"/>
    <w:rsid w:val="001C26D9"/>
    <w:rsid w:val="001D0754"/>
    <w:rsid w:val="001D378E"/>
    <w:rsid w:val="001D3853"/>
    <w:rsid w:val="001D4A00"/>
    <w:rsid w:val="00201DAE"/>
    <w:rsid w:val="0022130E"/>
    <w:rsid w:val="00236E71"/>
    <w:rsid w:val="0025160D"/>
    <w:rsid w:val="002670AC"/>
    <w:rsid w:val="002827DF"/>
    <w:rsid w:val="00282BE9"/>
    <w:rsid w:val="00285D11"/>
    <w:rsid w:val="00296AB8"/>
    <w:rsid w:val="002A3585"/>
    <w:rsid w:val="002A3EC3"/>
    <w:rsid w:val="002A5AAC"/>
    <w:rsid w:val="002A5C92"/>
    <w:rsid w:val="002A5E3F"/>
    <w:rsid w:val="002B7854"/>
    <w:rsid w:val="002C5D61"/>
    <w:rsid w:val="002D7C7B"/>
    <w:rsid w:val="002F1675"/>
    <w:rsid w:val="002F6DD0"/>
    <w:rsid w:val="002F72CB"/>
    <w:rsid w:val="003062E3"/>
    <w:rsid w:val="0032394B"/>
    <w:rsid w:val="00324CBB"/>
    <w:rsid w:val="003360F4"/>
    <w:rsid w:val="00345430"/>
    <w:rsid w:val="00345874"/>
    <w:rsid w:val="00350821"/>
    <w:rsid w:val="0035748F"/>
    <w:rsid w:val="0036320F"/>
    <w:rsid w:val="00363F5F"/>
    <w:rsid w:val="003712EB"/>
    <w:rsid w:val="00376587"/>
    <w:rsid w:val="00393D0B"/>
    <w:rsid w:val="003A699C"/>
    <w:rsid w:val="003B2554"/>
    <w:rsid w:val="003B7DE5"/>
    <w:rsid w:val="003C11C8"/>
    <w:rsid w:val="003C2DAD"/>
    <w:rsid w:val="003C3AB6"/>
    <w:rsid w:val="003C51A1"/>
    <w:rsid w:val="003D1DEB"/>
    <w:rsid w:val="003D53BD"/>
    <w:rsid w:val="003D669B"/>
    <w:rsid w:val="003E1F90"/>
    <w:rsid w:val="003E718C"/>
    <w:rsid w:val="003F44D8"/>
    <w:rsid w:val="00433601"/>
    <w:rsid w:val="00433AA6"/>
    <w:rsid w:val="00444937"/>
    <w:rsid w:val="004477E2"/>
    <w:rsid w:val="00450B47"/>
    <w:rsid w:val="0045650D"/>
    <w:rsid w:val="004577B0"/>
    <w:rsid w:val="00475A50"/>
    <w:rsid w:val="00477A3B"/>
    <w:rsid w:val="00480DEF"/>
    <w:rsid w:val="00490C25"/>
    <w:rsid w:val="004A04FE"/>
    <w:rsid w:val="004A20F4"/>
    <w:rsid w:val="004C2155"/>
    <w:rsid w:val="004C3184"/>
    <w:rsid w:val="004C5FCD"/>
    <w:rsid w:val="004C662D"/>
    <w:rsid w:val="004D7DA9"/>
    <w:rsid w:val="004E4F5D"/>
    <w:rsid w:val="004E6BFE"/>
    <w:rsid w:val="00501114"/>
    <w:rsid w:val="00506319"/>
    <w:rsid w:val="005109A2"/>
    <w:rsid w:val="0051589B"/>
    <w:rsid w:val="00531CCB"/>
    <w:rsid w:val="0053569E"/>
    <w:rsid w:val="00545396"/>
    <w:rsid w:val="00547484"/>
    <w:rsid w:val="00562AFD"/>
    <w:rsid w:val="00570A12"/>
    <w:rsid w:val="00584DE4"/>
    <w:rsid w:val="00585871"/>
    <w:rsid w:val="005921AD"/>
    <w:rsid w:val="00594F3A"/>
    <w:rsid w:val="005B0639"/>
    <w:rsid w:val="005B34BF"/>
    <w:rsid w:val="005C009E"/>
    <w:rsid w:val="005C3305"/>
    <w:rsid w:val="005D0228"/>
    <w:rsid w:val="005D2814"/>
    <w:rsid w:val="005D5C06"/>
    <w:rsid w:val="005D6843"/>
    <w:rsid w:val="005E43B3"/>
    <w:rsid w:val="005E66B6"/>
    <w:rsid w:val="005F3DC9"/>
    <w:rsid w:val="005F6746"/>
    <w:rsid w:val="006050C4"/>
    <w:rsid w:val="0061272A"/>
    <w:rsid w:val="00631E1D"/>
    <w:rsid w:val="00634D25"/>
    <w:rsid w:val="006360FE"/>
    <w:rsid w:val="00637186"/>
    <w:rsid w:val="006433CE"/>
    <w:rsid w:val="0064732C"/>
    <w:rsid w:val="00650226"/>
    <w:rsid w:val="00650483"/>
    <w:rsid w:val="00652AE0"/>
    <w:rsid w:val="00664C96"/>
    <w:rsid w:val="006660E0"/>
    <w:rsid w:val="00675833"/>
    <w:rsid w:val="00687ABE"/>
    <w:rsid w:val="00692499"/>
    <w:rsid w:val="0069600B"/>
    <w:rsid w:val="006973F4"/>
    <w:rsid w:val="006976A8"/>
    <w:rsid w:val="006B48AD"/>
    <w:rsid w:val="006D63B6"/>
    <w:rsid w:val="006E740F"/>
    <w:rsid w:val="006F3D01"/>
    <w:rsid w:val="006F7073"/>
    <w:rsid w:val="0071530A"/>
    <w:rsid w:val="007165FF"/>
    <w:rsid w:val="00720EC1"/>
    <w:rsid w:val="007213EB"/>
    <w:rsid w:val="00725ED4"/>
    <w:rsid w:val="00736A5B"/>
    <w:rsid w:val="00745779"/>
    <w:rsid w:val="0074782C"/>
    <w:rsid w:val="00747F4B"/>
    <w:rsid w:val="00765F45"/>
    <w:rsid w:val="00772A2D"/>
    <w:rsid w:val="00784FDB"/>
    <w:rsid w:val="00786FCB"/>
    <w:rsid w:val="007A26F9"/>
    <w:rsid w:val="007A3BF9"/>
    <w:rsid w:val="007A47A2"/>
    <w:rsid w:val="007B39FA"/>
    <w:rsid w:val="007C2FF8"/>
    <w:rsid w:val="007C5A26"/>
    <w:rsid w:val="007D5177"/>
    <w:rsid w:val="007E1805"/>
    <w:rsid w:val="007E5A47"/>
    <w:rsid w:val="007E6F7C"/>
    <w:rsid w:val="007F0717"/>
    <w:rsid w:val="0080425C"/>
    <w:rsid w:val="00812BDC"/>
    <w:rsid w:val="00814B0F"/>
    <w:rsid w:val="008436EF"/>
    <w:rsid w:val="00845B0F"/>
    <w:rsid w:val="008462A4"/>
    <w:rsid w:val="00854BC1"/>
    <w:rsid w:val="0085516C"/>
    <w:rsid w:val="0086059F"/>
    <w:rsid w:val="008642F1"/>
    <w:rsid w:val="00867D2D"/>
    <w:rsid w:val="00870D70"/>
    <w:rsid w:val="008718FF"/>
    <w:rsid w:val="008750CD"/>
    <w:rsid w:val="008818A8"/>
    <w:rsid w:val="008968DE"/>
    <w:rsid w:val="008B74E2"/>
    <w:rsid w:val="008C10C5"/>
    <w:rsid w:val="008C430A"/>
    <w:rsid w:val="00900459"/>
    <w:rsid w:val="0090350D"/>
    <w:rsid w:val="00913915"/>
    <w:rsid w:val="00922B53"/>
    <w:rsid w:val="0093389D"/>
    <w:rsid w:val="00945E21"/>
    <w:rsid w:val="0094711D"/>
    <w:rsid w:val="00965CCB"/>
    <w:rsid w:val="009721CA"/>
    <w:rsid w:val="00972B25"/>
    <w:rsid w:val="009762CB"/>
    <w:rsid w:val="009801DE"/>
    <w:rsid w:val="0098181F"/>
    <w:rsid w:val="0098316F"/>
    <w:rsid w:val="00987669"/>
    <w:rsid w:val="0099078F"/>
    <w:rsid w:val="009A3636"/>
    <w:rsid w:val="009A62DA"/>
    <w:rsid w:val="009B10F8"/>
    <w:rsid w:val="009B5C40"/>
    <w:rsid w:val="009B5CDA"/>
    <w:rsid w:val="009C4BA6"/>
    <w:rsid w:val="009D2C52"/>
    <w:rsid w:val="009D6432"/>
    <w:rsid w:val="009D7E88"/>
    <w:rsid w:val="009F1FB5"/>
    <w:rsid w:val="00A05EC4"/>
    <w:rsid w:val="00A21549"/>
    <w:rsid w:val="00A26405"/>
    <w:rsid w:val="00A327A5"/>
    <w:rsid w:val="00A355E3"/>
    <w:rsid w:val="00A560B0"/>
    <w:rsid w:val="00A759F2"/>
    <w:rsid w:val="00A81BA5"/>
    <w:rsid w:val="00A81E17"/>
    <w:rsid w:val="00A87D32"/>
    <w:rsid w:val="00A965A6"/>
    <w:rsid w:val="00A977D7"/>
    <w:rsid w:val="00AA21AC"/>
    <w:rsid w:val="00AA7959"/>
    <w:rsid w:val="00AB2954"/>
    <w:rsid w:val="00AB66EB"/>
    <w:rsid w:val="00AC332C"/>
    <w:rsid w:val="00AC3980"/>
    <w:rsid w:val="00AC76AD"/>
    <w:rsid w:val="00AC7F5B"/>
    <w:rsid w:val="00AD0CE8"/>
    <w:rsid w:val="00AD0D01"/>
    <w:rsid w:val="00AD7485"/>
    <w:rsid w:val="00AE2FA8"/>
    <w:rsid w:val="00AE615A"/>
    <w:rsid w:val="00AF23AC"/>
    <w:rsid w:val="00AF6BA6"/>
    <w:rsid w:val="00B017E2"/>
    <w:rsid w:val="00B05830"/>
    <w:rsid w:val="00B139AC"/>
    <w:rsid w:val="00B33CFC"/>
    <w:rsid w:val="00B35AC1"/>
    <w:rsid w:val="00B37E61"/>
    <w:rsid w:val="00B42A02"/>
    <w:rsid w:val="00B56B50"/>
    <w:rsid w:val="00B64B33"/>
    <w:rsid w:val="00B72210"/>
    <w:rsid w:val="00B72A5B"/>
    <w:rsid w:val="00BA134C"/>
    <w:rsid w:val="00BA500C"/>
    <w:rsid w:val="00BB7CC1"/>
    <w:rsid w:val="00BE0A1F"/>
    <w:rsid w:val="00BF1FAD"/>
    <w:rsid w:val="00C101FB"/>
    <w:rsid w:val="00C10A6C"/>
    <w:rsid w:val="00C1149B"/>
    <w:rsid w:val="00C13402"/>
    <w:rsid w:val="00C13854"/>
    <w:rsid w:val="00C26BA8"/>
    <w:rsid w:val="00C367E0"/>
    <w:rsid w:val="00C40823"/>
    <w:rsid w:val="00C4436F"/>
    <w:rsid w:val="00C65B0A"/>
    <w:rsid w:val="00C65BB7"/>
    <w:rsid w:val="00C74C4B"/>
    <w:rsid w:val="00C751B2"/>
    <w:rsid w:val="00C75DDC"/>
    <w:rsid w:val="00C8345D"/>
    <w:rsid w:val="00C850B2"/>
    <w:rsid w:val="00C85441"/>
    <w:rsid w:val="00C85F11"/>
    <w:rsid w:val="00C906EC"/>
    <w:rsid w:val="00C90C19"/>
    <w:rsid w:val="00C90DFC"/>
    <w:rsid w:val="00C92C9A"/>
    <w:rsid w:val="00C9504E"/>
    <w:rsid w:val="00CA200A"/>
    <w:rsid w:val="00CA25C6"/>
    <w:rsid w:val="00CA4411"/>
    <w:rsid w:val="00CD4E18"/>
    <w:rsid w:val="00CD5CB0"/>
    <w:rsid w:val="00CE45ED"/>
    <w:rsid w:val="00CE7BF7"/>
    <w:rsid w:val="00CF2227"/>
    <w:rsid w:val="00CF404C"/>
    <w:rsid w:val="00D00B21"/>
    <w:rsid w:val="00D019FD"/>
    <w:rsid w:val="00D11F57"/>
    <w:rsid w:val="00D170FC"/>
    <w:rsid w:val="00D31B6B"/>
    <w:rsid w:val="00D34451"/>
    <w:rsid w:val="00D3752E"/>
    <w:rsid w:val="00D435E3"/>
    <w:rsid w:val="00D45712"/>
    <w:rsid w:val="00D56116"/>
    <w:rsid w:val="00D65FE4"/>
    <w:rsid w:val="00D710A1"/>
    <w:rsid w:val="00D8477F"/>
    <w:rsid w:val="00D8793D"/>
    <w:rsid w:val="00D908E3"/>
    <w:rsid w:val="00DA2950"/>
    <w:rsid w:val="00DB0A74"/>
    <w:rsid w:val="00DB33A6"/>
    <w:rsid w:val="00DB6BE4"/>
    <w:rsid w:val="00DB7CBA"/>
    <w:rsid w:val="00DC6716"/>
    <w:rsid w:val="00DC7E7A"/>
    <w:rsid w:val="00DD6232"/>
    <w:rsid w:val="00DE6968"/>
    <w:rsid w:val="00DE78AA"/>
    <w:rsid w:val="00DF2A14"/>
    <w:rsid w:val="00DF5529"/>
    <w:rsid w:val="00DF5BF5"/>
    <w:rsid w:val="00E12DE8"/>
    <w:rsid w:val="00E13939"/>
    <w:rsid w:val="00E144B7"/>
    <w:rsid w:val="00E20617"/>
    <w:rsid w:val="00E41BEB"/>
    <w:rsid w:val="00E42314"/>
    <w:rsid w:val="00E431F8"/>
    <w:rsid w:val="00E47173"/>
    <w:rsid w:val="00E545FA"/>
    <w:rsid w:val="00E54925"/>
    <w:rsid w:val="00E6003B"/>
    <w:rsid w:val="00E605DC"/>
    <w:rsid w:val="00E9176D"/>
    <w:rsid w:val="00E93A79"/>
    <w:rsid w:val="00EA6F76"/>
    <w:rsid w:val="00EA7025"/>
    <w:rsid w:val="00EA7A55"/>
    <w:rsid w:val="00EB0AF3"/>
    <w:rsid w:val="00EB2325"/>
    <w:rsid w:val="00EB6C5F"/>
    <w:rsid w:val="00EC0965"/>
    <w:rsid w:val="00EC46BB"/>
    <w:rsid w:val="00ED0752"/>
    <w:rsid w:val="00EE7DF3"/>
    <w:rsid w:val="00EF2955"/>
    <w:rsid w:val="00F12875"/>
    <w:rsid w:val="00F170ED"/>
    <w:rsid w:val="00F319AC"/>
    <w:rsid w:val="00F97A1E"/>
    <w:rsid w:val="00FA371E"/>
    <w:rsid w:val="00FA6C3E"/>
    <w:rsid w:val="00FB1288"/>
    <w:rsid w:val="00FB3D3C"/>
    <w:rsid w:val="00FC27FB"/>
    <w:rsid w:val="00FC5978"/>
    <w:rsid w:val="00FD2B26"/>
    <w:rsid w:val="00FD79D6"/>
    <w:rsid w:val="00FE4258"/>
    <w:rsid w:val="00FF2C0D"/>
    <w:rsid w:val="00FF2CC3"/>
    <w:rsid w:val="00FF4F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0820C"/>
  <w15:chartTrackingRefBased/>
  <w15:docId w15:val="{0B07F200-5C5A-4178-AE9D-3EFEAED9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0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00A"/>
  </w:style>
  <w:style w:type="paragraph" w:styleId="Footer">
    <w:name w:val="footer"/>
    <w:basedOn w:val="Normal"/>
    <w:link w:val="FooterChar"/>
    <w:uiPriority w:val="99"/>
    <w:unhideWhenUsed/>
    <w:rsid w:val="00CA2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00A"/>
  </w:style>
  <w:style w:type="paragraph" w:styleId="FootnoteText">
    <w:name w:val="footnote text"/>
    <w:basedOn w:val="Normal"/>
    <w:link w:val="FootnoteTextChar"/>
    <w:uiPriority w:val="99"/>
    <w:semiHidden/>
    <w:unhideWhenUsed/>
    <w:rsid w:val="00CA2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00A"/>
    <w:rPr>
      <w:sz w:val="20"/>
      <w:szCs w:val="20"/>
    </w:rPr>
  </w:style>
  <w:style w:type="character" w:styleId="FootnoteReference">
    <w:name w:val="footnote reference"/>
    <w:basedOn w:val="DefaultParagraphFont"/>
    <w:uiPriority w:val="99"/>
    <w:semiHidden/>
    <w:unhideWhenUsed/>
    <w:rsid w:val="00CA200A"/>
    <w:rPr>
      <w:vertAlign w:val="superscript"/>
    </w:rPr>
  </w:style>
  <w:style w:type="paragraph" w:styleId="NormalWeb">
    <w:name w:val="Normal (Web)"/>
    <w:basedOn w:val="Normal"/>
    <w:uiPriority w:val="99"/>
    <w:semiHidden/>
    <w:unhideWhenUsed/>
    <w:rsid w:val="00CA200A"/>
    <w:pPr>
      <w:spacing w:before="100" w:beforeAutospacing="1" w:after="100" w:afterAutospacing="1" w:line="240" w:lineRule="auto"/>
    </w:pPr>
    <w:rPr>
      <w:rFonts w:ascii="Times New Roman" w:eastAsiaTheme="minorEastAsia" w:hAnsi="Times New Roman" w:cs="Times New Roman"/>
      <w:sz w:val="24"/>
      <w:szCs w:val="24"/>
      <w:lang w:eastAsia="en-ZA"/>
    </w:rPr>
  </w:style>
  <w:style w:type="character" w:styleId="CommentReference">
    <w:name w:val="annotation reference"/>
    <w:basedOn w:val="DefaultParagraphFont"/>
    <w:uiPriority w:val="99"/>
    <w:semiHidden/>
    <w:unhideWhenUsed/>
    <w:rsid w:val="00FC5978"/>
    <w:rPr>
      <w:sz w:val="16"/>
      <w:szCs w:val="16"/>
    </w:rPr>
  </w:style>
  <w:style w:type="paragraph" w:styleId="CommentText">
    <w:name w:val="annotation text"/>
    <w:basedOn w:val="Normal"/>
    <w:link w:val="CommentTextChar"/>
    <w:uiPriority w:val="99"/>
    <w:semiHidden/>
    <w:unhideWhenUsed/>
    <w:rsid w:val="00FC5978"/>
    <w:pPr>
      <w:spacing w:line="240" w:lineRule="auto"/>
    </w:pPr>
    <w:rPr>
      <w:sz w:val="20"/>
      <w:szCs w:val="20"/>
    </w:rPr>
  </w:style>
  <w:style w:type="character" w:customStyle="1" w:styleId="CommentTextChar">
    <w:name w:val="Comment Text Char"/>
    <w:basedOn w:val="DefaultParagraphFont"/>
    <w:link w:val="CommentText"/>
    <w:uiPriority w:val="99"/>
    <w:semiHidden/>
    <w:rsid w:val="00FC5978"/>
    <w:rPr>
      <w:sz w:val="20"/>
      <w:szCs w:val="20"/>
    </w:rPr>
  </w:style>
  <w:style w:type="paragraph" w:styleId="CommentSubject">
    <w:name w:val="annotation subject"/>
    <w:basedOn w:val="CommentText"/>
    <w:next w:val="CommentText"/>
    <w:link w:val="CommentSubjectChar"/>
    <w:uiPriority w:val="99"/>
    <w:semiHidden/>
    <w:unhideWhenUsed/>
    <w:rsid w:val="00FC5978"/>
    <w:rPr>
      <w:b/>
      <w:bCs/>
    </w:rPr>
  </w:style>
  <w:style w:type="character" w:customStyle="1" w:styleId="CommentSubjectChar">
    <w:name w:val="Comment Subject Char"/>
    <w:basedOn w:val="CommentTextChar"/>
    <w:link w:val="CommentSubject"/>
    <w:uiPriority w:val="99"/>
    <w:semiHidden/>
    <w:rsid w:val="00FC5978"/>
    <w:rPr>
      <w:b/>
      <w:bCs/>
      <w:sz w:val="20"/>
      <w:szCs w:val="20"/>
    </w:rPr>
  </w:style>
  <w:style w:type="paragraph" w:styleId="BalloonText">
    <w:name w:val="Balloon Text"/>
    <w:basedOn w:val="Normal"/>
    <w:link w:val="BalloonTextChar"/>
    <w:uiPriority w:val="99"/>
    <w:semiHidden/>
    <w:unhideWhenUsed/>
    <w:rsid w:val="00FC5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78"/>
    <w:rPr>
      <w:rFonts w:ascii="Segoe UI" w:hAnsi="Segoe UI" w:cs="Segoe UI"/>
      <w:sz w:val="18"/>
      <w:szCs w:val="18"/>
    </w:rPr>
  </w:style>
  <w:style w:type="paragraph" w:styleId="ListParagraph">
    <w:name w:val="List Paragraph"/>
    <w:basedOn w:val="Normal"/>
    <w:link w:val="ListParagraphChar"/>
    <w:uiPriority w:val="34"/>
    <w:qFormat/>
    <w:rsid w:val="003F44D8"/>
    <w:pPr>
      <w:ind w:left="720"/>
      <w:contextualSpacing/>
    </w:pPr>
  </w:style>
  <w:style w:type="character" w:customStyle="1" w:styleId="ListParagraphChar">
    <w:name w:val="List Paragraph Char"/>
    <w:link w:val="ListParagraph"/>
    <w:uiPriority w:val="34"/>
    <w:locked/>
    <w:rsid w:val="000A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803105%27%5d&amp;xhitlist_md=target-id=0-0-0-665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631608%27%5d&amp;xhitlist_md=target-id=0-0-0-65479" TargetMode="External"/><Relationship Id="rId4" Type="http://schemas.openxmlformats.org/officeDocument/2006/relationships/settings" Target="settings.xml"/><Relationship Id="rId9" Type="http://schemas.openxmlformats.org/officeDocument/2006/relationships/image" Target="cid:image003.png@01D32573.78E904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DE6C0-3009-4AA3-A6EC-84CD95B9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Tertius Kwapa</dc:creator>
  <cp:keywords/>
  <dc:description/>
  <cp:lastModifiedBy>Tertius Kwapa</cp:lastModifiedBy>
  <cp:revision>42</cp:revision>
  <cp:lastPrinted>2022-12-05T10:49:00Z</cp:lastPrinted>
  <dcterms:created xsi:type="dcterms:W3CDTF">2022-11-14T08:59:00Z</dcterms:created>
  <dcterms:modified xsi:type="dcterms:W3CDTF">2022-12-05T10:53:00Z</dcterms:modified>
</cp:coreProperties>
</file>