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370F" w14:textId="77777777" w:rsidR="00302938" w:rsidRDefault="00302938" w:rsidP="00302938">
      <w:pPr>
        <w:spacing w:after="0" w:line="240" w:lineRule="auto"/>
        <w:jc w:val="center"/>
        <w:rPr>
          <w:rFonts w:ascii="Arial" w:hAnsi="Arial" w:cs="Arial"/>
          <w:b/>
          <w:sz w:val="24"/>
          <w:szCs w:val="24"/>
          <w:u w:val="single"/>
        </w:rPr>
      </w:pPr>
      <w:r>
        <w:rPr>
          <w:noProof/>
          <w:lang w:eastAsia="en-ZA"/>
        </w:rPr>
        <w:drawing>
          <wp:anchor distT="0" distB="0" distL="0" distR="0" simplePos="0" relativeHeight="251659264" behindDoc="1" locked="0" layoutInCell="1" allowOverlap="1" wp14:anchorId="709FFCC6" wp14:editId="44B13D2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D2CDD" w14:textId="77777777" w:rsidR="00302938" w:rsidRDefault="00302938" w:rsidP="00302938">
      <w:pPr>
        <w:spacing w:after="0" w:line="240" w:lineRule="auto"/>
        <w:jc w:val="center"/>
        <w:rPr>
          <w:rFonts w:ascii="Arial" w:hAnsi="Arial" w:cs="Arial"/>
          <w:b/>
          <w:sz w:val="24"/>
          <w:szCs w:val="24"/>
          <w:u w:val="single"/>
        </w:rPr>
      </w:pPr>
    </w:p>
    <w:p w14:paraId="552F0223" w14:textId="77777777" w:rsidR="00302938" w:rsidRDefault="00302938" w:rsidP="00302938">
      <w:pPr>
        <w:spacing w:after="0" w:line="360" w:lineRule="auto"/>
        <w:jc w:val="both"/>
        <w:rPr>
          <w:rFonts w:ascii="Arial" w:hAnsi="Arial" w:cs="Arial"/>
          <w:b/>
          <w:sz w:val="24"/>
          <w:szCs w:val="24"/>
          <w:u w:val="single"/>
        </w:rPr>
      </w:pPr>
    </w:p>
    <w:p w14:paraId="0771C91E" w14:textId="77777777" w:rsidR="00302938" w:rsidRDefault="00302938" w:rsidP="00302938">
      <w:pPr>
        <w:spacing w:after="0" w:line="240" w:lineRule="auto"/>
        <w:jc w:val="center"/>
        <w:rPr>
          <w:rFonts w:ascii="Arial" w:hAnsi="Arial" w:cs="Arial"/>
          <w:b/>
          <w:sz w:val="24"/>
          <w:szCs w:val="24"/>
          <w:u w:val="single"/>
        </w:rPr>
      </w:pPr>
    </w:p>
    <w:p w14:paraId="333D338E"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14:paraId="4DEF9624"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14:paraId="5AC2A77A" w14:textId="77777777" w:rsidTr="00B530EE">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7B5FCED2" w14:textId="77777777" w:rsidR="00302938" w:rsidRDefault="00302938" w:rsidP="00B530EE">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258E5623" w14:textId="77777777" w:rsidR="00302938" w:rsidRDefault="00302938" w:rsidP="00B530EE">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608B3C54" w14:textId="77777777" w:rsidR="00302938" w:rsidRDefault="00302938" w:rsidP="00B530EE">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8964485" w14:textId="77777777" w:rsidR="00302938" w:rsidRDefault="00302938" w:rsidP="00B530EE">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17CF92A3" w14:textId="77777777" w:rsidR="00302938" w:rsidRDefault="00302938" w:rsidP="00B530EE">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11393569" w14:textId="77777777" w:rsidR="00302938" w:rsidRDefault="00302938" w:rsidP="00B530EE">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789FE535"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ind w:left="5760"/>
        <w:jc w:val="right"/>
        <w:rPr>
          <w:rFonts w:ascii="Arial" w:hAnsi="Arial"/>
          <w:sz w:val="24"/>
          <w:szCs w:val="24"/>
        </w:rPr>
      </w:pPr>
    </w:p>
    <w:p w14:paraId="2929260E"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ind w:left="5760"/>
        <w:jc w:val="right"/>
        <w:rPr>
          <w:rFonts w:ascii="Arial" w:hAnsi="Arial" w:cs="Arial"/>
          <w:sz w:val="24"/>
          <w:szCs w:val="24"/>
        </w:rPr>
      </w:pPr>
      <w:r>
        <w:rPr>
          <w:rFonts w:ascii="Arial" w:hAnsi="Arial"/>
          <w:sz w:val="24"/>
          <w:szCs w:val="24"/>
        </w:rPr>
        <w:t xml:space="preserve">Case No.: </w:t>
      </w:r>
      <w:r w:rsidR="004263E4">
        <w:rPr>
          <w:rFonts w:ascii="Arial" w:hAnsi="Arial"/>
          <w:sz w:val="24"/>
          <w:szCs w:val="24"/>
        </w:rPr>
        <w:t>5492</w:t>
      </w:r>
      <w:r>
        <w:rPr>
          <w:rFonts w:ascii="Arial" w:hAnsi="Arial"/>
          <w:sz w:val="24"/>
          <w:szCs w:val="24"/>
        </w:rPr>
        <w:t>/20</w:t>
      </w:r>
      <w:r w:rsidR="004263E4">
        <w:rPr>
          <w:rFonts w:ascii="Arial" w:hAnsi="Arial"/>
          <w:sz w:val="24"/>
          <w:szCs w:val="24"/>
        </w:rPr>
        <w:t>21</w:t>
      </w:r>
    </w:p>
    <w:p w14:paraId="2AA5AE0B"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14:paraId="3112B65C"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14:paraId="35EAC382" w14:textId="77777777" w:rsidR="00302938" w:rsidRPr="008B13F6"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rPr>
          <w:rFonts w:ascii="Arial" w:hAnsi="Arial" w:cs="Arial"/>
          <w:sz w:val="24"/>
          <w:szCs w:val="24"/>
        </w:rPr>
      </w:pPr>
      <w:r>
        <w:rPr>
          <w:rFonts w:ascii="Arial" w:hAnsi="Arial"/>
          <w:b/>
          <w:bCs/>
          <w:sz w:val="24"/>
          <w:szCs w:val="24"/>
        </w:rPr>
        <w:t>KETSISE MOTLOUNG</w:t>
      </w:r>
      <w:r w:rsidR="00302938" w:rsidRPr="008B13F6">
        <w:rPr>
          <w:rFonts w:ascii="Arial" w:hAnsi="Arial"/>
          <w:b/>
          <w:bCs/>
          <w:sz w:val="24"/>
          <w:szCs w:val="24"/>
        </w:rPr>
        <w:tab/>
      </w:r>
      <w:r w:rsidR="00CB756B">
        <w:rPr>
          <w:rFonts w:ascii="Arial" w:hAnsi="Arial"/>
          <w:b/>
          <w:bCs/>
          <w:sz w:val="24"/>
          <w:szCs w:val="24"/>
        </w:rPr>
        <w:tab/>
      </w:r>
      <w:r w:rsidR="00CB756B">
        <w:rPr>
          <w:rFonts w:ascii="Arial" w:hAnsi="Arial"/>
          <w:b/>
          <w:bCs/>
          <w:sz w:val="24"/>
          <w:szCs w:val="24"/>
        </w:rPr>
        <w:tab/>
      </w:r>
      <w:r w:rsidR="00CB756B">
        <w:rPr>
          <w:rFonts w:ascii="Arial" w:hAnsi="Arial"/>
          <w:b/>
          <w:bCs/>
          <w:sz w:val="24"/>
          <w:szCs w:val="24"/>
        </w:rPr>
        <w:tab/>
      </w:r>
      <w:r w:rsidR="00CB756B">
        <w:rPr>
          <w:rFonts w:ascii="Arial" w:hAnsi="Arial"/>
          <w:b/>
          <w:bCs/>
          <w:sz w:val="24"/>
          <w:szCs w:val="24"/>
        </w:rPr>
        <w:tab/>
      </w:r>
      <w:r w:rsidR="00302938" w:rsidRPr="008B13F6">
        <w:rPr>
          <w:rFonts w:ascii="Arial" w:hAnsi="Arial"/>
          <w:b/>
          <w:bCs/>
          <w:sz w:val="24"/>
          <w:szCs w:val="24"/>
        </w:rPr>
        <w:tab/>
      </w:r>
      <w:r>
        <w:rPr>
          <w:rFonts w:ascii="Arial" w:hAnsi="Arial"/>
          <w:b/>
          <w:bCs/>
          <w:sz w:val="24"/>
          <w:szCs w:val="24"/>
        </w:rPr>
        <w:tab/>
      </w:r>
      <w:r>
        <w:rPr>
          <w:rFonts w:ascii="Arial" w:hAnsi="Arial"/>
          <w:sz w:val="24"/>
          <w:szCs w:val="24"/>
        </w:rPr>
        <w:t>1st Applicant</w:t>
      </w:r>
    </w:p>
    <w:p w14:paraId="0A5B3523"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bCs/>
          <w:sz w:val="24"/>
          <w:szCs w:val="24"/>
        </w:rPr>
      </w:pPr>
    </w:p>
    <w:p w14:paraId="68122A32" w14:textId="77777777" w:rsidR="004263E4" w:rsidRPr="008B13F6"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sz w:val="24"/>
          <w:szCs w:val="24"/>
        </w:rPr>
      </w:pPr>
      <w:r>
        <w:rPr>
          <w:rFonts w:ascii="Arial" w:hAnsi="Arial"/>
          <w:b/>
          <w:bCs/>
          <w:sz w:val="24"/>
          <w:szCs w:val="24"/>
        </w:rPr>
        <w:t>REATLEHISE DEVELOPMENT CC</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8B13F6">
        <w:rPr>
          <w:rFonts w:ascii="Arial" w:hAnsi="Arial"/>
          <w:b/>
          <w:bCs/>
          <w:sz w:val="24"/>
          <w:szCs w:val="24"/>
        </w:rPr>
        <w:tab/>
      </w:r>
      <w:r>
        <w:rPr>
          <w:rFonts w:ascii="Arial" w:hAnsi="Arial"/>
          <w:sz w:val="24"/>
          <w:szCs w:val="24"/>
        </w:rPr>
        <w:t>2</w:t>
      </w:r>
      <w:r w:rsidRPr="004263E4">
        <w:rPr>
          <w:rFonts w:ascii="Arial" w:hAnsi="Arial"/>
          <w:sz w:val="24"/>
          <w:szCs w:val="24"/>
          <w:vertAlign w:val="superscript"/>
        </w:rPr>
        <w:t>nd</w:t>
      </w:r>
      <w:r>
        <w:rPr>
          <w:rFonts w:ascii="Arial" w:hAnsi="Arial"/>
          <w:sz w:val="24"/>
          <w:szCs w:val="24"/>
        </w:rPr>
        <w:t xml:space="preserve"> Applicant</w:t>
      </w:r>
    </w:p>
    <w:p w14:paraId="1BE9BFFF" w14:textId="77777777"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b/>
          <w:bCs/>
          <w:sz w:val="24"/>
          <w:szCs w:val="24"/>
        </w:rPr>
      </w:pPr>
    </w:p>
    <w:p w14:paraId="71774877" w14:textId="77777777"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14:paraId="0823EB3B" w14:textId="77777777"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14:paraId="6503DC6C" w14:textId="77777777" w:rsidR="004263E4" w:rsidRDefault="004263E4"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 xml:space="preserve">THE COMMISSIONER FOR THE </w:t>
      </w:r>
    </w:p>
    <w:p w14:paraId="602BF898" w14:textId="77777777" w:rsidR="00302938" w:rsidRDefault="004263E4"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sz w:val="24"/>
          <w:szCs w:val="24"/>
        </w:rPr>
      </w:pPr>
      <w:r>
        <w:rPr>
          <w:rFonts w:ascii="Arial" w:hAnsi="Arial"/>
          <w:b/>
          <w:bCs/>
          <w:sz w:val="24"/>
          <w:szCs w:val="24"/>
        </w:rPr>
        <w:t>SOUTH AFRICAN REVENUE SERVICES</w:t>
      </w:r>
      <w:r w:rsidR="00302938">
        <w:rPr>
          <w:rFonts w:ascii="Arial" w:hAnsi="Arial"/>
          <w:b/>
          <w:bCs/>
          <w:sz w:val="24"/>
          <w:szCs w:val="24"/>
        </w:rPr>
        <w:tab/>
      </w:r>
      <w:r w:rsidR="00302938">
        <w:rPr>
          <w:rFonts w:ascii="Arial" w:hAnsi="Arial"/>
          <w:b/>
          <w:bCs/>
          <w:sz w:val="24"/>
          <w:szCs w:val="24"/>
        </w:rPr>
        <w:tab/>
      </w:r>
      <w:r w:rsidR="00302938" w:rsidRPr="008B13F6">
        <w:rPr>
          <w:rFonts w:ascii="Arial" w:hAnsi="Arial"/>
          <w:b/>
          <w:bCs/>
          <w:sz w:val="24"/>
          <w:szCs w:val="24"/>
        </w:rPr>
        <w:tab/>
      </w:r>
      <w:r>
        <w:rPr>
          <w:rFonts w:ascii="Arial" w:hAnsi="Arial"/>
          <w:sz w:val="24"/>
          <w:szCs w:val="24"/>
        </w:rPr>
        <w:t>1</w:t>
      </w:r>
      <w:r w:rsidRPr="004263E4">
        <w:rPr>
          <w:rFonts w:ascii="Arial" w:hAnsi="Arial"/>
          <w:sz w:val="24"/>
          <w:szCs w:val="24"/>
          <w:vertAlign w:val="superscript"/>
        </w:rPr>
        <w:t>st</w:t>
      </w:r>
      <w:r>
        <w:rPr>
          <w:rFonts w:ascii="Arial" w:hAnsi="Arial"/>
          <w:sz w:val="24"/>
          <w:szCs w:val="24"/>
        </w:rPr>
        <w:t xml:space="preserve"> Respondent</w:t>
      </w:r>
    </w:p>
    <w:p w14:paraId="11ECC580"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right" w:pos="9026"/>
        </w:tabs>
        <w:spacing w:after="0" w:line="360" w:lineRule="auto"/>
        <w:rPr>
          <w:rFonts w:ascii="Arial" w:hAnsi="Arial"/>
          <w:b/>
          <w:bCs/>
          <w:sz w:val="24"/>
          <w:szCs w:val="24"/>
        </w:rPr>
      </w:pPr>
    </w:p>
    <w:p w14:paraId="436170A7"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right" w:pos="9026"/>
        </w:tabs>
        <w:spacing w:after="0" w:line="360" w:lineRule="auto"/>
        <w:rPr>
          <w:rFonts w:ascii="Arial" w:hAnsi="Arial"/>
          <w:sz w:val="24"/>
          <w:szCs w:val="24"/>
        </w:rPr>
      </w:pPr>
      <w:r>
        <w:rPr>
          <w:rFonts w:ascii="Arial" w:hAnsi="Arial"/>
          <w:b/>
          <w:bCs/>
          <w:sz w:val="24"/>
          <w:szCs w:val="24"/>
        </w:rPr>
        <w:t>MINISTER OF FINANCE</w:t>
      </w:r>
      <w:r>
        <w:rPr>
          <w:rFonts w:ascii="Arial" w:hAnsi="Arial"/>
          <w:b/>
          <w:bCs/>
          <w:sz w:val="24"/>
          <w:szCs w:val="24"/>
        </w:rPr>
        <w:tab/>
      </w:r>
      <w:r>
        <w:rPr>
          <w:rFonts w:ascii="Arial" w:hAnsi="Arial"/>
          <w:b/>
          <w:bCs/>
          <w:sz w:val="24"/>
          <w:szCs w:val="24"/>
        </w:rPr>
        <w:tab/>
      </w:r>
      <w:r w:rsidRPr="008B13F6">
        <w:rPr>
          <w:rFonts w:ascii="Arial" w:hAnsi="Arial"/>
          <w:b/>
          <w:bCs/>
          <w:sz w:val="24"/>
          <w:szCs w:val="24"/>
        </w:rPr>
        <w:tab/>
      </w:r>
      <w:r>
        <w:rPr>
          <w:rFonts w:ascii="Arial" w:hAnsi="Arial"/>
          <w:b/>
          <w:bCs/>
          <w:sz w:val="24"/>
          <w:szCs w:val="24"/>
        </w:rPr>
        <w:tab/>
      </w:r>
      <w:r>
        <w:rPr>
          <w:rFonts w:ascii="Arial" w:hAnsi="Arial"/>
          <w:sz w:val="24"/>
          <w:szCs w:val="24"/>
        </w:rPr>
        <w:t>2</w:t>
      </w:r>
      <w:r w:rsidRPr="004263E4">
        <w:rPr>
          <w:rFonts w:ascii="Arial" w:hAnsi="Arial"/>
          <w:sz w:val="24"/>
          <w:szCs w:val="24"/>
          <w:vertAlign w:val="superscript"/>
        </w:rPr>
        <w:t>nd</w:t>
      </w:r>
      <w:r>
        <w:rPr>
          <w:rFonts w:ascii="Arial" w:hAnsi="Arial"/>
          <w:sz w:val="24"/>
          <w:szCs w:val="24"/>
        </w:rPr>
        <w:t xml:space="preserve"> Respondent</w:t>
      </w:r>
    </w:p>
    <w:p w14:paraId="0C2B9681"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p>
    <w:p w14:paraId="7F39928C"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sz w:val="24"/>
          <w:szCs w:val="24"/>
        </w:rPr>
      </w:pPr>
      <w:r>
        <w:rPr>
          <w:rFonts w:ascii="Arial" w:hAnsi="Arial"/>
          <w:b/>
          <w:bCs/>
          <w:sz w:val="24"/>
          <w:szCs w:val="24"/>
        </w:rPr>
        <w:t>NATIONAL DIRECTOR OF PUBLIC PROSECUTIONS</w:t>
      </w:r>
      <w:r w:rsidRPr="008B13F6">
        <w:rPr>
          <w:rFonts w:ascii="Arial" w:hAnsi="Arial"/>
          <w:b/>
          <w:bCs/>
          <w:sz w:val="24"/>
          <w:szCs w:val="24"/>
        </w:rPr>
        <w:tab/>
      </w:r>
      <w:r>
        <w:rPr>
          <w:rFonts w:ascii="Arial" w:hAnsi="Arial"/>
          <w:sz w:val="24"/>
          <w:szCs w:val="24"/>
        </w:rPr>
        <w:t>3</w:t>
      </w:r>
      <w:r w:rsidRPr="004263E4">
        <w:rPr>
          <w:rFonts w:ascii="Arial" w:hAnsi="Arial"/>
          <w:sz w:val="24"/>
          <w:szCs w:val="24"/>
          <w:vertAlign w:val="superscript"/>
        </w:rPr>
        <w:t>rd</w:t>
      </w:r>
      <w:r>
        <w:rPr>
          <w:rFonts w:ascii="Arial" w:hAnsi="Arial"/>
          <w:sz w:val="24"/>
          <w:szCs w:val="24"/>
        </w:rPr>
        <w:t xml:space="preserve"> Respondent</w:t>
      </w:r>
    </w:p>
    <w:p w14:paraId="5EB81432"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p>
    <w:p w14:paraId="56EBAE6F"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 xml:space="preserve">MINISTER OF JUSTICE AND </w:t>
      </w:r>
    </w:p>
    <w:p w14:paraId="2A8FC439" w14:textId="77777777" w:rsidR="004263E4" w:rsidRDefault="004263E4" w:rsidP="004263E4">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26"/>
        </w:tabs>
        <w:spacing w:after="0" w:line="360" w:lineRule="auto"/>
        <w:rPr>
          <w:rFonts w:ascii="Arial" w:hAnsi="Arial"/>
          <w:sz w:val="24"/>
          <w:szCs w:val="24"/>
        </w:rPr>
      </w:pPr>
      <w:r>
        <w:rPr>
          <w:rFonts w:ascii="Arial" w:hAnsi="Arial"/>
          <w:b/>
          <w:bCs/>
          <w:sz w:val="24"/>
          <w:szCs w:val="24"/>
        </w:rPr>
        <w:t>CONSITITUTIONAL DEVELOPMENT</w:t>
      </w:r>
      <w:r>
        <w:rPr>
          <w:rFonts w:ascii="Arial" w:hAnsi="Arial"/>
          <w:b/>
          <w:bCs/>
          <w:sz w:val="24"/>
          <w:szCs w:val="24"/>
        </w:rPr>
        <w:tab/>
      </w:r>
      <w:r>
        <w:rPr>
          <w:rFonts w:ascii="Arial" w:hAnsi="Arial"/>
          <w:b/>
          <w:bCs/>
          <w:sz w:val="24"/>
          <w:szCs w:val="24"/>
        </w:rPr>
        <w:tab/>
      </w:r>
      <w:r w:rsidRPr="008B13F6">
        <w:rPr>
          <w:rFonts w:ascii="Arial" w:hAnsi="Arial"/>
          <w:b/>
          <w:bCs/>
          <w:sz w:val="24"/>
          <w:szCs w:val="24"/>
        </w:rPr>
        <w:tab/>
      </w:r>
      <w:r>
        <w:rPr>
          <w:rFonts w:ascii="Arial" w:hAnsi="Arial"/>
          <w:b/>
          <w:bCs/>
          <w:sz w:val="24"/>
          <w:szCs w:val="24"/>
        </w:rPr>
        <w:tab/>
      </w:r>
      <w:r>
        <w:rPr>
          <w:rFonts w:ascii="Arial" w:hAnsi="Arial"/>
          <w:sz w:val="24"/>
          <w:szCs w:val="24"/>
        </w:rPr>
        <w:t>4</w:t>
      </w:r>
      <w:r w:rsidRPr="004263E4">
        <w:rPr>
          <w:rFonts w:ascii="Arial" w:hAnsi="Arial"/>
          <w:sz w:val="24"/>
          <w:szCs w:val="24"/>
          <w:vertAlign w:val="superscript"/>
        </w:rPr>
        <w:t>th</w:t>
      </w:r>
      <w:r>
        <w:rPr>
          <w:rFonts w:ascii="Arial" w:hAnsi="Arial"/>
          <w:sz w:val="24"/>
          <w:szCs w:val="24"/>
        </w:rPr>
        <w:t xml:space="preserve"> Respondent</w:t>
      </w:r>
    </w:p>
    <w:p w14:paraId="686787C3"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5E83D982" wp14:editId="033C2FFD">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E73A1B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6D02180"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14:paraId="59A20749"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34925">
        <w:rPr>
          <w:rFonts w:ascii="Arial" w:hAnsi="Arial" w:cs="Arial"/>
          <w:bCs/>
          <w:sz w:val="24"/>
          <w:szCs w:val="24"/>
        </w:rPr>
        <w:t>N</w:t>
      </w:r>
      <w:r w:rsidRPr="000C217E">
        <w:rPr>
          <w:rFonts w:ascii="Arial" w:hAnsi="Arial" w:cs="Arial"/>
          <w:bCs/>
          <w:sz w:val="24"/>
          <w:szCs w:val="24"/>
        </w:rPr>
        <w:t xml:space="preserve">. </w:t>
      </w:r>
      <w:r w:rsidR="00D34925">
        <w:rPr>
          <w:rFonts w:ascii="Arial" w:hAnsi="Arial" w:cs="Arial"/>
          <w:bCs/>
          <w:sz w:val="24"/>
          <w:szCs w:val="24"/>
        </w:rPr>
        <w:t>M</w:t>
      </w:r>
      <w:r w:rsidRPr="000C217E">
        <w:rPr>
          <w:rFonts w:ascii="Arial" w:hAnsi="Arial" w:cs="Arial"/>
          <w:bCs/>
          <w:sz w:val="24"/>
          <w:szCs w:val="24"/>
        </w:rPr>
        <w:t>.</w:t>
      </w:r>
      <w:r w:rsidRPr="000C217E">
        <w:rPr>
          <w:rFonts w:ascii="Arial" w:hAnsi="Arial"/>
          <w:sz w:val="24"/>
          <w:szCs w:val="24"/>
        </w:rPr>
        <w:t xml:space="preserve"> </w:t>
      </w:r>
      <w:r>
        <w:rPr>
          <w:rFonts w:ascii="Arial" w:hAnsi="Arial"/>
          <w:sz w:val="24"/>
          <w:szCs w:val="24"/>
        </w:rPr>
        <w:t>M</w:t>
      </w:r>
      <w:r w:rsidR="00D34925">
        <w:rPr>
          <w:rFonts w:ascii="Arial" w:hAnsi="Arial"/>
          <w:sz w:val="24"/>
          <w:szCs w:val="24"/>
        </w:rPr>
        <w:t>BHELE</w:t>
      </w:r>
      <w:r>
        <w:rPr>
          <w:rFonts w:ascii="Arial" w:hAnsi="Arial"/>
          <w:sz w:val="24"/>
          <w:szCs w:val="24"/>
        </w:rPr>
        <w:t xml:space="preserve">, </w:t>
      </w:r>
      <w:r w:rsidR="00D34925">
        <w:rPr>
          <w:rFonts w:ascii="Arial" w:hAnsi="Arial"/>
          <w:sz w:val="24"/>
          <w:szCs w:val="24"/>
        </w:rPr>
        <w:t>A</w:t>
      </w:r>
      <w:r>
        <w:rPr>
          <w:rFonts w:ascii="Arial" w:hAnsi="Arial"/>
          <w:sz w:val="24"/>
          <w:szCs w:val="24"/>
        </w:rPr>
        <w:t>JP</w:t>
      </w:r>
    </w:p>
    <w:p w14:paraId="37FE68EA"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3709B5A2" wp14:editId="0A89CE97">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146A134"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60BBA57"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14:paraId="7AF87391"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HEARD ON:</w:t>
      </w:r>
      <w:r>
        <w:rPr>
          <w:rFonts w:ascii="Arial" w:hAnsi="Arial" w:cs="Arial"/>
          <w:sz w:val="24"/>
          <w:szCs w:val="24"/>
        </w:rPr>
        <w:tab/>
      </w:r>
      <w:r>
        <w:rPr>
          <w:rFonts w:ascii="Arial" w:hAnsi="Arial" w:cs="Arial"/>
          <w:sz w:val="24"/>
          <w:szCs w:val="24"/>
        </w:rPr>
        <w:tab/>
      </w:r>
      <w:r>
        <w:rPr>
          <w:rFonts w:ascii="Arial" w:hAnsi="Arial" w:cs="Arial"/>
          <w:sz w:val="24"/>
          <w:szCs w:val="24"/>
        </w:rPr>
        <w:tab/>
      </w:r>
      <w:r w:rsidR="008B67BE">
        <w:rPr>
          <w:rFonts w:ascii="Arial" w:hAnsi="Arial" w:cs="Arial"/>
          <w:sz w:val="24"/>
          <w:szCs w:val="24"/>
        </w:rPr>
        <w:t>28 JULY 2022</w:t>
      </w:r>
    </w:p>
    <w:p w14:paraId="28768B52"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3C72CF4" wp14:editId="6B146C06">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21FB68A"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6CB9630"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14:paraId="2B4DA1A1" w14:textId="77777777"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Pr>
          <w:rFonts w:ascii="Arial" w:hAnsi="Arial" w:cs="Arial"/>
          <w:sz w:val="24"/>
          <w:szCs w:val="24"/>
        </w:rPr>
        <w:tab/>
      </w:r>
      <w:r w:rsidR="00F55383">
        <w:rPr>
          <w:rFonts w:ascii="Arial" w:hAnsi="Arial" w:cs="Arial"/>
          <w:sz w:val="24"/>
          <w:szCs w:val="24"/>
        </w:rPr>
        <w:t>21 NOVEMBER 2022</w:t>
      </w:r>
    </w:p>
    <w:p w14:paraId="5C3E706F" w14:textId="77777777" w:rsidR="00302938" w:rsidRPr="00FD136B"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098104CA" wp14:editId="35A16E5C">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1CB8C36"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626C2F15" w14:textId="77777777" w:rsidR="00555FDF" w:rsidRDefault="001913D9" w:rsidP="008B67BE">
      <w:pPr>
        <w:spacing w:after="0" w:line="360" w:lineRule="auto"/>
        <w:ind w:left="709" w:hanging="709"/>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DB35E9">
        <w:rPr>
          <w:rFonts w:ascii="Arial" w:hAnsi="Arial" w:cs="Arial"/>
          <w:sz w:val="24"/>
          <w:szCs w:val="24"/>
        </w:rPr>
        <w:t>The applicants are seeking a declaratory order declaring Section 235 and  222 (read with</w:t>
      </w:r>
      <w:r w:rsidR="00BF48A7">
        <w:rPr>
          <w:rFonts w:ascii="Arial" w:hAnsi="Arial" w:cs="Arial"/>
          <w:sz w:val="24"/>
          <w:szCs w:val="24"/>
        </w:rPr>
        <w:t xml:space="preserve"> section 223) of the Tax Adminis</w:t>
      </w:r>
      <w:r w:rsidR="00DB35E9">
        <w:rPr>
          <w:rFonts w:ascii="Arial" w:hAnsi="Arial" w:cs="Arial"/>
          <w:sz w:val="24"/>
          <w:szCs w:val="24"/>
        </w:rPr>
        <w:t xml:space="preserve">tration Act 28 of 2011 ( TAA) unconstitutional. </w:t>
      </w:r>
    </w:p>
    <w:p w14:paraId="6B5733E2" w14:textId="77777777" w:rsidR="00D34925" w:rsidRDefault="00D34925" w:rsidP="008B67BE">
      <w:pPr>
        <w:spacing w:after="0" w:line="360" w:lineRule="auto"/>
        <w:ind w:left="709" w:hanging="709"/>
        <w:jc w:val="both"/>
        <w:rPr>
          <w:rFonts w:ascii="Arial" w:hAnsi="Arial" w:cs="Arial"/>
          <w:sz w:val="24"/>
          <w:szCs w:val="24"/>
        </w:rPr>
      </w:pPr>
    </w:p>
    <w:p w14:paraId="0B6E5D97" w14:textId="77777777" w:rsidR="00D34925" w:rsidRDefault="00D34925" w:rsidP="008B67BE">
      <w:pPr>
        <w:spacing w:after="0" w:line="36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DB35E9">
        <w:rPr>
          <w:rFonts w:ascii="Arial" w:hAnsi="Arial" w:cs="Arial"/>
          <w:sz w:val="24"/>
          <w:szCs w:val="24"/>
        </w:rPr>
        <w:t xml:space="preserve">The relief sought by  the applicants is on the following terms and grounds: </w:t>
      </w:r>
    </w:p>
    <w:p w14:paraId="24092055" w14:textId="77777777" w:rsidR="00DB35E9" w:rsidRPr="00E64D45" w:rsidRDefault="00DB35E9" w:rsidP="008B67BE">
      <w:pPr>
        <w:spacing w:after="0" w:line="360" w:lineRule="auto"/>
        <w:ind w:left="709" w:hanging="709"/>
        <w:jc w:val="both"/>
        <w:rPr>
          <w:rFonts w:ascii="Arial" w:hAnsi="Arial" w:cs="Arial"/>
          <w:sz w:val="24"/>
          <w:szCs w:val="24"/>
        </w:rPr>
      </w:pPr>
      <w:r>
        <w:rPr>
          <w:rFonts w:ascii="Arial" w:hAnsi="Arial" w:cs="Arial"/>
          <w:sz w:val="24"/>
          <w:szCs w:val="24"/>
        </w:rPr>
        <w:t xml:space="preserve">          2.1 declaring section </w:t>
      </w:r>
      <w:r w:rsidR="00F55383">
        <w:rPr>
          <w:rFonts w:ascii="Arial" w:hAnsi="Arial" w:cs="Arial"/>
          <w:sz w:val="24"/>
          <w:szCs w:val="24"/>
        </w:rPr>
        <w:t>235 and</w:t>
      </w:r>
      <w:r w:rsidR="00E64D45">
        <w:rPr>
          <w:rFonts w:ascii="Arial" w:hAnsi="Arial" w:cs="Arial"/>
          <w:sz w:val="24"/>
          <w:szCs w:val="24"/>
        </w:rPr>
        <w:t xml:space="preserve"> 222 of TAA (read with section 223); to th</w:t>
      </w:r>
      <w:r w:rsidR="00492471">
        <w:rPr>
          <w:rFonts w:ascii="Arial" w:hAnsi="Arial" w:cs="Arial"/>
          <w:sz w:val="24"/>
          <w:szCs w:val="24"/>
        </w:rPr>
        <w:t>e</w:t>
      </w:r>
      <w:r w:rsidR="00E64D45">
        <w:rPr>
          <w:rFonts w:ascii="Arial" w:hAnsi="Arial" w:cs="Arial"/>
          <w:sz w:val="24"/>
          <w:szCs w:val="24"/>
        </w:rPr>
        <w:t xml:space="preserve"> extent that it allows the first respondent [ hereafter the </w:t>
      </w:r>
      <w:r w:rsidR="00F55383">
        <w:rPr>
          <w:rFonts w:ascii="Arial" w:hAnsi="Arial" w:cs="Arial"/>
          <w:sz w:val="24"/>
          <w:szCs w:val="24"/>
        </w:rPr>
        <w:t>“Commissioner”]</w:t>
      </w:r>
      <w:r w:rsidR="00E64D45">
        <w:rPr>
          <w:rFonts w:ascii="Arial" w:hAnsi="Arial" w:cs="Arial"/>
          <w:sz w:val="24"/>
          <w:szCs w:val="24"/>
        </w:rPr>
        <w:t xml:space="preserve"> to criminally punish the taxpayer twice for the same criminal offence of </w:t>
      </w:r>
      <w:r w:rsidR="00E64D45">
        <w:rPr>
          <w:rFonts w:ascii="Arial" w:hAnsi="Arial" w:cs="Arial"/>
          <w:i/>
          <w:sz w:val="24"/>
          <w:szCs w:val="24"/>
        </w:rPr>
        <w:t xml:space="preserve">intentional tax </w:t>
      </w:r>
      <w:r w:rsidR="009909D3">
        <w:rPr>
          <w:rFonts w:ascii="Arial" w:hAnsi="Arial" w:cs="Arial"/>
          <w:i/>
          <w:sz w:val="24"/>
          <w:szCs w:val="24"/>
        </w:rPr>
        <w:t>evasion:</w:t>
      </w:r>
      <w:r w:rsidR="00E64D45">
        <w:rPr>
          <w:rFonts w:ascii="Arial" w:hAnsi="Arial" w:cs="Arial"/>
          <w:sz w:val="24"/>
          <w:szCs w:val="24"/>
        </w:rPr>
        <w:t xml:space="preserve"> inconsistent with the constitution and therefore invalid. </w:t>
      </w:r>
    </w:p>
    <w:p w14:paraId="0D2A1262" w14:textId="77777777" w:rsidR="00CA182C" w:rsidRDefault="00CA182C" w:rsidP="008B67BE">
      <w:pPr>
        <w:spacing w:after="0" w:line="360" w:lineRule="auto"/>
        <w:ind w:left="709" w:hanging="709"/>
        <w:jc w:val="both"/>
        <w:rPr>
          <w:rFonts w:ascii="Arial" w:hAnsi="Arial" w:cs="Arial"/>
          <w:sz w:val="24"/>
          <w:szCs w:val="24"/>
        </w:rPr>
      </w:pPr>
    </w:p>
    <w:p w14:paraId="220FE13E" w14:textId="1F321822" w:rsidR="00CA182C" w:rsidRDefault="00CA182C" w:rsidP="008B67BE">
      <w:pPr>
        <w:spacing w:after="0" w:line="36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7D162D">
        <w:rPr>
          <w:rFonts w:ascii="Arial" w:hAnsi="Arial" w:cs="Arial"/>
          <w:sz w:val="24"/>
          <w:szCs w:val="24"/>
        </w:rPr>
        <w:t>The gravamen of the applicants’ complaint is that the impugned statutory provisions in the TAA violate their</w:t>
      </w:r>
      <w:r w:rsidR="004624D2">
        <w:rPr>
          <w:rFonts w:ascii="Arial" w:hAnsi="Arial" w:cs="Arial"/>
          <w:sz w:val="24"/>
          <w:szCs w:val="24"/>
        </w:rPr>
        <w:t xml:space="preserve"> rights to a fair trial </w:t>
      </w:r>
      <w:r w:rsidR="007D162D">
        <w:rPr>
          <w:rFonts w:ascii="Arial" w:hAnsi="Arial" w:cs="Arial"/>
          <w:sz w:val="24"/>
          <w:szCs w:val="24"/>
        </w:rPr>
        <w:t>in that the applicants were already found guilty of intentional tax invasion by the Comm</w:t>
      </w:r>
      <w:r w:rsidR="004F7DAB">
        <w:rPr>
          <w:rFonts w:ascii="Arial" w:hAnsi="Arial" w:cs="Arial"/>
          <w:sz w:val="24"/>
          <w:szCs w:val="24"/>
        </w:rPr>
        <w:t xml:space="preserve">issioner and a sanction was imposed </w:t>
      </w:r>
      <w:r w:rsidR="007D162D">
        <w:rPr>
          <w:rFonts w:ascii="Arial" w:hAnsi="Arial" w:cs="Arial"/>
          <w:sz w:val="24"/>
          <w:szCs w:val="24"/>
        </w:rPr>
        <w:t xml:space="preserve"> in the form of the understatement penalty. </w:t>
      </w:r>
      <w:r w:rsidR="00A453BF">
        <w:rPr>
          <w:rFonts w:ascii="Arial" w:hAnsi="Arial" w:cs="Arial"/>
          <w:sz w:val="24"/>
          <w:szCs w:val="24"/>
        </w:rPr>
        <w:t>They, further, contend that i</w:t>
      </w:r>
      <w:r w:rsidR="007D162D">
        <w:rPr>
          <w:rFonts w:ascii="Arial" w:hAnsi="Arial" w:cs="Arial"/>
          <w:sz w:val="24"/>
          <w:szCs w:val="24"/>
        </w:rPr>
        <w:t>n a subse</w:t>
      </w:r>
      <w:r w:rsidR="00BC077A">
        <w:rPr>
          <w:rFonts w:ascii="Arial" w:hAnsi="Arial" w:cs="Arial"/>
          <w:sz w:val="24"/>
          <w:szCs w:val="24"/>
        </w:rPr>
        <w:t>quent</w:t>
      </w:r>
      <w:r w:rsidR="00A453BF">
        <w:rPr>
          <w:rFonts w:ascii="Arial" w:hAnsi="Arial" w:cs="Arial"/>
          <w:sz w:val="24"/>
          <w:szCs w:val="24"/>
        </w:rPr>
        <w:t xml:space="preserve"> criminal trial the taxpayer cannot tender a plea contrary to </w:t>
      </w:r>
      <w:r w:rsidR="004F7DAB">
        <w:rPr>
          <w:rFonts w:ascii="Arial" w:hAnsi="Arial" w:cs="Arial"/>
          <w:sz w:val="24"/>
          <w:szCs w:val="24"/>
        </w:rPr>
        <w:t xml:space="preserve">the finding of the Commissioner, i.e. guilty of intentional tax </w:t>
      </w:r>
      <w:r w:rsidR="008F7E51">
        <w:rPr>
          <w:rFonts w:ascii="Arial" w:hAnsi="Arial" w:cs="Arial"/>
          <w:sz w:val="24"/>
          <w:szCs w:val="24"/>
        </w:rPr>
        <w:t>e</w:t>
      </w:r>
      <w:r w:rsidR="004F7DAB">
        <w:rPr>
          <w:rFonts w:ascii="Arial" w:hAnsi="Arial" w:cs="Arial"/>
          <w:sz w:val="24"/>
          <w:szCs w:val="24"/>
        </w:rPr>
        <w:t xml:space="preserve">vasion. </w:t>
      </w:r>
    </w:p>
    <w:p w14:paraId="5640BE5F" w14:textId="77777777" w:rsidR="00CA182C" w:rsidRDefault="00CA182C" w:rsidP="008B67BE">
      <w:pPr>
        <w:spacing w:after="0" w:line="360" w:lineRule="auto"/>
        <w:ind w:left="709" w:hanging="709"/>
        <w:jc w:val="both"/>
        <w:rPr>
          <w:rFonts w:ascii="Arial" w:hAnsi="Arial" w:cs="Arial"/>
          <w:sz w:val="24"/>
          <w:szCs w:val="24"/>
        </w:rPr>
      </w:pPr>
    </w:p>
    <w:p w14:paraId="0CD41ADB" w14:textId="77777777" w:rsidR="00CA182C" w:rsidRDefault="00CA182C" w:rsidP="008B67BE">
      <w:pPr>
        <w:spacing w:after="0" w:line="36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4F7DAB">
        <w:rPr>
          <w:rFonts w:ascii="Arial" w:hAnsi="Arial" w:cs="Arial"/>
          <w:sz w:val="24"/>
          <w:szCs w:val="24"/>
        </w:rPr>
        <w:t xml:space="preserve">The issue to be decided is whether or not the </w:t>
      </w:r>
      <w:r w:rsidR="00DC6F22">
        <w:rPr>
          <w:rFonts w:ascii="Arial" w:hAnsi="Arial" w:cs="Arial"/>
          <w:sz w:val="24"/>
          <w:szCs w:val="24"/>
        </w:rPr>
        <w:t>impugned Statutory provisions are unconstitutional and invalid.</w:t>
      </w:r>
      <w:r w:rsidR="00492471">
        <w:rPr>
          <w:rFonts w:ascii="Arial" w:hAnsi="Arial" w:cs="Arial"/>
          <w:sz w:val="24"/>
          <w:szCs w:val="24"/>
        </w:rPr>
        <w:t xml:space="preserve"> The application is opposed by first and second respondents only. The third and fourth respondents abide by the decision of the court. </w:t>
      </w:r>
    </w:p>
    <w:p w14:paraId="4016FCF4" w14:textId="77777777" w:rsidR="00CA182C" w:rsidRDefault="00CA182C" w:rsidP="008B67BE">
      <w:pPr>
        <w:spacing w:after="0" w:line="360" w:lineRule="auto"/>
        <w:ind w:left="709" w:hanging="709"/>
        <w:jc w:val="both"/>
        <w:rPr>
          <w:rFonts w:ascii="Arial" w:hAnsi="Arial" w:cs="Arial"/>
          <w:sz w:val="24"/>
          <w:szCs w:val="24"/>
        </w:rPr>
      </w:pPr>
    </w:p>
    <w:p w14:paraId="4CF2FBB9" w14:textId="77777777" w:rsidR="00CA182C" w:rsidRDefault="00CA182C" w:rsidP="008B67BE">
      <w:pPr>
        <w:spacing w:after="0" w:line="36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CB2F8E">
        <w:rPr>
          <w:rFonts w:ascii="Arial" w:hAnsi="Arial" w:cs="Arial"/>
          <w:sz w:val="24"/>
          <w:szCs w:val="24"/>
        </w:rPr>
        <w:t xml:space="preserve">The facts in this matter are largely common cause. </w:t>
      </w:r>
      <w:r w:rsidR="00DC6F22">
        <w:rPr>
          <w:rFonts w:ascii="Arial" w:hAnsi="Arial" w:cs="Arial"/>
          <w:sz w:val="24"/>
          <w:szCs w:val="24"/>
        </w:rPr>
        <w:t xml:space="preserve">The second applicant is registered with the South African Receiver of Revenue Services </w:t>
      </w:r>
      <w:r w:rsidR="007B214A">
        <w:rPr>
          <w:rFonts w:ascii="Arial" w:hAnsi="Arial" w:cs="Arial"/>
          <w:sz w:val="24"/>
          <w:szCs w:val="24"/>
        </w:rPr>
        <w:t>(SARS) as a Value Added Tax(VAT) vendor  in terms of the VAT Act 89 of 1991. The second applicant wa</w:t>
      </w:r>
      <w:r w:rsidR="00A50FA7">
        <w:rPr>
          <w:rFonts w:ascii="Arial" w:hAnsi="Arial" w:cs="Arial"/>
          <w:sz w:val="24"/>
          <w:szCs w:val="24"/>
        </w:rPr>
        <w:t>s obliged to submit returns for remittance of VAT on the prescribed form ever</w:t>
      </w:r>
      <w:r w:rsidR="00492471">
        <w:rPr>
          <w:rFonts w:ascii="Arial" w:hAnsi="Arial" w:cs="Arial"/>
          <w:sz w:val="24"/>
          <w:szCs w:val="24"/>
        </w:rPr>
        <w:t>y</w:t>
      </w:r>
      <w:r w:rsidR="00A50FA7">
        <w:rPr>
          <w:rFonts w:ascii="Arial" w:hAnsi="Arial" w:cs="Arial"/>
          <w:sz w:val="24"/>
          <w:szCs w:val="24"/>
        </w:rPr>
        <w:t xml:space="preserve"> second u</w:t>
      </w:r>
      <w:r w:rsidR="00492471">
        <w:rPr>
          <w:rFonts w:ascii="Arial" w:hAnsi="Arial" w:cs="Arial"/>
          <w:sz w:val="24"/>
          <w:szCs w:val="24"/>
        </w:rPr>
        <w:t xml:space="preserve">neven month as prescribed </w:t>
      </w:r>
      <w:r w:rsidR="009909D3">
        <w:rPr>
          <w:rFonts w:ascii="Arial" w:hAnsi="Arial" w:cs="Arial"/>
          <w:sz w:val="24"/>
          <w:szCs w:val="24"/>
        </w:rPr>
        <w:t>by the</w:t>
      </w:r>
      <w:r w:rsidR="00492471">
        <w:rPr>
          <w:rFonts w:ascii="Arial" w:hAnsi="Arial" w:cs="Arial"/>
          <w:sz w:val="24"/>
          <w:szCs w:val="24"/>
        </w:rPr>
        <w:t xml:space="preserve"> </w:t>
      </w:r>
      <w:r w:rsidR="00A50FA7">
        <w:rPr>
          <w:rFonts w:ascii="Arial" w:hAnsi="Arial" w:cs="Arial"/>
          <w:sz w:val="24"/>
          <w:szCs w:val="24"/>
        </w:rPr>
        <w:t xml:space="preserve">VAT Act. </w:t>
      </w:r>
    </w:p>
    <w:p w14:paraId="20AFD54E" w14:textId="77777777" w:rsidR="009909D3" w:rsidRDefault="009909D3" w:rsidP="008B67BE">
      <w:pPr>
        <w:spacing w:after="0" w:line="360" w:lineRule="auto"/>
        <w:ind w:left="709" w:hanging="709"/>
        <w:jc w:val="both"/>
        <w:rPr>
          <w:rFonts w:ascii="Arial" w:hAnsi="Arial" w:cs="Arial"/>
          <w:sz w:val="24"/>
          <w:szCs w:val="24"/>
        </w:rPr>
      </w:pPr>
    </w:p>
    <w:p w14:paraId="1496D6CC" w14:textId="77777777" w:rsidR="00CA182C" w:rsidRDefault="00CA182C" w:rsidP="008B67BE">
      <w:pPr>
        <w:spacing w:after="0" w:line="360" w:lineRule="auto"/>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r>
      <w:r w:rsidR="00A50FA7">
        <w:rPr>
          <w:rFonts w:ascii="Arial" w:hAnsi="Arial" w:cs="Arial"/>
          <w:sz w:val="24"/>
          <w:szCs w:val="24"/>
        </w:rPr>
        <w:t xml:space="preserve">The second applicant is also registered with SARS for Income Tax in terms of the Income Tax Act 58 of 1962 (ITA). </w:t>
      </w:r>
      <w:r w:rsidR="00CB2F8E">
        <w:rPr>
          <w:rFonts w:ascii="Arial" w:hAnsi="Arial" w:cs="Arial"/>
          <w:sz w:val="24"/>
          <w:szCs w:val="24"/>
        </w:rPr>
        <w:t xml:space="preserve"> During January 2019 SARS </w:t>
      </w:r>
      <w:r w:rsidR="00A25C17">
        <w:rPr>
          <w:rFonts w:ascii="Arial" w:hAnsi="Arial" w:cs="Arial"/>
          <w:sz w:val="24"/>
          <w:szCs w:val="24"/>
        </w:rPr>
        <w:t>co</w:t>
      </w:r>
      <w:r w:rsidR="00CB2F8E">
        <w:rPr>
          <w:rFonts w:ascii="Arial" w:hAnsi="Arial" w:cs="Arial"/>
          <w:sz w:val="24"/>
          <w:szCs w:val="24"/>
        </w:rPr>
        <w:t>nducted a full scope audit of the second applic</w:t>
      </w:r>
      <w:r w:rsidR="00492471">
        <w:rPr>
          <w:rFonts w:ascii="Arial" w:hAnsi="Arial" w:cs="Arial"/>
          <w:sz w:val="24"/>
          <w:szCs w:val="24"/>
        </w:rPr>
        <w:t xml:space="preserve">ant for VAT over the </w:t>
      </w:r>
      <w:r w:rsidR="009909D3">
        <w:rPr>
          <w:rFonts w:ascii="Arial" w:hAnsi="Arial" w:cs="Arial"/>
          <w:sz w:val="24"/>
          <w:szCs w:val="24"/>
        </w:rPr>
        <w:t>period covering</w:t>
      </w:r>
      <w:r w:rsidR="00492471">
        <w:rPr>
          <w:rFonts w:ascii="Arial" w:hAnsi="Arial" w:cs="Arial"/>
          <w:sz w:val="24"/>
          <w:szCs w:val="24"/>
        </w:rPr>
        <w:t xml:space="preserve"> March 2014 to July 2018 and Cor</w:t>
      </w:r>
      <w:r w:rsidR="00CB2F8E">
        <w:rPr>
          <w:rFonts w:ascii="Arial" w:hAnsi="Arial" w:cs="Arial"/>
          <w:sz w:val="24"/>
          <w:szCs w:val="24"/>
        </w:rPr>
        <w:t>porate Inco</w:t>
      </w:r>
      <w:r w:rsidR="00492471">
        <w:rPr>
          <w:rFonts w:ascii="Arial" w:hAnsi="Arial" w:cs="Arial"/>
          <w:sz w:val="24"/>
          <w:szCs w:val="24"/>
        </w:rPr>
        <w:t>m</w:t>
      </w:r>
      <w:r w:rsidR="00CB2F8E">
        <w:rPr>
          <w:rFonts w:ascii="Arial" w:hAnsi="Arial" w:cs="Arial"/>
          <w:sz w:val="24"/>
          <w:szCs w:val="24"/>
        </w:rPr>
        <w:t xml:space="preserve">e Tax(CIT) for the 2015, 2016 and 2017 tax years. </w:t>
      </w:r>
      <w:r w:rsidR="00A25C17">
        <w:rPr>
          <w:rFonts w:ascii="Arial" w:hAnsi="Arial" w:cs="Arial"/>
          <w:sz w:val="24"/>
          <w:szCs w:val="24"/>
        </w:rPr>
        <w:t xml:space="preserve">Over the relevant period, the second respondent had submitted all VAT and CIT returns to SARS as zero returns, each of  the returns </w:t>
      </w:r>
      <w:r w:rsidR="00A25C17">
        <w:rPr>
          <w:rFonts w:ascii="Arial" w:hAnsi="Arial" w:cs="Arial"/>
          <w:sz w:val="24"/>
          <w:szCs w:val="24"/>
        </w:rPr>
        <w:lastRenderedPageBreak/>
        <w:t xml:space="preserve">indicated that the second applicant had generated no income and incurred no expenses. </w:t>
      </w:r>
    </w:p>
    <w:p w14:paraId="79BB1231" w14:textId="77777777" w:rsidR="00CA182C" w:rsidRDefault="00CA182C" w:rsidP="008B67BE">
      <w:pPr>
        <w:spacing w:after="0" w:line="360" w:lineRule="auto"/>
        <w:ind w:left="709" w:hanging="709"/>
        <w:jc w:val="both"/>
        <w:rPr>
          <w:rFonts w:ascii="Arial" w:hAnsi="Arial" w:cs="Arial"/>
          <w:sz w:val="24"/>
          <w:szCs w:val="24"/>
        </w:rPr>
      </w:pPr>
    </w:p>
    <w:p w14:paraId="18B5E9F3" w14:textId="77777777" w:rsidR="00CA182C" w:rsidRDefault="00CA182C" w:rsidP="008B67BE">
      <w:pPr>
        <w:spacing w:after="0"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83249E">
        <w:rPr>
          <w:rFonts w:ascii="Arial" w:hAnsi="Arial" w:cs="Arial"/>
          <w:sz w:val="24"/>
          <w:szCs w:val="24"/>
        </w:rPr>
        <w:t xml:space="preserve">SARS sent an audit finding letter to the applicants setting out </w:t>
      </w:r>
      <w:r w:rsidR="00044D5D">
        <w:rPr>
          <w:rFonts w:ascii="Arial" w:hAnsi="Arial" w:cs="Arial"/>
          <w:sz w:val="24"/>
          <w:szCs w:val="24"/>
        </w:rPr>
        <w:t xml:space="preserve">the findings of the audit and afforded </w:t>
      </w:r>
      <w:r w:rsidR="009011B8">
        <w:rPr>
          <w:rFonts w:ascii="Arial" w:hAnsi="Arial" w:cs="Arial"/>
          <w:sz w:val="24"/>
          <w:szCs w:val="24"/>
        </w:rPr>
        <w:t xml:space="preserve">the applicants 21 days to provide reasons why they did not agree with the findings. It further afforded the applicants 21 days within which to supply reasons why understatement penalties should not be levied. </w:t>
      </w:r>
      <w:r w:rsidR="001B6204">
        <w:rPr>
          <w:rFonts w:ascii="Arial" w:hAnsi="Arial" w:cs="Arial"/>
          <w:sz w:val="24"/>
          <w:szCs w:val="24"/>
        </w:rPr>
        <w:t xml:space="preserve">The applicants did not dispute SARS’ calculation of tax liability. </w:t>
      </w:r>
      <w:r w:rsidR="009011B8">
        <w:rPr>
          <w:rFonts w:ascii="Arial" w:hAnsi="Arial" w:cs="Arial"/>
          <w:sz w:val="24"/>
          <w:szCs w:val="24"/>
        </w:rPr>
        <w:t xml:space="preserve"> </w:t>
      </w:r>
    </w:p>
    <w:p w14:paraId="15DCC468" w14:textId="77777777" w:rsidR="00CA182C" w:rsidRDefault="00CA182C" w:rsidP="008B67BE">
      <w:pPr>
        <w:spacing w:after="0" w:line="360" w:lineRule="auto"/>
        <w:ind w:left="709" w:hanging="709"/>
        <w:jc w:val="both"/>
        <w:rPr>
          <w:rFonts w:ascii="Arial" w:hAnsi="Arial" w:cs="Arial"/>
          <w:sz w:val="24"/>
          <w:szCs w:val="24"/>
        </w:rPr>
      </w:pPr>
    </w:p>
    <w:p w14:paraId="516774F0" w14:textId="3ED7B08D" w:rsidR="00CA182C" w:rsidRDefault="009909D3" w:rsidP="008B67BE">
      <w:pPr>
        <w:spacing w:after="0" w:line="360" w:lineRule="auto"/>
        <w:ind w:left="709" w:hanging="709"/>
        <w:jc w:val="both"/>
        <w:rPr>
          <w:rFonts w:ascii="Arial" w:hAnsi="Arial" w:cs="Arial"/>
          <w:sz w:val="24"/>
          <w:szCs w:val="24"/>
        </w:rPr>
      </w:pPr>
      <w:r>
        <w:rPr>
          <w:rFonts w:ascii="Arial" w:hAnsi="Arial" w:cs="Arial"/>
          <w:sz w:val="24"/>
          <w:szCs w:val="24"/>
        </w:rPr>
        <w:t>[8</w:t>
      </w:r>
      <w:r w:rsidR="00CA182C">
        <w:rPr>
          <w:rFonts w:ascii="Arial" w:hAnsi="Arial" w:cs="Arial"/>
          <w:sz w:val="24"/>
          <w:szCs w:val="24"/>
        </w:rPr>
        <w:t>]</w:t>
      </w:r>
      <w:r w:rsidR="00CA182C">
        <w:rPr>
          <w:rFonts w:ascii="Arial" w:hAnsi="Arial" w:cs="Arial"/>
          <w:sz w:val="24"/>
          <w:szCs w:val="24"/>
        </w:rPr>
        <w:tab/>
      </w:r>
      <w:r w:rsidR="00492471">
        <w:rPr>
          <w:rFonts w:ascii="Arial" w:hAnsi="Arial" w:cs="Arial"/>
          <w:sz w:val="24"/>
          <w:szCs w:val="24"/>
        </w:rPr>
        <w:t>The applicants admit</w:t>
      </w:r>
      <w:r w:rsidR="001B6204">
        <w:rPr>
          <w:rFonts w:ascii="Arial" w:hAnsi="Arial" w:cs="Arial"/>
          <w:sz w:val="24"/>
          <w:szCs w:val="24"/>
        </w:rPr>
        <w:t xml:space="preserve"> that as </w:t>
      </w:r>
      <w:r>
        <w:rPr>
          <w:rFonts w:ascii="Arial" w:hAnsi="Arial" w:cs="Arial"/>
          <w:sz w:val="24"/>
          <w:szCs w:val="24"/>
        </w:rPr>
        <w:t>a result</w:t>
      </w:r>
      <w:r w:rsidR="001B6204">
        <w:rPr>
          <w:rFonts w:ascii="Arial" w:hAnsi="Arial" w:cs="Arial"/>
          <w:sz w:val="24"/>
          <w:szCs w:val="24"/>
        </w:rPr>
        <w:t xml:space="preserve"> of zero returns SARS suffered a prejudice to the amount of R819 </w:t>
      </w:r>
      <w:r>
        <w:rPr>
          <w:rFonts w:ascii="Arial" w:hAnsi="Arial" w:cs="Arial"/>
          <w:sz w:val="24"/>
          <w:szCs w:val="24"/>
        </w:rPr>
        <w:t>607.09 on</w:t>
      </w:r>
      <w:r w:rsidR="001B6204">
        <w:rPr>
          <w:rFonts w:ascii="Arial" w:hAnsi="Arial" w:cs="Arial"/>
          <w:sz w:val="24"/>
          <w:szCs w:val="24"/>
        </w:rPr>
        <w:t xml:space="preserve"> VAT and R493 600 </w:t>
      </w:r>
      <w:r>
        <w:rPr>
          <w:rFonts w:ascii="Arial" w:hAnsi="Arial" w:cs="Arial"/>
          <w:sz w:val="24"/>
          <w:szCs w:val="24"/>
        </w:rPr>
        <w:t>on Income</w:t>
      </w:r>
      <w:r w:rsidR="001B6204">
        <w:rPr>
          <w:rFonts w:ascii="Arial" w:hAnsi="Arial" w:cs="Arial"/>
          <w:sz w:val="24"/>
          <w:szCs w:val="24"/>
        </w:rPr>
        <w:t xml:space="preserve"> Tax. </w:t>
      </w:r>
      <w:r w:rsidR="00DF3CC0">
        <w:rPr>
          <w:rFonts w:ascii="Arial" w:hAnsi="Arial" w:cs="Arial"/>
          <w:sz w:val="24"/>
          <w:szCs w:val="24"/>
        </w:rPr>
        <w:t xml:space="preserve">SARS levied  10 % late payment penalties  and further imposed 150% understatement penalty on both Income Tax and VAT.  The 150% was imposed for intentional tax </w:t>
      </w:r>
      <w:r w:rsidR="008F7E51">
        <w:rPr>
          <w:rFonts w:ascii="Arial" w:hAnsi="Arial" w:cs="Arial"/>
          <w:sz w:val="24"/>
          <w:szCs w:val="24"/>
        </w:rPr>
        <w:t>e</w:t>
      </w:r>
      <w:r w:rsidR="00DF3CC0">
        <w:rPr>
          <w:rFonts w:ascii="Arial" w:hAnsi="Arial" w:cs="Arial"/>
          <w:sz w:val="24"/>
          <w:szCs w:val="24"/>
        </w:rPr>
        <w:t xml:space="preserve">vasion. </w:t>
      </w:r>
    </w:p>
    <w:p w14:paraId="08FE0D02" w14:textId="77777777" w:rsidR="00CA182C" w:rsidRDefault="00CA182C" w:rsidP="008B67BE">
      <w:pPr>
        <w:spacing w:after="0" w:line="360" w:lineRule="auto"/>
        <w:ind w:left="709" w:hanging="709"/>
        <w:jc w:val="both"/>
        <w:rPr>
          <w:rFonts w:ascii="Arial" w:hAnsi="Arial" w:cs="Arial"/>
          <w:sz w:val="24"/>
          <w:szCs w:val="24"/>
        </w:rPr>
      </w:pPr>
    </w:p>
    <w:p w14:paraId="1545B5D5" w14:textId="77777777" w:rsidR="007919F0" w:rsidRDefault="00097CD2" w:rsidP="008B67BE">
      <w:pPr>
        <w:spacing w:after="0" w:line="360" w:lineRule="auto"/>
        <w:ind w:left="709" w:hanging="709"/>
        <w:jc w:val="both"/>
        <w:rPr>
          <w:rFonts w:ascii="Arial" w:hAnsi="Arial" w:cs="Arial"/>
          <w:sz w:val="24"/>
          <w:szCs w:val="24"/>
        </w:rPr>
      </w:pPr>
      <w:r>
        <w:rPr>
          <w:rFonts w:ascii="Arial" w:hAnsi="Arial" w:cs="Arial"/>
          <w:sz w:val="24"/>
          <w:szCs w:val="24"/>
        </w:rPr>
        <w:t>[9</w:t>
      </w:r>
      <w:r w:rsidR="00CA182C">
        <w:rPr>
          <w:rFonts w:ascii="Arial" w:hAnsi="Arial" w:cs="Arial"/>
          <w:sz w:val="24"/>
          <w:szCs w:val="24"/>
        </w:rPr>
        <w:t>]</w:t>
      </w:r>
      <w:r w:rsidR="00CA182C">
        <w:rPr>
          <w:rFonts w:ascii="Arial" w:hAnsi="Arial" w:cs="Arial"/>
          <w:sz w:val="24"/>
          <w:szCs w:val="24"/>
        </w:rPr>
        <w:tab/>
      </w:r>
      <w:r w:rsidR="00003E2F">
        <w:rPr>
          <w:rFonts w:ascii="Arial" w:hAnsi="Arial" w:cs="Arial"/>
          <w:sz w:val="24"/>
          <w:szCs w:val="24"/>
        </w:rPr>
        <w:t xml:space="preserve">On 15 October </w:t>
      </w:r>
      <w:r>
        <w:rPr>
          <w:rFonts w:ascii="Arial" w:hAnsi="Arial" w:cs="Arial"/>
          <w:sz w:val="24"/>
          <w:szCs w:val="24"/>
        </w:rPr>
        <w:t>2020,</w:t>
      </w:r>
      <w:r w:rsidR="00003E2F">
        <w:rPr>
          <w:rFonts w:ascii="Arial" w:hAnsi="Arial" w:cs="Arial"/>
          <w:sz w:val="24"/>
          <w:szCs w:val="24"/>
        </w:rPr>
        <w:t xml:space="preserve"> first and second applicants were </w:t>
      </w:r>
      <w:r>
        <w:rPr>
          <w:rFonts w:ascii="Arial" w:hAnsi="Arial" w:cs="Arial"/>
          <w:sz w:val="24"/>
          <w:szCs w:val="24"/>
        </w:rPr>
        <w:t>criminally charged for</w:t>
      </w:r>
      <w:r w:rsidR="00003E2F">
        <w:rPr>
          <w:rFonts w:ascii="Arial" w:hAnsi="Arial" w:cs="Arial"/>
          <w:sz w:val="24"/>
          <w:szCs w:val="24"/>
        </w:rPr>
        <w:t xml:space="preserve"> intentional tax invasion. At the beginning of the trial the applicants raised a special plea </w:t>
      </w:r>
      <w:r w:rsidR="0032471B">
        <w:rPr>
          <w:rFonts w:ascii="Arial" w:hAnsi="Arial" w:cs="Arial"/>
          <w:sz w:val="24"/>
          <w:szCs w:val="24"/>
        </w:rPr>
        <w:t xml:space="preserve">in terms of section 106 (1) (c) of the Criminal Procedure Act 51 OF 1977 ( CPA . The special plea was dismissed on the grounds that the conduct of the Committee to levy understatement penalty does not constitute a conviction in terms of the CPA. </w:t>
      </w:r>
    </w:p>
    <w:p w14:paraId="2E5D7762" w14:textId="77777777" w:rsidR="007919F0" w:rsidRDefault="007919F0" w:rsidP="008B67BE">
      <w:pPr>
        <w:spacing w:after="0" w:line="360" w:lineRule="auto"/>
        <w:ind w:left="709" w:hanging="709"/>
        <w:jc w:val="both"/>
        <w:rPr>
          <w:rFonts w:ascii="Arial" w:hAnsi="Arial" w:cs="Arial"/>
          <w:sz w:val="24"/>
          <w:szCs w:val="24"/>
        </w:rPr>
      </w:pPr>
    </w:p>
    <w:p w14:paraId="52B9BD9F" w14:textId="526CB879" w:rsidR="001F4806" w:rsidRDefault="00097CD2" w:rsidP="008B67BE">
      <w:pPr>
        <w:spacing w:after="0" w:line="360" w:lineRule="auto"/>
        <w:ind w:left="709" w:hanging="709"/>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t>The</w:t>
      </w:r>
      <w:r w:rsidR="00C77546">
        <w:rPr>
          <w:rFonts w:ascii="Arial" w:hAnsi="Arial" w:cs="Arial"/>
          <w:sz w:val="24"/>
          <w:szCs w:val="24"/>
        </w:rPr>
        <w:t xml:space="preserve"> first and second </w:t>
      </w:r>
      <w:r>
        <w:rPr>
          <w:rFonts w:ascii="Arial" w:hAnsi="Arial" w:cs="Arial"/>
          <w:sz w:val="24"/>
          <w:szCs w:val="24"/>
        </w:rPr>
        <w:t>respondent contend</w:t>
      </w:r>
      <w:r w:rsidR="008A77D4" w:rsidRPr="008A77D4">
        <w:rPr>
          <w:rFonts w:ascii="Arial" w:hAnsi="Arial" w:cs="Arial"/>
          <w:sz w:val="24"/>
          <w:szCs w:val="24"/>
        </w:rPr>
        <w:t xml:space="preserve"> that the issue of whether </w:t>
      </w:r>
      <w:r w:rsidR="00C77546">
        <w:rPr>
          <w:rFonts w:ascii="Arial" w:hAnsi="Arial" w:cs="Arial"/>
          <w:sz w:val="24"/>
          <w:szCs w:val="24"/>
        </w:rPr>
        <w:t xml:space="preserve">it is permissible to </w:t>
      </w:r>
      <w:r>
        <w:rPr>
          <w:rFonts w:ascii="Arial" w:hAnsi="Arial" w:cs="Arial"/>
          <w:sz w:val="24"/>
          <w:szCs w:val="24"/>
        </w:rPr>
        <w:t>impose both</w:t>
      </w:r>
      <w:r w:rsidR="00C77546">
        <w:rPr>
          <w:rFonts w:ascii="Arial" w:hAnsi="Arial" w:cs="Arial"/>
          <w:sz w:val="24"/>
          <w:szCs w:val="24"/>
        </w:rPr>
        <w:t xml:space="preserve"> </w:t>
      </w:r>
      <w:r w:rsidR="008A77D4" w:rsidRPr="008A77D4">
        <w:rPr>
          <w:rFonts w:ascii="Arial" w:hAnsi="Arial" w:cs="Arial"/>
          <w:sz w:val="24"/>
          <w:szCs w:val="24"/>
        </w:rPr>
        <w:t xml:space="preserve">the </w:t>
      </w:r>
      <w:r w:rsidR="00C77546">
        <w:rPr>
          <w:rFonts w:ascii="Arial" w:hAnsi="Arial" w:cs="Arial"/>
          <w:sz w:val="24"/>
          <w:szCs w:val="24"/>
        </w:rPr>
        <w:t xml:space="preserve">understatement penalties and criminal penalties arising from the same conduct was unsuccessfully </w:t>
      </w:r>
      <w:r>
        <w:rPr>
          <w:rFonts w:ascii="Arial" w:hAnsi="Arial" w:cs="Arial"/>
          <w:sz w:val="24"/>
          <w:szCs w:val="24"/>
        </w:rPr>
        <w:t>argued in</w:t>
      </w:r>
      <w:r w:rsidR="00C77546">
        <w:rPr>
          <w:rFonts w:ascii="Arial" w:hAnsi="Arial" w:cs="Arial"/>
          <w:sz w:val="24"/>
          <w:szCs w:val="24"/>
        </w:rPr>
        <w:t xml:space="preserve"> the criminal proceedings</w:t>
      </w:r>
      <w:r w:rsidR="001F4806">
        <w:rPr>
          <w:rFonts w:ascii="Arial" w:hAnsi="Arial" w:cs="Arial"/>
          <w:sz w:val="24"/>
          <w:szCs w:val="24"/>
        </w:rPr>
        <w:t xml:space="preserve"> </w:t>
      </w:r>
      <w:r>
        <w:rPr>
          <w:rFonts w:ascii="Arial" w:hAnsi="Arial" w:cs="Arial"/>
          <w:sz w:val="24"/>
          <w:szCs w:val="24"/>
        </w:rPr>
        <w:t>before the</w:t>
      </w:r>
      <w:r w:rsidR="001F4806">
        <w:rPr>
          <w:rFonts w:ascii="Arial" w:hAnsi="Arial" w:cs="Arial"/>
          <w:sz w:val="24"/>
          <w:szCs w:val="24"/>
        </w:rPr>
        <w:t xml:space="preserve"> Regional Court.  They submitted that instituting fresh proceedings </w:t>
      </w:r>
      <w:r w:rsidR="008F7E51">
        <w:rPr>
          <w:rFonts w:ascii="Arial" w:hAnsi="Arial" w:cs="Arial"/>
          <w:sz w:val="24"/>
          <w:szCs w:val="24"/>
        </w:rPr>
        <w:t>arising</w:t>
      </w:r>
      <w:r w:rsidR="00492471">
        <w:rPr>
          <w:rFonts w:ascii="Arial" w:hAnsi="Arial" w:cs="Arial"/>
          <w:sz w:val="24"/>
          <w:szCs w:val="24"/>
        </w:rPr>
        <w:t xml:space="preserve"> from</w:t>
      </w:r>
      <w:r w:rsidR="001F4806">
        <w:rPr>
          <w:rFonts w:ascii="Arial" w:hAnsi="Arial" w:cs="Arial"/>
          <w:sz w:val="24"/>
          <w:szCs w:val="24"/>
        </w:rPr>
        <w:t xml:space="preserve"> the same issue is precluded by </w:t>
      </w:r>
      <w:r w:rsidR="00492471">
        <w:rPr>
          <w:rFonts w:ascii="Arial" w:hAnsi="Arial" w:cs="Arial"/>
          <w:sz w:val="24"/>
          <w:szCs w:val="24"/>
        </w:rPr>
        <w:t xml:space="preserve">the doctrine of issue estoppel. They </w:t>
      </w:r>
      <w:r w:rsidR="00A8643E">
        <w:rPr>
          <w:rFonts w:ascii="Arial" w:hAnsi="Arial" w:cs="Arial"/>
          <w:sz w:val="24"/>
          <w:szCs w:val="24"/>
        </w:rPr>
        <w:t>argued that</w:t>
      </w:r>
      <w:r w:rsidR="00492471">
        <w:rPr>
          <w:rFonts w:ascii="Arial" w:hAnsi="Arial" w:cs="Arial"/>
          <w:sz w:val="24"/>
          <w:szCs w:val="24"/>
        </w:rPr>
        <w:t xml:space="preserve"> the correct step to take after the </w:t>
      </w:r>
      <w:r w:rsidR="000673E9">
        <w:rPr>
          <w:rFonts w:ascii="Arial" w:hAnsi="Arial" w:cs="Arial"/>
          <w:sz w:val="24"/>
          <w:szCs w:val="24"/>
        </w:rPr>
        <w:t xml:space="preserve">dismissal of the special </w:t>
      </w:r>
      <w:r w:rsidR="00A8643E">
        <w:rPr>
          <w:rFonts w:ascii="Arial" w:hAnsi="Arial" w:cs="Arial"/>
          <w:sz w:val="24"/>
          <w:szCs w:val="24"/>
        </w:rPr>
        <w:t>plea is</w:t>
      </w:r>
      <w:r w:rsidR="00492471">
        <w:rPr>
          <w:rFonts w:ascii="Arial" w:hAnsi="Arial" w:cs="Arial"/>
          <w:sz w:val="24"/>
          <w:szCs w:val="24"/>
        </w:rPr>
        <w:t xml:space="preserve"> </w:t>
      </w:r>
      <w:r w:rsidR="000673E9">
        <w:rPr>
          <w:rFonts w:ascii="Arial" w:hAnsi="Arial" w:cs="Arial"/>
          <w:sz w:val="24"/>
          <w:szCs w:val="24"/>
        </w:rPr>
        <w:t xml:space="preserve">for the applicants </w:t>
      </w:r>
      <w:r w:rsidR="00492471">
        <w:rPr>
          <w:rFonts w:ascii="Arial" w:hAnsi="Arial" w:cs="Arial"/>
          <w:sz w:val="24"/>
          <w:szCs w:val="24"/>
        </w:rPr>
        <w:t xml:space="preserve">to appeal the decision of the Regional Magistrate. </w:t>
      </w:r>
    </w:p>
    <w:p w14:paraId="3AAC607E" w14:textId="77777777" w:rsidR="00A8643E" w:rsidRDefault="00A8643E" w:rsidP="008B67BE">
      <w:pPr>
        <w:spacing w:after="0" w:line="360" w:lineRule="auto"/>
        <w:ind w:left="709" w:hanging="709"/>
        <w:jc w:val="both"/>
        <w:rPr>
          <w:rFonts w:ascii="Arial" w:hAnsi="Arial" w:cs="Arial"/>
          <w:sz w:val="24"/>
          <w:szCs w:val="24"/>
        </w:rPr>
      </w:pPr>
    </w:p>
    <w:p w14:paraId="01FE928D" w14:textId="77777777" w:rsidR="00CA182C" w:rsidRDefault="00097CD2" w:rsidP="008B67BE">
      <w:pPr>
        <w:spacing w:after="0" w:line="360" w:lineRule="auto"/>
        <w:ind w:left="709" w:hanging="709"/>
        <w:jc w:val="both"/>
        <w:rPr>
          <w:rFonts w:ascii="Arial" w:hAnsi="Arial" w:cs="Arial"/>
          <w:sz w:val="24"/>
          <w:szCs w:val="24"/>
        </w:rPr>
      </w:pPr>
      <w:r>
        <w:rPr>
          <w:rFonts w:ascii="Arial" w:hAnsi="Arial" w:cs="Arial"/>
          <w:sz w:val="24"/>
          <w:szCs w:val="24"/>
        </w:rPr>
        <w:t>[11</w:t>
      </w:r>
      <w:r w:rsidR="00A8643E">
        <w:rPr>
          <w:rFonts w:ascii="Arial" w:hAnsi="Arial" w:cs="Arial"/>
          <w:sz w:val="24"/>
          <w:szCs w:val="24"/>
        </w:rPr>
        <w:t xml:space="preserve">] </w:t>
      </w:r>
      <w:r w:rsidR="00A8643E">
        <w:rPr>
          <w:rFonts w:ascii="Arial" w:hAnsi="Arial" w:cs="Arial"/>
          <w:sz w:val="24"/>
          <w:szCs w:val="24"/>
        </w:rPr>
        <w:tab/>
        <w:t>The</w:t>
      </w:r>
      <w:r w:rsidR="008A77D4" w:rsidRPr="008A77D4">
        <w:rPr>
          <w:rFonts w:ascii="Arial" w:hAnsi="Arial" w:cs="Arial"/>
          <w:sz w:val="24"/>
          <w:szCs w:val="24"/>
        </w:rPr>
        <w:t xml:space="preserve"> primary </w:t>
      </w:r>
      <w:r w:rsidR="00A8643E" w:rsidRPr="008A77D4">
        <w:rPr>
          <w:rFonts w:ascii="Arial" w:hAnsi="Arial" w:cs="Arial"/>
          <w:sz w:val="24"/>
          <w:szCs w:val="24"/>
        </w:rPr>
        <w:t>purpose of</w:t>
      </w:r>
      <w:r w:rsidR="008A77D4" w:rsidRPr="008A77D4">
        <w:rPr>
          <w:rFonts w:ascii="Arial" w:hAnsi="Arial" w:cs="Arial"/>
          <w:sz w:val="24"/>
          <w:szCs w:val="24"/>
        </w:rPr>
        <w:t xml:space="preserve"> </w:t>
      </w:r>
      <w:r w:rsidR="008A77D4" w:rsidRPr="008A77D4">
        <w:rPr>
          <w:rFonts w:ascii="Arial" w:hAnsi="Arial" w:cs="Arial"/>
          <w:i/>
          <w:sz w:val="24"/>
          <w:szCs w:val="24"/>
        </w:rPr>
        <w:t xml:space="preserve">res judicata </w:t>
      </w:r>
      <w:r w:rsidR="008A77D4" w:rsidRPr="008A77D4">
        <w:rPr>
          <w:rFonts w:ascii="Arial" w:hAnsi="Arial" w:cs="Arial"/>
          <w:sz w:val="24"/>
          <w:szCs w:val="24"/>
        </w:rPr>
        <w:t xml:space="preserve">is to </w:t>
      </w:r>
      <w:r w:rsidR="00A8643E" w:rsidRPr="008A77D4">
        <w:rPr>
          <w:rFonts w:ascii="Arial" w:hAnsi="Arial" w:cs="Arial"/>
          <w:sz w:val="24"/>
          <w:szCs w:val="24"/>
        </w:rPr>
        <w:t>inculcate finality</w:t>
      </w:r>
      <w:r w:rsidR="008A77D4" w:rsidRPr="008A77D4">
        <w:rPr>
          <w:rFonts w:ascii="Arial" w:hAnsi="Arial" w:cs="Arial"/>
          <w:sz w:val="24"/>
          <w:szCs w:val="24"/>
        </w:rPr>
        <w:t xml:space="preserve"> </w:t>
      </w:r>
      <w:r w:rsidR="00A8643E" w:rsidRPr="008A77D4">
        <w:rPr>
          <w:rFonts w:ascii="Arial" w:hAnsi="Arial" w:cs="Arial"/>
          <w:sz w:val="24"/>
          <w:szCs w:val="24"/>
        </w:rPr>
        <w:t>into litigation</w:t>
      </w:r>
      <w:r w:rsidR="008A77D4" w:rsidRPr="008A77D4">
        <w:rPr>
          <w:rFonts w:ascii="Arial" w:hAnsi="Arial" w:cs="Arial"/>
          <w:sz w:val="24"/>
          <w:szCs w:val="24"/>
        </w:rPr>
        <w:t xml:space="preserve"> by </w:t>
      </w:r>
      <w:r w:rsidR="00A8643E" w:rsidRPr="008A77D4">
        <w:rPr>
          <w:rFonts w:ascii="Arial" w:hAnsi="Arial" w:cs="Arial"/>
          <w:sz w:val="24"/>
          <w:szCs w:val="24"/>
        </w:rPr>
        <w:t>precluding re</w:t>
      </w:r>
      <w:r w:rsidR="000673E9">
        <w:rPr>
          <w:rFonts w:ascii="Arial" w:hAnsi="Arial" w:cs="Arial"/>
          <w:sz w:val="24"/>
          <w:szCs w:val="24"/>
        </w:rPr>
        <w:t>-</w:t>
      </w:r>
      <w:r w:rsidR="008A77D4" w:rsidRPr="008A77D4">
        <w:rPr>
          <w:rFonts w:ascii="Arial" w:hAnsi="Arial" w:cs="Arial"/>
          <w:sz w:val="24"/>
          <w:szCs w:val="24"/>
        </w:rPr>
        <w:t>litigation of the same issues twice between the same parties.</w:t>
      </w:r>
    </w:p>
    <w:p w14:paraId="1E48D75C" w14:textId="77777777" w:rsidR="00C90886" w:rsidRPr="00BF49DC" w:rsidRDefault="00097CD2" w:rsidP="008B67BE">
      <w:pPr>
        <w:pStyle w:val="Default"/>
        <w:ind w:left="720" w:hanging="720"/>
        <w:jc w:val="both"/>
        <w:rPr>
          <w:rFonts w:ascii="Arial" w:eastAsia="Times New Roman" w:hAnsi="Arial" w:cs="Arial"/>
        </w:rPr>
      </w:pPr>
      <w:r>
        <w:rPr>
          <w:rFonts w:ascii="Arial" w:hAnsi="Arial" w:cs="Arial"/>
        </w:rPr>
        <w:lastRenderedPageBreak/>
        <w:t>[12</w:t>
      </w:r>
      <w:r w:rsidR="00C90886">
        <w:rPr>
          <w:rFonts w:ascii="Arial" w:hAnsi="Arial" w:cs="Arial"/>
        </w:rPr>
        <w:t xml:space="preserve">] </w:t>
      </w:r>
      <w:r w:rsidR="00A8643E">
        <w:rPr>
          <w:rFonts w:ascii="Arial" w:hAnsi="Arial" w:cs="Arial"/>
        </w:rPr>
        <w:tab/>
      </w:r>
      <w:r w:rsidR="00C90886" w:rsidRPr="00971F9E">
        <w:rPr>
          <w:rFonts w:ascii="Arial" w:eastAsia="Times New Roman" w:hAnsi="Arial" w:cs="Arial"/>
        </w:rPr>
        <w:t xml:space="preserve">The requirements of res judicata are well established: (1) the same parties; (2) the same cause of action; and (3) the same relief. </w:t>
      </w:r>
      <w:r w:rsidR="00C90886">
        <w:rPr>
          <w:rFonts w:ascii="Arial" w:eastAsia="Times New Roman" w:hAnsi="Arial" w:cs="Arial"/>
        </w:rPr>
        <w:t xml:space="preserve">In </w:t>
      </w:r>
      <w:r w:rsidR="00C90886">
        <w:t xml:space="preserve"> </w:t>
      </w:r>
      <w:proofErr w:type="spellStart"/>
      <w:r w:rsidR="00C90886" w:rsidRPr="00BF49DC">
        <w:rPr>
          <w:rFonts w:ascii="Arial" w:hAnsi="Arial" w:cs="Arial"/>
          <w:b/>
          <w:iCs/>
        </w:rPr>
        <w:t>Ascendis</w:t>
      </w:r>
      <w:proofErr w:type="spellEnd"/>
      <w:r w:rsidR="00C90886" w:rsidRPr="00BF49DC">
        <w:rPr>
          <w:rFonts w:ascii="Arial" w:hAnsi="Arial" w:cs="Arial"/>
          <w:b/>
          <w:iCs/>
        </w:rPr>
        <w:t xml:space="preserve"> Animal Health (Pty) Limited v Merck Sharpe Dohme Corporation and Others</w:t>
      </w:r>
      <w:r w:rsidR="00C1398C">
        <w:rPr>
          <w:rStyle w:val="FootnoteReference"/>
          <w:rFonts w:ascii="Arial" w:hAnsi="Arial" w:cs="Arial"/>
          <w:b/>
          <w:iCs/>
        </w:rPr>
        <w:footnoteReference w:id="1"/>
      </w:r>
      <w:r w:rsidR="00C90886" w:rsidRPr="00BF49DC">
        <w:rPr>
          <w:rFonts w:ascii="Arial" w:hAnsi="Arial" w:cs="Arial"/>
          <w:b/>
          <w:iCs/>
        </w:rPr>
        <w:t xml:space="preserve"> </w:t>
      </w:r>
      <w:proofErr w:type="spellStart"/>
      <w:r w:rsidR="00C90886">
        <w:rPr>
          <w:rFonts w:ascii="Arial" w:hAnsi="Arial" w:cs="Arial"/>
        </w:rPr>
        <w:t>Khampepe</w:t>
      </w:r>
      <w:proofErr w:type="spellEnd"/>
      <w:r w:rsidR="00C90886">
        <w:rPr>
          <w:rFonts w:ascii="Arial" w:hAnsi="Arial" w:cs="Arial"/>
        </w:rPr>
        <w:t xml:space="preserve">, J remarked as follows: </w:t>
      </w:r>
    </w:p>
    <w:p w14:paraId="6B7A9760" w14:textId="77777777" w:rsidR="00C90886" w:rsidRDefault="00C90886" w:rsidP="008B67BE">
      <w:pPr>
        <w:pStyle w:val="Default"/>
        <w:jc w:val="both"/>
      </w:pPr>
    </w:p>
    <w:p w14:paraId="590E1C22" w14:textId="77777777" w:rsidR="00C90886" w:rsidRPr="00F566D7" w:rsidRDefault="00097CD2" w:rsidP="008B67BE">
      <w:pPr>
        <w:pStyle w:val="Default"/>
        <w:ind w:left="720"/>
        <w:jc w:val="both"/>
        <w:rPr>
          <w:rFonts w:ascii="Arial" w:hAnsi="Arial" w:cs="Arial"/>
          <w:sz w:val="20"/>
          <w:szCs w:val="20"/>
        </w:rPr>
      </w:pPr>
      <w:r>
        <w:rPr>
          <w:rFonts w:ascii="Arial" w:hAnsi="Arial" w:cs="Arial"/>
          <w:sz w:val="20"/>
          <w:szCs w:val="20"/>
        </w:rPr>
        <w:tab/>
      </w:r>
      <w:r w:rsidR="00C90886">
        <w:rPr>
          <w:rFonts w:ascii="Arial" w:hAnsi="Arial" w:cs="Arial"/>
          <w:sz w:val="20"/>
          <w:szCs w:val="20"/>
        </w:rPr>
        <w:t>“</w:t>
      </w:r>
      <w:r w:rsidR="00C90886" w:rsidRPr="00F566D7">
        <w:rPr>
          <w:rFonts w:ascii="Arial" w:hAnsi="Arial" w:cs="Arial"/>
          <w:sz w:val="20"/>
          <w:szCs w:val="20"/>
        </w:rPr>
        <w:t xml:space="preserve">[69] </w:t>
      </w:r>
      <w:r w:rsidR="00C90886" w:rsidRPr="00F566D7">
        <w:rPr>
          <w:rFonts w:ascii="Arial" w:hAnsi="Arial" w:cs="Arial"/>
          <w:i/>
          <w:iCs/>
          <w:sz w:val="20"/>
          <w:szCs w:val="20"/>
        </w:rPr>
        <w:t xml:space="preserve">Res judicata </w:t>
      </w:r>
      <w:r w:rsidR="00C90886" w:rsidRPr="00F566D7">
        <w:rPr>
          <w:rFonts w:ascii="Arial" w:hAnsi="Arial" w:cs="Arial"/>
          <w:sz w:val="20"/>
          <w:szCs w:val="20"/>
        </w:rPr>
        <w:t xml:space="preserve">strictly means that a matter has already been decided by a </w:t>
      </w:r>
      <w:r>
        <w:rPr>
          <w:rFonts w:ascii="Arial" w:hAnsi="Arial" w:cs="Arial"/>
          <w:sz w:val="20"/>
          <w:szCs w:val="20"/>
        </w:rPr>
        <w:tab/>
      </w:r>
      <w:r w:rsidR="00C90886" w:rsidRPr="00F566D7">
        <w:rPr>
          <w:rFonts w:ascii="Arial" w:hAnsi="Arial" w:cs="Arial"/>
          <w:sz w:val="20"/>
          <w:szCs w:val="20"/>
        </w:rPr>
        <w:t xml:space="preserve">competent court on the same cause of action and for the same relief between the same </w:t>
      </w:r>
      <w:r>
        <w:rPr>
          <w:rFonts w:ascii="Arial" w:hAnsi="Arial" w:cs="Arial"/>
          <w:sz w:val="20"/>
          <w:szCs w:val="20"/>
        </w:rPr>
        <w:tab/>
      </w:r>
      <w:r w:rsidR="00C90886" w:rsidRPr="00F566D7">
        <w:rPr>
          <w:rFonts w:ascii="Arial" w:hAnsi="Arial" w:cs="Arial"/>
          <w:sz w:val="20"/>
          <w:szCs w:val="20"/>
        </w:rPr>
        <w:t xml:space="preserve">parties. In </w:t>
      </w:r>
      <w:proofErr w:type="spellStart"/>
      <w:r w:rsidR="00C90886" w:rsidRPr="00F566D7">
        <w:rPr>
          <w:rFonts w:ascii="Arial" w:hAnsi="Arial" w:cs="Arial"/>
          <w:i/>
          <w:iCs/>
          <w:sz w:val="20"/>
          <w:szCs w:val="20"/>
        </w:rPr>
        <w:t>Evins</w:t>
      </w:r>
      <w:proofErr w:type="spellEnd"/>
      <w:r w:rsidR="00C90886" w:rsidRPr="00F566D7">
        <w:rPr>
          <w:rFonts w:ascii="Arial" w:hAnsi="Arial" w:cs="Arial"/>
          <w:sz w:val="20"/>
          <w:szCs w:val="20"/>
        </w:rPr>
        <w:t xml:space="preserve">, Corbett JA stated that: </w:t>
      </w:r>
    </w:p>
    <w:p w14:paraId="0D5A31AD" w14:textId="77777777" w:rsidR="00C90886" w:rsidRPr="00F566D7" w:rsidRDefault="00C90886" w:rsidP="008B67BE">
      <w:pPr>
        <w:autoSpaceDE w:val="0"/>
        <w:autoSpaceDN w:val="0"/>
        <w:adjustRightInd w:val="0"/>
        <w:jc w:val="both"/>
        <w:rPr>
          <w:rFonts w:ascii="Arial" w:hAnsi="Arial" w:cs="Arial"/>
          <w:sz w:val="20"/>
          <w:szCs w:val="20"/>
        </w:rPr>
      </w:pPr>
    </w:p>
    <w:p w14:paraId="58306DD9" w14:textId="77777777" w:rsidR="00C90886" w:rsidRPr="00F566D7" w:rsidRDefault="00097CD2" w:rsidP="008B67BE">
      <w:pPr>
        <w:autoSpaceDE w:val="0"/>
        <w:autoSpaceDN w:val="0"/>
        <w:adjustRightInd w:val="0"/>
        <w:ind w:left="720"/>
        <w:jc w:val="both"/>
        <w:rPr>
          <w:rFonts w:ascii="Arial" w:eastAsia="Arial" w:hAnsi="Arial" w:cs="Arial"/>
          <w:color w:val="000000"/>
          <w:sz w:val="20"/>
          <w:szCs w:val="20"/>
        </w:rPr>
      </w:pPr>
      <w:r>
        <w:rPr>
          <w:rFonts w:ascii="Arial" w:hAnsi="Arial" w:cs="Arial"/>
          <w:sz w:val="16"/>
          <w:szCs w:val="16"/>
        </w:rPr>
        <w:tab/>
      </w:r>
      <w:r w:rsidR="00C90886" w:rsidRPr="00F566D7">
        <w:rPr>
          <w:rFonts w:ascii="Arial" w:hAnsi="Arial" w:cs="Arial"/>
          <w:sz w:val="16"/>
          <w:szCs w:val="16"/>
        </w:rPr>
        <w:t xml:space="preserve">“Closely allied to the ‘once and for all’ rule is the principle of </w:t>
      </w:r>
      <w:r w:rsidR="00C90886" w:rsidRPr="00F566D7">
        <w:rPr>
          <w:rFonts w:ascii="Arial" w:hAnsi="Arial" w:cs="Arial"/>
          <w:i/>
          <w:iCs/>
          <w:sz w:val="16"/>
          <w:szCs w:val="16"/>
        </w:rPr>
        <w:t xml:space="preserve">res judicata </w:t>
      </w:r>
      <w:r w:rsidR="00C90886" w:rsidRPr="00F566D7">
        <w:rPr>
          <w:rFonts w:ascii="Arial" w:hAnsi="Arial" w:cs="Arial"/>
          <w:sz w:val="16"/>
          <w:szCs w:val="16"/>
        </w:rPr>
        <w:t xml:space="preserve">which establishes that, where a final </w:t>
      </w:r>
      <w:r>
        <w:rPr>
          <w:rFonts w:ascii="Arial" w:hAnsi="Arial" w:cs="Arial"/>
          <w:sz w:val="16"/>
          <w:szCs w:val="16"/>
        </w:rPr>
        <w:tab/>
      </w:r>
      <w:r w:rsidR="00C90886" w:rsidRPr="00F566D7">
        <w:rPr>
          <w:rFonts w:ascii="Arial" w:hAnsi="Arial" w:cs="Arial"/>
          <w:sz w:val="16"/>
          <w:szCs w:val="16"/>
        </w:rPr>
        <w:t xml:space="preserve">judgment has been given in a matter by a competent court, then subsequent litigation between same parties, </w:t>
      </w:r>
      <w:r>
        <w:rPr>
          <w:rFonts w:ascii="Arial" w:hAnsi="Arial" w:cs="Arial"/>
          <w:sz w:val="16"/>
          <w:szCs w:val="16"/>
        </w:rPr>
        <w:tab/>
      </w:r>
      <w:r w:rsidR="00C90886" w:rsidRPr="00F566D7">
        <w:rPr>
          <w:rFonts w:ascii="Arial" w:hAnsi="Arial" w:cs="Arial"/>
          <w:sz w:val="16"/>
          <w:szCs w:val="16"/>
        </w:rPr>
        <w:t xml:space="preserve">or their privies, in regard to the same subject-matter and based upon the same cause of action is not </w:t>
      </w:r>
      <w:r>
        <w:rPr>
          <w:rFonts w:ascii="Arial" w:hAnsi="Arial" w:cs="Arial"/>
          <w:sz w:val="16"/>
          <w:szCs w:val="16"/>
        </w:rPr>
        <w:tab/>
      </w:r>
      <w:r w:rsidR="00C90886" w:rsidRPr="00F566D7">
        <w:rPr>
          <w:rFonts w:ascii="Arial" w:hAnsi="Arial" w:cs="Arial"/>
          <w:sz w:val="16"/>
          <w:szCs w:val="16"/>
        </w:rPr>
        <w:t xml:space="preserve">permissible and, if attempted by one of them, can be met by the </w:t>
      </w:r>
      <w:proofErr w:type="spellStart"/>
      <w:r w:rsidR="00C90886" w:rsidRPr="00F566D7">
        <w:rPr>
          <w:rFonts w:ascii="Arial" w:hAnsi="Arial" w:cs="Arial"/>
          <w:i/>
          <w:iCs/>
          <w:sz w:val="16"/>
          <w:szCs w:val="16"/>
        </w:rPr>
        <w:t>exceptio</w:t>
      </w:r>
      <w:proofErr w:type="spellEnd"/>
      <w:r w:rsidR="00C90886" w:rsidRPr="00F566D7">
        <w:rPr>
          <w:rFonts w:ascii="Arial" w:hAnsi="Arial" w:cs="Arial"/>
          <w:i/>
          <w:iCs/>
          <w:sz w:val="16"/>
          <w:szCs w:val="16"/>
        </w:rPr>
        <w:t xml:space="preserve"> rei </w:t>
      </w:r>
      <w:proofErr w:type="spellStart"/>
      <w:r w:rsidR="00C90886" w:rsidRPr="00F566D7">
        <w:rPr>
          <w:rFonts w:ascii="Arial" w:hAnsi="Arial" w:cs="Arial"/>
          <w:i/>
          <w:iCs/>
          <w:sz w:val="16"/>
          <w:szCs w:val="16"/>
        </w:rPr>
        <w:t>judicatae</w:t>
      </w:r>
      <w:proofErr w:type="spellEnd"/>
      <w:r w:rsidR="00C90886" w:rsidRPr="00F566D7">
        <w:rPr>
          <w:rFonts w:ascii="Arial" w:hAnsi="Arial" w:cs="Arial"/>
          <w:i/>
          <w:iCs/>
          <w:sz w:val="16"/>
          <w:szCs w:val="16"/>
        </w:rPr>
        <w:t xml:space="preserve"> </w:t>
      </w:r>
      <w:proofErr w:type="spellStart"/>
      <w:r w:rsidR="00C90886" w:rsidRPr="00F566D7">
        <w:rPr>
          <w:rFonts w:ascii="Arial" w:hAnsi="Arial" w:cs="Arial"/>
          <w:i/>
          <w:iCs/>
          <w:sz w:val="16"/>
          <w:szCs w:val="16"/>
        </w:rPr>
        <w:t>vel</w:t>
      </w:r>
      <w:proofErr w:type="spellEnd"/>
      <w:r w:rsidR="00C90886" w:rsidRPr="00F566D7">
        <w:rPr>
          <w:rFonts w:ascii="Arial" w:hAnsi="Arial" w:cs="Arial"/>
          <w:i/>
          <w:iCs/>
          <w:sz w:val="16"/>
          <w:szCs w:val="16"/>
        </w:rPr>
        <w:t xml:space="preserve"> litis </w:t>
      </w:r>
      <w:proofErr w:type="spellStart"/>
      <w:r w:rsidR="00C90886" w:rsidRPr="00F566D7">
        <w:rPr>
          <w:rFonts w:ascii="Arial" w:hAnsi="Arial" w:cs="Arial"/>
          <w:i/>
          <w:iCs/>
          <w:sz w:val="16"/>
          <w:szCs w:val="16"/>
        </w:rPr>
        <w:t>finitae</w:t>
      </w:r>
      <w:proofErr w:type="spellEnd"/>
      <w:r w:rsidR="00C90886" w:rsidRPr="00F566D7">
        <w:rPr>
          <w:rFonts w:ascii="Arial" w:hAnsi="Arial" w:cs="Arial"/>
          <w:sz w:val="16"/>
          <w:szCs w:val="16"/>
        </w:rPr>
        <w:t xml:space="preserve">. The </w:t>
      </w:r>
      <w:r>
        <w:rPr>
          <w:rFonts w:ascii="Arial" w:hAnsi="Arial" w:cs="Arial"/>
          <w:sz w:val="16"/>
          <w:szCs w:val="16"/>
        </w:rPr>
        <w:tab/>
      </w:r>
      <w:r w:rsidR="00C90886" w:rsidRPr="00F566D7">
        <w:rPr>
          <w:rFonts w:ascii="Arial" w:hAnsi="Arial" w:cs="Arial"/>
          <w:sz w:val="16"/>
          <w:szCs w:val="16"/>
        </w:rPr>
        <w:t xml:space="preserve">object of this principle is to prevent the repetition of lawsuits, the harassment of a defendant by a multiplicity </w:t>
      </w:r>
      <w:r>
        <w:rPr>
          <w:rFonts w:ascii="Arial" w:hAnsi="Arial" w:cs="Arial"/>
          <w:sz w:val="16"/>
          <w:szCs w:val="16"/>
        </w:rPr>
        <w:tab/>
      </w:r>
      <w:r w:rsidR="00C90886" w:rsidRPr="00F566D7">
        <w:rPr>
          <w:rFonts w:ascii="Arial" w:hAnsi="Arial" w:cs="Arial"/>
          <w:sz w:val="16"/>
          <w:szCs w:val="16"/>
        </w:rPr>
        <w:t>of actions and the possibility of conflicting decisions</w:t>
      </w:r>
    </w:p>
    <w:p w14:paraId="54F2F9EB" w14:textId="77777777" w:rsidR="00C90886" w:rsidRPr="00F566D7" w:rsidRDefault="00C90886" w:rsidP="008B67BE">
      <w:pPr>
        <w:autoSpaceDE w:val="0"/>
        <w:autoSpaceDN w:val="0"/>
        <w:adjustRightInd w:val="0"/>
        <w:jc w:val="both"/>
        <w:rPr>
          <w:rFonts w:ascii="Arial" w:eastAsia="Arial" w:hAnsi="Arial" w:cs="Arial"/>
          <w:color w:val="000000"/>
          <w:sz w:val="20"/>
          <w:szCs w:val="20"/>
        </w:rPr>
      </w:pPr>
    </w:p>
    <w:p w14:paraId="086A8F48" w14:textId="77777777" w:rsidR="00C90886" w:rsidRPr="00A63D11" w:rsidRDefault="00097CD2" w:rsidP="008B67BE">
      <w:pPr>
        <w:autoSpaceDE w:val="0"/>
        <w:autoSpaceDN w:val="0"/>
        <w:adjustRightInd w:val="0"/>
        <w:ind w:left="1418" w:hanging="698"/>
        <w:jc w:val="both"/>
        <w:rPr>
          <w:rFonts w:ascii="Arial" w:eastAsia="Arial" w:hAnsi="Arial" w:cs="Arial"/>
          <w:color w:val="000000"/>
          <w:sz w:val="20"/>
          <w:szCs w:val="20"/>
        </w:rPr>
      </w:pPr>
      <w:r>
        <w:rPr>
          <w:rFonts w:ascii="Arial" w:eastAsia="Arial" w:hAnsi="Arial" w:cs="Arial"/>
          <w:color w:val="000000"/>
          <w:sz w:val="20"/>
          <w:szCs w:val="20"/>
        </w:rPr>
        <w:tab/>
      </w:r>
      <w:r w:rsidR="00C90886" w:rsidRPr="00A63D11">
        <w:rPr>
          <w:rFonts w:ascii="Arial" w:eastAsia="Arial" w:hAnsi="Arial" w:cs="Arial"/>
          <w:color w:val="000000"/>
          <w:sz w:val="20"/>
          <w:szCs w:val="20"/>
        </w:rPr>
        <w:t xml:space="preserve">[70] In essence, the crux of </w:t>
      </w:r>
      <w:r w:rsidR="00C90886" w:rsidRPr="00A63D11">
        <w:rPr>
          <w:rFonts w:ascii="Arial" w:eastAsia="Arial" w:hAnsi="Arial" w:cs="Arial"/>
          <w:i/>
          <w:iCs/>
          <w:color w:val="000000"/>
          <w:sz w:val="20"/>
          <w:szCs w:val="20"/>
        </w:rPr>
        <w:t xml:space="preserve">res judicata </w:t>
      </w:r>
      <w:r w:rsidR="00C90886" w:rsidRPr="00A63D11">
        <w:rPr>
          <w:rFonts w:ascii="Arial" w:eastAsia="Arial" w:hAnsi="Arial" w:cs="Arial"/>
          <w:color w:val="000000"/>
          <w:sz w:val="20"/>
          <w:szCs w:val="20"/>
        </w:rPr>
        <w:t>is that where a cause of action has been litigated to finality between the same parties on a previous occasion, a subsequent attempt to litigate the same cause of action by one party against the other party should not be allowed. The underlying rationale for this principle is to ensure certainty on matters that have already been decided, promote finality and prevent the abuse of court processes.</w:t>
      </w:r>
      <w:r w:rsidR="00C90886" w:rsidRPr="00A63D11">
        <w:rPr>
          <w:rFonts w:ascii="Arial" w:eastAsia="Arial" w:hAnsi="Arial" w:cs="Arial"/>
          <w:color w:val="000000"/>
          <w:position w:val="8"/>
          <w:sz w:val="20"/>
          <w:szCs w:val="20"/>
          <w:vertAlign w:val="superscript"/>
        </w:rPr>
        <w:t xml:space="preserve"> </w:t>
      </w:r>
    </w:p>
    <w:p w14:paraId="7B0767A3" w14:textId="77777777" w:rsidR="00C90886" w:rsidRPr="00A63D11" w:rsidRDefault="00C90886" w:rsidP="008B67BE">
      <w:pPr>
        <w:autoSpaceDE w:val="0"/>
        <w:autoSpaceDN w:val="0"/>
        <w:adjustRightInd w:val="0"/>
        <w:jc w:val="both"/>
        <w:rPr>
          <w:rFonts w:ascii="Arial" w:eastAsia="Arial" w:hAnsi="Arial" w:cs="Arial"/>
          <w:color w:val="000000"/>
          <w:sz w:val="20"/>
          <w:szCs w:val="20"/>
        </w:rPr>
      </w:pPr>
    </w:p>
    <w:p w14:paraId="661FD80A" w14:textId="77777777" w:rsidR="00C90886" w:rsidRPr="00A63D11" w:rsidRDefault="00C90886" w:rsidP="008B67BE">
      <w:pPr>
        <w:autoSpaceDE w:val="0"/>
        <w:autoSpaceDN w:val="0"/>
        <w:adjustRightInd w:val="0"/>
        <w:ind w:left="1418"/>
        <w:jc w:val="both"/>
        <w:rPr>
          <w:rFonts w:ascii="Arial" w:eastAsia="Arial" w:hAnsi="Arial" w:cs="Arial"/>
          <w:color w:val="000000"/>
          <w:sz w:val="20"/>
          <w:szCs w:val="20"/>
        </w:rPr>
      </w:pPr>
      <w:r w:rsidRPr="00A63D11">
        <w:rPr>
          <w:rFonts w:ascii="Arial" w:eastAsia="Arial" w:hAnsi="Arial" w:cs="Arial"/>
          <w:color w:val="000000"/>
          <w:sz w:val="20"/>
          <w:szCs w:val="20"/>
        </w:rPr>
        <w:t xml:space="preserve">[71] The requirements of </w:t>
      </w:r>
      <w:r w:rsidRPr="00A63D11">
        <w:rPr>
          <w:rFonts w:ascii="Arial" w:eastAsia="Arial" w:hAnsi="Arial" w:cs="Arial"/>
          <w:i/>
          <w:iCs/>
          <w:color w:val="000000"/>
          <w:sz w:val="20"/>
          <w:szCs w:val="20"/>
        </w:rPr>
        <w:t>res judicata</w:t>
      </w:r>
      <w:r w:rsidRPr="00A63D11">
        <w:rPr>
          <w:rFonts w:ascii="Arial" w:eastAsia="Arial" w:hAnsi="Arial" w:cs="Arial"/>
          <w:color w:val="000000"/>
          <w:sz w:val="20"/>
          <w:szCs w:val="20"/>
        </w:rPr>
        <w:t>, although trite, can be summed up as follows: (</w:t>
      </w:r>
      <w:proofErr w:type="spellStart"/>
      <w:r w:rsidRPr="00A63D11">
        <w:rPr>
          <w:rFonts w:ascii="Arial" w:eastAsia="Arial" w:hAnsi="Arial" w:cs="Arial"/>
          <w:color w:val="000000"/>
          <w:sz w:val="20"/>
          <w:szCs w:val="20"/>
        </w:rPr>
        <w:t>i</w:t>
      </w:r>
      <w:proofErr w:type="spellEnd"/>
      <w:r w:rsidRPr="00A63D11">
        <w:rPr>
          <w:rFonts w:ascii="Arial" w:eastAsia="Arial" w:hAnsi="Arial" w:cs="Arial"/>
          <w:color w:val="000000"/>
          <w:sz w:val="20"/>
          <w:szCs w:val="20"/>
        </w:rPr>
        <w:t>) there must be a previous judgment by a competent court (ii) between the same parties (iii) based on the same cause of action, and (iv) with respect to the same subject-matter, or thing.</w:t>
      </w:r>
      <w:r w:rsidRPr="00A63D11">
        <w:rPr>
          <w:rFonts w:ascii="Arial" w:eastAsia="Arial" w:hAnsi="Arial" w:cs="Arial"/>
          <w:color w:val="000000"/>
          <w:position w:val="8"/>
          <w:sz w:val="20"/>
          <w:szCs w:val="20"/>
          <w:vertAlign w:val="superscript"/>
        </w:rPr>
        <w:t xml:space="preserve"> </w:t>
      </w:r>
      <w:r w:rsidRPr="00A63D11">
        <w:rPr>
          <w:rFonts w:ascii="Arial" w:eastAsia="Arial" w:hAnsi="Arial" w:cs="Arial"/>
          <w:color w:val="000000"/>
          <w:sz w:val="20"/>
          <w:szCs w:val="20"/>
        </w:rPr>
        <w:t xml:space="preserve">In a Lesotho case, </w:t>
      </w:r>
      <w:proofErr w:type="spellStart"/>
      <w:r w:rsidRPr="00A63D11">
        <w:rPr>
          <w:rFonts w:ascii="Arial" w:eastAsia="Arial" w:hAnsi="Arial" w:cs="Arial"/>
          <w:i/>
          <w:iCs/>
          <w:color w:val="000000"/>
          <w:sz w:val="20"/>
          <w:szCs w:val="20"/>
        </w:rPr>
        <w:t>Masara</w:t>
      </w:r>
      <w:proofErr w:type="spellEnd"/>
      <w:r w:rsidRPr="00A63D11">
        <w:rPr>
          <w:rFonts w:ascii="Arial" w:eastAsia="Arial" w:hAnsi="Arial" w:cs="Arial"/>
          <w:color w:val="000000"/>
          <w:sz w:val="20"/>
          <w:szCs w:val="20"/>
        </w:rPr>
        <w:t xml:space="preserve">, the Court of Appeal stated that the defence of </w:t>
      </w:r>
      <w:r w:rsidRPr="00A63D11">
        <w:rPr>
          <w:rFonts w:ascii="Arial" w:eastAsia="Arial" w:hAnsi="Arial" w:cs="Arial"/>
          <w:i/>
          <w:iCs/>
          <w:color w:val="000000"/>
          <w:sz w:val="20"/>
          <w:szCs w:val="20"/>
        </w:rPr>
        <w:t xml:space="preserve">res judicata </w:t>
      </w:r>
      <w:r w:rsidRPr="00A63D11">
        <w:rPr>
          <w:rFonts w:ascii="Arial" w:eastAsia="Arial" w:hAnsi="Arial" w:cs="Arial"/>
          <w:color w:val="000000"/>
          <w:sz w:val="20"/>
          <w:szCs w:val="20"/>
        </w:rPr>
        <w:t xml:space="preserve">requires that a party must establish that the present case and the previous case are based on the same set of facts that have been finalised by a competent court or tribunal by the same parties on the merits of the same cause of </w:t>
      </w:r>
      <w:r w:rsidRPr="00F566D7">
        <w:rPr>
          <w:rFonts w:ascii="Arial" w:eastAsia="Arial" w:hAnsi="Arial" w:cs="Arial"/>
          <w:color w:val="000000"/>
          <w:sz w:val="20"/>
          <w:szCs w:val="20"/>
        </w:rPr>
        <w:t>action.</w:t>
      </w:r>
      <w:r>
        <w:rPr>
          <w:rFonts w:ascii="Arial" w:eastAsia="Arial" w:hAnsi="Arial" w:cs="Arial"/>
          <w:color w:val="000000"/>
          <w:sz w:val="20"/>
          <w:szCs w:val="20"/>
        </w:rPr>
        <w:t>”</w:t>
      </w:r>
    </w:p>
    <w:p w14:paraId="6EAFF356" w14:textId="77777777" w:rsidR="00C90886" w:rsidRDefault="00C90886" w:rsidP="008B67BE">
      <w:pPr>
        <w:pStyle w:val="Default"/>
        <w:ind w:left="720" w:hanging="720"/>
        <w:jc w:val="both"/>
        <w:rPr>
          <w:rFonts w:ascii="Arial" w:eastAsia="Times New Roman" w:hAnsi="Arial" w:cs="Arial"/>
        </w:rPr>
      </w:pPr>
    </w:p>
    <w:p w14:paraId="6F17262C" w14:textId="77777777" w:rsidR="00C90886" w:rsidRPr="00F566D7" w:rsidRDefault="00097CD2" w:rsidP="008B67BE">
      <w:pPr>
        <w:pStyle w:val="Default"/>
        <w:ind w:left="720" w:hanging="720"/>
        <w:jc w:val="both"/>
        <w:rPr>
          <w:rFonts w:ascii="Arial" w:hAnsi="Arial" w:cs="Arial"/>
        </w:rPr>
      </w:pPr>
      <w:r>
        <w:rPr>
          <w:rFonts w:ascii="Arial" w:hAnsi="Arial" w:cs="Arial"/>
        </w:rPr>
        <w:t>[13</w:t>
      </w:r>
      <w:r w:rsidR="00C90886">
        <w:rPr>
          <w:rFonts w:ascii="Arial" w:hAnsi="Arial" w:cs="Arial"/>
        </w:rPr>
        <w:t xml:space="preserve">] </w:t>
      </w:r>
      <w:r w:rsidR="00737F55">
        <w:rPr>
          <w:rFonts w:ascii="Arial" w:hAnsi="Arial" w:cs="Arial"/>
        </w:rPr>
        <w:tab/>
      </w:r>
      <w:r w:rsidR="00C90886">
        <w:rPr>
          <w:rFonts w:ascii="Arial" w:hAnsi="Arial" w:cs="Arial"/>
        </w:rPr>
        <w:t>In</w:t>
      </w:r>
      <w:r w:rsidR="00C90886" w:rsidRPr="00CB08C5">
        <w:rPr>
          <w:rFonts w:ascii="Verdana" w:eastAsia="Times New Roman" w:hAnsi="Verdana"/>
          <w:sz w:val="20"/>
          <w:szCs w:val="20"/>
        </w:rPr>
        <w:t> </w:t>
      </w:r>
      <w:r w:rsidR="00C90886" w:rsidRPr="00F566D7">
        <w:rPr>
          <w:rFonts w:ascii="Arial" w:eastAsia="Times New Roman" w:hAnsi="Arial" w:cs="Arial"/>
          <w:b/>
          <w:iCs/>
        </w:rPr>
        <w:t xml:space="preserve">Prinsloo NO and Others v </w:t>
      </w:r>
      <w:proofErr w:type="spellStart"/>
      <w:r w:rsidR="00C90886" w:rsidRPr="00F566D7">
        <w:rPr>
          <w:rFonts w:ascii="Arial" w:eastAsia="Times New Roman" w:hAnsi="Arial" w:cs="Arial"/>
          <w:b/>
          <w:iCs/>
        </w:rPr>
        <w:t>Goldex</w:t>
      </w:r>
      <w:proofErr w:type="spellEnd"/>
      <w:r w:rsidR="00C90886" w:rsidRPr="00F566D7">
        <w:rPr>
          <w:rFonts w:ascii="Arial" w:eastAsia="Times New Roman" w:hAnsi="Arial" w:cs="Arial"/>
          <w:b/>
          <w:iCs/>
        </w:rPr>
        <w:t xml:space="preserve"> 15 (Pty) Ltd and Another</w:t>
      </w:r>
      <w:r w:rsidR="00C1398C">
        <w:rPr>
          <w:rStyle w:val="FootnoteReference"/>
          <w:rFonts w:ascii="Arial" w:eastAsia="Times New Roman" w:hAnsi="Arial" w:cs="Arial"/>
          <w:b/>
          <w:iCs/>
        </w:rPr>
        <w:footnoteReference w:id="2"/>
      </w:r>
      <w:r w:rsidR="00C90886" w:rsidRPr="00F566D7">
        <w:rPr>
          <w:rFonts w:ascii="Arial" w:eastAsia="Times New Roman" w:hAnsi="Arial" w:cs="Arial"/>
          <w:b/>
        </w:rPr>
        <w:t> </w:t>
      </w:r>
      <w:r w:rsidR="00C90886" w:rsidRPr="00F566D7">
        <w:rPr>
          <w:rFonts w:ascii="Arial" w:eastAsia="Times New Roman" w:hAnsi="Arial" w:cs="Arial"/>
        </w:rPr>
        <w:t> </w:t>
      </w:r>
      <w:r w:rsidR="00C90886">
        <w:rPr>
          <w:rFonts w:ascii="Arial" w:eastAsia="Times New Roman" w:hAnsi="Arial" w:cs="Arial"/>
        </w:rPr>
        <w:t xml:space="preserve">Brand JA said the following: </w:t>
      </w:r>
    </w:p>
    <w:p w14:paraId="6620509B" w14:textId="77777777" w:rsidR="00C90886" w:rsidRPr="00F566D7" w:rsidRDefault="00C90886" w:rsidP="008B67BE">
      <w:pPr>
        <w:pStyle w:val="Default"/>
        <w:ind w:left="720" w:hanging="720"/>
        <w:jc w:val="both"/>
        <w:rPr>
          <w:rFonts w:ascii="Arial" w:hAnsi="Arial" w:cs="Arial"/>
        </w:rPr>
      </w:pPr>
    </w:p>
    <w:p w14:paraId="00C1366F" w14:textId="77777777" w:rsidR="00C90886" w:rsidRDefault="00C90886" w:rsidP="008B67BE">
      <w:pPr>
        <w:ind w:left="1418"/>
        <w:jc w:val="both"/>
        <w:rPr>
          <w:rFonts w:ascii="Arial" w:hAnsi="Arial" w:cs="Arial"/>
          <w:color w:val="000000"/>
          <w:sz w:val="20"/>
          <w:szCs w:val="20"/>
        </w:rPr>
      </w:pPr>
      <w:r w:rsidRPr="00971F9E">
        <w:rPr>
          <w:rFonts w:ascii="Arial" w:hAnsi="Arial" w:cs="Arial"/>
          <w:color w:val="000000"/>
          <w:sz w:val="20"/>
          <w:szCs w:val="20"/>
        </w:rPr>
        <w:t xml:space="preserve">‘[10] The expression 'res </w:t>
      </w:r>
      <w:proofErr w:type="spellStart"/>
      <w:r w:rsidRPr="00971F9E">
        <w:rPr>
          <w:rFonts w:ascii="Arial" w:hAnsi="Arial" w:cs="Arial"/>
          <w:color w:val="000000"/>
          <w:sz w:val="20"/>
          <w:szCs w:val="20"/>
        </w:rPr>
        <w:t>iudicata</w:t>
      </w:r>
      <w:proofErr w:type="spellEnd"/>
      <w:r w:rsidRPr="00971F9E">
        <w:rPr>
          <w:rFonts w:ascii="Arial" w:hAnsi="Arial" w:cs="Arial"/>
          <w:color w:val="000000"/>
          <w:sz w:val="20"/>
          <w:szCs w:val="20"/>
        </w:rPr>
        <w:t xml:space="preserve">' literally means that the matter has already been decided. The gist of the plea is that the matter or question raised by the other side had been finally adjudicated upon in proceedings between the parties and that it therefore cannot be raised again. According to </w:t>
      </w:r>
      <w:proofErr w:type="spellStart"/>
      <w:r w:rsidRPr="00971F9E">
        <w:rPr>
          <w:rFonts w:ascii="Arial" w:hAnsi="Arial" w:cs="Arial"/>
          <w:color w:val="000000"/>
          <w:sz w:val="20"/>
          <w:szCs w:val="20"/>
        </w:rPr>
        <w:t>Voet</w:t>
      </w:r>
      <w:proofErr w:type="spellEnd"/>
      <w:r w:rsidRPr="00971F9E">
        <w:rPr>
          <w:rFonts w:ascii="Arial" w:hAnsi="Arial" w:cs="Arial"/>
          <w:color w:val="000000"/>
          <w:sz w:val="20"/>
          <w:szCs w:val="20"/>
        </w:rPr>
        <w:t xml:space="preserve"> 42.1.1, the </w:t>
      </w:r>
      <w:proofErr w:type="spellStart"/>
      <w:r w:rsidRPr="00971F9E">
        <w:rPr>
          <w:rFonts w:ascii="Arial" w:hAnsi="Arial" w:cs="Arial"/>
          <w:color w:val="000000"/>
          <w:sz w:val="20"/>
          <w:szCs w:val="20"/>
        </w:rPr>
        <w:t>exceptio</w:t>
      </w:r>
      <w:proofErr w:type="spellEnd"/>
      <w:r w:rsidRPr="00971F9E">
        <w:rPr>
          <w:rFonts w:ascii="Arial" w:hAnsi="Arial" w:cs="Arial"/>
          <w:color w:val="000000"/>
          <w:sz w:val="20"/>
          <w:szCs w:val="20"/>
        </w:rPr>
        <w:t xml:space="preserve"> was available at common law if it were shown that the judgment in the earlier case was given in a dispute between the same parties, for the same relief on the same ground or on the same cause (</w:t>
      </w:r>
      <w:r w:rsidRPr="00971F9E">
        <w:rPr>
          <w:rFonts w:ascii="Arial" w:hAnsi="Arial" w:cs="Arial"/>
          <w:i/>
          <w:iCs/>
          <w:color w:val="000000"/>
          <w:sz w:val="20"/>
          <w:szCs w:val="20"/>
        </w:rPr>
        <w:t>idem actor</w:t>
      </w:r>
      <w:r w:rsidRPr="00971F9E">
        <w:rPr>
          <w:rFonts w:ascii="Arial" w:hAnsi="Arial" w:cs="Arial"/>
          <w:color w:val="000000"/>
          <w:sz w:val="20"/>
          <w:szCs w:val="20"/>
        </w:rPr>
        <w:t>, </w:t>
      </w:r>
      <w:r w:rsidRPr="00971F9E">
        <w:rPr>
          <w:rFonts w:ascii="Arial" w:hAnsi="Arial" w:cs="Arial"/>
          <w:i/>
          <w:iCs/>
          <w:color w:val="000000"/>
          <w:sz w:val="20"/>
          <w:szCs w:val="20"/>
        </w:rPr>
        <w:t xml:space="preserve">idem res et </w:t>
      </w:r>
      <w:proofErr w:type="spellStart"/>
      <w:r w:rsidRPr="00971F9E">
        <w:rPr>
          <w:rFonts w:ascii="Arial" w:hAnsi="Arial" w:cs="Arial"/>
          <w:i/>
          <w:iCs/>
          <w:color w:val="000000"/>
          <w:sz w:val="20"/>
          <w:szCs w:val="20"/>
        </w:rPr>
        <w:t>eadem</w:t>
      </w:r>
      <w:proofErr w:type="spellEnd"/>
      <w:r w:rsidRPr="00971F9E">
        <w:rPr>
          <w:rFonts w:ascii="Arial" w:hAnsi="Arial" w:cs="Arial"/>
          <w:i/>
          <w:iCs/>
          <w:color w:val="000000"/>
          <w:sz w:val="20"/>
          <w:szCs w:val="20"/>
        </w:rPr>
        <w:t xml:space="preserve"> causa </w:t>
      </w:r>
      <w:proofErr w:type="spellStart"/>
      <w:r w:rsidRPr="00971F9E">
        <w:rPr>
          <w:rFonts w:ascii="Arial" w:hAnsi="Arial" w:cs="Arial"/>
          <w:i/>
          <w:iCs/>
          <w:color w:val="000000"/>
          <w:sz w:val="20"/>
          <w:szCs w:val="20"/>
        </w:rPr>
        <w:t>petendi</w:t>
      </w:r>
      <w:proofErr w:type="spellEnd"/>
      <w:r w:rsidRPr="00971F9E">
        <w:rPr>
          <w:rFonts w:ascii="Arial" w:hAnsi="Arial" w:cs="Arial"/>
          <w:color w:val="000000"/>
          <w:sz w:val="20"/>
          <w:szCs w:val="20"/>
        </w:rPr>
        <w:t xml:space="preserve">) (see </w:t>
      </w:r>
      <w:proofErr w:type="spellStart"/>
      <w:r w:rsidR="00097CD2" w:rsidRPr="00971F9E">
        <w:rPr>
          <w:rFonts w:ascii="Arial" w:hAnsi="Arial" w:cs="Arial"/>
          <w:color w:val="000000"/>
          <w:sz w:val="20"/>
          <w:szCs w:val="20"/>
        </w:rPr>
        <w:t>eg</w:t>
      </w:r>
      <w:proofErr w:type="spellEnd"/>
      <w:r w:rsidR="00097CD2" w:rsidRPr="00971F9E">
        <w:rPr>
          <w:rFonts w:ascii="Arial" w:hAnsi="Arial" w:cs="Arial"/>
          <w:color w:val="000000"/>
          <w:sz w:val="20"/>
          <w:szCs w:val="20"/>
        </w:rPr>
        <w:t> National</w:t>
      </w:r>
      <w:r w:rsidRPr="00971F9E">
        <w:rPr>
          <w:rFonts w:ascii="Arial" w:hAnsi="Arial" w:cs="Arial"/>
          <w:i/>
          <w:iCs/>
          <w:color w:val="000000"/>
          <w:sz w:val="20"/>
          <w:szCs w:val="20"/>
        </w:rPr>
        <w:t xml:space="preserve"> Sorghum Breweries Ltd (t/a Vivo African Breweries) v International Liquor Distributors (Pty) Ltd</w:t>
      </w:r>
      <w:r>
        <w:rPr>
          <w:rFonts w:ascii="Arial" w:hAnsi="Arial" w:cs="Arial"/>
          <w:i/>
          <w:iCs/>
          <w:color w:val="000000"/>
          <w:sz w:val="20"/>
          <w:szCs w:val="20"/>
        </w:rPr>
        <w:t xml:space="preserve"> 2001 (2) SA 232 </w:t>
      </w:r>
      <w:r w:rsidR="00097CD2">
        <w:rPr>
          <w:rFonts w:ascii="Arial" w:hAnsi="Arial" w:cs="Arial"/>
          <w:i/>
          <w:iCs/>
          <w:color w:val="000000"/>
          <w:sz w:val="20"/>
          <w:szCs w:val="20"/>
        </w:rPr>
        <w:t xml:space="preserve">SCA </w:t>
      </w:r>
      <w:r w:rsidR="00097CD2" w:rsidRPr="00971F9E">
        <w:rPr>
          <w:rFonts w:ascii="Arial" w:hAnsi="Arial" w:cs="Arial"/>
          <w:i/>
          <w:iCs/>
          <w:color w:val="000000"/>
          <w:sz w:val="20"/>
          <w:szCs w:val="20"/>
        </w:rPr>
        <w:t>(</w:t>
      </w:r>
      <w:r w:rsidRPr="00971F9E">
        <w:rPr>
          <w:rFonts w:ascii="Arial" w:hAnsi="Arial" w:cs="Arial"/>
          <w:color w:val="000000"/>
          <w:sz w:val="20"/>
          <w:szCs w:val="20"/>
        </w:rPr>
        <w:t xml:space="preserve">[2001] 1 All SA 417) at 239F – H and the cases there cited). </w:t>
      </w:r>
    </w:p>
    <w:p w14:paraId="0F51F7ED" w14:textId="77777777" w:rsidR="00C90886" w:rsidRPr="00971F9E" w:rsidRDefault="00C90886" w:rsidP="008B67BE">
      <w:pPr>
        <w:ind w:left="720"/>
        <w:jc w:val="both"/>
        <w:rPr>
          <w:rFonts w:ascii="Arial" w:hAnsi="Arial" w:cs="Arial"/>
          <w:sz w:val="20"/>
          <w:szCs w:val="20"/>
        </w:rPr>
      </w:pPr>
    </w:p>
    <w:p w14:paraId="56A0EA08" w14:textId="77777777" w:rsidR="00824ABA" w:rsidRDefault="00097CD2" w:rsidP="008B67BE">
      <w:pPr>
        <w:spacing w:after="0" w:line="360" w:lineRule="auto"/>
        <w:ind w:left="709" w:hanging="709"/>
        <w:jc w:val="both"/>
        <w:rPr>
          <w:rFonts w:ascii="Arial" w:hAnsi="Arial" w:cs="Arial"/>
          <w:sz w:val="24"/>
          <w:szCs w:val="24"/>
        </w:rPr>
      </w:pPr>
      <w:r>
        <w:rPr>
          <w:rFonts w:ascii="Arial" w:hAnsi="Arial" w:cs="Arial"/>
          <w:sz w:val="24"/>
          <w:szCs w:val="24"/>
        </w:rPr>
        <w:lastRenderedPageBreak/>
        <w:t>[14</w:t>
      </w:r>
      <w:r w:rsidR="00824ABA">
        <w:rPr>
          <w:rFonts w:ascii="Arial" w:hAnsi="Arial" w:cs="Arial"/>
          <w:sz w:val="24"/>
          <w:szCs w:val="24"/>
        </w:rPr>
        <w:t xml:space="preserve">]   In </w:t>
      </w:r>
      <w:r w:rsidR="00824ABA" w:rsidRPr="00CA608D">
        <w:rPr>
          <w:rFonts w:ascii="Arial" w:hAnsi="Arial" w:cs="Arial"/>
          <w:b/>
          <w:sz w:val="24"/>
          <w:szCs w:val="24"/>
        </w:rPr>
        <w:t>Democratic Alliance v Brummer</w:t>
      </w:r>
      <w:r w:rsidR="00824ABA">
        <w:rPr>
          <w:rFonts w:ascii="Arial" w:hAnsi="Arial" w:cs="Arial"/>
          <w:sz w:val="24"/>
          <w:szCs w:val="24"/>
        </w:rPr>
        <w:t xml:space="preserve"> </w:t>
      </w:r>
      <w:r w:rsidR="00C1398C">
        <w:rPr>
          <w:rStyle w:val="FootnoteReference"/>
          <w:rFonts w:ascii="Arial" w:hAnsi="Arial" w:cs="Arial"/>
          <w:sz w:val="24"/>
          <w:szCs w:val="24"/>
        </w:rPr>
        <w:footnoteReference w:id="3"/>
      </w:r>
      <w:r w:rsidR="00CA608D">
        <w:rPr>
          <w:rFonts w:ascii="Arial" w:hAnsi="Arial" w:cs="Arial"/>
          <w:sz w:val="24"/>
          <w:szCs w:val="24"/>
        </w:rPr>
        <w:t xml:space="preserve"> </w:t>
      </w:r>
      <w:r w:rsidR="00824ABA">
        <w:rPr>
          <w:rFonts w:ascii="Arial" w:hAnsi="Arial" w:cs="Arial"/>
          <w:sz w:val="24"/>
          <w:szCs w:val="24"/>
        </w:rPr>
        <w:t>the co</w:t>
      </w:r>
      <w:r w:rsidR="00CA608D">
        <w:rPr>
          <w:rFonts w:ascii="Arial" w:hAnsi="Arial" w:cs="Arial"/>
          <w:sz w:val="24"/>
          <w:szCs w:val="24"/>
        </w:rPr>
        <w:t xml:space="preserve">urt dealt with issue estoppel and remarked as </w:t>
      </w:r>
      <w:r w:rsidR="00824ABA">
        <w:rPr>
          <w:rFonts w:ascii="Arial" w:hAnsi="Arial" w:cs="Arial"/>
          <w:sz w:val="24"/>
          <w:szCs w:val="24"/>
        </w:rPr>
        <w:t xml:space="preserve"> follows:</w:t>
      </w:r>
    </w:p>
    <w:p w14:paraId="763F1D51" w14:textId="77777777" w:rsidR="00824ABA" w:rsidRDefault="00824ABA" w:rsidP="008B67BE">
      <w:pPr>
        <w:spacing w:after="0" w:line="360" w:lineRule="auto"/>
        <w:ind w:left="709" w:hanging="709"/>
        <w:jc w:val="both"/>
        <w:rPr>
          <w:rFonts w:ascii="Arial" w:hAnsi="Arial" w:cs="Arial"/>
          <w:sz w:val="24"/>
          <w:szCs w:val="24"/>
        </w:rPr>
      </w:pPr>
    </w:p>
    <w:p w14:paraId="6E549DDD" w14:textId="77777777" w:rsidR="00824ABA" w:rsidRDefault="00A8643E" w:rsidP="008B67BE">
      <w:pPr>
        <w:spacing w:after="0" w:line="360" w:lineRule="auto"/>
        <w:ind w:left="1418"/>
        <w:jc w:val="both"/>
        <w:rPr>
          <w:rFonts w:ascii="Arial" w:hAnsi="Arial" w:cs="Arial"/>
          <w:sz w:val="20"/>
          <w:szCs w:val="20"/>
        </w:rPr>
      </w:pPr>
      <w:r>
        <w:rPr>
          <w:rFonts w:ascii="Arial" w:hAnsi="Arial" w:cs="Arial"/>
          <w:sz w:val="24"/>
          <w:szCs w:val="24"/>
        </w:rPr>
        <w:t>‘</w:t>
      </w:r>
      <w:r>
        <w:rPr>
          <w:rFonts w:ascii="Arial" w:hAnsi="Arial" w:cs="Arial"/>
          <w:sz w:val="20"/>
          <w:szCs w:val="20"/>
        </w:rPr>
        <w:t xml:space="preserve">[13] </w:t>
      </w:r>
      <w:r w:rsidR="00824ABA" w:rsidRPr="00824ABA">
        <w:rPr>
          <w:rFonts w:ascii="Arial" w:hAnsi="Arial" w:cs="Arial"/>
          <w:sz w:val="20"/>
          <w:szCs w:val="20"/>
        </w:rPr>
        <w:t>The first question is to determine whether, as a matter of fact, the same issue of fact or law which was determined by the judgment of the previous court is before another court for determination. This is so because if the same issue (</w:t>
      </w:r>
      <w:proofErr w:type="spellStart"/>
      <w:r w:rsidR="00824ABA" w:rsidRPr="00824ABA">
        <w:rPr>
          <w:rFonts w:ascii="Arial" w:hAnsi="Arial" w:cs="Arial"/>
          <w:i/>
          <w:sz w:val="20"/>
          <w:szCs w:val="20"/>
        </w:rPr>
        <w:t>eadem</w:t>
      </w:r>
      <w:proofErr w:type="spellEnd"/>
      <w:r w:rsidR="00824ABA" w:rsidRPr="00824ABA">
        <w:rPr>
          <w:rFonts w:ascii="Arial" w:hAnsi="Arial" w:cs="Arial"/>
          <w:i/>
          <w:sz w:val="20"/>
          <w:szCs w:val="20"/>
        </w:rPr>
        <w:t xml:space="preserve"> quaestio</w:t>
      </w:r>
      <w:r w:rsidR="00824ABA" w:rsidRPr="00824ABA">
        <w:rPr>
          <w:rFonts w:ascii="Arial" w:hAnsi="Arial" w:cs="Arial"/>
          <w:sz w:val="20"/>
          <w:szCs w:val="20"/>
        </w:rPr>
        <w:t xml:space="preserve">) was not determined by the earlier court, an essential requirement for a plea of </w:t>
      </w:r>
      <w:r w:rsidR="00824ABA" w:rsidRPr="00824ABA">
        <w:rPr>
          <w:rFonts w:ascii="Arial" w:hAnsi="Arial" w:cs="Arial"/>
          <w:i/>
          <w:sz w:val="20"/>
          <w:szCs w:val="20"/>
        </w:rPr>
        <w:t>res judicata</w:t>
      </w:r>
      <w:r w:rsidR="00824ABA" w:rsidRPr="00824ABA">
        <w:rPr>
          <w:rFonts w:ascii="Arial" w:hAnsi="Arial" w:cs="Arial"/>
          <w:sz w:val="20"/>
          <w:szCs w:val="20"/>
        </w:rPr>
        <w:t xml:space="preserve"> in the form of issue estoppel is not met. There is then no scope for upholding the plea. It does not, however, necessarily follow, that once the inquiry establishes that the same issue was determined, the plea must be upheld. That is so because the court considering the plea of issue estoppel is, in every case, concerned with a relaxation of the requirements of </w:t>
      </w:r>
      <w:r w:rsidR="00824ABA" w:rsidRPr="00824ABA">
        <w:rPr>
          <w:rFonts w:ascii="Arial" w:hAnsi="Arial" w:cs="Arial"/>
          <w:i/>
          <w:sz w:val="20"/>
          <w:szCs w:val="20"/>
        </w:rPr>
        <w:t>res judicata</w:t>
      </w:r>
      <w:r w:rsidR="00824ABA" w:rsidRPr="00824ABA">
        <w:rPr>
          <w:rFonts w:ascii="Arial" w:hAnsi="Arial" w:cs="Arial"/>
          <w:sz w:val="20"/>
          <w:szCs w:val="20"/>
        </w:rPr>
        <w:t>. It must therefore, with reference to the facts of the case and considerations of fairness and equity, decide whether in that case, the defence should be upheld</w:t>
      </w:r>
      <w:r w:rsidR="00824ABA">
        <w:rPr>
          <w:rFonts w:ascii="Arial" w:hAnsi="Arial" w:cs="Arial"/>
          <w:sz w:val="20"/>
          <w:szCs w:val="20"/>
        </w:rPr>
        <w:t>’</w:t>
      </w:r>
    </w:p>
    <w:p w14:paraId="3F3927CA" w14:textId="77777777" w:rsidR="00824ABA" w:rsidRPr="00824ABA" w:rsidRDefault="00824ABA" w:rsidP="008B67BE">
      <w:pPr>
        <w:spacing w:after="0" w:line="360" w:lineRule="auto"/>
        <w:ind w:left="709"/>
        <w:jc w:val="both"/>
        <w:rPr>
          <w:rFonts w:ascii="Arial" w:hAnsi="Arial" w:cs="Arial"/>
          <w:sz w:val="20"/>
          <w:szCs w:val="20"/>
        </w:rPr>
      </w:pPr>
      <w:r>
        <w:rPr>
          <w:rFonts w:ascii="Arial" w:hAnsi="Arial" w:cs="Arial"/>
          <w:sz w:val="20"/>
          <w:szCs w:val="20"/>
        </w:rPr>
        <w:t xml:space="preserve"> </w:t>
      </w:r>
    </w:p>
    <w:p w14:paraId="0EB837A5" w14:textId="77777777" w:rsidR="00C90886" w:rsidRDefault="00C90886" w:rsidP="008B67BE">
      <w:pPr>
        <w:spacing w:after="0" w:line="360" w:lineRule="auto"/>
        <w:ind w:left="709" w:hanging="709"/>
        <w:jc w:val="both"/>
        <w:rPr>
          <w:rFonts w:ascii="Arial" w:hAnsi="Arial" w:cs="Arial"/>
          <w:sz w:val="24"/>
          <w:szCs w:val="24"/>
        </w:rPr>
      </w:pPr>
      <w:r>
        <w:rPr>
          <w:rFonts w:ascii="Arial" w:hAnsi="Arial" w:cs="Arial"/>
          <w:sz w:val="24"/>
          <w:szCs w:val="24"/>
        </w:rPr>
        <w:t xml:space="preserve">[15] </w:t>
      </w:r>
      <w:r w:rsidR="00737F55">
        <w:rPr>
          <w:rFonts w:ascii="Arial" w:hAnsi="Arial" w:cs="Arial"/>
          <w:sz w:val="24"/>
          <w:szCs w:val="24"/>
        </w:rPr>
        <w:tab/>
      </w:r>
      <w:r>
        <w:rPr>
          <w:rFonts w:ascii="Arial" w:hAnsi="Arial" w:cs="Arial"/>
          <w:sz w:val="24"/>
          <w:szCs w:val="24"/>
        </w:rPr>
        <w:t xml:space="preserve">In the current matter the applicants are challenging the constitutionality of </w:t>
      </w:r>
      <w:r w:rsidR="00737F55">
        <w:rPr>
          <w:rFonts w:ascii="Arial" w:hAnsi="Arial" w:cs="Arial"/>
          <w:sz w:val="24"/>
          <w:szCs w:val="24"/>
        </w:rPr>
        <w:t xml:space="preserve"> </w:t>
      </w:r>
      <w:r>
        <w:rPr>
          <w:rFonts w:ascii="Arial" w:hAnsi="Arial" w:cs="Arial"/>
          <w:sz w:val="24"/>
          <w:szCs w:val="24"/>
        </w:rPr>
        <w:t xml:space="preserve">specific sections of the </w:t>
      </w:r>
      <w:r w:rsidR="00737F55">
        <w:rPr>
          <w:rFonts w:ascii="Arial" w:hAnsi="Arial" w:cs="Arial"/>
          <w:sz w:val="24"/>
          <w:szCs w:val="24"/>
        </w:rPr>
        <w:t xml:space="preserve">TAA. In the Regional Court they raised a plea that </w:t>
      </w:r>
      <w:r w:rsidR="007D6F3D">
        <w:rPr>
          <w:rFonts w:ascii="Arial" w:hAnsi="Arial" w:cs="Arial"/>
          <w:sz w:val="24"/>
          <w:szCs w:val="24"/>
        </w:rPr>
        <w:t>in addition to the charges levelled against them in that court, SARS has already punished the</w:t>
      </w:r>
      <w:r w:rsidR="00F47C94">
        <w:rPr>
          <w:rFonts w:ascii="Arial" w:hAnsi="Arial" w:cs="Arial"/>
          <w:sz w:val="24"/>
          <w:szCs w:val="24"/>
        </w:rPr>
        <w:t xml:space="preserve">m </w:t>
      </w:r>
      <w:r w:rsidR="007D6F3D">
        <w:rPr>
          <w:rFonts w:ascii="Arial" w:hAnsi="Arial" w:cs="Arial"/>
          <w:sz w:val="24"/>
          <w:szCs w:val="24"/>
        </w:rPr>
        <w:t xml:space="preserve">for the same offence by levying understatement  </w:t>
      </w:r>
      <w:r w:rsidR="00D70650">
        <w:rPr>
          <w:rFonts w:ascii="Arial" w:hAnsi="Arial" w:cs="Arial"/>
          <w:sz w:val="24"/>
          <w:szCs w:val="24"/>
        </w:rPr>
        <w:t>penalties for intentional tax e</w:t>
      </w:r>
      <w:r w:rsidR="007D6F3D">
        <w:rPr>
          <w:rFonts w:ascii="Arial" w:hAnsi="Arial" w:cs="Arial"/>
          <w:sz w:val="24"/>
          <w:szCs w:val="24"/>
        </w:rPr>
        <w:t>vasion at 150%. They were not challeng</w:t>
      </w:r>
      <w:r w:rsidR="00F47C94">
        <w:rPr>
          <w:rFonts w:ascii="Arial" w:hAnsi="Arial" w:cs="Arial"/>
          <w:sz w:val="24"/>
          <w:szCs w:val="24"/>
        </w:rPr>
        <w:t xml:space="preserve">ing the constitutionality </w:t>
      </w:r>
      <w:r w:rsidR="00A8643E">
        <w:rPr>
          <w:rFonts w:ascii="Arial" w:hAnsi="Arial" w:cs="Arial"/>
          <w:sz w:val="24"/>
          <w:szCs w:val="24"/>
        </w:rPr>
        <w:t>of sections</w:t>
      </w:r>
      <w:r w:rsidR="000673E9">
        <w:rPr>
          <w:rFonts w:ascii="Arial" w:hAnsi="Arial" w:cs="Arial"/>
          <w:sz w:val="24"/>
          <w:szCs w:val="24"/>
        </w:rPr>
        <w:t xml:space="preserve"> 222 and 235 </w:t>
      </w:r>
      <w:r w:rsidR="00A8643E">
        <w:rPr>
          <w:rFonts w:ascii="Arial" w:hAnsi="Arial" w:cs="Arial"/>
          <w:sz w:val="24"/>
          <w:szCs w:val="24"/>
        </w:rPr>
        <w:t>of TAA</w:t>
      </w:r>
      <w:r w:rsidR="007D6F3D">
        <w:rPr>
          <w:rFonts w:ascii="Arial" w:hAnsi="Arial" w:cs="Arial"/>
          <w:sz w:val="24"/>
          <w:szCs w:val="24"/>
        </w:rPr>
        <w:t xml:space="preserve">. </w:t>
      </w:r>
    </w:p>
    <w:p w14:paraId="4C3B5E74" w14:textId="77777777" w:rsidR="00A8643E" w:rsidRDefault="00A8643E" w:rsidP="008B67BE">
      <w:pPr>
        <w:spacing w:after="0" w:line="360" w:lineRule="auto"/>
        <w:ind w:left="709" w:hanging="709"/>
        <w:jc w:val="both"/>
        <w:rPr>
          <w:rFonts w:ascii="Arial" w:hAnsi="Arial" w:cs="Arial"/>
          <w:sz w:val="24"/>
          <w:szCs w:val="24"/>
        </w:rPr>
      </w:pPr>
    </w:p>
    <w:p w14:paraId="1CA353BF" w14:textId="77777777" w:rsidR="007D6F3D" w:rsidRPr="008A77D4" w:rsidRDefault="007D6F3D" w:rsidP="008B67BE">
      <w:pPr>
        <w:spacing w:after="0" w:line="360" w:lineRule="auto"/>
        <w:ind w:left="709" w:hanging="709"/>
        <w:jc w:val="both"/>
        <w:rPr>
          <w:rFonts w:ascii="Arial" w:hAnsi="Arial" w:cs="Arial"/>
          <w:sz w:val="24"/>
          <w:szCs w:val="24"/>
        </w:rPr>
      </w:pPr>
      <w:r>
        <w:rPr>
          <w:rFonts w:ascii="Arial" w:hAnsi="Arial" w:cs="Arial"/>
          <w:sz w:val="24"/>
          <w:szCs w:val="24"/>
        </w:rPr>
        <w:t xml:space="preserve">[16]  </w:t>
      </w:r>
      <w:r w:rsidR="009D76CC">
        <w:rPr>
          <w:rFonts w:ascii="Arial" w:hAnsi="Arial" w:cs="Arial"/>
          <w:sz w:val="24"/>
          <w:szCs w:val="24"/>
        </w:rPr>
        <w:t xml:space="preserve"> </w:t>
      </w:r>
      <w:r>
        <w:rPr>
          <w:rFonts w:ascii="Arial" w:hAnsi="Arial" w:cs="Arial"/>
          <w:sz w:val="24"/>
          <w:szCs w:val="24"/>
        </w:rPr>
        <w:t xml:space="preserve"> </w:t>
      </w:r>
      <w:r w:rsidR="00097CD2">
        <w:rPr>
          <w:rFonts w:ascii="Arial" w:hAnsi="Arial" w:cs="Arial"/>
          <w:sz w:val="24"/>
          <w:szCs w:val="24"/>
        </w:rPr>
        <w:tab/>
      </w:r>
      <w:r w:rsidR="00B90BAA">
        <w:rPr>
          <w:rFonts w:ascii="Arial" w:hAnsi="Arial" w:cs="Arial"/>
          <w:sz w:val="24"/>
          <w:szCs w:val="24"/>
        </w:rPr>
        <w:t xml:space="preserve">Although the same issues that are raised in </w:t>
      </w:r>
      <w:r w:rsidR="00C7677A">
        <w:rPr>
          <w:rFonts w:ascii="Arial" w:hAnsi="Arial" w:cs="Arial"/>
          <w:sz w:val="24"/>
          <w:szCs w:val="24"/>
        </w:rPr>
        <w:t xml:space="preserve">this application </w:t>
      </w:r>
      <w:r w:rsidR="00B90BAA">
        <w:rPr>
          <w:rFonts w:ascii="Arial" w:hAnsi="Arial" w:cs="Arial"/>
          <w:sz w:val="24"/>
          <w:szCs w:val="24"/>
        </w:rPr>
        <w:t xml:space="preserve">were </w:t>
      </w:r>
      <w:r w:rsidR="00F47C94">
        <w:rPr>
          <w:rFonts w:ascii="Arial" w:hAnsi="Arial" w:cs="Arial"/>
          <w:sz w:val="24"/>
          <w:szCs w:val="24"/>
        </w:rPr>
        <w:t>considered by</w:t>
      </w:r>
      <w:r w:rsidR="00C7677A">
        <w:rPr>
          <w:rFonts w:ascii="Arial" w:hAnsi="Arial" w:cs="Arial"/>
          <w:sz w:val="24"/>
          <w:szCs w:val="24"/>
        </w:rPr>
        <w:t xml:space="preserve"> the Regional </w:t>
      </w:r>
      <w:r w:rsidR="00A8643E">
        <w:rPr>
          <w:rFonts w:ascii="Arial" w:hAnsi="Arial" w:cs="Arial"/>
          <w:sz w:val="24"/>
          <w:szCs w:val="24"/>
        </w:rPr>
        <w:t>Court and</w:t>
      </w:r>
      <w:r w:rsidR="00B90BAA">
        <w:rPr>
          <w:rFonts w:ascii="Arial" w:hAnsi="Arial" w:cs="Arial"/>
          <w:sz w:val="24"/>
          <w:szCs w:val="24"/>
        </w:rPr>
        <w:t xml:space="preserve"> </w:t>
      </w:r>
      <w:r w:rsidR="00C7677A">
        <w:rPr>
          <w:rFonts w:ascii="Arial" w:hAnsi="Arial" w:cs="Arial"/>
          <w:sz w:val="24"/>
          <w:szCs w:val="24"/>
        </w:rPr>
        <w:t xml:space="preserve">arise from the </w:t>
      </w:r>
      <w:r w:rsidR="00B90BAA">
        <w:rPr>
          <w:rFonts w:ascii="Arial" w:hAnsi="Arial" w:cs="Arial"/>
          <w:sz w:val="24"/>
          <w:szCs w:val="24"/>
        </w:rPr>
        <w:t xml:space="preserve">same </w:t>
      </w:r>
      <w:r w:rsidR="00A8643E">
        <w:rPr>
          <w:rFonts w:ascii="Arial" w:hAnsi="Arial" w:cs="Arial"/>
          <w:sz w:val="24"/>
          <w:szCs w:val="24"/>
        </w:rPr>
        <w:t>facts, the</w:t>
      </w:r>
      <w:r w:rsidR="00CD0423">
        <w:rPr>
          <w:rFonts w:ascii="Arial" w:hAnsi="Arial" w:cs="Arial"/>
          <w:sz w:val="24"/>
          <w:szCs w:val="24"/>
        </w:rPr>
        <w:t xml:space="preserve"> type </w:t>
      </w:r>
      <w:r w:rsidR="00A8643E">
        <w:rPr>
          <w:rFonts w:ascii="Arial" w:hAnsi="Arial" w:cs="Arial"/>
          <w:sz w:val="24"/>
          <w:szCs w:val="24"/>
        </w:rPr>
        <w:t>of relief</w:t>
      </w:r>
      <w:r w:rsidR="00C7677A">
        <w:rPr>
          <w:rFonts w:ascii="Arial" w:hAnsi="Arial" w:cs="Arial"/>
          <w:sz w:val="24"/>
          <w:szCs w:val="24"/>
        </w:rPr>
        <w:t xml:space="preserve"> the applicants</w:t>
      </w:r>
      <w:r w:rsidR="00B90BAA">
        <w:rPr>
          <w:rFonts w:ascii="Arial" w:hAnsi="Arial" w:cs="Arial"/>
          <w:sz w:val="24"/>
          <w:szCs w:val="24"/>
        </w:rPr>
        <w:t xml:space="preserve"> are seeking in the current </w:t>
      </w:r>
      <w:r w:rsidR="00A8643E">
        <w:rPr>
          <w:rFonts w:ascii="Arial" w:hAnsi="Arial" w:cs="Arial"/>
          <w:sz w:val="24"/>
          <w:szCs w:val="24"/>
        </w:rPr>
        <w:t>matter differs from the one</w:t>
      </w:r>
      <w:r w:rsidR="00CD0423">
        <w:rPr>
          <w:rFonts w:ascii="Arial" w:hAnsi="Arial" w:cs="Arial"/>
          <w:sz w:val="24"/>
          <w:szCs w:val="24"/>
        </w:rPr>
        <w:t xml:space="preserve"> they sought </w:t>
      </w:r>
      <w:r w:rsidR="00A8643E">
        <w:rPr>
          <w:rFonts w:ascii="Arial" w:hAnsi="Arial" w:cs="Arial"/>
          <w:sz w:val="24"/>
          <w:szCs w:val="24"/>
        </w:rPr>
        <w:t>before the</w:t>
      </w:r>
      <w:r w:rsidR="00C7677A">
        <w:rPr>
          <w:rFonts w:ascii="Arial" w:hAnsi="Arial" w:cs="Arial"/>
          <w:sz w:val="24"/>
          <w:szCs w:val="24"/>
        </w:rPr>
        <w:t xml:space="preserve"> Regional Court.</w:t>
      </w:r>
      <w:r w:rsidR="000673E9">
        <w:rPr>
          <w:rFonts w:ascii="Arial" w:hAnsi="Arial" w:cs="Arial"/>
          <w:sz w:val="24"/>
          <w:szCs w:val="24"/>
        </w:rPr>
        <w:t xml:space="preserve"> The nature of the two matters are not the same. </w:t>
      </w:r>
      <w:r w:rsidR="00C7677A">
        <w:rPr>
          <w:rFonts w:ascii="Arial" w:hAnsi="Arial" w:cs="Arial"/>
          <w:sz w:val="24"/>
          <w:szCs w:val="24"/>
        </w:rPr>
        <w:t xml:space="preserve"> </w:t>
      </w:r>
      <w:r w:rsidR="00F47C94">
        <w:rPr>
          <w:rFonts w:ascii="Arial" w:hAnsi="Arial" w:cs="Arial"/>
          <w:sz w:val="24"/>
          <w:szCs w:val="24"/>
        </w:rPr>
        <w:t xml:space="preserve">The fact that the facts </w:t>
      </w:r>
      <w:r w:rsidR="00CD0423">
        <w:rPr>
          <w:rFonts w:ascii="Arial" w:hAnsi="Arial" w:cs="Arial"/>
          <w:sz w:val="24"/>
          <w:szCs w:val="24"/>
        </w:rPr>
        <w:t>in both</w:t>
      </w:r>
      <w:r w:rsidR="00F47C94">
        <w:rPr>
          <w:rFonts w:ascii="Arial" w:hAnsi="Arial" w:cs="Arial"/>
          <w:sz w:val="24"/>
          <w:szCs w:val="24"/>
        </w:rPr>
        <w:t xml:space="preserve"> matters overlap does not mean that the defence of issue estoppel can be sustained. Even if the applicants were to appeal the decision of the Regional </w:t>
      </w:r>
      <w:r w:rsidR="00A8643E">
        <w:rPr>
          <w:rFonts w:ascii="Arial" w:hAnsi="Arial" w:cs="Arial"/>
          <w:sz w:val="24"/>
          <w:szCs w:val="24"/>
        </w:rPr>
        <w:t>court,</w:t>
      </w:r>
      <w:r w:rsidR="000673E9">
        <w:rPr>
          <w:rFonts w:ascii="Arial" w:hAnsi="Arial" w:cs="Arial"/>
          <w:sz w:val="24"/>
          <w:szCs w:val="24"/>
        </w:rPr>
        <w:t xml:space="preserve"> </w:t>
      </w:r>
      <w:r w:rsidR="00F47C94">
        <w:rPr>
          <w:rFonts w:ascii="Arial" w:hAnsi="Arial" w:cs="Arial"/>
          <w:sz w:val="24"/>
          <w:szCs w:val="24"/>
        </w:rPr>
        <w:t>the issue of the constitutionality of the i</w:t>
      </w:r>
      <w:r w:rsidR="000673E9">
        <w:rPr>
          <w:rFonts w:ascii="Arial" w:hAnsi="Arial" w:cs="Arial"/>
          <w:sz w:val="24"/>
          <w:szCs w:val="24"/>
        </w:rPr>
        <w:t xml:space="preserve">mpugned sections </w:t>
      </w:r>
      <w:r w:rsidR="00A8643E">
        <w:rPr>
          <w:rFonts w:ascii="Arial" w:hAnsi="Arial" w:cs="Arial"/>
          <w:sz w:val="24"/>
          <w:szCs w:val="24"/>
        </w:rPr>
        <w:t>of TAA</w:t>
      </w:r>
      <w:r w:rsidR="00CD0423">
        <w:rPr>
          <w:rFonts w:ascii="Arial" w:hAnsi="Arial" w:cs="Arial"/>
          <w:sz w:val="24"/>
          <w:szCs w:val="24"/>
        </w:rPr>
        <w:t xml:space="preserve"> would</w:t>
      </w:r>
      <w:r w:rsidR="00F47C94">
        <w:rPr>
          <w:rFonts w:ascii="Arial" w:hAnsi="Arial" w:cs="Arial"/>
          <w:sz w:val="24"/>
          <w:szCs w:val="24"/>
        </w:rPr>
        <w:t xml:space="preserve"> remain unresolved. Therefore the issue estoppel does not arise in the current matter. </w:t>
      </w:r>
    </w:p>
    <w:p w14:paraId="40D0846D" w14:textId="77777777" w:rsidR="00CA182C" w:rsidRDefault="00CA182C" w:rsidP="008B67BE">
      <w:pPr>
        <w:spacing w:after="0" w:line="360" w:lineRule="auto"/>
        <w:ind w:left="709" w:hanging="709"/>
        <w:jc w:val="both"/>
        <w:rPr>
          <w:rFonts w:ascii="Arial" w:hAnsi="Arial" w:cs="Arial"/>
          <w:sz w:val="24"/>
          <w:szCs w:val="24"/>
        </w:rPr>
      </w:pPr>
    </w:p>
    <w:p w14:paraId="1A7532BA" w14:textId="77777777" w:rsidR="00CA182C" w:rsidRDefault="009D76CC" w:rsidP="008B67BE">
      <w:pPr>
        <w:spacing w:after="0" w:line="360" w:lineRule="auto"/>
        <w:ind w:left="709" w:hanging="709"/>
        <w:jc w:val="both"/>
        <w:rPr>
          <w:rFonts w:ascii="Arial" w:hAnsi="Arial" w:cs="Arial"/>
          <w:sz w:val="24"/>
          <w:szCs w:val="24"/>
        </w:rPr>
      </w:pPr>
      <w:r>
        <w:rPr>
          <w:rFonts w:ascii="Arial" w:hAnsi="Arial" w:cs="Arial"/>
          <w:sz w:val="24"/>
          <w:szCs w:val="24"/>
        </w:rPr>
        <w:t>[17</w:t>
      </w:r>
      <w:r w:rsidR="00CA182C">
        <w:rPr>
          <w:rFonts w:ascii="Arial" w:hAnsi="Arial" w:cs="Arial"/>
          <w:sz w:val="24"/>
          <w:szCs w:val="24"/>
        </w:rPr>
        <w:t>]</w:t>
      </w:r>
      <w:r w:rsidR="00CA182C">
        <w:rPr>
          <w:rFonts w:ascii="Arial" w:hAnsi="Arial" w:cs="Arial"/>
          <w:sz w:val="24"/>
          <w:szCs w:val="24"/>
        </w:rPr>
        <w:tab/>
      </w:r>
      <w:r w:rsidR="0070630E">
        <w:rPr>
          <w:rFonts w:ascii="Arial" w:hAnsi="Arial" w:cs="Arial"/>
          <w:sz w:val="24"/>
          <w:szCs w:val="24"/>
        </w:rPr>
        <w:t>Double jeo</w:t>
      </w:r>
      <w:r w:rsidR="0023770B">
        <w:rPr>
          <w:rFonts w:ascii="Arial" w:hAnsi="Arial" w:cs="Arial"/>
          <w:sz w:val="24"/>
          <w:szCs w:val="24"/>
        </w:rPr>
        <w:t>pa</w:t>
      </w:r>
      <w:r w:rsidR="0070630E">
        <w:rPr>
          <w:rFonts w:ascii="Arial" w:hAnsi="Arial" w:cs="Arial"/>
          <w:sz w:val="24"/>
          <w:szCs w:val="24"/>
        </w:rPr>
        <w:t>r</w:t>
      </w:r>
      <w:r w:rsidR="0023770B">
        <w:rPr>
          <w:rFonts w:ascii="Arial" w:hAnsi="Arial" w:cs="Arial"/>
          <w:sz w:val="24"/>
          <w:szCs w:val="24"/>
        </w:rPr>
        <w:t xml:space="preserve">dy is a universally recognised principle in many legal systems across the world. This principle stems from the rule that </w:t>
      </w:r>
      <w:r w:rsidR="002351DB">
        <w:rPr>
          <w:rFonts w:ascii="Arial" w:hAnsi="Arial" w:cs="Arial"/>
          <w:sz w:val="24"/>
          <w:szCs w:val="24"/>
        </w:rPr>
        <w:t>no one may</w:t>
      </w:r>
      <w:r w:rsidR="0023770B">
        <w:rPr>
          <w:rFonts w:ascii="Arial" w:hAnsi="Arial" w:cs="Arial"/>
          <w:sz w:val="24"/>
          <w:szCs w:val="24"/>
        </w:rPr>
        <w:t xml:space="preserve"> be </w:t>
      </w:r>
      <w:r w:rsidR="0023770B">
        <w:rPr>
          <w:rFonts w:ascii="Arial" w:hAnsi="Arial" w:cs="Arial"/>
          <w:sz w:val="24"/>
          <w:szCs w:val="24"/>
        </w:rPr>
        <w:lastRenderedPageBreak/>
        <w:t xml:space="preserve">punished for the same offence twice. </w:t>
      </w:r>
      <w:r w:rsidR="002351DB">
        <w:rPr>
          <w:rFonts w:ascii="Arial" w:hAnsi="Arial" w:cs="Arial"/>
          <w:sz w:val="24"/>
          <w:szCs w:val="24"/>
        </w:rPr>
        <w:t xml:space="preserve">The rule </w:t>
      </w:r>
      <w:r w:rsidR="0023770B">
        <w:rPr>
          <w:rFonts w:ascii="Arial" w:hAnsi="Arial" w:cs="Arial"/>
          <w:sz w:val="24"/>
          <w:szCs w:val="24"/>
        </w:rPr>
        <w:t xml:space="preserve">prevents </w:t>
      </w:r>
      <w:r w:rsidR="0025108E">
        <w:rPr>
          <w:rFonts w:ascii="Arial" w:hAnsi="Arial" w:cs="Arial"/>
          <w:sz w:val="24"/>
          <w:szCs w:val="24"/>
        </w:rPr>
        <w:t>repeated</w:t>
      </w:r>
      <w:r w:rsidR="002351DB">
        <w:rPr>
          <w:rFonts w:ascii="Arial" w:hAnsi="Arial" w:cs="Arial"/>
          <w:sz w:val="24"/>
          <w:szCs w:val="24"/>
        </w:rPr>
        <w:t xml:space="preserve"> </w:t>
      </w:r>
      <w:r w:rsidR="0023770B">
        <w:rPr>
          <w:rFonts w:ascii="Arial" w:hAnsi="Arial" w:cs="Arial"/>
          <w:sz w:val="24"/>
          <w:szCs w:val="24"/>
        </w:rPr>
        <w:t>prosecution</w:t>
      </w:r>
      <w:r w:rsidR="0025108E">
        <w:rPr>
          <w:rFonts w:ascii="Arial" w:hAnsi="Arial" w:cs="Arial"/>
          <w:sz w:val="24"/>
          <w:szCs w:val="24"/>
        </w:rPr>
        <w:t>s</w:t>
      </w:r>
      <w:r w:rsidR="0023770B">
        <w:rPr>
          <w:rFonts w:ascii="Arial" w:hAnsi="Arial" w:cs="Arial"/>
          <w:sz w:val="24"/>
          <w:szCs w:val="24"/>
        </w:rPr>
        <w:t xml:space="preserve"> for the </w:t>
      </w:r>
      <w:r w:rsidR="0025108E">
        <w:rPr>
          <w:rFonts w:ascii="Arial" w:hAnsi="Arial" w:cs="Arial"/>
          <w:sz w:val="24"/>
          <w:szCs w:val="24"/>
        </w:rPr>
        <w:t xml:space="preserve">same offence. It was introduced into our legal system through common </w:t>
      </w:r>
      <w:r w:rsidR="008C7F82">
        <w:rPr>
          <w:rFonts w:ascii="Arial" w:hAnsi="Arial" w:cs="Arial"/>
          <w:sz w:val="24"/>
          <w:szCs w:val="24"/>
        </w:rPr>
        <w:t xml:space="preserve">law </w:t>
      </w:r>
      <w:r w:rsidR="0025108E">
        <w:rPr>
          <w:rFonts w:ascii="Arial" w:hAnsi="Arial" w:cs="Arial"/>
          <w:sz w:val="24"/>
          <w:szCs w:val="24"/>
        </w:rPr>
        <w:t xml:space="preserve">and </w:t>
      </w:r>
      <w:r w:rsidR="00386E8D">
        <w:rPr>
          <w:rFonts w:ascii="Arial" w:hAnsi="Arial" w:cs="Arial"/>
          <w:sz w:val="24"/>
          <w:szCs w:val="24"/>
        </w:rPr>
        <w:t xml:space="preserve">gained statutory recognition in Section 106(1) (c) of the CPA. </w:t>
      </w:r>
      <w:r w:rsidR="008C7F82">
        <w:rPr>
          <w:rFonts w:ascii="Arial" w:hAnsi="Arial" w:cs="Arial"/>
          <w:sz w:val="24"/>
          <w:szCs w:val="24"/>
        </w:rPr>
        <w:t>The rule was endorsed in section 35(3) (m) of the 1996 Constitution of South Africa,  1996</w:t>
      </w:r>
      <w:r w:rsidR="008C7F82">
        <w:rPr>
          <w:rStyle w:val="FootnoteReference"/>
          <w:rFonts w:ascii="Arial" w:hAnsi="Arial" w:cs="Arial"/>
          <w:sz w:val="24"/>
          <w:szCs w:val="24"/>
        </w:rPr>
        <w:footnoteReference w:id="4"/>
      </w:r>
      <w:r w:rsidR="008C7F82">
        <w:rPr>
          <w:rFonts w:ascii="Arial" w:hAnsi="Arial" w:cs="Arial"/>
          <w:sz w:val="24"/>
          <w:szCs w:val="24"/>
        </w:rPr>
        <w:t xml:space="preserve"> as a fundamental right of the accused </w:t>
      </w:r>
      <w:r w:rsidR="000673E9">
        <w:rPr>
          <w:rFonts w:ascii="Arial" w:hAnsi="Arial" w:cs="Arial"/>
          <w:sz w:val="24"/>
          <w:szCs w:val="24"/>
        </w:rPr>
        <w:t>to</w:t>
      </w:r>
      <w:r w:rsidR="00C77546">
        <w:rPr>
          <w:rFonts w:ascii="Arial" w:hAnsi="Arial" w:cs="Arial"/>
          <w:sz w:val="24"/>
          <w:szCs w:val="24"/>
        </w:rPr>
        <w:t xml:space="preserve"> a fair trial. The subsectio</w:t>
      </w:r>
      <w:r w:rsidR="00D705F7">
        <w:rPr>
          <w:rFonts w:ascii="Arial" w:hAnsi="Arial" w:cs="Arial"/>
          <w:sz w:val="24"/>
          <w:szCs w:val="24"/>
        </w:rPr>
        <w:t>n</w:t>
      </w:r>
      <w:r w:rsidR="008C7F82">
        <w:rPr>
          <w:rFonts w:ascii="Arial" w:hAnsi="Arial" w:cs="Arial"/>
          <w:sz w:val="24"/>
          <w:szCs w:val="24"/>
        </w:rPr>
        <w:t xml:space="preserve">  provides as follows: </w:t>
      </w:r>
    </w:p>
    <w:p w14:paraId="1D27B6FB" w14:textId="77777777" w:rsidR="008C7F82" w:rsidRDefault="008C7F82" w:rsidP="008B67BE">
      <w:pPr>
        <w:spacing w:after="0" w:line="360" w:lineRule="auto"/>
        <w:ind w:left="709"/>
        <w:jc w:val="both"/>
        <w:rPr>
          <w:rFonts w:ascii="Arial" w:hAnsi="Arial" w:cs="Arial"/>
          <w:sz w:val="20"/>
          <w:szCs w:val="20"/>
        </w:rPr>
      </w:pPr>
    </w:p>
    <w:p w14:paraId="17A37182" w14:textId="77777777" w:rsidR="008C7F82" w:rsidRPr="00A8643E" w:rsidRDefault="008C7F82" w:rsidP="008B67BE">
      <w:pPr>
        <w:spacing w:after="0" w:line="360" w:lineRule="auto"/>
        <w:ind w:left="1418"/>
        <w:jc w:val="both"/>
        <w:rPr>
          <w:rFonts w:ascii="Arial" w:hAnsi="Arial" w:cs="Arial"/>
          <w:sz w:val="20"/>
          <w:szCs w:val="20"/>
        </w:rPr>
      </w:pPr>
      <w:r w:rsidRPr="0023770B">
        <w:rPr>
          <w:rFonts w:ascii="Arial" w:hAnsi="Arial" w:cs="Arial"/>
          <w:sz w:val="20"/>
          <w:szCs w:val="20"/>
        </w:rPr>
        <w:t>“Every accused person has a right to a fair trial, which includes the right‒ … not to be tried for an offence in respect of an act or omission for which that person has previously been either acquitted or convicted.”</w:t>
      </w:r>
    </w:p>
    <w:p w14:paraId="74465626" w14:textId="77777777" w:rsidR="008C7F82" w:rsidRDefault="008C7F82" w:rsidP="008B67BE">
      <w:pPr>
        <w:spacing w:after="0" w:line="360" w:lineRule="auto"/>
        <w:ind w:left="709" w:hanging="709"/>
        <w:jc w:val="both"/>
        <w:rPr>
          <w:rFonts w:ascii="Arial" w:hAnsi="Arial" w:cs="Arial"/>
          <w:sz w:val="24"/>
          <w:szCs w:val="24"/>
        </w:rPr>
      </w:pPr>
    </w:p>
    <w:p w14:paraId="4963EC69" w14:textId="77777777" w:rsidR="00CA182C" w:rsidRDefault="00F47C94" w:rsidP="008B67BE">
      <w:pPr>
        <w:spacing w:after="0" w:line="360" w:lineRule="auto"/>
        <w:ind w:left="709" w:hanging="709"/>
        <w:jc w:val="both"/>
        <w:rPr>
          <w:rFonts w:ascii="Arial" w:hAnsi="Arial" w:cs="Arial"/>
          <w:sz w:val="24"/>
          <w:szCs w:val="24"/>
        </w:rPr>
      </w:pPr>
      <w:r>
        <w:rPr>
          <w:rFonts w:ascii="Arial" w:hAnsi="Arial" w:cs="Arial"/>
          <w:sz w:val="24"/>
          <w:szCs w:val="24"/>
        </w:rPr>
        <w:t>[18</w:t>
      </w:r>
      <w:r w:rsidR="00A8643E">
        <w:rPr>
          <w:rFonts w:ascii="Arial" w:hAnsi="Arial" w:cs="Arial"/>
          <w:sz w:val="24"/>
          <w:szCs w:val="24"/>
        </w:rPr>
        <w:t xml:space="preserve">] </w:t>
      </w:r>
      <w:r w:rsidR="00097CD2">
        <w:rPr>
          <w:rFonts w:ascii="Arial" w:hAnsi="Arial" w:cs="Arial"/>
          <w:sz w:val="24"/>
          <w:szCs w:val="24"/>
        </w:rPr>
        <w:tab/>
      </w:r>
      <w:r w:rsidR="00A8643E">
        <w:rPr>
          <w:rFonts w:ascii="Arial" w:hAnsi="Arial" w:cs="Arial"/>
          <w:sz w:val="24"/>
          <w:szCs w:val="24"/>
        </w:rPr>
        <w:t>Section</w:t>
      </w:r>
      <w:r w:rsidR="002A171F">
        <w:rPr>
          <w:rFonts w:ascii="Arial" w:hAnsi="Arial" w:cs="Arial"/>
          <w:sz w:val="24"/>
          <w:szCs w:val="24"/>
        </w:rPr>
        <w:t xml:space="preserve"> 22</w:t>
      </w:r>
      <w:r w:rsidR="000673E9">
        <w:rPr>
          <w:rFonts w:ascii="Arial" w:hAnsi="Arial" w:cs="Arial"/>
          <w:sz w:val="24"/>
          <w:szCs w:val="24"/>
        </w:rPr>
        <w:t>2 of the TAA provides</w:t>
      </w:r>
      <w:r w:rsidR="002A171F">
        <w:rPr>
          <w:rFonts w:ascii="Arial" w:hAnsi="Arial" w:cs="Arial"/>
          <w:sz w:val="24"/>
          <w:szCs w:val="24"/>
        </w:rPr>
        <w:t xml:space="preserve">: </w:t>
      </w:r>
    </w:p>
    <w:p w14:paraId="197154AF" w14:textId="77777777" w:rsidR="002A171F" w:rsidRDefault="002A171F" w:rsidP="008B67BE">
      <w:pPr>
        <w:spacing w:after="0" w:line="360" w:lineRule="auto"/>
        <w:ind w:left="709" w:hanging="709"/>
        <w:jc w:val="both"/>
        <w:rPr>
          <w:rFonts w:ascii="Arial" w:hAnsi="Arial" w:cs="Arial"/>
          <w:sz w:val="24"/>
          <w:szCs w:val="24"/>
        </w:rPr>
      </w:pPr>
    </w:p>
    <w:p w14:paraId="2BCA7D91" w14:textId="77777777" w:rsidR="002A171F" w:rsidRPr="002A171F" w:rsidRDefault="002A171F" w:rsidP="008B67BE">
      <w:pPr>
        <w:numPr>
          <w:ilvl w:val="0"/>
          <w:numId w:val="3"/>
        </w:numPr>
        <w:shd w:val="clear" w:color="auto" w:fill="FFFFFF"/>
        <w:tabs>
          <w:tab w:val="clear" w:pos="720"/>
        </w:tabs>
        <w:spacing w:after="0" w:line="240" w:lineRule="auto"/>
        <w:ind w:left="1418" w:hanging="1058"/>
        <w:jc w:val="both"/>
        <w:rPr>
          <w:rFonts w:ascii="Arial" w:eastAsia="Times New Roman" w:hAnsi="Arial" w:cs="Arial"/>
          <w:color w:val="242121"/>
          <w:sz w:val="20"/>
          <w:szCs w:val="20"/>
          <w:lang w:eastAsia="en-ZA"/>
        </w:rPr>
      </w:pPr>
      <w:r w:rsidRPr="002A171F">
        <w:rPr>
          <w:rFonts w:ascii="Arial" w:eastAsia="Times New Roman" w:hAnsi="Arial" w:cs="Arial"/>
          <w:b/>
          <w:bCs/>
          <w:color w:val="242121"/>
          <w:sz w:val="20"/>
          <w:szCs w:val="20"/>
          <w:lang w:eastAsia="en-ZA"/>
        </w:rPr>
        <w:t>Understatement penalty</w:t>
      </w:r>
    </w:p>
    <w:p w14:paraId="123FDBCD" w14:textId="77777777" w:rsidR="002A171F" w:rsidRPr="002A171F" w:rsidRDefault="002A171F" w:rsidP="008B67BE">
      <w:pPr>
        <w:shd w:val="clear" w:color="auto" w:fill="FFFFFF"/>
        <w:spacing w:before="144" w:after="288" w:line="240" w:lineRule="auto"/>
        <w:ind w:left="1418"/>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(1) In the event of an ‘understatement’ by a taxpayer, the taxpayer must pay, in addition to the ‘tax’ payable for the relevant tax period, the understatement penalty determined under subsection (2) unless the ‘understatement’ results from a </w:t>
      </w:r>
      <w:r w:rsidRPr="002A171F">
        <w:rPr>
          <w:rFonts w:ascii="Arial" w:eastAsia="Times New Roman" w:hAnsi="Arial" w:cs="Arial"/>
          <w:i/>
          <w:iCs/>
          <w:color w:val="242121"/>
          <w:sz w:val="20"/>
          <w:szCs w:val="20"/>
          <w:lang w:eastAsia="en-ZA"/>
        </w:rPr>
        <w:t>bona fide</w:t>
      </w:r>
      <w:r w:rsidRPr="002A171F">
        <w:rPr>
          <w:rFonts w:ascii="Arial" w:eastAsia="Times New Roman" w:hAnsi="Arial" w:cs="Arial"/>
          <w:color w:val="242121"/>
          <w:sz w:val="20"/>
          <w:szCs w:val="20"/>
          <w:lang w:eastAsia="en-ZA"/>
        </w:rPr>
        <w:t> inadvertent error.</w:t>
      </w:r>
    </w:p>
    <w:p w14:paraId="36DFFCD3" w14:textId="77777777" w:rsidR="002A171F" w:rsidRPr="002A171F" w:rsidRDefault="002A171F" w:rsidP="008B67BE">
      <w:pPr>
        <w:shd w:val="clear" w:color="auto" w:fill="FFFFFF"/>
        <w:spacing w:before="144" w:after="288" w:line="240" w:lineRule="auto"/>
        <w:ind w:left="1418"/>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(2) The understatement penalty is the amount resulting from applying the highest applicable understatement penalty percentage in accordance with the table in section 223 to each shortfall determined under subsections (3) and (4) in relation to each “understatement”.</w:t>
      </w:r>
    </w:p>
    <w:p w14:paraId="49F2EAB7" w14:textId="77777777" w:rsidR="002A171F" w:rsidRPr="002A171F" w:rsidRDefault="005E19FE" w:rsidP="008B67BE">
      <w:pPr>
        <w:shd w:val="clear" w:color="auto" w:fill="FFFFFF"/>
        <w:spacing w:before="144" w:after="288" w:line="240" w:lineRule="auto"/>
        <w:ind w:left="851" w:firstLine="420"/>
        <w:jc w:val="both"/>
        <w:rPr>
          <w:rFonts w:ascii="Arial" w:eastAsia="Times New Roman" w:hAnsi="Arial" w:cs="Arial"/>
          <w:color w:val="242121"/>
          <w:sz w:val="20"/>
          <w:szCs w:val="20"/>
          <w:lang w:eastAsia="en-ZA"/>
        </w:rPr>
      </w:pPr>
      <w:r w:rsidRPr="005E19FE">
        <w:rPr>
          <w:rFonts w:ascii="Arial" w:eastAsia="Times New Roman" w:hAnsi="Arial" w:cs="Arial"/>
          <w:color w:val="242121"/>
          <w:sz w:val="20"/>
          <w:szCs w:val="20"/>
          <w:lang w:eastAsia="en-ZA"/>
        </w:rPr>
        <w:t xml:space="preserve"> </w:t>
      </w:r>
      <w:r>
        <w:rPr>
          <w:rFonts w:ascii="Arial" w:eastAsia="Times New Roman" w:hAnsi="Arial" w:cs="Arial"/>
          <w:color w:val="242121"/>
          <w:sz w:val="20"/>
          <w:szCs w:val="20"/>
          <w:lang w:eastAsia="en-ZA"/>
        </w:rPr>
        <w:tab/>
      </w:r>
      <w:r w:rsidR="002A171F" w:rsidRPr="002A171F">
        <w:rPr>
          <w:rFonts w:ascii="Arial" w:eastAsia="Times New Roman" w:hAnsi="Arial" w:cs="Arial"/>
          <w:color w:val="242121"/>
          <w:sz w:val="20"/>
          <w:szCs w:val="20"/>
          <w:lang w:eastAsia="en-ZA"/>
        </w:rPr>
        <w:t>(3) The shortfall is the sum of—</w:t>
      </w:r>
    </w:p>
    <w:p w14:paraId="072353F0" w14:textId="77777777" w:rsidR="002A171F" w:rsidRPr="002A171F" w:rsidRDefault="002A171F" w:rsidP="008B67BE">
      <w:pPr>
        <w:shd w:val="clear" w:color="auto" w:fill="FFFFFF"/>
        <w:spacing w:before="144" w:after="288" w:line="240" w:lineRule="auto"/>
        <w:ind w:left="1418"/>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(a) the difference between the amount of ‘tax’ properly chargeable for the tax period and the amount of ‘tax’ that would have been chargeable for the tax period if the ‘understatement’ were accepted;</w:t>
      </w:r>
    </w:p>
    <w:p w14:paraId="7157CF6A" w14:textId="77777777" w:rsidR="002A171F" w:rsidRPr="002A171F" w:rsidRDefault="00097CD2" w:rsidP="008B67BE">
      <w:pPr>
        <w:shd w:val="clear" w:color="auto" w:fill="FFFFFF"/>
        <w:spacing w:before="144" w:after="288" w:line="240" w:lineRule="auto"/>
        <w:ind w:left="1418" w:hanging="284"/>
        <w:jc w:val="both"/>
        <w:rPr>
          <w:rFonts w:ascii="Arial" w:eastAsia="Times New Roman" w:hAnsi="Arial" w:cs="Arial"/>
          <w:color w:val="242121"/>
          <w:sz w:val="20"/>
          <w:szCs w:val="20"/>
          <w:lang w:eastAsia="en-ZA"/>
        </w:rPr>
      </w:pPr>
      <w:r>
        <w:rPr>
          <w:rFonts w:ascii="Arial" w:eastAsia="Times New Roman" w:hAnsi="Arial" w:cs="Arial"/>
          <w:color w:val="242121"/>
          <w:sz w:val="20"/>
          <w:szCs w:val="20"/>
          <w:lang w:eastAsia="en-ZA"/>
        </w:rPr>
        <w:tab/>
      </w:r>
      <w:r w:rsidR="002A171F" w:rsidRPr="002A171F">
        <w:rPr>
          <w:rFonts w:ascii="Arial" w:eastAsia="Times New Roman" w:hAnsi="Arial" w:cs="Arial"/>
          <w:color w:val="242121"/>
          <w:sz w:val="20"/>
          <w:szCs w:val="20"/>
          <w:lang w:eastAsia="en-ZA"/>
        </w:rPr>
        <w:t>(b) the difference between the amount properly refundable for the tax period and the amount that would have been refundable if the ‘understatement’ were accepted; and</w:t>
      </w:r>
    </w:p>
    <w:p w14:paraId="50BCFC4F" w14:textId="77777777" w:rsidR="002A171F" w:rsidRPr="002A171F" w:rsidRDefault="002A171F" w:rsidP="008B67BE">
      <w:pPr>
        <w:shd w:val="clear" w:color="auto" w:fill="FFFFFF"/>
        <w:spacing w:before="144" w:after="288" w:line="240" w:lineRule="auto"/>
        <w:ind w:left="1418"/>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(c) the difference between the amount of an assessed loss or any other benefit to the taxpayer properly carried forward from the tax period to a succeeding tax period and the amount that would have been carried forward if the ‘understatement’ were accepted, multiplied by the tax rate determined under subsection (5).</w:t>
      </w:r>
    </w:p>
    <w:p w14:paraId="7D2844A1" w14:textId="77777777" w:rsidR="002A171F" w:rsidRPr="002A171F" w:rsidRDefault="002A171F" w:rsidP="008B67BE">
      <w:pPr>
        <w:shd w:val="clear" w:color="auto" w:fill="FFFFFF"/>
        <w:spacing w:before="144" w:after="288" w:line="240" w:lineRule="auto"/>
        <w:ind w:left="1418"/>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(4) (</w:t>
      </w:r>
      <w:r w:rsidR="00097CD2" w:rsidRPr="002A171F">
        <w:rPr>
          <w:rFonts w:ascii="Arial" w:eastAsia="Times New Roman" w:hAnsi="Arial" w:cs="Arial"/>
          <w:color w:val="242121"/>
          <w:sz w:val="20"/>
          <w:szCs w:val="20"/>
          <w:lang w:eastAsia="en-ZA"/>
        </w:rPr>
        <w:t>a) If</w:t>
      </w:r>
      <w:r w:rsidRPr="002A171F">
        <w:rPr>
          <w:rFonts w:ascii="Arial" w:eastAsia="Times New Roman" w:hAnsi="Arial" w:cs="Arial"/>
          <w:color w:val="242121"/>
          <w:sz w:val="20"/>
          <w:szCs w:val="20"/>
          <w:lang w:eastAsia="en-ZA"/>
        </w:rPr>
        <w:t xml:space="preserve"> there is a difference under both paragraphs (a) and (b) of subsection (3), the shortfall must be reduced by the amount of any duplication between the paragraphs.</w:t>
      </w:r>
    </w:p>
    <w:p w14:paraId="0CDDBDD7" w14:textId="77777777" w:rsidR="002A171F" w:rsidRPr="002A171F" w:rsidRDefault="002A171F" w:rsidP="008B67BE">
      <w:pPr>
        <w:shd w:val="clear" w:color="auto" w:fill="FFFFFF"/>
        <w:spacing w:before="144" w:after="288" w:line="240" w:lineRule="auto"/>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 </w:t>
      </w:r>
    </w:p>
    <w:p w14:paraId="31C8A391" w14:textId="77777777" w:rsidR="002A171F" w:rsidRPr="002A171F" w:rsidRDefault="002A171F" w:rsidP="008B67BE">
      <w:pPr>
        <w:shd w:val="clear" w:color="auto" w:fill="FFFFFF"/>
        <w:spacing w:before="144" w:after="288" w:line="240" w:lineRule="auto"/>
        <w:ind w:left="1418"/>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lastRenderedPageBreak/>
        <w:t>(b)     Where the ‘understatement’ is the failure to submit a return, the ‘tax’ that resulted from the ‘understatement’, had the ‘understatement’ been accepted, for purposes of subsection (3), must be regarded as nil.</w:t>
      </w:r>
    </w:p>
    <w:p w14:paraId="7937CFEF" w14:textId="77777777" w:rsidR="002A171F" w:rsidRPr="002A171F" w:rsidRDefault="002A171F" w:rsidP="008B67BE">
      <w:pPr>
        <w:shd w:val="clear" w:color="auto" w:fill="FFFFFF"/>
        <w:spacing w:before="144" w:after="288" w:line="240" w:lineRule="auto"/>
        <w:ind w:left="1418" w:firstLine="11"/>
        <w:jc w:val="both"/>
        <w:rPr>
          <w:rFonts w:ascii="Arial" w:eastAsia="Times New Roman" w:hAnsi="Arial" w:cs="Arial"/>
          <w:color w:val="242121"/>
          <w:sz w:val="20"/>
          <w:szCs w:val="20"/>
          <w:lang w:eastAsia="en-ZA"/>
        </w:rPr>
      </w:pPr>
      <w:r w:rsidRPr="002A171F">
        <w:rPr>
          <w:rFonts w:ascii="Arial" w:eastAsia="Times New Roman" w:hAnsi="Arial" w:cs="Arial"/>
          <w:color w:val="242121"/>
          <w:sz w:val="20"/>
          <w:szCs w:val="20"/>
          <w:lang w:eastAsia="en-ZA"/>
        </w:rPr>
        <w:t>(5) The tax rate applicable to the shortfall determined under subsections (3) and (4) is the maximum tax rate applicable to the taxpayer, ignoring an assessed loss or any other benefit brought forward from a preceding tax period to the tax period.</w:t>
      </w:r>
    </w:p>
    <w:p w14:paraId="6D30F0FE" w14:textId="77777777" w:rsidR="00B32CBC" w:rsidRDefault="00B32CBC" w:rsidP="008B67BE">
      <w:pPr>
        <w:shd w:val="clear" w:color="auto" w:fill="FFFFFF"/>
        <w:spacing w:after="0" w:line="240" w:lineRule="auto"/>
        <w:jc w:val="both"/>
        <w:rPr>
          <w:rFonts w:ascii="Arial" w:hAnsi="Arial" w:cs="Arial"/>
          <w:sz w:val="24"/>
          <w:szCs w:val="24"/>
        </w:rPr>
      </w:pPr>
    </w:p>
    <w:p w14:paraId="099A3324" w14:textId="77777777" w:rsidR="00B32CBC" w:rsidRDefault="00B32CBC" w:rsidP="008B67BE">
      <w:pPr>
        <w:shd w:val="clear" w:color="auto" w:fill="FFFFFF"/>
        <w:spacing w:after="0" w:line="240" w:lineRule="auto"/>
        <w:ind w:left="480" w:hanging="480"/>
        <w:jc w:val="both"/>
        <w:rPr>
          <w:rFonts w:ascii="Arial" w:hAnsi="Arial" w:cs="Arial"/>
          <w:sz w:val="24"/>
          <w:szCs w:val="24"/>
        </w:rPr>
      </w:pPr>
      <w:r>
        <w:rPr>
          <w:rFonts w:ascii="Arial" w:hAnsi="Arial" w:cs="Arial"/>
          <w:sz w:val="24"/>
          <w:szCs w:val="24"/>
        </w:rPr>
        <w:t xml:space="preserve">[19] </w:t>
      </w:r>
      <w:r w:rsidR="00097CD2">
        <w:rPr>
          <w:rFonts w:ascii="Arial" w:hAnsi="Arial" w:cs="Arial"/>
          <w:sz w:val="24"/>
          <w:szCs w:val="24"/>
        </w:rPr>
        <w:tab/>
      </w:r>
      <w:r w:rsidR="00097CD2">
        <w:rPr>
          <w:rFonts w:ascii="Arial" w:hAnsi="Arial" w:cs="Arial"/>
          <w:sz w:val="24"/>
          <w:szCs w:val="24"/>
        </w:rPr>
        <w:tab/>
      </w:r>
      <w:r w:rsidR="007C0856">
        <w:rPr>
          <w:rFonts w:ascii="Arial" w:hAnsi="Arial" w:cs="Arial"/>
          <w:sz w:val="24"/>
          <w:szCs w:val="24"/>
        </w:rPr>
        <w:t>An understatement is defined in Section 221 of the TAA as follows:</w:t>
      </w:r>
    </w:p>
    <w:p w14:paraId="7BA8B115" w14:textId="77777777" w:rsidR="007C0856" w:rsidRDefault="007C0856" w:rsidP="008B67BE">
      <w:pPr>
        <w:pStyle w:val="Default"/>
        <w:ind w:firstLine="720"/>
        <w:jc w:val="both"/>
        <w:rPr>
          <w:sz w:val="20"/>
          <w:szCs w:val="20"/>
        </w:rPr>
      </w:pPr>
    </w:p>
    <w:p w14:paraId="119E7E00" w14:textId="77777777" w:rsidR="007C0856" w:rsidRPr="007C0856" w:rsidRDefault="00097CD2" w:rsidP="008B67BE">
      <w:pPr>
        <w:pStyle w:val="Default"/>
        <w:ind w:firstLine="720"/>
        <w:jc w:val="both"/>
        <w:rPr>
          <w:rFonts w:ascii="Arial" w:hAnsi="Arial" w:cs="Arial"/>
          <w:sz w:val="20"/>
          <w:szCs w:val="20"/>
        </w:rPr>
      </w:pPr>
      <w:r>
        <w:rPr>
          <w:sz w:val="20"/>
          <w:szCs w:val="20"/>
        </w:rPr>
        <w:tab/>
      </w:r>
      <w:r w:rsidR="007C0856">
        <w:rPr>
          <w:sz w:val="20"/>
          <w:szCs w:val="20"/>
        </w:rPr>
        <w:t xml:space="preserve"> </w:t>
      </w:r>
      <w:r w:rsidRPr="007C0856">
        <w:rPr>
          <w:rFonts w:ascii="Arial" w:hAnsi="Arial" w:cs="Arial"/>
          <w:sz w:val="20"/>
          <w:szCs w:val="20"/>
        </w:rPr>
        <w:t>“‘</w:t>
      </w:r>
      <w:r w:rsidR="007C0856" w:rsidRPr="007C0856">
        <w:rPr>
          <w:rFonts w:ascii="Arial" w:hAnsi="Arial" w:cs="Arial"/>
          <w:b/>
          <w:bCs/>
          <w:sz w:val="20"/>
          <w:szCs w:val="20"/>
        </w:rPr>
        <w:t xml:space="preserve">understatement’ </w:t>
      </w:r>
      <w:r w:rsidR="007C0856" w:rsidRPr="007C0856">
        <w:rPr>
          <w:rFonts w:ascii="Arial" w:hAnsi="Arial" w:cs="Arial"/>
          <w:sz w:val="20"/>
          <w:szCs w:val="20"/>
        </w:rPr>
        <w:t xml:space="preserve">means any prejudice to SARS or the fiscus as a result of— </w:t>
      </w:r>
    </w:p>
    <w:p w14:paraId="085473C9" w14:textId="77777777" w:rsidR="007C0856" w:rsidRPr="007C0856" w:rsidRDefault="00097CD2" w:rsidP="008B67BE">
      <w:pPr>
        <w:pStyle w:val="Default"/>
        <w:ind w:firstLine="720"/>
        <w:jc w:val="both"/>
        <w:rPr>
          <w:rFonts w:ascii="Arial" w:hAnsi="Arial" w:cs="Arial"/>
          <w:sz w:val="20"/>
          <w:szCs w:val="20"/>
        </w:rPr>
      </w:pPr>
      <w:r>
        <w:rPr>
          <w:rFonts w:ascii="Arial" w:hAnsi="Arial" w:cs="Arial"/>
          <w:sz w:val="20"/>
          <w:szCs w:val="20"/>
        </w:rPr>
        <w:tab/>
      </w:r>
      <w:r w:rsidR="007C0856" w:rsidRPr="007C0856">
        <w:rPr>
          <w:rFonts w:ascii="Arial" w:hAnsi="Arial" w:cs="Arial"/>
          <w:sz w:val="20"/>
          <w:szCs w:val="20"/>
        </w:rPr>
        <w:t>(</w:t>
      </w:r>
      <w:r w:rsidR="007C0856" w:rsidRPr="007C0856">
        <w:rPr>
          <w:rFonts w:ascii="Arial" w:hAnsi="Arial" w:cs="Arial"/>
          <w:i/>
          <w:iCs/>
          <w:sz w:val="20"/>
          <w:szCs w:val="20"/>
        </w:rPr>
        <w:t>a</w:t>
      </w:r>
      <w:r w:rsidR="007C0856" w:rsidRPr="007C0856">
        <w:rPr>
          <w:rFonts w:ascii="Arial" w:hAnsi="Arial" w:cs="Arial"/>
          <w:sz w:val="20"/>
          <w:szCs w:val="20"/>
        </w:rPr>
        <w:t>) a default in rendering a return;</w:t>
      </w:r>
    </w:p>
    <w:p w14:paraId="2AEA98D3" w14:textId="77777777" w:rsidR="007C0856" w:rsidRPr="007C0856" w:rsidRDefault="00097CD2" w:rsidP="008B67BE">
      <w:pPr>
        <w:pStyle w:val="Default"/>
        <w:ind w:firstLine="720"/>
        <w:jc w:val="both"/>
        <w:rPr>
          <w:rFonts w:ascii="Arial" w:hAnsi="Arial" w:cs="Arial"/>
          <w:sz w:val="20"/>
          <w:szCs w:val="20"/>
        </w:rPr>
      </w:pPr>
      <w:r>
        <w:rPr>
          <w:rFonts w:ascii="Arial" w:hAnsi="Arial" w:cs="Arial"/>
          <w:i/>
          <w:iCs/>
          <w:sz w:val="20"/>
          <w:szCs w:val="20"/>
        </w:rPr>
        <w:tab/>
      </w:r>
      <w:r w:rsidR="007C0856" w:rsidRPr="007C0856">
        <w:rPr>
          <w:rFonts w:ascii="Arial" w:hAnsi="Arial" w:cs="Arial"/>
          <w:i/>
          <w:iCs/>
          <w:sz w:val="20"/>
          <w:szCs w:val="20"/>
        </w:rPr>
        <w:t>b</w:t>
      </w:r>
      <w:r w:rsidR="007C0856" w:rsidRPr="007C0856">
        <w:rPr>
          <w:rFonts w:ascii="Arial" w:hAnsi="Arial" w:cs="Arial"/>
          <w:sz w:val="20"/>
          <w:szCs w:val="20"/>
        </w:rPr>
        <w:t>) an omission from a return;</w:t>
      </w:r>
    </w:p>
    <w:p w14:paraId="04F58FFA" w14:textId="77777777" w:rsidR="007C0856" w:rsidRPr="007C0856" w:rsidRDefault="00097CD2" w:rsidP="008B67BE">
      <w:pPr>
        <w:pStyle w:val="Default"/>
        <w:ind w:firstLine="720"/>
        <w:jc w:val="both"/>
        <w:rPr>
          <w:rFonts w:ascii="Arial" w:hAnsi="Arial" w:cs="Arial"/>
          <w:sz w:val="20"/>
          <w:szCs w:val="20"/>
        </w:rPr>
      </w:pPr>
      <w:r>
        <w:rPr>
          <w:rFonts w:ascii="Arial" w:hAnsi="Arial" w:cs="Arial"/>
          <w:sz w:val="20"/>
          <w:szCs w:val="20"/>
        </w:rPr>
        <w:tab/>
      </w:r>
      <w:r w:rsidR="007C0856" w:rsidRPr="007C0856">
        <w:rPr>
          <w:rFonts w:ascii="Arial" w:hAnsi="Arial" w:cs="Arial"/>
          <w:sz w:val="20"/>
          <w:szCs w:val="20"/>
        </w:rPr>
        <w:t>(</w:t>
      </w:r>
      <w:r w:rsidR="007C0856" w:rsidRPr="007C0856">
        <w:rPr>
          <w:rFonts w:ascii="Arial" w:hAnsi="Arial" w:cs="Arial"/>
          <w:i/>
          <w:iCs/>
          <w:sz w:val="20"/>
          <w:szCs w:val="20"/>
        </w:rPr>
        <w:t>c</w:t>
      </w:r>
      <w:r w:rsidR="007C0856" w:rsidRPr="007C0856">
        <w:rPr>
          <w:rFonts w:ascii="Arial" w:hAnsi="Arial" w:cs="Arial"/>
          <w:sz w:val="20"/>
          <w:szCs w:val="20"/>
        </w:rPr>
        <w:t>) an incorrect statement in a return;</w:t>
      </w:r>
    </w:p>
    <w:p w14:paraId="5BA11B92" w14:textId="77777777" w:rsidR="007C0856" w:rsidRPr="007C0856" w:rsidRDefault="00097CD2" w:rsidP="008B67BE">
      <w:pPr>
        <w:pStyle w:val="Default"/>
        <w:ind w:firstLine="480"/>
        <w:jc w:val="both"/>
        <w:rPr>
          <w:rFonts w:ascii="Arial" w:hAnsi="Arial" w:cs="Arial"/>
          <w:sz w:val="20"/>
          <w:szCs w:val="20"/>
        </w:rPr>
      </w:pPr>
      <w:r>
        <w:rPr>
          <w:rFonts w:ascii="Arial" w:hAnsi="Arial" w:cs="Arial"/>
          <w:sz w:val="20"/>
          <w:szCs w:val="20"/>
        </w:rPr>
        <w:tab/>
      </w:r>
      <w:r>
        <w:rPr>
          <w:rFonts w:ascii="Arial" w:hAnsi="Arial" w:cs="Arial"/>
          <w:sz w:val="20"/>
          <w:szCs w:val="20"/>
        </w:rPr>
        <w:tab/>
      </w:r>
      <w:r w:rsidR="007C0856" w:rsidRPr="007C0856">
        <w:rPr>
          <w:rFonts w:ascii="Arial" w:hAnsi="Arial" w:cs="Arial"/>
          <w:sz w:val="20"/>
          <w:szCs w:val="20"/>
        </w:rPr>
        <w:t>(</w:t>
      </w:r>
      <w:r w:rsidR="007C0856" w:rsidRPr="007C0856">
        <w:rPr>
          <w:rFonts w:ascii="Arial" w:hAnsi="Arial" w:cs="Arial"/>
          <w:i/>
          <w:iCs/>
          <w:sz w:val="20"/>
          <w:szCs w:val="20"/>
        </w:rPr>
        <w:t>d</w:t>
      </w:r>
      <w:r w:rsidR="007C0856" w:rsidRPr="007C0856">
        <w:rPr>
          <w:rFonts w:ascii="Arial" w:hAnsi="Arial" w:cs="Arial"/>
          <w:sz w:val="20"/>
          <w:szCs w:val="20"/>
        </w:rPr>
        <w:t>) if no return is required, the failure to pay the correct amount of ‘</w:t>
      </w:r>
      <w:proofErr w:type="spellStart"/>
      <w:r w:rsidR="007C0856" w:rsidRPr="007C0856">
        <w:rPr>
          <w:rFonts w:ascii="Arial" w:hAnsi="Arial" w:cs="Arial"/>
          <w:sz w:val="20"/>
          <w:szCs w:val="20"/>
        </w:rPr>
        <w:t>tax’;or</w:t>
      </w:r>
      <w:proofErr w:type="spellEnd"/>
      <w:r w:rsidR="007C0856" w:rsidRPr="007C0856">
        <w:rPr>
          <w:rFonts w:ascii="Arial" w:hAnsi="Arial" w:cs="Arial"/>
          <w:sz w:val="20"/>
          <w:szCs w:val="20"/>
        </w:rPr>
        <w:t xml:space="preserve"> </w:t>
      </w:r>
    </w:p>
    <w:p w14:paraId="4EABA141" w14:textId="77777777" w:rsidR="007C0856" w:rsidRPr="007C0856" w:rsidRDefault="00097CD2" w:rsidP="008B67BE">
      <w:pPr>
        <w:shd w:val="clear" w:color="auto" w:fill="FFFFFF"/>
        <w:spacing w:after="0" w:line="240" w:lineRule="auto"/>
        <w:ind w:left="480"/>
        <w:jc w:val="both"/>
        <w:rPr>
          <w:rFonts w:ascii="Arial" w:hAnsi="Arial" w:cs="Arial"/>
          <w:sz w:val="24"/>
          <w:szCs w:val="24"/>
        </w:rPr>
      </w:pPr>
      <w:r>
        <w:rPr>
          <w:rFonts w:ascii="Arial" w:hAnsi="Arial" w:cs="Arial"/>
          <w:sz w:val="20"/>
          <w:szCs w:val="20"/>
        </w:rPr>
        <w:tab/>
      </w:r>
      <w:r>
        <w:rPr>
          <w:rFonts w:ascii="Arial" w:hAnsi="Arial" w:cs="Arial"/>
          <w:sz w:val="20"/>
          <w:szCs w:val="20"/>
        </w:rPr>
        <w:tab/>
      </w:r>
      <w:r w:rsidR="007C0856" w:rsidRPr="007C0856">
        <w:rPr>
          <w:rFonts w:ascii="Arial" w:hAnsi="Arial" w:cs="Arial"/>
          <w:sz w:val="20"/>
          <w:szCs w:val="20"/>
        </w:rPr>
        <w:t>(</w:t>
      </w:r>
      <w:r w:rsidR="007C0856" w:rsidRPr="007C0856">
        <w:rPr>
          <w:rFonts w:ascii="Arial" w:hAnsi="Arial" w:cs="Arial"/>
          <w:i/>
          <w:iCs/>
          <w:sz w:val="20"/>
          <w:szCs w:val="20"/>
        </w:rPr>
        <w:t>e</w:t>
      </w:r>
      <w:r w:rsidR="007C0856" w:rsidRPr="007C0856">
        <w:rPr>
          <w:rFonts w:ascii="Arial" w:hAnsi="Arial" w:cs="Arial"/>
          <w:sz w:val="20"/>
          <w:szCs w:val="20"/>
        </w:rPr>
        <w:t>) an ‘impermissible avoidance arrangement.”</w:t>
      </w:r>
    </w:p>
    <w:p w14:paraId="29562610" w14:textId="77777777" w:rsidR="00097CD2" w:rsidRDefault="007C0856" w:rsidP="008B67BE">
      <w:pPr>
        <w:shd w:val="clear" w:color="auto" w:fill="FFFFFF"/>
        <w:spacing w:after="0" w:line="240" w:lineRule="auto"/>
        <w:ind w:left="480"/>
        <w:jc w:val="both"/>
        <w:rPr>
          <w:rFonts w:ascii="Arial" w:hAnsi="Arial" w:cs="Arial"/>
          <w:sz w:val="24"/>
          <w:szCs w:val="24"/>
        </w:rPr>
      </w:pPr>
      <w:r>
        <w:rPr>
          <w:rFonts w:ascii="Arial" w:hAnsi="Arial" w:cs="Arial"/>
          <w:sz w:val="24"/>
          <w:szCs w:val="24"/>
        </w:rPr>
        <w:tab/>
      </w:r>
    </w:p>
    <w:p w14:paraId="68FEF96B" w14:textId="77777777" w:rsidR="001F38E1" w:rsidRDefault="007C0856" w:rsidP="008B67BE">
      <w:pPr>
        <w:shd w:val="clear" w:color="auto" w:fill="FFFFFF"/>
        <w:spacing w:after="0" w:line="360" w:lineRule="auto"/>
        <w:ind w:left="709" w:hanging="709"/>
        <w:jc w:val="both"/>
        <w:rPr>
          <w:rFonts w:ascii="Arial" w:hAnsi="Arial" w:cs="Arial"/>
          <w:sz w:val="24"/>
          <w:szCs w:val="24"/>
        </w:rPr>
      </w:pPr>
      <w:r>
        <w:rPr>
          <w:rFonts w:ascii="Arial" w:hAnsi="Arial" w:cs="Arial"/>
          <w:sz w:val="24"/>
          <w:szCs w:val="24"/>
        </w:rPr>
        <w:t>[20]</w:t>
      </w:r>
      <w:r w:rsidR="00097CD2">
        <w:rPr>
          <w:rFonts w:ascii="Arial" w:hAnsi="Arial" w:cs="Arial"/>
          <w:sz w:val="24"/>
          <w:szCs w:val="24"/>
        </w:rPr>
        <w:tab/>
      </w:r>
      <w:r w:rsidR="000E0C2B">
        <w:rPr>
          <w:rFonts w:ascii="Arial" w:hAnsi="Arial" w:cs="Arial"/>
          <w:sz w:val="24"/>
          <w:szCs w:val="24"/>
        </w:rPr>
        <w:tab/>
      </w:r>
      <w:r w:rsidR="00CD0423">
        <w:rPr>
          <w:rFonts w:ascii="Arial" w:hAnsi="Arial" w:cs="Arial"/>
          <w:sz w:val="24"/>
          <w:szCs w:val="24"/>
        </w:rPr>
        <w:t>The applicants contended that the understatement penalty is</w:t>
      </w:r>
      <w:r w:rsidR="000673E9">
        <w:rPr>
          <w:rFonts w:ascii="Arial" w:hAnsi="Arial" w:cs="Arial"/>
          <w:sz w:val="24"/>
          <w:szCs w:val="24"/>
        </w:rPr>
        <w:t xml:space="preserve"> a criminal </w:t>
      </w:r>
      <w:r w:rsidR="00097CD2">
        <w:rPr>
          <w:rFonts w:ascii="Arial" w:hAnsi="Arial" w:cs="Arial"/>
          <w:sz w:val="24"/>
          <w:szCs w:val="24"/>
        </w:rPr>
        <w:tab/>
      </w:r>
      <w:r w:rsidR="000673E9">
        <w:rPr>
          <w:rFonts w:ascii="Arial" w:hAnsi="Arial" w:cs="Arial"/>
          <w:sz w:val="24"/>
          <w:szCs w:val="24"/>
        </w:rPr>
        <w:t xml:space="preserve">punishment </w:t>
      </w:r>
      <w:r w:rsidR="00A8643E">
        <w:rPr>
          <w:rFonts w:ascii="Arial" w:hAnsi="Arial" w:cs="Arial"/>
          <w:sz w:val="24"/>
          <w:szCs w:val="24"/>
        </w:rPr>
        <w:t>hence TAA</w:t>
      </w:r>
      <w:r w:rsidR="00CD0423">
        <w:rPr>
          <w:rFonts w:ascii="Arial" w:hAnsi="Arial" w:cs="Arial"/>
          <w:sz w:val="24"/>
          <w:szCs w:val="24"/>
        </w:rPr>
        <w:t xml:space="preserve"> </w:t>
      </w:r>
      <w:r w:rsidR="000E0C2B">
        <w:rPr>
          <w:rFonts w:ascii="Arial" w:hAnsi="Arial" w:cs="Arial"/>
          <w:sz w:val="24"/>
          <w:szCs w:val="24"/>
        </w:rPr>
        <w:t xml:space="preserve">distinguishes it from the </w:t>
      </w:r>
      <w:r w:rsidR="00CD0423">
        <w:rPr>
          <w:rFonts w:ascii="Arial" w:hAnsi="Arial" w:cs="Arial"/>
          <w:sz w:val="24"/>
          <w:szCs w:val="24"/>
        </w:rPr>
        <w:t>other administrative penalti</w:t>
      </w:r>
      <w:r w:rsidR="000673E9">
        <w:rPr>
          <w:rFonts w:ascii="Arial" w:hAnsi="Arial" w:cs="Arial"/>
          <w:sz w:val="24"/>
          <w:szCs w:val="24"/>
        </w:rPr>
        <w:t xml:space="preserve">es defined in section 208 </w:t>
      </w:r>
      <w:r w:rsidR="00A8643E">
        <w:rPr>
          <w:rFonts w:ascii="Arial" w:hAnsi="Arial" w:cs="Arial"/>
          <w:sz w:val="24"/>
          <w:szCs w:val="24"/>
        </w:rPr>
        <w:t>of TAA</w:t>
      </w:r>
      <w:r w:rsidR="00CD0423">
        <w:rPr>
          <w:rFonts w:ascii="Arial" w:hAnsi="Arial" w:cs="Arial"/>
          <w:sz w:val="24"/>
          <w:szCs w:val="24"/>
        </w:rPr>
        <w:t>.  They, further, submitted that the administrative penalties are automated and mechanical in nature un</w:t>
      </w:r>
      <w:r w:rsidR="000E0C2B">
        <w:rPr>
          <w:rFonts w:ascii="Arial" w:hAnsi="Arial" w:cs="Arial"/>
          <w:sz w:val="24"/>
          <w:szCs w:val="24"/>
        </w:rPr>
        <w:t>l</w:t>
      </w:r>
      <w:r w:rsidR="00CD0423">
        <w:rPr>
          <w:rFonts w:ascii="Arial" w:hAnsi="Arial" w:cs="Arial"/>
          <w:sz w:val="24"/>
          <w:szCs w:val="24"/>
        </w:rPr>
        <w:t xml:space="preserve">ike the understatement penalties which require that an enquiry be held before they are levied. </w:t>
      </w:r>
      <w:r w:rsidR="000E0C2B">
        <w:rPr>
          <w:rFonts w:ascii="Arial" w:hAnsi="Arial" w:cs="Arial"/>
          <w:sz w:val="24"/>
          <w:szCs w:val="24"/>
        </w:rPr>
        <w:t>In their view the process</w:t>
      </w:r>
      <w:r w:rsidR="000673E9">
        <w:rPr>
          <w:rFonts w:ascii="Arial" w:hAnsi="Arial" w:cs="Arial"/>
          <w:sz w:val="24"/>
          <w:szCs w:val="24"/>
        </w:rPr>
        <w:t xml:space="preserve"> followed</w:t>
      </w:r>
      <w:r w:rsidR="000E0C2B">
        <w:rPr>
          <w:rFonts w:ascii="Arial" w:hAnsi="Arial" w:cs="Arial"/>
          <w:sz w:val="24"/>
          <w:szCs w:val="24"/>
        </w:rPr>
        <w:t xml:space="preserve"> in levying understatement penalties is the same as the process</w:t>
      </w:r>
      <w:r w:rsidR="000673E9">
        <w:rPr>
          <w:rFonts w:ascii="Arial" w:hAnsi="Arial" w:cs="Arial"/>
          <w:sz w:val="24"/>
          <w:szCs w:val="24"/>
        </w:rPr>
        <w:t xml:space="preserve"> </w:t>
      </w:r>
      <w:r w:rsidR="000E0C2B">
        <w:rPr>
          <w:rFonts w:ascii="Arial" w:hAnsi="Arial" w:cs="Arial"/>
          <w:sz w:val="24"/>
          <w:szCs w:val="24"/>
        </w:rPr>
        <w:t>in the criminal court.</w:t>
      </w:r>
      <w:r w:rsidR="001F38E1">
        <w:rPr>
          <w:rFonts w:ascii="Arial" w:hAnsi="Arial" w:cs="Arial"/>
          <w:sz w:val="24"/>
          <w:szCs w:val="24"/>
        </w:rPr>
        <w:t xml:space="preserve"> </w:t>
      </w:r>
    </w:p>
    <w:p w14:paraId="18B37443" w14:textId="77777777" w:rsidR="001F38E1" w:rsidRDefault="001F38E1" w:rsidP="008B67BE">
      <w:pPr>
        <w:shd w:val="clear" w:color="auto" w:fill="FFFFFF"/>
        <w:spacing w:after="0" w:line="360" w:lineRule="auto"/>
        <w:ind w:left="1440" w:hanging="960"/>
        <w:jc w:val="both"/>
        <w:rPr>
          <w:rFonts w:ascii="Arial" w:hAnsi="Arial" w:cs="Arial"/>
          <w:sz w:val="24"/>
          <w:szCs w:val="24"/>
        </w:rPr>
      </w:pPr>
    </w:p>
    <w:p w14:paraId="377FE184" w14:textId="77777777" w:rsidR="00BB1C1A" w:rsidRDefault="001C4A35" w:rsidP="008B67BE">
      <w:pPr>
        <w:autoSpaceDE w:val="0"/>
        <w:autoSpaceDN w:val="0"/>
        <w:adjustRightInd w:val="0"/>
        <w:spacing w:after="0" w:line="360" w:lineRule="auto"/>
        <w:ind w:left="610" w:hanging="610"/>
        <w:jc w:val="both"/>
        <w:rPr>
          <w:rFonts w:ascii="Arial" w:hAnsi="Arial" w:cs="Arial"/>
          <w:sz w:val="24"/>
          <w:szCs w:val="24"/>
        </w:rPr>
      </w:pPr>
      <w:r>
        <w:rPr>
          <w:rFonts w:ascii="Arial" w:hAnsi="Arial" w:cs="Arial"/>
          <w:sz w:val="24"/>
          <w:szCs w:val="24"/>
        </w:rPr>
        <w:t>[21</w:t>
      </w:r>
      <w:r w:rsidR="001F38E1">
        <w:rPr>
          <w:rFonts w:ascii="Arial" w:hAnsi="Arial" w:cs="Arial"/>
          <w:sz w:val="24"/>
          <w:szCs w:val="24"/>
        </w:rPr>
        <w:t xml:space="preserve">] </w:t>
      </w:r>
      <w:r w:rsidR="00F97914">
        <w:rPr>
          <w:rFonts w:ascii="Arial" w:hAnsi="Arial" w:cs="Arial"/>
          <w:sz w:val="24"/>
          <w:szCs w:val="24"/>
        </w:rPr>
        <w:tab/>
        <w:t>T</w:t>
      </w:r>
      <w:r w:rsidR="001F38E1">
        <w:rPr>
          <w:rFonts w:ascii="Arial" w:hAnsi="Arial" w:cs="Arial"/>
          <w:sz w:val="24"/>
          <w:szCs w:val="24"/>
        </w:rPr>
        <w:t xml:space="preserve">he applicants are relying </w:t>
      </w:r>
      <w:r w:rsidR="008A06EA">
        <w:rPr>
          <w:rFonts w:ascii="Arial" w:hAnsi="Arial" w:cs="Arial"/>
          <w:sz w:val="24"/>
          <w:szCs w:val="24"/>
        </w:rPr>
        <w:t xml:space="preserve"> on</w:t>
      </w:r>
      <w:r w:rsidR="00E2090B">
        <w:rPr>
          <w:rFonts w:ascii="Arial" w:hAnsi="Arial" w:cs="Arial"/>
          <w:sz w:val="24"/>
          <w:szCs w:val="24"/>
        </w:rPr>
        <w:t xml:space="preserve">  Canadian cases , </w:t>
      </w:r>
      <w:r w:rsidR="008A06EA">
        <w:rPr>
          <w:rFonts w:ascii="Arial" w:hAnsi="Arial" w:cs="Arial"/>
          <w:sz w:val="24"/>
          <w:szCs w:val="24"/>
        </w:rPr>
        <w:t xml:space="preserve"> </w:t>
      </w:r>
      <w:r w:rsidR="008A06EA" w:rsidRPr="008A06EA">
        <w:rPr>
          <w:rFonts w:ascii="Arial" w:hAnsi="Arial" w:cs="Arial"/>
          <w:b/>
          <w:sz w:val="24"/>
          <w:szCs w:val="24"/>
        </w:rPr>
        <w:t>Wigglesworth v R</w:t>
      </w:r>
      <w:r w:rsidR="008A06EA">
        <w:rPr>
          <w:rStyle w:val="FootnoteReference"/>
          <w:rFonts w:ascii="Arial" w:hAnsi="Arial" w:cs="Arial"/>
          <w:sz w:val="24"/>
          <w:szCs w:val="24"/>
        </w:rPr>
        <w:footnoteReference w:id="5"/>
      </w:r>
      <w:r w:rsidR="00E2090B">
        <w:rPr>
          <w:rFonts w:ascii="Arial" w:hAnsi="Arial" w:cs="Arial"/>
          <w:sz w:val="24"/>
          <w:szCs w:val="24"/>
        </w:rPr>
        <w:t xml:space="preserve"> and </w:t>
      </w:r>
      <w:r w:rsidR="008A06EA">
        <w:rPr>
          <w:rFonts w:ascii="Arial" w:hAnsi="Arial" w:cs="Arial"/>
          <w:sz w:val="24"/>
          <w:szCs w:val="24"/>
        </w:rPr>
        <w:t xml:space="preserve"> </w:t>
      </w:r>
      <w:r w:rsidR="008A06EA" w:rsidRPr="008A06EA">
        <w:rPr>
          <w:rFonts w:ascii="Arial" w:hAnsi="Arial" w:cs="Arial"/>
          <w:b/>
          <w:sz w:val="24"/>
          <w:szCs w:val="24"/>
        </w:rPr>
        <w:t>R v</w:t>
      </w:r>
      <w:r w:rsidR="008A06EA">
        <w:rPr>
          <w:rFonts w:ascii="Arial" w:hAnsi="Arial" w:cs="Arial"/>
          <w:sz w:val="24"/>
          <w:szCs w:val="24"/>
        </w:rPr>
        <w:t xml:space="preserve"> </w:t>
      </w:r>
      <w:proofErr w:type="spellStart"/>
      <w:r w:rsidR="008A06EA" w:rsidRPr="008A06EA">
        <w:rPr>
          <w:rFonts w:ascii="Arial" w:hAnsi="Arial" w:cs="Arial"/>
          <w:b/>
          <w:sz w:val="24"/>
          <w:szCs w:val="24"/>
        </w:rPr>
        <w:t>Shubley</w:t>
      </w:r>
      <w:proofErr w:type="spellEnd"/>
      <w:r w:rsidR="008A06EA">
        <w:rPr>
          <w:rStyle w:val="FootnoteReference"/>
          <w:rFonts w:ascii="Arial" w:hAnsi="Arial" w:cs="Arial"/>
          <w:sz w:val="24"/>
          <w:szCs w:val="24"/>
        </w:rPr>
        <w:footnoteReference w:id="6"/>
      </w:r>
      <w:r w:rsidR="008A06EA">
        <w:rPr>
          <w:rFonts w:ascii="Arial" w:hAnsi="Arial" w:cs="Arial"/>
          <w:sz w:val="24"/>
          <w:szCs w:val="24"/>
        </w:rPr>
        <w:t xml:space="preserve">  </w:t>
      </w:r>
      <w:r w:rsidR="00E2090B">
        <w:rPr>
          <w:rFonts w:ascii="Arial" w:hAnsi="Arial" w:cs="Arial"/>
          <w:sz w:val="24"/>
          <w:szCs w:val="24"/>
        </w:rPr>
        <w:t>to support their assertion that an understatement penalty levied by SARS is a criminal punishment in that the applicants have been called twice by the state to answer to society on the same offence. T</w:t>
      </w:r>
      <w:r w:rsidR="00123105">
        <w:rPr>
          <w:rFonts w:ascii="Arial" w:hAnsi="Arial" w:cs="Arial"/>
          <w:sz w:val="24"/>
          <w:szCs w:val="24"/>
        </w:rPr>
        <w:t xml:space="preserve">he applicants, relying on </w:t>
      </w:r>
      <w:r w:rsidR="008A06EA">
        <w:rPr>
          <w:rFonts w:ascii="Arial" w:hAnsi="Arial" w:cs="Arial"/>
          <w:sz w:val="24"/>
          <w:szCs w:val="24"/>
        </w:rPr>
        <w:t xml:space="preserve"> </w:t>
      </w:r>
      <w:r w:rsidR="008A06EA" w:rsidRPr="00FE49CF">
        <w:rPr>
          <w:rFonts w:ascii="Arial" w:hAnsi="Arial" w:cs="Arial"/>
          <w:b/>
          <w:sz w:val="24"/>
          <w:szCs w:val="24"/>
        </w:rPr>
        <w:t>United States v Halper</w:t>
      </w:r>
      <w:r w:rsidR="008A06EA">
        <w:rPr>
          <w:rFonts w:ascii="Arial" w:hAnsi="Arial" w:cs="Arial"/>
          <w:sz w:val="24"/>
          <w:szCs w:val="24"/>
        </w:rPr>
        <w:t xml:space="preserve"> </w:t>
      </w:r>
      <w:r w:rsidR="008A06EA">
        <w:rPr>
          <w:rStyle w:val="FootnoteReference"/>
          <w:rFonts w:ascii="Arial" w:hAnsi="Arial" w:cs="Arial"/>
          <w:sz w:val="24"/>
          <w:szCs w:val="24"/>
        </w:rPr>
        <w:footnoteReference w:id="7"/>
      </w:r>
      <w:r w:rsidR="008A06EA">
        <w:rPr>
          <w:rFonts w:ascii="Arial" w:hAnsi="Arial" w:cs="Arial"/>
          <w:sz w:val="24"/>
          <w:szCs w:val="24"/>
        </w:rPr>
        <w:t xml:space="preserve"> </w:t>
      </w:r>
      <w:r w:rsidR="00123105">
        <w:rPr>
          <w:rFonts w:ascii="Arial" w:hAnsi="Arial" w:cs="Arial"/>
          <w:sz w:val="24"/>
          <w:szCs w:val="24"/>
        </w:rPr>
        <w:t>, submitted that</w:t>
      </w:r>
      <w:r w:rsidR="00282799">
        <w:rPr>
          <w:rFonts w:ascii="Arial" w:hAnsi="Arial" w:cs="Arial"/>
          <w:sz w:val="24"/>
          <w:szCs w:val="24"/>
        </w:rPr>
        <w:t xml:space="preserve"> under the double jeopardy defence, a </w:t>
      </w:r>
      <w:r w:rsidR="00123105">
        <w:rPr>
          <w:rFonts w:ascii="Arial" w:hAnsi="Arial" w:cs="Arial"/>
          <w:sz w:val="24"/>
          <w:szCs w:val="24"/>
        </w:rPr>
        <w:t xml:space="preserve"> person </w:t>
      </w:r>
      <w:r w:rsidR="0070630E">
        <w:rPr>
          <w:rFonts w:ascii="Arial" w:hAnsi="Arial" w:cs="Arial"/>
          <w:sz w:val="24"/>
          <w:szCs w:val="24"/>
        </w:rPr>
        <w:t>who has already been punished in a</w:t>
      </w:r>
      <w:r w:rsidR="00282799">
        <w:rPr>
          <w:rFonts w:ascii="Arial" w:hAnsi="Arial" w:cs="Arial"/>
          <w:sz w:val="24"/>
          <w:szCs w:val="24"/>
        </w:rPr>
        <w:t xml:space="preserve"> criminal prosecution may not be subjected to an additional civil remedy based upon the same conduct where the civil remedy constitutes punishment.  </w:t>
      </w:r>
    </w:p>
    <w:p w14:paraId="3FFB611E" w14:textId="77777777" w:rsidR="00123105" w:rsidRDefault="00123105" w:rsidP="008B67BE">
      <w:pPr>
        <w:autoSpaceDE w:val="0"/>
        <w:autoSpaceDN w:val="0"/>
        <w:adjustRightInd w:val="0"/>
        <w:spacing w:after="0" w:line="240" w:lineRule="auto"/>
        <w:ind w:left="610" w:hanging="610"/>
        <w:jc w:val="both"/>
        <w:rPr>
          <w:rFonts w:ascii="Arial" w:hAnsi="Arial" w:cs="Arial"/>
          <w:sz w:val="24"/>
          <w:szCs w:val="24"/>
        </w:rPr>
      </w:pPr>
    </w:p>
    <w:p w14:paraId="29C97F69" w14:textId="77777777" w:rsidR="00BB1C1A" w:rsidRDefault="001C4A35" w:rsidP="008B67BE">
      <w:pPr>
        <w:autoSpaceDE w:val="0"/>
        <w:autoSpaceDN w:val="0"/>
        <w:adjustRightInd w:val="0"/>
        <w:spacing w:after="0" w:line="240" w:lineRule="auto"/>
        <w:ind w:left="610" w:hanging="610"/>
        <w:jc w:val="both"/>
        <w:rPr>
          <w:rFonts w:ascii="Arial" w:hAnsi="Arial" w:cs="Arial"/>
          <w:sz w:val="24"/>
          <w:szCs w:val="24"/>
        </w:rPr>
      </w:pPr>
      <w:r>
        <w:rPr>
          <w:rFonts w:ascii="Arial" w:hAnsi="Arial" w:cs="Arial"/>
          <w:sz w:val="24"/>
          <w:szCs w:val="24"/>
        </w:rPr>
        <w:t>[22</w:t>
      </w:r>
      <w:r w:rsidR="00BB1C1A">
        <w:rPr>
          <w:rFonts w:ascii="Arial" w:hAnsi="Arial" w:cs="Arial"/>
          <w:sz w:val="24"/>
          <w:szCs w:val="24"/>
        </w:rPr>
        <w:t xml:space="preserve">] </w:t>
      </w:r>
      <w:r w:rsidR="00097CD2">
        <w:rPr>
          <w:rFonts w:ascii="Arial" w:hAnsi="Arial" w:cs="Arial"/>
          <w:sz w:val="24"/>
          <w:szCs w:val="24"/>
        </w:rPr>
        <w:tab/>
      </w:r>
      <w:r w:rsidR="00A8643E">
        <w:rPr>
          <w:rFonts w:ascii="Arial" w:hAnsi="Arial" w:cs="Arial"/>
          <w:sz w:val="24"/>
          <w:szCs w:val="24"/>
        </w:rPr>
        <w:t>In Wigglesworth</w:t>
      </w:r>
      <w:r w:rsidR="000673E9">
        <w:rPr>
          <w:rFonts w:ascii="Arial" w:hAnsi="Arial" w:cs="Arial"/>
          <w:sz w:val="24"/>
          <w:szCs w:val="24"/>
        </w:rPr>
        <w:t xml:space="preserve"> the </w:t>
      </w:r>
      <w:r w:rsidR="00A8643E">
        <w:rPr>
          <w:rFonts w:ascii="Arial" w:hAnsi="Arial" w:cs="Arial"/>
          <w:sz w:val="24"/>
          <w:szCs w:val="24"/>
        </w:rPr>
        <w:t>court held</w:t>
      </w:r>
      <w:r w:rsidR="00BB1C1A">
        <w:rPr>
          <w:rFonts w:ascii="Arial" w:hAnsi="Arial" w:cs="Arial"/>
          <w:sz w:val="24"/>
          <w:szCs w:val="24"/>
        </w:rPr>
        <w:t xml:space="preserve"> as follows:</w:t>
      </w:r>
    </w:p>
    <w:p w14:paraId="3229ABDF" w14:textId="77777777" w:rsidR="00BB1C1A" w:rsidRDefault="00BB1C1A" w:rsidP="008B67BE">
      <w:pPr>
        <w:autoSpaceDE w:val="0"/>
        <w:autoSpaceDN w:val="0"/>
        <w:adjustRightInd w:val="0"/>
        <w:spacing w:after="0" w:line="240" w:lineRule="auto"/>
        <w:ind w:left="993" w:hanging="993"/>
        <w:jc w:val="both"/>
        <w:rPr>
          <w:rFonts w:ascii="Arial" w:hAnsi="Arial" w:cs="Arial"/>
          <w:sz w:val="24"/>
          <w:szCs w:val="24"/>
        </w:rPr>
      </w:pPr>
    </w:p>
    <w:p w14:paraId="03B363DB" w14:textId="77777777" w:rsidR="00BB1C1A" w:rsidRDefault="00C163BD" w:rsidP="008B67BE">
      <w:pPr>
        <w:autoSpaceDE w:val="0"/>
        <w:autoSpaceDN w:val="0"/>
        <w:adjustRightInd w:val="0"/>
        <w:spacing w:after="0" w:line="240" w:lineRule="auto"/>
        <w:ind w:left="1418"/>
        <w:jc w:val="both"/>
        <w:rPr>
          <w:rFonts w:ascii="Arial" w:hAnsi="Arial" w:cs="Arial"/>
          <w:sz w:val="20"/>
          <w:szCs w:val="20"/>
        </w:rPr>
      </w:pPr>
      <w:r w:rsidRPr="00C163BD">
        <w:rPr>
          <w:rFonts w:ascii="Arial" w:hAnsi="Arial" w:cs="Arial"/>
          <w:sz w:val="20"/>
          <w:szCs w:val="20"/>
        </w:rPr>
        <w:t>“.. a true penal consequence which would attract the application of section 11 is imprisonment or a fine which by its magnitude would appear to be imposed for purpose of redressing the wrong done to society at large rather to the maintenance of internal discipline within a limited sphere of activity</w:t>
      </w:r>
    </w:p>
    <w:p w14:paraId="140A73DF" w14:textId="77777777" w:rsidR="00C163BD" w:rsidRDefault="00C163BD" w:rsidP="008B67BE">
      <w:pPr>
        <w:autoSpaceDE w:val="0"/>
        <w:autoSpaceDN w:val="0"/>
        <w:adjustRightInd w:val="0"/>
        <w:spacing w:after="0" w:line="240" w:lineRule="auto"/>
        <w:ind w:left="610"/>
        <w:jc w:val="both"/>
        <w:rPr>
          <w:rFonts w:ascii="Arial" w:hAnsi="Arial" w:cs="Arial"/>
          <w:sz w:val="20"/>
          <w:szCs w:val="20"/>
        </w:rPr>
      </w:pPr>
    </w:p>
    <w:p w14:paraId="700BE509" w14:textId="77777777" w:rsidR="00C163BD" w:rsidRPr="00A01766" w:rsidRDefault="001C4A35" w:rsidP="008B67BE">
      <w:pPr>
        <w:autoSpaceDE w:val="0"/>
        <w:autoSpaceDN w:val="0"/>
        <w:adjustRightInd w:val="0"/>
        <w:spacing w:after="0" w:line="360" w:lineRule="auto"/>
        <w:ind w:left="610" w:hanging="610"/>
        <w:jc w:val="both"/>
        <w:rPr>
          <w:rFonts w:ascii="Arial" w:hAnsi="Arial" w:cs="Arial"/>
          <w:sz w:val="24"/>
          <w:szCs w:val="24"/>
        </w:rPr>
      </w:pPr>
      <w:r>
        <w:rPr>
          <w:rFonts w:ascii="Arial" w:hAnsi="Arial" w:cs="Arial"/>
          <w:sz w:val="24"/>
          <w:szCs w:val="24"/>
        </w:rPr>
        <w:t>[23</w:t>
      </w:r>
      <w:r w:rsidR="00A01766">
        <w:rPr>
          <w:rFonts w:ascii="Arial" w:hAnsi="Arial" w:cs="Arial"/>
          <w:sz w:val="24"/>
          <w:szCs w:val="24"/>
        </w:rPr>
        <w:t>]</w:t>
      </w:r>
      <w:r w:rsidR="00282799">
        <w:rPr>
          <w:rFonts w:ascii="Arial" w:hAnsi="Arial" w:cs="Arial"/>
          <w:sz w:val="24"/>
          <w:szCs w:val="24"/>
        </w:rPr>
        <w:t xml:space="preserve"> </w:t>
      </w:r>
      <w:r w:rsidR="00A01766">
        <w:rPr>
          <w:rFonts w:ascii="Arial" w:hAnsi="Arial" w:cs="Arial"/>
          <w:sz w:val="24"/>
          <w:szCs w:val="24"/>
        </w:rPr>
        <w:t xml:space="preserve"> The court further held</w:t>
      </w:r>
      <w:r w:rsidR="00A01766" w:rsidRPr="00A01766">
        <w:rPr>
          <w:rFonts w:ascii="Arial" w:hAnsi="Arial" w:cs="Arial"/>
          <w:sz w:val="24"/>
          <w:szCs w:val="24"/>
        </w:rPr>
        <w:t xml:space="preserve"> that a disciplinary action brought agains</w:t>
      </w:r>
      <w:r w:rsidR="00A01766">
        <w:rPr>
          <w:rFonts w:ascii="Arial" w:hAnsi="Arial" w:cs="Arial"/>
          <w:sz w:val="24"/>
          <w:szCs w:val="24"/>
        </w:rPr>
        <w:t>t</w:t>
      </w:r>
      <w:r w:rsidR="00A01766" w:rsidRPr="00A01766">
        <w:rPr>
          <w:rFonts w:ascii="Arial" w:hAnsi="Arial" w:cs="Arial"/>
          <w:sz w:val="24"/>
          <w:szCs w:val="24"/>
        </w:rPr>
        <w:t xml:space="preserve"> a policeman for assault in terms of the police code, a so-called ‘service offence’, did not bar subsequent criminal proceedings for the same assault because the fine imposed was designed to achieve a particular private purpose namely, discipline in the police force, and not to redress harm done to society as a whole</w:t>
      </w:r>
      <w:r w:rsidR="00A01766">
        <w:rPr>
          <w:rFonts w:ascii="Arial" w:hAnsi="Arial" w:cs="Arial"/>
          <w:sz w:val="24"/>
          <w:szCs w:val="24"/>
        </w:rPr>
        <w:t>.</w:t>
      </w:r>
      <w:r w:rsidR="00343208">
        <w:rPr>
          <w:rStyle w:val="FootnoteReference"/>
          <w:rFonts w:ascii="Arial" w:hAnsi="Arial" w:cs="Arial"/>
          <w:sz w:val="24"/>
          <w:szCs w:val="24"/>
        </w:rPr>
        <w:footnoteReference w:id="8"/>
      </w:r>
      <w:r w:rsidR="00A01766">
        <w:rPr>
          <w:rFonts w:ascii="Arial" w:hAnsi="Arial" w:cs="Arial"/>
          <w:sz w:val="24"/>
          <w:szCs w:val="24"/>
        </w:rPr>
        <w:t xml:space="preserve"> </w:t>
      </w:r>
    </w:p>
    <w:p w14:paraId="135E7EDC" w14:textId="77777777" w:rsidR="00BB1C1A" w:rsidRPr="00A01766" w:rsidRDefault="00BB1C1A" w:rsidP="008B67BE">
      <w:pPr>
        <w:autoSpaceDE w:val="0"/>
        <w:autoSpaceDN w:val="0"/>
        <w:adjustRightInd w:val="0"/>
        <w:spacing w:after="0" w:line="360" w:lineRule="auto"/>
        <w:ind w:left="610" w:hanging="610"/>
        <w:jc w:val="both"/>
        <w:rPr>
          <w:rFonts w:ascii="Arial" w:hAnsi="Arial" w:cs="Arial"/>
          <w:sz w:val="24"/>
          <w:szCs w:val="24"/>
        </w:rPr>
      </w:pPr>
      <w:r w:rsidRPr="00A01766">
        <w:rPr>
          <w:rFonts w:ascii="Arial" w:hAnsi="Arial" w:cs="Arial"/>
          <w:sz w:val="24"/>
          <w:szCs w:val="24"/>
        </w:rPr>
        <w:t xml:space="preserve">    </w:t>
      </w:r>
      <w:r w:rsidRPr="00A01766">
        <w:rPr>
          <w:rFonts w:ascii="Arial" w:hAnsi="Arial" w:cs="Arial"/>
          <w:sz w:val="24"/>
          <w:szCs w:val="24"/>
        </w:rPr>
        <w:tab/>
      </w:r>
    </w:p>
    <w:p w14:paraId="2B3589AD" w14:textId="77777777" w:rsidR="00BB1C1A" w:rsidRDefault="00BB1C1A" w:rsidP="008B67BE">
      <w:pPr>
        <w:autoSpaceDE w:val="0"/>
        <w:autoSpaceDN w:val="0"/>
        <w:adjustRightInd w:val="0"/>
        <w:spacing w:after="0" w:line="360" w:lineRule="auto"/>
        <w:ind w:left="610" w:hanging="610"/>
        <w:jc w:val="both"/>
        <w:rPr>
          <w:rFonts w:ascii="Arial" w:hAnsi="Arial" w:cs="Arial"/>
          <w:sz w:val="24"/>
          <w:szCs w:val="24"/>
        </w:rPr>
      </w:pPr>
    </w:p>
    <w:p w14:paraId="3FEF7DD3" w14:textId="77777777" w:rsidR="00276ADF" w:rsidRDefault="001C4A35" w:rsidP="008B67BE">
      <w:pPr>
        <w:autoSpaceDE w:val="0"/>
        <w:autoSpaceDN w:val="0"/>
        <w:adjustRightInd w:val="0"/>
        <w:spacing w:after="0" w:line="360" w:lineRule="auto"/>
        <w:ind w:left="610" w:hanging="610"/>
        <w:jc w:val="both"/>
        <w:rPr>
          <w:rFonts w:ascii="Arial" w:hAnsi="Arial" w:cs="Arial"/>
          <w:sz w:val="24"/>
          <w:szCs w:val="24"/>
        </w:rPr>
      </w:pPr>
      <w:r>
        <w:rPr>
          <w:rFonts w:ascii="Arial" w:hAnsi="Arial" w:cs="Arial"/>
          <w:sz w:val="24"/>
          <w:szCs w:val="24"/>
        </w:rPr>
        <w:t>[24</w:t>
      </w:r>
      <w:r w:rsidR="00BB1C1A">
        <w:rPr>
          <w:rFonts w:ascii="Arial" w:hAnsi="Arial" w:cs="Arial"/>
          <w:sz w:val="24"/>
          <w:szCs w:val="24"/>
        </w:rPr>
        <w:t xml:space="preserve">]   </w:t>
      </w:r>
      <w:r w:rsidR="008A06EA">
        <w:rPr>
          <w:rFonts w:ascii="Arial" w:hAnsi="Arial" w:cs="Arial"/>
          <w:sz w:val="24"/>
          <w:szCs w:val="24"/>
        </w:rPr>
        <w:t xml:space="preserve"> </w:t>
      </w:r>
      <w:r w:rsidR="00F97914">
        <w:rPr>
          <w:rFonts w:ascii="Arial" w:hAnsi="Arial" w:cs="Arial"/>
          <w:sz w:val="24"/>
          <w:szCs w:val="24"/>
        </w:rPr>
        <w:t xml:space="preserve">In </w:t>
      </w:r>
      <w:r w:rsidR="00F97914" w:rsidRPr="00F97914">
        <w:rPr>
          <w:rFonts w:ascii="Arial" w:hAnsi="Arial" w:cs="Arial"/>
          <w:b/>
          <w:sz w:val="24"/>
          <w:szCs w:val="24"/>
        </w:rPr>
        <w:t>Halper</w:t>
      </w:r>
      <w:r w:rsidR="001F38E1" w:rsidRPr="00F97914">
        <w:rPr>
          <w:rFonts w:ascii="Arial" w:hAnsi="Arial" w:cs="Arial"/>
          <w:b/>
          <w:sz w:val="24"/>
          <w:szCs w:val="24"/>
        </w:rPr>
        <w:t xml:space="preserve"> </w:t>
      </w:r>
      <w:r w:rsidR="001F38E1" w:rsidRPr="001F38E1">
        <w:rPr>
          <w:rFonts w:ascii="Arial" w:hAnsi="Arial" w:cs="Arial"/>
          <w:i/>
          <w:iCs/>
          <w:sz w:val="24"/>
          <w:szCs w:val="24"/>
        </w:rPr>
        <w:t xml:space="preserve"> </w:t>
      </w:r>
      <w:r w:rsidR="001F38E1" w:rsidRPr="001F38E1">
        <w:rPr>
          <w:rFonts w:ascii="Arial" w:hAnsi="Arial" w:cs="Arial"/>
          <w:sz w:val="24"/>
          <w:szCs w:val="24"/>
        </w:rPr>
        <w:t xml:space="preserve"> it was held that the double jeopardy defence is also</w:t>
      </w:r>
      <w:r w:rsidR="001F38E1">
        <w:rPr>
          <w:rFonts w:ascii="Arial" w:hAnsi="Arial" w:cs="Arial"/>
          <w:sz w:val="24"/>
          <w:szCs w:val="24"/>
        </w:rPr>
        <w:t xml:space="preserve"> </w:t>
      </w:r>
      <w:r w:rsidR="001F38E1" w:rsidRPr="001F38E1">
        <w:rPr>
          <w:rFonts w:ascii="Arial" w:hAnsi="Arial" w:cs="Arial"/>
          <w:sz w:val="24"/>
          <w:szCs w:val="24"/>
        </w:rPr>
        <w:t>applicable to civil penalties</w:t>
      </w:r>
      <w:r w:rsidR="00F97914">
        <w:rPr>
          <w:rFonts w:ascii="Arial" w:hAnsi="Arial" w:cs="Arial"/>
          <w:sz w:val="24"/>
          <w:szCs w:val="24"/>
        </w:rPr>
        <w:t>.</w:t>
      </w:r>
      <w:r w:rsidR="00A01766">
        <w:rPr>
          <w:rFonts w:ascii="Arial" w:hAnsi="Arial" w:cs="Arial"/>
          <w:sz w:val="24"/>
          <w:szCs w:val="24"/>
        </w:rPr>
        <w:t xml:space="preserve"> </w:t>
      </w:r>
      <w:r w:rsidR="00A01766" w:rsidRPr="00A01766">
        <w:rPr>
          <w:rFonts w:ascii="Arial" w:hAnsi="Arial" w:cs="Arial"/>
          <w:b/>
          <w:sz w:val="24"/>
          <w:szCs w:val="24"/>
        </w:rPr>
        <w:t>Halper</w:t>
      </w:r>
      <w:r w:rsidR="00A01766">
        <w:rPr>
          <w:rFonts w:ascii="Arial" w:hAnsi="Arial" w:cs="Arial"/>
          <w:sz w:val="24"/>
          <w:szCs w:val="24"/>
        </w:rPr>
        <w:t xml:space="preserve"> was overtu</w:t>
      </w:r>
      <w:r w:rsidR="003D7F25">
        <w:rPr>
          <w:rFonts w:ascii="Arial" w:hAnsi="Arial" w:cs="Arial"/>
          <w:sz w:val="24"/>
          <w:szCs w:val="24"/>
        </w:rPr>
        <w:t>r</w:t>
      </w:r>
      <w:r w:rsidR="00A01766">
        <w:rPr>
          <w:rFonts w:ascii="Arial" w:hAnsi="Arial" w:cs="Arial"/>
          <w:sz w:val="24"/>
          <w:szCs w:val="24"/>
        </w:rPr>
        <w:t>ned</w:t>
      </w:r>
      <w:r w:rsidR="003D7F25">
        <w:rPr>
          <w:rFonts w:ascii="Arial" w:hAnsi="Arial" w:cs="Arial"/>
          <w:sz w:val="24"/>
          <w:szCs w:val="24"/>
        </w:rPr>
        <w:t xml:space="preserve"> </w:t>
      </w:r>
      <w:r w:rsidR="00A01766">
        <w:rPr>
          <w:rFonts w:ascii="Arial" w:hAnsi="Arial" w:cs="Arial"/>
          <w:sz w:val="24"/>
          <w:szCs w:val="24"/>
        </w:rPr>
        <w:t xml:space="preserve"> by </w:t>
      </w:r>
      <w:r w:rsidR="00A460E2">
        <w:rPr>
          <w:rFonts w:ascii="Arial" w:hAnsi="Arial" w:cs="Arial"/>
          <w:sz w:val="24"/>
          <w:szCs w:val="24"/>
        </w:rPr>
        <w:t xml:space="preserve">  </w:t>
      </w:r>
      <w:r w:rsidR="00A460E2" w:rsidRPr="00A460E2">
        <w:rPr>
          <w:rFonts w:ascii="Arial" w:hAnsi="Arial" w:cs="Arial"/>
          <w:b/>
          <w:sz w:val="24"/>
          <w:szCs w:val="24"/>
        </w:rPr>
        <w:t>Hudson v United States</w:t>
      </w:r>
      <w:r w:rsidR="00A460E2" w:rsidRPr="00A460E2">
        <w:rPr>
          <w:rStyle w:val="FootnoteReference"/>
          <w:rFonts w:ascii="Arial" w:hAnsi="Arial" w:cs="Arial"/>
          <w:b/>
          <w:sz w:val="24"/>
          <w:szCs w:val="24"/>
        </w:rPr>
        <w:footnoteReference w:id="9"/>
      </w:r>
      <w:r w:rsidR="00A460E2">
        <w:rPr>
          <w:rFonts w:ascii="Arial" w:hAnsi="Arial" w:cs="Arial"/>
          <w:b/>
          <w:sz w:val="24"/>
          <w:szCs w:val="24"/>
        </w:rPr>
        <w:t xml:space="preserve"> </w:t>
      </w:r>
      <w:r w:rsidR="0070630E">
        <w:rPr>
          <w:rFonts w:ascii="Arial" w:hAnsi="Arial" w:cs="Arial"/>
          <w:sz w:val="24"/>
          <w:szCs w:val="24"/>
        </w:rPr>
        <w:t xml:space="preserve"> where the </w:t>
      </w:r>
      <w:r w:rsidR="00A01766">
        <w:rPr>
          <w:rFonts w:ascii="Arial" w:hAnsi="Arial" w:cs="Arial"/>
          <w:sz w:val="24"/>
          <w:szCs w:val="24"/>
        </w:rPr>
        <w:t xml:space="preserve"> </w:t>
      </w:r>
      <w:r w:rsidR="0070630E">
        <w:rPr>
          <w:rFonts w:ascii="Arial" w:hAnsi="Arial" w:cs="Arial"/>
          <w:sz w:val="24"/>
          <w:szCs w:val="24"/>
        </w:rPr>
        <w:t>Court held that the double jeo</w:t>
      </w:r>
      <w:r w:rsidR="00F3346B">
        <w:rPr>
          <w:rFonts w:ascii="Arial" w:hAnsi="Arial" w:cs="Arial"/>
          <w:sz w:val="24"/>
          <w:szCs w:val="24"/>
        </w:rPr>
        <w:t>pa</w:t>
      </w:r>
      <w:r w:rsidR="0070630E">
        <w:rPr>
          <w:rFonts w:ascii="Arial" w:hAnsi="Arial" w:cs="Arial"/>
          <w:sz w:val="24"/>
          <w:szCs w:val="24"/>
        </w:rPr>
        <w:t>r</w:t>
      </w:r>
      <w:r w:rsidR="00F3346B">
        <w:rPr>
          <w:rFonts w:ascii="Arial" w:hAnsi="Arial" w:cs="Arial"/>
          <w:sz w:val="24"/>
          <w:szCs w:val="24"/>
        </w:rPr>
        <w:t xml:space="preserve">dy clause </w:t>
      </w:r>
      <w:r w:rsidR="00276ADF">
        <w:rPr>
          <w:rFonts w:ascii="Arial" w:hAnsi="Arial" w:cs="Arial"/>
          <w:sz w:val="24"/>
          <w:szCs w:val="24"/>
        </w:rPr>
        <w:t xml:space="preserve">was not a bar to criminal prosecution because the administrative proceedings were not criminal in nature. The </w:t>
      </w:r>
      <w:r w:rsidR="00343208">
        <w:rPr>
          <w:rFonts w:ascii="Arial" w:hAnsi="Arial" w:cs="Arial"/>
          <w:sz w:val="24"/>
          <w:szCs w:val="24"/>
        </w:rPr>
        <w:t xml:space="preserve">court made the following remarks: </w:t>
      </w:r>
      <w:r w:rsidR="00276ADF">
        <w:rPr>
          <w:rFonts w:ascii="Arial" w:hAnsi="Arial" w:cs="Arial"/>
          <w:sz w:val="24"/>
          <w:szCs w:val="24"/>
        </w:rPr>
        <w:t xml:space="preserve"> </w:t>
      </w:r>
      <w:r w:rsidR="00343208">
        <w:rPr>
          <w:rFonts w:ascii="Arial" w:hAnsi="Arial" w:cs="Arial"/>
          <w:sz w:val="24"/>
          <w:szCs w:val="24"/>
        </w:rPr>
        <w:t xml:space="preserve"> </w:t>
      </w:r>
    </w:p>
    <w:p w14:paraId="61BAE888" w14:textId="77777777" w:rsidR="00276ADF" w:rsidRDefault="00276ADF" w:rsidP="008B67BE">
      <w:pPr>
        <w:shd w:val="clear" w:color="auto" w:fill="FFFFFF"/>
        <w:spacing w:after="0" w:line="360" w:lineRule="auto"/>
        <w:ind w:left="480"/>
        <w:jc w:val="both"/>
        <w:rPr>
          <w:rFonts w:ascii="Arial" w:hAnsi="Arial" w:cs="Arial"/>
          <w:sz w:val="24"/>
          <w:szCs w:val="24"/>
        </w:rPr>
      </w:pPr>
    </w:p>
    <w:p w14:paraId="5A77A44A" w14:textId="77777777" w:rsidR="00276ADF" w:rsidRPr="00276ADF" w:rsidRDefault="00276ADF" w:rsidP="008B67BE">
      <w:pPr>
        <w:autoSpaceDE w:val="0"/>
        <w:autoSpaceDN w:val="0"/>
        <w:adjustRightInd w:val="0"/>
        <w:spacing w:after="0" w:line="240" w:lineRule="auto"/>
        <w:ind w:left="1418"/>
        <w:jc w:val="both"/>
        <w:rPr>
          <w:rFonts w:ascii="Arial" w:hAnsi="Arial" w:cs="Arial"/>
          <w:sz w:val="20"/>
          <w:szCs w:val="20"/>
        </w:rPr>
      </w:pPr>
      <w:r>
        <w:rPr>
          <w:rFonts w:ascii="Arial" w:hAnsi="Arial" w:cs="Arial"/>
          <w:sz w:val="20"/>
          <w:szCs w:val="20"/>
        </w:rPr>
        <w:t>“</w:t>
      </w:r>
      <w:r w:rsidRPr="00276ADF">
        <w:rPr>
          <w:rFonts w:ascii="Arial" w:hAnsi="Arial" w:cs="Arial"/>
          <w:sz w:val="20"/>
          <w:szCs w:val="20"/>
        </w:rPr>
        <w:t xml:space="preserve">14 How. 13, 19 (1852)). The Clause protects only against the imposition of multiple </w:t>
      </w:r>
      <w:r w:rsidRPr="00276ADF">
        <w:rPr>
          <w:rFonts w:ascii="Arial" w:hAnsi="Arial" w:cs="Arial"/>
          <w:i/>
          <w:iCs/>
          <w:sz w:val="20"/>
          <w:szCs w:val="20"/>
        </w:rPr>
        <w:t xml:space="preserve">criminal </w:t>
      </w:r>
      <w:r w:rsidRPr="00276ADF">
        <w:rPr>
          <w:rFonts w:ascii="Arial" w:hAnsi="Arial" w:cs="Arial"/>
          <w:sz w:val="20"/>
          <w:szCs w:val="20"/>
        </w:rPr>
        <w:t xml:space="preserve">punishments for the same offense, </w:t>
      </w:r>
      <w:proofErr w:type="spellStart"/>
      <w:r w:rsidRPr="00276ADF">
        <w:rPr>
          <w:rFonts w:ascii="Arial" w:hAnsi="Arial" w:cs="Arial"/>
          <w:i/>
          <w:iCs/>
          <w:sz w:val="20"/>
          <w:szCs w:val="20"/>
        </w:rPr>
        <w:t>Helvering</w:t>
      </w:r>
      <w:proofErr w:type="spellEnd"/>
      <w:r w:rsidRPr="00276ADF">
        <w:rPr>
          <w:rFonts w:ascii="Arial" w:hAnsi="Arial" w:cs="Arial"/>
          <w:i/>
          <w:iCs/>
          <w:sz w:val="20"/>
          <w:szCs w:val="20"/>
        </w:rPr>
        <w:t xml:space="preserve"> </w:t>
      </w:r>
      <w:r w:rsidRPr="00276ADF">
        <w:rPr>
          <w:rFonts w:ascii="Arial" w:hAnsi="Arial" w:cs="Arial"/>
          <w:sz w:val="20"/>
          <w:szCs w:val="20"/>
        </w:rPr>
        <w:t xml:space="preserve">v. </w:t>
      </w:r>
      <w:r w:rsidRPr="00276ADF">
        <w:rPr>
          <w:rFonts w:ascii="Arial" w:hAnsi="Arial" w:cs="Arial"/>
          <w:i/>
          <w:iCs/>
          <w:sz w:val="20"/>
          <w:szCs w:val="20"/>
        </w:rPr>
        <w:t xml:space="preserve">Mitchell, </w:t>
      </w:r>
      <w:r w:rsidRPr="00276ADF">
        <w:rPr>
          <w:rFonts w:ascii="Arial" w:hAnsi="Arial" w:cs="Arial"/>
          <w:sz w:val="20"/>
          <w:szCs w:val="20"/>
        </w:rPr>
        <w:t xml:space="preserve">303 U. S. 391, 399 (1938); see also </w:t>
      </w:r>
      <w:r w:rsidRPr="00276ADF">
        <w:rPr>
          <w:rFonts w:ascii="Arial" w:hAnsi="Arial" w:cs="Arial"/>
          <w:i/>
          <w:iCs/>
          <w:sz w:val="20"/>
          <w:szCs w:val="20"/>
        </w:rPr>
        <w:t xml:space="preserve">Hess, supra, </w:t>
      </w:r>
      <w:r w:rsidRPr="00276ADF">
        <w:rPr>
          <w:rFonts w:ascii="Arial" w:hAnsi="Arial" w:cs="Arial"/>
          <w:sz w:val="20"/>
          <w:szCs w:val="20"/>
        </w:rPr>
        <w:t>at 548–549 (“Only” “criminal punishment” “subject[s] the defendant to ‘jeopardy’ within the constitutional</w:t>
      </w:r>
      <w:r w:rsidR="00343208">
        <w:rPr>
          <w:rFonts w:ascii="Arial" w:hAnsi="Arial" w:cs="Arial"/>
          <w:sz w:val="20"/>
          <w:szCs w:val="20"/>
        </w:rPr>
        <w:t xml:space="preserve"> </w:t>
      </w:r>
      <w:r w:rsidRPr="00276ADF">
        <w:rPr>
          <w:rFonts w:ascii="Arial" w:hAnsi="Arial" w:cs="Arial"/>
          <w:sz w:val="20"/>
          <w:szCs w:val="20"/>
        </w:rPr>
        <w:t xml:space="preserve">meaning”); </w:t>
      </w:r>
      <w:r w:rsidRPr="00276ADF">
        <w:rPr>
          <w:rFonts w:ascii="Arial" w:hAnsi="Arial" w:cs="Arial"/>
          <w:i/>
          <w:iCs/>
          <w:sz w:val="20"/>
          <w:szCs w:val="20"/>
        </w:rPr>
        <w:t xml:space="preserve">Breed </w:t>
      </w:r>
      <w:r w:rsidRPr="00276ADF">
        <w:rPr>
          <w:rFonts w:ascii="Arial" w:hAnsi="Arial" w:cs="Arial"/>
          <w:sz w:val="20"/>
          <w:szCs w:val="20"/>
        </w:rPr>
        <w:t xml:space="preserve">v. </w:t>
      </w:r>
      <w:r w:rsidRPr="00276ADF">
        <w:rPr>
          <w:rFonts w:ascii="Arial" w:hAnsi="Arial" w:cs="Arial"/>
          <w:i/>
          <w:iCs/>
          <w:sz w:val="20"/>
          <w:szCs w:val="20"/>
        </w:rPr>
        <w:t xml:space="preserve">Jones, </w:t>
      </w:r>
      <w:r w:rsidRPr="00276ADF">
        <w:rPr>
          <w:rFonts w:ascii="Arial" w:hAnsi="Arial" w:cs="Arial"/>
          <w:sz w:val="20"/>
          <w:szCs w:val="20"/>
        </w:rPr>
        <w:t xml:space="preserve">421 U. S. 519, 528 (1975) (“In the constitutional sense, jeopardy describes the risk that is traditionally associated with a criminal prosecution”), and then only when such occurs in successive proceedings, see </w:t>
      </w:r>
      <w:r w:rsidRPr="00276ADF">
        <w:rPr>
          <w:rFonts w:ascii="Arial" w:hAnsi="Arial" w:cs="Arial"/>
          <w:i/>
          <w:iCs/>
          <w:sz w:val="20"/>
          <w:szCs w:val="20"/>
        </w:rPr>
        <w:t xml:space="preserve">Missouri </w:t>
      </w:r>
      <w:r w:rsidRPr="00276ADF">
        <w:rPr>
          <w:rFonts w:ascii="Arial" w:hAnsi="Arial" w:cs="Arial"/>
          <w:sz w:val="20"/>
          <w:szCs w:val="20"/>
        </w:rPr>
        <w:t xml:space="preserve">v. </w:t>
      </w:r>
      <w:r w:rsidRPr="00276ADF">
        <w:rPr>
          <w:rFonts w:ascii="Arial" w:hAnsi="Arial" w:cs="Arial"/>
          <w:i/>
          <w:iCs/>
          <w:sz w:val="20"/>
          <w:szCs w:val="20"/>
        </w:rPr>
        <w:t xml:space="preserve">Hunter, </w:t>
      </w:r>
      <w:r w:rsidRPr="00276ADF">
        <w:rPr>
          <w:rFonts w:ascii="Arial" w:hAnsi="Arial" w:cs="Arial"/>
          <w:sz w:val="20"/>
          <w:szCs w:val="20"/>
        </w:rPr>
        <w:t xml:space="preserve">459 U. S. 359, 366 (1983). Whether a particular punishment is criminal or civil is, at least initially, a matter of statutory construction. </w:t>
      </w:r>
      <w:proofErr w:type="spellStart"/>
      <w:r w:rsidRPr="00276ADF">
        <w:rPr>
          <w:rFonts w:ascii="Arial" w:hAnsi="Arial" w:cs="Arial"/>
          <w:i/>
          <w:iCs/>
          <w:sz w:val="20"/>
          <w:szCs w:val="20"/>
        </w:rPr>
        <w:t>Helvering</w:t>
      </w:r>
      <w:proofErr w:type="spellEnd"/>
      <w:r w:rsidRPr="00276ADF">
        <w:rPr>
          <w:rFonts w:ascii="Arial" w:hAnsi="Arial" w:cs="Arial"/>
          <w:i/>
          <w:iCs/>
          <w:sz w:val="20"/>
          <w:szCs w:val="20"/>
        </w:rPr>
        <w:t xml:space="preserve">, supra, </w:t>
      </w:r>
      <w:r w:rsidRPr="00276ADF">
        <w:rPr>
          <w:rFonts w:ascii="Arial" w:hAnsi="Arial" w:cs="Arial"/>
          <w:sz w:val="20"/>
          <w:szCs w:val="20"/>
        </w:rPr>
        <w:t xml:space="preserve">at 399. A court must first ask whether the legislature, “in establishing the penalizing mechanism, indicated either expressly or impliedly a preference for one label or the other.” </w:t>
      </w:r>
      <w:r w:rsidRPr="00276ADF">
        <w:rPr>
          <w:rFonts w:ascii="Arial" w:hAnsi="Arial" w:cs="Arial"/>
          <w:i/>
          <w:iCs/>
          <w:sz w:val="20"/>
          <w:szCs w:val="20"/>
        </w:rPr>
        <w:t xml:space="preserve">Ward, </w:t>
      </w:r>
      <w:r w:rsidRPr="00276ADF">
        <w:rPr>
          <w:rFonts w:ascii="Arial" w:hAnsi="Arial" w:cs="Arial"/>
          <w:sz w:val="20"/>
          <w:szCs w:val="20"/>
        </w:rPr>
        <w:t>448 U. S., at 248.</w:t>
      </w:r>
      <w:r>
        <w:rPr>
          <w:rFonts w:ascii="Arial" w:hAnsi="Arial" w:cs="Arial"/>
          <w:sz w:val="20"/>
          <w:szCs w:val="20"/>
        </w:rPr>
        <w:t xml:space="preserve">”  </w:t>
      </w:r>
      <w:r w:rsidR="00B479ED">
        <w:rPr>
          <w:rFonts w:ascii="Arial" w:hAnsi="Arial" w:cs="Arial"/>
          <w:sz w:val="20"/>
          <w:szCs w:val="20"/>
        </w:rPr>
        <w:t>….</w:t>
      </w:r>
    </w:p>
    <w:p w14:paraId="3AE68087" w14:textId="77777777" w:rsidR="00A460E2" w:rsidRPr="00A460E2" w:rsidRDefault="00A460E2" w:rsidP="008B67BE">
      <w:pPr>
        <w:shd w:val="clear" w:color="auto" w:fill="FFFFFF"/>
        <w:spacing w:after="0" w:line="240" w:lineRule="auto"/>
        <w:ind w:left="480" w:firstLine="698"/>
        <w:jc w:val="both"/>
        <w:rPr>
          <w:rFonts w:ascii="Arial" w:hAnsi="Arial" w:cs="Arial"/>
          <w:b/>
          <w:sz w:val="24"/>
          <w:szCs w:val="24"/>
        </w:rPr>
      </w:pPr>
    </w:p>
    <w:p w14:paraId="37DD861F" w14:textId="77777777" w:rsidR="000E0C2B" w:rsidRDefault="00C857C3" w:rsidP="008B67BE">
      <w:pPr>
        <w:autoSpaceDE w:val="0"/>
        <w:autoSpaceDN w:val="0"/>
        <w:adjustRightInd w:val="0"/>
        <w:spacing w:after="0" w:line="240" w:lineRule="auto"/>
        <w:ind w:left="1418" w:hanging="240"/>
        <w:jc w:val="both"/>
        <w:rPr>
          <w:rFonts w:ascii="Arial" w:hAnsi="Arial" w:cs="Arial"/>
          <w:sz w:val="20"/>
          <w:szCs w:val="20"/>
        </w:rPr>
      </w:pPr>
      <w:r>
        <w:rPr>
          <w:rFonts w:ascii="Arial" w:hAnsi="Arial" w:cs="Arial"/>
          <w:b/>
          <w:sz w:val="20"/>
          <w:szCs w:val="20"/>
        </w:rPr>
        <w:tab/>
      </w:r>
      <w:r w:rsidR="00276ADF" w:rsidRPr="00B479ED">
        <w:rPr>
          <w:rFonts w:ascii="Arial" w:hAnsi="Arial" w:cs="Arial"/>
          <w:b/>
          <w:sz w:val="20"/>
          <w:szCs w:val="20"/>
        </w:rPr>
        <w:t xml:space="preserve">…… </w:t>
      </w:r>
      <w:r w:rsidR="00276ADF" w:rsidRPr="00B479ED">
        <w:rPr>
          <w:rFonts w:ascii="Arial" w:hAnsi="Arial" w:cs="Arial"/>
          <w:sz w:val="20"/>
          <w:szCs w:val="20"/>
        </w:rPr>
        <w:t xml:space="preserve">We believe that </w:t>
      </w:r>
      <w:r w:rsidR="00276ADF" w:rsidRPr="00B479ED">
        <w:rPr>
          <w:rFonts w:ascii="Arial" w:hAnsi="Arial" w:cs="Arial"/>
          <w:i/>
          <w:iCs/>
          <w:sz w:val="20"/>
          <w:szCs w:val="20"/>
        </w:rPr>
        <w:t>Halper</w:t>
      </w:r>
      <w:r w:rsidR="00276ADF" w:rsidRPr="00B479ED">
        <w:rPr>
          <w:rFonts w:ascii="Arial" w:hAnsi="Arial" w:cs="Arial"/>
          <w:sz w:val="20"/>
          <w:szCs w:val="20"/>
        </w:rPr>
        <w:t>’s deviation from longstanding double jeopardy principles was ill considered. As subsequent</w:t>
      </w:r>
      <w:r w:rsidR="00343208">
        <w:rPr>
          <w:rFonts w:ascii="Arial" w:hAnsi="Arial" w:cs="Arial"/>
          <w:sz w:val="20"/>
          <w:szCs w:val="20"/>
        </w:rPr>
        <w:t xml:space="preserve"> </w:t>
      </w:r>
      <w:r w:rsidR="00B479ED" w:rsidRPr="00B479ED">
        <w:rPr>
          <w:rFonts w:ascii="Arial" w:hAnsi="Arial" w:cs="Arial"/>
          <w:sz w:val="20"/>
          <w:szCs w:val="20"/>
        </w:rPr>
        <w:t xml:space="preserve">cases have demonstrated, </w:t>
      </w:r>
      <w:r w:rsidR="00B479ED" w:rsidRPr="00B479ED">
        <w:rPr>
          <w:rFonts w:ascii="Arial" w:hAnsi="Arial" w:cs="Arial"/>
          <w:i/>
          <w:iCs/>
          <w:sz w:val="20"/>
          <w:szCs w:val="20"/>
        </w:rPr>
        <w:t>Halper</w:t>
      </w:r>
      <w:r w:rsidR="00B479ED" w:rsidRPr="00B479ED">
        <w:rPr>
          <w:rFonts w:ascii="Arial" w:hAnsi="Arial" w:cs="Arial"/>
          <w:sz w:val="20"/>
          <w:szCs w:val="20"/>
        </w:rPr>
        <w:t>’s test for determining whether a particular sanction is “punitive,” and thus subject to the strictures of the Double Jeopardy Clause, has proved unworkable.</w:t>
      </w:r>
      <w:r w:rsidR="00343208">
        <w:rPr>
          <w:rFonts w:ascii="Arial" w:hAnsi="Arial" w:cs="Arial"/>
          <w:sz w:val="20"/>
          <w:szCs w:val="20"/>
        </w:rPr>
        <w:t>”</w:t>
      </w:r>
    </w:p>
    <w:p w14:paraId="486F2D40" w14:textId="77777777" w:rsidR="00097CD2" w:rsidRPr="00097CD2" w:rsidRDefault="00097CD2" w:rsidP="008B67BE">
      <w:pPr>
        <w:autoSpaceDE w:val="0"/>
        <w:autoSpaceDN w:val="0"/>
        <w:adjustRightInd w:val="0"/>
        <w:spacing w:after="0" w:line="240" w:lineRule="auto"/>
        <w:ind w:left="480"/>
        <w:jc w:val="both"/>
        <w:rPr>
          <w:rFonts w:ascii="Arial" w:hAnsi="Arial" w:cs="Arial"/>
          <w:sz w:val="20"/>
          <w:szCs w:val="20"/>
        </w:rPr>
      </w:pPr>
    </w:p>
    <w:p w14:paraId="6C27CFDB" w14:textId="77777777" w:rsidR="00B479ED" w:rsidRDefault="001C4A35" w:rsidP="008B67BE">
      <w:pPr>
        <w:shd w:val="clear" w:color="auto" w:fill="FFFFFF"/>
        <w:spacing w:after="0" w:line="360" w:lineRule="auto"/>
        <w:ind w:left="720" w:hanging="720"/>
        <w:jc w:val="both"/>
        <w:rPr>
          <w:rFonts w:ascii="Arial" w:hAnsi="Arial" w:cs="Arial"/>
          <w:sz w:val="24"/>
          <w:szCs w:val="24"/>
        </w:rPr>
      </w:pPr>
      <w:r>
        <w:rPr>
          <w:rFonts w:ascii="Arial" w:hAnsi="Arial" w:cs="Arial"/>
          <w:sz w:val="24"/>
          <w:szCs w:val="24"/>
        </w:rPr>
        <w:t>[25</w:t>
      </w:r>
      <w:r w:rsidR="00B479ED">
        <w:rPr>
          <w:rFonts w:ascii="Arial" w:hAnsi="Arial" w:cs="Arial"/>
          <w:sz w:val="24"/>
          <w:szCs w:val="24"/>
        </w:rPr>
        <w:t>]</w:t>
      </w:r>
      <w:r w:rsidR="00097CD2">
        <w:rPr>
          <w:rFonts w:ascii="Arial" w:hAnsi="Arial" w:cs="Arial"/>
          <w:sz w:val="24"/>
          <w:szCs w:val="24"/>
        </w:rPr>
        <w:t xml:space="preserve"> </w:t>
      </w:r>
      <w:r w:rsidR="00097CD2">
        <w:rPr>
          <w:rFonts w:ascii="Arial" w:hAnsi="Arial" w:cs="Arial"/>
          <w:sz w:val="24"/>
          <w:szCs w:val="24"/>
        </w:rPr>
        <w:tab/>
      </w:r>
      <w:r w:rsidR="00B479ED">
        <w:rPr>
          <w:rFonts w:ascii="Arial" w:hAnsi="Arial" w:cs="Arial"/>
          <w:sz w:val="24"/>
          <w:szCs w:val="24"/>
        </w:rPr>
        <w:t xml:space="preserve">In </w:t>
      </w:r>
      <w:r w:rsidR="00B479ED" w:rsidRPr="00B479ED">
        <w:rPr>
          <w:rFonts w:ascii="Arial" w:hAnsi="Arial" w:cs="Arial"/>
          <w:b/>
          <w:sz w:val="24"/>
          <w:szCs w:val="24"/>
        </w:rPr>
        <w:t xml:space="preserve">Federal Mogul Aftermarket Southern Africa (Pty) Ltd v Competition </w:t>
      </w:r>
      <w:proofErr w:type="spellStart"/>
      <w:r w:rsidR="00B479ED" w:rsidRPr="00B479ED">
        <w:rPr>
          <w:rFonts w:ascii="Arial" w:hAnsi="Arial" w:cs="Arial"/>
          <w:b/>
          <w:sz w:val="24"/>
          <w:szCs w:val="24"/>
        </w:rPr>
        <w:t>Comission</w:t>
      </w:r>
      <w:proofErr w:type="spellEnd"/>
      <w:r w:rsidR="00B479ED" w:rsidRPr="00B479ED">
        <w:rPr>
          <w:rFonts w:ascii="Arial" w:hAnsi="Arial" w:cs="Arial"/>
          <w:b/>
          <w:sz w:val="24"/>
          <w:szCs w:val="24"/>
        </w:rPr>
        <w:t xml:space="preserve"> and Another</w:t>
      </w:r>
      <w:r w:rsidR="00B479ED">
        <w:rPr>
          <w:rStyle w:val="FootnoteReference"/>
          <w:rFonts w:ascii="Arial" w:hAnsi="Arial" w:cs="Arial"/>
          <w:b/>
          <w:sz w:val="24"/>
          <w:szCs w:val="24"/>
        </w:rPr>
        <w:footnoteReference w:id="10"/>
      </w:r>
      <w:r w:rsidR="00B479ED">
        <w:rPr>
          <w:rFonts w:ascii="Arial" w:hAnsi="Arial" w:cs="Arial"/>
          <w:b/>
          <w:sz w:val="24"/>
          <w:szCs w:val="24"/>
        </w:rPr>
        <w:t xml:space="preserve"> </w:t>
      </w:r>
      <w:r w:rsidR="00B479ED">
        <w:rPr>
          <w:rFonts w:ascii="Arial" w:hAnsi="Arial" w:cs="Arial"/>
          <w:sz w:val="24"/>
          <w:szCs w:val="24"/>
        </w:rPr>
        <w:t>the court dealt with the constitutionality of section 59 of the Competition Act 89 of 1998</w:t>
      </w:r>
      <w:r w:rsidR="004F363A">
        <w:rPr>
          <w:rFonts w:ascii="Arial" w:hAnsi="Arial" w:cs="Arial"/>
          <w:sz w:val="24"/>
          <w:szCs w:val="24"/>
        </w:rPr>
        <w:t xml:space="preserve"> (Competition Act)</w:t>
      </w:r>
      <w:r w:rsidR="00B479ED">
        <w:rPr>
          <w:rFonts w:ascii="Arial" w:hAnsi="Arial" w:cs="Arial"/>
          <w:sz w:val="24"/>
          <w:szCs w:val="24"/>
        </w:rPr>
        <w:t xml:space="preserve">, to the extent that it permitted the Competition Tribunal to impose a discretionary penalty for contraventions of the Competition Act. </w:t>
      </w:r>
      <w:r w:rsidR="00343208">
        <w:rPr>
          <w:rFonts w:ascii="Arial" w:hAnsi="Arial" w:cs="Arial"/>
          <w:sz w:val="24"/>
          <w:szCs w:val="24"/>
        </w:rPr>
        <w:t>The court said the following when dea</w:t>
      </w:r>
      <w:r w:rsidR="003D7F25">
        <w:rPr>
          <w:rFonts w:ascii="Arial" w:hAnsi="Arial" w:cs="Arial"/>
          <w:sz w:val="24"/>
          <w:szCs w:val="24"/>
        </w:rPr>
        <w:t>ling with double jeo</w:t>
      </w:r>
      <w:r w:rsidR="00343208">
        <w:rPr>
          <w:rFonts w:ascii="Arial" w:hAnsi="Arial" w:cs="Arial"/>
          <w:sz w:val="24"/>
          <w:szCs w:val="24"/>
        </w:rPr>
        <w:t>pa</w:t>
      </w:r>
      <w:r w:rsidR="003D7F25">
        <w:rPr>
          <w:rFonts w:ascii="Arial" w:hAnsi="Arial" w:cs="Arial"/>
          <w:sz w:val="24"/>
          <w:szCs w:val="24"/>
        </w:rPr>
        <w:t>r</w:t>
      </w:r>
      <w:r w:rsidR="00343208">
        <w:rPr>
          <w:rFonts w:ascii="Arial" w:hAnsi="Arial" w:cs="Arial"/>
          <w:sz w:val="24"/>
          <w:szCs w:val="24"/>
        </w:rPr>
        <w:t>dy:</w:t>
      </w:r>
    </w:p>
    <w:p w14:paraId="4E5DFC12" w14:textId="77777777" w:rsidR="00343208" w:rsidRDefault="00343208" w:rsidP="008B67BE">
      <w:pPr>
        <w:shd w:val="clear" w:color="auto" w:fill="FFFFFF"/>
        <w:spacing w:after="0" w:line="360" w:lineRule="auto"/>
        <w:ind w:left="720" w:hanging="240"/>
        <w:jc w:val="both"/>
        <w:rPr>
          <w:rFonts w:ascii="Arial" w:hAnsi="Arial" w:cs="Arial"/>
          <w:sz w:val="24"/>
          <w:szCs w:val="24"/>
        </w:rPr>
      </w:pPr>
      <w:r>
        <w:rPr>
          <w:rFonts w:ascii="Arial" w:hAnsi="Arial" w:cs="Arial"/>
          <w:sz w:val="24"/>
          <w:szCs w:val="24"/>
        </w:rPr>
        <w:lastRenderedPageBreak/>
        <w:t xml:space="preserve">  </w:t>
      </w:r>
    </w:p>
    <w:p w14:paraId="069C0D98" w14:textId="77777777" w:rsidR="00343208" w:rsidRPr="00343208" w:rsidRDefault="00343208" w:rsidP="008B67BE">
      <w:pPr>
        <w:shd w:val="clear" w:color="auto" w:fill="FFFFFF"/>
        <w:spacing w:after="0" w:line="240" w:lineRule="auto"/>
        <w:ind w:left="1418" w:hanging="240"/>
        <w:jc w:val="both"/>
        <w:rPr>
          <w:rFonts w:ascii="Arial" w:hAnsi="Arial" w:cs="Arial"/>
          <w:sz w:val="20"/>
          <w:szCs w:val="20"/>
        </w:rPr>
      </w:pPr>
      <w:r>
        <w:rPr>
          <w:rFonts w:ascii="Arial" w:hAnsi="Arial" w:cs="Arial"/>
          <w:sz w:val="24"/>
          <w:szCs w:val="24"/>
        </w:rPr>
        <w:tab/>
        <w:t>“</w:t>
      </w:r>
      <w:r w:rsidRPr="00343208">
        <w:rPr>
          <w:rFonts w:ascii="Arial" w:hAnsi="Arial" w:cs="Arial"/>
          <w:iCs/>
          <w:sz w:val="20"/>
          <w:szCs w:val="20"/>
        </w:rPr>
        <w:t>Both the first respondent and the amici relied on several decisions in North American jurisprudence involving pleas of double jeopardy. In most jurisdictions this plea is typically raised when a person alleges that he or she is being tried twice for the same crime. The court in dealing with this plea has to develop an approach to classification, which helps it decide whether both proceedings are criminal in nature, in which case the plea succeeds or whether there is some distinction that renders the one proceeding non-criminal, and hence the plea fails.</w:t>
      </w:r>
      <w:r>
        <w:rPr>
          <w:rFonts w:ascii="Arial" w:hAnsi="Arial" w:cs="Arial"/>
          <w:iCs/>
          <w:sz w:val="20"/>
          <w:szCs w:val="20"/>
        </w:rPr>
        <w:t>”</w:t>
      </w:r>
    </w:p>
    <w:p w14:paraId="2BC22589" w14:textId="77777777" w:rsidR="00B479ED" w:rsidRDefault="00B479ED" w:rsidP="008B67BE">
      <w:pPr>
        <w:shd w:val="clear" w:color="auto" w:fill="FFFFFF"/>
        <w:spacing w:after="0" w:line="240" w:lineRule="auto"/>
        <w:ind w:left="480"/>
        <w:jc w:val="both"/>
        <w:rPr>
          <w:rFonts w:ascii="Arial" w:hAnsi="Arial" w:cs="Arial"/>
          <w:sz w:val="24"/>
          <w:szCs w:val="24"/>
        </w:rPr>
      </w:pPr>
    </w:p>
    <w:p w14:paraId="5226BDC7" w14:textId="77777777" w:rsidR="00F96AEA" w:rsidRDefault="001C4A35" w:rsidP="008B67BE">
      <w:pPr>
        <w:shd w:val="clear" w:color="auto" w:fill="FFFFFF"/>
        <w:spacing w:after="0" w:line="240" w:lineRule="auto"/>
        <w:ind w:left="480" w:hanging="480"/>
        <w:jc w:val="both"/>
        <w:rPr>
          <w:rFonts w:ascii="Arial" w:hAnsi="Arial" w:cs="Arial"/>
          <w:sz w:val="24"/>
          <w:szCs w:val="24"/>
        </w:rPr>
      </w:pPr>
      <w:r>
        <w:rPr>
          <w:rFonts w:ascii="Arial" w:hAnsi="Arial" w:cs="Arial"/>
          <w:sz w:val="24"/>
          <w:szCs w:val="24"/>
        </w:rPr>
        <w:t>[26</w:t>
      </w:r>
      <w:r w:rsidR="00F96AEA">
        <w:rPr>
          <w:rFonts w:ascii="Arial" w:hAnsi="Arial" w:cs="Arial"/>
          <w:sz w:val="24"/>
          <w:szCs w:val="24"/>
        </w:rPr>
        <w:t xml:space="preserve">]  </w:t>
      </w:r>
      <w:r w:rsidR="00C857C3">
        <w:rPr>
          <w:rFonts w:ascii="Arial" w:hAnsi="Arial" w:cs="Arial"/>
          <w:sz w:val="24"/>
          <w:szCs w:val="24"/>
        </w:rPr>
        <w:tab/>
      </w:r>
      <w:r w:rsidR="00F96AEA">
        <w:rPr>
          <w:rFonts w:ascii="Arial" w:hAnsi="Arial" w:cs="Arial"/>
          <w:sz w:val="24"/>
          <w:szCs w:val="24"/>
        </w:rPr>
        <w:t xml:space="preserve">In </w:t>
      </w:r>
      <w:proofErr w:type="spellStart"/>
      <w:r w:rsidR="00F96AEA">
        <w:rPr>
          <w:rFonts w:ascii="Arial" w:hAnsi="Arial" w:cs="Arial"/>
          <w:sz w:val="24"/>
          <w:szCs w:val="24"/>
        </w:rPr>
        <w:t>Pather</w:t>
      </w:r>
      <w:proofErr w:type="spellEnd"/>
      <w:r w:rsidR="00F96AEA">
        <w:rPr>
          <w:rFonts w:ascii="Arial" w:hAnsi="Arial" w:cs="Arial"/>
          <w:sz w:val="24"/>
          <w:szCs w:val="24"/>
        </w:rPr>
        <w:t xml:space="preserve"> And Another v Financial Services Board And Others</w:t>
      </w:r>
      <w:r w:rsidR="00F96AEA">
        <w:rPr>
          <w:rStyle w:val="FootnoteReference"/>
          <w:rFonts w:ascii="Arial" w:hAnsi="Arial" w:cs="Arial"/>
          <w:sz w:val="24"/>
          <w:szCs w:val="24"/>
        </w:rPr>
        <w:footnoteReference w:id="11"/>
      </w:r>
      <w:r w:rsidR="00F96AEA">
        <w:rPr>
          <w:rFonts w:ascii="Arial" w:hAnsi="Arial" w:cs="Arial"/>
          <w:sz w:val="24"/>
          <w:szCs w:val="24"/>
        </w:rPr>
        <w:t>.</w:t>
      </w:r>
    </w:p>
    <w:p w14:paraId="334B604C" w14:textId="77777777" w:rsidR="00F96AEA" w:rsidRPr="002D65CF" w:rsidRDefault="00F96AEA" w:rsidP="008B67BE">
      <w:pPr>
        <w:autoSpaceDE w:val="0"/>
        <w:autoSpaceDN w:val="0"/>
        <w:adjustRightInd w:val="0"/>
        <w:spacing w:after="0" w:line="240" w:lineRule="auto"/>
        <w:jc w:val="both"/>
        <w:rPr>
          <w:rFonts w:ascii="Arial" w:hAnsi="Arial" w:cs="Arial"/>
          <w:color w:val="000000"/>
          <w:sz w:val="20"/>
          <w:szCs w:val="20"/>
        </w:rPr>
      </w:pPr>
    </w:p>
    <w:p w14:paraId="6DBA17C0" w14:textId="77777777" w:rsidR="00F96AEA" w:rsidRPr="002D65CF" w:rsidRDefault="002D65CF" w:rsidP="008B67BE">
      <w:pPr>
        <w:autoSpaceDE w:val="0"/>
        <w:autoSpaceDN w:val="0"/>
        <w:adjustRightInd w:val="0"/>
        <w:spacing w:after="0" w:line="240" w:lineRule="auto"/>
        <w:ind w:left="1418"/>
        <w:jc w:val="both"/>
        <w:rPr>
          <w:rFonts w:ascii="Arial" w:hAnsi="Arial" w:cs="Arial"/>
          <w:color w:val="000000"/>
          <w:sz w:val="20"/>
          <w:szCs w:val="20"/>
        </w:rPr>
      </w:pPr>
      <w:r>
        <w:rPr>
          <w:rFonts w:ascii="Arial" w:hAnsi="Arial" w:cs="Arial"/>
          <w:color w:val="000000"/>
          <w:sz w:val="20"/>
          <w:szCs w:val="20"/>
        </w:rPr>
        <w:t>“</w:t>
      </w:r>
      <w:r w:rsidR="00F96AEA" w:rsidRPr="002D65CF">
        <w:rPr>
          <w:rFonts w:ascii="Arial" w:hAnsi="Arial" w:cs="Arial"/>
          <w:color w:val="000000"/>
          <w:sz w:val="20"/>
          <w:szCs w:val="20"/>
        </w:rPr>
        <w:t xml:space="preserve">[22]  The first issue raised by the appellants cannot be answered without examining the nature and purpose of criminal proceedings. In the words of Lord Steyn, '(t)he aim of criminal law is not punishment for its own sake but to allow everyone to go about their daily lives without fear of harm to person or property'. 'Criminal law', observed Lord Atkin,  'connotes only the quality of such acts or omissions as are prohibited under appropriate penal provisions by authority of the state. The criminal quality of an act cannot be discerned by intuition; nor can it be discovered by reference to any standard but one: is the act prohibited with penal consequences?' And, criminal proceedings, according to Lord Bingham of Cornhill CJ, 'involve a formal </w:t>
      </w:r>
      <w:r w:rsidR="00C857C3" w:rsidRPr="002D65CF">
        <w:rPr>
          <w:rFonts w:ascii="Arial" w:hAnsi="Arial" w:cs="Arial"/>
          <w:color w:val="000000"/>
          <w:sz w:val="20"/>
          <w:szCs w:val="20"/>
        </w:rPr>
        <w:t>accusation made</w:t>
      </w:r>
      <w:r w:rsidR="00F96AEA" w:rsidRPr="002D65CF">
        <w:rPr>
          <w:rFonts w:ascii="Arial" w:hAnsi="Arial" w:cs="Arial"/>
          <w:color w:val="000000"/>
          <w:sz w:val="20"/>
          <w:szCs w:val="20"/>
        </w:rPr>
        <w:t xml:space="preserve"> on behalf of the state or by a private prosecutor that a defendant has committed a breach of the criminal law, and the state or the private prosecutor has instituted proceedings which may culminate in the conviction and condemnation of the defendant'.</w:t>
      </w:r>
    </w:p>
    <w:p w14:paraId="172E2048" w14:textId="77777777" w:rsidR="00F96AEA" w:rsidRPr="002D65CF" w:rsidRDefault="00F96AEA" w:rsidP="008B67BE">
      <w:pPr>
        <w:autoSpaceDE w:val="0"/>
        <w:autoSpaceDN w:val="0"/>
        <w:adjustRightInd w:val="0"/>
        <w:spacing w:after="0" w:line="240" w:lineRule="auto"/>
        <w:ind w:left="1418"/>
        <w:jc w:val="both"/>
        <w:rPr>
          <w:rFonts w:ascii="Arial" w:hAnsi="Arial" w:cs="Arial"/>
          <w:color w:val="000000"/>
          <w:sz w:val="20"/>
          <w:szCs w:val="20"/>
        </w:rPr>
      </w:pPr>
      <w:r w:rsidRPr="002D65CF">
        <w:rPr>
          <w:rFonts w:ascii="Arial" w:hAnsi="Arial" w:cs="Arial"/>
          <w:color w:val="000000"/>
          <w:sz w:val="20"/>
          <w:szCs w:val="20"/>
        </w:rPr>
        <w:t xml:space="preserve">[23]  In the proceedings before the EC, neither the police nor the prosecutorial authority is involved at all. That the facts underpinning the complaint can as well give rise to a criminal offence does not alter the nature of the complaint before the EC. The EC is primarily concerned with the exercise of a disciplinary power in respect of a limited group of persons possessing a special status. There is no formal accusation of a  breach of the criminal law. The proceedings are initiated by way of a complaint by the DMA to the EC, not a criminal charge. In </w:t>
      </w:r>
      <w:r w:rsidRPr="002D65CF">
        <w:rPr>
          <w:rFonts w:ascii="Arial" w:hAnsi="Arial" w:cs="Arial"/>
          <w:i/>
          <w:iCs/>
          <w:color w:val="000000"/>
          <w:sz w:val="20"/>
          <w:szCs w:val="20"/>
        </w:rPr>
        <w:t xml:space="preserve">Martineau </w:t>
      </w:r>
      <w:r w:rsidRPr="002D65CF">
        <w:rPr>
          <w:rFonts w:ascii="Arial" w:hAnsi="Arial" w:cs="Arial"/>
          <w:color w:val="000000"/>
          <w:sz w:val="20"/>
          <w:szCs w:val="20"/>
        </w:rPr>
        <w:t xml:space="preserve">the court observed: </w:t>
      </w:r>
    </w:p>
    <w:p w14:paraId="5F9923A0" w14:textId="77777777" w:rsidR="00F96AEA" w:rsidRPr="002D65CF" w:rsidRDefault="00F96AEA" w:rsidP="008B67BE">
      <w:pPr>
        <w:autoSpaceDE w:val="0"/>
        <w:autoSpaceDN w:val="0"/>
        <w:adjustRightInd w:val="0"/>
        <w:spacing w:after="0" w:line="240" w:lineRule="auto"/>
        <w:ind w:left="1418"/>
        <w:jc w:val="both"/>
        <w:rPr>
          <w:rFonts w:ascii="Arial" w:hAnsi="Arial" w:cs="Arial"/>
          <w:color w:val="000000"/>
          <w:sz w:val="20"/>
          <w:szCs w:val="20"/>
        </w:rPr>
      </w:pPr>
      <w:r w:rsidRPr="002D65CF">
        <w:rPr>
          <w:rFonts w:ascii="Arial" w:hAnsi="Arial" w:cs="Arial"/>
          <w:color w:val="000000"/>
          <w:sz w:val="20"/>
          <w:szCs w:val="20"/>
        </w:rPr>
        <w:t>'This process thus has little in common with penal proceedings. No one is charged in the context of an ascertained forfeiture. No information is  laid against anyone. No one is arrested. No one is summoned to appear before a court of criminal jurisdiction. No criminal record will result from the proceedings. At worst, once the administrative proceeding is complete and all appeals are exhausted, if the notice of ascertained forfeiture is upheld and the person liable to pay still refuses to do so, he or she risks being forced to pay by way of civil action'.</w:t>
      </w:r>
    </w:p>
    <w:p w14:paraId="10F8972E" w14:textId="77777777" w:rsidR="00F96AEA" w:rsidRPr="002D65CF" w:rsidRDefault="00C857C3" w:rsidP="008B67BE">
      <w:pPr>
        <w:autoSpaceDE w:val="0"/>
        <w:autoSpaceDN w:val="0"/>
        <w:adjustRightInd w:val="0"/>
        <w:spacing w:after="0" w:line="240" w:lineRule="auto"/>
        <w:ind w:firstLine="1418"/>
        <w:jc w:val="both"/>
        <w:rPr>
          <w:rFonts w:ascii="Arial" w:hAnsi="Arial" w:cs="Arial"/>
          <w:color w:val="000000"/>
          <w:sz w:val="20"/>
          <w:szCs w:val="20"/>
        </w:rPr>
      </w:pPr>
      <w:r w:rsidRPr="002D65CF">
        <w:rPr>
          <w:rFonts w:ascii="Arial" w:hAnsi="Arial" w:cs="Arial"/>
          <w:color w:val="000000"/>
          <w:sz w:val="20"/>
          <w:szCs w:val="20"/>
        </w:rPr>
        <w:t>Those considerations</w:t>
      </w:r>
      <w:r w:rsidR="00F96AEA" w:rsidRPr="002D65CF">
        <w:rPr>
          <w:rFonts w:ascii="Arial" w:hAnsi="Arial" w:cs="Arial"/>
          <w:color w:val="000000"/>
          <w:sz w:val="20"/>
          <w:szCs w:val="20"/>
        </w:rPr>
        <w:t xml:space="preserve"> find equal application here.</w:t>
      </w:r>
    </w:p>
    <w:p w14:paraId="2BCC8253" w14:textId="77777777" w:rsidR="00F96AEA" w:rsidRPr="002D65CF" w:rsidRDefault="00F96AEA" w:rsidP="008B67BE">
      <w:pPr>
        <w:autoSpaceDE w:val="0"/>
        <w:autoSpaceDN w:val="0"/>
        <w:adjustRightInd w:val="0"/>
        <w:spacing w:after="0" w:line="240" w:lineRule="auto"/>
        <w:ind w:firstLine="698"/>
        <w:jc w:val="both"/>
        <w:rPr>
          <w:rFonts w:ascii="Arial" w:hAnsi="Arial" w:cs="Arial"/>
          <w:color w:val="000000"/>
          <w:sz w:val="20"/>
          <w:szCs w:val="20"/>
        </w:rPr>
      </w:pPr>
    </w:p>
    <w:p w14:paraId="5FB06FFC" w14:textId="77777777" w:rsidR="00F96AEA" w:rsidRPr="002D65CF" w:rsidRDefault="00F96AEA" w:rsidP="008B67BE">
      <w:pPr>
        <w:autoSpaceDE w:val="0"/>
        <w:autoSpaceDN w:val="0"/>
        <w:adjustRightInd w:val="0"/>
        <w:spacing w:after="0" w:line="240" w:lineRule="auto"/>
        <w:ind w:left="1418"/>
        <w:jc w:val="both"/>
        <w:rPr>
          <w:rFonts w:ascii="Arial" w:hAnsi="Arial" w:cs="Arial"/>
          <w:color w:val="000000"/>
          <w:sz w:val="20"/>
          <w:szCs w:val="20"/>
        </w:rPr>
      </w:pPr>
      <w:r w:rsidRPr="002D65CF">
        <w:rPr>
          <w:rFonts w:ascii="Arial" w:hAnsi="Arial" w:cs="Arial"/>
          <w:color w:val="000000"/>
          <w:sz w:val="20"/>
          <w:szCs w:val="20"/>
        </w:rPr>
        <w:t>[24] Moreover, sight cannot be lost of the fact that criminal prosecutions come with many challenges. First, the responsibility for the prosecution lies with the National Directorate of Public Prosecutions, not the regulatory authorities, such as the FSB. Given an already overburdened H prosecutorial staff, such contraventions generally do not enjoy priority</w:t>
      </w:r>
      <w:r w:rsidR="002D65CF">
        <w:rPr>
          <w:rFonts w:ascii="Arial" w:hAnsi="Arial" w:cs="Arial"/>
          <w:color w:val="000000"/>
          <w:sz w:val="20"/>
          <w:szCs w:val="20"/>
        </w:rPr>
        <w:t xml:space="preserve"> </w:t>
      </w:r>
      <w:r w:rsidRPr="002D65CF">
        <w:rPr>
          <w:rFonts w:ascii="Arial" w:hAnsi="Arial" w:cs="Arial"/>
          <w:color w:val="000000"/>
          <w:sz w:val="20"/>
          <w:szCs w:val="20"/>
        </w:rPr>
        <w:t>and the regulator, as complainant, has to stand in line with many other  complainants. Second, a criminal prosecution can be both time</w:t>
      </w:r>
      <w:r w:rsidR="002D65CF" w:rsidRPr="002D65CF">
        <w:rPr>
          <w:rFonts w:ascii="Arial" w:hAnsi="Arial" w:cs="Arial"/>
          <w:color w:val="000000"/>
          <w:sz w:val="20"/>
          <w:szCs w:val="20"/>
        </w:rPr>
        <w:t xml:space="preserve"> </w:t>
      </w:r>
      <w:r w:rsidRPr="002D65CF">
        <w:rPr>
          <w:rFonts w:ascii="Arial" w:hAnsi="Arial" w:cs="Arial"/>
          <w:color w:val="000000"/>
          <w:sz w:val="20"/>
          <w:szCs w:val="20"/>
        </w:rPr>
        <w:t>consuming</w:t>
      </w:r>
      <w:r w:rsidR="002D65CF" w:rsidRPr="002D65CF">
        <w:rPr>
          <w:rFonts w:ascii="Arial" w:hAnsi="Arial" w:cs="Arial"/>
          <w:color w:val="000000"/>
          <w:sz w:val="20"/>
          <w:szCs w:val="20"/>
        </w:rPr>
        <w:t xml:space="preserve"> </w:t>
      </w:r>
      <w:r w:rsidRPr="002D65CF">
        <w:rPr>
          <w:rFonts w:ascii="Arial" w:hAnsi="Arial" w:cs="Arial"/>
          <w:color w:val="000000"/>
          <w:sz w:val="20"/>
          <w:szCs w:val="20"/>
        </w:rPr>
        <w:t>and fraught with difficulty and the prosecuting authority may not always possess the necessary expertise. Third, the stigma</w:t>
      </w:r>
      <w:r w:rsidR="002D65CF" w:rsidRPr="002D65CF">
        <w:rPr>
          <w:rFonts w:ascii="Arial" w:hAnsi="Arial" w:cs="Arial"/>
          <w:color w:val="000000"/>
          <w:sz w:val="20"/>
          <w:szCs w:val="20"/>
        </w:rPr>
        <w:t xml:space="preserve"> </w:t>
      </w:r>
      <w:r w:rsidRPr="002D65CF">
        <w:rPr>
          <w:rFonts w:ascii="Arial" w:hAnsi="Arial" w:cs="Arial"/>
          <w:color w:val="000000"/>
          <w:sz w:val="20"/>
          <w:szCs w:val="20"/>
        </w:rPr>
        <w:t>attached to a criminal conviction will often mean that industry professionals are likely to vigorously contest even relatively minor</w:t>
      </w:r>
      <w:r w:rsidR="002D65CF" w:rsidRPr="002D65CF">
        <w:rPr>
          <w:rFonts w:ascii="Arial" w:hAnsi="Arial" w:cs="Arial"/>
          <w:color w:val="000000"/>
          <w:sz w:val="20"/>
          <w:szCs w:val="20"/>
        </w:rPr>
        <w:t xml:space="preserve">   </w:t>
      </w:r>
      <w:r w:rsidRPr="002D65CF">
        <w:rPr>
          <w:rFonts w:ascii="Arial" w:hAnsi="Arial" w:cs="Arial"/>
          <w:color w:val="000000"/>
          <w:sz w:val="20"/>
          <w:szCs w:val="20"/>
        </w:rPr>
        <w:t xml:space="preserve">contraventions. Fourth, </w:t>
      </w:r>
      <w:r w:rsidR="00C857C3" w:rsidRPr="002D65CF">
        <w:rPr>
          <w:rFonts w:ascii="Arial" w:hAnsi="Arial" w:cs="Arial"/>
          <w:color w:val="000000"/>
          <w:sz w:val="20"/>
          <w:szCs w:val="20"/>
        </w:rPr>
        <w:t>a criminal</w:t>
      </w:r>
      <w:r w:rsidRPr="002D65CF">
        <w:rPr>
          <w:rFonts w:ascii="Arial" w:hAnsi="Arial" w:cs="Arial"/>
          <w:color w:val="000000"/>
          <w:sz w:val="20"/>
          <w:szCs w:val="20"/>
        </w:rPr>
        <w:t xml:space="preserve"> prosecution may not be a suitable enforcement option in respect of some less serious contraventions,</w:t>
      </w:r>
      <w:r w:rsidR="002D65CF" w:rsidRPr="002D65CF">
        <w:rPr>
          <w:rFonts w:ascii="Arial" w:hAnsi="Arial" w:cs="Arial"/>
          <w:color w:val="000000"/>
          <w:sz w:val="20"/>
          <w:szCs w:val="20"/>
        </w:rPr>
        <w:t xml:space="preserve"> </w:t>
      </w:r>
      <w:r w:rsidRPr="002D65CF">
        <w:rPr>
          <w:rFonts w:ascii="Arial" w:hAnsi="Arial" w:cs="Arial"/>
          <w:color w:val="000000"/>
          <w:sz w:val="20"/>
          <w:szCs w:val="20"/>
        </w:rPr>
        <w:t>especially those where an industry player simply failed to adhere to the rules, as opposed to committing an offence which is truly deserving of a</w:t>
      </w:r>
      <w:r w:rsidR="002D65CF" w:rsidRPr="002D65CF">
        <w:rPr>
          <w:rFonts w:ascii="Arial" w:hAnsi="Arial" w:cs="Arial"/>
          <w:color w:val="000000"/>
          <w:sz w:val="20"/>
          <w:szCs w:val="20"/>
        </w:rPr>
        <w:t xml:space="preserve"> </w:t>
      </w:r>
      <w:r w:rsidRPr="002D65CF">
        <w:rPr>
          <w:rFonts w:ascii="Arial" w:hAnsi="Arial" w:cs="Arial"/>
          <w:color w:val="000000"/>
          <w:sz w:val="20"/>
          <w:szCs w:val="20"/>
        </w:rPr>
        <w:t>criminal sanction.</w:t>
      </w:r>
    </w:p>
    <w:p w14:paraId="0EC4FB7B" w14:textId="77777777" w:rsidR="005C4985" w:rsidRDefault="005C4985" w:rsidP="008B67BE">
      <w:pPr>
        <w:autoSpaceDE w:val="0"/>
        <w:autoSpaceDN w:val="0"/>
        <w:adjustRightInd w:val="0"/>
        <w:spacing w:after="0" w:line="240" w:lineRule="auto"/>
        <w:ind w:left="480" w:firstLine="698"/>
        <w:jc w:val="both"/>
        <w:rPr>
          <w:rFonts w:ascii="Arial" w:hAnsi="Arial" w:cs="Arial"/>
          <w:color w:val="000000"/>
          <w:sz w:val="20"/>
          <w:szCs w:val="20"/>
        </w:rPr>
      </w:pPr>
    </w:p>
    <w:p w14:paraId="35F0447F" w14:textId="77777777" w:rsidR="00F96AEA" w:rsidRPr="002D65CF" w:rsidRDefault="00F96AEA" w:rsidP="008B67BE">
      <w:pPr>
        <w:autoSpaceDE w:val="0"/>
        <w:autoSpaceDN w:val="0"/>
        <w:adjustRightInd w:val="0"/>
        <w:spacing w:after="0" w:line="240" w:lineRule="auto"/>
        <w:ind w:left="1418"/>
        <w:jc w:val="both"/>
        <w:rPr>
          <w:rFonts w:ascii="Arial" w:hAnsi="Arial" w:cs="Arial"/>
          <w:color w:val="000000"/>
          <w:sz w:val="20"/>
          <w:szCs w:val="20"/>
        </w:rPr>
      </w:pPr>
      <w:r w:rsidRPr="002D65CF">
        <w:rPr>
          <w:rFonts w:ascii="Arial" w:hAnsi="Arial" w:cs="Arial"/>
          <w:color w:val="000000"/>
          <w:sz w:val="20"/>
          <w:szCs w:val="20"/>
        </w:rPr>
        <w:t>[25] Accordingly, for all of the reasons given, I take the view that  proceedings before the EC do not lie within the criminal sphere and</w:t>
      </w:r>
      <w:r w:rsidR="002D65CF" w:rsidRPr="002D65CF">
        <w:rPr>
          <w:rFonts w:ascii="Arial" w:hAnsi="Arial" w:cs="Arial"/>
          <w:color w:val="000000"/>
          <w:sz w:val="20"/>
          <w:szCs w:val="20"/>
        </w:rPr>
        <w:t xml:space="preserve"> </w:t>
      </w:r>
      <w:r w:rsidRPr="002D65CF">
        <w:rPr>
          <w:rFonts w:ascii="Arial" w:hAnsi="Arial" w:cs="Arial"/>
          <w:color w:val="000000"/>
          <w:sz w:val="20"/>
          <w:szCs w:val="20"/>
        </w:rPr>
        <w:t>cannot be classified as being criminal in nature. The court below was accordingly correct in holding that the EC, when imposing administrative</w:t>
      </w:r>
      <w:r w:rsidR="002D65CF" w:rsidRPr="002D65CF">
        <w:rPr>
          <w:rFonts w:ascii="Arial" w:hAnsi="Arial" w:cs="Arial"/>
          <w:color w:val="000000"/>
          <w:sz w:val="20"/>
          <w:szCs w:val="20"/>
        </w:rPr>
        <w:t xml:space="preserve"> </w:t>
      </w:r>
      <w:r w:rsidRPr="002D65CF">
        <w:rPr>
          <w:rFonts w:ascii="Arial" w:hAnsi="Arial" w:cs="Arial"/>
          <w:color w:val="000000"/>
          <w:sz w:val="20"/>
          <w:szCs w:val="20"/>
        </w:rPr>
        <w:t xml:space="preserve">penalties 'decidedly remains administrative'. Its conclusion in </w:t>
      </w:r>
      <w:r w:rsidRPr="002D65CF">
        <w:rPr>
          <w:rFonts w:ascii="Arial" w:hAnsi="Arial" w:cs="Arial"/>
          <w:color w:val="000000"/>
          <w:sz w:val="20"/>
          <w:szCs w:val="20"/>
        </w:rPr>
        <w:lastRenderedPageBreak/>
        <w:t>this regard is consistent with decisions in this country by the Competition Appeal</w:t>
      </w:r>
      <w:r w:rsidR="002D65CF" w:rsidRPr="002D65CF">
        <w:rPr>
          <w:rFonts w:ascii="Arial" w:hAnsi="Arial" w:cs="Arial"/>
          <w:color w:val="000000"/>
          <w:sz w:val="20"/>
          <w:szCs w:val="20"/>
        </w:rPr>
        <w:t xml:space="preserve"> </w:t>
      </w:r>
      <w:r w:rsidRPr="002D65CF">
        <w:rPr>
          <w:rFonts w:ascii="Arial" w:hAnsi="Arial" w:cs="Arial"/>
          <w:color w:val="000000"/>
          <w:sz w:val="20"/>
          <w:szCs w:val="20"/>
        </w:rPr>
        <w:t>Cou</w:t>
      </w:r>
      <w:r w:rsidR="002D65CF">
        <w:rPr>
          <w:rFonts w:ascii="Arial" w:hAnsi="Arial" w:cs="Arial"/>
          <w:color w:val="000000"/>
          <w:sz w:val="20"/>
          <w:szCs w:val="20"/>
        </w:rPr>
        <w:t>rt, Tax Court and Labour Court.”</w:t>
      </w:r>
    </w:p>
    <w:p w14:paraId="5D80996C" w14:textId="77777777" w:rsidR="00F96AEA" w:rsidRPr="00F96AEA" w:rsidRDefault="00F96AEA" w:rsidP="008B67BE">
      <w:pPr>
        <w:autoSpaceDE w:val="0"/>
        <w:autoSpaceDN w:val="0"/>
        <w:adjustRightInd w:val="0"/>
        <w:spacing w:after="0" w:line="240" w:lineRule="auto"/>
        <w:ind w:firstLine="698"/>
        <w:jc w:val="both"/>
        <w:rPr>
          <w:rFonts w:ascii="Verdana" w:hAnsi="Verdana" w:cs="Verdana"/>
          <w:color w:val="818181"/>
          <w:sz w:val="11"/>
          <w:szCs w:val="11"/>
        </w:rPr>
      </w:pPr>
    </w:p>
    <w:p w14:paraId="298AA38B" w14:textId="77777777" w:rsidR="00153576" w:rsidRDefault="00153576" w:rsidP="008B67BE">
      <w:pPr>
        <w:shd w:val="clear" w:color="auto" w:fill="FFFFFF"/>
        <w:spacing w:after="0" w:line="240" w:lineRule="auto"/>
        <w:ind w:left="480"/>
        <w:jc w:val="both"/>
        <w:rPr>
          <w:rFonts w:ascii="Arial" w:hAnsi="Arial" w:cs="Arial"/>
          <w:sz w:val="24"/>
          <w:szCs w:val="24"/>
        </w:rPr>
      </w:pPr>
    </w:p>
    <w:p w14:paraId="46B0E722" w14:textId="77777777" w:rsidR="00153576" w:rsidRDefault="001C4A35" w:rsidP="008B67BE">
      <w:pPr>
        <w:shd w:val="clear" w:color="auto" w:fill="FFFFFF"/>
        <w:spacing w:after="0" w:line="240" w:lineRule="auto"/>
        <w:ind w:left="480" w:hanging="480"/>
        <w:jc w:val="both"/>
        <w:rPr>
          <w:rFonts w:ascii="Arial" w:hAnsi="Arial" w:cs="Arial"/>
          <w:sz w:val="24"/>
          <w:szCs w:val="24"/>
        </w:rPr>
      </w:pPr>
      <w:r>
        <w:rPr>
          <w:rFonts w:ascii="Arial" w:hAnsi="Arial" w:cs="Arial"/>
          <w:sz w:val="24"/>
          <w:szCs w:val="24"/>
        </w:rPr>
        <w:t>[27</w:t>
      </w:r>
      <w:r w:rsidR="00153576">
        <w:rPr>
          <w:rFonts w:ascii="Arial" w:hAnsi="Arial" w:cs="Arial"/>
          <w:sz w:val="24"/>
          <w:szCs w:val="24"/>
        </w:rPr>
        <w:t xml:space="preserve">] </w:t>
      </w:r>
      <w:r w:rsidR="00E25E8A">
        <w:rPr>
          <w:rFonts w:ascii="Arial" w:hAnsi="Arial" w:cs="Arial"/>
          <w:sz w:val="24"/>
          <w:szCs w:val="24"/>
        </w:rPr>
        <w:t xml:space="preserve">Section 235 of the TAA criminalises tax evasion. The section provides as follows: </w:t>
      </w:r>
    </w:p>
    <w:p w14:paraId="0B9FE2D0" w14:textId="77777777" w:rsidR="00CE2E8C" w:rsidRDefault="00CE2E8C" w:rsidP="008B67BE">
      <w:pPr>
        <w:shd w:val="clear" w:color="auto" w:fill="FFFFFF"/>
        <w:spacing w:after="0" w:line="240" w:lineRule="auto"/>
        <w:ind w:left="480"/>
        <w:jc w:val="both"/>
        <w:rPr>
          <w:rFonts w:ascii="Arial" w:hAnsi="Arial" w:cs="Arial"/>
          <w:sz w:val="24"/>
          <w:szCs w:val="24"/>
        </w:rPr>
      </w:pPr>
    </w:p>
    <w:p w14:paraId="0FCD08C7" w14:textId="77777777" w:rsidR="006C5B03" w:rsidRPr="006C5B03" w:rsidRDefault="00E25E8A" w:rsidP="008B67BE">
      <w:pPr>
        <w:numPr>
          <w:ilvl w:val="0"/>
          <w:numId w:val="5"/>
        </w:numPr>
        <w:shd w:val="clear" w:color="auto" w:fill="FFFFFF"/>
        <w:spacing w:after="0" w:line="240" w:lineRule="auto"/>
        <w:ind w:left="1418" w:firstLine="0"/>
        <w:jc w:val="both"/>
        <w:rPr>
          <w:rFonts w:ascii="Arial" w:eastAsia="Times New Roman" w:hAnsi="Arial" w:cs="Arial"/>
          <w:color w:val="242121"/>
          <w:sz w:val="20"/>
          <w:szCs w:val="20"/>
          <w:lang w:eastAsia="en-ZA"/>
        </w:rPr>
      </w:pPr>
      <w:r>
        <w:rPr>
          <w:rFonts w:ascii="Arial" w:eastAsia="Times New Roman" w:hAnsi="Arial" w:cs="Arial"/>
          <w:b/>
          <w:bCs/>
          <w:color w:val="242121"/>
          <w:sz w:val="20"/>
          <w:szCs w:val="20"/>
          <w:lang w:eastAsia="en-ZA"/>
        </w:rPr>
        <w:t>“</w:t>
      </w:r>
      <w:r w:rsidR="006C5B03" w:rsidRPr="006C5B03">
        <w:rPr>
          <w:rFonts w:ascii="Arial" w:eastAsia="Times New Roman" w:hAnsi="Arial" w:cs="Arial"/>
          <w:b/>
          <w:bCs/>
          <w:color w:val="242121"/>
          <w:sz w:val="20"/>
          <w:szCs w:val="20"/>
          <w:lang w:eastAsia="en-ZA"/>
        </w:rPr>
        <w:t>Evasion of tax and obtaining undue refunds by fraud or theft</w:t>
      </w:r>
    </w:p>
    <w:p w14:paraId="47D66B25"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(1) A person who with intent to evade or to assist another person to evade tax or to obtain an undue refund under a tax Act—</w:t>
      </w:r>
    </w:p>
    <w:p w14:paraId="07D954C5"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(a) makes or causes or allows to be made any false statement or entry in a return or other document, or signs a statement, return or other document so submitted without reasonable grounds for believing the same to be true;</w:t>
      </w:r>
    </w:p>
    <w:p w14:paraId="3795B361"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(b) gives a false answer, whether orally or in writing, to a request for information made under this Act;</w:t>
      </w:r>
    </w:p>
    <w:p w14:paraId="050F515B"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(c) prepares, maintains or authorises the preparation or maintenance of false books of account or other records or falsifies or authorises the falsification of books of account or other records;</w:t>
      </w:r>
    </w:p>
    <w:p w14:paraId="37B0BD9E" w14:textId="77777777" w:rsidR="006C5B03" w:rsidRPr="006C5B03" w:rsidRDefault="00C857C3" w:rsidP="008B67BE">
      <w:pPr>
        <w:shd w:val="clear" w:color="auto" w:fill="FFFFFF"/>
        <w:spacing w:before="144" w:after="288" w:line="240" w:lineRule="auto"/>
        <w:ind w:left="720"/>
        <w:jc w:val="both"/>
        <w:rPr>
          <w:rFonts w:ascii="Arial" w:eastAsia="Times New Roman" w:hAnsi="Arial" w:cs="Arial"/>
          <w:color w:val="242121"/>
          <w:sz w:val="20"/>
          <w:szCs w:val="20"/>
          <w:lang w:eastAsia="en-ZA"/>
        </w:rPr>
      </w:pPr>
      <w:r>
        <w:rPr>
          <w:rFonts w:ascii="Arial" w:eastAsia="Times New Roman" w:hAnsi="Arial" w:cs="Arial"/>
          <w:color w:val="242121"/>
          <w:sz w:val="20"/>
          <w:szCs w:val="20"/>
          <w:lang w:eastAsia="en-ZA"/>
        </w:rPr>
        <w:tab/>
      </w:r>
      <w:r w:rsidR="006C5B03" w:rsidRPr="006C5B03">
        <w:rPr>
          <w:rFonts w:ascii="Arial" w:eastAsia="Times New Roman" w:hAnsi="Arial" w:cs="Arial"/>
          <w:color w:val="242121"/>
          <w:sz w:val="20"/>
          <w:szCs w:val="20"/>
          <w:lang w:eastAsia="en-ZA"/>
        </w:rPr>
        <w:t>(d) makes use of, or authorises the use of, fraud or contrivance; or</w:t>
      </w:r>
    </w:p>
    <w:p w14:paraId="12671AA9"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(e) makes any false statement for the purposes of obtaining any refund of or exemption from tax, is guilty of an offence and, upon conviction, is subject to a fine or to imprisonment for a period not exceeding five years.</w:t>
      </w:r>
    </w:p>
    <w:p w14:paraId="18768B15"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(2) Any person who makes a statement in the manner referred to in subsection (1) may, unless the person proves that there is a reasonable possibility that he or she was ignorant of the falsity of the statement and that the ignorance was not due to negligence on his or her part, be regarded as being aware of the falsity of the statement.</w:t>
      </w:r>
    </w:p>
    <w:p w14:paraId="16C25543" w14:textId="77777777" w:rsidR="006C5B03" w:rsidRPr="006C5B03" w:rsidRDefault="006C5B03" w:rsidP="008B67BE">
      <w:pPr>
        <w:shd w:val="clear" w:color="auto" w:fill="FFFFFF"/>
        <w:spacing w:before="144" w:after="288" w:line="240" w:lineRule="auto"/>
        <w:ind w:left="1440"/>
        <w:jc w:val="both"/>
        <w:rPr>
          <w:rFonts w:ascii="Arial" w:eastAsia="Times New Roman" w:hAnsi="Arial" w:cs="Arial"/>
          <w:color w:val="242121"/>
          <w:sz w:val="20"/>
          <w:szCs w:val="20"/>
          <w:lang w:eastAsia="en-ZA"/>
        </w:rPr>
      </w:pPr>
      <w:r w:rsidRPr="006C5B03">
        <w:rPr>
          <w:rFonts w:ascii="Arial" w:eastAsia="Times New Roman" w:hAnsi="Arial" w:cs="Arial"/>
          <w:color w:val="242121"/>
          <w:sz w:val="20"/>
          <w:szCs w:val="20"/>
          <w:lang w:eastAsia="en-ZA"/>
        </w:rPr>
        <w:t>(3) Only a senior SARS official may lay a complaint with the South African Police Service or the National Prosecuting Authority regarding an offence under this section.</w:t>
      </w:r>
      <w:r w:rsidR="00E25E8A">
        <w:rPr>
          <w:rFonts w:ascii="Arial" w:eastAsia="Times New Roman" w:hAnsi="Arial" w:cs="Arial"/>
          <w:color w:val="242121"/>
          <w:sz w:val="20"/>
          <w:szCs w:val="20"/>
          <w:lang w:eastAsia="en-ZA"/>
        </w:rPr>
        <w:t>”</w:t>
      </w:r>
    </w:p>
    <w:p w14:paraId="384D9A65" w14:textId="77777777" w:rsidR="00CA182C" w:rsidRDefault="00CA182C" w:rsidP="008B67BE">
      <w:pPr>
        <w:shd w:val="clear" w:color="auto" w:fill="FFFFFF"/>
        <w:spacing w:after="0" w:line="240" w:lineRule="auto"/>
        <w:ind w:left="480"/>
        <w:jc w:val="both"/>
        <w:rPr>
          <w:rFonts w:ascii="Arial" w:hAnsi="Arial" w:cs="Arial"/>
          <w:sz w:val="24"/>
          <w:szCs w:val="24"/>
        </w:rPr>
      </w:pPr>
    </w:p>
    <w:p w14:paraId="1428F13B" w14:textId="77777777" w:rsidR="00C1398C" w:rsidRDefault="00B32CBC" w:rsidP="008B67BE">
      <w:pPr>
        <w:shd w:val="clear" w:color="auto" w:fill="FFFFFF"/>
        <w:spacing w:after="0" w:line="360" w:lineRule="auto"/>
        <w:ind w:left="720" w:hanging="720"/>
        <w:jc w:val="both"/>
        <w:rPr>
          <w:rFonts w:ascii="Arial" w:hAnsi="Arial" w:cs="Arial"/>
          <w:sz w:val="24"/>
          <w:szCs w:val="24"/>
        </w:rPr>
      </w:pPr>
      <w:r>
        <w:rPr>
          <w:rFonts w:ascii="Arial" w:hAnsi="Arial" w:cs="Arial"/>
          <w:sz w:val="24"/>
          <w:szCs w:val="24"/>
        </w:rPr>
        <w:t xml:space="preserve"> </w:t>
      </w:r>
      <w:r w:rsidR="001C4A35">
        <w:rPr>
          <w:rFonts w:ascii="Arial" w:hAnsi="Arial" w:cs="Arial"/>
          <w:sz w:val="24"/>
          <w:szCs w:val="24"/>
        </w:rPr>
        <w:t>[28</w:t>
      </w:r>
      <w:r w:rsidR="00C1398C">
        <w:rPr>
          <w:rFonts w:ascii="Arial" w:hAnsi="Arial" w:cs="Arial"/>
          <w:sz w:val="24"/>
          <w:szCs w:val="24"/>
        </w:rPr>
        <w:t xml:space="preserve">] </w:t>
      </w:r>
      <w:r w:rsidR="00252529">
        <w:rPr>
          <w:rFonts w:ascii="Arial" w:hAnsi="Arial" w:cs="Arial"/>
          <w:sz w:val="24"/>
          <w:szCs w:val="24"/>
        </w:rPr>
        <w:tab/>
      </w:r>
      <w:r w:rsidR="003D7F25">
        <w:rPr>
          <w:rFonts w:ascii="Arial" w:hAnsi="Arial" w:cs="Arial"/>
          <w:sz w:val="24"/>
          <w:szCs w:val="24"/>
        </w:rPr>
        <w:t xml:space="preserve">The above authorities demonstrate that nothing precludes civil administrative proceedings and criminal proceedings from the single act. </w:t>
      </w:r>
      <w:r w:rsidR="00C857C3">
        <w:rPr>
          <w:rFonts w:ascii="Arial" w:hAnsi="Arial" w:cs="Arial"/>
          <w:sz w:val="24"/>
          <w:szCs w:val="24"/>
        </w:rPr>
        <w:t>Administrative penalties</w:t>
      </w:r>
      <w:r w:rsidR="00C1398C">
        <w:rPr>
          <w:rFonts w:ascii="Arial" w:hAnsi="Arial" w:cs="Arial"/>
          <w:sz w:val="24"/>
          <w:szCs w:val="24"/>
        </w:rPr>
        <w:t xml:space="preserve"> </w:t>
      </w:r>
      <w:r w:rsidR="00974854">
        <w:rPr>
          <w:rFonts w:ascii="Arial" w:hAnsi="Arial" w:cs="Arial"/>
          <w:sz w:val="24"/>
          <w:szCs w:val="24"/>
        </w:rPr>
        <w:t>and criminal proceedings do not serve the same purpose. The other is aimed at strengthening internal controls o</w:t>
      </w:r>
      <w:r w:rsidR="00BF48A7">
        <w:rPr>
          <w:rFonts w:ascii="Arial" w:hAnsi="Arial" w:cs="Arial"/>
          <w:sz w:val="24"/>
          <w:szCs w:val="24"/>
        </w:rPr>
        <w:t>f the administrative authority</w:t>
      </w:r>
      <w:r w:rsidR="00974854">
        <w:rPr>
          <w:rFonts w:ascii="Arial" w:hAnsi="Arial" w:cs="Arial"/>
          <w:sz w:val="24"/>
          <w:szCs w:val="24"/>
        </w:rPr>
        <w:t xml:space="preserve"> and to promote compliance while the ot</w:t>
      </w:r>
      <w:r w:rsidR="00F44D78">
        <w:rPr>
          <w:rFonts w:ascii="Arial" w:hAnsi="Arial" w:cs="Arial"/>
          <w:sz w:val="24"/>
          <w:szCs w:val="24"/>
        </w:rPr>
        <w:t>h</w:t>
      </w:r>
      <w:r w:rsidR="00974854">
        <w:rPr>
          <w:rFonts w:ascii="Arial" w:hAnsi="Arial" w:cs="Arial"/>
          <w:sz w:val="24"/>
          <w:szCs w:val="24"/>
        </w:rPr>
        <w:t xml:space="preserve">er is aimed at correcting </w:t>
      </w:r>
      <w:r w:rsidR="00F44D78">
        <w:rPr>
          <w:rFonts w:ascii="Arial" w:hAnsi="Arial" w:cs="Arial"/>
          <w:sz w:val="24"/>
          <w:szCs w:val="24"/>
        </w:rPr>
        <w:t xml:space="preserve">a behaviour that caused harm to the society. </w:t>
      </w:r>
    </w:p>
    <w:p w14:paraId="01BB246D" w14:textId="77777777" w:rsidR="00252529" w:rsidRDefault="00252529" w:rsidP="008B67BE">
      <w:pPr>
        <w:shd w:val="clear" w:color="auto" w:fill="FFFFFF"/>
        <w:spacing w:after="0" w:line="360" w:lineRule="auto"/>
        <w:ind w:left="720"/>
        <w:jc w:val="both"/>
        <w:rPr>
          <w:rFonts w:ascii="Arial" w:hAnsi="Arial" w:cs="Arial"/>
          <w:sz w:val="24"/>
          <w:szCs w:val="24"/>
        </w:rPr>
      </w:pPr>
    </w:p>
    <w:p w14:paraId="037121B9" w14:textId="6382D21A" w:rsidR="002B0C12" w:rsidRDefault="001C4A35" w:rsidP="008B67BE">
      <w:pPr>
        <w:shd w:val="clear" w:color="auto" w:fill="FFFFFF"/>
        <w:spacing w:after="0" w:line="360" w:lineRule="auto"/>
        <w:ind w:left="720" w:hanging="720"/>
        <w:jc w:val="both"/>
        <w:rPr>
          <w:rFonts w:ascii="Arial" w:hAnsi="Arial" w:cs="Arial"/>
          <w:sz w:val="24"/>
          <w:szCs w:val="24"/>
        </w:rPr>
      </w:pPr>
      <w:r>
        <w:rPr>
          <w:rFonts w:ascii="Arial" w:hAnsi="Arial" w:cs="Arial"/>
          <w:sz w:val="24"/>
          <w:szCs w:val="24"/>
        </w:rPr>
        <w:t>[29</w:t>
      </w:r>
      <w:r w:rsidR="00252529">
        <w:rPr>
          <w:rFonts w:ascii="Arial" w:hAnsi="Arial" w:cs="Arial"/>
          <w:sz w:val="24"/>
          <w:szCs w:val="24"/>
        </w:rPr>
        <w:t>]</w:t>
      </w:r>
      <w:r w:rsidR="00252529">
        <w:rPr>
          <w:rFonts w:ascii="Arial" w:hAnsi="Arial" w:cs="Arial"/>
          <w:sz w:val="24"/>
          <w:szCs w:val="24"/>
        </w:rPr>
        <w:tab/>
      </w:r>
      <w:r w:rsidR="008433DC">
        <w:rPr>
          <w:rFonts w:ascii="Arial" w:hAnsi="Arial" w:cs="Arial"/>
          <w:sz w:val="24"/>
          <w:szCs w:val="24"/>
        </w:rPr>
        <w:t>Section 222 of TAA p</w:t>
      </w:r>
      <w:r w:rsidR="00C857C3">
        <w:rPr>
          <w:rFonts w:ascii="Arial" w:hAnsi="Arial" w:cs="Arial"/>
          <w:sz w:val="24"/>
          <w:szCs w:val="24"/>
        </w:rPr>
        <w:t>rescribes</w:t>
      </w:r>
      <w:r w:rsidR="008F7E51">
        <w:rPr>
          <w:rFonts w:ascii="Arial" w:hAnsi="Arial" w:cs="Arial"/>
          <w:sz w:val="24"/>
          <w:szCs w:val="24"/>
        </w:rPr>
        <w:t xml:space="preserve"> that</w:t>
      </w:r>
      <w:r w:rsidR="00C857C3">
        <w:rPr>
          <w:rFonts w:ascii="Arial" w:hAnsi="Arial" w:cs="Arial"/>
          <w:sz w:val="24"/>
          <w:szCs w:val="24"/>
        </w:rPr>
        <w:t xml:space="preserve"> taxpayers are liable</w:t>
      </w:r>
      <w:r w:rsidR="008433DC">
        <w:rPr>
          <w:rFonts w:ascii="Arial" w:hAnsi="Arial" w:cs="Arial"/>
          <w:sz w:val="24"/>
          <w:szCs w:val="24"/>
        </w:rPr>
        <w:t xml:space="preserve"> not only for the shortfall or unpaid tax for the relevant period, but, in addition to the tax </w:t>
      </w:r>
      <w:r w:rsidR="00C857C3">
        <w:rPr>
          <w:rFonts w:ascii="Arial" w:hAnsi="Arial" w:cs="Arial"/>
          <w:sz w:val="24"/>
          <w:szCs w:val="24"/>
        </w:rPr>
        <w:t>payable,</w:t>
      </w:r>
      <w:r w:rsidR="008433DC">
        <w:rPr>
          <w:rFonts w:ascii="Arial" w:hAnsi="Arial" w:cs="Arial"/>
          <w:sz w:val="24"/>
          <w:szCs w:val="24"/>
        </w:rPr>
        <w:t xml:space="preserve"> for an understatement penalty.</w:t>
      </w:r>
      <w:r w:rsidR="001505AA" w:rsidRPr="001505AA">
        <w:rPr>
          <w:rFonts w:ascii="Arial" w:hAnsi="Arial" w:cs="Arial"/>
          <w:sz w:val="24"/>
          <w:szCs w:val="24"/>
        </w:rPr>
        <w:t xml:space="preserve"> </w:t>
      </w:r>
      <w:r w:rsidR="001505AA">
        <w:rPr>
          <w:rFonts w:ascii="Arial" w:hAnsi="Arial" w:cs="Arial"/>
          <w:sz w:val="24"/>
          <w:szCs w:val="24"/>
        </w:rPr>
        <w:t xml:space="preserve">Section 222 addresses the damage and shortfall flowing from an understatement. It further deters </w:t>
      </w:r>
      <w:r w:rsidR="00C857C3">
        <w:rPr>
          <w:rFonts w:ascii="Arial" w:hAnsi="Arial" w:cs="Arial"/>
          <w:sz w:val="24"/>
          <w:szCs w:val="24"/>
        </w:rPr>
        <w:t>non-compliance</w:t>
      </w:r>
      <w:r w:rsidR="001505AA">
        <w:rPr>
          <w:rFonts w:ascii="Arial" w:hAnsi="Arial" w:cs="Arial"/>
          <w:sz w:val="24"/>
          <w:szCs w:val="24"/>
        </w:rPr>
        <w:t xml:space="preserve"> with tax administration laws.  </w:t>
      </w:r>
      <w:r w:rsidR="008433DC">
        <w:rPr>
          <w:rFonts w:ascii="Arial" w:hAnsi="Arial" w:cs="Arial"/>
          <w:sz w:val="24"/>
          <w:szCs w:val="24"/>
        </w:rPr>
        <w:t xml:space="preserve"> </w:t>
      </w:r>
      <w:r w:rsidR="00EA328B">
        <w:rPr>
          <w:rFonts w:ascii="Arial" w:hAnsi="Arial" w:cs="Arial"/>
          <w:sz w:val="24"/>
          <w:szCs w:val="24"/>
        </w:rPr>
        <w:t xml:space="preserve">Section </w:t>
      </w:r>
      <w:r w:rsidR="00252529">
        <w:rPr>
          <w:rFonts w:ascii="Arial" w:hAnsi="Arial" w:cs="Arial"/>
          <w:sz w:val="24"/>
          <w:szCs w:val="24"/>
        </w:rPr>
        <w:t xml:space="preserve">235 criminalises </w:t>
      </w:r>
      <w:r w:rsidR="00C25AE7">
        <w:rPr>
          <w:rFonts w:ascii="Arial" w:hAnsi="Arial" w:cs="Arial"/>
          <w:sz w:val="24"/>
          <w:szCs w:val="24"/>
        </w:rPr>
        <w:t>a</w:t>
      </w:r>
      <w:bookmarkStart w:id="0" w:name="_GoBack"/>
      <w:bookmarkEnd w:id="0"/>
      <w:r w:rsidR="00C25AE7">
        <w:rPr>
          <w:rFonts w:ascii="Arial" w:hAnsi="Arial" w:cs="Arial"/>
          <w:sz w:val="24"/>
          <w:szCs w:val="24"/>
        </w:rPr>
        <w:t>n</w:t>
      </w:r>
      <w:r w:rsidR="00252529">
        <w:rPr>
          <w:rFonts w:ascii="Arial" w:hAnsi="Arial" w:cs="Arial"/>
          <w:sz w:val="24"/>
          <w:szCs w:val="24"/>
        </w:rPr>
        <w:t xml:space="preserve"> intentional evasion of tax and </w:t>
      </w:r>
      <w:r w:rsidR="00252529">
        <w:rPr>
          <w:rFonts w:ascii="Arial" w:hAnsi="Arial" w:cs="Arial"/>
          <w:sz w:val="24"/>
          <w:szCs w:val="24"/>
        </w:rPr>
        <w:lastRenderedPageBreak/>
        <w:t xml:space="preserve">obtaining undue refunds by fraud or theft which does not arise in section 222. </w:t>
      </w:r>
      <w:r w:rsidR="00EA328B">
        <w:rPr>
          <w:rFonts w:ascii="Arial" w:hAnsi="Arial" w:cs="Arial"/>
          <w:sz w:val="24"/>
          <w:szCs w:val="24"/>
        </w:rPr>
        <w:t xml:space="preserve"> </w:t>
      </w:r>
      <w:r w:rsidR="00F44D78">
        <w:rPr>
          <w:rFonts w:ascii="Arial" w:hAnsi="Arial" w:cs="Arial"/>
          <w:sz w:val="24"/>
          <w:szCs w:val="24"/>
        </w:rPr>
        <w:t xml:space="preserve">Section 235 deals with the criminal state of mind of the taxpayer at </w:t>
      </w:r>
      <w:r w:rsidR="00496F66">
        <w:rPr>
          <w:rFonts w:ascii="Arial" w:hAnsi="Arial" w:cs="Arial"/>
          <w:sz w:val="24"/>
          <w:szCs w:val="24"/>
        </w:rPr>
        <w:t xml:space="preserve">the time of an understatement. </w:t>
      </w:r>
      <w:r w:rsidR="00577717">
        <w:rPr>
          <w:rFonts w:ascii="Arial" w:hAnsi="Arial" w:cs="Arial"/>
          <w:sz w:val="24"/>
          <w:szCs w:val="24"/>
        </w:rPr>
        <w:t xml:space="preserve"> </w:t>
      </w:r>
    </w:p>
    <w:p w14:paraId="26276B8F" w14:textId="77777777" w:rsidR="00D76901" w:rsidRDefault="00D76901" w:rsidP="008B67BE">
      <w:pPr>
        <w:shd w:val="clear" w:color="auto" w:fill="FFFFFF"/>
        <w:spacing w:after="0" w:line="240" w:lineRule="auto"/>
        <w:ind w:left="720" w:hanging="720"/>
        <w:jc w:val="both"/>
        <w:rPr>
          <w:rFonts w:ascii="Arial" w:hAnsi="Arial" w:cs="Arial"/>
          <w:sz w:val="24"/>
          <w:szCs w:val="24"/>
        </w:rPr>
      </w:pPr>
    </w:p>
    <w:p w14:paraId="51562401" w14:textId="77777777" w:rsidR="00271F55" w:rsidRDefault="001C4A35" w:rsidP="008B67BE">
      <w:pPr>
        <w:shd w:val="clear" w:color="auto" w:fill="FFFFFF"/>
        <w:spacing w:after="0" w:line="360" w:lineRule="auto"/>
        <w:ind w:left="709" w:hanging="709"/>
        <w:jc w:val="both"/>
        <w:rPr>
          <w:rFonts w:ascii="Arial" w:hAnsi="Arial" w:cs="Arial"/>
          <w:sz w:val="24"/>
          <w:szCs w:val="24"/>
        </w:rPr>
      </w:pPr>
      <w:r>
        <w:rPr>
          <w:rFonts w:ascii="Arial" w:hAnsi="Arial" w:cs="Arial"/>
          <w:sz w:val="24"/>
          <w:szCs w:val="24"/>
        </w:rPr>
        <w:t>[30</w:t>
      </w:r>
      <w:r w:rsidR="002B0C12">
        <w:rPr>
          <w:rFonts w:ascii="Arial" w:hAnsi="Arial" w:cs="Arial"/>
          <w:sz w:val="24"/>
          <w:szCs w:val="24"/>
        </w:rPr>
        <w:t xml:space="preserve">] </w:t>
      </w:r>
      <w:r w:rsidR="00C857C3">
        <w:rPr>
          <w:rFonts w:ascii="Arial" w:hAnsi="Arial" w:cs="Arial"/>
          <w:sz w:val="24"/>
          <w:szCs w:val="24"/>
        </w:rPr>
        <w:tab/>
      </w:r>
      <w:r w:rsidR="00C1398C">
        <w:rPr>
          <w:rFonts w:ascii="Arial" w:hAnsi="Arial" w:cs="Arial"/>
          <w:sz w:val="24"/>
          <w:szCs w:val="24"/>
        </w:rPr>
        <w:t xml:space="preserve">An understatement is described as prejudice suffered by SARS or the </w:t>
      </w:r>
      <w:r w:rsidR="00C857C3">
        <w:rPr>
          <w:rFonts w:ascii="Arial" w:hAnsi="Arial" w:cs="Arial"/>
          <w:sz w:val="24"/>
          <w:szCs w:val="24"/>
        </w:rPr>
        <w:t xml:space="preserve">fiscus </w:t>
      </w:r>
      <w:r w:rsidR="00C857C3">
        <w:rPr>
          <w:rFonts w:ascii="Arial" w:hAnsi="Arial" w:cs="Arial"/>
          <w:sz w:val="24"/>
          <w:szCs w:val="24"/>
        </w:rPr>
        <w:tab/>
      </w:r>
      <w:r w:rsidR="00C1398C">
        <w:rPr>
          <w:rFonts w:ascii="Arial" w:hAnsi="Arial" w:cs="Arial"/>
          <w:sz w:val="24"/>
          <w:szCs w:val="24"/>
        </w:rPr>
        <w:t xml:space="preserve">as a result of impermissible conduct by a taxpayer. Prejudice is defined as harm or injury resulting from some action. The </w:t>
      </w:r>
      <w:r w:rsidR="005655A8">
        <w:rPr>
          <w:rFonts w:ascii="Arial" w:hAnsi="Arial" w:cs="Arial"/>
          <w:sz w:val="24"/>
          <w:szCs w:val="24"/>
        </w:rPr>
        <w:t xml:space="preserve">main purpose of penalty is </w:t>
      </w:r>
      <w:r w:rsidR="00C1398C">
        <w:rPr>
          <w:rFonts w:ascii="Arial" w:hAnsi="Arial" w:cs="Arial"/>
          <w:sz w:val="24"/>
          <w:szCs w:val="24"/>
        </w:rPr>
        <w:t>to</w:t>
      </w:r>
      <w:r w:rsidR="005655A8">
        <w:rPr>
          <w:rFonts w:ascii="Arial" w:hAnsi="Arial" w:cs="Arial"/>
          <w:sz w:val="24"/>
          <w:szCs w:val="24"/>
        </w:rPr>
        <w:t xml:space="preserve"> deter impermissible </w:t>
      </w:r>
      <w:r w:rsidR="00271F55">
        <w:rPr>
          <w:rFonts w:ascii="Arial" w:hAnsi="Arial" w:cs="Arial"/>
          <w:sz w:val="24"/>
          <w:szCs w:val="24"/>
        </w:rPr>
        <w:t xml:space="preserve">conduct that </w:t>
      </w:r>
      <w:r w:rsidR="005655A8">
        <w:rPr>
          <w:rFonts w:ascii="Arial" w:hAnsi="Arial" w:cs="Arial"/>
          <w:sz w:val="24"/>
          <w:szCs w:val="24"/>
        </w:rPr>
        <w:t xml:space="preserve">results in violation </w:t>
      </w:r>
      <w:r w:rsidR="00C857C3">
        <w:rPr>
          <w:rFonts w:ascii="Arial" w:hAnsi="Arial" w:cs="Arial"/>
          <w:sz w:val="24"/>
          <w:szCs w:val="24"/>
        </w:rPr>
        <w:t>of TAA</w:t>
      </w:r>
      <w:r w:rsidR="005655A8">
        <w:rPr>
          <w:rFonts w:ascii="Arial" w:hAnsi="Arial" w:cs="Arial"/>
          <w:sz w:val="24"/>
          <w:szCs w:val="24"/>
        </w:rPr>
        <w:t xml:space="preserve"> and </w:t>
      </w:r>
      <w:r w:rsidR="00C857C3">
        <w:rPr>
          <w:rFonts w:ascii="Arial" w:hAnsi="Arial" w:cs="Arial"/>
          <w:sz w:val="24"/>
          <w:szCs w:val="24"/>
        </w:rPr>
        <w:t>to enforce</w:t>
      </w:r>
      <w:r w:rsidR="00C1398C">
        <w:rPr>
          <w:rFonts w:ascii="Arial" w:hAnsi="Arial" w:cs="Arial"/>
          <w:sz w:val="24"/>
          <w:szCs w:val="24"/>
        </w:rPr>
        <w:t xml:space="preserve"> compliance with the provisions </w:t>
      </w:r>
      <w:r w:rsidR="00496F66">
        <w:rPr>
          <w:rFonts w:ascii="Arial" w:hAnsi="Arial" w:cs="Arial"/>
          <w:sz w:val="24"/>
          <w:szCs w:val="24"/>
        </w:rPr>
        <w:t>thereof</w:t>
      </w:r>
      <w:r w:rsidR="005655A8">
        <w:rPr>
          <w:rFonts w:ascii="Arial" w:hAnsi="Arial" w:cs="Arial"/>
          <w:sz w:val="24"/>
          <w:szCs w:val="24"/>
        </w:rPr>
        <w:t xml:space="preserve">. </w:t>
      </w:r>
      <w:r w:rsidR="00D76901">
        <w:rPr>
          <w:rFonts w:ascii="Arial" w:hAnsi="Arial" w:cs="Arial"/>
          <w:sz w:val="24"/>
          <w:szCs w:val="24"/>
        </w:rPr>
        <w:t>There is a duty on every taxpayer to honour their obligation</w:t>
      </w:r>
      <w:r w:rsidR="00496F66">
        <w:rPr>
          <w:rFonts w:ascii="Arial" w:hAnsi="Arial" w:cs="Arial"/>
          <w:sz w:val="24"/>
          <w:szCs w:val="24"/>
        </w:rPr>
        <w:t>s</w:t>
      </w:r>
      <w:r w:rsidR="00D76901">
        <w:rPr>
          <w:rFonts w:ascii="Arial" w:hAnsi="Arial" w:cs="Arial"/>
          <w:sz w:val="24"/>
          <w:szCs w:val="24"/>
        </w:rPr>
        <w:t xml:space="preserve"> to SARS</w:t>
      </w:r>
      <w:r w:rsidR="005655A8">
        <w:rPr>
          <w:rFonts w:ascii="Arial" w:hAnsi="Arial" w:cs="Arial"/>
          <w:sz w:val="24"/>
          <w:szCs w:val="24"/>
        </w:rPr>
        <w:t xml:space="preserve">. It follows that the understatement penalty </w:t>
      </w:r>
      <w:r w:rsidR="00207DC3">
        <w:rPr>
          <w:rFonts w:ascii="Arial" w:hAnsi="Arial" w:cs="Arial"/>
          <w:sz w:val="24"/>
          <w:szCs w:val="24"/>
        </w:rPr>
        <w:t>regime like many pe</w:t>
      </w:r>
      <w:r w:rsidR="005655A8">
        <w:rPr>
          <w:rFonts w:ascii="Arial" w:hAnsi="Arial" w:cs="Arial"/>
          <w:sz w:val="24"/>
          <w:szCs w:val="24"/>
        </w:rPr>
        <w:t xml:space="preserve">nalties imposed </w:t>
      </w:r>
      <w:r w:rsidR="00C857C3">
        <w:rPr>
          <w:rFonts w:ascii="Arial" w:hAnsi="Arial" w:cs="Arial"/>
          <w:sz w:val="24"/>
          <w:szCs w:val="24"/>
        </w:rPr>
        <w:t>by other</w:t>
      </w:r>
      <w:r w:rsidR="005655A8">
        <w:rPr>
          <w:rFonts w:ascii="Arial" w:hAnsi="Arial" w:cs="Arial"/>
          <w:sz w:val="24"/>
          <w:szCs w:val="24"/>
        </w:rPr>
        <w:t xml:space="preserve"> administrative bodies is not aimed at punishing criminal conduct </w:t>
      </w:r>
      <w:r w:rsidR="00C857C3">
        <w:rPr>
          <w:rFonts w:ascii="Arial" w:hAnsi="Arial" w:cs="Arial"/>
          <w:sz w:val="24"/>
          <w:szCs w:val="24"/>
        </w:rPr>
        <w:t>but serves</w:t>
      </w:r>
      <w:r w:rsidR="00207DC3">
        <w:rPr>
          <w:rFonts w:ascii="Arial" w:hAnsi="Arial" w:cs="Arial"/>
          <w:sz w:val="24"/>
          <w:szCs w:val="24"/>
        </w:rPr>
        <w:t xml:space="preserve"> as a regulatory function aimed at </w:t>
      </w:r>
      <w:r w:rsidR="00C857C3">
        <w:rPr>
          <w:rFonts w:ascii="Arial" w:hAnsi="Arial" w:cs="Arial"/>
          <w:sz w:val="24"/>
          <w:szCs w:val="24"/>
        </w:rPr>
        <w:t>assisting SARS</w:t>
      </w:r>
      <w:r w:rsidR="005655A8">
        <w:rPr>
          <w:rFonts w:ascii="Arial" w:hAnsi="Arial" w:cs="Arial"/>
          <w:sz w:val="24"/>
          <w:szCs w:val="24"/>
        </w:rPr>
        <w:t xml:space="preserve"> to meet its obligations as prescribed by the enabling legislation. </w:t>
      </w:r>
    </w:p>
    <w:p w14:paraId="70B02DDD" w14:textId="77777777" w:rsidR="00207DC3" w:rsidRDefault="00207DC3" w:rsidP="008B67BE">
      <w:pPr>
        <w:shd w:val="clear" w:color="auto" w:fill="FFFFFF"/>
        <w:spacing w:after="0" w:line="360" w:lineRule="auto"/>
        <w:jc w:val="both"/>
        <w:rPr>
          <w:rFonts w:ascii="Arial" w:hAnsi="Arial" w:cs="Arial"/>
          <w:sz w:val="24"/>
          <w:szCs w:val="24"/>
        </w:rPr>
      </w:pPr>
    </w:p>
    <w:p w14:paraId="31DC643B" w14:textId="77777777" w:rsidR="00C1398C" w:rsidRPr="00271F55" w:rsidRDefault="001C4A35" w:rsidP="008B67BE">
      <w:pPr>
        <w:shd w:val="clear" w:color="auto" w:fill="FFFFFF"/>
        <w:spacing w:after="0" w:line="360" w:lineRule="auto"/>
        <w:ind w:left="709" w:hanging="709"/>
        <w:jc w:val="both"/>
        <w:rPr>
          <w:rFonts w:ascii="Arial" w:hAnsi="Arial" w:cs="Arial"/>
          <w:sz w:val="24"/>
          <w:szCs w:val="24"/>
        </w:rPr>
      </w:pPr>
      <w:r>
        <w:rPr>
          <w:rFonts w:ascii="Arial" w:hAnsi="Arial" w:cs="Arial"/>
          <w:sz w:val="24"/>
          <w:szCs w:val="24"/>
        </w:rPr>
        <w:t>[31</w:t>
      </w:r>
      <w:r w:rsidR="00271F55">
        <w:rPr>
          <w:rFonts w:ascii="Arial" w:hAnsi="Arial" w:cs="Arial"/>
          <w:sz w:val="24"/>
          <w:szCs w:val="24"/>
        </w:rPr>
        <w:t xml:space="preserve">] </w:t>
      </w:r>
      <w:r w:rsidR="00C857C3">
        <w:rPr>
          <w:rFonts w:ascii="Arial" w:hAnsi="Arial" w:cs="Arial"/>
          <w:sz w:val="24"/>
          <w:szCs w:val="24"/>
        </w:rPr>
        <w:tab/>
      </w:r>
      <w:r w:rsidR="00C1398C">
        <w:rPr>
          <w:rFonts w:ascii="Arial" w:hAnsi="Arial" w:cs="Arial"/>
          <w:sz w:val="24"/>
          <w:szCs w:val="24"/>
        </w:rPr>
        <w:t xml:space="preserve">The amounts recoverable for </w:t>
      </w:r>
      <w:r w:rsidR="001505AA">
        <w:rPr>
          <w:rFonts w:ascii="Arial" w:hAnsi="Arial" w:cs="Arial"/>
          <w:sz w:val="24"/>
          <w:szCs w:val="24"/>
        </w:rPr>
        <w:t xml:space="preserve">violating provisions </w:t>
      </w:r>
      <w:r w:rsidR="00C1398C">
        <w:rPr>
          <w:rFonts w:ascii="Arial" w:hAnsi="Arial" w:cs="Arial"/>
          <w:sz w:val="24"/>
          <w:szCs w:val="24"/>
        </w:rPr>
        <w:t>of a specified statute are not to be categorised as criminal punishment. The process of arriving at a punishment in a criminal case and a</w:t>
      </w:r>
      <w:r w:rsidR="00207DC3">
        <w:rPr>
          <w:rFonts w:ascii="Arial" w:hAnsi="Arial" w:cs="Arial"/>
          <w:sz w:val="24"/>
          <w:szCs w:val="24"/>
        </w:rPr>
        <w:t xml:space="preserve"> penalty imposed by an administrative body</w:t>
      </w:r>
      <w:r w:rsidR="00C1398C">
        <w:rPr>
          <w:rFonts w:ascii="Arial" w:hAnsi="Arial" w:cs="Arial"/>
          <w:sz w:val="24"/>
          <w:szCs w:val="24"/>
        </w:rPr>
        <w:t xml:space="preserve"> are not the same. </w:t>
      </w:r>
      <w:r w:rsidR="00271F55">
        <w:rPr>
          <w:rFonts w:ascii="Arial" w:hAnsi="Arial" w:cs="Arial"/>
          <w:sz w:val="24"/>
          <w:szCs w:val="24"/>
        </w:rPr>
        <w:t>The</w:t>
      </w:r>
      <w:r w:rsidR="001A0FA4">
        <w:rPr>
          <w:rFonts w:ascii="Arial" w:hAnsi="Arial" w:cs="Arial"/>
          <w:sz w:val="24"/>
          <w:szCs w:val="24"/>
        </w:rPr>
        <w:t xml:space="preserve"> burden of proof differs</w:t>
      </w:r>
      <w:r w:rsidR="00271F55">
        <w:rPr>
          <w:rFonts w:ascii="Arial" w:hAnsi="Arial" w:cs="Arial"/>
          <w:sz w:val="24"/>
          <w:szCs w:val="24"/>
        </w:rPr>
        <w:t>.</w:t>
      </w:r>
      <w:r w:rsidR="00230F1C">
        <w:rPr>
          <w:rFonts w:ascii="Arial" w:hAnsi="Arial" w:cs="Arial"/>
          <w:sz w:val="24"/>
          <w:szCs w:val="24"/>
        </w:rPr>
        <w:t xml:space="preserve"> </w:t>
      </w:r>
      <w:r w:rsidR="00271F55">
        <w:rPr>
          <w:rFonts w:ascii="Arial" w:hAnsi="Arial" w:cs="Arial"/>
          <w:sz w:val="24"/>
          <w:szCs w:val="24"/>
        </w:rPr>
        <w:t xml:space="preserve"> In </w:t>
      </w:r>
      <w:proofErr w:type="spellStart"/>
      <w:r w:rsidR="00271F55" w:rsidRPr="00271F55">
        <w:rPr>
          <w:rFonts w:ascii="Arial" w:hAnsi="Arial" w:cs="Arial"/>
          <w:b/>
          <w:sz w:val="24"/>
          <w:szCs w:val="24"/>
        </w:rPr>
        <w:t>Pather</w:t>
      </w:r>
      <w:proofErr w:type="spellEnd"/>
      <w:r w:rsidR="00271F55">
        <w:rPr>
          <w:rFonts w:ascii="Arial" w:hAnsi="Arial" w:cs="Arial"/>
          <w:b/>
          <w:sz w:val="24"/>
          <w:szCs w:val="24"/>
        </w:rPr>
        <w:t xml:space="preserve"> </w:t>
      </w:r>
      <w:r w:rsidR="00271F55">
        <w:rPr>
          <w:rFonts w:ascii="Arial" w:hAnsi="Arial" w:cs="Arial"/>
          <w:sz w:val="24"/>
          <w:szCs w:val="24"/>
        </w:rPr>
        <w:t xml:space="preserve">the court held that the fact that the penalty is intended to have a deterrent effect does not mean that it is not administrative in nature. The court found that </w:t>
      </w:r>
      <w:r w:rsidR="00FB041A">
        <w:rPr>
          <w:rFonts w:ascii="Arial" w:hAnsi="Arial" w:cs="Arial"/>
          <w:sz w:val="24"/>
          <w:szCs w:val="24"/>
        </w:rPr>
        <w:t>to hold that the mere presence of a deterrent purpose renders such sanctions ‘cr</w:t>
      </w:r>
      <w:r w:rsidR="00207DC3">
        <w:rPr>
          <w:rFonts w:ascii="Arial" w:hAnsi="Arial" w:cs="Arial"/>
          <w:sz w:val="24"/>
          <w:szCs w:val="24"/>
        </w:rPr>
        <w:t>i</w:t>
      </w:r>
      <w:r w:rsidR="00FB041A">
        <w:rPr>
          <w:rFonts w:ascii="Arial" w:hAnsi="Arial" w:cs="Arial"/>
          <w:sz w:val="24"/>
          <w:szCs w:val="24"/>
        </w:rPr>
        <w:t>minal’ for double jeopardy purposes would severely undermine t</w:t>
      </w:r>
      <w:r w:rsidR="00207DC3">
        <w:rPr>
          <w:rFonts w:ascii="Arial" w:hAnsi="Arial" w:cs="Arial"/>
          <w:sz w:val="24"/>
          <w:szCs w:val="24"/>
        </w:rPr>
        <w:t>h</w:t>
      </w:r>
      <w:r w:rsidR="00FB041A">
        <w:rPr>
          <w:rFonts w:ascii="Arial" w:hAnsi="Arial" w:cs="Arial"/>
          <w:sz w:val="24"/>
          <w:szCs w:val="24"/>
        </w:rPr>
        <w:t>e government’s ability to effectively regulate institutions.</w:t>
      </w:r>
      <w:r w:rsidR="00230F1C">
        <w:rPr>
          <w:rStyle w:val="FootnoteReference"/>
          <w:rFonts w:ascii="Arial" w:hAnsi="Arial" w:cs="Arial"/>
          <w:sz w:val="24"/>
          <w:szCs w:val="24"/>
        </w:rPr>
        <w:footnoteReference w:id="12"/>
      </w:r>
      <w:r w:rsidR="00FB041A">
        <w:rPr>
          <w:rFonts w:ascii="Arial" w:hAnsi="Arial" w:cs="Arial"/>
          <w:sz w:val="24"/>
          <w:szCs w:val="24"/>
        </w:rPr>
        <w:t xml:space="preserve"> </w:t>
      </w:r>
    </w:p>
    <w:p w14:paraId="6EFE0977" w14:textId="77777777" w:rsidR="00C1398C" w:rsidRDefault="00C1398C" w:rsidP="008B67BE">
      <w:pPr>
        <w:shd w:val="clear" w:color="auto" w:fill="FFFFFF"/>
        <w:spacing w:after="0" w:line="360" w:lineRule="auto"/>
        <w:ind w:left="480" w:firstLine="240"/>
        <w:jc w:val="both"/>
        <w:rPr>
          <w:rFonts w:ascii="Arial" w:hAnsi="Arial" w:cs="Arial"/>
          <w:sz w:val="24"/>
          <w:szCs w:val="24"/>
        </w:rPr>
      </w:pPr>
    </w:p>
    <w:p w14:paraId="22BE18DD" w14:textId="77777777" w:rsidR="004E31E4" w:rsidRDefault="001C4A35" w:rsidP="008B67BE">
      <w:pPr>
        <w:autoSpaceDE w:val="0"/>
        <w:autoSpaceDN w:val="0"/>
        <w:adjustRightInd w:val="0"/>
        <w:spacing w:after="0" w:line="360" w:lineRule="auto"/>
        <w:ind w:left="709" w:hanging="709"/>
        <w:jc w:val="both"/>
        <w:rPr>
          <w:rFonts w:ascii="Arial" w:hAnsi="Arial" w:cs="Arial"/>
          <w:sz w:val="24"/>
          <w:szCs w:val="24"/>
        </w:rPr>
      </w:pPr>
      <w:r>
        <w:rPr>
          <w:rFonts w:ascii="Arial" w:hAnsi="Arial" w:cs="Arial"/>
          <w:sz w:val="24"/>
          <w:szCs w:val="24"/>
        </w:rPr>
        <w:t>[32</w:t>
      </w:r>
      <w:r w:rsidR="00C1398C">
        <w:rPr>
          <w:rFonts w:ascii="Arial" w:hAnsi="Arial" w:cs="Arial"/>
          <w:sz w:val="24"/>
          <w:szCs w:val="24"/>
        </w:rPr>
        <w:t xml:space="preserve">] </w:t>
      </w:r>
      <w:r w:rsidR="004E31E4">
        <w:rPr>
          <w:rFonts w:ascii="Arial" w:hAnsi="Arial" w:cs="Arial"/>
          <w:sz w:val="24"/>
          <w:szCs w:val="24"/>
        </w:rPr>
        <w:t xml:space="preserve">   </w:t>
      </w:r>
      <w:r w:rsidR="00C1398C">
        <w:rPr>
          <w:rFonts w:ascii="Arial" w:hAnsi="Arial" w:cs="Arial"/>
          <w:sz w:val="24"/>
          <w:szCs w:val="24"/>
        </w:rPr>
        <w:t xml:space="preserve">Section </w:t>
      </w:r>
      <w:r w:rsidR="00C857C3">
        <w:rPr>
          <w:rFonts w:ascii="Arial" w:hAnsi="Arial" w:cs="Arial"/>
          <w:sz w:val="24"/>
          <w:szCs w:val="24"/>
        </w:rPr>
        <w:t>35(3</w:t>
      </w:r>
      <w:r w:rsidR="00C1398C">
        <w:rPr>
          <w:rFonts w:ascii="Arial" w:hAnsi="Arial" w:cs="Arial"/>
          <w:sz w:val="24"/>
          <w:szCs w:val="24"/>
        </w:rPr>
        <w:t xml:space="preserve">) (m) of the Constitution protects an accused’s right to a fair trial. </w:t>
      </w:r>
      <w:r w:rsidR="00C857C3">
        <w:rPr>
          <w:rFonts w:ascii="Arial" w:hAnsi="Arial" w:cs="Arial"/>
          <w:sz w:val="24"/>
          <w:szCs w:val="24"/>
        </w:rPr>
        <w:tab/>
      </w:r>
      <w:r w:rsidR="00E26655">
        <w:rPr>
          <w:rFonts w:ascii="Arial" w:hAnsi="Arial" w:cs="Arial"/>
          <w:sz w:val="24"/>
          <w:szCs w:val="24"/>
        </w:rPr>
        <w:t xml:space="preserve">In the </w:t>
      </w:r>
      <w:r w:rsidR="004E31E4" w:rsidRPr="00E26655">
        <w:rPr>
          <w:rFonts w:ascii="Arial" w:hAnsi="Arial" w:cs="Arial"/>
          <w:b/>
          <w:sz w:val="24"/>
          <w:szCs w:val="24"/>
        </w:rPr>
        <w:t>Oxford diction</w:t>
      </w:r>
      <w:r w:rsidR="00E26655" w:rsidRPr="00E26655">
        <w:rPr>
          <w:rFonts w:ascii="Arial" w:hAnsi="Arial" w:cs="Arial"/>
          <w:b/>
          <w:sz w:val="24"/>
          <w:szCs w:val="24"/>
        </w:rPr>
        <w:t>ary</w:t>
      </w:r>
      <w:r w:rsidR="004E31E4">
        <w:rPr>
          <w:rFonts w:ascii="Arial" w:hAnsi="Arial" w:cs="Arial"/>
          <w:sz w:val="24"/>
          <w:szCs w:val="24"/>
        </w:rPr>
        <w:t xml:space="preserve"> the word accused</w:t>
      </w:r>
      <w:r w:rsidR="00E26655">
        <w:rPr>
          <w:rFonts w:ascii="Arial" w:hAnsi="Arial" w:cs="Arial"/>
          <w:sz w:val="24"/>
          <w:szCs w:val="24"/>
        </w:rPr>
        <w:t xml:space="preserve"> is defined</w:t>
      </w:r>
      <w:r w:rsidR="004E31E4">
        <w:rPr>
          <w:rFonts w:ascii="Arial" w:hAnsi="Arial" w:cs="Arial"/>
          <w:sz w:val="24"/>
          <w:szCs w:val="24"/>
        </w:rPr>
        <w:t xml:space="preserve"> as</w:t>
      </w:r>
      <w:r w:rsidR="00C1398C">
        <w:rPr>
          <w:rFonts w:ascii="Arial" w:hAnsi="Arial" w:cs="Arial"/>
          <w:sz w:val="24"/>
          <w:szCs w:val="24"/>
        </w:rPr>
        <w:t xml:space="preserve"> </w:t>
      </w:r>
      <w:r w:rsidR="004E31E4" w:rsidRPr="004E31E4">
        <w:rPr>
          <w:rFonts w:ascii="Arial" w:hAnsi="Arial" w:cs="Arial"/>
          <w:sz w:val="24"/>
          <w:szCs w:val="24"/>
        </w:rPr>
        <w:t>a person or gang of</w:t>
      </w:r>
      <w:r w:rsidR="004E31E4">
        <w:rPr>
          <w:rFonts w:ascii="Arial" w:hAnsi="Arial" w:cs="Arial"/>
          <w:sz w:val="24"/>
          <w:szCs w:val="24"/>
        </w:rPr>
        <w:t xml:space="preserve"> </w:t>
      </w:r>
      <w:r w:rsidR="00C857C3">
        <w:rPr>
          <w:rFonts w:ascii="Arial" w:hAnsi="Arial" w:cs="Arial"/>
          <w:sz w:val="24"/>
          <w:szCs w:val="24"/>
        </w:rPr>
        <w:tab/>
      </w:r>
      <w:r w:rsidR="004E31E4" w:rsidRPr="004E31E4">
        <w:rPr>
          <w:rFonts w:ascii="Arial" w:hAnsi="Arial" w:cs="Arial"/>
          <w:sz w:val="24"/>
          <w:szCs w:val="24"/>
        </w:rPr>
        <w:t>people charged with a crim</w:t>
      </w:r>
      <w:r w:rsidR="004E31E4">
        <w:rPr>
          <w:rFonts w:ascii="Arial" w:hAnsi="Arial" w:cs="Arial"/>
          <w:sz w:val="24"/>
          <w:szCs w:val="24"/>
        </w:rPr>
        <w:t>e or on trial in a court of law.</w:t>
      </w:r>
      <w:r w:rsidR="00EA328B">
        <w:rPr>
          <w:rFonts w:ascii="Arial" w:hAnsi="Arial" w:cs="Arial"/>
          <w:sz w:val="24"/>
          <w:szCs w:val="24"/>
        </w:rPr>
        <w:t xml:space="preserve"> </w:t>
      </w:r>
      <w:r w:rsidR="00FB041A">
        <w:rPr>
          <w:rFonts w:ascii="Arial" w:hAnsi="Arial" w:cs="Arial"/>
          <w:sz w:val="24"/>
          <w:szCs w:val="24"/>
        </w:rPr>
        <w:t>The section is available to people who have been charged</w:t>
      </w:r>
      <w:r w:rsidR="001A0FA4">
        <w:rPr>
          <w:rFonts w:ascii="Arial" w:hAnsi="Arial" w:cs="Arial"/>
          <w:sz w:val="24"/>
          <w:szCs w:val="24"/>
        </w:rPr>
        <w:t xml:space="preserve"> with crime</w:t>
      </w:r>
      <w:r w:rsidR="00FB041A">
        <w:rPr>
          <w:rFonts w:ascii="Arial" w:hAnsi="Arial" w:cs="Arial"/>
          <w:sz w:val="24"/>
          <w:szCs w:val="24"/>
        </w:rPr>
        <w:t>. It</w:t>
      </w:r>
      <w:r w:rsidR="00EA328B">
        <w:rPr>
          <w:rFonts w:ascii="Arial" w:hAnsi="Arial" w:cs="Arial"/>
          <w:sz w:val="24"/>
          <w:szCs w:val="24"/>
        </w:rPr>
        <w:t xml:space="preserve"> is aimed at protecting the rights of the arrested, detained and accused persons</w:t>
      </w:r>
      <w:r w:rsidR="00FB041A">
        <w:rPr>
          <w:rFonts w:ascii="Arial" w:hAnsi="Arial" w:cs="Arial"/>
          <w:sz w:val="24"/>
          <w:szCs w:val="24"/>
        </w:rPr>
        <w:t xml:space="preserve"> as stipulated in its heading</w:t>
      </w:r>
      <w:r w:rsidR="00EA328B">
        <w:rPr>
          <w:rFonts w:ascii="Arial" w:hAnsi="Arial" w:cs="Arial"/>
          <w:sz w:val="24"/>
          <w:szCs w:val="24"/>
        </w:rPr>
        <w:t xml:space="preserve">. It </w:t>
      </w:r>
      <w:r w:rsidR="00FB041A">
        <w:rPr>
          <w:rFonts w:ascii="Arial" w:hAnsi="Arial" w:cs="Arial"/>
          <w:sz w:val="24"/>
          <w:szCs w:val="24"/>
        </w:rPr>
        <w:t xml:space="preserve">is clear that </w:t>
      </w:r>
      <w:r w:rsidR="00A36180">
        <w:rPr>
          <w:rFonts w:ascii="Arial" w:hAnsi="Arial" w:cs="Arial"/>
          <w:sz w:val="24"/>
          <w:szCs w:val="24"/>
        </w:rPr>
        <w:t xml:space="preserve">the purpose of </w:t>
      </w:r>
      <w:r w:rsidR="00EA328B">
        <w:rPr>
          <w:rFonts w:ascii="Arial" w:hAnsi="Arial" w:cs="Arial"/>
          <w:sz w:val="24"/>
          <w:szCs w:val="24"/>
        </w:rPr>
        <w:t xml:space="preserve"> section 35(3) (m)</w:t>
      </w:r>
      <w:r w:rsidR="00FB041A">
        <w:rPr>
          <w:rFonts w:ascii="Arial" w:hAnsi="Arial" w:cs="Arial"/>
          <w:sz w:val="24"/>
          <w:szCs w:val="24"/>
        </w:rPr>
        <w:t xml:space="preserve"> is </w:t>
      </w:r>
      <w:r w:rsidR="00A36180">
        <w:rPr>
          <w:rFonts w:ascii="Arial" w:hAnsi="Arial" w:cs="Arial"/>
          <w:sz w:val="24"/>
          <w:szCs w:val="24"/>
        </w:rPr>
        <w:t>to  protect</w:t>
      </w:r>
      <w:r w:rsidR="00FB041A">
        <w:rPr>
          <w:rFonts w:ascii="Arial" w:hAnsi="Arial" w:cs="Arial"/>
          <w:sz w:val="24"/>
          <w:szCs w:val="24"/>
        </w:rPr>
        <w:t xml:space="preserve"> the accused persons’ </w:t>
      </w:r>
      <w:r w:rsidR="00EA328B">
        <w:rPr>
          <w:rFonts w:ascii="Arial" w:hAnsi="Arial" w:cs="Arial"/>
          <w:sz w:val="24"/>
          <w:szCs w:val="24"/>
        </w:rPr>
        <w:t xml:space="preserve"> right</w:t>
      </w:r>
      <w:r w:rsidR="00FB041A">
        <w:rPr>
          <w:rFonts w:ascii="Arial" w:hAnsi="Arial" w:cs="Arial"/>
          <w:sz w:val="24"/>
          <w:szCs w:val="24"/>
        </w:rPr>
        <w:t>s</w:t>
      </w:r>
      <w:r w:rsidR="00EA328B">
        <w:rPr>
          <w:rFonts w:ascii="Arial" w:hAnsi="Arial" w:cs="Arial"/>
          <w:sz w:val="24"/>
          <w:szCs w:val="24"/>
        </w:rPr>
        <w:t xml:space="preserve"> </w:t>
      </w:r>
      <w:r w:rsidR="00A36180">
        <w:rPr>
          <w:rFonts w:ascii="Arial" w:hAnsi="Arial" w:cs="Arial"/>
          <w:sz w:val="24"/>
          <w:szCs w:val="24"/>
        </w:rPr>
        <w:t xml:space="preserve">to freedom. It mitigates </w:t>
      </w:r>
      <w:r w:rsidR="00EA328B">
        <w:rPr>
          <w:rFonts w:ascii="Arial" w:hAnsi="Arial" w:cs="Arial"/>
          <w:sz w:val="24"/>
          <w:szCs w:val="24"/>
        </w:rPr>
        <w:t xml:space="preserve">against the risk </w:t>
      </w:r>
      <w:r w:rsidR="00C857C3">
        <w:rPr>
          <w:rFonts w:ascii="Arial" w:hAnsi="Arial" w:cs="Arial"/>
          <w:sz w:val="24"/>
          <w:szCs w:val="24"/>
        </w:rPr>
        <w:t>of loss</w:t>
      </w:r>
      <w:r w:rsidR="00230F1C">
        <w:rPr>
          <w:rFonts w:ascii="Arial" w:hAnsi="Arial" w:cs="Arial"/>
          <w:sz w:val="24"/>
          <w:szCs w:val="24"/>
        </w:rPr>
        <w:t xml:space="preserve"> of liberty</w:t>
      </w:r>
      <w:r w:rsidR="00EA328B">
        <w:rPr>
          <w:rFonts w:ascii="Arial" w:hAnsi="Arial" w:cs="Arial"/>
          <w:sz w:val="24"/>
          <w:szCs w:val="24"/>
        </w:rPr>
        <w:t xml:space="preserve"> emanating from </w:t>
      </w:r>
      <w:r w:rsidR="00EA328B">
        <w:rPr>
          <w:rFonts w:ascii="Arial" w:hAnsi="Arial" w:cs="Arial"/>
          <w:sz w:val="24"/>
          <w:szCs w:val="24"/>
        </w:rPr>
        <w:lastRenderedPageBreak/>
        <w:t>repeated charges</w:t>
      </w:r>
      <w:r w:rsidR="001505AA">
        <w:rPr>
          <w:rFonts w:ascii="Arial" w:hAnsi="Arial" w:cs="Arial"/>
          <w:sz w:val="24"/>
          <w:szCs w:val="24"/>
        </w:rPr>
        <w:t xml:space="preserve"> </w:t>
      </w:r>
      <w:r w:rsidR="00C857C3">
        <w:rPr>
          <w:rFonts w:ascii="Arial" w:hAnsi="Arial" w:cs="Arial"/>
          <w:sz w:val="24"/>
          <w:szCs w:val="24"/>
        </w:rPr>
        <w:t>for the</w:t>
      </w:r>
      <w:r w:rsidR="001505AA">
        <w:rPr>
          <w:rFonts w:ascii="Arial" w:hAnsi="Arial" w:cs="Arial"/>
          <w:sz w:val="24"/>
          <w:szCs w:val="24"/>
        </w:rPr>
        <w:t xml:space="preserve"> same act</w:t>
      </w:r>
      <w:r w:rsidR="00EA328B">
        <w:rPr>
          <w:rFonts w:ascii="Arial" w:hAnsi="Arial" w:cs="Arial"/>
          <w:sz w:val="24"/>
          <w:szCs w:val="24"/>
        </w:rPr>
        <w:t xml:space="preserve">. </w:t>
      </w:r>
      <w:r w:rsidR="00495678">
        <w:rPr>
          <w:rFonts w:ascii="Arial" w:hAnsi="Arial" w:cs="Arial"/>
          <w:sz w:val="24"/>
          <w:szCs w:val="24"/>
        </w:rPr>
        <w:t xml:space="preserve">That a single act may give rise to more than one consequence is not tantamount to double jeopardy. </w:t>
      </w:r>
    </w:p>
    <w:p w14:paraId="71CC88DC" w14:textId="77777777" w:rsidR="00207DC3" w:rsidRDefault="00207DC3" w:rsidP="008B67BE">
      <w:pPr>
        <w:autoSpaceDE w:val="0"/>
        <w:autoSpaceDN w:val="0"/>
        <w:adjustRightInd w:val="0"/>
        <w:spacing w:after="0" w:line="360" w:lineRule="auto"/>
        <w:jc w:val="both"/>
        <w:rPr>
          <w:rFonts w:ascii="Arial" w:hAnsi="Arial" w:cs="Arial"/>
          <w:sz w:val="24"/>
          <w:szCs w:val="24"/>
        </w:rPr>
      </w:pPr>
    </w:p>
    <w:p w14:paraId="4EAB5110" w14:textId="77777777" w:rsidR="00495678" w:rsidRDefault="001C4A35" w:rsidP="008B67BE">
      <w:pPr>
        <w:autoSpaceDE w:val="0"/>
        <w:autoSpaceDN w:val="0"/>
        <w:adjustRightInd w:val="0"/>
        <w:spacing w:after="0" w:line="360" w:lineRule="auto"/>
        <w:ind w:left="709" w:hanging="709"/>
        <w:jc w:val="both"/>
        <w:rPr>
          <w:rFonts w:ascii="Arial" w:hAnsi="Arial" w:cs="Arial"/>
          <w:sz w:val="24"/>
          <w:szCs w:val="24"/>
        </w:rPr>
      </w:pPr>
      <w:r>
        <w:rPr>
          <w:rFonts w:ascii="Arial" w:hAnsi="Arial" w:cs="Arial"/>
          <w:sz w:val="24"/>
          <w:szCs w:val="24"/>
        </w:rPr>
        <w:t>[33</w:t>
      </w:r>
      <w:r w:rsidR="00207DC3">
        <w:rPr>
          <w:rFonts w:ascii="Arial" w:hAnsi="Arial" w:cs="Arial"/>
          <w:sz w:val="24"/>
          <w:szCs w:val="24"/>
        </w:rPr>
        <w:t xml:space="preserve">] </w:t>
      </w:r>
      <w:r w:rsidR="00C857C3">
        <w:rPr>
          <w:rFonts w:ascii="Arial" w:hAnsi="Arial" w:cs="Arial"/>
          <w:sz w:val="24"/>
          <w:szCs w:val="24"/>
        </w:rPr>
        <w:tab/>
      </w:r>
      <w:r w:rsidR="00207DC3">
        <w:rPr>
          <w:rFonts w:ascii="Arial" w:hAnsi="Arial" w:cs="Arial"/>
          <w:sz w:val="24"/>
          <w:szCs w:val="24"/>
        </w:rPr>
        <w:t>The TAA</w:t>
      </w:r>
      <w:r w:rsidR="00495678">
        <w:rPr>
          <w:rFonts w:ascii="Arial" w:hAnsi="Arial" w:cs="Arial"/>
          <w:sz w:val="24"/>
          <w:szCs w:val="24"/>
        </w:rPr>
        <w:t xml:space="preserve"> distinguishes between the criminal offences in section 235 and understatement penalties in section 223. </w:t>
      </w:r>
      <w:r w:rsidR="00207DC3">
        <w:rPr>
          <w:rFonts w:ascii="Arial" w:hAnsi="Arial" w:cs="Arial"/>
          <w:sz w:val="24"/>
          <w:szCs w:val="24"/>
        </w:rPr>
        <w:t xml:space="preserve"> </w:t>
      </w:r>
      <w:r w:rsidR="00230F1C">
        <w:rPr>
          <w:rFonts w:ascii="Arial" w:hAnsi="Arial" w:cs="Arial"/>
          <w:sz w:val="24"/>
          <w:szCs w:val="24"/>
        </w:rPr>
        <w:t>I have already mentioned that t</w:t>
      </w:r>
      <w:r w:rsidR="00495678">
        <w:rPr>
          <w:rFonts w:ascii="Arial" w:hAnsi="Arial" w:cs="Arial"/>
          <w:sz w:val="24"/>
          <w:szCs w:val="24"/>
        </w:rPr>
        <w:t>he u</w:t>
      </w:r>
      <w:r w:rsidR="00230F1C">
        <w:rPr>
          <w:rFonts w:ascii="Arial" w:hAnsi="Arial" w:cs="Arial"/>
          <w:sz w:val="24"/>
          <w:szCs w:val="24"/>
        </w:rPr>
        <w:t xml:space="preserve">nderstatement </w:t>
      </w:r>
      <w:r w:rsidR="00C857C3">
        <w:rPr>
          <w:rFonts w:ascii="Arial" w:hAnsi="Arial" w:cs="Arial"/>
          <w:sz w:val="24"/>
          <w:szCs w:val="24"/>
        </w:rPr>
        <w:t>penalties levied</w:t>
      </w:r>
      <w:r w:rsidR="002B6FBB">
        <w:rPr>
          <w:rFonts w:ascii="Arial" w:hAnsi="Arial" w:cs="Arial"/>
          <w:sz w:val="24"/>
          <w:szCs w:val="24"/>
        </w:rPr>
        <w:t xml:space="preserve"> under</w:t>
      </w:r>
      <w:r w:rsidR="00495678">
        <w:rPr>
          <w:rFonts w:ascii="Arial" w:hAnsi="Arial" w:cs="Arial"/>
          <w:sz w:val="24"/>
          <w:szCs w:val="24"/>
        </w:rPr>
        <w:t xml:space="preserve"> sections 2222 and 223 are aimed at addressing the shortfall</w:t>
      </w:r>
      <w:r w:rsidR="00230F1C">
        <w:rPr>
          <w:rFonts w:ascii="Arial" w:hAnsi="Arial" w:cs="Arial"/>
          <w:sz w:val="24"/>
          <w:szCs w:val="24"/>
        </w:rPr>
        <w:t>. The</w:t>
      </w:r>
      <w:r w:rsidR="00495678">
        <w:rPr>
          <w:rFonts w:ascii="Arial" w:hAnsi="Arial" w:cs="Arial"/>
          <w:sz w:val="24"/>
          <w:szCs w:val="24"/>
        </w:rPr>
        <w:t xml:space="preserve"> percentage of the penalty imposed</w:t>
      </w:r>
      <w:r w:rsidR="00230F1C">
        <w:rPr>
          <w:rFonts w:ascii="Arial" w:hAnsi="Arial" w:cs="Arial"/>
          <w:sz w:val="24"/>
          <w:szCs w:val="24"/>
        </w:rPr>
        <w:t xml:space="preserve"> under </w:t>
      </w:r>
      <w:r w:rsidR="009217B9">
        <w:rPr>
          <w:rFonts w:ascii="Arial" w:hAnsi="Arial" w:cs="Arial"/>
          <w:sz w:val="24"/>
          <w:szCs w:val="24"/>
        </w:rPr>
        <w:t xml:space="preserve">Section </w:t>
      </w:r>
      <w:r w:rsidR="00C857C3">
        <w:rPr>
          <w:rFonts w:ascii="Arial" w:hAnsi="Arial" w:cs="Arial"/>
          <w:sz w:val="24"/>
          <w:szCs w:val="24"/>
        </w:rPr>
        <w:t>223 is</w:t>
      </w:r>
      <w:r w:rsidR="00495678">
        <w:rPr>
          <w:rFonts w:ascii="Arial" w:hAnsi="Arial" w:cs="Arial"/>
          <w:sz w:val="24"/>
          <w:szCs w:val="24"/>
        </w:rPr>
        <w:t xml:space="preserve"> determined according to the severity</w:t>
      </w:r>
      <w:r w:rsidR="002B6FBB">
        <w:rPr>
          <w:rFonts w:ascii="Arial" w:hAnsi="Arial" w:cs="Arial"/>
          <w:sz w:val="24"/>
          <w:szCs w:val="24"/>
        </w:rPr>
        <w:t xml:space="preserve"> of the blameworthiness attributed to the conduct of the taxpayer.  Section 235 deals with a conduct that falls squarely within the terrain of the police</w:t>
      </w:r>
      <w:r w:rsidR="00230F1C">
        <w:rPr>
          <w:rFonts w:ascii="Arial" w:hAnsi="Arial" w:cs="Arial"/>
          <w:sz w:val="24"/>
          <w:szCs w:val="24"/>
        </w:rPr>
        <w:t xml:space="preserve"> which is not the case wit</w:t>
      </w:r>
      <w:r w:rsidR="0001472D">
        <w:rPr>
          <w:rFonts w:ascii="Arial" w:hAnsi="Arial" w:cs="Arial"/>
          <w:sz w:val="24"/>
          <w:szCs w:val="24"/>
        </w:rPr>
        <w:t>h</w:t>
      </w:r>
      <w:r w:rsidR="00230F1C">
        <w:rPr>
          <w:rFonts w:ascii="Arial" w:hAnsi="Arial" w:cs="Arial"/>
          <w:sz w:val="24"/>
          <w:szCs w:val="24"/>
        </w:rPr>
        <w:t xml:space="preserve"> section 222. An understatement is determined through audit and asses</w:t>
      </w:r>
      <w:r w:rsidR="0039206B">
        <w:rPr>
          <w:rFonts w:ascii="Arial" w:hAnsi="Arial" w:cs="Arial"/>
          <w:sz w:val="24"/>
          <w:szCs w:val="24"/>
        </w:rPr>
        <w:t>s</w:t>
      </w:r>
      <w:r w:rsidR="00230F1C">
        <w:rPr>
          <w:rFonts w:ascii="Arial" w:hAnsi="Arial" w:cs="Arial"/>
          <w:sz w:val="24"/>
          <w:szCs w:val="24"/>
        </w:rPr>
        <w:t>ment</w:t>
      </w:r>
      <w:r w:rsidR="0001472D">
        <w:rPr>
          <w:rFonts w:ascii="Arial" w:hAnsi="Arial" w:cs="Arial"/>
          <w:sz w:val="24"/>
          <w:szCs w:val="24"/>
        </w:rPr>
        <w:t xml:space="preserve"> by SARS while conviction in a criminal court follows after the involvement of the Police and the National Prosecuting Authority. </w:t>
      </w:r>
    </w:p>
    <w:p w14:paraId="1D51B772" w14:textId="77777777" w:rsidR="00495678" w:rsidRDefault="00495678" w:rsidP="008B67BE">
      <w:pPr>
        <w:autoSpaceDE w:val="0"/>
        <w:autoSpaceDN w:val="0"/>
        <w:adjustRightInd w:val="0"/>
        <w:spacing w:after="0" w:line="360" w:lineRule="auto"/>
        <w:jc w:val="both"/>
        <w:rPr>
          <w:rFonts w:ascii="Arial" w:hAnsi="Arial" w:cs="Arial"/>
          <w:sz w:val="24"/>
          <w:szCs w:val="24"/>
        </w:rPr>
      </w:pPr>
    </w:p>
    <w:p w14:paraId="62F741B7" w14:textId="77777777" w:rsidR="00B75A29" w:rsidRDefault="001C4A35" w:rsidP="008B67BE">
      <w:pPr>
        <w:autoSpaceDE w:val="0"/>
        <w:autoSpaceDN w:val="0"/>
        <w:adjustRightInd w:val="0"/>
        <w:spacing w:after="0" w:line="360" w:lineRule="auto"/>
        <w:ind w:left="709" w:hanging="709"/>
        <w:jc w:val="both"/>
        <w:rPr>
          <w:rFonts w:ascii="Arial" w:hAnsi="Arial" w:cs="Arial"/>
          <w:sz w:val="24"/>
          <w:szCs w:val="24"/>
        </w:rPr>
      </w:pPr>
      <w:r>
        <w:rPr>
          <w:rFonts w:ascii="Arial" w:hAnsi="Arial" w:cs="Arial"/>
          <w:sz w:val="24"/>
          <w:szCs w:val="24"/>
        </w:rPr>
        <w:t>[34</w:t>
      </w:r>
      <w:r w:rsidR="00C857C3">
        <w:rPr>
          <w:rFonts w:ascii="Arial" w:hAnsi="Arial" w:cs="Arial"/>
          <w:sz w:val="24"/>
          <w:szCs w:val="24"/>
        </w:rPr>
        <w:t xml:space="preserve">] </w:t>
      </w:r>
      <w:r w:rsidR="00C857C3">
        <w:rPr>
          <w:rFonts w:ascii="Arial" w:hAnsi="Arial" w:cs="Arial"/>
          <w:sz w:val="24"/>
          <w:szCs w:val="24"/>
        </w:rPr>
        <w:tab/>
      </w:r>
      <w:r w:rsidR="009217B9">
        <w:rPr>
          <w:rFonts w:ascii="Arial" w:hAnsi="Arial" w:cs="Arial"/>
          <w:sz w:val="24"/>
          <w:szCs w:val="24"/>
        </w:rPr>
        <w:t>Taxation is</w:t>
      </w:r>
      <w:r w:rsidR="00B75A29">
        <w:rPr>
          <w:rFonts w:ascii="Arial" w:hAnsi="Arial" w:cs="Arial"/>
          <w:sz w:val="24"/>
          <w:szCs w:val="24"/>
        </w:rPr>
        <w:t xml:space="preserve"> one</w:t>
      </w:r>
      <w:r w:rsidR="009217B9">
        <w:rPr>
          <w:rFonts w:ascii="Arial" w:hAnsi="Arial" w:cs="Arial"/>
          <w:sz w:val="24"/>
          <w:szCs w:val="24"/>
        </w:rPr>
        <w:t xml:space="preserve"> of the mechanisms through which the government seeks to meet some of its objectives.  The ability of the government to budget and </w:t>
      </w:r>
      <w:r w:rsidR="00D452BB">
        <w:rPr>
          <w:rFonts w:ascii="Arial" w:hAnsi="Arial" w:cs="Arial"/>
          <w:sz w:val="24"/>
          <w:szCs w:val="24"/>
        </w:rPr>
        <w:t>live up to its responsibility</w:t>
      </w:r>
      <w:r w:rsidR="00B75A29">
        <w:rPr>
          <w:rFonts w:ascii="Arial" w:hAnsi="Arial" w:cs="Arial"/>
          <w:sz w:val="24"/>
          <w:szCs w:val="24"/>
        </w:rPr>
        <w:t xml:space="preserve"> of providing basic services to the people is dependent on the ability of SARS to enforce applicable tax laws. It would be </w:t>
      </w:r>
      <w:r>
        <w:rPr>
          <w:rFonts w:ascii="Arial" w:hAnsi="Arial" w:cs="Arial"/>
          <w:sz w:val="24"/>
          <w:szCs w:val="24"/>
        </w:rPr>
        <w:t xml:space="preserve">wrong to force SARS </w:t>
      </w:r>
      <w:r w:rsidR="00D452BB">
        <w:rPr>
          <w:rFonts w:ascii="Arial" w:hAnsi="Arial" w:cs="Arial"/>
          <w:sz w:val="24"/>
          <w:szCs w:val="24"/>
        </w:rPr>
        <w:t>to stick to only one legal process</w:t>
      </w:r>
      <w:r>
        <w:rPr>
          <w:rFonts w:ascii="Arial" w:hAnsi="Arial" w:cs="Arial"/>
          <w:sz w:val="24"/>
          <w:szCs w:val="24"/>
        </w:rPr>
        <w:t xml:space="preserve"> to enforce</w:t>
      </w:r>
      <w:r w:rsidR="00B75A29">
        <w:rPr>
          <w:rFonts w:ascii="Arial" w:hAnsi="Arial" w:cs="Arial"/>
          <w:sz w:val="24"/>
          <w:szCs w:val="24"/>
        </w:rPr>
        <w:t xml:space="preserve"> tax laws. SARS has a duty to maintain effective tax administration </w:t>
      </w:r>
      <w:r w:rsidR="009E23B1">
        <w:rPr>
          <w:rFonts w:ascii="Arial" w:hAnsi="Arial" w:cs="Arial"/>
          <w:sz w:val="24"/>
          <w:szCs w:val="24"/>
        </w:rPr>
        <w:t xml:space="preserve">as a means to strengthen the relationship between citizens and the government. </w:t>
      </w:r>
    </w:p>
    <w:p w14:paraId="42A0F740" w14:textId="77777777" w:rsidR="00B75A29" w:rsidRDefault="00B75A29" w:rsidP="008B67BE">
      <w:pPr>
        <w:autoSpaceDE w:val="0"/>
        <w:autoSpaceDN w:val="0"/>
        <w:adjustRightInd w:val="0"/>
        <w:spacing w:after="0" w:line="360" w:lineRule="auto"/>
        <w:ind w:left="709" w:hanging="709"/>
        <w:jc w:val="both"/>
        <w:rPr>
          <w:rFonts w:ascii="Arial" w:hAnsi="Arial" w:cs="Arial"/>
          <w:sz w:val="24"/>
          <w:szCs w:val="24"/>
        </w:rPr>
      </w:pPr>
    </w:p>
    <w:p w14:paraId="343A3010" w14:textId="77777777" w:rsidR="00FB041A" w:rsidRPr="009E23B1" w:rsidRDefault="001C4A35" w:rsidP="008B67BE">
      <w:pPr>
        <w:autoSpaceDE w:val="0"/>
        <w:autoSpaceDN w:val="0"/>
        <w:adjustRightInd w:val="0"/>
        <w:spacing w:after="0" w:line="360" w:lineRule="auto"/>
        <w:ind w:left="709" w:hanging="709"/>
        <w:jc w:val="both"/>
        <w:rPr>
          <w:rFonts w:ascii="Arial" w:hAnsi="Arial" w:cs="Arial"/>
          <w:sz w:val="24"/>
          <w:szCs w:val="24"/>
        </w:rPr>
      </w:pPr>
      <w:r>
        <w:rPr>
          <w:rFonts w:ascii="Arial" w:hAnsi="Arial" w:cs="Arial"/>
          <w:sz w:val="24"/>
          <w:szCs w:val="24"/>
        </w:rPr>
        <w:t>[35</w:t>
      </w:r>
      <w:r w:rsidR="00B75A29">
        <w:rPr>
          <w:rFonts w:ascii="Arial" w:hAnsi="Arial" w:cs="Arial"/>
          <w:sz w:val="24"/>
          <w:szCs w:val="24"/>
        </w:rPr>
        <w:t xml:space="preserve">] </w:t>
      </w:r>
      <w:r w:rsidR="00B75A29">
        <w:rPr>
          <w:rFonts w:ascii="Arial" w:hAnsi="Arial" w:cs="Arial"/>
          <w:sz w:val="24"/>
          <w:szCs w:val="24"/>
        </w:rPr>
        <w:tab/>
      </w:r>
      <w:r w:rsidR="00C857C3">
        <w:rPr>
          <w:rFonts w:ascii="Arial" w:hAnsi="Arial" w:cs="Arial"/>
          <w:sz w:val="24"/>
          <w:szCs w:val="24"/>
        </w:rPr>
        <w:t>Having</w:t>
      </w:r>
      <w:r w:rsidR="0039206B">
        <w:rPr>
          <w:rFonts w:ascii="Arial" w:hAnsi="Arial" w:cs="Arial"/>
          <w:sz w:val="24"/>
          <w:szCs w:val="24"/>
        </w:rPr>
        <w:t xml:space="preserve"> found that calling the taxpayer to account for the wrongdoing before an administrative body as well as the criminal </w:t>
      </w:r>
      <w:r w:rsidR="0001472D">
        <w:rPr>
          <w:rFonts w:ascii="Arial" w:hAnsi="Arial" w:cs="Arial"/>
          <w:sz w:val="24"/>
          <w:szCs w:val="24"/>
        </w:rPr>
        <w:t>are two distinct processes</w:t>
      </w:r>
      <w:r w:rsidR="0039206B">
        <w:rPr>
          <w:rFonts w:ascii="Arial" w:hAnsi="Arial" w:cs="Arial"/>
          <w:sz w:val="24"/>
          <w:szCs w:val="24"/>
        </w:rPr>
        <w:t>, I am of the view that double jeopardy does not arise</w:t>
      </w:r>
      <w:r w:rsidR="002B6FBB">
        <w:rPr>
          <w:rFonts w:ascii="Arial" w:hAnsi="Arial" w:cs="Arial"/>
          <w:sz w:val="24"/>
          <w:szCs w:val="24"/>
        </w:rPr>
        <w:t xml:space="preserve"> i</w:t>
      </w:r>
      <w:r w:rsidR="0039206B">
        <w:rPr>
          <w:rFonts w:ascii="Arial" w:hAnsi="Arial" w:cs="Arial"/>
          <w:sz w:val="24"/>
          <w:szCs w:val="24"/>
        </w:rPr>
        <w:t>n the circumstances of this matter</w:t>
      </w:r>
      <w:r w:rsidR="002B6FBB">
        <w:rPr>
          <w:rFonts w:ascii="Arial" w:hAnsi="Arial" w:cs="Arial"/>
          <w:sz w:val="24"/>
          <w:szCs w:val="24"/>
        </w:rPr>
        <w:t>. I am unable to find that section</w:t>
      </w:r>
      <w:r w:rsidR="00D97E59">
        <w:rPr>
          <w:rFonts w:ascii="Arial" w:hAnsi="Arial" w:cs="Arial"/>
          <w:sz w:val="24"/>
          <w:szCs w:val="24"/>
        </w:rPr>
        <w:t>s</w:t>
      </w:r>
      <w:r w:rsidR="0001472D">
        <w:rPr>
          <w:rFonts w:ascii="Arial" w:hAnsi="Arial" w:cs="Arial"/>
          <w:sz w:val="24"/>
          <w:szCs w:val="24"/>
        </w:rPr>
        <w:t xml:space="preserve"> 222 and </w:t>
      </w:r>
      <w:r w:rsidR="00C857C3">
        <w:rPr>
          <w:rFonts w:ascii="Arial" w:hAnsi="Arial" w:cs="Arial"/>
          <w:sz w:val="24"/>
          <w:szCs w:val="24"/>
        </w:rPr>
        <w:t>235 of TAA</w:t>
      </w:r>
      <w:r w:rsidR="002B6FBB">
        <w:rPr>
          <w:rFonts w:ascii="Arial" w:hAnsi="Arial" w:cs="Arial"/>
          <w:sz w:val="24"/>
          <w:szCs w:val="24"/>
        </w:rPr>
        <w:t xml:space="preserve"> offend the provisions of section 35 (3) (m) of the Constitution. The application must fail. </w:t>
      </w:r>
      <w:r w:rsidR="00FB041A">
        <w:rPr>
          <w:rFonts w:ascii="Arial" w:hAnsi="Arial" w:cs="Arial"/>
          <w:sz w:val="24"/>
          <w:szCs w:val="24"/>
        </w:rPr>
        <w:t xml:space="preserve"> </w:t>
      </w:r>
      <w:r w:rsidR="00D97E59" w:rsidRPr="009E23B1">
        <w:rPr>
          <w:rFonts w:ascii="Arial" w:hAnsi="Arial" w:cs="Arial"/>
          <w:sz w:val="24"/>
          <w:szCs w:val="24"/>
        </w:rPr>
        <w:t xml:space="preserve">As regards to costs, there is no reason to depart from the general rule </w:t>
      </w:r>
      <w:r w:rsidR="00C857C3" w:rsidRPr="009E23B1">
        <w:rPr>
          <w:rFonts w:ascii="Arial" w:hAnsi="Arial" w:cs="Arial"/>
          <w:sz w:val="24"/>
          <w:szCs w:val="24"/>
        </w:rPr>
        <w:t>that costs</w:t>
      </w:r>
      <w:r w:rsidR="00D97E59" w:rsidRPr="009E23B1">
        <w:rPr>
          <w:rFonts w:ascii="Arial" w:hAnsi="Arial" w:cs="Arial"/>
          <w:sz w:val="24"/>
          <w:szCs w:val="24"/>
        </w:rPr>
        <w:t xml:space="preserve"> must follow the result.</w:t>
      </w:r>
    </w:p>
    <w:p w14:paraId="3752992D" w14:textId="77777777" w:rsidR="00C1398C" w:rsidRDefault="00C1398C" w:rsidP="008B67BE">
      <w:pPr>
        <w:spacing w:after="0" w:line="360" w:lineRule="auto"/>
        <w:ind w:left="720" w:hanging="720"/>
        <w:jc w:val="both"/>
        <w:rPr>
          <w:rFonts w:ascii="Arial" w:hAnsi="Arial" w:cs="Arial"/>
          <w:sz w:val="24"/>
          <w:szCs w:val="24"/>
        </w:rPr>
      </w:pPr>
    </w:p>
    <w:p w14:paraId="76CB1222" w14:textId="77777777" w:rsidR="00555FDF" w:rsidRDefault="0088098E" w:rsidP="008B67BE">
      <w:pPr>
        <w:spacing w:after="0" w:line="360" w:lineRule="auto"/>
        <w:ind w:left="720" w:hanging="720"/>
        <w:jc w:val="both"/>
        <w:rPr>
          <w:rFonts w:ascii="Arial" w:hAnsi="Arial" w:cs="Arial"/>
          <w:sz w:val="24"/>
          <w:szCs w:val="24"/>
        </w:rPr>
      </w:pPr>
      <w:r>
        <w:rPr>
          <w:rFonts w:ascii="Arial" w:hAnsi="Arial" w:cs="Arial"/>
          <w:sz w:val="24"/>
          <w:szCs w:val="24"/>
        </w:rPr>
        <w:t>[</w:t>
      </w:r>
      <w:r w:rsidR="001C4A35">
        <w:rPr>
          <w:rFonts w:ascii="Arial" w:hAnsi="Arial" w:cs="Arial"/>
          <w:sz w:val="24"/>
          <w:szCs w:val="24"/>
        </w:rPr>
        <w:t>36</w:t>
      </w:r>
      <w:r>
        <w:rPr>
          <w:rFonts w:ascii="Arial" w:hAnsi="Arial" w:cs="Arial"/>
          <w:sz w:val="24"/>
          <w:szCs w:val="24"/>
        </w:rPr>
        <w:t>]</w:t>
      </w:r>
      <w:r>
        <w:rPr>
          <w:rFonts w:ascii="Arial" w:hAnsi="Arial" w:cs="Arial"/>
          <w:sz w:val="24"/>
          <w:szCs w:val="24"/>
        </w:rPr>
        <w:tab/>
      </w:r>
      <w:r w:rsidR="00555FDF" w:rsidRPr="0088098E">
        <w:rPr>
          <w:rFonts w:ascii="Arial" w:hAnsi="Arial" w:cs="Arial"/>
          <w:sz w:val="24"/>
          <w:szCs w:val="24"/>
        </w:rPr>
        <w:t>I make the following order:</w:t>
      </w:r>
    </w:p>
    <w:p w14:paraId="6783AACB" w14:textId="77777777" w:rsidR="00A66EF9" w:rsidRPr="0088098E" w:rsidRDefault="00A66EF9" w:rsidP="008B67BE">
      <w:pPr>
        <w:spacing w:after="0" w:line="360" w:lineRule="auto"/>
        <w:ind w:left="720" w:hanging="720"/>
        <w:jc w:val="both"/>
        <w:rPr>
          <w:rFonts w:ascii="Arial" w:hAnsi="Arial" w:cs="Arial"/>
          <w:sz w:val="24"/>
          <w:szCs w:val="24"/>
        </w:rPr>
      </w:pPr>
    </w:p>
    <w:p w14:paraId="413C251B" w14:textId="77777777" w:rsidR="00555FDF" w:rsidRPr="0088098E" w:rsidRDefault="008B67BE" w:rsidP="008B67BE">
      <w:pPr>
        <w:spacing w:after="0" w:line="360" w:lineRule="auto"/>
        <w:ind w:left="1134" w:hanging="1145"/>
        <w:jc w:val="both"/>
        <w:rPr>
          <w:rFonts w:ascii="Arial" w:hAnsi="Arial" w:cs="Arial"/>
          <w:sz w:val="24"/>
          <w:szCs w:val="24"/>
        </w:rPr>
      </w:pPr>
      <w:r>
        <w:rPr>
          <w:rFonts w:ascii="Arial" w:hAnsi="Arial" w:cs="Arial"/>
          <w:sz w:val="24"/>
          <w:szCs w:val="24"/>
        </w:rPr>
        <w:tab/>
      </w:r>
      <w:r w:rsidR="0088098E">
        <w:rPr>
          <w:rFonts w:ascii="Arial" w:hAnsi="Arial" w:cs="Arial"/>
          <w:sz w:val="24"/>
          <w:szCs w:val="24"/>
        </w:rPr>
        <w:t>1.</w:t>
      </w:r>
      <w:r w:rsidR="002B6FBB">
        <w:rPr>
          <w:rFonts w:ascii="Arial" w:hAnsi="Arial" w:cs="Arial"/>
          <w:sz w:val="24"/>
          <w:szCs w:val="24"/>
        </w:rPr>
        <w:t>The application</w:t>
      </w:r>
      <w:r w:rsidR="007B351A">
        <w:rPr>
          <w:rFonts w:ascii="Arial" w:hAnsi="Arial" w:cs="Arial"/>
          <w:sz w:val="24"/>
          <w:szCs w:val="24"/>
        </w:rPr>
        <w:t xml:space="preserve"> to declare sections 222 and 235 of Tax Administration </w:t>
      </w:r>
      <w:r w:rsidR="00C857C3">
        <w:rPr>
          <w:rFonts w:ascii="Arial" w:hAnsi="Arial" w:cs="Arial"/>
          <w:sz w:val="24"/>
          <w:szCs w:val="24"/>
        </w:rPr>
        <w:t xml:space="preserve">Act </w:t>
      </w:r>
      <w:r>
        <w:rPr>
          <w:rFonts w:ascii="Arial" w:hAnsi="Arial" w:cs="Arial"/>
          <w:sz w:val="24"/>
          <w:szCs w:val="24"/>
        </w:rPr>
        <w:t xml:space="preserve">  </w:t>
      </w:r>
      <w:r>
        <w:rPr>
          <w:rFonts w:ascii="Arial" w:hAnsi="Arial" w:cs="Arial"/>
          <w:sz w:val="24"/>
          <w:szCs w:val="24"/>
        </w:rPr>
        <w:tab/>
      </w:r>
      <w:r w:rsidR="00C857C3">
        <w:rPr>
          <w:rFonts w:ascii="Arial" w:hAnsi="Arial" w:cs="Arial"/>
          <w:sz w:val="24"/>
          <w:szCs w:val="24"/>
        </w:rPr>
        <w:t>unconstitutional is</w:t>
      </w:r>
      <w:r w:rsidR="002B6FBB">
        <w:rPr>
          <w:rFonts w:ascii="Arial" w:hAnsi="Arial" w:cs="Arial"/>
          <w:sz w:val="24"/>
          <w:szCs w:val="24"/>
        </w:rPr>
        <w:t xml:space="preserve"> dismissed with costs. </w:t>
      </w:r>
      <w:r w:rsidR="0088098E">
        <w:rPr>
          <w:rFonts w:ascii="Arial" w:hAnsi="Arial" w:cs="Arial"/>
          <w:sz w:val="24"/>
          <w:szCs w:val="24"/>
        </w:rPr>
        <w:tab/>
      </w:r>
    </w:p>
    <w:p w14:paraId="3B686436" w14:textId="77777777" w:rsidR="00FD2FFC" w:rsidRDefault="0088098E" w:rsidP="008B67BE">
      <w:pPr>
        <w:spacing w:after="0" w:line="360" w:lineRule="auto"/>
        <w:ind w:left="1440" w:hanging="306"/>
        <w:jc w:val="both"/>
        <w:rPr>
          <w:rFonts w:ascii="Arial" w:hAnsi="Arial" w:cs="Arial"/>
          <w:sz w:val="24"/>
          <w:szCs w:val="24"/>
        </w:rPr>
      </w:pPr>
      <w:r>
        <w:rPr>
          <w:rFonts w:ascii="Arial" w:hAnsi="Arial" w:cs="Arial"/>
          <w:sz w:val="24"/>
          <w:szCs w:val="24"/>
        </w:rPr>
        <w:lastRenderedPageBreak/>
        <w:t>2.</w:t>
      </w:r>
      <w:r w:rsidR="002B6FBB">
        <w:rPr>
          <w:rFonts w:ascii="Arial" w:hAnsi="Arial" w:cs="Arial"/>
          <w:sz w:val="24"/>
          <w:szCs w:val="24"/>
        </w:rPr>
        <w:t xml:space="preserve"> Costs to include that of</w:t>
      </w:r>
      <w:r w:rsidR="009E23B1">
        <w:rPr>
          <w:rFonts w:ascii="Arial" w:hAnsi="Arial" w:cs="Arial"/>
          <w:sz w:val="24"/>
          <w:szCs w:val="24"/>
        </w:rPr>
        <w:t xml:space="preserve"> </w:t>
      </w:r>
      <w:r w:rsidR="002B6FBB">
        <w:rPr>
          <w:rFonts w:ascii="Arial" w:hAnsi="Arial" w:cs="Arial"/>
          <w:sz w:val="24"/>
          <w:szCs w:val="24"/>
        </w:rPr>
        <w:t xml:space="preserve"> counsel. </w:t>
      </w:r>
      <w:r>
        <w:rPr>
          <w:rFonts w:ascii="Arial" w:hAnsi="Arial" w:cs="Arial"/>
          <w:sz w:val="24"/>
          <w:szCs w:val="24"/>
        </w:rPr>
        <w:tab/>
      </w:r>
      <w:r w:rsidR="00555FDF" w:rsidRPr="0088098E">
        <w:rPr>
          <w:rFonts w:ascii="Arial" w:hAnsi="Arial" w:cs="Arial"/>
          <w:sz w:val="24"/>
          <w:szCs w:val="24"/>
        </w:rPr>
        <w:t xml:space="preserve"> </w:t>
      </w:r>
    </w:p>
    <w:p w14:paraId="2ED93892" w14:textId="77777777" w:rsidR="004D5731" w:rsidRDefault="004D5731" w:rsidP="008B67BE">
      <w:pPr>
        <w:spacing w:after="0" w:line="360" w:lineRule="auto"/>
        <w:ind w:left="1440" w:hanging="720"/>
        <w:jc w:val="both"/>
        <w:rPr>
          <w:rFonts w:ascii="Arial" w:hAnsi="Arial" w:cs="Arial"/>
          <w:sz w:val="24"/>
          <w:szCs w:val="24"/>
        </w:rPr>
      </w:pPr>
    </w:p>
    <w:p w14:paraId="5E5C016B" w14:textId="77777777" w:rsidR="004D5731" w:rsidRDefault="004D5731" w:rsidP="008B67BE">
      <w:pPr>
        <w:spacing w:after="0" w:line="360" w:lineRule="auto"/>
        <w:ind w:left="1440" w:hanging="720"/>
        <w:jc w:val="both"/>
        <w:rPr>
          <w:rFonts w:ascii="Arial" w:hAnsi="Arial" w:cs="Arial"/>
          <w:sz w:val="24"/>
          <w:szCs w:val="24"/>
        </w:rPr>
      </w:pPr>
    </w:p>
    <w:p w14:paraId="0AAF518C" w14:textId="77777777" w:rsidR="004D5731" w:rsidRPr="0088098E" w:rsidRDefault="004D5731" w:rsidP="008B67BE">
      <w:pPr>
        <w:spacing w:after="0" w:line="360" w:lineRule="auto"/>
        <w:ind w:left="1440" w:hanging="720"/>
        <w:jc w:val="both"/>
        <w:rPr>
          <w:rFonts w:ascii="Arial" w:hAnsi="Arial" w:cs="Arial"/>
          <w:sz w:val="24"/>
          <w:szCs w:val="24"/>
        </w:rPr>
      </w:pPr>
    </w:p>
    <w:p w14:paraId="02D81C03" w14:textId="77777777" w:rsidR="00D30D55" w:rsidRDefault="00D30D55"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14:paraId="37B762C0" w14:textId="77777777" w:rsidR="00D30D55" w:rsidRDefault="00D34925"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r>
        <w:rPr>
          <w:rFonts w:ascii="Arial" w:hAnsi="Arial"/>
          <w:b/>
          <w:bCs/>
          <w:sz w:val="24"/>
          <w:szCs w:val="24"/>
        </w:rPr>
        <w:t>N</w:t>
      </w:r>
      <w:r w:rsidR="00D30D55">
        <w:rPr>
          <w:rFonts w:ascii="Arial" w:hAnsi="Arial"/>
          <w:b/>
          <w:bCs/>
          <w:sz w:val="24"/>
          <w:szCs w:val="24"/>
        </w:rPr>
        <w:t>.</w:t>
      </w:r>
      <w:r>
        <w:rPr>
          <w:rFonts w:ascii="Arial" w:hAnsi="Arial"/>
          <w:b/>
          <w:bCs/>
          <w:sz w:val="24"/>
          <w:szCs w:val="24"/>
        </w:rPr>
        <w:t>M</w:t>
      </w:r>
      <w:r w:rsidR="00D30D55">
        <w:rPr>
          <w:rFonts w:ascii="Arial" w:hAnsi="Arial"/>
          <w:b/>
          <w:bCs/>
          <w:sz w:val="24"/>
          <w:szCs w:val="24"/>
        </w:rPr>
        <w:t>. M</w:t>
      </w:r>
      <w:r>
        <w:rPr>
          <w:rFonts w:ascii="Arial" w:hAnsi="Arial"/>
          <w:b/>
          <w:bCs/>
          <w:sz w:val="24"/>
          <w:szCs w:val="24"/>
        </w:rPr>
        <w:t>BHELE</w:t>
      </w:r>
      <w:r w:rsidR="00D30D55">
        <w:rPr>
          <w:rFonts w:ascii="Arial" w:hAnsi="Arial"/>
          <w:b/>
          <w:bCs/>
          <w:sz w:val="24"/>
          <w:szCs w:val="24"/>
        </w:rPr>
        <w:t xml:space="preserve">, </w:t>
      </w:r>
      <w:r>
        <w:rPr>
          <w:rFonts w:ascii="Arial" w:hAnsi="Arial"/>
          <w:b/>
          <w:bCs/>
          <w:sz w:val="24"/>
          <w:szCs w:val="24"/>
        </w:rPr>
        <w:t>A</w:t>
      </w:r>
      <w:r w:rsidR="00D30D55">
        <w:rPr>
          <w:rFonts w:ascii="Arial" w:hAnsi="Arial"/>
          <w:b/>
          <w:bCs/>
          <w:sz w:val="24"/>
          <w:szCs w:val="24"/>
        </w:rPr>
        <w:t>JP</w:t>
      </w:r>
    </w:p>
    <w:p w14:paraId="11543A6B" w14:textId="77777777" w:rsidR="00D30D55" w:rsidRDefault="00D30D55" w:rsidP="00D30D55">
      <w:pPr>
        <w:rPr>
          <w:rFonts w:ascii="Arial" w:hAnsi="Arial" w:cs="Arial"/>
          <w:sz w:val="24"/>
          <w:szCs w:val="24"/>
        </w:rPr>
      </w:pPr>
    </w:p>
    <w:p w14:paraId="6751DD1B" w14:textId="77777777" w:rsidR="001913D9" w:rsidRDefault="001913D9" w:rsidP="001913D9">
      <w:pPr>
        <w:spacing w:after="0" w:line="360" w:lineRule="auto"/>
        <w:ind w:left="709" w:hanging="709"/>
        <w:jc w:val="both"/>
        <w:rPr>
          <w:rFonts w:ascii="Arial" w:hAnsi="Arial" w:cs="Arial"/>
          <w:sz w:val="24"/>
          <w:szCs w:val="24"/>
        </w:rPr>
      </w:pPr>
    </w:p>
    <w:p w14:paraId="4A9C4487" w14:textId="77777777" w:rsidR="00D30D55" w:rsidRPr="00EC0D3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EC0D35">
        <w:rPr>
          <w:rFonts w:ascii="Arial" w:hAnsi="Arial" w:cs="Arial"/>
          <w:b/>
          <w:bCs/>
          <w:sz w:val="24"/>
          <w:szCs w:val="24"/>
        </w:rPr>
        <w:t>Appearances:</w:t>
      </w:r>
    </w:p>
    <w:p w14:paraId="67FDC236" w14:textId="77777777" w:rsidR="00D30D55" w:rsidRPr="00EC0D3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8B67BE">
        <w:rPr>
          <w:rFonts w:ascii="Arial" w:hAnsi="Arial" w:cs="Arial"/>
          <w:sz w:val="24"/>
          <w:szCs w:val="24"/>
        </w:rPr>
        <w:t>1</w:t>
      </w:r>
      <w:r w:rsidR="008B67BE" w:rsidRPr="008B67BE">
        <w:rPr>
          <w:rFonts w:ascii="Arial" w:hAnsi="Arial" w:cs="Arial"/>
          <w:sz w:val="24"/>
          <w:szCs w:val="24"/>
          <w:vertAlign w:val="superscript"/>
        </w:rPr>
        <w:t>st</w:t>
      </w:r>
      <w:r w:rsidR="008B67BE">
        <w:rPr>
          <w:rFonts w:ascii="Arial" w:hAnsi="Arial" w:cs="Arial"/>
          <w:sz w:val="24"/>
          <w:szCs w:val="24"/>
        </w:rPr>
        <w:t xml:space="preserve"> &amp; 2</w:t>
      </w:r>
      <w:r w:rsidR="008B67BE" w:rsidRPr="008B67BE">
        <w:rPr>
          <w:rFonts w:ascii="Arial" w:hAnsi="Arial" w:cs="Arial"/>
          <w:sz w:val="24"/>
          <w:szCs w:val="24"/>
          <w:vertAlign w:val="superscript"/>
        </w:rPr>
        <w:t>nd</w:t>
      </w:r>
      <w:r w:rsidR="008B67BE">
        <w:rPr>
          <w:rFonts w:ascii="Arial" w:hAnsi="Arial" w:cs="Arial"/>
          <w:sz w:val="24"/>
          <w:szCs w:val="24"/>
        </w:rPr>
        <w:t xml:space="preserve"> Applicants</w:t>
      </w:r>
      <w:r w:rsidR="008B67BE" w:rsidRPr="00EC0D35">
        <w:rPr>
          <w:rFonts w:ascii="Arial" w:hAnsi="Arial" w:cs="Arial"/>
          <w:sz w:val="24"/>
          <w:szCs w:val="24"/>
        </w:rPr>
        <w:t>:</w:t>
      </w:r>
      <w:r w:rsidR="008B67BE">
        <w:rPr>
          <w:rFonts w:ascii="Arial" w:hAnsi="Arial" w:cs="Arial"/>
          <w:sz w:val="24"/>
          <w:szCs w:val="24"/>
        </w:rPr>
        <w:t xml:space="preserve"> </w:t>
      </w:r>
      <w:r w:rsidR="008B67BE">
        <w:rPr>
          <w:rFonts w:ascii="Arial" w:hAnsi="Arial" w:cs="Arial"/>
          <w:sz w:val="24"/>
          <w:szCs w:val="24"/>
        </w:rPr>
        <w:tab/>
      </w:r>
      <w:proofErr w:type="spellStart"/>
      <w:r w:rsidR="008B67BE">
        <w:rPr>
          <w:rFonts w:ascii="Arial" w:hAnsi="Arial" w:cs="Arial"/>
          <w:sz w:val="24"/>
          <w:szCs w:val="24"/>
        </w:rPr>
        <w:t>Adv.MB</w:t>
      </w:r>
      <w:proofErr w:type="spellEnd"/>
      <w:r w:rsidR="008B67BE">
        <w:rPr>
          <w:rFonts w:ascii="Arial" w:hAnsi="Arial" w:cs="Arial"/>
          <w:sz w:val="24"/>
          <w:szCs w:val="24"/>
        </w:rPr>
        <w:t xml:space="preserve"> </w:t>
      </w:r>
      <w:proofErr w:type="spellStart"/>
      <w:r w:rsidR="008B67BE">
        <w:rPr>
          <w:rFonts w:ascii="Arial" w:hAnsi="Arial" w:cs="Arial"/>
          <w:sz w:val="24"/>
          <w:szCs w:val="24"/>
        </w:rPr>
        <w:t>Mojaki</w:t>
      </w:r>
      <w:proofErr w:type="spellEnd"/>
      <w:r w:rsidR="008B67BE">
        <w:rPr>
          <w:rFonts w:ascii="Arial" w:hAnsi="Arial" w:cs="Arial"/>
          <w:sz w:val="24"/>
          <w:szCs w:val="24"/>
        </w:rPr>
        <w:t xml:space="preserve"> &amp; Adv J </w:t>
      </w:r>
      <w:proofErr w:type="spellStart"/>
      <w:r w:rsidR="008B67BE">
        <w:rPr>
          <w:rFonts w:ascii="Arial" w:hAnsi="Arial" w:cs="Arial"/>
          <w:sz w:val="24"/>
          <w:szCs w:val="24"/>
        </w:rPr>
        <w:t>Nkhahle</w:t>
      </w:r>
      <w:proofErr w:type="spellEnd"/>
    </w:p>
    <w:p w14:paraId="0D108349" w14:textId="77777777" w:rsidR="00D30D55" w:rsidRDefault="00D34925"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2892" w:firstLine="708"/>
        <w:jc w:val="both"/>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M</w:t>
      </w:r>
      <w:r w:rsidR="00CA182C">
        <w:rPr>
          <w:rFonts w:ascii="Arial" w:hAnsi="Arial" w:cs="Arial"/>
          <w:sz w:val="24"/>
          <w:szCs w:val="24"/>
        </w:rPr>
        <w:t>odisenyane</w:t>
      </w:r>
      <w:proofErr w:type="spellEnd"/>
      <w:r w:rsidR="00CA182C">
        <w:rPr>
          <w:rFonts w:ascii="Arial" w:hAnsi="Arial" w:cs="Arial"/>
          <w:sz w:val="24"/>
          <w:szCs w:val="24"/>
        </w:rPr>
        <w:t xml:space="preserve"> Attorneys</w:t>
      </w:r>
      <w:r w:rsidR="00D30D55" w:rsidRPr="00EC0D35">
        <w:rPr>
          <w:rFonts w:ascii="Arial" w:hAnsi="Arial" w:cs="Arial"/>
          <w:sz w:val="24"/>
          <w:szCs w:val="24"/>
        </w:rPr>
        <w:tab/>
      </w:r>
    </w:p>
    <w:p w14:paraId="4D89500D" w14:textId="77777777" w:rsidR="00D34925" w:rsidRPr="00EC0D35" w:rsidRDefault="00D34925"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2892" w:firstLine="708"/>
        <w:jc w:val="both"/>
        <w:rPr>
          <w:rFonts w:ascii="Arial" w:hAnsi="Arial" w:cs="Arial"/>
          <w:sz w:val="24"/>
          <w:szCs w:val="24"/>
        </w:rPr>
      </w:pPr>
      <w:r>
        <w:rPr>
          <w:rFonts w:ascii="Arial" w:hAnsi="Arial" w:cs="Arial"/>
          <w:sz w:val="24"/>
          <w:szCs w:val="24"/>
        </w:rPr>
        <w:t>Bloemfontein</w:t>
      </w:r>
    </w:p>
    <w:p w14:paraId="27D0D5F8" w14:textId="77777777" w:rsidR="00D30D55" w:rsidRPr="00EC0D35" w:rsidRDefault="00D30D55" w:rsidP="00D30D55">
      <w:pPr>
        <w:pStyle w:val="BodyA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14:paraId="11AD5D5E" w14:textId="77777777" w:rsidR="00D452BB"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8B67BE">
        <w:rPr>
          <w:rFonts w:ascii="Arial" w:hAnsi="Arial" w:cs="Arial"/>
          <w:sz w:val="24"/>
          <w:szCs w:val="24"/>
        </w:rPr>
        <w:t>1</w:t>
      </w:r>
      <w:r w:rsidR="008B67BE" w:rsidRPr="008B67BE">
        <w:rPr>
          <w:rFonts w:ascii="Arial" w:hAnsi="Arial" w:cs="Arial"/>
          <w:sz w:val="24"/>
          <w:szCs w:val="24"/>
          <w:vertAlign w:val="superscript"/>
        </w:rPr>
        <w:t>st</w:t>
      </w:r>
      <w:r w:rsidR="00D452BB">
        <w:rPr>
          <w:rFonts w:ascii="Arial" w:hAnsi="Arial" w:cs="Arial"/>
          <w:sz w:val="24"/>
          <w:szCs w:val="24"/>
        </w:rPr>
        <w:t xml:space="preserve"> Respondent</w:t>
      </w:r>
      <w:r w:rsidR="008B67BE" w:rsidRPr="00EC0D35">
        <w:rPr>
          <w:rFonts w:ascii="Arial" w:hAnsi="Arial" w:cs="Arial"/>
          <w:sz w:val="24"/>
          <w:szCs w:val="24"/>
        </w:rPr>
        <w:t>:</w:t>
      </w:r>
      <w:r w:rsidR="008B67BE">
        <w:rPr>
          <w:rFonts w:ascii="Arial" w:hAnsi="Arial" w:cs="Arial"/>
          <w:sz w:val="24"/>
          <w:szCs w:val="24"/>
        </w:rPr>
        <w:t xml:space="preserve"> </w:t>
      </w:r>
      <w:r w:rsidR="008B67BE">
        <w:rPr>
          <w:rFonts w:ascii="Arial" w:hAnsi="Arial" w:cs="Arial"/>
          <w:sz w:val="24"/>
          <w:szCs w:val="24"/>
        </w:rPr>
        <w:tab/>
      </w:r>
      <w:r w:rsidR="00D452BB">
        <w:rPr>
          <w:rFonts w:ascii="Arial" w:hAnsi="Arial" w:cs="Arial"/>
          <w:sz w:val="24"/>
          <w:szCs w:val="24"/>
        </w:rPr>
        <w:tab/>
      </w:r>
      <w:proofErr w:type="spellStart"/>
      <w:r w:rsidR="008B67BE">
        <w:rPr>
          <w:rFonts w:ascii="Arial" w:hAnsi="Arial" w:cs="Arial"/>
          <w:sz w:val="24"/>
          <w:szCs w:val="24"/>
        </w:rPr>
        <w:t>Adv.G</w:t>
      </w:r>
      <w:proofErr w:type="spellEnd"/>
      <w:r w:rsidR="008B67BE">
        <w:rPr>
          <w:rFonts w:ascii="Arial" w:hAnsi="Arial" w:cs="Arial"/>
          <w:sz w:val="24"/>
          <w:szCs w:val="24"/>
        </w:rPr>
        <w:t xml:space="preserve"> Marcus SC, </w:t>
      </w:r>
      <w:r w:rsidR="00D452BB">
        <w:rPr>
          <w:rFonts w:ascii="Arial" w:hAnsi="Arial" w:cs="Arial"/>
          <w:sz w:val="24"/>
          <w:szCs w:val="24"/>
        </w:rPr>
        <w:t xml:space="preserve">&amp; Adv </w:t>
      </w:r>
      <w:proofErr w:type="spellStart"/>
      <w:proofErr w:type="gramStart"/>
      <w:r w:rsidR="00D452BB">
        <w:rPr>
          <w:rFonts w:ascii="Arial" w:hAnsi="Arial" w:cs="Arial"/>
          <w:sz w:val="24"/>
          <w:szCs w:val="24"/>
        </w:rPr>
        <w:t>E.Mkhawane</w:t>
      </w:r>
      <w:proofErr w:type="spellEnd"/>
      <w:proofErr w:type="gramEnd"/>
      <w:r w:rsidR="00D452BB">
        <w:rPr>
          <w:rFonts w:ascii="Arial" w:hAnsi="Arial" w:cs="Arial"/>
          <w:sz w:val="24"/>
          <w:szCs w:val="24"/>
        </w:rPr>
        <w:t xml:space="preserve"> </w:t>
      </w:r>
    </w:p>
    <w:p w14:paraId="42E3A38F" w14:textId="77777777" w:rsidR="00D452BB" w:rsidRDefault="00D452BB"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Claude Reid Attorneys</w:t>
      </w:r>
    </w:p>
    <w:p w14:paraId="32067892" w14:textId="77777777" w:rsidR="00D452BB" w:rsidRDefault="00D452BB"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14:paraId="3D4C47CA" w14:textId="77777777" w:rsidR="00D30D55" w:rsidRPr="00EC0D35" w:rsidRDefault="00D452BB"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For the 2</w:t>
      </w:r>
      <w:r w:rsidRPr="00D452BB">
        <w:rPr>
          <w:rFonts w:ascii="Arial" w:hAnsi="Arial" w:cs="Arial"/>
          <w:sz w:val="24"/>
          <w:szCs w:val="24"/>
          <w:vertAlign w:val="superscript"/>
        </w:rPr>
        <w:t>nd</w:t>
      </w:r>
      <w:r>
        <w:rPr>
          <w:rFonts w:ascii="Arial" w:hAnsi="Arial" w:cs="Arial"/>
          <w:sz w:val="24"/>
          <w:szCs w:val="24"/>
        </w:rPr>
        <w:t xml:space="preserve"> Respondent</w:t>
      </w:r>
      <w:r>
        <w:rPr>
          <w:rFonts w:ascii="Arial" w:hAnsi="Arial" w:cs="Arial"/>
          <w:sz w:val="24"/>
          <w:szCs w:val="24"/>
        </w:rPr>
        <w:tab/>
      </w:r>
      <w:r>
        <w:rPr>
          <w:rFonts w:ascii="Arial" w:hAnsi="Arial" w:cs="Arial"/>
          <w:sz w:val="24"/>
          <w:szCs w:val="24"/>
        </w:rPr>
        <w:tab/>
        <w:t xml:space="preserve">Adv K </w:t>
      </w:r>
      <w:proofErr w:type="spellStart"/>
      <w:r>
        <w:rPr>
          <w:rFonts w:ascii="Arial" w:hAnsi="Arial" w:cs="Arial"/>
          <w:sz w:val="24"/>
          <w:szCs w:val="24"/>
        </w:rPr>
        <w:t>Tsatsawane</w:t>
      </w:r>
      <w:proofErr w:type="spellEnd"/>
      <w:r>
        <w:rPr>
          <w:rFonts w:ascii="Arial" w:hAnsi="Arial" w:cs="Arial"/>
          <w:sz w:val="24"/>
          <w:szCs w:val="24"/>
        </w:rPr>
        <w:t xml:space="preserve"> SC</w:t>
      </w:r>
    </w:p>
    <w:p w14:paraId="326AE68D" w14:textId="77777777" w:rsidR="00D30D55" w:rsidRPr="00EC0D35" w:rsidRDefault="00D30D55"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3567" w:firstLine="33"/>
        <w:jc w:val="both"/>
        <w:rPr>
          <w:rFonts w:ascii="Arial" w:hAnsi="Arial" w:cs="Arial"/>
          <w:sz w:val="24"/>
          <w:szCs w:val="24"/>
        </w:rPr>
      </w:pPr>
      <w:r w:rsidRPr="00EC0D35">
        <w:rPr>
          <w:rFonts w:ascii="Arial" w:hAnsi="Arial" w:cs="Arial"/>
          <w:sz w:val="24"/>
          <w:szCs w:val="24"/>
        </w:rPr>
        <w:t xml:space="preserve">Instructed by </w:t>
      </w:r>
      <w:r w:rsidR="00D452BB">
        <w:rPr>
          <w:rFonts w:ascii="Arial" w:hAnsi="Arial" w:cs="Arial"/>
          <w:sz w:val="24"/>
          <w:szCs w:val="24"/>
        </w:rPr>
        <w:t>State Attorney</w:t>
      </w:r>
    </w:p>
    <w:p w14:paraId="4A1B84B7" w14:textId="77777777" w:rsidR="00D452BB" w:rsidRPr="00EC0D35" w:rsidRDefault="00D452BB"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3523" w:firstLine="44"/>
        <w:jc w:val="both"/>
        <w:rPr>
          <w:rFonts w:ascii="Arial" w:hAnsi="Arial" w:cs="Arial"/>
          <w:sz w:val="24"/>
          <w:szCs w:val="24"/>
        </w:rPr>
      </w:pPr>
      <w:r>
        <w:rPr>
          <w:rFonts w:ascii="Arial" w:hAnsi="Arial" w:cs="Arial"/>
          <w:sz w:val="24"/>
          <w:szCs w:val="24"/>
        </w:rPr>
        <w:t>Pretoria</w:t>
      </w:r>
    </w:p>
    <w:p w14:paraId="1CBF43FD" w14:textId="77777777" w:rsidR="00760A21" w:rsidRPr="003574EB" w:rsidRDefault="00760A21" w:rsidP="003574EB">
      <w:pPr>
        <w:spacing w:after="0" w:line="360" w:lineRule="auto"/>
        <w:ind w:left="709"/>
        <w:jc w:val="both"/>
        <w:rPr>
          <w:rFonts w:ascii="Arial" w:hAnsi="Arial" w:cs="Arial"/>
          <w:sz w:val="20"/>
          <w:szCs w:val="20"/>
        </w:rPr>
      </w:pPr>
    </w:p>
    <w:sectPr w:rsidR="00760A21" w:rsidRPr="003574EB" w:rsidSect="00533C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1C64" w14:textId="77777777" w:rsidR="007A7AE3" w:rsidRDefault="007A7AE3" w:rsidP="00454B2B">
      <w:pPr>
        <w:spacing w:after="0" w:line="240" w:lineRule="auto"/>
      </w:pPr>
      <w:r>
        <w:separator/>
      </w:r>
    </w:p>
  </w:endnote>
  <w:endnote w:type="continuationSeparator" w:id="0">
    <w:p w14:paraId="37B37251" w14:textId="77777777" w:rsidR="007A7AE3" w:rsidRDefault="007A7AE3"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94FC7" w14:textId="77777777" w:rsidR="007A7AE3" w:rsidRDefault="007A7AE3" w:rsidP="00454B2B">
      <w:pPr>
        <w:spacing w:after="0" w:line="240" w:lineRule="auto"/>
      </w:pPr>
      <w:r>
        <w:separator/>
      </w:r>
    </w:p>
  </w:footnote>
  <w:footnote w:type="continuationSeparator" w:id="0">
    <w:p w14:paraId="4D3A9C9D" w14:textId="77777777" w:rsidR="007A7AE3" w:rsidRDefault="007A7AE3" w:rsidP="00454B2B">
      <w:pPr>
        <w:spacing w:after="0" w:line="240" w:lineRule="auto"/>
      </w:pPr>
      <w:r>
        <w:continuationSeparator/>
      </w:r>
    </w:p>
  </w:footnote>
  <w:footnote w:id="1">
    <w:p w14:paraId="6C31604A" w14:textId="77777777" w:rsidR="00C1398C" w:rsidRPr="00C1398C" w:rsidRDefault="00C1398C" w:rsidP="00C1398C">
      <w:pPr>
        <w:pStyle w:val="FootnoteText"/>
        <w:rPr>
          <w:lang w:val="en-US"/>
        </w:rPr>
      </w:pPr>
      <w:r>
        <w:rPr>
          <w:rStyle w:val="FootnoteReference"/>
        </w:rPr>
        <w:footnoteRef/>
      </w:r>
      <w:r>
        <w:t xml:space="preserve"> </w:t>
      </w:r>
      <w:r>
        <w:rPr>
          <w:rFonts w:ascii="Arial" w:eastAsia="Times New Roman" w:hAnsi="Arial" w:cs="Arial"/>
        </w:rPr>
        <w:t xml:space="preserve"> </w:t>
      </w:r>
      <w:r>
        <w:t xml:space="preserve"> </w:t>
      </w:r>
      <w:proofErr w:type="spellStart"/>
      <w:r w:rsidRPr="00C1398C">
        <w:rPr>
          <w:rFonts w:ascii="Arial" w:hAnsi="Arial" w:cs="Arial"/>
          <w:iCs/>
          <w:sz w:val="16"/>
          <w:szCs w:val="16"/>
        </w:rPr>
        <w:t>Ascendis</w:t>
      </w:r>
      <w:proofErr w:type="spellEnd"/>
      <w:r w:rsidRPr="00C1398C">
        <w:rPr>
          <w:rFonts w:ascii="Arial" w:hAnsi="Arial" w:cs="Arial"/>
          <w:iCs/>
          <w:sz w:val="16"/>
          <w:szCs w:val="16"/>
        </w:rPr>
        <w:t xml:space="preserve"> Animal Health (Pty) Limited v Merck Sharpe Dohme Corporation and Others </w:t>
      </w:r>
      <w:r w:rsidRPr="00C1398C">
        <w:rPr>
          <w:rFonts w:ascii="Arial" w:hAnsi="Arial" w:cs="Arial"/>
          <w:sz w:val="16"/>
          <w:szCs w:val="16"/>
        </w:rPr>
        <w:t>[2019] ZACC 41 delivered on 24 October 2019</w:t>
      </w:r>
    </w:p>
  </w:footnote>
  <w:footnote w:id="2">
    <w:p w14:paraId="3D47EAA6" w14:textId="77777777" w:rsidR="00C1398C" w:rsidRPr="00C1398C" w:rsidRDefault="00C1398C">
      <w:pPr>
        <w:pStyle w:val="FootnoteText"/>
        <w:rPr>
          <w:lang w:val="en-US"/>
        </w:rPr>
      </w:pPr>
      <w:r>
        <w:rPr>
          <w:rStyle w:val="FootnoteReference"/>
        </w:rPr>
        <w:footnoteRef/>
      </w:r>
      <w:r>
        <w:t xml:space="preserve"> </w:t>
      </w:r>
      <w:r w:rsidRPr="00C1398C">
        <w:rPr>
          <w:rFonts w:ascii="Arial" w:eastAsia="Times New Roman" w:hAnsi="Arial" w:cs="Arial"/>
          <w:iCs/>
          <w:sz w:val="16"/>
          <w:szCs w:val="16"/>
        </w:rPr>
        <w:t xml:space="preserve">Prinsloo NO and Others v </w:t>
      </w:r>
      <w:proofErr w:type="spellStart"/>
      <w:r w:rsidRPr="00C1398C">
        <w:rPr>
          <w:rFonts w:ascii="Arial" w:eastAsia="Times New Roman" w:hAnsi="Arial" w:cs="Arial"/>
          <w:iCs/>
          <w:sz w:val="16"/>
          <w:szCs w:val="16"/>
        </w:rPr>
        <w:t>Goldex</w:t>
      </w:r>
      <w:proofErr w:type="spellEnd"/>
      <w:r w:rsidRPr="00C1398C">
        <w:rPr>
          <w:rFonts w:ascii="Arial" w:eastAsia="Times New Roman" w:hAnsi="Arial" w:cs="Arial"/>
          <w:iCs/>
          <w:sz w:val="16"/>
          <w:szCs w:val="16"/>
        </w:rPr>
        <w:t xml:space="preserve"> 15 (Pty) Ltd and Another</w:t>
      </w:r>
      <w:r w:rsidRPr="00C1398C">
        <w:rPr>
          <w:rFonts w:ascii="Arial" w:eastAsia="Times New Roman" w:hAnsi="Arial" w:cs="Arial"/>
          <w:sz w:val="16"/>
          <w:szCs w:val="16"/>
        </w:rPr>
        <w:t> 2014 (5) SA 297 SCA para 23</w:t>
      </w:r>
      <w:r w:rsidRPr="00F566D7">
        <w:rPr>
          <w:rFonts w:ascii="Arial" w:eastAsia="Times New Roman" w:hAnsi="Arial" w:cs="Arial"/>
        </w:rPr>
        <w:t> </w:t>
      </w:r>
    </w:p>
  </w:footnote>
  <w:footnote w:id="3">
    <w:p w14:paraId="0B01AE36" w14:textId="77777777" w:rsidR="00C1398C" w:rsidRPr="00C1398C" w:rsidRDefault="00C1398C">
      <w:pPr>
        <w:pStyle w:val="FootnoteText"/>
        <w:rPr>
          <w:lang w:val="en-US"/>
        </w:rPr>
      </w:pPr>
      <w:r>
        <w:rPr>
          <w:rStyle w:val="FootnoteReference"/>
        </w:rPr>
        <w:footnoteRef/>
      </w:r>
      <w:r>
        <w:t xml:space="preserve"> Democratic Alliance v Brummer (793/2021) [2022] ZASCA 151 3 November 2022 at par. 13</w:t>
      </w:r>
    </w:p>
  </w:footnote>
  <w:footnote w:id="4">
    <w:p w14:paraId="5A85012B" w14:textId="77777777" w:rsidR="008C7F82" w:rsidRDefault="008C7F82">
      <w:pPr>
        <w:pStyle w:val="FootnoteText"/>
      </w:pPr>
      <w:r>
        <w:rPr>
          <w:rStyle w:val="FootnoteReference"/>
        </w:rPr>
        <w:footnoteRef/>
      </w:r>
      <w:r>
        <w:t xml:space="preserve"> The Constitution of the Republic of South Africa,1996</w:t>
      </w:r>
    </w:p>
  </w:footnote>
  <w:footnote w:id="5">
    <w:p w14:paraId="3B8AA743" w14:textId="77777777" w:rsidR="008A06EA" w:rsidRDefault="008A06EA">
      <w:pPr>
        <w:pStyle w:val="FootnoteText"/>
      </w:pPr>
      <w:r>
        <w:rPr>
          <w:rStyle w:val="FootnoteReference"/>
        </w:rPr>
        <w:footnoteRef/>
      </w:r>
      <w:r>
        <w:t xml:space="preserve">Wigglesworth v </w:t>
      </w:r>
      <w:proofErr w:type="gramStart"/>
      <w:r>
        <w:t>R  (</w:t>
      </w:r>
      <w:proofErr w:type="gramEnd"/>
      <w:r>
        <w:t xml:space="preserve">1987) 32 CRR 219 (SCC) </w:t>
      </w:r>
    </w:p>
  </w:footnote>
  <w:footnote w:id="6">
    <w:p w14:paraId="513F8A9C" w14:textId="77777777" w:rsidR="008A06EA" w:rsidRDefault="008A06EA">
      <w:pPr>
        <w:pStyle w:val="FootnoteText"/>
      </w:pPr>
      <w:r>
        <w:rPr>
          <w:rStyle w:val="FootnoteReference"/>
        </w:rPr>
        <w:footnoteRef/>
      </w:r>
      <w:r>
        <w:t xml:space="preserve"> R v </w:t>
      </w:r>
      <w:proofErr w:type="spellStart"/>
      <w:r>
        <w:t>Shubley</w:t>
      </w:r>
      <w:proofErr w:type="spellEnd"/>
      <w:r>
        <w:t xml:space="preserve"> [1990] 1 SCR 3 (SCC)</w:t>
      </w:r>
    </w:p>
  </w:footnote>
  <w:footnote w:id="7">
    <w:p w14:paraId="0DB55146" w14:textId="77777777" w:rsidR="008A06EA" w:rsidRDefault="008A06EA">
      <w:pPr>
        <w:pStyle w:val="FootnoteText"/>
      </w:pPr>
      <w:r>
        <w:rPr>
          <w:rStyle w:val="FootnoteReference"/>
        </w:rPr>
        <w:footnoteRef/>
      </w:r>
      <w:r>
        <w:t xml:space="preserve"> 490 US 1989 par 11 at 441 -2 </w:t>
      </w:r>
    </w:p>
  </w:footnote>
  <w:footnote w:id="8">
    <w:p w14:paraId="7FFBB2A8" w14:textId="77777777" w:rsidR="00343208" w:rsidRDefault="00343208">
      <w:pPr>
        <w:pStyle w:val="FootnoteText"/>
      </w:pPr>
      <w:r>
        <w:rPr>
          <w:rStyle w:val="FootnoteReference"/>
        </w:rPr>
        <w:footnoteRef/>
      </w:r>
      <w:r>
        <w:t xml:space="preserve"> Wigglesworth</w:t>
      </w:r>
    </w:p>
  </w:footnote>
  <w:footnote w:id="9">
    <w:p w14:paraId="7601DB20" w14:textId="77777777" w:rsidR="00A460E2" w:rsidRDefault="00A460E2">
      <w:pPr>
        <w:pStyle w:val="FootnoteText"/>
      </w:pPr>
      <w:r>
        <w:rPr>
          <w:rStyle w:val="FootnoteReference"/>
        </w:rPr>
        <w:footnoteRef/>
      </w:r>
      <w:r>
        <w:t xml:space="preserve"> </w:t>
      </w:r>
      <w:r w:rsidR="00B479ED">
        <w:t>Hudson v United States 522 US 93 (1997)</w:t>
      </w:r>
    </w:p>
  </w:footnote>
  <w:footnote w:id="10">
    <w:p w14:paraId="404063D2" w14:textId="77777777" w:rsidR="00B479ED" w:rsidRDefault="00B479ED" w:rsidP="00B479ED">
      <w:pPr>
        <w:shd w:val="clear" w:color="auto" w:fill="FFFFFF"/>
        <w:spacing w:after="0" w:line="240" w:lineRule="auto"/>
        <w:ind w:left="480"/>
        <w:rPr>
          <w:rFonts w:ascii="Arial" w:hAnsi="Arial" w:cs="Arial"/>
          <w:sz w:val="24"/>
          <w:szCs w:val="24"/>
        </w:rPr>
      </w:pPr>
      <w:r>
        <w:rPr>
          <w:rStyle w:val="FootnoteReference"/>
        </w:rPr>
        <w:footnoteRef/>
      </w:r>
      <w:r>
        <w:t xml:space="preserve"> </w:t>
      </w:r>
      <w:r w:rsidRPr="00B479ED">
        <w:rPr>
          <w:rFonts w:ascii="Arial" w:hAnsi="Arial" w:cs="Arial"/>
          <w:sz w:val="16"/>
          <w:szCs w:val="16"/>
        </w:rPr>
        <w:t xml:space="preserve">Federal Mogul Aftermarket Southern Africa (Pty) Ltd v Competition </w:t>
      </w:r>
      <w:proofErr w:type="spellStart"/>
      <w:r w:rsidRPr="00B479ED">
        <w:rPr>
          <w:rFonts w:ascii="Arial" w:hAnsi="Arial" w:cs="Arial"/>
          <w:sz w:val="16"/>
          <w:szCs w:val="16"/>
        </w:rPr>
        <w:t>Comission</w:t>
      </w:r>
      <w:proofErr w:type="spellEnd"/>
      <w:r w:rsidRPr="00B479ED">
        <w:rPr>
          <w:rFonts w:ascii="Arial" w:hAnsi="Arial" w:cs="Arial"/>
          <w:sz w:val="16"/>
          <w:szCs w:val="16"/>
        </w:rPr>
        <w:t xml:space="preserve"> and Another</w:t>
      </w:r>
      <w:r>
        <w:rPr>
          <w:rFonts w:ascii="Arial" w:hAnsi="Arial" w:cs="Arial"/>
          <w:sz w:val="16"/>
          <w:szCs w:val="16"/>
        </w:rPr>
        <w:t xml:space="preserve"> 2005 (6) BCLR 613 (CAC)</w:t>
      </w:r>
    </w:p>
    <w:p w14:paraId="0142393F" w14:textId="77777777" w:rsidR="00B479ED" w:rsidRDefault="00B479ED" w:rsidP="00B479ED">
      <w:pPr>
        <w:shd w:val="clear" w:color="auto" w:fill="FFFFFF"/>
        <w:spacing w:after="0" w:line="240" w:lineRule="auto"/>
        <w:ind w:left="480"/>
        <w:rPr>
          <w:rFonts w:ascii="Arial" w:hAnsi="Arial" w:cs="Arial"/>
          <w:sz w:val="24"/>
          <w:szCs w:val="24"/>
        </w:rPr>
      </w:pPr>
    </w:p>
    <w:p w14:paraId="649AE413" w14:textId="77777777" w:rsidR="00B479ED" w:rsidRDefault="00B479ED">
      <w:pPr>
        <w:pStyle w:val="FootnoteText"/>
      </w:pPr>
    </w:p>
  </w:footnote>
  <w:footnote w:id="11">
    <w:p w14:paraId="252CA3F7" w14:textId="77777777" w:rsidR="00F96AEA" w:rsidRDefault="00F96AEA">
      <w:pPr>
        <w:pStyle w:val="FootnoteText"/>
      </w:pPr>
      <w:r>
        <w:rPr>
          <w:rStyle w:val="FootnoteReference"/>
        </w:rPr>
        <w:footnoteRef/>
      </w:r>
      <w:r>
        <w:t xml:space="preserve"> </w:t>
      </w:r>
      <w:proofErr w:type="spellStart"/>
      <w:r>
        <w:t>Pather</w:t>
      </w:r>
      <w:proofErr w:type="spellEnd"/>
      <w:r>
        <w:t xml:space="preserve"> And Another v </w:t>
      </w:r>
      <w:proofErr w:type="spellStart"/>
      <w:r>
        <w:t>Finacial</w:t>
      </w:r>
      <w:proofErr w:type="spellEnd"/>
      <w:r>
        <w:t xml:space="preserve"> Services Board </w:t>
      </w:r>
      <w:proofErr w:type="gramStart"/>
      <w:r>
        <w:t>And</w:t>
      </w:r>
      <w:proofErr w:type="gramEnd"/>
      <w:r>
        <w:t xml:space="preserve"> Others 2018 (1) SA 161 (SCA)</w:t>
      </w:r>
    </w:p>
  </w:footnote>
  <w:footnote w:id="12">
    <w:p w14:paraId="3C9B11B9" w14:textId="77777777" w:rsidR="00230F1C" w:rsidRDefault="00230F1C">
      <w:pPr>
        <w:pStyle w:val="FootnoteText"/>
      </w:pPr>
      <w:r>
        <w:rPr>
          <w:rStyle w:val="FootnoteReference"/>
        </w:rPr>
        <w:footnoteRef/>
      </w:r>
      <w:r>
        <w:t xml:space="preserve"> </w:t>
      </w:r>
      <w:proofErr w:type="spellStart"/>
      <w:r>
        <w:t>Pather</w:t>
      </w:r>
      <w:proofErr w:type="spellEnd"/>
      <w:r>
        <w:t xml:space="preserve"> page 179 par.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629810"/>
      <w:docPartObj>
        <w:docPartGallery w:val="Page Numbers (Top of Page)"/>
        <w:docPartUnique/>
      </w:docPartObj>
    </w:sdtPr>
    <w:sdtEndPr>
      <w:rPr>
        <w:noProof/>
      </w:rPr>
    </w:sdtEndPr>
    <w:sdtContent>
      <w:p w14:paraId="5233159B" w14:textId="77777777" w:rsidR="00533CFF" w:rsidRDefault="00533CFF">
        <w:pPr>
          <w:pStyle w:val="Header"/>
          <w:jc w:val="right"/>
        </w:pPr>
        <w:r>
          <w:fldChar w:fldCharType="begin"/>
        </w:r>
        <w:r>
          <w:instrText xml:space="preserve"> PAGE   \* MERGEFORMAT </w:instrText>
        </w:r>
        <w:r>
          <w:fldChar w:fldCharType="separate"/>
        </w:r>
        <w:r w:rsidR="000213C1">
          <w:rPr>
            <w:noProof/>
          </w:rPr>
          <w:t>13</w:t>
        </w:r>
        <w:r>
          <w:rPr>
            <w:noProof/>
          </w:rPr>
          <w:fldChar w:fldCharType="end"/>
        </w:r>
      </w:p>
    </w:sdtContent>
  </w:sdt>
  <w:p w14:paraId="0CD0B932" w14:textId="77777777" w:rsidR="00533CFF" w:rsidRDefault="0053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 w15:restartNumberingAfterBreak="0">
    <w:nsid w:val="132E7C3A"/>
    <w:multiLevelType w:val="multilevel"/>
    <w:tmpl w:val="26A4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E6669"/>
    <w:multiLevelType w:val="multilevel"/>
    <w:tmpl w:val="26A4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572040"/>
    <w:multiLevelType w:val="multilevel"/>
    <w:tmpl w:val="26A4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3B17DD"/>
    <w:multiLevelType w:val="multilevel"/>
    <w:tmpl w:val="26A4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startOverride w:val="222"/>
    </w:lvlOverride>
  </w:num>
  <w:num w:numId="3">
    <w:abstractNumId w:val="4"/>
  </w:num>
  <w:num w:numId="4">
    <w:abstractNumId w:val="2"/>
    <w:lvlOverride w:ilvl="0">
      <w:startOverride w:val="235"/>
    </w:lvlOverride>
  </w:num>
  <w:num w:numId="5">
    <w:abstractNumId w:val="1"/>
    <w:lvlOverride w:ilvl="0">
      <w:startOverride w:val="2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628645-4FCF-4538-814F-48E72F44019A}"/>
    <w:docVar w:name="dgnword-eventsink" w:val="277378296"/>
  </w:docVars>
  <w:rsids>
    <w:rsidRoot w:val="00C61DF1"/>
    <w:rsid w:val="000025BD"/>
    <w:rsid w:val="00003E2F"/>
    <w:rsid w:val="000124EF"/>
    <w:rsid w:val="0001472D"/>
    <w:rsid w:val="000160DF"/>
    <w:rsid w:val="00016365"/>
    <w:rsid w:val="000168D9"/>
    <w:rsid w:val="000176DA"/>
    <w:rsid w:val="00020387"/>
    <w:rsid w:val="000213C1"/>
    <w:rsid w:val="00044D5D"/>
    <w:rsid w:val="00050978"/>
    <w:rsid w:val="00052114"/>
    <w:rsid w:val="00057432"/>
    <w:rsid w:val="00066021"/>
    <w:rsid w:val="000673E9"/>
    <w:rsid w:val="00070794"/>
    <w:rsid w:val="0007199B"/>
    <w:rsid w:val="00083A89"/>
    <w:rsid w:val="00097CD2"/>
    <w:rsid w:val="000B3297"/>
    <w:rsid w:val="000B4408"/>
    <w:rsid w:val="000B749D"/>
    <w:rsid w:val="000C1787"/>
    <w:rsid w:val="000E0C2B"/>
    <w:rsid w:val="000F364C"/>
    <w:rsid w:val="00101DEC"/>
    <w:rsid w:val="00102AB6"/>
    <w:rsid w:val="0012219D"/>
    <w:rsid w:val="0012275A"/>
    <w:rsid w:val="00123105"/>
    <w:rsid w:val="00123AC7"/>
    <w:rsid w:val="00141EC9"/>
    <w:rsid w:val="001505AA"/>
    <w:rsid w:val="00153576"/>
    <w:rsid w:val="00161861"/>
    <w:rsid w:val="0016252A"/>
    <w:rsid w:val="001626D1"/>
    <w:rsid w:val="001671AA"/>
    <w:rsid w:val="00187091"/>
    <w:rsid w:val="00187BD0"/>
    <w:rsid w:val="001913D9"/>
    <w:rsid w:val="00196A3F"/>
    <w:rsid w:val="001A0FA4"/>
    <w:rsid w:val="001A4F6E"/>
    <w:rsid w:val="001B1C7C"/>
    <w:rsid w:val="001B5A59"/>
    <w:rsid w:val="001B6204"/>
    <w:rsid w:val="001C4A35"/>
    <w:rsid w:val="001D291B"/>
    <w:rsid w:val="001E284D"/>
    <w:rsid w:val="001E2B48"/>
    <w:rsid w:val="001E6CEE"/>
    <w:rsid w:val="001F38E1"/>
    <w:rsid w:val="001F4806"/>
    <w:rsid w:val="00207DC3"/>
    <w:rsid w:val="00217668"/>
    <w:rsid w:val="00230F1C"/>
    <w:rsid w:val="002351DB"/>
    <w:rsid w:val="00235487"/>
    <w:rsid w:val="0023770B"/>
    <w:rsid w:val="0025108E"/>
    <w:rsid w:val="00252529"/>
    <w:rsid w:val="002601FC"/>
    <w:rsid w:val="002651AE"/>
    <w:rsid w:val="00270545"/>
    <w:rsid w:val="00271F55"/>
    <w:rsid w:val="0027334D"/>
    <w:rsid w:val="00276106"/>
    <w:rsid w:val="00276ADF"/>
    <w:rsid w:val="00280906"/>
    <w:rsid w:val="00282799"/>
    <w:rsid w:val="002A10F9"/>
    <w:rsid w:val="002A171F"/>
    <w:rsid w:val="002B0C12"/>
    <w:rsid w:val="002B224E"/>
    <w:rsid w:val="002B6FBB"/>
    <w:rsid w:val="002D65CF"/>
    <w:rsid w:val="002E7133"/>
    <w:rsid w:val="002F52BD"/>
    <w:rsid w:val="00301212"/>
    <w:rsid w:val="00302938"/>
    <w:rsid w:val="00305A6A"/>
    <w:rsid w:val="00316502"/>
    <w:rsid w:val="0032204A"/>
    <w:rsid w:val="0032471B"/>
    <w:rsid w:val="00340616"/>
    <w:rsid w:val="00343208"/>
    <w:rsid w:val="00343F62"/>
    <w:rsid w:val="00345EDC"/>
    <w:rsid w:val="00347A01"/>
    <w:rsid w:val="003574EB"/>
    <w:rsid w:val="00362122"/>
    <w:rsid w:val="00386E8D"/>
    <w:rsid w:val="0039206B"/>
    <w:rsid w:val="003B73BD"/>
    <w:rsid w:val="003C1ED2"/>
    <w:rsid w:val="003C25EF"/>
    <w:rsid w:val="003D1E6A"/>
    <w:rsid w:val="003D7F25"/>
    <w:rsid w:val="003F1413"/>
    <w:rsid w:val="003F1542"/>
    <w:rsid w:val="0040643E"/>
    <w:rsid w:val="00411FE2"/>
    <w:rsid w:val="00414E96"/>
    <w:rsid w:val="00417CD8"/>
    <w:rsid w:val="004263E4"/>
    <w:rsid w:val="00426AE3"/>
    <w:rsid w:val="00447101"/>
    <w:rsid w:val="004522C8"/>
    <w:rsid w:val="00454B2B"/>
    <w:rsid w:val="00462023"/>
    <w:rsid w:val="004624D2"/>
    <w:rsid w:val="00471E65"/>
    <w:rsid w:val="00492471"/>
    <w:rsid w:val="00494E32"/>
    <w:rsid w:val="00495678"/>
    <w:rsid w:val="00496F66"/>
    <w:rsid w:val="004A346D"/>
    <w:rsid w:val="004B23CF"/>
    <w:rsid w:val="004B6A86"/>
    <w:rsid w:val="004B71E7"/>
    <w:rsid w:val="004B7DD7"/>
    <w:rsid w:val="004C204C"/>
    <w:rsid w:val="004D5731"/>
    <w:rsid w:val="004E25B5"/>
    <w:rsid w:val="004E31E4"/>
    <w:rsid w:val="004E37CA"/>
    <w:rsid w:val="004F0D36"/>
    <w:rsid w:val="004F363A"/>
    <w:rsid w:val="004F57CC"/>
    <w:rsid w:val="004F7DAB"/>
    <w:rsid w:val="00533CFF"/>
    <w:rsid w:val="00546C2B"/>
    <w:rsid w:val="00551618"/>
    <w:rsid w:val="005556B6"/>
    <w:rsid w:val="00555FDF"/>
    <w:rsid w:val="005655A8"/>
    <w:rsid w:val="005664CD"/>
    <w:rsid w:val="00577717"/>
    <w:rsid w:val="00591434"/>
    <w:rsid w:val="005A73DA"/>
    <w:rsid w:val="005B01B0"/>
    <w:rsid w:val="005C11CE"/>
    <w:rsid w:val="005C4985"/>
    <w:rsid w:val="005D135F"/>
    <w:rsid w:val="005E19FE"/>
    <w:rsid w:val="005E61AC"/>
    <w:rsid w:val="00624A72"/>
    <w:rsid w:val="0064001D"/>
    <w:rsid w:val="006435A8"/>
    <w:rsid w:val="00654050"/>
    <w:rsid w:val="00673BD3"/>
    <w:rsid w:val="006B2C68"/>
    <w:rsid w:val="006C05E2"/>
    <w:rsid w:val="006C4B16"/>
    <w:rsid w:val="006C5B03"/>
    <w:rsid w:val="006C62B5"/>
    <w:rsid w:val="006D49B2"/>
    <w:rsid w:val="006D784E"/>
    <w:rsid w:val="0070109A"/>
    <w:rsid w:val="007056BE"/>
    <w:rsid w:val="0070630E"/>
    <w:rsid w:val="00717CA7"/>
    <w:rsid w:val="00731F99"/>
    <w:rsid w:val="00737F55"/>
    <w:rsid w:val="00742FA1"/>
    <w:rsid w:val="0074421C"/>
    <w:rsid w:val="00746C55"/>
    <w:rsid w:val="007601E6"/>
    <w:rsid w:val="00760A21"/>
    <w:rsid w:val="00772F95"/>
    <w:rsid w:val="00774564"/>
    <w:rsid w:val="0077767C"/>
    <w:rsid w:val="007849EE"/>
    <w:rsid w:val="00785153"/>
    <w:rsid w:val="00785C93"/>
    <w:rsid w:val="007919F0"/>
    <w:rsid w:val="007A7AE3"/>
    <w:rsid w:val="007B214A"/>
    <w:rsid w:val="007B351A"/>
    <w:rsid w:val="007C0856"/>
    <w:rsid w:val="007C5F91"/>
    <w:rsid w:val="007D162D"/>
    <w:rsid w:val="007D2B5F"/>
    <w:rsid w:val="007D6F3D"/>
    <w:rsid w:val="007F20F1"/>
    <w:rsid w:val="007F6227"/>
    <w:rsid w:val="00804A2F"/>
    <w:rsid w:val="00824ABA"/>
    <w:rsid w:val="00827BD1"/>
    <w:rsid w:val="00830E88"/>
    <w:rsid w:val="0083249E"/>
    <w:rsid w:val="008433DC"/>
    <w:rsid w:val="00855243"/>
    <w:rsid w:val="008601D9"/>
    <w:rsid w:val="0088098E"/>
    <w:rsid w:val="008904E7"/>
    <w:rsid w:val="00895342"/>
    <w:rsid w:val="00895729"/>
    <w:rsid w:val="008A06EA"/>
    <w:rsid w:val="008A6B03"/>
    <w:rsid w:val="008A77D4"/>
    <w:rsid w:val="008B67BE"/>
    <w:rsid w:val="008C491A"/>
    <w:rsid w:val="008C66E9"/>
    <w:rsid w:val="008C7F82"/>
    <w:rsid w:val="008E5224"/>
    <w:rsid w:val="008F7E51"/>
    <w:rsid w:val="009011B8"/>
    <w:rsid w:val="009217B9"/>
    <w:rsid w:val="00927BD7"/>
    <w:rsid w:val="00940006"/>
    <w:rsid w:val="00942A74"/>
    <w:rsid w:val="009557E3"/>
    <w:rsid w:val="009652BC"/>
    <w:rsid w:val="00970B0F"/>
    <w:rsid w:val="00974854"/>
    <w:rsid w:val="009756BD"/>
    <w:rsid w:val="00990950"/>
    <w:rsid w:val="009909D3"/>
    <w:rsid w:val="009B0FED"/>
    <w:rsid w:val="009B44AC"/>
    <w:rsid w:val="009D641A"/>
    <w:rsid w:val="009D76CC"/>
    <w:rsid w:val="009E05EC"/>
    <w:rsid w:val="009E23B1"/>
    <w:rsid w:val="009F2E02"/>
    <w:rsid w:val="00A00903"/>
    <w:rsid w:val="00A01766"/>
    <w:rsid w:val="00A12D19"/>
    <w:rsid w:val="00A17B2E"/>
    <w:rsid w:val="00A24713"/>
    <w:rsid w:val="00A25C17"/>
    <w:rsid w:val="00A36180"/>
    <w:rsid w:val="00A416F0"/>
    <w:rsid w:val="00A453BF"/>
    <w:rsid w:val="00A45A48"/>
    <w:rsid w:val="00A45EC3"/>
    <w:rsid w:val="00A460E2"/>
    <w:rsid w:val="00A50FA7"/>
    <w:rsid w:val="00A53010"/>
    <w:rsid w:val="00A66EF9"/>
    <w:rsid w:val="00A67EAA"/>
    <w:rsid w:val="00A700A5"/>
    <w:rsid w:val="00A7205F"/>
    <w:rsid w:val="00A72FAE"/>
    <w:rsid w:val="00A747CE"/>
    <w:rsid w:val="00A86130"/>
    <w:rsid w:val="00A8643E"/>
    <w:rsid w:val="00A875F9"/>
    <w:rsid w:val="00A91982"/>
    <w:rsid w:val="00A974CF"/>
    <w:rsid w:val="00AA106B"/>
    <w:rsid w:val="00AE339E"/>
    <w:rsid w:val="00AF21CB"/>
    <w:rsid w:val="00B131FE"/>
    <w:rsid w:val="00B14D8D"/>
    <w:rsid w:val="00B22807"/>
    <w:rsid w:val="00B32CBC"/>
    <w:rsid w:val="00B35897"/>
    <w:rsid w:val="00B40BAB"/>
    <w:rsid w:val="00B479ED"/>
    <w:rsid w:val="00B50273"/>
    <w:rsid w:val="00B530EE"/>
    <w:rsid w:val="00B57282"/>
    <w:rsid w:val="00B627B4"/>
    <w:rsid w:val="00B75A29"/>
    <w:rsid w:val="00B81270"/>
    <w:rsid w:val="00B8354A"/>
    <w:rsid w:val="00B90BAA"/>
    <w:rsid w:val="00B92962"/>
    <w:rsid w:val="00BA4E45"/>
    <w:rsid w:val="00BB1C1A"/>
    <w:rsid w:val="00BB4952"/>
    <w:rsid w:val="00BC077A"/>
    <w:rsid w:val="00BC0C88"/>
    <w:rsid w:val="00BC0E0D"/>
    <w:rsid w:val="00BD1CE7"/>
    <w:rsid w:val="00BD28B1"/>
    <w:rsid w:val="00BE469E"/>
    <w:rsid w:val="00BE67FC"/>
    <w:rsid w:val="00BF48A7"/>
    <w:rsid w:val="00BF52A9"/>
    <w:rsid w:val="00C01150"/>
    <w:rsid w:val="00C1398C"/>
    <w:rsid w:val="00C152C3"/>
    <w:rsid w:val="00C163BD"/>
    <w:rsid w:val="00C25AE7"/>
    <w:rsid w:val="00C334C6"/>
    <w:rsid w:val="00C351C2"/>
    <w:rsid w:val="00C369A1"/>
    <w:rsid w:val="00C56BD4"/>
    <w:rsid w:val="00C61DF1"/>
    <w:rsid w:val="00C62F99"/>
    <w:rsid w:val="00C64D95"/>
    <w:rsid w:val="00C7608B"/>
    <w:rsid w:val="00C7677A"/>
    <w:rsid w:val="00C77546"/>
    <w:rsid w:val="00C857C3"/>
    <w:rsid w:val="00C90886"/>
    <w:rsid w:val="00CA182C"/>
    <w:rsid w:val="00CA608D"/>
    <w:rsid w:val="00CA7ED2"/>
    <w:rsid w:val="00CB2F8E"/>
    <w:rsid w:val="00CB756B"/>
    <w:rsid w:val="00CD0423"/>
    <w:rsid w:val="00CD3303"/>
    <w:rsid w:val="00CE2E8C"/>
    <w:rsid w:val="00CE4DAF"/>
    <w:rsid w:val="00D245ED"/>
    <w:rsid w:val="00D30D55"/>
    <w:rsid w:val="00D34925"/>
    <w:rsid w:val="00D41D43"/>
    <w:rsid w:val="00D452BB"/>
    <w:rsid w:val="00D52BD0"/>
    <w:rsid w:val="00D560F3"/>
    <w:rsid w:val="00D705F7"/>
    <w:rsid w:val="00D70650"/>
    <w:rsid w:val="00D741A2"/>
    <w:rsid w:val="00D76901"/>
    <w:rsid w:val="00D86ABB"/>
    <w:rsid w:val="00D97E59"/>
    <w:rsid w:val="00DA34CC"/>
    <w:rsid w:val="00DA7380"/>
    <w:rsid w:val="00DB35E9"/>
    <w:rsid w:val="00DB39D5"/>
    <w:rsid w:val="00DB3C6B"/>
    <w:rsid w:val="00DC544A"/>
    <w:rsid w:val="00DC6F22"/>
    <w:rsid w:val="00DC741A"/>
    <w:rsid w:val="00DD3FBF"/>
    <w:rsid w:val="00DE56E9"/>
    <w:rsid w:val="00DF3CC0"/>
    <w:rsid w:val="00E10218"/>
    <w:rsid w:val="00E123E3"/>
    <w:rsid w:val="00E16E35"/>
    <w:rsid w:val="00E2090B"/>
    <w:rsid w:val="00E23234"/>
    <w:rsid w:val="00E25E8A"/>
    <w:rsid w:val="00E26655"/>
    <w:rsid w:val="00E361BA"/>
    <w:rsid w:val="00E414F5"/>
    <w:rsid w:val="00E45707"/>
    <w:rsid w:val="00E55735"/>
    <w:rsid w:val="00E6130F"/>
    <w:rsid w:val="00E64D45"/>
    <w:rsid w:val="00E651C0"/>
    <w:rsid w:val="00E6523A"/>
    <w:rsid w:val="00E94FAD"/>
    <w:rsid w:val="00EA328B"/>
    <w:rsid w:val="00EA5091"/>
    <w:rsid w:val="00EE3940"/>
    <w:rsid w:val="00EE4907"/>
    <w:rsid w:val="00EF5C62"/>
    <w:rsid w:val="00EF5F87"/>
    <w:rsid w:val="00F15E79"/>
    <w:rsid w:val="00F20089"/>
    <w:rsid w:val="00F3346B"/>
    <w:rsid w:val="00F34ED5"/>
    <w:rsid w:val="00F37735"/>
    <w:rsid w:val="00F423EC"/>
    <w:rsid w:val="00F44D78"/>
    <w:rsid w:val="00F4504F"/>
    <w:rsid w:val="00F47C94"/>
    <w:rsid w:val="00F52CAA"/>
    <w:rsid w:val="00F54231"/>
    <w:rsid w:val="00F55383"/>
    <w:rsid w:val="00F60D56"/>
    <w:rsid w:val="00F81293"/>
    <w:rsid w:val="00F92AE9"/>
    <w:rsid w:val="00F96AEA"/>
    <w:rsid w:val="00F97914"/>
    <w:rsid w:val="00FA2493"/>
    <w:rsid w:val="00FA27DC"/>
    <w:rsid w:val="00FA33DD"/>
    <w:rsid w:val="00FB041A"/>
    <w:rsid w:val="00FC1746"/>
    <w:rsid w:val="00FC5552"/>
    <w:rsid w:val="00FD2FFC"/>
    <w:rsid w:val="00FD4A47"/>
    <w:rsid w:val="00FE49CF"/>
    <w:rsid w:val="00FE56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48CABE"/>
  <w15:chartTrackingRefBased/>
  <w15:docId w15:val="{8189BD17-F4A7-4A66-86D1-AF21551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C90886"/>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EndnoteText">
    <w:name w:val="endnote text"/>
    <w:basedOn w:val="Normal"/>
    <w:link w:val="EndnoteTextChar"/>
    <w:uiPriority w:val="99"/>
    <w:semiHidden/>
    <w:unhideWhenUsed/>
    <w:rsid w:val="00824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ABA"/>
    <w:rPr>
      <w:sz w:val="20"/>
      <w:szCs w:val="20"/>
    </w:rPr>
  </w:style>
  <w:style w:type="character" w:styleId="EndnoteReference">
    <w:name w:val="endnote reference"/>
    <w:basedOn w:val="DefaultParagraphFont"/>
    <w:uiPriority w:val="99"/>
    <w:semiHidden/>
    <w:unhideWhenUsed/>
    <w:rsid w:val="00824ABA"/>
    <w:rPr>
      <w:vertAlign w:val="superscript"/>
    </w:rPr>
  </w:style>
  <w:style w:type="paragraph" w:styleId="BalloonText">
    <w:name w:val="Balloon Text"/>
    <w:basedOn w:val="Normal"/>
    <w:link w:val="BalloonTextChar"/>
    <w:uiPriority w:val="99"/>
    <w:semiHidden/>
    <w:unhideWhenUsed/>
    <w:rsid w:val="00FE5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3833">
      <w:bodyDiv w:val="1"/>
      <w:marLeft w:val="0"/>
      <w:marRight w:val="0"/>
      <w:marTop w:val="0"/>
      <w:marBottom w:val="0"/>
      <w:divBdr>
        <w:top w:val="none" w:sz="0" w:space="0" w:color="auto"/>
        <w:left w:val="none" w:sz="0" w:space="0" w:color="auto"/>
        <w:bottom w:val="none" w:sz="0" w:space="0" w:color="auto"/>
        <w:right w:val="none" w:sz="0" w:space="0" w:color="auto"/>
      </w:divBdr>
    </w:div>
    <w:div w:id="284888708">
      <w:bodyDiv w:val="1"/>
      <w:marLeft w:val="0"/>
      <w:marRight w:val="0"/>
      <w:marTop w:val="0"/>
      <w:marBottom w:val="0"/>
      <w:divBdr>
        <w:top w:val="none" w:sz="0" w:space="0" w:color="auto"/>
        <w:left w:val="none" w:sz="0" w:space="0" w:color="auto"/>
        <w:bottom w:val="none" w:sz="0" w:space="0" w:color="auto"/>
        <w:right w:val="none" w:sz="0" w:space="0" w:color="auto"/>
      </w:divBdr>
    </w:div>
    <w:div w:id="623000619">
      <w:bodyDiv w:val="1"/>
      <w:marLeft w:val="0"/>
      <w:marRight w:val="0"/>
      <w:marTop w:val="0"/>
      <w:marBottom w:val="0"/>
      <w:divBdr>
        <w:top w:val="none" w:sz="0" w:space="0" w:color="auto"/>
        <w:left w:val="none" w:sz="0" w:space="0" w:color="auto"/>
        <w:bottom w:val="none" w:sz="0" w:space="0" w:color="auto"/>
        <w:right w:val="none" w:sz="0" w:space="0" w:color="auto"/>
      </w:divBdr>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659074694">
      <w:bodyDiv w:val="1"/>
      <w:marLeft w:val="0"/>
      <w:marRight w:val="0"/>
      <w:marTop w:val="0"/>
      <w:marBottom w:val="0"/>
      <w:divBdr>
        <w:top w:val="none" w:sz="0" w:space="0" w:color="auto"/>
        <w:left w:val="none" w:sz="0" w:space="0" w:color="auto"/>
        <w:bottom w:val="none" w:sz="0" w:space="0" w:color="auto"/>
        <w:right w:val="none" w:sz="0" w:space="0" w:color="auto"/>
      </w:divBdr>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11BC-7030-42E5-9A94-543A779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Judge-Nobolao Mbhele</cp:lastModifiedBy>
  <cp:revision>2</cp:revision>
  <cp:lastPrinted>2022-11-22T10:12:00Z</cp:lastPrinted>
  <dcterms:created xsi:type="dcterms:W3CDTF">2022-12-06T12:16:00Z</dcterms:created>
  <dcterms:modified xsi:type="dcterms:W3CDTF">2022-12-06T12:16:00Z</dcterms:modified>
</cp:coreProperties>
</file>