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3021" w14:textId="7EF27219" w:rsidR="005155A1" w:rsidRDefault="00385D60" w:rsidP="00F667E3">
      <w:pPr>
        <w:rPr>
          <w:rFonts w:ascii="Arial" w:hAnsi="Arial" w:cs="Arial"/>
          <w:b/>
          <w:u w:val="single"/>
        </w:rPr>
      </w:pPr>
      <w:r w:rsidRPr="000531EC">
        <w:rPr>
          <w:b/>
          <w:bCs/>
          <w:noProof/>
        </w:rPr>
        <w:drawing>
          <wp:anchor distT="0" distB="0" distL="114300" distR="114300" simplePos="0" relativeHeight="251661312" behindDoc="1" locked="0" layoutInCell="1" allowOverlap="1" wp14:anchorId="36102371" wp14:editId="11CA73CD">
            <wp:simplePos x="0" y="0"/>
            <wp:positionH relativeFrom="column">
              <wp:posOffset>640080</wp:posOffset>
            </wp:positionH>
            <wp:positionV relativeFrom="paragraph">
              <wp:posOffset>0</wp:posOffset>
            </wp:positionV>
            <wp:extent cx="4610100" cy="219075"/>
            <wp:effectExtent l="0" t="0" r="0" b="9525"/>
            <wp:wrapThrough wrapText="bothSides">
              <wp:wrapPolygon edited="0">
                <wp:start x="0" y="0"/>
                <wp:lineTo x="0" y="20661"/>
                <wp:lineTo x="21511" y="20661"/>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1D23BC10" w14:textId="77777777" w:rsidR="00385D60" w:rsidRPr="00B056BB" w:rsidRDefault="00385D60" w:rsidP="00F667E3">
      <w:pPr>
        <w:rPr>
          <w:rFonts w:ascii="Arial" w:hAnsi="Arial" w:cs="Arial"/>
          <w:b/>
          <w:u w:val="single"/>
        </w:rPr>
      </w:pPr>
    </w:p>
    <w:p w14:paraId="76BD396D" w14:textId="77777777" w:rsidR="005155A1" w:rsidRPr="00B056BB" w:rsidRDefault="005155A1" w:rsidP="005155A1">
      <w:pPr>
        <w:jc w:val="center"/>
        <w:rPr>
          <w:rFonts w:ascii="Arial" w:hAnsi="Arial" w:cs="Arial"/>
          <w:b/>
          <w:u w:val="single"/>
        </w:rPr>
      </w:pPr>
    </w:p>
    <w:p w14:paraId="545109D3" w14:textId="77777777" w:rsidR="005155A1" w:rsidRPr="00B056BB" w:rsidRDefault="00986768" w:rsidP="005155A1">
      <w:pPr>
        <w:jc w:val="center"/>
        <w:rPr>
          <w:rFonts w:ascii="Arial" w:hAnsi="Arial" w:cs="Arial"/>
          <w:b/>
          <w:u w:val="single"/>
        </w:rPr>
      </w:pPr>
      <w:r w:rsidRPr="00B056BB">
        <w:rPr>
          <w:noProof/>
          <w:lang w:eastAsia="en-ZA"/>
        </w:rPr>
        <w:drawing>
          <wp:anchor distT="0" distB="0" distL="114300" distR="114300" simplePos="0" relativeHeight="251659264" behindDoc="1" locked="0" layoutInCell="1" allowOverlap="1" wp14:anchorId="259AAD87" wp14:editId="39FFD1A2">
            <wp:simplePos x="0" y="0"/>
            <wp:positionH relativeFrom="column">
              <wp:posOffset>2333625</wp:posOffset>
            </wp:positionH>
            <wp:positionV relativeFrom="paragraph">
              <wp:posOffset>-476250</wp:posOffset>
            </wp:positionV>
            <wp:extent cx="1190625" cy="1162862"/>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14:paraId="43F2CDFA" w14:textId="77777777" w:rsidR="005155A1" w:rsidRPr="00B056BB" w:rsidRDefault="005155A1" w:rsidP="005155A1">
      <w:pPr>
        <w:jc w:val="center"/>
        <w:rPr>
          <w:rFonts w:ascii="Arial" w:hAnsi="Arial" w:cs="Arial"/>
          <w:b/>
          <w:u w:val="single"/>
        </w:rPr>
      </w:pPr>
    </w:p>
    <w:p w14:paraId="54D4BFFE" w14:textId="77777777" w:rsidR="005155A1" w:rsidRPr="00B056BB" w:rsidRDefault="005155A1" w:rsidP="005155A1">
      <w:pPr>
        <w:jc w:val="center"/>
        <w:rPr>
          <w:rFonts w:ascii="Arial" w:hAnsi="Arial" w:cs="Arial"/>
          <w:b/>
          <w:u w:val="single"/>
        </w:rPr>
      </w:pPr>
    </w:p>
    <w:p w14:paraId="00D65AC1" w14:textId="77777777" w:rsidR="005155A1" w:rsidRPr="00B056BB" w:rsidRDefault="005155A1" w:rsidP="005155A1">
      <w:pPr>
        <w:jc w:val="center"/>
        <w:rPr>
          <w:rFonts w:ascii="Arial" w:hAnsi="Arial" w:cs="Arial"/>
          <w:b/>
          <w:sz w:val="24"/>
          <w:szCs w:val="24"/>
          <w:u w:val="single"/>
        </w:rPr>
      </w:pPr>
      <w:r w:rsidRPr="00B056BB">
        <w:rPr>
          <w:rFonts w:ascii="Arial" w:hAnsi="Arial" w:cs="Arial"/>
          <w:b/>
          <w:sz w:val="24"/>
          <w:szCs w:val="24"/>
          <w:u w:val="single"/>
        </w:rPr>
        <w:t>IN THE HIGH COURT OF SOUTH AFRICA,</w:t>
      </w:r>
    </w:p>
    <w:p w14:paraId="3A644BAC" w14:textId="77777777" w:rsidR="005155A1" w:rsidRPr="00B056BB" w:rsidRDefault="005155A1" w:rsidP="005155A1">
      <w:pPr>
        <w:jc w:val="center"/>
        <w:rPr>
          <w:rFonts w:ascii="Arial" w:hAnsi="Arial" w:cs="Arial"/>
          <w:b/>
          <w:sz w:val="24"/>
          <w:szCs w:val="24"/>
          <w:u w:val="single"/>
        </w:rPr>
      </w:pPr>
      <w:r w:rsidRPr="00B056BB">
        <w:rPr>
          <w:rFonts w:ascii="Arial" w:hAnsi="Arial" w:cs="Arial"/>
          <w:b/>
          <w:sz w:val="24"/>
          <w:szCs w:val="24"/>
          <w:u w:val="single"/>
        </w:rPr>
        <w:t>FREE STATE DIVISION, BLOEMFONTEIN</w:t>
      </w:r>
    </w:p>
    <w:p w14:paraId="34B7C9BF" w14:textId="77777777" w:rsidR="005155A1" w:rsidRPr="00B056BB" w:rsidRDefault="005155A1" w:rsidP="005155A1">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829"/>
      </w:tblGrid>
      <w:tr w:rsidR="005155A1" w:rsidRPr="00B056BB" w14:paraId="04D5AB37" w14:textId="77777777" w:rsidTr="000A75AD">
        <w:trPr>
          <w:trHeight w:val="698"/>
        </w:trPr>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3758A" w14:textId="77777777" w:rsidR="005155A1" w:rsidRPr="00B056BB" w:rsidRDefault="005155A1" w:rsidP="00362A10">
            <w:pPr>
              <w:spacing w:after="0"/>
              <w:rPr>
                <w:rFonts w:ascii="Arial" w:eastAsia="Times New Roman" w:hAnsi="Arial" w:cs="Arial"/>
                <w:b/>
                <w:sz w:val="16"/>
                <w:szCs w:val="16"/>
                <w:lang w:eastAsia="en-GB"/>
              </w:rPr>
            </w:pPr>
            <w:r w:rsidRPr="00B056BB">
              <w:rPr>
                <w:rFonts w:ascii="Arial" w:hAnsi="Arial" w:cs="Arial"/>
                <w:b/>
                <w:sz w:val="16"/>
                <w:szCs w:val="16"/>
              </w:rPr>
              <w:t>Reportable:                              YES/NO</w:t>
            </w:r>
          </w:p>
          <w:p w14:paraId="2A80D7BF" w14:textId="77777777" w:rsidR="005155A1" w:rsidRPr="00B056BB" w:rsidRDefault="005155A1" w:rsidP="00362A10">
            <w:pPr>
              <w:spacing w:after="0"/>
              <w:rPr>
                <w:rFonts w:ascii="Arial" w:hAnsi="Arial" w:cs="Arial"/>
                <w:b/>
                <w:sz w:val="16"/>
                <w:szCs w:val="16"/>
              </w:rPr>
            </w:pPr>
            <w:r w:rsidRPr="00B056BB">
              <w:rPr>
                <w:rFonts w:ascii="Arial" w:hAnsi="Arial" w:cs="Arial"/>
                <w:b/>
                <w:sz w:val="16"/>
                <w:szCs w:val="16"/>
              </w:rPr>
              <w:t>Of Interest to other Judges:   YES/NO</w:t>
            </w:r>
          </w:p>
          <w:p w14:paraId="2BE17F19" w14:textId="77777777" w:rsidR="005155A1" w:rsidRPr="00B056BB" w:rsidRDefault="005155A1" w:rsidP="00362A10">
            <w:pPr>
              <w:spacing w:after="0"/>
              <w:rPr>
                <w:rFonts w:ascii="Arial" w:eastAsia="Times New Roman" w:hAnsi="Arial" w:cs="Arial"/>
                <w:b/>
                <w:sz w:val="16"/>
                <w:szCs w:val="16"/>
                <w:u w:val="single"/>
                <w:lang w:eastAsia="en-GB"/>
              </w:rPr>
            </w:pPr>
            <w:r w:rsidRPr="00B056BB">
              <w:rPr>
                <w:rFonts w:ascii="Arial" w:hAnsi="Arial" w:cs="Arial"/>
                <w:b/>
                <w:sz w:val="16"/>
                <w:szCs w:val="16"/>
              </w:rPr>
              <w:t>Circulate to Magistrates:        YES/NO</w:t>
            </w:r>
          </w:p>
        </w:tc>
      </w:tr>
    </w:tbl>
    <w:p w14:paraId="14161B40" w14:textId="77777777" w:rsidR="0024500F" w:rsidRPr="00B056BB" w:rsidRDefault="005155A1" w:rsidP="007018AF">
      <w:pPr>
        <w:jc w:val="both"/>
        <w:rPr>
          <w:rFonts w:ascii="Arial" w:eastAsia="Times New Roman" w:hAnsi="Arial" w:cs="Arial"/>
          <w:b/>
          <w:sz w:val="28"/>
          <w:szCs w:val="28"/>
          <w:lang w:eastAsia="en-GB"/>
        </w:rPr>
      </w:pPr>
      <w:r w:rsidRPr="00B056BB">
        <w:rPr>
          <w:rFonts w:ascii="Arial" w:hAnsi="Arial" w:cs="Arial"/>
          <w:b/>
          <w:sz w:val="28"/>
          <w:szCs w:val="28"/>
        </w:rPr>
        <w:tab/>
      </w:r>
      <w:r w:rsidRPr="00B056BB">
        <w:rPr>
          <w:rFonts w:ascii="Arial" w:hAnsi="Arial" w:cs="Arial"/>
          <w:b/>
          <w:sz w:val="28"/>
          <w:szCs w:val="28"/>
        </w:rPr>
        <w:tab/>
      </w:r>
      <w:r w:rsidRPr="00B056BB">
        <w:rPr>
          <w:rFonts w:ascii="Arial" w:hAnsi="Arial" w:cs="Arial"/>
          <w:b/>
          <w:sz w:val="28"/>
          <w:szCs w:val="28"/>
        </w:rPr>
        <w:tab/>
      </w:r>
      <w:r w:rsidRPr="00B056BB">
        <w:rPr>
          <w:rFonts w:ascii="Arial" w:hAnsi="Arial" w:cs="Arial"/>
          <w:b/>
          <w:sz w:val="28"/>
          <w:szCs w:val="28"/>
        </w:rPr>
        <w:tab/>
      </w:r>
      <w:r w:rsidRPr="00B056BB">
        <w:rPr>
          <w:rFonts w:ascii="Arial" w:hAnsi="Arial" w:cs="Arial"/>
          <w:b/>
          <w:sz w:val="28"/>
          <w:szCs w:val="28"/>
        </w:rPr>
        <w:tab/>
      </w:r>
    </w:p>
    <w:p w14:paraId="2F20178E" w14:textId="77777777" w:rsidR="0024500F" w:rsidRPr="00B056BB" w:rsidRDefault="00EC14EC" w:rsidP="000F74BE">
      <w:pPr>
        <w:spacing w:after="0" w:line="240" w:lineRule="auto"/>
        <w:jc w:val="right"/>
        <w:rPr>
          <w:rFonts w:ascii="Arial" w:hAnsi="Arial" w:cs="Arial"/>
          <w:sz w:val="24"/>
          <w:szCs w:val="24"/>
        </w:rPr>
      </w:pPr>
      <w:r w:rsidRPr="00B056BB">
        <w:rPr>
          <w:rFonts w:ascii="Arial" w:hAnsi="Arial" w:cs="Arial"/>
          <w:sz w:val="24"/>
          <w:szCs w:val="24"/>
        </w:rPr>
        <w:t xml:space="preserve">Case </w:t>
      </w:r>
      <w:r w:rsidR="0024500F" w:rsidRPr="00B056BB">
        <w:rPr>
          <w:rFonts w:ascii="Arial" w:hAnsi="Arial" w:cs="Arial"/>
          <w:sz w:val="24"/>
          <w:szCs w:val="24"/>
        </w:rPr>
        <w:t xml:space="preserve">number:   </w:t>
      </w:r>
      <w:r w:rsidR="004474C6" w:rsidRPr="00B056BB">
        <w:rPr>
          <w:rFonts w:ascii="Arial" w:eastAsia="Times New Roman" w:hAnsi="Arial" w:cs="Arial"/>
          <w:sz w:val="24"/>
          <w:szCs w:val="24"/>
          <w:lang w:eastAsia="en-GB"/>
        </w:rPr>
        <w:t>5380/2022</w:t>
      </w:r>
      <w:r w:rsidR="003F5658" w:rsidRPr="00B056BB">
        <w:rPr>
          <w:rFonts w:ascii="Arial" w:eastAsia="Times New Roman" w:hAnsi="Arial" w:cs="Arial"/>
          <w:b/>
          <w:sz w:val="24"/>
          <w:szCs w:val="24"/>
          <w:lang w:eastAsia="en-GB"/>
        </w:rPr>
        <w:t xml:space="preserve">   </w:t>
      </w:r>
    </w:p>
    <w:p w14:paraId="7D3469FD" w14:textId="77777777" w:rsidR="001D52C9" w:rsidRPr="00B056BB" w:rsidRDefault="001D52C9" w:rsidP="00BE43D0">
      <w:pPr>
        <w:spacing w:after="0" w:line="240" w:lineRule="auto"/>
        <w:jc w:val="both"/>
        <w:rPr>
          <w:rFonts w:ascii="Arial" w:hAnsi="Arial" w:cs="Arial"/>
          <w:sz w:val="24"/>
          <w:szCs w:val="24"/>
        </w:rPr>
      </w:pPr>
    </w:p>
    <w:p w14:paraId="5ED31315" w14:textId="77777777" w:rsidR="0024500F" w:rsidRPr="00B056BB" w:rsidRDefault="0024500F" w:rsidP="00BE43D0">
      <w:pPr>
        <w:spacing w:after="0" w:line="240" w:lineRule="auto"/>
        <w:jc w:val="both"/>
        <w:rPr>
          <w:rFonts w:ascii="Arial" w:hAnsi="Arial" w:cs="Arial"/>
          <w:sz w:val="24"/>
          <w:szCs w:val="24"/>
        </w:rPr>
      </w:pPr>
      <w:r w:rsidRPr="00B056BB">
        <w:rPr>
          <w:rFonts w:ascii="Arial" w:hAnsi="Arial" w:cs="Arial"/>
          <w:sz w:val="24"/>
          <w:szCs w:val="24"/>
        </w:rPr>
        <w:t xml:space="preserve">In the </w:t>
      </w:r>
      <w:r w:rsidR="00EC14EC" w:rsidRPr="00B056BB">
        <w:rPr>
          <w:rFonts w:ascii="Arial" w:hAnsi="Arial" w:cs="Arial"/>
          <w:sz w:val="24"/>
          <w:szCs w:val="24"/>
        </w:rPr>
        <w:t>matter</w:t>
      </w:r>
      <w:r w:rsidRPr="00B056BB">
        <w:rPr>
          <w:rFonts w:ascii="Arial" w:hAnsi="Arial" w:cs="Arial"/>
          <w:sz w:val="24"/>
          <w:szCs w:val="24"/>
        </w:rPr>
        <w:t xml:space="preserve"> </w:t>
      </w:r>
      <w:r w:rsidR="00A460A9" w:rsidRPr="00B056BB">
        <w:rPr>
          <w:rFonts w:ascii="Arial" w:hAnsi="Arial" w:cs="Arial"/>
          <w:sz w:val="24"/>
          <w:szCs w:val="24"/>
        </w:rPr>
        <w:t>between</w:t>
      </w:r>
      <w:r w:rsidRPr="00B056BB">
        <w:rPr>
          <w:rFonts w:ascii="Arial" w:hAnsi="Arial" w:cs="Arial"/>
          <w:sz w:val="24"/>
          <w:szCs w:val="24"/>
        </w:rPr>
        <w:t xml:space="preserve">: </w:t>
      </w:r>
    </w:p>
    <w:p w14:paraId="628FF65A" w14:textId="77777777" w:rsidR="0024500F" w:rsidRPr="00B056BB" w:rsidRDefault="0024500F" w:rsidP="00BE43D0">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47EABFD9" w14:textId="639C55FD" w:rsidR="00BF4880" w:rsidRPr="00B056BB" w:rsidRDefault="004474C6" w:rsidP="00BE43D0">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b/>
          <w:sz w:val="24"/>
          <w:szCs w:val="24"/>
          <w:lang w:eastAsia="en-GB"/>
        </w:rPr>
        <w:t>N M</w:t>
      </w:r>
      <w:r w:rsidR="00487098" w:rsidRPr="00B056BB">
        <w:rPr>
          <w:rFonts w:ascii="Arial" w:eastAsia="Times New Roman" w:hAnsi="Arial" w:cs="Arial"/>
          <w:b/>
          <w:sz w:val="24"/>
          <w:szCs w:val="24"/>
          <w:lang w:eastAsia="en-GB"/>
        </w:rPr>
        <w:tab/>
      </w:r>
      <w:r w:rsidRPr="00B056BB">
        <w:rPr>
          <w:rFonts w:ascii="Arial" w:eastAsia="Times New Roman" w:hAnsi="Arial" w:cs="Arial"/>
          <w:sz w:val="24"/>
          <w:szCs w:val="24"/>
          <w:lang w:eastAsia="en-GB"/>
        </w:rPr>
        <w:t xml:space="preserve">First </w:t>
      </w:r>
      <w:r w:rsidR="003B566F" w:rsidRPr="00B056BB">
        <w:rPr>
          <w:rFonts w:ascii="Arial" w:eastAsia="Times New Roman" w:hAnsi="Arial" w:cs="Arial"/>
          <w:sz w:val="24"/>
          <w:szCs w:val="24"/>
          <w:lang w:eastAsia="en-GB"/>
        </w:rPr>
        <w:t>Applicant</w:t>
      </w:r>
    </w:p>
    <w:p w14:paraId="13CEC9EB" w14:textId="65FC4D02" w:rsidR="004474C6" w:rsidRPr="00B056BB" w:rsidRDefault="004474C6" w:rsidP="00BE43D0">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sz w:val="24"/>
          <w:szCs w:val="24"/>
          <w:lang w:eastAsia="en-GB"/>
        </w:rPr>
        <w:t xml:space="preserve">[Identity Number: </w:t>
      </w:r>
      <w:r w:rsidR="001B508D">
        <w:rPr>
          <w:rFonts w:ascii="Arial" w:eastAsia="Times New Roman" w:hAnsi="Arial" w:cs="Arial"/>
          <w:sz w:val="24"/>
          <w:szCs w:val="24"/>
          <w:lang w:eastAsia="en-GB"/>
        </w:rPr>
        <w:t>[…</w:t>
      </w:r>
      <w:r w:rsidRPr="00B056BB">
        <w:rPr>
          <w:rFonts w:ascii="Arial" w:eastAsia="Times New Roman" w:hAnsi="Arial" w:cs="Arial"/>
          <w:sz w:val="24"/>
          <w:szCs w:val="24"/>
          <w:lang w:eastAsia="en-GB"/>
        </w:rPr>
        <w:t>]</w:t>
      </w:r>
    </w:p>
    <w:p w14:paraId="7F24E6ED" w14:textId="77777777" w:rsidR="004474C6" w:rsidRPr="00B056BB" w:rsidRDefault="004474C6" w:rsidP="00BE43D0">
      <w:pPr>
        <w:tabs>
          <w:tab w:val="right" w:pos="9180"/>
        </w:tabs>
        <w:spacing w:after="0" w:line="360" w:lineRule="auto"/>
        <w:jc w:val="both"/>
        <w:rPr>
          <w:rFonts w:ascii="Arial" w:eastAsia="Times New Roman" w:hAnsi="Arial" w:cs="Arial"/>
          <w:sz w:val="24"/>
          <w:szCs w:val="24"/>
          <w:lang w:eastAsia="en-GB"/>
        </w:rPr>
      </w:pPr>
    </w:p>
    <w:p w14:paraId="45BC18E5" w14:textId="1B458512" w:rsidR="004474C6" w:rsidRPr="00B056BB" w:rsidRDefault="004474C6" w:rsidP="004474C6">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b/>
          <w:sz w:val="24"/>
          <w:szCs w:val="24"/>
          <w:lang w:eastAsia="en-GB"/>
        </w:rPr>
        <w:t>N M</w:t>
      </w:r>
      <w:r w:rsidRPr="00B056BB">
        <w:rPr>
          <w:rFonts w:ascii="Arial" w:eastAsia="Times New Roman" w:hAnsi="Arial" w:cs="Arial"/>
          <w:b/>
          <w:sz w:val="24"/>
          <w:szCs w:val="24"/>
          <w:lang w:eastAsia="en-GB"/>
        </w:rPr>
        <w:tab/>
      </w:r>
      <w:r w:rsidRPr="00B056BB">
        <w:rPr>
          <w:rFonts w:ascii="Arial" w:eastAsia="Times New Roman" w:hAnsi="Arial" w:cs="Arial"/>
          <w:sz w:val="24"/>
          <w:szCs w:val="24"/>
          <w:lang w:eastAsia="en-GB"/>
        </w:rPr>
        <w:t>Second Applicant</w:t>
      </w:r>
    </w:p>
    <w:p w14:paraId="5C13DA56" w14:textId="67CBD0C6" w:rsidR="004474C6" w:rsidRPr="00B056BB" w:rsidRDefault="004474C6" w:rsidP="00BE43D0">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sz w:val="24"/>
          <w:szCs w:val="24"/>
          <w:lang w:eastAsia="en-GB"/>
        </w:rPr>
        <w:t xml:space="preserve">[Identity Number: </w:t>
      </w:r>
      <w:r w:rsidR="001B508D">
        <w:rPr>
          <w:rFonts w:ascii="Arial" w:eastAsia="Times New Roman" w:hAnsi="Arial" w:cs="Arial"/>
          <w:sz w:val="24"/>
          <w:szCs w:val="24"/>
          <w:lang w:eastAsia="en-GB"/>
        </w:rPr>
        <w:t>[…</w:t>
      </w:r>
      <w:r w:rsidRPr="00B056BB">
        <w:rPr>
          <w:rFonts w:ascii="Arial" w:eastAsia="Times New Roman" w:hAnsi="Arial" w:cs="Arial"/>
          <w:sz w:val="24"/>
          <w:szCs w:val="24"/>
          <w:lang w:eastAsia="en-GB"/>
        </w:rPr>
        <w:t>]</w:t>
      </w:r>
    </w:p>
    <w:p w14:paraId="00AC0A96" w14:textId="77777777" w:rsidR="00487098" w:rsidRPr="00B056BB" w:rsidRDefault="00487098" w:rsidP="00487098">
      <w:pPr>
        <w:tabs>
          <w:tab w:val="right" w:pos="8306"/>
        </w:tabs>
        <w:spacing w:after="0" w:line="360" w:lineRule="auto"/>
        <w:jc w:val="both"/>
        <w:rPr>
          <w:rFonts w:ascii="Arial" w:eastAsia="Times New Roman" w:hAnsi="Arial" w:cs="Arial"/>
          <w:sz w:val="24"/>
          <w:szCs w:val="24"/>
          <w:lang w:eastAsia="en-GB"/>
        </w:rPr>
      </w:pPr>
    </w:p>
    <w:p w14:paraId="631EBAD6" w14:textId="77777777" w:rsidR="00487098" w:rsidRPr="00B056BB" w:rsidRDefault="00487098" w:rsidP="00487098">
      <w:pPr>
        <w:tabs>
          <w:tab w:val="right" w:pos="8306"/>
        </w:tabs>
        <w:spacing w:after="0" w:line="360" w:lineRule="auto"/>
        <w:jc w:val="both"/>
        <w:rPr>
          <w:rFonts w:ascii="Arial" w:eastAsia="Times New Roman" w:hAnsi="Arial" w:cs="Arial"/>
          <w:sz w:val="24"/>
          <w:szCs w:val="24"/>
          <w:lang w:eastAsia="en-GB"/>
        </w:rPr>
      </w:pPr>
      <w:r w:rsidRPr="00B056BB">
        <w:rPr>
          <w:rFonts w:ascii="Arial" w:eastAsia="Times New Roman" w:hAnsi="Arial" w:cs="Arial"/>
          <w:sz w:val="24"/>
          <w:szCs w:val="24"/>
          <w:lang w:eastAsia="en-GB"/>
        </w:rPr>
        <w:t>and</w:t>
      </w:r>
    </w:p>
    <w:p w14:paraId="2CF2933D" w14:textId="77777777" w:rsidR="003B566F" w:rsidRPr="00B056BB" w:rsidRDefault="003B566F" w:rsidP="00BE43D0">
      <w:pPr>
        <w:tabs>
          <w:tab w:val="right" w:pos="9180"/>
        </w:tabs>
        <w:spacing w:after="0" w:line="360" w:lineRule="auto"/>
        <w:jc w:val="both"/>
        <w:rPr>
          <w:rFonts w:ascii="Arial" w:eastAsia="Times New Roman" w:hAnsi="Arial" w:cs="Arial"/>
          <w:sz w:val="24"/>
          <w:szCs w:val="24"/>
          <w:lang w:eastAsia="en-GB"/>
        </w:rPr>
      </w:pPr>
    </w:p>
    <w:p w14:paraId="710754E3" w14:textId="77777777" w:rsidR="003B566F" w:rsidRPr="00B056BB" w:rsidRDefault="004474C6" w:rsidP="003B566F">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b/>
          <w:sz w:val="24"/>
          <w:szCs w:val="24"/>
          <w:lang w:eastAsia="en-GB"/>
        </w:rPr>
        <w:t>CORNELIA ELIZABETH MITCHELL N.O.</w:t>
      </w:r>
      <w:r w:rsidR="003B566F" w:rsidRPr="00B056BB">
        <w:rPr>
          <w:rFonts w:ascii="Arial" w:eastAsia="Times New Roman" w:hAnsi="Arial" w:cs="Arial"/>
          <w:sz w:val="24"/>
          <w:szCs w:val="24"/>
          <w:lang w:eastAsia="en-GB"/>
        </w:rPr>
        <w:tab/>
      </w:r>
      <w:r w:rsidR="00487098" w:rsidRPr="00B056BB">
        <w:rPr>
          <w:rFonts w:ascii="Arial" w:eastAsia="Times New Roman" w:hAnsi="Arial" w:cs="Arial"/>
          <w:sz w:val="24"/>
          <w:szCs w:val="24"/>
          <w:lang w:eastAsia="en-GB"/>
        </w:rPr>
        <w:t>First Respondent</w:t>
      </w:r>
    </w:p>
    <w:p w14:paraId="41507E7A" w14:textId="77777777" w:rsidR="004474C6" w:rsidRPr="00B056BB" w:rsidRDefault="004474C6" w:rsidP="003B566F">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sz w:val="24"/>
          <w:szCs w:val="24"/>
          <w:lang w:eastAsia="en-GB"/>
        </w:rPr>
        <w:t>[In her capacity as Trustee of the RODNEY BRUCE</w:t>
      </w:r>
    </w:p>
    <w:p w14:paraId="4810EB75" w14:textId="77777777" w:rsidR="004474C6" w:rsidRPr="00B056BB" w:rsidRDefault="004474C6" w:rsidP="003B566F">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sz w:val="24"/>
          <w:szCs w:val="24"/>
          <w:lang w:eastAsia="en-GB"/>
        </w:rPr>
        <w:t>MITCHELL TESTAMENTARY TRUST: MT12884/2008]</w:t>
      </w:r>
    </w:p>
    <w:p w14:paraId="4C25B8E0" w14:textId="77777777" w:rsidR="004474C6" w:rsidRPr="00B056BB" w:rsidRDefault="004474C6" w:rsidP="003B566F">
      <w:pPr>
        <w:tabs>
          <w:tab w:val="right" w:pos="9180"/>
        </w:tabs>
        <w:spacing w:after="0" w:line="360" w:lineRule="auto"/>
        <w:jc w:val="both"/>
        <w:rPr>
          <w:rFonts w:ascii="Arial" w:eastAsia="Times New Roman" w:hAnsi="Arial" w:cs="Arial"/>
          <w:sz w:val="24"/>
          <w:szCs w:val="24"/>
          <w:lang w:eastAsia="en-GB"/>
        </w:rPr>
      </w:pPr>
    </w:p>
    <w:p w14:paraId="5E324D41" w14:textId="77777777" w:rsidR="00666DA4" w:rsidRPr="00B056BB" w:rsidRDefault="004474C6" w:rsidP="003B566F">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b/>
          <w:sz w:val="24"/>
          <w:szCs w:val="24"/>
          <w:lang w:eastAsia="en-GB"/>
        </w:rPr>
        <w:t>DISCOVERY LIFE INVESTMENT SERVICES (PTY) LTD</w:t>
      </w:r>
      <w:r w:rsidR="003B566F" w:rsidRPr="00B056BB">
        <w:rPr>
          <w:rFonts w:ascii="Arial" w:eastAsia="Times New Roman" w:hAnsi="Arial" w:cs="Arial"/>
          <w:b/>
          <w:sz w:val="24"/>
          <w:szCs w:val="24"/>
          <w:lang w:eastAsia="en-GB"/>
        </w:rPr>
        <w:tab/>
      </w:r>
      <w:r w:rsidR="00487098" w:rsidRPr="00B056BB">
        <w:rPr>
          <w:rFonts w:ascii="Arial" w:eastAsia="Times New Roman" w:hAnsi="Arial" w:cs="Arial"/>
          <w:sz w:val="24"/>
          <w:szCs w:val="24"/>
          <w:lang w:eastAsia="en-GB"/>
        </w:rPr>
        <w:t>Second Respondent</w:t>
      </w:r>
    </w:p>
    <w:p w14:paraId="4ACA9553" w14:textId="77777777" w:rsidR="004474C6" w:rsidRPr="00B056BB" w:rsidRDefault="004474C6" w:rsidP="003B566F">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sz w:val="24"/>
          <w:szCs w:val="24"/>
          <w:lang w:eastAsia="en-GB"/>
        </w:rPr>
        <w:t>[Registration Number: 2007/005969/07]</w:t>
      </w:r>
    </w:p>
    <w:p w14:paraId="58CF5B68" w14:textId="77777777" w:rsidR="004474C6" w:rsidRPr="00B056BB" w:rsidRDefault="004474C6" w:rsidP="003B566F">
      <w:pPr>
        <w:tabs>
          <w:tab w:val="right" w:pos="9180"/>
        </w:tabs>
        <w:spacing w:after="0" w:line="360" w:lineRule="auto"/>
        <w:jc w:val="both"/>
        <w:rPr>
          <w:rFonts w:ascii="Arial" w:eastAsia="Times New Roman" w:hAnsi="Arial" w:cs="Arial"/>
          <w:sz w:val="24"/>
          <w:szCs w:val="24"/>
          <w:lang w:eastAsia="en-GB"/>
        </w:rPr>
      </w:pPr>
    </w:p>
    <w:p w14:paraId="25F27ED9" w14:textId="77777777" w:rsidR="00666DA4" w:rsidRPr="00B056BB" w:rsidRDefault="004474C6" w:rsidP="00666DA4">
      <w:pPr>
        <w:tabs>
          <w:tab w:val="right" w:pos="9180"/>
        </w:tabs>
        <w:spacing w:after="0" w:line="360" w:lineRule="auto"/>
        <w:jc w:val="both"/>
        <w:rPr>
          <w:rFonts w:ascii="Arial" w:eastAsia="Times New Roman" w:hAnsi="Arial" w:cs="Arial"/>
          <w:sz w:val="24"/>
          <w:szCs w:val="24"/>
          <w:lang w:eastAsia="en-GB"/>
        </w:rPr>
      </w:pPr>
      <w:r w:rsidRPr="00B056BB">
        <w:rPr>
          <w:rFonts w:ascii="Arial" w:eastAsia="Times New Roman" w:hAnsi="Arial" w:cs="Arial"/>
          <w:b/>
          <w:sz w:val="24"/>
          <w:szCs w:val="24"/>
          <w:lang w:eastAsia="en-GB"/>
        </w:rPr>
        <w:t>THE MASTER OF THE HIGH COURT, FREE STATE</w:t>
      </w:r>
      <w:r w:rsidR="00666DA4" w:rsidRPr="00B056BB">
        <w:rPr>
          <w:rFonts w:ascii="Arial" w:eastAsia="Times New Roman" w:hAnsi="Arial" w:cs="Arial"/>
          <w:b/>
          <w:sz w:val="24"/>
          <w:szCs w:val="24"/>
          <w:lang w:eastAsia="en-GB"/>
        </w:rPr>
        <w:tab/>
      </w:r>
      <w:r w:rsidR="00666DA4" w:rsidRPr="00B056BB">
        <w:rPr>
          <w:rFonts w:ascii="Arial" w:eastAsia="Times New Roman" w:hAnsi="Arial" w:cs="Arial"/>
          <w:sz w:val="24"/>
          <w:szCs w:val="24"/>
          <w:lang w:eastAsia="en-GB"/>
        </w:rPr>
        <w:t>Third Respondent</w:t>
      </w:r>
    </w:p>
    <w:p w14:paraId="62F90B0B" w14:textId="77777777" w:rsidR="004474C6" w:rsidRPr="00B056BB" w:rsidRDefault="004474C6" w:rsidP="00666DA4">
      <w:pPr>
        <w:tabs>
          <w:tab w:val="right" w:pos="9180"/>
        </w:tabs>
        <w:spacing w:after="0" w:line="360" w:lineRule="auto"/>
        <w:jc w:val="both"/>
        <w:rPr>
          <w:rFonts w:ascii="Arial" w:eastAsia="Times New Roman" w:hAnsi="Arial" w:cs="Arial"/>
          <w:b/>
          <w:sz w:val="24"/>
          <w:szCs w:val="24"/>
          <w:lang w:eastAsia="en-GB"/>
        </w:rPr>
      </w:pPr>
      <w:r w:rsidRPr="00B056BB">
        <w:rPr>
          <w:rFonts w:ascii="Arial" w:eastAsia="Times New Roman" w:hAnsi="Arial" w:cs="Arial"/>
          <w:b/>
          <w:sz w:val="24"/>
          <w:szCs w:val="24"/>
          <w:lang w:eastAsia="en-GB"/>
        </w:rPr>
        <w:t>DIVISION, BLOEMFONTEIN</w:t>
      </w:r>
    </w:p>
    <w:p w14:paraId="07299864" w14:textId="77777777" w:rsidR="0024500F" w:rsidRPr="00B056BB" w:rsidRDefault="0024500F" w:rsidP="00BE43D0">
      <w:pPr>
        <w:pBdr>
          <w:bottom w:val="single" w:sz="12" w:space="1" w:color="auto"/>
        </w:pBdr>
        <w:spacing w:after="0" w:line="240" w:lineRule="auto"/>
        <w:jc w:val="both"/>
        <w:rPr>
          <w:rFonts w:ascii="Arial" w:hAnsi="Arial" w:cs="Arial"/>
          <w:b/>
          <w:sz w:val="24"/>
          <w:szCs w:val="24"/>
        </w:rPr>
      </w:pPr>
    </w:p>
    <w:p w14:paraId="61C7DD50" w14:textId="77777777" w:rsidR="004474C6" w:rsidRPr="00B056BB" w:rsidRDefault="004474C6" w:rsidP="00BE43D0">
      <w:pPr>
        <w:pBdr>
          <w:bottom w:val="single" w:sz="12" w:space="1" w:color="auto"/>
        </w:pBdr>
        <w:spacing w:after="0" w:line="240" w:lineRule="auto"/>
        <w:jc w:val="both"/>
        <w:rPr>
          <w:rFonts w:ascii="Arial" w:hAnsi="Arial" w:cs="Arial"/>
          <w:b/>
          <w:sz w:val="24"/>
          <w:szCs w:val="24"/>
        </w:rPr>
      </w:pPr>
    </w:p>
    <w:p w14:paraId="4B822D9D" w14:textId="77777777" w:rsidR="004474C6" w:rsidRPr="00B056BB" w:rsidRDefault="004474C6" w:rsidP="004474C6">
      <w:pPr>
        <w:spacing w:after="0" w:line="240" w:lineRule="auto"/>
        <w:contextualSpacing/>
        <w:jc w:val="both"/>
        <w:rPr>
          <w:rFonts w:ascii="Arial" w:hAnsi="Arial" w:cs="Arial"/>
          <w:b/>
          <w:sz w:val="24"/>
          <w:szCs w:val="24"/>
          <w:u w:val="single"/>
        </w:rPr>
      </w:pPr>
    </w:p>
    <w:p w14:paraId="5C1CBAEC" w14:textId="77777777" w:rsidR="00F667E3" w:rsidRPr="00B056BB" w:rsidRDefault="004474C6" w:rsidP="00BE43D0">
      <w:pPr>
        <w:spacing w:after="0" w:line="240" w:lineRule="auto"/>
        <w:contextualSpacing/>
        <w:jc w:val="both"/>
        <w:rPr>
          <w:rFonts w:ascii="Arial" w:hAnsi="Arial" w:cs="Arial"/>
          <w:b/>
          <w:sz w:val="24"/>
          <w:szCs w:val="24"/>
          <w:u w:val="single"/>
        </w:rPr>
      </w:pPr>
      <w:r w:rsidRPr="00B056BB">
        <w:rPr>
          <w:rFonts w:ascii="Arial" w:hAnsi="Arial" w:cs="Arial"/>
          <w:b/>
          <w:sz w:val="24"/>
          <w:szCs w:val="24"/>
          <w:u w:val="single"/>
        </w:rPr>
        <w:t>HEARD ON:</w:t>
      </w:r>
      <w:r w:rsidRPr="00B056BB">
        <w:rPr>
          <w:rFonts w:ascii="Arial" w:hAnsi="Arial" w:cs="Arial"/>
          <w:b/>
          <w:sz w:val="24"/>
          <w:szCs w:val="24"/>
        </w:rPr>
        <w:tab/>
      </w:r>
      <w:r w:rsidRPr="00B056BB">
        <w:rPr>
          <w:rFonts w:ascii="Arial" w:hAnsi="Arial" w:cs="Arial"/>
          <w:b/>
          <w:sz w:val="24"/>
          <w:szCs w:val="24"/>
        </w:rPr>
        <w:tab/>
      </w:r>
      <w:r w:rsidRPr="00B056BB">
        <w:rPr>
          <w:rFonts w:ascii="Arial" w:hAnsi="Arial" w:cs="Arial"/>
          <w:b/>
          <w:sz w:val="24"/>
          <w:szCs w:val="24"/>
        </w:rPr>
        <w:tab/>
      </w:r>
      <w:r w:rsidR="00C148D5" w:rsidRPr="00B056BB">
        <w:rPr>
          <w:rFonts w:ascii="Arial" w:eastAsia="Times New Roman" w:hAnsi="Arial" w:cs="Arial"/>
          <w:sz w:val="24"/>
          <w:szCs w:val="24"/>
          <w:lang w:eastAsia="en-GB"/>
        </w:rPr>
        <w:t>22 DECEMBER 2022</w:t>
      </w:r>
    </w:p>
    <w:p w14:paraId="553BD63C" w14:textId="77777777" w:rsidR="0024500F" w:rsidRPr="00B056BB" w:rsidRDefault="0024500F" w:rsidP="00BE43D0">
      <w:pPr>
        <w:pBdr>
          <w:bottom w:val="single" w:sz="6" w:space="1" w:color="auto"/>
        </w:pBdr>
        <w:spacing w:after="0" w:line="240" w:lineRule="auto"/>
        <w:contextualSpacing/>
        <w:jc w:val="both"/>
        <w:rPr>
          <w:rFonts w:ascii="Arial" w:hAnsi="Arial" w:cs="Arial"/>
          <w:b/>
          <w:sz w:val="24"/>
          <w:szCs w:val="24"/>
        </w:rPr>
      </w:pPr>
    </w:p>
    <w:p w14:paraId="7396A837" w14:textId="77777777" w:rsidR="0024500F" w:rsidRPr="00B056BB" w:rsidRDefault="0024500F" w:rsidP="00BE43D0">
      <w:pPr>
        <w:spacing w:after="0" w:line="240" w:lineRule="auto"/>
        <w:contextualSpacing/>
        <w:jc w:val="both"/>
        <w:rPr>
          <w:rFonts w:ascii="Arial" w:hAnsi="Arial" w:cs="Arial"/>
          <w:b/>
          <w:sz w:val="24"/>
          <w:szCs w:val="24"/>
        </w:rPr>
      </w:pPr>
    </w:p>
    <w:p w14:paraId="75C03FD0" w14:textId="77777777" w:rsidR="004474C6" w:rsidRPr="00B056BB" w:rsidRDefault="004474C6" w:rsidP="004474C6">
      <w:pPr>
        <w:spacing w:after="0" w:line="240" w:lineRule="auto"/>
        <w:contextualSpacing/>
        <w:jc w:val="both"/>
        <w:rPr>
          <w:rFonts w:ascii="Arial" w:hAnsi="Arial" w:cs="Arial"/>
          <w:sz w:val="24"/>
          <w:szCs w:val="24"/>
          <w:u w:val="single"/>
        </w:rPr>
      </w:pPr>
      <w:r w:rsidRPr="00B056BB">
        <w:rPr>
          <w:rFonts w:ascii="Arial" w:hAnsi="Arial" w:cs="Arial"/>
          <w:b/>
          <w:sz w:val="24"/>
          <w:szCs w:val="24"/>
          <w:u w:val="single"/>
        </w:rPr>
        <w:t>CORAM:</w:t>
      </w:r>
      <w:r w:rsidRPr="00B056BB">
        <w:rPr>
          <w:rFonts w:ascii="Arial" w:hAnsi="Arial" w:cs="Arial"/>
          <w:sz w:val="24"/>
          <w:szCs w:val="24"/>
        </w:rPr>
        <w:tab/>
      </w:r>
      <w:r w:rsidRPr="00B056BB">
        <w:rPr>
          <w:rFonts w:ascii="Arial" w:hAnsi="Arial" w:cs="Arial"/>
          <w:sz w:val="24"/>
          <w:szCs w:val="24"/>
        </w:rPr>
        <w:tab/>
      </w:r>
      <w:r w:rsidRPr="00B056BB">
        <w:rPr>
          <w:rFonts w:ascii="Arial" w:hAnsi="Arial" w:cs="Arial"/>
          <w:sz w:val="24"/>
          <w:szCs w:val="24"/>
        </w:rPr>
        <w:tab/>
        <w:t>MATHEBULA, J</w:t>
      </w:r>
    </w:p>
    <w:p w14:paraId="6B5CF5E3" w14:textId="77777777" w:rsidR="008448A5" w:rsidRPr="00B056BB" w:rsidRDefault="008448A5" w:rsidP="00BE43D0">
      <w:pPr>
        <w:pBdr>
          <w:bottom w:val="single" w:sz="6" w:space="1" w:color="auto"/>
        </w:pBdr>
        <w:spacing w:after="0" w:line="240" w:lineRule="auto"/>
        <w:contextualSpacing/>
        <w:jc w:val="both"/>
        <w:rPr>
          <w:rFonts w:ascii="Arial" w:hAnsi="Arial" w:cs="Arial"/>
          <w:b/>
          <w:sz w:val="24"/>
          <w:szCs w:val="24"/>
        </w:rPr>
      </w:pPr>
    </w:p>
    <w:p w14:paraId="6851F1E2" w14:textId="77777777" w:rsidR="0024500F" w:rsidRPr="00B056BB" w:rsidRDefault="0024500F" w:rsidP="00BE43D0">
      <w:pPr>
        <w:spacing w:after="0" w:line="240" w:lineRule="auto"/>
        <w:contextualSpacing/>
        <w:jc w:val="both"/>
        <w:rPr>
          <w:rFonts w:ascii="Arial" w:hAnsi="Arial" w:cs="Arial"/>
          <w:b/>
          <w:sz w:val="24"/>
          <w:szCs w:val="24"/>
        </w:rPr>
      </w:pPr>
    </w:p>
    <w:p w14:paraId="2AB96503" w14:textId="77777777" w:rsidR="0024500F" w:rsidRPr="00B056BB" w:rsidRDefault="0024500F" w:rsidP="008448A5">
      <w:pPr>
        <w:tabs>
          <w:tab w:val="left" w:pos="2940"/>
        </w:tabs>
        <w:spacing w:after="0" w:line="240" w:lineRule="auto"/>
        <w:ind w:left="2880" w:hanging="2880"/>
        <w:contextualSpacing/>
        <w:jc w:val="both"/>
        <w:rPr>
          <w:rFonts w:ascii="Arial" w:hAnsi="Arial" w:cs="Arial"/>
          <w:sz w:val="24"/>
          <w:szCs w:val="24"/>
          <w:u w:val="single"/>
        </w:rPr>
      </w:pPr>
      <w:r w:rsidRPr="00B056BB">
        <w:rPr>
          <w:rFonts w:ascii="Arial" w:hAnsi="Arial" w:cs="Arial"/>
          <w:b/>
          <w:sz w:val="24"/>
          <w:szCs w:val="24"/>
          <w:u w:val="single"/>
        </w:rPr>
        <w:t>DELIVERED ON:</w:t>
      </w:r>
      <w:r w:rsidR="00832740" w:rsidRPr="00B056BB">
        <w:rPr>
          <w:rFonts w:ascii="Arial" w:hAnsi="Arial" w:cs="Arial"/>
          <w:b/>
          <w:sz w:val="24"/>
          <w:szCs w:val="24"/>
        </w:rPr>
        <w:tab/>
      </w:r>
      <w:r w:rsidR="008448A5" w:rsidRPr="00B056BB">
        <w:rPr>
          <w:rFonts w:ascii="Arial" w:hAnsi="Arial" w:cs="Arial"/>
          <w:sz w:val="24"/>
          <w:szCs w:val="24"/>
        </w:rPr>
        <w:t>The judgment was handed down electronically by circulation to the parties’ legal representatives by email and relea</w:t>
      </w:r>
      <w:r w:rsidR="00C148D5" w:rsidRPr="00B056BB">
        <w:rPr>
          <w:rFonts w:ascii="Arial" w:hAnsi="Arial" w:cs="Arial"/>
          <w:sz w:val="24"/>
          <w:szCs w:val="24"/>
        </w:rPr>
        <w:t xml:space="preserve">se to SAFLII on </w:t>
      </w:r>
      <w:r w:rsidR="00D13F93">
        <w:rPr>
          <w:rFonts w:ascii="Arial" w:hAnsi="Arial" w:cs="Arial"/>
          <w:sz w:val="24"/>
          <w:szCs w:val="24"/>
        </w:rPr>
        <w:t xml:space="preserve">29 </w:t>
      </w:r>
      <w:r w:rsidR="00C148D5" w:rsidRPr="00B056BB">
        <w:rPr>
          <w:rFonts w:ascii="Arial" w:hAnsi="Arial" w:cs="Arial"/>
          <w:sz w:val="24"/>
          <w:szCs w:val="24"/>
        </w:rPr>
        <w:t>DECEMBER</w:t>
      </w:r>
      <w:r w:rsidR="008E20C7" w:rsidRPr="00B056BB">
        <w:rPr>
          <w:rFonts w:ascii="Arial" w:hAnsi="Arial" w:cs="Arial"/>
          <w:sz w:val="24"/>
          <w:szCs w:val="24"/>
        </w:rPr>
        <w:t xml:space="preserve"> 2022</w:t>
      </w:r>
      <w:r w:rsidR="008448A5" w:rsidRPr="00B056BB">
        <w:rPr>
          <w:rFonts w:ascii="Arial" w:hAnsi="Arial" w:cs="Arial"/>
          <w:sz w:val="24"/>
          <w:szCs w:val="24"/>
        </w:rPr>
        <w:t>. The date and time for hand-down is dee</w:t>
      </w:r>
      <w:r w:rsidR="008E20C7" w:rsidRPr="00B056BB">
        <w:rPr>
          <w:rFonts w:ascii="Arial" w:hAnsi="Arial" w:cs="Arial"/>
          <w:sz w:val="24"/>
          <w:szCs w:val="24"/>
        </w:rPr>
        <w:t>med</w:t>
      </w:r>
      <w:r w:rsidR="00D13F93">
        <w:rPr>
          <w:rFonts w:ascii="Arial" w:hAnsi="Arial" w:cs="Arial"/>
          <w:sz w:val="24"/>
          <w:szCs w:val="24"/>
        </w:rPr>
        <w:t xml:space="preserve"> to be 29 DECEMBER 2022 at 12H00</w:t>
      </w:r>
      <w:r w:rsidR="008448A5" w:rsidRPr="00B056BB">
        <w:rPr>
          <w:rFonts w:ascii="Arial" w:hAnsi="Arial" w:cs="Arial"/>
          <w:sz w:val="24"/>
          <w:szCs w:val="24"/>
        </w:rPr>
        <w:t>.</w:t>
      </w:r>
    </w:p>
    <w:p w14:paraId="2564EBE0" w14:textId="77777777" w:rsidR="0024500F" w:rsidRPr="00B056BB" w:rsidRDefault="0024500F" w:rsidP="00BE43D0">
      <w:pPr>
        <w:pBdr>
          <w:bottom w:val="single" w:sz="12" w:space="1" w:color="auto"/>
        </w:pBdr>
        <w:tabs>
          <w:tab w:val="left" w:pos="2940"/>
        </w:tabs>
        <w:spacing w:after="0" w:line="240" w:lineRule="auto"/>
        <w:contextualSpacing/>
        <w:jc w:val="both"/>
        <w:rPr>
          <w:rFonts w:ascii="Arial" w:hAnsi="Arial" w:cs="Arial"/>
          <w:b/>
          <w:sz w:val="24"/>
          <w:szCs w:val="24"/>
        </w:rPr>
      </w:pPr>
    </w:p>
    <w:p w14:paraId="2BB9A44D" w14:textId="77777777" w:rsidR="008448A5" w:rsidRPr="00B056BB" w:rsidRDefault="008448A5" w:rsidP="00BE43D0">
      <w:pPr>
        <w:spacing w:line="360" w:lineRule="auto"/>
        <w:ind w:left="851" w:hanging="851"/>
        <w:contextualSpacing/>
        <w:jc w:val="both"/>
        <w:rPr>
          <w:rFonts w:ascii="Arial" w:eastAsia="Calibri" w:hAnsi="Arial" w:cs="Arial"/>
          <w:b/>
          <w:sz w:val="24"/>
          <w:szCs w:val="24"/>
          <w:u w:val="single"/>
        </w:rPr>
      </w:pPr>
    </w:p>
    <w:p w14:paraId="0BE0F318" w14:textId="77777777" w:rsidR="00C148D5" w:rsidRPr="004C778F" w:rsidRDefault="001D52C9" w:rsidP="00BE43D0">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[1</w:t>
      </w:r>
      <w:r w:rsidR="00DB581A" w:rsidRPr="004C778F">
        <w:rPr>
          <w:rFonts w:ascii="Arial" w:eastAsia="Calibri" w:hAnsi="Arial" w:cs="Arial"/>
          <w:sz w:val="24"/>
          <w:szCs w:val="24"/>
        </w:rPr>
        <w:t>]</w:t>
      </w:r>
      <w:r w:rsidR="00DB581A" w:rsidRPr="004C778F">
        <w:rPr>
          <w:rFonts w:ascii="Arial" w:eastAsia="Calibri" w:hAnsi="Arial" w:cs="Arial"/>
          <w:sz w:val="24"/>
          <w:szCs w:val="24"/>
        </w:rPr>
        <w:tab/>
      </w:r>
      <w:r w:rsidR="00C148D5" w:rsidRPr="004C778F">
        <w:rPr>
          <w:rFonts w:ascii="Arial" w:eastAsia="Calibri" w:hAnsi="Arial" w:cs="Arial"/>
          <w:sz w:val="24"/>
          <w:szCs w:val="24"/>
        </w:rPr>
        <w:t>On 28 October 2022 the applicants filed an urgent application wherein the following orders were sought: -</w:t>
      </w:r>
    </w:p>
    <w:p w14:paraId="4FDAA062" w14:textId="77777777" w:rsidR="00C148D5" w:rsidRPr="00B056BB" w:rsidRDefault="00C148D5" w:rsidP="00BE43D0">
      <w:pPr>
        <w:spacing w:line="360" w:lineRule="auto"/>
        <w:ind w:left="851" w:hanging="851"/>
        <w:contextualSpacing/>
        <w:jc w:val="both"/>
        <w:rPr>
          <w:rFonts w:ascii="Arial" w:eastAsia="Calibri" w:hAnsi="Arial" w:cs="Arial"/>
          <w:sz w:val="24"/>
          <w:szCs w:val="24"/>
        </w:rPr>
      </w:pPr>
    </w:p>
    <w:p w14:paraId="1147A014" w14:textId="77777777" w:rsidR="00CD1A8B" w:rsidRPr="004C778F" w:rsidRDefault="00CD1A8B" w:rsidP="00CF6B27">
      <w:pPr>
        <w:pStyle w:val="ListParagraph"/>
        <w:numPr>
          <w:ilvl w:val="0"/>
          <w:numId w:val="10"/>
        </w:numPr>
        <w:spacing w:line="360" w:lineRule="auto"/>
        <w:ind w:right="1254"/>
        <w:jc w:val="both"/>
        <w:rPr>
          <w:rFonts w:ascii="Arial" w:eastAsia="Calibri" w:hAnsi="Arial" w:cs="Arial"/>
          <w:b/>
          <w:sz w:val="20"/>
          <w:szCs w:val="20"/>
          <w:lang w:val="en-ZA"/>
        </w:rPr>
      </w:pPr>
      <w:r w:rsidRPr="004C778F">
        <w:rPr>
          <w:rFonts w:ascii="Arial" w:eastAsia="Calibri" w:hAnsi="Arial" w:cs="Arial"/>
          <w:b/>
          <w:sz w:val="20"/>
          <w:szCs w:val="20"/>
          <w:lang w:val="en-ZA"/>
        </w:rPr>
        <w:t>That the applicants’ failure to comply with the provisions of the Rules of Court pertaining to notice, time limits, service and process be condoned and that this application be heard as an urgent application in terms of the provisions of Rule of Court 6(12).</w:t>
      </w:r>
    </w:p>
    <w:p w14:paraId="03D4D5E4" w14:textId="77777777" w:rsidR="00CF6B27" w:rsidRPr="004C778F" w:rsidRDefault="00CF6B27" w:rsidP="00CF6B27">
      <w:pPr>
        <w:pStyle w:val="ListParagraph"/>
        <w:spacing w:line="360" w:lineRule="auto"/>
        <w:ind w:left="1215" w:right="1254"/>
        <w:jc w:val="both"/>
        <w:rPr>
          <w:rFonts w:ascii="Arial" w:eastAsia="Calibri" w:hAnsi="Arial" w:cs="Arial"/>
          <w:b/>
          <w:sz w:val="20"/>
          <w:szCs w:val="20"/>
          <w:lang w:val="en-ZA"/>
        </w:rPr>
      </w:pPr>
    </w:p>
    <w:p w14:paraId="171E4F44" w14:textId="77777777" w:rsidR="00CD1A8B" w:rsidRPr="004C778F" w:rsidRDefault="00CD1A8B" w:rsidP="00CF6B27">
      <w:pPr>
        <w:pStyle w:val="ListParagraph"/>
        <w:numPr>
          <w:ilvl w:val="0"/>
          <w:numId w:val="10"/>
        </w:numPr>
        <w:spacing w:line="360" w:lineRule="auto"/>
        <w:ind w:right="1254"/>
        <w:jc w:val="both"/>
        <w:rPr>
          <w:rFonts w:ascii="Arial" w:eastAsia="Calibri" w:hAnsi="Arial" w:cs="Arial"/>
          <w:b/>
          <w:sz w:val="20"/>
          <w:szCs w:val="20"/>
          <w:lang w:val="en-ZA"/>
        </w:rPr>
      </w:pPr>
      <w:r w:rsidRPr="004C778F">
        <w:rPr>
          <w:rFonts w:ascii="Arial" w:eastAsia="Calibri" w:hAnsi="Arial" w:cs="Arial"/>
          <w:b/>
          <w:sz w:val="20"/>
          <w:szCs w:val="20"/>
          <w:lang w:val="en-ZA"/>
        </w:rPr>
        <w:t>The first respondent be ordered/directed:</w:t>
      </w:r>
    </w:p>
    <w:p w14:paraId="00D3A977" w14:textId="77777777" w:rsidR="00CD1A8B" w:rsidRPr="004C778F" w:rsidRDefault="00CD1A8B" w:rsidP="00CF6B27">
      <w:pPr>
        <w:pStyle w:val="ListParagraph"/>
        <w:numPr>
          <w:ilvl w:val="1"/>
          <w:numId w:val="10"/>
        </w:numPr>
        <w:spacing w:line="360" w:lineRule="auto"/>
        <w:ind w:right="1254"/>
        <w:jc w:val="both"/>
        <w:rPr>
          <w:rFonts w:ascii="Arial" w:eastAsia="Calibri" w:hAnsi="Arial" w:cs="Arial"/>
          <w:b/>
          <w:sz w:val="20"/>
          <w:szCs w:val="20"/>
          <w:lang w:val="en-ZA"/>
        </w:rPr>
      </w:pPr>
    </w:p>
    <w:p w14:paraId="5318F1D4" w14:textId="77777777" w:rsidR="002D7332" w:rsidRPr="004C778F" w:rsidRDefault="00CD1A8B" w:rsidP="00CF6B27">
      <w:pPr>
        <w:pStyle w:val="ListParagraph"/>
        <w:numPr>
          <w:ilvl w:val="2"/>
          <w:numId w:val="10"/>
        </w:numPr>
        <w:spacing w:line="360" w:lineRule="auto"/>
        <w:ind w:right="1254"/>
        <w:jc w:val="both"/>
        <w:rPr>
          <w:rFonts w:ascii="Arial" w:eastAsia="Calibri" w:hAnsi="Arial" w:cs="Arial"/>
          <w:b/>
          <w:sz w:val="20"/>
          <w:szCs w:val="20"/>
          <w:lang w:val="en-ZA"/>
        </w:rPr>
      </w:pPr>
      <w:r w:rsidRPr="004C778F">
        <w:rPr>
          <w:rFonts w:ascii="Arial" w:eastAsia="Calibri" w:hAnsi="Arial" w:cs="Arial"/>
          <w:b/>
          <w:sz w:val="20"/>
          <w:szCs w:val="20"/>
          <w:lang w:val="en-ZA"/>
        </w:rPr>
        <w:t>To pay to the first applicant her monthly stipend in the amount of R6,000.00 for the month of October 2022 and in the amount of R6,000.00 for the month of November 2022 within five (5) days of this order being granted;</w:t>
      </w:r>
    </w:p>
    <w:p w14:paraId="7F02234F" w14:textId="77777777" w:rsidR="00CD1A8B" w:rsidRPr="004C778F" w:rsidRDefault="00CD1A8B" w:rsidP="00CF6B27">
      <w:pPr>
        <w:pStyle w:val="ListParagraph"/>
        <w:numPr>
          <w:ilvl w:val="2"/>
          <w:numId w:val="10"/>
        </w:numPr>
        <w:spacing w:line="360" w:lineRule="auto"/>
        <w:ind w:right="1254"/>
        <w:jc w:val="both"/>
        <w:rPr>
          <w:rFonts w:ascii="Arial" w:eastAsia="Calibri" w:hAnsi="Arial" w:cs="Arial"/>
          <w:b/>
          <w:sz w:val="20"/>
          <w:szCs w:val="20"/>
          <w:lang w:val="en-ZA"/>
        </w:rPr>
      </w:pPr>
      <w:r w:rsidRPr="004C778F">
        <w:rPr>
          <w:rFonts w:ascii="Arial" w:eastAsia="Calibri" w:hAnsi="Arial" w:cs="Arial"/>
          <w:b/>
          <w:sz w:val="20"/>
          <w:szCs w:val="20"/>
          <w:lang w:val="en-ZA"/>
        </w:rPr>
        <w:t>To pay to the second applicant her monthly stipend in the amount of R4,000.00 for the month of October 2022 and in the amount of R4,000.00 for the month of November 2022 within five (5) days of this order being granted; and</w:t>
      </w:r>
    </w:p>
    <w:p w14:paraId="10119C71" w14:textId="77777777" w:rsidR="00CD1A8B" w:rsidRPr="004C778F" w:rsidRDefault="00CD1A8B" w:rsidP="00CF6B27">
      <w:pPr>
        <w:pStyle w:val="ListParagraph"/>
        <w:numPr>
          <w:ilvl w:val="2"/>
          <w:numId w:val="10"/>
        </w:numPr>
        <w:spacing w:line="360" w:lineRule="auto"/>
        <w:ind w:right="1254"/>
        <w:jc w:val="both"/>
        <w:rPr>
          <w:rFonts w:ascii="Arial" w:eastAsia="Calibri" w:hAnsi="Arial" w:cs="Arial"/>
          <w:b/>
          <w:sz w:val="20"/>
          <w:szCs w:val="20"/>
          <w:lang w:val="en-ZA"/>
        </w:rPr>
      </w:pPr>
      <w:r w:rsidRPr="004C778F">
        <w:rPr>
          <w:rFonts w:ascii="Arial" w:eastAsia="Calibri" w:hAnsi="Arial" w:cs="Arial"/>
          <w:b/>
          <w:sz w:val="20"/>
          <w:szCs w:val="20"/>
          <w:lang w:val="en-ZA"/>
        </w:rPr>
        <w:t>To continue to pay the aforesaid monthly stipends to the first and the second applicant for the month of December 2022 and the months following thereafter, said payments to be made on the 1</w:t>
      </w:r>
      <w:r w:rsidRPr="004C778F">
        <w:rPr>
          <w:rFonts w:ascii="Arial" w:eastAsia="Calibri" w:hAnsi="Arial" w:cs="Arial"/>
          <w:b/>
          <w:sz w:val="20"/>
          <w:szCs w:val="20"/>
          <w:vertAlign w:val="superscript"/>
          <w:lang w:val="en-ZA"/>
        </w:rPr>
        <w:t>st</w:t>
      </w:r>
      <w:r w:rsidRPr="004C778F">
        <w:rPr>
          <w:rFonts w:ascii="Arial" w:eastAsia="Calibri" w:hAnsi="Arial" w:cs="Arial"/>
          <w:b/>
          <w:sz w:val="20"/>
          <w:szCs w:val="20"/>
          <w:lang w:val="en-ZA"/>
        </w:rPr>
        <w:t xml:space="preserve"> day of each month.</w:t>
      </w:r>
    </w:p>
    <w:p w14:paraId="0EAB4F94" w14:textId="77777777" w:rsidR="00CD1A8B" w:rsidRPr="004C778F" w:rsidRDefault="00CD1A8B" w:rsidP="00CF6B27">
      <w:pPr>
        <w:pStyle w:val="ListParagraph"/>
        <w:numPr>
          <w:ilvl w:val="1"/>
          <w:numId w:val="10"/>
        </w:numPr>
        <w:spacing w:line="360" w:lineRule="auto"/>
        <w:ind w:right="1254"/>
        <w:jc w:val="both"/>
        <w:rPr>
          <w:rFonts w:ascii="Arial" w:eastAsia="Calibri" w:hAnsi="Arial" w:cs="Arial"/>
          <w:b/>
          <w:sz w:val="20"/>
          <w:szCs w:val="20"/>
          <w:lang w:val="en-ZA"/>
        </w:rPr>
      </w:pPr>
    </w:p>
    <w:p w14:paraId="5D18A0E7" w14:textId="38A51AB5" w:rsidR="00CD1A8B" w:rsidRPr="004C778F" w:rsidRDefault="00F04F7D" w:rsidP="00CF6B27">
      <w:pPr>
        <w:pStyle w:val="ListParagraph"/>
        <w:numPr>
          <w:ilvl w:val="2"/>
          <w:numId w:val="10"/>
        </w:numPr>
        <w:spacing w:line="360" w:lineRule="auto"/>
        <w:ind w:right="1254"/>
        <w:jc w:val="both"/>
        <w:rPr>
          <w:rFonts w:ascii="Arial" w:eastAsia="Calibri" w:hAnsi="Arial" w:cs="Arial"/>
          <w:b/>
          <w:sz w:val="20"/>
          <w:szCs w:val="20"/>
          <w:lang w:val="en-ZA"/>
        </w:rPr>
      </w:pPr>
      <w:r w:rsidRPr="004C778F">
        <w:rPr>
          <w:rFonts w:ascii="Arial" w:eastAsia="Calibri" w:hAnsi="Arial" w:cs="Arial"/>
          <w:b/>
          <w:sz w:val="20"/>
          <w:szCs w:val="20"/>
          <w:lang w:val="en-ZA"/>
        </w:rPr>
        <w:t>To pay the rent in the amount of R9,600.00 for October 2022 and in the amount of R9,600.00 for November 2022 in respect of No.</w:t>
      </w:r>
      <w:r w:rsidR="001B508D">
        <w:rPr>
          <w:rFonts w:ascii="Arial" w:eastAsia="Calibri" w:hAnsi="Arial" w:cs="Arial"/>
          <w:b/>
          <w:sz w:val="20"/>
          <w:szCs w:val="20"/>
          <w:lang w:val="en-ZA"/>
        </w:rPr>
        <w:t xml:space="preserve"> […]</w:t>
      </w:r>
      <w:r w:rsidRPr="004C778F">
        <w:rPr>
          <w:rFonts w:ascii="Arial" w:eastAsia="Calibri" w:hAnsi="Arial" w:cs="Arial"/>
          <w:b/>
          <w:sz w:val="20"/>
          <w:szCs w:val="20"/>
          <w:lang w:val="en-ZA"/>
        </w:rPr>
        <w:t xml:space="preserve"> Aloe (townhouse), Olea Street, Bloemfontein, into A List Rentals’ ABSA</w:t>
      </w:r>
      <w:r w:rsidR="00B056BB" w:rsidRPr="004C778F">
        <w:rPr>
          <w:rFonts w:ascii="Arial" w:eastAsia="Calibri" w:hAnsi="Arial" w:cs="Arial"/>
          <w:b/>
          <w:sz w:val="20"/>
          <w:szCs w:val="20"/>
          <w:lang w:val="en-ZA"/>
        </w:rPr>
        <w:t xml:space="preserve"> cheque account, No. </w:t>
      </w:r>
      <w:r w:rsidR="001B508D">
        <w:rPr>
          <w:rFonts w:ascii="Arial" w:eastAsia="Calibri" w:hAnsi="Arial" w:cs="Arial"/>
          <w:b/>
          <w:sz w:val="20"/>
          <w:szCs w:val="20"/>
          <w:lang w:val="en-ZA"/>
        </w:rPr>
        <w:t>[…]</w:t>
      </w:r>
      <w:r w:rsidR="00B056BB" w:rsidRPr="004C778F">
        <w:rPr>
          <w:rFonts w:ascii="Arial" w:eastAsia="Calibri" w:hAnsi="Arial" w:cs="Arial"/>
          <w:b/>
          <w:sz w:val="20"/>
          <w:szCs w:val="20"/>
          <w:lang w:val="en-ZA"/>
        </w:rPr>
        <w:t xml:space="preserve"> within five (5) days of this order being granted;</w:t>
      </w:r>
    </w:p>
    <w:p w14:paraId="14E1AA58" w14:textId="77777777" w:rsidR="00B056BB" w:rsidRPr="004C778F" w:rsidRDefault="00B056BB" w:rsidP="00CF6B27">
      <w:pPr>
        <w:pStyle w:val="ListParagraph"/>
        <w:numPr>
          <w:ilvl w:val="2"/>
          <w:numId w:val="10"/>
        </w:numPr>
        <w:spacing w:line="360" w:lineRule="auto"/>
        <w:ind w:right="1254"/>
        <w:jc w:val="both"/>
        <w:rPr>
          <w:rFonts w:ascii="Arial" w:eastAsia="Calibri" w:hAnsi="Arial" w:cs="Arial"/>
          <w:b/>
          <w:sz w:val="20"/>
          <w:szCs w:val="20"/>
          <w:lang w:val="en-ZA"/>
        </w:rPr>
      </w:pPr>
      <w:r w:rsidRPr="004C778F">
        <w:rPr>
          <w:rFonts w:ascii="Arial" w:eastAsia="Calibri" w:hAnsi="Arial" w:cs="Arial"/>
          <w:b/>
          <w:sz w:val="20"/>
          <w:szCs w:val="20"/>
          <w:lang w:val="en-ZA"/>
        </w:rPr>
        <w:t xml:space="preserve">To pay to the second applicant the sum of R7,000.00 for October 2022 and an additional sum of R7,000.00 for November 2022 in respect of her rental obligations for the </w:t>
      </w:r>
      <w:r w:rsidRPr="004C778F">
        <w:rPr>
          <w:rFonts w:ascii="Arial" w:eastAsia="Calibri" w:hAnsi="Arial" w:cs="Arial"/>
          <w:b/>
          <w:sz w:val="20"/>
          <w:szCs w:val="20"/>
          <w:lang w:val="en-ZA"/>
        </w:rPr>
        <w:lastRenderedPageBreak/>
        <w:t>aforesaid two months within five (5) days of this order being granted; and</w:t>
      </w:r>
    </w:p>
    <w:p w14:paraId="30509F14" w14:textId="77777777" w:rsidR="00B056BB" w:rsidRPr="004C778F" w:rsidRDefault="00B056BB" w:rsidP="00CF6B27">
      <w:pPr>
        <w:pStyle w:val="ListParagraph"/>
        <w:numPr>
          <w:ilvl w:val="2"/>
          <w:numId w:val="10"/>
        </w:numPr>
        <w:spacing w:line="360" w:lineRule="auto"/>
        <w:ind w:right="1254"/>
        <w:jc w:val="both"/>
        <w:rPr>
          <w:rFonts w:ascii="Arial" w:eastAsia="Calibri" w:hAnsi="Arial" w:cs="Arial"/>
          <w:b/>
          <w:sz w:val="20"/>
          <w:szCs w:val="20"/>
          <w:lang w:val="en-ZA"/>
        </w:rPr>
      </w:pPr>
      <w:r w:rsidRPr="004C778F">
        <w:rPr>
          <w:rFonts w:ascii="Arial" w:eastAsia="Calibri" w:hAnsi="Arial" w:cs="Arial"/>
          <w:b/>
          <w:sz w:val="20"/>
          <w:szCs w:val="20"/>
          <w:lang w:val="en-ZA"/>
        </w:rPr>
        <w:t>To thereafter continue to pay the monthly rental reasonably required by the first and</w:t>
      </w:r>
      <w:r w:rsidR="00D7676D" w:rsidRPr="004C778F">
        <w:rPr>
          <w:rFonts w:ascii="Arial" w:eastAsia="Calibri" w:hAnsi="Arial" w:cs="Arial"/>
          <w:b/>
          <w:sz w:val="20"/>
          <w:szCs w:val="20"/>
          <w:lang w:val="en-ZA"/>
        </w:rPr>
        <w:t xml:space="preserve"> the</w:t>
      </w:r>
      <w:r w:rsidRPr="004C778F">
        <w:rPr>
          <w:rFonts w:ascii="Arial" w:eastAsia="Calibri" w:hAnsi="Arial" w:cs="Arial"/>
          <w:b/>
          <w:sz w:val="20"/>
          <w:szCs w:val="20"/>
          <w:lang w:val="en-ZA"/>
        </w:rPr>
        <w:t xml:space="preserve"> second applicant to provide them with adequate accommodation.</w:t>
      </w:r>
    </w:p>
    <w:p w14:paraId="1FF38315" w14:textId="77777777" w:rsidR="00D7676D" w:rsidRPr="004C778F" w:rsidRDefault="00D7676D" w:rsidP="00CF6B27">
      <w:pPr>
        <w:pStyle w:val="ListParagraph"/>
        <w:numPr>
          <w:ilvl w:val="1"/>
          <w:numId w:val="10"/>
        </w:numPr>
        <w:spacing w:line="360" w:lineRule="auto"/>
        <w:ind w:right="1254"/>
        <w:jc w:val="both"/>
        <w:rPr>
          <w:rFonts w:ascii="Arial" w:eastAsia="Calibri" w:hAnsi="Arial" w:cs="Arial"/>
          <w:b/>
          <w:sz w:val="20"/>
          <w:szCs w:val="20"/>
        </w:rPr>
      </w:pPr>
      <w:r w:rsidRPr="004C778F">
        <w:rPr>
          <w:rFonts w:ascii="Arial" w:eastAsia="Calibri" w:hAnsi="Arial" w:cs="Arial"/>
          <w:b/>
          <w:sz w:val="20"/>
          <w:szCs w:val="20"/>
        </w:rPr>
        <w:t>To pay the first and the second applicants’ medical aid premiums in the amount of R1,685.00 in respect of each of the applicant’s for the month of October 2022 and November 2022 within five (5) days of this order being granted and to continue to do so as from December 2022, and monthly thereafter.</w:t>
      </w:r>
    </w:p>
    <w:p w14:paraId="5BF874AD" w14:textId="77777777" w:rsidR="00CF6B27" w:rsidRPr="004C778F" w:rsidRDefault="00CF6B27" w:rsidP="00CF6B27">
      <w:pPr>
        <w:pStyle w:val="ListParagraph"/>
        <w:spacing w:line="360" w:lineRule="auto"/>
        <w:ind w:left="1935" w:right="1254"/>
        <w:jc w:val="both"/>
        <w:rPr>
          <w:rFonts w:ascii="Arial" w:eastAsia="Calibri" w:hAnsi="Arial" w:cs="Arial"/>
          <w:b/>
          <w:sz w:val="20"/>
          <w:szCs w:val="20"/>
        </w:rPr>
      </w:pPr>
    </w:p>
    <w:p w14:paraId="65A0E597" w14:textId="77777777" w:rsidR="00D7676D" w:rsidRPr="004C778F" w:rsidRDefault="00D7676D" w:rsidP="00CF6B27">
      <w:pPr>
        <w:pStyle w:val="ListParagraph"/>
        <w:numPr>
          <w:ilvl w:val="0"/>
          <w:numId w:val="10"/>
        </w:numPr>
        <w:spacing w:line="360" w:lineRule="auto"/>
        <w:ind w:right="1254"/>
        <w:jc w:val="both"/>
        <w:rPr>
          <w:rFonts w:ascii="Arial" w:eastAsia="Calibri" w:hAnsi="Arial" w:cs="Arial"/>
          <w:b/>
          <w:sz w:val="20"/>
          <w:szCs w:val="20"/>
        </w:rPr>
      </w:pPr>
      <w:r w:rsidRPr="004C778F">
        <w:rPr>
          <w:rFonts w:ascii="Arial" w:eastAsia="Calibri" w:hAnsi="Arial" w:cs="Arial"/>
          <w:b/>
          <w:sz w:val="20"/>
          <w:szCs w:val="20"/>
        </w:rPr>
        <w:t>That, in the event of the second respondent being informed, in writing, by the applicants’ attorneys (</w:t>
      </w:r>
      <w:proofErr w:type="spellStart"/>
      <w:r w:rsidRPr="004C778F">
        <w:rPr>
          <w:rFonts w:ascii="Arial" w:eastAsia="Calibri" w:hAnsi="Arial" w:cs="Arial"/>
          <w:b/>
          <w:sz w:val="20"/>
          <w:szCs w:val="20"/>
        </w:rPr>
        <w:t>Mr</w:t>
      </w:r>
      <w:proofErr w:type="spellEnd"/>
      <w:r w:rsidRPr="004C778F">
        <w:rPr>
          <w:rFonts w:ascii="Arial" w:eastAsia="Calibri" w:hAnsi="Arial" w:cs="Arial"/>
          <w:b/>
          <w:sz w:val="20"/>
          <w:szCs w:val="20"/>
        </w:rPr>
        <w:t xml:space="preserve"> P Joubert and/or </w:t>
      </w:r>
      <w:proofErr w:type="spellStart"/>
      <w:r w:rsidRPr="004C778F">
        <w:rPr>
          <w:rFonts w:ascii="Arial" w:eastAsia="Calibri" w:hAnsi="Arial" w:cs="Arial"/>
          <w:b/>
          <w:sz w:val="20"/>
          <w:szCs w:val="20"/>
        </w:rPr>
        <w:t>Mr</w:t>
      </w:r>
      <w:proofErr w:type="spellEnd"/>
      <w:r w:rsidRPr="004C778F">
        <w:rPr>
          <w:rFonts w:ascii="Arial" w:eastAsia="Calibri" w:hAnsi="Arial" w:cs="Arial"/>
          <w:b/>
          <w:sz w:val="20"/>
          <w:szCs w:val="20"/>
        </w:rPr>
        <w:t xml:space="preserve"> H Adam) that the first respondent has failed and/or refuses to comply with any part or the whole of the order as formulated in paragraph 2 above, the second respondent be authorized, directed and ordered:</w:t>
      </w:r>
    </w:p>
    <w:p w14:paraId="6894BC67" w14:textId="77777777" w:rsidR="00CF6B27" w:rsidRPr="004C778F" w:rsidRDefault="00CF6B27" w:rsidP="00CF6B27">
      <w:pPr>
        <w:pStyle w:val="ListParagraph"/>
        <w:spacing w:line="360" w:lineRule="auto"/>
        <w:ind w:left="1215" w:right="1254"/>
        <w:jc w:val="both"/>
        <w:rPr>
          <w:rFonts w:ascii="Arial" w:eastAsia="Calibri" w:hAnsi="Arial" w:cs="Arial"/>
          <w:b/>
          <w:sz w:val="20"/>
          <w:szCs w:val="20"/>
        </w:rPr>
      </w:pPr>
    </w:p>
    <w:p w14:paraId="2D0CA07F" w14:textId="06A73CF6" w:rsidR="00D7676D" w:rsidRPr="004C778F" w:rsidRDefault="00D7676D" w:rsidP="00CF6B27">
      <w:pPr>
        <w:pStyle w:val="ListParagraph"/>
        <w:numPr>
          <w:ilvl w:val="1"/>
          <w:numId w:val="10"/>
        </w:numPr>
        <w:spacing w:line="360" w:lineRule="auto"/>
        <w:ind w:right="1254"/>
        <w:jc w:val="both"/>
        <w:rPr>
          <w:rFonts w:ascii="Arial" w:eastAsia="Calibri" w:hAnsi="Arial" w:cs="Arial"/>
          <w:b/>
          <w:sz w:val="20"/>
          <w:szCs w:val="20"/>
        </w:rPr>
      </w:pPr>
      <w:r w:rsidRPr="004C778F">
        <w:rPr>
          <w:rFonts w:ascii="Arial" w:eastAsia="Calibri" w:hAnsi="Arial" w:cs="Arial"/>
          <w:b/>
          <w:sz w:val="20"/>
          <w:szCs w:val="20"/>
        </w:rPr>
        <w:t xml:space="preserve">To pay out of the income and/or the capital of the endowment policies with Investment Numbers </w:t>
      </w:r>
      <w:r w:rsidR="001B508D">
        <w:rPr>
          <w:rFonts w:ascii="Arial" w:eastAsia="Calibri" w:hAnsi="Arial" w:cs="Arial"/>
          <w:b/>
          <w:sz w:val="20"/>
          <w:szCs w:val="20"/>
        </w:rPr>
        <w:t>[…]</w:t>
      </w:r>
      <w:r w:rsidRPr="004C778F">
        <w:rPr>
          <w:rFonts w:ascii="Arial" w:eastAsia="Calibri" w:hAnsi="Arial" w:cs="Arial"/>
          <w:b/>
          <w:sz w:val="20"/>
          <w:szCs w:val="20"/>
        </w:rPr>
        <w:t xml:space="preserve"> and/or </w:t>
      </w:r>
      <w:r w:rsidR="001B508D">
        <w:rPr>
          <w:rFonts w:ascii="Arial" w:eastAsia="Calibri" w:hAnsi="Arial" w:cs="Arial"/>
          <w:b/>
          <w:sz w:val="20"/>
          <w:szCs w:val="20"/>
        </w:rPr>
        <w:t>[…]</w:t>
      </w:r>
      <w:r w:rsidRPr="004C778F">
        <w:rPr>
          <w:rFonts w:ascii="Arial" w:eastAsia="Calibri" w:hAnsi="Arial" w:cs="Arial"/>
          <w:b/>
          <w:sz w:val="20"/>
          <w:szCs w:val="20"/>
        </w:rPr>
        <w:t xml:space="preserve"> the sum of R30,309.92 in respect of October 2022 and the same sum in respect of November 2022 into the Trust account of Symington &amp; de </w:t>
      </w:r>
      <w:proofErr w:type="spellStart"/>
      <w:r w:rsidRPr="004C778F">
        <w:rPr>
          <w:rFonts w:ascii="Arial" w:eastAsia="Calibri" w:hAnsi="Arial" w:cs="Arial"/>
          <w:b/>
          <w:sz w:val="20"/>
          <w:szCs w:val="20"/>
        </w:rPr>
        <w:t>Kok</w:t>
      </w:r>
      <w:proofErr w:type="spellEnd"/>
      <w:r w:rsidRPr="004C778F">
        <w:rPr>
          <w:rFonts w:ascii="Arial" w:eastAsia="Calibri" w:hAnsi="Arial" w:cs="Arial"/>
          <w:b/>
          <w:sz w:val="20"/>
          <w:szCs w:val="20"/>
        </w:rPr>
        <w:t xml:space="preserve"> Attorneys, held at First National Bank, with Account Number </w:t>
      </w:r>
      <w:r w:rsidR="001B508D">
        <w:rPr>
          <w:rFonts w:ascii="Arial" w:eastAsia="Calibri" w:hAnsi="Arial" w:cs="Arial"/>
          <w:b/>
          <w:sz w:val="20"/>
          <w:szCs w:val="20"/>
        </w:rPr>
        <w:t>[…]</w:t>
      </w:r>
      <w:r w:rsidRPr="004C778F">
        <w:rPr>
          <w:rFonts w:ascii="Arial" w:eastAsia="Calibri" w:hAnsi="Arial" w:cs="Arial"/>
          <w:b/>
          <w:sz w:val="20"/>
          <w:szCs w:val="20"/>
        </w:rPr>
        <w:t xml:space="preserve"> and under Reference Number </w:t>
      </w:r>
      <w:r w:rsidR="001B508D">
        <w:rPr>
          <w:rFonts w:ascii="Arial" w:eastAsia="Calibri" w:hAnsi="Arial" w:cs="Arial"/>
          <w:b/>
          <w:sz w:val="20"/>
          <w:szCs w:val="20"/>
        </w:rPr>
        <w:t>[…]</w:t>
      </w:r>
      <w:r w:rsidRPr="004C778F">
        <w:rPr>
          <w:rFonts w:ascii="Arial" w:eastAsia="Calibri" w:hAnsi="Arial" w:cs="Arial"/>
          <w:b/>
          <w:sz w:val="20"/>
          <w:szCs w:val="20"/>
        </w:rPr>
        <w:t>, in order for the said sums or any part thereof to be paid to the first and the second applicant and/or for their benefit in respect of their rental needs and medical aid premiums; and</w:t>
      </w:r>
    </w:p>
    <w:p w14:paraId="58760340" w14:textId="77777777" w:rsidR="00D7676D" w:rsidRPr="004C778F" w:rsidRDefault="00D7676D" w:rsidP="00CF6B27">
      <w:pPr>
        <w:pStyle w:val="ListParagraph"/>
        <w:numPr>
          <w:ilvl w:val="1"/>
          <w:numId w:val="10"/>
        </w:numPr>
        <w:spacing w:line="360" w:lineRule="auto"/>
        <w:ind w:right="1254"/>
        <w:jc w:val="both"/>
        <w:rPr>
          <w:rFonts w:ascii="Arial" w:eastAsia="Calibri" w:hAnsi="Arial" w:cs="Arial"/>
          <w:b/>
          <w:sz w:val="20"/>
          <w:szCs w:val="20"/>
        </w:rPr>
      </w:pPr>
      <w:r w:rsidRPr="004C778F">
        <w:rPr>
          <w:rFonts w:ascii="Arial" w:eastAsia="Calibri" w:hAnsi="Arial" w:cs="Arial"/>
          <w:b/>
          <w:sz w:val="20"/>
          <w:szCs w:val="20"/>
        </w:rPr>
        <w:t xml:space="preserve">To continue to pay the aforesaid sum into the aforesaid Trust Account of Symington </w:t>
      </w:r>
      <w:r w:rsidR="00CF6B27" w:rsidRPr="004C778F">
        <w:rPr>
          <w:rFonts w:ascii="Arial" w:eastAsia="Calibri" w:hAnsi="Arial" w:cs="Arial"/>
          <w:b/>
          <w:sz w:val="20"/>
          <w:szCs w:val="20"/>
        </w:rPr>
        <w:t xml:space="preserve">&amp; de </w:t>
      </w:r>
      <w:proofErr w:type="spellStart"/>
      <w:r w:rsidR="00CF6B27" w:rsidRPr="004C778F">
        <w:rPr>
          <w:rFonts w:ascii="Arial" w:eastAsia="Calibri" w:hAnsi="Arial" w:cs="Arial"/>
          <w:b/>
          <w:sz w:val="20"/>
          <w:szCs w:val="20"/>
        </w:rPr>
        <w:t>Kok</w:t>
      </w:r>
      <w:proofErr w:type="spellEnd"/>
      <w:r w:rsidR="00CF6B27" w:rsidRPr="004C778F">
        <w:rPr>
          <w:rFonts w:ascii="Arial" w:eastAsia="Calibri" w:hAnsi="Arial" w:cs="Arial"/>
          <w:b/>
          <w:sz w:val="20"/>
          <w:szCs w:val="20"/>
        </w:rPr>
        <w:t xml:space="preserve"> Attorneys as from 1 December 2022, and monthly thereafter, for as long as there are funds available to do so, until the second respondent is instructed by a letter, signed by any of the applicants’ aforesaid attorneys to cease making further payments.</w:t>
      </w:r>
    </w:p>
    <w:p w14:paraId="4267834B" w14:textId="77777777" w:rsidR="00CF6B27" w:rsidRPr="004C778F" w:rsidRDefault="00CF6B27" w:rsidP="00CF6B27">
      <w:pPr>
        <w:pStyle w:val="ListParagraph"/>
        <w:spacing w:line="360" w:lineRule="auto"/>
        <w:ind w:left="1935" w:right="1254"/>
        <w:jc w:val="both"/>
        <w:rPr>
          <w:rFonts w:ascii="Arial" w:eastAsia="Calibri" w:hAnsi="Arial" w:cs="Arial"/>
          <w:b/>
          <w:sz w:val="20"/>
          <w:szCs w:val="20"/>
        </w:rPr>
      </w:pPr>
    </w:p>
    <w:p w14:paraId="1824B44F" w14:textId="77777777" w:rsidR="00CF6B27" w:rsidRPr="004C778F" w:rsidRDefault="00CF6B27" w:rsidP="00CF6B27">
      <w:pPr>
        <w:pStyle w:val="ListParagraph"/>
        <w:numPr>
          <w:ilvl w:val="0"/>
          <w:numId w:val="10"/>
        </w:numPr>
        <w:spacing w:line="360" w:lineRule="auto"/>
        <w:ind w:right="1254"/>
        <w:jc w:val="both"/>
        <w:rPr>
          <w:rFonts w:ascii="Arial" w:eastAsia="Calibri" w:hAnsi="Arial" w:cs="Arial"/>
          <w:b/>
          <w:sz w:val="20"/>
          <w:szCs w:val="20"/>
        </w:rPr>
      </w:pPr>
      <w:r w:rsidRPr="004C778F">
        <w:rPr>
          <w:rFonts w:ascii="Arial" w:eastAsia="Calibri" w:hAnsi="Arial" w:cs="Arial"/>
          <w:b/>
          <w:sz w:val="20"/>
          <w:szCs w:val="20"/>
        </w:rPr>
        <w:t>That the first respondent be ordered to personally pay the costs of this application.</w:t>
      </w:r>
    </w:p>
    <w:p w14:paraId="5325E8EE" w14:textId="77777777" w:rsidR="00CF6B27" w:rsidRPr="004C778F" w:rsidRDefault="00CF6B27" w:rsidP="00CF6B27">
      <w:pPr>
        <w:pStyle w:val="ListParagraph"/>
        <w:spacing w:line="360" w:lineRule="auto"/>
        <w:ind w:left="1215" w:right="1254"/>
        <w:jc w:val="both"/>
        <w:rPr>
          <w:rFonts w:ascii="Arial" w:eastAsia="Calibri" w:hAnsi="Arial" w:cs="Arial"/>
          <w:b/>
          <w:sz w:val="20"/>
          <w:szCs w:val="20"/>
        </w:rPr>
      </w:pPr>
    </w:p>
    <w:p w14:paraId="7065CF12" w14:textId="77777777" w:rsidR="00CF6B27" w:rsidRPr="004C778F" w:rsidRDefault="00CF6B27" w:rsidP="00CF6B27">
      <w:pPr>
        <w:pStyle w:val="ListParagraph"/>
        <w:numPr>
          <w:ilvl w:val="0"/>
          <w:numId w:val="10"/>
        </w:numPr>
        <w:spacing w:after="0" w:line="360" w:lineRule="auto"/>
        <w:ind w:right="1254"/>
        <w:jc w:val="both"/>
        <w:rPr>
          <w:rFonts w:ascii="Arial" w:eastAsia="Calibri" w:hAnsi="Arial" w:cs="Arial"/>
          <w:b/>
          <w:sz w:val="20"/>
          <w:szCs w:val="20"/>
        </w:rPr>
      </w:pPr>
      <w:r w:rsidRPr="004C778F">
        <w:rPr>
          <w:rFonts w:ascii="Arial" w:eastAsia="Calibri" w:hAnsi="Arial" w:cs="Arial"/>
          <w:b/>
          <w:sz w:val="20"/>
          <w:szCs w:val="20"/>
        </w:rPr>
        <w:t>That the first and the second applicant be granted leave to supplement their founding affidavit, if necessary, in order to apply for further relief.</w:t>
      </w:r>
    </w:p>
    <w:p w14:paraId="0CC5D2DD" w14:textId="77777777" w:rsidR="00CF6B27" w:rsidRPr="004C778F" w:rsidRDefault="00CF6B27" w:rsidP="00CF6B27">
      <w:pPr>
        <w:pStyle w:val="ListParagraph"/>
        <w:spacing w:after="0"/>
        <w:rPr>
          <w:rFonts w:ascii="Arial" w:eastAsia="Calibri" w:hAnsi="Arial" w:cs="Arial"/>
          <w:b/>
          <w:sz w:val="20"/>
          <w:szCs w:val="20"/>
        </w:rPr>
      </w:pPr>
    </w:p>
    <w:p w14:paraId="1C371C5D" w14:textId="77777777" w:rsidR="00CF6B27" w:rsidRPr="004C778F" w:rsidRDefault="00CF6B27" w:rsidP="00CF6B27">
      <w:pPr>
        <w:pStyle w:val="ListParagraph"/>
        <w:spacing w:after="0" w:line="360" w:lineRule="auto"/>
        <w:ind w:left="1215" w:right="1254"/>
        <w:jc w:val="both"/>
        <w:rPr>
          <w:rFonts w:ascii="Arial" w:eastAsia="Calibri" w:hAnsi="Arial" w:cs="Arial"/>
          <w:b/>
          <w:sz w:val="20"/>
          <w:szCs w:val="20"/>
        </w:rPr>
      </w:pPr>
    </w:p>
    <w:p w14:paraId="0947D87B" w14:textId="77777777" w:rsidR="00DD3779" w:rsidRPr="004C778F" w:rsidRDefault="00CF6B27" w:rsidP="00CF6B27">
      <w:pPr>
        <w:pStyle w:val="ListParagraph"/>
        <w:numPr>
          <w:ilvl w:val="0"/>
          <w:numId w:val="10"/>
        </w:numPr>
        <w:spacing w:after="0" w:line="360" w:lineRule="auto"/>
        <w:ind w:right="1254"/>
        <w:jc w:val="both"/>
        <w:rPr>
          <w:rFonts w:ascii="Arial" w:eastAsia="Calibri" w:hAnsi="Arial" w:cs="Arial"/>
          <w:b/>
          <w:sz w:val="20"/>
          <w:szCs w:val="20"/>
        </w:rPr>
      </w:pPr>
      <w:r w:rsidRPr="004C778F">
        <w:rPr>
          <w:rFonts w:ascii="Arial" w:eastAsia="Calibri" w:hAnsi="Arial" w:cs="Arial"/>
          <w:b/>
          <w:sz w:val="20"/>
          <w:szCs w:val="20"/>
        </w:rPr>
        <w:t>Further and/or alternative relief.</w:t>
      </w:r>
    </w:p>
    <w:p w14:paraId="24489F1B" w14:textId="77777777" w:rsidR="005C44FF" w:rsidRPr="00B056BB" w:rsidRDefault="005C44FF" w:rsidP="00BE43D0">
      <w:pPr>
        <w:spacing w:line="360" w:lineRule="auto"/>
        <w:ind w:left="851" w:hanging="851"/>
        <w:contextualSpacing/>
        <w:jc w:val="both"/>
        <w:rPr>
          <w:rFonts w:ascii="Arial" w:eastAsia="Calibri" w:hAnsi="Arial" w:cs="Arial"/>
          <w:sz w:val="24"/>
          <w:szCs w:val="24"/>
        </w:rPr>
      </w:pPr>
    </w:p>
    <w:p w14:paraId="110CA009" w14:textId="77777777" w:rsidR="00166E61" w:rsidRPr="004C778F" w:rsidRDefault="001D52C9" w:rsidP="00897A95">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lastRenderedPageBreak/>
        <w:t xml:space="preserve">[2] </w:t>
      </w:r>
      <w:r w:rsidRPr="004C778F">
        <w:rPr>
          <w:rFonts w:ascii="Arial" w:eastAsia="Calibri" w:hAnsi="Arial" w:cs="Arial"/>
          <w:sz w:val="24"/>
          <w:szCs w:val="24"/>
        </w:rPr>
        <w:tab/>
      </w:r>
      <w:r w:rsidR="00CF6B27" w:rsidRPr="004C778F">
        <w:rPr>
          <w:rFonts w:ascii="Arial" w:eastAsia="Calibri" w:hAnsi="Arial" w:cs="Arial"/>
          <w:sz w:val="24"/>
          <w:szCs w:val="24"/>
        </w:rPr>
        <w:t xml:space="preserve">After hearing counsel for the applicants </w:t>
      </w:r>
      <w:proofErr w:type="spellStart"/>
      <w:r w:rsidR="00403E05" w:rsidRPr="004C778F">
        <w:rPr>
          <w:rFonts w:ascii="Arial" w:eastAsia="Calibri" w:hAnsi="Arial" w:cs="Arial"/>
          <w:sz w:val="24"/>
          <w:szCs w:val="24"/>
        </w:rPr>
        <w:t>Mhlambi</w:t>
      </w:r>
      <w:proofErr w:type="spellEnd"/>
      <w:r w:rsidR="00403E05" w:rsidRPr="004C778F">
        <w:rPr>
          <w:rFonts w:ascii="Arial" w:eastAsia="Calibri" w:hAnsi="Arial" w:cs="Arial"/>
          <w:sz w:val="24"/>
          <w:szCs w:val="24"/>
        </w:rPr>
        <w:t xml:space="preserve"> J ordered prayer 2</w:t>
      </w:r>
      <w:r w:rsidR="00CF6B27" w:rsidRPr="004C778F">
        <w:rPr>
          <w:rFonts w:ascii="Arial" w:eastAsia="Calibri" w:hAnsi="Arial" w:cs="Arial"/>
          <w:sz w:val="24"/>
          <w:szCs w:val="24"/>
        </w:rPr>
        <w:t xml:space="preserve"> </w:t>
      </w:r>
      <w:r w:rsidR="00EF101B" w:rsidRPr="004C778F">
        <w:rPr>
          <w:rFonts w:ascii="Arial" w:eastAsia="Calibri" w:hAnsi="Arial" w:cs="Arial"/>
          <w:sz w:val="24"/>
          <w:szCs w:val="24"/>
        </w:rPr>
        <w:t>to operate with immediate effect. A return date of 8 December 2022 was ordered by the court as to why th</w:t>
      </w:r>
      <w:r w:rsidR="00403E05" w:rsidRPr="004C778F">
        <w:rPr>
          <w:rFonts w:ascii="Arial" w:eastAsia="Calibri" w:hAnsi="Arial" w:cs="Arial"/>
          <w:sz w:val="24"/>
          <w:szCs w:val="24"/>
        </w:rPr>
        <w:t>e order</w:t>
      </w:r>
      <w:r w:rsidR="00EF101B" w:rsidRPr="004C778F">
        <w:rPr>
          <w:rFonts w:ascii="Arial" w:eastAsia="Calibri" w:hAnsi="Arial" w:cs="Arial"/>
          <w:sz w:val="24"/>
          <w:szCs w:val="24"/>
        </w:rPr>
        <w:t xml:space="preserve"> should not be made final. On the last mentioned date, the rule </w:t>
      </w:r>
      <w:r w:rsidR="00EF101B" w:rsidRPr="004C778F">
        <w:rPr>
          <w:rFonts w:ascii="Arial" w:eastAsia="Calibri" w:hAnsi="Arial" w:cs="Arial"/>
          <w:i/>
          <w:sz w:val="24"/>
          <w:szCs w:val="24"/>
        </w:rPr>
        <w:t xml:space="preserve">nisi </w:t>
      </w:r>
      <w:r w:rsidR="00EF101B" w:rsidRPr="004C778F">
        <w:rPr>
          <w:rFonts w:ascii="Arial" w:eastAsia="Calibri" w:hAnsi="Arial" w:cs="Arial"/>
          <w:sz w:val="24"/>
          <w:szCs w:val="24"/>
        </w:rPr>
        <w:t xml:space="preserve">was extended to 22 December 2022 by </w:t>
      </w:r>
      <w:proofErr w:type="spellStart"/>
      <w:r w:rsidR="00EF101B" w:rsidRPr="004C778F">
        <w:rPr>
          <w:rFonts w:ascii="Arial" w:eastAsia="Calibri" w:hAnsi="Arial" w:cs="Arial"/>
          <w:sz w:val="24"/>
          <w:szCs w:val="24"/>
        </w:rPr>
        <w:t>Daniso</w:t>
      </w:r>
      <w:proofErr w:type="spellEnd"/>
      <w:r w:rsidR="00EF101B" w:rsidRPr="004C778F">
        <w:rPr>
          <w:rFonts w:ascii="Arial" w:eastAsia="Calibri" w:hAnsi="Arial" w:cs="Arial"/>
          <w:sz w:val="24"/>
          <w:szCs w:val="24"/>
        </w:rPr>
        <w:t xml:space="preserve"> J because of administrative glitches. In the present proceedings, the applicants seek confirmation of the rule </w:t>
      </w:r>
      <w:r w:rsidR="00EF101B" w:rsidRPr="004C778F">
        <w:rPr>
          <w:rFonts w:ascii="Arial" w:eastAsia="Calibri" w:hAnsi="Arial" w:cs="Arial"/>
          <w:i/>
          <w:sz w:val="24"/>
          <w:szCs w:val="24"/>
        </w:rPr>
        <w:t xml:space="preserve">nisi </w:t>
      </w:r>
      <w:r w:rsidR="00EF101B" w:rsidRPr="004C778F">
        <w:rPr>
          <w:rFonts w:ascii="Arial" w:eastAsia="Calibri" w:hAnsi="Arial" w:cs="Arial"/>
          <w:sz w:val="24"/>
          <w:szCs w:val="24"/>
        </w:rPr>
        <w:t>with costs to be borne personally by the first respondent. The first respondent, who is the only</w:t>
      </w:r>
      <w:r w:rsidR="00403E05" w:rsidRPr="004C778F">
        <w:rPr>
          <w:rFonts w:ascii="Arial" w:eastAsia="Calibri" w:hAnsi="Arial" w:cs="Arial"/>
          <w:sz w:val="24"/>
          <w:szCs w:val="24"/>
        </w:rPr>
        <w:t xml:space="preserve"> one</w:t>
      </w:r>
      <w:r w:rsidR="00EF101B" w:rsidRPr="004C778F">
        <w:rPr>
          <w:rFonts w:ascii="Arial" w:eastAsia="Calibri" w:hAnsi="Arial" w:cs="Arial"/>
          <w:sz w:val="24"/>
          <w:szCs w:val="24"/>
        </w:rPr>
        <w:t xml:space="preserve"> o</w:t>
      </w:r>
      <w:r w:rsidR="00403E05" w:rsidRPr="004C778F">
        <w:rPr>
          <w:rFonts w:ascii="Arial" w:eastAsia="Calibri" w:hAnsi="Arial" w:cs="Arial"/>
          <w:sz w:val="24"/>
          <w:szCs w:val="24"/>
        </w:rPr>
        <w:t>pposing the application, is arguing for</w:t>
      </w:r>
      <w:r w:rsidR="00EF101B" w:rsidRPr="004C778F">
        <w:rPr>
          <w:rFonts w:ascii="Arial" w:eastAsia="Calibri" w:hAnsi="Arial" w:cs="Arial"/>
          <w:sz w:val="24"/>
          <w:szCs w:val="24"/>
        </w:rPr>
        <w:t xml:space="preserve"> the discharge of the rule </w:t>
      </w:r>
      <w:r w:rsidR="00EF101B" w:rsidRPr="004C778F">
        <w:rPr>
          <w:rFonts w:ascii="Arial" w:eastAsia="Calibri" w:hAnsi="Arial" w:cs="Arial"/>
          <w:i/>
          <w:sz w:val="24"/>
          <w:szCs w:val="24"/>
        </w:rPr>
        <w:t xml:space="preserve">nisi </w:t>
      </w:r>
      <w:r w:rsidR="00EF101B" w:rsidRPr="004C778F">
        <w:rPr>
          <w:rFonts w:ascii="Arial" w:eastAsia="Calibri" w:hAnsi="Arial" w:cs="Arial"/>
          <w:sz w:val="24"/>
          <w:szCs w:val="24"/>
        </w:rPr>
        <w:t>with costs.</w:t>
      </w:r>
    </w:p>
    <w:p w14:paraId="2C6428DA" w14:textId="77777777" w:rsidR="00897A95" w:rsidRPr="004C778F" w:rsidRDefault="00897A95" w:rsidP="00897A95">
      <w:pPr>
        <w:spacing w:line="360" w:lineRule="auto"/>
        <w:ind w:left="851" w:hanging="851"/>
        <w:contextualSpacing/>
        <w:jc w:val="both"/>
        <w:rPr>
          <w:rFonts w:ascii="Arial" w:eastAsia="Calibri" w:hAnsi="Arial" w:cs="Arial"/>
          <w:b/>
          <w:sz w:val="24"/>
          <w:szCs w:val="24"/>
        </w:rPr>
      </w:pPr>
    </w:p>
    <w:p w14:paraId="197FF3C9" w14:textId="77777777" w:rsidR="00564690" w:rsidRPr="004C778F" w:rsidRDefault="002D32E4" w:rsidP="00EF101B">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[3]</w:t>
      </w:r>
      <w:r w:rsidR="00810E8A" w:rsidRPr="004C778F">
        <w:rPr>
          <w:rFonts w:ascii="Arial" w:eastAsia="Calibri" w:hAnsi="Arial" w:cs="Arial"/>
          <w:sz w:val="24"/>
          <w:szCs w:val="24"/>
        </w:rPr>
        <w:tab/>
      </w:r>
      <w:r w:rsidR="00EF101B" w:rsidRPr="004C778F">
        <w:rPr>
          <w:rFonts w:ascii="Arial" w:eastAsia="Calibri" w:hAnsi="Arial" w:cs="Arial"/>
          <w:sz w:val="24"/>
          <w:szCs w:val="24"/>
        </w:rPr>
        <w:t>It is disheartening to witness a family bound together by common interests being ripped apart by disputes that are capable of amicable settlement. The applicants and the first respondent have been at each other in th</w:t>
      </w:r>
      <w:r w:rsidR="00403E05" w:rsidRPr="004C778F">
        <w:rPr>
          <w:rFonts w:ascii="Arial" w:eastAsia="Calibri" w:hAnsi="Arial" w:cs="Arial"/>
          <w:sz w:val="24"/>
          <w:szCs w:val="24"/>
        </w:rPr>
        <w:t>is court on different facets of the</w:t>
      </w:r>
      <w:r w:rsidR="00EF101B" w:rsidRPr="004C778F">
        <w:rPr>
          <w:rFonts w:ascii="Arial" w:eastAsia="Calibri" w:hAnsi="Arial" w:cs="Arial"/>
          <w:sz w:val="24"/>
          <w:szCs w:val="24"/>
        </w:rPr>
        <w:t xml:space="preserve"> same issue</w:t>
      </w:r>
      <w:r w:rsidR="00403E05" w:rsidRPr="004C778F">
        <w:rPr>
          <w:rFonts w:ascii="Arial" w:eastAsia="Calibri" w:hAnsi="Arial" w:cs="Arial"/>
          <w:sz w:val="24"/>
          <w:szCs w:val="24"/>
        </w:rPr>
        <w:t>.</w:t>
      </w:r>
      <w:r w:rsidR="00EF101B" w:rsidRPr="004C778F">
        <w:rPr>
          <w:rFonts w:ascii="Arial" w:eastAsia="Calibri" w:hAnsi="Arial" w:cs="Arial"/>
          <w:sz w:val="24"/>
          <w:szCs w:val="24"/>
        </w:rPr>
        <w:t xml:space="preserve"> </w:t>
      </w:r>
      <w:r w:rsidR="00403E05" w:rsidRPr="004C778F">
        <w:rPr>
          <w:rFonts w:ascii="Arial" w:eastAsia="Calibri" w:hAnsi="Arial" w:cs="Arial"/>
          <w:sz w:val="24"/>
          <w:szCs w:val="24"/>
        </w:rPr>
        <w:t xml:space="preserve">The reality is that </w:t>
      </w:r>
      <w:r w:rsidR="00EF101B" w:rsidRPr="004C778F">
        <w:rPr>
          <w:rFonts w:ascii="Arial" w:eastAsia="Calibri" w:hAnsi="Arial" w:cs="Arial"/>
          <w:sz w:val="24"/>
          <w:szCs w:val="24"/>
        </w:rPr>
        <w:t xml:space="preserve">the very funds that each profess to be protecting are being depleted </w:t>
      </w:r>
      <w:r w:rsidR="00403E05" w:rsidRPr="004C778F">
        <w:rPr>
          <w:rFonts w:ascii="Arial" w:eastAsia="Calibri" w:hAnsi="Arial" w:cs="Arial"/>
          <w:sz w:val="24"/>
          <w:szCs w:val="24"/>
        </w:rPr>
        <w:t xml:space="preserve">by spiralling </w:t>
      </w:r>
      <w:r w:rsidR="00EF101B" w:rsidRPr="004C778F">
        <w:rPr>
          <w:rFonts w:ascii="Arial" w:eastAsia="Calibri" w:hAnsi="Arial" w:cs="Arial"/>
          <w:sz w:val="24"/>
          <w:szCs w:val="24"/>
        </w:rPr>
        <w:t>litigation costs. Nevertheless, their appetite</w:t>
      </w:r>
      <w:r w:rsidR="00403E05" w:rsidRPr="004C778F">
        <w:rPr>
          <w:rFonts w:ascii="Arial" w:eastAsia="Calibri" w:hAnsi="Arial" w:cs="Arial"/>
          <w:sz w:val="24"/>
          <w:szCs w:val="24"/>
        </w:rPr>
        <w:t xml:space="preserve"> to litigate</w:t>
      </w:r>
      <w:r w:rsidR="00EF101B" w:rsidRPr="004C778F">
        <w:rPr>
          <w:rFonts w:ascii="Arial" w:eastAsia="Calibri" w:hAnsi="Arial" w:cs="Arial"/>
          <w:sz w:val="24"/>
          <w:szCs w:val="24"/>
        </w:rPr>
        <w:t xml:space="preserve"> seems to be on </w:t>
      </w:r>
      <w:r w:rsidR="00403E05" w:rsidRPr="004C778F">
        <w:rPr>
          <w:rFonts w:ascii="Arial" w:eastAsia="Calibri" w:hAnsi="Arial" w:cs="Arial"/>
          <w:sz w:val="24"/>
          <w:szCs w:val="24"/>
        </w:rPr>
        <w:t xml:space="preserve">the rise instead of waning. The proceedings before me </w:t>
      </w:r>
      <w:r w:rsidR="00D13F93" w:rsidRPr="004C778F">
        <w:rPr>
          <w:rFonts w:ascii="Arial" w:eastAsia="Calibri" w:hAnsi="Arial" w:cs="Arial"/>
          <w:sz w:val="24"/>
          <w:szCs w:val="24"/>
        </w:rPr>
        <w:t>are</w:t>
      </w:r>
      <w:r w:rsidR="00403E05" w:rsidRPr="004C778F">
        <w:rPr>
          <w:rFonts w:ascii="Arial" w:eastAsia="Calibri" w:hAnsi="Arial" w:cs="Arial"/>
          <w:sz w:val="24"/>
          <w:szCs w:val="24"/>
        </w:rPr>
        <w:t xml:space="preserve"> just</w:t>
      </w:r>
      <w:r w:rsidR="00EF101B" w:rsidRPr="004C778F">
        <w:rPr>
          <w:rFonts w:ascii="Arial" w:eastAsia="Calibri" w:hAnsi="Arial" w:cs="Arial"/>
          <w:sz w:val="24"/>
          <w:szCs w:val="24"/>
        </w:rPr>
        <w:t xml:space="preserve"> another round.</w:t>
      </w:r>
    </w:p>
    <w:p w14:paraId="5CB82F86" w14:textId="77777777" w:rsidR="00832740" w:rsidRPr="004C778F" w:rsidRDefault="00832740" w:rsidP="00832740">
      <w:pPr>
        <w:spacing w:line="360" w:lineRule="auto"/>
        <w:ind w:left="851" w:hanging="851"/>
        <w:contextualSpacing/>
        <w:jc w:val="both"/>
        <w:rPr>
          <w:rFonts w:ascii="Arial" w:eastAsia="Calibri" w:hAnsi="Arial" w:cs="Arial"/>
          <w:sz w:val="24"/>
          <w:szCs w:val="24"/>
        </w:rPr>
      </w:pPr>
    </w:p>
    <w:p w14:paraId="210408CA" w14:textId="09EF1D76" w:rsidR="00D356D5" w:rsidRPr="004C778F" w:rsidRDefault="001D52C9" w:rsidP="00915E05">
      <w:pPr>
        <w:spacing w:line="360" w:lineRule="auto"/>
        <w:ind w:left="851" w:hanging="851"/>
        <w:contextualSpacing/>
        <w:jc w:val="both"/>
        <w:rPr>
          <w:rFonts w:ascii="Arial" w:eastAsia="Times New Roman" w:hAnsi="Arial" w:cs="Arial"/>
          <w:b/>
          <w:sz w:val="24"/>
          <w:szCs w:val="24"/>
        </w:rPr>
      </w:pPr>
      <w:r w:rsidRPr="004C778F">
        <w:rPr>
          <w:rFonts w:ascii="Arial" w:eastAsia="Calibri" w:hAnsi="Arial" w:cs="Arial"/>
          <w:sz w:val="24"/>
          <w:szCs w:val="24"/>
        </w:rPr>
        <w:t>[</w:t>
      </w:r>
      <w:r w:rsidR="002D32E4" w:rsidRPr="004C778F">
        <w:rPr>
          <w:rFonts w:ascii="Arial" w:eastAsia="Calibri" w:hAnsi="Arial" w:cs="Arial"/>
          <w:sz w:val="24"/>
          <w:szCs w:val="24"/>
        </w:rPr>
        <w:t>4</w:t>
      </w:r>
      <w:r w:rsidRPr="004C778F">
        <w:rPr>
          <w:rFonts w:ascii="Arial" w:eastAsia="Calibri" w:hAnsi="Arial" w:cs="Arial"/>
          <w:sz w:val="24"/>
          <w:szCs w:val="24"/>
        </w:rPr>
        <w:t>]</w:t>
      </w:r>
      <w:r w:rsidRPr="004C778F">
        <w:rPr>
          <w:rFonts w:ascii="Arial" w:eastAsia="Calibri" w:hAnsi="Arial" w:cs="Arial"/>
          <w:sz w:val="24"/>
          <w:szCs w:val="24"/>
        </w:rPr>
        <w:tab/>
      </w:r>
      <w:r w:rsidR="00CE1430" w:rsidRPr="004C778F">
        <w:rPr>
          <w:rFonts w:ascii="Arial" w:eastAsia="Calibri" w:hAnsi="Arial" w:cs="Arial"/>
          <w:sz w:val="24"/>
          <w:szCs w:val="24"/>
        </w:rPr>
        <w:t>The</w:t>
      </w:r>
      <w:r w:rsidR="00EF101B" w:rsidRPr="004C778F">
        <w:rPr>
          <w:rFonts w:ascii="Arial" w:eastAsia="Calibri" w:hAnsi="Arial" w:cs="Arial"/>
          <w:sz w:val="24"/>
          <w:szCs w:val="24"/>
        </w:rPr>
        <w:t xml:space="preserve"> facts that can be obtained from the papers are fairly clear and simple. The first respondent is the </w:t>
      </w:r>
      <w:r w:rsidR="00864D9D" w:rsidRPr="004C778F">
        <w:rPr>
          <w:rFonts w:ascii="Arial" w:eastAsia="Calibri" w:hAnsi="Arial" w:cs="Arial"/>
          <w:sz w:val="24"/>
          <w:szCs w:val="24"/>
        </w:rPr>
        <w:t>paternal grandmother of the applicants. On 16 October 2006, their parents namely R and L M, executed a joint Will</w:t>
      </w:r>
      <w:r w:rsidR="00B32635" w:rsidRPr="004C778F">
        <w:rPr>
          <w:rFonts w:ascii="Arial" w:eastAsia="Calibri" w:hAnsi="Arial" w:cs="Arial"/>
          <w:sz w:val="24"/>
          <w:szCs w:val="24"/>
        </w:rPr>
        <w:t>.</w:t>
      </w:r>
      <w:r w:rsidR="00864D9D" w:rsidRPr="004C778F">
        <w:rPr>
          <w:rFonts w:ascii="Arial" w:eastAsia="Calibri" w:hAnsi="Arial" w:cs="Arial"/>
          <w:sz w:val="24"/>
          <w:szCs w:val="24"/>
        </w:rPr>
        <w:t xml:space="preserve"> </w:t>
      </w:r>
      <w:r w:rsidR="00B32635" w:rsidRPr="004C778F">
        <w:rPr>
          <w:rFonts w:ascii="Arial" w:eastAsia="Calibri" w:hAnsi="Arial" w:cs="Arial"/>
          <w:sz w:val="24"/>
          <w:szCs w:val="24"/>
        </w:rPr>
        <w:t>In terms of the joint Will</w:t>
      </w:r>
      <w:r w:rsidR="00864D9D" w:rsidRPr="004C778F">
        <w:rPr>
          <w:rFonts w:ascii="Arial" w:eastAsia="Calibri" w:hAnsi="Arial" w:cs="Arial"/>
          <w:sz w:val="24"/>
          <w:szCs w:val="24"/>
        </w:rPr>
        <w:t xml:space="preserve"> the applicants</w:t>
      </w:r>
      <w:r w:rsidR="00B32635" w:rsidRPr="004C778F">
        <w:rPr>
          <w:rFonts w:ascii="Arial" w:eastAsia="Calibri" w:hAnsi="Arial" w:cs="Arial"/>
          <w:sz w:val="24"/>
          <w:szCs w:val="24"/>
        </w:rPr>
        <w:t xml:space="preserve"> were nominated as beneficiaries to inherit</w:t>
      </w:r>
      <w:r w:rsidR="00864D9D" w:rsidRPr="004C778F">
        <w:rPr>
          <w:rFonts w:ascii="Arial" w:eastAsia="Calibri" w:hAnsi="Arial" w:cs="Arial"/>
          <w:sz w:val="24"/>
          <w:szCs w:val="24"/>
        </w:rPr>
        <w:t xml:space="preserve"> the sum of R1,500,00.00 each. The</w:t>
      </w:r>
      <w:r w:rsidR="00D574CF" w:rsidRPr="004C778F">
        <w:rPr>
          <w:rFonts w:ascii="Arial" w:eastAsia="Calibri" w:hAnsi="Arial" w:cs="Arial"/>
          <w:sz w:val="24"/>
          <w:szCs w:val="24"/>
        </w:rPr>
        <w:t xml:space="preserve"> joint</w:t>
      </w:r>
      <w:r w:rsidR="00864D9D" w:rsidRPr="004C778F">
        <w:rPr>
          <w:rFonts w:ascii="Arial" w:eastAsia="Calibri" w:hAnsi="Arial" w:cs="Arial"/>
          <w:sz w:val="24"/>
          <w:szCs w:val="24"/>
        </w:rPr>
        <w:t xml:space="preserve"> Will </w:t>
      </w:r>
      <w:r w:rsidR="00D574CF" w:rsidRPr="004C778F">
        <w:rPr>
          <w:rFonts w:ascii="Arial" w:eastAsia="Calibri" w:hAnsi="Arial" w:cs="Arial"/>
          <w:sz w:val="24"/>
          <w:szCs w:val="24"/>
        </w:rPr>
        <w:t>stipulate</w:t>
      </w:r>
      <w:r w:rsidR="00864D9D" w:rsidRPr="004C778F">
        <w:rPr>
          <w:rFonts w:ascii="Arial" w:eastAsia="Calibri" w:hAnsi="Arial" w:cs="Arial"/>
          <w:sz w:val="24"/>
          <w:szCs w:val="24"/>
        </w:rPr>
        <w:t xml:space="preserve"> that the</w:t>
      </w:r>
      <w:r w:rsidR="00B32635" w:rsidRPr="004C778F">
        <w:rPr>
          <w:rFonts w:ascii="Arial" w:eastAsia="Calibri" w:hAnsi="Arial" w:cs="Arial"/>
          <w:sz w:val="24"/>
          <w:szCs w:val="24"/>
        </w:rPr>
        <w:t xml:space="preserve"> aforesaid</w:t>
      </w:r>
      <w:r w:rsidR="00864D9D" w:rsidRPr="004C778F">
        <w:rPr>
          <w:rFonts w:ascii="Arial" w:eastAsia="Calibri" w:hAnsi="Arial" w:cs="Arial"/>
          <w:sz w:val="24"/>
          <w:szCs w:val="24"/>
        </w:rPr>
        <w:t xml:space="preserve"> amount must be kept in a Testamentary Trust</w:t>
      </w:r>
      <w:r w:rsidR="00D574CF" w:rsidRPr="004C778F">
        <w:rPr>
          <w:rFonts w:ascii="Arial" w:eastAsia="Calibri" w:hAnsi="Arial" w:cs="Arial"/>
          <w:sz w:val="24"/>
          <w:szCs w:val="24"/>
        </w:rPr>
        <w:t xml:space="preserve"> (“Trust”)</w:t>
      </w:r>
      <w:r w:rsidR="00864D9D" w:rsidRPr="004C778F">
        <w:rPr>
          <w:rFonts w:ascii="Arial" w:eastAsia="Calibri" w:hAnsi="Arial" w:cs="Arial"/>
          <w:sz w:val="24"/>
          <w:szCs w:val="24"/>
        </w:rPr>
        <w:t xml:space="preserve"> to be established</w:t>
      </w:r>
      <w:r w:rsidR="00B32635" w:rsidRPr="004C778F">
        <w:rPr>
          <w:rFonts w:ascii="Arial" w:eastAsia="Calibri" w:hAnsi="Arial" w:cs="Arial"/>
          <w:sz w:val="24"/>
          <w:szCs w:val="24"/>
        </w:rPr>
        <w:t xml:space="preserve"> with the applicants as beneficiaries</w:t>
      </w:r>
      <w:r w:rsidR="00864D9D" w:rsidRPr="004C778F">
        <w:rPr>
          <w:rFonts w:ascii="Arial" w:eastAsia="Calibri" w:hAnsi="Arial" w:cs="Arial"/>
          <w:sz w:val="24"/>
          <w:szCs w:val="24"/>
        </w:rPr>
        <w:t>. The first respondent was appointed as the</w:t>
      </w:r>
      <w:r w:rsidR="00B32635" w:rsidRPr="004C778F">
        <w:rPr>
          <w:rFonts w:ascii="Arial" w:eastAsia="Calibri" w:hAnsi="Arial" w:cs="Arial"/>
          <w:sz w:val="24"/>
          <w:szCs w:val="24"/>
        </w:rPr>
        <w:t xml:space="preserve"> joint </w:t>
      </w:r>
      <w:r w:rsidR="00864D9D" w:rsidRPr="004C778F">
        <w:rPr>
          <w:rFonts w:ascii="Arial" w:eastAsia="Calibri" w:hAnsi="Arial" w:cs="Arial"/>
          <w:sz w:val="24"/>
          <w:szCs w:val="24"/>
        </w:rPr>
        <w:t>Trustee together with a certain C.J. Terblanche. The Testator die</w:t>
      </w:r>
      <w:r w:rsidR="00D574CF" w:rsidRPr="004C778F">
        <w:rPr>
          <w:rFonts w:ascii="Arial" w:eastAsia="Calibri" w:hAnsi="Arial" w:cs="Arial"/>
          <w:sz w:val="24"/>
          <w:szCs w:val="24"/>
        </w:rPr>
        <w:t>d in September 2009 and the joint Will</w:t>
      </w:r>
      <w:r w:rsidR="00864D9D" w:rsidRPr="004C778F">
        <w:rPr>
          <w:rFonts w:ascii="Arial" w:eastAsia="Calibri" w:hAnsi="Arial" w:cs="Arial"/>
          <w:sz w:val="24"/>
          <w:szCs w:val="24"/>
        </w:rPr>
        <w:t xml:space="preserve"> was accepted by the third respondent and its provisions given effect to.</w:t>
      </w:r>
      <w:r w:rsidR="00B32635" w:rsidRPr="004C778F">
        <w:rPr>
          <w:rFonts w:ascii="Arial" w:eastAsia="Calibri" w:hAnsi="Arial" w:cs="Arial"/>
          <w:sz w:val="24"/>
          <w:szCs w:val="24"/>
        </w:rPr>
        <w:t xml:space="preserve"> It is common cause that C.J. Terblanche resigned as a Trustee which left the first respondent firmly in control of the Trust.</w:t>
      </w:r>
    </w:p>
    <w:p w14:paraId="32D1F072" w14:textId="77777777" w:rsidR="001D52C9" w:rsidRPr="004C778F" w:rsidRDefault="008460BB" w:rsidP="00BE43D0">
      <w:pPr>
        <w:spacing w:line="360" w:lineRule="auto"/>
        <w:contextualSpacing/>
        <w:jc w:val="both"/>
        <w:rPr>
          <w:rFonts w:ascii="Arial" w:eastAsia="Calibri" w:hAnsi="Arial" w:cs="Arial"/>
          <w:sz w:val="24"/>
          <w:szCs w:val="24"/>
        </w:rPr>
      </w:pPr>
      <w:r w:rsidRPr="004C778F">
        <w:rPr>
          <w:rFonts w:ascii="Arial" w:eastAsia="Times New Roman" w:hAnsi="Arial" w:cs="Arial"/>
          <w:sz w:val="24"/>
          <w:szCs w:val="24"/>
          <w:lang w:eastAsia="en-GB"/>
        </w:rPr>
        <w:tab/>
      </w:r>
      <w:r w:rsidRPr="004C778F">
        <w:rPr>
          <w:rFonts w:ascii="Arial" w:eastAsia="Times New Roman" w:hAnsi="Arial" w:cs="Arial"/>
          <w:sz w:val="24"/>
          <w:szCs w:val="24"/>
          <w:lang w:eastAsia="en-GB"/>
        </w:rPr>
        <w:tab/>
      </w:r>
    </w:p>
    <w:p w14:paraId="3B020EB2" w14:textId="77777777" w:rsidR="00D574CF" w:rsidRPr="004C778F" w:rsidRDefault="002A6A79" w:rsidP="008A1065">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2D32E4" w:rsidRPr="004C778F">
        <w:rPr>
          <w:rFonts w:ascii="Arial" w:eastAsia="Calibri" w:hAnsi="Arial" w:cs="Arial"/>
          <w:sz w:val="24"/>
          <w:szCs w:val="24"/>
        </w:rPr>
        <w:t>5</w:t>
      </w:r>
      <w:r w:rsidR="001D52C9" w:rsidRPr="004C778F">
        <w:rPr>
          <w:rFonts w:ascii="Arial" w:eastAsia="Calibri" w:hAnsi="Arial" w:cs="Arial"/>
          <w:sz w:val="24"/>
          <w:szCs w:val="24"/>
        </w:rPr>
        <w:t>]</w:t>
      </w:r>
      <w:r w:rsidR="001D52C9" w:rsidRPr="004C778F">
        <w:rPr>
          <w:rFonts w:ascii="Arial" w:eastAsia="Calibri" w:hAnsi="Arial" w:cs="Arial"/>
          <w:sz w:val="24"/>
          <w:szCs w:val="24"/>
        </w:rPr>
        <w:tab/>
      </w:r>
      <w:r w:rsidR="00864D9D" w:rsidRPr="004C778F">
        <w:rPr>
          <w:rFonts w:ascii="Arial" w:eastAsia="Calibri" w:hAnsi="Arial" w:cs="Arial"/>
          <w:sz w:val="24"/>
          <w:szCs w:val="24"/>
        </w:rPr>
        <w:t>It is self-evident that from a tender age until recently</w:t>
      </w:r>
      <w:r w:rsidR="00B32635" w:rsidRPr="004C778F">
        <w:rPr>
          <w:rFonts w:ascii="Arial" w:eastAsia="Calibri" w:hAnsi="Arial" w:cs="Arial"/>
          <w:sz w:val="24"/>
          <w:szCs w:val="24"/>
        </w:rPr>
        <w:t>, the applicants lived off the income generated from their inheritances to cover for</w:t>
      </w:r>
      <w:r w:rsidR="00864D9D" w:rsidRPr="004C778F">
        <w:rPr>
          <w:rFonts w:ascii="Arial" w:eastAsia="Calibri" w:hAnsi="Arial" w:cs="Arial"/>
          <w:sz w:val="24"/>
          <w:szCs w:val="24"/>
        </w:rPr>
        <w:t xml:space="preserve"> daily expenses. </w:t>
      </w:r>
      <w:r w:rsidR="00D13F93" w:rsidRPr="004C778F">
        <w:rPr>
          <w:rFonts w:ascii="Arial" w:eastAsia="Calibri" w:hAnsi="Arial" w:cs="Arial"/>
          <w:sz w:val="24"/>
          <w:szCs w:val="24"/>
        </w:rPr>
        <w:t>A</w:t>
      </w:r>
      <w:r w:rsidR="00864D9D" w:rsidRPr="004C778F">
        <w:rPr>
          <w:rFonts w:ascii="Arial" w:eastAsia="Calibri" w:hAnsi="Arial" w:cs="Arial"/>
          <w:sz w:val="24"/>
          <w:szCs w:val="24"/>
        </w:rPr>
        <w:t>s</w:t>
      </w:r>
      <w:r w:rsidR="00D13F93" w:rsidRPr="004C778F">
        <w:rPr>
          <w:rFonts w:ascii="Arial" w:eastAsia="Calibri" w:hAnsi="Arial" w:cs="Arial"/>
          <w:sz w:val="24"/>
          <w:szCs w:val="24"/>
        </w:rPr>
        <w:t xml:space="preserve"> </w:t>
      </w:r>
      <w:r w:rsidR="00864D9D" w:rsidRPr="004C778F">
        <w:rPr>
          <w:rFonts w:ascii="Arial" w:eastAsia="Calibri" w:hAnsi="Arial" w:cs="Arial"/>
          <w:sz w:val="24"/>
          <w:szCs w:val="24"/>
        </w:rPr>
        <w:t>they grew older,</w:t>
      </w:r>
      <w:r w:rsidR="00D13F93" w:rsidRPr="004C778F">
        <w:rPr>
          <w:rFonts w:ascii="Arial" w:eastAsia="Calibri" w:hAnsi="Arial" w:cs="Arial"/>
          <w:sz w:val="24"/>
          <w:szCs w:val="24"/>
        </w:rPr>
        <w:t xml:space="preserve"> the applicants</w:t>
      </w:r>
      <w:r w:rsidR="00864D9D" w:rsidRPr="004C778F">
        <w:rPr>
          <w:rFonts w:ascii="Arial" w:eastAsia="Calibri" w:hAnsi="Arial" w:cs="Arial"/>
          <w:sz w:val="24"/>
          <w:szCs w:val="24"/>
        </w:rPr>
        <w:t xml:space="preserve"> were dissatisfied in the manner</w:t>
      </w:r>
      <w:r w:rsidR="00E10E55" w:rsidRPr="004C778F">
        <w:rPr>
          <w:rFonts w:ascii="Arial" w:eastAsia="Calibri" w:hAnsi="Arial" w:cs="Arial"/>
          <w:sz w:val="24"/>
          <w:szCs w:val="24"/>
        </w:rPr>
        <w:t xml:space="preserve"> that</w:t>
      </w:r>
      <w:r w:rsidR="00864D9D" w:rsidRPr="004C778F">
        <w:rPr>
          <w:rFonts w:ascii="Arial" w:eastAsia="Calibri" w:hAnsi="Arial" w:cs="Arial"/>
          <w:sz w:val="24"/>
          <w:szCs w:val="24"/>
        </w:rPr>
        <w:t xml:space="preserve"> the first respondent was controlling the funds and</w:t>
      </w:r>
      <w:r w:rsidR="00E10E55" w:rsidRPr="004C778F">
        <w:rPr>
          <w:rFonts w:ascii="Arial" w:eastAsia="Calibri" w:hAnsi="Arial" w:cs="Arial"/>
          <w:sz w:val="24"/>
          <w:szCs w:val="24"/>
        </w:rPr>
        <w:t xml:space="preserve"> therefore</w:t>
      </w:r>
      <w:r w:rsidR="00864D9D" w:rsidRPr="004C778F">
        <w:rPr>
          <w:rFonts w:ascii="Arial" w:eastAsia="Calibri" w:hAnsi="Arial" w:cs="Arial"/>
          <w:sz w:val="24"/>
          <w:szCs w:val="24"/>
        </w:rPr>
        <w:t xml:space="preserve"> launched an application for her removal as the Trustee. That application</w:t>
      </w:r>
      <w:r w:rsidR="00B32635" w:rsidRPr="004C778F">
        <w:rPr>
          <w:rFonts w:ascii="Arial" w:eastAsia="Calibri" w:hAnsi="Arial" w:cs="Arial"/>
          <w:sz w:val="24"/>
          <w:szCs w:val="24"/>
        </w:rPr>
        <w:t xml:space="preserve"> </w:t>
      </w:r>
      <w:r w:rsidR="00A927BF" w:rsidRPr="004C778F">
        <w:rPr>
          <w:rFonts w:ascii="Arial" w:eastAsia="Calibri" w:hAnsi="Arial" w:cs="Arial"/>
          <w:sz w:val="24"/>
          <w:szCs w:val="24"/>
        </w:rPr>
        <w:t>which is opposed</w:t>
      </w:r>
      <w:r w:rsidR="00864D9D" w:rsidRPr="004C778F">
        <w:rPr>
          <w:rFonts w:ascii="Arial" w:eastAsia="Calibri" w:hAnsi="Arial" w:cs="Arial"/>
          <w:sz w:val="24"/>
          <w:szCs w:val="24"/>
        </w:rPr>
        <w:t xml:space="preserve"> is still pending</w:t>
      </w:r>
      <w:r w:rsidR="00D574CF" w:rsidRPr="004C778F">
        <w:rPr>
          <w:rFonts w:ascii="Arial" w:eastAsia="Calibri" w:hAnsi="Arial" w:cs="Arial"/>
          <w:sz w:val="24"/>
          <w:szCs w:val="24"/>
        </w:rPr>
        <w:t xml:space="preserve"> before this court</w:t>
      </w:r>
      <w:r w:rsidR="00864D9D" w:rsidRPr="004C778F">
        <w:rPr>
          <w:rFonts w:ascii="Arial" w:eastAsia="Calibri" w:hAnsi="Arial" w:cs="Arial"/>
          <w:sz w:val="24"/>
          <w:szCs w:val="24"/>
        </w:rPr>
        <w:t>.</w:t>
      </w:r>
      <w:r w:rsidR="00A927BF" w:rsidRPr="004C778F">
        <w:rPr>
          <w:rFonts w:ascii="Arial" w:eastAsia="Calibri" w:hAnsi="Arial" w:cs="Arial"/>
          <w:sz w:val="24"/>
          <w:szCs w:val="24"/>
        </w:rPr>
        <w:t xml:space="preserve"> </w:t>
      </w:r>
    </w:p>
    <w:p w14:paraId="58FA8EDD" w14:textId="77777777" w:rsidR="008A1065" w:rsidRPr="004C778F" w:rsidRDefault="00D574CF" w:rsidP="008A1065">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lastRenderedPageBreak/>
        <w:t>[6]</w:t>
      </w:r>
      <w:r w:rsidRPr="004C778F">
        <w:rPr>
          <w:rFonts w:ascii="Arial" w:eastAsia="Calibri" w:hAnsi="Arial" w:cs="Arial"/>
          <w:sz w:val="24"/>
          <w:szCs w:val="24"/>
        </w:rPr>
        <w:tab/>
      </w:r>
      <w:r w:rsidR="00A927BF" w:rsidRPr="004C778F">
        <w:rPr>
          <w:rFonts w:ascii="Arial" w:eastAsia="Calibri" w:hAnsi="Arial" w:cs="Arial"/>
          <w:sz w:val="24"/>
          <w:szCs w:val="24"/>
        </w:rPr>
        <w:t>The pith of their case is that the first respondent committed certain irregularities and did not act in accordance with the edicts of her office.</w:t>
      </w:r>
      <w:r w:rsidR="00864D9D" w:rsidRPr="004C778F">
        <w:rPr>
          <w:rFonts w:ascii="Arial" w:eastAsia="Calibri" w:hAnsi="Arial" w:cs="Arial"/>
          <w:sz w:val="24"/>
          <w:szCs w:val="24"/>
        </w:rPr>
        <w:t xml:space="preserve"> On the other hand, the first respondent avers that all her actions were according to the dictates of her office as a Trustee and in the interests of the applicants. Her main point is that confronted with the rising costs and shrinking income, the Trust is unable to meet its monthly obligations towards the applicants. </w:t>
      </w:r>
    </w:p>
    <w:p w14:paraId="1F47AA13" w14:textId="77777777" w:rsidR="003B74C4" w:rsidRPr="004C778F" w:rsidRDefault="003B74C4" w:rsidP="003B74C4">
      <w:pPr>
        <w:spacing w:line="360" w:lineRule="auto"/>
        <w:ind w:left="851" w:hanging="851"/>
        <w:contextualSpacing/>
        <w:jc w:val="both"/>
        <w:rPr>
          <w:rFonts w:ascii="Arial" w:eastAsia="Calibri" w:hAnsi="Arial" w:cs="Arial"/>
          <w:sz w:val="24"/>
          <w:szCs w:val="24"/>
        </w:rPr>
      </w:pPr>
    </w:p>
    <w:p w14:paraId="1B546310" w14:textId="77777777" w:rsidR="00744FEF" w:rsidRPr="004C778F" w:rsidRDefault="002A6A79" w:rsidP="00600BEE">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D574CF" w:rsidRPr="004C778F">
        <w:rPr>
          <w:rFonts w:ascii="Arial" w:eastAsia="Calibri" w:hAnsi="Arial" w:cs="Arial"/>
          <w:sz w:val="24"/>
          <w:szCs w:val="24"/>
        </w:rPr>
        <w:t>7</w:t>
      </w:r>
      <w:r w:rsidR="001D52C9" w:rsidRPr="004C778F">
        <w:rPr>
          <w:rFonts w:ascii="Arial" w:eastAsia="Calibri" w:hAnsi="Arial" w:cs="Arial"/>
          <w:sz w:val="24"/>
          <w:szCs w:val="24"/>
        </w:rPr>
        <w:t xml:space="preserve">] </w:t>
      </w:r>
      <w:r w:rsidR="001D52C9" w:rsidRPr="004C778F">
        <w:rPr>
          <w:rFonts w:ascii="Arial" w:eastAsia="Calibri" w:hAnsi="Arial" w:cs="Arial"/>
          <w:sz w:val="24"/>
          <w:szCs w:val="24"/>
        </w:rPr>
        <w:tab/>
      </w:r>
      <w:r w:rsidR="0083258B" w:rsidRPr="004C778F">
        <w:rPr>
          <w:rFonts w:ascii="Arial" w:eastAsia="Calibri" w:hAnsi="Arial" w:cs="Arial"/>
          <w:sz w:val="24"/>
          <w:szCs w:val="24"/>
        </w:rPr>
        <w:t>The applicants contend that the Trust has sufficient cash assets to meet their needs. The first respondent is simply refusing to do so because she is vi</w:t>
      </w:r>
      <w:r w:rsidR="00D574CF" w:rsidRPr="004C778F">
        <w:rPr>
          <w:rFonts w:ascii="Arial" w:eastAsia="Calibri" w:hAnsi="Arial" w:cs="Arial"/>
          <w:sz w:val="24"/>
          <w:szCs w:val="24"/>
        </w:rPr>
        <w:t xml:space="preserve">ndictive and generally acting </w:t>
      </w:r>
      <w:r w:rsidR="0083258B" w:rsidRPr="004C778F">
        <w:rPr>
          <w:rFonts w:ascii="Arial" w:eastAsia="Calibri" w:hAnsi="Arial" w:cs="Arial"/>
          <w:i/>
          <w:sz w:val="24"/>
          <w:szCs w:val="24"/>
        </w:rPr>
        <w:t>mala fide</w:t>
      </w:r>
      <w:r w:rsidR="0083258B" w:rsidRPr="004C778F">
        <w:rPr>
          <w:rFonts w:ascii="Arial" w:eastAsia="Calibri" w:hAnsi="Arial" w:cs="Arial"/>
          <w:sz w:val="24"/>
          <w:szCs w:val="24"/>
        </w:rPr>
        <w:t>.</w:t>
      </w:r>
      <w:r w:rsidR="00744FEF" w:rsidRPr="004C778F">
        <w:rPr>
          <w:rFonts w:ascii="Arial" w:eastAsia="Calibri" w:hAnsi="Arial" w:cs="Arial"/>
          <w:sz w:val="24"/>
          <w:szCs w:val="24"/>
        </w:rPr>
        <w:t xml:space="preserve"> Counsel</w:t>
      </w:r>
      <w:r w:rsidR="00D574CF" w:rsidRPr="004C778F">
        <w:rPr>
          <w:rFonts w:ascii="Arial" w:eastAsia="Calibri" w:hAnsi="Arial" w:cs="Arial"/>
          <w:sz w:val="24"/>
          <w:szCs w:val="24"/>
        </w:rPr>
        <w:t xml:space="preserve"> for the applicants</w:t>
      </w:r>
      <w:r w:rsidR="00744FEF" w:rsidRPr="004C778F">
        <w:rPr>
          <w:rFonts w:ascii="Arial" w:eastAsia="Calibri" w:hAnsi="Arial" w:cs="Arial"/>
          <w:sz w:val="24"/>
          <w:szCs w:val="24"/>
        </w:rPr>
        <w:t xml:space="preserve"> argued that the first respondent must borrow or even beg in order to comply with her obligations as a Trustee. He launched a broadside at the co</w:t>
      </w:r>
      <w:r w:rsidR="00D574CF" w:rsidRPr="004C778F">
        <w:rPr>
          <w:rFonts w:ascii="Arial" w:eastAsia="Calibri" w:hAnsi="Arial" w:cs="Arial"/>
          <w:sz w:val="24"/>
          <w:szCs w:val="24"/>
        </w:rPr>
        <w:t>nduct of the first respondent by</w:t>
      </w:r>
      <w:r w:rsidR="00744FEF" w:rsidRPr="004C778F">
        <w:rPr>
          <w:rFonts w:ascii="Arial" w:eastAsia="Calibri" w:hAnsi="Arial" w:cs="Arial"/>
          <w:sz w:val="24"/>
          <w:szCs w:val="24"/>
        </w:rPr>
        <w:t xml:space="preserve"> investing</w:t>
      </w:r>
      <w:r w:rsidR="00D574CF" w:rsidRPr="004C778F">
        <w:rPr>
          <w:rFonts w:ascii="Arial" w:eastAsia="Calibri" w:hAnsi="Arial" w:cs="Arial"/>
          <w:sz w:val="24"/>
          <w:szCs w:val="24"/>
        </w:rPr>
        <w:t xml:space="preserve"> the Trust funds in her own name</w:t>
      </w:r>
      <w:r w:rsidR="00744FEF" w:rsidRPr="004C778F">
        <w:rPr>
          <w:rFonts w:ascii="Arial" w:eastAsia="Calibri" w:hAnsi="Arial" w:cs="Arial"/>
          <w:sz w:val="24"/>
          <w:szCs w:val="24"/>
        </w:rPr>
        <w:t>. The climax of his submissions is that the impossibility of performance (if any) is self-created and the first respondent cannot be allowed to benefit from it.</w:t>
      </w:r>
    </w:p>
    <w:p w14:paraId="0F690D38" w14:textId="77777777" w:rsidR="00744FEF" w:rsidRPr="004C778F" w:rsidRDefault="00744FEF" w:rsidP="00600BEE">
      <w:pPr>
        <w:spacing w:line="360" w:lineRule="auto"/>
        <w:ind w:left="851" w:hanging="851"/>
        <w:contextualSpacing/>
        <w:jc w:val="both"/>
        <w:rPr>
          <w:rFonts w:ascii="Arial" w:eastAsia="Calibri" w:hAnsi="Arial" w:cs="Arial"/>
          <w:sz w:val="24"/>
          <w:szCs w:val="24"/>
        </w:rPr>
      </w:pPr>
    </w:p>
    <w:p w14:paraId="4C2CDDDB" w14:textId="77777777" w:rsidR="00744FEF" w:rsidRPr="004C778F" w:rsidRDefault="00744FEF" w:rsidP="00744FEF">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066646" w:rsidRPr="004C778F">
        <w:rPr>
          <w:rFonts w:ascii="Arial" w:eastAsia="Calibri" w:hAnsi="Arial" w:cs="Arial"/>
          <w:sz w:val="24"/>
          <w:szCs w:val="24"/>
        </w:rPr>
        <w:t>8</w:t>
      </w:r>
      <w:r w:rsidRPr="004C778F">
        <w:rPr>
          <w:rFonts w:ascii="Arial" w:eastAsia="Calibri" w:hAnsi="Arial" w:cs="Arial"/>
          <w:sz w:val="24"/>
          <w:szCs w:val="24"/>
        </w:rPr>
        <w:t xml:space="preserve">] </w:t>
      </w:r>
      <w:r w:rsidRPr="004C778F">
        <w:rPr>
          <w:rFonts w:ascii="Arial" w:eastAsia="Calibri" w:hAnsi="Arial" w:cs="Arial"/>
          <w:sz w:val="24"/>
          <w:szCs w:val="24"/>
        </w:rPr>
        <w:tab/>
        <w:t>Counsel</w:t>
      </w:r>
      <w:r w:rsidR="00D574CF" w:rsidRPr="004C778F">
        <w:rPr>
          <w:rFonts w:ascii="Arial" w:eastAsia="Calibri" w:hAnsi="Arial" w:cs="Arial"/>
          <w:sz w:val="24"/>
          <w:szCs w:val="24"/>
        </w:rPr>
        <w:t xml:space="preserve"> for the first respondent</w:t>
      </w:r>
      <w:r w:rsidRPr="004C778F">
        <w:rPr>
          <w:rFonts w:ascii="Arial" w:eastAsia="Calibri" w:hAnsi="Arial" w:cs="Arial"/>
          <w:sz w:val="24"/>
          <w:szCs w:val="24"/>
        </w:rPr>
        <w:t xml:space="preserve"> raised a point</w:t>
      </w:r>
      <w:r w:rsidR="00D574CF" w:rsidRPr="004C778F">
        <w:rPr>
          <w:rFonts w:ascii="Arial" w:eastAsia="Calibri" w:hAnsi="Arial" w:cs="Arial"/>
          <w:sz w:val="24"/>
          <w:szCs w:val="24"/>
        </w:rPr>
        <w:t xml:space="preserve"> </w:t>
      </w:r>
      <w:r w:rsidR="00D574CF" w:rsidRPr="004C778F">
        <w:rPr>
          <w:rFonts w:ascii="Arial" w:eastAsia="Calibri" w:hAnsi="Arial" w:cs="Arial"/>
          <w:i/>
          <w:sz w:val="24"/>
          <w:szCs w:val="24"/>
        </w:rPr>
        <w:t xml:space="preserve">in </w:t>
      </w:r>
      <w:proofErr w:type="spellStart"/>
      <w:r w:rsidR="00D574CF" w:rsidRPr="004C778F">
        <w:rPr>
          <w:rFonts w:ascii="Arial" w:eastAsia="Calibri" w:hAnsi="Arial" w:cs="Arial"/>
          <w:i/>
          <w:sz w:val="24"/>
          <w:szCs w:val="24"/>
        </w:rPr>
        <w:t>limine</w:t>
      </w:r>
      <w:proofErr w:type="spellEnd"/>
      <w:r w:rsidRPr="004C778F">
        <w:rPr>
          <w:rFonts w:ascii="Arial" w:eastAsia="Calibri" w:hAnsi="Arial" w:cs="Arial"/>
          <w:sz w:val="24"/>
          <w:szCs w:val="24"/>
        </w:rPr>
        <w:t xml:space="preserve"> with regards to non-compliance with Uniform Rule 41A. The first respondent had filed a notice as per the Uniform Rule and the applicants did not even seek a condonation. On these bas</w:t>
      </w:r>
      <w:r w:rsidR="00E10E55" w:rsidRPr="004C778F">
        <w:rPr>
          <w:rFonts w:ascii="Arial" w:eastAsia="Calibri" w:hAnsi="Arial" w:cs="Arial"/>
          <w:sz w:val="24"/>
          <w:szCs w:val="24"/>
        </w:rPr>
        <w:t>es</w:t>
      </w:r>
      <w:r w:rsidRPr="004C778F">
        <w:rPr>
          <w:rFonts w:ascii="Arial" w:eastAsia="Calibri" w:hAnsi="Arial" w:cs="Arial"/>
          <w:sz w:val="24"/>
          <w:szCs w:val="24"/>
        </w:rPr>
        <w:t xml:space="preserve"> the </w:t>
      </w:r>
      <w:r w:rsidR="001E75E8" w:rsidRPr="004C778F">
        <w:rPr>
          <w:rFonts w:ascii="Arial" w:eastAsia="Calibri" w:hAnsi="Arial" w:cs="Arial"/>
          <w:sz w:val="24"/>
          <w:szCs w:val="24"/>
        </w:rPr>
        <w:t>first respondent moves for an order that the application</w:t>
      </w:r>
      <w:r w:rsidR="00066646" w:rsidRPr="004C778F">
        <w:rPr>
          <w:rFonts w:ascii="Arial" w:eastAsia="Calibri" w:hAnsi="Arial" w:cs="Arial"/>
          <w:sz w:val="24"/>
          <w:szCs w:val="24"/>
        </w:rPr>
        <w:t xml:space="preserve"> must</w:t>
      </w:r>
      <w:r w:rsidR="001E75E8" w:rsidRPr="004C778F">
        <w:rPr>
          <w:rFonts w:ascii="Arial" w:eastAsia="Calibri" w:hAnsi="Arial" w:cs="Arial"/>
          <w:sz w:val="24"/>
          <w:szCs w:val="24"/>
        </w:rPr>
        <w:t xml:space="preserve"> be dismissed or</w:t>
      </w:r>
      <w:r w:rsidR="00066646" w:rsidRPr="004C778F">
        <w:rPr>
          <w:rFonts w:ascii="Arial" w:eastAsia="Calibri" w:hAnsi="Arial" w:cs="Arial"/>
          <w:sz w:val="24"/>
          <w:szCs w:val="24"/>
        </w:rPr>
        <w:t xml:space="preserve"> I make</w:t>
      </w:r>
      <w:r w:rsidR="001E75E8" w:rsidRPr="004C778F">
        <w:rPr>
          <w:rFonts w:ascii="Arial" w:eastAsia="Calibri" w:hAnsi="Arial" w:cs="Arial"/>
          <w:sz w:val="24"/>
          <w:szCs w:val="24"/>
        </w:rPr>
        <w:t xml:space="preserve"> an </w:t>
      </w:r>
      <w:r w:rsidR="00066646" w:rsidRPr="004C778F">
        <w:rPr>
          <w:rFonts w:ascii="Arial" w:eastAsia="Calibri" w:hAnsi="Arial" w:cs="Arial"/>
          <w:sz w:val="24"/>
          <w:szCs w:val="24"/>
        </w:rPr>
        <w:t>appropriate costs order.</w:t>
      </w:r>
    </w:p>
    <w:p w14:paraId="70480375" w14:textId="77777777" w:rsidR="00744FEF" w:rsidRPr="004C778F" w:rsidRDefault="00744FEF" w:rsidP="00744FEF">
      <w:pPr>
        <w:spacing w:line="360" w:lineRule="auto"/>
        <w:ind w:left="851" w:hanging="851"/>
        <w:contextualSpacing/>
        <w:jc w:val="both"/>
        <w:rPr>
          <w:rFonts w:ascii="Arial" w:eastAsia="Calibri" w:hAnsi="Arial" w:cs="Arial"/>
          <w:sz w:val="24"/>
          <w:szCs w:val="24"/>
        </w:rPr>
      </w:pPr>
    </w:p>
    <w:p w14:paraId="15B984BC" w14:textId="77777777" w:rsidR="00600BEE" w:rsidRPr="004C778F" w:rsidRDefault="00066646" w:rsidP="00600BEE">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[9</w:t>
      </w:r>
      <w:r w:rsidR="001E75E8" w:rsidRPr="004C778F">
        <w:rPr>
          <w:rFonts w:ascii="Arial" w:eastAsia="Calibri" w:hAnsi="Arial" w:cs="Arial"/>
          <w:sz w:val="24"/>
          <w:szCs w:val="24"/>
        </w:rPr>
        <w:t>]</w:t>
      </w:r>
      <w:r w:rsidR="001E75E8" w:rsidRPr="004C778F">
        <w:rPr>
          <w:rFonts w:ascii="Arial" w:eastAsia="Calibri" w:hAnsi="Arial" w:cs="Arial"/>
          <w:sz w:val="24"/>
          <w:szCs w:val="24"/>
        </w:rPr>
        <w:tab/>
      </w:r>
      <w:r w:rsidRPr="004C778F">
        <w:rPr>
          <w:rFonts w:ascii="Arial" w:eastAsia="Calibri" w:hAnsi="Arial" w:cs="Arial"/>
          <w:sz w:val="24"/>
          <w:szCs w:val="24"/>
        </w:rPr>
        <w:t>He</w:t>
      </w:r>
      <w:r w:rsidR="001E75E8" w:rsidRPr="004C778F">
        <w:rPr>
          <w:rFonts w:ascii="Arial" w:eastAsia="Calibri" w:hAnsi="Arial" w:cs="Arial"/>
          <w:sz w:val="24"/>
          <w:szCs w:val="24"/>
        </w:rPr>
        <w:t xml:space="preserve"> also</w:t>
      </w:r>
      <w:r w:rsidR="0083258B" w:rsidRPr="004C778F">
        <w:rPr>
          <w:rFonts w:ascii="Arial" w:eastAsia="Calibri" w:hAnsi="Arial" w:cs="Arial"/>
          <w:sz w:val="24"/>
          <w:szCs w:val="24"/>
        </w:rPr>
        <w:t xml:space="preserve"> raised the defence of i</w:t>
      </w:r>
      <w:r w:rsidR="001E75E8" w:rsidRPr="004C778F">
        <w:rPr>
          <w:rFonts w:ascii="Arial" w:eastAsia="Calibri" w:hAnsi="Arial" w:cs="Arial"/>
          <w:sz w:val="24"/>
          <w:szCs w:val="24"/>
        </w:rPr>
        <w:t xml:space="preserve">mpossibility of performance. Counsel </w:t>
      </w:r>
      <w:r w:rsidR="0083258B" w:rsidRPr="004C778F">
        <w:rPr>
          <w:rFonts w:ascii="Arial" w:eastAsia="Calibri" w:hAnsi="Arial" w:cs="Arial"/>
          <w:sz w:val="24"/>
          <w:szCs w:val="24"/>
        </w:rPr>
        <w:t>pointed out that the Trust coffers have run dry and therefore she could not meet her obligations. This aspect, it was contended, was brought to the attention of the applicants on numerous occasions</w:t>
      </w:r>
      <w:r w:rsidRPr="004C778F">
        <w:rPr>
          <w:rFonts w:ascii="Arial" w:eastAsia="Calibri" w:hAnsi="Arial" w:cs="Arial"/>
          <w:sz w:val="24"/>
          <w:szCs w:val="24"/>
        </w:rPr>
        <w:t xml:space="preserve"> in the past. The funds were depleted because of wrong choices made by the applicants</w:t>
      </w:r>
      <w:r w:rsidR="0083258B" w:rsidRPr="004C778F">
        <w:rPr>
          <w:rFonts w:ascii="Arial" w:eastAsia="Calibri" w:hAnsi="Arial" w:cs="Arial"/>
          <w:sz w:val="24"/>
          <w:szCs w:val="24"/>
        </w:rPr>
        <w:t xml:space="preserve"> and</w:t>
      </w:r>
      <w:r w:rsidRPr="004C778F">
        <w:rPr>
          <w:rFonts w:ascii="Arial" w:eastAsia="Calibri" w:hAnsi="Arial" w:cs="Arial"/>
          <w:sz w:val="24"/>
          <w:szCs w:val="24"/>
        </w:rPr>
        <w:t xml:space="preserve"> their</w:t>
      </w:r>
      <w:r w:rsidR="0083258B" w:rsidRPr="004C778F">
        <w:rPr>
          <w:rFonts w:ascii="Arial" w:eastAsia="Calibri" w:hAnsi="Arial" w:cs="Arial"/>
          <w:sz w:val="24"/>
          <w:szCs w:val="24"/>
        </w:rPr>
        <w:t xml:space="preserve"> insistence of audited financial statements which cost money. In a nutshell, they brought this</w:t>
      </w:r>
      <w:r w:rsidRPr="004C778F">
        <w:rPr>
          <w:rFonts w:ascii="Arial" w:eastAsia="Calibri" w:hAnsi="Arial" w:cs="Arial"/>
          <w:sz w:val="24"/>
          <w:szCs w:val="24"/>
        </w:rPr>
        <w:t xml:space="preserve"> dire</w:t>
      </w:r>
      <w:r w:rsidR="0083258B" w:rsidRPr="004C778F">
        <w:rPr>
          <w:rFonts w:ascii="Arial" w:eastAsia="Calibri" w:hAnsi="Arial" w:cs="Arial"/>
          <w:sz w:val="24"/>
          <w:szCs w:val="24"/>
        </w:rPr>
        <w:t xml:space="preserve"> situation</w:t>
      </w:r>
      <w:r w:rsidR="009A0F38" w:rsidRPr="004C778F">
        <w:rPr>
          <w:rFonts w:ascii="Arial" w:eastAsia="Calibri" w:hAnsi="Arial" w:cs="Arial"/>
          <w:sz w:val="24"/>
          <w:szCs w:val="24"/>
        </w:rPr>
        <w:t xml:space="preserve"> upon themselves.</w:t>
      </w:r>
    </w:p>
    <w:p w14:paraId="0925E310" w14:textId="77777777" w:rsidR="001E75E8" w:rsidRPr="004C778F" w:rsidRDefault="001E75E8" w:rsidP="00600BEE">
      <w:pPr>
        <w:spacing w:line="360" w:lineRule="auto"/>
        <w:ind w:left="851" w:hanging="851"/>
        <w:contextualSpacing/>
        <w:jc w:val="both"/>
        <w:rPr>
          <w:rFonts w:ascii="Arial" w:eastAsia="Calibri" w:hAnsi="Arial" w:cs="Arial"/>
          <w:sz w:val="24"/>
          <w:szCs w:val="24"/>
        </w:rPr>
      </w:pPr>
    </w:p>
    <w:p w14:paraId="0D848A39" w14:textId="77777777" w:rsidR="001E75E8" w:rsidRPr="004C778F" w:rsidRDefault="001E75E8" w:rsidP="001E75E8">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066646" w:rsidRPr="004C778F">
        <w:rPr>
          <w:rFonts w:ascii="Arial" w:eastAsia="Calibri" w:hAnsi="Arial" w:cs="Arial"/>
          <w:sz w:val="24"/>
          <w:szCs w:val="24"/>
        </w:rPr>
        <w:t>10</w:t>
      </w:r>
      <w:r w:rsidRPr="004C778F">
        <w:rPr>
          <w:rFonts w:ascii="Arial" w:eastAsia="Calibri" w:hAnsi="Arial" w:cs="Arial"/>
          <w:sz w:val="24"/>
          <w:szCs w:val="24"/>
        </w:rPr>
        <w:t xml:space="preserve">] </w:t>
      </w:r>
      <w:r w:rsidRPr="004C778F">
        <w:rPr>
          <w:rFonts w:ascii="Arial" w:eastAsia="Calibri" w:hAnsi="Arial" w:cs="Arial"/>
          <w:sz w:val="24"/>
          <w:szCs w:val="24"/>
        </w:rPr>
        <w:tab/>
        <w:t>Mediation as a dispute resolution mechanism is fairly in its embryonic stage. It is applicable to both actions and application proceedings that are brought before court.</w:t>
      </w:r>
      <w:r w:rsidR="00F25042" w:rsidRPr="004C778F">
        <w:rPr>
          <w:rFonts w:ascii="Arial" w:eastAsia="Calibri" w:hAnsi="Arial" w:cs="Arial"/>
          <w:sz w:val="24"/>
          <w:szCs w:val="24"/>
        </w:rPr>
        <w:t xml:space="preserve"> Urgent applications are not an exception.</w:t>
      </w:r>
      <w:r w:rsidRPr="004C778F">
        <w:rPr>
          <w:rFonts w:ascii="Arial" w:eastAsia="Calibri" w:hAnsi="Arial" w:cs="Arial"/>
          <w:sz w:val="24"/>
          <w:szCs w:val="24"/>
        </w:rPr>
        <w:t xml:space="preserve"> It stands to reason that non-compliance should attract some kind of sanction. The objection, valid as it may be, cannot be the ground upon which this matter can be dismissed. The </w:t>
      </w:r>
      <w:r w:rsidRPr="004C778F">
        <w:rPr>
          <w:rFonts w:ascii="Arial" w:eastAsia="Calibri" w:hAnsi="Arial" w:cs="Arial"/>
          <w:sz w:val="24"/>
          <w:szCs w:val="24"/>
        </w:rPr>
        <w:lastRenderedPageBreak/>
        <w:t>principle that the rules are for the Courts not the Courts for the rules must apply.</w:t>
      </w:r>
      <w:r w:rsidR="00F25042" w:rsidRPr="004C778F">
        <w:rPr>
          <w:rFonts w:ascii="Arial" w:eastAsia="Calibri" w:hAnsi="Arial" w:cs="Arial"/>
          <w:sz w:val="24"/>
          <w:szCs w:val="24"/>
        </w:rPr>
        <w:t xml:space="preserve"> I am inclined to condone non-compliance simply because this matter requires urgent attention of the court.</w:t>
      </w:r>
    </w:p>
    <w:p w14:paraId="30B76308" w14:textId="77777777" w:rsidR="00E54AF4" w:rsidRPr="004C778F" w:rsidRDefault="00E54AF4" w:rsidP="00FD3148">
      <w:pPr>
        <w:spacing w:line="360" w:lineRule="auto"/>
        <w:contextualSpacing/>
        <w:jc w:val="both"/>
        <w:rPr>
          <w:rFonts w:ascii="Arial" w:eastAsia="Calibri" w:hAnsi="Arial" w:cs="Arial"/>
          <w:sz w:val="24"/>
          <w:szCs w:val="24"/>
        </w:rPr>
      </w:pPr>
    </w:p>
    <w:p w14:paraId="065EF7D6" w14:textId="77777777" w:rsidR="00FD3148" w:rsidRPr="004C778F" w:rsidRDefault="002A6A79" w:rsidP="00B35E3D">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F25042" w:rsidRPr="004C778F">
        <w:rPr>
          <w:rFonts w:ascii="Arial" w:eastAsia="Calibri" w:hAnsi="Arial" w:cs="Arial"/>
          <w:sz w:val="24"/>
          <w:szCs w:val="24"/>
        </w:rPr>
        <w:t>11</w:t>
      </w:r>
      <w:r w:rsidR="001D52C9" w:rsidRPr="004C778F">
        <w:rPr>
          <w:rFonts w:ascii="Arial" w:eastAsia="Calibri" w:hAnsi="Arial" w:cs="Arial"/>
          <w:sz w:val="24"/>
          <w:szCs w:val="24"/>
        </w:rPr>
        <w:t xml:space="preserve">] </w:t>
      </w:r>
      <w:r w:rsidR="001D52C9" w:rsidRPr="004C778F">
        <w:rPr>
          <w:rFonts w:ascii="Arial" w:eastAsia="Calibri" w:hAnsi="Arial" w:cs="Arial"/>
          <w:sz w:val="24"/>
          <w:szCs w:val="24"/>
        </w:rPr>
        <w:tab/>
      </w:r>
      <w:r w:rsidR="00880C1D" w:rsidRPr="004C778F">
        <w:rPr>
          <w:rFonts w:ascii="Arial" w:eastAsia="Calibri" w:hAnsi="Arial" w:cs="Arial"/>
          <w:sz w:val="24"/>
          <w:szCs w:val="24"/>
        </w:rPr>
        <w:t>The</w:t>
      </w:r>
      <w:r w:rsidR="00600BEE" w:rsidRPr="004C778F">
        <w:rPr>
          <w:rFonts w:ascii="Arial" w:eastAsia="Calibri" w:hAnsi="Arial" w:cs="Arial"/>
          <w:sz w:val="24"/>
          <w:szCs w:val="24"/>
        </w:rPr>
        <w:t xml:space="preserve"> </w:t>
      </w:r>
      <w:r w:rsidR="009A0F38" w:rsidRPr="004C778F">
        <w:rPr>
          <w:rFonts w:ascii="Arial" w:eastAsia="Calibri" w:hAnsi="Arial" w:cs="Arial"/>
          <w:sz w:val="24"/>
          <w:szCs w:val="24"/>
        </w:rPr>
        <w:t xml:space="preserve">battle </w:t>
      </w:r>
      <w:r w:rsidR="00686E59" w:rsidRPr="004C778F">
        <w:rPr>
          <w:rFonts w:ascii="Arial" w:eastAsia="Calibri" w:hAnsi="Arial" w:cs="Arial"/>
          <w:sz w:val="24"/>
          <w:szCs w:val="24"/>
        </w:rPr>
        <w:t xml:space="preserve">royal between the parties </w:t>
      </w:r>
      <w:r w:rsidR="001E75E8" w:rsidRPr="004C778F">
        <w:rPr>
          <w:rFonts w:ascii="Arial" w:eastAsia="Calibri" w:hAnsi="Arial" w:cs="Arial"/>
          <w:sz w:val="24"/>
          <w:szCs w:val="24"/>
        </w:rPr>
        <w:t>is about the sum of R800,000.00</w:t>
      </w:r>
      <w:r w:rsidR="00686E59" w:rsidRPr="004C778F">
        <w:rPr>
          <w:rFonts w:ascii="Arial" w:eastAsia="Calibri" w:hAnsi="Arial" w:cs="Arial"/>
          <w:sz w:val="24"/>
          <w:szCs w:val="24"/>
        </w:rPr>
        <w:t xml:space="preserve"> which is invested in a fixed financial instrument with the second respondent. According to the applicants there is no conceivable reason why these funds cannot be used for their upkeep. Even if it means terminating the investment</w:t>
      </w:r>
      <w:r w:rsidR="00F25042" w:rsidRPr="004C778F">
        <w:rPr>
          <w:rFonts w:ascii="Arial" w:eastAsia="Calibri" w:hAnsi="Arial" w:cs="Arial"/>
          <w:sz w:val="24"/>
          <w:szCs w:val="24"/>
        </w:rPr>
        <w:t xml:space="preserve"> and incurring penalties if applicable.</w:t>
      </w:r>
      <w:r w:rsidR="00686E59" w:rsidRPr="004C778F">
        <w:rPr>
          <w:rFonts w:ascii="Arial" w:eastAsia="Calibri" w:hAnsi="Arial" w:cs="Arial"/>
          <w:sz w:val="24"/>
          <w:szCs w:val="24"/>
        </w:rPr>
        <w:t xml:space="preserve"> The </w:t>
      </w:r>
      <w:r w:rsidR="00F25042" w:rsidRPr="004C778F">
        <w:rPr>
          <w:rFonts w:ascii="Arial" w:eastAsia="Calibri" w:hAnsi="Arial" w:cs="Arial"/>
          <w:sz w:val="24"/>
          <w:szCs w:val="24"/>
        </w:rPr>
        <w:t>first respondent avers that the</w:t>
      </w:r>
      <w:r w:rsidR="00686E59" w:rsidRPr="004C778F">
        <w:rPr>
          <w:rFonts w:ascii="Arial" w:eastAsia="Calibri" w:hAnsi="Arial" w:cs="Arial"/>
          <w:sz w:val="24"/>
          <w:szCs w:val="24"/>
        </w:rPr>
        <w:t xml:space="preserve"> policy mature</w:t>
      </w:r>
      <w:r w:rsidR="00F25042" w:rsidRPr="004C778F">
        <w:rPr>
          <w:rFonts w:ascii="Arial" w:eastAsia="Calibri" w:hAnsi="Arial" w:cs="Arial"/>
          <w:sz w:val="24"/>
          <w:szCs w:val="24"/>
        </w:rPr>
        <w:t>s in December 2024 and the funds</w:t>
      </w:r>
      <w:r w:rsidR="00686E59" w:rsidRPr="004C778F">
        <w:rPr>
          <w:rFonts w:ascii="Arial" w:eastAsia="Calibri" w:hAnsi="Arial" w:cs="Arial"/>
          <w:sz w:val="24"/>
          <w:szCs w:val="24"/>
        </w:rPr>
        <w:t xml:space="preserve"> will be available to the applicants. </w:t>
      </w:r>
      <w:r w:rsidR="00D13F93" w:rsidRPr="004C778F">
        <w:rPr>
          <w:rFonts w:ascii="Arial" w:eastAsia="Calibri" w:hAnsi="Arial" w:cs="Arial"/>
          <w:sz w:val="24"/>
          <w:szCs w:val="24"/>
        </w:rPr>
        <w:t xml:space="preserve">Although the </w:t>
      </w:r>
      <w:r w:rsidR="00686E59" w:rsidRPr="004C778F">
        <w:rPr>
          <w:rFonts w:ascii="Arial" w:eastAsia="Calibri" w:hAnsi="Arial" w:cs="Arial"/>
          <w:sz w:val="24"/>
          <w:szCs w:val="24"/>
        </w:rPr>
        <w:t xml:space="preserve">investment </w:t>
      </w:r>
      <w:r w:rsidR="00D13F93" w:rsidRPr="004C778F">
        <w:rPr>
          <w:rFonts w:ascii="Arial" w:eastAsia="Calibri" w:hAnsi="Arial" w:cs="Arial"/>
          <w:sz w:val="24"/>
          <w:szCs w:val="24"/>
        </w:rPr>
        <w:t>is</w:t>
      </w:r>
      <w:r w:rsidR="00686E59" w:rsidRPr="004C778F">
        <w:rPr>
          <w:rFonts w:ascii="Arial" w:eastAsia="Calibri" w:hAnsi="Arial" w:cs="Arial"/>
          <w:sz w:val="24"/>
          <w:szCs w:val="24"/>
        </w:rPr>
        <w:t xml:space="preserve"> made in her name</w:t>
      </w:r>
      <w:r w:rsidR="00B8036E" w:rsidRPr="004C778F">
        <w:rPr>
          <w:rFonts w:ascii="Arial" w:eastAsia="Calibri" w:hAnsi="Arial" w:cs="Arial"/>
          <w:sz w:val="24"/>
          <w:szCs w:val="24"/>
        </w:rPr>
        <w:t xml:space="preserve"> and</w:t>
      </w:r>
      <w:r w:rsidR="00686E59" w:rsidRPr="004C778F">
        <w:rPr>
          <w:rFonts w:ascii="Arial" w:eastAsia="Calibri" w:hAnsi="Arial" w:cs="Arial"/>
          <w:sz w:val="24"/>
          <w:szCs w:val="24"/>
        </w:rPr>
        <w:t xml:space="preserve"> not the Trust, the beneficiary thereof is the Trust. </w:t>
      </w:r>
      <w:r w:rsidR="00F25042" w:rsidRPr="004C778F">
        <w:rPr>
          <w:rFonts w:ascii="Arial" w:eastAsia="Calibri" w:hAnsi="Arial" w:cs="Arial"/>
          <w:sz w:val="24"/>
          <w:szCs w:val="24"/>
        </w:rPr>
        <w:t>The explanation is that it could not be done in the name of the Trust and the primary benefit is</w:t>
      </w:r>
      <w:r w:rsidR="00686E59" w:rsidRPr="004C778F">
        <w:rPr>
          <w:rFonts w:ascii="Arial" w:eastAsia="Calibri" w:hAnsi="Arial" w:cs="Arial"/>
          <w:sz w:val="24"/>
          <w:szCs w:val="24"/>
        </w:rPr>
        <w:t xml:space="preserve"> a life insurance called the “booster plan” attached to it. All the same</w:t>
      </w:r>
      <w:r w:rsidR="00F25042" w:rsidRPr="004C778F">
        <w:rPr>
          <w:rFonts w:ascii="Arial" w:eastAsia="Calibri" w:hAnsi="Arial" w:cs="Arial"/>
          <w:sz w:val="24"/>
          <w:szCs w:val="24"/>
        </w:rPr>
        <w:t>,</w:t>
      </w:r>
      <w:r w:rsidR="00686E59" w:rsidRPr="004C778F">
        <w:rPr>
          <w:rFonts w:ascii="Arial" w:eastAsia="Calibri" w:hAnsi="Arial" w:cs="Arial"/>
          <w:sz w:val="24"/>
          <w:szCs w:val="24"/>
        </w:rPr>
        <w:t xml:space="preserve"> </w:t>
      </w:r>
      <w:r w:rsidR="00F25042" w:rsidRPr="004C778F">
        <w:rPr>
          <w:rFonts w:ascii="Arial" w:eastAsia="Calibri" w:hAnsi="Arial" w:cs="Arial"/>
          <w:sz w:val="24"/>
          <w:szCs w:val="24"/>
        </w:rPr>
        <w:t xml:space="preserve">this kind of investment was previously </w:t>
      </w:r>
      <w:r w:rsidR="00686E59" w:rsidRPr="004C778F">
        <w:rPr>
          <w:rFonts w:ascii="Arial" w:eastAsia="Calibri" w:hAnsi="Arial" w:cs="Arial"/>
          <w:sz w:val="24"/>
          <w:szCs w:val="24"/>
        </w:rPr>
        <w:t>made in 2012, 2014 and the current one in 2019.</w:t>
      </w:r>
      <w:r w:rsidR="001E75E8" w:rsidRPr="004C778F">
        <w:rPr>
          <w:rFonts w:ascii="Arial" w:eastAsia="Calibri" w:hAnsi="Arial" w:cs="Arial"/>
          <w:sz w:val="24"/>
          <w:szCs w:val="24"/>
        </w:rPr>
        <w:t xml:space="preserve"> This explanation which in my view makes sense, disavow any allegations of impropriety.</w:t>
      </w:r>
    </w:p>
    <w:p w14:paraId="04567CA0" w14:textId="77777777" w:rsidR="00FD3148" w:rsidRPr="004C778F" w:rsidRDefault="00FD3148" w:rsidP="00FD3148">
      <w:pPr>
        <w:spacing w:line="360" w:lineRule="auto"/>
        <w:ind w:left="851" w:hanging="851"/>
        <w:contextualSpacing/>
        <w:jc w:val="both"/>
        <w:rPr>
          <w:rFonts w:ascii="Arial" w:eastAsia="Calibri" w:hAnsi="Arial" w:cs="Arial"/>
          <w:b/>
          <w:sz w:val="24"/>
          <w:szCs w:val="24"/>
          <w:u w:val="single"/>
        </w:rPr>
      </w:pPr>
    </w:p>
    <w:p w14:paraId="04F7BC3A" w14:textId="77777777" w:rsidR="009D7ED0" w:rsidRPr="004C778F" w:rsidRDefault="002A6A79" w:rsidP="00B35E3D">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F25042" w:rsidRPr="004C778F">
        <w:rPr>
          <w:rFonts w:ascii="Arial" w:eastAsia="Calibri" w:hAnsi="Arial" w:cs="Arial"/>
          <w:sz w:val="24"/>
          <w:szCs w:val="24"/>
        </w:rPr>
        <w:t>12</w:t>
      </w:r>
      <w:r w:rsidR="001D52C9" w:rsidRPr="004C778F">
        <w:rPr>
          <w:rFonts w:ascii="Arial" w:eastAsia="Calibri" w:hAnsi="Arial" w:cs="Arial"/>
          <w:sz w:val="24"/>
          <w:szCs w:val="24"/>
        </w:rPr>
        <w:t xml:space="preserve">] </w:t>
      </w:r>
      <w:r w:rsidR="001D52C9" w:rsidRPr="004C778F">
        <w:rPr>
          <w:rFonts w:ascii="Arial" w:eastAsia="Calibri" w:hAnsi="Arial" w:cs="Arial"/>
          <w:sz w:val="24"/>
          <w:szCs w:val="24"/>
        </w:rPr>
        <w:tab/>
      </w:r>
      <w:r w:rsidR="00686E59" w:rsidRPr="004C778F">
        <w:rPr>
          <w:rFonts w:ascii="Arial" w:eastAsia="Calibri" w:hAnsi="Arial" w:cs="Arial"/>
          <w:sz w:val="24"/>
          <w:szCs w:val="24"/>
        </w:rPr>
        <w:t xml:space="preserve">The applicants essentially seek maintenance from the Trust. This issue can be dealt with adequately by the relevant Maintenance Court. The parties can do so by ventilating their issues there and presenting evidence to support </w:t>
      </w:r>
      <w:r w:rsidR="00AB6B17" w:rsidRPr="004C778F">
        <w:rPr>
          <w:rFonts w:ascii="Arial" w:eastAsia="Calibri" w:hAnsi="Arial" w:cs="Arial"/>
          <w:sz w:val="24"/>
          <w:szCs w:val="24"/>
        </w:rPr>
        <w:t>their assertions. Earlier I briefly alluded to the long litigation history between the parties. This is evidenced by a flurry of strongly worded letters</w:t>
      </w:r>
      <w:r w:rsidR="00F25042" w:rsidRPr="004C778F">
        <w:rPr>
          <w:rFonts w:ascii="Arial" w:eastAsia="Calibri" w:hAnsi="Arial" w:cs="Arial"/>
          <w:sz w:val="24"/>
          <w:szCs w:val="24"/>
        </w:rPr>
        <w:t xml:space="preserve"> emanating</w:t>
      </w:r>
      <w:r w:rsidR="00AB6B17" w:rsidRPr="004C778F">
        <w:rPr>
          <w:rFonts w:ascii="Arial" w:eastAsia="Calibri" w:hAnsi="Arial" w:cs="Arial"/>
          <w:sz w:val="24"/>
          <w:szCs w:val="24"/>
        </w:rPr>
        <w:t xml:space="preserve"> from both sides about a number of issues. The matter is riddled </w:t>
      </w:r>
      <w:r w:rsidR="001E75E8" w:rsidRPr="004C778F">
        <w:rPr>
          <w:rFonts w:ascii="Arial" w:eastAsia="Calibri" w:hAnsi="Arial" w:cs="Arial"/>
          <w:sz w:val="24"/>
          <w:szCs w:val="24"/>
        </w:rPr>
        <w:t>in material factual disputes in</w:t>
      </w:r>
      <w:r w:rsidR="00AB6B17" w:rsidRPr="004C778F">
        <w:rPr>
          <w:rFonts w:ascii="Arial" w:eastAsia="Calibri" w:hAnsi="Arial" w:cs="Arial"/>
          <w:sz w:val="24"/>
          <w:szCs w:val="24"/>
        </w:rPr>
        <w:t xml:space="preserve">capable of being resolved in motion proceedings. Only oral evidence will do. The principles well established under the </w:t>
      </w:r>
      <w:proofErr w:type="spellStart"/>
      <w:r w:rsidR="00AB6B17" w:rsidRPr="004C778F">
        <w:rPr>
          <w:rFonts w:ascii="Arial" w:eastAsia="Calibri" w:hAnsi="Arial" w:cs="Arial"/>
          <w:sz w:val="24"/>
          <w:szCs w:val="24"/>
        </w:rPr>
        <w:t>Plascon</w:t>
      </w:r>
      <w:proofErr w:type="spellEnd"/>
      <w:r w:rsidR="00AB6B17" w:rsidRPr="004C778F">
        <w:rPr>
          <w:rFonts w:ascii="Arial" w:eastAsia="Calibri" w:hAnsi="Arial" w:cs="Arial"/>
          <w:sz w:val="24"/>
          <w:szCs w:val="24"/>
        </w:rPr>
        <w:t>-Evans rule find application in this matter.</w:t>
      </w:r>
      <w:r w:rsidR="001E75E8" w:rsidRPr="004C778F">
        <w:rPr>
          <w:rStyle w:val="FootnoteReference"/>
          <w:rFonts w:ascii="Arial" w:eastAsia="Calibri" w:hAnsi="Arial" w:cs="Arial"/>
          <w:sz w:val="24"/>
          <w:szCs w:val="24"/>
        </w:rPr>
        <w:footnoteReference w:id="1"/>
      </w:r>
    </w:p>
    <w:p w14:paraId="2EFCB618" w14:textId="77777777" w:rsidR="009D758D" w:rsidRPr="004C778F" w:rsidRDefault="009D758D" w:rsidP="009D758D">
      <w:pPr>
        <w:spacing w:line="360" w:lineRule="auto"/>
        <w:contextualSpacing/>
        <w:jc w:val="both"/>
        <w:rPr>
          <w:rFonts w:ascii="Arial" w:eastAsia="Calibri" w:hAnsi="Arial" w:cs="Arial"/>
          <w:sz w:val="24"/>
          <w:szCs w:val="24"/>
        </w:rPr>
      </w:pPr>
      <w:r w:rsidRPr="004C778F">
        <w:rPr>
          <w:rFonts w:ascii="Arial" w:eastAsia="Times New Roman" w:hAnsi="Arial" w:cs="Arial"/>
          <w:sz w:val="24"/>
          <w:szCs w:val="24"/>
          <w:lang w:eastAsia="en-GB"/>
        </w:rPr>
        <w:tab/>
      </w:r>
      <w:r w:rsidRPr="004C778F">
        <w:rPr>
          <w:rFonts w:ascii="Arial" w:eastAsia="Times New Roman" w:hAnsi="Arial" w:cs="Arial"/>
          <w:sz w:val="24"/>
          <w:szCs w:val="24"/>
          <w:lang w:eastAsia="en-GB"/>
        </w:rPr>
        <w:tab/>
      </w:r>
    </w:p>
    <w:p w14:paraId="2FE272F6" w14:textId="77777777" w:rsidR="00962579" w:rsidRPr="004C778F" w:rsidRDefault="00224AF5" w:rsidP="00A41810">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4C778F" w:rsidRPr="004C778F">
        <w:rPr>
          <w:rFonts w:ascii="Arial" w:eastAsia="Calibri" w:hAnsi="Arial" w:cs="Arial"/>
          <w:sz w:val="24"/>
          <w:szCs w:val="24"/>
        </w:rPr>
        <w:t>13</w:t>
      </w:r>
      <w:r w:rsidRPr="004C778F">
        <w:rPr>
          <w:rFonts w:ascii="Arial" w:eastAsia="Calibri" w:hAnsi="Arial" w:cs="Arial"/>
          <w:sz w:val="24"/>
          <w:szCs w:val="24"/>
        </w:rPr>
        <w:t xml:space="preserve">] </w:t>
      </w:r>
      <w:r w:rsidRPr="004C778F">
        <w:rPr>
          <w:rFonts w:ascii="Arial" w:eastAsia="Calibri" w:hAnsi="Arial" w:cs="Arial"/>
          <w:sz w:val="24"/>
          <w:szCs w:val="24"/>
        </w:rPr>
        <w:tab/>
      </w:r>
      <w:r w:rsidR="00F52D1E" w:rsidRPr="004C778F">
        <w:rPr>
          <w:rFonts w:ascii="Arial" w:eastAsia="Calibri" w:hAnsi="Arial" w:cs="Arial"/>
          <w:sz w:val="24"/>
          <w:szCs w:val="24"/>
        </w:rPr>
        <w:t xml:space="preserve">The </w:t>
      </w:r>
      <w:r w:rsidR="00AB6B17" w:rsidRPr="004C778F">
        <w:rPr>
          <w:rFonts w:ascii="Arial" w:eastAsia="Calibri" w:hAnsi="Arial" w:cs="Arial"/>
          <w:sz w:val="24"/>
          <w:szCs w:val="24"/>
        </w:rPr>
        <w:t>applicants’ case deals with the dereliction of duty on the part of the first respondent. There is also broadside allegations that she may have misappropriated their funds. As a result, she is unfit to remain in office. This is a dispute that is still pending and not really an issue before me. The averments in the papers before me do not justify the making of any conclusion to that effect. It is far from clear on what basis the first respondent is implicated at all.</w:t>
      </w:r>
    </w:p>
    <w:p w14:paraId="1D6122B5" w14:textId="77777777" w:rsidR="00224AF5" w:rsidRPr="004C778F" w:rsidRDefault="00224AF5" w:rsidP="00224AF5">
      <w:pPr>
        <w:spacing w:line="360" w:lineRule="auto"/>
        <w:ind w:left="851" w:hanging="851"/>
        <w:contextualSpacing/>
        <w:jc w:val="both"/>
        <w:rPr>
          <w:rFonts w:ascii="Arial" w:eastAsia="Calibri" w:hAnsi="Arial" w:cs="Arial"/>
          <w:sz w:val="24"/>
          <w:szCs w:val="24"/>
        </w:rPr>
      </w:pPr>
    </w:p>
    <w:p w14:paraId="327D3D57" w14:textId="77777777" w:rsidR="00BB4702" w:rsidRPr="004C778F" w:rsidRDefault="00A653CC" w:rsidP="00461A4D">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lastRenderedPageBreak/>
        <w:t>[</w:t>
      </w:r>
      <w:r w:rsidR="004C778F" w:rsidRPr="004C778F">
        <w:rPr>
          <w:rFonts w:ascii="Arial" w:eastAsia="Calibri" w:hAnsi="Arial" w:cs="Arial"/>
          <w:sz w:val="24"/>
          <w:szCs w:val="24"/>
        </w:rPr>
        <w:t>14</w:t>
      </w:r>
      <w:r w:rsidRPr="004C778F">
        <w:rPr>
          <w:rFonts w:ascii="Arial" w:eastAsia="Calibri" w:hAnsi="Arial" w:cs="Arial"/>
          <w:sz w:val="24"/>
          <w:szCs w:val="24"/>
        </w:rPr>
        <w:t xml:space="preserve">] </w:t>
      </w:r>
      <w:r w:rsidRPr="004C778F">
        <w:rPr>
          <w:rFonts w:ascii="Arial" w:eastAsia="Calibri" w:hAnsi="Arial" w:cs="Arial"/>
          <w:sz w:val="24"/>
          <w:szCs w:val="24"/>
        </w:rPr>
        <w:tab/>
      </w:r>
      <w:r w:rsidR="00AB6B17" w:rsidRPr="004C778F">
        <w:rPr>
          <w:rFonts w:ascii="Arial" w:eastAsia="Calibri" w:hAnsi="Arial" w:cs="Arial"/>
          <w:sz w:val="24"/>
          <w:szCs w:val="24"/>
        </w:rPr>
        <w:t xml:space="preserve">The parties differ on their understanding of what the Trust must do. According to the applicants it must cater for their needs until it is dissolved and any remaining funds paid to them. The first respondent is of the view that it was not the intention of the </w:t>
      </w:r>
      <w:r w:rsidR="008F7966" w:rsidRPr="004C778F">
        <w:rPr>
          <w:rFonts w:ascii="Arial" w:eastAsia="Calibri" w:hAnsi="Arial" w:cs="Arial"/>
          <w:sz w:val="24"/>
          <w:szCs w:val="24"/>
        </w:rPr>
        <w:t>testator that applicants will be supported after they have been equipped with the</w:t>
      </w:r>
      <w:r w:rsidR="004C778F" w:rsidRPr="004C778F">
        <w:rPr>
          <w:rFonts w:ascii="Arial" w:eastAsia="Calibri" w:hAnsi="Arial" w:cs="Arial"/>
          <w:sz w:val="24"/>
          <w:szCs w:val="24"/>
        </w:rPr>
        <w:t xml:space="preserve"> necessary</w:t>
      </w:r>
      <w:r w:rsidR="008F7966" w:rsidRPr="004C778F">
        <w:rPr>
          <w:rFonts w:ascii="Arial" w:eastAsia="Calibri" w:hAnsi="Arial" w:cs="Arial"/>
          <w:sz w:val="24"/>
          <w:szCs w:val="24"/>
        </w:rPr>
        <w:t xml:space="preserve"> tools to loo</w:t>
      </w:r>
      <w:r w:rsidR="004C778F" w:rsidRPr="004C778F">
        <w:rPr>
          <w:rFonts w:ascii="Arial" w:eastAsia="Calibri" w:hAnsi="Arial" w:cs="Arial"/>
          <w:sz w:val="24"/>
          <w:szCs w:val="24"/>
        </w:rPr>
        <w:t>k after themselves. The contention is that</w:t>
      </w:r>
      <w:r w:rsidR="008F7966" w:rsidRPr="004C778F">
        <w:rPr>
          <w:rFonts w:ascii="Arial" w:eastAsia="Calibri" w:hAnsi="Arial" w:cs="Arial"/>
          <w:sz w:val="24"/>
          <w:szCs w:val="24"/>
        </w:rPr>
        <w:t xml:space="preserve"> she acted in their interests when she invested the funds.</w:t>
      </w:r>
      <w:r w:rsidR="004C35CF" w:rsidRPr="004C778F">
        <w:rPr>
          <w:rFonts w:ascii="Arial" w:eastAsia="Calibri" w:hAnsi="Arial" w:cs="Arial"/>
          <w:sz w:val="24"/>
          <w:szCs w:val="24"/>
        </w:rPr>
        <w:t xml:space="preserve"> There is no law that she could not have made the investment in her name.</w:t>
      </w:r>
      <w:r w:rsidR="008F7966" w:rsidRPr="004C778F">
        <w:rPr>
          <w:rFonts w:ascii="Arial" w:eastAsia="Calibri" w:hAnsi="Arial" w:cs="Arial"/>
          <w:sz w:val="24"/>
          <w:szCs w:val="24"/>
        </w:rPr>
        <w:t xml:space="preserve"> The determination of this point is not within the purview of the application before me.</w:t>
      </w:r>
    </w:p>
    <w:p w14:paraId="09A7064E" w14:textId="77777777" w:rsidR="004C35CF" w:rsidRPr="004C778F" w:rsidRDefault="004C35CF" w:rsidP="00461A4D">
      <w:pPr>
        <w:spacing w:line="360" w:lineRule="auto"/>
        <w:ind w:left="851" w:hanging="851"/>
        <w:contextualSpacing/>
        <w:jc w:val="both"/>
        <w:rPr>
          <w:rFonts w:ascii="Arial" w:eastAsia="Calibri" w:hAnsi="Arial" w:cs="Arial"/>
          <w:sz w:val="24"/>
          <w:szCs w:val="24"/>
        </w:rPr>
      </w:pPr>
    </w:p>
    <w:p w14:paraId="67A98DB0" w14:textId="77777777" w:rsidR="004C35CF" w:rsidRPr="004C778F" w:rsidRDefault="004C35CF" w:rsidP="004C35CF">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4C778F" w:rsidRPr="004C778F">
        <w:rPr>
          <w:rFonts w:ascii="Arial" w:eastAsia="Calibri" w:hAnsi="Arial" w:cs="Arial"/>
          <w:sz w:val="24"/>
          <w:szCs w:val="24"/>
        </w:rPr>
        <w:t>15</w:t>
      </w:r>
      <w:r w:rsidRPr="004C778F">
        <w:rPr>
          <w:rFonts w:ascii="Arial" w:eastAsia="Calibri" w:hAnsi="Arial" w:cs="Arial"/>
          <w:sz w:val="24"/>
          <w:szCs w:val="24"/>
        </w:rPr>
        <w:t xml:space="preserve">] </w:t>
      </w:r>
      <w:r w:rsidRPr="004C778F">
        <w:rPr>
          <w:rFonts w:ascii="Arial" w:eastAsia="Calibri" w:hAnsi="Arial" w:cs="Arial"/>
          <w:sz w:val="24"/>
          <w:szCs w:val="24"/>
        </w:rPr>
        <w:tab/>
        <w:t>Courts have repeatedly held that the golden</w:t>
      </w:r>
      <w:r w:rsidR="004C778F" w:rsidRPr="004C778F">
        <w:rPr>
          <w:rFonts w:ascii="Arial" w:eastAsia="Calibri" w:hAnsi="Arial" w:cs="Arial"/>
          <w:sz w:val="24"/>
          <w:szCs w:val="24"/>
        </w:rPr>
        <w:t xml:space="preserve"> rule in the interpretation of W</w:t>
      </w:r>
      <w:r w:rsidRPr="004C778F">
        <w:rPr>
          <w:rFonts w:ascii="Arial" w:eastAsia="Calibri" w:hAnsi="Arial" w:cs="Arial"/>
          <w:sz w:val="24"/>
          <w:szCs w:val="24"/>
        </w:rPr>
        <w:t>ills is that the court shall seek to ascertain the wishes of the testator. This can be detected from the language used in the Will. The</w:t>
      </w:r>
      <w:r w:rsidR="004C778F" w:rsidRPr="004C778F">
        <w:rPr>
          <w:rFonts w:ascii="Arial" w:eastAsia="Calibri" w:hAnsi="Arial" w:cs="Arial"/>
          <w:sz w:val="24"/>
          <w:szCs w:val="24"/>
        </w:rPr>
        <w:t xml:space="preserve"> main question is to determine what</w:t>
      </w:r>
      <w:r w:rsidRPr="004C778F">
        <w:rPr>
          <w:rFonts w:ascii="Arial" w:eastAsia="Calibri" w:hAnsi="Arial" w:cs="Arial"/>
          <w:sz w:val="24"/>
          <w:szCs w:val="24"/>
        </w:rPr>
        <w:t xml:space="preserve"> was meant by the testator. Certainly if this does not resolve the difficulty, extrinsic evidence does play a role. One would have expected the surviving spouse to file an affidavit to deal with this point.</w:t>
      </w:r>
    </w:p>
    <w:p w14:paraId="6EAD9158" w14:textId="77777777" w:rsidR="00A653CC" w:rsidRPr="004C778F" w:rsidRDefault="00A653CC" w:rsidP="00A653CC">
      <w:pPr>
        <w:spacing w:line="360" w:lineRule="auto"/>
        <w:ind w:left="851" w:hanging="851"/>
        <w:contextualSpacing/>
        <w:jc w:val="both"/>
        <w:rPr>
          <w:rFonts w:ascii="Arial" w:eastAsia="Calibri" w:hAnsi="Arial" w:cs="Arial"/>
          <w:sz w:val="24"/>
          <w:szCs w:val="24"/>
        </w:rPr>
      </w:pPr>
    </w:p>
    <w:p w14:paraId="13ADD934" w14:textId="77777777" w:rsidR="003A4BC8" w:rsidRPr="004C778F" w:rsidRDefault="004C778F" w:rsidP="003A4BC8">
      <w:pPr>
        <w:spacing w:line="360" w:lineRule="auto"/>
        <w:ind w:left="851" w:hanging="851"/>
        <w:contextualSpacing/>
        <w:jc w:val="both"/>
        <w:rPr>
          <w:rFonts w:ascii="Arial" w:eastAsia="Calibri" w:hAnsi="Arial" w:cs="Arial"/>
          <w:b/>
          <w:sz w:val="24"/>
          <w:szCs w:val="24"/>
          <w:u w:val="single"/>
        </w:rPr>
      </w:pPr>
      <w:r w:rsidRPr="004C778F">
        <w:rPr>
          <w:rFonts w:ascii="Arial" w:eastAsia="Calibri" w:hAnsi="Arial" w:cs="Arial"/>
          <w:sz w:val="24"/>
          <w:szCs w:val="24"/>
        </w:rPr>
        <w:t>[16</w:t>
      </w:r>
      <w:r w:rsidR="00EE4F5F" w:rsidRPr="004C778F">
        <w:rPr>
          <w:rFonts w:ascii="Arial" w:eastAsia="Calibri" w:hAnsi="Arial" w:cs="Arial"/>
          <w:sz w:val="24"/>
          <w:szCs w:val="24"/>
        </w:rPr>
        <w:t>]</w:t>
      </w:r>
      <w:r w:rsidR="00A653CC" w:rsidRPr="004C778F">
        <w:rPr>
          <w:rFonts w:ascii="Arial" w:eastAsia="Calibri" w:hAnsi="Arial" w:cs="Arial"/>
          <w:sz w:val="24"/>
          <w:szCs w:val="24"/>
        </w:rPr>
        <w:tab/>
      </w:r>
      <w:r w:rsidR="008F7966" w:rsidRPr="004C778F">
        <w:rPr>
          <w:rFonts w:ascii="Arial" w:eastAsia="Calibri" w:hAnsi="Arial" w:cs="Arial"/>
          <w:sz w:val="24"/>
          <w:szCs w:val="24"/>
        </w:rPr>
        <w:t>The law is trite that applications are about common ca</w:t>
      </w:r>
      <w:r w:rsidRPr="004C778F">
        <w:rPr>
          <w:rFonts w:ascii="Arial" w:eastAsia="Calibri" w:hAnsi="Arial" w:cs="Arial"/>
          <w:sz w:val="24"/>
          <w:szCs w:val="24"/>
        </w:rPr>
        <w:t>u</w:t>
      </w:r>
      <w:r w:rsidR="008F7966" w:rsidRPr="004C778F">
        <w:rPr>
          <w:rFonts w:ascii="Arial" w:eastAsia="Calibri" w:hAnsi="Arial" w:cs="Arial"/>
          <w:sz w:val="24"/>
          <w:szCs w:val="24"/>
        </w:rPr>
        <w:t xml:space="preserve">se facts and applicable law. They are not about probabilities. That said, </w:t>
      </w:r>
      <w:r w:rsidR="004C35CF" w:rsidRPr="004C778F">
        <w:rPr>
          <w:rFonts w:ascii="Arial" w:eastAsia="Calibri" w:hAnsi="Arial" w:cs="Arial"/>
          <w:sz w:val="24"/>
          <w:szCs w:val="24"/>
        </w:rPr>
        <w:t>there are</w:t>
      </w:r>
      <w:r w:rsidR="008F7966" w:rsidRPr="004C778F">
        <w:rPr>
          <w:rFonts w:ascii="Arial" w:eastAsia="Calibri" w:hAnsi="Arial" w:cs="Arial"/>
          <w:sz w:val="24"/>
          <w:szCs w:val="24"/>
        </w:rPr>
        <w:t xml:space="preserve"> significant difficulties</w:t>
      </w:r>
      <w:r w:rsidR="004C35CF" w:rsidRPr="004C778F">
        <w:rPr>
          <w:rFonts w:ascii="Arial" w:eastAsia="Calibri" w:hAnsi="Arial" w:cs="Arial"/>
          <w:sz w:val="24"/>
          <w:szCs w:val="24"/>
        </w:rPr>
        <w:t xml:space="preserve"> as discussed above</w:t>
      </w:r>
      <w:r w:rsidR="008F7966" w:rsidRPr="004C778F">
        <w:rPr>
          <w:rFonts w:ascii="Arial" w:eastAsia="Calibri" w:hAnsi="Arial" w:cs="Arial"/>
          <w:sz w:val="24"/>
          <w:szCs w:val="24"/>
        </w:rPr>
        <w:t xml:space="preserve"> in the case of the applicants. Therefore, the is no cogent reason why the rule </w:t>
      </w:r>
      <w:r w:rsidR="008F7966" w:rsidRPr="004C778F">
        <w:rPr>
          <w:rFonts w:ascii="Arial" w:eastAsia="Calibri" w:hAnsi="Arial" w:cs="Arial"/>
          <w:i/>
          <w:sz w:val="24"/>
          <w:szCs w:val="24"/>
        </w:rPr>
        <w:t xml:space="preserve">nisi </w:t>
      </w:r>
      <w:r w:rsidR="008F7966" w:rsidRPr="004C778F">
        <w:rPr>
          <w:rFonts w:ascii="Arial" w:eastAsia="Calibri" w:hAnsi="Arial" w:cs="Arial"/>
          <w:sz w:val="24"/>
          <w:szCs w:val="24"/>
        </w:rPr>
        <w:t>should not be discharged.</w:t>
      </w:r>
    </w:p>
    <w:p w14:paraId="0F7259AA" w14:textId="77777777" w:rsidR="00A653CC" w:rsidRPr="004C778F" w:rsidRDefault="00A653CC" w:rsidP="00224AF5">
      <w:pPr>
        <w:spacing w:line="360" w:lineRule="auto"/>
        <w:ind w:left="851" w:hanging="851"/>
        <w:contextualSpacing/>
        <w:jc w:val="both"/>
        <w:rPr>
          <w:rFonts w:ascii="Arial" w:eastAsia="Calibri" w:hAnsi="Arial" w:cs="Arial"/>
          <w:sz w:val="24"/>
          <w:szCs w:val="24"/>
        </w:rPr>
      </w:pPr>
    </w:p>
    <w:p w14:paraId="30E683F5" w14:textId="77777777" w:rsidR="005D4DB0" w:rsidRPr="004C778F" w:rsidRDefault="008342B3" w:rsidP="006D07A2">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[1</w:t>
      </w:r>
      <w:r w:rsidR="004C778F" w:rsidRPr="004C778F">
        <w:rPr>
          <w:rFonts w:ascii="Arial" w:eastAsia="Calibri" w:hAnsi="Arial" w:cs="Arial"/>
          <w:sz w:val="24"/>
          <w:szCs w:val="24"/>
        </w:rPr>
        <w:t>7</w:t>
      </w:r>
      <w:r w:rsidRPr="004C778F">
        <w:rPr>
          <w:rFonts w:ascii="Arial" w:eastAsia="Calibri" w:hAnsi="Arial" w:cs="Arial"/>
          <w:sz w:val="24"/>
          <w:szCs w:val="24"/>
        </w:rPr>
        <w:t xml:space="preserve">] </w:t>
      </w:r>
      <w:r w:rsidRPr="004C778F">
        <w:rPr>
          <w:rFonts w:ascii="Arial" w:eastAsia="Calibri" w:hAnsi="Arial" w:cs="Arial"/>
          <w:sz w:val="24"/>
          <w:szCs w:val="24"/>
        </w:rPr>
        <w:tab/>
      </w:r>
      <w:r w:rsidR="008F7966" w:rsidRPr="004C778F">
        <w:rPr>
          <w:rFonts w:ascii="Arial" w:eastAsia="Calibri" w:hAnsi="Arial" w:cs="Arial"/>
          <w:sz w:val="24"/>
          <w:szCs w:val="24"/>
        </w:rPr>
        <w:t>What remains is the issue of costs. Both parties desired punitive costs order against each other. This is indicative of the h</w:t>
      </w:r>
      <w:r w:rsidR="00674AC1" w:rsidRPr="004C778F">
        <w:rPr>
          <w:rFonts w:ascii="Arial" w:eastAsia="Calibri" w:hAnsi="Arial" w:cs="Arial"/>
          <w:sz w:val="24"/>
          <w:szCs w:val="24"/>
        </w:rPr>
        <w:t>ostile environment that exists between them. T</w:t>
      </w:r>
      <w:r w:rsidR="008F7966" w:rsidRPr="004C778F">
        <w:rPr>
          <w:rFonts w:ascii="Arial" w:eastAsia="Calibri" w:hAnsi="Arial" w:cs="Arial"/>
          <w:sz w:val="24"/>
          <w:szCs w:val="24"/>
        </w:rPr>
        <w:t>he</w:t>
      </w:r>
      <w:r w:rsidR="00674AC1" w:rsidRPr="004C778F">
        <w:rPr>
          <w:rFonts w:ascii="Arial" w:eastAsia="Calibri" w:hAnsi="Arial" w:cs="Arial"/>
          <w:sz w:val="24"/>
          <w:szCs w:val="24"/>
        </w:rPr>
        <w:t xml:space="preserve"> </w:t>
      </w:r>
      <w:r w:rsidR="008F7966" w:rsidRPr="004C778F">
        <w:rPr>
          <w:rFonts w:ascii="Arial" w:eastAsia="Calibri" w:hAnsi="Arial" w:cs="Arial"/>
          <w:sz w:val="24"/>
          <w:szCs w:val="24"/>
        </w:rPr>
        <w:t xml:space="preserve">applicants are impecunious and it was mentioned that their attorneys are acting </w:t>
      </w:r>
      <w:r w:rsidR="008F7966" w:rsidRPr="004C778F">
        <w:rPr>
          <w:rFonts w:ascii="Arial" w:eastAsia="Calibri" w:hAnsi="Arial" w:cs="Arial"/>
          <w:i/>
          <w:sz w:val="24"/>
          <w:szCs w:val="24"/>
        </w:rPr>
        <w:t>pro bono</w:t>
      </w:r>
      <w:r w:rsidR="008F7966" w:rsidRPr="004C778F">
        <w:rPr>
          <w:rFonts w:ascii="Arial" w:eastAsia="Calibri" w:hAnsi="Arial" w:cs="Arial"/>
          <w:sz w:val="24"/>
          <w:szCs w:val="24"/>
        </w:rPr>
        <w:t>. On the other hand, the first respondent will undoubtedly p</w:t>
      </w:r>
      <w:r w:rsidR="004C778F" w:rsidRPr="004C778F">
        <w:rPr>
          <w:rFonts w:ascii="Arial" w:eastAsia="Calibri" w:hAnsi="Arial" w:cs="Arial"/>
          <w:sz w:val="24"/>
          <w:szCs w:val="24"/>
        </w:rPr>
        <w:t xml:space="preserve">ay her legal team with the </w:t>
      </w:r>
      <w:r w:rsidR="008F7966" w:rsidRPr="004C778F">
        <w:rPr>
          <w:rFonts w:ascii="Arial" w:eastAsia="Calibri" w:hAnsi="Arial" w:cs="Arial"/>
          <w:sz w:val="24"/>
          <w:szCs w:val="24"/>
        </w:rPr>
        <w:t>funds</w:t>
      </w:r>
      <w:r w:rsidR="004C778F" w:rsidRPr="004C778F">
        <w:rPr>
          <w:rFonts w:ascii="Arial" w:eastAsia="Calibri" w:hAnsi="Arial" w:cs="Arial"/>
          <w:sz w:val="24"/>
          <w:szCs w:val="24"/>
        </w:rPr>
        <w:t xml:space="preserve"> belonging to the Trust</w:t>
      </w:r>
      <w:r w:rsidR="008F7966" w:rsidRPr="004C778F">
        <w:rPr>
          <w:rFonts w:ascii="Arial" w:eastAsia="Calibri" w:hAnsi="Arial" w:cs="Arial"/>
          <w:sz w:val="24"/>
          <w:szCs w:val="24"/>
        </w:rPr>
        <w:t>.</w:t>
      </w:r>
      <w:r w:rsidR="00674AC1" w:rsidRPr="004C778F">
        <w:rPr>
          <w:rFonts w:ascii="Arial" w:eastAsia="Calibri" w:hAnsi="Arial" w:cs="Arial"/>
          <w:sz w:val="24"/>
          <w:szCs w:val="24"/>
        </w:rPr>
        <w:t xml:space="preserve"> She is sued in her representative capacity as the Trustee.</w:t>
      </w:r>
      <w:r w:rsidR="008F7966" w:rsidRPr="004C778F">
        <w:rPr>
          <w:rFonts w:ascii="Arial" w:eastAsia="Calibri" w:hAnsi="Arial" w:cs="Arial"/>
          <w:sz w:val="24"/>
          <w:szCs w:val="24"/>
        </w:rPr>
        <w:t xml:space="preserve"> The loser</w:t>
      </w:r>
      <w:r w:rsidR="00674AC1" w:rsidRPr="004C778F">
        <w:rPr>
          <w:rFonts w:ascii="Arial" w:eastAsia="Calibri" w:hAnsi="Arial" w:cs="Arial"/>
          <w:sz w:val="24"/>
          <w:szCs w:val="24"/>
        </w:rPr>
        <w:t xml:space="preserve"> in the long run</w:t>
      </w:r>
      <w:r w:rsidR="008F7966" w:rsidRPr="004C778F">
        <w:rPr>
          <w:rFonts w:ascii="Arial" w:eastAsia="Calibri" w:hAnsi="Arial" w:cs="Arial"/>
          <w:sz w:val="24"/>
          <w:szCs w:val="24"/>
        </w:rPr>
        <w:t xml:space="preserve"> is the</w:t>
      </w:r>
      <w:r w:rsidR="004C778F" w:rsidRPr="004C778F">
        <w:rPr>
          <w:rFonts w:ascii="Arial" w:eastAsia="Calibri" w:hAnsi="Arial" w:cs="Arial"/>
          <w:sz w:val="24"/>
          <w:szCs w:val="24"/>
        </w:rPr>
        <w:t xml:space="preserve"> very</w:t>
      </w:r>
      <w:r w:rsidR="008F7966" w:rsidRPr="004C778F">
        <w:rPr>
          <w:rFonts w:ascii="Arial" w:eastAsia="Calibri" w:hAnsi="Arial" w:cs="Arial"/>
          <w:sz w:val="24"/>
          <w:szCs w:val="24"/>
        </w:rPr>
        <w:t xml:space="preserve"> Trust. Perhaps it is </w:t>
      </w:r>
      <w:r w:rsidR="00286892" w:rsidRPr="004C778F">
        <w:rPr>
          <w:rFonts w:ascii="Arial" w:eastAsia="Calibri" w:hAnsi="Arial" w:cs="Arial"/>
          <w:sz w:val="24"/>
          <w:szCs w:val="24"/>
        </w:rPr>
        <w:t>opportune for the parties to stand back a bit and endeavour to arrest the</w:t>
      </w:r>
      <w:r w:rsidR="004C778F" w:rsidRPr="004C778F">
        <w:rPr>
          <w:rFonts w:ascii="Arial" w:eastAsia="Calibri" w:hAnsi="Arial" w:cs="Arial"/>
          <w:sz w:val="24"/>
          <w:szCs w:val="24"/>
        </w:rPr>
        <w:t xml:space="preserve"> unnecessary</w:t>
      </w:r>
      <w:r w:rsidR="00286892" w:rsidRPr="004C778F">
        <w:rPr>
          <w:rFonts w:ascii="Arial" w:eastAsia="Calibri" w:hAnsi="Arial" w:cs="Arial"/>
          <w:sz w:val="24"/>
          <w:szCs w:val="24"/>
        </w:rPr>
        <w:t xml:space="preserve"> haemorrhaging</w:t>
      </w:r>
      <w:r w:rsidR="004C778F" w:rsidRPr="004C778F">
        <w:rPr>
          <w:rFonts w:ascii="Arial" w:eastAsia="Calibri" w:hAnsi="Arial" w:cs="Arial"/>
          <w:sz w:val="24"/>
          <w:szCs w:val="24"/>
        </w:rPr>
        <w:t xml:space="preserve"> of</w:t>
      </w:r>
      <w:r w:rsidR="00286892" w:rsidRPr="004C778F">
        <w:rPr>
          <w:rFonts w:ascii="Arial" w:eastAsia="Calibri" w:hAnsi="Arial" w:cs="Arial"/>
          <w:sz w:val="24"/>
          <w:szCs w:val="24"/>
        </w:rPr>
        <w:t xml:space="preserve"> </w:t>
      </w:r>
      <w:r w:rsidR="00674AC1" w:rsidRPr="004C778F">
        <w:rPr>
          <w:rFonts w:ascii="Arial" w:eastAsia="Calibri" w:hAnsi="Arial" w:cs="Arial"/>
          <w:sz w:val="24"/>
          <w:szCs w:val="24"/>
        </w:rPr>
        <w:t>cash</w:t>
      </w:r>
      <w:r w:rsidR="00286892" w:rsidRPr="004C778F">
        <w:rPr>
          <w:rFonts w:ascii="Arial" w:eastAsia="Calibri" w:hAnsi="Arial" w:cs="Arial"/>
          <w:sz w:val="24"/>
          <w:szCs w:val="24"/>
        </w:rPr>
        <w:t>. A costs order that each party pays its own costs is deemed to be an appropriate one.</w:t>
      </w:r>
    </w:p>
    <w:p w14:paraId="1661267F" w14:textId="77777777" w:rsidR="00F7153B" w:rsidRPr="004C778F" w:rsidRDefault="00F7153B" w:rsidP="00286892">
      <w:pPr>
        <w:spacing w:line="360" w:lineRule="auto"/>
        <w:contextualSpacing/>
        <w:jc w:val="both"/>
        <w:rPr>
          <w:rFonts w:ascii="Arial" w:eastAsia="Calibri" w:hAnsi="Arial" w:cs="Arial"/>
          <w:sz w:val="24"/>
          <w:szCs w:val="24"/>
        </w:rPr>
      </w:pPr>
    </w:p>
    <w:p w14:paraId="280E9D78" w14:textId="77777777" w:rsidR="009D758D" w:rsidRPr="004C778F" w:rsidRDefault="009D758D" w:rsidP="008205C2">
      <w:pPr>
        <w:spacing w:line="360" w:lineRule="auto"/>
        <w:ind w:left="851" w:hanging="851"/>
        <w:contextualSpacing/>
        <w:jc w:val="both"/>
        <w:rPr>
          <w:rFonts w:ascii="Arial" w:eastAsia="Calibri" w:hAnsi="Arial" w:cs="Arial"/>
          <w:sz w:val="24"/>
          <w:szCs w:val="24"/>
        </w:rPr>
      </w:pPr>
      <w:r w:rsidRPr="004C778F">
        <w:rPr>
          <w:rFonts w:ascii="Arial" w:eastAsia="Calibri" w:hAnsi="Arial" w:cs="Arial"/>
          <w:sz w:val="24"/>
          <w:szCs w:val="24"/>
        </w:rPr>
        <w:t>[</w:t>
      </w:r>
      <w:r w:rsidR="004C778F" w:rsidRPr="004C778F">
        <w:rPr>
          <w:rFonts w:ascii="Arial" w:eastAsia="Calibri" w:hAnsi="Arial" w:cs="Arial"/>
          <w:sz w:val="24"/>
          <w:szCs w:val="24"/>
        </w:rPr>
        <w:t>18</w:t>
      </w:r>
      <w:r w:rsidRPr="004C778F">
        <w:rPr>
          <w:rFonts w:ascii="Arial" w:eastAsia="Calibri" w:hAnsi="Arial" w:cs="Arial"/>
          <w:sz w:val="24"/>
          <w:szCs w:val="24"/>
        </w:rPr>
        <w:t>]</w:t>
      </w:r>
      <w:r w:rsidRPr="004C778F">
        <w:rPr>
          <w:rFonts w:ascii="Arial" w:eastAsia="Calibri" w:hAnsi="Arial" w:cs="Arial"/>
          <w:sz w:val="24"/>
          <w:szCs w:val="24"/>
        </w:rPr>
        <w:tab/>
      </w:r>
      <w:r w:rsidR="00FC1B0B" w:rsidRPr="004C778F">
        <w:rPr>
          <w:rFonts w:ascii="Arial" w:eastAsia="Calibri" w:hAnsi="Arial" w:cs="Arial"/>
          <w:sz w:val="24"/>
          <w:szCs w:val="24"/>
        </w:rPr>
        <w:t xml:space="preserve">In the result </w:t>
      </w:r>
      <w:r w:rsidR="004A6E4D" w:rsidRPr="004C778F">
        <w:rPr>
          <w:rFonts w:ascii="Arial" w:eastAsia="Calibri" w:hAnsi="Arial" w:cs="Arial"/>
          <w:sz w:val="24"/>
          <w:szCs w:val="24"/>
        </w:rPr>
        <w:t>I make the following order</w:t>
      </w:r>
      <w:r w:rsidR="000F23E7" w:rsidRPr="004C778F">
        <w:rPr>
          <w:rFonts w:ascii="Arial" w:eastAsia="Calibri" w:hAnsi="Arial" w:cs="Arial"/>
          <w:sz w:val="24"/>
          <w:szCs w:val="24"/>
        </w:rPr>
        <w:t>: -</w:t>
      </w:r>
    </w:p>
    <w:p w14:paraId="53BBDB6F" w14:textId="77777777" w:rsidR="006F27D9" w:rsidRPr="004C778F" w:rsidRDefault="006F27D9" w:rsidP="009D758D">
      <w:pPr>
        <w:spacing w:line="360" w:lineRule="auto"/>
        <w:ind w:left="851" w:hanging="851"/>
        <w:contextualSpacing/>
        <w:jc w:val="both"/>
        <w:rPr>
          <w:rFonts w:ascii="Arial" w:eastAsia="Calibri" w:hAnsi="Arial" w:cs="Arial"/>
          <w:sz w:val="24"/>
          <w:szCs w:val="24"/>
        </w:rPr>
      </w:pPr>
    </w:p>
    <w:p w14:paraId="68DE1F2B" w14:textId="77777777" w:rsidR="00D1765F" w:rsidRPr="004C778F" w:rsidRDefault="004C778F" w:rsidP="00CE146E">
      <w:pPr>
        <w:spacing w:line="360" w:lineRule="auto"/>
        <w:ind w:left="2160" w:hanging="1305"/>
        <w:contextualSpacing/>
        <w:jc w:val="both"/>
        <w:rPr>
          <w:rFonts w:ascii="Arial" w:eastAsia="Calibri" w:hAnsi="Arial" w:cs="Arial"/>
          <w:sz w:val="24"/>
          <w:szCs w:val="24"/>
        </w:rPr>
      </w:pPr>
      <w:r w:rsidRPr="004C778F">
        <w:rPr>
          <w:rFonts w:ascii="Arial" w:eastAsia="Calibri" w:hAnsi="Arial" w:cs="Arial"/>
          <w:sz w:val="24"/>
          <w:szCs w:val="24"/>
        </w:rPr>
        <w:t>18</w:t>
      </w:r>
      <w:r w:rsidR="00B77EAD" w:rsidRPr="004C778F">
        <w:rPr>
          <w:rFonts w:ascii="Arial" w:eastAsia="Calibri" w:hAnsi="Arial" w:cs="Arial"/>
          <w:sz w:val="24"/>
          <w:szCs w:val="24"/>
        </w:rPr>
        <w:t>.1.</w:t>
      </w:r>
      <w:r w:rsidR="00D1765F" w:rsidRPr="004C778F">
        <w:rPr>
          <w:rFonts w:ascii="Arial" w:eastAsia="Calibri" w:hAnsi="Arial" w:cs="Arial"/>
          <w:sz w:val="24"/>
          <w:szCs w:val="24"/>
        </w:rPr>
        <w:tab/>
      </w:r>
      <w:r w:rsidR="00286892" w:rsidRPr="004C778F">
        <w:rPr>
          <w:rFonts w:ascii="Arial" w:eastAsia="Calibri" w:hAnsi="Arial" w:cs="Arial"/>
          <w:sz w:val="24"/>
          <w:szCs w:val="24"/>
        </w:rPr>
        <w:t xml:space="preserve">The application is dismissed, the rule </w:t>
      </w:r>
      <w:r w:rsidR="00286892" w:rsidRPr="004C778F">
        <w:rPr>
          <w:rFonts w:ascii="Arial" w:eastAsia="Calibri" w:hAnsi="Arial" w:cs="Arial"/>
          <w:i/>
          <w:sz w:val="24"/>
          <w:szCs w:val="24"/>
        </w:rPr>
        <w:t xml:space="preserve">nisi </w:t>
      </w:r>
      <w:r w:rsidR="00117AC4">
        <w:rPr>
          <w:rFonts w:ascii="Arial" w:eastAsia="Calibri" w:hAnsi="Arial" w:cs="Arial"/>
          <w:sz w:val="24"/>
          <w:szCs w:val="24"/>
        </w:rPr>
        <w:t xml:space="preserve">is </w:t>
      </w:r>
      <w:r w:rsidR="00286892" w:rsidRPr="004C778F">
        <w:rPr>
          <w:rFonts w:ascii="Arial" w:eastAsia="Calibri" w:hAnsi="Arial" w:cs="Arial"/>
          <w:sz w:val="24"/>
          <w:szCs w:val="24"/>
        </w:rPr>
        <w:t xml:space="preserve">discharged. </w:t>
      </w:r>
    </w:p>
    <w:p w14:paraId="2C5E9967" w14:textId="77777777" w:rsidR="00D1765F" w:rsidRPr="004C778F" w:rsidRDefault="00D1765F" w:rsidP="00D1765F">
      <w:pPr>
        <w:spacing w:line="360" w:lineRule="auto"/>
        <w:ind w:left="851" w:hanging="851"/>
        <w:contextualSpacing/>
        <w:jc w:val="both"/>
        <w:rPr>
          <w:rFonts w:ascii="Arial" w:eastAsia="Calibri" w:hAnsi="Arial" w:cs="Arial"/>
          <w:sz w:val="24"/>
          <w:szCs w:val="24"/>
        </w:rPr>
      </w:pPr>
    </w:p>
    <w:p w14:paraId="442FC3A8" w14:textId="77777777" w:rsidR="00D34E09" w:rsidRDefault="004C778F" w:rsidP="00D34E09">
      <w:pPr>
        <w:spacing w:line="360" w:lineRule="auto"/>
        <w:ind w:left="2160" w:hanging="1305"/>
        <w:contextualSpacing/>
        <w:jc w:val="both"/>
        <w:rPr>
          <w:rFonts w:ascii="Arial" w:eastAsia="Calibri" w:hAnsi="Arial" w:cs="Arial"/>
          <w:sz w:val="28"/>
          <w:szCs w:val="28"/>
        </w:rPr>
      </w:pPr>
      <w:r w:rsidRPr="004C778F">
        <w:rPr>
          <w:rFonts w:ascii="Arial" w:eastAsia="Calibri" w:hAnsi="Arial" w:cs="Arial"/>
          <w:sz w:val="24"/>
          <w:szCs w:val="24"/>
        </w:rPr>
        <w:lastRenderedPageBreak/>
        <w:t>18</w:t>
      </w:r>
      <w:r w:rsidR="00D1765F" w:rsidRPr="004C778F">
        <w:rPr>
          <w:rFonts w:ascii="Arial" w:eastAsia="Calibri" w:hAnsi="Arial" w:cs="Arial"/>
          <w:sz w:val="24"/>
          <w:szCs w:val="24"/>
        </w:rPr>
        <w:t>.2.</w:t>
      </w:r>
      <w:r w:rsidR="00D1765F" w:rsidRPr="004C778F">
        <w:rPr>
          <w:rFonts w:ascii="Arial" w:eastAsia="Calibri" w:hAnsi="Arial" w:cs="Arial"/>
          <w:sz w:val="24"/>
          <w:szCs w:val="24"/>
        </w:rPr>
        <w:tab/>
      </w:r>
      <w:r w:rsidR="00286892" w:rsidRPr="004C778F">
        <w:rPr>
          <w:rFonts w:ascii="Arial" w:eastAsia="Calibri" w:hAnsi="Arial" w:cs="Arial"/>
          <w:sz w:val="24"/>
          <w:szCs w:val="24"/>
        </w:rPr>
        <w:t>Each party pays its own costs.</w:t>
      </w:r>
    </w:p>
    <w:p w14:paraId="7771E98E" w14:textId="77777777" w:rsidR="00674AC1" w:rsidRDefault="00674AC1" w:rsidP="00D34E09">
      <w:pPr>
        <w:spacing w:line="360" w:lineRule="auto"/>
        <w:ind w:left="2160" w:hanging="1305"/>
        <w:contextualSpacing/>
        <w:jc w:val="both"/>
        <w:rPr>
          <w:rFonts w:ascii="Arial" w:eastAsia="Times New Roman" w:hAnsi="Arial" w:cs="Arial"/>
          <w:sz w:val="24"/>
          <w:szCs w:val="24"/>
          <w:lang w:eastAsia="en-GB"/>
        </w:rPr>
      </w:pPr>
    </w:p>
    <w:p w14:paraId="6819F182" w14:textId="77777777" w:rsidR="00286892" w:rsidRDefault="00286892" w:rsidP="00D34E09">
      <w:pPr>
        <w:spacing w:line="360" w:lineRule="auto"/>
        <w:ind w:left="2160" w:hanging="1305"/>
        <w:contextualSpacing/>
        <w:jc w:val="both"/>
        <w:rPr>
          <w:rFonts w:ascii="Arial" w:eastAsia="Times New Roman" w:hAnsi="Arial" w:cs="Arial"/>
          <w:sz w:val="24"/>
          <w:szCs w:val="24"/>
          <w:lang w:eastAsia="en-GB"/>
        </w:rPr>
      </w:pPr>
    </w:p>
    <w:p w14:paraId="4652EB0F" w14:textId="77777777" w:rsidR="00286892" w:rsidRPr="00B056BB" w:rsidRDefault="00286892" w:rsidP="00D34E09">
      <w:pPr>
        <w:spacing w:line="360" w:lineRule="auto"/>
        <w:ind w:left="2160" w:hanging="1305"/>
        <w:contextualSpacing/>
        <w:jc w:val="both"/>
        <w:rPr>
          <w:rFonts w:ascii="Arial" w:eastAsia="Times New Roman" w:hAnsi="Arial" w:cs="Arial"/>
          <w:sz w:val="24"/>
          <w:szCs w:val="24"/>
          <w:lang w:eastAsia="en-GB"/>
        </w:rPr>
      </w:pPr>
    </w:p>
    <w:p w14:paraId="76106853" w14:textId="77777777" w:rsidR="001D52C9" w:rsidRPr="00B056BB" w:rsidRDefault="001D52C9" w:rsidP="001E5C8B">
      <w:pPr>
        <w:spacing w:after="0" w:line="240" w:lineRule="auto"/>
        <w:jc w:val="right"/>
        <w:rPr>
          <w:rFonts w:ascii="Arial" w:eastAsia="Times New Roman" w:hAnsi="Arial" w:cs="Arial"/>
          <w:b/>
          <w:sz w:val="24"/>
          <w:szCs w:val="24"/>
          <w:lang w:eastAsia="en-GB"/>
        </w:rPr>
      </w:pPr>
      <w:r w:rsidRPr="00B056BB">
        <w:rPr>
          <w:rFonts w:ascii="Arial" w:eastAsia="Times New Roman" w:hAnsi="Arial" w:cs="Arial"/>
          <w:b/>
          <w:sz w:val="24"/>
          <w:szCs w:val="24"/>
          <w:lang w:eastAsia="en-GB"/>
        </w:rPr>
        <w:softHyphen/>
      </w:r>
      <w:r w:rsidRPr="00B056BB">
        <w:rPr>
          <w:rFonts w:ascii="Arial" w:eastAsia="Times New Roman" w:hAnsi="Arial" w:cs="Arial"/>
          <w:b/>
          <w:sz w:val="24"/>
          <w:szCs w:val="24"/>
          <w:lang w:eastAsia="en-GB"/>
        </w:rPr>
        <w:softHyphen/>
        <w:t>____</w:t>
      </w:r>
      <w:r w:rsidR="003F5658" w:rsidRPr="00B056BB">
        <w:rPr>
          <w:rFonts w:ascii="Arial" w:eastAsia="Times New Roman" w:hAnsi="Arial" w:cs="Arial"/>
          <w:b/>
          <w:sz w:val="24"/>
          <w:szCs w:val="24"/>
          <w:lang w:eastAsia="en-GB"/>
        </w:rPr>
        <w:t>___</w:t>
      </w:r>
      <w:r w:rsidRPr="00B056BB">
        <w:rPr>
          <w:rFonts w:ascii="Arial" w:eastAsia="Times New Roman" w:hAnsi="Arial" w:cs="Arial"/>
          <w:b/>
          <w:sz w:val="24"/>
          <w:szCs w:val="24"/>
          <w:lang w:eastAsia="en-GB"/>
        </w:rPr>
        <w:t>__</w:t>
      </w:r>
      <w:r w:rsidR="003F5658" w:rsidRPr="00B056BB">
        <w:rPr>
          <w:rFonts w:ascii="Arial" w:eastAsia="Times New Roman" w:hAnsi="Arial" w:cs="Arial"/>
          <w:b/>
          <w:sz w:val="24"/>
          <w:szCs w:val="24"/>
          <w:lang w:eastAsia="en-GB"/>
        </w:rPr>
        <w:t>__</w:t>
      </w:r>
      <w:r w:rsidRPr="00B056BB">
        <w:rPr>
          <w:rFonts w:ascii="Arial" w:eastAsia="Times New Roman" w:hAnsi="Arial" w:cs="Arial"/>
          <w:b/>
          <w:sz w:val="24"/>
          <w:szCs w:val="24"/>
          <w:lang w:eastAsia="en-GB"/>
        </w:rPr>
        <w:t>_______</w:t>
      </w:r>
    </w:p>
    <w:p w14:paraId="6E7F3C19" w14:textId="77777777" w:rsidR="00F21218" w:rsidRPr="00B056BB" w:rsidRDefault="003F5658" w:rsidP="00F21218">
      <w:pPr>
        <w:spacing w:after="0" w:line="240" w:lineRule="auto"/>
        <w:jc w:val="right"/>
        <w:rPr>
          <w:rFonts w:ascii="Arial" w:eastAsia="Times New Roman" w:hAnsi="Arial" w:cs="Arial"/>
          <w:b/>
          <w:sz w:val="24"/>
          <w:szCs w:val="24"/>
          <w:lang w:eastAsia="en-GB"/>
        </w:rPr>
      </w:pPr>
      <w:r w:rsidRPr="00B056BB">
        <w:rPr>
          <w:rFonts w:ascii="Arial" w:eastAsia="Times New Roman" w:hAnsi="Arial" w:cs="Arial"/>
          <w:b/>
          <w:sz w:val="24"/>
          <w:szCs w:val="24"/>
          <w:lang w:eastAsia="en-GB"/>
        </w:rPr>
        <w:t xml:space="preserve">M.A. </w:t>
      </w:r>
      <w:r w:rsidR="001D52C9" w:rsidRPr="00B056BB">
        <w:rPr>
          <w:rFonts w:ascii="Arial" w:eastAsia="Times New Roman" w:hAnsi="Arial" w:cs="Arial"/>
          <w:b/>
          <w:sz w:val="24"/>
          <w:szCs w:val="24"/>
          <w:lang w:eastAsia="en-GB"/>
        </w:rPr>
        <w:t>MATHEBULA, J</w:t>
      </w:r>
    </w:p>
    <w:p w14:paraId="22318657" w14:textId="77777777" w:rsidR="00F21218" w:rsidRPr="00B056BB" w:rsidRDefault="00F21218" w:rsidP="00F21218">
      <w:pPr>
        <w:spacing w:after="0" w:line="240" w:lineRule="auto"/>
        <w:jc w:val="right"/>
        <w:rPr>
          <w:rFonts w:ascii="Arial" w:hAnsi="Arial" w:cs="Arial"/>
          <w:color w:val="000000" w:themeColor="text1"/>
          <w:sz w:val="24"/>
          <w:szCs w:val="24"/>
        </w:rPr>
      </w:pPr>
    </w:p>
    <w:p w14:paraId="60FB89CD" w14:textId="77777777" w:rsidR="00F21218" w:rsidRPr="00B056BB" w:rsidRDefault="00F21218" w:rsidP="00BE43D0">
      <w:pPr>
        <w:tabs>
          <w:tab w:val="left" w:pos="1701"/>
        </w:tabs>
        <w:ind w:left="851" w:hanging="851"/>
        <w:jc w:val="both"/>
        <w:rPr>
          <w:rFonts w:ascii="Arial" w:hAnsi="Arial" w:cs="Arial"/>
          <w:color w:val="000000" w:themeColor="text1"/>
          <w:sz w:val="24"/>
          <w:szCs w:val="24"/>
        </w:rPr>
      </w:pPr>
    </w:p>
    <w:p w14:paraId="2CE26147" w14:textId="77777777" w:rsidR="00E9215A" w:rsidRPr="00B056BB" w:rsidRDefault="00E9215A" w:rsidP="00BE43D0">
      <w:pPr>
        <w:tabs>
          <w:tab w:val="left" w:pos="1701"/>
        </w:tabs>
        <w:ind w:left="851" w:hanging="851"/>
        <w:jc w:val="both"/>
        <w:rPr>
          <w:rFonts w:ascii="Arial" w:hAnsi="Arial" w:cs="Arial"/>
          <w:color w:val="000000" w:themeColor="text1"/>
          <w:sz w:val="24"/>
          <w:szCs w:val="24"/>
        </w:rPr>
      </w:pPr>
    </w:p>
    <w:p w14:paraId="03BAB88A" w14:textId="77777777" w:rsidR="001D52C9" w:rsidRPr="00B056BB" w:rsidRDefault="001D52C9"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On behalf of</w:t>
      </w:r>
      <w:r w:rsidR="00A41810" w:rsidRPr="00B056BB">
        <w:rPr>
          <w:rFonts w:ascii="Arial" w:hAnsi="Arial" w:cs="Arial"/>
          <w:color w:val="000000" w:themeColor="text1"/>
          <w:sz w:val="24"/>
          <w:szCs w:val="24"/>
        </w:rPr>
        <w:t xml:space="preserve"> the</w:t>
      </w:r>
      <w:r w:rsidRPr="00B056BB">
        <w:rPr>
          <w:rFonts w:ascii="Arial" w:hAnsi="Arial" w:cs="Arial"/>
          <w:color w:val="000000" w:themeColor="text1"/>
          <w:sz w:val="24"/>
          <w:szCs w:val="24"/>
        </w:rPr>
        <w:t xml:space="preserve"> applicant</w:t>
      </w:r>
      <w:r w:rsidR="00286892">
        <w:rPr>
          <w:rFonts w:ascii="Arial" w:hAnsi="Arial" w:cs="Arial"/>
          <w:color w:val="000000" w:themeColor="text1"/>
          <w:sz w:val="24"/>
          <w:szCs w:val="24"/>
        </w:rPr>
        <w:t>s</w:t>
      </w:r>
      <w:r w:rsidRPr="00B056BB">
        <w:rPr>
          <w:rFonts w:ascii="Arial" w:hAnsi="Arial" w:cs="Arial"/>
          <w:color w:val="000000" w:themeColor="text1"/>
          <w:sz w:val="24"/>
          <w:szCs w:val="24"/>
        </w:rPr>
        <w:t>:</w:t>
      </w:r>
      <w:r w:rsidR="00150D63" w:rsidRPr="00B056BB">
        <w:rPr>
          <w:rFonts w:ascii="Arial" w:hAnsi="Arial" w:cs="Arial"/>
          <w:color w:val="000000" w:themeColor="text1"/>
          <w:sz w:val="24"/>
          <w:szCs w:val="24"/>
        </w:rPr>
        <w:tab/>
      </w:r>
      <w:r w:rsidR="000A0898" w:rsidRPr="00B056BB">
        <w:rPr>
          <w:rFonts w:ascii="Arial" w:hAnsi="Arial" w:cs="Arial"/>
          <w:color w:val="000000" w:themeColor="text1"/>
          <w:sz w:val="24"/>
          <w:szCs w:val="24"/>
        </w:rPr>
        <w:tab/>
      </w:r>
      <w:r w:rsidR="00286892">
        <w:rPr>
          <w:rFonts w:ascii="Arial" w:hAnsi="Arial" w:cs="Arial"/>
          <w:color w:val="000000" w:themeColor="text1"/>
          <w:sz w:val="24"/>
          <w:szCs w:val="24"/>
        </w:rPr>
        <w:t>Adv. J.G. Gilliland</w:t>
      </w:r>
    </w:p>
    <w:p w14:paraId="2D462E25" w14:textId="77777777" w:rsidR="007B20B5" w:rsidRPr="00B056BB" w:rsidRDefault="001D52C9"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Instructed by:</w:t>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286892">
        <w:rPr>
          <w:rFonts w:ascii="Arial" w:hAnsi="Arial" w:cs="Arial"/>
          <w:color w:val="000000" w:themeColor="text1"/>
          <w:sz w:val="24"/>
          <w:szCs w:val="24"/>
        </w:rPr>
        <w:t xml:space="preserve">Symington &amp; de </w:t>
      </w:r>
      <w:proofErr w:type="spellStart"/>
      <w:r w:rsidR="00286892">
        <w:rPr>
          <w:rFonts w:ascii="Arial" w:hAnsi="Arial" w:cs="Arial"/>
          <w:color w:val="000000" w:themeColor="text1"/>
          <w:sz w:val="24"/>
          <w:szCs w:val="24"/>
        </w:rPr>
        <w:t>Kok</w:t>
      </w:r>
      <w:proofErr w:type="spellEnd"/>
      <w:r w:rsidR="00FC18F7" w:rsidRPr="00B056BB">
        <w:rPr>
          <w:rFonts w:ascii="Arial" w:hAnsi="Arial" w:cs="Arial"/>
          <w:color w:val="000000" w:themeColor="text1"/>
          <w:sz w:val="24"/>
          <w:szCs w:val="24"/>
        </w:rPr>
        <w:t xml:space="preserve"> Attorneys</w:t>
      </w:r>
    </w:p>
    <w:p w14:paraId="78651B21" w14:textId="77777777" w:rsidR="00F21218" w:rsidRPr="00B056BB" w:rsidRDefault="000A0898" w:rsidP="001E5942">
      <w:pPr>
        <w:tabs>
          <w:tab w:val="left" w:pos="1701"/>
        </w:tabs>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004D253C">
        <w:rPr>
          <w:rFonts w:ascii="Arial" w:hAnsi="Arial" w:cs="Arial"/>
          <w:color w:val="000000" w:themeColor="text1"/>
          <w:sz w:val="24"/>
          <w:szCs w:val="24"/>
        </w:rPr>
        <w:t>BLOEMFONTEIN</w:t>
      </w:r>
    </w:p>
    <w:p w14:paraId="59CEAB16" w14:textId="77777777" w:rsidR="00F21218" w:rsidRPr="00B056BB" w:rsidRDefault="00F21218" w:rsidP="001E5942">
      <w:pPr>
        <w:tabs>
          <w:tab w:val="left" w:pos="1701"/>
        </w:tabs>
        <w:ind w:left="851" w:hanging="851"/>
        <w:jc w:val="both"/>
        <w:rPr>
          <w:rFonts w:ascii="Arial" w:hAnsi="Arial" w:cs="Arial"/>
          <w:color w:val="000000" w:themeColor="text1"/>
          <w:sz w:val="24"/>
          <w:szCs w:val="24"/>
        </w:rPr>
      </w:pPr>
    </w:p>
    <w:p w14:paraId="68864C9F" w14:textId="77777777" w:rsidR="00F21218" w:rsidRPr="00B056BB" w:rsidRDefault="00F21218" w:rsidP="001E5942">
      <w:pPr>
        <w:tabs>
          <w:tab w:val="left" w:pos="1701"/>
        </w:tabs>
        <w:ind w:left="851" w:hanging="851"/>
        <w:jc w:val="both"/>
        <w:rPr>
          <w:rFonts w:ascii="Arial" w:hAnsi="Arial" w:cs="Arial"/>
          <w:color w:val="000000" w:themeColor="text1"/>
          <w:sz w:val="24"/>
          <w:szCs w:val="24"/>
        </w:rPr>
      </w:pPr>
    </w:p>
    <w:p w14:paraId="0336639B" w14:textId="77777777" w:rsidR="001E5942" w:rsidRPr="00B056BB" w:rsidRDefault="001E5942"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On behalf of</w:t>
      </w:r>
      <w:r w:rsidR="00A41810" w:rsidRPr="00B056BB">
        <w:rPr>
          <w:rFonts w:ascii="Arial" w:hAnsi="Arial" w:cs="Arial"/>
          <w:color w:val="000000" w:themeColor="text1"/>
          <w:sz w:val="24"/>
          <w:szCs w:val="24"/>
        </w:rPr>
        <w:t xml:space="preserve"> the</w:t>
      </w:r>
      <w:r w:rsidRPr="00B056BB">
        <w:rPr>
          <w:rFonts w:ascii="Arial" w:hAnsi="Arial" w:cs="Arial"/>
          <w:color w:val="000000" w:themeColor="text1"/>
          <w:sz w:val="24"/>
          <w:szCs w:val="24"/>
        </w:rPr>
        <w:t xml:space="preserve"> </w:t>
      </w:r>
      <w:r w:rsidR="00286892">
        <w:rPr>
          <w:rFonts w:ascii="Arial" w:hAnsi="Arial" w:cs="Arial"/>
          <w:color w:val="000000" w:themeColor="text1"/>
          <w:sz w:val="24"/>
          <w:szCs w:val="24"/>
        </w:rPr>
        <w:t>1</w:t>
      </w:r>
      <w:r w:rsidR="00286892" w:rsidRPr="00286892">
        <w:rPr>
          <w:rFonts w:ascii="Arial" w:hAnsi="Arial" w:cs="Arial"/>
          <w:color w:val="000000" w:themeColor="text1"/>
          <w:sz w:val="24"/>
          <w:szCs w:val="24"/>
          <w:vertAlign w:val="superscript"/>
        </w:rPr>
        <w:t>st</w:t>
      </w:r>
      <w:r w:rsidR="00117AC4">
        <w:rPr>
          <w:rFonts w:ascii="Arial" w:hAnsi="Arial" w:cs="Arial"/>
          <w:color w:val="000000" w:themeColor="text1"/>
          <w:sz w:val="24"/>
          <w:szCs w:val="24"/>
        </w:rPr>
        <w:t xml:space="preserve"> </w:t>
      </w:r>
      <w:r w:rsidR="003F5658" w:rsidRPr="00B056BB">
        <w:rPr>
          <w:rFonts w:ascii="Arial" w:hAnsi="Arial" w:cs="Arial"/>
          <w:color w:val="000000" w:themeColor="text1"/>
          <w:sz w:val="24"/>
          <w:szCs w:val="24"/>
        </w:rPr>
        <w:t>respondent</w:t>
      </w:r>
      <w:r w:rsidRPr="00B056BB">
        <w:rPr>
          <w:rFonts w:ascii="Arial" w:hAnsi="Arial" w:cs="Arial"/>
          <w:color w:val="000000" w:themeColor="text1"/>
          <w:sz w:val="24"/>
          <w:szCs w:val="24"/>
        </w:rPr>
        <w:t>:</w:t>
      </w:r>
      <w:r w:rsidR="00117AC4">
        <w:rPr>
          <w:rFonts w:ascii="Arial" w:hAnsi="Arial" w:cs="Arial"/>
          <w:color w:val="000000" w:themeColor="text1"/>
          <w:sz w:val="24"/>
          <w:szCs w:val="24"/>
        </w:rPr>
        <w:tab/>
      </w:r>
      <w:r w:rsidR="00150D63" w:rsidRPr="00B056BB">
        <w:rPr>
          <w:rFonts w:ascii="Arial" w:hAnsi="Arial" w:cs="Arial"/>
          <w:color w:val="000000" w:themeColor="text1"/>
          <w:sz w:val="24"/>
          <w:szCs w:val="24"/>
        </w:rPr>
        <w:tab/>
      </w:r>
      <w:r w:rsidRPr="00B056BB">
        <w:rPr>
          <w:rFonts w:ascii="Arial" w:hAnsi="Arial" w:cs="Arial"/>
          <w:color w:val="000000" w:themeColor="text1"/>
          <w:sz w:val="24"/>
          <w:szCs w:val="24"/>
        </w:rPr>
        <w:t>Adv.</w:t>
      </w:r>
      <w:r w:rsidR="00286892">
        <w:rPr>
          <w:rFonts w:ascii="Arial" w:hAnsi="Arial" w:cs="Arial"/>
          <w:color w:val="000000" w:themeColor="text1"/>
          <w:sz w:val="24"/>
          <w:szCs w:val="24"/>
        </w:rPr>
        <w:t xml:space="preserve"> C.L.H. Harms</w:t>
      </w:r>
    </w:p>
    <w:p w14:paraId="5897DDBD" w14:textId="77777777" w:rsidR="00216287" w:rsidRPr="00B056BB" w:rsidRDefault="001E5942"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Instructed by:</w:t>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proofErr w:type="spellStart"/>
      <w:r w:rsidR="004D253C">
        <w:rPr>
          <w:rFonts w:ascii="Arial" w:hAnsi="Arial" w:cs="Arial"/>
          <w:color w:val="000000" w:themeColor="text1"/>
          <w:sz w:val="24"/>
          <w:szCs w:val="24"/>
        </w:rPr>
        <w:t>Grundlingh</w:t>
      </w:r>
      <w:proofErr w:type="spellEnd"/>
      <w:r w:rsidR="004D253C">
        <w:rPr>
          <w:rFonts w:ascii="Arial" w:hAnsi="Arial" w:cs="Arial"/>
          <w:color w:val="000000" w:themeColor="text1"/>
          <w:sz w:val="24"/>
          <w:szCs w:val="24"/>
        </w:rPr>
        <w:t xml:space="preserve"> &amp; Associates</w:t>
      </w:r>
    </w:p>
    <w:p w14:paraId="552290D9" w14:textId="77777777" w:rsidR="000200F9" w:rsidRDefault="004D253C" w:rsidP="004D253C">
      <w:pPr>
        <w:tabs>
          <w:tab w:val="left" w:pos="1701"/>
        </w:tabs>
        <w:spacing w:after="0"/>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CENTURION</w:t>
      </w:r>
    </w:p>
    <w:p w14:paraId="2A1BC8F9" w14:textId="77777777" w:rsidR="004D253C" w:rsidRDefault="004D253C" w:rsidP="004D253C">
      <w:pPr>
        <w:tabs>
          <w:tab w:val="left" w:pos="1701"/>
        </w:tabs>
        <w:spacing w:after="0"/>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C/O </w:t>
      </w:r>
      <w:proofErr w:type="spellStart"/>
      <w:r>
        <w:rPr>
          <w:rFonts w:ascii="Arial" w:hAnsi="Arial" w:cs="Arial"/>
          <w:color w:val="000000" w:themeColor="text1"/>
          <w:sz w:val="24"/>
          <w:szCs w:val="24"/>
        </w:rPr>
        <w:t>Badenhorst</w:t>
      </w:r>
      <w:proofErr w:type="spellEnd"/>
      <w:r>
        <w:rPr>
          <w:rFonts w:ascii="Arial" w:hAnsi="Arial" w:cs="Arial"/>
          <w:color w:val="000000" w:themeColor="text1"/>
          <w:sz w:val="24"/>
          <w:szCs w:val="24"/>
        </w:rPr>
        <w:t xml:space="preserve"> Attorneys</w:t>
      </w:r>
    </w:p>
    <w:p w14:paraId="06F9C0C4" w14:textId="77777777" w:rsidR="004D253C" w:rsidRPr="00B056BB" w:rsidRDefault="004D253C" w:rsidP="004D253C">
      <w:pPr>
        <w:tabs>
          <w:tab w:val="left" w:pos="1701"/>
        </w:tabs>
        <w:spacing w:after="0"/>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BLOEMFONTEIN</w:t>
      </w:r>
    </w:p>
    <w:p w14:paraId="3664DD8B" w14:textId="77777777" w:rsidR="00592CD4" w:rsidRPr="00B056BB" w:rsidRDefault="00592CD4" w:rsidP="00390AB8">
      <w:pPr>
        <w:tabs>
          <w:tab w:val="left" w:pos="1701"/>
        </w:tabs>
        <w:ind w:left="851" w:hanging="851"/>
        <w:jc w:val="both"/>
        <w:rPr>
          <w:rFonts w:ascii="Arial" w:hAnsi="Arial" w:cs="Arial"/>
          <w:color w:val="000000" w:themeColor="text1"/>
          <w:sz w:val="24"/>
          <w:szCs w:val="24"/>
        </w:rPr>
      </w:pPr>
    </w:p>
    <w:p w14:paraId="5693FC21" w14:textId="77777777" w:rsidR="000200F9" w:rsidRPr="00B056BB" w:rsidRDefault="004D253C" w:rsidP="00945D21">
      <w:pPr>
        <w:tabs>
          <w:tab w:val="left" w:pos="1701"/>
        </w:tabs>
        <w:spacing w:after="0"/>
        <w:ind w:left="851" w:hanging="851"/>
        <w:jc w:val="both"/>
        <w:rPr>
          <w:rFonts w:ascii="Arial" w:hAnsi="Arial" w:cs="Arial"/>
          <w:color w:val="000000" w:themeColor="text1"/>
          <w:sz w:val="28"/>
          <w:szCs w:val="28"/>
        </w:rPr>
      </w:pPr>
      <w:r>
        <w:rPr>
          <w:rFonts w:ascii="Arial" w:hAnsi="Arial" w:cs="Arial"/>
          <w:color w:val="000000" w:themeColor="text1"/>
          <w:sz w:val="24"/>
          <w:szCs w:val="24"/>
        </w:rPr>
        <w:t>On behalf of the</w:t>
      </w:r>
      <w:r w:rsidR="00117AC4">
        <w:rPr>
          <w:rFonts w:ascii="Arial" w:hAnsi="Arial" w:cs="Arial"/>
          <w:color w:val="000000" w:themeColor="text1"/>
          <w:sz w:val="24"/>
          <w:szCs w:val="24"/>
        </w:rPr>
        <w:t xml:space="preserve"> 2</w:t>
      </w:r>
      <w:r w:rsidR="00117AC4" w:rsidRPr="00117AC4">
        <w:rPr>
          <w:rFonts w:ascii="Arial" w:hAnsi="Arial" w:cs="Arial"/>
          <w:color w:val="000000" w:themeColor="text1"/>
          <w:sz w:val="24"/>
          <w:szCs w:val="24"/>
          <w:vertAlign w:val="superscript"/>
        </w:rPr>
        <w:t>nd</w:t>
      </w:r>
      <w:r w:rsidR="00117AC4">
        <w:rPr>
          <w:rFonts w:ascii="Arial" w:hAnsi="Arial" w:cs="Arial"/>
          <w:color w:val="000000" w:themeColor="text1"/>
          <w:sz w:val="24"/>
          <w:szCs w:val="24"/>
        </w:rPr>
        <w:t xml:space="preserve"> &amp;</w:t>
      </w:r>
      <w:r>
        <w:rPr>
          <w:rFonts w:ascii="Arial" w:hAnsi="Arial" w:cs="Arial"/>
          <w:color w:val="000000" w:themeColor="text1"/>
          <w:sz w:val="24"/>
          <w:szCs w:val="24"/>
        </w:rPr>
        <w:t xml:space="preserve"> 3</w:t>
      </w:r>
      <w:r w:rsidRPr="004D253C">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respondent</w:t>
      </w:r>
      <w:r w:rsidR="00117AC4">
        <w:rPr>
          <w:rFonts w:ascii="Arial" w:hAnsi="Arial" w:cs="Arial"/>
          <w:color w:val="000000" w:themeColor="text1"/>
          <w:sz w:val="24"/>
          <w:szCs w:val="24"/>
        </w:rPr>
        <w:t>s</w:t>
      </w:r>
      <w:r w:rsidR="000200F9" w:rsidRPr="00B056BB">
        <w:rPr>
          <w:rFonts w:ascii="Arial" w:hAnsi="Arial" w:cs="Arial"/>
          <w:color w:val="000000" w:themeColor="text1"/>
          <w:sz w:val="24"/>
          <w:szCs w:val="24"/>
        </w:rPr>
        <w:t>:</w:t>
      </w:r>
      <w:r w:rsidR="00945D21" w:rsidRPr="00B056BB">
        <w:rPr>
          <w:rFonts w:ascii="Arial" w:hAnsi="Arial" w:cs="Arial"/>
          <w:color w:val="000000" w:themeColor="text1"/>
          <w:sz w:val="24"/>
          <w:szCs w:val="24"/>
        </w:rPr>
        <w:tab/>
      </w:r>
      <w:r w:rsidR="000200F9" w:rsidRPr="00B056BB">
        <w:rPr>
          <w:rFonts w:ascii="Arial" w:hAnsi="Arial" w:cs="Arial"/>
          <w:color w:val="000000" w:themeColor="text1"/>
          <w:sz w:val="24"/>
          <w:szCs w:val="24"/>
        </w:rPr>
        <w:t>No appearance</w:t>
      </w:r>
    </w:p>
    <w:p w14:paraId="063C67A4" w14:textId="77777777" w:rsidR="00E9215A" w:rsidRPr="00B056BB" w:rsidRDefault="00E9215A" w:rsidP="00390AB8">
      <w:pPr>
        <w:tabs>
          <w:tab w:val="left" w:pos="1701"/>
        </w:tabs>
        <w:ind w:left="851" w:hanging="851"/>
        <w:jc w:val="both"/>
        <w:rPr>
          <w:rFonts w:ascii="Arial" w:hAnsi="Arial" w:cs="Arial"/>
          <w:color w:val="000000" w:themeColor="text1"/>
          <w:sz w:val="28"/>
          <w:szCs w:val="28"/>
        </w:rPr>
      </w:pPr>
    </w:p>
    <w:p w14:paraId="5660B666" w14:textId="77777777" w:rsidR="004D253C" w:rsidRDefault="004D253C" w:rsidP="004D253C">
      <w:pPr>
        <w:spacing w:after="0" w:line="360" w:lineRule="auto"/>
        <w:jc w:val="both"/>
        <w:rPr>
          <w:rFonts w:ascii="Arial" w:hAnsi="Arial" w:cs="Arial"/>
          <w:color w:val="000000" w:themeColor="text1"/>
          <w:sz w:val="28"/>
          <w:szCs w:val="28"/>
        </w:rPr>
      </w:pPr>
    </w:p>
    <w:p w14:paraId="57424D41" w14:textId="77777777" w:rsidR="00FC18F7" w:rsidRPr="00B056BB" w:rsidRDefault="00FC18F7" w:rsidP="004D253C">
      <w:pPr>
        <w:spacing w:after="0" w:line="360" w:lineRule="auto"/>
        <w:jc w:val="both"/>
        <w:rPr>
          <w:rFonts w:ascii="Arial" w:hAnsi="Arial" w:cs="Arial"/>
          <w:color w:val="000000" w:themeColor="text1"/>
          <w:sz w:val="28"/>
          <w:szCs w:val="28"/>
        </w:rPr>
      </w:pPr>
      <w:r w:rsidRPr="00B056BB">
        <w:rPr>
          <w:rFonts w:ascii="Arial Narrow" w:hAnsi="Arial Narrow" w:cs="Arial"/>
          <w:b/>
          <w:sz w:val="12"/>
          <w:szCs w:val="12"/>
        </w:rPr>
        <w:t>/</w:t>
      </w:r>
      <w:proofErr w:type="spellStart"/>
      <w:r w:rsidRPr="00B056BB">
        <w:rPr>
          <w:rFonts w:ascii="Arial Narrow" w:hAnsi="Arial Narrow" w:cs="Arial"/>
          <w:b/>
          <w:sz w:val="12"/>
          <w:szCs w:val="12"/>
        </w:rPr>
        <w:t>TKwapa</w:t>
      </w:r>
      <w:proofErr w:type="spellEnd"/>
    </w:p>
    <w:sectPr w:rsidR="00FC18F7" w:rsidRPr="00B056BB" w:rsidSect="0042488A">
      <w:headerReference w:type="even" r:id="rId11"/>
      <w:headerReference w:type="default" r:id="rId12"/>
      <w:headerReference w:type="first" r:id="rId13"/>
      <w:pgSz w:w="11906" w:h="16838"/>
      <w:pgMar w:top="709" w:right="1274"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4D30" w14:textId="77777777" w:rsidR="00B91E11" w:rsidRDefault="00B91E11" w:rsidP="001D52C9">
      <w:pPr>
        <w:spacing w:after="0" w:line="240" w:lineRule="auto"/>
      </w:pPr>
      <w:r>
        <w:separator/>
      </w:r>
    </w:p>
  </w:endnote>
  <w:endnote w:type="continuationSeparator" w:id="0">
    <w:p w14:paraId="76E63B32" w14:textId="77777777" w:rsidR="00B91E11" w:rsidRDefault="00B91E11"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DD8B" w14:textId="77777777" w:rsidR="00B91E11" w:rsidRDefault="00B91E11" w:rsidP="001D52C9">
      <w:pPr>
        <w:spacing w:after="0" w:line="240" w:lineRule="auto"/>
      </w:pPr>
      <w:r>
        <w:separator/>
      </w:r>
    </w:p>
  </w:footnote>
  <w:footnote w:type="continuationSeparator" w:id="0">
    <w:p w14:paraId="25011082" w14:textId="77777777" w:rsidR="00B91E11" w:rsidRDefault="00B91E11" w:rsidP="001D52C9">
      <w:pPr>
        <w:spacing w:after="0" w:line="240" w:lineRule="auto"/>
      </w:pPr>
      <w:r>
        <w:continuationSeparator/>
      </w:r>
    </w:p>
  </w:footnote>
  <w:footnote w:id="1">
    <w:p w14:paraId="6D3196E1" w14:textId="77777777" w:rsidR="001E75E8" w:rsidRPr="001E75E8" w:rsidRDefault="001E75E8">
      <w:pPr>
        <w:pStyle w:val="FootnoteText"/>
        <w:rPr>
          <w:rFonts w:ascii="Arial" w:hAnsi="Arial" w:cs="Arial"/>
          <w:lang w:val="en-US"/>
        </w:rPr>
      </w:pPr>
      <w:r>
        <w:rPr>
          <w:rStyle w:val="FootnoteReference"/>
        </w:rPr>
        <w:footnoteRef/>
      </w:r>
      <w:r>
        <w:t xml:space="preserve"> </w:t>
      </w:r>
      <w:proofErr w:type="spellStart"/>
      <w:r>
        <w:rPr>
          <w:rFonts w:ascii="Arial" w:hAnsi="Arial" w:cs="Arial"/>
        </w:rPr>
        <w:t>Plascon</w:t>
      </w:r>
      <w:proofErr w:type="spellEnd"/>
      <w:r>
        <w:rPr>
          <w:rFonts w:ascii="Arial" w:hAnsi="Arial" w:cs="Arial"/>
        </w:rPr>
        <w:t xml:space="preserve">-Evans Paints Ltd v Van </w:t>
      </w:r>
      <w:proofErr w:type="spellStart"/>
      <w:r>
        <w:rPr>
          <w:rFonts w:ascii="Arial" w:hAnsi="Arial" w:cs="Arial"/>
        </w:rPr>
        <w:t>Riebeeck</w:t>
      </w:r>
      <w:proofErr w:type="spellEnd"/>
      <w:r>
        <w:rPr>
          <w:rFonts w:ascii="Arial" w:hAnsi="Arial" w:cs="Arial"/>
        </w:rPr>
        <w:t xml:space="preserve"> Paints (Pty) Ltd 1984 (3) SA 623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CCD" w14:textId="77777777" w:rsidR="004D253C" w:rsidRDefault="004D2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DA68" w14:textId="77777777" w:rsidR="004D253C" w:rsidRDefault="00000000">
    <w:pPr>
      <w:pStyle w:val="Header"/>
      <w:jc w:val="right"/>
    </w:pPr>
    <w:sdt>
      <w:sdtPr>
        <w:id w:val="134921715"/>
        <w:docPartObj>
          <w:docPartGallery w:val="Page Numbers (Top of Page)"/>
          <w:docPartUnique/>
        </w:docPartObj>
      </w:sdtPr>
      <w:sdtEndPr>
        <w:rPr>
          <w:noProof/>
        </w:rPr>
      </w:sdtEndPr>
      <w:sdtContent>
        <w:r w:rsidR="004D253C">
          <w:fldChar w:fldCharType="begin"/>
        </w:r>
        <w:r w:rsidR="004D253C">
          <w:instrText xml:space="preserve"> PAGE   \* MERGEFORMAT </w:instrText>
        </w:r>
        <w:r w:rsidR="004D253C">
          <w:fldChar w:fldCharType="separate"/>
        </w:r>
        <w:r w:rsidR="00475DE8">
          <w:rPr>
            <w:noProof/>
          </w:rPr>
          <w:t>8</w:t>
        </w:r>
        <w:r w:rsidR="004D253C">
          <w:rPr>
            <w:noProof/>
          </w:rPr>
          <w:fldChar w:fldCharType="end"/>
        </w:r>
      </w:sdtContent>
    </w:sdt>
  </w:p>
  <w:p w14:paraId="2B399110" w14:textId="77777777" w:rsidR="004D253C" w:rsidRDefault="004D2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BE0" w14:textId="77777777" w:rsidR="004D253C" w:rsidRDefault="004D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4" w15:restartNumberingAfterBreak="0">
    <w:nsid w:val="36267EF8"/>
    <w:multiLevelType w:val="hybridMultilevel"/>
    <w:tmpl w:val="C0D2B8DC"/>
    <w:lvl w:ilvl="0" w:tplc="8B944C2C">
      <w:numFmt w:val="bullet"/>
      <w:lvlText w:val="-"/>
      <w:lvlJc w:val="left"/>
      <w:pPr>
        <w:ind w:left="720" w:hanging="360"/>
      </w:pPr>
      <w:rPr>
        <w:rFonts w:ascii="Arial" w:eastAsia="Times New Roman"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60F1537B"/>
    <w:multiLevelType w:val="hybridMultilevel"/>
    <w:tmpl w:val="81E6D55C"/>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7" w15:restartNumberingAfterBreak="0">
    <w:nsid w:val="61EF6728"/>
    <w:multiLevelType w:val="multilevel"/>
    <w:tmpl w:val="CD085B66"/>
    <w:lvl w:ilvl="0">
      <w:start w:val="1"/>
      <w:numFmt w:val="decimal"/>
      <w:lvlText w:val="%1."/>
      <w:lvlJc w:val="left"/>
      <w:pPr>
        <w:ind w:left="1215" w:hanging="360"/>
      </w:pPr>
      <w:rPr>
        <w:rFonts w:hint="default"/>
      </w:rPr>
    </w:lvl>
    <w:lvl w:ilvl="1">
      <w:start w:val="1"/>
      <w:numFmt w:val="decimal"/>
      <w:isLgl/>
      <w:lvlText w:val="%1.%2."/>
      <w:lvlJc w:val="left"/>
      <w:pPr>
        <w:ind w:left="1935" w:hanging="72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5175" w:hanging="1800"/>
      </w:pPr>
      <w:rPr>
        <w:rFonts w:hint="default"/>
      </w:rPr>
    </w:lvl>
    <w:lvl w:ilvl="8">
      <w:start w:val="1"/>
      <w:numFmt w:val="decimal"/>
      <w:isLgl/>
      <w:lvlText w:val="%1.%2.%3.%4.%5.%6.%7.%8.%9."/>
      <w:lvlJc w:val="left"/>
      <w:pPr>
        <w:ind w:left="5895" w:hanging="2160"/>
      </w:pPr>
      <w:rPr>
        <w:rFonts w:hint="default"/>
      </w:rPr>
    </w:lvl>
  </w:abstractNum>
  <w:abstractNum w:abstractNumId="8"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587614245">
    <w:abstractNumId w:val="8"/>
  </w:num>
  <w:num w:numId="2" w16cid:durableId="125126397">
    <w:abstractNumId w:val="2"/>
  </w:num>
  <w:num w:numId="3" w16cid:durableId="874931650">
    <w:abstractNumId w:val="1"/>
  </w:num>
  <w:num w:numId="4" w16cid:durableId="1003320319">
    <w:abstractNumId w:val="3"/>
  </w:num>
  <w:num w:numId="5" w16cid:durableId="1320228931">
    <w:abstractNumId w:val="5"/>
  </w:num>
  <w:num w:numId="6" w16cid:durableId="1991985187">
    <w:abstractNumId w:val="0"/>
  </w:num>
  <w:num w:numId="7" w16cid:durableId="1775783770">
    <w:abstractNumId w:val="9"/>
  </w:num>
  <w:num w:numId="8" w16cid:durableId="69741651">
    <w:abstractNumId w:val="4"/>
  </w:num>
  <w:num w:numId="9" w16cid:durableId="1270625192">
    <w:abstractNumId w:val="6"/>
  </w:num>
  <w:num w:numId="10" w16cid:durableId="708140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B50234-300C-49C2-8A32-BBE726F8EF5A}"/>
    <w:docVar w:name="dgnword-eventsink" w:val="74196416"/>
  </w:docVars>
  <w:rsids>
    <w:rsidRoot w:val="0024500F"/>
    <w:rsid w:val="00010A74"/>
    <w:rsid w:val="000200F9"/>
    <w:rsid w:val="00023C41"/>
    <w:rsid w:val="0003146A"/>
    <w:rsid w:val="00040F62"/>
    <w:rsid w:val="000431A4"/>
    <w:rsid w:val="000444EB"/>
    <w:rsid w:val="00053821"/>
    <w:rsid w:val="00054A69"/>
    <w:rsid w:val="00061BC3"/>
    <w:rsid w:val="000664ED"/>
    <w:rsid w:val="00066646"/>
    <w:rsid w:val="00071B39"/>
    <w:rsid w:val="00077325"/>
    <w:rsid w:val="00082B9B"/>
    <w:rsid w:val="000849AD"/>
    <w:rsid w:val="0008502C"/>
    <w:rsid w:val="000977B3"/>
    <w:rsid w:val="000A0898"/>
    <w:rsid w:val="000A2540"/>
    <w:rsid w:val="000A75AD"/>
    <w:rsid w:val="000B037D"/>
    <w:rsid w:val="000B4ACE"/>
    <w:rsid w:val="000C4210"/>
    <w:rsid w:val="000C4CBC"/>
    <w:rsid w:val="000C690F"/>
    <w:rsid w:val="000E0CDB"/>
    <w:rsid w:val="000E63A2"/>
    <w:rsid w:val="000F23E7"/>
    <w:rsid w:val="000F25CE"/>
    <w:rsid w:val="000F6B53"/>
    <w:rsid w:val="000F7148"/>
    <w:rsid w:val="000F74BE"/>
    <w:rsid w:val="00103E0B"/>
    <w:rsid w:val="00105EF8"/>
    <w:rsid w:val="001137B2"/>
    <w:rsid w:val="0011620E"/>
    <w:rsid w:val="00117245"/>
    <w:rsid w:val="00117AC4"/>
    <w:rsid w:val="0012008C"/>
    <w:rsid w:val="00122F05"/>
    <w:rsid w:val="00130482"/>
    <w:rsid w:val="001321E6"/>
    <w:rsid w:val="001430B1"/>
    <w:rsid w:val="0015093E"/>
    <w:rsid w:val="00150D63"/>
    <w:rsid w:val="0015202E"/>
    <w:rsid w:val="00153E74"/>
    <w:rsid w:val="0016160A"/>
    <w:rsid w:val="00162984"/>
    <w:rsid w:val="0016353A"/>
    <w:rsid w:val="0016649F"/>
    <w:rsid w:val="00166E61"/>
    <w:rsid w:val="001727C6"/>
    <w:rsid w:val="00186585"/>
    <w:rsid w:val="001969D1"/>
    <w:rsid w:val="001977EA"/>
    <w:rsid w:val="001B2FBF"/>
    <w:rsid w:val="001B3D36"/>
    <w:rsid w:val="001B508D"/>
    <w:rsid w:val="001B6A9C"/>
    <w:rsid w:val="001C2867"/>
    <w:rsid w:val="001D31B5"/>
    <w:rsid w:val="001D52C9"/>
    <w:rsid w:val="001D5333"/>
    <w:rsid w:val="001D683E"/>
    <w:rsid w:val="001E31D8"/>
    <w:rsid w:val="001E5942"/>
    <w:rsid w:val="001E5C8B"/>
    <w:rsid w:val="001E75E8"/>
    <w:rsid w:val="001F3363"/>
    <w:rsid w:val="001F6392"/>
    <w:rsid w:val="002005CC"/>
    <w:rsid w:val="00201EEF"/>
    <w:rsid w:val="002079FA"/>
    <w:rsid w:val="00214CEB"/>
    <w:rsid w:val="00216287"/>
    <w:rsid w:val="00224AF5"/>
    <w:rsid w:val="002252DB"/>
    <w:rsid w:val="00226168"/>
    <w:rsid w:val="00226B75"/>
    <w:rsid w:val="0023370C"/>
    <w:rsid w:val="00235394"/>
    <w:rsid w:val="00235EE1"/>
    <w:rsid w:val="00237D4E"/>
    <w:rsid w:val="0024421B"/>
    <w:rsid w:val="0024500F"/>
    <w:rsid w:val="00247D67"/>
    <w:rsid w:val="00250E2F"/>
    <w:rsid w:val="002525CE"/>
    <w:rsid w:val="00252A95"/>
    <w:rsid w:val="002537F5"/>
    <w:rsid w:val="0026395D"/>
    <w:rsid w:val="0026686D"/>
    <w:rsid w:val="0027004B"/>
    <w:rsid w:val="00272539"/>
    <w:rsid w:val="002746BB"/>
    <w:rsid w:val="00281D85"/>
    <w:rsid w:val="0028391B"/>
    <w:rsid w:val="002849B5"/>
    <w:rsid w:val="00286892"/>
    <w:rsid w:val="00286FE0"/>
    <w:rsid w:val="00294F56"/>
    <w:rsid w:val="00295B85"/>
    <w:rsid w:val="002A021E"/>
    <w:rsid w:val="002A6A79"/>
    <w:rsid w:val="002B1017"/>
    <w:rsid w:val="002B3CA3"/>
    <w:rsid w:val="002C213C"/>
    <w:rsid w:val="002D32E4"/>
    <w:rsid w:val="002D528F"/>
    <w:rsid w:val="002D60E9"/>
    <w:rsid w:val="002D6F22"/>
    <w:rsid w:val="002D7332"/>
    <w:rsid w:val="002E4DD3"/>
    <w:rsid w:val="003027E7"/>
    <w:rsid w:val="00305758"/>
    <w:rsid w:val="00305ADB"/>
    <w:rsid w:val="003127AA"/>
    <w:rsid w:val="003135B0"/>
    <w:rsid w:val="0031732B"/>
    <w:rsid w:val="003222FC"/>
    <w:rsid w:val="00323312"/>
    <w:rsid w:val="0032442F"/>
    <w:rsid w:val="00327371"/>
    <w:rsid w:val="00333A4C"/>
    <w:rsid w:val="003341CA"/>
    <w:rsid w:val="003422F7"/>
    <w:rsid w:val="003426E3"/>
    <w:rsid w:val="00342CFB"/>
    <w:rsid w:val="00344E43"/>
    <w:rsid w:val="00345BC0"/>
    <w:rsid w:val="00347A96"/>
    <w:rsid w:val="00356F41"/>
    <w:rsid w:val="00361219"/>
    <w:rsid w:val="00362A10"/>
    <w:rsid w:val="00365D0F"/>
    <w:rsid w:val="00372D39"/>
    <w:rsid w:val="0037528A"/>
    <w:rsid w:val="003839EC"/>
    <w:rsid w:val="00385941"/>
    <w:rsid w:val="00385D60"/>
    <w:rsid w:val="00390AB8"/>
    <w:rsid w:val="0039581E"/>
    <w:rsid w:val="0039718E"/>
    <w:rsid w:val="003A4BC8"/>
    <w:rsid w:val="003A5081"/>
    <w:rsid w:val="003B210B"/>
    <w:rsid w:val="003B566F"/>
    <w:rsid w:val="003B5758"/>
    <w:rsid w:val="003B5BEC"/>
    <w:rsid w:val="003B5E8B"/>
    <w:rsid w:val="003B60E0"/>
    <w:rsid w:val="003B6761"/>
    <w:rsid w:val="003B74C4"/>
    <w:rsid w:val="003E329E"/>
    <w:rsid w:val="003E63C0"/>
    <w:rsid w:val="003E71D5"/>
    <w:rsid w:val="003F1677"/>
    <w:rsid w:val="003F5259"/>
    <w:rsid w:val="003F5658"/>
    <w:rsid w:val="003F6D7F"/>
    <w:rsid w:val="003F7C5E"/>
    <w:rsid w:val="00403E05"/>
    <w:rsid w:val="00407CAF"/>
    <w:rsid w:val="004111C3"/>
    <w:rsid w:val="0042488A"/>
    <w:rsid w:val="0042586F"/>
    <w:rsid w:val="004353D1"/>
    <w:rsid w:val="00435D56"/>
    <w:rsid w:val="00436A00"/>
    <w:rsid w:val="00437449"/>
    <w:rsid w:val="00437A38"/>
    <w:rsid w:val="004474C6"/>
    <w:rsid w:val="00461A4D"/>
    <w:rsid w:val="0046487B"/>
    <w:rsid w:val="00464AED"/>
    <w:rsid w:val="00471E58"/>
    <w:rsid w:val="00475DE8"/>
    <w:rsid w:val="004778B1"/>
    <w:rsid w:val="0048069C"/>
    <w:rsid w:val="00483DBE"/>
    <w:rsid w:val="00486734"/>
    <w:rsid w:val="00487098"/>
    <w:rsid w:val="004950CB"/>
    <w:rsid w:val="004A6E4D"/>
    <w:rsid w:val="004A7A41"/>
    <w:rsid w:val="004C35CF"/>
    <w:rsid w:val="004C778F"/>
    <w:rsid w:val="004D05A2"/>
    <w:rsid w:val="004D253C"/>
    <w:rsid w:val="004E0A78"/>
    <w:rsid w:val="004E1006"/>
    <w:rsid w:val="004E30D3"/>
    <w:rsid w:val="004E7D65"/>
    <w:rsid w:val="004F3D17"/>
    <w:rsid w:val="004F6B4C"/>
    <w:rsid w:val="00504A23"/>
    <w:rsid w:val="00504BE8"/>
    <w:rsid w:val="00510573"/>
    <w:rsid w:val="00512B28"/>
    <w:rsid w:val="00513386"/>
    <w:rsid w:val="005155A1"/>
    <w:rsid w:val="00515AA4"/>
    <w:rsid w:val="00517EAD"/>
    <w:rsid w:val="005239E0"/>
    <w:rsid w:val="00530D36"/>
    <w:rsid w:val="0054235D"/>
    <w:rsid w:val="0054305D"/>
    <w:rsid w:val="00543CF3"/>
    <w:rsid w:val="00555CC2"/>
    <w:rsid w:val="0055602B"/>
    <w:rsid w:val="005561B3"/>
    <w:rsid w:val="00557BE1"/>
    <w:rsid w:val="00557CFA"/>
    <w:rsid w:val="00563448"/>
    <w:rsid w:val="00564690"/>
    <w:rsid w:val="00571370"/>
    <w:rsid w:val="00572962"/>
    <w:rsid w:val="0057791A"/>
    <w:rsid w:val="0058154E"/>
    <w:rsid w:val="00592CD4"/>
    <w:rsid w:val="005933F3"/>
    <w:rsid w:val="00594FE1"/>
    <w:rsid w:val="00595D76"/>
    <w:rsid w:val="005A32DB"/>
    <w:rsid w:val="005A39CB"/>
    <w:rsid w:val="005B0B0F"/>
    <w:rsid w:val="005C44FF"/>
    <w:rsid w:val="005C7908"/>
    <w:rsid w:val="005D0BE5"/>
    <w:rsid w:val="005D10FE"/>
    <w:rsid w:val="005D4DB0"/>
    <w:rsid w:val="005D5935"/>
    <w:rsid w:val="005E2438"/>
    <w:rsid w:val="005E2D63"/>
    <w:rsid w:val="005F08CF"/>
    <w:rsid w:val="005F5E7F"/>
    <w:rsid w:val="005F733A"/>
    <w:rsid w:val="00600BEE"/>
    <w:rsid w:val="0060236F"/>
    <w:rsid w:val="00603365"/>
    <w:rsid w:val="00616BE1"/>
    <w:rsid w:val="0062210C"/>
    <w:rsid w:val="00624C4A"/>
    <w:rsid w:val="006320E6"/>
    <w:rsid w:val="006337C8"/>
    <w:rsid w:val="006602C4"/>
    <w:rsid w:val="00660F6F"/>
    <w:rsid w:val="00661330"/>
    <w:rsid w:val="006616F4"/>
    <w:rsid w:val="0066436C"/>
    <w:rsid w:val="00665D92"/>
    <w:rsid w:val="00666DA4"/>
    <w:rsid w:val="00674AC1"/>
    <w:rsid w:val="0067557E"/>
    <w:rsid w:val="00686E59"/>
    <w:rsid w:val="00687ED1"/>
    <w:rsid w:val="00696362"/>
    <w:rsid w:val="006964FB"/>
    <w:rsid w:val="006A0B33"/>
    <w:rsid w:val="006A1143"/>
    <w:rsid w:val="006A1A30"/>
    <w:rsid w:val="006B533F"/>
    <w:rsid w:val="006C1474"/>
    <w:rsid w:val="006C5B3E"/>
    <w:rsid w:val="006C5C11"/>
    <w:rsid w:val="006D0370"/>
    <w:rsid w:val="006D0595"/>
    <w:rsid w:val="006D07A2"/>
    <w:rsid w:val="006D49B9"/>
    <w:rsid w:val="006D5DB1"/>
    <w:rsid w:val="006D7283"/>
    <w:rsid w:val="006E1EF0"/>
    <w:rsid w:val="006E2F64"/>
    <w:rsid w:val="006E5C80"/>
    <w:rsid w:val="006F27D9"/>
    <w:rsid w:val="006F3771"/>
    <w:rsid w:val="006F4FFB"/>
    <w:rsid w:val="006F68F5"/>
    <w:rsid w:val="007018AF"/>
    <w:rsid w:val="00702FC0"/>
    <w:rsid w:val="00703480"/>
    <w:rsid w:val="00710FFE"/>
    <w:rsid w:val="00711389"/>
    <w:rsid w:val="007252DF"/>
    <w:rsid w:val="00732121"/>
    <w:rsid w:val="00732C96"/>
    <w:rsid w:val="0073759C"/>
    <w:rsid w:val="00744888"/>
    <w:rsid w:val="00744FEF"/>
    <w:rsid w:val="0074568B"/>
    <w:rsid w:val="007508F2"/>
    <w:rsid w:val="0075248A"/>
    <w:rsid w:val="00755F7C"/>
    <w:rsid w:val="00757E03"/>
    <w:rsid w:val="00761F44"/>
    <w:rsid w:val="007712BE"/>
    <w:rsid w:val="00775A1C"/>
    <w:rsid w:val="007766DB"/>
    <w:rsid w:val="00777C1A"/>
    <w:rsid w:val="00784B02"/>
    <w:rsid w:val="007944F1"/>
    <w:rsid w:val="007A023A"/>
    <w:rsid w:val="007A349C"/>
    <w:rsid w:val="007A4532"/>
    <w:rsid w:val="007A73CB"/>
    <w:rsid w:val="007A7557"/>
    <w:rsid w:val="007B20B5"/>
    <w:rsid w:val="007C3EA9"/>
    <w:rsid w:val="007D3CE9"/>
    <w:rsid w:val="007D4FE4"/>
    <w:rsid w:val="007D6785"/>
    <w:rsid w:val="007E02EC"/>
    <w:rsid w:val="007E2E7A"/>
    <w:rsid w:val="007F3916"/>
    <w:rsid w:val="007F6F19"/>
    <w:rsid w:val="007F6FEF"/>
    <w:rsid w:val="00802A53"/>
    <w:rsid w:val="00807748"/>
    <w:rsid w:val="00810E8A"/>
    <w:rsid w:val="008138EA"/>
    <w:rsid w:val="00815357"/>
    <w:rsid w:val="008205C2"/>
    <w:rsid w:val="0083258B"/>
    <w:rsid w:val="00832740"/>
    <w:rsid w:val="008342B3"/>
    <w:rsid w:val="00834B92"/>
    <w:rsid w:val="0083589F"/>
    <w:rsid w:val="00836945"/>
    <w:rsid w:val="00837670"/>
    <w:rsid w:val="008415DC"/>
    <w:rsid w:val="008440E7"/>
    <w:rsid w:val="008448A5"/>
    <w:rsid w:val="008460BB"/>
    <w:rsid w:val="008624A7"/>
    <w:rsid w:val="008637C8"/>
    <w:rsid w:val="00864D9D"/>
    <w:rsid w:val="00873F33"/>
    <w:rsid w:val="008768C3"/>
    <w:rsid w:val="00880C1D"/>
    <w:rsid w:val="00881724"/>
    <w:rsid w:val="008829BE"/>
    <w:rsid w:val="008855BB"/>
    <w:rsid w:val="008858C8"/>
    <w:rsid w:val="008859E7"/>
    <w:rsid w:val="00887036"/>
    <w:rsid w:val="00887E72"/>
    <w:rsid w:val="00892098"/>
    <w:rsid w:val="00892D3C"/>
    <w:rsid w:val="00893F8D"/>
    <w:rsid w:val="00897A95"/>
    <w:rsid w:val="008A1065"/>
    <w:rsid w:val="008A2076"/>
    <w:rsid w:val="008A4075"/>
    <w:rsid w:val="008A5BB1"/>
    <w:rsid w:val="008A6B32"/>
    <w:rsid w:val="008A772E"/>
    <w:rsid w:val="008B218B"/>
    <w:rsid w:val="008B5E88"/>
    <w:rsid w:val="008B7F1B"/>
    <w:rsid w:val="008D1477"/>
    <w:rsid w:val="008D27FF"/>
    <w:rsid w:val="008E0B93"/>
    <w:rsid w:val="008E20C7"/>
    <w:rsid w:val="008E414F"/>
    <w:rsid w:val="008E4411"/>
    <w:rsid w:val="008F0C09"/>
    <w:rsid w:val="008F2ECB"/>
    <w:rsid w:val="008F7966"/>
    <w:rsid w:val="00903156"/>
    <w:rsid w:val="009061D8"/>
    <w:rsid w:val="00912769"/>
    <w:rsid w:val="00913C97"/>
    <w:rsid w:val="00914754"/>
    <w:rsid w:val="00915E05"/>
    <w:rsid w:val="00933134"/>
    <w:rsid w:val="009333B4"/>
    <w:rsid w:val="00933AB9"/>
    <w:rsid w:val="00943612"/>
    <w:rsid w:val="00945D21"/>
    <w:rsid w:val="009548BA"/>
    <w:rsid w:val="00954FB3"/>
    <w:rsid w:val="0095502F"/>
    <w:rsid w:val="00957298"/>
    <w:rsid w:val="009573DA"/>
    <w:rsid w:val="00960214"/>
    <w:rsid w:val="00962579"/>
    <w:rsid w:val="00967B78"/>
    <w:rsid w:val="009805CD"/>
    <w:rsid w:val="00981507"/>
    <w:rsid w:val="00984EFF"/>
    <w:rsid w:val="0098537C"/>
    <w:rsid w:val="00985C72"/>
    <w:rsid w:val="00986768"/>
    <w:rsid w:val="009916CC"/>
    <w:rsid w:val="00996CBB"/>
    <w:rsid w:val="009A017D"/>
    <w:rsid w:val="009A0F38"/>
    <w:rsid w:val="009A1F49"/>
    <w:rsid w:val="009A4762"/>
    <w:rsid w:val="009A4E57"/>
    <w:rsid w:val="009B01A1"/>
    <w:rsid w:val="009C2E2F"/>
    <w:rsid w:val="009D47AA"/>
    <w:rsid w:val="009D758D"/>
    <w:rsid w:val="009D7ED0"/>
    <w:rsid w:val="009E5EB0"/>
    <w:rsid w:val="009F2567"/>
    <w:rsid w:val="00A04966"/>
    <w:rsid w:val="00A12B45"/>
    <w:rsid w:val="00A14C1A"/>
    <w:rsid w:val="00A17EBE"/>
    <w:rsid w:val="00A17FCC"/>
    <w:rsid w:val="00A315D1"/>
    <w:rsid w:val="00A345A0"/>
    <w:rsid w:val="00A403A9"/>
    <w:rsid w:val="00A41810"/>
    <w:rsid w:val="00A419CB"/>
    <w:rsid w:val="00A4403A"/>
    <w:rsid w:val="00A44FA8"/>
    <w:rsid w:val="00A452DF"/>
    <w:rsid w:val="00A460A9"/>
    <w:rsid w:val="00A46FB9"/>
    <w:rsid w:val="00A5601E"/>
    <w:rsid w:val="00A56CD2"/>
    <w:rsid w:val="00A6026D"/>
    <w:rsid w:val="00A653CC"/>
    <w:rsid w:val="00A676F0"/>
    <w:rsid w:val="00A70A13"/>
    <w:rsid w:val="00A70EA4"/>
    <w:rsid w:val="00A739B7"/>
    <w:rsid w:val="00A91D9A"/>
    <w:rsid w:val="00A927BF"/>
    <w:rsid w:val="00AA0E73"/>
    <w:rsid w:val="00AB0485"/>
    <w:rsid w:val="00AB26E0"/>
    <w:rsid w:val="00AB43F4"/>
    <w:rsid w:val="00AB6B17"/>
    <w:rsid w:val="00AB6BA8"/>
    <w:rsid w:val="00AC6A26"/>
    <w:rsid w:val="00AC6F65"/>
    <w:rsid w:val="00AD0172"/>
    <w:rsid w:val="00AD391F"/>
    <w:rsid w:val="00AD4C42"/>
    <w:rsid w:val="00AD4FFD"/>
    <w:rsid w:val="00AE5F10"/>
    <w:rsid w:val="00AF11BE"/>
    <w:rsid w:val="00AF1C7B"/>
    <w:rsid w:val="00AF3A81"/>
    <w:rsid w:val="00B04E8E"/>
    <w:rsid w:val="00B056BB"/>
    <w:rsid w:val="00B0662C"/>
    <w:rsid w:val="00B0769D"/>
    <w:rsid w:val="00B13102"/>
    <w:rsid w:val="00B2269E"/>
    <w:rsid w:val="00B2482C"/>
    <w:rsid w:val="00B32125"/>
    <w:rsid w:val="00B32635"/>
    <w:rsid w:val="00B34595"/>
    <w:rsid w:val="00B35CD2"/>
    <w:rsid w:val="00B35E3D"/>
    <w:rsid w:val="00B53372"/>
    <w:rsid w:val="00B55812"/>
    <w:rsid w:val="00B60E79"/>
    <w:rsid w:val="00B61AD5"/>
    <w:rsid w:val="00B646DF"/>
    <w:rsid w:val="00B6470A"/>
    <w:rsid w:val="00B66714"/>
    <w:rsid w:val="00B77EAD"/>
    <w:rsid w:val="00B8036E"/>
    <w:rsid w:val="00B848A6"/>
    <w:rsid w:val="00B90DCD"/>
    <w:rsid w:val="00B91E11"/>
    <w:rsid w:val="00B93A4B"/>
    <w:rsid w:val="00BA011A"/>
    <w:rsid w:val="00BB2CE0"/>
    <w:rsid w:val="00BB4702"/>
    <w:rsid w:val="00BC0F55"/>
    <w:rsid w:val="00BC2AE5"/>
    <w:rsid w:val="00BC36B7"/>
    <w:rsid w:val="00BC4D23"/>
    <w:rsid w:val="00BD0F68"/>
    <w:rsid w:val="00BD32EB"/>
    <w:rsid w:val="00BD48A3"/>
    <w:rsid w:val="00BE43D0"/>
    <w:rsid w:val="00BE5540"/>
    <w:rsid w:val="00BF3AAD"/>
    <w:rsid w:val="00BF4880"/>
    <w:rsid w:val="00C148D5"/>
    <w:rsid w:val="00C2062A"/>
    <w:rsid w:val="00C24504"/>
    <w:rsid w:val="00C249B1"/>
    <w:rsid w:val="00C26436"/>
    <w:rsid w:val="00C26CC3"/>
    <w:rsid w:val="00C3514F"/>
    <w:rsid w:val="00C6192F"/>
    <w:rsid w:val="00C65AAA"/>
    <w:rsid w:val="00C67A29"/>
    <w:rsid w:val="00C72B98"/>
    <w:rsid w:val="00C80305"/>
    <w:rsid w:val="00C810D1"/>
    <w:rsid w:val="00C9081F"/>
    <w:rsid w:val="00C90DC1"/>
    <w:rsid w:val="00CA025B"/>
    <w:rsid w:val="00CA08DA"/>
    <w:rsid w:val="00CA6794"/>
    <w:rsid w:val="00CB36C6"/>
    <w:rsid w:val="00CB48C3"/>
    <w:rsid w:val="00CC6935"/>
    <w:rsid w:val="00CC7356"/>
    <w:rsid w:val="00CD1A8B"/>
    <w:rsid w:val="00CE1430"/>
    <w:rsid w:val="00CE146E"/>
    <w:rsid w:val="00CE61E2"/>
    <w:rsid w:val="00CF6B27"/>
    <w:rsid w:val="00D0374C"/>
    <w:rsid w:val="00D13F93"/>
    <w:rsid w:val="00D149EB"/>
    <w:rsid w:val="00D1765F"/>
    <w:rsid w:val="00D20214"/>
    <w:rsid w:val="00D30B1B"/>
    <w:rsid w:val="00D33331"/>
    <w:rsid w:val="00D34E09"/>
    <w:rsid w:val="00D3511A"/>
    <w:rsid w:val="00D356D5"/>
    <w:rsid w:val="00D457E5"/>
    <w:rsid w:val="00D52C8A"/>
    <w:rsid w:val="00D54992"/>
    <w:rsid w:val="00D54E18"/>
    <w:rsid w:val="00D574CF"/>
    <w:rsid w:val="00D578F1"/>
    <w:rsid w:val="00D61D99"/>
    <w:rsid w:val="00D64253"/>
    <w:rsid w:val="00D64969"/>
    <w:rsid w:val="00D7676D"/>
    <w:rsid w:val="00D85504"/>
    <w:rsid w:val="00D87482"/>
    <w:rsid w:val="00D9169F"/>
    <w:rsid w:val="00D939DE"/>
    <w:rsid w:val="00D9427C"/>
    <w:rsid w:val="00D951E5"/>
    <w:rsid w:val="00D955B1"/>
    <w:rsid w:val="00DA02C6"/>
    <w:rsid w:val="00DA221F"/>
    <w:rsid w:val="00DA3358"/>
    <w:rsid w:val="00DA36A7"/>
    <w:rsid w:val="00DA3913"/>
    <w:rsid w:val="00DB3EFC"/>
    <w:rsid w:val="00DB581A"/>
    <w:rsid w:val="00DB75D0"/>
    <w:rsid w:val="00DC0FC9"/>
    <w:rsid w:val="00DC3962"/>
    <w:rsid w:val="00DD08D5"/>
    <w:rsid w:val="00DD1A7E"/>
    <w:rsid w:val="00DD3779"/>
    <w:rsid w:val="00DE66DD"/>
    <w:rsid w:val="00DF1D65"/>
    <w:rsid w:val="00DF2408"/>
    <w:rsid w:val="00E065EB"/>
    <w:rsid w:val="00E10E55"/>
    <w:rsid w:val="00E14B9F"/>
    <w:rsid w:val="00E1565E"/>
    <w:rsid w:val="00E23859"/>
    <w:rsid w:val="00E23CBE"/>
    <w:rsid w:val="00E24652"/>
    <w:rsid w:val="00E25AB3"/>
    <w:rsid w:val="00E26624"/>
    <w:rsid w:val="00E30213"/>
    <w:rsid w:val="00E3475C"/>
    <w:rsid w:val="00E364B3"/>
    <w:rsid w:val="00E4220E"/>
    <w:rsid w:val="00E42480"/>
    <w:rsid w:val="00E4330D"/>
    <w:rsid w:val="00E54AF4"/>
    <w:rsid w:val="00E56EB5"/>
    <w:rsid w:val="00E7032A"/>
    <w:rsid w:val="00E75946"/>
    <w:rsid w:val="00E811E5"/>
    <w:rsid w:val="00E817D3"/>
    <w:rsid w:val="00E8202F"/>
    <w:rsid w:val="00E85EF5"/>
    <w:rsid w:val="00E87870"/>
    <w:rsid w:val="00E87C77"/>
    <w:rsid w:val="00E9215A"/>
    <w:rsid w:val="00E9230C"/>
    <w:rsid w:val="00E964CC"/>
    <w:rsid w:val="00E9702D"/>
    <w:rsid w:val="00EA2941"/>
    <w:rsid w:val="00EA2A11"/>
    <w:rsid w:val="00EB71E7"/>
    <w:rsid w:val="00EC0F6F"/>
    <w:rsid w:val="00EC10D8"/>
    <w:rsid w:val="00EC14EC"/>
    <w:rsid w:val="00EC35D3"/>
    <w:rsid w:val="00EC40B3"/>
    <w:rsid w:val="00EC74F3"/>
    <w:rsid w:val="00ED11FA"/>
    <w:rsid w:val="00ED6185"/>
    <w:rsid w:val="00ED7594"/>
    <w:rsid w:val="00EE4F5F"/>
    <w:rsid w:val="00EF101B"/>
    <w:rsid w:val="00EF6397"/>
    <w:rsid w:val="00EF7028"/>
    <w:rsid w:val="00EF70F8"/>
    <w:rsid w:val="00F024DF"/>
    <w:rsid w:val="00F03A3D"/>
    <w:rsid w:val="00F04F7D"/>
    <w:rsid w:val="00F105DB"/>
    <w:rsid w:val="00F149A8"/>
    <w:rsid w:val="00F21218"/>
    <w:rsid w:val="00F25042"/>
    <w:rsid w:val="00F32D87"/>
    <w:rsid w:val="00F44F7C"/>
    <w:rsid w:val="00F52D1E"/>
    <w:rsid w:val="00F61BA2"/>
    <w:rsid w:val="00F667E3"/>
    <w:rsid w:val="00F7153B"/>
    <w:rsid w:val="00F7177C"/>
    <w:rsid w:val="00F75BAC"/>
    <w:rsid w:val="00F80F04"/>
    <w:rsid w:val="00F81C40"/>
    <w:rsid w:val="00F8588C"/>
    <w:rsid w:val="00F85D84"/>
    <w:rsid w:val="00F90ADD"/>
    <w:rsid w:val="00F97016"/>
    <w:rsid w:val="00FA36A4"/>
    <w:rsid w:val="00FA3ACB"/>
    <w:rsid w:val="00FC0335"/>
    <w:rsid w:val="00FC089F"/>
    <w:rsid w:val="00FC18F7"/>
    <w:rsid w:val="00FC1B0B"/>
    <w:rsid w:val="00FC20A7"/>
    <w:rsid w:val="00FC30BA"/>
    <w:rsid w:val="00FC4761"/>
    <w:rsid w:val="00FC6109"/>
    <w:rsid w:val="00FD3148"/>
    <w:rsid w:val="00FD5894"/>
    <w:rsid w:val="00FE2130"/>
    <w:rsid w:val="00FE2DB1"/>
    <w:rsid w:val="00FE2F70"/>
    <w:rsid w:val="00FF19D9"/>
    <w:rsid w:val="00FF4DF7"/>
    <w:rsid w:val="00FF6977"/>
    <w:rsid w:val="00FF75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301A"/>
  <w15:docId w15:val="{D94D0FE4-805C-426D-B401-8BC6E61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F"/>
    <w:pPr>
      <w:spacing w:after="160" w:line="254" w:lineRule="auto"/>
    </w:pPr>
  </w:style>
  <w:style w:type="paragraph" w:styleId="Heading2">
    <w:name w:val="heading 2"/>
    <w:basedOn w:val="Normal"/>
    <w:link w:val="Heading2Char"/>
    <w:uiPriority w:val="9"/>
    <w:qFormat/>
    <w:rsid w:val="00461A4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semiHidden/>
    <w:unhideWhenUsed/>
    <w:rsid w:val="00581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54E"/>
    <w:rPr>
      <w:sz w:val="20"/>
      <w:szCs w:val="20"/>
    </w:rPr>
  </w:style>
  <w:style w:type="character" w:styleId="FootnoteReference">
    <w:name w:val="footnote reference"/>
    <w:basedOn w:val="DefaultParagraphFont"/>
    <w:uiPriority w:val="99"/>
    <w:semiHidden/>
    <w:unhideWhenUsed/>
    <w:rsid w:val="0058154E"/>
    <w:rPr>
      <w:vertAlign w:val="superscript"/>
    </w:rPr>
  </w:style>
  <w:style w:type="character" w:customStyle="1" w:styleId="st1">
    <w:name w:val="st1"/>
    <w:basedOn w:val="DefaultParagraphFont"/>
    <w:rsid w:val="004E0A78"/>
  </w:style>
  <w:style w:type="paragraph" w:customStyle="1" w:styleId="Default">
    <w:name w:val="Default"/>
    <w:rsid w:val="006F4FF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D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A3"/>
    <w:rPr>
      <w:rFonts w:ascii="Tahoma" w:hAnsi="Tahoma" w:cs="Tahoma"/>
      <w:sz w:val="16"/>
      <w:szCs w:val="16"/>
    </w:rPr>
  </w:style>
  <w:style w:type="character" w:styleId="CommentReference">
    <w:name w:val="annotation reference"/>
    <w:basedOn w:val="DefaultParagraphFont"/>
    <w:uiPriority w:val="99"/>
    <w:semiHidden/>
    <w:unhideWhenUsed/>
    <w:rsid w:val="00347A96"/>
    <w:rPr>
      <w:sz w:val="16"/>
      <w:szCs w:val="16"/>
    </w:rPr>
  </w:style>
  <w:style w:type="paragraph" w:styleId="CommentText">
    <w:name w:val="annotation text"/>
    <w:basedOn w:val="Normal"/>
    <w:link w:val="CommentTextChar"/>
    <w:uiPriority w:val="99"/>
    <w:semiHidden/>
    <w:unhideWhenUsed/>
    <w:rsid w:val="00347A96"/>
    <w:pPr>
      <w:spacing w:line="240" w:lineRule="auto"/>
    </w:pPr>
    <w:rPr>
      <w:sz w:val="20"/>
      <w:szCs w:val="20"/>
    </w:rPr>
  </w:style>
  <w:style w:type="character" w:customStyle="1" w:styleId="CommentTextChar">
    <w:name w:val="Comment Text Char"/>
    <w:basedOn w:val="DefaultParagraphFont"/>
    <w:link w:val="CommentText"/>
    <w:uiPriority w:val="99"/>
    <w:semiHidden/>
    <w:rsid w:val="00347A96"/>
    <w:rPr>
      <w:sz w:val="20"/>
      <w:szCs w:val="20"/>
    </w:rPr>
  </w:style>
  <w:style w:type="paragraph" w:styleId="CommentSubject">
    <w:name w:val="annotation subject"/>
    <w:basedOn w:val="CommentText"/>
    <w:next w:val="CommentText"/>
    <w:link w:val="CommentSubjectChar"/>
    <w:uiPriority w:val="99"/>
    <w:semiHidden/>
    <w:unhideWhenUsed/>
    <w:rsid w:val="00347A96"/>
    <w:rPr>
      <w:b/>
      <w:bCs/>
    </w:rPr>
  </w:style>
  <w:style w:type="character" w:customStyle="1" w:styleId="CommentSubjectChar">
    <w:name w:val="Comment Subject Char"/>
    <w:basedOn w:val="CommentTextChar"/>
    <w:link w:val="CommentSubject"/>
    <w:uiPriority w:val="99"/>
    <w:semiHidden/>
    <w:rsid w:val="00347A96"/>
    <w:rPr>
      <w:b/>
      <w:bCs/>
      <w:sz w:val="20"/>
      <w:szCs w:val="20"/>
    </w:rPr>
  </w:style>
  <w:style w:type="character" w:customStyle="1" w:styleId="Heading2Char">
    <w:name w:val="Heading 2 Char"/>
    <w:basedOn w:val="DefaultParagraphFont"/>
    <w:link w:val="Heading2"/>
    <w:uiPriority w:val="9"/>
    <w:rsid w:val="00461A4D"/>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859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B4F3-423A-4AC0-8B86-C6CAD7CF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Mariana Anguelov</cp:lastModifiedBy>
  <cp:revision>6</cp:revision>
  <cp:lastPrinted>2022-12-29T09:21:00Z</cp:lastPrinted>
  <dcterms:created xsi:type="dcterms:W3CDTF">2023-01-15T09:27:00Z</dcterms:created>
  <dcterms:modified xsi:type="dcterms:W3CDTF">2023-01-29T06:30:00Z</dcterms:modified>
</cp:coreProperties>
</file>