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7ECA" w14:textId="77777777" w:rsidR="00035121" w:rsidRPr="006D2371" w:rsidRDefault="00035121" w:rsidP="001F55E0">
      <w:pPr>
        <w:jc w:val="center"/>
        <w:rPr>
          <w:rFonts w:asciiTheme="majorHAnsi" w:hAnsiTheme="majorHAnsi" w:cstheme="majorHAnsi"/>
          <w:u w:val="single"/>
        </w:rPr>
      </w:pPr>
      <w:r w:rsidRPr="006D2371">
        <w:rPr>
          <w:rFonts w:asciiTheme="majorHAnsi" w:hAnsiTheme="majorHAnsi" w:cstheme="majorHAnsi"/>
          <w:noProof/>
          <w:lang w:eastAsia="en-ZA"/>
        </w:rPr>
        <w:drawing>
          <wp:anchor distT="0" distB="0" distL="0" distR="0" simplePos="0" relativeHeight="251660288" behindDoc="0" locked="0" layoutInCell="1" allowOverlap="1" wp14:anchorId="28BAEC52" wp14:editId="2608BB71">
            <wp:simplePos x="0" y="0"/>
            <wp:positionH relativeFrom="margin">
              <wp:posOffset>2257425</wp:posOffset>
            </wp:positionH>
            <wp:positionV relativeFrom="margin">
              <wp:posOffset>-520065</wp:posOffset>
            </wp:positionV>
            <wp:extent cx="1200150" cy="120015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2D808" w14:textId="77777777" w:rsidR="00035121" w:rsidRPr="006D2371" w:rsidRDefault="00035121" w:rsidP="001F55E0">
      <w:pPr>
        <w:rPr>
          <w:rFonts w:asciiTheme="majorHAnsi" w:hAnsiTheme="majorHAnsi" w:cstheme="majorHAnsi"/>
          <w:u w:val="single"/>
        </w:rPr>
      </w:pPr>
    </w:p>
    <w:p w14:paraId="0F46A425" w14:textId="77777777" w:rsidR="00035121" w:rsidRPr="006D2371" w:rsidRDefault="00035121" w:rsidP="001F55E0">
      <w:pPr>
        <w:rPr>
          <w:rFonts w:asciiTheme="majorHAnsi" w:hAnsiTheme="majorHAnsi" w:cstheme="majorHAnsi"/>
          <w:u w:val="single"/>
        </w:rPr>
      </w:pPr>
    </w:p>
    <w:p w14:paraId="2413CF06" w14:textId="77777777" w:rsidR="00035121" w:rsidRPr="006D2371" w:rsidRDefault="00035121" w:rsidP="001F55E0">
      <w:pPr>
        <w:rPr>
          <w:rFonts w:asciiTheme="majorHAnsi" w:hAnsiTheme="majorHAnsi" w:cstheme="majorHAnsi"/>
          <w:u w:val="single"/>
        </w:rPr>
      </w:pPr>
    </w:p>
    <w:p w14:paraId="26F9D9C5" w14:textId="77777777" w:rsidR="00035121" w:rsidRPr="006D2371" w:rsidRDefault="00035121" w:rsidP="001F55E0">
      <w:pPr>
        <w:rPr>
          <w:rFonts w:asciiTheme="majorHAnsi" w:hAnsiTheme="majorHAnsi" w:cstheme="majorHAnsi"/>
          <w:sz w:val="8"/>
          <w:szCs w:val="8"/>
          <w:u w:val="single"/>
        </w:rPr>
      </w:pPr>
    </w:p>
    <w:p w14:paraId="5A242412" w14:textId="77777777" w:rsidR="001E4E2C" w:rsidRPr="006D2371" w:rsidRDefault="00BD05E7" w:rsidP="001F55E0">
      <w:pPr>
        <w:autoSpaceDE w:val="0"/>
        <w:autoSpaceDN w:val="0"/>
        <w:adjustRightInd w:val="0"/>
        <w:jc w:val="center"/>
        <w:rPr>
          <w:rFonts w:asciiTheme="majorHAnsi" w:hAnsiTheme="majorHAnsi" w:cstheme="majorHAnsi"/>
          <w:u w:val="single"/>
        </w:rPr>
      </w:pPr>
      <w:r w:rsidRPr="006D2371">
        <w:rPr>
          <w:rFonts w:asciiTheme="majorHAnsi" w:hAnsiTheme="majorHAnsi" w:cstheme="majorHAnsi"/>
          <w:b/>
          <w:bCs/>
          <w:u w:val="single"/>
        </w:rPr>
        <w:t>I</w:t>
      </w:r>
      <w:r w:rsidR="001E4E2C" w:rsidRPr="006D2371">
        <w:rPr>
          <w:rFonts w:asciiTheme="majorHAnsi" w:hAnsiTheme="majorHAnsi" w:cstheme="majorHAnsi"/>
          <w:b/>
          <w:bCs/>
          <w:u w:val="single"/>
        </w:rPr>
        <w:t>N THE HIGH COURT OF SOUTH AFRICA</w:t>
      </w:r>
    </w:p>
    <w:p w14:paraId="3788A7A6" w14:textId="77777777" w:rsidR="00EF5FF3" w:rsidRPr="006D2371" w:rsidRDefault="001E4E2C" w:rsidP="001F55E0">
      <w:pPr>
        <w:autoSpaceDE w:val="0"/>
        <w:autoSpaceDN w:val="0"/>
        <w:adjustRightInd w:val="0"/>
        <w:jc w:val="center"/>
        <w:rPr>
          <w:rFonts w:asciiTheme="majorHAnsi" w:hAnsiTheme="majorHAnsi" w:cstheme="majorHAnsi"/>
          <w:b/>
          <w:bCs/>
          <w:u w:val="single"/>
        </w:rPr>
      </w:pPr>
      <w:r w:rsidRPr="006D2371">
        <w:rPr>
          <w:rFonts w:asciiTheme="majorHAnsi" w:hAnsiTheme="majorHAnsi" w:cstheme="majorHAnsi"/>
          <w:b/>
          <w:bCs/>
          <w:u w:val="single"/>
        </w:rPr>
        <w:t>FREE STATE DIVISION, BLOEMFONTEIN</w:t>
      </w:r>
    </w:p>
    <w:p w14:paraId="10944E5E" w14:textId="77777777" w:rsidR="007247A3" w:rsidRPr="006D2371" w:rsidRDefault="007247A3" w:rsidP="001F55E0">
      <w:pPr>
        <w:autoSpaceDE w:val="0"/>
        <w:autoSpaceDN w:val="0"/>
        <w:adjustRightInd w:val="0"/>
        <w:jc w:val="center"/>
        <w:rPr>
          <w:rFonts w:asciiTheme="majorHAnsi" w:hAnsiTheme="majorHAnsi" w:cstheme="majorHAnsi"/>
          <w:b/>
          <w:bCs/>
          <w:sz w:val="8"/>
          <w:szCs w:val="8"/>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F3B74" w:rsidRPr="006D2371" w14:paraId="3C13C9E8" w14:textId="77777777" w:rsidTr="00401123">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248F356E" w14:textId="77777777" w:rsidR="00A231F0" w:rsidRPr="006D2371"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sidRPr="006D2371">
              <w:rPr>
                <w:rFonts w:asciiTheme="majorHAnsi" w:hAnsiTheme="majorHAnsi" w:cstheme="majorHAnsi"/>
                <w:b/>
                <w:bCs/>
                <w:color w:val="auto"/>
                <w:sz w:val="16"/>
                <w:szCs w:val="16"/>
              </w:rPr>
              <w:t xml:space="preserve">Reportable:                              Of Interest to other Judges:   </w:t>
            </w:r>
          </w:p>
          <w:p w14:paraId="2501892A" w14:textId="77777777" w:rsidR="00A231F0" w:rsidRPr="006D2371"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color w:val="auto"/>
                <w:sz w:val="16"/>
                <w:szCs w:val="16"/>
              </w:rPr>
            </w:pPr>
            <w:r w:rsidRPr="006D2371">
              <w:rPr>
                <w:rFonts w:asciiTheme="majorHAnsi" w:hAnsiTheme="majorHAnsi" w:cstheme="majorHAnsi"/>
                <w:b/>
                <w:bCs/>
                <w:color w:val="auto"/>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46F7DFAF" w14:textId="77777777" w:rsidR="00A231F0" w:rsidRPr="006D2371" w:rsidRDefault="00390556"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Pr>
                <w:rFonts w:asciiTheme="majorHAnsi" w:hAnsiTheme="majorHAnsi" w:cstheme="majorHAnsi"/>
                <w:b/>
                <w:bCs/>
                <w:color w:val="auto"/>
                <w:sz w:val="16"/>
                <w:szCs w:val="16"/>
              </w:rPr>
              <w:t>YES</w:t>
            </w:r>
            <w:r w:rsidR="00A231F0" w:rsidRPr="006D2371">
              <w:rPr>
                <w:rFonts w:asciiTheme="majorHAnsi" w:hAnsiTheme="majorHAnsi" w:cstheme="majorHAnsi"/>
                <w:b/>
                <w:bCs/>
                <w:color w:val="auto"/>
                <w:sz w:val="16"/>
                <w:szCs w:val="16"/>
              </w:rPr>
              <w:t xml:space="preserve"> </w:t>
            </w:r>
          </w:p>
          <w:p w14:paraId="2E4D04BB" w14:textId="77777777" w:rsidR="00A231F0" w:rsidRPr="006D2371"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b/>
                <w:bCs/>
                <w:color w:val="auto"/>
                <w:sz w:val="16"/>
                <w:szCs w:val="16"/>
              </w:rPr>
            </w:pPr>
            <w:r w:rsidRPr="006D2371">
              <w:rPr>
                <w:rFonts w:asciiTheme="majorHAnsi" w:hAnsiTheme="majorHAnsi" w:cstheme="majorHAnsi"/>
                <w:b/>
                <w:bCs/>
                <w:color w:val="auto"/>
                <w:sz w:val="16"/>
                <w:szCs w:val="16"/>
              </w:rPr>
              <w:t xml:space="preserve">NO </w:t>
            </w:r>
          </w:p>
          <w:p w14:paraId="5BBB50B3" w14:textId="77777777" w:rsidR="00A231F0" w:rsidRPr="006D2371"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rPr>
                <w:rFonts w:asciiTheme="majorHAnsi" w:hAnsiTheme="majorHAnsi" w:cstheme="majorHAnsi"/>
                <w:color w:val="auto"/>
                <w:sz w:val="16"/>
                <w:szCs w:val="16"/>
              </w:rPr>
            </w:pPr>
            <w:r w:rsidRPr="006D2371">
              <w:rPr>
                <w:rFonts w:asciiTheme="majorHAnsi" w:hAnsiTheme="majorHAnsi" w:cstheme="majorHAnsi"/>
                <w:b/>
                <w:bCs/>
                <w:color w:val="auto"/>
                <w:sz w:val="16"/>
                <w:szCs w:val="16"/>
              </w:rPr>
              <w:t>NO</w:t>
            </w:r>
          </w:p>
        </w:tc>
      </w:tr>
    </w:tbl>
    <w:p w14:paraId="5E358BD1" w14:textId="77777777" w:rsidR="001E4E2C" w:rsidRPr="006D2371" w:rsidRDefault="001E4E2C" w:rsidP="001F55E0">
      <w:pPr>
        <w:jc w:val="center"/>
        <w:rPr>
          <w:rFonts w:asciiTheme="majorHAnsi" w:hAnsiTheme="majorHAnsi" w:cstheme="majorHAnsi"/>
        </w:rPr>
      </w:pPr>
    </w:p>
    <w:p w14:paraId="4741B627" w14:textId="77777777" w:rsidR="00031136" w:rsidRPr="006D2371" w:rsidRDefault="00031136" w:rsidP="001F55E0">
      <w:pPr>
        <w:jc w:val="right"/>
        <w:rPr>
          <w:rFonts w:asciiTheme="majorHAnsi" w:hAnsiTheme="majorHAnsi" w:cstheme="majorHAnsi"/>
        </w:rPr>
      </w:pPr>
      <w:r w:rsidRPr="006D2371">
        <w:rPr>
          <w:rFonts w:asciiTheme="majorHAnsi" w:hAnsiTheme="majorHAnsi" w:cstheme="majorHAnsi"/>
        </w:rPr>
        <w:t xml:space="preserve"> Case no: </w:t>
      </w:r>
      <w:r w:rsidR="00FA73F5" w:rsidRPr="006D2371">
        <w:rPr>
          <w:rFonts w:asciiTheme="majorHAnsi" w:hAnsiTheme="majorHAnsi" w:cstheme="majorHAnsi"/>
          <w:b/>
        </w:rPr>
        <w:t>4538/2014</w:t>
      </w:r>
    </w:p>
    <w:p w14:paraId="3EF5DF38" w14:textId="77777777" w:rsidR="00031136" w:rsidRPr="006D2371" w:rsidRDefault="00031136" w:rsidP="001F55E0">
      <w:pPr>
        <w:rPr>
          <w:rFonts w:asciiTheme="majorHAnsi" w:hAnsiTheme="majorHAnsi" w:cstheme="majorHAnsi"/>
        </w:rPr>
      </w:pPr>
      <w:r w:rsidRPr="006D2371">
        <w:rPr>
          <w:rFonts w:asciiTheme="majorHAnsi" w:hAnsiTheme="majorHAnsi" w:cstheme="majorHAnsi"/>
        </w:rPr>
        <w:t>In the matter between:</w:t>
      </w:r>
    </w:p>
    <w:p w14:paraId="79813424" w14:textId="77777777" w:rsidR="00DC3C2A" w:rsidRPr="006D2371" w:rsidRDefault="00DC3C2A" w:rsidP="001F55E0">
      <w:pPr>
        <w:rPr>
          <w:rFonts w:asciiTheme="majorHAnsi" w:hAnsiTheme="majorHAnsi" w:cstheme="majorHAnsi"/>
          <w:b/>
        </w:rPr>
      </w:pPr>
    </w:p>
    <w:p w14:paraId="6CBA503F" w14:textId="77777777" w:rsidR="00A231F0" w:rsidRPr="006D2371" w:rsidRDefault="00FA73F5" w:rsidP="001F55E0">
      <w:pPr>
        <w:tabs>
          <w:tab w:val="right" w:pos="9027"/>
        </w:tabs>
        <w:rPr>
          <w:rFonts w:asciiTheme="majorHAnsi" w:hAnsiTheme="majorHAnsi" w:cstheme="majorHAnsi"/>
        </w:rPr>
      </w:pPr>
      <w:r w:rsidRPr="006D2371">
        <w:rPr>
          <w:rFonts w:asciiTheme="majorHAnsi" w:hAnsiTheme="majorHAnsi" w:cstheme="majorHAnsi"/>
          <w:b/>
        </w:rPr>
        <w:t>PETRA KRUGER</w:t>
      </w:r>
      <w:r w:rsidR="00035121" w:rsidRPr="006D2371">
        <w:rPr>
          <w:rFonts w:asciiTheme="majorHAnsi" w:hAnsiTheme="majorHAnsi" w:cstheme="majorHAnsi"/>
          <w:b/>
        </w:rPr>
        <w:tab/>
      </w:r>
      <w:r w:rsidR="00CB5837" w:rsidRPr="006D2371">
        <w:rPr>
          <w:rFonts w:asciiTheme="majorHAnsi" w:hAnsiTheme="majorHAnsi" w:cstheme="majorHAnsi"/>
        </w:rPr>
        <w:t>Plaintiff</w:t>
      </w:r>
    </w:p>
    <w:p w14:paraId="42A574CD" w14:textId="77777777" w:rsidR="00031136" w:rsidRPr="006D2371" w:rsidRDefault="00031136" w:rsidP="001F55E0">
      <w:pPr>
        <w:rPr>
          <w:rFonts w:asciiTheme="majorHAnsi" w:hAnsiTheme="majorHAnsi" w:cstheme="majorHAnsi"/>
        </w:rPr>
      </w:pPr>
    </w:p>
    <w:p w14:paraId="607EB64F" w14:textId="77777777" w:rsidR="006F2C4C" w:rsidRPr="006D2371" w:rsidRDefault="00104F19" w:rsidP="001F55E0">
      <w:pPr>
        <w:rPr>
          <w:rFonts w:asciiTheme="majorHAnsi" w:hAnsiTheme="majorHAnsi" w:cstheme="majorHAnsi"/>
        </w:rPr>
      </w:pPr>
      <w:r w:rsidRPr="006D2371">
        <w:rPr>
          <w:rFonts w:asciiTheme="majorHAnsi" w:hAnsiTheme="majorHAnsi" w:cstheme="majorHAnsi"/>
        </w:rPr>
        <w:t>and</w:t>
      </w:r>
    </w:p>
    <w:p w14:paraId="7824ECBB" w14:textId="77777777" w:rsidR="006F2C4C" w:rsidRPr="006D2371" w:rsidRDefault="006F2C4C" w:rsidP="001F55E0">
      <w:pPr>
        <w:rPr>
          <w:rFonts w:asciiTheme="majorHAnsi" w:hAnsiTheme="majorHAnsi" w:cstheme="majorHAnsi"/>
        </w:rPr>
      </w:pPr>
    </w:p>
    <w:p w14:paraId="3B9AC1B0" w14:textId="77777777" w:rsidR="00104F19" w:rsidRPr="006D2371" w:rsidRDefault="00FA73F5" w:rsidP="001F55E0">
      <w:pPr>
        <w:tabs>
          <w:tab w:val="right" w:pos="9027"/>
        </w:tabs>
        <w:rPr>
          <w:rFonts w:asciiTheme="majorHAnsi" w:hAnsiTheme="majorHAnsi" w:cstheme="majorHAnsi"/>
        </w:rPr>
      </w:pPr>
      <w:r w:rsidRPr="006D2371">
        <w:rPr>
          <w:rFonts w:asciiTheme="majorHAnsi" w:hAnsiTheme="majorHAnsi" w:cstheme="majorHAnsi"/>
          <w:b/>
        </w:rPr>
        <w:t>WAWIEL PARK (PTY) LTD</w:t>
      </w:r>
      <w:r w:rsidR="00104F19" w:rsidRPr="006D2371">
        <w:rPr>
          <w:rFonts w:asciiTheme="majorHAnsi" w:hAnsiTheme="majorHAnsi" w:cstheme="majorHAnsi"/>
          <w:b/>
        </w:rPr>
        <w:tab/>
      </w:r>
      <w:r w:rsidR="00CB5837" w:rsidRPr="006D2371">
        <w:rPr>
          <w:rFonts w:asciiTheme="majorHAnsi" w:hAnsiTheme="majorHAnsi" w:cstheme="majorHAnsi"/>
        </w:rPr>
        <w:t>Defendant</w:t>
      </w:r>
    </w:p>
    <w:p w14:paraId="3B054B3D" w14:textId="77777777" w:rsidR="00A231F0" w:rsidRPr="006D2371"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6D2371">
        <w:rPr>
          <w:rFonts w:asciiTheme="majorHAnsi" w:hAnsiTheme="majorHAnsi" w:cstheme="majorHAnsi"/>
          <w:noProof/>
          <w:color w:val="auto"/>
          <w:sz w:val="24"/>
          <w:szCs w:val="24"/>
          <w:lang w:val="en-ZA"/>
        </w:rPr>
        <mc:AlternateContent>
          <mc:Choice Requires="wps">
            <w:drawing>
              <wp:inline distT="0" distB="0" distL="0" distR="0" wp14:anchorId="380B93A0" wp14:editId="2F2B3618">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CE2A14A"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52435E1" w14:textId="77777777" w:rsidR="0015055D" w:rsidRPr="006D2371" w:rsidRDefault="0015055D" w:rsidP="001F55E0">
      <w:pPr>
        <w:jc w:val="both"/>
        <w:rPr>
          <w:rFonts w:asciiTheme="majorHAnsi" w:hAnsiTheme="majorHAnsi" w:cstheme="majorHAnsi"/>
          <w:b/>
          <w:u w:val="single"/>
        </w:rPr>
      </w:pPr>
    </w:p>
    <w:p w14:paraId="6933E6F5" w14:textId="77777777" w:rsidR="00031136" w:rsidRPr="006D2371" w:rsidRDefault="00597462" w:rsidP="00486C05">
      <w:pPr>
        <w:tabs>
          <w:tab w:val="left" w:pos="1985"/>
        </w:tabs>
        <w:jc w:val="both"/>
        <w:rPr>
          <w:rFonts w:asciiTheme="majorHAnsi" w:hAnsiTheme="majorHAnsi" w:cstheme="majorHAnsi"/>
        </w:rPr>
      </w:pPr>
      <w:r w:rsidRPr="006D2371">
        <w:rPr>
          <w:rFonts w:asciiTheme="majorHAnsi" w:hAnsiTheme="majorHAnsi" w:cstheme="majorHAnsi"/>
          <w:b/>
          <w:u w:val="single"/>
        </w:rPr>
        <w:t>CORAM</w:t>
      </w:r>
      <w:r w:rsidR="00031136" w:rsidRPr="006D2371">
        <w:rPr>
          <w:rFonts w:asciiTheme="majorHAnsi" w:hAnsiTheme="majorHAnsi" w:cstheme="majorHAnsi"/>
          <w:b/>
          <w:u w:val="single"/>
        </w:rPr>
        <w:t>:</w:t>
      </w:r>
      <w:r w:rsidR="00306913" w:rsidRPr="006D2371">
        <w:rPr>
          <w:rFonts w:asciiTheme="majorHAnsi" w:hAnsiTheme="majorHAnsi" w:cstheme="majorHAnsi"/>
        </w:rPr>
        <w:tab/>
      </w:r>
      <w:r w:rsidR="00035121" w:rsidRPr="006D2371">
        <w:rPr>
          <w:rFonts w:asciiTheme="majorHAnsi" w:hAnsiTheme="majorHAnsi" w:cstheme="majorHAnsi"/>
        </w:rPr>
        <w:t>JP DAFFUE</w:t>
      </w:r>
      <w:r w:rsidR="00CE7CA9" w:rsidRPr="006D2371">
        <w:rPr>
          <w:rFonts w:asciiTheme="majorHAnsi" w:hAnsiTheme="majorHAnsi" w:cstheme="majorHAnsi"/>
        </w:rPr>
        <w:t>,</w:t>
      </w:r>
      <w:r w:rsidR="00035121" w:rsidRPr="006D2371">
        <w:rPr>
          <w:rFonts w:asciiTheme="majorHAnsi" w:hAnsiTheme="majorHAnsi" w:cstheme="majorHAnsi"/>
        </w:rPr>
        <w:t xml:space="preserve"> J</w:t>
      </w:r>
    </w:p>
    <w:p w14:paraId="07302644" w14:textId="77777777" w:rsidR="00A231F0" w:rsidRPr="006D2371" w:rsidRDefault="00A231F0" w:rsidP="00486C05">
      <w:pPr>
        <w:pStyle w:val="BodyAA"/>
        <w:pBdr>
          <w:top w:val="none" w:sz="0" w:space="0" w:color="auto"/>
          <w:left w:val="none" w:sz="0" w:space="0" w:color="auto"/>
          <w:bottom w:val="none" w:sz="0" w:space="0" w:color="auto"/>
          <w:right w:val="none" w:sz="0" w:space="0" w:color="auto"/>
          <w:bar w:val="none" w:sz="0" w:color="auto"/>
        </w:pBdr>
        <w:tabs>
          <w:tab w:val="left" w:pos="1985"/>
        </w:tabs>
        <w:spacing w:after="0" w:line="240" w:lineRule="auto"/>
        <w:jc w:val="both"/>
        <w:rPr>
          <w:rFonts w:asciiTheme="majorHAnsi" w:hAnsiTheme="majorHAnsi" w:cstheme="majorHAnsi"/>
          <w:color w:val="auto"/>
          <w:sz w:val="24"/>
          <w:szCs w:val="24"/>
        </w:rPr>
      </w:pPr>
      <w:r w:rsidRPr="006D2371">
        <w:rPr>
          <w:rFonts w:asciiTheme="majorHAnsi" w:hAnsiTheme="majorHAnsi" w:cstheme="majorHAnsi"/>
          <w:noProof/>
          <w:color w:val="auto"/>
          <w:sz w:val="24"/>
          <w:szCs w:val="24"/>
          <w:lang w:val="en-ZA"/>
        </w:rPr>
        <mc:AlternateContent>
          <mc:Choice Requires="wps">
            <w:drawing>
              <wp:inline distT="0" distB="0" distL="0" distR="0" wp14:anchorId="27C70FCF" wp14:editId="1AB650EB">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A874BC0"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D38A956" w14:textId="77777777" w:rsidR="0015055D" w:rsidRPr="006D2371" w:rsidRDefault="0015055D" w:rsidP="00486C05">
      <w:pPr>
        <w:tabs>
          <w:tab w:val="left" w:pos="1985"/>
        </w:tabs>
        <w:jc w:val="both"/>
        <w:rPr>
          <w:rFonts w:asciiTheme="majorHAnsi" w:hAnsiTheme="majorHAnsi" w:cstheme="majorHAnsi"/>
          <w:b/>
          <w:u w:val="single"/>
        </w:rPr>
      </w:pPr>
    </w:p>
    <w:p w14:paraId="61C52FA4" w14:textId="77777777" w:rsidR="00031136" w:rsidRPr="006D2371" w:rsidRDefault="00031136" w:rsidP="00486C05">
      <w:pPr>
        <w:tabs>
          <w:tab w:val="left" w:pos="1985"/>
        </w:tabs>
        <w:jc w:val="both"/>
        <w:rPr>
          <w:rFonts w:asciiTheme="majorHAnsi" w:hAnsiTheme="majorHAnsi" w:cstheme="majorHAnsi"/>
        </w:rPr>
      </w:pPr>
      <w:r w:rsidRPr="006D2371">
        <w:rPr>
          <w:rFonts w:asciiTheme="majorHAnsi" w:hAnsiTheme="majorHAnsi" w:cstheme="majorHAnsi"/>
          <w:b/>
          <w:u w:val="single"/>
        </w:rPr>
        <w:t>HEARD ON:</w:t>
      </w:r>
      <w:r w:rsidR="00597462" w:rsidRPr="006D2371">
        <w:rPr>
          <w:rFonts w:asciiTheme="majorHAnsi" w:hAnsiTheme="majorHAnsi" w:cstheme="majorHAnsi"/>
        </w:rPr>
        <w:tab/>
      </w:r>
      <w:r w:rsidR="00DA4E6D" w:rsidRPr="006D2371">
        <w:rPr>
          <w:rFonts w:asciiTheme="majorHAnsi" w:hAnsiTheme="majorHAnsi" w:cstheme="majorHAnsi"/>
        </w:rPr>
        <w:t xml:space="preserve">31 OCTOBER 2022, 01 </w:t>
      </w:r>
      <w:r w:rsidR="0015055D" w:rsidRPr="006D2371">
        <w:rPr>
          <w:rFonts w:asciiTheme="majorHAnsi" w:hAnsiTheme="majorHAnsi" w:cstheme="majorHAnsi"/>
        </w:rPr>
        <w:t>NOVEMBER 2022</w:t>
      </w:r>
      <w:r w:rsidR="00DA4E6D" w:rsidRPr="006D2371">
        <w:rPr>
          <w:rFonts w:asciiTheme="majorHAnsi" w:hAnsiTheme="majorHAnsi" w:cstheme="majorHAnsi"/>
        </w:rPr>
        <w:t xml:space="preserve"> &amp; 04 NOVEMBER 2022</w:t>
      </w:r>
    </w:p>
    <w:p w14:paraId="64C199E4" w14:textId="77777777" w:rsidR="00A231F0" w:rsidRPr="006D2371" w:rsidRDefault="00A231F0" w:rsidP="00486C05">
      <w:pPr>
        <w:pStyle w:val="BodyAA"/>
        <w:pBdr>
          <w:top w:val="none" w:sz="0" w:space="0" w:color="auto"/>
          <w:left w:val="none" w:sz="0" w:space="0" w:color="auto"/>
          <w:bottom w:val="none" w:sz="0" w:space="0" w:color="auto"/>
          <w:right w:val="none" w:sz="0" w:space="0" w:color="auto"/>
          <w:bar w:val="none" w:sz="0" w:color="auto"/>
        </w:pBdr>
        <w:tabs>
          <w:tab w:val="left" w:pos="1985"/>
        </w:tabs>
        <w:spacing w:after="0" w:line="240" w:lineRule="auto"/>
        <w:jc w:val="both"/>
        <w:rPr>
          <w:rFonts w:asciiTheme="majorHAnsi" w:hAnsiTheme="majorHAnsi" w:cstheme="majorHAnsi"/>
          <w:color w:val="auto"/>
          <w:sz w:val="24"/>
          <w:szCs w:val="24"/>
        </w:rPr>
      </w:pPr>
      <w:r w:rsidRPr="006D2371">
        <w:rPr>
          <w:rFonts w:asciiTheme="majorHAnsi" w:hAnsiTheme="majorHAnsi" w:cstheme="majorHAnsi"/>
          <w:noProof/>
          <w:color w:val="auto"/>
          <w:sz w:val="24"/>
          <w:szCs w:val="24"/>
          <w:lang w:val="en-ZA"/>
        </w:rPr>
        <mc:AlternateContent>
          <mc:Choice Requires="wps">
            <w:drawing>
              <wp:inline distT="0" distB="0" distL="0" distR="0" wp14:anchorId="5F4AFD3E" wp14:editId="5AE2245D">
                <wp:extent cx="5715000" cy="19050"/>
                <wp:effectExtent l="0" t="0" r="0" b="0"/>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2266C3D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mv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W1MZr4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7239AE92" w14:textId="77777777" w:rsidR="0015055D" w:rsidRPr="006D2371" w:rsidRDefault="0015055D" w:rsidP="00486C05">
      <w:pPr>
        <w:tabs>
          <w:tab w:val="left" w:pos="1985"/>
        </w:tabs>
        <w:jc w:val="both"/>
        <w:rPr>
          <w:rFonts w:asciiTheme="majorHAnsi" w:hAnsiTheme="majorHAnsi" w:cstheme="majorHAnsi"/>
          <w:b/>
          <w:u w:val="single"/>
        </w:rPr>
      </w:pPr>
    </w:p>
    <w:p w14:paraId="29EB02B6" w14:textId="77777777" w:rsidR="00231388" w:rsidRPr="006D2371" w:rsidRDefault="00031136" w:rsidP="00486C05">
      <w:pPr>
        <w:tabs>
          <w:tab w:val="left" w:pos="1985"/>
        </w:tabs>
        <w:jc w:val="both"/>
        <w:rPr>
          <w:rFonts w:asciiTheme="majorHAnsi" w:hAnsiTheme="majorHAnsi" w:cstheme="majorHAnsi"/>
        </w:rPr>
      </w:pPr>
      <w:r w:rsidRPr="006D2371">
        <w:rPr>
          <w:rFonts w:asciiTheme="majorHAnsi" w:hAnsiTheme="majorHAnsi" w:cstheme="majorHAnsi"/>
          <w:b/>
          <w:u w:val="single"/>
        </w:rPr>
        <w:t>DELIVERED ON:</w:t>
      </w:r>
      <w:r w:rsidR="00E706E4" w:rsidRPr="006D2371">
        <w:rPr>
          <w:rFonts w:asciiTheme="majorHAnsi" w:hAnsiTheme="majorHAnsi" w:cstheme="majorHAnsi"/>
          <w:b/>
        </w:rPr>
        <w:tab/>
      </w:r>
      <w:r w:rsidR="008F028A">
        <w:rPr>
          <w:rFonts w:asciiTheme="majorHAnsi" w:hAnsiTheme="majorHAnsi" w:cstheme="majorHAnsi"/>
        </w:rPr>
        <w:t>23</w:t>
      </w:r>
      <w:r w:rsidR="0015055D" w:rsidRPr="006D2371">
        <w:rPr>
          <w:rFonts w:asciiTheme="majorHAnsi" w:hAnsiTheme="majorHAnsi" w:cstheme="majorHAnsi"/>
        </w:rPr>
        <w:t xml:space="preserve"> </w:t>
      </w:r>
      <w:r w:rsidR="00E96AC5" w:rsidRPr="006D2371">
        <w:rPr>
          <w:rFonts w:asciiTheme="majorHAnsi" w:hAnsiTheme="majorHAnsi" w:cstheme="majorHAnsi"/>
        </w:rPr>
        <w:t xml:space="preserve">DECEMBER </w:t>
      </w:r>
      <w:r w:rsidR="00035121" w:rsidRPr="006D2371">
        <w:rPr>
          <w:rFonts w:asciiTheme="majorHAnsi" w:hAnsiTheme="majorHAnsi" w:cstheme="majorHAnsi"/>
        </w:rPr>
        <w:t>2022</w:t>
      </w:r>
    </w:p>
    <w:p w14:paraId="37D3DAB5" w14:textId="77777777" w:rsidR="00ED67BC" w:rsidRPr="006D2371" w:rsidRDefault="00ED67BC" w:rsidP="00486C05">
      <w:pPr>
        <w:tabs>
          <w:tab w:val="left" w:pos="1985"/>
        </w:tabs>
        <w:jc w:val="both"/>
        <w:rPr>
          <w:rFonts w:asciiTheme="majorHAnsi" w:hAnsiTheme="majorHAnsi" w:cstheme="majorHAnsi"/>
        </w:rPr>
      </w:pPr>
    </w:p>
    <w:p w14:paraId="557A1C62" w14:textId="77777777" w:rsidR="00ED67BC" w:rsidRPr="006D2371" w:rsidRDefault="00ED67BC" w:rsidP="00ED67BC">
      <w:pPr>
        <w:tabs>
          <w:tab w:val="left" w:pos="2835"/>
          <w:tab w:val="left" w:pos="2977"/>
        </w:tabs>
        <w:jc w:val="both"/>
        <w:rPr>
          <w:rFonts w:asciiTheme="majorHAnsi" w:hAnsiTheme="majorHAnsi" w:cstheme="majorHAnsi"/>
          <w:b/>
        </w:rPr>
      </w:pPr>
      <w:r w:rsidRPr="006D2371">
        <w:rPr>
          <w:rFonts w:asciiTheme="majorHAnsi" w:hAnsiTheme="majorHAnsi" w:cstheme="majorHAnsi"/>
        </w:rPr>
        <w:t xml:space="preserve">This judgment was handed down electronically by circulation to the parties’ representatives by email, and release to SAFLII.  The date and time </w:t>
      </w:r>
      <w:r w:rsidR="00FC37C6">
        <w:rPr>
          <w:rFonts w:asciiTheme="majorHAnsi" w:hAnsiTheme="majorHAnsi" w:cstheme="majorHAnsi"/>
        </w:rPr>
        <w:t>for hand-down is deemed to be 11</w:t>
      </w:r>
      <w:r w:rsidRPr="006D2371">
        <w:rPr>
          <w:rFonts w:asciiTheme="majorHAnsi" w:hAnsiTheme="majorHAnsi" w:cstheme="majorHAnsi"/>
        </w:rPr>
        <w:t xml:space="preserve">h00 on </w:t>
      </w:r>
      <w:r w:rsidR="008F028A">
        <w:rPr>
          <w:rFonts w:asciiTheme="majorHAnsi" w:hAnsiTheme="majorHAnsi" w:cstheme="majorHAnsi"/>
        </w:rPr>
        <w:t>23</w:t>
      </w:r>
      <w:r w:rsidR="008A51CB" w:rsidRPr="006D2371">
        <w:rPr>
          <w:rFonts w:asciiTheme="majorHAnsi" w:hAnsiTheme="majorHAnsi" w:cstheme="majorHAnsi"/>
        </w:rPr>
        <w:t xml:space="preserve"> </w:t>
      </w:r>
      <w:r w:rsidRPr="006D2371">
        <w:rPr>
          <w:rFonts w:asciiTheme="majorHAnsi" w:hAnsiTheme="majorHAnsi" w:cstheme="majorHAnsi"/>
        </w:rPr>
        <w:t>December 2022.</w:t>
      </w:r>
    </w:p>
    <w:p w14:paraId="489FB225" w14:textId="77777777" w:rsidR="00A231F0" w:rsidRPr="006D2371" w:rsidRDefault="00A231F0" w:rsidP="001F55E0">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Theme="majorHAnsi" w:hAnsiTheme="majorHAnsi" w:cstheme="majorHAnsi"/>
          <w:color w:val="auto"/>
          <w:sz w:val="24"/>
          <w:szCs w:val="24"/>
        </w:rPr>
      </w:pPr>
      <w:r w:rsidRPr="006D2371">
        <w:rPr>
          <w:rFonts w:asciiTheme="majorHAnsi" w:hAnsiTheme="majorHAnsi" w:cstheme="majorHAnsi"/>
          <w:noProof/>
          <w:color w:val="auto"/>
          <w:sz w:val="24"/>
          <w:szCs w:val="24"/>
          <w:lang w:val="en-ZA"/>
        </w:rPr>
        <mc:AlternateContent>
          <mc:Choice Requires="wps">
            <w:drawing>
              <wp:inline distT="0" distB="0" distL="0" distR="0" wp14:anchorId="3099F2C1" wp14:editId="1D02B054">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40802291"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3182076A" w14:textId="77777777" w:rsidR="00035121" w:rsidRPr="006D2371" w:rsidRDefault="00035121" w:rsidP="001F55E0">
      <w:pPr>
        <w:jc w:val="both"/>
        <w:rPr>
          <w:rFonts w:asciiTheme="majorHAnsi" w:hAnsiTheme="majorHAnsi" w:cstheme="majorHAnsi"/>
        </w:rPr>
      </w:pPr>
    </w:p>
    <w:p w14:paraId="64633C68" w14:textId="77777777" w:rsidR="0058084B" w:rsidRPr="006D2371" w:rsidRDefault="0058084B" w:rsidP="001F55E0">
      <w:pPr>
        <w:jc w:val="center"/>
        <w:rPr>
          <w:rFonts w:asciiTheme="majorHAnsi" w:hAnsiTheme="majorHAnsi" w:cstheme="majorHAnsi"/>
          <w:b/>
        </w:rPr>
      </w:pPr>
      <w:r w:rsidRPr="006D2371">
        <w:rPr>
          <w:rFonts w:asciiTheme="majorHAnsi" w:hAnsiTheme="majorHAnsi" w:cstheme="majorHAnsi"/>
          <w:b/>
        </w:rPr>
        <w:t>ORDER</w:t>
      </w:r>
    </w:p>
    <w:p w14:paraId="4E1145E3" w14:textId="77777777" w:rsidR="0058084B" w:rsidRPr="006D2371" w:rsidRDefault="0058084B" w:rsidP="001F55E0">
      <w:pPr>
        <w:jc w:val="both"/>
        <w:rPr>
          <w:rFonts w:asciiTheme="majorHAnsi" w:hAnsiTheme="majorHAnsi" w:cstheme="majorHAnsi"/>
        </w:rPr>
      </w:pPr>
      <w:r w:rsidRPr="006D2371">
        <w:rPr>
          <w:rFonts w:asciiTheme="majorHAnsi" w:hAnsiTheme="majorHAnsi" w:cstheme="majorHAnsi"/>
          <w:noProof/>
          <w:lang w:eastAsia="en-ZA"/>
        </w:rPr>
        <mc:AlternateContent>
          <mc:Choice Requires="wps">
            <w:drawing>
              <wp:inline distT="0" distB="0" distL="0" distR="0" wp14:anchorId="0B3354AB" wp14:editId="4B43E8E8">
                <wp:extent cx="5715000" cy="19050"/>
                <wp:effectExtent l="0" t="0" r="0" b="0"/>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125B498"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C2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ogTC2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07B2E2B8" w14:textId="77777777" w:rsidR="0058084B" w:rsidRPr="006D2371" w:rsidRDefault="0058084B" w:rsidP="001F55E0">
      <w:pPr>
        <w:jc w:val="both"/>
        <w:rPr>
          <w:rFonts w:asciiTheme="majorHAnsi" w:hAnsiTheme="majorHAnsi" w:cstheme="majorHAnsi"/>
        </w:rPr>
      </w:pPr>
    </w:p>
    <w:p w14:paraId="74B06ABB" w14:textId="314B5FD1" w:rsidR="000C786A" w:rsidRPr="003A4FF9" w:rsidRDefault="003A4FF9" w:rsidP="003A4FF9">
      <w:pPr>
        <w:spacing w:line="360" w:lineRule="auto"/>
        <w:jc w:val="both"/>
        <w:rPr>
          <w:rFonts w:asciiTheme="majorHAnsi" w:hAnsiTheme="majorHAnsi" w:cstheme="majorHAnsi"/>
        </w:rPr>
      </w:pPr>
      <w:r w:rsidRPr="006D2371">
        <w:rPr>
          <w:rFonts w:asciiTheme="majorHAnsi" w:hAnsiTheme="majorHAnsi" w:cstheme="majorHAnsi"/>
        </w:rPr>
        <w:t>1.</w:t>
      </w:r>
      <w:r w:rsidRPr="006D2371">
        <w:rPr>
          <w:rFonts w:asciiTheme="majorHAnsi" w:hAnsiTheme="majorHAnsi" w:cstheme="majorHAnsi"/>
        </w:rPr>
        <w:tab/>
      </w:r>
      <w:r w:rsidR="000C786A" w:rsidRPr="003A4FF9">
        <w:rPr>
          <w:rFonts w:asciiTheme="majorHAnsi" w:hAnsiTheme="majorHAnsi" w:cstheme="majorHAnsi"/>
        </w:rPr>
        <w:t>The defendant is liable to pay the plaintiff’s damages to be proven or agreed upon arising from the injuries sustained by her on 25 December 2012 on the defendant’s premises.</w:t>
      </w:r>
    </w:p>
    <w:p w14:paraId="2EFB897C" w14:textId="77777777" w:rsidR="000C786A" w:rsidRPr="006D2371" w:rsidRDefault="000C786A" w:rsidP="005C161E">
      <w:pPr>
        <w:spacing w:line="360" w:lineRule="auto"/>
        <w:jc w:val="both"/>
        <w:rPr>
          <w:rFonts w:asciiTheme="majorHAnsi" w:hAnsiTheme="majorHAnsi" w:cstheme="majorHAnsi"/>
        </w:rPr>
      </w:pPr>
    </w:p>
    <w:p w14:paraId="02D63623" w14:textId="2BA6CA3E" w:rsidR="000C786A" w:rsidRPr="003A4FF9" w:rsidRDefault="003A4FF9" w:rsidP="003A4FF9">
      <w:pPr>
        <w:spacing w:line="360" w:lineRule="auto"/>
        <w:jc w:val="both"/>
        <w:rPr>
          <w:rFonts w:asciiTheme="majorHAnsi" w:hAnsiTheme="majorHAnsi" w:cstheme="majorHAnsi"/>
        </w:rPr>
      </w:pPr>
      <w:r>
        <w:rPr>
          <w:rFonts w:asciiTheme="majorHAnsi" w:hAnsiTheme="majorHAnsi" w:cstheme="majorHAnsi"/>
        </w:rPr>
        <w:t>2.</w:t>
      </w:r>
      <w:r>
        <w:rPr>
          <w:rFonts w:asciiTheme="majorHAnsi" w:hAnsiTheme="majorHAnsi" w:cstheme="majorHAnsi"/>
        </w:rPr>
        <w:tab/>
      </w:r>
      <w:r w:rsidR="000C786A" w:rsidRPr="003A4FF9">
        <w:rPr>
          <w:rFonts w:asciiTheme="majorHAnsi" w:hAnsiTheme="majorHAnsi" w:cstheme="majorHAnsi"/>
        </w:rPr>
        <w:t xml:space="preserve">The defendant is liable for the plaintiff’s costs of the action, inclusive of the trial costs of 31 October 2022, 01 November </w:t>
      </w:r>
      <w:proofErr w:type="gramStart"/>
      <w:r w:rsidR="000C786A" w:rsidRPr="003A4FF9">
        <w:rPr>
          <w:rFonts w:asciiTheme="majorHAnsi" w:hAnsiTheme="majorHAnsi" w:cstheme="majorHAnsi"/>
        </w:rPr>
        <w:t>2022</w:t>
      </w:r>
      <w:proofErr w:type="gramEnd"/>
      <w:r w:rsidR="000C786A" w:rsidRPr="003A4FF9">
        <w:rPr>
          <w:rFonts w:asciiTheme="majorHAnsi" w:hAnsiTheme="majorHAnsi" w:cstheme="majorHAnsi"/>
        </w:rPr>
        <w:t xml:space="preserve"> and 04 November 2022, including the costs of senior counsel.</w:t>
      </w:r>
    </w:p>
    <w:p w14:paraId="6EE79941" w14:textId="77777777" w:rsidR="0030233B" w:rsidRPr="0030233B" w:rsidRDefault="0030233B" w:rsidP="0030233B">
      <w:pPr>
        <w:pStyle w:val="ListParagraph"/>
        <w:rPr>
          <w:rFonts w:asciiTheme="majorHAnsi" w:hAnsiTheme="majorHAnsi" w:cstheme="majorHAnsi"/>
        </w:rPr>
      </w:pPr>
    </w:p>
    <w:p w14:paraId="45EF49D4" w14:textId="77777777" w:rsidR="0030233B" w:rsidRDefault="0030233B" w:rsidP="0030233B">
      <w:pPr>
        <w:spacing w:line="360" w:lineRule="auto"/>
        <w:jc w:val="both"/>
        <w:rPr>
          <w:rFonts w:asciiTheme="majorHAnsi" w:hAnsiTheme="majorHAnsi" w:cstheme="majorHAnsi"/>
        </w:rPr>
      </w:pPr>
    </w:p>
    <w:p w14:paraId="07F01420" w14:textId="77777777" w:rsidR="0030233B" w:rsidRDefault="0030233B" w:rsidP="0030233B">
      <w:pPr>
        <w:spacing w:line="360" w:lineRule="auto"/>
        <w:jc w:val="both"/>
        <w:rPr>
          <w:rFonts w:asciiTheme="majorHAnsi" w:hAnsiTheme="majorHAnsi" w:cstheme="majorHAnsi"/>
        </w:rPr>
      </w:pPr>
    </w:p>
    <w:p w14:paraId="2040B564" w14:textId="77777777" w:rsidR="0030233B" w:rsidRPr="0030233B" w:rsidRDefault="0030233B" w:rsidP="0030233B">
      <w:pPr>
        <w:spacing w:line="360" w:lineRule="auto"/>
        <w:jc w:val="both"/>
        <w:rPr>
          <w:rFonts w:asciiTheme="majorHAnsi" w:hAnsiTheme="majorHAnsi" w:cstheme="majorHAnsi"/>
        </w:rPr>
      </w:pPr>
    </w:p>
    <w:p w14:paraId="6D7B85C8" w14:textId="77777777" w:rsidR="0058084B" w:rsidRPr="006D2371" w:rsidRDefault="0058084B" w:rsidP="001F55E0">
      <w:pPr>
        <w:jc w:val="both"/>
        <w:rPr>
          <w:rFonts w:asciiTheme="majorHAnsi" w:hAnsiTheme="majorHAnsi" w:cstheme="majorHAnsi"/>
        </w:rPr>
      </w:pPr>
      <w:r w:rsidRPr="006D2371">
        <w:rPr>
          <w:rFonts w:asciiTheme="majorHAnsi" w:hAnsiTheme="majorHAnsi" w:cstheme="majorHAnsi"/>
          <w:noProof/>
          <w:lang w:eastAsia="en-ZA"/>
        </w:rPr>
        <w:lastRenderedPageBreak/>
        <mc:AlternateContent>
          <mc:Choice Requires="wps">
            <w:drawing>
              <wp:inline distT="0" distB="0" distL="0" distR="0" wp14:anchorId="074ADC62" wp14:editId="5DF555BF">
                <wp:extent cx="5715000" cy="19050"/>
                <wp:effectExtent l="0" t="0" r="0" b="0"/>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CD4DDB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rMtTY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36C83C4C" w14:textId="77777777" w:rsidR="0058084B" w:rsidRPr="006D2371" w:rsidRDefault="0058084B" w:rsidP="001F55E0">
      <w:pPr>
        <w:jc w:val="both"/>
        <w:rPr>
          <w:rFonts w:asciiTheme="majorHAnsi" w:hAnsiTheme="majorHAnsi" w:cstheme="majorHAnsi"/>
        </w:rPr>
      </w:pPr>
    </w:p>
    <w:p w14:paraId="3ABE0627" w14:textId="77777777" w:rsidR="00334B21" w:rsidRPr="006D2371" w:rsidRDefault="00334B21" w:rsidP="001F55E0">
      <w:pPr>
        <w:jc w:val="center"/>
        <w:rPr>
          <w:rFonts w:asciiTheme="majorHAnsi" w:hAnsiTheme="majorHAnsi" w:cstheme="majorHAnsi"/>
          <w:b/>
        </w:rPr>
      </w:pPr>
      <w:r w:rsidRPr="006D2371">
        <w:rPr>
          <w:rFonts w:asciiTheme="majorHAnsi" w:hAnsiTheme="majorHAnsi" w:cstheme="majorHAnsi"/>
          <w:b/>
        </w:rPr>
        <w:t>JUDGMENT</w:t>
      </w:r>
    </w:p>
    <w:p w14:paraId="26FED824" w14:textId="77777777" w:rsidR="0058084B" w:rsidRPr="006D2371" w:rsidRDefault="0058084B" w:rsidP="001F55E0">
      <w:pPr>
        <w:jc w:val="both"/>
        <w:rPr>
          <w:rFonts w:asciiTheme="majorHAnsi" w:hAnsiTheme="majorHAnsi" w:cstheme="majorHAnsi"/>
        </w:rPr>
      </w:pPr>
      <w:r w:rsidRPr="006D2371">
        <w:rPr>
          <w:rFonts w:asciiTheme="majorHAnsi" w:hAnsiTheme="majorHAnsi" w:cstheme="majorHAnsi"/>
          <w:noProof/>
          <w:lang w:eastAsia="en-ZA"/>
        </w:rPr>
        <mc:AlternateContent>
          <mc:Choice Requires="wps">
            <w:drawing>
              <wp:inline distT="0" distB="0" distL="0" distR="0" wp14:anchorId="27E7586E" wp14:editId="713837D8">
                <wp:extent cx="5715000" cy="19050"/>
                <wp:effectExtent l="0" t="0" r="0" b="0"/>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2AD2185B"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JWEEV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19B6ABFB" w14:textId="77777777" w:rsidR="0058084B" w:rsidRPr="006D2371" w:rsidRDefault="0058084B" w:rsidP="001F55E0">
      <w:pPr>
        <w:jc w:val="both"/>
        <w:rPr>
          <w:rFonts w:asciiTheme="majorHAnsi" w:hAnsiTheme="majorHAnsi" w:cstheme="majorHAnsi"/>
        </w:rPr>
      </w:pPr>
    </w:p>
    <w:p w14:paraId="1782465A" w14:textId="2B2B8096" w:rsidR="0015055D" w:rsidRPr="003A4FF9" w:rsidRDefault="00F3077E" w:rsidP="003A4FF9">
      <w:pPr>
        <w:spacing w:line="360" w:lineRule="auto"/>
        <w:jc w:val="both"/>
        <w:rPr>
          <w:rFonts w:asciiTheme="majorHAnsi" w:hAnsiTheme="majorHAnsi" w:cstheme="majorHAnsi"/>
        </w:rPr>
      </w:pPr>
      <w:proofErr w:type="gramStart"/>
      <w:r w:rsidRPr="005C161E">
        <w:rPr>
          <w:rFonts w:asciiTheme="majorHAnsi" w:hAnsiTheme="majorHAnsi" w:cstheme="majorHAnsi"/>
          <w:b/>
        </w:rPr>
        <w:t>Introduction</w:t>
      </w:r>
      <w:r w:rsidR="003A4FF9" w:rsidRPr="005C161E">
        <w:rPr>
          <w:rFonts w:asciiTheme="majorHAnsi" w:hAnsiTheme="majorHAnsi" w:cstheme="majorHAnsi"/>
        </w:rPr>
        <w:t>[</w:t>
      </w:r>
      <w:proofErr w:type="gramEnd"/>
      <w:r w:rsidR="003A4FF9" w:rsidRPr="005C161E">
        <w:rPr>
          <w:rFonts w:asciiTheme="majorHAnsi" w:hAnsiTheme="majorHAnsi" w:cstheme="majorHAnsi"/>
        </w:rPr>
        <w:t>1]</w:t>
      </w:r>
      <w:r w:rsidR="003A4FF9" w:rsidRPr="005C161E">
        <w:rPr>
          <w:rFonts w:asciiTheme="majorHAnsi" w:hAnsiTheme="majorHAnsi" w:cstheme="majorHAnsi"/>
        </w:rPr>
        <w:tab/>
      </w:r>
      <w:r w:rsidR="00CB5837" w:rsidRPr="003A4FF9">
        <w:rPr>
          <w:rFonts w:asciiTheme="majorHAnsi" w:hAnsiTheme="majorHAnsi" w:cstheme="majorHAnsi"/>
        </w:rPr>
        <w:t>On Christmas day</w:t>
      </w:r>
      <w:r w:rsidR="00354B23" w:rsidRPr="003A4FF9">
        <w:rPr>
          <w:rFonts w:asciiTheme="majorHAnsi" w:hAnsiTheme="majorHAnsi" w:cstheme="majorHAnsi"/>
        </w:rPr>
        <w:t>,</w:t>
      </w:r>
      <w:r w:rsidR="00CB5837" w:rsidRPr="003A4FF9">
        <w:rPr>
          <w:rFonts w:asciiTheme="majorHAnsi" w:hAnsiTheme="majorHAnsi" w:cstheme="majorHAnsi"/>
        </w:rPr>
        <w:t xml:space="preserve"> 25 December 2012, nearly ten years ago, the plaintiff</w:t>
      </w:r>
      <w:r w:rsidR="00354B23" w:rsidRPr="003A4FF9">
        <w:rPr>
          <w:rFonts w:asciiTheme="majorHAnsi" w:hAnsiTheme="majorHAnsi" w:cstheme="majorHAnsi"/>
        </w:rPr>
        <w:t>,</w:t>
      </w:r>
      <w:r w:rsidR="00CB5837" w:rsidRPr="003A4FF9">
        <w:rPr>
          <w:rFonts w:asciiTheme="majorHAnsi" w:hAnsiTheme="majorHAnsi" w:cstheme="majorHAnsi"/>
        </w:rPr>
        <w:t xml:space="preserve"> Mrs Petra Kruger</w:t>
      </w:r>
      <w:r w:rsidR="00FC37C6" w:rsidRPr="003A4FF9">
        <w:rPr>
          <w:rFonts w:asciiTheme="majorHAnsi" w:hAnsiTheme="majorHAnsi" w:cstheme="majorHAnsi"/>
        </w:rPr>
        <w:t xml:space="preserve"> and family members were day visitors</w:t>
      </w:r>
      <w:r w:rsidR="00CB5837" w:rsidRPr="003A4FF9">
        <w:rPr>
          <w:rFonts w:asciiTheme="majorHAnsi" w:hAnsiTheme="majorHAnsi" w:cstheme="majorHAnsi"/>
        </w:rPr>
        <w:t xml:space="preserve"> </w:t>
      </w:r>
      <w:r w:rsidR="00FC37C6" w:rsidRPr="003A4FF9">
        <w:rPr>
          <w:rFonts w:asciiTheme="majorHAnsi" w:hAnsiTheme="majorHAnsi" w:cstheme="majorHAnsi"/>
        </w:rPr>
        <w:t xml:space="preserve">at </w:t>
      </w:r>
      <w:r w:rsidR="00CB5837" w:rsidRPr="003A4FF9">
        <w:rPr>
          <w:rFonts w:asciiTheme="majorHAnsi" w:hAnsiTheme="majorHAnsi" w:cstheme="majorHAnsi"/>
        </w:rPr>
        <w:t xml:space="preserve">the holiday resort </w:t>
      </w:r>
      <w:proofErr w:type="spellStart"/>
      <w:r w:rsidR="00CB5837" w:rsidRPr="003A4FF9">
        <w:rPr>
          <w:rFonts w:asciiTheme="majorHAnsi" w:hAnsiTheme="majorHAnsi" w:cstheme="majorHAnsi"/>
        </w:rPr>
        <w:t>Wawiel</w:t>
      </w:r>
      <w:proofErr w:type="spellEnd"/>
      <w:r w:rsidR="00CB5837" w:rsidRPr="003A4FF9">
        <w:rPr>
          <w:rFonts w:asciiTheme="majorHAnsi" w:hAnsiTheme="majorHAnsi" w:cstheme="majorHAnsi"/>
        </w:rPr>
        <w:t xml:space="preserve"> Park</w:t>
      </w:r>
      <w:r w:rsidR="006851A3" w:rsidRPr="003A4FF9">
        <w:rPr>
          <w:rFonts w:asciiTheme="majorHAnsi" w:hAnsiTheme="majorHAnsi" w:cstheme="majorHAnsi"/>
        </w:rPr>
        <w:t xml:space="preserve"> (the resort)</w:t>
      </w:r>
      <w:r w:rsidR="00CB5837" w:rsidRPr="003A4FF9">
        <w:rPr>
          <w:rFonts w:asciiTheme="majorHAnsi" w:hAnsiTheme="majorHAnsi" w:cstheme="majorHAnsi"/>
        </w:rPr>
        <w:t>, it being owned by</w:t>
      </w:r>
      <w:r w:rsidR="00310603" w:rsidRPr="003A4FF9">
        <w:rPr>
          <w:rFonts w:asciiTheme="majorHAnsi" w:hAnsiTheme="majorHAnsi" w:cstheme="majorHAnsi"/>
        </w:rPr>
        <w:t xml:space="preserve"> the</w:t>
      </w:r>
      <w:r w:rsidR="00CB5837" w:rsidRPr="003A4FF9">
        <w:rPr>
          <w:rFonts w:asciiTheme="majorHAnsi" w:hAnsiTheme="majorHAnsi" w:cstheme="majorHAnsi"/>
        </w:rPr>
        <w:t xml:space="preserve"> defendant</w:t>
      </w:r>
      <w:r w:rsidR="00FC37C6" w:rsidRPr="003A4FF9">
        <w:rPr>
          <w:rFonts w:asciiTheme="majorHAnsi" w:hAnsiTheme="majorHAnsi" w:cstheme="majorHAnsi"/>
        </w:rPr>
        <w:t>,</w:t>
      </w:r>
      <w:r w:rsidR="00CB5837" w:rsidRPr="003A4FF9">
        <w:rPr>
          <w:rFonts w:asciiTheme="majorHAnsi" w:hAnsiTheme="majorHAnsi" w:cstheme="majorHAnsi"/>
        </w:rPr>
        <w:t xml:space="preserve"> </w:t>
      </w:r>
      <w:proofErr w:type="spellStart"/>
      <w:r w:rsidR="00CB5837" w:rsidRPr="003A4FF9">
        <w:rPr>
          <w:rFonts w:asciiTheme="majorHAnsi" w:hAnsiTheme="majorHAnsi" w:cstheme="majorHAnsi"/>
        </w:rPr>
        <w:t>Wawiel</w:t>
      </w:r>
      <w:proofErr w:type="spellEnd"/>
      <w:r w:rsidR="00CB5837" w:rsidRPr="003A4FF9">
        <w:rPr>
          <w:rFonts w:asciiTheme="majorHAnsi" w:hAnsiTheme="majorHAnsi" w:cstheme="majorHAnsi"/>
        </w:rPr>
        <w:t xml:space="preserve"> Park (Pty) Ltd</w:t>
      </w:r>
      <w:r w:rsidR="00AB7856" w:rsidRPr="003A4FF9">
        <w:rPr>
          <w:rFonts w:asciiTheme="majorHAnsi" w:hAnsiTheme="majorHAnsi" w:cstheme="majorHAnsi"/>
        </w:rPr>
        <w:t>.</w:t>
      </w:r>
    </w:p>
    <w:p w14:paraId="7BD1A895" w14:textId="77777777" w:rsidR="00094B81" w:rsidRPr="005C161E" w:rsidRDefault="00094B81" w:rsidP="005C161E">
      <w:pPr>
        <w:pStyle w:val="ListParagraph"/>
        <w:spacing w:line="360" w:lineRule="auto"/>
        <w:jc w:val="both"/>
        <w:rPr>
          <w:rFonts w:asciiTheme="majorHAnsi" w:hAnsiTheme="majorHAnsi" w:cstheme="majorHAnsi"/>
        </w:rPr>
      </w:pPr>
    </w:p>
    <w:p w14:paraId="353D5DAE" w14:textId="659A2CDD" w:rsidR="00094B81"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[2]</w:t>
      </w:r>
      <w:r w:rsidRPr="005C161E">
        <w:rPr>
          <w:rFonts w:asciiTheme="majorHAnsi" w:hAnsiTheme="majorHAnsi" w:cstheme="majorHAnsi"/>
        </w:rPr>
        <w:tab/>
      </w:r>
      <w:r w:rsidR="00201DC6" w:rsidRPr="003A4FF9">
        <w:rPr>
          <w:rFonts w:asciiTheme="majorHAnsi" w:hAnsiTheme="majorHAnsi" w:cstheme="majorHAnsi"/>
        </w:rPr>
        <w:t>That</w:t>
      </w:r>
      <w:r w:rsidR="00094B81" w:rsidRPr="003A4FF9">
        <w:rPr>
          <w:rFonts w:asciiTheme="majorHAnsi" w:hAnsiTheme="majorHAnsi" w:cstheme="majorHAnsi"/>
        </w:rPr>
        <w:t xml:space="preserve"> </w:t>
      </w:r>
      <w:r w:rsidR="00CD5D53" w:rsidRPr="003A4FF9">
        <w:rPr>
          <w:rFonts w:asciiTheme="majorHAnsi" w:hAnsiTheme="majorHAnsi" w:cstheme="majorHAnsi"/>
        </w:rPr>
        <w:t>day</w:t>
      </w:r>
      <w:r w:rsidR="00094B81" w:rsidRPr="003A4FF9">
        <w:rPr>
          <w:rFonts w:asciiTheme="majorHAnsi" w:hAnsiTheme="majorHAnsi" w:cstheme="majorHAnsi"/>
        </w:rPr>
        <w:t xml:space="preserve"> </w:t>
      </w:r>
      <w:r w:rsidR="00A32CD0" w:rsidRPr="003A4FF9">
        <w:rPr>
          <w:rFonts w:asciiTheme="majorHAnsi" w:hAnsiTheme="majorHAnsi" w:cstheme="majorHAnsi"/>
        </w:rPr>
        <w:t xml:space="preserve">a traumatic event occurred during which the plaintiff sustained a serious injury </w:t>
      </w:r>
      <w:proofErr w:type="gramStart"/>
      <w:r w:rsidR="00A32CD0" w:rsidRPr="003A4FF9">
        <w:rPr>
          <w:rFonts w:asciiTheme="majorHAnsi" w:hAnsiTheme="majorHAnsi" w:cstheme="majorHAnsi"/>
        </w:rPr>
        <w:t>as a result of</w:t>
      </w:r>
      <w:proofErr w:type="gramEnd"/>
      <w:r w:rsidR="00A32CD0" w:rsidRPr="003A4FF9">
        <w:rPr>
          <w:rFonts w:asciiTheme="majorHAnsi" w:hAnsiTheme="majorHAnsi" w:cstheme="majorHAnsi"/>
        </w:rPr>
        <w:t xml:space="preserve"> which </w:t>
      </w:r>
      <w:r w:rsidR="00CD5D53" w:rsidRPr="003A4FF9">
        <w:rPr>
          <w:rFonts w:asciiTheme="majorHAnsi" w:hAnsiTheme="majorHAnsi" w:cstheme="majorHAnsi"/>
        </w:rPr>
        <w:t>she</w:t>
      </w:r>
      <w:r w:rsidR="00A32CD0" w:rsidRPr="003A4FF9">
        <w:rPr>
          <w:rFonts w:asciiTheme="majorHAnsi" w:hAnsiTheme="majorHAnsi" w:cstheme="majorHAnsi"/>
        </w:rPr>
        <w:t xml:space="preserve"> </w:t>
      </w:r>
      <w:r w:rsidR="00472D0D" w:rsidRPr="003A4FF9">
        <w:rPr>
          <w:rFonts w:asciiTheme="majorHAnsi" w:hAnsiTheme="majorHAnsi" w:cstheme="majorHAnsi"/>
        </w:rPr>
        <w:t>instituted</w:t>
      </w:r>
      <w:r w:rsidR="00A32CD0" w:rsidRPr="003A4FF9">
        <w:rPr>
          <w:rFonts w:asciiTheme="majorHAnsi" w:hAnsiTheme="majorHAnsi" w:cstheme="majorHAnsi"/>
        </w:rPr>
        <w:t xml:space="preserve"> action against the defendant to claim damages due to the alleged </w:t>
      </w:r>
      <w:r w:rsidR="008B10E3" w:rsidRPr="003A4FF9">
        <w:rPr>
          <w:rFonts w:asciiTheme="majorHAnsi" w:hAnsiTheme="majorHAnsi" w:cstheme="majorHAnsi"/>
        </w:rPr>
        <w:t xml:space="preserve">unlawful conduct of </w:t>
      </w:r>
      <w:r w:rsidR="00F7125F" w:rsidRPr="003A4FF9">
        <w:rPr>
          <w:rFonts w:asciiTheme="majorHAnsi" w:hAnsiTheme="majorHAnsi" w:cstheme="majorHAnsi"/>
        </w:rPr>
        <w:t>the defendant</w:t>
      </w:r>
      <w:r w:rsidR="008B10E3" w:rsidRPr="003A4FF9">
        <w:rPr>
          <w:rFonts w:asciiTheme="majorHAnsi" w:hAnsiTheme="majorHAnsi" w:cstheme="majorHAnsi"/>
        </w:rPr>
        <w:t xml:space="preserve">, </w:t>
      </w:r>
      <w:r w:rsidR="00122B93" w:rsidRPr="003A4FF9">
        <w:rPr>
          <w:rFonts w:asciiTheme="majorHAnsi" w:hAnsiTheme="majorHAnsi" w:cstheme="majorHAnsi"/>
        </w:rPr>
        <w:t xml:space="preserve">acting through </w:t>
      </w:r>
      <w:r w:rsidR="008B10E3" w:rsidRPr="003A4FF9">
        <w:rPr>
          <w:rFonts w:asciiTheme="majorHAnsi" w:hAnsiTheme="majorHAnsi" w:cstheme="majorHAnsi"/>
        </w:rPr>
        <w:t>it</w:t>
      </w:r>
      <w:r w:rsidR="00FC37C6" w:rsidRPr="003A4FF9">
        <w:rPr>
          <w:rFonts w:asciiTheme="majorHAnsi" w:hAnsiTheme="majorHAnsi" w:cstheme="majorHAnsi"/>
        </w:rPr>
        <w:t>s</w:t>
      </w:r>
      <w:r w:rsidR="008B10E3" w:rsidRPr="003A4FF9">
        <w:rPr>
          <w:rFonts w:asciiTheme="majorHAnsi" w:hAnsiTheme="majorHAnsi" w:cstheme="majorHAnsi"/>
        </w:rPr>
        <w:t xml:space="preserve"> directors and/or employees</w:t>
      </w:r>
      <w:r w:rsidR="00F7125F" w:rsidRPr="003A4FF9">
        <w:rPr>
          <w:rFonts w:asciiTheme="majorHAnsi" w:hAnsiTheme="majorHAnsi" w:cstheme="majorHAnsi"/>
        </w:rPr>
        <w:t>.</w:t>
      </w:r>
    </w:p>
    <w:p w14:paraId="0E3FB84D" w14:textId="77777777" w:rsidR="00F7125F" w:rsidRPr="005C161E" w:rsidRDefault="00F7125F" w:rsidP="005C161E">
      <w:pPr>
        <w:pStyle w:val="ListParagraph"/>
        <w:spacing w:line="360" w:lineRule="auto"/>
        <w:rPr>
          <w:rFonts w:asciiTheme="majorHAnsi" w:hAnsiTheme="majorHAnsi" w:cstheme="majorHAnsi"/>
        </w:rPr>
      </w:pPr>
    </w:p>
    <w:p w14:paraId="3D8E1E84" w14:textId="233CEC4F" w:rsidR="006942EA"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[3]</w:t>
      </w:r>
      <w:r w:rsidRPr="005C161E">
        <w:rPr>
          <w:rFonts w:asciiTheme="majorHAnsi" w:hAnsiTheme="majorHAnsi" w:cstheme="majorHAnsi"/>
        </w:rPr>
        <w:tab/>
      </w:r>
      <w:r w:rsidR="00F7125F" w:rsidRPr="003A4FF9">
        <w:rPr>
          <w:rFonts w:asciiTheme="majorHAnsi" w:hAnsiTheme="majorHAnsi" w:cstheme="majorHAnsi"/>
        </w:rPr>
        <w:t>The matter went on trial on 31 October 2022</w:t>
      </w:r>
      <w:r w:rsidR="00ED7325" w:rsidRPr="003A4FF9">
        <w:rPr>
          <w:rFonts w:asciiTheme="majorHAnsi" w:hAnsiTheme="majorHAnsi" w:cstheme="majorHAnsi"/>
        </w:rPr>
        <w:t xml:space="preserve">, </w:t>
      </w:r>
      <w:r w:rsidR="00F7125F" w:rsidRPr="003A4FF9">
        <w:rPr>
          <w:rFonts w:asciiTheme="majorHAnsi" w:hAnsiTheme="majorHAnsi" w:cstheme="majorHAnsi"/>
        </w:rPr>
        <w:t xml:space="preserve">01 November </w:t>
      </w:r>
      <w:proofErr w:type="gramStart"/>
      <w:r w:rsidR="00F7125F" w:rsidRPr="003A4FF9">
        <w:rPr>
          <w:rFonts w:asciiTheme="majorHAnsi" w:hAnsiTheme="majorHAnsi" w:cstheme="majorHAnsi"/>
        </w:rPr>
        <w:t>2022</w:t>
      </w:r>
      <w:proofErr w:type="gramEnd"/>
      <w:r w:rsidR="00F7125F" w:rsidRPr="003A4FF9">
        <w:rPr>
          <w:rFonts w:asciiTheme="majorHAnsi" w:hAnsiTheme="majorHAnsi" w:cstheme="majorHAnsi"/>
        </w:rPr>
        <w:t xml:space="preserve"> </w:t>
      </w:r>
      <w:r w:rsidR="00ED7325" w:rsidRPr="003A4FF9">
        <w:rPr>
          <w:rFonts w:asciiTheme="majorHAnsi" w:hAnsiTheme="majorHAnsi" w:cstheme="majorHAnsi"/>
        </w:rPr>
        <w:t xml:space="preserve">and 04 November 2022 </w:t>
      </w:r>
      <w:r w:rsidR="00486C05" w:rsidRPr="003A4FF9">
        <w:rPr>
          <w:rFonts w:asciiTheme="majorHAnsi" w:hAnsiTheme="majorHAnsi" w:cstheme="majorHAnsi"/>
        </w:rPr>
        <w:t xml:space="preserve">for adjudication of </w:t>
      </w:r>
      <w:r w:rsidR="001D54BD" w:rsidRPr="003A4FF9">
        <w:rPr>
          <w:rFonts w:asciiTheme="majorHAnsi" w:hAnsiTheme="majorHAnsi" w:cstheme="majorHAnsi"/>
        </w:rPr>
        <w:t xml:space="preserve">the issue of liability. An order was granted in terms of rule 33(4), specifically </w:t>
      </w:r>
      <w:r w:rsidR="00CE25AB" w:rsidRPr="003A4FF9">
        <w:rPr>
          <w:rFonts w:asciiTheme="majorHAnsi" w:hAnsiTheme="majorHAnsi" w:cstheme="majorHAnsi"/>
        </w:rPr>
        <w:t xml:space="preserve">recording that all disputes relating to paragraphs 1, 5, 6, 7 and 8 of the particulars of claim read with </w:t>
      </w:r>
      <w:r w:rsidR="006D0ABD" w:rsidRPr="003A4FF9">
        <w:rPr>
          <w:rFonts w:asciiTheme="majorHAnsi" w:hAnsiTheme="majorHAnsi" w:cstheme="majorHAnsi"/>
        </w:rPr>
        <w:t xml:space="preserve">the corresponding </w:t>
      </w:r>
      <w:r w:rsidR="00206955" w:rsidRPr="003A4FF9">
        <w:rPr>
          <w:rFonts w:asciiTheme="majorHAnsi" w:hAnsiTheme="majorHAnsi" w:cstheme="majorHAnsi"/>
        </w:rPr>
        <w:t xml:space="preserve">paragraphs of the special plea </w:t>
      </w:r>
      <w:r w:rsidR="007265BD" w:rsidRPr="003A4FF9">
        <w:rPr>
          <w:rFonts w:asciiTheme="majorHAnsi" w:hAnsiTheme="majorHAnsi" w:cstheme="majorHAnsi"/>
        </w:rPr>
        <w:t>and plea</w:t>
      </w:r>
      <w:r w:rsidR="00FC37C6" w:rsidRPr="003A4FF9">
        <w:rPr>
          <w:rFonts w:asciiTheme="majorHAnsi" w:hAnsiTheme="majorHAnsi" w:cstheme="majorHAnsi"/>
        </w:rPr>
        <w:t>,</w:t>
      </w:r>
      <w:r w:rsidR="007265BD" w:rsidRPr="003A4FF9">
        <w:rPr>
          <w:rFonts w:asciiTheme="majorHAnsi" w:hAnsiTheme="majorHAnsi" w:cstheme="majorHAnsi"/>
        </w:rPr>
        <w:t xml:space="preserve"> to wit paragraphs 1, 2, 6, 7, 8 and 9 </w:t>
      </w:r>
      <w:r w:rsidR="00722703" w:rsidRPr="003A4FF9">
        <w:rPr>
          <w:rFonts w:asciiTheme="majorHAnsi" w:hAnsiTheme="majorHAnsi" w:cstheme="majorHAnsi"/>
        </w:rPr>
        <w:t>thereof</w:t>
      </w:r>
      <w:r w:rsidR="00FC37C6" w:rsidRPr="003A4FF9">
        <w:rPr>
          <w:rFonts w:asciiTheme="majorHAnsi" w:hAnsiTheme="majorHAnsi" w:cstheme="majorHAnsi"/>
        </w:rPr>
        <w:t>,</w:t>
      </w:r>
      <w:r w:rsidR="00722703" w:rsidRPr="003A4FF9">
        <w:rPr>
          <w:rFonts w:asciiTheme="majorHAnsi" w:hAnsiTheme="majorHAnsi" w:cstheme="majorHAnsi"/>
        </w:rPr>
        <w:t xml:space="preserve"> as well as t</w:t>
      </w:r>
      <w:r w:rsidR="00072D21" w:rsidRPr="003A4FF9">
        <w:rPr>
          <w:rFonts w:asciiTheme="majorHAnsi" w:hAnsiTheme="majorHAnsi" w:cstheme="majorHAnsi"/>
        </w:rPr>
        <w:t>he averments in the replication</w:t>
      </w:r>
      <w:r w:rsidR="00122B93" w:rsidRPr="003A4FF9">
        <w:rPr>
          <w:rFonts w:asciiTheme="majorHAnsi" w:hAnsiTheme="majorHAnsi" w:cstheme="majorHAnsi"/>
        </w:rPr>
        <w:t xml:space="preserve"> were to be adjudicated</w:t>
      </w:r>
      <w:r w:rsidR="00072D21" w:rsidRPr="003A4FF9">
        <w:rPr>
          <w:rFonts w:asciiTheme="majorHAnsi" w:hAnsiTheme="majorHAnsi" w:cstheme="majorHAnsi"/>
        </w:rPr>
        <w:t xml:space="preserve">. All remaining disputes </w:t>
      </w:r>
      <w:r w:rsidR="00C84736" w:rsidRPr="003A4FF9">
        <w:rPr>
          <w:rFonts w:asciiTheme="majorHAnsi" w:hAnsiTheme="majorHAnsi" w:cstheme="majorHAnsi"/>
        </w:rPr>
        <w:t xml:space="preserve">stood over for later adjudication </w:t>
      </w:r>
      <w:r w:rsidR="000E569C" w:rsidRPr="003A4FF9">
        <w:rPr>
          <w:rFonts w:asciiTheme="majorHAnsi" w:hAnsiTheme="majorHAnsi" w:cstheme="majorHAnsi"/>
        </w:rPr>
        <w:t>if required.</w:t>
      </w:r>
    </w:p>
    <w:p w14:paraId="10357ECE" w14:textId="77777777" w:rsidR="00035121" w:rsidRPr="005C161E" w:rsidRDefault="00035121" w:rsidP="005C161E">
      <w:pPr>
        <w:pStyle w:val="ListParagraph"/>
        <w:spacing w:line="360" w:lineRule="auto"/>
        <w:jc w:val="both"/>
        <w:rPr>
          <w:rFonts w:asciiTheme="majorHAnsi" w:hAnsiTheme="majorHAnsi" w:cstheme="majorHAnsi"/>
        </w:rPr>
      </w:pPr>
    </w:p>
    <w:p w14:paraId="6F4E57EF" w14:textId="77777777" w:rsidR="009B717A" w:rsidRPr="005C161E" w:rsidRDefault="00796632" w:rsidP="005C161E">
      <w:pPr>
        <w:pStyle w:val="ListParagraph"/>
        <w:spacing w:line="360" w:lineRule="auto"/>
        <w:jc w:val="both"/>
        <w:rPr>
          <w:rFonts w:asciiTheme="majorHAnsi" w:hAnsiTheme="majorHAnsi" w:cstheme="majorHAnsi"/>
          <w:b/>
        </w:rPr>
      </w:pPr>
      <w:r w:rsidRPr="005C161E">
        <w:rPr>
          <w:rFonts w:asciiTheme="majorHAnsi" w:hAnsiTheme="majorHAnsi" w:cstheme="majorHAnsi"/>
          <w:b/>
        </w:rPr>
        <w:t>Issues to be adjudicated</w:t>
      </w:r>
    </w:p>
    <w:p w14:paraId="2B906762" w14:textId="52867D35" w:rsidR="006D6208"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[4]</w:t>
      </w:r>
      <w:r w:rsidRPr="005C161E">
        <w:rPr>
          <w:rFonts w:asciiTheme="majorHAnsi" w:hAnsiTheme="majorHAnsi" w:cstheme="majorHAnsi"/>
        </w:rPr>
        <w:tab/>
      </w:r>
      <w:r w:rsidR="000576B8" w:rsidRPr="003A4FF9">
        <w:rPr>
          <w:rFonts w:asciiTheme="majorHAnsi" w:hAnsiTheme="majorHAnsi" w:cstheme="majorHAnsi"/>
        </w:rPr>
        <w:t xml:space="preserve">Adv </w:t>
      </w:r>
      <w:r w:rsidR="0011169D" w:rsidRPr="003A4FF9">
        <w:rPr>
          <w:rFonts w:asciiTheme="majorHAnsi" w:hAnsiTheme="majorHAnsi" w:cstheme="majorHAnsi"/>
        </w:rPr>
        <w:t xml:space="preserve">PJJ </w:t>
      </w:r>
      <w:proofErr w:type="spellStart"/>
      <w:r w:rsidR="0011169D" w:rsidRPr="003A4FF9">
        <w:rPr>
          <w:rFonts w:asciiTheme="majorHAnsi" w:hAnsiTheme="majorHAnsi" w:cstheme="majorHAnsi"/>
        </w:rPr>
        <w:t>Zietsman</w:t>
      </w:r>
      <w:proofErr w:type="spellEnd"/>
      <w:r w:rsidR="000576B8" w:rsidRPr="003A4FF9">
        <w:rPr>
          <w:rFonts w:asciiTheme="majorHAnsi" w:hAnsiTheme="majorHAnsi" w:cstheme="majorHAnsi"/>
        </w:rPr>
        <w:t xml:space="preserve"> SC</w:t>
      </w:r>
      <w:r w:rsidR="006D6208" w:rsidRPr="003A4FF9">
        <w:rPr>
          <w:rFonts w:asciiTheme="majorHAnsi" w:hAnsiTheme="majorHAnsi" w:cstheme="majorHAnsi"/>
        </w:rPr>
        <w:t xml:space="preserve"> on behalf of the defendant referred to the issues in dispute as are apparent from the pleadings, but as I shall indicate later herein, several issues in dispute on the pleadings have not been taken any further during the hearing, especially insofar as the defendant decided to </w:t>
      </w:r>
      <w:r w:rsidR="00122B93" w:rsidRPr="003A4FF9">
        <w:rPr>
          <w:rFonts w:asciiTheme="majorHAnsi" w:hAnsiTheme="majorHAnsi" w:cstheme="majorHAnsi"/>
        </w:rPr>
        <w:t>close</w:t>
      </w:r>
      <w:r w:rsidR="007F37CA" w:rsidRPr="003A4FF9">
        <w:rPr>
          <w:rFonts w:asciiTheme="majorHAnsi" w:hAnsiTheme="majorHAnsi" w:cstheme="majorHAnsi"/>
        </w:rPr>
        <w:t xml:space="preserve"> </w:t>
      </w:r>
      <w:r w:rsidR="006D6208" w:rsidRPr="003A4FF9">
        <w:rPr>
          <w:rFonts w:asciiTheme="majorHAnsi" w:hAnsiTheme="majorHAnsi" w:cstheme="majorHAnsi"/>
        </w:rPr>
        <w:t xml:space="preserve">its case without calling any witnesses. </w:t>
      </w:r>
      <w:r w:rsidR="003E4520" w:rsidRPr="003A4FF9">
        <w:rPr>
          <w:rFonts w:asciiTheme="majorHAnsi" w:hAnsiTheme="majorHAnsi" w:cstheme="majorHAnsi"/>
        </w:rPr>
        <w:t xml:space="preserve">The issue of contributory negligence on the part of the plaintiff as pleaded was not taken up with her in cross-examination </w:t>
      </w:r>
      <w:r w:rsidR="00CA6569" w:rsidRPr="003A4FF9">
        <w:rPr>
          <w:rFonts w:asciiTheme="majorHAnsi" w:hAnsiTheme="majorHAnsi" w:cstheme="majorHAnsi"/>
        </w:rPr>
        <w:t xml:space="preserve">and there is no factual basis on which this issue can be considered and/or adjudicated. </w:t>
      </w:r>
      <w:r w:rsidR="00FC37C6" w:rsidRPr="003A4FF9">
        <w:rPr>
          <w:rFonts w:asciiTheme="majorHAnsi" w:hAnsiTheme="majorHAnsi" w:cstheme="majorHAnsi"/>
        </w:rPr>
        <w:t xml:space="preserve">Mr </w:t>
      </w:r>
      <w:proofErr w:type="spellStart"/>
      <w:r w:rsidR="00FC37C6" w:rsidRPr="003A4FF9">
        <w:rPr>
          <w:rFonts w:asciiTheme="majorHAnsi" w:hAnsiTheme="majorHAnsi" w:cstheme="majorHAnsi"/>
        </w:rPr>
        <w:t>Zietsman</w:t>
      </w:r>
      <w:proofErr w:type="spellEnd"/>
      <w:r w:rsidR="00FC37C6" w:rsidRPr="003A4FF9">
        <w:rPr>
          <w:rFonts w:asciiTheme="majorHAnsi" w:hAnsiTheme="majorHAnsi" w:cstheme="majorHAnsi"/>
        </w:rPr>
        <w:t xml:space="preserve"> did not argue the contrary. </w:t>
      </w:r>
      <w:r w:rsidR="006D6208" w:rsidRPr="003A4FF9">
        <w:rPr>
          <w:rFonts w:asciiTheme="majorHAnsi" w:hAnsiTheme="majorHAnsi" w:cstheme="majorHAnsi"/>
        </w:rPr>
        <w:t>The real issues between the parties</w:t>
      </w:r>
      <w:r w:rsidR="00370488" w:rsidRPr="003A4FF9">
        <w:rPr>
          <w:rFonts w:asciiTheme="majorHAnsi" w:hAnsiTheme="majorHAnsi" w:cstheme="majorHAnsi"/>
        </w:rPr>
        <w:t xml:space="preserve"> to be adjudicated are</w:t>
      </w:r>
      <w:r w:rsidR="006D6208" w:rsidRPr="003A4FF9">
        <w:rPr>
          <w:rFonts w:asciiTheme="majorHAnsi" w:hAnsiTheme="majorHAnsi" w:cstheme="majorHAnsi"/>
        </w:rPr>
        <w:t>:</w:t>
      </w:r>
    </w:p>
    <w:p w14:paraId="5DDAE24E" w14:textId="3FBC8D4D" w:rsidR="005F7D2F"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a.</w:t>
      </w:r>
      <w:r w:rsidRPr="005C161E">
        <w:rPr>
          <w:rFonts w:asciiTheme="majorHAnsi" w:hAnsiTheme="majorHAnsi" w:cstheme="majorHAnsi"/>
        </w:rPr>
        <w:tab/>
      </w:r>
      <w:r w:rsidR="00370488" w:rsidRPr="003A4FF9">
        <w:rPr>
          <w:rFonts w:asciiTheme="majorHAnsi" w:hAnsiTheme="majorHAnsi" w:cstheme="majorHAnsi"/>
        </w:rPr>
        <w:t>w</w:t>
      </w:r>
      <w:r w:rsidR="005F7D2F" w:rsidRPr="003A4FF9">
        <w:rPr>
          <w:rFonts w:asciiTheme="majorHAnsi" w:hAnsiTheme="majorHAnsi" w:cstheme="majorHAnsi"/>
        </w:rPr>
        <w:t xml:space="preserve">hether the plaintiff was injured </w:t>
      </w:r>
      <w:r w:rsidR="001238A2" w:rsidRPr="003A4FF9">
        <w:rPr>
          <w:rFonts w:asciiTheme="majorHAnsi" w:hAnsiTheme="majorHAnsi" w:cstheme="majorHAnsi"/>
        </w:rPr>
        <w:t xml:space="preserve">at the resort on 25 December </w:t>
      </w:r>
      <w:proofErr w:type="gramStart"/>
      <w:r w:rsidR="001238A2" w:rsidRPr="003A4FF9">
        <w:rPr>
          <w:rFonts w:asciiTheme="majorHAnsi" w:hAnsiTheme="majorHAnsi" w:cstheme="majorHAnsi"/>
        </w:rPr>
        <w:t>2012;</w:t>
      </w:r>
      <w:proofErr w:type="gramEnd"/>
    </w:p>
    <w:p w14:paraId="3128C405" w14:textId="200DB220" w:rsidR="006D6208"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b.</w:t>
      </w:r>
      <w:r w:rsidRPr="005C161E">
        <w:rPr>
          <w:rFonts w:asciiTheme="majorHAnsi" w:hAnsiTheme="majorHAnsi" w:cstheme="majorHAnsi"/>
        </w:rPr>
        <w:tab/>
      </w:r>
      <w:r w:rsidR="00370488" w:rsidRPr="003A4FF9">
        <w:rPr>
          <w:rFonts w:asciiTheme="majorHAnsi" w:hAnsiTheme="majorHAnsi" w:cstheme="majorHAnsi"/>
        </w:rPr>
        <w:t>w</w:t>
      </w:r>
      <w:r w:rsidR="006D6208" w:rsidRPr="003A4FF9">
        <w:rPr>
          <w:rFonts w:asciiTheme="majorHAnsi" w:hAnsiTheme="majorHAnsi" w:cstheme="majorHAnsi"/>
        </w:rPr>
        <w:t>hether the defendant</w:t>
      </w:r>
      <w:r w:rsidR="006A58EB" w:rsidRPr="003A4FF9">
        <w:rPr>
          <w:rFonts w:asciiTheme="majorHAnsi" w:hAnsiTheme="majorHAnsi" w:cstheme="majorHAnsi"/>
        </w:rPr>
        <w:t xml:space="preserve">, acting through its directors and/or employees, </w:t>
      </w:r>
      <w:r w:rsidR="006D6208" w:rsidRPr="003A4FF9">
        <w:rPr>
          <w:rFonts w:asciiTheme="majorHAnsi" w:hAnsiTheme="majorHAnsi" w:cstheme="majorHAnsi"/>
        </w:rPr>
        <w:t>was negligent</w:t>
      </w:r>
      <w:r w:rsidR="00C61897" w:rsidRPr="003A4FF9">
        <w:rPr>
          <w:rFonts w:asciiTheme="majorHAnsi" w:hAnsiTheme="majorHAnsi" w:cstheme="majorHAnsi"/>
        </w:rPr>
        <w:t>,</w:t>
      </w:r>
      <w:r w:rsidR="006D6208" w:rsidRPr="003A4FF9">
        <w:rPr>
          <w:rFonts w:asciiTheme="majorHAnsi" w:hAnsiTheme="majorHAnsi" w:cstheme="majorHAnsi"/>
        </w:rPr>
        <w:t xml:space="preserve"> and in particular</w:t>
      </w:r>
      <w:r w:rsidR="00C61897" w:rsidRPr="003A4FF9">
        <w:rPr>
          <w:rFonts w:asciiTheme="majorHAnsi" w:hAnsiTheme="majorHAnsi" w:cstheme="majorHAnsi"/>
        </w:rPr>
        <w:t>,</w:t>
      </w:r>
      <w:r w:rsidR="006D6208" w:rsidRPr="003A4FF9">
        <w:rPr>
          <w:rFonts w:asciiTheme="majorHAnsi" w:hAnsiTheme="majorHAnsi" w:cstheme="majorHAnsi"/>
        </w:rPr>
        <w:t xml:space="preserve"> grossly </w:t>
      </w:r>
      <w:proofErr w:type="gramStart"/>
      <w:r w:rsidR="006D6208" w:rsidRPr="003A4FF9">
        <w:rPr>
          <w:rFonts w:asciiTheme="majorHAnsi" w:hAnsiTheme="majorHAnsi" w:cstheme="majorHAnsi"/>
        </w:rPr>
        <w:t>negligent</w:t>
      </w:r>
      <w:r w:rsidR="00370488" w:rsidRPr="003A4FF9">
        <w:rPr>
          <w:rFonts w:asciiTheme="majorHAnsi" w:hAnsiTheme="majorHAnsi" w:cstheme="majorHAnsi"/>
        </w:rPr>
        <w:t>;</w:t>
      </w:r>
      <w:proofErr w:type="gramEnd"/>
    </w:p>
    <w:p w14:paraId="03F4CD0F" w14:textId="2A4D3CCE" w:rsidR="006D6208"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c.</w:t>
      </w:r>
      <w:r w:rsidRPr="005C161E">
        <w:rPr>
          <w:rFonts w:asciiTheme="majorHAnsi" w:hAnsiTheme="majorHAnsi" w:cstheme="majorHAnsi"/>
        </w:rPr>
        <w:tab/>
      </w:r>
      <w:r w:rsidR="00370488" w:rsidRPr="003A4FF9">
        <w:rPr>
          <w:rFonts w:asciiTheme="majorHAnsi" w:hAnsiTheme="majorHAnsi" w:cstheme="majorHAnsi"/>
        </w:rPr>
        <w:t>w</w:t>
      </w:r>
      <w:r w:rsidR="006D6208" w:rsidRPr="003A4FF9">
        <w:rPr>
          <w:rFonts w:asciiTheme="majorHAnsi" w:hAnsiTheme="majorHAnsi" w:cstheme="majorHAnsi"/>
        </w:rPr>
        <w:t>hether the defendant can rely on</w:t>
      </w:r>
      <w:r w:rsidR="008754EA" w:rsidRPr="003A4FF9">
        <w:rPr>
          <w:rFonts w:asciiTheme="majorHAnsi" w:hAnsiTheme="majorHAnsi" w:cstheme="majorHAnsi"/>
        </w:rPr>
        <w:t xml:space="preserve"> </w:t>
      </w:r>
      <w:r w:rsidR="006D6208" w:rsidRPr="003A4FF9">
        <w:rPr>
          <w:rFonts w:asciiTheme="majorHAnsi" w:hAnsiTheme="majorHAnsi" w:cstheme="majorHAnsi"/>
        </w:rPr>
        <w:t xml:space="preserve">the disclaimer notices </w:t>
      </w:r>
      <w:r w:rsidR="008754EA" w:rsidRPr="003A4FF9">
        <w:rPr>
          <w:rFonts w:asciiTheme="majorHAnsi" w:hAnsiTheme="majorHAnsi" w:cstheme="majorHAnsi"/>
        </w:rPr>
        <w:t xml:space="preserve">displayed </w:t>
      </w:r>
      <w:r w:rsidR="006D6208" w:rsidRPr="003A4FF9">
        <w:rPr>
          <w:rFonts w:asciiTheme="majorHAnsi" w:hAnsiTheme="majorHAnsi" w:cstheme="majorHAnsi"/>
        </w:rPr>
        <w:t>on two separate notice boards to avoid liability.</w:t>
      </w:r>
    </w:p>
    <w:p w14:paraId="616B78BC" w14:textId="77777777" w:rsidR="006D6208" w:rsidRPr="005C161E" w:rsidRDefault="00796632" w:rsidP="005C161E">
      <w:pPr>
        <w:spacing w:line="360" w:lineRule="auto"/>
        <w:jc w:val="both"/>
        <w:rPr>
          <w:rFonts w:asciiTheme="majorHAnsi" w:hAnsiTheme="majorHAnsi" w:cstheme="majorHAnsi"/>
        </w:rPr>
      </w:pPr>
      <w:r w:rsidRPr="005C161E">
        <w:rPr>
          <w:rFonts w:asciiTheme="majorHAnsi" w:hAnsiTheme="majorHAnsi" w:cstheme="majorHAnsi"/>
          <w:b/>
        </w:rPr>
        <w:t xml:space="preserve">Wrongfulness </w:t>
      </w:r>
    </w:p>
    <w:p w14:paraId="7303BEA7" w14:textId="23C1D13C" w:rsidR="006D6208"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lastRenderedPageBreak/>
        <w:t>[5]</w:t>
      </w:r>
      <w:r w:rsidRPr="005C161E">
        <w:rPr>
          <w:rFonts w:asciiTheme="majorHAnsi" w:hAnsiTheme="majorHAnsi" w:cstheme="majorHAnsi"/>
        </w:rPr>
        <w:tab/>
      </w:r>
      <w:r w:rsidR="006D6208" w:rsidRPr="003A4FF9">
        <w:rPr>
          <w:rFonts w:asciiTheme="majorHAnsi" w:hAnsiTheme="majorHAnsi" w:cstheme="majorHAnsi"/>
        </w:rPr>
        <w:t xml:space="preserve">It is apparent from the disputes </w:t>
      </w:r>
      <w:r w:rsidR="00A367C8" w:rsidRPr="003A4FF9">
        <w:rPr>
          <w:rFonts w:asciiTheme="majorHAnsi" w:hAnsiTheme="majorHAnsi" w:cstheme="majorHAnsi"/>
        </w:rPr>
        <w:t xml:space="preserve">to be </w:t>
      </w:r>
      <w:r w:rsidR="006D6208" w:rsidRPr="003A4FF9">
        <w:rPr>
          <w:rFonts w:asciiTheme="majorHAnsi" w:hAnsiTheme="majorHAnsi" w:cstheme="majorHAnsi"/>
        </w:rPr>
        <w:t xml:space="preserve">adjudicated </w:t>
      </w:r>
      <w:r w:rsidR="00A367C8" w:rsidRPr="003A4FF9">
        <w:rPr>
          <w:rFonts w:asciiTheme="majorHAnsi" w:hAnsiTheme="majorHAnsi" w:cstheme="majorHAnsi"/>
        </w:rPr>
        <w:t xml:space="preserve">mentioned in the previous paragraph that wrongfulness </w:t>
      </w:r>
      <w:r w:rsidR="00A55273" w:rsidRPr="003A4FF9">
        <w:rPr>
          <w:rFonts w:asciiTheme="majorHAnsi" w:hAnsiTheme="majorHAnsi" w:cstheme="majorHAnsi"/>
        </w:rPr>
        <w:t xml:space="preserve">was not an issue during the trial. Notwithstanding this, it is </w:t>
      </w:r>
      <w:r w:rsidR="009B16FA" w:rsidRPr="003A4FF9">
        <w:rPr>
          <w:rFonts w:asciiTheme="majorHAnsi" w:hAnsiTheme="majorHAnsi" w:cstheme="majorHAnsi"/>
        </w:rPr>
        <w:t>perhaps apposite to state what the Constitutional Co</w:t>
      </w:r>
      <w:r w:rsidR="00081267" w:rsidRPr="003A4FF9">
        <w:rPr>
          <w:rFonts w:asciiTheme="majorHAnsi" w:hAnsiTheme="majorHAnsi" w:cstheme="majorHAnsi"/>
        </w:rPr>
        <w:t xml:space="preserve">urt had to say about wrongfulness in </w:t>
      </w:r>
      <w:r w:rsidR="00081267" w:rsidRPr="003A4FF9">
        <w:rPr>
          <w:rFonts w:asciiTheme="majorHAnsi" w:hAnsiTheme="majorHAnsi" w:cstheme="majorHAnsi"/>
          <w:i/>
        </w:rPr>
        <w:t>Le Roux and Others v D</w:t>
      </w:r>
      <w:r w:rsidR="00E508D1" w:rsidRPr="003A4FF9">
        <w:rPr>
          <w:rFonts w:asciiTheme="majorHAnsi" w:hAnsiTheme="majorHAnsi" w:cstheme="majorHAnsi"/>
          <w:i/>
        </w:rPr>
        <w:t>ey</w:t>
      </w:r>
      <w:r w:rsidR="00081267" w:rsidRPr="003A4FF9">
        <w:rPr>
          <w:rFonts w:asciiTheme="majorHAnsi" w:hAnsiTheme="majorHAnsi" w:cstheme="majorHAnsi"/>
          <w:i/>
        </w:rPr>
        <w:t xml:space="preserve"> (Freedom of Expression Institute and Restorative Justice Centre as amici curiae)</w:t>
      </w:r>
      <w:r w:rsidR="00081267" w:rsidRPr="005C161E">
        <w:rPr>
          <w:rStyle w:val="FootnoteReference"/>
          <w:rFonts w:asciiTheme="majorHAnsi" w:hAnsiTheme="majorHAnsi" w:cstheme="majorHAnsi"/>
        </w:rPr>
        <w:footnoteReference w:id="1"/>
      </w:r>
      <w:r w:rsidR="00122B93" w:rsidRPr="003A4FF9">
        <w:rPr>
          <w:rFonts w:asciiTheme="majorHAnsi" w:hAnsiTheme="majorHAnsi" w:cstheme="majorHAnsi"/>
          <w:i/>
        </w:rPr>
        <w:t>:</w:t>
      </w:r>
    </w:p>
    <w:p w14:paraId="71B5FE42" w14:textId="77777777" w:rsidR="009B717A" w:rsidRPr="005C161E" w:rsidRDefault="000062B9" w:rsidP="005C161E">
      <w:pPr>
        <w:pStyle w:val="ListParagraph"/>
        <w:spacing w:line="360" w:lineRule="auto"/>
        <w:jc w:val="both"/>
        <w:rPr>
          <w:rFonts w:asciiTheme="majorHAnsi" w:hAnsiTheme="majorHAnsi" w:cstheme="majorHAnsi"/>
          <w:sz w:val="20"/>
          <w:szCs w:val="20"/>
        </w:rPr>
      </w:pPr>
      <w:r w:rsidRPr="005C161E">
        <w:rPr>
          <w:rFonts w:asciiTheme="majorHAnsi" w:hAnsiTheme="majorHAnsi" w:cstheme="majorHAnsi"/>
          <w:sz w:val="20"/>
          <w:szCs w:val="20"/>
        </w:rPr>
        <w:t>‘In the more recent past our courts have come to recognise, however, that in the context of the law of delict: </w:t>
      </w:r>
      <w:r w:rsidRPr="005C161E">
        <w:rPr>
          <w:rFonts w:asciiTheme="majorHAnsi" w:hAnsiTheme="majorHAnsi" w:cstheme="majorHAnsi"/>
          <w:i/>
          <w:iCs/>
          <w:sz w:val="20"/>
          <w:szCs w:val="20"/>
        </w:rPr>
        <w:t>(a)</w:t>
      </w:r>
      <w:r w:rsidRPr="005C161E">
        <w:rPr>
          <w:rFonts w:asciiTheme="majorHAnsi" w:hAnsiTheme="majorHAnsi" w:cstheme="majorHAnsi"/>
          <w:sz w:val="20"/>
          <w:szCs w:val="20"/>
        </w:rPr>
        <w:t xml:space="preserve"> the criterion of wrongfulness ultimately depends on a judicial determination of whether — assuming all the other elements of </w:t>
      </w:r>
      <w:proofErr w:type="spellStart"/>
      <w:r w:rsidRPr="005C161E">
        <w:rPr>
          <w:rFonts w:asciiTheme="majorHAnsi" w:hAnsiTheme="majorHAnsi" w:cstheme="majorHAnsi"/>
          <w:sz w:val="20"/>
          <w:szCs w:val="20"/>
        </w:rPr>
        <w:t>delictual</w:t>
      </w:r>
      <w:proofErr w:type="spellEnd"/>
      <w:r w:rsidRPr="005C161E">
        <w:rPr>
          <w:rFonts w:asciiTheme="majorHAnsi" w:hAnsiTheme="majorHAnsi" w:cstheme="majorHAnsi"/>
          <w:sz w:val="20"/>
          <w:szCs w:val="20"/>
        </w:rPr>
        <w:t xml:space="preserve"> liability to be present — it would be reasonable to impose liability on a defendant for the damages flowing from specific conduct;</w:t>
      </w:r>
      <w:bookmarkStart w:id="0" w:name="0-0-0-274121"/>
      <w:bookmarkEnd w:id="0"/>
      <w:r w:rsidRPr="005C161E">
        <w:rPr>
          <w:rFonts w:asciiTheme="majorHAnsi" w:hAnsiTheme="majorHAnsi" w:cstheme="majorHAnsi"/>
          <w:sz w:val="20"/>
          <w:szCs w:val="20"/>
        </w:rPr>
        <w:t xml:space="preserve"> and </w:t>
      </w:r>
      <w:r w:rsidRPr="005C161E">
        <w:rPr>
          <w:rFonts w:asciiTheme="majorHAnsi" w:hAnsiTheme="majorHAnsi" w:cstheme="majorHAnsi"/>
          <w:i/>
          <w:iCs/>
          <w:sz w:val="20"/>
          <w:szCs w:val="20"/>
        </w:rPr>
        <w:t>(b)</w:t>
      </w:r>
      <w:r w:rsidRPr="005C161E">
        <w:rPr>
          <w:rFonts w:asciiTheme="majorHAnsi" w:hAnsiTheme="majorHAnsi" w:cstheme="majorHAnsi"/>
          <w:sz w:val="20"/>
          <w:szCs w:val="20"/>
        </w:rPr>
        <w:t> that the judicial determination of that reasonableness would in turn depend on considerations of public and legal policy in accordance with constitutional norms.</w:t>
      </w:r>
      <w:bookmarkStart w:id="1" w:name="0-0-0-274125"/>
      <w:bookmarkEnd w:id="1"/>
      <w:r w:rsidRPr="005C161E">
        <w:rPr>
          <w:rFonts w:asciiTheme="majorHAnsi" w:hAnsiTheme="majorHAnsi" w:cstheme="majorHAnsi"/>
          <w:sz w:val="20"/>
          <w:szCs w:val="20"/>
        </w:rPr>
        <w:t xml:space="preserve"> Incidentally, to avoid confusion it should be borne in mind that, what is meant by reasonableness in the context of wrongfulness has nothing to do with the reasonableness of the defendant's conduct, but it concerns the reasonableness of imposing liability on the defendant for the harm resulting from that conduct</w:t>
      </w:r>
      <w:bookmarkStart w:id="2" w:name="0-0-0-274129"/>
      <w:bookmarkEnd w:id="2"/>
      <w:r w:rsidRPr="005C161E">
        <w:rPr>
          <w:rFonts w:asciiTheme="majorHAnsi" w:hAnsiTheme="majorHAnsi" w:cstheme="majorHAnsi"/>
          <w:sz w:val="20"/>
          <w:szCs w:val="20"/>
        </w:rPr>
        <w:t>.’</w:t>
      </w:r>
    </w:p>
    <w:p w14:paraId="6DE811E6" w14:textId="77777777" w:rsidR="000062B9" w:rsidRPr="005C161E" w:rsidRDefault="000062B9" w:rsidP="005C161E">
      <w:pPr>
        <w:pStyle w:val="ListParagraph"/>
        <w:spacing w:line="360" w:lineRule="auto"/>
        <w:jc w:val="both"/>
        <w:rPr>
          <w:rFonts w:asciiTheme="majorHAnsi" w:hAnsiTheme="majorHAnsi" w:cstheme="majorHAnsi"/>
        </w:rPr>
      </w:pPr>
      <w:r w:rsidRPr="005C161E">
        <w:rPr>
          <w:rFonts w:asciiTheme="majorHAnsi" w:hAnsiTheme="majorHAnsi" w:cstheme="majorHAnsi"/>
        </w:rPr>
        <w:t>As the Constitutional Court warned, reasonableness in the con</w:t>
      </w:r>
      <w:r w:rsidR="00932FE6" w:rsidRPr="005C161E">
        <w:rPr>
          <w:rFonts w:asciiTheme="majorHAnsi" w:hAnsiTheme="majorHAnsi" w:cstheme="majorHAnsi"/>
        </w:rPr>
        <w:t xml:space="preserve">text of wrongfulness </w:t>
      </w:r>
      <w:r w:rsidR="00E544A6" w:rsidRPr="005C161E">
        <w:rPr>
          <w:rFonts w:asciiTheme="majorHAnsi" w:hAnsiTheme="majorHAnsi" w:cstheme="majorHAnsi"/>
        </w:rPr>
        <w:t xml:space="preserve">concerns the reasonableness </w:t>
      </w:r>
      <w:r w:rsidR="003012F8" w:rsidRPr="005C161E">
        <w:rPr>
          <w:rFonts w:asciiTheme="majorHAnsi" w:hAnsiTheme="majorHAnsi" w:cstheme="majorHAnsi"/>
        </w:rPr>
        <w:t xml:space="preserve">of imposing liability </w:t>
      </w:r>
      <w:r w:rsidR="0028561C" w:rsidRPr="005C161E">
        <w:rPr>
          <w:rFonts w:asciiTheme="majorHAnsi" w:hAnsiTheme="majorHAnsi" w:cstheme="majorHAnsi"/>
        </w:rPr>
        <w:t xml:space="preserve">on a defendant for the harm </w:t>
      </w:r>
      <w:r w:rsidR="00B1060B" w:rsidRPr="005C161E">
        <w:rPr>
          <w:rFonts w:asciiTheme="majorHAnsi" w:hAnsiTheme="majorHAnsi" w:cstheme="majorHAnsi"/>
        </w:rPr>
        <w:t xml:space="preserve">resulting from that conduct and has nothing to do with the </w:t>
      </w:r>
      <w:r w:rsidR="00E512F3" w:rsidRPr="005C161E">
        <w:rPr>
          <w:rFonts w:asciiTheme="majorHAnsi" w:hAnsiTheme="majorHAnsi" w:cstheme="majorHAnsi"/>
        </w:rPr>
        <w:t>reasonableness of the defendant</w:t>
      </w:r>
      <w:r w:rsidR="00E774CE" w:rsidRPr="005C161E">
        <w:rPr>
          <w:rFonts w:asciiTheme="majorHAnsi" w:hAnsiTheme="majorHAnsi" w:cstheme="majorHAnsi"/>
        </w:rPr>
        <w:t>’</w:t>
      </w:r>
      <w:r w:rsidR="00E512F3" w:rsidRPr="005C161E">
        <w:rPr>
          <w:rFonts w:asciiTheme="majorHAnsi" w:hAnsiTheme="majorHAnsi" w:cstheme="majorHAnsi"/>
        </w:rPr>
        <w:t>s conduct when considering fault.</w:t>
      </w:r>
    </w:p>
    <w:p w14:paraId="7B03A25B" w14:textId="77777777" w:rsidR="003012F8" w:rsidRPr="005C161E" w:rsidRDefault="003012F8" w:rsidP="005C161E">
      <w:pPr>
        <w:pStyle w:val="ListParagraph"/>
        <w:spacing w:line="360" w:lineRule="auto"/>
        <w:jc w:val="both"/>
        <w:rPr>
          <w:rFonts w:asciiTheme="majorHAnsi" w:hAnsiTheme="majorHAnsi" w:cstheme="majorHAnsi"/>
        </w:rPr>
      </w:pPr>
    </w:p>
    <w:p w14:paraId="55787C5C" w14:textId="77777777" w:rsidR="009E2CF9" w:rsidRPr="005C161E" w:rsidRDefault="009E2CF9" w:rsidP="005C161E">
      <w:pPr>
        <w:pStyle w:val="ListParagraph"/>
        <w:spacing w:line="360" w:lineRule="auto"/>
        <w:jc w:val="both"/>
        <w:rPr>
          <w:rFonts w:asciiTheme="majorHAnsi" w:hAnsiTheme="majorHAnsi" w:cstheme="majorHAnsi"/>
          <w:b/>
        </w:rPr>
      </w:pPr>
      <w:r w:rsidRPr="005C161E">
        <w:rPr>
          <w:rFonts w:asciiTheme="majorHAnsi" w:hAnsiTheme="majorHAnsi" w:cstheme="majorHAnsi"/>
          <w:b/>
        </w:rPr>
        <w:t>The test for</w:t>
      </w:r>
      <w:r w:rsidR="00FB1069" w:rsidRPr="005C161E">
        <w:rPr>
          <w:rFonts w:asciiTheme="majorHAnsi" w:hAnsiTheme="majorHAnsi" w:cstheme="majorHAnsi"/>
          <w:b/>
        </w:rPr>
        <w:t xml:space="preserve"> establishing </w:t>
      </w:r>
      <w:r w:rsidRPr="005C161E">
        <w:rPr>
          <w:rFonts w:asciiTheme="majorHAnsi" w:hAnsiTheme="majorHAnsi" w:cstheme="majorHAnsi"/>
          <w:b/>
        </w:rPr>
        <w:t>negligence</w:t>
      </w:r>
    </w:p>
    <w:p w14:paraId="0A47C6A4" w14:textId="32BF7B35" w:rsidR="009E2CF9"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[6]</w:t>
      </w:r>
      <w:r w:rsidRPr="005C161E">
        <w:rPr>
          <w:rFonts w:asciiTheme="majorHAnsi" w:hAnsiTheme="majorHAnsi" w:cstheme="majorHAnsi"/>
        </w:rPr>
        <w:tab/>
      </w:r>
      <w:r w:rsidR="002B17B7" w:rsidRPr="003A4FF9">
        <w:rPr>
          <w:rFonts w:asciiTheme="majorHAnsi" w:hAnsiTheme="majorHAnsi" w:cstheme="majorHAnsi"/>
        </w:rPr>
        <w:t>The locus clas</w:t>
      </w:r>
      <w:r w:rsidR="00D3503A" w:rsidRPr="003A4FF9">
        <w:rPr>
          <w:rFonts w:asciiTheme="majorHAnsi" w:hAnsiTheme="majorHAnsi" w:cstheme="majorHAnsi"/>
        </w:rPr>
        <w:t>s</w:t>
      </w:r>
      <w:r w:rsidR="002B17B7" w:rsidRPr="003A4FF9">
        <w:rPr>
          <w:rFonts w:asciiTheme="majorHAnsi" w:hAnsiTheme="majorHAnsi" w:cstheme="majorHAnsi"/>
        </w:rPr>
        <w:t>icus</w:t>
      </w:r>
      <w:r w:rsidR="00D3503A" w:rsidRPr="003A4FF9">
        <w:rPr>
          <w:rFonts w:asciiTheme="majorHAnsi" w:hAnsiTheme="majorHAnsi" w:cstheme="majorHAnsi"/>
        </w:rPr>
        <w:t xml:space="preserve"> remains </w:t>
      </w:r>
      <w:r w:rsidR="00FB1069" w:rsidRPr="003A4FF9">
        <w:rPr>
          <w:rFonts w:asciiTheme="majorHAnsi" w:hAnsiTheme="majorHAnsi" w:cstheme="majorHAnsi"/>
          <w:i/>
        </w:rPr>
        <w:t>Kruger v Coetzee</w:t>
      </w:r>
      <w:r w:rsidR="00CB2A56" w:rsidRPr="003A4FF9">
        <w:rPr>
          <w:rFonts w:asciiTheme="majorHAnsi" w:hAnsiTheme="majorHAnsi" w:cstheme="majorHAnsi"/>
          <w:i/>
        </w:rPr>
        <w:t>,</w:t>
      </w:r>
      <w:r w:rsidR="007D6644" w:rsidRPr="005C161E">
        <w:rPr>
          <w:rStyle w:val="FootnoteReference"/>
          <w:rFonts w:asciiTheme="majorHAnsi" w:hAnsiTheme="majorHAnsi" w:cstheme="majorHAnsi"/>
          <w:i/>
        </w:rPr>
        <w:footnoteReference w:id="2"/>
      </w:r>
      <w:r w:rsidR="00CB2A56" w:rsidRPr="003A4FF9">
        <w:rPr>
          <w:rFonts w:asciiTheme="majorHAnsi" w:hAnsiTheme="majorHAnsi" w:cstheme="majorHAnsi"/>
        </w:rPr>
        <w:t xml:space="preserve"> the court describing the test as follows:</w:t>
      </w:r>
    </w:p>
    <w:p w14:paraId="7E9C46A9" w14:textId="77777777" w:rsidR="00BB21AF" w:rsidRPr="005C161E" w:rsidRDefault="00CB2A56" w:rsidP="005C161E">
      <w:pPr>
        <w:spacing w:line="360" w:lineRule="auto"/>
        <w:jc w:val="both"/>
        <w:rPr>
          <w:rFonts w:asciiTheme="majorHAnsi" w:hAnsiTheme="majorHAnsi" w:cstheme="majorHAnsi"/>
          <w:sz w:val="20"/>
          <w:szCs w:val="20"/>
          <w:lang w:val="en-GB" w:eastAsia="en-GB"/>
        </w:rPr>
      </w:pPr>
      <w:r w:rsidRPr="005C161E">
        <w:rPr>
          <w:rFonts w:asciiTheme="majorHAnsi" w:hAnsiTheme="majorHAnsi" w:cstheme="majorHAnsi"/>
          <w:sz w:val="20"/>
          <w:szCs w:val="20"/>
        </w:rPr>
        <w:t>‘</w:t>
      </w:r>
      <w:r w:rsidR="00BB21AF" w:rsidRPr="005C161E">
        <w:rPr>
          <w:rFonts w:asciiTheme="majorHAnsi" w:hAnsiTheme="majorHAnsi" w:cstheme="majorHAnsi"/>
          <w:sz w:val="20"/>
          <w:szCs w:val="20"/>
          <w:lang w:val="en-GB" w:eastAsia="en-GB"/>
        </w:rPr>
        <w:t>For the purposes of liability </w:t>
      </w:r>
      <w:r w:rsidR="00BB21AF" w:rsidRPr="005C161E">
        <w:rPr>
          <w:rFonts w:asciiTheme="majorHAnsi" w:hAnsiTheme="majorHAnsi" w:cstheme="majorHAnsi"/>
          <w:i/>
          <w:iCs/>
          <w:sz w:val="20"/>
          <w:szCs w:val="20"/>
          <w:lang w:val="en-GB" w:eastAsia="en-GB"/>
        </w:rPr>
        <w:t>culpa</w:t>
      </w:r>
      <w:r w:rsidR="00BB21AF" w:rsidRPr="005C161E">
        <w:rPr>
          <w:rFonts w:asciiTheme="majorHAnsi" w:hAnsiTheme="majorHAnsi" w:cstheme="majorHAnsi"/>
          <w:sz w:val="20"/>
          <w:szCs w:val="20"/>
          <w:lang w:val="en-GB" w:eastAsia="en-GB"/>
        </w:rPr>
        <w:t> arises if -</w:t>
      </w:r>
    </w:p>
    <w:p w14:paraId="4C4FAD5E" w14:textId="77777777" w:rsidR="00BB21AF" w:rsidRPr="005C161E" w:rsidRDefault="00BB21AF" w:rsidP="005C161E">
      <w:pPr>
        <w:spacing w:line="360" w:lineRule="auto"/>
        <w:jc w:val="both"/>
        <w:rPr>
          <w:rFonts w:asciiTheme="majorHAnsi" w:hAnsiTheme="majorHAnsi" w:cstheme="majorHAnsi"/>
          <w:sz w:val="20"/>
          <w:szCs w:val="20"/>
          <w:lang w:val="en-GB" w:eastAsia="en-GB"/>
        </w:rPr>
      </w:pPr>
      <w:r w:rsidRPr="005C161E">
        <w:rPr>
          <w:rFonts w:asciiTheme="majorHAnsi" w:hAnsiTheme="majorHAnsi" w:cstheme="majorHAnsi"/>
          <w:iCs/>
          <w:sz w:val="20"/>
          <w:szCs w:val="20"/>
          <w:lang w:val="en-GB" w:eastAsia="en-GB"/>
        </w:rPr>
        <w:t>(a)</w:t>
      </w:r>
      <w:r w:rsidRPr="005C161E">
        <w:rPr>
          <w:rFonts w:asciiTheme="majorHAnsi" w:hAnsiTheme="majorHAnsi" w:cstheme="majorHAnsi"/>
          <w:sz w:val="20"/>
          <w:szCs w:val="20"/>
          <w:lang w:val="en-GB" w:eastAsia="en-GB"/>
        </w:rPr>
        <w:t>   a </w:t>
      </w:r>
      <w:proofErr w:type="spellStart"/>
      <w:r w:rsidRPr="005C161E">
        <w:rPr>
          <w:rFonts w:asciiTheme="majorHAnsi" w:hAnsiTheme="majorHAnsi" w:cstheme="majorHAnsi"/>
          <w:i/>
          <w:iCs/>
          <w:sz w:val="20"/>
          <w:szCs w:val="20"/>
          <w:lang w:val="en-GB" w:eastAsia="en-GB"/>
        </w:rPr>
        <w:t>diligens</w:t>
      </w:r>
      <w:proofErr w:type="spellEnd"/>
      <w:r w:rsidRPr="005C161E">
        <w:rPr>
          <w:rFonts w:asciiTheme="majorHAnsi" w:hAnsiTheme="majorHAnsi" w:cstheme="majorHAnsi"/>
          <w:i/>
          <w:iCs/>
          <w:sz w:val="20"/>
          <w:szCs w:val="20"/>
          <w:lang w:val="en-GB" w:eastAsia="en-GB"/>
        </w:rPr>
        <w:t xml:space="preserve"> paterfamilias</w:t>
      </w:r>
      <w:r w:rsidRPr="005C161E">
        <w:rPr>
          <w:rFonts w:asciiTheme="majorHAnsi" w:hAnsiTheme="majorHAnsi" w:cstheme="majorHAnsi"/>
          <w:sz w:val="20"/>
          <w:szCs w:val="20"/>
          <w:lang w:val="en-GB" w:eastAsia="en-GB"/>
        </w:rPr>
        <w:t> in the position of the defendant -</w:t>
      </w:r>
    </w:p>
    <w:p w14:paraId="27BABF40" w14:textId="77777777" w:rsidR="00BB21AF" w:rsidRPr="005C161E" w:rsidRDefault="00BB21AF" w:rsidP="005C161E">
      <w:pPr>
        <w:spacing w:line="360" w:lineRule="auto"/>
        <w:jc w:val="both"/>
        <w:rPr>
          <w:rFonts w:asciiTheme="majorHAnsi" w:hAnsiTheme="majorHAnsi" w:cstheme="majorHAnsi"/>
          <w:sz w:val="20"/>
          <w:szCs w:val="20"/>
          <w:lang w:val="en-GB" w:eastAsia="en-GB"/>
        </w:rPr>
      </w:pPr>
      <w:r w:rsidRPr="005C161E">
        <w:rPr>
          <w:rFonts w:asciiTheme="majorHAnsi" w:hAnsiTheme="majorHAnsi" w:cstheme="majorHAnsi"/>
          <w:sz w:val="20"/>
          <w:szCs w:val="20"/>
          <w:lang w:val="en-GB" w:eastAsia="en-GB"/>
        </w:rPr>
        <w:t>(</w:t>
      </w:r>
      <w:proofErr w:type="spellStart"/>
      <w:r w:rsidRPr="005C161E">
        <w:rPr>
          <w:rFonts w:asciiTheme="majorHAnsi" w:hAnsiTheme="majorHAnsi" w:cstheme="majorHAnsi"/>
          <w:sz w:val="20"/>
          <w:szCs w:val="20"/>
          <w:lang w:val="en-GB" w:eastAsia="en-GB"/>
        </w:rPr>
        <w:t>i</w:t>
      </w:r>
      <w:proofErr w:type="spellEnd"/>
      <w:r w:rsidRPr="005C161E">
        <w:rPr>
          <w:rFonts w:asciiTheme="majorHAnsi" w:hAnsiTheme="majorHAnsi" w:cstheme="majorHAnsi"/>
          <w:sz w:val="20"/>
          <w:szCs w:val="20"/>
          <w:lang w:val="en-GB" w:eastAsia="en-GB"/>
        </w:rPr>
        <w:t>)   would foresee the reasonable possibility of his conduct injuring another in his person or property and causing him patrimonial loss; and</w:t>
      </w:r>
    </w:p>
    <w:p w14:paraId="4247B465" w14:textId="77777777" w:rsidR="00BB21AF" w:rsidRPr="005C161E" w:rsidRDefault="00BB21AF" w:rsidP="005C161E">
      <w:pPr>
        <w:spacing w:line="360" w:lineRule="auto"/>
        <w:jc w:val="both"/>
        <w:rPr>
          <w:rFonts w:asciiTheme="majorHAnsi" w:hAnsiTheme="majorHAnsi" w:cstheme="majorHAnsi"/>
          <w:sz w:val="20"/>
          <w:szCs w:val="20"/>
          <w:lang w:val="en-GB" w:eastAsia="en-GB"/>
        </w:rPr>
      </w:pPr>
      <w:r w:rsidRPr="005C161E">
        <w:rPr>
          <w:rFonts w:asciiTheme="majorHAnsi" w:hAnsiTheme="majorHAnsi" w:cstheme="majorHAnsi"/>
          <w:sz w:val="20"/>
          <w:szCs w:val="20"/>
          <w:lang w:val="en-GB" w:eastAsia="en-GB"/>
        </w:rPr>
        <w:t>(ii)   would take reasonable steps to guard against such occurrence; and</w:t>
      </w:r>
    </w:p>
    <w:p w14:paraId="53E05EBB" w14:textId="77777777" w:rsidR="00BB21AF" w:rsidRPr="005C161E" w:rsidRDefault="00BB21AF" w:rsidP="005C161E">
      <w:pPr>
        <w:spacing w:line="360" w:lineRule="auto"/>
        <w:jc w:val="both"/>
        <w:rPr>
          <w:rFonts w:asciiTheme="majorHAnsi" w:hAnsiTheme="majorHAnsi" w:cstheme="majorHAnsi"/>
          <w:sz w:val="20"/>
          <w:szCs w:val="20"/>
          <w:lang w:val="en-GB" w:eastAsia="en-GB"/>
        </w:rPr>
      </w:pPr>
      <w:r w:rsidRPr="005C161E">
        <w:rPr>
          <w:rFonts w:asciiTheme="majorHAnsi" w:hAnsiTheme="majorHAnsi" w:cstheme="majorHAnsi"/>
          <w:i/>
          <w:iCs/>
          <w:sz w:val="20"/>
          <w:szCs w:val="20"/>
          <w:lang w:val="en-GB" w:eastAsia="en-GB"/>
        </w:rPr>
        <w:t>(b)</w:t>
      </w:r>
      <w:r w:rsidRPr="005C161E">
        <w:rPr>
          <w:rFonts w:asciiTheme="majorHAnsi" w:hAnsiTheme="majorHAnsi" w:cstheme="majorHAnsi"/>
          <w:sz w:val="20"/>
          <w:szCs w:val="20"/>
          <w:lang w:val="en-GB" w:eastAsia="en-GB"/>
        </w:rPr>
        <w:t>   the defendant failed to take such steps.</w:t>
      </w:r>
      <w:r w:rsidR="006F7627" w:rsidRPr="005C161E">
        <w:rPr>
          <w:rFonts w:asciiTheme="majorHAnsi" w:hAnsiTheme="majorHAnsi" w:cstheme="majorHAnsi"/>
          <w:sz w:val="20"/>
          <w:szCs w:val="20"/>
          <w:lang w:val="en-GB" w:eastAsia="en-GB"/>
        </w:rPr>
        <w:t>’</w:t>
      </w:r>
    </w:p>
    <w:p w14:paraId="619F162E" w14:textId="77777777" w:rsidR="009E2CF9" w:rsidRPr="005C161E" w:rsidRDefault="009E2CF9" w:rsidP="005C161E">
      <w:pPr>
        <w:spacing w:line="360" w:lineRule="auto"/>
        <w:jc w:val="both"/>
        <w:rPr>
          <w:rFonts w:asciiTheme="majorHAnsi" w:hAnsiTheme="majorHAnsi" w:cstheme="majorHAnsi"/>
          <w:b/>
        </w:rPr>
      </w:pPr>
    </w:p>
    <w:p w14:paraId="2F22D248" w14:textId="78DCB89E" w:rsidR="00FC37C6"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[7]</w:t>
      </w:r>
      <w:r w:rsidRPr="005C161E">
        <w:rPr>
          <w:rFonts w:asciiTheme="majorHAnsi" w:hAnsiTheme="majorHAnsi" w:cstheme="majorHAnsi"/>
        </w:rPr>
        <w:tab/>
      </w:r>
      <w:r w:rsidR="00FC37C6" w:rsidRPr="003A4FF9">
        <w:rPr>
          <w:rFonts w:asciiTheme="majorHAnsi" w:hAnsiTheme="majorHAnsi" w:cstheme="majorHAnsi"/>
        </w:rPr>
        <w:t xml:space="preserve">In </w:t>
      </w:r>
      <w:r w:rsidR="00FC37C6" w:rsidRPr="003A4FF9">
        <w:rPr>
          <w:rFonts w:asciiTheme="majorHAnsi" w:hAnsiTheme="majorHAnsi" w:cstheme="majorHAnsi"/>
          <w:i/>
        </w:rPr>
        <w:t xml:space="preserve">MV Stella </w:t>
      </w:r>
      <w:proofErr w:type="spellStart"/>
      <w:r w:rsidR="00FC37C6" w:rsidRPr="003A4FF9">
        <w:rPr>
          <w:rFonts w:asciiTheme="majorHAnsi" w:hAnsiTheme="majorHAnsi" w:cstheme="majorHAnsi"/>
          <w:i/>
        </w:rPr>
        <w:t>Tingas</w:t>
      </w:r>
      <w:proofErr w:type="spellEnd"/>
      <w:r w:rsidR="001475C4" w:rsidRPr="003A4FF9">
        <w:rPr>
          <w:rFonts w:asciiTheme="majorHAnsi" w:hAnsiTheme="majorHAnsi" w:cstheme="majorHAnsi"/>
          <w:i/>
        </w:rPr>
        <w:t>:</w:t>
      </w:r>
      <w:r w:rsidR="00FC37C6" w:rsidRPr="003A4FF9">
        <w:rPr>
          <w:rFonts w:asciiTheme="majorHAnsi" w:hAnsiTheme="majorHAnsi" w:cstheme="majorHAnsi"/>
          <w:i/>
        </w:rPr>
        <w:t xml:space="preserve"> Transnet Ltd t/a Portnet v Owners of the MV Stella </w:t>
      </w:r>
      <w:proofErr w:type="spellStart"/>
      <w:r w:rsidR="00FC37C6" w:rsidRPr="003A4FF9">
        <w:rPr>
          <w:rFonts w:asciiTheme="majorHAnsi" w:hAnsiTheme="majorHAnsi" w:cstheme="majorHAnsi"/>
          <w:i/>
        </w:rPr>
        <w:t>Tingas</w:t>
      </w:r>
      <w:proofErr w:type="spellEnd"/>
      <w:r w:rsidR="00FC37C6" w:rsidRPr="005C161E">
        <w:rPr>
          <w:rStyle w:val="FootnoteReference"/>
          <w:rFonts w:asciiTheme="majorHAnsi" w:hAnsiTheme="majorHAnsi" w:cstheme="majorHAnsi"/>
          <w:i/>
        </w:rPr>
        <w:footnoteReference w:id="3"/>
      </w:r>
      <w:r w:rsidR="00FC37C6" w:rsidRPr="003A4FF9">
        <w:rPr>
          <w:rFonts w:asciiTheme="majorHAnsi" w:hAnsiTheme="majorHAnsi" w:cstheme="majorHAnsi"/>
        </w:rPr>
        <w:t xml:space="preserve"> the court </w:t>
      </w:r>
      <w:r w:rsidR="00461BE2" w:rsidRPr="003A4FF9">
        <w:rPr>
          <w:rFonts w:asciiTheme="majorHAnsi" w:hAnsiTheme="majorHAnsi" w:cstheme="majorHAnsi"/>
        </w:rPr>
        <w:t>referred to the concept of gross negligence</w:t>
      </w:r>
      <w:r w:rsidR="00FC37C6" w:rsidRPr="003A4FF9">
        <w:rPr>
          <w:rFonts w:asciiTheme="majorHAnsi" w:hAnsiTheme="majorHAnsi" w:cstheme="majorHAnsi"/>
        </w:rPr>
        <w:t xml:space="preserve"> as follows:</w:t>
      </w:r>
      <w:r w:rsidR="00FC37C6" w:rsidRPr="005C161E">
        <w:rPr>
          <w:rStyle w:val="FootnoteReference"/>
          <w:rFonts w:asciiTheme="majorHAnsi" w:hAnsiTheme="majorHAnsi" w:cstheme="majorHAnsi"/>
        </w:rPr>
        <w:footnoteReference w:id="4"/>
      </w:r>
      <w:r w:rsidR="00FC37C6" w:rsidRPr="003A4FF9">
        <w:rPr>
          <w:rFonts w:asciiTheme="majorHAnsi" w:hAnsiTheme="majorHAnsi" w:cstheme="majorHAnsi"/>
        </w:rPr>
        <w:t xml:space="preserve"> </w:t>
      </w:r>
    </w:p>
    <w:p w14:paraId="65E9D963" w14:textId="77777777" w:rsidR="00FC37C6" w:rsidRDefault="00FC37C6" w:rsidP="005C161E">
      <w:pPr>
        <w:pStyle w:val="ListParagraph"/>
        <w:spacing w:line="360" w:lineRule="auto"/>
        <w:jc w:val="both"/>
        <w:rPr>
          <w:rFonts w:asciiTheme="majorHAnsi" w:hAnsiTheme="majorHAnsi" w:cstheme="majorHAnsi"/>
        </w:rPr>
      </w:pPr>
      <w:r w:rsidRPr="00485E52">
        <w:rPr>
          <w:rFonts w:asciiTheme="majorHAnsi" w:hAnsiTheme="majorHAnsi" w:cstheme="majorHAnsi"/>
          <w:sz w:val="20"/>
          <w:szCs w:val="20"/>
        </w:rPr>
        <w:lastRenderedPageBreak/>
        <w:t xml:space="preserve">‘I shall assume, without deciding, that the exemption would not apply if the pilot were found to have been grossly negligent. </w:t>
      </w:r>
      <w:r w:rsidRPr="00485E52">
        <w:rPr>
          <w:rFonts w:asciiTheme="majorHAnsi" w:hAnsiTheme="majorHAnsi" w:cstheme="majorHAnsi"/>
          <w:sz w:val="20"/>
          <w:szCs w:val="20"/>
          <w:u w:val="single"/>
        </w:rPr>
        <w:t>Gross negligence is not an exact concept capable of precise definition</w:t>
      </w:r>
      <w:r w:rsidRPr="00485E52">
        <w:rPr>
          <w:rFonts w:asciiTheme="majorHAnsi" w:hAnsiTheme="majorHAnsi" w:cstheme="majorHAnsi"/>
          <w:sz w:val="20"/>
          <w:szCs w:val="20"/>
        </w:rPr>
        <w:t>. Despite </w:t>
      </w:r>
      <w:r w:rsidRPr="00485E52">
        <w:rPr>
          <w:rFonts w:asciiTheme="majorHAnsi" w:hAnsiTheme="majorHAnsi" w:cstheme="majorHAnsi"/>
          <w:i/>
          <w:iCs/>
          <w:sz w:val="20"/>
          <w:szCs w:val="20"/>
        </w:rPr>
        <w:t>dicta</w:t>
      </w:r>
      <w:r w:rsidRPr="00485E52">
        <w:rPr>
          <w:rFonts w:asciiTheme="majorHAnsi" w:hAnsiTheme="majorHAnsi" w:cstheme="majorHAnsi"/>
          <w:sz w:val="20"/>
          <w:szCs w:val="20"/>
        </w:rPr>
        <w:t> which sometimes seem to suggest the contrary, what is now clear, following the decision of this Court in </w:t>
      </w:r>
      <w:r w:rsidRPr="00485E52">
        <w:rPr>
          <w:rFonts w:asciiTheme="majorHAnsi" w:hAnsiTheme="majorHAnsi" w:cstheme="majorHAnsi"/>
          <w:i/>
          <w:iCs/>
          <w:sz w:val="20"/>
          <w:szCs w:val="20"/>
        </w:rPr>
        <w:t>S v Van Zyl</w:t>
      </w:r>
      <w:r w:rsidRPr="00485E52">
        <w:rPr>
          <w:rFonts w:asciiTheme="majorHAnsi" w:hAnsiTheme="majorHAnsi" w:cstheme="majorHAnsi"/>
          <w:sz w:val="20"/>
          <w:szCs w:val="20"/>
        </w:rPr>
        <w:t> </w:t>
      </w:r>
      <w:hyperlink r:id="rId9" w:tgtFrame="main" w:history="1">
        <w:r w:rsidRPr="00485E52">
          <w:rPr>
            <w:rStyle w:val="Hyperlink"/>
            <w:rFonts w:asciiTheme="majorHAnsi" w:hAnsiTheme="majorHAnsi" w:cstheme="majorHAnsi"/>
            <w:color w:val="auto"/>
            <w:sz w:val="20"/>
            <w:szCs w:val="20"/>
            <w:u w:val="none"/>
          </w:rPr>
          <w:t>1969 (1) SA 553 (A)</w:t>
        </w:r>
      </w:hyperlink>
      <w:r w:rsidRPr="00485E52">
        <w:rPr>
          <w:rFonts w:asciiTheme="majorHAnsi" w:hAnsiTheme="majorHAnsi" w:cstheme="majorHAnsi"/>
          <w:sz w:val="20"/>
          <w:szCs w:val="20"/>
        </w:rPr>
        <w:t xml:space="preserve">, is that </w:t>
      </w:r>
      <w:r w:rsidRPr="00485E52">
        <w:rPr>
          <w:rFonts w:asciiTheme="majorHAnsi" w:hAnsiTheme="majorHAnsi" w:cstheme="majorHAnsi"/>
          <w:sz w:val="20"/>
          <w:szCs w:val="20"/>
          <w:u w:val="single"/>
        </w:rPr>
        <w:t>it is not consciousness of risk-taking that distinguishes gross negl</w:t>
      </w:r>
      <w:r w:rsidR="00AD0176" w:rsidRPr="00485E52">
        <w:rPr>
          <w:rFonts w:asciiTheme="majorHAnsi" w:hAnsiTheme="majorHAnsi" w:cstheme="majorHAnsi"/>
          <w:sz w:val="20"/>
          <w:szCs w:val="20"/>
          <w:u w:val="single"/>
        </w:rPr>
        <w:t>igence from ordinary negligence</w:t>
      </w:r>
      <w:r w:rsidR="00AD0176" w:rsidRPr="00485E52">
        <w:rPr>
          <w:rFonts w:asciiTheme="majorHAnsi" w:hAnsiTheme="majorHAnsi" w:cstheme="majorHAnsi"/>
          <w:sz w:val="20"/>
          <w:szCs w:val="20"/>
        </w:rPr>
        <w:t xml:space="preserve">. … </w:t>
      </w:r>
      <w:r w:rsidR="00AD0176" w:rsidRPr="00485E52">
        <w:rPr>
          <w:rFonts w:asciiTheme="majorHAnsi" w:hAnsiTheme="majorHAnsi" w:cstheme="majorHAnsi"/>
          <w:color w:val="000000"/>
          <w:sz w:val="20"/>
          <w:szCs w:val="20"/>
        </w:rPr>
        <w:t> If a person foresees the risk of harm but acts, or fails to act, in the unreasonable belief that he or she will be able to avoid the danger or that for some other reason it will not eventuate, the conduct in question may amount to ordinary negligence or it may amount to gross negligence (or recklessness in the wide sense) depending on the circumstances.</w:t>
      </w:r>
      <w:r w:rsidR="00200464" w:rsidRPr="00485E52">
        <w:rPr>
          <w:rFonts w:asciiTheme="majorHAnsi" w:hAnsiTheme="majorHAnsi" w:cstheme="majorHAnsi"/>
          <w:color w:val="000000"/>
          <w:sz w:val="20"/>
          <w:szCs w:val="20"/>
        </w:rPr>
        <w:t xml:space="preserve"> …</w:t>
      </w:r>
      <w:r w:rsidR="00AD0176" w:rsidRPr="00485E52">
        <w:rPr>
          <w:rFonts w:asciiTheme="majorHAnsi" w:hAnsiTheme="majorHAnsi" w:cstheme="majorHAnsi"/>
          <w:color w:val="000000"/>
          <w:sz w:val="20"/>
          <w:szCs w:val="20"/>
        </w:rPr>
        <w:t xml:space="preserve"> On the other hand, even in the absence of conscious risk-taking, conduct may depart so radically from the standard of the reasonable person as to amount to gross negligence</w:t>
      </w:r>
      <w:r w:rsidR="00200464" w:rsidRPr="00485E52">
        <w:rPr>
          <w:rFonts w:asciiTheme="majorHAnsi" w:hAnsiTheme="majorHAnsi" w:cstheme="majorHAnsi"/>
          <w:color w:val="000000"/>
          <w:sz w:val="20"/>
          <w:szCs w:val="20"/>
        </w:rPr>
        <w:t>.</w:t>
      </w:r>
      <w:r w:rsidR="00AD0176" w:rsidRPr="00485E52">
        <w:rPr>
          <w:rFonts w:asciiTheme="majorHAnsi" w:hAnsiTheme="majorHAnsi" w:cstheme="majorHAnsi"/>
          <w:color w:val="000000"/>
          <w:sz w:val="20"/>
          <w:szCs w:val="20"/>
        </w:rPr>
        <w:t xml:space="preserve"> It follows that whether there is conscious risk-taking or not, it is necessary in each case to determine whether the deviation from what is reasonable is so marked as to justify it being condemned as gross.</w:t>
      </w:r>
      <w:r w:rsidR="00485E52" w:rsidRPr="00485E52">
        <w:rPr>
          <w:rFonts w:asciiTheme="majorHAnsi" w:hAnsiTheme="majorHAnsi" w:cstheme="majorHAnsi"/>
          <w:color w:val="000000"/>
          <w:sz w:val="20"/>
          <w:szCs w:val="20"/>
        </w:rPr>
        <w:t xml:space="preserve"> … It follows, I think, that </w:t>
      </w:r>
      <w:r w:rsidR="00485E52" w:rsidRPr="008B018D">
        <w:rPr>
          <w:rFonts w:asciiTheme="majorHAnsi" w:hAnsiTheme="majorHAnsi" w:cstheme="majorHAnsi"/>
          <w:color w:val="000000"/>
          <w:sz w:val="20"/>
          <w:szCs w:val="20"/>
          <w:u w:val="single"/>
        </w:rPr>
        <w:t>to qualify as gross negligence the conduct in question</w:t>
      </w:r>
      <w:r w:rsidR="00485E52" w:rsidRPr="00485E52">
        <w:rPr>
          <w:rFonts w:asciiTheme="majorHAnsi" w:hAnsiTheme="majorHAnsi" w:cstheme="majorHAnsi"/>
          <w:color w:val="000000"/>
          <w:sz w:val="20"/>
          <w:szCs w:val="20"/>
        </w:rPr>
        <w:t>, although falling short of </w:t>
      </w:r>
      <w:proofErr w:type="spellStart"/>
      <w:r w:rsidR="00485E52" w:rsidRPr="00485E52">
        <w:rPr>
          <w:rFonts w:asciiTheme="majorHAnsi" w:hAnsiTheme="majorHAnsi" w:cstheme="majorHAnsi"/>
          <w:i/>
          <w:iCs/>
          <w:color w:val="000000"/>
          <w:sz w:val="20"/>
          <w:szCs w:val="20"/>
        </w:rPr>
        <w:t>dolus</w:t>
      </w:r>
      <w:proofErr w:type="spellEnd"/>
      <w:r w:rsidR="00485E52" w:rsidRPr="00485E52">
        <w:rPr>
          <w:rFonts w:asciiTheme="majorHAnsi" w:hAnsiTheme="majorHAnsi" w:cstheme="majorHAnsi"/>
          <w:i/>
          <w:iCs/>
          <w:color w:val="000000"/>
          <w:sz w:val="20"/>
          <w:szCs w:val="20"/>
        </w:rPr>
        <w:t xml:space="preserve"> </w:t>
      </w:r>
      <w:proofErr w:type="spellStart"/>
      <w:r w:rsidR="00485E52" w:rsidRPr="00485E52">
        <w:rPr>
          <w:rFonts w:asciiTheme="majorHAnsi" w:hAnsiTheme="majorHAnsi" w:cstheme="majorHAnsi"/>
          <w:i/>
          <w:iCs/>
          <w:color w:val="000000"/>
          <w:sz w:val="20"/>
          <w:szCs w:val="20"/>
        </w:rPr>
        <w:t>eventualis</w:t>
      </w:r>
      <w:proofErr w:type="spellEnd"/>
      <w:r w:rsidR="00485E52" w:rsidRPr="00485E52">
        <w:rPr>
          <w:rFonts w:asciiTheme="majorHAnsi" w:hAnsiTheme="majorHAnsi" w:cstheme="majorHAnsi"/>
          <w:color w:val="000000"/>
          <w:sz w:val="20"/>
          <w:szCs w:val="20"/>
        </w:rPr>
        <w:t xml:space="preserve">, </w:t>
      </w:r>
      <w:r w:rsidR="00485E52" w:rsidRPr="008B018D">
        <w:rPr>
          <w:rFonts w:asciiTheme="majorHAnsi" w:hAnsiTheme="majorHAnsi" w:cstheme="majorHAnsi"/>
          <w:color w:val="000000"/>
          <w:sz w:val="20"/>
          <w:szCs w:val="20"/>
          <w:u w:val="single"/>
        </w:rPr>
        <w:t>must involve a departure from the standard of the reasonable person to such an extent that it may properly be categorised as extreme; it must demonstrate, where there is found to be conscious risk-taking, a complete obtuseness of mind or, where there is no conscious risk-taking, a total failure to take care</w:t>
      </w:r>
      <w:r w:rsidR="00485E52" w:rsidRPr="00485E52">
        <w:rPr>
          <w:rFonts w:asciiTheme="majorHAnsi" w:hAnsiTheme="majorHAnsi" w:cstheme="majorHAnsi"/>
          <w:color w:val="000000"/>
          <w:sz w:val="20"/>
          <w:szCs w:val="20"/>
        </w:rPr>
        <w:t>. If something less were required, the distinction between ordinary and gross negligence would lose its validity.</w:t>
      </w:r>
      <w:r w:rsidRPr="005C161E">
        <w:rPr>
          <w:rFonts w:asciiTheme="majorHAnsi" w:hAnsiTheme="majorHAnsi" w:cstheme="majorHAnsi"/>
          <w:sz w:val="20"/>
          <w:szCs w:val="20"/>
        </w:rPr>
        <w:t>’</w:t>
      </w:r>
      <w:r w:rsidR="00764BFF" w:rsidRPr="005C161E">
        <w:rPr>
          <w:rFonts w:asciiTheme="majorHAnsi" w:hAnsiTheme="majorHAnsi" w:cstheme="majorHAnsi"/>
          <w:sz w:val="20"/>
          <w:szCs w:val="20"/>
        </w:rPr>
        <w:t xml:space="preserve"> </w:t>
      </w:r>
      <w:r w:rsidR="00764BFF" w:rsidRPr="005C161E">
        <w:rPr>
          <w:rFonts w:asciiTheme="majorHAnsi" w:hAnsiTheme="majorHAnsi" w:cstheme="majorHAnsi"/>
        </w:rPr>
        <w:t>(Emphasis added</w:t>
      </w:r>
      <w:r w:rsidR="009A07AD">
        <w:rPr>
          <w:rFonts w:asciiTheme="majorHAnsi" w:hAnsiTheme="majorHAnsi" w:cstheme="majorHAnsi"/>
        </w:rPr>
        <w:t>.)</w:t>
      </w:r>
    </w:p>
    <w:p w14:paraId="5745A4DF" w14:textId="77777777" w:rsidR="009A07AD" w:rsidRPr="009A07AD" w:rsidRDefault="009A07AD" w:rsidP="005C161E">
      <w:pPr>
        <w:pStyle w:val="ListParagraph"/>
        <w:spacing w:line="360" w:lineRule="auto"/>
        <w:jc w:val="both"/>
        <w:rPr>
          <w:rFonts w:asciiTheme="majorHAnsi" w:hAnsiTheme="majorHAnsi" w:cstheme="majorHAnsi"/>
          <w:u w:val="single"/>
        </w:rPr>
      </w:pPr>
      <w:r w:rsidRPr="005C161E">
        <w:rPr>
          <w:rFonts w:asciiTheme="majorHAnsi" w:hAnsiTheme="majorHAnsi" w:cstheme="majorHAnsi"/>
        </w:rPr>
        <w:t xml:space="preserve">In </w:t>
      </w:r>
      <w:r w:rsidRPr="005C161E">
        <w:rPr>
          <w:rFonts w:asciiTheme="majorHAnsi" w:hAnsiTheme="majorHAnsi" w:cstheme="majorHAnsi"/>
          <w:i/>
        </w:rPr>
        <w:t>S v Van Zyl</w:t>
      </w:r>
      <w:r w:rsidRPr="005C161E">
        <w:rPr>
          <w:rStyle w:val="FootnoteReference"/>
          <w:rFonts w:asciiTheme="majorHAnsi" w:hAnsiTheme="majorHAnsi" w:cstheme="majorHAnsi"/>
          <w:i/>
        </w:rPr>
        <w:footnoteReference w:id="5"/>
      </w:r>
      <w:r w:rsidRPr="005C161E">
        <w:rPr>
          <w:rFonts w:asciiTheme="majorHAnsi" w:hAnsiTheme="majorHAnsi" w:cstheme="majorHAnsi"/>
        </w:rPr>
        <w:t xml:space="preserve"> referred to in </w:t>
      </w:r>
      <w:r w:rsidRPr="005C161E">
        <w:rPr>
          <w:rFonts w:asciiTheme="majorHAnsi" w:hAnsiTheme="majorHAnsi" w:cstheme="majorHAnsi"/>
          <w:i/>
        </w:rPr>
        <w:t xml:space="preserve">Stella </w:t>
      </w:r>
      <w:proofErr w:type="spellStart"/>
      <w:r w:rsidRPr="005C161E">
        <w:rPr>
          <w:rFonts w:asciiTheme="majorHAnsi" w:hAnsiTheme="majorHAnsi" w:cstheme="majorHAnsi"/>
          <w:i/>
        </w:rPr>
        <w:t>Tingas</w:t>
      </w:r>
      <w:proofErr w:type="spellEnd"/>
      <w:r w:rsidRPr="005C161E">
        <w:rPr>
          <w:rFonts w:asciiTheme="majorHAnsi" w:hAnsiTheme="majorHAnsi" w:cstheme="majorHAnsi"/>
        </w:rPr>
        <w:t xml:space="preserve"> the court stated that the word ‘reckless’ in s 138 (1) of Ordinance 21 of 1966 (C) also embraced gross negligence without advertent negligence, held that gross negligence had been proved and that the conduct of the accused could be characterised as ‘reckless’.</w:t>
      </w:r>
    </w:p>
    <w:p w14:paraId="25D2ED29" w14:textId="77777777" w:rsidR="00FC37C6" w:rsidRPr="005C161E" w:rsidRDefault="00FC37C6" w:rsidP="005C161E">
      <w:pPr>
        <w:spacing w:line="360" w:lineRule="auto"/>
        <w:jc w:val="both"/>
        <w:rPr>
          <w:rFonts w:asciiTheme="majorHAnsi" w:hAnsiTheme="majorHAnsi" w:cstheme="majorHAnsi"/>
          <w:b/>
        </w:rPr>
      </w:pPr>
    </w:p>
    <w:p w14:paraId="27E0F1D2" w14:textId="77777777" w:rsidR="009E2CF9" w:rsidRPr="005C161E" w:rsidRDefault="00764BFF" w:rsidP="005C161E">
      <w:pPr>
        <w:spacing w:line="360" w:lineRule="auto"/>
        <w:jc w:val="both"/>
        <w:rPr>
          <w:rFonts w:asciiTheme="majorHAnsi" w:hAnsiTheme="majorHAnsi" w:cstheme="majorHAnsi"/>
          <w:b/>
        </w:rPr>
      </w:pPr>
      <w:r w:rsidRPr="005C161E">
        <w:rPr>
          <w:rFonts w:asciiTheme="majorHAnsi" w:hAnsiTheme="majorHAnsi" w:cstheme="majorHAnsi"/>
          <w:b/>
        </w:rPr>
        <w:t>A summary of the</w:t>
      </w:r>
      <w:r w:rsidR="009E2CF9" w:rsidRPr="005C161E">
        <w:rPr>
          <w:rFonts w:asciiTheme="majorHAnsi" w:hAnsiTheme="majorHAnsi" w:cstheme="majorHAnsi"/>
          <w:b/>
        </w:rPr>
        <w:t xml:space="preserve"> evidence</w:t>
      </w:r>
      <w:r w:rsidRPr="005C161E">
        <w:rPr>
          <w:rFonts w:asciiTheme="majorHAnsi" w:hAnsiTheme="majorHAnsi" w:cstheme="majorHAnsi"/>
          <w:b/>
        </w:rPr>
        <w:t xml:space="preserve"> </w:t>
      </w:r>
      <w:r w:rsidR="00122B93">
        <w:rPr>
          <w:rFonts w:asciiTheme="majorHAnsi" w:hAnsiTheme="majorHAnsi" w:cstheme="majorHAnsi"/>
          <w:b/>
        </w:rPr>
        <w:t xml:space="preserve">pertaining to the incident </w:t>
      </w:r>
      <w:r w:rsidRPr="005C161E">
        <w:rPr>
          <w:rFonts w:asciiTheme="majorHAnsi" w:hAnsiTheme="majorHAnsi" w:cstheme="majorHAnsi"/>
          <w:b/>
        </w:rPr>
        <w:t>and an evaluation thereof</w:t>
      </w:r>
    </w:p>
    <w:p w14:paraId="7BA9DA67" w14:textId="491D2DD6" w:rsidR="009B717A"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[8]</w:t>
      </w:r>
      <w:r w:rsidRPr="005C161E">
        <w:rPr>
          <w:rFonts w:asciiTheme="majorHAnsi" w:hAnsiTheme="majorHAnsi" w:cstheme="majorHAnsi"/>
        </w:rPr>
        <w:tab/>
      </w:r>
      <w:r w:rsidR="004E4964" w:rsidRPr="003A4FF9">
        <w:rPr>
          <w:rFonts w:asciiTheme="majorHAnsi" w:hAnsiTheme="majorHAnsi" w:cstheme="majorHAnsi"/>
        </w:rPr>
        <w:t xml:space="preserve">A photo album containing 66 photographs was handed in by agreement as exhibit ‘A’. The evidence was led with reference to some of the photographs. </w:t>
      </w:r>
      <w:r w:rsidR="00072F89" w:rsidRPr="003A4FF9">
        <w:rPr>
          <w:rFonts w:asciiTheme="majorHAnsi" w:hAnsiTheme="majorHAnsi" w:cstheme="majorHAnsi"/>
        </w:rPr>
        <w:t xml:space="preserve">The plaintiff’s son-in-law, </w:t>
      </w:r>
      <w:r w:rsidR="00486E6B" w:rsidRPr="003A4FF9">
        <w:rPr>
          <w:rFonts w:asciiTheme="majorHAnsi" w:hAnsiTheme="majorHAnsi" w:cstheme="majorHAnsi"/>
        </w:rPr>
        <w:t>Mr Pieter Labuschag</w:t>
      </w:r>
      <w:r w:rsidR="00F1676A" w:rsidRPr="003A4FF9">
        <w:rPr>
          <w:rFonts w:asciiTheme="majorHAnsi" w:hAnsiTheme="majorHAnsi" w:cstheme="majorHAnsi"/>
        </w:rPr>
        <w:t>n</w:t>
      </w:r>
      <w:r w:rsidR="00072F89" w:rsidRPr="003A4FF9">
        <w:rPr>
          <w:rFonts w:asciiTheme="majorHAnsi" w:hAnsiTheme="majorHAnsi" w:cstheme="majorHAnsi"/>
        </w:rPr>
        <w:t>e</w:t>
      </w:r>
      <w:r w:rsidR="00486E6B" w:rsidRPr="003A4FF9">
        <w:rPr>
          <w:rFonts w:asciiTheme="majorHAnsi" w:hAnsiTheme="majorHAnsi" w:cstheme="majorHAnsi"/>
        </w:rPr>
        <w:t>, her husband</w:t>
      </w:r>
      <w:r w:rsidR="00507A27" w:rsidRPr="003A4FF9">
        <w:rPr>
          <w:rFonts w:asciiTheme="majorHAnsi" w:hAnsiTheme="majorHAnsi" w:cstheme="majorHAnsi"/>
        </w:rPr>
        <w:t>,</w:t>
      </w:r>
      <w:r w:rsidR="00486E6B" w:rsidRPr="003A4FF9">
        <w:rPr>
          <w:rFonts w:asciiTheme="majorHAnsi" w:hAnsiTheme="majorHAnsi" w:cstheme="majorHAnsi"/>
        </w:rPr>
        <w:t xml:space="preserve"> Mr Johannes Kruger and she testified a</w:t>
      </w:r>
      <w:r w:rsidR="00E86178" w:rsidRPr="003A4FF9">
        <w:rPr>
          <w:rFonts w:asciiTheme="majorHAnsi" w:hAnsiTheme="majorHAnsi" w:cstheme="majorHAnsi"/>
        </w:rPr>
        <w:t>bout the events that occurred at the resort on</w:t>
      </w:r>
      <w:r w:rsidR="00486E6B" w:rsidRPr="003A4FF9">
        <w:rPr>
          <w:rFonts w:asciiTheme="majorHAnsi" w:hAnsiTheme="majorHAnsi" w:cstheme="majorHAnsi"/>
        </w:rPr>
        <w:t xml:space="preserve"> Christmas day, 25 December 2012</w:t>
      </w:r>
      <w:r w:rsidR="00DB7A52" w:rsidRPr="003A4FF9">
        <w:rPr>
          <w:rFonts w:asciiTheme="majorHAnsi" w:hAnsiTheme="majorHAnsi" w:cstheme="majorHAnsi"/>
        </w:rPr>
        <w:t xml:space="preserve">. </w:t>
      </w:r>
      <w:r w:rsidR="004E4964" w:rsidRPr="003A4FF9">
        <w:rPr>
          <w:rFonts w:asciiTheme="majorHAnsi" w:hAnsiTheme="majorHAnsi" w:cstheme="majorHAnsi"/>
        </w:rPr>
        <w:t xml:space="preserve">I do not intend to summarise the versions individually, but will point out from time to time where the witnesses differ from one another. </w:t>
      </w:r>
      <w:r w:rsidR="00DB7A52" w:rsidRPr="003A4FF9">
        <w:rPr>
          <w:rFonts w:asciiTheme="majorHAnsi" w:hAnsiTheme="majorHAnsi" w:cstheme="majorHAnsi"/>
        </w:rPr>
        <w:t xml:space="preserve">Mr Kruger also testified about </w:t>
      </w:r>
      <w:r w:rsidR="009254D2" w:rsidRPr="003A4FF9">
        <w:rPr>
          <w:rFonts w:asciiTheme="majorHAnsi" w:hAnsiTheme="majorHAnsi" w:cstheme="majorHAnsi"/>
        </w:rPr>
        <w:t xml:space="preserve">a further visit to </w:t>
      </w:r>
      <w:r w:rsidR="00DC78F5" w:rsidRPr="003A4FF9">
        <w:rPr>
          <w:rFonts w:asciiTheme="majorHAnsi" w:hAnsiTheme="majorHAnsi" w:cstheme="majorHAnsi"/>
        </w:rPr>
        <w:t xml:space="preserve">the resort </w:t>
      </w:r>
      <w:r w:rsidR="009254D2" w:rsidRPr="003A4FF9">
        <w:rPr>
          <w:rFonts w:asciiTheme="majorHAnsi" w:hAnsiTheme="majorHAnsi" w:cstheme="majorHAnsi"/>
        </w:rPr>
        <w:t xml:space="preserve">on 29 December 2012 when photos were taken </w:t>
      </w:r>
      <w:r w:rsidR="00C83A79" w:rsidRPr="003A4FF9">
        <w:rPr>
          <w:rFonts w:asciiTheme="majorHAnsi" w:hAnsiTheme="majorHAnsi" w:cstheme="majorHAnsi"/>
        </w:rPr>
        <w:t xml:space="preserve">to which I </w:t>
      </w:r>
      <w:r w:rsidR="00D506E7" w:rsidRPr="003A4FF9">
        <w:rPr>
          <w:rFonts w:asciiTheme="majorHAnsi" w:hAnsiTheme="majorHAnsi" w:cstheme="majorHAnsi"/>
        </w:rPr>
        <w:t xml:space="preserve">shall revert. The plaintiff also attended the scene with her attorney several years later when further photographs were taken. The </w:t>
      </w:r>
      <w:r w:rsidR="00DB6A3C" w:rsidRPr="003A4FF9">
        <w:rPr>
          <w:rFonts w:asciiTheme="majorHAnsi" w:hAnsiTheme="majorHAnsi" w:cstheme="majorHAnsi"/>
        </w:rPr>
        <w:t xml:space="preserve">witnesses never </w:t>
      </w:r>
      <w:r w:rsidR="00D506E7" w:rsidRPr="003A4FF9">
        <w:rPr>
          <w:rFonts w:asciiTheme="majorHAnsi" w:hAnsiTheme="majorHAnsi" w:cstheme="majorHAnsi"/>
        </w:rPr>
        <w:t>visit</w:t>
      </w:r>
      <w:r w:rsidR="00DB6A3C" w:rsidRPr="003A4FF9">
        <w:rPr>
          <w:rFonts w:asciiTheme="majorHAnsi" w:hAnsiTheme="majorHAnsi" w:cstheme="majorHAnsi"/>
        </w:rPr>
        <w:t>ed</w:t>
      </w:r>
      <w:r w:rsidR="00DC78F5" w:rsidRPr="003A4FF9">
        <w:rPr>
          <w:rFonts w:asciiTheme="majorHAnsi" w:hAnsiTheme="majorHAnsi" w:cstheme="majorHAnsi"/>
        </w:rPr>
        <w:t xml:space="preserve"> the resort</w:t>
      </w:r>
      <w:r w:rsidR="00D506E7" w:rsidRPr="003A4FF9">
        <w:rPr>
          <w:rFonts w:asciiTheme="majorHAnsi" w:hAnsiTheme="majorHAnsi" w:cstheme="majorHAnsi"/>
        </w:rPr>
        <w:t xml:space="preserve"> </w:t>
      </w:r>
      <w:r w:rsidR="00DB6A3C" w:rsidRPr="003A4FF9">
        <w:rPr>
          <w:rFonts w:asciiTheme="majorHAnsi" w:hAnsiTheme="majorHAnsi" w:cstheme="majorHAnsi"/>
        </w:rPr>
        <w:t xml:space="preserve">before </w:t>
      </w:r>
      <w:r w:rsidR="00867D74" w:rsidRPr="003A4FF9">
        <w:rPr>
          <w:rFonts w:asciiTheme="majorHAnsi" w:hAnsiTheme="majorHAnsi" w:cstheme="majorHAnsi"/>
        </w:rPr>
        <w:t>25 De</w:t>
      </w:r>
      <w:r w:rsidR="00161456" w:rsidRPr="003A4FF9">
        <w:rPr>
          <w:rFonts w:asciiTheme="majorHAnsi" w:hAnsiTheme="majorHAnsi" w:cstheme="majorHAnsi"/>
        </w:rPr>
        <w:t>cember 2012.</w:t>
      </w:r>
    </w:p>
    <w:p w14:paraId="3E2CAECF" w14:textId="77777777" w:rsidR="00161456" w:rsidRPr="005C161E" w:rsidRDefault="00161456" w:rsidP="005C161E">
      <w:pPr>
        <w:pStyle w:val="ListParagraph"/>
        <w:spacing w:line="360" w:lineRule="auto"/>
        <w:jc w:val="both"/>
        <w:rPr>
          <w:rFonts w:asciiTheme="majorHAnsi" w:hAnsiTheme="majorHAnsi" w:cstheme="majorHAnsi"/>
        </w:rPr>
      </w:pPr>
    </w:p>
    <w:p w14:paraId="533B0BBF" w14:textId="2DABD017" w:rsidR="00161456"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lastRenderedPageBreak/>
        <w:t>[9]</w:t>
      </w:r>
      <w:r w:rsidRPr="005C161E">
        <w:rPr>
          <w:rFonts w:asciiTheme="majorHAnsi" w:hAnsiTheme="majorHAnsi" w:cstheme="majorHAnsi"/>
        </w:rPr>
        <w:tab/>
      </w:r>
      <w:r w:rsidR="00161456" w:rsidRPr="003A4FF9">
        <w:rPr>
          <w:rFonts w:asciiTheme="majorHAnsi" w:hAnsiTheme="majorHAnsi" w:cstheme="majorHAnsi"/>
        </w:rPr>
        <w:t xml:space="preserve">Mr </w:t>
      </w:r>
      <w:r w:rsidR="006217FB" w:rsidRPr="003A4FF9">
        <w:rPr>
          <w:rFonts w:asciiTheme="majorHAnsi" w:hAnsiTheme="majorHAnsi" w:cstheme="majorHAnsi"/>
        </w:rPr>
        <w:t>Kruger and the plaintiff who reside in Orkney</w:t>
      </w:r>
      <w:r w:rsidR="00920561" w:rsidRPr="003A4FF9">
        <w:rPr>
          <w:rFonts w:asciiTheme="majorHAnsi" w:hAnsiTheme="majorHAnsi" w:cstheme="majorHAnsi"/>
        </w:rPr>
        <w:t xml:space="preserve"> </w:t>
      </w:r>
      <w:r w:rsidR="002908C2" w:rsidRPr="003A4FF9">
        <w:rPr>
          <w:rFonts w:asciiTheme="majorHAnsi" w:hAnsiTheme="majorHAnsi" w:cstheme="majorHAnsi"/>
        </w:rPr>
        <w:t xml:space="preserve">decided </w:t>
      </w:r>
      <w:r w:rsidR="00AB0E21" w:rsidRPr="003A4FF9">
        <w:rPr>
          <w:rFonts w:asciiTheme="majorHAnsi" w:hAnsiTheme="majorHAnsi" w:cstheme="majorHAnsi"/>
        </w:rPr>
        <w:t xml:space="preserve">later the morning of </w:t>
      </w:r>
      <w:r w:rsidR="0090725D" w:rsidRPr="003A4FF9">
        <w:rPr>
          <w:rFonts w:asciiTheme="majorHAnsi" w:hAnsiTheme="majorHAnsi" w:cstheme="majorHAnsi"/>
        </w:rPr>
        <w:t xml:space="preserve">25 December 2012 to join </w:t>
      </w:r>
      <w:r w:rsidR="00CC5B82" w:rsidRPr="003A4FF9">
        <w:rPr>
          <w:rFonts w:asciiTheme="majorHAnsi" w:hAnsiTheme="majorHAnsi" w:cstheme="majorHAnsi"/>
        </w:rPr>
        <w:t xml:space="preserve">their </w:t>
      </w:r>
      <w:r w:rsidR="007B2727" w:rsidRPr="003A4FF9">
        <w:rPr>
          <w:rFonts w:asciiTheme="majorHAnsi" w:hAnsiTheme="majorHAnsi" w:cstheme="majorHAnsi"/>
        </w:rPr>
        <w:t>daughters</w:t>
      </w:r>
      <w:r w:rsidR="008360A8" w:rsidRPr="003A4FF9">
        <w:rPr>
          <w:rFonts w:asciiTheme="majorHAnsi" w:hAnsiTheme="majorHAnsi" w:cstheme="majorHAnsi"/>
        </w:rPr>
        <w:t xml:space="preserve">, </w:t>
      </w:r>
      <w:r w:rsidR="00CC5B82" w:rsidRPr="003A4FF9">
        <w:rPr>
          <w:rFonts w:asciiTheme="majorHAnsi" w:hAnsiTheme="majorHAnsi" w:cstheme="majorHAnsi"/>
        </w:rPr>
        <w:t xml:space="preserve">their </w:t>
      </w:r>
      <w:proofErr w:type="gramStart"/>
      <w:r w:rsidR="00CC5B82" w:rsidRPr="003A4FF9">
        <w:rPr>
          <w:rFonts w:asciiTheme="majorHAnsi" w:hAnsiTheme="majorHAnsi" w:cstheme="majorHAnsi"/>
        </w:rPr>
        <w:t>partners</w:t>
      </w:r>
      <w:proofErr w:type="gramEnd"/>
      <w:r w:rsidR="00CC5B82" w:rsidRPr="003A4FF9">
        <w:rPr>
          <w:rFonts w:asciiTheme="majorHAnsi" w:hAnsiTheme="majorHAnsi" w:cstheme="majorHAnsi"/>
        </w:rPr>
        <w:t xml:space="preserve"> </w:t>
      </w:r>
      <w:r w:rsidR="007B2727" w:rsidRPr="003A4FF9">
        <w:rPr>
          <w:rFonts w:asciiTheme="majorHAnsi" w:hAnsiTheme="majorHAnsi" w:cstheme="majorHAnsi"/>
        </w:rPr>
        <w:t xml:space="preserve">and their grandchildren at </w:t>
      </w:r>
      <w:r w:rsidR="00DC78F5" w:rsidRPr="003A4FF9">
        <w:rPr>
          <w:rFonts w:asciiTheme="majorHAnsi" w:hAnsiTheme="majorHAnsi" w:cstheme="majorHAnsi"/>
        </w:rPr>
        <w:t xml:space="preserve">the resort </w:t>
      </w:r>
      <w:r w:rsidR="00475BF1" w:rsidRPr="003A4FF9">
        <w:rPr>
          <w:rFonts w:asciiTheme="majorHAnsi" w:hAnsiTheme="majorHAnsi" w:cstheme="majorHAnsi"/>
        </w:rPr>
        <w:t xml:space="preserve">on the banks of the </w:t>
      </w:r>
      <w:r w:rsidR="00EE48E1" w:rsidRPr="003A4FF9">
        <w:rPr>
          <w:rFonts w:asciiTheme="majorHAnsi" w:hAnsiTheme="majorHAnsi" w:cstheme="majorHAnsi"/>
        </w:rPr>
        <w:t xml:space="preserve">Vaal River </w:t>
      </w:r>
      <w:r w:rsidR="007375B3" w:rsidRPr="003A4FF9">
        <w:rPr>
          <w:rFonts w:asciiTheme="majorHAnsi" w:hAnsiTheme="majorHAnsi" w:cstheme="majorHAnsi"/>
        </w:rPr>
        <w:t>i</w:t>
      </w:r>
      <w:r w:rsidR="00EE48E1" w:rsidRPr="003A4FF9">
        <w:rPr>
          <w:rFonts w:asciiTheme="majorHAnsi" w:hAnsiTheme="majorHAnsi" w:cstheme="majorHAnsi"/>
        </w:rPr>
        <w:t>n the Free State Province</w:t>
      </w:r>
      <w:r w:rsidR="00D65C1E" w:rsidRPr="003A4FF9">
        <w:rPr>
          <w:rFonts w:asciiTheme="majorHAnsi" w:hAnsiTheme="majorHAnsi" w:cstheme="majorHAnsi"/>
        </w:rPr>
        <w:t>. Althoug</w:t>
      </w:r>
      <w:r w:rsidR="00757354" w:rsidRPr="003A4FF9">
        <w:rPr>
          <w:rFonts w:asciiTheme="majorHAnsi" w:hAnsiTheme="majorHAnsi" w:cstheme="majorHAnsi"/>
        </w:rPr>
        <w:t xml:space="preserve">h </w:t>
      </w:r>
      <w:r w:rsidR="006B7788" w:rsidRPr="003A4FF9">
        <w:rPr>
          <w:rFonts w:asciiTheme="majorHAnsi" w:hAnsiTheme="majorHAnsi" w:cstheme="majorHAnsi"/>
        </w:rPr>
        <w:t xml:space="preserve">Mr and Mrs Kruger </w:t>
      </w:r>
      <w:r w:rsidR="00757354" w:rsidRPr="003A4FF9">
        <w:rPr>
          <w:rFonts w:asciiTheme="majorHAnsi" w:hAnsiTheme="majorHAnsi" w:cstheme="majorHAnsi"/>
        </w:rPr>
        <w:t xml:space="preserve">initially did not want to </w:t>
      </w:r>
      <w:r w:rsidR="006B7788" w:rsidRPr="003A4FF9">
        <w:rPr>
          <w:rFonts w:asciiTheme="majorHAnsi" w:hAnsiTheme="majorHAnsi" w:cstheme="majorHAnsi"/>
        </w:rPr>
        <w:t>join the others because of the weather conditions</w:t>
      </w:r>
      <w:r w:rsidR="00757354" w:rsidRPr="003A4FF9">
        <w:rPr>
          <w:rFonts w:asciiTheme="majorHAnsi" w:hAnsiTheme="majorHAnsi" w:cstheme="majorHAnsi"/>
        </w:rPr>
        <w:t xml:space="preserve">, they were convinced by the children who indicated that they had found a </w:t>
      </w:r>
      <w:r w:rsidR="00D6549E" w:rsidRPr="003A4FF9">
        <w:rPr>
          <w:rFonts w:asciiTheme="majorHAnsi" w:hAnsiTheme="majorHAnsi" w:cstheme="majorHAnsi"/>
        </w:rPr>
        <w:t>picnic</w:t>
      </w:r>
      <w:r w:rsidR="00554E60" w:rsidRPr="003A4FF9">
        <w:rPr>
          <w:rFonts w:asciiTheme="majorHAnsi" w:hAnsiTheme="majorHAnsi" w:cstheme="majorHAnsi"/>
        </w:rPr>
        <w:t xml:space="preserve"> spot. It is not in contention that </w:t>
      </w:r>
      <w:r w:rsidR="00FD3CC5" w:rsidRPr="003A4FF9">
        <w:rPr>
          <w:rFonts w:asciiTheme="majorHAnsi" w:hAnsiTheme="majorHAnsi" w:cstheme="majorHAnsi"/>
        </w:rPr>
        <w:t xml:space="preserve">this picnic spot turned out to be </w:t>
      </w:r>
      <w:r w:rsidR="009D5CA9" w:rsidRPr="003A4FF9">
        <w:rPr>
          <w:rFonts w:asciiTheme="majorHAnsi" w:hAnsiTheme="majorHAnsi" w:cstheme="majorHAnsi"/>
        </w:rPr>
        <w:t xml:space="preserve">on the lawn area </w:t>
      </w:r>
      <w:r w:rsidR="005C3AD3" w:rsidRPr="003A4FF9">
        <w:rPr>
          <w:rFonts w:asciiTheme="majorHAnsi" w:hAnsiTheme="majorHAnsi" w:cstheme="majorHAnsi"/>
        </w:rPr>
        <w:t xml:space="preserve">which was packed with </w:t>
      </w:r>
      <w:r w:rsidR="00FD2CCB" w:rsidRPr="003A4FF9">
        <w:rPr>
          <w:rFonts w:asciiTheme="majorHAnsi" w:hAnsiTheme="majorHAnsi" w:cstheme="majorHAnsi"/>
        </w:rPr>
        <w:t>holiday makers</w:t>
      </w:r>
      <w:r w:rsidR="006B7788" w:rsidRPr="003A4FF9">
        <w:rPr>
          <w:rFonts w:asciiTheme="majorHAnsi" w:hAnsiTheme="majorHAnsi" w:cstheme="majorHAnsi"/>
        </w:rPr>
        <w:t xml:space="preserve">. It was in proximity of the heated </w:t>
      </w:r>
      <w:r w:rsidR="00D81FEB" w:rsidRPr="003A4FF9">
        <w:rPr>
          <w:rFonts w:asciiTheme="majorHAnsi" w:hAnsiTheme="majorHAnsi" w:cstheme="majorHAnsi"/>
        </w:rPr>
        <w:t xml:space="preserve">and cold </w:t>
      </w:r>
      <w:r w:rsidR="006B7788" w:rsidRPr="003A4FF9">
        <w:rPr>
          <w:rFonts w:asciiTheme="majorHAnsi" w:hAnsiTheme="majorHAnsi" w:cstheme="majorHAnsi"/>
        </w:rPr>
        <w:t>swimming pool</w:t>
      </w:r>
      <w:r w:rsidR="00D81FEB" w:rsidRPr="003A4FF9">
        <w:rPr>
          <w:rFonts w:asciiTheme="majorHAnsi" w:hAnsiTheme="majorHAnsi" w:cstheme="majorHAnsi"/>
        </w:rPr>
        <w:t>s</w:t>
      </w:r>
      <w:r w:rsidR="00FD2CCB" w:rsidRPr="003A4FF9">
        <w:rPr>
          <w:rFonts w:asciiTheme="majorHAnsi" w:hAnsiTheme="majorHAnsi" w:cstheme="majorHAnsi"/>
        </w:rPr>
        <w:t>.</w:t>
      </w:r>
      <w:r w:rsidR="00365DBC" w:rsidRPr="003A4FF9">
        <w:rPr>
          <w:rFonts w:asciiTheme="majorHAnsi" w:hAnsiTheme="majorHAnsi" w:cstheme="majorHAnsi"/>
        </w:rPr>
        <w:t xml:space="preserve"> The family enjoyed themselves like hundreds of other holiday</w:t>
      </w:r>
      <w:r w:rsidR="00122B93" w:rsidRPr="003A4FF9">
        <w:rPr>
          <w:rFonts w:asciiTheme="majorHAnsi" w:hAnsiTheme="majorHAnsi" w:cstheme="majorHAnsi"/>
        </w:rPr>
        <w:t xml:space="preserve"> </w:t>
      </w:r>
      <w:r w:rsidR="00365DBC" w:rsidRPr="003A4FF9">
        <w:rPr>
          <w:rFonts w:asciiTheme="majorHAnsi" w:hAnsiTheme="majorHAnsi" w:cstheme="majorHAnsi"/>
        </w:rPr>
        <w:t>makers. Mr Labus</w:t>
      </w:r>
      <w:r w:rsidR="00122B93" w:rsidRPr="003A4FF9">
        <w:rPr>
          <w:rFonts w:asciiTheme="majorHAnsi" w:hAnsiTheme="majorHAnsi" w:cstheme="majorHAnsi"/>
        </w:rPr>
        <w:t>c</w:t>
      </w:r>
      <w:r w:rsidR="00365DBC" w:rsidRPr="003A4FF9">
        <w:rPr>
          <w:rFonts w:asciiTheme="majorHAnsi" w:hAnsiTheme="majorHAnsi" w:cstheme="majorHAnsi"/>
        </w:rPr>
        <w:t xml:space="preserve">hagne’s evidence differs from that of the plaintiff and her husband pertaining to </w:t>
      </w:r>
      <w:r w:rsidR="00122B93" w:rsidRPr="003A4FF9">
        <w:rPr>
          <w:rFonts w:asciiTheme="majorHAnsi" w:hAnsiTheme="majorHAnsi" w:cstheme="majorHAnsi"/>
        </w:rPr>
        <w:t xml:space="preserve">the time of </w:t>
      </w:r>
      <w:r w:rsidR="00365DBC" w:rsidRPr="003A4FF9">
        <w:rPr>
          <w:rFonts w:asciiTheme="majorHAnsi" w:hAnsiTheme="majorHAnsi" w:cstheme="majorHAnsi"/>
        </w:rPr>
        <w:t xml:space="preserve">his in-laws’ arrival at the </w:t>
      </w:r>
      <w:proofErr w:type="gramStart"/>
      <w:r w:rsidR="00365DBC" w:rsidRPr="003A4FF9">
        <w:rPr>
          <w:rFonts w:asciiTheme="majorHAnsi" w:hAnsiTheme="majorHAnsi" w:cstheme="majorHAnsi"/>
        </w:rPr>
        <w:t>resort, when</w:t>
      </w:r>
      <w:proofErr w:type="gramEnd"/>
      <w:r w:rsidR="00365DBC" w:rsidRPr="003A4FF9">
        <w:rPr>
          <w:rFonts w:asciiTheme="majorHAnsi" w:hAnsiTheme="majorHAnsi" w:cstheme="majorHAnsi"/>
        </w:rPr>
        <w:t xml:space="preserve"> they started to braai and when the thunderstorm erupted. In my view these discrepancies are immaterial, bearing in mind the time lapse of ten years.</w:t>
      </w:r>
      <w:r w:rsidR="00122B93" w:rsidRPr="003A4FF9">
        <w:rPr>
          <w:rFonts w:asciiTheme="majorHAnsi" w:hAnsiTheme="majorHAnsi" w:cstheme="majorHAnsi"/>
        </w:rPr>
        <w:t xml:space="preserve"> I accept that the thunderstorm erupted closer to 16h00 than about 13h00 as estimated by Mr Labuschagne if the totality of the evidence is considered and particularly the hospital notes referred to in cross-examination.</w:t>
      </w:r>
    </w:p>
    <w:p w14:paraId="1B3E8258" w14:textId="77777777" w:rsidR="00FD2CCB" w:rsidRPr="005C161E" w:rsidRDefault="00FD2CCB" w:rsidP="005C161E">
      <w:pPr>
        <w:pStyle w:val="ListParagraph"/>
        <w:spacing w:line="360" w:lineRule="auto"/>
        <w:rPr>
          <w:rFonts w:asciiTheme="majorHAnsi" w:hAnsiTheme="majorHAnsi" w:cstheme="majorHAnsi"/>
        </w:rPr>
      </w:pPr>
    </w:p>
    <w:p w14:paraId="481B2948" w14:textId="00CE64BC" w:rsidR="00872FEC" w:rsidRPr="003A4FF9" w:rsidRDefault="003A4FF9" w:rsidP="003A4FF9">
      <w:pPr>
        <w:spacing w:line="360" w:lineRule="auto"/>
        <w:jc w:val="both"/>
        <w:rPr>
          <w:rFonts w:asciiTheme="majorHAnsi" w:hAnsiTheme="majorHAnsi" w:cstheme="majorHAnsi"/>
        </w:rPr>
      </w:pPr>
      <w:r w:rsidRPr="00122B93">
        <w:rPr>
          <w:rFonts w:asciiTheme="majorHAnsi" w:hAnsiTheme="majorHAnsi" w:cstheme="majorHAnsi"/>
        </w:rPr>
        <w:t>[10]</w:t>
      </w:r>
      <w:r w:rsidRPr="00122B93">
        <w:rPr>
          <w:rFonts w:asciiTheme="majorHAnsi" w:hAnsiTheme="majorHAnsi" w:cstheme="majorHAnsi"/>
        </w:rPr>
        <w:tab/>
      </w:r>
      <w:r w:rsidR="00FD2CCB" w:rsidRPr="003A4FF9">
        <w:rPr>
          <w:rFonts w:asciiTheme="majorHAnsi" w:hAnsiTheme="majorHAnsi" w:cstheme="majorHAnsi"/>
        </w:rPr>
        <w:t>Mr K</w:t>
      </w:r>
      <w:r w:rsidR="001968BB" w:rsidRPr="003A4FF9">
        <w:rPr>
          <w:rFonts w:asciiTheme="majorHAnsi" w:hAnsiTheme="majorHAnsi" w:cstheme="majorHAnsi"/>
        </w:rPr>
        <w:t>r</w:t>
      </w:r>
      <w:r w:rsidR="00FD2CCB" w:rsidRPr="003A4FF9">
        <w:rPr>
          <w:rFonts w:asciiTheme="majorHAnsi" w:hAnsiTheme="majorHAnsi" w:cstheme="majorHAnsi"/>
        </w:rPr>
        <w:t xml:space="preserve">uger and the plaintiff </w:t>
      </w:r>
      <w:r w:rsidR="00AA10B4" w:rsidRPr="003A4FF9">
        <w:rPr>
          <w:rFonts w:asciiTheme="majorHAnsi" w:hAnsiTheme="majorHAnsi" w:cstheme="majorHAnsi"/>
        </w:rPr>
        <w:t xml:space="preserve">corroborated </w:t>
      </w:r>
      <w:r w:rsidR="00E27729" w:rsidRPr="003A4FF9">
        <w:rPr>
          <w:rFonts w:asciiTheme="majorHAnsi" w:hAnsiTheme="majorHAnsi" w:cstheme="majorHAnsi"/>
        </w:rPr>
        <w:t>each other on several material aspects</w:t>
      </w:r>
      <w:r w:rsidR="008D0F24" w:rsidRPr="003A4FF9">
        <w:rPr>
          <w:rFonts w:asciiTheme="majorHAnsi" w:hAnsiTheme="majorHAnsi" w:cstheme="majorHAnsi"/>
        </w:rPr>
        <w:t>. T</w:t>
      </w:r>
      <w:r w:rsidR="00F7546B" w:rsidRPr="003A4FF9">
        <w:rPr>
          <w:rFonts w:asciiTheme="majorHAnsi" w:hAnsiTheme="majorHAnsi" w:cstheme="majorHAnsi"/>
        </w:rPr>
        <w:t xml:space="preserve">hey </w:t>
      </w:r>
      <w:r w:rsidR="008D0F24" w:rsidRPr="003A4FF9">
        <w:rPr>
          <w:rFonts w:asciiTheme="majorHAnsi" w:hAnsiTheme="majorHAnsi" w:cstheme="majorHAnsi"/>
        </w:rPr>
        <w:t xml:space="preserve">conceded having </w:t>
      </w:r>
      <w:r w:rsidR="00F7546B" w:rsidRPr="003A4FF9">
        <w:rPr>
          <w:rFonts w:asciiTheme="majorHAnsi" w:hAnsiTheme="majorHAnsi" w:cstheme="majorHAnsi"/>
        </w:rPr>
        <w:t xml:space="preserve">discussed the issue over the </w:t>
      </w:r>
      <w:r w:rsidR="00793847" w:rsidRPr="003A4FF9">
        <w:rPr>
          <w:rFonts w:asciiTheme="majorHAnsi" w:hAnsiTheme="majorHAnsi" w:cstheme="majorHAnsi"/>
        </w:rPr>
        <w:t xml:space="preserve">years which I find to be totally </w:t>
      </w:r>
      <w:r w:rsidR="0080761F" w:rsidRPr="003A4FF9">
        <w:rPr>
          <w:rFonts w:asciiTheme="majorHAnsi" w:hAnsiTheme="majorHAnsi" w:cstheme="majorHAnsi"/>
        </w:rPr>
        <w:t xml:space="preserve">probable bearing in mind </w:t>
      </w:r>
      <w:r w:rsidR="006B51DE" w:rsidRPr="003A4FF9">
        <w:rPr>
          <w:rFonts w:asciiTheme="majorHAnsi" w:hAnsiTheme="majorHAnsi" w:cstheme="majorHAnsi"/>
        </w:rPr>
        <w:t xml:space="preserve">the fact that they are </w:t>
      </w:r>
      <w:r w:rsidR="00186540" w:rsidRPr="003A4FF9">
        <w:rPr>
          <w:rFonts w:asciiTheme="majorHAnsi" w:hAnsiTheme="majorHAnsi" w:cstheme="majorHAnsi"/>
        </w:rPr>
        <w:t>spouses</w:t>
      </w:r>
      <w:r w:rsidR="006B7788" w:rsidRPr="003A4FF9">
        <w:rPr>
          <w:rFonts w:asciiTheme="majorHAnsi" w:hAnsiTheme="majorHAnsi" w:cstheme="majorHAnsi"/>
        </w:rPr>
        <w:t>,</w:t>
      </w:r>
      <w:r w:rsidR="00186540" w:rsidRPr="003A4FF9">
        <w:rPr>
          <w:rFonts w:asciiTheme="majorHAnsi" w:hAnsiTheme="majorHAnsi" w:cstheme="majorHAnsi"/>
        </w:rPr>
        <w:t xml:space="preserve"> having been </w:t>
      </w:r>
      <w:r w:rsidR="00315A36" w:rsidRPr="003A4FF9">
        <w:rPr>
          <w:rFonts w:asciiTheme="majorHAnsi" w:hAnsiTheme="majorHAnsi" w:cstheme="majorHAnsi"/>
        </w:rPr>
        <w:t xml:space="preserve">married for </w:t>
      </w:r>
      <w:r w:rsidR="004F7504" w:rsidRPr="003A4FF9">
        <w:rPr>
          <w:rFonts w:asciiTheme="majorHAnsi" w:hAnsiTheme="majorHAnsi" w:cstheme="majorHAnsi"/>
        </w:rPr>
        <w:t xml:space="preserve">several decades. </w:t>
      </w:r>
      <w:r w:rsidR="004C4C77" w:rsidRPr="003A4FF9">
        <w:rPr>
          <w:rFonts w:asciiTheme="majorHAnsi" w:hAnsiTheme="majorHAnsi" w:cstheme="majorHAnsi"/>
        </w:rPr>
        <w:t>T</w:t>
      </w:r>
      <w:r w:rsidR="0027579C" w:rsidRPr="003A4FF9">
        <w:rPr>
          <w:rFonts w:asciiTheme="majorHAnsi" w:hAnsiTheme="majorHAnsi" w:cstheme="majorHAnsi"/>
        </w:rPr>
        <w:t xml:space="preserve">he plaintiff testified </w:t>
      </w:r>
      <w:r w:rsidR="00C6284F" w:rsidRPr="003A4FF9">
        <w:rPr>
          <w:rFonts w:asciiTheme="majorHAnsi" w:hAnsiTheme="majorHAnsi" w:cstheme="majorHAnsi"/>
        </w:rPr>
        <w:t xml:space="preserve">about </w:t>
      </w:r>
      <w:r w:rsidR="004E4964" w:rsidRPr="003A4FF9">
        <w:rPr>
          <w:rFonts w:asciiTheme="majorHAnsi" w:hAnsiTheme="majorHAnsi" w:cstheme="majorHAnsi"/>
        </w:rPr>
        <w:t>the crucial issue</w:t>
      </w:r>
      <w:r w:rsidR="0027579C" w:rsidRPr="003A4FF9">
        <w:rPr>
          <w:rFonts w:asciiTheme="majorHAnsi" w:hAnsiTheme="majorHAnsi" w:cstheme="majorHAnsi"/>
        </w:rPr>
        <w:t xml:space="preserve"> </w:t>
      </w:r>
      <w:r w:rsidR="004E4964" w:rsidRPr="003A4FF9">
        <w:rPr>
          <w:rFonts w:asciiTheme="majorHAnsi" w:hAnsiTheme="majorHAnsi" w:cstheme="majorHAnsi"/>
        </w:rPr>
        <w:t xml:space="preserve">as to </w:t>
      </w:r>
      <w:r w:rsidR="004C4C77" w:rsidRPr="003A4FF9">
        <w:rPr>
          <w:rFonts w:asciiTheme="majorHAnsi" w:hAnsiTheme="majorHAnsi" w:cstheme="majorHAnsi"/>
        </w:rPr>
        <w:t xml:space="preserve">how she had sustained her injuries </w:t>
      </w:r>
      <w:r w:rsidR="003E0461" w:rsidRPr="003A4FF9">
        <w:rPr>
          <w:rFonts w:asciiTheme="majorHAnsi" w:hAnsiTheme="majorHAnsi" w:cstheme="majorHAnsi"/>
        </w:rPr>
        <w:t xml:space="preserve">to which </w:t>
      </w:r>
      <w:r w:rsidR="004F1159" w:rsidRPr="003A4FF9">
        <w:rPr>
          <w:rFonts w:asciiTheme="majorHAnsi" w:hAnsiTheme="majorHAnsi" w:cstheme="majorHAnsi"/>
        </w:rPr>
        <w:t>neit</w:t>
      </w:r>
      <w:r w:rsidR="00B44CF4" w:rsidRPr="003A4FF9">
        <w:rPr>
          <w:rFonts w:asciiTheme="majorHAnsi" w:hAnsiTheme="majorHAnsi" w:cstheme="majorHAnsi"/>
        </w:rPr>
        <w:t>her her husband</w:t>
      </w:r>
      <w:r w:rsidR="002C188C" w:rsidRPr="003A4FF9">
        <w:rPr>
          <w:rFonts w:asciiTheme="majorHAnsi" w:hAnsiTheme="majorHAnsi" w:cstheme="majorHAnsi"/>
        </w:rPr>
        <w:t>,</w:t>
      </w:r>
      <w:r w:rsidR="00B44CF4" w:rsidRPr="003A4FF9">
        <w:rPr>
          <w:rFonts w:asciiTheme="majorHAnsi" w:hAnsiTheme="majorHAnsi" w:cstheme="majorHAnsi"/>
        </w:rPr>
        <w:t xml:space="preserve"> nor Mr Labuscha</w:t>
      </w:r>
      <w:r w:rsidR="004F1159" w:rsidRPr="003A4FF9">
        <w:rPr>
          <w:rFonts w:asciiTheme="majorHAnsi" w:hAnsiTheme="majorHAnsi" w:cstheme="majorHAnsi"/>
        </w:rPr>
        <w:t>gne</w:t>
      </w:r>
      <w:r w:rsidR="006B7788" w:rsidRPr="003A4FF9">
        <w:rPr>
          <w:rFonts w:asciiTheme="majorHAnsi" w:hAnsiTheme="majorHAnsi" w:cstheme="majorHAnsi"/>
        </w:rPr>
        <w:t>,</w:t>
      </w:r>
      <w:r w:rsidR="004F1159" w:rsidRPr="003A4FF9">
        <w:rPr>
          <w:rFonts w:asciiTheme="majorHAnsi" w:hAnsiTheme="majorHAnsi" w:cstheme="majorHAnsi"/>
        </w:rPr>
        <w:t xml:space="preserve"> could </w:t>
      </w:r>
      <w:r w:rsidR="00F31A47" w:rsidRPr="003A4FF9">
        <w:rPr>
          <w:rFonts w:asciiTheme="majorHAnsi" w:hAnsiTheme="majorHAnsi" w:cstheme="majorHAnsi"/>
        </w:rPr>
        <w:t xml:space="preserve">offer </w:t>
      </w:r>
      <w:r w:rsidR="002F7195" w:rsidRPr="003A4FF9">
        <w:rPr>
          <w:rFonts w:asciiTheme="majorHAnsi" w:hAnsiTheme="majorHAnsi" w:cstheme="majorHAnsi"/>
        </w:rPr>
        <w:t xml:space="preserve">any corroboration </w:t>
      </w:r>
      <w:r w:rsidR="00E220C1" w:rsidRPr="003A4FF9">
        <w:rPr>
          <w:rFonts w:asciiTheme="majorHAnsi" w:hAnsiTheme="majorHAnsi" w:cstheme="majorHAnsi"/>
        </w:rPr>
        <w:t>or assistance</w:t>
      </w:r>
      <w:r w:rsidR="00E548E6" w:rsidRPr="003A4FF9">
        <w:rPr>
          <w:rFonts w:asciiTheme="majorHAnsi" w:hAnsiTheme="majorHAnsi" w:cstheme="majorHAnsi"/>
        </w:rPr>
        <w:t>.</w:t>
      </w:r>
    </w:p>
    <w:p w14:paraId="550B9BA7" w14:textId="77777777" w:rsidR="00C730C8" w:rsidRPr="005C161E" w:rsidRDefault="00C730C8" w:rsidP="005C161E">
      <w:pPr>
        <w:pStyle w:val="ListParagraph"/>
        <w:spacing w:line="360" w:lineRule="auto"/>
        <w:rPr>
          <w:rFonts w:asciiTheme="majorHAnsi" w:hAnsiTheme="majorHAnsi" w:cstheme="majorHAnsi"/>
        </w:rPr>
      </w:pPr>
    </w:p>
    <w:p w14:paraId="395F301B" w14:textId="5A3F490E" w:rsidR="00872FEC"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[11]</w:t>
      </w:r>
      <w:r w:rsidRPr="005C161E">
        <w:rPr>
          <w:rFonts w:asciiTheme="majorHAnsi" w:hAnsiTheme="majorHAnsi" w:cstheme="majorHAnsi"/>
        </w:rPr>
        <w:tab/>
      </w:r>
      <w:r w:rsidR="00F91EF7" w:rsidRPr="003A4FF9">
        <w:rPr>
          <w:rFonts w:asciiTheme="majorHAnsi" w:hAnsiTheme="majorHAnsi" w:cstheme="majorHAnsi"/>
        </w:rPr>
        <w:t xml:space="preserve">Once the plaintiff and her husband have parked their vehicle, they went </w:t>
      </w:r>
      <w:r w:rsidR="00A13EC7" w:rsidRPr="003A4FF9">
        <w:rPr>
          <w:rFonts w:asciiTheme="majorHAnsi" w:hAnsiTheme="majorHAnsi" w:cstheme="majorHAnsi"/>
        </w:rPr>
        <w:t xml:space="preserve">down towards the lawn area where they </w:t>
      </w:r>
      <w:r w:rsidR="007144AE" w:rsidRPr="003A4FF9">
        <w:rPr>
          <w:rFonts w:asciiTheme="majorHAnsi" w:hAnsiTheme="majorHAnsi" w:cstheme="majorHAnsi"/>
        </w:rPr>
        <w:t xml:space="preserve">found </w:t>
      </w:r>
      <w:r w:rsidR="00A3108B" w:rsidRPr="003A4FF9">
        <w:rPr>
          <w:rFonts w:asciiTheme="majorHAnsi" w:hAnsiTheme="majorHAnsi" w:cstheme="majorHAnsi"/>
        </w:rPr>
        <w:t>their family at the picnic spot</w:t>
      </w:r>
      <w:r w:rsidR="002A5F03" w:rsidRPr="003A4FF9">
        <w:rPr>
          <w:rFonts w:asciiTheme="majorHAnsi" w:hAnsiTheme="majorHAnsi" w:cstheme="majorHAnsi"/>
        </w:rPr>
        <w:t xml:space="preserve">. According to Mr Pieter Labuschagne the family were sitting approximately </w:t>
      </w:r>
      <w:r w:rsidR="009C1A23" w:rsidRPr="003A4FF9">
        <w:rPr>
          <w:rFonts w:asciiTheme="majorHAnsi" w:hAnsiTheme="majorHAnsi" w:cstheme="majorHAnsi"/>
        </w:rPr>
        <w:t xml:space="preserve">one meter from </w:t>
      </w:r>
      <w:r w:rsidR="00C34F1B" w:rsidRPr="003A4FF9">
        <w:rPr>
          <w:rFonts w:asciiTheme="majorHAnsi" w:hAnsiTheme="majorHAnsi" w:cstheme="majorHAnsi"/>
        </w:rPr>
        <w:t xml:space="preserve">the </w:t>
      </w:r>
      <w:r w:rsidR="00FA573B" w:rsidRPr="003A4FF9">
        <w:rPr>
          <w:rFonts w:asciiTheme="majorHAnsi" w:hAnsiTheme="majorHAnsi" w:cstheme="majorHAnsi"/>
        </w:rPr>
        <w:t>huge hole in the ground</w:t>
      </w:r>
      <w:r w:rsidR="009107C6" w:rsidRPr="003A4FF9">
        <w:rPr>
          <w:rFonts w:asciiTheme="majorHAnsi" w:hAnsiTheme="majorHAnsi" w:cstheme="majorHAnsi"/>
        </w:rPr>
        <w:t xml:space="preserve"> depicted on the photographs taken on 29 December 2012</w:t>
      </w:r>
      <w:r w:rsidR="00365DBC" w:rsidRPr="003A4FF9">
        <w:rPr>
          <w:rFonts w:asciiTheme="majorHAnsi" w:hAnsiTheme="majorHAnsi" w:cstheme="majorHAnsi"/>
        </w:rPr>
        <w:t>, although he was unaware thereof at the time</w:t>
      </w:r>
      <w:r w:rsidR="00FA573B" w:rsidRPr="003A4FF9">
        <w:rPr>
          <w:rFonts w:asciiTheme="majorHAnsi" w:hAnsiTheme="majorHAnsi" w:cstheme="majorHAnsi"/>
        </w:rPr>
        <w:t xml:space="preserve">. This evidence is </w:t>
      </w:r>
      <w:r w:rsidR="00CF66A7" w:rsidRPr="003A4FF9">
        <w:rPr>
          <w:rFonts w:asciiTheme="majorHAnsi" w:hAnsiTheme="majorHAnsi" w:cstheme="majorHAnsi"/>
        </w:rPr>
        <w:t xml:space="preserve">contradicted by that of </w:t>
      </w:r>
      <w:r w:rsidR="006B15CB" w:rsidRPr="003A4FF9">
        <w:rPr>
          <w:rFonts w:asciiTheme="majorHAnsi" w:hAnsiTheme="majorHAnsi" w:cstheme="majorHAnsi"/>
        </w:rPr>
        <w:t>the plaintiff and Mr K</w:t>
      </w:r>
      <w:r w:rsidR="00B50E08" w:rsidRPr="003A4FF9">
        <w:rPr>
          <w:rFonts w:asciiTheme="majorHAnsi" w:hAnsiTheme="majorHAnsi" w:cstheme="majorHAnsi"/>
        </w:rPr>
        <w:t xml:space="preserve">ruger. Mr Kruger was of the view that they were </w:t>
      </w:r>
      <w:r w:rsidR="001672E7" w:rsidRPr="003A4FF9">
        <w:rPr>
          <w:rFonts w:asciiTheme="majorHAnsi" w:hAnsiTheme="majorHAnsi" w:cstheme="majorHAnsi"/>
        </w:rPr>
        <w:t xml:space="preserve">about 10 to 15 meters from this </w:t>
      </w:r>
      <w:r w:rsidR="00471017" w:rsidRPr="003A4FF9">
        <w:rPr>
          <w:rFonts w:asciiTheme="majorHAnsi" w:hAnsiTheme="majorHAnsi" w:cstheme="majorHAnsi"/>
        </w:rPr>
        <w:t>hole, whilst the plaintiff</w:t>
      </w:r>
      <w:r w:rsidR="00F24795" w:rsidRPr="003A4FF9">
        <w:rPr>
          <w:rFonts w:asciiTheme="majorHAnsi" w:hAnsiTheme="majorHAnsi" w:cstheme="majorHAnsi"/>
        </w:rPr>
        <w:t xml:space="preserve"> indicated </w:t>
      </w:r>
      <w:r w:rsidR="007C4AFB" w:rsidRPr="003A4FF9">
        <w:rPr>
          <w:rFonts w:asciiTheme="majorHAnsi" w:hAnsiTheme="majorHAnsi" w:cstheme="majorHAnsi"/>
        </w:rPr>
        <w:t>that they were a</w:t>
      </w:r>
      <w:r w:rsidR="009107C6" w:rsidRPr="003A4FF9">
        <w:rPr>
          <w:rFonts w:asciiTheme="majorHAnsi" w:hAnsiTheme="majorHAnsi" w:cstheme="majorHAnsi"/>
        </w:rPr>
        <w:t>bout 8 to 10 paces from it. All three testified on</w:t>
      </w:r>
      <w:r w:rsidR="007C4AFB" w:rsidRPr="003A4FF9">
        <w:rPr>
          <w:rFonts w:asciiTheme="majorHAnsi" w:hAnsiTheme="majorHAnsi" w:cstheme="majorHAnsi"/>
        </w:rPr>
        <w:t xml:space="preserve"> this aspect </w:t>
      </w:r>
      <w:r w:rsidR="005241B9" w:rsidRPr="003A4FF9">
        <w:rPr>
          <w:rFonts w:asciiTheme="majorHAnsi" w:hAnsiTheme="majorHAnsi" w:cstheme="majorHAnsi"/>
        </w:rPr>
        <w:t xml:space="preserve">whilst totally unaware of the position of the </w:t>
      </w:r>
      <w:r w:rsidR="00E62B98" w:rsidRPr="003A4FF9">
        <w:rPr>
          <w:rFonts w:asciiTheme="majorHAnsi" w:hAnsiTheme="majorHAnsi" w:cstheme="majorHAnsi"/>
        </w:rPr>
        <w:t xml:space="preserve">hole at the stage when they </w:t>
      </w:r>
      <w:r w:rsidR="00B55427" w:rsidRPr="003A4FF9">
        <w:rPr>
          <w:rFonts w:asciiTheme="majorHAnsi" w:hAnsiTheme="majorHAnsi" w:cstheme="majorHAnsi"/>
        </w:rPr>
        <w:t xml:space="preserve">were </w:t>
      </w:r>
      <w:r w:rsidR="00DC373A" w:rsidRPr="003A4FF9">
        <w:rPr>
          <w:rFonts w:asciiTheme="majorHAnsi" w:hAnsiTheme="majorHAnsi" w:cstheme="majorHAnsi"/>
        </w:rPr>
        <w:t>enjoying thei</w:t>
      </w:r>
      <w:r w:rsidR="009107C6" w:rsidRPr="003A4FF9">
        <w:rPr>
          <w:rFonts w:asciiTheme="majorHAnsi" w:hAnsiTheme="majorHAnsi" w:cstheme="majorHAnsi"/>
        </w:rPr>
        <w:t xml:space="preserve">r picnic. They made </w:t>
      </w:r>
      <w:r w:rsidR="00365DBC" w:rsidRPr="003A4FF9">
        <w:rPr>
          <w:rFonts w:asciiTheme="majorHAnsi" w:hAnsiTheme="majorHAnsi" w:cstheme="majorHAnsi"/>
        </w:rPr>
        <w:t xml:space="preserve">their estimates </w:t>
      </w:r>
      <w:r w:rsidR="009107C6" w:rsidRPr="003A4FF9">
        <w:rPr>
          <w:rFonts w:asciiTheme="majorHAnsi" w:hAnsiTheme="majorHAnsi" w:cstheme="majorHAnsi"/>
        </w:rPr>
        <w:t>years after the event, based on, either where Mr Labuschagne found the injured plaintiff</w:t>
      </w:r>
      <w:r w:rsidR="00471017" w:rsidRPr="003A4FF9">
        <w:rPr>
          <w:rFonts w:asciiTheme="majorHAnsi" w:hAnsiTheme="majorHAnsi" w:cstheme="majorHAnsi"/>
        </w:rPr>
        <w:t xml:space="preserve"> under the tree</w:t>
      </w:r>
      <w:r w:rsidR="009107C6" w:rsidRPr="003A4FF9">
        <w:rPr>
          <w:rFonts w:asciiTheme="majorHAnsi" w:hAnsiTheme="majorHAnsi" w:cstheme="majorHAnsi"/>
        </w:rPr>
        <w:t>, or the position of the hole depicted on the photographs</w:t>
      </w:r>
      <w:r w:rsidR="00BC7FC7" w:rsidRPr="003A4FF9">
        <w:rPr>
          <w:rFonts w:asciiTheme="majorHAnsi" w:hAnsiTheme="majorHAnsi" w:cstheme="majorHAnsi"/>
        </w:rPr>
        <w:t>.</w:t>
      </w:r>
      <w:r w:rsidR="00471017" w:rsidRPr="003A4FF9">
        <w:rPr>
          <w:rFonts w:asciiTheme="majorHAnsi" w:hAnsiTheme="majorHAnsi" w:cstheme="majorHAnsi"/>
        </w:rPr>
        <w:t xml:space="preserve"> It must be recorded that the lawns were packed with holiday makers and covered with blankets and camping chairs. </w:t>
      </w:r>
    </w:p>
    <w:p w14:paraId="13C55EDE" w14:textId="77777777" w:rsidR="00CB169A" w:rsidRPr="005C161E" w:rsidRDefault="00CB169A" w:rsidP="005C161E">
      <w:pPr>
        <w:pStyle w:val="ListParagraph"/>
        <w:spacing w:line="360" w:lineRule="auto"/>
        <w:rPr>
          <w:rFonts w:asciiTheme="majorHAnsi" w:hAnsiTheme="majorHAnsi" w:cstheme="majorHAnsi"/>
        </w:rPr>
      </w:pPr>
    </w:p>
    <w:p w14:paraId="15D52313" w14:textId="20E7EC56" w:rsidR="00CB169A"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[12]</w:t>
      </w:r>
      <w:r w:rsidRPr="005C161E">
        <w:rPr>
          <w:rFonts w:asciiTheme="majorHAnsi" w:hAnsiTheme="majorHAnsi" w:cstheme="majorHAnsi"/>
        </w:rPr>
        <w:tab/>
      </w:r>
      <w:r w:rsidR="00471017" w:rsidRPr="003A4FF9">
        <w:rPr>
          <w:rFonts w:asciiTheme="majorHAnsi" w:hAnsiTheme="majorHAnsi" w:cstheme="majorHAnsi"/>
        </w:rPr>
        <w:t xml:space="preserve">The </w:t>
      </w:r>
      <w:r w:rsidR="00CB169A" w:rsidRPr="003A4FF9">
        <w:rPr>
          <w:rFonts w:asciiTheme="majorHAnsi" w:hAnsiTheme="majorHAnsi" w:cstheme="majorHAnsi"/>
        </w:rPr>
        <w:t>men, that is Mr Kruger and the partners of their daughters</w:t>
      </w:r>
      <w:r w:rsidR="0032685F" w:rsidRPr="003A4FF9">
        <w:rPr>
          <w:rFonts w:asciiTheme="majorHAnsi" w:hAnsiTheme="majorHAnsi" w:cstheme="majorHAnsi"/>
        </w:rPr>
        <w:t>,</w:t>
      </w:r>
      <w:r w:rsidR="00CB169A" w:rsidRPr="003A4FF9">
        <w:rPr>
          <w:rFonts w:asciiTheme="majorHAnsi" w:hAnsiTheme="majorHAnsi" w:cstheme="majorHAnsi"/>
        </w:rPr>
        <w:t xml:space="preserve"> </w:t>
      </w:r>
      <w:r w:rsidR="00CD57F0" w:rsidRPr="003A4FF9">
        <w:rPr>
          <w:rFonts w:asciiTheme="majorHAnsi" w:hAnsiTheme="majorHAnsi" w:cstheme="majorHAnsi"/>
        </w:rPr>
        <w:t>made a fire and prepared for a</w:t>
      </w:r>
      <w:r w:rsidR="0033253E" w:rsidRPr="003A4FF9">
        <w:rPr>
          <w:rFonts w:asciiTheme="majorHAnsi" w:hAnsiTheme="majorHAnsi" w:cstheme="majorHAnsi"/>
        </w:rPr>
        <w:t xml:space="preserve"> traditional South African </w:t>
      </w:r>
      <w:r w:rsidR="00CD57F0" w:rsidRPr="003A4FF9">
        <w:rPr>
          <w:rFonts w:asciiTheme="majorHAnsi" w:hAnsiTheme="majorHAnsi" w:cstheme="majorHAnsi"/>
        </w:rPr>
        <w:t>braai</w:t>
      </w:r>
      <w:r w:rsidR="00A63215" w:rsidRPr="003A4FF9">
        <w:rPr>
          <w:rFonts w:asciiTheme="majorHAnsi" w:hAnsiTheme="majorHAnsi" w:cstheme="majorHAnsi"/>
        </w:rPr>
        <w:t>. J</w:t>
      </w:r>
      <w:r w:rsidR="00CD57F0" w:rsidRPr="003A4FF9">
        <w:rPr>
          <w:rFonts w:asciiTheme="majorHAnsi" w:hAnsiTheme="majorHAnsi" w:cstheme="majorHAnsi"/>
        </w:rPr>
        <w:t xml:space="preserve">ust as the meat was </w:t>
      </w:r>
      <w:r w:rsidR="004A4A34" w:rsidRPr="003A4FF9">
        <w:rPr>
          <w:rFonts w:asciiTheme="majorHAnsi" w:hAnsiTheme="majorHAnsi" w:cstheme="majorHAnsi"/>
        </w:rPr>
        <w:t>about ready</w:t>
      </w:r>
      <w:r w:rsidR="00A63215" w:rsidRPr="003A4FF9">
        <w:rPr>
          <w:rFonts w:asciiTheme="majorHAnsi" w:hAnsiTheme="majorHAnsi" w:cstheme="majorHAnsi"/>
        </w:rPr>
        <w:t xml:space="preserve"> to be taken off the fire</w:t>
      </w:r>
      <w:r w:rsidR="004A4A34" w:rsidRPr="003A4FF9">
        <w:rPr>
          <w:rFonts w:asciiTheme="majorHAnsi" w:hAnsiTheme="majorHAnsi" w:cstheme="majorHAnsi"/>
        </w:rPr>
        <w:t>, a thunder</w:t>
      </w:r>
      <w:r w:rsidR="00BE0D61" w:rsidRPr="003A4FF9">
        <w:rPr>
          <w:rFonts w:asciiTheme="majorHAnsi" w:hAnsiTheme="majorHAnsi" w:cstheme="majorHAnsi"/>
        </w:rPr>
        <w:t>storm</w:t>
      </w:r>
      <w:r w:rsidR="005639FD" w:rsidRPr="003A4FF9">
        <w:rPr>
          <w:rFonts w:asciiTheme="majorHAnsi" w:hAnsiTheme="majorHAnsi" w:cstheme="majorHAnsi"/>
        </w:rPr>
        <w:t xml:space="preserve"> described as a </w:t>
      </w:r>
      <w:r w:rsidR="00BE0D61" w:rsidRPr="003A4FF9">
        <w:rPr>
          <w:rFonts w:asciiTheme="majorHAnsi" w:hAnsiTheme="majorHAnsi" w:cstheme="majorHAnsi"/>
        </w:rPr>
        <w:t>cloudburst</w:t>
      </w:r>
      <w:r w:rsidR="00C26410" w:rsidRPr="003A4FF9">
        <w:rPr>
          <w:rFonts w:asciiTheme="majorHAnsi" w:hAnsiTheme="majorHAnsi" w:cstheme="majorHAnsi"/>
        </w:rPr>
        <w:t xml:space="preserve"> accompanied by </w:t>
      </w:r>
      <w:r w:rsidR="00471017" w:rsidRPr="003A4FF9">
        <w:rPr>
          <w:rFonts w:asciiTheme="majorHAnsi" w:hAnsiTheme="majorHAnsi" w:cstheme="majorHAnsi"/>
        </w:rPr>
        <w:t xml:space="preserve">light </w:t>
      </w:r>
      <w:r w:rsidR="00C26410" w:rsidRPr="003A4FF9">
        <w:rPr>
          <w:rFonts w:asciiTheme="majorHAnsi" w:hAnsiTheme="majorHAnsi" w:cstheme="majorHAnsi"/>
        </w:rPr>
        <w:t xml:space="preserve">hail, arrived </w:t>
      </w:r>
      <w:r w:rsidR="00CD0614" w:rsidRPr="003A4FF9">
        <w:rPr>
          <w:rFonts w:asciiTheme="majorHAnsi" w:hAnsiTheme="majorHAnsi" w:cstheme="majorHAnsi"/>
        </w:rPr>
        <w:t>suddenly</w:t>
      </w:r>
      <w:r w:rsidR="008E7A4F" w:rsidRPr="003A4FF9">
        <w:rPr>
          <w:rFonts w:asciiTheme="majorHAnsi" w:hAnsiTheme="majorHAnsi" w:cstheme="majorHAnsi"/>
        </w:rPr>
        <w:t xml:space="preserve">. Streams of water quickly started to </w:t>
      </w:r>
      <w:r w:rsidR="00FF582E" w:rsidRPr="003A4FF9">
        <w:rPr>
          <w:rFonts w:asciiTheme="majorHAnsi" w:hAnsiTheme="majorHAnsi" w:cstheme="majorHAnsi"/>
        </w:rPr>
        <w:t>run down towards the</w:t>
      </w:r>
      <w:r w:rsidR="007C2FC5" w:rsidRPr="003A4FF9">
        <w:rPr>
          <w:rFonts w:asciiTheme="majorHAnsi" w:hAnsiTheme="majorHAnsi" w:cstheme="majorHAnsi"/>
        </w:rPr>
        <w:t xml:space="preserve"> </w:t>
      </w:r>
      <w:r w:rsidR="00E87B98" w:rsidRPr="003A4FF9">
        <w:rPr>
          <w:rFonts w:asciiTheme="majorHAnsi" w:hAnsiTheme="majorHAnsi" w:cstheme="majorHAnsi"/>
        </w:rPr>
        <w:t>V</w:t>
      </w:r>
      <w:r w:rsidR="007C2FC5" w:rsidRPr="003A4FF9">
        <w:rPr>
          <w:rFonts w:asciiTheme="majorHAnsi" w:hAnsiTheme="majorHAnsi" w:cstheme="majorHAnsi"/>
        </w:rPr>
        <w:t>aal</w:t>
      </w:r>
      <w:r w:rsidR="009107C6" w:rsidRPr="003A4FF9">
        <w:rPr>
          <w:rFonts w:asciiTheme="majorHAnsi" w:hAnsiTheme="majorHAnsi" w:cstheme="majorHAnsi"/>
        </w:rPr>
        <w:t xml:space="preserve"> R</w:t>
      </w:r>
      <w:r w:rsidR="00FF582E" w:rsidRPr="003A4FF9">
        <w:rPr>
          <w:rFonts w:asciiTheme="majorHAnsi" w:hAnsiTheme="majorHAnsi" w:cstheme="majorHAnsi"/>
        </w:rPr>
        <w:t xml:space="preserve">iver and in the process several items </w:t>
      </w:r>
      <w:r w:rsidR="00E1127D" w:rsidRPr="003A4FF9">
        <w:rPr>
          <w:rFonts w:asciiTheme="majorHAnsi" w:hAnsiTheme="majorHAnsi" w:cstheme="majorHAnsi"/>
        </w:rPr>
        <w:t xml:space="preserve">of holiday makers </w:t>
      </w:r>
      <w:r w:rsidR="003D47C7" w:rsidRPr="003A4FF9">
        <w:rPr>
          <w:rFonts w:asciiTheme="majorHAnsi" w:hAnsiTheme="majorHAnsi" w:cstheme="majorHAnsi"/>
        </w:rPr>
        <w:t xml:space="preserve">were washed down as well. Holiday makers </w:t>
      </w:r>
      <w:r w:rsidR="003675DE" w:rsidRPr="003A4FF9">
        <w:rPr>
          <w:rFonts w:asciiTheme="majorHAnsi" w:hAnsiTheme="majorHAnsi" w:cstheme="majorHAnsi"/>
        </w:rPr>
        <w:t>scrambled</w:t>
      </w:r>
      <w:r w:rsidR="003405C3" w:rsidRPr="003A4FF9">
        <w:rPr>
          <w:rFonts w:asciiTheme="majorHAnsi" w:hAnsiTheme="majorHAnsi" w:cstheme="majorHAnsi"/>
        </w:rPr>
        <w:t xml:space="preserve"> to find protection. The plaintiff’s </w:t>
      </w:r>
      <w:r w:rsidR="004D6CA0" w:rsidRPr="003A4FF9">
        <w:rPr>
          <w:rFonts w:asciiTheme="majorHAnsi" w:hAnsiTheme="majorHAnsi" w:cstheme="majorHAnsi"/>
        </w:rPr>
        <w:t>daughters’</w:t>
      </w:r>
      <w:r w:rsidR="003405C3" w:rsidRPr="003A4FF9">
        <w:rPr>
          <w:rFonts w:asciiTheme="majorHAnsi" w:hAnsiTheme="majorHAnsi" w:cstheme="majorHAnsi"/>
        </w:rPr>
        <w:t xml:space="preserve"> </w:t>
      </w:r>
      <w:r w:rsidR="0074421E" w:rsidRPr="003A4FF9">
        <w:rPr>
          <w:rFonts w:asciiTheme="majorHAnsi" w:hAnsiTheme="majorHAnsi" w:cstheme="majorHAnsi"/>
        </w:rPr>
        <w:t>priorities</w:t>
      </w:r>
      <w:r w:rsidR="003405C3" w:rsidRPr="003A4FF9">
        <w:rPr>
          <w:rFonts w:asciiTheme="majorHAnsi" w:hAnsiTheme="majorHAnsi" w:cstheme="majorHAnsi"/>
        </w:rPr>
        <w:t xml:space="preserve"> </w:t>
      </w:r>
      <w:r w:rsidR="009107C6" w:rsidRPr="003A4FF9">
        <w:rPr>
          <w:rFonts w:asciiTheme="majorHAnsi" w:hAnsiTheme="majorHAnsi" w:cstheme="majorHAnsi"/>
        </w:rPr>
        <w:t>were</w:t>
      </w:r>
      <w:r w:rsidR="009C08FB" w:rsidRPr="003A4FF9">
        <w:rPr>
          <w:rFonts w:asciiTheme="majorHAnsi" w:hAnsiTheme="majorHAnsi" w:cstheme="majorHAnsi"/>
        </w:rPr>
        <w:t xml:space="preserve"> t</w:t>
      </w:r>
      <w:r w:rsidR="003405C3" w:rsidRPr="003A4FF9">
        <w:rPr>
          <w:rFonts w:asciiTheme="majorHAnsi" w:hAnsiTheme="majorHAnsi" w:cstheme="majorHAnsi"/>
        </w:rPr>
        <w:t xml:space="preserve">heir infants </w:t>
      </w:r>
      <w:r w:rsidR="002625B2" w:rsidRPr="003A4FF9">
        <w:rPr>
          <w:rFonts w:asciiTheme="majorHAnsi" w:hAnsiTheme="majorHAnsi" w:cstheme="majorHAnsi"/>
        </w:rPr>
        <w:t xml:space="preserve">and </w:t>
      </w:r>
      <w:r w:rsidR="009107C6" w:rsidRPr="003A4FF9">
        <w:rPr>
          <w:rFonts w:asciiTheme="majorHAnsi" w:hAnsiTheme="majorHAnsi" w:cstheme="majorHAnsi"/>
        </w:rPr>
        <w:t xml:space="preserve">they </w:t>
      </w:r>
      <w:r w:rsidR="002625B2" w:rsidRPr="003A4FF9">
        <w:rPr>
          <w:rFonts w:asciiTheme="majorHAnsi" w:hAnsiTheme="majorHAnsi" w:cstheme="majorHAnsi"/>
        </w:rPr>
        <w:t>sought shelter</w:t>
      </w:r>
      <w:r w:rsidR="00471017" w:rsidRPr="003A4FF9">
        <w:rPr>
          <w:rFonts w:asciiTheme="majorHAnsi" w:hAnsiTheme="majorHAnsi" w:cstheme="majorHAnsi"/>
        </w:rPr>
        <w:t xml:space="preserve"> under a veranda</w:t>
      </w:r>
      <w:r w:rsidR="00AC62FE" w:rsidRPr="003A4FF9">
        <w:rPr>
          <w:rFonts w:asciiTheme="majorHAnsi" w:hAnsiTheme="majorHAnsi" w:cstheme="majorHAnsi"/>
        </w:rPr>
        <w:t>,</w:t>
      </w:r>
      <w:r w:rsidR="002625B2" w:rsidRPr="003A4FF9">
        <w:rPr>
          <w:rFonts w:asciiTheme="majorHAnsi" w:hAnsiTheme="majorHAnsi" w:cstheme="majorHAnsi"/>
        </w:rPr>
        <w:t xml:space="preserve"> whilst the </w:t>
      </w:r>
      <w:r w:rsidR="004939B7" w:rsidRPr="003A4FF9">
        <w:rPr>
          <w:rFonts w:asciiTheme="majorHAnsi" w:hAnsiTheme="majorHAnsi" w:cstheme="majorHAnsi"/>
        </w:rPr>
        <w:t>men grabbed so muc</w:t>
      </w:r>
      <w:r w:rsidR="001303B4" w:rsidRPr="003A4FF9">
        <w:rPr>
          <w:rFonts w:asciiTheme="majorHAnsi" w:hAnsiTheme="majorHAnsi" w:cstheme="majorHAnsi"/>
        </w:rPr>
        <w:t>h of the</w:t>
      </w:r>
      <w:r w:rsidR="00AC62FE" w:rsidRPr="003A4FF9">
        <w:rPr>
          <w:rFonts w:asciiTheme="majorHAnsi" w:hAnsiTheme="majorHAnsi" w:cstheme="majorHAnsi"/>
        </w:rPr>
        <w:t xml:space="preserve">ir </w:t>
      </w:r>
      <w:r w:rsidR="009107C6" w:rsidRPr="003A4FF9">
        <w:rPr>
          <w:rFonts w:asciiTheme="majorHAnsi" w:hAnsiTheme="majorHAnsi" w:cstheme="majorHAnsi"/>
        </w:rPr>
        <w:t xml:space="preserve">belongings </w:t>
      </w:r>
      <w:r w:rsidR="00AC62FE" w:rsidRPr="003A4FF9">
        <w:rPr>
          <w:rFonts w:asciiTheme="majorHAnsi" w:hAnsiTheme="majorHAnsi" w:cstheme="majorHAnsi"/>
        </w:rPr>
        <w:t xml:space="preserve">that they </w:t>
      </w:r>
      <w:r w:rsidR="004939B7" w:rsidRPr="003A4FF9">
        <w:rPr>
          <w:rFonts w:asciiTheme="majorHAnsi" w:hAnsiTheme="majorHAnsi" w:cstheme="majorHAnsi"/>
        </w:rPr>
        <w:t>manage</w:t>
      </w:r>
      <w:r w:rsidR="009107C6" w:rsidRPr="003A4FF9">
        <w:rPr>
          <w:rFonts w:asciiTheme="majorHAnsi" w:hAnsiTheme="majorHAnsi" w:cstheme="majorHAnsi"/>
        </w:rPr>
        <w:t>d</w:t>
      </w:r>
      <w:r w:rsidR="004939B7" w:rsidRPr="003A4FF9">
        <w:rPr>
          <w:rFonts w:asciiTheme="majorHAnsi" w:hAnsiTheme="majorHAnsi" w:cstheme="majorHAnsi"/>
        </w:rPr>
        <w:t xml:space="preserve"> to carry </w:t>
      </w:r>
      <w:proofErr w:type="gramStart"/>
      <w:r w:rsidR="00B4350B" w:rsidRPr="003A4FF9">
        <w:rPr>
          <w:rFonts w:asciiTheme="majorHAnsi" w:hAnsiTheme="majorHAnsi" w:cstheme="majorHAnsi"/>
        </w:rPr>
        <w:t>in order to</w:t>
      </w:r>
      <w:proofErr w:type="gramEnd"/>
      <w:r w:rsidR="00B4350B" w:rsidRPr="003A4FF9">
        <w:rPr>
          <w:rFonts w:asciiTheme="majorHAnsi" w:hAnsiTheme="majorHAnsi" w:cstheme="majorHAnsi"/>
        </w:rPr>
        <w:t xml:space="preserve"> put that in the vehicles. Mr Kruger accompanied </w:t>
      </w:r>
      <w:r w:rsidR="002D225F" w:rsidRPr="003A4FF9">
        <w:rPr>
          <w:rFonts w:asciiTheme="majorHAnsi" w:hAnsiTheme="majorHAnsi" w:cstheme="majorHAnsi"/>
        </w:rPr>
        <w:t xml:space="preserve">the sons-in-law </w:t>
      </w:r>
      <w:r w:rsidR="00404E98" w:rsidRPr="003A4FF9">
        <w:rPr>
          <w:rFonts w:asciiTheme="majorHAnsi" w:hAnsiTheme="majorHAnsi" w:cstheme="majorHAnsi"/>
        </w:rPr>
        <w:t xml:space="preserve">on one occasion, </w:t>
      </w:r>
      <w:r w:rsidR="00471017" w:rsidRPr="003A4FF9">
        <w:rPr>
          <w:rFonts w:asciiTheme="majorHAnsi" w:hAnsiTheme="majorHAnsi" w:cstheme="majorHAnsi"/>
        </w:rPr>
        <w:t>but on his return</w:t>
      </w:r>
      <w:r w:rsidR="00734548" w:rsidRPr="003A4FF9">
        <w:rPr>
          <w:rFonts w:asciiTheme="majorHAnsi" w:hAnsiTheme="majorHAnsi" w:cstheme="majorHAnsi"/>
        </w:rPr>
        <w:t xml:space="preserve"> decided to seek shelter underneath a </w:t>
      </w:r>
      <w:r w:rsidR="009107C6" w:rsidRPr="003A4FF9">
        <w:rPr>
          <w:rFonts w:asciiTheme="majorHAnsi" w:hAnsiTheme="majorHAnsi" w:cstheme="majorHAnsi"/>
        </w:rPr>
        <w:t>veranda</w:t>
      </w:r>
      <w:r w:rsidR="008F291D" w:rsidRPr="003A4FF9">
        <w:rPr>
          <w:rFonts w:asciiTheme="majorHAnsi" w:hAnsiTheme="majorHAnsi" w:cstheme="majorHAnsi"/>
        </w:rPr>
        <w:t>. T</w:t>
      </w:r>
      <w:r w:rsidR="007B0DC6" w:rsidRPr="003A4FF9">
        <w:rPr>
          <w:rFonts w:asciiTheme="majorHAnsi" w:hAnsiTheme="majorHAnsi" w:cstheme="majorHAnsi"/>
        </w:rPr>
        <w:t>he plaintiff stay</w:t>
      </w:r>
      <w:r w:rsidR="00906765" w:rsidRPr="003A4FF9">
        <w:rPr>
          <w:rFonts w:asciiTheme="majorHAnsi" w:hAnsiTheme="majorHAnsi" w:cstheme="majorHAnsi"/>
        </w:rPr>
        <w:t>ed</w:t>
      </w:r>
      <w:r w:rsidR="007B0DC6" w:rsidRPr="003A4FF9">
        <w:rPr>
          <w:rFonts w:asciiTheme="majorHAnsi" w:hAnsiTheme="majorHAnsi" w:cstheme="majorHAnsi"/>
        </w:rPr>
        <w:t xml:space="preserve"> at the picnic </w:t>
      </w:r>
      <w:r w:rsidR="00F05C9B" w:rsidRPr="003A4FF9">
        <w:rPr>
          <w:rFonts w:asciiTheme="majorHAnsi" w:hAnsiTheme="majorHAnsi" w:cstheme="majorHAnsi"/>
        </w:rPr>
        <w:t>spot</w:t>
      </w:r>
      <w:r w:rsidR="009107C6" w:rsidRPr="003A4FF9">
        <w:rPr>
          <w:rFonts w:asciiTheme="majorHAnsi" w:hAnsiTheme="majorHAnsi" w:cstheme="majorHAnsi"/>
        </w:rPr>
        <w:t xml:space="preserve"> and</w:t>
      </w:r>
      <w:r w:rsidR="00906765" w:rsidRPr="003A4FF9">
        <w:rPr>
          <w:rFonts w:asciiTheme="majorHAnsi" w:hAnsiTheme="majorHAnsi" w:cstheme="majorHAnsi"/>
        </w:rPr>
        <w:t xml:space="preserve"> covered the remaining items with a blanket </w:t>
      </w:r>
      <w:proofErr w:type="gramStart"/>
      <w:r w:rsidR="00906765" w:rsidRPr="003A4FF9">
        <w:rPr>
          <w:rFonts w:asciiTheme="majorHAnsi" w:hAnsiTheme="majorHAnsi" w:cstheme="majorHAnsi"/>
        </w:rPr>
        <w:t xml:space="preserve">in order </w:t>
      </w:r>
      <w:r w:rsidR="000660AC" w:rsidRPr="003A4FF9">
        <w:rPr>
          <w:rFonts w:asciiTheme="majorHAnsi" w:hAnsiTheme="majorHAnsi" w:cstheme="majorHAnsi"/>
        </w:rPr>
        <w:t>to</w:t>
      </w:r>
      <w:proofErr w:type="gramEnd"/>
      <w:r w:rsidR="000660AC" w:rsidRPr="003A4FF9">
        <w:rPr>
          <w:rFonts w:asciiTheme="majorHAnsi" w:hAnsiTheme="majorHAnsi" w:cstheme="majorHAnsi"/>
        </w:rPr>
        <w:t xml:space="preserve"> prevent </w:t>
      </w:r>
      <w:r w:rsidR="00906765" w:rsidRPr="003A4FF9">
        <w:rPr>
          <w:rFonts w:asciiTheme="majorHAnsi" w:hAnsiTheme="majorHAnsi" w:cstheme="majorHAnsi"/>
        </w:rPr>
        <w:t xml:space="preserve">them from </w:t>
      </w:r>
      <w:r w:rsidR="00CE7E9C" w:rsidRPr="003A4FF9">
        <w:rPr>
          <w:rFonts w:asciiTheme="majorHAnsi" w:hAnsiTheme="majorHAnsi" w:cstheme="majorHAnsi"/>
        </w:rPr>
        <w:t xml:space="preserve">being washed away. At a stage she decided to </w:t>
      </w:r>
      <w:r w:rsidR="006E6E5D" w:rsidRPr="003A4FF9">
        <w:rPr>
          <w:rFonts w:asciiTheme="majorHAnsi" w:hAnsiTheme="majorHAnsi" w:cstheme="majorHAnsi"/>
        </w:rPr>
        <w:t xml:space="preserve">seek shelter underneath </w:t>
      </w:r>
      <w:r w:rsidR="00712539" w:rsidRPr="003A4FF9">
        <w:rPr>
          <w:rFonts w:asciiTheme="majorHAnsi" w:hAnsiTheme="majorHAnsi" w:cstheme="majorHAnsi"/>
        </w:rPr>
        <w:t>a nearby tree</w:t>
      </w:r>
      <w:r w:rsidR="00F459D4" w:rsidRPr="003A4FF9">
        <w:rPr>
          <w:rFonts w:asciiTheme="majorHAnsi" w:hAnsiTheme="majorHAnsi" w:cstheme="majorHAnsi"/>
        </w:rPr>
        <w:t xml:space="preserve"> closer to the river</w:t>
      </w:r>
      <w:r w:rsidR="00712539" w:rsidRPr="003A4FF9">
        <w:rPr>
          <w:rFonts w:asciiTheme="majorHAnsi" w:hAnsiTheme="majorHAnsi" w:cstheme="majorHAnsi"/>
        </w:rPr>
        <w:t xml:space="preserve">. As she was about </w:t>
      </w:r>
      <w:r w:rsidR="001B1E3C" w:rsidRPr="003A4FF9">
        <w:rPr>
          <w:rFonts w:asciiTheme="majorHAnsi" w:hAnsiTheme="majorHAnsi" w:cstheme="majorHAnsi"/>
        </w:rPr>
        <w:t xml:space="preserve">to reach </w:t>
      </w:r>
      <w:r w:rsidR="00712539" w:rsidRPr="003A4FF9">
        <w:rPr>
          <w:rFonts w:asciiTheme="majorHAnsi" w:hAnsiTheme="majorHAnsi" w:cstheme="majorHAnsi"/>
        </w:rPr>
        <w:t>the tree</w:t>
      </w:r>
      <w:r w:rsidR="001B1E3C" w:rsidRPr="003A4FF9">
        <w:rPr>
          <w:rFonts w:asciiTheme="majorHAnsi" w:hAnsiTheme="majorHAnsi" w:cstheme="majorHAnsi"/>
        </w:rPr>
        <w:t>,</w:t>
      </w:r>
      <w:r w:rsidR="00712539" w:rsidRPr="003A4FF9">
        <w:rPr>
          <w:rFonts w:asciiTheme="majorHAnsi" w:hAnsiTheme="majorHAnsi" w:cstheme="majorHAnsi"/>
        </w:rPr>
        <w:t xml:space="preserve"> she fell into a hole with both legs</w:t>
      </w:r>
      <w:r w:rsidR="00C61D17" w:rsidRPr="003A4FF9">
        <w:rPr>
          <w:rFonts w:asciiTheme="majorHAnsi" w:hAnsiTheme="majorHAnsi" w:cstheme="majorHAnsi"/>
        </w:rPr>
        <w:t xml:space="preserve">. The hole </w:t>
      </w:r>
      <w:r w:rsidR="00712539" w:rsidRPr="003A4FF9">
        <w:rPr>
          <w:rFonts w:asciiTheme="majorHAnsi" w:hAnsiTheme="majorHAnsi" w:cstheme="majorHAnsi"/>
        </w:rPr>
        <w:t xml:space="preserve">was so deep </w:t>
      </w:r>
      <w:r w:rsidR="00B86105" w:rsidRPr="003A4FF9">
        <w:rPr>
          <w:rFonts w:asciiTheme="majorHAnsi" w:hAnsiTheme="majorHAnsi" w:cstheme="majorHAnsi"/>
        </w:rPr>
        <w:t>– her knees were under</w:t>
      </w:r>
      <w:r w:rsidR="007D1D78" w:rsidRPr="003A4FF9">
        <w:rPr>
          <w:rFonts w:asciiTheme="majorHAnsi" w:hAnsiTheme="majorHAnsi" w:cstheme="majorHAnsi"/>
        </w:rPr>
        <w:t>neath</w:t>
      </w:r>
      <w:r w:rsidR="00B86105" w:rsidRPr="003A4FF9">
        <w:rPr>
          <w:rFonts w:asciiTheme="majorHAnsi" w:hAnsiTheme="majorHAnsi" w:cstheme="majorHAnsi"/>
        </w:rPr>
        <w:t xml:space="preserve"> ground level - </w:t>
      </w:r>
      <w:r w:rsidR="00290959" w:rsidRPr="003A4FF9">
        <w:rPr>
          <w:rFonts w:asciiTheme="majorHAnsi" w:hAnsiTheme="majorHAnsi" w:cstheme="majorHAnsi"/>
        </w:rPr>
        <w:t>that she had severe difficulty to get out</w:t>
      </w:r>
      <w:r w:rsidR="00747CDA" w:rsidRPr="003A4FF9">
        <w:rPr>
          <w:rFonts w:asciiTheme="majorHAnsi" w:hAnsiTheme="majorHAnsi" w:cstheme="majorHAnsi"/>
        </w:rPr>
        <w:t>,</w:t>
      </w:r>
      <w:r w:rsidR="00290959" w:rsidRPr="003A4FF9">
        <w:rPr>
          <w:rFonts w:asciiTheme="majorHAnsi" w:hAnsiTheme="majorHAnsi" w:cstheme="majorHAnsi"/>
        </w:rPr>
        <w:t xml:space="preserve"> especially </w:t>
      </w:r>
      <w:r w:rsidR="0021068F" w:rsidRPr="003A4FF9">
        <w:rPr>
          <w:rFonts w:asciiTheme="majorHAnsi" w:hAnsiTheme="majorHAnsi" w:cstheme="majorHAnsi"/>
        </w:rPr>
        <w:t>be</w:t>
      </w:r>
      <w:r w:rsidR="009107C6" w:rsidRPr="003A4FF9">
        <w:rPr>
          <w:rFonts w:asciiTheme="majorHAnsi" w:hAnsiTheme="majorHAnsi" w:cstheme="majorHAnsi"/>
        </w:rPr>
        <w:t>aring in mind the serious injuries</w:t>
      </w:r>
      <w:r w:rsidR="00471A5F" w:rsidRPr="003A4FF9">
        <w:rPr>
          <w:rFonts w:asciiTheme="majorHAnsi" w:hAnsiTheme="majorHAnsi" w:cstheme="majorHAnsi"/>
        </w:rPr>
        <w:t xml:space="preserve"> in the form of deep lacerations</w:t>
      </w:r>
      <w:r w:rsidR="0021068F" w:rsidRPr="003A4FF9">
        <w:rPr>
          <w:rFonts w:asciiTheme="majorHAnsi" w:hAnsiTheme="majorHAnsi" w:cstheme="majorHAnsi"/>
        </w:rPr>
        <w:t xml:space="preserve"> sustained to her </w:t>
      </w:r>
      <w:r w:rsidR="00FC70CB" w:rsidRPr="003A4FF9">
        <w:rPr>
          <w:rFonts w:asciiTheme="majorHAnsi" w:hAnsiTheme="majorHAnsi" w:cstheme="majorHAnsi"/>
        </w:rPr>
        <w:t>right foot</w:t>
      </w:r>
      <w:r w:rsidR="009107C6" w:rsidRPr="003A4FF9">
        <w:rPr>
          <w:rFonts w:asciiTheme="majorHAnsi" w:hAnsiTheme="majorHAnsi" w:cstheme="majorHAnsi"/>
        </w:rPr>
        <w:t xml:space="preserve"> and leg</w:t>
      </w:r>
      <w:r w:rsidR="00471A5F" w:rsidRPr="003A4FF9">
        <w:rPr>
          <w:rFonts w:asciiTheme="majorHAnsi" w:hAnsiTheme="majorHAnsi" w:cstheme="majorHAnsi"/>
        </w:rPr>
        <w:t xml:space="preserve">. </w:t>
      </w:r>
      <w:r w:rsidR="00E02B96" w:rsidRPr="003A4FF9">
        <w:rPr>
          <w:rFonts w:asciiTheme="majorHAnsi" w:hAnsiTheme="majorHAnsi" w:cstheme="majorHAnsi"/>
        </w:rPr>
        <w:t xml:space="preserve">She </w:t>
      </w:r>
      <w:r w:rsidR="00FB06BC" w:rsidRPr="003A4FF9">
        <w:rPr>
          <w:rFonts w:asciiTheme="majorHAnsi" w:hAnsiTheme="majorHAnsi" w:cstheme="majorHAnsi"/>
        </w:rPr>
        <w:t xml:space="preserve">eventually </w:t>
      </w:r>
      <w:r w:rsidR="00E02B96" w:rsidRPr="003A4FF9">
        <w:rPr>
          <w:rFonts w:asciiTheme="majorHAnsi" w:hAnsiTheme="majorHAnsi" w:cstheme="majorHAnsi"/>
        </w:rPr>
        <w:t xml:space="preserve">managed to grab </w:t>
      </w:r>
      <w:r w:rsidR="00BC4C0D" w:rsidRPr="003A4FF9">
        <w:rPr>
          <w:rFonts w:asciiTheme="majorHAnsi" w:hAnsiTheme="majorHAnsi" w:cstheme="majorHAnsi"/>
        </w:rPr>
        <w:t xml:space="preserve">the tree trunk in order to get </w:t>
      </w:r>
      <w:r w:rsidR="000222FF" w:rsidRPr="003A4FF9">
        <w:rPr>
          <w:rFonts w:asciiTheme="majorHAnsi" w:hAnsiTheme="majorHAnsi" w:cstheme="majorHAnsi"/>
        </w:rPr>
        <w:t xml:space="preserve">upright </w:t>
      </w:r>
      <w:r w:rsidR="000C1077" w:rsidRPr="003A4FF9">
        <w:rPr>
          <w:rFonts w:asciiTheme="majorHAnsi" w:hAnsiTheme="majorHAnsi" w:cstheme="majorHAnsi"/>
        </w:rPr>
        <w:t>wh</w:t>
      </w:r>
      <w:r w:rsidR="00F8094B" w:rsidRPr="003A4FF9">
        <w:rPr>
          <w:rFonts w:asciiTheme="majorHAnsi" w:hAnsiTheme="majorHAnsi" w:cstheme="majorHAnsi"/>
        </w:rPr>
        <w:t>ilst scream</w:t>
      </w:r>
      <w:r w:rsidR="00063D5C" w:rsidRPr="003A4FF9">
        <w:rPr>
          <w:rFonts w:asciiTheme="majorHAnsi" w:hAnsiTheme="majorHAnsi" w:cstheme="majorHAnsi"/>
        </w:rPr>
        <w:t>ing</w:t>
      </w:r>
      <w:r w:rsidR="00F8094B" w:rsidRPr="003A4FF9">
        <w:rPr>
          <w:rFonts w:asciiTheme="majorHAnsi" w:hAnsiTheme="majorHAnsi" w:cstheme="majorHAnsi"/>
        </w:rPr>
        <w:t xml:space="preserve"> for help.</w:t>
      </w:r>
      <w:r w:rsidR="00471017" w:rsidRPr="003A4FF9">
        <w:rPr>
          <w:rFonts w:asciiTheme="majorHAnsi" w:hAnsiTheme="majorHAnsi" w:cstheme="majorHAnsi"/>
        </w:rPr>
        <w:t xml:space="preserve"> Blood was spurting from</w:t>
      </w:r>
      <w:r w:rsidR="009107C6" w:rsidRPr="003A4FF9">
        <w:rPr>
          <w:rFonts w:asciiTheme="majorHAnsi" w:hAnsiTheme="majorHAnsi" w:cstheme="majorHAnsi"/>
        </w:rPr>
        <w:t xml:space="preserve"> </w:t>
      </w:r>
      <w:r w:rsidR="009E0BCC" w:rsidRPr="003A4FF9">
        <w:rPr>
          <w:rFonts w:asciiTheme="majorHAnsi" w:hAnsiTheme="majorHAnsi" w:cstheme="majorHAnsi"/>
        </w:rPr>
        <w:t xml:space="preserve">two </w:t>
      </w:r>
      <w:r w:rsidR="00471017" w:rsidRPr="003A4FF9">
        <w:rPr>
          <w:rFonts w:asciiTheme="majorHAnsi" w:hAnsiTheme="majorHAnsi" w:cstheme="majorHAnsi"/>
        </w:rPr>
        <w:t xml:space="preserve">different </w:t>
      </w:r>
      <w:r w:rsidR="009E0BCC" w:rsidRPr="003A4FF9">
        <w:rPr>
          <w:rFonts w:asciiTheme="majorHAnsi" w:hAnsiTheme="majorHAnsi" w:cstheme="majorHAnsi"/>
        </w:rPr>
        <w:t>locations. She unsuccessfully tried to stop bleeding by using her thumbs.</w:t>
      </w:r>
    </w:p>
    <w:p w14:paraId="2CAF3AC3" w14:textId="77777777" w:rsidR="008E300B" w:rsidRPr="005C161E" w:rsidRDefault="008E300B" w:rsidP="005C161E">
      <w:pPr>
        <w:pStyle w:val="ListParagraph"/>
        <w:spacing w:line="360" w:lineRule="auto"/>
        <w:jc w:val="both"/>
        <w:rPr>
          <w:rFonts w:asciiTheme="majorHAnsi" w:hAnsiTheme="majorHAnsi" w:cstheme="majorHAnsi"/>
        </w:rPr>
      </w:pPr>
    </w:p>
    <w:p w14:paraId="596E20C8" w14:textId="566726F4" w:rsidR="008E300B"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[13]</w:t>
      </w:r>
      <w:r w:rsidRPr="005C161E">
        <w:rPr>
          <w:rFonts w:asciiTheme="majorHAnsi" w:hAnsiTheme="majorHAnsi" w:cstheme="majorHAnsi"/>
        </w:rPr>
        <w:tab/>
      </w:r>
      <w:r w:rsidR="009E0BCC" w:rsidRPr="003A4FF9">
        <w:rPr>
          <w:rFonts w:asciiTheme="majorHAnsi" w:hAnsiTheme="majorHAnsi" w:cstheme="majorHAnsi"/>
        </w:rPr>
        <w:t>On his way back from his vehicle, Mr Labuschagne</w:t>
      </w:r>
      <w:r w:rsidR="008E300B" w:rsidRPr="003A4FF9">
        <w:rPr>
          <w:rFonts w:asciiTheme="majorHAnsi" w:hAnsiTheme="majorHAnsi" w:cstheme="majorHAnsi"/>
        </w:rPr>
        <w:t xml:space="preserve"> </w:t>
      </w:r>
      <w:r w:rsidR="001D4A21" w:rsidRPr="003A4FF9">
        <w:rPr>
          <w:rFonts w:asciiTheme="majorHAnsi" w:hAnsiTheme="majorHAnsi" w:cstheme="majorHAnsi"/>
        </w:rPr>
        <w:t>heard</w:t>
      </w:r>
      <w:r w:rsidR="008E300B" w:rsidRPr="003A4FF9">
        <w:rPr>
          <w:rFonts w:asciiTheme="majorHAnsi" w:hAnsiTheme="majorHAnsi" w:cstheme="majorHAnsi"/>
        </w:rPr>
        <w:t xml:space="preserve"> the screams </w:t>
      </w:r>
      <w:r w:rsidR="00C41E2C" w:rsidRPr="003A4FF9">
        <w:rPr>
          <w:rFonts w:asciiTheme="majorHAnsi" w:hAnsiTheme="majorHAnsi" w:cstheme="majorHAnsi"/>
        </w:rPr>
        <w:t xml:space="preserve">but due to the heavy </w:t>
      </w:r>
      <w:r w:rsidR="004E6202" w:rsidRPr="003A4FF9">
        <w:rPr>
          <w:rFonts w:asciiTheme="majorHAnsi" w:hAnsiTheme="majorHAnsi" w:cstheme="majorHAnsi"/>
        </w:rPr>
        <w:t>downpour</w:t>
      </w:r>
      <w:r w:rsidR="00C41E2C" w:rsidRPr="003A4FF9">
        <w:rPr>
          <w:rFonts w:asciiTheme="majorHAnsi" w:hAnsiTheme="majorHAnsi" w:cstheme="majorHAnsi"/>
        </w:rPr>
        <w:t xml:space="preserve"> </w:t>
      </w:r>
      <w:r w:rsidR="00471017" w:rsidRPr="003A4FF9">
        <w:rPr>
          <w:rFonts w:asciiTheme="majorHAnsi" w:hAnsiTheme="majorHAnsi" w:cstheme="majorHAnsi"/>
        </w:rPr>
        <w:t>found it difficult</w:t>
      </w:r>
      <w:r w:rsidR="00C41E2C" w:rsidRPr="003A4FF9">
        <w:rPr>
          <w:rFonts w:asciiTheme="majorHAnsi" w:hAnsiTheme="majorHAnsi" w:cstheme="majorHAnsi"/>
        </w:rPr>
        <w:t xml:space="preserve"> to </w:t>
      </w:r>
      <w:r w:rsidR="009E0BCC" w:rsidRPr="003A4FF9">
        <w:rPr>
          <w:rFonts w:asciiTheme="majorHAnsi" w:hAnsiTheme="majorHAnsi" w:cstheme="majorHAnsi"/>
        </w:rPr>
        <w:t>see the plaintiff</w:t>
      </w:r>
      <w:r w:rsidR="004E6202" w:rsidRPr="003A4FF9">
        <w:rPr>
          <w:rFonts w:asciiTheme="majorHAnsi" w:hAnsiTheme="majorHAnsi" w:cstheme="majorHAnsi"/>
        </w:rPr>
        <w:t xml:space="preserve"> initi</w:t>
      </w:r>
      <w:r w:rsidR="00471017" w:rsidRPr="003A4FF9">
        <w:rPr>
          <w:rFonts w:asciiTheme="majorHAnsi" w:hAnsiTheme="majorHAnsi" w:cstheme="majorHAnsi"/>
        </w:rPr>
        <w:t>ally. When he approached her t</w:t>
      </w:r>
      <w:r w:rsidR="00985097" w:rsidRPr="003A4FF9">
        <w:rPr>
          <w:rFonts w:asciiTheme="majorHAnsi" w:hAnsiTheme="majorHAnsi" w:cstheme="majorHAnsi"/>
        </w:rPr>
        <w:t xml:space="preserve">he plaintiff had to make him aware of the hole </w:t>
      </w:r>
      <w:r w:rsidR="00594F43" w:rsidRPr="003A4FF9">
        <w:rPr>
          <w:rFonts w:asciiTheme="majorHAnsi" w:hAnsiTheme="majorHAnsi" w:cstheme="majorHAnsi"/>
        </w:rPr>
        <w:t xml:space="preserve">as it was impossible to </w:t>
      </w:r>
      <w:r w:rsidR="008925B9" w:rsidRPr="003A4FF9">
        <w:rPr>
          <w:rFonts w:asciiTheme="majorHAnsi" w:hAnsiTheme="majorHAnsi" w:cstheme="majorHAnsi"/>
        </w:rPr>
        <w:t xml:space="preserve">see it due to being filled with water </w:t>
      </w:r>
      <w:r w:rsidR="00F92856" w:rsidRPr="003A4FF9">
        <w:rPr>
          <w:rFonts w:asciiTheme="majorHAnsi" w:hAnsiTheme="majorHAnsi" w:cstheme="majorHAnsi"/>
        </w:rPr>
        <w:t xml:space="preserve">and the streams of water </w:t>
      </w:r>
      <w:r w:rsidR="002A45DD" w:rsidRPr="003A4FF9">
        <w:rPr>
          <w:rFonts w:asciiTheme="majorHAnsi" w:hAnsiTheme="majorHAnsi" w:cstheme="majorHAnsi"/>
        </w:rPr>
        <w:t xml:space="preserve">running down towards the river. </w:t>
      </w:r>
      <w:r w:rsidR="003E271E" w:rsidRPr="003A4FF9">
        <w:rPr>
          <w:rFonts w:asciiTheme="majorHAnsi" w:hAnsiTheme="majorHAnsi" w:cstheme="majorHAnsi"/>
        </w:rPr>
        <w:t xml:space="preserve">The plaintiff and Mr Labuschagne’s versions differ in respect of </w:t>
      </w:r>
      <w:r w:rsidR="00471017" w:rsidRPr="003A4FF9">
        <w:rPr>
          <w:rFonts w:asciiTheme="majorHAnsi" w:hAnsiTheme="majorHAnsi" w:cstheme="majorHAnsi"/>
        </w:rPr>
        <w:t>when she warned him</w:t>
      </w:r>
      <w:r w:rsidR="003E271E" w:rsidRPr="003A4FF9">
        <w:rPr>
          <w:rFonts w:asciiTheme="majorHAnsi" w:hAnsiTheme="majorHAnsi" w:cstheme="majorHAnsi"/>
        </w:rPr>
        <w:t xml:space="preserve"> about the hole. </w:t>
      </w:r>
      <w:r w:rsidR="009E5488" w:rsidRPr="003A4FF9">
        <w:rPr>
          <w:rFonts w:asciiTheme="majorHAnsi" w:hAnsiTheme="majorHAnsi" w:cstheme="majorHAnsi"/>
        </w:rPr>
        <w:t>Contrary to her version, he testified that she warned him on their way back to the vehicles. T</w:t>
      </w:r>
      <w:r w:rsidR="003E271E" w:rsidRPr="003A4FF9">
        <w:rPr>
          <w:rFonts w:asciiTheme="majorHAnsi" w:hAnsiTheme="majorHAnsi" w:cstheme="majorHAnsi"/>
        </w:rPr>
        <w:t xml:space="preserve">here must have been much confusion and I am not prepared to find that any of their versions should be rejected as false. Anyone might have made an innocent mistake in the circumstances. Mr Labuschagne </w:t>
      </w:r>
      <w:r w:rsidR="009E0BCC" w:rsidRPr="003A4FF9">
        <w:rPr>
          <w:rFonts w:asciiTheme="majorHAnsi" w:hAnsiTheme="majorHAnsi" w:cstheme="majorHAnsi"/>
        </w:rPr>
        <w:t xml:space="preserve">took off his T-shirt to dress the wounds, but to no avail. </w:t>
      </w:r>
      <w:r w:rsidR="002A45DD" w:rsidRPr="003A4FF9">
        <w:rPr>
          <w:rFonts w:asciiTheme="majorHAnsi" w:hAnsiTheme="majorHAnsi" w:cstheme="majorHAnsi"/>
        </w:rPr>
        <w:t>H</w:t>
      </w:r>
      <w:r w:rsidR="003E271E" w:rsidRPr="003A4FF9">
        <w:rPr>
          <w:rFonts w:asciiTheme="majorHAnsi" w:hAnsiTheme="majorHAnsi" w:cstheme="majorHAnsi"/>
        </w:rPr>
        <w:t>e assisted the plaintiff</w:t>
      </w:r>
      <w:r w:rsidR="009E0BCC" w:rsidRPr="003A4FF9">
        <w:rPr>
          <w:rFonts w:asciiTheme="majorHAnsi" w:hAnsiTheme="majorHAnsi" w:cstheme="majorHAnsi"/>
        </w:rPr>
        <w:t xml:space="preserve"> on the way to the vehicles</w:t>
      </w:r>
      <w:r w:rsidR="00471A5F" w:rsidRPr="003A4FF9">
        <w:rPr>
          <w:rFonts w:asciiTheme="majorHAnsi" w:hAnsiTheme="majorHAnsi" w:cstheme="majorHAnsi"/>
        </w:rPr>
        <w:t xml:space="preserve"> as she could not step on her right </w:t>
      </w:r>
      <w:proofErr w:type="gramStart"/>
      <w:r w:rsidR="00471A5F" w:rsidRPr="003A4FF9">
        <w:rPr>
          <w:rFonts w:asciiTheme="majorHAnsi" w:hAnsiTheme="majorHAnsi" w:cstheme="majorHAnsi"/>
        </w:rPr>
        <w:t>foot</w:t>
      </w:r>
      <w:r w:rsidR="006846C0" w:rsidRPr="003A4FF9">
        <w:rPr>
          <w:rFonts w:asciiTheme="majorHAnsi" w:hAnsiTheme="majorHAnsi" w:cstheme="majorHAnsi"/>
        </w:rPr>
        <w:t>,</w:t>
      </w:r>
      <w:r w:rsidR="007E5076" w:rsidRPr="003A4FF9">
        <w:rPr>
          <w:rFonts w:asciiTheme="majorHAnsi" w:hAnsiTheme="majorHAnsi" w:cstheme="majorHAnsi"/>
        </w:rPr>
        <w:t xml:space="preserve"> but</w:t>
      </w:r>
      <w:proofErr w:type="gramEnd"/>
      <w:r w:rsidR="007E5076" w:rsidRPr="003A4FF9">
        <w:rPr>
          <w:rFonts w:asciiTheme="majorHAnsi" w:hAnsiTheme="majorHAnsi" w:cstheme="majorHAnsi"/>
        </w:rPr>
        <w:t xml:space="preserve"> found it difficult </w:t>
      </w:r>
      <w:r w:rsidR="006846C0" w:rsidRPr="003A4FF9">
        <w:rPr>
          <w:rFonts w:asciiTheme="majorHAnsi" w:hAnsiTheme="majorHAnsi" w:cstheme="majorHAnsi"/>
        </w:rPr>
        <w:t>on his own</w:t>
      </w:r>
      <w:r w:rsidR="00E312E6" w:rsidRPr="003A4FF9">
        <w:rPr>
          <w:rFonts w:asciiTheme="majorHAnsi" w:hAnsiTheme="majorHAnsi" w:cstheme="majorHAnsi"/>
        </w:rPr>
        <w:t xml:space="preserve">. At </w:t>
      </w:r>
      <w:r w:rsidR="00044E84" w:rsidRPr="003A4FF9">
        <w:rPr>
          <w:rFonts w:asciiTheme="majorHAnsi" w:hAnsiTheme="majorHAnsi" w:cstheme="majorHAnsi"/>
        </w:rPr>
        <w:t>a</w:t>
      </w:r>
      <w:r w:rsidR="00E312E6" w:rsidRPr="003A4FF9">
        <w:rPr>
          <w:rFonts w:asciiTheme="majorHAnsi" w:hAnsiTheme="majorHAnsi" w:cstheme="majorHAnsi"/>
        </w:rPr>
        <w:t xml:space="preserve"> stage </w:t>
      </w:r>
      <w:r w:rsidR="009E0BCC" w:rsidRPr="003A4FF9">
        <w:rPr>
          <w:rFonts w:asciiTheme="majorHAnsi" w:hAnsiTheme="majorHAnsi" w:cstheme="majorHAnsi"/>
        </w:rPr>
        <w:t>a person unknown to them, identifying</w:t>
      </w:r>
      <w:r w:rsidR="00A45C09" w:rsidRPr="003A4FF9">
        <w:rPr>
          <w:rFonts w:asciiTheme="majorHAnsi" w:hAnsiTheme="majorHAnsi" w:cstheme="majorHAnsi"/>
        </w:rPr>
        <w:t xml:space="preserve"> himself </w:t>
      </w:r>
      <w:r w:rsidR="00897283" w:rsidRPr="003A4FF9">
        <w:rPr>
          <w:rFonts w:asciiTheme="majorHAnsi" w:hAnsiTheme="majorHAnsi" w:cstheme="majorHAnsi"/>
        </w:rPr>
        <w:t xml:space="preserve">as </w:t>
      </w:r>
      <w:r w:rsidR="00044E84" w:rsidRPr="003A4FF9">
        <w:rPr>
          <w:rFonts w:asciiTheme="majorHAnsi" w:hAnsiTheme="majorHAnsi" w:cstheme="majorHAnsi"/>
        </w:rPr>
        <w:t>Aubrey</w:t>
      </w:r>
      <w:r w:rsidR="009E0BCC" w:rsidRPr="003A4FF9">
        <w:rPr>
          <w:rFonts w:asciiTheme="majorHAnsi" w:hAnsiTheme="majorHAnsi" w:cstheme="majorHAnsi"/>
        </w:rPr>
        <w:t>, alleging</w:t>
      </w:r>
      <w:r w:rsidR="00CF0C83" w:rsidRPr="003A4FF9">
        <w:rPr>
          <w:rFonts w:asciiTheme="majorHAnsi" w:hAnsiTheme="majorHAnsi" w:cstheme="majorHAnsi"/>
        </w:rPr>
        <w:t xml:space="preserve"> that he </w:t>
      </w:r>
      <w:r w:rsidR="005F6A4A" w:rsidRPr="003A4FF9">
        <w:rPr>
          <w:rFonts w:asciiTheme="majorHAnsi" w:hAnsiTheme="majorHAnsi" w:cstheme="majorHAnsi"/>
        </w:rPr>
        <w:t xml:space="preserve">was </w:t>
      </w:r>
      <w:r w:rsidR="00557DE9" w:rsidRPr="003A4FF9">
        <w:rPr>
          <w:rFonts w:asciiTheme="majorHAnsi" w:hAnsiTheme="majorHAnsi" w:cstheme="majorHAnsi"/>
        </w:rPr>
        <w:t>an empl</w:t>
      </w:r>
      <w:r w:rsidR="008B2B80" w:rsidRPr="003A4FF9">
        <w:rPr>
          <w:rFonts w:asciiTheme="majorHAnsi" w:hAnsiTheme="majorHAnsi" w:cstheme="majorHAnsi"/>
        </w:rPr>
        <w:t>oyee at the resort</w:t>
      </w:r>
      <w:r w:rsidR="009E0BCC" w:rsidRPr="003A4FF9">
        <w:rPr>
          <w:rFonts w:asciiTheme="majorHAnsi" w:hAnsiTheme="majorHAnsi" w:cstheme="majorHAnsi"/>
        </w:rPr>
        <w:t>, working at the hot water swimming pool</w:t>
      </w:r>
      <w:r w:rsidR="008B2B80" w:rsidRPr="003A4FF9">
        <w:rPr>
          <w:rFonts w:asciiTheme="majorHAnsi" w:hAnsiTheme="majorHAnsi" w:cstheme="majorHAnsi"/>
        </w:rPr>
        <w:t>, assisted</w:t>
      </w:r>
      <w:r w:rsidR="002226F6" w:rsidRPr="003A4FF9">
        <w:rPr>
          <w:rFonts w:asciiTheme="majorHAnsi" w:hAnsiTheme="majorHAnsi" w:cstheme="majorHAnsi"/>
        </w:rPr>
        <w:t xml:space="preserve"> </w:t>
      </w:r>
      <w:r w:rsidR="009E0BCC" w:rsidRPr="003A4FF9">
        <w:rPr>
          <w:rFonts w:asciiTheme="majorHAnsi" w:hAnsiTheme="majorHAnsi" w:cstheme="majorHAnsi"/>
        </w:rPr>
        <w:t xml:space="preserve">Mr </w:t>
      </w:r>
      <w:r w:rsidR="002226F6" w:rsidRPr="003A4FF9">
        <w:rPr>
          <w:rFonts w:asciiTheme="majorHAnsi" w:hAnsiTheme="majorHAnsi" w:cstheme="majorHAnsi"/>
        </w:rPr>
        <w:t>Labuschagne</w:t>
      </w:r>
      <w:r w:rsidR="008B2B80" w:rsidRPr="003A4FF9">
        <w:rPr>
          <w:rFonts w:asciiTheme="majorHAnsi" w:hAnsiTheme="majorHAnsi" w:cstheme="majorHAnsi"/>
        </w:rPr>
        <w:t xml:space="preserve">. This person was eventually relieved </w:t>
      </w:r>
      <w:r w:rsidR="00D1002F" w:rsidRPr="003A4FF9">
        <w:rPr>
          <w:rFonts w:asciiTheme="majorHAnsi" w:hAnsiTheme="majorHAnsi" w:cstheme="majorHAnsi"/>
        </w:rPr>
        <w:t xml:space="preserve">as </w:t>
      </w:r>
      <w:r w:rsidR="00356483" w:rsidRPr="003A4FF9">
        <w:rPr>
          <w:rFonts w:asciiTheme="majorHAnsi" w:hAnsiTheme="majorHAnsi" w:cstheme="majorHAnsi"/>
        </w:rPr>
        <w:t xml:space="preserve">the </w:t>
      </w:r>
      <w:r w:rsidR="00BA0510" w:rsidRPr="003A4FF9">
        <w:rPr>
          <w:rFonts w:asciiTheme="majorHAnsi" w:hAnsiTheme="majorHAnsi" w:cstheme="majorHAnsi"/>
        </w:rPr>
        <w:t>plaintiff’s</w:t>
      </w:r>
      <w:r w:rsidR="00356483" w:rsidRPr="003A4FF9">
        <w:rPr>
          <w:rFonts w:asciiTheme="majorHAnsi" w:hAnsiTheme="majorHAnsi" w:cstheme="majorHAnsi"/>
        </w:rPr>
        <w:t xml:space="preserve"> other </w:t>
      </w:r>
      <w:r w:rsidR="006A6D34" w:rsidRPr="003A4FF9">
        <w:rPr>
          <w:rFonts w:asciiTheme="majorHAnsi" w:hAnsiTheme="majorHAnsi" w:cstheme="majorHAnsi"/>
        </w:rPr>
        <w:t>son-in-law</w:t>
      </w:r>
      <w:r w:rsidR="009156EB" w:rsidRPr="003A4FF9">
        <w:rPr>
          <w:rFonts w:asciiTheme="majorHAnsi" w:hAnsiTheme="majorHAnsi" w:cstheme="majorHAnsi"/>
        </w:rPr>
        <w:t>,</w:t>
      </w:r>
      <w:r w:rsidR="006A6D34" w:rsidRPr="003A4FF9">
        <w:rPr>
          <w:rFonts w:asciiTheme="majorHAnsi" w:hAnsiTheme="majorHAnsi" w:cstheme="majorHAnsi"/>
        </w:rPr>
        <w:t xml:space="preserve"> </w:t>
      </w:r>
      <w:r w:rsidR="007843D1" w:rsidRPr="003A4FF9">
        <w:rPr>
          <w:rFonts w:asciiTheme="majorHAnsi" w:hAnsiTheme="majorHAnsi" w:cstheme="majorHAnsi"/>
        </w:rPr>
        <w:t xml:space="preserve">Mr </w:t>
      </w:r>
      <w:r w:rsidR="009156EB" w:rsidRPr="003A4FF9">
        <w:rPr>
          <w:rFonts w:asciiTheme="majorHAnsi" w:hAnsiTheme="majorHAnsi" w:cstheme="majorHAnsi"/>
        </w:rPr>
        <w:t xml:space="preserve">Jean Watson, </w:t>
      </w:r>
      <w:r w:rsidR="005E57F1" w:rsidRPr="003A4FF9">
        <w:rPr>
          <w:rFonts w:asciiTheme="majorHAnsi" w:hAnsiTheme="majorHAnsi" w:cstheme="majorHAnsi"/>
        </w:rPr>
        <w:t xml:space="preserve">arrived. As blood was </w:t>
      </w:r>
      <w:r w:rsidR="009E0BCC" w:rsidRPr="003A4FF9">
        <w:rPr>
          <w:rFonts w:asciiTheme="majorHAnsi" w:hAnsiTheme="majorHAnsi" w:cstheme="majorHAnsi"/>
        </w:rPr>
        <w:t xml:space="preserve">still </w:t>
      </w:r>
      <w:r w:rsidR="005E57F1" w:rsidRPr="003A4FF9">
        <w:rPr>
          <w:rFonts w:asciiTheme="majorHAnsi" w:hAnsiTheme="majorHAnsi" w:cstheme="majorHAnsi"/>
        </w:rPr>
        <w:t xml:space="preserve">spurting out of </w:t>
      </w:r>
      <w:r w:rsidR="009E0BCC" w:rsidRPr="003A4FF9">
        <w:rPr>
          <w:rFonts w:asciiTheme="majorHAnsi" w:hAnsiTheme="majorHAnsi" w:cstheme="majorHAnsi"/>
        </w:rPr>
        <w:t xml:space="preserve">the </w:t>
      </w:r>
      <w:r w:rsidR="005E57F1" w:rsidRPr="003A4FF9">
        <w:rPr>
          <w:rFonts w:asciiTheme="majorHAnsi" w:hAnsiTheme="majorHAnsi" w:cstheme="majorHAnsi"/>
        </w:rPr>
        <w:t xml:space="preserve">two separate wounds </w:t>
      </w:r>
      <w:r w:rsidR="00705927" w:rsidRPr="003A4FF9">
        <w:rPr>
          <w:rFonts w:asciiTheme="majorHAnsi" w:hAnsiTheme="majorHAnsi" w:cstheme="majorHAnsi"/>
        </w:rPr>
        <w:t xml:space="preserve">on her foot, Mr </w:t>
      </w:r>
      <w:r w:rsidR="007843D1" w:rsidRPr="003A4FF9">
        <w:rPr>
          <w:rFonts w:asciiTheme="majorHAnsi" w:hAnsiTheme="majorHAnsi" w:cstheme="majorHAnsi"/>
        </w:rPr>
        <w:lastRenderedPageBreak/>
        <w:t xml:space="preserve">Watson </w:t>
      </w:r>
      <w:r w:rsidR="009E0BCC" w:rsidRPr="003A4FF9">
        <w:rPr>
          <w:rFonts w:asciiTheme="majorHAnsi" w:hAnsiTheme="majorHAnsi" w:cstheme="majorHAnsi"/>
        </w:rPr>
        <w:t>transported the plaintiff</w:t>
      </w:r>
      <w:r w:rsidR="008D14E8" w:rsidRPr="003A4FF9">
        <w:rPr>
          <w:rFonts w:asciiTheme="majorHAnsi" w:hAnsiTheme="majorHAnsi" w:cstheme="majorHAnsi"/>
        </w:rPr>
        <w:t xml:space="preserve"> </w:t>
      </w:r>
      <w:r w:rsidR="003E271E" w:rsidRPr="003A4FF9">
        <w:rPr>
          <w:rFonts w:asciiTheme="majorHAnsi" w:hAnsiTheme="majorHAnsi" w:cstheme="majorHAnsi"/>
        </w:rPr>
        <w:t xml:space="preserve">in his vehicle </w:t>
      </w:r>
      <w:r w:rsidR="008D14E8" w:rsidRPr="003A4FF9">
        <w:rPr>
          <w:rFonts w:asciiTheme="majorHAnsi" w:hAnsiTheme="majorHAnsi" w:cstheme="majorHAnsi"/>
        </w:rPr>
        <w:t xml:space="preserve">to </w:t>
      </w:r>
      <w:r w:rsidR="009E0BCC" w:rsidRPr="003A4FF9">
        <w:rPr>
          <w:rFonts w:asciiTheme="majorHAnsi" w:hAnsiTheme="majorHAnsi" w:cstheme="majorHAnsi"/>
        </w:rPr>
        <w:t xml:space="preserve">the casualties’ department of the </w:t>
      </w:r>
      <w:proofErr w:type="spellStart"/>
      <w:r w:rsidR="009E0BCC" w:rsidRPr="003A4FF9">
        <w:rPr>
          <w:rFonts w:asciiTheme="majorHAnsi" w:hAnsiTheme="majorHAnsi" w:cstheme="majorHAnsi"/>
        </w:rPr>
        <w:t>Wilmed</w:t>
      </w:r>
      <w:proofErr w:type="spellEnd"/>
      <w:r w:rsidR="009E0BCC" w:rsidRPr="003A4FF9">
        <w:rPr>
          <w:rFonts w:asciiTheme="majorHAnsi" w:hAnsiTheme="majorHAnsi" w:cstheme="majorHAnsi"/>
        </w:rPr>
        <w:t xml:space="preserve"> Park private hospital. As the plaintiff was not a member of a medical aid fund, the wounds were merely dressed</w:t>
      </w:r>
      <w:r w:rsidR="00692123" w:rsidRPr="003A4FF9">
        <w:rPr>
          <w:rFonts w:asciiTheme="majorHAnsi" w:hAnsiTheme="majorHAnsi" w:cstheme="majorHAnsi"/>
        </w:rPr>
        <w:t xml:space="preserve"> to stop the bleeding, where after she was taken</w:t>
      </w:r>
      <w:r w:rsidR="009E5488" w:rsidRPr="003A4FF9">
        <w:rPr>
          <w:rFonts w:asciiTheme="majorHAnsi" w:hAnsiTheme="majorHAnsi" w:cstheme="majorHAnsi"/>
        </w:rPr>
        <w:t>, first to the Klerksdorp hospital who did not assist her and thereafter</w:t>
      </w:r>
      <w:r w:rsidR="00692123" w:rsidRPr="003A4FF9">
        <w:rPr>
          <w:rFonts w:asciiTheme="majorHAnsi" w:hAnsiTheme="majorHAnsi" w:cstheme="majorHAnsi"/>
        </w:rPr>
        <w:t xml:space="preserve"> to the </w:t>
      </w:r>
      <w:proofErr w:type="spellStart"/>
      <w:r w:rsidR="00692123" w:rsidRPr="003A4FF9">
        <w:rPr>
          <w:rFonts w:asciiTheme="majorHAnsi" w:hAnsiTheme="majorHAnsi" w:cstheme="majorHAnsi"/>
        </w:rPr>
        <w:t>Ts</w:t>
      </w:r>
      <w:r w:rsidR="009E5488" w:rsidRPr="003A4FF9">
        <w:rPr>
          <w:rFonts w:asciiTheme="majorHAnsi" w:hAnsiTheme="majorHAnsi" w:cstheme="majorHAnsi"/>
        </w:rPr>
        <w:t>h</w:t>
      </w:r>
      <w:r w:rsidR="00692123" w:rsidRPr="003A4FF9">
        <w:rPr>
          <w:rFonts w:asciiTheme="majorHAnsi" w:hAnsiTheme="majorHAnsi" w:cstheme="majorHAnsi"/>
        </w:rPr>
        <w:t>epong</w:t>
      </w:r>
      <w:proofErr w:type="spellEnd"/>
      <w:r w:rsidR="00692123" w:rsidRPr="003A4FF9">
        <w:rPr>
          <w:rFonts w:asciiTheme="majorHAnsi" w:hAnsiTheme="majorHAnsi" w:cstheme="majorHAnsi"/>
        </w:rPr>
        <w:t xml:space="preserve"> hospital where the wounds were cleaned and sutured. Operations followed </w:t>
      </w:r>
      <w:proofErr w:type="gramStart"/>
      <w:r w:rsidR="00692123" w:rsidRPr="003A4FF9">
        <w:rPr>
          <w:rFonts w:asciiTheme="majorHAnsi" w:hAnsiTheme="majorHAnsi" w:cstheme="majorHAnsi"/>
        </w:rPr>
        <w:t>later on</w:t>
      </w:r>
      <w:proofErr w:type="gramEnd"/>
      <w:r w:rsidR="00692123" w:rsidRPr="003A4FF9">
        <w:rPr>
          <w:rFonts w:asciiTheme="majorHAnsi" w:hAnsiTheme="majorHAnsi" w:cstheme="majorHAnsi"/>
        </w:rPr>
        <w:t xml:space="preserve"> as Mr </w:t>
      </w:r>
      <w:proofErr w:type="spellStart"/>
      <w:r w:rsidR="00692123" w:rsidRPr="003A4FF9">
        <w:rPr>
          <w:rFonts w:asciiTheme="majorHAnsi" w:hAnsiTheme="majorHAnsi" w:cstheme="majorHAnsi"/>
        </w:rPr>
        <w:t>Zietsman</w:t>
      </w:r>
      <w:proofErr w:type="spellEnd"/>
      <w:r w:rsidR="00692123" w:rsidRPr="003A4FF9">
        <w:rPr>
          <w:rFonts w:asciiTheme="majorHAnsi" w:hAnsiTheme="majorHAnsi" w:cstheme="majorHAnsi"/>
        </w:rPr>
        <w:t xml:space="preserve"> extracted in cross-examination which was really unnecessary</w:t>
      </w:r>
      <w:r w:rsidR="007D1D78" w:rsidRPr="003A4FF9">
        <w:rPr>
          <w:rFonts w:asciiTheme="majorHAnsi" w:hAnsiTheme="majorHAnsi" w:cstheme="majorHAnsi"/>
        </w:rPr>
        <w:t xml:space="preserve"> and will become relevant only when quantum is to be adjudicated</w:t>
      </w:r>
      <w:r w:rsidR="00692123" w:rsidRPr="003A4FF9">
        <w:rPr>
          <w:rFonts w:asciiTheme="majorHAnsi" w:hAnsiTheme="majorHAnsi" w:cstheme="majorHAnsi"/>
        </w:rPr>
        <w:t>, save insofar as he tried to establish that the plaintiff was not a credible witness</w:t>
      </w:r>
      <w:r w:rsidR="00E91D49" w:rsidRPr="003A4FF9">
        <w:rPr>
          <w:rFonts w:asciiTheme="majorHAnsi" w:hAnsiTheme="majorHAnsi" w:cstheme="majorHAnsi"/>
        </w:rPr>
        <w:t>.</w:t>
      </w:r>
    </w:p>
    <w:p w14:paraId="70EC7F9B" w14:textId="77777777" w:rsidR="00163616" w:rsidRPr="005C161E" w:rsidRDefault="00163616" w:rsidP="005C161E">
      <w:pPr>
        <w:pStyle w:val="ListParagraph"/>
        <w:spacing w:line="360" w:lineRule="auto"/>
        <w:rPr>
          <w:rFonts w:asciiTheme="majorHAnsi" w:hAnsiTheme="majorHAnsi" w:cstheme="majorHAnsi"/>
        </w:rPr>
      </w:pPr>
    </w:p>
    <w:p w14:paraId="3BE84D2D" w14:textId="77494274" w:rsidR="00163616"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[14]</w:t>
      </w:r>
      <w:r w:rsidRPr="005C161E">
        <w:rPr>
          <w:rFonts w:asciiTheme="majorHAnsi" w:hAnsiTheme="majorHAnsi" w:cstheme="majorHAnsi"/>
        </w:rPr>
        <w:tab/>
      </w:r>
      <w:r w:rsidR="00CC0572" w:rsidRPr="003A4FF9">
        <w:rPr>
          <w:rFonts w:asciiTheme="majorHAnsi" w:hAnsiTheme="majorHAnsi" w:cstheme="majorHAnsi"/>
        </w:rPr>
        <w:t xml:space="preserve">Four days after the incident </w:t>
      </w:r>
      <w:r w:rsidR="007D1D78" w:rsidRPr="003A4FF9">
        <w:rPr>
          <w:rFonts w:asciiTheme="majorHAnsi" w:hAnsiTheme="majorHAnsi" w:cstheme="majorHAnsi"/>
        </w:rPr>
        <w:t>Mr Kruger and</w:t>
      </w:r>
      <w:r w:rsidR="00852E34" w:rsidRPr="003A4FF9">
        <w:rPr>
          <w:rFonts w:asciiTheme="majorHAnsi" w:hAnsiTheme="majorHAnsi" w:cstheme="majorHAnsi"/>
        </w:rPr>
        <w:t xml:space="preserve"> Mr </w:t>
      </w:r>
      <w:r w:rsidR="00BD12D4" w:rsidRPr="003A4FF9">
        <w:rPr>
          <w:rFonts w:asciiTheme="majorHAnsi" w:hAnsiTheme="majorHAnsi" w:cstheme="majorHAnsi"/>
        </w:rPr>
        <w:t xml:space="preserve">Watson </w:t>
      </w:r>
      <w:r w:rsidR="00852E34" w:rsidRPr="003A4FF9">
        <w:rPr>
          <w:rFonts w:asciiTheme="majorHAnsi" w:hAnsiTheme="majorHAnsi" w:cstheme="majorHAnsi"/>
        </w:rPr>
        <w:t xml:space="preserve">visited </w:t>
      </w:r>
      <w:r w:rsidR="007B16AE" w:rsidRPr="003A4FF9">
        <w:rPr>
          <w:rFonts w:asciiTheme="majorHAnsi" w:hAnsiTheme="majorHAnsi" w:cstheme="majorHAnsi"/>
        </w:rPr>
        <w:t xml:space="preserve">the </w:t>
      </w:r>
      <w:r w:rsidR="0011792D" w:rsidRPr="003A4FF9">
        <w:rPr>
          <w:rFonts w:asciiTheme="majorHAnsi" w:hAnsiTheme="majorHAnsi" w:cstheme="majorHAnsi"/>
        </w:rPr>
        <w:t xml:space="preserve">holiday </w:t>
      </w:r>
      <w:r w:rsidR="007B16AE" w:rsidRPr="003A4FF9">
        <w:rPr>
          <w:rFonts w:asciiTheme="majorHAnsi" w:hAnsiTheme="majorHAnsi" w:cstheme="majorHAnsi"/>
        </w:rPr>
        <w:t>resort. Ph</w:t>
      </w:r>
      <w:r w:rsidR="006A24F7" w:rsidRPr="003A4FF9">
        <w:rPr>
          <w:rFonts w:asciiTheme="majorHAnsi" w:hAnsiTheme="majorHAnsi" w:cstheme="majorHAnsi"/>
        </w:rPr>
        <w:t>otos were taken</w:t>
      </w:r>
      <w:r w:rsidR="0011792D" w:rsidRPr="003A4FF9">
        <w:rPr>
          <w:rFonts w:asciiTheme="majorHAnsi" w:hAnsiTheme="majorHAnsi" w:cstheme="majorHAnsi"/>
        </w:rPr>
        <w:t xml:space="preserve">, inter alia depicting a huge hole in the ground. </w:t>
      </w:r>
      <w:r w:rsidR="006A24F7" w:rsidRPr="003A4FF9">
        <w:rPr>
          <w:rFonts w:asciiTheme="majorHAnsi" w:hAnsiTheme="majorHAnsi" w:cstheme="majorHAnsi"/>
        </w:rPr>
        <w:t xml:space="preserve">Mr Kruger testified that the hole was </w:t>
      </w:r>
      <w:r w:rsidR="0061739D" w:rsidRPr="003A4FF9">
        <w:rPr>
          <w:rFonts w:asciiTheme="majorHAnsi" w:hAnsiTheme="majorHAnsi" w:cstheme="majorHAnsi"/>
        </w:rPr>
        <w:t xml:space="preserve">about 600mm deep </w:t>
      </w:r>
      <w:r w:rsidR="00376A57" w:rsidRPr="003A4FF9">
        <w:rPr>
          <w:rFonts w:asciiTheme="majorHAnsi" w:hAnsiTheme="majorHAnsi" w:cstheme="majorHAnsi"/>
        </w:rPr>
        <w:t>and 800</w:t>
      </w:r>
      <w:r w:rsidR="00E7011F" w:rsidRPr="003A4FF9">
        <w:rPr>
          <w:rFonts w:asciiTheme="majorHAnsi" w:hAnsiTheme="majorHAnsi" w:cstheme="majorHAnsi"/>
        </w:rPr>
        <w:t xml:space="preserve">mm </w:t>
      </w:r>
      <w:r w:rsidR="00376A57" w:rsidRPr="003A4FF9">
        <w:rPr>
          <w:rFonts w:asciiTheme="majorHAnsi" w:hAnsiTheme="majorHAnsi" w:cstheme="majorHAnsi"/>
        </w:rPr>
        <w:t>x 800</w:t>
      </w:r>
      <w:r w:rsidR="00E7011F" w:rsidRPr="003A4FF9">
        <w:rPr>
          <w:rFonts w:asciiTheme="majorHAnsi" w:hAnsiTheme="majorHAnsi" w:cstheme="majorHAnsi"/>
        </w:rPr>
        <w:t xml:space="preserve">mm </w:t>
      </w:r>
      <w:r w:rsidR="009E5488" w:rsidRPr="003A4FF9">
        <w:rPr>
          <w:rFonts w:asciiTheme="majorHAnsi" w:hAnsiTheme="majorHAnsi" w:cstheme="majorHAnsi"/>
        </w:rPr>
        <w:t>in length and width</w:t>
      </w:r>
      <w:r w:rsidR="00E7011F" w:rsidRPr="003A4FF9">
        <w:rPr>
          <w:rFonts w:asciiTheme="majorHAnsi" w:hAnsiTheme="majorHAnsi" w:cstheme="majorHAnsi"/>
        </w:rPr>
        <w:t>.</w:t>
      </w:r>
      <w:r w:rsidR="009B11AD" w:rsidRPr="003A4FF9">
        <w:rPr>
          <w:rFonts w:asciiTheme="majorHAnsi" w:hAnsiTheme="majorHAnsi" w:cstheme="majorHAnsi"/>
        </w:rPr>
        <w:t xml:space="preserve"> </w:t>
      </w:r>
      <w:r w:rsidR="00FA0B64" w:rsidRPr="003A4FF9">
        <w:rPr>
          <w:rFonts w:asciiTheme="majorHAnsi" w:hAnsiTheme="majorHAnsi" w:cstheme="majorHAnsi"/>
        </w:rPr>
        <w:t>T</w:t>
      </w:r>
      <w:r w:rsidR="00A22779" w:rsidRPr="003A4FF9">
        <w:rPr>
          <w:rFonts w:asciiTheme="majorHAnsi" w:hAnsiTheme="majorHAnsi" w:cstheme="majorHAnsi"/>
        </w:rPr>
        <w:t>he photograph</w:t>
      </w:r>
      <w:r w:rsidR="00FA0B64" w:rsidRPr="003A4FF9">
        <w:rPr>
          <w:rFonts w:asciiTheme="majorHAnsi" w:hAnsiTheme="majorHAnsi" w:cstheme="majorHAnsi"/>
        </w:rPr>
        <w:t>s depict a</w:t>
      </w:r>
      <w:r w:rsidR="00A22779" w:rsidRPr="003A4FF9">
        <w:rPr>
          <w:rFonts w:asciiTheme="majorHAnsi" w:hAnsiTheme="majorHAnsi" w:cstheme="majorHAnsi"/>
        </w:rPr>
        <w:t xml:space="preserve"> broken</w:t>
      </w:r>
      <w:r w:rsidR="0011792D" w:rsidRPr="003A4FF9">
        <w:rPr>
          <w:rFonts w:asciiTheme="majorHAnsi" w:hAnsiTheme="majorHAnsi" w:cstheme="majorHAnsi"/>
        </w:rPr>
        <w:t xml:space="preserve"> glass</w:t>
      </w:r>
      <w:r w:rsidR="00A22779" w:rsidRPr="003A4FF9">
        <w:rPr>
          <w:rFonts w:asciiTheme="majorHAnsi" w:hAnsiTheme="majorHAnsi" w:cstheme="majorHAnsi"/>
        </w:rPr>
        <w:t xml:space="preserve"> bottle </w:t>
      </w:r>
      <w:r w:rsidR="004541D1" w:rsidRPr="003A4FF9">
        <w:rPr>
          <w:rFonts w:asciiTheme="majorHAnsi" w:hAnsiTheme="majorHAnsi" w:cstheme="majorHAnsi"/>
        </w:rPr>
        <w:t xml:space="preserve">(apparently a beer bottle) </w:t>
      </w:r>
      <w:r w:rsidR="00A22779" w:rsidRPr="003A4FF9">
        <w:rPr>
          <w:rFonts w:asciiTheme="majorHAnsi" w:hAnsiTheme="majorHAnsi" w:cstheme="majorHAnsi"/>
        </w:rPr>
        <w:t xml:space="preserve">and nappies as well as </w:t>
      </w:r>
      <w:r w:rsidR="00E5746B" w:rsidRPr="003A4FF9">
        <w:rPr>
          <w:rFonts w:asciiTheme="majorHAnsi" w:hAnsiTheme="majorHAnsi" w:cstheme="majorHAnsi"/>
        </w:rPr>
        <w:t xml:space="preserve">a piece of a newspaper </w:t>
      </w:r>
      <w:r w:rsidR="00FA0B64" w:rsidRPr="003A4FF9">
        <w:rPr>
          <w:rFonts w:asciiTheme="majorHAnsi" w:hAnsiTheme="majorHAnsi" w:cstheme="majorHAnsi"/>
        </w:rPr>
        <w:t xml:space="preserve">inside the hole. </w:t>
      </w:r>
      <w:r w:rsidR="00E5746B" w:rsidRPr="003A4FF9">
        <w:rPr>
          <w:rFonts w:asciiTheme="majorHAnsi" w:hAnsiTheme="majorHAnsi" w:cstheme="majorHAnsi"/>
        </w:rPr>
        <w:t xml:space="preserve">Mr </w:t>
      </w:r>
      <w:proofErr w:type="spellStart"/>
      <w:r w:rsidR="00E5746B" w:rsidRPr="003A4FF9">
        <w:rPr>
          <w:rFonts w:asciiTheme="majorHAnsi" w:hAnsiTheme="majorHAnsi" w:cstheme="majorHAnsi"/>
        </w:rPr>
        <w:t>Zietsman</w:t>
      </w:r>
      <w:proofErr w:type="spellEnd"/>
      <w:r w:rsidR="00E5746B" w:rsidRPr="003A4FF9">
        <w:rPr>
          <w:rFonts w:asciiTheme="majorHAnsi" w:hAnsiTheme="majorHAnsi" w:cstheme="majorHAnsi"/>
        </w:rPr>
        <w:t xml:space="preserve"> </w:t>
      </w:r>
      <w:r w:rsidR="003B2A21" w:rsidRPr="003A4FF9">
        <w:rPr>
          <w:rFonts w:asciiTheme="majorHAnsi" w:hAnsiTheme="majorHAnsi" w:cstheme="majorHAnsi"/>
        </w:rPr>
        <w:t>indicated correctly that</w:t>
      </w:r>
      <w:r w:rsidR="00E5746B" w:rsidRPr="003A4FF9">
        <w:rPr>
          <w:rFonts w:asciiTheme="majorHAnsi" w:hAnsiTheme="majorHAnsi" w:cstheme="majorHAnsi"/>
        </w:rPr>
        <w:t xml:space="preserve"> </w:t>
      </w:r>
      <w:r w:rsidR="0090638B" w:rsidRPr="003A4FF9">
        <w:rPr>
          <w:rFonts w:asciiTheme="majorHAnsi" w:hAnsiTheme="majorHAnsi" w:cstheme="majorHAnsi"/>
        </w:rPr>
        <w:t xml:space="preserve">it appears as if the newspaper </w:t>
      </w:r>
      <w:r w:rsidR="001C6EEB" w:rsidRPr="003A4FF9">
        <w:rPr>
          <w:rFonts w:asciiTheme="majorHAnsi" w:hAnsiTheme="majorHAnsi" w:cstheme="majorHAnsi"/>
        </w:rPr>
        <w:t xml:space="preserve">was completely dry </w:t>
      </w:r>
      <w:r w:rsidR="00FB7308" w:rsidRPr="003A4FF9">
        <w:rPr>
          <w:rFonts w:asciiTheme="majorHAnsi" w:hAnsiTheme="majorHAnsi" w:cstheme="majorHAnsi"/>
        </w:rPr>
        <w:t>at that stage</w:t>
      </w:r>
      <w:r w:rsidR="00C67F0A" w:rsidRPr="003A4FF9">
        <w:rPr>
          <w:rFonts w:asciiTheme="majorHAnsi" w:hAnsiTheme="majorHAnsi" w:cstheme="majorHAnsi"/>
        </w:rPr>
        <w:t>,</w:t>
      </w:r>
      <w:r w:rsidR="00FB7308" w:rsidRPr="003A4FF9">
        <w:rPr>
          <w:rFonts w:asciiTheme="majorHAnsi" w:hAnsiTheme="majorHAnsi" w:cstheme="majorHAnsi"/>
        </w:rPr>
        <w:t xml:space="preserve"> </w:t>
      </w:r>
      <w:r w:rsidR="005D29BE" w:rsidRPr="003A4FF9">
        <w:rPr>
          <w:rFonts w:asciiTheme="majorHAnsi" w:hAnsiTheme="majorHAnsi" w:cstheme="majorHAnsi"/>
        </w:rPr>
        <w:t>suggesting that the newspaper must have been put in the hole afte</w:t>
      </w:r>
      <w:r w:rsidR="007D1D78" w:rsidRPr="003A4FF9">
        <w:rPr>
          <w:rFonts w:asciiTheme="majorHAnsi" w:hAnsiTheme="majorHAnsi" w:cstheme="majorHAnsi"/>
        </w:rPr>
        <w:t xml:space="preserve">r the storm four days earlier. At that stage </w:t>
      </w:r>
      <w:r w:rsidR="00267A9B" w:rsidRPr="003A4FF9">
        <w:rPr>
          <w:rFonts w:asciiTheme="majorHAnsi" w:hAnsiTheme="majorHAnsi" w:cstheme="majorHAnsi"/>
        </w:rPr>
        <w:t xml:space="preserve">camping chairs were </w:t>
      </w:r>
      <w:r w:rsidR="007D1D78" w:rsidRPr="003A4FF9">
        <w:rPr>
          <w:rFonts w:asciiTheme="majorHAnsi" w:hAnsiTheme="majorHAnsi" w:cstheme="majorHAnsi"/>
        </w:rPr>
        <w:t xml:space="preserve">placed around the hole, apparently by visitors, whilst in the background several other holiday makers are visible, standing </w:t>
      </w:r>
      <w:r w:rsidR="009E5488" w:rsidRPr="003A4FF9">
        <w:rPr>
          <w:rFonts w:asciiTheme="majorHAnsi" w:hAnsiTheme="majorHAnsi" w:cstheme="majorHAnsi"/>
        </w:rPr>
        <w:t xml:space="preserve">around </w:t>
      </w:r>
      <w:r w:rsidR="007D1D78" w:rsidRPr="003A4FF9">
        <w:rPr>
          <w:rFonts w:asciiTheme="majorHAnsi" w:hAnsiTheme="majorHAnsi" w:cstheme="majorHAnsi"/>
        </w:rPr>
        <w:t>or sitting on their camping chairs</w:t>
      </w:r>
      <w:r w:rsidR="00F4422D" w:rsidRPr="003A4FF9">
        <w:rPr>
          <w:rFonts w:asciiTheme="majorHAnsi" w:hAnsiTheme="majorHAnsi" w:cstheme="majorHAnsi"/>
        </w:rPr>
        <w:t xml:space="preserve">. According to Mr </w:t>
      </w:r>
      <w:r w:rsidR="00E15495" w:rsidRPr="003A4FF9">
        <w:rPr>
          <w:rFonts w:asciiTheme="majorHAnsi" w:hAnsiTheme="majorHAnsi" w:cstheme="majorHAnsi"/>
        </w:rPr>
        <w:t xml:space="preserve">Kruger there must have been a thousand </w:t>
      </w:r>
      <w:r w:rsidR="00481AE7" w:rsidRPr="003A4FF9">
        <w:rPr>
          <w:rFonts w:asciiTheme="majorHAnsi" w:hAnsiTheme="majorHAnsi" w:cstheme="majorHAnsi"/>
        </w:rPr>
        <w:t>holiday makers</w:t>
      </w:r>
      <w:r w:rsidR="00AA657B" w:rsidRPr="003A4FF9">
        <w:rPr>
          <w:rFonts w:asciiTheme="majorHAnsi" w:hAnsiTheme="majorHAnsi" w:cstheme="majorHAnsi"/>
        </w:rPr>
        <w:t xml:space="preserve"> at the resort on Christmas day whilst </w:t>
      </w:r>
      <w:r w:rsidR="0035656F" w:rsidRPr="003A4FF9">
        <w:rPr>
          <w:rFonts w:asciiTheme="majorHAnsi" w:hAnsiTheme="majorHAnsi" w:cstheme="majorHAnsi"/>
        </w:rPr>
        <w:t xml:space="preserve">the number was </w:t>
      </w:r>
      <w:r w:rsidR="000920D1" w:rsidRPr="003A4FF9">
        <w:rPr>
          <w:rFonts w:asciiTheme="majorHAnsi" w:hAnsiTheme="majorHAnsi" w:cstheme="majorHAnsi"/>
        </w:rPr>
        <w:t xml:space="preserve">approximately three hundred on the </w:t>
      </w:r>
      <w:r w:rsidR="00617899" w:rsidRPr="003A4FF9">
        <w:rPr>
          <w:rFonts w:asciiTheme="majorHAnsi" w:hAnsiTheme="majorHAnsi" w:cstheme="majorHAnsi"/>
        </w:rPr>
        <w:t>29</w:t>
      </w:r>
      <w:r w:rsidR="00617899" w:rsidRPr="003A4FF9">
        <w:rPr>
          <w:rFonts w:asciiTheme="majorHAnsi" w:hAnsiTheme="majorHAnsi" w:cstheme="majorHAnsi"/>
          <w:vertAlign w:val="superscript"/>
        </w:rPr>
        <w:t>th</w:t>
      </w:r>
      <w:r w:rsidR="00617899" w:rsidRPr="003A4FF9">
        <w:rPr>
          <w:rFonts w:asciiTheme="majorHAnsi" w:hAnsiTheme="majorHAnsi" w:cstheme="majorHAnsi"/>
        </w:rPr>
        <w:t xml:space="preserve"> of December 2012. </w:t>
      </w:r>
      <w:r w:rsidR="00564240" w:rsidRPr="003A4FF9">
        <w:rPr>
          <w:rFonts w:asciiTheme="majorHAnsi" w:hAnsiTheme="majorHAnsi" w:cstheme="majorHAnsi"/>
        </w:rPr>
        <w:t xml:space="preserve">Mr Kruger testified that the soil </w:t>
      </w:r>
      <w:r w:rsidR="00C67F0A" w:rsidRPr="003A4FF9">
        <w:rPr>
          <w:rFonts w:asciiTheme="majorHAnsi" w:hAnsiTheme="majorHAnsi" w:cstheme="majorHAnsi"/>
        </w:rPr>
        <w:t xml:space="preserve">dug </w:t>
      </w:r>
      <w:r w:rsidR="008C166D" w:rsidRPr="003A4FF9">
        <w:rPr>
          <w:rFonts w:asciiTheme="majorHAnsi" w:hAnsiTheme="majorHAnsi" w:cstheme="majorHAnsi"/>
        </w:rPr>
        <w:t xml:space="preserve">out to make the hole </w:t>
      </w:r>
      <w:r w:rsidR="00C83F3A" w:rsidRPr="003A4FF9">
        <w:rPr>
          <w:rFonts w:asciiTheme="majorHAnsi" w:hAnsiTheme="majorHAnsi" w:cstheme="majorHAnsi"/>
        </w:rPr>
        <w:t xml:space="preserve">was </w:t>
      </w:r>
      <w:r w:rsidR="009C7C7D" w:rsidRPr="003A4FF9">
        <w:rPr>
          <w:rFonts w:asciiTheme="majorHAnsi" w:hAnsiTheme="majorHAnsi" w:cstheme="majorHAnsi"/>
        </w:rPr>
        <w:t xml:space="preserve">thrown next to </w:t>
      </w:r>
      <w:r w:rsidR="00564240" w:rsidRPr="003A4FF9">
        <w:rPr>
          <w:rFonts w:asciiTheme="majorHAnsi" w:hAnsiTheme="majorHAnsi" w:cstheme="majorHAnsi"/>
        </w:rPr>
        <w:t>it</w:t>
      </w:r>
      <w:r w:rsidR="005E6810" w:rsidRPr="003A4FF9">
        <w:rPr>
          <w:rFonts w:asciiTheme="majorHAnsi" w:hAnsiTheme="majorHAnsi" w:cstheme="majorHAnsi"/>
        </w:rPr>
        <w:t xml:space="preserve"> although </w:t>
      </w:r>
      <w:r w:rsidR="009C7C7D" w:rsidRPr="003A4FF9">
        <w:rPr>
          <w:rFonts w:asciiTheme="majorHAnsi" w:hAnsiTheme="majorHAnsi" w:cstheme="majorHAnsi"/>
        </w:rPr>
        <w:t>this is not clea</w:t>
      </w:r>
      <w:r w:rsidR="005E6810" w:rsidRPr="003A4FF9">
        <w:rPr>
          <w:rFonts w:asciiTheme="majorHAnsi" w:hAnsiTheme="majorHAnsi" w:cstheme="majorHAnsi"/>
        </w:rPr>
        <w:t>rly depicted on the photographs. His ev</w:t>
      </w:r>
      <w:r w:rsidR="009C7C7D" w:rsidRPr="003A4FF9">
        <w:rPr>
          <w:rFonts w:asciiTheme="majorHAnsi" w:hAnsiTheme="majorHAnsi" w:cstheme="majorHAnsi"/>
        </w:rPr>
        <w:t xml:space="preserve">idence </w:t>
      </w:r>
      <w:r w:rsidR="00FE0A7B" w:rsidRPr="003A4FF9">
        <w:rPr>
          <w:rFonts w:asciiTheme="majorHAnsi" w:hAnsiTheme="majorHAnsi" w:cstheme="majorHAnsi"/>
        </w:rPr>
        <w:t>was not disputed.</w:t>
      </w:r>
    </w:p>
    <w:p w14:paraId="59E59887" w14:textId="77777777" w:rsidR="00FE0A7B" w:rsidRPr="005C161E" w:rsidRDefault="00FE0A7B" w:rsidP="005C161E">
      <w:pPr>
        <w:pStyle w:val="ListParagraph"/>
        <w:spacing w:line="360" w:lineRule="auto"/>
        <w:rPr>
          <w:rFonts w:asciiTheme="majorHAnsi" w:hAnsiTheme="majorHAnsi" w:cstheme="majorHAnsi"/>
        </w:rPr>
      </w:pPr>
    </w:p>
    <w:p w14:paraId="5819636F" w14:textId="04DC85AC" w:rsidR="00FE0A7B"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[15]</w:t>
      </w:r>
      <w:r w:rsidRPr="005C161E">
        <w:rPr>
          <w:rFonts w:asciiTheme="majorHAnsi" w:hAnsiTheme="majorHAnsi" w:cstheme="majorHAnsi"/>
        </w:rPr>
        <w:tab/>
      </w:r>
      <w:r w:rsidR="003D2B06" w:rsidRPr="003A4FF9">
        <w:rPr>
          <w:rFonts w:asciiTheme="majorHAnsi" w:hAnsiTheme="majorHAnsi" w:cstheme="majorHAnsi"/>
        </w:rPr>
        <w:t xml:space="preserve">A major issue was made </w:t>
      </w:r>
      <w:r w:rsidR="00CD2523" w:rsidRPr="003A4FF9">
        <w:rPr>
          <w:rFonts w:asciiTheme="majorHAnsi" w:hAnsiTheme="majorHAnsi" w:cstheme="majorHAnsi"/>
        </w:rPr>
        <w:t>in cross</w:t>
      </w:r>
      <w:r w:rsidR="001C5851" w:rsidRPr="003A4FF9">
        <w:rPr>
          <w:rFonts w:asciiTheme="majorHAnsi" w:hAnsiTheme="majorHAnsi" w:cstheme="majorHAnsi"/>
        </w:rPr>
        <w:t>-</w:t>
      </w:r>
      <w:r w:rsidR="00CD2523" w:rsidRPr="003A4FF9">
        <w:rPr>
          <w:rFonts w:asciiTheme="majorHAnsi" w:hAnsiTheme="majorHAnsi" w:cstheme="majorHAnsi"/>
        </w:rPr>
        <w:t xml:space="preserve">examination by Mr </w:t>
      </w:r>
      <w:proofErr w:type="spellStart"/>
      <w:r w:rsidR="00CD2523" w:rsidRPr="003A4FF9">
        <w:rPr>
          <w:rFonts w:asciiTheme="majorHAnsi" w:hAnsiTheme="majorHAnsi" w:cstheme="majorHAnsi"/>
        </w:rPr>
        <w:t>Zietsman</w:t>
      </w:r>
      <w:proofErr w:type="spellEnd"/>
      <w:r w:rsidR="00CD2523" w:rsidRPr="003A4FF9">
        <w:rPr>
          <w:rFonts w:asciiTheme="majorHAnsi" w:hAnsiTheme="majorHAnsi" w:cstheme="majorHAnsi"/>
        </w:rPr>
        <w:t xml:space="preserve"> </w:t>
      </w:r>
      <w:r w:rsidR="00C10A93" w:rsidRPr="003A4FF9">
        <w:rPr>
          <w:rFonts w:asciiTheme="majorHAnsi" w:hAnsiTheme="majorHAnsi" w:cstheme="majorHAnsi"/>
        </w:rPr>
        <w:t>of the fact that</w:t>
      </w:r>
      <w:r w:rsidR="007D1D78" w:rsidRPr="003A4FF9">
        <w:rPr>
          <w:rFonts w:asciiTheme="majorHAnsi" w:hAnsiTheme="majorHAnsi" w:cstheme="majorHAnsi"/>
        </w:rPr>
        <w:t>,</w:t>
      </w:r>
      <w:r w:rsidR="00C10A93" w:rsidRPr="003A4FF9">
        <w:rPr>
          <w:rFonts w:asciiTheme="majorHAnsi" w:hAnsiTheme="majorHAnsi" w:cstheme="majorHAnsi"/>
        </w:rPr>
        <w:t xml:space="preserve"> contrary </w:t>
      </w:r>
      <w:r w:rsidR="00A83488" w:rsidRPr="003A4FF9">
        <w:rPr>
          <w:rFonts w:asciiTheme="majorHAnsi" w:hAnsiTheme="majorHAnsi" w:cstheme="majorHAnsi"/>
        </w:rPr>
        <w:t xml:space="preserve">to the pleadings, the hole </w:t>
      </w:r>
      <w:r w:rsidR="00A943F1" w:rsidRPr="003A4FF9">
        <w:rPr>
          <w:rFonts w:asciiTheme="majorHAnsi" w:hAnsiTheme="majorHAnsi" w:cstheme="majorHAnsi"/>
        </w:rPr>
        <w:t xml:space="preserve">as depicted in </w:t>
      </w:r>
      <w:r w:rsidR="00A9080F" w:rsidRPr="003A4FF9">
        <w:rPr>
          <w:rFonts w:asciiTheme="majorHAnsi" w:hAnsiTheme="majorHAnsi" w:cstheme="majorHAnsi"/>
        </w:rPr>
        <w:t xml:space="preserve">the photographs </w:t>
      </w:r>
      <w:r w:rsidR="00A36D36" w:rsidRPr="003A4FF9">
        <w:rPr>
          <w:rFonts w:asciiTheme="majorHAnsi" w:hAnsiTheme="majorHAnsi" w:cstheme="majorHAnsi"/>
        </w:rPr>
        <w:t>was</w:t>
      </w:r>
      <w:r w:rsidR="00BA615E" w:rsidRPr="003A4FF9">
        <w:rPr>
          <w:rFonts w:asciiTheme="majorHAnsi" w:hAnsiTheme="majorHAnsi" w:cstheme="majorHAnsi"/>
        </w:rPr>
        <w:t xml:space="preserve"> not </w:t>
      </w:r>
      <w:r w:rsidR="00731CD7" w:rsidRPr="003A4FF9">
        <w:rPr>
          <w:rFonts w:asciiTheme="majorHAnsi" w:hAnsiTheme="majorHAnsi" w:cstheme="majorHAnsi"/>
        </w:rPr>
        <w:t xml:space="preserve">situated </w:t>
      </w:r>
      <w:r w:rsidR="00BA615E" w:rsidRPr="003A4FF9">
        <w:rPr>
          <w:rFonts w:asciiTheme="majorHAnsi" w:hAnsiTheme="majorHAnsi" w:cstheme="majorHAnsi"/>
        </w:rPr>
        <w:t xml:space="preserve">on the lawn area. </w:t>
      </w:r>
      <w:r w:rsidR="00731CD7" w:rsidRPr="003A4FF9">
        <w:rPr>
          <w:rFonts w:asciiTheme="majorHAnsi" w:hAnsiTheme="majorHAnsi" w:cstheme="majorHAnsi"/>
        </w:rPr>
        <w:t xml:space="preserve">I do not agree with his line of questioning which was not conceded. </w:t>
      </w:r>
      <w:r w:rsidR="00BA615E" w:rsidRPr="003A4FF9">
        <w:rPr>
          <w:rFonts w:asciiTheme="majorHAnsi" w:hAnsiTheme="majorHAnsi" w:cstheme="majorHAnsi"/>
        </w:rPr>
        <w:t>It is appa</w:t>
      </w:r>
      <w:r w:rsidR="00A7344B" w:rsidRPr="003A4FF9">
        <w:rPr>
          <w:rFonts w:asciiTheme="majorHAnsi" w:hAnsiTheme="majorHAnsi" w:cstheme="majorHAnsi"/>
        </w:rPr>
        <w:t>rent from the photographs that n</w:t>
      </w:r>
      <w:r w:rsidR="002A3E17" w:rsidRPr="003A4FF9">
        <w:rPr>
          <w:rFonts w:asciiTheme="majorHAnsi" w:hAnsiTheme="majorHAnsi" w:cstheme="majorHAnsi"/>
        </w:rPr>
        <w:t xml:space="preserve">umerous </w:t>
      </w:r>
      <w:proofErr w:type="gramStart"/>
      <w:r w:rsidR="002A3E17" w:rsidRPr="003A4FF9">
        <w:rPr>
          <w:rFonts w:asciiTheme="majorHAnsi" w:hAnsiTheme="majorHAnsi" w:cstheme="majorHAnsi"/>
        </w:rPr>
        <w:t>fire places</w:t>
      </w:r>
      <w:proofErr w:type="gramEnd"/>
      <w:r w:rsidR="002A3E17" w:rsidRPr="003A4FF9">
        <w:rPr>
          <w:rFonts w:asciiTheme="majorHAnsi" w:hAnsiTheme="majorHAnsi" w:cstheme="majorHAnsi"/>
        </w:rPr>
        <w:t xml:space="preserve"> have been erected </w:t>
      </w:r>
      <w:r w:rsidR="00A16610" w:rsidRPr="003A4FF9">
        <w:rPr>
          <w:rFonts w:asciiTheme="majorHAnsi" w:hAnsiTheme="majorHAnsi" w:cstheme="majorHAnsi"/>
        </w:rPr>
        <w:t xml:space="preserve">all over the </w:t>
      </w:r>
      <w:r w:rsidR="007A5B58" w:rsidRPr="003A4FF9">
        <w:rPr>
          <w:rFonts w:asciiTheme="majorHAnsi" w:hAnsiTheme="majorHAnsi" w:cstheme="majorHAnsi"/>
        </w:rPr>
        <w:t xml:space="preserve">picnic area </w:t>
      </w:r>
      <w:r w:rsidR="00A16610" w:rsidRPr="003A4FF9">
        <w:rPr>
          <w:rFonts w:asciiTheme="majorHAnsi" w:hAnsiTheme="majorHAnsi" w:cstheme="majorHAnsi"/>
        </w:rPr>
        <w:t xml:space="preserve">under the trees </w:t>
      </w:r>
      <w:r w:rsidR="008E78FC" w:rsidRPr="003A4FF9">
        <w:rPr>
          <w:rFonts w:asciiTheme="majorHAnsi" w:hAnsiTheme="majorHAnsi" w:cstheme="majorHAnsi"/>
        </w:rPr>
        <w:t xml:space="preserve">and that the </w:t>
      </w:r>
      <w:r w:rsidR="00A81EAD" w:rsidRPr="003A4FF9">
        <w:rPr>
          <w:rFonts w:asciiTheme="majorHAnsi" w:hAnsiTheme="majorHAnsi" w:cstheme="majorHAnsi"/>
        </w:rPr>
        <w:t xml:space="preserve">area is covered by lawns </w:t>
      </w:r>
      <w:r w:rsidR="00A12BB4" w:rsidRPr="003A4FF9">
        <w:rPr>
          <w:rFonts w:asciiTheme="majorHAnsi" w:hAnsiTheme="majorHAnsi" w:cstheme="majorHAnsi"/>
        </w:rPr>
        <w:t xml:space="preserve">although </w:t>
      </w:r>
      <w:r w:rsidR="0009250F" w:rsidRPr="003A4FF9">
        <w:rPr>
          <w:rFonts w:asciiTheme="majorHAnsi" w:hAnsiTheme="majorHAnsi" w:cstheme="majorHAnsi"/>
        </w:rPr>
        <w:t xml:space="preserve">the grass </w:t>
      </w:r>
      <w:r w:rsidR="009E5488" w:rsidRPr="003A4FF9">
        <w:rPr>
          <w:rFonts w:asciiTheme="majorHAnsi" w:hAnsiTheme="majorHAnsi" w:cstheme="majorHAnsi"/>
        </w:rPr>
        <w:t>is</w:t>
      </w:r>
      <w:r w:rsidR="00E86BF5" w:rsidRPr="003A4FF9">
        <w:rPr>
          <w:rFonts w:asciiTheme="majorHAnsi" w:hAnsiTheme="majorHAnsi" w:cstheme="majorHAnsi"/>
        </w:rPr>
        <w:t xml:space="preserve"> sp</w:t>
      </w:r>
      <w:r w:rsidR="00C94993" w:rsidRPr="003A4FF9">
        <w:rPr>
          <w:rFonts w:asciiTheme="majorHAnsi" w:hAnsiTheme="majorHAnsi" w:cstheme="majorHAnsi"/>
        </w:rPr>
        <w:t>ar</w:t>
      </w:r>
      <w:r w:rsidR="005A2AAB" w:rsidRPr="003A4FF9">
        <w:rPr>
          <w:rFonts w:asciiTheme="majorHAnsi" w:hAnsiTheme="majorHAnsi" w:cstheme="majorHAnsi"/>
        </w:rPr>
        <w:t>s</w:t>
      </w:r>
      <w:r w:rsidR="00C94993" w:rsidRPr="003A4FF9">
        <w:rPr>
          <w:rFonts w:asciiTheme="majorHAnsi" w:hAnsiTheme="majorHAnsi" w:cstheme="majorHAnsi"/>
        </w:rPr>
        <w:t xml:space="preserve">e </w:t>
      </w:r>
      <w:r w:rsidR="00E86BF5" w:rsidRPr="003A4FF9">
        <w:rPr>
          <w:rFonts w:asciiTheme="majorHAnsi" w:hAnsiTheme="majorHAnsi" w:cstheme="majorHAnsi"/>
        </w:rPr>
        <w:t xml:space="preserve">around </w:t>
      </w:r>
      <w:r w:rsidR="00AD4A5F" w:rsidRPr="003A4FF9">
        <w:rPr>
          <w:rFonts w:asciiTheme="majorHAnsi" w:hAnsiTheme="majorHAnsi" w:cstheme="majorHAnsi"/>
        </w:rPr>
        <w:t xml:space="preserve">the </w:t>
      </w:r>
      <w:r w:rsidR="004958DF" w:rsidRPr="003A4FF9">
        <w:rPr>
          <w:rFonts w:asciiTheme="majorHAnsi" w:hAnsiTheme="majorHAnsi" w:cstheme="majorHAnsi"/>
        </w:rPr>
        <w:t>tree trunks. This is</w:t>
      </w:r>
      <w:r w:rsidR="001350AD" w:rsidRPr="003A4FF9">
        <w:rPr>
          <w:rFonts w:asciiTheme="majorHAnsi" w:hAnsiTheme="majorHAnsi" w:cstheme="majorHAnsi"/>
        </w:rPr>
        <w:t xml:space="preserve"> especially so </w:t>
      </w:r>
      <w:r w:rsidR="004958DF" w:rsidRPr="003A4FF9">
        <w:rPr>
          <w:rFonts w:asciiTheme="majorHAnsi" w:hAnsiTheme="majorHAnsi" w:cstheme="majorHAnsi"/>
        </w:rPr>
        <w:t xml:space="preserve">where the </w:t>
      </w:r>
      <w:r w:rsidR="0047657F" w:rsidRPr="003A4FF9">
        <w:rPr>
          <w:rFonts w:asciiTheme="majorHAnsi" w:hAnsiTheme="majorHAnsi" w:cstheme="majorHAnsi"/>
        </w:rPr>
        <w:t xml:space="preserve">hole was </w:t>
      </w:r>
      <w:r w:rsidR="00C67F0A" w:rsidRPr="003A4FF9">
        <w:rPr>
          <w:rFonts w:asciiTheme="majorHAnsi" w:hAnsiTheme="majorHAnsi" w:cstheme="majorHAnsi"/>
        </w:rPr>
        <w:t>dug</w:t>
      </w:r>
      <w:r w:rsidR="0047657F" w:rsidRPr="003A4FF9">
        <w:rPr>
          <w:rFonts w:asciiTheme="majorHAnsi" w:hAnsiTheme="majorHAnsi" w:cstheme="majorHAnsi"/>
        </w:rPr>
        <w:t>.</w:t>
      </w:r>
      <w:r w:rsidR="007D1D78" w:rsidRPr="003A4FF9">
        <w:rPr>
          <w:rFonts w:asciiTheme="majorHAnsi" w:hAnsiTheme="majorHAnsi" w:cstheme="majorHAnsi"/>
        </w:rPr>
        <w:t xml:space="preserve"> </w:t>
      </w:r>
      <w:r w:rsidR="009E5488" w:rsidRPr="003A4FF9">
        <w:rPr>
          <w:rFonts w:asciiTheme="majorHAnsi" w:hAnsiTheme="majorHAnsi" w:cstheme="majorHAnsi"/>
        </w:rPr>
        <w:t xml:space="preserve">The plaintiff explained this aspect satisfactorily with reference to her own garden. </w:t>
      </w:r>
      <w:r w:rsidR="007D1D78" w:rsidRPr="003A4FF9">
        <w:rPr>
          <w:rFonts w:asciiTheme="majorHAnsi" w:hAnsiTheme="majorHAnsi" w:cstheme="majorHAnsi"/>
        </w:rPr>
        <w:t xml:space="preserve">As </w:t>
      </w:r>
      <w:proofErr w:type="gramStart"/>
      <w:r w:rsidR="007D1D78" w:rsidRPr="003A4FF9">
        <w:rPr>
          <w:rFonts w:asciiTheme="majorHAnsi" w:hAnsiTheme="majorHAnsi" w:cstheme="majorHAnsi"/>
        </w:rPr>
        <w:t>mentioned</w:t>
      </w:r>
      <w:proofErr w:type="gramEnd"/>
      <w:r w:rsidR="00B4348D" w:rsidRPr="003A4FF9">
        <w:rPr>
          <w:rFonts w:asciiTheme="majorHAnsi" w:hAnsiTheme="majorHAnsi" w:cstheme="majorHAnsi"/>
        </w:rPr>
        <w:t xml:space="preserve"> and depicted on the photographs of the 29</w:t>
      </w:r>
      <w:r w:rsidR="00B4348D" w:rsidRPr="003A4FF9">
        <w:rPr>
          <w:rFonts w:asciiTheme="majorHAnsi" w:hAnsiTheme="majorHAnsi" w:cstheme="majorHAnsi"/>
          <w:vertAlign w:val="superscript"/>
        </w:rPr>
        <w:t>th</w:t>
      </w:r>
      <w:r w:rsidR="007D1D78" w:rsidRPr="003A4FF9">
        <w:rPr>
          <w:rFonts w:asciiTheme="majorHAnsi" w:hAnsiTheme="majorHAnsi" w:cstheme="majorHAnsi"/>
        </w:rPr>
        <w:t>, the holiday makers</w:t>
      </w:r>
      <w:r w:rsidR="00B4348D" w:rsidRPr="003A4FF9">
        <w:rPr>
          <w:rFonts w:asciiTheme="majorHAnsi" w:hAnsiTheme="majorHAnsi" w:cstheme="majorHAnsi"/>
        </w:rPr>
        <w:t xml:space="preserve"> utilised this lawn area for their picnics. The submission that the evidence differs from the pleadings is incorrect or at best for the defendant, immaterial. The hole was located where patrons gathered t</w:t>
      </w:r>
      <w:r w:rsidR="002B2C88" w:rsidRPr="003A4FF9">
        <w:rPr>
          <w:rFonts w:asciiTheme="majorHAnsi" w:hAnsiTheme="majorHAnsi" w:cstheme="majorHAnsi"/>
        </w:rPr>
        <w:t xml:space="preserve">o enjoy themselves on the lawn area </w:t>
      </w:r>
      <w:r w:rsidR="00B4348D" w:rsidRPr="003A4FF9">
        <w:rPr>
          <w:rFonts w:asciiTheme="majorHAnsi" w:hAnsiTheme="majorHAnsi" w:cstheme="majorHAnsi"/>
        </w:rPr>
        <w:t>underneath the trees.</w:t>
      </w:r>
    </w:p>
    <w:p w14:paraId="610884D8" w14:textId="77777777" w:rsidR="0047657F" w:rsidRPr="005C161E" w:rsidRDefault="0047657F" w:rsidP="005C161E">
      <w:pPr>
        <w:pStyle w:val="ListParagraph"/>
        <w:spacing w:line="360" w:lineRule="auto"/>
        <w:rPr>
          <w:rFonts w:asciiTheme="majorHAnsi" w:hAnsiTheme="majorHAnsi" w:cstheme="majorHAnsi"/>
        </w:rPr>
      </w:pPr>
    </w:p>
    <w:p w14:paraId="1EDD4569" w14:textId="4744B030" w:rsidR="00912E4B"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[16]</w:t>
      </w:r>
      <w:r w:rsidRPr="005C161E">
        <w:rPr>
          <w:rFonts w:asciiTheme="majorHAnsi" w:hAnsiTheme="majorHAnsi" w:cstheme="majorHAnsi"/>
        </w:rPr>
        <w:tab/>
      </w:r>
      <w:r w:rsidR="0047657F" w:rsidRPr="003A4FF9">
        <w:rPr>
          <w:rFonts w:asciiTheme="majorHAnsi" w:hAnsiTheme="majorHAnsi" w:cstheme="majorHAnsi"/>
        </w:rPr>
        <w:t xml:space="preserve">Mr </w:t>
      </w:r>
      <w:proofErr w:type="spellStart"/>
      <w:r w:rsidR="002C2D8C" w:rsidRPr="003A4FF9">
        <w:rPr>
          <w:rFonts w:asciiTheme="majorHAnsi" w:hAnsiTheme="majorHAnsi" w:cstheme="majorHAnsi"/>
        </w:rPr>
        <w:t>Zietsman</w:t>
      </w:r>
      <w:proofErr w:type="spellEnd"/>
      <w:r w:rsidR="002C2D8C" w:rsidRPr="003A4FF9">
        <w:rPr>
          <w:rFonts w:asciiTheme="majorHAnsi" w:hAnsiTheme="majorHAnsi" w:cstheme="majorHAnsi"/>
        </w:rPr>
        <w:t xml:space="preserve"> never denied </w:t>
      </w:r>
      <w:r w:rsidR="009E5488" w:rsidRPr="003A4FF9">
        <w:rPr>
          <w:rFonts w:asciiTheme="majorHAnsi" w:hAnsiTheme="majorHAnsi" w:cstheme="majorHAnsi"/>
        </w:rPr>
        <w:t xml:space="preserve">the existence of this </w:t>
      </w:r>
      <w:proofErr w:type="gramStart"/>
      <w:r w:rsidR="009E5488" w:rsidRPr="003A4FF9">
        <w:rPr>
          <w:rFonts w:asciiTheme="majorHAnsi" w:hAnsiTheme="majorHAnsi" w:cstheme="majorHAnsi"/>
        </w:rPr>
        <w:t>particular hole</w:t>
      </w:r>
      <w:proofErr w:type="gramEnd"/>
      <w:r w:rsidR="009E5488" w:rsidRPr="003A4FF9">
        <w:rPr>
          <w:rFonts w:asciiTheme="majorHAnsi" w:hAnsiTheme="majorHAnsi" w:cstheme="majorHAnsi"/>
        </w:rPr>
        <w:t xml:space="preserve"> or any other similar hole on 25 December 2012 </w:t>
      </w:r>
      <w:r w:rsidR="002C2D8C" w:rsidRPr="003A4FF9">
        <w:rPr>
          <w:rFonts w:asciiTheme="majorHAnsi" w:hAnsiTheme="majorHAnsi" w:cstheme="majorHAnsi"/>
        </w:rPr>
        <w:t xml:space="preserve">during </w:t>
      </w:r>
      <w:r w:rsidR="00C11CE9" w:rsidRPr="003A4FF9">
        <w:rPr>
          <w:rFonts w:asciiTheme="majorHAnsi" w:hAnsiTheme="majorHAnsi" w:cstheme="majorHAnsi"/>
        </w:rPr>
        <w:t xml:space="preserve">cross-examination of any </w:t>
      </w:r>
      <w:r w:rsidR="003E271E" w:rsidRPr="003A4FF9">
        <w:rPr>
          <w:rFonts w:asciiTheme="majorHAnsi" w:hAnsiTheme="majorHAnsi" w:cstheme="majorHAnsi"/>
        </w:rPr>
        <w:t>of the witnesses</w:t>
      </w:r>
      <w:r w:rsidR="0028746B" w:rsidRPr="003A4FF9">
        <w:rPr>
          <w:rFonts w:asciiTheme="majorHAnsi" w:hAnsiTheme="majorHAnsi" w:cstheme="majorHAnsi"/>
        </w:rPr>
        <w:t xml:space="preserve"> </w:t>
      </w:r>
      <w:r w:rsidR="00E922F0" w:rsidRPr="003A4FF9">
        <w:rPr>
          <w:rFonts w:asciiTheme="majorHAnsi" w:hAnsiTheme="majorHAnsi" w:cstheme="majorHAnsi"/>
        </w:rPr>
        <w:t xml:space="preserve">and </w:t>
      </w:r>
      <w:r w:rsidR="007C2903" w:rsidRPr="003A4FF9">
        <w:rPr>
          <w:rFonts w:asciiTheme="majorHAnsi" w:hAnsiTheme="majorHAnsi" w:cstheme="majorHAnsi"/>
        </w:rPr>
        <w:t xml:space="preserve">that it </w:t>
      </w:r>
      <w:r w:rsidR="00E922F0" w:rsidRPr="003A4FF9">
        <w:rPr>
          <w:rFonts w:asciiTheme="majorHAnsi" w:hAnsiTheme="majorHAnsi" w:cstheme="majorHAnsi"/>
        </w:rPr>
        <w:t xml:space="preserve">still remained </w:t>
      </w:r>
      <w:r w:rsidR="006230CD" w:rsidRPr="003A4FF9">
        <w:rPr>
          <w:rFonts w:asciiTheme="majorHAnsi" w:hAnsiTheme="majorHAnsi" w:cstheme="majorHAnsi"/>
        </w:rPr>
        <w:t xml:space="preserve">there </w:t>
      </w:r>
      <w:r w:rsidR="00E922F0" w:rsidRPr="003A4FF9">
        <w:rPr>
          <w:rFonts w:asciiTheme="majorHAnsi" w:hAnsiTheme="majorHAnsi" w:cstheme="majorHAnsi"/>
        </w:rPr>
        <w:t>on 29 December 2012</w:t>
      </w:r>
      <w:r w:rsidR="00135B5D" w:rsidRPr="003A4FF9">
        <w:rPr>
          <w:rFonts w:asciiTheme="majorHAnsi" w:hAnsiTheme="majorHAnsi" w:cstheme="majorHAnsi"/>
        </w:rPr>
        <w:t xml:space="preserve"> when the photos were taken. He suggested, perhaps </w:t>
      </w:r>
      <w:r w:rsidR="001A5F46" w:rsidRPr="003A4FF9">
        <w:rPr>
          <w:rFonts w:asciiTheme="majorHAnsi" w:hAnsiTheme="majorHAnsi" w:cstheme="majorHAnsi"/>
        </w:rPr>
        <w:t xml:space="preserve">more </w:t>
      </w:r>
      <w:r w:rsidR="00176DED" w:rsidRPr="003A4FF9">
        <w:rPr>
          <w:rFonts w:asciiTheme="majorHAnsi" w:hAnsiTheme="majorHAnsi" w:cstheme="majorHAnsi"/>
        </w:rPr>
        <w:t>tongue in the c</w:t>
      </w:r>
      <w:r w:rsidR="00B4348D" w:rsidRPr="003A4FF9">
        <w:rPr>
          <w:rFonts w:asciiTheme="majorHAnsi" w:hAnsiTheme="majorHAnsi" w:cstheme="majorHAnsi"/>
        </w:rPr>
        <w:t>heek tha</w:t>
      </w:r>
      <w:r w:rsidR="001A5F46" w:rsidRPr="003A4FF9">
        <w:rPr>
          <w:rFonts w:asciiTheme="majorHAnsi" w:hAnsiTheme="majorHAnsi" w:cstheme="majorHAnsi"/>
        </w:rPr>
        <w:t xml:space="preserve">n otherwise, that </w:t>
      </w:r>
      <w:r w:rsidR="00DC1F58" w:rsidRPr="003A4FF9">
        <w:rPr>
          <w:rFonts w:asciiTheme="majorHAnsi" w:hAnsiTheme="majorHAnsi" w:cstheme="majorHAnsi"/>
        </w:rPr>
        <w:t xml:space="preserve">the hole could have been </w:t>
      </w:r>
      <w:r w:rsidR="00F86E3E" w:rsidRPr="003A4FF9">
        <w:rPr>
          <w:rFonts w:asciiTheme="majorHAnsi" w:hAnsiTheme="majorHAnsi" w:cstheme="majorHAnsi"/>
        </w:rPr>
        <w:t>dug</w:t>
      </w:r>
      <w:r w:rsidR="00DC1F58" w:rsidRPr="003A4FF9">
        <w:rPr>
          <w:rFonts w:asciiTheme="majorHAnsi" w:hAnsiTheme="majorHAnsi" w:cstheme="majorHAnsi"/>
        </w:rPr>
        <w:t xml:space="preserve"> by </w:t>
      </w:r>
      <w:r w:rsidR="00177C66" w:rsidRPr="003A4FF9">
        <w:rPr>
          <w:rFonts w:asciiTheme="majorHAnsi" w:hAnsiTheme="majorHAnsi" w:cstheme="majorHAnsi"/>
        </w:rPr>
        <w:t xml:space="preserve">holiday makers on Christmas day </w:t>
      </w:r>
      <w:r w:rsidR="00D927B7" w:rsidRPr="003A4FF9">
        <w:rPr>
          <w:rFonts w:asciiTheme="majorHAnsi" w:hAnsiTheme="majorHAnsi" w:cstheme="majorHAnsi"/>
        </w:rPr>
        <w:t xml:space="preserve">and that </w:t>
      </w:r>
      <w:r w:rsidR="00B4348D" w:rsidRPr="003A4FF9">
        <w:rPr>
          <w:rFonts w:asciiTheme="majorHAnsi" w:hAnsiTheme="majorHAnsi" w:cstheme="majorHAnsi"/>
        </w:rPr>
        <w:t xml:space="preserve">the </w:t>
      </w:r>
      <w:r w:rsidR="00D927B7" w:rsidRPr="003A4FF9">
        <w:rPr>
          <w:rFonts w:asciiTheme="majorHAnsi" w:hAnsiTheme="majorHAnsi" w:cstheme="majorHAnsi"/>
        </w:rPr>
        <w:t xml:space="preserve">plaintiff perhaps </w:t>
      </w:r>
      <w:r w:rsidR="00AD0309" w:rsidRPr="003A4FF9">
        <w:rPr>
          <w:rFonts w:asciiTheme="majorHAnsi" w:hAnsiTheme="majorHAnsi" w:cstheme="majorHAnsi"/>
        </w:rPr>
        <w:t xml:space="preserve">just </w:t>
      </w:r>
      <w:r w:rsidR="00D927B7" w:rsidRPr="003A4FF9">
        <w:rPr>
          <w:rFonts w:asciiTheme="majorHAnsi" w:hAnsiTheme="majorHAnsi" w:cstheme="majorHAnsi"/>
        </w:rPr>
        <w:t xml:space="preserve">did not </w:t>
      </w:r>
      <w:r w:rsidR="007B218A" w:rsidRPr="003A4FF9">
        <w:rPr>
          <w:rFonts w:asciiTheme="majorHAnsi" w:hAnsiTheme="majorHAnsi" w:cstheme="majorHAnsi"/>
        </w:rPr>
        <w:t>notice</w:t>
      </w:r>
      <w:r w:rsidR="0050766E" w:rsidRPr="003A4FF9">
        <w:rPr>
          <w:rFonts w:asciiTheme="majorHAnsi" w:hAnsiTheme="majorHAnsi" w:cstheme="majorHAnsi"/>
        </w:rPr>
        <w:t xml:space="preserve"> that.</w:t>
      </w:r>
      <w:r w:rsidR="00BF33E1" w:rsidRPr="003A4FF9">
        <w:rPr>
          <w:rFonts w:asciiTheme="majorHAnsi" w:hAnsiTheme="majorHAnsi" w:cstheme="majorHAnsi"/>
        </w:rPr>
        <w:t xml:space="preserve"> The plaintiff could not meaningfully respond to this </w:t>
      </w:r>
      <w:r w:rsidR="002B6965" w:rsidRPr="003A4FF9">
        <w:rPr>
          <w:rFonts w:asciiTheme="majorHAnsi" w:hAnsiTheme="majorHAnsi" w:cstheme="majorHAnsi"/>
        </w:rPr>
        <w:t xml:space="preserve">suggestion, but in my </w:t>
      </w:r>
      <w:proofErr w:type="gramStart"/>
      <w:r w:rsidR="002B6965" w:rsidRPr="003A4FF9">
        <w:rPr>
          <w:rFonts w:asciiTheme="majorHAnsi" w:hAnsiTheme="majorHAnsi" w:cstheme="majorHAnsi"/>
        </w:rPr>
        <w:t>view</w:t>
      </w:r>
      <w:proofErr w:type="gramEnd"/>
      <w:r w:rsidR="002B6965" w:rsidRPr="003A4FF9">
        <w:rPr>
          <w:rFonts w:asciiTheme="majorHAnsi" w:hAnsiTheme="majorHAnsi" w:cstheme="majorHAnsi"/>
        </w:rPr>
        <w:t xml:space="preserve"> </w:t>
      </w:r>
      <w:r w:rsidR="006103BD" w:rsidRPr="003A4FF9">
        <w:rPr>
          <w:rFonts w:asciiTheme="majorHAnsi" w:hAnsiTheme="majorHAnsi" w:cstheme="majorHAnsi"/>
        </w:rPr>
        <w:t xml:space="preserve">this is </w:t>
      </w:r>
      <w:r w:rsidR="00C67F0A" w:rsidRPr="003A4FF9">
        <w:rPr>
          <w:rFonts w:asciiTheme="majorHAnsi" w:hAnsiTheme="majorHAnsi" w:cstheme="majorHAnsi"/>
        </w:rPr>
        <w:t xml:space="preserve">so </w:t>
      </w:r>
      <w:r w:rsidR="00F50D5B" w:rsidRPr="003A4FF9">
        <w:rPr>
          <w:rFonts w:asciiTheme="majorHAnsi" w:hAnsiTheme="majorHAnsi" w:cstheme="majorHAnsi"/>
        </w:rPr>
        <w:t xml:space="preserve">improbable that it can be </w:t>
      </w:r>
      <w:r w:rsidR="00B4348D" w:rsidRPr="003A4FF9">
        <w:rPr>
          <w:rFonts w:asciiTheme="majorHAnsi" w:hAnsiTheme="majorHAnsi" w:cstheme="majorHAnsi"/>
        </w:rPr>
        <w:t>ignored. There is no reason why</w:t>
      </w:r>
      <w:r w:rsidR="00A64F7B" w:rsidRPr="003A4FF9">
        <w:rPr>
          <w:rFonts w:asciiTheme="majorHAnsi" w:hAnsiTheme="majorHAnsi" w:cstheme="majorHAnsi"/>
        </w:rPr>
        <w:t xml:space="preserve"> </w:t>
      </w:r>
      <w:r w:rsidR="00942F1F" w:rsidRPr="003A4FF9">
        <w:rPr>
          <w:rFonts w:asciiTheme="majorHAnsi" w:hAnsiTheme="majorHAnsi" w:cstheme="majorHAnsi"/>
        </w:rPr>
        <w:t xml:space="preserve">holiday makers would </w:t>
      </w:r>
      <w:r w:rsidR="0058572F" w:rsidRPr="003A4FF9">
        <w:rPr>
          <w:rFonts w:asciiTheme="majorHAnsi" w:hAnsiTheme="majorHAnsi" w:cstheme="majorHAnsi"/>
        </w:rPr>
        <w:t>arrive</w:t>
      </w:r>
      <w:r w:rsidR="0091131D" w:rsidRPr="003A4FF9">
        <w:rPr>
          <w:rFonts w:asciiTheme="majorHAnsi" w:hAnsiTheme="majorHAnsi" w:cstheme="majorHAnsi"/>
        </w:rPr>
        <w:t xml:space="preserve"> at a resort </w:t>
      </w:r>
      <w:r w:rsidR="0058572F" w:rsidRPr="003A4FF9">
        <w:rPr>
          <w:rFonts w:asciiTheme="majorHAnsi" w:hAnsiTheme="majorHAnsi" w:cstheme="majorHAnsi"/>
        </w:rPr>
        <w:t xml:space="preserve">on Christmas day with a </w:t>
      </w:r>
      <w:r w:rsidR="00B4348D" w:rsidRPr="003A4FF9">
        <w:rPr>
          <w:rFonts w:asciiTheme="majorHAnsi" w:hAnsiTheme="majorHAnsi" w:cstheme="majorHAnsi"/>
        </w:rPr>
        <w:t xml:space="preserve">spade and </w:t>
      </w:r>
      <w:proofErr w:type="gramStart"/>
      <w:r w:rsidR="00B4348D" w:rsidRPr="003A4FF9">
        <w:rPr>
          <w:rFonts w:asciiTheme="majorHAnsi" w:hAnsiTheme="majorHAnsi" w:cstheme="majorHAnsi"/>
        </w:rPr>
        <w:t>pick-axe</w:t>
      </w:r>
      <w:proofErr w:type="gramEnd"/>
      <w:r w:rsidR="00CD749C" w:rsidRPr="003A4FF9">
        <w:rPr>
          <w:rFonts w:asciiTheme="majorHAnsi" w:hAnsiTheme="majorHAnsi" w:cstheme="majorHAnsi"/>
        </w:rPr>
        <w:t xml:space="preserve"> to dig a hole</w:t>
      </w:r>
      <w:r w:rsidR="00B4348D" w:rsidRPr="003A4FF9">
        <w:rPr>
          <w:rFonts w:asciiTheme="majorHAnsi" w:hAnsiTheme="majorHAnsi" w:cstheme="majorHAnsi"/>
        </w:rPr>
        <w:t xml:space="preserve"> for their garbage</w:t>
      </w:r>
      <w:r w:rsidR="000B399D" w:rsidRPr="003A4FF9">
        <w:rPr>
          <w:rFonts w:asciiTheme="majorHAnsi" w:hAnsiTheme="majorHAnsi" w:cstheme="majorHAnsi"/>
        </w:rPr>
        <w:t xml:space="preserve">. </w:t>
      </w:r>
      <w:r w:rsidR="00B4348D" w:rsidRPr="003A4FF9">
        <w:rPr>
          <w:rFonts w:asciiTheme="majorHAnsi" w:hAnsiTheme="majorHAnsi" w:cstheme="majorHAnsi"/>
        </w:rPr>
        <w:t>In the absence of any evidence on behalf of the defendant, this was really nothing</w:t>
      </w:r>
      <w:r w:rsidR="009E5488" w:rsidRPr="003A4FF9">
        <w:rPr>
          <w:rFonts w:asciiTheme="majorHAnsi" w:hAnsiTheme="majorHAnsi" w:cstheme="majorHAnsi"/>
        </w:rPr>
        <w:t>,</w:t>
      </w:r>
      <w:r w:rsidR="00B4348D" w:rsidRPr="003A4FF9">
        <w:rPr>
          <w:rFonts w:asciiTheme="majorHAnsi" w:hAnsiTheme="majorHAnsi" w:cstheme="majorHAnsi"/>
        </w:rPr>
        <w:t xml:space="preserve"> but a grasping at straws. </w:t>
      </w:r>
      <w:r w:rsidR="000B399D" w:rsidRPr="003A4FF9">
        <w:rPr>
          <w:rFonts w:asciiTheme="majorHAnsi" w:hAnsiTheme="majorHAnsi" w:cstheme="majorHAnsi"/>
        </w:rPr>
        <w:t>F</w:t>
      </w:r>
      <w:r w:rsidR="005F33F0" w:rsidRPr="003A4FF9">
        <w:rPr>
          <w:rFonts w:asciiTheme="majorHAnsi" w:hAnsiTheme="majorHAnsi" w:cstheme="majorHAnsi"/>
        </w:rPr>
        <w:t xml:space="preserve">urthermore, bearing in mind </w:t>
      </w:r>
      <w:r w:rsidR="00E93774" w:rsidRPr="003A4FF9">
        <w:rPr>
          <w:rFonts w:asciiTheme="majorHAnsi" w:hAnsiTheme="majorHAnsi" w:cstheme="majorHAnsi"/>
        </w:rPr>
        <w:t xml:space="preserve">the </w:t>
      </w:r>
      <w:r w:rsidR="00CB2A69" w:rsidRPr="003A4FF9">
        <w:rPr>
          <w:rFonts w:asciiTheme="majorHAnsi" w:hAnsiTheme="majorHAnsi" w:cstheme="majorHAnsi"/>
        </w:rPr>
        <w:t>allegations in the defendant</w:t>
      </w:r>
      <w:r w:rsidR="005307B7" w:rsidRPr="003A4FF9">
        <w:rPr>
          <w:rFonts w:asciiTheme="majorHAnsi" w:hAnsiTheme="majorHAnsi" w:cstheme="majorHAnsi"/>
        </w:rPr>
        <w:t>’</w:t>
      </w:r>
      <w:r w:rsidR="00CB2A69" w:rsidRPr="003A4FF9">
        <w:rPr>
          <w:rFonts w:asciiTheme="majorHAnsi" w:hAnsiTheme="majorHAnsi" w:cstheme="majorHAnsi"/>
        </w:rPr>
        <w:t xml:space="preserve">s </w:t>
      </w:r>
      <w:r w:rsidR="005307B7" w:rsidRPr="003A4FF9">
        <w:rPr>
          <w:rFonts w:asciiTheme="majorHAnsi" w:hAnsiTheme="majorHAnsi" w:cstheme="majorHAnsi"/>
        </w:rPr>
        <w:t xml:space="preserve">further particulars for purposes of trial, </w:t>
      </w:r>
      <w:r w:rsidR="00CB2A69" w:rsidRPr="003A4FF9">
        <w:rPr>
          <w:rFonts w:asciiTheme="majorHAnsi" w:hAnsiTheme="majorHAnsi" w:cstheme="majorHAnsi"/>
        </w:rPr>
        <w:t xml:space="preserve">the premises </w:t>
      </w:r>
      <w:r w:rsidR="005307B7" w:rsidRPr="003A4FF9">
        <w:rPr>
          <w:rFonts w:asciiTheme="majorHAnsi" w:hAnsiTheme="majorHAnsi" w:cstheme="majorHAnsi"/>
        </w:rPr>
        <w:t xml:space="preserve">were </w:t>
      </w:r>
      <w:r w:rsidR="009E5488" w:rsidRPr="003A4FF9">
        <w:rPr>
          <w:rFonts w:asciiTheme="majorHAnsi" w:hAnsiTheme="majorHAnsi" w:cstheme="majorHAnsi"/>
        </w:rPr>
        <w:t xml:space="preserve">allegedly </w:t>
      </w:r>
      <w:r w:rsidR="00061556" w:rsidRPr="003A4FF9">
        <w:rPr>
          <w:rFonts w:asciiTheme="majorHAnsi" w:hAnsiTheme="majorHAnsi" w:cstheme="majorHAnsi"/>
        </w:rPr>
        <w:t xml:space="preserve">cleaned and examined </w:t>
      </w:r>
      <w:r w:rsidR="007A7A16" w:rsidRPr="003A4FF9">
        <w:rPr>
          <w:rFonts w:asciiTheme="majorHAnsi" w:hAnsiTheme="majorHAnsi" w:cstheme="majorHAnsi"/>
        </w:rPr>
        <w:t>daily</w:t>
      </w:r>
      <w:r w:rsidR="00B4348D" w:rsidRPr="003A4FF9">
        <w:rPr>
          <w:rFonts w:asciiTheme="majorHAnsi" w:hAnsiTheme="majorHAnsi" w:cstheme="majorHAnsi"/>
        </w:rPr>
        <w:t xml:space="preserve"> by </w:t>
      </w:r>
      <w:proofErr w:type="gramStart"/>
      <w:r w:rsidR="00B4348D" w:rsidRPr="003A4FF9">
        <w:rPr>
          <w:rFonts w:asciiTheme="majorHAnsi" w:hAnsiTheme="majorHAnsi" w:cstheme="majorHAnsi"/>
        </w:rPr>
        <w:t>a number of</w:t>
      </w:r>
      <w:proofErr w:type="gramEnd"/>
      <w:r w:rsidR="00B4348D" w:rsidRPr="003A4FF9">
        <w:rPr>
          <w:rFonts w:asciiTheme="majorHAnsi" w:hAnsiTheme="majorHAnsi" w:cstheme="majorHAnsi"/>
        </w:rPr>
        <w:t xml:space="preserve"> personnel to identify defects and any potentially dangerous situations</w:t>
      </w:r>
      <w:r w:rsidR="009974EA" w:rsidRPr="003A4FF9">
        <w:rPr>
          <w:rFonts w:asciiTheme="majorHAnsi" w:hAnsiTheme="majorHAnsi" w:cstheme="majorHAnsi"/>
        </w:rPr>
        <w:t>.</w:t>
      </w:r>
      <w:r w:rsidR="00B4348D" w:rsidRPr="003A4FF9">
        <w:rPr>
          <w:rFonts w:asciiTheme="majorHAnsi" w:hAnsiTheme="majorHAnsi" w:cstheme="majorHAnsi"/>
        </w:rPr>
        <w:t xml:space="preserve"> </w:t>
      </w:r>
      <w:r w:rsidR="002B2C88" w:rsidRPr="003A4FF9">
        <w:rPr>
          <w:rFonts w:asciiTheme="majorHAnsi" w:hAnsiTheme="majorHAnsi" w:cstheme="majorHAnsi"/>
        </w:rPr>
        <w:t>This duty was not seriously undertaken, given the established facts.</w:t>
      </w:r>
      <w:r w:rsidR="009974EA" w:rsidRPr="003A4FF9">
        <w:rPr>
          <w:rFonts w:asciiTheme="majorHAnsi" w:hAnsiTheme="majorHAnsi" w:cstheme="majorHAnsi"/>
        </w:rPr>
        <w:t xml:space="preserve"> </w:t>
      </w:r>
    </w:p>
    <w:p w14:paraId="29BC990C" w14:textId="77777777" w:rsidR="00445F13" w:rsidRPr="005C161E" w:rsidRDefault="00445F13" w:rsidP="005C161E">
      <w:pPr>
        <w:pStyle w:val="ListParagraph"/>
        <w:spacing w:line="360" w:lineRule="auto"/>
        <w:jc w:val="both"/>
        <w:rPr>
          <w:rFonts w:asciiTheme="majorHAnsi" w:hAnsiTheme="majorHAnsi" w:cstheme="majorHAnsi"/>
        </w:rPr>
      </w:pPr>
    </w:p>
    <w:p w14:paraId="43483B46" w14:textId="73ACBF05" w:rsidR="0047657F"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[17]</w:t>
      </w:r>
      <w:r w:rsidRPr="005C161E">
        <w:rPr>
          <w:rFonts w:asciiTheme="majorHAnsi" w:hAnsiTheme="majorHAnsi" w:cstheme="majorHAnsi"/>
        </w:rPr>
        <w:tab/>
      </w:r>
      <w:r w:rsidR="00445F13" w:rsidRPr="003A4FF9">
        <w:rPr>
          <w:rFonts w:asciiTheme="majorHAnsi" w:hAnsiTheme="majorHAnsi" w:cstheme="majorHAnsi"/>
        </w:rPr>
        <w:t xml:space="preserve">Plaintiff’s evidence of the fall is uncontroverted. She proceeded to a nearby tree on the lawn area to shield her from the heavy rain and hail. She did not run and although her view was partly obscured </w:t>
      </w:r>
      <w:proofErr w:type="gramStart"/>
      <w:r w:rsidR="00445F13" w:rsidRPr="003A4FF9">
        <w:rPr>
          <w:rFonts w:asciiTheme="majorHAnsi" w:hAnsiTheme="majorHAnsi" w:cstheme="majorHAnsi"/>
        </w:rPr>
        <w:t>as a result of</w:t>
      </w:r>
      <w:proofErr w:type="gramEnd"/>
      <w:r w:rsidR="00445F13" w:rsidRPr="003A4FF9">
        <w:rPr>
          <w:rFonts w:asciiTheme="majorHAnsi" w:hAnsiTheme="majorHAnsi" w:cstheme="majorHAnsi"/>
        </w:rPr>
        <w:t xml:space="preserve"> the rain, she could see where she was going. Unfortunately, the streams of water not only filled the hole, but caused her not to identify the danger. Her evidence is unimpeachable. </w:t>
      </w:r>
      <w:r w:rsidR="00912E4B" w:rsidRPr="003A4FF9">
        <w:rPr>
          <w:rFonts w:asciiTheme="majorHAnsi" w:hAnsiTheme="majorHAnsi" w:cstheme="majorHAnsi"/>
        </w:rPr>
        <w:t xml:space="preserve">I am satisfied that the </w:t>
      </w:r>
      <w:r w:rsidR="003D6B05" w:rsidRPr="003A4FF9">
        <w:rPr>
          <w:rFonts w:asciiTheme="majorHAnsi" w:hAnsiTheme="majorHAnsi" w:cstheme="majorHAnsi"/>
        </w:rPr>
        <w:t>plaintiff stepped into this man</w:t>
      </w:r>
      <w:r w:rsidR="00C27D79" w:rsidRPr="003A4FF9">
        <w:rPr>
          <w:rFonts w:asciiTheme="majorHAnsi" w:hAnsiTheme="majorHAnsi" w:cstheme="majorHAnsi"/>
        </w:rPr>
        <w:t>-</w:t>
      </w:r>
      <w:r w:rsidR="00912E4B" w:rsidRPr="003A4FF9">
        <w:rPr>
          <w:rFonts w:asciiTheme="majorHAnsi" w:hAnsiTheme="majorHAnsi" w:cstheme="majorHAnsi"/>
        </w:rPr>
        <w:t xml:space="preserve">made </w:t>
      </w:r>
      <w:r w:rsidR="006535A0" w:rsidRPr="003A4FF9">
        <w:rPr>
          <w:rFonts w:asciiTheme="majorHAnsi" w:hAnsiTheme="majorHAnsi" w:cstheme="majorHAnsi"/>
        </w:rPr>
        <w:t xml:space="preserve">hole </w:t>
      </w:r>
      <w:r w:rsidR="00D359E1" w:rsidRPr="003A4FF9">
        <w:rPr>
          <w:rFonts w:asciiTheme="majorHAnsi" w:hAnsiTheme="majorHAnsi" w:cstheme="majorHAnsi"/>
        </w:rPr>
        <w:t>on the defendant</w:t>
      </w:r>
      <w:r w:rsidR="00B52A12" w:rsidRPr="003A4FF9">
        <w:rPr>
          <w:rFonts w:asciiTheme="majorHAnsi" w:hAnsiTheme="majorHAnsi" w:cstheme="majorHAnsi"/>
        </w:rPr>
        <w:t>’</w:t>
      </w:r>
      <w:r w:rsidR="00D359E1" w:rsidRPr="003A4FF9">
        <w:rPr>
          <w:rFonts w:asciiTheme="majorHAnsi" w:hAnsiTheme="majorHAnsi" w:cstheme="majorHAnsi"/>
        </w:rPr>
        <w:t>s law</w:t>
      </w:r>
      <w:r w:rsidR="006A18CB" w:rsidRPr="003A4FF9">
        <w:rPr>
          <w:rFonts w:asciiTheme="majorHAnsi" w:hAnsiTheme="majorHAnsi" w:cstheme="majorHAnsi"/>
        </w:rPr>
        <w:t>n</w:t>
      </w:r>
      <w:r w:rsidR="00D359E1" w:rsidRPr="003A4FF9">
        <w:rPr>
          <w:rFonts w:asciiTheme="majorHAnsi" w:hAnsiTheme="majorHAnsi" w:cstheme="majorHAnsi"/>
        </w:rPr>
        <w:t xml:space="preserve"> area as </w:t>
      </w:r>
      <w:r w:rsidR="00B52A12" w:rsidRPr="003A4FF9">
        <w:rPr>
          <w:rFonts w:asciiTheme="majorHAnsi" w:hAnsiTheme="majorHAnsi" w:cstheme="majorHAnsi"/>
        </w:rPr>
        <w:t>depicted</w:t>
      </w:r>
      <w:r w:rsidR="00D359E1" w:rsidRPr="003A4FF9">
        <w:rPr>
          <w:rFonts w:asciiTheme="majorHAnsi" w:hAnsiTheme="majorHAnsi" w:cstheme="majorHAnsi"/>
        </w:rPr>
        <w:t xml:space="preserve"> in the photographs </w:t>
      </w:r>
      <w:r w:rsidR="0013779C" w:rsidRPr="003A4FF9">
        <w:rPr>
          <w:rFonts w:asciiTheme="majorHAnsi" w:hAnsiTheme="majorHAnsi" w:cstheme="majorHAnsi"/>
        </w:rPr>
        <w:t xml:space="preserve">and that this hole </w:t>
      </w:r>
      <w:r w:rsidR="002B2C88" w:rsidRPr="003A4FF9">
        <w:rPr>
          <w:rFonts w:asciiTheme="majorHAnsi" w:hAnsiTheme="majorHAnsi" w:cstheme="majorHAnsi"/>
        </w:rPr>
        <w:t xml:space="preserve">must have </w:t>
      </w:r>
      <w:r w:rsidR="00B52A12" w:rsidRPr="003A4FF9">
        <w:rPr>
          <w:rFonts w:asciiTheme="majorHAnsi" w:hAnsiTheme="majorHAnsi" w:cstheme="majorHAnsi"/>
        </w:rPr>
        <w:t xml:space="preserve">contained </w:t>
      </w:r>
      <w:r w:rsidR="00331383" w:rsidRPr="003A4FF9">
        <w:rPr>
          <w:rFonts w:asciiTheme="majorHAnsi" w:hAnsiTheme="majorHAnsi" w:cstheme="majorHAnsi"/>
        </w:rPr>
        <w:t xml:space="preserve">sharp objects such as </w:t>
      </w:r>
      <w:r w:rsidR="00A60185" w:rsidRPr="003A4FF9">
        <w:rPr>
          <w:rFonts w:asciiTheme="majorHAnsi" w:hAnsiTheme="majorHAnsi" w:cstheme="majorHAnsi"/>
        </w:rPr>
        <w:t>broken glass bottles</w:t>
      </w:r>
      <w:r w:rsidR="003F7B03" w:rsidRPr="003A4FF9">
        <w:rPr>
          <w:rFonts w:asciiTheme="majorHAnsi" w:hAnsiTheme="majorHAnsi" w:cstheme="majorHAnsi"/>
        </w:rPr>
        <w:t xml:space="preserve"> although it may not be possible </w:t>
      </w:r>
      <w:r w:rsidR="00925E1F" w:rsidRPr="003A4FF9">
        <w:rPr>
          <w:rFonts w:asciiTheme="majorHAnsi" w:hAnsiTheme="majorHAnsi" w:cstheme="majorHAnsi"/>
        </w:rPr>
        <w:t xml:space="preserve">to </w:t>
      </w:r>
      <w:r w:rsidR="001C612D" w:rsidRPr="003A4FF9">
        <w:rPr>
          <w:rFonts w:asciiTheme="majorHAnsi" w:hAnsiTheme="majorHAnsi" w:cstheme="majorHAnsi"/>
        </w:rPr>
        <w:t xml:space="preserve">make a definite finding that </w:t>
      </w:r>
      <w:r w:rsidR="002B2C88" w:rsidRPr="003A4FF9">
        <w:rPr>
          <w:rFonts w:asciiTheme="majorHAnsi" w:hAnsiTheme="majorHAnsi" w:cstheme="majorHAnsi"/>
        </w:rPr>
        <w:t>the specific broken bottle in the hole</w:t>
      </w:r>
      <w:r w:rsidR="000B3CE0" w:rsidRPr="003A4FF9">
        <w:rPr>
          <w:rFonts w:asciiTheme="majorHAnsi" w:hAnsiTheme="majorHAnsi" w:cstheme="majorHAnsi"/>
        </w:rPr>
        <w:t xml:space="preserve"> depicted </w:t>
      </w:r>
      <w:r w:rsidR="008675E5" w:rsidRPr="003A4FF9">
        <w:rPr>
          <w:rFonts w:asciiTheme="majorHAnsi" w:hAnsiTheme="majorHAnsi" w:cstheme="majorHAnsi"/>
        </w:rPr>
        <w:t xml:space="preserve">in the photographs is the one that cut the plaintiff. </w:t>
      </w:r>
      <w:r w:rsidR="00B8061A" w:rsidRPr="003A4FF9">
        <w:rPr>
          <w:rFonts w:asciiTheme="majorHAnsi" w:hAnsiTheme="majorHAnsi" w:cstheme="majorHAnsi"/>
        </w:rPr>
        <w:t>G</w:t>
      </w:r>
      <w:r w:rsidR="008675E5" w:rsidRPr="003A4FF9">
        <w:rPr>
          <w:rFonts w:asciiTheme="majorHAnsi" w:hAnsiTheme="majorHAnsi" w:cstheme="majorHAnsi"/>
        </w:rPr>
        <w:t>ar</w:t>
      </w:r>
      <w:r w:rsidR="0063024A" w:rsidRPr="003A4FF9">
        <w:rPr>
          <w:rFonts w:asciiTheme="majorHAnsi" w:hAnsiTheme="majorHAnsi" w:cstheme="majorHAnsi"/>
        </w:rPr>
        <w:t>bage</w:t>
      </w:r>
      <w:r w:rsidR="008675E5" w:rsidRPr="003A4FF9">
        <w:rPr>
          <w:rFonts w:asciiTheme="majorHAnsi" w:hAnsiTheme="majorHAnsi" w:cstheme="majorHAnsi"/>
        </w:rPr>
        <w:t xml:space="preserve"> </w:t>
      </w:r>
      <w:r w:rsidR="00E925D1" w:rsidRPr="003A4FF9">
        <w:rPr>
          <w:rFonts w:asciiTheme="majorHAnsi" w:hAnsiTheme="majorHAnsi" w:cstheme="majorHAnsi"/>
        </w:rPr>
        <w:t xml:space="preserve">might have been </w:t>
      </w:r>
      <w:r w:rsidR="00B8061A" w:rsidRPr="003A4FF9">
        <w:rPr>
          <w:rFonts w:asciiTheme="majorHAnsi" w:hAnsiTheme="majorHAnsi" w:cstheme="majorHAnsi"/>
        </w:rPr>
        <w:t xml:space="preserve">removed from the hole </w:t>
      </w:r>
      <w:r w:rsidR="00E925D1" w:rsidRPr="003A4FF9">
        <w:rPr>
          <w:rFonts w:asciiTheme="majorHAnsi" w:hAnsiTheme="majorHAnsi" w:cstheme="majorHAnsi"/>
        </w:rPr>
        <w:t xml:space="preserve">after </w:t>
      </w:r>
      <w:r w:rsidR="002E172E" w:rsidRPr="003A4FF9">
        <w:rPr>
          <w:rFonts w:asciiTheme="majorHAnsi" w:hAnsiTheme="majorHAnsi" w:cstheme="majorHAnsi"/>
        </w:rPr>
        <w:t>the 25</w:t>
      </w:r>
      <w:r w:rsidR="002E172E" w:rsidRPr="003A4FF9">
        <w:rPr>
          <w:rFonts w:asciiTheme="majorHAnsi" w:hAnsiTheme="majorHAnsi" w:cstheme="majorHAnsi"/>
          <w:vertAlign w:val="superscript"/>
        </w:rPr>
        <w:t>th</w:t>
      </w:r>
      <w:r w:rsidR="002E172E" w:rsidRPr="003A4FF9">
        <w:rPr>
          <w:rFonts w:asciiTheme="majorHAnsi" w:hAnsiTheme="majorHAnsi" w:cstheme="majorHAnsi"/>
        </w:rPr>
        <w:t xml:space="preserve"> and </w:t>
      </w:r>
      <w:r w:rsidR="00DA5F33" w:rsidRPr="003A4FF9">
        <w:rPr>
          <w:rFonts w:asciiTheme="majorHAnsi" w:hAnsiTheme="majorHAnsi" w:cstheme="majorHAnsi"/>
        </w:rPr>
        <w:t xml:space="preserve">new garbage might have been thrown into the hole </w:t>
      </w:r>
      <w:r w:rsidR="002E172E" w:rsidRPr="003A4FF9">
        <w:rPr>
          <w:rFonts w:asciiTheme="majorHAnsi" w:hAnsiTheme="majorHAnsi" w:cstheme="majorHAnsi"/>
        </w:rPr>
        <w:t>before the photos were taken on the 29</w:t>
      </w:r>
      <w:r w:rsidR="002E172E" w:rsidRPr="003A4FF9">
        <w:rPr>
          <w:rFonts w:asciiTheme="majorHAnsi" w:hAnsiTheme="majorHAnsi" w:cstheme="majorHAnsi"/>
          <w:vertAlign w:val="superscript"/>
        </w:rPr>
        <w:t>th</w:t>
      </w:r>
      <w:r w:rsidR="002E172E" w:rsidRPr="003A4FF9">
        <w:rPr>
          <w:rFonts w:asciiTheme="majorHAnsi" w:hAnsiTheme="majorHAnsi" w:cstheme="majorHAnsi"/>
        </w:rPr>
        <w:t xml:space="preserve"> </w:t>
      </w:r>
      <w:r w:rsidR="002B2784" w:rsidRPr="003A4FF9">
        <w:rPr>
          <w:rFonts w:asciiTheme="majorHAnsi" w:hAnsiTheme="majorHAnsi" w:cstheme="majorHAnsi"/>
        </w:rPr>
        <w:t>of De</w:t>
      </w:r>
      <w:r w:rsidR="00514A09" w:rsidRPr="003A4FF9">
        <w:rPr>
          <w:rFonts w:asciiTheme="majorHAnsi" w:hAnsiTheme="majorHAnsi" w:cstheme="majorHAnsi"/>
        </w:rPr>
        <w:t>cember 2012.</w:t>
      </w:r>
    </w:p>
    <w:p w14:paraId="4516C512" w14:textId="77777777" w:rsidR="00514A09" w:rsidRPr="005C161E" w:rsidRDefault="00514A09" w:rsidP="005C161E">
      <w:pPr>
        <w:pStyle w:val="ListParagraph"/>
        <w:spacing w:line="360" w:lineRule="auto"/>
        <w:rPr>
          <w:rFonts w:asciiTheme="majorHAnsi" w:hAnsiTheme="majorHAnsi" w:cstheme="majorHAnsi"/>
        </w:rPr>
      </w:pPr>
    </w:p>
    <w:p w14:paraId="159318CF" w14:textId="5B169496" w:rsidR="00514A09"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[18]</w:t>
      </w:r>
      <w:r w:rsidRPr="005C161E">
        <w:rPr>
          <w:rFonts w:asciiTheme="majorHAnsi" w:hAnsiTheme="majorHAnsi" w:cstheme="majorHAnsi"/>
        </w:rPr>
        <w:tab/>
      </w:r>
      <w:r w:rsidR="002B2C88" w:rsidRPr="003A4FF9">
        <w:rPr>
          <w:rFonts w:asciiTheme="majorHAnsi" w:hAnsiTheme="majorHAnsi" w:cstheme="majorHAnsi"/>
        </w:rPr>
        <w:t xml:space="preserve">Contrary to the denial in the pleadings, </w:t>
      </w:r>
      <w:r w:rsidR="00B04783" w:rsidRPr="003A4FF9">
        <w:rPr>
          <w:rFonts w:asciiTheme="majorHAnsi" w:hAnsiTheme="majorHAnsi" w:cstheme="majorHAnsi"/>
        </w:rPr>
        <w:t xml:space="preserve">Mr </w:t>
      </w:r>
      <w:proofErr w:type="spellStart"/>
      <w:r w:rsidR="00B04783" w:rsidRPr="003A4FF9">
        <w:rPr>
          <w:rFonts w:asciiTheme="majorHAnsi" w:hAnsiTheme="majorHAnsi" w:cstheme="majorHAnsi"/>
        </w:rPr>
        <w:t>Zietsman</w:t>
      </w:r>
      <w:proofErr w:type="spellEnd"/>
      <w:r w:rsidR="00B04783" w:rsidRPr="003A4FF9">
        <w:rPr>
          <w:rFonts w:asciiTheme="majorHAnsi" w:hAnsiTheme="majorHAnsi" w:cstheme="majorHAnsi"/>
        </w:rPr>
        <w:t xml:space="preserve"> did not deny </w:t>
      </w:r>
      <w:r w:rsidR="005D1DBC" w:rsidRPr="003A4FF9">
        <w:rPr>
          <w:rFonts w:asciiTheme="majorHAnsi" w:hAnsiTheme="majorHAnsi" w:cstheme="majorHAnsi"/>
        </w:rPr>
        <w:t xml:space="preserve">during cross-examination of any of the witnesses </w:t>
      </w:r>
      <w:r w:rsidR="00B04783" w:rsidRPr="003A4FF9">
        <w:rPr>
          <w:rFonts w:asciiTheme="majorHAnsi" w:hAnsiTheme="majorHAnsi" w:cstheme="majorHAnsi"/>
        </w:rPr>
        <w:t xml:space="preserve">that the plaintiff </w:t>
      </w:r>
      <w:r w:rsidR="005D1DBC" w:rsidRPr="003A4FF9">
        <w:rPr>
          <w:rFonts w:asciiTheme="majorHAnsi" w:hAnsiTheme="majorHAnsi" w:cstheme="majorHAnsi"/>
        </w:rPr>
        <w:t xml:space="preserve">and her family visited the resort on 25 December 2012 and that she </w:t>
      </w:r>
      <w:r w:rsidR="00B04783" w:rsidRPr="003A4FF9">
        <w:rPr>
          <w:rFonts w:asciiTheme="majorHAnsi" w:hAnsiTheme="majorHAnsi" w:cstheme="majorHAnsi"/>
        </w:rPr>
        <w:t>was injured on the defendan</w:t>
      </w:r>
      <w:r w:rsidR="002B2C88" w:rsidRPr="003A4FF9">
        <w:rPr>
          <w:rFonts w:asciiTheme="majorHAnsi" w:hAnsiTheme="majorHAnsi" w:cstheme="majorHAnsi"/>
        </w:rPr>
        <w:t>t’s premises as alleged by her.</w:t>
      </w:r>
      <w:r w:rsidR="00B04783" w:rsidRPr="003A4FF9">
        <w:rPr>
          <w:rFonts w:asciiTheme="majorHAnsi" w:hAnsiTheme="majorHAnsi" w:cstheme="majorHAnsi"/>
        </w:rPr>
        <w:t xml:space="preserve"> I accept that she does not have first-hand knowledge of what exactl</w:t>
      </w:r>
      <w:r w:rsidR="00692123" w:rsidRPr="003A4FF9">
        <w:rPr>
          <w:rFonts w:asciiTheme="majorHAnsi" w:hAnsiTheme="majorHAnsi" w:cstheme="majorHAnsi"/>
        </w:rPr>
        <w:t>y caused the severe cuts to her</w:t>
      </w:r>
      <w:r w:rsidR="005D1DBC" w:rsidRPr="003A4FF9">
        <w:rPr>
          <w:rFonts w:asciiTheme="majorHAnsi" w:hAnsiTheme="majorHAnsi" w:cstheme="majorHAnsi"/>
        </w:rPr>
        <w:t xml:space="preserve"> foot</w:t>
      </w:r>
      <w:r w:rsidR="00692123" w:rsidRPr="003A4FF9">
        <w:rPr>
          <w:rFonts w:asciiTheme="majorHAnsi" w:hAnsiTheme="majorHAnsi" w:cstheme="majorHAnsi"/>
        </w:rPr>
        <w:t xml:space="preserve"> and leg</w:t>
      </w:r>
      <w:r w:rsidR="005D1DBC" w:rsidRPr="003A4FF9">
        <w:rPr>
          <w:rFonts w:asciiTheme="majorHAnsi" w:hAnsiTheme="majorHAnsi" w:cstheme="majorHAnsi"/>
        </w:rPr>
        <w:t xml:space="preserve">. </w:t>
      </w:r>
      <w:r w:rsidR="00B04783" w:rsidRPr="003A4FF9">
        <w:rPr>
          <w:rFonts w:asciiTheme="majorHAnsi" w:hAnsiTheme="majorHAnsi" w:cstheme="majorHAnsi"/>
        </w:rPr>
        <w:t xml:space="preserve">In this regard the broken bottle found in the hole four days after the event lends support for a finding based on circumstantial </w:t>
      </w:r>
      <w:r w:rsidR="00B04783" w:rsidRPr="003A4FF9">
        <w:rPr>
          <w:rFonts w:asciiTheme="majorHAnsi" w:hAnsiTheme="majorHAnsi" w:cstheme="majorHAnsi"/>
        </w:rPr>
        <w:lastRenderedPageBreak/>
        <w:t>evidence.</w:t>
      </w:r>
      <w:r w:rsidR="005D1DBC" w:rsidRPr="003A4FF9">
        <w:rPr>
          <w:rFonts w:asciiTheme="majorHAnsi" w:hAnsiTheme="majorHAnsi" w:cstheme="majorHAnsi"/>
        </w:rPr>
        <w:t xml:space="preserve"> Mr </w:t>
      </w:r>
      <w:proofErr w:type="spellStart"/>
      <w:r w:rsidR="005D1DBC" w:rsidRPr="003A4FF9">
        <w:rPr>
          <w:rFonts w:asciiTheme="majorHAnsi" w:hAnsiTheme="majorHAnsi" w:cstheme="majorHAnsi"/>
        </w:rPr>
        <w:t>Zietsman</w:t>
      </w:r>
      <w:proofErr w:type="spellEnd"/>
      <w:r w:rsidR="005D1DBC" w:rsidRPr="003A4FF9">
        <w:rPr>
          <w:rFonts w:asciiTheme="majorHAnsi" w:hAnsiTheme="majorHAnsi" w:cstheme="majorHAnsi"/>
        </w:rPr>
        <w:t xml:space="preserve"> considered it relevant to refer the plaintiff to the medical records of the </w:t>
      </w:r>
      <w:proofErr w:type="spellStart"/>
      <w:r w:rsidR="009E5488" w:rsidRPr="003A4FF9">
        <w:rPr>
          <w:rFonts w:asciiTheme="majorHAnsi" w:hAnsiTheme="majorHAnsi" w:cstheme="majorHAnsi"/>
        </w:rPr>
        <w:t>Tshepong</w:t>
      </w:r>
      <w:proofErr w:type="spellEnd"/>
      <w:r w:rsidR="009E5488" w:rsidRPr="003A4FF9">
        <w:rPr>
          <w:rFonts w:asciiTheme="majorHAnsi" w:hAnsiTheme="majorHAnsi" w:cstheme="majorHAnsi"/>
        </w:rPr>
        <w:t xml:space="preserve"> </w:t>
      </w:r>
      <w:r w:rsidR="005D1DBC" w:rsidRPr="003A4FF9">
        <w:rPr>
          <w:rFonts w:asciiTheme="majorHAnsi" w:hAnsiTheme="majorHAnsi" w:cstheme="majorHAnsi"/>
        </w:rPr>
        <w:t xml:space="preserve">hospital indicating that </w:t>
      </w:r>
      <w:r w:rsidR="00692123" w:rsidRPr="003A4FF9">
        <w:rPr>
          <w:rFonts w:asciiTheme="majorHAnsi" w:hAnsiTheme="majorHAnsi" w:cstheme="majorHAnsi"/>
        </w:rPr>
        <w:t>on 26 December 2012 she</w:t>
      </w:r>
      <w:r w:rsidR="005D1DBC" w:rsidRPr="003A4FF9">
        <w:rPr>
          <w:rFonts w:asciiTheme="majorHAnsi" w:hAnsiTheme="majorHAnsi" w:cstheme="majorHAnsi"/>
        </w:rPr>
        <w:t xml:space="preserve"> refused medical care. </w:t>
      </w:r>
      <w:r w:rsidR="00692123" w:rsidRPr="003A4FF9">
        <w:rPr>
          <w:rFonts w:asciiTheme="majorHAnsi" w:hAnsiTheme="majorHAnsi" w:cstheme="majorHAnsi"/>
        </w:rPr>
        <w:t xml:space="preserve">In my view she explained sufficiently what occurred and there is no reason to deal with this aspect any further. </w:t>
      </w:r>
      <w:r w:rsidR="005D1DBC" w:rsidRPr="003A4FF9">
        <w:rPr>
          <w:rFonts w:asciiTheme="majorHAnsi" w:hAnsiTheme="majorHAnsi" w:cstheme="majorHAnsi"/>
        </w:rPr>
        <w:t xml:space="preserve">Instead of supporting a possible version </w:t>
      </w:r>
      <w:r w:rsidR="00692123" w:rsidRPr="003A4FF9">
        <w:rPr>
          <w:rFonts w:asciiTheme="majorHAnsi" w:hAnsiTheme="majorHAnsi" w:cstheme="majorHAnsi"/>
        </w:rPr>
        <w:t xml:space="preserve">put to her </w:t>
      </w:r>
      <w:r w:rsidR="005D1DBC" w:rsidRPr="003A4FF9">
        <w:rPr>
          <w:rFonts w:asciiTheme="majorHAnsi" w:hAnsiTheme="majorHAnsi" w:cstheme="majorHAnsi"/>
        </w:rPr>
        <w:t>by the defendant, the records support the plaintiff’s case.</w:t>
      </w:r>
      <w:r w:rsidR="00ED103B" w:rsidRPr="003A4FF9">
        <w:rPr>
          <w:rFonts w:asciiTheme="majorHAnsi" w:hAnsiTheme="majorHAnsi" w:cstheme="majorHAnsi"/>
        </w:rPr>
        <w:t xml:space="preserve"> </w:t>
      </w:r>
      <w:r w:rsidR="00AD6B34" w:rsidRPr="003A4FF9">
        <w:rPr>
          <w:rFonts w:asciiTheme="majorHAnsi" w:hAnsiTheme="majorHAnsi" w:cstheme="majorHAnsi"/>
        </w:rPr>
        <w:t>The document</w:t>
      </w:r>
      <w:r w:rsidR="00692123" w:rsidRPr="003A4FF9">
        <w:rPr>
          <w:rFonts w:asciiTheme="majorHAnsi" w:hAnsiTheme="majorHAnsi" w:cstheme="majorHAnsi"/>
        </w:rPr>
        <w:t>s cont</w:t>
      </w:r>
      <w:r w:rsidR="009E5488" w:rsidRPr="003A4FF9">
        <w:rPr>
          <w:rFonts w:asciiTheme="majorHAnsi" w:hAnsiTheme="majorHAnsi" w:cstheme="majorHAnsi"/>
        </w:rPr>
        <w:t>ained in the discovery bundle provide</w:t>
      </w:r>
      <w:r w:rsidR="00AD6B34" w:rsidRPr="003A4FF9">
        <w:rPr>
          <w:rFonts w:asciiTheme="majorHAnsi" w:hAnsiTheme="majorHAnsi" w:cstheme="majorHAnsi"/>
        </w:rPr>
        <w:t xml:space="preserve"> </w:t>
      </w:r>
      <w:r w:rsidR="00B14669" w:rsidRPr="003A4FF9">
        <w:rPr>
          <w:rFonts w:asciiTheme="majorHAnsi" w:hAnsiTheme="majorHAnsi" w:cstheme="majorHAnsi"/>
        </w:rPr>
        <w:t xml:space="preserve">inter alia </w:t>
      </w:r>
      <w:r w:rsidR="00AD6B34" w:rsidRPr="003A4FF9">
        <w:rPr>
          <w:rFonts w:asciiTheme="majorHAnsi" w:hAnsiTheme="majorHAnsi" w:cstheme="majorHAnsi"/>
        </w:rPr>
        <w:t xml:space="preserve">the </w:t>
      </w:r>
      <w:r w:rsidR="00B14669" w:rsidRPr="003A4FF9">
        <w:rPr>
          <w:rFonts w:asciiTheme="majorHAnsi" w:hAnsiTheme="majorHAnsi" w:cstheme="majorHAnsi"/>
        </w:rPr>
        <w:t xml:space="preserve">duty </w:t>
      </w:r>
      <w:r w:rsidR="00AD6B34" w:rsidRPr="003A4FF9">
        <w:rPr>
          <w:rFonts w:asciiTheme="majorHAnsi" w:hAnsiTheme="majorHAnsi" w:cstheme="majorHAnsi"/>
        </w:rPr>
        <w:t>doctor</w:t>
      </w:r>
      <w:r w:rsidR="00692123" w:rsidRPr="003A4FF9">
        <w:rPr>
          <w:rFonts w:asciiTheme="majorHAnsi" w:hAnsiTheme="majorHAnsi" w:cstheme="majorHAnsi"/>
        </w:rPr>
        <w:t>’</w:t>
      </w:r>
      <w:r w:rsidR="00AD6B34" w:rsidRPr="003A4FF9">
        <w:rPr>
          <w:rFonts w:asciiTheme="majorHAnsi" w:hAnsiTheme="majorHAnsi" w:cstheme="majorHAnsi"/>
        </w:rPr>
        <w:t>s assessment that the plaintiff had fallen and sustained lacerations to her dorsal area. It is also apparent from the hospital records that the plaintiff first attended the hospital late afternoon of 25 D</w:t>
      </w:r>
      <w:r w:rsidR="00692123" w:rsidRPr="003A4FF9">
        <w:rPr>
          <w:rFonts w:asciiTheme="majorHAnsi" w:hAnsiTheme="majorHAnsi" w:cstheme="majorHAnsi"/>
        </w:rPr>
        <w:t>ecember 2012. Several photographs</w:t>
      </w:r>
      <w:r w:rsidR="00B86105" w:rsidRPr="003A4FF9">
        <w:rPr>
          <w:rFonts w:asciiTheme="majorHAnsi" w:hAnsiTheme="majorHAnsi" w:cstheme="majorHAnsi"/>
        </w:rPr>
        <w:t xml:space="preserve"> in the photo-album, although not specifically dealt with in the evidence,</w:t>
      </w:r>
      <w:r w:rsidR="00692123" w:rsidRPr="003A4FF9">
        <w:rPr>
          <w:rFonts w:asciiTheme="majorHAnsi" w:hAnsiTheme="majorHAnsi" w:cstheme="majorHAnsi"/>
        </w:rPr>
        <w:t xml:space="preserve"> depict the lacerations after being </w:t>
      </w:r>
      <w:r w:rsidR="00B86105" w:rsidRPr="003A4FF9">
        <w:rPr>
          <w:rFonts w:asciiTheme="majorHAnsi" w:hAnsiTheme="majorHAnsi" w:cstheme="majorHAnsi"/>
        </w:rPr>
        <w:t>sutured. These three</w:t>
      </w:r>
      <w:r w:rsidR="00692123" w:rsidRPr="003A4FF9">
        <w:rPr>
          <w:rFonts w:asciiTheme="majorHAnsi" w:hAnsiTheme="majorHAnsi" w:cstheme="majorHAnsi"/>
        </w:rPr>
        <w:t xml:space="preserve"> aspects:</w:t>
      </w:r>
      <w:r w:rsidR="00AD6B34" w:rsidRPr="003A4FF9">
        <w:rPr>
          <w:rFonts w:asciiTheme="majorHAnsi" w:hAnsiTheme="majorHAnsi" w:cstheme="majorHAnsi"/>
        </w:rPr>
        <w:t xml:space="preserve"> the </w:t>
      </w:r>
      <w:r w:rsidR="00B86105" w:rsidRPr="003A4FF9">
        <w:rPr>
          <w:rFonts w:asciiTheme="majorHAnsi" w:hAnsiTheme="majorHAnsi" w:cstheme="majorHAnsi"/>
        </w:rPr>
        <w:t xml:space="preserve">plaintiff’s </w:t>
      </w:r>
      <w:r w:rsidR="00B14669" w:rsidRPr="003A4FF9">
        <w:rPr>
          <w:rFonts w:asciiTheme="majorHAnsi" w:hAnsiTheme="majorHAnsi" w:cstheme="majorHAnsi"/>
        </w:rPr>
        <w:t xml:space="preserve">direct </w:t>
      </w:r>
      <w:r w:rsidR="00B86105" w:rsidRPr="003A4FF9">
        <w:rPr>
          <w:rFonts w:asciiTheme="majorHAnsi" w:hAnsiTheme="majorHAnsi" w:cstheme="majorHAnsi"/>
        </w:rPr>
        <w:t>testimony,</w:t>
      </w:r>
      <w:r w:rsidR="00AD6B34" w:rsidRPr="003A4FF9">
        <w:rPr>
          <w:rFonts w:asciiTheme="majorHAnsi" w:hAnsiTheme="majorHAnsi" w:cstheme="majorHAnsi"/>
        </w:rPr>
        <w:t xml:space="preserve"> the </w:t>
      </w:r>
      <w:r w:rsidR="00B14669" w:rsidRPr="003A4FF9">
        <w:rPr>
          <w:rFonts w:asciiTheme="majorHAnsi" w:hAnsiTheme="majorHAnsi" w:cstheme="majorHAnsi"/>
        </w:rPr>
        <w:t xml:space="preserve">objective </w:t>
      </w:r>
      <w:r w:rsidR="00AD6B34" w:rsidRPr="003A4FF9">
        <w:rPr>
          <w:rFonts w:asciiTheme="majorHAnsi" w:hAnsiTheme="majorHAnsi" w:cstheme="majorHAnsi"/>
        </w:rPr>
        <w:t>hospital records</w:t>
      </w:r>
      <w:r w:rsidR="00B14669" w:rsidRPr="003A4FF9">
        <w:rPr>
          <w:rFonts w:asciiTheme="majorHAnsi" w:hAnsiTheme="majorHAnsi" w:cstheme="majorHAnsi"/>
        </w:rPr>
        <w:t xml:space="preserve"> brought into play during cross-examination</w:t>
      </w:r>
      <w:r w:rsidR="00AD6B34" w:rsidRPr="003A4FF9">
        <w:rPr>
          <w:rFonts w:asciiTheme="majorHAnsi" w:hAnsiTheme="majorHAnsi" w:cstheme="majorHAnsi"/>
        </w:rPr>
        <w:t xml:space="preserve"> </w:t>
      </w:r>
      <w:r w:rsidR="00B86105" w:rsidRPr="003A4FF9">
        <w:rPr>
          <w:rFonts w:asciiTheme="majorHAnsi" w:hAnsiTheme="majorHAnsi" w:cstheme="majorHAnsi"/>
        </w:rPr>
        <w:t xml:space="preserve">and the photographs of the </w:t>
      </w:r>
      <w:r w:rsidR="00B14669" w:rsidRPr="003A4FF9">
        <w:rPr>
          <w:rFonts w:asciiTheme="majorHAnsi" w:hAnsiTheme="majorHAnsi" w:cstheme="majorHAnsi"/>
        </w:rPr>
        <w:t xml:space="preserve">sutured </w:t>
      </w:r>
      <w:r w:rsidR="00B86105" w:rsidRPr="003A4FF9">
        <w:rPr>
          <w:rFonts w:asciiTheme="majorHAnsi" w:hAnsiTheme="majorHAnsi" w:cstheme="majorHAnsi"/>
        </w:rPr>
        <w:t>lacerations</w:t>
      </w:r>
      <w:r w:rsidR="00B14669" w:rsidRPr="003A4FF9">
        <w:rPr>
          <w:rFonts w:asciiTheme="majorHAnsi" w:hAnsiTheme="majorHAnsi" w:cstheme="majorHAnsi"/>
        </w:rPr>
        <w:t>, taken together</w:t>
      </w:r>
      <w:r w:rsidR="009D3F27" w:rsidRPr="003A4FF9">
        <w:rPr>
          <w:rFonts w:asciiTheme="majorHAnsi" w:hAnsiTheme="majorHAnsi" w:cstheme="majorHAnsi"/>
        </w:rPr>
        <w:t xml:space="preserve">, </w:t>
      </w:r>
      <w:r w:rsidR="00B14669" w:rsidRPr="003A4FF9">
        <w:rPr>
          <w:rFonts w:asciiTheme="majorHAnsi" w:hAnsiTheme="majorHAnsi" w:cstheme="majorHAnsi"/>
        </w:rPr>
        <w:t xml:space="preserve">point to </w:t>
      </w:r>
      <w:r w:rsidR="009D3F27" w:rsidRPr="003A4FF9">
        <w:rPr>
          <w:rFonts w:asciiTheme="majorHAnsi" w:hAnsiTheme="majorHAnsi" w:cstheme="majorHAnsi"/>
        </w:rPr>
        <w:t xml:space="preserve">the only </w:t>
      </w:r>
      <w:r w:rsidR="00B14669" w:rsidRPr="003A4FF9">
        <w:rPr>
          <w:rFonts w:asciiTheme="majorHAnsi" w:hAnsiTheme="majorHAnsi" w:cstheme="majorHAnsi"/>
        </w:rPr>
        <w:t>reasonable and logical inference to be drawn</w:t>
      </w:r>
      <w:r w:rsidR="009D3F27" w:rsidRPr="003A4FF9">
        <w:rPr>
          <w:rFonts w:asciiTheme="majorHAnsi" w:hAnsiTheme="majorHAnsi" w:cstheme="majorHAnsi"/>
        </w:rPr>
        <w:t xml:space="preserve"> </w:t>
      </w:r>
      <w:r w:rsidR="00B14669" w:rsidRPr="003A4FF9">
        <w:rPr>
          <w:rFonts w:asciiTheme="majorHAnsi" w:hAnsiTheme="majorHAnsi" w:cstheme="majorHAnsi"/>
        </w:rPr>
        <w:t xml:space="preserve">(applying the stricter test used in criminal matters) or the more plausible inference than </w:t>
      </w:r>
      <w:r w:rsidR="009E5488" w:rsidRPr="003A4FF9">
        <w:rPr>
          <w:rFonts w:asciiTheme="majorHAnsi" w:hAnsiTheme="majorHAnsi" w:cstheme="majorHAnsi"/>
        </w:rPr>
        <w:t xml:space="preserve">any </w:t>
      </w:r>
      <w:r w:rsidR="00B14669" w:rsidRPr="003A4FF9">
        <w:rPr>
          <w:rFonts w:asciiTheme="majorHAnsi" w:hAnsiTheme="majorHAnsi" w:cstheme="majorHAnsi"/>
        </w:rPr>
        <w:t xml:space="preserve">other inference, being the test in civil matters, </w:t>
      </w:r>
      <w:r w:rsidR="009D3F27" w:rsidRPr="003A4FF9">
        <w:rPr>
          <w:rFonts w:asciiTheme="majorHAnsi" w:hAnsiTheme="majorHAnsi" w:cstheme="majorHAnsi"/>
        </w:rPr>
        <w:t xml:space="preserve">that the plaintiff </w:t>
      </w:r>
      <w:r w:rsidR="00B04783" w:rsidRPr="003A4FF9">
        <w:rPr>
          <w:rFonts w:asciiTheme="majorHAnsi" w:hAnsiTheme="majorHAnsi" w:cstheme="majorHAnsi"/>
        </w:rPr>
        <w:t xml:space="preserve">was cut </w:t>
      </w:r>
      <w:r w:rsidR="00B86105" w:rsidRPr="003A4FF9">
        <w:rPr>
          <w:rFonts w:asciiTheme="majorHAnsi" w:hAnsiTheme="majorHAnsi" w:cstheme="majorHAnsi"/>
        </w:rPr>
        <w:t>by a sharp object such as a broken glass bottle when she fell in the hole</w:t>
      </w:r>
      <w:r w:rsidR="00B14669" w:rsidRPr="003A4FF9">
        <w:rPr>
          <w:rFonts w:asciiTheme="majorHAnsi" w:hAnsiTheme="majorHAnsi" w:cstheme="majorHAnsi"/>
        </w:rPr>
        <w:t xml:space="preserve"> at the resort</w:t>
      </w:r>
      <w:r w:rsidR="00B04783" w:rsidRPr="003A4FF9">
        <w:rPr>
          <w:rFonts w:asciiTheme="majorHAnsi" w:hAnsiTheme="majorHAnsi" w:cstheme="majorHAnsi"/>
        </w:rPr>
        <w:t xml:space="preserve">. </w:t>
      </w:r>
      <w:r w:rsidR="00B71956" w:rsidRPr="003A4FF9">
        <w:rPr>
          <w:rFonts w:asciiTheme="majorHAnsi" w:hAnsiTheme="majorHAnsi" w:cstheme="majorHAnsi"/>
        </w:rPr>
        <w:t xml:space="preserve">Mr </w:t>
      </w:r>
      <w:proofErr w:type="spellStart"/>
      <w:r w:rsidR="00B71956" w:rsidRPr="003A4FF9">
        <w:rPr>
          <w:rFonts w:asciiTheme="majorHAnsi" w:hAnsiTheme="majorHAnsi" w:cstheme="majorHAnsi"/>
        </w:rPr>
        <w:t>Zietsman</w:t>
      </w:r>
      <w:proofErr w:type="spellEnd"/>
      <w:r w:rsidR="00B71956" w:rsidRPr="003A4FF9">
        <w:rPr>
          <w:rFonts w:asciiTheme="majorHAnsi" w:hAnsiTheme="majorHAnsi" w:cstheme="majorHAnsi"/>
        </w:rPr>
        <w:t xml:space="preserve"> did not put it to plaintiff or the other two witnesses that she did not injure her foot as alleged in the partic</w:t>
      </w:r>
      <w:r w:rsidR="005C56C4" w:rsidRPr="003A4FF9">
        <w:rPr>
          <w:rFonts w:asciiTheme="majorHAnsi" w:hAnsiTheme="majorHAnsi" w:cstheme="majorHAnsi"/>
        </w:rPr>
        <w:t>ulars of claim and as testified;</w:t>
      </w:r>
      <w:r w:rsidR="00B71956" w:rsidRPr="003A4FF9">
        <w:rPr>
          <w:rFonts w:asciiTheme="majorHAnsi" w:hAnsiTheme="majorHAnsi" w:cstheme="majorHAnsi"/>
        </w:rPr>
        <w:t xml:space="preserve"> yet he submitted in argument that she should not be believed and that a negative credibility finding should be made against her. Such submission is in direct conflict with the authorities, the most well-known of all being </w:t>
      </w:r>
      <w:r w:rsidR="00B71956" w:rsidRPr="003A4FF9">
        <w:rPr>
          <w:rFonts w:asciiTheme="majorHAnsi" w:hAnsiTheme="majorHAnsi" w:cstheme="majorHAnsi"/>
          <w:i/>
        </w:rPr>
        <w:t xml:space="preserve">President of the Republic of South Africa and Others v South African Rugby Football Union and </w:t>
      </w:r>
      <w:r w:rsidR="00C730C8" w:rsidRPr="003A4FF9">
        <w:rPr>
          <w:rFonts w:asciiTheme="majorHAnsi" w:hAnsiTheme="majorHAnsi" w:cstheme="majorHAnsi"/>
          <w:i/>
        </w:rPr>
        <w:t>Others</w:t>
      </w:r>
      <w:r w:rsidR="00B71956" w:rsidRPr="003A4FF9">
        <w:rPr>
          <w:rFonts w:asciiTheme="majorHAnsi" w:hAnsiTheme="majorHAnsi" w:cstheme="majorHAnsi"/>
          <w:i/>
        </w:rPr>
        <w:t>.</w:t>
      </w:r>
      <w:r w:rsidR="00B71956" w:rsidRPr="005C161E">
        <w:rPr>
          <w:rStyle w:val="FootnoteReference"/>
          <w:rFonts w:asciiTheme="majorHAnsi" w:hAnsiTheme="majorHAnsi" w:cstheme="majorHAnsi"/>
        </w:rPr>
        <w:footnoteReference w:id="6"/>
      </w:r>
      <w:r w:rsidR="00445F13" w:rsidRPr="003A4FF9">
        <w:rPr>
          <w:rFonts w:asciiTheme="majorHAnsi" w:hAnsiTheme="majorHAnsi" w:cstheme="majorHAnsi"/>
          <w:i/>
        </w:rPr>
        <w:t xml:space="preserve"> </w:t>
      </w:r>
      <w:r w:rsidR="00A60AB5" w:rsidRPr="003A4FF9">
        <w:rPr>
          <w:rFonts w:asciiTheme="majorHAnsi" w:hAnsiTheme="majorHAnsi" w:cstheme="majorHAnsi"/>
        </w:rPr>
        <w:t>T</w:t>
      </w:r>
      <w:r w:rsidR="008147EA" w:rsidRPr="003A4FF9">
        <w:rPr>
          <w:rFonts w:asciiTheme="majorHAnsi" w:hAnsiTheme="majorHAnsi" w:cstheme="majorHAnsi"/>
        </w:rPr>
        <w:t>herefore</w:t>
      </w:r>
      <w:r w:rsidR="00B86105" w:rsidRPr="003A4FF9">
        <w:rPr>
          <w:rFonts w:asciiTheme="majorHAnsi" w:hAnsiTheme="majorHAnsi" w:cstheme="majorHAnsi"/>
        </w:rPr>
        <w:t>,</w:t>
      </w:r>
      <w:r w:rsidR="00AD5C3E" w:rsidRPr="003A4FF9">
        <w:rPr>
          <w:rFonts w:asciiTheme="majorHAnsi" w:hAnsiTheme="majorHAnsi" w:cstheme="majorHAnsi"/>
        </w:rPr>
        <w:t xml:space="preserve"> although not </w:t>
      </w:r>
      <w:r w:rsidR="00B86105" w:rsidRPr="003A4FF9">
        <w:rPr>
          <w:rFonts w:asciiTheme="majorHAnsi" w:hAnsiTheme="majorHAnsi" w:cstheme="majorHAnsi"/>
        </w:rPr>
        <w:t>even suggested</w:t>
      </w:r>
      <w:r w:rsidR="00AD5C3E" w:rsidRPr="003A4FF9">
        <w:rPr>
          <w:rFonts w:asciiTheme="majorHAnsi" w:hAnsiTheme="majorHAnsi" w:cstheme="majorHAnsi"/>
        </w:rPr>
        <w:t xml:space="preserve"> </w:t>
      </w:r>
      <w:r w:rsidR="00D40F61" w:rsidRPr="003A4FF9">
        <w:rPr>
          <w:rFonts w:asciiTheme="majorHAnsi" w:hAnsiTheme="majorHAnsi" w:cstheme="majorHAnsi"/>
        </w:rPr>
        <w:t xml:space="preserve">by Mr </w:t>
      </w:r>
      <w:proofErr w:type="spellStart"/>
      <w:r w:rsidR="00D40F61" w:rsidRPr="003A4FF9">
        <w:rPr>
          <w:rFonts w:asciiTheme="majorHAnsi" w:hAnsiTheme="majorHAnsi" w:cstheme="majorHAnsi"/>
        </w:rPr>
        <w:t>Zietsman</w:t>
      </w:r>
      <w:proofErr w:type="spellEnd"/>
      <w:r w:rsidR="00B71956" w:rsidRPr="003A4FF9">
        <w:rPr>
          <w:rFonts w:asciiTheme="majorHAnsi" w:hAnsiTheme="majorHAnsi" w:cstheme="majorHAnsi"/>
        </w:rPr>
        <w:t xml:space="preserve"> that the plaintiff injured herself at a different location</w:t>
      </w:r>
      <w:r w:rsidR="00445F13" w:rsidRPr="003A4FF9">
        <w:rPr>
          <w:rFonts w:asciiTheme="majorHAnsi" w:hAnsiTheme="majorHAnsi" w:cstheme="majorHAnsi"/>
        </w:rPr>
        <w:t xml:space="preserve"> - </w:t>
      </w:r>
      <w:r w:rsidR="00B71956" w:rsidRPr="003A4FF9">
        <w:rPr>
          <w:rFonts w:asciiTheme="majorHAnsi" w:hAnsiTheme="majorHAnsi" w:cstheme="majorHAnsi"/>
        </w:rPr>
        <w:t>not on the defendant’s premises</w:t>
      </w:r>
      <w:r w:rsidR="00445F13" w:rsidRPr="003A4FF9">
        <w:rPr>
          <w:rFonts w:asciiTheme="majorHAnsi" w:hAnsiTheme="majorHAnsi" w:cstheme="majorHAnsi"/>
        </w:rPr>
        <w:t xml:space="preserve"> -</w:t>
      </w:r>
      <w:r w:rsidR="00D40F61" w:rsidRPr="003A4FF9">
        <w:rPr>
          <w:rFonts w:asciiTheme="majorHAnsi" w:hAnsiTheme="majorHAnsi" w:cstheme="majorHAnsi"/>
        </w:rPr>
        <w:t xml:space="preserve"> I </w:t>
      </w:r>
      <w:r w:rsidR="0097544F" w:rsidRPr="003A4FF9">
        <w:rPr>
          <w:rFonts w:asciiTheme="majorHAnsi" w:hAnsiTheme="majorHAnsi" w:cstheme="majorHAnsi"/>
        </w:rPr>
        <w:t xml:space="preserve">disregard </w:t>
      </w:r>
      <w:r w:rsidR="00AF3BB5" w:rsidRPr="003A4FF9">
        <w:rPr>
          <w:rFonts w:asciiTheme="majorHAnsi" w:hAnsiTheme="majorHAnsi" w:cstheme="majorHAnsi"/>
        </w:rPr>
        <w:t xml:space="preserve">the possibility </w:t>
      </w:r>
      <w:r w:rsidR="00C05C8A" w:rsidRPr="003A4FF9">
        <w:rPr>
          <w:rFonts w:asciiTheme="majorHAnsi" w:hAnsiTheme="majorHAnsi" w:cstheme="majorHAnsi"/>
        </w:rPr>
        <w:t xml:space="preserve">of the injuries being </w:t>
      </w:r>
      <w:r w:rsidR="002454A6" w:rsidRPr="003A4FF9">
        <w:rPr>
          <w:rFonts w:asciiTheme="majorHAnsi" w:hAnsiTheme="majorHAnsi" w:cstheme="majorHAnsi"/>
        </w:rPr>
        <w:t xml:space="preserve">sustained due to </w:t>
      </w:r>
      <w:r w:rsidR="006C0179" w:rsidRPr="003A4FF9">
        <w:rPr>
          <w:rFonts w:asciiTheme="majorHAnsi" w:hAnsiTheme="majorHAnsi" w:cstheme="majorHAnsi"/>
        </w:rPr>
        <w:t xml:space="preserve">for example </w:t>
      </w:r>
      <w:r w:rsidR="008B0C5B" w:rsidRPr="003A4FF9">
        <w:rPr>
          <w:rFonts w:asciiTheme="majorHAnsi" w:hAnsiTheme="majorHAnsi" w:cstheme="majorHAnsi"/>
        </w:rPr>
        <w:t>uneven ground</w:t>
      </w:r>
      <w:r w:rsidR="002C5F2A" w:rsidRPr="003A4FF9">
        <w:rPr>
          <w:rFonts w:asciiTheme="majorHAnsi" w:hAnsiTheme="majorHAnsi" w:cstheme="majorHAnsi"/>
        </w:rPr>
        <w:t xml:space="preserve"> or any other like ca</w:t>
      </w:r>
      <w:r w:rsidR="00CD6B22" w:rsidRPr="003A4FF9">
        <w:rPr>
          <w:rFonts w:asciiTheme="majorHAnsi" w:hAnsiTheme="majorHAnsi" w:cstheme="majorHAnsi"/>
        </w:rPr>
        <w:t>u</w:t>
      </w:r>
      <w:r w:rsidR="002C5F2A" w:rsidRPr="003A4FF9">
        <w:rPr>
          <w:rFonts w:asciiTheme="majorHAnsi" w:hAnsiTheme="majorHAnsi" w:cstheme="majorHAnsi"/>
        </w:rPr>
        <w:t>s</w:t>
      </w:r>
      <w:r w:rsidR="00937059" w:rsidRPr="003A4FF9">
        <w:rPr>
          <w:rFonts w:asciiTheme="majorHAnsi" w:hAnsiTheme="majorHAnsi" w:cstheme="majorHAnsi"/>
        </w:rPr>
        <w:t>e</w:t>
      </w:r>
      <w:r w:rsidR="00B14669" w:rsidRPr="003A4FF9">
        <w:rPr>
          <w:rFonts w:asciiTheme="majorHAnsi" w:hAnsiTheme="majorHAnsi" w:cstheme="majorHAnsi"/>
        </w:rPr>
        <w:t>, or even the glass plates with snacks that she was carrying when falling in the hole</w:t>
      </w:r>
      <w:r w:rsidR="004D40C3" w:rsidRPr="003A4FF9">
        <w:rPr>
          <w:rFonts w:asciiTheme="majorHAnsi" w:hAnsiTheme="majorHAnsi" w:cstheme="majorHAnsi"/>
        </w:rPr>
        <w:t>.</w:t>
      </w:r>
    </w:p>
    <w:p w14:paraId="472B8BCD" w14:textId="77777777" w:rsidR="004D40C3" w:rsidRPr="005C161E" w:rsidRDefault="004D40C3" w:rsidP="005C161E">
      <w:pPr>
        <w:pStyle w:val="ListParagraph"/>
        <w:spacing w:line="360" w:lineRule="auto"/>
        <w:rPr>
          <w:rFonts w:asciiTheme="majorHAnsi" w:hAnsiTheme="majorHAnsi" w:cstheme="majorHAnsi"/>
        </w:rPr>
      </w:pPr>
    </w:p>
    <w:p w14:paraId="6C9EFFB3" w14:textId="010D47F3" w:rsidR="00565D6F"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[19]</w:t>
      </w:r>
      <w:r w:rsidRPr="005C161E">
        <w:rPr>
          <w:rFonts w:asciiTheme="majorHAnsi" w:hAnsiTheme="majorHAnsi" w:cstheme="majorHAnsi"/>
        </w:rPr>
        <w:tab/>
      </w:r>
      <w:r w:rsidR="00445F13" w:rsidRPr="003A4FF9">
        <w:rPr>
          <w:rFonts w:asciiTheme="majorHAnsi" w:hAnsiTheme="majorHAnsi" w:cstheme="majorHAnsi"/>
        </w:rPr>
        <w:t xml:space="preserve">The </w:t>
      </w:r>
      <w:r w:rsidR="006A7E1A" w:rsidRPr="003A4FF9">
        <w:rPr>
          <w:rFonts w:asciiTheme="majorHAnsi" w:hAnsiTheme="majorHAnsi" w:cstheme="majorHAnsi"/>
        </w:rPr>
        <w:t xml:space="preserve">plaintiff was not negligent. Contrary to the allegations in the plea, </w:t>
      </w:r>
      <w:r w:rsidR="00445F13" w:rsidRPr="003A4FF9">
        <w:rPr>
          <w:rFonts w:asciiTheme="majorHAnsi" w:hAnsiTheme="majorHAnsi" w:cstheme="majorHAnsi"/>
        </w:rPr>
        <w:t xml:space="preserve">Mr </w:t>
      </w:r>
      <w:proofErr w:type="spellStart"/>
      <w:r w:rsidR="00445F13" w:rsidRPr="003A4FF9">
        <w:rPr>
          <w:rFonts w:asciiTheme="majorHAnsi" w:hAnsiTheme="majorHAnsi" w:cstheme="majorHAnsi"/>
        </w:rPr>
        <w:t>Zietsman</w:t>
      </w:r>
      <w:proofErr w:type="spellEnd"/>
      <w:r w:rsidR="00445F13" w:rsidRPr="003A4FF9">
        <w:rPr>
          <w:rFonts w:asciiTheme="majorHAnsi" w:hAnsiTheme="majorHAnsi" w:cstheme="majorHAnsi"/>
        </w:rPr>
        <w:t xml:space="preserve"> did not </w:t>
      </w:r>
      <w:r w:rsidR="006A7E1A" w:rsidRPr="003A4FF9">
        <w:rPr>
          <w:rFonts w:asciiTheme="majorHAnsi" w:hAnsiTheme="majorHAnsi" w:cstheme="majorHAnsi"/>
        </w:rPr>
        <w:t xml:space="preserve">submit as such. He submitted that even if the defendant was aware of the existence of the hole, but failed to cordon it off with warning tape, such negligence would not have been causally connected to the injuries suffered by the plaintiff as she could not see in front of her moments before she fell into the hole. This submission is </w:t>
      </w:r>
      <w:r w:rsidR="005C56C4" w:rsidRPr="003A4FF9">
        <w:rPr>
          <w:rFonts w:asciiTheme="majorHAnsi" w:hAnsiTheme="majorHAnsi" w:cstheme="majorHAnsi"/>
        </w:rPr>
        <w:t xml:space="preserve">factually incorrect and </w:t>
      </w:r>
      <w:r w:rsidR="006A7E1A" w:rsidRPr="003A4FF9">
        <w:rPr>
          <w:rFonts w:asciiTheme="majorHAnsi" w:hAnsiTheme="majorHAnsi" w:cstheme="majorHAnsi"/>
        </w:rPr>
        <w:t xml:space="preserve">based on speculation as no cross-examination </w:t>
      </w:r>
      <w:r w:rsidR="006A7E1A" w:rsidRPr="003A4FF9">
        <w:rPr>
          <w:rFonts w:asciiTheme="majorHAnsi" w:hAnsiTheme="majorHAnsi" w:cstheme="majorHAnsi"/>
        </w:rPr>
        <w:lastRenderedPageBreak/>
        <w:t xml:space="preserve">was conducted in this regard. </w:t>
      </w:r>
      <w:r w:rsidR="00565D6F" w:rsidRPr="003A4FF9">
        <w:rPr>
          <w:rFonts w:asciiTheme="majorHAnsi" w:hAnsiTheme="majorHAnsi" w:cstheme="majorHAnsi"/>
        </w:rPr>
        <w:t>I am satisfied that the proved facts called for an explanation, but none was forthcoming. Consequently, an adverse inference can be drawn from the defendant’s silence.</w:t>
      </w:r>
      <w:r w:rsidR="00565D6F" w:rsidRPr="005C161E">
        <w:rPr>
          <w:rStyle w:val="FootnoteReference"/>
          <w:rFonts w:asciiTheme="majorHAnsi" w:hAnsiTheme="majorHAnsi" w:cstheme="majorHAnsi"/>
        </w:rPr>
        <w:footnoteReference w:id="7"/>
      </w:r>
      <w:r w:rsidR="00565D6F" w:rsidRPr="003A4FF9">
        <w:rPr>
          <w:rFonts w:asciiTheme="majorHAnsi" w:hAnsiTheme="majorHAnsi" w:cstheme="majorHAnsi"/>
        </w:rPr>
        <w:t xml:space="preserve"> The defendant never denied the version that Aubrey, who assisted the injured plaintiff, was employed by it, he </w:t>
      </w:r>
      <w:proofErr w:type="gramStart"/>
      <w:r w:rsidR="00565D6F" w:rsidRPr="003A4FF9">
        <w:rPr>
          <w:rFonts w:asciiTheme="majorHAnsi" w:hAnsiTheme="majorHAnsi" w:cstheme="majorHAnsi"/>
        </w:rPr>
        <w:t>having</w:t>
      </w:r>
      <w:proofErr w:type="gramEnd"/>
      <w:r w:rsidR="00565D6F" w:rsidRPr="003A4FF9">
        <w:rPr>
          <w:rFonts w:asciiTheme="majorHAnsi" w:hAnsiTheme="majorHAnsi" w:cstheme="majorHAnsi"/>
        </w:rPr>
        <w:t xml:space="preserve"> conducted duties at the hot wate</w:t>
      </w:r>
      <w:r w:rsidR="006A7E1A" w:rsidRPr="003A4FF9">
        <w:rPr>
          <w:rFonts w:asciiTheme="majorHAnsi" w:hAnsiTheme="majorHAnsi" w:cstheme="majorHAnsi"/>
        </w:rPr>
        <w:t>r swimming pool. N</w:t>
      </w:r>
      <w:r w:rsidR="00565D6F" w:rsidRPr="003A4FF9">
        <w:rPr>
          <w:rFonts w:asciiTheme="majorHAnsi" w:hAnsiTheme="majorHAnsi" w:cstheme="majorHAnsi"/>
        </w:rPr>
        <w:t>o evidence was placed on record to dispute this uncontested version.</w:t>
      </w:r>
      <w:r w:rsidR="0039563A" w:rsidRPr="003A4FF9">
        <w:rPr>
          <w:rFonts w:asciiTheme="majorHAnsi" w:hAnsiTheme="majorHAnsi" w:cstheme="majorHAnsi"/>
        </w:rPr>
        <w:t xml:space="preserve"> The plaintiff’s letter of demand </w:t>
      </w:r>
      <w:r w:rsidR="005C56C4" w:rsidRPr="003A4FF9">
        <w:rPr>
          <w:rFonts w:asciiTheme="majorHAnsi" w:hAnsiTheme="majorHAnsi" w:cstheme="majorHAnsi"/>
        </w:rPr>
        <w:t xml:space="preserve">dated 11 March 2013 </w:t>
      </w:r>
      <w:r w:rsidR="0039563A" w:rsidRPr="003A4FF9">
        <w:rPr>
          <w:rFonts w:asciiTheme="majorHAnsi" w:hAnsiTheme="majorHAnsi" w:cstheme="majorHAnsi"/>
        </w:rPr>
        <w:t>was deliver</w:t>
      </w:r>
      <w:r w:rsidR="005C56C4" w:rsidRPr="003A4FF9">
        <w:rPr>
          <w:rFonts w:asciiTheme="majorHAnsi" w:hAnsiTheme="majorHAnsi" w:cstheme="majorHAnsi"/>
        </w:rPr>
        <w:t>ed to the defendant within three</w:t>
      </w:r>
      <w:r w:rsidR="0039563A" w:rsidRPr="003A4FF9">
        <w:rPr>
          <w:rFonts w:asciiTheme="majorHAnsi" w:hAnsiTheme="majorHAnsi" w:cstheme="majorHAnsi"/>
        </w:rPr>
        <w:t xml:space="preserve"> months from the date of the incident, allowing the defendant sufficient time and opportunity to investigate the plaintiff’s allegations. Yet, the defendant elected not to present a version.</w:t>
      </w:r>
    </w:p>
    <w:p w14:paraId="2AC47A21" w14:textId="77777777" w:rsidR="000F0E51" w:rsidRPr="005C161E" w:rsidRDefault="000F0E51" w:rsidP="005C161E">
      <w:pPr>
        <w:pStyle w:val="ListParagraph"/>
        <w:spacing w:line="360" w:lineRule="auto"/>
        <w:jc w:val="both"/>
        <w:rPr>
          <w:rFonts w:asciiTheme="majorHAnsi" w:hAnsiTheme="majorHAnsi" w:cstheme="majorHAnsi"/>
        </w:rPr>
      </w:pPr>
    </w:p>
    <w:p w14:paraId="4E8E0074" w14:textId="1CAF6FB2" w:rsidR="004A2AE5"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[20]</w:t>
      </w:r>
      <w:r w:rsidRPr="005C161E">
        <w:rPr>
          <w:rFonts w:asciiTheme="majorHAnsi" w:hAnsiTheme="majorHAnsi" w:cstheme="majorHAnsi"/>
        </w:rPr>
        <w:tab/>
      </w:r>
      <w:r w:rsidR="005B6C99" w:rsidRPr="003A4FF9">
        <w:rPr>
          <w:rFonts w:asciiTheme="majorHAnsi" w:hAnsiTheme="majorHAnsi" w:cstheme="majorHAnsi"/>
        </w:rPr>
        <w:t xml:space="preserve"> </w:t>
      </w:r>
      <w:r w:rsidR="00565D6F" w:rsidRPr="003A4FF9">
        <w:rPr>
          <w:rFonts w:asciiTheme="majorHAnsi" w:hAnsiTheme="majorHAnsi" w:cstheme="majorHAnsi"/>
        </w:rPr>
        <w:t>The defendant</w:t>
      </w:r>
      <w:r w:rsidR="005C56C4" w:rsidRPr="003A4FF9">
        <w:rPr>
          <w:rFonts w:asciiTheme="majorHAnsi" w:hAnsiTheme="majorHAnsi" w:cstheme="majorHAnsi"/>
        </w:rPr>
        <w:t>,</w:t>
      </w:r>
      <w:r w:rsidR="00565D6F" w:rsidRPr="003A4FF9">
        <w:rPr>
          <w:rFonts w:asciiTheme="majorHAnsi" w:hAnsiTheme="majorHAnsi" w:cstheme="majorHAnsi"/>
        </w:rPr>
        <w:t xml:space="preserve"> acting through its directors and/or employees</w:t>
      </w:r>
      <w:r w:rsidR="005C56C4" w:rsidRPr="003A4FF9">
        <w:rPr>
          <w:rFonts w:asciiTheme="majorHAnsi" w:hAnsiTheme="majorHAnsi" w:cstheme="majorHAnsi"/>
        </w:rPr>
        <w:t>,</w:t>
      </w:r>
      <w:r w:rsidR="00565D6F" w:rsidRPr="003A4FF9">
        <w:rPr>
          <w:rFonts w:asciiTheme="majorHAnsi" w:hAnsiTheme="majorHAnsi" w:cstheme="majorHAnsi"/>
        </w:rPr>
        <w:t xml:space="preserve"> acted </w:t>
      </w:r>
      <w:r w:rsidR="00186182" w:rsidRPr="003A4FF9">
        <w:rPr>
          <w:rFonts w:asciiTheme="majorHAnsi" w:hAnsiTheme="majorHAnsi" w:cstheme="majorHAnsi"/>
        </w:rPr>
        <w:t>grossly negligent</w:t>
      </w:r>
      <w:r w:rsidR="00565D6F" w:rsidRPr="003A4FF9">
        <w:rPr>
          <w:rFonts w:asciiTheme="majorHAnsi" w:hAnsiTheme="majorHAnsi" w:cstheme="majorHAnsi"/>
        </w:rPr>
        <w:t xml:space="preserve"> in either digging the hole</w:t>
      </w:r>
      <w:r w:rsidR="005C56C4" w:rsidRPr="003A4FF9">
        <w:rPr>
          <w:rFonts w:asciiTheme="majorHAnsi" w:hAnsiTheme="majorHAnsi" w:cstheme="majorHAnsi"/>
        </w:rPr>
        <w:t>,</w:t>
      </w:r>
      <w:r w:rsidR="00565D6F" w:rsidRPr="003A4FF9">
        <w:rPr>
          <w:rFonts w:asciiTheme="majorHAnsi" w:hAnsiTheme="majorHAnsi" w:cstheme="majorHAnsi"/>
        </w:rPr>
        <w:t xml:space="preserve"> or allowing the hole to be left open without </w:t>
      </w:r>
      <w:r w:rsidR="00186182" w:rsidRPr="003A4FF9">
        <w:rPr>
          <w:rFonts w:asciiTheme="majorHAnsi" w:hAnsiTheme="majorHAnsi" w:cstheme="majorHAnsi"/>
        </w:rPr>
        <w:t xml:space="preserve">cordoning it off </w:t>
      </w:r>
      <w:r w:rsidR="0039563A" w:rsidRPr="003A4FF9">
        <w:rPr>
          <w:rFonts w:asciiTheme="majorHAnsi" w:hAnsiTheme="majorHAnsi" w:cstheme="majorHAnsi"/>
        </w:rPr>
        <w:t xml:space="preserve">properly to prevent patrons to fall in it, </w:t>
      </w:r>
      <w:r w:rsidR="006A7E1A" w:rsidRPr="003A4FF9">
        <w:rPr>
          <w:rFonts w:asciiTheme="majorHAnsi" w:hAnsiTheme="majorHAnsi" w:cstheme="majorHAnsi"/>
        </w:rPr>
        <w:t>and/</w:t>
      </w:r>
      <w:r w:rsidR="00186182" w:rsidRPr="003A4FF9">
        <w:rPr>
          <w:rFonts w:asciiTheme="majorHAnsi" w:hAnsiTheme="majorHAnsi" w:cstheme="majorHAnsi"/>
        </w:rPr>
        <w:t xml:space="preserve">or providing </w:t>
      </w:r>
      <w:r w:rsidR="00565D6F" w:rsidRPr="003A4FF9">
        <w:rPr>
          <w:rFonts w:asciiTheme="majorHAnsi" w:hAnsiTheme="majorHAnsi" w:cstheme="majorHAnsi"/>
        </w:rPr>
        <w:t>any warning signs</w:t>
      </w:r>
      <w:r w:rsidR="005C56C4" w:rsidRPr="003A4FF9">
        <w:rPr>
          <w:rFonts w:asciiTheme="majorHAnsi" w:hAnsiTheme="majorHAnsi" w:cstheme="majorHAnsi"/>
        </w:rPr>
        <w:t xml:space="preserve"> to warn patrons of the</w:t>
      </w:r>
      <w:r w:rsidR="00186182" w:rsidRPr="003A4FF9">
        <w:rPr>
          <w:rFonts w:asciiTheme="majorHAnsi" w:hAnsiTheme="majorHAnsi" w:cstheme="majorHAnsi"/>
        </w:rPr>
        <w:t xml:space="preserve"> imminent danger</w:t>
      </w:r>
      <w:r w:rsidR="00D43DBE" w:rsidRPr="003A4FF9">
        <w:rPr>
          <w:rFonts w:asciiTheme="majorHAnsi" w:hAnsiTheme="majorHAnsi" w:cstheme="majorHAnsi"/>
        </w:rPr>
        <w:t xml:space="preserve">. </w:t>
      </w:r>
      <w:r w:rsidR="005C56C4" w:rsidRPr="003A4FF9">
        <w:rPr>
          <w:rFonts w:asciiTheme="majorHAnsi" w:hAnsiTheme="majorHAnsi" w:cstheme="majorHAnsi"/>
        </w:rPr>
        <w:t>Contrary to what was stated in the further particulars, the huge hole dug in the ground which caused the plaintiff’s injuries, was either dug by the defendant’s directors and/or employees to be used as an</w:t>
      </w:r>
      <w:r w:rsidR="00D43DBE" w:rsidRPr="003A4FF9">
        <w:rPr>
          <w:rFonts w:asciiTheme="majorHAnsi" w:hAnsiTheme="majorHAnsi" w:cstheme="majorHAnsi"/>
        </w:rPr>
        <w:t xml:space="preserve"> unprotected garbage pit</w:t>
      </w:r>
      <w:r w:rsidR="005C56C4" w:rsidRPr="003A4FF9">
        <w:rPr>
          <w:rFonts w:asciiTheme="majorHAnsi" w:hAnsiTheme="majorHAnsi" w:cstheme="majorHAnsi"/>
        </w:rPr>
        <w:t>, or if that was not the case, it was not detected and left open over a period of four days between 25 and 29 December 2012 when the first photos were taken. In my book and bearing in mind the hundreds of patrons that visited the resort during those days, this constitutes gross negligence, if not recklessness</w:t>
      </w:r>
      <w:r w:rsidR="00565D6F" w:rsidRPr="003A4FF9">
        <w:rPr>
          <w:rFonts w:asciiTheme="majorHAnsi" w:hAnsiTheme="majorHAnsi" w:cstheme="majorHAnsi"/>
        </w:rPr>
        <w:t xml:space="preserve">. </w:t>
      </w:r>
      <w:r w:rsidR="00D43DBE" w:rsidRPr="003A4FF9">
        <w:rPr>
          <w:rFonts w:asciiTheme="majorHAnsi" w:hAnsiTheme="majorHAnsi" w:cstheme="majorHAnsi"/>
        </w:rPr>
        <w:t xml:space="preserve">In the words of the court in </w:t>
      </w:r>
      <w:r w:rsidR="00D43DBE" w:rsidRPr="003A4FF9">
        <w:rPr>
          <w:rFonts w:asciiTheme="majorHAnsi" w:hAnsiTheme="majorHAnsi" w:cstheme="majorHAnsi"/>
          <w:i/>
        </w:rPr>
        <w:t xml:space="preserve">Stella </w:t>
      </w:r>
      <w:proofErr w:type="spellStart"/>
      <w:r w:rsidR="00D43DBE" w:rsidRPr="003A4FF9">
        <w:rPr>
          <w:rFonts w:asciiTheme="majorHAnsi" w:hAnsiTheme="majorHAnsi" w:cstheme="majorHAnsi"/>
          <w:i/>
        </w:rPr>
        <w:t>Tingas</w:t>
      </w:r>
      <w:proofErr w:type="spellEnd"/>
      <w:r w:rsidR="00D43DBE" w:rsidRPr="003A4FF9">
        <w:rPr>
          <w:rFonts w:asciiTheme="majorHAnsi" w:hAnsiTheme="majorHAnsi" w:cstheme="majorHAnsi"/>
        </w:rPr>
        <w:t xml:space="preserve"> supra, there was a departure from the standard of the reasonable person to such an extent that it may be categorised as extreme and at best for the defendant, a total failure to take care of its resort. </w:t>
      </w:r>
      <w:r w:rsidR="002F7C16" w:rsidRPr="003A4FF9">
        <w:rPr>
          <w:rFonts w:asciiTheme="majorHAnsi" w:hAnsiTheme="majorHAnsi" w:cstheme="majorHAnsi"/>
        </w:rPr>
        <w:t>If the hole was not there in the first place, no injuries would have been sustained by the plaintiff. I</w:t>
      </w:r>
      <w:r w:rsidR="00882943" w:rsidRPr="003A4FF9">
        <w:rPr>
          <w:rFonts w:asciiTheme="majorHAnsi" w:hAnsiTheme="majorHAnsi" w:cstheme="majorHAnsi"/>
        </w:rPr>
        <w:t>f the hole</w:t>
      </w:r>
      <w:r w:rsidR="002F7C16" w:rsidRPr="003A4FF9">
        <w:rPr>
          <w:rFonts w:asciiTheme="majorHAnsi" w:hAnsiTheme="majorHAnsi" w:cstheme="majorHAnsi"/>
        </w:rPr>
        <w:t xml:space="preserve"> was properly cordoned off to avoid a person from falling into it, the same would apply. If proper warning signs were erected, this would in all probability have been heeded to altho</w:t>
      </w:r>
      <w:r w:rsidR="004D2DC1" w:rsidRPr="003A4FF9">
        <w:rPr>
          <w:rFonts w:asciiTheme="majorHAnsi" w:hAnsiTheme="majorHAnsi" w:cstheme="majorHAnsi"/>
        </w:rPr>
        <w:t>ugh the plaintiff’s vision was a</w:t>
      </w:r>
      <w:r w:rsidR="002F7C16" w:rsidRPr="003A4FF9">
        <w:rPr>
          <w:rFonts w:asciiTheme="majorHAnsi" w:hAnsiTheme="majorHAnsi" w:cstheme="majorHAnsi"/>
        </w:rPr>
        <w:t xml:space="preserve">ffected to an extent. She was at least able to see the tree where she wanted to seek protection from the rain. Her son-in-law was able to find her. Aubrey came to her </w:t>
      </w:r>
      <w:r w:rsidR="00882943" w:rsidRPr="003A4FF9">
        <w:rPr>
          <w:rFonts w:asciiTheme="majorHAnsi" w:hAnsiTheme="majorHAnsi" w:cstheme="majorHAnsi"/>
        </w:rPr>
        <w:t xml:space="preserve">assistance and clearly managed to see her from a distance. Therefore, causation has been proven. </w:t>
      </w:r>
    </w:p>
    <w:p w14:paraId="38B45262" w14:textId="0E5C4C9D" w:rsidR="002F7C16" w:rsidRPr="003A4FF9" w:rsidRDefault="003A4FF9" w:rsidP="003A4FF9">
      <w:pPr>
        <w:spacing w:line="360" w:lineRule="auto"/>
        <w:jc w:val="both"/>
        <w:rPr>
          <w:rFonts w:asciiTheme="majorHAnsi" w:hAnsiTheme="majorHAnsi" w:cstheme="majorHAnsi"/>
        </w:rPr>
      </w:pPr>
      <w:r>
        <w:rPr>
          <w:rFonts w:asciiTheme="majorHAnsi" w:hAnsiTheme="majorHAnsi" w:cstheme="majorHAnsi"/>
        </w:rPr>
        <w:t>[21]</w:t>
      </w:r>
      <w:r>
        <w:rPr>
          <w:rFonts w:asciiTheme="majorHAnsi" w:hAnsiTheme="majorHAnsi" w:cstheme="majorHAnsi"/>
        </w:rPr>
        <w:tab/>
      </w:r>
      <w:r w:rsidR="00186182" w:rsidRPr="003A4FF9">
        <w:rPr>
          <w:rFonts w:asciiTheme="majorHAnsi" w:hAnsiTheme="majorHAnsi" w:cstheme="majorHAnsi"/>
        </w:rPr>
        <w:t>Finally, I need to address</w:t>
      </w:r>
      <w:r w:rsidR="007A7074" w:rsidRPr="003A4FF9">
        <w:rPr>
          <w:rFonts w:asciiTheme="majorHAnsi" w:hAnsiTheme="majorHAnsi" w:cstheme="majorHAnsi"/>
        </w:rPr>
        <w:t xml:space="preserve"> Mr </w:t>
      </w:r>
      <w:proofErr w:type="spellStart"/>
      <w:r w:rsidR="007A7074" w:rsidRPr="003A4FF9">
        <w:rPr>
          <w:rFonts w:asciiTheme="majorHAnsi" w:hAnsiTheme="majorHAnsi" w:cstheme="majorHAnsi"/>
        </w:rPr>
        <w:t>Zietsman</w:t>
      </w:r>
      <w:r w:rsidR="00186182" w:rsidRPr="003A4FF9">
        <w:rPr>
          <w:rFonts w:asciiTheme="majorHAnsi" w:hAnsiTheme="majorHAnsi" w:cstheme="majorHAnsi"/>
        </w:rPr>
        <w:t>’s</w:t>
      </w:r>
      <w:proofErr w:type="spellEnd"/>
      <w:r w:rsidR="005C56C4" w:rsidRPr="003A4FF9">
        <w:rPr>
          <w:rFonts w:asciiTheme="majorHAnsi" w:hAnsiTheme="majorHAnsi" w:cstheme="majorHAnsi"/>
        </w:rPr>
        <w:t xml:space="preserve"> remarks during</w:t>
      </w:r>
      <w:r w:rsidR="006121A3" w:rsidRPr="003A4FF9">
        <w:rPr>
          <w:rFonts w:asciiTheme="majorHAnsi" w:hAnsiTheme="majorHAnsi" w:cstheme="majorHAnsi"/>
        </w:rPr>
        <w:t xml:space="preserve"> argument</w:t>
      </w:r>
      <w:r w:rsidR="00333D6D" w:rsidRPr="003A4FF9">
        <w:rPr>
          <w:rFonts w:asciiTheme="majorHAnsi" w:hAnsiTheme="majorHAnsi" w:cstheme="majorHAnsi"/>
        </w:rPr>
        <w:t xml:space="preserve"> that </w:t>
      </w:r>
      <w:r w:rsidR="0028788F" w:rsidRPr="003A4FF9">
        <w:rPr>
          <w:rFonts w:asciiTheme="majorHAnsi" w:hAnsiTheme="majorHAnsi" w:cstheme="majorHAnsi"/>
        </w:rPr>
        <w:t xml:space="preserve">the plaintiff and her husband </w:t>
      </w:r>
      <w:proofErr w:type="gramStart"/>
      <w:r w:rsidR="0028788F" w:rsidRPr="003A4FF9">
        <w:rPr>
          <w:rFonts w:asciiTheme="majorHAnsi" w:hAnsiTheme="majorHAnsi" w:cstheme="majorHAnsi"/>
        </w:rPr>
        <w:t xml:space="preserve">in particular </w:t>
      </w:r>
      <w:r w:rsidR="00BB7A08" w:rsidRPr="003A4FF9">
        <w:rPr>
          <w:rFonts w:asciiTheme="majorHAnsi" w:hAnsiTheme="majorHAnsi" w:cstheme="majorHAnsi"/>
        </w:rPr>
        <w:t>confirmed</w:t>
      </w:r>
      <w:proofErr w:type="gramEnd"/>
      <w:r w:rsidR="00BB7A08" w:rsidRPr="003A4FF9">
        <w:rPr>
          <w:rFonts w:asciiTheme="majorHAnsi" w:hAnsiTheme="majorHAnsi" w:cstheme="majorHAnsi"/>
        </w:rPr>
        <w:t xml:space="preserve"> that </w:t>
      </w:r>
      <w:r w:rsidR="00F44E16" w:rsidRPr="003A4FF9">
        <w:rPr>
          <w:rFonts w:asciiTheme="majorHAnsi" w:hAnsiTheme="majorHAnsi" w:cstheme="majorHAnsi"/>
        </w:rPr>
        <w:t>they discuss</w:t>
      </w:r>
      <w:r w:rsidR="00186182" w:rsidRPr="003A4FF9">
        <w:rPr>
          <w:rFonts w:asciiTheme="majorHAnsi" w:hAnsiTheme="majorHAnsi" w:cstheme="majorHAnsi"/>
        </w:rPr>
        <w:t>ed the matter. H</w:t>
      </w:r>
      <w:r w:rsidR="00F44E16" w:rsidRPr="003A4FF9">
        <w:rPr>
          <w:rFonts w:asciiTheme="majorHAnsi" w:hAnsiTheme="majorHAnsi" w:cstheme="majorHAnsi"/>
        </w:rPr>
        <w:t xml:space="preserve">e </w:t>
      </w:r>
      <w:r w:rsidR="009379EE" w:rsidRPr="003A4FF9">
        <w:rPr>
          <w:rFonts w:asciiTheme="majorHAnsi" w:hAnsiTheme="majorHAnsi" w:cstheme="majorHAnsi"/>
        </w:rPr>
        <w:t xml:space="preserve">failed to </w:t>
      </w:r>
      <w:r w:rsidR="00B25E96" w:rsidRPr="003A4FF9">
        <w:rPr>
          <w:rFonts w:asciiTheme="majorHAnsi" w:hAnsiTheme="majorHAnsi" w:cstheme="majorHAnsi"/>
        </w:rPr>
        <w:t>persuade</w:t>
      </w:r>
      <w:r w:rsidR="009379EE" w:rsidRPr="003A4FF9">
        <w:rPr>
          <w:rFonts w:asciiTheme="majorHAnsi" w:hAnsiTheme="majorHAnsi" w:cstheme="majorHAnsi"/>
        </w:rPr>
        <w:t xml:space="preserve"> me </w:t>
      </w:r>
      <w:r w:rsidR="00D8235D" w:rsidRPr="003A4FF9">
        <w:rPr>
          <w:rFonts w:asciiTheme="majorHAnsi" w:hAnsiTheme="majorHAnsi" w:cstheme="majorHAnsi"/>
        </w:rPr>
        <w:t xml:space="preserve">to dismiss the version of any of </w:t>
      </w:r>
      <w:r w:rsidR="00D150BE" w:rsidRPr="003A4FF9">
        <w:rPr>
          <w:rFonts w:asciiTheme="majorHAnsi" w:hAnsiTheme="majorHAnsi" w:cstheme="majorHAnsi"/>
        </w:rPr>
        <w:t xml:space="preserve">the witnesses </w:t>
      </w:r>
      <w:proofErr w:type="gramStart"/>
      <w:r w:rsidR="00D150BE" w:rsidRPr="003A4FF9">
        <w:rPr>
          <w:rFonts w:asciiTheme="majorHAnsi" w:hAnsiTheme="majorHAnsi" w:cstheme="majorHAnsi"/>
        </w:rPr>
        <w:t>on the basis of</w:t>
      </w:r>
      <w:proofErr w:type="gramEnd"/>
      <w:r w:rsidR="00D150BE" w:rsidRPr="003A4FF9">
        <w:rPr>
          <w:rFonts w:asciiTheme="majorHAnsi" w:hAnsiTheme="majorHAnsi" w:cstheme="majorHAnsi"/>
        </w:rPr>
        <w:t xml:space="preserve"> </w:t>
      </w:r>
      <w:r w:rsidR="00D150BE" w:rsidRPr="003A4FF9">
        <w:rPr>
          <w:rFonts w:asciiTheme="majorHAnsi" w:hAnsiTheme="majorHAnsi" w:cstheme="majorHAnsi"/>
        </w:rPr>
        <w:lastRenderedPageBreak/>
        <w:t xml:space="preserve">their untrustworthiness. If Mr Kruger wanted to support the plaintiff’s testimony </w:t>
      </w:r>
      <w:r w:rsidR="00D922D0" w:rsidRPr="003A4FF9">
        <w:rPr>
          <w:rFonts w:asciiTheme="majorHAnsi" w:hAnsiTheme="majorHAnsi" w:cstheme="majorHAnsi"/>
        </w:rPr>
        <w:t xml:space="preserve">as to exactly what happened to her on the </w:t>
      </w:r>
      <w:proofErr w:type="gramStart"/>
      <w:r w:rsidR="006A7E1A" w:rsidRPr="003A4FF9">
        <w:rPr>
          <w:rFonts w:asciiTheme="majorHAnsi" w:hAnsiTheme="majorHAnsi" w:cstheme="majorHAnsi"/>
        </w:rPr>
        <w:t xml:space="preserve">particular </w:t>
      </w:r>
      <w:r w:rsidR="00D922D0" w:rsidRPr="003A4FF9">
        <w:rPr>
          <w:rFonts w:asciiTheme="majorHAnsi" w:hAnsiTheme="majorHAnsi" w:cstheme="majorHAnsi"/>
        </w:rPr>
        <w:t>Christmas</w:t>
      </w:r>
      <w:proofErr w:type="gramEnd"/>
      <w:r w:rsidR="00D922D0" w:rsidRPr="003A4FF9">
        <w:rPr>
          <w:rFonts w:asciiTheme="majorHAnsi" w:hAnsiTheme="majorHAnsi" w:cstheme="majorHAnsi"/>
        </w:rPr>
        <w:t xml:space="preserve"> afternoon, he </w:t>
      </w:r>
      <w:r w:rsidR="009E371F" w:rsidRPr="003A4FF9">
        <w:rPr>
          <w:rFonts w:asciiTheme="majorHAnsi" w:hAnsiTheme="majorHAnsi" w:cstheme="majorHAnsi"/>
        </w:rPr>
        <w:t xml:space="preserve">as well as his son-in-law could have </w:t>
      </w:r>
      <w:r w:rsidR="00186182" w:rsidRPr="003A4FF9">
        <w:rPr>
          <w:rFonts w:asciiTheme="majorHAnsi" w:hAnsiTheme="majorHAnsi" w:cstheme="majorHAnsi"/>
        </w:rPr>
        <w:t xml:space="preserve">lied and </w:t>
      </w:r>
      <w:r w:rsidR="009E371F" w:rsidRPr="003A4FF9">
        <w:rPr>
          <w:rFonts w:asciiTheme="majorHAnsi" w:hAnsiTheme="majorHAnsi" w:cstheme="majorHAnsi"/>
        </w:rPr>
        <w:t xml:space="preserve">presented factual evidence of </w:t>
      </w:r>
      <w:r w:rsidR="00344078" w:rsidRPr="003A4FF9">
        <w:rPr>
          <w:rFonts w:asciiTheme="majorHAnsi" w:hAnsiTheme="majorHAnsi" w:cstheme="majorHAnsi"/>
        </w:rPr>
        <w:t>exactly what happened to her</w:t>
      </w:r>
      <w:r w:rsidR="005B4341" w:rsidRPr="003A4FF9">
        <w:rPr>
          <w:rFonts w:asciiTheme="majorHAnsi" w:hAnsiTheme="majorHAnsi" w:cstheme="majorHAnsi"/>
        </w:rPr>
        <w:t xml:space="preserve">, what was found in this hole </w:t>
      </w:r>
      <w:r w:rsidR="00186182" w:rsidRPr="003A4FF9">
        <w:rPr>
          <w:rFonts w:asciiTheme="majorHAnsi" w:hAnsiTheme="majorHAnsi" w:cstheme="majorHAnsi"/>
        </w:rPr>
        <w:t>and</w:t>
      </w:r>
      <w:r w:rsidR="007E5D8E" w:rsidRPr="003A4FF9">
        <w:rPr>
          <w:rFonts w:asciiTheme="majorHAnsi" w:hAnsiTheme="majorHAnsi" w:cstheme="majorHAnsi"/>
        </w:rPr>
        <w:t xml:space="preserve"> what caused </w:t>
      </w:r>
      <w:r w:rsidR="00186182" w:rsidRPr="003A4FF9">
        <w:rPr>
          <w:rFonts w:asciiTheme="majorHAnsi" w:hAnsiTheme="majorHAnsi" w:cstheme="majorHAnsi"/>
        </w:rPr>
        <w:t>her injuries. They maintained that they did not have first-hand knowledge of the ordeal and explained where they were at the relevant time. It was never stated</w:t>
      </w:r>
      <w:r w:rsidR="00D50C80" w:rsidRPr="003A4FF9">
        <w:rPr>
          <w:rFonts w:asciiTheme="majorHAnsi" w:hAnsiTheme="majorHAnsi" w:cstheme="majorHAnsi"/>
        </w:rPr>
        <w:t xml:space="preserve"> </w:t>
      </w:r>
      <w:r w:rsidR="005232E9" w:rsidRPr="003A4FF9">
        <w:rPr>
          <w:rFonts w:asciiTheme="majorHAnsi" w:hAnsiTheme="majorHAnsi" w:cstheme="majorHAnsi"/>
        </w:rPr>
        <w:t>during cross-examina</w:t>
      </w:r>
      <w:r w:rsidR="00471E33" w:rsidRPr="003A4FF9">
        <w:rPr>
          <w:rFonts w:asciiTheme="majorHAnsi" w:hAnsiTheme="majorHAnsi" w:cstheme="majorHAnsi"/>
        </w:rPr>
        <w:t xml:space="preserve">tion </w:t>
      </w:r>
      <w:r w:rsidR="002423AF" w:rsidRPr="003A4FF9">
        <w:rPr>
          <w:rFonts w:asciiTheme="majorHAnsi" w:hAnsiTheme="majorHAnsi" w:cstheme="majorHAnsi"/>
        </w:rPr>
        <w:t>that the witnesses</w:t>
      </w:r>
      <w:r w:rsidR="003065EE" w:rsidRPr="003A4FF9">
        <w:rPr>
          <w:rFonts w:asciiTheme="majorHAnsi" w:hAnsiTheme="majorHAnsi" w:cstheme="majorHAnsi"/>
        </w:rPr>
        <w:t>’ versions</w:t>
      </w:r>
      <w:r w:rsidR="002423AF" w:rsidRPr="003A4FF9">
        <w:rPr>
          <w:rFonts w:asciiTheme="majorHAnsi" w:hAnsiTheme="majorHAnsi" w:cstheme="majorHAnsi"/>
        </w:rPr>
        <w:t xml:space="preserve"> </w:t>
      </w:r>
      <w:r w:rsidR="005C56C4" w:rsidRPr="003A4FF9">
        <w:rPr>
          <w:rFonts w:asciiTheme="majorHAnsi" w:hAnsiTheme="majorHAnsi" w:cstheme="majorHAnsi"/>
        </w:rPr>
        <w:t>would</w:t>
      </w:r>
      <w:r w:rsidR="0012358B" w:rsidRPr="003A4FF9">
        <w:rPr>
          <w:rFonts w:asciiTheme="majorHAnsi" w:hAnsiTheme="majorHAnsi" w:cstheme="majorHAnsi"/>
        </w:rPr>
        <w:t xml:space="preserve"> be contradicted </w:t>
      </w:r>
      <w:r w:rsidR="00F5058E" w:rsidRPr="003A4FF9">
        <w:rPr>
          <w:rFonts w:asciiTheme="majorHAnsi" w:hAnsiTheme="majorHAnsi" w:cstheme="majorHAnsi"/>
        </w:rPr>
        <w:t xml:space="preserve">by </w:t>
      </w:r>
      <w:r w:rsidR="003065EE" w:rsidRPr="003A4FF9">
        <w:rPr>
          <w:rFonts w:asciiTheme="majorHAnsi" w:hAnsiTheme="majorHAnsi" w:cstheme="majorHAnsi"/>
        </w:rPr>
        <w:t>evidence of opposing witnesses and</w:t>
      </w:r>
      <w:r w:rsidR="00F5058E" w:rsidRPr="003A4FF9">
        <w:rPr>
          <w:rFonts w:asciiTheme="majorHAnsi" w:hAnsiTheme="majorHAnsi" w:cstheme="majorHAnsi"/>
        </w:rPr>
        <w:t xml:space="preserve"> </w:t>
      </w:r>
      <w:r w:rsidR="003065EE" w:rsidRPr="003A4FF9">
        <w:rPr>
          <w:rFonts w:asciiTheme="majorHAnsi" w:hAnsiTheme="majorHAnsi" w:cstheme="majorHAnsi"/>
        </w:rPr>
        <w:t xml:space="preserve">the precise nature of the evidence to be presented </w:t>
      </w:r>
      <w:proofErr w:type="gramStart"/>
      <w:r w:rsidR="003065EE" w:rsidRPr="003A4FF9">
        <w:rPr>
          <w:rFonts w:asciiTheme="majorHAnsi" w:hAnsiTheme="majorHAnsi" w:cstheme="majorHAnsi"/>
        </w:rPr>
        <w:t>in order to</w:t>
      </w:r>
      <w:proofErr w:type="gramEnd"/>
      <w:r w:rsidR="003065EE" w:rsidRPr="003A4FF9">
        <w:rPr>
          <w:rFonts w:asciiTheme="majorHAnsi" w:hAnsiTheme="majorHAnsi" w:cstheme="majorHAnsi"/>
        </w:rPr>
        <w:t xml:space="preserve"> provide</w:t>
      </w:r>
      <w:r w:rsidR="00BC578F" w:rsidRPr="003A4FF9">
        <w:rPr>
          <w:rFonts w:asciiTheme="majorHAnsi" w:hAnsiTheme="majorHAnsi" w:cstheme="majorHAnsi"/>
        </w:rPr>
        <w:t xml:space="preserve"> an </w:t>
      </w:r>
      <w:r w:rsidR="00266F2C" w:rsidRPr="003A4FF9">
        <w:rPr>
          <w:rFonts w:asciiTheme="majorHAnsi" w:hAnsiTheme="majorHAnsi" w:cstheme="majorHAnsi"/>
        </w:rPr>
        <w:t>opportunity</w:t>
      </w:r>
      <w:r w:rsidR="003065EE" w:rsidRPr="003A4FF9">
        <w:rPr>
          <w:rFonts w:asciiTheme="majorHAnsi" w:hAnsiTheme="majorHAnsi" w:cstheme="majorHAnsi"/>
        </w:rPr>
        <w:t xml:space="preserve"> for an explanation. Furthermore,</w:t>
      </w:r>
      <w:r w:rsidR="00BC578F" w:rsidRPr="003A4FF9">
        <w:rPr>
          <w:rFonts w:asciiTheme="majorHAnsi" w:hAnsiTheme="majorHAnsi" w:cstheme="majorHAnsi"/>
        </w:rPr>
        <w:t xml:space="preserve"> it was never put to any of the witnesses </w:t>
      </w:r>
      <w:r w:rsidR="00266F2C" w:rsidRPr="003A4FF9">
        <w:rPr>
          <w:rFonts w:asciiTheme="majorHAnsi" w:hAnsiTheme="majorHAnsi" w:cstheme="majorHAnsi"/>
        </w:rPr>
        <w:t xml:space="preserve">that they should be disbelieved </w:t>
      </w:r>
      <w:r w:rsidR="003065EE" w:rsidRPr="003A4FF9">
        <w:rPr>
          <w:rFonts w:asciiTheme="majorHAnsi" w:hAnsiTheme="majorHAnsi" w:cstheme="majorHAnsi"/>
        </w:rPr>
        <w:t>for them to respond accordingly. In fact,</w:t>
      </w:r>
      <w:r w:rsidR="007B7948" w:rsidRPr="003A4FF9">
        <w:rPr>
          <w:rFonts w:asciiTheme="majorHAnsi" w:hAnsiTheme="majorHAnsi" w:cstheme="majorHAnsi"/>
        </w:rPr>
        <w:t xml:space="preserve"> evidence </w:t>
      </w:r>
      <w:r w:rsidR="004D6A7D" w:rsidRPr="003A4FF9">
        <w:rPr>
          <w:rFonts w:asciiTheme="majorHAnsi" w:hAnsiTheme="majorHAnsi" w:cstheme="majorHAnsi"/>
        </w:rPr>
        <w:t xml:space="preserve">of the serious injuries sustained by </w:t>
      </w:r>
      <w:r w:rsidR="00255E53" w:rsidRPr="003A4FF9">
        <w:rPr>
          <w:rFonts w:asciiTheme="majorHAnsi" w:hAnsiTheme="majorHAnsi" w:cstheme="majorHAnsi"/>
        </w:rPr>
        <w:t xml:space="preserve">the </w:t>
      </w:r>
      <w:r w:rsidR="00C82C0A" w:rsidRPr="003A4FF9">
        <w:rPr>
          <w:rFonts w:asciiTheme="majorHAnsi" w:hAnsiTheme="majorHAnsi" w:cstheme="majorHAnsi"/>
        </w:rPr>
        <w:t xml:space="preserve">plaintiff that </w:t>
      </w:r>
      <w:r w:rsidR="0092588B" w:rsidRPr="003A4FF9">
        <w:rPr>
          <w:rFonts w:asciiTheme="majorHAnsi" w:hAnsiTheme="majorHAnsi" w:cstheme="majorHAnsi"/>
        </w:rPr>
        <w:t xml:space="preserve">faithful </w:t>
      </w:r>
      <w:r w:rsidR="00C82C0A" w:rsidRPr="003A4FF9">
        <w:rPr>
          <w:rFonts w:asciiTheme="majorHAnsi" w:hAnsiTheme="majorHAnsi" w:cstheme="majorHAnsi"/>
        </w:rPr>
        <w:t xml:space="preserve">afternoon </w:t>
      </w:r>
      <w:r w:rsidR="0092588B" w:rsidRPr="003A4FF9">
        <w:rPr>
          <w:rFonts w:asciiTheme="majorHAnsi" w:hAnsiTheme="majorHAnsi" w:cstheme="majorHAnsi"/>
        </w:rPr>
        <w:t>has not been challenged at all</w:t>
      </w:r>
      <w:r w:rsidR="003065EE" w:rsidRPr="003A4FF9">
        <w:rPr>
          <w:rFonts w:asciiTheme="majorHAnsi" w:hAnsiTheme="majorHAnsi" w:cstheme="majorHAnsi"/>
        </w:rPr>
        <w:t xml:space="preserve"> during cross-examination</w:t>
      </w:r>
      <w:r w:rsidR="0092588B" w:rsidRPr="003A4FF9">
        <w:rPr>
          <w:rFonts w:asciiTheme="majorHAnsi" w:hAnsiTheme="majorHAnsi" w:cstheme="majorHAnsi"/>
        </w:rPr>
        <w:t>.</w:t>
      </w:r>
      <w:r w:rsidR="003065EE" w:rsidRPr="003A4FF9">
        <w:rPr>
          <w:rFonts w:asciiTheme="majorHAnsi" w:hAnsiTheme="majorHAnsi" w:cstheme="majorHAnsi"/>
        </w:rPr>
        <w:t xml:space="preserve"> In his heads of argument Mr </w:t>
      </w:r>
      <w:proofErr w:type="spellStart"/>
      <w:r w:rsidR="003065EE" w:rsidRPr="003A4FF9">
        <w:rPr>
          <w:rFonts w:asciiTheme="majorHAnsi" w:hAnsiTheme="majorHAnsi" w:cstheme="majorHAnsi"/>
        </w:rPr>
        <w:t>Zietsman</w:t>
      </w:r>
      <w:proofErr w:type="spellEnd"/>
      <w:r w:rsidR="003065EE" w:rsidRPr="003A4FF9">
        <w:rPr>
          <w:rFonts w:asciiTheme="majorHAnsi" w:hAnsiTheme="majorHAnsi" w:cstheme="majorHAnsi"/>
        </w:rPr>
        <w:t xml:space="preserve"> for the first time touched on the subject, submitting that the court should ‘make a negative credibility finding against the plaintiff and to find that she did not injure her leg as alleged in the particulars of claim.’ He said nothing about her viva voce evidence.</w:t>
      </w:r>
      <w:r w:rsidR="004C4C77" w:rsidRPr="003A4FF9">
        <w:rPr>
          <w:rFonts w:asciiTheme="majorHAnsi" w:hAnsiTheme="majorHAnsi" w:cstheme="majorHAnsi"/>
        </w:rPr>
        <w:t xml:space="preserve"> </w:t>
      </w:r>
    </w:p>
    <w:p w14:paraId="78C9572F" w14:textId="77777777" w:rsidR="002F7C16" w:rsidRDefault="002F7C16" w:rsidP="002F7C16">
      <w:pPr>
        <w:pStyle w:val="ListParagraph"/>
        <w:spacing w:line="360" w:lineRule="auto"/>
        <w:jc w:val="both"/>
        <w:rPr>
          <w:rFonts w:asciiTheme="majorHAnsi" w:hAnsiTheme="majorHAnsi" w:cstheme="majorHAnsi"/>
        </w:rPr>
      </w:pPr>
    </w:p>
    <w:p w14:paraId="5F22A141" w14:textId="32442411" w:rsidR="001F55E0" w:rsidRPr="003A4FF9" w:rsidRDefault="003A4FF9" w:rsidP="003A4FF9">
      <w:pPr>
        <w:spacing w:line="360" w:lineRule="auto"/>
        <w:jc w:val="both"/>
        <w:rPr>
          <w:rFonts w:asciiTheme="majorHAnsi" w:hAnsiTheme="majorHAnsi" w:cstheme="majorHAnsi"/>
        </w:rPr>
      </w:pPr>
      <w:r w:rsidRPr="002F7C16">
        <w:rPr>
          <w:rFonts w:asciiTheme="majorHAnsi" w:hAnsiTheme="majorHAnsi" w:cstheme="majorHAnsi"/>
        </w:rPr>
        <w:t>[22]</w:t>
      </w:r>
      <w:r w:rsidRPr="002F7C16">
        <w:rPr>
          <w:rFonts w:asciiTheme="majorHAnsi" w:hAnsiTheme="majorHAnsi" w:cstheme="majorHAnsi"/>
        </w:rPr>
        <w:tab/>
      </w:r>
      <w:r w:rsidR="004C4C77" w:rsidRPr="003A4FF9">
        <w:rPr>
          <w:rFonts w:asciiTheme="majorHAnsi" w:hAnsiTheme="majorHAnsi" w:cstheme="majorHAnsi"/>
        </w:rPr>
        <w:t>I am satisfied that the first two issues mentioned in paragraph 4 above, to wit whether the plaintiff was injured at the resort on 25 December 2012 and w</w:t>
      </w:r>
      <w:r w:rsidR="002F7C16" w:rsidRPr="003A4FF9">
        <w:rPr>
          <w:rFonts w:asciiTheme="majorHAnsi" w:hAnsiTheme="majorHAnsi" w:cstheme="majorHAnsi"/>
        </w:rPr>
        <w:t>hether the defendant’s gross negligence</w:t>
      </w:r>
      <w:r w:rsidR="004C4C77" w:rsidRPr="003A4FF9">
        <w:rPr>
          <w:rFonts w:asciiTheme="majorHAnsi" w:hAnsiTheme="majorHAnsi" w:cstheme="majorHAnsi"/>
        </w:rPr>
        <w:t xml:space="preserve"> </w:t>
      </w:r>
      <w:r w:rsidR="002F7C16" w:rsidRPr="003A4FF9">
        <w:rPr>
          <w:rFonts w:asciiTheme="majorHAnsi" w:hAnsiTheme="majorHAnsi" w:cstheme="majorHAnsi"/>
        </w:rPr>
        <w:t xml:space="preserve">caused the injuries </w:t>
      </w:r>
      <w:r w:rsidR="004C4C77" w:rsidRPr="003A4FF9">
        <w:rPr>
          <w:rFonts w:asciiTheme="majorHAnsi" w:hAnsiTheme="majorHAnsi" w:cstheme="majorHAnsi"/>
        </w:rPr>
        <w:t>should be adjudicated in favour of the plaintiff. The remaining issue is the disclaimers relied upon on which I shall focus under the next heading.</w:t>
      </w:r>
    </w:p>
    <w:p w14:paraId="4E912C21" w14:textId="77777777" w:rsidR="004E4964" w:rsidRPr="005C161E" w:rsidRDefault="004E4964" w:rsidP="005C161E">
      <w:pPr>
        <w:spacing w:line="360" w:lineRule="auto"/>
        <w:jc w:val="both"/>
        <w:rPr>
          <w:rFonts w:asciiTheme="majorHAnsi" w:hAnsiTheme="majorHAnsi" w:cstheme="majorHAnsi"/>
          <w:b/>
        </w:rPr>
      </w:pPr>
    </w:p>
    <w:p w14:paraId="3256CEF2" w14:textId="77777777" w:rsidR="001F55E0" w:rsidRPr="005C161E" w:rsidRDefault="004C4C77" w:rsidP="005C161E">
      <w:pPr>
        <w:spacing w:line="360" w:lineRule="auto"/>
        <w:jc w:val="both"/>
        <w:rPr>
          <w:rFonts w:asciiTheme="majorHAnsi" w:hAnsiTheme="majorHAnsi" w:cstheme="majorHAnsi"/>
          <w:b/>
        </w:rPr>
      </w:pPr>
      <w:r w:rsidRPr="005C161E">
        <w:rPr>
          <w:rFonts w:asciiTheme="majorHAnsi" w:hAnsiTheme="majorHAnsi" w:cstheme="majorHAnsi"/>
          <w:b/>
        </w:rPr>
        <w:t>The disclaimers</w:t>
      </w:r>
    </w:p>
    <w:p w14:paraId="474DF567" w14:textId="0CFB31D4" w:rsidR="00122B93" w:rsidRPr="003A4FF9" w:rsidRDefault="003A4FF9" w:rsidP="003A4FF9">
      <w:pPr>
        <w:spacing w:line="360" w:lineRule="auto"/>
        <w:jc w:val="both"/>
        <w:rPr>
          <w:rFonts w:asciiTheme="majorHAnsi" w:hAnsiTheme="majorHAnsi" w:cstheme="majorHAnsi"/>
        </w:rPr>
      </w:pPr>
      <w:r w:rsidRPr="00205651">
        <w:rPr>
          <w:rFonts w:asciiTheme="majorHAnsi" w:hAnsiTheme="majorHAnsi" w:cstheme="majorHAnsi"/>
        </w:rPr>
        <w:t>[23]</w:t>
      </w:r>
      <w:r w:rsidRPr="00205651">
        <w:rPr>
          <w:rFonts w:asciiTheme="majorHAnsi" w:hAnsiTheme="majorHAnsi" w:cstheme="majorHAnsi"/>
        </w:rPr>
        <w:tab/>
      </w:r>
      <w:r w:rsidR="009F0953" w:rsidRPr="003A4FF9">
        <w:rPr>
          <w:rFonts w:asciiTheme="majorHAnsi" w:hAnsiTheme="majorHAnsi" w:cstheme="majorHAnsi"/>
        </w:rPr>
        <w:t xml:space="preserve">As mentioned, two disclaimer notices </w:t>
      </w:r>
      <w:r w:rsidR="0078437A" w:rsidRPr="003A4FF9">
        <w:rPr>
          <w:rFonts w:asciiTheme="majorHAnsi" w:hAnsiTheme="majorHAnsi" w:cstheme="majorHAnsi"/>
        </w:rPr>
        <w:t>are depicted on the photographs</w:t>
      </w:r>
      <w:r w:rsidR="00107086" w:rsidRPr="003A4FF9">
        <w:rPr>
          <w:rFonts w:asciiTheme="majorHAnsi" w:hAnsiTheme="majorHAnsi" w:cstheme="majorHAnsi"/>
        </w:rPr>
        <w:t xml:space="preserve">. </w:t>
      </w:r>
      <w:r w:rsidR="00391DBE" w:rsidRPr="003A4FF9">
        <w:rPr>
          <w:rFonts w:asciiTheme="majorHAnsi" w:hAnsiTheme="majorHAnsi" w:cstheme="majorHAnsi"/>
        </w:rPr>
        <w:t xml:space="preserve">It is not in dispute that on 25 December 2012 the two notice boards were in place as depicted on the photographs. </w:t>
      </w:r>
      <w:r w:rsidR="00107086" w:rsidRPr="003A4FF9">
        <w:rPr>
          <w:rFonts w:asciiTheme="majorHAnsi" w:hAnsiTheme="majorHAnsi" w:cstheme="majorHAnsi"/>
        </w:rPr>
        <w:t xml:space="preserve">The </w:t>
      </w:r>
      <w:r w:rsidR="004E4964" w:rsidRPr="003A4FF9">
        <w:rPr>
          <w:rFonts w:asciiTheme="majorHAnsi" w:hAnsiTheme="majorHAnsi" w:cstheme="majorHAnsi"/>
        </w:rPr>
        <w:t>first one</w:t>
      </w:r>
      <w:r w:rsidR="00F66911" w:rsidRPr="003A4FF9">
        <w:rPr>
          <w:rFonts w:asciiTheme="majorHAnsi" w:hAnsiTheme="majorHAnsi" w:cstheme="majorHAnsi"/>
        </w:rPr>
        <w:t xml:space="preserve"> should have been</w:t>
      </w:r>
      <w:r w:rsidR="00107086" w:rsidRPr="003A4FF9">
        <w:rPr>
          <w:rFonts w:asciiTheme="majorHAnsi" w:hAnsiTheme="majorHAnsi" w:cstheme="majorHAnsi"/>
        </w:rPr>
        <w:t xml:space="preserve"> </w:t>
      </w:r>
      <w:r w:rsidR="004013BA" w:rsidRPr="003A4FF9">
        <w:rPr>
          <w:rFonts w:asciiTheme="majorHAnsi" w:hAnsiTheme="majorHAnsi" w:cstheme="majorHAnsi"/>
        </w:rPr>
        <w:t>visible</w:t>
      </w:r>
      <w:r w:rsidR="00107086" w:rsidRPr="003A4FF9">
        <w:rPr>
          <w:rFonts w:asciiTheme="majorHAnsi" w:hAnsiTheme="majorHAnsi" w:cstheme="majorHAnsi"/>
        </w:rPr>
        <w:t xml:space="preserve"> as the plaintiff and her husband </w:t>
      </w:r>
      <w:r w:rsidR="004E4964" w:rsidRPr="003A4FF9">
        <w:rPr>
          <w:rFonts w:asciiTheme="majorHAnsi" w:hAnsiTheme="majorHAnsi" w:cstheme="majorHAnsi"/>
        </w:rPr>
        <w:t>drove past</w:t>
      </w:r>
      <w:r w:rsidR="004013BA" w:rsidRPr="003A4FF9">
        <w:rPr>
          <w:rFonts w:asciiTheme="majorHAnsi" w:hAnsiTheme="majorHAnsi" w:cstheme="majorHAnsi"/>
        </w:rPr>
        <w:t xml:space="preserve"> it</w:t>
      </w:r>
      <w:r w:rsidR="00B53CD2" w:rsidRPr="003A4FF9">
        <w:rPr>
          <w:rFonts w:asciiTheme="majorHAnsi" w:hAnsiTheme="majorHAnsi" w:cstheme="majorHAnsi"/>
        </w:rPr>
        <w:t>.</w:t>
      </w:r>
      <w:r w:rsidR="00F66911" w:rsidRPr="003A4FF9">
        <w:rPr>
          <w:rFonts w:asciiTheme="majorHAnsi" w:hAnsiTheme="majorHAnsi" w:cstheme="majorHAnsi"/>
        </w:rPr>
        <w:t xml:space="preserve"> </w:t>
      </w:r>
      <w:r w:rsidR="00122B93" w:rsidRPr="003A4FF9">
        <w:rPr>
          <w:rFonts w:asciiTheme="majorHAnsi" w:hAnsiTheme="majorHAnsi" w:cstheme="majorHAnsi"/>
        </w:rPr>
        <w:t>As the plaintiff and her husband approached the resort in their vehicle, driven by her husband, the plaintiff’s attention was focus</w:t>
      </w:r>
      <w:r w:rsidR="004D2DC1" w:rsidRPr="003A4FF9">
        <w:rPr>
          <w:rFonts w:asciiTheme="majorHAnsi" w:hAnsiTheme="majorHAnsi" w:cstheme="majorHAnsi"/>
        </w:rPr>
        <w:t>s</w:t>
      </w:r>
      <w:r w:rsidR="00122B93" w:rsidRPr="003A4FF9">
        <w:rPr>
          <w:rFonts w:asciiTheme="majorHAnsi" w:hAnsiTheme="majorHAnsi" w:cstheme="majorHAnsi"/>
        </w:rPr>
        <w:t xml:space="preserve">ed on some lions in a camp on the </w:t>
      </w:r>
      <w:proofErr w:type="gramStart"/>
      <w:r w:rsidR="00122B93" w:rsidRPr="003A4FF9">
        <w:rPr>
          <w:rFonts w:asciiTheme="majorHAnsi" w:hAnsiTheme="majorHAnsi" w:cstheme="majorHAnsi"/>
        </w:rPr>
        <w:t>right hand</w:t>
      </w:r>
      <w:proofErr w:type="gramEnd"/>
      <w:r w:rsidR="00122B93" w:rsidRPr="003A4FF9">
        <w:rPr>
          <w:rFonts w:asciiTheme="majorHAnsi" w:hAnsiTheme="majorHAnsi" w:cstheme="majorHAnsi"/>
        </w:rPr>
        <w:t xml:space="preserve"> side of the road leading towards the resort. She did not see the first notice board at the first set of gates</w:t>
      </w:r>
      <w:r w:rsidR="00B53CD2" w:rsidRPr="003A4FF9">
        <w:rPr>
          <w:rFonts w:asciiTheme="majorHAnsi" w:hAnsiTheme="majorHAnsi" w:cstheme="majorHAnsi"/>
        </w:rPr>
        <w:t xml:space="preserve"> which were</w:t>
      </w:r>
      <w:r w:rsidR="00122B93" w:rsidRPr="003A4FF9">
        <w:rPr>
          <w:rFonts w:asciiTheme="majorHAnsi" w:hAnsiTheme="majorHAnsi" w:cstheme="majorHAnsi"/>
        </w:rPr>
        <w:t xml:space="preserve"> open at the time and not manned by anybody. During cross-examination she had to concede that on her own version, they would have passed the lions by the time that they arrived at the first set of gates. It is apparent from the photographs that this </w:t>
      </w:r>
      <w:r w:rsidR="00B53CD2" w:rsidRPr="003A4FF9">
        <w:rPr>
          <w:rFonts w:asciiTheme="majorHAnsi" w:hAnsiTheme="majorHAnsi" w:cstheme="majorHAnsi"/>
        </w:rPr>
        <w:t xml:space="preserve">notice </w:t>
      </w:r>
      <w:r w:rsidR="00122B93" w:rsidRPr="003A4FF9">
        <w:rPr>
          <w:rFonts w:asciiTheme="majorHAnsi" w:hAnsiTheme="majorHAnsi" w:cstheme="majorHAnsi"/>
        </w:rPr>
        <w:t>board</w:t>
      </w:r>
      <w:r w:rsidR="00B53CD2" w:rsidRPr="003A4FF9">
        <w:rPr>
          <w:rFonts w:asciiTheme="majorHAnsi" w:hAnsiTheme="majorHAnsi" w:cstheme="majorHAnsi"/>
        </w:rPr>
        <w:t xml:space="preserve"> containing disclaimers</w:t>
      </w:r>
      <w:r w:rsidR="00122B93" w:rsidRPr="003A4FF9">
        <w:rPr>
          <w:rFonts w:asciiTheme="majorHAnsi" w:hAnsiTheme="majorHAnsi" w:cstheme="majorHAnsi"/>
        </w:rPr>
        <w:t xml:space="preserve"> in three languages, is erected on the </w:t>
      </w:r>
      <w:proofErr w:type="gramStart"/>
      <w:r w:rsidR="00122B93" w:rsidRPr="003A4FF9">
        <w:rPr>
          <w:rFonts w:asciiTheme="majorHAnsi" w:hAnsiTheme="majorHAnsi" w:cstheme="majorHAnsi"/>
        </w:rPr>
        <w:t>left hand</w:t>
      </w:r>
      <w:proofErr w:type="gramEnd"/>
      <w:r w:rsidR="00122B93" w:rsidRPr="003A4FF9">
        <w:rPr>
          <w:rFonts w:asciiTheme="majorHAnsi" w:hAnsiTheme="majorHAnsi" w:cstheme="majorHAnsi"/>
        </w:rPr>
        <w:t xml:space="preserve"> side of the road and just where the road curves to the right. There i</w:t>
      </w:r>
      <w:r w:rsidR="00B53CD2" w:rsidRPr="003A4FF9">
        <w:rPr>
          <w:rFonts w:asciiTheme="majorHAnsi" w:hAnsiTheme="majorHAnsi" w:cstheme="majorHAnsi"/>
        </w:rPr>
        <w:t>s no indication that visitors a</w:t>
      </w:r>
      <w:r w:rsidR="004D2DC1" w:rsidRPr="003A4FF9">
        <w:rPr>
          <w:rFonts w:asciiTheme="majorHAnsi" w:hAnsiTheme="majorHAnsi" w:cstheme="majorHAnsi"/>
        </w:rPr>
        <w:t xml:space="preserve">re directed to </w:t>
      </w:r>
      <w:r w:rsidR="004D2DC1" w:rsidRPr="003A4FF9">
        <w:rPr>
          <w:rFonts w:asciiTheme="majorHAnsi" w:hAnsiTheme="majorHAnsi" w:cstheme="majorHAnsi"/>
        </w:rPr>
        <w:lastRenderedPageBreak/>
        <w:t>stop and</w:t>
      </w:r>
      <w:r w:rsidR="00122B93" w:rsidRPr="003A4FF9">
        <w:rPr>
          <w:rFonts w:asciiTheme="majorHAnsi" w:hAnsiTheme="majorHAnsi" w:cstheme="majorHAnsi"/>
        </w:rPr>
        <w:t xml:space="preserve"> read the notices before proceeding.</w:t>
      </w:r>
      <w:r w:rsidR="00B53CD2" w:rsidRPr="003A4FF9">
        <w:rPr>
          <w:rFonts w:asciiTheme="majorHAnsi" w:hAnsiTheme="majorHAnsi" w:cstheme="majorHAnsi"/>
        </w:rPr>
        <w:t xml:space="preserve"> In fact, the gates do not depict the entrance to the resort which is some distance away.</w:t>
      </w:r>
      <w:r w:rsidR="00122B93" w:rsidRPr="003A4FF9">
        <w:rPr>
          <w:rFonts w:asciiTheme="majorHAnsi" w:hAnsiTheme="majorHAnsi" w:cstheme="majorHAnsi"/>
        </w:rPr>
        <w:t xml:space="preserve"> </w:t>
      </w:r>
      <w:r w:rsidR="000449D5" w:rsidRPr="003A4FF9">
        <w:rPr>
          <w:rFonts w:asciiTheme="majorHAnsi" w:hAnsiTheme="majorHAnsi" w:cstheme="majorHAnsi"/>
        </w:rPr>
        <w:t xml:space="preserve">Visitors driving past the notice board will have a split second to read the contents if they are </w:t>
      </w:r>
      <w:proofErr w:type="gramStart"/>
      <w:r w:rsidR="000449D5" w:rsidRPr="003A4FF9">
        <w:rPr>
          <w:rFonts w:asciiTheme="majorHAnsi" w:hAnsiTheme="majorHAnsi" w:cstheme="majorHAnsi"/>
        </w:rPr>
        <w:t>actually aware</w:t>
      </w:r>
      <w:proofErr w:type="gramEnd"/>
      <w:r w:rsidR="000449D5" w:rsidRPr="003A4FF9">
        <w:rPr>
          <w:rFonts w:asciiTheme="majorHAnsi" w:hAnsiTheme="majorHAnsi" w:cstheme="majorHAnsi"/>
        </w:rPr>
        <w:t xml:space="preserve"> of the notice board. The defendant did not present evidence to prove from what distance the contents are legible and how long it would take to read same. In my view, and unless the driver comes to a stationary position right in front of the notice board, it would not be possible to read the contents </w:t>
      </w:r>
      <w:proofErr w:type="gramStart"/>
      <w:r w:rsidR="000449D5" w:rsidRPr="003A4FF9">
        <w:rPr>
          <w:rFonts w:asciiTheme="majorHAnsi" w:hAnsiTheme="majorHAnsi" w:cstheme="majorHAnsi"/>
        </w:rPr>
        <w:t>in order to</w:t>
      </w:r>
      <w:proofErr w:type="gramEnd"/>
      <w:r w:rsidR="000449D5" w:rsidRPr="003A4FF9">
        <w:rPr>
          <w:rFonts w:asciiTheme="majorHAnsi" w:hAnsiTheme="majorHAnsi" w:cstheme="majorHAnsi"/>
        </w:rPr>
        <w:t xml:space="preserve"> appreciate that it has something to do with a visit to the resort. </w:t>
      </w:r>
      <w:r w:rsidR="00882943" w:rsidRPr="003A4FF9">
        <w:rPr>
          <w:rFonts w:asciiTheme="majorHAnsi" w:hAnsiTheme="majorHAnsi" w:cstheme="majorHAnsi"/>
        </w:rPr>
        <w:t>I find that the defendant did not take reasonably sufficient steps to notify t</w:t>
      </w:r>
      <w:r w:rsidR="000449D5" w:rsidRPr="003A4FF9">
        <w:rPr>
          <w:rFonts w:asciiTheme="majorHAnsi" w:hAnsiTheme="majorHAnsi" w:cstheme="majorHAnsi"/>
        </w:rPr>
        <w:t>he plaintiff of the terms of this</w:t>
      </w:r>
      <w:r w:rsidR="00882943" w:rsidRPr="003A4FF9">
        <w:rPr>
          <w:rFonts w:asciiTheme="majorHAnsi" w:hAnsiTheme="majorHAnsi" w:cstheme="majorHAnsi"/>
        </w:rPr>
        <w:t xml:space="preserve"> disclaimer.</w:t>
      </w:r>
      <w:r w:rsidR="00205651" w:rsidRPr="003A4FF9">
        <w:rPr>
          <w:rFonts w:asciiTheme="majorHAnsi" w:hAnsiTheme="majorHAnsi" w:cstheme="majorHAnsi"/>
        </w:rPr>
        <w:t xml:space="preserve"> Therefore, I am not satisfied that actual or quasi-mutual assent was proven in respect of the first disclaimer, </w:t>
      </w:r>
      <w:proofErr w:type="spellStart"/>
      <w:proofErr w:type="gramStart"/>
      <w:r w:rsidR="00205651" w:rsidRPr="003A4FF9">
        <w:rPr>
          <w:rFonts w:asciiTheme="majorHAnsi" w:hAnsiTheme="majorHAnsi" w:cstheme="majorHAnsi"/>
        </w:rPr>
        <w:t>ie</w:t>
      </w:r>
      <w:proofErr w:type="spellEnd"/>
      <w:proofErr w:type="gramEnd"/>
      <w:r w:rsidR="00205651" w:rsidRPr="003A4FF9">
        <w:rPr>
          <w:rFonts w:asciiTheme="majorHAnsi" w:hAnsiTheme="majorHAnsi" w:cstheme="majorHAnsi"/>
        </w:rPr>
        <w:t xml:space="preserve"> that on the factual basis presented at the time, the plaintiff assented to the terms thereof. This disclaimer was not prominently displayed in the manner found in </w:t>
      </w:r>
      <w:r w:rsidR="002E242F" w:rsidRPr="003A4FF9">
        <w:rPr>
          <w:rStyle w:val="hgkelc"/>
          <w:rFonts w:asciiTheme="majorHAnsi" w:hAnsiTheme="majorHAnsi" w:cstheme="majorHAnsi"/>
          <w:i/>
          <w:iCs/>
          <w:lang w:val="en"/>
        </w:rPr>
        <w:t>Durban's Water Wonderland (Pty) Ltd v Botha</w:t>
      </w:r>
      <w:r w:rsidR="002E242F" w:rsidRPr="005C161E">
        <w:rPr>
          <w:rStyle w:val="FootnoteReference"/>
          <w:rFonts w:asciiTheme="majorHAnsi" w:hAnsiTheme="majorHAnsi" w:cstheme="majorHAnsi"/>
          <w:lang w:val="en"/>
        </w:rPr>
        <w:footnoteReference w:id="8"/>
      </w:r>
      <w:r w:rsidR="002E242F" w:rsidRPr="003A4FF9">
        <w:rPr>
          <w:rStyle w:val="hgkelc"/>
          <w:rFonts w:asciiTheme="majorHAnsi" w:hAnsiTheme="majorHAnsi" w:cstheme="majorHAnsi"/>
          <w:i/>
          <w:iCs/>
          <w:lang w:val="en"/>
        </w:rPr>
        <w:t xml:space="preserve"> (</w:t>
      </w:r>
      <w:r w:rsidR="002E242F" w:rsidRPr="003A4FF9">
        <w:rPr>
          <w:rFonts w:asciiTheme="majorHAnsi" w:hAnsiTheme="majorHAnsi" w:cstheme="majorHAnsi"/>
          <w:i/>
          <w:iCs/>
        </w:rPr>
        <w:t>Durban’s Water Wonderland)</w:t>
      </w:r>
      <w:r w:rsidR="00205651" w:rsidRPr="003A4FF9">
        <w:rPr>
          <w:rFonts w:asciiTheme="majorHAnsi" w:hAnsiTheme="majorHAnsi" w:cstheme="majorHAnsi"/>
          <w:i/>
          <w:iCs/>
        </w:rPr>
        <w:t>,</w:t>
      </w:r>
      <w:r w:rsidR="00205651" w:rsidRPr="003A4FF9">
        <w:rPr>
          <w:rFonts w:asciiTheme="majorHAnsi" w:hAnsiTheme="majorHAnsi" w:cstheme="majorHAnsi"/>
        </w:rPr>
        <w:t xml:space="preserve"> </w:t>
      </w:r>
      <w:proofErr w:type="spellStart"/>
      <w:proofErr w:type="gramStart"/>
      <w:r w:rsidR="00205651" w:rsidRPr="003A4FF9">
        <w:rPr>
          <w:rFonts w:asciiTheme="majorHAnsi" w:hAnsiTheme="majorHAnsi" w:cstheme="majorHAnsi"/>
        </w:rPr>
        <w:t>ie</w:t>
      </w:r>
      <w:proofErr w:type="spellEnd"/>
      <w:proofErr w:type="gramEnd"/>
      <w:r w:rsidR="00205651" w:rsidRPr="003A4FF9">
        <w:rPr>
          <w:rFonts w:asciiTheme="majorHAnsi" w:hAnsiTheme="majorHAnsi" w:cstheme="majorHAnsi"/>
        </w:rPr>
        <w:t xml:space="preserve"> on either side of a ticket booth where visitors had to purchase their tickets for the amusement park. In that case the court held that any reasonable person approaching the ticket booth would hardly have failed to see the notice.</w:t>
      </w:r>
      <w:r w:rsidR="00205651" w:rsidRPr="005C161E">
        <w:rPr>
          <w:rStyle w:val="FootnoteReference"/>
          <w:rFonts w:asciiTheme="majorHAnsi" w:hAnsiTheme="majorHAnsi" w:cstheme="majorHAnsi"/>
        </w:rPr>
        <w:footnoteReference w:id="9"/>
      </w:r>
      <w:r w:rsidR="00205651" w:rsidRPr="003A4FF9">
        <w:rPr>
          <w:rFonts w:asciiTheme="majorHAnsi" w:hAnsiTheme="majorHAnsi" w:cstheme="majorHAnsi"/>
        </w:rPr>
        <w:t xml:space="preserve"> The facts in </w:t>
      </w:r>
      <w:r w:rsidR="00205651" w:rsidRPr="003A4FF9">
        <w:rPr>
          <w:rFonts w:asciiTheme="majorHAnsi" w:hAnsiTheme="majorHAnsi" w:cstheme="majorHAnsi"/>
          <w:i/>
        </w:rPr>
        <w:t>Durban Water Wonderland</w:t>
      </w:r>
      <w:r w:rsidR="00205651" w:rsidRPr="003A4FF9">
        <w:rPr>
          <w:rFonts w:asciiTheme="majorHAnsi" w:hAnsiTheme="majorHAnsi" w:cstheme="majorHAnsi"/>
        </w:rPr>
        <w:t xml:space="preserve"> are distinguishable from the facts in this case pertaining to the first disclaimer.</w:t>
      </w:r>
      <w:r w:rsidR="00907F21" w:rsidRPr="003A4FF9">
        <w:rPr>
          <w:rFonts w:asciiTheme="majorHAnsi" w:hAnsiTheme="majorHAnsi" w:cstheme="majorHAnsi"/>
        </w:rPr>
        <w:t xml:space="preserve"> The defendant does not have a valid defence in respect of this disclaimer.</w:t>
      </w:r>
    </w:p>
    <w:p w14:paraId="14CC41F1" w14:textId="77777777" w:rsidR="00122B93" w:rsidRPr="005C161E" w:rsidRDefault="00122B93" w:rsidP="00122B93">
      <w:pPr>
        <w:pStyle w:val="ListParagraph"/>
        <w:spacing w:line="360" w:lineRule="auto"/>
        <w:rPr>
          <w:rFonts w:asciiTheme="majorHAnsi" w:hAnsiTheme="majorHAnsi" w:cstheme="majorHAnsi"/>
        </w:rPr>
      </w:pPr>
    </w:p>
    <w:p w14:paraId="7B0A8600" w14:textId="6C3458AA" w:rsidR="00471017" w:rsidRPr="003A4FF9" w:rsidRDefault="003A4FF9" w:rsidP="003A4FF9">
      <w:pPr>
        <w:spacing w:line="360" w:lineRule="auto"/>
        <w:jc w:val="both"/>
        <w:rPr>
          <w:rFonts w:asciiTheme="majorHAnsi" w:hAnsiTheme="majorHAnsi" w:cstheme="majorHAnsi"/>
        </w:rPr>
      </w:pPr>
      <w:r w:rsidRPr="00907F21">
        <w:rPr>
          <w:rFonts w:asciiTheme="majorHAnsi" w:hAnsiTheme="majorHAnsi" w:cstheme="majorHAnsi"/>
        </w:rPr>
        <w:t>[24]</w:t>
      </w:r>
      <w:r w:rsidRPr="00907F21">
        <w:rPr>
          <w:rFonts w:asciiTheme="majorHAnsi" w:hAnsiTheme="majorHAnsi" w:cstheme="majorHAnsi"/>
        </w:rPr>
        <w:tab/>
      </w:r>
      <w:r w:rsidR="00122B93" w:rsidRPr="003A4FF9">
        <w:rPr>
          <w:rFonts w:asciiTheme="majorHAnsi" w:hAnsiTheme="majorHAnsi" w:cstheme="majorHAnsi"/>
        </w:rPr>
        <w:t>At the second set of gates</w:t>
      </w:r>
      <w:r w:rsidR="00B53CD2" w:rsidRPr="003A4FF9">
        <w:rPr>
          <w:rFonts w:asciiTheme="majorHAnsi" w:hAnsiTheme="majorHAnsi" w:cstheme="majorHAnsi"/>
        </w:rPr>
        <w:t xml:space="preserve"> where</w:t>
      </w:r>
      <w:r w:rsidR="00122B93" w:rsidRPr="003A4FF9">
        <w:rPr>
          <w:rFonts w:asciiTheme="majorHAnsi" w:hAnsiTheme="majorHAnsi" w:cstheme="majorHAnsi"/>
        </w:rPr>
        <w:t xml:space="preserve"> one enters the resort, prospective patrons </w:t>
      </w:r>
      <w:proofErr w:type="gramStart"/>
      <w:r w:rsidR="00122B93" w:rsidRPr="003A4FF9">
        <w:rPr>
          <w:rFonts w:asciiTheme="majorHAnsi" w:hAnsiTheme="majorHAnsi" w:cstheme="majorHAnsi"/>
        </w:rPr>
        <w:t>have to</w:t>
      </w:r>
      <w:proofErr w:type="gramEnd"/>
      <w:r w:rsidR="00122B93" w:rsidRPr="003A4FF9">
        <w:rPr>
          <w:rFonts w:asciiTheme="majorHAnsi" w:hAnsiTheme="majorHAnsi" w:cstheme="majorHAnsi"/>
        </w:rPr>
        <w:t xml:space="preserve"> stop in order to pay entrance fees. Here, the second notice board is erected to the </w:t>
      </w:r>
      <w:proofErr w:type="gramStart"/>
      <w:r w:rsidR="00122B93" w:rsidRPr="003A4FF9">
        <w:rPr>
          <w:rFonts w:asciiTheme="majorHAnsi" w:hAnsiTheme="majorHAnsi" w:cstheme="majorHAnsi"/>
        </w:rPr>
        <w:t>left hand</w:t>
      </w:r>
      <w:proofErr w:type="gramEnd"/>
      <w:r w:rsidR="00122B93" w:rsidRPr="003A4FF9">
        <w:rPr>
          <w:rFonts w:asciiTheme="majorHAnsi" w:hAnsiTheme="majorHAnsi" w:cstheme="majorHAnsi"/>
        </w:rPr>
        <w:t xml:space="preserve"> side of vehicles on their way into the resort. The plaintiff testified </w:t>
      </w:r>
      <w:r w:rsidR="00B53CD2" w:rsidRPr="003A4FF9">
        <w:rPr>
          <w:rFonts w:asciiTheme="majorHAnsi" w:hAnsiTheme="majorHAnsi" w:cstheme="majorHAnsi"/>
        </w:rPr>
        <w:t xml:space="preserve">initially </w:t>
      </w:r>
      <w:r w:rsidR="00122B93" w:rsidRPr="003A4FF9">
        <w:rPr>
          <w:rFonts w:asciiTheme="majorHAnsi" w:hAnsiTheme="majorHAnsi" w:cstheme="majorHAnsi"/>
        </w:rPr>
        <w:t>that she also did not see this notice board, her excuse being that she was looking to find out where the children h</w:t>
      </w:r>
      <w:r w:rsidR="00D64FDE" w:rsidRPr="003A4FF9">
        <w:rPr>
          <w:rFonts w:asciiTheme="majorHAnsi" w:hAnsiTheme="majorHAnsi" w:cstheme="majorHAnsi"/>
        </w:rPr>
        <w:t>ad parked their motor vehicles. She also explained that</w:t>
      </w:r>
      <w:r w:rsidR="00122B93" w:rsidRPr="003A4FF9">
        <w:rPr>
          <w:rFonts w:asciiTheme="majorHAnsi" w:hAnsiTheme="majorHAnsi" w:cstheme="majorHAnsi"/>
        </w:rPr>
        <w:t xml:space="preserve"> she was </w:t>
      </w:r>
      <w:r w:rsidR="00D64FDE" w:rsidRPr="003A4FF9">
        <w:rPr>
          <w:rFonts w:asciiTheme="majorHAnsi" w:hAnsiTheme="majorHAnsi" w:cstheme="majorHAnsi"/>
        </w:rPr>
        <w:t>calling her children on her cell p</w:t>
      </w:r>
      <w:r w:rsidR="00122B93" w:rsidRPr="003A4FF9">
        <w:rPr>
          <w:rFonts w:asciiTheme="majorHAnsi" w:hAnsiTheme="majorHAnsi" w:cstheme="majorHAnsi"/>
        </w:rPr>
        <w:t xml:space="preserve">hone </w:t>
      </w:r>
      <w:r w:rsidR="00D64FDE" w:rsidRPr="003A4FF9">
        <w:rPr>
          <w:rFonts w:asciiTheme="majorHAnsi" w:hAnsiTheme="majorHAnsi" w:cstheme="majorHAnsi"/>
        </w:rPr>
        <w:t>at that stage</w:t>
      </w:r>
      <w:r w:rsidR="00122B93" w:rsidRPr="003A4FF9">
        <w:rPr>
          <w:rFonts w:asciiTheme="majorHAnsi" w:hAnsiTheme="majorHAnsi" w:cstheme="majorHAnsi"/>
        </w:rPr>
        <w:t xml:space="preserve"> to establish where exactly they were </w:t>
      </w:r>
      <w:r w:rsidR="00D64FDE" w:rsidRPr="003A4FF9">
        <w:rPr>
          <w:rFonts w:asciiTheme="majorHAnsi" w:hAnsiTheme="majorHAnsi" w:cstheme="majorHAnsi"/>
        </w:rPr>
        <w:t>seated. S</w:t>
      </w:r>
      <w:r w:rsidR="00122B93" w:rsidRPr="003A4FF9">
        <w:rPr>
          <w:rFonts w:asciiTheme="majorHAnsi" w:hAnsiTheme="majorHAnsi" w:cstheme="majorHAnsi"/>
        </w:rPr>
        <w:t xml:space="preserve">he testified that even if she had noticed or observed the notice board and read the contents </w:t>
      </w:r>
      <w:proofErr w:type="gramStart"/>
      <w:r w:rsidR="00122B93" w:rsidRPr="003A4FF9">
        <w:rPr>
          <w:rFonts w:asciiTheme="majorHAnsi" w:hAnsiTheme="majorHAnsi" w:cstheme="majorHAnsi"/>
        </w:rPr>
        <w:t>thereof</w:t>
      </w:r>
      <w:proofErr w:type="gramEnd"/>
      <w:r w:rsidR="00122B93" w:rsidRPr="003A4FF9">
        <w:rPr>
          <w:rFonts w:asciiTheme="majorHAnsi" w:hAnsiTheme="majorHAnsi" w:cstheme="majorHAnsi"/>
        </w:rPr>
        <w:t xml:space="preserve"> she would not relate (‘associate’) herself with the contents thereof. </w:t>
      </w:r>
      <w:r w:rsidR="00D64FDE" w:rsidRPr="003A4FF9">
        <w:rPr>
          <w:rFonts w:asciiTheme="majorHAnsi" w:hAnsiTheme="majorHAnsi" w:cstheme="majorHAnsi"/>
        </w:rPr>
        <w:t xml:space="preserve">Eventually she conceded that she did not read everything on the notice board and that she had associated herself with the information which she had read. The cross-examination did not go further to establish what was read and what not. Fact of the matter is that the plaintiff had sufficient time to read the second disclaimer, unlike the case with the first one, that the disclaimer was prominently displayed and that any ordinary alert visitor to the resort would have seen and be able </w:t>
      </w:r>
      <w:r w:rsidR="00D64FDE" w:rsidRPr="003A4FF9">
        <w:rPr>
          <w:rFonts w:asciiTheme="majorHAnsi" w:hAnsiTheme="majorHAnsi" w:cstheme="majorHAnsi"/>
        </w:rPr>
        <w:lastRenderedPageBreak/>
        <w:t>to read it, an aspect in essence conceded by the plaintiff</w:t>
      </w:r>
      <w:r w:rsidR="00122B93" w:rsidRPr="003A4FF9">
        <w:rPr>
          <w:rFonts w:asciiTheme="majorHAnsi" w:hAnsiTheme="majorHAnsi" w:cstheme="majorHAnsi"/>
        </w:rPr>
        <w:t xml:space="preserve">. </w:t>
      </w:r>
      <w:r w:rsidR="00907F21" w:rsidRPr="003A4FF9">
        <w:rPr>
          <w:rFonts w:asciiTheme="majorHAnsi" w:hAnsiTheme="majorHAnsi" w:cstheme="majorHAnsi"/>
        </w:rPr>
        <w:t xml:space="preserve">I am satisfied that actual, or at the best for her, quasi-mutual assent was proven in respect of this second disclaimer, </w:t>
      </w:r>
      <w:proofErr w:type="spellStart"/>
      <w:proofErr w:type="gramStart"/>
      <w:r w:rsidR="00907F21" w:rsidRPr="003A4FF9">
        <w:rPr>
          <w:rFonts w:asciiTheme="majorHAnsi" w:hAnsiTheme="majorHAnsi" w:cstheme="majorHAnsi"/>
        </w:rPr>
        <w:t>ie</w:t>
      </w:r>
      <w:proofErr w:type="spellEnd"/>
      <w:proofErr w:type="gramEnd"/>
      <w:r w:rsidR="00907F21" w:rsidRPr="003A4FF9">
        <w:rPr>
          <w:rFonts w:asciiTheme="majorHAnsi" w:hAnsiTheme="majorHAnsi" w:cstheme="majorHAnsi"/>
        </w:rPr>
        <w:t xml:space="preserve"> that on the factual basis presented at the time, the plaintiff assented to the terms thereof. Although she insisted in evidence that she did nor associate herself with the contents, this is irrelevant if the applicable legal principles are kept in mind.</w:t>
      </w:r>
      <w:r w:rsidR="00907F21" w:rsidRPr="005C161E">
        <w:rPr>
          <w:rStyle w:val="FootnoteReference"/>
          <w:rFonts w:asciiTheme="majorHAnsi" w:hAnsiTheme="majorHAnsi" w:cstheme="majorHAnsi"/>
        </w:rPr>
        <w:footnoteReference w:id="10"/>
      </w:r>
      <w:r w:rsidR="00907F21" w:rsidRPr="003A4FF9">
        <w:rPr>
          <w:rFonts w:asciiTheme="majorHAnsi" w:hAnsiTheme="majorHAnsi" w:cstheme="majorHAnsi"/>
        </w:rPr>
        <w:t xml:space="preserve"> </w:t>
      </w:r>
      <w:r w:rsidR="00122B93" w:rsidRPr="003A4FF9">
        <w:rPr>
          <w:rFonts w:asciiTheme="majorHAnsi" w:hAnsiTheme="majorHAnsi" w:cstheme="majorHAnsi"/>
        </w:rPr>
        <w:t>Mr Kruger who was the driver of the vehicle did not make any meaningful contribution towards the issue.</w:t>
      </w:r>
      <w:r w:rsidR="00D64FDE" w:rsidRPr="003A4FF9">
        <w:rPr>
          <w:rFonts w:asciiTheme="majorHAnsi" w:hAnsiTheme="majorHAnsi" w:cstheme="majorHAnsi"/>
        </w:rPr>
        <w:t xml:space="preserve"> According to him he was not aware of the two notice boards.</w:t>
      </w:r>
      <w:r w:rsidR="00471017" w:rsidRPr="003A4FF9">
        <w:rPr>
          <w:rFonts w:asciiTheme="majorHAnsi" w:hAnsiTheme="majorHAnsi" w:cstheme="majorHAnsi"/>
        </w:rPr>
        <w:t xml:space="preserve"> The next issue to be considered is the language used by the defendant to rely on the disclaimers. </w:t>
      </w:r>
    </w:p>
    <w:p w14:paraId="5DC3AAD4" w14:textId="77777777" w:rsidR="00122B93" w:rsidRPr="005C161E" w:rsidRDefault="00122B93" w:rsidP="00471017">
      <w:pPr>
        <w:pStyle w:val="ListParagraph"/>
        <w:spacing w:line="360" w:lineRule="auto"/>
        <w:jc w:val="both"/>
        <w:rPr>
          <w:rFonts w:asciiTheme="majorHAnsi" w:hAnsiTheme="majorHAnsi" w:cstheme="majorHAnsi"/>
        </w:rPr>
      </w:pPr>
    </w:p>
    <w:p w14:paraId="367D7888" w14:textId="196986AC" w:rsidR="00C11D9C" w:rsidRPr="003A4FF9" w:rsidRDefault="003A4FF9" w:rsidP="003A4FF9">
      <w:pPr>
        <w:spacing w:line="360" w:lineRule="auto"/>
        <w:jc w:val="both"/>
        <w:rPr>
          <w:rStyle w:val="hgkelc"/>
          <w:rFonts w:asciiTheme="majorHAnsi" w:hAnsiTheme="majorHAnsi" w:cstheme="majorHAnsi"/>
        </w:rPr>
      </w:pPr>
      <w:r w:rsidRPr="005C161E">
        <w:rPr>
          <w:rStyle w:val="hgkelc"/>
          <w:rFonts w:asciiTheme="majorHAnsi" w:hAnsiTheme="majorHAnsi" w:cstheme="majorHAnsi"/>
        </w:rPr>
        <w:t>[25]</w:t>
      </w:r>
      <w:r w:rsidRPr="005C161E">
        <w:rPr>
          <w:rStyle w:val="hgkelc"/>
          <w:rFonts w:asciiTheme="majorHAnsi" w:hAnsiTheme="majorHAnsi" w:cstheme="majorHAnsi"/>
        </w:rPr>
        <w:tab/>
      </w:r>
      <w:r w:rsidR="00332845" w:rsidRPr="003A4FF9">
        <w:rPr>
          <w:rFonts w:asciiTheme="majorHAnsi" w:hAnsiTheme="majorHAnsi" w:cstheme="majorHAnsi"/>
        </w:rPr>
        <w:t xml:space="preserve">A party wishing to </w:t>
      </w:r>
      <w:r w:rsidR="00394ADD" w:rsidRPr="003A4FF9">
        <w:rPr>
          <w:rFonts w:asciiTheme="majorHAnsi" w:hAnsiTheme="majorHAnsi" w:cstheme="majorHAnsi"/>
        </w:rPr>
        <w:t xml:space="preserve">contract out of liability </w:t>
      </w:r>
      <w:r w:rsidR="00EF772A" w:rsidRPr="003A4FF9">
        <w:rPr>
          <w:rFonts w:asciiTheme="majorHAnsi" w:hAnsiTheme="majorHAnsi" w:cstheme="majorHAnsi"/>
        </w:rPr>
        <w:t xml:space="preserve">must do so in clear and </w:t>
      </w:r>
      <w:r w:rsidR="00CE638F" w:rsidRPr="003A4FF9">
        <w:rPr>
          <w:rFonts w:asciiTheme="majorHAnsi" w:hAnsiTheme="majorHAnsi" w:cstheme="majorHAnsi"/>
        </w:rPr>
        <w:t>unequivocal</w:t>
      </w:r>
      <w:r w:rsidR="004934E5" w:rsidRPr="003A4FF9">
        <w:rPr>
          <w:rFonts w:asciiTheme="majorHAnsi" w:hAnsiTheme="majorHAnsi" w:cstheme="majorHAnsi"/>
        </w:rPr>
        <w:t xml:space="preserve"> terms</w:t>
      </w:r>
      <w:r w:rsidR="00CE638F" w:rsidRPr="003A4FF9">
        <w:rPr>
          <w:rFonts w:asciiTheme="majorHAnsi" w:hAnsiTheme="majorHAnsi" w:cstheme="majorHAnsi"/>
        </w:rPr>
        <w:t xml:space="preserve">. </w:t>
      </w:r>
      <w:r w:rsidR="009D2103" w:rsidRPr="003A4FF9">
        <w:rPr>
          <w:rStyle w:val="hgkelc"/>
          <w:rFonts w:asciiTheme="majorHAnsi" w:hAnsiTheme="majorHAnsi" w:cstheme="majorHAnsi"/>
          <w:lang w:val="en"/>
        </w:rPr>
        <w:t>The S</w:t>
      </w:r>
      <w:r w:rsidR="00A112CD" w:rsidRPr="003A4FF9">
        <w:rPr>
          <w:rStyle w:val="hgkelc"/>
          <w:rFonts w:asciiTheme="majorHAnsi" w:hAnsiTheme="majorHAnsi" w:cstheme="majorHAnsi"/>
          <w:lang w:val="en"/>
        </w:rPr>
        <w:t>upreme Court of Appeal</w:t>
      </w:r>
      <w:r w:rsidR="002E242F" w:rsidRPr="003A4FF9">
        <w:rPr>
          <w:rStyle w:val="hgkelc"/>
          <w:rFonts w:asciiTheme="majorHAnsi" w:hAnsiTheme="majorHAnsi" w:cstheme="majorHAnsi"/>
          <w:lang w:val="en"/>
        </w:rPr>
        <w:t xml:space="preserve"> made it clear </w:t>
      </w:r>
      <w:r w:rsidR="003C4360" w:rsidRPr="003A4FF9">
        <w:rPr>
          <w:rStyle w:val="hgkelc"/>
          <w:rFonts w:asciiTheme="majorHAnsi" w:hAnsiTheme="majorHAnsi" w:cstheme="majorHAnsi"/>
          <w:lang w:val="en"/>
        </w:rPr>
        <w:t xml:space="preserve">as follows </w:t>
      </w:r>
      <w:r w:rsidR="002E242F" w:rsidRPr="003A4FF9">
        <w:rPr>
          <w:rStyle w:val="hgkelc"/>
          <w:rFonts w:asciiTheme="majorHAnsi" w:hAnsiTheme="majorHAnsi" w:cstheme="majorHAnsi"/>
          <w:lang w:val="en"/>
        </w:rPr>
        <w:t>in</w:t>
      </w:r>
      <w:r w:rsidR="00DC68AE" w:rsidRPr="003A4FF9">
        <w:rPr>
          <w:rStyle w:val="hgkelc"/>
          <w:rFonts w:asciiTheme="majorHAnsi" w:hAnsiTheme="majorHAnsi" w:cstheme="majorHAnsi"/>
          <w:lang w:val="en"/>
        </w:rPr>
        <w:t xml:space="preserve"> </w:t>
      </w:r>
      <w:r w:rsidR="00636840" w:rsidRPr="003A4FF9">
        <w:rPr>
          <w:rStyle w:val="hgkelc"/>
          <w:rFonts w:asciiTheme="majorHAnsi" w:hAnsiTheme="majorHAnsi" w:cstheme="majorHAnsi"/>
          <w:i/>
          <w:iCs/>
          <w:lang w:val="en"/>
        </w:rPr>
        <w:t>Durban's Wa</w:t>
      </w:r>
      <w:r w:rsidR="002E242F" w:rsidRPr="003A4FF9">
        <w:rPr>
          <w:rStyle w:val="hgkelc"/>
          <w:rFonts w:asciiTheme="majorHAnsi" w:hAnsiTheme="majorHAnsi" w:cstheme="majorHAnsi"/>
          <w:i/>
          <w:iCs/>
          <w:lang w:val="en"/>
        </w:rPr>
        <w:t>ter Wonderland</w:t>
      </w:r>
      <w:r w:rsidR="0019386F" w:rsidRPr="005C161E">
        <w:rPr>
          <w:rStyle w:val="FootnoteReference"/>
          <w:rFonts w:asciiTheme="majorHAnsi" w:hAnsiTheme="majorHAnsi" w:cstheme="majorHAnsi"/>
          <w:lang w:val="en"/>
        </w:rPr>
        <w:footnoteReference w:id="11"/>
      </w:r>
      <w:r w:rsidR="00C11D9C" w:rsidRPr="003A4FF9">
        <w:rPr>
          <w:rStyle w:val="hgkelc"/>
          <w:rFonts w:asciiTheme="majorHAnsi" w:hAnsiTheme="majorHAnsi" w:cstheme="majorHAnsi"/>
          <w:lang w:val="en"/>
        </w:rPr>
        <w:t xml:space="preserve"> that exemption clauses or </w:t>
      </w:r>
      <w:r w:rsidR="00C2556B" w:rsidRPr="003A4FF9">
        <w:rPr>
          <w:rStyle w:val="hgkelc"/>
          <w:rFonts w:asciiTheme="majorHAnsi" w:hAnsiTheme="majorHAnsi" w:cstheme="majorHAnsi"/>
          <w:lang w:val="en"/>
        </w:rPr>
        <w:t>disclaimers are part of our law</w:t>
      </w:r>
      <w:r w:rsidR="00003D5C" w:rsidRPr="003A4FF9">
        <w:rPr>
          <w:rStyle w:val="hgkelc"/>
          <w:rFonts w:asciiTheme="majorHAnsi" w:hAnsiTheme="majorHAnsi" w:cstheme="majorHAnsi"/>
          <w:lang w:val="en"/>
        </w:rPr>
        <w:t xml:space="preserve">: </w:t>
      </w:r>
    </w:p>
    <w:p w14:paraId="0685DA5E" w14:textId="77777777" w:rsidR="005646BE" w:rsidRPr="005C161E" w:rsidRDefault="00003D5C" w:rsidP="005C161E">
      <w:pPr>
        <w:spacing w:line="360" w:lineRule="auto"/>
        <w:jc w:val="both"/>
        <w:rPr>
          <w:rFonts w:asciiTheme="majorHAnsi" w:hAnsiTheme="majorHAnsi" w:cstheme="majorHAnsi"/>
          <w:sz w:val="20"/>
          <w:szCs w:val="20"/>
        </w:rPr>
      </w:pPr>
      <w:r w:rsidRPr="005C161E">
        <w:rPr>
          <w:rStyle w:val="hgkelc"/>
          <w:rFonts w:asciiTheme="majorHAnsi" w:hAnsiTheme="majorHAnsi" w:cstheme="majorHAnsi"/>
          <w:sz w:val="20"/>
          <w:szCs w:val="20"/>
        </w:rPr>
        <w:t>‘</w:t>
      </w:r>
      <w:r w:rsidR="005646BE" w:rsidRPr="005C161E">
        <w:rPr>
          <w:rFonts w:asciiTheme="majorHAnsi" w:hAnsiTheme="majorHAnsi" w:cstheme="majorHAnsi"/>
          <w:sz w:val="20"/>
          <w:szCs w:val="20"/>
        </w:rPr>
        <w:t>The correct approach is well established. If the language of a disclaimer or exemption clause is such that it exempts the </w:t>
      </w:r>
      <w:proofErr w:type="spellStart"/>
      <w:r w:rsidR="005646BE" w:rsidRPr="005C161E">
        <w:rPr>
          <w:rFonts w:asciiTheme="majorHAnsi" w:hAnsiTheme="majorHAnsi" w:cstheme="majorHAnsi"/>
          <w:i/>
          <w:iCs/>
          <w:sz w:val="20"/>
          <w:szCs w:val="20"/>
        </w:rPr>
        <w:t>proferens</w:t>
      </w:r>
      <w:proofErr w:type="spellEnd"/>
      <w:r w:rsidR="005646BE" w:rsidRPr="005C161E">
        <w:rPr>
          <w:rFonts w:asciiTheme="majorHAnsi" w:hAnsiTheme="majorHAnsi" w:cstheme="majorHAnsi"/>
          <w:sz w:val="20"/>
          <w:szCs w:val="20"/>
        </w:rPr>
        <w:t> from liability in express and unambiguous terms, effect must be given to that meaning. If there is ambiguity, the language must be construed against the </w:t>
      </w:r>
      <w:proofErr w:type="spellStart"/>
      <w:r w:rsidR="005646BE" w:rsidRPr="005C161E">
        <w:rPr>
          <w:rFonts w:asciiTheme="majorHAnsi" w:hAnsiTheme="majorHAnsi" w:cstheme="majorHAnsi"/>
          <w:i/>
          <w:iCs/>
          <w:sz w:val="20"/>
          <w:szCs w:val="20"/>
        </w:rPr>
        <w:t>proferens</w:t>
      </w:r>
      <w:proofErr w:type="spellEnd"/>
      <w:r w:rsidR="005646BE" w:rsidRPr="005C161E">
        <w:rPr>
          <w:rFonts w:asciiTheme="majorHAnsi" w:hAnsiTheme="majorHAnsi" w:cstheme="majorHAnsi"/>
          <w:sz w:val="20"/>
          <w:szCs w:val="20"/>
        </w:rPr>
        <w:t xml:space="preserve">…  But the alternative meaning upon which reliance is placed to demonstrate the ambiguity must be one to which the language is </w:t>
      </w:r>
      <w:proofErr w:type="gramStart"/>
      <w:r w:rsidR="005646BE" w:rsidRPr="005C161E">
        <w:rPr>
          <w:rFonts w:asciiTheme="majorHAnsi" w:hAnsiTheme="majorHAnsi" w:cstheme="majorHAnsi"/>
          <w:sz w:val="20"/>
          <w:szCs w:val="20"/>
        </w:rPr>
        <w:t>fairly susceptible</w:t>
      </w:r>
      <w:proofErr w:type="gramEnd"/>
      <w:r w:rsidR="005646BE" w:rsidRPr="005C161E">
        <w:rPr>
          <w:rFonts w:asciiTheme="majorHAnsi" w:hAnsiTheme="majorHAnsi" w:cstheme="majorHAnsi"/>
          <w:sz w:val="20"/>
          <w:szCs w:val="20"/>
        </w:rPr>
        <w:t>; it mus</w:t>
      </w:r>
      <w:r w:rsidR="005E6491" w:rsidRPr="005C161E">
        <w:rPr>
          <w:rFonts w:asciiTheme="majorHAnsi" w:hAnsiTheme="majorHAnsi" w:cstheme="majorHAnsi"/>
          <w:sz w:val="20"/>
          <w:szCs w:val="20"/>
        </w:rPr>
        <w:t>t not be 'fanciful' or 'remote'.</w:t>
      </w:r>
    </w:p>
    <w:p w14:paraId="5816FD45" w14:textId="77777777" w:rsidR="00A64999" w:rsidRPr="005C161E" w:rsidRDefault="00A64999" w:rsidP="005C161E">
      <w:pPr>
        <w:spacing w:line="360" w:lineRule="auto"/>
        <w:jc w:val="both"/>
        <w:rPr>
          <w:rFonts w:asciiTheme="majorHAnsi" w:hAnsiTheme="majorHAnsi" w:cstheme="majorHAnsi"/>
          <w:sz w:val="20"/>
          <w:szCs w:val="20"/>
        </w:rPr>
      </w:pPr>
    </w:p>
    <w:p w14:paraId="04FF37F5" w14:textId="36A3520D" w:rsidR="002A61BF"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[26]</w:t>
      </w:r>
      <w:r w:rsidRPr="005C161E">
        <w:rPr>
          <w:rFonts w:asciiTheme="majorHAnsi" w:hAnsiTheme="majorHAnsi" w:cstheme="majorHAnsi"/>
        </w:rPr>
        <w:tab/>
      </w:r>
      <w:r w:rsidR="002A61BF" w:rsidRPr="003A4FF9">
        <w:rPr>
          <w:rFonts w:asciiTheme="majorHAnsi" w:hAnsiTheme="majorHAnsi" w:cstheme="majorHAnsi"/>
        </w:rPr>
        <w:t xml:space="preserve">Marais JA stated in </w:t>
      </w:r>
      <w:r w:rsidR="002A61BF" w:rsidRPr="003A4FF9">
        <w:rPr>
          <w:rStyle w:val="hgkelc"/>
          <w:rFonts w:asciiTheme="majorHAnsi" w:hAnsiTheme="majorHAnsi" w:cstheme="majorHAnsi"/>
          <w:i/>
          <w:iCs/>
          <w:lang w:val="en"/>
        </w:rPr>
        <w:t>First National Bank of SA Ltd v Rosenblum and Another</w:t>
      </w:r>
      <w:r w:rsidR="002A61BF" w:rsidRPr="005C161E">
        <w:rPr>
          <w:rStyle w:val="FootnoteReference"/>
          <w:rFonts w:asciiTheme="majorHAnsi" w:hAnsiTheme="majorHAnsi" w:cstheme="majorHAnsi"/>
        </w:rPr>
        <w:footnoteReference w:id="12"/>
      </w:r>
      <w:r w:rsidR="00882943" w:rsidRPr="003A4FF9">
        <w:rPr>
          <w:rStyle w:val="hgkelc"/>
          <w:rFonts w:asciiTheme="majorHAnsi" w:hAnsiTheme="majorHAnsi" w:cstheme="majorHAnsi"/>
          <w:i/>
          <w:iCs/>
          <w:lang w:val="en"/>
        </w:rPr>
        <w:t xml:space="preserve"> as follows</w:t>
      </w:r>
      <w:r w:rsidR="002A61BF" w:rsidRPr="003A4FF9">
        <w:rPr>
          <w:rStyle w:val="hgkelc"/>
          <w:rFonts w:asciiTheme="majorHAnsi" w:hAnsiTheme="majorHAnsi" w:cstheme="majorHAnsi"/>
          <w:i/>
          <w:iCs/>
          <w:lang w:val="en"/>
        </w:rPr>
        <w:t>:</w:t>
      </w:r>
    </w:p>
    <w:p w14:paraId="4E125718" w14:textId="77777777" w:rsidR="002A61BF" w:rsidRPr="005C161E" w:rsidRDefault="002A61BF" w:rsidP="005C161E">
      <w:pPr>
        <w:spacing w:line="360" w:lineRule="auto"/>
        <w:jc w:val="both"/>
        <w:rPr>
          <w:rStyle w:val="hgkelc"/>
          <w:rFonts w:asciiTheme="majorHAnsi" w:hAnsiTheme="majorHAnsi" w:cstheme="majorHAnsi"/>
          <w:iCs/>
          <w:lang w:val="en"/>
        </w:rPr>
      </w:pPr>
      <w:r w:rsidRPr="005C161E">
        <w:rPr>
          <w:rStyle w:val="hgkelc"/>
          <w:rFonts w:asciiTheme="majorHAnsi" w:hAnsiTheme="majorHAnsi" w:cstheme="majorHAnsi"/>
          <w:iCs/>
          <w:sz w:val="20"/>
          <w:szCs w:val="20"/>
          <w:lang w:val="en"/>
        </w:rPr>
        <w:t>‘</w:t>
      </w:r>
      <w:r w:rsidRPr="005C161E">
        <w:rPr>
          <w:rFonts w:asciiTheme="majorHAnsi" w:hAnsiTheme="majorHAnsi" w:cstheme="majorHAnsi"/>
          <w:sz w:val="20"/>
          <w:szCs w:val="20"/>
          <w:shd w:val="clear" w:color="auto" w:fill="FFFFFF"/>
        </w:rPr>
        <w:t>In matters of contract the parties are taken to have intended their legal rights and obligations to be governed by the common law unless they have plainly and unambiguously indicated the contrary. Where one of the parties wishes to be absolved either wholly or partially from an obligation or liability which would or could arise at common law under a contract of the kind which the parties intend to conclude, it is for that party to ensure that the extent to which he, she or it is to be absolved is plainly spelt out… Thus, even where an exclusionary clause is couched in language sufficiently wide to be capable of excluding liability for a negligent failure to fulfil a contractual obligation or for a negligent act or omission, it will not be regarded as doing so if there is another realistic and not fanciful basis of potential liability to which the clause could apply and so have a field of meaningful application.’</w:t>
      </w:r>
    </w:p>
    <w:p w14:paraId="30A40A30" w14:textId="77777777" w:rsidR="002A61BF" w:rsidRPr="005C161E" w:rsidRDefault="002A61BF" w:rsidP="005C161E">
      <w:pPr>
        <w:pStyle w:val="ListParagraph"/>
        <w:spacing w:line="360" w:lineRule="auto"/>
        <w:jc w:val="both"/>
        <w:rPr>
          <w:rFonts w:asciiTheme="majorHAnsi" w:hAnsiTheme="majorHAnsi" w:cstheme="majorHAnsi"/>
        </w:rPr>
      </w:pPr>
    </w:p>
    <w:p w14:paraId="20279E71" w14:textId="4E017A0C" w:rsidR="00713408" w:rsidRPr="003A4FF9" w:rsidRDefault="003A4FF9" w:rsidP="003A4FF9">
      <w:pPr>
        <w:spacing w:line="360" w:lineRule="auto"/>
        <w:jc w:val="both"/>
        <w:rPr>
          <w:rFonts w:asciiTheme="majorHAnsi" w:hAnsiTheme="majorHAnsi" w:cstheme="majorHAnsi"/>
        </w:rPr>
      </w:pPr>
      <w:r w:rsidRPr="000449D5">
        <w:rPr>
          <w:rFonts w:asciiTheme="majorHAnsi" w:hAnsiTheme="majorHAnsi" w:cstheme="majorHAnsi"/>
        </w:rPr>
        <w:t>[27]</w:t>
      </w:r>
      <w:r w:rsidRPr="000449D5">
        <w:rPr>
          <w:rFonts w:asciiTheme="majorHAnsi" w:hAnsiTheme="majorHAnsi" w:cstheme="majorHAnsi"/>
        </w:rPr>
        <w:tab/>
      </w:r>
      <w:r w:rsidR="00A112CD" w:rsidRPr="003A4FF9">
        <w:rPr>
          <w:rFonts w:asciiTheme="majorHAnsi" w:hAnsiTheme="majorHAnsi" w:cstheme="majorHAnsi"/>
        </w:rPr>
        <w:t>The wording of</w:t>
      </w:r>
      <w:r w:rsidR="002A69B7" w:rsidRPr="003A4FF9">
        <w:rPr>
          <w:rFonts w:asciiTheme="majorHAnsi" w:hAnsiTheme="majorHAnsi" w:cstheme="majorHAnsi"/>
        </w:rPr>
        <w:t xml:space="preserve"> </w:t>
      </w:r>
      <w:r w:rsidR="00F66911" w:rsidRPr="003A4FF9">
        <w:rPr>
          <w:rFonts w:asciiTheme="majorHAnsi" w:hAnsiTheme="majorHAnsi" w:cstheme="majorHAnsi"/>
        </w:rPr>
        <w:t>the second disclaimer</w:t>
      </w:r>
      <w:r w:rsidR="002A69B7" w:rsidRPr="003A4FF9">
        <w:rPr>
          <w:rFonts w:asciiTheme="majorHAnsi" w:hAnsiTheme="majorHAnsi" w:cstheme="majorHAnsi"/>
        </w:rPr>
        <w:t xml:space="preserve"> is in Afrikaans</w:t>
      </w:r>
      <w:r w:rsidR="00A112CD" w:rsidRPr="003A4FF9">
        <w:rPr>
          <w:rFonts w:asciiTheme="majorHAnsi" w:hAnsiTheme="majorHAnsi" w:cstheme="majorHAnsi"/>
        </w:rPr>
        <w:t xml:space="preserve"> only</w:t>
      </w:r>
      <w:r w:rsidR="002A69B7" w:rsidRPr="003A4FF9">
        <w:rPr>
          <w:rFonts w:asciiTheme="majorHAnsi" w:hAnsiTheme="majorHAnsi" w:cstheme="majorHAnsi"/>
        </w:rPr>
        <w:t>, the home language of the plaintiff</w:t>
      </w:r>
      <w:r w:rsidR="00F45C15" w:rsidRPr="003A4FF9">
        <w:rPr>
          <w:rFonts w:asciiTheme="majorHAnsi" w:hAnsiTheme="majorHAnsi" w:cstheme="majorHAnsi"/>
        </w:rPr>
        <w:t xml:space="preserve">, </w:t>
      </w:r>
      <w:r w:rsidR="00F66911" w:rsidRPr="003A4FF9">
        <w:rPr>
          <w:rFonts w:asciiTheme="majorHAnsi" w:hAnsiTheme="majorHAnsi" w:cstheme="majorHAnsi"/>
        </w:rPr>
        <w:t>while the first disclaimer</w:t>
      </w:r>
      <w:r w:rsidR="00A112CD" w:rsidRPr="003A4FF9">
        <w:rPr>
          <w:rFonts w:asciiTheme="majorHAnsi" w:hAnsiTheme="majorHAnsi" w:cstheme="majorHAnsi"/>
        </w:rPr>
        <w:t xml:space="preserve"> is in three languages, including Afrikaans and English.</w:t>
      </w:r>
      <w:r w:rsidR="00F00DA6" w:rsidRPr="003A4FF9">
        <w:rPr>
          <w:rFonts w:asciiTheme="majorHAnsi" w:hAnsiTheme="majorHAnsi" w:cstheme="majorHAnsi"/>
        </w:rPr>
        <w:t xml:space="preserve"> If I find that </w:t>
      </w:r>
      <w:r w:rsidR="00205651" w:rsidRPr="003A4FF9">
        <w:rPr>
          <w:rFonts w:asciiTheme="majorHAnsi" w:hAnsiTheme="majorHAnsi" w:cstheme="majorHAnsi"/>
        </w:rPr>
        <w:t>the wording of the second disclaimer is</w:t>
      </w:r>
      <w:r w:rsidR="00F00DA6" w:rsidRPr="003A4FF9">
        <w:rPr>
          <w:rFonts w:asciiTheme="majorHAnsi" w:hAnsiTheme="majorHAnsi" w:cstheme="majorHAnsi"/>
        </w:rPr>
        <w:t xml:space="preserve"> clear </w:t>
      </w:r>
      <w:r w:rsidR="00F45C15" w:rsidRPr="003A4FF9">
        <w:rPr>
          <w:rFonts w:asciiTheme="majorHAnsi" w:hAnsiTheme="majorHAnsi" w:cstheme="majorHAnsi"/>
        </w:rPr>
        <w:t xml:space="preserve">and unambiguous </w:t>
      </w:r>
      <w:r w:rsidR="00E1565E" w:rsidRPr="003A4FF9">
        <w:rPr>
          <w:rFonts w:asciiTheme="majorHAnsi" w:hAnsiTheme="majorHAnsi" w:cstheme="majorHAnsi"/>
        </w:rPr>
        <w:t>and</w:t>
      </w:r>
      <w:r w:rsidR="00D83100" w:rsidRPr="003A4FF9">
        <w:rPr>
          <w:rFonts w:asciiTheme="majorHAnsi" w:hAnsiTheme="majorHAnsi" w:cstheme="majorHAnsi"/>
        </w:rPr>
        <w:t xml:space="preserve"> </w:t>
      </w:r>
      <w:r w:rsidR="00205651" w:rsidRPr="003A4FF9">
        <w:rPr>
          <w:rFonts w:asciiTheme="majorHAnsi" w:hAnsiTheme="majorHAnsi" w:cstheme="majorHAnsi"/>
        </w:rPr>
        <w:t xml:space="preserve">that it was </w:t>
      </w:r>
      <w:r w:rsidR="00D83100" w:rsidRPr="003A4FF9">
        <w:rPr>
          <w:rFonts w:asciiTheme="majorHAnsi" w:hAnsiTheme="majorHAnsi" w:cstheme="majorHAnsi"/>
        </w:rPr>
        <w:t>properly display</w:t>
      </w:r>
      <w:r w:rsidR="009A2CD1" w:rsidRPr="003A4FF9">
        <w:rPr>
          <w:rFonts w:asciiTheme="majorHAnsi" w:hAnsiTheme="majorHAnsi" w:cstheme="majorHAnsi"/>
        </w:rPr>
        <w:t xml:space="preserve">ed </w:t>
      </w:r>
      <w:r w:rsidR="00E1323F" w:rsidRPr="003A4FF9">
        <w:rPr>
          <w:rFonts w:asciiTheme="majorHAnsi" w:hAnsiTheme="majorHAnsi" w:cstheme="majorHAnsi"/>
        </w:rPr>
        <w:t>at the time</w:t>
      </w:r>
      <w:r w:rsidR="00E1565E" w:rsidRPr="003A4FF9">
        <w:rPr>
          <w:rFonts w:asciiTheme="majorHAnsi" w:hAnsiTheme="majorHAnsi" w:cstheme="majorHAnsi"/>
        </w:rPr>
        <w:t>, it may</w:t>
      </w:r>
      <w:r w:rsidR="00F00DA6" w:rsidRPr="003A4FF9">
        <w:rPr>
          <w:rFonts w:asciiTheme="majorHAnsi" w:hAnsiTheme="majorHAnsi" w:cstheme="majorHAnsi"/>
        </w:rPr>
        <w:t xml:space="preserve"> be the end of the plaintiff’s case</w:t>
      </w:r>
      <w:r w:rsidR="00E4284D" w:rsidRPr="003A4FF9">
        <w:rPr>
          <w:rFonts w:asciiTheme="majorHAnsi" w:hAnsiTheme="majorHAnsi" w:cstheme="majorHAnsi"/>
        </w:rPr>
        <w:t xml:space="preserve">. </w:t>
      </w:r>
    </w:p>
    <w:p w14:paraId="2AF62813" w14:textId="77777777" w:rsidR="00FF55B4" w:rsidRPr="005C161E" w:rsidRDefault="00FF55B4" w:rsidP="005C161E">
      <w:pPr>
        <w:pStyle w:val="ListParagraph"/>
        <w:spacing w:line="360" w:lineRule="auto"/>
        <w:jc w:val="both"/>
        <w:rPr>
          <w:rFonts w:asciiTheme="majorHAnsi" w:hAnsiTheme="majorHAnsi" w:cstheme="majorHAnsi"/>
        </w:rPr>
      </w:pPr>
    </w:p>
    <w:p w14:paraId="406C1E45" w14:textId="04EB527C" w:rsidR="008171D0"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[28]</w:t>
      </w:r>
      <w:r w:rsidRPr="005C161E">
        <w:rPr>
          <w:rFonts w:asciiTheme="majorHAnsi" w:hAnsiTheme="majorHAnsi" w:cstheme="majorHAnsi"/>
        </w:rPr>
        <w:tab/>
      </w:r>
      <w:r w:rsidR="001D0998" w:rsidRPr="003A4FF9">
        <w:rPr>
          <w:rFonts w:asciiTheme="majorHAnsi" w:hAnsiTheme="majorHAnsi" w:cstheme="majorHAnsi"/>
        </w:rPr>
        <w:t>The plaintiff</w:t>
      </w:r>
      <w:r w:rsidR="00FF55B4" w:rsidRPr="003A4FF9">
        <w:rPr>
          <w:rFonts w:asciiTheme="majorHAnsi" w:hAnsiTheme="majorHAnsi" w:cstheme="majorHAnsi"/>
        </w:rPr>
        <w:t xml:space="preserve"> relied on </w:t>
      </w:r>
      <w:r w:rsidR="00FF55B4" w:rsidRPr="003A4FF9">
        <w:rPr>
          <w:rFonts w:asciiTheme="majorHAnsi" w:hAnsiTheme="majorHAnsi" w:cstheme="majorHAnsi"/>
          <w:i/>
          <w:iCs/>
        </w:rPr>
        <w:t>H</w:t>
      </w:r>
      <w:r w:rsidR="00CC6324" w:rsidRPr="003A4FF9">
        <w:rPr>
          <w:rFonts w:asciiTheme="majorHAnsi" w:hAnsiTheme="majorHAnsi" w:cstheme="majorHAnsi"/>
          <w:i/>
          <w:iCs/>
        </w:rPr>
        <w:t xml:space="preserve">anson v </w:t>
      </w:r>
      <w:r w:rsidR="004E33C2" w:rsidRPr="003A4FF9">
        <w:rPr>
          <w:rFonts w:asciiTheme="majorHAnsi" w:hAnsiTheme="majorHAnsi" w:cstheme="majorHAnsi"/>
          <w:i/>
          <w:iCs/>
        </w:rPr>
        <w:t xml:space="preserve">Liberty </w:t>
      </w:r>
      <w:r w:rsidR="00CC6324" w:rsidRPr="003A4FF9">
        <w:rPr>
          <w:rFonts w:asciiTheme="majorHAnsi" w:hAnsiTheme="majorHAnsi" w:cstheme="majorHAnsi"/>
          <w:i/>
          <w:iCs/>
        </w:rPr>
        <w:t>G</w:t>
      </w:r>
      <w:r w:rsidR="004E33C2" w:rsidRPr="003A4FF9">
        <w:rPr>
          <w:rFonts w:asciiTheme="majorHAnsi" w:hAnsiTheme="majorHAnsi" w:cstheme="majorHAnsi"/>
          <w:i/>
          <w:iCs/>
        </w:rPr>
        <w:t xml:space="preserve">roup </w:t>
      </w:r>
      <w:r w:rsidR="00CC6324" w:rsidRPr="003A4FF9">
        <w:rPr>
          <w:rFonts w:asciiTheme="majorHAnsi" w:hAnsiTheme="majorHAnsi" w:cstheme="majorHAnsi"/>
          <w:i/>
          <w:iCs/>
        </w:rPr>
        <w:t xml:space="preserve">Ltd </w:t>
      </w:r>
      <w:r w:rsidR="004E33C2" w:rsidRPr="003A4FF9">
        <w:rPr>
          <w:rFonts w:asciiTheme="majorHAnsi" w:hAnsiTheme="majorHAnsi" w:cstheme="majorHAnsi"/>
          <w:i/>
          <w:iCs/>
        </w:rPr>
        <w:t>and Others</w:t>
      </w:r>
      <w:r w:rsidR="001D0998" w:rsidRPr="003A4FF9">
        <w:rPr>
          <w:rFonts w:asciiTheme="majorHAnsi" w:hAnsiTheme="majorHAnsi" w:cstheme="majorHAnsi"/>
          <w:i/>
          <w:iCs/>
        </w:rPr>
        <w:t>.</w:t>
      </w:r>
      <w:r w:rsidR="00373760" w:rsidRPr="005C161E">
        <w:rPr>
          <w:rStyle w:val="FootnoteReference"/>
          <w:rFonts w:asciiTheme="majorHAnsi" w:hAnsiTheme="majorHAnsi" w:cstheme="majorHAnsi"/>
        </w:rPr>
        <w:footnoteReference w:id="13"/>
      </w:r>
      <w:r w:rsidR="00B93033" w:rsidRPr="003A4FF9">
        <w:rPr>
          <w:rFonts w:asciiTheme="majorHAnsi" w:hAnsiTheme="majorHAnsi" w:cstheme="majorHAnsi"/>
        </w:rPr>
        <w:t xml:space="preserve"> In that case </w:t>
      </w:r>
      <w:r w:rsidR="00585523" w:rsidRPr="003A4FF9">
        <w:rPr>
          <w:rFonts w:asciiTheme="majorHAnsi" w:hAnsiTheme="majorHAnsi" w:cstheme="majorHAnsi"/>
        </w:rPr>
        <w:t xml:space="preserve">the plaintiff </w:t>
      </w:r>
      <w:r w:rsidR="003A0B8C" w:rsidRPr="003A4FF9">
        <w:rPr>
          <w:rFonts w:asciiTheme="majorHAnsi" w:hAnsiTheme="majorHAnsi" w:cstheme="majorHAnsi"/>
        </w:rPr>
        <w:t xml:space="preserve">who was visiting </w:t>
      </w:r>
      <w:r w:rsidR="001D0998" w:rsidRPr="003A4FF9">
        <w:rPr>
          <w:rFonts w:asciiTheme="majorHAnsi" w:hAnsiTheme="majorHAnsi" w:cstheme="majorHAnsi"/>
        </w:rPr>
        <w:t xml:space="preserve">the </w:t>
      </w:r>
      <w:r w:rsidR="003A0B8C" w:rsidRPr="003A4FF9">
        <w:rPr>
          <w:rFonts w:asciiTheme="majorHAnsi" w:hAnsiTheme="majorHAnsi" w:cstheme="majorHAnsi"/>
        </w:rPr>
        <w:t>Sand</w:t>
      </w:r>
      <w:r w:rsidR="00907F21" w:rsidRPr="003A4FF9">
        <w:rPr>
          <w:rFonts w:asciiTheme="majorHAnsi" w:hAnsiTheme="majorHAnsi" w:cstheme="majorHAnsi"/>
        </w:rPr>
        <w:t>t</w:t>
      </w:r>
      <w:r w:rsidR="003A0B8C" w:rsidRPr="003A4FF9">
        <w:rPr>
          <w:rFonts w:asciiTheme="majorHAnsi" w:hAnsiTheme="majorHAnsi" w:cstheme="majorHAnsi"/>
        </w:rPr>
        <w:t xml:space="preserve">on City </w:t>
      </w:r>
      <w:r w:rsidR="003623C4" w:rsidRPr="003A4FF9">
        <w:rPr>
          <w:rFonts w:asciiTheme="majorHAnsi" w:hAnsiTheme="majorHAnsi" w:cstheme="majorHAnsi"/>
        </w:rPr>
        <w:t>shopping centre</w:t>
      </w:r>
      <w:r w:rsidR="001D0998" w:rsidRPr="003A4FF9">
        <w:rPr>
          <w:rFonts w:asciiTheme="majorHAnsi" w:hAnsiTheme="majorHAnsi" w:cstheme="majorHAnsi"/>
        </w:rPr>
        <w:t>,</w:t>
      </w:r>
      <w:r w:rsidR="003623C4" w:rsidRPr="003A4FF9">
        <w:rPr>
          <w:rFonts w:asciiTheme="majorHAnsi" w:hAnsiTheme="majorHAnsi" w:cstheme="majorHAnsi"/>
        </w:rPr>
        <w:t xml:space="preserve"> trip</w:t>
      </w:r>
      <w:r w:rsidR="001D0998" w:rsidRPr="003A4FF9">
        <w:rPr>
          <w:rFonts w:asciiTheme="majorHAnsi" w:hAnsiTheme="majorHAnsi" w:cstheme="majorHAnsi"/>
        </w:rPr>
        <w:t>ped</w:t>
      </w:r>
      <w:r w:rsidR="003623C4" w:rsidRPr="003A4FF9">
        <w:rPr>
          <w:rFonts w:asciiTheme="majorHAnsi" w:hAnsiTheme="majorHAnsi" w:cstheme="majorHAnsi"/>
        </w:rPr>
        <w:t xml:space="preserve"> over an elevated </w:t>
      </w:r>
      <w:r w:rsidR="0057468C" w:rsidRPr="003A4FF9">
        <w:rPr>
          <w:rFonts w:asciiTheme="majorHAnsi" w:hAnsiTheme="majorHAnsi" w:cstheme="majorHAnsi"/>
        </w:rPr>
        <w:t>expansion</w:t>
      </w:r>
      <w:r w:rsidR="00DE6907" w:rsidRPr="003A4FF9">
        <w:rPr>
          <w:rFonts w:asciiTheme="majorHAnsi" w:hAnsiTheme="majorHAnsi" w:cstheme="majorHAnsi"/>
        </w:rPr>
        <w:t xml:space="preserve"> joint cover</w:t>
      </w:r>
      <w:r w:rsidR="00005430" w:rsidRPr="003A4FF9">
        <w:rPr>
          <w:rFonts w:asciiTheme="majorHAnsi" w:hAnsiTheme="majorHAnsi" w:cstheme="majorHAnsi"/>
        </w:rPr>
        <w:t xml:space="preserve"> in the parking area</w:t>
      </w:r>
      <w:r w:rsidR="0057468C" w:rsidRPr="003A4FF9">
        <w:rPr>
          <w:rFonts w:asciiTheme="majorHAnsi" w:hAnsiTheme="majorHAnsi" w:cstheme="majorHAnsi"/>
        </w:rPr>
        <w:t>.</w:t>
      </w:r>
      <w:r w:rsidR="001D0998" w:rsidRPr="003A4FF9">
        <w:rPr>
          <w:rFonts w:asciiTheme="majorHAnsi" w:hAnsiTheme="majorHAnsi" w:cstheme="majorHAnsi"/>
        </w:rPr>
        <w:t xml:space="preserve"> She was a passenger in the motor </w:t>
      </w:r>
      <w:r w:rsidR="00005430" w:rsidRPr="003A4FF9">
        <w:rPr>
          <w:rFonts w:asciiTheme="majorHAnsi" w:hAnsiTheme="majorHAnsi" w:cstheme="majorHAnsi"/>
        </w:rPr>
        <w:t>vehicle that entered the parking area</w:t>
      </w:r>
      <w:r w:rsidR="001D0998" w:rsidRPr="003A4FF9">
        <w:rPr>
          <w:rFonts w:asciiTheme="majorHAnsi" w:hAnsiTheme="majorHAnsi" w:cstheme="majorHAnsi"/>
        </w:rPr>
        <w:t>.</w:t>
      </w:r>
      <w:r w:rsidR="00005430" w:rsidRPr="003A4FF9">
        <w:rPr>
          <w:rFonts w:asciiTheme="majorHAnsi" w:hAnsiTheme="majorHAnsi" w:cstheme="majorHAnsi"/>
        </w:rPr>
        <w:t xml:space="preserve"> </w:t>
      </w:r>
      <w:r w:rsidR="0057468C" w:rsidRPr="003A4FF9">
        <w:rPr>
          <w:rFonts w:asciiTheme="majorHAnsi" w:hAnsiTheme="majorHAnsi" w:cstheme="majorHAnsi"/>
        </w:rPr>
        <w:t>The court held that the defendant did not take reasonabl</w:t>
      </w:r>
      <w:r w:rsidR="008F4F8F" w:rsidRPr="003A4FF9">
        <w:rPr>
          <w:rFonts w:asciiTheme="majorHAnsi" w:hAnsiTheme="majorHAnsi" w:cstheme="majorHAnsi"/>
        </w:rPr>
        <w:t xml:space="preserve">y sufficient steps to </w:t>
      </w:r>
      <w:r w:rsidR="00005430" w:rsidRPr="003A4FF9">
        <w:rPr>
          <w:rFonts w:asciiTheme="majorHAnsi" w:hAnsiTheme="majorHAnsi" w:cstheme="majorHAnsi"/>
        </w:rPr>
        <w:t>notify</w:t>
      </w:r>
      <w:r w:rsidR="008F4F8F" w:rsidRPr="003A4FF9">
        <w:rPr>
          <w:rFonts w:asciiTheme="majorHAnsi" w:hAnsiTheme="majorHAnsi" w:cstheme="majorHAnsi"/>
        </w:rPr>
        <w:t xml:space="preserve"> </w:t>
      </w:r>
      <w:r w:rsidR="00005430" w:rsidRPr="003A4FF9">
        <w:rPr>
          <w:rFonts w:asciiTheme="majorHAnsi" w:hAnsiTheme="majorHAnsi" w:cstheme="majorHAnsi"/>
        </w:rPr>
        <w:t>the plaintiff</w:t>
      </w:r>
      <w:r w:rsidR="00D13309" w:rsidRPr="003A4FF9">
        <w:rPr>
          <w:rFonts w:asciiTheme="majorHAnsi" w:hAnsiTheme="majorHAnsi" w:cstheme="majorHAnsi"/>
        </w:rPr>
        <w:t xml:space="preserve"> of the </w:t>
      </w:r>
      <w:r w:rsidR="009A5B9C" w:rsidRPr="003A4FF9">
        <w:rPr>
          <w:rFonts w:asciiTheme="majorHAnsi" w:hAnsiTheme="majorHAnsi" w:cstheme="majorHAnsi"/>
        </w:rPr>
        <w:t xml:space="preserve">terms of the disclaimer notice </w:t>
      </w:r>
      <w:r w:rsidR="001A1A00" w:rsidRPr="003A4FF9">
        <w:rPr>
          <w:rFonts w:asciiTheme="majorHAnsi" w:hAnsiTheme="majorHAnsi" w:cstheme="majorHAnsi"/>
        </w:rPr>
        <w:t xml:space="preserve">and did not </w:t>
      </w:r>
      <w:r w:rsidR="001D0998" w:rsidRPr="003A4FF9">
        <w:rPr>
          <w:rFonts w:asciiTheme="majorHAnsi" w:hAnsiTheme="majorHAnsi" w:cstheme="majorHAnsi"/>
        </w:rPr>
        <w:t xml:space="preserve">discharge the onus </w:t>
      </w:r>
      <w:r w:rsidR="00005430" w:rsidRPr="003A4FF9">
        <w:rPr>
          <w:rFonts w:asciiTheme="majorHAnsi" w:hAnsiTheme="majorHAnsi" w:cstheme="majorHAnsi"/>
        </w:rPr>
        <w:t xml:space="preserve">on it. </w:t>
      </w:r>
      <w:r w:rsidR="00907F21" w:rsidRPr="003A4FF9">
        <w:rPr>
          <w:rFonts w:asciiTheme="majorHAnsi" w:hAnsiTheme="majorHAnsi" w:cstheme="majorHAnsi"/>
        </w:rPr>
        <w:t>Just a few days ago the Supreme Court of Appeal</w:t>
      </w:r>
      <w:r w:rsidR="00B32A5E" w:rsidRPr="003A4FF9">
        <w:rPr>
          <w:rFonts w:asciiTheme="majorHAnsi" w:hAnsiTheme="majorHAnsi" w:cstheme="majorHAnsi"/>
        </w:rPr>
        <w:t xml:space="preserve"> dealt with a disclaimer defence in </w:t>
      </w:r>
      <w:proofErr w:type="spellStart"/>
      <w:r w:rsidR="00B32A5E" w:rsidRPr="003A4FF9">
        <w:rPr>
          <w:rFonts w:asciiTheme="majorHAnsi" w:hAnsiTheme="majorHAnsi" w:cstheme="majorHAnsi"/>
          <w:i/>
        </w:rPr>
        <w:t>Cenprop</w:t>
      </w:r>
      <w:proofErr w:type="spellEnd"/>
      <w:r w:rsidR="00B32A5E" w:rsidRPr="003A4FF9">
        <w:rPr>
          <w:rFonts w:asciiTheme="majorHAnsi" w:hAnsiTheme="majorHAnsi" w:cstheme="majorHAnsi"/>
          <w:i/>
        </w:rPr>
        <w:t xml:space="preserve"> Real Estate (Pty) Ltd v </w:t>
      </w:r>
      <w:proofErr w:type="spellStart"/>
      <w:r w:rsidR="00B32A5E" w:rsidRPr="003A4FF9">
        <w:rPr>
          <w:rFonts w:asciiTheme="majorHAnsi" w:hAnsiTheme="majorHAnsi" w:cstheme="majorHAnsi"/>
          <w:i/>
        </w:rPr>
        <w:t>Holtzhauzen</w:t>
      </w:r>
      <w:proofErr w:type="spellEnd"/>
      <w:r w:rsidR="00B32A5E" w:rsidRPr="003A4FF9">
        <w:rPr>
          <w:rFonts w:asciiTheme="majorHAnsi" w:hAnsiTheme="majorHAnsi" w:cstheme="majorHAnsi"/>
          <w:i/>
        </w:rPr>
        <w:t>.</w:t>
      </w:r>
      <w:r w:rsidR="00B32A5E" w:rsidRPr="005C161E">
        <w:rPr>
          <w:rStyle w:val="FootnoteReference"/>
          <w:rFonts w:asciiTheme="majorHAnsi" w:hAnsiTheme="majorHAnsi" w:cstheme="majorHAnsi"/>
        </w:rPr>
        <w:footnoteReference w:id="14"/>
      </w:r>
      <w:r w:rsidR="00B32A5E" w:rsidRPr="003A4FF9">
        <w:rPr>
          <w:rFonts w:asciiTheme="majorHAnsi" w:hAnsiTheme="majorHAnsi" w:cstheme="majorHAnsi"/>
          <w:i/>
        </w:rPr>
        <w:t xml:space="preserve"> </w:t>
      </w:r>
      <w:r w:rsidR="00B32A5E" w:rsidRPr="003A4FF9">
        <w:rPr>
          <w:rFonts w:asciiTheme="majorHAnsi" w:hAnsiTheme="majorHAnsi" w:cstheme="majorHAnsi"/>
        </w:rPr>
        <w:t>It found,</w:t>
      </w:r>
      <w:r w:rsidR="000F1A14" w:rsidRPr="003A4FF9">
        <w:rPr>
          <w:rFonts w:asciiTheme="majorHAnsi" w:hAnsiTheme="majorHAnsi" w:cstheme="majorHAnsi"/>
        </w:rPr>
        <w:t xml:space="preserve"> based </w:t>
      </w:r>
      <w:r w:rsidR="00B32A5E" w:rsidRPr="003A4FF9">
        <w:rPr>
          <w:rFonts w:asciiTheme="majorHAnsi" w:hAnsiTheme="majorHAnsi" w:cstheme="majorHAnsi"/>
        </w:rPr>
        <w:t>on the proven facts, that the respondent (the injured customer) had n</w:t>
      </w:r>
      <w:r w:rsidR="000F1A14" w:rsidRPr="003A4FF9">
        <w:rPr>
          <w:rFonts w:asciiTheme="majorHAnsi" w:hAnsiTheme="majorHAnsi" w:cstheme="majorHAnsi"/>
        </w:rPr>
        <w:t>ever seen the disclaimer notices</w:t>
      </w:r>
      <w:r w:rsidR="00B32A5E" w:rsidRPr="003A4FF9">
        <w:rPr>
          <w:rFonts w:asciiTheme="majorHAnsi" w:hAnsiTheme="majorHAnsi" w:cstheme="majorHAnsi"/>
        </w:rPr>
        <w:t xml:space="preserve"> (either on the day of the injury, or during her previous visits to the premises)</w:t>
      </w:r>
      <w:r w:rsidR="000F1A14" w:rsidRPr="003A4FF9">
        <w:rPr>
          <w:rFonts w:asciiTheme="majorHAnsi" w:hAnsiTheme="majorHAnsi" w:cstheme="majorHAnsi"/>
        </w:rPr>
        <w:t>, that even assuming the disclaimer notices were in fact displayed, they were hidden or obstructed by objects and not visible to shoppers.</w:t>
      </w:r>
      <w:r w:rsidR="00B32A5E" w:rsidRPr="003A4FF9">
        <w:rPr>
          <w:rFonts w:asciiTheme="majorHAnsi" w:hAnsiTheme="majorHAnsi" w:cstheme="majorHAnsi"/>
        </w:rPr>
        <w:t xml:space="preserve"> </w:t>
      </w:r>
      <w:r w:rsidR="00005430" w:rsidRPr="003A4FF9">
        <w:rPr>
          <w:rFonts w:asciiTheme="majorHAnsi" w:hAnsiTheme="majorHAnsi" w:cstheme="majorHAnsi"/>
        </w:rPr>
        <w:t xml:space="preserve">This case is different. Here, the second disclaimer </w:t>
      </w:r>
      <w:proofErr w:type="gramStart"/>
      <w:r w:rsidR="00005430" w:rsidRPr="003A4FF9">
        <w:rPr>
          <w:rFonts w:asciiTheme="majorHAnsi" w:hAnsiTheme="majorHAnsi" w:cstheme="majorHAnsi"/>
        </w:rPr>
        <w:t xml:space="preserve">notice </w:t>
      </w:r>
      <w:r w:rsidR="00907F21" w:rsidRPr="003A4FF9">
        <w:rPr>
          <w:rFonts w:asciiTheme="majorHAnsi" w:hAnsiTheme="majorHAnsi" w:cstheme="majorHAnsi"/>
        </w:rPr>
        <w:t xml:space="preserve">in particular, </w:t>
      </w:r>
      <w:r w:rsidR="00005430" w:rsidRPr="003A4FF9">
        <w:rPr>
          <w:rFonts w:asciiTheme="majorHAnsi" w:hAnsiTheme="majorHAnsi" w:cstheme="majorHAnsi"/>
        </w:rPr>
        <w:t>was</w:t>
      </w:r>
      <w:proofErr w:type="gramEnd"/>
      <w:r w:rsidR="00005430" w:rsidRPr="003A4FF9">
        <w:rPr>
          <w:rFonts w:asciiTheme="majorHAnsi" w:hAnsiTheme="majorHAnsi" w:cstheme="majorHAnsi"/>
        </w:rPr>
        <w:t xml:space="preserve"> prominently displayed and right in front of the plaintiff’s eyes.</w:t>
      </w:r>
      <w:r w:rsidR="00DE313E" w:rsidRPr="003A4FF9">
        <w:rPr>
          <w:rFonts w:asciiTheme="majorHAnsi" w:hAnsiTheme="majorHAnsi" w:cstheme="majorHAnsi"/>
        </w:rPr>
        <w:t xml:space="preserve"> The </w:t>
      </w:r>
      <w:r w:rsidR="00E80116" w:rsidRPr="003A4FF9">
        <w:rPr>
          <w:rFonts w:asciiTheme="majorHAnsi" w:hAnsiTheme="majorHAnsi" w:cstheme="majorHAnsi"/>
        </w:rPr>
        <w:t>defendant took</w:t>
      </w:r>
      <w:r w:rsidR="00DE313E" w:rsidRPr="003A4FF9">
        <w:rPr>
          <w:rFonts w:asciiTheme="majorHAnsi" w:hAnsiTheme="majorHAnsi" w:cstheme="majorHAnsi"/>
        </w:rPr>
        <w:t xml:space="preserve"> appropriate steps</w:t>
      </w:r>
      <w:r w:rsidR="00E80116" w:rsidRPr="003A4FF9">
        <w:rPr>
          <w:rFonts w:asciiTheme="majorHAnsi" w:hAnsiTheme="majorHAnsi" w:cstheme="majorHAnsi"/>
        </w:rPr>
        <w:t xml:space="preserve"> to notify prospective patrons of the conditions applicable to them when entering the resort.</w:t>
      </w:r>
      <w:r w:rsidR="00DE313E" w:rsidRPr="003A4FF9">
        <w:rPr>
          <w:rFonts w:asciiTheme="majorHAnsi" w:hAnsiTheme="majorHAnsi" w:cstheme="majorHAnsi"/>
        </w:rPr>
        <w:t xml:space="preserve"> </w:t>
      </w:r>
      <w:r w:rsidR="00E80116" w:rsidRPr="003A4FF9">
        <w:rPr>
          <w:rFonts w:asciiTheme="majorHAnsi" w:hAnsiTheme="majorHAnsi" w:cstheme="majorHAnsi"/>
        </w:rPr>
        <w:t>Before I conclude on the defence raised by the defendant in respect of the second disclaimer, I need to refer to the plaintiff’s replication as well as other authorities.</w:t>
      </w:r>
    </w:p>
    <w:p w14:paraId="0ED20DD8" w14:textId="77777777" w:rsidR="001D0998" w:rsidRPr="005C161E" w:rsidRDefault="001D0998" w:rsidP="005C161E">
      <w:pPr>
        <w:pStyle w:val="ListParagraph"/>
        <w:spacing w:line="360" w:lineRule="auto"/>
        <w:rPr>
          <w:rFonts w:asciiTheme="majorHAnsi" w:hAnsiTheme="majorHAnsi" w:cstheme="majorHAnsi"/>
        </w:rPr>
      </w:pPr>
    </w:p>
    <w:p w14:paraId="2B69C39A" w14:textId="14CE77E8" w:rsidR="000C66EC"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[29]</w:t>
      </w:r>
      <w:r w:rsidRPr="005C161E">
        <w:rPr>
          <w:rFonts w:asciiTheme="majorHAnsi" w:hAnsiTheme="majorHAnsi" w:cstheme="majorHAnsi"/>
        </w:rPr>
        <w:tab/>
      </w:r>
      <w:r w:rsidR="00005430" w:rsidRPr="003A4FF9">
        <w:rPr>
          <w:rFonts w:asciiTheme="majorHAnsi" w:hAnsiTheme="majorHAnsi" w:cstheme="majorHAnsi"/>
        </w:rPr>
        <w:t>T</w:t>
      </w:r>
      <w:r w:rsidR="00D205E8" w:rsidRPr="003A4FF9">
        <w:rPr>
          <w:rFonts w:asciiTheme="majorHAnsi" w:hAnsiTheme="majorHAnsi" w:cstheme="majorHAnsi"/>
        </w:rPr>
        <w:t xml:space="preserve">he plaintiff filed a replication </w:t>
      </w:r>
      <w:r w:rsidR="00A00378" w:rsidRPr="003A4FF9">
        <w:rPr>
          <w:rFonts w:asciiTheme="majorHAnsi" w:hAnsiTheme="majorHAnsi" w:cstheme="majorHAnsi"/>
        </w:rPr>
        <w:t xml:space="preserve">to deal with the </w:t>
      </w:r>
      <w:r w:rsidR="001326F6" w:rsidRPr="003A4FF9">
        <w:rPr>
          <w:rFonts w:asciiTheme="majorHAnsi" w:hAnsiTheme="majorHAnsi" w:cstheme="majorHAnsi"/>
        </w:rPr>
        <w:t>defendant</w:t>
      </w:r>
      <w:r w:rsidR="00974381" w:rsidRPr="003A4FF9">
        <w:rPr>
          <w:rFonts w:asciiTheme="majorHAnsi" w:hAnsiTheme="majorHAnsi" w:cstheme="majorHAnsi"/>
        </w:rPr>
        <w:t>’</w:t>
      </w:r>
      <w:r w:rsidR="00E80116" w:rsidRPr="003A4FF9">
        <w:rPr>
          <w:rFonts w:asciiTheme="majorHAnsi" w:hAnsiTheme="majorHAnsi" w:cstheme="majorHAnsi"/>
        </w:rPr>
        <w:t xml:space="preserve">s plea relying on the two </w:t>
      </w:r>
      <w:r w:rsidR="00005430" w:rsidRPr="003A4FF9">
        <w:rPr>
          <w:rFonts w:asciiTheme="majorHAnsi" w:hAnsiTheme="majorHAnsi" w:cstheme="majorHAnsi"/>
        </w:rPr>
        <w:t>disclaimer</w:t>
      </w:r>
      <w:r w:rsidR="00E80116" w:rsidRPr="003A4FF9">
        <w:rPr>
          <w:rFonts w:asciiTheme="majorHAnsi" w:hAnsiTheme="majorHAnsi" w:cstheme="majorHAnsi"/>
        </w:rPr>
        <w:t>s</w:t>
      </w:r>
      <w:r w:rsidR="00005430" w:rsidRPr="003A4FF9">
        <w:rPr>
          <w:rFonts w:asciiTheme="majorHAnsi" w:hAnsiTheme="majorHAnsi" w:cstheme="majorHAnsi"/>
        </w:rPr>
        <w:t>. She averred</w:t>
      </w:r>
      <w:r w:rsidR="00440081" w:rsidRPr="003A4FF9">
        <w:rPr>
          <w:rFonts w:asciiTheme="majorHAnsi" w:hAnsiTheme="majorHAnsi" w:cstheme="majorHAnsi"/>
        </w:rPr>
        <w:t xml:space="preserve"> that </w:t>
      </w:r>
      <w:r w:rsidR="00005430" w:rsidRPr="003A4FF9">
        <w:rPr>
          <w:rFonts w:asciiTheme="majorHAnsi" w:hAnsiTheme="majorHAnsi" w:cstheme="majorHAnsi"/>
        </w:rPr>
        <w:t xml:space="preserve">it was unconstitutional to rely on a notice exempting the defendant from liability, alternatively, </w:t>
      </w:r>
      <w:r w:rsidR="0052374D" w:rsidRPr="003A4FF9">
        <w:rPr>
          <w:rFonts w:asciiTheme="majorHAnsi" w:hAnsiTheme="majorHAnsi" w:cstheme="majorHAnsi"/>
        </w:rPr>
        <w:t>the de</w:t>
      </w:r>
      <w:r w:rsidR="00005430" w:rsidRPr="003A4FF9">
        <w:rPr>
          <w:rFonts w:asciiTheme="majorHAnsi" w:hAnsiTheme="majorHAnsi" w:cstheme="majorHAnsi"/>
        </w:rPr>
        <w:t>fendant could not rely</w:t>
      </w:r>
      <w:r w:rsidR="0052374D" w:rsidRPr="003A4FF9">
        <w:rPr>
          <w:rFonts w:asciiTheme="majorHAnsi" w:hAnsiTheme="majorHAnsi" w:cstheme="majorHAnsi"/>
        </w:rPr>
        <w:t xml:space="preserve"> </w:t>
      </w:r>
      <w:r w:rsidR="00005430" w:rsidRPr="003A4FF9">
        <w:rPr>
          <w:rFonts w:asciiTheme="majorHAnsi" w:hAnsiTheme="majorHAnsi" w:cstheme="majorHAnsi"/>
        </w:rPr>
        <w:t>on such a defence as it was against</w:t>
      </w:r>
      <w:r w:rsidR="005768A1" w:rsidRPr="003A4FF9">
        <w:rPr>
          <w:rFonts w:asciiTheme="majorHAnsi" w:hAnsiTheme="majorHAnsi" w:cstheme="majorHAnsi"/>
        </w:rPr>
        <w:t xml:space="preserve"> public </w:t>
      </w:r>
      <w:r w:rsidR="00005430" w:rsidRPr="003A4FF9">
        <w:rPr>
          <w:rFonts w:asciiTheme="majorHAnsi" w:hAnsiTheme="majorHAnsi" w:cstheme="majorHAnsi"/>
        </w:rPr>
        <w:t>policy. S</w:t>
      </w:r>
      <w:r w:rsidR="001458D7" w:rsidRPr="003A4FF9">
        <w:rPr>
          <w:rFonts w:asciiTheme="majorHAnsi" w:hAnsiTheme="majorHAnsi" w:cstheme="majorHAnsi"/>
        </w:rPr>
        <w:t xml:space="preserve">he did not </w:t>
      </w:r>
      <w:r w:rsidR="00005430" w:rsidRPr="003A4FF9">
        <w:rPr>
          <w:rFonts w:asciiTheme="majorHAnsi" w:hAnsiTheme="majorHAnsi" w:cstheme="majorHAnsi"/>
        </w:rPr>
        <w:t>quote the legislation relied upon</w:t>
      </w:r>
      <w:r w:rsidR="00F36D6E" w:rsidRPr="003A4FF9">
        <w:rPr>
          <w:rFonts w:asciiTheme="majorHAnsi" w:hAnsiTheme="majorHAnsi" w:cstheme="majorHAnsi"/>
        </w:rPr>
        <w:t xml:space="preserve">. </w:t>
      </w:r>
      <w:r w:rsidR="00005430" w:rsidRPr="003A4FF9">
        <w:rPr>
          <w:rFonts w:asciiTheme="majorHAnsi" w:hAnsiTheme="majorHAnsi" w:cstheme="majorHAnsi"/>
        </w:rPr>
        <w:t>As a general rule, i</w:t>
      </w:r>
      <w:r w:rsidR="0064381E" w:rsidRPr="003A4FF9">
        <w:rPr>
          <w:rFonts w:asciiTheme="majorHAnsi" w:hAnsiTheme="majorHAnsi" w:cstheme="majorHAnsi"/>
        </w:rPr>
        <w:t xml:space="preserve">f a party relies </w:t>
      </w:r>
      <w:r w:rsidR="00005430" w:rsidRPr="003A4FF9">
        <w:rPr>
          <w:rFonts w:asciiTheme="majorHAnsi" w:hAnsiTheme="majorHAnsi" w:cstheme="majorHAnsi"/>
        </w:rPr>
        <w:t xml:space="preserve">in litigation </w:t>
      </w:r>
      <w:r w:rsidR="0064381E" w:rsidRPr="003A4FF9">
        <w:rPr>
          <w:rFonts w:asciiTheme="majorHAnsi" w:hAnsiTheme="majorHAnsi" w:cstheme="majorHAnsi"/>
        </w:rPr>
        <w:t xml:space="preserve">on a particular </w:t>
      </w:r>
      <w:r w:rsidR="0012027D" w:rsidRPr="003A4FF9">
        <w:rPr>
          <w:rFonts w:asciiTheme="majorHAnsi" w:hAnsiTheme="majorHAnsi" w:cstheme="majorHAnsi"/>
        </w:rPr>
        <w:t xml:space="preserve">statute or section </w:t>
      </w:r>
      <w:r w:rsidR="00033B3B" w:rsidRPr="003A4FF9">
        <w:rPr>
          <w:rFonts w:asciiTheme="majorHAnsi" w:hAnsiTheme="majorHAnsi" w:cstheme="majorHAnsi"/>
        </w:rPr>
        <w:t xml:space="preserve">within a statute, </w:t>
      </w:r>
      <w:r w:rsidR="00C162C5" w:rsidRPr="003A4FF9">
        <w:rPr>
          <w:rFonts w:asciiTheme="majorHAnsi" w:hAnsiTheme="majorHAnsi" w:cstheme="majorHAnsi"/>
        </w:rPr>
        <w:t xml:space="preserve">that party must state the statute </w:t>
      </w:r>
      <w:r w:rsidR="002F075C" w:rsidRPr="003A4FF9">
        <w:rPr>
          <w:rFonts w:asciiTheme="majorHAnsi" w:hAnsiTheme="majorHAnsi" w:cstheme="majorHAnsi"/>
        </w:rPr>
        <w:t>fully with referenc</w:t>
      </w:r>
      <w:r w:rsidR="00A13FBC" w:rsidRPr="003A4FF9">
        <w:rPr>
          <w:rFonts w:asciiTheme="majorHAnsi" w:hAnsiTheme="majorHAnsi" w:cstheme="majorHAnsi"/>
        </w:rPr>
        <w:t>e to the name and number thereof</w:t>
      </w:r>
      <w:r w:rsidR="00005430" w:rsidRPr="003A4FF9">
        <w:rPr>
          <w:rFonts w:asciiTheme="majorHAnsi" w:hAnsiTheme="majorHAnsi" w:cstheme="majorHAnsi"/>
        </w:rPr>
        <w:t>,</w:t>
      </w:r>
      <w:r w:rsidR="00A13FBC" w:rsidRPr="003A4FF9">
        <w:rPr>
          <w:rFonts w:asciiTheme="majorHAnsi" w:hAnsiTheme="majorHAnsi" w:cstheme="majorHAnsi"/>
        </w:rPr>
        <w:t xml:space="preserve"> or formulate </w:t>
      </w:r>
      <w:r w:rsidR="00697EA7" w:rsidRPr="003A4FF9">
        <w:rPr>
          <w:rFonts w:asciiTheme="majorHAnsi" w:hAnsiTheme="majorHAnsi" w:cstheme="majorHAnsi"/>
        </w:rPr>
        <w:t>t</w:t>
      </w:r>
      <w:r w:rsidR="00CA29FD" w:rsidRPr="003A4FF9">
        <w:rPr>
          <w:rFonts w:asciiTheme="majorHAnsi" w:hAnsiTheme="majorHAnsi" w:cstheme="majorHAnsi"/>
        </w:rPr>
        <w:t xml:space="preserve">heir cause of action or defence sufficiently </w:t>
      </w:r>
      <w:r w:rsidR="00917366" w:rsidRPr="003A4FF9">
        <w:rPr>
          <w:rFonts w:asciiTheme="majorHAnsi" w:hAnsiTheme="majorHAnsi" w:cstheme="majorHAnsi"/>
        </w:rPr>
        <w:t xml:space="preserve">clearly </w:t>
      </w:r>
      <w:r w:rsidR="00A567A6" w:rsidRPr="003A4FF9">
        <w:rPr>
          <w:rFonts w:asciiTheme="majorHAnsi" w:hAnsiTheme="majorHAnsi" w:cstheme="majorHAnsi"/>
        </w:rPr>
        <w:t xml:space="preserve">so as to </w:t>
      </w:r>
      <w:r w:rsidR="00005430" w:rsidRPr="003A4FF9">
        <w:rPr>
          <w:rFonts w:asciiTheme="majorHAnsi" w:hAnsiTheme="majorHAnsi" w:cstheme="majorHAnsi"/>
        </w:rPr>
        <w:t xml:space="preserve">allow the court to </w:t>
      </w:r>
      <w:r w:rsidR="00A567A6" w:rsidRPr="003A4FF9">
        <w:rPr>
          <w:rFonts w:asciiTheme="majorHAnsi" w:hAnsiTheme="majorHAnsi" w:cstheme="majorHAnsi"/>
        </w:rPr>
        <w:t xml:space="preserve">adjudicate </w:t>
      </w:r>
      <w:r w:rsidR="00010507" w:rsidRPr="003A4FF9">
        <w:rPr>
          <w:rFonts w:asciiTheme="majorHAnsi" w:hAnsiTheme="majorHAnsi" w:cstheme="majorHAnsi"/>
        </w:rPr>
        <w:t>what they are relying on.</w:t>
      </w:r>
      <w:r w:rsidR="00543915" w:rsidRPr="005C161E">
        <w:rPr>
          <w:rStyle w:val="FootnoteReference"/>
          <w:rFonts w:asciiTheme="majorHAnsi" w:hAnsiTheme="majorHAnsi" w:cstheme="majorHAnsi"/>
        </w:rPr>
        <w:footnoteReference w:id="15"/>
      </w:r>
      <w:r w:rsidR="00010507" w:rsidRPr="003A4FF9">
        <w:rPr>
          <w:rFonts w:asciiTheme="majorHAnsi" w:hAnsiTheme="majorHAnsi" w:cstheme="majorHAnsi"/>
        </w:rPr>
        <w:t xml:space="preserve"> </w:t>
      </w:r>
      <w:r w:rsidR="00005430" w:rsidRPr="003A4FF9">
        <w:rPr>
          <w:rFonts w:asciiTheme="majorHAnsi" w:hAnsiTheme="majorHAnsi" w:cstheme="majorHAnsi"/>
        </w:rPr>
        <w:t>Mr Ferreira referred in</w:t>
      </w:r>
      <w:r w:rsidR="00223595" w:rsidRPr="003A4FF9">
        <w:rPr>
          <w:rFonts w:asciiTheme="majorHAnsi" w:hAnsiTheme="majorHAnsi" w:cstheme="majorHAnsi"/>
        </w:rPr>
        <w:t xml:space="preserve"> the heads of argument and during oral argument </w:t>
      </w:r>
      <w:r w:rsidR="00052C9F" w:rsidRPr="003A4FF9">
        <w:rPr>
          <w:rFonts w:asciiTheme="majorHAnsi" w:hAnsiTheme="majorHAnsi" w:cstheme="majorHAnsi"/>
        </w:rPr>
        <w:t>for the first time to the protection</w:t>
      </w:r>
      <w:r w:rsidR="00747485" w:rsidRPr="003A4FF9">
        <w:rPr>
          <w:rFonts w:asciiTheme="majorHAnsi" w:hAnsiTheme="majorHAnsi" w:cstheme="majorHAnsi"/>
        </w:rPr>
        <w:t xml:space="preserve"> given to </w:t>
      </w:r>
      <w:r w:rsidR="00742CC0" w:rsidRPr="003A4FF9">
        <w:rPr>
          <w:rFonts w:asciiTheme="majorHAnsi" w:hAnsiTheme="majorHAnsi" w:cstheme="majorHAnsi"/>
        </w:rPr>
        <w:t xml:space="preserve">consumers </w:t>
      </w:r>
      <w:r w:rsidR="00907F21" w:rsidRPr="003A4FF9">
        <w:rPr>
          <w:rFonts w:asciiTheme="majorHAnsi" w:hAnsiTheme="majorHAnsi" w:cstheme="majorHAnsi"/>
        </w:rPr>
        <w:t>in terms of</w:t>
      </w:r>
      <w:r w:rsidR="00D258C7" w:rsidRPr="003A4FF9">
        <w:rPr>
          <w:rFonts w:asciiTheme="majorHAnsi" w:hAnsiTheme="majorHAnsi" w:cstheme="majorHAnsi"/>
        </w:rPr>
        <w:t xml:space="preserve"> the Consumer Protection Act 68 of 2008 (the CPA). He also quoted </w:t>
      </w:r>
      <w:r w:rsidR="00895AF1" w:rsidRPr="003A4FF9">
        <w:rPr>
          <w:rFonts w:asciiTheme="majorHAnsi" w:hAnsiTheme="majorHAnsi" w:cstheme="majorHAnsi"/>
        </w:rPr>
        <w:t xml:space="preserve">from </w:t>
      </w:r>
      <w:r w:rsidR="00FA2BBB" w:rsidRPr="003A4FF9">
        <w:rPr>
          <w:rFonts w:asciiTheme="majorHAnsi" w:hAnsiTheme="majorHAnsi" w:cstheme="majorHAnsi"/>
          <w:i/>
          <w:iCs/>
        </w:rPr>
        <w:t xml:space="preserve">Koen </w:t>
      </w:r>
      <w:r w:rsidR="00CF47E2" w:rsidRPr="003A4FF9">
        <w:rPr>
          <w:rFonts w:asciiTheme="majorHAnsi" w:hAnsiTheme="majorHAnsi" w:cstheme="majorHAnsi"/>
          <w:i/>
          <w:iCs/>
        </w:rPr>
        <w:t xml:space="preserve">v Pretoria Central </w:t>
      </w:r>
      <w:r w:rsidR="006310EE" w:rsidRPr="003A4FF9">
        <w:rPr>
          <w:rFonts w:asciiTheme="majorHAnsi" w:hAnsiTheme="majorHAnsi" w:cstheme="majorHAnsi"/>
          <w:i/>
          <w:iCs/>
        </w:rPr>
        <w:t>Investments</w:t>
      </w:r>
      <w:r w:rsidR="00E80116" w:rsidRPr="003A4FF9">
        <w:rPr>
          <w:rFonts w:asciiTheme="majorHAnsi" w:hAnsiTheme="majorHAnsi" w:cstheme="majorHAnsi"/>
          <w:i/>
          <w:iCs/>
        </w:rPr>
        <w:t xml:space="preserve"> (Pty) Ltd t/</w:t>
      </w:r>
      <w:r w:rsidR="00747C45" w:rsidRPr="003A4FF9">
        <w:rPr>
          <w:rFonts w:asciiTheme="majorHAnsi" w:hAnsiTheme="majorHAnsi" w:cstheme="majorHAnsi"/>
          <w:i/>
          <w:iCs/>
        </w:rPr>
        <w:t xml:space="preserve">a Pretoria </w:t>
      </w:r>
      <w:proofErr w:type="spellStart"/>
      <w:r w:rsidR="00747C45" w:rsidRPr="003A4FF9">
        <w:rPr>
          <w:rFonts w:asciiTheme="majorHAnsi" w:hAnsiTheme="majorHAnsi" w:cstheme="majorHAnsi"/>
          <w:i/>
          <w:iCs/>
        </w:rPr>
        <w:t>Parkade</w:t>
      </w:r>
      <w:proofErr w:type="spellEnd"/>
      <w:r w:rsidR="00166C05" w:rsidRPr="005C161E">
        <w:rPr>
          <w:rStyle w:val="FootnoteReference"/>
          <w:rFonts w:asciiTheme="majorHAnsi" w:hAnsiTheme="majorHAnsi" w:cstheme="majorHAnsi"/>
          <w:i/>
          <w:iCs/>
        </w:rPr>
        <w:footnoteReference w:id="16"/>
      </w:r>
      <w:r w:rsidR="00895AF1" w:rsidRPr="003A4FF9">
        <w:rPr>
          <w:rFonts w:asciiTheme="majorHAnsi" w:hAnsiTheme="majorHAnsi" w:cstheme="majorHAnsi"/>
          <w:i/>
          <w:iCs/>
        </w:rPr>
        <w:t xml:space="preserve"> </w:t>
      </w:r>
      <w:r w:rsidR="00895AF1" w:rsidRPr="003A4FF9">
        <w:rPr>
          <w:rFonts w:asciiTheme="majorHAnsi" w:hAnsiTheme="majorHAnsi" w:cstheme="majorHAnsi"/>
          <w:iCs/>
        </w:rPr>
        <w:t>(</w:t>
      </w:r>
      <w:r w:rsidR="00895AF1" w:rsidRPr="003A4FF9">
        <w:rPr>
          <w:rFonts w:asciiTheme="majorHAnsi" w:hAnsiTheme="majorHAnsi" w:cstheme="majorHAnsi"/>
          <w:i/>
          <w:iCs/>
        </w:rPr>
        <w:t>Koen</w:t>
      </w:r>
      <w:r w:rsidR="00895AF1" w:rsidRPr="003A4FF9">
        <w:rPr>
          <w:rFonts w:asciiTheme="majorHAnsi" w:hAnsiTheme="majorHAnsi" w:cstheme="majorHAnsi"/>
          <w:iCs/>
        </w:rPr>
        <w:t>)</w:t>
      </w:r>
      <w:r w:rsidR="00BC3E44" w:rsidRPr="003A4FF9">
        <w:rPr>
          <w:rFonts w:asciiTheme="majorHAnsi" w:hAnsiTheme="majorHAnsi" w:cstheme="majorHAnsi"/>
        </w:rPr>
        <w:t xml:space="preserve"> where </w:t>
      </w:r>
      <w:r w:rsidR="00895AF1" w:rsidRPr="003A4FF9">
        <w:rPr>
          <w:rFonts w:asciiTheme="majorHAnsi" w:hAnsiTheme="majorHAnsi" w:cstheme="majorHAnsi"/>
        </w:rPr>
        <w:t xml:space="preserve">the learned judge </w:t>
      </w:r>
      <w:r w:rsidR="00BC3E44" w:rsidRPr="003A4FF9">
        <w:rPr>
          <w:rFonts w:asciiTheme="majorHAnsi" w:hAnsiTheme="majorHAnsi" w:cstheme="majorHAnsi"/>
        </w:rPr>
        <w:t xml:space="preserve">put great emphasis on several </w:t>
      </w:r>
      <w:r w:rsidR="00571AEE" w:rsidRPr="003A4FF9">
        <w:rPr>
          <w:rFonts w:asciiTheme="majorHAnsi" w:hAnsiTheme="majorHAnsi" w:cstheme="majorHAnsi"/>
        </w:rPr>
        <w:t>sections of the C</w:t>
      </w:r>
      <w:r w:rsidR="00A219E9" w:rsidRPr="003A4FF9">
        <w:rPr>
          <w:rFonts w:asciiTheme="majorHAnsi" w:hAnsiTheme="majorHAnsi" w:cstheme="majorHAnsi"/>
        </w:rPr>
        <w:t>PA</w:t>
      </w:r>
      <w:r w:rsidR="00052C9F" w:rsidRPr="003A4FF9">
        <w:rPr>
          <w:rFonts w:asciiTheme="majorHAnsi" w:hAnsiTheme="majorHAnsi" w:cstheme="majorHAnsi"/>
        </w:rPr>
        <w:t xml:space="preserve">. I quote the </w:t>
      </w:r>
      <w:r w:rsidR="00907F21" w:rsidRPr="003A4FF9">
        <w:rPr>
          <w:rFonts w:asciiTheme="majorHAnsi" w:hAnsiTheme="majorHAnsi" w:cstheme="majorHAnsi"/>
        </w:rPr>
        <w:t xml:space="preserve">judge’s </w:t>
      </w:r>
      <w:r w:rsidR="00052C9F" w:rsidRPr="003A4FF9">
        <w:rPr>
          <w:rFonts w:asciiTheme="majorHAnsi" w:hAnsiTheme="majorHAnsi" w:cstheme="majorHAnsi"/>
        </w:rPr>
        <w:t>conclusion</w:t>
      </w:r>
      <w:r w:rsidR="008270C0" w:rsidRPr="003A4FF9">
        <w:rPr>
          <w:rFonts w:asciiTheme="majorHAnsi" w:hAnsiTheme="majorHAnsi" w:cstheme="majorHAnsi"/>
        </w:rPr>
        <w:t xml:space="preserve"> verbatim</w:t>
      </w:r>
      <w:r w:rsidR="001F6395" w:rsidRPr="003A4FF9">
        <w:rPr>
          <w:rFonts w:asciiTheme="majorHAnsi" w:hAnsiTheme="majorHAnsi" w:cstheme="majorHAnsi"/>
        </w:rPr>
        <w:t>:</w:t>
      </w:r>
      <w:r w:rsidR="008E6C65" w:rsidRPr="005C161E">
        <w:rPr>
          <w:rStyle w:val="FootnoteReference"/>
          <w:rFonts w:asciiTheme="majorHAnsi" w:hAnsiTheme="majorHAnsi" w:cstheme="majorHAnsi"/>
        </w:rPr>
        <w:footnoteReference w:id="17"/>
      </w:r>
      <w:r w:rsidR="001F6395" w:rsidRPr="003A4FF9">
        <w:rPr>
          <w:rFonts w:asciiTheme="majorHAnsi" w:hAnsiTheme="majorHAnsi" w:cstheme="majorHAnsi"/>
        </w:rPr>
        <w:t xml:space="preserve"> </w:t>
      </w:r>
    </w:p>
    <w:p w14:paraId="1381C443" w14:textId="77777777" w:rsidR="000C66EC" w:rsidRPr="005C161E" w:rsidRDefault="000C66EC" w:rsidP="005C161E">
      <w:pPr>
        <w:pStyle w:val="ListParagraph"/>
        <w:spacing w:line="360" w:lineRule="auto"/>
        <w:jc w:val="both"/>
        <w:rPr>
          <w:rFonts w:asciiTheme="majorHAnsi" w:hAnsiTheme="majorHAnsi" w:cstheme="majorHAnsi"/>
        </w:rPr>
      </w:pPr>
      <w:r w:rsidRPr="005C161E">
        <w:rPr>
          <w:rFonts w:asciiTheme="majorHAnsi" w:hAnsiTheme="majorHAnsi" w:cstheme="majorHAnsi"/>
          <w:sz w:val="20"/>
          <w:szCs w:val="20"/>
        </w:rPr>
        <w:lastRenderedPageBreak/>
        <w:t>‘</w:t>
      </w:r>
      <w:proofErr w:type="gramStart"/>
      <w:r w:rsidRPr="005C161E">
        <w:rPr>
          <w:rFonts w:asciiTheme="majorHAnsi" w:hAnsiTheme="majorHAnsi" w:cstheme="majorHAnsi"/>
          <w:sz w:val="20"/>
          <w:szCs w:val="20"/>
        </w:rPr>
        <w:t>Accordingly</w:t>
      </w:r>
      <w:proofErr w:type="gramEnd"/>
      <w:r w:rsidRPr="005C161E">
        <w:rPr>
          <w:rFonts w:asciiTheme="majorHAnsi" w:hAnsiTheme="majorHAnsi" w:cstheme="majorHAnsi"/>
          <w:sz w:val="20"/>
          <w:szCs w:val="20"/>
        </w:rPr>
        <w:t xml:space="preserve"> disclaimer notices that a bad in law and not being able to be enforce or allow an injured person to approach the courts for redress are bad in law and can therefore not pass the constitutional muster.’</w:t>
      </w:r>
    </w:p>
    <w:p w14:paraId="74530598" w14:textId="77777777" w:rsidR="00052C9F" w:rsidRPr="005C161E" w:rsidRDefault="006E01D6" w:rsidP="005C161E">
      <w:pPr>
        <w:pStyle w:val="ListParagraph"/>
        <w:spacing w:line="360" w:lineRule="auto"/>
        <w:jc w:val="both"/>
        <w:rPr>
          <w:rFonts w:asciiTheme="majorHAnsi" w:hAnsiTheme="majorHAnsi" w:cstheme="majorHAnsi"/>
        </w:rPr>
      </w:pPr>
      <w:r w:rsidRPr="005C161E">
        <w:rPr>
          <w:rFonts w:asciiTheme="majorHAnsi" w:hAnsiTheme="majorHAnsi" w:cstheme="majorHAnsi"/>
        </w:rPr>
        <w:t>Th</w:t>
      </w:r>
      <w:r w:rsidR="00907F21">
        <w:rPr>
          <w:rFonts w:asciiTheme="majorHAnsi" w:hAnsiTheme="majorHAnsi" w:cstheme="majorHAnsi"/>
        </w:rPr>
        <w:t>is</w:t>
      </w:r>
      <w:r w:rsidRPr="005C161E">
        <w:rPr>
          <w:rFonts w:asciiTheme="majorHAnsi" w:hAnsiTheme="majorHAnsi" w:cstheme="majorHAnsi"/>
        </w:rPr>
        <w:t xml:space="preserve"> conclusion</w:t>
      </w:r>
      <w:r w:rsidR="00907F21">
        <w:rPr>
          <w:rFonts w:asciiTheme="majorHAnsi" w:hAnsiTheme="majorHAnsi" w:cstheme="majorHAnsi"/>
        </w:rPr>
        <w:t xml:space="preserve"> </w:t>
      </w:r>
      <w:r w:rsidRPr="005C161E">
        <w:rPr>
          <w:rFonts w:asciiTheme="majorHAnsi" w:hAnsiTheme="majorHAnsi" w:cstheme="majorHAnsi"/>
        </w:rPr>
        <w:t xml:space="preserve">is in direct conflict with </w:t>
      </w:r>
      <w:r w:rsidR="009A07AD">
        <w:rPr>
          <w:rFonts w:asciiTheme="majorHAnsi" w:hAnsiTheme="majorHAnsi" w:cstheme="majorHAnsi"/>
        </w:rPr>
        <w:t>all available authorities of the Supreme Court of Appeal and t</w:t>
      </w:r>
      <w:r w:rsidR="009E546E" w:rsidRPr="005C161E">
        <w:rPr>
          <w:rFonts w:asciiTheme="majorHAnsi" w:hAnsiTheme="majorHAnsi" w:cstheme="majorHAnsi"/>
        </w:rPr>
        <w:t xml:space="preserve">he judgment </w:t>
      </w:r>
      <w:r w:rsidR="009A07AD">
        <w:rPr>
          <w:rFonts w:asciiTheme="majorHAnsi" w:hAnsiTheme="majorHAnsi" w:cstheme="majorHAnsi"/>
        </w:rPr>
        <w:t>should not be followed</w:t>
      </w:r>
      <w:r w:rsidR="009E546E" w:rsidRPr="005C161E">
        <w:rPr>
          <w:rFonts w:asciiTheme="majorHAnsi" w:hAnsiTheme="majorHAnsi" w:cstheme="majorHAnsi"/>
        </w:rPr>
        <w:t xml:space="preserve">. </w:t>
      </w:r>
      <w:r w:rsidR="006019AC" w:rsidRPr="005C161E">
        <w:rPr>
          <w:rFonts w:asciiTheme="majorHAnsi" w:hAnsiTheme="majorHAnsi" w:cstheme="majorHAnsi"/>
        </w:rPr>
        <w:t xml:space="preserve">Both the judgments in </w:t>
      </w:r>
      <w:r w:rsidR="00D00B1E" w:rsidRPr="005C161E">
        <w:rPr>
          <w:rFonts w:asciiTheme="majorHAnsi" w:hAnsiTheme="majorHAnsi" w:cstheme="majorHAnsi"/>
          <w:i/>
        </w:rPr>
        <w:t>Bafana</w:t>
      </w:r>
      <w:r w:rsidR="00D00B1E" w:rsidRPr="005C161E">
        <w:rPr>
          <w:rFonts w:asciiTheme="majorHAnsi" w:hAnsiTheme="majorHAnsi" w:cstheme="majorHAnsi"/>
        </w:rPr>
        <w:t xml:space="preserve"> </w:t>
      </w:r>
      <w:r w:rsidR="006019AC" w:rsidRPr="005C161E">
        <w:rPr>
          <w:rFonts w:asciiTheme="majorHAnsi" w:hAnsiTheme="majorHAnsi" w:cstheme="majorHAnsi"/>
          <w:i/>
        </w:rPr>
        <w:t xml:space="preserve">Finance </w:t>
      </w:r>
      <w:proofErr w:type="spellStart"/>
      <w:r w:rsidR="006019AC" w:rsidRPr="005C161E">
        <w:rPr>
          <w:rFonts w:asciiTheme="majorHAnsi" w:hAnsiTheme="majorHAnsi" w:cstheme="majorHAnsi"/>
          <w:i/>
        </w:rPr>
        <w:t>Mabopane</w:t>
      </w:r>
      <w:proofErr w:type="spellEnd"/>
      <w:r w:rsidR="006019AC" w:rsidRPr="005C161E">
        <w:rPr>
          <w:rFonts w:asciiTheme="majorHAnsi" w:hAnsiTheme="majorHAnsi" w:cstheme="majorHAnsi"/>
          <w:i/>
        </w:rPr>
        <w:t xml:space="preserve"> v </w:t>
      </w:r>
      <w:proofErr w:type="spellStart"/>
      <w:r w:rsidR="006019AC" w:rsidRPr="005C161E">
        <w:rPr>
          <w:rFonts w:asciiTheme="majorHAnsi" w:hAnsiTheme="majorHAnsi" w:cstheme="majorHAnsi"/>
          <w:i/>
        </w:rPr>
        <w:t>Makwakwa</w:t>
      </w:r>
      <w:proofErr w:type="spellEnd"/>
      <w:r w:rsidR="006019AC" w:rsidRPr="005C161E">
        <w:rPr>
          <w:rFonts w:asciiTheme="majorHAnsi" w:hAnsiTheme="majorHAnsi" w:cstheme="majorHAnsi"/>
          <w:i/>
        </w:rPr>
        <w:t xml:space="preserve"> and Another</w:t>
      </w:r>
      <w:r w:rsidR="006019AC" w:rsidRPr="005C161E">
        <w:rPr>
          <w:rStyle w:val="FootnoteReference"/>
          <w:rFonts w:asciiTheme="majorHAnsi" w:hAnsiTheme="majorHAnsi" w:cstheme="majorHAnsi"/>
        </w:rPr>
        <w:footnoteReference w:id="18"/>
      </w:r>
      <w:r w:rsidR="009A64FE" w:rsidRPr="005C161E">
        <w:rPr>
          <w:rFonts w:asciiTheme="majorHAnsi" w:hAnsiTheme="majorHAnsi" w:cstheme="majorHAnsi"/>
          <w:i/>
        </w:rPr>
        <w:t>(Bafana Finance)</w:t>
      </w:r>
      <w:r w:rsidR="00183FF4" w:rsidRPr="005C161E">
        <w:rPr>
          <w:rFonts w:asciiTheme="majorHAnsi" w:hAnsiTheme="majorHAnsi" w:cstheme="majorHAnsi"/>
        </w:rPr>
        <w:t xml:space="preserve"> and </w:t>
      </w:r>
      <w:r w:rsidR="00183FF4" w:rsidRPr="005C161E">
        <w:rPr>
          <w:rFonts w:asciiTheme="majorHAnsi" w:hAnsiTheme="majorHAnsi" w:cstheme="majorHAnsi"/>
          <w:i/>
        </w:rPr>
        <w:t>Barkhuizen v Napier</w:t>
      </w:r>
      <w:r w:rsidR="00DD5B51" w:rsidRPr="005C161E">
        <w:rPr>
          <w:rStyle w:val="FootnoteReference"/>
          <w:rFonts w:asciiTheme="majorHAnsi" w:hAnsiTheme="majorHAnsi" w:cstheme="majorHAnsi"/>
        </w:rPr>
        <w:footnoteReference w:id="19"/>
      </w:r>
      <w:r w:rsidR="00183FF4" w:rsidRPr="005C161E">
        <w:rPr>
          <w:rFonts w:asciiTheme="majorHAnsi" w:hAnsiTheme="majorHAnsi" w:cstheme="majorHAnsi"/>
        </w:rPr>
        <w:t xml:space="preserve"> </w:t>
      </w:r>
      <w:r w:rsidR="00DD5B51" w:rsidRPr="005C161E">
        <w:rPr>
          <w:rFonts w:asciiTheme="majorHAnsi" w:hAnsiTheme="majorHAnsi" w:cstheme="majorHAnsi"/>
        </w:rPr>
        <w:t>relied upon,</w:t>
      </w:r>
      <w:r w:rsidR="004323D5" w:rsidRPr="005C161E">
        <w:rPr>
          <w:rFonts w:asciiTheme="majorHAnsi" w:hAnsiTheme="majorHAnsi" w:cstheme="majorHAnsi"/>
        </w:rPr>
        <w:t xml:space="preserve"> do not support the learned judge</w:t>
      </w:r>
      <w:r w:rsidR="005545E5" w:rsidRPr="005C161E">
        <w:rPr>
          <w:rFonts w:asciiTheme="majorHAnsi" w:hAnsiTheme="majorHAnsi" w:cstheme="majorHAnsi"/>
        </w:rPr>
        <w:t>’</w:t>
      </w:r>
      <w:r w:rsidR="004323D5" w:rsidRPr="005C161E">
        <w:rPr>
          <w:rFonts w:asciiTheme="majorHAnsi" w:hAnsiTheme="majorHAnsi" w:cstheme="majorHAnsi"/>
        </w:rPr>
        <w:t>s conclusion</w:t>
      </w:r>
      <w:r w:rsidR="006019AC" w:rsidRPr="005C161E">
        <w:rPr>
          <w:rFonts w:asciiTheme="majorHAnsi" w:hAnsiTheme="majorHAnsi" w:cstheme="majorHAnsi"/>
        </w:rPr>
        <w:t>.</w:t>
      </w:r>
      <w:r w:rsidR="001F6395" w:rsidRPr="005C161E">
        <w:rPr>
          <w:rFonts w:asciiTheme="majorHAnsi" w:hAnsiTheme="majorHAnsi" w:cstheme="majorHAnsi"/>
        </w:rPr>
        <w:t xml:space="preserve"> </w:t>
      </w:r>
    </w:p>
    <w:p w14:paraId="300A8E75" w14:textId="77777777" w:rsidR="00052C9F" w:rsidRPr="005C161E" w:rsidRDefault="00052C9F" w:rsidP="005C161E">
      <w:pPr>
        <w:pStyle w:val="ListParagraph"/>
        <w:spacing w:line="360" w:lineRule="auto"/>
        <w:jc w:val="both"/>
        <w:rPr>
          <w:rFonts w:asciiTheme="majorHAnsi" w:hAnsiTheme="majorHAnsi" w:cstheme="majorHAnsi"/>
        </w:rPr>
      </w:pPr>
    </w:p>
    <w:p w14:paraId="2007EA42" w14:textId="6F759034" w:rsidR="00052C9F"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[30]</w:t>
      </w:r>
      <w:r w:rsidRPr="005C161E">
        <w:rPr>
          <w:rFonts w:asciiTheme="majorHAnsi" w:hAnsiTheme="majorHAnsi" w:cstheme="majorHAnsi"/>
        </w:rPr>
        <w:tab/>
      </w:r>
      <w:r w:rsidR="00052C9F" w:rsidRPr="003A4FF9">
        <w:rPr>
          <w:rFonts w:asciiTheme="majorHAnsi" w:hAnsiTheme="majorHAnsi" w:cstheme="majorHAnsi"/>
        </w:rPr>
        <w:t xml:space="preserve">In </w:t>
      </w:r>
      <w:r w:rsidR="00052C9F" w:rsidRPr="003A4FF9">
        <w:rPr>
          <w:rFonts w:asciiTheme="majorHAnsi" w:hAnsiTheme="majorHAnsi" w:cstheme="majorHAnsi"/>
          <w:i/>
        </w:rPr>
        <w:t>Bafana</w:t>
      </w:r>
      <w:r w:rsidR="00052C9F" w:rsidRPr="003A4FF9">
        <w:rPr>
          <w:rFonts w:asciiTheme="majorHAnsi" w:hAnsiTheme="majorHAnsi" w:cstheme="majorHAnsi"/>
        </w:rPr>
        <w:t xml:space="preserve"> </w:t>
      </w:r>
      <w:r w:rsidR="00052C9F" w:rsidRPr="003A4FF9">
        <w:rPr>
          <w:rFonts w:asciiTheme="majorHAnsi" w:hAnsiTheme="majorHAnsi" w:cstheme="majorHAnsi"/>
          <w:i/>
        </w:rPr>
        <w:t xml:space="preserve">Finance </w:t>
      </w:r>
      <w:r w:rsidR="00052C9F" w:rsidRPr="003A4FF9">
        <w:rPr>
          <w:rFonts w:asciiTheme="majorHAnsi" w:hAnsiTheme="majorHAnsi" w:cstheme="majorHAnsi"/>
        </w:rPr>
        <w:t>a clause in a moneylending contract whereby the debtor undertook not to apply for an adm</w:t>
      </w:r>
      <w:r w:rsidR="00907F21" w:rsidRPr="003A4FF9">
        <w:rPr>
          <w:rFonts w:asciiTheme="majorHAnsi" w:hAnsiTheme="majorHAnsi" w:cstheme="majorHAnsi"/>
        </w:rPr>
        <w:t>inistration order, and if they</w:t>
      </w:r>
      <w:r w:rsidR="00052C9F" w:rsidRPr="003A4FF9">
        <w:rPr>
          <w:rFonts w:asciiTheme="majorHAnsi" w:hAnsiTheme="majorHAnsi" w:cstheme="majorHAnsi"/>
        </w:rPr>
        <w:t xml:space="preserve"> did apply for such order, the loan debt would not form part of the administration order, was </w:t>
      </w:r>
      <w:r w:rsidR="00907F21" w:rsidRPr="003A4FF9">
        <w:rPr>
          <w:rFonts w:asciiTheme="majorHAnsi" w:hAnsiTheme="majorHAnsi" w:cstheme="majorHAnsi"/>
        </w:rPr>
        <w:t xml:space="preserve">held to be </w:t>
      </w:r>
      <w:r w:rsidR="00052C9F" w:rsidRPr="003A4FF9">
        <w:rPr>
          <w:rFonts w:asciiTheme="majorHAnsi" w:hAnsiTheme="majorHAnsi" w:cstheme="majorHAnsi"/>
        </w:rPr>
        <w:t xml:space="preserve">unenforceable as being contrary to public policy. This case is totally irrelevant to the issue at hand. In </w:t>
      </w:r>
      <w:r w:rsidR="00052C9F" w:rsidRPr="003A4FF9">
        <w:rPr>
          <w:rFonts w:asciiTheme="majorHAnsi" w:hAnsiTheme="majorHAnsi" w:cstheme="majorHAnsi"/>
          <w:i/>
        </w:rPr>
        <w:t>Barkhuizen v Napier</w:t>
      </w:r>
      <w:r w:rsidR="00052C9F" w:rsidRPr="003A4FF9">
        <w:rPr>
          <w:rFonts w:asciiTheme="majorHAnsi" w:hAnsiTheme="majorHAnsi" w:cstheme="majorHAnsi"/>
        </w:rPr>
        <w:t xml:space="preserve"> the Constitutional Court dealt with a time-limitation clause in an insurance contract in terms whereof an insured had to institute action within the </w:t>
      </w:r>
      <w:proofErr w:type="gramStart"/>
      <w:r w:rsidR="00052C9F" w:rsidRPr="003A4FF9">
        <w:rPr>
          <w:rFonts w:asciiTheme="majorHAnsi" w:hAnsiTheme="majorHAnsi" w:cstheme="majorHAnsi"/>
        </w:rPr>
        <w:t>time period</w:t>
      </w:r>
      <w:proofErr w:type="gramEnd"/>
      <w:r w:rsidR="00052C9F" w:rsidRPr="003A4FF9">
        <w:rPr>
          <w:rFonts w:asciiTheme="majorHAnsi" w:hAnsiTheme="majorHAnsi" w:cstheme="majorHAnsi"/>
        </w:rPr>
        <w:t xml:space="preserve"> specified in the contract, namely 90 days from date of repudiation of the claim. The court specifically accepted that the </w:t>
      </w:r>
      <w:r w:rsidR="00052C9F" w:rsidRPr="003A4FF9">
        <w:rPr>
          <w:rFonts w:asciiTheme="majorHAnsi" w:hAnsiTheme="majorHAnsi" w:cstheme="majorHAnsi"/>
          <w:shd w:val="clear" w:color="auto" w:fill="FFFFFF"/>
        </w:rPr>
        <w:t>doctrine of </w:t>
      </w:r>
      <w:r w:rsidR="00052C9F" w:rsidRPr="003A4FF9">
        <w:rPr>
          <w:rFonts w:asciiTheme="majorHAnsi" w:hAnsiTheme="majorHAnsi" w:cstheme="majorHAnsi"/>
          <w:i/>
          <w:iCs/>
          <w:shd w:val="clear" w:color="auto" w:fill="FFFFFF"/>
        </w:rPr>
        <w:t xml:space="preserve">pacta sunt </w:t>
      </w:r>
      <w:proofErr w:type="spellStart"/>
      <w:r w:rsidR="00052C9F" w:rsidRPr="003A4FF9">
        <w:rPr>
          <w:rFonts w:asciiTheme="majorHAnsi" w:hAnsiTheme="majorHAnsi" w:cstheme="majorHAnsi"/>
          <w:i/>
          <w:iCs/>
          <w:shd w:val="clear" w:color="auto" w:fill="FFFFFF"/>
        </w:rPr>
        <w:t>servanda</w:t>
      </w:r>
      <w:proofErr w:type="spellEnd"/>
      <w:r w:rsidR="00052C9F" w:rsidRPr="003A4FF9">
        <w:rPr>
          <w:rFonts w:asciiTheme="majorHAnsi" w:hAnsiTheme="majorHAnsi" w:cstheme="majorHAnsi"/>
        </w:rPr>
        <w:t xml:space="preserve"> is still part of our law, although it stated that courts are allowed to decline to enforce contractual terms that </w:t>
      </w:r>
      <w:proofErr w:type="gramStart"/>
      <w:r w:rsidR="00052C9F" w:rsidRPr="003A4FF9">
        <w:rPr>
          <w:rFonts w:asciiTheme="majorHAnsi" w:hAnsiTheme="majorHAnsi" w:cstheme="majorHAnsi"/>
        </w:rPr>
        <w:t>are in conflict with</w:t>
      </w:r>
      <w:proofErr w:type="gramEnd"/>
      <w:r w:rsidR="00052C9F" w:rsidRPr="003A4FF9">
        <w:rPr>
          <w:rFonts w:asciiTheme="majorHAnsi" w:hAnsiTheme="majorHAnsi" w:cstheme="majorHAnsi"/>
        </w:rPr>
        <w:t xml:space="preserve"> constitutional values even if parties may have consented thereto. In that case the Constitutional Court held that the enforcement of the clause would not be contrary to public policy and thus also not unjust to the insured.</w:t>
      </w:r>
      <w:r w:rsidR="00052C9F" w:rsidRPr="005C161E">
        <w:rPr>
          <w:rStyle w:val="FootnoteReference"/>
          <w:rFonts w:asciiTheme="majorHAnsi" w:hAnsiTheme="majorHAnsi" w:cstheme="majorHAnsi"/>
        </w:rPr>
        <w:footnoteReference w:id="20"/>
      </w:r>
      <w:r w:rsidR="00052C9F" w:rsidRPr="003A4FF9">
        <w:rPr>
          <w:rFonts w:asciiTheme="majorHAnsi" w:hAnsiTheme="majorHAnsi" w:cstheme="majorHAnsi"/>
        </w:rPr>
        <w:t xml:space="preserve"> Clearly, as the Constitutional Court found, the insured</w:t>
      </w:r>
      <w:r w:rsidR="005F10D7" w:rsidRPr="003A4FF9">
        <w:rPr>
          <w:rFonts w:asciiTheme="majorHAnsi" w:hAnsiTheme="majorHAnsi" w:cstheme="majorHAnsi"/>
        </w:rPr>
        <w:t>’s</w:t>
      </w:r>
      <w:r w:rsidR="00052C9F" w:rsidRPr="003A4FF9">
        <w:rPr>
          <w:rFonts w:asciiTheme="majorHAnsi" w:hAnsiTheme="majorHAnsi" w:cstheme="majorHAnsi"/>
        </w:rPr>
        <w:t xml:space="preserve"> right of access to court provided for in s 34 of the Constitution was not ignored.</w:t>
      </w:r>
    </w:p>
    <w:p w14:paraId="6AB2B1F4" w14:textId="77777777" w:rsidR="00052C9F" w:rsidRPr="005C161E" w:rsidRDefault="00052C9F" w:rsidP="005C161E">
      <w:pPr>
        <w:pStyle w:val="ListParagraph"/>
        <w:spacing w:line="360" w:lineRule="auto"/>
        <w:ind w:left="1637"/>
        <w:jc w:val="both"/>
        <w:rPr>
          <w:rFonts w:asciiTheme="majorHAnsi" w:hAnsiTheme="majorHAnsi" w:cstheme="majorHAnsi"/>
        </w:rPr>
      </w:pPr>
    </w:p>
    <w:p w14:paraId="6461BE85" w14:textId="329650AF" w:rsidR="00AC4B4B" w:rsidRPr="003A4FF9" w:rsidRDefault="003A4FF9" w:rsidP="003A4FF9">
      <w:pPr>
        <w:spacing w:line="360" w:lineRule="auto"/>
        <w:jc w:val="both"/>
        <w:rPr>
          <w:rFonts w:asciiTheme="majorHAnsi" w:hAnsiTheme="majorHAnsi" w:cstheme="majorHAnsi"/>
        </w:rPr>
      </w:pPr>
      <w:r>
        <w:rPr>
          <w:rFonts w:asciiTheme="majorHAnsi" w:hAnsiTheme="majorHAnsi" w:cstheme="majorHAnsi"/>
        </w:rPr>
        <w:t>[31]</w:t>
      </w:r>
      <w:r>
        <w:rPr>
          <w:rFonts w:asciiTheme="majorHAnsi" w:hAnsiTheme="majorHAnsi" w:cstheme="majorHAnsi"/>
        </w:rPr>
        <w:tab/>
      </w:r>
      <w:r w:rsidR="00476B94" w:rsidRPr="003A4FF9">
        <w:rPr>
          <w:rFonts w:asciiTheme="majorHAnsi" w:hAnsiTheme="majorHAnsi" w:cstheme="majorHAnsi"/>
        </w:rPr>
        <w:t xml:space="preserve">In </w:t>
      </w:r>
      <w:proofErr w:type="spellStart"/>
      <w:r w:rsidR="00476B94" w:rsidRPr="003A4FF9">
        <w:rPr>
          <w:rFonts w:asciiTheme="majorHAnsi" w:hAnsiTheme="majorHAnsi" w:cstheme="majorHAnsi"/>
          <w:i/>
        </w:rPr>
        <w:t>Reineke</w:t>
      </w:r>
      <w:proofErr w:type="spellEnd"/>
      <w:r w:rsidR="00476B94" w:rsidRPr="003A4FF9">
        <w:rPr>
          <w:rFonts w:asciiTheme="majorHAnsi" w:hAnsiTheme="majorHAnsi" w:cstheme="majorHAnsi"/>
          <w:i/>
        </w:rPr>
        <w:t xml:space="preserve"> v </w:t>
      </w:r>
      <w:proofErr w:type="spellStart"/>
      <w:r w:rsidR="00476B94" w:rsidRPr="003A4FF9">
        <w:rPr>
          <w:rFonts w:asciiTheme="majorHAnsi" w:hAnsiTheme="majorHAnsi" w:cstheme="majorHAnsi"/>
          <w:i/>
        </w:rPr>
        <w:t>Intercape</w:t>
      </w:r>
      <w:proofErr w:type="spellEnd"/>
      <w:r w:rsidR="00476B94" w:rsidRPr="003A4FF9">
        <w:rPr>
          <w:rFonts w:asciiTheme="majorHAnsi" w:hAnsiTheme="majorHAnsi" w:cstheme="majorHAnsi"/>
          <w:i/>
        </w:rPr>
        <w:t xml:space="preserve"> Ferreira Mainliner (Pty) Ltd</w:t>
      </w:r>
      <w:r w:rsidR="00476B94" w:rsidRPr="005C161E">
        <w:rPr>
          <w:rStyle w:val="FootnoteReference"/>
          <w:rFonts w:asciiTheme="majorHAnsi" w:hAnsiTheme="majorHAnsi" w:cstheme="majorHAnsi"/>
          <w:i/>
        </w:rPr>
        <w:footnoteReference w:id="21"/>
      </w:r>
      <w:r w:rsidR="005B5A90" w:rsidRPr="003A4FF9">
        <w:rPr>
          <w:rFonts w:asciiTheme="majorHAnsi" w:hAnsiTheme="majorHAnsi" w:cstheme="majorHAnsi"/>
          <w:i/>
        </w:rPr>
        <w:t xml:space="preserve"> </w:t>
      </w:r>
      <w:r w:rsidR="005B5A90" w:rsidRPr="003A4FF9">
        <w:rPr>
          <w:rFonts w:asciiTheme="majorHAnsi" w:hAnsiTheme="majorHAnsi" w:cstheme="majorHAnsi"/>
        </w:rPr>
        <w:t>t</w:t>
      </w:r>
      <w:r w:rsidR="005E70B6" w:rsidRPr="003A4FF9">
        <w:rPr>
          <w:rFonts w:asciiTheme="majorHAnsi" w:hAnsiTheme="majorHAnsi" w:cstheme="majorHAnsi"/>
        </w:rPr>
        <w:t xml:space="preserve">he full bench dealt with </w:t>
      </w:r>
      <w:r w:rsidR="00E80116" w:rsidRPr="003A4FF9">
        <w:rPr>
          <w:rFonts w:asciiTheme="majorHAnsi" w:hAnsiTheme="majorHAnsi" w:cstheme="majorHAnsi"/>
        </w:rPr>
        <w:t>a disclaimer</w:t>
      </w:r>
      <w:r w:rsidR="00F97BC4" w:rsidRPr="003A4FF9">
        <w:rPr>
          <w:rFonts w:asciiTheme="majorHAnsi" w:hAnsiTheme="majorHAnsi" w:cstheme="majorHAnsi"/>
        </w:rPr>
        <w:t xml:space="preserve"> </w:t>
      </w:r>
      <w:r w:rsidR="00C51D95" w:rsidRPr="003A4FF9">
        <w:rPr>
          <w:rFonts w:asciiTheme="majorHAnsi" w:hAnsiTheme="majorHAnsi" w:cstheme="majorHAnsi"/>
        </w:rPr>
        <w:t xml:space="preserve">in a so-called ticket case </w:t>
      </w:r>
      <w:r w:rsidR="00F97BC4" w:rsidRPr="003A4FF9">
        <w:rPr>
          <w:rFonts w:asciiTheme="majorHAnsi" w:hAnsiTheme="majorHAnsi" w:cstheme="majorHAnsi"/>
        </w:rPr>
        <w:t xml:space="preserve">and stated that </w:t>
      </w:r>
      <w:r w:rsidR="00374C4C" w:rsidRPr="003A4FF9">
        <w:rPr>
          <w:rFonts w:asciiTheme="majorHAnsi" w:hAnsiTheme="majorHAnsi" w:cstheme="majorHAnsi"/>
        </w:rPr>
        <w:t>‘</w:t>
      </w:r>
      <w:r w:rsidR="00374C4C" w:rsidRPr="003A4FF9">
        <w:rPr>
          <w:rFonts w:asciiTheme="majorHAnsi" w:hAnsiTheme="majorHAnsi" w:cstheme="majorHAnsi"/>
          <w:shd w:val="clear" w:color="auto" w:fill="FFFFFF"/>
        </w:rPr>
        <w:t>however widely phased a disclaimer may be, if its language upon a proper interpretation thereof expressly and unambiguously exempts the </w:t>
      </w:r>
      <w:proofErr w:type="spellStart"/>
      <w:r w:rsidR="00374C4C" w:rsidRPr="003A4FF9">
        <w:rPr>
          <w:rFonts w:asciiTheme="majorHAnsi" w:hAnsiTheme="majorHAnsi" w:cstheme="majorHAnsi"/>
          <w:i/>
          <w:iCs/>
          <w:shd w:val="clear" w:color="auto" w:fill="FFFFFF"/>
        </w:rPr>
        <w:t>proferens</w:t>
      </w:r>
      <w:proofErr w:type="spellEnd"/>
      <w:r w:rsidR="00374C4C" w:rsidRPr="003A4FF9">
        <w:rPr>
          <w:rFonts w:asciiTheme="majorHAnsi" w:hAnsiTheme="majorHAnsi" w:cstheme="majorHAnsi"/>
          <w:shd w:val="clear" w:color="auto" w:fill="FFFFFF"/>
        </w:rPr>
        <w:t> from liability, then effect must be given to it.</w:t>
      </w:r>
      <w:r w:rsidR="00982BB6" w:rsidRPr="003A4FF9">
        <w:rPr>
          <w:rFonts w:asciiTheme="majorHAnsi" w:hAnsiTheme="majorHAnsi" w:cstheme="majorHAnsi"/>
          <w:shd w:val="clear" w:color="auto" w:fill="FFFFFF"/>
        </w:rPr>
        <w:t>’</w:t>
      </w:r>
      <w:r w:rsidR="005F10D7" w:rsidRPr="003A4FF9">
        <w:rPr>
          <w:rFonts w:asciiTheme="majorHAnsi" w:hAnsiTheme="majorHAnsi" w:cstheme="majorHAnsi"/>
        </w:rPr>
        <w:t xml:space="preserve"> It also held</w:t>
      </w:r>
      <w:r w:rsidR="003B78E5" w:rsidRPr="003A4FF9">
        <w:rPr>
          <w:rFonts w:asciiTheme="majorHAnsi" w:hAnsiTheme="majorHAnsi" w:cstheme="majorHAnsi"/>
        </w:rPr>
        <w:t xml:space="preserve"> that the disclaimer </w:t>
      </w:r>
      <w:r w:rsidR="00695088" w:rsidRPr="003A4FF9">
        <w:rPr>
          <w:rFonts w:asciiTheme="majorHAnsi" w:hAnsiTheme="majorHAnsi" w:cstheme="majorHAnsi"/>
        </w:rPr>
        <w:t xml:space="preserve">had to be read in the context </w:t>
      </w:r>
      <w:r w:rsidR="007414F8" w:rsidRPr="003A4FF9">
        <w:rPr>
          <w:rFonts w:asciiTheme="majorHAnsi" w:hAnsiTheme="majorHAnsi" w:cstheme="majorHAnsi"/>
        </w:rPr>
        <w:t>o</w:t>
      </w:r>
      <w:r w:rsidR="006A6158" w:rsidRPr="003A4FF9">
        <w:rPr>
          <w:rFonts w:asciiTheme="majorHAnsi" w:hAnsiTheme="majorHAnsi" w:cstheme="majorHAnsi"/>
        </w:rPr>
        <w:t xml:space="preserve">f the </w:t>
      </w:r>
      <w:r w:rsidR="009E3CCE" w:rsidRPr="003A4FF9">
        <w:rPr>
          <w:rFonts w:asciiTheme="majorHAnsi" w:hAnsiTheme="majorHAnsi" w:cstheme="majorHAnsi"/>
        </w:rPr>
        <w:t>respondent</w:t>
      </w:r>
      <w:r w:rsidR="00D34CFE" w:rsidRPr="003A4FF9">
        <w:rPr>
          <w:rFonts w:asciiTheme="majorHAnsi" w:hAnsiTheme="majorHAnsi" w:cstheme="majorHAnsi"/>
        </w:rPr>
        <w:t>’</w:t>
      </w:r>
      <w:r w:rsidR="009E3CCE" w:rsidRPr="003A4FF9">
        <w:rPr>
          <w:rFonts w:asciiTheme="majorHAnsi" w:hAnsiTheme="majorHAnsi" w:cstheme="majorHAnsi"/>
        </w:rPr>
        <w:t>s</w:t>
      </w:r>
      <w:r w:rsidR="006A6158" w:rsidRPr="003A4FF9">
        <w:rPr>
          <w:rFonts w:asciiTheme="majorHAnsi" w:hAnsiTheme="majorHAnsi" w:cstheme="majorHAnsi"/>
        </w:rPr>
        <w:t xml:space="preserve"> core business, which was </w:t>
      </w:r>
      <w:r w:rsidR="009E3CCE" w:rsidRPr="003A4FF9">
        <w:rPr>
          <w:rFonts w:asciiTheme="majorHAnsi" w:hAnsiTheme="majorHAnsi" w:cstheme="majorHAnsi"/>
        </w:rPr>
        <w:t xml:space="preserve">the </w:t>
      </w:r>
      <w:r w:rsidR="001B3DA7" w:rsidRPr="003A4FF9">
        <w:rPr>
          <w:rFonts w:asciiTheme="majorHAnsi" w:hAnsiTheme="majorHAnsi" w:cstheme="majorHAnsi"/>
          <w:shd w:val="clear" w:color="auto" w:fill="FFFFFF"/>
        </w:rPr>
        <w:t>daily conveyance of passengers by bus on public roads</w:t>
      </w:r>
      <w:r w:rsidR="002369B0" w:rsidRPr="003A4FF9">
        <w:rPr>
          <w:rFonts w:asciiTheme="majorHAnsi" w:hAnsiTheme="majorHAnsi" w:cstheme="majorHAnsi"/>
          <w:shd w:val="clear" w:color="auto" w:fill="FFFFFF"/>
        </w:rPr>
        <w:t xml:space="preserve"> and concluded that the respondent’s defence in relying on the disclaimer was good in law</w:t>
      </w:r>
      <w:r w:rsidR="001E40E3" w:rsidRPr="003A4FF9">
        <w:rPr>
          <w:rFonts w:asciiTheme="majorHAnsi" w:hAnsiTheme="majorHAnsi" w:cstheme="majorHAnsi"/>
          <w:shd w:val="clear" w:color="auto" w:fill="FFFFFF"/>
        </w:rPr>
        <w:t xml:space="preserve">. In this case </w:t>
      </w:r>
      <w:r w:rsidR="006C4C25" w:rsidRPr="003A4FF9">
        <w:rPr>
          <w:rFonts w:asciiTheme="majorHAnsi" w:hAnsiTheme="majorHAnsi" w:cstheme="majorHAnsi"/>
          <w:shd w:val="clear" w:color="auto" w:fill="FFFFFF"/>
        </w:rPr>
        <w:t>the defendant</w:t>
      </w:r>
      <w:r w:rsidR="001E40E3" w:rsidRPr="003A4FF9">
        <w:rPr>
          <w:rFonts w:asciiTheme="majorHAnsi" w:hAnsiTheme="majorHAnsi" w:cstheme="majorHAnsi"/>
          <w:shd w:val="clear" w:color="auto" w:fill="FFFFFF"/>
        </w:rPr>
        <w:t>’</w:t>
      </w:r>
      <w:r w:rsidR="006C4C25" w:rsidRPr="003A4FF9">
        <w:rPr>
          <w:rFonts w:asciiTheme="majorHAnsi" w:hAnsiTheme="majorHAnsi" w:cstheme="majorHAnsi"/>
          <w:shd w:val="clear" w:color="auto" w:fill="FFFFFF"/>
        </w:rPr>
        <w:t xml:space="preserve">s core business is that of </w:t>
      </w:r>
      <w:r w:rsidR="00C51D95" w:rsidRPr="003A4FF9">
        <w:rPr>
          <w:rFonts w:asciiTheme="majorHAnsi" w:hAnsiTheme="majorHAnsi" w:cstheme="majorHAnsi"/>
          <w:shd w:val="clear" w:color="auto" w:fill="FFFFFF"/>
        </w:rPr>
        <w:t xml:space="preserve">managing </w:t>
      </w:r>
      <w:r w:rsidR="006C4C25" w:rsidRPr="003A4FF9">
        <w:rPr>
          <w:rFonts w:asciiTheme="majorHAnsi" w:hAnsiTheme="majorHAnsi" w:cstheme="majorHAnsi"/>
          <w:shd w:val="clear" w:color="auto" w:fill="FFFFFF"/>
        </w:rPr>
        <w:t xml:space="preserve">a resort, providing picnic </w:t>
      </w:r>
      <w:r w:rsidR="00D34CFE" w:rsidRPr="003A4FF9">
        <w:rPr>
          <w:rFonts w:asciiTheme="majorHAnsi" w:hAnsiTheme="majorHAnsi" w:cstheme="majorHAnsi"/>
          <w:shd w:val="clear" w:color="auto" w:fill="FFFFFF"/>
        </w:rPr>
        <w:t xml:space="preserve">facilities on its lawns on the banks of the Vaal River as well as other </w:t>
      </w:r>
      <w:r w:rsidR="00F455C8" w:rsidRPr="003A4FF9">
        <w:rPr>
          <w:rFonts w:asciiTheme="majorHAnsi" w:hAnsiTheme="majorHAnsi" w:cstheme="majorHAnsi"/>
          <w:shd w:val="clear" w:color="auto" w:fill="FFFFFF"/>
        </w:rPr>
        <w:t>ame</w:t>
      </w:r>
      <w:r w:rsidR="000B08D2" w:rsidRPr="003A4FF9">
        <w:rPr>
          <w:rFonts w:asciiTheme="majorHAnsi" w:hAnsiTheme="majorHAnsi" w:cstheme="majorHAnsi"/>
          <w:shd w:val="clear" w:color="auto" w:fill="FFFFFF"/>
        </w:rPr>
        <w:t xml:space="preserve">nities such </w:t>
      </w:r>
      <w:r w:rsidR="000B08D2" w:rsidRPr="003A4FF9">
        <w:rPr>
          <w:rFonts w:asciiTheme="majorHAnsi" w:hAnsiTheme="majorHAnsi" w:cstheme="majorHAnsi"/>
          <w:shd w:val="clear" w:color="auto" w:fill="FFFFFF"/>
        </w:rPr>
        <w:lastRenderedPageBreak/>
        <w:t>as swimming</w:t>
      </w:r>
      <w:r w:rsidR="00CE5562" w:rsidRPr="003A4FF9">
        <w:rPr>
          <w:rFonts w:asciiTheme="majorHAnsi" w:hAnsiTheme="majorHAnsi" w:cstheme="majorHAnsi"/>
          <w:shd w:val="clear" w:color="auto" w:fill="FFFFFF"/>
        </w:rPr>
        <w:t xml:space="preserve"> </w:t>
      </w:r>
      <w:r w:rsidR="000B08D2" w:rsidRPr="003A4FF9">
        <w:rPr>
          <w:rFonts w:asciiTheme="majorHAnsi" w:hAnsiTheme="majorHAnsi" w:cstheme="majorHAnsi"/>
          <w:shd w:val="clear" w:color="auto" w:fill="FFFFFF"/>
        </w:rPr>
        <w:t>pools</w:t>
      </w:r>
      <w:r w:rsidR="005F10D7" w:rsidRPr="003A4FF9">
        <w:rPr>
          <w:rFonts w:asciiTheme="majorHAnsi" w:hAnsiTheme="majorHAnsi" w:cstheme="majorHAnsi"/>
          <w:shd w:val="clear" w:color="auto" w:fill="FFFFFF"/>
        </w:rPr>
        <w:t xml:space="preserve">, a playground for children, </w:t>
      </w:r>
      <w:proofErr w:type="gramStart"/>
      <w:r w:rsidR="005F10D7" w:rsidRPr="003A4FF9">
        <w:rPr>
          <w:rFonts w:asciiTheme="majorHAnsi" w:hAnsiTheme="majorHAnsi" w:cstheme="majorHAnsi"/>
          <w:shd w:val="clear" w:color="auto" w:fill="FFFFFF"/>
        </w:rPr>
        <w:t>trampolines</w:t>
      </w:r>
      <w:proofErr w:type="gramEnd"/>
      <w:r w:rsidR="005F10D7" w:rsidRPr="003A4FF9">
        <w:rPr>
          <w:rFonts w:asciiTheme="majorHAnsi" w:hAnsiTheme="majorHAnsi" w:cstheme="majorHAnsi"/>
          <w:shd w:val="clear" w:color="auto" w:fill="FFFFFF"/>
        </w:rPr>
        <w:t xml:space="preserve"> and fishing</w:t>
      </w:r>
      <w:r w:rsidR="000B08D2" w:rsidRPr="003A4FF9">
        <w:rPr>
          <w:rFonts w:asciiTheme="majorHAnsi" w:hAnsiTheme="majorHAnsi" w:cstheme="majorHAnsi"/>
          <w:shd w:val="clear" w:color="auto" w:fill="FFFFFF"/>
        </w:rPr>
        <w:t>.</w:t>
      </w:r>
      <w:r w:rsidR="00C65EC7" w:rsidRPr="005C161E">
        <w:rPr>
          <w:rStyle w:val="FootnoteReference"/>
          <w:rFonts w:asciiTheme="majorHAnsi" w:hAnsiTheme="majorHAnsi" w:cstheme="majorHAnsi"/>
          <w:shd w:val="clear" w:color="auto" w:fill="FFFFFF"/>
        </w:rPr>
        <w:footnoteReference w:id="22"/>
      </w:r>
      <w:r w:rsidR="000E5412" w:rsidRPr="003A4FF9">
        <w:rPr>
          <w:rFonts w:asciiTheme="majorHAnsi" w:hAnsiTheme="majorHAnsi" w:cstheme="majorHAnsi"/>
          <w:shd w:val="clear" w:color="auto" w:fill="FFFFFF"/>
        </w:rPr>
        <w:t xml:space="preserve"> </w:t>
      </w:r>
      <w:r w:rsidR="00061E53" w:rsidRPr="003A4FF9">
        <w:rPr>
          <w:rFonts w:asciiTheme="majorHAnsi" w:hAnsiTheme="majorHAnsi" w:cstheme="majorHAnsi"/>
          <w:shd w:val="clear" w:color="auto" w:fill="FFFFFF"/>
        </w:rPr>
        <w:t>I shall deal with the apparent ratio for the disclaimer in this case hereunder.</w:t>
      </w:r>
      <w:r w:rsidR="00061E53" w:rsidRPr="003A4FF9">
        <w:rPr>
          <w:rFonts w:asciiTheme="majorHAnsi" w:hAnsiTheme="majorHAnsi" w:cstheme="majorHAnsi"/>
        </w:rPr>
        <w:t xml:space="preserve"> </w:t>
      </w:r>
    </w:p>
    <w:p w14:paraId="14D6EF34" w14:textId="77777777" w:rsidR="005C161E" w:rsidRPr="005C161E" w:rsidRDefault="005C161E" w:rsidP="005C161E">
      <w:pPr>
        <w:pStyle w:val="ListParagraph"/>
        <w:spacing w:line="360" w:lineRule="auto"/>
        <w:jc w:val="both"/>
        <w:rPr>
          <w:rFonts w:asciiTheme="majorHAnsi" w:hAnsiTheme="majorHAnsi" w:cstheme="majorHAnsi"/>
        </w:rPr>
      </w:pPr>
    </w:p>
    <w:p w14:paraId="14A34D2C" w14:textId="0C8613F4" w:rsidR="0084603F"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[32]</w:t>
      </w:r>
      <w:r w:rsidRPr="005C161E">
        <w:rPr>
          <w:rFonts w:asciiTheme="majorHAnsi" w:hAnsiTheme="majorHAnsi" w:cstheme="majorHAnsi"/>
        </w:rPr>
        <w:tab/>
      </w:r>
      <w:r w:rsidR="0084603F" w:rsidRPr="003A4FF9">
        <w:rPr>
          <w:rFonts w:asciiTheme="majorHAnsi" w:hAnsiTheme="majorHAnsi" w:cstheme="majorHAnsi"/>
        </w:rPr>
        <w:t xml:space="preserve">Although the plaintiff failed to rely on </w:t>
      </w:r>
      <w:r w:rsidR="007D2512" w:rsidRPr="003A4FF9">
        <w:rPr>
          <w:rFonts w:asciiTheme="majorHAnsi" w:hAnsiTheme="majorHAnsi" w:cstheme="majorHAnsi"/>
        </w:rPr>
        <w:t xml:space="preserve">the principles enunciated in </w:t>
      </w:r>
      <w:r w:rsidR="000E6676" w:rsidRPr="003A4FF9">
        <w:rPr>
          <w:rFonts w:asciiTheme="majorHAnsi" w:hAnsiTheme="majorHAnsi" w:cstheme="majorHAnsi"/>
        </w:rPr>
        <w:t>the CPA</w:t>
      </w:r>
      <w:r w:rsidR="005F10D7" w:rsidRPr="003A4FF9">
        <w:rPr>
          <w:rFonts w:asciiTheme="majorHAnsi" w:hAnsiTheme="majorHAnsi" w:cstheme="majorHAnsi"/>
        </w:rPr>
        <w:t xml:space="preserve"> in her pleadings</w:t>
      </w:r>
      <w:r w:rsidR="000E6676" w:rsidRPr="003A4FF9">
        <w:rPr>
          <w:rFonts w:asciiTheme="majorHAnsi" w:hAnsiTheme="majorHAnsi" w:cstheme="majorHAnsi"/>
        </w:rPr>
        <w:t xml:space="preserve">, </w:t>
      </w:r>
      <w:r w:rsidR="00E96D93" w:rsidRPr="003A4FF9">
        <w:rPr>
          <w:rFonts w:asciiTheme="majorHAnsi" w:hAnsiTheme="majorHAnsi" w:cstheme="majorHAnsi"/>
        </w:rPr>
        <w:t>a</w:t>
      </w:r>
      <w:r w:rsidR="008E461F" w:rsidRPr="003A4FF9">
        <w:rPr>
          <w:rFonts w:asciiTheme="majorHAnsi" w:hAnsiTheme="majorHAnsi" w:cstheme="majorHAnsi"/>
        </w:rPr>
        <w:t xml:space="preserve">nd </w:t>
      </w:r>
      <w:r w:rsidR="005F10D7" w:rsidRPr="003A4FF9">
        <w:rPr>
          <w:rFonts w:asciiTheme="majorHAnsi" w:hAnsiTheme="majorHAnsi" w:cstheme="majorHAnsi"/>
        </w:rPr>
        <w:t xml:space="preserve">although a case might have </w:t>
      </w:r>
      <w:r w:rsidR="005B6251" w:rsidRPr="003A4FF9">
        <w:rPr>
          <w:rFonts w:asciiTheme="majorHAnsi" w:hAnsiTheme="majorHAnsi" w:cstheme="majorHAnsi"/>
        </w:rPr>
        <w:t xml:space="preserve">been </w:t>
      </w:r>
      <w:r w:rsidR="005F10D7" w:rsidRPr="003A4FF9">
        <w:rPr>
          <w:rFonts w:asciiTheme="majorHAnsi" w:hAnsiTheme="majorHAnsi" w:cstheme="majorHAnsi"/>
        </w:rPr>
        <w:t xml:space="preserve">made out that she </w:t>
      </w:r>
      <w:r w:rsidR="00E96D93" w:rsidRPr="003A4FF9">
        <w:rPr>
          <w:rFonts w:asciiTheme="majorHAnsi" w:hAnsiTheme="majorHAnsi" w:cstheme="majorHAnsi"/>
        </w:rPr>
        <w:t xml:space="preserve">should not be heard </w:t>
      </w:r>
      <w:r w:rsidR="006626DD" w:rsidRPr="003A4FF9">
        <w:rPr>
          <w:rFonts w:asciiTheme="majorHAnsi" w:hAnsiTheme="majorHAnsi" w:cstheme="majorHAnsi"/>
        </w:rPr>
        <w:t xml:space="preserve">now </w:t>
      </w:r>
      <w:r w:rsidR="005F10D7" w:rsidRPr="003A4FF9">
        <w:rPr>
          <w:rFonts w:asciiTheme="majorHAnsi" w:hAnsiTheme="majorHAnsi" w:cstheme="majorHAnsi"/>
        </w:rPr>
        <w:t>to rely thereon as</w:t>
      </w:r>
      <w:r w:rsidR="0050107F" w:rsidRPr="003A4FF9">
        <w:rPr>
          <w:rFonts w:asciiTheme="majorHAnsi" w:hAnsiTheme="majorHAnsi" w:cstheme="majorHAnsi"/>
        </w:rPr>
        <w:t xml:space="preserve"> the defendant </w:t>
      </w:r>
      <w:r w:rsidR="005F10D7" w:rsidRPr="003A4FF9">
        <w:rPr>
          <w:rFonts w:asciiTheme="majorHAnsi" w:hAnsiTheme="majorHAnsi" w:cstheme="majorHAnsi"/>
        </w:rPr>
        <w:t xml:space="preserve">was not given </w:t>
      </w:r>
      <w:r w:rsidR="00AE2747" w:rsidRPr="003A4FF9">
        <w:rPr>
          <w:rFonts w:asciiTheme="majorHAnsi" w:hAnsiTheme="majorHAnsi" w:cstheme="majorHAnsi"/>
        </w:rPr>
        <w:t xml:space="preserve">an opportunity to consider the matter before the closure of </w:t>
      </w:r>
      <w:r w:rsidR="005F10D7" w:rsidRPr="003A4FF9">
        <w:rPr>
          <w:rFonts w:asciiTheme="majorHAnsi" w:hAnsiTheme="majorHAnsi" w:cstheme="majorHAnsi"/>
        </w:rPr>
        <w:t>it</w:t>
      </w:r>
      <w:r w:rsidR="00E610D2" w:rsidRPr="003A4FF9">
        <w:rPr>
          <w:rFonts w:asciiTheme="majorHAnsi" w:hAnsiTheme="majorHAnsi" w:cstheme="majorHAnsi"/>
        </w:rPr>
        <w:t>s case</w:t>
      </w:r>
      <w:r w:rsidR="005849AF" w:rsidRPr="003A4FF9">
        <w:rPr>
          <w:rFonts w:asciiTheme="majorHAnsi" w:hAnsiTheme="majorHAnsi" w:cstheme="majorHAnsi"/>
        </w:rPr>
        <w:t xml:space="preserve">, </w:t>
      </w:r>
      <w:r w:rsidR="005F10D7" w:rsidRPr="003A4FF9">
        <w:rPr>
          <w:rFonts w:asciiTheme="majorHAnsi" w:hAnsiTheme="majorHAnsi" w:cstheme="majorHAnsi"/>
        </w:rPr>
        <w:t xml:space="preserve">Mr </w:t>
      </w:r>
      <w:proofErr w:type="spellStart"/>
      <w:r w:rsidR="005F10D7" w:rsidRPr="003A4FF9">
        <w:rPr>
          <w:rFonts w:asciiTheme="majorHAnsi" w:hAnsiTheme="majorHAnsi" w:cstheme="majorHAnsi"/>
        </w:rPr>
        <w:t>Zietsman</w:t>
      </w:r>
      <w:proofErr w:type="spellEnd"/>
      <w:r w:rsidR="005F10D7" w:rsidRPr="003A4FF9">
        <w:rPr>
          <w:rFonts w:asciiTheme="majorHAnsi" w:hAnsiTheme="majorHAnsi" w:cstheme="majorHAnsi"/>
        </w:rPr>
        <w:t xml:space="preserve"> did not submit that I should disregard any submissions raised in terms of the CPA. Consequently, </w:t>
      </w:r>
      <w:r w:rsidR="005849AF" w:rsidRPr="003A4FF9">
        <w:rPr>
          <w:rFonts w:asciiTheme="majorHAnsi" w:hAnsiTheme="majorHAnsi" w:cstheme="majorHAnsi"/>
        </w:rPr>
        <w:t xml:space="preserve">I am prepared to briefly deal with </w:t>
      </w:r>
      <w:r w:rsidR="005F10D7" w:rsidRPr="003A4FF9">
        <w:rPr>
          <w:rFonts w:asciiTheme="majorHAnsi" w:hAnsiTheme="majorHAnsi" w:cstheme="majorHAnsi"/>
        </w:rPr>
        <w:t>the CPA</w:t>
      </w:r>
      <w:r w:rsidR="006B2566" w:rsidRPr="003A4FF9">
        <w:rPr>
          <w:rFonts w:asciiTheme="majorHAnsi" w:hAnsiTheme="majorHAnsi" w:cstheme="majorHAnsi"/>
        </w:rPr>
        <w:t>. Section 49</w:t>
      </w:r>
      <w:r w:rsidR="0049564A" w:rsidRPr="003A4FF9">
        <w:rPr>
          <w:rFonts w:asciiTheme="majorHAnsi" w:hAnsiTheme="majorHAnsi" w:cstheme="majorHAnsi"/>
        </w:rPr>
        <w:t>(1)</w:t>
      </w:r>
      <w:r w:rsidR="006B2566" w:rsidRPr="003A4FF9">
        <w:rPr>
          <w:rFonts w:asciiTheme="majorHAnsi" w:hAnsiTheme="majorHAnsi" w:cstheme="majorHAnsi"/>
        </w:rPr>
        <w:t xml:space="preserve"> </w:t>
      </w:r>
      <w:r w:rsidR="005F10D7" w:rsidRPr="003A4FF9">
        <w:rPr>
          <w:rFonts w:asciiTheme="majorHAnsi" w:hAnsiTheme="majorHAnsi" w:cstheme="majorHAnsi"/>
        </w:rPr>
        <w:t>thereof</w:t>
      </w:r>
      <w:r w:rsidR="006B2566" w:rsidRPr="003A4FF9">
        <w:rPr>
          <w:rFonts w:asciiTheme="majorHAnsi" w:hAnsiTheme="majorHAnsi" w:cstheme="majorHAnsi"/>
        </w:rPr>
        <w:t xml:space="preserve"> </w:t>
      </w:r>
      <w:r w:rsidR="0049564A" w:rsidRPr="003A4FF9">
        <w:rPr>
          <w:rFonts w:asciiTheme="majorHAnsi" w:hAnsiTheme="majorHAnsi" w:cstheme="majorHAnsi"/>
        </w:rPr>
        <w:t xml:space="preserve">states </w:t>
      </w:r>
      <w:r w:rsidR="00967763" w:rsidRPr="003A4FF9">
        <w:rPr>
          <w:rFonts w:asciiTheme="majorHAnsi" w:hAnsiTheme="majorHAnsi" w:cstheme="majorHAnsi"/>
        </w:rPr>
        <w:t xml:space="preserve">inter alia </w:t>
      </w:r>
      <w:r w:rsidR="0049564A" w:rsidRPr="003A4FF9">
        <w:rPr>
          <w:rFonts w:asciiTheme="majorHAnsi" w:hAnsiTheme="majorHAnsi" w:cstheme="majorHAnsi"/>
        </w:rPr>
        <w:t xml:space="preserve">that any notice to </w:t>
      </w:r>
      <w:r w:rsidR="00AC4A32" w:rsidRPr="003A4FF9">
        <w:rPr>
          <w:rFonts w:asciiTheme="majorHAnsi" w:hAnsiTheme="majorHAnsi" w:cstheme="majorHAnsi"/>
        </w:rPr>
        <w:t xml:space="preserve">consumers </w:t>
      </w:r>
      <w:r w:rsidR="00D85890" w:rsidRPr="003A4FF9">
        <w:rPr>
          <w:rFonts w:asciiTheme="majorHAnsi" w:hAnsiTheme="majorHAnsi" w:cstheme="majorHAnsi"/>
        </w:rPr>
        <w:t xml:space="preserve">that </w:t>
      </w:r>
      <w:r w:rsidR="0013303D" w:rsidRPr="003A4FF9">
        <w:rPr>
          <w:rFonts w:asciiTheme="majorHAnsi" w:hAnsiTheme="majorHAnsi" w:cstheme="majorHAnsi"/>
        </w:rPr>
        <w:t>purports to</w:t>
      </w:r>
      <w:r w:rsidR="00CD0B48" w:rsidRPr="003A4FF9">
        <w:rPr>
          <w:rFonts w:asciiTheme="majorHAnsi" w:hAnsiTheme="majorHAnsi" w:cstheme="majorHAnsi"/>
        </w:rPr>
        <w:t xml:space="preserve"> limit </w:t>
      </w:r>
      <w:r w:rsidR="0050778A" w:rsidRPr="003A4FF9">
        <w:rPr>
          <w:rFonts w:asciiTheme="majorHAnsi" w:hAnsiTheme="majorHAnsi" w:cstheme="majorHAnsi"/>
        </w:rPr>
        <w:t xml:space="preserve">in </w:t>
      </w:r>
      <w:r w:rsidR="00CD0B48" w:rsidRPr="003A4FF9">
        <w:rPr>
          <w:rFonts w:asciiTheme="majorHAnsi" w:hAnsiTheme="majorHAnsi" w:cstheme="majorHAnsi"/>
        </w:rPr>
        <w:t>any</w:t>
      </w:r>
      <w:r w:rsidR="005F10D7" w:rsidRPr="003A4FF9">
        <w:rPr>
          <w:rFonts w:asciiTheme="majorHAnsi" w:hAnsiTheme="majorHAnsi" w:cstheme="majorHAnsi"/>
        </w:rPr>
        <w:t xml:space="preserve"> </w:t>
      </w:r>
      <w:r w:rsidR="00CD0B48" w:rsidRPr="003A4FF9">
        <w:rPr>
          <w:rFonts w:asciiTheme="majorHAnsi" w:hAnsiTheme="majorHAnsi" w:cstheme="majorHAnsi"/>
        </w:rPr>
        <w:t xml:space="preserve">way the risk </w:t>
      </w:r>
      <w:r w:rsidR="00A51A6E" w:rsidRPr="003A4FF9">
        <w:rPr>
          <w:rFonts w:asciiTheme="majorHAnsi" w:hAnsiTheme="majorHAnsi" w:cstheme="majorHAnsi"/>
        </w:rPr>
        <w:t xml:space="preserve">or liability </w:t>
      </w:r>
      <w:r w:rsidR="004D2398" w:rsidRPr="003A4FF9">
        <w:rPr>
          <w:rFonts w:asciiTheme="majorHAnsi" w:hAnsiTheme="majorHAnsi" w:cstheme="majorHAnsi"/>
        </w:rPr>
        <w:t xml:space="preserve">of the supplier or any other </w:t>
      </w:r>
      <w:proofErr w:type="gramStart"/>
      <w:r w:rsidR="00EA7E0B" w:rsidRPr="003A4FF9">
        <w:rPr>
          <w:rFonts w:asciiTheme="majorHAnsi" w:hAnsiTheme="majorHAnsi" w:cstheme="majorHAnsi"/>
        </w:rPr>
        <w:t>person</w:t>
      </w:r>
      <w:r w:rsidR="00967763" w:rsidRPr="003A4FF9">
        <w:rPr>
          <w:rFonts w:asciiTheme="majorHAnsi" w:hAnsiTheme="majorHAnsi" w:cstheme="majorHAnsi"/>
        </w:rPr>
        <w:t>, or</w:t>
      </w:r>
      <w:proofErr w:type="gramEnd"/>
      <w:r w:rsidR="00967763" w:rsidRPr="003A4FF9">
        <w:rPr>
          <w:rFonts w:asciiTheme="majorHAnsi" w:hAnsiTheme="majorHAnsi" w:cstheme="majorHAnsi"/>
        </w:rPr>
        <w:t xml:space="preserve"> impose an</w:t>
      </w:r>
      <w:r w:rsidR="00EA7E0B" w:rsidRPr="003A4FF9">
        <w:rPr>
          <w:rFonts w:asciiTheme="majorHAnsi" w:hAnsiTheme="majorHAnsi" w:cstheme="majorHAnsi"/>
        </w:rPr>
        <w:t xml:space="preserve"> </w:t>
      </w:r>
      <w:r w:rsidR="00967763" w:rsidRPr="003A4FF9">
        <w:rPr>
          <w:rFonts w:asciiTheme="majorHAnsi" w:hAnsiTheme="majorHAnsi" w:cstheme="majorHAnsi"/>
        </w:rPr>
        <w:t>obligation on the consumer to indemnify the supplier or any other person, must be drawn</w:t>
      </w:r>
      <w:r w:rsidR="007E7A7A" w:rsidRPr="003A4FF9">
        <w:rPr>
          <w:rFonts w:asciiTheme="majorHAnsi" w:hAnsiTheme="majorHAnsi" w:cstheme="majorHAnsi"/>
        </w:rPr>
        <w:t xml:space="preserve"> to the attention </w:t>
      </w:r>
      <w:r w:rsidR="00B90E00" w:rsidRPr="003A4FF9">
        <w:rPr>
          <w:rFonts w:asciiTheme="majorHAnsi" w:hAnsiTheme="majorHAnsi" w:cstheme="majorHAnsi"/>
        </w:rPr>
        <w:t xml:space="preserve">of the consumer </w:t>
      </w:r>
      <w:r w:rsidR="00E152F3" w:rsidRPr="003A4FF9">
        <w:rPr>
          <w:rFonts w:asciiTheme="majorHAnsi" w:hAnsiTheme="majorHAnsi" w:cstheme="majorHAnsi"/>
        </w:rPr>
        <w:t xml:space="preserve">in a manner and form </w:t>
      </w:r>
      <w:r w:rsidR="002B5A77" w:rsidRPr="003A4FF9">
        <w:rPr>
          <w:rFonts w:asciiTheme="majorHAnsi" w:hAnsiTheme="majorHAnsi" w:cstheme="majorHAnsi"/>
        </w:rPr>
        <w:t xml:space="preserve">that satisfies the formal requirements </w:t>
      </w:r>
      <w:r w:rsidR="005B6251" w:rsidRPr="003A4FF9">
        <w:rPr>
          <w:rFonts w:asciiTheme="majorHAnsi" w:hAnsiTheme="majorHAnsi" w:cstheme="majorHAnsi"/>
        </w:rPr>
        <w:t xml:space="preserve">of </w:t>
      </w:r>
      <w:proofErr w:type="spellStart"/>
      <w:r w:rsidR="005B6251" w:rsidRPr="003A4FF9">
        <w:rPr>
          <w:rFonts w:asciiTheme="majorHAnsi" w:hAnsiTheme="majorHAnsi" w:cstheme="majorHAnsi"/>
        </w:rPr>
        <w:t>subsecs</w:t>
      </w:r>
      <w:proofErr w:type="spellEnd"/>
      <w:r w:rsidR="005B6251" w:rsidRPr="003A4FF9">
        <w:rPr>
          <w:rFonts w:asciiTheme="majorHAnsi" w:hAnsiTheme="majorHAnsi" w:cstheme="majorHAnsi"/>
        </w:rPr>
        <w:t xml:space="preserve"> 3 to</w:t>
      </w:r>
      <w:r w:rsidR="004E6FF7" w:rsidRPr="003A4FF9">
        <w:rPr>
          <w:rFonts w:asciiTheme="majorHAnsi" w:hAnsiTheme="majorHAnsi" w:cstheme="majorHAnsi"/>
        </w:rPr>
        <w:t xml:space="preserve"> 5</w:t>
      </w:r>
      <w:r w:rsidR="00424E78" w:rsidRPr="003A4FF9">
        <w:rPr>
          <w:rFonts w:asciiTheme="majorHAnsi" w:hAnsiTheme="majorHAnsi" w:cstheme="majorHAnsi"/>
        </w:rPr>
        <w:t xml:space="preserve">. Sub-section 3 refers to the fact that </w:t>
      </w:r>
      <w:r w:rsidR="00816AFA" w:rsidRPr="003A4FF9">
        <w:rPr>
          <w:rFonts w:asciiTheme="majorHAnsi" w:hAnsiTheme="majorHAnsi" w:cstheme="majorHAnsi"/>
        </w:rPr>
        <w:t xml:space="preserve">the notice should be written in </w:t>
      </w:r>
      <w:r w:rsidR="00433DAD" w:rsidRPr="003A4FF9">
        <w:rPr>
          <w:rFonts w:asciiTheme="majorHAnsi" w:hAnsiTheme="majorHAnsi" w:cstheme="majorHAnsi"/>
        </w:rPr>
        <w:t xml:space="preserve">plane language. Sub-section 4 </w:t>
      </w:r>
      <w:r w:rsidR="00FF474B" w:rsidRPr="003A4FF9">
        <w:rPr>
          <w:rFonts w:asciiTheme="majorHAnsi" w:hAnsiTheme="majorHAnsi" w:cstheme="majorHAnsi"/>
        </w:rPr>
        <w:t xml:space="preserve">stipulates that the attention </w:t>
      </w:r>
      <w:r w:rsidR="00C6603C" w:rsidRPr="003A4FF9">
        <w:rPr>
          <w:rFonts w:asciiTheme="majorHAnsi" w:hAnsiTheme="majorHAnsi" w:cstheme="majorHAnsi"/>
        </w:rPr>
        <w:t xml:space="preserve">of the consumer must </w:t>
      </w:r>
      <w:r w:rsidR="004366C7" w:rsidRPr="003A4FF9">
        <w:rPr>
          <w:rFonts w:asciiTheme="majorHAnsi" w:hAnsiTheme="majorHAnsi" w:cstheme="majorHAnsi"/>
        </w:rPr>
        <w:t xml:space="preserve">be drawn in a </w:t>
      </w:r>
      <w:r w:rsidR="005409FF" w:rsidRPr="003A4FF9">
        <w:rPr>
          <w:rFonts w:asciiTheme="majorHAnsi" w:hAnsiTheme="majorHAnsi" w:cstheme="majorHAnsi"/>
        </w:rPr>
        <w:t>conspicuous</w:t>
      </w:r>
      <w:r w:rsidR="004366C7" w:rsidRPr="003A4FF9">
        <w:rPr>
          <w:rFonts w:asciiTheme="majorHAnsi" w:hAnsiTheme="majorHAnsi" w:cstheme="majorHAnsi"/>
        </w:rPr>
        <w:t xml:space="preserve"> manner </w:t>
      </w:r>
      <w:r w:rsidR="001263BA" w:rsidRPr="003A4FF9">
        <w:rPr>
          <w:rFonts w:asciiTheme="majorHAnsi" w:hAnsiTheme="majorHAnsi" w:cstheme="majorHAnsi"/>
        </w:rPr>
        <w:t xml:space="preserve">and form that is likely to </w:t>
      </w:r>
      <w:r w:rsidR="00E974EB" w:rsidRPr="003A4FF9">
        <w:rPr>
          <w:rFonts w:asciiTheme="majorHAnsi" w:hAnsiTheme="majorHAnsi" w:cstheme="majorHAnsi"/>
        </w:rPr>
        <w:t xml:space="preserve">attract the attention of </w:t>
      </w:r>
      <w:r w:rsidR="00E34986" w:rsidRPr="003A4FF9">
        <w:rPr>
          <w:rFonts w:asciiTheme="majorHAnsi" w:hAnsiTheme="majorHAnsi" w:cstheme="majorHAnsi"/>
        </w:rPr>
        <w:t xml:space="preserve">an </w:t>
      </w:r>
      <w:r w:rsidR="00927A2A" w:rsidRPr="003A4FF9">
        <w:rPr>
          <w:rFonts w:asciiTheme="majorHAnsi" w:hAnsiTheme="majorHAnsi" w:cstheme="majorHAnsi"/>
        </w:rPr>
        <w:t>ordinar</w:t>
      </w:r>
      <w:r w:rsidR="00967763" w:rsidRPr="003A4FF9">
        <w:rPr>
          <w:rFonts w:asciiTheme="majorHAnsi" w:hAnsiTheme="majorHAnsi" w:cstheme="majorHAnsi"/>
        </w:rPr>
        <w:t>il</w:t>
      </w:r>
      <w:r w:rsidR="00927A2A" w:rsidRPr="003A4FF9">
        <w:rPr>
          <w:rFonts w:asciiTheme="majorHAnsi" w:hAnsiTheme="majorHAnsi" w:cstheme="majorHAnsi"/>
        </w:rPr>
        <w:t>y</w:t>
      </w:r>
      <w:r w:rsidR="00E34986" w:rsidRPr="003A4FF9">
        <w:rPr>
          <w:rFonts w:asciiTheme="majorHAnsi" w:hAnsiTheme="majorHAnsi" w:cstheme="majorHAnsi"/>
        </w:rPr>
        <w:t xml:space="preserve"> </w:t>
      </w:r>
      <w:r w:rsidR="00967763" w:rsidRPr="003A4FF9">
        <w:rPr>
          <w:rFonts w:asciiTheme="majorHAnsi" w:hAnsiTheme="majorHAnsi" w:cstheme="majorHAnsi"/>
        </w:rPr>
        <w:t>alert</w:t>
      </w:r>
      <w:r w:rsidR="00E34986" w:rsidRPr="003A4FF9">
        <w:rPr>
          <w:rFonts w:asciiTheme="majorHAnsi" w:hAnsiTheme="majorHAnsi" w:cstheme="majorHAnsi"/>
        </w:rPr>
        <w:t xml:space="preserve"> consumer </w:t>
      </w:r>
      <w:r w:rsidR="00C53051" w:rsidRPr="003A4FF9">
        <w:rPr>
          <w:rFonts w:asciiTheme="majorHAnsi" w:hAnsiTheme="majorHAnsi" w:cstheme="majorHAnsi"/>
        </w:rPr>
        <w:t xml:space="preserve">and the notice must be </w:t>
      </w:r>
      <w:r w:rsidR="00CF1502" w:rsidRPr="003A4FF9">
        <w:rPr>
          <w:rFonts w:asciiTheme="majorHAnsi" w:hAnsiTheme="majorHAnsi" w:cstheme="majorHAnsi"/>
        </w:rPr>
        <w:t xml:space="preserve">given before </w:t>
      </w:r>
      <w:r w:rsidR="004E6822" w:rsidRPr="003A4FF9">
        <w:rPr>
          <w:rFonts w:asciiTheme="majorHAnsi" w:hAnsiTheme="majorHAnsi" w:cstheme="majorHAnsi"/>
        </w:rPr>
        <w:t xml:space="preserve">the consumer </w:t>
      </w:r>
      <w:r w:rsidR="00CB7DF2" w:rsidRPr="003A4FF9">
        <w:rPr>
          <w:rFonts w:asciiTheme="majorHAnsi" w:hAnsiTheme="majorHAnsi" w:cstheme="majorHAnsi"/>
        </w:rPr>
        <w:t>engages in the activity</w:t>
      </w:r>
      <w:r w:rsidR="00967763" w:rsidRPr="003A4FF9">
        <w:rPr>
          <w:rFonts w:asciiTheme="majorHAnsi" w:hAnsiTheme="majorHAnsi" w:cstheme="majorHAnsi"/>
        </w:rPr>
        <w:t>,</w:t>
      </w:r>
      <w:r w:rsidR="00CB7DF2" w:rsidRPr="003A4FF9">
        <w:rPr>
          <w:rFonts w:asciiTheme="majorHAnsi" w:hAnsiTheme="majorHAnsi" w:cstheme="majorHAnsi"/>
        </w:rPr>
        <w:t xml:space="preserve"> or enters</w:t>
      </w:r>
      <w:r w:rsidR="00967763" w:rsidRPr="003A4FF9">
        <w:rPr>
          <w:rFonts w:asciiTheme="majorHAnsi" w:hAnsiTheme="majorHAnsi" w:cstheme="majorHAnsi"/>
        </w:rPr>
        <w:t>,</w:t>
      </w:r>
      <w:r w:rsidR="00CB7DF2" w:rsidRPr="003A4FF9">
        <w:rPr>
          <w:rFonts w:asciiTheme="majorHAnsi" w:hAnsiTheme="majorHAnsi" w:cstheme="majorHAnsi"/>
        </w:rPr>
        <w:t xml:space="preserve"> or gains access to </w:t>
      </w:r>
      <w:r w:rsidR="006268F7" w:rsidRPr="003A4FF9">
        <w:rPr>
          <w:rFonts w:asciiTheme="majorHAnsi" w:hAnsiTheme="majorHAnsi" w:cstheme="majorHAnsi"/>
        </w:rPr>
        <w:t>the facility</w:t>
      </w:r>
      <w:r w:rsidR="0001570D" w:rsidRPr="003A4FF9">
        <w:rPr>
          <w:rFonts w:asciiTheme="majorHAnsi" w:hAnsiTheme="majorHAnsi" w:cstheme="majorHAnsi"/>
        </w:rPr>
        <w:t xml:space="preserve">. Furthermore, the consumer </w:t>
      </w:r>
      <w:r w:rsidR="00F55D52" w:rsidRPr="003A4FF9">
        <w:rPr>
          <w:rFonts w:asciiTheme="majorHAnsi" w:hAnsiTheme="majorHAnsi" w:cstheme="majorHAnsi"/>
        </w:rPr>
        <w:t xml:space="preserve">must be given </w:t>
      </w:r>
      <w:r w:rsidR="00154381" w:rsidRPr="003A4FF9">
        <w:rPr>
          <w:rFonts w:asciiTheme="majorHAnsi" w:hAnsiTheme="majorHAnsi" w:cstheme="majorHAnsi"/>
        </w:rPr>
        <w:t xml:space="preserve">adequate opportunity </w:t>
      </w:r>
      <w:r w:rsidR="006641D1" w:rsidRPr="003A4FF9">
        <w:rPr>
          <w:rFonts w:asciiTheme="majorHAnsi" w:hAnsiTheme="majorHAnsi" w:cstheme="majorHAnsi"/>
        </w:rPr>
        <w:t xml:space="preserve">to receive and comprehend </w:t>
      </w:r>
      <w:r w:rsidR="007A6002" w:rsidRPr="003A4FF9">
        <w:rPr>
          <w:rFonts w:asciiTheme="majorHAnsi" w:hAnsiTheme="majorHAnsi" w:cstheme="majorHAnsi"/>
        </w:rPr>
        <w:t>the provision or notice</w:t>
      </w:r>
      <w:r w:rsidR="00967763" w:rsidRPr="003A4FF9">
        <w:rPr>
          <w:rFonts w:asciiTheme="majorHAnsi" w:hAnsiTheme="majorHAnsi" w:cstheme="majorHAnsi"/>
        </w:rPr>
        <w:t>. B</w:t>
      </w:r>
      <w:r w:rsidR="00E524D6" w:rsidRPr="003A4FF9">
        <w:rPr>
          <w:rFonts w:asciiTheme="majorHAnsi" w:hAnsiTheme="majorHAnsi" w:cstheme="majorHAnsi"/>
        </w:rPr>
        <w:t xml:space="preserve">earing in mind </w:t>
      </w:r>
      <w:r w:rsidR="006807D8" w:rsidRPr="003A4FF9">
        <w:rPr>
          <w:rFonts w:asciiTheme="majorHAnsi" w:hAnsiTheme="majorHAnsi" w:cstheme="majorHAnsi"/>
        </w:rPr>
        <w:t xml:space="preserve">these </w:t>
      </w:r>
      <w:r w:rsidR="00E31C06" w:rsidRPr="003A4FF9">
        <w:rPr>
          <w:rFonts w:asciiTheme="majorHAnsi" w:hAnsiTheme="majorHAnsi" w:cstheme="majorHAnsi"/>
        </w:rPr>
        <w:t>provisions</w:t>
      </w:r>
      <w:r w:rsidR="00B326F6" w:rsidRPr="003A4FF9">
        <w:rPr>
          <w:rFonts w:asciiTheme="majorHAnsi" w:hAnsiTheme="majorHAnsi" w:cstheme="majorHAnsi"/>
        </w:rPr>
        <w:t>, I am</w:t>
      </w:r>
      <w:r w:rsidR="00967763" w:rsidRPr="003A4FF9">
        <w:rPr>
          <w:rFonts w:asciiTheme="majorHAnsi" w:hAnsiTheme="majorHAnsi" w:cstheme="majorHAnsi"/>
        </w:rPr>
        <w:t xml:space="preserve"> satisfied that</w:t>
      </w:r>
      <w:r w:rsidR="009A4B57" w:rsidRPr="003A4FF9">
        <w:rPr>
          <w:rFonts w:asciiTheme="majorHAnsi" w:hAnsiTheme="majorHAnsi" w:cstheme="majorHAnsi"/>
        </w:rPr>
        <w:t xml:space="preserve"> the second</w:t>
      </w:r>
      <w:r w:rsidR="00967763" w:rsidRPr="003A4FF9">
        <w:rPr>
          <w:rFonts w:asciiTheme="majorHAnsi" w:hAnsiTheme="majorHAnsi" w:cstheme="majorHAnsi"/>
        </w:rPr>
        <w:t xml:space="preserve"> disclaimer</w:t>
      </w:r>
      <w:r w:rsidR="009A4B57" w:rsidRPr="003A4FF9">
        <w:rPr>
          <w:rFonts w:asciiTheme="majorHAnsi" w:hAnsiTheme="majorHAnsi" w:cstheme="majorHAnsi"/>
        </w:rPr>
        <w:t xml:space="preserve"> notice </w:t>
      </w:r>
      <w:proofErr w:type="gramStart"/>
      <w:r w:rsidR="00967763" w:rsidRPr="003A4FF9">
        <w:rPr>
          <w:rFonts w:asciiTheme="majorHAnsi" w:hAnsiTheme="majorHAnsi" w:cstheme="majorHAnsi"/>
        </w:rPr>
        <w:t xml:space="preserve">in particular </w:t>
      </w:r>
      <w:r w:rsidR="003C6F25" w:rsidRPr="003A4FF9">
        <w:rPr>
          <w:rFonts w:asciiTheme="majorHAnsi" w:hAnsiTheme="majorHAnsi" w:cstheme="majorHAnsi"/>
        </w:rPr>
        <w:t>complies</w:t>
      </w:r>
      <w:proofErr w:type="gramEnd"/>
      <w:r w:rsidR="003C6F25" w:rsidRPr="003A4FF9">
        <w:rPr>
          <w:rFonts w:asciiTheme="majorHAnsi" w:hAnsiTheme="majorHAnsi" w:cstheme="majorHAnsi"/>
        </w:rPr>
        <w:t xml:space="preserve"> with </w:t>
      </w:r>
      <w:r w:rsidR="00A45204" w:rsidRPr="003A4FF9">
        <w:rPr>
          <w:rFonts w:asciiTheme="majorHAnsi" w:hAnsiTheme="majorHAnsi" w:cstheme="majorHAnsi"/>
        </w:rPr>
        <w:t>the CPA</w:t>
      </w:r>
      <w:r w:rsidR="00131F63" w:rsidRPr="003A4FF9">
        <w:rPr>
          <w:rFonts w:asciiTheme="majorHAnsi" w:hAnsiTheme="majorHAnsi" w:cstheme="majorHAnsi"/>
        </w:rPr>
        <w:t>.</w:t>
      </w:r>
    </w:p>
    <w:p w14:paraId="57D45C10" w14:textId="77777777" w:rsidR="009B717A" w:rsidRPr="005C161E" w:rsidRDefault="009B717A" w:rsidP="005C161E">
      <w:pPr>
        <w:pStyle w:val="ListParagraph"/>
        <w:spacing w:line="360" w:lineRule="auto"/>
        <w:jc w:val="both"/>
        <w:rPr>
          <w:rFonts w:asciiTheme="majorHAnsi" w:hAnsiTheme="majorHAnsi" w:cstheme="majorHAnsi"/>
        </w:rPr>
      </w:pPr>
    </w:p>
    <w:p w14:paraId="08DCABCE" w14:textId="01797986" w:rsidR="005C161E" w:rsidRPr="003A4FF9" w:rsidRDefault="003A4FF9" w:rsidP="003A4FF9">
      <w:pPr>
        <w:spacing w:line="360" w:lineRule="auto"/>
        <w:jc w:val="both"/>
        <w:rPr>
          <w:rFonts w:asciiTheme="majorHAnsi" w:hAnsiTheme="majorHAnsi" w:cstheme="majorHAnsi"/>
        </w:rPr>
      </w:pPr>
      <w:r>
        <w:rPr>
          <w:rFonts w:asciiTheme="majorHAnsi" w:hAnsiTheme="majorHAnsi" w:cstheme="majorHAnsi"/>
        </w:rPr>
        <w:t>[33]</w:t>
      </w:r>
      <w:r>
        <w:rPr>
          <w:rFonts w:asciiTheme="majorHAnsi" w:hAnsiTheme="majorHAnsi" w:cstheme="majorHAnsi"/>
        </w:rPr>
        <w:tab/>
      </w:r>
      <w:r w:rsidR="000B3EC8" w:rsidRPr="003A4FF9">
        <w:rPr>
          <w:rFonts w:asciiTheme="majorHAnsi" w:hAnsiTheme="majorHAnsi" w:cstheme="majorHAnsi"/>
        </w:rPr>
        <w:t xml:space="preserve">In the second </w:t>
      </w:r>
      <w:r w:rsidR="00061E53" w:rsidRPr="003A4FF9">
        <w:rPr>
          <w:rFonts w:asciiTheme="majorHAnsi" w:hAnsiTheme="majorHAnsi" w:cstheme="majorHAnsi"/>
        </w:rPr>
        <w:t>disclaimer</w:t>
      </w:r>
      <w:r w:rsidR="000B3EC8" w:rsidRPr="003A4FF9">
        <w:rPr>
          <w:rFonts w:asciiTheme="majorHAnsi" w:hAnsiTheme="majorHAnsi" w:cstheme="majorHAnsi"/>
        </w:rPr>
        <w:t xml:space="preserve"> </w:t>
      </w:r>
      <w:r w:rsidR="005B6251" w:rsidRPr="003A4FF9">
        <w:rPr>
          <w:rFonts w:asciiTheme="majorHAnsi" w:hAnsiTheme="majorHAnsi" w:cstheme="majorHAnsi"/>
        </w:rPr>
        <w:t>– only in Afrikaans -</w:t>
      </w:r>
      <w:r w:rsidR="000B3EC8" w:rsidRPr="003A4FF9">
        <w:rPr>
          <w:rFonts w:asciiTheme="majorHAnsi" w:hAnsiTheme="majorHAnsi" w:cstheme="majorHAnsi"/>
        </w:rPr>
        <w:t xml:space="preserve"> patron</w:t>
      </w:r>
      <w:r w:rsidR="004D045A" w:rsidRPr="003A4FF9">
        <w:rPr>
          <w:rFonts w:asciiTheme="majorHAnsi" w:hAnsiTheme="majorHAnsi" w:cstheme="majorHAnsi"/>
        </w:rPr>
        <w:t>s</w:t>
      </w:r>
      <w:r w:rsidR="000B3EC8" w:rsidRPr="003A4FF9">
        <w:rPr>
          <w:rFonts w:asciiTheme="majorHAnsi" w:hAnsiTheme="majorHAnsi" w:cstheme="majorHAnsi"/>
        </w:rPr>
        <w:t xml:space="preserve"> </w:t>
      </w:r>
      <w:r w:rsidR="004D045A" w:rsidRPr="003A4FF9">
        <w:rPr>
          <w:rFonts w:asciiTheme="majorHAnsi" w:hAnsiTheme="majorHAnsi" w:cstheme="majorHAnsi"/>
        </w:rPr>
        <w:t>entering the resort accept it to be</w:t>
      </w:r>
      <w:r w:rsidR="000B3EC8" w:rsidRPr="003A4FF9">
        <w:rPr>
          <w:rFonts w:asciiTheme="majorHAnsi" w:hAnsiTheme="majorHAnsi" w:cstheme="majorHAnsi"/>
        </w:rPr>
        <w:t xml:space="preserve"> an express condition of </w:t>
      </w:r>
      <w:r w:rsidR="004D045A" w:rsidRPr="003A4FF9">
        <w:rPr>
          <w:rFonts w:asciiTheme="majorHAnsi" w:hAnsiTheme="majorHAnsi" w:cstheme="majorHAnsi"/>
        </w:rPr>
        <w:t>their visit</w:t>
      </w:r>
      <w:r w:rsidR="000B3EC8" w:rsidRPr="003A4FF9">
        <w:rPr>
          <w:rFonts w:asciiTheme="majorHAnsi" w:hAnsiTheme="majorHAnsi" w:cstheme="majorHAnsi"/>
        </w:rPr>
        <w:t xml:space="preserve"> that the resort would not be held liable for any damages sustained </w:t>
      </w:r>
      <w:proofErr w:type="gramStart"/>
      <w:r w:rsidR="000B3EC8" w:rsidRPr="003A4FF9">
        <w:rPr>
          <w:rFonts w:asciiTheme="majorHAnsi" w:hAnsiTheme="majorHAnsi" w:cstheme="majorHAnsi"/>
        </w:rPr>
        <w:t>as a result of</w:t>
      </w:r>
      <w:proofErr w:type="gramEnd"/>
      <w:r w:rsidR="000B3EC8" w:rsidRPr="003A4FF9">
        <w:rPr>
          <w:rFonts w:asciiTheme="majorHAnsi" w:hAnsiTheme="majorHAnsi" w:cstheme="majorHAnsi"/>
        </w:rPr>
        <w:t xml:space="preserve"> </w:t>
      </w:r>
      <w:r w:rsidR="004D045A" w:rsidRPr="003A4FF9">
        <w:rPr>
          <w:rFonts w:asciiTheme="majorHAnsi" w:hAnsiTheme="majorHAnsi" w:cstheme="majorHAnsi"/>
        </w:rPr>
        <w:t>fire, theft, flooding of property or</w:t>
      </w:r>
      <w:r w:rsidR="000B3EC8" w:rsidRPr="003A4FF9">
        <w:rPr>
          <w:rFonts w:asciiTheme="majorHAnsi" w:hAnsiTheme="majorHAnsi" w:cstheme="majorHAnsi"/>
        </w:rPr>
        <w:t xml:space="preserve"> physical injuries</w:t>
      </w:r>
      <w:r w:rsidR="004D045A" w:rsidRPr="003A4FF9">
        <w:rPr>
          <w:rFonts w:asciiTheme="majorHAnsi" w:hAnsiTheme="majorHAnsi" w:cstheme="majorHAnsi"/>
        </w:rPr>
        <w:t>, whether fatal or otherwise</w:t>
      </w:r>
      <w:r w:rsidR="000B3EC8" w:rsidRPr="003A4FF9">
        <w:rPr>
          <w:rFonts w:asciiTheme="majorHAnsi" w:hAnsiTheme="majorHAnsi" w:cstheme="majorHAnsi"/>
        </w:rPr>
        <w:t xml:space="preserve">. </w:t>
      </w:r>
      <w:r w:rsidR="00C00A84" w:rsidRPr="003A4FF9">
        <w:rPr>
          <w:rFonts w:asciiTheme="majorHAnsi" w:hAnsiTheme="majorHAnsi" w:cstheme="majorHAnsi"/>
        </w:rPr>
        <w:t xml:space="preserve">The </w:t>
      </w:r>
      <w:r w:rsidR="0078334F" w:rsidRPr="003A4FF9">
        <w:rPr>
          <w:rFonts w:asciiTheme="majorHAnsi" w:hAnsiTheme="majorHAnsi" w:cstheme="majorHAnsi"/>
        </w:rPr>
        <w:t>wording is clear</w:t>
      </w:r>
      <w:r w:rsidR="00C00A84" w:rsidRPr="003A4FF9">
        <w:rPr>
          <w:rFonts w:asciiTheme="majorHAnsi" w:hAnsiTheme="majorHAnsi" w:cstheme="majorHAnsi"/>
        </w:rPr>
        <w:t xml:space="preserve">: it exempts the defendant from liability </w:t>
      </w:r>
      <w:r w:rsidR="0078334F" w:rsidRPr="003A4FF9">
        <w:rPr>
          <w:rFonts w:asciiTheme="majorHAnsi" w:hAnsiTheme="majorHAnsi" w:cstheme="majorHAnsi"/>
        </w:rPr>
        <w:t>in express and unambiguous terms</w:t>
      </w:r>
      <w:r w:rsidR="005B6251" w:rsidRPr="003A4FF9">
        <w:rPr>
          <w:rFonts w:asciiTheme="majorHAnsi" w:hAnsiTheme="majorHAnsi" w:cstheme="majorHAnsi"/>
        </w:rPr>
        <w:t>. In accordance with</w:t>
      </w:r>
      <w:r w:rsidR="0078334F" w:rsidRPr="003A4FF9">
        <w:rPr>
          <w:rFonts w:asciiTheme="majorHAnsi" w:hAnsiTheme="majorHAnsi" w:cstheme="majorHAnsi"/>
        </w:rPr>
        <w:t xml:space="preserve"> the </w:t>
      </w:r>
      <w:r w:rsidR="0078334F" w:rsidRPr="003A4FF9">
        <w:rPr>
          <w:rFonts w:asciiTheme="majorHAnsi" w:hAnsiTheme="majorHAnsi" w:cstheme="majorHAnsi"/>
          <w:i/>
        </w:rPr>
        <w:t>Durban Water Wonderland</w:t>
      </w:r>
      <w:r w:rsidR="0078334F" w:rsidRPr="003A4FF9">
        <w:rPr>
          <w:rFonts w:asciiTheme="majorHAnsi" w:hAnsiTheme="majorHAnsi" w:cstheme="majorHAnsi"/>
        </w:rPr>
        <w:t>-</w:t>
      </w:r>
      <w:proofErr w:type="gramStart"/>
      <w:r w:rsidR="0078334F" w:rsidRPr="003A4FF9">
        <w:rPr>
          <w:rFonts w:asciiTheme="majorHAnsi" w:hAnsiTheme="majorHAnsi" w:cstheme="majorHAnsi"/>
        </w:rPr>
        <w:t>principle</w:t>
      </w:r>
      <w:proofErr w:type="gramEnd"/>
      <w:r w:rsidR="0078334F" w:rsidRPr="003A4FF9">
        <w:rPr>
          <w:rFonts w:asciiTheme="majorHAnsi" w:hAnsiTheme="majorHAnsi" w:cstheme="majorHAnsi"/>
        </w:rPr>
        <w:t xml:space="preserve"> effect must be given to that meaning, unless other considerations come into play to assist the plaintiff. </w:t>
      </w:r>
      <w:r w:rsidR="00061E53" w:rsidRPr="003A4FF9">
        <w:rPr>
          <w:rFonts w:asciiTheme="majorHAnsi" w:hAnsiTheme="majorHAnsi" w:cstheme="majorHAnsi"/>
          <w:shd w:val="clear" w:color="auto" w:fill="FFFFFF"/>
        </w:rPr>
        <w:t>One may understand why the defendant would want to obtain an indemnity against damage caused by fire (patrons injuring themselves or others during braais), theft (patrons stealing from other patrons), flooding of property (bearing in mind the mighty Vaal River and thunderstorms) and physical injuries (</w:t>
      </w:r>
      <w:r w:rsidR="005B6251" w:rsidRPr="003A4FF9">
        <w:rPr>
          <w:rFonts w:asciiTheme="majorHAnsi" w:hAnsiTheme="majorHAnsi" w:cstheme="majorHAnsi"/>
          <w:shd w:val="clear" w:color="auto" w:fill="FFFFFF"/>
        </w:rPr>
        <w:t xml:space="preserve">caused by </w:t>
      </w:r>
      <w:r w:rsidR="00061E53" w:rsidRPr="003A4FF9">
        <w:rPr>
          <w:rFonts w:asciiTheme="majorHAnsi" w:hAnsiTheme="majorHAnsi" w:cstheme="majorHAnsi"/>
          <w:shd w:val="clear" w:color="auto" w:fill="FFFFFF"/>
        </w:rPr>
        <w:t xml:space="preserve">diving into swimming pools, falling off </w:t>
      </w:r>
      <w:r w:rsidR="00061E53" w:rsidRPr="003A4FF9">
        <w:rPr>
          <w:rFonts w:asciiTheme="majorHAnsi" w:hAnsiTheme="majorHAnsi" w:cstheme="majorHAnsi"/>
          <w:shd w:val="clear" w:color="auto" w:fill="FFFFFF"/>
        </w:rPr>
        <w:lastRenderedPageBreak/>
        <w:t xml:space="preserve">trampolines, children falling off swings, to name but a few typical incidents.) </w:t>
      </w:r>
      <w:r w:rsidR="00061E53" w:rsidRPr="003A4FF9">
        <w:rPr>
          <w:rFonts w:asciiTheme="majorHAnsi" w:hAnsiTheme="majorHAnsi" w:cstheme="majorHAnsi"/>
        </w:rPr>
        <w:t>No reference is made to any negligence, gross negligence or recklessness by the defendant, its directors</w:t>
      </w:r>
      <w:r w:rsidR="00C00A84" w:rsidRPr="003A4FF9">
        <w:rPr>
          <w:rFonts w:asciiTheme="majorHAnsi" w:hAnsiTheme="majorHAnsi" w:cstheme="majorHAnsi"/>
        </w:rPr>
        <w:t xml:space="preserve"> or employees, although one may argue that the defendant intended to protect it against negligence by its directors and/or employees in providing the facilities,</w:t>
      </w:r>
      <w:r w:rsidR="00061E53" w:rsidRPr="003A4FF9">
        <w:rPr>
          <w:rFonts w:asciiTheme="majorHAnsi" w:hAnsiTheme="majorHAnsi" w:cstheme="majorHAnsi"/>
        </w:rPr>
        <w:t xml:space="preserve"> </w:t>
      </w:r>
      <w:proofErr w:type="spellStart"/>
      <w:r w:rsidR="00061E53" w:rsidRPr="003A4FF9">
        <w:rPr>
          <w:rFonts w:asciiTheme="majorHAnsi" w:hAnsiTheme="majorHAnsi" w:cstheme="majorHAnsi"/>
        </w:rPr>
        <w:t>eg</w:t>
      </w:r>
      <w:proofErr w:type="spellEnd"/>
      <w:r w:rsidR="00061E53" w:rsidRPr="003A4FF9">
        <w:rPr>
          <w:rFonts w:asciiTheme="majorHAnsi" w:hAnsiTheme="majorHAnsi" w:cstheme="majorHAnsi"/>
        </w:rPr>
        <w:t xml:space="preserve"> </w:t>
      </w:r>
      <w:r w:rsidR="00C00A84" w:rsidRPr="003A4FF9">
        <w:rPr>
          <w:rFonts w:asciiTheme="majorHAnsi" w:hAnsiTheme="majorHAnsi" w:cstheme="majorHAnsi"/>
        </w:rPr>
        <w:t xml:space="preserve">where </w:t>
      </w:r>
      <w:r w:rsidR="00061E53" w:rsidRPr="003A4FF9">
        <w:rPr>
          <w:rFonts w:asciiTheme="majorHAnsi" w:hAnsiTheme="majorHAnsi" w:cstheme="majorHAnsi"/>
        </w:rPr>
        <w:t xml:space="preserve">the defendant fails to provide proper security to curb theft, or fails to ensure that a qualified instructor oversees trampoline activities and/or if a novice is allowed to use the trampoline without supervision. </w:t>
      </w:r>
      <w:r w:rsidR="0078334F" w:rsidRPr="003A4FF9">
        <w:rPr>
          <w:rFonts w:asciiTheme="majorHAnsi" w:hAnsiTheme="majorHAnsi" w:cstheme="majorHAnsi"/>
        </w:rPr>
        <w:t xml:space="preserve">Logic dictates that a service provider </w:t>
      </w:r>
      <w:r w:rsidR="00364DE5" w:rsidRPr="003A4FF9">
        <w:rPr>
          <w:rFonts w:asciiTheme="majorHAnsi" w:hAnsiTheme="majorHAnsi" w:cstheme="majorHAnsi"/>
        </w:rPr>
        <w:t xml:space="preserve">such as the defendant </w:t>
      </w:r>
      <w:r w:rsidR="0078334F" w:rsidRPr="003A4FF9">
        <w:rPr>
          <w:rFonts w:asciiTheme="majorHAnsi" w:hAnsiTheme="majorHAnsi" w:cstheme="majorHAnsi"/>
        </w:rPr>
        <w:t>would for various reasons insist on discla</w:t>
      </w:r>
      <w:r w:rsidR="00364DE5" w:rsidRPr="003A4FF9">
        <w:rPr>
          <w:rFonts w:asciiTheme="majorHAnsi" w:hAnsiTheme="majorHAnsi" w:cstheme="majorHAnsi"/>
        </w:rPr>
        <w:t xml:space="preserve">imers </w:t>
      </w:r>
      <w:proofErr w:type="gramStart"/>
      <w:r w:rsidR="00364DE5" w:rsidRPr="003A4FF9">
        <w:rPr>
          <w:rFonts w:asciiTheme="majorHAnsi" w:hAnsiTheme="majorHAnsi" w:cstheme="majorHAnsi"/>
        </w:rPr>
        <w:t>in order to</w:t>
      </w:r>
      <w:proofErr w:type="gramEnd"/>
      <w:r w:rsidR="00364DE5" w:rsidRPr="003A4FF9">
        <w:rPr>
          <w:rFonts w:asciiTheme="majorHAnsi" w:hAnsiTheme="majorHAnsi" w:cstheme="majorHAnsi"/>
        </w:rPr>
        <w:t xml:space="preserve"> protect it against the risks occasioned by the attendance of numerous patrons of all walks of life</w:t>
      </w:r>
      <w:r w:rsidR="0078334F" w:rsidRPr="003A4FF9">
        <w:rPr>
          <w:rFonts w:asciiTheme="majorHAnsi" w:hAnsiTheme="majorHAnsi" w:cstheme="majorHAnsi"/>
        </w:rPr>
        <w:t xml:space="preserve">. </w:t>
      </w:r>
      <w:r w:rsidR="00061E53" w:rsidRPr="003A4FF9">
        <w:rPr>
          <w:rFonts w:asciiTheme="majorHAnsi" w:hAnsiTheme="majorHAnsi" w:cstheme="majorHAnsi"/>
        </w:rPr>
        <w:t>Objectively speaking, this is what the defendant must have had in mind when the notice was displayed.</w:t>
      </w:r>
    </w:p>
    <w:p w14:paraId="14B7B716" w14:textId="77777777" w:rsidR="0078334F" w:rsidRPr="00940DF7" w:rsidRDefault="0078334F" w:rsidP="00940DF7">
      <w:pPr>
        <w:pStyle w:val="ListParagraph"/>
        <w:spacing w:line="360" w:lineRule="auto"/>
        <w:jc w:val="both"/>
        <w:rPr>
          <w:rFonts w:asciiTheme="majorHAnsi" w:hAnsiTheme="majorHAnsi" w:cstheme="majorHAnsi"/>
        </w:rPr>
      </w:pPr>
    </w:p>
    <w:p w14:paraId="66F771C6" w14:textId="3074B08B" w:rsidR="001423A8" w:rsidRPr="003A4FF9" w:rsidRDefault="003A4FF9" w:rsidP="003A4FF9">
      <w:pPr>
        <w:spacing w:line="360" w:lineRule="auto"/>
        <w:jc w:val="both"/>
        <w:rPr>
          <w:rFonts w:asciiTheme="majorHAnsi" w:hAnsiTheme="majorHAnsi" w:cstheme="majorHAnsi"/>
          <w:i/>
        </w:rPr>
      </w:pPr>
      <w:r w:rsidRPr="005C161E">
        <w:rPr>
          <w:rFonts w:asciiTheme="majorHAnsi" w:hAnsiTheme="majorHAnsi" w:cstheme="majorHAnsi"/>
        </w:rPr>
        <w:t>[34]</w:t>
      </w:r>
      <w:r w:rsidRPr="005C161E">
        <w:rPr>
          <w:rFonts w:asciiTheme="majorHAnsi" w:hAnsiTheme="majorHAnsi" w:cstheme="majorHAnsi"/>
        </w:rPr>
        <w:tab/>
      </w:r>
      <w:r w:rsidR="001423A8" w:rsidRPr="003A4FF9">
        <w:rPr>
          <w:rFonts w:asciiTheme="majorHAnsi" w:hAnsiTheme="majorHAnsi" w:cstheme="majorHAnsi"/>
        </w:rPr>
        <w:t xml:space="preserve">Mr Ferreira submitted that I should follow </w:t>
      </w:r>
      <w:r w:rsidR="001423A8" w:rsidRPr="003A4FF9">
        <w:rPr>
          <w:rFonts w:asciiTheme="majorHAnsi" w:hAnsiTheme="majorHAnsi" w:cstheme="majorHAnsi"/>
          <w:i/>
        </w:rPr>
        <w:t>Koen</w:t>
      </w:r>
      <w:r w:rsidR="001423A8" w:rsidRPr="005C161E">
        <w:rPr>
          <w:rStyle w:val="FootnoteReference"/>
          <w:rFonts w:asciiTheme="majorHAnsi" w:hAnsiTheme="majorHAnsi" w:cstheme="majorHAnsi"/>
          <w:i/>
        </w:rPr>
        <w:footnoteReference w:id="23"/>
      </w:r>
      <w:r w:rsidR="001423A8" w:rsidRPr="003A4FF9">
        <w:rPr>
          <w:rFonts w:asciiTheme="majorHAnsi" w:hAnsiTheme="majorHAnsi" w:cstheme="majorHAnsi"/>
        </w:rPr>
        <w:t xml:space="preserve"> and </w:t>
      </w:r>
      <w:r w:rsidR="001423A8" w:rsidRPr="003A4FF9">
        <w:rPr>
          <w:rFonts w:asciiTheme="majorHAnsi" w:hAnsiTheme="majorHAnsi" w:cstheme="majorHAnsi"/>
          <w:i/>
        </w:rPr>
        <w:t>Naidoo v Birchwood Hotel.</w:t>
      </w:r>
      <w:r w:rsidR="001423A8" w:rsidRPr="005C161E">
        <w:rPr>
          <w:rStyle w:val="FootnoteReference"/>
          <w:rFonts w:asciiTheme="majorHAnsi" w:hAnsiTheme="majorHAnsi" w:cstheme="majorHAnsi"/>
          <w:i/>
        </w:rPr>
        <w:footnoteReference w:id="24"/>
      </w:r>
      <w:r w:rsidR="001423A8" w:rsidRPr="003A4FF9">
        <w:rPr>
          <w:rFonts w:asciiTheme="majorHAnsi" w:hAnsiTheme="majorHAnsi" w:cstheme="majorHAnsi"/>
          <w:i/>
        </w:rPr>
        <w:t xml:space="preserve"> </w:t>
      </w:r>
      <w:r w:rsidR="001423A8" w:rsidRPr="003A4FF9">
        <w:rPr>
          <w:rFonts w:asciiTheme="majorHAnsi" w:hAnsiTheme="majorHAnsi" w:cstheme="majorHAnsi"/>
        </w:rPr>
        <w:t xml:space="preserve">I already mentioned that </w:t>
      </w:r>
      <w:r w:rsidR="001423A8" w:rsidRPr="003A4FF9">
        <w:rPr>
          <w:rFonts w:asciiTheme="majorHAnsi" w:hAnsiTheme="majorHAnsi" w:cstheme="majorHAnsi"/>
          <w:i/>
        </w:rPr>
        <w:t>Koen</w:t>
      </w:r>
      <w:r w:rsidR="001423A8" w:rsidRPr="003A4FF9">
        <w:rPr>
          <w:rFonts w:asciiTheme="majorHAnsi" w:hAnsiTheme="majorHAnsi" w:cstheme="majorHAnsi"/>
        </w:rPr>
        <w:t xml:space="preserve"> is not good law insofar as it held that all disclaimers are ‘bad in law and can therefore not pass constitutional muster.’ Heaton-Nicholls J did not go that far in </w:t>
      </w:r>
      <w:r w:rsidR="001423A8" w:rsidRPr="003A4FF9">
        <w:rPr>
          <w:rFonts w:asciiTheme="majorHAnsi" w:hAnsiTheme="majorHAnsi" w:cstheme="majorHAnsi"/>
          <w:i/>
        </w:rPr>
        <w:t>Naidoo v Birchwood Hotel</w:t>
      </w:r>
      <w:r w:rsidR="004E6999" w:rsidRPr="003A4FF9">
        <w:rPr>
          <w:rFonts w:asciiTheme="majorHAnsi" w:hAnsiTheme="majorHAnsi" w:cstheme="majorHAnsi"/>
          <w:i/>
        </w:rPr>
        <w:t xml:space="preserve"> </w:t>
      </w:r>
      <w:r w:rsidR="004E6999" w:rsidRPr="003A4FF9">
        <w:rPr>
          <w:rFonts w:asciiTheme="majorHAnsi" w:hAnsiTheme="majorHAnsi" w:cstheme="majorHAnsi"/>
        </w:rPr>
        <w:t>although the learned judge stated that she was unconvinced that such clauses would withstand constitutional scrutiny.</w:t>
      </w:r>
      <w:r w:rsidR="004E6999" w:rsidRPr="005C161E">
        <w:rPr>
          <w:rStyle w:val="FootnoteReference"/>
          <w:rFonts w:asciiTheme="majorHAnsi" w:hAnsiTheme="majorHAnsi" w:cstheme="majorHAnsi"/>
        </w:rPr>
        <w:footnoteReference w:id="25"/>
      </w:r>
      <w:r w:rsidR="004E6999" w:rsidRPr="003A4FF9">
        <w:rPr>
          <w:rFonts w:asciiTheme="majorHAnsi" w:hAnsiTheme="majorHAnsi" w:cstheme="majorHAnsi"/>
        </w:rPr>
        <w:t xml:space="preserve"> She held, based on the facts in that case</w:t>
      </w:r>
      <w:r w:rsidR="00165C0E" w:rsidRPr="003A4FF9">
        <w:rPr>
          <w:rFonts w:asciiTheme="majorHAnsi" w:hAnsiTheme="majorHAnsi" w:cstheme="majorHAnsi"/>
        </w:rPr>
        <w:t xml:space="preserve"> – a heavy steel gate jammed, ran off its rail and fell on a hotel guest – that the plaintiff discharged the onus of proving his </w:t>
      </w:r>
      <w:proofErr w:type="spellStart"/>
      <w:r w:rsidR="00165C0E" w:rsidRPr="003A4FF9">
        <w:rPr>
          <w:rFonts w:asciiTheme="majorHAnsi" w:hAnsiTheme="majorHAnsi" w:cstheme="majorHAnsi"/>
        </w:rPr>
        <w:t>delictual</w:t>
      </w:r>
      <w:proofErr w:type="spellEnd"/>
      <w:r w:rsidR="00165C0E" w:rsidRPr="003A4FF9">
        <w:rPr>
          <w:rFonts w:asciiTheme="majorHAnsi" w:hAnsiTheme="majorHAnsi" w:cstheme="majorHAnsi"/>
        </w:rPr>
        <w:t xml:space="preserve"> claim and that nei</w:t>
      </w:r>
      <w:r w:rsidR="005B6251" w:rsidRPr="003A4FF9">
        <w:rPr>
          <w:rFonts w:asciiTheme="majorHAnsi" w:hAnsiTheme="majorHAnsi" w:cstheme="majorHAnsi"/>
        </w:rPr>
        <w:t>ther the disclaimer notices, nor</w:t>
      </w:r>
      <w:r w:rsidR="00165C0E" w:rsidRPr="003A4FF9">
        <w:rPr>
          <w:rFonts w:asciiTheme="majorHAnsi" w:hAnsiTheme="majorHAnsi" w:cstheme="majorHAnsi"/>
        </w:rPr>
        <w:t xml:space="preserve"> the exemption clauses</w:t>
      </w:r>
      <w:r w:rsidR="005B6251" w:rsidRPr="003A4FF9">
        <w:rPr>
          <w:rFonts w:asciiTheme="majorHAnsi" w:hAnsiTheme="majorHAnsi" w:cstheme="majorHAnsi"/>
        </w:rPr>
        <w:t>, we</w:t>
      </w:r>
      <w:r w:rsidR="00165C0E" w:rsidRPr="003A4FF9">
        <w:rPr>
          <w:rFonts w:asciiTheme="majorHAnsi" w:hAnsiTheme="majorHAnsi" w:cstheme="majorHAnsi"/>
        </w:rPr>
        <w:t>re a good defence to the claim.</w:t>
      </w:r>
      <w:r w:rsidR="003E0FB5" w:rsidRPr="003A4FF9">
        <w:rPr>
          <w:rFonts w:asciiTheme="majorHAnsi" w:hAnsiTheme="majorHAnsi" w:cstheme="majorHAnsi"/>
        </w:rPr>
        <w:t xml:space="preserve"> I do not agree with the view of the learned judge that exemption clauses will not pass constitutional muster. Each case involving reliance on a disclaimer will have to be scrutinised to ensure that the values enshrined in the Constitution are not undermined. The legislature </w:t>
      </w:r>
      <w:r w:rsidR="006E04F1" w:rsidRPr="003A4FF9">
        <w:rPr>
          <w:rFonts w:asciiTheme="majorHAnsi" w:hAnsiTheme="majorHAnsi" w:cstheme="majorHAnsi"/>
        </w:rPr>
        <w:t>accepts</w:t>
      </w:r>
      <w:r w:rsidR="003E0FB5" w:rsidRPr="003A4FF9">
        <w:rPr>
          <w:rFonts w:asciiTheme="majorHAnsi" w:hAnsiTheme="majorHAnsi" w:cstheme="majorHAnsi"/>
        </w:rPr>
        <w:t>, as provided for in s 49 of the CPA</w:t>
      </w:r>
      <w:r w:rsidR="006E04F1" w:rsidRPr="003A4FF9">
        <w:rPr>
          <w:rFonts w:asciiTheme="majorHAnsi" w:hAnsiTheme="majorHAnsi" w:cstheme="majorHAnsi"/>
        </w:rPr>
        <w:t xml:space="preserve"> mentioned above,</w:t>
      </w:r>
      <w:r w:rsidR="003E0FB5" w:rsidRPr="003A4FF9">
        <w:rPr>
          <w:rFonts w:asciiTheme="majorHAnsi" w:hAnsiTheme="majorHAnsi" w:cstheme="majorHAnsi"/>
        </w:rPr>
        <w:t xml:space="preserve"> that</w:t>
      </w:r>
      <w:r w:rsidR="006E04F1" w:rsidRPr="003A4FF9">
        <w:rPr>
          <w:rFonts w:asciiTheme="majorHAnsi" w:hAnsiTheme="majorHAnsi" w:cstheme="majorHAnsi"/>
        </w:rPr>
        <w:t xml:space="preserve"> a supplier or service provider</w:t>
      </w:r>
      <w:r w:rsidR="003E0FB5" w:rsidRPr="003A4FF9">
        <w:rPr>
          <w:rFonts w:asciiTheme="majorHAnsi" w:hAnsiTheme="majorHAnsi" w:cstheme="majorHAnsi"/>
        </w:rPr>
        <w:t xml:space="preserve"> </w:t>
      </w:r>
      <w:r w:rsidR="006E04F1" w:rsidRPr="003A4FF9">
        <w:rPr>
          <w:rFonts w:asciiTheme="majorHAnsi" w:hAnsiTheme="majorHAnsi" w:cstheme="majorHAnsi"/>
        </w:rPr>
        <w:t xml:space="preserve">may </w:t>
      </w:r>
      <w:r w:rsidR="003E0FB5" w:rsidRPr="003A4FF9">
        <w:rPr>
          <w:rFonts w:asciiTheme="majorHAnsi" w:hAnsiTheme="majorHAnsi" w:cstheme="majorHAnsi"/>
        </w:rPr>
        <w:t xml:space="preserve">limit </w:t>
      </w:r>
      <w:r w:rsidR="006E04F1" w:rsidRPr="003A4FF9">
        <w:rPr>
          <w:rFonts w:asciiTheme="majorHAnsi" w:hAnsiTheme="majorHAnsi" w:cstheme="majorHAnsi"/>
        </w:rPr>
        <w:t>its</w:t>
      </w:r>
      <w:r w:rsidR="003E0FB5" w:rsidRPr="003A4FF9">
        <w:rPr>
          <w:rFonts w:asciiTheme="majorHAnsi" w:hAnsiTheme="majorHAnsi" w:cstheme="majorHAnsi"/>
        </w:rPr>
        <w:t xml:space="preserve"> risk </w:t>
      </w:r>
      <w:r w:rsidR="006E04F1" w:rsidRPr="003A4FF9">
        <w:rPr>
          <w:rFonts w:asciiTheme="majorHAnsi" w:hAnsiTheme="majorHAnsi" w:cstheme="majorHAnsi"/>
        </w:rPr>
        <w:t>or liability, subject to the provisions enumerated in the subsections thereof</w:t>
      </w:r>
      <w:r w:rsidR="005B6251" w:rsidRPr="003A4FF9">
        <w:rPr>
          <w:rFonts w:asciiTheme="majorHAnsi" w:hAnsiTheme="majorHAnsi" w:cstheme="majorHAnsi"/>
        </w:rPr>
        <w:t xml:space="preserve"> and obviously bearing in mind public policy considerations</w:t>
      </w:r>
      <w:r w:rsidR="006E04F1" w:rsidRPr="003A4FF9">
        <w:rPr>
          <w:rFonts w:asciiTheme="majorHAnsi" w:hAnsiTheme="majorHAnsi" w:cstheme="majorHAnsi"/>
        </w:rPr>
        <w:t>.</w:t>
      </w:r>
    </w:p>
    <w:p w14:paraId="3DD4AE45" w14:textId="77777777" w:rsidR="0078334F" w:rsidRPr="005C161E" w:rsidRDefault="0078334F" w:rsidP="005C161E">
      <w:pPr>
        <w:pStyle w:val="ListParagraph"/>
        <w:spacing w:line="360" w:lineRule="auto"/>
        <w:jc w:val="both"/>
        <w:rPr>
          <w:rFonts w:asciiTheme="majorHAnsi" w:hAnsiTheme="majorHAnsi" w:cstheme="majorHAnsi"/>
          <w:i/>
        </w:rPr>
      </w:pPr>
    </w:p>
    <w:p w14:paraId="232E51C7" w14:textId="160CFF50" w:rsidR="005B6251" w:rsidRPr="003A4FF9" w:rsidRDefault="003A4FF9" w:rsidP="003A4FF9">
      <w:pPr>
        <w:spacing w:line="360" w:lineRule="auto"/>
        <w:jc w:val="both"/>
        <w:rPr>
          <w:rFonts w:asciiTheme="majorHAnsi" w:hAnsiTheme="majorHAnsi" w:cstheme="majorHAnsi"/>
          <w:i/>
        </w:rPr>
      </w:pPr>
      <w:r w:rsidRPr="005B6251">
        <w:rPr>
          <w:rFonts w:asciiTheme="majorHAnsi" w:hAnsiTheme="majorHAnsi" w:cstheme="majorHAnsi"/>
        </w:rPr>
        <w:t>[35]</w:t>
      </w:r>
      <w:r w:rsidRPr="005B6251">
        <w:rPr>
          <w:rFonts w:asciiTheme="majorHAnsi" w:hAnsiTheme="majorHAnsi" w:cstheme="majorHAnsi"/>
        </w:rPr>
        <w:tab/>
      </w:r>
      <w:r w:rsidR="00364DE5" w:rsidRPr="003A4FF9">
        <w:rPr>
          <w:rFonts w:asciiTheme="majorHAnsi" w:hAnsiTheme="majorHAnsi" w:cstheme="majorHAnsi"/>
        </w:rPr>
        <w:t xml:space="preserve">The defendant did not </w:t>
      </w:r>
      <w:r w:rsidR="004E6999" w:rsidRPr="003A4FF9">
        <w:rPr>
          <w:rFonts w:asciiTheme="majorHAnsi" w:hAnsiTheme="majorHAnsi" w:cstheme="majorHAnsi"/>
        </w:rPr>
        <w:t xml:space="preserve">expressly </w:t>
      </w:r>
      <w:r w:rsidR="00364DE5" w:rsidRPr="003A4FF9">
        <w:rPr>
          <w:rFonts w:asciiTheme="majorHAnsi" w:hAnsiTheme="majorHAnsi" w:cstheme="majorHAnsi"/>
        </w:rPr>
        <w:t>seek indemnity</w:t>
      </w:r>
      <w:r w:rsidR="00C00A84" w:rsidRPr="003A4FF9">
        <w:rPr>
          <w:rFonts w:asciiTheme="majorHAnsi" w:hAnsiTheme="majorHAnsi" w:cstheme="majorHAnsi"/>
        </w:rPr>
        <w:t xml:space="preserve"> in the second dis</w:t>
      </w:r>
      <w:r w:rsidR="00364DE5" w:rsidRPr="003A4FF9">
        <w:rPr>
          <w:rFonts w:asciiTheme="majorHAnsi" w:hAnsiTheme="majorHAnsi" w:cstheme="majorHAnsi"/>
        </w:rPr>
        <w:t>claimer</w:t>
      </w:r>
      <w:r w:rsidR="00C00A84" w:rsidRPr="003A4FF9">
        <w:rPr>
          <w:rFonts w:asciiTheme="majorHAnsi" w:hAnsiTheme="majorHAnsi" w:cstheme="majorHAnsi"/>
        </w:rPr>
        <w:t xml:space="preserve"> against</w:t>
      </w:r>
      <w:r w:rsidR="00061E53" w:rsidRPr="003A4FF9">
        <w:rPr>
          <w:rFonts w:asciiTheme="majorHAnsi" w:hAnsiTheme="majorHAnsi" w:cstheme="majorHAnsi"/>
        </w:rPr>
        <w:t xml:space="preserve"> gross negligence or recklessness</w:t>
      </w:r>
      <w:r w:rsidR="00364DE5" w:rsidRPr="003A4FF9">
        <w:rPr>
          <w:rFonts w:asciiTheme="majorHAnsi" w:hAnsiTheme="majorHAnsi" w:cstheme="majorHAnsi"/>
        </w:rPr>
        <w:t xml:space="preserve"> of its directors and/or employees</w:t>
      </w:r>
      <w:r w:rsidR="00061E53" w:rsidRPr="003A4FF9">
        <w:rPr>
          <w:rFonts w:asciiTheme="majorHAnsi" w:hAnsiTheme="majorHAnsi" w:cstheme="majorHAnsi"/>
        </w:rPr>
        <w:t>.</w:t>
      </w:r>
      <w:r w:rsidR="00364DE5" w:rsidRPr="003A4FF9">
        <w:rPr>
          <w:rFonts w:asciiTheme="majorHAnsi" w:hAnsiTheme="majorHAnsi" w:cstheme="majorHAnsi"/>
        </w:rPr>
        <w:t xml:space="preserve"> Such a clause in the disclaimer wo</w:t>
      </w:r>
      <w:r w:rsidR="00687104" w:rsidRPr="003A4FF9">
        <w:rPr>
          <w:rFonts w:asciiTheme="majorHAnsi" w:hAnsiTheme="majorHAnsi" w:cstheme="majorHAnsi"/>
        </w:rPr>
        <w:t>uld be contrary to public policy</w:t>
      </w:r>
      <w:r w:rsidR="005B6251" w:rsidRPr="003A4FF9">
        <w:rPr>
          <w:rFonts w:asciiTheme="majorHAnsi" w:hAnsiTheme="majorHAnsi" w:cstheme="majorHAnsi"/>
        </w:rPr>
        <w:t xml:space="preserve"> and unenforceable. T</w:t>
      </w:r>
      <w:r w:rsidR="004E6999" w:rsidRPr="003A4FF9">
        <w:rPr>
          <w:rFonts w:asciiTheme="majorHAnsi" w:hAnsiTheme="majorHAnsi" w:cstheme="majorHAnsi"/>
        </w:rPr>
        <w:t xml:space="preserve">he disclaimer is so wide </w:t>
      </w:r>
      <w:r w:rsidR="005B6251" w:rsidRPr="003A4FF9">
        <w:rPr>
          <w:rFonts w:asciiTheme="majorHAnsi" w:hAnsiTheme="majorHAnsi" w:cstheme="majorHAnsi"/>
        </w:rPr>
        <w:t xml:space="preserve">in ambit </w:t>
      </w:r>
      <w:r w:rsidR="004E6999" w:rsidRPr="003A4FF9">
        <w:rPr>
          <w:rFonts w:asciiTheme="majorHAnsi" w:hAnsiTheme="majorHAnsi" w:cstheme="majorHAnsi"/>
        </w:rPr>
        <w:t>that</w:t>
      </w:r>
      <w:r w:rsidR="00112CCD" w:rsidRPr="003A4FF9">
        <w:rPr>
          <w:rFonts w:asciiTheme="majorHAnsi" w:hAnsiTheme="majorHAnsi" w:cstheme="majorHAnsi"/>
        </w:rPr>
        <w:t xml:space="preserve"> the defendant seeks</w:t>
      </w:r>
      <w:r w:rsidR="004E6999" w:rsidRPr="003A4FF9">
        <w:rPr>
          <w:rFonts w:asciiTheme="majorHAnsi" w:hAnsiTheme="majorHAnsi" w:cstheme="majorHAnsi"/>
        </w:rPr>
        <w:t xml:space="preserve"> to be indemnified in respect of </w:t>
      </w:r>
      <w:r w:rsidR="004E6999" w:rsidRPr="003A4FF9">
        <w:rPr>
          <w:rFonts w:asciiTheme="majorHAnsi" w:hAnsiTheme="majorHAnsi" w:cstheme="majorHAnsi"/>
        </w:rPr>
        <w:lastRenderedPageBreak/>
        <w:t xml:space="preserve">all events, imaginable or unimaginable, </w:t>
      </w:r>
      <w:r w:rsidR="00112CCD" w:rsidRPr="003A4FF9">
        <w:rPr>
          <w:rFonts w:asciiTheme="majorHAnsi" w:hAnsiTheme="majorHAnsi" w:cstheme="majorHAnsi"/>
        </w:rPr>
        <w:t xml:space="preserve">whether its directors and/or employees are guilty of </w:t>
      </w:r>
      <w:r w:rsidR="005B6251" w:rsidRPr="003A4FF9">
        <w:rPr>
          <w:rFonts w:asciiTheme="majorHAnsi" w:hAnsiTheme="majorHAnsi" w:cstheme="majorHAnsi"/>
        </w:rPr>
        <w:t>direct intent</w:t>
      </w:r>
      <w:r w:rsidR="00112CCD" w:rsidRPr="003A4FF9">
        <w:rPr>
          <w:rFonts w:asciiTheme="majorHAnsi" w:hAnsiTheme="majorHAnsi" w:cstheme="majorHAnsi"/>
        </w:rPr>
        <w:t xml:space="preserve">, </w:t>
      </w:r>
      <w:proofErr w:type="spellStart"/>
      <w:r w:rsidR="00112CCD" w:rsidRPr="003A4FF9">
        <w:rPr>
          <w:rFonts w:asciiTheme="majorHAnsi" w:hAnsiTheme="majorHAnsi" w:cstheme="majorHAnsi"/>
          <w:i/>
        </w:rPr>
        <w:t>dolus</w:t>
      </w:r>
      <w:proofErr w:type="spellEnd"/>
      <w:r w:rsidR="00112CCD" w:rsidRPr="003A4FF9">
        <w:rPr>
          <w:rFonts w:asciiTheme="majorHAnsi" w:hAnsiTheme="majorHAnsi" w:cstheme="majorHAnsi"/>
          <w:i/>
        </w:rPr>
        <w:t xml:space="preserve"> </w:t>
      </w:r>
      <w:proofErr w:type="spellStart"/>
      <w:r w:rsidR="006E04F1" w:rsidRPr="003A4FF9">
        <w:rPr>
          <w:rFonts w:asciiTheme="majorHAnsi" w:hAnsiTheme="majorHAnsi" w:cstheme="majorHAnsi"/>
          <w:i/>
        </w:rPr>
        <w:t>eventualis</w:t>
      </w:r>
      <w:proofErr w:type="spellEnd"/>
      <w:r w:rsidR="006E04F1" w:rsidRPr="003A4FF9">
        <w:rPr>
          <w:rFonts w:asciiTheme="majorHAnsi" w:hAnsiTheme="majorHAnsi" w:cstheme="majorHAnsi"/>
        </w:rPr>
        <w:t>, reckless</w:t>
      </w:r>
      <w:r w:rsidR="00112CCD" w:rsidRPr="003A4FF9">
        <w:rPr>
          <w:rFonts w:asciiTheme="majorHAnsi" w:hAnsiTheme="majorHAnsi" w:cstheme="majorHAnsi"/>
        </w:rPr>
        <w:t>ness or gross negligence in causing death</w:t>
      </w:r>
      <w:r w:rsidR="006E04F1" w:rsidRPr="003A4FF9">
        <w:rPr>
          <w:rFonts w:asciiTheme="majorHAnsi" w:hAnsiTheme="majorHAnsi" w:cstheme="majorHAnsi"/>
        </w:rPr>
        <w:t xml:space="preserve">, </w:t>
      </w:r>
      <w:r w:rsidR="00112CCD" w:rsidRPr="003A4FF9">
        <w:rPr>
          <w:rFonts w:asciiTheme="majorHAnsi" w:hAnsiTheme="majorHAnsi" w:cstheme="majorHAnsi"/>
        </w:rPr>
        <w:t>injury</w:t>
      </w:r>
      <w:r w:rsidR="006E04F1" w:rsidRPr="003A4FF9">
        <w:rPr>
          <w:rFonts w:asciiTheme="majorHAnsi" w:hAnsiTheme="majorHAnsi" w:cstheme="majorHAnsi"/>
        </w:rPr>
        <w:t>,</w:t>
      </w:r>
      <w:r w:rsidR="005B6251" w:rsidRPr="003A4FF9">
        <w:rPr>
          <w:rFonts w:asciiTheme="majorHAnsi" w:hAnsiTheme="majorHAnsi" w:cstheme="majorHAnsi"/>
        </w:rPr>
        <w:t xml:space="preserve"> </w:t>
      </w:r>
      <w:r w:rsidR="00112CCD" w:rsidRPr="003A4FF9">
        <w:rPr>
          <w:rFonts w:asciiTheme="majorHAnsi" w:hAnsiTheme="majorHAnsi" w:cstheme="majorHAnsi"/>
        </w:rPr>
        <w:t xml:space="preserve">or loss of property. I pointed out earlier that disclaimers must be interpreted restrictively. </w:t>
      </w:r>
      <w:r w:rsidR="00364DE5" w:rsidRPr="003A4FF9">
        <w:rPr>
          <w:rFonts w:asciiTheme="majorHAnsi" w:hAnsiTheme="majorHAnsi" w:cstheme="majorHAnsi"/>
        </w:rPr>
        <w:t xml:space="preserve">In </w:t>
      </w:r>
      <w:r w:rsidR="00364DE5" w:rsidRPr="003A4FF9">
        <w:rPr>
          <w:rFonts w:asciiTheme="majorHAnsi" w:hAnsiTheme="majorHAnsi" w:cstheme="majorHAnsi"/>
          <w:i/>
        </w:rPr>
        <w:t xml:space="preserve">Stella </w:t>
      </w:r>
      <w:proofErr w:type="spellStart"/>
      <w:r w:rsidR="00364DE5" w:rsidRPr="003A4FF9">
        <w:rPr>
          <w:rFonts w:asciiTheme="majorHAnsi" w:hAnsiTheme="majorHAnsi" w:cstheme="majorHAnsi"/>
          <w:i/>
        </w:rPr>
        <w:t>Tingas</w:t>
      </w:r>
      <w:proofErr w:type="spellEnd"/>
      <w:r w:rsidR="00364DE5" w:rsidRPr="005C161E">
        <w:rPr>
          <w:rStyle w:val="FootnoteReference"/>
          <w:rFonts w:asciiTheme="majorHAnsi" w:hAnsiTheme="majorHAnsi" w:cstheme="majorHAnsi"/>
          <w:i/>
        </w:rPr>
        <w:footnoteReference w:id="26"/>
      </w:r>
      <w:r w:rsidR="00364DE5" w:rsidRPr="003A4FF9">
        <w:rPr>
          <w:rFonts w:asciiTheme="majorHAnsi" w:hAnsiTheme="majorHAnsi" w:cstheme="majorHAnsi"/>
          <w:i/>
        </w:rPr>
        <w:t xml:space="preserve"> </w:t>
      </w:r>
      <w:r w:rsidR="006F609F" w:rsidRPr="003A4FF9">
        <w:rPr>
          <w:rFonts w:asciiTheme="majorHAnsi" w:hAnsiTheme="majorHAnsi" w:cstheme="majorHAnsi"/>
        </w:rPr>
        <w:t>the Supreme Court of Appeal</w:t>
      </w:r>
      <w:r w:rsidR="00364DE5" w:rsidRPr="003A4FF9">
        <w:rPr>
          <w:rFonts w:asciiTheme="majorHAnsi" w:hAnsiTheme="majorHAnsi" w:cstheme="majorHAnsi"/>
        </w:rPr>
        <w:t xml:space="preserve"> assumed, without deciding, that the exemption would not apply if the pilot were found to have been grossly negligent. In my view, although</w:t>
      </w:r>
      <w:r w:rsidR="006E04F1" w:rsidRPr="003A4FF9">
        <w:rPr>
          <w:rFonts w:asciiTheme="majorHAnsi" w:hAnsiTheme="majorHAnsi" w:cstheme="majorHAnsi"/>
        </w:rPr>
        <w:t xml:space="preserve"> the</w:t>
      </w:r>
      <w:r w:rsidR="00364DE5" w:rsidRPr="003A4FF9">
        <w:rPr>
          <w:rFonts w:asciiTheme="majorHAnsi" w:hAnsiTheme="majorHAnsi" w:cstheme="majorHAnsi"/>
        </w:rPr>
        <w:t xml:space="preserve"> </w:t>
      </w:r>
      <w:r w:rsidR="00687104" w:rsidRPr="003A4FF9">
        <w:rPr>
          <w:rFonts w:asciiTheme="majorHAnsi" w:hAnsiTheme="majorHAnsi" w:cstheme="majorHAnsi"/>
          <w:i/>
        </w:rPr>
        <w:t xml:space="preserve">pacta sunt </w:t>
      </w:r>
      <w:proofErr w:type="spellStart"/>
      <w:r w:rsidR="00687104" w:rsidRPr="003A4FF9">
        <w:rPr>
          <w:rFonts w:asciiTheme="majorHAnsi" w:hAnsiTheme="majorHAnsi" w:cstheme="majorHAnsi"/>
          <w:i/>
        </w:rPr>
        <w:t>servanda</w:t>
      </w:r>
      <w:proofErr w:type="spellEnd"/>
      <w:r w:rsidR="00687104" w:rsidRPr="003A4FF9">
        <w:rPr>
          <w:rFonts w:asciiTheme="majorHAnsi" w:hAnsiTheme="majorHAnsi" w:cstheme="majorHAnsi"/>
          <w:i/>
        </w:rPr>
        <w:t xml:space="preserve"> </w:t>
      </w:r>
      <w:r w:rsidR="006E04F1" w:rsidRPr="003A4FF9">
        <w:rPr>
          <w:rFonts w:asciiTheme="majorHAnsi" w:hAnsiTheme="majorHAnsi" w:cstheme="majorHAnsi"/>
        </w:rPr>
        <w:t xml:space="preserve">principle remains part of our law </w:t>
      </w:r>
      <w:r w:rsidR="00687104" w:rsidRPr="003A4FF9">
        <w:rPr>
          <w:rFonts w:asciiTheme="majorHAnsi" w:hAnsiTheme="majorHAnsi" w:cstheme="majorHAnsi"/>
        </w:rPr>
        <w:t xml:space="preserve">as reiterated in </w:t>
      </w:r>
      <w:r w:rsidR="00687104" w:rsidRPr="003A4FF9">
        <w:rPr>
          <w:rFonts w:asciiTheme="majorHAnsi" w:hAnsiTheme="majorHAnsi" w:cstheme="majorHAnsi"/>
          <w:i/>
        </w:rPr>
        <w:t>Barkhuizen v Napier,</w:t>
      </w:r>
      <w:r w:rsidR="00687104" w:rsidRPr="005C161E">
        <w:rPr>
          <w:rStyle w:val="FootnoteReference"/>
          <w:rFonts w:asciiTheme="majorHAnsi" w:hAnsiTheme="majorHAnsi" w:cstheme="majorHAnsi"/>
          <w:i/>
        </w:rPr>
        <w:footnoteReference w:id="27"/>
      </w:r>
      <w:r w:rsidR="00687104" w:rsidRPr="003A4FF9">
        <w:rPr>
          <w:rFonts w:asciiTheme="majorHAnsi" w:hAnsiTheme="majorHAnsi" w:cstheme="majorHAnsi"/>
          <w:i/>
        </w:rPr>
        <w:t xml:space="preserve"> </w:t>
      </w:r>
      <w:r w:rsidR="00687104" w:rsidRPr="003A4FF9">
        <w:rPr>
          <w:rFonts w:asciiTheme="majorHAnsi" w:hAnsiTheme="majorHAnsi" w:cstheme="majorHAnsi"/>
        </w:rPr>
        <w:t>a term in a contract that is inimical to the values enshrined in the Constitution is contrary to public policy and unenforceable.</w:t>
      </w:r>
      <w:r w:rsidR="00720B73" w:rsidRPr="003A4FF9">
        <w:rPr>
          <w:rFonts w:asciiTheme="majorHAnsi" w:hAnsiTheme="majorHAnsi" w:cstheme="majorHAnsi"/>
        </w:rPr>
        <w:t xml:space="preserve"> </w:t>
      </w:r>
    </w:p>
    <w:p w14:paraId="4304086C" w14:textId="77777777" w:rsidR="005B6251" w:rsidRPr="005B6251" w:rsidRDefault="005B6251" w:rsidP="005B6251">
      <w:pPr>
        <w:pStyle w:val="ListParagraph"/>
        <w:rPr>
          <w:rFonts w:asciiTheme="majorHAnsi" w:hAnsiTheme="majorHAnsi" w:cstheme="majorHAnsi"/>
          <w:i/>
        </w:rPr>
      </w:pPr>
    </w:p>
    <w:p w14:paraId="0CC3FBDE" w14:textId="3BF9C4B2" w:rsidR="00061E53" w:rsidRPr="003A4FF9" w:rsidRDefault="003A4FF9" w:rsidP="003A4FF9">
      <w:pPr>
        <w:spacing w:line="360" w:lineRule="auto"/>
        <w:jc w:val="both"/>
        <w:rPr>
          <w:rFonts w:asciiTheme="majorHAnsi" w:hAnsiTheme="majorHAnsi" w:cstheme="majorHAnsi"/>
          <w:i/>
        </w:rPr>
      </w:pPr>
      <w:r w:rsidRPr="005C161E">
        <w:rPr>
          <w:rFonts w:asciiTheme="majorHAnsi" w:hAnsiTheme="majorHAnsi" w:cstheme="majorHAnsi"/>
        </w:rPr>
        <w:t>[36]</w:t>
      </w:r>
      <w:r w:rsidRPr="005C161E">
        <w:rPr>
          <w:rFonts w:asciiTheme="majorHAnsi" w:hAnsiTheme="majorHAnsi" w:cstheme="majorHAnsi"/>
        </w:rPr>
        <w:tab/>
      </w:r>
      <w:r w:rsidR="00720B73" w:rsidRPr="003A4FF9">
        <w:rPr>
          <w:rFonts w:asciiTheme="majorHAnsi" w:hAnsiTheme="majorHAnsi" w:cstheme="majorHAnsi"/>
          <w:i/>
        </w:rPr>
        <w:t>Durban Water Wonder</w:t>
      </w:r>
      <w:r w:rsidR="006E04F1" w:rsidRPr="003A4FF9">
        <w:rPr>
          <w:rFonts w:asciiTheme="majorHAnsi" w:hAnsiTheme="majorHAnsi" w:cstheme="majorHAnsi"/>
          <w:i/>
        </w:rPr>
        <w:t>land</w:t>
      </w:r>
      <w:r w:rsidR="00720B73" w:rsidRPr="003A4FF9">
        <w:rPr>
          <w:rFonts w:asciiTheme="majorHAnsi" w:hAnsiTheme="majorHAnsi" w:cstheme="majorHAnsi"/>
          <w:i/>
        </w:rPr>
        <w:t xml:space="preserve"> </w:t>
      </w:r>
      <w:r w:rsidR="006F609F" w:rsidRPr="003A4FF9">
        <w:rPr>
          <w:rFonts w:asciiTheme="majorHAnsi" w:hAnsiTheme="majorHAnsi" w:cstheme="majorHAnsi"/>
        </w:rPr>
        <w:t>was decided</w:t>
      </w:r>
      <w:r w:rsidR="00720B73" w:rsidRPr="003A4FF9">
        <w:rPr>
          <w:rFonts w:asciiTheme="majorHAnsi" w:hAnsiTheme="majorHAnsi" w:cstheme="majorHAnsi"/>
        </w:rPr>
        <w:t xml:space="preserve"> on 27 November 1998, but the incident occurred as long ago as November 1988, </w:t>
      </w:r>
      <w:proofErr w:type="spellStart"/>
      <w:r w:rsidR="00720B73" w:rsidRPr="003A4FF9">
        <w:rPr>
          <w:rFonts w:asciiTheme="majorHAnsi" w:hAnsiTheme="majorHAnsi" w:cstheme="majorHAnsi"/>
        </w:rPr>
        <w:t>ie</w:t>
      </w:r>
      <w:proofErr w:type="spellEnd"/>
      <w:r w:rsidR="00720B73" w:rsidRPr="003A4FF9">
        <w:rPr>
          <w:rFonts w:asciiTheme="majorHAnsi" w:hAnsiTheme="majorHAnsi" w:cstheme="majorHAnsi"/>
        </w:rPr>
        <w:t xml:space="preserve"> in the pre-constitutional era. </w:t>
      </w:r>
      <w:r w:rsidR="00FD3304" w:rsidRPr="003A4FF9">
        <w:rPr>
          <w:rFonts w:asciiTheme="majorHAnsi" w:hAnsiTheme="majorHAnsi" w:cstheme="majorHAnsi"/>
        </w:rPr>
        <w:t xml:space="preserve">It is distinguishable on the facts insofar as no case of gross negligence or recklessness was presented, but mere negligence. </w:t>
      </w:r>
      <w:r w:rsidR="00720B73" w:rsidRPr="003A4FF9">
        <w:rPr>
          <w:rFonts w:asciiTheme="majorHAnsi" w:hAnsiTheme="majorHAnsi" w:cstheme="majorHAnsi"/>
        </w:rPr>
        <w:t xml:space="preserve">In </w:t>
      </w:r>
      <w:r w:rsidR="00720B73" w:rsidRPr="003A4FF9">
        <w:rPr>
          <w:rFonts w:asciiTheme="majorHAnsi" w:hAnsiTheme="majorHAnsi" w:cstheme="majorHAnsi"/>
          <w:i/>
        </w:rPr>
        <w:t xml:space="preserve">Afrox Healthcare </w:t>
      </w:r>
      <w:proofErr w:type="spellStart"/>
      <w:r w:rsidR="00720B73" w:rsidRPr="003A4FF9">
        <w:rPr>
          <w:rFonts w:asciiTheme="majorHAnsi" w:hAnsiTheme="majorHAnsi" w:cstheme="majorHAnsi"/>
          <w:i/>
        </w:rPr>
        <w:t>Bpk</w:t>
      </w:r>
      <w:proofErr w:type="spellEnd"/>
      <w:r w:rsidR="00720B73" w:rsidRPr="003A4FF9">
        <w:rPr>
          <w:rFonts w:asciiTheme="majorHAnsi" w:hAnsiTheme="majorHAnsi" w:cstheme="majorHAnsi"/>
          <w:i/>
        </w:rPr>
        <w:t xml:space="preserve"> v Strydom</w:t>
      </w:r>
      <w:r w:rsidR="00720B73" w:rsidRPr="005C161E">
        <w:rPr>
          <w:rStyle w:val="FootnoteReference"/>
          <w:rFonts w:asciiTheme="majorHAnsi" w:hAnsiTheme="majorHAnsi" w:cstheme="majorHAnsi"/>
          <w:i/>
        </w:rPr>
        <w:footnoteReference w:id="28"/>
      </w:r>
      <w:r w:rsidR="00720B73" w:rsidRPr="003A4FF9">
        <w:rPr>
          <w:rFonts w:asciiTheme="majorHAnsi" w:hAnsiTheme="majorHAnsi" w:cstheme="majorHAnsi"/>
          <w:i/>
        </w:rPr>
        <w:t xml:space="preserve"> </w:t>
      </w:r>
      <w:r w:rsidR="006F609F" w:rsidRPr="003A4FF9">
        <w:rPr>
          <w:rFonts w:asciiTheme="majorHAnsi" w:hAnsiTheme="majorHAnsi" w:cstheme="majorHAnsi"/>
        </w:rPr>
        <w:t xml:space="preserve">the Supreme Court of Appeal </w:t>
      </w:r>
      <w:r w:rsidR="00720B73" w:rsidRPr="003A4FF9">
        <w:rPr>
          <w:rFonts w:asciiTheme="majorHAnsi" w:hAnsiTheme="majorHAnsi" w:cstheme="majorHAnsi"/>
        </w:rPr>
        <w:t>held that the principle of contractual autonomy was paramount and that the disclaimer in that case was not contrary to the public in</w:t>
      </w:r>
      <w:r w:rsidR="006F609F" w:rsidRPr="003A4FF9">
        <w:rPr>
          <w:rFonts w:asciiTheme="majorHAnsi" w:hAnsiTheme="majorHAnsi" w:cstheme="majorHAnsi"/>
        </w:rPr>
        <w:t>terest. T</w:t>
      </w:r>
      <w:r w:rsidR="00112CCD" w:rsidRPr="003A4FF9">
        <w:rPr>
          <w:rFonts w:asciiTheme="majorHAnsi" w:hAnsiTheme="majorHAnsi" w:cstheme="majorHAnsi"/>
        </w:rPr>
        <w:t xml:space="preserve">he court considered public policy </w:t>
      </w:r>
      <w:r w:rsidR="006E04F1" w:rsidRPr="003A4FF9">
        <w:rPr>
          <w:rFonts w:asciiTheme="majorHAnsi" w:hAnsiTheme="majorHAnsi" w:cstheme="majorHAnsi"/>
        </w:rPr>
        <w:t>a</w:t>
      </w:r>
      <w:r w:rsidR="00112CCD" w:rsidRPr="003A4FF9">
        <w:rPr>
          <w:rFonts w:asciiTheme="majorHAnsi" w:hAnsiTheme="majorHAnsi" w:cstheme="majorHAnsi"/>
        </w:rPr>
        <w:t>nd constitutional principles</w:t>
      </w:r>
      <w:r w:rsidR="006F609F" w:rsidRPr="003A4FF9">
        <w:rPr>
          <w:rFonts w:asciiTheme="majorHAnsi" w:hAnsiTheme="majorHAnsi" w:cstheme="majorHAnsi"/>
        </w:rPr>
        <w:t xml:space="preserve"> and made it clear</w:t>
      </w:r>
      <w:r w:rsidR="00E93FD6" w:rsidRPr="003A4FF9">
        <w:rPr>
          <w:rFonts w:asciiTheme="majorHAnsi" w:hAnsiTheme="majorHAnsi" w:cstheme="majorHAnsi"/>
        </w:rPr>
        <w:t xml:space="preserve"> that the values underpinning the Constitution had to be </w:t>
      </w:r>
      <w:proofErr w:type="gramStart"/>
      <w:r w:rsidR="00E93FD6" w:rsidRPr="003A4FF9">
        <w:rPr>
          <w:rFonts w:asciiTheme="majorHAnsi" w:hAnsiTheme="majorHAnsi" w:cstheme="majorHAnsi"/>
        </w:rPr>
        <w:t>taken into account</w:t>
      </w:r>
      <w:proofErr w:type="gramEnd"/>
      <w:r w:rsidR="00E93FD6" w:rsidRPr="003A4FF9">
        <w:rPr>
          <w:rFonts w:asciiTheme="majorHAnsi" w:hAnsiTheme="majorHAnsi" w:cstheme="majorHAnsi"/>
        </w:rPr>
        <w:t xml:space="preserve"> in considering whether a particular contractual provision was in conflict with the interests of the communi</w:t>
      </w:r>
      <w:r w:rsidR="006F609F" w:rsidRPr="003A4FF9">
        <w:rPr>
          <w:rFonts w:asciiTheme="majorHAnsi" w:hAnsiTheme="majorHAnsi" w:cstheme="majorHAnsi"/>
        </w:rPr>
        <w:t>ty.</w:t>
      </w:r>
      <w:r w:rsidR="00E93FD6" w:rsidRPr="005C161E">
        <w:rPr>
          <w:rStyle w:val="FootnoteReference"/>
          <w:rFonts w:asciiTheme="majorHAnsi" w:hAnsiTheme="majorHAnsi" w:cstheme="majorHAnsi"/>
        </w:rPr>
        <w:footnoteReference w:id="29"/>
      </w:r>
      <w:r w:rsidR="006F609F" w:rsidRPr="003A4FF9">
        <w:rPr>
          <w:rFonts w:asciiTheme="majorHAnsi" w:hAnsiTheme="majorHAnsi" w:cstheme="majorHAnsi"/>
        </w:rPr>
        <w:t xml:space="preserve"> The court</w:t>
      </w:r>
      <w:r w:rsidR="006E04F1" w:rsidRPr="003A4FF9">
        <w:rPr>
          <w:rFonts w:asciiTheme="majorHAnsi" w:hAnsiTheme="majorHAnsi" w:cstheme="majorHAnsi"/>
        </w:rPr>
        <w:t xml:space="preserve"> pertinently raised the aspect of gross n</w:t>
      </w:r>
      <w:r w:rsidR="006F609F" w:rsidRPr="003A4FF9">
        <w:rPr>
          <w:rFonts w:asciiTheme="majorHAnsi" w:hAnsiTheme="majorHAnsi" w:cstheme="majorHAnsi"/>
        </w:rPr>
        <w:t xml:space="preserve">egligence which was not </w:t>
      </w:r>
      <w:r w:rsidR="00E93FD6" w:rsidRPr="003A4FF9">
        <w:rPr>
          <w:rFonts w:asciiTheme="majorHAnsi" w:hAnsiTheme="majorHAnsi" w:cstheme="majorHAnsi"/>
        </w:rPr>
        <w:t>relied upon by the respondent on the part of the app</w:t>
      </w:r>
      <w:r w:rsidR="006F609F" w:rsidRPr="003A4FF9">
        <w:rPr>
          <w:rFonts w:asciiTheme="majorHAnsi" w:hAnsiTheme="majorHAnsi" w:cstheme="majorHAnsi"/>
        </w:rPr>
        <w:t xml:space="preserve">ellant’s nursing staff. In an obiter dictum it stated </w:t>
      </w:r>
      <w:r w:rsidR="00E93FD6" w:rsidRPr="003A4FF9">
        <w:rPr>
          <w:rFonts w:asciiTheme="majorHAnsi" w:hAnsiTheme="majorHAnsi" w:cstheme="majorHAnsi"/>
        </w:rPr>
        <w:t>that although the question was n</w:t>
      </w:r>
      <w:r w:rsidR="006F609F" w:rsidRPr="003A4FF9">
        <w:rPr>
          <w:rFonts w:asciiTheme="majorHAnsi" w:hAnsiTheme="majorHAnsi" w:cstheme="majorHAnsi"/>
        </w:rPr>
        <w:t>ot</w:t>
      </w:r>
      <w:r w:rsidR="00FD3304" w:rsidRPr="003A4FF9">
        <w:rPr>
          <w:rFonts w:asciiTheme="majorHAnsi" w:hAnsiTheme="majorHAnsi" w:cstheme="majorHAnsi"/>
        </w:rPr>
        <w:t xml:space="preserve"> relevant in that matter, </w:t>
      </w:r>
      <w:r w:rsidR="004D69B8" w:rsidRPr="003A4FF9">
        <w:rPr>
          <w:rFonts w:asciiTheme="majorHAnsi" w:hAnsiTheme="majorHAnsi" w:cstheme="majorHAnsi"/>
        </w:rPr>
        <w:t xml:space="preserve">contractual exclusion of liability caused by gross negligence was </w:t>
      </w:r>
      <w:r w:rsidR="00FD3304" w:rsidRPr="003A4FF9">
        <w:rPr>
          <w:rFonts w:asciiTheme="majorHAnsi" w:hAnsiTheme="majorHAnsi" w:cstheme="majorHAnsi"/>
        </w:rPr>
        <w:t xml:space="preserve">not </w:t>
      </w:r>
      <w:r w:rsidR="006F609F" w:rsidRPr="003A4FF9">
        <w:rPr>
          <w:rFonts w:asciiTheme="majorHAnsi" w:hAnsiTheme="majorHAnsi" w:cstheme="majorHAnsi"/>
        </w:rPr>
        <w:t xml:space="preserve">necessarily </w:t>
      </w:r>
      <w:r w:rsidR="004D69B8" w:rsidRPr="003A4FF9">
        <w:rPr>
          <w:rFonts w:asciiTheme="majorHAnsi" w:hAnsiTheme="majorHAnsi" w:cstheme="majorHAnsi"/>
        </w:rPr>
        <w:t>in conflict with the public interest and would cause the automatic</w:t>
      </w:r>
      <w:r w:rsidR="00E93FD6" w:rsidRPr="003A4FF9">
        <w:rPr>
          <w:rFonts w:asciiTheme="majorHAnsi" w:hAnsiTheme="majorHAnsi" w:cstheme="majorHAnsi"/>
        </w:rPr>
        <w:t xml:space="preserve"> invalidity of the relevant clause</w:t>
      </w:r>
      <w:r w:rsidR="00FD3304" w:rsidRPr="003A4FF9">
        <w:rPr>
          <w:rFonts w:asciiTheme="majorHAnsi" w:hAnsiTheme="majorHAnsi" w:cstheme="majorHAnsi"/>
        </w:rPr>
        <w:t>. It suggested that t</w:t>
      </w:r>
      <w:r w:rsidR="004D69B8" w:rsidRPr="003A4FF9">
        <w:rPr>
          <w:rFonts w:asciiTheme="majorHAnsi" w:hAnsiTheme="majorHAnsi" w:cstheme="majorHAnsi"/>
        </w:rPr>
        <w:t xml:space="preserve">he </w:t>
      </w:r>
      <w:r w:rsidR="006F609F" w:rsidRPr="003A4FF9">
        <w:rPr>
          <w:rFonts w:asciiTheme="majorHAnsi" w:hAnsiTheme="majorHAnsi" w:cstheme="majorHAnsi"/>
        </w:rPr>
        <w:t>clause</w:t>
      </w:r>
      <w:r w:rsidR="004D69B8" w:rsidRPr="003A4FF9">
        <w:rPr>
          <w:rFonts w:asciiTheme="majorHAnsi" w:hAnsiTheme="majorHAnsi" w:cstheme="majorHAnsi"/>
        </w:rPr>
        <w:t xml:space="preserve"> would probably rather have </w:t>
      </w:r>
      <w:r w:rsidR="006F609F" w:rsidRPr="003A4FF9">
        <w:rPr>
          <w:rFonts w:asciiTheme="majorHAnsi" w:hAnsiTheme="majorHAnsi" w:cstheme="majorHAnsi"/>
        </w:rPr>
        <w:t>to be interpreted restrictively</w:t>
      </w:r>
      <w:r w:rsidR="004D69B8" w:rsidRPr="003A4FF9">
        <w:rPr>
          <w:rFonts w:asciiTheme="majorHAnsi" w:hAnsiTheme="majorHAnsi" w:cstheme="majorHAnsi"/>
        </w:rPr>
        <w:t xml:space="preserve"> to exclude gross negligence.</w:t>
      </w:r>
      <w:r w:rsidR="004D69B8" w:rsidRPr="005C161E">
        <w:rPr>
          <w:rStyle w:val="FootnoteReference"/>
          <w:rFonts w:asciiTheme="majorHAnsi" w:hAnsiTheme="majorHAnsi" w:cstheme="majorHAnsi"/>
        </w:rPr>
        <w:footnoteReference w:id="30"/>
      </w:r>
    </w:p>
    <w:p w14:paraId="55A224F3" w14:textId="77777777" w:rsidR="000B3EC8" w:rsidRPr="005C161E" w:rsidRDefault="000B3EC8" w:rsidP="005C161E">
      <w:pPr>
        <w:pStyle w:val="ListParagraph"/>
        <w:spacing w:line="360" w:lineRule="auto"/>
        <w:jc w:val="both"/>
        <w:rPr>
          <w:rFonts w:asciiTheme="majorHAnsi" w:hAnsiTheme="majorHAnsi" w:cstheme="majorHAnsi"/>
        </w:rPr>
      </w:pPr>
    </w:p>
    <w:p w14:paraId="48706C0C" w14:textId="72EEC111" w:rsidR="00A50990"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[37]</w:t>
      </w:r>
      <w:r w:rsidRPr="005C161E">
        <w:rPr>
          <w:rFonts w:asciiTheme="majorHAnsi" w:hAnsiTheme="majorHAnsi" w:cstheme="majorHAnsi"/>
        </w:rPr>
        <w:tab/>
      </w:r>
      <w:r w:rsidR="006D5FA9" w:rsidRPr="003A4FF9">
        <w:rPr>
          <w:rFonts w:asciiTheme="majorHAnsi" w:hAnsiTheme="majorHAnsi" w:cstheme="majorHAnsi"/>
        </w:rPr>
        <w:t xml:space="preserve">Whatever the nature of the </w:t>
      </w:r>
      <w:r w:rsidR="00550082" w:rsidRPr="003A4FF9">
        <w:rPr>
          <w:rFonts w:asciiTheme="majorHAnsi" w:hAnsiTheme="majorHAnsi" w:cstheme="majorHAnsi"/>
        </w:rPr>
        <w:t xml:space="preserve">disclaimers relied upon </w:t>
      </w:r>
      <w:r w:rsidR="008816FE" w:rsidRPr="003A4FF9">
        <w:rPr>
          <w:rFonts w:asciiTheme="majorHAnsi" w:hAnsiTheme="majorHAnsi" w:cstheme="majorHAnsi"/>
        </w:rPr>
        <w:t>by the defendant,</w:t>
      </w:r>
      <w:r w:rsidR="00746338" w:rsidRPr="003A4FF9">
        <w:rPr>
          <w:rFonts w:asciiTheme="majorHAnsi" w:hAnsiTheme="majorHAnsi" w:cstheme="majorHAnsi"/>
        </w:rPr>
        <w:t xml:space="preserve"> and even if I am wrong in the conclusions arrived at earlier,</w:t>
      </w:r>
      <w:r w:rsidR="008816FE" w:rsidRPr="003A4FF9">
        <w:rPr>
          <w:rFonts w:asciiTheme="majorHAnsi" w:hAnsiTheme="majorHAnsi" w:cstheme="majorHAnsi"/>
        </w:rPr>
        <w:t xml:space="preserve"> </w:t>
      </w:r>
      <w:r w:rsidR="003B5C31" w:rsidRPr="003A4FF9">
        <w:rPr>
          <w:rFonts w:asciiTheme="majorHAnsi" w:hAnsiTheme="majorHAnsi" w:cstheme="majorHAnsi"/>
        </w:rPr>
        <w:t>they</w:t>
      </w:r>
      <w:r w:rsidR="00FD3304" w:rsidRPr="003A4FF9">
        <w:rPr>
          <w:rFonts w:asciiTheme="majorHAnsi" w:hAnsiTheme="majorHAnsi" w:cstheme="majorHAnsi"/>
        </w:rPr>
        <w:t xml:space="preserve"> </w:t>
      </w:r>
      <w:r w:rsidR="00976EE4" w:rsidRPr="003A4FF9">
        <w:rPr>
          <w:rFonts w:asciiTheme="majorHAnsi" w:hAnsiTheme="majorHAnsi" w:cstheme="majorHAnsi"/>
        </w:rPr>
        <w:t xml:space="preserve">cannot indemnify it </w:t>
      </w:r>
      <w:r w:rsidR="00E42BF5" w:rsidRPr="003A4FF9">
        <w:rPr>
          <w:rFonts w:asciiTheme="majorHAnsi" w:hAnsiTheme="majorHAnsi" w:cstheme="majorHAnsi"/>
        </w:rPr>
        <w:t xml:space="preserve">against </w:t>
      </w:r>
      <w:r w:rsidR="009C77CF" w:rsidRPr="003A4FF9">
        <w:rPr>
          <w:rFonts w:asciiTheme="majorHAnsi" w:hAnsiTheme="majorHAnsi" w:cstheme="majorHAnsi"/>
        </w:rPr>
        <w:t>liability</w:t>
      </w:r>
      <w:r w:rsidR="00746338" w:rsidRPr="003A4FF9">
        <w:rPr>
          <w:rFonts w:asciiTheme="majorHAnsi" w:hAnsiTheme="majorHAnsi" w:cstheme="majorHAnsi"/>
        </w:rPr>
        <w:t xml:space="preserve"> in this case</w:t>
      </w:r>
      <w:r w:rsidR="009C77CF" w:rsidRPr="003A4FF9">
        <w:rPr>
          <w:rFonts w:asciiTheme="majorHAnsi" w:hAnsiTheme="majorHAnsi" w:cstheme="majorHAnsi"/>
        </w:rPr>
        <w:t>.</w:t>
      </w:r>
      <w:r w:rsidR="00112CCD" w:rsidRPr="003A4FF9">
        <w:rPr>
          <w:rFonts w:asciiTheme="majorHAnsi" w:hAnsiTheme="majorHAnsi" w:cstheme="majorHAnsi"/>
        </w:rPr>
        <w:t xml:space="preserve"> It would be against public policy to allow a resort such as the one </w:t>
      </w:r>
      <w:r w:rsidR="00112CCD" w:rsidRPr="003A4FF9">
        <w:rPr>
          <w:rFonts w:asciiTheme="majorHAnsi" w:hAnsiTheme="majorHAnsi" w:cstheme="majorHAnsi"/>
        </w:rPr>
        <w:lastRenderedPageBreak/>
        <w:t xml:space="preserve">run by the defendant to escape liability </w:t>
      </w:r>
      <w:proofErr w:type="gramStart"/>
      <w:r w:rsidR="00112CCD" w:rsidRPr="003A4FF9">
        <w:rPr>
          <w:rFonts w:asciiTheme="majorHAnsi" w:hAnsiTheme="majorHAnsi" w:cstheme="majorHAnsi"/>
        </w:rPr>
        <w:t>on the bas</w:t>
      </w:r>
      <w:r w:rsidR="00FD3304" w:rsidRPr="003A4FF9">
        <w:rPr>
          <w:rFonts w:asciiTheme="majorHAnsi" w:hAnsiTheme="majorHAnsi" w:cstheme="majorHAnsi"/>
        </w:rPr>
        <w:t>is of</w:t>
      </w:r>
      <w:proofErr w:type="gramEnd"/>
      <w:r w:rsidR="00FD3304" w:rsidRPr="003A4FF9">
        <w:rPr>
          <w:rFonts w:asciiTheme="majorHAnsi" w:hAnsiTheme="majorHAnsi" w:cstheme="majorHAnsi"/>
        </w:rPr>
        <w:t xml:space="preserve"> either of the disclaimers</w:t>
      </w:r>
      <w:r w:rsidR="00112CCD" w:rsidRPr="003A4FF9">
        <w:rPr>
          <w:rFonts w:asciiTheme="majorHAnsi" w:hAnsiTheme="majorHAnsi" w:cstheme="majorHAnsi"/>
        </w:rPr>
        <w:t xml:space="preserve"> and specifically the second one.</w:t>
      </w:r>
    </w:p>
    <w:p w14:paraId="1BEDE62C" w14:textId="77777777" w:rsidR="00B71FE1" w:rsidRPr="005C161E" w:rsidRDefault="00B71FE1" w:rsidP="005C161E">
      <w:pPr>
        <w:pStyle w:val="ListParagraph"/>
        <w:spacing w:line="360" w:lineRule="auto"/>
        <w:jc w:val="both"/>
        <w:rPr>
          <w:rFonts w:asciiTheme="majorHAnsi" w:hAnsiTheme="majorHAnsi" w:cstheme="majorHAnsi"/>
        </w:rPr>
      </w:pPr>
    </w:p>
    <w:p w14:paraId="10A3E959" w14:textId="77777777" w:rsidR="00E5550D" w:rsidRPr="005C161E" w:rsidRDefault="0063684B" w:rsidP="005C161E">
      <w:pPr>
        <w:spacing w:line="360" w:lineRule="auto"/>
        <w:jc w:val="both"/>
        <w:rPr>
          <w:rFonts w:asciiTheme="majorHAnsi" w:hAnsiTheme="majorHAnsi" w:cstheme="majorHAnsi"/>
          <w:b/>
        </w:rPr>
      </w:pPr>
      <w:r w:rsidRPr="005C161E">
        <w:rPr>
          <w:rFonts w:asciiTheme="majorHAnsi" w:hAnsiTheme="majorHAnsi" w:cstheme="majorHAnsi"/>
          <w:b/>
        </w:rPr>
        <w:t>Conclusion</w:t>
      </w:r>
    </w:p>
    <w:p w14:paraId="7B3BBA1E" w14:textId="506BD51D" w:rsidR="00035121" w:rsidRPr="003A4FF9" w:rsidRDefault="003A4FF9" w:rsidP="003A4FF9">
      <w:pPr>
        <w:spacing w:line="360" w:lineRule="auto"/>
        <w:jc w:val="both"/>
        <w:rPr>
          <w:rFonts w:asciiTheme="majorHAnsi" w:hAnsiTheme="majorHAnsi" w:cstheme="majorHAnsi"/>
        </w:rPr>
      </w:pPr>
      <w:r w:rsidRPr="005C161E">
        <w:rPr>
          <w:rFonts w:asciiTheme="majorHAnsi" w:hAnsiTheme="majorHAnsi" w:cstheme="majorHAnsi"/>
        </w:rPr>
        <w:t>[38]</w:t>
      </w:r>
      <w:r w:rsidRPr="005C161E">
        <w:rPr>
          <w:rFonts w:asciiTheme="majorHAnsi" w:hAnsiTheme="majorHAnsi" w:cstheme="majorHAnsi"/>
        </w:rPr>
        <w:tab/>
      </w:r>
      <w:r w:rsidR="00FD3304" w:rsidRPr="003A4FF9">
        <w:rPr>
          <w:rFonts w:asciiTheme="majorHAnsi" w:hAnsiTheme="majorHAnsi" w:cstheme="majorHAnsi"/>
        </w:rPr>
        <w:t xml:space="preserve">The defendant cannot rely on the disclaimer defence in circumstances where I have found that it, acting through its directors and/or employees, was grossly negligent which caused the injuries sustained by the plaintiff. </w:t>
      </w:r>
      <w:r w:rsidR="00004E68" w:rsidRPr="003A4FF9">
        <w:rPr>
          <w:rFonts w:asciiTheme="majorHAnsi" w:hAnsiTheme="majorHAnsi" w:cstheme="majorHAnsi"/>
        </w:rPr>
        <w:t>Consequently</w:t>
      </w:r>
      <w:r w:rsidR="00642790" w:rsidRPr="003A4FF9">
        <w:rPr>
          <w:rFonts w:asciiTheme="majorHAnsi" w:hAnsiTheme="majorHAnsi" w:cstheme="majorHAnsi"/>
        </w:rPr>
        <w:t>,</w:t>
      </w:r>
      <w:r w:rsidR="00004E68" w:rsidRPr="003A4FF9">
        <w:rPr>
          <w:rFonts w:asciiTheme="majorHAnsi" w:hAnsiTheme="majorHAnsi" w:cstheme="majorHAnsi"/>
        </w:rPr>
        <w:t xml:space="preserve"> the plaintiff is entitled to success on the merits of </w:t>
      </w:r>
      <w:r w:rsidR="00642790" w:rsidRPr="003A4FF9">
        <w:rPr>
          <w:rFonts w:asciiTheme="majorHAnsi" w:hAnsiTheme="majorHAnsi" w:cstheme="majorHAnsi"/>
        </w:rPr>
        <w:t xml:space="preserve">her </w:t>
      </w:r>
      <w:r w:rsidR="00004E68" w:rsidRPr="003A4FF9">
        <w:rPr>
          <w:rFonts w:asciiTheme="majorHAnsi" w:hAnsiTheme="majorHAnsi" w:cstheme="majorHAnsi"/>
        </w:rPr>
        <w:t xml:space="preserve">claim </w:t>
      </w:r>
      <w:r w:rsidR="00EE64EB" w:rsidRPr="003A4FF9">
        <w:rPr>
          <w:rFonts w:asciiTheme="majorHAnsi" w:hAnsiTheme="majorHAnsi" w:cstheme="majorHAnsi"/>
        </w:rPr>
        <w:t>and an appropriate order will be made.</w:t>
      </w:r>
      <w:r w:rsidR="00A472F1" w:rsidRPr="003A4FF9">
        <w:rPr>
          <w:rFonts w:asciiTheme="majorHAnsi" w:hAnsiTheme="majorHAnsi" w:cstheme="majorHAnsi"/>
        </w:rPr>
        <w:t xml:space="preserve"> She is also entitled to the costs of </w:t>
      </w:r>
      <w:r w:rsidR="0090689B" w:rsidRPr="003A4FF9">
        <w:rPr>
          <w:rFonts w:asciiTheme="majorHAnsi" w:hAnsiTheme="majorHAnsi" w:cstheme="majorHAnsi"/>
        </w:rPr>
        <w:t>her senior counsel</w:t>
      </w:r>
      <w:r w:rsidR="00B869C6" w:rsidRPr="003A4FF9">
        <w:rPr>
          <w:rFonts w:asciiTheme="majorHAnsi" w:hAnsiTheme="majorHAnsi" w:cstheme="majorHAnsi"/>
        </w:rPr>
        <w:t>. T</w:t>
      </w:r>
      <w:r w:rsidR="0090689B" w:rsidRPr="003A4FF9">
        <w:rPr>
          <w:rFonts w:asciiTheme="majorHAnsi" w:hAnsiTheme="majorHAnsi" w:cstheme="majorHAnsi"/>
        </w:rPr>
        <w:t xml:space="preserve">he defendant </w:t>
      </w:r>
      <w:r w:rsidR="00FA3D1B" w:rsidRPr="003A4FF9">
        <w:rPr>
          <w:rFonts w:asciiTheme="majorHAnsi" w:hAnsiTheme="majorHAnsi" w:cstheme="majorHAnsi"/>
        </w:rPr>
        <w:t xml:space="preserve">also considered the matter </w:t>
      </w:r>
      <w:r w:rsidR="00430743" w:rsidRPr="003A4FF9">
        <w:rPr>
          <w:rFonts w:asciiTheme="majorHAnsi" w:hAnsiTheme="majorHAnsi" w:cstheme="majorHAnsi"/>
        </w:rPr>
        <w:t xml:space="preserve">sufficiently serious to </w:t>
      </w:r>
      <w:r w:rsidR="00307FD2" w:rsidRPr="003A4FF9">
        <w:rPr>
          <w:rFonts w:asciiTheme="majorHAnsi" w:hAnsiTheme="majorHAnsi" w:cstheme="majorHAnsi"/>
        </w:rPr>
        <w:t>employ senior counsel</w:t>
      </w:r>
      <w:r w:rsidR="00244223" w:rsidRPr="003A4FF9">
        <w:rPr>
          <w:rFonts w:asciiTheme="majorHAnsi" w:hAnsiTheme="majorHAnsi" w:cstheme="majorHAnsi"/>
        </w:rPr>
        <w:t xml:space="preserve"> and there is no reason not to allow the costs of her </w:t>
      </w:r>
      <w:r w:rsidR="00746338" w:rsidRPr="003A4FF9">
        <w:rPr>
          <w:rFonts w:asciiTheme="majorHAnsi" w:hAnsiTheme="majorHAnsi" w:cstheme="majorHAnsi"/>
        </w:rPr>
        <w:t xml:space="preserve">senior </w:t>
      </w:r>
      <w:r w:rsidR="00244223" w:rsidRPr="003A4FF9">
        <w:rPr>
          <w:rFonts w:asciiTheme="majorHAnsi" w:hAnsiTheme="majorHAnsi" w:cstheme="majorHAnsi"/>
        </w:rPr>
        <w:t>counsel</w:t>
      </w:r>
      <w:r w:rsidR="00307FD2" w:rsidRPr="003A4FF9">
        <w:rPr>
          <w:rFonts w:asciiTheme="majorHAnsi" w:hAnsiTheme="majorHAnsi" w:cstheme="majorHAnsi"/>
        </w:rPr>
        <w:t>.</w:t>
      </w:r>
    </w:p>
    <w:p w14:paraId="3D601958" w14:textId="77777777" w:rsidR="0015055D" w:rsidRPr="005C161E" w:rsidRDefault="0015055D" w:rsidP="005C161E">
      <w:pPr>
        <w:pStyle w:val="ListParagraph"/>
        <w:spacing w:line="360" w:lineRule="auto"/>
        <w:jc w:val="both"/>
        <w:rPr>
          <w:rFonts w:asciiTheme="majorHAnsi" w:hAnsiTheme="majorHAnsi" w:cstheme="majorHAnsi"/>
        </w:rPr>
      </w:pPr>
    </w:p>
    <w:p w14:paraId="2AB915F8" w14:textId="77777777" w:rsidR="00A45E8B" w:rsidRPr="005C161E" w:rsidRDefault="000522AF" w:rsidP="005C161E">
      <w:pPr>
        <w:pStyle w:val="ListParagraph"/>
        <w:spacing w:line="360" w:lineRule="auto"/>
        <w:jc w:val="both"/>
        <w:rPr>
          <w:rFonts w:asciiTheme="majorHAnsi" w:hAnsiTheme="majorHAnsi" w:cstheme="majorHAnsi"/>
          <w:b/>
        </w:rPr>
      </w:pPr>
      <w:r w:rsidRPr="005C161E">
        <w:rPr>
          <w:rFonts w:asciiTheme="majorHAnsi" w:hAnsiTheme="majorHAnsi" w:cstheme="majorHAnsi"/>
          <w:b/>
        </w:rPr>
        <w:t>Order</w:t>
      </w:r>
      <w:r w:rsidR="0026744A" w:rsidRPr="005C161E">
        <w:rPr>
          <w:rFonts w:asciiTheme="majorHAnsi" w:hAnsiTheme="majorHAnsi" w:cstheme="majorHAnsi"/>
          <w:b/>
        </w:rPr>
        <w:t>:</w:t>
      </w:r>
    </w:p>
    <w:p w14:paraId="198C8C22" w14:textId="004C4FFB" w:rsidR="00A45E8B" w:rsidRPr="003A4FF9" w:rsidRDefault="003A4FF9" w:rsidP="003A4FF9">
      <w:pPr>
        <w:spacing w:line="360" w:lineRule="auto"/>
        <w:ind w:hanging="11"/>
        <w:jc w:val="both"/>
        <w:rPr>
          <w:rFonts w:asciiTheme="majorHAnsi" w:hAnsiTheme="majorHAnsi" w:cstheme="majorHAnsi"/>
        </w:rPr>
      </w:pPr>
      <w:r w:rsidRPr="005C161E">
        <w:rPr>
          <w:rFonts w:asciiTheme="majorHAnsi" w:hAnsiTheme="majorHAnsi" w:cstheme="majorHAnsi"/>
        </w:rPr>
        <w:t>1.</w:t>
      </w:r>
      <w:r w:rsidRPr="005C161E">
        <w:rPr>
          <w:rFonts w:asciiTheme="majorHAnsi" w:hAnsiTheme="majorHAnsi" w:cstheme="majorHAnsi"/>
        </w:rPr>
        <w:tab/>
      </w:r>
      <w:r w:rsidR="00307FD2" w:rsidRPr="003A4FF9">
        <w:rPr>
          <w:rFonts w:asciiTheme="majorHAnsi" w:hAnsiTheme="majorHAnsi" w:cstheme="majorHAnsi"/>
        </w:rPr>
        <w:t>The</w:t>
      </w:r>
      <w:r w:rsidR="005E459B" w:rsidRPr="003A4FF9">
        <w:rPr>
          <w:rFonts w:asciiTheme="majorHAnsi" w:hAnsiTheme="majorHAnsi" w:cstheme="majorHAnsi"/>
        </w:rPr>
        <w:t xml:space="preserve"> defendant is liable to pay the plaintiff’s damages </w:t>
      </w:r>
      <w:r w:rsidR="00304A55" w:rsidRPr="003A4FF9">
        <w:rPr>
          <w:rFonts w:asciiTheme="majorHAnsi" w:hAnsiTheme="majorHAnsi" w:cstheme="majorHAnsi"/>
        </w:rPr>
        <w:t>to be proven or agreed upon</w:t>
      </w:r>
      <w:r w:rsidR="00307DCA" w:rsidRPr="003A4FF9">
        <w:rPr>
          <w:rFonts w:asciiTheme="majorHAnsi" w:hAnsiTheme="majorHAnsi" w:cstheme="majorHAnsi"/>
        </w:rPr>
        <w:t xml:space="preserve"> arising from the injuries sustained by her on 25 D</w:t>
      </w:r>
      <w:r w:rsidR="000564C7" w:rsidRPr="003A4FF9">
        <w:rPr>
          <w:rFonts w:asciiTheme="majorHAnsi" w:hAnsiTheme="majorHAnsi" w:cstheme="majorHAnsi"/>
        </w:rPr>
        <w:t>ecember 2012 on the defendant’</w:t>
      </w:r>
      <w:r w:rsidR="006937D3" w:rsidRPr="003A4FF9">
        <w:rPr>
          <w:rFonts w:asciiTheme="majorHAnsi" w:hAnsiTheme="majorHAnsi" w:cstheme="majorHAnsi"/>
        </w:rPr>
        <w:t>s premises.</w:t>
      </w:r>
    </w:p>
    <w:p w14:paraId="3FE8C14E" w14:textId="77777777" w:rsidR="00A45E8B" w:rsidRPr="005C161E" w:rsidRDefault="00A45E8B" w:rsidP="005C161E">
      <w:pPr>
        <w:spacing w:line="360" w:lineRule="auto"/>
        <w:ind w:hanging="11"/>
        <w:jc w:val="both"/>
        <w:rPr>
          <w:rFonts w:asciiTheme="majorHAnsi" w:hAnsiTheme="majorHAnsi" w:cstheme="majorHAnsi"/>
        </w:rPr>
      </w:pPr>
    </w:p>
    <w:p w14:paraId="5F4C95B7" w14:textId="28FA395D" w:rsidR="00A45E8B" w:rsidRPr="003A4FF9" w:rsidRDefault="003A4FF9" w:rsidP="003A4FF9">
      <w:pPr>
        <w:spacing w:line="360" w:lineRule="auto"/>
        <w:ind w:hanging="11"/>
        <w:jc w:val="both"/>
        <w:rPr>
          <w:rFonts w:asciiTheme="majorHAnsi" w:hAnsiTheme="majorHAnsi" w:cstheme="majorHAnsi"/>
        </w:rPr>
      </w:pPr>
      <w:r w:rsidRPr="005C161E">
        <w:rPr>
          <w:rFonts w:asciiTheme="majorHAnsi" w:hAnsiTheme="majorHAnsi" w:cstheme="majorHAnsi"/>
        </w:rPr>
        <w:t>2.</w:t>
      </w:r>
      <w:r w:rsidRPr="005C161E">
        <w:rPr>
          <w:rFonts w:asciiTheme="majorHAnsi" w:hAnsiTheme="majorHAnsi" w:cstheme="majorHAnsi"/>
        </w:rPr>
        <w:tab/>
      </w:r>
      <w:r w:rsidR="006937D3" w:rsidRPr="003A4FF9">
        <w:rPr>
          <w:rFonts w:asciiTheme="majorHAnsi" w:hAnsiTheme="majorHAnsi" w:cstheme="majorHAnsi"/>
        </w:rPr>
        <w:t>The defendant is liable for the plaintiff’s costs of the action</w:t>
      </w:r>
      <w:r w:rsidR="00F950A1" w:rsidRPr="003A4FF9">
        <w:rPr>
          <w:rFonts w:asciiTheme="majorHAnsi" w:hAnsiTheme="majorHAnsi" w:cstheme="majorHAnsi"/>
        </w:rPr>
        <w:t xml:space="preserve">, inclusive of the </w:t>
      </w:r>
      <w:r w:rsidR="00304A55" w:rsidRPr="003A4FF9">
        <w:rPr>
          <w:rFonts w:asciiTheme="majorHAnsi" w:hAnsiTheme="majorHAnsi" w:cstheme="majorHAnsi"/>
        </w:rPr>
        <w:t xml:space="preserve">trial </w:t>
      </w:r>
      <w:r w:rsidR="00F950A1" w:rsidRPr="003A4FF9">
        <w:rPr>
          <w:rFonts w:asciiTheme="majorHAnsi" w:hAnsiTheme="majorHAnsi" w:cstheme="majorHAnsi"/>
        </w:rPr>
        <w:t xml:space="preserve">costs </w:t>
      </w:r>
      <w:r w:rsidR="00304A55" w:rsidRPr="003A4FF9">
        <w:rPr>
          <w:rFonts w:asciiTheme="majorHAnsi" w:hAnsiTheme="majorHAnsi" w:cstheme="majorHAnsi"/>
        </w:rPr>
        <w:t xml:space="preserve">of </w:t>
      </w:r>
      <w:r w:rsidR="0070318B" w:rsidRPr="003A4FF9">
        <w:rPr>
          <w:rFonts w:asciiTheme="majorHAnsi" w:hAnsiTheme="majorHAnsi" w:cstheme="majorHAnsi"/>
        </w:rPr>
        <w:t xml:space="preserve">31 October 2022, </w:t>
      </w:r>
      <w:r w:rsidR="00304A55" w:rsidRPr="003A4FF9">
        <w:rPr>
          <w:rFonts w:asciiTheme="majorHAnsi" w:hAnsiTheme="majorHAnsi" w:cstheme="majorHAnsi"/>
        </w:rPr>
        <w:t>0</w:t>
      </w:r>
      <w:r w:rsidR="0070318B" w:rsidRPr="003A4FF9">
        <w:rPr>
          <w:rFonts w:asciiTheme="majorHAnsi" w:hAnsiTheme="majorHAnsi" w:cstheme="majorHAnsi"/>
        </w:rPr>
        <w:t xml:space="preserve">1 November </w:t>
      </w:r>
      <w:proofErr w:type="gramStart"/>
      <w:r w:rsidR="0070318B" w:rsidRPr="003A4FF9">
        <w:rPr>
          <w:rFonts w:asciiTheme="majorHAnsi" w:hAnsiTheme="majorHAnsi" w:cstheme="majorHAnsi"/>
        </w:rPr>
        <w:t>2022</w:t>
      </w:r>
      <w:proofErr w:type="gramEnd"/>
      <w:r w:rsidR="0070318B" w:rsidRPr="003A4FF9">
        <w:rPr>
          <w:rFonts w:asciiTheme="majorHAnsi" w:hAnsiTheme="majorHAnsi" w:cstheme="majorHAnsi"/>
        </w:rPr>
        <w:t xml:space="preserve"> and </w:t>
      </w:r>
      <w:r w:rsidR="00304A55" w:rsidRPr="003A4FF9">
        <w:rPr>
          <w:rFonts w:asciiTheme="majorHAnsi" w:hAnsiTheme="majorHAnsi" w:cstheme="majorHAnsi"/>
        </w:rPr>
        <w:t>0</w:t>
      </w:r>
      <w:r w:rsidR="0070318B" w:rsidRPr="003A4FF9">
        <w:rPr>
          <w:rFonts w:asciiTheme="majorHAnsi" w:hAnsiTheme="majorHAnsi" w:cstheme="majorHAnsi"/>
        </w:rPr>
        <w:t>4 November 2022, including the costs of se</w:t>
      </w:r>
      <w:r w:rsidR="009473B9" w:rsidRPr="003A4FF9">
        <w:rPr>
          <w:rFonts w:asciiTheme="majorHAnsi" w:hAnsiTheme="majorHAnsi" w:cstheme="majorHAnsi"/>
        </w:rPr>
        <w:t>nior counsel.</w:t>
      </w:r>
    </w:p>
    <w:p w14:paraId="18187928" w14:textId="77777777" w:rsidR="0026744A" w:rsidRPr="006D2371" w:rsidRDefault="0026744A" w:rsidP="007247A3">
      <w:pPr>
        <w:pStyle w:val="ListParagraph"/>
        <w:spacing w:line="360" w:lineRule="auto"/>
        <w:ind w:left="1440"/>
        <w:jc w:val="both"/>
        <w:rPr>
          <w:rFonts w:asciiTheme="majorHAnsi" w:hAnsiTheme="majorHAnsi" w:cstheme="majorHAnsi"/>
        </w:rPr>
      </w:pPr>
    </w:p>
    <w:p w14:paraId="7DECA7AE" w14:textId="77777777" w:rsidR="00A14592" w:rsidRPr="006D2371" w:rsidRDefault="00A14592" w:rsidP="001F55E0">
      <w:pPr>
        <w:tabs>
          <w:tab w:val="right" w:pos="8222"/>
        </w:tabs>
        <w:jc w:val="right"/>
        <w:rPr>
          <w:rFonts w:asciiTheme="majorHAnsi" w:hAnsiTheme="majorHAnsi" w:cstheme="majorHAnsi"/>
        </w:rPr>
      </w:pPr>
      <w:r w:rsidRPr="006D2371">
        <w:rPr>
          <w:rFonts w:asciiTheme="majorHAnsi" w:hAnsiTheme="majorHAnsi" w:cstheme="majorHAnsi"/>
        </w:rPr>
        <w:t>___________________</w:t>
      </w:r>
    </w:p>
    <w:p w14:paraId="7AE9A83B" w14:textId="77777777" w:rsidR="00A14592" w:rsidRDefault="00A14592" w:rsidP="001F55E0">
      <w:pPr>
        <w:tabs>
          <w:tab w:val="right" w:pos="8222"/>
        </w:tabs>
        <w:jc w:val="right"/>
        <w:rPr>
          <w:rFonts w:asciiTheme="majorHAnsi" w:hAnsiTheme="majorHAnsi" w:cstheme="majorHAnsi"/>
          <w:b/>
        </w:rPr>
      </w:pPr>
      <w:r w:rsidRPr="006D2371">
        <w:rPr>
          <w:rFonts w:asciiTheme="majorHAnsi" w:hAnsiTheme="majorHAnsi" w:cstheme="majorHAnsi"/>
          <w:b/>
        </w:rPr>
        <w:t>J P DAFFUE, J</w:t>
      </w:r>
    </w:p>
    <w:p w14:paraId="70E7E088" w14:textId="77777777" w:rsidR="0030233B" w:rsidRDefault="0030233B" w:rsidP="001F55E0">
      <w:pPr>
        <w:tabs>
          <w:tab w:val="right" w:pos="8222"/>
        </w:tabs>
        <w:jc w:val="right"/>
        <w:rPr>
          <w:rFonts w:asciiTheme="majorHAnsi" w:hAnsiTheme="majorHAnsi" w:cstheme="majorHAnsi"/>
          <w:b/>
        </w:rPr>
      </w:pPr>
    </w:p>
    <w:p w14:paraId="0A9DC06A" w14:textId="77777777" w:rsidR="0026744A" w:rsidRPr="006D2371" w:rsidRDefault="0026744A" w:rsidP="001F55E0">
      <w:pPr>
        <w:tabs>
          <w:tab w:val="left" w:pos="3402"/>
          <w:tab w:val="right" w:pos="8222"/>
        </w:tabs>
        <w:rPr>
          <w:rFonts w:asciiTheme="majorHAnsi" w:hAnsiTheme="majorHAnsi" w:cstheme="majorHAnsi"/>
        </w:rPr>
      </w:pPr>
    </w:p>
    <w:p w14:paraId="60EB517C" w14:textId="77777777" w:rsidR="00A14592" w:rsidRPr="006D2371" w:rsidRDefault="00A14592" w:rsidP="001F55E0">
      <w:pPr>
        <w:tabs>
          <w:tab w:val="left" w:pos="3402"/>
          <w:tab w:val="right" w:pos="8222"/>
        </w:tabs>
        <w:rPr>
          <w:rFonts w:asciiTheme="majorHAnsi" w:hAnsiTheme="majorHAnsi" w:cstheme="majorHAnsi"/>
        </w:rPr>
      </w:pPr>
      <w:r w:rsidRPr="006D2371">
        <w:rPr>
          <w:rFonts w:asciiTheme="majorHAnsi" w:hAnsiTheme="majorHAnsi" w:cstheme="majorHAnsi"/>
        </w:rPr>
        <w:t>On behalf of the</w:t>
      </w:r>
      <w:r w:rsidR="00060F65" w:rsidRPr="006D2371">
        <w:rPr>
          <w:rFonts w:asciiTheme="majorHAnsi" w:hAnsiTheme="majorHAnsi" w:cstheme="majorHAnsi"/>
        </w:rPr>
        <w:t xml:space="preserve"> </w:t>
      </w:r>
      <w:r w:rsidR="00A1768E" w:rsidRPr="006D2371">
        <w:rPr>
          <w:rFonts w:asciiTheme="majorHAnsi" w:hAnsiTheme="majorHAnsi" w:cstheme="majorHAnsi"/>
        </w:rPr>
        <w:t>Plaintiff</w:t>
      </w:r>
      <w:r w:rsidR="00060F65" w:rsidRPr="006D2371">
        <w:rPr>
          <w:rFonts w:asciiTheme="majorHAnsi" w:hAnsiTheme="majorHAnsi" w:cstheme="majorHAnsi"/>
        </w:rPr>
        <w:t xml:space="preserve">:     </w:t>
      </w:r>
      <w:r w:rsidR="00060F65" w:rsidRPr="006D2371">
        <w:rPr>
          <w:rFonts w:asciiTheme="majorHAnsi" w:hAnsiTheme="majorHAnsi" w:cstheme="majorHAnsi"/>
        </w:rPr>
        <w:tab/>
      </w:r>
      <w:r w:rsidRPr="006D2371">
        <w:rPr>
          <w:rFonts w:asciiTheme="majorHAnsi" w:hAnsiTheme="majorHAnsi" w:cstheme="majorHAnsi"/>
        </w:rPr>
        <w:t xml:space="preserve">Adv </w:t>
      </w:r>
      <w:r w:rsidR="00B854C7" w:rsidRPr="006D2371">
        <w:rPr>
          <w:rFonts w:asciiTheme="majorHAnsi" w:hAnsiTheme="majorHAnsi" w:cstheme="majorHAnsi"/>
        </w:rPr>
        <w:t xml:space="preserve">EJ Ferreira </w:t>
      </w:r>
      <w:r w:rsidR="00BC6C39" w:rsidRPr="006D2371">
        <w:rPr>
          <w:rFonts w:asciiTheme="majorHAnsi" w:hAnsiTheme="majorHAnsi" w:cstheme="majorHAnsi"/>
        </w:rPr>
        <w:t>SC</w:t>
      </w:r>
    </w:p>
    <w:p w14:paraId="3EA1FDFB" w14:textId="77777777" w:rsidR="00A14592" w:rsidRPr="006D2371" w:rsidRDefault="00A14592" w:rsidP="001F55E0">
      <w:pPr>
        <w:tabs>
          <w:tab w:val="left" w:pos="3402"/>
          <w:tab w:val="right" w:pos="8222"/>
        </w:tabs>
        <w:rPr>
          <w:rFonts w:asciiTheme="majorHAnsi" w:hAnsiTheme="majorHAnsi" w:cstheme="majorHAnsi"/>
        </w:rPr>
      </w:pPr>
      <w:r w:rsidRPr="006D2371">
        <w:rPr>
          <w:rFonts w:asciiTheme="majorHAnsi" w:hAnsiTheme="majorHAnsi" w:cstheme="majorHAnsi"/>
        </w:rPr>
        <w:t xml:space="preserve">Instructed by:                     </w:t>
      </w:r>
      <w:r w:rsidR="00060F65" w:rsidRPr="006D2371">
        <w:rPr>
          <w:rFonts w:asciiTheme="majorHAnsi" w:hAnsiTheme="majorHAnsi" w:cstheme="majorHAnsi"/>
        </w:rPr>
        <w:tab/>
      </w:r>
      <w:r w:rsidR="00A1768E" w:rsidRPr="006D2371">
        <w:rPr>
          <w:rFonts w:asciiTheme="majorHAnsi" w:hAnsiTheme="majorHAnsi" w:cstheme="majorHAnsi"/>
        </w:rPr>
        <w:t xml:space="preserve">LB Attorneys </w:t>
      </w:r>
    </w:p>
    <w:p w14:paraId="67994A4B" w14:textId="77777777" w:rsidR="00A1768E" w:rsidRPr="006D2371" w:rsidRDefault="00A1768E" w:rsidP="001F55E0">
      <w:pPr>
        <w:tabs>
          <w:tab w:val="left" w:pos="3402"/>
          <w:tab w:val="right" w:pos="8222"/>
        </w:tabs>
        <w:rPr>
          <w:rFonts w:asciiTheme="majorHAnsi" w:hAnsiTheme="majorHAnsi" w:cstheme="majorHAnsi"/>
        </w:rPr>
      </w:pPr>
      <w:r w:rsidRPr="006D2371">
        <w:rPr>
          <w:rFonts w:asciiTheme="majorHAnsi" w:hAnsiTheme="majorHAnsi" w:cstheme="majorHAnsi"/>
        </w:rPr>
        <w:tab/>
        <w:t>c/o McIntyre &amp; Van Der Post</w:t>
      </w:r>
    </w:p>
    <w:p w14:paraId="7EC3FD5A" w14:textId="77777777" w:rsidR="00A14592" w:rsidRPr="006D2371" w:rsidRDefault="00A14592" w:rsidP="001F55E0">
      <w:pPr>
        <w:tabs>
          <w:tab w:val="left" w:pos="3402"/>
          <w:tab w:val="right" w:pos="8222"/>
        </w:tabs>
        <w:rPr>
          <w:rFonts w:asciiTheme="majorHAnsi" w:hAnsiTheme="majorHAnsi" w:cstheme="majorHAnsi"/>
        </w:rPr>
      </w:pPr>
      <w:r w:rsidRPr="006D2371">
        <w:rPr>
          <w:rFonts w:asciiTheme="majorHAnsi" w:hAnsiTheme="majorHAnsi" w:cstheme="majorHAnsi"/>
        </w:rPr>
        <w:t xml:space="preserve">                  </w:t>
      </w:r>
      <w:r w:rsidR="00060F65" w:rsidRPr="006D2371">
        <w:rPr>
          <w:rFonts w:asciiTheme="majorHAnsi" w:hAnsiTheme="majorHAnsi" w:cstheme="majorHAnsi"/>
        </w:rPr>
        <w:t xml:space="preserve">                             </w:t>
      </w:r>
      <w:r w:rsidR="00060F65" w:rsidRPr="006D2371">
        <w:rPr>
          <w:rFonts w:asciiTheme="majorHAnsi" w:hAnsiTheme="majorHAnsi" w:cstheme="majorHAnsi"/>
        </w:rPr>
        <w:tab/>
      </w:r>
      <w:r w:rsidRPr="006D2371">
        <w:rPr>
          <w:rFonts w:asciiTheme="majorHAnsi" w:hAnsiTheme="majorHAnsi" w:cstheme="majorHAnsi"/>
        </w:rPr>
        <w:t>BLOEMFONTEIN</w:t>
      </w:r>
    </w:p>
    <w:p w14:paraId="3FDB6B4B" w14:textId="77777777" w:rsidR="00A14592" w:rsidRPr="006D2371" w:rsidRDefault="00A14592" w:rsidP="001F55E0">
      <w:pPr>
        <w:tabs>
          <w:tab w:val="left" w:pos="3402"/>
          <w:tab w:val="right" w:pos="8222"/>
        </w:tabs>
        <w:rPr>
          <w:rFonts w:asciiTheme="majorHAnsi" w:hAnsiTheme="majorHAnsi" w:cstheme="majorHAnsi"/>
        </w:rPr>
      </w:pPr>
    </w:p>
    <w:p w14:paraId="5FAFF0FD" w14:textId="77777777" w:rsidR="00A14592" w:rsidRPr="006D2371" w:rsidRDefault="00A14592" w:rsidP="001F55E0">
      <w:pPr>
        <w:tabs>
          <w:tab w:val="left" w:pos="3402"/>
          <w:tab w:val="right" w:pos="8222"/>
        </w:tabs>
        <w:jc w:val="both"/>
        <w:rPr>
          <w:rFonts w:asciiTheme="majorHAnsi" w:hAnsiTheme="majorHAnsi" w:cstheme="majorHAnsi"/>
        </w:rPr>
      </w:pPr>
      <w:r w:rsidRPr="006D2371">
        <w:rPr>
          <w:rFonts w:asciiTheme="majorHAnsi" w:hAnsiTheme="majorHAnsi" w:cstheme="majorHAnsi"/>
        </w:rPr>
        <w:t xml:space="preserve">On behalf of the </w:t>
      </w:r>
      <w:r w:rsidR="00A1768E" w:rsidRPr="006D2371">
        <w:rPr>
          <w:rFonts w:asciiTheme="majorHAnsi" w:hAnsiTheme="majorHAnsi" w:cstheme="majorHAnsi"/>
        </w:rPr>
        <w:t>Defendant</w:t>
      </w:r>
      <w:r w:rsidR="00060F65" w:rsidRPr="006D2371">
        <w:rPr>
          <w:rFonts w:asciiTheme="majorHAnsi" w:hAnsiTheme="majorHAnsi" w:cstheme="majorHAnsi"/>
        </w:rPr>
        <w:t>:</w:t>
      </w:r>
      <w:r w:rsidR="00060F65" w:rsidRPr="006D2371">
        <w:rPr>
          <w:rFonts w:asciiTheme="majorHAnsi" w:hAnsiTheme="majorHAnsi" w:cstheme="majorHAnsi"/>
        </w:rPr>
        <w:tab/>
      </w:r>
      <w:r w:rsidR="00592287" w:rsidRPr="006D2371">
        <w:rPr>
          <w:rFonts w:asciiTheme="majorHAnsi" w:hAnsiTheme="majorHAnsi" w:cstheme="majorHAnsi"/>
        </w:rPr>
        <w:t xml:space="preserve">Adv </w:t>
      </w:r>
      <w:r w:rsidR="00B854C7" w:rsidRPr="006D2371">
        <w:rPr>
          <w:rFonts w:asciiTheme="majorHAnsi" w:hAnsiTheme="majorHAnsi" w:cstheme="majorHAnsi"/>
        </w:rPr>
        <w:t xml:space="preserve">PJJ </w:t>
      </w:r>
      <w:proofErr w:type="spellStart"/>
      <w:r w:rsidR="00B854C7" w:rsidRPr="006D2371">
        <w:rPr>
          <w:rFonts w:asciiTheme="majorHAnsi" w:hAnsiTheme="majorHAnsi" w:cstheme="majorHAnsi"/>
        </w:rPr>
        <w:t>Zietsman</w:t>
      </w:r>
      <w:proofErr w:type="spellEnd"/>
      <w:r w:rsidR="00B854C7" w:rsidRPr="006D2371">
        <w:rPr>
          <w:rFonts w:asciiTheme="majorHAnsi" w:hAnsiTheme="majorHAnsi" w:cstheme="majorHAnsi"/>
        </w:rPr>
        <w:t xml:space="preserve"> </w:t>
      </w:r>
      <w:r w:rsidR="00BC6C39" w:rsidRPr="006D2371">
        <w:rPr>
          <w:rFonts w:asciiTheme="majorHAnsi" w:hAnsiTheme="majorHAnsi" w:cstheme="majorHAnsi"/>
        </w:rPr>
        <w:t>SC</w:t>
      </w:r>
    </w:p>
    <w:p w14:paraId="7BBD0474" w14:textId="77777777" w:rsidR="00A14592" w:rsidRPr="006D2371" w:rsidRDefault="00A14592" w:rsidP="001F55E0">
      <w:pPr>
        <w:tabs>
          <w:tab w:val="left" w:pos="3402"/>
          <w:tab w:val="right" w:pos="8222"/>
        </w:tabs>
        <w:jc w:val="both"/>
        <w:rPr>
          <w:rFonts w:asciiTheme="majorHAnsi" w:hAnsiTheme="majorHAnsi" w:cstheme="majorHAnsi"/>
        </w:rPr>
      </w:pPr>
      <w:r w:rsidRPr="006D2371">
        <w:rPr>
          <w:rFonts w:asciiTheme="majorHAnsi" w:hAnsiTheme="majorHAnsi" w:cstheme="majorHAnsi"/>
        </w:rPr>
        <w:t>Instructed by</w:t>
      </w:r>
      <w:r w:rsidR="00060F65" w:rsidRPr="006D2371">
        <w:rPr>
          <w:rFonts w:asciiTheme="majorHAnsi" w:hAnsiTheme="majorHAnsi" w:cstheme="majorHAnsi"/>
        </w:rPr>
        <w:t>:</w:t>
      </w:r>
      <w:r w:rsidR="00060F65" w:rsidRPr="006D2371">
        <w:rPr>
          <w:rFonts w:asciiTheme="majorHAnsi" w:hAnsiTheme="majorHAnsi" w:cstheme="majorHAnsi"/>
        </w:rPr>
        <w:tab/>
      </w:r>
      <w:r w:rsidR="004F2355" w:rsidRPr="006D2371">
        <w:rPr>
          <w:rFonts w:asciiTheme="majorHAnsi" w:hAnsiTheme="majorHAnsi" w:cstheme="majorHAnsi"/>
        </w:rPr>
        <w:t xml:space="preserve">Honey </w:t>
      </w:r>
      <w:r w:rsidR="000D5F4B" w:rsidRPr="006D2371">
        <w:rPr>
          <w:rFonts w:asciiTheme="majorHAnsi" w:hAnsiTheme="majorHAnsi" w:cstheme="majorHAnsi"/>
        </w:rPr>
        <w:t>Inc</w:t>
      </w:r>
    </w:p>
    <w:p w14:paraId="1D60E196" w14:textId="77777777" w:rsidR="00A14592" w:rsidRPr="006D2371" w:rsidRDefault="00060F65" w:rsidP="00CE5366">
      <w:pPr>
        <w:tabs>
          <w:tab w:val="left" w:pos="3402"/>
          <w:tab w:val="right" w:pos="8222"/>
        </w:tabs>
        <w:jc w:val="both"/>
        <w:rPr>
          <w:rFonts w:asciiTheme="majorHAnsi" w:hAnsiTheme="majorHAnsi" w:cstheme="majorHAnsi"/>
        </w:rPr>
      </w:pPr>
      <w:r w:rsidRPr="006D2371">
        <w:rPr>
          <w:rFonts w:asciiTheme="majorHAnsi" w:hAnsiTheme="majorHAnsi" w:cstheme="majorHAnsi"/>
        </w:rPr>
        <w:tab/>
      </w:r>
      <w:r w:rsidR="00A14592" w:rsidRPr="006D2371">
        <w:rPr>
          <w:rFonts w:asciiTheme="majorHAnsi" w:hAnsiTheme="majorHAnsi" w:cstheme="majorHAnsi"/>
        </w:rPr>
        <w:t>BLOEMFONTEIN</w:t>
      </w:r>
    </w:p>
    <w:sectPr w:rsidR="00A14592" w:rsidRPr="006D2371" w:rsidSect="00374F53">
      <w:headerReference w:type="default" r:id="rId10"/>
      <w:headerReference w:type="first" r:id="rId11"/>
      <w:footerReference w:type="first" r:id="rId12"/>
      <w:pgSz w:w="11907" w:h="16840" w:code="9"/>
      <w:pgMar w:top="1134" w:right="1440" w:bottom="113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63C1" w14:textId="77777777" w:rsidR="0066355D" w:rsidRDefault="0066355D" w:rsidP="00F404A4">
      <w:r>
        <w:separator/>
      </w:r>
    </w:p>
  </w:endnote>
  <w:endnote w:type="continuationSeparator" w:id="0">
    <w:p w14:paraId="1ECE0547" w14:textId="77777777" w:rsidR="0066355D" w:rsidRDefault="0066355D"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7A9B" w14:textId="77777777" w:rsidR="00687104" w:rsidRDefault="00687104">
    <w:pPr>
      <w:pStyle w:val="Footer"/>
      <w:rPr>
        <w:color w:val="FF0000"/>
      </w:rPr>
    </w:pPr>
  </w:p>
  <w:p w14:paraId="7585403B" w14:textId="77777777" w:rsidR="00687104" w:rsidRDefault="00687104">
    <w:pPr>
      <w:pStyle w:val="Footer"/>
      <w:rPr>
        <w:color w:val="FF0000"/>
      </w:rPr>
    </w:pPr>
  </w:p>
  <w:p w14:paraId="13FE12EB" w14:textId="77777777" w:rsidR="00687104" w:rsidRPr="00374F53" w:rsidRDefault="00687104">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F6AF" w14:textId="77777777" w:rsidR="0066355D" w:rsidRDefault="0066355D" w:rsidP="00F404A4">
      <w:r>
        <w:separator/>
      </w:r>
    </w:p>
  </w:footnote>
  <w:footnote w:type="continuationSeparator" w:id="0">
    <w:p w14:paraId="48CDC9A5" w14:textId="77777777" w:rsidR="0066355D" w:rsidRDefault="0066355D" w:rsidP="00F404A4">
      <w:r>
        <w:continuationSeparator/>
      </w:r>
    </w:p>
  </w:footnote>
  <w:footnote w:id="1">
    <w:p w14:paraId="0C2C4D03" w14:textId="77777777" w:rsidR="00687104" w:rsidRPr="00977A7F" w:rsidRDefault="00687104">
      <w:pPr>
        <w:pStyle w:val="FootnoteText"/>
        <w:rPr>
          <w:lang w:val="en-GB"/>
        </w:rPr>
      </w:pPr>
      <w:r w:rsidRPr="00977A7F">
        <w:rPr>
          <w:rStyle w:val="FootnoteReference"/>
        </w:rPr>
        <w:footnoteRef/>
      </w:r>
      <w:r w:rsidRPr="00977A7F">
        <w:t xml:space="preserve"> [2011] ZACC 4; </w:t>
      </w:r>
      <w:r w:rsidRPr="00977A7F">
        <w:rPr>
          <w:lang w:val="en-GB"/>
        </w:rPr>
        <w:t>2011 (3) SA 274 (CC) at para 122.</w:t>
      </w:r>
    </w:p>
  </w:footnote>
  <w:footnote w:id="2">
    <w:p w14:paraId="1A932F87" w14:textId="77777777" w:rsidR="00687104" w:rsidRPr="000E6E63" w:rsidRDefault="00687104">
      <w:pPr>
        <w:pStyle w:val="FootnoteText"/>
        <w:rPr>
          <w:lang w:val="en-GB"/>
        </w:rPr>
      </w:pPr>
      <w:r>
        <w:rPr>
          <w:rStyle w:val="FootnoteReference"/>
        </w:rPr>
        <w:footnoteRef/>
      </w:r>
      <w:r>
        <w:t xml:space="preserve"> </w:t>
      </w:r>
      <w:r>
        <w:rPr>
          <w:lang w:val="en-GB"/>
        </w:rPr>
        <w:t xml:space="preserve">1966 (2) SA 428 (A) at p 430 E – F; see also </w:t>
      </w:r>
      <w:r w:rsidRPr="00D002D3">
        <w:rPr>
          <w:i/>
          <w:iCs/>
          <w:lang w:val="en-GB"/>
        </w:rPr>
        <w:t>Jacobs v Transnet Ltd t/a Metrorail</w:t>
      </w:r>
      <w:r>
        <w:rPr>
          <w:lang w:val="en-GB"/>
        </w:rPr>
        <w:t xml:space="preserve"> [2014] ZASCA 113; 2015 (1) SA 139 (SCA) para 6, confirming the dictum and explaining that </w:t>
      </w:r>
      <w:r w:rsidRPr="000E6E63">
        <w:rPr>
          <w:lang w:val="en-GB"/>
        </w:rPr>
        <w:t>the</w:t>
      </w:r>
      <w:r w:rsidRPr="000E6E63">
        <w:rPr>
          <w:color w:val="000000"/>
        </w:rPr>
        <w:t xml:space="preserve"> test rests on two bases, namely reasonable foreseeability and the reas</w:t>
      </w:r>
      <w:r>
        <w:rPr>
          <w:color w:val="000000"/>
        </w:rPr>
        <w:t xml:space="preserve">onable preventability of damage; in </w:t>
      </w:r>
      <w:r w:rsidRPr="00461BE2">
        <w:rPr>
          <w:i/>
          <w:color w:val="000000"/>
        </w:rPr>
        <w:t>Ngubane v South African Transport Services</w:t>
      </w:r>
      <w:r>
        <w:rPr>
          <w:color w:val="000000"/>
        </w:rPr>
        <w:t xml:space="preserve"> 1991 (1) SA 756 (A) at 776G – 777 the court identified four considerations influencing the reaction of the reasonable man in a situation involving foreseeable harm to others, to wit (a) the degree or extent of the risk created by the actor’s conduct, (b) the gravity of the possible consequences if the risk materialises, (c) the utility of the actor’s conduct, and (d) the burden of eliminating the risk of harm.</w:t>
      </w:r>
    </w:p>
  </w:footnote>
  <w:footnote w:id="3">
    <w:p w14:paraId="1B9313CE" w14:textId="77777777" w:rsidR="00687104" w:rsidRPr="00E569AC" w:rsidRDefault="00687104" w:rsidP="00FC37C6">
      <w:pPr>
        <w:pStyle w:val="FootnoteText"/>
        <w:rPr>
          <w:lang w:val="en-GB"/>
        </w:rPr>
      </w:pPr>
      <w:r>
        <w:rPr>
          <w:rStyle w:val="FootnoteReference"/>
        </w:rPr>
        <w:footnoteRef/>
      </w:r>
      <w:r>
        <w:t xml:space="preserve"> </w:t>
      </w:r>
      <w:r>
        <w:rPr>
          <w:lang w:val="en-GB"/>
        </w:rPr>
        <w:t>2003 (2) SA 473 (SCA)</w:t>
      </w:r>
      <w:r w:rsidR="00165C0E">
        <w:rPr>
          <w:lang w:val="en-GB"/>
        </w:rPr>
        <w:t>.</w:t>
      </w:r>
    </w:p>
  </w:footnote>
  <w:footnote w:id="4">
    <w:p w14:paraId="746B7D6E" w14:textId="77777777" w:rsidR="00687104" w:rsidRPr="004B71CD" w:rsidRDefault="00687104" w:rsidP="00FC37C6">
      <w:pPr>
        <w:pStyle w:val="FootnoteText"/>
        <w:rPr>
          <w:lang w:val="en-GB"/>
        </w:rPr>
      </w:pPr>
      <w:r>
        <w:rPr>
          <w:rStyle w:val="FootnoteReference"/>
        </w:rPr>
        <w:footnoteRef/>
      </w:r>
      <w:r>
        <w:t xml:space="preserve"> </w:t>
      </w:r>
      <w:r w:rsidRPr="00165C0E">
        <w:rPr>
          <w:i/>
          <w:lang w:val="en-GB"/>
        </w:rPr>
        <w:t xml:space="preserve">Ibid </w:t>
      </w:r>
      <w:r>
        <w:rPr>
          <w:lang w:val="en-GB"/>
        </w:rPr>
        <w:t>para 7</w:t>
      </w:r>
      <w:r w:rsidR="00165C0E">
        <w:rPr>
          <w:lang w:val="en-GB"/>
        </w:rPr>
        <w:t>.</w:t>
      </w:r>
    </w:p>
  </w:footnote>
  <w:footnote w:id="5">
    <w:p w14:paraId="5AB7DC9F" w14:textId="77777777" w:rsidR="009A07AD" w:rsidRPr="00390556" w:rsidRDefault="009A07AD" w:rsidP="009A07AD">
      <w:pPr>
        <w:pStyle w:val="FootnoteText"/>
        <w:rPr>
          <w:lang w:val="en-US"/>
        </w:rPr>
      </w:pPr>
      <w:r>
        <w:rPr>
          <w:rStyle w:val="FootnoteReference"/>
        </w:rPr>
        <w:footnoteRef/>
      </w:r>
      <w:r>
        <w:t xml:space="preserve"> </w:t>
      </w:r>
      <w:r>
        <w:rPr>
          <w:lang w:val="en-US"/>
        </w:rPr>
        <w:t>1969 (1) SA 553 (A) at p 559.</w:t>
      </w:r>
    </w:p>
  </w:footnote>
  <w:footnote w:id="6">
    <w:p w14:paraId="5A979CBF" w14:textId="77777777" w:rsidR="00687104" w:rsidRPr="00B71956" w:rsidRDefault="00687104">
      <w:pPr>
        <w:pStyle w:val="FootnoteText"/>
        <w:rPr>
          <w:lang w:val="en-US"/>
        </w:rPr>
      </w:pPr>
      <w:r>
        <w:rPr>
          <w:rStyle w:val="FootnoteReference"/>
        </w:rPr>
        <w:footnoteRef/>
      </w:r>
      <w:r>
        <w:t xml:space="preserve"> </w:t>
      </w:r>
      <w:r w:rsidR="00F74FF2">
        <w:rPr>
          <w:lang w:val="en-US"/>
        </w:rPr>
        <w:t>2000 (1) SA 1 (CC)</w:t>
      </w:r>
      <w:r w:rsidR="00A83257">
        <w:rPr>
          <w:lang w:val="en-US"/>
        </w:rPr>
        <w:t xml:space="preserve"> para </w:t>
      </w:r>
      <w:r w:rsidR="00752AD7">
        <w:rPr>
          <w:lang w:val="en-US"/>
        </w:rPr>
        <w:t>63</w:t>
      </w:r>
      <w:r w:rsidR="0095004F">
        <w:rPr>
          <w:lang w:val="en-US"/>
        </w:rPr>
        <w:t>.</w:t>
      </w:r>
    </w:p>
  </w:footnote>
  <w:footnote w:id="7">
    <w:p w14:paraId="05653530" w14:textId="77777777" w:rsidR="00687104" w:rsidRPr="00977A7F" w:rsidRDefault="00687104" w:rsidP="00565D6F">
      <w:pPr>
        <w:pStyle w:val="FootnoteText"/>
        <w:rPr>
          <w:lang w:val="en-GB"/>
        </w:rPr>
      </w:pPr>
      <w:r w:rsidRPr="00977A7F">
        <w:rPr>
          <w:rStyle w:val="FootnoteReference"/>
        </w:rPr>
        <w:footnoteRef/>
      </w:r>
      <w:r w:rsidRPr="00977A7F">
        <w:t xml:space="preserve"> </w:t>
      </w:r>
      <w:r w:rsidRPr="000470A9">
        <w:rPr>
          <w:i/>
          <w:lang w:val="en-GB"/>
        </w:rPr>
        <w:t>Venter v Credit Guarantee Corporation</w:t>
      </w:r>
      <w:r w:rsidR="000470A9">
        <w:rPr>
          <w:lang w:val="en-GB"/>
        </w:rPr>
        <w:t xml:space="preserve"> </w:t>
      </w:r>
      <w:r w:rsidRPr="00977A7F">
        <w:rPr>
          <w:lang w:val="en-GB"/>
        </w:rPr>
        <w:t xml:space="preserve">1996 (3) SA 966 (A) at </w:t>
      </w:r>
      <w:r w:rsidR="00F74FF2">
        <w:rPr>
          <w:lang w:val="en-GB"/>
        </w:rPr>
        <w:t xml:space="preserve">p </w:t>
      </w:r>
      <w:r w:rsidRPr="00977A7F">
        <w:rPr>
          <w:lang w:val="en-GB"/>
        </w:rPr>
        <w:t>980.</w:t>
      </w:r>
    </w:p>
  </w:footnote>
  <w:footnote w:id="8">
    <w:p w14:paraId="16B63833" w14:textId="77777777" w:rsidR="002E242F" w:rsidRPr="00977A7F" w:rsidRDefault="002E242F" w:rsidP="002E242F">
      <w:pPr>
        <w:pStyle w:val="FootnoteText"/>
        <w:rPr>
          <w:lang w:val="en-GB"/>
        </w:rPr>
      </w:pPr>
      <w:r w:rsidRPr="00977A7F">
        <w:rPr>
          <w:rStyle w:val="FootnoteReference"/>
        </w:rPr>
        <w:footnoteRef/>
      </w:r>
      <w:r w:rsidRPr="00977A7F">
        <w:t xml:space="preserve"> </w:t>
      </w:r>
      <w:r>
        <w:rPr>
          <w:lang w:val="en-GB"/>
        </w:rPr>
        <w:t>1999 (1) SA 982 (SCA).</w:t>
      </w:r>
    </w:p>
  </w:footnote>
  <w:footnote w:id="9">
    <w:p w14:paraId="6796B41F" w14:textId="77777777" w:rsidR="00205651" w:rsidRPr="007A28CD" w:rsidRDefault="00205651" w:rsidP="00205651">
      <w:pPr>
        <w:pStyle w:val="FootnoteText"/>
        <w:rPr>
          <w:lang w:val="en-US"/>
        </w:rPr>
      </w:pPr>
      <w:r>
        <w:rPr>
          <w:rStyle w:val="FootnoteReference"/>
        </w:rPr>
        <w:footnoteRef/>
      </w:r>
      <w:r>
        <w:t xml:space="preserve"> </w:t>
      </w:r>
      <w:r w:rsidR="002E242F">
        <w:rPr>
          <w:i/>
        </w:rPr>
        <w:t>Ibid</w:t>
      </w:r>
      <w:r>
        <w:t xml:space="preserve"> at p 988</w:t>
      </w:r>
      <w:r w:rsidR="00017B20">
        <w:t xml:space="preserve"> </w:t>
      </w:r>
      <w:r>
        <w:t>A – D</w:t>
      </w:r>
      <w:r w:rsidR="00017B20">
        <w:t>.</w:t>
      </w:r>
    </w:p>
  </w:footnote>
  <w:footnote w:id="10">
    <w:p w14:paraId="1B8900ED" w14:textId="77777777" w:rsidR="00907F21" w:rsidRPr="00DE313E" w:rsidRDefault="00907F21" w:rsidP="00907F21">
      <w:pPr>
        <w:pStyle w:val="FootnoteText"/>
        <w:rPr>
          <w:lang w:val="en-US"/>
        </w:rPr>
      </w:pPr>
      <w:r>
        <w:rPr>
          <w:rStyle w:val="FootnoteReference"/>
        </w:rPr>
        <w:footnoteRef/>
      </w:r>
      <w:r>
        <w:t xml:space="preserve"> </w:t>
      </w:r>
      <w:r w:rsidRPr="00DE313E">
        <w:rPr>
          <w:i/>
          <w:lang w:val="en-US"/>
        </w:rPr>
        <w:t>Ibid</w:t>
      </w:r>
      <w:r>
        <w:rPr>
          <w:lang w:val="en-US"/>
        </w:rPr>
        <w:t xml:space="preserve"> at pp 991D – 992D.</w:t>
      </w:r>
    </w:p>
  </w:footnote>
  <w:footnote w:id="11">
    <w:p w14:paraId="71F53AA5" w14:textId="77777777" w:rsidR="00687104" w:rsidRPr="00977A7F" w:rsidRDefault="00687104">
      <w:pPr>
        <w:pStyle w:val="FootnoteText"/>
        <w:rPr>
          <w:lang w:val="en-GB"/>
        </w:rPr>
      </w:pPr>
      <w:r w:rsidRPr="00977A7F">
        <w:rPr>
          <w:rStyle w:val="FootnoteReference"/>
        </w:rPr>
        <w:footnoteRef/>
      </w:r>
      <w:r w:rsidRPr="00977A7F">
        <w:t xml:space="preserve"> </w:t>
      </w:r>
      <w:r w:rsidR="003C4360">
        <w:rPr>
          <w:i/>
          <w:lang w:val="en-GB"/>
        </w:rPr>
        <w:t>Ibid</w:t>
      </w:r>
      <w:r>
        <w:rPr>
          <w:lang w:val="en-GB"/>
        </w:rPr>
        <w:t xml:space="preserve"> at 989 G</w:t>
      </w:r>
      <w:r w:rsidRPr="00977A7F">
        <w:rPr>
          <w:lang w:val="en-GB"/>
        </w:rPr>
        <w:t xml:space="preserve"> – </w:t>
      </w:r>
      <w:r>
        <w:rPr>
          <w:lang w:val="en-GB"/>
        </w:rPr>
        <w:t>J</w:t>
      </w:r>
      <w:r w:rsidR="000F1A14">
        <w:rPr>
          <w:lang w:val="en-GB"/>
        </w:rPr>
        <w:t xml:space="preserve">; see also </w:t>
      </w:r>
      <w:r w:rsidR="000F1A14" w:rsidRPr="000F1A14">
        <w:rPr>
          <w:i/>
          <w:lang w:val="en-GB"/>
        </w:rPr>
        <w:t xml:space="preserve">Viv’s Tippers v </w:t>
      </w:r>
      <w:proofErr w:type="spellStart"/>
      <w:r w:rsidR="000F1A14" w:rsidRPr="000F1A14">
        <w:rPr>
          <w:i/>
          <w:lang w:val="en-GB"/>
        </w:rPr>
        <w:t>Pha</w:t>
      </w:r>
      <w:proofErr w:type="spellEnd"/>
      <w:r w:rsidR="000F1A14" w:rsidRPr="000F1A14">
        <w:rPr>
          <w:i/>
          <w:lang w:val="en-GB"/>
        </w:rPr>
        <w:t xml:space="preserve"> </w:t>
      </w:r>
      <w:proofErr w:type="spellStart"/>
      <w:r w:rsidR="000F1A14" w:rsidRPr="000F1A14">
        <w:rPr>
          <w:i/>
          <w:lang w:val="en-GB"/>
        </w:rPr>
        <w:t>Phama</w:t>
      </w:r>
      <w:proofErr w:type="spellEnd"/>
      <w:r w:rsidR="000F1A14" w:rsidRPr="000F1A14">
        <w:rPr>
          <w:i/>
          <w:lang w:val="en-GB"/>
        </w:rPr>
        <w:t xml:space="preserve"> Staff Services</w:t>
      </w:r>
      <w:r w:rsidR="000F1A14">
        <w:rPr>
          <w:lang w:val="en-GB"/>
        </w:rPr>
        <w:t xml:space="preserve"> 2010 (4) SA 455 (SCA) paras 13 – 18.</w:t>
      </w:r>
    </w:p>
  </w:footnote>
  <w:footnote w:id="12">
    <w:p w14:paraId="67D7AEC5" w14:textId="77777777" w:rsidR="00687104" w:rsidRPr="00977A7F" w:rsidRDefault="00687104" w:rsidP="002A61BF">
      <w:pPr>
        <w:pStyle w:val="FootnoteText"/>
        <w:rPr>
          <w:lang w:val="en-GB"/>
        </w:rPr>
      </w:pPr>
      <w:r w:rsidRPr="00977A7F">
        <w:rPr>
          <w:rStyle w:val="FootnoteReference"/>
        </w:rPr>
        <w:footnoteRef/>
      </w:r>
      <w:r w:rsidRPr="00977A7F">
        <w:t xml:space="preserve"> </w:t>
      </w:r>
      <w:r w:rsidRPr="00977A7F">
        <w:rPr>
          <w:lang w:val="en-GB"/>
        </w:rPr>
        <w:t xml:space="preserve">2001 (4) SA 189 </w:t>
      </w:r>
      <w:r w:rsidR="00CE15EF">
        <w:rPr>
          <w:lang w:val="en-GB"/>
        </w:rPr>
        <w:t>(SCA)</w:t>
      </w:r>
      <w:r w:rsidRPr="00977A7F">
        <w:rPr>
          <w:lang w:val="en-GB"/>
        </w:rPr>
        <w:t xml:space="preserve"> para 6.</w:t>
      </w:r>
    </w:p>
  </w:footnote>
  <w:footnote w:id="13">
    <w:p w14:paraId="5858ABE2" w14:textId="77777777" w:rsidR="00687104" w:rsidRPr="00977A7F" w:rsidRDefault="00687104">
      <w:pPr>
        <w:pStyle w:val="FootnoteText"/>
        <w:rPr>
          <w:lang w:val="en-GB"/>
        </w:rPr>
      </w:pPr>
      <w:r w:rsidRPr="00977A7F">
        <w:rPr>
          <w:rStyle w:val="FootnoteReference"/>
        </w:rPr>
        <w:footnoteRef/>
      </w:r>
      <w:r w:rsidRPr="00977A7F">
        <w:t xml:space="preserve"> [</w:t>
      </w:r>
      <w:r w:rsidRPr="00977A7F">
        <w:rPr>
          <w:lang w:val="en-GB"/>
        </w:rPr>
        <w:t>2012] JOL 28202 (GSJ).</w:t>
      </w:r>
    </w:p>
  </w:footnote>
  <w:footnote w:id="14">
    <w:p w14:paraId="5CC6E1A7" w14:textId="77777777" w:rsidR="00B32A5E" w:rsidRPr="00B32A5E" w:rsidRDefault="00B32A5E">
      <w:pPr>
        <w:pStyle w:val="FootnoteText"/>
        <w:rPr>
          <w:lang w:val="en-US"/>
        </w:rPr>
      </w:pPr>
      <w:r>
        <w:rPr>
          <w:rStyle w:val="FootnoteReference"/>
        </w:rPr>
        <w:footnoteRef/>
      </w:r>
      <w:r>
        <w:t xml:space="preserve"> </w:t>
      </w:r>
      <w:r>
        <w:rPr>
          <w:lang w:val="en-US"/>
        </w:rPr>
        <w:t xml:space="preserve">[2022] ZASCA 183 (19 December 2022) paras 35 </w:t>
      </w:r>
      <w:r w:rsidR="000470A9">
        <w:rPr>
          <w:lang w:val="en-US"/>
        </w:rPr>
        <w:t>–</w:t>
      </w:r>
      <w:r>
        <w:rPr>
          <w:lang w:val="en-US"/>
        </w:rPr>
        <w:t xml:space="preserve"> 37</w:t>
      </w:r>
      <w:r w:rsidR="000470A9">
        <w:rPr>
          <w:lang w:val="en-US"/>
        </w:rPr>
        <w:t>.</w:t>
      </w:r>
    </w:p>
  </w:footnote>
  <w:footnote w:id="15">
    <w:p w14:paraId="54CBBABA" w14:textId="77777777" w:rsidR="00687104" w:rsidRPr="00543915" w:rsidRDefault="00687104" w:rsidP="00543915">
      <w:pPr>
        <w:pStyle w:val="FootnoteText"/>
        <w:rPr>
          <w:lang w:val="en-GB"/>
        </w:rPr>
      </w:pPr>
      <w:r w:rsidRPr="00543915">
        <w:rPr>
          <w:rStyle w:val="FootnoteReference"/>
        </w:rPr>
        <w:footnoteRef/>
      </w:r>
      <w:r w:rsidRPr="00543915">
        <w:t xml:space="preserve"> </w:t>
      </w:r>
      <w:proofErr w:type="spellStart"/>
      <w:r w:rsidRPr="00265221">
        <w:rPr>
          <w:i/>
        </w:rPr>
        <w:t>Yannakou</w:t>
      </w:r>
      <w:proofErr w:type="spellEnd"/>
      <w:r w:rsidRPr="00265221">
        <w:rPr>
          <w:i/>
        </w:rPr>
        <w:t xml:space="preserve"> v Apollo Club</w:t>
      </w:r>
      <w:r w:rsidRPr="00543915">
        <w:t xml:space="preserve"> 1974 (1) SA 614 (A) at p 623 F – H</w:t>
      </w:r>
      <w:r>
        <w:t>.</w:t>
      </w:r>
    </w:p>
  </w:footnote>
  <w:footnote w:id="16">
    <w:p w14:paraId="26C76377" w14:textId="77777777" w:rsidR="00687104" w:rsidRPr="00977A7F" w:rsidRDefault="00687104">
      <w:pPr>
        <w:pStyle w:val="FootnoteText"/>
        <w:rPr>
          <w:lang w:val="en-GB"/>
        </w:rPr>
      </w:pPr>
      <w:r w:rsidRPr="00977A7F">
        <w:rPr>
          <w:rStyle w:val="FootnoteReference"/>
        </w:rPr>
        <w:footnoteRef/>
      </w:r>
      <w:r w:rsidRPr="00977A7F">
        <w:t xml:space="preserve"> (33737/13) [2018] ZA</w:t>
      </w:r>
      <w:r w:rsidR="009A07AD">
        <w:t>GPPHC 113 (2 March 2018)</w:t>
      </w:r>
      <w:r w:rsidRPr="00977A7F">
        <w:t>.</w:t>
      </w:r>
    </w:p>
  </w:footnote>
  <w:footnote w:id="17">
    <w:p w14:paraId="4A3F834D" w14:textId="77777777" w:rsidR="00687104" w:rsidRPr="00977A7F" w:rsidRDefault="00687104">
      <w:pPr>
        <w:pStyle w:val="FootnoteText"/>
        <w:rPr>
          <w:lang w:val="en-GB"/>
        </w:rPr>
      </w:pPr>
      <w:r w:rsidRPr="00977A7F">
        <w:rPr>
          <w:rStyle w:val="FootnoteReference"/>
        </w:rPr>
        <w:footnoteRef/>
      </w:r>
      <w:r w:rsidRPr="00977A7F">
        <w:t xml:space="preserve"> </w:t>
      </w:r>
      <w:r w:rsidRPr="00265221">
        <w:rPr>
          <w:i/>
          <w:lang w:val="en-GB"/>
        </w:rPr>
        <w:t>Ibid</w:t>
      </w:r>
      <w:r w:rsidRPr="00977A7F">
        <w:rPr>
          <w:lang w:val="en-GB"/>
        </w:rPr>
        <w:t xml:space="preserve"> para 54.</w:t>
      </w:r>
    </w:p>
  </w:footnote>
  <w:footnote w:id="18">
    <w:p w14:paraId="019D0E39" w14:textId="77777777" w:rsidR="00687104" w:rsidRPr="00977A7F" w:rsidRDefault="00687104">
      <w:pPr>
        <w:pStyle w:val="FootnoteText"/>
        <w:rPr>
          <w:lang w:val="en-GB"/>
        </w:rPr>
      </w:pPr>
      <w:r w:rsidRPr="00977A7F">
        <w:rPr>
          <w:rStyle w:val="FootnoteReference"/>
        </w:rPr>
        <w:footnoteRef/>
      </w:r>
      <w:r w:rsidRPr="00977A7F">
        <w:t xml:space="preserve"> [2006] ZASCA 46; </w:t>
      </w:r>
      <w:r w:rsidRPr="00977A7F">
        <w:rPr>
          <w:lang w:val="en-GB"/>
        </w:rPr>
        <w:t>2006 (4) SA 581 (SCA).</w:t>
      </w:r>
    </w:p>
  </w:footnote>
  <w:footnote w:id="19">
    <w:p w14:paraId="01374DBE" w14:textId="77777777" w:rsidR="00687104" w:rsidRPr="00977A7F" w:rsidRDefault="00687104">
      <w:pPr>
        <w:pStyle w:val="FootnoteText"/>
        <w:rPr>
          <w:lang w:val="en-GB"/>
        </w:rPr>
      </w:pPr>
      <w:r w:rsidRPr="00977A7F">
        <w:rPr>
          <w:rStyle w:val="FootnoteReference"/>
        </w:rPr>
        <w:footnoteRef/>
      </w:r>
      <w:r w:rsidRPr="00977A7F">
        <w:t xml:space="preserve"> [2007] ZACC 5; 2007 (5) SA 323 (CC).</w:t>
      </w:r>
    </w:p>
  </w:footnote>
  <w:footnote w:id="20">
    <w:p w14:paraId="41AE2BDF" w14:textId="77777777" w:rsidR="00687104" w:rsidRPr="00B11B72" w:rsidRDefault="00687104" w:rsidP="00052C9F">
      <w:pPr>
        <w:pStyle w:val="FootnoteText"/>
        <w:rPr>
          <w:lang w:val="en-GB"/>
        </w:rPr>
      </w:pPr>
      <w:r>
        <w:rPr>
          <w:rStyle w:val="FootnoteReference"/>
        </w:rPr>
        <w:footnoteRef/>
      </w:r>
      <w:r>
        <w:t xml:space="preserve"> </w:t>
      </w:r>
      <w:r>
        <w:rPr>
          <w:lang w:val="en-GB"/>
        </w:rPr>
        <w:t>See inter alia paras 30 &amp; 67.</w:t>
      </w:r>
    </w:p>
  </w:footnote>
  <w:footnote w:id="21">
    <w:p w14:paraId="51D5D1AD" w14:textId="77777777" w:rsidR="00687104" w:rsidRPr="00977A7F" w:rsidRDefault="00687104">
      <w:pPr>
        <w:pStyle w:val="FootnoteText"/>
      </w:pPr>
      <w:r w:rsidRPr="00977A7F">
        <w:rPr>
          <w:rStyle w:val="FootnoteReference"/>
        </w:rPr>
        <w:footnoteRef/>
      </w:r>
      <w:r w:rsidRPr="00977A7F">
        <w:t xml:space="preserve"> [2013] ZAECGHC 47 (23 May 2013) at p 10</w:t>
      </w:r>
      <w:r>
        <w:t xml:space="preserve"> of the typed judgment</w:t>
      </w:r>
      <w:r w:rsidRPr="00977A7F">
        <w:t>.</w:t>
      </w:r>
    </w:p>
  </w:footnote>
  <w:footnote w:id="22">
    <w:p w14:paraId="12D9CC44" w14:textId="77777777" w:rsidR="00687104" w:rsidRPr="00C65EC7" w:rsidRDefault="00687104">
      <w:pPr>
        <w:pStyle w:val="FootnoteText"/>
        <w:rPr>
          <w:lang w:val="en-GB"/>
        </w:rPr>
      </w:pPr>
      <w:r>
        <w:rPr>
          <w:rStyle w:val="FootnoteReference"/>
        </w:rPr>
        <w:footnoteRef/>
      </w:r>
      <w:r>
        <w:t xml:space="preserve"> See also </w:t>
      </w:r>
      <w:r w:rsidRPr="00FF1069">
        <w:rPr>
          <w:i/>
          <w:lang w:val="en-GB"/>
        </w:rPr>
        <w:t xml:space="preserve">Walker v </w:t>
      </w:r>
      <w:proofErr w:type="spellStart"/>
      <w:r w:rsidRPr="00FF1069">
        <w:rPr>
          <w:i/>
          <w:lang w:val="en-GB"/>
        </w:rPr>
        <w:t>Redhouse</w:t>
      </w:r>
      <w:proofErr w:type="spellEnd"/>
      <w:r>
        <w:rPr>
          <w:lang w:val="en-GB"/>
        </w:rPr>
        <w:t xml:space="preserve"> [2006] ZASCA 96; 2007 (3) SA 514 (SCA), a case where a novice fell off a horse</w:t>
      </w:r>
      <w:r w:rsidR="000470A9">
        <w:rPr>
          <w:lang w:val="en-GB"/>
        </w:rPr>
        <w:t xml:space="preserve"> that bolted</w:t>
      </w:r>
      <w:r>
        <w:rPr>
          <w:lang w:val="en-GB"/>
        </w:rPr>
        <w:t xml:space="preserve"> </w:t>
      </w:r>
      <w:r w:rsidR="00861982">
        <w:rPr>
          <w:lang w:val="en-GB"/>
        </w:rPr>
        <w:t xml:space="preserve">on a guest farm </w:t>
      </w:r>
      <w:r>
        <w:rPr>
          <w:lang w:val="en-GB"/>
        </w:rPr>
        <w:t>after signing an indemnity</w:t>
      </w:r>
      <w:r w:rsidR="00B73A25">
        <w:rPr>
          <w:lang w:val="en-GB"/>
        </w:rPr>
        <w:t xml:space="preserve">, </w:t>
      </w:r>
      <w:r>
        <w:rPr>
          <w:lang w:val="en-GB"/>
        </w:rPr>
        <w:t>the interpretation of the indemnity clause</w:t>
      </w:r>
      <w:r w:rsidR="00B73A25">
        <w:rPr>
          <w:lang w:val="en-GB"/>
        </w:rPr>
        <w:t xml:space="preserve"> and the court finding that the indemnity was a complete defence to the claim</w:t>
      </w:r>
      <w:r>
        <w:rPr>
          <w:lang w:val="en-GB"/>
        </w:rPr>
        <w:t>: paras 15, 19 &amp; 20</w:t>
      </w:r>
      <w:r w:rsidR="00017B20">
        <w:rPr>
          <w:lang w:val="en-GB"/>
        </w:rPr>
        <w:t>.</w:t>
      </w:r>
    </w:p>
  </w:footnote>
  <w:footnote w:id="23">
    <w:p w14:paraId="487E0E31" w14:textId="77777777" w:rsidR="001423A8" w:rsidRPr="001423A8" w:rsidRDefault="001423A8">
      <w:pPr>
        <w:pStyle w:val="FootnoteText"/>
        <w:rPr>
          <w:lang w:val="en-US"/>
        </w:rPr>
      </w:pPr>
      <w:r>
        <w:rPr>
          <w:rStyle w:val="FootnoteReference"/>
        </w:rPr>
        <w:footnoteRef/>
      </w:r>
      <w:r>
        <w:t xml:space="preserve"> </w:t>
      </w:r>
      <w:r w:rsidRPr="001423A8">
        <w:rPr>
          <w:i/>
          <w:lang w:val="en-US"/>
        </w:rPr>
        <w:t xml:space="preserve">Koen loc </w:t>
      </w:r>
      <w:proofErr w:type="spellStart"/>
      <w:r w:rsidRPr="001423A8">
        <w:rPr>
          <w:i/>
          <w:lang w:val="en-US"/>
        </w:rPr>
        <w:t>cit</w:t>
      </w:r>
      <w:proofErr w:type="spellEnd"/>
      <w:r>
        <w:rPr>
          <w:lang w:val="en-US"/>
        </w:rPr>
        <w:t xml:space="preserve">, </w:t>
      </w:r>
      <w:proofErr w:type="spellStart"/>
      <w:r>
        <w:rPr>
          <w:lang w:val="en-US"/>
        </w:rPr>
        <w:t>fn</w:t>
      </w:r>
      <w:proofErr w:type="spellEnd"/>
      <w:r>
        <w:rPr>
          <w:lang w:val="en-US"/>
        </w:rPr>
        <w:t xml:space="preserve"> 1</w:t>
      </w:r>
      <w:r w:rsidR="003C4360">
        <w:rPr>
          <w:lang w:val="en-US"/>
        </w:rPr>
        <w:t>6</w:t>
      </w:r>
      <w:r w:rsidR="004E6999">
        <w:rPr>
          <w:lang w:val="en-US"/>
        </w:rPr>
        <w:t>.</w:t>
      </w:r>
    </w:p>
  </w:footnote>
  <w:footnote w:id="24">
    <w:p w14:paraId="26F33E33" w14:textId="77777777" w:rsidR="001423A8" w:rsidRPr="001423A8" w:rsidRDefault="001423A8">
      <w:pPr>
        <w:pStyle w:val="FootnoteText"/>
        <w:rPr>
          <w:lang w:val="en-US"/>
        </w:rPr>
      </w:pPr>
      <w:r>
        <w:rPr>
          <w:rStyle w:val="FootnoteReference"/>
        </w:rPr>
        <w:footnoteRef/>
      </w:r>
      <w:r>
        <w:t xml:space="preserve"> </w:t>
      </w:r>
      <w:r>
        <w:rPr>
          <w:lang w:val="en-US"/>
        </w:rPr>
        <w:t>2012 (6) SA 170 (GSJ)</w:t>
      </w:r>
      <w:r w:rsidR="004E6999">
        <w:rPr>
          <w:lang w:val="en-US"/>
        </w:rPr>
        <w:t>.</w:t>
      </w:r>
    </w:p>
  </w:footnote>
  <w:footnote w:id="25">
    <w:p w14:paraId="5CA6008B" w14:textId="77777777" w:rsidR="004E6999" w:rsidRPr="004E6999" w:rsidRDefault="004E6999">
      <w:pPr>
        <w:pStyle w:val="FootnoteText"/>
        <w:rPr>
          <w:lang w:val="en-US"/>
        </w:rPr>
      </w:pPr>
      <w:r>
        <w:rPr>
          <w:rStyle w:val="FootnoteReference"/>
        </w:rPr>
        <w:footnoteRef/>
      </w:r>
      <w:r>
        <w:t xml:space="preserve"> </w:t>
      </w:r>
      <w:r w:rsidRPr="004E6999">
        <w:rPr>
          <w:i/>
          <w:lang w:val="en-US"/>
        </w:rPr>
        <w:t>Ibid</w:t>
      </w:r>
      <w:r>
        <w:rPr>
          <w:lang w:val="en-US"/>
        </w:rPr>
        <w:t xml:space="preserve"> paras 45 &amp;</w:t>
      </w:r>
      <w:r w:rsidR="0098335F">
        <w:rPr>
          <w:lang w:val="en-US"/>
        </w:rPr>
        <w:t xml:space="preserve"> </w:t>
      </w:r>
      <w:r>
        <w:rPr>
          <w:lang w:val="en-US"/>
        </w:rPr>
        <w:t>54.</w:t>
      </w:r>
    </w:p>
  </w:footnote>
  <w:footnote w:id="26">
    <w:p w14:paraId="676FC26A" w14:textId="77777777" w:rsidR="00687104" w:rsidRPr="00364DE5" w:rsidRDefault="00687104">
      <w:pPr>
        <w:pStyle w:val="FootnoteText"/>
        <w:rPr>
          <w:lang w:val="en-US"/>
        </w:rPr>
      </w:pPr>
      <w:r>
        <w:rPr>
          <w:rStyle w:val="FootnoteReference"/>
        </w:rPr>
        <w:footnoteRef/>
      </w:r>
      <w:r w:rsidR="00110B1C">
        <w:t xml:space="preserve"> </w:t>
      </w:r>
      <w:proofErr w:type="spellStart"/>
      <w:r w:rsidR="00110B1C">
        <w:t>Fn</w:t>
      </w:r>
      <w:proofErr w:type="spellEnd"/>
      <w:r w:rsidR="00110B1C">
        <w:t xml:space="preserve"> 3</w:t>
      </w:r>
      <w:r w:rsidR="002E242F">
        <w:t xml:space="preserve"> above</w:t>
      </w:r>
      <w:r w:rsidR="004E6999">
        <w:t>.</w:t>
      </w:r>
    </w:p>
  </w:footnote>
  <w:footnote w:id="27">
    <w:p w14:paraId="45824841" w14:textId="77777777" w:rsidR="00687104" w:rsidRPr="00687104" w:rsidRDefault="00687104">
      <w:pPr>
        <w:pStyle w:val="FootnoteText"/>
        <w:rPr>
          <w:lang w:val="en-US"/>
        </w:rPr>
      </w:pPr>
      <w:r>
        <w:rPr>
          <w:rStyle w:val="FootnoteReference"/>
        </w:rPr>
        <w:footnoteRef/>
      </w:r>
      <w:r>
        <w:t xml:space="preserve"> </w:t>
      </w:r>
      <w:r w:rsidRPr="00687104">
        <w:rPr>
          <w:i/>
          <w:lang w:val="en-US"/>
        </w:rPr>
        <w:t xml:space="preserve">Barkhuizen v Napier loc </w:t>
      </w:r>
      <w:proofErr w:type="spellStart"/>
      <w:r w:rsidRPr="00687104">
        <w:rPr>
          <w:i/>
          <w:lang w:val="en-US"/>
        </w:rPr>
        <w:t>cit</w:t>
      </w:r>
      <w:proofErr w:type="spellEnd"/>
      <w:r>
        <w:rPr>
          <w:lang w:val="en-US"/>
        </w:rPr>
        <w:t xml:space="preserve"> paras 28 </w:t>
      </w:r>
      <w:r w:rsidR="004E6999">
        <w:rPr>
          <w:lang w:val="en-US"/>
        </w:rPr>
        <w:t>–</w:t>
      </w:r>
      <w:r>
        <w:rPr>
          <w:lang w:val="en-US"/>
        </w:rPr>
        <w:t xml:space="preserve"> 29</w:t>
      </w:r>
      <w:r w:rsidR="004E6999">
        <w:rPr>
          <w:lang w:val="en-US"/>
        </w:rPr>
        <w:t>.</w:t>
      </w:r>
    </w:p>
  </w:footnote>
  <w:footnote w:id="28">
    <w:p w14:paraId="321AC719" w14:textId="77777777" w:rsidR="00720B73" w:rsidRPr="00720B73" w:rsidRDefault="00720B73">
      <w:pPr>
        <w:pStyle w:val="FootnoteText"/>
        <w:rPr>
          <w:lang w:val="en-US"/>
        </w:rPr>
      </w:pPr>
      <w:r>
        <w:rPr>
          <w:rStyle w:val="FootnoteReference"/>
        </w:rPr>
        <w:footnoteRef/>
      </w:r>
      <w:r>
        <w:t xml:space="preserve"> </w:t>
      </w:r>
      <w:r>
        <w:rPr>
          <w:lang w:val="en-US"/>
        </w:rPr>
        <w:t>2002 (6) SA 21 (SCA)</w:t>
      </w:r>
      <w:r w:rsidR="004E6999">
        <w:rPr>
          <w:lang w:val="en-US"/>
        </w:rPr>
        <w:t>.</w:t>
      </w:r>
    </w:p>
  </w:footnote>
  <w:footnote w:id="29">
    <w:p w14:paraId="4854C99F" w14:textId="77777777" w:rsidR="00E93FD6" w:rsidRPr="00E93FD6" w:rsidRDefault="00E93FD6">
      <w:pPr>
        <w:pStyle w:val="FootnoteText"/>
        <w:rPr>
          <w:lang w:val="en-US"/>
        </w:rPr>
      </w:pPr>
      <w:r>
        <w:rPr>
          <w:rStyle w:val="FootnoteReference"/>
        </w:rPr>
        <w:footnoteRef/>
      </w:r>
      <w:r>
        <w:t xml:space="preserve"> </w:t>
      </w:r>
      <w:r w:rsidRPr="00E93FD6">
        <w:rPr>
          <w:i/>
          <w:lang w:val="en-US"/>
        </w:rPr>
        <w:t>Ibid</w:t>
      </w:r>
      <w:r>
        <w:rPr>
          <w:lang w:val="en-US"/>
        </w:rPr>
        <w:t xml:space="preserve"> para 18.</w:t>
      </w:r>
    </w:p>
  </w:footnote>
  <w:footnote w:id="30">
    <w:p w14:paraId="77C7B3CC" w14:textId="77777777" w:rsidR="004D69B8" w:rsidRPr="004D69B8" w:rsidRDefault="004D69B8">
      <w:pPr>
        <w:pStyle w:val="FootnoteText"/>
        <w:rPr>
          <w:lang w:val="en-US"/>
        </w:rPr>
      </w:pPr>
      <w:r>
        <w:rPr>
          <w:rStyle w:val="FootnoteReference"/>
        </w:rPr>
        <w:footnoteRef/>
      </w:r>
      <w:r>
        <w:t xml:space="preserve"> </w:t>
      </w:r>
      <w:r w:rsidRPr="004D69B8">
        <w:rPr>
          <w:i/>
          <w:lang w:val="en-US"/>
        </w:rPr>
        <w:t>Ibid</w:t>
      </w:r>
      <w:r>
        <w:rPr>
          <w:lang w:val="en-US"/>
        </w:rPr>
        <w:t xml:space="preserve"> para 13, relying on the dictum of Innes HR in </w:t>
      </w:r>
      <w:r w:rsidRPr="004D69B8">
        <w:rPr>
          <w:i/>
          <w:lang w:val="en-US"/>
        </w:rPr>
        <w:t xml:space="preserve">Wells v South African </w:t>
      </w:r>
      <w:proofErr w:type="spellStart"/>
      <w:r w:rsidRPr="004D69B8">
        <w:rPr>
          <w:i/>
          <w:lang w:val="en-US"/>
        </w:rPr>
        <w:t>Alumenite</w:t>
      </w:r>
      <w:proofErr w:type="spellEnd"/>
      <w:r w:rsidRPr="004D69B8">
        <w:rPr>
          <w:i/>
          <w:lang w:val="en-US"/>
        </w:rPr>
        <w:t xml:space="preserve"> Company</w:t>
      </w:r>
      <w:r>
        <w:rPr>
          <w:lang w:val="en-US"/>
        </w:rPr>
        <w:t xml:space="preserve"> 1927 AD 69 at pp 72 - 73.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658851"/>
      <w:docPartObj>
        <w:docPartGallery w:val="Page Numbers (Top of Page)"/>
        <w:docPartUnique/>
      </w:docPartObj>
    </w:sdtPr>
    <w:sdtEndPr>
      <w:rPr>
        <w:rFonts w:asciiTheme="majorHAnsi" w:hAnsiTheme="majorHAnsi" w:cstheme="majorHAnsi"/>
        <w:noProof/>
        <w:sz w:val="20"/>
        <w:szCs w:val="20"/>
      </w:rPr>
    </w:sdtEndPr>
    <w:sdtContent>
      <w:p w14:paraId="7E4B14D2" w14:textId="77777777" w:rsidR="00687104" w:rsidRDefault="00687104">
        <w:pPr>
          <w:pStyle w:val="Header"/>
          <w:jc w:val="right"/>
        </w:pPr>
      </w:p>
      <w:p w14:paraId="216AB3A8" w14:textId="77777777" w:rsidR="00687104" w:rsidRDefault="00687104">
        <w:pPr>
          <w:pStyle w:val="Header"/>
          <w:jc w:val="right"/>
        </w:pPr>
      </w:p>
      <w:p w14:paraId="157AE5B6" w14:textId="77777777" w:rsidR="00687104" w:rsidRPr="007F74D5" w:rsidRDefault="00687104">
        <w:pPr>
          <w:pStyle w:val="Header"/>
          <w:jc w:val="right"/>
          <w:rPr>
            <w:rFonts w:asciiTheme="majorHAnsi" w:hAnsiTheme="majorHAnsi" w:cstheme="majorHAnsi"/>
            <w:sz w:val="20"/>
            <w:szCs w:val="20"/>
          </w:rPr>
        </w:pPr>
        <w:r w:rsidRPr="007F74D5">
          <w:rPr>
            <w:rFonts w:asciiTheme="majorHAnsi" w:hAnsiTheme="majorHAnsi" w:cstheme="majorHAnsi"/>
            <w:sz w:val="20"/>
            <w:szCs w:val="20"/>
          </w:rPr>
          <w:fldChar w:fldCharType="begin"/>
        </w:r>
        <w:r w:rsidRPr="007F74D5">
          <w:rPr>
            <w:rFonts w:asciiTheme="majorHAnsi" w:hAnsiTheme="majorHAnsi" w:cstheme="majorHAnsi"/>
            <w:sz w:val="20"/>
            <w:szCs w:val="20"/>
          </w:rPr>
          <w:instrText xml:space="preserve"> PAGE   \* MERGEFORMAT </w:instrText>
        </w:r>
        <w:r w:rsidRPr="007F74D5">
          <w:rPr>
            <w:rFonts w:asciiTheme="majorHAnsi" w:hAnsiTheme="majorHAnsi" w:cstheme="majorHAnsi"/>
            <w:sz w:val="20"/>
            <w:szCs w:val="20"/>
          </w:rPr>
          <w:fldChar w:fldCharType="separate"/>
        </w:r>
        <w:r w:rsidR="00174532">
          <w:rPr>
            <w:rFonts w:asciiTheme="majorHAnsi" w:hAnsiTheme="majorHAnsi" w:cstheme="majorHAnsi"/>
            <w:noProof/>
            <w:sz w:val="20"/>
            <w:szCs w:val="20"/>
          </w:rPr>
          <w:t>7</w:t>
        </w:r>
        <w:r w:rsidRPr="007F74D5">
          <w:rPr>
            <w:rFonts w:asciiTheme="majorHAnsi" w:hAnsiTheme="majorHAnsi" w:cstheme="majorHAnsi"/>
            <w:noProof/>
            <w:sz w:val="20"/>
            <w:szCs w:val="20"/>
          </w:rPr>
          <w:fldChar w:fldCharType="end"/>
        </w:r>
      </w:p>
    </w:sdtContent>
  </w:sdt>
  <w:p w14:paraId="26CB3B01" w14:textId="77777777" w:rsidR="00687104" w:rsidRDefault="00687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CC45" w14:textId="77777777" w:rsidR="00687104" w:rsidRPr="008F7F70" w:rsidRDefault="00687104"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820"/>
    <w:multiLevelType w:val="hybridMultilevel"/>
    <w:tmpl w:val="0D1A226E"/>
    <w:lvl w:ilvl="0" w:tplc="1C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57CEE"/>
    <w:multiLevelType w:val="multilevel"/>
    <w:tmpl w:val="ED5EAE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F9044FD"/>
    <w:multiLevelType w:val="hybridMultilevel"/>
    <w:tmpl w:val="D368F90A"/>
    <w:lvl w:ilvl="0" w:tplc="75CA49CC">
      <w:start w:val="1"/>
      <w:numFmt w:val="decimal"/>
      <w:lvlText w:val="[%1]"/>
      <w:lvlJc w:val="left"/>
      <w:pPr>
        <w:ind w:left="1495" w:hanging="360"/>
      </w:pPr>
      <w:rPr>
        <w:rFonts w:hint="default"/>
        <w:i w:val="0"/>
        <w:color w:val="auto"/>
        <w:sz w:val="24"/>
        <w:szCs w:val="24"/>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539F454F"/>
    <w:multiLevelType w:val="multilevel"/>
    <w:tmpl w:val="4CF260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2089376945">
    <w:abstractNumId w:val="2"/>
  </w:num>
  <w:num w:numId="2" w16cid:durableId="1817795669">
    <w:abstractNumId w:val="0"/>
  </w:num>
  <w:num w:numId="3" w16cid:durableId="237984973">
    <w:abstractNumId w:val="3"/>
  </w:num>
  <w:num w:numId="4" w16cid:durableId="110692467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3D"/>
    <w:rsid w:val="00000325"/>
    <w:rsid w:val="000026A8"/>
    <w:rsid w:val="00003D5C"/>
    <w:rsid w:val="00004E68"/>
    <w:rsid w:val="00005430"/>
    <w:rsid w:val="0000615B"/>
    <w:rsid w:val="000062B9"/>
    <w:rsid w:val="0000797B"/>
    <w:rsid w:val="00010507"/>
    <w:rsid w:val="00011BF3"/>
    <w:rsid w:val="00012084"/>
    <w:rsid w:val="00012118"/>
    <w:rsid w:val="00013D39"/>
    <w:rsid w:val="0001570D"/>
    <w:rsid w:val="00016235"/>
    <w:rsid w:val="00016D12"/>
    <w:rsid w:val="00016FB5"/>
    <w:rsid w:val="00017A7A"/>
    <w:rsid w:val="00017B20"/>
    <w:rsid w:val="00020179"/>
    <w:rsid w:val="0002127A"/>
    <w:rsid w:val="00021611"/>
    <w:rsid w:val="00021685"/>
    <w:rsid w:val="00021AD4"/>
    <w:rsid w:val="000222FF"/>
    <w:rsid w:val="00023266"/>
    <w:rsid w:val="000232FE"/>
    <w:rsid w:val="000236F0"/>
    <w:rsid w:val="00023A2D"/>
    <w:rsid w:val="000244C3"/>
    <w:rsid w:val="00025645"/>
    <w:rsid w:val="00025788"/>
    <w:rsid w:val="00025A35"/>
    <w:rsid w:val="00025A3F"/>
    <w:rsid w:val="00025B02"/>
    <w:rsid w:val="000308B2"/>
    <w:rsid w:val="00030BA4"/>
    <w:rsid w:val="00030CAE"/>
    <w:rsid w:val="00031136"/>
    <w:rsid w:val="000323BA"/>
    <w:rsid w:val="00033B3B"/>
    <w:rsid w:val="0003408F"/>
    <w:rsid w:val="00035121"/>
    <w:rsid w:val="00035926"/>
    <w:rsid w:val="00036CCF"/>
    <w:rsid w:val="00036D2E"/>
    <w:rsid w:val="00037BC1"/>
    <w:rsid w:val="00040D00"/>
    <w:rsid w:val="00040D44"/>
    <w:rsid w:val="00041E66"/>
    <w:rsid w:val="0004243F"/>
    <w:rsid w:val="000449D5"/>
    <w:rsid w:val="00044E84"/>
    <w:rsid w:val="0004562E"/>
    <w:rsid w:val="00046B92"/>
    <w:rsid w:val="000470A9"/>
    <w:rsid w:val="00047818"/>
    <w:rsid w:val="00047D25"/>
    <w:rsid w:val="00047E58"/>
    <w:rsid w:val="00047E77"/>
    <w:rsid w:val="0005094D"/>
    <w:rsid w:val="0005118C"/>
    <w:rsid w:val="000522AF"/>
    <w:rsid w:val="00052705"/>
    <w:rsid w:val="00052B4B"/>
    <w:rsid w:val="00052C9F"/>
    <w:rsid w:val="00053D7F"/>
    <w:rsid w:val="000542D2"/>
    <w:rsid w:val="000560C5"/>
    <w:rsid w:val="000564C7"/>
    <w:rsid w:val="000576B8"/>
    <w:rsid w:val="00057FB8"/>
    <w:rsid w:val="00060F65"/>
    <w:rsid w:val="00061556"/>
    <w:rsid w:val="00061B16"/>
    <w:rsid w:val="00061E53"/>
    <w:rsid w:val="00062E3C"/>
    <w:rsid w:val="00062F6E"/>
    <w:rsid w:val="000632D7"/>
    <w:rsid w:val="00063AC8"/>
    <w:rsid w:val="00063D5C"/>
    <w:rsid w:val="00064059"/>
    <w:rsid w:val="0006456D"/>
    <w:rsid w:val="00064CEB"/>
    <w:rsid w:val="00064EE2"/>
    <w:rsid w:val="000655BC"/>
    <w:rsid w:val="000660AC"/>
    <w:rsid w:val="00066208"/>
    <w:rsid w:val="00066D9E"/>
    <w:rsid w:val="00067484"/>
    <w:rsid w:val="000679D5"/>
    <w:rsid w:val="00070D8A"/>
    <w:rsid w:val="00071593"/>
    <w:rsid w:val="000725BD"/>
    <w:rsid w:val="00072D21"/>
    <w:rsid w:val="00072F89"/>
    <w:rsid w:val="00073053"/>
    <w:rsid w:val="00073B0E"/>
    <w:rsid w:val="000740D2"/>
    <w:rsid w:val="00074227"/>
    <w:rsid w:val="00075695"/>
    <w:rsid w:val="00076EE3"/>
    <w:rsid w:val="00077342"/>
    <w:rsid w:val="00077543"/>
    <w:rsid w:val="00077D81"/>
    <w:rsid w:val="00077E3B"/>
    <w:rsid w:val="000808B1"/>
    <w:rsid w:val="000808B9"/>
    <w:rsid w:val="00081267"/>
    <w:rsid w:val="000819C7"/>
    <w:rsid w:val="00083707"/>
    <w:rsid w:val="000838EE"/>
    <w:rsid w:val="00083BCC"/>
    <w:rsid w:val="00084C5C"/>
    <w:rsid w:val="00084CBF"/>
    <w:rsid w:val="000872D6"/>
    <w:rsid w:val="000877DF"/>
    <w:rsid w:val="00090472"/>
    <w:rsid w:val="00090636"/>
    <w:rsid w:val="00092037"/>
    <w:rsid w:val="000920D1"/>
    <w:rsid w:val="0009250F"/>
    <w:rsid w:val="00092561"/>
    <w:rsid w:val="0009283F"/>
    <w:rsid w:val="00092917"/>
    <w:rsid w:val="00092F2C"/>
    <w:rsid w:val="00094B81"/>
    <w:rsid w:val="00095A76"/>
    <w:rsid w:val="00095D3C"/>
    <w:rsid w:val="00096756"/>
    <w:rsid w:val="000973CA"/>
    <w:rsid w:val="000979FA"/>
    <w:rsid w:val="00097D7C"/>
    <w:rsid w:val="000A023F"/>
    <w:rsid w:val="000A0522"/>
    <w:rsid w:val="000A1CD1"/>
    <w:rsid w:val="000A2087"/>
    <w:rsid w:val="000A2499"/>
    <w:rsid w:val="000A2BC8"/>
    <w:rsid w:val="000A2DD4"/>
    <w:rsid w:val="000A2DF7"/>
    <w:rsid w:val="000A311A"/>
    <w:rsid w:val="000A466F"/>
    <w:rsid w:val="000A4C4B"/>
    <w:rsid w:val="000A62E6"/>
    <w:rsid w:val="000A6F1A"/>
    <w:rsid w:val="000A70F0"/>
    <w:rsid w:val="000A71F9"/>
    <w:rsid w:val="000B08D2"/>
    <w:rsid w:val="000B0C22"/>
    <w:rsid w:val="000B1E25"/>
    <w:rsid w:val="000B2AD6"/>
    <w:rsid w:val="000B399D"/>
    <w:rsid w:val="000B3CE0"/>
    <w:rsid w:val="000B3EC8"/>
    <w:rsid w:val="000B4B1E"/>
    <w:rsid w:val="000B61CB"/>
    <w:rsid w:val="000B7211"/>
    <w:rsid w:val="000B7BD2"/>
    <w:rsid w:val="000C0ACF"/>
    <w:rsid w:val="000C1077"/>
    <w:rsid w:val="000C1D98"/>
    <w:rsid w:val="000C2A14"/>
    <w:rsid w:val="000C2B3C"/>
    <w:rsid w:val="000C3559"/>
    <w:rsid w:val="000C3ADE"/>
    <w:rsid w:val="000C4AAB"/>
    <w:rsid w:val="000C66EC"/>
    <w:rsid w:val="000C6B6B"/>
    <w:rsid w:val="000C6CBE"/>
    <w:rsid w:val="000C6E82"/>
    <w:rsid w:val="000C786A"/>
    <w:rsid w:val="000D04A8"/>
    <w:rsid w:val="000D0A3F"/>
    <w:rsid w:val="000D1CDB"/>
    <w:rsid w:val="000D2131"/>
    <w:rsid w:val="000D575A"/>
    <w:rsid w:val="000D5F4B"/>
    <w:rsid w:val="000D7E35"/>
    <w:rsid w:val="000E060D"/>
    <w:rsid w:val="000E0C76"/>
    <w:rsid w:val="000E1CD6"/>
    <w:rsid w:val="000E2213"/>
    <w:rsid w:val="000E27A8"/>
    <w:rsid w:val="000E32EB"/>
    <w:rsid w:val="000E5412"/>
    <w:rsid w:val="000E569C"/>
    <w:rsid w:val="000E5700"/>
    <w:rsid w:val="000E6676"/>
    <w:rsid w:val="000E6E63"/>
    <w:rsid w:val="000E7566"/>
    <w:rsid w:val="000F02C3"/>
    <w:rsid w:val="000F04D2"/>
    <w:rsid w:val="000F0D81"/>
    <w:rsid w:val="000F0E51"/>
    <w:rsid w:val="000F17D8"/>
    <w:rsid w:val="000F1952"/>
    <w:rsid w:val="000F1A14"/>
    <w:rsid w:val="000F2CB3"/>
    <w:rsid w:val="000F4180"/>
    <w:rsid w:val="000F5F92"/>
    <w:rsid w:val="000F73DC"/>
    <w:rsid w:val="000F747B"/>
    <w:rsid w:val="00100717"/>
    <w:rsid w:val="00100DA0"/>
    <w:rsid w:val="00101C27"/>
    <w:rsid w:val="00103246"/>
    <w:rsid w:val="00103475"/>
    <w:rsid w:val="00103AB6"/>
    <w:rsid w:val="00104C6E"/>
    <w:rsid w:val="00104F19"/>
    <w:rsid w:val="001061AA"/>
    <w:rsid w:val="00107086"/>
    <w:rsid w:val="001076BE"/>
    <w:rsid w:val="00110A38"/>
    <w:rsid w:val="00110B1C"/>
    <w:rsid w:val="0011112A"/>
    <w:rsid w:val="0011125D"/>
    <w:rsid w:val="0011169D"/>
    <w:rsid w:val="0011277F"/>
    <w:rsid w:val="00112B91"/>
    <w:rsid w:val="00112CCD"/>
    <w:rsid w:val="00113C65"/>
    <w:rsid w:val="00113D4D"/>
    <w:rsid w:val="00114B2D"/>
    <w:rsid w:val="00115360"/>
    <w:rsid w:val="0011591D"/>
    <w:rsid w:val="0011593C"/>
    <w:rsid w:val="00115E94"/>
    <w:rsid w:val="0011680C"/>
    <w:rsid w:val="00116D54"/>
    <w:rsid w:val="0011792D"/>
    <w:rsid w:val="0012027D"/>
    <w:rsid w:val="00120685"/>
    <w:rsid w:val="00120954"/>
    <w:rsid w:val="00122B48"/>
    <w:rsid w:val="00122B93"/>
    <w:rsid w:val="001233C4"/>
    <w:rsid w:val="0012358B"/>
    <w:rsid w:val="001238A2"/>
    <w:rsid w:val="001248CA"/>
    <w:rsid w:val="00124C23"/>
    <w:rsid w:val="00124C43"/>
    <w:rsid w:val="00124CB9"/>
    <w:rsid w:val="0012620D"/>
    <w:rsid w:val="001263BA"/>
    <w:rsid w:val="0012677E"/>
    <w:rsid w:val="00130020"/>
    <w:rsid w:val="001303B4"/>
    <w:rsid w:val="00131F63"/>
    <w:rsid w:val="001321B6"/>
    <w:rsid w:val="001325AF"/>
    <w:rsid w:val="001326F6"/>
    <w:rsid w:val="0013303D"/>
    <w:rsid w:val="00133585"/>
    <w:rsid w:val="001350AD"/>
    <w:rsid w:val="00135B5D"/>
    <w:rsid w:val="00135BF1"/>
    <w:rsid w:val="0013776B"/>
    <w:rsid w:val="0013779C"/>
    <w:rsid w:val="001378E8"/>
    <w:rsid w:val="00137D2D"/>
    <w:rsid w:val="00140CCC"/>
    <w:rsid w:val="00141A3C"/>
    <w:rsid w:val="001423A8"/>
    <w:rsid w:val="00142B76"/>
    <w:rsid w:val="00143A15"/>
    <w:rsid w:val="00143DF7"/>
    <w:rsid w:val="00144F90"/>
    <w:rsid w:val="0014517E"/>
    <w:rsid w:val="001458D7"/>
    <w:rsid w:val="00145CB3"/>
    <w:rsid w:val="001474E4"/>
    <w:rsid w:val="001475C4"/>
    <w:rsid w:val="0015055D"/>
    <w:rsid w:val="00151428"/>
    <w:rsid w:val="001522EA"/>
    <w:rsid w:val="0015268B"/>
    <w:rsid w:val="0015403C"/>
    <w:rsid w:val="00154381"/>
    <w:rsid w:val="00156CBA"/>
    <w:rsid w:val="00156E26"/>
    <w:rsid w:val="0015727C"/>
    <w:rsid w:val="00157565"/>
    <w:rsid w:val="001608B2"/>
    <w:rsid w:val="001609CF"/>
    <w:rsid w:val="00161295"/>
    <w:rsid w:val="00161456"/>
    <w:rsid w:val="00161483"/>
    <w:rsid w:val="00161E31"/>
    <w:rsid w:val="00162C9A"/>
    <w:rsid w:val="001630DD"/>
    <w:rsid w:val="00163616"/>
    <w:rsid w:val="00164509"/>
    <w:rsid w:val="001656B6"/>
    <w:rsid w:val="00165C0E"/>
    <w:rsid w:val="00165EA1"/>
    <w:rsid w:val="00166C05"/>
    <w:rsid w:val="001672E7"/>
    <w:rsid w:val="0017008D"/>
    <w:rsid w:val="00170AD4"/>
    <w:rsid w:val="00171852"/>
    <w:rsid w:val="001733F9"/>
    <w:rsid w:val="00174309"/>
    <w:rsid w:val="00174532"/>
    <w:rsid w:val="00175354"/>
    <w:rsid w:val="001759DF"/>
    <w:rsid w:val="001760D1"/>
    <w:rsid w:val="00176755"/>
    <w:rsid w:val="00176DED"/>
    <w:rsid w:val="00177C66"/>
    <w:rsid w:val="00180723"/>
    <w:rsid w:val="00180B03"/>
    <w:rsid w:val="00180C12"/>
    <w:rsid w:val="00181D6B"/>
    <w:rsid w:val="00182308"/>
    <w:rsid w:val="00182BBC"/>
    <w:rsid w:val="00183A6D"/>
    <w:rsid w:val="00183FF4"/>
    <w:rsid w:val="00184101"/>
    <w:rsid w:val="0018456A"/>
    <w:rsid w:val="00184660"/>
    <w:rsid w:val="001846DC"/>
    <w:rsid w:val="001859E7"/>
    <w:rsid w:val="00186182"/>
    <w:rsid w:val="00186540"/>
    <w:rsid w:val="00186A69"/>
    <w:rsid w:val="001901A4"/>
    <w:rsid w:val="00192024"/>
    <w:rsid w:val="00192485"/>
    <w:rsid w:val="00192F73"/>
    <w:rsid w:val="001937D9"/>
    <w:rsid w:val="0019386F"/>
    <w:rsid w:val="001965A6"/>
    <w:rsid w:val="001968BB"/>
    <w:rsid w:val="00196ABE"/>
    <w:rsid w:val="001A02E4"/>
    <w:rsid w:val="001A1A00"/>
    <w:rsid w:val="001A2AFE"/>
    <w:rsid w:val="001A318B"/>
    <w:rsid w:val="001A3417"/>
    <w:rsid w:val="001A3D78"/>
    <w:rsid w:val="001A3DC3"/>
    <w:rsid w:val="001A4397"/>
    <w:rsid w:val="001A5B4A"/>
    <w:rsid w:val="001A5F46"/>
    <w:rsid w:val="001A63D4"/>
    <w:rsid w:val="001A6412"/>
    <w:rsid w:val="001A70E8"/>
    <w:rsid w:val="001A7F79"/>
    <w:rsid w:val="001B0C0C"/>
    <w:rsid w:val="001B1108"/>
    <w:rsid w:val="001B1970"/>
    <w:rsid w:val="001B1C61"/>
    <w:rsid w:val="001B1E3C"/>
    <w:rsid w:val="001B22E8"/>
    <w:rsid w:val="001B323F"/>
    <w:rsid w:val="001B3DA7"/>
    <w:rsid w:val="001B58CC"/>
    <w:rsid w:val="001B6282"/>
    <w:rsid w:val="001B6CE5"/>
    <w:rsid w:val="001B72D4"/>
    <w:rsid w:val="001C0B3C"/>
    <w:rsid w:val="001C245B"/>
    <w:rsid w:val="001C2ECD"/>
    <w:rsid w:val="001C421A"/>
    <w:rsid w:val="001C53B2"/>
    <w:rsid w:val="001C5851"/>
    <w:rsid w:val="001C612D"/>
    <w:rsid w:val="001C6EEB"/>
    <w:rsid w:val="001C7D27"/>
    <w:rsid w:val="001D05AC"/>
    <w:rsid w:val="001D0998"/>
    <w:rsid w:val="001D1782"/>
    <w:rsid w:val="001D24A8"/>
    <w:rsid w:val="001D492A"/>
    <w:rsid w:val="001D4A21"/>
    <w:rsid w:val="001D54BD"/>
    <w:rsid w:val="001D6381"/>
    <w:rsid w:val="001D6C90"/>
    <w:rsid w:val="001D76BE"/>
    <w:rsid w:val="001E058C"/>
    <w:rsid w:val="001E1246"/>
    <w:rsid w:val="001E1A3D"/>
    <w:rsid w:val="001E40E3"/>
    <w:rsid w:val="001E421C"/>
    <w:rsid w:val="001E4E2C"/>
    <w:rsid w:val="001E53D5"/>
    <w:rsid w:val="001E548E"/>
    <w:rsid w:val="001E615D"/>
    <w:rsid w:val="001E6D09"/>
    <w:rsid w:val="001F19D7"/>
    <w:rsid w:val="001F2128"/>
    <w:rsid w:val="001F3E80"/>
    <w:rsid w:val="001F55E0"/>
    <w:rsid w:val="001F5EA0"/>
    <w:rsid w:val="001F62C4"/>
    <w:rsid w:val="001F6395"/>
    <w:rsid w:val="001F6E23"/>
    <w:rsid w:val="001F6F85"/>
    <w:rsid w:val="00200464"/>
    <w:rsid w:val="00201DC6"/>
    <w:rsid w:val="00203B12"/>
    <w:rsid w:val="00204101"/>
    <w:rsid w:val="00204507"/>
    <w:rsid w:val="0020493E"/>
    <w:rsid w:val="00204DD8"/>
    <w:rsid w:val="00205651"/>
    <w:rsid w:val="00205F07"/>
    <w:rsid w:val="00206695"/>
    <w:rsid w:val="00206955"/>
    <w:rsid w:val="0021068F"/>
    <w:rsid w:val="00211B3E"/>
    <w:rsid w:val="00212179"/>
    <w:rsid w:val="00212E9C"/>
    <w:rsid w:val="002130BA"/>
    <w:rsid w:val="00213AE3"/>
    <w:rsid w:val="00214045"/>
    <w:rsid w:val="00214C3C"/>
    <w:rsid w:val="00215DC6"/>
    <w:rsid w:val="00216B03"/>
    <w:rsid w:val="0021755D"/>
    <w:rsid w:val="00217A76"/>
    <w:rsid w:val="00220AD1"/>
    <w:rsid w:val="00221B1E"/>
    <w:rsid w:val="002226F6"/>
    <w:rsid w:val="00223066"/>
    <w:rsid w:val="002234F9"/>
    <w:rsid w:val="00223595"/>
    <w:rsid w:val="00224456"/>
    <w:rsid w:val="002244F0"/>
    <w:rsid w:val="0022731D"/>
    <w:rsid w:val="00227EF0"/>
    <w:rsid w:val="00231042"/>
    <w:rsid w:val="002311D2"/>
    <w:rsid w:val="00231388"/>
    <w:rsid w:val="0023218D"/>
    <w:rsid w:val="0023276C"/>
    <w:rsid w:val="00232A31"/>
    <w:rsid w:val="00232C26"/>
    <w:rsid w:val="00233AB5"/>
    <w:rsid w:val="002369B0"/>
    <w:rsid w:val="002423AF"/>
    <w:rsid w:val="00244223"/>
    <w:rsid w:val="002443AE"/>
    <w:rsid w:val="0024487E"/>
    <w:rsid w:val="002454A6"/>
    <w:rsid w:val="002467C5"/>
    <w:rsid w:val="00247337"/>
    <w:rsid w:val="00251533"/>
    <w:rsid w:val="002521AE"/>
    <w:rsid w:val="002537C5"/>
    <w:rsid w:val="00253A2F"/>
    <w:rsid w:val="002541D4"/>
    <w:rsid w:val="00254436"/>
    <w:rsid w:val="00255142"/>
    <w:rsid w:val="002555F0"/>
    <w:rsid w:val="00255E53"/>
    <w:rsid w:val="00256348"/>
    <w:rsid w:val="00256562"/>
    <w:rsid w:val="0025669D"/>
    <w:rsid w:val="00256953"/>
    <w:rsid w:val="00257683"/>
    <w:rsid w:val="00257826"/>
    <w:rsid w:val="00257E2A"/>
    <w:rsid w:val="0026014A"/>
    <w:rsid w:val="0026128E"/>
    <w:rsid w:val="00262034"/>
    <w:rsid w:val="002625B2"/>
    <w:rsid w:val="002636E5"/>
    <w:rsid w:val="00265221"/>
    <w:rsid w:val="0026527F"/>
    <w:rsid w:val="0026647F"/>
    <w:rsid w:val="00266BFD"/>
    <w:rsid w:val="00266F2C"/>
    <w:rsid w:val="00267271"/>
    <w:rsid w:val="0026744A"/>
    <w:rsid w:val="00267A9B"/>
    <w:rsid w:val="0027044A"/>
    <w:rsid w:val="0027076F"/>
    <w:rsid w:val="0027112C"/>
    <w:rsid w:val="00273C28"/>
    <w:rsid w:val="00274122"/>
    <w:rsid w:val="00274E93"/>
    <w:rsid w:val="0027560A"/>
    <w:rsid w:val="0027579C"/>
    <w:rsid w:val="00276E5C"/>
    <w:rsid w:val="002775D4"/>
    <w:rsid w:val="0028023B"/>
    <w:rsid w:val="00281640"/>
    <w:rsid w:val="00282D5B"/>
    <w:rsid w:val="002839BF"/>
    <w:rsid w:val="00283FC8"/>
    <w:rsid w:val="00285613"/>
    <w:rsid w:val="0028561C"/>
    <w:rsid w:val="002867F5"/>
    <w:rsid w:val="0028746B"/>
    <w:rsid w:val="00287698"/>
    <w:rsid w:val="0028788F"/>
    <w:rsid w:val="00287FBC"/>
    <w:rsid w:val="00290069"/>
    <w:rsid w:val="0029061C"/>
    <w:rsid w:val="002908C2"/>
    <w:rsid w:val="00290959"/>
    <w:rsid w:val="00290EDE"/>
    <w:rsid w:val="002938B3"/>
    <w:rsid w:val="00293A8C"/>
    <w:rsid w:val="00294666"/>
    <w:rsid w:val="002951C3"/>
    <w:rsid w:val="002958A4"/>
    <w:rsid w:val="00297918"/>
    <w:rsid w:val="00297DCB"/>
    <w:rsid w:val="002A018D"/>
    <w:rsid w:val="002A0A20"/>
    <w:rsid w:val="002A2120"/>
    <w:rsid w:val="002A253F"/>
    <w:rsid w:val="002A374F"/>
    <w:rsid w:val="002A3E17"/>
    <w:rsid w:val="002A45DD"/>
    <w:rsid w:val="002A4938"/>
    <w:rsid w:val="002A5F03"/>
    <w:rsid w:val="002A61BF"/>
    <w:rsid w:val="002A671C"/>
    <w:rsid w:val="002A69A0"/>
    <w:rsid w:val="002A69B7"/>
    <w:rsid w:val="002A7C4A"/>
    <w:rsid w:val="002A7C83"/>
    <w:rsid w:val="002A7F8C"/>
    <w:rsid w:val="002B02C9"/>
    <w:rsid w:val="002B0B8E"/>
    <w:rsid w:val="002B1436"/>
    <w:rsid w:val="002B17B7"/>
    <w:rsid w:val="002B186D"/>
    <w:rsid w:val="002B1C03"/>
    <w:rsid w:val="002B2784"/>
    <w:rsid w:val="002B2C88"/>
    <w:rsid w:val="002B3073"/>
    <w:rsid w:val="002B3490"/>
    <w:rsid w:val="002B35F9"/>
    <w:rsid w:val="002B36DF"/>
    <w:rsid w:val="002B40F2"/>
    <w:rsid w:val="002B461E"/>
    <w:rsid w:val="002B597C"/>
    <w:rsid w:val="002B5A77"/>
    <w:rsid w:val="002B5AC0"/>
    <w:rsid w:val="002B6922"/>
    <w:rsid w:val="002B6965"/>
    <w:rsid w:val="002B781D"/>
    <w:rsid w:val="002B7D3C"/>
    <w:rsid w:val="002C0334"/>
    <w:rsid w:val="002C054C"/>
    <w:rsid w:val="002C0832"/>
    <w:rsid w:val="002C0E9A"/>
    <w:rsid w:val="002C10DF"/>
    <w:rsid w:val="002C173C"/>
    <w:rsid w:val="002C1832"/>
    <w:rsid w:val="002C188C"/>
    <w:rsid w:val="002C25CD"/>
    <w:rsid w:val="002C2D8C"/>
    <w:rsid w:val="002C44F9"/>
    <w:rsid w:val="002C5287"/>
    <w:rsid w:val="002C5DC5"/>
    <w:rsid w:val="002C5F2A"/>
    <w:rsid w:val="002D03BE"/>
    <w:rsid w:val="002D06A4"/>
    <w:rsid w:val="002D225F"/>
    <w:rsid w:val="002D273F"/>
    <w:rsid w:val="002D3BC7"/>
    <w:rsid w:val="002D3EF2"/>
    <w:rsid w:val="002D4FC6"/>
    <w:rsid w:val="002D7106"/>
    <w:rsid w:val="002D7784"/>
    <w:rsid w:val="002E02D7"/>
    <w:rsid w:val="002E172E"/>
    <w:rsid w:val="002E1854"/>
    <w:rsid w:val="002E22A9"/>
    <w:rsid w:val="002E242F"/>
    <w:rsid w:val="002E32CD"/>
    <w:rsid w:val="002E42C3"/>
    <w:rsid w:val="002E4BEC"/>
    <w:rsid w:val="002E55C1"/>
    <w:rsid w:val="002E6218"/>
    <w:rsid w:val="002F011F"/>
    <w:rsid w:val="002F075C"/>
    <w:rsid w:val="002F173C"/>
    <w:rsid w:val="002F3BE0"/>
    <w:rsid w:val="002F4423"/>
    <w:rsid w:val="002F4629"/>
    <w:rsid w:val="002F4782"/>
    <w:rsid w:val="002F4A6E"/>
    <w:rsid w:val="002F54C5"/>
    <w:rsid w:val="002F69E3"/>
    <w:rsid w:val="002F7195"/>
    <w:rsid w:val="002F7C16"/>
    <w:rsid w:val="003001FD"/>
    <w:rsid w:val="0030038D"/>
    <w:rsid w:val="003004DF"/>
    <w:rsid w:val="003012F8"/>
    <w:rsid w:val="00301F23"/>
    <w:rsid w:val="0030233B"/>
    <w:rsid w:val="00304A55"/>
    <w:rsid w:val="003065EE"/>
    <w:rsid w:val="0030683C"/>
    <w:rsid w:val="00306913"/>
    <w:rsid w:val="00306B32"/>
    <w:rsid w:val="00307067"/>
    <w:rsid w:val="003070DE"/>
    <w:rsid w:val="00307DCA"/>
    <w:rsid w:val="00307F51"/>
    <w:rsid w:val="00307FD2"/>
    <w:rsid w:val="00310603"/>
    <w:rsid w:val="003119D2"/>
    <w:rsid w:val="00311E48"/>
    <w:rsid w:val="0031295F"/>
    <w:rsid w:val="00314939"/>
    <w:rsid w:val="00315267"/>
    <w:rsid w:val="00315A36"/>
    <w:rsid w:val="003161A9"/>
    <w:rsid w:val="003174F2"/>
    <w:rsid w:val="00317977"/>
    <w:rsid w:val="003179AA"/>
    <w:rsid w:val="00320720"/>
    <w:rsid w:val="0032172A"/>
    <w:rsid w:val="0032217A"/>
    <w:rsid w:val="0032235A"/>
    <w:rsid w:val="00322847"/>
    <w:rsid w:val="00323633"/>
    <w:rsid w:val="003238E1"/>
    <w:rsid w:val="00324153"/>
    <w:rsid w:val="00324F1A"/>
    <w:rsid w:val="003252F0"/>
    <w:rsid w:val="00325E64"/>
    <w:rsid w:val="0032685F"/>
    <w:rsid w:val="00326E76"/>
    <w:rsid w:val="00330158"/>
    <w:rsid w:val="0033032C"/>
    <w:rsid w:val="0033119D"/>
    <w:rsid w:val="00331351"/>
    <w:rsid w:val="00331383"/>
    <w:rsid w:val="0033144E"/>
    <w:rsid w:val="00331D01"/>
    <w:rsid w:val="0033253E"/>
    <w:rsid w:val="003326A4"/>
    <w:rsid w:val="00332845"/>
    <w:rsid w:val="00333ACC"/>
    <w:rsid w:val="00333D6D"/>
    <w:rsid w:val="003340AD"/>
    <w:rsid w:val="00334B21"/>
    <w:rsid w:val="00336A67"/>
    <w:rsid w:val="00337013"/>
    <w:rsid w:val="003378FF"/>
    <w:rsid w:val="003405C3"/>
    <w:rsid w:val="00340FF0"/>
    <w:rsid w:val="003412FB"/>
    <w:rsid w:val="003420EE"/>
    <w:rsid w:val="00343F35"/>
    <w:rsid w:val="00344078"/>
    <w:rsid w:val="00345291"/>
    <w:rsid w:val="0035018F"/>
    <w:rsid w:val="00350319"/>
    <w:rsid w:val="003518BE"/>
    <w:rsid w:val="003521C4"/>
    <w:rsid w:val="00352498"/>
    <w:rsid w:val="0035252B"/>
    <w:rsid w:val="00352767"/>
    <w:rsid w:val="0035280D"/>
    <w:rsid w:val="00352CED"/>
    <w:rsid w:val="00352DB2"/>
    <w:rsid w:val="00353DEA"/>
    <w:rsid w:val="0035471C"/>
    <w:rsid w:val="0035495F"/>
    <w:rsid w:val="00354B23"/>
    <w:rsid w:val="0035513F"/>
    <w:rsid w:val="00355BDB"/>
    <w:rsid w:val="0035605D"/>
    <w:rsid w:val="00356313"/>
    <w:rsid w:val="003563C3"/>
    <w:rsid w:val="00356483"/>
    <w:rsid w:val="0035656F"/>
    <w:rsid w:val="00356BD9"/>
    <w:rsid w:val="00360F62"/>
    <w:rsid w:val="003611E1"/>
    <w:rsid w:val="003623C4"/>
    <w:rsid w:val="0036351A"/>
    <w:rsid w:val="00363601"/>
    <w:rsid w:val="00364DE5"/>
    <w:rsid w:val="003653D0"/>
    <w:rsid w:val="00365DBC"/>
    <w:rsid w:val="003664BC"/>
    <w:rsid w:val="003675DE"/>
    <w:rsid w:val="00367E47"/>
    <w:rsid w:val="00370118"/>
    <w:rsid w:val="00370488"/>
    <w:rsid w:val="0037149E"/>
    <w:rsid w:val="003719AC"/>
    <w:rsid w:val="00373357"/>
    <w:rsid w:val="003733A6"/>
    <w:rsid w:val="003733FD"/>
    <w:rsid w:val="00373760"/>
    <w:rsid w:val="00374058"/>
    <w:rsid w:val="00374C4C"/>
    <w:rsid w:val="00374F53"/>
    <w:rsid w:val="0037582E"/>
    <w:rsid w:val="003759D4"/>
    <w:rsid w:val="00376715"/>
    <w:rsid w:val="003767C2"/>
    <w:rsid w:val="00376A57"/>
    <w:rsid w:val="0037712C"/>
    <w:rsid w:val="003777BD"/>
    <w:rsid w:val="00377DCE"/>
    <w:rsid w:val="00380884"/>
    <w:rsid w:val="00380B3E"/>
    <w:rsid w:val="00381C68"/>
    <w:rsid w:val="003833EB"/>
    <w:rsid w:val="00383728"/>
    <w:rsid w:val="00383ECB"/>
    <w:rsid w:val="00384D14"/>
    <w:rsid w:val="00385EB6"/>
    <w:rsid w:val="00386D44"/>
    <w:rsid w:val="00387A55"/>
    <w:rsid w:val="003904D3"/>
    <w:rsid w:val="00390556"/>
    <w:rsid w:val="00391D2D"/>
    <w:rsid w:val="00391DBE"/>
    <w:rsid w:val="003932B5"/>
    <w:rsid w:val="003934A3"/>
    <w:rsid w:val="0039357D"/>
    <w:rsid w:val="00393F3D"/>
    <w:rsid w:val="00394ADD"/>
    <w:rsid w:val="00394D71"/>
    <w:rsid w:val="0039563A"/>
    <w:rsid w:val="00395B62"/>
    <w:rsid w:val="00396172"/>
    <w:rsid w:val="00397270"/>
    <w:rsid w:val="003979FE"/>
    <w:rsid w:val="003A05A4"/>
    <w:rsid w:val="003A077C"/>
    <w:rsid w:val="003A0B8C"/>
    <w:rsid w:val="003A0F34"/>
    <w:rsid w:val="003A162E"/>
    <w:rsid w:val="003A206F"/>
    <w:rsid w:val="003A2BF8"/>
    <w:rsid w:val="003A322C"/>
    <w:rsid w:val="003A434C"/>
    <w:rsid w:val="003A4FF9"/>
    <w:rsid w:val="003A5D61"/>
    <w:rsid w:val="003A7165"/>
    <w:rsid w:val="003B0DCA"/>
    <w:rsid w:val="003B22BF"/>
    <w:rsid w:val="003B2A21"/>
    <w:rsid w:val="003B3BF4"/>
    <w:rsid w:val="003B5C31"/>
    <w:rsid w:val="003B78E5"/>
    <w:rsid w:val="003C14B2"/>
    <w:rsid w:val="003C2EC8"/>
    <w:rsid w:val="003C3AD2"/>
    <w:rsid w:val="003C4360"/>
    <w:rsid w:val="003C5761"/>
    <w:rsid w:val="003C6F25"/>
    <w:rsid w:val="003C769F"/>
    <w:rsid w:val="003C789F"/>
    <w:rsid w:val="003C7A2E"/>
    <w:rsid w:val="003D03BE"/>
    <w:rsid w:val="003D079F"/>
    <w:rsid w:val="003D12DC"/>
    <w:rsid w:val="003D2B06"/>
    <w:rsid w:val="003D3B8E"/>
    <w:rsid w:val="003D3E22"/>
    <w:rsid w:val="003D47C7"/>
    <w:rsid w:val="003D51B5"/>
    <w:rsid w:val="003D59F3"/>
    <w:rsid w:val="003D5DEB"/>
    <w:rsid w:val="003D6B05"/>
    <w:rsid w:val="003D739C"/>
    <w:rsid w:val="003D77E8"/>
    <w:rsid w:val="003E0461"/>
    <w:rsid w:val="003E0FB5"/>
    <w:rsid w:val="003E1165"/>
    <w:rsid w:val="003E20BD"/>
    <w:rsid w:val="003E261A"/>
    <w:rsid w:val="003E271E"/>
    <w:rsid w:val="003E2CDD"/>
    <w:rsid w:val="003E317D"/>
    <w:rsid w:val="003E35B6"/>
    <w:rsid w:val="003E362A"/>
    <w:rsid w:val="003E391D"/>
    <w:rsid w:val="003E4520"/>
    <w:rsid w:val="003E4A24"/>
    <w:rsid w:val="003E5514"/>
    <w:rsid w:val="003E7283"/>
    <w:rsid w:val="003E7E07"/>
    <w:rsid w:val="003F0838"/>
    <w:rsid w:val="003F0A0F"/>
    <w:rsid w:val="003F1155"/>
    <w:rsid w:val="003F2E66"/>
    <w:rsid w:val="003F3CEC"/>
    <w:rsid w:val="003F4815"/>
    <w:rsid w:val="003F4B1C"/>
    <w:rsid w:val="003F4BDF"/>
    <w:rsid w:val="003F6BDB"/>
    <w:rsid w:val="003F7A5B"/>
    <w:rsid w:val="003F7B03"/>
    <w:rsid w:val="003F7EE0"/>
    <w:rsid w:val="00401123"/>
    <w:rsid w:val="004013BA"/>
    <w:rsid w:val="00402252"/>
    <w:rsid w:val="004031E1"/>
    <w:rsid w:val="00403B85"/>
    <w:rsid w:val="00404508"/>
    <w:rsid w:val="00404521"/>
    <w:rsid w:val="00404764"/>
    <w:rsid w:val="00404E98"/>
    <w:rsid w:val="0040544B"/>
    <w:rsid w:val="00405E24"/>
    <w:rsid w:val="004070C3"/>
    <w:rsid w:val="00407CAA"/>
    <w:rsid w:val="004105F8"/>
    <w:rsid w:val="00413D48"/>
    <w:rsid w:val="0041435B"/>
    <w:rsid w:val="004144B8"/>
    <w:rsid w:val="0041639D"/>
    <w:rsid w:val="004163E7"/>
    <w:rsid w:val="00417000"/>
    <w:rsid w:val="00417B0A"/>
    <w:rsid w:val="00420A91"/>
    <w:rsid w:val="00421660"/>
    <w:rsid w:val="00421AB5"/>
    <w:rsid w:val="004222C9"/>
    <w:rsid w:val="004225C4"/>
    <w:rsid w:val="00422FE7"/>
    <w:rsid w:val="0042330A"/>
    <w:rsid w:val="00423515"/>
    <w:rsid w:val="00423926"/>
    <w:rsid w:val="00423DDA"/>
    <w:rsid w:val="00423F8D"/>
    <w:rsid w:val="004248BD"/>
    <w:rsid w:val="00424E78"/>
    <w:rsid w:val="004255F1"/>
    <w:rsid w:val="00426597"/>
    <w:rsid w:val="004269E6"/>
    <w:rsid w:val="00426DAF"/>
    <w:rsid w:val="004300FE"/>
    <w:rsid w:val="00430345"/>
    <w:rsid w:val="00430743"/>
    <w:rsid w:val="00430BE5"/>
    <w:rsid w:val="0043144F"/>
    <w:rsid w:val="00431948"/>
    <w:rsid w:val="00431EF7"/>
    <w:rsid w:val="0043209A"/>
    <w:rsid w:val="004323D5"/>
    <w:rsid w:val="00433DAD"/>
    <w:rsid w:val="004342F7"/>
    <w:rsid w:val="004344CB"/>
    <w:rsid w:val="00436665"/>
    <w:rsid w:val="004366C7"/>
    <w:rsid w:val="00437018"/>
    <w:rsid w:val="00440081"/>
    <w:rsid w:val="004400D6"/>
    <w:rsid w:val="00440A33"/>
    <w:rsid w:val="00441E83"/>
    <w:rsid w:val="00442D54"/>
    <w:rsid w:val="0044310B"/>
    <w:rsid w:val="004436B3"/>
    <w:rsid w:val="00444094"/>
    <w:rsid w:val="00445961"/>
    <w:rsid w:val="00445F13"/>
    <w:rsid w:val="00446E3D"/>
    <w:rsid w:val="00447473"/>
    <w:rsid w:val="00450B62"/>
    <w:rsid w:val="004516B1"/>
    <w:rsid w:val="00452B68"/>
    <w:rsid w:val="00453F1B"/>
    <w:rsid w:val="004541D1"/>
    <w:rsid w:val="00456134"/>
    <w:rsid w:val="00461BE2"/>
    <w:rsid w:val="004625B2"/>
    <w:rsid w:val="00462D98"/>
    <w:rsid w:val="00462FDC"/>
    <w:rsid w:val="00464A80"/>
    <w:rsid w:val="00465142"/>
    <w:rsid w:val="00465563"/>
    <w:rsid w:val="00466C4C"/>
    <w:rsid w:val="004700BE"/>
    <w:rsid w:val="004700FD"/>
    <w:rsid w:val="00471017"/>
    <w:rsid w:val="004715D5"/>
    <w:rsid w:val="004717E4"/>
    <w:rsid w:val="00471A5F"/>
    <w:rsid w:val="00471E33"/>
    <w:rsid w:val="00472553"/>
    <w:rsid w:val="00472D0D"/>
    <w:rsid w:val="00472FCE"/>
    <w:rsid w:val="0047361E"/>
    <w:rsid w:val="004744C4"/>
    <w:rsid w:val="00475BF1"/>
    <w:rsid w:val="00475EDC"/>
    <w:rsid w:val="0047657F"/>
    <w:rsid w:val="00476B94"/>
    <w:rsid w:val="00477533"/>
    <w:rsid w:val="0048080E"/>
    <w:rsid w:val="00480944"/>
    <w:rsid w:val="00481806"/>
    <w:rsid w:val="00481AE7"/>
    <w:rsid w:val="00483460"/>
    <w:rsid w:val="00483DC9"/>
    <w:rsid w:val="00484736"/>
    <w:rsid w:val="0048483B"/>
    <w:rsid w:val="00484BBA"/>
    <w:rsid w:val="00485545"/>
    <w:rsid w:val="00485E52"/>
    <w:rsid w:val="00486C05"/>
    <w:rsid w:val="00486E6B"/>
    <w:rsid w:val="00487BFD"/>
    <w:rsid w:val="004907CE"/>
    <w:rsid w:val="00490811"/>
    <w:rsid w:val="00490A69"/>
    <w:rsid w:val="00490C3D"/>
    <w:rsid w:val="0049127F"/>
    <w:rsid w:val="004927DB"/>
    <w:rsid w:val="004934E5"/>
    <w:rsid w:val="004939B7"/>
    <w:rsid w:val="00493A94"/>
    <w:rsid w:val="00493E76"/>
    <w:rsid w:val="00494479"/>
    <w:rsid w:val="00494A5A"/>
    <w:rsid w:val="00494EE4"/>
    <w:rsid w:val="00495067"/>
    <w:rsid w:val="0049564A"/>
    <w:rsid w:val="004958CE"/>
    <w:rsid w:val="004958DF"/>
    <w:rsid w:val="00495D66"/>
    <w:rsid w:val="00496A64"/>
    <w:rsid w:val="00497131"/>
    <w:rsid w:val="004A22C7"/>
    <w:rsid w:val="004A2453"/>
    <w:rsid w:val="004A2955"/>
    <w:rsid w:val="004A2AE5"/>
    <w:rsid w:val="004A3213"/>
    <w:rsid w:val="004A3E34"/>
    <w:rsid w:val="004A3F74"/>
    <w:rsid w:val="004A4715"/>
    <w:rsid w:val="004A4A34"/>
    <w:rsid w:val="004A5064"/>
    <w:rsid w:val="004A5C67"/>
    <w:rsid w:val="004A6D8F"/>
    <w:rsid w:val="004B12A6"/>
    <w:rsid w:val="004B1CA6"/>
    <w:rsid w:val="004B1D34"/>
    <w:rsid w:val="004B2D6E"/>
    <w:rsid w:val="004B347C"/>
    <w:rsid w:val="004B3ED5"/>
    <w:rsid w:val="004B51D2"/>
    <w:rsid w:val="004B651F"/>
    <w:rsid w:val="004B71CD"/>
    <w:rsid w:val="004B7272"/>
    <w:rsid w:val="004B7716"/>
    <w:rsid w:val="004C2225"/>
    <w:rsid w:val="004C316F"/>
    <w:rsid w:val="004C4C77"/>
    <w:rsid w:val="004C4DA0"/>
    <w:rsid w:val="004C5283"/>
    <w:rsid w:val="004C556D"/>
    <w:rsid w:val="004C5DA1"/>
    <w:rsid w:val="004C69D6"/>
    <w:rsid w:val="004C7100"/>
    <w:rsid w:val="004C7B08"/>
    <w:rsid w:val="004D045A"/>
    <w:rsid w:val="004D1BD0"/>
    <w:rsid w:val="004D2398"/>
    <w:rsid w:val="004D23EF"/>
    <w:rsid w:val="004D2601"/>
    <w:rsid w:val="004D291B"/>
    <w:rsid w:val="004D2DC1"/>
    <w:rsid w:val="004D40C3"/>
    <w:rsid w:val="004D457C"/>
    <w:rsid w:val="004D4651"/>
    <w:rsid w:val="004D49EE"/>
    <w:rsid w:val="004D4E41"/>
    <w:rsid w:val="004D4F7E"/>
    <w:rsid w:val="004D5900"/>
    <w:rsid w:val="004D628C"/>
    <w:rsid w:val="004D69B8"/>
    <w:rsid w:val="004D6A7D"/>
    <w:rsid w:val="004D6CA0"/>
    <w:rsid w:val="004D756D"/>
    <w:rsid w:val="004E1990"/>
    <w:rsid w:val="004E2621"/>
    <w:rsid w:val="004E339D"/>
    <w:rsid w:val="004E33C2"/>
    <w:rsid w:val="004E33ED"/>
    <w:rsid w:val="004E4964"/>
    <w:rsid w:val="004E5E03"/>
    <w:rsid w:val="004E6202"/>
    <w:rsid w:val="004E675E"/>
    <w:rsid w:val="004E6822"/>
    <w:rsid w:val="004E6999"/>
    <w:rsid w:val="004E6CD0"/>
    <w:rsid w:val="004E6FF7"/>
    <w:rsid w:val="004E7F79"/>
    <w:rsid w:val="004F0341"/>
    <w:rsid w:val="004F0BFC"/>
    <w:rsid w:val="004F0FAA"/>
    <w:rsid w:val="004F1159"/>
    <w:rsid w:val="004F12CF"/>
    <w:rsid w:val="004F21AB"/>
    <w:rsid w:val="004F22BB"/>
    <w:rsid w:val="004F2355"/>
    <w:rsid w:val="004F2B3F"/>
    <w:rsid w:val="004F3A57"/>
    <w:rsid w:val="004F49D2"/>
    <w:rsid w:val="004F53D2"/>
    <w:rsid w:val="004F5F38"/>
    <w:rsid w:val="004F62CD"/>
    <w:rsid w:val="004F6697"/>
    <w:rsid w:val="004F6F01"/>
    <w:rsid w:val="004F7504"/>
    <w:rsid w:val="004F78DB"/>
    <w:rsid w:val="005004CD"/>
    <w:rsid w:val="005005CA"/>
    <w:rsid w:val="0050107F"/>
    <w:rsid w:val="005015A5"/>
    <w:rsid w:val="005023D7"/>
    <w:rsid w:val="00502685"/>
    <w:rsid w:val="00502AF6"/>
    <w:rsid w:val="005049FB"/>
    <w:rsid w:val="00504BB8"/>
    <w:rsid w:val="00505110"/>
    <w:rsid w:val="00506EEE"/>
    <w:rsid w:val="00507018"/>
    <w:rsid w:val="00507177"/>
    <w:rsid w:val="0050766E"/>
    <w:rsid w:val="0050778A"/>
    <w:rsid w:val="00507A27"/>
    <w:rsid w:val="00511170"/>
    <w:rsid w:val="00512C3C"/>
    <w:rsid w:val="005141A9"/>
    <w:rsid w:val="005145C8"/>
    <w:rsid w:val="005145F0"/>
    <w:rsid w:val="00514A09"/>
    <w:rsid w:val="00514BCE"/>
    <w:rsid w:val="00514D3B"/>
    <w:rsid w:val="00515C1B"/>
    <w:rsid w:val="00515FBB"/>
    <w:rsid w:val="005172AB"/>
    <w:rsid w:val="00520516"/>
    <w:rsid w:val="00521DD4"/>
    <w:rsid w:val="00522FCD"/>
    <w:rsid w:val="005232E9"/>
    <w:rsid w:val="0052374D"/>
    <w:rsid w:val="00523A73"/>
    <w:rsid w:val="005241B9"/>
    <w:rsid w:val="00524371"/>
    <w:rsid w:val="005243C4"/>
    <w:rsid w:val="00525E4E"/>
    <w:rsid w:val="00526B0C"/>
    <w:rsid w:val="00527578"/>
    <w:rsid w:val="0053022A"/>
    <w:rsid w:val="005307B7"/>
    <w:rsid w:val="00531283"/>
    <w:rsid w:val="00531601"/>
    <w:rsid w:val="00531D68"/>
    <w:rsid w:val="0053278E"/>
    <w:rsid w:val="00532C14"/>
    <w:rsid w:val="00532CEB"/>
    <w:rsid w:val="00533634"/>
    <w:rsid w:val="00533760"/>
    <w:rsid w:val="00535B06"/>
    <w:rsid w:val="00535ED7"/>
    <w:rsid w:val="00537A6B"/>
    <w:rsid w:val="00537BAE"/>
    <w:rsid w:val="005409FF"/>
    <w:rsid w:val="005410A4"/>
    <w:rsid w:val="005413A6"/>
    <w:rsid w:val="0054243D"/>
    <w:rsid w:val="00542479"/>
    <w:rsid w:val="0054271F"/>
    <w:rsid w:val="005429AD"/>
    <w:rsid w:val="00543756"/>
    <w:rsid w:val="00543915"/>
    <w:rsid w:val="005452D3"/>
    <w:rsid w:val="00546EC8"/>
    <w:rsid w:val="00546FBB"/>
    <w:rsid w:val="0054793A"/>
    <w:rsid w:val="00550082"/>
    <w:rsid w:val="0055075C"/>
    <w:rsid w:val="005522D0"/>
    <w:rsid w:val="005545E5"/>
    <w:rsid w:val="00554C81"/>
    <w:rsid w:val="00554E60"/>
    <w:rsid w:val="00555F27"/>
    <w:rsid w:val="00555FE0"/>
    <w:rsid w:val="005563C7"/>
    <w:rsid w:val="00556431"/>
    <w:rsid w:val="0055720F"/>
    <w:rsid w:val="00557DE9"/>
    <w:rsid w:val="005601D2"/>
    <w:rsid w:val="0056071B"/>
    <w:rsid w:val="00560D54"/>
    <w:rsid w:val="005626E4"/>
    <w:rsid w:val="00563129"/>
    <w:rsid w:val="005633BB"/>
    <w:rsid w:val="005639FD"/>
    <w:rsid w:val="00564240"/>
    <w:rsid w:val="005646BE"/>
    <w:rsid w:val="00564AB8"/>
    <w:rsid w:val="00565D6F"/>
    <w:rsid w:val="005666F5"/>
    <w:rsid w:val="00566B2E"/>
    <w:rsid w:val="0057016F"/>
    <w:rsid w:val="0057157A"/>
    <w:rsid w:val="00571AEE"/>
    <w:rsid w:val="0057223F"/>
    <w:rsid w:val="00573812"/>
    <w:rsid w:val="00573BE8"/>
    <w:rsid w:val="0057468C"/>
    <w:rsid w:val="00575A93"/>
    <w:rsid w:val="00575AA6"/>
    <w:rsid w:val="005766EA"/>
    <w:rsid w:val="005768A1"/>
    <w:rsid w:val="00576D5B"/>
    <w:rsid w:val="00577728"/>
    <w:rsid w:val="00577826"/>
    <w:rsid w:val="0058084B"/>
    <w:rsid w:val="00580A3A"/>
    <w:rsid w:val="00581E8D"/>
    <w:rsid w:val="00581F0F"/>
    <w:rsid w:val="00582569"/>
    <w:rsid w:val="00583AA1"/>
    <w:rsid w:val="005849AF"/>
    <w:rsid w:val="0058541B"/>
    <w:rsid w:val="00585523"/>
    <w:rsid w:val="0058572F"/>
    <w:rsid w:val="00586175"/>
    <w:rsid w:val="00590297"/>
    <w:rsid w:val="00591162"/>
    <w:rsid w:val="00591BEB"/>
    <w:rsid w:val="00592287"/>
    <w:rsid w:val="00592729"/>
    <w:rsid w:val="00592BF8"/>
    <w:rsid w:val="00592F85"/>
    <w:rsid w:val="0059310B"/>
    <w:rsid w:val="00593C53"/>
    <w:rsid w:val="00594369"/>
    <w:rsid w:val="00594F43"/>
    <w:rsid w:val="00595693"/>
    <w:rsid w:val="005958C5"/>
    <w:rsid w:val="00595B0E"/>
    <w:rsid w:val="005969BA"/>
    <w:rsid w:val="00596E2E"/>
    <w:rsid w:val="00597462"/>
    <w:rsid w:val="00597798"/>
    <w:rsid w:val="00597E96"/>
    <w:rsid w:val="005A16A5"/>
    <w:rsid w:val="005A2AAB"/>
    <w:rsid w:val="005A3EF4"/>
    <w:rsid w:val="005A445E"/>
    <w:rsid w:val="005A454D"/>
    <w:rsid w:val="005A4D8C"/>
    <w:rsid w:val="005A4D8E"/>
    <w:rsid w:val="005A50AA"/>
    <w:rsid w:val="005B00EC"/>
    <w:rsid w:val="005B01F8"/>
    <w:rsid w:val="005B3DE3"/>
    <w:rsid w:val="005B3E0D"/>
    <w:rsid w:val="005B4341"/>
    <w:rsid w:val="005B44E4"/>
    <w:rsid w:val="005B4531"/>
    <w:rsid w:val="005B4EED"/>
    <w:rsid w:val="005B5A19"/>
    <w:rsid w:val="005B5A90"/>
    <w:rsid w:val="005B5D13"/>
    <w:rsid w:val="005B6251"/>
    <w:rsid w:val="005B6C99"/>
    <w:rsid w:val="005C07F6"/>
    <w:rsid w:val="005C137D"/>
    <w:rsid w:val="005C161E"/>
    <w:rsid w:val="005C1B39"/>
    <w:rsid w:val="005C1D1E"/>
    <w:rsid w:val="005C204F"/>
    <w:rsid w:val="005C218E"/>
    <w:rsid w:val="005C234A"/>
    <w:rsid w:val="005C31AB"/>
    <w:rsid w:val="005C3204"/>
    <w:rsid w:val="005C3230"/>
    <w:rsid w:val="005C3305"/>
    <w:rsid w:val="005C3AD3"/>
    <w:rsid w:val="005C479B"/>
    <w:rsid w:val="005C49DB"/>
    <w:rsid w:val="005C56C4"/>
    <w:rsid w:val="005C6C95"/>
    <w:rsid w:val="005C73FB"/>
    <w:rsid w:val="005C755D"/>
    <w:rsid w:val="005C7CA6"/>
    <w:rsid w:val="005D0436"/>
    <w:rsid w:val="005D060F"/>
    <w:rsid w:val="005D0642"/>
    <w:rsid w:val="005D0E91"/>
    <w:rsid w:val="005D180E"/>
    <w:rsid w:val="005D1DBC"/>
    <w:rsid w:val="005D21E8"/>
    <w:rsid w:val="005D29BE"/>
    <w:rsid w:val="005D2C18"/>
    <w:rsid w:val="005D2D54"/>
    <w:rsid w:val="005D3718"/>
    <w:rsid w:val="005D42CE"/>
    <w:rsid w:val="005D48AC"/>
    <w:rsid w:val="005D4E01"/>
    <w:rsid w:val="005D66EB"/>
    <w:rsid w:val="005E0298"/>
    <w:rsid w:val="005E1129"/>
    <w:rsid w:val="005E1731"/>
    <w:rsid w:val="005E379F"/>
    <w:rsid w:val="005E3892"/>
    <w:rsid w:val="005E44C8"/>
    <w:rsid w:val="005E459B"/>
    <w:rsid w:val="005E4B06"/>
    <w:rsid w:val="005E4D17"/>
    <w:rsid w:val="005E57F1"/>
    <w:rsid w:val="005E586C"/>
    <w:rsid w:val="005E6169"/>
    <w:rsid w:val="005E6491"/>
    <w:rsid w:val="005E6810"/>
    <w:rsid w:val="005E68D7"/>
    <w:rsid w:val="005E70B6"/>
    <w:rsid w:val="005E7A7E"/>
    <w:rsid w:val="005E7F77"/>
    <w:rsid w:val="005F04D8"/>
    <w:rsid w:val="005F10D7"/>
    <w:rsid w:val="005F1663"/>
    <w:rsid w:val="005F179D"/>
    <w:rsid w:val="005F254D"/>
    <w:rsid w:val="005F2BAA"/>
    <w:rsid w:val="005F33F0"/>
    <w:rsid w:val="005F45F3"/>
    <w:rsid w:val="005F48CD"/>
    <w:rsid w:val="005F6A4A"/>
    <w:rsid w:val="005F6D08"/>
    <w:rsid w:val="005F76A0"/>
    <w:rsid w:val="005F7CF9"/>
    <w:rsid w:val="005F7D2F"/>
    <w:rsid w:val="00600104"/>
    <w:rsid w:val="00600D90"/>
    <w:rsid w:val="00601805"/>
    <w:rsid w:val="00601849"/>
    <w:rsid w:val="006019AC"/>
    <w:rsid w:val="006034C2"/>
    <w:rsid w:val="006037B1"/>
    <w:rsid w:val="00604EE5"/>
    <w:rsid w:val="00605C02"/>
    <w:rsid w:val="006061AE"/>
    <w:rsid w:val="00606FA5"/>
    <w:rsid w:val="006071F8"/>
    <w:rsid w:val="006079DF"/>
    <w:rsid w:val="006103BD"/>
    <w:rsid w:val="0061066A"/>
    <w:rsid w:val="006121A3"/>
    <w:rsid w:val="00612593"/>
    <w:rsid w:val="006126B6"/>
    <w:rsid w:val="00613B3A"/>
    <w:rsid w:val="00613DFD"/>
    <w:rsid w:val="006143C2"/>
    <w:rsid w:val="006146BB"/>
    <w:rsid w:val="00616525"/>
    <w:rsid w:val="00616D91"/>
    <w:rsid w:val="00616F54"/>
    <w:rsid w:val="0061739D"/>
    <w:rsid w:val="00617651"/>
    <w:rsid w:val="00617899"/>
    <w:rsid w:val="0062039C"/>
    <w:rsid w:val="006204E3"/>
    <w:rsid w:val="00620B45"/>
    <w:rsid w:val="006214C8"/>
    <w:rsid w:val="006217FB"/>
    <w:rsid w:val="00622674"/>
    <w:rsid w:val="00622D80"/>
    <w:rsid w:val="006230CD"/>
    <w:rsid w:val="00623290"/>
    <w:rsid w:val="00624137"/>
    <w:rsid w:val="0062488B"/>
    <w:rsid w:val="00624C0D"/>
    <w:rsid w:val="00624CF5"/>
    <w:rsid w:val="0062520D"/>
    <w:rsid w:val="00625B09"/>
    <w:rsid w:val="006268F7"/>
    <w:rsid w:val="00626ADF"/>
    <w:rsid w:val="00627280"/>
    <w:rsid w:val="006272F2"/>
    <w:rsid w:val="00627AD3"/>
    <w:rsid w:val="00627B79"/>
    <w:rsid w:val="0063024A"/>
    <w:rsid w:val="006310EE"/>
    <w:rsid w:val="0063348B"/>
    <w:rsid w:val="0063441B"/>
    <w:rsid w:val="0063501F"/>
    <w:rsid w:val="00635569"/>
    <w:rsid w:val="00636840"/>
    <w:rsid w:val="0063684B"/>
    <w:rsid w:val="006373C3"/>
    <w:rsid w:val="00637FE5"/>
    <w:rsid w:val="00641F2C"/>
    <w:rsid w:val="00642776"/>
    <w:rsid w:val="00642790"/>
    <w:rsid w:val="0064302B"/>
    <w:rsid w:val="006434F0"/>
    <w:rsid w:val="0064381E"/>
    <w:rsid w:val="00644235"/>
    <w:rsid w:val="00644A21"/>
    <w:rsid w:val="00644D68"/>
    <w:rsid w:val="006452D4"/>
    <w:rsid w:val="00645FA6"/>
    <w:rsid w:val="0064686E"/>
    <w:rsid w:val="00653392"/>
    <w:rsid w:val="006535A0"/>
    <w:rsid w:val="00653DB7"/>
    <w:rsid w:val="006542B8"/>
    <w:rsid w:val="0065483B"/>
    <w:rsid w:val="00654992"/>
    <w:rsid w:val="00655E4A"/>
    <w:rsid w:val="00656A86"/>
    <w:rsid w:val="00657BE9"/>
    <w:rsid w:val="00657D28"/>
    <w:rsid w:val="006626DD"/>
    <w:rsid w:val="00662CF2"/>
    <w:rsid w:val="0066355D"/>
    <w:rsid w:val="006637DE"/>
    <w:rsid w:val="006641D1"/>
    <w:rsid w:val="0066425E"/>
    <w:rsid w:val="0066461F"/>
    <w:rsid w:val="00664A00"/>
    <w:rsid w:val="0066561E"/>
    <w:rsid w:val="00665A74"/>
    <w:rsid w:val="00666668"/>
    <w:rsid w:val="006671F0"/>
    <w:rsid w:val="00667229"/>
    <w:rsid w:val="00667B83"/>
    <w:rsid w:val="00670B0E"/>
    <w:rsid w:val="00671558"/>
    <w:rsid w:val="00672D06"/>
    <w:rsid w:val="006746B8"/>
    <w:rsid w:val="0067544A"/>
    <w:rsid w:val="006761F0"/>
    <w:rsid w:val="006807D8"/>
    <w:rsid w:val="006810C8"/>
    <w:rsid w:val="0068189F"/>
    <w:rsid w:val="00682F31"/>
    <w:rsid w:val="00683E19"/>
    <w:rsid w:val="0068430D"/>
    <w:rsid w:val="006846C0"/>
    <w:rsid w:val="00684A18"/>
    <w:rsid w:val="00684AC6"/>
    <w:rsid w:val="00684B40"/>
    <w:rsid w:val="006851A3"/>
    <w:rsid w:val="006861EF"/>
    <w:rsid w:val="0068666D"/>
    <w:rsid w:val="00687104"/>
    <w:rsid w:val="006906BA"/>
    <w:rsid w:val="00691A23"/>
    <w:rsid w:val="00692123"/>
    <w:rsid w:val="0069241C"/>
    <w:rsid w:val="006924CF"/>
    <w:rsid w:val="00692A5B"/>
    <w:rsid w:val="00692F41"/>
    <w:rsid w:val="006937D3"/>
    <w:rsid w:val="00694023"/>
    <w:rsid w:val="006941A2"/>
    <w:rsid w:val="006942EA"/>
    <w:rsid w:val="00695088"/>
    <w:rsid w:val="0069661A"/>
    <w:rsid w:val="0069782A"/>
    <w:rsid w:val="00697EA7"/>
    <w:rsid w:val="006A0D30"/>
    <w:rsid w:val="006A12E3"/>
    <w:rsid w:val="006A18CB"/>
    <w:rsid w:val="006A1A6A"/>
    <w:rsid w:val="006A1E4D"/>
    <w:rsid w:val="006A24F7"/>
    <w:rsid w:val="006A2573"/>
    <w:rsid w:val="006A32BE"/>
    <w:rsid w:val="006A387E"/>
    <w:rsid w:val="006A49B9"/>
    <w:rsid w:val="006A529C"/>
    <w:rsid w:val="006A58EB"/>
    <w:rsid w:val="006A591D"/>
    <w:rsid w:val="006A6015"/>
    <w:rsid w:val="006A6158"/>
    <w:rsid w:val="006A6285"/>
    <w:rsid w:val="006A64A8"/>
    <w:rsid w:val="006A6D34"/>
    <w:rsid w:val="006A749C"/>
    <w:rsid w:val="006A7E1A"/>
    <w:rsid w:val="006B0FE9"/>
    <w:rsid w:val="006B15CB"/>
    <w:rsid w:val="006B205F"/>
    <w:rsid w:val="006B234C"/>
    <w:rsid w:val="006B2566"/>
    <w:rsid w:val="006B2F94"/>
    <w:rsid w:val="006B306A"/>
    <w:rsid w:val="006B394D"/>
    <w:rsid w:val="006B3A45"/>
    <w:rsid w:val="006B51DE"/>
    <w:rsid w:val="006B55CA"/>
    <w:rsid w:val="006B638A"/>
    <w:rsid w:val="006B6635"/>
    <w:rsid w:val="006B76D8"/>
    <w:rsid w:val="006B7788"/>
    <w:rsid w:val="006C0179"/>
    <w:rsid w:val="006C3258"/>
    <w:rsid w:val="006C3A94"/>
    <w:rsid w:val="006C4C25"/>
    <w:rsid w:val="006C53E0"/>
    <w:rsid w:val="006C60DD"/>
    <w:rsid w:val="006C7CB3"/>
    <w:rsid w:val="006D0ABD"/>
    <w:rsid w:val="006D1FCE"/>
    <w:rsid w:val="006D2371"/>
    <w:rsid w:val="006D2A78"/>
    <w:rsid w:val="006D2FBD"/>
    <w:rsid w:val="006D5FA9"/>
    <w:rsid w:val="006D6208"/>
    <w:rsid w:val="006D666E"/>
    <w:rsid w:val="006D66A1"/>
    <w:rsid w:val="006D6734"/>
    <w:rsid w:val="006D6EFD"/>
    <w:rsid w:val="006D724F"/>
    <w:rsid w:val="006D7318"/>
    <w:rsid w:val="006D73BB"/>
    <w:rsid w:val="006D7BD1"/>
    <w:rsid w:val="006E01D6"/>
    <w:rsid w:val="006E0467"/>
    <w:rsid w:val="006E04F1"/>
    <w:rsid w:val="006E191F"/>
    <w:rsid w:val="006E204D"/>
    <w:rsid w:val="006E31A1"/>
    <w:rsid w:val="006E367F"/>
    <w:rsid w:val="006E5231"/>
    <w:rsid w:val="006E56C7"/>
    <w:rsid w:val="006E5867"/>
    <w:rsid w:val="006E6ABF"/>
    <w:rsid w:val="006E6E5D"/>
    <w:rsid w:val="006E70EC"/>
    <w:rsid w:val="006E71E6"/>
    <w:rsid w:val="006F0CCE"/>
    <w:rsid w:val="006F11C6"/>
    <w:rsid w:val="006F1860"/>
    <w:rsid w:val="006F1FF0"/>
    <w:rsid w:val="006F23D4"/>
    <w:rsid w:val="006F2C4C"/>
    <w:rsid w:val="006F2E93"/>
    <w:rsid w:val="006F2EAB"/>
    <w:rsid w:val="006F3041"/>
    <w:rsid w:val="006F3473"/>
    <w:rsid w:val="006F49E1"/>
    <w:rsid w:val="006F52B6"/>
    <w:rsid w:val="006F5811"/>
    <w:rsid w:val="006F5A61"/>
    <w:rsid w:val="006F609F"/>
    <w:rsid w:val="006F6983"/>
    <w:rsid w:val="006F69CD"/>
    <w:rsid w:val="006F7627"/>
    <w:rsid w:val="006F7BBE"/>
    <w:rsid w:val="006F7E58"/>
    <w:rsid w:val="0070048A"/>
    <w:rsid w:val="00701F6D"/>
    <w:rsid w:val="0070204D"/>
    <w:rsid w:val="00702952"/>
    <w:rsid w:val="00702A81"/>
    <w:rsid w:val="0070315B"/>
    <w:rsid w:val="0070318B"/>
    <w:rsid w:val="00703C1B"/>
    <w:rsid w:val="00703DED"/>
    <w:rsid w:val="0070408F"/>
    <w:rsid w:val="0070439A"/>
    <w:rsid w:val="0070476A"/>
    <w:rsid w:val="00704CC9"/>
    <w:rsid w:val="00705927"/>
    <w:rsid w:val="00711654"/>
    <w:rsid w:val="007116B5"/>
    <w:rsid w:val="00711E00"/>
    <w:rsid w:val="00712286"/>
    <w:rsid w:val="00712290"/>
    <w:rsid w:val="00712539"/>
    <w:rsid w:val="00713408"/>
    <w:rsid w:val="0071344B"/>
    <w:rsid w:val="007138F0"/>
    <w:rsid w:val="00713B65"/>
    <w:rsid w:val="0071401A"/>
    <w:rsid w:val="007144AE"/>
    <w:rsid w:val="0071481A"/>
    <w:rsid w:val="00714D33"/>
    <w:rsid w:val="00714ECA"/>
    <w:rsid w:val="00714ED1"/>
    <w:rsid w:val="007160FC"/>
    <w:rsid w:val="00716E92"/>
    <w:rsid w:val="00720406"/>
    <w:rsid w:val="007206D5"/>
    <w:rsid w:val="00720ABA"/>
    <w:rsid w:val="00720B73"/>
    <w:rsid w:val="00720D92"/>
    <w:rsid w:val="00720DD1"/>
    <w:rsid w:val="007214F7"/>
    <w:rsid w:val="0072182A"/>
    <w:rsid w:val="00722703"/>
    <w:rsid w:val="00722777"/>
    <w:rsid w:val="00722B7D"/>
    <w:rsid w:val="00722E53"/>
    <w:rsid w:val="007247A3"/>
    <w:rsid w:val="007247C6"/>
    <w:rsid w:val="00724EDB"/>
    <w:rsid w:val="007265BD"/>
    <w:rsid w:val="007267FA"/>
    <w:rsid w:val="00726810"/>
    <w:rsid w:val="007277F5"/>
    <w:rsid w:val="00727C09"/>
    <w:rsid w:val="00730C7C"/>
    <w:rsid w:val="00731C09"/>
    <w:rsid w:val="00731CD7"/>
    <w:rsid w:val="00734548"/>
    <w:rsid w:val="00734931"/>
    <w:rsid w:val="0073539C"/>
    <w:rsid w:val="007358D2"/>
    <w:rsid w:val="007375B3"/>
    <w:rsid w:val="007378B6"/>
    <w:rsid w:val="00737FF9"/>
    <w:rsid w:val="007414F8"/>
    <w:rsid w:val="007416C7"/>
    <w:rsid w:val="00741E11"/>
    <w:rsid w:val="00742CC0"/>
    <w:rsid w:val="00743EBD"/>
    <w:rsid w:val="00744199"/>
    <w:rsid w:val="0074421E"/>
    <w:rsid w:val="00744D86"/>
    <w:rsid w:val="00745149"/>
    <w:rsid w:val="00746260"/>
    <w:rsid w:val="00746338"/>
    <w:rsid w:val="0074708F"/>
    <w:rsid w:val="00747485"/>
    <w:rsid w:val="00747C45"/>
    <w:rsid w:val="00747CDA"/>
    <w:rsid w:val="00750018"/>
    <w:rsid w:val="0075126B"/>
    <w:rsid w:val="007519C9"/>
    <w:rsid w:val="00752AD7"/>
    <w:rsid w:val="0075336B"/>
    <w:rsid w:val="00753530"/>
    <w:rsid w:val="0075364D"/>
    <w:rsid w:val="00754A63"/>
    <w:rsid w:val="00754D57"/>
    <w:rsid w:val="00757354"/>
    <w:rsid w:val="00757D8D"/>
    <w:rsid w:val="00760A35"/>
    <w:rsid w:val="00761E0A"/>
    <w:rsid w:val="007623F9"/>
    <w:rsid w:val="0076356C"/>
    <w:rsid w:val="00763C06"/>
    <w:rsid w:val="007641E5"/>
    <w:rsid w:val="00764BFF"/>
    <w:rsid w:val="00764C93"/>
    <w:rsid w:val="007650E8"/>
    <w:rsid w:val="007672B6"/>
    <w:rsid w:val="00770882"/>
    <w:rsid w:val="00770CD4"/>
    <w:rsid w:val="007716D5"/>
    <w:rsid w:val="00773515"/>
    <w:rsid w:val="00774725"/>
    <w:rsid w:val="007765E2"/>
    <w:rsid w:val="00780568"/>
    <w:rsid w:val="007812C0"/>
    <w:rsid w:val="00781327"/>
    <w:rsid w:val="00781794"/>
    <w:rsid w:val="0078334F"/>
    <w:rsid w:val="00784307"/>
    <w:rsid w:val="0078437A"/>
    <w:rsid w:val="007843D1"/>
    <w:rsid w:val="00784F42"/>
    <w:rsid w:val="007856FB"/>
    <w:rsid w:val="00787888"/>
    <w:rsid w:val="00790CA6"/>
    <w:rsid w:val="0079184F"/>
    <w:rsid w:val="00793847"/>
    <w:rsid w:val="007940CE"/>
    <w:rsid w:val="007941BD"/>
    <w:rsid w:val="007944D7"/>
    <w:rsid w:val="0079573F"/>
    <w:rsid w:val="00795ACF"/>
    <w:rsid w:val="00796360"/>
    <w:rsid w:val="00796632"/>
    <w:rsid w:val="00797428"/>
    <w:rsid w:val="007A094C"/>
    <w:rsid w:val="007A1120"/>
    <w:rsid w:val="007A1FB1"/>
    <w:rsid w:val="007A28CD"/>
    <w:rsid w:val="007A28FC"/>
    <w:rsid w:val="007A3FDF"/>
    <w:rsid w:val="007A45EC"/>
    <w:rsid w:val="007A4EEA"/>
    <w:rsid w:val="007A5B58"/>
    <w:rsid w:val="007A6002"/>
    <w:rsid w:val="007A68BF"/>
    <w:rsid w:val="007A7074"/>
    <w:rsid w:val="007A710F"/>
    <w:rsid w:val="007A7853"/>
    <w:rsid w:val="007A78EF"/>
    <w:rsid w:val="007A7A16"/>
    <w:rsid w:val="007A7C23"/>
    <w:rsid w:val="007B0DC6"/>
    <w:rsid w:val="007B143E"/>
    <w:rsid w:val="007B16AE"/>
    <w:rsid w:val="007B18FB"/>
    <w:rsid w:val="007B218A"/>
    <w:rsid w:val="007B247A"/>
    <w:rsid w:val="007B25A8"/>
    <w:rsid w:val="007B2727"/>
    <w:rsid w:val="007B2DAE"/>
    <w:rsid w:val="007B3407"/>
    <w:rsid w:val="007B4D68"/>
    <w:rsid w:val="007B5217"/>
    <w:rsid w:val="007B5221"/>
    <w:rsid w:val="007B5307"/>
    <w:rsid w:val="007B6397"/>
    <w:rsid w:val="007B6F07"/>
    <w:rsid w:val="007B7948"/>
    <w:rsid w:val="007B7DDD"/>
    <w:rsid w:val="007C07F6"/>
    <w:rsid w:val="007C2903"/>
    <w:rsid w:val="007C2FC5"/>
    <w:rsid w:val="007C3B1E"/>
    <w:rsid w:val="007C4AFB"/>
    <w:rsid w:val="007C576F"/>
    <w:rsid w:val="007C5A45"/>
    <w:rsid w:val="007C6472"/>
    <w:rsid w:val="007C651B"/>
    <w:rsid w:val="007C65A6"/>
    <w:rsid w:val="007C6831"/>
    <w:rsid w:val="007C786E"/>
    <w:rsid w:val="007D02EA"/>
    <w:rsid w:val="007D16B4"/>
    <w:rsid w:val="007D1712"/>
    <w:rsid w:val="007D1D78"/>
    <w:rsid w:val="007D24E4"/>
    <w:rsid w:val="007D2512"/>
    <w:rsid w:val="007D2937"/>
    <w:rsid w:val="007D363E"/>
    <w:rsid w:val="007D38EF"/>
    <w:rsid w:val="007D6644"/>
    <w:rsid w:val="007D6A6F"/>
    <w:rsid w:val="007D7D96"/>
    <w:rsid w:val="007E1978"/>
    <w:rsid w:val="007E1F64"/>
    <w:rsid w:val="007E407E"/>
    <w:rsid w:val="007E46A3"/>
    <w:rsid w:val="007E5076"/>
    <w:rsid w:val="007E53AF"/>
    <w:rsid w:val="007E5D8E"/>
    <w:rsid w:val="007E611F"/>
    <w:rsid w:val="007E6D7F"/>
    <w:rsid w:val="007E7A7A"/>
    <w:rsid w:val="007E7B1B"/>
    <w:rsid w:val="007F099E"/>
    <w:rsid w:val="007F0C1B"/>
    <w:rsid w:val="007F13F9"/>
    <w:rsid w:val="007F1493"/>
    <w:rsid w:val="007F25BA"/>
    <w:rsid w:val="007F37CA"/>
    <w:rsid w:val="007F3A08"/>
    <w:rsid w:val="007F3ED7"/>
    <w:rsid w:val="007F4D93"/>
    <w:rsid w:val="007F70BC"/>
    <w:rsid w:val="007F7268"/>
    <w:rsid w:val="007F74D5"/>
    <w:rsid w:val="007F7AC3"/>
    <w:rsid w:val="0080033E"/>
    <w:rsid w:val="00801123"/>
    <w:rsid w:val="00801328"/>
    <w:rsid w:val="008016E2"/>
    <w:rsid w:val="008020B3"/>
    <w:rsid w:val="0080295C"/>
    <w:rsid w:val="00802D29"/>
    <w:rsid w:val="00803831"/>
    <w:rsid w:val="0080422A"/>
    <w:rsid w:val="008048A7"/>
    <w:rsid w:val="008048F1"/>
    <w:rsid w:val="0080499B"/>
    <w:rsid w:val="008049AB"/>
    <w:rsid w:val="00804B54"/>
    <w:rsid w:val="00804D6A"/>
    <w:rsid w:val="00805052"/>
    <w:rsid w:val="008055E6"/>
    <w:rsid w:val="00805AF1"/>
    <w:rsid w:val="00805B3F"/>
    <w:rsid w:val="00807433"/>
    <w:rsid w:val="0080761F"/>
    <w:rsid w:val="00807862"/>
    <w:rsid w:val="00812406"/>
    <w:rsid w:val="00813454"/>
    <w:rsid w:val="0081390E"/>
    <w:rsid w:val="0081423E"/>
    <w:rsid w:val="008147EA"/>
    <w:rsid w:val="00816802"/>
    <w:rsid w:val="00816AFA"/>
    <w:rsid w:val="008171D0"/>
    <w:rsid w:val="00820980"/>
    <w:rsid w:val="00820AFE"/>
    <w:rsid w:val="00820BA3"/>
    <w:rsid w:val="00820BFF"/>
    <w:rsid w:val="00821CB1"/>
    <w:rsid w:val="00822A69"/>
    <w:rsid w:val="00823064"/>
    <w:rsid w:val="0082309C"/>
    <w:rsid w:val="00824768"/>
    <w:rsid w:val="00825820"/>
    <w:rsid w:val="0082684A"/>
    <w:rsid w:val="008270C0"/>
    <w:rsid w:val="00827786"/>
    <w:rsid w:val="0083061A"/>
    <w:rsid w:val="00830BB2"/>
    <w:rsid w:val="0083202B"/>
    <w:rsid w:val="00832149"/>
    <w:rsid w:val="00833953"/>
    <w:rsid w:val="00833CA7"/>
    <w:rsid w:val="00834428"/>
    <w:rsid w:val="0083523B"/>
    <w:rsid w:val="0083526A"/>
    <w:rsid w:val="008360A8"/>
    <w:rsid w:val="00836EF9"/>
    <w:rsid w:val="0084004E"/>
    <w:rsid w:val="0084276F"/>
    <w:rsid w:val="00843E5A"/>
    <w:rsid w:val="00845308"/>
    <w:rsid w:val="00845A2A"/>
    <w:rsid w:val="0084603F"/>
    <w:rsid w:val="0084620B"/>
    <w:rsid w:val="00846E2D"/>
    <w:rsid w:val="00847B27"/>
    <w:rsid w:val="00850E7D"/>
    <w:rsid w:val="00852E34"/>
    <w:rsid w:val="00853AAF"/>
    <w:rsid w:val="008553E8"/>
    <w:rsid w:val="008555AC"/>
    <w:rsid w:val="00857762"/>
    <w:rsid w:val="00860F1C"/>
    <w:rsid w:val="008616C7"/>
    <w:rsid w:val="00861982"/>
    <w:rsid w:val="00861ABA"/>
    <w:rsid w:val="008622F3"/>
    <w:rsid w:val="00862B69"/>
    <w:rsid w:val="008635CE"/>
    <w:rsid w:val="008639C0"/>
    <w:rsid w:val="00864999"/>
    <w:rsid w:val="008658B0"/>
    <w:rsid w:val="00866559"/>
    <w:rsid w:val="00866DB3"/>
    <w:rsid w:val="0086706F"/>
    <w:rsid w:val="008675E5"/>
    <w:rsid w:val="00867968"/>
    <w:rsid w:val="00867D74"/>
    <w:rsid w:val="00870617"/>
    <w:rsid w:val="00871030"/>
    <w:rsid w:val="008719B9"/>
    <w:rsid w:val="00871A18"/>
    <w:rsid w:val="00871F4D"/>
    <w:rsid w:val="00872FEC"/>
    <w:rsid w:val="00873CBF"/>
    <w:rsid w:val="00873F15"/>
    <w:rsid w:val="00874113"/>
    <w:rsid w:val="008754EA"/>
    <w:rsid w:val="00875736"/>
    <w:rsid w:val="00876EE3"/>
    <w:rsid w:val="00877F07"/>
    <w:rsid w:val="008808D4"/>
    <w:rsid w:val="0088164A"/>
    <w:rsid w:val="008816FE"/>
    <w:rsid w:val="00882943"/>
    <w:rsid w:val="00883442"/>
    <w:rsid w:val="00884D7C"/>
    <w:rsid w:val="008851BE"/>
    <w:rsid w:val="008853B0"/>
    <w:rsid w:val="00885DD4"/>
    <w:rsid w:val="00885FA1"/>
    <w:rsid w:val="008862B0"/>
    <w:rsid w:val="0088641F"/>
    <w:rsid w:val="00887B3F"/>
    <w:rsid w:val="008907FA"/>
    <w:rsid w:val="00891696"/>
    <w:rsid w:val="0089215E"/>
    <w:rsid w:val="00892585"/>
    <w:rsid w:val="008925B9"/>
    <w:rsid w:val="00892A55"/>
    <w:rsid w:val="00892AB9"/>
    <w:rsid w:val="0089446B"/>
    <w:rsid w:val="00894B13"/>
    <w:rsid w:val="00895AF1"/>
    <w:rsid w:val="00897283"/>
    <w:rsid w:val="008A09C2"/>
    <w:rsid w:val="008A0F26"/>
    <w:rsid w:val="008A125A"/>
    <w:rsid w:val="008A15F6"/>
    <w:rsid w:val="008A3002"/>
    <w:rsid w:val="008A411A"/>
    <w:rsid w:val="008A4A72"/>
    <w:rsid w:val="008A51CB"/>
    <w:rsid w:val="008A5914"/>
    <w:rsid w:val="008B00F2"/>
    <w:rsid w:val="008B018D"/>
    <w:rsid w:val="008B01D2"/>
    <w:rsid w:val="008B0C5B"/>
    <w:rsid w:val="008B10B3"/>
    <w:rsid w:val="008B10E3"/>
    <w:rsid w:val="008B1431"/>
    <w:rsid w:val="008B16EC"/>
    <w:rsid w:val="008B1DEB"/>
    <w:rsid w:val="008B2B80"/>
    <w:rsid w:val="008B3AB9"/>
    <w:rsid w:val="008B47B2"/>
    <w:rsid w:val="008B60EB"/>
    <w:rsid w:val="008B64EE"/>
    <w:rsid w:val="008C0446"/>
    <w:rsid w:val="008C08AC"/>
    <w:rsid w:val="008C166D"/>
    <w:rsid w:val="008C2293"/>
    <w:rsid w:val="008C2549"/>
    <w:rsid w:val="008C2D64"/>
    <w:rsid w:val="008C30BF"/>
    <w:rsid w:val="008C3306"/>
    <w:rsid w:val="008C5BBF"/>
    <w:rsid w:val="008C656F"/>
    <w:rsid w:val="008D0F24"/>
    <w:rsid w:val="008D14E8"/>
    <w:rsid w:val="008D594E"/>
    <w:rsid w:val="008D6198"/>
    <w:rsid w:val="008D6204"/>
    <w:rsid w:val="008D752E"/>
    <w:rsid w:val="008D77BA"/>
    <w:rsid w:val="008E02BD"/>
    <w:rsid w:val="008E03FF"/>
    <w:rsid w:val="008E300B"/>
    <w:rsid w:val="008E34D4"/>
    <w:rsid w:val="008E449D"/>
    <w:rsid w:val="008E461F"/>
    <w:rsid w:val="008E599F"/>
    <w:rsid w:val="008E62D2"/>
    <w:rsid w:val="008E6650"/>
    <w:rsid w:val="008E6C65"/>
    <w:rsid w:val="008E7104"/>
    <w:rsid w:val="008E78FC"/>
    <w:rsid w:val="008E7A4F"/>
    <w:rsid w:val="008F028A"/>
    <w:rsid w:val="008F1B49"/>
    <w:rsid w:val="008F1F1F"/>
    <w:rsid w:val="008F291D"/>
    <w:rsid w:val="008F342B"/>
    <w:rsid w:val="008F421B"/>
    <w:rsid w:val="008F4617"/>
    <w:rsid w:val="008F4F8F"/>
    <w:rsid w:val="008F5169"/>
    <w:rsid w:val="008F65FF"/>
    <w:rsid w:val="008F6BDA"/>
    <w:rsid w:val="008F7F70"/>
    <w:rsid w:val="00900131"/>
    <w:rsid w:val="009030E6"/>
    <w:rsid w:val="00903CC9"/>
    <w:rsid w:val="00904456"/>
    <w:rsid w:val="00904511"/>
    <w:rsid w:val="009046C0"/>
    <w:rsid w:val="009047FE"/>
    <w:rsid w:val="00904814"/>
    <w:rsid w:val="0090638B"/>
    <w:rsid w:val="00906765"/>
    <w:rsid w:val="0090689B"/>
    <w:rsid w:val="00906961"/>
    <w:rsid w:val="0090725D"/>
    <w:rsid w:val="0090771E"/>
    <w:rsid w:val="00907F21"/>
    <w:rsid w:val="009107A3"/>
    <w:rsid w:val="009107C6"/>
    <w:rsid w:val="00910E8E"/>
    <w:rsid w:val="00910F74"/>
    <w:rsid w:val="0091131D"/>
    <w:rsid w:val="00911F94"/>
    <w:rsid w:val="00912E4B"/>
    <w:rsid w:val="0091442F"/>
    <w:rsid w:val="00915402"/>
    <w:rsid w:val="00915522"/>
    <w:rsid w:val="009156EB"/>
    <w:rsid w:val="00915C10"/>
    <w:rsid w:val="00916590"/>
    <w:rsid w:val="00917366"/>
    <w:rsid w:val="0091773C"/>
    <w:rsid w:val="00920561"/>
    <w:rsid w:val="009208BE"/>
    <w:rsid w:val="009220AD"/>
    <w:rsid w:val="009222EA"/>
    <w:rsid w:val="009229B9"/>
    <w:rsid w:val="00922F9B"/>
    <w:rsid w:val="00923114"/>
    <w:rsid w:val="0092356B"/>
    <w:rsid w:val="00923A52"/>
    <w:rsid w:val="00924A19"/>
    <w:rsid w:val="009252B6"/>
    <w:rsid w:val="009254D2"/>
    <w:rsid w:val="0092588B"/>
    <w:rsid w:val="00925BC6"/>
    <w:rsid w:val="00925E1F"/>
    <w:rsid w:val="009263C8"/>
    <w:rsid w:val="00926F9F"/>
    <w:rsid w:val="0092712C"/>
    <w:rsid w:val="009274F1"/>
    <w:rsid w:val="00927A2A"/>
    <w:rsid w:val="00930C74"/>
    <w:rsid w:val="0093120F"/>
    <w:rsid w:val="009318E3"/>
    <w:rsid w:val="00932546"/>
    <w:rsid w:val="00932777"/>
    <w:rsid w:val="00932846"/>
    <w:rsid w:val="00932FE6"/>
    <w:rsid w:val="00934472"/>
    <w:rsid w:val="0093457D"/>
    <w:rsid w:val="009353E8"/>
    <w:rsid w:val="00937059"/>
    <w:rsid w:val="009379EE"/>
    <w:rsid w:val="00940DF7"/>
    <w:rsid w:val="0094244A"/>
    <w:rsid w:val="009424B8"/>
    <w:rsid w:val="00942BE2"/>
    <w:rsid w:val="00942F1F"/>
    <w:rsid w:val="009438BF"/>
    <w:rsid w:val="00945092"/>
    <w:rsid w:val="0094595D"/>
    <w:rsid w:val="00945B8E"/>
    <w:rsid w:val="00946630"/>
    <w:rsid w:val="009473B9"/>
    <w:rsid w:val="00947C21"/>
    <w:rsid w:val="0095004F"/>
    <w:rsid w:val="0095192D"/>
    <w:rsid w:val="00951F55"/>
    <w:rsid w:val="00953743"/>
    <w:rsid w:val="00954995"/>
    <w:rsid w:val="00954BD4"/>
    <w:rsid w:val="00955B18"/>
    <w:rsid w:val="0095698D"/>
    <w:rsid w:val="009571E0"/>
    <w:rsid w:val="009574A8"/>
    <w:rsid w:val="00957718"/>
    <w:rsid w:val="00957F12"/>
    <w:rsid w:val="00960745"/>
    <w:rsid w:val="0096086A"/>
    <w:rsid w:val="00964522"/>
    <w:rsid w:val="0096602E"/>
    <w:rsid w:val="009666A6"/>
    <w:rsid w:val="00966E51"/>
    <w:rsid w:val="00967763"/>
    <w:rsid w:val="00971482"/>
    <w:rsid w:val="00971B73"/>
    <w:rsid w:val="00972A41"/>
    <w:rsid w:val="00972EF3"/>
    <w:rsid w:val="00973BA7"/>
    <w:rsid w:val="0097407C"/>
    <w:rsid w:val="00974381"/>
    <w:rsid w:val="009747E3"/>
    <w:rsid w:val="009748C6"/>
    <w:rsid w:val="00974E68"/>
    <w:rsid w:val="0097506D"/>
    <w:rsid w:val="0097544F"/>
    <w:rsid w:val="009754A5"/>
    <w:rsid w:val="009758DC"/>
    <w:rsid w:val="00976EE4"/>
    <w:rsid w:val="00977265"/>
    <w:rsid w:val="00977489"/>
    <w:rsid w:val="00977A7F"/>
    <w:rsid w:val="0098046B"/>
    <w:rsid w:val="009805CB"/>
    <w:rsid w:val="009813AE"/>
    <w:rsid w:val="009824A7"/>
    <w:rsid w:val="009826BE"/>
    <w:rsid w:val="00982BB6"/>
    <w:rsid w:val="0098335F"/>
    <w:rsid w:val="00984092"/>
    <w:rsid w:val="00984100"/>
    <w:rsid w:val="00984A98"/>
    <w:rsid w:val="00984E6C"/>
    <w:rsid w:val="00985097"/>
    <w:rsid w:val="009861D8"/>
    <w:rsid w:val="00986DF6"/>
    <w:rsid w:val="00987A10"/>
    <w:rsid w:val="00990C72"/>
    <w:rsid w:val="0099148C"/>
    <w:rsid w:val="00992E4D"/>
    <w:rsid w:val="0099327D"/>
    <w:rsid w:val="00993786"/>
    <w:rsid w:val="00993BDD"/>
    <w:rsid w:val="00993F41"/>
    <w:rsid w:val="00995C2E"/>
    <w:rsid w:val="0099618C"/>
    <w:rsid w:val="009974EA"/>
    <w:rsid w:val="009A07AD"/>
    <w:rsid w:val="009A13FB"/>
    <w:rsid w:val="009A1857"/>
    <w:rsid w:val="009A2CD1"/>
    <w:rsid w:val="009A3BA6"/>
    <w:rsid w:val="009A4257"/>
    <w:rsid w:val="009A4B57"/>
    <w:rsid w:val="009A5B9C"/>
    <w:rsid w:val="009A5F9E"/>
    <w:rsid w:val="009A61F7"/>
    <w:rsid w:val="009A633A"/>
    <w:rsid w:val="009A64FE"/>
    <w:rsid w:val="009A655A"/>
    <w:rsid w:val="009A79EA"/>
    <w:rsid w:val="009B0074"/>
    <w:rsid w:val="009B00AE"/>
    <w:rsid w:val="009B0D62"/>
    <w:rsid w:val="009B11AD"/>
    <w:rsid w:val="009B16FA"/>
    <w:rsid w:val="009B19C6"/>
    <w:rsid w:val="009B1C6C"/>
    <w:rsid w:val="009B2543"/>
    <w:rsid w:val="009B3E5E"/>
    <w:rsid w:val="009B5A30"/>
    <w:rsid w:val="009B640B"/>
    <w:rsid w:val="009B717A"/>
    <w:rsid w:val="009B7C2C"/>
    <w:rsid w:val="009C08FB"/>
    <w:rsid w:val="009C119A"/>
    <w:rsid w:val="009C1609"/>
    <w:rsid w:val="009C1A23"/>
    <w:rsid w:val="009C2A1D"/>
    <w:rsid w:val="009C3CD5"/>
    <w:rsid w:val="009C41D4"/>
    <w:rsid w:val="009C4CD3"/>
    <w:rsid w:val="009C5204"/>
    <w:rsid w:val="009C5F49"/>
    <w:rsid w:val="009C6D41"/>
    <w:rsid w:val="009C6E95"/>
    <w:rsid w:val="009C76C2"/>
    <w:rsid w:val="009C77CF"/>
    <w:rsid w:val="009C7ADA"/>
    <w:rsid w:val="009C7C7D"/>
    <w:rsid w:val="009D07B1"/>
    <w:rsid w:val="009D13ED"/>
    <w:rsid w:val="009D2103"/>
    <w:rsid w:val="009D263A"/>
    <w:rsid w:val="009D2A32"/>
    <w:rsid w:val="009D36E9"/>
    <w:rsid w:val="009D3B6D"/>
    <w:rsid w:val="009D3EFF"/>
    <w:rsid w:val="009D3F27"/>
    <w:rsid w:val="009D5775"/>
    <w:rsid w:val="009D5CA9"/>
    <w:rsid w:val="009D5F92"/>
    <w:rsid w:val="009D61C7"/>
    <w:rsid w:val="009D7527"/>
    <w:rsid w:val="009E0584"/>
    <w:rsid w:val="009E0BCC"/>
    <w:rsid w:val="009E0E4F"/>
    <w:rsid w:val="009E18CE"/>
    <w:rsid w:val="009E2B00"/>
    <w:rsid w:val="009E2B7D"/>
    <w:rsid w:val="009E2CF9"/>
    <w:rsid w:val="009E371F"/>
    <w:rsid w:val="009E3CCE"/>
    <w:rsid w:val="009E546E"/>
    <w:rsid w:val="009E5488"/>
    <w:rsid w:val="009E68DA"/>
    <w:rsid w:val="009E6A72"/>
    <w:rsid w:val="009E6D1E"/>
    <w:rsid w:val="009E7976"/>
    <w:rsid w:val="009E7BCF"/>
    <w:rsid w:val="009F0953"/>
    <w:rsid w:val="009F1140"/>
    <w:rsid w:val="009F1B48"/>
    <w:rsid w:val="009F1F15"/>
    <w:rsid w:val="009F30B3"/>
    <w:rsid w:val="009F3F82"/>
    <w:rsid w:val="009F4623"/>
    <w:rsid w:val="009F4942"/>
    <w:rsid w:val="009F638B"/>
    <w:rsid w:val="009F6E29"/>
    <w:rsid w:val="00A00378"/>
    <w:rsid w:val="00A00DA4"/>
    <w:rsid w:val="00A00EC0"/>
    <w:rsid w:val="00A0128C"/>
    <w:rsid w:val="00A02A3B"/>
    <w:rsid w:val="00A02DC6"/>
    <w:rsid w:val="00A04053"/>
    <w:rsid w:val="00A0602B"/>
    <w:rsid w:val="00A06C40"/>
    <w:rsid w:val="00A10B20"/>
    <w:rsid w:val="00A11122"/>
    <w:rsid w:val="00A112CD"/>
    <w:rsid w:val="00A1155C"/>
    <w:rsid w:val="00A126D5"/>
    <w:rsid w:val="00A12BB4"/>
    <w:rsid w:val="00A1300F"/>
    <w:rsid w:val="00A13434"/>
    <w:rsid w:val="00A1364D"/>
    <w:rsid w:val="00A13EC7"/>
    <w:rsid w:val="00A13FBC"/>
    <w:rsid w:val="00A14592"/>
    <w:rsid w:val="00A1461C"/>
    <w:rsid w:val="00A14EA1"/>
    <w:rsid w:val="00A154DC"/>
    <w:rsid w:val="00A15B53"/>
    <w:rsid w:val="00A1607D"/>
    <w:rsid w:val="00A16610"/>
    <w:rsid w:val="00A1768E"/>
    <w:rsid w:val="00A1778C"/>
    <w:rsid w:val="00A20538"/>
    <w:rsid w:val="00A2087E"/>
    <w:rsid w:val="00A208DC"/>
    <w:rsid w:val="00A219E9"/>
    <w:rsid w:val="00A22523"/>
    <w:rsid w:val="00A22779"/>
    <w:rsid w:val="00A22E04"/>
    <w:rsid w:val="00A231F0"/>
    <w:rsid w:val="00A23660"/>
    <w:rsid w:val="00A23B16"/>
    <w:rsid w:val="00A248F6"/>
    <w:rsid w:val="00A25F65"/>
    <w:rsid w:val="00A26557"/>
    <w:rsid w:val="00A26F90"/>
    <w:rsid w:val="00A2717F"/>
    <w:rsid w:val="00A27997"/>
    <w:rsid w:val="00A27AE6"/>
    <w:rsid w:val="00A27B86"/>
    <w:rsid w:val="00A27D65"/>
    <w:rsid w:val="00A30061"/>
    <w:rsid w:val="00A3108B"/>
    <w:rsid w:val="00A31B42"/>
    <w:rsid w:val="00A31E79"/>
    <w:rsid w:val="00A32CD0"/>
    <w:rsid w:val="00A32D59"/>
    <w:rsid w:val="00A33597"/>
    <w:rsid w:val="00A33D53"/>
    <w:rsid w:val="00A34860"/>
    <w:rsid w:val="00A367C8"/>
    <w:rsid w:val="00A36D36"/>
    <w:rsid w:val="00A4093D"/>
    <w:rsid w:val="00A41399"/>
    <w:rsid w:val="00A421F8"/>
    <w:rsid w:val="00A42668"/>
    <w:rsid w:val="00A4324F"/>
    <w:rsid w:val="00A43FA2"/>
    <w:rsid w:val="00A440C2"/>
    <w:rsid w:val="00A4455E"/>
    <w:rsid w:val="00A449F8"/>
    <w:rsid w:val="00A44A43"/>
    <w:rsid w:val="00A44BB5"/>
    <w:rsid w:val="00A45204"/>
    <w:rsid w:val="00A45C09"/>
    <w:rsid w:val="00A45E8B"/>
    <w:rsid w:val="00A45FBD"/>
    <w:rsid w:val="00A4629C"/>
    <w:rsid w:val="00A466CA"/>
    <w:rsid w:val="00A472F1"/>
    <w:rsid w:val="00A47CB5"/>
    <w:rsid w:val="00A506D8"/>
    <w:rsid w:val="00A50990"/>
    <w:rsid w:val="00A51A6E"/>
    <w:rsid w:val="00A52569"/>
    <w:rsid w:val="00A5279C"/>
    <w:rsid w:val="00A52B85"/>
    <w:rsid w:val="00A52D69"/>
    <w:rsid w:val="00A531A1"/>
    <w:rsid w:val="00A531FC"/>
    <w:rsid w:val="00A53894"/>
    <w:rsid w:val="00A54635"/>
    <w:rsid w:val="00A5493F"/>
    <w:rsid w:val="00A55273"/>
    <w:rsid w:val="00A55409"/>
    <w:rsid w:val="00A5564B"/>
    <w:rsid w:val="00A567A6"/>
    <w:rsid w:val="00A56FE6"/>
    <w:rsid w:val="00A60185"/>
    <w:rsid w:val="00A60AB5"/>
    <w:rsid w:val="00A6191C"/>
    <w:rsid w:val="00A62991"/>
    <w:rsid w:val="00A62F8C"/>
    <w:rsid w:val="00A63215"/>
    <w:rsid w:val="00A638CC"/>
    <w:rsid w:val="00A6443D"/>
    <w:rsid w:val="00A64999"/>
    <w:rsid w:val="00A64F7B"/>
    <w:rsid w:val="00A6577C"/>
    <w:rsid w:val="00A65BAE"/>
    <w:rsid w:val="00A66633"/>
    <w:rsid w:val="00A66817"/>
    <w:rsid w:val="00A66DBD"/>
    <w:rsid w:val="00A67452"/>
    <w:rsid w:val="00A7344B"/>
    <w:rsid w:val="00A73584"/>
    <w:rsid w:val="00A73590"/>
    <w:rsid w:val="00A73D76"/>
    <w:rsid w:val="00A75233"/>
    <w:rsid w:val="00A752DF"/>
    <w:rsid w:val="00A76720"/>
    <w:rsid w:val="00A76762"/>
    <w:rsid w:val="00A77093"/>
    <w:rsid w:val="00A77C6A"/>
    <w:rsid w:val="00A8043A"/>
    <w:rsid w:val="00A809FF"/>
    <w:rsid w:val="00A815B9"/>
    <w:rsid w:val="00A8168E"/>
    <w:rsid w:val="00A81EAD"/>
    <w:rsid w:val="00A82526"/>
    <w:rsid w:val="00A83257"/>
    <w:rsid w:val="00A83488"/>
    <w:rsid w:val="00A843A7"/>
    <w:rsid w:val="00A85602"/>
    <w:rsid w:val="00A85EFD"/>
    <w:rsid w:val="00A865B8"/>
    <w:rsid w:val="00A900A5"/>
    <w:rsid w:val="00A9080F"/>
    <w:rsid w:val="00A92168"/>
    <w:rsid w:val="00A92C34"/>
    <w:rsid w:val="00A943F1"/>
    <w:rsid w:val="00A94D7D"/>
    <w:rsid w:val="00A964A3"/>
    <w:rsid w:val="00A964D2"/>
    <w:rsid w:val="00A978DF"/>
    <w:rsid w:val="00AA0AE4"/>
    <w:rsid w:val="00AA10B4"/>
    <w:rsid w:val="00AA132A"/>
    <w:rsid w:val="00AA2E93"/>
    <w:rsid w:val="00AA358D"/>
    <w:rsid w:val="00AA3937"/>
    <w:rsid w:val="00AA3DBB"/>
    <w:rsid w:val="00AA42D4"/>
    <w:rsid w:val="00AA4471"/>
    <w:rsid w:val="00AA510D"/>
    <w:rsid w:val="00AA560C"/>
    <w:rsid w:val="00AA5FC7"/>
    <w:rsid w:val="00AA60AF"/>
    <w:rsid w:val="00AA657B"/>
    <w:rsid w:val="00AA7E16"/>
    <w:rsid w:val="00AB0E21"/>
    <w:rsid w:val="00AB15CE"/>
    <w:rsid w:val="00AB1DA2"/>
    <w:rsid w:val="00AB32E6"/>
    <w:rsid w:val="00AB3742"/>
    <w:rsid w:val="00AB3F28"/>
    <w:rsid w:val="00AB5E83"/>
    <w:rsid w:val="00AB7856"/>
    <w:rsid w:val="00AC00B2"/>
    <w:rsid w:val="00AC066E"/>
    <w:rsid w:val="00AC186D"/>
    <w:rsid w:val="00AC1B9E"/>
    <w:rsid w:val="00AC1CB2"/>
    <w:rsid w:val="00AC2697"/>
    <w:rsid w:val="00AC435F"/>
    <w:rsid w:val="00AC4A32"/>
    <w:rsid w:val="00AC4B4B"/>
    <w:rsid w:val="00AC51BA"/>
    <w:rsid w:val="00AC54C9"/>
    <w:rsid w:val="00AC62FE"/>
    <w:rsid w:val="00AC76F1"/>
    <w:rsid w:val="00AD0176"/>
    <w:rsid w:val="00AD0309"/>
    <w:rsid w:val="00AD1EA5"/>
    <w:rsid w:val="00AD384E"/>
    <w:rsid w:val="00AD3AA0"/>
    <w:rsid w:val="00AD44BB"/>
    <w:rsid w:val="00AD4A5F"/>
    <w:rsid w:val="00AD4BAB"/>
    <w:rsid w:val="00AD546E"/>
    <w:rsid w:val="00AD5BD3"/>
    <w:rsid w:val="00AD5C3E"/>
    <w:rsid w:val="00AD6B34"/>
    <w:rsid w:val="00AD7C06"/>
    <w:rsid w:val="00AE0EA0"/>
    <w:rsid w:val="00AE16B3"/>
    <w:rsid w:val="00AE1768"/>
    <w:rsid w:val="00AE1F1C"/>
    <w:rsid w:val="00AE2747"/>
    <w:rsid w:val="00AE429C"/>
    <w:rsid w:val="00AE55B6"/>
    <w:rsid w:val="00AE64D3"/>
    <w:rsid w:val="00AE730E"/>
    <w:rsid w:val="00AE740A"/>
    <w:rsid w:val="00AE75E9"/>
    <w:rsid w:val="00AF0675"/>
    <w:rsid w:val="00AF24C9"/>
    <w:rsid w:val="00AF3B74"/>
    <w:rsid w:val="00AF3BB5"/>
    <w:rsid w:val="00AF42EA"/>
    <w:rsid w:val="00AF54FF"/>
    <w:rsid w:val="00AF6C66"/>
    <w:rsid w:val="00B00518"/>
    <w:rsid w:val="00B012A8"/>
    <w:rsid w:val="00B02DF9"/>
    <w:rsid w:val="00B0322D"/>
    <w:rsid w:val="00B03CB5"/>
    <w:rsid w:val="00B04783"/>
    <w:rsid w:val="00B0486F"/>
    <w:rsid w:val="00B061B8"/>
    <w:rsid w:val="00B07996"/>
    <w:rsid w:val="00B1060B"/>
    <w:rsid w:val="00B10A75"/>
    <w:rsid w:val="00B10BD1"/>
    <w:rsid w:val="00B114F5"/>
    <w:rsid w:val="00B11934"/>
    <w:rsid w:val="00B11B72"/>
    <w:rsid w:val="00B11D40"/>
    <w:rsid w:val="00B12405"/>
    <w:rsid w:val="00B127FC"/>
    <w:rsid w:val="00B12B16"/>
    <w:rsid w:val="00B13241"/>
    <w:rsid w:val="00B13C67"/>
    <w:rsid w:val="00B145D2"/>
    <w:rsid w:val="00B14669"/>
    <w:rsid w:val="00B14BFC"/>
    <w:rsid w:val="00B16BC6"/>
    <w:rsid w:val="00B17681"/>
    <w:rsid w:val="00B17C60"/>
    <w:rsid w:val="00B216BC"/>
    <w:rsid w:val="00B22A7E"/>
    <w:rsid w:val="00B22B78"/>
    <w:rsid w:val="00B2451F"/>
    <w:rsid w:val="00B25036"/>
    <w:rsid w:val="00B25E96"/>
    <w:rsid w:val="00B26FBC"/>
    <w:rsid w:val="00B27A91"/>
    <w:rsid w:val="00B302C2"/>
    <w:rsid w:val="00B31A3E"/>
    <w:rsid w:val="00B31C3F"/>
    <w:rsid w:val="00B31F6C"/>
    <w:rsid w:val="00B326F6"/>
    <w:rsid w:val="00B32A5E"/>
    <w:rsid w:val="00B3325B"/>
    <w:rsid w:val="00B339FA"/>
    <w:rsid w:val="00B33ABE"/>
    <w:rsid w:val="00B33E3D"/>
    <w:rsid w:val="00B3541D"/>
    <w:rsid w:val="00B35600"/>
    <w:rsid w:val="00B361F4"/>
    <w:rsid w:val="00B366CA"/>
    <w:rsid w:val="00B37F24"/>
    <w:rsid w:val="00B408EB"/>
    <w:rsid w:val="00B40CD1"/>
    <w:rsid w:val="00B424CE"/>
    <w:rsid w:val="00B4348D"/>
    <w:rsid w:val="00B4350B"/>
    <w:rsid w:val="00B43735"/>
    <w:rsid w:val="00B44CF4"/>
    <w:rsid w:val="00B45304"/>
    <w:rsid w:val="00B50E08"/>
    <w:rsid w:val="00B5104D"/>
    <w:rsid w:val="00B52A12"/>
    <w:rsid w:val="00B5388B"/>
    <w:rsid w:val="00B53CD2"/>
    <w:rsid w:val="00B53E44"/>
    <w:rsid w:val="00B550E1"/>
    <w:rsid w:val="00B55177"/>
    <w:rsid w:val="00B551BE"/>
    <w:rsid w:val="00B552EF"/>
    <w:rsid w:val="00B55404"/>
    <w:rsid w:val="00B55427"/>
    <w:rsid w:val="00B56117"/>
    <w:rsid w:val="00B56163"/>
    <w:rsid w:val="00B56689"/>
    <w:rsid w:val="00B5748F"/>
    <w:rsid w:val="00B57750"/>
    <w:rsid w:val="00B57CF1"/>
    <w:rsid w:val="00B600B7"/>
    <w:rsid w:val="00B604D9"/>
    <w:rsid w:val="00B6064E"/>
    <w:rsid w:val="00B62CFF"/>
    <w:rsid w:val="00B637F8"/>
    <w:rsid w:val="00B63A63"/>
    <w:rsid w:val="00B65005"/>
    <w:rsid w:val="00B6594D"/>
    <w:rsid w:val="00B65B08"/>
    <w:rsid w:val="00B66755"/>
    <w:rsid w:val="00B67001"/>
    <w:rsid w:val="00B714F8"/>
    <w:rsid w:val="00B71720"/>
    <w:rsid w:val="00B71956"/>
    <w:rsid w:val="00B71FE1"/>
    <w:rsid w:val="00B737BE"/>
    <w:rsid w:val="00B73A25"/>
    <w:rsid w:val="00B73C65"/>
    <w:rsid w:val="00B75BAF"/>
    <w:rsid w:val="00B7758F"/>
    <w:rsid w:val="00B8061A"/>
    <w:rsid w:val="00B80FD6"/>
    <w:rsid w:val="00B81652"/>
    <w:rsid w:val="00B8325F"/>
    <w:rsid w:val="00B83499"/>
    <w:rsid w:val="00B83702"/>
    <w:rsid w:val="00B83B14"/>
    <w:rsid w:val="00B83D63"/>
    <w:rsid w:val="00B8465F"/>
    <w:rsid w:val="00B84A42"/>
    <w:rsid w:val="00B854C7"/>
    <w:rsid w:val="00B858E1"/>
    <w:rsid w:val="00B85D62"/>
    <w:rsid w:val="00B86105"/>
    <w:rsid w:val="00B869C6"/>
    <w:rsid w:val="00B90E00"/>
    <w:rsid w:val="00B90EAF"/>
    <w:rsid w:val="00B91EB1"/>
    <w:rsid w:val="00B93033"/>
    <w:rsid w:val="00B93411"/>
    <w:rsid w:val="00B9341C"/>
    <w:rsid w:val="00B9358C"/>
    <w:rsid w:val="00B9445F"/>
    <w:rsid w:val="00B95FEF"/>
    <w:rsid w:val="00B96422"/>
    <w:rsid w:val="00B96E63"/>
    <w:rsid w:val="00B97054"/>
    <w:rsid w:val="00B97403"/>
    <w:rsid w:val="00B979EA"/>
    <w:rsid w:val="00BA0510"/>
    <w:rsid w:val="00BA058F"/>
    <w:rsid w:val="00BA1497"/>
    <w:rsid w:val="00BA16A6"/>
    <w:rsid w:val="00BA1B70"/>
    <w:rsid w:val="00BA1DA3"/>
    <w:rsid w:val="00BA27E6"/>
    <w:rsid w:val="00BA2910"/>
    <w:rsid w:val="00BA3ABA"/>
    <w:rsid w:val="00BA440E"/>
    <w:rsid w:val="00BA4CBD"/>
    <w:rsid w:val="00BA4D64"/>
    <w:rsid w:val="00BA581A"/>
    <w:rsid w:val="00BA59F0"/>
    <w:rsid w:val="00BA615E"/>
    <w:rsid w:val="00BA6721"/>
    <w:rsid w:val="00BA7B58"/>
    <w:rsid w:val="00BB2082"/>
    <w:rsid w:val="00BB21AF"/>
    <w:rsid w:val="00BB28DB"/>
    <w:rsid w:val="00BB2E89"/>
    <w:rsid w:val="00BB432C"/>
    <w:rsid w:val="00BB606F"/>
    <w:rsid w:val="00BB6365"/>
    <w:rsid w:val="00BB7A08"/>
    <w:rsid w:val="00BB7D3D"/>
    <w:rsid w:val="00BC01AD"/>
    <w:rsid w:val="00BC06A1"/>
    <w:rsid w:val="00BC1633"/>
    <w:rsid w:val="00BC1B68"/>
    <w:rsid w:val="00BC3772"/>
    <w:rsid w:val="00BC3AF5"/>
    <w:rsid w:val="00BC3E44"/>
    <w:rsid w:val="00BC4C0D"/>
    <w:rsid w:val="00BC578F"/>
    <w:rsid w:val="00BC59C2"/>
    <w:rsid w:val="00BC60D6"/>
    <w:rsid w:val="00BC6C39"/>
    <w:rsid w:val="00BC6C8B"/>
    <w:rsid w:val="00BC6EC8"/>
    <w:rsid w:val="00BC71C9"/>
    <w:rsid w:val="00BC7FC7"/>
    <w:rsid w:val="00BD0128"/>
    <w:rsid w:val="00BD05E7"/>
    <w:rsid w:val="00BD08E3"/>
    <w:rsid w:val="00BD12D4"/>
    <w:rsid w:val="00BD1A63"/>
    <w:rsid w:val="00BD497B"/>
    <w:rsid w:val="00BD5B40"/>
    <w:rsid w:val="00BD5F1D"/>
    <w:rsid w:val="00BD6255"/>
    <w:rsid w:val="00BD77FC"/>
    <w:rsid w:val="00BE0A90"/>
    <w:rsid w:val="00BE0B7B"/>
    <w:rsid w:val="00BE0D61"/>
    <w:rsid w:val="00BE16BF"/>
    <w:rsid w:val="00BE1C9E"/>
    <w:rsid w:val="00BE2A7F"/>
    <w:rsid w:val="00BE3546"/>
    <w:rsid w:val="00BE39A9"/>
    <w:rsid w:val="00BE4075"/>
    <w:rsid w:val="00BE4585"/>
    <w:rsid w:val="00BE4770"/>
    <w:rsid w:val="00BE4DBB"/>
    <w:rsid w:val="00BE5223"/>
    <w:rsid w:val="00BE63E4"/>
    <w:rsid w:val="00BF053B"/>
    <w:rsid w:val="00BF33E1"/>
    <w:rsid w:val="00BF49C4"/>
    <w:rsid w:val="00BF4A72"/>
    <w:rsid w:val="00BF5376"/>
    <w:rsid w:val="00BF57CF"/>
    <w:rsid w:val="00BF6655"/>
    <w:rsid w:val="00BF6C46"/>
    <w:rsid w:val="00BF7BAD"/>
    <w:rsid w:val="00C00743"/>
    <w:rsid w:val="00C00A84"/>
    <w:rsid w:val="00C00F35"/>
    <w:rsid w:val="00C0395C"/>
    <w:rsid w:val="00C03DDB"/>
    <w:rsid w:val="00C03E22"/>
    <w:rsid w:val="00C04279"/>
    <w:rsid w:val="00C04ADF"/>
    <w:rsid w:val="00C05C8A"/>
    <w:rsid w:val="00C0798B"/>
    <w:rsid w:val="00C07C18"/>
    <w:rsid w:val="00C07F1D"/>
    <w:rsid w:val="00C10617"/>
    <w:rsid w:val="00C1076C"/>
    <w:rsid w:val="00C10A93"/>
    <w:rsid w:val="00C10B1E"/>
    <w:rsid w:val="00C112D1"/>
    <w:rsid w:val="00C11CE9"/>
    <w:rsid w:val="00C11D9C"/>
    <w:rsid w:val="00C12D52"/>
    <w:rsid w:val="00C146D7"/>
    <w:rsid w:val="00C15487"/>
    <w:rsid w:val="00C162C5"/>
    <w:rsid w:val="00C1690C"/>
    <w:rsid w:val="00C172A3"/>
    <w:rsid w:val="00C17436"/>
    <w:rsid w:val="00C217FA"/>
    <w:rsid w:val="00C219D6"/>
    <w:rsid w:val="00C21CD3"/>
    <w:rsid w:val="00C2225D"/>
    <w:rsid w:val="00C22E6B"/>
    <w:rsid w:val="00C24072"/>
    <w:rsid w:val="00C24CA1"/>
    <w:rsid w:val="00C2556B"/>
    <w:rsid w:val="00C2577B"/>
    <w:rsid w:val="00C25977"/>
    <w:rsid w:val="00C25B89"/>
    <w:rsid w:val="00C25B97"/>
    <w:rsid w:val="00C26410"/>
    <w:rsid w:val="00C27D79"/>
    <w:rsid w:val="00C31035"/>
    <w:rsid w:val="00C31711"/>
    <w:rsid w:val="00C31C3C"/>
    <w:rsid w:val="00C31DAF"/>
    <w:rsid w:val="00C322B5"/>
    <w:rsid w:val="00C32A97"/>
    <w:rsid w:val="00C33142"/>
    <w:rsid w:val="00C3328A"/>
    <w:rsid w:val="00C339CE"/>
    <w:rsid w:val="00C33D68"/>
    <w:rsid w:val="00C34040"/>
    <w:rsid w:val="00C34F1B"/>
    <w:rsid w:val="00C35648"/>
    <w:rsid w:val="00C35E68"/>
    <w:rsid w:val="00C37F25"/>
    <w:rsid w:val="00C40E6F"/>
    <w:rsid w:val="00C40F08"/>
    <w:rsid w:val="00C41E2C"/>
    <w:rsid w:val="00C436A6"/>
    <w:rsid w:val="00C43863"/>
    <w:rsid w:val="00C4419F"/>
    <w:rsid w:val="00C45471"/>
    <w:rsid w:val="00C461DD"/>
    <w:rsid w:val="00C4632E"/>
    <w:rsid w:val="00C47192"/>
    <w:rsid w:val="00C47222"/>
    <w:rsid w:val="00C501E0"/>
    <w:rsid w:val="00C50D61"/>
    <w:rsid w:val="00C51D95"/>
    <w:rsid w:val="00C523E9"/>
    <w:rsid w:val="00C529B9"/>
    <w:rsid w:val="00C52CAE"/>
    <w:rsid w:val="00C53051"/>
    <w:rsid w:val="00C535A2"/>
    <w:rsid w:val="00C53D8F"/>
    <w:rsid w:val="00C54059"/>
    <w:rsid w:val="00C55CE0"/>
    <w:rsid w:val="00C55E21"/>
    <w:rsid w:val="00C56DE1"/>
    <w:rsid w:val="00C61897"/>
    <w:rsid w:val="00C61BAA"/>
    <w:rsid w:val="00C61D17"/>
    <w:rsid w:val="00C6284F"/>
    <w:rsid w:val="00C62A5E"/>
    <w:rsid w:val="00C633B5"/>
    <w:rsid w:val="00C63443"/>
    <w:rsid w:val="00C63FF5"/>
    <w:rsid w:val="00C64040"/>
    <w:rsid w:val="00C6502F"/>
    <w:rsid w:val="00C65EC7"/>
    <w:rsid w:val="00C6603C"/>
    <w:rsid w:val="00C668CE"/>
    <w:rsid w:val="00C66A1B"/>
    <w:rsid w:val="00C6703B"/>
    <w:rsid w:val="00C67EEB"/>
    <w:rsid w:val="00C67F0A"/>
    <w:rsid w:val="00C707A7"/>
    <w:rsid w:val="00C7184F"/>
    <w:rsid w:val="00C730C8"/>
    <w:rsid w:val="00C73763"/>
    <w:rsid w:val="00C74985"/>
    <w:rsid w:val="00C759AF"/>
    <w:rsid w:val="00C75ED2"/>
    <w:rsid w:val="00C807D3"/>
    <w:rsid w:val="00C816AF"/>
    <w:rsid w:val="00C81C72"/>
    <w:rsid w:val="00C81EC2"/>
    <w:rsid w:val="00C82C0A"/>
    <w:rsid w:val="00C82E14"/>
    <w:rsid w:val="00C83994"/>
    <w:rsid w:val="00C83A79"/>
    <w:rsid w:val="00C83C2E"/>
    <w:rsid w:val="00C83F3A"/>
    <w:rsid w:val="00C84736"/>
    <w:rsid w:val="00C85321"/>
    <w:rsid w:val="00C856E0"/>
    <w:rsid w:val="00C859E4"/>
    <w:rsid w:val="00C8682D"/>
    <w:rsid w:val="00C86B1A"/>
    <w:rsid w:val="00C877B1"/>
    <w:rsid w:val="00C902AF"/>
    <w:rsid w:val="00C90E19"/>
    <w:rsid w:val="00C91858"/>
    <w:rsid w:val="00C91D94"/>
    <w:rsid w:val="00C9251E"/>
    <w:rsid w:val="00C929DA"/>
    <w:rsid w:val="00C94993"/>
    <w:rsid w:val="00C95756"/>
    <w:rsid w:val="00C95877"/>
    <w:rsid w:val="00C95E64"/>
    <w:rsid w:val="00C963E7"/>
    <w:rsid w:val="00C96B23"/>
    <w:rsid w:val="00C9730E"/>
    <w:rsid w:val="00C973AE"/>
    <w:rsid w:val="00CA0C00"/>
    <w:rsid w:val="00CA19D0"/>
    <w:rsid w:val="00CA1C1D"/>
    <w:rsid w:val="00CA1E21"/>
    <w:rsid w:val="00CA29E8"/>
    <w:rsid w:val="00CA29FD"/>
    <w:rsid w:val="00CA3C02"/>
    <w:rsid w:val="00CA56AA"/>
    <w:rsid w:val="00CA56F3"/>
    <w:rsid w:val="00CA607F"/>
    <w:rsid w:val="00CA64BB"/>
    <w:rsid w:val="00CA6569"/>
    <w:rsid w:val="00CA6832"/>
    <w:rsid w:val="00CA6CC3"/>
    <w:rsid w:val="00CB0136"/>
    <w:rsid w:val="00CB07D6"/>
    <w:rsid w:val="00CB0FE0"/>
    <w:rsid w:val="00CB1675"/>
    <w:rsid w:val="00CB169A"/>
    <w:rsid w:val="00CB2A56"/>
    <w:rsid w:val="00CB2A69"/>
    <w:rsid w:val="00CB2AD9"/>
    <w:rsid w:val="00CB38BD"/>
    <w:rsid w:val="00CB41DB"/>
    <w:rsid w:val="00CB4B24"/>
    <w:rsid w:val="00CB5078"/>
    <w:rsid w:val="00CB527B"/>
    <w:rsid w:val="00CB57BE"/>
    <w:rsid w:val="00CB5837"/>
    <w:rsid w:val="00CB5A28"/>
    <w:rsid w:val="00CB6720"/>
    <w:rsid w:val="00CB672D"/>
    <w:rsid w:val="00CB6D6E"/>
    <w:rsid w:val="00CB7841"/>
    <w:rsid w:val="00CB7DF2"/>
    <w:rsid w:val="00CC0572"/>
    <w:rsid w:val="00CC3337"/>
    <w:rsid w:val="00CC5B42"/>
    <w:rsid w:val="00CC5B82"/>
    <w:rsid w:val="00CC5E43"/>
    <w:rsid w:val="00CC6324"/>
    <w:rsid w:val="00CC7DF1"/>
    <w:rsid w:val="00CD0614"/>
    <w:rsid w:val="00CD0B48"/>
    <w:rsid w:val="00CD0D42"/>
    <w:rsid w:val="00CD124F"/>
    <w:rsid w:val="00CD2523"/>
    <w:rsid w:val="00CD3F26"/>
    <w:rsid w:val="00CD4BD1"/>
    <w:rsid w:val="00CD51B7"/>
    <w:rsid w:val="00CD57F0"/>
    <w:rsid w:val="00CD5D53"/>
    <w:rsid w:val="00CD6B22"/>
    <w:rsid w:val="00CD749C"/>
    <w:rsid w:val="00CD7C08"/>
    <w:rsid w:val="00CE0AC8"/>
    <w:rsid w:val="00CE15EF"/>
    <w:rsid w:val="00CE22ED"/>
    <w:rsid w:val="00CE25AB"/>
    <w:rsid w:val="00CE2E89"/>
    <w:rsid w:val="00CE35D7"/>
    <w:rsid w:val="00CE5366"/>
    <w:rsid w:val="00CE5562"/>
    <w:rsid w:val="00CE566B"/>
    <w:rsid w:val="00CE567D"/>
    <w:rsid w:val="00CE5C33"/>
    <w:rsid w:val="00CE60B7"/>
    <w:rsid w:val="00CE638F"/>
    <w:rsid w:val="00CE6B20"/>
    <w:rsid w:val="00CE6CF3"/>
    <w:rsid w:val="00CE7471"/>
    <w:rsid w:val="00CE7A0E"/>
    <w:rsid w:val="00CE7CA9"/>
    <w:rsid w:val="00CE7E9C"/>
    <w:rsid w:val="00CF0018"/>
    <w:rsid w:val="00CF07D2"/>
    <w:rsid w:val="00CF0B49"/>
    <w:rsid w:val="00CF0C83"/>
    <w:rsid w:val="00CF13C9"/>
    <w:rsid w:val="00CF1502"/>
    <w:rsid w:val="00CF1CEC"/>
    <w:rsid w:val="00CF2E23"/>
    <w:rsid w:val="00CF3261"/>
    <w:rsid w:val="00CF47E2"/>
    <w:rsid w:val="00CF507B"/>
    <w:rsid w:val="00CF5827"/>
    <w:rsid w:val="00CF58AC"/>
    <w:rsid w:val="00CF66A7"/>
    <w:rsid w:val="00CF7E2C"/>
    <w:rsid w:val="00D002D3"/>
    <w:rsid w:val="00D00B1E"/>
    <w:rsid w:val="00D0183F"/>
    <w:rsid w:val="00D02647"/>
    <w:rsid w:val="00D02BF3"/>
    <w:rsid w:val="00D03B3C"/>
    <w:rsid w:val="00D03FB8"/>
    <w:rsid w:val="00D0661A"/>
    <w:rsid w:val="00D06685"/>
    <w:rsid w:val="00D1002F"/>
    <w:rsid w:val="00D1017C"/>
    <w:rsid w:val="00D101BE"/>
    <w:rsid w:val="00D101E9"/>
    <w:rsid w:val="00D11CEE"/>
    <w:rsid w:val="00D12C89"/>
    <w:rsid w:val="00D13309"/>
    <w:rsid w:val="00D13C3B"/>
    <w:rsid w:val="00D13DC6"/>
    <w:rsid w:val="00D150BE"/>
    <w:rsid w:val="00D15637"/>
    <w:rsid w:val="00D15F07"/>
    <w:rsid w:val="00D16200"/>
    <w:rsid w:val="00D205E8"/>
    <w:rsid w:val="00D21018"/>
    <w:rsid w:val="00D220FA"/>
    <w:rsid w:val="00D223A9"/>
    <w:rsid w:val="00D2248E"/>
    <w:rsid w:val="00D22FA7"/>
    <w:rsid w:val="00D23BD8"/>
    <w:rsid w:val="00D2462A"/>
    <w:rsid w:val="00D24D15"/>
    <w:rsid w:val="00D252FE"/>
    <w:rsid w:val="00D258C7"/>
    <w:rsid w:val="00D2693E"/>
    <w:rsid w:val="00D270A1"/>
    <w:rsid w:val="00D278FE"/>
    <w:rsid w:val="00D30D5A"/>
    <w:rsid w:val="00D3144F"/>
    <w:rsid w:val="00D31463"/>
    <w:rsid w:val="00D3313D"/>
    <w:rsid w:val="00D34BD1"/>
    <w:rsid w:val="00D34CFE"/>
    <w:rsid w:val="00D3503A"/>
    <w:rsid w:val="00D3573A"/>
    <w:rsid w:val="00D359E1"/>
    <w:rsid w:val="00D35F9B"/>
    <w:rsid w:val="00D365FE"/>
    <w:rsid w:val="00D37E02"/>
    <w:rsid w:val="00D40F61"/>
    <w:rsid w:val="00D422A1"/>
    <w:rsid w:val="00D42691"/>
    <w:rsid w:val="00D42813"/>
    <w:rsid w:val="00D439DB"/>
    <w:rsid w:val="00D43DBE"/>
    <w:rsid w:val="00D44CEF"/>
    <w:rsid w:val="00D455B4"/>
    <w:rsid w:val="00D45937"/>
    <w:rsid w:val="00D47117"/>
    <w:rsid w:val="00D47D4E"/>
    <w:rsid w:val="00D506E7"/>
    <w:rsid w:val="00D50BEC"/>
    <w:rsid w:val="00D50C49"/>
    <w:rsid w:val="00D50C80"/>
    <w:rsid w:val="00D516C3"/>
    <w:rsid w:val="00D52005"/>
    <w:rsid w:val="00D5228D"/>
    <w:rsid w:val="00D525B9"/>
    <w:rsid w:val="00D543D4"/>
    <w:rsid w:val="00D55858"/>
    <w:rsid w:val="00D5655E"/>
    <w:rsid w:val="00D56A1F"/>
    <w:rsid w:val="00D57545"/>
    <w:rsid w:val="00D57770"/>
    <w:rsid w:val="00D57D57"/>
    <w:rsid w:val="00D600CD"/>
    <w:rsid w:val="00D601A4"/>
    <w:rsid w:val="00D60E47"/>
    <w:rsid w:val="00D60E50"/>
    <w:rsid w:val="00D6183F"/>
    <w:rsid w:val="00D61B2F"/>
    <w:rsid w:val="00D62806"/>
    <w:rsid w:val="00D63830"/>
    <w:rsid w:val="00D6471A"/>
    <w:rsid w:val="00D64FDE"/>
    <w:rsid w:val="00D6549E"/>
    <w:rsid w:val="00D659E1"/>
    <w:rsid w:val="00D65C1E"/>
    <w:rsid w:val="00D66E14"/>
    <w:rsid w:val="00D67962"/>
    <w:rsid w:val="00D70CD4"/>
    <w:rsid w:val="00D71D97"/>
    <w:rsid w:val="00D7378F"/>
    <w:rsid w:val="00D73ED0"/>
    <w:rsid w:val="00D74916"/>
    <w:rsid w:val="00D75F8B"/>
    <w:rsid w:val="00D8104E"/>
    <w:rsid w:val="00D81FEB"/>
    <w:rsid w:val="00D8235D"/>
    <w:rsid w:val="00D826BA"/>
    <w:rsid w:val="00D827F7"/>
    <w:rsid w:val="00D83100"/>
    <w:rsid w:val="00D841FB"/>
    <w:rsid w:val="00D8509C"/>
    <w:rsid w:val="00D85890"/>
    <w:rsid w:val="00D85CF6"/>
    <w:rsid w:val="00D8693E"/>
    <w:rsid w:val="00D9038A"/>
    <w:rsid w:val="00D922D0"/>
    <w:rsid w:val="00D927B7"/>
    <w:rsid w:val="00D934DB"/>
    <w:rsid w:val="00D9484C"/>
    <w:rsid w:val="00D94BDD"/>
    <w:rsid w:val="00D975BA"/>
    <w:rsid w:val="00DA07E2"/>
    <w:rsid w:val="00DA0BA9"/>
    <w:rsid w:val="00DA11FA"/>
    <w:rsid w:val="00DA1572"/>
    <w:rsid w:val="00DA159B"/>
    <w:rsid w:val="00DA1BD2"/>
    <w:rsid w:val="00DA231E"/>
    <w:rsid w:val="00DA2656"/>
    <w:rsid w:val="00DA3D69"/>
    <w:rsid w:val="00DA4C7F"/>
    <w:rsid w:val="00DA4E6D"/>
    <w:rsid w:val="00DA5D10"/>
    <w:rsid w:val="00DA5F33"/>
    <w:rsid w:val="00DA70E9"/>
    <w:rsid w:val="00DB071B"/>
    <w:rsid w:val="00DB141F"/>
    <w:rsid w:val="00DB3045"/>
    <w:rsid w:val="00DB4707"/>
    <w:rsid w:val="00DB4C4F"/>
    <w:rsid w:val="00DB542B"/>
    <w:rsid w:val="00DB6A3C"/>
    <w:rsid w:val="00DB7A52"/>
    <w:rsid w:val="00DC03AC"/>
    <w:rsid w:val="00DC140A"/>
    <w:rsid w:val="00DC1C60"/>
    <w:rsid w:val="00DC1F58"/>
    <w:rsid w:val="00DC2385"/>
    <w:rsid w:val="00DC316B"/>
    <w:rsid w:val="00DC373A"/>
    <w:rsid w:val="00DC3C2A"/>
    <w:rsid w:val="00DC3FCB"/>
    <w:rsid w:val="00DC5DB1"/>
    <w:rsid w:val="00DC6139"/>
    <w:rsid w:val="00DC68AE"/>
    <w:rsid w:val="00DC78F5"/>
    <w:rsid w:val="00DD00B1"/>
    <w:rsid w:val="00DD09F1"/>
    <w:rsid w:val="00DD12B9"/>
    <w:rsid w:val="00DD47CE"/>
    <w:rsid w:val="00DD4DE1"/>
    <w:rsid w:val="00DD5B51"/>
    <w:rsid w:val="00DD69D6"/>
    <w:rsid w:val="00DD6AEB"/>
    <w:rsid w:val="00DD6D1E"/>
    <w:rsid w:val="00DD7E1B"/>
    <w:rsid w:val="00DE042E"/>
    <w:rsid w:val="00DE153F"/>
    <w:rsid w:val="00DE1BFB"/>
    <w:rsid w:val="00DE221B"/>
    <w:rsid w:val="00DE2896"/>
    <w:rsid w:val="00DE313E"/>
    <w:rsid w:val="00DE5F46"/>
    <w:rsid w:val="00DE60F2"/>
    <w:rsid w:val="00DE6907"/>
    <w:rsid w:val="00DE6DC5"/>
    <w:rsid w:val="00DE7D0A"/>
    <w:rsid w:val="00DF02E3"/>
    <w:rsid w:val="00DF2185"/>
    <w:rsid w:val="00DF2A24"/>
    <w:rsid w:val="00DF4036"/>
    <w:rsid w:val="00DF40C4"/>
    <w:rsid w:val="00DF441C"/>
    <w:rsid w:val="00DF4C11"/>
    <w:rsid w:val="00DF5D25"/>
    <w:rsid w:val="00DF690E"/>
    <w:rsid w:val="00DF702D"/>
    <w:rsid w:val="00DF7D32"/>
    <w:rsid w:val="00E00817"/>
    <w:rsid w:val="00E01BF0"/>
    <w:rsid w:val="00E01EDC"/>
    <w:rsid w:val="00E02B96"/>
    <w:rsid w:val="00E0379E"/>
    <w:rsid w:val="00E04A17"/>
    <w:rsid w:val="00E0523C"/>
    <w:rsid w:val="00E05A53"/>
    <w:rsid w:val="00E0730C"/>
    <w:rsid w:val="00E07B11"/>
    <w:rsid w:val="00E10756"/>
    <w:rsid w:val="00E1076B"/>
    <w:rsid w:val="00E1127D"/>
    <w:rsid w:val="00E1264B"/>
    <w:rsid w:val="00E12907"/>
    <w:rsid w:val="00E129FC"/>
    <w:rsid w:val="00E1323F"/>
    <w:rsid w:val="00E142BC"/>
    <w:rsid w:val="00E14A8D"/>
    <w:rsid w:val="00E14FC5"/>
    <w:rsid w:val="00E152F3"/>
    <w:rsid w:val="00E15495"/>
    <w:rsid w:val="00E1565E"/>
    <w:rsid w:val="00E16003"/>
    <w:rsid w:val="00E16B87"/>
    <w:rsid w:val="00E171F3"/>
    <w:rsid w:val="00E17BCD"/>
    <w:rsid w:val="00E17CC1"/>
    <w:rsid w:val="00E219BB"/>
    <w:rsid w:val="00E21BC4"/>
    <w:rsid w:val="00E220C1"/>
    <w:rsid w:val="00E22171"/>
    <w:rsid w:val="00E24DF0"/>
    <w:rsid w:val="00E26988"/>
    <w:rsid w:val="00E26C40"/>
    <w:rsid w:val="00E26D59"/>
    <w:rsid w:val="00E27729"/>
    <w:rsid w:val="00E277F8"/>
    <w:rsid w:val="00E27A1F"/>
    <w:rsid w:val="00E312E6"/>
    <w:rsid w:val="00E31C06"/>
    <w:rsid w:val="00E33FE7"/>
    <w:rsid w:val="00E340DB"/>
    <w:rsid w:val="00E34986"/>
    <w:rsid w:val="00E34BCA"/>
    <w:rsid w:val="00E377BD"/>
    <w:rsid w:val="00E37C5A"/>
    <w:rsid w:val="00E400E0"/>
    <w:rsid w:val="00E40F5C"/>
    <w:rsid w:val="00E41870"/>
    <w:rsid w:val="00E41B79"/>
    <w:rsid w:val="00E423F1"/>
    <w:rsid w:val="00E42702"/>
    <w:rsid w:val="00E4284D"/>
    <w:rsid w:val="00E42BF5"/>
    <w:rsid w:val="00E42C84"/>
    <w:rsid w:val="00E447B6"/>
    <w:rsid w:val="00E44A42"/>
    <w:rsid w:val="00E45351"/>
    <w:rsid w:val="00E46AC1"/>
    <w:rsid w:val="00E46F61"/>
    <w:rsid w:val="00E47004"/>
    <w:rsid w:val="00E47595"/>
    <w:rsid w:val="00E508D1"/>
    <w:rsid w:val="00E50AD9"/>
    <w:rsid w:val="00E512F3"/>
    <w:rsid w:val="00E5146F"/>
    <w:rsid w:val="00E5203F"/>
    <w:rsid w:val="00E524D6"/>
    <w:rsid w:val="00E532E4"/>
    <w:rsid w:val="00E544A6"/>
    <w:rsid w:val="00E548E6"/>
    <w:rsid w:val="00E54B0B"/>
    <w:rsid w:val="00E5550D"/>
    <w:rsid w:val="00E569AC"/>
    <w:rsid w:val="00E5746B"/>
    <w:rsid w:val="00E576DA"/>
    <w:rsid w:val="00E57E73"/>
    <w:rsid w:val="00E610D2"/>
    <w:rsid w:val="00E61436"/>
    <w:rsid w:val="00E615E3"/>
    <w:rsid w:val="00E61D21"/>
    <w:rsid w:val="00E62B98"/>
    <w:rsid w:val="00E65469"/>
    <w:rsid w:val="00E657FE"/>
    <w:rsid w:val="00E662DE"/>
    <w:rsid w:val="00E668D4"/>
    <w:rsid w:val="00E67F57"/>
    <w:rsid w:val="00E7011F"/>
    <w:rsid w:val="00E706E4"/>
    <w:rsid w:val="00E708E9"/>
    <w:rsid w:val="00E72899"/>
    <w:rsid w:val="00E738CC"/>
    <w:rsid w:val="00E73BC9"/>
    <w:rsid w:val="00E74906"/>
    <w:rsid w:val="00E75256"/>
    <w:rsid w:val="00E760BD"/>
    <w:rsid w:val="00E774CE"/>
    <w:rsid w:val="00E80116"/>
    <w:rsid w:val="00E81269"/>
    <w:rsid w:val="00E8147B"/>
    <w:rsid w:val="00E81E46"/>
    <w:rsid w:val="00E820AA"/>
    <w:rsid w:val="00E83DE4"/>
    <w:rsid w:val="00E83EB8"/>
    <w:rsid w:val="00E840AD"/>
    <w:rsid w:val="00E854CF"/>
    <w:rsid w:val="00E86178"/>
    <w:rsid w:val="00E86BF5"/>
    <w:rsid w:val="00E86DAD"/>
    <w:rsid w:val="00E877DD"/>
    <w:rsid w:val="00E87B98"/>
    <w:rsid w:val="00E90960"/>
    <w:rsid w:val="00E90E63"/>
    <w:rsid w:val="00E91025"/>
    <w:rsid w:val="00E91515"/>
    <w:rsid w:val="00E91D49"/>
    <w:rsid w:val="00E922F0"/>
    <w:rsid w:val="00E925D1"/>
    <w:rsid w:val="00E93774"/>
    <w:rsid w:val="00E93FD6"/>
    <w:rsid w:val="00E94210"/>
    <w:rsid w:val="00E95A36"/>
    <w:rsid w:val="00E963A1"/>
    <w:rsid w:val="00E96463"/>
    <w:rsid w:val="00E96708"/>
    <w:rsid w:val="00E96AC5"/>
    <w:rsid w:val="00E96D93"/>
    <w:rsid w:val="00E97415"/>
    <w:rsid w:val="00E974EB"/>
    <w:rsid w:val="00EA051D"/>
    <w:rsid w:val="00EA3D0B"/>
    <w:rsid w:val="00EA46A5"/>
    <w:rsid w:val="00EA5554"/>
    <w:rsid w:val="00EA5998"/>
    <w:rsid w:val="00EA5E03"/>
    <w:rsid w:val="00EA5ECF"/>
    <w:rsid w:val="00EA6594"/>
    <w:rsid w:val="00EA6FAA"/>
    <w:rsid w:val="00EA7E0B"/>
    <w:rsid w:val="00EA7EEA"/>
    <w:rsid w:val="00EB11B1"/>
    <w:rsid w:val="00EB15B3"/>
    <w:rsid w:val="00EB1BA1"/>
    <w:rsid w:val="00EB1FC1"/>
    <w:rsid w:val="00EB34C0"/>
    <w:rsid w:val="00EB3A00"/>
    <w:rsid w:val="00EB4127"/>
    <w:rsid w:val="00EB4B26"/>
    <w:rsid w:val="00EB4C96"/>
    <w:rsid w:val="00EB4DD6"/>
    <w:rsid w:val="00EB4EF9"/>
    <w:rsid w:val="00EB5029"/>
    <w:rsid w:val="00EB5C47"/>
    <w:rsid w:val="00EB64C1"/>
    <w:rsid w:val="00EC0279"/>
    <w:rsid w:val="00EC0527"/>
    <w:rsid w:val="00EC1FB3"/>
    <w:rsid w:val="00EC388D"/>
    <w:rsid w:val="00EC3E50"/>
    <w:rsid w:val="00EC43FD"/>
    <w:rsid w:val="00EC4F02"/>
    <w:rsid w:val="00EC5BEA"/>
    <w:rsid w:val="00EC6492"/>
    <w:rsid w:val="00EC650E"/>
    <w:rsid w:val="00EC6B9D"/>
    <w:rsid w:val="00EC7FD0"/>
    <w:rsid w:val="00ED103B"/>
    <w:rsid w:val="00ED2269"/>
    <w:rsid w:val="00ED329F"/>
    <w:rsid w:val="00ED338F"/>
    <w:rsid w:val="00ED3836"/>
    <w:rsid w:val="00ED3F1F"/>
    <w:rsid w:val="00ED3F9C"/>
    <w:rsid w:val="00ED45B9"/>
    <w:rsid w:val="00ED5B3F"/>
    <w:rsid w:val="00ED67BC"/>
    <w:rsid w:val="00ED7325"/>
    <w:rsid w:val="00ED76B7"/>
    <w:rsid w:val="00ED7C20"/>
    <w:rsid w:val="00EE254C"/>
    <w:rsid w:val="00EE28E0"/>
    <w:rsid w:val="00EE326A"/>
    <w:rsid w:val="00EE459C"/>
    <w:rsid w:val="00EE48E1"/>
    <w:rsid w:val="00EE49F6"/>
    <w:rsid w:val="00EE64EB"/>
    <w:rsid w:val="00EE65C7"/>
    <w:rsid w:val="00EE6961"/>
    <w:rsid w:val="00EE74FB"/>
    <w:rsid w:val="00EE7A15"/>
    <w:rsid w:val="00EF07D7"/>
    <w:rsid w:val="00EF0EDF"/>
    <w:rsid w:val="00EF0F0B"/>
    <w:rsid w:val="00EF0FC6"/>
    <w:rsid w:val="00EF102C"/>
    <w:rsid w:val="00EF2413"/>
    <w:rsid w:val="00EF4B0F"/>
    <w:rsid w:val="00EF5DD7"/>
    <w:rsid w:val="00EF5FF3"/>
    <w:rsid w:val="00EF772A"/>
    <w:rsid w:val="00EF7C68"/>
    <w:rsid w:val="00F00DA6"/>
    <w:rsid w:val="00F010A6"/>
    <w:rsid w:val="00F02592"/>
    <w:rsid w:val="00F02832"/>
    <w:rsid w:val="00F03A74"/>
    <w:rsid w:val="00F0425B"/>
    <w:rsid w:val="00F044CC"/>
    <w:rsid w:val="00F04A44"/>
    <w:rsid w:val="00F0509C"/>
    <w:rsid w:val="00F05C9B"/>
    <w:rsid w:val="00F062C4"/>
    <w:rsid w:val="00F06736"/>
    <w:rsid w:val="00F11734"/>
    <w:rsid w:val="00F11BCA"/>
    <w:rsid w:val="00F13CEE"/>
    <w:rsid w:val="00F14DE4"/>
    <w:rsid w:val="00F15672"/>
    <w:rsid w:val="00F1676A"/>
    <w:rsid w:val="00F16951"/>
    <w:rsid w:val="00F17864"/>
    <w:rsid w:val="00F20834"/>
    <w:rsid w:val="00F22FA6"/>
    <w:rsid w:val="00F23772"/>
    <w:rsid w:val="00F23A88"/>
    <w:rsid w:val="00F240DC"/>
    <w:rsid w:val="00F24795"/>
    <w:rsid w:val="00F24EA6"/>
    <w:rsid w:val="00F251A3"/>
    <w:rsid w:val="00F2541A"/>
    <w:rsid w:val="00F2567E"/>
    <w:rsid w:val="00F270D1"/>
    <w:rsid w:val="00F3077E"/>
    <w:rsid w:val="00F31A47"/>
    <w:rsid w:val="00F32122"/>
    <w:rsid w:val="00F33169"/>
    <w:rsid w:val="00F34A4E"/>
    <w:rsid w:val="00F350E9"/>
    <w:rsid w:val="00F35765"/>
    <w:rsid w:val="00F35816"/>
    <w:rsid w:val="00F36D6E"/>
    <w:rsid w:val="00F37150"/>
    <w:rsid w:val="00F37D80"/>
    <w:rsid w:val="00F402F0"/>
    <w:rsid w:val="00F404A4"/>
    <w:rsid w:val="00F40CB3"/>
    <w:rsid w:val="00F412D1"/>
    <w:rsid w:val="00F41C63"/>
    <w:rsid w:val="00F41E14"/>
    <w:rsid w:val="00F428A4"/>
    <w:rsid w:val="00F43B8D"/>
    <w:rsid w:val="00F4422D"/>
    <w:rsid w:val="00F44323"/>
    <w:rsid w:val="00F44E16"/>
    <w:rsid w:val="00F455C8"/>
    <w:rsid w:val="00F459D4"/>
    <w:rsid w:val="00F45C15"/>
    <w:rsid w:val="00F45F85"/>
    <w:rsid w:val="00F46463"/>
    <w:rsid w:val="00F4660D"/>
    <w:rsid w:val="00F46668"/>
    <w:rsid w:val="00F46AC3"/>
    <w:rsid w:val="00F46EEF"/>
    <w:rsid w:val="00F47584"/>
    <w:rsid w:val="00F47FC2"/>
    <w:rsid w:val="00F5058E"/>
    <w:rsid w:val="00F50D5B"/>
    <w:rsid w:val="00F51AEB"/>
    <w:rsid w:val="00F5288D"/>
    <w:rsid w:val="00F52AE6"/>
    <w:rsid w:val="00F53357"/>
    <w:rsid w:val="00F539CD"/>
    <w:rsid w:val="00F53C01"/>
    <w:rsid w:val="00F54F0A"/>
    <w:rsid w:val="00F55D52"/>
    <w:rsid w:val="00F57249"/>
    <w:rsid w:val="00F574A3"/>
    <w:rsid w:val="00F60CFE"/>
    <w:rsid w:val="00F612CB"/>
    <w:rsid w:val="00F62444"/>
    <w:rsid w:val="00F630B4"/>
    <w:rsid w:val="00F6359D"/>
    <w:rsid w:val="00F63E04"/>
    <w:rsid w:val="00F64623"/>
    <w:rsid w:val="00F64F8D"/>
    <w:rsid w:val="00F66911"/>
    <w:rsid w:val="00F67C0E"/>
    <w:rsid w:val="00F7105D"/>
    <w:rsid w:val="00F7125F"/>
    <w:rsid w:val="00F727F8"/>
    <w:rsid w:val="00F74291"/>
    <w:rsid w:val="00F74460"/>
    <w:rsid w:val="00F74D42"/>
    <w:rsid w:val="00F74ECB"/>
    <w:rsid w:val="00F74FF2"/>
    <w:rsid w:val="00F7546B"/>
    <w:rsid w:val="00F80203"/>
    <w:rsid w:val="00F8094B"/>
    <w:rsid w:val="00F80BD6"/>
    <w:rsid w:val="00F82486"/>
    <w:rsid w:val="00F8248C"/>
    <w:rsid w:val="00F83636"/>
    <w:rsid w:val="00F83861"/>
    <w:rsid w:val="00F84AEB"/>
    <w:rsid w:val="00F850C1"/>
    <w:rsid w:val="00F851C7"/>
    <w:rsid w:val="00F855C2"/>
    <w:rsid w:val="00F85C3A"/>
    <w:rsid w:val="00F8631B"/>
    <w:rsid w:val="00F86E3E"/>
    <w:rsid w:val="00F879DA"/>
    <w:rsid w:val="00F87AD0"/>
    <w:rsid w:val="00F91EF7"/>
    <w:rsid w:val="00F923F1"/>
    <w:rsid w:val="00F92856"/>
    <w:rsid w:val="00F94C51"/>
    <w:rsid w:val="00F950A1"/>
    <w:rsid w:val="00F97BC4"/>
    <w:rsid w:val="00FA0B64"/>
    <w:rsid w:val="00FA0E09"/>
    <w:rsid w:val="00FA11C5"/>
    <w:rsid w:val="00FA1262"/>
    <w:rsid w:val="00FA145B"/>
    <w:rsid w:val="00FA1C8B"/>
    <w:rsid w:val="00FA1E23"/>
    <w:rsid w:val="00FA2BBB"/>
    <w:rsid w:val="00FA31BB"/>
    <w:rsid w:val="00FA3D1B"/>
    <w:rsid w:val="00FA4EDF"/>
    <w:rsid w:val="00FA573B"/>
    <w:rsid w:val="00FA5B9B"/>
    <w:rsid w:val="00FA73F5"/>
    <w:rsid w:val="00FA7C8E"/>
    <w:rsid w:val="00FB06BC"/>
    <w:rsid w:val="00FB0890"/>
    <w:rsid w:val="00FB1069"/>
    <w:rsid w:val="00FB41EA"/>
    <w:rsid w:val="00FB4417"/>
    <w:rsid w:val="00FB451F"/>
    <w:rsid w:val="00FB4BE0"/>
    <w:rsid w:val="00FB54F5"/>
    <w:rsid w:val="00FB6FC7"/>
    <w:rsid w:val="00FB7308"/>
    <w:rsid w:val="00FB7DCF"/>
    <w:rsid w:val="00FC08E8"/>
    <w:rsid w:val="00FC243C"/>
    <w:rsid w:val="00FC29B3"/>
    <w:rsid w:val="00FC3264"/>
    <w:rsid w:val="00FC3736"/>
    <w:rsid w:val="00FC37C6"/>
    <w:rsid w:val="00FC3E1F"/>
    <w:rsid w:val="00FC42F6"/>
    <w:rsid w:val="00FC4BF3"/>
    <w:rsid w:val="00FC4E07"/>
    <w:rsid w:val="00FC550D"/>
    <w:rsid w:val="00FC5858"/>
    <w:rsid w:val="00FC5B65"/>
    <w:rsid w:val="00FC70CB"/>
    <w:rsid w:val="00FC7CC2"/>
    <w:rsid w:val="00FD194E"/>
    <w:rsid w:val="00FD2047"/>
    <w:rsid w:val="00FD26CE"/>
    <w:rsid w:val="00FD27B0"/>
    <w:rsid w:val="00FD2AD3"/>
    <w:rsid w:val="00FD2CCB"/>
    <w:rsid w:val="00FD3304"/>
    <w:rsid w:val="00FD3476"/>
    <w:rsid w:val="00FD3CC5"/>
    <w:rsid w:val="00FD6CF9"/>
    <w:rsid w:val="00FD7255"/>
    <w:rsid w:val="00FD783B"/>
    <w:rsid w:val="00FE0A7B"/>
    <w:rsid w:val="00FE0F94"/>
    <w:rsid w:val="00FE16FD"/>
    <w:rsid w:val="00FE2886"/>
    <w:rsid w:val="00FE2DD4"/>
    <w:rsid w:val="00FE2F94"/>
    <w:rsid w:val="00FE37F2"/>
    <w:rsid w:val="00FE3AEE"/>
    <w:rsid w:val="00FE3BE4"/>
    <w:rsid w:val="00FE6B14"/>
    <w:rsid w:val="00FE756F"/>
    <w:rsid w:val="00FF1069"/>
    <w:rsid w:val="00FF1273"/>
    <w:rsid w:val="00FF474B"/>
    <w:rsid w:val="00FF4C0A"/>
    <w:rsid w:val="00FF4F59"/>
    <w:rsid w:val="00FF55B4"/>
    <w:rsid w:val="00FF582E"/>
    <w:rsid w:val="00FF5BDB"/>
    <w:rsid w:val="00FF5C88"/>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4CB98"/>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paragraph" w:styleId="Heading2">
    <w:name w:val="heading 2"/>
    <w:basedOn w:val="Normal"/>
    <w:next w:val="Normal"/>
    <w:link w:val="Heading2Char"/>
    <w:uiPriority w:val="9"/>
    <w:semiHidden/>
    <w:unhideWhenUsed/>
    <w:qFormat/>
    <w:rsid w:val="000812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019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paragraph" w:styleId="EndnoteText">
    <w:name w:val="endnote text"/>
    <w:basedOn w:val="Normal"/>
    <w:link w:val="EndnoteTextChar"/>
    <w:uiPriority w:val="99"/>
    <w:semiHidden/>
    <w:unhideWhenUsed/>
    <w:rsid w:val="003F4815"/>
    <w:rPr>
      <w:sz w:val="20"/>
      <w:szCs w:val="20"/>
    </w:rPr>
  </w:style>
  <w:style w:type="character" w:customStyle="1" w:styleId="EndnoteTextChar">
    <w:name w:val="Endnote Text Char"/>
    <w:basedOn w:val="DefaultParagraphFont"/>
    <w:link w:val="EndnoteText"/>
    <w:uiPriority w:val="99"/>
    <w:semiHidden/>
    <w:rsid w:val="003F48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F4815"/>
    <w:rPr>
      <w:vertAlign w:val="superscript"/>
    </w:rPr>
  </w:style>
  <w:style w:type="character" w:styleId="Emphasis">
    <w:name w:val="Emphasis"/>
    <w:basedOn w:val="DefaultParagraphFont"/>
    <w:uiPriority w:val="20"/>
    <w:qFormat/>
    <w:rsid w:val="003F4815"/>
    <w:rPr>
      <w:i/>
      <w:iCs/>
    </w:rPr>
  </w:style>
  <w:style w:type="character" w:customStyle="1" w:styleId="hgkelc">
    <w:name w:val="hgkelc"/>
    <w:basedOn w:val="DefaultParagraphFont"/>
    <w:rsid w:val="00DF02E3"/>
  </w:style>
  <w:style w:type="character" w:customStyle="1" w:styleId="Heading2Char">
    <w:name w:val="Heading 2 Char"/>
    <w:basedOn w:val="DefaultParagraphFont"/>
    <w:link w:val="Heading2"/>
    <w:uiPriority w:val="9"/>
    <w:semiHidden/>
    <w:rsid w:val="00081267"/>
    <w:rPr>
      <w:rFonts w:asciiTheme="majorHAnsi" w:eastAsiaTheme="majorEastAsia" w:hAnsiTheme="majorHAnsi" w:cstheme="majorBidi"/>
      <w:color w:val="365F91" w:themeColor="accent1" w:themeShade="BF"/>
      <w:sz w:val="26"/>
      <w:szCs w:val="26"/>
    </w:rPr>
  </w:style>
  <w:style w:type="character" w:customStyle="1" w:styleId="mc">
    <w:name w:val="mc"/>
    <w:basedOn w:val="DefaultParagraphFont"/>
    <w:rsid w:val="000062B9"/>
  </w:style>
  <w:style w:type="character" w:customStyle="1" w:styleId="g1">
    <w:name w:val="g1"/>
    <w:basedOn w:val="DefaultParagraphFont"/>
    <w:rsid w:val="000062B9"/>
  </w:style>
  <w:style w:type="character" w:customStyle="1" w:styleId="Heading3Char">
    <w:name w:val="Heading 3 Char"/>
    <w:basedOn w:val="DefaultParagraphFont"/>
    <w:link w:val="Heading3"/>
    <w:uiPriority w:val="9"/>
    <w:semiHidden/>
    <w:rsid w:val="006019AC"/>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0D1CDB"/>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 w:id="235825986">
      <w:bodyDiv w:val="1"/>
      <w:marLeft w:val="0"/>
      <w:marRight w:val="0"/>
      <w:marTop w:val="0"/>
      <w:marBottom w:val="0"/>
      <w:divBdr>
        <w:top w:val="none" w:sz="0" w:space="0" w:color="auto"/>
        <w:left w:val="none" w:sz="0" w:space="0" w:color="auto"/>
        <w:bottom w:val="none" w:sz="0" w:space="0" w:color="auto"/>
        <w:right w:val="none" w:sz="0" w:space="0" w:color="auto"/>
      </w:divBdr>
      <w:divsChild>
        <w:div w:id="1226263363">
          <w:marLeft w:val="0"/>
          <w:marRight w:val="0"/>
          <w:marTop w:val="120"/>
          <w:marBottom w:val="0"/>
          <w:divBdr>
            <w:top w:val="none" w:sz="0" w:space="0" w:color="auto"/>
            <w:left w:val="none" w:sz="0" w:space="0" w:color="auto"/>
            <w:bottom w:val="none" w:sz="0" w:space="0" w:color="auto"/>
            <w:right w:val="none" w:sz="0" w:space="0" w:color="auto"/>
          </w:divBdr>
        </w:div>
        <w:div w:id="1850674027">
          <w:marLeft w:val="0"/>
          <w:marRight w:val="0"/>
          <w:marTop w:val="120"/>
          <w:marBottom w:val="0"/>
          <w:divBdr>
            <w:top w:val="none" w:sz="0" w:space="0" w:color="auto"/>
            <w:left w:val="none" w:sz="0" w:space="0" w:color="auto"/>
            <w:bottom w:val="none" w:sz="0" w:space="0" w:color="auto"/>
            <w:right w:val="none" w:sz="0" w:space="0" w:color="auto"/>
          </w:divBdr>
        </w:div>
      </w:divsChild>
    </w:div>
    <w:div w:id="441656728">
      <w:bodyDiv w:val="1"/>
      <w:marLeft w:val="0"/>
      <w:marRight w:val="0"/>
      <w:marTop w:val="0"/>
      <w:marBottom w:val="0"/>
      <w:divBdr>
        <w:top w:val="none" w:sz="0" w:space="0" w:color="auto"/>
        <w:left w:val="none" w:sz="0" w:space="0" w:color="auto"/>
        <w:bottom w:val="none" w:sz="0" w:space="0" w:color="auto"/>
        <w:right w:val="none" w:sz="0" w:space="0" w:color="auto"/>
      </w:divBdr>
    </w:div>
    <w:div w:id="514727518">
      <w:bodyDiv w:val="1"/>
      <w:marLeft w:val="0"/>
      <w:marRight w:val="0"/>
      <w:marTop w:val="0"/>
      <w:marBottom w:val="0"/>
      <w:divBdr>
        <w:top w:val="none" w:sz="0" w:space="0" w:color="auto"/>
        <w:left w:val="none" w:sz="0" w:space="0" w:color="auto"/>
        <w:bottom w:val="none" w:sz="0" w:space="0" w:color="auto"/>
        <w:right w:val="none" w:sz="0" w:space="0" w:color="auto"/>
      </w:divBdr>
    </w:div>
    <w:div w:id="598484554">
      <w:bodyDiv w:val="1"/>
      <w:marLeft w:val="0"/>
      <w:marRight w:val="0"/>
      <w:marTop w:val="0"/>
      <w:marBottom w:val="0"/>
      <w:divBdr>
        <w:top w:val="none" w:sz="0" w:space="0" w:color="auto"/>
        <w:left w:val="none" w:sz="0" w:space="0" w:color="auto"/>
        <w:bottom w:val="none" w:sz="0" w:space="0" w:color="auto"/>
        <w:right w:val="none" w:sz="0" w:space="0" w:color="auto"/>
      </w:divBdr>
    </w:div>
    <w:div w:id="674381927">
      <w:bodyDiv w:val="1"/>
      <w:marLeft w:val="0"/>
      <w:marRight w:val="0"/>
      <w:marTop w:val="0"/>
      <w:marBottom w:val="0"/>
      <w:divBdr>
        <w:top w:val="none" w:sz="0" w:space="0" w:color="auto"/>
        <w:left w:val="none" w:sz="0" w:space="0" w:color="auto"/>
        <w:bottom w:val="none" w:sz="0" w:space="0" w:color="auto"/>
        <w:right w:val="none" w:sz="0" w:space="0" w:color="auto"/>
      </w:divBdr>
      <w:divsChild>
        <w:div w:id="129905573">
          <w:marLeft w:val="0"/>
          <w:marRight w:val="0"/>
          <w:marTop w:val="120"/>
          <w:marBottom w:val="0"/>
          <w:divBdr>
            <w:top w:val="none" w:sz="0" w:space="0" w:color="auto"/>
            <w:left w:val="none" w:sz="0" w:space="0" w:color="auto"/>
            <w:bottom w:val="none" w:sz="0" w:space="0" w:color="auto"/>
            <w:right w:val="none" w:sz="0" w:space="0" w:color="auto"/>
          </w:divBdr>
        </w:div>
        <w:div w:id="1627737689">
          <w:marLeft w:val="1418"/>
          <w:marRight w:val="0"/>
          <w:marTop w:val="60"/>
          <w:marBottom w:val="0"/>
          <w:divBdr>
            <w:top w:val="none" w:sz="0" w:space="0" w:color="auto"/>
            <w:left w:val="none" w:sz="0" w:space="0" w:color="auto"/>
            <w:bottom w:val="none" w:sz="0" w:space="0" w:color="auto"/>
            <w:right w:val="none" w:sz="0" w:space="0" w:color="auto"/>
          </w:divBdr>
        </w:div>
        <w:div w:id="1233465916">
          <w:marLeft w:val="1191"/>
          <w:marRight w:val="0"/>
          <w:marTop w:val="60"/>
          <w:marBottom w:val="0"/>
          <w:divBdr>
            <w:top w:val="none" w:sz="0" w:space="0" w:color="auto"/>
            <w:left w:val="none" w:sz="0" w:space="0" w:color="auto"/>
            <w:bottom w:val="none" w:sz="0" w:space="0" w:color="auto"/>
            <w:right w:val="none" w:sz="0" w:space="0" w:color="auto"/>
          </w:divBdr>
        </w:div>
        <w:div w:id="1044065413">
          <w:marLeft w:val="2268"/>
          <w:marRight w:val="0"/>
          <w:marTop w:val="60"/>
          <w:marBottom w:val="0"/>
          <w:divBdr>
            <w:top w:val="none" w:sz="0" w:space="0" w:color="auto"/>
            <w:left w:val="none" w:sz="0" w:space="0" w:color="auto"/>
            <w:bottom w:val="none" w:sz="0" w:space="0" w:color="auto"/>
            <w:right w:val="none" w:sz="0" w:space="0" w:color="auto"/>
          </w:divBdr>
        </w:div>
        <w:div w:id="185411965">
          <w:marLeft w:val="1418"/>
          <w:marRight w:val="0"/>
          <w:marTop w:val="60"/>
          <w:marBottom w:val="0"/>
          <w:divBdr>
            <w:top w:val="none" w:sz="0" w:space="0" w:color="auto"/>
            <w:left w:val="none" w:sz="0" w:space="0" w:color="auto"/>
            <w:bottom w:val="none" w:sz="0" w:space="0" w:color="auto"/>
            <w:right w:val="none" w:sz="0" w:space="0" w:color="auto"/>
          </w:divBdr>
        </w:div>
      </w:divsChild>
    </w:div>
    <w:div w:id="748187554">
      <w:bodyDiv w:val="1"/>
      <w:marLeft w:val="0"/>
      <w:marRight w:val="0"/>
      <w:marTop w:val="0"/>
      <w:marBottom w:val="0"/>
      <w:divBdr>
        <w:top w:val="none" w:sz="0" w:space="0" w:color="auto"/>
        <w:left w:val="none" w:sz="0" w:space="0" w:color="auto"/>
        <w:bottom w:val="none" w:sz="0" w:space="0" w:color="auto"/>
        <w:right w:val="none" w:sz="0" w:space="0" w:color="auto"/>
      </w:divBdr>
    </w:div>
    <w:div w:id="1099255007">
      <w:bodyDiv w:val="1"/>
      <w:marLeft w:val="0"/>
      <w:marRight w:val="0"/>
      <w:marTop w:val="0"/>
      <w:marBottom w:val="0"/>
      <w:divBdr>
        <w:top w:val="none" w:sz="0" w:space="0" w:color="auto"/>
        <w:left w:val="none" w:sz="0" w:space="0" w:color="auto"/>
        <w:bottom w:val="none" w:sz="0" w:space="0" w:color="auto"/>
        <w:right w:val="none" w:sz="0" w:space="0" w:color="auto"/>
      </w:divBdr>
    </w:div>
    <w:div w:id="1134983607">
      <w:bodyDiv w:val="1"/>
      <w:marLeft w:val="0"/>
      <w:marRight w:val="0"/>
      <w:marTop w:val="0"/>
      <w:marBottom w:val="0"/>
      <w:divBdr>
        <w:top w:val="none" w:sz="0" w:space="0" w:color="auto"/>
        <w:left w:val="none" w:sz="0" w:space="0" w:color="auto"/>
        <w:bottom w:val="none" w:sz="0" w:space="0" w:color="auto"/>
        <w:right w:val="none" w:sz="0" w:space="0" w:color="auto"/>
      </w:divBdr>
    </w:div>
    <w:div w:id="1248999088">
      <w:bodyDiv w:val="1"/>
      <w:marLeft w:val="0"/>
      <w:marRight w:val="0"/>
      <w:marTop w:val="0"/>
      <w:marBottom w:val="0"/>
      <w:divBdr>
        <w:top w:val="none" w:sz="0" w:space="0" w:color="auto"/>
        <w:left w:val="none" w:sz="0" w:space="0" w:color="auto"/>
        <w:bottom w:val="none" w:sz="0" w:space="0" w:color="auto"/>
        <w:right w:val="none" w:sz="0" w:space="0" w:color="auto"/>
      </w:divBdr>
    </w:div>
    <w:div w:id="1545678809">
      <w:bodyDiv w:val="1"/>
      <w:marLeft w:val="0"/>
      <w:marRight w:val="0"/>
      <w:marTop w:val="0"/>
      <w:marBottom w:val="0"/>
      <w:divBdr>
        <w:top w:val="none" w:sz="0" w:space="0" w:color="auto"/>
        <w:left w:val="none" w:sz="0" w:space="0" w:color="auto"/>
        <w:bottom w:val="none" w:sz="0" w:space="0" w:color="auto"/>
        <w:right w:val="none" w:sz="0" w:space="0" w:color="auto"/>
      </w:divBdr>
    </w:div>
    <w:div w:id="1648128383">
      <w:bodyDiv w:val="1"/>
      <w:marLeft w:val="0"/>
      <w:marRight w:val="0"/>
      <w:marTop w:val="0"/>
      <w:marBottom w:val="0"/>
      <w:divBdr>
        <w:top w:val="none" w:sz="0" w:space="0" w:color="auto"/>
        <w:left w:val="none" w:sz="0" w:space="0" w:color="auto"/>
        <w:bottom w:val="none" w:sz="0" w:space="0" w:color="auto"/>
        <w:right w:val="none" w:sz="0" w:space="0" w:color="auto"/>
      </w:divBdr>
    </w:div>
    <w:div w:id="1737782492">
      <w:bodyDiv w:val="1"/>
      <w:marLeft w:val="0"/>
      <w:marRight w:val="0"/>
      <w:marTop w:val="0"/>
      <w:marBottom w:val="0"/>
      <w:divBdr>
        <w:top w:val="none" w:sz="0" w:space="0" w:color="auto"/>
        <w:left w:val="none" w:sz="0" w:space="0" w:color="auto"/>
        <w:bottom w:val="none" w:sz="0" w:space="0" w:color="auto"/>
        <w:right w:val="none" w:sz="0" w:space="0" w:color="auto"/>
      </w:divBdr>
    </w:div>
    <w:div w:id="1784154172">
      <w:bodyDiv w:val="1"/>
      <w:marLeft w:val="0"/>
      <w:marRight w:val="0"/>
      <w:marTop w:val="0"/>
      <w:marBottom w:val="0"/>
      <w:divBdr>
        <w:top w:val="none" w:sz="0" w:space="0" w:color="auto"/>
        <w:left w:val="none" w:sz="0" w:space="0" w:color="auto"/>
        <w:bottom w:val="none" w:sz="0" w:space="0" w:color="auto"/>
        <w:right w:val="none" w:sz="0" w:space="0" w:color="auto"/>
      </w:divBdr>
    </w:div>
    <w:div w:id="1984308913">
      <w:bodyDiv w:val="1"/>
      <w:marLeft w:val="0"/>
      <w:marRight w:val="0"/>
      <w:marTop w:val="0"/>
      <w:marBottom w:val="0"/>
      <w:divBdr>
        <w:top w:val="none" w:sz="0" w:space="0" w:color="auto"/>
        <w:left w:val="none" w:sz="0" w:space="0" w:color="auto"/>
        <w:bottom w:val="none" w:sz="0" w:space="0" w:color="auto"/>
        <w:right w:val="none" w:sz="0" w:space="0" w:color="auto"/>
      </w:divBdr>
    </w:div>
    <w:div w:id="1997874883">
      <w:bodyDiv w:val="1"/>
      <w:marLeft w:val="0"/>
      <w:marRight w:val="0"/>
      <w:marTop w:val="0"/>
      <w:marBottom w:val="0"/>
      <w:divBdr>
        <w:top w:val="none" w:sz="0" w:space="0" w:color="auto"/>
        <w:left w:val="none" w:sz="0" w:space="0" w:color="auto"/>
        <w:bottom w:val="none" w:sz="0" w:space="0" w:color="auto"/>
        <w:right w:val="none" w:sz="0" w:space="0" w:color="auto"/>
      </w:divBdr>
    </w:div>
    <w:div w:id="20358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91553%27%5d&amp;xhitlist_md=target-id=0-0-0-4188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5EB2916-1F96-42C4-A816-75F604FE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Mariana Anguelov</cp:lastModifiedBy>
  <cp:revision>3</cp:revision>
  <cp:lastPrinted>2022-12-23T06:20:00Z</cp:lastPrinted>
  <dcterms:created xsi:type="dcterms:W3CDTF">2022-12-23T06:20:00Z</dcterms:created>
  <dcterms:modified xsi:type="dcterms:W3CDTF">2023-01-30T18:18:00Z</dcterms:modified>
</cp:coreProperties>
</file>