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DFE04" w14:textId="77777777" w:rsidR="00F8693A" w:rsidRPr="00AE7E43" w:rsidRDefault="00F8693A" w:rsidP="001E4D6E">
      <w:pPr>
        <w:spacing w:after="0" w:line="240" w:lineRule="auto"/>
        <w:jc w:val="center"/>
        <w:rPr>
          <w:rFonts w:ascii="Arial" w:hAnsi="Arial" w:cs="Arial"/>
          <w:sz w:val="24"/>
          <w:szCs w:val="24"/>
          <w:u w:val="single"/>
        </w:rPr>
      </w:pPr>
      <w:bookmarkStart w:id="0" w:name="_GoBack"/>
      <w:bookmarkEnd w:id="0"/>
      <w:r w:rsidRPr="00AE7E43">
        <w:rPr>
          <w:rFonts w:ascii="Arial" w:hAnsi="Arial" w:cs="Arial"/>
          <w:noProof/>
          <w:sz w:val="24"/>
          <w:szCs w:val="24"/>
          <w:lang w:eastAsia="en-ZA"/>
        </w:rPr>
        <w:drawing>
          <wp:anchor distT="0" distB="0" distL="0" distR="0" simplePos="0" relativeHeight="251659264" behindDoc="0" locked="0" layoutInCell="1" allowOverlap="1" wp14:anchorId="6BD9AF08" wp14:editId="191CAEA9">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2356BBFE" w14:textId="77777777" w:rsidR="00F8693A" w:rsidRPr="00AE7E43" w:rsidRDefault="00F8693A" w:rsidP="001E4D6E">
      <w:pPr>
        <w:autoSpaceDE w:val="0"/>
        <w:autoSpaceDN w:val="0"/>
        <w:adjustRightInd w:val="0"/>
        <w:spacing w:after="0" w:line="240" w:lineRule="auto"/>
        <w:jc w:val="center"/>
        <w:rPr>
          <w:rFonts w:ascii="Arial" w:hAnsi="Arial" w:cs="Arial"/>
          <w:b/>
          <w:bCs/>
          <w:sz w:val="24"/>
          <w:szCs w:val="24"/>
          <w:u w:val="single"/>
        </w:rPr>
      </w:pPr>
    </w:p>
    <w:p w14:paraId="5176BF43" w14:textId="77777777" w:rsidR="00F8693A" w:rsidRPr="00AE7E43" w:rsidRDefault="00F8693A" w:rsidP="001E4D6E">
      <w:pPr>
        <w:autoSpaceDE w:val="0"/>
        <w:autoSpaceDN w:val="0"/>
        <w:adjustRightInd w:val="0"/>
        <w:spacing w:after="0" w:line="240" w:lineRule="auto"/>
        <w:rPr>
          <w:rFonts w:ascii="Arial" w:hAnsi="Arial" w:cs="Arial"/>
          <w:b/>
          <w:bCs/>
          <w:sz w:val="16"/>
          <w:szCs w:val="16"/>
          <w:u w:val="single"/>
        </w:rPr>
      </w:pPr>
    </w:p>
    <w:p w14:paraId="53944BD3" w14:textId="77777777" w:rsidR="00A12CC3" w:rsidRPr="00AE7E43" w:rsidRDefault="00A12CC3" w:rsidP="001E4D6E">
      <w:pPr>
        <w:autoSpaceDE w:val="0"/>
        <w:autoSpaceDN w:val="0"/>
        <w:adjustRightInd w:val="0"/>
        <w:spacing w:after="0" w:line="240" w:lineRule="auto"/>
        <w:jc w:val="center"/>
        <w:rPr>
          <w:rFonts w:ascii="Arial" w:hAnsi="Arial" w:cs="Arial"/>
          <w:b/>
          <w:bCs/>
          <w:sz w:val="24"/>
          <w:szCs w:val="24"/>
          <w:u w:val="single"/>
        </w:rPr>
      </w:pPr>
    </w:p>
    <w:p w14:paraId="7B2DB95C" w14:textId="77777777" w:rsidR="00F8693A" w:rsidRPr="00AE7E43" w:rsidRDefault="00F8693A" w:rsidP="001E4D6E">
      <w:pPr>
        <w:autoSpaceDE w:val="0"/>
        <w:autoSpaceDN w:val="0"/>
        <w:adjustRightInd w:val="0"/>
        <w:spacing w:after="0" w:line="240" w:lineRule="auto"/>
        <w:jc w:val="center"/>
        <w:rPr>
          <w:rFonts w:ascii="Arial" w:hAnsi="Arial" w:cs="Arial"/>
          <w:sz w:val="24"/>
          <w:szCs w:val="24"/>
          <w:u w:val="single"/>
        </w:rPr>
      </w:pPr>
      <w:r w:rsidRPr="00AE7E43">
        <w:rPr>
          <w:rFonts w:ascii="Arial" w:hAnsi="Arial" w:cs="Arial"/>
          <w:b/>
          <w:bCs/>
          <w:sz w:val="24"/>
          <w:szCs w:val="24"/>
          <w:u w:val="single"/>
        </w:rPr>
        <w:t>IN THE HIGH COURT OF SOUTH AFRICA</w:t>
      </w:r>
    </w:p>
    <w:p w14:paraId="242D0B37" w14:textId="77777777" w:rsidR="00F8693A" w:rsidRPr="00AE7E43" w:rsidRDefault="00F8693A" w:rsidP="001E4D6E">
      <w:pPr>
        <w:autoSpaceDE w:val="0"/>
        <w:autoSpaceDN w:val="0"/>
        <w:adjustRightInd w:val="0"/>
        <w:spacing w:after="0" w:line="240" w:lineRule="auto"/>
        <w:jc w:val="center"/>
        <w:rPr>
          <w:rFonts w:ascii="Arial" w:hAnsi="Arial" w:cs="Arial"/>
          <w:b/>
          <w:bCs/>
          <w:sz w:val="24"/>
          <w:szCs w:val="24"/>
          <w:u w:val="single"/>
        </w:rPr>
      </w:pPr>
      <w:r w:rsidRPr="00AE7E43">
        <w:rPr>
          <w:rFonts w:ascii="Arial" w:hAnsi="Arial" w:cs="Arial"/>
          <w:b/>
          <w:bCs/>
          <w:sz w:val="24"/>
          <w:szCs w:val="24"/>
          <w:u w:val="single"/>
        </w:rPr>
        <w:t>FREE STATE DIVISION, BLOEMFONTEIN</w:t>
      </w:r>
    </w:p>
    <w:p w14:paraId="6F13FC24" w14:textId="77777777" w:rsidR="00F8693A" w:rsidRPr="00AE7E43" w:rsidRDefault="00F8693A" w:rsidP="001E4D6E">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D3CA5" w:rsidRPr="00AE7E43" w14:paraId="6A449F0F" w14:textId="77777777"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6CBCF600" w14:textId="77777777" w:rsidR="00F8693A" w:rsidRPr="00AE7E43" w:rsidRDefault="00F8693A" w:rsidP="001E4D6E">
            <w:pPr>
              <w:pStyle w:val="BodyAA"/>
              <w:autoSpaceDE w:val="0"/>
              <w:autoSpaceDN w:val="0"/>
              <w:spacing w:after="0" w:line="240" w:lineRule="auto"/>
              <w:rPr>
                <w:rFonts w:ascii="Arial" w:hAnsi="Arial" w:cs="Arial"/>
                <w:b/>
                <w:bCs/>
                <w:color w:val="auto"/>
                <w:sz w:val="16"/>
                <w:szCs w:val="16"/>
                <w:lang w:val="en-ZA" w:eastAsia="en-US"/>
              </w:rPr>
            </w:pPr>
            <w:r w:rsidRPr="00AE7E43">
              <w:rPr>
                <w:rFonts w:ascii="Arial" w:hAnsi="Arial" w:cs="Arial"/>
                <w:b/>
                <w:bCs/>
                <w:color w:val="auto"/>
                <w:sz w:val="16"/>
                <w:szCs w:val="16"/>
                <w:lang w:val="en-ZA" w:eastAsia="en-US"/>
              </w:rPr>
              <w:t xml:space="preserve">Reportable:                              </w:t>
            </w:r>
          </w:p>
          <w:p w14:paraId="283640D5" w14:textId="77777777" w:rsidR="00F8693A" w:rsidRPr="00AE7E43" w:rsidRDefault="00F8693A" w:rsidP="001E4D6E">
            <w:pPr>
              <w:pStyle w:val="BodyAA"/>
              <w:autoSpaceDE w:val="0"/>
              <w:autoSpaceDN w:val="0"/>
              <w:spacing w:after="0" w:line="240" w:lineRule="auto"/>
              <w:rPr>
                <w:rFonts w:ascii="Arial" w:hAnsi="Arial" w:cs="Arial"/>
                <w:b/>
                <w:bCs/>
                <w:color w:val="auto"/>
                <w:sz w:val="16"/>
                <w:szCs w:val="16"/>
                <w:lang w:val="en-ZA" w:eastAsia="en-US"/>
              </w:rPr>
            </w:pPr>
            <w:r w:rsidRPr="00AE7E43">
              <w:rPr>
                <w:rFonts w:ascii="Arial" w:hAnsi="Arial" w:cs="Arial"/>
                <w:b/>
                <w:bCs/>
                <w:color w:val="auto"/>
                <w:sz w:val="16"/>
                <w:szCs w:val="16"/>
                <w:lang w:val="en-ZA" w:eastAsia="en-US"/>
              </w:rPr>
              <w:t xml:space="preserve">Of Interest to other Judges:   </w:t>
            </w:r>
          </w:p>
          <w:p w14:paraId="4461F555" w14:textId="77777777" w:rsidR="00F8693A" w:rsidRPr="00AE7E43" w:rsidRDefault="00F8693A" w:rsidP="001E4D6E">
            <w:pPr>
              <w:pStyle w:val="BodyAA"/>
              <w:autoSpaceDE w:val="0"/>
              <w:autoSpaceDN w:val="0"/>
              <w:spacing w:after="0" w:line="240" w:lineRule="auto"/>
              <w:rPr>
                <w:rFonts w:ascii="Arial" w:hAnsi="Arial" w:cs="Arial"/>
                <w:color w:val="auto"/>
                <w:sz w:val="16"/>
                <w:szCs w:val="16"/>
                <w:lang w:val="en-ZA" w:eastAsia="en-US"/>
              </w:rPr>
            </w:pPr>
            <w:r w:rsidRPr="00AE7E43">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7D0DA26E" w14:textId="77777777" w:rsidR="00F8693A" w:rsidRPr="00AE7E43" w:rsidRDefault="00F8693A" w:rsidP="001E4D6E">
            <w:pPr>
              <w:pStyle w:val="BodyAA"/>
              <w:autoSpaceDE w:val="0"/>
              <w:autoSpaceDN w:val="0"/>
              <w:spacing w:after="0" w:line="240" w:lineRule="auto"/>
              <w:rPr>
                <w:rFonts w:ascii="Arial" w:hAnsi="Arial" w:cs="Arial"/>
                <w:b/>
                <w:bCs/>
                <w:color w:val="auto"/>
                <w:sz w:val="16"/>
                <w:szCs w:val="16"/>
                <w:lang w:val="en-ZA" w:eastAsia="en-US"/>
              </w:rPr>
            </w:pPr>
            <w:r w:rsidRPr="00AE7E43">
              <w:rPr>
                <w:rFonts w:ascii="Arial" w:hAnsi="Arial" w:cs="Arial"/>
                <w:b/>
                <w:bCs/>
                <w:color w:val="auto"/>
                <w:sz w:val="16"/>
                <w:szCs w:val="16"/>
                <w:lang w:val="en-ZA" w:eastAsia="en-US"/>
              </w:rPr>
              <w:t xml:space="preserve">NO </w:t>
            </w:r>
          </w:p>
          <w:p w14:paraId="0F1D4D06" w14:textId="77777777" w:rsidR="00F8693A" w:rsidRPr="00AE7E43" w:rsidRDefault="00F8693A" w:rsidP="001E4D6E">
            <w:pPr>
              <w:pStyle w:val="BodyAA"/>
              <w:autoSpaceDE w:val="0"/>
              <w:autoSpaceDN w:val="0"/>
              <w:spacing w:after="0" w:line="240" w:lineRule="auto"/>
              <w:rPr>
                <w:rFonts w:ascii="Arial" w:hAnsi="Arial" w:cs="Arial"/>
                <w:b/>
                <w:bCs/>
                <w:color w:val="auto"/>
                <w:sz w:val="16"/>
                <w:szCs w:val="16"/>
                <w:lang w:val="en-ZA" w:eastAsia="en-US"/>
              </w:rPr>
            </w:pPr>
            <w:r w:rsidRPr="00AE7E43">
              <w:rPr>
                <w:rFonts w:ascii="Arial" w:hAnsi="Arial" w:cs="Arial"/>
                <w:b/>
                <w:bCs/>
                <w:color w:val="auto"/>
                <w:sz w:val="16"/>
                <w:szCs w:val="16"/>
                <w:lang w:val="en-ZA" w:eastAsia="en-US"/>
              </w:rPr>
              <w:t xml:space="preserve">NO </w:t>
            </w:r>
          </w:p>
          <w:p w14:paraId="7220AAC8" w14:textId="77777777" w:rsidR="00F8693A" w:rsidRPr="00AE7E43" w:rsidRDefault="00F8693A" w:rsidP="001E4D6E">
            <w:pPr>
              <w:pStyle w:val="BodyAA"/>
              <w:autoSpaceDE w:val="0"/>
              <w:autoSpaceDN w:val="0"/>
              <w:spacing w:after="0" w:line="240" w:lineRule="auto"/>
              <w:rPr>
                <w:rFonts w:ascii="Arial" w:hAnsi="Arial" w:cs="Arial"/>
                <w:color w:val="auto"/>
                <w:sz w:val="16"/>
                <w:szCs w:val="16"/>
                <w:lang w:val="en-ZA" w:eastAsia="en-US"/>
              </w:rPr>
            </w:pPr>
            <w:r w:rsidRPr="00AE7E43">
              <w:rPr>
                <w:rFonts w:ascii="Arial" w:hAnsi="Arial" w:cs="Arial"/>
                <w:b/>
                <w:bCs/>
                <w:color w:val="auto"/>
                <w:sz w:val="16"/>
                <w:szCs w:val="16"/>
                <w:lang w:val="en-ZA" w:eastAsia="en-US"/>
              </w:rPr>
              <w:t>NO</w:t>
            </w:r>
          </w:p>
        </w:tc>
      </w:tr>
    </w:tbl>
    <w:p w14:paraId="6596EB92" w14:textId="77777777" w:rsidR="00F8693A" w:rsidRPr="00AE7E43" w:rsidRDefault="00F8693A" w:rsidP="001E4D6E">
      <w:pPr>
        <w:spacing w:after="0" w:line="240" w:lineRule="auto"/>
        <w:jc w:val="center"/>
        <w:rPr>
          <w:rFonts w:ascii="Arial" w:eastAsia="Times New Roman" w:hAnsi="Arial" w:cs="Arial"/>
          <w:sz w:val="16"/>
          <w:szCs w:val="16"/>
        </w:rPr>
      </w:pPr>
    </w:p>
    <w:p w14:paraId="69D83A2C" w14:textId="77777777" w:rsidR="00670AFA" w:rsidRPr="00AE7E43" w:rsidRDefault="00670AFA" w:rsidP="001E4D6E">
      <w:pPr>
        <w:spacing w:after="0" w:line="240" w:lineRule="auto"/>
        <w:jc w:val="center"/>
        <w:rPr>
          <w:rFonts w:ascii="Arial" w:eastAsia="Times New Roman" w:hAnsi="Arial" w:cs="Arial"/>
          <w:sz w:val="16"/>
          <w:szCs w:val="16"/>
        </w:rPr>
      </w:pPr>
    </w:p>
    <w:p w14:paraId="273C86AC" w14:textId="77777777" w:rsidR="00943B49" w:rsidRPr="00AE7E43" w:rsidRDefault="00943B49" w:rsidP="001E4D6E">
      <w:pPr>
        <w:spacing w:after="0" w:line="240" w:lineRule="auto"/>
        <w:jc w:val="right"/>
        <w:rPr>
          <w:rFonts w:ascii="Arial" w:hAnsi="Arial" w:cs="Arial"/>
          <w:b/>
          <w:sz w:val="24"/>
          <w:szCs w:val="24"/>
        </w:rPr>
      </w:pPr>
      <w:r w:rsidRPr="00AE7E43">
        <w:rPr>
          <w:rFonts w:ascii="Arial" w:hAnsi="Arial" w:cs="Arial"/>
          <w:sz w:val="24"/>
          <w:szCs w:val="24"/>
        </w:rPr>
        <w:t xml:space="preserve">Case No:  </w:t>
      </w:r>
      <w:r w:rsidR="00670AFA" w:rsidRPr="00AE7E43">
        <w:rPr>
          <w:rFonts w:ascii="Arial" w:hAnsi="Arial" w:cs="Arial"/>
          <w:b/>
          <w:sz w:val="24"/>
          <w:szCs w:val="24"/>
        </w:rPr>
        <w:t>3949/2021</w:t>
      </w:r>
    </w:p>
    <w:p w14:paraId="58074269" w14:textId="77777777" w:rsidR="00F8693A" w:rsidRPr="00AE7E43" w:rsidRDefault="00F8693A" w:rsidP="001E4D6E">
      <w:pPr>
        <w:spacing w:after="0" w:line="240" w:lineRule="auto"/>
        <w:jc w:val="both"/>
        <w:rPr>
          <w:rFonts w:ascii="Arial" w:hAnsi="Arial" w:cs="Arial"/>
          <w:sz w:val="24"/>
          <w:szCs w:val="24"/>
        </w:rPr>
      </w:pPr>
      <w:r w:rsidRPr="00AE7E43">
        <w:rPr>
          <w:rFonts w:ascii="Arial" w:hAnsi="Arial" w:cs="Arial"/>
          <w:sz w:val="24"/>
          <w:szCs w:val="24"/>
        </w:rPr>
        <w:t>In the matter between:</w:t>
      </w:r>
    </w:p>
    <w:p w14:paraId="298B8C64" w14:textId="77777777" w:rsidR="00670AFA" w:rsidRPr="00AE7E43" w:rsidRDefault="00670AFA" w:rsidP="001E4D6E">
      <w:pPr>
        <w:spacing w:after="0" w:line="240" w:lineRule="auto"/>
        <w:jc w:val="both"/>
        <w:rPr>
          <w:rFonts w:ascii="Arial" w:hAnsi="Arial" w:cs="Arial"/>
          <w:b/>
          <w:sz w:val="16"/>
          <w:szCs w:val="16"/>
        </w:rPr>
      </w:pPr>
    </w:p>
    <w:p w14:paraId="69958E6D" w14:textId="77777777" w:rsidR="00F8693A" w:rsidRPr="00AE7E43" w:rsidRDefault="00F8693A" w:rsidP="001E4D6E">
      <w:pPr>
        <w:spacing w:after="0" w:line="240" w:lineRule="auto"/>
        <w:jc w:val="both"/>
        <w:rPr>
          <w:rFonts w:ascii="Arial" w:hAnsi="Arial" w:cs="Arial"/>
          <w:b/>
          <w:sz w:val="16"/>
          <w:szCs w:val="16"/>
        </w:rPr>
      </w:pPr>
      <w:r w:rsidRPr="00AE7E43">
        <w:rPr>
          <w:rFonts w:ascii="Arial" w:hAnsi="Arial" w:cs="Arial"/>
          <w:b/>
          <w:sz w:val="16"/>
          <w:szCs w:val="16"/>
        </w:rPr>
        <w:tab/>
      </w:r>
      <w:r w:rsidRPr="00AE7E43">
        <w:rPr>
          <w:rFonts w:ascii="Arial" w:hAnsi="Arial" w:cs="Arial"/>
          <w:b/>
          <w:sz w:val="16"/>
          <w:szCs w:val="16"/>
        </w:rPr>
        <w:tab/>
      </w:r>
      <w:r w:rsidRPr="00AE7E43">
        <w:rPr>
          <w:rFonts w:ascii="Arial" w:hAnsi="Arial" w:cs="Arial"/>
          <w:b/>
          <w:sz w:val="16"/>
          <w:szCs w:val="16"/>
        </w:rPr>
        <w:tab/>
      </w:r>
    </w:p>
    <w:p w14:paraId="2985CAFC" w14:textId="77777777" w:rsidR="00F8693A" w:rsidRPr="00AE7E43" w:rsidRDefault="00920DC6" w:rsidP="001E4D6E">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sz w:val="24"/>
          <w:szCs w:val="24"/>
        </w:rPr>
      </w:pPr>
      <w:r w:rsidRPr="00AE7E43">
        <w:rPr>
          <w:rFonts w:ascii="Arial" w:hAnsi="Arial" w:cs="Arial"/>
          <w:b/>
          <w:sz w:val="24"/>
          <w:szCs w:val="24"/>
        </w:rPr>
        <w:t>THE STANDARD BANK OF SOUTH AFRICA LIMITED</w:t>
      </w:r>
      <w:r w:rsidR="00F8693A" w:rsidRPr="00AE7E43">
        <w:rPr>
          <w:rFonts w:ascii="Arial" w:hAnsi="Arial" w:cs="Arial"/>
          <w:b/>
          <w:sz w:val="24"/>
          <w:szCs w:val="24"/>
        </w:rPr>
        <w:t xml:space="preserve">          </w:t>
      </w:r>
      <w:r w:rsidR="00F8693A" w:rsidRPr="00AE7E43">
        <w:rPr>
          <w:rFonts w:ascii="Arial" w:hAnsi="Arial" w:cs="Arial"/>
          <w:b/>
          <w:sz w:val="24"/>
          <w:szCs w:val="24"/>
        </w:rPr>
        <w:tab/>
      </w:r>
      <w:r w:rsidR="00F8693A" w:rsidRPr="00AE7E43">
        <w:rPr>
          <w:rFonts w:ascii="Arial" w:hAnsi="Arial" w:cs="Arial"/>
          <w:b/>
          <w:sz w:val="24"/>
          <w:szCs w:val="24"/>
        </w:rPr>
        <w:tab/>
      </w:r>
      <w:r w:rsidR="002107EE" w:rsidRPr="00AE7E43">
        <w:rPr>
          <w:rFonts w:ascii="Arial" w:hAnsi="Arial" w:cs="Arial"/>
          <w:sz w:val="24"/>
          <w:szCs w:val="24"/>
        </w:rPr>
        <w:t>Applicant</w:t>
      </w:r>
    </w:p>
    <w:p w14:paraId="0CC8E1CB" w14:textId="77777777" w:rsidR="00F8693A" w:rsidRPr="00AE7E43" w:rsidRDefault="00F8693A"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118ADDB9" w14:textId="77777777" w:rsidR="00670AFA" w:rsidRPr="00AE7E43" w:rsidRDefault="00670AFA"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1768C5CC" w14:textId="77777777" w:rsidR="00F8693A" w:rsidRPr="00AE7E43" w:rsidRDefault="003A4A4B" w:rsidP="001E4D6E">
      <w:pPr>
        <w:spacing w:after="0" w:line="240" w:lineRule="auto"/>
        <w:jc w:val="both"/>
        <w:rPr>
          <w:rFonts w:ascii="Arial" w:hAnsi="Arial" w:cs="Arial"/>
          <w:sz w:val="24"/>
          <w:szCs w:val="24"/>
        </w:rPr>
      </w:pPr>
      <w:r w:rsidRPr="00AE7E43">
        <w:rPr>
          <w:rFonts w:ascii="Arial" w:hAnsi="Arial" w:cs="Arial"/>
          <w:sz w:val="24"/>
          <w:szCs w:val="24"/>
        </w:rPr>
        <w:t>and</w:t>
      </w:r>
    </w:p>
    <w:p w14:paraId="2978D071" w14:textId="77777777" w:rsidR="00F8693A" w:rsidRPr="00AE7E43" w:rsidRDefault="00F8693A" w:rsidP="001E4D6E">
      <w:pPr>
        <w:spacing w:after="0" w:line="240" w:lineRule="auto"/>
        <w:jc w:val="both"/>
        <w:rPr>
          <w:rFonts w:ascii="Arial" w:hAnsi="Arial" w:cs="Arial"/>
          <w:sz w:val="16"/>
          <w:szCs w:val="16"/>
        </w:rPr>
      </w:pPr>
    </w:p>
    <w:p w14:paraId="1AE154C5" w14:textId="77777777" w:rsidR="00F8693A"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b/>
          <w:sz w:val="24"/>
          <w:szCs w:val="24"/>
        </w:rPr>
        <w:t>CHRISTOFFEL PETRUS WOLMARANS N.O.</w:t>
      </w:r>
      <w:r w:rsidR="00F8693A" w:rsidRPr="00AE7E43">
        <w:rPr>
          <w:rFonts w:ascii="Arial" w:hAnsi="Arial" w:cs="Arial"/>
          <w:b/>
          <w:sz w:val="24"/>
          <w:szCs w:val="24"/>
        </w:rPr>
        <w:tab/>
      </w:r>
      <w:r w:rsidR="00F8693A" w:rsidRPr="00AE7E43">
        <w:rPr>
          <w:rFonts w:ascii="Arial" w:hAnsi="Arial" w:cs="Arial"/>
          <w:b/>
          <w:sz w:val="24"/>
          <w:szCs w:val="24"/>
        </w:rPr>
        <w:tab/>
      </w:r>
      <w:r w:rsidR="00F8693A" w:rsidRPr="00AE7E43">
        <w:rPr>
          <w:rFonts w:ascii="Arial" w:hAnsi="Arial" w:cs="Arial"/>
          <w:b/>
          <w:sz w:val="24"/>
          <w:szCs w:val="24"/>
        </w:rPr>
        <w:tab/>
      </w:r>
      <w:r w:rsidR="00F8693A" w:rsidRPr="00AE7E43">
        <w:rPr>
          <w:rFonts w:ascii="Arial" w:hAnsi="Arial" w:cs="Arial"/>
          <w:b/>
          <w:sz w:val="24"/>
          <w:szCs w:val="24"/>
        </w:rPr>
        <w:tab/>
      </w:r>
      <w:r w:rsidR="00F8693A" w:rsidRPr="00AE7E43">
        <w:rPr>
          <w:rFonts w:ascii="Arial" w:hAnsi="Arial" w:cs="Arial"/>
          <w:b/>
          <w:sz w:val="24"/>
          <w:szCs w:val="24"/>
        </w:rPr>
        <w:tab/>
      </w:r>
      <w:r w:rsidR="00F8693A" w:rsidRPr="00AE7E43">
        <w:rPr>
          <w:rFonts w:ascii="Arial" w:hAnsi="Arial" w:cs="Arial"/>
          <w:b/>
          <w:sz w:val="24"/>
          <w:szCs w:val="24"/>
        </w:rPr>
        <w:tab/>
      </w:r>
      <w:r w:rsidR="00111F7A" w:rsidRPr="00AE7E43">
        <w:rPr>
          <w:rFonts w:ascii="Arial" w:hAnsi="Arial" w:cs="Arial"/>
          <w:sz w:val="24"/>
          <w:szCs w:val="24"/>
        </w:rPr>
        <w:t>1</w:t>
      </w:r>
      <w:r w:rsidR="00111F7A" w:rsidRPr="00AE7E43">
        <w:rPr>
          <w:rFonts w:ascii="Arial" w:hAnsi="Arial" w:cs="Arial"/>
          <w:sz w:val="24"/>
          <w:szCs w:val="24"/>
          <w:vertAlign w:val="superscript"/>
        </w:rPr>
        <w:t>st</w:t>
      </w:r>
      <w:r w:rsidR="00111F7A" w:rsidRPr="00AE7E43">
        <w:rPr>
          <w:rFonts w:ascii="Arial" w:hAnsi="Arial" w:cs="Arial"/>
          <w:b/>
          <w:sz w:val="24"/>
          <w:szCs w:val="24"/>
        </w:rPr>
        <w:t xml:space="preserve"> </w:t>
      </w:r>
      <w:r w:rsidR="00F8693A" w:rsidRPr="00AE7E43">
        <w:rPr>
          <w:rFonts w:ascii="Arial" w:hAnsi="Arial" w:cs="Arial"/>
          <w:sz w:val="24"/>
          <w:szCs w:val="24"/>
        </w:rPr>
        <w:t>Respondent</w:t>
      </w:r>
    </w:p>
    <w:p w14:paraId="517DDB9D" w14:textId="77777777" w:rsidR="00111F7A" w:rsidRPr="00AE7E43" w:rsidRDefault="00111F7A"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645EEBE7" w14:textId="77777777" w:rsidR="00111F7A"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b/>
          <w:sz w:val="24"/>
          <w:szCs w:val="24"/>
        </w:rPr>
        <w:t>EMERENTIA WOLMARANS N.O.</w:t>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sz w:val="24"/>
          <w:szCs w:val="24"/>
        </w:rPr>
        <w:t>2</w:t>
      </w:r>
      <w:r w:rsidR="00111F7A" w:rsidRPr="00AE7E43">
        <w:rPr>
          <w:rFonts w:ascii="Arial" w:hAnsi="Arial" w:cs="Arial"/>
          <w:sz w:val="24"/>
          <w:szCs w:val="24"/>
          <w:vertAlign w:val="superscript"/>
        </w:rPr>
        <w:t>nd</w:t>
      </w:r>
      <w:r w:rsidR="00111F7A" w:rsidRPr="00AE7E43">
        <w:rPr>
          <w:rFonts w:ascii="Arial" w:hAnsi="Arial" w:cs="Arial"/>
          <w:sz w:val="24"/>
          <w:szCs w:val="24"/>
        </w:rPr>
        <w:t xml:space="preserve"> Respondent</w:t>
      </w:r>
    </w:p>
    <w:p w14:paraId="288CDCE7" w14:textId="77777777" w:rsidR="00111F7A" w:rsidRPr="00AE7E43" w:rsidRDefault="00111F7A"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3F03578B" w14:textId="77777777" w:rsidR="007C498E" w:rsidRPr="00AE7E43" w:rsidRDefault="007C498E"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sidRPr="00AE7E43">
        <w:rPr>
          <w:rFonts w:ascii="Arial" w:hAnsi="Arial" w:cs="Arial"/>
          <w:b/>
          <w:sz w:val="24"/>
          <w:szCs w:val="24"/>
        </w:rPr>
        <w:t xml:space="preserve">TELLA HARRIS N.O.                                                                            </w:t>
      </w:r>
      <w:r w:rsidRPr="00AE7E43">
        <w:rPr>
          <w:rFonts w:ascii="Arial" w:hAnsi="Arial" w:cs="Arial"/>
          <w:sz w:val="24"/>
          <w:szCs w:val="24"/>
        </w:rPr>
        <w:t>3</w:t>
      </w:r>
      <w:r w:rsidRPr="00AE7E43">
        <w:rPr>
          <w:rFonts w:ascii="Arial" w:hAnsi="Arial" w:cs="Arial"/>
          <w:sz w:val="24"/>
          <w:szCs w:val="24"/>
          <w:vertAlign w:val="superscript"/>
        </w:rPr>
        <w:t>rd</w:t>
      </w:r>
      <w:r w:rsidRPr="00AE7E43">
        <w:rPr>
          <w:rFonts w:ascii="Arial" w:hAnsi="Arial" w:cs="Arial"/>
          <w:sz w:val="24"/>
          <w:szCs w:val="24"/>
        </w:rPr>
        <w:t xml:space="preserve"> Respondent</w:t>
      </w:r>
    </w:p>
    <w:p w14:paraId="7E42503A" w14:textId="77777777" w:rsidR="007C498E" w:rsidRPr="00AE7E43" w:rsidRDefault="007C498E"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p>
    <w:p w14:paraId="510CAE04" w14:textId="77777777" w:rsidR="00111F7A"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b/>
          <w:sz w:val="24"/>
          <w:szCs w:val="24"/>
        </w:rPr>
        <w:t>VAN WYK WOLMARANS N.O.</w:t>
      </w:r>
      <w:r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111F7A" w:rsidRPr="00AE7E43">
        <w:rPr>
          <w:rFonts w:ascii="Arial" w:hAnsi="Arial" w:cs="Arial"/>
          <w:b/>
          <w:sz w:val="24"/>
          <w:szCs w:val="24"/>
        </w:rPr>
        <w:tab/>
      </w:r>
      <w:r w:rsidR="007C498E" w:rsidRPr="00AE7E43">
        <w:rPr>
          <w:rFonts w:ascii="Arial" w:hAnsi="Arial" w:cs="Arial"/>
          <w:sz w:val="24"/>
          <w:szCs w:val="24"/>
        </w:rPr>
        <w:t>4</w:t>
      </w:r>
      <w:r w:rsidR="007C498E" w:rsidRPr="00AE7E43">
        <w:rPr>
          <w:rFonts w:ascii="Arial" w:hAnsi="Arial" w:cs="Arial"/>
          <w:sz w:val="24"/>
          <w:szCs w:val="24"/>
          <w:vertAlign w:val="superscript"/>
        </w:rPr>
        <w:t>th</w:t>
      </w:r>
      <w:r w:rsidR="00E625BC" w:rsidRPr="00AE7E43">
        <w:rPr>
          <w:rFonts w:ascii="Arial" w:hAnsi="Arial" w:cs="Arial"/>
          <w:sz w:val="24"/>
          <w:szCs w:val="24"/>
        </w:rPr>
        <w:t xml:space="preserve"> </w:t>
      </w:r>
      <w:r w:rsidR="00111F7A" w:rsidRPr="00AE7E43">
        <w:rPr>
          <w:rFonts w:ascii="Arial" w:hAnsi="Arial" w:cs="Arial"/>
          <w:sz w:val="24"/>
          <w:szCs w:val="24"/>
        </w:rPr>
        <w:t>Respondent</w:t>
      </w:r>
    </w:p>
    <w:p w14:paraId="6E7CAD7C"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sz w:val="24"/>
          <w:szCs w:val="24"/>
        </w:rPr>
        <w:t>[1</w:t>
      </w:r>
      <w:r w:rsidRPr="00AE7E43">
        <w:rPr>
          <w:rFonts w:ascii="Arial" w:hAnsi="Arial" w:cs="Arial"/>
          <w:sz w:val="24"/>
          <w:szCs w:val="24"/>
          <w:vertAlign w:val="superscript"/>
        </w:rPr>
        <w:t>st</w:t>
      </w:r>
      <w:r w:rsidRPr="00AE7E43">
        <w:rPr>
          <w:rFonts w:ascii="Arial" w:hAnsi="Arial" w:cs="Arial"/>
          <w:sz w:val="24"/>
          <w:szCs w:val="24"/>
        </w:rPr>
        <w:t xml:space="preserve"> to 4</w:t>
      </w:r>
      <w:r w:rsidRPr="00AE7E43">
        <w:rPr>
          <w:rFonts w:ascii="Arial" w:hAnsi="Arial" w:cs="Arial"/>
          <w:sz w:val="24"/>
          <w:szCs w:val="24"/>
          <w:vertAlign w:val="superscript"/>
        </w:rPr>
        <w:t>th</w:t>
      </w:r>
      <w:r w:rsidRPr="00AE7E43">
        <w:rPr>
          <w:rFonts w:ascii="Arial" w:hAnsi="Arial" w:cs="Arial"/>
          <w:sz w:val="24"/>
          <w:szCs w:val="24"/>
        </w:rPr>
        <w:t xml:space="preserve"> respondents in their capacities as duly </w:t>
      </w:r>
    </w:p>
    <w:p w14:paraId="40186CAD"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sz w:val="24"/>
          <w:szCs w:val="24"/>
        </w:rPr>
        <w:t xml:space="preserve">authorised trustees of the </w:t>
      </w:r>
    </w:p>
    <w:p w14:paraId="040E01CB"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b/>
          <w:sz w:val="24"/>
          <w:szCs w:val="24"/>
        </w:rPr>
        <w:t>WOLMARANS KINDER TRUST, IT962/1998</w:t>
      </w:r>
      <w:r w:rsidRPr="00AE7E43">
        <w:rPr>
          <w:rFonts w:ascii="Arial" w:hAnsi="Arial" w:cs="Arial"/>
          <w:sz w:val="24"/>
          <w:szCs w:val="24"/>
        </w:rPr>
        <w:t>]</w:t>
      </w:r>
    </w:p>
    <w:p w14:paraId="28676D2A"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p>
    <w:p w14:paraId="22D3A260"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b/>
          <w:sz w:val="24"/>
          <w:szCs w:val="24"/>
        </w:rPr>
        <w:t>C</w:t>
      </w:r>
      <w:r w:rsidR="006112D2" w:rsidRPr="00AE7E43">
        <w:rPr>
          <w:rFonts w:ascii="Arial" w:hAnsi="Arial" w:cs="Arial"/>
          <w:b/>
          <w:sz w:val="24"/>
          <w:szCs w:val="24"/>
        </w:rPr>
        <w:t>HRISTOFFEL PETRUS WOLMARANS</w:t>
      </w:r>
      <w:r w:rsidRPr="00AE7E43">
        <w:rPr>
          <w:rFonts w:ascii="Arial" w:hAnsi="Arial" w:cs="Arial"/>
          <w:b/>
          <w:sz w:val="24"/>
          <w:szCs w:val="24"/>
        </w:rPr>
        <w:tab/>
      </w:r>
      <w:r w:rsidRPr="00AE7E43">
        <w:rPr>
          <w:rFonts w:ascii="Arial" w:hAnsi="Arial" w:cs="Arial"/>
          <w:b/>
          <w:sz w:val="24"/>
          <w:szCs w:val="24"/>
        </w:rPr>
        <w:tab/>
      </w:r>
      <w:r w:rsidRPr="00AE7E43">
        <w:rPr>
          <w:rFonts w:ascii="Arial" w:hAnsi="Arial" w:cs="Arial"/>
          <w:b/>
          <w:sz w:val="24"/>
          <w:szCs w:val="24"/>
        </w:rPr>
        <w:tab/>
      </w:r>
      <w:r w:rsidRPr="00AE7E43">
        <w:rPr>
          <w:rFonts w:ascii="Arial" w:hAnsi="Arial" w:cs="Arial"/>
          <w:b/>
          <w:sz w:val="24"/>
          <w:szCs w:val="24"/>
        </w:rPr>
        <w:tab/>
      </w:r>
      <w:r w:rsidRPr="00AE7E43">
        <w:rPr>
          <w:rFonts w:ascii="Arial" w:hAnsi="Arial" w:cs="Arial"/>
          <w:b/>
          <w:sz w:val="24"/>
          <w:szCs w:val="24"/>
        </w:rPr>
        <w:tab/>
      </w:r>
      <w:r w:rsidRPr="00AE7E43">
        <w:rPr>
          <w:rFonts w:ascii="Arial" w:hAnsi="Arial" w:cs="Arial"/>
          <w:b/>
          <w:sz w:val="24"/>
          <w:szCs w:val="24"/>
        </w:rPr>
        <w:tab/>
      </w:r>
      <w:r w:rsidR="007C498E" w:rsidRPr="00AE7E43">
        <w:rPr>
          <w:rFonts w:ascii="Arial" w:hAnsi="Arial" w:cs="Arial"/>
          <w:sz w:val="24"/>
          <w:szCs w:val="24"/>
        </w:rPr>
        <w:t>5</w:t>
      </w:r>
      <w:r w:rsidRPr="00AE7E43">
        <w:rPr>
          <w:rFonts w:ascii="Arial" w:hAnsi="Arial" w:cs="Arial"/>
          <w:sz w:val="24"/>
          <w:szCs w:val="24"/>
          <w:vertAlign w:val="superscript"/>
        </w:rPr>
        <w:t>th</w:t>
      </w:r>
      <w:r w:rsidRPr="00AE7E43">
        <w:rPr>
          <w:rFonts w:ascii="Arial" w:hAnsi="Arial" w:cs="Arial"/>
          <w:sz w:val="24"/>
          <w:szCs w:val="24"/>
        </w:rPr>
        <w:t xml:space="preserve"> Respondent</w:t>
      </w:r>
    </w:p>
    <w:p w14:paraId="2C09069B"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sz w:val="24"/>
          <w:szCs w:val="24"/>
        </w:rPr>
        <w:t>(Identity number:  580507 5033 081)</w:t>
      </w:r>
    </w:p>
    <w:p w14:paraId="714F37F4"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14:paraId="07228F12" w14:textId="77777777" w:rsidR="00920DC6" w:rsidRPr="00AE7E43" w:rsidRDefault="006112D2"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b/>
          <w:sz w:val="24"/>
          <w:szCs w:val="24"/>
        </w:rPr>
        <w:t>EMERENTIA WOLMARANS</w:t>
      </w:r>
      <w:r w:rsidR="00920DC6" w:rsidRPr="00AE7E43">
        <w:rPr>
          <w:rFonts w:ascii="Arial" w:hAnsi="Arial" w:cs="Arial"/>
          <w:b/>
          <w:sz w:val="24"/>
          <w:szCs w:val="24"/>
        </w:rPr>
        <w:tab/>
      </w:r>
      <w:r w:rsidR="00920DC6" w:rsidRPr="00AE7E43">
        <w:rPr>
          <w:rFonts w:ascii="Arial" w:hAnsi="Arial" w:cs="Arial"/>
          <w:b/>
          <w:sz w:val="24"/>
          <w:szCs w:val="24"/>
        </w:rPr>
        <w:tab/>
      </w:r>
      <w:r w:rsidR="00920DC6" w:rsidRPr="00AE7E43">
        <w:rPr>
          <w:rFonts w:ascii="Arial" w:hAnsi="Arial" w:cs="Arial"/>
          <w:b/>
          <w:sz w:val="24"/>
          <w:szCs w:val="24"/>
        </w:rPr>
        <w:tab/>
      </w:r>
      <w:r w:rsidR="00920DC6" w:rsidRPr="00AE7E43">
        <w:rPr>
          <w:rFonts w:ascii="Arial" w:hAnsi="Arial" w:cs="Arial"/>
          <w:b/>
          <w:sz w:val="24"/>
          <w:szCs w:val="24"/>
        </w:rPr>
        <w:tab/>
      </w:r>
      <w:r w:rsidR="00920DC6" w:rsidRPr="00AE7E43">
        <w:rPr>
          <w:rFonts w:ascii="Arial" w:hAnsi="Arial" w:cs="Arial"/>
          <w:b/>
          <w:sz w:val="24"/>
          <w:szCs w:val="24"/>
        </w:rPr>
        <w:tab/>
      </w:r>
      <w:r w:rsidR="00920DC6" w:rsidRPr="00AE7E43">
        <w:rPr>
          <w:rFonts w:ascii="Arial" w:hAnsi="Arial" w:cs="Arial"/>
          <w:b/>
          <w:sz w:val="24"/>
          <w:szCs w:val="24"/>
        </w:rPr>
        <w:tab/>
      </w:r>
      <w:r w:rsidR="00920DC6" w:rsidRPr="00AE7E43">
        <w:rPr>
          <w:rFonts w:ascii="Arial" w:hAnsi="Arial" w:cs="Arial"/>
          <w:b/>
          <w:sz w:val="24"/>
          <w:szCs w:val="24"/>
        </w:rPr>
        <w:tab/>
      </w:r>
      <w:r w:rsidR="006D393C" w:rsidRPr="00AE7E43">
        <w:rPr>
          <w:rFonts w:ascii="Arial" w:hAnsi="Arial" w:cs="Arial"/>
          <w:b/>
          <w:sz w:val="24"/>
          <w:szCs w:val="24"/>
        </w:rPr>
        <w:tab/>
      </w:r>
      <w:r w:rsidR="007C498E" w:rsidRPr="00AE7E43">
        <w:rPr>
          <w:rFonts w:ascii="Arial" w:hAnsi="Arial" w:cs="Arial"/>
          <w:sz w:val="24"/>
          <w:szCs w:val="24"/>
        </w:rPr>
        <w:t>6</w:t>
      </w:r>
      <w:r w:rsidR="00920DC6" w:rsidRPr="00AE7E43">
        <w:rPr>
          <w:rFonts w:ascii="Arial" w:hAnsi="Arial" w:cs="Arial"/>
          <w:sz w:val="24"/>
          <w:szCs w:val="24"/>
          <w:vertAlign w:val="superscript"/>
        </w:rPr>
        <w:t>th</w:t>
      </w:r>
      <w:r w:rsidR="00920DC6" w:rsidRPr="00AE7E43">
        <w:rPr>
          <w:rFonts w:ascii="Arial" w:hAnsi="Arial" w:cs="Arial"/>
          <w:sz w:val="24"/>
          <w:szCs w:val="24"/>
        </w:rPr>
        <w:t xml:space="preserve"> Respondent</w:t>
      </w:r>
    </w:p>
    <w:p w14:paraId="53D749BB" w14:textId="77777777" w:rsidR="00920DC6" w:rsidRPr="00AE7E43" w:rsidRDefault="00920DC6" w:rsidP="001E4D6E">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AE7E43">
        <w:rPr>
          <w:rFonts w:ascii="Arial" w:hAnsi="Arial" w:cs="Arial"/>
          <w:sz w:val="24"/>
          <w:szCs w:val="24"/>
        </w:rPr>
        <w:t>(Identity number:  591127 0020 087)</w:t>
      </w:r>
    </w:p>
    <w:p w14:paraId="05345A83" w14:textId="77777777" w:rsidR="00F8693A" w:rsidRPr="00AE7E43" w:rsidRDefault="00F8693A" w:rsidP="001E4D6E">
      <w:pPr>
        <w:pStyle w:val="BodyAA"/>
        <w:spacing w:after="0" w:line="240" w:lineRule="auto"/>
        <w:jc w:val="both"/>
        <w:rPr>
          <w:rFonts w:ascii="Arial" w:hAnsi="Arial" w:cs="Arial"/>
          <w:color w:val="auto"/>
          <w:sz w:val="24"/>
          <w:szCs w:val="24"/>
          <w:lang w:val="en-ZA"/>
        </w:rPr>
      </w:pPr>
      <w:r w:rsidRPr="00AE7E43">
        <w:rPr>
          <w:rFonts w:ascii="Arial" w:hAnsi="Arial" w:cs="Arial"/>
          <w:noProof/>
          <w:color w:val="auto"/>
          <w:sz w:val="24"/>
          <w:szCs w:val="24"/>
          <w:lang w:val="en-ZA"/>
        </w:rPr>
        <mc:AlternateContent>
          <mc:Choice Requires="wps">
            <w:drawing>
              <wp:inline distT="0" distB="0" distL="0" distR="0" wp14:anchorId="7C653A78" wp14:editId="52810CD2">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56AB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4810352" w14:textId="77777777" w:rsidR="00F8693A" w:rsidRPr="00AE7E43" w:rsidRDefault="00F8693A" w:rsidP="001E4D6E">
      <w:pPr>
        <w:spacing w:after="0" w:line="240" w:lineRule="auto"/>
        <w:jc w:val="both"/>
        <w:rPr>
          <w:rFonts w:ascii="Arial" w:hAnsi="Arial" w:cs="Arial"/>
          <w:b/>
          <w:sz w:val="24"/>
          <w:szCs w:val="24"/>
          <w:u w:val="single"/>
        </w:rPr>
      </w:pPr>
    </w:p>
    <w:p w14:paraId="24692F51" w14:textId="77777777" w:rsidR="00F8693A" w:rsidRPr="00AE7E43" w:rsidRDefault="00F8693A" w:rsidP="001E4D6E">
      <w:pPr>
        <w:tabs>
          <w:tab w:val="left" w:pos="2977"/>
        </w:tabs>
        <w:spacing w:after="0" w:line="240" w:lineRule="auto"/>
        <w:jc w:val="both"/>
        <w:rPr>
          <w:rFonts w:ascii="Arial" w:hAnsi="Arial" w:cs="Arial"/>
          <w:sz w:val="24"/>
          <w:szCs w:val="24"/>
        </w:rPr>
      </w:pPr>
      <w:r w:rsidRPr="00AE7E43">
        <w:rPr>
          <w:rFonts w:ascii="Arial" w:hAnsi="Arial" w:cs="Arial"/>
          <w:b/>
          <w:sz w:val="24"/>
          <w:szCs w:val="24"/>
          <w:u w:val="single"/>
        </w:rPr>
        <w:t>CORAM</w:t>
      </w:r>
      <w:r w:rsidRPr="00AE7E43">
        <w:rPr>
          <w:rFonts w:ascii="Arial" w:hAnsi="Arial" w:cs="Arial"/>
          <w:b/>
          <w:sz w:val="24"/>
          <w:szCs w:val="24"/>
        </w:rPr>
        <w:t>:</w:t>
      </w:r>
      <w:r w:rsidR="00A21218" w:rsidRPr="00AE7E43">
        <w:rPr>
          <w:rFonts w:ascii="Arial" w:hAnsi="Arial" w:cs="Arial"/>
          <w:b/>
          <w:sz w:val="24"/>
          <w:szCs w:val="24"/>
        </w:rPr>
        <w:tab/>
      </w:r>
      <w:r w:rsidR="00180A47" w:rsidRPr="00AE7E43">
        <w:rPr>
          <w:rFonts w:ascii="Arial" w:hAnsi="Arial" w:cs="Arial"/>
          <w:sz w:val="24"/>
          <w:szCs w:val="24"/>
        </w:rPr>
        <w:t>JP</w:t>
      </w:r>
      <w:r w:rsidR="00180A47" w:rsidRPr="00AE7E43">
        <w:rPr>
          <w:rFonts w:ascii="Arial" w:hAnsi="Arial" w:cs="Arial"/>
          <w:b/>
          <w:sz w:val="24"/>
          <w:szCs w:val="24"/>
        </w:rPr>
        <w:t xml:space="preserve"> </w:t>
      </w:r>
      <w:r w:rsidRPr="00AE7E43">
        <w:rPr>
          <w:rFonts w:ascii="Arial" w:hAnsi="Arial" w:cs="Arial"/>
          <w:sz w:val="24"/>
          <w:szCs w:val="24"/>
        </w:rPr>
        <w:t xml:space="preserve">DAFFUE </w:t>
      </w:r>
      <w:r w:rsidR="00180A47" w:rsidRPr="00AE7E43">
        <w:rPr>
          <w:rFonts w:ascii="Arial" w:hAnsi="Arial" w:cs="Arial"/>
          <w:sz w:val="24"/>
          <w:szCs w:val="24"/>
        </w:rPr>
        <w:t>J</w:t>
      </w:r>
    </w:p>
    <w:p w14:paraId="7248F7B0" w14:textId="77777777" w:rsidR="00F8693A" w:rsidRPr="00AE7E43" w:rsidRDefault="00F8693A" w:rsidP="001E4D6E">
      <w:pPr>
        <w:pStyle w:val="BodyAA"/>
        <w:tabs>
          <w:tab w:val="left" w:pos="2977"/>
        </w:tabs>
        <w:spacing w:after="0" w:line="240" w:lineRule="auto"/>
        <w:jc w:val="both"/>
        <w:rPr>
          <w:rFonts w:ascii="Arial" w:hAnsi="Arial" w:cs="Arial"/>
          <w:color w:val="auto"/>
          <w:sz w:val="24"/>
          <w:szCs w:val="24"/>
          <w:lang w:val="en-ZA"/>
        </w:rPr>
      </w:pPr>
      <w:r w:rsidRPr="00AE7E43">
        <w:rPr>
          <w:rFonts w:ascii="Arial" w:hAnsi="Arial" w:cs="Arial"/>
          <w:noProof/>
          <w:color w:val="auto"/>
          <w:sz w:val="24"/>
          <w:szCs w:val="24"/>
          <w:lang w:val="en-ZA"/>
        </w:rPr>
        <mc:AlternateContent>
          <mc:Choice Requires="wps">
            <w:drawing>
              <wp:inline distT="0" distB="0" distL="0" distR="0" wp14:anchorId="3BD5BE9D" wp14:editId="11FE5D36">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C62F8"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452FCCA" w14:textId="77777777" w:rsidR="00F8693A" w:rsidRPr="00AE7E43" w:rsidRDefault="00F8693A" w:rsidP="001E4D6E">
      <w:pPr>
        <w:tabs>
          <w:tab w:val="left" w:pos="2977"/>
        </w:tabs>
        <w:spacing w:after="0" w:line="240" w:lineRule="auto"/>
        <w:jc w:val="both"/>
        <w:rPr>
          <w:rFonts w:ascii="Arial" w:hAnsi="Arial" w:cs="Arial"/>
          <w:b/>
          <w:sz w:val="24"/>
          <w:szCs w:val="24"/>
          <w:u w:val="single"/>
        </w:rPr>
      </w:pPr>
    </w:p>
    <w:p w14:paraId="2EB8DA47" w14:textId="77777777" w:rsidR="00F8693A" w:rsidRPr="00AE7E43" w:rsidRDefault="00F8693A" w:rsidP="001E4D6E">
      <w:pPr>
        <w:tabs>
          <w:tab w:val="left" w:pos="2977"/>
        </w:tabs>
        <w:spacing w:after="0" w:line="240" w:lineRule="auto"/>
        <w:jc w:val="both"/>
        <w:rPr>
          <w:rFonts w:ascii="Arial" w:hAnsi="Arial" w:cs="Arial"/>
          <w:sz w:val="24"/>
          <w:szCs w:val="24"/>
        </w:rPr>
      </w:pPr>
      <w:r w:rsidRPr="00AE7E43">
        <w:rPr>
          <w:rFonts w:ascii="Arial" w:hAnsi="Arial" w:cs="Arial"/>
          <w:b/>
          <w:sz w:val="24"/>
          <w:szCs w:val="24"/>
          <w:u w:val="single"/>
        </w:rPr>
        <w:t>HEARD ON</w:t>
      </w:r>
      <w:r w:rsidRPr="00AE7E43">
        <w:rPr>
          <w:rFonts w:ascii="Arial" w:hAnsi="Arial" w:cs="Arial"/>
          <w:b/>
          <w:sz w:val="24"/>
          <w:szCs w:val="24"/>
        </w:rPr>
        <w:t>:</w:t>
      </w:r>
      <w:r w:rsidR="00A21218" w:rsidRPr="00AE7E43">
        <w:rPr>
          <w:rFonts w:ascii="Arial" w:hAnsi="Arial" w:cs="Arial"/>
          <w:b/>
          <w:sz w:val="24"/>
          <w:szCs w:val="24"/>
        </w:rPr>
        <w:tab/>
      </w:r>
      <w:r w:rsidR="00801038" w:rsidRPr="00AE7E43">
        <w:rPr>
          <w:rFonts w:ascii="Arial" w:hAnsi="Arial" w:cs="Arial"/>
          <w:sz w:val="24"/>
          <w:szCs w:val="24"/>
        </w:rPr>
        <w:t xml:space="preserve">17 MARCH </w:t>
      </w:r>
      <w:r w:rsidR="00180A47" w:rsidRPr="00AE7E43">
        <w:rPr>
          <w:rFonts w:ascii="Arial" w:hAnsi="Arial" w:cs="Arial"/>
          <w:sz w:val="24"/>
          <w:szCs w:val="24"/>
        </w:rPr>
        <w:t>2022</w:t>
      </w:r>
    </w:p>
    <w:p w14:paraId="049AAA3E" w14:textId="77777777" w:rsidR="00F8693A" w:rsidRPr="00AE7E43" w:rsidRDefault="00F8693A" w:rsidP="001E4D6E">
      <w:pPr>
        <w:pStyle w:val="BodyAA"/>
        <w:tabs>
          <w:tab w:val="left" w:pos="2977"/>
        </w:tabs>
        <w:spacing w:after="0" w:line="240" w:lineRule="auto"/>
        <w:jc w:val="both"/>
        <w:rPr>
          <w:rFonts w:ascii="Arial" w:hAnsi="Arial" w:cs="Arial"/>
          <w:color w:val="auto"/>
          <w:sz w:val="24"/>
          <w:szCs w:val="24"/>
          <w:lang w:val="en-ZA"/>
        </w:rPr>
      </w:pPr>
      <w:r w:rsidRPr="00AE7E43">
        <w:rPr>
          <w:rFonts w:ascii="Arial" w:hAnsi="Arial" w:cs="Arial"/>
          <w:noProof/>
          <w:color w:val="auto"/>
          <w:sz w:val="24"/>
          <w:szCs w:val="24"/>
          <w:lang w:val="en-ZA"/>
        </w:rPr>
        <mc:AlternateContent>
          <mc:Choice Requires="wps">
            <w:drawing>
              <wp:inline distT="0" distB="0" distL="0" distR="0" wp14:anchorId="664AA1BA" wp14:editId="582B56DA">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0577D"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3C81B4D6" w14:textId="77777777" w:rsidR="00F8693A" w:rsidRPr="00AE7E43" w:rsidRDefault="00F8693A" w:rsidP="001E4D6E">
      <w:pPr>
        <w:tabs>
          <w:tab w:val="left" w:pos="2977"/>
        </w:tabs>
        <w:spacing w:after="0" w:line="240" w:lineRule="auto"/>
        <w:jc w:val="both"/>
        <w:rPr>
          <w:rFonts w:ascii="Arial" w:hAnsi="Arial" w:cs="Arial"/>
          <w:b/>
          <w:sz w:val="24"/>
          <w:szCs w:val="24"/>
          <w:u w:val="single"/>
        </w:rPr>
      </w:pPr>
    </w:p>
    <w:p w14:paraId="570344F1" w14:textId="77777777" w:rsidR="00F8693A" w:rsidRPr="00AE7E43" w:rsidRDefault="00F8693A" w:rsidP="001E4D6E">
      <w:pPr>
        <w:tabs>
          <w:tab w:val="left" w:pos="2977"/>
        </w:tabs>
        <w:spacing w:after="0" w:line="240" w:lineRule="auto"/>
        <w:jc w:val="both"/>
        <w:rPr>
          <w:rFonts w:ascii="Arial" w:hAnsi="Arial" w:cs="Arial"/>
          <w:sz w:val="24"/>
          <w:szCs w:val="24"/>
        </w:rPr>
      </w:pPr>
      <w:r w:rsidRPr="00AE7E43">
        <w:rPr>
          <w:rFonts w:ascii="Arial" w:hAnsi="Arial" w:cs="Arial"/>
          <w:b/>
          <w:sz w:val="24"/>
          <w:szCs w:val="24"/>
          <w:u w:val="single"/>
        </w:rPr>
        <w:t>DELIVERED ON</w:t>
      </w:r>
      <w:r w:rsidRPr="00AE7E43">
        <w:rPr>
          <w:rFonts w:ascii="Arial" w:hAnsi="Arial" w:cs="Arial"/>
          <w:b/>
          <w:sz w:val="24"/>
          <w:szCs w:val="24"/>
        </w:rPr>
        <w:t>:</w:t>
      </w:r>
      <w:r w:rsidR="00A21218" w:rsidRPr="00AE7E43">
        <w:rPr>
          <w:rFonts w:ascii="Arial" w:hAnsi="Arial" w:cs="Arial"/>
          <w:b/>
          <w:sz w:val="24"/>
          <w:szCs w:val="24"/>
        </w:rPr>
        <w:tab/>
      </w:r>
      <w:r w:rsidR="005E6CA3" w:rsidRPr="00AE7E43">
        <w:rPr>
          <w:rFonts w:ascii="Arial" w:hAnsi="Arial" w:cs="Arial"/>
          <w:sz w:val="24"/>
          <w:szCs w:val="24"/>
        </w:rPr>
        <w:t>16</w:t>
      </w:r>
      <w:r w:rsidR="00801038" w:rsidRPr="00AE7E43">
        <w:rPr>
          <w:rFonts w:ascii="Arial" w:hAnsi="Arial" w:cs="Arial"/>
          <w:sz w:val="24"/>
          <w:szCs w:val="24"/>
        </w:rPr>
        <w:t xml:space="preserve"> </w:t>
      </w:r>
      <w:r w:rsidR="00C6620A" w:rsidRPr="00AE7E43">
        <w:rPr>
          <w:rFonts w:ascii="Arial" w:hAnsi="Arial" w:cs="Arial"/>
          <w:sz w:val="24"/>
          <w:szCs w:val="24"/>
        </w:rPr>
        <w:t>MAY</w:t>
      </w:r>
      <w:r w:rsidR="00530B77" w:rsidRPr="00AE7E43">
        <w:rPr>
          <w:rFonts w:ascii="Arial" w:hAnsi="Arial" w:cs="Arial"/>
          <w:sz w:val="24"/>
          <w:szCs w:val="24"/>
        </w:rPr>
        <w:t xml:space="preserve"> </w:t>
      </w:r>
      <w:r w:rsidR="00D222EC" w:rsidRPr="00AE7E43">
        <w:rPr>
          <w:rFonts w:ascii="Arial" w:hAnsi="Arial" w:cs="Arial"/>
          <w:sz w:val="24"/>
          <w:szCs w:val="24"/>
        </w:rPr>
        <w:t>2022</w:t>
      </w:r>
    </w:p>
    <w:p w14:paraId="3378AB2B" w14:textId="77777777" w:rsidR="00F8693A" w:rsidRPr="00AE7E43" w:rsidRDefault="00F8693A" w:rsidP="001E4D6E">
      <w:pPr>
        <w:tabs>
          <w:tab w:val="left" w:pos="2835"/>
          <w:tab w:val="left" w:pos="2977"/>
        </w:tabs>
        <w:spacing w:after="0" w:line="240" w:lineRule="auto"/>
        <w:jc w:val="both"/>
        <w:rPr>
          <w:rFonts w:ascii="Arial" w:hAnsi="Arial" w:cs="Arial"/>
          <w:sz w:val="24"/>
          <w:szCs w:val="24"/>
        </w:rPr>
      </w:pPr>
    </w:p>
    <w:p w14:paraId="374B4D64" w14:textId="77777777" w:rsidR="00F8693A" w:rsidRPr="00AE7E43" w:rsidRDefault="00F8693A" w:rsidP="001E4D6E">
      <w:pPr>
        <w:tabs>
          <w:tab w:val="left" w:pos="2835"/>
          <w:tab w:val="left" w:pos="2977"/>
        </w:tabs>
        <w:spacing w:after="0" w:line="240" w:lineRule="auto"/>
        <w:jc w:val="both"/>
        <w:rPr>
          <w:rFonts w:ascii="Arial" w:hAnsi="Arial" w:cs="Arial"/>
          <w:sz w:val="24"/>
          <w:szCs w:val="24"/>
        </w:rPr>
      </w:pPr>
      <w:r w:rsidRPr="00AE7E43">
        <w:rPr>
          <w:rFonts w:ascii="Arial" w:hAnsi="Arial" w:cs="Arial"/>
          <w:sz w:val="24"/>
          <w:szCs w:val="24"/>
        </w:rPr>
        <w:t xml:space="preserve">This judgment was handed down electronically by circulation to the parties’ representatives by email, and release to SAFLII.  The date and time for hand-down is deemed to be </w:t>
      </w:r>
      <w:r w:rsidR="00CC2CEC" w:rsidRPr="00AE7E43">
        <w:rPr>
          <w:rFonts w:ascii="Arial" w:hAnsi="Arial" w:cs="Arial"/>
          <w:sz w:val="24"/>
          <w:szCs w:val="24"/>
        </w:rPr>
        <w:t>16</w:t>
      </w:r>
      <w:r w:rsidR="00573A60" w:rsidRPr="00AE7E43">
        <w:rPr>
          <w:rFonts w:ascii="Arial" w:hAnsi="Arial" w:cs="Arial"/>
          <w:sz w:val="24"/>
          <w:szCs w:val="24"/>
        </w:rPr>
        <w:t>h00</w:t>
      </w:r>
      <w:r w:rsidR="009B4215" w:rsidRPr="00AE7E43">
        <w:rPr>
          <w:rFonts w:ascii="Arial" w:hAnsi="Arial" w:cs="Arial"/>
          <w:sz w:val="24"/>
          <w:szCs w:val="24"/>
        </w:rPr>
        <w:t xml:space="preserve"> </w:t>
      </w:r>
      <w:r w:rsidRPr="00AE7E43">
        <w:rPr>
          <w:rFonts w:ascii="Arial" w:hAnsi="Arial" w:cs="Arial"/>
          <w:sz w:val="24"/>
          <w:szCs w:val="24"/>
        </w:rPr>
        <w:t xml:space="preserve">on </w:t>
      </w:r>
      <w:r w:rsidR="005E6CA3" w:rsidRPr="00AE7E43">
        <w:rPr>
          <w:rFonts w:ascii="Arial" w:hAnsi="Arial" w:cs="Arial"/>
          <w:sz w:val="24"/>
          <w:szCs w:val="24"/>
        </w:rPr>
        <w:t>1</w:t>
      </w:r>
      <w:r w:rsidR="00B76822" w:rsidRPr="00AE7E43">
        <w:rPr>
          <w:rFonts w:ascii="Arial" w:hAnsi="Arial" w:cs="Arial"/>
          <w:sz w:val="24"/>
          <w:szCs w:val="24"/>
        </w:rPr>
        <w:t>6</w:t>
      </w:r>
      <w:r w:rsidR="002673A3" w:rsidRPr="00AE7E43">
        <w:rPr>
          <w:rFonts w:ascii="Arial" w:hAnsi="Arial" w:cs="Arial"/>
          <w:sz w:val="24"/>
          <w:szCs w:val="24"/>
        </w:rPr>
        <w:t xml:space="preserve"> </w:t>
      </w:r>
      <w:r w:rsidR="00C6620A" w:rsidRPr="00AE7E43">
        <w:rPr>
          <w:rFonts w:ascii="Arial" w:hAnsi="Arial" w:cs="Arial"/>
          <w:sz w:val="24"/>
          <w:szCs w:val="24"/>
        </w:rPr>
        <w:t>May</w:t>
      </w:r>
      <w:r w:rsidR="00530B77" w:rsidRPr="00AE7E43">
        <w:rPr>
          <w:rFonts w:ascii="Arial" w:hAnsi="Arial" w:cs="Arial"/>
          <w:sz w:val="24"/>
          <w:szCs w:val="24"/>
        </w:rPr>
        <w:t xml:space="preserve"> </w:t>
      </w:r>
      <w:r w:rsidR="00EA0C23" w:rsidRPr="00AE7E43">
        <w:rPr>
          <w:rFonts w:ascii="Arial" w:hAnsi="Arial" w:cs="Arial"/>
          <w:sz w:val="24"/>
          <w:szCs w:val="24"/>
        </w:rPr>
        <w:t>2022.</w:t>
      </w:r>
    </w:p>
    <w:p w14:paraId="5EE4B4B7" w14:textId="77777777" w:rsidR="00F8693A" w:rsidRPr="00AE7E43" w:rsidRDefault="00F8693A" w:rsidP="001E4D6E">
      <w:pPr>
        <w:pStyle w:val="BodyAA"/>
        <w:spacing w:after="0" w:line="240" w:lineRule="auto"/>
        <w:jc w:val="both"/>
        <w:rPr>
          <w:rFonts w:ascii="Arial" w:hAnsi="Arial" w:cs="Arial"/>
          <w:color w:val="auto"/>
          <w:sz w:val="24"/>
          <w:szCs w:val="24"/>
          <w:lang w:val="en-ZA"/>
        </w:rPr>
      </w:pPr>
      <w:r w:rsidRPr="00AE7E43">
        <w:rPr>
          <w:rFonts w:ascii="Arial" w:hAnsi="Arial" w:cs="Arial"/>
          <w:noProof/>
          <w:color w:val="auto"/>
          <w:sz w:val="24"/>
          <w:szCs w:val="24"/>
          <w:lang w:val="en-ZA"/>
        </w:rPr>
        <mc:AlternateContent>
          <mc:Choice Requires="wps">
            <w:drawing>
              <wp:inline distT="0" distB="0" distL="0" distR="0" wp14:anchorId="11AFD3D2" wp14:editId="215DE4F9">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CF8C5"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" fillcolor="#a0a0a0" stroked="f" strokeweight="1pt">
                <v:stroke miterlimit="4"/>
                <w10:anchorlock/>
              </v:rect>
            </w:pict>
          </mc:Fallback>
        </mc:AlternateContent>
      </w:r>
    </w:p>
    <w:p w14:paraId="06F5C3F3" w14:textId="77777777" w:rsidR="00180A47" w:rsidRPr="00AE7E43" w:rsidRDefault="00180A47" w:rsidP="001E4D6E">
      <w:pPr>
        <w:spacing w:after="0" w:line="240" w:lineRule="auto"/>
        <w:ind w:left="851" w:hanging="851"/>
        <w:jc w:val="both"/>
        <w:rPr>
          <w:rFonts w:ascii="Arial" w:hAnsi="Arial" w:cs="Arial"/>
          <w:b/>
          <w:sz w:val="24"/>
          <w:szCs w:val="24"/>
        </w:rPr>
      </w:pPr>
    </w:p>
    <w:p w14:paraId="1D6AF13C" w14:textId="77777777" w:rsidR="00670AFA" w:rsidRPr="00AE7E43" w:rsidRDefault="00670AFA" w:rsidP="001E4D6E">
      <w:pPr>
        <w:spacing w:after="0" w:line="240" w:lineRule="auto"/>
        <w:ind w:left="851" w:hanging="851"/>
        <w:jc w:val="both"/>
        <w:rPr>
          <w:rFonts w:ascii="Arial" w:hAnsi="Arial" w:cs="Arial"/>
          <w:b/>
          <w:sz w:val="24"/>
          <w:szCs w:val="24"/>
        </w:rPr>
      </w:pPr>
    </w:p>
    <w:p w14:paraId="2AB547DD" w14:textId="77777777" w:rsidR="001E00AF" w:rsidRPr="00AE7E43" w:rsidRDefault="001E00AF"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lastRenderedPageBreak/>
        <w:t>I</w:t>
      </w:r>
      <w:r w:rsidRPr="00AE7E43">
        <w:rPr>
          <w:rFonts w:ascii="Arial" w:hAnsi="Arial" w:cs="Arial"/>
          <w:b/>
          <w:bCs/>
          <w:sz w:val="24"/>
          <w:szCs w:val="24"/>
        </w:rPr>
        <w:tab/>
        <w:t>INTRODUCTION</w:t>
      </w:r>
    </w:p>
    <w:p w14:paraId="0792C48D" w14:textId="77777777" w:rsidR="001E00AF" w:rsidRPr="00AE7E43" w:rsidRDefault="001E00AF" w:rsidP="001E4D6E">
      <w:pPr>
        <w:spacing w:after="0" w:line="360" w:lineRule="auto"/>
        <w:ind w:left="993" w:hanging="993"/>
        <w:jc w:val="both"/>
        <w:rPr>
          <w:rFonts w:ascii="Arial" w:hAnsi="Arial" w:cs="Arial"/>
          <w:sz w:val="24"/>
          <w:szCs w:val="24"/>
        </w:rPr>
      </w:pPr>
    </w:p>
    <w:p w14:paraId="248B11D7" w14:textId="77777777" w:rsidR="001E00AF" w:rsidRPr="00AE7E43" w:rsidRDefault="001E00AF" w:rsidP="001E4D6E">
      <w:pPr>
        <w:spacing w:after="0" w:line="360" w:lineRule="auto"/>
        <w:ind w:left="993" w:hanging="993"/>
        <w:jc w:val="both"/>
        <w:rPr>
          <w:rFonts w:ascii="Arial" w:hAnsi="Arial" w:cs="Arial"/>
          <w:sz w:val="24"/>
          <w:szCs w:val="24"/>
        </w:rPr>
      </w:pPr>
      <w:r w:rsidRPr="00AE7E43">
        <w:rPr>
          <w:rFonts w:ascii="Arial" w:hAnsi="Arial" w:cs="Arial"/>
          <w:sz w:val="24"/>
          <w:szCs w:val="24"/>
        </w:rPr>
        <w:t>[1]</w:t>
      </w:r>
      <w:r w:rsidRPr="00AE7E43">
        <w:rPr>
          <w:rFonts w:ascii="Arial" w:hAnsi="Arial" w:cs="Arial"/>
          <w:sz w:val="24"/>
          <w:szCs w:val="24"/>
        </w:rPr>
        <w:tab/>
        <w:t xml:space="preserve">This is yet again another application by a registered </w:t>
      </w:r>
      <w:r w:rsidR="002673A3" w:rsidRPr="00AE7E43">
        <w:rPr>
          <w:rFonts w:ascii="Arial" w:hAnsi="Arial" w:cs="Arial"/>
          <w:sz w:val="24"/>
          <w:szCs w:val="24"/>
        </w:rPr>
        <w:t xml:space="preserve">bank and </w:t>
      </w:r>
      <w:r w:rsidRPr="00AE7E43">
        <w:rPr>
          <w:rFonts w:ascii="Arial" w:hAnsi="Arial" w:cs="Arial"/>
          <w:sz w:val="24"/>
          <w:szCs w:val="24"/>
        </w:rPr>
        <w:t>credi</w:t>
      </w:r>
      <w:r w:rsidR="007C498E" w:rsidRPr="00AE7E43">
        <w:rPr>
          <w:rFonts w:ascii="Arial" w:hAnsi="Arial" w:cs="Arial"/>
          <w:sz w:val="24"/>
          <w:szCs w:val="24"/>
        </w:rPr>
        <w:t>t provider for payment of money</w:t>
      </w:r>
      <w:r w:rsidR="002673A3" w:rsidRPr="00AE7E43">
        <w:rPr>
          <w:rFonts w:ascii="Arial" w:hAnsi="Arial" w:cs="Arial"/>
          <w:sz w:val="24"/>
          <w:szCs w:val="24"/>
        </w:rPr>
        <w:t xml:space="preserve"> due and payable</w:t>
      </w:r>
      <w:r w:rsidRPr="00AE7E43">
        <w:rPr>
          <w:rFonts w:ascii="Arial" w:hAnsi="Arial" w:cs="Arial"/>
          <w:sz w:val="24"/>
          <w:szCs w:val="24"/>
        </w:rPr>
        <w:t xml:space="preserve"> which application is resisted by the principal debtor</w:t>
      </w:r>
      <w:r w:rsidR="007C498E" w:rsidRPr="00AE7E43">
        <w:rPr>
          <w:rFonts w:ascii="Arial" w:hAnsi="Arial" w:cs="Arial"/>
          <w:sz w:val="24"/>
          <w:szCs w:val="24"/>
        </w:rPr>
        <w:t>s</w:t>
      </w:r>
      <w:r w:rsidRPr="00AE7E43">
        <w:rPr>
          <w:rFonts w:ascii="Arial" w:hAnsi="Arial" w:cs="Arial"/>
          <w:sz w:val="24"/>
          <w:szCs w:val="24"/>
        </w:rPr>
        <w:t xml:space="preserve"> and sureties</w:t>
      </w:r>
      <w:r w:rsidR="007C498E" w:rsidRPr="00AE7E43">
        <w:rPr>
          <w:rFonts w:ascii="Arial" w:hAnsi="Arial" w:cs="Arial"/>
          <w:sz w:val="24"/>
          <w:szCs w:val="24"/>
        </w:rPr>
        <w:t xml:space="preserve">, </w:t>
      </w:r>
      <w:r w:rsidRPr="00AE7E43">
        <w:rPr>
          <w:rFonts w:ascii="Arial" w:hAnsi="Arial" w:cs="Arial"/>
          <w:sz w:val="24"/>
          <w:szCs w:val="24"/>
        </w:rPr>
        <w:t xml:space="preserve">relying on numerous </w:t>
      </w:r>
      <w:r w:rsidR="007C498E" w:rsidRPr="00AE7E43">
        <w:rPr>
          <w:rFonts w:ascii="Arial" w:hAnsi="Arial" w:cs="Arial"/>
          <w:sz w:val="24"/>
          <w:szCs w:val="24"/>
        </w:rPr>
        <w:t>defences</w:t>
      </w:r>
      <w:r w:rsidRPr="00AE7E43">
        <w:rPr>
          <w:rFonts w:ascii="Arial" w:hAnsi="Arial" w:cs="Arial"/>
          <w:sz w:val="24"/>
          <w:szCs w:val="24"/>
        </w:rPr>
        <w:t xml:space="preserve"> allegedly afforded them </w:t>
      </w:r>
      <w:r w:rsidR="007C498E" w:rsidRPr="00AE7E43">
        <w:rPr>
          <w:rFonts w:ascii="Arial" w:hAnsi="Arial" w:cs="Arial"/>
          <w:sz w:val="24"/>
          <w:szCs w:val="24"/>
        </w:rPr>
        <w:t>by t</w:t>
      </w:r>
      <w:r w:rsidRPr="00AE7E43">
        <w:rPr>
          <w:rFonts w:ascii="Arial" w:hAnsi="Arial" w:cs="Arial"/>
          <w:sz w:val="24"/>
          <w:szCs w:val="24"/>
        </w:rPr>
        <w:t>he National Credit Act (</w:t>
      </w:r>
      <w:r w:rsidR="007C498E" w:rsidRPr="00AE7E43">
        <w:rPr>
          <w:rFonts w:ascii="Arial" w:hAnsi="Arial" w:cs="Arial"/>
          <w:sz w:val="24"/>
          <w:szCs w:val="24"/>
        </w:rPr>
        <w:t xml:space="preserve">“the </w:t>
      </w:r>
      <w:r w:rsidRPr="00AE7E43">
        <w:rPr>
          <w:rFonts w:ascii="Arial" w:hAnsi="Arial" w:cs="Arial"/>
          <w:sz w:val="24"/>
          <w:szCs w:val="24"/>
        </w:rPr>
        <w:t>NCA</w:t>
      </w:r>
      <w:r w:rsidR="007C498E" w:rsidRPr="00AE7E43">
        <w:rPr>
          <w:rFonts w:ascii="Arial" w:hAnsi="Arial" w:cs="Arial"/>
          <w:sz w:val="24"/>
          <w:szCs w:val="24"/>
        </w:rPr>
        <w:t>”</w:t>
      </w:r>
      <w:r w:rsidRPr="00AE7E43">
        <w:rPr>
          <w:rFonts w:ascii="Arial" w:hAnsi="Arial" w:cs="Arial"/>
          <w:sz w:val="24"/>
          <w:szCs w:val="24"/>
        </w:rPr>
        <w:t>).</w:t>
      </w:r>
      <w:r w:rsidRPr="00AE7E43">
        <w:rPr>
          <w:rStyle w:val="FootnoteReference"/>
          <w:rFonts w:ascii="Arial" w:hAnsi="Arial" w:cs="Arial"/>
          <w:sz w:val="24"/>
          <w:szCs w:val="24"/>
        </w:rPr>
        <w:footnoteReference w:id="1"/>
      </w:r>
      <w:r w:rsidRPr="00AE7E43">
        <w:rPr>
          <w:rFonts w:ascii="Arial" w:hAnsi="Arial" w:cs="Arial"/>
          <w:sz w:val="24"/>
          <w:szCs w:val="24"/>
        </w:rPr>
        <w:t xml:space="preserve"> </w:t>
      </w:r>
    </w:p>
    <w:p w14:paraId="06383CED" w14:textId="77777777" w:rsidR="001E00AF" w:rsidRPr="00AE7E43" w:rsidRDefault="001E00AF" w:rsidP="001E4D6E">
      <w:pPr>
        <w:spacing w:after="0" w:line="360" w:lineRule="auto"/>
        <w:ind w:left="993" w:hanging="993"/>
        <w:jc w:val="both"/>
        <w:rPr>
          <w:rFonts w:ascii="Arial" w:hAnsi="Arial" w:cs="Arial"/>
          <w:sz w:val="24"/>
          <w:szCs w:val="24"/>
        </w:rPr>
      </w:pPr>
    </w:p>
    <w:p w14:paraId="3685FF14" w14:textId="77777777" w:rsidR="001E00AF" w:rsidRPr="00AE7E43" w:rsidRDefault="001E00AF" w:rsidP="001E4D6E">
      <w:pPr>
        <w:spacing w:after="0" w:line="360" w:lineRule="auto"/>
        <w:ind w:left="993" w:hanging="993"/>
        <w:jc w:val="both"/>
        <w:rPr>
          <w:rFonts w:ascii="Arial" w:hAnsi="Arial" w:cs="Arial"/>
          <w:sz w:val="24"/>
          <w:szCs w:val="24"/>
        </w:rPr>
      </w:pPr>
      <w:r w:rsidRPr="00AE7E43">
        <w:rPr>
          <w:rFonts w:ascii="Arial" w:hAnsi="Arial" w:cs="Arial"/>
          <w:sz w:val="24"/>
          <w:szCs w:val="24"/>
        </w:rPr>
        <w:t>[2]</w:t>
      </w:r>
      <w:r w:rsidRPr="00AE7E43">
        <w:rPr>
          <w:rFonts w:ascii="Arial" w:hAnsi="Arial" w:cs="Arial"/>
          <w:sz w:val="24"/>
          <w:szCs w:val="24"/>
        </w:rPr>
        <w:tab/>
      </w:r>
      <w:r w:rsidRPr="00AE7E43">
        <w:rPr>
          <w:rFonts w:ascii="Arial" w:hAnsi="Arial" w:cs="Arial"/>
          <w:i/>
          <w:sz w:val="24"/>
          <w:szCs w:val="24"/>
        </w:rPr>
        <w:t xml:space="preserve">In </w:t>
      </w:r>
      <w:r w:rsidRPr="00AE7E43">
        <w:rPr>
          <w:rFonts w:ascii="Arial" w:hAnsi="Arial" w:cs="Arial"/>
          <w:i/>
          <w:iCs/>
          <w:sz w:val="24"/>
          <w:szCs w:val="24"/>
        </w:rPr>
        <w:t>casu</w:t>
      </w:r>
      <w:r w:rsidRPr="00AE7E43">
        <w:rPr>
          <w:rFonts w:ascii="Arial" w:hAnsi="Arial" w:cs="Arial"/>
          <w:sz w:val="24"/>
          <w:szCs w:val="24"/>
        </w:rPr>
        <w:t xml:space="preserve"> the matter differs from the usual applications of this kind insofar as the bank seeks relief based on a settlement agreement entered into between the parties which was made an order of court.</w:t>
      </w:r>
    </w:p>
    <w:p w14:paraId="4D9777D5" w14:textId="77777777" w:rsidR="001E00AF" w:rsidRPr="00AE7E43" w:rsidRDefault="001E00AF" w:rsidP="001E4D6E">
      <w:pPr>
        <w:spacing w:after="0" w:line="360" w:lineRule="auto"/>
        <w:ind w:left="993" w:hanging="993"/>
        <w:jc w:val="both"/>
        <w:rPr>
          <w:rFonts w:ascii="Arial" w:hAnsi="Arial" w:cs="Arial"/>
          <w:sz w:val="24"/>
          <w:szCs w:val="24"/>
        </w:rPr>
      </w:pPr>
    </w:p>
    <w:p w14:paraId="46DD10DA" w14:textId="77777777" w:rsidR="001E00AF" w:rsidRPr="00AE7E43" w:rsidRDefault="001E00AF"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II</w:t>
      </w:r>
      <w:r w:rsidRPr="00AE7E43">
        <w:rPr>
          <w:rFonts w:ascii="Arial" w:hAnsi="Arial" w:cs="Arial"/>
          <w:b/>
          <w:bCs/>
          <w:sz w:val="24"/>
          <w:szCs w:val="24"/>
        </w:rPr>
        <w:tab/>
        <w:t>THE PARTIES</w:t>
      </w:r>
    </w:p>
    <w:p w14:paraId="29DC594F" w14:textId="77777777" w:rsidR="001E00AF" w:rsidRPr="00AE7E43" w:rsidRDefault="001E00AF" w:rsidP="001E4D6E">
      <w:pPr>
        <w:spacing w:after="0" w:line="360" w:lineRule="auto"/>
        <w:ind w:left="993" w:hanging="993"/>
        <w:jc w:val="both"/>
        <w:rPr>
          <w:rFonts w:ascii="Arial" w:hAnsi="Arial" w:cs="Arial"/>
          <w:sz w:val="24"/>
          <w:szCs w:val="24"/>
        </w:rPr>
      </w:pPr>
    </w:p>
    <w:p w14:paraId="055AE493" w14:textId="77777777" w:rsidR="001E00AF" w:rsidRPr="00AE7E43" w:rsidRDefault="001E00AF" w:rsidP="001E4D6E">
      <w:pPr>
        <w:spacing w:after="0" w:line="360" w:lineRule="auto"/>
        <w:ind w:left="993" w:hanging="993"/>
        <w:jc w:val="both"/>
        <w:rPr>
          <w:rFonts w:ascii="Arial" w:hAnsi="Arial" w:cs="Arial"/>
          <w:sz w:val="24"/>
          <w:szCs w:val="24"/>
        </w:rPr>
      </w:pPr>
      <w:r w:rsidRPr="00AE7E43">
        <w:rPr>
          <w:rFonts w:ascii="Arial" w:hAnsi="Arial" w:cs="Arial"/>
          <w:sz w:val="24"/>
          <w:szCs w:val="24"/>
        </w:rPr>
        <w:t>[3]</w:t>
      </w:r>
      <w:r w:rsidRPr="00AE7E43">
        <w:rPr>
          <w:rFonts w:ascii="Arial" w:hAnsi="Arial" w:cs="Arial"/>
          <w:sz w:val="24"/>
          <w:szCs w:val="24"/>
        </w:rPr>
        <w:tab/>
        <w:t xml:space="preserve">The applicant is the Standard Bank </w:t>
      </w:r>
      <w:r w:rsidR="007C498E" w:rsidRPr="00AE7E43">
        <w:rPr>
          <w:rFonts w:ascii="Arial" w:hAnsi="Arial" w:cs="Arial"/>
          <w:sz w:val="24"/>
          <w:szCs w:val="24"/>
        </w:rPr>
        <w:t xml:space="preserve">of </w:t>
      </w:r>
      <w:r w:rsidRPr="00AE7E43">
        <w:rPr>
          <w:rFonts w:ascii="Arial" w:hAnsi="Arial" w:cs="Arial"/>
          <w:sz w:val="24"/>
          <w:szCs w:val="24"/>
        </w:rPr>
        <w:t>South Africa Ltd</w:t>
      </w:r>
      <w:r w:rsidR="007C498E" w:rsidRPr="00AE7E43">
        <w:rPr>
          <w:rFonts w:ascii="Arial" w:hAnsi="Arial" w:cs="Arial"/>
          <w:sz w:val="24"/>
          <w:szCs w:val="24"/>
        </w:rPr>
        <w:t>,</w:t>
      </w:r>
      <w:r w:rsidRPr="00AE7E43">
        <w:rPr>
          <w:rFonts w:ascii="Arial" w:hAnsi="Arial" w:cs="Arial"/>
          <w:sz w:val="24"/>
          <w:szCs w:val="24"/>
        </w:rPr>
        <w:t xml:space="preserve"> represented before me by Advv P Zietsm</w:t>
      </w:r>
      <w:r w:rsidR="007C498E" w:rsidRPr="00AE7E43">
        <w:rPr>
          <w:rFonts w:ascii="Arial" w:hAnsi="Arial" w:cs="Arial"/>
          <w:sz w:val="24"/>
          <w:szCs w:val="24"/>
        </w:rPr>
        <w:t>an SC and J Els, instructed</w:t>
      </w:r>
      <w:r w:rsidRPr="00AE7E43">
        <w:rPr>
          <w:rFonts w:ascii="Arial" w:hAnsi="Arial" w:cs="Arial"/>
          <w:sz w:val="24"/>
          <w:szCs w:val="24"/>
        </w:rPr>
        <w:t xml:space="preserve"> by Phatshoane Henney Inc</w:t>
      </w:r>
      <w:r w:rsidR="007C498E" w:rsidRPr="00AE7E43">
        <w:rPr>
          <w:rFonts w:ascii="Arial" w:hAnsi="Arial" w:cs="Arial"/>
          <w:sz w:val="24"/>
          <w:szCs w:val="24"/>
        </w:rPr>
        <w:t>,</w:t>
      </w:r>
      <w:r w:rsidRPr="00AE7E43">
        <w:rPr>
          <w:rFonts w:ascii="Arial" w:hAnsi="Arial" w:cs="Arial"/>
          <w:sz w:val="24"/>
          <w:szCs w:val="24"/>
        </w:rPr>
        <w:t xml:space="preserve"> Bloemfontein.</w:t>
      </w:r>
    </w:p>
    <w:p w14:paraId="0AFF89B6" w14:textId="77777777" w:rsidR="001E00AF" w:rsidRPr="00AE7E43" w:rsidRDefault="001E00AF" w:rsidP="001E4D6E">
      <w:pPr>
        <w:spacing w:after="0" w:line="360" w:lineRule="auto"/>
        <w:ind w:left="993" w:hanging="993"/>
        <w:jc w:val="both"/>
        <w:rPr>
          <w:rFonts w:ascii="Arial" w:hAnsi="Arial" w:cs="Arial"/>
          <w:sz w:val="24"/>
          <w:szCs w:val="24"/>
        </w:rPr>
      </w:pPr>
    </w:p>
    <w:p w14:paraId="0852C856" w14:textId="77777777" w:rsidR="001E00AF" w:rsidRPr="00AE7E43" w:rsidRDefault="001E00AF" w:rsidP="001E4D6E">
      <w:pPr>
        <w:spacing w:after="0" w:line="360" w:lineRule="auto"/>
        <w:ind w:left="993" w:hanging="993"/>
        <w:jc w:val="both"/>
        <w:rPr>
          <w:rFonts w:ascii="Arial" w:hAnsi="Arial" w:cs="Arial"/>
          <w:sz w:val="24"/>
          <w:szCs w:val="24"/>
        </w:rPr>
      </w:pPr>
      <w:r w:rsidRPr="00AE7E43">
        <w:rPr>
          <w:rFonts w:ascii="Arial" w:hAnsi="Arial" w:cs="Arial"/>
          <w:sz w:val="24"/>
          <w:szCs w:val="24"/>
        </w:rPr>
        <w:t>[4]</w:t>
      </w:r>
      <w:r w:rsidRPr="00AE7E43">
        <w:rPr>
          <w:rFonts w:ascii="Arial" w:hAnsi="Arial" w:cs="Arial"/>
          <w:sz w:val="24"/>
          <w:szCs w:val="24"/>
        </w:rPr>
        <w:tab/>
        <w:t xml:space="preserve">The first four respondents cited in the application are the four </w:t>
      </w:r>
      <w:r w:rsidR="007C498E" w:rsidRPr="00AE7E43">
        <w:rPr>
          <w:rFonts w:ascii="Arial" w:hAnsi="Arial" w:cs="Arial"/>
          <w:sz w:val="24"/>
          <w:szCs w:val="24"/>
        </w:rPr>
        <w:t>trustees</w:t>
      </w:r>
      <w:r w:rsidRPr="00AE7E43">
        <w:rPr>
          <w:rFonts w:ascii="Arial" w:hAnsi="Arial" w:cs="Arial"/>
          <w:sz w:val="24"/>
          <w:szCs w:val="24"/>
        </w:rPr>
        <w:t xml:space="preserve"> of the Wolmarans Kinder Trust</w:t>
      </w:r>
      <w:r w:rsidR="00B63BE1" w:rsidRPr="00AE7E43">
        <w:rPr>
          <w:rFonts w:ascii="Arial" w:hAnsi="Arial" w:cs="Arial"/>
          <w:sz w:val="24"/>
          <w:szCs w:val="24"/>
        </w:rPr>
        <w:t>,</w:t>
      </w:r>
      <w:r w:rsidRPr="00AE7E43">
        <w:rPr>
          <w:rFonts w:ascii="Arial" w:hAnsi="Arial" w:cs="Arial"/>
          <w:sz w:val="24"/>
          <w:szCs w:val="24"/>
        </w:rPr>
        <w:t xml:space="preserve"> IT962</w:t>
      </w:r>
      <w:r w:rsidR="00B63BE1" w:rsidRPr="00AE7E43">
        <w:rPr>
          <w:rFonts w:ascii="Arial" w:hAnsi="Arial" w:cs="Arial"/>
          <w:sz w:val="24"/>
          <w:szCs w:val="24"/>
        </w:rPr>
        <w:t>/19</w:t>
      </w:r>
      <w:r w:rsidRPr="00AE7E43">
        <w:rPr>
          <w:rFonts w:ascii="Arial" w:hAnsi="Arial" w:cs="Arial"/>
          <w:sz w:val="24"/>
          <w:szCs w:val="24"/>
        </w:rPr>
        <w:t>98</w:t>
      </w:r>
      <w:r w:rsidR="003023A0">
        <w:rPr>
          <w:rFonts w:ascii="Arial" w:hAnsi="Arial" w:cs="Arial"/>
          <w:sz w:val="24"/>
          <w:szCs w:val="24"/>
        </w:rPr>
        <w:t xml:space="preserve"> </w:t>
      </w:r>
      <w:r w:rsidR="007C498E" w:rsidRPr="00AE7E43">
        <w:rPr>
          <w:rFonts w:ascii="Arial" w:hAnsi="Arial" w:cs="Arial"/>
          <w:sz w:val="24"/>
          <w:szCs w:val="24"/>
        </w:rPr>
        <w:t>(“the Trust”), they being</w:t>
      </w:r>
      <w:r w:rsidRPr="00AE7E43">
        <w:rPr>
          <w:rFonts w:ascii="Arial" w:hAnsi="Arial" w:cs="Arial"/>
          <w:sz w:val="24"/>
          <w:szCs w:val="24"/>
        </w:rPr>
        <w:t xml:space="preserve"> C</w:t>
      </w:r>
      <w:r w:rsidR="007C498E" w:rsidRPr="00AE7E43">
        <w:rPr>
          <w:rFonts w:ascii="Arial" w:hAnsi="Arial" w:cs="Arial"/>
          <w:sz w:val="24"/>
          <w:szCs w:val="24"/>
        </w:rPr>
        <w:t xml:space="preserve">hristoffel Petrus Wolmarans, Emerentia Wolmarans, </w:t>
      </w:r>
      <w:r w:rsidRPr="00AE7E43">
        <w:rPr>
          <w:rFonts w:ascii="Arial" w:hAnsi="Arial" w:cs="Arial"/>
          <w:sz w:val="24"/>
          <w:szCs w:val="24"/>
        </w:rPr>
        <w:t>Tel</w:t>
      </w:r>
      <w:r w:rsidR="00CF2A27" w:rsidRPr="00AE7E43">
        <w:rPr>
          <w:rFonts w:ascii="Arial" w:hAnsi="Arial" w:cs="Arial"/>
          <w:sz w:val="24"/>
          <w:szCs w:val="24"/>
        </w:rPr>
        <w:t>l</w:t>
      </w:r>
      <w:r w:rsidR="007C498E" w:rsidRPr="00AE7E43">
        <w:rPr>
          <w:rFonts w:ascii="Arial" w:hAnsi="Arial" w:cs="Arial"/>
          <w:sz w:val="24"/>
          <w:szCs w:val="24"/>
        </w:rPr>
        <w:t xml:space="preserve">a Harris and Van Wyk Wolmarans.  </w:t>
      </w:r>
      <w:r w:rsidRPr="00AE7E43">
        <w:rPr>
          <w:rFonts w:ascii="Arial" w:hAnsi="Arial" w:cs="Arial"/>
          <w:sz w:val="24"/>
          <w:szCs w:val="24"/>
        </w:rPr>
        <w:t>Chri</w:t>
      </w:r>
      <w:r w:rsidR="007C498E" w:rsidRPr="00AE7E43">
        <w:rPr>
          <w:rFonts w:ascii="Arial" w:hAnsi="Arial" w:cs="Arial"/>
          <w:sz w:val="24"/>
          <w:szCs w:val="24"/>
        </w:rPr>
        <w:t xml:space="preserve">stoffel Petrus Wolmarans and </w:t>
      </w:r>
      <w:r w:rsidRPr="00AE7E43">
        <w:rPr>
          <w:rFonts w:ascii="Arial" w:hAnsi="Arial" w:cs="Arial"/>
          <w:sz w:val="24"/>
          <w:szCs w:val="24"/>
        </w:rPr>
        <w:t xml:space="preserve">Emerentia Wolmarans are </w:t>
      </w:r>
      <w:r w:rsidR="007C498E" w:rsidRPr="00AE7E43">
        <w:rPr>
          <w:rFonts w:ascii="Arial" w:hAnsi="Arial" w:cs="Arial"/>
          <w:sz w:val="24"/>
          <w:szCs w:val="24"/>
        </w:rPr>
        <w:t>cited in their personal capacities</w:t>
      </w:r>
      <w:r w:rsidRPr="00AE7E43">
        <w:rPr>
          <w:rFonts w:ascii="Arial" w:hAnsi="Arial" w:cs="Arial"/>
          <w:sz w:val="24"/>
          <w:szCs w:val="24"/>
        </w:rPr>
        <w:t xml:space="preserve"> as 5</w:t>
      </w:r>
      <w:r w:rsidRPr="00AE7E43">
        <w:rPr>
          <w:rFonts w:ascii="Arial" w:hAnsi="Arial" w:cs="Arial"/>
          <w:sz w:val="24"/>
          <w:szCs w:val="24"/>
          <w:vertAlign w:val="superscript"/>
        </w:rPr>
        <w:t>th</w:t>
      </w:r>
      <w:r w:rsidRPr="00AE7E43">
        <w:rPr>
          <w:rFonts w:ascii="Arial" w:hAnsi="Arial" w:cs="Arial"/>
          <w:sz w:val="24"/>
          <w:szCs w:val="24"/>
        </w:rPr>
        <w:t xml:space="preserve"> and 6</w:t>
      </w:r>
      <w:r w:rsidRPr="00AE7E43">
        <w:rPr>
          <w:rFonts w:ascii="Arial" w:hAnsi="Arial" w:cs="Arial"/>
          <w:sz w:val="24"/>
          <w:szCs w:val="24"/>
          <w:vertAlign w:val="superscript"/>
        </w:rPr>
        <w:t>th</w:t>
      </w:r>
      <w:r w:rsidRPr="00AE7E43">
        <w:rPr>
          <w:rFonts w:ascii="Arial" w:hAnsi="Arial" w:cs="Arial"/>
          <w:sz w:val="24"/>
          <w:szCs w:val="24"/>
        </w:rPr>
        <w:t xml:space="preserve"> respondents respectively.  Adv JA Augustyn instructed by HSL Du Plessis Inc of Kroonstad</w:t>
      </w:r>
      <w:r w:rsidR="007C498E" w:rsidRPr="00AE7E43">
        <w:rPr>
          <w:rFonts w:ascii="Arial" w:hAnsi="Arial" w:cs="Arial"/>
          <w:sz w:val="24"/>
          <w:szCs w:val="24"/>
        </w:rPr>
        <w:t>,</w:t>
      </w:r>
      <w:r w:rsidRPr="00AE7E43">
        <w:rPr>
          <w:rFonts w:ascii="Arial" w:hAnsi="Arial" w:cs="Arial"/>
          <w:sz w:val="24"/>
          <w:szCs w:val="24"/>
        </w:rPr>
        <w:t xml:space="preserve"> c/o Blair Attorneys</w:t>
      </w:r>
      <w:r w:rsidR="007C498E" w:rsidRPr="00AE7E43">
        <w:rPr>
          <w:rFonts w:ascii="Arial" w:hAnsi="Arial" w:cs="Arial"/>
          <w:sz w:val="24"/>
          <w:szCs w:val="24"/>
        </w:rPr>
        <w:t>,</w:t>
      </w:r>
      <w:r w:rsidRPr="00AE7E43">
        <w:rPr>
          <w:rFonts w:ascii="Arial" w:hAnsi="Arial" w:cs="Arial"/>
          <w:sz w:val="24"/>
          <w:szCs w:val="24"/>
        </w:rPr>
        <w:t xml:space="preserve"> Bloemfontein app</w:t>
      </w:r>
      <w:r w:rsidR="007C498E" w:rsidRPr="00AE7E43">
        <w:rPr>
          <w:rFonts w:ascii="Arial" w:hAnsi="Arial" w:cs="Arial"/>
          <w:sz w:val="24"/>
          <w:szCs w:val="24"/>
        </w:rPr>
        <w:t>eared before me on behalf of</w:t>
      </w:r>
      <w:r w:rsidRPr="00AE7E43">
        <w:rPr>
          <w:rFonts w:ascii="Arial" w:hAnsi="Arial" w:cs="Arial"/>
          <w:sz w:val="24"/>
          <w:szCs w:val="24"/>
        </w:rPr>
        <w:t xml:space="preserve"> the respondents.  </w:t>
      </w:r>
    </w:p>
    <w:p w14:paraId="6ADC4E13" w14:textId="77777777" w:rsidR="001E00AF" w:rsidRPr="00AE7E43" w:rsidRDefault="001E00AF" w:rsidP="001E4D6E">
      <w:pPr>
        <w:spacing w:after="0" w:line="360" w:lineRule="auto"/>
        <w:ind w:left="993" w:hanging="993"/>
        <w:jc w:val="both"/>
        <w:rPr>
          <w:rFonts w:ascii="Arial" w:hAnsi="Arial" w:cs="Arial"/>
          <w:sz w:val="24"/>
          <w:szCs w:val="24"/>
        </w:rPr>
      </w:pPr>
    </w:p>
    <w:p w14:paraId="20AC3002" w14:textId="77777777" w:rsidR="001E00AF" w:rsidRPr="00AE7E43" w:rsidRDefault="001E00AF"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III</w:t>
      </w:r>
      <w:r w:rsidRPr="00AE7E43">
        <w:rPr>
          <w:rFonts w:ascii="Arial" w:hAnsi="Arial" w:cs="Arial"/>
          <w:b/>
          <w:bCs/>
          <w:sz w:val="24"/>
          <w:szCs w:val="24"/>
        </w:rPr>
        <w:tab/>
        <w:t>THE RELIEF SOUGHT</w:t>
      </w:r>
    </w:p>
    <w:p w14:paraId="08BA6F02" w14:textId="77777777" w:rsidR="001E00AF" w:rsidRPr="00AE7E43" w:rsidRDefault="001E00AF" w:rsidP="001E4D6E">
      <w:pPr>
        <w:spacing w:after="0" w:line="360" w:lineRule="auto"/>
        <w:ind w:left="993" w:hanging="993"/>
        <w:jc w:val="both"/>
        <w:rPr>
          <w:rFonts w:ascii="Arial" w:hAnsi="Arial" w:cs="Arial"/>
          <w:sz w:val="24"/>
          <w:szCs w:val="24"/>
        </w:rPr>
      </w:pPr>
    </w:p>
    <w:p w14:paraId="73414EA1" w14:textId="77777777" w:rsidR="001E00AF" w:rsidRPr="00AE7E43" w:rsidRDefault="001E00AF" w:rsidP="001E4D6E">
      <w:pPr>
        <w:spacing w:after="0" w:line="360" w:lineRule="auto"/>
        <w:ind w:left="993" w:hanging="993"/>
        <w:jc w:val="both"/>
        <w:rPr>
          <w:rFonts w:ascii="Arial" w:hAnsi="Arial" w:cs="Arial"/>
          <w:sz w:val="24"/>
          <w:szCs w:val="24"/>
        </w:rPr>
      </w:pPr>
      <w:r w:rsidRPr="00AE7E43">
        <w:rPr>
          <w:rFonts w:ascii="Arial" w:hAnsi="Arial" w:cs="Arial"/>
          <w:sz w:val="24"/>
          <w:szCs w:val="24"/>
        </w:rPr>
        <w:t>[5]</w:t>
      </w:r>
      <w:r w:rsidRPr="00AE7E43">
        <w:rPr>
          <w:rFonts w:ascii="Arial" w:hAnsi="Arial" w:cs="Arial"/>
          <w:sz w:val="24"/>
          <w:szCs w:val="24"/>
        </w:rPr>
        <w:tab/>
        <w:t xml:space="preserve">The applicant seeks payment against the </w:t>
      </w:r>
      <w:r w:rsidR="007C498E" w:rsidRPr="00AE7E43">
        <w:rPr>
          <w:rFonts w:ascii="Arial" w:hAnsi="Arial" w:cs="Arial"/>
          <w:sz w:val="24"/>
          <w:szCs w:val="24"/>
        </w:rPr>
        <w:t>six</w:t>
      </w:r>
      <w:r w:rsidR="001C760E" w:rsidRPr="00AE7E43">
        <w:rPr>
          <w:rFonts w:ascii="Arial" w:hAnsi="Arial" w:cs="Arial"/>
          <w:sz w:val="24"/>
          <w:szCs w:val="24"/>
        </w:rPr>
        <w:t xml:space="preserve"> </w:t>
      </w:r>
      <w:r w:rsidRPr="00AE7E43">
        <w:rPr>
          <w:rFonts w:ascii="Arial" w:hAnsi="Arial" w:cs="Arial"/>
          <w:sz w:val="24"/>
          <w:szCs w:val="24"/>
        </w:rPr>
        <w:t>respondents joi</w:t>
      </w:r>
      <w:r w:rsidR="00381485" w:rsidRPr="00AE7E43">
        <w:rPr>
          <w:rFonts w:ascii="Arial" w:hAnsi="Arial" w:cs="Arial"/>
          <w:sz w:val="24"/>
          <w:szCs w:val="24"/>
        </w:rPr>
        <w:t>ntly and severally based on</w:t>
      </w:r>
      <w:r w:rsidRPr="00AE7E43">
        <w:rPr>
          <w:rFonts w:ascii="Arial" w:hAnsi="Arial" w:cs="Arial"/>
          <w:sz w:val="24"/>
          <w:szCs w:val="24"/>
        </w:rPr>
        <w:t xml:space="preserve"> </w:t>
      </w:r>
      <w:r w:rsidR="00381485" w:rsidRPr="00AE7E43">
        <w:rPr>
          <w:rFonts w:ascii="Arial" w:hAnsi="Arial" w:cs="Arial"/>
          <w:sz w:val="24"/>
          <w:szCs w:val="24"/>
        </w:rPr>
        <w:t xml:space="preserve">a second settlement agreement that was made an order of court and in terms whereof </w:t>
      </w:r>
      <w:r w:rsidRPr="00AE7E43">
        <w:rPr>
          <w:rFonts w:ascii="Arial" w:hAnsi="Arial" w:cs="Arial"/>
          <w:sz w:val="24"/>
          <w:szCs w:val="24"/>
        </w:rPr>
        <w:t>three different account numbers in the amounts of R8 121 792.19, R2 098 021.87 and R1 920 000.00 respectively</w:t>
      </w:r>
      <w:r w:rsidR="007C498E" w:rsidRPr="00AE7E43">
        <w:rPr>
          <w:rFonts w:ascii="Arial" w:hAnsi="Arial" w:cs="Arial"/>
          <w:sz w:val="24"/>
          <w:szCs w:val="24"/>
        </w:rPr>
        <w:t>,</w:t>
      </w:r>
      <w:r w:rsidRPr="00AE7E43">
        <w:rPr>
          <w:rFonts w:ascii="Arial" w:hAnsi="Arial" w:cs="Arial"/>
          <w:sz w:val="24"/>
          <w:szCs w:val="24"/>
        </w:rPr>
        <w:t xml:space="preserve"> together with interest from 25 June 2021 to date of </w:t>
      </w:r>
      <w:r w:rsidR="007C498E" w:rsidRPr="00AE7E43">
        <w:rPr>
          <w:rFonts w:ascii="Arial" w:hAnsi="Arial" w:cs="Arial"/>
          <w:sz w:val="24"/>
          <w:szCs w:val="24"/>
        </w:rPr>
        <w:t>payment</w:t>
      </w:r>
      <w:r w:rsidR="00381485" w:rsidRPr="00AE7E43">
        <w:rPr>
          <w:rFonts w:ascii="Arial" w:hAnsi="Arial" w:cs="Arial"/>
          <w:sz w:val="24"/>
          <w:szCs w:val="24"/>
        </w:rPr>
        <w:t xml:space="preserve"> apply</w:t>
      </w:r>
      <w:r w:rsidR="007C498E" w:rsidRPr="00AE7E43">
        <w:rPr>
          <w:rFonts w:ascii="Arial" w:hAnsi="Arial" w:cs="Arial"/>
          <w:sz w:val="24"/>
          <w:szCs w:val="24"/>
        </w:rPr>
        <w:t>.  I</w:t>
      </w:r>
      <w:r w:rsidRPr="00AE7E43">
        <w:rPr>
          <w:rFonts w:ascii="Arial" w:hAnsi="Arial" w:cs="Arial"/>
          <w:sz w:val="24"/>
          <w:szCs w:val="24"/>
        </w:rPr>
        <w:t xml:space="preserve">nterest </w:t>
      </w:r>
      <w:r w:rsidR="007C498E" w:rsidRPr="00AE7E43">
        <w:rPr>
          <w:rFonts w:ascii="Arial" w:hAnsi="Arial" w:cs="Arial"/>
          <w:sz w:val="24"/>
          <w:szCs w:val="24"/>
        </w:rPr>
        <w:t xml:space="preserve">is </w:t>
      </w:r>
      <w:r w:rsidRPr="00AE7E43">
        <w:rPr>
          <w:rFonts w:ascii="Arial" w:hAnsi="Arial" w:cs="Arial"/>
          <w:sz w:val="24"/>
          <w:szCs w:val="24"/>
        </w:rPr>
        <w:t xml:space="preserve">charged </w:t>
      </w:r>
      <w:r w:rsidRPr="00AE7E43">
        <w:rPr>
          <w:rFonts w:ascii="Arial" w:hAnsi="Arial" w:cs="Arial"/>
          <w:sz w:val="24"/>
          <w:szCs w:val="24"/>
        </w:rPr>
        <w:lastRenderedPageBreak/>
        <w:t>at different rates in respect of the three dif</w:t>
      </w:r>
      <w:r w:rsidR="007C498E" w:rsidRPr="00AE7E43">
        <w:rPr>
          <w:rFonts w:ascii="Arial" w:hAnsi="Arial" w:cs="Arial"/>
          <w:sz w:val="24"/>
          <w:szCs w:val="24"/>
        </w:rPr>
        <w:t>ferent accounts.  O</w:t>
      </w:r>
      <w:r w:rsidRPr="00AE7E43">
        <w:rPr>
          <w:rFonts w:ascii="Arial" w:hAnsi="Arial" w:cs="Arial"/>
          <w:sz w:val="24"/>
          <w:szCs w:val="24"/>
        </w:rPr>
        <w:t xml:space="preserve">rders are </w:t>
      </w:r>
      <w:r w:rsidR="007C498E" w:rsidRPr="00AE7E43">
        <w:rPr>
          <w:rFonts w:ascii="Arial" w:hAnsi="Arial" w:cs="Arial"/>
          <w:sz w:val="24"/>
          <w:szCs w:val="24"/>
        </w:rPr>
        <w:t xml:space="preserve">also </w:t>
      </w:r>
      <w:r w:rsidRPr="00AE7E43">
        <w:rPr>
          <w:rFonts w:ascii="Arial" w:hAnsi="Arial" w:cs="Arial"/>
          <w:sz w:val="24"/>
          <w:szCs w:val="24"/>
        </w:rPr>
        <w:t xml:space="preserve">sought that </w:t>
      </w:r>
      <w:r w:rsidR="007C498E" w:rsidRPr="00AE7E43">
        <w:rPr>
          <w:rFonts w:ascii="Arial" w:hAnsi="Arial" w:cs="Arial"/>
          <w:sz w:val="24"/>
          <w:szCs w:val="24"/>
        </w:rPr>
        <w:t>several</w:t>
      </w:r>
      <w:r w:rsidRPr="00AE7E43">
        <w:rPr>
          <w:rFonts w:ascii="Arial" w:hAnsi="Arial" w:cs="Arial"/>
          <w:sz w:val="24"/>
          <w:szCs w:val="24"/>
        </w:rPr>
        <w:t xml:space="preserve"> immovable properties belonging to the 1</w:t>
      </w:r>
      <w:r w:rsidRPr="00AE7E43">
        <w:rPr>
          <w:rFonts w:ascii="Arial" w:hAnsi="Arial" w:cs="Arial"/>
          <w:sz w:val="24"/>
          <w:szCs w:val="24"/>
          <w:vertAlign w:val="superscript"/>
        </w:rPr>
        <w:t>st</w:t>
      </w:r>
      <w:r w:rsidRPr="00AE7E43">
        <w:rPr>
          <w:rFonts w:ascii="Arial" w:hAnsi="Arial" w:cs="Arial"/>
          <w:sz w:val="24"/>
          <w:szCs w:val="24"/>
        </w:rPr>
        <w:t xml:space="preserve"> to 4</w:t>
      </w:r>
      <w:r w:rsidRPr="00AE7E43">
        <w:rPr>
          <w:rFonts w:ascii="Arial" w:hAnsi="Arial" w:cs="Arial"/>
          <w:sz w:val="24"/>
          <w:szCs w:val="24"/>
          <w:vertAlign w:val="superscript"/>
        </w:rPr>
        <w:t>th</w:t>
      </w:r>
      <w:r w:rsidRPr="00AE7E43">
        <w:rPr>
          <w:rFonts w:ascii="Arial" w:hAnsi="Arial" w:cs="Arial"/>
          <w:sz w:val="24"/>
          <w:szCs w:val="24"/>
        </w:rPr>
        <w:t xml:space="preserve"> respondents in their capacit</w:t>
      </w:r>
      <w:r w:rsidR="007C498E" w:rsidRPr="00AE7E43">
        <w:rPr>
          <w:rFonts w:ascii="Arial" w:hAnsi="Arial" w:cs="Arial"/>
          <w:sz w:val="24"/>
          <w:szCs w:val="24"/>
        </w:rPr>
        <w:t xml:space="preserve">ies as trustees of the </w:t>
      </w:r>
      <w:r w:rsidRPr="00AE7E43">
        <w:rPr>
          <w:rFonts w:ascii="Arial" w:hAnsi="Arial" w:cs="Arial"/>
          <w:sz w:val="24"/>
          <w:szCs w:val="24"/>
        </w:rPr>
        <w:t>Trust be dec</w:t>
      </w:r>
      <w:r w:rsidR="007C498E" w:rsidRPr="00AE7E43">
        <w:rPr>
          <w:rFonts w:ascii="Arial" w:hAnsi="Arial" w:cs="Arial"/>
          <w:sz w:val="24"/>
          <w:szCs w:val="24"/>
        </w:rPr>
        <w:t xml:space="preserve">lared </w:t>
      </w:r>
      <w:r w:rsidR="002673A3" w:rsidRPr="00AE7E43">
        <w:rPr>
          <w:rFonts w:ascii="Arial" w:hAnsi="Arial" w:cs="Arial"/>
          <w:sz w:val="24"/>
          <w:szCs w:val="24"/>
        </w:rPr>
        <w:t>e</w:t>
      </w:r>
      <w:r w:rsidR="007C498E" w:rsidRPr="00AE7E43">
        <w:rPr>
          <w:rFonts w:ascii="Arial" w:hAnsi="Arial" w:cs="Arial"/>
          <w:sz w:val="24"/>
          <w:szCs w:val="24"/>
        </w:rPr>
        <w:t>specially executable.  C</w:t>
      </w:r>
      <w:r w:rsidRPr="00AE7E43">
        <w:rPr>
          <w:rFonts w:ascii="Arial" w:hAnsi="Arial" w:cs="Arial"/>
          <w:sz w:val="24"/>
          <w:szCs w:val="24"/>
        </w:rPr>
        <w:t xml:space="preserve">osts of suit on </w:t>
      </w:r>
      <w:r w:rsidR="007C498E" w:rsidRPr="00AE7E43">
        <w:rPr>
          <w:rFonts w:ascii="Arial" w:hAnsi="Arial" w:cs="Arial"/>
          <w:sz w:val="24"/>
          <w:szCs w:val="24"/>
        </w:rPr>
        <w:t xml:space="preserve">an </w:t>
      </w:r>
      <w:r w:rsidRPr="00AE7E43">
        <w:rPr>
          <w:rFonts w:ascii="Arial" w:hAnsi="Arial" w:cs="Arial"/>
          <w:sz w:val="24"/>
          <w:szCs w:val="24"/>
        </w:rPr>
        <w:t>attorney and client scale are sought as well.</w:t>
      </w:r>
    </w:p>
    <w:p w14:paraId="2B726B74" w14:textId="77777777" w:rsidR="001E00AF" w:rsidRPr="00AE7E43" w:rsidRDefault="001E00AF" w:rsidP="001E4D6E">
      <w:pPr>
        <w:spacing w:after="0" w:line="360" w:lineRule="auto"/>
        <w:ind w:left="993" w:hanging="993"/>
        <w:jc w:val="both"/>
        <w:rPr>
          <w:rFonts w:ascii="Arial" w:hAnsi="Arial" w:cs="Arial"/>
          <w:sz w:val="24"/>
          <w:szCs w:val="24"/>
        </w:rPr>
      </w:pPr>
    </w:p>
    <w:p w14:paraId="5F910972" w14:textId="77777777" w:rsidR="001E00AF" w:rsidRPr="00AE7E43" w:rsidRDefault="007C498E"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IV</w:t>
      </w:r>
      <w:r w:rsidRPr="00AE7E43">
        <w:rPr>
          <w:rFonts w:ascii="Arial" w:hAnsi="Arial" w:cs="Arial"/>
          <w:b/>
          <w:bCs/>
          <w:sz w:val="24"/>
          <w:szCs w:val="24"/>
        </w:rPr>
        <w:tab/>
        <w:t>THE COUNTER-</w:t>
      </w:r>
      <w:r w:rsidR="001E00AF" w:rsidRPr="00AE7E43">
        <w:rPr>
          <w:rFonts w:ascii="Arial" w:hAnsi="Arial" w:cs="Arial"/>
          <w:b/>
          <w:bCs/>
          <w:sz w:val="24"/>
          <w:szCs w:val="24"/>
        </w:rPr>
        <w:t xml:space="preserve">APPLICATION </w:t>
      </w:r>
    </w:p>
    <w:p w14:paraId="5A243F1E" w14:textId="77777777" w:rsidR="001E00AF" w:rsidRPr="00AE7E43" w:rsidRDefault="001E00AF" w:rsidP="001E4D6E">
      <w:pPr>
        <w:spacing w:after="0" w:line="360" w:lineRule="auto"/>
        <w:ind w:left="993" w:hanging="993"/>
        <w:jc w:val="both"/>
        <w:rPr>
          <w:rFonts w:ascii="Arial" w:hAnsi="Arial" w:cs="Arial"/>
          <w:sz w:val="24"/>
          <w:szCs w:val="24"/>
        </w:rPr>
      </w:pPr>
    </w:p>
    <w:p w14:paraId="3B964089" w14:textId="77777777" w:rsidR="001E00AF" w:rsidRPr="00AE7E43" w:rsidRDefault="001E00AF" w:rsidP="001E4D6E">
      <w:pPr>
        <w:spacing w:after="0" w:line="360" w:lineRule="auto"/>
        <w:ind w:left="993" w:hanging="993"/>
        <w:jc w:val="both"/>
        <w:rPr>
          <w:rFonts w:ascii="Arial" w:hAnsi="Arial" w:cs="Arial"/>
          <w:sz w:val="24"/>
          <w:szCs w:val="24"/>
        </w:rPr>
      </w:pPr>
      <w:r w:rsidRPr="00AE7E43">
        <w:rPr>
          <w:rFonts w:ascii="Arial" w:hAnsi="Arial" w:cs="Arial"/>
          <w:sz w:val="24"/>
          <w:szCs w:val="24"/>
        </w:rPr>
        <w:t>[6]</w:t>
      </w:r>
      <w:r w:rsidRPr="00AE7E43">
        <w:rPr>
          <w:rFonts w:ascii="Arial" w:hAnsi="Arial" w:cs="Arial"/>
          <w:sz w:val="24"/>
          <w:szCs w:val="24"/>
        </w:rPr>
        <w:tab/>
        <w:t xml:space="preserve">The main application is </w:t>
      </w:r>
      <w:r w:rsidR="007C498E" w:rsidRPr="00AE7E43">
        <w:rPr>
          <w:rFonts w:ascii="Arial" w:hAnsi="Arial" w:cs="Arial"/>
          <w:sz w:val="24"/>
          <w:szCs w:val="24"/>
        </w:rPr>
        <w:t>not only opposed, but a counter-</w:t>
      </w:r>
      <w:r w:rsidRPr="00AE7E43">
        <w:rPr>
          <w:rFonts w:ascii="Arial" w:hAnsi="Arial" w:cs="Arial"/>
          <w:sz w:val="24"/>
          <w:szCs w:val="24"/>
        </w:rPr>
        <w:t xml:space="preserve">application was filed containing numerous prayers which I do not intend to quote at this stage, save to say that the main relief sought is an order declaring the entire purported first and second settlement agreements void by virtue of </w:t>
      </w:r>
      <w:r w:rsidR="003023A0">
        <w:rPr>
          <w:rFonts w:ascii="Arial" w:hAnsi="Arial" w:cs="Arial"/>
          <w:sz w:val="24"/>
          <w:szCs w:val="24"/>
        </w:rPr>
        <w:t xml:space="preserve">numerous </w:t>
      </w:r>
      <w:r w:rsidRPr="00AE7E43">
        <w:rPr>
          <w:rFonts w:ascii="Arial" w:hAnsi="Arial" w:cs="Arial"/>
          <w:sz w:val="24"/>
          <w:szCs w:val="24"/>
        </w:rPr>
        <w:t xml:space="preserve">provisions of </w:t>
      </w:r>
      <w:r w:rsidR="003023A0">
        <w:rPr>
          <w:rFonts w:ascii="Arial" w:hAnsi="Arial" w:cs="Arial"/>
          <w:sz w:val="24"/>
          <w:szCs w:val="24"/>
        </w:rPr>
        <w:t xml:space="preserve">the NCA, </w:t>
      </w:r>
      <w:r w:rsidR="003023A0" w:rsidRPr="003023A0">
        <w:rPr>
          <w:rFonts w:ascii="Arial" w:hAnsi="Arial" w:cs="Arial"/>
          <w:i/>
          <w:sz w:val="24"/>
          <w:szCs w:val="24"/>
        </w:rPr>
        <w:t>inter alia</w:t>
      </w:r>
      <w:r w:rsidR="003023A0">
        <w:rPr>
          <w:rFonts w:ascii="Arial" w:hAnsi="Arial" w:cs="Arial"/>
          <w:sz w:val="24"/>
          <w:szCs w:val="24"/>
        </w:rPr>
        <w:t xml:space="preserve"> s</w:t>
      </w:r>
      <w:r w:rsidR="006670A3">
        <w:rPr>
          <w:rFonts w:ascii="Arial" w:hAnsi="Arial" w:cs="Arial"/>
          <w:sz w:val="24"/>
          <w:szCs w:val="24"/>
        </w:rPr>
        <w:t>s</w:t>
      </w:r>
      <w:r w:rsidR="003023A0">
        <w:rPr>
          <w:rFonts w:ascii="Arial" w:hAnsi="Arial" w:cs="Arial"/>
          <w:sz w:val="24"/>
          <w:szCs w:val="24"/>
        </w:rPr>
        <w:t xml:space="preserve"> 89, </w:t>
      </w:r>
      <w:r w:rsidRPr="00AE7E43">
        <w:rPr>
          <w:rFonts w:ascii="Arial" w:hAnsi="Arial" w:cs="Arial"/>
          <w:sz w:val="24"/>
          <w:szCs w:val="24"/>
        </w:rPr>
        <w:t>90</w:t>
      </w:r>
      <w:r w:rsidR="003023A0">
        <w:rPr>
          <w:rFonts w:ascii="Arial" w:hAnsi="Arial" w:cs="Arial"/>
          <w:sz w:val="24"/>
          <w:szCs w:val="24"/>
        </w:rPr>
        <w:t>, 91</w:t>
      </w:r>
      <w:r w:rsidR="006670A3">
        <w:rPr>
          <w:rFonts w:ascii="Arial" w:hAnsi="Arial" w:cs="Arial"/>
          <w:sz w:val="24"/>
          <w:szCs w:val="24"/>
        </w:rPr>
        <w:t>,</w:t>
      </w:r>
      <w:r w:rsidR="003023A0">
        <w:rPr>
          <w:rFonts w:ascii="Arial" w:hAnsi="Arial" w:cs="Arial"/>
          <w:sz w:val="24"/>
          <w:szCs w:val="24"/>
        </w:rPr>
        <w:t> 111, 116</w:t>
      </w:r>
      <w:r w:rsidR="006670A3">
        <w:rPr>
          <w:rFonts w:ascii="Arial" w:hAnsi="Arial" w:cs="Arial"/>
          <w:sz w:val="24"/>
          <w:szCs w:val="24"/>
        </w:rPr>
        <w:t>, and 12</w:t>
      </w:r>
      <w:r w:rsidR="003023A0">
        <w:rPr>
          <w:rFonts w:ascii="Arial" w:hAnsi="Arial" w:cs="Arial"/>
          <w:sz w:val="24"/>
          <w:szCs w:val="24"/>
        </w:rPr>
        <w:t>4</w:t>
      </w:r>
      <w:r w:rsidR="006F28B5" w:rsidRPr="00AE7E43">
        <w:rPr>
          <w:rFonts w:ascii="Arial" w:hAnsi="Arial" w:cs="Arial"/>
          <w:sz w:val="24"/>
          <w:szCs w:val="24"/>
        </w:rPr>
        <w:t xml:space="preserve">.  </w:t>
      </w:r>
      <w:r w:rsidR="002673A3" w:rsidRPr="00AE7E43">
        <w:rPr>
          <w:rFonts w:ascii="Arial" w:hAnsi="Arial" w:cs="Arial"/>
          <w:sz w:val="24"/>
          <w:szCs w:val="24"/>
        </w:rPr>
        <w:t>The respondents also seek the rescission and setting aside of the two court orders premised upon the settlement agreements.</w:t>
      </w:r>
      <w:r w:rsidRPr="00AE7E43">
        <w:rPr>
          <w:rFonts w:ascii="Arial" w:hAnsi="Arial" w:cs="Arial"/>
          <w:sz w:val="24"/>
          <w:szCs w:val="24"/>
        </w:rPr>
        <w:t xml:space="preserve">  </w:t>
      </w:r>
    </w:p>
    <w:p w14:paraId="0E368B0F" w14:textId="77777777" w:rsidR="001E00AF" w:rsidRPr="00AE7E43" w:rsidRDefault="001E00AF" w:rsidP="001E4D6E">
      <w:pPr>
        <w:spacing w:after="0" w:line="360" w:lineRule="auto"/>
        <w:ind w:left="993" w:hanging="993"/>
        <w:jc w:val="both"/>
        <w:rPr>
          <w:rFonts w:ascii="Arial" w:hAnsi="Arial" w:cs="Arial"/>
          <w:sz w:val="24"/>
          <w:szCs w:val="24"/>
        </w:rPr>
      </w:pPr>
    </w:p>
    <w:p w14:paraId="5D817645" w14:textId="77777777" w:rsidR="001E00AF" w:rsidRPr="00AE7E43" w:rsidRDefault="001E00AF"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V</w:t>
      </w:r>
      <w:r w:rsidRPr="00AE7E43">
        <w:rPr>
          <w:rFonts w:ascii="Arial" w:hAnsi="Arial" w:cs="Arial"/>
          <w:b/>
          <w:bCs/>
          <w:sz w:val="24"/>
          <w:szCs w:val="24"/>
        </w:rPr>
        <w:tab/>
        <w:t xml:space="preserve">POINT OF DEPARTURE </w:t>
      </w:r>
    </w:p>
    <w:p w14:paraId="4AA31B45" w14:textId="77777777" w:rsidR="001E00AF" w:rsidRPr="00AE7E43" w:rsidRDefault="001E00AF" w:rsidP="001E4D6E">
      <w:pPr>
        <w:spacing w:after="0" w:line="360" w:lineRule="auto"/>
        <w:ind w:left="993" w:hanging="993"/>
        <w:jc w:val="both"/>
        <w:rPr>
          <w:rFonts w:ascii="Arial" w:hAnsi="Arial" w:cs="Arial"/>
          <w:sz w:val="24"/>
          <w:szCs w:val="24"/>
        </w:rPr>
      </w:pPr>
    </w:p>
    <w:p w14:paraId="6E59F69D" w14:textId="77777777" w:rsidR="00036C4F" w:rsidRPr="00AE7E43" w:rsidRDefault="00036C4F" w:rsidP="001E4D6E">
      <w:pPr>
        <w:spacing w:after="0" w:line="360" w:lineRule="auto"/>
        <w:ind w:left="993" w:hanging="993"/>
        <w:jc w:val="both"/>
        <w:rPr>
          <w:rFonts w:ascii="Arial" w:hAnsi="Arial" w:cs="Arial"/>
          <w:sz w:val="24"/>
          <w:szCs w:val="24"/>
        </w:rPr>
      </w:pPr>
      <w:r w:rsidRPr="00AE7E43">
        <w:rPr>
          <w:rFonts w:ascii="Arial" w:hAnsi="Arial" w:cs="Arial"/>
          <w:sz w:val="24"/>
          <w:szCs w:val="24"/>
        </w:rPr>
        <w:t>[7]</w:t>
      </w:r>
      <w:r w:rsidRPr="00AE7E43">
        <w:rPr>
          <w:rFonts w:ascii="Arial" w:hAnsi="Arial" w:cs="Arial"/>
          <w:sz w:val="24"/>
          <w:szCs w:val="24"/>
        </w:rPr>
        <w:tab/>
        <w:t>On 12 October 1999 the 6</w:t>
      </w:r>
      <w:r w:rsidRPr="00AE7E43">
        <w:rPr>
          <w:rFonts w:ascii="Arial" w:hAnsi="Arial" w:cs="Arial"/>
          <w:sz w:val="24"/>
          <w:szCs w:val="24"/>
          <w:vertAlign w:val="superscript"/>
        </w:rPr>
        <w:t>th</w:t>
      </w:r>
      <w:r w:rsidRPr="00AE7E43">
        <w:rPr>
          <w:rFonts w:ascii="Arial" w:hAnsi="Arial" w:cs="Arial"/>
          <w:sz w:val="24"/>
          <w:szCs w:val="24"/>
        </w:rPr>
        <w:t xml:space="preserve"> respondent signed surety in favour of the applicant for the 5</w:t>
      </w:r>
      <w:r w:rsidRPr="00AE7E43">
        <w:rPr>
          <w:rFonts w:ascii="Arial" w:hAnsi="Arial" w:cs="Arial"/>
          <w:sz w:val="24"/>
          <w:szCs w:val="24"/>
          <w:vertAlign w:val="superscript"/>
        </w:rPr>
        <w:t>th</w:t>
      </w:r>
      <w:r w:rsidRPr="00AE7E43">
        <w:rPr>
          <w:rFonts w:ascii="Arial" w:hAnsi="Arial" w:cs="Arial"/>
          <w:sz w:val="24"/>
          <w:szCs w:val="24"/>
        </w:rPr>
        <w:t xml:space="preserve"> respondent’s </w:t>
      </w:r>
      <w:r w:rsidR="00381485" w:rsidRPr="00AE7E43">
        <w:rPr>
          <w:rFonts w:ascii="Arial" w:hAnsi="Arial" w:cs="Arial"/>
          <w:sz w:val="24"/>
          <w:szCs w:val="24"/>
        </w:rPr>
        <w:t xml:space="preserve">past and future </w:t>
      </w:r>
      <w:r w:rsidRPr="00AE7E43">
        <w:rPr>
          <w:rFonts w:ascii="Arial" w:hAnsi="Arial" w:cs="Arial"/>
          <w:sz w:val="24"/>
          <w:szCs w:val="24"/>
        </w:rPr>
        <w:t>debts.</w:t>
      </w:r>
      <w:r w:rsidRPr="00AE7E43">
        <w:rPr>
          <w:rStyle w:val="FootnoteReference"/>
          <w:rFonts w:ascii="Arial" w:hAnsi="Arial" w:cs="Arial"/>
          <w:sz w:val="24"/>
          <w:szCs w:val="24"/>
        </w:rPr>
        <w:footnoteReference w:id="2"/>
      </w:r>
      <w:r w:rsidRPr="00AE7E43">
        <w:rPr>
          <w:rFonts w:ascii="Arial" w:hAnsi="Arial" w:cs="Arial"/>
          <w:sz w:val="24"/>
          <w:szCs w:val="24"/>
        </w:rPr>
        <w:t xml:space="preserve">  On 12 July 2004 the Trust entered into a suretyship agreement with the applicant in respect of the 5</w:t>
      </w:r>
      <w:r w:rsidRPr="00AE7E43">
        <w:rPr>
          <w:rFonts w:ascii="Arial" w:hAnsi="Arial" w:cs="Arial"/>
          <w:sz w:val="24"/>
          <w:szCs w:val="24"/>
          <w:vertAlign w:val="superscript"/>
        </w:rPr>
        <w:t>th</w:t>
      </w:r>
      <w:r w:rsidRPr="00AE7E43">
        <w:rPr>
          <w:rFonts w:ascii="Arial" w:hAnsi="Arial" w:cs="Arial"/>
          <w:sz w:val="24"/>
          <w:szCs w:val="24"/>
        </w:rPr>
        <w:t xml:space="preserve"> respondent’s </w:t>
      </w:r>
      <w:r w:rsidR="00381485" w:rsidRPr="00AE7E43">
        <w:rPr>
          <w:rFonts w:ascii="Arial" w:hAnsi="Arial" w:cs="Arial"/>
          <w:sz w:val="24"/>
          <w:szCs w:val="24"/>
        </w:rPr>
        <w:t xml:space="preserve">past and future </w:t>
      </w:r>
      <w:r w:rsidRPr="00AE7E43">
        <w:rPr>
          <w:rFonts w:ascii="Arial" w:hAnsi="Arial" w:cs="Arial"/>
          <w:sz w:val="24"/>
          <w:szCs w:val="24"/>
        </w:rPr>
        <w:t>debts.</w:t>
      </w:r>
      <w:r w:rsidRPr="00AE7E43">
        <w:rPr>
          <w:rStyle w:val="FootnoteReference"/>
          <w:rFonts w:ascii="Arial" w:hAnsi="Arial" w:cs="Arial"/>
          <w:sz w:val="24"/>
          <w:szCs w:val="24"/>
        </w:rPr>
        <w:footnoteReference w:id="3"/>
      </w:r>
      <w:r w:rsidRPr="00AE7E43">
        <w:rPr>
          <w:rFonts w:ascii="Arial" w:hAnsi="Arial" w:cs="Arial"/>
          <w:sz w:val="24"/>
          <w:szCs w:val="24"/>
        </w:rPr>
        <w:t xml:space="preserve">  On 27 July 2004 the 5</w:t>
      </w:r>
      <w:r w:rsidRPr="00AE7E43">
        <w:rPr>
          <w:rFonts w:ascii="Arial" w:hAnsi="Arial" w:cs="Arial"/>
          <w:sz w:val="24"/>
          <w:szCs w:val="24"/>
          <w:vertAlign w:val="superscript"/>
        </w:rPr>
        <w:t>th</w:t>
      </w:r>
      <w:r w:rsidRPr="00AE7E43">
        <w:rPr>
          <w:rFonts w:ascii="Arial" w:hAnsi="Arial" w:cs="Arial"/>
          <w:sz w:val="24"/>
          <w:szCs w:val="24"/>
        </w:rPr>
        <w:t xml:space="preserve"> respondent entered into a suretyship agreement with the applicant in respect the Trust’s </w:t>
      </w:r>
      <w:r w:rsidR="00381485" w:rsidRPr="00AE7E43">
        <w:rPr>
          <w:rFonts w:ascii="Arial" w:hAnsi="Arial" w:cs="Arial"/>
          <w:sz w:val="24"/>
          <w:szCs w:val="24"/>
        </w:rPr>
        <w:t xml:space="preserve">past and future </w:t>
      </w:r>
      <w:r w:rsidRPr="00AE7E43">
        <w:rPr>
          <w:rFonts w:ascii="Arial" w:hAnsi="Arial" w:cs="Arial"/>
          <w:sz w:val="24"/>
          <w:szCs w:val="24"/>
        </w:rPr>
        <w:t>debts.</w:t>
      </w:r>
      <w:r w:rsidRPr="00AE7E43">
        <w:rPr>
          <w:rStyle w:val="FootnoteReference"/>
          <w:rFonts w:ascii="Arial" w:hAnsi="Arial" w:cs="Arial"/>
          <w:sz w:val="24"/>
          <w:szCs w:val="24"/>
        </w:rPr>
        <w:footnoteReference w:id="4"/>
      </w:r>
      <w:r w:rsidRPr="00AE7E43">
        <w:rPr>
          <w:rFonts w:ascii="Arial" w:hAnsi="Arial" w:cs="Arial"/>
          <w:sz w:val="24"/>
          <w:szCs w:val="24"/>
        </w:rPr>
        <w:t xml:space="preserve">  These suretyships pre-date the implementation of the NCA, the commencement date thereof being I June 2006.  In any event, insofar as the principal debtor </w:t>
      </w:r>
      <w:r w:rsidR="00381485" w:rsidRPr="00AE7E43">
        <w:rPr>
          <w:rFonts w:ascii="Arial" w:hAnsi="Arial" w:cs="Arial"/>
          <w:sz w:val="24"/>
          <w:szCs w:val="24"/>
        </w:rPr>
        <w:t xml:space="preserve">in respect of the two medium term loan agreements – the second and third accounts mentioned in paragraph 5 supra - </w:t>
      </w:r>
      <w:r w:rsidRPr="00AE7E43">
        <w:rPr>
          <w:rFonts w:ascii="Arial" w:hAnsi="Arial" w:cs="Arial"/>
          <w:sz w:val="24"/>
          <w:szCs w:val="24"/>
        </w:rPr>
        <w:t>is a juristic person, the 5</w:t>
      </w:r>
      <w:r w:rsidRPr="00AE7E43">
        <w:rPr>
          <w:rFonts w:ascii="Arial" w:hAnsi="Arial" w:cs="Arial"/>
          <w:sz w:val="24"/>
          <w:szCs w:val="24"/>
          <w:vertAlign w:val="superscript"/>
        </w:rPr>
        <w:t>th</w:t>
      </w:r>
      <w:r w:rsidRPr="00AE7E43">
        <w:rPr>
          <w:rFonts w:ascii="Arial" w:hAnsi="Arial" w:cs="Arial"/>
          <w:sz w:val="24"/>
          <w:szCs w:val="24"/>
        </w:rPr>
        <w:t xml:space="preserve"> respondent</w:t>
      </w:r>
      <w:r w:rsidR="003023A0">
        <w:rPr>
          <w:rFonts w:ascii="Arial" w:hAnsi="Arial" w:cs="Arial"/>
          <w:sz w:val="24"/>
          <w:szCs w:val="24"/>
        </w:rPr>
        <w:t xml:space="preserve"> as surety in respect of these accounts</w:t>
      </w:r>
      <w:r w:rsidRPr="00AE7E43">
        <w:rPr>
          <w:rFonts w:ascii="Arial" w:hAnsi="Arial" w:cs="Arial"/>
          <w:sz w:val="24"/>
          <w:szCs w:val="24"/>
        </w:rPr>
        <w:t xml:space="preserve"> cannot rely on the protection of the NCA.</w:t>
      </w:r>
      <w:r w:rsidR="00381485" w:rsidRPr="00AE7E43">
        <w:rPr>
          <w:rFonts w:ascii="Arial" w:hAnsi="Arial" w:cs="Arial"/>
          <w:sz w:val="24"/>
          <w:szCs w:val="24"/>
        </w:rPr>
        <w:t xml:space="preserve">  This was correctly conceded by Mr Augustyn on behalf of the respondents.  Notwithstanding this concession and the authorities to be discussed </w:t>
      </w:r>
      <w:r w:rsidR="00381485" w:rsidRPr="00AE7E43">
        <w:rPr>
          <w:rFonts w:ascii="Arial" w:hAnsi="Arial" w:cs="Arial"/>
          <w:i/>
          <w:sz w:val="24"/>
          <w:szCs w:val="24"/>
        </w:rPr>
        <w:t>infra</w:t>
      </w:r>
      <w:r w:rsidR="00381485" w:rsidRPr="00AE7E43">
        <w:rPr>
          <w:rFonts w:ascii="Arial" w:hAnsi="Arial" w:cs="Arial"/>
          <w:sz w:val="24"/>
          <w:szCs w:val="24"/>
        </w:rPr>
        <w:t xml:space="preserve">, Mr Augustyn insisted that the NCA applied to the current account agreement </w:t>
      </w:r>
      <w:r w:rsidR="00381485" w:rsidRPr="00AE7E43">
        <w:rPr>
          <w:rFonts w:ascii="Arial" w:hAnsi="Arial" w:cs="Arial"/>
          <w:sz w:val="24"/>
          <w:szCs w:val="24"/>
        </w:rPr>
        <w:lastRenderedPageBreak/>
        <w:t>entered into by the 5</w:t>
      </w:r>
      <w:r w:rsidR="00381485" w:rsidRPr="00AE7E43">
        <w:rPr>
          <w:rFonts w:ascii="Arial" w:hAnsi="Arial" w:cs="Arial"/>
          <w:sz w:val="24"/>
          <w:szCs w:val="24"/>
          <w:vertAlign w:val="superscript"/>
        </w:rPr>
        <w:t>th</w:t>
      </w:r>
      <w:r w:rsidR="00381485" w:rsidRPr="00AE7E43">
        <w:rPr>
          <w:rFonts w:ascii="Arial" w:hAnsi="Arial" w:cs="Arial"/>
          <w:sz w:val="24"/>
          <w:szCs w:val="24"/>
        </w:rPr>
        <w:t xml:space="preserve"> respondent</w:t>
      </w:r>
      <w:r w:rsidR="0006080B" w:rsidRPr="00AE7E43">
        <w:rPr>
          <w:rFonts w:ascii="Arial" w:hAnsi="Arial" w:cs="Arial"/>
          <w:sz w:val="24"/>
          <w:szCs w:val="24"/>
        </w:rPr>
        <w:t>, a natural person</w:t>
      </w:r>
      <w:r w:rsidR="003023A0">
        <w:rPr>
          <w:rFonts w:ascii="Arial" w:hAnsi="Arial" w:cs="Arial"/>
          <w:sz w:val="24"/>
          <w:szCs w:val="24"/>
        </w:rPr>
        <w:t xml:space="preserve">, in respect of </w:t>
      </w:r>
      <w:r w:rsidR="00381485" w:rsidRPr="00AE7E43">
        <w:rPr>
          <w:rFonts w:ascii="Arial" w:hAnsi="Arial" w:cs="Arial"/>
          <w:sz w:val="24"/>
          <w:szCs w:val="24"/>
        </w:rPr>
        <w:t xml:space="preserve">the first account mentioned in paragraph 5 </w:t>
      </w:r>
      <w:r w:rsidR="00381485" w:rsidRPr="00AE7E43">
        <w:rPr>
          <w:rFonts w:ascii="Arial" w:hAnsi="Arial" w:cs="Arial"/>
          <w:i/>
          <w:sz w:val="24"/>
          <w:szCs w:val="24"/>
        </w:rPr>
        <w:t>supra</w:t>
      </w:r>
      <w:r w:rsidR="003023A0">
        <w:rPr>
          <w:rFonts w:ascii="Arial" w:hAnsi="Arial" w:cs="Arial"/>
          <w:sz w:val="24"/>
          <w:szCs w:val="24"/>
        </w:rPr>
        <w:t>.  O</w:t>
      </w:r>
      <w:r w:rsidR="0006080B" w:rsidRPr="00AE7E43">
        <w:rPr>
          <w:rFonts w:ascii="Arial" w:hAnsi="Arial" w:cs="Arial"/>
          <w:sz w:val="24"/>
          <w:szCs w:val="24"/>
        </w:rPr>
        <w:t>n the assumption that this credit agreement falls within the ambit of the NCA, which is correct,</w:t>
      </w:r>
      <w:r w:rsidR="003023A0">
        <w:rPr>
          <w:rFonts w:ascii="Arial" w:hAnsi="Arial" w:cs="Arial"/>
          <w:sz w:val="24"/>
          <w:szCs w:val="24"/>
        </w:rPr>
        <w:t xml:space="preserve"> he submitted that </w:t>
      </w:r>
      <w:r w:rsidR="0006080B" w:rsidRPr="00AE7E43">
        <w:rPr>
          <w:rFonts w:ascii="Arial" w:hAnsi="Arial" w:cs="Arial"/>
          <w:sz w:val="24"/>
          <w:szCs w:val="24"/>
        </w:rPr>
        <w:t>the Trust as surety has the same defences and rights available to it under the NCA as that afforded to the 5</w:t>
      </w:r>
      <w:r w:rsidR="0006080B" w:rsidRPr="00AE7E43">
        <w:rPr>
          <w:rFonts w:ascii="Arial" w:hAnsi="Arial" w:cs="Arial"/>
          <w:sz w:val="24"/>
          <w:szCs w:val="24"/>
          <w:vertAlign w:val="superscript"/>
        </w:rPr>
        <w:t>th</w:t>
      </w:r>
      <w:r w:rsidR="0006080B" w:rsidRPr="00AE7E43">
        <w:rPr>
          <w:rFonts w:ascii="Arial" w:hAnsi="Arial" w:cs="Arial"/>
          <w:sz w:val="24"/>
          <w:szCs w:val="24"/>
        </w:rPr>
        <w:t xml:space="preserve"> respondent.</w:t>
      </w:r>
    </w:p>
    <w:p w14:paraId="0C56C8FE" w14:textId="77777777" w:rsidR="00036C4F" w:rsidRPr="00AE7E43" w:rsidRDefault="00036C4F" w:rsidP="001E4D6E">
      <w:pPr>
        <w:spacing w:after="0" w:line="360" w:lineRule="auto"/>
        <w:ind w:left="993" w:hanging="993"/>
        <w:jc w:val="both"/>
        <w:rPr>
          <w:rFonts w:ascii="Arial" w:hAnsi="Arial" w:cs="Arial"/>
          <w:sz w:val="24"/>
          <w:szCs w:val="24"/>
        </w:rPr>
      </w:pPr>
    </w:p>
    <w:p w14:paraId="786977BC" w14:textId="77777777" w:rsidR="001E00AF" w:rsidRPr="00AE7E43" w:rsidRDefault="00036C4F" w:rsidP="001E4D6E">
      <w:pPr>
        <w:spacing w:after="0" w:line="360" w:lineRule="auto"/>
        <w:ind w:left="993" w:hanging="993"/>
        <w:jc w:val="both"/>
        <w:rPr>
          <w:rFonts w:ascii="Arial" w:hAnsi="Arial" w:cs="Arial"/>
          <w:sz w:val="24"/>
          <w:szCs w:val="24"/>
        </w:rPr>
      </w:pPr>
      <w:r w:rsidRPr="00AE7E43">
        <w:rPr>
          <w:rFonts w:ascii="Arial" w:hAnsi="Arial" w:cs="Arial"/>
          <w:sz w:val="24"/>
          <w:szCs w:val="24"/>
        </w:rPr>
        <w:t>[8</w:t>
      </w:r>
      <w:r w:rsidR="001E00AF" w:rsidRPr="00AE7E43">
        <w:rPr>
          <w:rFonts w:ascii="Arial" w:hAnsi="Arial" w:cs="Arial"/>
          <w:sz w:val="24"/>
          <w:szCs w:val="24"/>
        </w:rPr>
        <w:t>]</w:t>
      </w:r>
      <w:r w:rsidR="001E00AF" w:rsidRPr="00AE7E43">
        <w:rPr>
          <w:rFonts w:ascii="Arial" w:hAnsi="Arial" w:cs="Arial"/>
          <w:sz w:val="24"/>
          <w:szCs w:val="24"/>
        </w:rPr>
        <w:tab/>
        <w:t>In my view, th</w:t>
      </w:r>
      <w:r w:rsidR="007C498E" w:rsidRPr="00AE7E43">
        <w:rPr>
          <w:rFonts w:ascii="Arial" w:hAnsi="Arial" w:cs="Arial"/>
          <w:sz w:val="24"/>
          <w:szCs w:val="24"/>
        </w:rPr>
        <w:t>e point of departure that</w:t>
      </w:r>
      <w:r w:rsidR="001E00AF" w:rsidRPr="00AE7E43">
        <w:rPr>
          <w:rFonts w:ascii="Arial" w:hAnsi="Arial" w:cs="Arial"/>
          <w:sz w:val="24"/>
          <w:szCs w:val="24"/>
        </w:rPr>
        <w:t xml:space="preserve"> </w:t>
      </w:r>
      <w:r w:rsidR="00C6620A" w:rsidRPr="00AE7E43">
        <w:rPr>
          <w:rFonts w:ascii="Arial" w:hAnsi="Arial" w:cs="Arial"/>
          <w:sz w:val="24"/>
          <w:szCs w:val="24"/>
        </w:rPr>
        <w:t>may cut</w:t>
      </w:r>
      <w:r w:rsidR="001E00AF" w:rsidRPr="00AE7E43">
        <w:rPr>
          <w:rFonts w:ascii="Arial" w:hAnsi="Arial" w:cs="Arial"/>
          <w:sz w:val="24"/>
          <w:szCs w:val="24"/>
        </w:rPr>
        <w:t xml:space="preserve"> right through all </w:t>
      </w:r>
      <w:r w:rsidR="00E81666">
        <w:rPr>
          <w:rFonts w:ascii="Arial" w:hAnsi="Arial" w:cs="Arial"/>
          <w:sz w:val="24"/>
          <w:szCs w:val="24"/>
        </w:rPr>
        <w:t xml:space="preserve">or most of </w:t>
      </w:r>
      <w:r w:rsidR="001E00AF" w:rsidRPr="00AE7E43">
        <w:rPr>
          <w:rFonts w:ascii="Arial" w:hAnsi="Arial" w:cs="Arial"/>
          <w:sz w:val="24"/>
          <w:szCs w:val="24"/>
        </w:rPr>
        <w:t>the defences raised by the respondents i</w:t>
      </w:r>
      <w:r w:rsidR="007C498E" w:rsidRPr="00AE7E43">
        <w:rPr>
          <w:rFonts w:ascii="Arial" w:hAnsi="Arial" w:cs="Arial"/>
          <w:sz w:val="24"/>
          <w:szCs w:val="24"/>
        </w:rPr>
        <w:t xml:space="preserve">s </w:t>
      </w:r>
      <w:r w:rsidR="0024715E" w:rsidRPr="00AE7E43">
        <w:rPr>
          <w:rFonts w:ascii="Arial" w:hAnsi="Arial" w:cs="Arial"/>
          <w:sz w:val="24"/>
          <w:szCs w:val="24"/>
        </w:rPr>
        <w:t xml:space="preserve">whether or not </w:t>
      </w:r>
      <w:r w:rsidR="007C498E" w:rsidRPr="00AE7E43">
        <w:rPr>
          <w:rFonts w:ascii="Arial" w:hAnsi="Arial" w:cs="Arial"/>
          <w:sz w:val="24"/>
          <w:szCs w:val="24"/>
        </w:rPr>
        <w:t xml:space="preserve">the </w:t>
      </w:r>
      <w:r w:rsidR="0024715E" w:rsidRPr="00AE7E43">
        <w:rPr>
          <w:rFonts w:ascii="Arial" w:hAnsi="Arial" w:cs="Arial"/>
          <w:sz w:val="24"/>
          <w:szCs w:val="24"/>
        </w:rPr>
        <w:t xml:space="preserve">NCA is applicable </w:t>
      </w:r>
      <w:r w:rsidR="0024715E" w:rsidRPr="00AE7E43">
        <w:rPr>
          <w:rFonts w:ascii="Arial" w:hAnsi="Arial" w:cs="Arial"/>
          <w:i/>
          <w:sz w:val="24"/>
          <w:szCs w:val="24"/>
        </w:rPr>
        <w:t>in casu</w:t>
      </w:r>
      <w:r w:rsidR="0024715E" w:rsidRPr="00AE7E43">
        <w:rPr>
          <w:rFonts w:ascii="Arial" w:hAnsi="Arial" w:cs="Arial"/>
          <w:sz w:val="24"/>
          <w:szCs w:val="24"/>
        </w:rPr>
        <w:t xml:space="preserve">.  The applicant seeks relief based on the terms of a second settlement agreement which was made an order of court.  More is said about this hereunder. </w:t>
      </w:r>
      <w:r w:rsidR="001E00AF" w:rsidRPr="00AE7E43">
        <w:rPr>
          <w:rFonts w:ascii="Arial" w:hAnsi="Arial" w:cs="Arial"/>
          <w:sz w:val="24"/>
          <w:szCs w:val="24"/>
        </w:rPr>
        <w:t xml:space="preserve">  </w:t>
      </w:r>
      <w:r w:rsidR="0024715E" w:rsidRPr="00AE7E43">
        <w:rPr>
          <w:rFonts w:ascii="Arial" w:hAnsi="Arial" w:cs="Arial"/>
          <w:sz w:val="24"/>
          <w:szCs w:val="24"/>
        </w:rPr>
        <w:t>It is also pointed out that t</w:t>
      </w:r>
      <w:r w:rsidR="001E00AF" w:rsidRPr="00AE7E43">
        <w:rPr>
          <w:rFonts w:ascii="Arial" w:hAnsi="Arial" w:cs="Arial"/>
          <w:sz w:val="24"/>
          <w:szCs w:val="24"/>
        </w:rPr>
        <w:t xml:space="preserve">he Trust </w:t>
      </w:r>
      <w:r w:rsidR="0024715E" w:rsidRPr="00AE7E43">
        <w:rPr>
          <w:rFonts w:ascii="Arial" w:hAnsi="Arial" w:cs="Arial"/>
          <w:sz w:val="24"/>
          <w:szCs w:val="24"/>
        </w:rPr>
        <w:t>has four trustees and is consequently defined as</w:t>
      </w:r>
      <w:r w:rsidR="001E00AF" w:rsidRPr="00AE7E43">
        <w:rPr>
          <w:rFonts w:ascii="Arial" w:hAnsi="Arial" w:cs="Arial"/>
          <w:sz w:val="24"/>
          <w:szCs w:val="24"/>
        </w:rPr>
        <w:t xml:space="preserve"> a juris</w:t>
      </w:r>
      <w:r w:rsidR="0024715E" w:rsidRPr="00AE7E43">
        <w:rPr>
          <w:rFonts w:ascii="Arial" w:hAnsi="Arial" w:cs="Arial"/>
          <w:sz w:val="24"/>
          <w:szCs w:val="24"/>
        </w:rPr>
        <w:t>tic person in the NCA</w:t>
      </w:r>
      <w:r w:rsidR="001E00AF" w:rsidRPr="00AE7E43">
        <w:rPr>
          <w:rFonts w:ascii="Arial" w:hAnsi="Arial" w:cs="Arial"/>
          <w:sz w:val="24"/>
          <w:szCs w:val="24"/>
        </w:rPr>
        <w:t>.  The relevant definition contained in s 1 of the NCA reads as follows:</w:t>
      </w:r>
      <w:r w:rsidR="0024715E" w:rsidRPr="00AE7E43">
        <w:rPr>
          <w:rFonts w:ascii="Arial" w:hAnsi="Arial" w:cs="Arial"/>
          <w:sz w:val="24"/>
          <w:szCs w:val="24"/>
        </w:rPr>
        <w:t xml:space="preserve">  </w:t>
      </w:r>
    </w:p>
    <w:p w14:paraId="012361BC" w14:textId="77777777" w:rsidR="0065343F" w:rsidRPr="00AE7E43" w:rsidRDefault="001E00AF" w:rsidP="001E4D6E">
      <w:pPr>
        <w:spacing w:after="0" w:line="360" w:lineRule="auto"/>
        <w:ind w:left="993"/>
        <w:jc w:val="both"/>
        <w:rPr>
          <w:rFonts w:ascii="Arial" w:eastAsia="Times New Roman" w:hAnsi="Arial" w:cs="Arial"/>
          <w:sz w:val="20"/>
          <w:szCs w:val="20"/>
          <w:lang w:eastAsia="en-ZA"/>
        </w:rPr>
      </w:pPr>
      <w:r w:rsidRPr="00AE7E43">
        <w:rPr>
          <w:rFonts w:ascii="Arial" w:hAnsi="Arial" w:cs="Arial"/>
          <w:sz w:val="20"/>
          <w:szCs w:val="20"/>
        </w:rPr>
        <w:t>“</w:t>
      </w:r>
      <w:r w:rsidR="0065343F" w:rsidRPr="00AE7E43">
        <w:rPr>
          <w:rFonts w:ascii="Arial" w:eastAsia="Times New Roman" w:hAnsi="Arial" w:cs="Arial"/>
          <w:b/>
          <w:bCs/>
          <w:sz w:val="20"/>
          <w:szCs w:val="20"/>
          <w:lang w:eastAsia="en-ZA"/>
        </w:rPr>
        <w:t>'juristic person'</w:t>
      </w:r>
      <w:r w:rsidR="0065343F" w:rsidRPr="00AE7E43">
        <w:rPr>
          <w:rFonts w:ascii="Arial" w:eastAsia="Times New Roman" w:hAnsi="Arial" w:cs="Arial"/>
          <w:sz w:val="20"/>
          <w:szCs w:val="20"/>
          <w:lang w:eastAsia="en-ZA"/>
        </w:rPr>
        <w:t> includes a partnership, association or other body of persons, corporate or unincorporated, or a trust if-</w:t>
      </w:r>
    </w:p>
    <w:p w14:paraId="45691548" w14:textId="77777777" w:rsidR="0065343F" w:rsidRPr="00AE7E43" w:rsidRDefault="0065343F" w:rsidP="001E4D6E">
      <w:pPr>
        <w:spacing w:after="0" w:line="360" w:lineRule="auto"/>
        <w:ind w:left="1560" w:hanging="567"/>
        <w:jc w:val="both"/>
        <w:rPr>
          <w:rFonts w:ascii="Arial" w:eastAsia="Times New Roman" w:hAnsi="Arial" w:cs="Arial"/>
          <w:sz w:val="20"/>
          <w:szCs w:val="20"/>
          <w:lang w:eastAsia="en-ZA"/>
        </w:rPr>
      </w:pPr>
      <w:bookmarkStart w:id="1" w:name="0-0-0-74737"/>
      <w:bookmarkEnd w:id="1"/>
      <w:r w:rsidRPr="00AE7E43">
        <w:rPr>
          <w:rFonts w:ascii="Arial" w:eastAsia="Times New Roman" w:hAnsi="Arial" w:cs="Arial"/>
          <w:i/>
          <w:iCs/>
          <w:sz w:val="20"/>
          <w:szCs w:val="20"/>
          <w:lang w:eastAsia="en-ZA"/>
        </w:rPr>
        <w:t>(a)</w:t>
      </w:r>
      <w:r w:rsidRPr="00AE7E43">
        <w:rPr>
          <w:rFonts w:ascii="Arial" w:eastAsia="Times New Roman" w:hAnsi="Arial" w:cs="Arial"/>
          <w:sz w:val="20"/>
          <w:szCs w:val="20"/>
          <w:lang w:eastAsia="en-ZA"/>
        </w:rPr>
        <w:t>   </w:t>
      </w:r>
      <w:r w:rsidR="003D3CA5" w:rsidRPr="00AE7E43">
        <w:rPr>
          <w:rFonts w:ascii="Arial" w:eastAsia="Times New Roman" w:hAnsi="Arial" w:cs="Arial"/>
          <w:sz w:val="20"/>
          <w:szCs w:val="20"/>
          <w:lang w:eastAsia="en-ZA"/>
        </w:rPr>
        <w:tab/>
      </w:r>
      <w:r w:rsidRPr="00AE7E43">
        <w:rPr>
          <w:rFonts w:ascii="Arial" w:eastAsia="Times New Roman" w:hAnsi="Arial" w:cs="Arial"/>
          <w:sz w:val="20"/>
          <w:szCs w:val="20"/>
          <w:lang w:eastAsia="en-ZA"/>
        </w:rPr>
        <w:t>there are three or more individual trustees; or</w:t>
      </w:r>
    </w:p>
    <w:p w14:paraId="6B623688" w14:textId="77777777" w:rsidR="001E00AF" w:rsidRPr="00AE7E43" w:rsidRDefault="0065343F" w:rsidP="001E4D6E">
      <w:pPr>
        <w:spacing w:after="0" w:line="360" w:lineRule="auto"/>
        <w:ind w:left="1560" w:hanging="567"/>
        <w:jc w:val="both"/>
        <w:rPr>
          <w:rFonts w:ascii="Arial" w:eastAsia="Times New Roman" w:hAnsi="Arial" w:cs="Arial"/>
          <w:sz w:val="20"/>
          <w:szCs w:val="20"/>
          <w:lang w:eastAsia="en-ZA"/>
        </w:rPr>
      </w:pPr>
      <w:bookmarkStart w:id="2" w:name="0-0-0-74739"/>
      <w:bookmarkEnd w:id="2"/>
      <w:r w:rsidRPr="00AE7E43">
        <w:rPr>
          <w:rFonts w:ascii="Arial" w:eastAsia="Times New Roman" w:hAnsi="Arial" w:cs="Arial"/>
          <w:i/>
          <w:iCs/>
          <w:sz w:val="20"/>
          <w:szCs w:val="20"/>
          <w:lang w:eastAsia="en-ZA"/>
        </w:rPr>
        <w:t>(b)</w:t>
      </w:r>
      <w:r w:rsidRPr="00AE7E43">
        <w:rPr>
          <w:rFonts w:ascii="Arial" w:eastAsia="Times New Roman" w:hAnsi="Arial" w:cs="Arial"/>
          <w:sz w:val="20"/>
          <w:szCs w:val="20"/>
          <w:lang w:eastAsia="en-ZA"/>
        </w:rPr>
        <w:t>   </w:t>
      </w:r>
      <w:r w:rsidR="003D3CA5" w:rsidRPr="00AE7E43">
        <w:rPr>
          <w:rFonts w:ascii="Arial" w:eastAsia="Times New Roman" w:hAnsi="Arial" w:cs="Arial"/>
          <w:sz w:val="20"/>
          <w:szCs w:val="20"/>
          <w:lang w:eastAsia="en-ZA"/>
        </w:rPr>
        <w:tab/>
      </w:r>
      <w:r w:rsidRPr="00AE7E43">
        <w:rPr>
          <w:rFonts w:ascii="Arial" w:eastAsia="Times New Roman" w:hAnsi="Arial" w:cs="Arial"/>
          <w:sz w:val="20"/>
          <w:szCs w:val="20"/>
          <w:lang w:eastAsia="en-ZA"/>
        </w:rPr>
        <w:t>the trustee is itself a juristic person,</w:t>
      </w:r>
      <w:r w:rsidR="0068489C" w:rsidRPr="00AE7E43">
        <w:rPr>
          <w:rFonts w:ascii="Arial" w:eastAsia="Times New Roman" w:hAnsi="Arial" w:cs="Arial"/>
          <w:sz w:val="20"/>
          <w:szCs w:val="20"/>
          <w:lang w:eastAsia="en-ZA"/>
        </w:rPr>
        <w:t xml:space="preserve"> </w:t>
      </w:r>
      <w:r w:rsidR="00BA0301" w:rsidRPr="00AE7E43">
        <w:rPr>
          <w:rFonts w:ascii="Arial" w:eastAsia="Times New Roman" w:hAnsi="Arial" w:cs="Arial"/>
          <w:sz w:val="20"/>
          <w:szCs w:val="20"/>
          <w:lang w:eastAsia="en-ZA"/>
        </w:rPr>
        <w:t>but does not include a stokvel.</w:t>
      </w:r>
      <w:r w:rsidR="001E00AF" w:rsidRPr="00AE7E43">
        <w:rPr>
          <w:rFonts w:ascii="Arial" w:hAnsi="Arial" w:cs="Arial"/>
          <w:sz w:val="20"/>
          <w:szCs w:val="20"/>
        </w:rPr>
        <w:t>”</w:t>
      </w:r>
    </w:p>
    <w:p w14:paraId="31D300BC" w14:textId="77777777" w:rsidR="001E00AF" w:rsidRPr="00AE7E43" w:rsidRDefault="001E00AF" w:rsidP="001E4D6E">
      <w:pPr>
        <w:spacing w:after="0" w:line="360" w:lineRule="auto"/>
        <w:ind w:left="993" w:hanging="993"/>
        <w:jc w:val="both"/>
        <w:rPr>
          <w:rFonts w:ascii="Arial" w:hAnsi="Arial" w:cs="Arial"/>
          <w:sz w:val="24"/>
          <w:szCs w:val="24"/>
        </w:rPr>
      </w:pPr>
    </w:p>
    <w:p w14:paraId="06CFF38F" w14:textId="77777777" w:rsidR="0065343F" w:rsidRPr="00AE7E43" w:rsidRDefault="00036C4F" w:rsidP="001E4D6E">
      <w:pPr>
        <w:spacing w:after="0" w:line="360" w:lineRule="auto"/>
        <w:ind w:left="993" w:hanging="993"/>
        <w:jc w:val="both"/>
        <w:rPr>
          <w:rFonts w:ascii="Arial" w:hAnsi="Arial" w:cs="Arial"/>
          <w:b/>
          <w:bCs/>
          <w:sz w:val="20"/>
          <w:szCs w:val="20"/>
        </w:rPr>
      </w:pPr>
      <w:r w:rsidRPr="00AE7E43">
        <w:rPr>
          <w:rFonts w:ascii="Arial" w:hAnsi="Arial" w:cs="Arial"/>
          <w:sz w:val="24"/>
          <w:szCs w:val="24"/>
        </w:rPr>
        <w:t>[9</w:t>
      </w:r>
      <w:r w:rsidR="0024715E" w:rsidRPr="00AE7E43">
        <w:rPr>
          <w:rFonts w:ascii="Arial" w:hAnsi="Arial" w:cs="Arial"/>
          <w:sz w:val="24"/>
          <w:szCs w:val="24"/>
        </w:rPr>
        <w:t>]</w:t>
      </w:r>
      <w:r w:rsidR="0024715E" w:rsidRPr="00AE7E43">
        <w:rPr>
          <w:rFonts w:ascii="Arial" w:hAnsi="Arial" w:cs="Arial"/>
          <w:sz w:val="24"/>
          <w:szCs w:val="24"/>
        </w:rPr>
        <w:tab/>
        <w:t>I</w:t>
      </w:r>
      <w:r w:rsidR="001E00AF" w:rsidRPr="00AE7E43">
        <w:rPr>
          <w:rFonts w:ascii="Arial" w:hAnsi="Arial" w:cs="Arial"/>
          <w:sz w:val="24"/>
          <w:szCs w:val="24"/>
        </w:rPr>
        <w:t xml:space="preserve">t is </w:t>
      </w:r>
      <w:r w:rsidR="0024715E" w:rsidRPr="00AE7E43">
        <w:rPr>
          <w:rFonts w:ascii="Arial" w:hAnsi="Arial" w:cs="Arial"/>
          <w:sz w:val="24"/>
          <w:szCs w:val="24"/>
        </w:rPr>
        <w:t>also common cause that</w:t>
      </w:r>
      <w:r w:rsidR="001E00AF" w:rsidRPr="00AE7E43">
        <w:rPr>
          <w:rFonts w:ascii="Arial" w:hAnsi="Arial" w:cs="Arial"/>
          <w:sz w:val="24"/>
          <w:szCs w:val="24"/>
        </w:rPr>
        <w:t xml:space="preserve"> at any time during the conclusion of the </w:t>
      </w:r>
      <w:r w:rsidR="0024715E" w:rsidRPr="00AE7E43">
        <w:rPr>
          <w:rFonts w:ascii="Arial" w:hAnsi="Arial" w:cs="Arial"/>
          <w:sz w:val="24"/>
          <w:szCs w:val="24"/>
        </w:rPr>
        <w:t xml:space="preserve">credit </w:t>
      </w:r>
      <w:r w:rsidR="001E00AF" w:rsidRPr="00AE7E43">
        <w:rPr>
          <w:rFonts w:ascii="Arial" w:hAnsi="Arial" w:cs="Arial"/>
          <w:sz w:val="24"/>
          <w:szCs w:val="24"/>
        </w:rPr>
        <w:t xml:space="preserve">agreements </w:t>
      </w:r>
      <w:r w:rsidR="0024715E" w:rsidRPr="00AE7E43">
        <w:rPr>
          <w:rFonts w:ascii="Arial" w:hAnsi="Arial" w:cs="Arial"/>
          <w:sz w:val="24"/>
          <w:szCs w:val="24"/>
        </w:rPr>
        <w:t>featuring in the litigation between the parties, the Trust’s annual turnover exceeded R1</w:t>
      </w:r>
      <w:r w:rsidR="006F28B5" w:rsidRPr="00AE7E43">
        <w:rPr>
          <w:rFonts w:ascii="Arial" w:hAnsi="Arial" w:cs="Arial"/>
          <w:sz w:val="24"/>
          <w:szCs w:val="24"/>
        </w:rPr>
        <w:t xml:space="preserve"> </w:t>
      </w:r>
      <w:r w:rsidR="0024715E" w:rsidRPr="00AE7E43">
        <w:rPr>
          <w:rFonts w:ascii="Arial" w:hAnsi="Arial" w:cs="Arial"/>
          <w:sz w:val="24"/>
          <w:szCs w:val="24"/>
        </w:rPr>
        <w:t>million</w:t>
      </w:r>
      <w:r w:rsidR="001E00AF" w:rsidRPr="00AE7E43">
        <w:rPr>
          <w:rFonts w:ascii="Arial" w:hAnsi="Arial" w:cs="Arial"/>
          <w:sz w:val="24"/>
          <w:szCs w:val="24"/>
        </w:rPr>
        <w:t xml:space="preserve"> and/or </w:t>
      </w:r>
      <w:r w:rsidR="0024715E" w:rsidRPr="00AE7E43">
        <w:rPr>
          <w:rFonts w:ascii="Arial" w:hAnsi="Arial" w:cs="Arial"/>
          <w:sz w:val="24"/>
          <w:szCs w:val="24"/>
        </w:rPr>
        <w:t xml:space="preserve">its </w:t>
      </w:r>
      <w:r w:rsidR="001E00AF" w:rsidRPr="00AE7E43">
        <w:rPr>
          <w:rFonts w:ascii="Arial" w:hAnsi="Arial" w:cs="Arial"/>
          <w:sz w:val="24"/>
          <w:szCs w:val="24"/>
        </w:rPr>
        <w:t xml:space="preserve">asset value </w:t>
      </w:r>
      <w:r w:rsidR="0024715E" w:rsidRPr="00AE7E43">
        <w:rPr>
          <w:rFonts w:ascii="Arial" w:hAnsi="Arial" w:cs="Arial"/>
          <w:sz w:val="24"/>
          <w:szCs w:val="24"/>
        </w:rPr>
        <w:t>exceeded R1</w:t>
      </w:r>
      <w:r w:rsidR="006F28B5" w:rsidRPr="00AE7E43">
        <w:rPr>
          <w:rFonts w:ascii="Arial" w:hAnsi="Arial" w:cs="Arial"/>
          <w:sz w:val="24"/>
          <w:szCs w:val="24"/>
        </w:rPr>
        <w:t xml:space="preserve"> million,</w:t>
      </w:r>
      <w:r w:rsidR="0065343F" w:rsidRPr="00AE7E43">
        <w:rPr>
          <w:rFonts w:ascii="Arial" w:hAnsi="Arial" w:cs="Arial"/>
          <w:sz w:val="24"/>
          <w:szCs w:val="24"/>
        </w:rPr>
        <w:t xml:space="preserve"> and therefore, based on the definition of </w:t>
      </w:r>
      <w:r w:rsidR="0065343F" w:rsidRPr="00AE7E43">
        <w:rPr>
          <w:rFonts w:ascii="Arial" w:hAnsi="Arial" w:cs="Arial"/>
          <w:sz w:val="20"/>
          <w:szCs w:val="20"/>
        </w:rPr>
        <w:t>“juristic person”</w:t>
      </w:r>
      <w:r w:rsidR="0065343F" w:rsidRPr="00AE7E43">
        <w:rPr>
          <w:rFonts w:ascii="Arial" w:hAnsi="Arial" w:cs="Arial"/>
          <w:sz w:val="24"/>
          <w:szCs w:val="24"/>
        </w:rPr>
        <w:t xml:space="preserve"> and s 4 </w:t>
      </w:r>
      <w:r w:rsidR="001E00AF" w:rsidRPr="00AE7E43">
        <w:rPr>
          <w:rFonts w:ascii="Arial" w:hAnsi="Arial" w:cs="Arial"/>
          <w:sz w:val="24"/>
          <w:szCs w:val="24"/>
        </w:rPr>
        <w:t>of the NCA</w:t>
      </w:r>
      <w:r w:rsidR="00EB26CF" w:rsidRPr="00AE7E43">
        <w:rPr>
          <w:rFonts w:ascii="Arial" w:hAnsi="Arial" w:cs="Arial"/>
          <w:sz w:val="24"/>
          <w:szCs w:val="24"/>
        </w:rPr>
        <w:t>, this Act</w:t>
      </w:r>
      <w:r w:rsidR="001E00AF" w:rsidRPr="00AE7E43">
        <w:rPr>
          <w:rFonts w:ascii="Arial" w:hAnsi="Arial" w:cs="Arial"/>
          <w:sz w:val="24"/>
          <w:szCs w:val="24"/>
        </w:rPr>
        <w:t xml:space="preserve"> is </w:t>
      </w:r>
      <w:r w:rsidR="0065343F" w:rsidRPr="00AE7E43">
        <w:rPr>
          <w:rFonts w:ascii="Arial" w:hAnsi="Arial" w:cs="Arial"/>
          <w:sz w:val="24"/>
          <w:szCs w:val="24"/>
        </w:rPr>
        <w:t xml:space="preserve">not </w:t>
      </w:r>
      <w:r w:rsidR="001E00AF" w:rsidRPr="00AE7E43">
        <w:rPr>
          <w:rFonts w:ascii="Arial" w:hAnsi="Arial" w:cs="Arial"/>
          <w:sz w:val="24"/>
          <w:szCs w:val="24"/>
        </w:rPr>
        <w:t>applicable</w:t>
      </w:r>
      <w:r w:rsidR="0065343F" w:rsidRPr="00AE7E43">
        <w:rPr>
          <w:rFonts w:ascii="Arial" w:hAnsi="Arial" w:cs="Arial"/>
          <w:sz w:val="24"/>
          <w:szCs w:val="24"/>
        </w:rPr>
        <w:t xml:space="preserve"> to the credit transactions between it and the applicant</w:t>
      </w:r>
      <w:r w:rsidR="001E00AF" w:rsidRPr="00AE7E43">
        <w:rPr>
          <w:rFonts w:ascii="Arial" w:hAnsi="Arial" w:cs="Arial"/>
          <w:sz w:val="24"/>
          <w:szCs w:val="24"/>
        </w:rPr>
        <w:t xml:space="preserve">.  The </w:t>
      </w:r>
      <w:r w:rsidR="0065343F" w:rsidRPr="00AE7E43">
        <w:rPr>
          <w:rFonts w:ascii="Arial" w:hAnsi="Arial" w:cs="Arial"/>
          <w:sz w:val="24"/>
          <w:szCs w:val="24"/>
        </w:rPr>
        <w:t>relevant sub-</w:t>
      </w:r>
      <w:r w:rsidR="001E00AF" w:rsidRPr="00AE7E43">
        <w:rPr>
          <w:rFonts w:ascii="Arial" w:hAnsi="Arial" w:cs="Arial"/>
          <w:sz w:val="24"/>
          <w:szCs w:val="24"/>
        </w:rPr>
        <w:t>section</w:t>
      </w:r>
      <w:r w:rsidR="00CC2CEC" w:rsidRPr="00AE7E43">
        <w:rPr>
          <w:rFonts w:ascii="Arial" w:hAnsi="Arial" w:cs="Arial"/>
          <w:sz w:val="24"/>
          <w:szCs w:val="24"/>
        </w:rPr>
        <w:t xml:space="preserve">s read </w:t>
      </w:r>
      <w:r w:rsidR="001E00AF" w:rsidRPr="00AE7E43">
        <w:rPr>
          <w:rFonts w:ascii="Arial" w:hAnsi="Arial" w:cs="Arial"/>
          <w:sz w:val="24"/>
          <w:szCs w:val="24"/>
        </w:rPr>
        <w:t>as follows:</w:t>
      </w:r>
      <w:r w:rsidR="0065343F" w:rsidRPr="00AE7E43">
        <w:rPr>
          <w:rFonts w:ascii="Arial" w:hAnsi="Arial" w:cs="Arial"/>
          <w:b/>
          <w:bCs/>
          <w:sz w:val="20"/>
          <w:szCs w:val="20"/>
        </w:rPr>
        <w:t xml:space="preserve"> </w:t>
      </w:r>
    </w:p>
    <w:p w14:paraId="72BF5E75" w14:textId="77777777" w:rsidR="0065343F" w:rsidRPr="00AE7E43" w:rsidRDefault="0065343F" w:rsidP="001E4D6E">
      <w:pPr>
        <w:spacing w:after="0" w:line="360" w:lineRule="auto"/>
        <w:ind w:left="1560" w:hanging="567"/>
        <w:jc w:val="both"/>
        <w:rPr>
          <w:rFonts w:ascii="Arial" w:hAnsi="Arial" w:cs="Arial"/>
          <w:b/>
          <w:bCs/>
          <w:sz w:val="20"/>
          <w:szCs w:val="20"/>
        </w:rPr>
      </w:pPr>
      <w:r w:rsidRPr="00AE7E43">
        <w:rPr>
          <w:rFonts w:ascii="Arial" w:hAnsi="Arial" w:cs="Arial"/>
          <w:b/>
          <w:bCs/>
          <w:sz w:val="20"/>
          <w:szCs w:val="20"/>
        </w:rPr>
        <w:t>“</w:t>
      </w:r>
      <w:hyperlink r:id="rId9" w:tgtFrame="main" w:history="1">
        <w:r w:rsidRPr="00AE7E43">
          <w:rPr>
            <w:rStyle w:val="Hyperlink"/>
            <w:rFonts w:ascii="Arial" w:hAnsi="Arial" w:cs="Arial"/>
            <w:b/>
            <w:bCs/>
            <w:color w:val="auto"/>
            <w:sz w:val="20"/>
            <w:szCs w:val="20"/>
          </w:rPr>
          <w:t>4</w:t>
        </w:r>
      </w:hyperlink>
      <w:r w:rsidRPr="00AE7E43">
        <w:rPr>
          <w:rFonts w:ascii="Arial" w:hAnsi="Arial" w:cs="Arial"/>
          <w:b/>
          <w:bCs/>
          <w:sz w:val="20"/>
          <w:szCs w:val="20"/>
        </w:rPr>
        <w:t xml:space="preserve">  </w:t>
      </w:r>
      <w:r w:rsidR="00BA0301" w:rsidRPr="00AE7E43">
        <w:rPr>
          <w:rFonts w:ascii="Arial" w:hAnsi="Arial" w:cs="Arial"/>
          <w:b/>
          <w:bCs/>
          <w:sz w:val="20"/>
          <w:szCs w:val="20"/>
        </w:rPr>
        <w:tab/>
      </w:r>
      <w:r w:rsidRPr="00AE7E43">
        <w:rPr>
          <w:rFonts w:ascii="Arial" w:hAnsi="Arial" w:cs="Arial"/>
          <w:b/>
          <w:bCs/>
          <w:sz w:val="20"/>
          <w:szCs w:val="20"/>
        </w:rPr>
        <w:t>Application of Act</w:t>
      </w:r>
    </w:p>
    <w:bookmarkStart w:id="3" w:name="0-0-0-74989"/>
    <w:bookmarkEnd w:id="3"/>
    <w:p w14:paraId="3297A079" w14:textId="77777777" w:rsidR="0065343F" w:rsidRPr="00AE7E43" w:rsidRDefault="0065343F" w:rsidP="001E4D6E">
      <w:pPr>
        <w:spacing w:after="0" w:line="360" w:lineRule="auto"/>
        <w:ind w:left="1560" w:hanging="567"/>
        <w:jc w:val="both"/>
        <w:rPr>
          <w:rFonts w:ascii="Arial" w:hAnsi="Arial" w:cs="Arial"/>
          <w:sz w:val="20"/>
          <w:szCs w:val="20"/>
        </w:rPr>
      </w:pPr>
      <w:r w:rsidRPr="00AE7E43">
        <w:rPr>
          <w:rFonts w:ascii="Arial" w:hAnsi="Arial" w:cs="Arial"/>
          <w:sz w:val="20"/>
          <w:szCs w:val="20"/>
        </w:rPr>
        <w:fldChar w:fldCharType="begin"/>
      </w:r>
      <w:r w:rsidRPr="00AE7E4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(1)%27%5d&amp;xhitlist_md=target-id=0-0-0-74991" \t "main" </w:instrText>
      </w:r>
      <w:r w:rsidRPr="00AE7E43">
        <w:rPr>
          <w:rFonts w:ascii="Arial" w:hAnsi="Arial" w:cs="Arial"/>
          <w:sz w:val="20"/>
          <w:szCs w:val="20"/>
        </w:rPr>
        <w:fldChar w:fldCharType="separate"/>
      </w:r>
      <w:r w:rsidRPr="00AE7E43">
        <w:rPr>
          <w:rStyle w:val="Hyperlink"/>
          <w:rFonts w:ascii="Arial" w:hAnsi="Arial" w:cs="Arial"/>
          <w:color w:val="auto"/>
          <w:sz w:val="20"/>
          <w:szCs w:val="20"/>
        </w:rPr>
        <w:t>(1)</w:t>
      </w:r>
      <w:r w:rsidRPr="00AE7E43">
        <w:rPr>
          <w:rFonts w:ascii="Arial" w:hAnsi="Arial" w:cs="Arial"/>
          <w:sz w:val="20"/>
          <w:szCs w:val="20"/>
        </w:rPr>
        <w:fldChar w:fldCharType="end"/>
      </w:r>
      <w:r w:rsidRPr="00AE7E43">
        <w:rPr>
          <w:rFonts w:ascii="Arial" w:hAnsi="Arial" w:cs="Arial"/>
          <w:sz w:val="20"/>
          <w:szCs w:val="20"/>
        </w:rPr>
        <w:t> </w:t>
      </w:r>
      <w:r w:rsidR="003D3CA5" w:rsidRPr="00AE7E43">
        <w:rPr>
          <w:rFonts w:ascii="Arial" w:hAnsi="Arial" w:cs="Arial"/>
          <w:sz w:val="20"/>
          <w:szCs w:val="20"/>
        </w:rPr>
        <w:tab/>
      </w:r>
      <w:r w:rsidRPr="00AE7E43">
        <w:rPr>
          <w:rFonts w:ascii="Arial" w:hAnsi="Arial" w:cs="Arial"/>
          <w:sz w:val="20"/>
          <w:szCs w:val="20"/>
        </w:rPr>
        <w:t xml:space="preserve">Subject to sections 5 and 6, this Act applies to every credit agreement between parties dealing at arm's length and made within, or having an effect within, the Republic, </w:t>
      </w:r>
      <w:r w:rsidRPr="00AE7E43">
        <w:rPr>
          <w:rFonts w:ascii="Arial" w:hAnsi="Arial" w:cs="Arial"/>
          <w:b/>
          <w:sz w:val="20"/>
          <w:szCs w:val="20"/>
        </w:rPr>
        <w:t>except</w:t>
      </w:r>
      <w:r w:rsidRPr="00AE7E43">
        <w:rPr>
          <w:rFonts w:ascii="Arial" w:hAnsi="Arial" w:cs="Arial"/>
          <w:sz w:val="20"/>
          <w:szCs w:val="20"/>
        </w:rPr>
        <w:t>-</w:t>
      </w:r>
    </w:p>
    <w:bookmarkStart w:id="4" w:name="0-0-0-74993"/>
    <w:bookmarkEnd w:id="4"/>
    <w:p w14:paraId="7DF40012" w14:textId="77777777" w:rsidR="0065343F" w:rsidRPr="00AE7E43" w:rsidRDefault="0065343F" w:rsidP="001E4D6E">
      <w:pPr>
        <w:spacing w:after="0" w:line="360" w:lineRule="auto"/>
        <w:ind w:left="2127" w:hanging="567"/>
        <w:jc w:val="both"/>
        <w:rPr>
          <w:rFonts w:ascii="Arial" w:hAnsi="Arial" w:cs="Arial"/>
          <w:sz w:val="20"/>
          <w:szCs w:val="20"/>
        </w:rPr>
      </w:pPr>
      <w:r w:rsidRPr="00AE7E43">
        <w:rPr>
          <w:rFonts w:ascii="Arial" w:hAnsi="Arial" w:cs="Arial"/>
          <w:sz w:val="20"/>
          <w:szCs w:val="20"/>
        </w:rPr>
        <w:fldChar w:fldCharType="begin"/>
      </w:r>
      <w:r w:rsidRPr="00AE7E4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(1)(a)%27%5d&amp;xhitlist_md=target-id=0-0-0-74995" \t "main" </w:instrText>
      </w:r>
      <w:r w:rsidRPr="00AE7E43">
        <w:rPr>
          <w:rFonts w:ascii="Arial" w:hAnsi="Arial" w:cs="Arial"/>
          <w:sz w:val="20"/>
          <w:szCs w:val="20"/>
        </w:rPr>
        <w:fldChar w:fldCharType="separate"/>
      </w:r>
      <w:r w:rsidRPr="00AE7E43">
        <w:rPr>
          <w:rStyle w:val="Hyperlink"/>
          <w:rFonts w:ascii="Arial" w:hAnsi="Arial" w:cs="Arial"/>
          <w:iCs/>
          <w:color w:val="auto"/>
          <w:sz w:val="20"/>
          <w:szCs w:val="20"/>
        </w:rPr>
        <w:t>(a)</w:t>
      </w:r>
      <w:r w:rsidRPr="00AE7E43">
        <w:rPr>
          <w:rFonts w:ascii="Arial" w:hAnsi="Arial" w:cs="Arial"/>
          <w:sz w:val="20"/>
          <w:szCs w:val="20"/>
        </w:rPr>
        <w:fldChar w:fldCharType="end"/>
      </w:r>
      <w:r w:rsidRPr="00AE7E43">
        <w:rPr>
          <w:rFonts w:ascii="Arial" w:hAnsi="Arial" w:cs="Arial"/>
          <w:sz w:val="20"/>
          <w:szCs w:val="20"/>
        </w:rPr>
        <w:t>   </w:t>
      </w:r>
      <w:r w:rsidR="003D3CA5" w:rsidRPr="00AE7E43">
        <w:rPr>
          <w:rFonts w:ascii="Arial" w:hAnsi="Arial" w:cs="Arial"/>
          <w:sz w:val="20"/>
          <w:szCs w:val="20"/>
        </w:rPr>
        <w:tab/>
      </w:r>
      <w:r w:rsidRPr="00AE7E43">
        <w:rPr>
          <w:rFonts w:ascii="Arial" w:hAnsi="Arial" w:cs="Arial"/>
          <w:sz w:val="20"/>
          <w:szCs w:val="20"/>
        </w:rPr>
        <w:t>a credit agreement in terms of which the consumer is-</w:t>
      </w:r>
    </w:p>
    <w:bookmarkStart w:id="5" w:name="0-0-0-74997"/>
    <w:bookmarkEnd w:id="5"/>
    <w:p w14:paraId="14B3A2A2" w14:textId="77777777" w:rsidR="0065343F" w:rsidRPr="00AE7E43" w:rsidRDefault="0065343F" w:rsidP="001E4D6E">
      <w:pPr>
        <w:spacing w:after="0" w:line="360" w:lineRule="auto"/>
        <w:ind w:left="2694" w:hanging="567"/>
        <w:jc w:val="both"/>
        <w:rPr>
          <w:rFonts w:ascii="Arial" w:hAnsi="Arial" w:cs="Arial"/>
          <w:sz w:val="20"/>
          <w:szCs w:val="20"/>
        </w:rPr>
      </w:pPr>
      <w:r w:rsidRPr="00AE7E43">
        <w:rPr>
          <w:rFonts w:ascii="Arial" w:hAnsi="Arial" w:cs="Arial"/>
          <w:sz w:val="20"/>
          <w:szCs w:val="20"/>
        </w:rPr>
        <w:fldChar w:fldCharType="begin"/>
      </w:r>
      <w:r w:rsidRPr="00AE7E4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(1)(a)(i)%27%5d&amp;xhitlist_md=target-id=0-0-0-74999" \t "main" </w:instrText>
      </w:r>
      <w:r w:rsidRPr="00AE7E43">
        <w:rPr>
          <w:rFonts w:ascii="Arial" w:hAnsi="Arial" w:cs="Arial"/>
          <w:sz w:val="20"/>
          <w:szCs w:val="20"/>
        </w:rPr>
        <w:fldChar w:fldCharType="separate"/>
      </w:r>
      <w:r w:rsidRPr="00AE7E43">
        <w:rPr>
          <w:rStyle w:val="Hyperlink"/>
          <w:rFonts w:ascii="Arial" w:hAnsi="Arial" w:cs="Arial"/>
          <w:color w:val="auto"/>
          <w:sz w:val="20"/>
          <w:szCs w:val="20"/>
        </w:rPr>
        <w:t>(i)</w:t>
      </w:r>
      <w:r w:rsidRPr="00AE7E43">
        <w:rPr>
          <w:rFonts w:ascii="Arial" w:hAnsi="Arial" w:cs="Arial"/>
          <w:sz w:val="20"/>
          <w:szCs w:val="20"/>
        </w:rPr>
        <w:fldChar w:fldCharType="end"/>
      </w:r>
      <w:r w:rsidRPr="00AE7E43">
        <w:rPr>
          <w:rFonts w:ascii="Arial" w:hAnsi="Arial" w:cs="Arial"/>
          <w:sz w:val="20"/>
          <w:szCs w:val="20"/>
        </w:rPr>
        <w:t>   </w:t>
      </w:r>
      <w:r w:rsidR="003D3CA5" w:rsidRPr="00AE7E43">
        <w:rPr>
          <w:rFonts w:ascii="Arial" w:hAnsi="Arial" w:cs="Arial"/>
          <w:sz w:val="20"/>
          <w:szCs w:val="20"/>
        </w:rPr>
        <w:tab/>
      </w:r>
      <w:r w:rsidRPr="00AE7E43">
        <w:rPr>
          <w:rFonts w:ascii="Arial" w:hAnsi="Arial" w:cs="Arial"/>
          <w:sz w:val="20"/>
          <w:szCs w:val="20"/>
        </w:rPr>
        <w:t>a juristic person whose asset value or annual turnover, together with the combined asset value or annual turnover of all related juristic persons, at the time the agreement is made, equals or exceeds the threshold value determined by the Minister in terms of section 7 (1);</w:t>
      </w:r>
    </w:p>
    <w:p w14:paraId="4A72F080" w14:textId="77777777" w:rsidR="0065343F" w:rsidRPr="00AE7E43" w:rsidRDefault="0065343F" w:rsidP="001E4D6E">
      <w:pPr>
        <w:spacing w:after="0" w:line="360" w:lineRule="auto"/>
        <w:ind w:left="2694" w:hanging="567"/>
        <w:jc w:val="both"/>
        <w:rPr>
          <w:rFonts w:ascii="Arial" w:hAnsi="Arial" w:cs="Arial"/>
          <w:sz w:val="20"/>
          <w:szCs w:val="20"/>
        </w:rPr>
      </w:pPr>
      <w:bookmarkStart w:id="6" w:name="0-0-0-75001"/>
      <w:bookmarkEnd w:id="6"/>
      <w:r w:rsidRPr="00AE7E43">
        <w:rPr>
          <w:rFonts w:ascii="Arial" w:hAnsi="Arial" w:cs="Arial"/>
          <w:sz w:val="20"/>
          <w:szCs w:val="20"/>
        </w:rPr>
        <w:t>(ii)   </w:t>
      </w:r>
      <w:r w:rsidR="003D3CA5" w:rsidRPr="00AE7E43">
        <w:rPr>
          <w:rFonts w:ascii="Arial" w:hAnsi="Arial" w:cs="Arial"/>
          <w:sz w:val="20"/>
          <w:szCs w:val="20"/>
        </w:rPr>
        <w:tab/>
      </w:r>
      <w:r w:rsidRPr="00AE7E43">
        <w:rPr>
          <w:rFonts w:ascii="Arial" w:hAnsi="Arial" w:cs="Arial"/>
          <w:sz w:val="20"/>
          <w:szCs w:val="20"/>
        </w:rPr>
        <w:t>the state; or</w:t>
      </w:r>
    </w:p>
    <w:p w14:paraId="36813B90" w14:textId="77777777" w:rsidR="0065343F" w:rsidRPr="00AE7E43" w:rsidRDefault="0065343F" w:rsidP="001E4D6E">
      <w:pPr>
        <w:spacing w:after="0" w:line="360" w:lineRule="auto"/>
        <w:ind w:left="2694" w:hanging="567"/>
        <w:jc w:val="both"/>
        <w:rPr>
          <w:rFonts w:ascii="Arial" w:hAnsi="Arial" w:cs="Arial"/>
          <w:sz w:val="20"/>
          <w:szCs w:val="20"/>
        </w:rPr>
      </w:pPr>
      <w:bookmarkStart w:id="7" w:name="0-0-0-75003"/>
      <w:bookmarkEnd w:id="7"/>
      <w:r w:rsidRPr="00AE7E43">
        <w:rPr>
          <w:rFonts w:ascii="Arial" w:hAnsi="Arial" w:cs="Arial"/>
          <w:sz w:val="20"/>
          <w:szCs w:val="20"/>
        </w:rPr>
        <w:t>(iii)   </w:t>
      </w:r>
      <w:r w:rsidR="003D3CA5" w:rsidRPr="00AE7E43">
        <w:rPr>
          <w:rFonts w:ascii="Arial" w:hAnsi="Arial" w:cs="Arial"/>
          <w:sz w:val="20"/>
          <w:szCs w:val="20"/>
        </w:rPr>
        <w:tab/>
      </w:r>
      <w:r w:rsidRPr="00AE7E43">
        <w:rPr>
          <w:rFonts w:ascii="Arial" w:hAnsi="Arial" w:cs="Arial"/>
          <w:sz w:val="20"/>
          <w:szCs w:val="20"/>
        </w:rPr>
        <w:t>an organ of state;</w:t>
      </w:r>
    </w:p>
    <w:bookmarkStart w:id="8" w:name="0-0-0-75005"/>
    <w:bookmarkEnd w:id="8"/>
    <w:p w14:paraId="16D6CDB8" w14:textId="77777777" w:rsidR="001E00AF" w:rsidRPr="00AE7E43" w:rsidRDefault="0065343F" w:rsidP="001E4D6E">
      <w:pPr>
        <w:spacing w:after="0" w:line="360" w:lineRule="auto"/>
        <w:ind w:left="2127" w:hanging="567"/>
        <w:jc w:val="both"/>
        <w:rPr>
          <w:rFonts w:ascii="Arial" w:hAnsi="Arial" w:cs="Arial"/>
          <w:sz w:val="20"/>
          <w:szCs w:val="20"/>
        </w:rPr>
      </w:pPr>
      <w:r w:rsidRPr="00AE7E43">
        <w:rPr>
          <w:rFonts w:ascii="Arial" w:hAnsi="Arial" w:cs="Arial"/>
          <w:sz w:val="20"/>
          <w:szCs w:val="20"/>
        </w:rPr>
        <w:lastRenderedPageBreak/>
        <w:fldChar w:fldCharType="begin"/>
      </w:r>
      <w:r w:rsidRPr="00AE7E4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(1)(b)%27%5d&amp;xhitlist_md=target-id=0-0-0-75007" \t "main" </w:instrText>
      </w:r>
      <w:r w:rsidRPr="00AE7E43">
        <w:rPr>
          <w:rFonts w:ascii="Arial" w:hAnsi="Arial" w:cs="Arial"/>
          <w:sz w:val="20"/>
          <w:szCs w:val="20"/>
        </w:rPr>
        <w:fldChar w:fldCharType="separate"/>
      </w:r>
      <w:r w:rsidRPr="00AE7E43">
        <w:rPr>
          <w:rStyle w:val="Hyperlink"/>
          <w:rFonts w:ascii="Arial" w:hAnsi="Arial" w:cs="Arial"/>
          <w:iCs/>
          <w:color w:val="auto"/>
          <w:sz w:val="20"/>
          <w:szCs w:val="20"/>
        </w:rPr>
        <w:t>(b)</w:t>
      </w:r>
      <w:r w:rsidRPr="00AE7E43">
        <w:rPr>
          <w:rFonts w:ascii="Arial" w:hAnsi="Arial" w:cs="Arial"/>
          <w:sz w:val="20"/>
          <w:szCs w:val="20"/>
        </w:rPr>
        <w:fldChar w:fldCharType="end"/>
      </w:r>
      <w:r w:rsidRPr="00AE7E43">
        <w:rPr>
          <w:rFonts w:ascii="Arial" w:hAnsi="Arial" w:cs="Arial"/>
          <w:sz w:val="20"/>
          <w:szCs w:val="20"/>
        </w:rPr>
        <w:t>   </w:t>
      </w:r>
      <w:r w:rsidR="003D3CA5" w:rsidRPr="00AE7E43">
        <w:rPr>
          <w:rFonts w:ascii="Arial" w:hAnsi="Arial" w:cs="Arial"/>
          <w:sz w:val="20"/>
          <w:szCs w:val="20"/>
        </w:rPr>
        <w:tab/>
      </w:r>
      <w:r w:rsidRPr="00AE7E43">
        <w:rPr>
          <w:rFonts w:ascii="Arial" w:hAnsi="Arial" w:cs="Arial"/>
          <w:sz w:val="20"/>
          <w:szCs w:val="20"/>
        </w:rPr>
        <w:t>a large agreement, as described in section 9 (4), in terms of which the consumer is a juristic person whose asset value or annual turnover is, at the time the agreement is made, below the threshold value determined by the Minister in terms of section 7 (1);</w:t>
      </w:r>
    </w:p>
    <w:p w14:paraId="499ECD7B" w14:textId="77777777" w:rsidR="0065343F" w:rsidRPr="00AE7E43" w:rsidRDefault="003D3CA5" w:rsidP="001E4D6E">
      <w:pPr>
        <w:spacing w:after="0" w:line="360" w:lineRule="auto"/>
        <w:ind w:left="1560" w:hanging="567"/>
        <w:jc w:val="both"/>
        <w:rPr>
          <w:rFonts w:ascii="Arial" w:eastAsia="Times New Roman" w:hAnsi="Arial" w:cs="Arial"/>
          <w:sz w:val="20"/>
          <w:szCs w:val="20"/>
          <w:lang w:eastAsia="en-ZA"/>
        </w:rPr>
      </w:pPr>
      <w:r w:rsidRPr="00AE7E43">
        <w:rPr>
          <w:rFonts w:ascii="Arial" w:eastAsia="Times New Roman" w:hAnsi="Arial" w:cs="Arial"/>
          <w:sz w:val="20"/>
          <w:szCs w:val="20"/>
          <w:lang w:eastAsia="en-ZA"/>
        </w:rPr>
        <w:t>(</w:t>
      </w:r>
      <w:r w:rsidR="0065343F" w:rsidRPr="00AE7E43">
        <w:rPr>
          <w:rFonts w:ascii="Arial" w:eastAsia="Times New Roman" w:hAnsi="Arial" w:cs="Arial"/>
          <w:sz w:val="20"/>
          <w:szCs w:val="20"/>
          <w:lang w:eastAsia="en-ZA"/>
        </w:rPr>
        <w:t xml:space="preserve">2) </w:t>
      </w:r>
      <w:r w:rsidRPr="00AE7E43">
        <w:rPr>
          <w:rFonts w:ascii="Arial" w:eastAsia="Times New Roman" w:hAnsi="Arial" w:cs="Arial"/>
          <w:sz w:val="20"/>
          <w:szCs w:val="20"/>
          <w:lang w:eastAsia="en-ZA"/>
        </w:rPr>
        <w:tab/>
      </w:r>
      <w:r w:rsidR="0065343F" w:rsidRPr="00AE7E43">
        <w:rPr>
          <w:rFonts w:ascii="Arial" w:eastAsia="Times New Roman" w:hAnsi="Arial" w:cs="Arial"/>
          <w:sz w:val="20"/>
          <w:szCs w:val="20"/>
          <w:lang w:eastAsia="en-ZA"/>
        </w:rPr>
        <w:t>For greater certainty in applying subsection (1)-</w:t>
      </w:r>
    </w:p>
    <w:p w14:paraId="6C3DC604" w14:textId="77777777" w:rsidR="0065343F" w:rsidRPr="00AE7E43" w:rsidRDefault="003D3CA5" w:rsidP="001E4D6E">
      <w:pPr>
        <w:spacing w:after="0" w:line="360" w:lineRule="auto"/>
        <w:ind w:left="2127" w:hanging="567"/>
        <w:jc w:val="both"/>
        <w:rPr>
          <w:rFonts w:ascii="Arial" w:eastAsia="Times New Roman" w:hAnsi="Arial" w:cs="Arial"/>
          <w:sz w:val="20"/>
          <w:szCs w:val="20"/>
          <w:lang w:eastAsia="en-ZA"/>
        </w:rPr>
      </w:pPr>
      <w:bookmarkStart w:id="9" w:name="0-0-0-75015"/>
      <w:bookmarkEnd w:id="9"/>
      <w:r w:rsidRPr="00AE7E43">
        <w:rPr>
          <w:rFonts w:ascii="Arial" w:eastAsia="Times New Roman" w:hAnsi="Arial" w:cs="Arial"/>
          <w:iCs/>
          <w:sz w:val="20"/>
          <w:szCs w:val="20"/>
          <w:lang w:eastAsia="en-ZA"/>
        </w:rPr>
        <w:t>(</w:t>
      </w:r>
      <w:r w:rsidR="0065343F" w:rsidRPr="00AE7E43">
        <w:rPr>
          <w:rFonts w:ascii="Arial" w:eastAsia="Times New Roman" w:hAnsi="Arial" w:cs="Arial"/>
          <w:iCs/>
          <w:sz w:val="20"/>
          <w:szCs w:val="20"/>
          <w:lang w:eastAsia="en-ZA"/>
        </w:rPr>
        <w:t>a)</w:t>
      </w:r>
      <w:r w:rsidR="0065343F" w:rsidRPr="00AE7E43">
        <w:rPr>
          <w:rFonts w:ascii="Arial" w:eastAsia="Times New Roman" w:hAnsi="Arial" w:cs="Arial"/>
          <w:sz w:val="20"/>
          <w:szCs w:val="20"/>
          <w:lang w:eastAsia="en-ZA"/>
        </w:rPr>
        <w:t>   </w:t>
      </w:r>
      <w:r w:rsidRPr="00AE7E43">
        <w:rPr>
          <w:rFonts w:ascii="Arial" w:eastAsia="Times New Roman" w:hAnsi="Arial" w:cs="Arial"/>
          <w:sz w:val="20"/>
          <w:szCs w:val="20"/>
          <w:lang w:eastAsia="en-ZA"/>
        </w:rPr>
        <w:tab/>
      </w:r>
      <w:r w:rsidR="0065343F" w:rsidRPr="00AE7E43">
        <w:rPr>
          <w:rFonts w:ascii="Arial" w:eastAsia="Times New Roman" w:hAnsi="Arial" w:cs="Arial"/>
          <w:sz w:val="20"/>
          <w:szCs w:val="20"/>
          <w:lang w:eastAsia="en-ZA"/>
        </w:rPr>
        <w:t>the asset value or annual turnover of a juristic person at the time a credit agreement is made, is the value stated as such by that juristic person at the time it applies for or enters into that agreement;</w:t>
      </w:r>
    </w:p>
    <w:p w14:paraId="18E27B98" w14:textId="77777777" w:rsidR="00EB26CF" w:rsidRPr="00AE7E43" w:rsidRDefault="00EB26CF" w:rsidP="001E4D6E">
      <w:pPr>
        <w:spacing w:after="0" w:line="360" w:lineRule="auto"/>
        <w:ind w:left="2127" w:hanging="567"/>
        <w:jc w:val="both"/>
        <w:rPr>
          <w:rFonts w:ascii="Arial" w:eastAsia="Times New Roman" w:hAnsi="Arial" w:cs="Arial"/>
          <w:sz w:val="20"/>
          <w:szCs w:val="20"/>
          <w:lang w:eastAsia="en-ZA"/>
        </w:rPr>
      </w:pPr>
      <w:r w:rsidRPr="00AE7E43">
        <w:rPr>
          <w:rFonts w:ascii="Arial" w:eastAsia="Times New Roman" w:hAnsi="Arial" w:cs="Arial"/>
          <w:sz w:val="20"/>
          <w:szCs w:val="20"/>
          <w:lang w:eastAsia="en-ZA"/>
        </w:rPr>
        <w:t xml:space="preserve">(b) </w:t>
      </w:r>
      <w:r w:rsidR="003D3CA5" w:rsidRPr="00AE7E43">
        <w:rPr>
          <w:rFonts w:ascii="Arial" w:eastAsia="Times New Roman" w:hAnsi="Arial" w:cs="Arial"/>
          <w:sz w:val="20"/>
          <w:szCs w:val="20"/>
          <w:lang w:eastAsia="en-ZA"/>
        </w:rPr>
        <w:tab/>
      </w:r>
      <w:r w:rsidRPr="00AE7E43">
        <w:rPr>
          <w:rFonts w:ascii="Arial" w:eastAsia="Times New Roman" w:hAnsi="Arial" w:cs="Arial"/>
          <w:sz w:val="20"/>
          <w:szCs w:val="20"/>
          <w:lang w:eastAsia="en-ZA"/>
        </w:rPr>
        <w:t>….</w:t>
      </w:r>
    </w:p>
    <w:bookmarkStart w:id="10" w:name="0-0-0-75039"/>
    <w:bookmarkEnd w:id="10"/>
    <w:p w14:paraId="43AC3EAD" w14:textId="77777777" w:rsidR="001E00AF" w:rsidRPr="00AE7E43" w:rsidRDefault="00EB26CF" w:rsidP="001E4D6E">
      <w:pPr>
        <w:spacing w:after="0" w:line="360" w:lineRule="auto"/>
        <w:ind w:left="2127" w:hanging="567"/>
        <w:jc w:val="both"/>
        <w:rPr>
          <w:rFonts w:ascii="Arial" w:hAnsi="Arial" w:cs="Arial"/>
          <w:sz w:val="20"/>
          <w:szCs w:val="20"/>
        </w:rPr>
      </w:pPr>
      <w:r w:rsidRPr="00AE7E43">
        <w:rPr>
          <w:rFonts w:ascii="Arial" w:hAnsi="Arial" w:cs="Arial"/>
          <w:sz w:val="20"/>
          <w:szCs w:val="20"/>
        </w:rPr>
        <w:fldChar w:fldCharType="begin"/>
      </w:r>
      <w:r w:rsidRPr="00AE7E4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4(2)(c)%27%5d&amp;xhitlist_md=target-id=0-0-0-75041" \t "main" </w:instrText>
      </w:r>
      <w:r w:rsidRPr="00AE7E43">
        <w:rPr>
          <w:rFonts w:ascii="Arial" w:hAnsi="Arial" w:cs="Arial"/>
          <w:sz w:val="20"/>
          <w:szCs w:val="20"/>
        </w:rPr>
        <w:fldChar w:fldCharType="separate"/>
      </w:r>
      <w:r w:rsidRPr="00AE7E43">
        <w:rPr>
          <w:rStyle w:val="Hyperlink"/>
          <w:rFonts w:ascii="Arial" w:hAnsi="Arial" w:cs="Arial"/>
          <w:iCs/>
          <w:color w:val="auto"/>
          <w:sz w:val="20"/>
          <w:szCs w:val="20"/>
        </w:rPr>
        <w:t>(c)</w:t>
      </w:r>
      <w:r w:rsidRPr="00AE7E43">
        <w:rPr>
          <w:rFonts w:ascii="Arial" w:hAnsi="Arial" w:cs="Arial"/>
          <w:sz w:val="20"/>
          <w:szCs w:val="20"/>
        </w:rPr>
        <w:fldChar w:fldCharType="end"/>
      </w:r>
      <w:r w:rsidRPr="00AE7E43">
        <w:rPr>
          <w:rFonts w:ascii="Arial" w:hAnsi="Arial" w:cs="Arial"/>
          <w:sz w:val="20"/>
          <w:szCs w:val="20"/>
        </w:rPr>
        <w:t>   </w:t>
      </w:r>
      <w:r w:rsidR="003D3CA5" w:rsidRPr="00AE7E43">
        <w:rPr>
          <w:rFonts w:ascii="Arial" w:hAnsi="Arial" w:cs="Arial"/>
          <w:sz w:val="20"/>
          <w:szCs w:val="20"/>
        </w:rPr>
        <w:tab/>
      </w:r>
      <w:r w:rsidRPr="00AE7E43">
        <w:rPr>
          <w:rFonts w:ascii="Arial" w:hAnsi="Arial" w:cs="Arial"/>
          <w:sz w:val="20"/>
          <w:szCs w:val="20"/>
        </w:rPr>
        <w:t xml:space="preserve">this Act applies to a credit guarantee only to the extent that this Act applies to a credit facility or credit transaction in respect of which the credit guarantee is granted;” </w:t>
      </w:r>
      <w:r w:rsidR="0065343F" w:rsidRPr="00AE7E43">
        <w:rPr>
          <w:rFonts w:ascii="Arial" w:hAnsi="Arial" w:cs="Arial"/>
          <w:sz w:val="20"/>
          <w:szCs w:val="20"/>
        </w:rPr>
        <w:t xml:space="preserve"> </w:t>
      </w:r>
    </w:p>
    <w:p w14:paraId="41ED3F20" w14:textId="77777777" w:rsidR="004C2FA2" w:rsidRPr="00AE7E43" w:rsidRDefault="0065343F" w:rsidP="001E4D6E">
      <w:pPr>
        <w:spacing w:after="0" w:line="360" w:lineRule="auto"/>
        <w:ind w:left="1560" w:hanging="567"/>
        <w:jc w:val="both"/>
        <w:rPr>
          <w:rFonts w:ascii="Arial" w:hAnsi="Arial" w:cs="Arial"/>
          <w:sz w:val="24"/>
          <w:szCs w:val="24"/>
        </w:rPr>
      </w:pPr>
      <w:r w:rsidRPr="00AE7E43">
        <w:rPr>
          <w:rFonts w:ascii="Arial" w:hAnsi="Arial" w:cs="Arial"/>
          <w:sz w:val="24"/>
          <w:szCs w:val="24"/>
        </w:rPr>
        <w:t>Sub-section 4(4) relied upon by the respondent</w:t>
      </w:r>
      <w:r w:rsidR="006F28B5" w:rsidRPr="00AE7E43">
        <w:rPr>
          <w:rFonts w:ascii="Arial" w:hAnsi="Arial" w:cs="Arial"/>
          <w:sz w:val="24"/>
          <w:szCs w:val="24"/>
        </w:rPr>
        <w:t>s</w:t>
      </w:r>
      <w:r w:rsidRPr="00AE7E43">
        <w:rPr>
          <w:rFonts w:ascii="Arial" w:hAnsi="Arial" w:cs="Arial"/>
          <w:sz w:val="24"/>
          <w:szCs w:val="24"/>
        </w:rPr>
        <w:t xml:space="preserve">, reads as follows: </w:t>
      </w:r>
    </w:p>
    <w:p w14:paraId="459B8504" w14:textId="77777777" w:rsidR="0065343F" w:rsidRPr="00AE7E43" w:rsidRDefault="0065343F" w:rsidP="001E4D6E">
      <w:pPr>
        <w:spacing w:after="0" w:line="360" w:lineRule="auto"/>
        <w:ind w:left="1560" w:hanging="567"/>
        <w:jc w:val="both"/>
        <w:rPr>
          <w:rFonts w:ascii="Arial" w:eastAsia="Times New Roman" w:hAnsi="Arial" w:cs="Arial"/>
          <w:sz w:val="20"/>
          <w:szCs w:val="20"/>
          <w:lang w:eastAsia="en-ZA"/>
        </w:rPr>
      </w:pPr>
      <w:r w:rsidRPr="00AE7E43">
        <w:rPr>
          <w:rFonts w:ascii="Arial" w:hAnsi="Arial" w:cs="Arial"/>
          <w:sz w:val="20"/>
          <w:szCs w:val="20"/>
        </w:rPr>
        <w:t>“</w:t>
      </w:r>
      <w:r w:rsidRPr="00AE7E43">
        <w:rPr>
          <w:rFonts w:ascii="Arial" w:eastAsia="Times New Roman" w:hAnsi="Arial" w:cs="Arial"/>
          <w:sz w:val="20"/>
          <w:szCs w:val="20"/>
          <w:lang w:eastAsia="en-ZA"/>
        </w:rPr>
        <w:t xml:space="preserve">(4) </w:t>
      </w:r>
      <w:r w:rsidR="003D3CA5" w:rsidRPr="00AE7E43">
        <w:rPr>
          <w:rFonts w:ascii="Arial" w:eastAsia="Times New Roman" w:hAnsi="Arial" w:cs="Arial"/>
          <w:sz w:val="20"/>
          <w:szCs w:val="20"/>
          <w:lang w:eastAsia="en-ZA"/>
        </w:rPr>
        <w:tab/>
      </w:r>
      <w:r w:rsidRPr="00AE7E43">
        <w:rPr>
          <w:rFonts w:ascii="Arial" w:eastAsia="Times New Roman" w:hAnsi="Arial" w:cs="Arial"/>
          <w:sz w:val="20"/>
          <w:szCs w:val="20"/>
          <w:lang w:eastAsia="en-ZA"/>
        </w:rPr>
        <w:t>If this Act applies to a credit agreement-</w:t>
      </w:r>
    </w:p>
    <w:p w14:paraId="7A4AD4D9" w14:textId="77777777" w:rsidR="0065343F" w:rsidRPr="00AE7E43" w:rsidRDefault="0065343F" w:rsidP="001E4D6E">
      <w:pPr>
        <w:spacing w:after="0" w:line="360" w:lineRule="auto"/>
        <w:ind w:left="2127" w:hanging="567"/>
        <w:jc w:val="both"/>
        <w:rPr>
          <w:rFonts w:ascii="Arial" w:eastAsia="Times New Roman" w:hAnsi="Arial" w:cs="Arial"/>
          <w:sz w:val="20"/>
          <w:szCs w:val="20"/>
          <w:lang w:eastAsia="en-ZA"/>
        </w:rPr>
      </w:pPr>
      <w:bookmarkStart w:id="11" w:name="0-0-0-75069"/>
      <w:bookmarkEnd w:id="11"/>
      <w:r w:rsidRPr="00AE7E43">
        <w:rPr>
          <w:rFonts w:ascii="Arial" w:eastAsia="Times New Roman" w:hAnsi="Arial" w:cs="Arial"/>
          <w:iCs/>
          <w:sz w:val="20"/>
          <w:szCs w:val="20"/>
          <w:lang w:eastAsia="en-ZA"/>
        </w:rPr>
        <w:t>(a)</w:t>
      </w:r>
      <w:r w:rsidRPr="00AE7E43">
        <w:rPr>
          <w:rFonts w:ascii="Arial" w:eastAsia="Times New Roman" w:hAnsi="Arial" w:cs="Arial"/>
          <w:sz w:val="20"/>
          <w:szCs w:val="20"/>
          <w:lang w:eastAsia="en-ZA"/>
        </w:rPr>
        <w:t>   </w:t>
      </w:r>
      <w:r w:rsidR="003D3CA5" w:rsidRPr="00AE7E43">
        <w:rPr>
          <w:rFonts w:ascii="Arial" w:eastAsia="Times New Roman" w:hAnsi="Arial" w:cs="Arial"/>
          <w:sz w:val="20"/>
          <w:szCs w:val="20"/>
          <w:lang w:eastAsia="en-ZA"/>
        </w:rPr>
        <w:tab/>
      </w:r>
      <w:r w:rsidRPr="00AE7E43">
        <w:rPr>
          <w:rFonts w:ascii="Arial" w:eastAsia="Times New Roman" w:hAnsi="Arial" w:cs="Arial"/>
          <w:sz w:val="20"/>
          <w:szCs w:val="20"/>
          <w:lang w:eastAsia="en-ZA"/>
        </w:rPr>
        <w:t>it continues to apply to that agreement even if a party to that agreement ceases to reside or have its principal office within the Republic; and</w:t>
      </w:r>
    </w:p>
    <w:p w14:paraId="23D48657" w14:textId="77777777" w:rsidR="0065343F" w:rsidRPr="00AE7E43" w:rsidRDefault="0065343F" w:rsidP="001E4D6E">
      <w:pPr>
        <w:spacing w:after="0" w:line="360" w:lineRule="auto"/>
        <w:ind w:left="2127" w:hanging="567"/>
        <w:jc w:val="both"/>
        <w:rPr>
          <w:rFonts w:ascii="Arial" w:eastAsia="Times New Roman" w:hAnsi="Arial" w:cs="Arial"/>
          <w:sz w:val="24"/>
          <w:szCs w:val="24"/>
          <w:lang w:eastAsia="en-ZA"/>
        </w:rPr>
      </w:pPr>
      <w:bookmarkStart w:id="12" w:name="0-0-0-75071"/>
      <w:bookmarkEnd w:id="12"/>
      <w:r w:rsidRPr="00AE7E43">
        <w:rPr>
          <w:rFonts w:ascii="Arial" w:eastAsia="Times New Roman" w:hAnsi="Arial" w:cs="Arial"/>
          <w:iCs/>
          <w:sz w:val="20"/>
          <w:szCs w:val="20"/>
          <w:lang w:eastAsia="en-ZA"/>
        </w:rPr>
        <w:t>(b)</w:t>
      </w:r>
      <w:r w:rsidRPr="00AE7E43">
        <w:rPr>
          <w:rFonts w:ascii="Arial" w:eastAsia="Times New Roman" w:hAnsi="Arial" w:cs="Arial"/>
          <w:sz w:val="20"/>
          <w:szCs w:val="20"/>
          <w:lang w:eastAsia="en-ZA"/>
        </w:rPr>
        <w:t>  </w:t>
      </w:r>
      <w:r w:rsidR="003D3CA5" w:rsidRPr="00AE7E43">
        <w:rPr>
          <w:rFonts w:ascii="Arial" w:eastAsia="Times New Roman" w:hAnsi="Arial" w:cs="Arial"/>
          <w:sz w:val="20"/>
          <w:szCs w:val="20"/>
          <w:lang w:eastAsia="en-ZA"/>
        </w:rPr>
        <w:tab/>
      </w:r>
      <w:r w:rsidRPr="00AE7E43">
        <w:rPr>
          <w:rFonts w:ascii="Arial" w:eastAsia="Times New Roman" w:hAnsi="Arial" w:cs="Arial"/>
          <w:sz w:val="20"/>
          <w:szCs w:val="20"/>
          <w:lang w:eastAsia="en-ZA"/>
        </w:rPr>
        <w:t>it applies in relation to every transaction, act or omission under that agreement, whether that transaction, act or omission occurs within or outside the Republic.</w:t>
      </w:r>
      <w:r w:rsidR="00EB26CF" w:rsidRPr="00AE7E43">
        <w:rPr>
          <w:rFonts w:ascii="Arial" w:eastAsia="Times New Roman" w:hAnsi="Arial" w:cs="Arial"/>
          <w:sz w:val="20"/>
          <w:szCs w:val="20"/>
          <w:lang w:eastAsia="en-ZA"/>
        </w:rPr>
        <w:t>”</w:t>
      </w:r>
      <w:r w:rsidR="00123EFA" w:rsidRPr="00AE7E43">
        <w:rPr>
          <w:rFonts w:ascii="Arial" w:eastAsia="Times New Roman" w:hAnsi="Arial" w:cs="Arial"/>
          <w:sz w:val="20"/>
          <w:szCs w:val="20"/>
          <w:lang w:eastAsia="en-ZA"/>
        </w:rPr>
        <w:t xml:space="preserve">  </w:t>
      </w:r>
      <w:r w:rsidR="00123EFA" w:rsidRPr="00AE7E43">
        <w:rPr>
          <w:rFonts w:ascii="Arial" w:eastAsia="Times New Roman" w:hAnsi="Arial" w:cs="Arial"/>
          <w:sz w:val="24"/>
          <w:szCs w:val="24"/>
          <w:lang w:eastAsia="en-ZA"/>
        </w:rPr>
        <w:t>(emphasis added)</w:t>
      </w:r>
    </w:p>
    <w:p w14:paraId="2B3274AC" w14:textId="77777777" w:rsidR="004C2FA2" w:rsidRPr="00AE7E43" w:rsidRDefault="004C2FA2" w:rsidP="001E4D6E">
      <w:pPr>
        <w:spacing w:after="0" w:line="360" w:lineRule="auto"/>
        <w:ind w:left="1560" w:hanging="567"/>
        <w:jc w:val="both"/>
        <w:rPr>
          <w:rFonts w:ascii="Arial" w:eastAsia="Times New Roman" w:hAnsi="Arial" w:cs="Arial"/>
          <w:sz w:val="20"/>
          <w:szCs w:val="20"/>
          <w:lang w:eastAsia="en-ZA"/>
        </w:rPr>
      </w:pPr>
    </w:p>
    <w:p w14:paraId="49B2C5BF" w14:textId="77777777" w:rsidR="004C2FA2" w:rsidRPr="00AE7E43" w:rsidRDefault="006F28B5" w:rsidP="001E4D6E">
      <w:pPr>
        <w:spacing w:after="0" w:line="360" w:lineRule="auto"/>
        <w:ind w:left="993"/>
        <w:jc w:val="both"/>
        <w:rPr>
          <w:rFonts w:ascii="Arial" w:eastAsia="Times New Roman" w:hAnsi="Arial" w:cs="Arial"/>
          <w:sz w:val="24"/>
          <w:szCs w:val="24"/>
          <w:lang w:eastAsia="en-ZA"/>
        </w:rPr>
      </w:pPr>
      <w:r w:rsidRPr="00AE7E43">
        <w:rPr>
          <w:rFonts w:ascii="Arial" w:eastAsia="Times New Roman" w:hAnsi="Arial" w:cs="Arial"/>
          <w:sz w:val="24"/>
          <w:szCs w:val="24"/>
          <w:lang w:eastAsia="en-ZA"/>
        </w:rPr>
        <w:t>As mentioned, t</w:t>
      </w:r>
      <w:r w:rsidR="00C6620A" w:rsidRPr="00AE7E43">
        <w:rPr>
          <w:rFonts w:ascii="Arial" w:eastAsia="Times New Roman" w:hAnsi="Arial" w:cs="Arial"/>
          <w:sz w:val="24"/>
          <w:szCs w:val="24"/>
          <w:lang w:eastAsia="en-ZA"/>
        </w:rPr>
        <w:t>he 5</w:t>
      </w:r>
      <w:r w:rsidR="00C6620A" w:rsidRPr="00AE7E43">
        <w:rPr>
          <w:rFonts w:ascii="Arial" w:eastAsia="Times New Roman" w:hAnsi="Arial" w:cs="Arial"/>
          <w:sz w:val="24"/>
          <w:szCs w:val="24"/>
          <w:vertAlign w:val="superscript"/>
          <w:lang w:eastAsia="en-ZA"/>
        </w:rPr>
        <w:t>th</w:t>
      </w:r>
      <w:r w:rsidR="00C6620A" w:rsidRPr="00AE7E43">
        <w:rPr>
          <w:rFonts w:ascii="Arial" w:eastAsia="Times New Roman" w:hAnsi="Arial" w:cs="Arial"/>
          <w:sz w:val="24"/>
          <w:szCs w:val="24"/>
          <w:lang w:eastAsia="en-ZA"/>
        </w:rPr>
        <w:t xml:space="preserve"> respondent in his personal capacity entered into the current account agreement which is the subject of the first claim </w:t>
      </w:r>
      <w:r w:rsidR="008A11D1" w:rsidRPr="00AE7E43">
        <w:rPr>
          <w:rFonts w:ascii="Arial" w:eastAsia="Times New Roman" w:hAnsi="Arial" w:cs="Arial"/>
          <w:sz w:val="24"/>
          <w:szCs w:val="24"/>
          <w:lang w:eastAsia="en-ZA"/>
        </w:rPr>
        <w:t xml:space="preserve">– in excess of R8 million - </w:t>
      </w:r>
      <w:r w:rsidR="00C6620A" w:rsidRPr="00AE7E43">
        <w:rPr>
          <w:rFonts w:ascii="Arial" w:eastAsia="Times New Roman" w:hAnsi="Arial" w:cs="Arial"/>
          <w:sz w:val="24"/>
          <w:szCs w:val="24"/>
          <w:lang w:eastAsia="en-ZA"/>
        </w:rPr>
        <w:t xml:space="preserve">in the notice of motion.  </w:t>
      </w:r>
      <w:r w:rsidR="008A11D1" w:rsidRPr="00AE7E43">
        <w:rPr>
          <w:rFonts w:ascii="Arial" w:eastAsia="Times New Roman" w:hAnsi="Arial" w:cs="Arial"/>
          <w:sz w:val="24"/>
          <w:szCs w:val="24"/>
          <w:lang w:eastAsia="en-ZA"/>
        </w:rPr>
        <w:t>The 6</w:t>
      </w:r>
      <w:r w:rsidR="008A11D1" w:rsidRPr="00AE7E43">
        <w:rPr>
          <w:rFonts w:ascii="Arial" w:eastAsia="Times New Roman" w:hAnsi="Arial" w:cs="Arial"/>
          <w:sz w:val="24"/>
          <w:szCs w:val="24"/>
          <w:vertAlign w:val="superscript"/>
          <w:lang w:eastAsia="en-ZA"/>
        </w:rPr>
        <w:t>th</w:t>
      </w:r>
      <w:r w:rsidR="008A11D1" w:rsidRPr="00AE7E43">
        <w:rPr>
          <w:rFonts w:ascii="Arial" w:eastAsia="Times New Roman" w:hAnsi="Arial" w:cs="Arial"/>
          <w:sz w:val="24"/>
          <w:szCs w:val="24"/>
          <w:lang w:eastAsia="en-ZA"/>
        </w:rPr>
        <w:t xml:space="preserve"> respondent and the Trust signed suretyship agreements in favour of the applicant for the 5</w:t>
      </w:r>
      <w:r w:rsidR="008A11D1" w:rsidRPr="00AE7E43">
        <w:rPr>
          <w:rFonts w:ascii="Arial" w:eastAsia="Times New Roman" w:hAnsi="Arial" w:cs="Arial"/>
          <w:sz w:val="24"/>
          <w:szCs w:val="24"/>
          <w:vertAlign w:val="superscript"/>
          <w:lang w:eastAsia="en-ZA"/>
        </w:rPr>
        <w:t>th</w:t>
      </w:r>
      <w:r w:rsidR="008A11D1" w:rsidRPr="00AE7E43">
        <w:rPr>
          <w:rFonts w:ascii="Arial" w:eastAsia="Times New Roman" w:hAnsi="Arial" w:cs="Arial"/>
          <w:sz w:val="24"/>
          <w:szCs w:val="24"/>
          <w:lang w:eastAsia="en-ZA"/>
        </w:rPr>
        <w:t xml:space="preserve"> respondent’s debt as mentioned above.  </w:t>
      </w:r>
      <w:r w:rsidR="004C2FA2" w:rsidRPr="00AE7E43">
        <w:rPr>
          <w:rFonts w:ascii="Arial" w:eastAsia="Times New Roman" w:hAnsi="Arial" w:cs="Arial"/>
          <w:sz w:val="24"/>
          <w:szCs w:val="24"/>
          <w:lang w:eastAsia="en-ZA"/>
        </w:rPr>
        <w:t xml:space="preserve">It is appropriate to quote the definition of” </w:t>
      </w:r>
      <w:r w:rsidR="004C2FA2" w:rsidRPr="00AE7E43">
        <w:rPr>
          <w:rFonts w:ascii="Arial" w:eastAsia="Times New Roman" w:hAnsi="Arial" w:cs="Arial"/>
          <w:sz w:val="20"/>
          <w:szCs w:val="20"/>
          <w:lang w:eastAsia="en-ZA"/>
        </w:rPr>
        <w:t xml:space="preserve">“credit guarantee” </w:t>
      </w:r>
      <w:r w:rsidR="004C2FA2" w:rsidRPr="00AE7E43">
        <w:rPr>
          <w:rFonts w:ascii="Arial" w:eastAsia="Times New Roman" w:hAnsi="Arial" w:cs="Arial"/>
          <w:sz w:val="24"/>
          <w:szCs w:val="24"/>
          <w:lang w:eastAsia="en-ZA"/>
        </w:rPr>
        <w:t xml:space="preserve">now as it will be discussed later: </w:t>
      </w:r>
    </w:p>
    <w:p w14:paraId="6A59135D" w14:textId="77777777" w:rsidR="003D3CA5" w:rsidRPr="00AE7E43" w:rsidRDefault="003D3CA5" w:rsidP="001E4D6E">
      <w:pPr>
        <w:spacing w:after="0" w:line="360" w:lineRule="auto"/>
        <w:ind w:left="1560" w:hanging="567"/>
        <w:jc w:val="both"/>
        <w:rPr>
          <w:rFonts w:ascii="Arial" w:hAnsi="Arial" w:cs="Arial"/>
          <w:b/>
          <w:bCs/>
          <w:sz w:val="20"/>
          <w:szCs w:val="20"/>
        </w:rPr>
      </w:pPr>
    </w:p>
    <w:p w14:paraId="7648D4F6" w14:textId="77777777" w:rsidR="004C2FA2" w:rsidRPr="00AE7E43" w:rsidRDefault="004C2FA2" w:rsidP="001E4D6E">
      <w:pPr>
        <w:spacing w:after="0" w:line="360" w:lineRule="auto"/>
        <w:ind w:left="993"/>
        <w:jc w:val="both"/>
        <w:rPr>
          <w:rFonts w:ascii="Arial" w:eastAsia="Times New Roman" w:hAnsi="Arial" w:cs="Arial"/>
          <w:sz w:val="24"/>
          <w:szCs w:val="24"/>
          <w:lang w:eastAsia="en-ZA"/>
        </w:rPr>
      </w:pPr>
      <w:r w:rsidRPr="00AE7E43">
        <w:rPr>
          <w:rFonts w:ascii="Arial" w:hAnsi="Arial" w:cs="Arial"/>
          <w:b/>
          <w:bCs/>
          <w:sz w:val="20"/>
          <w:szCs w:val="20"/>
        </w:rPr>
        <w:t>“'credit guarantee'</w:t>
      </w:r>
      <w:r w:rsidRPr="00AE7E43">
        <w:rPr>
          <w:rFonts w:ascii="Arial" w:hAnsi="Arial" w:cs="Arial"/>
          <w:sz w:val="20"/>
          <w:szCs w:val="20"/>
        </w:rPr>
        <w:t xml:space="preserve"> means an agreement that meets all the criteria set out in section 8 (5)” </w:t>
      </w:r>
      <w:r w:rsidRPr="00AE7E43">
        <w:rPr>
          <w:rFonts w:ascii="Arial" w:hAnsi="Arial" w:cs="Arial"/>
          <w:sz w:val="24"/>
          <w:szCs w:val="24"/>
        </w:rPr>
        <w:t>and ss 8(5) reads as follows:</w:t>
      </w:r>
    </w:p>
    <w:p w14:paraId="631EDD12" w14:textId="77777777" w:rsidR="004C2FA2" w:rsidRPr="00AE7E43" w:rsidRDefault="004C2FA2" w:rsidP="001E4D6E">
      <w:pPr>
        <w:spacing w:after="0" w:line="360" w:lineRule="auto"/>
        <w:ind w:left="1560" w:hanging="567"/>
        <w:jc w:val="both"/>
        <w:rPr>
          <w:rFonts w:ascii="Arial" w:eastAsia="Times New Roman" w:hAnsi="Arial" w:cs="Arial"/>
          <w:sz w:val="20"/>
          <w:szCs w:val="20"/>
          <w:lang w:eastAsia="en-ZA"/>
        </w:rPr>
      </w:pPr>
    </w:p>
    <w:p w14:paraId="3213F78C" w14:textId="77777777" w:rsidR="004C2FA2" w:rsidRPr="00AE7E43" w:rsidRDefault="004C2FA2" w:rsidP="001E4D6E">
      <w:pPr>
        <w:spacing w:after="0" w:line="360" w:lineRule="auto"/>
        <w:ind w:left="1560" w:hanging="567"/>
        <w:jc w:val="both"/>
        <w:rPr>
          <w:rFonts w:ascii="Arial" w:eastAsia="Times New Roman" w:hAnsi="Arial" w:cs="Arial"/>
          <w:sz w:val="20"/>
          <w:szCs w:val="20"/>
          <w:lang w:eastAsia="en-ZA"/>
        </w:rPr>
      </w:pPr>
      <w:r w:rsidRPr="00AE7E43">
        <w:rPr>
          <w:rFonts w:ascii="Arial" w:eastAsia="Times New Roman" w:hAnsi="Arial" w:cs="Arial"/>
          <w:sz w:val="20"/>
          <w:szCs w:val="20"/>
          <w:lang w:eastAsia="en-ZA"/>
        </w:rPr>
        <w:t>“</w:t>
      </w:r>
      <w:hyperlink r:id="rId10" w:tgtFrame="main" w:history="1">
        <w:r w:rsidRPr="00AE7E43">
          <w:rPr>
            <w:rStyle w:val="Hyperlink"/>
            <w:rFonts w:ascii="Arial" w:hAnsi="Arial" w:cs="Arial"/>
            <w:color w:val="auto"/>
            <w:sz w:val="20"/>
            <w:szCs w:val="20"/>
          </w:rPr>
          <w:t>(5)</w:t>
        </w:r>
      </w:hyperlink>
      <w:r w:rsidRPr="00AE7E43">
        <w:rPr>
          <w:rFonts w:ascii="Arial" w:hAnsi="Arial" w:cs="Arial"/>
          <w:sz w:val="20"/>
          <w:szCs w:val="20"/>
        </w:rPr>
        <w:t> </w:t>
      </w:r>
      <w:r w:rsidR="003D3CA5" w:rsidRPr="00AE7E43">
        <w:rPr>
          <w:rFonts w:ascii="Arial" w:hAnsi="Arial" w:cs="Arial"/>
          <w:sz w:val="20"/>
          <w:szCs w:val="20"/>
        </w:rPr>
        <w:tab/>
      </w:r>
      <w:r w:rsidRPr="00AE7E43">
        <w:rPr>
          <w:rFonts w:ascii="Arial" w:hAnsi="Arial" w:cs="Arial"/>
          <w:sz w:val="20"/>
          <w:szCs w:val="20"/>
        </w:rPr>
        <w:t>An agreement, irrespective of its form but not including an agreement contemplated in subsection (2), constitutes a credit guarantee if, in terms of that agreement, a person undertakes or promises to satisfy upon demand any obligation of another consumer in terms of a credit facility or a credit transaction to which this Act applies.”</w:t>
      </w:r>
    </w:p>
    <w:p w14:paraId="430C80F0" w14:textId="77777777" w:rsidR="001E00AF" w:rsidRPr="00AE7E43" w:rsidRDefault="001E00AF" w:rsidP="001E4D6E">
      <w:pPr>
        <w:spacing w:after="0" w:line="360" w:lineRule="auto"/>
        <w:ind w:left="1560" w:hanging="567"/>
        <w:jc w:val="both"/>
        <w:rPr>
          <w:rFonts w:ascii="Arial" w:hAnsi="Arial" w:cs="Arial"/>
          <w:sz w:val="20"/>
          <w:szCs w:val="20"/>
        </w:rPr>
      </w:pPr>
    </w:p>
    <w:p w14:paraId="51BB512D" w14:textId="77777777" w:rsidR="001E4D6E" w:rsidRPr="00AE7E43" w:rsidRDefault="0017532E" w:rsidP="00AE7E43">
      <w:pPr>
        <w:spacing w:after="0" w:line="360" w:lineRule="auto"/>
        <w:ind w:left="720" w:hanging="720"/>
        <w:jc w:val="both"/>
        <w:rPr>
          <w:rFonts w:ascii="Arial" w:hAnsi="Arial" w:cs="Arial"/>
          <w:sz w:val="20"/>
          <w:szCs w:val="20"/>
          <w:u w:val="single"/>
        </w:rPr>
      </w:pPr>
      <w:r w:rsidRPr="00AE7E43">
        <w:rPr>
          <w:rFonts w:ascii="Arial" w:hAnsi="Arial" w:cs="Arial"/>
          <w:sz w:val="24"/>
          <w:szCs w:val="24"/>
        </w:rPr>
        <w:t>[10]</w:t>
      </w:r>
      <w:r w:rsidR="001E4D6E" w:rsidRPr="00AE7E43">
        <w:rPr>
          <w:rFonts w:ascii="Arial" w:hAnsi="Arial" w:cs="Arial"/>
          <w:sz w:val="24"/>
          <w:szCs w:val="24"/>
        </w:rPr>
        <w:tab/>
      </w:r>
      <w:r w:rsidRPr="00AE7E43">
        <w:rPr>
          <w:rFonts w:ascii="Arial" w:hAnsi="Arial" w:cs="Arial"/>
          <w:sz w:val="24"/>
          <w:szCs w:val="24"/>
        </w:rPr>
        <w:t xml:space="preserve">Insofar as the respondents are of the view that the </w:t>
      </w:r>
      <w:r w:rsidR="00FB71D9" w:rsidRPr="00AE7E43">
        <w:rPr>
          <w:rFonts w:ascii="Arial" w:hAnsi="Arial" w:cs="Arial"/>
          <w:sz w:val="24"/>
          <w:szCs w:val="24"/>
        </w:rPr>
        <w:t xml:space="preserve">two </w:t>
      </w:r>
      <w:r w:rsidRPr="00AE7E43">
        <w:rPr>
          <w:rFonts w:ascii="Arial" w:hAnsi="Arial" w:cs="Arial"/>
          <w:sz w:val="24"/>
          <w:szCs w:val="24"/>
        </w:rPr>
        <w:t xml:space="preserve">settlement agreements </w:t>
      </w:r>
      <w:r w:rsidR="00FB71D9" w:rsidRPr="00AE7E43">
        <w:rPr>
          <w:rFonts w:ascii="Arial" w:hAnsi="Arial" w:cs="Arial"/>
          <w:i/>
          <w:sz w:val="24"/>
          <w:szCs w:val="24"/>
        </w:rPr>
        <w:t>in casu</w:t>
      </w:r>
      <w:r w:rsidR="00FB71D9" w:rsidRPr="00AE7E43">
        <w:rPr>
          <w:rFonts w:ascii="Arial" w:hAnsi="Arial" w:cs="Arial"/>
          <w:sz w:val="24"/>
          <w:szCs w:val="24"/>
        </w:rPr>
        <w:t xml:space="preserve"> </w:t>
      </w:r>
      <w:r w:rsidRPr="00AE7E43">
        <w:rPr>
          <w:rFonts w:ascii="Arial" w:hAnsi="Arial" w:cs="Arial"/>
          <w:sz w:val="24"/>
          <w:szCs w:val="24"/>
        </w:rPr>
        <w:t xml:space="preserve">are to be considered against the backdrop of the NCA and the provisions of this Act are applicable thereto, I quote ss 8(4)(f) which, based on </w:t>
      </w:r>
      <w:r w:rsidRPr="00AE7E43">
        <w:rPr>
          <w:rFonts w:ascii="Arial" w:hAnsi="Arial" w:cs="Arial"/>
          <w:sz w:val="24"/>
          <w:szCs w:val="24"/>
        </w:rPr>
        <w:lastRenderedPageBreak/>
        <w:t xml:space="preserve">a literal interpretation, suggests that all </w:t>
      </w:r>
      <w:r w:rsidR="00FB71D9" w:rsidRPr="00AE7E43">
        <w:rPr>
          <w:rFonts w:ascii="Arial" w:hAnsi="Arial" w:cs="Arial"/>
          <w:sz w:val="24"/>
          <w:szCs w:val="24"/>
        </w:rPr>
        <w:t>other</w:t>
      </w:r>
      <w:r w:rsidRPr="00AE7E43">
        <w:rPr>
          <w:rFonts w:ascii="Arial" w:hAnsi="Arial" w:cs="Arial"/>
          <w:sz w:val="24"/>
          <w:szCs w:val="24"/>
        </w:rPr>
        <w:t xml:space="preserve"> agreements</w:t>
      </w:r>
      <w:r w:rsidR="00FB71D9" w:rsidRPr="00AE7E43">
        <w:rPr>
          <w:rFonts w:ascii="Arial" w:hAnsi="Arial" w:cs="Arial"/>
          <w:sz w:val="24"/>
          <w:szCs w:val="24"/>
        </w:rPr>
        <w:t xml:space="preserve"> not mentioned in ss </w:t>
      </w:r>
      <w:r w:rsidR="006F28B5" w:rsidRPr="00AE7E43">
        <w:rPr>
          <w:rFonts w:ascii="Arial" w:hAnsi="Arial" w:cs="Arial"/>
          <w:sz w:val="24"/>
          <w:szCs w:val="24"/>
        </w:rPr>
        <w:t>8(4)</w:t>
      </w:r>
      <w:r w:rsidR="00FB71D9" w:rsidRPr="00AE7E43">
        <w:rPr>
          <w:rFonts w:ascii="Arial" w:hAnsi="Arial" w:cs="Arial"/>
          <w:sz w:val="24"/>
          <w:szCs w:val="24"/>
        </w:rPr>
        <w:t>(a) to (e) where payment of amounts owing are deferred</w:t>
      </w:r>
      <w:r w:rsidR="006F28B5" w:rsidRPr="00AE7E43">
        <w:rPr>
          <w:rFonts w:ascii="Arial" w:hAnsi="Arial" w:cs="Arial"/>
          <w:sz w:val="24"/>
          <w:szCs w:val="24"/>
        </w:rPr>
        <w:t>,</w:t>
      </w:r>
      <w:r w:rsidR="00FB71D9" w:rsidRPr="00AE7E43">
        <w:rPr>
          <w:rFonts w:ascii="Arial" w:hAnsi="Arial" w:cs="Arial"/>
          <w:sz w:val="24"/>
          <w:szCs w:val="24"/>
        </w:rPr>
        <w:t xml:space="preserve"> </w:t>
      </w:r>
      <w:r w:rsidRPr="00AE7E43">
        <w:rPr>
          <w:rFonts w:ascii="Arial" w:hAnsi="Arial" w:cs="Arial"/>
          <w:sz w:val="24"/>
          <w:szCs w:val="24"/>
        </w:rPr>
        <w:t xml:space="preserve">fall within the ambit of the NCA: </w:t>
      </w:r>
      <w:r w:rsidR="00875EBC" w:rsidRPr="00AE7E43">
        <w:fldChar w:fldCharType="begin"/>
      </w:r>
      <w:r w:rsidR="00875EBC" w:rsidRPr="00AE7E43">
        <w:rPr>
          <w:rFonts w:ascii="Arial" w:hAnsi="Arial" w:cs="Arial"/>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(4)%27%5d&amp;xhitlist_md=target-id=0-0-0-75195" \t "main" </w:instrText>
      </w:r>
      <w:r w:rsidR="00875EBC" w:rsidRPr="00AE7E43">
        <w:fldChar w:fldCharType="separate"/>
      </w:r>
    </w:p>
    <w:p w14:paraId="1A260AF5" w14:textId="77777777" w:rsidR="00FB71D9" w:rsidRPr="00AE7E43" w:rsidRDefault="00FB71D9" w:rsidP="00AE7E43">
      <w:pPr>
        <w:spacing w:after="0" w:line="360" w:lineRule="auto"/>
        <w:ind w:left="1418" w:hanging="708"/>
        <w:jc w:val="both"/>
        <w:rPr>
          <w:rFonts w:ascii="Arial" w:hAnsi="Arial" w:cs="Arial"/>
          <w:sz w:val="20"/>
          <w:szCs w:val="20"/>
        </w:rPr>
      </w:pPr>
      <w:r w:rsidRPr="00AE7E43">
        <w:rPr>
          <w:rStyle w:val="Hyperlink"/>
          <w:rFonts w:ascii="Arial" w:hAnsi="Arial" w:cs="Arial"/>
          <w:color w:val="auto"/>
          <w:sz w:val="20"/>
          <w:szCs w:val="20"/>
          <w:u w:val="none"/>
        </w:rPr>
        <w:t>“</w:t>
      </w:r>
      <w:r w:rsidRPr="00AE7E43">
        <w:rPr>
          <w:rStyle w:val="Hyperlink"/>
          <w:rFonts w:ascii="Arial" w:hAnsi="Arial" w:cs="Arial"/>
          <w:color w:val="auto"/>
          <w:sz w:val="20"/>
          <w:szCs w:val="20"/>
        </w:rPr>
        <w:t>(4)</w:t>
      </w:r>
      <w:r w:rsidR="00875EBC" w:rsidRPr="00AE7E43">
        <w:rPr>
          <w:rStyle w:val="Hyperlink"/>
          <w:rFonts w:ascii="Arial" w:hAnsi="Arial" w:cs="Arial"/>
          <w:color w:val="auto"/>
          <w:sz w:val="20"/>
          <w:szCs w:val="20"/>
        </w:rPr>
        <w:fldChar w:fldCharType="end"/>
      </w:r>
      <w:r w:rsidRPr="00AE7E43">
        <w:rPr>
          <w:rFonts w:ascii="Arial" w:hAnsi="Arial" w:cs="Arial"/>
          <w:sz w:val="20"/>
          <w:szCs w:val="20"/>
        </w:rPr>
        <w:t> </w:t>
      </w:r>
      <w:r w:rsidR="001E4D6E" w:rsidRPr="00AE7E43">
        <w:rPr>
          <w:rFonts w:ascii="Arial" w:hAnsi="Arial" w:cs="Arial"/>
          <w:sz w:val="20"/>
          <w:szCs w:val="20"/>
        </w:rPr>
        <w:tab/>
      </w:r>
      <w:r w:rsidRPr="00AE7E43">
        <w:rPr>
          <w:rFonts w:ascii="Arial" w:hAnsi="Arial" w:cs="Arial"/>
          <w:sz w:val="20"/>
          <w:szCs w:val="20"/>
        </w:rPr>
        <w:t>An agreement, irrespective of its form but not including an agreement contemplated in subsection (2), constitutes a credit transaction if it is-</w:t>
      </w:r>
    </w:p>
    <w:p w14:paraId="407F2A27" w14:textId="77777777" w:rsidR="00FB71D9" w:rsidRPr="00AE7E43" w:rsidRDefault="00FB71D9" w:rsidP="00AE7E43">
      <w:pPr>
        <w:spacing w:after="0" w:line="360" w:lineRule="auto"/>
        <w:ind w:left="1985" w:hanging="567"/>
        <w:jc w:val="both"/>
        <w:rPr>
          <w:rFonts w:ascii="Arial" w:hAnsi="Arial" w:cs="Arial"/>
          <w:sz w:val="20"/>
          <w:szCs w:val="20"/>
        </w:rPr>
      </w:pPr>
      <w:bookmarkStart w:id="13" w:name="0-0-0-75197"/>
      <w:bookmarkEnd w:id="13"/>
      <w:r w:rsidRPr="00AE7E43">
        <w:rPr>
          <w:rFonts w:ascii="Arial" w:hAnsi="Arial" w:cs="Arial"/>
          <w:i/>
          <w:iCs/>
          <w:sz w:val="20"/>
          <w:szCs w:val="20"/>
        </w:rPr>
        <w:t>(a)</w:t>
      </w:r>
      <w:r w:rsidRPr="00AE7E43">
        <w:rPr>
          <w:rFonts w:ascii="Arial" w:hAnsi="Arial" w:cs="Arial"/>
          <w:sz w:val="20"/>
          <w:szCs w:val="20"/>
        </w:rPr>
        <w:t>   </w:t>
      </w:r>
      <w:r w:rsidR="001E4D6E" w:rsidRPr="00AE7E43">
        <w:rPr>
          <w:rFonts w:ascii="Arial" w:hAnsi="Arial" w:cs="Arial"/>
          <w:sz w:val="20"/>
          <w:szCs w:val="20"/>
        </w:rPr>
        <w:tab/>
        <w:t>…</w:t>
      </w:r>
      <w:r w:rsidRPr="00AE7E43">
        <w:rPr>
          <w:rFonts w:ascii="Arial" w:hAnsi="Arial" w:cs="Arial"/>
          <w:sz w:val="20"/>
          <w:szCs w:val="20"/>
        </w:rPr>
        <w:t>;</w:t>
      </w:r>
    </w:p>
    <w:p w14:paraId="6980E924" w14:textId="77777777" w:rsidR="00FB71D9" w:rsidRPr="00AE7E43" w:rsidRDefault="00FB71D9" w:rsidP="00AE7E43">
      <w:pPr>
        <w:spacing w:after="0" w:line="360" w:lineRule="auto"/>
        <w:ind w:left="1985" w:hanging="567"/>
        <w:jc w:val="both"/>
        <w:rPr>
          <w:rFonts w:ascii="Arial" w:hAnsi="Arial" w:cs="Arial"/>
          <w:sz w:val="20"/>
          <w:szCs w:val="20"/>
        </w:rPr>
      </w:pPr>
      <w:bookmarkStart w:id="14" w:name="0-0-0-75199"/>
      <w:bookmarkEnd w:id="14"/>
      <w:r w:rsidRPr="00AE7E43">
        <w:rPr>
          <w:rFonts w:ascii="Arial" w:hAnsi="Arial" w:cs="Arial"/>
          <w:i/>
          <w:iCs/>
          <w:sz w:val="20"/>
          <w:szCs w:val="20"/>
        </w:rPr>
        <w:t>(b)</w:t>
      </w:r>
      <w:r w:rsidRPr="00AE7E43">
        <w:rPr>
          <w:rFonts w:ascii="Arial" w:hAnsi="Arial" w:cs="Arial"/>
          <w:sz w:val="20"/>
          <w:szCs w:val="20"/>
        </w:rPr>
        <w:t>  </w:t>
      </w:r>
      <w:r w:rsidR="001E4D6E" w:rsidRPr="00AE7E43">
        <w:rPr>
          <w:rFonts w:ascii="Arial" w:hAnsi="Arial" w:cs="Arial"/>
          <w:sz w:val="20"/>
          <w:szCs w:val="20"/>
        </w:rPr>
        <w:tab/>
        <w:t>…;</w:t>
      </w:r>
    </w:p>
    <w:p w14:paraId="117CF527" w14:textId="77777777" w:rsidR="00FB71D9" w:rsidRPr="00AE7E43" w:rsidRDefault="00FB71D9" w:rsidP="00AE7E43">
      <w:pPr>
        <w:spacing w:after="0" w:line="360" w:lineRule="auto"/>
        <w:ind w:left="1985" w:hanging="567"/>
        <w:jc w:val="both"/>
        <w:rPr>
          <w:rFonts w:ascii="Arial" w:hAnsi="Arial" w:cs="Arial"/>
          <w:sz w:val="20"/>
          <w:szCs w:val="20"/>
        </w:rPr>
      </w:pPr>
      <w:bookmarkStart w:id="15" w:name="0-0-0-75201"/>
      <w:bookmarkEnd w:id="15"/>
      <w:r w:rsidRPr="00AE7E43">
        <w:rPr>
          <w:rFonts w:ascii="Arial" w:hAnsi="Arial" w:cs="Arial"/>
          <w:i/>
          <w:iCs/>
          <w:sz w:val="20"/>
          <w:szCs w:val="20"/>
        </w:rPr>
        <w:t>(c)</w:t>
      </w:r>
      <w:r w:rsidRPr="00AE7E43">
        <w:rPr>
          <w:rFonts w:ascii="Arial" w:hAnsi="Arial" w:cs="Arial"/>
          <w:sz w:val="20"/>
          <w:szCs w:val="20"/>
        </w:rPr>
        <w:t>  </w:t>
      </w:r>
      <w:r w:rsidR="001E4D6E" w:rsidRPr="00AE7E43">
        <w:rPr>
          <w:rFonts w:ascii="Arial" w:hAnsi="Arial" w:cs="Arial"/>
          <w:sz w:val="20"/>
          <w:szCs w:val="20"/>
        </w:rPr>
        <w:tab/>
        <w:t>…;</w:t>
      </w:r>
    </w:p>
    <w:bookmarkStart w:id="16" w:name="0-0-0-75203"/>
    <w:bookmarkEnd w:id="16"/>
    <w:p w14:paraId="01D5A24D" w14:textId="77777777" w:rsidR="00FB71D9" w:rsidRPr="00AE7E43" w:rsidRDefault="00FB71D9" w:rsidP="00AE7E43">
      <w:pPr>
        <w:spacing w:after="0" w:line="360" w:lineRule="auto"/>
        <w:ind w:left="1985" w:hanging="567"/>
        <w:jc w:val="both"/>
        <w:rPr>
          <w:rFonts w:ascii="Arial" w:hAnsi="Arial" w:cs="Arial"/>
          <w:sz w:val="20"/>
          <w:szCs w:val="20"/>
        </w:rPr>
      </w:pPr>
      <w:r w:rsidRPr="00AE7E43">
        <w:rPr>
          <w:rFonts w:ascii="Arial" w:hAnsi="Arial" w:cs="Arial"/>
          <w:sz w:val="20"/>
          <w:szCs w:val="20"/>
        </w:rPr>
        <w:fldChar w:fldCharType="begin"/>
      </w:r>
      <w:r w:rsidRPr="00AE7E4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(4)(d)%27%5d&amp;xhitlist_md=target-id=0-0-0-75205" \t "main" </w:instrText>
      </w:r>
      <w:r w:rsidRPr="00AE7E43">
        <w:rPr>
          <w:rFonts w:ascii="Arial" w:hAnsi="Arial" w:cs="Arial"/>
          <w:sz w:val="20"/>
          <w:szCs w:val="20"/>
        </w:rPr>
        <w:fldChar w:fldCharType="separate"/>
      </w:r>
      <w:r w:rsidRPr="00AE7E43">
        <w:rPr>
          <w:rStyle w:val="Hyperlink"/>
          <w:rFonts w:ascii="Arial" w:hAnsi="Arial" w:cs="Arial"/>
          <w:i/>
          <w:iCs/>
          <w:color w:val="auto"/>
          <w:sz w:val="20"/>
          <w:szCs w:val="20"/>
        </w:rPr>
        <w:t>(d)</w:t>
      </w:r>
      <w:r w:rsidRPr="00AE7E43">
        <w:rPr>
          <w:rFonts w:ascii="Arial" w:hAnsi="Arial" w:cs="Arial"/>
          <w:sz w:val="20"/>
          <w:szCs w:val="20"/>
        </w:rPr>
        <w:fldChar w:fldCharType="end"/>
      </w:r>
      <w:r w:rsidRPr="00AE7E43">
        <w:rPr>
          <w:rFonts w:ascii="Arial" w:hAnsi="Arial" w:cs="Arial"/>
          <w:sz w:val="20"/>
          <w:szCs w:val="20"/>
        </w:rPr>
        <w:t>   </w:t>
      </w:r>
      <w:r w:rsidR="001E4D6E" w:rsidRPr="00AE7E43">
        <w:rPr>
          <w:rFonts w:ascii="Arial" w:hAnsi="Arial" w:cs="Arial"/>
          <w:sz w:val="20"/>
          <w:szCs w:val="20"/>
        </w:rPr>
        <w:tab/>
        <w:t>…;</w:t>
      </w:r>
    </w:p>
    <w:p w14:paraId="7BC0223C" w14:textId="77777777" w:rsidR="00FB71D9" w:rsidRPr="00AE7E43" w:rsidRDefault="00FB71D9" w:rsidP="00AE7E43">
      <w:pPr>
        <w:spacing w:after="0" w:line="360" w:lineRule="auto"/>
        <w:ind w:left="1985" w:hanging="567"/>
        <w:jc w:val="both"/>
        <w:rPr>
          <w:rFonts w:ascii="Arial" w:hAnsi="Arial" w:cs="Arial"/>
          <w:sz w:val="20"/>
          <w:szCs w:val="20"/>
        </w:rPr>
      </w:pPr>
      <w:bookmarkStart w:id="17" w:name="0-0-0-75207"/>
      <w:bookmarkEnd w:id="17"/>
      <w:r w:rsidRPr="00AE7E43">
        <w:rPr>
          <w:rFonts w:ascii="Arial" w:hAnsi="Arial" w:cs="Arial"/>
          <w:i/>
          <w:iCs/>
          <w:sz w:val="20"/>
          <w:szCs w:val="20"/>
        </w:rPr>
        <w:t>(e)</w:t>
      </w:r>
      <w:r w:rsidRPr="00AE7E43">
        <w:rPr>
          <w:rFonts w:ascii="Arial" w:hAnsi="Arial" w:cs="Arial"/>
          <w:sz w:val="20"/>
          <w:szCs w:val="20"/>
        </w:rPr>
        <w:t>   </w:t>
      </w:r>
      <w:r w:rsidR="001E4D6E" w:rsidRPr="00AE7E43">
        <w:rPr>
          <w:rFonts w:ascii="Arial" w:hAnsi="Arial" w:cs="Arial"/>
          <w:sz w:val="20"/>
          <w:szCs w:val="20"/>
        </w:rPr>
        <w:tab/>
        <w:t>…;</w:t>
      </w:r>
      <w:r w:rsidRPr="00AE7E43">
        <w:rPr>
          <w:rFonts w:ascii="Arial" w:hAnsi="Arial" w:cs="Arial"/>
          <w:sz w:val="20"/>
          <w:szCs w:val="20"/>
        </w:rPr>
        <w:t xml:space="preserve"> or</w:t>
      </w:r>
    </w:p>
    <w:bookmarkStart w:id="18" w:name="0-0-0-75209"/>
    <w:bookmarkEnd w:id="18"/>
    <w:p w14:paraId="14EE55D5" w14:textId="77777777" w:rsidR="00FB71D9" w:rsidRPr="00AE7E43" w:rsidRDefault="00FB71D9" w:rsidP="00AE7E43">
      <w:pPr>
        <w:spacing w:after="0" w:line="360" w:lineRule="auto"/>
        <w:ind w:left="1985" w:hanging="567"/>
        <w:jc w:val="both"/>
        <w:rPr>
          <w:rFonts w:ascii="Arial" w:hAnsi="Arial" w:cs="Arial"/>
          <w:sz w:val="20"/>
          <w:szCs w:val="20"/>
        </w:rPr>
      </w:pPr>
      <w:r w:rsidRPr="00AE7E43">
        <w:rPr>
          <w:rFonts w:ascii="Arial" w:hAnsi="Arial" w:cs="Arial"/>
          <w:sz w:val="20"/>
          <w:szCs w:val="20"/>
        </w:rPr>
        <w:fldChar w:fldCharType="begin"/>
      </w:r>
      <w:r w:rsidRPr="00AE7E43">
        <w:rPr>
          <w:rFonts w:ascii="Arial" w:hAnsi="Arial" w:cs="Arial"/>
          <w:sz w:val="20"/>
          <w:szCs w:val="20"/>
        </w:rPr>
        <w:instrText xml:space="preserve"> HYPERLINK "https://jutastat.juta.co.za/nxt/foliolinks.asp?f=xhitlist&amp;xhitlist_x=Advanced&amp;xhitlist_vpc=first&amp;xhitlist_xsl=querylink.xsl&amp;xhitlist_sel=title;path;content-type;home-title&amp;xhitlist_d=%7bstatreg%7d&amp;xhitlist_q=%5bfield%20folio-destination-name:%27LJC_a34y2005s8(4)(f)%27%5d&amp;xhitlist_md=target-id=0-0-0-75211" \t "main" </w:instrText>
      </w:r>
      <w:r w:rsidRPr="00AE7E43">
        <w:rPr>
          <w:rFonts w:ascii="Arial" w:hAnsi="Arial" w:cs="Arial"/>
          <w:sz w:val="20"/>
          <w:szCs w:val="20"/>
        </w:rPr>
        <w:fldChar w:fldCharType="separate"/>
      </w:r>
      <w:r w:rsidRPr="00AE7E43">
        <w:rPr>
          <w:rStyle w:val="Hyperlink"/>
          <w:rFonts w:ascii="Arial" w:hAnsi="Arial" w:cs="Arial"/>
          <w:i/>
          <w:iCs/>
          <w:color w:val="auto"/>
          <w:sz w:val="20"/>
          <w:szCs w:val="20"/>
        </w:rPr>
        <w:t>(f)</w:t>
      </w:r>
      <w:r w:rsidRPr="00AE7E43">
        <w:rPr>
          <w:rFonts w:ascii="Arial" w:hAnsi="Arial" w:cs="Arial"/>
          <w:sz w:val="20"/>
          <w:szCs w:val="20"/>
        </w:rPr>
        <w:fldChar w:fldCharType="end"/>
      </w:r>
      <w:r w:rsidRPr="00AE7E43">
        <w:rPr>
          <w:rFonts w:ascii="Arial" w:hAnsi="Arial" w:cs="Arial"/>
          <w:sz w:val="20"/>
          <w:szCs w:val="20"/>
        </w:rPr>
        <w:t>   </w:t>
      </w:r>
      <w:r w:rsidR="001E4D6E" w:rsidRPr="00AE7E43">
        <w:rPr>
          <w:rFonts w:ascii="Arial" w:hAnsi="Arial" w:cs="Arial"/>
          <w:sz w:val="20"/>
          <w:szCs w:val="20"/>
        </w:rPr>
        <w:tab/>
      </w:r>
      <w:r w:rsidRPr="00AE7E43">
        <w:rPr>
          <w:rFonts w:ascii="Arial" w:hAnsi="Arial" w:cs="Arial"/>
          <w:sz w:val="20"/>
          <w:szCs w:val="20"/>
        </w:rPr>
        <w:t>any other agreement, other than a credit facility or credit guarantee, in terms of which payment of an amount owed by one person to another is deferred, and any charge, fee or interest is payable to the credit provider in respect of-</w:t>
      </w:r>
    </w:p>
    <w:p w14:paraId="165F8481" w14:textId="77777777" w:rsidR="00FB71D9" w:rsidRPr="00AE7E43" w:rsidRDefault="00FB71D9" w:rsidP="00AE7E43">
      <w:pPr>
        <w:spacing w:after="0" w:line="360" w:lineRule="auto"/>
        <w:ind w:left="2552" w:hanging="567"/>
        <w:jc w:val="both"/>
        <w:rPr>
          <w:rFonts w:ascii="Arial" w:hAnsi="Arial" w:cs="Arial"/>
          <w:sz w:val="20"/>
          <w:szCs w:val="20"/>
        </w:rPr>
      </w:pPr>
      <w:bookmarkStart w:id="19" w:name="0-0-0-75213"/>
      <w:bookmarkEnd w:id="19"/>
      <w:r w:rsidRPr="00AE7E43">
        <w:rPr>
          <w:rFonts w:ascii="Arial" w:hAnsi="Arial" w:cs="Arial"/>
          <w:sz w:val="20"/>
          <w:szCs w:val="20"/>
        </w:rPr>
        <w:t>(i)   the agreement; or</w:t>
      </w:r>
    </w:p>
    <w:p w14:paraId="696AFE36" w14:textId="77777777" w:rsidR="00FB71D9" w:rsidRPr="00AE7E43" w:rsidRDefault="00FB71D9" w:rsidP="00AE7E43">
      <w:pPr>
        <w:spacing w:after="0" w:line="360" w:lineRule="auto"/>
        <w:ind w:left="2552" w:hanging="567"/>
        <w:jc w:val="both"/>
        <w:rPr>
          <w:rFonts w:ascii="Arial" w:hAnsi="Arial" w:cs="Arial"/>
          <w:sz w:val="20"/>
          <w:szCs w:val="20"/>
        </w:rPr>
      </w:pPr>
      <w:bookmarkStart w:id="20" w:name="0-0-0-75215"/>
      <w:bookmarkEnd w:id="20"/>
      <w:r w:rsidRPr="00AE7E43">
        <w:rPr>
          <w:rFonts w:ascii="Arial" w:hAnsi="Arial" w:cs="Arial"/>
          <w:sz w:val="20"/>
          <w:szCs w:val="20"/>
        </w:rPr>
        <w:t>(ii)   the amount that has been deferred.”</w:t>
      </w:r>
      <w:r w:rsidR="001E4D6E" w:rsidRPr="00AE7E43">
        <w:rPr>
          <w:rFonts w:ascii="Arial" w:hAnsi="Arial" w:cs="Arial"/>
          <w:sz w:val="20"/>
          <w:szCs w:val="20"/>
        </w:rPr>
        <w:tab/>
      </w:r>
    </w:p>
    <w:p w14:paraId="48A7440B" w14:textId="77777777" w:rsidR="0017532E" w:rsidRPr="00AE7E43" w:rsidRDefault="0017532E" w:rsidP="001E4D6E">
      <w:pPr>
        <w:spacing w:after="0" w:line="360" w:lineRule="auto"/>
        <w:ind w:left="993" w:hanging="993"/>
        <w:jc w:val="both"/>
        <w:rPr>
          <w:rFonts w:ascii="Arial" w:hAnsi="Arial" w:cs="Arial"/>
          <w:sz w:val="24"/>
          <w:szCs w:val="24"/>
        </w:rPr>
      </w:pPr>
    </w:p>
    <w:p w14:paraId="53EA3F73" w14:textId="77777777" w:rsidR="001E00AF" w:rsidRPr="00AE7E43" w:rsidRDefault="0017532E" w:rsidP="001E4D6E">
      <w:pPr>
        <w:spacing w:after="0" w:line="360" w:lineRule="auto"/>
        <w:ind w:left="993" w:hanging="993"/>
        <w:jc w:val="both"/>
        <w:rPr>
          <w:rFonts w:ascii="Arial" w:hAnsi="Arial" w:cs="Arial"/>
          <w:sz w:val="24"/>
          <w:szCs w:val="24"/>
        </w:rPr>
      </w:pPr>
      <w:r w:rsidRPr="00AE7E43">
        <w:rPr>
          <w:rFonts w:ascii="Arial" w:hAnsi="Arial" w:cs="Arial"/>
          <w:sz w:val="24"/>
          <w:szCs w:val="24"/>
        </w:rPr>
        <w:t>[11</w:t>
      </w:r>
      <w:r w:rsidR="001E00AF" w:rsidRPr="00AE7E43">
        <w:rPr>
          <w:rFonts w:ascii="Arial" w:hAnsi="Arial" w:cs="Arial"/>
          <w:sz w:val="24"/>
          <w:szCs w:val="24"/>
        </w:rPr>
        <w:t>]</w:t>
      </w:r>
      <w:r w:rsidR="001E00AF" w:rsidRPr="00AE7E43">
        <w:rPr>
          <w:rFonts w:ascii="Arial" w:hAnsi="Arial" w:cs="Arial"/>
          <w:sz w:val="24"/>
          <w:szCs w:val="24"/>
        </w:rPr>
        <w:tab/>
      </w:r>
      <w:r w:rsidR="00FB1475" w:rsidRPr="00AE7E43">
        <w:rPr>
          <w:rFonts w:ascii="Arial" w:hAnsi="Arial" w:cs="Arial"/>
          <w:sz w:val="24"/>
          <w:szCs w:val="24"/>
        </w:rPr>
        <w:t xml:space="preserve">The definition of </w:t>
      </w:r>
      <w:r w:rsidR="00FB1475" w:rsidRPr="00AE7E43">
        <w:rPr>
          <w:rFonts w:ascii="Arial" w:hAnsi="Arial" w:cs="Arial"/>
          <w:sz w:val="20"/>
          <w:szCs w:val="20"/>
        </w:rPr>
        <w:t>“consumer”</w:t>
      </w:r>
      <w:r w:rsidR="00FB1475" w:rsidRPr="00AE7E43">
        <w:rPr>
          <w:rFonts w:ascii="Arial" w:hAnsi="Arial" w:cs="Arial"/>
          <w:sz w:val="24"/>
          <w:szCs w:val="24"/>
        </w:rPr>
        <w:t xml:space="preserve"> in s 1 of the NCA includes a guarantor under a credit guarantee and as shown above, a credit guarantee is a credit agreement that meets all the criteria set out in ss 8(5).  </w:t>
      </w:r>
      <w:r w:rsidR="00754465" w:rsidRPr="00AE7E43">
        <w:rPr>
          <w:rFonts w:ascii="Arial" w:hAnsi="Arial" w:cs="Arial"/>
          <w:sz w:val="24"/>
          <w:szCs w:val="24"/>
        </w:rPr>
        <w:t>Van der Merwe</w:t>
      </w:r>
      <w:r w:rsidR="00FB1475" w:rsidRPr="00AE7E43">
        <w:rPr>
          <w:rFonts w:ascii="Arial" w:hAnsi="Arial" w:cs="Arial"/>
          <w:sz w:val="24"/>
          <w:szCs w:val="24"/>
        </w:rPr>
        <w:t xml:space="preserve"> JA pointed out in </w:t>
      </w:r>
      <w:r w:rsidR="00FB1475" w:rsidRPr="00AE7E43">
        <w:rPr>
          <w:rFonts w:ascii="Arial" w:hAnsi="Arial" w:cs="Arial"/>
          <w:i/>
          <w:sz w:val="24"/>
          <w:szCs w:val="24"/>
        </w:rPr>
        <w:t>Mostert v Firstrand Bank</w:t>
      </w:r>
      <w:r w:rsidR="009A320B" w:rsidRPr="00AE7E43">
        <w:rPr>
          <w:rStyle w:val="FootnoteReference"/>
          <w:rFonts w:ascii="Arial" w:hAnsi="Arial" w:cs="Arial"/>
          <w:i/>
          <w:sz w:val="24"/>
          <w:szCs w:val="24"/>
        </w:rPr>
        <w:footnoteReference w:id="5"/>
      </w:r>
      <w:r w:rsidR="00FB1475" w:rsidRPr="00AE7E43">
        <w:rPr>
          <w:rFonts w:ascii="Arial" w:hAnsi="Arial" w:cs="Arial"/>
          <w:sz w:val="24"/>
          <w:szCs w:val="24"/>
        </w:rPr>
        <w:t xml:space="preserve"> that the sub-section includes a suretyship in respect of the obligations in terms of a credit facility or credit transaction.  Therefore</w:t>
      </w:r>
      <w:r w:rsidR="009A320B" w:rsidRPr="00AE7E43">
        <w:rPr>
          <w:rFonts w:ascii="Arial" w:hAnsi="Arial" w:cs="Arial"/>
          <w:sz w:val="24"/>
          <w:szCs w:val="24"/>
        </w:rPr>
        <w:t>, in relying on the wording of ss 4(2)(c) quoted above,</w:t>
      </w:r>
      <w:r w:rsidR="00FB1475" w:rsidRPr="00AE7E43">
        <w:rPr>
          <w:rFonts w:ascii="Arial" w:hAnsi="Arial" w:cs="Arial"/>
          <w:sz w:val="24"/>
          <w:szCs w:val="24"/>
        </w:rPr>
        <w:t xml:space="preserve"> a surety is a consumer in respect of the credit agreement to which he/she</w:t>
      </w:r>
      <w:r w:rsidR="00E81666">
        <w:rPr>
          <w:rFonts w:ascii="Arial" w:hAnsi="Arial" w:cs="Arial"/>
          <w:sz w:val="24"/>
          <w:szCs w:val="24"/>
        </w:rPr>
        <w:t>/it</w:t>
      </w:r>
      <w:r w:rsidR="00FB1475" w:rsidRPr="00AE7E43">
        <w:rPr>
          <w:rFonts w:ascii="Arial" w:hAnsi="Arial" w:cs="Arial"/>
          <w:sz w:val="24"/>
          <w:szCs w:val="24"/>
        </w:rPr>
        <w:t xml:space="preserve"> is</w:t>
      </w:r>
      <w:r w:rsidR="009A320B" w:rsidRPr="00AE7E43">
        <w:rPr>
          <w:rFonts w:ascii="Arial" w:hAnsi="Arial" w:cs="Arial"/>
          <w:sz w:val="24"/>
          <w:szCs w:val="24"/>
        </w:rPr>
        <w:t xml:space="preserve"> a party, to wit the suretyship.  However, the surety is not a consumer relating to the credit agreement in respect of which the suretyship applies.</w:t>
      </w:r>
    </w:p>
    <w:p w14:paraId="5C90F65E" w14:textId="77777777" w:rsidR="001E00AF" w:rsidRPr="00AE7E43" w:rsidRDefault="001E00AF" w:rsidP="001E4D6E">
      <w:pPr>
        <w:spacing w:after="0" w:line="360" w:lineRule="auto"/>
        <w:ind w:left="993" w:hanging="993"/>
        <w:jc w:val="both"/>
        <w:rPr>
          <w:rFonts w:ascii="Arial" w:hAnsi="Arial" w:cs="Arial"/>
          <w:sz w:val="24"/>
          <w:szCs w:val="24"/>
        </w:rPr>
      </w:pPr>
    </w:p>
    <w:p w14:paraId="40485AF3"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[12</w:t>
      </w:r>
      <w:r w:rsidR="0024715E" w:rsidRPr="00AE7E43">
        <w:rPr>
          <w:rFonts w:ascii="Arial" w:hAnsi="Arial" w:cs="Arial"/>
          <w:sz w:val="24"/>
          <w:szCs w:val="24"/>
        </w:rPr>
        <w:t>]</w:t>
      </w:r>
      <w:r w:rsidR="0024715E" w:rsidRPr="00AE7E43">
        <w:rPr>
          <w:rFonts w:ascii="Arial" w:hAnsi="Arial" w:cs="Arial"/>
          <w:sz w:val="24"/>
          <w:szCs w:val="24"/>
        </w:rPr>
        <w:tab/>
      </w:r>
      <w:r w:rsidR="00123EFA" w:rsidRPr="00AE7E43">
        <w:rPr>
          <w:rFonts w:ascii="Arial" w:hAnsi="Arial" w:cs="Arial"/>
          <w:sz w:val="24"/>
          <w:szCs w:val="24"/>
        </w:rPr>
        <w:t xml:space="preserve">Several years before the judgment of the Supreme Court of Appeal in </w:t>
      </w:r>
      <w:r w:rsidR="00123EFA" w:rsidRPr="00AE7E43">
        <w:rPr>
          <w:rFonts w:ascii="Arial" w:hAnsi="Arial" w:cs="Arial"/>
          <w:i/>
          <w:sz w:val="24"/>
          <w:szCs w:val="24"/>
        </w:rPr>
        <w:t>Mostert v Firstrand Bank,</w:t>
      </w:r>
      <w:r w:rsidR="00123EFA" w:rsidRPr="00AE7E43">
        <w:rPr>
          <w:rFonts w:ascii="Arial" w:hAnsi="Arial" w:cs="Arial"/>
          <w:sz w:val="24"/>
          <w:szCs w:val="24"/>
        </w:rPr>
        <w:t xml:space="preserve"> Satchwell J summarised the legal principles </w:t>
      </w:r>
      <w:r w:rsidR="00E15BA1" w:rsidRPr="00AE7E43">
        <w:rPr>
          <w:rFonts w:ascii="Arial" w:hAnsi="Arial" w:cs="Arial"/>
          <w:sz w:val="24"/>
          <w:szCs w:val="24"/>
        </w:rPr>
        <w:t xml:space="preserve">pertaining to sureties and the NCA </w:t>
      </w:r>
      <w:r w:rsidR="00123EFA" w:rsidRPr="00AE7E43">
        <w:rPr>
          <w:rFonts w:ascii="Arial" w:hAnsi="Arial" w:cs="Arial"/>
          <w:sz w:val="24"/>
          <w:szCs w:val="24"/>
        </w:rPr>
        <w:t xml:space="preserve">with respect correctly in </w:t>
      </w:r>
      <w:r w:rsidR="00123EFA" w:rsidRPr="00AE7E43">
        <w:rPr>
          <w:rFonts w:ascii="Arial" w:hAnsi="Arial" w:cs="Arial"/>
          <w:i/>
          <w:sz w:val="24"/>
          <w:szCs w:val="24"/>
        </w:rPr>
        <w:t>Firstrand Bank Ltd v Carl Beck Estates (Pty) Ltd</w:t>
      </w:r>
      <w:r w:rsidR="00123EFA" w:rsidRPr="00AE7E43">
        <w:rPr>
          <w:rFonts w:ascii="Arial" w:hAnsi="Arial" w:cs="Arial"/>
          <w:sz w:val="24"/>
          <w:szCs w:val="24"/>
        </w:rPr>
        <w:t>.</w:t>
      </w:r>
      <w:r w:rsidR="00123EFA" w:rsidRPr="00AE7E43">
        <w:rPr>
          <w:rStyle w:val="FootnoteReference"/>
          <w:rFonts w:ascii="Arial" w:hAnsi="Arial" w:cs="Arial"/>
          <w:sz w:val="24"/>
          <w:szCs w:val="24"/>
        </w:rPr>
        <w:footnoteReference w:id="6"/>
      </w:r>
      <w:r w:rsidR="00123EFA" w:rsidRPr="00AE7E43">
        <w:rPr>
          <w:rFonts w:ascii="Arial" w:hAnsi="Arial" w:cs="Arial"/>
          <w:sz w:val="24"/>
          <w:szCs w:val="24"/>
        </w:rPr>
        <w:t xml:space="preserve"> </w:t>
      </w:r>
      <w:r w:rsidR="00E81666">
        <w:rPr>
          <w:rFonts w:ascii="Arial" w:hAnsi="Arial" w:cs="Arial"/>
          <w:sz w:val="24"/>
          <w:szCs w:val="24"/>
        </w:rPr>
        <w:t>In that case t</w:t>
      </w:r>
      <w:r w:rsidR="00E15BA1" w:rsidRPr="00AE7E43">
        <w:rPr>
          <w:rFonts w:ascii="Arial" w:hAnsi="Arial" w:cs="Arial"/>
          <w:sz w:val="24"/>
          <w:szCs w:val="24"/>
        </w:rPr>
        <w:t>he second respondent</w:t>
      </w:r>
      <w:r w:rsidR="006F28B5" w:rsidRPr="00AE7E43">
        <w:rPr>
          <w:rFonts w:ascii="Arial" w:hAnsi="Arial" w:cs="Arial"/>
          <w:sz w:val="24"/>
          <w:szCs w:val="24"/>
        </w:rPr>
        <w:t>,</w:t>
      </w:r>
      <w:r w:rsidR="00E15BA1" w:rsidRPr="00AE7E43">
        <w:rPr>
          <w:rFonts w:ascii="Arial" w:hAnsi="Arial" w:cs="Arial"/>
          <w:sz w:val="24"/>
          <w:szCs w:val="24"/>
        </w:rPr>
        <w:t xml:space="preserve"> who bound himself as surety and co-principal debtor for the debts of a company in favour of the bank</w:t>
      </w:r>
      <w:r w:rsidR="006F28B5" w:rsidRPr="00AE7E43">
        <w:rPr>
          <w:rFonts w:ascii="Arial" w:hAnsi="Arial" w:cs="Arial"/>
          <w:sz w:val="24"/>
          <w:szCs w:val="24"/>
        </w:rPr>
        <w:t>,</w:t>
      </w:r>
      <w:r w:rsidR="00E15BA1" w:rsidRPr="00AE7E43">
        <w:rPr>
          <w:rFonts w:ascii="Arial" w:hAnsi="Arial" w:cs="Arial"/>
          <w:sz w:val="24"/>
          <w:szCs w:val="24"/>
        </w:rPr>
        <w:t xml:space="preserve"> unsuccessfully relied on ss 8(5) of the NCA in opposing a summary judgment application.  The court held that </w:t>
      </w:r>
      <w:r w:rsidR="006112D2" w:rsidRPr="00AE7E43">
        <w:rPr>
          <w:rFonts w:ascii="Arial" w:hAnsi="Arial" w:cs="Arial"/>
          <w:sz w:val="24"/>
          <w:szCs w:val="24"/>
        </w:rPr>
        <w:t xml:space="preserve">no credit was advanced to the </w:t>
      </w:r>
      <w:r w:rsidR="006112D2" w:rsidRPr="00AE7E43">
        <w:rPr>
          <w:rFonts w:ascii="Arial" w:hAnsi="Arial" w:cs="Arial"/>
          <w:sz w:val="24"/>
          <w:szCs w:val="24"/>
        </w:rPr>
        <w:lastRenderedPageBreak/>
        <w:t>surety who</w:t>
      </w:r>
      <w:r w:rsidR="00E15BA1" w:rsidRPr="00AE7E43">
        <w:rPr>
          <w:rFonts w:ascii="Arial" w:hAnsi="Arial" w:cs="Arial"/>
          <w:sz w:val="24"/>
          <w:szCs w:val="24"/>
        </w:rPr>
        <w:t xml:space="preserve"> did not become party to the credit agreement between the bank and the first respondent.  Consequently, the surety could not claim to be entitled to receive notice in terms of s 129 of the NCA as he was sued as guarantor to the obligations of the first respondent – a juristic person – in terms of a credit transaction to which the NCA did not apply.</w:t>
      </w:r>
      <w:r w:rsidR="00E15BA1" w:rsidRPr="00AE7E43">
        <w:rPr>
          <w:rStyle w:val="FootnoteReference"/>
          <w:rFonts w:ascii="Arial" w:hAnsi="Arial" w:cs="Arial"/>
          <w:sz w:val="24"/>
          <w:szCs w:val="24"/>
        </w:rPr>
        <w:footnoteReference w:id="7"/>
      </w:r>
      <w:r w:rsidR="00123EFA" w:rsidRPr="00AE7E43">
        <w:rPr>
          <w:rFonts w:ascii="Arial" w:hAnsi="Arial" w:cs="Arial"/>
          <w:sz w:val="24"/>
          <w:szCs w:val="24"/>
        </w:rPr>
        <w:t xml:space="preserve"> </w:t>
      </w:r>
      <w:r w:rsidR="00036C4F" w:rsidRPr="00AE7E43">
        <w:rPr>
          <w:rFonts w:ascii="Arial" w:hAnsi="Arial" w:cs="Arial"/>
          <w:sz w:val="24"/>
          <w:szCs w:val="24"/>
        </w:rPr>
        <w:t xml:space="preserve">During the evaluation of the </w:t>
      </w:r>
      <w:r w:rsidR="006112D2" w:rsidRPr="00AE7E43">
        <w:rPr>
          <w:rFonts w:ascii="Arial" w:hAnsi="Arial" w:cs="Arial"/>
          <w:sz w:val="24"/>
          <w:szCs w:val="24"/>
        </w:rPr>
        <w:t>p</w:t>
      </w:r>
      <w:r w:rsidR="00036C4F" w:rsidRPr="00AE7E43">
        <w:rPr>
          <w:rFonts w:ascii="Arial" w:hAnsi="Arial" w:cs="Arial"/>
          <w:sz w:val="24"/>
          <w:szCs w:val="24"/>
        </w:rPr>
        <w:t>arties’ submissions more will be said in this regard.</w:t>
      </w:r>
    </w:p>
    <w:p w14:paraId="32D5FE36" w14:textId="77777777" w:rsidR="001E00AF" w:rsidRPr="00AE7E43" w:rsidRDefault="001E00AF" w:rsidP="001E4D6E">
      <w:pPr>
        <w:spacing w:after="0" w:line="360" w:lineRule="auto"/>
        <w:ind w:left="993" w:hanging="993"/>
        <w:jc w:val="both"/>
        <w:rPr>
          <w:rFonts w:ascii="Arial" w:hAnsi="Arial" w:cs="Arial"/>
          <w:sz w:val="24"/>
          <w:szCs w:val="24"/>
        </w:rPr>
      </w:pPr>
    </w:p>
    <w:p w14:paraId="5686209A" w14:textId="77777777" w:rsidR="001E00AF" w:rsidRPr="00AE7E43" w:rsidRDefault="001E00AF"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VI</w:t>
      </w:r>
      <w:r w:rsidRPr="00AE7E43">
        <w:rPr>
          <w:rFonts w:ascii="Arial" w:hAnsi="Arial" w:cs="Arial"/>
          <w:b/>
          <w:bCs/>
          <w:sz w:val="24"/>
          <w:szCs w:val="24"/>
        </w:rPr>
        <w:tab/>
      </w:r>
      <w:r w:rsidR="00FB71D9" w:rsidRPr="00AE7E43">
        <w:rPr>
          <w:rFonts w:ascii="Arial" w:hAnsi="Arial" w:cs="Arial"/>
          <w:b/>
          <w:bCs/>
          <w:sz w:val="24"/>
          <w:szCs w:val="24"/>
        </w:rPr>
        <w:t>MATERIAL COMMON CAUSE FACTS</w:t>
      </w:r>
    </w:p>
    <w:p w14:paraId="729D9C9E" w14:textId="77777777" w:rsidR="001E00AF" w:rsidRPr="00AE7E43" w:rsidRDefault="001E00AF" w:rsidP="001E4D6E">
      <w:pPr>
        <w:spacing w:after="0" w:line="360" w:lineRule="auto"/>
        <w:ind w:left="993" w:hanging="993"/>
        <w:jc w:val="both"/>
        <w:rPr>
          <w:rFonts w:ascii="Arial" w:hAnsi="Arial" w:cs="Arial"/>
          <w:sz w:val="24"/>
          <w:szCs w:val="24"/>
        </w:rPr>
      </w:pPr>
    </w:p>
    <w:p w14:paraId="238E5016"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[13</w:t>
      </w:r>
      <w:r w:rsidR="001E00AF" w:rsidRPr="00AE7E43">
        <w:rPr>
          <w:rFonts w:ascii="Arial" w:hAnsi="Arial" w:cs="Arial"/>
          <w:sz w:val="24"/>
          <w:szCs w:val="24"/>
        </w:rPr>
        <w:t>]</w:t>
      </w:r>
      <w:r w:rsidR="001E00AF" w:rsidRPr="00AE7E43">
        <w:rPr>
          <w:rFonts w:ascii="Arial" w:hAnsi="Arial" w:cs="Arial"/>
          <w:sz w:val="24"/>
          <w:szCs w:val="24"/>
        </w:rPr>
        <w:tab/>
        <w:t xml:space="preserve">On 4 December 2018 </w:t>
      </w:r>
      <w:r w:rsidR="002F3591" w:rsidRPr="00AE7E43">
        <w:rPr>
          <w:rFonts w:ascii="Arial" w:hAnsi="Arial" w:cs="Arial"/>
          <w:sz w:val="24"/>
          <w:szCs w:val="24"/>
        </w:rPr>
        <w:t>– three and a half years ago -</w:t>
      </w:r>
      <w:r w:rsidR="001E00AF" w:rsidRPr="00AE7E43">
        <w:rPr>
          <w:rFonts w:ascii="Arial" w:hAnsi="Arial" w:cs="Arial"/>
          <w:sz w:val="24"/>
          <w:szCs w:val="24"/>
        </w:rPr>
        <w:t xml:space="preserve"> at Bethlehem</w:t>
      </w:r>
      <w:r w:rsidR="002F3591" w:rsidRPr="00AE7E43">
        <w:rPr>
          <w:rFonts w:ascii="Arial" w:hAnsi="Arial" w:cs="Arial"/>
          <w:sz w:val="24"/>
          <w:szCs w:val="24"/>
        </w:rPr>
        <w:t>,</w:t>
      </w:r>
      <w:r w:rsidR="001E00AF" w:rsidRPr="00AE7E43">
        <w:rPr>
          <w:rFonts w:ascii="Arial" w:hAnsi="Arial" w:cs="Arial"/>
          <w:sz w:val="24"/>
          <w:szCs w:val="24"/>
        </w:rPr>
        <w:t xml:space="preserve"> </w:t>
      </w:r>
      <w:r w:rsidR="00737BFB" w:rsidRPr="00AE7E43">
        <w:rPr>
          <w:rFonts w:ascii="Arial" w:hAnsi="Arial" w:cs="Arial"/>
          <w:sz w:val="24"/>
          <w:szCs w:val="24"/>
        </w:rPr>
        <w:t>the</w:t>
      </w:r>
      <w:r w:rsidR="002F3591" w:rsidRPr="00AE7E43">
        <w:rPr>
          <w:rFonts w:ascii="Arial" w:hAnsi="Arial" w:cs="Arial"/>
          <w:sz w:val="24"/>
          <w:szCs w:val="24"/>
        </w:rPr>
        <w:t xml:space="preserve"> respondents as debtors </w:t>
      </w:r>
      <w:r w:rsidR="00737BFB" w:rsidRPr="00AE7E43">
        <w:rPr>
          <w:rFonts w:ascii="Arial" w:hAnsi="Arial" w:cs="Arial"/>
          <w:sz w:val="24"/>
          <w:szCs w:val="24"/>
        </w:rPr>
        <w:t>signed</w:t>
      </w:r>
      <w:r w:rsidR="001E00AF" w:rsidRPr="00AE7E43">
        <w:rPr>
          <w:rFonts w:ascii="Arial" w:hAnsi="Arial" w:cs="Arial"/>
          <w:sz w:val="24"/>
          <w:szCs w:val="24"/>
        </w:rPr>
        <w:t xml:space="preserve"> a written settlement agreement incorporating </w:t>
      </w:r>
      <w:r w:rsidR="00737BFB" w:rsidRPr="00AE7E43">
        <w:rPr>
          <w:rFonts w:ascii="Arial" w:hAnsi="Arial" w:cs="Arial"/>
          <w:sz w:val="24"/>
          <w:szCs w:val="24"/>
        </w:rPr>
        <w:t xml:space="preserve">a </w:t>
      </w:r>
      <w:r w:rsidR="001E00AF" w:rsidRPr="00AE7E43">
        <w:rPr>
          <w:rFonts w:ascii="Arial" w:hAnsi="Arial" w:cs="Arial"/>
          <w:sz w:val="24"/>
          <w:szCs w:val="24"/>
        </w:rPr>
        <w:t xml:space="preserve">power of attorney </w:t>
      </w:r>
      <w:r w:rsidR="00737BFB" w:rsidRPr="00AE7E43">
        <w:rPr>
          <w:rFonts w:ascii="Arial" w:hAnsi="Arial" w:cs="Arial"/>
          <w:sz w:val="24"/>
          <w:szCs w:val="24"/>
        </w:rPr>
        <w:t xml:space="preserve">which was </w:t>
      </w:r>
      <w:r w:rsidR="002F3591" w:rsidRPr="00AE7E43">
        <w:rPr>
          <w:rFonts w:ascii="Arial" w:hAnsi="Arial" w:cs="Arial"/>
          <w:sz w:val="24"/>
          <w:szCs w:val="24"/>
        </w:rPr>
        <w:t xml:space="preserve">thereafter </w:t>
      </w:r>
      <w:r w:rsidR="00737BFB" w:rsidRPr="00AE7E43">
        <w:rPr>
          <w:rFonts w:ascii="Arial" w:hAnsi="Arial" w:cs="Arial"/>
          <w:sz w:val="24"/>
          <w:szCs w:val="24"/>
        </w:rPr>
        <w:t>signed on behalf of the applicant in</w:t>
      </w:r>
      <w:r w:rsidR="001E00AF" w:rsidRPr="00AE7E43">
        <w:rPr>
          <w:rFonts w:ascii="Arial" w:hAnsi="Arial" w:cs="Arial"/>
          <w:sz w:val="24"/>
          <w:szCs w:val="24"/>
        </w:rPr>
        <w:t xml:space="preserve"> Durban on 11 February 2019 (the reference to 2018 is clearly a mistake).</w:t>
      </w:r>
      <w:r w:rsidR="001E00AF" w:rsidRPr="00AE7E43">
        <w:rPr>
          <w:rStyle w:val="FootnoteReference"/>
          <w:rFonts w:ascii="Arial" w:hAnsi="Arial" w:cs="Arial"/>
          <w:sz w:val="24"/>
          <w:szCs w:val="24"/>
        </w:rPr>
        <w:footnoteReference w:id="8"/>
      </w:r>
      <w:r w:rsidR="00640983" w:rsidRPr="00AE7E43">
        <w:rPr>
          <w:rFonts w:ascii="Arial" w:hAnsi="Arial" w:cs="Arial"/>
          <w:sz w:val="24"/>
          <w:szCs w:val="24"/>
        </w:rPr>
        <w:t xml:space="preserve">  The respondents’ financial advisor at the time, Mr Willem Petrus Fouche, a retired bank manager w</w:t>
      </w:r>
      <w:r w:rsidR="00E81666">
        <w:rPr>
          <w:rFonts w:ascii="Arial" w:hAnsi="Arial" w:cs="Arial"/>
          <w:sz w:val="24"/>
          <w:szCs w:val="24"/>
        </w:rPr>
        <w:t>ho was previously in the employ</w:t>
      </w:r>
      <w:r w:rsidR="00640983" w:rsidRPr="00AE7E43">
        <w:rPr>
          <w:rFonts w:ascii="Arial" w:hAnsi="Arial" w:cs="Arial"/>
          <w:sz w:val="24"/>
          <w:szCs w:val="24"/>
        </w:rPr>
        <w:t xml:space="preserve"> of First National Bank, co-signed as witness for them.  Reference will be made to this person again during the evaluation of the evidence and the parties’ submissions.</w:t>
      </w:r>
    </w:p>
    <w:p w14:paraId="25A32B0B" w14:textId="77777777" w:rsidR="001E00AF" w:rsidRPr="00AE7E43" w:rsidRDefault="001E00AF" w:rsidP="001E4D6E">
      <w:pPr>
        <w:spacing w:after="0" w:line="360" w:lineRule="auto"/>
        <w:ind w:left="993" w:hanging="993"/>
        <w:jc w:val="both"/>
        <w:rPr>
          <w:rFonts w:ascii="Arial" w:hAnsi="Arial" w:cs="Arial"/>
          <w:sz w:val="24"/>
          <w:szCs w:val="24"/>
        </w:rPr>
      </w:pPr>
    </w:p>
    <w:p w14:paraId="7FB710AC"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[14</w:t>
      </w:r>
      <w:r w:rsidR="00E03DCD" w:rsidRPr="00AE7E43">
        <w:rPr>
          <w:rFonts w:ascii="Arial" w:hAnsi="Arial" w:cs="Arial"/>
          <w:sz w:val="24"/>
          <w:szCs w:val="24"/>
        </w:rPr>
        <w:t>]</w:t>
      </w:r>
      <w:r w:rsidR="00E03DCD" w:rsidRPr="00AE7E43">
        <w:rPr>
          <w:rFonts w:ascii="Arial" w:hAnsi="Arial" w:cs="Arial"/>
          <w:sz w:val="24"/>
          <w:szCs w:val="24"/>
        </w:rPr>
        <w:tab/>
        <w:t>On 21 February 2019 this</w:t>
      </w:r>
      <w:r w:rsidR="001E00AF" w:rsidRPr="00AE7E43">
        <w:rPr>
          <w:rFonts w:ascii="Arial" w:hAnsi="Arial" w:cs="Arial"/>
          <w:sz w:val="24"/>
          <w:szCs w:val="24"/>
        </w:rPr>
        <w:t xml:space="preserve"> first settlement agreement was made an order of court by </w:t>
      </w:r>
      <w:r w:rsidR="00E03DCD" w:rsidRPr="00AE7E43">
        <w:rPr>
          <w:rFonts w:ascii="Arial" w:hAnsi="Arial" w:cs="Arial"/>
          <w:sz w:val="24"/>
          <w:szCs w:val="24"/>
        </w:rPr>
        <w:t xml:space="preserve">the </w:t>
      </w:r>
      <w:r w:rsidR="001E00AF" w:rsidRPr="00AE7E43">
        <w:rPr>
          <w:rFonts w:ascii="Arial" w:hAnsi="Arial" w:cs="Arial"/>
          <w:sz w:val="24"/>
          <w:szCs w:val="24"/>
        </w:rPr>
        <w:t>then Acting D</w:t>
      </w:r>
      <w:r w:rsidR="00737BFB" w:rsidRPr="00AE7E43">
        <w:rPr>
          <w:rFonts w:ascii="Arial" w:hAnsi="Arial" w:cs="Arial"/>
          <w:sz w:val="24"/>
          <w:szCs w:val="24"/>
        </w:rPr>
        <w:t>eputy Judge President MH Rampai</w:t>
      </w:r>
      <w:r w:rsidR="001E00AF" w:rsidRPr="00AE7E43">
        <w:rPr>
          <w:rFonts w:ascii="Arial" w:hAnsi="Arial" w:cs="Arial"/>
          <w:sz w:val="24"/>
          <w:szCs w:val="24"/>
        </w:rPr>
        <w:t xml:space="preserve"> under case number 696/2019.</w:t>
      </w:r>
      <w:r w:rsidR="001E00AF" w:rsidRPr="00AE7E43">
        <w:rPr>
          <w:rStyle w:val="FootnoteReference"/>
          <w:rFonts w:ascii="Arial" w:hAnsi="Arial" w:cs="Arial"/>
          <w:sz w:val="24"/>
          <w:szCs w:val="24"/>
        </w:rPr>
        <w:footnoteReference w:id="9"/>
      </w:r>
    </w:p>
    <w:p w14:paraId="2D0781DC" w14:textId="77777777" w:rsidR="001E00AF" w:rsidRPr="00AE7E43" w:rsidRDefault="001E00AF" w:rsidP="001E4D6E">
      <w:pPr>
        <w:spacing w:after="0" w:line="360" w:lineRule="auto"/>
        <w:ind w:left="993" w:hanging="993"/>
        <w:jc w:val="both"/>
        <w:rPr>
          <w:rFonts w:ascii="Arial" w:hAnsi="Arial" w:cs="Arial"/>
          <w:sz w:val="24"/>
          <w:szCs w:val="24"/>
        </w:rPr>
      </w:pPr>
    </w:p>
    <w:p w14:paraId="140D93A4"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[15</w:t>
      </w:r>
      <w:r w:rsidR="001E00AF" w:rsidRPr="00AE7E43">
        <w:rPr>
          <w:rFonts w:ascii="Arial" w:hAnsi="Arial" w:cs="Arial"/>
          <w:sz w:val="24"/>
          <w:szCs w:val="24"/>
        </w:rPr>
        <w:t>]</w:t>
      </w:r>
      <w:r w:rsidR="001E00AF" w:rsidRPr="00AE7E43">
        <w:rPr>
          <w:rFonts w:ascii="Arial" w:hAnsi="Arial" w:cs="Arial"/>
          <w:sz w:val="24"/>
          <w:szCs w:val="24"/>
        </w:rPr>
        <w:tab/>
        <w:t>A second settlement agreement was entered into between the same parties</w:t>
      </w:r>
      <w:r w:rsidR="00E03DCD" w:rsidRPr="00AE7E43">
        <w:rPr>
          <w:rFonts w:ascii="Arial" w:hAnsi="Arial" w:cs="Arial"/>
          <w:sz w:val="24"/>
          <w:szCs w:val="24"/>
        </w:rPr>
        <w:t>,</w:t>
      </w:r>
      <w:r w:rsidR="001E00AF" w:rsidRPr="00AE7E43">
        <w:rPr>
          <w:rFonts w:ascii="Arial" w:hAnsi="Arial" w:cs="Arial"/>
          <w:sz w:val="24"/>
          <w:szCs w:val="24"/>
        </w:rPr>
        <w:t xml:space="preserve"> signed by the debtors on 29 September 2020 at Bethlehem </w:t>
      </w:r>
      <w:r w:rsidR="00E03DCD" w:rsidRPr="00AE7E43">
        <w:rPr>
          <w:rFonts w:ascii="Arial" w:hAnsi="Arial" w:cs="Arial"/>
          <w:sz w:val="24"/>
          <w:szCs w:val="24"/>
        </w:rPr>
        <w:t xml:space="preserve">and </w:t>
      </w:r>
      <w:r w:rsidR="00E57F99" w:rsidRPr="00AE7E43">
        <w:rPr>
          <w:rFonts w:ascii="Arial" w:hAnsi="Arial" w:cs="Arial"/>
          <w:sz w:val="24"/>
          <w:szCs w:val="24"/>
        </w:rPr>
        <w:t>on behalf of the applicant</w:t>
      </w:r>
      <w:r w:rsidR="001E00AF" w:rsidRPr="00AE7E43">
        <w:rPr>
          <w:rFonts w:ascii="Arial" w:hAnsi="Arial" w:cs="Arial"/>
          <w:sz w:val="24"/>
          <w:szCs w:val="24"/>
        </w:rPr>
        <w:t xml:space="preserve"> in Durban on 16 October 2020.</w:t>
      </w:r>
      <w:r w:rsidR="001E00AF" w:rsidRPr="00AE7E43">
        <w:rPr>
          <w:rStyle w:val="FootnoteReference"/>
          <w:rFonts w:ascii="Arial" w:hAnsi="Arial" w:cs="Arial"/>
          <w:sz w:val="24"/>
          <w:szCs w:val="24"/>
        </w:rPr>
        <w:footnoteReference w:id="10"/>
      </w:r>
      <w:r w:rsidR="00640983" w:rsidRPr="00AE7E43">
        <w:rPr>
          <w:rFonts w:ascii="Arial" w:hAnsi="Arial" w:cs="Arial"/>
          <w:sz w:val="24"/>
          <w:szCs w:val="24"/>
        </w:rPr>
        <w:t xml:space="preserve">  Again, as in respect of the first agreement, the respondents’ financial advisor at the time, Mr Willem Petrus Fouche, co-signed as witness for them.</w:t>
      </w:r>
    </w:p>
    <w:p w14:paraId="67E5AF53" w14:textId="77777777" w:rsidR="001E00AF" w:rsidRDefault="001E00AF" w:rsidP="001E4D6E">
      <w:pPr>
        <w:spacing w:after="0" w:line="360" w:lineRule="auto"/>
        <w:ind w:left="993" w:hanging="993"/>
        <w:jc w:val="both"/>
        <w:rPr>
          <w:rFonts w:ascii="Arial" w:hAnsi="Arial" w:cs="Arial"/>
          <w:sz w:val="24"/>
          <w:szCs w:val="24"/>
        </w:rPr>
      </w:pPr>
    </w:p>
    <w:p w14:paraId="7183FE8E" w14:textId="77777777" w:rsidR="00AE7E43" w:rsidRPr="00AE7E43" w:rsidRDefault="00AE7E43" w:rsidP="001E4D6E">
      <w:pPr>
        <w:spacing w:after="0" w:line="360" w:lineRule="auto"/>
        <w:ind w:left="993" w:hanging="993"/>
        <w:jc w:val="both"/>
        <w:rPr>
          <w:rFonts w:ascii="Arial" w:hAnsi="Arial" w:cs="Arial"/>
          <w:sz w:val="24"/>
          <w:szCs w:val="24"/>
        </w:rPr>
      </w:pPr>
    </w:p>
    <w:p w14:paraId="6FC99401"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lastRenderedPageBreak/>
        <w:t>[16</w:t>
      </w:r>
      <w:r w:rsidR="001E00AF" w:rsidRPr="00AE7E43">
        <w:rPr>
          <w:rFonts w:ascii="Arial" w:hAnsi="Arial" w:cs="Arial"/>
          <w:sz w:val="24"/>
          <w:szCs w:val="24"/>
        </w:rPr>
        <w:t>]</w:t>
      </w:r>
      <w:r w:rsidR="001E00AF" w:rsidRPr="00AE7E43">
        <w:rPr>
          <w:rFonts w:ascii="Arial" w:hAnsi="Arial" w:cs="Arial"/>
          <w:sz w:val="24"/>
          <w:szCs w:val="24"/>
        </w:rPr>
        <w:tab/>
      </w:r>
      <w:r w:rsidR="00E57F99" w:rsidRPr="00AE7E43">
        <w:rPr>
          <w:rFonts w:ascii="Arial" w:hAnsi="Arial" w:cs="Arial"/>
          <w:sz w:val="24"/>
          <w:szCs w:val="24"/>
        </w:rPr>
        <w:t>On 12 November 2020 t</w:t>
      </w:r>
      <w:r w:rsidR="001E00AF" w:rsidRPr="00AE7E43">
        <w:rPr>
          <w:rFonts w:ascii="Arial" w:hAnsi="Arial" w:cs="Arial"/>
          <w:sz w:val="24"/>
          <w:szCs w:val="24"/>
        </w:rPr>
        <w:t>he second settlement agreement was made an order of court by the Honourable Justice PE Molitsoane under case number 4256/2020.</w:t>
      </w:r>
      <w:r w:rsidR="001E00AF" w:rsidRPr="00AE7E43">
        <w:rPr>
          <w:rStyle w:val="FootnoteReference"/>
          <w:rFonts w:ascii="Arial" w:hAnsi="Arial" w:cs="Arial"/>
          <w:sz w:val="24"/>
          <w:szCs w:val="24"/>
        </w:rPr>
        <w:footnoteReference w:id="11"/>
      </w:r>
      <w:r w:rsidR="002F3591" w:rsidRPr="00AE7E43">
        <w:rPr>
          <w:rFonts w:ascii="Arial" w:hAnsi="Arial" w:cs="Arial"/>
          <w:sz w:val="24"/>
          <w:szCs w:val="24"/>
        </w:rPr>
        <w:t xml:space="preserve">  As was the case when the first settlement agreement was entered into, the main purpose was to grant extension </w:t>
      </w:r>
      <w:r w:rsidR="008673D6" w:rsidRPr="00AE7E43">
        <w:rPr>
          <w:rFonts w:ascii="Arial" w:hAnsi="Arial" w:cs="Arial"/>
          <w:sz w:val="24"/>
          <w:szCs w:val="24"/>
        </w:rPr>
        <w:t xml:space="preserve">of payment </w:t>
      </w:r>
      <w:r w:rsidR="002F3591" w:rsidRPr="00AE7E43">
        <w:rPr>
          <w:rFonts w:ascii="Arial" w:hAnsi="Arial" w:cs="Arial"/>
          <w:sz w:val="24"/>
          <w:szCs w:val="24"/>
        </w:rPr>
        <w:t xml:space="preserve">to the debtors.  After having acknowledged their liability towards the applicant, they undertook </w:t>
      </w:r>
      <w:r w:rsidR="008673D6" w:rsidRPr="00AE7E43">
        <w:rPr>
          <w:rFonts w:ascii="Arial" w:hAnsi="Arial" w:cs="Arial"/>
          <w:sz w:val="24"/>
          <w:szCs w:val="24"/>
        </w:rPr>
        <w:t>to reduce the outstanding balances of the various accounts by a minimum of 50% within six months and to settle the remaining balances within a further period of three months.</w:t>
      </w:r>
      <w:r w:rsidR="008673D6" w:rsidRPr="00AE7E43">
        <w:rPr>
          <w:rStyle w:val="FootnoteReference"/>
          <w:rFonts w:ascii="Arial" w:hAnsi="Arial" w:cs="Arial"/>
          <w:sz w:val="24"/>
          <w:szCs w:val="24"/>
        </w:rPr>
        <w:footnoteReference w:id="12"/>
      </w:r>
      <w:r w:rsidR="002F3591" w:rsidRPr="00AE7E43">
        <w:rPr>
          <w:rFonts w:ascii="Arial" w:hAnsi="Arial" w:cs="Arial"/>
          <w:sz w:val="24"/>
          <w:szCs w:val="24"/>
        </w:rPr>
        <w:t xml:space="preserve"> </w:t>
      </w:r>
    </w:p>
    <w:p w14:paraId="233FE579" w14:textId="77777777" w:rsidR="001E00AF" w:rsidRPr="00AE7E43" w:rsidRDefault="001E00AF" w:rsidP="001E4D6E">
      <w:pPr>
        <w:spacing w:after="0" w:line="360" w:lineRule="auto"/>
        <w:ind w:left="993" w:hanging="993"/>
        <w:jc w:val="both"/>
        <w:rPr>
          <w:rFonts w:ascii="Arial" w:hAnsi="Arial" w:cs="Arial"/>
          <w:sz w:val="24"/>
          <w:szCs w:val="24"/>
        </w:rPr>
      </w:pPr>
    </w:p>
    <w:p w14:paraId="65531737" w14:textId="77777777" w:rsidR="003926CE"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[17</w:t>
      </w:r>
      <w:r w:rsidR="001E00AF" w:rsidRPr="00AE7E43">
        <w:rPr>
          <w:rFonts w:ascii="Arial" w:hAnsi="Arial" w:cs="Arial"/>
          <w:sz w:val="24"/>
          <w:szCs w:val="24"/>
        </w:rPr>
        <w:t>]</w:t>
      </w:r>
      <w:r w:rsidR="001E00AF" w:rsidRPr="00AE7E43">
        <w:rPr>
          <w:rFonts w:ascii="Arial" w:hAnsi="Arial" w:cs="Arial"/>
          <w:sz w:val="24"/>
          <w:szCs w:val="24"/>
        </w:rPr>
        <w:tab/>
      </w:r>
      <w:r w:rsidR="00AD548C" w:rsidRPr="00AE7E43">
        <w:rPr>
          <w:rFonts w:ascii="Arial" w:hAnsi="Arial" w:cs="Arial"/>
          <w:sz w:val="24"/>
          <w:szCs w:val="24"/>
        </w:rPr>
        <w:t>Mr HSL Du Plessis, a Kroonstad attorney, came on the scene on 13 April 2021.</w:t>
      </w:r>
      <w:r w:rsidR="00AD548C" w:rsidRPr="00AE7E43">
        <w:rPr>
          <w:rStyle w:val="FootnoteReference"/>
          <w:rFonts w:ascii="Arial" w:hAnsi="Arial" w:cs="Arial"/>
          <w:sz w:val="24"/>
          <w:szCs w:val="24"/>
        </w:rPr>
        <w:footnoteReference w:id="13"/>
      </w:r>
      <w:r w:rsidR="00AD548C" w:rsidRPr="00AE7E43">
        <w:rPr>
          <w:rFonts w:ascii="Arial" w:hAnsi="Arial" w:cs="Arial"/>
          <w:sz w:val="24"/>
          <w:szCs w:val="24"/>
        </w:rPr>
        <w:t xml:space="preserve">  He was at that stage only instructed by the 4</w:t>
      </w:r>
      <w:r w:rsidR="00AD548C" w:rsidRPr="00AE7E43">
        <w:rPr>
          <w:rFonts w:ascii="Arial" w:hAnsi="Arial" w:cs="Arial"/>
          <w:sz w:val="24"/>
          <w:szCs w:val="24"/>
          <w:vertAlign w:val="superscript"/>
        </w:rPr>
        <w:t>th</w:t>
      </w:r>
      <w:r w:rsidR="00AD548C" w:rsidRPr="00AE7E43">
        <w:rPr>
          <w:rFonts w:ascii="Arial" w:hAnsi="Arial" w:cs="Arial"/>
          <w:sz w:val="24"/>
          <w:szCs w:val="24"/>
        </w:rPr>
        <w:t xml:space="preserve"> respondent.  According to his instructions the Trust denied its indebtedness in the amounts claimed by the applicant.  He confirmed that forensic auditors </w:t>
      </w:r>
      <w:r w:rsidR="00E81666">
        <w:rPr>
          <w:rFonts w:ascii="Arial" w:hAnsi="Arial" w:cs="Arial"/>
          <w:sz w:val="24"/>
          <w:szCs w:val="24"/>
        </w:rPr>
        <w:t>had been</w:t>
      </w:r>
      <w:r w:rsidR="00AD548C" w:rsidRPr="00AE7E43">
        <w:rPr>
          <w:rFonts w:ascii="Arial" w:hAnsi="Arial" w:cs="Arial"/>
          <w:sz w:val="24"/>
          <w:szCs w:val="24"/>
        </w:rPr>
        <w:t xml:space="preserve"> instructed to audit the accounts and furthermore accused the bank of several contraventions of the NCA.  The very ne</w:t>
      </w:r>
      <w:r w:rsidR="006F28B5" w:rsidRPr="00AE7E43">
        <w:rPr>
          <w:rFonts w:ascii="Arial" w:hAnsi="Arial" w:cs="Arial"/>
          <w:sz w:val="24"/>
          <w:szCs w:val="24"/>
        </w:rPr>
        <w:t>xt day Ms</w:t>
      </w:r>
      <w:r w:rsidR="00AD548C" w:rsidRPr="00AE7E43">
        <w:rPr>
          <w:rFonts w:ascii="Arial" w:hAnsi="Arial" w:cs="Arial"/>
          <w:sz w:val="24"/>
          <w:szCs w:val="24"/>
        </w:rPr>
        <w:t xml:space="preserve"> Sebet van Jaarsveld communicated with the applicant’s attorney on behalf of 4</w:t>
      </w:r>
      <w:r w:rsidR="00AD548C" w:rsidRPr="00AE7E43">
        <w:rPr>
          <w:rFonts w:ascii="Arial" w:hAnsi="Arial" w:cs="Arial"/>
          <w:sz w:val="24"/>
          <w:szCs w:val="24"/>
          <w:vertAlign w:val="superscript"/>
        </w:rPr>
        <w:t>th</w:t>
      </w:r>
      <w:r w:rsidR="00AD548C" w:rsidRPr="00AE7E43">
        <w:rPr>
          <w:rFonts w:ascii="Arial" w:hAnsi="Arial" w:cs="Arial"/>
          <w:sz w:val="24"/>
          <w:szCs w:val="24"/>
        </w:rPr>
        <w:t xml:space="preserve"> respondent</w:t>
      </w:r>
      <w:r w:rsidR="00640983" w:rsidRPr="00AE7E43">
        <w:rPr>
          <w:rFonts w:ascii="Arial" w:hAnsi="Arial" w:cs="Arial"/>
          <w:sz w:val="24"/>
          <w:szCs w:val="24"/>
        </w:rPr>
        <w:t xml:space="preserve"> without saying a word about </w:t>
      </w:r>
      <w:r w:rsidR="00AD548C" w:rsidRPr="00AE7E43">
        <w:rPr>
          <w:rFonts w:ascii="Arial" w:hAnsi="Arial" w:cs="Arial"/>
          <w:sz w:val="24"/>
          <w:szCs w:val="24"/>
        </w:rPr>
        <w:t>the alleged dispute.</w:t>
      </w:r>
      <w:r w:rsidR="00640983" w:rsidRPr="00AE7E43">
        <w:rPr>
          <w:rStyle w:val="FootnoteReference"/>
          <w:rFonts w:ascii="Arial" w:hAnsi="Arial" w:cs="Arial"/>
          <w:sz w:val="24"/>
          <w:szCs w:val="24"/>
        </w:rPr>
        <w:footnoteReference w:id="14"/>
      </w:r>
      <w:r w:rsidR="00AD548C" w:rsidRPr="00AE7E43">
        <w:rPr>
          <w:rFonts w:ascii="Arial" w:hAnsi="Arial" w:cs="Arial"/>
          <w:sz w:val="24"/>
          <w:szCs w:val="24"/>
        </w:rPr>
        <w:t xml:space="preserve">  </w:t>
      </w:r>
      <w:r w:rsidR="00640983" w:rsidRPr="00AE7E43">
        <w:rPr>
          <w:rFonts w:ascii="Arial" w:hAnsi="Arial" w:cs="Arial"/>
          <w:sz w:val="24"/>
          <w:szCs w:val="24"/>
        </w:rPr>
        <w:t>Further c</w:t>
      </w:r>
      <w:r w:rsidR="001E00AF" w:rsidRPr="00AE7E43">
        <w:rPr>
          <w:rFonts w:ascii="Arial" w:hAnsi="Arial" w:cs="Arial"/>
          <w:sz w:val="24"/>
          <w:szCs w:val="24"/>
        </w:rPr>
        <w:t>orrespondence followed between th</w:t>
      </w:r>
      <w:r w:rsidR="00E57F99" w:rsidRPr="00AE7E43">
        <w:rPr>
          <w:rFonts w:ascii="Arial" w:hAnsi="Arial" w:cs="Arial"/>
          <w:sz w:val="24"/>
          <w:szCs w:val="24"/>
        </w:rPr>
        <w:t>e parties and</w:t>
      </w:r>
      <w:r w:rsidR="006F28B5" w:rsidRPr="00AE7E43">
        <w:rPr>
          <w:rFonts w:ascii="Arial" w:hAnsi="Arial" w:cs="Arial"/>
          <w:sz w:val="24"/>
          <w:szCs w:val="24"/>
        </w:rPr>
        <w:t xml:space="preserve"> on 20 May 2021 Ms</w:t>
      </w:r>
      <w:r w:rsidR="00E81666">
        <w:rPr>
          <w:rFonts w:ascii="Arial" w:hAnsi="Arial" w:cs="Arial"/>
          <w:sz w:val="24"/>
          <w:szCs w:val="24"/>
        </w:rPr>
        <w:t xml:space="preserve"> Van Jaarsveld</w:t>
      </w:r>
      <w:r w:rsidR="003926CE" w:rsidRPr="00AE7E43">
        <w:rPr>
          <w:rFonts w:ascii="Arial" w:hAnsi="Arial" w:cs="Arial"/>
          <w:sz w:val="24"/>
          <w:szCs w:val="24"/>
        </w:rPr>
        <w:t xml:space="preserve"> confirmed that she was still trying to obtain alternative finance for the Trust and even made the following request in respe</w:t>
      </w:r>
      <w:r w:rsidR="006D393C" w:rsidRPr="00AE7E43">
        <w:rPr>
          <w:rFonts w:ascii="Arial" w:hAnsi="Arial" w:cs="Arial"/>
          <w:sz w:val="24"/>
          <w:szCs w:val="24"/>
        </w:rPr>
        <w:t>ct of payment to the applicant:</w:t>
      </w:r>
    </w:p>
    <w:p w14:paraId="3FAE8507" w14:textId="77777777" w:rsidR="003926CE" w:rsidRPr="00AE7E43" w:rsidRDefault="003926CE" w:rsidP="001E4D6E">
      <w:pPr>
        <w:spacing w:after="0" w:line="360" w:lineRule="auto"/>
        <w:ind w:left="993"/>
        <w:jc w:val="both"/>
        <w:rPr>
          <w:rFonts w:ascii="Arial" w:hAnsi="Arial" w:cs="Arial"/>
          <w:sz w:val="24"/>
          <w:szCs w:val="24"/>
        </w:rPr>
      </w:pPr>
      <w:r w:rsidRPr="00AE7E43">
        <w:rPr>
          <w:rFonts w:ascii="Arial" w:hAnsi="Arial" w:cs="Arial"/>
          <w:sz w:val="20"/>
          <w:szCs w:val="20"/>
        </w:rPr>
        <w:t>“Ons wil graag nederig ‘n versoek rig dat indien ons die bedrag van R2 200 000.00 teen einde Julie 2021 betaal en sodoende die een term loan saam met die current account finaal sluit die balans van die term loans dan oor 7 jaar paaiemente delg.”</w:t>
      </w:r>
    </w:p>
    <w:p w14:paraId="25323489" w14:textId="77777777" w:rsidR="00DF47F9" w:rsidRPr="00AE7E43" w:rsidRDefault="00DF47F9" w:rsidP="001E4D6E">
      <w:pPr>
        <w:spacing w:after="0" w:line="360" w:lineRule="auto"/>
        <w:ind w:left="993"/>
        <w:jc w:val="both"/>
        <w:rPr>
          <w:rFonts w:ascii="Arial" w:hAnsi="Arial" w:cs="Arial"/>
          <w:sz w:val="24"/>
          <w:szCs w:val="24"/>
        </w:rPr>
      </w:pPr>
      <w:r w:rsidRPr="00AE7E43">
        <w:rPr>
          <w:rFonts w:ascii="Arial" w:hAnsi="Arial" w:cs="Arial"/>
          <w:sz w:val="24"/>
          <w:szCs w:val="24"/>
        </w:rPr>
        <w:t>Again, the applicant was requested for extension of payment in this email.  The respondents indicated that they were trying to apply for credit from FNB and Nedbank in order to take over the debt at a more favourable interest rate.</w:t>
      </w:r>
      <w:r w:rsidRPr="00AE7E43">
        <w:rPr>
          <w:rStyle w:val="FootnoteReference"/>
          <w:rFonts w:ascii="Arial" w:hAnsi="Arial" w:cs="Arial"/>
          <w:sz w:val="24"/>
          <w:szCs w:val="24"/>
        </w:rPr>
        <w:footnoteReference w:id="15"/>
      </w:r>
    </w:p>
    <w:p w14:paraId="12164131" w14:textId="77777777" w:rsidR="00DF47F9" w:rsidRPr="00AE7E43" w:rsidRDefault="00DF47F9" w:rsidP="001E4D6E">
      <w:pPr>
        <w:spacing w:after="0" w:line="360" w:lineRule="auto"/>
        <w:ind w:left="993" w:hanging="993"/>
        <w:jc w:val="both"/>
        <w:rPr>
          <w:rFonts w:ascii="Arial" w:hAnsi="Arial" w:cs="Arial"/>
          <w:sz w:val="24"/>
          <w:szCs w:val="24"/>
        </w:rPr>
      </w:pPr>
    </w:p>
    <w:p w14:paraId="7ACFAAF8"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lastRenderedPageBreak/>
        <w:t>[18</w:t>
      </w:r>
      <w:r w:rsidR="006D393C" w:rsidRPr="00AE7E43">
        <w:rPr>
          <w:rFonts w:ascii="Arial" w:hAnsi="Arial" w:cs="Arial"/>
          <w:sz w:val="24"/>
          <w:szCs w:val="24"/>
        </w:rPr>
        <w:t>]</w:t>
      </w:r>
      <w:r w:rsidR="006D393C" w:rsidRPr="00AE7E43">
        <w:rPr>
          <w:rFonts w:ascii="Arial" w:hAnsi="Arial" w:cs="Arial"/>
          <w:sz w:val="24"/>
          <w:szCs w:val="24"/>
        </w:rPr>
        <w:tab/>
      </w:r>
      <w:r w:rsidR="003926CE" w:rsidRPr="00AE7E43">
        <w:rPr>
          <w:rFonts w:ascii="Arial" w:hAnsi="Arial" w:cs="Arial"/>
          <w:sz w:val="24"/>
          <w:szCs w:val="24"/>
        </w:rPr>
        <w:t>O</w:t>
      </w:r>
      <w:r w:rsidR="00E57F99" w:rsidRPr="00AE7E43">
        <w:rPr>
          <w:rFonts w:ascii="Arial" w:hAnsi="Arial" w:cs="Arial"/>
          <w:sz w:val="24"/>
          <w:szCs w:val="24"/>
        </w:rPr>
        <w:t xml:space="preserve">n 9 June 2021 </w:t>
      </w:r>
      <w:r w:rsidR="006F28B5" w:rsidRPr="00AE7E43">
        <w:rPr>
          <w:rFonts w:ascii="Arial" w:hAnsi="Arial" w:cs="Arial"/>
          <w:sz w:val="24"/>
          <w:szCs w:val="24"/>
        </w:rPr>
        <w:t xml:space="preserve">Mr </w:t>
      </w:r>
      <w:r w:rsidR="001E00AF" w:rsidRPr="00AE7E43">
        <w:rPr>
          <w:rFonts w:ascii="Arial" w:hAnsi="Arial" w:cs="Arial"/>
          <w:sz w:val="24"/>
          <w:szCs w:val="24"/>
        </w:rPr>
        <w:t>Van Wyk Wolmarans</w:t>
      </w:r>
      <w:r w:rsidR="00E57F99" w:rsidRPr="00AE7E43">
        <w:rPr>
          <w:rFonts w:ascii="Arial" w:hAnsi="Arial" w:cs="Arial"/>
          <w:sz w:val="24"/>
          <w:szCs w:val="24"/>
        </w:rPr>
        <w:t>,</w:t>
      </w:r>
      <w:r w:rsidR="001E00AF" w:rsidRPr="00AE7E43">
        <w:rPr>
          <w:rFonts w:ascii="Arial" w:hAnsi="Arial" w:cs="Arial"/>
          <w:sz w:val="24"/>
          <w:szCs w:val="24"/>
        </w:rPr>
        <w:t xml:space="preserve"> the 4</w:t>
      </w:r>
      <w:r w:rsidR="001E00AF" w:rsidRPr="00AE7E43">
        <w:rPr>
          <w:rFonts w:ascii="Arial" w:hAnsi="Arial" w:cs="Arial"/>
          <w:sz w:val="24"/>
          <w:szCs w:val="24"/>
          <w:vertAlign w:val="superscript"/>
        </w:rPr>
        <w:t>th</w:t>
      </w:r>
      <w:r w:rsidR="001E00AF" w:rsidRPr="00AE7E43">
        <w:rPr>
          <w:rFonts w:ascii="Arial" w:hAnsi="Arial" w:cs="Arial"/>
          <w:sz w:val="24"/>
          <w:szCs w:val="24"/>
        </w:rPr>
        <w:t xml:space="preserve"> respondent and deponent to the answering affidavit in this application, emailed a letter to Mr Otto of Phatshoane Henney Inc.  </w:t>
      </w:r>
      <w:r w:rsidR="00823C84" w:rsidRPr="00AE7E43">
        <w:rPr>
          <w:rFonts w:ascii="Arial" w:hAnsi="Arial" w:cs="Arial"/>
          <w:sz w:val="24"/>
          <w:szCs w:val="24"/>
        </w:rPr>
        <w:t>Cash flow</w:t>
      </w:r>
      <w:r w:rsidR="00E57F99" w:rsidRPr="00AE7E43">
        <w:rPr>
          <w:rFonts w:ascii="Arial" w:hAnsi="Arial" w:cs="Arial"/>
          <w:sz w:val="24"/>
          <w:szCs w:val="24"/>
        </w:rPr>
        <w:t xml:space="preserve"> figures we</w:t>
      </w:r>
      <w:r w:rsidR="001E00AF" w:rsidRPr="00AE7E43">
        <w:rPr>
          <w:rFonts w:ascii="Arial" w:hAnsi="Arial" w:cs="Arial"/>
          <w:sz w:val="24"/>
          <w:szCs w:val="24"/>
        </w:rPr>
        <w:t>re attached to the email and an extension of payment was sought.</w:t>
      </w:r>
      <w:r w:rsidR="001E00AF" w:rsidRPr="00AE7E43">
        <w:rPr>
          <w:rStyle w:val="FootnoteReference"/>
          <w:rFonts w:ascii="Arial" w:hAnsi="Arial" w:cs="Arial"/>
          <w:sz w:val="24"/>
          <w:szCs w:val="24"/>
        </w:rPr>
        <w:footnoteReference w:id="16"/>
      </w:r>
      <w:r w:rsidR="00640983" w:rsidRPr="00AE7E43">
        <w:rPr>
          <w:rFonts w:ascii="Arial" w:hAnsi="Arial" w:cs="Arial"/>
          <w:sz w:val="24"/>
          <w:szCs w:val="24"/>
        </w:rPr>
        <w:t xml:space="preserve">  Again, not a word was said about any dispute as stated by Mr du Plessis</w:t>
      </w:r>
      <w:r w:rsidR="00D263B4" w:rsidRPr="00AE7E43">
        <w:rPr>
          <w:rFonts w:ascii="Arial" w:hAnsi="Arial" w:cs="Arial"/>
          <w:sz w:val="24"/>
          <w:szCs w:val="24"/>
        </w:rPr>
        <w:t xml:space="preserve">, and equally important, the indebtedness and the </w:t>
      </w:r>
      <w:r w:rsidR="00D263B4" w:rsidRPr="00AE7E43">
        <w:rPr>
          <w:rFonts w:ascii="Arial" w:hAnsi="Arial" w:cs="Arial"/>
          <w:i/>
          <w:sz w:val="24"/>
          <w:szCs w:val="24"/>
        </w:rPr>
        <w:t>quantum</w:t>
      </w:r>
      <w:r w:rsidR="00D263B4" w:rsidRPr="00AE7E43">
        <w:rPr>
          <w:rFonts w:ascii="Arial" w:hAnsi="Arial" w:cs="Arial"/>
          <w:sz w:val="24"/>
          <w:szCs w:val="24"/>
        </w:rPr>
        <w:t xml:space="preserve"> of indebtedness were not disputed</w:t>
      </w:r>
      <w:r w:rsidR="00640983" w:rsidRPr="00AE7E43">
        <w:rPr>
          <w:rFonts w:ascii="Arial" w:hAnsi="Arial" w:cs="Arial"/>
          <w:sz w:val="24"/>
          <w:szCs w:val="24"/>
        </w:rPr>
        <w:t>.</w:t>
      </w:r>
    </w:p>
    <w:p w14:paraId="0BDEF8D0" w14:textId="77777777" w:rsidR="001E00AF" w:rsidRPr="00AE7E43" w:rsidRDefault="001E00AF" w:rsidP="001E4D6E">
      <w:pPr>
        <w:spacing w:after="0" w:line="360" w:lineRule="auto"/>
        <w:ind w:left="993" w:hanging="993"/>
        <w:jc w:val="both"/>
        <w:rPr>
          <w:rFonts w:ascii="Arial" w:hAnsi="Arial" w:cs="Arial"/>
          <w:sz w:val="24"/>
          <w:szCs w:val="24"/>
        </w:rPr>
      </w:pPr>
    </w:p>
    <w:p w14:paraId="03FBFBD6" w14:textId="77777777" w:rsidR="00640983"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[19</w:t>
      </w:r>
      <w:r w:rsidR="008673D6" w:rsidRPr="00AE7E43">
        <w:rPr>
          <w:rFonts w:ascii="Arial" w:hAnsi="Arial" w:cs="Arial"/>
          <w:sz w:val="24"/>
          <w:szCs w:val="24"/>
        </w:rPr>
        <w:t>]</w:t>
      </w:r>
      <w:r w:rsidR="008673D6" w:rsidRPr="00AE7E43">
        <w:rPr>
          <w:rFonts w:ascii="Arial" w:hAnsi="Arial" w:cs="Arial"/>
          <w:sz w:val="24"/>
          <w:szCs w:val="24"/>
        </w:rPr>
        <w:tab/>
      </w:r>
      <w:r w:rsidR="00036C4F" w:rsidRPr="00AE7E43">
        <w:rPr>
          <w:rFonts w:ascii="Arial" w:hAnsi="Arial" w:cs="Arial"/>
          <w:sz w:val="24"/>
          <w:szCs w:val="24"/>
        </w:rPr>
        <w:t xml:space="preserve">At no stage was it anticipated </w:t>
      </w:r>
      <w:r w:rsidR="00A03DA4" w:rsidRPr="00AE7E43">
        <w:rPr>
          <w:rFonts w:ascii="Arial" w:hAnsi="Arial" w:cs="Arial"/>
          <w:sz w:val="24"/>
          <w:szCs w:val="24"/>
        </w:rPr>
        <w:t>that the respondents, being</w:t>
      </w:r>
      <w:r w:rsidR="00036C4F" w:rsidRPr="00AE7E43">
        <w:rPr>
          <w:rFonts w:ascii="Arial" w:hAnsi="Arial" w:cs="Arial"/>
          <w:sz w:val="24"/>
          <w:szCs w:val="24"/>
        </w:rPr>
        <w:t xml:space="preserve"> dissatisfied with </w:t>
      </w:r>
      <w:r w:rsidR="00A03DA4" w:rsidRPr="00AE7E43">
        <w:rPr>
          <w:rFonts w:ascii="Arial" w:hAnsi="Arial" w:cs="Arial"/>
          <w:sz w:val="24"/>
          <w:szCs w:val="24"/>
        </w:rPr>
        <w:t xml:space="preserve">the periods of </w:t>
      </w:r>
      <w:r w:rsidR="00036C4F" w:rsidRPr="00AE7E43">
        <w:rPr>
          <w:rFonts w:ascii="Arial" w:hAnsi="Arial" w:cs="Arial"/>
          <w:sz w:val="24"/>
          <w:szCs w:val="24"/>
        </w:rPr>
        <w:t xml:space="preserve">extension </w:t>
      </w:r>
      <w:r w:rsidR="00A03DA4" w:rsidRPr="00AE7E43">
        <w:rPr>
          <w:rFonts w:ascii="Arial" w:hAnsi="Arial" w:cs="Arial"/>
          <w:sz w:val="24"/>
          <w:szCs w:val="24"/>
        </w:rPr>
        <w:t xml:space="preserve">of payment </w:t>
      </w:r>
      <w:r w:rsidR="00036C4F" w:rsidRPr="00AE7E43">
        <w:rPr>
          <w:rFonts w:ascii="Arial" w:hAnsi="Arial" w:cs="Arial"/>
          <w:sz w:val="24"/>
          <w:szCs w:val="24"/>
        </w:rPr>
        <w:t>granted</w:t>
      </w:r>
      <w:r w:rsidR="00A03DA4" w:rsidRPr="00AE7E43">
        <w:rPr>
          <w:rFonts w:ascii="Arial" w:hAnsi="Arial" w:cs="Arial"/>
          <w:sz w:val="24"/>
          <w:szCs w:val="24"/>
        </w:rPr>
        <w:t>,</w:t>
      </w:r>
      <w:r w:rsidR="00036C4F" w:rsidRPr="00AE7E43">
        <w:rPr>
          <w:rFonts w:ascii="Arial" w:hAnsi="Arial" w:cs="Arial"/>
          <w:sz w:val="24"/>
          <w:szCs w:val="24"/>
        </w:rPr>
        <w:t xml:space="preserve"> or any of the other terms of the settlement agreements, would approach the court for rescission and setting aside of the two court orders and/or the settlement agreement</w:t>
      </w:r>
      <w:r w:rsidR="00A03DA4" w:rsidRPr="00AE7E43">
        <w:rPr>
          <w:rFonts w:ascii="Arial" w:hAnsi="Arial" w:cs="Arial"/>
          <w:sz w:val="24"/>
          <w:szCs w:val="24"/>
        </w:rPr>
        <w:t>s</w:t>
      </w:r>
      <w:r w:rsidR="00036C4F" w:rsidRPr="00AE7E43">
        <w:rPr>
          <w:rFonts w:ascii="Arial" w:hAnsi="Arial" w:cs="Arial"/>
          <w:sz w:val="24"/>
          <w:szCs w:val="24"/>
        </w:rPr>
        <w:t>.  In fact, they tried to comply with their agreement</w:t>
      </w:r>
      <w:r w:rsidR="00A03DA4" w:rsidRPr="00AE7E43">
        <w:rPr>
          <w:rFonts w:ascii="Arial" w:hAnsi="Arial" w:cs="Arial"/>
          <w:sz w:val="24"/>
          <w:szCs w:val="24"/>
        </w:rPr>
        <w:t>s and even paid off</w:t>
      </w:r>
      <w:r w:rsidR="00036C4F" w:rsidRPr="00AE7E43">
        <w:rPr>
          <w:rFonts w:ascii="Arial" w:hAnsi="Arial" w:cs="Arial"/>
          <w:sz w:val="24"/>
          <w:szCs w:val="24"/>
        </w:rPr>
        <w:t xml:space="preserve"> substantial amount</w:t>
      </w:r>
      <w:r w:rsidR="00A03DA4" w:rsidRPr="00AE7E43">
        <w:rPr>
          <w:rFonts w:ascii="Arial" w:hAnsi="Arial" w:cs="Arial"/>
          <w:sz w:val="24"/>
          <w:szCs w:val="24"/>
        </w:rPr>
        <w:t>s as will be shown hereunder</w:t>
      </w:r>
      <w:r w:rsidR="00036C4F" w:rsidRPr="00AE7E43">
        <w:rPr>
          <w:rFonts w:ascii="Arial" w:hAnsi="Arial" w:cs="Arial"/>
          <w:sz w:val="24"/>
          <w:szCs w:val="24"/>
        </w:rPr>
        <w:t xml:space="preserve">.  </w:t>
      </w:r>
    </w:p>
    <w:p w14:paraId="74F90406" w14:textId="77777777" w:rsidR="00640983" w:rsidRPr="00AE7E43" w:rsidRDefault="00640983" w:rsidP="001E4D6E">
      <w:pPr>
        <w:spacing w:after="0" w:line="360" w:lineRule="auto"/>
        <w:ind w:left="993" w:hanging="993"/>
        <w:jc w:val="both"/>
        <w:rPr>
          <w:rFonts w:ascii="Arial" w:hAnsi="Arial" w:cs="Arial"/>
          <w:sz w:val="24"/>
          <w:szCs w:val="24"/>
        </w:rPr>
      </w:pPr>
    </w:p>
    <w:p w14:paraId="101C5EBB" w14:textId="77777777" w:rsidR="005F1E5E"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[20</w:t>
      </w:r>
      <w:r w:rsidR="006D393C" w:rsidRPr="00AE7E43">
        <w:rPr>
          <w:rFonts w:ascii="Arial" w:hAnsi="Arial" w:cs="Arial"/>
          <w:sz w:val="24"/>
          <w:szCs w:val="24"/>
        </w:rPr>
        <w:t>]</w:t>
      </w:r>
      <w:r w:rsidR="006D393C" w:rsidRPr="00AE7E43">
        <w:rPr>
          <w:rFonts w:ascii="Arial" w:hAnsi="Arial" w:cs="Arial"/>
          <w:sz w:val="24"/>
          <w:szCs w:val="24"/>
        </w:rPr>
        <w:tab/>
      </w:r>
      <w:r w:rsidR="008673D6" w:rsidRPr="00AE7E43">
        <w:rPr>
          <w:rFonts w:ascii="Arial" w:hAnsi="Arial" w:cs="Arial"/>
          <w:sz w:val="24"/>
          <w:szCs w:val="24"/>
        </w:rPr>
        <w:t>On 16</w:t>
      </w:r>
      <w:r w:rsidR="00640983" w:rsidRPr="00AE7E43">
        <w:rPr>
          <w:rFonts w:ascii="Arial" w:hAnsi="Arial" w:cs="Arial"/>
          <w:sz w:val="24"/>
          <w:szCs w:val="24"/>
        </w:rPr>
        <w:t xml:space="preserve"> August 2021 Mr Du Plessis made a </w:t>
      </w:r>
      <w:r w:rsidR="00DF47F9" w:rsidRPr="00AE7E43">
        <w:rPr>
          <w:rFonts w:ascii="Arial" w:hAnsi="Arial" w:cs="Arial"/>
          <w:sz w:val="24"/>
          <w:szCs w:val="24"/>
        </w:rPr>
        <w:t>come-back</w:t>
      </w:r>
      <w:r w:rsidR="001E441C" w:rsidRPr="00AE7E43">
        <w:rPr>
          <w:rFonts w:ascii="Arial" w:hAnsi="Arial" w:cs="Arial"/>
          <w:sz w:val="24"/>
          <w:szCs w:val="24"/>
        </w:rPr>
        <w:t xml:space="preserve">, </w:t>
      </w:r>
      <w:r w:rsidR="00640983" w:rsidRPr="00AE7E43">
        <w:rPr>
          <w:rFonts w:ascii="Arial" w:hAnsi="Arial" w:cs="Arial"/>
          <w:sz w:val="24"/>
          <w:szCs w:val="24"/>
        </w:rPr>
        <w:t>writing</w:t>
      </w:r>
      <w:r w:rsidR="001E00AF" w:rsidRPr="00AE7E43">
        <w:rPr>
          <w:rFonts w:ascii="Arial" w:hAnsi="Arial" w:cs="Arial"/>
          <w:sz w:val="24"/>
          <w:szCs w:val="24"/>
        </w:rPr>
        <w:t xml:space="preserve"> a </w:t>
      </w:r>
      <w:r w:rsidR="001E441C" w:rsidRPr="00AE7E43">
        <w:rPr>
          <w:rFonts w:ascii="Arial" w:hAnsi="Arial" w:cs="Arial"/>
          <w:sz w:val="24"/>
          <w:szCs w:val="24"/>
        </w:rPr>
        <w:t>comprehensive</w:t>
      </w:r>
      <w:r w:rsidR="001E00AF" w:rsidRPr="00AE7E43">
        <w:rPr>
          <w:rFonts w:ascii="Arial" w:hAnsi="Arial" w:cs="Arial"/>
          <w:sz w:val="24"/>
          <w:szCs w:val="24"/>
        </w:rPr>
        <w:t xml:space="preserve"> letter to</w:t>
      </w:r>
      <w:r w:rsidR="00640983" w:rsidRPr="00AE7E43">
        <w:rPr>
          <w:rFonts w:ascii="Arial" w:hAnsi="Arial" w:cs="Arial"/>
          <w:sz w:val="24"/>
          <w:szCs w:val="24"/>
        </w:rPr>
        <w:t xml:space="preserve"> Phatshoane Henney Inc, relying</w:t>
      </w:r>
      <w:r w:rsidR="008673D6" w:rsidRPr="00AE7E43">
        <w:rPr>
          <w:rFonts w:ascii="Arial" w:hAnsi="Arial" w:cs="Arial"/>
          <w:sz w:val="24"/>
          <w:szCs w:val="24"/>
        </w:rPr>
        <w:t xml:space="preserve"> </w:t>
      </w:r>
      <w:r w:rsidR="001E00AF" w:rsidRPr="00AE7E43">
        <w:rPr>
          <w:rFonts w:ascii="Arial" w:hAnsi="Arial" w:cs="Arial"/>
          <w:sz w:val="24"/>
          <w:szCs w:val="24"/>
        </w:rPr>
        <w:t xml:space="preserve">on several </w:t>
      </w:r>
      <w:r w:rsidR="00640983" w:rsidRPr="00AE7E43">
        <w:rPr>
          <w:rFonts w:ascii="Arial" w:hAnsi="Arial" w:cs="Arial"/>
          <w:sz w:val="24"/>
          <w:szCs w:val="24"/>
        </w:rPr>
        <w:t xml:space="preserve">alleged </w:t>
      </w:r>
      <w:r w:rsidR="001E00AF" w:rsidRPr="00AE7E43">
        <w:rPr>
          <w:rFonts w:ascii="Arial" w:hAnsi="Arial" w:cs="Arial"/>
          <w:sz w:val="24"/>
          <w:szCs w:val="24"/>
        </w:rPr>
        <w:t>defences on behalf of the respondents.</w:t>
      </w:r>
      <w:r w:rsidR="001E00AF" w:rsidRPr="00AE7E43">
        <w:rPr>
          <w:rStyle w:val="FootnoteReference"/>
          <w:rFonts w:ascii="Arial" w:hAnsi="Arial" w:cs="Arial"/>
          <w:sz w:val="24"/>
          <w:szCs w:val="24"/>
        </w:rPr>
        <w:footnoteReference w:id="17"/>
      </w:r>
      <w:r w:rsidR="003926CE" w:rsidRPr="00AE7E43">
        <w:rPr>
          <w:rFonts w:ascii="Arial" w:hAnsi="Arial" w:cs="Arial"/>
          <w:sz w:val="24"/>
          <w:szCs w:val="24"/>
        </w:rPr>
        <w:t xml:space="preserve">  Attached to his email is a forensic audit report</w:t>
      </w:r>
      <w:r w:rsidR="005F1E5E" w:rsidRPr="00AE7E43">
        <w:rPr>
          <w:rFonts w:ascii="Arial" w:hAnsi="Arial" w:cs="Arial"/>
          <w:sz w:val="24"/>
          <w:szCs w:val="24"/>
        </w:rPr>
        <w:t xml:space="preserve"> pertaining to the farming activities of CP Wolmarans, the 5</w:t>
      </w:r>
      <w:r w:rsidR="005F1E5E" w:rsidRPr="00AE7E43">
        <w:rPr>
          <w:rFonts w:ascii="Arial" w:hAnsi="Arial" w:cs="Arial"/>
          <w:sz w:val="24"/>
          <w:szCs w:val="24"/>
          <w:vertAlign w:val="superscript"/>
        </w:rPr>
        <w:t>th</w:t>
      </w:r>
      <w:r w:rsidR="005F1E5E" w:rsidRPr="00AE7E43">
        <w:rPr>
          <w:rFonts w:ascii="Arial" w:hAnsi="Arial" w:cs="Arial"/>
          <w:sz w:val="24"/>
          <w:szCs w:val="24"/>
        </w:rPr>
        <w:t xml:space="preserve"> respondent.  This report shall be dealt with again hereunder, but bright red lights attracted my attention in the first paragraph. I quote: </w:t>
      </w:r>
    </w:p>
    <w:p w14:paraId="2B6AEBD9" w14:textId="77777777" w:rsidR="001E00AF" w:rsidRPr="00AE7E43" w:rsidRDefault="005F1E5E" w:rsidP="001E4D6E">
      <w:pPr>
        <w:spacing w:after="0" w:line="360" w:lineRule="auto"/>
        <w:ind w:left="993"/>
        <w:jc w:val="both"/>
        <w:rPr>
          <w:rFonts w:ascii="Arial" w:hAnsi="Arial" w:cs="Arial"/>
          <w:sz w:val="24"/>
          <w:szCs w:val="24"/>
        </w:rPr>
      </w:pPr>
      <w:r w:rsidRPr="00AE7E43">
        <w:rPr>
          <w:rFonts w:ascii="Arial" w:hAnsi="Arial" w:cs="Arial"/>
          <w:sz w:val="20"/>
          <w:szCs w:val="20"/>
        </w:rPr>
        <w:t xml:space="preserve">“During the planned agricultural production period, knowingly </w:t>
      </w:r>
      <w:r w:rsidRPr="00AE7E43">
        <w:rPr>
          <w:rFonts w:ascii="Arial" w:hAnsi="Arial" w:cs="Arial"/>
          <w:sz w:val="20"/>
          <w:szCs w:val="20"/>
          <w:u w:val="single"/>
        </w:rPr>
        <w:t>November – 2014 to January 2021</w:t>
      </w:r>
      <w:r w:rsidRPr="00AE7E43">
        <w:rPr>
          <w:rFonts w:ascii="Arial" w:hAnsi="Arial" w:cs="Arial"/>
          <w:sz w:val="20"/>
          <w:szCs w:val="20"/>
        </w:rPr>
        <w:t xml:space="preserve">, the Client detected and suspected several errors and financial “irregularities” on their financial agreements / memoranda of agreements …..” </w:t>
      </w:r>
      <w:r w:rsidRPr="00AE7E43">
        <w:rPr>
          <w:rFonts w:ascii="Arial" w:hAnsi="Arial" w:cs="Arial"/>
          <w:sz w:val="24"/>
          <w:szCs w:val="24"/>
        </w:rPr>
        <w:t>(emphasis added)</w:t>
      </w:r>
    </w:p>
    <w:p w14:paraId="3FE6BB59" w14:textId="77777777" w:rsidR="001E00AF" w:rsidRPr="00AE7E43" w:rsidRDefault="001E00AF" w:rsidP="001E4D6E">
      <w:pPr>
        <w:spacing w:after="0" w:line="360" w:lineRule="auto"/>
        <w:ind w:left="993" w:hanging="993"/>
        <w:jc w:val="both"/>
        <w:rPr>
          <w:rFonts w:ascii="Arial" w:hAnsi="Arial" w:cs="Arial"/>
          <w:sz w:val="24"/>
          <w:szCs w:val="24"/>
        </w:rPr>
      </w:pPr>
    </w:p>
    <w:p w14:paraId="11AE252B"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[21</w:t>
      </w:r>
      <w:r w:rsidR="008673D6" w:rsidRPr="00AE7E43">
        <w:rPr>
          <w:rFonts w:ascii="Arial" w:hAnsi="Arial" w:cs="Arial"/>
          <w:sz w:val="24"/>
          <w:szCs w:val="24"/>
        </w:rPr>
        <w:t>]</w:t>
      </w:r>
      <w:r w:rsidR="008673D6" w:rsidRPr="00AE7E43">
        <w:rPr>
          <w:rFonts w:ascii="Arial" w:hAnsi="Arial" w:cs="Arial"/>
          <w:sz w:val="24"/>
          <w:szCs w:val="24"/>
        </w:rPr>
        <w:tab/>
        <w:t>On 26 August</w:t>
      </w:r>
      <w:r w:rsidR="001E00AF" w:rsidRPr="00AE7E43">
        <w:rPr>
          <w:rFonts w:ascii="Arial" w:hAnsi="Arial" w:cs="Arial"/>
          <w:sz w:val="24"/>
          <w:szCs w:val="24"/>
        </w:rPr>
        <w:t xml:space="preserve"> 2021 the applicant</w:t>
      </w:r>
      <w:r w:rsidR="001E441C" w:rsidRPr="00AE7E43">
        <w:rPr>
          <w:rFonts w:ascii="Arial" w:hAnsi="Arial" w:cs="Arial"/>
          <w:sz w:val="24"/>
          <w:szCs w:val="24"/>
        </w:rPr>
        <w:t>’</w:t>
      </w:r>
      <w:r w:rsidR="001E00AF" w:rsidRPr="00AE7E43">
        <w:rPr>
          <w:rFonts w:ascii="Arial" w:hAnsi="Arial" w:cs="Arial"/>
          <w:sz w:val="24"/>
          <w:szCs w:val="24"/>
        </w:rPr>
        <w:t xml:space="preserve">s notice of motion was issued and </w:t>
      </w:r>
      <w:r w:rsidR="001E441C" w:rsidRPr="00AE7E43">
        <w:rPr>
          <w:rFonts w:ascii="Arial" w:hAnsi="Arial" w:cs="Arial"/>
          <w:sz w:val="24"/>
          <w:szCs w:val="24"/>
        </w:rPr>
        <w:t>served thereafter</w:t>
      </w:r>
      <w:r w:rsidR="005F1E5E" w:rsidRPr="00AE7E43">
        <w:rPr>
          <w:rFonts w:ascii="Arial" w:hAnsi="Arial" w:cs="Arial"/>
          <w:sz w:val="24"/>
          <w:szCs w:val="24"/>
        </w:rPr>
        <w:t xml:space="preserve">.  </w:t>
      </w:r>
      <w:r w:rsidR="001E00AF" w:rsidRPr="00AE7E43">
        <w:rPr>
          <w:rFonts w:ascii="Arial" w:hAnsi="Arial" w:cs="Arial"/>
          <w:sz w:val="24"/>
          <w:szCs w:val="24"/>
        </w:rPr>
        <w:t>On 16 September 2021 the respondents gave notice of intention to oppose and also filed</w:t>
      </w:r>
      <w:r w:rsidR="001E441C" w:rsidRPr="00AE7E43">
        <w:rPr>
          <w:rFonts w:ascii="Arial" w:hAnsi="Arial" w:cs="Arial"/>
          <w:sz w:val="24"/>
          <w:szCs w:val="24"/>
        </w:rPr>
        <w:t xml:space="preserve"> their counter-</w:t>
      </w:r>
      <w:r w:rsidR="001E00AF" w:rsidRPr="00AE7E43">
        <w:rPr>
          <w:rFonts w:ascii="Arial" w:hAnsi="Arial" w:cs="Arial"/>
          <w:sz w:val="24"/>
          <w:szCs w:val="24"/>
        </w:rPr>
        <w:t>application.</w:t>
      </w:r>
      <w:r w:rsidR="001E00AF" w:rsidRPr="00AE7E43">
        <w:rPr>
          <w:rStyle w:val="FootnoteReference"/>
          <w:rFonts w:ascii="Arial" w:hAnsi="Arial" w:cs="Arial"/>
          <w:sz w:val="24"/>
          <w:szCs w:val="24"/>
        </w:rPr>
        <w:footnoteReference w:id="18"/>
      </w:r>
      <w:r w:rsidR="006D393C" w:rsidRPr="00AE7E43">
        <w:rPr>
          <w:rFonts w:ascii="Arial" w:hAnsi="Arial" w:cs="Arial"/>
          <w:sz w:val="24"/>
          <w:szCs w:val="24"/>
        </w:rPr>
        <w:t xml:space="preserve">  </w:t>
      </w:r>
      <w:r w:rsidR="001E00AF" w:rsidRPr="00AE7E43">
        <w:rPr>
          <w:rFonts w:ascii="Arial" w:hAnsi="Arial" w:cs="Arial"/>
          <w:sz w:val="24"/>
          <w:szCs w:val="24"/>
        </w:rPr>
        <w:t xml:space="preserve">The replying affidavit was filed on 20 October 2021.  Attached thereto is </w:t>
      </w:r>
      <w:r w:rsidR="005F1E5E" w:rsidRPr="00AE7E43">
        <w:rPr>
          <w:rFonts w:ascii="Arial" w:hAnsi="Arial" w:cs="Arial"/>
          <w:i/>
          <w:sz w:val="24"/>
          <w:szCs w:val="24"/>
        </w:rPr>
        <w:t>inter alia</w:t>
      </w:r>
      <w:r w:rsidR="005F1E5E" w:rsidRPr="00AE7E43">
        <w:rPr>
          <w:rFonts w:ascii="Arial" w:hAnsi="Arial" w:cs="Arial"/>
          <w:sz w:val="24"/>
          <w:szCs w:val="24"/>
        </w:rPr>
        <w:t xml:space="preserve"> </w:t>
      </w:r>
      <w:r w:rsidR="001E00AF" w:rsidRPr="00AE7E43">
        <w:rPr>
          <w:rFonts w:ascii="Arial" w:hAnsi="Arial" w:cs="Arial"/>
          <w:sz w:val="24"/>
          <w:szCs w:val="24"/>
        </w:rPr>
        <w:t>a lett</w:t>
      </w:r>
      <w:r w:rsidR="005F1E5E" w:rsidRPr="00AE7E43">
        <w:rPr>
          <w:rFonts w:ascii="Arial" w:hAnsi="Arial" w:cs="Arial"/>
          <w:sz w:val="24"/>
          <w:szCs w:val="24"/>
        </w:rPr>
        <w:t>er of demand dated 7 April 2021</w:t>
      </w:r>
      <w:r w:rsidR="001E00AF" w:rsidRPr="00AE7E43">
        <w:rPr>
          <w:rStyle w:val="FootnoteReference"/>
          <w:rFonts w:ascii="Arial" w:hAnsi="Arial" w:cs="Arial"/>
          <w:sz w:val="24"/>
          <w:szCs w:val="24"/>
        </w:rPr>
        <w:footnoteReference w:id="19"/>
      </w:r>
      <w:r w:rsidR="00C77BD9" w:rsidRPr="00AE7E43">
        <w:rPr>
          <w:rFonts w:ascii="Arial" w:hAnsi="Arial" w:cs="Arial"/>
          <w:sz w:val="24"/>
          <w:szCs w:val="24"/>
        </w:rPr>
        <w:t xml:space="preserve"> and </w:t>
      </w:r>
      <w:r w:rsidR="00DF47F9" w:rsidRPr="00AE7E43">
        <w:rPr>
          <w:rFonts w:ascii="Arial" w:hAnsi="Arial" w:cs="Arial"/>
          <w:sz w:val="24"/>
          <w:szCs w:val="24"/>
        </w:rPr>
        <w:t xml:space="preserve">sent per email to the respondents, informing them of their failure to comply with the second settlement </w:t>
      </w:r>
      <w:r w:rsidR="00DF47F9" w:rsidRPr="00AE7E43">
        <w:rPr>
          <w:rFonts w:ascii="Arial" w:hAnsi="Arial" w:cs="Arial"/>
          <w:sz w:val="24"/>
          <w:szCs w:val="24"/>
        </w:rPr>
        <w:lastRenderedPageBreak/>
        <w:t>agreement and the applicant’s intention to proceed with further action.</w:t>
      </w:r>
      <w:r w:rsidR="001E00AF" w:rsidRPr="00AE7E43">
        <w:rPr>
          <w:rFonts w:ascii="Arial" w:hAnsi="Arial" w:cs="Arial"/>
          <w:sz w:val="24"/>
          <w:szCs w:val="24"/>
        </w:rPr>
        <w:t xml:space="preserve">  </w:t>
      </w:r>
      <w:r w:rsidR="001E441C" w:rsidRPr="00AE7E43">
        <w:rPr>
          <w:rFonts w:ascii="Arial" w:hAnsi="Arial" w:cs="Arial"/>
          <w:sz w:val="24"/>
          <w:szCs w:val="24"/>
        </w:rPr>
        <w:t xml:space="preserve">On 2 November 2021 </w:t>
      </w:r>
      <w:r w:rsidR="006F28B5" w:rsidRPr="00AE7E43">
        <w:rPr>
          <w:rFonts w:ascii="Arial" w:hAnsi="Arial" w:cs="Arial"/>
          <w:sz w:val="24"/>
          <w:szCs w:val="24"/>
        </w:rPr>
        <w:t xml:space="preserve">Mr </w:t>
      </w:r>
      <w:r w:rsidR="001E00AF" w:rsidRPr="00AE7E43">
        <w:rPr>
          <w:rFonts w:ascii="Arial" w:hAnsi="Arial" w:cs="Arial"/>
          <w:sz w:val="24"/>
          <w:szCs w:val="24"/>
        </w:rPr>
        <w:t>Van Wyk Wolmarans, the deponent to the answering affidavit</w:t>
      </w:r>
      <w:r w:rsidR="001E441C" w:rsidRPr="00AE7E43">
        <w:rPr>
          <w:rFonts w:ascii="Arial" w:hAnsi="Arial" w:cs="Arial"/>
          <w:sz w:val="24"/>
          <w:szCs w:val="24"/>
        </w:rPr>
        <w:t>,</w:t>
      </w:r>
      <w:r w:rsidR="001E00AF" w:rsidRPr="00AE7E43">
        <w:rPr>
          <w:rFonts w:ascii="Arial" w:hAnsi="Arial" w:cs="Arial"/>
          <w:sz w:val="24"/>
          <w:szCs w:val="24"/>
        </w:rPr>
        <w:t xml:space="preserve"> fi</w:t>
      </w:r>
      <w:r w:rsidR="001E441C" w:rsidRPr="00AE7E43">
        <w:rPr>
          <w:rFonts w:ascii="Arial" w:hAnsi="Arial" w:cs="Arial"/>
          <w:sz w:val="24"/>
          <w:szCs w:val="24"/>
        </w:rPr>
        <w:t>led a further affidavit</w:t>
      </w:r>
      <w:r w:rsidR="001E00AF" w:rsidRPr="00AE7E43">
        <w:rPr>
          <w:rFonts w:ascii="Arial" w:hAnsi="Arial" w:cs="Arial"/>
          <w:sz w:val="24"/>
          <w:szCs w:val="24"/>
        </w:rPr>
        <w:t xml:space="preserve"> referred to as a </w:t>
      </w:r>
      <w:r w:rsidR="001E00AF" w:rsidRPr="00AE7E43">
        <w:rPr>
          <w:rFonts w:ascii="Arial" w:hAnsi="Arial" w:cs="Arial"/>
          <w:sz w:val="20"/>
          <w:szCs w:val="20"/>
        </w:rPr>
        <w:t>“duplying</w:t>
      </w:r>
      <w:r w:rsidR="001E441C" w:rsidRPr="00AE7E43">
        <w:rPr>
          <w:rFonts w:ascii="Arial" w:hAnsi="Arial" w:cs="Arial"/>
          <w:sz w:val="20"/>
          <w:szCs w:val="20"/>
        </w:rPr>
        <w:t xml:space="preserve"> affidavit</w:t>
      </w:r>
      <w:r w:rsidR="001E00AF" w:rsidRPr="00AE7E43">
        <w:rPr>
          <w:rFonts w:ascii="Arial" w:hAnsi="Arial" w:cs="Arial"/>
          <w:sz w:val="20"/>
          <w:szCs w:val="20"/>
        </w:rPr>
        <w:t>”</w:t>
      </w:r>
      <w:r w:rsidR="001E441C" w:rsidRPr="00AE7E43">
        <w:rPr>
          <w:rFonts w:ascii="Arial" w:hAnsi="Arial" w:cs="Arial"/>
          <w:sz w:val="24"/>
          <w:szCs w:val="24"/>
        </w:rPr>
        <w:t>.</w:t>
      </w:r>
    </w:p>
    <w:p w14:paraId="60D4A24F" w14:textId="77777777" w:rsidR="001E00AF" w:rsidRPr="00AE7E43" w:rsidRDefault="001E00AF" w:rsidP="001E4D6E">
      <w:pPr>
        <w:spacing w:after="0" w:line="360" w:lineRule="auto"/>
        <w:ind w:left="993" w:hanging="993"/>
        <w:jc w:val="both"/>
        <w:rPr>
          <w:rFonts w:ascii="Arial" w:hAnsi="Arial" w:cs="Arial"/>
          <w:sz w:val="24"/>
          <w:szCs w:val="24"/>
        </w:rPr>
      </w:pPr>
    </w:p>
    <w:p w14:paraId="586399AC" w14:textId="77777777" w:rsidR="001E00AF" w:rsidRPr="00AE7E43" w:rsidRDefault="00FB71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[22</w:t>
      </w:r>
      <w:r w:rsidR="001E00AF" w:rsidRPr="00AE7E43">
        <w:rPr>
          <w:rFonts w:ascii="Arial" w:hAnsi="Arial" w:cs="Arial"/>
          <w:sz w:val="24"/>
          <w:szCs w:val="24"/>
        </w:rPr>
        <w:t>]</w:t>
      </w:r>
      <w:r w:rsidR="001E00AF" w:rsidRPr="00AE7E43">
        <w:rPr>
          <w:rFonts w:ascii="Arial" w:hAnsi="Arial" w:cs="Arial"/>
          <w:sz w:val="24"/>
          <w:szCs w:val="24"/>
        </w:rPr>
        <w:tab/>
        <w:t xml:space="preserve">On 13 December 2021 the </w:t>
      </w:r>
      <w:r w:rsidR="0077624C" w:rsidRPr="00AE7E43">
        <w:rPr>
          <w:rFonts w:ascii="Arial" w:hAnsi="Arial" w:cs="Arial"/>
          <w:sz w:val="24"/>
          <w:szCs w:val="24"/>
        </w:rPr>
        <w:t>applicant’s</w:t>
      </w:r>
      <w:r w:rsidR="001E00AF" w:rsidRPr="00AE7E43">
        <w:rPr>
          <w:rFonts w:ascii="Arial" w:hAnsi="Arial" w:cs="Arial"/>
          <w:sz w:val="24"/>
          <w:szCs w:val="24"/>
        </w:rPr>
        <w:t xml:space="preserve"> attorneys set the matter down for hearing</w:t>
      </w:r>
      <w:r w:rsidR="001E441C" w:rsidRPr="00AE7E43">
        <w:rPr>
          <w:rFonts w:ascii="Arial" w:hAnsi="Arial" w:cs="Arial"/>
          <w:sz w:val="24"/>
          <w:szCs w:val="24"/>
        </w:rPr>
        <w:t xml:space="preserve"> on 17 March 2022.   H</w:t>
      </w:r>
      <w:r w:rsidR="001E00AF" w:rsidRPr="00AE7E43">
        <w:rPr>
          <w:rFonts w:ascii="Arial" w:hAnsi="Arial" w:cs="Arial"/>
          <w:sz w:val="24"/>
          <w:szCs w:val="24"/>
        </w:rPr>
        <w:t>eads of arguments were filed by the legal representatives of the parties and may I say, the respondents</w:t>
      </w:r>
      <w:r w:rsidR="001E441C" w:rsidRPr="00AE7E43">
        <w:rPr>
          <w:rFonts w:ascii="Arial" w:hAnsi="Arial" w:cs="Arial"/>
          <w:sz w:val="24"/>
          <w:szCs w:val="24"/>
        </w:rPr>
        <w:t>’</w:t>
      </w:r>
      <w:r w:rsidR="001E00AF" w:rsidRPr="00AE7E43">
        <w:rPr>
          <w:rFonts w:ascii="Arial" w:hAnsi="Arial" w:cs="Arial"/>
          <w:sz w:val="24"/>
          <w:szCs w:val="24"/>
        </w:rPr>
        <w:t xml:space="preserve"> counsel really made a meal of it in his 70-page heads of argument.</w:t>
      </w:r>
      <w:r w:rsidR="0063072E" w:rsidRPr="00AE7E43">
        <w:rPr>
          <w:rFonts w:ascii="Arial" w:hAnsi="Arial" w:cs="Arial"/>
          <w:sz w:val="24"/>
          <w:szCs w:val="24"/>
        </w:rPr>
        <w:t xml:space="preserve">  </w:t>
      </w:r>
    </w:p>
    <w:p w14:paraId="000B47AF" w14:textId="77777777" w:rsidR="001E00AF" w:rsidRPr="00AE7E43" w:rsidRDefault="001E00AF" w:rsidP="001E4D6E">
      <w:pPr>
        <w:spacing w:after="0" w:line="360" w:lineRule="auto"/>
        <w:ind w:left="993" w:hanging="993"/>
        <w:jc w:val="both"/>
        <w:rPr>
          <w:rFonts w:ascii="Arial" w:hAnsi="Arial" w:cs="Arial"/>
          <w:sz w:val="24"/>
          <w:szCs w:val="24"/>
        </w:rPr>
      </w:pPr>
    </w:p>
    <w:p w14:paraId="4BC9C324" w14:textId="77777777" w:rsidR="001E00AF" w:rsidRPr="00AE7E43" w:rsidRDefault="001E00AF"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VII</w:t>
      </w:r>
      <w:r w:rsidRPr="00AE7E43">
        <w:rPr>
          <w:rFonts w:ascii="Arial" w:hAnsi="Arial" w:cs="Arial"/>
          <w:b/>
          <w:bCs/>
          <w:sz w:val="24"/>
          <w:szCs w:val="24"/>
        </w:rPr>
        <w:tab/>
        <w:t>EVALUATION OF THE EVIDENCE, AUTHORITIES AND SUBMISSION</w:t>
      </w:r>
      <w:r w:rsidR="001E441C" w:rsidRPr="00AE7E43">
        <w:rPr>
          <w:rFonts w:ascii="Arial" w:hAnsi="Arial" w:cs="Arial"/>
          <w:b/>
          <w:bCs/>
          <w:sz w:val="24"/>
          <w:szCs w:val="24"/>
        </w:rPr>
        <w:t>S</w:t>
      </w:r>
      <w:r w:rsidRPr="00AE7E43">
        <w:rPr>
          <w:rFonts w:ascii="Arial" w:hAnsi="Arial" w:cs="Arial"/>
          <w:b/>
          <w:bCs/>
          <w:sz w:val="24"/>
          <w:szCs w:val="24"/>
        </w:rPr>
        <w:t xml:space="preserve"> BY THE PARTIES  </w:t>
      </w:r>
    </w:p>
    <w:p w14:paraId="16500942" w14:textId="77777777" w:rsidR="001E00AF" w:rsidRPr="00AE7E43" w:rsidRDefault="001E00AF" w:rsidP="001E4D6E">
      <w:pPr>
        <w:spacing w:after="0" w:line="360" w:lineRule="auto"/>
        <w:ind w:left="993" w:hanging="993"/>
        <w:jc w:val="both"/>
        <w:rPr>
          <w:rFonts w:ascii="Arial" w:hAnsi="Arial" w:cs="Arial"/>
          <w:sz w:val="24"/>
          <w:szCs w:val="24"/>
        </w:rPr>
      </w:pPr>
    </w:p>
    <w:p w14:paraId="177FED8A" w14:textId="77777777" w:rsidR="001E00AF"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[23</w:t>
      </w:r>
      <w:r w:rsidR="006D393C" w:rsidRPr="00AE7E43">
        <w:rPr>
          <w:rFonts w:ascii="Arial" w:hAnsi="Arial" w:cs="Arial"/>
          <w:sz w:val="24"/>
          <w:szCs w:val="24"/>
        </w:rPr>
        <w:t>]</w:t>
      </w:r>
      <w:r w:rsidR="006D393C" w:rsidRPr="00AE7E43">
        <w:rPr>
          <w:rFonts w:ascii="Arial" w:hAnsi="Arial" w:cs="Arial"/>
          <w:sz w:val="24"/>
          <w:szCs w:val="24"/>
        </w:rPr>
        <w:tab/>
      </w:r>
      <w:r w:rsidR="00CC2CEC" w:rsidRPr="00AE7E43">
        <w:rPr>
          <w:rFonts w:ascii="Arial" w:hAnsi="Arial" w:cs="Arial"/>
          <w:sz w:val="24"/>
          <w:szCs w:val="24"/>
        </w:rPr>
        <w:t xml:space="preserve">A party who bears the </w:t>
      </w:r>
      <w:r w:rsidR="00CC2CEC" w:rsidRPr="00AE7E43">
        <w:rPr>
          <w:rFonts w:ascii="Arial" w:hAnsi="Arial" w:cs="Arial"/>
          <w:i/>
          <w:sz w:val="24"/>
          <w:szCs w:val="24"/>
        </w:rPr>
        <w:t xml:space="preserve">onus </w:t>
      </w:r>
      <w:r w:rsidR="00CC2CEC" w:rsidRPr="00AE7E43">
        <w:rPr>
          <w:rFonts w:ascii="Arial" w:hAnsi="Arial" w:cs="Arial"/>
          <w:sz w:val="24"/>
          <w:szCs w:val="24"/>
        </w:rPr>
        <w:t xml:space="preserve">in a civil suit must discharge it on a balance of probabilities.  In opposed motion proceedings where final relief is sought, factual disputes must be resolved by applying the well-known </w:t>
      </w:r>
      <w:r w:rsidR="00CC2CEC" w:rsidRPr="00AE7E43">
        <w:rPr>
          <w:rFonts w:ascii="Arial" w:hAnsi="Arial" w:cs="Arial"/>
          <w:i/>
          <w:sz w:val="24"/>
          <w:szCs w:val="24"/>
        </w:rPr>
        <w:t>Plascon-Evans</w:t>
      </w:r>
      <w:r w:rsidR="00CC2CEC" w:rsidRPr="00AE7E43">
        <w:rPr>
          <w:rFonts w:ascii="Arial" w:hAnsi="Arial" w:cs="Arial"/>
          <w:sz w:val="24"/>
          <w:szCs w:val="24"/>
        </w:rPr>
        <w:t xml:space="preserve"> </w:t>
      </w:r>
      <w:r w:rsidR="00427B55" w:rsidRPr="00AE7E43">
        <w:rPr>
          <w:rFonts w:ascii="Arial" w:hAnsi="Arial" w:cs="Arial"/>
          <w:sz w:val="24"/>
          <w:szCs w:val="24"/>
        </w:rPr>
        <w:t>rule</w:t>
      </w:r>
      <w:r w:rsidR="00E81666">
        <w:rPr>
          <w:rFonts w:ascii="Arial" w:hAnsi="Arial" w:cs="Arial"/>
          <w:sz w:val="24"/>
          <w:szCs w:val="24"/>
        </w:rPr>
        <w:t xml:space="preserve">, whether the </w:t>
      </w:r>
      <w:r w:rsidR="00E81666" w:rsidRPr="00E81666">
        <w:rPr>
          <w:rFonts w:ascii="Arial" w:hAnsi="Arial" w:cs="Arial"/>
          <w:i/>
          <w:sz w:val="24"/>
          <w:szCs w:val="24"/>
        </w:rPr>
        <w:t>onus</w:t>
      </w:r>
      <w:r w:rsidR="00E81666">
        <w:rPr>
          <w:rFonts w:ascii="Arial" w:hAnsi="Arial" w:cs="Arial"/>
          <w:sz w:val="24"/>
          <w:szCs w:val="24"/>
        </w:rPr>
        <w:t xml:space="preserve"> rests on the applicant or the respondent.</w:t>
      </w:r>
      <w:r w:rsidR="00CC2CEC" w:rsidRPr="00AE7E43">
        <w:rPr>
          <w:rStyle w:val="FootnoteReference"/>
          <w:rFonts w:ascii="Arial" w:hAnsi="Arial" w:cs="Arial"/>
          <w:sz w:val="24"/>
          <w:szCs w:val="24"/>
        </w:rPr>
        <w:footnoteReference w:id="20"/>
      </w:r>
      <w:r w:rsidR="001D2ACD" w:rsidRPr="00AE7E43">
        <w:rPr>
          <w:rFonts w:ascii="Arial" w:hAnsi="Arial" w:cs="Arial"/>
          <w:sz w:val="24"/>
          <w:szCs w:val="24"/>
        </w:rPr>
        <w:t xml:space="preserve">  </w:t>
      </w:r>
      <w:r w:rsidR="001D2ACD" w:rsidRPr="00AE7E43">
        <w:rPr>
          <w:rFonts w:ascii="Arial" w:hAnsi="Arial" w:cs="Arial"/>
          <w:i/>
          <w:sz w:val="24"/>
          <w:szCs w:val="24"/>
        </w:rPr>
        <w:t>In casu</w:t>
      </w:r>
      <w:r w:rsidR="001D2ACD" w:rsidRPr="00AE7E43">
        <w:rPr>
          <w:rFonts w:ascii="Arial" w:hAnsi="Arial" w:cs="Arial"/>
          <w:sz w:val="24"/>
          <w:szCs w:val="24"/>
        </w:rPr>
        <w:t xml:space="preserve"> the applicant seeks relief based on a settlement order entered into between the parties which was made an order of court.  Save for </w:t>
      </w:r>
      <w:r w:rsidR="00427B55" w:rsidRPr="00AE7E43">
        <w:rPr>
          <w:rFonts w:ascii="Arial" w:hAnsi="Arial" w:cs="Arial"/>
          <w:sz w:val="24"/>
          <w:szCs w:val="24"/>
        </w:rPr>
        <w:t>some legal argument to be entertained, there are no material factual disputes to resolve in respect of the main application.  The</w:t>
      </w:r>
      <w:r w:rsidR="001D2ACD" w:rsidRPr="00AE7E43">
        <w:rPr>
          <w:rFonts w:ascii="Arial" w:hAnsi="Arial" w:cs="Arial"/>
          <w:sz w:val="24"/>
          <w:szCs w:val="24"/>
        </w:rPr>
        <w:t xml:space="preserve"> respondents</w:t>
      </w:r>
      <w:r w:rsidR="0063072E" w:rsidRPr="00AE7E43">
        <w:rPr>
          <w:rFonts w:ascii="Arial" w:hAnsi="Arial" w:cs="Arial"/>
          <w:sz w:val="24"/>
          <w:szCs w:val="24"/>
        </w:rPr>
        <w:t>,</w:t>
      </w:r>
      <w:r w:rsidR="001D2ACD" w:rsidRPr="00AE7E43">
        <w:rPr>
          <w:rFonts w:ascii="Arial" w:hAnsi="Arial" w:cs="Arial"/>
          <w:sz w:val="24"/>
          <w:szCs w:val="24"/>
        </w:rPr>
        <w:t xml:space="preserve"> </w:t>
      </w:r>
      <w:r w:rsidR="0063072E" w:rsidRPr="00AE7E43">
        <w:rPr>
          <w:rFonts w:ascii="Arial" w:hAnsi="Arial" w:cs="Arial"/>
          <w:sz w:val="24"/>
          <w:szCs w:val="24"/>
        </w:rPr>
        <w:t>who seek the</w:t>
      </w:r>
      <w:r w:rsidR="00427B55" w:rsidRPr="00AE7E43">
        <w:rPr>
          <w:rFonts w:ascii="Arial" w:hAnsi="Arial" w:cs="Arial"/>
          <w:sz w:val="24"/>
          <w:szCs w:val="24"/>
        </w:rPr>
        <w:t xml:space="preserve"> setting aside</w:t>
      </w:r>
      <w:r w:rsidR="0063072E" w:rsidRPr="00AE7E43">
        <w:rPr>
          <w:rFonts w:ascii="Arial" w:hAnsi="Arial" w:cs="Arial"/>
          <w:sz w:val="24"/>
          <w:szCs w:val="24"/>
        </w:rPr>
        <w:t xml:space="preserve"> of</w:t>
      </w:r>
      <w:r w:rsidR="00427B55" w:rsidRPr="00AE7E43">
        <w:rPr>
          <w:rFonts w:ascii="Arial" w:hAnsi="Arial" w:cs="Arial"/>
          <w:sz w:val="24"/>
          <w:szCs w:val="24"/>
        </w:rPr>
        <w:t xml:space="preserve"> the two settlement agreements and the two court orders issued in terms whereof the</w:t>
      </w:r>
      <w:r w:rsidR="0063072E" w:rsidRPr="00AE7E43">
        <w:rPr>
          <w:rFonts w:ascii="Arial" w:hAnsi="Arial" w:cs="Arial"/>
          <w:sz w:val="24"/>
          <w:szCs w:val="24"/>
        </w:rPr>
        <w:t>se</w:t>
      </w:r>
      <w:r w:rsidR="00427B55" w:rsidRPr="00AE7E43">
        <w:rPr>
          <w:rFonts w:ascii="Arial" w:hAnsi="Arial" w:cs="Arial"/>
          <w:sz w:val="24"/>
          <w:szCs w:val="24"/>
        </w:rPr>
        <w:t xml:space="preserve"> agreements were made orders of court</w:t>
      </w:r>
      <w:r w:rsidR="0063072E" w:rsidRPr="00AE7E43">
        <w:rPr>
          <w:rFonts w:ascii="Arial" w:hAnsi="Arial" w:cs="Arial"/>
          <w:sz w:val="24"/>
          <w:szCs w:val="24"/>
        </w:rPr>
        <w:t>,</w:t>
      </w:r>
      <w:r w:rsidR="00427B55" w:rsidRPr="00AE7E43">
        <w:rPr>
          <w:rFonts w:ascii="Arial" w:hAnsi="Arial" w:cs="Arial"/>
          <w:sz w:val="24"/>
          <w:szCs w:val="24"/>
        </w:rPr>
        <w:t xml:space="preserve"> raised numerous issues of a legal and factual nature.  They have literally thrown the whole NCA at the applicant.  The applicant </w:t>
      </w:r>
      <w:r w:rsidR="005C6E2C" w:rsidRPr="00AE7E43">
        <w:rPr>
          <w:rFonts w:ascii="Arial" w:hAnsi="Arial" w:cs="Arial"/>
          <w:sz w:val="24"/>
          <w:szCs w:val="24"/>
        </w:rPr>
        <w:t>not only denied that the NCA is applicable, but raised</w:t>
      </w:r>
      <w:r w:rsidR="00427B55" w:rsidRPr="00AE7E43">
        <w:rPr>
          <w:rFonts w:ascii="Arial" w:hAnsi="Arial" w:cs="Arial"/>
          <w:sz w:val="24"/>
          <w:szCs w:val="24"/>
        </w:rPr>
        <w:t xml:space="preserve"> factual </w:t>
      </w:r>
      <w:r w:rsidR="005C6E2C" w:rsidRPr="00AE7E43">
        <w:rPr>
          <w:rFonts w:ascii="Arial" w:hAnsi="Arial" w:cs="Arial"/>
          <w:sz w:val="24"/>
          <w:szCs w:val="24"/>
        </w:rPr>
        <w:t>disputes and therefore,</w:t>
      </w:r>
      <w:r w:rsidR="00427B55" w:rsidRPr="00AE7E43">
        <w:rPr>
          <w:rFonts w:ascii="Arial" w:hAnsi="Arial" w:cs="Arial"/>
          <w:sz w:val="24"/>
          <w:szCs w:val="24"/>
        </w:rPr>
        <w:t xml:space="preserve"> in adjudicating the counter-application</w:t>
      </w:r>
      <w:r w:rsidR="0063072E" w:rsidRPr="00AE7E43">
        <w:rPr>
          <w:rFonts w:ascii="Arial" w:hAnsi="Arial" w:cs="Arial"/>
          <w:sz w:val="24"/>
          <w:szCs w:val="24"/>
        </w:rPr>
        <w:t>,</w:t>
      </w:r>
      <w:r w:rsidR="00427B55" w:rsidRPr="00AE7E43">
        <w:rPr>
          <w:rFonts w:ascii="Arial" w:hAnsi="Arial" w:cs="Arial"/>
          <w:sz w:val="24"/>
          <w:szCs w:val="24"/>
        </w:rPr>
        <w:t xml:space="preserve"> the </w:t>
      </w:r>
      <w:r w:rsidR="00427B55" w:rsidRPr="00AE7E43">
        <w:rPr>
          <w:rFonts w:ascii="Arial" w:hAnsi="Arial" w:cs="Arial"/>
          <w:i/>
          <w:sz w:val="24"/>
          <w:szCs w:val="24"/>
        </w:rPr>
        <w:t>Plascon-Evans</w:t>
      </w:r>
      <w:r w:rsidR="00427B55" w:rsidRPr="00AE7E43">
        <w:rPr>
          <w:rFonts w:ascii="Arial" w:hAnsi="Arial" w:cs="Arial"/>
          <w:sz w:val="24"/>
          <w:szCs w:val="24"/>
        </w:rPr>
        <w:t xml:space="preserve"> rule</w:t>
      </w:r>
      <w:r w:rsidR="005C6E2C" w:rsidRPr="00AE7E43">
        <w:rPr>
          <w:rFonts w:ascii="Arial" w:hAnsi="Arial" w:cs="Arial"/>
          <w:sz w:val="24"/>
          <w:szCs w:val="24"/>
        </w:rPr>
        <w:t xml:space="preserve"> will be applied.</w:t>
      </w:r>
      <w:r w:rsidR="00427B55" w:rsidRPr="00AE7E43">
        <w:rPr>
          <w:rFonts w:ascii="Arial" w:hAnsi="Arial" w:cs="Arial"/>
          <w:sz w:val="24"/>
          <w:szCs w:val="24"/>
        </w:rPr>
        <w:t xml:space="preserve"> </w:t>
      </w:r>
    </w:p>
    <w:p w14:paraId="21C88254" w14:textId="77777777" w:rsidR="001E00AF" w:rsidRPr="00AE7E43" w:rsidRDefault="001E00AF" w:rsidP="001E4D6E">
      <w:pPr>
        <w:spacing w:after="0" w:line="360" w:lineRule="auto"/>
        <w:ind w:left="993" w:hanging="993"/>
        <w:jc w:val="both"/>
        <w:rPr>
          <w:rFonts w:ascii="Arial" w:hAnsi="Arial" w:cs="Arial"/>
          <w:sz w:val="24"/>
          <w:szCs w:val="24"/>
        </w:rPr>
      </w:pPr>
    </w:p>
    <w:p w14:paraId="243C9706" w14:textId="77777777" w:rsidR="0063072E"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[24</w:t>
      </w:r>
      <w:r w:rsidR="006D393C" w:rsidRPr="00AE7E43">
        <w:rPr>
          <w:rFonts w:ascii="Arial" w:hAnsi="Arial" w:cs="Arial"/>
          <w:sz w:val="24"/>
          <w:szCs w:val="24"/>
        </w:rPr>
        <w:t>]</w:t>
      </w:r>
      <w:r w:rsidR="006D393C" w:rsidRPr="00AE7E43">
        <w:rPr>
          <w:rFonts w:ascii="Arial" w:hAnsi="Arial" w:cs="Arial"/>
          <w:sz w:val="24"/>
          <w:szCs w:val="24"/>
        </w:rPr>
        <w:tab/>
        <w:t>I i</w:t>
      </w:r>
      <w:r w:rsidR="0063072E" w:rsidRPr="00AE7E43">
        <w:rPr>
          <w:rFonts w:ascii="Arial" w:hAnsi="Arial" w:cs="Arial"/>
          <w:sz w:val="24"/>
          <w:szCs w:val="24"/>
        </w:rPr>
        <w:t>ntend to deal firstly with the main application where after the counter-application will be adjudicated.</w:t>
      </w:r>
    </w:p>
    <w:p w14:paraId="437A9819" w14:textId="77777777" w:rsidR="0063072E" w:rsidRDefault="0063072E" w:rsidP="001E4D6E">
      <w:pPr>
        <w:spacing w:after="0" w:line="360" w:lineRule="auto"/>
        <w:ind w:left="993" w:hanging="993"/>
        <w:jc w:val="both"/>
        <w:rPr>
          <w:rFonts w:ascii="Arial" w:hAnsi="Arial" w:cs="Arial"/>
          <w:i/>
          <w:sz w:val="24"/>
          <w:szCs w:val="24"/>
        </w:rPr>
      </w:pPr>
    </w:p>
    <w:p w14:paraId="5129C588" w14:textId="77777777" w:rsidR="00AE7E43" w:rsidRDefault="00AE7E43" w:rsidP="001E4D6E">
      <w:pPr>
        <w:spacing w:after="0" w:line="360" w:lineRule="auto"/>
        <w:ind w:left="993" w:hanging="993"/>
        <w:jc w:val="both"/>
        <w:rPr>
          <w:rFonts w:ascii="Arial" w:hAnsi="Arial" w:cs="Arial"/>
          <w:i/>
          <w:sz w:val="24"/>
          <w:szCs w:val="24"/>
        </w:rPr>
      </w:pPr>
    </w:p>
    <w:p w14:paraId="712CF2CA" w14:textId="77777777" w:rsidR="0063072E" w:rsidRPr="00AE7E43" w:rsidRDefault="0063072E" w:rsidP="001E4D6E">
      <w:pPr>
        <w:spacing w:after="0" w:line="360" w:lineRule="auto"/>
        <w:ind w:left="993" w:hanging="993"/>
        <w:jc w:val="both"/>
        <w:rPr>
          <w:rFonts w:ascii="Arial" w:hAnsi="Arial" w:cs="Arial"/>
          <w:i/>
          <w:sz w:val="24"/>
          <w:szCs w:val="24"/>
        </w:rPr>
      </w:pPr>
      <w:r w:rsidRPr="00AE7E43">
        <w:rPr>
          <w:rFonts w:ascii="Arial" w:hAnsi="Arial" w:cs="Arial"/>
          <w:i/>
          <w:sz w:val="24"/>
          <w:szCs w:val="24"/>
        </w:rPr>
        <w:lastRenderedPageBreak/>
        <w:t>The main application</w:t>
      </w:r>
    </w:p>
    <w:p w14:paraId="646B1163" w14:textId="77777777" w:rsidR="0063072E" w:rsidRPr="00AE7E43" w:rsidRDefault="0063072E" w:rsidP="001E4D6E">
      <w:pPr>
        <w:spacing w:after="0" w:line="360" w:lineRule="auto"/>
        <w:ind w:left="993" w:hanging="993"/>
        <w:jc w:val="both"/>
        <w:rPr>
          <w:rFonts w:ascii="Arial" w:hAnsi="Arial" w:cs="Arial"/>
          <w:sz w:val="24"/>
          <w:szCs w:val="24"/>
        </w:rPr>
      </w:pPr>
    </w:p>
    <w:p w14:paraId="7A86F347" w14:textId="77777777" w:rsidR="001E00AF"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[25</w:t>
      </w:r>
      <w:r w:rsidR="001E00AF" w:rsidRPr="00AE7E43">
        <w:rPr>
          <w:rFonts w:ascii="Arial" w:hAnsi="Arial" w:cs="Arial"/>
          <w:sz w:val="24"/>
          <w:szCs w:val="24"/>
        </w:rPr>
        <w:t>]</w:t>
      </w:r>
      <w:r w:rsidR="001E00AF" w:rsidRPr="00AE7E43">
        <w:rPr>
          <w:rFonts w:ascii="Arial" w:hAnsi="Arial" w:cs="Arial"/>
          <w:sz w:val="24"/>
          <w:szCs w:val="24"/>
        </w:rPr>
        <w:tab/>
      </w:r>
      <w:r w:rsidR="00A03DA4" w:rsidRPr="00AE7E43">
        <w:rPr>
          <w:rFonts w:ascii="Arial" w:hAnsi="Arial" w:cs="Arial"/>
          <w:sz w:val="24"/>
          <w:szCs w:val="24"/>
        </w:rPr>
        <w:t>T</w:t>
      </w:r>
      <w:r w:rsidR="001E00AF" w:rsidRPr="00AE7E43">
        <w:rPr>
          <w:rFonts w:ascii="Arial" w:hAnsi="Arial" w:cs="Arial"/>
          <w:sz w:val="24"/>
          <w:szCs w:val="24"/>
        </w:rPr>
        <w:t>wo settlement agreements between the parties have been made orders of court.  Neither the order under case number 696/2019</w:t>
      </w:r>
      <w:r w:rsidR="00764960" w:rsidRPr="00AE7E43">
        <w:rPr>
          <w:rFonts w:ascii="Arial" w:hAnsi="Arial" w:cs="Arial"/>
          <w:sz w:val="24"/>
          <w:szCs w:val="24"/>
        </w:rPr>
        <w:t>,</w:t>
      </w:r>
      <w:r w:rsidR="001E00AF" w:rsidRPr="00AE7E43">
        <w:rPr>
          <w:rFonts w:ascii="Arial" w:hAnsi="Arial" w:cs="Arial"/>
          <w:sz w:val="24"/>
          <w:szCs w:val="24"/>
        </w:rPr>
        <w:t xml:space="preserve"> nor the one under case number 4256/2020 has been rescinded</w:t>
      </w:r>
      <w:r w:rsidR="00764960" w:rsidRPr="00AE7E43">
        <w:rPr>
          <w:rFonts w:ascii="Arial" w:hAnsi="Arial" w:cs="Arial"/>
          <w:sz w:val="24"/>
          <w:szCs w:val="24"/>
        </w:rPr>
        <w:t>.  The respondents did not apply for rescission</w:t>
      </w:r>
      <w:r w:rsidR="001E00AF" w:rsidRPr="00AE7E43">
        <w:rPr>
          <w:rFonts w:ascii="Arial" w:hAnsi="Arial" w:cs="Arial"/>
          <w:sz w:val="24"/>
          <w:szCs w:val="24"/>
        </w:rPr>
        <w:t xml:space="preserve"> of these orders</w:t>
      </w:r>
      <w:r w:rsidR="00764960" w:rsidRPr="00AE7E43">
        <w:rPr>
          <w:rFonts w:ascii="Arial" w:hAnsi="Arial" w:cs="Arial"/>
          <w:sz w:val="24"/>
          <w:szCs w:val="24"/>
        </w:rPr>
        <w:t>, incorporating the settlement agreements previously.  The first agreement was entered into more than three years ago and the second 18 months ago</w:t>
      </w:r>
      <w:r w:rsidR="001E00AF" w:rsidRPr="00AE7E43">
        <w:rPr>
          <w:rFonts w:ascii="Arial" w:hAnsi="Arial" w:cs="Arial"/>
          <w:sz w:val="24"/>
          <w:szCs w:val="24"/>
        </w:rPr>
        <w:t xml:space="preserve">.  In </w:t>
      </w:r>
      <w:r w:rsidR="001E00AF" w:rsidRPr="00AE7E43">
        <w:rPr>
          <w:rFonts w:ascii="Arial" w:hAnsi="Arial" w:cs="Arial"/>
          <w:i/>
          <w:sz w:val="24"/>
          <w:szCs w:val="24"/>
        </w:rPr>
        <w:t>Eke v Parsons</w:t>
      </w:r>
      <w:r w:rsidR="001E00AF" w:rsidRPr="00AE7E43">
        <w:rPr>
          <w:rFonts w:ascii="Arial" w:hAnsi="Arial" w:cs="Arial"/>
          <w:sz w:val="24"/>
          <w:szCs w:val="24"/>
        </w:rPr>
        <w:t>,</w:t>
      </w:r>
      <w:r w:rsidR="001E00AF" w:rsidRPr="00AE7E43">
        <w:rPr>
          <w:rStyle w:val="FootnoteReference"/>
          <w:rFonts w:ascii="Arial" w:hAnsi="Arial" w:cs="Arial"/>
          <w:sz w:val="24"/>
          <w:szCs w:val="24"/>
        </w:rPr>
        <w:footnoteReference w:id="21"/>
      </w:r>
      <w:r w:rsidR="001E00AF" w:rsidRPr="00AE7E43">
        <w:rPr>
          <w:rFonts w:ascii="Arial" w:hAnsi="Arial" w:cs="Arial"/>
          <w:sz w:val="24"/>
          <w:szCs w:val="24"/>
        </w:rPr>
        <w:t xml:space="preserve"> Madlanga J writing for the majority, quoted with approval the following </w:t>
      </w:r>
      <w:r w:rsidR="001E00AF" w:rsidRPr="00AE7E43">
        <w:rPr>
          <w:rFonts w:ascii="Arial" w:hAnsi="Arial" w:cs="Arial"/>
          <w:i/>
          <w:sz w:val="24"/>
          <w:szCs w:val="24"/>
        </w:rPr>
        <w:t>dictum</w:t>
      </w:r>
      <w:r w:rsidR="001E00AF" w:rsidRPr="00AE7E43">
        <w:rPr>
          <w:rFonts w:ascii="Arial" w:hAnsi="Arial" w:cs="Arial"/>
          <w:sz w:val="24"/>
          <w:szCs w:val="24"/>
        </w:rPr>
        <w:t>:</w:t>
      </w:r>
    </w:p>
    <w:p w14:paraId="262FF5B6" w14:textId="77777777" w:rsidR="00011A6A" w:rsidRPr="00AE7E43" w:rsidRDefault="001E00AF" w:rsidP="001E4D6E">
      <w:pPr>
        <w:spacing w:after="0" w:line="360" w:lineRule="auto"/>
        <w:ind w:left="993" w:hanging="993"/>
        <w:jc w:val="both"/>
        <w:rPr>
          <w:rFonts w:ascii="Arial" w:hAnsi="Arial" w:cs="Arial"/>
          <w:sz w:val="24"/>
          <w:szCs w:val="24"/>
        </w:rPr>
      </w:pPr>
      <w:r w:rsidRPr="00AE7E43">
        <w:rPr>
          <w:rFonts w:ascii="Arial" w:hAnsi="Arial" w:cs="Arial"/>
          <w:sz w:val="24"/>
          <w:szCs w:val="24"/>
        </w:rPr>
        <w:tab/>
      </w:r>
      <w:r w:rsidRPr="00AE7E43">
        <w:rPr>
          <w:rFonts w:ascii="Arial" w:hAnsi="Arial" w:cs="Arial"/>
          <w:sz w:val="20"/>
          <w:szCs w:val="20"/>
        </w:rPr>
        <w:t xml:space="preserve">“A compromise once lawfully struck is very powerfully supported by the law, since nothing is more salutary than the </w:t>
      </w:r>
      <w:r w:rsidRPr="00AE7E43">
        <w:rPr>
          <w:rFonts w:ascii="Arial" w:hAnsi="Arial" w:cs="Arial"/>
          <w:sz w:val="20"/>
          <w:szCs w:val="20"/>
          <w:u w:val="single"/>
        </w:rPr>
        <w:t>settlement of lawsuits</w:t>
      </w:r>
      <w:r w:rsidRPr="00AE7E43">
        <w:rPr>
          <w:rFonts w:ascii="Arial" w:hAnsi="Arial" w:cs="Arial"/>
          <w:sz w:val="20"/>
          <w:szCs w:val="20"/>
        </w:rPr>
        <w:t>.”</w:t>
      </w:r>
      <w:r w:rsidR="006F28B5" w:rsidRPr="00AE7E43">
        <w:rPr>
          <w:rFonts w:ascii="Arial" w:hAnsi="Arial" w:cs="Arial"/>
          <w:sz w:val="20"/>
          <w:szCs w:val="20"/>
        </w:rPr>
        <w:t xml:space="preserve"> </w:t>
      </w:r>
      <w:r w:rsidR="006F28B5" w:rsidRPr="00AE7E43">
        <w:rPr>
          <w:rFonts w:ascii="Arial" w:hAnsi="Arial" w:cs="Arial"/>
          <w:sz w:val="24"/>
          <w:szCs w:val="24"/>
        </w:rPr>
        <w:t>(emphasis added)</w:t>
      </w:r>
    </w:p>
    <w:p w14:paraId="18F217F8" w14:textId="77777777" w:rsidR="001E00AF" w:rsidRPr="00AE7E43" w:rsidRDefault="00011A6A" w:rsidP="001E4D6E">
      <w:pPr>
        <w:spacing w:after="0" w:line="360" w:lineRule="auto"/>
        <w:ind w:left="993"/>
        <w:jc w:val="both"/>
        <w:rPr>
          <w:rFonts w:ascii="Arial" w:hAnsi="Arial" w:cs="Arial"/>
          <w:sz w:val="24"/>
          <w:szCs w:val="24"/>
        </w:rPr>
      </w:pPr>
      <w:r w:rsidRPr="00AE7E43">
        <w:rPr>
          <w:rFonts w:ascii="Arial" w:hAnsi="Arial" w:cs="Arial"/>
          <w:i/>
          <w:sz w:val="24"/>
          <w:szCs w:val="24"/>
        </w:rPr>
        <w:t>In casu</w:t>
      </w:r>
      <w:r w:rsidRPr="00AE7E43">
        <w:rPr>
          <w:rFonts w:ascii="Arial" w:hAnsi="Arial" w:cs="Arial"/>
          <w:sz w:val="24"/>
          <w:szCs w:val="24"/>
        </w:rPr>
        <w:t xml:space="preserve"> no lawsuit had been instituted prior to the first settlement agreement, but it is apparent from the document that the parties had reached a settlement with regard to the debtors’ indebtedness.</w:t>
      </w:r>
      <w:r w:rsidRPr="00AE7E43">
        <w:rPr>
          <w:rStyle w:val="FootnoteReference"/>
          <w:rFonts w:ascii="Arial" w:hAnsi="Arial" w:cs="Arial"/>
          <w:sz w:val="24"/>
          <w:szCs w:val="24"/>
        </w:rPr>
        <w:footnoteReference w:id="22"/>
      </w:r>
      <w:r w:rsidR="00D263B4" w:rsidRPr="00AE7E43">
        <w:rPr>
          <w:rFonts w:ascii="Arial" w:hAnsi="Arial" w:cs="Arial"/>
          <w:sz w:val="24"/>
          <w:szCs w:val="24"/>
        </w:rPr>
        <w:t xml:space="preserve">  There is in principle no reason why parties may not compromise their disputes before litigation is embarked upon and then request the court to make the settlement agreement an order of court.</w:t>
      </w:r>
      <w:r w:rsidR="00B45971" w:rsidRPr="00AE7E43">
        <w:rPr>
          <w:rFonts w:ascii="Arial" w:hAnsi="Arial" w:cs="Arial"/>
          <w:sz w:val="24"/>
          <w:szCs w:val="24"/>
        </w:rPr>
        <w:t xml:space="preserve">  Insofar as this issue may be contentious, I shall elaborate hereunder.</w:t>
      </w:r>
    </w:p>
    <w:p w14:paraId="1A8E3833" w14:textId="77777777" w:rsidR="001E00AF" w:rsidRPr="00AE7E43" w:rsidRDefault="001E00AF" w:rsidP="001E4D6E">
      <w:pPr>
        <w:spacing w:after="0" w:line="360" w:lineRule="auto"/>
        <w:ind w:left="993" w:hanging="993"/>
        <w:jc w:val="both"/>
        <w:rPr>
          <w:rFonts w:ascii="Arial" w:hAnsi="Arial" w:cs="Arial"/>
          <w:sz w:val="24"/>
          <w:szCs w:val="24"/>
        </w:rPr>
      </w:pPr>
    </w:p>
    <w:p w14:paraId="5D0EAB5B" w14:textId="77777777" w:rsidR="00E500E8"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[26</w:t>
      </w:r>
      <w:r w:rsidR="001E00AF" w:rsidRPr="00AE7E43">
        <w:rPr>
          <w:rFonts w:ascii="Arial" w:hAnsi="Arial" w:cs="Arial"/>
          <w:sz w:val="24"/>
          <w:szCs w:val="24"/>
        </w:rPr>
        <w:t>]</w:t>
      </w:r>
      <w:r w:rsidR="001E00AF" w:rsidRPr="00AE7E43">
        <w:rPr>
          <w:rFonts w:ascii="Arial" w:hAnsi="Arial" w:cs="Arial"/>
          <w:sz w:val="24"/>
          <w:szCs w:val="24"/>
        </w:rPr>
        <w:tab/>
        <w:t>Once a settlement agreement has been made an order of court, it is an order like any other and will be interpreted like all court orders.</w:t>
      </w:r>
      <w:r w:rsidR="001E00AF" w:rsidRPr="00AE7E43">
        <w:rPr>
          <w:rStyle w:val="FootnoteReference"/>
          <w:rFonts w:ascii="Arial" w:hAnsi="Arial" w:cs="Arial"/>
          <w:sz w:val="24"/>
          <w:szCs w:val="24"/>
        </w:rPr>
        <w:footnoteReference w:id="23"/>
      </w:r>
      <w:r w:rsidR="001E00AF" w:rsidRPr="00AE7E43">
        <w:rPr>
          <w:rFonts w:ascii="Arial" w:hAnsi="Arial" w:cs="Arial"/>
          <w:sz w:val="24"/>
          <w:szCs w:val="24"/>
        </w:rPr>
        <w:t xml:space="preserve">  </w:t>
      </w:r>
      <w:r w:rsidR="00A03DA4" w:rsidRPr="00AE7E43">
        <w:rPr>
          <w:rFonts w:ascii="Arial" w:hAnsi="Arial" w:cs="Arial"/>
          <w:sz w:val="24"/>
          <w:szCs w:val="24"/>
        </w:rPr>
        <w:t xml:space="preserve">Wallis JA expressed himself in the following words in </w:t>
      </w:r>
      <w:r w:rsidR="00A03DA4" w:rsidRPr="00AE7E43">
        <w:rPr>
          <w:rFonts w:ascii="Arial" w:hAnsi="Arial" w:cs="Arial"/>
          <w:i/>
          <w:sz w:val="24"/>
          <w:szCs w:val="24"/>
        </w:rPr>
        <w:t>Moraitis Investments v Montic Dairy</w:t>
      </w:r>
      <w:r w:rsidR="00A03DA4" w:rsidRPr="00AE7E43">
        <w:rPr>
          <w:rFonts w:ascii="Arial" w:hAnsi="Arial" w:cs="Arial"/>
          <w:sz w:val="24"/>
          <w:szCs w:val="24"/>
        </w:rPr>
        <w:t>,</w:t>
      </w:r>
      <w:r w:rsidR="00A03DA4" w:rsidRPr="00AE7E43">
        <w:rPr>
          <w:rStyle w:val="FootnoteReference"/>
          <w:rFonts w:ascii="Arial" w:hAnsi="Arial" w:cs="Arial"/>
          <w:sz w:val="24"/>
          <w:szCs w:val="24"/>
        </w:rPr>
        <w:footnoteReference w:id="24"/>
      </w:r>
      <w:r w:rsidR="00A03DA4" w:rsidRPr="00AE7E43">
        <w:rPr>
          <w:rFonts w:ascii="Arial" w:hAnsi="Arial" w:cs="Arial"/>
          <w:sz w:val="24"/>
          <w:szCs w:val="24"/>
        </w:rPr>
        <w:t xml:space="preserve"> </w:t>
      </w:r>
      <w:r w:rsidR="00A03DA4" w:rsidRPr="00AE7E43">
        <w:rPr>
          <w:rFonts w:ascii="Arial" w:hAnsi="Arial" w:cs="Arial"/>
          <w:i/>
          <w:sz w:val="24"/>
          <w:szCs w:val="24"/>
        </w:rPr>
        <w:t>inter alia</w:t>
      </w:r>
      <w:r w:rsidR="00A03DA4" w:rsidRPr="00AE7E43">
        <w:rPr>
          <w:rFonts w:ascii="Arial" w:hAnsi="Arial" w:cs="Arial"/>
          <w:sz w:val="24"/>
          <w:szCs w:val="24"/>
        </w:rPr>
        <w:t xml:space="preserve"> relying on </w:t>
      </w:r>
      <w:r w:rsidR="00A03DA4" w:rsidRPr="00AE7E43">
        <w:rPr>
          <w:rFonts w:ascii="Arial" w:hAnsi="Arial" w:cs="Arial"/>
          <w:i/>
          <w:sz w:val="24"/>
          <w:szCs w:val="24"/>
        </w:rPr>
        <w:t xml:space="preserve">Eke v Parsons: </w:t>
      </w:r>
      <w:r w:rsidR="00A03DA4" w:rsidRPr="00AE7E43">
        <w:rPr>
          <w:rFonts w:ascii="Arial" w:hAnsi="Arial" w:cs="Arial"/>
          <w:sz w:val="24"/>
          <w:szCs w:val="24"/>
        </w:rPr>
        <w:t xml:space="preserve"> </w:t>
      </w:r>
    </w:p>
    <w:p w14:paraId="16D0B00E" w14:textId="77777777" w:rsidR="00E500E8" w:rsidRPr="00AE7E43" w:rsidRDefault="00E500E8" w:rsidP="001E4D6E">
      <w:pPr>
        <w:spacing w:after="0" w:line="360" w:lineRule="auto"/>
        <w:ind w:left="993"/>
        <w:jc w:val="both"/>
        <w:rPr>
          <w:rFonts w:ascii="Arial" w:hAnsi="Arial" w:cs="Arial"/>
          <w:sz w:val="20"/>
          <w:szCs w:val="20"/>
        </w:rPr>
      </w:pPr>
      <w:r w:rsidRPr="00AE7E43">
        <w:rPr>
          <w:rFonts w:ascii="Arial" w:hAnsi="Arial" w:cs="Arial"/>
          <w:sz w:val="20"/>
          <w:szCs w:val="20"/>
        </w:rPr>
        <w:t>“</w:t>
      </w:r>
      <w:r w:rsidR="00A03DA4" w:rsidRPr="00AE7E43">
        <w:rPr>
          <w:rFonts w:ascii="Arial" w:hAnsi="Arial" w:cs="Arial"/>
          <w:sz w:val="20"/>
          <w:szCs w:val="20"/>
          <w:u w:val="single"/>
        </w:rPr>
        <w:t>For so long as that order stood, it could not be disregarded. The fact that it was a consent order is neither here nor there. Such an order has exactly the same standing and qualities as any other court order. It is res judicata as between the parties in regard to the matters covered thereby.</w:t>
      </w:r>
      <w:bookmarkStart w:id="21" w:name="0-0-0-136647"/>
      <w:bookmarkEnd w:id="21"/>
      <w:r w:rsidR="00A03DA4" w:rsidRPr="00AE7E43">
        <w:rPr>
          <w:rFonts w:ascii="Arial" w:hAnsi="Arial" w:cs="Arial"/>
          <w:sz w:val="20"/>
          <w:szCs w:val="20"/>
          <w:u w:val="single"/>
        </w:rPr>
        <w:t>  The Constitutional Court has repeatedly said that court orders may not be ignored</w:t>
      </w:r>
      <w:r w:rsidR="00A03DA4" w:rsidRPr="00AE7E43">
        <w:rPr>
          <w:rFonts w:ascii="Arial" w:hAnsi="Arial" w:cs="Arial"/>
          <w:sz w:val="20"/>
          <w:szCs w:val="20"/>
        </w:rPr>
        <w:t>. To do so is inconsistent with s 165(5) of the Constitution, which provides that an order issued by a court binds all people to whom it applies.</w:t>
      </w:r>
      <w:bookmarkStart w:id="22" w:name="0-0-0-136651"/>
      <w:bookmarkEnd w:id="22"/>
      <w:r w:rsidR="00A03DA4" w:rsidRPr="00AE7E43">
        <w:rPr>
          <w:rFonts w:ascii="Arial" w:hAnsi="Arial" w:cs="Arial"/>
          <w:sz w:val="20"/>
          <w:szCs w:val="20"/>
        </w:rPr>
        <w:t xml:space="preserve">  </w:t>
      </w:r>
      <w:r w:rsidR="00A03DA4" w:rsidRPr="00AE7E43">
        <w:rPr>
          <w:rFonts w:ascii="Arial" w:hAnsi="Arial" w:cs="Arial"/>
          <w:sz w:val="20"/>
          <w:szCs w:val="20"/>
          <w:u w:val="single"/>
        </w:rPr>
        <w:t>The necessary starting point</w:t>
      </w:r>
      <w:r w:rsidR="00A03DA4" w:rsidRPr="00AE7E43">
        <w:rPr>
          <w:rFonts w:ascii="Arial" w:hAnsi="Arial" w:cs="Arial"/>
          <w:sz w:val="20"/>
          <w:szCs w:val="20"/>
        </w:rPr>
        <w:t xml:space="preserve"> in this case was therefore </w:t>
      </w:r>
      <w:r w:rsidR="00A03DA4" w:rsidRPr="00AE7E43">
        <w:rPr>
          <w:rFonts w:ascii="Arial" w:hAnsi="Arial" w:cs="Arial"/>
          <w:sz w:val="20"/>
          <w:szCs w:val="20"/>
          <w:u w:val="single"/>
        </w:rPr>
        <w:t>whether the grounds advanced by the applicants justified the rescission</w:t>
      </w:r>
      <w:r w:rsidR="00A03DA4" w:rsidRPr="00AE7E43">
        <w:rPr>
          <w:rFonts w:ascii="Arial" w:hAnsi="Arial" w:cs="Arial"/>
          <w:sz w:val="20"/>
          <w:szCs w:val="20"/>
        </w:rPr>
        <w:t xml:space="preserve"> of the consent judgment. If they did not, then it had to stand and questions of the </w:t>
      </w:r>
      <w:r w:rsidR="00A03DA4" w:rsidRPr="00AE7E43">
        <w:rPr>
          <w:rFonts w:ascii="Arial" w:hAnsi="Arial" w:cs="Arial"/>
          <w:sz w:val="20"/>
          <w:szCs w:val="20"/>
        </w:rPr>
        <w:lastRenderedPageBreak/>
        <w:t>enforceability of the settlement agreement became academic.</w:t>
      </w:r>
      <w:r w:rsidRPr="00AE7E43">
        <w:rPr>
          <w:rFonts w:ascii="Arial" w:hAnsi="Arial" w:cs="Arial"/>
          <w:sz w:val="20"/>
          <w:szCs w:val="20"/>
        </w:rPr>
        <w:t xml:space="preserve">”  </w:t>
      </w:r>
      <w:r w:rsidRPr="00AE7E43">
        <w:rPr>
          <w:rFonts w:ascii="Arial" w:hAnsi="Arial" w:cs="Arial"/>
          <w:sz w:val="24"/>
          <w:szCs w:val="24"/>
        </w:rPr>
        <w:t>(Footnotes omitted</w:t>
      </w:r>
      <w:r w:rsidR="003A7768" w:rsidRPr="00AE7E43">
        <w:rPr>
          <w:rFonts w:ascii="Arial" w:hAnsi="Arial" w:cs="Arial"/>
          <w:sz w:val="24"/>
          <w:szCs w:val="24"/>
        </w:rPr>
        <w:t xml:space="preserve"> and emphasis added</w:t>
      </w:r>
      <w:r w:rsidRPr="00AE7E43">
        <w:rPr>
          <w:rFonts w:ascii="Arial" w:hAnsi="Arial" w:cs="Arial"/>
          <w:sz w:val="24"/>
          <w:szCs w:val="24"/>
        </w:rPr>
        <w:t>)</w:t>
      </w:r>
      <w:r w:rsidRPr="00AE7E43">
        <w:rPr>
          <w:rFonts w:ascii="Arial" w:hAnsi="Arial" w:cs="Arial"/>
          <w:sz w:val="20"/>
          <w:szCs w:val="20"/>
        </w:rPr>
        <w:t xml:space="preserve"> </w:t>
      </w:r>
    </w:p>
    <w:p w14:paraId="5EFED570" w14:textId="77777777" w:rsidR="00B92D14" w:rsidRPr="00AE7E43" w:rsidRDefault="00B92D14" w:rsidP="001E4D6E">
      <w:pPr>
        <w:spacing w:after="0" w:line="360" w:lineRule="auto"/>
        <w:ind w:left="993" w:hanging="993"/>
        <w:jc w:val="both"/>
        <w:rPr>
          <w:rFonts w:ascii="Arial" w:hAnsi="Arial" w:cs="Arial"/>
          <w:sz w:val="20"/>
          <w:szCs w:val="20"/>
        </w:rPr>
      </w:pPr>
    </w:p>
    <w:p w14:paraId="714F070C" w14:textId="77777777" w:rsidR="00E500E8" w:rsidRPr="00AE7E43" w:rsidRDefault="00E500E8" w:rsidP="001E4D6E">
      <w:pPr>
        <w:spacing w:after="0" w:line="360" w:lineRule="auto"/>
        <w:ind w:left="993"/>
        <w:jc w:val="both"/>
        <w:rPr>
          <w:rFonts w:ascii="Arial" w:hAnsi="Arial" w:cs="Arial"/>
          <w:sz w:val="24"/>
          <w:szCs w:val="24"/>
        </w:rPr>
      </w:pPr>
      <w:r w:rsidRPr="00AE7E43">
        <w:rPr>
          <w:rFonts w:ascii="Arial" w:hAnsi="Arial" w:cs="Arial"/>
          <w:sz w:val="24"/>
          <w:szCs w:val="24"/>
        </w:rPr>
        <w:t xml:space="preserve">The honourable judge continued later as follows: </w:t>
      </w:r>
    </w:p>
    <w:p w14:paraId="7FCE3DA2" w14:textId="77777777" w:rsidR="001E00AF" w:rsidRPr="00AE7E43" w:rsidRDefault="00E500E8" w:rsidP="001E4D6E">
      <w:pPr>
        <w:spacing w:after="0" w:line="360" w:lineRule="auto"/>
        <w:ind w:left="993"/>
        <w:jc w:val="both"/>
        <w:rPr>
          <w:rFonts w:ascii="Arial" w:hAnsi="Arial" w:cs="Arial"/>
          <w:sz w:val="24"/>
          <w:szCs w:val="24"/>
        </w:rPr>
      </w:pPr>
      <w:r w:rsidRPr="00AE7E43">
        <w:rPr>
          <w:rFonts w:ascii="Arial" w:hAnsi="Arial" w:cs="Arial"/>
          <w:sz w:val="20"/>
          <w:szCs w:val="20"/>
        </w:rPr>
        <w:t xml:space="preserve">“There are two difficulties with this statement. First, the distinction it draws, between judgments 'not passed on the merits of a dispute' and other judgments, lacks any foundation in our jurisprudence. There is no difference in law between an order granted in the case of a default judgment; an order pursuant to a </w:t>
      </w:r>
      <w:r w:rsidRPr="00AE7E43">
        <w:rPr>
          <w:rFonts w:ascii="Arial" w:hAnsi="Arial" w:cs="Arial"/>
          <w:sz w:val="20"/>
          <w:szCs w:val="20"/>
          <w:u w:val="single"/>
        </w:rPr>
        <w:t>settlement prior to the conclusion of opposed proceedings</w:t>
      </w:r>
      <w:r w:rsidRPr="00AE7E43">
        <w:rPr>
          <w:rFonts w:ascii="Arial" w:hAnsi="Arial" w:cs="Arial"/>
          <w:sz w:val="20"/>
          <w:szCs w:val="20"/>
        </w:rPr>
        <w:t>; or the order in a judgment pronounced at the end of a trial or opposed application. As the Constitutional Court has said, it is an order 'like any other'.</w:t>
      </w:r>
      <w:bookmarkStart w:id="23" w:name="0-0-0-136707"/>
      <w:bookmarkEnd w:id="23"/>
      <w:r w:rsidRPr="00AE7E43">
        <w:rPr>
          <w:rFonts w:ascii="Arial" w:hAnsi="Arial" w:cs="Arial"/>
          <w:sz w:val="20"/>
          <w:szCs w:val="20"/>
        </w:rPr>
        <w:t xml:space="preserve"> Second, the proposition is overbroad and inconsistent with the authorities discussed above. Were it correct, a material, but non-fraudulent, misrepresentation justifying rescission of the agreement of compromise would also justify the rescission of the judgment granted pursuant to that compromise, but that is not the case.</w:t>
      </w:r>
      <w:r w:rsidR="00775429">
        <w:rPr>
          <w:rFonts w:ascii="Arial" w:hAnsi="Arial" w:cs="Arial"/>
          <w:sz w:val="20"/>
          <w:szCs w:val="20"/>
        </w:rPr>
        <w:t xml:space="preserve"> </w:t>
      </w:r>
      <w:r w:rsidRPr="00AE7E43">
        <w:rPr>
          <w:rFonts w:ascii="Arial" w:hAnsi="Arial" w:cs="Arial"/>
          <w:sz w:val="20"/>
          <w:szCs w:val="20"/>
        </w:rPr>
        <w:t xml:space="preserve"> Its defect lies in approaching the question from the direction of the agreement instead of from the direction of the judgment. The latter is the correct approach, because the judgment operates as res judicata and precludes a claim based on the agreement.</w:t>
      </w:r>
      <w:bookmarkStart w:id="24" w:name="0-0-0-136711"/>
      <w:bookmarkEnd w:id="24"/>
      <w:r w:rsidRPr="00AE7E43">
        <w:rPr>
          <w:rFonts w:ascii="Arial" w:hAnsi="Arial" w:cs="Arial"/>
          <w:sz w:val="20"/>
          <w:szCs w:val="20"/>
        </w:rPr>
        <w:t xml:space="preserve">  </w:t>
      </w:r>
      <w:r w:rsidRPr="00AE7E43">
        <w:rPr>
          <w:rFonts w:ascii="Arial" w:hAnsi="Arial" w:cs="Arial"/>
          <w:sz w:val="20"/>
          <w:szCs w:val="20"/>
          <w:u w:val="single"/>
        </w:rPr>
        <w:t>Unless and until the judgment has been set aside, there can be no question of attacking the compromise agreement</w:t>
      </w:r>
      <w:r w:rsidRPr="00AE7E43">
        <w:rPr>
          <w:rFonts w:ascii="Arial" w:hAnsi="Arial" w:cs="Arial"/>
          <w:sz w:val="20"/>
          <w:szCs w:val="20"/>
        </w:rPr>
        <w:t xml:space="preserve">. It follows that the </w:t>
      </w:r>
      <w:r w:rsidRPr="00AE7E43">
        <w:rPr>
          <w:rFonts w:ascii="Arial" w:hAnsi="Arial" w:cs="Arial"/>
          <w:sz w:val="20"/>
          <w:szCs w:val="20"/>
          <w:u w:val="single"/>
        </w:rPr>
        <w:t>necessary starting point for the enquiry must be whether there are grounds upon which to seek rescission of the court order</w:t>
      </w:r>
      <w:r w:rsidRPr="00AE7E43">
        <w:rPr>
          <w:rFonts w:ascii="Arial" w:hAnsi="Arial" w:cs="Arial"/>
          <w:sz w:val="20"/>
          <w:szCs w:val="20"/>
        </w:rPr>
        <w:t xml:space="preserve">. Only then can there be any issue regarding the rescission of the compromise.” </w:t>
      </w:r>
      <w:r w:rsidRPr="00AE7E43">
        <w:rPr>
          <w:rFonts w:ascii="Arial" w:hAnsi="Arial" w:cs="Arial"/>
          <w:sz w:val="24"/>
          <w:szCs w:val="24"/>
        </w:rPr>
        <w:t>(Footnotes omitted and emphasis added)</w:t>
      </w:r>
    </w:p>
    <w:p w14:paraId="261F6DCF" w14:textId="77777777" w:rsidR="003A7768" w:rsidRPr="00AE7E43" w:rsidRDefault="003A7768" w:rsidP="001E4D6E">
      <w:pPr>
        <w:spacing w:after="0" w:line="360" w:lineRule="auto"/>
        <w:ind w:left="993" w:hanging="993"/>
        <w:jc w:val="both"/>
        <w:rPr>
          <w:rFonts w:ascii="Arial" w:hAnsi="Arial" w:cs="Arial"/>
          <w:sz w:val="24"/>
          <w:szCs w:val="24"/>
        </w:rPr>
      </w:pPr>
    </w:p>
    <w:p w14:paraId="1EC45EB7" w14:textId="77777777" w:rsidR="001E00AF"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w:t>
      </w:r>
      <w:r w:rsidR="00AE7E43">
        <w:rPr>
          <w:rFonts w:ascii="Arial" w:hAnsi="Arial" w:cs="Arial"/>
          <w:sz w:val="24"/>
          <w:szCs w:val="24"/>
        </w:rPr>
        <w:t>7</w:t>
      </w:r>
      <w:r w:rsidR="001E00AF" w:rsidRPr="00AE7E43">
        <w:rPr>
          <w:rFonts w:ascii="Arial" w:hAnsi="Arial" w:cs="Arial"/>
          <w:sz w:val="24"/>
          <w:szCs w:val="24"/>
        </w:rPr>
        <w:t>]</w:t>
      </w:r>
      <w:r w:rsidR="001E00AF" w:rsidRPr="00AE7E43">
        <w:rPr>
          <w:rFonts w:ascii="Arial" w:hAnsi="Arial" w:cs="Arial"/>
          <w:sz w:val="24"/>
          <w:szCs w:val="24"/>
        </w:rPr>
        <w:tab/>
        <w:t xml:space="preserve">A settlement order changes the status of the rights and obligations between parties and save for litigation that may be consequent upon the nature of the particular order, such order brings finality to the </w:t>
      </w:r>
      <w:r w:rsidR="001E00AF" w:rsidRPr="00AE7E43">
        <w:rPr>
          <w:rFonts w:ascii="Arial" w:hAnsi="Arial" w:cs="Arial"/>
          <w:i/>
          <w:iCs/>
          <w:sz w:val="24"/>
          <w:szCs w:val="24"/>
        </w:rPr>
        <w:t>lis</w:t>
      </w:r>
      <w:r w:rsidR="001E00AF" w:rsidRPr="00AE7E43">
        <w:rPr>
          <w:rFonts w:ascii="Arial" w:hAnsi="Arial" w:cs="Arial"/>
          <w:sz w:val="24"/>
          <w:szCs w:val="24"/>
        </w:rPr>
        <w:t xml:space="preserve"> between the parties.</w:t>
      </w:r>
      <w:r w:rsidR="00B14937" w:rsidRPr="00AE7E43">
        <w:rPr>
          <w:rFonts w:ascii="Arial" w:hAnsi="Arial" w:cs="Arial"/>
          <w:sz w:val="24"/>
          <w:szCs w:val="24"/>
        </w:rPr>
        <w:t xml:space="preserve"> As explained by Madlanga J: “</w:t>
      </w:r>
      <w:r w:rsidR="00B14937" w:rsidRPr="00AE7E43">
        <w:rPr>
          <w:rFonts w:ascii="Arial" w:hAnsi="Arial" w:cs="Arial"/>
          <w:sz w:val="20"/>
          <w:szCs w:val="20"/>
        </w:rPr>
        <w:t xml:space="preserve">the </w:t>
      </w:r>
      <w:r w:rsidR="00B14937" w:rsidRPr="00AE7E43">
        <w:rPr>
          <w:rFonts w:ascii="Arial" w:hAnsi="Arial" w:cs="Arial"/>
          <w:i/>
          <w:sz w:val="20"/>
          <w:szCs w:val="20"/>
        </w:rPr>
        <w:t>lis</w:t>
      </w:r>
      <w:r w:rsidR="00B14937" w:rsidRPr="00AE7E43">
        <w:rPr>
          <w:rFonts w:ascii="Arial" w:hAnsi="Arial" w:cs="Arial"/>
          <w:sz w:val="20"/>
          <w:szCs w:val="20"/>
        </w:rPr>
        <w:t xml:space="preserve"> becomes </w:t>
      </w:r>
      <w:r w:rsidR="00B14937" w:rsidRPr="00AE7E43">
        <w:rPr>
          <w:rFonts w:ascii="Arial" w:hAnsi="Arial" w:cs="Arial"/>
          <w:i/>
          <w:sz w:val="20"/>
          <w:szCs w:val="20"/>
        </w:rPr>
        <w:t>res judicata</w:t>
      </w:r>
      <w:r w:rsidR="00B14937" w:rsidRPr="00AE7E43">
        <w:rPr>
          <w:rFonts w:ascii="Arial" w:hAnsi="Arial" w:cs="Arial"/>
          <w:sz w:val="20"/>
          <w:szCs w:val="20"/>
        </w:rPr>
        <w:t xml:space="preserve"> (literally, ‘a matter is judged’.)”</w:t>
      </w:r>
      <w:r w:rsidR="001E00AF" w:rsidRPr="00AE7E43">
        <w:rPr>
          <w:rStyle w:val="FootnoteReference"/>
          <w:rFonts w:ascii="Arial" w:hAnsi="Arial" w:cs="Arial"/>
          <w:sz w:val="24"/>
          <w:szCs w:val="24"/>
        </w:rPr>
        <w:footnoteReference w:id="25"/>
      </w:r>
    </w:p>
    <w:p w14:paraId="6E725504" w14:textId="77777777" w:rsidR="00754465" w:rsidRPr="00AE7E43" w:rsidRDefault="00754465" w:rsidP="001E4D6E">
      <w:pPr>
        <w:spacing w:after="0" w:line="360" w:lineRule="auto"/>
        <w:ind w:left="993" w:hanging="993"/>
        <w:jc w:val="both"/>
        <w:rPr>
          <w:rFonts w:ascii="Arial" w:hAnsi="Arial" w:cs="Arial"/>
          <w:sz w:val="24"/>
          <w:szCs w:val="24"/>
        </w:rPr>
      </w:pPr>
    </w:p>
    <w:p w14:paraId="33345FAF" w14:textId="77777777" w:rsidR="001E00AF"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t>[2</w:t>
      </w:r>
      <w:r w:rsidR="00AE7E43">
        <w:rPr>
          <w:rFonts w:ascii="Arial" w:hAnsi="Arial" w:cs="Arial"/>
          <w:sz w:val="24"/>
          <w:szCs w:val="24"/>
        </w:rPr>
        <w:t>8</w:t>
      </w:r>
      <w:r w:rsidR="001E00AF" w:rsidRPr="00AE7E43">
        <w:rPr>
          <w:rFonts w:ascii="Arial" w:hAnsi="Arial" w:cs="Arial"/>
          <w:sz w:val="24"/>
          <w:szCs w:val="24"/>
        </w:rPr>
        <w:t>]</w:t>
      </w:r>
      <w:r w:rsidR="001E00AF" w:rsidRPr="00AE7E43">
        <w:rPr>
          <w:rFonts w:ascii="Arial" w:hAnsi="Arial" w:cs="Arial"/>
          <w:sz w:val="24"/>
          <w:szCs w:val="24"/>
        </w:rPr>
        <w:tab/>
      </w:r>
      <w:r w:rsidR="00B14937" w:rsidRPr="00AE7E43">
        <w:rPr>
          <w:rFonts w:ascii="Arial" w:hAnsi="Arial" w:cs="Arial"/>
          <w:sz w:val="24"/>
          <w:szCs w:val="24"/>
        </w:rPr>
        <w:t xml:space="preserve">In </w:t>
      </w:r>
      <w:r w:rsidR="00B14937" w:rsidRPr="00AE7E43">
        <w:rPr>
          <w:rFonts w:ascii="Arial" w:hAnsi="Arial" w:cs="Arial"/>
          <w:i/>
          <w:iCs/>
          <w:sz w:val="24"/>
          <w:szCs w:val="24"/>
          <w:lang w:val="en-GB"/>
        </w:rPr>
        <w:t>Ratlou v Man Financial Services</w:t>
      </w:r>
      <w:r w:rsidR="00B14937" w:rsidRPr="00AE7E43">
        <w:rPr>
          <w:rFonts w:ascii="Arial" w:hAnsi="Arial" w:cs="Arial"/>
          <w:lang w:val="en-GB"/>
        </w:rPr>
        <w:t xml:space="preserve"> </w:t>
      </w:r>
      <w:r w:rsidR="00B14937" w:rsidRPr="00AE7E43">
        <w:rPr>
          <w:rFonts w:ascii="Arial" w:hAnsi="Arial" w:cs="Arial"/>
          <w:sz w:val="24"/>
          <w:szCs w:val="24"/>
        </w:rPr>
        <w:t>the Supreme Court of Appeal</w:t>
      </w:r>
      <w:r w:rsidR="001E00AF" w:rsidRPr="00AE7E43">
        <w:rPr>
          <w:rFonts w:ascii="Arial" w:hAnsi="Arial" w:cs="Arial"/>
          <w:sz w:val="24"/>
          <w:szCs w:val="24"/>
        </w:rPr>
        <w:t xml:space="preserve"> recently dealt with the possible applicability of the </w:t>
      </w:r>
      <w:r w:rsidR="00B14937" w:rsidRPr="00AE7E43">
        <w:rPr>
          <w:rFonts w:ascii="Arial" w:hAnsi="Arial" w:cs="Arial"/>
          <w:sz w:val="24"/>
          <w:szCs w:val="24"/>
        </w:rPr>
        <w:t xml:space="preserve">NCA to settlement agreements. </w:t>
      </w:r>
      <w:r w:rsidR="001E00AF" w:rsidRPr="00AE7E43">
        <w:rPr>
          <w:rFonts w:ascii="Arial" w:hAnsi="Arial" w:cs="Arial"/>
          <w:sz w:val="24"/>
          <w:szCs w:val="24"/>
        </w:rPr>
        <w:t xml:space="preserve"> I quote:</w:t>
      </w:r>
      <w:r w:rsidR="001E00AF" w:rsidRPr="00AE7E43">
        <w:rPr>
          <w:rStyle w:val="FootnoteReference"/>
          <w:rFonts w:ascii="Arial" w:hAnsi="Arial" w:cs="Arial"/>
          <w:sz w:val="24"/>
          <w:szCs w:val="24"/>
        </w:rPr>
        <w:footnoteReference w:id="26"/>
      </w:r>
      <w:r w:rsidR="001E00AF" w:rsidRPr="00AE7E43">
        <w:rPr>
          <w:rFonts w:ascii="Arial" w:hAnsi="Arial" w:cs="Arial"/>
          <w:sz w:val="24"/>
          <w:szCs w:val="24"/>
        </w:rPr>
        <w:t xml:space="preserve">  </w:t>
      </w:r>
    </w:p>
    <w:p w14:paraId="7B477F55" w14:textId="77777777" w:rsidR="001E00AF" w:rsidRPr="00AE7E43" w:rsidRDefault="001E00AF" w:rsidP="001E4D6E">
      <w:pPr>
        <w:pStyle w:val="NormalWeb"/>
        <w:spacing w:before="0" w:beforeAutospacing="0" w:after="0" w:afterAutospacing="0" w:line="360" w:lineRule="auto"/>
        <w:ind w:left="1701" w:hanging="708"/>
        <w:jc w:val="both"/>
        <w:rPr>
          <w:rFonts w:ascii="Arial" w:hAnsi="Arial" w:cs="Arial"/>
          <w:sz w:val="20"/>
          <w:szCs w:val="20"/>
        </w:rPr>
      </w:pPr>
      <w:r w:rsidRPr="00AE7E43">
        <w:rPr>
          <w:rFonts w:ascii="Arial" w:hAnsi="Arial" w:cs="Arial"/>
          <w:sz w:val="20"/>
          <w:szCs w:val="20"/>
        </w:rPr>
        <w:t xml:space="preserve">“[21] </w:t>
      </w:r>
      <w:r w:rsidR="00B6002A" w:rsidRPr="00AE7E43">
        <w:rPr>
          <w:rFonts w:ascii="Arial" w:hAnsi="Arial" w:cs="Arial"/>
          <w:sz w:val="20"/>
          <w:szCs w:val="20"/>
        </w:rPr>
        <w:tab/>
      </w:r>
      <w:r w:rsidRPr="00AE7E43">
        <w:rPr>
          <w:rFonts w:ascii="Arial" w:hAnsi="Arial" w:cs="Arial"/>
          <w:sz w:val="20"/>
          <w:szCs w:val="20"/>
        </w:rPr>
        <w:t>A purposive interpretation and not a literal interpretation of s 8(4)</w:t>
      </w:r>
      <w:r w:rsidRPr="00AE7E43">
        <w:rPr>
          <w:rFonts w:ascii="Arial" w:hAnsi="Arial" w:cs="Arial"/>
          <w:i/>
          <w:iCs/>
          <w:sz w:val="20"/>
          <w:szCs w:val="20"/>
        </w:rPr>
        <w:t>(f)</w:t>
      </w:r>
      <w:r w:rsidRPr="00AE7E43">
        <w:rPr>
          <w:rFonts w:ascii="Arial" w:hAnsi="Arial" w:cs="Arial"/>
          <w:sz w:val="20"/>
          <w:szCs w:val="20"/>
        </w:rPr>
        <w:t xml:space="preserve"> of the NCA is required because it is quite clear that the NCA was not aimed at settlement agreements. Its application to them will have </w:t>
      </w:r>
      <w:r w:rsidR="00B14937" w:rsidRPr="00AE7E43">
        <w:rPr>
          <w:rFonts w:ascii="Arial" w:hAnsi="Arial" w:cs="Arial"/>
          <w:sz w:val="20"/>
          <w:szCs w:val="20"/>
        </w:rPr>
        <w:t xml:space="preserve">a </w:t>
      </w:r>
      <w:r w:rsidRPr="00AE7E43">
        <w:rPr>
          <w:rFonts w:ascii="Arial" w:hAnsi="Arial" w:cs="Arial"/>
          <w:sz w:val="20"/>
          <w:szCs w:val="20"/>
        </w:rPr>
        <w:t xml:space="preserve">devastating effect on the efficacy and </w:t>
      </w:r>
      <w:r w:rsidRPr="00AE7E43">
        <w:rPr>
          <w:rFonts w:ascii="Arial" w:hAnsi="Arial" w:cs="Arial"/>
          <w:sz w:val="20"/>
          <w:szCs w:val="20"/>
        </w:rPr>
        <w:lastRenderedPageBreak/>
        <w:t xml:space="preserve">the willingness of parties to conclude settlement agreements and thereby curtail litigation.”  </w:t>
      </w:r>
    </w:p>
    <w:p w14:paraId="00ECDA04" w14:textId="77777777" w:rsidR="001E00AF" w:rsidRPr="00AE7E43" w:rsidRDefault="001E00AF" w:rsidP="001E4D6E">
      <w:pPr>
        <w:pStyle w:val="NormalWeb"/>
        <w:spacing w:before="0" w:beforeAutospacing="0" w:after="0" w:afterAutospacing="0" w:line="360" w:lineRule="auto"/>
        <w:ind w:left="993" w:hanging="993"/>
        <w:jc w:val="both"/>
        <w:rPr>
          <w:rFonts w:ascii="Arial" w:hAnsi="Arial" w:cs="Arial"/>
          <w:sz w:val="20"/>
          <w:szCs w:val="20"/>
        </w:rPr>
      </w:pPr>
    </w:p>
    <w:p w14:paraId="197481EE" w14:textId="77777777" w:rsidR="001E00AF" w:rsidRPr="00AE7E43" w:rsidRDefault="00E04DD9" w:rsidP="001E4D6E">
      <w:pPr>
        <w:pStyle w:val="NormalWeb"/>
        <w:spacing w:before="0" w:beforeAutospacing="0" w:after="0" w:afterAutospacing="0" w:line="360" w:lineRule="auto"/>
        <w:ind w:left="993"/>
        <w:jc w:val="both"/>
        <w:rPr>
          <w:rFonts w:ascii="Arial" w:hAnsi="Arial" w:cs="Arial"/>
        </w:rPr>
      </w:pPr>
      <w:r w:rsidRPr="00AE7E43">
        <w:rPr>
          <w:rFonts w:ascii="Arial" w:hAnsi="Arial" w:cs="Arial"/>
        </w:rPr>
        <w:t xml:space="preserve">In </w:t>
      </w:r>
      <w:r w:rsidRPr="00AE7E43">
        <w:rPr>
          <w:rFonts w:ascii="Arial" w:hAnsi="Arial" w:cs="Arial"/>
          <w:i/>
        </w:rPr>
        <w:t>Ratlou</w:t>
      </w:r>
      <w:r w:rsidRPr="00AE7E43">
        <w:rPr>
          <w:rFonts w:ascii="Arial" w:hAnsi="Arial" w:cs="Arial"/>
        </w:rPr>
        <w:t xml:space="preserve"> the debtor defaulted in respect of </w:t>
      </w:r>
      <w:r w:rsidR="009F0AB6" w:rsidRPr="00AE7E43">
        <w:rPr>
          <w:rFonts w:ascii="Arial" w:hAnsi="Arial" w:cs="Arial"/>
        </w:rPr>
        <w:t>certain lease agreements</w:t>
      </w:r>
      <w:r w:rsidRPr="00AE7E43">
        <w:rPr>
          <w:rFonts w:ascii="Arial" w:hAnsi="Arial" w:cs="Arial"/>
        </w:rPr>
        <w:t xml:space="preserve"> entered into in respect of trucks and trailers whereupon the goods were repossessed and sold.  Thereafter the debtor</w:t>
      </w:r>
      <w:r w:rsidR="009F0AB6" w:rsidRPr="00AE7E43">
        <w:rPr>
          <w:rFonts w:ascii="Arial" w:hAnsi="Arial" w:cs="Arial"/>
        </w:rPr>
        <w:t xml:space="preserve"> and the surety</w:t>
      </w:r>
      <w:r w:rsidRPr="00AE7E43">
        <w:rPr>
          <w:rFonts w:ascii="Arial" w:hAnsi="Arial" w:cs="Arial"/>
        </w:rPr>
        <w:t xml:space="preserve"> entered into a settlement agreement – an acknowledgement of debt - with the credit provider in respect of the shortfall.  </w:t>
      </w:r>
      <w:r w:rsidR="009F0AB6" w:rsidRPr="00AE7E43">
        <w:rPr>
          <w:rFonts w:ascii="Arial" w:hAnsi="Arial" w:cs="Arial"/>
        </w:rPr>
        <w:t xml:space="preserve">The NCA did not apply to the underlying agreements – these being large transactions </w:t>
      </w:r>
      <w:r w:rsidR="00E500E8" w:rsidRPr="00AE7E43">
        <w:rPr>
          <w:rFonts w:ascii="Arial" w:hAnsi="Arial" w:cs="Arial"/>
        </w:rPr>
        <w:t xml:space="preserve">- </w:t>
      </w:r>
      <w:r w:rsidR="009F0AB6" w:rsidRPr="00AE7E43">
        <w:rPr>
          <w:rFonts w:ascii="Arial" w:hAnsi="Arial" w:cs="Arial"/>
        </w:rPr>
        <w:t xml:space="preserve">and </w:t>
      </w:r>
      <w:r w:rsidR="00E500E8" w:rsidRPr="00AE7E43">
        <w:rPr>
          <w:rFonts w:ascii="Arial" w:hAnsi="Arial" w:cs="Arial"/>
        </w:rPr>
        <w:t xml:space="preserve">consequently </w:t>
      </w:r>
      <w:r w:rsidR="009F0AB6" w:rsidRPr="00AE7E43">
        <w:rPr>
          <w:rFonts w:ascii="Arial" w:hAnsi="Arial" w:cs="Arial"/>
        </w:rPr>
        <w:t>also not to the suretyship.</w:t>
      </w:r>
      <w:r w:rsidR="009F0AB6" w:rsidRPr="00AE7E43">
        <w:rPr>
          <w:rStyle w:val="FootnoteReference"/>
          <w:rFonts w:ascii="Arial" w:hAnsi="Arial" w:cs="Arial"/>
        </w:rPr>
        <w:footnoteReference w:id="27"/>
      </w:r>
      <w:r w:rsidR="009F0AB6" w:rsidRPr="00AE7E43">
        <w:rPr>
          <w:rFonts w:ascii="Arial" w:hAnsi="Arial" w:cs="Arial"/>
        </w:rPr>
        <w:t xml:space="preserve">  </w:t>
      </w:r>
      <w:r w:rsidR="00B14937" w:rsidRPr="00AE7E43">
        <w:rPr>
          <w:rFonts w:ascii="Arial" w:hAnsi="Arial" w:cs="Arial"/>
        </w:rPr>
        <w:t>The court held that the l</w:t>
      </w:r>
      <w:r w:rsidR="001E00AF" w:rsidRPr="00AE7E43">
        <w:rPr>
          <w:rFonts w:ascii="Arial" w:hAnsi="Arial" w:cs="Arial"/>
        </w:rPr>
        <w:t>egislature never had the in</w:t>
      </w:r>
      <w:r w:rsidRPr="00AE7E43">
        <w:rPr>
          <w:rFonts w:ascii="Arial" w:hAnsi="Arial" w:cs="Arial"/>
        </w:rPr>
        <w:t xml:space="preserve">tention to apply the NCA to </w:t>
      </w:r>
      <w:r w:rsidR="009F0AB6" w:rsidRPr="00AE7E43">
        <w:rPr>
          <w:rFonts w:ascii="Arial" w:hAnsi="Arial" w:cs="Arial"/>
        </w:rPr>
        <w:t xml:space="preserve">all </w:t>
      </w:r>
      <w:r w:rsidR="001E00AF" w:rsidRPr="00AE7E43">
        <w:rPr>
          <w:rFonts w:ascii="Arial" w:hAnsi="Arial" w:cs="Arial"/>
        </w:rPr>
        <w:t>settlement a</w:t>
      </w:r>
      <w:r w:rsidRPr="00AE7E43">
        <w:rPr>
          <w:rFonts w:ascii="Arial" w:hAnsi="Arial" w:cs="Arial"/>
        </w:rPr>
        <w:t>greements in terms which accord</w:t>
      </w:r>
      <w:r w:rsidR="001E00AF" w:rsidRPr="00AE7E43">
        <w:rPr>
          <w:rFonts w:ascii="Arial" w:hAnsi="Arial" w:cs="Arial"/>
        </w:rPr>
        <w:t xml:space="preserve"> with </w:t>
      </w:r>
      <w:r w:rsidRPr="00AE7E43">
        <w:rPr>
          <w:rFonts w:ascii="Arial" w:hAnsi="Arial" w:cs="Arial"/>
        </w:rPr>
        <w:t xml:space="preserve">the </w:t>
      </w:r>
      <w:r w:rsidR="001E00AF" w:rsidRPr="00AE7E43">
        <w:rPr>
          <w:rFonts w:ascii="Arial" w:hAnsi="Arial" w:cs="Arial"/>
        </w:rPr>
        <w:t>determination of credit transactions.</w:t>
      </w:r>
      <w:r w:rsidR="001E00AF" w:rsidRPr="00AE7E43">
        <w:rPr>
          <w:rStyle w:val="FootnoteReference"/>
          <w:rFonts w:ascii="Arial" w:hAnsi="Arial" w:cs="Arial"/>
        </w:rPr>
        <w:footnoteReference w:id="28"/>
      </w:r>
    </w:p>
    <w:p w14:paraId="25A93CF6" w14:textId="77777777" w:rsidR="001E00AF" w:rsidRPr="00AE7E43" w:rsidRDefault="001E00AF" w:rsidP="001E4D6E">
      <w:pPr>
        <w:spacing w:after="0" w:line="360" w:lineRule="auto"/>
        <w:ind w:left="993" w:hanging="993"/>
        <w:jc w:val="both"/>
        <w:rPr>
          <w:rFonts w:ascii="Arial" w:hAnsi="Arial" w:cs="Arial"/>
          <w:sz w:val="24"/>
          <w:szCs w:val="24"/>
        </w:rPr>
      </w:pPr>
    </w:p>
    <w:p w14:paraId="689482DE" w14:textId="14CFDEAB" w:rsidR="005F68DB" w:rsidRPr="00AE7E43" w:rsidRDefault="00C77BD9" w:rsidP="001E4D6E">
      <w:pPr>
        <w:spacing w:after="0" w:line="360" w:lineRule="auto"/>
        <w:ind w:left="993" w:hanging="993"/>
        <w:jc w:val="both"/>
        <w:rPr>
          <w:rStyle w:val="field-content"/>
          <w:rFonts w:ascii="Arial" w:hAnsi="Arial" w:cs="Arial"/>
          <w:sz w:val="24"/>
          <w:szCs w:val="24"/>
        </w:rPr>
      </w:pPr>
      <w:r w:rsidRPr="00AE7E43">
        <w:rPr>
          <w:rStyle w:val="field-content"/>
          <w:rFonts w:ascii="Arial" w:hAnsi="Arial" w:cs="Arial"/>
          <w:sz w:val="24"/>
          <w:szCs w:val="24"/>
        </w:rPr>
        <w:t>[</w:t>
      </w:r>
      <w:r w:rsidR="00AE7E43">
        <w:rPr>
          <w:rStyle w:val="field-content"/>
          <w:rFonts w:ascii="Arial" w:hAnsi="Arial" w:cs="Arial"/>
          <w:sz w:val="24"/>
          <w:szCs w:val="24"/>
        </w:rPr>
        <w:t>29</w:t>
      </w:r>
      <w:r w:rsidR="006D393C" w:rsidRPr="00AE7E43">
        <w:rPr>
          <w:rStyle w:val="field-content"/>
          <w:rFonts w:ascii="Arial" w:hAnsi="Arial" w:cs="Arial"/>
          <w:sz w:val="24"/>
          <w:szCs w:val="24"/>
        </w:rPr>
        <w:t>]</w:t>
      </w:r>
      <w:r w:rsidR="006D393C" w:rsidRPr="00AE7E43">
        <w:rPr>
          <w:rStyle w:val="field-content"/>
          <w:rFonts w:ascii="Arial" w:hAnsi="Arial" w:cs="Arial"/>
          <w:sz w:val="24"/>
          <w:szCs w:val="24"/>
        </w:rPr>
        <w:tab/>
      </w:r>
      <w:r w:rsidR="005F68DB" w:rsidRPr="00AE7E43">
        <w:rPr>
          <w:rStyle w:val="field-content"/>
          <w:rFonts w:ascii="Arial" w:hAnsi="Arial" w:cs="Arial"/>
          <w:sz w:val="24"/>
          <w:szCs w:val="24"/>
        </w:rPr>
        <w:t xml:space="preserve">Mr Zietsman, although conceding factual differences, requested the court to deal with the matter </w:t>
      </w:r>
      <w:r w:rsidR="005F68DB" w:rsidRPr="00AE7E43">
        <w:rPr>
          <w:rStyle w:val="field-content"/>
          <w:rFonts w:ascii="Arial" w:hAnsi="Arial" w:cs="Arial"/>
          <w:i/>
          <w:sz w:val="24"/>
          <w:szCs w:val="24"/>
        </w:rPr>
        <w:t>in casu</w:t>
      </w:r>
      <w:r w:rsidR="005F68DB" w:rsidRPr="00AE7E43">
        <w:rPr>
          <w:rStyle w:val="field-content"/>
          <w:rFonts w:ascii="Arial" w:hAnsi="Arial" w:cs="Arial"/>
          <w:sz w:val="24"/>
          <w:szCs w:val="24"/>
        </w:rPr>
        <w:t xml:space="preserve"> in the same manner as was done by the Supreme Court of Appeal in </w:t>
      </w:r>
      <w:r w:rsidR="005F68DB" w:rsidRPr="00AE7E43">
        <w:rPr>
          <w:rStyle w:val="field-content"/>
          <w:rFonts w:ascii="Arial" w:hAnsi="Arial" w:cs="Arial"/>
          <w:i/>
          <w:sz w:val="24"/>
          <w:szCs w:val="24"/>
        </w:rPr>
        <w:t xml:space="preserve">Ratlou.  </w:t>
      </w:r>
      <w:r w:rsidR="005F68DB" w:rsidRPr="00AE7E43">
        <w:rPr>
          <w:rStyle w:val="field-content"/>
          <w:rFonts w:ascii="Arial" w:hAnsi="Arial" w:cs="Arial"/>
          <w:sz w:val="24"/>
          <w:szCs w:val="24"/>
        </w:rPr>
        <w:t xml:space="preserve">In </w:t>
      </w:r>
      <w:r w:rsidR="005F68DB" w:rsidRPr="00AE7E43">
        <w:rPr>
          <w:rStyle w:val="field-content"/>
          <w:rFonts w:ascii="Arial" w:hAnsi="Arial" w:cs="Arial"/>
          <w:i/>
          <w:sz w:val="24"/>
          <w:szCs w:val="24"/>
        </w:rPr>
        <w:t>Ratlou</w:t>
      </w:r>
      <w:r w:rsidR="005F68DB" w:rsidRPr="00AE7E43">
        <w:rPr>
          <w:rStyle w:val="field-content"/>
          <w:rFonts w:ascii="Arial" w:hAnsi="Arial" w:cs="Arial"/>
          <w:sz w:val="24"/>
          <w:szCs w:val="24"/>
        </w:rPr>
        <w:t xml:space="preserve"> the NCA did not apply to the original credit agreements and consequently, the court held that both the princip</w:t>
      </w:r>
      <w:r w:rsidR="006112D2" w:rsidRPr="00AE7E43">
        <w:rPr>
          <w:rStyle w:val="field-content"/>
          <w:rFonts w:ascii="Arial" w:hAnsi="Arial" w:cs="Arial"/>
          <w:sz w:val="24"/>
          <w:szCs w:val="24"/>
        </w:rPr>
        <w:t>al debtor and the surety,</w:t>
      </w:r>
      <w:r w:rsidR="005F68DB" w:rsidRPr="00AE7E43">
        <w:rPr>
          <w:rStyle w:val="field-content"/>
          <w:rFonts w:ascii="Arial" w:hAnsi="Arial" w:cs="Arial"/>
          <w:sz w:val="24"/>
          <w:szCs w:val="24"/>
        </w:rPr>
        <w:t xml:space="preserve"> </w:t>
      </w:r>
      <w:r w:rsidR="006112D2" w:rsidRPr="00AE7E43">
        <w:rPr>
          <w:rStyle w:val="field-content"/>
          <w:rFonts w:ascii="Arial" w:hAnsi="Arial" w:cs="Arial"/>
          <w:sz w:val="24"/>
          <w:szCs w:val="24"/>
        </w:rPr>
        <w:t xml:space="preserve">a </w:t>
      </w:r>
      <w:r w:rsidR="005F68DB" w:rsidRPr="00AE7E43">
        <w:rPr>
          <w:rStyle w:val="field-content"/>
          <w:rFonts w:ascii="Arial" w:hAnsi="Arial" w:cs="Arial"/>
          <w:sz w:val="24"/>
          <w:szCs w:val="24"/>
        </w:rPr>
        <w:t xml:space="preserve">natural </w:t>
      </w:r>
      <w:r w:rsidR="006112D2" w:rsidRPr="00AE7E43">
        <w:rPr>
          <w:rStyle w:val="field-content"/>
          <w:rFonts w:ascii="Arial" w:hAnsi="Arial" w:cs="Arial"/>
          <w:sz w:val="24"/>
          <w:szCs w:val="24"/>
        </w:rPr>
        <w:t>person,</w:t>
      </w:r>
      <w:r w:rsidR="005F68DB" w:rsidRPr="00AE7E43">
        <w:rPr>
          <w:rStyle w:val="field-content"/>
          <w:rFonts w:ascii="Arial" w:hAnsi="Arial" w:cs="Arial"/>
          <w:sz w:val="24"/>
          <w:szCs w:val="24"/>
        </w:rPr>
        <w:t xml:space="preserve"> were bound by the terms of the settlement agreement.  </w:t>
      </w:r>
      <w:r w:rsidR="006112D2" w:rsidRPr="00AE7E43">
        <w:rPr>
          <w:rStyle w:val="field-content"/>
          <w:rFonts w:ascii="Arial" w:hAnsi="Arial" w:cs="Arial"/>
          <w:sz w:val="24"/>
          <w:szCs w:val="24"/>
        </w:rPr>
        <w:t>Reliance was placed on ss 8(4)(f)</w:t>
      </w:r>
      <w:r w:rsidR="00742B08" w:rsidRPr="00AE7E43">
        <w:rPr>
          <w:rStyle w:val="field-content"/>
          <w:rFonts w:ascii="Arial" w:hAnsi="Arial" w:cs="Arial"/>
          <w:sz w:val="24"/>
          <w:szCs w:val="24"/>
        </w:rPr>
        <w:t>.</w:t>
      </w:r>
      <w:r w:rsidR="006112D2" w:rsidRPr="00AE7E43">
        <w:rPr>
          <w:rStyle w:val="field-content"/>
          <w:rFonts w:ascii="Arial" w:hAnsi="Arial" w:cs="Arial"/>
          <w:sz w:val="24"/>
          <w:szCs w:val="24"/>
        </w:rPr>
        <w:t xml:space="preserve"> </w:t>
      </w:r>
      <w:r w:rsidR="006B44FC">
        <w:rPr>
          <w:rStyle w:val="field-content"/>
          <w:rFonts w:ascii="Arial" w:hAnsi="Arial" w:cs="Arial"/>
          <w:sz w:val="24"/>
          <w:szCs w:val="24"/>
        </w:rPr>
        <w:t>The 5</w:t>
      </w:r>
      <w:r w:rsidR="006B44FC" w:rsidRPr="006B44FC">
        <w:rPr>
          <w:rStyle w:val="field-content"/>
          <w:rFonts w:ascii="Arial" w:hAnsi="Arial" w:cs="Arial"/>
          <w:sz w:val="24"/>
          <w:szCs w:val="24"/>
          <w:vertAlign w:val="superscript"/>
        </w:rPr>
        <w:t>th</w:t>
      </w:r>
      <w:r w:rsidR="006B44FC">
        <w:rPr>
          <w:rStyle w:val="field-content"/>
          <w:rFonts w:ascii="Arial" w:hAnsi="Arial" w:cs="Arial"/>
          <w:sz w:val="24"/>
          <w:szCs w:val="24"/>
        </w:rPr>
        <w:t xml:space="preserve"> respondent is a surety for the Trust’s indebtedness in respect of the medium</w:t>
      </w:r>
      <w:r w:rsidR="004A5728">
        <w:rPr>
          <w:rStyle w:val="field-content"/>
          <w:rFonts w:ascii="Arial" w:hAnsi="Arial" w:cs="Arial"/>
          <w:sz w:val="24"/>
          <w:szCs w:val="24"/>
        </w:rPr>
        <w:t xml:space="preserve"> </w:t>
      </w:r>
      <w:r w:rsidR="006B44FC">
        <w:rPr>
          <w:rStyle w:val="field-content"/>
          <w:rFonts w:ascii="Arial" w:hAnsi="Arial" w:cs="Arial"/>
          <w:sz w:val="24"/>
          <w:szCs w:val="24"/>
        </w:rPr>
        <w:t xml:space="preserve">term loans and based on </w:t>
      </w:r>
      <w:r w:rsidR="006B44FC" w:rsidRPr="006B44FC">
        <w:rPr>
          <w:rStyle w:val="field-content"/>
          <w:rFonts w:ascii="Arial" w:hAnsi="Arial" w:cs="Arial"/>
          <w:i/>
          <w:sz w:val="24"/>
          <w:szCs w:val="24"/>
        </w:rPr>
        <w:t>Ratlou</w:t>
      </w:r>
      <w:r w:rsidR="006B44FC">
        <w:rPr>
          <w:rStyle w:val="field-content"/>
          <w:rFonts w:ascii="Arial" w:hAnsi="Arial" w:cs="Arial"/>
          <w:sz w:val="24"/>
          <w:szCs w:val="24"/>
        </w:rPr>
        <w:t xml:space="preserve"> he shall be bound in respect of these debts as agreed to in the settlement agreements.  T</w:t>
      </w:r>
      <w:r w:rsidR="006F28B5" w:rsidRPr="00AE7E43">
        <w:rPr>
          <w:rStyle w:val="field-content"/>
          <w:rFonts w:ascii="Arial" w:hAnsi="Arial" w:cs="Arial"/>
          <w:sz w:val="24"/>
          <w:szCs w:val="24"/>
        </w:rPr>
        <w:t>he current</w:t>
      </w:r>
      <w:r w:rsidR="005F68DB" w:rsidRPr="00AE7E43">
        <w:rPr>
          <w:rStyle w:val="field-content"/>
          <w:rFonts w:ascii="Arial" w:hAnsi="Arial" w:cs="Arial"/>
          <w:sz w:val="24"/>
          <w:szCs w:val="24"/>
        </w:rPr>
        <w:t xml:space="preserve"> </w:t>
      </w:r>
      <w:r w:rsidR="006F28B5" w:rsidRPr="00AE7E43">
        <w:rPr>
          <w:rStyle w:val="field-content"/>
          <w:rFonts w:ascii="Arial" w:hAnsi="Arial" w:cs="Arial"/>
          <w:sz w:val="24"/>
          <w:szCs w:val="24"/>
        </w:rPr>
        <w:t>agreement concluded by the 5</w:t>
      </w:r>
      <w:r w:rsidR="006F28B5" w:rsidRPr="00AE7E43">
        <w:rPr>
          <w:rStyle w:val="field-content"/>
          <w:rFonts w:ascii="Arial" w:hAnsi="Arial" w:cs="Arial"/>
          <w:sz w:val="24"/>
          <w:szCs w:val="24"/>
          <w:vertAlign w:val="superscript"/>
        </w:rPr>
        <w:t>th</w:t>
      </w:r>
      <w:r w:rsidR="005F68DB" w:rsidRPr="00AE7E43">
        <w:rPr>
          <w:rStyle w:val="field-content"/>
          <w:rFonts w:ascii="Arial" w:hAnsi="Arial" w:cs="Arial"/>
          <w:sz w:val="24"/>
          <w:szCs w:val="24"/>
        </w:rPr>
        <w:t xml:space="preserve"> respondent with the applicant, to wit account number 040743268, in respect of which an amount of </w:t>
      </w:r>
      <w:r w:rsidR="006F28B5" w:rsidRPr="00AE7E43">
        <w:rPr>
          <w:rStyle w:val="field-content"/>
          <w:rFonts w:ascii="Arial" w:hAnsi="Arial" w:cs="Arial"/>
          <w:sz w:val="24"/>
          <w:szCs w:val="24"/>
        </w:rPr>
        <w:t>over R8 million is claimed, falls</w:t>
      </w:r>
      <w:r w:rsidR="005F68DB" w:rsidRPr="00AE7E43">
        <w:rPr>
          <w:rStyle w:val="field-content"/>
          <w:rFonts w:ascii="Arial" w:hAnsi="Arial" w:cs="Arial"/>
          <w:sz w:val="24"/>
          <w:szCs w:val="24"/>
        </w:rPr>
        <w:t xml:space="preserve"> within the ambit of th</w:t>
      </w:r>
      <w:r w:rsidR="006B44FC">
        <w:rPr>
          <w:rStyle w:val="field-content"/>
          <w:rFonts w:ascii="Arial" w:hAnsi="Arial" w:cs="Arial"/>
          <w:sz w:val="24"/>
          <w:szCs w:val="24"/>
        </w:rPr>
        <w:t>e NCA.  This is common cause.  However, t</w:t>
      </w:r>
      <w:r w:rsidR="005F68DB" w:rsidRPr="00AE7E43">
        <w:rPr>
          <w:rStyle w:val="field-content"/>
          <w:rFonts w:ascii="Arial" w:hAnsi="Arial" w:cs="Arial"/>
          <w:sz w:val="24"/>
          <w:szCs w:val="24"/>
        </w:rPr>
        <w:t xml:space="preserve">he Trust </w:t>
      </w:r>
      <w:r w:rsidR="00565752">
        <w:rPr>
          <w:rStyle w:val="field-content"/>
          <w:rFonts w:ascii="Arial" w:hAnsi="Arial" w:cs="Arial"/>
          <w:sz w:val="24"/>
          <w:szCs w:val="24"/>
        </w:rPr>
        <w:t xml:space="preserve">as a juristic person </w:t>
      </w:r>
      <w:r w:rsidR="005F68DB" w:rsidRPr="00AE7E43">
        <w:rPr>
          <w:rStyle w:val="field-content"/>
          <w:rFonts w:ascii="Arial" w:hAnsi="Arial" w:cs="Arial"/>
          <w:sz w:val="24"/>
          <w:szCs w:val="24"/>
        </w:rPr>
        <w:t>is a surety for this claim in favour of the applicant.</w:t>
      </w:r>
    </w:p>
    <w:p w14:paraId="246D6A82" w14:textId="77777777" w:rsidR="005F68DB" w:rsidRPr="00AE7E43" w:rsidRDefault="005F68DB" w:rsidP="001E4D6E">
      <w:pPr>
        <w:spacing w:after="0" w:line="360" w:lineRule="auto"/>
        <w:ind w:left="993" w:hanging="993"/>
        <w:jc w:val="both"/>
        <w:rPr>
          <w:rFonts w:ascii="Arial" w:hAnsi="Arial" w:cs="Arial"/>
          <w:sz w:val="24"/>
          <w:szCs w:val="24"/>
        </w:rPr>
      </w:pPr>
    </w:p>
    <w:p w14:paraId="149BD5F2" w14:textId="77777777" w:rsidR="0063072E" w:rsidRPr="00AE7E43" w:rsidRDefault="00C77BD9" w:rsidP="001E4D6E">
      <w:pPr>
        <w:spacing w:after="0" w:line="360" w:lineRule="auto"/>
        <w:ind w:left="993" w:hanging="993"/>
        <w:jc w:val="both"/>
        <w:rPr>
          <w:rStyle w:val="field-content"/>
          <w:rFonts w:ascii="Arial" w:hAnsi="Arial" w:cs="Arial"/>
          <w:sz w:val="24"/>
          <w:szCs w:val="24"/>
        </w:rPr>
      </w:pPr>
      <w:r w:rsidRPr="00AE7E43">
        <w:rPr>
          <w:rFonts w:ascii="Arial" w:hAnsi="Arial" w:cs="Arial"/>
          <w:sz w:val="24"/>
          <w:szCs w:val="24"/>
        </w:rPr>
        <w:t>[3</w:t>
      </w:r>
      <w:r w:rsidR="00AE7E43">
        <w:rPr>
          <w:rFonts w:ascii="Arial" w:hAnsi="Arial" w:cs="Arial"/>
          <w:sz w:val="24"/>
          <w:szCs w:val="24"/>
        </w:rPr>
        <w:t>0</w:t>
      </w:r>
      <w:r w:rsidR="001E00AF" w:rsidRPr="00AE7E43">
        <w:rPr>
          <w:rFonts w:ascii="Arial" w:hAnsi="Arial" w:cs="Arial"/>
          <w:sz w:val="24"/>
          <w:szCs w:val="24"/>
        </w:rPr>
        <w:t>]</w:t>
      </w:r>
      <w:r w:rsidR="001E00AF" w:rsidRPr="00AE7E43">
        <w:rPr>
          <w:rFonts w:ascii="Arial" w:hAnsi="Arial" w:cs="Arial"/>
          <w:sz w:val="24"/>
          <w:szCs w:val="24"/>
        </w:rPr>
        <w:tab/>
      </w:r>
      <w:r w:rsidR="007B15FE" w:rsidRPr="00AE7E43">
        <w:rPr>
          <w:rFonts w:ascii="Arial" w:hAnsi="Arial" w:cs="Arial"/>
          <w:sz w:val="24"/>
          <w:szCs w:val="24"/>
        </w:rPr>
        <w:t>T</w:t>
      </w:r>
      <w:r w:rsidR="001E00AF" w:rsidRPr="00AE7E43">
        <w:rPr>
          <w:rFonts w:ascii="Arial" w:hAnsi="Arial" w:cs="Arial"/>
          <w:sz w:val="24"/>
          <w:szCs w:val="24"/>
        </w:rPr>
        <w:t>he respondents’ contention that the applicati</w:t>
      </w:r>
      <w:r w:rsidR="007B15FE" w:rsidRPr="00AE7E43">
        <w:rPr>
          <w:rFonts w:ascii="Arial" w:hAnsi="Arial" w:cs="Arial"/>
          <w:sz w:val="24"/>
          <w:szCs w:val="24"/>
        </w:rPr>
        <w:t xml:space="preserve">on should be dismissed due to </w:t>
      </w:r>
      <w:r w:rsidR="001E00AF" w:rsidRPr="00AE7E43">
        <w:rPr>
          <w:rFonts w:ascii="Arial" w:hAnsi="Arial" w:cs="Arial"/>
          <w:sz w:val="24"/>
          <w:szCs w:val="24"/>
        </w:rPr>
        <w:t>foreseen fa</w:t>
      </w:r>
      <w:r w:rsidR="007B15FE" w:rsidRPr="00AE7E43">
        <w:rPr>
          <w:rFonts w:ascii="Arial" w:hAnsi="Arial" w:cs="Arial"/>
          <w:sz w:val="24"/>
          <w:szCs w:val="24"/>
        </w:rPr>
        <w:t>ctual disputes does not hold water</w:t>
      </w:r>
      <w:r w:rsidR="001E00AF" w:rsidRPr="00AE7E43">
        <w:rPr>
          <w:rFonts w:ascii="Arial" w:hAnsi="Arial" w:cs="Arial"/>
          <w:sz w:val="24"/>
          <w:szCs w:val="24"/>
        </w:rPr>
        <w:t>.  We are dealing with two settlemen</w:t>
      </w:r>
      <w:r w:rsidR="007B15FE" w:rsidRPr="00AE7E43">
        <w:rPr>
          <w:rFonts w:ascii="Arial" w:hAnsi="Arial" w:cs="Arial"/>
          <w:sz w:val="24"/>
          <w:szCs w:val="24"/>
        </w:rPr>
        <w:t xml:space="preserve">t agreements which were made </w:t>
      </w:r>
      <w:r w:rsidR="001E00AF" w:rsidRPr="00AE7E43">
        <w:rPr>
          <w:rFonts w:ascii="Arial" w:hAnsi="Arial" w:cs="Arial"/>
          <w:sz w:val="24"/>
          <w:szCs w:val="24"/>
        </w:rPr>
        <w:t>order</w:t>
      </w:r>
      <w:r w:rsidR="007B15FE" w:rsidRPr="00AE7E43">
        <w:rPr>
          <w:rFonts w:ascii="Arial" w:hAnsi="Arial" w:cs="Arial"/>
          <w:sz w:val="24"/>
          <w:szCs w:val="24"/>
        </w:rPr>
        <w:t>s of court.  T</w:t>
      </w:r>
      <w:r w:rsidR="001E00AF" w:rsidRPr="00AE7E43">
        <w:rPr>
          <w:rFonts w:ascii="Arial" w:hAnsi="Arial" w:cs="Arial"/>
          <w:sz w:val="24"/>
          <w:szCs w:val="24"/>
        </w:rPr>
        <w:t>hese cou</w:t>
      </w:r>
      <w:r w:rsidR="007B15FE" w:rsidRPr="00AE7E43">
        <w:rPr>
          <w:rFonts w:ascii="Arial" w:hAnsi="Arial" w:cs="Arial"/>
          <w:sz w:val="24"/>
          <w:szCs w:val="24"/>
        </w:rPr>
        <w:t xml:space="preserve">rt orders are still </w:t>
      </w:r>
      <w:r w:rsidR="007B15FE" w:rsidRPr="00AE7E43">
        <w:rPr>
          <w:rFonts w:ascii="Arial" w:hAnsi="Arial" w:cs="Arial"/>
          <w:i/>
          <w:sz w:val="24"/>
          <w:szCs w:val="24"/>
        </w:rPr>
        <w:t>in esse</w:t>
      </w:r>
      <w:r w:rsidR="001E00AF" w:rsidRPr="00AE7E43">
        <w:rPr>
          <w:rFonts w:ascii="Arial" w:hAnsi="Arial" w:cs="Arial"/>
          <w:sz w:val="24"/>
          <w:szCs w:val="24"/>
        </w:rPr>
        <w:t>.  There are no factual disputes in this regard</w:t>
      </w:r>
      <w:r w:rsidR="007B15FE" w:rsidRPr="00AE7E43">
        <w:rPr>
          <w:rFonts w:ascii="Arial" w:hAnsi="Arial" w:cs="Arial"/>
          <w:sz w:val="24"/>
          <w:szCs w:val="24"/>
        </w:rPr>
        <w:t xml:space="preserve">.  </w:t>
      </w:r>
      <w:r w:rsidR="00565752">
        <w:rPr>
          <w:rFonts w:ascii="Arial" w:hAnsi="Arial" w:cs="Arial"/>
          <w:sz w:val="24"/>
          <w:szCs w:val="24"/>
        </w:rPr>
        <w:t>As the applicant relies</w:t>
      </w:r>
      <w:r w:rsidR="00102752" w:rsidRPr="00AE7E43">
        <w:rPr>
          <w:rFonts w:ascii="Arial" w:hAnsi="Arial" w:cs="Arial"/>
          <w:sz w:val="24"/>
          <w:szCs w:val="24"/>
        </w:rPr>
        <w:t xml:space="preserve"> on existing court orders</w:t>
      </w:r>
      <w:r w:rsidR="00565752">
        <w:rPr>
          <w:rFonts w:ascii="Arial" w:hAnsi="Arial" w:cs="Arial"/>
          <w:sz w:val="24"/>
          <w:szCs w:val="24"/>
        </w:rPr>
        <w:t>, incorporating settlement agreements, it is</w:t>
      </w:r>
      <w:r w:rsidR="00102752" w:rsidRPr="00AE7E43">
        <w:rPr>
          <w:rFonts w:ascii="Arial" w:hAnsi="Arial" w:cs="Arial"/>
          <w:sz w:val="24"/>
          <w:szCs w:val="24"/>
        </w:rPr>
        <w:t xml:space="preserve"> </w:t>
      </w:r>
      <w:r w:rsidR="00102752" w:rsidRPr="00AE7E43">
        <w:rPr>
          <w:rFonts w:ascii="Arial" w:hAnsi="Arial" w:cs="Arial"/>
          <w:sz w:val="24"/>
          <w:szCs w:val="24"/>
        </w:rPr>
        <w:lastRenderedPageBreak/>
        <w:t xml:space="preserve">entitled to relief unless these </w:t>
      </w:r>
      <w:r w:rsidR="00565752">
        <w:rPr>
          <w:rFonts w:ascii="Arial" w:hAnsi="Arial" w:cs="Arial"/>
          <w:sz w:val="24"/>
          <w:szCs w:val="24"/>
        </w:rPr>
        <w:t xml:space="preserve">orders as well as the settlements agreements </w:t>
      </w:r>
      <w:r w:rsidR="00102752" w:rsidRPr="00AE7E43">
        <w:rPr>
          <w:rFonts w:ascii="Arial" w:hAnsi="Arial" w:cs="Arial"/>
          <w:sz w:val="24"/>
          <w:szCs w:val="24"/>
        </w:rPr>
        <w:t xml:space="preserve">could be set aside based on the allegations in the counter-claim. </w:t>
      </w:r>
      <w:r w:rsidR="00E500E8" w:rsidRPr="00AE7E43">
        <w:rPr>
          <w:rFonts w:ascii="Arial" w:hAnsi="Arial" w:cs="Arial"/>
          <w:sz w:val="24"/>
          <w:szCs w:val="24"/>
        </w:rPr>
        <w:t xml:space="preserve">Wallis JA made it clear in </w:t>
      </w:r>
      <w:r w:rsidR="00E500E8" w:rsidRPr="00AE7E43">
        <w:rPr>
          <w:rFonts w:ascii="Arial" w:hAnsi="Arial" w:cs="Arial"/>
          <w:i/>
          <w:sz w:val="24"/>
          <w:szCs w:val="24"/>
        </w:rPr>
        <w:t>Moraitis supra</w:t>
      </w:r>
      <w:r w:rsidR="00E500E8" w:rsidRPr="00AE7E43">
        <w:rPr>
          <w:rFonts w:ascii="Arial" w:hAnsi="Arial" w:cs="Arial"/>
          <w:sz w:val="24"/>
          <w:szCs w:val="24"/>
        </w:rPr>
        <w:t xml:space="preserve"> that the starting point in disputes as </w:t>
      </w:r>
      <w:r w:rsidR="00E500E8" w:rsidRPr="00565752">
        <w:rPr>
          <w:rFonts w:ascii="Arial" w:hAnsi="Arial" w:cs="Arial"/>
          <w:i/>
          <w:sz w:val="24"/>
          <w:szCs w:val="24"/>
        </w:rPr>
        <w:t>in casu</w:t>
      </w:r>
      <w:r w:rsidR="00E500E8" w:rsidRPr="00AE7E43">
        <w:rPr>
          <w:rFonts w:ascii="Arial" w:hAnsi="Arial" w:cs="Arial"/>
          <w:sz w:val="24"/>
          <w:szCs w:val="24"/>
        </w:rPr>
        <w:t xml:space="preserve"> is </w:t>
      </w:r>
      <w:r w:rsidR="00102752" w:rsidRPr="00AE7E43">
        <w:rPr>
          <w:rFonts w:ascii="Arial" w:hAnsi="Arial" w:cs="Arial"/>
          <w:sz w:val="24"/>
          <w:szCs w:val="24"/>
        </w:rPr>
        <w:t>whether there are grounds to rescind</w:t>
      </w:r>
      <w:r w:rsidR="00E500E8" w:rsidRPr="00AE7E43">
        <w:rPr>
          <w:rFonts w:ascii="Arial" w:hAnsi="Arial" w:cs="Arial"/>
          <w:sz w:val="24"/>
          <w:szCs w:val="24"/>
        </w:rPr>
        <w:t xml:space="preserve"> the court order. </w:t>
      </w:r>
      <w:r w:rsidR="007B15FE" w:rsidRPr="00AE7E43">
        <w:rPr>
          <w:rFonts w:ascii="Arial" w:hAnsi="Arial" w:cs="Arial"/>
          <w:sz w:val="24"/>
          <w:szCs w:val="24"/>
        </w:rPr>
        <w:t>T</w:t>
      </w:r>
      <w:r w:rsidR="001E00AF" w:rsidRPr="00AE7E43">
        <w:rPr>
          <w:rFonts w:ascii="Arial" w:hAnsi="Arial" w:cs="Arial"/>
          <w:sz w:val="24"/>
          <w:szCs w:val="24"/>
        </w:rPr>
        <w:t xml:space="preserve">he issues raised by the respondents are based on questions of law </w:t>
      </w:r>
      <w:r w:rsidR="007B15FE" w:rsidRPr="00AE7E43">
        <w:rPr>
          <w:rFonts w:ascii="Arial" w:hAnsi="Arial" w:cs="Arial"/>
          <w:sz w:val="24"/>
          <w:szCs w:val="24"/>
        </w:rPr>
        <w:t>which can b</w:t>
      </w:r>
      <w:r w:rsidR="00754465" w:rsidRPr="00AE7E43">
        <w:rPr>
          <w:rFonts w:ascii="Arial" w:hAnsi="Arial" w:cs="Arial"/>
          <w:sz w:val="24"/>
          <w:szCs w:val="24"/>
        </w:rPr>
        <w:t>e adjudicated upon the papers and the f</w:t>
      </w:r>
      <w:r w:rsidR="007B15FE" w:rsidRPr="00AE7E43">
        <w:rPr>
          <w:rFonts w:ascii="Arial" w:hAnsi="Arial" w:cs="Arial"/>
          <w:sz w:val="24"/>
          <w:szCs w:val="24"/>
        </w:rPr>
        <w:t>actual disputes that have arisen involve the adjudication of the counter-application.</w:t>
      </w:r>
    </w:p>
    <w:p w14:paraId="396B5ACA" w14:textId="77777777" w:rsidR="003A7768" w:rsidRPr="00AE7E43" w:rsidRDefault="003A7768" w:rsidP="001E4D6E">
      <w:pPr>
        <w:spacing w:after="0" w:line="360" w:lineRule="auto"/>
        <w:ind w:left="993" w:hanging="993"/>
        <w:jc w:val="both"/>
        <w:rPr>
          <w:rStyle w:val="field-content"/>
          <w:rFonts w:ascii="Arial" w:hAnsi="Arial" w:cs="Arial"/>
          <w:sz w:val="24"/>
          <w:szCs w:val="24"/>
        </w:rPr>
      </w:pPr>
    </w:p>
    <w:p w14:paraId="6686C1DC" w14:textId="77777777" w:rsidR="0063072E" w:rsidRPr="00AE7E43" w:rsidRDefault="00C77BD9" w:rsidP="001E4D6E">
      <w:pPr>
        <w:spacing w:after="0" w:line="360" w:lineRule="auto"/>
        <w:ind w:left="993" w:hanging="993"/>
        <w:jc w:val="both"/>
        <w:rPr>
          <w:rStyle w:val="field-content"/>
          <w:rFonts w:ascii="Arial" w:hAnsi="Arial" w:cs="Arial"/>
          <w:sz w:val="24"/>
          <w:szCs w:val="24"/>
        </w:rPr>
      </w:pPr>
      <w:r w:rsidRPr="00AE7E43">
        <w:rPr>
          <w:rStyle w:val="field-content"/>
          <w:rFonts w:ascii="Arial" w:hAnsi="Arial" w:cs="Arial"/>
          <w:sz w:val="24"/>
          <w:szCs w:val="24"/>
        </w:rPr>
        <w:t>[3</w:t>
      </w:r>
      <w:r w:rsidR="00AE7E43">
        <w:rPr>
          <w:rStyle w:val="field-content"/>
          <w:rFonts w:ascii="Arial" w:hAnsi="Arial" w:cs="Arial"/>
          <w:sz w:val="24"/>
          <w:szCs w:val="24"/>
        </w:rPr>
        <w:t>1</w:t>
      </w:r>
      <w:r w:rsidR="0063072E" w:rsidRPr="00AE7E43">
        <w:rPr>
          <w:rStyle w:val="field-content"/>
          <w:rFonts w:ascii="Arial" w:hAnsi="Arial" w:cs="Arial"/>
          <w:sz w:val="24"/>
          <w:szCs w:val="24"/>
        </w:rPr>
        <w:t>]</w:t>
      </w:r>
      <w:r w:rsidR="0063072E" w:rsidRPr="00AE7E43">
        <w:rPr>
          <w:rStyle w:val="field-content"/>
          <w:rFonts w:ascii="Arial" w:hAnsi="Arial" w:cs="Arial"/>
          <w:sz w:val="24"/>
          <w:szCs w:val="24"/>
        </w:rPr>
        <w:tab/>
        <w:t xml:space="preserve">The defence of </w:t>
      </w:r>
      <w:r w:rsidR="0063072E" w:rsidRPr="00AE7E43">
        <w:rPr>
          <w:rStyle w:val="field-content"/>
          <w:rFonts w:ascii="Arial" w:hAnsi="Arial" w:cs="Arial"/>
          <w:bCs/>
          <w:i/>
          <w:iCs/>
          <w:sz w:val="24"/>
          <w:szCs w:val="24"/>
        </w:rPr>
        <w:t>functus officio</w:t>
      </w:r>
      <w:r w:rsidR="0063072E" w:rsidRPr="00AE7E43">
        <w:rPr>
          <w:rStyle w:val="field-content"/>
          <w:rFonts w:ascii="Arial" w:hAnsi="Arial" w:cs="Arial"/>
          <w:sz w:val="24"/>
          <w:szCs w:val="24"/>
        </w:rPr>
        <w:t xml:space="preserve"> can only relate to the second settlement agreement and the court order issued as a result.  It is the applicant’s case that the respondents failed to comply with that order.  It is important to note that the second settlement agreement specifically empowers the applicant to obtain judgment in the event of the respondents failing to comply with the agreement.  It reads:  </w:t>
      </w:r>
      <w:r w:rsidR="0063072E" w:rsidRPr="00AE7E43">
        <w:rPr>
          <w:rStyle w:val="field-content"/>
          <w:rFonts w:ascii="Arial" w:hAnsi="Arial" w:cs="Arial"/>
          <w:sz w:val="20"/>
          <w:szCs w:val="20"/>
        </w:rPr>
        <w:t>“The bank may proceed to obtain judgment against the debtors for the full outstanding balance as per paragraphs 4.1 to 4.14 above”.</w:t>
      </w:r>
      <w:r w:rsidR="0063072E" w:rsidRPr="00AE7E43">
        <w:rPr>
          <w:rStyle w:val="FootnoteReference"/>
          <w:rFonts w:ascii="Arial" w:hAnsi="Arial" w:cs="Arial"/>
          <w:sz w:val="20"/>
          <w:szCs w:val="20"/>
        </w:rPr>
        <w:footnoteReference w:id="29"/>
      </w:r>
      <w:r w:rsidR="0063072E" w:rsidRPr="00AE7E43">
        <w:rPr>
          <w:rStyle w:val="field-content"/>
          <w:rFonts w:ascii="Arial" w:hAnsi="Arial" w:cs="Arial"/>
          <w:sz w:val="24"/>
          <w:szCs w:val="24"/>
        </w:rPr>
        <w:t xml:space="preserve">  Bearing in mind the </w:t>
      </w:r>
      <w:r w:rsidR="0063072E" w:rsidRPr="00AE7E43">
        <w:rPr>
          <w:rStyle w:val="field-content"/>
          <w:rFonts w:ascii="Arial" w:hAnsi="Arial" w:cs="Arial"/>
          <w:i/>
          <w:sz w:val="24"/>
          <w:szCs w:val="24"/>
        </w:rPr>
        <w:t>dictum</w:t>
      </w:r>
      <w:r w:rsidR="0063072E" w:rsidRPr="00AE7E43">
        <w:rPr>
          <w:rStyle w:val="field-content"/>
          <w:rFonts w:ascii="Arial" w:hAnsi="Arial" w:cs="Arial"/>
          <w:sz w:val="24"/>
          <w:szCs w:val="24"/>
        </w:rPr>
        <w:t xml:space="preserve"> in </w:t>
      </w:r>
      <w:r w:rsidR="0063072E" w:rsidRPr="00AE7E43">
        <w:rPr>
          <w:rFonts w:ascii="Arial" w:hAnsi="Arial" w:cs="Arial"/>
          <w:i/>
          <w:iCs/>
          <w:sz w:val="24"/>
          <w:szCs w:val="24"/>
        </w:rPr>
        <w:t>Eke v Parsons</w:t>
      </w:r>
      <w:r w:rsidR="0063072E" w:rsidRPr="00AE7E43">
        <w:rPr>
          <w:rFonts w:ascii="Arial" w:hAnsi="Arial" w:cs="Arial"/>
          <w:sz w:val="24"/>
          <w:szCs w:val="24"/>
        </w:rPr>
        <w:t xml:space="preserve"> which I quoted above, there is just no basis for an argument that the court that granted the second order became </w:t>
      </w:r>
      <w:r w:rsidR="0063072E" w:rsidRPr="00AE7E43">
        <w:rPr>
          <w:rStyle w:val="field-content"/>
          <w:rFonts w:ascii="Arial" w:hAnsi="Arial" w:cs="Arial"/>
          <w:i/>
          <w:iCs/>
          <w:sz w:val="24"/>
          <w:szCs w:val="24"/>
        </w:rPr>
        <w:t xml:space="preserve">functus officio, </w:t>
      </w:r>
      <w:r w:rsidR="0063072E" w:rsidRPr="00AE7E43">
        <w:rPr>
          <w:rStyle w:val="field-content"/>
          <w:rFonts w:ascii="Arial" w:hAnsi="Arial" w:cs="Arial"/>
          <w:sz w:val="24"/>
          <w:szCs w:val="24"/>
        </w:rPr>
        <w:t>preventing this court from dealing with the present application.</w:t>
      </w:r>
      <w:r w:rsidR="00C50608" w:rsidRPr="00AE7E43">
        <w:rPr>
          <w:rStyle w:val="field-content"/>
          <w:rFonts w:ascii="Arial" w:hAnsi="Arial" w:cs="Arial"/>
          <w:sz w:val="24"/>
          <w:szCs w:val="24"/>
        </w:rPr>
        <w:t xml:space="preserve">  Clearly, this litigation is consequent upon the nature of the particular order.</w:t>
      </w:r>
      <w:r w:rsidR="005A7044" w:rsidRPr="00AE7E43">
        <w:rPr>
          <w:rStyle w:val="field-content"/>
          <w:rFonts w:ascii="Arial" w:hAnsi="Arial" w:cs="Arial"/>
          <w:sz w:val="24"/>
          <w:szCs w:val="24"/>
        </w:rPr>
        <w:t xml:space="preserve">  Mr Zietsman submitted that the present application was also required to obtain judicial oversight insofar as the applicant seeks an order declaring the various immovable properties specially executable.  According to him, although the applicant obtained the right to sell the immovable properties as is apparent from the power of attorney</w:t>
      </w:r>
      <w:r w:rsidR="005A7044" w:rsidRPr="00AE7E43">
        <w:rPr>
          <w:rStyle w:val="FootnoteReference"/>
          <w:rFonts w:ascii="Arial" w:hAnsi="Arial" w:cs="Arial"/>
          <w:sz w:val="24"/>
          <w:szCs w:val="24"/>
        </w:rPr>
        <w:footnoteReference w:id="30"/>
      </w:r>
      <w:r w:rsidR="005A7044" w:rsidRPr="00AE7E43">
        <w:rPr>
          <w:rStyle w:val="field-content"/>
          <w:rFonts w:ascii="Arial" w:hAnsi="Arial" w:cs="Arial"/>
          <w:sz w:val="24"/>
          <w:szCs w:val="24"/>
        </w:rPr>
        <w:t xml:space="preserve"> attached to the second (and t</w:t>
      </w:r>
      <w:r w:rsidR="00742B08" w:rsidRPr="00AE7E43">
        <w:rPr>
          <w:rStyle w:val="field-content"/>
          <w:rFonts w:ascii="Arial" w:hAnsi="Arial" w:cs="Arial"/>
          <w:sz w:val="24"/>
          <w:szCs w:val="24"/>
        </w:rPr>
        <w:t>he first) settlement agreement,</w:t>
      </w:r>
      <w:r w:rsidR="005A7044" w:rsidRPr="00AE7E43">
        <w:rPr>
          <w:rStyle w:val="field-content"/>
          <w:rFonts w:ascii="Arial" w:hAnsi="Arial" w:cs="Arial"/>
          <w:sz w:val="24"/>
          <w:szCs w:val="24"/>
        </w:rPr>
        <w:t xml:space="preserve"> it was decided to request a declaratory order to ensure that judicial oversight is achieved.</w:t>
      </w:r>
      <w:r w:rsidR="00C50608" w:rsidRPr="00AE7E43">
        <w:rPr>
          <w:rStyle w:val="field-content"/>
          <w:rFonts w:ascii="Arial" w:hAnsi="Arial" w:cs="Arial"/>
          <w:sz w:val="24"/>
          <w:szCs w:val="24"/>
        </w:rPr>
        <w:t xml:space="preserve">  I am satisfied that the previous order, allowing a specific mode of liquidating the Trust assets, cannot stand in the way of this court considering whether the properties should be declared specially e</w:t>
      </w:r>
      <w:r w:rsidR="00742B08" w:rsidRPr="00AE7E43">
        <w:rPr>
          <w:rStyle w:val="field-content"/>
          <w:rFonts w:ascii="Arial" w:hAnsi="Arial" w:cs="Arial"/>
          <w:sz w:val="24"/>
          <w:szCs w:val="24"/>
        </w:rPr>
        <w:t>xecutable in accordance with</w:t>
      </w:r>
      <w:r w:rsidR="00C50608" w:rsidRPr="00AE7E43">
        <w:rPr>
          <w:rStyle w:val="field-content"/>
          <w:rFonts w:ascii="Arial" w:hAnsi="Arial" w:cs="Arial"/>
          <w:sz w:val="24"/>
          <w:szCs w:val="24"/>
        </w:rPr>
        <w:t xml:space="preserve"> rule 46A.  The defence is not meritorious</w:t>
      </w:r>
      <w:r w:rsidR="003A7768" w:rsidRPr="00AE7E43">
        <w:rPr>
          <w:rStyle w:val="field-content"/>
          <w:rFonts w:ascii="Arial" w:hAnsi="Arial" w:cs="Arial"/>
          <w:sz w:val="24"/>
          <w:szCs w:val="24"/>
        </w:rPr>
        <w:t xml:space="preserve"> and therefore rejected</w:t>
      </w:r>
      <w:r w:rsidR="00C50608" w:rsidRPr="00AE7E43">
        <w:rPr>
          <w:rStyle w:val="field-content"/>
          <w:rFonts w:ascii="Arial" w:hAnsi="Arial" w:cs="Arial"/>
          <w:sz w:val="24"/>
          <w:szCs w:val="24"/>
        </w:rPr>
        <w:t>.</w:t>
      </w:r>
    </w:p>
    <w:p w14:paraId="5AC803E4" w14:textId="77777777" w:rsidR="001E00AF" w:rsidRPr="00AE7E43" w:rsidRDefault="001E00AF" w:rsidP="001E4D6E">
      <w:pPr>
        <w:spacing w:after="0" w:line="360" w:lineRule="auto"/>
        <w:ind w:left="993" w:hanging="993"/>
        <w:jc w:val="both"/>
        <w:rPr>
          <w:rFonts w:ascii="Arial" w:hAnsi="Arial" w:cs="Arial"/>
          <w:sz w:val="24"/>
          <w:szCs w:val="24"/>
        </w:rPr>
      </w:pPr>
    </w:p>
    <w:p w14:paraId="464A1C0B" w14:textId="77777777" w:rsidR="0063072E"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lastRenderedPageBreak/>
        <w:t>[3</w:t>
      </w:r>
      <w:r w:rsidR="00AE7E43">
        <w:rPr>
          <w:rFonts w:ascii="Arial" w:hAnsi="Arial" w:cs="Arial"/>
          <w:sz w:val="24"/>
          <w:szCs w:val="24"/>
        </w:rPr>
        <w:t>2</w:t>
      </w:r>
      <w:r w:rsidR="0063072E" w:rsidRPr="00AE7E43">
        <w:rPr>
          <w:rFonts w:ascii="Arial" w:hAnsi="Arial" w:cs="Arial"/>
          <w:sz w:val="24"/>
          <w:szCs w:val="24"/>
        </w:rPr>
        <w:t>]</w:t>
      </w:r>
      <w:r w:rsidR="0063072E" w:rsidRPr="00AE7E43">
        <w:rPr>
          <w:rFonts w:ascii="Arial" w:hAnsi="Arial" w:cs="Arial"/>
          <w:sz w:val="24"/>
          <w:szCs w:val="24"/>
        </w:rPr>
        <w:tab/>
        <w:t>If one considers the amounts involved, there can be no doubt that the Trust, represented by its trustees, conducts business on a grandiose scale.  After the recent sale of two farms, the trustees in their representative capacities are still the owners of 14 immovable properties in the district of Bethlehem, in ext</w:t>
      </w:r>
      <w:r w:rsidR="0006080B" w:rsidRPr="00AE7E43">
        <w:rPr>
          <w:rFonts w:ascii="Arial" w:hAnsi="Arial" w:cs="Arial"/>
          <w:sz w:val="24"/>
          <w:szCs w:val="24"/>
        </w:rPr>
        <w:t xml:space="preserve">ent in excess of 4 000 hectares and which </w:t>
      </w:r>
      <w:r w:rsidR="00565752">
        <w:rPr>
          <w:rFonts w:ascii="Arial" w:hAnsi="Arial" w:cs="Arial"/>
          <w:sz w:val="24"/>
          <w:szCs w:val="24"/>
        </w:rPr>
        <w:t>according to their estimation are</w:t>
      </w:r>
      <w:r w:rsidR="0006080B" w:rsidRPr="00AE7E43">
        <w:rPr>
          <w:rFonts w:ascii="Arial" w:hAnsi="Arial" w:cs="Arial"/>
          <w:sz w:val="24"/>
          <w:szCs w:val="24"/>
        </w:rPr>
        <w:t xml:space="preserve"> worth over R60 million.</w:t>
      </w:r>
      <w:r w:rsidR="0063072E" w:rsidRPr="00AE7E43">
        <w:rPr>
          <w:rStyle w:val="FootnoteReference"/>
          <w:rFonts w:ascii="Arial" w:hAnsi="Arial" w:cs="Arial"/>
          <w:sz w:val="24"/>
          <w:szCs w:val="24"/>
        </w:rPr>
        <w:footnoteReference w:id="31"/>
      </w:r>
      <w:r w:rsidR="0063072E" w:rsidRPr="00AE7E43">
        <w:rPr>
          <w:rFonts w:ascii="Arial" w:hAnsi="Arial" w:cs="Arial"/>
          <w:sz w:val="24"/>
          <w:szCs w:val="24"/>
        </w:rPr>
        <w:t xml:space="preserve">  The total debt of the respondents was in excess of R19.8 million at the time that the first settlement agreement was entered into.</w:t>
      </w:r>
      <w:r w:rsidR="0063072E" w:rsidRPr="00AE7E43">
        <w:rPr>
          <w:rStyle w:val="FootnoteReference"/>
          <w:rFonts w:ascii="Arial" w:hAnsi="Arial" w:cs="Arial"/>
          <w:sz w:val="24"/>
          <w:szCs w:val="24"/>
        </w:rPr>
        <w:footnoteReference w:id="32"/>
      </w:r>
      <w:r w:rsidR="0063072E" w:rsidRPr="00AE7E43">
        <w:rPr>
          <w:rFonts w:ascii="Arial" w:hAnsi="Arial" w:cs="Arial"/>
          <w:sz w:val="24"/>
          <w:szCs w:val="24"/>
        </w:rPr>
        <w:t xml:space="preserve">  </w:t>
      </w:r>
      <w:r w:rsidR="003401A9" w:rsidRPr="00AE7E43">
        <w:rPr>
          <w:rFonts w:ascii="Arial" w:hAnsi="Arial" w:cs="Arial"/>
          <w:sz w:val="24"/>
          <w:szCs w:val="24"/>
        </w:rPr>
        <w:t xml:space="preserve">This amount was quite significantly reduced upon the sale of two farms as the total debt </w:t>
      </w:r>
      <w:r w:rsidR="003401A9" w:rsidRPr="00AE7E43">
        <w:rPr>
          <w:rFonts w:ascii="Arial" w:hAnsi="Arial" w:cs="Arial"/>
          <w:i/>
          <w:sz w:val="24"/>
          <w:szCs w:val="24"/>
        </w:rPr>
        <w:t>ex facie</w:t>
      </w:r>
      <w:r w:rsidR="003401A9" w:rsidRPr="00AE7E43">
        <w:rPr>
          <w:rFonts w:ascii="Arial" w:hAnsi="Arial" w:cs="Arial"/>
          <w:sz w:val="24"/>
          <w:szCs w:val="24"/>
        </w:rPr>
        <w:t xml:space="preserve"> the second agreement was just less than R12</w:t>
      </w:r>
      <w:r w:rsidR="00742B08" w:rsidRPr="00AE7E43">
        <w:rPr>
          <w:rFonts w:ascii="Arial" w:hAnsi="Arial" w:cs="Arial"/>
          <w:sz w:val="24"/>
          <w:szCs w:val="24"/>
        </w:rPr>
        <w:t xml:space="preserve"> </w:t>
      </w:r>
      <w:r w:rsidR="003401A9" w:rsidRPr="00AE7E43">
        <w:rPr>
          <w:rFonts w:ascii="Arial" w:hAnsi="Arial" w:cs="Arial"/>
          <w:sz w:val="24"/>
          <w:szCs w:val="24"/>
        </w:rPr>
        <w:t>m</w:t>
      </w:r>
      <w:r w:rsidR="00742B08" w:rsidRPr="00AE7E43">
        <w:rPr>
          <w:rFonts w:ascii="Arial" w:hAnsi="Arial" w:cs="Arial"/>
          <w:sz w:val="24"/>
          <w:szCs w:val="24"/>
        </w:rPr>
        <w:t>illion</w:t>
      </w:r>
      <w:r w:rsidR="003401A9" w:rsidRPr="00AE7E43">
        <w:rPr>
          <w:rFonts w:ascii="Arial" w:hAnsi="Arial" w:cs="Arial"/>
          <w:sz w:val="24"/>
          <w:szCs w:val="24"/>
        </w:rPr>
        <w:t xml:space="preserve">.  </w:t>
      </w:r>
      <w:r w:rsidR="0063072E" w:rsidRPr="00AE7E43">
        <w:rPr>
          <w:rFonts w:ascii="Arial" w:hAnsi="Arial" w:cs="Arial"/>
          <w:sz w:val="24"/>
          <w:szCs w:val="24"/>
        </w:rPr>
        <w:t xml:space="preserve">The </w:t>
      </w:r>
      <w:r w:rsidR="003401A9" w:rsidRPr="00AE7E43">
        <w:rPr>
          <w:rFonts w:ascii="Arial" w:hAnsi="Arial" w:cs="Arial"/>
          <w:sz w:val="24"/>
          <w:szCs w:val="24"/>
        </w:rPr>
        <w:t xml:space="preserve">total </w:t>
      </w:r>
      <w:r w:rsidR="0063072E" w:rsidRPr="00AE7E43">
        <w:rPr>
          <w:rFonts w:ascii="Arial" w:hAnsi="Arial" w:cs="Arial"/>
          <w:sz w:val="24"/>
          <w:szCs w:val="24"/>
        </w:rPr>
        <w:t xml:space="preserve">amount claimed in these proceedings is </w:t>
      </w:r>
      <w:r w:rsidR="003401A9" w:rsidRPr="00AE7E43">
        <w:rPr>
          <w:rFonts w:ascii="Arial" w:hAnsi="Arial" w:cs="Arial"/>
          <w:sz w:val="24"/>
          <w:szCs w:val="24"/>
        </w:rPr>
        <w:t>R12 139 814.06 plus interest on the different accounts</w:t>
      </w:r>
      <w:r w:rsidR="0063072E" w:rsidRPr="00AE7E43">
        <w:rPr>
          <w:rFonts w:ascii="Arial" w:hAnsi="Arial" w:cs="Arial"/>
          <w:sz w:val="24"/>
          <w:szCs w:val="24"/>
        </w:rPr>
        <w:t>.</w:t>
      </w:r>
      <w:r w:rsidR="0063072E" w:rsidRPr="00AE7E43">
        <w:rPr>
          <w:rStyle w:val="FootnoteReference"/>
          <w:rFonts w:ascii="Arial" w:hAnsi="Arial" w:cs="Arial"/>
          <w:sz w:val="24"/>
          <w:szCs w:val="24"/>
        </w:rPr>
        <w:footnoteReference w:id="33"/>
      </w:r>
    </w:p>
    <w:p w14:paraId="2422A026" w14:textId="77777777" w:rsidR="0063072E" w:rsidRPr="00AE7E43" w:rsidRDefault="0063072E" w:rsidP="001E4D6E">
      <w:pPr>
        <w:spacing w:after="0" w:line="360" w:lineRule="auto"/>
        <w:ind w:left="993" w:hanging="993"/>
        <w:jc w:val="both"/>
        <w:rPr>
          <w:rFonts w:ascii="Arial" w:hAnsi="Arial" w:cs="Arial"/>
          <w:sz w:val="24"/>
          <w:szCs w:val="24"/>
        </w:rPr>
      </w:pPr>
    </w:p>
    <w:p w14:paraId="5F669696" w14:textId="77777777" w:rsidR="003401A9" w:rsidRPr="00AE7E43" w:rsidRDefault="003401A9" w:rsidP="001E4D6E">
      <w:pPr>
        <w:spacing w:after="0" w:line="360" w:lineRule="auto"/>
        <w:ind w:left="993" w:hanging="993"/>
        <w:jc w:val="both"/>
        <w:rPr>
          <w:rFonts w:ascii="Arial" w:hAnsi="Arial" w:cs="Arial"/>
          <w:i/>
          <w:sz w:val="24"/>
          <w:szCs w:val="24"/>
        </w:rPr>
      </w:pPr>
      <w:r w:rsidRPr="00AE7E43">
        <w:rPr>
          <w:rFonts w:ascii="Arial" w:hAnsi="Arial" w:cs="Arial"/>
          <w:i/>
          <w:sz w:val="24"/>
          <w:szCs w:val="24"/>
        </w:rPr>
        <w:t>The counter-application</w:t>
      </w:r>
    </w:p>
    <w:p w14:paraId="7DABEEF3" w14:textId="77777777" w:rsidR="003401A9" w:rsidRPr="00AE7E43" w:rsidRDefault="003401A9" w:rsidP="001E4D6E">
      <w:pPr>
        <w:spacing w:after="0" w:line="360" w:lineRule="auto"/>
        <w:ind w:left="993" w:hanging="993"/>
        <w:jc w:val="both"/>
        <w:rPr>
          <w:rFonts w:ascii="Arial" w:hAnsi="Arial" w:cs="Arial"/>
          <w:sz w:val="24"/>
          <w:szCs w:val="24"/>
        </w:rPr>
      </w:pPr>
    </w:p>
    <w:p w14:paraId="47FAE726" w14:textId="77777777" w:rsidR="00171A9E" w:rsidRPr="00AE7E43" w:rsidRDefault="00C77BD9" w:rsidP="001E4D6E">
      <w:pPr>
        <w:spacing w:after="0" w:line="360" w:lineRule="auto"/>
        <w:ind w:left="993"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006D393C" w:rsidRPr="00AE7E43">
        <w:rPr>
          <w:rFonts w:ascii="Arial" w:hAnsi="Arial" w:cs="Arial"/>
          <w:sz w:val="24"/>
          <w:szCs w:val="24"/>
        </w:rPr>
        <w:t>]</w:t>
      </w:r>
      <w:r w:rsidR="006D393C" w:rsidRPr="00AE7E43">
        <w:rPr>
          <w:rFonts w:ascii="Arial" w:hAnsi="Arial" w:cs="Arial"/>
          <w:sz w:val="24"/>
          <w:szCs w:val="24"/>
        </w:rPr>
        <w:tab/>
      </w:r>
      <w:r w:rsidR="00171A9E" w:rsidRPr="00AE7E43">
        <w:rPr>
          <w:rFonts w:ascii="Arial" w:hAnsi="Arial" w:cs="Arial"/>
          <w:sz w:val="24"/>
          <w:szCs w:val="24"/>
        </w:rPr>
        <w:t>Insofar as the counter-application is concerned, the respondents</w:t>
      </w:r>
      <w:r w:rsidR="00742B08" w:rsidRPr="00AE7E43">
        <w:rPr>
          <w:rFonts w:ascii="Arial" w:hAnsi="Arial" w:cs="Arial"/>
          <w:sz w:val="24"/>
          <w:szCs w:val="24"/>
        </w:rPr>
        <w:t xml:space="preserve"> (the applicants in the counter-application: the debtors)</w:t>
      </w:r>
      <w:r w:rsidR="00171A9E" w:rsidRPr="00AE7E43">
        <w:rPr>
          <w:rFonts w:ascii="Arial" w:hAnsi="Arial" w:cs="Arial"/>
          <w:sz w:val="24"/>
          <w:szCs w:val="24"/>
        </w:rPr>
        <w:t xml:space="preserve"> can only succeed bas</w:t>
      </w:r>
      <w:r w:rsidR="00742B08" w:rsidRPr="00AE7E43">
        <w:rPr>
          <w:rFonts w:ascii="Arial" w:hAnsi="Arial" w:cs="Arial"/>
          <w:sz w:val="24"/>
          <w:szCs w:val="24"/>
        </w:rPr>
        <w:t>ed on the applicant’s version (the respondent in</w:t>
      </w:r>
      <w:r w:rsidR="00171A9E" w:rsidRPr="00AE7E43">
        <w:rPr>
          <w:rFonts w:ascii="Arial" w:hAnsi="Arial" w:cs="Arial"/>
          <w:sz w:val="24"/>
          <w:szCs w:val="24"/>
        </w:rPr>
        <w:t xml:space="preserve"> the counter-application</w:t>
      </w:r>
      <w:r w:rsidR="00742B08" w:rsidRPr="00AE7E43">
        <w:rPr>
          <w:rFonts w:ascii="Arial" w:hAnsi="Arial" w:cs="Arial"/>
          <w:sz w:val="24"/>
          <w:szCs w:val="24"/>
        </w:rPr>
        <w:t>: the bank)</w:t>
      </w:r>
      <w:r w:rsidR="00171A9E" w:rsidRPr="00AE7E43">
        <w:rPr>
          <w:rFonts w:ascii="Arial" w:hAnsi="Arial" w:cs="Arial"/>
          <w:sz w:val="24"/>
          <w:szCs w:val="24"/>
        </w:rPr>
        <w:t xml:space="preserve"> together with the facts in the respondents’ version that</w:t>
      </w:r>
      <w:r w:rsidR="0083296F" w:rsidRPr="00AE7E43">
        <w:rPr>
          <w:rFonts w:ascii="Arial" w:hAnsi="Arial" w:cs="Arial"/>
          <w:sz w:val="24"/>
          <w:szCs w:val="24"/>
        </w:rPr>
        <w:t xml:space="preserve"> a</w:t>
      </w:r>
      <w:r w:rsidR="00171A9E" w:rsidRPr="00AE7E43">
        <w:rPr>
          <w:rFonts w:ascii="Arial" w:hAnsi="Arial" w:cs="Arial"/>
          <w:sz w:val="24"/>
          <w:szCs w:val="24"/>
        </w:rPr>
        <w:t>re admitted by the applicant</w:t>
      </w:r>
      <w:r w:rsidR="0083296F" w:rsidRPr="00AE7E43">
        <w:rPr>
          <w:rFonts w:ascii="Arial" w:hAnsi="Arial" w:cs="Arial"/>
          <w:sz w:val="24"/>
          <w:szCs w:val="24"/>
        </w:rPr>
        <w:t xml:space="preserve">, bearing in mind </w:t>
      </w:r>
      <w:r w:rsidR="0083296F" w:rsidRPr="00AE7E43">
        <w:rPr>
          <w:rFonts w:ascii="Arial" w:hAnsi="Arial" w:cs="Arial"/>
          <w:i/>
          <w:sz w:val="24"/>
          <w:szCs w:val="24"/>
        </w:rPr>
        <w:t>Plascon-Evans</w:t>
      </w:r>
      <w:r w:rsidR="00171A9E" w:rsidRPr="00AE7E43">
        <w:rPr>
          <w:rFonts w:ascii="Arial" w:hAnsi="Arial" w:cs="Arial"/>
          <w:sz w:val="24"/>
          <w:szCs w:val="24"/>
        </w:rPr>
        <w:t>.  I am satisfied that there is no reason to reject the applicant’s vers</w:t>
      </w:r>
      <w:r w:rsidR="0083296F" w:rsidRPr="00AE7E43">
        <w:rPr>
          <w:rFonts w:ascii="Arial" w:hAnsi="Arial" w:cs="Arial"/>
          <w:sz w:val="24"/>
          <w:szCs w:val="24"/>
        </w:rPr>
        <w:t>i</w:t>
      </w:r>
      <w:r w:rsidR="00171A9E" w:rsidRPr="00AE7E43">
        <w:rPr>
          <w:rFonts w:ascii="Arial" w:hAnsi="Arial" w:cs="Arial"/>
          <w:sz w:val="24"/>
          <w:szCs w:val="24"/>
        </w:rPr>
        <w:t>on for purposes of adjudicating the counter-application.  That being the cas</w:t>
      </w:r>
      <w:r w:rsidR="0083296F" w:rsidRPr="00AE7E43">
        <w:rPr>
          <w:rFonts w:ascii="Arial" w:hAnsi="Arial" w:cs="Arial"/>
          <w:sz w:val="24"/>
          <w:szCs w:val="24"/>
        </w:rPr>
        <w:t xml:space="preserve">e, it should be the end of the </w:t>
      </w:r>
      <w:r w:rsidR="00171A9E" w:rsidRPr="00AE7E43">
        <w:rPr>
          <w:rFonts w:ascii="Arial" w:hAnsi="Arial" w:cs="Arial"/>
          <w:sz w:val="24"/>
          <w:szCs w:val="24"/>
        </w:rPr>
        <w:t>respondent</w:t>
      </w:r>
      <w:r w:rsidR="0083296F" w:rsidRPr="00AE7E43">
        <w:rPr>
          <w:rFonts w:ascii="Arial" w:hAnsi="Arial" w:cs="Arial"/>
          <w:sz w:val="24"/>
          <w:szCs w:val="24"/>
        </w:rPr>
        <w:t>s’</w:t>
      </w:r>
      <w:r w:rsidR="00171A9E" w:rsidRPr="00AE7E43">
        <w:rPr>
          <w:rFonts w:ascii="Arial" w:hAnsi="Arial" w:cs="Arial"/>
          <w:sz w:val="24"/>
          <w:szCs w:val="24"/>
        </w:rPr>
        <w:t xml:space="preserve"> counter-application.  However, I </w:t>
      </w:r>
      <w:r w:rsidR="0083296F" w:rsidRPr="00AE7E43">
        <w:rPr>
          <w:rFonts w:ascii="Arial" w:hAnsi="Arial" w:cs="Arial"/>
          <w:sz w:val="24"/>
          <w:szCs w:val="24"/>
        </w:rPr>
        <w:t xml:space="preserve">feel obliged to </w:t>
      </w:r>
      <w:r w:rsidR="00171A9E" w:rsidRPr="00AE7E43">
        <w:rPr>
          <w:rFonts w:ascii="Arial" w:hAnsi="Arial" w:cs="Arial"/>
          <w:sz w:val="24"/>
          <w:szCs w:val="24"/>
        </w:rPr>
        <w:t xml:space="preserve">deal with </w:t>
      </w:r>
      <w:r w:rsidR="0083296F" w:rsidRPr="00AE7E43">
        <w:rPr>
          <w:rFonts w:ascii="Arial" w:hAnsi="Arial" w:cs="Arial"/>
          <w:sz w:val="24"/>
          <w:szCs w:val="24"/>
        </w:rPr>
        <w:t xml:space="preserve">the respondents’ version.  Before I deal with </w:t>
      </w:r>
      <w:r w:rsidR="00171A9E" w:rsidRPr="00AE7E43">
        <w:rPr>
          <w:rFonts w:ascii="Arial" w:hAnsi="Arial" w:cs="Arial"/>
          <w:sz w:val="24"/>
          <w:szCs w:val="24"/>
        </w:rPr>
        <w:t>any of the submissions made pertaining to the NCA or factual disputes</w:t>
      </w:r>
      <w:r w:rsidR="0083296F" w:rsidRPr="00AE7E43">
        <w:rPr>
          <w:rFonts w:ascii="Arial" w:hAnsi="Arial" w:cs="Arial"/>
          <w:sz w:val="24"/>
          <w:szCs w:val="24"/>
        </w:rPr>
        <w:t xml:space="preserve"> raised</w:t>
      </w:r>
      <w:r w:rsidR="00171A9E" w:rsidRPr="00AE7E43">
        <w:rPr>
          <w:rFonts w:ascii="Arial" w:hAnsi="Arial" w:cs="Arial"/>
          <w:sz w:val="24"/>
          <w:szCs w:val="24"/>
        </w:rPr>
        <w:t xml:space="preserve">, it is apposite to point out some of the material averments </w:t>
      </w:r>
      <w:r w:rsidR="0083296F" w:rsidRPr="00AE7E43">
        <w:rPr>
          <w:rFonts w:ascii="Arial" w:hAnsi="Arial" w:cs="Arial"/>
          <w:sz w:val="24"/>
          <w:szCs w:val="24"/>
        </w:rPr>
        <w:t>of</w:t>
      </w:r>
      <w:r w:rsidR="00171A9E" w:rsidRPr="00AE7E43">
        <w:rPr>
          <w:rFonts w:ascii="Arial" w:hAnsi="Arial" w:cs="Arial"/>
          <w:sz w:val="24"/>
          <w:szCs w:val="24"/>
        </w:rPr>
        <w:t xml:space="preserve"> the respondents that are so far-fetched and improbable that they may safely be rejected.  I agree with the applicant that some averments are blatantly dishonest and made to cloud the issues.  </w:t>
      </w:r>
      <w:r w:rsidR="007F1D88" w:rsidRPr="00AE7E43">
        <w:rPr>
          <w:rFonts w:ascii="Arial" w:hAnsi="Arial" w:cs="Arial"/>
          <w:sz w:val="24"/>
          <w:szCs w:val="24"/>
        </w:rPr>
        <w:t>I mention</w:t>
      </w:r>
      <w:r w:rsidR="00171A9E" w:rsidRPr="00AE7E43">
        <w:rPr>
          <w:rFonts w:ascii="Arial" w:hAnsi="Arial" w:cs="Arial"/>
          <w:sz w:val="24"/>
          <w:szCs w:val="24"/>
        </w:rPr>
        <w:t xml:space="preserve"> the following: </w:t>
      </w:r>
    </w:p>
    <w:p w14:paraId="7F8274D8" w14:textId="77777777" w:rsidR="00AE7E43" w:rsidRDefault="00AE7E43" w:rsidP="001E4D6E">
      <w:pPr>
        <w:spacing w:after="0" w:line="360" w:lineRule="auto"/>
        <w:ind w:left="1985" w:hanging="993"/>
        <w:jc w:val="both"/>
        <w:rPr>
          <w:rFonts w:ascii="Arial" w:hAnsi="Arial" w:cs="Arial"/>
          <w:sz w:val="24"/>
          <w:szCs w:val="24"/>
        </w:rPr>
      </w:pPr>
    </w:p>
    <w:p w14:paraId="4AC96CB7" w14:textId="77777777" w:rsidR="007F1D88" w:rsidRPr="00AE7E43" w:rsidRDefault="00C77BD9" w:rsidP="001E4D6E">
      <w:pPr>
        <w:spacing w:after="0" w:line="360" w:lineRule="auto"/>
        <w:ind w:left="1985" w:hanging="993"/>
        <w:jc w:val="both"/>
        <w:rPr>
          <w:rFonts w:ascii="Arial" w:hAnsi="Arial" w:cs="Arial"/>
          <w:sz w:val="20"/>
          <w:szCs w:val="20"/>
        </w:rPr>
      </w:pPr>
      <w:r w:rsidRPr="00AE7E43">
        <w:rPr>
          <w:rFonts w:ascii="Arial" w:hAnsi="Arial" w:cs="Arial"/>
          <w:sz w:val="24"/>
          <w:szCs w:val="24"/>
        </w:rPr>
        <w:t>3</w:t>
      </w:r>
      <w:r w:rsidR="00AE7E43">
        <w:rPr>
          <w:rFonts w:ascii="Arial" w:hAnsi="Arial" w:cs="Arial"/>
          <w:sz w:val="24"/>
          <w:szCs w:val="24"/>
        </w:rPr>
        <w:t>3</w:t>
      </w:r>
      <w:r w:rsidR="006D393C" w:rsidRPr="00AE7E43">
        <w:rPr>
          <w:rFonts w:ascii="Arial" w:hAnsi="Arial" w:cs="Arial"/>
          <w:sz w:val="24"/>
          <w:szCs w:val="24"/>
        </w:rPr>
        <w:t>.1</w:t>
      </w:r>
      <w:r w:rsidR="006D393C" w:rsidRPr="00AE7E43">
        <w:rPr>
          <w:rFonts w:ascii="Arial" w:hAnsi="Arial" w:cs="Arial"/>
          <w:sz w:val="24"/>
          <w:szCs w:val="24"/>
        </w:rPr>
        <w:tab/>
      </w:r>
      <w:r w:rsidR="007F1D88" w:rsidRPr="00AE7E43">
        <w:rPr>
          <w:rFonts w:ascii="Arial" w:hAnsi="Arial" w:cs="Arial"/>
          <w:sz w:val="24"/>
          <w:szCs w:val="24"/>
        </w:rPr>
        <w:t>The forensic audit report by Mr A Pretorius dated 11 August 2021 was attached to the applicant’s founding a</w:t>
      </w:r>
      <w:r w:rsidR="00CB4792" w:rsidRPr="00AE7E43">
        <w:rPr>
          <w:rFonts w:ascii="Arial" w:hAnsi="Arial" w:cs="Arial"/>
          <w:sz w:val="24"/>
          <w:szCs w:val="24"/>
        </w:rPr>
        <w:t xml:space="preserve">ffidavit. I mentioned it </w:t>
      </w:r>
      <w:r w:rsidR="00CB4792" w:rsidRPr="00AE7E43">
        <w:rPr>
          <w:rFonts w:ascii="Arial" w:hAnsi="Arial" w:cs="Arial"/>
          <w:sz w:val="24"/>
          <w:szCs w:val="24"/>
        </w:rPr>
        <w:lastRenderedPageBreak/>
        <w:t xml:space="preserve">above. </w:t>
      </w:r>
      <w:r w:rsidR="00565752">
        <w:rPr>
          <w:rFonts w:ascii="Arial" w:hAnsi="Arial" w:cs="Arial"/>
          <w:sz w:val="24"/>
          <w:szCs w:val="24"/>
        </w:rPr>
        <w:t xml:space="preserve"> </w:t>
      </w:r>
      <w:r w:rsidR="007F1D88" w:rsidRPr="00AE7E43">
        <w:rPr>
          <w:rFonts w:ascii="Arial" w:hAnsi="Arial" w:cs="Arial"/>
          <w:sz w:val="24"/>
          <w:szCs w:val="24"/>
        </w:rPr>
        <w:t>This is astonishing, bearing in mind the ongoing relationship between the parties during this entire period as will be explained herein, the settlement agreements entered into, the down-payments and the offers to pay mentioned above.</w:t>
      </w:r>
    </w:p>
    <w:p w14:paraId="2C5C9833" w14:textId="77777777" w:rsidR="00171A9E" w:rsidRPr="00AE7E43" w:rsidRDefault="00C77BD9" w:rsidP="001E4D6E">
      <w:pPr>
        <w:spacing w:after="0" w:line="360" w:lineRule="auto"/>
        <w:ind w:left="1985"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006D393C" w:rsidRPr="00AE7E43">
        <w:rPr>
          <w:rFonts w:ascii="Arial" w:hAnsi="Arial" w:cs="Arial"/>
          <w:sz w:val="24"/>
          <w:szCs w:val="24"/>
        </w:rPr>
        <w:t>.2</w:t>
      </w:r>
      <w:r w:rsidR="006D393C" w:rsidRPr="00AE7E43">
        <w:rPr>
          <w:rFonts w:ascii="Arial" w:hAnsi="Arial" w:cs="Arial"/>
          <w:sz w:val="24"/>
          <w:szCs w:val="24"/>
        </w:rPr>
        <w:tab/>
      </w:r>
      <w:r w:rsidR="0021765D" w:rsidRPr="00AE7E43">
        <w:rPr>
          <w:rFonts w:ascii="Arial" w:hAnsi="Arial" w:cs="Arial"/>
          <w:sz w:val="24"/>
          <w:szCs w:val="24"/>
        </w:rPr>
        <w:t>According to the 4</w:t>
      </w:r>
      <w:r w:rsidR="0021765D" w:rsidRPr="00AE7E43">
        <w:rPr>
          <w:rFonts w:ascii="Arial" w:hAnsi="Arial" w:cs="Arial"/>
          <w:sz w:val="24"/>
          <w:szCs w:val="24"/>
          <w:vertAlign w:val="superscript"/>
        </w:rPr>
        <w:t>th</w:t>
      </w:r>
      <w:r w:rsidR="0021765D" w:rsidRPr="00AE7E43">
        <w:rPr>
          <w:rFonts w:ascii="Arial" w:hAnsi="Arial" w:cs="Arial"/>
          <w:sz w:val="24"/>
          <w:szCs w:val="24"/>
        </w:rPr>
        <w:t xml:space="preserve"> respondent, speaking for himself and the other respondents, they were never aware of the provisions of the NCA until alerted thereto by Mr Du Plessis after the second settlem</w:t>
      </w:r>
      <w:r w:rsidR="00CB4792" w:rsidRPr="00AE7E43">
        <w:rPr>
          <w:rFonts w:ascii="Arial" w:hAnsi="Arial" w:cs="Arial"/>
          <w:sz w:val="24"/>
          <w:szCs w:val="24"/>
        </w:rPr>
        <w:t>ent agreement was enter into.  At best for them, t</w:t>
      </w:r>
      <w:r w:rsidR="0021765D" w:rsidRPr="00AE7E43">
        <w:rPr>
          <w:rFonts w:ascii="Arial" w:hAnsi="Arial" w:cs="Arial"/>
          <w:sz w:val="24"/>
          <w:szCs w:val="24"/>
        </w:rPr>
        <w:t>his is highly improbable, but rather dishonest as stated on behalf of the applicant.  The respondents entered into numerous credit agreements over the</w:t>
      </w:r>
      <w:r w:rsidR="00F060A7" w:rsidRPr="00AE7E43">
        <w:rPr>
          <w:rFonts w:ascii="Arial" w:hAnsi="Arial" w:cs="Arial"/>
          <w:sz w:val="24"/>
          <w:szCs w:val="24"/>
        </w:rPr>
        <w:t xml:space="preserve"> years.  There is no reason to do a research in respect of all the credit agreements before the court.  A few examples will do</w:t>
      </w:r>
      <w:r w:rsidR="003B3E56" w:rsidRPr="00AE7E43">
        <w:rPr>
          <w:rFonts w:ascii="Arial" w:hAnsi="Arial" w:cs="Arial"/>
          <w:sz w:val="24"/>
          <w:szCs w:val="24"/>
        </w:rPr>
        <w:t xml:space="preserve"> to show that the NCA is </w:t>
      </w:r>
      <w:r w:rsidR="00CB4792" w:rsidRPr="00AE7E43">
        <w:rPr>
          <w:rFonts w:ascii="Arial" w:hAnsi="Arial" w:cs="Arial"/>
          <w:sz w:val="24"/>
          <w:szCs w:val="24"/>
        </w:rPr>
        <w:t>clearly referred to in these ag</w:t>
      </w:r>
      <w:r w:rsidR="003B3E56" w:rsidRPr="00AE7E43">
        <w:rPr>
          <w:rFonts w:ascii="Arial" w:hAnsi="Arial" w:cs="Arial"/>
          <w:sz w:val="24"/>
          <w:szCs w:val="24"/>
        </w:rPr>
        <w:t>reem</w:t>
      </w:r>
      <w:r w:rsidR="00CB4792" w:rsidRPr="00AE7E43">
        <w:rPr>
          <w:rFonts w:ascii="Arial" w:hAnsi="Arial" w:cs="Arial"/>
          <w:sz w:val="24"/>
          <w:szCs w:val="24"/>
        </w:rPr>
        <w:t>e</w:t>
      </w:r>
      <w:r w:rsidR="003B3E56" w:rsidRPr="00AE7E43">
        <w:rPr>
          <w:rFonts w:ascii="Arial" w:hAnsi="Arial" w:cs="Arial"/>
          <w:sz w:val="24"/>
          <w:szCs w:val="24"/>
        </w:rPr>
        <w:t>nts.</w:t>
      </w:r>
      <w:r w:rsidR="00F060A7" w:rsidRPr="00AE7E43">
        <w:rPr>
          <w:rStyle w:val="FootnoteReference"/>
          <w:rFonts w:ascii="Arial" w:hAnsi="Arial" w:cs="Arial"/>
          <w:sz w:val="24"/>
          <w:szCs w:val="24"/>
        </w:rPr>
        <w:footnoteReference w:id="34"/>
      </w:r>
    </w:p>
    <w:p w14:paraId="7747AFB2" w14:textId="77777777" w:rsidR="001E4D6E" w:rsidRPr="00AE7E43" w:rsidRDefault="001E4D6E" w:rsidP="001E4D6E">
      <w:pPr>
        <w:spacing w:after="0" w:line="360" w:lineRule="auto"/>
        <w:ind w:left="1985" w:hanging="993"/>
        <w:jc w:val="both"/>
        <w:rPr>
          <w:rFonts w:ascii="Arial" w:hAnsi="Arial" w:cs="Arial"/>
          <w:sz w:val="24"/>
          <w:szCs w:val="24"/>
        </w:rPr>
      </w:pPr>
    </w:p>
    <w:p w14:paraId="142C3155" w14:textId="77777777" w:rsidR="00171A9E" w:rsidRPr="00AE7E43" w:rsidRDefault="00C77BD9" w:rsidP="001E4D6E">
      <w:pPr>
        <w:spacing w:after="0" w:line="360" w:lineRule="auto"/>
        <w:ind w:left="1985"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00171A9E" w:rsidRPr="00AE7E43">
        <w:rPr>
          <w:rFonts w:ascii="Arial" w:hAnsi="Arial" w:cs="Arial"/>
          <w:sz w:val="24"/>
          <w:szCs w:val="24"/>
        </w:rPr>
        <w:t>.3</w:t>
      </w:r>
      <w:r w:rsidR="006D393C" w:rsidRPr="00AE7E43">
        <w:rPr>
          <w:rFonts w:ascii="Arial" w:hAnsi="Arial" w:cs="Arial"/>
          <w:sz w:val="24"/>
          <w:szCs w:val="24"/>
        </w:rPr>
        <w:tab/>
      </w:r>
      <w:r w:rsidR="00F060A7" w:rsidRPr="00AE7E43">
        <w:rPr>
          <w:rFonts w:ascii="Arial" w:hAnsi="Arial" w:cs="Arial"/>
          <w:sz w:val="24"/>
          <w:szCs w:val="24"/>
        </w:rPr>
        <w:t>If they haven’t read the credit agreements, their financial advisor, Mr Fouche, the retired bank manager who assisted the</w:t>
      </w:r>
      <w:r w:rsidR="00D60A40" w:rsidRPr="00AE7E43">
        <w:rPr>
          <w:rFonts w:ascii="Arial" w:hAnsi="Arial" w:cs="Arial"/>
          <w:sz w:val="24"/>
          <w:szCs w:val="24"/>
        </w:rPr>
        <w:t>m</w:t>
      </w:r>
      <w:r w:rsidR="00F060A7" w:rsidRPr="00AE7E43">
        <w:rPr>
          <w:rFonts w:ascii="Arial" w:hAnsi="Arial" w:cs="Arial"/>
          <w:sz w:val="24"/>
          <w:szCs w:val="24"/>
        </w:rPr>
        <w:t xml:space="preserve"> </w:t>
      </w:r>
      <w:r w:rsidR="00D60A40" w:rsidRPr="00AE7E43">
        <w:rPr>
          <w:rFonts w:ascii="Arial" w:hAnsi="Arial" w:cs="Arial"/>
          <w:sz w:val="24"/>
          <w:szCs w:val="24"/>
        </w:rPr>
        <w:t xml:space="preserve">when both the settlement agreements were entered into </w:t>
      </w:r>
      <w:r w:rsidR="00F060A7" w:rsidRPr="00AE7E43">
        <w:rPr>
          <w:rFonts w:ascii="Arial" w:hAnsi="Arial" w:cs="Arial"/>
          <w:sz w:val="24"/>
          <w:szCs w:val="24"/>
        </w:rPr>
        <w:t xml:space="preserve">and </w:t>
      </w:r>
      <w:r w:rsidR="00D60A40" w:rsidRPr="00AE7E43">
        <w:rPr>
          <w:rFonts w:ascii="Arial" w:hAnsi="Arial" w:cs="Arial"/>
          <w:sz w:val="24"/>
          <w:szCs w:val="24"/>
        </w:rPr>
        <w:t xml:space="preserve">who </w:t>
      </w:r>
      <w:r w:rsidR="00F060A7" w:rsidRPr="00AE7E43">
        <w:rPr>
          <w:rFonts w:ascii="Arial" w:hAnsi="Arial" w:cs="Arial"/>
          <w:sz w:val="24"/>
          <w:szCs w:val="24"/>
        </w:rPr>
        <w:t>signed as witness</w:t>
      </w:r>
      <w:r w:rsidR="00D60A40" w:rsidRPr="00AE7E43">
        <w:rPr>
          <w:rFonts w:ascii="Arial" w:hAnsi="Arial" w:cs="Arial"/>
          <w:sz w:val="24"/>
          <w:szCs w:val="24"/>
        </w:rPr>
        <w:t>, as well as</w:t>
      </w:r>
      <w:r w:rsidR="00565752">
        <w:rPr>
          <w:rFonts w:ascii="Arial" w:hAnsi="Arial" w:cs="Arial"/>
          <w:sz w:val="24"/>
          <w:szCs w:val="24"/>
        </w:rPr>
        <w:t xml:space="preserve"> the person that tried</w:t>
      </w:r>
      <w:r w:rsidR="00F060A7" w:rsidRPr="00AE7E43">
        <w:rPr>
          <w:rFonts w:ascii="Arial" w:hAnsi="Arial" w:cs="Arial"/>
          <w:sz w:val="24"/>
          <w:szCs w:val="24"/>
        </w:rPr>
        <w:t xml:space="preserve"> to arrange credit for them</w:t>
      </w:r>
      <w:r w:rsidR="00D60A40" w:rsidRPr="00AE7E43">
        <w:rPr>
          <w:rFonts w:ascii="Arial" w:hAnsi="Arial" w:cs="Arial"/>
          <w:sz w:val="24"/>
          <w:szCs w:val="24"/>
        </w:rPr>
        <w:t>,</w:t>
      </w:r>
      <w:r w:rsidR="00F060A7" w:rsidRPr="00AE7E43">
        <w:rPr>
          <w:rFonts w:ascii="Arial" w:hAnsi="Arial" w:cs="Arial"/>
          <w:sz w:val="24"/>
          <w:szCs w:val="24"/>
        </w:rPr>
        <w:t xml:space="preserve"> </w:t>
      </w:r>
      <w:r w:rsidR="00CB4792" w:rsidRPr="00AE7E43">
        <w:rPr>
          <w:rFonts w:ascii="Arial" w:hAnsi="Arial" w:cs="Arial"/>
          <w:sz w:val="24"/>
          <w:szCs w:val="24"/>
        </w:rPr>
        <w:t xml:space="preserve">Ms </w:t>
      </w:r>
      <w:r w:rsidR="00F060A7" w:rsidRPr="00AE7E43">
        <w:rPr>
          <w:rFonts w:ascii="Arial" w:hAnsi="Arial" w:cs="Arial"/>
          <w:sz w:val="24"/>
          <w:szCs w:val="24"/>
        </w:rPr>
        <w:t>Sebet van Jaarsveld</w:t>
      </w:r>
      <w:r w:rsidR="00D60A40" w:rsidRPr="00AE7E43">
        <w:rPr>
          <w:rFonts w:ascii="Arial" w:hAnsi="Arial" w:cs="Arial"/>
          <w:sz w:val="24"/>
          <w:szCs w:val="24"/>
        </w:rPr>
        <w:t>,</w:t>
      </w:r>
      <w:r w:rsidR="00F060A7" w:rsidRPr="00AE7E43">
        <w:rPr>
          <w:rFonts w:ascii="Arial" w:hAnsi="Arial" w:cs="Arial"/>
          <w:sz w:val="24"/>
          <w:szCs w:val="24"/>
        </w:rPr>
        <w:t xml:space="preserve"> who </w:t>
      </w:r>
      <w:r w:rsidR="003B3E56" w:rsidRPr="00AE7E43">
        <w:rPr>
          <w:rFonts w:ascii="Arial" w:hAnsi="Arial" w:cs="Arial"/>
          <w:sz w:val="24"/>
          <w:szCs w:val="24"/>
        </w:rPr>
        <w:t xml:space="preserve">both </w:t>
      </w:r>
      <w:r w:rsidR="00F060A7" w:rsidRPr="00AE7E43">
        <w:rPr>
          <w:rFonts w:ascii="Arial" w:hAnsi="Arial" w:cs="Arial"/>
          <w:sz w:val="24"/>
          <w:szCs w:val="24"/>
        </w:rPr>
        <w:t xml:space="preserve">must </w:t>
      </w:r>
      <w:r w:rsidR="00D60A40" w:rsidRPr="00AE7E43">
        <w:rPr>
          <w:rFonts w:ascii="Arial" w:hAnsi="Arial" w:cs="Arial"/>
          <w:sz w:val="24"/>
          <w:szCs w:val="24"/>
        </w:rPr>
        <w:t xml:space="preserve">also </w:t>
      </w:r>
      <w:r w:rsidR="00F060A7" w:rsidRPr="00AE7E43">
        <w:rPr>
          <w:rFonts w:ascii="Arial" w:hAnsi="Arial" w:cs="Arial"/>
          <w:sz w:val="24"/>
          <w:szCs w:val="24"/>
        </w:rPr>
        <w:t>have a solid knowledge of the NCA and its strict requi</w:t>
      </w:r>
      <w:r w:rsidR="00D60A40" w:rsidRPr="00AE7E43">
        <w:rPr>
          <w:rFonts w:ascii="Arial" w:hAnsi="Arial" w:cs="Arial"/>
          <w:sz w:val="24"/>
          <w:szCs w:val="24"/>
        </w:rPr>
        <w:t>r</w:t>
      </w:r>
      <w:r w:rsidR="00F060A7" w:rsidRPr="00AE7E43">
        <w:rPr>
          <w:rFonts w:ascii="Arial" w:hAnsi="Arial" w:cs="Arial"/>
          <w:sz w:val="24"/>
          <w:szCs w:val="24"/>
        </w:rPr>
        <w:t>ements</w:t>
      </w:r>
      <w:r w:rsidR="00D60A40" w:rsidRPr="00AE7E43">
        <w:rPr>
          <w:rFonts w:ascii="Arial" w:hAnsi="Arial" w:cs="Arial"/>
          <w:sz w:val="24"/>
          <w:szCs w:val="24"/>
        </w:rPr>
        <w:t>, would in all probabilities have explained the legislative issues to them.</w:t>
      </w:r>
    </w:p>
    <w:p w14:paraId="7E6D527B" w14:textId="77777777" w:rsidR="001E4D6E" w:rsidRPr="00AE7E43" w:rsidRDefault="001E4D6E" w:rsidP="001E4D6E">
      <w:pPr>
        <w:spacing w:after="0" w:line="360" w:lineRule="auto"/>
        <w:ind w:left="1985" w:hanging="993"/>
        <w:jc w:val="both"/>
        <w:rPr>
          <w:rFonts w:ascii="Arial" w:hAnsi="Arial" w:cs="Arial"/>
          <w:sz w:val="24"/>
          <w:szCs w:val="24"/>
        </w:rPr>
      </w:pPr>
    </w:p>
    <w:p w14:paraId="43023943" w14:textId="77777777" w:rsidR="00171A9E" w:rsidRPr="00AE7E43" w:rsidRDefault="00C77BD9" w:rsidP="00CB4792">
      <w:pPr>
        <w:spacing w:after="0" w:line="360" w:lineRule="auto"/>
        <w:ind w:left="1985"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00171A9E" w:rsidRPr="00AE7E43">
        <w:rPr>
          <w:rFonts w:ascii="Arial" w:hAnsi="Arial" w:cs="Arial"/>
          <w:sz w:val="24"/>
          <w:szCs w:val="24"/>
        </w:rPr>
        <w:t>.4</w:t>
      </w:r>
      <w:r w:rsidR="006D393C" w:rsidRPr="00AE7E43">
        <w:rPr>
          <w:rFonts w:ascii="Arial" w:hAnsi="Arial" w:cs="Arial"/>
          <w:sz w:val="24"/>
          <w:szCs w:val="24"/>
        </w:rPr>
        <w:tab/>
      </w:r>
      <w:r w:rsidR="00D60A40" w:rsidRPr="00AE7E43">
        <w:rPr>
          <w:rFonts w:ascii="Arial" w:hAnsi="Arial" w:cs="Arial"/>
          <w:sz w:val="24"/>
          <w:szCs w:val="24"/>
        </w:rPr>
        <w:t xml:space="preserve">The latest credit agreement entered into is the current account agreement of 20 November 2017 between </w:t>
      </w:r>
      <w:r w:rsidR="00CB4792" w:rsidRPr="00AE7E43">
        <w:rPr>
          <w:rFonts w:ascii="Arial" w:hAnsi="Arial" w:cs="Arial"/>
          <w:sz w:val="24"/>
          <w:szCs w:val="24"/>
        </w:rPr>
        <w:t xml:space="preserve">Mr </w:t>
      </w:r>
      <w:r w:rsidR="00D60A40" w:rsidRPr="00AE7E43">
        <w:rPr>
          <w:rFonts w:ascii="Arial" w:hAnsi="Arial" w:cs="Arial"/>
          <w:sz w:val="24"/>
          <w:szCs w:val="24"/>
        </w:rPr>
        <w:t>CP Wolmarans, the 5</w:t>
      </w:r>
      <w:r w:rsidR="00D60A40" w:rsidRPr="00AE7E43">
        <w:rPr>
          <w:rFonts w:ascii="Arial" w:hAnsi="Arial" w:cs="Arial"/>
          <w:sz w:val="24"/>
          <w:szCs w:val="24"/>
          <w:vertAlign w:val="superscript"/>
        </w:rPr>
        <w:t>th</w:t>
      </w:r>
      <w:r w:rsidR="00D60A40" w:rsidRPr="00AE7E43">
        <w:rPr>
          <w:rFonts w:ascii="Arial" w:hAnsi="Arial" w:cs="Arial"/>
          <w:sz w:val="24"/>
          <w:szCs w:val="24"/>
        </w:rPr>
        <w:t xml:space="preserve"> respondent, and the applicant.</w:t>
      </w:r>
      <w:r w:rsidR="00D60A40" w:rsidRPr="00AE7E43">
        <w:rPr>
          <w:rStyle w:val="FootnoteReference"/>
          <w:rFonts w:ascii="Arial" w:hAnsi="Arial" w:cs="Arial"/>
          <w:sz w:val="24"/>
          <w:szCs w:val="24"/>
        </w:rPr>
        <w:footnoteReference w:id="35"/>
      </w:r>
      <w:r w:rsidR="003B3E56" w:rsidRPr="00AE7E43">
        <w:rPr>
          <w:rFonts w:ascii="Arial" w:hAnsi="Arial" w:cs="Arial"/>
          <w:sz w:val="24"/>
          <w:szCs w:val="24"/>
        </w:rPr>
        <w:t xml:space="preserve">  </w:t>
      </w:r>
      <w:r w:rsidR="00D60A40" w:rsidRPr="00AE7E43">
        <w:rPr>
          <w:rFonts w:ascii="Arial" w:hAnsi="Arial" w:cs="Arial"/>
          <w:sz w:val="24"/>
          <w:szCs w:val="24"/>
        </w:rPr>
        <w:t xml:space="preserve">Mr Pretorius stated in his report in respect of the farming activities of </w:t>
      </w:r>
      <w:r w:rsidR="00CB4792" w:rsidRPr="00AE7E43">
        <w:rPr>
          <w:rFonts w:ascii="Arial" w:hAnsi="Arial" w:cs="Arial"/>
          <w:sz w:val="24"/>
          <w:szCs w:val="24"/>
        </w:rPr>
        <w:t xml:space="preserve">Mr </w:t>
      </w:r>
      <w:r w:rsidR="00D60A40" w:rsidRPr="00AE7E43">
        <w:rPr>
          <w:rFonts w:ascii="Arial" w:hAnsi="Arial" w:cs="Arial"/>
          <w:sz w:val="24"/>
          <w:szCs w:val="24"/>
        </w:rPr>
        <w:t xml:space="preserve">CP Wolmarans that </w:t>
      </w:r>
      <w:r w:rsidR="008476A2" w:rsidRPr="00AE7E43">
        <w:rPr>
          <w:rFonts w:ascii="Arial" w:hAnsi="Arial" w:cs="Arial"/>
          <w:sz w:val="24"/>
          <w:szCs w:val="24"/>
        </w:rPr>
        <w:t>financial irregularities and errors were detected in respect of the period November 2014 to January 2021.</w:t>
      </w:r>
      <w:r w:rsidR="003B3E56" w:rsidRPr="00AE7E43">
        <w:rPr>
          <w:rFonts w:ascii="Arial" w:hAnsi="Arial" w:cs="Arial"/>
          <w:sz w:val="24"/>
          <w:szCs w:val="24"/>
        </w:rPr>
        <w:t xml:space="preserve">  Clearly, he was provided with wrong information.</w:t>
      </w:r>
      <w:r w:rsidR="008476A2" w:rsidRPr="00AE7E43">
        <w:rPr>
          <w:rFonts w:ascii="Arial" w:hAnsi="Arial" w:cs="Arial"/>
          <w:sz w:val="24"/>
          <w:szCs w:val="24"/>
        </w:rPr>
        <w:t xml:space="preserve">  The impression is created that the agreed limit on the 5</w:t>
      </w:r>
      <w:r w:rsidR="008476A2" w:rsidRPr="00AE7E43">
        <w:rPr>
          <w:rFonts w:ascii="Arial" w:hAnsi="Arial" w:cs="Arial"/>
          <w:sz w:val="24"/>
          <w:szCs w:val="24"/>
          <w:vertAlign w:val="superscript"/>
        </w:rPr>
        <w:t>th</w:t>
      </w:r>
      <w:r w:rsidR="008476A2" w:rsidRPr="00AE7E43">
        <w:rPr>
          <w:rFonts w:ascii="Arial" w:hAnsi="Arial" w:cs="Arial"/>
          <w:sz w:val="24"/>
          <w:szCs w:val="24"/>
        </w:rPr>
        <w:t xml:space="preserve"> respondent’s current account was </w:t>
      </w:r>
      <w:r w:rsidR="00B20C96" w:rsidRPr="00AE7E43">
        <w:rPr>
          <w:rFonts w:ascii="Arial" w:hAnsi="Arial" w:cs="Arial"/>
          <w:sz w:val="24"/>
          <w:szCs w:val="24"/>
        </w:rPr>
        <w:t>a mere</w:t>
      </w:r>
      <w:r w:rsidR="00B709C8" w:rsidRPr="00AE7E43">
        <w:rPr>
          <w:rFonts w:ascii="Arial" w:hAnsi="Arial" w:cs="Arial"/>
          <w:sz w:val="24"/>
          <w:szCs w:val="24"/>
        </w:rPr>
        <w:t xml:space="preserve"> R7.7 </w:t>
      </w:r>
      <w:r w:rsidR="00B709C8" w:rsidRPr="00AE7E43">
        <w:rPr>
          <w:rFonts w:ascii="Arial" w:hAnsi="Arial" w:cs="Arial"/>
          <w:sz w:val="24"/>
          <w:szCs w:val="24"/>
        </w:rPr>
        <w:lastRenderedPageBreak/>
        <w:t>million in respect of the 2015 agreement</w:t>
      </w:r>
      <w:r w:rsidR="00B20C96" w:rsidRPr="00AE7E43">
        <w:rPr>
          <w:rFonts w:ascii="Arial" w:hAnsi="Arial" w:cs="Arial"/>
          <w:sz w:val="24"/>
          <w:szCs w:val="24"/>
        </w:rPr>
        <w:t xml:space="preserve">, whilst it is apparent that </w:t>
      </w:r>
      <w:r w:rsidR="00B709C8" w:rsidRPr="00AE7E43">
        <w:rPr>
          <w:rFonts w:ascii="Arial" w:hAnsi="Arial" w:cs="Arial"/>
          <w:sz w:val="24"/>
          <w:szCs w:val="24"/>
        </w:rPr>
        <w:t>on 9 November 2017 the limit was increased to R12 490 000.00.</w:t>
      </w:r>
      <w:r w:rsidR="00B709C8" w:rsidRPr="00AE7E43">
        <w:rPr>
          <w:rStyle w:val="FootnoteReference"/>
          <w:rFonts w:ascii="Arial" w:hAnsi="Arial" w:cs="Arial"/>
          <w:sz w:val="24"/>
          <w:szCs w:val="24"/>
        </w:rPr>
        <w:footnoteReference w:id="36"/>
      </w:r>
      <w:r w:rsidR="00CB2D25" w:rsidRPr="00AE7E43">
        <w:rPr>
          <w:rFonts w:ascii="Arial" w:hAnsi="Arial" w:cs="Arial"/>
          <w:sz w:val="24"/>
          <w:szCs w:val="24"/>
        </w:rPr>
        <w:t xml:space="preserve">  </w:t>
      </w:r>
      <w:r w:rsidR="003B3E56" w:rsidRPr="00AE7E43">
        <w:rPr>
          <w:rFonts w:ascii="Arial" w:hAnsi="Arial" w:cs="Arial"/>
          <w:sz w:val="24"/>
          <w:szCs w:val="24"/>
        </w:rPr>
        <w:t xml:space="preserve">Also, the medium term loan no 25-294-586-7 does not even feature in any of the two settlement agreements, but two different credit agreements referred to </w:t>
      </w:r>
      <w:r w:rsidR="00CB4792" w:rsidRPr="00AE7E43">
        <w:rPr>
          <w:rFonts w:ascii="Arial" w:hAnsi="Arial" w:cs="Arial"/>
          <w:sz w:val="24"/>
          <w:szCs w:val="24"/>
        </w:rPr>
        <w:t>as medium</w:t>
      </w:r>
      <w:r w:rsidR="003B3E56" w:rsidRPr="00AE7E43">
        <w:rPr>
          <w:rFonts w:ascii="Arial" w:hAnsi="Arial" w:cs="Arial"/>
          <w:sz w:val="24"/>
          <w:szCs w:val="24"/>
        </w:rPr>
        <w:t xml:space="preserve"> term loans.</w:t>
      </w:r>
      <w:r w:rsidR="00C461B3" w:rsidRPr="00AE7E43">
        <w:rPr>
          <w:rFonts w:ascii="Arial" w:hAnsi="Arial" w:cs="Arial"/>
          <w:sz w:val="24"/>
          <w:szCs w:val="24"/>
        </w:rPr>
        <w:t xml:space="preserve">  </w:t>
      </w:r>
      <w:r w:rsidR="00CB2D25" w:rsidRPr="00AE7E43">
        <w:rPr>
          <w:rFonts w:ascii="Arial" w:hAnsi="Arial" w:cs="Arial"/>
          <w:sz w:val="24"/>
          <w:szCs w:val="24"/>
        </w:rPr>
        <w:t xml:space="preserve">The </w:t>
      </w:r>
      <w:r w:rsidR="00565752">
        <w:rPr>
          <w:rFonts w:ascii="Arial" w:hAnsi="Arial" w:cs="Arial"/>
          <w:sz w:val="24"/>
          <w:szCs w:val="24"/>
        </w:rPr>
        <w:t>applicant made the point</w:t>
      </w:r>
      <w:r w:rsidR="00CB2D25" w:rsidRPr="00AE7E43">
        <w:rPr>
          <w:rFonts w:ascii="Arial" w:hAnsi="Arial" w:cs="Arial"/>
          <w:sz w:val="24"/>
          <w:szCs w:val="24"/>
        </w:rPr>
        <w:t xml:space="preserve"> with conviction that the respondents were dishonest when they made their allegations.</w:t>
      </w:r>
    </w:p>
    <w:p w14:paraId="475B8D7D" w14:textId="77777777" w:rsidR="001E4D6E" w:rsidRPr="00AE7E43" w:rsidRDefault="001E4D6E" w:rsidP="001E4D6E">
      <w:pPr>
        <w:spacing w:after="0" w:line="360" w:lineRule="auto"/>
        <w:ind w:left="1985" w:hanging="993"/>
        <w:jc w:val="both"/>
        <w:rPr>
          <w:rFonts w:ascii="Arial" w:hAnsi="Arial" w:cs="Arial"/>
          <w:sz w:val="24"/>
          <w:szCs w:val="24"/>
        </w:rPr>
      </w:pPr>
    </w:p>
    <w:p w14:paraId="1E4FDF8F" w14:textId="77777777" w:rsidR="00171A9E" w:rsidRPr="00AE7E43" w:rsidRDefault="00C77BD9" w:rsidP="001E4D6E">
      <w:pPr>
        <w:spacing w:after="0" w:line="360" w:lineRule="auto"/>
        <w:ind w:left="1985"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00CB4792" w:rsidRPr="00AE7E43">
        <w:rPr>
          <w:rFonts w:ascii="Arial" w:hAnsi="Arial" w:cs="Arial"/>
          <w:sz w:val="24"/>
          <w:szCs w:val="24"/>
        </w:rPr>
        <w:t>.5</w:t>
      </w:r>
      <w:r w:rsidR="006D393C" w:rsidRPr="00AE7E43">
        <w:rPr>
          <w:rFonts w:ascii="Arial" w:hAnsi="Arial" w:cs="Arial"/>
          <w:sz w:val="24"/>
          <w:szCs w:val="24"/>
        </w:rPr>
        <w:tab/>
      </w:r>
      <w:r w:rsidR="008476A2" w:rsidRPr="00AE7E43">
        <w:rPr>
          <w:rFonts w:ascii="Arial" w:hAnsi="Arial" w:cs="Arial"/>
          <w:sz w:val="24"/>
          <w:szCs w:val="24"/>
        </w:rPr>
        <w:t xml:space="preserve">Clearly, the respondents are not in a financial position to service their debts; they had to sell two farms to reduce the debts as mentioned above and they intend to sell two further farms in the hope of settling the applicant’s debt </w:t>
      </w:r>
      <w:r w:rsidR="008476A2" w:rsidRPr="00AE7E43">
        <w:rPr>
          <w:rFonts w:ascii="Arial" w:hAnsi="Arial" w:cs="Arial"/>
          <w:i/>
          <w:sz w:val="24"/>
          <w:szCs w:val="24"/>
        </w:rPr>
        <w:t>in toto</w:t>
      </w:r>
      <w:r w:rsidR="008476A2" w:rsidRPr="00AE7E43">
        <w:rPr>
          <w:rFonts w:ascii="Arial" w:hAnsi="Arial" w:cs="Arial"/>
          <w:sz w:val="24"/>
          <w:szCs w:val="24"/>
        </w:rPr>
        <w:t>.</w:t>
      </w:r>
    </w:p>
    <w:p w14:paraId="7940410B" w14:textId="77777777" w:rsidR="001E4D6E" w:rsidRPr="00AE7E43" w:rsidRDefault="001E4D6E" w:rsidP="001E4D6E">
      <w:pPr>
        <w:spacing w:after="0" w:line="360" w:lineRule="auto"/>
        <w:ind w:left="1985" w:hanging="993"/>
        <w:jc w:val="both"/>
        <w:rPr>
          <w:rFonts w:ascii="Arial" w:hAnsi="Arial" w:cs="Arial"/>
          <w:sz w:val="24"/>
          <w:szCs w:val="24"/>
        </w:rPr>
      </w:pPr>
    </w:p>
    <w:p w14:paraId="310C49DE" w14:textId="77777777" w:rsidR="00171A9E" w:rsidRPr="00AE7E43" w:rsidRDefault="00C77BD9" w:rsidP="001E4D6E">
      <w:pPr>
        <w:spacing w:after="0" w:line="360" w:lineRule="auto"/>
        <w:ind w:left="1985"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00CB4792" w:rsidRPr="00AE7E43">
        <w:rPr>
          <w:rFonts w:ascii="Arial" w:hAnsi="Arial" w:cs="Arial"/>
          <w:sz w:val="24"/>
          <w:szCs w:val="24"/>
        </w:rPr>
        <w:t>.6</w:t>
      </w:r>
      <w:r w:rsidR="006D393C" w:rsidRPr="00AE7E43">
        <w:rPr>
          <w:rFonts w:ascii="Arial" w:hAnsi="Arial" w:cs="Arial"/>
          <w:sz w:val="24"/>
          <w:szCs w:val="24"/>
        </w:rPr>
        <w:tab/>
      </w:r>
      <w:r w:rsidR="00565752">
        <w:rPr>
          <w:rFonts w:ascii="Arial" w:hAnsi="Arial" w:cs="Arial"/>
          <w:sz w:val="24"/>
          <w:szCs w:val="24"/>
        </w:rPr>
        <w:t xml:space="preserve">They </w:t>
      </w:r>
      <w:r w:rsidR="008476A2" w:rsidRPr="00AE7E43">
        <w:rPr>
          <w:rFonts w:ascii="Arial" w:hAnsi="Arial" w:cs="Arial"/>
          <w:sz w:val="24"/>
          <w:szCs w:val="24"/>
        </w:rPr>
        <w:t>allege</w:t>
      </w:r>
      <w:r w:rsidR="00CB4792" w:rsidRPr="00AE7E43">
        <w:rPr>
          <w:rFonts w:ascii="Arial" w:hAnsi="Arial" w:cs="Arial"/>
          <w:sz w:val="24"/>
          <w:szCs w:val="24"/>
        </w:rPr>
        <w:t>d</w:t>
      </w:r>
      <w:r w:rsidR="008476A2" w:rsidRPr="00AE7E43">
        <w:rPr>
          <w:rFonts w:ascii="Arial" w:hAnsi="Arial" w:cs="Arial"/>
          <w:sz w:val="24"/>
          <w:szCs w:val="24"/>
        </w:rPr>
        <w:t xml:space="preserve"> that upon payment of the proceeds of the sale of their two farms the balances on the accounts were not reduced, whilst I indicated above how the applicant’s </w:t>
      </w:r>
      <w:r w:rsidR="00C461B3" w:rsidRPr="00AE7E43">
        <w:rPr>
          <w:rFonts w:ascii="Arial" w:hAnsi="Arial" w:cs="Arial"/>
          <w:sz w:val="24"/>
          <w:szCs w:val="24"/>
        </w:rPr>
        <w:t>total claim was</w:t>
      </w:r>
      <w:r w:rsidR="008476A2" w:rsidRPr="00AE7E43">
        <w:rPr>
          <w:rFonts w:ascii="Arial" w:hAnsi="Arial" w:cs="Arial"/>
          <w:sz w:val="24"/>
          <w:szCs w:val="24"/>
        </w:rPr>
        <w:t xml:space="preserve"> in fa</w:t>
      </w:r>
      <w:r w:rsidR="000E097C" w:rsidRPr="00AE7E43">
        <w:rPr>
          <w:rFonts w:ascii="Arial" w:hAnsi="Arial" w:cs="Arial"/>
          <w:sz w:val="24"/>
          <w:szCs w:val="24"/>
        </w:rPr>
        <w:t xml:space="preserve">ct reduced after </w:t>
      </w:r>
      <w:r w:rsidR="008476A2" w:rsidRPr="00AE7E43">
        <w:rPr>
          <w:rFonts w:ascii="Arial" w:hAnsi="Arial" w:cs="Arial"/>
          <w:sz w:val="24"/>
          <w:szCs w:val="24"/>
        </w:rPr>
        <w:t xml:space="preserve">the first and </w:t>
      </w:r>
      <w:r w:rsidR="000E097C" w:rsidRPr="00AE7E43">
        <w:rPr>
          <w:rFonts w:ascii="Arial" w:hAnsi="Arial" w:cs="Arial"/>
          <w:sz w:val="24"/>
          <w:szCs w:val="24"/>
        </w:rPr>
        <w:t>before the second settlement agreement was entered into</w:t>
      </w:r>
      <w:r w:rsidR="008476A2" w:rsidRPr="00AE7E43">
        <w:rPr>
          <w:rFonts w:ascii="Arial" w:hAnsi="Arial" w:cs="Arial"/>
          <w:sz w:val="24"/>
          <w:szCs w:val="24"/>
        </w:rPr>
        <w:t>.</w:t>
      </w:r>
      <w:r w:rsidR="00565752">
        <w:rPr>
          <w:rFonts w:ascii="Arial" w:hAnsi="Arial" w:cs="Arial"/>
          <w:sz w:val="24"/>
          <w:szCs w:val="24"/>
        </w:rPr>
        <w:t xml:space="preserve">  The applicant </w:t>
      </w:r>
      <w:r w:rsidR="00C461B3" w:rsidRPr="00AE7E43">
        <w:rPr>
          <w:rFonts w:ascii="Arial" w:hAnsi="Arial" w:cs="Arial"/>
          <w:sz w:val="24"/>
          <w:szCs w:val="24"/>
        </w:rPr>
        <w:t>use</w:t>
      </w:r>
      <w:r w:rsidR="00565752">
        <w:rPr>
          <w:rFonts w:ascii="Arial" w:hAnsi="Arial" w:cs="Arial"/>
          <w:sz w:val="24"/>
          <w:szCs w:val="24"/>
        </w:rPr>
        <w:t>d</w:t>
      </w:r>
      <w:r w:rsidR="00C461B3" w:rsidRPr="00AE7E43">
        <w:rPr>
          <w:rFonts w:ascii="Arial" w:hAnsi="Arial" w:cs="Arial"/>
          <w:sz w:val="24"/>
          <w:szCs w:val="24"/>
        </w:rPr>
        <w:t xml:space="preserve"> the proceed</w:t>
      </w:r>
      <w:r w:rsidR="00CB4792" w:rsidRPr="00AE7E43">
        <w:rPr>
          <w:rFonts w:ascii="Arial" w:hAnsi="Arial" w:cs="Arial"/>
          <w:sz w:val="24"/>
          <w:szCs w:val="24"/>
        </w:rPr>
        <w:t>s of the sale to reduce the largest debt, to wit</w:t>
      </w:r>
      <w:r w:rsidR="00C461B3" w:rsidRPr="00AE7E43">
        <w:rPr>
          <w:rFonts w:ascii="Arial" w:hAnsi="Arial" w:cs="Arial"/>
          <w:sz w:val="24"/>
          <w:szCs w:val="24"/>
        </w:rPr>
        <w:t xml:space="preserve"> the current account in the name of the 5</w:t>
      </w:r>
      <w:r w:rsidR="00C461B3" w:rsidRPr="00AE7E43">
        <w:rPr>
          <w:rFonts w:ascii="Arial" w:hAnsi="Arial" w:cs="Arial"/>
          <w:sz w:val="24"/>
          <w:szCs w:val="24"/>
          <w:vertAlign w:val="superscript"/>
        </w:rPr>
        <w:t>th</w:t>
      </w:r>
      <w:r w:rsidR="00C461B3" w:rsidRPr="00AE7E43">
        <w:rPr>
          <w:rFonts w:ascii="Arial" w:hAnsi="Arial" w:cs="Arial"/>
          <w:sz w:val="24"/>
          <w:szCs w:val="24"/>
        </w:rPr>
        <w:t xml:space="preserve"> respondent.</w:t>
      </w:r>
      <w:r w:rsidR="00565752">
        <w:rPr>
          <w:rFonts w:ascii="Arial" w:hAnsi="Arial" w:cs="Arial"/>
          <w:sz w:val="24"/>
          <w:szCs w:val="24"/>
        </w:rPr>
        <w:t xml:space="preserve">  N</w:t>
      </w:r>
      <w:r w:rsidR="00F657EE">
        <w:rPr>
          <w:rFonts w:ascii="Arial" w:hAnsi="Arial" w:cs="Arial"/>
          <w:sz w:val="24"/>
          <w:szCs w:val="24"/>
        </w:rPr>
        <w:t>othing turns on the</w:t>
      </w:r>
      <w:r w:rsidR="00565752">
        <w:rPr>
          <w:rFonts w:ascii="Arial" w:hAnsi="Arial" w:cs="Arial"/>
          <w:sz w:val="24"/>
          <w:szCs w:val="24"/>
        </w:rPr>
        <w:t xml:space="preserve"> complaint </w:t>
      </w:r>
      <w:r w:rsidR="00F657EE">
        <w:rPr>
          <w:rFonts w:ascii="Arial" w:hAnsi="Arial" w:cs="Arial"/>
          <w:sz w:val="24"/>
          <w:szCs w:val="24"/>
        </w:rPr>
        <w:t xml:space="preserve">that the proceeds were not used to settle the medium term loans </w:t>
      </w:r>
      <w:r w:rsidR="00565752">
        <w:rPr>
          <w:rFonts w:ascii="Arial" w:hAnsi="Arial" w:cs="Arial"/>
          <w:sz w:val="24"/>
          <w:szCs w:val="24"/>
        </w:rPr>
        <w:t xml:space="preserve">as the trustees of the </w:t>
      </w:r>
      <w:r w:rsidR="00F657EE">
        <w:rPr>
          <w:rFonts w:ascii="Arial" w:hAnsi="Arial" w:cs="Arial"/>
          <w:sz w:val="24"/>
          <w:szCs w:val="24"/>
        </w:rPr>
        <w:t>T</w:t>
      </w:r>
      <w:r w:rsidR="00565752">
        <w:rPr>
          <w:rFonts w:ascii="Arial" w:hAnsi="Arial" w:cs="Arial"/>
          <w:sz w:val="24"/>
          <w:szCs w:val="24"/>
        </w:rPr>
        <w:t xml:space="preserve">rust remain liable for all the debts, </w:t>
      </w:r>
      <w:r w:rsidR="00F657EE">
        <w:rPr>
          <w:rFonts w:ascii="Arial" w:hAnsi="Arial" w:cs="Arial"/>
          <w:sz w:val="24"/>
          <w:szCs w:val="24"/>
        </w:rPr>
        <w:t>to wit the medium term loans and the current account, either as principal debtors or as sureties.</w:t>
      </w:r>
    </w:p>
    <w:p w14:paraId="3F7AA1B1" w14:textId="77777777" w:rsidR="000E097C" w:rsidRPr="00AE7E43" w:rsidRDefault="000E097C" w:rsidP="001E4D6E">
      <w:pPr>
        <w:spacing w:after="0" w:line="360" w:lineRule="auto"/>
        <w:ind w:left="1985" w:hanging="993"/>
        <w:jc w:val="both"/>
        <w:rPr>
          <w:rFonts w:ascii="Arial" w:hAnsi="Arial" w:cs="Arial"/>
          <w:sz w:val="24"/>
          <w:szCs w:val="24"/>
        </w:rPr>
      </w:pPr>
    </w:p>
    <w:p w14:paraId="5E99C72F" w14:textId="77777777" w:rsidR="000E097C" w:rsidRPr="00AE7E43" w:rsidRDefault="00CB4792" w:rsidP="001E4D6E">
      <w:pPr>
        <w:spacing w:after="0" w:line="360" w:lineRule="auto"/>
        <w:ind w:left="1985"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Pr="00AE7E43">
        <w:rPr>
          <w:rFonts w:ascii="Arial" w:hAnsi="Arial" w:cs="Arial"/>
          <w:sz w:val="24"/>
          <w:szCs w:val="24"/>
        </w:rPr>
        <w:t>.7</w:t>
      </w:r>
      <w:r w:rsidR="000E097C" w:rsidRPr="00AE7E43">
        <w:rPr>
          <w:rFonts w:ascii="Arial" w:hAnsi="Arial" w:cs="Arial"/>
          <w:sz w:val="24"/>
          <w:szCs w:val="24"/>
        </w:rPr>
        <w:t xml:space="preserve">  </w:t>
      </w:r>
      <w:r w:rsidR="00FB606B" w:rsidRPr="00AE7E43">
        <w:rPr>
          <w:rFonts w:ascii="Arial" w:hAnsi="Arial" w:cs="Arial"/>
          <w:sz w:val="24"/>
          <w:szCs w:val="24"/>
        </w:rPr>
        <w:t xml:space="preserve">  </w:t>
      </w:r>
      <w:r w:rsidR="001E4D6E" w:rsidRPr="00AE7E43">
        <w:rPr>
          <w:rFonts w:ascii="Arial" w:hAnsi="Arial" w:cs="Arial"/>
          <w:sz w:val="24"/>
          <w:szCs w:val="24"/>
        </w:rPr>
        <w:tab/>
      </w:r>
      <w:r w:rsidR="00FB606B" w:rsidRPr="00AE7E43">
        <w:rPr>
          <w:rFonts w:ascii="Arial" w:hAnsi="Arial" w:cs="Arial"/>
          <w:sz w:val="24"/>
          <w:szCs w:val="24"/>
        </w:rPr>
        <w:t>They repeatedly stated that they were induced to sign unlawful agreements and that they did not have the luxury of a legal representative’s advice, but failed to take the court in their confidence to explain what was Mr Fouche’s role who strangely enough was not called upon to depose to a confirmatory affidavit.</w:t>
      </w:r>
    </w:p>
    <w:p w14:paraId="4C7B45A4" w14:textId="77777777" w:rsidR="000E097C" w:rsidRPr="00AE7E43" w:rsidRDefault="000E097C" w:rsidP="001E4D6E">
      <w:pPr>
        <w:spacing w:after="0" w:line="360" w:lineRule="auto"/>
        <w:ind w:left="1985" w:hanging="993"/>
        <w:jc w:val="both"/>
        <w:rPr>
          <w:rFonts w:ascii="Arial" w:hAnsi="Arial" w:cs="Arial"/>
          <w:sz w:val="24"/>
          <w:szCs w:val="24"/>
        </w:rPr>
      </w:pPr>
    </w:p>
    <w:p w14:paraId="302B902D" w14:textId="77777777" w:rsidR="000E097C" w:rsidRPr="00AE7E43" w:rsidRDefault="00CB4792" w:rsidP="001E4D6E">
      <w:pPr>
        <w:spacing w:after="0" w:line="360" w:lineRule="auto"/>
        <w:ind w:left="1985" w:hanging="993"/>
        <w:jc w:val="both"/>
        <w:rPr>
          <w:rFonts w:ascii="Arial" w:hAnsi="Arial" w:cs="Arial"/>
          <w:sz w:val="24"/>
          <w:szCs w:val="24"/>
        </w:rPr>
      </w:pPr>
      <w:r w:rsidRPr="00AE7E43">
        <w:rPr>
          <w:rFonts w:ascii="Arial" w:hAnsi="Arial" w:cs="Arial"/>
          <w:sz w:val="24"/>
          <w:szCs w:val="24"/>
        </w:rPr>
        <w:lastRenderedPageBreak/>
        <w:t>3</w:t>
      </w:r>
      <w:r w:rsidR="00AE7E43">
        <w:rPr>
          <w:rFonts w:ascii="Arial" w:hAnsi="Arial" w:cs="Arial"/>
          <w:sz w:val="24"/>
          <w:szCs w:val="24"/>
        </w:rPr>
        <w:t>3</w:t>
      </w:r>
      <w:r w:rsidRPr="00AE7E43">
        <w:rPr>
          <w:rFonts w:ascii="Arial" w:hAnsi="Arial" w:cs="Arial"/>
          <w:sz w:val="24"/>
          <w:szCs w:val="24"/>
        </w:rPr>
        <w:t>.8</w:t>
      </w:r>
      <w:r w:rsidR="00AE7E43">
        <w:rPr>
          <w:rFonts w:ascii="Arial" w:hAnsi="Arial" w:cs="Arial"/>
          <w:sz w:val="24"/>
          <w:szCs w:val="24"/>
        </w:rPr>
        <w:tab/>
      </w:r>
      <w:r w:rsidRPr="00AE7E43">
        <w:rPr>
          <w:rFonts w:ascii="Arial" w:hAnsi="Arial" w:cs="Arial"/>
          <w:sz w:val="24"/>
          <w:szCs w:val="24"/>
        </w:rPr>
        <w:t xml:space="preserve">The respondents </w:t>
      </w:r>
      <w:r w:rsidR="006A31DE" w:rsidRPr="00AE7E43">
        <w:rPr>
          <w:rFonts w:ascii="Arial" w:hAnsi="Arial" w:cs="Arial"/>
          <w:sz w:val="24"/>
          <w:szCs w:val="24"/>
        </w:rPr>
        <w:t xml:space="preserve">made </w:t>
      </w:r>
      <w:r w:rsidRPr="00AE7E43">
        <w:rPr>
          <w:rFonts w:ascii="Arial" w:hAnsi="Arial" w:cs="Arial"/>
          <w:sz w:val="24"/>
          <w:szCs w:val="24"/>
        </w:rPr>
        <w:t>allegations</w:t>
      </w:r>
      <w:r w:rsidR="006A31DE" w:rsidRPr="00AE7E43">
        <w:rPr>
          <w:rFonts w:ascii="Arial" w:hAnsi="Arial" w:cs="Arial"/>
          <w:sz w:val="24"/>
          <w:szCs w:val="24"/>
        </w:rPr>
        <w:t xml:space="preserve"> on wrong agreements when dealing with the Trust’s medium term loans</w:t>
      </w:r>
      <w:r w:rsidR="00F657EE">
        <w:rPr>
          <w:rFonts w:ascii="Arial" w:hAnsi="Arial" w:cs="Arial"/>
          <w:sz w:val="24"/>
          <w:szCs w:val="24"/>
        </w:rPr>
        <w:t xml:space="preserve"> which they stated were</w:t>
      </w:r>
      <w:r w:rsidR="006A31DE" w:rsidRPr="00AE7E43">
        <w:rPr>
          <w:rFonts w:ascii="Arial" w:hAnsi="Arial" w:cs="Arial"/>
          <w:sz w:val="24"/>
          <w:szCs w:val="24"/>
        </w:rPr>
        <w:t xml:space="preserve"> for R2 million  and R3.5 million respectively</w:t>
      </w:r>
      <w:r w:rsidRPr="00AE7E43">
        <w:rPr>
          <w:rFonts w:ascii="Arial" w:hAnsi="Arial" w:cs="Arial"/>
          <w:sz w:val="24"/>
          <w:szCs w:val="24"/>
        </w:rPr>
        <w:t>,</w:t>
      </w:r>
      <w:r w:rsidR="006A31DE" w:rsidRPr="00AE7E43">
        <w:rPr>
          <w:rFonts w:ascii="Arial" w:hAnsi="Arial" w:cs="Arial"/>
          <w:sz w:val="24"/>
          <w:szCs w:val="24"/>
        </w:rPr>
        <w:t xml:space="preserve"> whilst the correct loan amounts were R4.8 million granted in December 2016 and R3.5 million in respect of the 2013 agreement, the terms of which were amended in 2014</w:t>
      </w:r>
      <w:r w:rsidR="004B1E6D" w:rsidRPr="00AE7E43">
        <w:rPr>
          <w:rFonts w:ascii="Arial" w:hAnsi="Arial" w:cs="Arial"/>
          <w:sz w:val="24"/>
          <w:szCs w:val="24"/>
        </w:rPr>
        <w:t>.</w:t>
      </w:r>
      <w:r w:rsidR="006A31DE" w:rsidRPr="00AE7E43">
        <w:rPr>
          <w:rStyle w:val="FootnoteReference"/>
          <w:rFonts w:ascii="Arial" w:hAnsi="Arial" w:cs="Arial"/>
          <w:sz w:val="24"/>
          <w:szCs w:val="24"/>
        </w:rPr>
        <w:footnoteReference w:id="37"/>
      </w:r>
    </w:p>
    <w:p w14:paraId="1246E1E5" w14:textId="77777777" w:rsidR="004B1E6D" w:rsidRPr="00AE7E43" w:rsidRDefault="004B1E6D" w:rsidP="001E4D6E">
      <w:pPr>
        <w:spacing w:after="0" w:line="360" w:lineRule="auto"/>
        <w:ind w:left="1985" w:hanging="993"/>
        <w:jc w:val="both"/>
        <w:rPr>
          <w:rFonts w:ascii="Arial" w:hAnsi="Arial" w:cs="Arial"/>
          <w:sz w:val="24"/>
          <w:szCs w:val="24"/>
        </w:rPr>
      </w:pPr>
    </w:p>
    <w:p w14:paraId="4454D5F9" w14:textId="77777777" w:rsidR="004B1E6D" w:rsidRPr="00AE7E43" w:rsidRDefault="00CB4792" w:rsidP="001E4D6E">
      <w:pPr>
        <w:spacing w:after="0" w:line="360" w:lineRule="auto"/>
        <w:ind w:left="1985"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3</w:t>
      </w:r>
      <w:r w:rsidRPr="00AE7E43">
        <w:rPr>
          <w:rFonts w:ascii="Arial" w:hAnsi="Arial" w:cs="Arial"/>
          <w:sz w:val="24"/>
          <w:szCs w:val="24"/>
        </w:rPr>
        <w:t>.9</w:t>
      </w:r>
      <w:r w:rsidR="004B1E6D" w:rsidRPr="00AE7E43">
        <w:rPr>
          <w:rFonts w:ascii="Arial" w:hAnsi="Arial" w:cs="Arial"/>
          <w:sz w:val="24"/>
          <w:szCs w:val="24"/>
        </w:rPr>
        <w:t xml:space="preserve"> </w:t>
      </w:r>
      <w:r w:rsidR="001E4D6E" w:rsidRPr="00AE7E43">
        <w:rPr>
          <w:rFonts w:ascii="Arial" w:hAnsi="Arial" w:cs="Arial"/>
          <w:sz w:val="24"/>
          <w:szCs w:val="24"/>
        </w:rPr>
        <w:tab/>
      </w:r>
      <w:r w:rsidR="004B1E6D" w:rsidRPr="00AE7E43">
        <w:rPr>
          <w:rFonts w:ascii="Arial" w:hAnsi="Arial" w:cs="Arial"/>
          <w:sz w:val="24"/>
          <w:szCs w:val="24"/>
        </w:rPr>
        <w:t>The respondents’ version that they did not receive any letter of demand after failing to comply with the second settlement agreement is false according to the applicant.  Demands were sent on 7 A</w:t>
      </w:r>
      <w:r w:rsidRPr="00AE7E43">
        <w:rPr>
          <w:rFonts w:ascii="Arial" w:hAnsi="Arial" w:cs="Arial"/>
          <w:sz w:val="24"/>
          <w:szCs w:val="24"/>
        </w:rPr>
        <w:t>pril 2021 by email to Mr Fouche and</w:t>
      </w:r>
      <w:r w:rsidR="004B1E6D" w:rsidRPr="00AE7E43">
        <w:rPr>
          <w:rFonts w:ascii="Arial" w:hAnsi="Arial" w:cs="Arial"/>
          <w:sz w:val="24"/>
          <w:szCs w:val="24"/>
        </w:rPr>
        <w:t xml:space="preserve"> the 4</w:t>
      </w:r>
      <w:r w:rsidR="004B1E6D" w:rsidRPr="00AE7E43">
        <w:rPr>
          <w:rFonts w:ascii="Arial" w:hAnsi="Arial" w:cs="Arial"/>
          <w:sz w:val="24"/>
          <w:szCs w:val="24"/>
          <w:vertAlign w:val="superscript"/>
        </w:rPr>
        <w:t>th</w:t>
      </w:r>
      <w:r w:rsidR="004B1E6D" w:rsidRPr="00AE7E43">
        <w:rPr>
          <w:rFonts w:ascii="Arial" w:hAnsi="Arial" w:cs="Arial"/>
          <w:sz w:val="24"/>
          <w:szCs w:val="24"/>
        </w:rPr>
        <w:t>, 5</w:t>
      </w:r>
      <w:r w:rsidR="004B1E6D" w:rsidRPr="00AE7E43">
        <w:rPr>
          <w:rFonts w:ascii="Arial" w:hAnsi="Arial" w:cs="Arial"/>
          <w:sz w:val="24"/>
          <w:szCs w:val="24"/>
          <w:vertAlign w:val="superscript"/>
        </w:rPr>
        <w:t>th</w:t>
      </w:r>
      <w:r w:rsidR="004B1E6D" w:rsidRPr="00AE7E43">
        <w:rPr>
          <w:rFonts w:ascii="Arial" w:hAnsi="Arial" w:cs="Arial"/>
          <w:sz w:val="24"/>
          <w:szCs w:val="24"/>
        </w:rPr>
        <w:t xml:space="preserve"> and 6</w:t>
      </w:r>
      <w:r w:rsidR="004B1E6D" w:rsidRPr="00AE7E43">
        <w:rPr>
          <w:rFonts w:ascii="Arial" w:hAnsi="Arial" w:cs="Arial"/>
          <w:sz w:val="24"/>
          <w:szCs w:val="24"/>
          <w:vertAlign w:val="superscript"/>
        </w:rPr>
        <w:t>th</w:t>
      </w:r>
      <w:r w:rsidR="004B1E6D" w:rsidRPr="00AE7E43">
        <w:rPr>
          <w:rFonts w:ascii="Arial" w:hAnsi="Arial" w:cs="Arial"/>
          <w:sz w:val="24"/>
          <w:szCs w:val="24"/>
        </w:rPr>
        <w:t xml:space="preserve"> respondents.</w:t>
      </w:r>
      <w:r w:rsidR="004B1E6D" w:rsidRPr="00AE7E43">
        <w:rPr>
          <w:rStyle w:val="FootnoteReference"/>
          <w:rFonts w:ascii="Arial" w:hAnsi="Arial" w:cs="Arial"/>
          <w:sz w:val="24"/>
          <w:szCs w:val="24"/>
        </w:rPr>
        <w:footnoteReference w:id="38"/>
      </w:r>
      <w:r w:rsidR="00C461B3" w:rsidRPr="00AE7E43">
        <w:rPr>
          <w:rFonts w:ascii="Arial" w:hAnsi="Arial" w:cs="Arial"/>
          <w:sz w:val="24"/>
          <w:szCs w:val="24"/>
        </w:rPr>
        <w:t xml:space="preserve">  The demand was also served by the sheriff as shown.</w:t>
      </w:r>
    </w:p>
    <w:p w14:paraId="05A18BC0" w14:textId="77777777" w:rsidR="00171A9E" w:rsidRPr="00AE7E43" w:rsidRDefault="00171A9E" w:rsidP="00AE7E43">
      <w:pPr>
        <w:spacing w:after="0" w:line="360" w:lineRule="auto"/>
        <w:ind w:left="993" w:hanging="993"/>
        <w:jc w:val="both"/>
        <w:rPr>
          <w:rFonts w:ascii="Arial" w:hAnsi="Arial" w:cs="Arial"/>
          <w:sz w:val="24"/>
          <w:szCs w:val="24"/>
        </w:rPr>
      </w:pPr>
    </w:p>
    <w:p w14:paraId="217AF382" w14:textId="77777777" w:rsidR="00775429" w:rsidRPr="006670A3" w:rsidRDefault="00477FA4" w:rsidP="006670A3">
      <w:pPr>
        <w:spacing w:after="0" w:line="360" w:lineRule="auto"/>
        <w:ind w:left="993" w:hanging="993"/>
        <w:jc w:val="both"/>
        <w:rPr>
          <w:rFonts w:ascii="Arial" w:hAnsi="Arial" w:cs="Arial"/>
          <w:iCs/>
          <w:sz w:val="24"/>
          <w:szCs w:val="24"/>
        </w:rPr>
      </w:pPr>
      <w:r w:rsidRPr="00AE7E43">
        <w:rPr>
          <w:rFonts w:ascii="Arial" w:hAnsi="Arial" w:cs="Arial"/>
          <w:sz w:val="24"/>
          <w:szCs w:val="24"/>
        </w:rPr>
        <w:t>[3</w:t>
      </w:r>
      <w:r w:rsidR="00AE7E43">
        <w:rPr>
          <w:rFonts w:ascii="Arial" w:hAnsi="Arial" w:cs="Arial"/>
          <w:sz w:val="24"/>
          <w:szCs w:val="24"/>
        </w:rPr>
        <w:t>4</w:t>
      </w:r>
      <w:r w:rsidRPr="00AE7E43">
        <w:rPr>
          <w:rFonts w:ascii="Arial" w:hAnsi="Arial" w:cs="Arial"/>
          <w:sz w:val="24"/>
          <w:szCs w:val="24"/>
        </w:rPr>
        <w:t xml:space="preserve">]    </w:t>
      </w:r>
      <w:r w:rsidR="00AE7E43">
        <w:rPr>
          <w:rFonts w:ascii="Arial" w:hAnsi="Arial" w:cs="Arial"/>
          <w:sz w:val="24"/>
          <w:szCs w:val="24"/>
        </w:rPr>
        <w:tab/>
      </w:r>
      <w:r w:rsidR="00E55DE8" w:rsidRPr="00AE7E43">
        <w:rPr>
          <w:rFonts w:ascii="Arial" w:hAnsi="Arial" w:cs="Arial"/>
          <w:sz w:val="24"/>
          <w:szCs w:val="24"/>
        </w:rPr>
        <w:t xml:space="preserve">It is appropriate to remind the reader that a court should not rubber-stamp any agreement placed before it.  As Madlanga J put it in </w:t>
      </w:r>
      <w:r w:rsidR="00E55DE8" w:rsidRPr="00AE7E43">
        <w:rPr>
          <w:rFonts w:ascii="Arial" w:hAnsi="Arial" w:cs="Arial"/>
          <w:i/>
          <w:sz w:val="24"/>
          <w:szCs w:val="24"/>
        </w:rPr>
        <w:t>Eke supra</w:t>
      </w:r>
      <w:r w:rsidR="00E55DE8" w:rsidRPr="00AE7E43">
        <w:rPr>
          <w:rFonts w:ascii="Arial" w:hAnsi="Arial" w:cs="Arial"/>
          <w:sz w:val="24"/>
          <w:szCs w:val="24"/>
        </w:rPr>
        <w:t>,</w:t>
      </w:r>
      <w:r w:rsidR="00E55DE8" w:rsidRPr="00AE7E43">
        <w:rPr>
          <w:rStyle w:val="FootnoteReference"/>
          <w:rFonts w:ascii="Arial" w:hAnsi="Arial" w:cs="Arial"/>
          <w:sz w:val="24"/>
          <w:szCs w:val="24"/>
        </w:rPr>
        <w:footnoteReference w:id="39"/>
      </w:r>
      <w:r w:rsidR="00E55DE8" w:rsidRPr="00AE7E43">
        <w:rPr>
          <w:rFonts w:ascii="Arial" w:hAnsi="Arial" w:cs="Arial"/>
          <w:sz w:val="24"/>
          <w:szCs w:val="24"/>
        </w:rPr>
        <w:t xml:space="preserve"> a court must be satisfied that the order to be made is competent and proper - it should not be mechanical in its adoption of the terms of a settlement agreement.  An agreement unrelated to litigation may not be made an order of court, the reason being that parties contracting outside the context of litigation may not approach the court and request that the agreement be made an order of court.  The court referred to the example of two merchants that entered into an ordinary commercial agreement and then jointly approached the court to have it made an order of court to provide an effective remedy against possible breach of contract which the court declined to do in </w:t>
      </w:r>
      <w:r w:rsidR="00E55DE8" w:rsidRPr="00AE7E43">
        <w:rPr>
          <w:rFonts w:ascii="Arial" w:hAnsi="Arial" w:cs="Arial"/>
          <w:i/>
          <w:sz w:val="24"/>
          <w:szCs w:val="24"/>
        </w:rPr>
        <w:t>Hodd v Hodd: D’Abrey v D’ Abrey.</w:t>
      </w:r>
      <w:r w:rsidR="00E55DE8" w:rsidRPr="00AE7E43">
        <w:rPr>
          <w:rStyle w:val="FootnoteReference"/>
          <w:rFonts w:ascii="Arial" w:hAnsi="Arial" w:cs="Arial"/>
          <w:sz w:val="24"/>
          <w:szCs w:val="24"/>
        </w:rPr>
        <w:footnoteReference w:id="40"/>
      </w:r>
      <w:r w:rsidR="00E55DE8" w:rsidRPr="00AE7E43">
        <w:rPr>
          <w:rFonts w:ascii="Arial" w:hAnsi="Arial" w:cs="Arial"/>
          <w:i/>
          <w:sz w:val="24"/>
          <w:szCs w:val="24"/>
        </w:rPr>
        <w:t xml:space="preserve">  </w:t>
      </w:r>
      <w:r w:rsidR="009A4ADC" w:rsidRPr="006453AD">
        <w:rPr>
          <w:rFonts w:ascii="Arial" w:hAnsi="Arial" w:cs="Arial"/>
          <w:iCs/>
          <w:sz w:val="24"/>
          <w:szCs w:val="24"/>
        </w:rPr>
        <w:t>The Constitutional Court also held that the agreement to be made an order of court shall not be objectionable and its terms must be capable from a le</w:t>
      </w:r>
      <w:r w:rsidR="006453AD" w:rsidRPr="006453AD">
        <w:rPr>
          <w:rFonts w:ascii="Arial" w:hAnsi="Arial" w:cs="Arial"/>
          <w:iCs/>
          <w:sz w:val="24"/>
          <w:szCs w:val="24"/>
        </w:rPr>
        <w:t>gal and practical point of view</w:t>
      </w:r>
      <w:r w:rsidR="009A4ADC" w:rsidRPr="006453AD">
        <w:rPr>
          <w:rFonts w:ascii="Arial" w:hAnsi="Arial" w:cs="Arial"/>
          <w:iCs/>
          <w:sz w:val="24"/>
          <w:szCs w:val="24"/>
        </w:rPr>
        <w:t xml:space="preserve"> of being included in a court order, ie its terms must accord with </w:t>
      </w:r>
      <w:r w:rsidR="00BB77C1" w:rsidRPr="006453AD">
        <w:rPr>
          <w:rFonts w:ascii="Arial" w:hAnsi="Arial" w:cs="Arial"/>
          <w:iCs/>
          <w:sz w:val="24"/>
          <w:szCs w:val="24"/>
        </w:rPr>
        <w:t xml:space="preserve">both the Constitution </w:t>
      </w:r>
      <w:r w:rsidR="00BB77C1" w:rsidRPr="006453AD">
        <w:rPr>
          <w:rFonts w:ascii="Arial" w:hAnsi="Arial" w:cs="Arial"/>
          <w:iCs/>
          <w:sz w:val="24"/>
          <w:szCs w:val="24"/>
        </w:rPr>
        <w:lastRenderedPageBreak/>
        <w:t>and the law and must not be at odds with public policy.  Finally, the agreement must also hold some practical and legitimate advantage.</w:t>
      </w:r>
      <w:r w:rsidR="00BB77C1" w:rsidRPr="006453AD">
        <w:rPr>
          <w:rStyle w:val="FootnoteReference"/>
          <w:rFonts w:ascii="Arial" w:hAnsi="Arial" w:cs="Arial"/>
          <w:iCs/>
          <w:sz w:val="24"/>
          <w:szCs w:val="24"/>
        </w:rPr>
        <w:footnoteReference w:id="41"/>
      </w:r>
      <w:r w:rsidR="00BB77C1" w:rsidRPr="006453AD">
        <w:rPr>
          <w:rFonts w:ascii="Arial" w:hAnsi="Arial" w:cs="Arial"/>
          <w:iCs/>
          <w:sz w:val="24"/>
          <w:szCs w:val="24"/>
        </w:rPr>
        <w:t xml:space="preserve">  The court a</w:t>
      </w:r>
      <w:r w:rsidR="006453AD" w:rsidRPr="006453AD">
        <w:rPr>
          <w:rFonts w:ascii="Arial" w:hAnsi="Arial" w:cs="Arial"/>
          <w:iCs/>
          <w:sz w:val="24"/>
          <w:szCs w:val="24"/>
        </w:rPr>
        <w:t>lso accepted the inherent power</w:t>
      </w:r>
      <w:r w:rsidR="00BB77C1" w:rsidRPr="006453AD">
        <w:rPr>
          <w:rFonts w:ascii="Arial" w:hAnsi="Arial" w:cs="Arial"/>
          <w:iCs/>
          <w:sz w:val="24"/>
          <w:szCs w:val="24"/>
        </w:rPr>
        <w:t xml:space="preserve"> of t</w:t>
      </w:r>
      <w:r w:rsidR="006453AD" w:rsidRPr="006453AD">
        <w:rPr>
          <w:rFonts w:ascii="Arial" w:hAnsi="Arial" w:cs="Arial"/>
          <w:iCs/>
          <w:sz w:val="24"/>
          <w:szCs w:val="24"/>
        </w:rPr>
        <w:t>he courts to protect and regulate</w:t>
      </w:r>
      <w:r w:rsidR="00BB77C1" w:rsidRPr="006453AD">
        <w:rPr>
          <w:rFonts w:ascii="Arial" w:hAnsi="Arial" w:cs="Arial"/>
          <w:iCs/>
          <w:sz w:val="24"/>
          <w:szCs w:val="24"/>
        </w:rPr>
        <w:t xml:space="preserve"> their own process as provided for in s 173 of the Constitution.</w:t>
      </w:r>
      <w:r w:rsidR="00BB77C1" w:rsidRPr="006453AD">
        <w:rPr>
          <w:rStyle w:val="FootnoteReference"/>
          <w:rFonts w:ascii="Arial" w:hAnsi="Arial" w:cs="Arial"/>
          <w:iCs/>
          <w:sz w:val="24"/>
          <w:szCs w:val="24"/>
        </w:rPr>
        <w:footnoteReference w:id="42"/>
      </w:r>
    </w:p>
    <w:p w14:paraId="04DC82E5" w14:textId="77777777" w:rsidR="00477FA4" w:rsidRPr="00AE7E43" w:rsidRDefault="00477FA4" w:rsidP="006453AD">
      <w:pPr>
        <w:spacing w:after="0" w:line="360" w:lineRule="auto"/>
        <w:jc w:val="both"/>
        <w:rPr>
          <w:rFonts w:ascii="Arial" w:hAnsi="Arial" w:cs="Arial"/>
          <w:sz w:val="24"/>
          <w:szCs w:val="24"/>
        </w:rPr>
      </w:pPr>
    </w:p>
    <w:p w14:paraId="1A96354E" w14:textId="77777777" w:rsidR="00BB77C1" w:rsidRPr="006453AD" w:rsidRDefault="00BB77C1" w:rsidP="001E4D6E">
      <w:pPr>
        <w:spacing w:after="0" w:line="360" w:lineRule="auto"/>
        <w:ind w:left="993" w:hanging="993"/>
        <w:jc w:val="both"/>
        <w:rPr>
          <w:rFonts w:ascii="Arial" w:hAnsi="Arial" w:cs="Arial"/>
          <w:sz w:val="24"/>
          <w:szCs w:val="24"/>
        </w:rPr>
      </w:pPr>
      <w:r w:rsidRPr="006453AD">
        <w:rPr>
          <w:rFonts w:ascii="Arial" w:hAnsi="Arial" w:cs="Arial"/>
          <w:sz w:val="24"/>
          <w:szCs w:val="24"/>
        </w:rPr>
        <w:t>[3</w:t>
      </w:r>
      <w:r w:rsidR="00AE7E43" w:rsidRPr="006453AD">
        <w:rPr>
          <w:rFonts w:ascii="Arial" w:hAnsi="Arial" w:cs="Arial"/>
          <w:sz w:val="24"/>
          <w:szCs w:val="24"/>
        </w:rPr>
        <w:t>5</w:t>
      </w:r>
      <w:r w:rsidRPr="006453AD">
        <w:rPr>
          <w:rFonts w:ascii="Arial" w:hAnsi="Arial" w:cs="Arial"/>
          <w:sz w:val="24"/>
          <w:szCs w:val="24"/>
        </w:rPr>
        <w:t>]</w:t>
      </w:r>
      <w:r w:rsidRPr="006453AD">
        <w:rPr>
          <w:rFonts w:ascii="Arial" w:hAnsi="Arial" w:cs="Arial"/>
          <w:sz w:val="24"/>
          <w:szCs w:val="24"/>
        </w:rPr>
        <w:tab/>
        <w:t xml:space="preserve">The respondents </w:t>
      </w:r>
      <w:r w:rsidR="00161ED2" w:rsidRPr="006453AD">
        <w:rPr>
          <w:rFonts w:ascii="Arial" w:hAnsi="Arial" w:cs="Arial"/>
          <w:sz w:val="24"/>
          <w:szCs w:val="24"/>
        </w:rPr>
        <w:t>did not seek the re</w:t>
      </w:r>
      <w:r w:rsidR="00B67638" w:rsidRPr="006453AD">
        <w:rPr>
          <w:rFonts w:ascii="Arial" w:hAnsi="Arial" w:cs="Arial"/>
          <w:sz w:val="24"/>
          <w:szCs w:val="24"/>
        </w:rPr>
        <w:t>s</w:t>
      </w:r>
      <w:r w:rsidR="006453AD" w:rsidRPr="006453AD">
        <w:rPr>
          <w:rFonts w:ascii="Arial" w:hAnsi="Arial" w:cs="Arial"/>
          <w:sz w:val="24"/>
          <w:szCs w:val="24"/>
        </w:rPr>
        <w:t>cission of</w:t>
      </w:r>
      <w:r w:rsidR="00161ED2" w:rsidRPr="006453AD">
        <w:rPr>
          <w:rFonts w:ascii="Arial" w:hAnsi="Arial" w:cs="Arial"/>
          <w:sz w:val="24"/>
          <w:szCs w:val="24"/>
        </w:rPr>
        <w:t xml:space="preserve"> eit</w:t>
      </w:r>
      <w:r w:rsidR="006453AD" w:rsidRPr="006453AD">
        <w:rPr>
          <w:rFonts w:ascii="Arial" w:hAnsi="Arial" w:cs="Arial"/>
          <w:sz w:val="24"/>
          <w:szCs w:val="24"/>
        </w:rPr>
        <w:t>her the first or second order</w:t>
      </w:r>
      <w:r w:rsidR="00161ED2" w:rsidRPr="006453AD">
        <w:rPr>
          <w:rFonts w:ascii="Arial" w:hAnsi="Arial" w:cs="Arial"/>
          <w:sz w:val="24"/>
          <w:szCs w:val="24"/>
        </w:rPr>
        <w:t xml:space="preserve"> on the basis that these orders could not be </w:t>
      </w:r>
      <w:r w:rsidR="006453AD" w:rsidRPr="006453AD">
        <w:rPr>
          <w:rFonts w:ascii="Arial" w:hAnsi="Arial" w:cs="Arial"/>
          <w:sz w:val="24"/>
          <w:szCs w:val="24"/>
        </w:rPr>
        <w:t xml:space="preserve">issued in the absence of a </w:t>
      </w:r>
      <w:r w:rsidR="006453AD" w:rsidRPr="006453AD">
        <w:rPr>
          <w:rFonts w:ascii="Arial" w:hAnsi="Arial" w:cs="Arial"/>
          <w:i/>
          <w:sz w:val="24"/>
          <w:szCs w:val="24"/>
        </w:rPr>
        <w:t>lis</w:t>
      </w:r>
      <w:r w:rsidR="006453AD" w:rsidRPr="006453AD">
        <w:rPr>
          <w:rFonts w:ascii="Arial" w:hAnsi="Arial" w:cs="Arial"/>
          <w:sz w:val="24"/>
          <w:szCs w:val="24"/>
        </w:rPr>
        <w:t xml:space="preserve"> between them.  The aspect was consequently not properly canvassed.  </w:t>
      </w:r>
      <w:r w:rsidR="00F6138E" w:rsidRPr="006453AD">
        <w:rPr>
          <w:rFonts w:ascii="Arial" w:hAnsi="Arial" w:cs="Arial"/>
          <w:sz w:val="24"/>
          <w:szCs w:val="24"/>
        </w:rPr>
        <w:t xml:space="preserve">I accept that </w:t>
      </w:r>
      <w:r w:rsidR="007D113A" w:rsidRPr="006453AD">
        <w:rPr>
          <w:rFonts w:ascii="Arial" w:hAnsi="Arial" w:cs="Arial"/>
          <w:sz w:val="24"/>
          <w:szCs w:val="24"/>
        </w:rPr>
        <w:t>parties cannot and should not be allowed to ask</w:t>
      </w:r>
      <w:r w:rsidR="006453AD" w:rsidRPr="006453AD">
        <w:rPr>
          <w:rFonts w:ascii="Arial" w:hAnsi="Arial" w:cs="Arial"/>
          <w:sz w:val="24"/>
          <w:szCs w:val="24"/>
        </w:rPr>
        <w:t xml:space="preserve"> the court as a matter of cause</w:t>
      </w:r>
      <w:r w:rsidR="007D113A" w:rsidRPr="006453AD">
        <w:rPr>
          <w:rFonts w:ascii="Arial" w:hAnsi="Arial" w:cs="Arial"/>
          <w:sz w:val="24"/>
          <w:szCs w:val="24"/>
        </w:rPr>
        <w:t xml:space="preserve"> to make the</w:t>
      </w:r>
      <w:r w:rsidR="006453AD" w:rsidRPr="006453AD">
        <w:rPr>
          <w:rFonts w:ascii="Arial" w:hAnsi="Arial" w:cs="Arial"/>
          <w:sz w:val="24"/>
          <w:szCs w:val="24"/>
        </w:rPr>
        <w:t>ir commercial agreements</w:t>
      </w:r>
      <w:r w:rsidR="007D113A" w:rsidRPr="006453AD">
        <w:rPr>
          <w:rFonts w:ascii="Arial" w:hAnsi="Arial" w:cs="Arial"/>
          <w:sz w:val="24"/>
          <w:szCs w:val="24"/>
        </w:rPr>
        <w:t xml:space="preserve"> </w:t>
      </w:r>
      <w:r w:rsidR="006453AD" w:rsidRPr="006453AD">
        <w:rPr>
          <w:rFonts w:ascii="Arial" w:hAnsi="Arial" w:cs="Arial"/>
          <w:sz w:val="24"/>
          <w:szCs w:val="24"/>
        </w:rPr>
        <w:t>court orders</w:t>
      </w:r>
      <w:r w:rsidR="007D113A" w:rsidRPr="006453AD">
        <w:rPr>
          <w:rFonts w:ascii="Arial" w:hAnsi="Arial" w:cs="Arial"/>
          <w:sz w:val="24"/>
          <w:szCs w:val="24"/>
        </w:rPr>
        <w:t xml:space="preserve"> in line with the </w:t>
      </w:r>
      <w:r w:rsidR="006453AD" w:rsidRPr="006453AD">
        <w:rPr>
          <w:rFonts w:ascii="Arial" w:hAnsi="Arial" w:cs="Arial"/>
          <w:sz w:val="24"/>
          <w:szCs w:val="24"/>
        </w:rPr>
        <w:t>example reflected</w:t>
      </w:r>
      <w:r w:rsidR="007132CD" w:rsidRPr="006453AD">
        <w:rPr>
          <w:rFonts w:ascii="Arial" w:hAnsi="Arial" w:cs="Arial"/>
          <w:sz w:val="24"/>
          <w:szCs w:val="24"/>
        </w:rPr>
        <w:t xml:space="preserve"> in </w:t>
      </w:r>
      <w:r w:rsidR="007132CD" w:rsidRPr="006453AD">
        <w:rPr>
          <w:rFonts w:ascii="Arial" w:hAnsi="Arial" w:cs="Arial"/>
          <w:i/>
          <w:iCs/>
          <w:sz w:val="24"/>
          <w:szCs w:val="24"/>
        </w:rPr>
        <w:t>Eke v Parsons</w:t>
      </w:r>
      <w:r w:rsidR="007132CD" w:rsidRPr="006453AD">
        <w:rPr>
          <w:rFonts w:ascii="Arial" w:hAnsi="Arial" w:cs="Arial"/>
          <w:sz w:val="24"/>
          <w:szCs w:val="24"/>
        </w:rPr>
        <w:t xml:space="preserve"> above.</w:t>
      </w:r>
      <w:r w:rsidR="00CF2716" w:rsidRPr="006453AD">
        <w:rPr>
          <w:rFonts w:ascii="Arial" w:hAnsi="Arial" w:cs="Arial"/>
          <w:sz w:val="24"/>
          <w:szCs w:val="24"/>
        </w:rPr>
        <w:t xml:space="preserve">  This is not the function of the court.</w:t>
      </w:r>
      <w:r w:rsidR="006453AD" w:rsidRPr="006453AD">
        <w:rPr>
          <w:rFonts w:ascii="Arial" w:hAnsi="Arial" w:cs="Arial"/>
          <w:sz w:val="24"/>
          <w:szCs w:val="24"/>
        </w:rPr>
        <w:t xml:space="preserve">  </w:t>
      </w:r>
      <w:r w:rsidR="00D65183" w:rsidRPr="006453AD">
        <w:rPr>
          <w:rFonts w:ascii="Arial" w:hAnsi="Arial" w:cs="Arial"/>
          <w:sz w:val="24"/>
          <w:szCs w:val="24"/>
        </w:rPr>
        <w:t xml:space="preserve">In </w:t>
      </w:r>
      <w:r w:rsidR="00D65183" w:rsidRPr="006453AD">
        <w:rPr>
          <w:rFonts w:ascii="Arial" w:hAnsi="Arial" w:cs="Arial"/>
          <w:i/>
          <w:iCs/>
          <w:sz w:val="24"/>
          <w:szCs w:val="24"/>
        </w:rPr>
        <w:t>casu</w:t>
      </w:r>
      <w:r w:rsidR="00D65183" w:rsidRPr="006453AD">
        <w:rPr>
          <w:rFonts w:ascii="Arial" w:hAnsi="Arial" w:cs="Arial"/>
          <w:sz w:val="24"/>
          <w:szCs w:val="24"/>
        </w:rPr>
        <w:t xml:space="preserve"> the matter is about </w:t>
      </w:r>
      <w:r w:rsidR="006453AD" w:rsidRPr="006453AD">
        <w:rPr>
          <w:rFonts w:ascii="Arial" w:hAnsi="Arial" w:cs="Arial"/>
          <w:sz w:val="24"/>
          <w:szCs w:val="24"/>
        </w:rPr>
        <w:t>on all fours</w:t>
      </w:r>
      <w:r w:rsidR="00D65183" w:rsidRPr="006453AD">
        <w:rPr>
          <w:rFonts w:ascii="Arial" w:hAnsi="Arial" w:cs="Arial"/>
          <w:sz w:val="24"/>
          <w:szCs w:val="24"/>
        </w:rPr>
        <w:t xml:space="preserve"> with the facts in </w:t>
      </w:r>
      <w:r w:rsidR="00D65183" w:rsidRPr="006453AD">
        <w:rPr>
          <w:rFonts w:ascii="Arial" w:hAnsi="Arial" w:cs="Arial"/>
          <w:i/>
          <w:iCs/>
          <w:sz w:val="24"/>
          <w:szCs w:val="24"/>
        </w:rPr>
        <w:t>Growthpoint Properties Ltd v Makhonya Technologies (Pty) Ltd</w:t>
      </w:r>
      <w:r w:rsidR="000E3848" w:rsidRPr="006453AD">
        <w:rPr>
          <w:rFonts w:ascii="Arial" w:hAnsi="Arial" w:cs="Arial"/>
          <w:i/>
          <w:iCs/>
          <w:sz w:val="24"/>
          <w:szCs w:val="24"/>
        </w:rPr>
        <w:t xml:space="preserve"> and Others</w:t>
      </w:r>
      <w:r w:rsidR="000E3848" w:rsidRPr="006453AD">
        <w:rPr>
          <w:rFonts w:ascii="Arial" w:hAnsi="Arial" w:cs="Arial"/>
          <w:sz w:val="24"/>
          <w:szCs w:val="24"/>
        </w:rPr>
        <w:t>.</w:t>
      </w:r>
      <w:r w:rsidR="0095457E" w:rsidRPr="006453AD">
        <w:rPr>
          <w:rStyle w:val="FootnoteReference"/>
          <w:rFonts w:ascii="Arial" w:hAnsi="Arial" w:cs="Arial"/>
          <w:sz w:val="24"/>
          <w:szCs w:val="24"/>
        </w:rPr>
        <w:footnoteReference w:id="43"/>
      </w:r>
      <w:r w:rsidR="000E3848" w:rsidRPr="006453AD">
        <w:rPr>
          <w:rFonts w:ascii="Arial" w:hAnsi="Arial" w:cs="Arial"/>
          <w:sz w:val="24"/>
          <w:szCs w:val="24"/>
        </w:rPr>
        <w:t xml:space="preserve">  The respondents </w:t>
      </w:r>
      <w:r w:rsidR="006453AD" w:rsidRPr="006453AD">
        <w:rPr>
          <w:rFonts w:ascii="Arial" w:hAnsi="Arial" w:cs="Arial"/>
          <w:sz w:val="24"/>
          <w:szCs w:val="24"/>
        </w:rPr>
        <w:t>breached the various underlying</w:t>
      </w:r>
      <w:r w:rsidR="000E3848" w:rsidRPr="006453AD">
        <w:rPr>
          <w:rFonts w:ascii="Arial" w:hAnsi="Arial" w:cs="Arial"/>
          <w:sz w:val="24"/>
          <w:szCs w:val="24"/>
        </w:rPr>
        <w:t xml:space="preserve"> agreements and fell in arrears</w:t>
      </w:r>
      <w:r w:rsidR="007D29EA" w:rsidRPr="006453AD">
        <w:rPr>
          <w:rFonts w:ascii="Arial" w:hAnsi="Arial" w:cs="Arial"/>
          <w:sz w:val="24"/>
          <w:szCs w:val="24"/>
        </w:rPr>
        <w:t xml:space="preserve"> with payments.  It is not clear what else was in dispute, but </w:t>
      </w:r>
      <w:r w:rsidR="007A29F0" w:rsidRPr="006453AD">
        <w:rPr>
          <w:rFonts w:ascii="Arial" w:hAnsi="Arial" w:cs="Arial"/>
          <w:sz w:val="24"/>
          <w:szCs w:val="24"/>
        </w:rPr>
        <w:t xml:space="preserve">fact of the matter is </w:t>
      </w:r>
      <w:r w:rsidR="006453AD" w:rsidRPr="006453AD">
        <w:rPr>
          <w:rFonts w:ascii="Arial" w:hAnsi="Arial" w:cs="Arial"/>
          <w:sz w:val="24"/>
          <w:szCs w:val="24"/>
        </w:rPr>
        <w:t xml:space="preserve">that </w:t>
      </w:r>
      <w:r w:rsidR="007A29F0" w:rsidRPr="006453AD">
        <w:rPr>
          <w:rFonts w:ascii="Arial" w:hAnsi="Arial" w:cs="Arial"/>
          <w:sz w:val="24"/>
          <w:szCs w:val="24"/>
        </w:rPr>
        <w:t>they settled the dispute</w:t>
      </w:r>
      <w:r w:rsidR="006453AD" w:rsidRPr="006453AD">
        <w:rPr>
          <w:rFonts w:ascii="Arial" w:hAnsi="Arial" w:cs="Arial"/>
          <w:sz w:val="24"/>
          <w:szCs w:val="24"/>
        </w:rPr>
        <w:t>s</w:t>
      </w:r>
      <w:r w:rsidR="007A29F0" w:rsidRPr="006453AD">
        <w:rPr>
          <w:rFonts w:ascii="Arial" w:hAnsi="Arial" w:cs="Arial"/>
          <w:sz w:val="24"/>
          <w:szCs w:val="24"/>
        </w:rPr>
        <w:t xml:space="preserve"> and </w:t>
      </w:r>
      <w:r w:rsidR="0094523F" w:rsidRPr="006453AD">
        <w:rPr>
          <w:rFonts w:ascii="Arial" w:hAnsi="Arial" w:cs="Arial"/>
          <w:sz w:val="24"/>
          <w:szCs w:val="24"/>
        </w:rPr>
        <w:t>applicant allowed the respondent</w:t>
      </w:r>
      <w:r w:rsidR="00B82F60" w:rsidRPr="006453AD">
        <w:rPr>
          <w:rFonts w:ascii="Arial" w:hAnsi="Arial" w:cs="Arial"/>
          <w:sz w:val="24"/>
          <w:szCs w:val="24"/>
        </w:rPr>
        <w:t xml:space="preserve">s </w:t>
      </w:r>
      <w:r w:rsidR="00850041" w:rsidRPr="006453AD">
        <w:rPr>
          <w:rFonts w:ascii="Arial" w:hAnsi="Arial" w:cs="Arial"/>
          <w:sz w:val="24"/>
          <w:szCs w:val="24"/>
        </w:rPr>
        <w:t xml:space="preserve">further time </w:t>
      </w:r>
      <w:r w:rsidR="007F462B" w:rsidRPr="006453AD">
        <w:rPr>
          <w:rFonts w:ascii="Arial" w:hAnsi="Arial" w:cs="Arial"/>
          <w:sz w:val="24"/>
          <w:szCs w:val="24"/>
        </w:rPr>
        <w:t>to settle the debts.</w:t>
      </w:r>
      <w:r w:rsidR="006453AD">
        <w:rPr>
          <w:rFonts w:ascii="Arial" w:hAnsi="Arial" w:cs="Arial"/>
          <w:sz w:val="24"/>
          <w:szCs w:val="24"/>
        </w:rPr>
        <w:t xml:space="preserve">  I am satisfied that</w:t>
      </w:r>
      <w:r w:rsidR="00F905E0">
        <w:rPr>
          <w:rFonts w:ascii="Arial" w:hAnsi="Arial" w:cs="Arial"/>
          <w:sz w:val="24"/>
          <w:szCs w:val="24"/>
        </w:rPr>
        <w:t xml:space="preserve"> I am now called upon to grant orders flowing from the second court order and therefore the </w:t>
      </w:r>
      <w:r w:rsidR="00F905E0" w:rsidRPr="00F905E0">
        <w:rPr>
          <w:rFonts w:ascii="Arial" w:hAnsi="Arial" w:cs="Arial"/>
          <w:i/>
          <w:sz w:val="24"/>
          <w:szCs w:val="24"/>
        </w:rPr>
        <w:t>dictum</w:t>
      </w:r>
      <w:r w:rsidR="00F905E0">
        <w:rPr>
          <w:rFonts w:ascii="Arial" w:hAnsi="Arial" w:cs="Arial"/>
          <w:sz w:val="24"/>
          <w:szCs w:val="24"/>
        </w:rPr>
        <w:t xml:space="preserve"> of the Constitutional Court does not come into play at this stage.  The scenario might have been different if an objection was raised at the stage when the parties requested the court to make the settlement agreement an order of court.  Whatever the situation, there is no justifiable ground to rescind any of the two orders. </w:t>
      </w:r>
    </w:p>
    <w:p w14:paraId="0F87A7F6" w14:textId="77777777" w:rsidR="00BB77C1" w:rsidRPr="00AE7E43" w:rsidRDefault="00BB77C1" w:rsidP="001E4D6E">
      <w:pPr>
        <w:spacing w:after="0" w:line="360" w:lineRule="auto"/>
        <w:ind w:left="993" w:hanging="993"/>
        <w:jc w:val="both"/>
        <w:rPr>
          <w:rFonts w:ascii="Arial" w:hAnsi="Arial" w:cs="Arial"/>
          <w:sz w:val="24"/>
          <w:szCs w:val="24"/>
        </w:rPr>
      </w:pPr>
    </w:p>
    <w:p w14:paraId="62434BCD" w14:textId="77777777" w:rsidR="00414053" w:rsidRPr="00AE7E43" w:rsidRDefault="001E0EAA" w:rsidP="001E4D6E">
      <w:pPr>
        <w:spacing w:after="0" w:line="360" w:lineRule="auto"/>
        <w:ind w:left="993" w:hanging="993"/>
        <w:jc w:val="both"/>
        <w:rPr>
          <w:rFonts w:ascii="Arial" w:hAnsi="Arial" w:cs="Arial"/>
          <w:sz w:val="24"/>
          <w:szCs w:val="24"/>
        </w:rPr>
      </w:pPr>
      <w:r w:rsidRPr="00AE7E43">
        <w:rPr>
          <w:rFonts w:ascii="Arial" w:hAnsi="Arial" w:cs="Arial"/>
          <w:sz w:val="24"/>
          <w:szCs w:val="24"/>
        </w:rPr>
        <w:t>[3</w:t>
      </w:r>
      <w:r w:rsidR="00AE7E43">
        <w:rPr>
          <w:rFonts w:ascii="Arial" w:hAnsi="Arial" w:cs="Arial"/>
          <w:sz w:val="24"/>
          <w:szCs w:val="24"/>
        </w:rPr>
        <w:t>6</w:t>
      </w:r>
      <w:r w:rsidR="008A11D1" w:rsidRPr="00AE7E43">
        <w:rPr>
          <w:rFonts w:ascii="Arial" w:hAnsi="Arial" w:cs="Arial"/>
          <w:sz w:val="24"/>
          <w:szCs w:val="24"/>
        </w:rPr>
        <w:t xml:space="preserve">]    </w:t>
      </w:r>
      <w:r w:rsidR="001E4D6E" w:rsidRPr="00AE7E43">
        <w:rPr>
          <w:rFonts w:ascii="Arial" w:hAnsi="Arial" w:cs="Arial"/>
          <w:sz w:val="24"/>
          <w:szCs w:val="24"/>
        </w:rPr>
        <w:tab/>
      </w:r>
      <w:r w:rsidR="008A11D1" w:rsidRPr="00AE7E43">
        <w:rPr>
          <w:rFonts w:ascii="Arial" w:hAnsi="Arial" w:cs="Arial"/>
          <w:sz w:val="24"/>
          <w:szCs w:val="24"/>
        </w:rPr>
        <w:t xml:space="preserve">The respondents averred that the application was prematurely issued insofar as the applicant failed to issue a notice in terms of as 129 of the NCA.  In </w:t>
      </w:r>
      <w:r w:rsidR="008A11D1" w:rsidRPr="00AE7E43">
        <w:rPr>
          <w:rFonts w:ascii="Arial" w:hAnsi="Arial" w:cs="Arial"/>
          <w:i/>
          <w:sz w:val="24"/>
          <w:szCs w:val="24"/>
        </w:rPr>
        <w:t xml:space="preserve">Eke v Parsons </w:t>
      </w:r>
      <w:r w:rsidR="008A11D1" w:rsidRPr="00AE7E43">
        <w:rPr>
          <w:rFonts w:ascii="Arial" w:hAnsi="Arial" w:cs="Arial"/>
          <w:sz w:val="24"/>
          <w:szCs w:val="24"/>
        </w:rPr>
        <w:t>the defendant also raised this point,</w:t>
      </w:r>
      <w:r w:rsidR="00CB4792" w:rsidRPr="00AE7E43">
        <w:rPr>
          <w:rFonts w:ascii="Arial" w:hAnsi="Arial" w:cs="Arial"/>
          <w:sz w:val="24"/>
          <w:szCs w:val="24"/>
        </w:rPr>
        <w:t xml:space="preserve"> but the High Court dismissed it</w:t>
      </w:r>
      <w:r w:rsidR="008A11D1" w:rsidRPr="00AE7E43">
        <w:rPr>
          <w:rFonts w:ascii="Arial" w:hAnsi="Arial" w:cs="Arial"/>
          <w:sz w:val="24"/>
          <w:szCs w:val="24"/>
        </w:rPr>
        <w:t xml:space="preserve"> </w:t>
      </w:r>
      <w:r w:rsidR="00F905E0">
        <w:rPr>
          <w:rFonts w:ascii="Arial" w:hAnsi="Arial" w:cs="Arial"/>
          <w:sz w:val="24"/>
          <w:szCs w:val="24"/>
        </w:rPr>
        <w:t xml:space="preserve">as </w:t>
      </w:r>
      <w:r w:rsidR="008A11D1" w:rsidRPr="00AE7E43">
        <w:rPr>
          <w:rFonts w:ascii="Arial" w:hAnsi="Arial" w:cs="Arial"/>
          <w:sz w:val="24"/>
          <w:szCs w:val="24"/>
        </w:rPr>
        <w:t xml:space="preserve">well as all his other defences.  The same defences were then relied upon in his application for leave to appeal to the Constitutional Court.  Although limited success was achieved, that court did not grant leave to appeal in respect of the s 129 defence.  The facts in </w:t>
      </w:r>
      <w:r w:rsidR="008A11D1" w:rsidRPr="00AE7E43">
        <w:rPr>
          <w:rFonts w:ascii="Arial" w:hAnsi="Arial" w:cs="Arial"/>
          <w:i/>
          <w:sz w:val="24"/>
          <w:szCs w:val="24"/>
        </w:rPr>
        <w:t>Eke v Parsons</w:t>
      </w:r>
      <w:r w:rsidR="008A11D1" w:rsidRPr="00AE7E43">
        <w:rPr>
          <w:rFonts w:ascii="Arial" w:hAnsi="Arial" w:cs="Arial"/>
          <w:sz w:val="24"/>
          <w:szCs w:val="24"/>
        </w:rPr>
        <w:t xml:space="preserve"> differ </w:t>
      </w:r>
      <w:r w:rsidR="008A11D1" w:rsidRPr="00AE7E43">
        <w:rPr>
          <w:rFonts w:ascii="Arial" w:hAnsi="Arial" w:cs="Arial"/>
          <w:sz w:val="24"/>
          <w:szCs w:val="24"/>
        </w:rPr>
        <w:lastRenderedPageBreak/>
        <w:t xml:space="preserve">from those </w:t>
      </w:r>
      <w:r w:rsidR="008A11D1" w:rsidRPr="00AE7E43">
        <w:rPr>
          <w:rFonts w:ascii="Arial" w:hAnsi="Arial" w:cs="Arial"/>
          <w:i/>
          <w:sz w:val="24"/>
          <w:szCs w:val="24"/>
        </w:rPr>
        <w:t>in casu</w:t>
      </w:r>
      <w:r w:rsidR="008A11D1" w:rsidRPr="00AE7E43">
        <w:rPr>
          <w:rFonts w:ascii="Arial" w:hAnsi="Arial" w:cs="Arial"/>
          <w:sz w:val="24"/>
          <w:szCs w:val="24"/>
        </w:rPr>
        <w:t xml:space="preserve"> as </w:t>
      </w:r>
      <w:r w:rsidR="00414053" w:rsidRPr="00AE7E43">
        <w:rPr>
          <w:rFonts w:ascii="Arial" w:hAnsi="Arial" w:cs="Arial"/>
          <w:sz w:val="24"/>
          <w:szCs w:val="24"/>
        </w:rPr>
        <w:t>in that case the plaintiff again brought an application for summary judgment after the defendant had reneged on the settlement agreement which w</w:t>
      </w:r>
      <w:r w:rsidR="00023560" w:rsidRPr="00AE7E43">
        <w:rPr>
          <w:rFonts w:ascii="Arial" w:hAnsi="Arial" w:cs="Arial"/>
          <w:sz w:val="24"/>
          <w:szCs w:val="24"/>
        </w:rPr>
        <w:t xml:space="preserve">as made an order of court.  </w:t>
      </w:r>
      <w:r w:rsidR="00023560" w:rsidRPr="00AE7E43">
        <w:rPr>
          <w:rFonts w:ascii="Arial" w:hAnsi="Arial" w:cs="Arial"/>
          <w:i/>
          <w:sz w:val="24"/>
          <w:szCs w:val="24"/>
        </w:rPr>
        <w:t>In casu,</w:t>
      </w:r>
      <w:r w:rsidR="00023560" w:rsidRPr="00AE7E43">
        <w:rPr>
          <w:rFonts w:ascii="Arial" w:hAnsi="Arial" w:cs="Arial"/>
          <w:sz w:val="24"/>
          <w:szCs w:val="24"/>
        </w:rPr>
        <w:t xml:space="preserve"> there was no prior litigation between the parties who then </w:t>
      </w:r>
      <w:r w:rsidR="00414053" w:rsidRPr="00AE7E43">
        <w:rPr>
          <w:rFonts w:ascii="Arial" w:hAnsi="Arial" w:cs="Arial"/>
          <w:sz w:val="24"/>
          <w:szCs w:val="24"/>
        </w:rPr>
        <w:t>agreed in the second settlement agreement that the applicant may proceed with further action</w:t>
      </w:r>
      <w:r w:rsidR="00023560" w:rsidRPr="00AE7E43">
        <w:rPr>
          <w:rFonts w:ascii="Arial" w:hAnsi="Arial" w:cs="Arial"/>
          <w:sz w:val="24"/>
          <w:szCs w:val="24"/>
        </w:rPr>
        <w:t xml:space="preserve"> in the event of the respondent</w:t>
      </w:r>
      <w:r w:rsidR="00414053" w:rsidRPr="00AE7E43">
        <w:rPr>
          <w:rFonts w:ascii="Arial" w:hAnsi="Arial" w:cs="Arial"/>
          <w:sz w:val="24"/>
          <w:szCs w:val="24"/>
        </w:rPr>
        <w:t>s</w:t>
      </w:r>
      <w:r w:rsidR="00023560" w:rsidRPr="00AE7E43">
        <w:rPr>
          <w:rFonts w:ascii="Arial" w:hAnsi="Arial" w:cs="Arial"/>
          <w:sz w:val="24"/>
          <w:szCs w:val="24"/>
        </w:rPr>
        <w:t>’</w:t>
      </w:r>
      <w:r w:rsidR="00F905E0">
        <w:rPr>
          <w:rFonts w:ascii="Arial" w:hAnsi="Arial" w:cs="Arial"/>
          <w:sz w:val="24"/>
          <w:szCs w:val="24"/>
        </w:rPr>
        <w:t xml:space="preserve"> failure to comply</w:t>
      </w:r>
      <w:r w:rsidR="00414053" w:rsidRPr="00AE7E43">
        <w:rPr>
          <w:rFonts w:ascii="Arial" w:hAnsi="Arial" w:cs="Arial"/>
          <w:sz w:val="24"/>
          <w:szCs w:val="24"/>
        </w:rPr>
        <w:t xml:space="preserve"> and </w:t>
      </w:r>
      <w:r w:rsidR="00023560" w:rsidRPr="00AE7E43">
        <w:rPr>
          <w:rFonts w:ascii="Arial" w:hAnsi="Arial" w:cs="Arial"/>
          <w:sz w:val="24"/>
          <w:szCs w:val="24"/>
        </w:rPr>
        <w:t>after 7 days’ written notice.  The s 129 defence is obviously only available to the 5</w:t>
      </w:r>
      <w:r w:rsidR="00023560" w:rsidRPr="00AE7E43">
        <w:rPr>
          <w:rFonts w:ascii="Arial" w:hAnsi="Arial" w:cs="Arial"/>
          <w:sz w:val="24"/>
          <w:szCs w:val="24"/>
          <w:vertAlign w:val="superscript"/>
        </w:rPr>
        <w:t>th</w:t>
      </w:r>
      <w:r w:rsidR="00023560" w:rsidRPr="00AE7E43">
        <w:rPr>
          <w:rFonts w:ascii="Arial" w:hAnsi="Arial" w:cs="Arial"/>
          <w:sz w:val="24"/>
          <w:szCs w:val="24"/>
        </w:rPr>
        <w:t xml:space="preserve"> and 6</w:t>
      </w:r>
      <w:r w:rsidR="00023560" w:rsidRPr="00AE7E43">
        <w:rPr>
          <w:rFonts w:ascii="Arial" w:hAnsi="Arial" w:cs="Arial"/>
          <w:sz w:val="24"/>
          <w:szCs w:val="24"/>
          <w:vertAlign w:val="superscript"/>
        </w:rPr>
        <w:t>th</w:t>
      </w:r>
      <w:r w:rsidR="00023560" w:rsidRPr="00AE7E43">
        <w:rPr>
          <w:rFonts w:ascii="Arial" w:hAnsi="Arial" w:cs="Arial"/>
          <w:sz w:val="24"/>
          <w:szCs w:val="24"/>
        </w:rPr>
        <w:t xml:space="preserve"> respondents. Although a strong argument may be made out that no</w:t>
      </w:r>
      <w:r w:rsidR="00414053" w:rsidRPr="00AE7E43">
        <w:rPr>
          <w:rFonts w:ascii="Arial" w:hAnsi="Arial" w:cs="Arial"/>
          <w:sz w:val="24"/>
          <w:szCs w:val="24"/>
        </w:rPr>
        <w:t xml:space="preserve"> notice as con</w:t>
      </w:r>
      <w:r w:rsidR="00023560" w:rsidRPr="00AE7E43">
        <w:rPr>
          <w:rFonts w:ascii="Arial" w:hAnsi="Arial" w:cs="Arial"/>
          <w:sz w:val="24"/>
          <w:szCs w:val="24"/>
        </w:rPr>
        <w:t>templated in s 129 was required, I would rather err on the side of caution and not grant orders against the 5</w:t>
      </w:r>
      <w:r w:rsidR="00023560" w:rsidRPr="00AE7E43">
        <w:rPr>
          <w:rFonts w:ascii="Arial" w:hAnsi="Arial" w:cs="Arial"/>
          <w:sz w:val="24"/>
          <w:szCs w:val="24"/>
          <w:vertAlign w:val="superscript"/>
        </w:rPr>
        <w:t>th</w:t>
      </w:r>
      <w:r w:rsidR="00023560" w:rsidRPr="00AE7E43">
        <w:rPr>
          <w:rFonts w:ascii="Arial" w:hAnsi="Arial" w:cs="Arial"/>
          <w:sz w:val="24"/>
          <w:szCs w:val="24"/>
        </w:rPr>
        <w:t xml:space="preserve"> and 6</w:t>
      </w:r>
      <w:r w:rsidR="00023560" w:rsidRPr="00AE7E43">
        <w:rPr>
          <w:rFonts w:ascii="Arial" w:hAnsi="Arial" w:cs="Arial"/>
          <w:sz w:val="24"/>
          <w:szCs w:val="24"/>
          <w:vertAlign w:val="superscript"/>
        </w:rPr>
        <w:t>th</w:t>
      </w:r>
      <w:r w:rsidR="00023560" w:rsidRPr="00AE7E43">
        <w:rPr>
          <w:rFonts w:ascii="Arial" w:hAnsi="Arial" w:cs="Arial"/>
          <w:sz w:val="24"/>
          <w:szCs w:val="24"/>
        </w:rPr>
        <w:t xml:space="preserve"> respondents at this stage.  </w:t>
      </w:r>
    </w:p>
    <w:p w14:paraId="4ABFE398" w14:textId="77777777" w:rsidR="008A11D1" w:rsidRPr="00AE7E43" w:rsidRDefault="008A11D1" w:rsidP="001E4D6E">
      <w:pPr>
        <w:spacing w:after="0" w:line="360" w:lineRule="auto"/>
        <w:ind w:left="993" w:hanging="993"/>
        <w:jc w:val="both"/>
        <w:rPr>
          <w:rFonts w:ascii="Arial" w:hAnsi="Arial" w:cs="Arial"/>
          <w:sz w:val="24"/>
          <w:szCs w:val="24"/>
        </w:rPr>
      </w:pPr>
    </w:p>
    <w:p w14:paraId="3E8B1C2E" w14:textId="77777777" w:rsidR="0063072E" w:rsidRPr="00AE7E43" w:rsidRDefault="001E0EAA" w:rsidP="001E4D6E">
      <w:pPr>
        <w:spacing w:after="0" w:line="360" w:lineRule="auto"/>
        <w:ind w:left="993" w:hanging="993"/>
        <w:jc w:val="both"/>
        <w:rPr>
          <w:rFonts w:ascii="Arial" w:hAnsi="Arial" w:cs="Arial"/>
          <w:sz w:val="24"/>
          <w:szCs w:val="24"/>
        </w:rPr>
      </w:pPr>
      <w:r w:rsidRPr="00AE7E43">
        <w:rPr>
          <w:rFonts w:ascii="Arial" w:hAnsi="Arial" w:cs="Arial"/>
          <w:sz w:val="24"/>
          <w:szCs w:val="24"/>
        </w:rPr>
        <w:t>[37</w:t>
      </w:r>
      <w:r w:rsidR="0063072E" w:rsidRPr="00AE7E43">
        <w:rPr>
          <w:rFonts w:ascii="Arial" w:hAnsi="Arial" w:cs="Arial"/>
          <w:sz w:val="24"/>
          <w:szCs w:val="24"/>
        </w:rPr>
        <w:t>]</w:t>
      </w:r>
      <w:r w:rsidR="0063072E" w:rsidRPr="00AE7E43">
        <w:rPr>
          <w:rFonts w:ascii="Arial" w:hAnsi="Arial" w:cs="Arial"/>
          <w:sz w:val="24"/>
          <w:szCs w:val="24"/>
        </w:rPr>
        <w:tab/>
        <w:t xml:space="preserve">More often than not, debtors confronted with claims for payment of their debts raise the reckless credit defence.  In many of these instances the debtors who obtained credit to buy luxury vehicles or homes and/or for substantial farming operations, insist on keeping possession of the goods whilst relying on a defence of reckless credit.  One would have thought that the defaulting debtors would do the right thing, </w:t>
      </w:r>
      <w:r w:rsidR="0063072E" w:rsidRPr="00AE7E43">
        <w:rPr>
          <w:rFonts w:ascii="Arial" w:hAnsi="Arial" w:cs="Arial"/>
          <w:i/>
          <w:sz w:val="24"/>
          <w:szCs w:val="24"/>
        </w:rPr>
        <w:t>i.e.</w:t>
      </w:r>
      <w:r w:rsidR="0063072E" w:rsidRPr="00AE7E43">
        <w:rPr>
          <w:rFonts w:ascii="Arial" w:hAnsi="Arial" w:cs="Arial"/>
          <w:sz w:val="24"/>
          <w:szCs w:val="24"/>
        </w:rPr>
        <w:t xml:space="preserve"> to return the goods if they are not in a financial position to pay the debts and then raise the defence of reckless credit.  I still have to come across the last-mentioned situation.</w:t>
      </w:r>
      <w:r w:rsidR="00414053" w:rsidRPr="00AE7E43">
        <w:rPr>
          <w:rFonts w:ascii="Arial" w:hAnsi="Arial" w:cs="Arial"/>
          <w:sz w:val="24"/>
          <w:szCs w:val="24"/>
        </w:rPr>
        <w:t xml:space="preserve">  </w:t>
      </w:r>
      <w:r w:rsidR="00414053" w:rsidRPr="00AE7E43">
        <w:rPr>
          <w:rFonts w:ascii="Arial" w:hAnsi="Arial" w:cs="Arial"/>
          <w:i/>
          <w:sz w:val="24"/>
          <w:szCs w:val="24"/>
        </w:rPr>
        <w:t>In casu</w:t>
      </w:r>
      <w:r w:rsidR="00414053" w:rsidRPr="00AE7E43">
        <w:rPr>
          <w:rFonts w:ascii="Arial" w:hAnsi="Arial" w:cs="Arial"/>
          <w:sz w:val="24"/>
          <w:szCs w:val="24"/>
        </w:rPr>
        <w:t xml:space="preserve"> it is not the respondents’ case that reckless credit was provided when the underlying agreements were entered into.  They aver that when the settlement agreements were entered into</w:t>
      </w:r>
      <w:r w:rsidR="00CB4792" w:rsidRPr="00AE7E43">
        <w:rPr>
          <w:rFonts w:ascii="Arial" w:hAnsi="Arial" w:cs="Arial"/>
          <w:sz w:val="24"/>
          <w:szCs w:val="24"/>
        </w:rPr>
        <w:t>,</w:t>
      </w:r>
      <w:r w:rsidR="00414053" w:rsidRPr="00AE7E43">
        <w:rPr>
          <w:rFonts w:ascii="Arial" w:hAnsi="Arial" w:cs="Arial"/>
          <w:sz w:val="24"/>
          <w:szCs w:val="24"/>
        </w:rPr>
        <w:t xml:space="preserve"> the applicant was obliged to conduct the same </w:t>
      </w:r>
      <w:r w:rsidR="007F53C2" w:rsidRPr="00AE7E43">
        <w:rPr>
          <w:rFonts w:ascii="Arial" w:hAnsi="Arial" w:cs="Arial"/>
          <w:sz w:val="24"/>
          <w:szCs w:val="24"/>
        </w:rPr>
        <w:t>credit analysis as was required when the respondents applied for credit initially.  This is really a fanciful argument without any substance.  Again, it is reiterated that neither of the two settlement agreements are credit agreements within the ambit of the NCA.</w:t>
      </w:r>
    </w:p>
    <w:p w14:paraId="79C4E201" w14:textId="77777777" w:rsidR="0063072E" w:rsidRPr="00AE7E43" w:rsidRDefault="0063072E" w:rsidP="001E4D6E">
      <w:pPr>
        <w:spacing w:after="0" w:line="360" w:lineRule="auto"/>
        <w:ind w:left="993" w:hanging="993"/>
        <w:jc w:val="both"/>
        <w:rPr>
          <w:rFonts w:ascii="Arial" w:hAnsi="Arial" w:cs="Arial"/>
          <w:sz w:val="24"/>
          <w:szCs w:val="24"/>
        </w:rPr>
      </w:pPr>
    </w:p>
    <w:p w14:paraId="111F43A4" w14:textId="77777777" w:rsidR="001E00AF" w:rsidRPr="00AE7E43" w:rsidRDefault="001E0EAA" w:rsidP="001E4D6E">
      <w:pPr>
        <w:spacing w:after="0" w:line="360" w:lineRule="auto"/>
        <w:ind w:left="993" w:hanging="993"/>
        <w:jc w:val="both"/>
        <w:rPr>
          <w:rFonts w:ascii="Arial" w:hAnsi="Arial" w:cs="Arial"/>
          <w:sz w:val="24"/>
          <w:szCs w:val="24"/>
        </w:rPr>
      </w:pPr>
      <w:r w:rsidRPr="00AE7E43">
        <w:rPr>
          <w:rFonts w:ascii="Arial" w:hAnsi="Arial" w:cs="Arial"/>
          <w:sz w:val="24"/>
          <w:szCs w:val="24"/>
        </w:rPr>
        <w:t>[38</w:t>
      </w:r>
      <w:r w:rsidR="001E00AF" w:rsidRPr="00AE7E43">
        <w:rPr>
          <w:rFonts w:ascii="Arial" w:hAnsi="Arial" w:cs="Arial"/>
          <w:sz w:val="24"/>
          <w:szCs w:val="24"/>
        </w:rPr>
        <w:t>]</w:t>
      </w:r>
      <w:r w:rsidR="001E00AF" w:rsidRPr="00AE7E43">
        <w:rPr>
          <w:rFonts w:ascii="Arial" w:hAnsi="Arial" w:cs="Arial"/>
          <w:sz w:val="24"/>
          <w:szCs w:val="24"/>
        </w:rPr>
        <w:tab/>
        <w:t xml:space="preserve">Issues raised pertaining to </w:t>
      </w:r>
      <w:r w:rsidR="001E00AF" w:rsidRPr="00AE7E43">
        <w:rPr>
          <w:rFonts w:ascii="Arial" w:hAnsi="Arial" w:cs="Arial"/>
          <w:sz w:val="20"/>
          <w:szCs w:val="20"/>
        </w:rPr>
        <w:t>“a supplementary agreement”</w:t>
      </w:r>
      <w:r w:rsidR="007B15FE" w:rsidRPr="00AE7E43">
        <w:rPr>
          <w:rFonts w:ascii="Arial" w:hAnsi="Arial" w:cs="Arial"/>
          <w:sz w:val="24"/>
          <w:szCs w:val="24"/>
        </w:rPr>
        <w:t xml:space="preserve"> referred to</w:t>
      </w:r>
      <w:r w:rsidR="001E00AF" w:rsidRPr="00AE7E43">
        <w:rPr>
          <w:rFonts w:ascii="Arial" w:hAnsi="Arial" w:cs="Arial"/>
          <w:sz w:val="24"/>
          <w:szCs w:val="24"/>
        </w:rPr>
        <w:t xml:space="preserve"> in ss 89 and 91 of the NCA must also be</w:t>
      </w:r>
      <w:r w:rsidR="007B15FE" w:rsidRPr="00AE7E43">
        <w:rPr>
          <w:rFonts w:ascii="Arial" w:hAnsi="Arial" w:cs="Arial"/>
          <w:sz w:val="24"/>
          <w:szCs w:val="24"/>
        </w:rPr>
        <w:t xml:space="preserve"> considered.  The purpose of the provision</w:t>
      </w:r>
      <w:r w:rsidR="001E00AF" w:rsidRPr="00AE7E43">
        <w:rPr>
          <w:rFonts w:ascii="Arial" w:hAnsi="Arial" w:cs="Arial"/>
          <w:sz w:val="24"/>
          <w:szCs w:val="24"/>
        </w:rPr>
        <w:t xml:space="preserve"> in s 89(2) that a credit agreement is unlawful if it is a supplementary agreement or document prohibited by s 91(a) is clear.  A consumer should not be required or induced by a credit provider to enter into a supplementary agreement, </w:t>
      </w:r>
      <w:r w:rsidR="007B15FE" w:rsidRPr="00AE7E43">
        <w:rPr>
          <w:rFonts w:ascii="Arial" w:hAnsi="Arial" w:cs="Arial"/>
          <w:sz w:val="24"/>
          <w:szCs w:val="24"/>
        </w:rPr>
        <w:t xml:space="preserve">to wit a separate agreement </w:t>
      </w:r>
      <w:r w:rsidR="001E00AF" w:rsidRPr="00AE7E43">
        <w:rPr>
          <w:rFonts w:ascii="Arial" w:hAnsi="Arial" w:cs="Arial"/>
          <w:sz w:val="24"/>
          <w:szCs w:val="24"/>
        </w:rPr>
        <w:t>that contains a provision t</w:t>
      </w:r>
      <w:r w:rsidR="00CB4792" w:rsidRPr="00AE7E43">
        <w:rPr>
          <w:rFonts w:ascii="Arial" w:hAnsi="Arial" w:cs="Arial"/>
          <w:sz w:val="24"/>
          <w:szCs w:val="24"/>
        </w:rPr>
        <w:t>hat would be unlawful if it was</w:t>
      </w:r>
      <w:r w:rsidR="001E00AF" w:rsidRPr="00AE7E43">
        <w:rPr>
          <w:rFonts w:ascii="Arial" w:hAnsi="Arial" w:cs="Arial"/>
          <w:sz w:val="24"/>
          <w:szCs w:val="24"/>
        </w:rPr>
        <w:t xml:space="preserve"> included in the credit agreement.  The Supreme Court </w:t>
      </w:r>
      <w:r w:rsidR="001E00AF" w:rsidRPr="00AE7E43">
        <w:rPr>
          <w:rFonts w:ascii="Arial" w:hAnsi="Arial" w:cs="Arial"/>
          <w:sz w:val="24"/>
          <w:szCs w:val="24"/>
        </w:rPr>
        <w:lastRenderedPageBreak/>
        <w:t xml:space="preserve">of Appeal dealt with this aspect in </w:t>
      </w:r>
      <w:r w:rsidR="001E00AF" w:rsidRPr="00AE7E43">
        <w:rPr>
          <w:rFonts w:ascii="Arial" w:hAnsi="Arial" w:cs="Arial"/>
          <w:i/>
          <w:iCs/>
          <w:sz w:val="24"/>
          <w:szCs w:val="24"/>
        </w:rPr>
        <w:t>National Credit Reg</w:t>
      </w:r>
      <w:r w:rsidR="00CB4792" w:rsidRPr="00AE7E43">
        <w:rPr>
          <w:rFonts w:ascii="Arial" w:hAnsi="Arial" w:cs="Arial"/>
          <w:i/>
          <w:iCs/>
          <w:sz w:val="24"/>
          <w:szCs w:val="24"/>
        </w:rPr>
        <w:t>ulator v Lewis Stores (Pty) Ltd.</w:t>
      </w:r>
      <w:r w:rsidR="001E00AF" w:rsidRPr="00AE7E43">
        <w:rPr>
          <w:rStyle w:val="FootnoteReference"/>
          <w:rFonts w:ascii="Arial" w:hAnsi="Arial" w:cs="Arial"/>
          <w:sz w:val="24"/>
          <w:szCs w:val="24"/>
        </w:rPr>
        <w:footnoteReference w:id="44"/>
      </w:r>
      <w:r w:rsidR="001E00AF" w:rsidRPr="00AE7E43">
        <w:rPr>
          <w:rFonts w:ascii="Arial" w:hAnsi="Arial" w:cs="Arial"/>
          <w:sz w:val="24"/>
          <w:szCs w:val="24"/>
        </w:rPr>
        <w:t xml:space="preserve"> I quote:</w:t>
      </w:r>
    </w:p>
    <w:p w14:paraId="7772A70B" w14:textId="77777777" w:rsidR="001E00AF" w:rsidRPr="00AE7E43" w:rsidRDefault="001E00AF" w:rsidP="001E4D6E">
      <w:pPr>
        <w:spacing w:after="0" w:line="360" w:lineRule="auto"/>
        <w:ind w:left="993" w:hanging="993"/>
        <w:jc w:val="both"/>
        <w:rPr>
          <w:rStyle w:val="field-content"/>
          <w:rFonts w:ascii="Arial" w:hAnsi="Arial" w:cs="Arial"/>
          <w:sz w:val="20"/>
          <w:szCs w:val="20"/>
        </w:rPr>
      </w:pPr>
      <w:r w:rsidRPr="00AE7E43">
        <w:rPr>
          <w:rFonts w:ascii="Arial" w:hAnsi="Arial" w:cs="Arial"/>
          <w:sz w:val="24"/>
          <w:szCs w:val="24"/>
        </w:rPr>
        <w:tab/>
      </w:r>
      <w:r w:rsidRPr="00AE7E43">
        <w:rPr>
          <w:rFonts w:ascii="Arial" w:hAnsi="Arial" w:cs="Arial"/>
          <w:sz w:val="20"/>
          <w:szCs w:val="20"/>
        </w:rPr>
        <w:t>“</w:t>
      </w:r>
      <w:r w:rsidRPr="00AE7E43">
        <w:rPr>
          <w:rStyle w:val="field-content"/>
          <w:rFonts w:ascii="Arial" w:hAnsi="Arial" w:cs="Arial"/>
          <w:sz w:val="20"/>
          <w:szCs w:val="20"/>
        </w:rPr>
        <w:t>Section 90(2) lists a number of provisions which would be unlawful if they were contained in a credit agreement and s 91 is directed at preventing a credit provider from circumventing the provisions of s 90 by recording provisions which would be unlawful if included in a credit agreement in a separate supplementary agreement or unilateral document signed by the consumer.”</w:t>
      </w:r>
    </w:p>
    <w:p w14:paraId="047F413E" w14:textId="77777777" w:rsidR="007F53C2" w:rsidRPr="00AE7E43" w:rsidRDefault="007F53C2" w:rsidP="001E4D6E">
      <w:pPr>
        <w:spacing w:after="0" w:line="360" w:lineRule="auto"/>
        <w:ind w:left="993" w:hanging="993"/>
        <w:jc w:val="both"/>
        <w:rPr>
          <w:rStyle w:val="field-content"/>
          <w:rFonts w:ascii="Arial" w:hAnsi="Arial" w:cs="Arial"/>
          <w:sz w:val="20"/>
          <w:szCs w:val="20"/>
        </w:rPr>
      </w:pPr>
    </w:p>
    <w:p w14:paraId="20F69EE6" w14:textId="77777777" w:rsidR="007F53C2" w:rsidRPr="00AE7E43" w:rsidRDefault="007F53C2" w:rsidP="001E4D6E">
      <w:pPr>
        <w:spacing w:after="0" w:line="360" w:lineRule="auto"/>
        <w:ind w:left="993" w:hanging="993"/>
        <w:jc w:val="both"/>
        <w:rPr>
          <w:rStyle w:val="field-content"/>
          <w:rFonts w:ascii="Arial" w:hAnsi="Arial" w:cs="Arial"/>
          <w:sz w:val="24"/>
          <w:szCs w:val="24"/>
        </w:rPr>
      </w:pPr>
      <w:r w:rsidRPr="00AE7E43">
        <w:rPr>
          <w:rStyle w:val="field-content"/>
          <w:rFonts w:ascii="Arial" w:hAnsi="Arial" w:cs="Arial"/>
          <w:sz w:val="20"/>
          <w:szCs w:val="20"/>
        </w:rPr>
        <w:t xml:space="preserve">              </w:t>
      </w:r>
      <w:r w:rsidR="001E4D6E" w:rsidRPr="00AE7E43">
        <w:rPr>
          <w:rStyle w:val="field-content"/>
          <w:rFonts w:ascii="Arial" w:hAnsi="Arial" w:cs="Arial"/>
          <w:sz w:val="20"/>
          <w:szCs w:val="20"/>
        </w:rPr>
        <w:tab/>
      </w:r>
      <w:r w:rsidRPr="00AE7E43">
        <w:rPr>
          <w:rStyle w:val="field-content"/>
          <w:rFonts w:ascii="Arial" w:hAnsi="Arial" w:cs="Arial"/>
          <w:sz w:val="24"/>
          <w:szCs w:val="24"/>
        </w:rPr>
        <w:t>Again, the settlement agreements are not subject to the NCA.  These agreements did not supplement any terms of the original credit agreements</w:t>
      </w:r>
      <w:r w:rsidR="00C85B16" w:rsidRPr="00AE7E43">
        <w:rPr>
          <w:rStyle w:val="field-content"/>
          <w:rFonts w:ascii="Arial" w:hAnsi="Arial" w:cs="Arial"/>
          <w:sz w:val="24"/>
          <w:szCs w:val="24"/>
        </w:rPr>
        <w:t>, but were entered into some time thereafter in order to provide extension of payment</w:t>
      </w:r>
      <w:r w:rsidR="006670A3">
        <w:rPr>
          <w:rStyle w:val="field-content"/>
          <w:rFonts w:ascii="Arial" w:hAnsi="Arial" w:cs="Arial"/>
          <w:sz w:val="24"/>
          <w:szCs w:val="24"/>
        </w:rPr>
        <w:t>.  The first agreement made</w:t>
      </w:r>
      <w:r w:rsidRPr="00AE7E43">
        <w:rPr>
          <w:rStyle w:val="field-content"/>
          <w:rFonts w:ascii="Arial" w:hAnsi="Arial" w:cs="Arial"/>
          <w:sz w:val="24"/>
          <w:szCs w:val="24"/>
        </w:rPr>
        <w:t xml:space="preserve"> it clear that the parties </w:t>
      </w:r>
      <w:r w:rsidRPr="00AE7E43">
        <w:rPr>
          <w:rStyle w:val="field-content"/>
          <w:rFonts w:ascii="Arial" w:hAnsi="Arial" w:cs="Arial"/>
          <w:sz w:val="20"/>
          <w:szCs w:val="20"/>
        </w:rPr>
        <w:t>“have reached a settlement with regard to the indebtedness of the Debtors to the Bank”</w:t>
      </w:r>
      <w:r w:rsidRPr="00AE7E43">
        <w:rPr>
          <w:rStyle w:val="field-content"/>
          <w:rFonts w:ascii="Arial" w:hAnsi="Arial" w:cs="Arial"/>
          <w:sz w:val="24"/>
          <w:szCs w:val="24"/>
        </w:rPr>
        <w:t xml:space="preserve"> and the second agreement </w:t>
      </w:r>
      <w:r w:rsidR="006670A3">
        <w:rPr>
          <w:rStyle w:val="field-content"/>
          <w:rFonts w:ascii="Arial" w:hAnsi="Arial" w:cs="Arial"/>
          <w:sz w:val="24"/>
          <w:szCs w:val="24"/>
        </w:rPr>
        <w:t>confirmed</w:t>
      </w:r>
      <w:r w:rsidR="00C85B16" w:rsidRPr="00AE7E43">
        <w:rPr>
          <w:rStyle w:val="field-content"/>
          <w:rFonts w:ascii="Arial" w:hAnsi="Arial" w:cs="Arial"/>
          <w:sz w:val="24"/>
          <w:szCs w:val="24"/>
        </w:rPr>
        <w:t xml:space="preserve"> that the parties “</w:t>
      </w:r>
      <w:r w:rsidR="00C85B16" w:rsidRPr="00AE7E43">
        <w:rPr>
          <w:rStyle w:val="field-content"/>
          <w:rFonts w:ascii="Arial" w:hAnsi="Arial" w:cs="Arial"/>
          <w:sz w:val="20"/>
          <w:szCs w:val="20"/>
        </w:rPr>
        <w:t>have reached a new settlement with regard to the indebtedness of the Debtors.”</w:t>
      </w:r>
      <w:r w:rsidR="00C85B16" w:rsidRPr="00AE7E43">
        <w:rPr>
          <w:rStyle w:val="FootnoteReference"/>
          <w:rFonts w:ascii="Arial" w:hAnsi="Arial" w:cs="Arial"/>
          <w:sz w:val="20"/>
          <w:szCs w:val="20"/>
        </w:rPr>
        <w:footnoteReference w:id="45"/>
      </w:r>
      <w:r w:rsidRPr="00AE7E43">
        <w:rPr>
          <w:rStyle w:val="field-content"/>
          <w:rFonts w:ascii="Arial" w:hAnsi="Arial" w:cs="Arial"/>
          <w:sz w:val="24"/>
          <w:szCs w:val="24"/>
        </w:rPr>
        <w:t xml:space="preserve">  </w:t>
      </w:r>
    </w:p>
    <w:p w14:paraId="303A99F3" w14:textId="77777777" w:rsidR="00964E03" w:rsidRPr="00AE7E43" w:rsidRDefault="00964E03" w:rsidP="001E4D6E">
      <w:pPr>
        <w:spacing w:after="0" w:line="360" w:lineRule="auto"/>
        <w:ind w:left="993" w:hanging="993"/>
        <w:jc w:val="both"/>
        <w:rPr>
          <w:rStyle w:val="field-content"/>
          <w:rFonts w:ascii="Arial" w:hAnsi="Arial" w:cs="Arial"/>
          <w:sz w:val="24"/>
          <w:szCs w:val="24"/>
        </w:rPr>
      </w:pPr>
    </w:p>
    <w:p w14:paraId="5330C230" w14:textId="77777777" w:rsidR="00C85B16" w:rsidRPr="00AE7E43" w:rsidRDefault="001E0EAA" w:rsidP="001E4D6E">
      <w:pPr>
        <w:spacing w:after="0" w:line="360" w:lineRule="auto"/>
        <w:ind w:left="993" w:hanging="993"/>
        <w:jc w:val="both"/>
        <w:rPr>
          <w:rStyle w:val="field-content"/>
          <w:rFonts w:ascii="Arial" w:hAnsi="Arial" w:cs="Arial"/>
          <w:sz w:val="24"/>
          <w:szCs w:val="24"/>
        </w:rPr>
      </w:pPr>
      <w:r w:rsidRPr="00AE7E43">
        <w:rPr>
          <w:rStyle w:val="field-content"/>
          <w:rFonts w:ascii="Arial" w:hAnsi="Arial" w:cs="Arial"/>
          <w:sz w:val="24"/>
          <w:szCs w:val="24"/>
        </w:rPr>
        <w:t>[39</w:t>
      </w:r>
      <w:r w:rsidR="001E4D6E" w:rsidRPr="00AE7E43">
        <w:rPr>
          <w:rStyle w:val="field-content"/>
          <w:rFonts w:ascii="Arial" w:hAnsi="Arial" w:cs="Arial"/>
          <w:sz w:val="24"/>
          <w:szCs w:val="24"/>
        </w:rPr>
        <w:t>]</w:t>
      </w:r>
      <w:r w:rsidR="001E4D6E" w:rsidRPr="00AE7E43">
        <w:rPr>
          <w:rStyle w:val="field-content"/>
          <w:rFonts w:ascii="Arial" w:hAnsi="Arial" w:cs="Arial"/>
          <w:sz w:val="24"/>
          <w:szCs w:val="24"/>
        </w:rPr>
        <w:tab/>
      </w:r>
      <w:r w:rsidR="00C85B16" w:rsidRPr="00AE7E43">
        <w:rPr>
          <w:rStyle w:val="field-content"/>
          <w:rFonts w:ascii="Arial" w:hAnsi="Arial" w:cs="Arial"/>
          <w:sz w:val="24"/>
          <w:szCs w:val="24"/>
        </w:rPr>
        <w:t xml:space="preserve">There is no substance in the argument that ss 4(4) applies </w:t>
      </w:r>
      <w:r w:rsidR="00C85B16" w:rsidRPr="00AE7E43">
        <w:rPr>
          <w:rStyle w:val="field-content"/>
          <w:rFonts w:ascii="Arial" w:hAnsi="Arial" w:cs="Arial"/>
          <w:i/>
          <w:sz w:val="24"/>
          <w:szCs w:val="24"/>
        </w:rPr>
        <w:t>in casu</w:t>
      </w:r>
      <w:r w:rsidR="00C85B16" w:rsidRPr="00AE7E43">
        <w:rPr>
          <w:rStyle w:val="field-content"/>
          <w:rFonts w:ascii="Arial" w:hAnsi="Arial" w:cs="Arial"/>
          <w:sz w:val="24"/>
          <w:szCs w:val="24"/>
        </w:rPr>
        <w:t>.  Firstly</w:t>
      </w:r>
      <w:r w:rsidR="00477FA4" w:rsidRPr="00AE7E43">
        <w:rPr>
          <w:rStyle w:val="field-content"/>
          <w:rFonts w:ascii="Arial" w:hAnsi="Arial" w:cs="Arial"/>
          <w:sz w:val="24"/>
          <w:szCs w:val="24"/>
        </w:rPr>
        <w:t>,</w:t>
      </w:r>
      <w:r w:rsidR="00C85B16" w:rsidRPr="00AE7E43">
        <w:rPr>
          <w:rStyle w:val="field-content"/>
          <w:rFonts w:ascii="Arial" w:hAnsi="Arial" w:cs="Arial"/>
          <w:sz w:val="24"/>
          <w:szCs w:val="24"/>
        </w:rPr>
        <w:t xml:space="preserve"> the only agreement that could possibl</w:t>
      </w:r>
      <w:r w:rsidR="00477FA4" w:rsidRPr="00AE7E43">
        <w:rPr>
          <w:rStyle w:val="field-content"/>
          <w:rFonts w:ascii="Arial" w:hAnsi="Arial" w:cs="Arial"/>
          <w:sz w:val="24"/>
          <w:szCs w:val="24"/>
        </w:rPr>
        <w:t>y be effected is the current acc</w:t>
      </w:r>
      <w:r w:rsidR="00C85B16" w:rsidRPr="00AE7E43">
        <w:rPr>
          <w:rStyle w:val="field-content"/>
          <w:rFonts w:ascii="Arial" w:hAnsi="Arial" w:cs="Arial"/>
          <w:sz w:val="24"/>
          <w:szCs w:val="24"/>
        </w:rPr>
        <w:t xml:space="preserve">ount agreement.  </w:t>
      </w:r>
      <w:r w:rsidR="00477FA4" w:rsidRPr="00AE7E43">
        <w:rPr>
          <w:rStyle w:val="field-content"/>
          <w:rFonts w:ascii="Arial" w:hAnsi="Arial" w:cs="Arial"/>
          <w:sz w:val="24"/>
          <w:szCs w:val="24"/>
        </w:rPr>
        <w:t>Even so</w:t>
      </w:r>
      <w:r w:rsidR="00C85B16" w:rsidRPr="00AE7E43">
        <w:rPr>
          <w:rStyle w:val="field-content"/>
          <w:rFonts w:ascii="Arial" w:hAnsi="Arial" w:cs="Arial"/>
          <w:sz w:val="24"/>
          <w:szCs w:val="24"/>
        </w:rPr>
        <w:t xml:space="preserve">, </w:t>
      </w:r>
      <w:r w:rsidR="00477FA4" w:rsidRPr="00AE7E43">
        <w:rPr>
          <w:rStyle w:val="field-content"/>
          <w:rFonts w:ascii="Arial" w:hAnsi="Arial" w:cs="Arial"/>
          <w:sz w:val="24"/>
          <w:szCs w:val="24"/>
        </w:rPr>
        <w:t>a literal interpretation would lead to a conclusion that</w:t>
      </w:r>
      <w:r w:rsidR="00C85B16" w:rsidRPr="00AE7E43">
        <w:rPr>
          <w:rStyle w:val="field-content"/>
          <w:rFonts w:ascii="Arial" w:hAnsi="Arial" w:cs="Arial"/>
          <w:sz w:val="24"/>
          <w:szCs w:val="24"/>
        </w:rPr>
        <w:t xml:space="preserve"> parties </w:t>
      </w:r>
      <w:r w:rsidR="00477FA4" w:rsidRPr="00AE7E43">
        <w:rPr>
          <w:rStyle w:val="field-content"/>
          <w:rFonts w:ascii="Arial" w:hAnsi="Arial" w:cs="Arial"/>
          <w:sz w:val="24"/>
          <w:szCs w:val="24"/>
        </w:rPr>
        <w:t xml:space="preserve">to a credit agreement that are in dispute about, for example an outstanding balance due before or after action was instituted for payment, would never be able to settle their dispute in a settlement agreement as those </w:t>
      </w:r>
      <w:r w:rsidR="00477FA4" w:rsidRPr="00AE7E43">
        <w:rPr>
          <w:rStyle w:val="field-content"/>
          <w:rFonts w:ascii="Arial" w:hAnsi="Arial" w:cs="Arial"/>
          <w:i/>
          <w:sz w:val="24"/>
          <w:szCs w:val="24"/>
        </w:rPr>
        <w:t>in casu</w:t>
      </w:r>
      <w:r w:rsidR="00477FA4" w:rsidRPr="00AE7E43">
        <w:rPr>
          <w:rStyle w:val="field-content"/>
          <w:rFonts w:ascii="Arial" w:hAnsi="Arial" w:cs="Arial"/>
          <w:sz w:val="24"/>
          <w:szCs w:val="24"/>
        </w:rPr>
        <w:t xml:space="preserve"> and to have that made an order of court if they so wish</w:t>
      </w:r>
      <w:r w:rsidRPr="00AE7E43">
        <w:rPr>
          <w:rStyle w:val="field-content"/>
          <w:rFonts w:ascii="Arial" w:hAnsi="Arial" w:cs="Arial"/>
          <w:sz w:val="24"/>
          <w:szCs w:val="24"/>
        </w:rPr>
        <w:t>, unless there is compliance with the NCA</w:t>
      </w:r>
      <w:r w:rsidR="00477FA4" w:rsidRPr="00AE7E43">
        <w:rPr>
          <w:rStyle w:val="field-content"/>
          <w:rFonts w:ascii="Arial" w:hAnsi="Arial" w:cs="Arial"/>
          <w:sz w:val="24"/>
          <w:szCs w:val="24"/>
        </w:rPr>
        <w:t>.  In my view the legislature did not have in mind such unbusinesslike consequences. The context of the provision and purpose of the legislature point in an opposite direction.</w:t>
      </w:r>
      <w:r w:rsidRPr="00AE7E43">
        <w:rPr>
          <w:rStyle w:val="field-content"/>
          <w:rFonts w:ascii="Arial" w:hAnsi="Arial" w:cs="Arial"/>
          <w:sz w:val="24"/>
          <w:szCs w:val="24"/>
        </w:rPr>
        <w:t xml:space="preserve">  I am satisfied that the same approach adopted in </w:t>
      </w:r>
      <w:r w:rsidRPr="00AE7E43">
        <w:rPr>
          <w:rStyle w:val="field-content"/>
          <w:rFonts w:ascii="Arial" w:hAnsi="Arial" w:cs="Arial"/>
          <w:i/>
          <w:sz w:val="24"/>
          <w:szCs w:val="24"/>
        </w:rPr>
        <w:t>Ratlou supra</w:t>
      </w:r>
      <w:r w:rsidRPr="00AE7E43">
        <w:rPr>
          <w:rStyle w:val="field-content"/>
          <w:rFonts w:ascii="Arial" w:hAnsi="Arial" w:cs="Arial"/>
          <w:sz w:val="24"/>
          <w:szCs w:val="24"/>
        </w:rPr>
        <w:t xml:space="preserve"> pertaining to ss 8(4)(f) should apply in this respect.</w:t>
      </w:r>
    </w:p>
    <w:p w14:paraId="10968D26" w14:textId="77777777" w:rsidR="00C77BD9" w:rsidRPr="00AE7E43" w:rsidRDefault="00C77BD9" w:rsidP="001E4D6E">
      <w:pPr>
        <w:spacing w:after="0" w:line="360" w:lineRule="auto"/>
        <w:ind w:left="993" w:hanging="993"/>
        <w:jc w:val="both"/>
        <w:rPr>
          <w:rStyle w:val="field-content"/>
          <w:rFonts w:ascii="Arial" w:hAnsi="Arial" w:cs="Arial"/>
          <w:sz w:val="24"/>
          <w:szCs w:val="24"/>
        </w:rPr>
      </w:pPr>
    </w:p>
    <w:p w14:paraId="7AB198E2" w14:textId="4FBF839D" w:rsidR="00C77BD9" w:rsidRPr="00AE7E43" w:rsidRDefault="001E0EAA" w:rsidP="001E4D6E">
      <w:pPr>
        <w:spacing w:after="0" w:line="360" w:lineRule="auto"/>
        <w:ind w:left="993" w:hanging="993"/>
        <w:jc w:val="both"/>
        <w:rPr>
          <w:rStyle w:val="field-content"/>
          <w:rFonts w:ascii="Arial" w:hAnsi="Arial" w:cs="Arial"/>
          <w:sz w:val="24"/>
          <w:szCs w:val="24"/>
        </w:rPr>
      </w:pPr>
      <w:r w:rsidRPr="00AE7E43">
        <w:rPr>
          <w:rStyle w:val="field-content"/>
          <w:rFonts w:ascii="Arial" w:hAnsi="Arial" w:cs="Arial"/>
          <w:sz w:val="24"/>
          <w:szCs w:val="24"/>
        </w:rPr>
        <w:t>[40</w:t>
      </w:r>
      <w:r w:rsidR="00C77BD9" w:rsidRPr="00AE7E43">
        <w:rPr>
          <w:rStyle w:val="field-content"/>
          <w:rFonts w:ascii="Arial" w:hAnsi="Arial" w:cs="Arial"/>
          <w:sz w:val="24"/>
          <w:szCs w:val="24"/>
        </w:rPr>
        <w:t xml:space="preserve">]   </w:t>
      </w:r>
      <w:r w:rsidRPr="00AE7E43">
        <w:rPr>
          <w:rStyle w:val="field-content"/>
          <w:rFonts w:ascii="Arial" w:hAnsi="Arial" w:cs="Arial"/>
          <w:sz w:val="24"/>
          <w:szCs w:val="24"/>
        </w:rPr>
        <w:t xml:space="preserve">   </w:t>
      </w:r>
      <w:r w:rsidR="004A5728">
        <w:rPr>
          <w:rStyle w:val="field-content"/>
          <w:rFonts w:ascii="Arial" w:hAnsi="Arial" w:cs="Arial"/>
          <w:sz w:val="24"/>
          <w:szCs w:val="24"/>
        </w:rPr>
        <w:tab/>
      </w:r>
      <w:r w:rsidRPr="00AE7E43">
        <w:rPr>
          <w:rStyle w:val="field-content"/>
          <w:rFonts w:ascii="Arial" w:hAnsi="Arial" w:cs="Arial"/>
          <w:sz w:val="24"/>
          <w:szCs w:val="24"/>
        </w:rPr>
        <w:t>The respondent</w:t>
      </w:r>
      <w:r w:rsidR="00CB4792" w:rsidRPr="00AE7E43">
        <w:rPr>
          <w:rStyle w:val="field-content"/>
          <w:rFonts w:ascii="Arial" w:hAnsi="Arial" w:cs="Arial"/>
          <w:sz w:val="24"/>
          <w:szCs w:val="24"/>
        </w:rPr>
        <w:t>s</w:t>
      </w:r>
      <w:r w:rsidRPr="00AE7E43">
        <w:rPr>
          <w:rStyle w:val="field-content"/>
          <w:rFonts w:ascii="Arial" w:hAnsi="Arial" w:cs="Arial"/>
          <w:sz w:val="24"/>
          <w:szCs w:val="24"/>
        </w:rPr>
        <w:t xml:space="preserve"> also aver</w:t>
      </w:r>
      <w:r w:rsidR="00CB4792" w:rsidRPr="00AE7E43">
        <w:rPr>
          <w:rStyle w:val="field-content"/>
          <w:rFonts w:ascii="Arial" w:hAnsi="Arial" w:cs="Arial"/>
          <w:sz w:val="24"/>
          <w:szCs w:val="24"/>
        </w:rPr>
        <w:t>red</w:t>
      </w:r>
      <w:r w:rsidRPr="00AE7E43">
        <w:rPr>
          <w:rStyle w:val="field-content"/>
          <w:rFonts w:ascii="Arial" w:hAnsi="Arial" w:cs="Arial"/>
          <w:sz w:val="24"/>
          <w:szCs w:val="24"/>
        </w:rPr>
        <w:t xml:space="preserve"> that they could not validly have renounced the benefits of the common law exception, </w:t>
      </w:r>
      <w:r w:rsidRPr="00AE7E43">
        <w:rPr>
          <w:rStyle w:val="field-content"/>
          <w:rFonts w:ascii="Arial" w:hAnsi="Arial" w:cs="Arial"/>
          <w:i/>
          <w:sz w:val="24"/>
          <w:szCs w:val="24"/>
        </w:rPr>
        <w:t>errore calculi</w:t>
      </w:r>
      <w:r w:rsidRPr="00AE7E43">
        <w:rPr>
          <w:rStyle w:val="field-content"/>
          <w:rFonts w:ascii="Arial" w:hAnsi="Arial" w:cs="Arial"/>
          <w:sz w:val="24"/>
          <w:szCs w:val="24"/>
        </w:rPr>
        <w:t>.</w:t>
      </w:r>
      <w:r w:rsidRPr="00AE7E43">
        <w:rPr>
          <w:rStyle w:val="FootnoteReference"/>
          <w:rFonts w:ascii="Arial" w:hAnsi="Arial" w:cs="Arial"/>
          <w:sz w:val="24"/>
          <w:szCs w:val="24"/>
        </w:rPr>
        <w:footnoteReference w:id="46"/>
      </w:r>
      <w:r w:rsidR="00CB4792" w:rsidRPr="00AE7E43">
        <w:rPr>
          <w:rStyle w:val="field-content"/>
          <w:rFonts w:ascii="Arial" w:hAnsi="Arial" w:cs="Arial"/>
          <w:sz w:val="24"/>
          <w:szCs w:val="24"/>
        </w:rPr>
        <w:t xml:space="preserve">  This allegation</w:t>
      </w:r>
      <w:r w:rsidR="007F7715" w:rsidRPr="00AE7E43">
        <w:rPr>
          <w:rStyle w:val="field-content"/>
          <w:rFonts w:ascii="Arial" w:hAnsi="Arial" w:cs="Arial"/>
          <w:sz w:val="24"/>
          <w:szCs w:val="24"/>
        </w:rPr>
        <w:t xml:space="preserve"> is again based on the NCA which is not a</w:t>
      </w:r>
      <w:r w:rsidR="00CB4792" w:rsidRPr="00AE7E43">
        <w:rPr>
          <w:rStyle w:val="field-content"/>
          <w:rFonts w:ascii="Arial" w:hAnsi="Arial" w:cs="Arial"/>
          <w:sz w:val="24"/>
          <w:szCs w:val="24"/>
        </w:rPr>
        <w:t xml:space="preserve">pplicable.  </w:t>
      </w:r>
      <w:r w:rsidR="007F7715" w:rsidRPr="00AE7E43">
        <w:rPr>
          <w:rStyle w:val="field-content"/>
          <w:rFonts w:ascii="Arial" w:hAnsi="Arial" w:cs="Arial"/>
          <w:sz w:val="24"/>
          <w:szCs w:val="24"/>
        </w:rPr>
        <w:t xml:space="preserve">Nothing more needs to be </w:t>
      </w:r>
      <w:r w:rsidR="007F7715" w:rsidRPr="00AE7E43">
        <w:rPr>
          <w:rStyle w:val="field-content"/>
          <w:rFonts w:ascii="Arial" w:hAnsi="Arial" w:cs="Arial"/>
          <w:sz w:val="24"/>
          <w:szCs w:val="24"/>
        </w:rPr>
        <w:lastRenderedPageBreak/>
        <w:t>said, save perhaps that the calculations provided by Mr Pretorius are clearly incorrect. This evidence was merely presented in a last-ditch attem</w:t>
      </w:r>
      <w:r w:rsidR="00CB4792" w:rsidRPr="00AE7E43">
        <w:rPr>
          <w:rStyle w:val="field-content"/>
          <w:rFonts w:ascii="Arial" w:hAnsi="Arial" w:cs="Arial"/>
          <w:sz w:val="24"/>
          <w:szCs w:val="24"/>
        </w:rPr>
        <w:t>pt to oppose a water-tight case,</w:t>
      </w:r>
      <w:r w:rsidR="007F7715" w:rsidRPr="00AE7E43">
        <w:rPr>
          <w:rStyle w:val="field-content"/>
          <w:rFonts w:ascii="Arial" w:hAnsi="Arial" w:cs="Arial"/>
          <w:sz w:val="24"/>
          <w:szCs w:val="24"/>
        </w:rPr>
        <w:t xml:space="preserve"> a </w:t>
      </w:r>
      <w:r w:rsidR="007F7715" w:rsidRPr="00AE7E43">
        <w:rPr>
          <w:rStyle w:val="field-content"/>
          <w:rFonts w:ascii="Arial" w:hAnsi="Arial" w:cs="Arial"/>
          <w:i/>
          <w:sz w:val="24"/>
          <w:szCs w:val="24"/>
        </w:rPr>
        <w:t>mala fide</w:t>
      </w:r>
      <w:r w:rsidR="007F7715" w:rsidRPr="00AE7E43">
        <w:rPr>
          <w:rStyle w:val="field-content"/>
          <w:rFonts w:ascii="Arial" w:hAnsi="Arial" w:cs="Arial"/>
          <w:sz w:val="24"/>
          <w:szCs w:val="24"/>
        </w:rPr>
        <w:t xml:space="preserve"> attempt to create a factual dispute</w:t>
      </w:r>
      <w:r w:rsidR="00CB4792" w:rsidRPr="00AE7E43">
        <w:rPr>
          <w:rStyle w:val="field-content"/>
          <w:rFonts w:ascii="Arial" w:hAnsi="Arial" w:cs="Arial"/>
          <w:sz w:val="24"/>
          <w:szCs w:val="24"/>
        </w:rPr>
        <w:t xml:space="preserve"> as alleged by the applicant</w:t>
      </w:r>
      <w:r w:rsidR="007F7715" w:rsidRPr="00AE7E43">
        <w:rPr>
          <w:rStyle w:val="field-content"/>
          <w:rFonts w:ascii="Arial" w:hAnsi="Arial" w:cs="Arial"/>
          <w:sz w:val="24"/>
          <w:szCs w:val="24"/>
        </w:rPr>
        <w:t>.</w:t>
      </w:r>
    </w:p>
    <w:p w14:paraId="0A430B25" w14:textId="77777777" w:rsidR="00C77BD9" w:rsidRPr="00AE7E43" w:rsidRDefault="00C77BD9" w:rsidP="001E4D6E">
      <w:pPr>
        <w:spacing w:after="0" w:line="360" w:lineRule="auto"/>
        <w:ind w:left="993" w:hanging="993"/>
        <w:jc w:val="both"/>
        <w:rPr>
          <w:rStyle w:val="field-content"/>
          <w:rFonts w:ascii="Arial" w:hAnsi="Arial" w:cs="Arial"/>
          <w:sz w:val="24"/>
          <w:szCs w:val="24"/>
        </w:rPr>
      </w:pPr>
    </w:p>
    <w:p w14:paraId="490F336D" w14:textId="77777777" w:rsidR="00C77BD9" w:rsidRPr="00AE7E43" w:rsidRDefault="001E0EAA" w:rsidP="001E4D6E">
      <w:pPr>
        <w:spacing w:after="0" w:line="360" w:lineRule="auto"/>
        <w:ind w:left="993" w:hanging="993"/>
        <w:jc w:val="both"/>
        <w:rPr>
          <w:rStyle w:val="field-content"/>
          <w:rFonts w:ascii="Arial" w:hAnsi="Arial" w:cs="Arial"/>
          <w:sz w:val="24"/>
          <w:szCs w:val="24"/>
        </w:rPr>
      </w:pPr>
      <w:r w:rsidRPr="00AE7E43">
        <w:rPr>
          <w:rStyle w:val="field-content"/>
          <w:rFonts w:ascii="Arial" w:hAnsi="Arial" w:cs="Arial"/>
          <w:sz w:val="24"/>
          <w:szCs w:val="24"/>
        </w:rPr>
        <w:t>[41</w:t>
      </w:r>
      <w:r w:rsidR="00C77BD9" w:rsidRPr="00AE7E43">
        <w:rPr>
          <w:rStyle w:val="field-content"/>
          <w:rFonts w:ascii="Arial" w:hAnsi="Arial" w:cs="Arial"/>
          <w:sz w:val="24"/>
          <w:szCs w:val="24"/>
        </w:rPr>
        <w:t>]</w:t>
      </w:r>
      <w:r w:rsidR="007F7715" w:rsidRPr="00AE7E43">
        <w:rPr>
          <w:rStyle w:val="field-content"/>
          <w:rFonts w:ascii="Arial" w:hAnsi="Arial" w:cs="Arial"/>
          <w:sz w:val="24"/>
          <w:szCs w:val="24"/>
        </w:rPr>
        <w:t xml:space="preserve">    </w:t>
      </w:r>
      <w:r w:rsidR="001E4D6E" w:rsidRPr="00AE7E43">
        <w:rPr>
          <w:rStyle w:val="field-content"/>
          <w:rFonts w:ascii="Arial" w:hAnsi="Arial" w:cs="Arial"/>
          <w:sz w:val="24"/>
          <w:szCs w:val="24"/>
        </w:rPr>
        <w:tab/>
      </w:r>
      <w:r w:rsidR="007F7715" w:rsidRPr="00AE7E43">
        <w:rPr>
          <w:rStyle w:val="field-content"/>
          <w:rFonts w:ascii="Arial" w:hAnsi="Arial" w:cs="Arial"/>
          <w:sz w:val="24"/>
          <w:szCs w:val="24"/>
        </w:rPr>
        <w:t>Relying on the common cause fact that the current account agreement entered into by 5</w:t>
      </w:r>
      <w:r w:rsidR="007F7715" w:rsidRPr="00AE7E43">
        <w:rPr>
          <w:rStyle w:val="field-content"/>
          <w:rFonts w:ascii="Arial" w:hAnsi="Arial" w:cs="Arial"/>
          <w:sz w:val="24"/>
          <w:szCs w:val="24"/>
          <w:vertAlign w:val="superscript"/>
        </w:rPr>
        <w:t>th</w:t>
      </w:r>
      <w:r w:rsidR="007F7715" w:rsidRPr="00AE7E43">
        <w:rPr>
          <w:rStyle w:val="field-content"/>
          <w:rFonts w:ascii="Arial" w:hAnsi="Arial" w:cs="Arial"/>
          <w:sz w:val="24"/>
          <w:szCs w:val="24"/>
        </w:rPr>
        <w:t xml:space="preserve"> respondent is an agreement as contemplated in ss 4(2)(c), the respondents aver</w:t>
      </w:r>
      <w:r w:rsidR="00CB4792" w:rsidRPr="00AE7E43">
        <w:rPr>
          <w:rStyle w:val="field-content"/>
          <w:rFonts w:ascii="Arial" w:hAnsi="Arial" w:cs="Arial"/>
          <w:sz w:val="24"/>
          <w:szCs w:val="24"/>
        </w:rPr>
        <w:t>red</w:t>
      </w:r>
      <w:r w:rsidR="007F7715" w:rsidRPr="00AE7E43">
        <w:rPr>
          <w:rStyle w:val="field-content"/>
          <w:rFonts w:ascii="Arial" w:hAnsi="Arial" w:cs="Arial"/>
          <w:sz w:val="24"/>
          <w:szCs w:val="24"/>
        </w:rPr>
        <w:t xml:space="preserve"> that </w:t>
      </w:r>
      <w:r w:rsidR="008C1E76" w:rsidRPr="00AE7E43">
        <w:rPr>
          <w:rStyle w:val="field-content"/>
          <w:rFonts w:ascii="Arial" w:hAnsi="Arial" w:cs="Arial"/>
          <w:sz w:val="24"/>
          <w:szCs w:val="24"/>
        </w:rPr>
        <w:t>the NCA applies to all the credit guarantors (or sureties) who bound themselves to the applicant for this debt.  This is incorrect insofar as the Trust is concerned for the reasons mentioned above.  Nothing further needs to be said.  The 6</w:t>
      </w:r>
      <w:r w:rsidR="008C1E76" w:rsidRPr="00AE7E43">
        <w:rPr>
          <w:rStyle w:val="field-content"/>
          <w:rFonts w:ascii="Arial" w:hAnsi="Arial" w:cs="Arial"/>
          <w:sz w:val="24"/>
          <w:szCs w:val="24"/>
          <w:vertAlign w:val="superscript"/>
        </w:rPr>
        <w:t>th</w:t>
      </w:r>
      <w:r w:rsidR="008C1E76" w:rsidRPr="00AE7E43">
        <w:rPr>
          <w:rStyle w:val="field-content"/>
          <w:rFonts w:ascii="Arial" w:hAnsi="Arial" w:cs="Arial"/>
          <w:sz w:val="24"/>
          <w:szCs w:val="24"/>
        </w:rPr>
        <w:t xml:space="preserve"> respondent bound herself jointly and severally with all the other debtors in the settlement agreements to pay what is due to applicant</w:t>
      </w:r>
      <w:r w:rsidR="008C1E76" w:rsidRPr="00AE7E43">
        <w:rPr>
          <w:rStyle w:val="field-content"/>
          <w:rFonts w:ascii="Arial" w:hAnsi="Arial" w:cs="Arial"/>
          <w:b/>
          <w:sz w:val="24"/>
          <w:szCs w:val="24"/>
        </w:rPr>
        <w:t>.</w:t>
      </w:r>
      <w:r w:rsidR="00CB4792" w:rsidRPr="00AE7E43">
        <w:rPr>
          <w:rStyle w:val="field-content"/>
          <w:rFonts w:ascii="Arial" w:hAnsi="Arial" w:cs="Arial"/>
          <w:b/>
          <w:sz w:val="24"/>
          <w:szCs w:val="24"/>
        </w:rPr>
        <w:t xml:space="preserve">  </w:t>
      </w:r>
      <w:r w:rsidR="00023560" w:rsidRPr="00AE7E43">
        <w:rPr>
          <w:rStyle w:val="field-content"/>
          <w:rFonts w:ascii="Arial" w:hAnsi="Arial" w:cs="Arial"/>
          <w:sz w:val="24"/>
          <w:szCs w:val="24"/>
        </w:rPr>
        <w:t xml:space="preserve">Insofar as I indicated </w:t>
      </w:r>
      <w:r w:rsidR="00023560" w:rsidRPr="00AE7E43">
        <w:rPr>
          <w:rStyle w:val="field-content"/>
          <w:rFonts w:ascii="Arial" w:hAnsi="Arial" w:cs="Arial"/>
          <w:i/>
          <w:sz w:val="24"/>
          <w:szCs w:val="24"/>
        </w:rPr>
        <w:t>supra</w:t>
      </w:r>
      <w:r w:rsidR="00023560" w:rsidRPr="00AE7E43">
        <w:rPr>
          <w:rStyle w:val="field-content"/>
          <w:rFonts w:ascii="Arial" w:hAnsi="Arial" w:cs="Arial"/>
          <w:sz w:val="24"/>
          <w:szCs w:val="24"/>
        </w:rPr>
        <w:t xml:space="preserve"> that no order shall be made agai</w:t>
      </w:r>
      <w:r w:rsidR="00BA3685" w:rsidRPr="00AE7E43">
        <w:rPr>
          <w:rStyle w:val="field-content"/>
          <w:rFonts w:ascii="Arial" w:hAnsi="Arial" w:cs="Arial"/>
          <w:sz w:val="24"/>
          <w:szCs w:val="24"/>
        </w:rPr>
        <w:t>n</w:t>
      </w:r>
      <w:r w:rsidR="00023560" w:rsidRPr="00AE7E43">
        <w:rPr>
          <w:rStyle w:val="field-content"/>
          <w:rFonts w:ascii="Arial" w:hAnsi="Arial" w:cs="Arial"/>
          <w:sz w:val="24"/>
          <w:szCs w:val="24"/>
        </w:rPr>
        <w:t>st the 5</w:t>
      </w:r>
      <w:r w:rsidR="00023560" w:rsidRPr="00AE7E43">
        <w:rPr>
          <w:rStyle w:val="field-content"/>
          <w:rFonts w:ascii="Arial" w:hAnsi="Arial" w:cs="Arial"/>
          <w:sz w:val="24"/>
          <w:szCs w:val="24"/>
          <w:vertAlign w:val="superscript"/>
        </w:rPr>
        <w:t>th</w:t>
      </w:r>
      <w:r w:rsidR="00023560" w:rsidRPr="00AE7E43">
        <w:rPr>
          <w:rStyle w:val="field-content"/>
          <w:rFonts w:ascii="Arial" w:hAnsi="Arial" w:cs="Arial"/>
          <w:sz w:val="24"/>
          <w:szCs w:val="24"/>
        </w:rPr>
        <w:t xml:space="preserve"> and 6</w:t>
      </w:r>
      <w:r w:rsidR="00023560" w:rsidRPr="00AE7E43">
        <w:rPr>
          <w:rStyle w:val="field-content"/>
          <w:rFonts w:ascii="Arial" w:hAnsi="Arial" w:cs="Arial"/>
          <w:sz w:val="24"/>
          <w:szCs w:val="24"/>
          <w:vertAlign w:val="superscript"/>
        </w:rPr>
        <w:t>th</w:t>
      </w:r>
      <w:r w:rsidR="00023560" w:rsidRPr="00AE7E43">
        <w:rPr>
          <w:rStyle w:val="field-content"/>
          <w:rFonts w:ascii="Arial" w:hAnsi="Arial" w:cs="Arial"/>
          <w:sz w:val="24"/>
          <w:szCs w:val="24"/>
        </w:rPr>
        <w:t xml:space="preserve"> respondents at this stage</w:t>
      </w:r>
      <w:r w:rsidR="006670A3">
        <w:rPr>
          <w:rStyle w:val="field-content"/>
          <w:rFonts w:ascii="Arial" w:hAnsi="Arial" w:cs="Arial"/>
          <w:sz w:val="24"/>
          <w:szCs w:val="24"/>
        </w:rPr>
        <w:t>,</w:t>
      </w:r>
      <w:r w:rsidR="00023560" w:rsidRPr="00AE7E43">
        <w:rPr>
          <w:rStyle w:val="field-content"/>
          <w:rFonts w:ascii="Arial" w:hAnsi="Arial" w:cs="Arial"/>
          <w:sz w:val="24"/>
          <w:szCs w:val="24"/>
        </w:rPr>
        <w:t xml:space="preserve"> it is n</w:t>
      </w:r>
      <w:r w:rsidR="00BA3685" w:rsidRPr="00AE7E43">
        <w:rPr>
          <w:rStyle w:val="field-content"/>
          <w:rFonts w:ascii="Arial" w:hAnsi="Arial" w:cs="Arial"/>
          <w:sz w:val="24"/>
          <w:szCs w:val="24"/>
        </w:rPr>
        <w:t>ot necessary to debate this issu</w:t>
      </w:r>
      <w:r w:rsidR="00023560" w:rsidRPr="00AE7E43">
        <w:rPr>
          <w:rStyle w:val="field-content"/>
          <w:rFonts w:ascii="Arial" w:hAnsi="Arial" w:cs="Arial"/>
          <w:sz w:val="24"/>
          <w:szCs w:val="24"/>
        </w:rPr>
        <w:t xml:space="preserve">e </w:t>
      </w:r>
      <w:r w:rsidR="00BA3685" w:rsidRPr="00AE7E43">
        <w:rPr>
          <w:rStyle w:val="field-content"/>
          <w:rFonts w:ascii="Arial" w:hAnsi="Arial" w:cs="Arial"/>
          <w:sz w:val="24"/>
          <w:szCs w:val="24"/>
        </w:rPr>
        <w:t>an</w:t>
      </w:r>
      <w:r w:rsidR="00023560" w:rsidRPr="00AE7E43">
        <w:rPr>
          <w:rStyle w:val="field-content"/>
          <w:rFonts w:ascii="Arial" w:hAnsi="Arial" w:cs="Arial"/>
          <w:sz w:val="24"/>
          <w:szCs w:val="24"/>
        </w:rPr>
        <w:t>y further.</w:t>
      </w:r>
      <w:r w:rsidR="00023560" w:rsidRPr="00AE7E43">
        <w:rPr>
          <w:rStyle w:val="field-content"/>
          <w:rFonts w:ascii="Arial" w:hAnsi="Arial" w:cs="Arial"/>
          <w:b/>
          <w:sz w:val="24"/>
          <w:szCs w:val="24"/>
        </w:rPr>
        <w:t xml:space="preserve"> </w:t>
      </w:r>
    </w:p>
    <w:p w14:paraId="6734C426" w14:textId="77777777" w:rsidR="008C1E76" w:rsidRPr="00AE7E43" w:rsidRDefault="008C1E76" w:rsidP="001E4D6E">
      <w:pPr>
        <w:spacing w:after="0" w:line="360" w:lineRule="auto"/>
        <w:ind w:left="993" w:hanging="993"/>
        <w:jc w:val="both"/>
        <w:rPr>
          <w:rStyle w:val="field-content"/>
          <w:rFonts w:ascii="Arial" w:hAnsi="Arial" w:cs="Arial"/>
          <w:sz w:val="24"/>
          <w:szCs w:val="24"/>
        </w:rPr>
      </w:pPr>
    </w:p>
    <w:p w14:paraId="6E55C0B1" w14:textId="77777777" w:rsidR="008C1E76" w:rsidRPr="00AE7E43" w:rsidRDefault="008C1E76" w:rsidP="001E4D6E">
      <w:pPr>
        <w:spacing w:after="0" w:line="360" w:lineRule="auto"/>
        <w:ind w:left="993" w:hanging="993"/>
        <w:jc w:val="both"/>
        <w:rPr>
          <w:rStyle w:val="field-content"/>
          <w:rFonts w:ascii="Arial" w:hAnsi="Arial" w:cs="Arial"/>
          <w:sz w:val="24"/>
          <w:szCs w:val="24"/>
        </w:rPr>
      </w:pPr>
      <w:r w:rsidRPr="00AE7E43">
        <w:rPr>
          <w:rStyle w:val="field-content"/>
          <w:rFonts w:ascii="Arial" w:hAnsi="Arial" w:cs="Arial"/>
          <w:sz w:val="24"/>
          <w:szCs w:val="24"/>
        </w:rPr>
        <w:t xml:space="preserve">[42]    </w:t>
      </w:r>
      <w:r w:rsidR="001E4D6E" w:rsidRPr="00AE7E43">
        <w:rPr>
          <w:rStyle w:val="field-content"/>
          <w:rFonts w:ascii="Arial" w:hAnsi="Arial" w:cs="Arial"/>
          <w:sz w:val="24"/>
          <w:szCs w:val="24"/>
        </w:rPr>
        <w:tab/>
      </w:r>
      <w:r w:rsidRPr="00AE7E43">
        <w:rPr>
          <w:rStyle w:val="field-content"/>
          <w:rFonts w:ascii="Arial" w:hAnsi="Arial" w:cs="Arial"/>
          <w:sz w:val="24"/>
          <w:szCs w:val="24"/>
        </w:rPr>
        <w:t xml:space="preserve">The respondents failed to prove that the two court orders should be rescinded and also that the two settlement agreements should be set aside.  </w:t>
      </w:r>
      <w:r w:rsidR="00BA3685" w:rsidRPr="00AE7E43">
        <w:rPr>
          <w:rStyle w:val="field-content"/>
          <w:rFonts w:ascii="Arial" w:hAnsi="Arial" w:cs="Arial"/>
          <w:sz w:val="24"/>
          <w:szCs w:val="24"/>
        </w:rPr>
        <w:t xml:space="preserve">They, after being assisted by a former bank manager who is supposed to know the NCA and any defences available to debtors, entered into the agreements.  They failed to show that they have </w:t>
      </w:r>
      <w:r w:rsidR="00BA3685" w:rsidRPr="00AE7E43">
        <w:rPr>
          <w:rStyle w:val="field-content"/>
          <w:rFonts w:ascii="Arial" w:hAnsi="Arial" w:cs="Arial"/>
          <w:i/>
          <w:sz w:val="24"/>
          <w:szCs w:val="24"/>
        </w:rPr>
        <w:t>bona fide</w:t>
      </w:r>
      <w:r w:rsidR="00BA3685" w:rsidRPr="00AE7E43">
        <w:rPr>
          <w:rStyle w:val="field-content"/>
          <w:rFonts w:ascii="Arial" w:hAnsi="Arial" w:cs="Arial"/>
          <w:sz w:val="24"/>
          <w:szCs w:val="24"/>
        </w:rPr>
        <w:t xml:space="preserve"> defences to the applicant’s claims.  They failed to show that they are entitled to rescission of judgment, either in terms rule, 31, rule 42 or the common law.  Their version is improbable and far-fetched, but in any event, bearing in mind </w:t>
      </w:r>
      <w:r w:rsidR="00BA3685" w:rsidRPr="00AE7E43">
        <w:rPr>
          <w:rStyle w:val="field-content"/>
          <w:rFonts w:ascii="Arial" w:hAnsi="Arial" w:cs="Arial"/>
          <w:i/>
          <w:sz w:val="24"/>
          <w:szCs w:val="24"/>
        </w:rPr>
        <w:t>Plascon-Evans</w:t>
      </w:r>
      <w:r w:rsidR="00BA3685" w:rsidRPr="00AE7E43">
        <w:rPr>
          <w:rStyle w:val="field-content"/>
          <w:rFonts w:ascii="Arial" w:hAnsi="Arial" w:cs="Arial"/>
          <w:sz w:val="24"/>
          <w:szCs w:val="24"/>
        </w:rPr>
        <w:t xml:space="preserve">, they failed to show that the applicant’s version stands to be rejected as far-fetched and/or improbable and/or false.  </w:t>
      </w:r>
      <w:r w:rsidRPr="00AE7E43">
        <w:rPr>
          <w:rStyle w:val="field-content"/>
          <w:rFonts w:ascii="Arial" w:hAnsi="Arial" w:cs="Arial"/>
          <w:sz w:val="24"/>
          <w:szCs w:val="24"/>
        </w:rPr>
        <w:t>They are not entitled to any relief.  Their reliance on any of the other sections of the NCA</w:t>
      </w:r>
      <w:r w:rsidR="00CB4792" w:rsidRPr="00AE7E43">
        <w:rPr>
          <w:rStyle w:val="field-content"/>
          <w:rFonts w:ascii="Arial" w:hAnsi="Arial" w:cs="Arial"/>
          <w:sz w:val="24"/>
          <w:szCs w:val="24"/>
        </w:rPr>
        <w:t>,</w:t>
      </w:r>
      <w:r w:rsidRPr="00AE7E43">
        <w:rPr>
          <w:rStyle w:val="field-content"/>
          <w:rFonts w:ascii="Arial" w:hAnsi="Arial" w:cs="Arial"/>
          <w:sz w:val="24"/>
          <w:szCs w:val="24"/>
        </w:rPr>
        <w:t xml:space="preserve"> not specifically dealt with</w:t>
      </w:r>
      <w:r w:rsidR="00CB4792" w:rsidRPr="00AE7E43">
        <w:rPr>
          <w:rStyle w:val="field-content"/>
          <w:rFonts w:ascii="Arial" w:hAnsi="Arial" w:cs="Arial"/>
          <w:sz w:val="24"/>
          <w:szCs w:val="24"/>
        </w:rPr>
        <w:t>,</w:t>
      </w:r>
      <w:r w:rsidRPr="00AE7E43">
        <w:rPr>
          <w:rStyle w:val="field-content"/>
          <w:rFonts w:ascii="Arial" w:hAnsi="Arial" w:cs="Arial"/>
          <w:sz w:val="24"/>
          <w:szCs w:val="24"/>
        </w:rPr>
        <w:t xml:space="preserve"> is without </w:t>
      </w:r>
      <w:r w:rsidR="00CB4792" w:rsidRPr="00AE7E43">
        <w:rPr>
          <w:rStyle w:val="field-content"/>
          <w:rFonts w:ascii="Arial" w:hAnsi="Arial" w:cs="Arial"/>
          <w:sz w:val="24"/>
          <w:szCs w:val="24"/>
        </w:rPr>
        <w:t>substance.  They are also not entitled to discovery at this stage of the proceedings.</w:t>
      </w:r>
    </w:p>
    <w:p w14:paraId="6ACE2CCD" w14:textId="77777777" w:rsidR="006670A3" w:rsidRDefault="006670A3" w:rsidP="001E4D6E">
      <w:pPr>
        <w:spacing w:after="0" w:line="360" w:lineRule="auto"/>
        <w:ind w:left="993" w:hanging="993"/>
        <w:jc w:val="both"/>
        <w:rPr>
          <w:rStyle w:val="field-content"/>
          <w:rFonts w:ascii="Arial" w:hAnsi="Arial" w:cs="Arial"/>
          <w:color w:val="FF0000"/>
          <w:sz w:val="24"/>
          <w:szCs w:val="24"/>
        </w:rPr>
      </w:pPr>
    </w:p>
    <w:p w14:paraId="0299A0E6" w14:textId="77777777" w:rsidR="00C42BA0" w:rsidRPr="00C47EBA" w:rsidRDefault="00C42BA0" w:rsidP="001E4D6E">
      <w:pPr>
        <w:spacing w:after="0" w:line="360" w:lineRule="auto"/>
        <w:ind w:left="993" w:hanging="993"/>
        <w:jc w:val="both"/>
        <w:rPr>
          <w:rStyle w:val="field-content"/>
          <w:rFonts w:ascii="Arial" w:hAnsi="Arial" w:cs="Arial"/>
          <w:sz w:val="24"/>
          <w:szCs w:val="24"/>
        </w:rPr>
      </w:pPr>
      <w:r w:rsidRPr="00C47EBA">
        <w:rPr>
          <w:rStyle w:val="field-content"/>
          <w:rFonts w:ascii="Arial" w:hAnsi="Arial" w:cs="Arial"/>
          <w:sz w:val="24"/>
          <w:szCs w:val="24"/>
        </w:rPr>
        <w:t>[43</w:t>
      </w:r>
      <w:r w:rsidR="006670A3" w:rsidRPr="00C47EBA">
        <w:rPr>
          <w:rStyle w:val="field-content"/>
          <w:rFonts w:ascii="Arial" w:hAnsi="Arial" w:cs="Arial"/>
          <w:sz w:val="24"/>
          <w:szCs w:val="24"/>
        </w:rPr>
        <w:t>]</w:t>
      </w:r>
      <w:r w:rsidR="006670A3" w:rsidRPr="00C47EBA">
        <w:rPr>
          <w:rStyle w:val="field-content"/>
          <w:rFonts w:ascii="Arial" w:hAnsi="Arial" w:cs="Arial"/>
          <w:sz w:val="24"/>
          <w:szCs w:val="24"/>
        </w:rPr>
        <w:tab/>
        <w:t>Even if the respondents were e</w:t>
      </w:r>
      <w:r w:rsidRPr="00C47EBA">
        <w:rPr>
          <w:rStyle w:val="field-content"/>
          <w:rFonts w:ascii="Arial" w:hAnsi="Arial" w:cs="Arial"/>
          <w:sz w:val="24"/>
          <w:szCs w:val="24"/>
        </w:rPr>
        <w:t xml:space="preserve">ntitled to </w:t>
      </w:r>
      <w:r w:rsidR="00333907" w:rsidRPr="00C47EBA">
        <w:rPr>
          <w:rStyle w:val="field-content"/>
          <w:rFonts w:ascii="Arial" w:hAnsi="Arial" w:cs="Arial"/>
          <w:sz w:val="24"/>
          <w:szCs w:val="24"/>
        </w:rPr>
        <w:t>rescission of the court orders</w:t>
      </w:r>
      <w:r w:rsidR="00B67638" w:rsidRPr="00C47EBA">
        <w:rPr>
          <w:rStyle w:val="field-content"/>
          <w:rFonts w:ascii="Arial" w:hAnsi="Arial" w:cs="Arial"/>
          <w:sz w:val="24"/>
          <w:szCs w:val="24"/>
        </w:rPr>
        <w:t xml:space="preserve"> </w:t>
      </w:r>
      <w:r w:rsidR="00FF6A66" w:rsidRPr="00C47EBA">
        <w:rPr>
          <w:rStyle w:val="field-content"/>
          <w:rFonts w:ascii="Arial" w:hAnsi="Arial" w:cs="Arial"/>
          <w:sz w:val="24"/>
          <w:szCs w:val="24"/>
        </w:rPr>
        <w:t xml:space="preserve">on any of the grounds relied upon, </w:t>
      </w:r>
      <w:r w:rsidR="005F49EE" w:rsidRPr="00C47EBA">
        <w:rPr>
          <w:rStyle w:val="field-content"/>
          <w:rFonts w:ascii="Arial" w:hAnsi="Arial" w:cs="Arial"/>
          <w:sz w:val="24"/>
          <w:szCs w:val="24"/>
        </w:rPr>
        <w:t xml:space="preserve">the settlement agreements remain in place.  There is just no justification for an order in terms whereof the settlement agreements should be </w:t>
      </w:r>
      <w:r w:rsidR="00A66FCC" w:rsidRPr="00C47EBA">
        <w:rPr>
          <w:rStyle w:val="field-content"/>
          <w:rFonts w:ascii="Arial" w:hAnsi="Arial" w:cs="Arial"/>
          <w:sz w:val="24"/>
          <w:szCs w:val="24"/>
        </w:rPr>
        <w:t xml:space="preserve">rescinded and set aside.  </w:t>
      </w:r>
      <w:r w:rsidR="002A3F95" w:rsidRPr="00C47EBA">
        <w:rPr>
          <w:rStyle w:val="field-content"/>
          <w:rFonts w:ascii="Arial" w:hAnsi="Arial" w:cs="Arial"/>
          <w:sz w:val="24"/>
          <w:szCs w:val="24"/>
        </w:rPr>
        <w:t>The applicant</w:t>
      </w:r>
      <w:r w:rsidR="00C47EBA" w:rsidRPr="00C47EBA">
        <w:rPr>
          <w:rStyle w:val="field-content"/>
          <w:rFonts w:ascii="Arial" w:hAnsi="Arial" w:cs="Arial"/>
          <w:sz w:val="24"/>
          <w:szCs w:val="24"/>
        </w:rPr>
        <w:t>’</w:t>
      </w:r>
      <w:r w:rsidR="002A3F95" w:rsidRPr="00C47EBA">
        <w:rPr>
          <w:rStyle w:val="field-content"/>
          <w:rFonts w:ascii="Arial" w:hAnsi="Arial" w:cs="Arial"/>
          <w:sz w:val="24"/>
          <w:szCs w:val="24"/>
        </w:rPr>
        <w:t xml:space="preserve">s counsel </w:t>
      </w:r>
      <w:r w:rsidR="002A3F95" w:rsidRPr="00C47EBA">
        <w:rPr>
          <w:rStyle w:val="field-content"/>
          <w:rFonts w:ascii="Arial" w:hAnsi="Arial" w:cs="Arial"/>
          <w:sz w:val="24"/>
          <w:szCs w:val="24"/>
        </w:rPr>
        <w:lastRenderedPageBreak/>
        <w:t xml:space="preserve">submitted that </w:t>
      </w:r>
      <w:r w:rsidR="007C2B95" w:rsidRPr="00C47EBA">
        <w:rPr>
          <w:rStyle w:val="field-content"/>
          <w:rFonts w:ascii="Arial" w:hAnsi="Arial" w:cs="Arial"/>
          <w:sz w:val="24"/>
          <w:szCs w:val="24"/>
        </w:rPr>
        <w:t xml:space="preserve">even if the court orders are </w:t>
      </w:r>
      <w:r w:rsidR="004D3FA7" w:rsidRPr="00C47EBA">
        <w:rPr>
          <w:rStyle w:val="field-content"/>
          <w:rFonts w:ascii="Arial" w:hAnsi="Arial" w:cs="Arial"/>
          <w:sz w:val="24"/>
          <w:szCs w:val="24"/>
        </w:rPr>
        <w:t xml:space="preserve">rescinded, the applicant is still entitled to judgment </w:t>
      </w:r>
      <w:r w:rsidR="00C47EBA" w:rsidRPr="00C47EBA">
        <w:rPr>
          <w:rStyle w:val="field-content"/>
          <w:rFonts w:ascii="Arial" w:hAnsi="Arial" w:cs="Arial"/>
          <w:sz w:val="24"/>
          <w:szCs w:val="24"/>
        </w:rPr>
        <w:t xml:space="preserve">in terms of the prayers contained in </w:t>
      </w:r>
      <w:r w:rsidR="0019350B" w:rsidRPr="00C47EBA">
        <w:rPr>
          <w:rStyle w:val="field-content"/>
          <w:rFonts w:ascii="Arial" w:hAnsi="Arial" w:cs="Arial"/>
          <w:sz w:val="24"/>
          <w:szCs w:val="24"/>
        </w:rPr>
        <w:t>the notice of motion based on the second settlement agreement</w:t>
      </w:r>
      <w:r w:rsidR="00D03186" w:rsidRPr="00C47EBA">
        <w:rPr>
          <w:rStyle w:val="field-content"/>
          <w:rFonts w:ascii="Arial" w:hAnsi="Arial" w:cs="Arial"/>
          <w:sz w:val="24"/>
          <w:szCs w:val="24"/>
        </w:rPr>
        <w:t xml:space="preserve"> that remain </w:t>
      </w:r>
      <w:r w:rsidR="00D03186" w:rsidRPr="00C47EBA">
        <w:rPr>
          <w:rStyle w:val="field-content"/>
          <w:rFonts w:ascii="Arial" w:hAnsi="Arial" w:cs="Arial"/>
          <w:i/>
          <w:iCs/>
          <w:sz w:val="24"/>
          <w:szCs w:val="24"/>
        </w:rPr>
        <w:t>in esse</w:t>
      </w:r>
      <w:r w:rsidR="00D03186" w:rsidRPr="00C47EBA">
        <w:rPr>
          <w:rStyle w:val="field-content"/>
          <w:rFonts w:ascii="Arial" w:hAnsi="Arial" w:cs="Arial"/>
          <w:sz w:val="24"/>
          <w:szCs w:val="24"/>
        </w:rPr>
        <w:t xml:space="preserve">. </w:t>
      </w:r>
    </w:p>
    <w:p w14:paraId="5ABE44BC" w14:textId="77777777" w:rsidR="00C42BA0" w:rsidRPr="00C47EBA" w:rsidRDefault="00C42BA0" w:rsidP="001E4D6E">
      <w:pPr>
        <w:spacing w:after="0" w:line="360" w:lineRule="auto"/>
        <w:ind w:left="993" w:hanging="993"/>
        <w:jc w:val="both"/>
        <w:rPr>
          <w:rStyle w:val="field-content"/>
          <w:rFonts w:ascii="Arial" w:hAnsi="Arial" w:cs="Arial"/>
          <w:sz w:val="24"/>
          <w:szCs w:val="24"/>
        </w:rPr>
      </w:pPr>
    </w:p>
    <w:p w14:paraId="505FCE71" w14:textId="77777777" w:rsidR="00B9595E" w:rsidRPr="00C47EBA" w:rsidRDefault="00B9595E" w:rsidP="001E4D6E">
      <w:pPr>
        <w:spacing w:after="0" w:line="360" w:lineRule="auto"/>
        <w:ind w:left="993" w:hanging="993"/>
        <w:jc w:val="both"/>
        <w:rPr>
          <w:rStyle w:val="field-content"/>
          <w:rFonts w:ascii="Arial" w:hAnsi="Arial" w:cs="Arial"/>
          <w:sz w:val="24"/>
          <w:szCs w:val="24"/>
        </w:rPr>
      </w:pPr>
      <w:r w:rsidRPr="00C47EBA">
        <w:rPr>
          <w:rStyle w:val="field-content"/>
          <w:rFonts w:ascii="Arial" w:hAnsi="Arial" w:cs="Arial"/>
          <w:sz w:val="24"/>
          <w:szCs w:val="24"/>
        </w:rPr>
        <w:t>[44]</w:t>
      </w:r>
      <w:r w:rsidRPr="00C47EBA">
        <w:rPr>
          <w:rStyle w:val="field-content"/>
          <w:rFonts w:ascii="Arial" w:hAnsi="Arial" w:cs="Arial"/>
          <w:sz w:val="24"/>
          <w:szCs w:val="24"/>
        </w:rPr>
        <w:tab/>
      </w:r>
      <w:r w:rsidR="00E018E5" w:rsidRPr="00C47EBA">
        <w:rPr>
          <w:rStyle w:val="field-content"/>
          <w:rFonts w:ascii="Arial" w:hAnsi="Arial" w:cs="Arial"/>
          <w:sz w:val="24"/>
          <w:szCs w:val="24"/>
        </w:rPr>
        <w:t xml:space="preserve">I was concerned that the applicant </w:t>
      </w:r>
      <w:r w:rsidR="00C47EBA" w:rsidRPr="00C47EBA">
        <w:rPr>
          <w:rStyle w:val="field-content"/>
          <w:rFonts w:ascii="Arial" w:hAnsi="Arial" w:cs="Arial"/>
          <w:sz w:val="24"/>
          <w:szCs w:val="24"/>
        </w:rPr>
        <w:t xml:space="preserve">had </w:t>
      </w:r>
      <w:r w:rsidR="00C55712" w:rsidRPr="00C47EBA">
        <w:rPr>
          <w:rStyle w:val="field-content"/>
          <w:rFonts w:ascii="Arial" w:hAnsi="Arial" w:cs="Arial"/>
          <w:sz w:val="24"/>
          <w:szCs w:val="24"/>
        </w:rPr>
        <w:t xml:space="preserve">adopted a process of entering </w:t>
      </w:r>
      <w:r w:rsidR="009F60ED" w:rsidRPr="00C47EBA">
        <w:rPr>
          <w:rStyle w:val="field-content"/>
          <w:rFonts w:ascii="Arial" w:hAnsi="Arial" w:cs="Arial"/>
          <w:sz w:val="24"/>
          <w:szCs w:val="24"/>
        </w:rPr>
        <w:t xml:space="preserve">into settlement agreements </w:t>
      </w:r>
      <w:r w:rsidR="006320C9" w:rsidRPr="00C47EBA">
        <w:rPr>
          <w:rStyle w:val="field-content"/>
          <w:rFonts w:ascii="Arial" w:hAnsi="Arial" w:cs="Arial"/>
          <w:sz w:val="24"/>
          <w:szCs w:val="24"/>
        </w:rPr>
        <w:t xml:space="preserve">with the respondents </w:t>
      </w:r>
      <w:r w:rsidR="00463BEE" w:rsidRPr="00C47EBA">
        <w:rPr>
          <w:rStyle w:val="field-content"/>
          <w:rFonts w:ascii="Arial" w:hAnsi="Arial" w:cs="Arial"/>
          <w:sz w:val="24"/>
          <w:szCs w:val="24"/>
        </w:rPr>
        <w:t xml:space="preserve">in the absence of a </w:t>
      </w:r>
      <w:r w:rsidR="00463BEE" w:rsidRPr="00C47EBA">
        <w:rPr>
          <w:rStyle w:val="field-content"/>
          <w:rFonts w:ascii="Arial" w:hAnsi="Arial" w:cs="Arial"/>
          <w:i/>
          <w:iCs/>
          <w:sz w:val="24"/>
          <w:szCs w:val="24"/>
        </w:rPr>
        <w:t>lis</w:t>
      </w:r>
      <w:r w:rsidR="00463BEE" w:rsidRPr="00C47EBA">
        <w:rPr>
          <w:rStyle w:val="field-content"/>
          <w:rFonts w:ascii="Arial" w:hAnsi="Arial" w:cs="Arial"/>
          <w:sz w:val="24"/>
          <w:szCs w:val="24"/>
        </w:rPr>
        <w:t xml:space="preserve"> between them and in doing so intended to </w:t>
      </w:r>
      <w:r w:rsidR="00DB42EB" w:rsidRPr="00C47EBA">
        <w:rPr>
          <w:rStyle w:val="field-content"/>
          <w:rFonts w:ascii="Arial" w:hAnsi="Arial" w:cs="Arial"/>
          <w:sz w:val="24"/>
          <w:szCs w:val="24"/>
        </w:rPr>
        <w:t>circumvent</w:t>
      </w:r>
      <w:r w:rsidR="00701050" w:rsidRPr="00C47EBA">
        <w:rPr>
          <w:rStyle w:val="field-content"/>
          <w:rFonts w:ascii="Arial" w:hAnsi="Arial" w:cs="Arial"/>
          <w:sz w:val="24"/>
          <w:szCs w:val="24"/>
        </w:rPr>
        <w:t xml:space="preserve"> the </w:t>
      </w:r>
      <w:r w:rsidR="00431E00" w:rsidRPr="00C47EBA">
        <w:rPr>
          <w:rStyle w:val="field-content"/>
          <w:rFonts w:ascii="Arial" w:hAnsi="Arial" w:cs="Arial"/>
          <w:sz w:val="24"/>
          <w:szCs w:val="24"/>
        </w:rPr>
        <w:t xml:space="preserve">provisions of the NCA and in particular </w:t>
      </w:r>
      <w:r w:rsidR="00397FEE" w:rsidRPr="00C47EBA">
        <w:rPr>
          <w:rStyle w:val="field-content"/>
          <w:rFonts w:ascii="Arial" w:hAnsi="Arial" w:cs="Arial"/>
          <w:sz w:val="24"/>
          <w:szCs w:val="24"/>
        </w:rPr>
        <w:t xml:space="preserve">s 129 thereof, being </w:t>
      </w:r>
      <w:r w:rsidR="00C47EBA" w:rsidRPr="00C47EBA">
        <w:rPr>
          <w:rStyle w:val="field-content"/>
          <w:rFonts w:ascii="Arial" w:hAnsi="Arial" w:cs="Arial"/>
          <w:sz w:val="24"/>
          <w:szCs w:val="24"/>
        </w:rPr>
        <w:t>a compulsory pre-</w:t>
      </w:r>
      <w:r w:rsidR="004C553A" w:rsidRPr="00C47EBA">
        <w:rPr>
          <w:rStyle w:val="field-content"/>
          <w:rFonts w:ascii="Arial" w:hAnsi="Arial" w:cs="Arial"/>
          <w:sz w:val="24"/>
          <w:szCs w:val="24"/>
        </w:rPr>
        <w:t xml:space="preserve">debt </w:t>
      </w:r>
      <w:r w:rsidR="004B58DF" w:rsidRPr="00C47EBA">
        <w:rPr>
          <w:rStyle w:val="field-content"/>
          <w:rFonts w:ascii="Arial" w:hAnsi="Arial" w:cs="Arial"/>
          <w:sz w:val="24"/>
          <w:szCs w:val="24"/>
        </w:rPr>
        <w:t xml:space="preserve">enforcement process.  </w:t>
      </w:r>
      <w:r w:rsidR="002D06D5" w:rsidRPr="00C47EBA">
        <w:rPr>
          <w:rStyle w:val="field-content"/>
          <w:rFonts w:ascii="Arial" w:hAnsi="Arial" w:cs="Arial"/>
          <w:sz w:val="24"/>
          <w:szCs w:val="24"/>
        </w:rPr>
        <w:t xml:space="preserve">This aspect may give </w:t>
      </w:r>
      <w:r w:rsidR="003B3BB0" w:rsidRPr="00C47EBA">
        <w:rPr>
          <w:rStyle w:val="field-content"/>
          <w:rFonts w:ascii="Arial" w:hAnsi="Arial" w:cs="Arial"/>
          <w:sz w:val="24"/>
          <w:szCs w:val="24"/>
        </w:rPr>
        <w:t xml:space="preserve">rise to different and contrasting views </w:t>
      </w:r>
      <w:r w:rsidR="00D60E74" w:rsidRPr="00C47EBA">
        <w:rPr>
          <w:rStyle w:val="field-content"/>
          <w:rFonts w:ascii="Arial" w:hAnsi="Arial" w:cs="Arial"/>
          <w:sz w:val="24"/>
          <w:szCs w:val="24"/>
        </w:rPr>
        <w:t xml:space="preserve">as is </w:t>
      </w:r>
      <w:r w:rsidR="00645E3D" w:rsidRPr="00C47EBA">
        <w:rPr>
          <w:rStyle w:val="field-content"/>
          <w:rFonts w:ascii="Arial" w:hAnsi="Arial" w:cs="Arial"/>
          <w:sz w:val="24"/>
          <w:szCs w:val="24"/>
        </w:rPr>
        <w:t>evident from the argument</w:t>
      </w:r>
      <w:r w:rsidR="00FD213C" w:rsidRPr="00C47EBA">
        <w:rPr>
          <w:rStyle w:val="field-content"/>
          <w:rFonts w:ascii="Arial" w:hAnsi="Arial" w:cs="Arial"/>
          <w:sz w:val="24"/>
          <w:szCs w:val="24"/>
        </w:rPr>
        <w:t xml:space="preserve">s of counsel in </w:t>
      </w:r>
      <w:r w:rsidR="007556DB" w:rsidRPr="00C47EBA">
        <w:rPr>
          <w:rStyle w:val="field-content"/>
          <w:rFonts w:ascii="Arial" w:hAnsi="Arial" w:cs="Arial"/>
          <w:sz w:val="24"/>
          <w:szCs w:val="24"/>
        </w:rPr>
        <w:t xml:space="preserve">this case.  </w:t>
      </w:r>
      <w:r w:rsidR="005663CC" w:rsidRPr="00C47EBA">
        <w:rPr>
          <w:rStyle w:val="field-content"/>
          <w:rFonts w:ascii="Arial" w:hAnsi="Arial" w:cs="Arial"/>
          <w:sz w:val="24"/>
          <w:szCs w:val="24"/>
        </w:rPr>
        <w:t xml:space="preserve">Mr </w:t>
      </w:r>
      <w:r w:rsidR="00044185" w:rsidRPr="00C47EBA">
        <w:rPr>
          <w:rStyle w:val="field-content"/>
          <w:rFonts w:ascii="Arial" w:hAnsi="Arial" w:cs="Arial"/>
          <w:sz w:val="24"/>
          <w:szCs w:val="24"/>
        </w:rPr>
        <w:t xml:space="preserve">Augustyn </w:t>
      </w:r>
      <w:r w:rsidR="005663CC" w:rsidRPr="00C47EBA">
        <w:rPr>
          <w:rStyle w:val="field-content"/>
          <w:rFonts w:ascii="Arial" w:hAnsi="Arial" w:cs="Arial"/>
          <w:sz w:val="24"/>
          <w:szCs w:val="24"/>
        </w:rPr>
        <w:t xml:space="preserve">on behalf of the </w:t>
      </w:r>
      <w:r w:rsidR="006A1C2E" w:rsidRPr="00C47EBA">
        <w:rPr>
          <w:rStyle w:val="field-content"/>
          <w:rFonts w:ascii="Arial" w:hAnsi="Arial" w:cs="Arial"/>
          <w:sz w:val="24"/>
          <w:szCs w:val="24"/>
        </w:rPr>
        <w:t xml:space="preserve">respondents made it clear that </w:t>
      </w:r>
      <w:r w:rsidR="00C47EBA" w:rsidRPr="00C47EBA">
        <w:rPr>
          <w:rStyle w:val="field-content"/>
          <w:rFonts w:ascii="Arial" w:hAnsi="Arial" w:cs="Arial"/>
          <w:sz w:val="24"/>
          <w:szCs w:val="24"/>
        </w:rPr>
        <w:t>s 129, read with s 130, wa</w:t>
      </w:r>
      <w:r w:rsidR="00013783" w:rsidRPr="00C47EBA">
        <w:rPr>
          <w:rStyle w:val="field-content"/>
          <w:rFonts w:ascii="Arial" w:hAnsi="Arial" w:cs="Arial"/>
          <w:sz w:val="24"/>
          <w:szCs w:val="24"/>
        </w:rPr>
        <w:t xml:space="preserve">s compulsory and that </w:t>
      </w:r>
      <w:r w:rsidR="00C47EBA" w:rsidRPr="00C47EBA">
        <w:rPr>
          <w:rStyle w:val="field-content"/>
          <w:rFonts w:ascii="Arial" w:hAnsi="Arial" w:cs="Arial"/>
          <w:sz w:val="24"/>
          <w:szCs w:val="24"/>
        </w:rPr>
        <w:t>the enter</w:t>
      </w:r>
      <w:r w:rsidR="00FB4575" w:rsidRPr="00C47EBA">
        <w:rPr>
          <w:rStyle w:val="field-content"/>
          <w:rFonts w:ascii="Arial" w:hAnsi="Arial" w:cs="Arial"/>
          <w:sz w:val="24"/>
          <w:szCs w:val="24"/>
        </w:rPr>
        <w:t xml:space="preserve">ing into </w:t>
      </w:r>
      <w:r w:rsidR="00BA6653" w:rsidRPr="00C47EBA">
        <w:rPr>
          <w:rStyle w:val="field-content"/>
          <w:rFonts w:ascii="Arial" w:hAnsi="Arial" w:cs="Arial"/>
          <w:sz w:val="24"/>
          <w:szCs w:val="24"/>
        </w:rPr>
        <w:t xml:space="preserve">of the settlement agreements </w:t>
      </w:r>
      <w:r w:rsidR="00F55D8A" w:rsidRPr="00C47EBA">
        <w:rPr>
          <w:rStyle w:val="field-content"/>
          <w:rFonts w:ascii="Arial" w:hAnsi="Arial" w:cs="Arial"/>
          <w:sz w:val="24"/>
          <w:szCs w:val="24"/>
        </w:rPr>
        <w:t xml:space="preserve">should be regarded as </w:t>
      </w:r>
      <w:r w:rsidR="00F55D8A" w:rsidRPr="00C47EBA">
        <w:rPr>
          <w:rStyle w:val="field-content"/>
          <w:rFonts w:ascii="Arial" w:hAnsi="Arial" w:cs="Arial"/>
          <w:sz w:val="20"/>
          <w:szCs w:val="20"/>
        </w:rPr>
        <w:t>“debt enforcement”</w:t>
      </w:r>
      <w:r w:rsidR="00F55D8A" w:rsidRPr="00C47EBA">
        <w:rPr>
          <w:rStyle w:val="field-content"/>
          <w:rFonts w:ascii="Arial" w:hAnsi="Arial" w:cs="Arial"/>
          <w:sz w:val="24"/>
          <w:szCs w:val="24"/>
        </w:rPr>
        <w:t xml:space="preserve"> steps.  I disagree</w:t>
      </w:r>
      <w:r w:rsidR="00746CA5" w:rsidRPr="00C47EBA">
        <w:rPr>
          <w:rStyle w:val="field-content"/>
          <w:rFonts w:ascii="Arial" w:hAnsi="Arial" w:cs="Arial"/>
          <w:sz w:val="24"/>
          <w:szCs w:val="24"/>
        </w:rPr>
        <w:t xml:space="preserve"> as it happens each and every</w:t>
      </w:r>
      <w:r w:rsidR="00C47EBA" w:rsidRPr="00C47EBA">
        <w:rPr>
          <w:rStyle w:val="field-content"/>
          <w:rFonts w:ascii="Arial" w:hAnsi="Arial" w:cs="Arial"/>
          <w:sz w:val="24"/>
          <w:szCs w:val="24"/>
        </w:rPr>
        <w:t xml:space="preserve"> </w:t>
      </w:r>
      <w:r w:rsidR="00746CA5" w:rsidRPr="00C47EBA">
        <w:rPr>
          <w:rStyle w:val="field-content"/>
          <w:rFonts w:ascii="Arial" w:hAnsi="Arial" w:cs="Arial"/>
          <w:sz w:val="24"/>
          <w:szCs w:val="24"/>
        </w:rPr>
        <w:t xml:space="preserve">day that </w:t>
      </w:r>
      <w:r w:rsidR="009D27F8" w:rsidRPr="00C47EBA">
        <w:rPr>
          <w:rStyle w:val="field-content"/>
          <w:rFonts w:ascii="Arial" w:hAnsi="Arial" w:cs="Arial"/>
          <w:sz w:val="24"/>
          <w:szCs w:val="24"/>
        </w:rPr>
        <w:t xml:space="preserve">creditors grant extension </w:t>
      </w:r>
      <w:r w:rsidR="00E660E6" w:rsidRPr="00C47EBA">
        <w:rPr>
          <w:rStyle w:val="field-content"/>
          <w:rFonts w:ascii="Arial" w:hAnsi="Arial" w:cs="Arial"/>
          <w:sz w:val="24"/>
          <w:szCs w:val="24"/>
        </w:rPr>
        <w:t>to debtors to settle debts that had become due and payable</w:t>
      </w:r>
      <w:r w:rsidR="00CF7B8D" w:rsidRPr="00C47EBA">
        <w:rPr>
          <w:rStyle w:val="field-content"/>
          <w:rFonts w:ascii="Arial" w:hAnsi="Arial" w:cs="Arial"/>
          <w:sz w:val="24"/>
          <w:szCs w:val="24"/>
        </w:rPr>
        <w:t xml:space="preserve">.  He perhaps intended </w:t>
      </w:r>
      <w:r w:rsidR="00C47EBA" w:rsidRPr="00C47EBA">
        <w:rPr>
          <w:rStyle w:val="field-content"/>
          <w:rFonts w:ascii="Arial" w:hAnsi="Arial" w:cs="Arial"/>
          <w:sz w:val="24"/>
          <w:szCs w:val="24"/>
        </w:rPr>
        <w:t>to submit</w:t>
      </w:r>
      <w:r w:rsidR="0084375B" w:rsidRPr="00C47EBA">
        <w:rPr>
          <w:rStyle w:val="field-content"/>
          <w:rFonts w:ascii="Arial" w:hAnsi="Arial" w:cs="Arial"/>
          <w:sz w:val="24"/>
          <w:szCs w:val="24"/>
        </w:rPr>
        <w:t xml:space="preserve"> that </w:t>
      </w:r>
      <w:r w:rsidR="00903C4C" w:rsidRPr="00C47EBA">
        <w:rPr>
          <w:rStyle w:val="field-content"/>
          <w:rFonts w:ascii="Arial" w:hAnsi="Arial" w:cs="Arial"/>
          <w:sz w:val="24"/>
          <w:szCs w:val="24"/>
        </w:rPr>
        <w:t xml:space="preserve">the </w:t>
      </w:r>
      <w:r w:rsidR="00C47EBA" w:rsidRPr="00C47EBA">
        <w:rPr>
          <w:rStyle w:val="field-content"/>
          <w:rFonts w:ascii="Arial" w:hAnsi="Arial" w:cs="Arial"/>
          <w:sz w:val="24"/>
          <w:szCs w:val="24"/>
        </w:rPr>
        <w:t>applications to obtain the two court orders should be regarded as debt enforcement steps.  He also submitted that the present application is a debt enforcement mechanism and that a s 129 notice should have been served which the applicant failed to do.</w:t>
      </w:r>
      <w:r w:rsidR="00630EC0" w:rsidRPr="00C47EBA">
        <w:rPr>
          <w:rStyle w:val="field-content"/>
          <w:rFonts w:ascii="Arial" w:hAnsi="Arial" w:cs="Arial"/>
          <w:sz w:val="24"/>
          <w:szCs w:val="24"/>
        </w:rPr>
        <w:t xml:space="preserve">  Fact of the matter is </w:t>
      </w:r>
      <w:r w:rsidR="00EC1644" w:rsidRPr="00C47EBA">
        <w:rPr>
          <w:rStyle w:val="field-content"/>
          <w:rFonts w:ascii="Arial" w:hAnsi="Arial" w:cs="Arial"/>
          <w:sz w:val="24"/>
          <w:szCs w:val="24"/>
        </w:rPr>
        <w:t xml:space="preserve">that I have decided </w:t>
      </w:r>
      <w:r w:rsidR="00DF224B" w:rsidRPr="00C47EBA">
        <w:rPr>
          <w:rStyle w:val="field-content"/>
          <w:rFonts w:ascii="Arial" w:hAnsi="Arial" w:cs="Arial"/>
          <w:sz w:val="24"/>
          <w:szCs w:val="24"/>
        </w:rPr>
        <w:t xml:space="preserve">not to make a definite ruling </w:t>
      </w:r>
      <w:r w:rsidR="00FF079A" w:rsidRPr="00C47EBA">
        <w:rPr>
          <w:rStyle w:val="field-content"/>
          <w:rFonts w:ascii="Arial" w:hAnsi="Arial" w:cs="Arial"/>
          <w:sz w:val="24"/>
          <w:szCs w:val="24"/>
        </w:rPr>
        <w:t xml:space="preserve">in </w:t>
      </w:r>
      <w:r w:rsidR="00AE7E43" w:rsidRPr="00C47EBA">
        <w:rPr>
          <w:rStyle w:val="field-content"/>
          <w:rFonts w:ascii="Arial" w:hAnsi="Arial" w:cs="Arial"/>
          <w:sz w:val="24"/>
          <w:szCs w:val="24"/>
        </w:rPr>
        <w:t>this regard</w:t>
      </w:r>
      <w:r w:rsidR="00FF079A" w:rsidRPr="00C47EBA">
        <w:rPr>
          <w:rStyle w:val="field-content"/>
          <w:rFonts w:ascii="Arial" w:hAnsi="Arial" w:cs="Arial"/>
          <w:sz w:val="24"/>
          <w:szCs w:val="24"/>
        </w:rPr>
        <w:t xml:space="preserve"> and consequently </w:t>
      </w:r>
      <w:r w:rsidR="00211209" w:rsidRPr="00C47EBA">
        <w:rPr>
          <w:rStyle w:val="field-content"/>
          <w:rFonts w:ascii="Arial" w:hAnsi="Arial" w:cs="Arial"/>
          <w:sz w:val="24"/>
          <w:szCs w:val="24"/>
        </w:rPr>
        <w:t xml:space="preserve">no orders will be granted against </w:t>
      </w:r>
      <w:r w:rsidR="00DB5EB3" w:rsidRPr="00C47EBA">
        <w:rPr>
          <w:rStyle w:val="field-content"/>
          <w:rFonts w:ascii="Arial" w:hAnsi="Arial" w:cs="Arial"/>
          <w:sz w:val="24"/>
          <w:szCs w:val="24"/>
        </w:rPr>
        <w:t>5</w:t>
      </w:r>
      <w:r w:rsidR="00DB5EB3" w:rsidRPr="00C47EBA">
        <w:rPr>
          <w:rStyle w:val="field-content"/>
          <w:rFonts w:ascii="Arial" w:hAnsi="Arial" w:cs="Arial"/>
          <w:sz w:val="24"/>
          <w:szCs w:val="24"/>
          <w:vertAlign w:val="superscript"/>
        </w:rPr>
        <w:t>th</w:t>
      </w:r>
      <w:r w:rsidR="00DB5EB3" w:rsidRPr="00C47EBA">
        <w:rPr>
          <w:rStyle w:val="field-content"/>
          <w:rFonts w:ascii="Arial" w:hAnsi="Arial" w:cs="Arial"/>
          <w:sz w:val="24"/>
          <w:szCs w:val="24"/>
        </w:rPr>
        <w:t xml:space="preserve"> </w:t>
      </w:r>
      <w:r w:rsidR="005C04D8" w:rsidRPr="00C47EBA">
        <w:rPr>
          <w:rStyle w:val="field-content"/>
          <w:rFonts w:ascii="Arial" w:hAnsi="Arial" w:cs="Arial"/>
          <w:sz w:val="24"/>
          <w:szCs w:val="24"/>
        </w:rPr>
        <w:t xml:space="preserve">and </w:t>
      </w:r>
      <w:r w:rsidR="00DB5EB3" w:rsidRPr="00C47EBA">
        <w:rPr>
          <w:rStyle w:val="field-content"/>
          <w:rFonts w:ascii="Arial" w:hAnsi="Arial" w:cs="Arial"/>
          <w:sz w:val="24"/>
          <w:szCs w:val="24"/>
        </w:rPr>
        <w:t>6</w:t>
      </w:r>
      <w:r w:rsidR="00DB5EB3" w:rsidRPr="00C47EBA">
        <w:rPr>
          <w:rStyle w:val="field-content"/>
          <w:rFonts w:ascii="Arial" w:hAnsi="Arial" w:cs="Arial"/>
          <w:sz w:val="24"/>
          <w:szCs w:val="24"/>
          <w:vertAlign w:val="superscript"/>
        </w:rPr>
        <w:t>th</w:t>
      </w:r>
      <w:r w:rsidR="00DB5EB3" w:rsidRPr="00C47EBA">
        <w:rPr>
          <w:rStyle w:val="field-content"/>
          <w:rFonts w:ascii="Arial" w:hAnsi="Arial" w:cs="Arial"/>
          <w:sz w:val="24"/>
          <w:szCs w:val="24"/>
        </w:rPr>
        <w:t xml:space="preserve"> </w:t>
      </w:r>
      <w:r w:rsidR="005C04D8" w:rsidRPr="00C47EBA">
        <w:rPr>
          <w:rStyle w:val="field-content"/>
          <w:rFonts w:ascii="Arial" w:hAnsi="Arial" w:cs="Arial"/>
          <w:sz w:val="24"/>
          <w:szCs w:val="24"/>
        </w:rPr>
        <w:t>respondents</w:t>
      </w:r>
      <w:r w:rsidR="00AE688C" w:rsidRPr="00C47EBA">
        <w:rPr>
          <w:rStyle w:val="field-content"/>
          <w:rFonts w:ascii="Arial" w:hAnsi="Arial" w:cs="Arial"/>
          <w:sz w:val="24"/>
          <w:szCs w:val="24"/>
        </w:rPr>
        <w:t>.</w:t>
      </w:r>
    </w:p>
    <w:p w14:paraId="067FB659" w14:textId="77777777" w:rsidR="00B9595E" w:rsidRPr="00AE7E43" w:rsidRDefault="00B9595E" w:rsidP="001E4D6E">
      <w:pPr>
        <w:spacing w:after="0" w:line="360" w:lineRule="auto"/>
        <w:ind w:left="993" w:hanging="993"/>
        <w:jc w:val="both"/>
        <w:rPr>
          <w:rStyle w:val="field-content"/>
          <w:rFonts w:ascii="Arial" w:hAnsi="Arial" w:cs="Arial"/>
          <w:sz w:val="24"/>
          <w:szCs w:val="24"/>
        </w:rPr>
      </w:pPr>
    </w:p>
    <w:p w14:paraId="6C831A05" w14:textId="77777777" w:rsidR="00964E03" w:rsidRPr="00A73E37" w:rsidRDefault="008C1E76" w:rsidP="001E4D6E">
      <w:pPr>
        <w:spacing w:after="0" w:line="360" w:lineRule="auto"/>
        <w:ind w:left="993" w:hanging="993"/>
        <w:jc w:val="both"/>
        <w:rPr>
          <w:rStyle w:val="field-content"/>
          <w:rFonts w:ascii="Arial" w:hAnsi="Arial" w:cs="Arial"/>
          <w:b/>
          <w:sz w:val="24"/>
          <w:szCs w:val="24"/>
          <w:u w:val="single"/>
        </w:rPr>
      </w:pPr>
      <w:r w:rsidRPr="00AE7E43">
        <w:rPr>
          <w:rStyle w:val="field-content"/>
          <w:rFonts w:ascii="Arial" w:hAnsi="Arial" w:cs="Arial"/>
          <w:sz w:val="24"/>
          <w:szCs w:val="24"/>
        </w:rPr>
        <w:t>[4</w:t>
      </w:r>
      <w:r w:rsidR="00AE7E43">
        <w:rPr>
          <w:rStyle w:val="field-content"/>
          <w:rFonts w:ascii="Arial" w:hAnsi="Arial" w:cs="Arial"/>
          <w:sz w:val="24"/>
          <w:szCs w:val="24"/>
        </w:rPr>
        <w:t>5</w:t>
      </w:r>
      <w:r w:rsidR="00964E03" w:rsidRPr="00AE7E43">
        <w:rPr>
          <w:rStyle w:val="field-content"/>
          <w:rFonts w:ascii="Arial" w:hAnsi="Arial" w:cs="Arial"/>
          <w:sz w:val="24"/>
          <w:szCs w:val="24"/>
        </w:rPr>
        <w:t>]</w:t>
      </w:r>
      <w:r w:rsidR="003D3CA5" w:rsidRPr="00AE7E43">
        <w:rPr>
          <w:rStyle w:val="field-content"/>
          <w:rFonts w:ascii="Arial" w:hAnsi="Arial" w:cs="Arial"/>
          <w:sz w:val="24"/>
          <w:szCs w:val="24"/>
        </w:rPr>
        <w:tab/>
      </w:r>
      <w:r w:rsidR="0021765D" w:rsidRPr="00AE7E43">
        <w:rPr>
          <w:rStyle w:val="field-content"/>
          <w:rFonts w:ascii="Arial" w:hAnsi="Arial" w:cs="Arial"/>
          <w:sz w:val="24"/>
          <w:szCs w:val="24"/>
        </w:rPr>
        <w:t>Finally, I</w:t>
      </w:r>
      <w:r w:rsidR="00964E03" w:rsidRPr="00AE7E43">
        <w:rPr>
          <w:rStyle w:val="field-content"/>
          <w:rFonts w:ascii="Arial" w:hAnsi="Arial" w:cs="Arial"/>
          <w:sz w:val="24"/>
          <w:szCs w:val="24"/>
        </w:rPr>
        <w:t xml:space="preserve"> decided to grant a suspension of exe</w:t>
      </w:r>
      <w:r w:rsidR="003401A9" w:rsidRPr="00AE7E43">
        <w:rPr>
          <w:rStyle w:val="field-content"/>
          <w:rFonts w:ascii="Arial" w:hAnsi="Arial" w:cs="Arial"/>
          <w:sz w:val="24"/>
          <w:szCs w:val="24"/>
        </w:rPr>
        <w:t>cution in line with Mr Zietsman’s</w:t>
      </w:r>
      <w:r w:rsidR="00964E03" w:rsidRPr="00AE7E43">
        <w:rPr>
          <w:rStyle w:val="field-content"/>
          <w:rFonts w:ascii="Arial" w:hAnsi="Arial" w:cs="Arial"/>
          <w:sz w:val="24"/>
          <w:szCs w:val="24"/>
        </w:rPr>
        <w:t xml:space="preserve"> alternative submission.  Also, in fairness to the trustees, bearing in mind the </w:t>
      </w:r>
      <w:r w:rsidR="0021765D" w:rsidRPr="00AE7E43">
        <w:rPr>
          <w:rStyle w:val="field-content"/>
          <w:rFonts w:ascii="Arial" w:hAnsi="Arial" w:cs="Arial"/>
          <w:sz w:val="24"/>
          <w:szCs w:val="24"/>
        </w:rPr>
        <w:t xml:space="preserve">apparent </w:t>
      </w:r>
      <w:r w:rsidR="006E2A05" w:rsidRPr="00AE7E43">
        <w:rPr>
          <w:rStyle w:val="field-content"/>
          <w:rFonts w:ascii="Arial" w:hAnsi="Arial" w:cs="Arial"/>
          <w:sz w:val="24"/>
          <w:szCs w:val="24"/>
        </w:rPr>
        <w:t xml:space="preserve">total </w:t>
      </w:r>
      <w:r w:rsidR="00964E03" w:rsidRPr="00AE7E43">
        <w:rPr>
          <w:rStyle w:val="field-content"/>
          <w:rFonts w:ascii="Arial" w:hAnsi="Arial" w:cs="Arial"/>
          <w:sz w:val="24"/>
          <w:szCs w:val="24"/>
        </w:rPr>
        <w:t xml:space="preserve">value of all the immovable properties, </w:t>
      </w:r>
      <w:r w:rsidR="006E2A05" w:rsidRPr="00AE7E43">
        <w:rPr>
          <w:rStyle w:val="field-content"/>
          <w:rFonts w:ascii="Arial" w:hAnsi="Arial" w:cs="Arial"/>
          <w:sz w:val="24"/>
          <w:szCs w:val="24"/>
        </w:rPr>
        <w:t>the outstanding</w:t>
      </w:r>
      <w:r w:rsidR="0021765D" w:rsidRPr="00AE7E43">
        <w:rPr>
          <w:rStyle w:val="field-content"/>
          <w:rFonts w:ascii="Arial" w:hAnsi="Arial" w:cs="Arial"/>
          <w:sz w:val="24"/>
          <w:szCs w:val="24"/>
        </w:rPr>
        <w:t xml:space="preserve"> debt in relation to such </w:t>
      </w:r>
      <w:r w:rsidR="006E2A05" w:rsidRPr="00AE7E43">
        <w:rPr>
          <w:rStyle w:val="field-content"/>
          <w:rFonts w:ascii="Arial" w:hAnsi="Arial" w:cs="Arial"/>
          <w:sz w:val="24"/>
          <w:szCs w:val="24"/>
        </w:rPr>
        <w:t>value</w:t>
      </w:r>
      <w:r w:rsidR="0021765D" w:rsidRPr="00AE7E43">
        <w:rPr>
          <w:rStyle w:val="field-content"/>
          <w:rFonts w:ascii="Arial" w:hAnsi="Arial" w:cs="Arial"/>
          <w:sz w:val="24"/>
          <w:szCs w:val="24"/>
        </w:rPr>
        <w:t xml:space="preserve"> and the equity in the farms</w:t>
      </w:r>
      <w:r w:rsidR="006E2A05" w:rsidRPr="00AE7E43">
        <w:rPr>
          <w:rStyle w:val="field-content"/>
          <w:rFonts w:ascii="Arial" w:hAnsi="Arial" w:cs="Arial"/>
          <w:sz w:val="24"/>
          <w:szCs w:val="24"/>
        </w:rPr>
        <w:t xml:space="preserve">, </w:t>
      </w:r>
      <w:r w:rsidR="00964E03" w:rsidRPr="00AE7E43">
        <w:rPr>
          <w:rStyle w:val="field-content"/>
          <w:rFonts w:ascii="Arial" w:hAnsi="Arial" w:cs="Arial"/>
          <w:sz w:val="24"/>
          <w:szCs w:val="24"/>
        </w:rPr>
        <w:t xml:space="preserve">the </w:t>
      </w:r>
      <w:r w:rsidR="006E2A05" w:rsidRPr="00AE7E43">
        <w:rPr>
          <w:rStyle w:val="field-content"/>
          <w:rFonts w:ascii="Arial" w:hAnsi="Arial" w:cs="Arial"/>
          <w:sz w:val="24"/>
          <w:szCs w:val="24"/>
        </w:rPr>
        <w:t xml:space="preserve">significant </w:t>
      </w:r>
      <w:r w:rsidR="00964E03" w:rsidRPr="00AE7E43">
        <w:rPr>
          <w:rStyle w:val="field-content"/>
          <w:rFonts w:ascii="Arial" w:hAnsi="Arial" w:cs="Arial"/>
          <w:sz w:val="24"/>
          <w:szCs w:val="24"/>
        </w:rPr>
        <w:t xml:space="preserve">down-payments made </w:t>
      </w:r>
      <w:r w:rsidR="006E2A05" w:rsidRPr="00AE7E43">
        <w:rPr>
          <w:rStyle w:val="field-content"/>
          <w:rFonts w:ascii="Arial" w:hAnsi="Arial" w:cs="Arial"/>
          <w:sz w:val="24"/>
          <w:szCs w:val="24"/>
        </w:rPr>
        <w:t>since the first court order</w:t>
      </w:r>
      <w:r w:rsidR="00D24DFA" w:rsidRPr="00AE7E43">
        <w:rPr>
          <w:rStyle w:val="field-content"/>
          <w:rFonts w:ascii="Arial" w:hAnsi="Arial" w:cs="Arial"/>
          <w:sz w:val="24"/>
          <w:szCs w:val="24"/>
        </w:rPr>
        <w:t>, the present marketing by the trustees of two further farms</w:t>
      </w:r>
      <w:r w:rsidR="00CB4792" w:rsidRPr="00AE7E43">
        <w:rPr>
          <w:rStyle w:val="field-content"/>
          <w:rFonts w:ascii="Arial" w:hAnsi="Arial" w:cs="Arial"/>
          <w:sz w:val="24"/>
          <w:szCs w:val="24"/>
        </w:rPr>
        <w:t xml:space="preserve">, the proceeds of </w:t>
      </w:r>
      <w:r w:rsidR="00D24DFA" w:rsidRPr="00AE7E43">
        <w:rPr>
          <w:rStyle w:val="field-content"/>
          <w:rFonts w:ascii="Arial" w:hAnsi="Arial" w:cs="Arial"/>
          <w:sz w:val="24"/>
          <w:szCs w:val="24"/>
        </w:rPr>
        <w:t>which they believe may be sufficient to settle the applicant’s debt in full</w:t>
      </w:r>
      <w:r w:rsidR="00B56509" w:rsidRPr="00AE7E43">
        <w:rPr>
          <w:rStyle w:val="field-content"/>
          <w:rFonts w:ascii="Arial" w:hAnsi="Arial" w:cs="Arial"/>
          <w:sz w:val="24"/>
          <w:szCs w:val="24"/>
        </w:rPr>
        <w:t xml:space="preserve">, and </w:t>
      </w:r>
      <w:r w:rsidR="0021765D" w:rsidRPr="00AE7E43">
        <w:rPr>
          <w:rStyle w:val="field-content"/>
          <w:rFonts w:ascii="Arial" w:hAnsi="Arial" w:cs="Arial"/>
          <w:sz w:val="24"/>
          <w:szCs w:val="24"/>
        </w:rPr>
        <w:t xml:space="preserve">finally, </w:t>
      </w:r>
      <w:r w:rsidR="00B56509" w:rsidRPr="00AE7E43">
        <w:rPr>
          <w:rStyle w:val="field-content"/>
          <w:rFonts w:ascii="Arial" w:hAnsi="Arial" w:cs="Arial"/>
          <w:sz w:val="24"/>
          <w:szCs w:val="24"/>
        </w:rPr>
        <w:t>insofar as the farms Uitkij</w:t>
      </w:r>
      <w:r w:rsidR="00D24DFA" w:rsidRPr="00AE7E43">
        <w:rPr>
          <w:rStyle w:val="field-content"/>
          <w:rFonts w:ascii="Arial" w:hAnsi="Arial" w:cs="Arial"/>
          <w:sz w:val="24"/>
          <w:szCs w:val="24"/>
        </w:rPr>
        <w:t xml:space="preserve">k and </w:t>
      </w:r>
      <w:r w:rsidR="00B56509" w:rsidRPr="00AE7E43">
        <w:rPr>
          <w:rStyle w:val="field-content"/>
          <w:rFonts w:ascii="Arial" w:hAnsi="Arial" w:cs="Arial"/>
          <w:sz w:val="24"/>
          <w:szCs w:val="24"/>
        </w:rPr>
        <w:t xml:space="preserve">the Remainder of the farm </w:t>
      </w:r>
      <w:r w:rsidR="00D24DFA" w:rsidRPr="00AE7E43">
        <w:rPr>
          <w:rStyle w:val="field-content"/>
          <w:rFonts w:ascii="Arial" w:hAnsi="Arial" w:cs="Arial"/>
          <w:sz w:val="24"/>
          <w:szCs w:val="24"/>
        </w:rPr>
        <w:t>Mullersvlei</w:t>
      </w:r>
      <w:r w:rsidR="006E2A05" w:rsidRPr="00AE7E43">
        <w:rPr>
          <w:rStyle w:val="field-content"/>
          <w:rFonts w:ascii="Arial" w:hAnsi="Arial" w:cs="Arial"/>
          <w:sz w:val="24"/>
          <w:szCs w:val="24"/>
        </w:rPr>
        <w:t xml:space="preserve"> are considered </w:t>
      </w:r>
      <w:r w:rsidR="00C47EBA">
        <w:rPr>
          <w:rStyle w:val="field-content"/>
          <w:rFonts w:ascii="Arial" w:hAnsi="Arial" w:cs="Arial"/>
          <w:sz w:val="24"/>
          <w:szCs w:val="24"/>
        </w:rPr>
        <w:t xml:space="preserve">the </w:t>
      </w:r>
      <w:r w:rsidR="006E2A05" w:rsidRPr="00AE7E43">
        <w:rPr>
          <w:rStyle w:val="field-content"/>
          <w:rFonts w:ascii="Arial" w:hAnsi="Arial" w:cs="Arial"/>
          <w:sz w:val="24"/>
          <w:szCs w:val="24"/>
        </w:rPr>
        <w:t>primary residences</w:t>
      </w:r>
      <w:r w:rsidR="00D24DFA" w:rsidRPr="00AE7E43">
        <w:rPr>
          <w:rStyle w:val="field-content"/>
          <w:rFonts w:ascii="Arial" w:hAnsi="Arial" w:cs="Arial"/>
          <w:sz w:val="24"/>
          <w:szCs w:val="24"/>
        </w:rPr>
        <w:t xml:space="preserve"> of the </w:t>
      </w:r>
      <w:r w:rsidR="00C47EBA">
        <w:rPr>
          <w:rStyle w:val="field-content"/>
          <w:rFonts w:ascii="Arial" w:hAnsi="Arial" w:cs="Arial"/>
          <w:sz w:val="24"/>
          <w:szCs w:val="24"/>
        </w:rPr>
        <w:t>4</w:t>
      </w:r>
      <w:r w:rsidR="00C47EBA" w:rsidRPr="00C47EBA">
        <w:rPr>
          <w:rStyle w:val="field-content"/>
          <w:rFonts w:ascii="Arial" w:hAnsi="Arial" w:cs="Arial"/>
          <w:sz w:val="24"/>
          <w:szCs w:val="24"/>
          <w:vertAlign w:val="superscript"/>
        </w:rPr>
        <w:t>th</w:t>
      </w:r>
      <w:r w:rsidR="00C47EBA">
        <w:rPr>
          <w:rStyle w:val="field-content"/>
          <w:rFonts w:ascii="Arial" w:hAnsi="Arial" w:cs="Arial"/>
          <w:sz w:val="24"/>
          <w:szCs w:val="24"/>
        </w:rPr>
        <w:t>, 5</w:t>
      </w:r>
      <w:r w:rsidR="00C47EBA" w:rsidRPr="00C47EBA">
        <w:rPr>
          <w:rStyle w:val="field-content"/>
          <w:rFonts w:ascii="Arial" w:hAnsi="Arial" w:cs="Arial"/>
          <w:sz w:val="24"/>
          <w:szCs w:val="24"/>
          <w:vertAlign w:val="superscript"/>
        </w:rPr>
        <w:t>th</w:t>
      </w:r>
      <w:r w:rsidR="00C47EBA">
        <w:rPr>
          <w:rStyle w:val="field-content"/>
          <w:rFonts w:ascii="Arial" w:hAnsi="Arial" w:cs="Arial"/>
          <w:sz w:val="24"/>
          <w:szCs w:val="24"/>
        </w:rPr>
        <w:t xml:space="preserve"> and 6</w:t>
      </w:r>
      <w:r w:rsidR="00C47EBA" w:rsidRPr="00C47EBA">
        <w:rPr>
          <w:rStyle w:val="field-content"/>
          <w:rFonts w:ascii="Arial" w:hAnsi="Arial" w:cs="Arial"/>
          <w:sz w:val="24"/>
          <w:szCs w:val="24"/>
          <w:vertAlign w:val="superscript"/>
        </w:rPr>
        <w:t>th</w:t>
      </w:r>
      <w:r w:rsidR="00C47EBA">
        <w:rPr>
          <w:rStyle w:val="field-content"/>
          <w:rFonts w:ascii="Arial" w:hAnsi="Arial" w:cs="Arial"/>
          <w:sz w:val="24"/>
          <w:szCs w:val="24"/>
        </w:rPr>
        <w:t xml:space="preserve"> respondents</w:t>
      </w:r>
      <w:r w:rsidR="00D24DFA" w:rsidRPr="00AE7E43">
        <w:rPr>
          <w:rStyle w:val="field-content"/>
          <w:rFonts w:ascii="Arial" w:hAnsi="Arial" w:cs="Arial"/>
          <w:sz w:val="24"/>
          <w:szCs w:val="24"/>
        </w:rPr>
        <w:t>, these two immovable properties shall</w:t>
      </w:r>
      <w:r w:rsidR="006E2A05" w:rsidRPr="00AE7E43">
        <w:rPr>
          <w:rStyle w:val="field-content"/>
          <w:rFonts w:ascii="Arial" w:hAnsi="Arial" w:cs="Arial"/>
          <w:sz w:val="24"/>
          <w:szCs w:val="24"/>
        </w:rPr>
        <w:t xml:space="preserve"> </w:t>
      </w:r>
      <w:r w:rsidR="00CB4792" w:rsidRPr="00AE7E43">
        <w:rPr>
          <w:rStyle w:val="field-content"/>
          <w:rFonts w:ascii="Arial" w:hAnsi="Arial" w:cs="Arial"/>
          <w:sz w:val="24"/>
          <w:szCs w:val="24"/>
        </w:rPr>
        <w:t xml:space="preserve">be </w:t>
      </w:r>
      <w:r w:rsidR="006E2A05" w:rsidRPr="00AE7E43">
        <w:rPr>
          <w:rStyle w:val="field-content"/>
          <w:rFonts w:ascii="Arial" w:hAnsi="Arial" w:cs="Arial"/>
          <w:sz w:val="24"/>
          <w:szCs w:val="24"/>
        </w:rPr>
        <w:t>exclud</w:t>
      </w:r>
      <w:r w:rsidR="00D24DFA" w:rsidRPr="00AE7E43">
        <w:rPr>
          <w:rStyle w:val="field-content"/>
          <w:rFonts w:ascii="Arial" w:hAnsi="Arial" w:cs="Arial"/>
          <w:sz w:val="24"/>
          <w:szCs w:val="24"/>
        </w:rPr>
        <w:t>ed from the order to b</w:t>
      </w:r>
      <w:r w:rsidR="00CB4792" w:rsidRPr="00AE7E43">
        <w:rPr>
          <w:rStyle w:val="field-content"/>
          <w:rFonts w:ascii="Arial" w:hAnsi="Arial" w:cs="Arial"/>
          <w:sz w:val="24"/>
          <w:szCs w:val="24"/>
        </w:rPr>
        <w:t xml:space="preserve">e issued.   </w:t>
      </w:r>
      <w:r w:rsidR="00D24DFA" w:rsidRPr="00AE7E43">
        <w:rPr>
          <w:rStyle w:val="field-content"/>
          <w:rFonts w:ascii="Arial" w:hAnsi="Arial" w:cs="Arial"/>
          <w:sz w:val="24"/>
          <w:szCs w:val="24"/>
        </w:rPr>
        <w:t xml:space="preserve">I exclude these properties </w:t>
      </w:r>
      <w:r w:rsidR="00CB4792" w:rsidRPr="00AE7E43">
        <w:rPr>
          <w:rStyle w:val="field-content"/>
          <w:rFonts w:ascii="Arial" w:hAnsi="Arial" w:cs="Arial"/>
          <w:sz w:val="24"/>
          <w:szCs w:val="24"/>
        </w:rPr>
        <w:t xml:space="preserve">in the exercise of my discretion </w:t>
      </w:r>
      <w:r w:rsidR="00D24DFA" w:rsidRPr="00AE7E43">
        <w:rPr>
          <w:rStyle w:val="field-content"/>
          <w:rFonts w:ascii="Arial" w:hAnsi="Arial" w:cs="Arial"/>
          <w:sz w:val="24"/>
          <w:szCs w:val="24"/>
        </w:rPr>
        <w:t xml:space="preserve">notwithstanding my understanding of the legal principles that these properties are not to be </w:t>
      </w:r>
      <w:r w:rsidR="00D24DFA" w:rsidRPr="00AE7E43">
        <w:rPr>
          <w:rStyle w:val="field-content"/>
          <w:rFonts w:ascii="Arial" w:hAnsi="Arial" w:cs="Arial"/>
          <w:sz w:val="24"/>
          <w:szCs w:val="24"/>
        </w:rPr>
        <w:lastRenderedPageBreak/>
        <w:t>considered primary residences of the judgment debtors, being the trustees in their representative capacities as such of the Trust</w:t>
      </w:r>
      <w:r w:rsidR="00A73E37">
        <w:rPr>
          <w:rStyle w:val="field-content"/>
          <w:rFonts w:ascii="Arial" w:hAnsi="Arial" w:cs="Arial"/>
          <w:sz w:val="24"/>
          <w:szCs w:val="24"/>
        </w:rPr>
        <w:t>, the owner of the properties</w:t>
      </w:r>
      <w:r w:rsidR="00D24DFA" w:rsidRPr="00AE7E43">
        <w:rPr>
          <w:rStyle w:val="field-content"/>
          <w:rFonts w:ascii="Arial" w:hAnsi="Arial" w:cs="Arial"/>
          <w:sz w:val="24"/>
          <w:szCs w:val="24"/>
        </w:rPr>
        <w:t>.</w:t>
      </w:r>
      <w:r w:rsidR="00D24DFA" w:rsidRPr="00AE7E43">
        <w:rPr>
          <w:rStyle w:val="FootnoteReference"/>
          <w:rFonts w:ascii="Arial" w:hAnsi="Arial" w:cs="Arial"/>
          <w:sz w:val="24"/>
          <w:szCs w:val="24"/>
        </w:rPr>
        <w:footnoteReference w:id="47"/>
      </w:r>
      <w:r w:rsidR="008D289C" w:rsidRPr="00AE7E43">
        <w:rPr>
          <w:rStyle w:val="field-content"/>
          <w:rFonts w:ascii="Arial" w:hAnsi="Arial" w:cs="Arial"/>
          <w:sz w:val="24"/>
          <w:szCs w:val="24"/>
        </w:rPr>
        <w:t xml:space="preserve">  </w:t>
      </w:r>
      <w:r w:rsidR="00A01AC8" w:rsidRPr="00A73E37">
        <w:rPr>
          <w:rStyle w:val="field-content"/>
          <w:rFonts w:ascii="Arial" w:hAnsi="Arial" w:cs="Arial"/>
          <w:sz w:val="24"/>
          <w:szCs w:val="24"/>
        </w:rPr>
        <w:t xml:space="preserve">Rule 46A applies whenever an </w:t>
      </w:r>
      <w:r w:rsidR="004673BB" w:rsidRPr="00A73E37">
        <w:rPr>
          <w:rStyle w:val="field-content"/>
          <w:rFonts w:ascii="Arial" w:hAnsi="Arial" w:cs="Arial"/>
          <w:sz w:val="24"/>
          <w:szCs w:val="24"/>
        </w:rPr>
        <w:t xml:space="preserve">execution creditor seeks to execute against the residential property of a judgment debtor, </w:t>
      </w:r>
      <w:r w:rsidR="004673BB" w:rsidRPr="00A73E37">
        <w:rPr>
          <w:rStyle w:val="field-content"/>
          <w:rFonts w:ascii="Arial" w:hAnsi="Arial" w:cs="Arial"/>
          <w:i/>
          <w:sz w:val="24"/>
          <w:szCs w:val="24"/>
        </w:rPr>
        <w:t>ie</w:t>
      </w:r>
      <w:r w:rsidR="004673BB" w:rsidRPr="00A73E37">
        <w:rPr>
          <w:rStyle w:val="field-content"/>
          <w:rFonts w:ascii="Arial" w:hAnsi="Arial" w:cs="Arial"/>
          <w:sz w:val="24"/>
          <w:szCs w:val="24"/>
        </w:rPr>
        <w:t xml:space="preserve"> the primary residence of the judgment debtor.  In such a case judicial oversight is required and the provisions of sub-rules 8 and 9 kick in to ensure fairness. </w:t>
      </w:r>
    </w:p>
    <w:p w14:paraId="7C8A19AA" w14:textId="77777777" w:rsidR="001E4D6E" w:rsidRPr="00AE7E43" w:rsidRDefault="001E4D6E" w:rsidP="001E4D6E">
      <w:pPr>
        <w:spacing w:after="0" w:line="360" w:lineRule="auto"/>
        <w:ind w:left="993" w:hanging="993"/>
        <w:jc w:val="both"/>
        <w:rPr>
          <w:rFonts w:ascii="Arial" w:hAnsi="Arial" w:cs="Arial"/>
          <w:bCs/>
          <w:sz w:val="24"/>
          <w:szCs w:val="24"/>
        </w:rPr>
      </w:pPr>
    </w:p>
    <w:p w14:paraId="590785AB" w14:textId="77777777" w:rsidR="001E00AF" w:rsidRPr="00AE7E43" w:rsidRDefault="006D393C"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VIII</w:t>
      </w:r>
      <w:r w:rsidRPr="00AE7E43">
        <w:rPr>
          <w:rFonts w:ascii="Arial" w:hAnsi="Arial" w:cs="Arial"/>
          <w:b/>
          <w:bCs/>
          <w:sz w:val="24"/>
          <w:szCs w:val="24"/>
        </w:rPr>
        <w:tab/>
      </w:r>
      <w:r w:rsidR="003E75FD" w:rsidRPr="00AE7E43">
        <w:rPr>
          <w:rFonts w:ascii="Arial" w:hAnsi="Arial" w:cs="Arial"/>
          <w:b/>
          <w:bCs/>
          <w:sz w:val="24"/>
          <w:szCs w:val="24"/>
        </w:rPr>
        <w:t>CONCLUSION</w:t>
      </w:r>
    </w:p>
    <w:p w14:paraId="109FD527" w14:textId="77777777" w:rsidR="001E00AF" w:rsidRPr="00AE7E43" w:rsidRDefault="001E00AF" w:rsidP="001E4D6E">
      <w:pPr>
        <w:spacing w:after="0" w:line="360" w:lineRule="auto"/>
        <w:ind w:left="993" w:hanging="993"/>
        <w:jc w:val="both"/>
        <w:rPr>
          <w:rFonts w:ascii="Arial" w:hAnsi="Arial" w:cs="Arial"/>
          <w:bCs/>
          <w:sz w:val="24"/>
          <w:szCs w:val="24"/>
        </w:rPr>
      </w:pPr>
    </w:p>
    <w:p w14:paraId="5EC0FF73" w14:textId="77777777" w:rsidR="00704AA1" w:rsidRPr="00AE7E43" w:rsidRDefault="00704AA1" w:rsidP="001E4D6E">
      <w:pPr>
        <w:spacing w:after="0" w:line="360" w:lineRule="auto"/>
        <w:ind w:left="993" w:hanging="993"/>
        <w:jc w:val="both"/>
        <w:rPr>
          <w:rFonts w:ascii="Arial" w:hAnsi="Arial" w:cs="Arial"/>
          <w:bCs/>
          <w:sz w:val="24"/>
          <w:szCs w:val="24"/>
        </w:rPr>
      </w:pPr>
      <w:r w:rsidRPr="00AE7E43">
        <w:rPr>
          <w:rFonts w:ascii="Arial" w:hAnsi="Arial" w:cs="Arial"/>
          <w:bCs/>
          <w:sz w:val="24"/>
          <w:szCs w:val="24"/>
        </w:rPr>
        <w:t>[</w:t>
      </w:r>
      <w:r w:rsidR="008C1E76" w:rsidRPr="00AE7E43">
        <w:rPr>
          <w:rFonts w:ascii="Arial" w:hAnsi="Arial" w:cs="Arial"/>
          <w:bCs/>
          <w:sz w:val="24"/>
          <w:szCs w:val="24"/>
        </w:rPr>
        <w:t>4</w:t>
      </w:r>
      <w:r w:rsidR="00AE7E43">
        <w:rPr>
          <w:rFonts w:ascii="Arial" w:hAnsi="Arial" w:cs="Arial"/>
          <w:bCs/>
          <w:sz w:val="24"/>
          <w:szCs w:val="24"/>
        </w:rPr>
        <w:t>6</w:t>
      </w:r>
      <w:r w:rsidRPr="00AE7E43">
        <w:rPr>
          <w:rFonts w:ascii="Arial" w:hAnsi="Arial" w:cs="Arial"/>
          <w:bCs/>
          <w:sz w:val="24"/>
          <w:szCs w:val="24"/>
        </w:rPr>
        <w:t>]</w:t>
      </w:r>
      <w:r w:rsidR="006D393C" w:rsidRPr="00AE7E43">
        <w:rPr>
          <w:rFonts w:ascii="Arial" w:hAnsi="Arial" w:cs="Arial"/>
          <w:bCs/>
          <w:sz w:val="24"/>
          <w:szCs w:val="24"/>
        </w:rPr>
        <w:tab/>
      </w:r>
      <w:r w:rsidR="003E75FD" w:rsidRPr="00AE7E43">
        <w:rPr>
          <w:rFonts w:ascii="Arial" w:hAnsi="Arial" w:cs="Arial"/>
          <w:bCs/>
          <w:sz w:val="24"/>
          <w:szCs w:val="24"/>
        </w:rPr>
        <w:t>I conclude that based on the reasoning above, the applicant has made out a proper case for the relief sought in the notice of motion</w:t>
      </w:r>
      <w:r w:rsidR="00964E03" w:rsidRPr="00AE7E43">
        <w:rPr>
          <w:rFonts w:ascii="Arial" w:hAnsi="Arial" w:cs="Arial"/>
          <w:bCs/>
          <w:sz w:val="24"/>
          <w:szCs w:val="24"/>
        </w:rPr>
        <w:t xml:space="preserve">, subject to the suspension of the execution until 31 July 2022 and the exclusion of the </w:t>
      </w:r>
      <w:r w:rsidR="00A73E37">
        <w:rPr>
          <w:rFonts w:ascii="Arial" w:hAnsi="Arial" w:cs="Arial"/>
          <w:bCs/>
          <w:sz w:val="24"/>
          <w:szCs w:val="24"/>
        </w:rPr>
        <w:t xml:space="preserve">two </w:t>
      </w:r>
      <w:r w:rsidR="00964E03" w:rsidRPr="00AE7E43">
        <w:rPr>
          <w:rFonts w:ascii="Arial" w:hAnsi="Arial" w:cs="Arial"/>
          <w:bCs/>
          <w:sz w:val="24"/>
          <w:szCs w:val="24"/>
        </w:rPr>
        <w:t>farms that are regarded as the pr</w:t>
      </w:r>
      <w:r w:rsidR="00A73E37">
        <w:rPr>
          <w:rFonts w:ascii="Arial" w:hAnsi="Arial" w:cs="Arial"/>
          <w:bCs/>
          <w:sz w:val="24"/>
          <w:szCs w:val="24"/>
        </w:rPr>
        <w:t>imary residences of the respondents</w:t>
      </w:r>
      <w:r w:rsidR="003E75FD" w:rsidRPr="00AE7E43">
        <w:rPr>
          <w:rFonts w:ascii="Arial" w:hAnsi="Arial" w:cs="Arial"/>
          <w:bCs/>
          <w:sz w:val="24"/>
          <w:szCs w:val="24"/>
        </w:rPr>
        <w:t xml:space="preserve">.  </w:t>
      </w:r>
      <w:r w:rsidR="00B56509" w:rsidRPr="00AE7E43">
        <w:rPr>
          <w:rFonts w:ascii="Arial" w:hAnsi="Arial" w:cs="Arial"/>
          <w:bCs/>
          <w:sz w:val="24"/>
          <w:szCs w:val="24"/>
        </w:rPr>
        <w:t>No reserve price needs to be set insofar as the remainder of the immovable properties</w:t>
      </w:r>
      <w:r w:rsidR="00D263B4" w:rsidRPr="00AE7E43">
        <w:rPr>
          <w:rFonts w:ascii="Arial" w:hAnsi="Arial" w:cs="Arial"/>
          <w:bCs/>
          <w:sz w:val="24"/>
          <w:szCs w:val="24"/>
        </w:rPr>
        <w:t xml:space="preserve"> are not the primary residences of the judgment debtors.</w:t>
      </w:r>
      <w:r w:rsidR="00B56509" w:rsidRPr="00AE7E43">
        <w:rPr>
          <w:rFonts w:ascii="Arial" w:hAnsi="Arial" w:cs="Arial"/>
          <w:bCs/>
          <w:sz w:val="24"/>
          <w:szCs w:val="24"/>
        </w:rPr>
        <w:t xml:space="preserve">  </w:t>
      </w:r>
      <w:r w:rsidR="003E75FD" w:rsidRPr="00AE7E43">
        <w:rPr>
          <w:rFonts w:ascii="Arial" w:hAnsi="Arial" w:cs="Arial"/>
          <w:bCs/>
          <w:sz w:val="24"/>
          <w:szCs w:val="24"/>
        </w:rPr>
        <w:t>The respondents’ claims as contained in the counter-application are devoid of any merit and shall be dismissed with costs.</w:t>
      </w:r>
    </w:p>
    <w:p w14:paraId="2D14C727" w14:textId="77777777" w:rsidR="003E75FD" w:rsidRPr="00AE7E43" w:rsidRDefault="003E75FD" w:rsidP="001E4D6E">
      <w:pPr>
        <w:spacing w:after="0" w:line="360" w:lineRule="auto"/>
        <w:ind w:left="993" w:hanging="993"/>
        <w:jc w:val="both"/>
        <w:rPr>
          <w:rFonts w:ascii="Arial" w:hAnsi="Arial" w:cs="Arial"/>
          <w:b/>
          <w:bCs/>
          <w:sz w:val="24"/>
          <w:szCs w:val="24"/>
        </w:rPr>
      </w:pPr>
    </w:p>
    <w:p w14:paraId="1128FDFC" w14:textId="77777777" w:rsidR="00704AA1" w:rsidRPr="00AE7E43" w:rsidRDefault="006D393C" w:rsidP="001E4D6E">
      <w:pPr>
        <w:spacing w:after="0" w:line="360" w:lineRule="auto"/>
        <w:ind w:left="993" w:hanging="993"/>
        <w:jc w:val="both"/>
        <w:rPr>
          <w:rFonts w:ascii="Arial" w:hAnsi="Arial" w:cs="Arial"/>
          <w:b/>
          <w:bCs/>
          <w:sz w:val="24"/>
          <w:szCs w:val="24"/>
        </w:rPr>
      </w:pPr>
      <w:r w:rsidRPr="00AE7E43">
        <w:rPr>
          <w:rFonts w:ascii="Arial" w:hAnsi="Arial" w:cs="Arial"/>
          <w:b/>
          <w:bCs/>
          <w:sz w:val="24"/>
          <w:szCs w:val="24"/>
        </w:rPr>
        <w:t>IX</w:t>
      </w:r>
      <w:r w:rsidRPr="00AE7E43">
        <w:rPr>
          <w:rFonts w:ascii="Arial" w:hAnsi="Arial" w:cs="Arial"/>
          <w:b/>
          <w:bCs/>
          <w:sz w:val="24"/>
          <w:szCs w:val="24"/>
        </w:rPr>
        <w:tab/>
      </w:r>
      <w:r w:rsidR="003E75FD" w:rsidRPr="00AE7E43">
        <w:rPr>
          <w:rFonts w:ascii="Arial" w:hAnsi="Arial" w:cs="Arial"/>
          <w:b/>
          <w:bCs/>
          <w:sz w:val="24"/>
          <w:szCs w:val="24"/>
        </w:rPr>
        <w:t>ORDERS</w:t>
      </w:r>
    </w:p>
    <w:p w14:paraId="6CA465B7" w14:textId="77777777" w:rsidR="00964E03" w:rsidRPr="00AE7E43" w:rsidRDefault="00964E03" w:rsidP="001E4D6E">
      <w:pPr>
        <w:spacing w:after="0" w:line="360" w:lineRule="auto"/>
        <w:ind w:left="993" w:hanging="993"/>
        <w:jc w:val="both"/>
        <w:rPr>
          <w:rFonts w:ascii="Arial" w:hAnsi="Arial" w:cs="Arial"/>
          <w:bCs/>
          <w:sz w:val="24"/>
          <w:szCs w:val="24"/>
        </w:rPr>
      </w:pPr>
    </w:p>
    <w:p w14:paraId="79DF0E05" w14:textId="77777777" w:rsidR="00FB3669" w:rsidRPr="00AE7E43" w:rsidRDefault="00704AA1" w:rsidP="001E4D6E">
      <w:pPr>
        <w:spacing w:after="0" w:line="360" w:lineRule="auto"/>
        <w:ind w:left="993" w:hanging="993"/>
        <w:jc w:val="both"/>
        <w:rPr>
          <w:rFonts w:ascii="Arial" w:hAnsi="Arial" w:cs="Arial"/>
          <w:bCs/>
          <w:sz w:val="24"/>
          <w:szCs w:val="24"/>
        </w:rPr>
      </w:pPr>
      <w:r w:rsidRPr="00AE7E43">
        <w:rPr>
          <w:rFonts w:ascii="Arial" w:hAnsi="Arial" w:cs="Arial"/>
          <w:bCs/>
          <w:sz w:val="24"/>
          <w:szCs w:val="24"/>
        </w:rPr>
        <w:t>[</w:t>
      </w:r>
      <w:r w:rsidR="008C1E76" w:rsidRPr="00AE7E43">
        <w:rPr>
          <w:rFonts w:ascii="Arial" w:hAnsi="Arial" w:cs="Arial"/>
          <w:bCs/>
          <w:sz w:val="24"/>
          <w:szCs w:val="24"/>
        </w:rPr>
        <w:t>4</w:t>
      </w:r>
      <w:r w:rsidR="00AE7E43">
        <w:rPr>
          <w:rFonts w:ascii="Arial" w:hAnsi="Arial" w:cs="Arial"/>
          <w:bCs/>
          <w:sz w:val="24"/>
          <w:szCs w:val="24"/>
        </w:rPr>
        <w:t>7</w:t>
      </w:r>
      <w:r w:rsidRPr="00AE7E43">
        <w:rPr>
          <w:rFonts w:ascii="Arial" w:hAnsi="Arial" w:cs="Arial"/>
          <w:bCs/>
          <w:sz w:val="24"/>
          <w:szCs w:val="24"/>
        </w:rPr>
        <w:t>]</w:t>
      </w:r>
      <w:r w:rsidR="006D393C" w:rsidRPr="00AE7E43">
        <w:rPr>
          <w:rFonts w:ascii="Arial" w:hAnsi="Arial" w:cs="Arial"/>
          <w:bCs/>
          <w:sz w:val="24"/>
          <w:szCs w:val="24"/>
        </w:rPr>
        <w:tab/>
      </w:r>
      <w:r w:rsidR="00FB3669" w:rsidRPr="00AE7E43">
        <w:rPr>
          <w:rFonts w:ascii="Arial" w:hAnsi="Arial" w:cs="Arial"/>
          <w:bCs/>
          <w:sz w:val="24"/>
          <w:szCs w:val="24"/>
        </w:rPr>
        <w:t xml:space="preserve">The following orders are issued:  </w:t>
      </w:r>
    </w:p>
    <w:p w14:paraId="7D29CF6C" w14:textId="77777777" w:rsidR="002833DA" w:rsidRDefault="002833DA" w:rsidP="001E4D6E">
      <w:pPr>
        <w:spacing w:after="0" w:line="360" w:lineRule="auto"/>
        <w:ind w:left="851" w:hanging="851"/>
        <w:jc w:val="both"/>
        <w:rPr>
          <w:rFonts w:ascii="Arial" w:hAnsi="Arial" w:cs="Arial"/>
          <w:b/>
          <w:bCs/>
          <w:sz w:val="24"/>
          <w:szCs w:val="24"/>
          <w:u w:val="single"/>
        </w:rPr>
      </w:pPr>
    </w:p>
    <w:p w14:paraId="48075AF2" w14:textId="77777777" w:rsidR="00FB3669" w:rsidRDefault="002833DA" w:rsidP="001E4D6E">
      <w:pPr>
        <w:spacing w:after="0" w:line="360" w:lineRule="auto"/>
        <w:ind w:left="851" w:hanging="851"/>
        <w:jc w:val="both"/>
        <w:rPr>
          <w:rFonts w:ascii="Arial" w:hAnsi="Arial" w:cs="Arial"/>
          <w:b/>
          <w:bCs/>
          <w:sz w:val="24"/>
          <w:szCs w:val="24"/>
          <w:u w:val="single"/>
        </w:rPr>
      </w:pPr>
      <w:r>
        <w:rPr>
          <w:rFonts w:ascii="Arial" w:hAnsi="Arial" w:cs="Arial"/>
          <w:b/>
          <w:bCs/>
          <w:sz w:val="24"/>
          <w:szCs w:val="24"/>
          <w:u w:val="single"/>
        </w:rPr>
        <w:t>In respect of t</w:t>
      </w:r>
      <w:r w:rsidRPr="002833DA">
        <w:rPr>
          <w:rFonts w:ascii="Arial" w:hAnsi="Arial" w:cs="Arial"/>
          <w:b/>
          <w:bCs/>
          <w:sz w:val="24"/>
          <w:szCs w:val="24"/>
          <w:u w:val="single"/>
        </w:rPr>
        <w:t xml:space="preserve">he main application </w:t>
      </w:r>
    </w:p>
    <w:p w14:paraId="5D38C15E" w14:textId="77777777" w:rsidR="002833DA" w:rsidRPr="002833DA" w:rsidRDefault="002833DA" w:rsidP="001E4D6E">
      <w:pPr>
        <w:spacing w:after="0" w:line="360" w:lineRule="auto"/>
        <w:ind w:left="851" w:hanging="851"/>
        <w:jc w:val="both"/>
        <w:rPr>
          <w:rFonts w:ascii="Arial" w:hAnsi="Arial" w:cs="Arial"/>
          <w:b/>
          <w:bCs/>
          <w:sz w:val="24"/>
          <w:szCs w:val="24"/>
          <w:u w:val="single"/>
        </w:rPr>
      </w:pPr>
    </w:p>
    <w:p w14:paraId="655F099D" w14:textId="77777777" w:rsidR="00FB3669" w:rsidRPr="00AE7E43" w:rsidRDefault="00FB3669" w:rsidP="001E4D6E">
      <w:pPr>
        <w:numPr>
          <w:ilvl w:val="0"/>
          <w:numId w:val="6"/>
        </w:numPr>
        <w:spacing w:after="0" w:line="360" w:lineRule="auto"/>
        <w:ind w:left="993" w:hanging="993"/>
        <w:jc w:val="both"/>
        <w:rPr>
          <w:rFonts w:ascii="Arial" w:hAnsi="Arial" w:cs="Arial"/>
          <w:sz w:val="24"/>
          <w:szCs w:val="24"/>
          <w:lang w:val="en-GB"/>
        </w:rPr>
      </w:pPr>
      <w:r w:rsidRPr="00AE7E43">
        <w:rPr>
          <w:rFonts w:ascii="Arial" w:hAnsi="Arial" w:cs="Arial"/>
          <w:sz w:val="24"/>
          <w:szCs w:val="24"/>
          <w:lang w:val="en-GB"/>
        </w:rPr>
        <w:t xml:space="preserve">Judgment is granted against the first to </w:t>
      </w:r>
      <w:r w:rsidR="00B45971" w:rsidRPr="00AE7E43">
        <w:rPr>
          <w:rFonts w:ascii="Arial" w:hAnsi="Arial" w:cs="Arial"/>
          <w:sz w:val="24"/>
          <w:szCs w:val="24"/>
          <w:lang w:val="en-GB"/>
        </w:rPr>
        <w:t>fourth</w:t>
      </w:r>
      <w:r w:rsidRPr="00AE7E43">
        <w:rPr>
          <w:rFonts w:ascii="Arial" w:hAnsi="Arial" w:cs="Arial"/>
          <w:sz w:val="24"/>
          <w:szCs w:val="24"/>
          <w:lang w:val="en-GB"/>
        </w:rPr>
        <w:t xml:space="preserve"> respondents jointly and severally, the one paying the other to be absolved, in the following terms:</w:t>
      </w:r>
    </w:p>
    <w:p w14:paraId="0A00BD68" w14:textId="77777777" w:rsidR="00FB3669" w:rsidRPr="00AE7E43" w:rsidRDefault="00FB3669" w:rsidP="001E4D6E">
      <w:pPr>
        <w:spacing w:after="0" w:line="360" w:lineRule="auto"/>
        <w:jc w:val="both"/>
        <w:rPr>
          <w:rFonts w:ascii="Arial" w:hAnsi="Arial" w:cs="Arial"/>
          <w:sz w:val="24"/>
          <w:szCs w:val="24"/>
          <w:lang w:val="en-GB"/>
        </w:rPr>
      </w:pPr>
    </w:p>
    <w:p w14:paraId="596EEB70" w14:textId="77777777" w:rsidR="00FB3669" w:rsidRPr="00AE7E43" w:rsidRDefault="00FB3669" w:rsidP="001E4D6E">
      <w:pPr>
        <w:pStyle w:val="ListParagraph"/>
        <w:numPr>
          <w:ilvl w:val="1"/>
          <w:numId w:val="7"/>
        </w:numPr>
        <w:spacing w:line="360" w:lineRule="auto"/>
        <w:ind w:left="1843" w:hanging="850"/>
        <w:jc w:val="both"/>
        <w:rPr>
          <w:rFonts w:ascii="Arial" w:hAnsi="Arial" w:cs="Arial"/>
          <w:lang w:val="en-GB"/>
        </w:rPr>
      </w:pPr>
      <w:r w:rsidRPr="00AE7E43">
        <w:rPr>
          <w:rFonts w:ascii="Arial" w:hAnsi="Arial" w:cs="Arial"/>
          <w:b/>
          <w:bCs/>
          <w:lang w:val="en-GB"/>
        </w:rPr>
        <w:t>IN RESPECT OF ACCOUNT NUMBER 040743268:</w:t>
      </w:r>
    </w:p>
    <w:p w14:paraId="0F4B0B6C" w14:textId="77777777" w:rsidR="00FB3669" w:rsidRPr="00AE7E43" w:rsidRDefault="00FB3669" w:rsidP="001E4D6E">
      <w:pPr>
        <w:spacing w:after="0" w:line="360" w:lineRule="auto"/>
        <w:jc w:val="both"/>
        <w:rPr>
          <w:rFonts w:ascii="Arial" w:hAnsi="Arial" w:cs="Arial"/>
          <w:sz w:val="24"/>
          <w:szCs w:val="24"/>
          <w:lang w:val="en-GB"/>
        </w:rPr>
      </w:pPr>
    </w:p>
    <w:p w14:paraId="4D01D8A5" w14:textId="77777777" w:rsidR="00FB3669" w:rsidRPr="00AE7E43" w:rsidRDefault="00FB3669" w:rsidP="001E4D6E">
      <w:pPr>
        <w:spacing w:after="0" w:line="360" w:lineRule="auto"/>
        <w:ind w:left="2694" w:hanging="851"/>
        <w:jc w:val="both"/>
        <w:rPr>
          <w:rFonts w:ascii="Arial" w:hAnsi="Arial" w:cs="Arial"/>
          <w:sz w:val="24"/>
          <w:szCs w:val="24"/>
          <w:lang w:val="en-GB"/>
        </w:rPr>
      </w:pPr>
      <w:r w:rsidRPr="00AE7E43">
        <w:rPr>
          <w:rFonts w:ascii="Arial" w:hAnsi="Arial" w:cs="Arial"/>
          <w:sz w:val="24"/>
          <w:szCs w:val="24"/>
          <w:lang w:val="en-GB"/>
        </w:rPr>
        <w:t>1.1.1</w:t>
      </w:r>
      <w:r w:rsidRPr="00AE7E43">
        <w:rPr>
          <w:rFonts w:ascii="Arial" w:hAnsi="Arial" w:cs="Arial"/>
          <w:sz w:val="24"/>
          <w:szCs w:val="24"/>
          <w:lang w:val="en-GB"/>
        </w:rPr>
        <w:tab/>
        <w:t xml:space="preserve">Payment of the amount of </w:t>
      </w:r>
      <w:r w:rsidRPr="00AE7E43">
        <w:rPr>
          <w:rFonts w:ascii="Arial" w:hAnsi="Arial" w:cs="Arial"/>
          <w:b/>
          <w:bCs/>
          <w:sz w:val="24"/>
          <w:szCs w:val="24"/>
          <w:lang w:val="en-GB"/>
        </w:rPr>
        <w:t>R8,121,792.19</w:t>
      </w:r>
      <w:r w:rsidRPr="00AE7E43">
        <w:rPr>
          <w:rFonts w:ascii="Arial" w:hAnsi="Arial" w:cs="Arial"/>
          <w:sz w:val="24"/>
          <w:szCs w:val="24"/>
          <w:lang w:val="en-GB"/>
        </w:rPr>
        <w:t xml:space="preserve">; </w:t>
      </w:r>
    </w:p>
    <w:p w14:paraId="5AE10470" w14:textId="77777777" w:rsidR="00FB3669" w:rsidRPr="00AE7E43" w:rsidRDefault="00FB3669" w:rsidP="001E4D6E">
      <w:pPr>
        <w:spacing w:after="0" w:line="360" w:lineRule="auto"/>
        <w:ind w:left="2694" w:hanging="851"/>
        <w:jc w:val="both"/>
        <w:rPr>
          <w:rFonts w:ascii="Arial" w:hAnsi="Arial" w:cs="Arial"/>
          <w:sz w:val="24"/>
          <w:szCs w:val="24"/>
          <w:lang w:val="en-GB"/>
        </w:rPr>
      </w:pPr>
    </w:p>
    <w:p w14:paraId="05741602" w14:textId="77777777" w:rsidR="00FB3669" w:rsidRPr="00AE7E43" w:rsidRDefault="00FB3669" w:rsidP="001E4D6E">
      <w:pPr>
        <w:spacing w:after="0" w:line="360" w:lineRule="auto"/>
        <w:ind w:left="2694" w:hanging="851"/>
        <w:jc w:val="both"/>
        <w:rPr>
          <w:rFonts w:ascii="Arial" w:hAnsi="Arial" w:cs="Arial"/>
          <w:sz w:val="24"/>
          <w:szCs w:val="24"/>
          <w:lang w:val="en-GB"/>
        </w:rPr>
      </w:pPr>
      <w:r w:rsidRPr="00AE7E43">
        <w:rPr>
          <w:rFonts w:ascii="Arial" w:hAnsi="Arial" w:cs="Arial"/>
          <w:sz w:val="24"/>
          <w:szCs w:val="24"/>
          <w:lang w:val="en-GB"/>
        </w:rPr>
        <w:lastRenderedPageBreak/>
        <w:t>1.1.2</w:t>
      </w:r>
      <w:r w:rsidRPr="00AE7E43">
        <w:rPr>
          <w:rFonts w:ascii="Arial" w:hAnsi="Arial" w:cs="Arial"/>
          <w:sz w:val="24"/>
          <w:szCs w:val="24"/>
          <w:lang w:val="en-GB"/>
        </w:rPr>
        <w:tab/>
        <w:t xml:space="preserve">Payment of interest on the aforesaid amount at the rate of 13.05% per annum calculated from </w:t>
      </w:r>
      <w:r w:rsidRPr="00AE7E43">
        <w:rPr>
          <w:rFonts w:ascii="Arial" w:hAnsi="Arial" w:cs="Arial"/>
          <w:b/>
          <w:bCs/>
          <w:sz w:val="24"/>
          <w:szCs w:val="24"/>
          <w:lang w:val="en-GB"/>
        </w:rPr>
        <w:t>25 June 2021</w:t>
      </w:r>
      <w:r w:rsidRPr="00AE7E43">
        <w:rPr>
          <w:rFonts w:ascii="Arial" w:hAnsi="Arial" w:cs="Arial"/>
          <w:sz w:val="24"/>
          <w:szCs w:val="24"/>
          <w:lang w:val="en-GB"/>
        </w:rPr>
        <w:t xml:space="preserve"> to date of payment, both days included.</w:t>
      </w:r>
    </w:p>
    <w:p w14:paraId="517CEB9F" w14:textId="77777777" w:rsidR="00FB3669" w:rsidRPr="00AE7E43" w:rsidRDefault="00FB3669" w:rsidP="001E4D6E">
      <w:pPr>
        <w:spacing w:after="0" w:line="360" w:lineRule="auto"/>
        <w:jc w:val="both"/>
        <w:rPr>
          <w:rFonts w:ascii="Arial" w:hAnsi="Arial" w:cs="Arial"/>
          <w:sz w:val="24"/>
          <w:szCs w:val="24"/>
          <w:lang w:val="en-GB"/>
        </w:rPr>
      </w:pPr>
    </w:p>
    <w:p w14:paraId="406802A3" w14:textId="77777777" w:rsidR="00FB3669" w:rsidRPr="00AE7E43" w:rsidRDefault="00FB3669" w:rsidP="001E4D6E">
      <w:pPr>
        <w:pStyle w:val="ListParagraph"/>
        <w:numPr>
          <w:ilvl w:val="1"/>
          <w:numId w:val="7"/>
        </w:numPr>
        <w:spacing w:line="360" w:lineRule="auto"/>
        <w:ind w:left="1843" w:hanging="850"/>
        <w:jc w:val="both"/>
        <w:rPr>
          <w:rFonts w:ascii="Arial" w:hAnsi="Arial" w:cs="Arial"/>
          <w:lang w:val="en-GB"/>
        </w:rPr>
      </w:pPr>
      <w:r w:rsidRPr="00AE7E43">
        <w:rPr>
          <w:rFonts w:ascii="Arial" w:hAnsi="Arial" w:cs="Arial"/>
          <w:b/>
          <w:bCs/>
          <w:lang w:val="en-GB"/>
        </w:rPr>
        <w:t>IN RESPECT OF ACCOUNT NUMBER 040727688:</w:t>
      </w:r>
    </w:p>
    <w:p w14:paraId="7139F2D1" w14:textId="77777777" w:rsidR="00FB3669" w:rsidRPr="00AE7E43" w:rsidRDefault="00FB3669" w:rsidP="001E4D6E">
      <w:pPr>
        <w:spacing w:after="0" w:line="360" w:lineRule="auto"/>
        <w:jc w:val="both"/>
        <w:rPr>
          <w:rFonts w:ascii="Arial" w:hAnsi="Arial" w:cs="Arial"/>
          <w:sz w:val="24"/>
          <w:szCs w:val="24"/>
          <w:lang w:val="en-GB"/>
        </w:rPr>
      </w:pPr>
    </w:p>
    <w:p w14:paraId="57252054" w14:textId="77777777" w:rsidR="00FB3669" w:rsidRPr="00AE7E43" w:rsidRDefault="00FB3669" w:rsidP="001E4D6E">
      <w:pPr>
        <w:spacing w:after="0" w:line="360" w:lineRule="auto"/>
        <w:ind w:left="2694" w:hanging="851"/>
        <w:jc w:val="both"/>
        <w:rPr>
          <w:rFonts w:ascii="Arial" w:hAnsi="Arial" w:cs="Arial"/>
          <w:sz w:val="24"/>
          <w:szCs w:val="24"/>
          <w:lang w:val="en-GB"/>
        </w:rPr>
      </w:pPr>
      <w:r w:rsidRPr="00AE7E43">
        <w:rPr>
          <w:rFonts w:ascii="Arial" w:hAnsi="Arial" w:cs="Arial"/>
          <w:sz w:val="24"/>
          <w:szCs w:val="24"/>
          <w:lang w:val="en-GB"/>
        </w:rPr>
        <w:t>1.2.1</w:t>
      </w:r>
      <w:r w:rsidRPr="00AE7E43">
        <w:rPr>
          <w:rFonts w:ascii="Arial" w:hAnsi="Arial" w:cs="Arial"/>
          <w:sz w:val="24"/>
          <w:szCs w:val="24"/>
          <w:lang w:val="en-GB"/>
        </w:rPr>
        <w:tab/>
        <w:t xml:space="preserve">Payment of the amount of </w:t>
      </w:r>
      <w:r w:rsidRPr="00AE7E43">
        <w:rPr>
          <w:rFonts w:ascii="Arial" w:hAnsi="Arial" w:cs="Arial"/>
          <w:b/>
          <w:bCs/>
          <w:sz w:val="24"/>
          <w:szCs w:val="24"/>
          <w:lang w:val="en-GB"/>
        </w:rPr>
        <w:t>R2,098,021.87</w:t>
      </w:r>
      <w:r w:rsidRPr="00AE7E43">
        <w:rPr>
          <w:rFonts w:ascii="Arial" w:hAnsi="Arial" w:cs="Arial"/>
          <w:sz w:val="24"/>
          <w:szCs w:val="24"/>
          <w:lang w:val="en-GB"/>
        </w:rPr>
        <w:t xml:space="preserve">; </w:t>
      </w:r>
    </w:p>
    <w:p w14:paraId="46561FA4" w14:textId="77777777" w:rsidR="00FB3669" w:rsidRPr="00AE7E43" w:rsidRDefault="00FB3669" w:rsidP="001E4D6E">
      <w:pPr>
        <w:spacing w:after="0" w:line="360" w:lineRule="auto"/>
        <w:ind w:left="2694" w:hanging="851"/>
        <w:jc w:val="both"/>
        <w:rPr>
          <w:rFonts w:ascii="Arial" w:hAnsi="Arial" w:cs="Arial"/>
          <w:sz w:val="24"/>
          <w:szCs w:val="24"/>
          <w:lang w:val="en-GB"/>
        </w:rPr>
      </w:pPr>
    </w:p>
    <w:p w14:paraId="7108AA58" w14:textId="77777777" w:rsidR="00FB3669" w:rsidRPr="00AE7E43" w:rsidRDefault="00FB3669" w:rsidP="001E4D6E">
      <w:pPr>
        <w:spacing w:after="0" w:line="360" w:lineRule="auto"/>
        <w:ind w:left="2694" w:hanging="851"/>
        <w:jc w:val="both"/>
        <w:rPr>
          <w:rFonts w:ascii="Arial" w:hAnsi="Arial" w:cs="Arial"/>
          <w:sz w:val="24"/>
          <w:szCs w:val="24"/>
          <w:lang w:val="en-GB"/>
        </w:rPr>
      </w:pPr>
      <w:r w:rsidRPr="00AE7E43">
        <w:rPr>
          <w:rFonts w:ascii="Arial" w:hAnsi="Arial" w:cs="Arial"/>
          <w:sz w:val="24"/>
          <w:szCs w:val="24"/>
          <w:lang w:val="en-GB"/>
        </w:rPr>
        <w:t>1.2.2</w:t>
      </w:r>
      <w:r w:rsidRPr="00AE7E43">
        <w:rPr>
          <w:rFonts w:ascii="Arial" w:hAnsi="Arial" w:cs="Arial"/>
          <w:sz w:val="24"/>
          <w:szCs w:val="24"/>
          <w:lang w:val="en-GB"/>
        </w:rPr>
        <w:tab/>
        <w:t xml:space="preserve">Payment of interest on the aforesaid amount at the rate of 7.50% per annum calculated from </w:t>
      </w:r>
      <w:r w:rsidRPr="00AE7E43">
        <w:rPr>
          <w:rFonts w:ascii="Arial" w:hAnsi="Arial" w:cs="Arial"/>
          <w:b/>
          <w:bCs/>
          <w:sz w:val="24"/>
          <w:szCs w:val="24"/>
          <w:lang w:val="en-GB"/>
        </w:rPr>
        <w:t>25 June 2021</w:t>
      </w:r>
      <w:r w:rsidRPr="00AE7E43">
        <w:rPr>
          <w:rFonts w:ascii="Arial" w:hAnsi="Arial" w:cs="Arial"/>
          <w:sz w:val="24"/>
          <w:szCs w:val="24"/>
          <w:lang w:val="en-GB"/>
        </w:rPr>
        <w:t xml:space="preserve"> to date of payment, both days included.</w:t>
      </w:r>
    </w:p>
    <w:p w14:paraId="747BF504" w14:textId="77777777" w:rsidR="00FB3669" w:rsidRPr="00AE7E43" w:rsidRDefault="00FB3669" w:rsidP="001E4D6E">
      <w:pPr>
        <w:spacing w:after="0" w:line="360" w:lineRule="auto"/>
        <w:jc w:val="both"/>
        <w:rPr>
          <w:rFonts w:ascii="Arial" w:hAnsi="Arial" w:cs="Arial"/>
          <w:sz w:val="24"/>
          <w:szCs w:val="24"/>
          <w:lang w:val="en-GB"/>
        </w:rPr>
      </w:pPr>
    </w:p>
    <w:p w14:paraId="52738ED1" w14:textId="77777777" w:rsidR="00FB3669" w:rsidRPr="00AE7E43" w:rsidRDefault="00FB3669" w:rsidP="001E4D6E">
      <w:pPr>
        <w:numPr>
          <w:ilvl w:val="1"/>
          <w:numId w:val="7"/>
        </w:numPr>
        <w:spacing w:after="0" w:line="360" w:lineRule="auto"/>
        <w:ind w:left="1843" w:hanging="850"/>
        <w:jc w:val="both"/>
        <w:rPr>
          <w:rFonts w:ascii="Arial" w:hAnsi="Arial" w:cs="Arial"/>
          <w:sz w:val="24"/>
          <w:szCs w:val="24"/>
          <w:lang w:val="en-GB"/>
        </w:rPr>
      </w:pPr>
      <w:r w:rsidRPr="00AE7E43">
        <w:rPr>
          <w:rFonts w:ascii="Arial" w:hAnsi="Arial" w:cs="Arial"/>
          <w:b/>
          <w:bCs/>
          <w:sz w:val="24"/>
          <w:szCs w:val="24"/>
          <w:lang w:val="en-GB"/>
        </w:rPr>
        <w:t>IN RESPECT OF ACCOUNT NUMBER 371832152:</w:t>
      </w:r>
    </w:p>
    <w:p w14:paraId="363AC536" w14:textId="77777777" w:rsidR="00FB3669" w:rsidRPr="00AE7E43" w:rsidRDefault="00FB3669" w:rsidP="001E4D6E">
      <w:pPr>
        <w:spacing w:after="0" w:line="360" w:lineRule="auto"/>
        <w:jc w:val="both"/>
        <w:rPr>
          <w:rFonts w:ascii="Arial" w:hAnsi="Arial" w:cs="Arial"/>
          <w:sz w:val="24"/>
          <w:szCs w:val="24"/>
          <w:lang w:val="en-GB"/>
        </w:rPr>
      </w:pPr>
    </w:p>
    <w:p w14:paraId="07AC87EE" w14:textId="77777777" w:rsidR="00FB3669" w:rsidRPr="00AE7E43" w:rsidRDefault="00FB3669" w:rsidP="001E4D6E">
      <w:pPr>
        <w:spacing w:after="0" w:line="360" w:lineRule="auto"/>
        <w:ind w:left="2694" w:hanging="851"/>
        <w:jc w:val="both"/>
        <w:rPr>
          <w:rFonts w:ascii="Arial" w:hAnsi="Arial" w:cs="Arial"/>
          <w:sz w:val="24"/>
          <w:szCs w:val="24"/>
          <w:lang w:val="en-GB"/>
        </w:rPr>
      </w:pPr>
      <w:r w:rsidRPr="00AE7E43">
        <w:rPr>
          <w:rFonts w:ascii="Arial" w:hAnsi="Arial" w:cs="Arial"/>
          <w:sz w:val="24"/>
          <w:szCs w:val="24"/>
          <w:lang w:val="en-GB"/>
        </w:rPr>
        <w:t>1.3.1</w:t>
      </w:r>
      <w:r w:rsidRPr="00AE7E43">
        <w:rPr>
          <w:rFonts w:ascii="Arial" w:hAnsi="Arial" w:cs="Arial"/>
          <w:sz w:val="24"/>
          <w:szCs w:val="24"/>
          <w:lang w:val="en-GB"/>
        </w:rPr>
        <w:tab/>
        <w:t xml:space="preserve">Payment of the amount of </w:t>
      </w:r>
      <w:r w:rsidRPr="00AE7E43">
        <w:rPr>
          <w:rFonts w:ascii="Arial" w:hAnsi="Arial" w:cs="Arial"/>
          <w:b/>
          <w:bCs/>
          <w:sz w:val="24"/>
          <w:szCs w:val="24"/>
          <w:lang w:val="en-GB"/>
        </w:rPr>
        <w:t>R1,920,000.00</w:t>
      </w:r>
      <w:r w:rsidRPr="00AE7E43">
        <w:rPr>
          <w:rFonts w:ascii="Arial" w:hAnsi="Arial" w:cs="Arial"/>
          <w:sz w:val="24"/>
          <w:szCs w:val="24"/>
          <w:lang w:val="en-GB"/>
        </w:rPr>
        <w:t xml:space="preserve">; </w:t>
      </w:r>
    </w:p>
    <w:p w14:paraId="00E76ABD" w14:textId="77777777" w:rsidR="00FB3669" w:rsidRPr="00AE7E43" w:rsidRDefault="00FB3669" w:rsidP="001E4D6E">
      <w:pPr>
        <w:spacing w:after="0" w:line="360" w:lineRule="auto"/>
        <w:ind w:left="2694" w:hanging="851"/>
        <w:jc w:val="both"/>
        <w:rPr>
          <w:rFonts w:ascii="Arial" w:hAnsi="Arial" w:cs="Arial"/>
          <w:sz w:val="24"/>
          <w:szCs w:val="24"/>
          <w:lang w:val="en-GB"/>
        </w:rPr>
      </w:pPr>
    </w:p>
    <w:p w14:paraId="48F68DC1" w14:textId="77777777" w:rsidR="00FB3669" w:rsidRPr="00AE7E43" w:rsidRDefault="00FB3669" w:rsidP="001E4D6E">
      <w:pPr>
        <w:spacing w:after="0" w:line="360" w:lineRule="auto"/>
        <w:ind w:left="2694" w:hanging="851"/>
        <w:jc w:val="both"/>
        <w:rPr>
          <w:rFonts w:ascii="Arial" w:hAnsi="Arial" w:cs="Arial"/>
          <w:sz w:val="24"/>
          <w:szCs w:val="24"/>
          <w:lang w:val="en-GB"/>
        </w:rPr>
      </w:pPr>
      <w:r w:rsidRPr="00AE7E43">
        <w:rPr>
          <w:rFonts w:ascii="Arial" w:hAnsi="Arial" w:cs="Arial"/>
          <w:sz w:val="24"/>
          <w:szCs w:val="24"/>
          <w:lang w:val="en-GB"/>
        </w:rPr>
        <w:t>1.3.2</w:t>
      </w:r>
      <w:r w:rsidRPr="00AE7E43">
        <w:rPr>
          <w:rFonts w:ascii="Arial" w:hAnsi="Arial" w:cs="Arial"/>
          <w:sz w:val="24"/>
          <w:szCs w:val="24"/>
          <w:lang w:val="en-GB"/>
        </w:rPr>
        <w:tab/>
        <w:t xml:space="preserve">Payment of interest on the aforesaid amount at the rate of 8.45% per annum calculated from </w:t>
      </w:r>
      <w:r w:rsidRPr="00AE7E43">
        <w:rPr>
          <w:rFonts w:ascii="Arial" w:hAnsi="Arial" w:cs="Arial"/>
          <w:b/>
          <w:bCs/>
          <w:sz w:val="24"/>
          <w:szCs w:val="24"/>
          <w:lang w:val="en-GB"/>
        </w:rPr>
        <w:t>25 June 2021</w:t>
      </w:r>
      <w:r w:rsidRPr="00AE7E43">
        <w:rPr>
          <w:rFonts w:ascii="Arial" w:hAnsi="Arial" w:cs="Arial"/>
          <w:sz w:val="24"/>
          <w:szCs w:val="24"/>
          <w:lang w:val="en-GB"/>
        </w:rPr>
        <w:t xml:space="preserve"> to date of payment, both days included.</w:t>
      </w:r>
    </w:p>
    <w:p w14:paraId="35A90EB0" w14:textId="77777777" w:rsidR="00FB3669" w:rsidRPr="00AE7E43" w:rsidRDefault="00FB3669" w:rsidP="001E4D6E">
      <w:pPr>
        <w:spacing w:after="0" w:line="360" w:lineRule="auto"/>
        <w:jc w:val="both"/>
        <w:rPr>
          <w:rFonts w:ascii="Arial" w:hAnsi="Arial" w:cs="Arial"/>
          <w:sz w:val="24"/>
          <w:szCs w:val="24"/>
          <w:lang w:val="en-GB"/>
        </w:rPr>
      </w:pPr>
    </w:p>
    <w:p w14:paraId="31A5589F" w14:textId="77777777" w:rsidR="00FB3669" w:rsidRPr="00AE7E43" w:rsidRDefault="00FB3669" w:rsidP="001E4D6E">
      <w:pPr>
        <w:pStyle w:val="ListParagraph"/>
        <w:numPr>
          <w:ilvl w:val="0"/>
          <w:numId w:val="6"/>
        </w:numPr>
        <w:spacing w:line="360" w:lineRule="auto"/>
        <w:ind w:left="993" w:hanging="993"/>
        <w:jc w:val="both"/>
        <w:rPr>
          <w:rFonts w:ascii="Arial" w:hAnsi="Arial" w:cs="Arial"/>
          <w:lang w:val="en-GB"/>
        </w:rPr>
      </w:pPr>
      <w:r w:rsidRPr="00AE7E43">
        <w:rPr>
          <w:rFonts w:ascii="Arial" w:hAnsi="Arial" w:cs="Arial"/>
          <w:lang w:val="en-GB"/>
        </w:rPr>
        <w:t>The following immovable properties of the First to Fourth Respondents in their capacities as trustees of the Wolmarans Kinder Trust, IT 962/1998 are declared specially executable:</w:t>
      </w:r>
    </w:p>
    <w:p w14:paraId="2F4587B5" w14:textId="77777777" w:rsidR="00FB3669" w:rsidRPr="00AE7E43" w:rsidRDefault="00FB3669" w:rsidP="001E4D6E">
      <w:pPr>
        <w:spacing w:after="0" w:line="360" w:lineRule="auto"/>
        <w:jc w:val="both"/>
        <w:rPr>
          <w:rFonts w:ascii="Arial" w:hAnsi="Arial" w:cs="Arial"/>
          <w:sz w:val="24"/>
          <w:szCs w:val="24"/>
          <w:lang w:val="en-GB"/>
        </w:rPr>
      </w:pPr>
    </w:p>
    <w:p w14:paraId="1973EA39" w14:textId="77777777" w:rsidR="00FB3669" w:rsidRPr="00AE7E43" w:rsidRDefault="00FB366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2.1</w:t>
      </w:r>
      <w:r w:rsidRPr="00AE7E43">
        <w:rPr>
          <w:rFonts w:ascii="Arial" w:hAnsi="Arial" w:cs="Arial"/>
          <w:sz w:val="24"/>
          <w:szCs w:val="24"/>
        </w:rPr>
        <w:tab/>
        <w:t>The Farm Tevrede 41, district Bethlehem, Province Free State</w:t>
      </w:r>
    </w:p>
    <w:p w14:paraId="0EED3A6B" w14:textId="77777777" w:rsidR="00FB3669" w:rsidRPr="00AE7E43" w:rsidRDefault="00FB3669" w:rsidP="001E4D6E">
      <w:pPr>
        <w:spacing w:after="0" w:line="360" w:lineRule="auto"/>
        <w:ind w:left="1701" w:firstLine="12"/>
        <w:jc w:val="both"/>
        <w:rPr>
          <w:rFonts w:ascii="Arial" w:hAnsi="Arial" w:cs="Arial"/>
          <w:sz w:val="24"/>
          <w:szCs w:val="24"/>
        </w:rPr>
      </w:pPr>
      <w:r w:rsidRPr="00AE7E43">
        <w:rPr>
          <w:rFonts w:ascii="Arial" w:hAnsi="Arial" w:cs="Arial"/>
          <w:sz w:val="24"/>
          <w:szCs w:val="24"/>
        </w:rPr>
        <w:t>In extent 288,6442 (two hundred and eighty-eight comma six four four two) hectares</w:t>
      </w:r>
    </w:p>
    <w:p w14:paraId="3DE6C6B4" w14:textId="77777777" w:rsidR="00FB3669" w:rsidRPr="00AE7E43" w:rsidRDefault="00FB3669" w:rsidP="001E4D6E">
      <w:pPr>
        <w:spacing w:after="0" w:line="360" w:lineRule="auto"/>
        <w:ind w:left="981" w:firstLine="720"/>
        <w:jc w:val="both"/>
        <w:rPr>
          <w:rFonts w:ascii="Arial" w:hAnsi="Arial" w:cs="Arial"/>
          <w:sz w:val="24"/>
          <w:szCs w:val="24"/>
        </w:rPr>
      </w:pPr>
      <w:r w:rsidRPr="00AE7E43">
        <w:rPr>
          <w:rFonts w:ascii="Arial" w:hAnsi="Arial" w:cs="Arial"/>
          <w:sz w:val="24"/>
          <w:szCs w:val="24"/>
        </w:rPr>
        <w:t>Held by Title Deed No T667/2011;</w:t>
      </w:r>
    </w:p>
    <w:p w14:paraId="5961CB32" w14:textId="77777777" w:rsidR="00FB3669" w:rsidRPr="00AE7E43" w:rsidRDefault="00FB3669" w:rsidP="001E4D6E">
      <w:pPr>
        <w:spacing w:after="0" w:line="360" w:lineRule="auto"/>
        <w:ind w:left="1701" w:hanging="708"/>
        <w:jc w:val="both"/>
        <w:rPr>
          <w:rFonts w:ascii="Arial" w:hAnsi="Arial" w:cs="Arial"/>
          <w:sz w:val="24"/>
          <w:szCs w:val="24"/>
        </w:rPr>
      </w:pPr>
    </w:p>
    <w:p w14:paraId="17BD14E8"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2.2</w:t>
      </w:r>
      <w:r w:rsidR="00FB3669" w:rsidRPr="00AE7E43">
        <w:rPr>
          <w:rFonts w:ascii="Arial" w:hAnsi="Arial" w:cs="Arial"/>
          <w:sz w:val="24"/>
          <w:szCs w:val="24"/>
        </w:rPr>
        <w:tab/>
        <w:t>The Farm Eenzaamheid 774, district Bethlehem, Province Free State,</w:t>
      </w:r>
    </w:p>
    <w:p w14:paraId="4BD7D6A8"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343,7577 (three hundred and forty-three comma seven five seven seven) hectares,</w:t>
      </w:r>
    </w:p>
    <w:p w14:paraId="3252C4B9"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2C51B0F2" w14:textId="77777777" w:rsidR="00FB3669" w:rsidRPr="00AE7E43" w:rsidRDefault="00FB3669" w:rsidP="001E4D6E">
      <w:pPr>
        <w:spacing w:after="0" w:line="360" w:lineRule="auto"/>
        <w:ind w:left="1701" w:hanging="708"/>
        <w:jc w:val="both"/>
        <w:rPr>
          <w:rFonts w:ascii="Arial" w:hAnsi="Arial" w:cs="Arial"/>
          <w:sz w:val="24"/>
          <w:szCs w:val="24"/>
        </w:rPr>
      </w:pPr>
    </w:p>
    <w:p w14:paraId="54FDEF2E"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lastRenderedPageBreak/>
        <w:t>2.3</w:t>
      </w:r>
      <w:r w:rsidR="00FB3669" w:rsidRPr="00AE7E43">
        <w:rPr>
          <w:rFonts w:ascii="Arial" w:hAnsi="Arial" w:cs="Arial"/>
          <w:sz w:val="24"/>
          <w:szCs w:val="24"/>
        </w:rPr>
        <w:tab/>
        <w:t>The Farm Mooivlei 1304, district Bethlehem, Province Free State,</w:t>
      </w:r>
    </w:p>
    <w:p w14:paraId="2CCDAB8D"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171,3064 (one hundred and seventy-one comma three zero six four) hectares,</w:t>
      </w:r>
    </w:p>
    <w:p w14:paraId="693B1304"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1A5575A5" w14:textId="77777777" w:rsidR="00FB3669" w:rsidRPr="00AE7E43" w:rsidRDefault="00FB3669" w:rsidP="001E4D6E">
      <w:pPr>
        <w:spacing w:after="0" w:line="360" w:lineRule="auto"/>
        <w:ind w:left="1701" w:hanging="708"/>
        <w:jc w:val="both"/>
        <w:rPr>
          <w:rFonts w:ascii="Arial" w:hAnsi="Arial" w:cs="Arial"/>
          <w:sz w:val="24"/>
          <w:szCs w:val="24"/>
        </w:rPr>
      </w:pPr>
    </w:p>
    <w:p w14:paraId="5B8EF1B6"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2.4</w:t>
      </w:r>
      <w:r w:rsidR="00FB3669" w:rsidRPr="00AE7E43">
        <w:rPr>
          <w:rFonts w:ascii="Arial" w:hAnsi="Arial" w:cs="Arial"/>
          <w:sz w:val="24"/>
          <w:szCs w:val="24"/>
        </w:rPr>
        <w:tab/>
        <w:t>The Farm Christiana 1368, district Bethlehem, Province Free State;</w:t>
      </w:r>
    </w:p>
    <w:p w14:paraId="15DBCADB"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42,8266 (forty-two comma eight two six six) hectares,</w:t>
      </w:r>
    </w:p>
    <w:p w14:paraId="2C01F114"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618A449C" w14:textId="77777777" w:rsidR="00FB3669" w:rsidRPr="00AE7E43" w:rsidRDefault="00FB3669" w:rsidP="001E4D6E">
      <w:pPr>
        <w:spacing w:after="0" w:line="360" w:lineRule="auto"/>
        <w:jc w:val="both"/>
        <w:rPr>
          <w:rFonts w:ascii="Arial" w:hAnsi="Arial" w:cs="Arial"/>
          <w:sz w:val="24"/>
          <w:szCs w:val="24"/>
        </w:rPr>
      </w:pPr>
    </w:p>
    <w:p w14:paraId="1077054B"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2.5</w:t>
      </w:r>
      <w:r w:rsidR="00FB3669" w:rsidRPr="00AE7E43">
        <w:rPr>
          <w:rFonts w:ascii="Arial" w:hAnsi="Arial" w:cs="Arial"/>
          <w:sz w:val="24"/>
          <w:szCs w:val="24"/>
        </w:rPr>
        <w:tab/>
        <w:t xml:space="preserve">The Farm Hebron 1369, district Bethlehem, Province Free State, </w:t>
      </w:r>
    </w:p>
    <w:p w14:paraId="4112C1F2"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86,9836 (eight-six comma nine eight three six) hectares,</w:t>
      </w:r>
    </w:p>
    <w:p w14:paraId="07A7477F"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376E79CD" w14:textId="77777777" w:rsidR="00FB3669" w:rsidRPr="00AE7E43" w:rsidRDefault="00FB3669" w:rsidP="001E4D6E">
      <w:pPr>
        <w:spacing w:after="0" w:line="360" w:lineRule="auto"/>
        <w:ind w:left="1701" w:hanging="708"/>
        <w:jc w:val="both"/>
        <w:rPr>
          <w:rFonts w:ascii="Arial" w:hAnsi="Arial" w:cs="Arial"/>
          <w:sz w:val="24"/>
          <w:szCs w:val="24"/>
        </w:rPr>
      </w:pPr>
    </w:p>
    <w:p w14:paraId="24437CD3"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2.6</w:t>
      </w:r>
      <w:r w:rsidR="00FB3669" w:rsidRPr="00AE7E43">
        <w:rPr>
          <w:rFonts w:ascii="Arial" w:hAnsi="Arial" w:cs="Arial"/>
          <w:sz w:val="24"/>
          <w:szCs w:val="24"/>
        </w:rPr>
        <w:tab/>
        <w:t>Remainder of the Farm De Rust 1763, district Bethlehem, Province Free State,</w:t>
      </w:r>
    </w:p>
    <w:p w14:paraId="4C186BD7"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135,6861 (one hundred and thirty-five comma six eight six one) hectares,</w:t>
      </w:r>
    </w:p>
    <w:p w14:paraId="5FEDF1FE"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466983C6" w14:textId="77777777" w:rsidR="00FB3669" w:rsidRPr="00AE7E43" w:rsidRDefault="00FB3669" w:rsidP="001E4D6E">
      <w:pPr>
        <w:spacing w:after="0" w:line="360" w:lineRule="auto"/>
        <w:ind w:left="1701" w:hanging="708"/>
        <w:jc w:val="both"/>
        <w:rPr>
          <w:rFonts w:ascii="Arial" w:hAnsi="Arial" w:cs="Arial"/>
          <w:sz w:val="24"/>
          <w:szCs w:val="24"/>
        </w:rPr>
      </w:pPr>
    </w:p>
    <w:p w14:paraId="58F12F5A"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2.7</w:t>
      </w:r>
      <w:r w:rsidR="00FB3669" w:rsidRPr="00AE7E43">
        <w:rPr>
          <w:rFonts w:ascii="Arial" w:hAnsi="Arial" w:cs="Arial"/>
          <w:sz w:val="24"/>
          <w:szCs w:val="24"/>
        </w:rPr>
        <w:tab/>
        <w:t>Portion 2 of the Farm Brakpan 242, district Bethlehem, Province Free State,</w:t>
      </w:r>
    </w:p>
    <w:p w14:paraId="37B2632B"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3024 (three thousand and twenty-four) square meters,</w:t>
      </w:r>
    </w:p>
    <w:p w14:paraId="5193296F" w14:textId="77777777" w:rsidR="003D3CA5"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w:t>
      </w:r>
      <w:r w:rsidR="00B56509" w:rsidRPr="00AE7E43">
        <w:rPr>
          <w:rFonts w:ascii="Arial" w:hAnsi="Arial" w:cs="Arial"/>
          <w:sz w:val="24"/>
          <w:szCs w:val="24"/>
        </w:rPr>
        <w:t>d by Title Deed No T28464/2002;</w:t>
      </w:r>
    </w:p>
    <w:p w14:paraId="15A965BD" w14:textId="77777777" w:rsidR="003D3CA5" w:rsidRPr="00AE7E43" w:rsidRDefault="003D3CA5" w:rsidP="001E4D6E">
      <w:pPr>
        <w:spacing w:after="0" w:line="360" w:lineRule="auto"/>
        <w:ind w:left="1701" w:hanging="708"/>
        <w:jc w:val="both"/>
        <w:rPr>
          <w:rFonts w:ascii="Arial" w:hAnsi="Arial" w:cs="Arial"/>
          <w:sz w:val="24"/>
          <w:szCs w:val="24"/>
        </w:rPr>
      </w:pPr>
    </w:p>
    <w:p w14:paraId="1EB0B20B"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2.8</w:t>
      </w:r>
      <w:r w:rsidR="00FB3669" w:rsidRPr="00AE7E43">
        <w:rPr>
          <w:rFonts w:ascii="Arial" w:hAnsi="Arial" w:cs="Arial"/>
          <w:sz w:val="24"/>
          <w:szCs w:val="24"/>
        </w:rPr>
        <w:tab/>
        <w:t>The Farm Eenzaam 1166, district Bethlehem, Province Free State,</w:t>
      </w:r>
    </w:p>
    <w:p w14:paraId="7BAB142D"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142,8624 (one hundred and forty-two comma eight six two four) hectares,</w:t>
      </w:r>
    </w:p>
    <w:p w14:paraId="6D320DC9"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3447D992" w14:textId="77777777" w:rsidR="00FB3669" w:rsidRPr="00AE7E43" w:rsidRDefault="00FB3669" w:rsidP="001E4D6E">
      <w:pPr>
        <w:spacing w:after="0" w:line="360" w:lineRule="auto"/>
        <w:ind w:left="1701" w:hanging="708"/>
        <w:jc w:val="both"/>
        <w:rPr>
          <w:rFonts w:ascii="Arial" w:hAnsi="Arial" w:cs="Arial"/>
          <w:sz w:val="24"/>
          <w:szCs w:val="24"/>
        </w:rPr>
      </w:pPr>
    </w:p>
    <w:p w14:paraId="43729220"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2.9</w:t>
      </w:r>
      <w:r w:rsidR="00FB3669" w:rsidRPr="00AE7E43">
        <w:rPr>
          <w:rFonts w:ascii="Arial" w:hAnsi="Arial" w:cs="Arial"/>
          <w:sz w:val="24"/>
          <w:szCs w:val="24"/>
        </w:rPr>
        <w:tab/>
        <w:t>The Farm Smaldeel 1367, district Bethlehem, Province Free State,</w:t>
      </w:r>
    </w:p>
    <w:p w14:paraId="1D5CB888"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42,8266 (forty-two comma eight two six six) hectares,</w:t>
      </w:r>
    </w:p>
    <w:p w14:paraId="09200A42"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2D363914" w14:textId="77777777" w:rsidR="00FB3669" w:rsidRPr="00AE7E43" w:rsidRDefault="00FB3669" w:rsidP="001E4D6E">
      <w:pPr>
        <w:spacing w:after="0" w:line="360" w:lineRule="auto"/>
        <w:ind w:left="1701" w:hanging="708"/>
        <w:jc w:val="both"/>
        <w:rPr>
          <w:rFonts w:ascii="Arial" w:hAnsi="Arial" w:cs="Arial"/>
          <w:sz w:val="24"/>
          <w:szCs w:val="24"/>
        </w:rPr>
      </w:pPr>
    </w:p>
    <w:p w14:paraId="14388976"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lastRenderedPageBreak/>
        <w:t>2.10</w:t>
      </w:r>
      <w:r w:rsidR="00FB3669" w:rsidRPr="00AE7E43">
        <w:rPr>
          <w:rFonts w:ascii="Arial" w:hAnsi="Arial" w:cs="Arial"/>
          <w:sz w:val="24"/>
          <w:szCs w:val="24"/>
        </w:rPr>
        <w:tab/>
        <w:t>Portion 1 (Eureka) of the Farm De Rust 1763, district Bethlehem, Province Free State,</w:t>
      </w:r>
    </w:p>
    <w:p w14:paraId="57FE3B7F"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135,5876 (one hundred and thirty-five comma five eight seven six) hectares,</w:t>
      </w:r>
    </w:p>
    <w:p w14:paraId="4F3D69DA"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0212AD8F" w14:textId="77777777" w:rsidR="00FB3669" w:rsidRPr="00AE7E43" w:rsidRDefault="00FB3669" w:rsidP="001E4D6E">
      <w:pPr>
        <w:spacing w:after="0" w:line="360" w:lineRule="auto"/>
        <w:ind w:left="1701" w:hanging="708"/>
        <w:jc w:val="both"/>
        <w:rPr>
          <w:rFonts w:ascii="Arial" w:hAnsi="Arial" w:cs="Arial"/>
          <w:sz w:val="24"/>
          <w:szCs w:val="24"/>
        </w:rPr>
      </w:pPr>
    </w:p>
    <w:p w14:paraId="219906DE"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2.11</w:t>
      </w:r>
      <w:r w:rsidR="00FB3669" w:rsidRPr="00AE7E43">
        <w:rPr>
          <w:rFonts w:ascii="Arial" w:hAnsi="Arial" w:cs="Arial"/>
          <w:sz w:val="24"/>
          <w:szCs w:val="24"/>
        </w:rPr>
        <w:tab/>
        <w:t>Portion 4 of the Farm Brakpan 242, district Bethlehem, Province Free State,</w:t>
      </w:r>
    </w:p>
    <w:p w14:paraId="06A923CF"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80,4600 (eight comma four six zero zero) hectares,</w:t>
      </w:r>
    </w:p>
    <w:p w14:paraId="21CF6650"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T28464/2002;</w:t>
      </w:r>
    </w:p>
    <w:p w14:paraId="2C94C1B0" w14:textId="77777777" w:rsidR="00FB3669" w:rsidRPr="00AE7E43" w:rsidRDefault="00FB3669" w:rsidP="001E4D6E">
      <w:pPr>
        <w:spacing w:after="0" w:line="360" w:lineRule="auto"/>
        <w:ind w:left="1701" w:hanging="708"/>
        <w:jc w:val="both"/>
        <w:rPr>
          <w:rFonts w:ascii="Arial" w:hAnsi="Arial" w:cs="Arial"/>
          <w:sz w:val="24"/>
          <w:szCs w:val="24"/>
        </w:rPr>
      </w:pPr>
    </w:p>
    <w:p w14:paraId="61D7405F" w14:textId="77777777" w:rsidR="00FB3669" w:rsidRPr="00AE7E43" w:rsidRDefault="00B56509" w:rsidP="001E4D6E">
      <w:pPr>
        <w:spacing w:after="0" w:line="360" w:lineRule="auto"/>
        <w:ind w:left="1701" w:hanging="708"/>
        <w:jc w:val="both"/>
        <w:rPr>
          <w:rFonts w:ascii="Arial" w:hAnsi="Arial" w:cs="Arial"/>
          <w:sz w:val="24"/>
          <w:szCs w:val="24"/>
        </w:rPr>
      </w:pPr>
      <w:r w:rsidRPr="00AE7E43">
        <w:rPr>
          <w:rFonts w:ascii="Arial" w:hAnsi="Arial" w:cs="Arial"/>
          <w:sz w:val="24"/>
          <w:szCs w:val="24"/>
        </w:rPr>
        <w:t>2.12</w:t>
      </w:r>
      <w:r w:rsidR="00FB3669" w:rsidRPr="00AE7E43">
        <w:rPr>
          <w:rFonts w:ascii="Arial" w:hAnsi="Arial" w:cs="Arial"/>
          <w:sz w:val="24"/>
          <w:szCs w:val="24"/>
        </w:rPr>
        <w:tab/>
        <w:t>Remainder of the Farm Cyferfontein 1090, district Bethlehem, Province Free State,</w:t>
      </w:r>
    </w:p>
    <w:p w14:paraId="19CD68A3"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In extent 288,6465 (two hundred and eighty-eight comma six four six five) hectares,</w:t>
      </w:r>
    </w:p>
    <w:p w14:paraId="7833ECCF" w14:textId="77777777" w:rsidR="00FB3669" w:rsidRPr="00AE7E43" w:rsidRDefault="00FB3669" w:rsidP="001E4D6E">
      <w:pPr>
        <w:spacing w:after="0" w:line="360" w:lineRule="auto"/>
        <w:ind w:left="1701"/>
        <w:jc w:val="both"/>
        <w:rPr>
          <w:rFonts w:ascii="Arial" w:hAnsi="Arial" w:cs="Arial"/>
          <w:sz w:val="24"/>
          <w:szCs w:val="24"/>
        </w:rPr>
      </w:pPr>
      <w:r w:rsidRPr="00AE7E43">
        <w:rPr>
          <w:rFonts w:ascii="Arial" w:hAnsi="Arial" w:cs="Arial"/>
          <w:sz w:val="24"/>
          <w:szCs w:val="24"/>
        </w:rPr>
        <w:t>Held by Title Deed No T22354/2004.</w:t>
      </w:r>
    </w:p>
    <w:p w14:paraId="7B10B8DB" w14:textId="77777777" w:rsidR="00FB3669" w:rsidRPr="00AE7E43" w:rsidRDefault="00FB3669" w:rsidP="001E4D6E">
      <w:pPr>
        <w:spacing w:after="0" w:line="360" w:lineRule="auto"/>
        <w:jc w:val="both"/>
        <w:rPr>
          <w:rFonts w:ascii="Arial" w:hAnsi="Arial" w:cs="Arial"/>
          <w:sz w:val="24"/>
          <w:szCs w:val="24"/>
          <w:lang w:val="en-GB"/>
        </w:rPr>
      </w:pPr>
    </w:p>
    <w:p w14:paraId="4B90ACE8" w14:textId="77777777" w:rsidR="00FB3669" w:rsidRPr="00AE7E43" w:rsidRDefault="00FB3669" w:rsidP="001E4D6E">
      <w:pPr>
        <w:numPr>
          <w:ilvl w:val="0"/>
          <w:numId w:val="6"/>
        </w:numPr>
        <w:spacing w:after="0" w:line="360" w:lineRule="auto"/>
        <w:ind w:left="993" w:hanging="993"/>
        <w:jc w:val="both"/>
        <w:rPr>
          <w:rFonts w:ascii="Arial" w:hAnsi="Arial" w:cs="Arial"/>
          <w:sz w:val="24"/>
          <w:szCs w:val="24"/>
          <w:lang w:val="en-GB"/>
        </w:rPr>
      </w:pPr>
      <w:r w:rsidRPr="00AE7E43">
        <w:rPr>
          <w:rFonts w:ascii="Arial" w:hAnsi="Arial" w:cs="Arial"/>
          <w:sz w:val="24"/>
          <w:szCs w:val="24"/>
          <w:lang w:val="en-GB"/>
        </w:rPr>
        <w:t>The Registrar of the High Court is authorised and directed to issue a Writ of Execution against the aforesaid immovable properties.</w:t>
      </w:r>
    </w:p>
    <w:p w14:paraId="08462A29" w14:textId="77777777" w:rsidR="00964E03" w:rsidRPr="00AE7E43" w:rsidRDefault="00964E03" w:rsidP="001E4D6E">
      <w:pPr>
        <w:spacing w:after="0" w:line="360" w:lineRule="auto"/>
        <w:ind w:left="993"/>
        <w:jc w:val="both"/>
        <w:rPr>
          <w:rFonts w:ascii="Arial" w:hAnsi="Arial" w:cs="Arial"/>
          <w:sz w:val="24"/>
          <w:szCs w:val="24"/>
          <w:lang w:val="en-GB"/>
        </w:rPr>
      </w:pPr>
    </w:p>
    <w:p w14:paraId="06CC0D43" w14:textId="77777777" w:rsidR="00964E03" w:rsidRPr="00AE7E43" w:rsidRDefault="00964E03" w:rsidP="001E4D6E">
      <w:pPr>
        <w:numPr>
          <w:ilvl w:val="0"/>
          <w:numId w:val="6"/>
        </w:numPr>
        <w:spacing w:after="0" w:line="360" w:lineRule="auto"/>
        <w:ind w:left="993" w:hanging="993"/>
        <w:jc w:val="both"/>
        <w:rPr>
          <w:rFonts w:ascii="Arial" w:hAnsi="Arial" w:cs="Arial"/>
          <w:sz w:val="24"/>
          <w:szCs w:val="24"/>
          <w:lang w:val="en-GB"/>
        </w:rPr>
      </w:pPr>
      <w:r w:rsidRPr="00AE7E43">
        <w:rPr>
          <w:rFonts w:ascii="Arial" w:hAnsi="Arial" w:cs="Arial"/>
          <w:sz w:val="24"/>
          <w:szCs w:val="24"/>
          <w:lang w:val="en-GB"/>
        </w:rPr>
        <w:t>The order declaring the immovable properties specially executable is suspended until 31 July 2022, where after the Sheriff of the Court shall be entitled to immediately proceed with execution in the event of the respondents failing to settle the money judgment in paragraph 1 above.</w:t>
      </w:r>
    </w:p>
    <w:p w14:paraId="5D2576D0" w14:textId="77777777" w:rsidR="00FB3669" w:rsidRPr="00AE7E43" w:rsidRDefault="00FB3669" w:rsidP="001E4D6E">
      <w:pPr>
        <w:spacing w:after="0" w:line="360" w:lineRule="auto"/>
        <w:ind w:left="993"/>
        <w:jc w:val="both"/>
        <w:rPr>
          <w:rFonts w:ascii="Arial" w:hAnsi="Arial" w:cs="Arial"/>
          <w:sz w:val="24"/>
          <w:szCs w:val="24"/>
          <w:lang w:val="en-GB"/>
        </w:rPr>
      </w:pPr>
    </w:p>
    <w:p w14:paraId="014C019A" w14:textId="2277F5CD" w:rsidR="00FB3669" w:rsidRPr="00AE7E43" w:rsidRDefault="00FB3669" w:rsidP="001E4D6E">
      <w:pPr>
        <w:numPr>
          <w:ilvl w:val="0"/>
          <w:numId w:val="6"/>
        </w:numPr>
        <w:spacing w:after="0" w:line="360" w:lineRule="auto"/>
        <w:ind w:left="993" w:hanging="993"/>
        <w:jc w:val="both"/>
        <w:rPr>
          <w:rFonts w:ascii="Arial" w:hAnsi="Arial" w:cs="Arial"/>
          <w:sz w:val="24"/>
          <w:szCs w:val="24"/>
          <w:lang w:val="en-GB"/>
        </w:rPr>
      </w:pPr>
      <w:r w:rsidRPr="00AE7E43">
        <w:rPr>
          <w:rFonts w:ascii="Arial" w:hAnsi="Arial" w:cs="Arial"/>
          <w:sz w:val="24"/>
          <w:szCs w:val="24"/>
          <w:lang w:val="en-GB"/>
        </w:rPr>
        <w:t>Cost</w:t>
      </w:r>
      <w:r w:rsidR="00B56509" w:rsidRPr="00AE7E43">
        <w:rPr>
          <w:rFonts w:ascii="Arial" w:hAnsi="Arial" w:cs="Arial"/>
          <w:sz w:val="24"/>
          <w:szCs w:val="24"/>
          <w:lang w:val="en-GB"/>
        </w:rPr>
        <w:t>s</w:t>
      </w:r>
      <w:r w:rsidRPr="00AE7E43">
        <w:rPr>
          <w:rFonts w:ascii="Arial" w:hAnsi="Arial" w:cs="Arial"/>
          <w:sz w:val="24"/>
          <w:szCs w:val="24"/>
          <w:lang w:val="en-GB"/>
        </w:rPr>
        <w:t xml:space="preserve"> of suit on attorney and client scale.</w:t>
      </w:r>
    </w:p>
    <w:p w14:paraId="5BE623F8" w14:textId="14417611" w:rsidR="002833DA" w:rsidRDefault="002833DA" w:rsidP="001E4D6E">
      <w:pPr>
        <w:spacing w:after="0" w:line="360" w:lineRule="auto"/>
        <w:jc w:val="both"/>
        <w:rPr>
          <w:rFonts w:ascii="Arial" w:hAnsi="Arial" w:cs="Arial"/>
          <w:b/>
          <w:sz w:val="24"/>
          <w:szCs w:val="24"/>
          <w:u w:val="single"/>
          <w:lang w:val="en-GB"/>
        </w:rPr>
      </w:pPr>
    </w:p>
    <w:p w14:paraId="26FED5AF" w14:textId="6F1D7EC7" w:rsidR="00FB3669" w:rsidRDefault="004A5728" w:rsidP="001E4D6E">
      <w:pPr>
        <w:spacing w:after="0" w:line="360" w:lineRule="auto"/>
        <w:jc w:val="both"/>
        <w:rPr>
          <w:rFonts w:ascii="Arial" w:hAnsi="Arial" w:cs="Arial"/>
          <w:b/>
          <w:sz w:val="24"/>
          <w:szCs w:val="24"/>
          <w:u w:val="single"/>
          <w:lang w:val="en-GB"/>
        </w:rPr>
      </w:pPr>
      <w:r>
        <w:rPr>
          <w:rFonts w:ascii="Arial" w:hAnsi="Arial" w:cs="Arial"/>
          <w:bCs/>
          <w:noProof/>
          <w:sz w:val="24"/>
          <w:szCs w:val="24"/>
          <w:lang w:eastAsia="en-ZA"/>
        </w:rPr>
        <w:drawing>
          <wp:anchor distT="0" distB="0" distL="114300" distR="114300" simplePos="0" relativeHeight="251660288" behindDoc="1" locked="0" layoutInCell="1" allowOverlap="1" wp14:anchorId="2A25FB73" wp14:editId="09C09043">
            <wp:simplePos x="0" y="0"/>
            <wp:positionH relativeFrom="column">
              <wp:posOffset>3586480</wp:posOffset>
            </wp:positionH>
            <wp:positionV relativeFrom="paragraph">
              <wp:posOffset>207645</wp:posOffset>
            </wp:positionV>
            <wp:extent cx="2313295" cy="21386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313295" cy="2138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3DA">
        <w:rPr>
          <w:rFonts w:ascii="Arial" w:hAnsi="Arial" w:cs="Arial"/>
          <w:b/>
          <w:sz w:val="24"/>
          <w:szCs w:val="24"/>
          <w:u w:val="single"/>
          <w:lang w:val="en-GB"/>
        </w:rPr>
        <w:t>In respect of the counter-application:</w:t>
      </w:r>
    </w:p>
    <w:p w14:paraId="195871CB" w14:textId="77777777" w:rsidR="002833DA" w:rsidRPr="002833DA" w:rsidRDefault="002833DA" w:rsidP="001E4D6E">
      <w:pPr>
        <w:spacing w:after="0" w:line="360" w:lineRule="auto"/>
        <w:jc w:val="both"/>
        <w:rPr>
          <w:rFonts w:ascii="Arial" w:hAnsi="Arial" w:cs="Arial"/>
          <w:b/>
          <w:sz w:val="24"/>
          <w:szCs w:val="24"/>
          <w:u w:val="single"/>
          <w:lang w:val="en-GB"/>
        </w:rPr>
      </w:pPr>
    </w:p>
    <w:p w14:paraId="71123CB4" w14:textId="0128EDC4" w:rsidR="00FB3669" w:rsidRDefault="002833DA" w:rsidP="001E4D6E">
      <w:pPr>
        <w:pStyle w:val="ListParagraph"/>
        <w:numPr>
          <w:ilvl w:val="0"/>
          <w:numId w:val="6"/>
        </w:numPr>
        <w:spacing w:line="360" w:lineRule="auto"/>
        <w:ind w:left="993" w:hanging="993"/>
        <w:jc w:val="both"/>
        <w:rPr>
          <w:rFonts w:ascii="Arial" w:hAnsi="Arial" w:cs="Arial"/>
          <w:bCs/>
        </w:rPr>
      </w:pPr>
      <w:bookmarkStart w:id="25" w:name="_Hlk103605704"/>
      <w:r>
        <w:rPr>
          <w:rFonts w:ascii="Arial" w:hAnsi="Arial" w:cs="Arial"/>
          <w:bCs/>
        </w:rPr>
        <w:t>The respondents’ counter-application is</w:t>
      </w:r>
      <w:r w:rsidR="00FB3669" w:rsidRPr="00AE7E43">
        <w:rPr>
          <w:rFonts w:ascii="Arial" w:hAnsi="Arial" w:cs="Arial"/>
          <w:bCs/>
        </w:rPr>
        <w:t xml:space="preserve"> dismissed with costs</w:t>
      </w:r>
      <w:bookmarkEnd w:id="25"/>
      <w:r w:rsidR="00FB3669" w:rsidRPr="00AE7E43">
        <w:rPr>
          <w:rFonts w:ascii="Arial" w:hAnsi="Arial" w:cs="Arial"/>
          <w:bCs/>
        </w:rPr>
        <w:t>.</w:t>
      </w:r>
    </w:p>
    <w:p w14:paraId="1A362683" w14:textId="2A702CCF" w:rsidR="004A5728" w:rsidRDefault="004A5728" w:rsidP="004A5728">
      <w:pPr>
        <w:pStyle w:val="ListParagraph"/>
        <w:spacing w:line="360" w:lineRule="auto"/>
        <w:ind w:left="993"/>
        <w:jc w:val="both"/>
        <w:rPr>
          <w:rFonts w:ascii="Arial" w:hAnsi="Arial" w:cs="Arial"/>
          <w:bCs/>
        </w:rPr>
      </w:pPr>
    </w:p>
    <w:p w14:paraId="2C73CF8A" w14:textId="77777777" w:rsidR="004A5728" w:rsidRPr="00AE7E43" w:rsidRDefault="004A5728" w:rsidP="004A5728">
      <w:pPr>
        <w:pStyle w:val="ListParagraph"/>
        <w:spacing w:line="360" w:lineRule="auto"/>
        <w:ind w:left="993"/>
        <w:jc w:val="both"/>
        <w:rPr>
          <w:rFonts w:ascii="Arial" w:hAnsi="Arial" w:cs="Arial"/>
          <w:bCs/>
        </w:rPr>
      </w:pPr>
    </w:p>
    <w:p w14:paraId="63AFBBED" w14:textId="77777777" w:rsidR="00FB3669" w:rsidRPr="00AE7E43" w:rsidRDefault="00FB3669" w:rsidP="001E4D6E">
      <w:pPr>
        <w:spacing w:after="0" w:line="240" w:lineRule="auto"/>
        <w:ind w:left="851" w:hanging="851"/>
        <w:jc w:val="both"/>
        <w:rPr>
          <w:rFonts w:ascii="Arial" w:hAnsi="Arial" w:cs="Arial"/>
          <w:bCs/>
          <w:sz w:val="24"/>
          <w:szCs w:val="24"/>
        </w:rPr>
      </w:pPr>
    </w:p>
    <w:p w14:paraId="67C95AB9" w14:textId="77777777" w:rsidR="00FB3669" w:rsidRDefault="005A2738" w:rsidP="005A2738">
      <w:pPr>
        <w:tabs>
          <w:tab w:val="left" w:pos="8339"/>
        </w:tabs>
        <w:spacing w:after="0" w:line="240" w:lineRule="auto"/>
        <w:ind w:left="851" w:hanging="851"/>
        <w:jc w:val="both"/>
        <w:rPr>
          <w:rFonts w:ascii="Arial" w:hAnsi="Arial" w:cs="Arial"/>
          <w:bCs/>
          <w:sz w:val="24"/>
          <w:szCs w:val="24"/>
        </w:rPr>
      </w:pPr>
      <w:r>
        <w:rPr>
          <w:rFonts w:ascii="Arial" w:hAnsi="Arial" w:cs="Arial"/>
          <w:bCs/>
          <w:sz w:val="24"/>
          <w:szCs w:val="24"/>
        </w:rPr>
        <w:tab/>
      </w:r>
    </w:p>
    <w:p w14:paraId="0BD885FB" w14:textId="77777777" w:rsidR="00FB3669" w:rsidRPr="00AE7E43" w:rsidRDefault="00FB3669" w:rsidP="001E4D6E">
      <w:pPr>
        <w:spacing w:after="0" w:line="240" w:lineRule="auto"/>
        <w:rPr>
          <w:rFonts w:ascii="Arial" w:eastAsia="Calibri" w:hAnsi="Arial" w:cs="Arial"/>
          <w:sz w:val="24"/>
          <w:szCs w:val="24"/>
        </w:rPr>
      </w:pPr>
      <w:r w:rsidRPr="00AE7E43">
        <w:rPr>
          <w:rFonts w:ascii="Arial" w:eastAsia="Calibri" w:hAnsi="Arial" w:cs="Arial"/>
          <w:sz w:val="24"/>
          <w:szCs w:val="24"/>
        </w:rPr>
        <w:lastRenderedPageBreak/>
        <w:t xml:space="preserve">On behalf of the Applicant:           </w:t>
      </w:r>
      <w:r w:rsidRPr="00AE7E43">
        <w:rPr>
          <w:rFonts w:ascii="Arial" w:hAnsi="Arial" w:cs="Arial"/>
          <w:sz w:val="24"/>
          <w:szCs w:val="24"/>
        </w:rPr>
        <w:t>Advv P Zietsman SC and J Els</w:t>
      </w:r>
      <w:r w:rsidRPr="00AE7E43">
        <w:rPr>
          <w:rFonts w:ascii="Arial" w:eastAsia="Calibri" w:hAnsi="Arial" w:cs="Arial"/>
          <w:sz w:val="24"/>
          <w:szCs w:val="24"/>
        </w:rPr>
        <w:t xml:space="preserve"> </w:t>
      </w:r>
    </w:p>
    <w:p w14:paraId="0C98A81B" w14:textId="77777777" w:rsidR="00FB3669" w:rsidRPr="00AE7E43" w:rsidRDefault="00FB3669" w:rsidP="001E4D6E">
      <w:pPr>
        <w:spacing w:after="0" w:line="240" w:lineRule="auto"/>
        <w:rPr>
          <w:rFonts w:ascii="Arial" w:eastAsia="Calibri" w:hAnsi="Arial" w:cs="Arial"/>
          <w:sz w:val="24"/>
          <w:szCs w:val="24"/>
        </w:rPr>
      </w:pPr>
      <w:r w:rsidRPr="00AE7E43">
        <w:rPr>
          <w:rFonts w:ascii="Arial" w:eastAsia="Calibri" w:hAnsi="Arial" w:cs="Arial"/>
          <w:sz w:val="24"/>
          <w:szCs w:val="24"/>
        </w:rPr>
        <w:t>Instructed by:                                Phatshoane Henney Inc</w:t>
      </w:r>
    </w:p>
    <w:p w14:paraId="5775D6F1" w14:textId="77777777" w:rsidR="00FB3669" w:rsidRPr="00AE7E43" w:rsidRDefault="00FB3669" w:rsidP="001E4D6E">
      <w:pPr>
        <w:spacing w:after="0" w:line="240" w:lineRule="auto"/>
        <w:rPr>
          <w:rFonts w:ascii="Arial" w:eastAsia="Calibri" w:hAnsi="Arial" w:cs="Arial"/>
          <w:sz w:val="24"/>
          <w:szCs w:val="24"/>
        </w:rPr>
      </w:pPr>
      <w:r w:rsidRPr="00AE7E43">
        <w:rPr>
          <w:rFonts w:ascii="Arial" w:eastAsia="Calibri" w:hAnsi="Arial" w:cs="Arial"/>
          <w:sz w:val="24"/>
          <w:szCs w:val="24"/>
        </w:rPr>
        <w:tab/>
      </w:r>
      <w:r w:rsidRPr="00AE7E43">
        <w:rPr>
          <w:rFonts w:ascii="Arial" w:eastAsia="Calibri" w:hAnsi="Arial" w:cs="Arial"/>
          <w:sz w:val="24"/>
          <w:szCs w:val="24"/>
        </w:rPr>
        <w:tab/>
      </w:r>
      <w:r w:rsidRPr="00AE7E43">
        <w:rPr>
          <w:rFonts w:ascii="Arial" w:eastAsia="Calibri" w:hAnsi="Arial" w:cs="Arial"/>
          <w:sz w:val="24"/>
          <w:szCs w:val="24"/>
        </w:rPr>
        <w:tab/>
      </w:r>
      <w:r w:rsidRPr="00AE7E43">
        <w:rPr>
          <w:rFonts w:ascii="Arial" w:eastAsia="Calibri" w:hAnsi="Arial" w:cs="Arial"/>
          <w:sz w:val="24"/>
          <w:szCs w:val="24"/>
        </w:rPr>
        <w:tab/>
      </w:r>
      <w:r w:rsidRPr="00AE7E43">
        <w:rPr>
          <w:rFonts w:ascii="Arial" w:eastAsia="Calibri" w:hAnsi="Arial" w:cs="Arial"/>
          <w:sz w:val="24"/>
          <w:szCs w:val="24"/>
        </w:rPr>
        <w:tab/>
        <w:t>BLOEMFONTEIN</w:t>
      </w:r>
    </w:p>
    <w:p w14:paraId="5EC3D229" w14:textId="77777777" w:rsidR="00FB3669" w:rsidRPr="00AE7E43" w:rsidRDefault="00FB3669" w:rsidP="001E4D6E">
      <w:pPr>
        <w:tabs>
          <w:tab w:val="left" w:pos="7005"/>
        </w:tabs>
        <w:spacing w:after="0" w:line="240" w:lineRule="auto"/>
        <w:rPr>
          <w:rFonts w:ascii="Arial" w:eastAsia="Calibri" w:hAnsi="Arial" w:cs="Arial"/>
          <w:sz w:val="24"/>
          <w:szCs w:val="24"/>
        </w:rPr>
      </w:pPr>
    </w:p>
    <w:p w14:paraId="19625D57" w14:textId="77777777" w:rsidR="00FB3669" w:rsidRPr="00AE7E43" w:rsidRDefault="00FB3669" w:rsidP="001E4D6E">
      <w:pPr>
        <w:spacing w:after="0" w:line="240" w:lineRule="auto"/>
        <w:rPr>
          <w:rFonts w:ascii="Arial" w:eastAsia="Calibri" w:hAnsi="Arial" w:cs="Arial"/>
          <w:sz w:val="24"/>
          <w:szCs w:val="24"/>
        </w:rPr>
      </w:pPr>
      <w:r w:rsidRPr="00AE7E43">
        <w:rPr>
          <w:rFonts w:ascii="Arial" w:eastAsia="Calibri" w:hAnsi="Arial" w:cs="Arial"/>
          <w:sz w:val="24"/>
          <w:szCs w:val="24"/>
        </w:rPr>
        <w:t xml:space="preserve">On behalf of the Respondents: </w:t>
      </w:r>
      <w:r w:rsidRPr="00AE7E43">
        <w:rPr>
          <w:rFonts w:ascii="Arial" w:eastAsia="Calibri" w:hAnsi="Arial" w:cs="Arial"/>
          <w:sz w:val="24"/>
          <w:szCs w:val="24"/>
        </w:rPr>
        <w:tab/>
        <w:t>Adv JA Augustyn</w:t>
      </w:r>
    </w:p>
    <w:p w14:paraId="6DA3A267" w14:textId="77777777" w:rsidR="00FB3669" w:rsidRPr="00AE7E43" w:rsidRDefault="00FB3669" w:rsidP="001E4D6E">
      <w:pPr>
        <w:spacing w:after="0" w:line="240" w:lineRule="auto"/>
        <w:rPr>
          <w:rFonts w:ascii="Arial" w:eastAsia="Calibri" w:hAnsi="Arial" w:cs="Arial"/>
          <w:sz w:val="24"/>
          <w:szCs w:val="24"/>
        </w:rPr>
      </w:pPr>
      <w:r w:rsidRPr="00AE7E43">
        <w:rPr>
          <w:rFonts w:ascii="Arial" w:eastAsia="Calibri" w:hAnsi="Arial" w:cs="Arial"/>
          <w:sz w:val="24"/>
          <w:szCs w:val="24"/>
        </w:rPr>
        <w:t xml:space="preserve">Instructed by:                               </w:t>
      </w:r>
      <w:r w:rsidRPr="00AE7E43">
        <w:rPr>
          <w:rFonts w:ascii="Arial" w:eastAsia="Calibri" w:hAnsi="Arial" w:cs="Arial"/>
          <w:sz w:val="24"/>
          <w:szCs w:val="24"/>
        </w:rPr>
        <w:tab/>
        <w:t>Blair Attorneys</w:t>
      </w:r>
    </w:p>
    <w:p w14:paraId="399A346B" w14:textId="77777777" w:rsidR="001E00AF" w:rsidRPr="00AE7E43" w:rsidRDefault="00FB3669" w:rsidP="005A2738">
      <w:pPr>
        <w:spacing w:after="0" w:line="240" w:lineRule="auto"/>
        <w:rPr>
          <w:rFonts w:ascii="Arial" w:hAnsi="Arial" w:cs="Arial"/>
          <w:bCs/>
          <w:sz w:val="24"/>
          <w:szCs w:val="24"/>
        </w:rPr>
      </w:pPr>
      <w:r w:rsidRPr="00AE7E43">
        <w:rPr>
          <w:rFonts w:ascii="Arial" w:eastAsia="Calibri" w:hAnsi="Arial" w:cs="Arial"/>
          <w:sz w:val="24"/>
          <w:szCs w:val="24"/>
        </w:rPr>
        <w:tab/>
      </w:r>
      <w:r w:rsidRPr="00AE7E43">
        <w:rPr>
          <w:rFonts w:ascii="Arial" w:eastAsia="Calibri" w:hAnsi="Arial" w:cs="Arial"/>
          <w:sz w:val="24"/>
          <w:szCs w:val="24"/>
        </w:rPr>
        <w:tab/>
      </w:r>
      <w:r w:rsidRPr="00AE7E43">
        <w:rPr>
          <w:rFonts w:ascii="Arial" w:eastAsia="Calibri" w:hAnsi="Arial" w:cs="Arial"/>
          <w:sz w:val="24"/>
          <w:szCs w:val="24"/>
        </w:rPr>
        <w:tab/>
      </w:r>
      <w:r w:rsidRPr="00AE7E43">
        <w:rPr>
          <w:rFonts w:ascii="Arial" w:eastAsia="Calibri" w:hAnsi="Arial" w:cs="Arial"/>
          <w:sz w:val="24"/>
          <w:szCs w:val="24"/>
        </w:rPr>
        <w:tab/>
      </w:r>
      <w:r w:rsidRPr="00AE7E43">
        <w:rPr>
          <w:rFonts w:ascii="Arial" w:eastAsia="Calibri" w:hAnsi="Arial" w:cs="Arial"/>
          <w:sz w:val="24"/>
          <w:szCs w:val="24"/>
        </w:rPr>
        <w:tab/>
        <w:t>BLOEMFONTEIN</w:t>
      </w:r>
    </w:p>
    <w:sectPr w:rsidR="001E00AF" w:rsidRPr="00AE7E43" w:rsidSect="004D2DF2">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649E" w14:textId="77777777" w:rsidR="00FE3FBB" w:rsidRDefault="00FE3FBB" w:rsidP="00621011">
      <w:pPr>
        <w:spacing w:after="0" w:line="240" w:lineRule="auto"/>
      </w:pPr>
      <w:r>
        <w:separator/>
      </w:r>
    </w:p>
  </w:endnote>
  <w:endnote w:type="continuationSeparator" w:id="0">
    <w:p w14:paraId="695B2DB2" w14:textId="77777777" w:rsidR="00FE3FBB" w:rsidRDefault="00FE3FBB"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D3064" w14:textId="77777777" w:rsidR="00FE3FBB" w:rsidRDefault="00FE3FBB" w:rsidP="00621011">
      <w:pPr>
        <w:spacing w:after="0" w:line="240" w:lineRule="auto"/>
      </w:pPr>
      <w:r>
        <w:separator/>
      </w:r>
    </w:p>
  </w:footnote>
  <w:footnote w:type="continuationSeparator" w:id="0">
    <w:p w14:paraId="12E50E86" w14:textId="77777777" w:rsidR="00FE3FBB" w:rsidRDefault="00FE3FBB" w:rsidP="00621011">
      <w:pPr>
        <w:spacing w:after="0" w:line="240" w:lineRule="auto"/>
      </w:pPr>
      <w:r>
        <w:continuationSeparator/>
      </w:r>
    </w:p>
  </w:footnote>
  <w:footnote w:id="1">
    <w:p w14:paraId="54F9C36E" w14:textId="77777777" w:rsidR="006670A3" w:rsidRPr="000D4CBF" w:rsidRDefault="006670A3" w:rsidP="001E00AF">
      <w:pPr>
        <w:pStyle w:val="FootnoteText"/>
        <w:rPr>
          <w:lang w:val="en-GB"/>
        </w:rPr>
      </w:pPr>
      <w:r w:rsidRPr="000D4CBF">
        <w:rPr>
          <w:rStyle w:val="FootnoteReference"/>
        </w:rPr>
        <w:footnoteRef/>
      </w:r>
      <w:r w:rsidRPr="000D4CBF">
        <w:t xml:space="preserve"> 34 of 2005</w:t>
      </w:r>
    </w:p>
  </w:footnote>
  <w:footnote w:id="2">
    <w:p w14:paraId="0CCB23BD" w14:textId="77777777" w:rsidR="006670A3" w:rsidRPr="000D4CBF" w:rsidRDefault="006670A3" w:rsidP="00036C4F">
      <w:pPr>
        <w:pStyle w:val="FootnoteText"/>
      </w:pPr>
      <w:r w:rsidRPr="000D4CBF">
        <w:rPr>
          <w:rStyle w:val="FootnoteReference"/>
        </w:rPr>
        <w:footnoteRef/>
      </w:r>
      <w:r w:rsidRPr="000D4CBF">
        <w:t xml:space="preserve"> Annexure “RA5”, p551</w:t>
      </w:r>
    </w:p>
  </w:footnote>
  <w:footnote w:id="3">
    <w:p w14:paraId="6826B5CA" w14:textId="77777777" w:rsidR="006670A3" w:rsidRPr="000D4CBF" w:rsidRDefault="006670A3" w:rsidP="00036C4F">
      <w:pPr>
        <w:pStyle w:val="FootnoteText"/>
      </w:pPr>
      <w:r w:rsidRPr="000D4CBF">
        <w:rPr>
          <w:rStyle w:val="FootnoteReference"/>
        </w:rPr>
        <w:footnoteRef/>
      </w:r>
      <w:r w:rsidRPr="000D4CBF">
        <w:t xml:space="preserve"> Annexure “RA6”, p 563</w:t>
      </w:r>
    </w:p>
  </w:footnote>
  <w:footnote w:id="4">
    <w:p w14:paraId="30190610" w14:textId="77777777" w:rsidR="006670A3" w:rsidRPr="000D4CBF" w:rsidRDefault="006670A3" w:rsidP="00036C4F">
      <w:pPr>
        <w:pStyle w:val="FootnoteText"/>
      </w:pPr>
      <w:r w:rsidRPr="000D4CBF">
        <w:rPr>
          <w:rStyle w:val="FootnoteReference"/>
        </w:rPr>
        <w:footnoteRef/>
      </w:r>
      <w:r w:rsidRPr="000D4CBF">
        <w:t xml:space="preserve"> Annexure “RA7”, p 571 </w:t>
      </w:r>
    </w:p>
  </w:footnote>
  <w:footnote w:id="5">
    <w:p w14:paraId="4B0A5B12" w14:textId="77777777" w:rsidR="006670A3" w:rsidRPr="000D4CBF" w:rsidRDefault="006670A3">
      <w:pPr>
        <w:pStyle w:val="FootnoteText"/>
      </w:pPr>
      <w:r w:rsidRPr="000D4CBF">
        <w:rPr>
          <w:rStyle w:val="FootnoteReference"/>
        </w:rPr>
        <w:footnoteRef/>
      </w:r>
      <w:r w:rsidRPr="000D4CBF">
        <w:t xml:space="preserve"> 2018 (4) SA 443 (SCA) para 28</w:t>
      </w:r>
    </w:p>
  </w:footnote>
  <w:footnote w:id="6">
    <w:p w14:paraId="67549169" w14:textId="77777777" w:rsidR="006670A3" w:rsidRPr="000D4CBF" w:rsidRDefault="006670A3">
      <w:pPr>
        <w:pStyle w:val="FootnoteText"/>
      </w:pPr>
      <w:r w:rsidRPr="000D4CBF">
        <w:rPr>
          <w:rStyle w:val="FootnoteReference"/>
        </w:rPr>
        <w:footnoteRef/>
      </w:r>
      <w:r w:rsidRPr="000D4CBF">
        <w:t xml:space="preserve"> 2009 (3) SA 384 (TPD) paras 16 -24</w:t>
      </w:r>
    </w:p>
  </w:footnote>
  <w:footnote w:id="7">
    <w:p w14:paraId="325B5B1D" w14:textId="77777777" w:rsidR="006670A3" w:rsidRPr="000D4CBF" w:rsidRDefault="006670A3">
      <w:pPr>
        <w:pStyle w:val="FootnoteText"/>
      </w:pPr>
      <w:r w:rsidRPr="000D4CBF">
        <w:rPr>
          <w:rStyle w:val="FootnoteReference"/>
        </w:rPr>
        <w:footnoteRef/>
      </w:r>
      <w:r w:rsidRPr="000D4CBF">
        <w:t xml:space="preserve"> </w:t>
      </w:r>
      <w:r w:rsidRPr="000D4CBF">
        <w:rPr>
          <w:i/>
        </w:rPr>
        <w:t>Ibid</w:t>
      </w:r>
      <w:r w:rsidRPr="000D4CBF">
        <w:t>: para 24</w:t>
      </w:r>
    </w:p>
  </w:footnote>
  <w:footnote w:id="8">
    <w:p w14:paraId="75C32593"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Annexure “FA2” p 65 and further</w:t>
      </w:r>
    </w:p>
  </w:footnote>
  <w:footnote w:id="9">
    <w:p w14:paraId="5A856187"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Annexure “FA3” pp 102 and 103</w:t>
      </w:r>
    </w:p>
  </w:footnote>
  <w:footnote w:id="10">
    <w:p w14:paraId="49FB4BE3"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Annexure “FA4”, p 104 and further</w:t>
      </w:r>
    </w:p>
  </w:footnote>
  <w:footnote w:id="11">
    <w:p w14:paraId="489B271F"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Annexure “FA5”, pp 141/2</w:t>
      </w:r>
    </w:p>
  </w:footnote>
  <w:footnote w:id="12">
    <w:p w14:paraId="03389A12" w14:textId="77777777" w:rsidR="006670A3" w:rsidRPr="000D4CBF" w:rsidRDefault="006670A3">
      <w:pPr>
        <w:pStyle w:val="FootnoteText"/>
      </w:pPr>
      <w:r w:rsidRPr="000D4CBF">
        <w:rPr>
          <w:rStyle w:val="FootnoteReference"/>
        </w:rPr>
        <w:footnoteRef/>
      </w:r>
      <w:r w:rsidRPr="000D4CBF">
        <w:t xml:space="preserve"> Paras 5.1.1 &amp; 5.1.2 of annexure “FA4”, p 108</w:t>
      </w:r>
    </w:p>
  </w:footnote>
  <w:footnote w:id="13">
    <w:p w14:paraId="2D7B54CB" w14:textId="77777777" w:rsidR="006670A3" w:rsidRPr="000D4CBF" w:rsidRDefault="006670A3">
      <w:pPr>
        <w:pStyle w:val="FootnoteText"/>
      </w:pPr>
      <w:r w:rsidRPr="000D4CBF">
        <w:rPr>
          <w:rStyle w:val="FootnoteReference"/>
        </w:rPr>
        <w:footnoteRef/>
      </w:r>
      <w:r w:rsidRPr="000D4CBF">
        <w:t xml:space="preserve"> Founding affidavit: annexure “FA10”, p 155 -157</w:t>
      </w:r>
    </w:p>
  </w:footnote>
  <w:footnote w:id="14">
    <w:p w14:paraId="6F70C8B0" w14:textId="77777777" w:rsidR="006670A3" w:rsidRPr="000D4CBF" w:rsidRDefault="006670A3">
      <w:pPr>
        <w:pStyle w:val="FootnoteText"/>
      </w:pPr>
      <w:r w:rsidRPr="000D4CBF">
        <w:rPr>
          <w:rStyle w:val="FootnoteReference"/>
        </w:rPr>
        <w:footnoteRef/>
      </w:r>
      <w:r w:rsidRPr="000D4CBF">
        <w:t xml:space="preserve"> </w:t>
      </w:r>
      <w:r w:rsidRPr="000D4CBF">
        <w:rPr>
          <w:i/>
        </w:rPr>
        <w:t>Ibid</w:t>
      </w:r>
      <w:r w:rsidRPr="000D4CBF">
        <w:t>: p 158</w:t>
      </w:r>
    </w:p>
  </w:footnote>
  <w:footnote w:id="15">
    <w:p w14:paraId="54CFE9B8" w14:textId="77777777" w:rsidR="006670A3" w:rsidRPr="000D4CBF" w:rsidRDefault="006670A3" w:rsidP="00DF47F9">
      <w:pPr>
        <w:pStyle w:val="FootnoteText"/>
        <w:rPr>
          <w:lang w:val="en-GB"/>
        </w:rPr>
      </w:pPr>
      <w:r w:rsidRPr="000D4CBF">
        <w:rPr>
          <w:rStyle w:val="FootnoteReference"/>
        </w:rPr>
        <w:footnoteRef/>
      </w:r>
      <w:r w:rsidRPr="000D4CBF">
        <w:t xml:space="preserve"> </w:t>
      </w:r>
      <w:r w:rsidRPr="000D4CBF">
        <w:rPr>
          <w:lang w:val="en-GB"/>
        </w:rPr>
        <w:t>Annexure “RA9”, p 583</w:t>
      </w:r>
    </w:p>
  </w:footnote>
  <w:footnote w:id="16">
    <w:p w14:paraId="47461355"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 xml:space="preserve">Annexure “FA17”, p 166 &amp; also “FA18” &amp; “FA19”, pp 167 -170 </w:t>
      </w:r>
    </w:p>
  </w:footnote>
  <w:footnote w:id="17">
    <w:p w14:paraId="66607566"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Annexure “FA27”, pp 187 – 190</w:t>
      </w:r>
    </w:p>
  </w:footnote>
  <w:footnote w:id="18">
    <w:p w14:paraId="1D84BBE0"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P 208 and further</w:t>
      </w:r>
    </w:p>
  </w:footnote>
  <w:footnote w:id="19">
    <w:p w14:paraId="0828307C"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P 581/2; the same document appears as annexure “FA6” on p 144 and as is apparent it was also served on the respondents by the sheriff: pp 145 - 150</w:t>
      </w:r>
    </w:p>
  </w:footnote>
  <w:footnote w:id="20">
    <w:p w14:paraId="08D8A9B1" w14:textId="77777777" w:rsidR="006670A3" w:rsidRPr="000D4CBF" w:rsidRDefault="006670A3">
      <w:pPr>
        <w:pStyle w:val="FootnoteText"/>
        <w:rPr>
          <w:lang w:val="en-US"/>
        </w:rPr>
      </w:pPr>
      <w:r w:rsidRPr="000D4CBF">
        <w:rPr>
          <w:rStyle w:val="FootnoteReference"/>
        </w:rPr>
        <w:footnoteRef/>
      </w:r>
      <w:r w:rsidRPr="000D4CBF">
        <w:t xml:space="preserve"> </w:t>
      </w:r>
      <w:r w:rsidRPr="000D4CBF">
        <w:rPr>
          <w:i/>
          <w:lang w:val="en-US"/>
        </w:rPr>
        <w:t>Heidi Nicole Koch NO &amp; another v Ad hoc Central Authority for the Republic of South Africa &amp; another</w:t>
      </w:r>
      <w:r w:rsidRPr="000D4CBF">
        <w:rPr>
          <w:lang w:val="en-US"/>
        </w:rPr>
        <w:t xml:space="preserve"> (188/2021) [2022] ZASCA 60 (26 April 2022) para</w:t>
      </w:r>
      <w:r>
        <w:rPr>
          <w:lang w:val="en-US"/>
        </w:rPr>
        <w:t xml:space="preserve"> 49; Pennello v Pennello 2004 (3</w:t>
      </w:r>
      <w:r w:rsidRPr="000D4CBF">
        <w:rPr>
          <w:lang w:val="en-US"/>
        </w:rPr>
        <w:t>) SA 117 (SCA) para 39</w:t>
      </w:r>
    </w:p>
  </w:footnote>
  <w:footnote w:id="21">
    <w:p w14:paraId="7AF297F4"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2016 (3) SA 37 (CC) para 22</w:t>
      </w:r>
    </w:p>
  </w:footnote>
  <w:footnote w:id="22">
    <w:p w14:paraId="47BC75BC" w14:textId="77777777" w:rsidR="006670A3" w:rsidRPr="000D4CBF" w:rsidRDefault="006670A3">
      <w:pPr>
        <w:pStyle w:val="FootnoteText"/>
      </w:pPr>
      <w:r w:rsidRPr="000D4CBF">
        <w:rPr>
          <w:rStyle w:val="FootnoteReference"/>
        </w:rPr>
        <w:footnoteRef/>
      </w:r>
      <w:r w:rsidRPr="000D4CBF">
        <w:t xml:space="preserve"> Para 3 of annexure “FA2”, p 68</w:t>
      </w:r>
    </w:p>
  </w:footnote>
  <w:footnote w:id="23">
    <w:p w14:paraId="23FD7E26" w14:textId="77777777" w:rsidR="006670A3" w:rsidRPr="000D4CBF" w:rsidRDefault="006670A3" w:rsidP="001E00AF">
      <w:pPr>
        <w:pStyle w:val="FootnoteText"/>
        <w:rPr>
          <w:lang w:val="en-GB"/>
        </w:rPr>
      </w:pPr>
      <w:r w:rsidRPr="000D4CBF">
        <w:rPr>
          <w:rStyle w:val="FootnoteReference"/>
        </w:rPr>
        <w:footnoteRef/>
      </w:r>
      <w:r w:rsidRPr="00B76822">
        <w:rPr>
          <w:i/>
          <w:lang w:val="en-GB"/>
        </w:rPr>
        <w:t>Ibid</w:t>
      </w:r>
      <w:r w:rsidRPr="000D4CBF">
        <w:rPr>
          <w:lang w:val="en-GB"/>
        </w:rPr>
        <w:t>: para 29</w:t>
      </w:r>
    </w:p>
  </w:footnote>
  <w:footnote w:id="24">
    <w:p w14:paraId="4EDD2AE8" w14:textId="77777777" w:rsidR="006670A3" w:rsidRPr="000D4CBF" w:rsidRDefault="006670A3">
      <w:pPr>
        <w:pStyle w:val="FootnoteText"/>
      </w:pPr>
      <w:r w:rsidRPr="000D4CBF">
        <w:rPr>
          <w:rStyle w:val="FootnoteReference"/>
        </w:rPr>
        <w:footnoteRef/>
      </w:r>
      <w:r w:rsidRPr="000D4CBF">
        <w:t xml:space="preserve"> 2017 (5) SA 508 (SCA) para 10</w:t>
      </w:r>
    </w:p>
  </w:footnote>
  <w:footnote w:id="25">
    <w:p w14:paraId="15C3DB7A"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i/>
          <w:iCs/>
          <w:lang w:val="en-GB"/>
        </w:rPr>
        <w:t>Ibid:</w:t>
      </w:r>
      <w:r w:rsidRPr="000D4CBF">
        <w:rPr>
          <w:lang w:val="en-GB"/>
        </w:rPr>
        <w:t xml:space="preserve"> para 31</w:t>
      </w:r>
    </w:p>
  </w:footnote>
  <w:footnote w:id="26">
    <w:p w14:paraId="15C79EF4"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2019 (5) SA 117 (SCA) para 21</w:t>
      </w:r>
      <w:r>
        <w:rPr>
          <w:lang w:val="en-GB"/>
        </w:rPr>
        <w:t xml:space="preserve">; also, </w:t>
      </w:r>
      <w:r w:rsidRPr="00742B08">
        <w:rPr>
          <w:i/>
          <w:lang w:val="en-GB"/>
        </w:rPr>
        <w:t>Investec v Roberts &amp; another</w:t>
      </w:r>
      <w:r>
        <w:rPr>
          <w:lang w:val="en-GB"/>
        </w:rPr>
        <w:t xml:space="preserve"> [2013] ZAWCHC 25 (18 February 2013) paras 16 &amp; 18 </w:t>
      </w:r>
    </w:p>
  </w:footnote>
  <w:footnote w:id="27">
    <w:p w14:paraId="2629C2FF" w14:textId="77777777" w:rsidR="006670A3" w:rsidRPr="000D4CBF" w:rsidRDefault="006670A3">
      <w:pPr>
        <w:pStyle w:val="FootnoteText"/>
      </w:pPr>
      <w:r w:rsidRPr="000D4CBF">
        <w:rPr>
          <w:rStyle w:val="FootnoteReference"/>
        </w:rPr>
        <w:footnoteRef/>
      </w:r>
      <w:r w:rsidRPr="000D4CBF">
        <w:t xml:space="preserve"> </w:t>
      </w:r>
      <w:r w:rsidRPr="000D4CBF">
        <w:rPr>
          <w:i/>
        </w:rPr>
        <w:t>Ibid</w:t>
      </w:r>
      <w:r w:rsidRPr="000D4CBF">
        <w:t>: paras 12 &amp; 22</w:t>
      </w:r>
    </w:p>
  </w:footnote>
  <w:footnote w:id="28">
    <w:p w14:paraId="2B2A67A3"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i/>
          <w:iCs/>
          <w:lang w:val="en-GB"/>
        </w:rPr>
        <w:t>Ibid</w:t>
      </w:r>
      <w:r w:rsidRPr="000D4CBF">
        <w:rPr>
          <w:lang w:val="en-GB"/>
        </w:rPr>
        <w:t>: paras 24 &amp; 27</w:t>
      </w:r>
    </w:p>
  </w:footnote>
  <w:footnote w:id="29">
    <w:p w14:paraId="14D69822" w14:textId="77777777" w:rsidR="006670A3" w:rsidRPr="000D4CBF" w:rsidRDefault="006670A3" w:rsidP="0063072E">
      <w:pPr>
        <w:pStyle w:val="FootnoteText"/>
        <w:rPr>
          <w:lang w:val="en-GB"/>
        </w:rPr>
      </w:pPr>
      <w:r w:rsidRPr="000D4CBF">
        <w:rPr>
          <w:rStyle w:val="FootnoteReference"/>
        </w:rPr>
        <w:footnoteRef/>
      </w:r>
      <w:r w:rsidRPr="000D4CBF">
        <w:t xml:space="preserve"> </w:t>
      </w:r>
      <w:r w:rsidRPr="000D4CBF">
        <w:rPr>
          <w:lang w:val="en-GB"/>
        </w:rPr>
        <w:t>Clause 6.3, p 114</w:t>
      </w:r>
    </w:p>
  </w:footnote>
  <w:footnote w:id="30">
    <w:p w14:paraId="07970182" w14:textId="77777777" w:rsidR="006670A3" w:rsidRPr="000D4CBF" w:rsidRDefault="006670A3">
      <w:pPr>
        <w:pStyle w:val="FootnoteText"/>
      </w:pPr>
      <w:r w:rsidRPr="000D4CBF">
        <w:rPr>
          <w:rStyle w:val="FootnoteReference"/>
        </w:rPr>
        <w:footnoteRef/>
      </w:r>
      <w:r w:rsidRPr="000D4CBF">
        <w:t xml:space="preserve"> Annexure “FA4” and pp 126 – 138 in particular</w:t>
      </w:r>
    </w:p>
  </w:footnote>
  <w:footnote w:id="31">
    <w:p w14:paraId="472191B2" w14:textId="77777777" w:rsidR="006670A3" w:rsidRPr="000D4CBF" w:rsidRDefault="006670A3" w:rsidP="0063072E">
      <w:pPr>
        <w:pStyle w:val="FootnoteText"/>
      </w:pPr>
      <w:r w:rsidRPr="000D4CBF">
        <w:rPr>
          <w:rStyle w:val="FootnoteReference"/>
        </w:rPr>
        <w:footnoteRef/>
      </w:r>
      <w:r w:rsidRPr="000D4CBF">
        <w:t xml:space="preserve"> </w:t>
      </w:r>
      <w:r w:rsidRPr="000D4CBF">
        <w:rPr>
          <w:lang w:val="en-US"/>
        </w:rPr>
        <w:t xml:space="preserve">Para 2 of the notice of motion: pp 9 -12 and </w:t>
      </w:r>
      <w:r w:rsidRPr="000D4CBF">
        <w:t>answering affidavit: para 14.3, p 242 &amp; para 16.14, pp 260 - 262</w:t>
      </w:r>
    </w:p>
  </w:footnote>
  <w:footnote w:id="32">
    <w:p w14:paraId="6DDF3FB7" w14:textId="77777777" w:rsidR="006670A3" w:rsidRPr="000D4CBF" w:rsidRDefault="006670A3" w:rsidP="0063072E">
      <w:pPr>
        <w:pStyle w:val="FootnoteText"/>
      </w:pPr>
      <w:r w:rsidRPr="000D4CBF">
        <w:rPr>
          <w:rStyle w:val="FootnoteReference"/>
        </w:rPr>
        <w:footnoteRef/>
      </w:r>
      <w:r w:rsidRPr="000D4CBF">
        <w:t xml:space="preserve"> Founding affidavit: annexure “FA2”, pp 65 - 86</w:t>
      </w:r>
    </w:p>
  </w:footnote>
  <w:footnote w:id="33">
    <w:p w14:paraId="289C3875" w14:textId="77777777" w:rsidR="006670A3" w:rsidRPr="000D4CBF" w:rsidRDefault="006670A3" w:rsidP="0063072E">
      <w:pPr>
        <w:pStyle w:val="FootnoteText"/>
      </w:pPr>
      <w:r w:rsidRPr="000D4CBF">
        <w:rPr>
          <w:rStyle w:val="FootnoteReference"/>
        </w:rPr>
        <w:footnoteRef/>
      </w:r>
      <w:r w:rsidRPr="000D4CBF">
        <w:t xml:space="preserve"> Para 1 of notice of motion, p 8, read with certificates of balance: pp 181 - 184</w:t>
      </w:r>
    </w:p>
  </w:footnote>
  <w:footnote w:id="34">
    <w:p w14:paraId="0C2EA66A" w14:textId="77777777" w:rsidR="006670A3" w:rsidRPr="000D4CBF" w:rsidRDefault="006670A3">
      <w:pPr>
        <w:pStyle w:val="FootnoteText"/>
      </w:pPr>
      <w:r w:rsidRPr="000D4CBF">
        <w:rPr>
          <w:rStyle w:val="FootnoteReference"/>
        </w:rPr>
        <w:footnoteRef/>
      </w:r>
      <w:r w:rsidRPr="000D4CBF">
        <w:t xml:space="preserve"> Answering affidavit, annexures “VW5”, the one medium term loan, “VW7”, the current account agreement, pp 354 &amp; 380 </w:t>
      </w:r>
    </w:p>
  </w:footnote>
  <w:footnote w:id="35">
    <w:p w14:paraId="74B2F60A" w14:textId="77777777" w:rsidR="006670A3" w:rsidRPr="000D4CBF" w:rsidRDefault="006670A3">
      <w:pPr>
        <w:pStyle w:val="FootnoteText"/>
      </w:pPr>
      <w:r w:rsidRPr="000D4CBF">
        <w:rPr>
          <w:rStyle w:val="FootnoteReference"/>
        </w:rPr>
        <w:footnoteRef/>
      </w:r>
      <w:r w:rsidRPr="000D4CBF">
        <w:t xml:space="preserve"> Replying affidavit: annexure “RA1”, p 485</w:t>
      </w:r>
    </w:p>
  </w:footnote>
  <w:footnote w:id="36">
    <w:p w14:paraId="1095CD0E" w14:textId="77777777" w:rsidR="006670A3" w:rsidRPr="000D4CBF" w:rsidRDefault="006670A3">
      <w:pPr>
        <w:pStyle w:val="FootnoteText"/>
      </w:pPr>
      <w:r w:rsidRPr="000D4CBF">
        <w:rPr>
          <w:rStyle w:val="FootnoteReference"/>
        </w:rPr>
        <w:footnoteRef/>
      </w:r>
      <w:r w:rsidRPr="000D4CBF">
        <w:t xml:space="preserve"> Answering affidavit: para 10, p 234 &amp; replying affidavit: para 10, p 464 &amp; “RA1”, p 485; answering affidavit: para 7, pp 230/1 and replying affidavit: para 14, pp 470/1 &amp; “RA1” </w:t>
      </w:r>
    </w:p>
  </w:footnote>
  <w:footnote w:id="37">
    <w:p w14:paraId="5DE84975" w14:textId="77777777" w:rsidR="006670A3" w:rsidRPr="000D4CBF" w:rsidRDefault="006670A3">
      <w:pPr>
        <w:pStyle w:val="FootnoteText"/>
      </w:pPr>
      <w:r w:rsidRPr="000D4CBF">
        <w:rPr>
          <w:rStyle w:val="FootnoteReference"/>
        </w:rPr>
        <w:footnoteRef/>
      </w:r>
      <w:r w:rsidRPr="000D4CBF">
        <w:t xml:space="preserve"> Answering affidavit: para 10, p 235 and replying affidavit: para 10, pp 464/5 &amp; “RA2”, “RA3” &amp; “RA4”, pp 507 – 550; and see also para 30, p 482</w:t>
      </w:r>
    </w:p>
  </w:footnote>
  <w:footnote w:id="38">
    <w:p w14:paraId="3356F043" w14:textId="77777777" w:rsidR="006670A3" w:rsidRPr="000D4CBF" w:rsidRDefault="006670A3">
      <w:pPr>
        <w:pStyle w:val="FootnoteText"/>
      </w:pPr>
      <w:r w:rsidRPr="000D4CBF">
        <w:rPr>
          <w:rStyle w:val="FootnoteReference"/>
        </w:rPr>
        <w:footnoteRef/>
      </w:r>
      <w:r w:rsidRPr="000D4CBF">
        <w:t xml:space="preserve"> Annexure “FA6.1”, p 143/4 also attached as “RA8”, p 581/2 as well as proof of service by the sheriff, annexures ”FA6.2”  –  “FA6,7”, pp 145 - 150</w:t>
      </w:r>
    </w:p>
  </w:footnote>
  <w:footnote w:id="39">
    <w:p w14:paraId="294BFD41" w14:textId="77777777" w:rsidR="006670A3" w:rsidRDefault="006670A3" w:rsidP="00E55DE8">
      <w:pPr>
        <w:pStyle w:val="FootnoteText"/>
      </w:pPr>
      <w:r>
        <w:rPr>
          <w:rStyle w:val="FootnoteReference"/>
        </w:rPr>
        <w:footnoteRef/>
      </w:r>
      <w:r>
        <w:t xml:space="preserve"> </w:t>
      </w:r>
      <w:r w:rsidRPr="00B76822">
        <w:rPr>
          <w:i/>
        </w:rPr>
        <w:t>Eke v Parsons supra</w:t>
      </w:r>
      <w:r>
        <w:rPr>
          <w:i/>
        </w:rPr>
        <w:t>:</w:t>
      </w:r>
      <w:r>
        <w:t xml:space="preserve"> para 25</w:t>
      </w:r>
    </w:p>
  </w:footnote>
  <w:footnote w:id="40">
    <w:p w14:paraId="633F61F4" w14:textId="77777777" w:rsidR="006670A3" w:rsidRDefault="006670A3" w:rsidP="00E55DE8">
      <w:pPr>
        <w:pStyle w:val="FootnoteText"/>
      </w:pPr>
      <w:r>
        <w:rPr>
          <w:rStyle w:val="FootnoteReference"/>
        </w:rPr>
        <w:footnoteRef/>
      </w:r>
      <w:r>
        <w:t xml:space="preserve"> 1942 NPD 138 </w:t>
      </w:r>
    </w:p>
  </w:footnote>
  <w:footnote w:id="41">
    <w:p w14:paraId="119DC874" w14:textId="77777777" w:rsidR="006670A3" w:rsidRPr="00F905E0" w:rsidRDefault="006670A3">
      <w:pPr>
        <w:pStyle w:val="FootnoteText"/>
        <w:rPr>
          <w:lang w:val="en-GB"/>
        </w:rPr>
      </w:pPr>
      <w:r>
        <w:rPr>
          <w:rStyle w:val="FootnoteReference"/>
        </w:rPr>
        <w:footnoteRef/>
      </w:r>
      <w:r>
        <w:t xml:space="preserve"> </w:t>
      </w:r>
      <w:r w:rsidRPr="00F905E0">
        <w:rPr>
          <w:lang w:val="en-GB"/>
        </w:rPr>
        <w:t>Ibid para 26</w:t>
      </w:r>
    </w:p>
  </w:footnote>
  <w:footnote w:id="42">
    <w:p w14:paraId="6D1FB273" w14:textId="77777777" w:rsidR="006670A3" w:rsidRPr="00F905E0" w:rsidRDefault="006670A3">
      <w:pPr>
        <w:pStyle w:val="FootnoteText"/>
        <w:rPr>
          <w:lang w:val="en-GB"/>
        </w:rPr>
      </w:pPr>
      <w:r w:rsidRPr="00F905E0">
        <w:rPr>
          <w:rStyle w:val="FootnoteReference"/>
        </w:rPr>
        <w:footnoteRef/>
      </w:r>
      <w:r w:rsidRPr="00F905E0">
        <w:t xml:space="preserve"> </w:t>
      </w:r>
      <w:r w:rsidRPr="00F905E0">
        <w:rPr>
          <w:lang w:val="en-GB"/>
        </w:rPr>
        <w:t>Ibid para 27</w:t>
      </w:r>
    </w:p>
  </w:footnote>
  <w:footnote w:id="43">
    <w:p w14:paraId="740DDB56" w14:textId="77777777" w:rsidR="006670A3" w:rsidRPr="0095457E" w:rsidRDefault="006670A3">
      <w:pPr>
        <w:pStyle w:val="FootnoteText"/>
        <w:rPr>
          <w:color w:val="FF0000"/>
          <w:lang w:val="en-GB"/>
        </w:rPr>
      </w:pPr>
      <w:r w:rsidRPr="00F905E0">
        <w:rPr>
          <w:rStyle w:val="FootnoteReference"/>
        </w:rPr>
        <w:footnoteRef/>
      </w:r>
      <w:r w:rsidRPr="00F905E0">
        <w:t xml:space="preserve"> </w:t>
      </w:r>
      <w:r w:rsidRPr="00F905E0">
        <w:rPr>
          <w:lang w:val="en-GB"/>
        </w:rPr>
        <w:t>2013 (JDR) 0391 (GNP)</w:t>
      </w:r>
    </w:p>
  </w:footnote>
  <w:footnote w:id="44">
    <w:p w14:paraId="52A4724B" w14:textId="77777777" w:rsidR="006670A3" w:rsidRPr="000D4CBF" w:rsidRDefault="006670A3" w:rsidP="001E00AF">
      <w:pPr>
        <w:pStyle w:val="FootnoteText"/>
        <w:rPr>
          <w:lang w:val="en-GB"/>
        </w:rPr>
      </w:pPr>
      <w:r w:rsidRPr="000D4CBF">
        <w:rPr>
          <w:rStyle w:val="FootnoteReference"/>
        </w:rPr>
        <w:footnoteRef/>
      </w:r>
      <w:r w:rsidRPr="000D4CBF">
        <w:t xml:space="preserve"> </w:t>
      </w:r>
      <w:r w:rsidRPr="000D4CBF">
        <w:rPr>
          <w:lang w:val="en-GB"/>
        </w:rPr>
        <w:t>2020 (2) SA 390 (SCA) at 394 I</w:t>
      </w:r>
    </w:p>
  </w:footnote>
  <w:footnote w:id="45">
    <w:p w14:paraId="09C1916C" w14:textId="77777777" w:rsidR="006670A3" w:rsidRPr="000D4CBF" w:rsidRDefault="006670A3">
      <w:pPr>
        <w:pStyle w:val="FootnoteText"/>
      </w:pPr>
      <w:r w:rsidRPr="000D4CBF">
        <w:rPr>
          <w:rStyle w:val="FootnoteReference"/>
        </w:rPr>
        <w:footnoteRef/>
      </w:r>
      <w:r w:rsidRPr="000D4CBF">
        <w:t xml:space="preserve"> “FA2” &amp; “FA4” on pp 68 &amp; 106</w:t>
      </w:r>
    </w:p>
  </w:footnote>
  <w:footnote w:id="46">
    <w:p w14:paraId="61F49E78" w14:textId="77777777" w:rsidR="006670A3" w:rsidRPr="000D4CBF" w:rsidRDefault="006670A3">
      <w:pPr>
        <w:pStyle w:val="FootnoteText"/>
      </w:pPr>
      <w:r w:rsidRPr="000D4CBF">
        <w:rPr>
          <w:rStyle w:val="FootnoteReference"/>
        </w:rPr>
        <w:footnoteRef/>
      </w:r>
      <w:r w:rsidRPr="000D4CBF">
        <w:t xml:space="preserve"> Answering affidavit p …….  &amp; </w:t>
      </w:r>
      <w:r w:rsidRPr="000D4CBF">
        <w:rPr>
          <w:i/>
        </w:rPr>
        <w:t>inter alia</w:t>
      </w:r>
      <w:r w:rsidRPr="000D4CBF">
        <w:t xml:space="preserve"> “FA4” on p 117</w:t>
      </w:r>
    </w:p>
  </w:footnote>
  <w:footnote w:id="47">
    <w:p w14:paraId="00705151" w14:textId="77777777" w:rsidR="006670A3" w:rsidRPr="00A73E37" w:rsidRDefault="006670A3">
      <w:pPr>
        <w:pStyle w:val="FootnoteText"/>
      </w:pPr>
      <w:r w:rsidRPr="000D4CBF">
        <w:rPr>
          <w:rStyle w:val="FootnoteReference"/>
        </w:rPr>
        <w:footnoteRef/>
      </w:r>
      <w:r w:rsidRPr="000D4CBF">
        <w:t xml:space="preserve"> Rule 46A and the following judgment</w:t>
      </w:r>
      <w:r w:rsidRPr="00A73E37">
        <w:t xml:space="preserve">s </w:t>
      </w:r>
      <w:r w:rsidRPr="000D4CBF">
        <w:t>with which I respectfully agree:</w:t>
      </w:r>
      <w:r>
        <w:t xml:space="preserve">  </w:t>
      </w:r>
      <w:r w:rsidRPr="00A73E37">
        <w:rPr>
          <w:i/>
          <w:iCs/>
        </w:rPr>
        <w:t>Investec Bank Ltd v Fraser NO and Others</w:t>
      </w:r>
      <w:r w:rsidRPr="00A73E37">
        <w:t xml:space="preserve"> 2020 (6) SA 211 (GJ) paras 68 – 70 and </w:t>
      </w:r>
      <w:r w:rsidR="00A73E37" w:rsidRPr="00A73E37">
        <w:t xml:space="preserve">the </w:t>
      </w:r>
      <w:r w:rsidRPr="00A73E37">
        <w:t xml:space="preserve">unreported judgment, </w:t>
      </w:r>
      <w:r w:rsidRPr="00A73E37">
        <w:rPr>
          <w:i/>
          <w:iCs/>
        </w:rPr>
        <w:t>Nedbank Ltd v Bestbier and Others</w:t>
      </w:r>
      <w:r w:rsidRPr="00A73E37">
        <w:t xml:space="preserve"> (Scholtz Intervening) (12654/18) ZAWCHC 107 delivered on 17 September 20</w:t>
      </w:r>
      <w:r w:rsidR="00A73E37" w:rsidRPr="00A73E37">
        <w:t>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14:paraId="28FDCC0F" w14:textId="77777777" w:rsidR="006670A3" w:rsidRDefault="006670A3">
        <w:pPr>
          <w:pStyle w:val="Header"/>
          <w:jc w:val="right"/>
        </w:pPr>
        <w:r>
          <w:fldChar w:fldCharType="begin"/>
        </w:r>
        <w:r>
          <w:instrText xml:space="preserve"> PAGE   \* MERGEFORMAT </w:instrText>
        </w:r>
        <w:r>
          <w:fldChar w:fldCharType="separate"/>
        </w:r>
        <w:r w:rsidR="000678D8">
          <w:rPr>
            <w:noProof/>
          </w:rPr>
          <w:t>2</w:t>
        </w:r>
        <w:r>
          <w:rPr>
            <w:noProof/>
          </w:rPr>
          <w:fldChar w:fldCharType="end"/>
        </w:r>
      </w:p>
    </w:sdtContent>
  </w:sdt>
  <w:p w14:paraId="2B8A228F" w14:textId="77777777" w:rsidR="006670A3" w:rsidRDefault="00667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3"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5"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7DAC7CDC"/>
    <w:multiLevelType w:val="hybridMultilevel"/>
    <w:tmpl w:val="FFAAAEFC"/>
    <w:lvl w:ilvl="0" w:tplc="A3764F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179C"/>
    <w:rsid w:val="00001B5B"/>
    <w:rsid w:val="00007D2A"/>
    <w:rsid w:val="0001068A"/>
    <w:rsid w:val="00010D8B"/>
    <w:rsid w:val="00011A6A"/>
    <w:rsid w:val="00013379"/>
    <w:rsid w:val="00013783"/>
    <w:rsid w:val="00014A04"/>
    <w:rsid w:val="00015858"/>
    <w:rsid w:val="0001633F"/>
    <w:rsid w:val="00016365"/>
    <w:rsid w:val="00016C57"/>
    <w:rsid w:val="00022B00"/>
    <w:rsid w:val="00022B54"/>
    <w:rsid w:val="00023560"/>
    <w:rsid w:val="00023CED"/>
    <w:rsid w:val="00024FBC"/>
    <w:rsid w:val="0002536C"/>
    <w:rsid w:val="0002619A"/>
    <w:rsid w:val="000261A7"/>
    <w:rsid w:val="00026A16"/>
    <w:rsid w:val="00032A34"/>
    <w:rsid w:val="00035B64"/>
    <w:rsid w:val="00035CFF"/>
    <w:rsid w:val="00036C4F"/>
    <w:rsid w:val="00037B24"/>
    <w:rsid w:val="0004026B"/>
    <w:rsid w:val="00040792"/>
    <w:rsid w:val="00041119"/>
    <w:rsid w:val="00041C9A"/>
    <w:rsid w:val="00042EC4"/>
    <w:rsid w:val="00043BC6"/>
    <w:rsid w:val="00043C38"/>
    <w:rsid w:val="00044185"/>
    <w:rsid w:val="00044369"/>
    <w:rsid w:val="00046DB8"/>
    <w:rsid w:val="000513C0"/>
    <w:rsid w:val="00051B61"/>
    <w:rsid w:val="00052478"/>
    <w:rsid w:val="000538EE"/>
    <w:rsid w:val="00054109"/>
    <w:rsid w:val="00054805"/>
    <w:rsid w:val="00060693"/>
    <w:rsid w:val="0006080B"/>
    <w:rsid w:val="00061A81"/>
    <w:rsid w:val="00061FF0"/>
    <w:rsid w:val="00062237"/>
    <w:rsid w:val="00062416"/>
    <w:rsid w:val="00062BD1"/>
    <w:rsid w:val="00062E4F"/>
    <w:rsid w:val="00065C08"/>
    <w:rsid w:val="0006668A"/>
    <w:rsid w:val="00066BE6"/>
    <w:rsid w:val="00066E97"/>
    <w:rsid w:val="000678D8"/>
    <w:rsid w:val="00067CB6"/>
    <w:rsid w:val="00070E6D"/>
    <w:rsid w:val="00072EAA"/>
    <w:rsid w:val="00073243"/>
    <w:rsid w:val="00073540"/>
    <w:rsid w:val="00073ED3"/>
    <w:rsid w:val="000776EB"/>
    <w:rsid w:val="000778F4"/>
    <w:rsid w:val="00077B42"/>
    <w:rsid w:val="0008099B"/>
    <w:rsid w:val="00080CE4"/>
    <w:rsid w:val="0008213B"/>
    <w:rsid w:val="00083E0E"/>
    <w:rsid w:val="00084B08"/>
    <w:rsid w:val="0008715A"/>
    <w:rsid w:val="00090118"/>
    <w:rsid w:val="000903D4"/>
    <w:rsid w:val="00092A31"/>
    <w:rsid w:val="00092CF9"/>
    <w:rsid w:val="00093882"/>
    <w:rsid w:val="00094610"/>
    <w:rsid w:val="00094AAC"/>
    <w:rsid w:val="00094C19"/>
    <w:rsid w:val="000964EC"/>
    <w:rsid w:val="000975B8"/>
    <w:rsid w:val="00097FE3"/>
    <w:rsid w:val="000A14F0"/>
    <w:rsid w:val="000A1877"/>
    <w:rsid w:val="000A2518"/>
    <w:rsid w:val="000A453E"/>
    <w:rsid w:val="000A4B93"/>
    <w:rsid w:val="000A4DA2"/>
    <w:rsid w:val="000A5209"/>
    <w:rsid w:val="000A64AF"/>
    <w:rsid w:val="000A7B53"/>
    <w:rsid w:val="000B0416"/>
    <w:rsid w:val="000B1F4C"/>
    <w:rsid w:val="000B2CDC"/>
    <w:rsid w:val="000B5527"/>
    <w:rsid w:val="000C0197"/>
    <w:rsid w:val="000C0821"/>
    <w:rsid w:val="000C0AAE"/>
    <w:rsid w:val="000C1144"/>
    <w:rsid w:val="000C1668"/>
    <w:rsid w:val="000C3368"/>
    <w:rsid w:val="000C342B"/>
    <w:rsid w:val="000C4E99"/>
    <w:rsid w:val="000C60E2"/>
    <w:rsid w:val="000C7581"/>
    <w:rsid w:val="000C7DF0"/>
    <w:rsid w:val="000D19F7"/>
    <w:rsid w:val="000D252E"/>
    <w:rsid w:val="000D259A"/>
    <w:rsid w:val="000D2B5D"/>
    <w:rsid w:val="000D4089"/>
    <w:rsid w:val="000D41CB"/>
    <w:rsid w:val="000D487A"/>
    <w:rsid w:val="000D4CBF"/>
    <w:rsid w:val="000D675C"/>
    <w:rsid w:val="000D6919"/>
    <w:rsid w:val="000D7384"/>
    <w:rsid w:val="000D79D8"/>
    <w:rsid w:val="000D7AA5"/>
    <w:rsid w:val="000E097C"/>
    <w:rsid w:val="000E1837"/>
    <w:rsid w:val="000E26FE"/>
    <w:rsid w:val="000E28EF"/>
    <w:rsid w:val="000E2BFE"/>
    <w:rsid w:val="000E383C"/>
    <w:rsid w:val="000E3848"/>
    <w:rsid w:val="000E3A34"/>
    <w:rsid w:val="000E5717"/>
    <w:rsid w:val="000E7910"/>
    <w:rsid w:val="000E7FCD"/>
    <w:rsid w:val="000F07D3"/>
    <w:rsid w:val="000F10F6"/>
    <w:rsid w:val="000F30AE"/>
    <w:rsid w:val="000F3360"/>
    <w:rsid w:val="000F44E1"/>
    <w:rsid w:val="000F58BF"/>
    <w:rsid w:val="000F741B"/>
    <w:rsid w:val="000F7A62"/>
    <w:rsid w:val="0010013D"/>
    <w:rsid w:val="00100921"/>
    <w:rsid w:val="001011C5"/>
    <w:rsid w:val="00101534"/>
    <w:rsid w:val="00102752"/>
    <w:rsid w:val="00103B1E"/>
    <w:rsid w:val="00104CF9"/>
    <w:rsid w:val="00104DE4"/>
    <w:rsid w:val="001060D6"/>
    <w:rsid w:val="00107777"/>
    <w:rsid w:val="0010795B"/>
    <w:rsid w:val="00107B28"/>
    <w:rsid w:val="001110BB"/>
    <w:rsid w:val="00111F7A"/>
    <w:rsid w:val="00114705"/>
    <w:rsid w:val="00114BAF"/>
    <w:rsid w:val="00115350"/>
    <w:rsid w:val="00115DB3"/>
    <w:rsid w:val="00116327"/>
    <w:rsid w:val="00120747"/>
    <w:rsid w:val="00120D0B"/>
    <w:rsid w:val="00122DD0"/>
    <w:rsid w:val="00123EFA"/>
    <w:rsid w:val="001260B4"/>
    <w:rsid w:val="00126409"/>
    <w:rsid w:val="00126ABA"/>
    <w:rsid w:val="00126BD2"/>
    <w:rsid w:val="00126EF7"/>
    <w:rsid w:val="001312E2"/>
    <w:rsid w:val="0013270E"/>
    <w:rsid w:val="0013331A"/>
    <w:rsid w:val="00133AF2"/>
    <w:rsid w:val="00136521"/>
    <w:rsid w:val="00136872"/>
    <w:rsid w:val="00137AA4"/>
    <w:rsid w:val="00137B16"/>
    <w:rsid w:val="0014133B"/>
    <w:rsid w:val="00144328"/>
    <w:rsid w:val="00144F8B"/>
    <w:rsid w:val="00145A73"/>
    <w:rsid w:val="00145DBD"/>
    <w:rsid w:val="00146136"/>
    <w:rsid w:val="001470E0"/>
    <w:rsid w:val="00147283"/>
    <w:rsid w:val="00150021"/>
    <w:rsid w:val="00150A21"/>
    <w:rsid w:val="00151124"/>
    <w:rsid w:val="00151F57"/>
    <w:rsid w:val="00153055"/>
    <w:rsid w:val="001536EF"/>
    <w:rsid w:val="001545D1"/>
    <w:rsid w:val="001546AC"/>
    <w:rsid w:val="00154795"/>
    <w:rsid w:val="00155788"/>
    <w:rsid w:val="00155E47"/>
    <w:rsid w:val="0015676D"/>
    <w:rsid w:val="00157856"/>
    <w:rsid w:val="0015790B"/>
    <w:rsid w:val="00160A4D"/>
    <w:rsid w:val="00160F22"/>
    <w:rsid w:val="00161ED2"/>
    <w:rsid w:val="00162462"/>
    <w:rsid w:val="00163BD6"/>
    <w:rsid w:val="00163C66"/>
    <w:rsid w:val="00164C8B"/>
    <w:rsid w:val="00166BD1"/>
    <w:rsid w:val="00166C79"/>
    <w:rsid w:val="00171A9E"/>
    <w:rsid w:val="00171D4E"/>
    <w:rsid w:val="0017414A"/>
    <w:rsid w:val="0017532E"/>
    <w:rsid w:val="00175D28"/>
    <w:rsid w:val="00176439"/>
    <w:rsid w:val="0017682B"/>
    <w:rsid w:val="001777CE"/>
    <w:rsid w:val="001779F5"/>
    <w:rsid w:val="00177BB5"/>
    <w:rsid w:val="001808E5"/>
    <w:rsid w:val="00180A47"/>
    <w:rsid w:val="00183999"/>
    <w:rsid w:val="00183C06"/>
    <w:rsid w:val="001850B7"/>
    <w:rsid w:val="00186DAF"/>
    <w:rsid w:val="001873DB"/>
    <w:rsid w:val="00187767"/>
    <w:rsid w:val="001912F0"/>
    <w:rsid w:val="0019350B"/>
    <w:rsid w:val="00193EF3"/>
    <w:rsid w:val="0019642E"/>
    <w:rsid w:val="001A09D2"/>
    <w:rsid w:val="001A2A04"/>
    <w:rsid w:val="001A3D98"/>
    <w:rsid w:val="001A4CDA"/>
    <w:rsid w:val="001A503C"/>
    <w:rsid w:val="001A50D4"/>
    <w:rsid w:val="001A5398"/>
    <w:rsid w:val="001A7BF2"/>
    <w:rsid w:val="001B0AA2"/>
    <w:rsid w:val="001B0E5B"/>
    <w:rsid w:val="001B1D78"/>
    <w:rsid w:val="001B338D"/>
    <w:rsid w:val="001B5FB1"/>
    <w:rsid w:val="001B64F9"/>
    <w:rsid w:val="001B7874"/>
    <w:rsid w:val="001B78E9"/>
    <w:rsid w:val="001B7991"/>
    <w:rsid w:val="001C6836"/>
    <w:rsid w:val="001C6BFE"/>
    <w:rsid w:val="001C7188"/>
    <w:rsid w:val="001C760E"/>
    <w:rsid w:val="001D2ACD"/>
    <w:rsid w:val="001D4319"/>
    <w:rsid w:val="001D55F1"/>
    <w:rsid w:val="001D601F"/>
    <w:rsid w:val="001D6AEC"/>
    <w:rsid w:val="001D6EDF"/>
    <w:rsid w:val="001D71AD"/>
    <w:rsid w:val="001D7501"/>
    <w:rsid w:val="001E00AF"/>
    <w:rsid w:val="001E0696"/>
    <w:rsid w:val="001E06F7"/>
    <w:rsid w:val="001E0EAA"/>
    <w:rsid w:val="001E188A"/>
    <w:rsid w:val="001E2417"/>
    <w:rsid w:val="001E3587"/>
    <w:rsid w:val="001E3B72"/>
    <w:rsid w:val="001E441C"/>
    <w:rsid w:val="001E4D6E"/>
    <w:rsid w:val="001E4DA5"/>
    <w:rsid w:val="001E5067"/>
    <w:rsid w:val="001E6926"/>
    <w:rsid w:val="001F0469"/>
    <w:rsid w:val="001F06FC"/>
    <w:rsid w:val="001F0A9C"/>
    <w:rsid w:val="001F2AE9"/>
    <w:rsid w:val="001F5439"/>
    <w:rsid w:val="001F57AF"/>
    <w:rsid w:val="001F6F48"/>
    <w:rsid w:val="001F7141"/>
    <w:rsid w:val="001F71F6"/>
    <w:rsid w:val="0020262F"/>
    <w:rsid w:val="002026D5"/>
    <w:rsid w:val="0020294E"/>
    <w:rsid w:val="00202F03"/>
    <w:rsid w:val="0020320B"/>
    <w:rsid w:val="00204739"/>
    <w:rsid w:val="002049BB"/>
    <w:rsid w:val="00205A1E"/>
    <w:rsid w:val="00207306"/>
    <w:rsid w:val="002075BA"/>
    <w:rsid w:val="002107EE"/>
    <w:rsid w:val="00211209"/>
    <w:rsid w:val="0021340C"/>
    <w:rsid w:val="00214F00"/>
    <w:rsid w:val="00216878"/>
    <w:rsid w:val="00216F0A"/>
    <w:rsid w:val="0021765D"/>
    <w:rsid w:val="0022096F"/>
    <w:rsid w:val="00220978"/>
    <w:rsid w:val="00220B36"/>
    <w:rsid w:val="00220EAB"/>
    <w:rsid w:val="00222CD6"/>
    <w:rsid w:val="00223927"/>
    <w:rsid w:val="002239F7"/>
    <w:rsid w:val="00223BCA"/>
    <w:rsid w:val="00224FCE"/>
    <w:rsid w:val="00225499"/>
    <w:rsid w:val="00226A72"/>
    <w:rsid w:val="002279A3"/>
    <w:rsid w:val="00233566"/>
    <w:rsid w:val="002358F3"/>
    <w:rsid w:val="0023609E"/>
    <w:rsid w:val="00236703"/>
    <w:rsid w:val="00236A66"/>
    <w:rsid w:val="0023727F"/>
    <w:rsid w:val="002406DC"/>
    <w:rsid w:val="00244F39"/>
    <w:rsid w:val="00245617"/>
    <w:rsid w:val="00245BEA"/>
    <w:rsid w:val="002464D4"/>
    <w:rsid w:val="00246B9D"/>
    <w:rsid w:val="0024715E"/>
    <w:rsid w:val="00247CA3"/>
    <w:rsid w:val="00250C56"/>
    <w:rsid w:val="00250FB3"/>
    <w:rsid w:val="00252434"/>
    <w:rsid w:val="0025253D"/>
    <w:rsid w:val="00252B70"/>
    <w:rsid w:val="00253E24"/>
    <w:rsid w:val="0025431C"/>
    <w:rsid w:val="002551D8"/>
    <w:rsid w:val="00255AF5"/>
    <w:rsid w:val="002570E0"/>
    <w:rsid w:val="00257DFC"/>
    <w:rsid w:val="00260E7D"/>
    <w:rsid w:val="0026169F"/>
    <w:rsid w:val="00261ADF"/>
    <w:rsid w:val="00263731"/>
    <w:rsid w:val="00264D13"/>
    <w:rsid w:val="0026574A"/>
    <w:rsid w:val="00266865"/>
    <w:rsid w:val="002673A3"/>
    <w:rsid w:val="0027306A"/>
    <w:rsid w:val="00273111"/>
    <w:rsid w:val="0027315D"/>
    <w:rsid w:val="00274294"/>
    <w:rsid w:val="00275B1A"/>
    <w:rsid w:val="00275BB7"/>
    <w:rsid w:val="002773E0"/>
    <w:rsid w:val="0028166C"/>
    <w:rsid w:val="0028176A"/>
    <w:rsid w:val="00281BE0"/>
    <w:rsid w:val="00282486"/>
    <w:rsid w:val="00282E18"/>
    <w:rsid w:val="002833DA"/>
    <w:rsid w:val="0028439A"/>
    <w:rsid w:val="00284A67"/>
    <w:rsid w:val="00285E25"/>
    <w:rsid w:val="0028614E"/>
    <w:rsid w:val="00287B58"/>
    <w:rsid w:val="002900E4"/>
    <w:rsid w:val="00293A0A"/>
    <w:rsid w:val="002966DE"/>
    <w:rsid w:val="002967AF"/>
    <w:rsid w:val="002971F3"/>
    <w:rsid w:val="00297CC1"/>
    <w:rsid w:val="002A0620"/>
    <w:rsid w:val="002A1D7A"/>
    <w:rsid w:val="002A2190"/>
    <w:rsid w:val="002A244D"/>
    <w:rsid w:val="002A313A"/>
    <w:rsid w:val="002A3F95"/>
    <w:rsid w:val="002A63B4"/>
    <w:rsid w:val="002B1A15"/>
    <w:rsid w:val="002B280C"/>
    <w:rsid w:val="002B3807"/>
    <w:rsid w:val="002B4C33"/>
    <w:rsid w:val="002B4F22"/>
    <w:rsid w:val="002C1B34"/>
    <w:rsid w:val="002C21F5"/>
    <w:rsid w:val="002C29C5"/>
    <w:rsid w:val="002C657E"/>
    <w:rsid w:val="002C7B27"/>
    <w:rsid w:val="002D06D5"/>
    <w:rsid w:val="002D1E7F"/>
    <w:rsid w:val="002D2352"/>
    <w:rsid w:val="002D50B2"/>
    <w:rsid w:val="002E0C58"/>
    <w:rsid w:val="002E2509"/>
    <w:rsid w:val="002E2646"/>
    <w:rsid w:val="002E30CE"/>
    <w:rsid w:val="002E53DC"/>
    <w:rsid w:val="002E54FC"/>
    <w:rsid w:val="002E6C50"/>
    <w:rsid w:val="002E7770"/>
    <w:rsid w:val="002E7AC9"/>
    <w:rsid w:val="002E7B6C"/>
    <w:rsid w:val="002F0B68"/>
    <w:rsid w:val="002F18EC"/>
    <w:rsid w:val="002F2BD0"/>
    <w:rsid w:val="002F3591"/>
    <w:rsid w:val="002F3A51"/>
    <w:rsid w:val="002F7C18"/>
    <w:rsid w:val="003005DE"/>
    <w:rsid w:val="003005E7"/>
    <w:rsid w:val="003023A0"/>
    <w:rsid w:val="00302FE6"/>
    <w:rsid w:val="003035C6"/>
    <w:rsid w:val="00304F98"/>
    <w:rsid w:val="0030514F"/>
    <w:rsid w:val="003053A9"/>
    <w:rsid w:val="003118C7"/>
    <w:rsid w:val="003128F4"/>
    <w:rsid w:val="00312C30"/>
    <w:rsid w:val="00313E36"/>
    <w:rsid w:val="00314B3C"/>
    <w:rsid w:val="00317202"/>
    <w:rsid w:val="00320A1B"/>
    <w:rsid w:val="00321590"/>
    <w:rsid w:val="00321D24"/>
    <w:rsid w:val="0032511F"/>
    <w:rsid w:val="00325764"/>
    <w:rsid w:val="00330300"/>
    <w:rsid w:val="003305B7"/>
    <w:rsid w:val="00330FBA"/>
    <w:rsid w:val="00331D3B"/>
    <w:rsid w:val="00332003"/>
    <w:rsid w:val="00333907"/>
    <w:rsid w:val="0033436E"/>
    <w:rsid w:val="00334940"/>
    <w:rsid w:val="0033535A"/>
    <w:rsid w:val="00336CAB"/>
    <w:rsid w:val="003401A9"/>
    <w:rsid w:val="00341986"/>
    <w:rsid w:val="0034236A"/>
    <w:rsid w:val="00343DE0"/>
    <w:rsid w:val="00344432"/>
    <w:rsid w:val="00344D9F"/>
    <w:rsid w:val="0034511E"/>
    <w:rsid w:val="00345E91"/>
    <w:rsid w:val="00346087"/>
    <w:rsid w:val="00346C77"/>
    <w:rsid w:val="00346FB4"/>
    <w:rsid w:val="00347C76"/>
    <w:rsid w:val="003527E0"/>
    <w:rsid w:val="003540FC"/>
    <w:rsid w:val="0035423A"/>
    <w:rsid w:val="0035654E"/>
    <w:rsid w:val="003573E2"/>
    <w:rsid w:val="00360F80"/>
    <w:rsid w:val="003614C5"/>
    <w:rsid w:val="00362917"/>
    <w:rsid w:val="0036596D"/>
    <w:rsid w:val="00366992"/>
    <w:rsid w:val="00366A7F"/>
    <w:rsid w:val="0036763B"/>
    <w:rsid w:val="003677BD"/>
    <w:rsid w:val="00371CE2"/>
    <w:rsid w:val="003726D4"/>
    <w:rsid w:val="003745C9"/>
    <w:rsid w:val="0037522A"/>
    <w:rsid w:val="00375552"/>
    <w:rsid w:val="00376C9F"/>
    <w:rsid w:val="00381485"/>
    <w:rsid w:val="00382613"/>
    <w:rsid w:val="00386049"/>
    <w:rsid w:val="0038672D"/>
    <w:rsid w:val="00391183"/>
    <w:rsid w:val="003926CE"/>
    <w:rsid w:val="00394249"/>
    <w:rsid w:val="00394DA7"/>
    <w:rsid w:val="00397FEE"/>
    <w:rsid w:val="003A00C1"/>
    <w:rsid w:val="003A02C4"/>
    <w:rsid w:val="003A18C7"/>
    <w:rsid w:val="003A1982"/>
    <w:rsid w:val="003A4A4B"/>
    <w:rsid w:val="003A4B38"/>
    <w:rsid w:val="003A6E4F"/>
    <w:rsid w:val="003A76D6"/>
    <w:rsid w:val="003A7768"/>
    <w:rsid w:val="003A7AF2"/>
    <w:rsid w:val="003A7D82"/>
    <w:rsid w:val="003B1104"/>
    <w:rsid w:val="003B1151"/>
    <w:rsid w:val="003B12CE"/>
    <w:rsid w:val="003B145A"/>
    <w:rsid w:val="003B146A"/>
    <w:rsid w:val="003B2474"/>
    <w:rsid w:val="003B26B8"/>
    <w:rsid w:val="003B3BB0"/>
    <w:rsid w:val="003B3C15"/>
    <w:rsid w:val="003B3E2A"/>
    <w:rsid w:val="003B3E56"/>
    <w:rsid w:val="003B50AD"/>
    <w:rsid w:val="003B61AF"/>
    <w:rsid w:val="003B6B7F"/>
    <w:rsid w:val="003B6B9B"/>
    <w:rsid w:val="003B6CF6"/>
    <w:rsid w:val="003B6E26"/>
    <w:rsid w:val="003C122C"/>
    <w:rsid w:val="003C78B0"/>
    <w:rsid w:val="003C7D7B"/>
    <w:rsid w:val="003D091F"/>
    <w:rsid w:val="003D2EC8"/>
    <w:rsid w:val="003D3CA5"/>
    <w:rsid w:val="003D3D89"/>
    <w:rsid w:val="003D5DF0"/>
    <w:rsid w:val="003D644B"/>
    <w:rsid w:val="003D6B97"/>
    <w:rsid w:val="003D70A8"/>
    <w:rsid w:val="003E0DBB"/>
    <w:rsid w:val="003E0EC6"/>
    <w:rsid w:val="003E1788"/>
    <w:rsid w:val="003E33F8"/>
    <w:rsid w:val="003E44B6"/>
    <w:rsid w:val="003E52B5"/>
    <w:rsid w:val="003E75FD"/>
    <w:rsid w:val="003F2656"/>
    <w:rsid w:val="003F2DE4"/>
    <w:rsid w:val="003F43C8"/>
    <w:rsid w:val="003F4B59"/>
    <w:rsid w:val="003F57BF"/>
    <w:rsid w:val="003F5B17"/>
    <w:rsid w:val="003F6853"/>
    <w:rsid w:val="003F691A"/>
    <w:rsid w:val="00400472"/>
    <w:rsid w:val="004025F8"/>
    <w:rsid w:val="00402676"/>
    <w:rsid w:val="00403C01"/>
    <w:rsid w:val="00405283"/>
    <w:rsid w:val="00405ABF"/>
    <w:rsid w:val="00410D46"/>
    <w:rsid w:val="00412CAF"/>
    <w:rsid w:val="00414053"/>
    <w:rsid w:val="004149FB"/>
    <w:rsid w:val="00415108"/>
    <w:rsid w:val="00416EBD"/>
    <w:rsid w:val="00417271"/>
    <w:rsid w:val="00420BE6"/>
    <w:rsid w:val="00420FB2"/>
    <w:rsid w:val="00421D14"/>
    <w:rsid w:val="004244AB"/>
    <w:rsid w:val="00425989"/>
    <w:rsid w:val="00426D61"/>
    <w:rsid w:val="00427B55"/>
    <w:rsid w:val="00431A6A"/>
    <w:rsid w:val="00431BEA"/>
    <w:rsid w:val="00431E00"/>
    <w:rsid w:val="004333FA"/>
    <w:rsid w:val="004335E8"/>
    <w:rsid w:val="004366C1"/>
    <w:rsid w:val="004377F5"/>
    <w:rsid w:val="00441AC7"/>
    <w:rsid w:val="004424AD"/>
    <w:rsid w:val="00442580"/>
    <w:rsid w:val="00442FFB"/>
    <w:rsid w:val="00444377"/>
    <w:rsid w:val="00451838"/>
    <w:rsid w:val="004530A1"/>
    <w:rsid w:val="004565C4"/>
    <w:rsid w:val="004569A8"/>
    <w:rsid w:val="00457201"/>
    <w:rsid w:val="00460EE3"/>
    <w:rsid w:val="004633B8"/>
    <w:rsid w:val="0046357A"/>
    <w:rsid w:val="00463BEE"/>
    <w:rsid w:val="0046449E"/>
    <w:rsid w:val="0046483D"/>
    <w:rsid w:val="00465B93"/>
    <w:rsid w:val="00466E35"/>
    <w:rsid w:val="004673BB"/>
    <w:rsid w:val="004673FC"/>
    <w:rsid w:val="00470A70"/>
    <w:rsid w:val="00471CD8"/>
    <w:rsid w:val="0047366E"/>
    <w:rsid w:val="00473CD7"/>
    <w:rsid w:val="00473D87"/>
    <w:rsid w:val="0047404C"/>
    <w:rsid w:val="00476A50"/>
    <w:rsid w:val="00477FA4"/>
    <w:rsid w:val="004802D1"/>
    <w:rsid w:val="00483F17"/>
    <w:rsid w:val="00490B28"/>
    <w:rsid w:val="00491F43"/>
    <w:rsid w:val="004928FD"/>
    <w:rsid w:val="004933C4"/>
    <w:rsid w:val="0049496D"/>
    <w:rsid w:val="00494C12"/>
    <w:rsid w:val="00495B2F"/>
    <w:rsid w:val="00497997"/>
    <w:rsid w:val="004979D7"/>
    <w:rsid w:val="00497EB4"/>
    <w:rsid w:val="004A0A78"/>
    <w:rsid w:val="004A1BC2"/>
    <w:rsid w:val="004A4181"/>
    <w:rsid w:val="004A5728"/>
    <w:rsid w:val="004A5D6D"/>
    <w:rsid w:val="004A64FB"/>
    <w:rsid w:val="004A78BA"/>
    <w:rsid w:val="004B0856"/>
    <w:rsid w:val="004B0CD2"/>
    <w:rsid w:val="004B1E6D"/>
    <w:rsid w:val="004B2927"/>
    <w:rsid w:val="004B3167"/>
    <w:rsid w:val="004B38D0"/>
    <w:rsid w:val="004B4E35"/>
    <w:rsid w:val="004B530C"/>
    <w:rsid w:val="004B58DF"/>
    <w:rsid w:val="004B5902"/>
    <w:rsid w:val="004B61AB"/>
    <w:rsid w:val="004B6209"/>
    <w:rsid w:val="004C1184"/>
    <w:rsid w:val="004C2FA2"/>
    <w:rsid w:val="004C397E"/>
    <w:rsid w:val="004C3F54"/>
    <w:rsid w:val="004C553A"/>
    <w:rsid w:val="004C5F22"/>
    <w:rsid w:val="004C644A"/>
    <w:rsid w:val="004C65B3"/>
    <w:rsid w:val="004C7871"/>
    <w:rsid w:val="004D0B2A"/>
    <w:rsid w:val="004D0C49"/>
    <w:rsid w:val="004D1A10"/>
    <w:rsid w:val="004D29B3"/>
    <w:rsid w:val="004D2DF2"/>
    <w:rsid w:val="004D3AED"/>
    <w:rsid w:val="004D3FA7"/>
    <w:rsid w:val="004D5007"/>
    <w:rsid w:val="004D7E06"/>
    <w:rsid w:val="004D7EA5"/>
    <w:rsid w:val="004E0014"/>
    <w:rsid w:val="004E00AC"/>
    <w:rsid w:val="004E14F5"/>
    <w:rsid w:val="004E1E85"/>
    <w:rsid w:val="004E1FC6"/>
    <w:rsid w:val="004E29A2"/>
    <w:rsid w:val="004E3085"/>
    <w:rsid w:val="004E356E"/>
    <w:rsid w:val="004E5963"/>
    <w:rsid w:val="004F1E34"/>
    <w:rsid w:val="004F29F8"/>
    <w:rsid w:val="004F3077"/>
    <w:rsid w:val="004F4FAA"/>
    <w:rsid w:val="004F5247"/>
    <w:rsid w:val="004F7483"/>
    <w:rsid w:val="005011C3"/>
    <w:rsid w:val="005012B6"/>
    <w:rsid w:val="00501D29"/>
    <w:rsid w:val="005020D8"/>
    <w:rsid w:val="00502D97"/>
    <w:rsid w:val="00502F01"/>
    <w:rsid w:val="0050344B"/>
    <w:rsid w:val="00503F01"/>
    <w:rsid w:val="005073CB"/>
    <w:rsid w:val="00510635"/>
    <w:rsid w:val="00512099"/>
    <w:rsid w:val="00514712"/>
    <w:rsid w:val="005150AF"/>
    <w:rsid w:val="00515E28"/>
    <w:rsid w:val="00516F1D"/>
    <w:rsid w:val="00520428"/>
    <w:rsid w:val="00520D1E"/>
    <w:rsid w:val="00520DF8"/>
    <w:rsid w:val="00521D46"/>
    <w:rsid w:val="00522FEC"/>
    <w:rsid w:val="0052470C"/>
    <w:rsid w:val="005278E4"/>
    <w:rsid w:val="005300DF"/>
    <w:rsid w:val="00530B77"/>
    <w:rsid w:val="005314DB"/>
    <w:rsid w:val="00531F3B"/>
    <w:rsid w:val="00534571"/>
    <w:rsid w:val="00536813"/>
    <w:rsid w:val="00536E84"/>
    <w:rsid w:val="0053798B"/>
    <w:rsid w:val="0054033A"/>
    <w:rsid w:val="00540B84"/>
    <w:rsid w:val="00541357"/>
    <w:rsid w:val="00542187"/>
    <w:rsid w:val="005421BB"/>
    <w:rsid w:val="00542D0F"/>
    <w:rsid w:val="00546268"/>
    <w:rsid w:val="00547C4C"/>
    <w:rsid w:val="00547D5B"/>
    <w:rsid w:val="005507EF"/>
    <w:rsid w:val="00551529"/>
    <w:rsid w:val="00552BE1"/>
    <w:rsid w:val="00553CD7"/>
    <w:rsid w:val="00553D58"/>
    <w:rsid w:val="00554FCE"/>
    <w:rsid w:val="00556665"/>
    <w:rsid w:val="00556937"/>
    <w:rsid w:val="00561E93"/>
    <w:rsid w:val="00562A80"/>
    <w:rsid w:val="00562E91"/>
    <w:rsid w:val="00564366"/>
    <w:rsid w:val="00565752"/>
    <w:rsid w:val="00566079"/>
    <w:rsid w:val="005663CC"/>
    <w:rsid w:val="00566ADA"/>
    <w:rsid w:val="00567EF6"/>
    <w:rsid w:val="00567F96"/>
    <w:rsid w:val="00572FCB"/>
    <w:rsid w:val="00573A60"/>
    <w:rsid w:val="00573DC5"/>
    <w:rsid w:val="005750B2"/>
    <w:rsid w:val="00575738"/>
    <w:rsid w:val="0057711D"/>
    <w:rsid w:val="00582B0F"/>
    <w:rsid w:val="00582DF5"/>
    <w:rsid w:val="00585BA7"/>
    <w:rsid w:val="005862E6"/>
    <w:rsid w:val="00586507"/>
    <w:rsid w:val="00586631"/>
    <w:rsid w:val="005910C3"/>
    <w:rsid w:val="0059119B"/>
    <w:rsid w:val="00595011"/>
    <w:rsid w:val="00596070"/>
    <w:rsid w:val="00596D36"/>
    <w:rsid w:val="005A098A"/>
    <w:rsid w:val="005A150C"/>
    <w:rsid w:val="005A2738"/>
    <w:rsid w:val="005A5462"/>
    <w:rsid w:val="005A6AFC"/>
    <w:rsid w:val="005A7044"/>
    <w:rsid w:val="005B0003"/>
    <w:rsid w:val="005B128E"/>
    <w:rsid w:val="005B16BD"/>
    <w:rsid w:val="005B39BA"/>
    <w:rsid w:val="005B4128"/>
    <w:rsid w:val="005B732B"/>
    <w:rsid w:val="005B7423"/>
    <w:rsid w:val="005B7DD5"/>
    <w:rsid w:val="005C04D8"/>
    <w:rsid w:val="005C164B"/>
    <w:rsid w:val="005C1ECF"/>
    <w:rsid w:val="005C26B5"/>
    <w:rsid w:val="005C4E98"/>
    <w:rsid w:val="005C5A33"/>
    <w:rsid w:val="005C6E2C"/>
    <w:rsid w:val="005C7000"/>
    <w:rsid w:val="005C7AF1"/>
    <w:rsid w:val="005D0C6F"/>
    <w:rsid w:val="005D0D20"/>
    <w:rsid w:val="005D1192"/>
    <w:rsid w:val="005D1797"/>
    <w:rsid w:val="005D2725"/>
    <w:rsid w:val="005D2B1A"/>
    <w:rsid w:val="005D35C3"/>
    <w:rsid w:val="005D39E0"/>
    <w:rsid w:val="005D3B67"/>
    <w:rsid w:val="005D4F4A"/>
    <w:rsid w:val="005D7A01"/>
    <w:rsid w:val="005E010B"/>
    <w:rsid w:val="005E18D8"/>
    <w:rsid w:val="005E332A"/>
    <w:rsid w:val="005E38B3"/>
    <w:rsid w:val="005E5765"/>
    <w:rsid w:val="005E65F2"/>
    <w:rsid w:val="005E6794"/>
    <w:rsid w:val="005E6A9C"/>
    <w:rsid w:val="005E6CA3"/>
    <w:rsid w:val="005E7DCB"/>
    <w:rsid w:val="005F1C97"/>
    <w:rsid w:val="005F1DA9"/>
    <w:rsid w:val="005F1E5E"/>
    <w:rsid w:val="005F2AD2"/>
    <w:rsid w:val="005F4385"/>
    <w:rsid w:val="005F49EE"/>
    <w:rsid w:val="005F4B2B"/>
    <w:rsid w:val="005F563D"/>
    <w:rsid w:val="005F5EAB"/>
    <w:rsid w:val="005F68DB"/>
    <w:rsid w:val="006004C7"/>
    <w:rsid w:val="00600C86"/>
    <w:rsid w:val="00600FD2"/>
    <w:rsid w:val="00602593"/>
    <w:rsid w:val="006029F5"/>
    <w:rsid w:val="00602CF7"/>
    <w:rsid w:val="00604007"/>
    <w:rsid w:val="00605845"/>
    <w:rsid w:val="00606E44"/>
    <w:rsid w:val="0061077B"/>
    <w:rsid w:val="006112D2"/>
    <w:rsid w:val="00611460"/>
    <w:rsid w:val="006118DD"/>
    <w:rsid w:val="00612EAA"/>
    <w:rsid w:val="00614769"/>
    <w:rsid w:val="00614939"/>
    <w:rsid w:val="006149B1"/>
    <w:rsid w:val="006151C0"/>
    <w:rsid w:val="00615AF5"/>
    <w:rsid w:val="00617910"/>
    <w:rsid w:val="00617919"/>
    <w:rsid w:val="00620B54"/>
    <w:rsid w:val="00621011"/>
    <w:rsid w:val="00621C01"/>
    <w:rsid w:val="00621FE7"/>
    <w:rsid w:val="00622C2E"/>
    <w:rsid w:val="00624548"/>
    <w:rsid w:val="00625C4A"/>
    <w:rsid w:val="0062610B"/>
    <w:rsid w:val="00626D67"/>
    <w:rsid w:val="0062711C"/>
    <w:rsid w:val="0063072E"/>
    <w:rsid w:val="00630DEB"/>
    <w:rsid w:val="00630EC0"/>
    <w:rsid w:val="00630EF2"/>
    <w:rsid w:val="006320C9"/>
    <w:rsid w:val="0063262F"/>
    <w:rsid w:val="00632782"/>
    <w:rsid w:val="00632F41"/>
    <w:rsid w:val="00636225"/>
    <w:rsid w:val="00637724"/>
    <w:rsid w:val="00640983"/>
    <w:rsid w:val="006422E7"/>
    <w:rsid w:val="00642C41"/>
    <w:rsid w:val="00643119"/>
    <w:rsid w:val="00643878"/>
    <w:rsid w:val="00644BF3"/>
    <w:rsid w:val="006453AD"/>
    <w:rsid w:val="00645521"/>
    <w:rsid w:val="00645E3D"/>
    <w:rsid w:val="00650252"/>
    <w:rsid w:val="00650BA4"/>
    <w:rsid w:val="00652D01"/>
    <w:rsid w:val="00653273"/>
    <w:rsid w:val="0065343F"/>
    <w:rsid w:val="0065406F"/>
    <w:rsid w:val="006559E5"/>
    <w:rsid w:val="00656164"/>
    <w:rsid w:val="00656510"/>
    <w:rsid w:val="00660324"/>
    <w:rsid w:val="0066078E"/>
    <w:rsid w:val="0066284C"/>
    <w:rsid w:val="00662E5E"/>
    <w:rsid w:val="00663F71"/>
    <w:rsid w:val="006650C5"/>
    <w:rsid w:val="00666222"/>
    <w:rsid w:val="006670A3"/>
    <w:rsid w:val="0066771F"/>
    <w:rsid w:val="00667BDA"/>
    <w:rsid w:val="00667F9C"/>
    <w:rsid w:val="00670AFA"/>
    <w:rsid w:val="00670EAF"/>
    <w:rsid w:val="0067220A"/>
    <w:rsid w:val="006745A5"/>
    <w:rsid w:val="00675DEC"/>
    <w:rsid w:val="0067628D"/>
    <w:rsid w:val="00677645"/>
    <w:rsid w:val="0068119A"/>
    <w:rsid w:val="0068179B"/>
    <w:rsid w:val="00682894"/>
    <w:rsid w:val="0068489C"/>
    <w:rsid w:val="00684F65"/>
    <w:rsid w:val="0068547C"/>
    <w:rsid w:val="0068584E"/>
    <w:rsid w:val="00685BF3"/>
    <w:rsid w:val="00685C8F"/>
    <w:rsid w:val="00687AA5"/>
    <w:rsid w:val="00691051"/>
    <w:rsid w:val="00694157"/>
    <w:rsid w:val="00695D54"/>
    <w:rsid w:val="006967F5"/>
    <w:rsid w:val="006A102A"/>
    <w:rsid w:val="006A1C2E"/>
    <w:rsid w:val="006A31DE"/>
    <w:rsid w:val="006A36E0"/>
    <w:rsid w:val="006A53B5"/>
    <w:rsid w:val="006A5F43"/>
    <w:rsid w:val="006A66E5"/>
    <w:rsid w:val="006A7264"/>
    <w:rsid w:val="006B24D5"/>
    <w:rsid w:val="006B27E1"/>
    <w:rsid w:val="006B35E4"/>
    <w:rsid w:val="006B44FC"/>
    <w:rsid w:val="006B7F3E"/>
    <w:rsid w:val="006C053C"/>
    <w:rsid w:val="006C3E61"/>
    <w:rsid w:val="006C436B"/>
    <w:rsid w:val="006C5184"/>
    <w:rsid w:val="006C7754"/>
    <w:rsid w:val="006C796C"/>
    <w:rsid w:val="006C7B6D"/>
    <w:rsid w:val="006D03E9"/>
    <w:rsid w:val="006D06CF"/>
    <w:rsid w:val="006D0A61"/>
    <w:rsid w:val="006D108E"/>
    <w:rsid w:val="006D1E03"/>
    <w:rsid w:val="006D2E77"/>
    <w:rsid w:val="006D393C"/>
    <w:rsid w:val="006D443D"/>
    <w:rsid w:val="006E016A"/>
    <w:rsid w:val="006E172B"/>
    <w:rsid w:val="006E17E2"/>
    <w:rsid w:val="006E1CF3"/>
    <w:rsid w:val="006E25E3"/>
    <w:rsid w:val="006E2A05"/>
    <w:rsid w:val="006E2FDA"/>
    <w:rsid w:val="006E47C2"/>
    <w:rsid w:val="006F0407"/>
    <w:rsid w:val="006F28B5"/>
    <w:rsid w:val="006F3501"/>
    <w:rsid w:val="006F3A0D"/>
    <w:rsid w:val="006F48F6"/>
    <w:rsid w:val="006F6681"/>
    <w:rsid w:val="006F781C"/>
    <w:rsid w:val="007007D8"/>
    <w:rsid w:val="00701050"/>
    <w:rsid w:val="0070254F"/>
    <w:rsid w:val="00702DBC"/>
    <w:rsid w:val="00703157"/>
    <w:rsid w:val="00703780"/>
    <w:rsid w:val="00703863"/>
    <w:rsid w:val="00704AA1"/>
    <w:rsid w:val="00704C2C"/>
    <w:rsid w:val="007056DB"/>
    <w:rsid w:val="0070657A"/>
    <w:rsid w:val="007069EC"/>
    <w:rsid w:val="007112DE"/>
    <w:rsid w:val="007132CD"/>
    <w:rsid w:val="00713F73"/>
    <w:rsid w:val="00714DE3"/>
    <w:rsid w:val="007151CC"/>
    <w:rsid w:val="00717F72"/>
    <w:rsid w:val="007214E2"/>
    <w:rsid w:val="007219E2"/>
    <w:rsid w:val="00722286"/>
    <w:rsid w:val="00723048"/>
    <w:rsid w:val="007232DB"/>
    <w:rsid w:val="00725F55"/>
    <w:rsid w:val="00726F25"/>
    <w:rsid w:val="0072721F"/>
    <w:rsid w:val="007339A6"/>
    <w:rsid w:val="00733F0C"/>
    <w:rsid w:val="00735636"/>
    <w:rsid w:val="0073644E"/>
    <w:rsid w:val="00737300"/>
    <w:rsid w:val="00737BFB"/>
    <w:rsid w:val="00740F0C"/>
    <w:rsid w:val="00741AF8"/>
    <w:rsid w:val="00741D7B"/>
    <w:rsid w:val="00742B08"/>
    <w:rsid w:val="00744D5D"/>
    <w:rsid w:val="0074526C"/>
    <w:rsid w:val="00746CA5"/>
    <w:rsid w:val="00746E41"/>
    <w:rsid w:val="0074712B"/>
    <w:rsid w:val="00747A06"/>
    <w:rsid w:val="00750DC7"/>
    <w:rsid w:val="00751CE7"/>
    <w:rsid w:val="00751FBE"/>
    <w:rsid w:val="00752D0B"/>
    <w:rsid w:val="0075379E"/>
    <w:rsid w:val="00754465"/>
    <w:rsid w:val="007556DB"/>
    <w:rsid w:val="00755AD9"/>
    <w:rsid w:val="00757A67"/>
    <w:rsid w:val="00757E73"/>
    <w:rsid w:val="007615D9"/>
    <w:rsid w:val="00763AEA"/>
    <w:rsid w:val="00764960"/>
    <w:rsid w:val="007654D6"/>
    <w:rsid w:val="0076591F"/>
    <w:rsid w:val="007660BD"/>
    <w:rsid w:val="00766375"/>
    <w:rsid w:val="00766A0C"/>
    <w:rsid w:val="00770396"/>
    <w:rsid w:val="007726FD"/>
    <w:rsid w:val="00772E39"/>
    <w:rsid w:val="00774218"/>
    <w:rsid w:val="00774ABA"/>
    <w:rsid w:val="00775429"/>
    <w:rsid w:val="0077624C"/>
    <w:rsid w:val="007821DC"/>
    <w:rsid w:val="00782735"/>
    <w:rsid w:val="00785884"/>
    <w:rsid w:val="00790782"/>
    <w:rsid w:val="00792496"/>
    <w:rsid w:val="0079290C"/>
    <w:rsid w:val="007929CF"/>
    <w:rsid w:val="00792DB9"/>
    <w:rsid w:val="00795065"/>
    <w:rsid w:val="00796EAE"/>
    <w:rsid w:val="00797453"/>
    <w:rsid w:val="007974CC"/>
    <w:rsid w:val="007A084A"/>
    <w:rsid w:val="007A14B5"/>
    <w:rsid w:val="007A1DCC"/>
    <w:rsid w:val="007A2788"/>
    <w:rsid w:val="007A29F0"/>
    <w:rsid w:val="007A2DCC"/>
    <w:rsid w:val="007A4203"/>
    <w:rsid w:val="007A426E"/>
    <w:rsid w:val="007A4740"/>
    <w:rsid w:val="007A6F3C"/>
    <w:rsid w:val="007A7937"/>
    <w:rsid w:val="007A7D88"/>
    <w:rsid w:val="007B073F"/>
    <w:rsid w:val="007B11DB"/>
    <w:rsid w:val="007B1273"/>
    <w:rsid w:val="007B15FE"/>
    <w:rsid w:val="007B227F"/>
    <w:rsid w:val="007B2806"/>
    <w:rsid w:val="007C05C8"/>
    <w:rsid w:val="007C1160"/>
    <w:rsid w:val="007C2100"/>
    <w:rsid w:val="007C2B95"/>
    <w:rsid w:val="007C3D8A"/>
    <w:rsid w:val="007C3D9F"/>
    <w:rsid w:val="007C498E"/>
    <w:rsid w:val="007C5D59"/>
    <w:rsid w:val="007C61F1"/>
    <w:rsid w:val="007C67A4"/>
    <w:rsid w:val="007C765D"/>
    <w:rsid w:val="007C7B88"/>
    <w:rsid w:val="007D0807"/>
    <w:rsid w:val="007D0EF7"/>
    <w:rsid w:val="007D113A"/>
    <w:rsid w:val="007D11A7"/>
    <w:rsid w:val="007D29EA"/>
    <w:rsid w:val="007D2B62"/>
    <w:rsid w:val="007D3ADF"/>
    <w:rsid w:val="007D3E6E"/>
    <w:rsid w:val="007D4C3F"/>
    <w:rsid w:val="007D5860"/>
    <w:rsid w:val="007D5B55"/>
    <w:rsid w:val="007D5B84"/>
    <w:rsid w:val="007D5B8F"/>
    <w:rsid w:val="007D7D5E"/>
    <w:rsid w:val="007E26CC"/>
    <w:rsid w:val="007E3490"/>
    <w:rsid w:val="007E3C23"/>
    <w:rsid w:val="007E539A"/>
    <w:rsid w:val="007E67F8"/>
    <w:rsid w:val="007E6FBE"/>
    <w:rsid w:val="007E7474"/>
    <w:rsid w:val="007F0401"/>
    <w:rsid w:val="007F1D88"/>
    <w:rsid w:val="007F21AD"/>
    <w:rsid w:val="007F37C3"/>
    <w:rsid w:val="007F4529"/>
    <w:rsid w:val="007F462B"/>
    <w:rsid w:val="007F53C2"/>
    <w:rsid w:val="007F548F"/>
    <w:rsid w:val="007F7715"/>
    <w:rsid w:val="0080075B"/>
    <w:rsid w:val="00801038"/>
    <w:rsid w:val="008012B2"/>
    <w:rsid w:val="008017B5"/>
    <w:rsid w:val="008021D7"/>
    <w:rsid w:val="00802951"/>
    <w:rsid w:val="008046B1"/>
    <w:rsid w:val="008076AC"/>
    <w:rsid w:val="008112FE"/>
    <w:rsid w:val="00813C4D"/>
    <w:rsid w:val="00814991"/>
    <w:rsid w:val="00816554"/>
    <w:rsid w:val="008174AE"/>
    <w:rsid w:val="00820772"/>
    <w:rsid w:val="008212FD"/>
    <w:rsid w:val="00823C84"/>
    <w:rsid w:val="008265B6"/>
    <w:rsid w:val="00826D98"/>
    <w:rsid w:val="00827E37"/>
    <w:rsid w:val="00830758"/>
    <w:rsid w:val="0083093E"/>
    <w:rsid w:val="008309BB"/>
    <w:rsid w:val="00830A36"/>
    <w:rsid w:val="0083296F"/>
    <w:rsid w:val="00833C12"/>
    <w:rsid w:val="008350B3"/>
    <w:rsid w:val="00837564"/>
    <w:rsid w:val="008401D3"/>
    <w:rsid w:val="008418C1"/>
    <w:rsid w:val="00843351"/>
    <w:rsid w:val="0084375B"/>
    <w:rsid w:val="008441A9"/>
    <w:rsid w:val="00846121"/>
    <w:rsid w:val="00846CB9"/>
    <w:rsid w:val="00846CE7"/>
    <w:rsid w:val="00846E6B"/>
    <w:rsid w:val="008476A2"/>
    <w:rsid w:val="00850041"/>
    <w:rsid w:val="0085106F"/>
    <w:rsid w:val="00852C1F"/>
    <w:rsid w:val="00853075"/>
    <w:rsid w:val="00853782"/>
    <w:rsid w:val="00853933"/>
    <w:rsid w:val="008555E7"/>
    <w:rsid w:val="00855935"/>
    <w:rsid w:val="0085648D"/>
    <w:rsid w:val="008566F7"/>
    <w:rsid w:val="0085670F"/>
    <w:rsid w:val="0085691B"/>
    <w:rsid w:val="00856B27"/>
    <w:rsid w:val="00856F8F"/>
    <w:rsid w:val="00862276"/>
    <w:rsid w:val="00863F59"/>
    <w:rsid w:val="00865903"/>
    <w:rsid w:val="008673D6"/>
    <w:rsid w:val="00867C05"/>
    <w:rsid w:val="00870D03"/>
    <w:rsid w:val="0087186D"/>
    <w:rsid w:val="00871D6A"/>
    <w:rsid w:val="008722AB"/>
    <w:rsid w:val="008723B8"/>
    <w:rsid w:val="00872EF1"/>
    <w:rsid w:val="00873868"/>
    <w:rsid w:val="00873FEE"/>
    <w:rsid w:val="0087449F"/>
    <w:rsid w:val="0087464F"/>
    <w:rsid w:val="008751A6"/>
    <w:rsid w:val="00875E50"/>
    <w:rsid w:val="00875EBC"/>
    <w:rsid w:val="00880B1F"/>
    <w:rsid w:val="00880B50"/>
    <w:rsid w:val="008822E4"/>
    <w:rsid w:val="00882C11"/>
    <w:rsid w:val="00884279"/>
    <w:rsid w:val="00884435"/>
    <w:rsid w:val="00885F33"/>
    <w:rsid w:val="00886342"/>
    <w:rsid w:val="00890699"/>
    <w:rsid w:val="00891AD2"/>
    <w:rsid w:val="00892EBA"/>
    <w:rsid w:val="00894A27"/>
    <w:rsid w:val="00895827"/>
    <w:rsid w:val="0089645B"/>
    <w:rsid w:val="00896F3A"/>
    <w:rsid w:val="00897C97"/>
    <w:rsid w:val="008A11D1"/>
    <w:rsid w:val="008A1480"/>
    <w:rsid w:val="008A18F5"/>
    <w:rsid w:val="008A2E1D"/>
    <w:rsid w:val="008A37EF"/>
    <w:rsid w:val="008A411B"/>
    <w:rsid w:val="008A4B54"/>
    <w:rsid w:val="008A4BC0"/>
    <w:rsid w:val="008A4E81"/>
    <w:rsid w:val="008A4ECB"/>
    <w:rsid w:val="008A675A"/>
    <w:rsid w:val="008A71C4"/>
    <w:rsid w:val="008A77C6"/>
    <w:rsid w:val="008B0190"/>
    <w:rsid w:val="008B0734"/>
    <w:rsid w:val="008B219A"/>
    <w:rsid w:val="008B27F2"/>
    <w:rsid w:val="008B3B8F"/>
    <w:rsid w:val="008B5313"/>
    <w:rsid w:val="008B6962"/>
    <w:rsid w:val="008B7988"/>
    <w:rsid w:val="008C1592"/>
    <w:rsid w:val="008C1E76"/>
    <w:rsid w:val="008C2027"/>
    <w:rsid w:val="008C4C36"/>
    <w:rsid w:val="008C6886"/>
    <w:rsid w:val="008D0874"/>
    <w:rsid w:val="008D18D3"/>
    <w:rsid w:val="008D2581"/>
    <w:rsid w:val="008D289C"/>
    <w:rsid w:val="008D4F02"/>
    <w:rsid w:val="008D77C7"/>
    <w:rsid w:val="008D7978"/>
    <w:rsid w:val="008E102B"/>
    <w:rsid w:val="008E274F"/>
    <w:rsid w:val="008E2785"/>
    <w:rsid w:val="008E4725"/>
    <w:rsid w:val="008F1B22"/>
    <w:rsid w:val="008F2284"/>
    <w:rsid w:val="008F24BC"/>
    <w:rsid w:val="008F478B"/>
    <w:rsid w:val="008F55F7"/>
    <w:rsid w:val="00903012"/>
    <w:rsid w:val="00903C4C"/>
    <w:rsid w:val="009048E2"/>
    <w:rsid w:val="0090527C"/>
    <w:rsid w:val="00906D3E"/>
    <w:rsid w:val="00907458"/>
    <w:rsid w:val="0091130E"/>
    <w:rsid w:val="009126AE"/>
    <w:rsid w:val="00914245"/>
    <w:rsid w:val="00915CB8"/>
    <w:rsid w:val="009201FD"/>
    <w:rsid w:val="00920B4B"/>
    <w:rsid w:val="00920DC6"/>
    <w:rsid w:val="009210F5"/>
    <w:rsid w:val="00921517"/>
    <w:rsid w:val="009224B3"/>
    <w:rsid w:val="00923960"/>
    <w:rsid w:val="009248FF"/>
    <w:rsid w:val="0092632A"/>
    <w:rsid w:val="009265A3"/>
    <w:rsid w:val="00926BBB"/>
    <w:rsid w:val="00926C19"/>
    <w:rsid w:val="00930B10"/>
    <w:rsid w:val="00931803"/>
    <w:rsid w:val="00932F36"/>
    <w:rsid w:val="00934947"/>
    <w:rsid w:val="00934E97"/>
    <w:rsid w:val="00936C0C"/>
    <w:rsid w:val="0094028B"/>
    <w:rsid w:val="00940C25"/>
    <w:rsid w:val="00942ADE"/>
    <w:rsid w:val="00943B49"/>
    <w:rsid w:val="00944249"/>
    <w:rsid w:val="00944ECF"/>
    <w:rsid w:val="0094523F"/>
    <w:rsid w:val="009455BD"/>
    <w:rsid w:val="0094599B"/>
    <w:rsid w:val="00946876"/>
    <w:rsid w:val="0094775C"/>
    <w:rsid w:val="009479E3"/>
    <w:rsid w:val="00947D2A"/>
    <w:rsid w:val="00947F58"/>
    <w:rsid w:val="0095030B"/>
    <w:rsid w:val="00950CC3"/>
    <w:rsid w:val="00951C0A"/>
    <w:rsid w:val="00952462"/>
    <w:rsid w:val="009524FB"/>
    <w:rsid w:val="00953AA9"/>
    <w:rsid w:val="0095457E"/>
    <w:rsid w:val="009567FF"/>
    <w:rsid w:val="00956DA7"/>
    <w:rsid w:val="00960A73"/>
    <w:rsid w:val="0096208A"/>
    <w:rsid w:val="00963177"/>
    <w:rsid w:val="00964E03"/>
    <w:rsid w:val="00967058"/>
    <w:rsid w:val="00967DF4"/>
    <w:rsid w:val="00970481"/>
    <w:rsid w:val="00970AD0"/>
    <w:rsid w:val="009724A3"/>
    <w:rsid w:val="00973999"/>
    <w:rsid w:val="009741C2"/>
    <w:rsid w:val="009741DF"/>
    <w:rsid w:val="00975C29"/>
    <w:rsid w:val="009802A3"/>
    <w:rsid w:val="00980F9D"/>
    <w:rsid w:val="00981165"/>
    <w:rsid w:val="00981410"/>
    <w:rsid w:val="0098328D"/>
    <w:rsid w:val="009841E1"/>
    <w:rsid w:val="009845A8"/>
    <w:rsid w:val="009871D4"/>
    <w:rsid w:val="00990C29"/>
    <w:rsid w:val="0099195A"/>
    <w:rsid w:val="00992FA8"/>
    <w:rsid w:val="009965A7"/>
    <w:rsid w:val="00996B3A"/>
    <w:rsid w:val="00997801"/>
    <w:rsid w:val="00997DA0"/>
    <w:rsid w:val="009A01EB"/>
    <w:rsid w:val="009A02E0"/>
    <w:rsid w:val="009A16D6"/>
    <w:rsid w:val="009A1B05"/>
    <w:rsid w:val="009A227E"/>
    <w:rsid w:val="009A27C1"/>
    <w:rsid w:val="009A320B"/>
    <w:rsid w:val="009A4ADC"/>
    <w:rsid w:val="009A595F"/>
    <w:rsid w:val="009A6FC4"/>
    <w:rsid w:val="009A7012"/>
    <w:rsid w:val="009A7120"/>
    <w:rsid w:val="009B248D"/>
    <w:rsid w:val="009B2A34"/>
    <w:rsid w:val="009B307A"/>
    <w:rsid w:val="009B33C5"/>
    <w:rsid w:val="009B4215"/>
    <w:rsid w:val="009B51DA"/>
    <w:rsid w:val="009C0D1F"/>
    <w:rsid w:val="009C3252"/>
    <w:rsid w:val="009C3A20"/>
    <w:rsid w:val="009C3CAD"/>
    <w:rsid w:val="009C41C7"/>
    <w:rsid w:val="009C573C"/>
    <w:rsid w:val="009C7949"/>
    <w:rsid w:val="009C7A59"/>
    <w:rsid w:val="009D15C3"/>
    <w:rsid w:val="009D2217"/>
    <w:rsid w:val="009D253D"/>
    <w:rsid w:val="009D27F8"/>
    <w:rsid w:val="009D3DCA"/>
    <w:rsid w:val="009D3F4A"/>
    <w:rsid w:val="009D559D"/>
    <w:rsid w:val="009D5951"/>
    <w:rsid w:val="009D63C6"/>
    <w:rsid w:val="009D67AD"/>
    <w:rsid w:val="009D6F36"/>
    <w:rsid w:val="009D6FE9"/>
    <w:rsid w:val="009D7687"/>
    <w:rsid w:val="009E05B4"/>
    <w:rsid w:val="009E100E"/>
    <w:rsid w:val="009E21A3"/>
    <w:rsid w:val="009E2473"/>
    <w:rsid w:val="009E5998"/>
    <w:rsid w:val="009E5C50"/>
    <w:rsid w:val="009E656A"/>
    <w:rsid w:val="009E7686"/>
    <w:rsid w:val="009F00AA"/>
    <w:rsid w:val="009F0261"/>
    <w:rsid w:val="009F0A3D"/>
    <w:rsid w:val="009F0AB6"/>
    <w:rsid w:val="009F1786"/>
    <w:rsid w:val="009F2012"/>
    <w:rsid w:val="009F3CF6"/>
    <w:rsid w:val="009F3DD1"/>
    <w:rsid w:val="009F4489"/>
    <w:rsid w:val="009F5E0B"/>
    <w:rsid w:val="009F60ED"/>
    <w:rsid w:val="00A00281"/>
    <w:rsid w:val="00A006EC"/>
    <w:rsid w:val="00A01AC8"/>
    <w:rsid w:val="00A01D7B"/>
    <w:rsid w:val="00A03DA4"/>
    <w:rsid w:val="00A06905"/>
    <w:rsid w:val="00A115B2"/>
    <w:rsid w:val="00A11A59"/>
    <w:rsid w:val="00A12CC3"/>
    <w:rsid w:val="00A175A9"/>
    <w:rsid w:val="00A17FF3"/>
    <w:rsid w:val="00A2093F"/>
    <w:rsid w:val="00A21218"/>
    <w:rsid w:val="00A23152"/>
    <w:rsid w:val="00A24150"/>
    <w:rsid w:val="00A24792"/>
    <w:rsid w:val="00A276E0"/>
    <w:rsid w:val="00A2787F"/>
    <w:rsid w:val="00A30742"/>
    <w:rsid w:val="00A317AC"/>
    <w:rsid w:val="00A32AF3"/>
    <w:rsid w:val="00A32DA8"/>
    <w:rsid w:val="00A3327C"/>
    <w:rsid w:val="00A332A4"/>
    <w:rsid w:val="00A350C8"/>
    <w:rsid w:val="00A36639"/>
    <w:rsid w:val="00A42BFB"/>
    <w:rsid w:val="00A43901"/>
    <w:rsid w:val="00A44C4E"/>
    <w:rsid w:val="00A467D3"/>
    <w:rsid w:val="00A46C18"/>
    <w:rsid w:val="00A47016"/>
    <w:rsid w:val="00A4713D"/>
    <w:rsid w:val="00A47906"/>
    <w:rsid w:val="00A503ED"/>
    <w:rsid w:val="00A51A5A"/>
    <w:rsid w:val="00A51E45"/>
    <w:rsid w:val="00A520ED"/>
    <w:rsid w:val="00A52293"/>
    <w:rsid w:val="00A526DB"/>
    <w:rsid w:val="00A52774"/>
    <w:rsid w:val="00A53A65"/>
    <w:rsid w:val="00A53DB7"/>
    <w:rsid w:val="00A54F93"/>
    <w:rsid w:val="00A5522F"/>
    <w:rsid w:val="00A552F1"/>
    <w:rsid w:val="00A55316"/>
    <w:rsid w:val="00A57612"/>
    <w:rsid w:val="00A57C0E"/>
    <w:rsid w:val="00A6152D"/>
    <w:rsid w:val="00A625CF"/>
    <w:rsid w:val="00A6375C"/>
    <w:rsid w:val="00A63BA4"/>
    <w:rsid w:val="00A65AD5"/>
    <w:rsid w:val="00A661E3"/>
    <w:rsid w:val="00A66AF3"/>
    <w:rsid w:val="00A66C44"/>
    <w:rsid w:val="00A66EE2"/>
    <w:rsid w:val="00A66EEF"/>
    <w:rsid w:val="00A66FCC"/>
    <w:rsid w:val="00A704A0"/>
    <w:rsid w:val="00A70B1D"/>
    <w:rsid w:val="00A70E24"/>
    <w:rsid w:val="00A71AD1"/>
    <w:rsid w:val="00A71ED9"/>
    <w:rsid w:val="00A73E37"/>
    <w:rsid w:val="00A74455"/>
    <w:rsid w:val="00A7543E"/>
    <w:rsid w:val="00A77C1A"/>
    <w:rsid w:val="00A85083"/>
    <w:rsid w:val="00A85610"/>
    <w:rsid w:val="00A91351"/>
    <w:rsid w:val="00A91CB5"/>
    <w:rsid w:val="00A94F51"/>
    <w:rsid w:val="00A95126"/>
    <w:rsid w:val="00A95132"/>
    <w:rsid w:val="00A95B49"/>
    <w:rsid w:val="00A962A7"/>
    <w:rsid w:val="00AA0E9B"/>
    <w:rsid w:val="00AA2F49"/>
    <w:rsid w:val="00AA455B"/>
    <w:rsid w:val="00AA49B3"/>
    <w:rsid w:val="00AA4BD8"/>
    <w:rsid w:val="00AA56CD"/>
    <w:rsid w:val="00AA5C56"/>
    <w:rsid w:val="00AA61AD"/>
    <w:rsid w:val="00AA6B37"/>
    <w:rsid w:val="00AA6FE0"/>
    <w:rsid w:val="00AA7819"/>
    <w:rsid w:val="00AA78CA"/>
    <w:rsid w:val="00AB12AE"/>
    <w:rsid w:val="00AB1ABB"/>
    <w:rsid w:val="00AB345D"/>
    <w:rsid w:val="00AB3FE2"/>
    <w:rsid w:val="00AB4FA3"/>
    <w:rsid w:val="00AB726A"/>
    <w:rsid w:val="00AC161A"/>
    <w:rsid w:val="00AC1753"/>
    <w:rsid w:val="00AC1E38"/>
    <w:rsid w:val="00AC1F4C"/>
    <w:rsid w:val="00AC5CA9"/>
    <w:rsid w:val="00AC78F3"/>
    <w:rsid w:val="00AD3258"/>
    <w:rsid w:val="00AD3917"/>
    <w:rsid w:val="00AD426A"/>
    <w:rsid w:val="00AD548C"/>
    <w:rsid w:val="00AD7302"/>
    <w:rsid w:val="00AD733A"/>
    <w:rsid w:val="00AD7DD2"/>
    <w:rsid w:val="00AE0693"/>
    <w:rsid w:val="00AE1EDC"/>
    <w:rsid w:val="00AE45A9"/>
    <w:rsid w:val="00AE46C0"/>
    <w:rsid w:val="00AE4D7B"/>
    <w:rsid w:val="00AE688C"/>
    <w:rsid w:val="00AE70E8"/>
    <w:rsid w:val="00AE776F"/>
    <w:rsid w:val="00AE7E43"/>
    <w:rsid w:val="00AE7ED9"/>
    <w:rsid w:val="00AF0175"/>
    <w:rsid w:val="00AF2B4A"/>
    <w:rsid w:val="00AF5626"/>
    <w:rsid w:val="00AF78F9"/>
    <w:rsid w:val="00B006F4"/>
    <w:rsid w:val="00B02D3B"/>
    <w:rsid w:val="00B038C8"/>
    <w:rsid w:val="00B047B9"/>
    <w:rsid w:val="00B050A3"/>
    <w:rsid w:val="00B055E4"/>
    <w:rsid w:val="00B11122"/>
    <w:rsid w:val="00B11D22"/>
    <w:rsid w:val="00B1300A"/>
    <w:rsid w:val="00B14937"/>
    <w:rsid w:val="00B1713C"/>
    <w:rsid w:val="00B20C96"/>
    <w:rsid w:val="00B21481"/>
    <w:rsid w:val="00B2178D"/>
    <w:rsid w:val="00B235F3"/>
    <w:rsid w:val="00B25032"/>
    <w:rsid w:val="00B25F9C"/>
    <w:rsid w:val="00B264A4"/>
    <w:rsid w:val="00B30A20"/>
    <w:rsid w:val="00B31010"/>
    <w:rsid w:val="00B32394"/>
    <w:rsid w:val="00B32C2F"/>
    <w:rsid w:val="00B34DDC"/>
    <w:rsid w:val="00B35A9A"/>
    <w:rsid w:val="00B364E5"/>
    <w:rsid w:val="00B37547"/>
    <w:rsid w:val="00B379BB"/>
    <w:rsid w:val="00B40B5C"/>
    <w:rsid w:val="00B410A9"/>
    <w:rsid w:val="00B4122D"/>
    <w:rsid w:val="00B41459"/>
    <w:rsid w:val="00B41CC8"/>
    <w:rsid w:val="00B4212E"/>
    <w:rsid w:val="00B43E5B"/>
    <w:rsid w:val="00B45971"/>
    <w:rsid w:val="00B45A51"/>
    <w:rsid w:val="00B463B2"/>
    <w:rsid w:val="00B524E4"/>
    <w:rsid w:val="00B5343F"/>
    <w:rsid w:val="00B5367D"/>
    <w:rsid w:val="00B53E45"/>
    <w:rsid w:val="00B5413D"/>
    <w:rsid w:val="00B54A7A"/>
    <w:rsid w:val="00B54BE3"/>
    <w:rsid w:val="00B56509"/>
    <w:rsid w:val="00B579FC"/>
    <w:rsid w:val="00B6002A"/>
    <w:rsid w:val="00B612CF"/>
    <w:rsid w:val="00B62AC0"/>
    <w:rsid w:val="00B639E4"/>
    <w:rsid w:val="00B63BE1"/>
    <w:rsid w:val="00B648DC"/>
    <w:rsid w:val="00B64F20"/>
    <w:rsid w:val="00B663B6"/>
    <w:rsid w:val="00B66C46"/>
    <w:rsid w:val="00B67638"/>
    <w:rsid w:val="00B7052D"/>
    <w:rsid w:val="00B709C8"/>
    <w:rsid w:val="00B725D1"/>
    <w:rsid w:val="00B72F11"/>
    <w:rsid w:val="00B73042"/>
    <w:rsid w:val="00B736EC"/>
    <w:rsid w:val="00B76822"/>
    <w:rsid w:val="00B76A04"/>
    <w:rsid w:val="00B77058"/>
    <w:rsid w:val="00B80963"/>
    <w:rsid w:val="00B80D53"/>
    <w:rsid w:val="00B812CF"/>
    <w:rsid w:val="00B814DD"/>
    <w:rsid w:val="00B82F60"/>
    <w:rsid w:val="00B85025"/>
    <w:rsid w:val="00B86022"/>
    <w:rsid w:val="00B8765D"/>
    <w:rsid w:val="00B876C6"/>
    <w:rsid w:val="00B878B8"/>
    <w:rsid w:val="00B90767"/>
    <w:rsid w:val="00B92D14"/>
    <w:rsid w:val="00B93E8A"/>
    <w:rsid w:val="00B942F0"/>
    <w:rsid w:val="00B94531"/>
    <w:rsid w:val="00B9595E"/>
    <w:rsid w:val="00BA02CE"/>
    <w:rsid w:val="00BA0301"/>
    <w:rsid w:val="00BA05B4"/>
    <w:rsid w:val="00BA0D9D"/>
    <w:rsid w:val="00BA1739"/>
    <w:rsid w:val="00BA1F45"/>
    <w:rsid w:val="00BA3685"/>
    <w:rsid w:val="00BA3E54"/>
    <w:rsid w:val="00BA4246"/>
    <w:rsid w:val="00BA56C6"/>
    <w:rsid w:val="00BA5806"/>
    <w:rsid w:val="00BA61EA"/>
    <w:rsid w:val="00BA6653"/>
    <w:rsid w:val="00BA6787"/>
    <w:rsid w:val="00BB0821"/>
    <w:rsid w:val="00BB2274"/>
    <w:rsid w:val="00BB233E"/>
    <w:rsid w:val="00BB44DA"/>
    <w:rsid w:val="00BB4C38"/>
    <w:rsid w:val="00BB56F8"/>
    <w:rsid w:val="00BB77C1"/>
    <w:rsid w:val="00BC0F7D"/>
    <w:rsid w:val="00BC1728"/>
    <w:rsid w:val="00BC250F"/>
    <w:rsid w:val="00BC3208"/>
    <w:rsid w:val="00BC3ED7"/>
    <w:rsid w:val="00BC76FB"/>
    <w:rsid w:val="00BD04FA"/>
    <w:rsid w:val="00BD1B23"/>
    <w:rsid w:val="00BD2079"/>
    <w:rsid w:val="00BD3F0D"/>
    <w:rsid w:val="00BD474B"/>
    <w:rsid w:val="00BD4EE4"/>
    <w:rsid w:val="00BD5458"/>
    <w:rsid w:val="00BD5611"/>
    <w:rsid w:val="00BD6652"/>
    <w:rsid w:val="00BD7524"/>
    <w:rsid w:val="00BE0F3D"/>
    <w:rsid w:val="00BE1CBA"/>
    <w:rsid w:val="00BE22BD"/>
    <w:rsid w:val="00BE2560"/>
    <w:rsid w:val="00BE2F21"/>
    <w:rsid w:val="00BE4D21"/>
    <w:rsid w:val="00BE69FF"/>
    <w:rsid w:val="00BE773A"/>
    <w:rsid w:val="00BF0E2E"/>
    <w:rsid w:val="00BF104E"/>
    <w:rsid w:val="00BF13FB"/>
    <w:rsid w:val="00BF2006"/>
    <w:rsid w:val="00BF2532"/>
    <w:rsid w:val="00BF3AFE"/>
    <w:rsid w:val="00BF4932"/>
    <w:rsid w:val="00BF5A87"/>
    <w:rsid w:val="00BF5E09"/>
    <w:rsid w:val="00BF5E81"/>
    <w:rsid w:val="00BF7433"/>
    <w:rsid w:val="00BF745A"/>
    <w:rsid w:val="00C05E45"/>
    <w:rsid w:val="00C06E0D"/>
    <w:rsid w:val="00C10623"/>
    <w:rsid w:val="00C10A37"/>
    <w:rsid w:val="00C11024"/>
    <w:rsid w:val="00C11745"/>
    <w:rsid w:val="00C11A30"/>
    <w:rsid w:val="00C13EAB"/>
    <w:rsid w:val="00C14F12"/>
    <w:rsid w:val="00C167C4"/>
    <w:rsid w:val="00C17597"/>
    <w:rsid w:val="00C20A7B"/>
    <w:rsid w:val="00C21B51"/>
    <w:rsid w:val="00C223EA"/>
    <w:rsid w:val="00C24C41"/>
    <w:rsid w:val="00C2784B"/>
    <w:rsid w:val="00C326ED"/>
    <w:rsid w:val="00C33013"/>
    <w:rsid w:val="00C36A76"/>
    <w:rsid w:val="00C36E4C"/>
    <w:rsid w:val="00C37A89"/>
    <w:rsid w:val="00C41424"/>
    <w:rsid w:val="00C42BA0"/>
    <w:rsid w:val="00C444A8"/>
    <w:rsid w:val="00C4450D"/>
    <w:rsid w:val="00C44FA5"/>
    <w:rsid w:val="00C44FC4"/>
    <w:rsid w:val="00C45275"/>
    <w:rsid w:val="00C45FEE"/>
    <w:rsid w:val="00C461B3"/>
    <w:rsid w:val="00C4682C"/>
    <w:rsid w:val="00C47EBA"/>
    <w:rsid w:val="00C50608"/>
    <w:rsid w:val="00C5171B"/>
    <w:rsid w:val="00C52997"/>
    <w:rsid w:val="00C534E1"/>
    <w:rsid w:val="00C54116"/>
    <w:rsid w:val="00C54A82"/>
    <w:rsid w:val="00C55712"/>
    <w:rsid w:val="00C56000"/>
    <w:rsid w:val="00C56586"/>
    <w:rsid w:val="00C628A9"/>
    <w:rsid w:val="00C6358F"/>
    <w:rsid w:val="00C64286"/>
    <w:rsid w:val="00C6620A"/>
    <w:rsid w:val="00C66CC4"/>
    <w:rsid w:val="00C66DE2"/>
    <w:rsid w:val="00C6707A"/>
    <w:rsid w:val="00C737A8"/>
    <w:rsid w:val="00C737FF"/>
    <w:rsid w:val="00C73823"/>
    <w:rsid w:val="00C739A3"/>
    <w:rsid w:val="00C73A61"/>
    <w:rsid w:val="00C75BC6"/>
    <w:rsid w:val="00C76013"/>
    <w:rsid w:val="00C77BD9"/>
    <w:rsid w:val="00C77D9C"/>
    <w:rsid w:val="00C80E08"/>
    <w:rsid w:val="00C8111F"/>
    <w:rsid w:val="00C81626"/>
    <w:rsid w:val="00C826BB"/>
    <w:rsid w:val="00C83105"/>
    <w:rsid w:val="00C83EA5"/>
    <w:rsid w:val="00C84E0E"/>
    <w:rsid w:val="00C84FF5"/>
    <w:rsid w:val="00C85B16"/>
    <w:rsid w:val="00C85B7E"/>
    <w:rsid w:val="00C85D98"/>
    <w:rsid w:val="00C85E7D"/>
    <w:rsid w:val="00C86963"/>
    <w:rsid w:val="00C9090C"/>
    <w:rsid w:val="00C91F6D"/>
    <w:rsid w:val="00C92819"/>
    <w:rsid w:val="00C94ED4"/>
    <w:rsid w:val="00C95D16"/>
    <w:rsid w:val="00C96B8A"/>
    <w:rsid w:val="00CA1C39"/>
    <w:rsid w:val="00CA294F"/>
    <w:rsid w:val="00CA3806"/>
    <w:rsid w:val="00CA4164"/>
    <w:rsid w:val="00CA421E"/>
    <w:rsid w:val="00CA4D5D"/>
    <w:rsid w:val="00CA58FF"/>
    <w:rsid w:val="00CA6DA2"/>
    <w:rsid w:val="00CA7BB2"/>
    <w:rsid w:val="00CB0391"/>
    <w:rsid w:val="00CB0EFF"/>
    <w:rsid w:val="00CB2D25"/>
    <w:rsid w:val="00CB2E88"/>
    <w:rsid w:val="00CB35F6"/>
    <w:rsid w:val="00CB4792"/>
    <w:rsid w:val="00CC107C"/>
    <w:rsid w:val="00CC1121"/>
    <w:rsid w:val="00CC1D2D"/>
    <w:rsid w:val="00CC2034"/>
    <w:rsid w:val="00CC2CEC"/>
    <w:rsid w:val="00CC3E7A"/>
    <w:rsid w:val="00CC44B9"/>
    <w:rsid w:val="00CD1B2D"/>
    <w:rsid w:val="00CD26E5"/>
    <w:rsid w:val="00CD6955"/>
    <w:rsid w:val="00CD6CBA"/>
    <w:rsid w:val="00CD6EF6"/>
    <w:rsid w:val="00CD717B"/>
    <w:rsid w:val="00CD7F51"/>
    <w:rsid w:val="00CE0E6A"/>
    <w:rsid w:val="00CE0F1B"/>
    <w:rsid w:val="00CE19C7"/>
    <w:rsid w:val="00CE26B9"/>
    <w:rsid w:val="00CE2F0D"/>
    <w:rsid w:val="00CE32E9"/>
    <w:rsid w:val="00CE3A87"/>
    <w:rsid w:val="00CE5322"/>
    <w:rsid w:val="00CE5C1F"/>
    <w:rsid w:val="00CE6274"/>
    <w:rsid w:val="00CE6B0C"/>
    <w:rsid w:val="00CE6E9A"/>
    <w:rsid w:val="00CE738A"/>
    <w:rsid w:val="00CF0192"/>
    <w:rsid w:val="00CF0AC0"/>
    <w:rsid w:val="00CF17B3"/>
    <w:rsid w:val="00CF19DF"/>
    <w:rsid w:val="00CF2041"/>
    <w:rsid w:val="00CF2716"/>
    <w:rsid w:val="00CF2A27"/>
    <w:rsid w:val="00CF2F00"/>
    <w:rsid w:val="00CF5E53"/>
    <w:rsid w:val="00CF626F"/>
    <w:rsid w:val="00CF6869"/>
    <w:rsid w:val="00CF7B8D"/>
    <w:rsid w:val="00CF7C83"/>
    <w:rsid w:val="00D00CB3"/>
    <w:rsid w:val="00D03186"/>
    <w:rsid w:val="00D04E67"/>
    <w:rsid w:val="00D06552"/>
    <w:rsid w:val="00D1077E"/>
    <w:rsid w:val="00D10F44"/>
    <w:rsid w:val="00D11D7D"/>
    <w:rsid w:val="00D13A4D"/>
    <w:rsid w:val="00D14C4D"/>
    <w:rsid w:val="00D14EE0"/>
    <w:rsid w:val="00D17182"/>
    <w:rsid w:val="00D174A0"/>
    <w:rsid w:val="00D20D48"/>
    <w:rsid w:val="00D22294"/>
    <w:rsid w:val="00D222EC"/>
    <w:rsid w:val="00D22DE7"/>
    <w:rsid w:val="00D24D02"/>
    <w:rsid w:val="00D24DFA"/>
    <w:rsid w:val="00D263B4"/>
    <w:rsid w:val="00D2728F"/>
    <w:rsid w:val="00D27C76"/>
    <w:rsid w:val="00D27CE4"/>
    <w:rsid w:val="00D318E1"/>
    <w:rsid w:val="00D31DF1"/>
    <w:rsid w:val="00D32026"/>
    <w:rsid w:val="00D324BC"/>
    <w:rsid w:val="00D3296A"/>
    <w:rsid w:val="00D32CD3"/>
    <w:rsid w:val="00D32F84"/>
    <w:rsid w:val="00D33BB7"/>
    <w:rsid w:val="00D351AB"/>
    <w:rsid w:val="00D35951"/>
    <w:rsid w:val="00D409E9"/>
    <w:rsid w:val="00D409FF"/>
    <w:rsid w:val="00D40EC7"/>
    <w:rsid w:val="00D43D97"/>
    <w:rsid w:val="00D44933"/>
    <w:rsid w:val="00D44CC5"/>
    <w:rsid w:val="00D4672B"/>
    <w:rsid w:val="00D47926"/>
    <w:rsid w:val="00D47E40"/>
    <w:rsid w:val="00D52C58"/>
    <w:rsid w:val="00D567A9"/>
    <w:rsid w:val="00D57832"/>
    <w:rsid w:val="00D60956"/>
    <w:rsid w:val="00D60A40"/>
    <w:rsid w:val="00D60E74"/>
    <w:rsid w:val="00D6135C"/>
    <w:rsid w:val="00D624A3"/>
    <w:rsid w:val="00D64A5D"/>
    <w:rsid w:val="00D65091"/>
    <w:rsid w:val="00D65183"/>
    <w:rsid w:val="00D6559A"/>
    <w:rsid w:val="00D7204A"/>
    <w:rsid w:val="00D72830"/>
    <w:rsid w:val="00D740F3"/>
    <w:rsid w:val="00D74DCB"/>
    <w:rsid w:val="00D76502"/>
    <w:rsid w:val="00D80937"/>
    <w:rsid w:val="00D81336"/>
    <w:rsid w:val="00D81632"/>
    <w:rsid w:val="00D8381D"/>
    <w:rsid w:val="00D87008"/>
    <w:rsid w:val="00D91DDF"/>
    <w:rsid w:val="00D9279F"/>
    <w:rsid w:val="00D92FAB"/>
    <w:rsid w:val="00D94F38"/>
    <w:rsid w:val="00DA4186"/>
    <w:rsid w:val="00DA55C5"/>
    <w:rsid w:val="00DA67B0"/>
    <w:rsid w:val="00DA7FCB"/>
    <w:rsid w:val="00DB1367"/>
    <w:rsid w:val="00DB15CF"/>
    <w:rsid w:val="00DB3233"/>
    <w:rsid w:val="00DB42EB"/>
    <w:rsid w:val="00DB5D2E"/>
    <w:rsid w:val="00DB5EB3"/>
    <w:rsid w:val="00DC1E45"/>
    <w:rsid w:val="00DC301A"/>
    <w:rsid w:val="00DC3943"/>
    <w:rsid w:val="00DC4B7F"/>
    <w:rsid w:val="00DC5F0E"/>
    <w:rsid w:val="00DC5F83"/>
    <w:rsid w:val="00DC7572"/>
    <w:rsid w:val="00DC7741"/>
    <w:rsid w:val="00DD0008"/>
    <w:rsid w:val="00DD0C23"/>
    <w:rsid w:val="00DD129C"/>
    <w:rsid w:val="00DD1804"/>
    <w:rsid w:val="00DD1CF2"/>
    <w:rsid w:val="00DD2BCC"/>
    <w:rsid w:val="00DD2D43"/>
    <w:rsid w:val="00DD3493"/>
    <w:rsid w:val="00DD37FF"/>
    <w:rsid w:val="00DD39C0"/>
    <w:rsid w:val="00DD665B"/>
    <w:rsid w:val="00DD676A"/>
    <w:rsid w:val="00DE0D11"/>
    <w:rsid w:val="00DE12E9"/>
    <w:rsid w:val="00DE5877"/>
    <w:rsid w:val="00DE7BB5"/>
    <w:rsid w:val="00DF090B"/>
    <w:rsid w:val="00DF1AA8"/>
    <w:rsid w:val="00DF224B"/>
    <w:rsid w:val="00DF2BE6"/>
    <w:rsid w:val="00DF415B"/>
    <w:rsid w:val="00DF47F9"/>
    <w:rsid w:val="00DF77B6"/>
    <w:rsid w:val="00DF7977"/>
    <w:rsid w:val="00E002F9"/>
    <w:rsid w:val="00E00835"/>
    <w:rsid w:val="00E00F2D"/>
    <w:rsid w:val="00E018E5"/>
    <w:rsid w:val="00E02381"/>
    <w:rsid w:val="00E0309E"/>
    <w:rsid w:val="00E03C3A"/>
    <w:rsid w:val="00E03DCD"/>
    <w:rsid w:val="00E04DD9"/>
    <w:rsid w:val="00E05066"/>
    <w:rsid w:val="00E05709"/>
    <w:rsid w:val="00E05791"/>
    <w:rsid w:val="00E078B1"/>
    <w:rsid w:val="00E07D92"/>
    <w:rsid w:val="00E10153"/>
    <w:rsid w:val="00E1090D"/>
    <w:rsid w:val="00E10F3D"/>
    <w:rsid w:val="00E116C1"/>
    <w:rsid w:val="00E1356C"/>
    <w:rsid w:val="00E13C29"/>
    <w:rsid w:val="00E13D3F"/>
    <w:rsid w:val="00E153FF"/>
    <w:rsid w:val="00E15BA1"/>
    <w:rsid w:val="00E1609F"/>
    <w:rsid w:val="00E16FA6"/>
    <w:rsid w:val="00E173F8"/>
    <w:rsid w:val="00E17AC2"/>
    <w:rsid w:val="00E20252"/>
    <w:rsid w:val="00E20E41"/>
    <w:rsid w:val="00E21BD3"/>
    <w:rsid w:val="00E24F66"/>
    <w:rsid w:val="00E2508E"/>
    <w:rsid w:val="00E25FDB"/>
    <w:rsid w:val="00E269C9"/>
    <w:rsid w:val="00E320AD"/>
    <w:rsid w:val="00E3383B"/>
    <w:rsid w:val="00E33E6D"/>
    <w:rsid w:val="00E35BFC"/>
    <w:rsid w:val="00E35C74"/>
    <w:rsid w:val="00E36429"/>
    <w:rsid w:val="00E4002A"/>
    <w:rsid w:val="00E43064"/>
    <w:rsid w:val="00E433B8"/>
    <w:rsid w:val="00E43D49"/>
    <w:rsid w:val="00E440C7"/>
    <w:rsid w:val="00E4444D"/>
    <w:rsid w:val="00E446D3"/>
    <w:rsid w:val="00E45214"/>
    <w:rsid w:val="00E46FA3"/>
    <w:rsid w:val="00E500E8"/>
    <w:rsid w:val="00E50D83"/>
    <w:rsid w:val="00E52130"/>
    <w:rsid w:val="00E52492"/>
    <w:rsid w:val="00E52A9C"/>
    <w:rsid w:val="00E52AF5"/>
    <w:rsid w:val="00E53451"/>
    <w:rsid w:val="00E55051"/>
    <w:rsid w:val="00E551CD"/>
    <w:rsid w:val="00E55C48"/>
    <w:rsid w:val="00E55DE8"/>
    <w:rsid w:val="00E561DF"/>
    <w:rsid w:val="00E568EB"/>
    <w:rsid w:val="00E57F99"/>
    <w:rsid w:val="00E603AB"/>
    <w:rsid w:val="00E610F0"/>
    <w:rsid w:val="00E61398"/>
    <w:rsid w:val="00E614E6"/>
    <w:rsid w:val="00E625BC"/>
    <w:rsid w:val="00E631F4"/>
    <w:rsid w:val="00E63A48"/>
    <w:rsid w:val="00E660E6"/>
    <w:rsid w:val="00E664D5"/>
    <w:rsid w:val="00E713DD"/>
    <w:rsid w:val="00E72F9E"/>
    <w:rsid w:val="00E75358"/>
    <w:rsid w:val="00E75CFD"/>
    <w:rsid w:val="00E77EC0"/>
    <w:rsid w:val="00E8105F"/>
    <w:rsid w:val="00E810F5"/>
    <w:rsid w:val="00E81666"/>
    <w:rsid w:val="00E81E8B"/>
    <w:rsid w:val="00E82365"/>
    <w:rsid w:val="00E82392"/>
    <w:rsid w:val="00E82481"/>
    <w:rsid w:val="00E827BF"/>
    <w:rsid w:val="00E8345C"/>
    <w:rsid w:val="00E83975"/>
    <w:rsid w:val="00E84958"/>
    <w:rsid w:val="00E84BAB"/>
    <w:rsid w:val="00E85A81"/>
    <w:rsid w:val="00E861E1"/>
    <w:rsid w:val="00E8740A"/>
    <w:rsid w:val="00E87450"/>
    <w:rsid w:val="00E87F19"/>
    <w:rsid w:val="00E9048C"/>
    <w:rsid w:val="00E90AE2"/>
    <w:rsid w:val="00E92D21"/>
    <w:rsid w:val="00E939F5"/>
    <w:rsid w:val="00E95180"/>
    <w:rsid w:val="00E95ABD"/>
    <w:rsid w:val="00E95C27"/>
    <w:rsid w:val="00E979D3"/>
    <w:rsid w:val="00E97B55"/>
    <w:rsid w:val="00E97E57"/>
    <w:rsid w:val="00EA0C23"/>
    <w:rsid w:val="00EA12C0"/>
    <w:rsid w:val="00EA268B"/>
    <w:rsid w:val="00EA3042"/>
    <w:rsid w:val="00EA53BB"/>
    <w:rsid w:val="00EA5A8B"/>
    <w:rsid w:val="00EA60D6"/>
    <w:rsid w:val="00EB00B2"/>
    <w:rsid w:val="00EB098B"/>
    <w:rsid w:val="00EB23E5"/>
    <w:rsid w:val="00EB24BE"/>
    <w:rsid w:val="00EB26CF"/>
    <w:rsid w:val="00EB35A8"/>
    <w:rsid w:val="00EB49F2"/>
    <w:rsid w:val="00EB5D70"/>
    <w:rsid w:val="00EB6D25"/>
    <w:rsid w:val="00EB786C"/>
    <w:rsid w:val="00EB78AC"/>
    <w:rsid w:val="00EB78B2"/>
    <w:rsid w:val="00EC0DA9"/>
    <w:rsid w:val="00EC1644"/>
    <w:rsid w:val="00EC1F03"/>
    <w:rsid w:val="00EC258C"/>
    <w:rsid w:val="00EC2995"/>
    <w:rsid w:val="00EC35B7"/>
    <w:rsid w:val="00EC5C68"/>
    <w:rsid w:val="00EC6911"/>
    <w:rsid w:val="00EC6D8B"/>
    <w:rsid w:val="00EC7990"/>
    <w:rsid w:val="00ED06E2"/>
    <w:rsid w:val="00ED17F8"/>
    <w:rsid w:val="00ED1C84"/>
    <w:rsid w:val="00ED43D7"/>
    <w:rsid w:val="00ED470B"/>
    <w:rsid w:val="00EE290F"/>
    <w:rsid w:val="00EE3FC5"/>
    <w:rsid w:val="00EE47D5"/>
    <w:rsid w:val="00EE4C99"/>
    <w:rsid w:val="00EE4F50"/>
    <w:rsid w:val="00EE5272"/>
    <w:rsid w:val="00EE62F4"/>
    <w:rsid w:val="00EE7228"/>
    <w:rsid w:val="00EE7477"/>
    <w:rsid w:val="00EE7C5E"/>
    <w:rsid w:val="00EF0C04"/>
    <w:rsid w:val="00EF1BB4"/>
    <w:rsid w:val="00EF1F7B"/>
    <w:rsid w:val="00EF2F04"/>
    <w:rsid w:val="00EF358D"/>
    <w:rsid w:val="00EF36FE"/>
    <w:rsid w:val="00EF41F1"/>
    <w:rsid w:val="00EF6BAE"/>
    <w:rsid w:val="00F01592"/>
    <w:rsid w:val="00F01E46"/>
    <w:rsid w:val="00F0278A"/>
    <w:rsid w:val="00F032C1"/>
    <w:rsid w:val="00F04D94"/>
    <w:rsid w:val="00F057C4"/>
    <w:rsid w:val="00F060A7"/>
    <w:rsid w:val="00F06785"/>
    <w:rsid w:val="00F07FD1"/>
    <w:rsid w:val="00F10265"/>
    <w:rsid w:val="00F103FB"/>
    <w:rsid w:val="00F11F91"/>
    <w:rsid w:val="00F12461"/>
    <w:rsid w:val="00F12482"/>
    <w:rsid w:val="00F1321F"/>
    <w:rsid w:val="00F13738"/>
    <w:rsid w:val="00F15187"/>
    <w:rsid w:val="00F1603E"/>
    <w:rsid w:val="00F16728"/>
    <w:rsid w:val="00F16C49"/>
    <w:rsid w:val="00F170B0"/>
    <w:rsid w:val="00F17334"/>
    <w:rsid w:val="00F17423"/>
    <w:rsid w:val="00F20887"/>
    <w:rsid w:val="00F2129C"/>
    <w:rsid w:val="00F22040"/>
    <w:rsid w:val="00F22642"/>
    <w:rsid w:val="00F2433B"/>
    <w:rsid w:val="00F24730"/>
    <w:rsid w:val="00F259CC"/>
    <w:rsid w:val="00F25F02"/>
    <w:rsid w:val="00F278C5"/>
    <w:rsid w:val="00F27C66"/>
    <w:rsid w:val="00F31F9F"/>
    <w:rsid w:val="00F32560"/>
    <w:rsid w:val="00F32A84"/>
    <w:rsid w:val="00F33B6B"/>
    <w:rsid w:val="00F348EF"/>
    <w:rsid w:val="00F34B55"/>
    <w:rsid w:val="00F42A9A"/>
    <w:rsid w:val="00F43219"/>
    <w:rsid w:val="00F45917"/>
    <w:rsid w:val="00F472A6"/>
    <w:rsid w:val="00F50D7C"/>
    <w:rsid w:val="00F53BF7"/>
    <w:rsid w:val="00F548DC"/>
    <w:rsid w:val="00F549FB"/>
    <w:rsid w:val="00F55397"/>
    <w:rsid w:val="00F55D8A"/>
    <w:rsid w:val="00F55E54"/>
    <w:rsid w:val="00F56688"/>
    <w:rsid w:val="00F56F2C"/>
    <w:rsid w:val="00F600A2"/>
    <w:rsid w:val="00F608E3"/>
    <w:rsid w:val="00F60C51"/>
    <w:rsid w:val="00F60D96"/>
    <w:rsid w:val="00F60E84"/>
    <w:rsid w:val="00F6138E"/>
    <w:rsid w:val="00F6152B"/>
    <w:rsid w:val="00F648D7"/>
    <w:rsid w:val="00F657EE"/>
    <w:rsid w:val="00F7063B"/>
    <w:rsid w:val="00F714FB"/>
    <w:rsid w:val="00F72842"/>
    <w:rsid w:val="00F72D6E"/>
    <w:rsid w:val="00F7366A"/>
    <w:rsid w:val="00F77760"/>
    <w:rsid w:val="00F8008D"/>
    <w:rsid w:val="00F802FC"/>
    <w:rsid w:val="00F85333"/>
    <w:rsid w:val="00F85785"/>
    <w:rsid w:val="00F85AB7"/>
    <w:rsid w:val="00F864EA"/>
    <w:rsid w:val="00F8689F"/>
    <w:rsid w:val="00F8693A"/>
    <w:rsid w:val="00F86CF8"/>
    <w:rsid w:val="00F871B2"/>
    <w:rsid w:val="00F873AF"/>
    <w:rsid w:val="00F900E5"/>
    <w:rsid w:val="00F902ED"/>
    <w:rsid w:val="00F905E0"/>
    <w:rsid w:val="00F929B4"/>
    <w:rsid w:val="00F92B22"/>
    <w:rsid w:val="00F92FCA"/>
    <w:rsid w:val="00F936A2"/>
    <w:rsid w:val="00F957B2"/>
    <w:rsid w:val="00F9588F"/>
    <w:rsid w:val="00F96111"/>
    <w:rsid w:val="00F965CB"/>
    <w:rsid w:val="00F974A5"/>
    <w:rsid w:val="00F9755F"/>
    <w:rsid w:val="00FA181E"/>
    <w:rsid w:val="00FA3942"/>
    <w:rsid w:val="00FA4545"/>
    <w:rsid w:val="00FA4B2C"/>
    <w:rsid w:val="00FA5EC8"/>
    <w:rsid w:val="00FA787D"/>
    <w:rsid w:val="00FB0098"/>
    <w:rsid w:val="00FB015C"/>
    <w:rsid w:val="00FB1157"/>
    <w:rsid w:val="00FB13D4"/>
    <w:rsid w:val="00FB1475"/>
    <w:rsid w:val="00FB17FE"/>
    <w:rsid w:val="00FB3669"/>
    <w:rsid w:val="00FB4575"/>
    <w:rsid w:val="00FB503B"/>
    <w:rsid w:val="00FB5A06"/>
    <w:rsid w:val="00FB606B"/>
    <w:rsid w:val="00FB71D9"/>
    <w:rsid w:val="00FC0227"/>
    <w:rsid w:val="00FC190E"/>
    <w:rsid w:val="00FC1E28"/>
    <w:rsid w:val="00FC2CC3"/>
    <w:rsid w:val="00FC3000"/>
    <w:rsid w:val="00FC323F"/>
    <w:rsid w:val="00FC54CE"/>
    <w:rsid w:val="00FC6110"/>
    <w:rsid w:val="00FC7043"/>
    <w:rsid w:val="00FC7DD7"/>
    <w:rsid w:val="00FD0C14"/>
    <w:rsid w:val="00FD12FB"/>
    <w:rsid w:val="00FD213C"/>
    <w:rsid w:val="00FD25D5"/>
    <w:rsid w:val="00FD2FD3"/>
    <w:rsid w:val="00FD4532"/>
    <w:rsid w:val="00FD454B"/>
    <w:rsid w:val="00FD4BF7"/>
    <w:rsid w:val="00FE09F1"/>
    <w:rsid w:val="00FE1883"/>
    <w:rsid w:val="00FE2FD7"/>
    <w:rsid w:val="00FE3136"/>
    <w:rsid w:val="00FE3FBB"/>
    <w:rsid w:val="00FE413B"/>
    <w:rsid w:val="00FE4E12"/>
    <w:rsid w:val="00FE53A5"/>
    <w:rsid w:val="00FE67CB"/>
    <w:rsid w:val="00FE6AC1"/>
    <w:rsid w:val="00FE6BE2"/>
    <w:rsid w:val="00FF00DC"/>
    <w:rsid w:val="00FF075F"/>
    <w:rsid w:val="00FF079A"/>
    <w:rsid w:val="00FF0A5E"/>
    <w:rsid w:val="00FF0D12"/>
    <w:rsid w:val="00FF0D52"/>
    <w:rsid w:val="00FF11B1"/>
    <w:rsid w:val="00FF1F8A"/>
    <w:rsid w:val="00FF3874"/>
    <w:rsid w:val="00FF4CFD"/>
    <w:rsid w:val="00FF6A66"/>
    <w:rsid w:val="00FF6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A396"/>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character" w:customStyle="1" w:styleId="field-content">
    <w:name w:val="field-content"/>
    <w:basedOn w:val="DefaultParagraphFont"/>
    <w:rsid w:val="001E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79758191">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180124882">
      <w:bodyDiv w:val="1"/>
      <w:marLeft w:val="0"/>
      <w:marRight w:val="0"/>
      <w:marTop w:val="0"/>
      <w:marBottom w:val="0"/>
      <w:divBdr>
        <w:top w:val="none" w:sz="0" w:space="0" w:color="auto"/>
        <w:left w:val="none" w:sz="0" w:space="0" w:color="auto"/>
        <w:bottom w:val="none" w:sz="0" w:space="0" w:color="auto"/>
        <w:right w:val="none" w:sz="0" w:space="0" w:color="auto"/>
      </w:divBdr>
      <w:divsChild>
        <w:div w:id="1226183400">
          <w:marLeft w:val="0"/>
          <w:marRight w:val="0"/>
          <w:marTop w:val="240"/>
          <w:marBottom w:val="0"/>
          <w:divBdr>
            <w:top w:val="none" w:sz="0" w:space="0" w:color="auto"/>
            <w:left w:val="none" w:sz="0" w:space="0" w:color="auto"/>
            <w:bottom w:val="none" w:sz="0" w:space="0" w:color="auto"/>
            <w:right w:val="none" w:sz="0" w:space="0" w:color="auto"/>
          </w:divBdr>
        </w:div>
        <w:div w:id="1404640787">
          <w:marLeft w:val="0"/>
          <w:marRight w:val="0"/>
          <w:marTop w:val="120"/>
          <w:marBottom w:val="0"/>
          <w:divBdr>
            <w:top w:val="none" w:sz="0" w:space="0" w:color="auto"/>
            <w:left w:val="none" w:sz="0" w:space="0" w:color="auto"/>
            <w:bottom w:val="none" w:sz="0" w:space="0" w:color="auto"/>
            <w:right w:val="none" w:sz="0" w:space="0" w:color="auto"/>
          </w:divBdr>
        </w:div>
        <w:div w:id="1591162471">
          <w:marLeft w:val="1134"/>
          <w:marRight w:val="0"/>
          <w:marTop w:val="60"/>
          <w:marBottom w:val="0"/>
          <w:divBdr>
            <w:top w:val="none" w:sz="0" w:space="0" w:color="auto"/>
            <w:left w:val="none" w:sz="0" w:space="0" w:color="auto"/>
            <w:bottom w:val="none" w:sz="0" w:space="0" w:color="auto"/>
            <w:right w:val="none" w:sz="0" w:space="0" w:color="auto"/>
          </w:divBdr>
        </w:div>
        <w:div w:id="847642941">
          <w:marLeft w:val="1985"/>
          <w:marRight w:val="0"/>
          <w:marTop w:val="60"/>
          <w:marBottom w:val="0"/>
          <w:divBdr>
            <w:top w:val="none" w:sz="0" w:space="0" w:color="auto"/>
            <w:left w:val="none" w:sz="0" w:space="0" w:color="auto"/>
            <w:bottom w:val="none" w:sz="0" w:space="0" w:color="auto"/>
            <w:right w:val="none" w:sz="0" w:space="0" w:color="auto"/>
          </w:divBdr>
        </w:div>
        <w:div w:id="150560141">
          <w:marLeft w:val="1985"/>
          <w:marRight w:val="0"/>
          <w:marTop w:val="60"/>
          <w:marBottom w:val="0"/>
          <w:divBdr>
            <w:top w:val="none" w:sz="0" w:space="0" w:color="auto"/>
            <w:left w:val="none" w:sz="0" w:space="0" w:color="auto"/>
            <w:bottom w:val="none" w:sz="0" w:space="0" w:color="auto"/>
            <w:right w:val="none" w:sz="0" w:space="0" w:color="auto"/>
          </w:divBdr>
        </w:div>
        <w:div w:id="2115517147">
          <w:marLeft w:val="1985"/>
          <w:marRight w:val="0"/>
          <w:marTop w:val="60"/>
          <w:marBottom w:val="0"/>
          <w:divBdr>
            <w:top w:val="none" w:sz="0" w:space="0" w:color="auto"/>
            <w:left w:val="none" w:sz="0" w:space="0" w:color="auto"/>
            <w:bottom w:val="none" w:sz="0" w:space="0" w:color="auto"/>
            <w:right w:val="none" w:sz="0" w:space="0" w:color="auto"/>
          </w:divBdr>
        </w:div>
        <w:div w:id="138421424">
          <w:marLeft w:val="1134"/>
          <w:marRight w:val="0"/>
          <w:marTop w:val="6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779450744">
      <w:bodyDiv w:val="1"/>
      <w:marLeft w:val="0"/>
      <w:marRight w:val="0"/>
      <w:marTop w:val="0"/>
      <w:marBottom w:val="0"/>
      <w:divBdr>
        <w:top w:val="none" w:sz="0" w:space="0" w:color="auto"/>
        <w:left w:val="none" w:sz="0" w:space="0" w:color="auto"/>
        <w:bottom w:val="none" w:sz="0" w:space="0" w:color="auto"/>
        <w:right w:val="none" w:sz="0" w:space="0" w:color="auto"/>
      </w:divBdr>
      <w:divsChild>
        <w:div w:id="1117945256">
          <w:marLeft w:val="0"/>
          <w:marRight w:val="0"/>
          <w:marTop w:val="120"/>
          <w:marBottom w:val="0"/>
          <w:divBdr>
            <w:top w:val="none" w:sz="0" w:space="0" w:color="auto"/>
            <w:left w:val="none" w:sz="0" w:space="0" w:color="auto"/>
            <w:bottom w:val="none" w:sz="0" w:space="0" w:color="auto"/>
            <w:right w:val="none" w:sz="0" w:space="0" w:color="auto"/>
          </w:divBdr>
        </w:div>
        <w:div w:id="859078116">
          <w:marLeft w:val="0"/>
          <w:marRight w:val="0"/>
          <w:marTop w:val="120"/>
          <w:marBottom w:val="0"/>
          <w:divBdr>
            <w:top w:val="none" w:sz="0" w:space="0" w:color="auto"/>
            <w:left w:val="none" w:sz="0" w:space="0" w:color="auto"/>
            <w:bottom w:val="none" w:sz="0" w:space="0" w:color="auto"/>
            <w:right w:val="none" w:sz="0" w:space="0" w:color="auto"/>
          </w:divBdr>
        </w:div>
        <w:div w:id="1114591207">
          <w:marLeft w:val="567"/>
          <w:marRight w:val="0"/>
          <w:marTop w:val="120"/>
          <w:marBottom w:val="0"/>
          <w:divBdr>
            <w:top w:val="none" w:sz="0" w:space="0" w:color="auto"/>
            <w:left w:val="none" w:sz="0" w:space="0" w:color="auto"/>
            <w:bottom w:val="none" w:sz="0" w:space="0" w:color="auto"/>
            <w:right w:val="none" w:sz="0" w:space="0" w:color="auto"/>
          </w:divBdr>
        </w:div>
        <w:div w:id="1684236458">
          <w:marLeft w:val="0"/>
          <w:marRight w:val="0"/>
          <w:marTop w:val="120"/>
          <w:marBottom w:val="0"/>
          <w:divBdr>
            <w:top w:val="none" w:sz="0" w:space="0" w:color="auto"/>
            <w:left w:val="none" w:sz="0" w:space="0" w:color="auto"/>
            <w:bottom w:val="none" w:sz="0" w:space="0" w:color="auto"/>
            <w:right w:val="none" w:sz="0" w:space="0" w:color="auto"/>
          </w:divBdr>
        </w:div>
        <w:div w:id="1744252254">
          <w:marLeft w:val="567"/>
          <w:marRight w:val="0"/>
          <w:marTop w:val="120"/>
          <w:marBottom w:val="0"/>
          <w:divBdr>
            <w:top w:val="none" w:sz="0" w:space="0" w:color="auto"/>
            <w:left w:val="none" w:sz="0" w:space="0" w:color="auto"/>
            <w:bottom w:val="none" w:sz="0" w:space="0" w:color="auto"/>
            <w:right w:val="none" w:sz="0" w:space="0" w:color="auto"/>
          </w:divBdr>
        </w:div>
        <w:div w:id="1960842174">
          <w:marLeft w:val="0"/>
          <w:marRight w:val="0"/>
          <w:marTop w:val="240"/>
          <w:marBottom w:val="24"/>
          <w:divBdr>
            <w:top w:val="single" w:sz="8" w:space="2" w:color="808080"/>
            <w:left w:val="none" w:sz="0" w:space="0" w:color="auto"/>
            <w:bottom w:val="none" w:sz="0" w:space="0" w:color="auto"/>
            <w:right w:val="none" w:sz="0" w:space="0" w:color="auto"/>
          </w:divBdr>
        </w:div>
        <w:div w:id="1690062046">
          <w:marLeft w:val="0"/>
          <w:marRight w:val="0"/>
          <w:marTop w:val="120"/>
          <w:marBottom w:val="0"/>
          <w:divBdr>
            <w:top w:val="none" w:sz="0" w:space="0" w:color="auto"/>
            <w:left w:val="none" w:sz="0" w:space="0" w:color="auto"/>
            <w:bottom w:val="none" w:sz="0" w:space="0" w:color="auto"/>
            <w:right w:val="none" w:sz="0" w:space="0" w:color="auto"/>
          </w:divBdr>
        </w:div>
        <w:div w:id="1819229136">
          <w:marLeft w:val="567"/>
          <w:marRight w:val="0"/>
          <w:marTop w:val="120"/>
          <w:marBottom w:val="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121723528">
      <w:bodyDiv w:val="1"/>
      <w:marLeft w:val="0"/>
      <w:marRight w:val="0"/>
      <w:marTop w:val="0"/>
      <w:marBottom w:val="0"/>
      <w:divBdr>
        <w:top w:val="none" w:sz="0" w:space="0" w:color="auto"/>
        <w:left w:val="none" w:sz="0" w:space="0" w:color="auto"/>
        <w:bottom w:val="none" w:sz="0" w:space="0" w:color="auto"/>
        <w:right w:val="none" w:sz="0" w:space="0" w:color="auto"/>
      </w:divBdr>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74288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10">
          <w:marLeft w:val="0"/>
          <w:marRight w:val="0"/>
          <w:marTop w:val="120"/>
          <w:marBottom w:val="0"/>
          <w:divBdr>
            <w:top w:val="none" w:sz="0" w:space="0" w:color="auto"/>
            <w:left w:val="none" w:sz="0" w:space="0" w:color="auto"/>
            <w:bottom w:val="none" w:sz="0" w:space="0" w:color="auto"/>
            <w:right w:val="none" w:sz="0" w:space="0" w:color="auto"/>
          </w:divBdr>
        </w:div>
        <w:div w:id="1267618636">
          <w:marLeft w:val="1134"/>
          <w:marRight w:val="0"/>
          <w:marTop w:val="60"/>
          <w:marBottom w:val="0"/>
          <w:divBdr>
            <w:top w:val="none" w:sz="0" w:space="0" w:color="auto"/>
            <w:left w:val="none" w:sz="0" w:space="0" w:color="auto"/>
            <w:bottom w:val="none" w:sz="0" w:space="0" w:color="auto"/>
            <w:right w:val="none" w:sz="0" w:space="0" w:color="auto"/>
          </w:divBdr>
        </w:div>
        <w:div w:id="440077494">
          <w:marLeft w:val="1134"/>
          <w:marRight w:val="0"/>
          <w:marTop w:val="60"/>
          <w:marBottom w:val="0"/>
          <w:divBdr>
            <w:top w:val="none" w:sz="0" w:space="0" w:color="auto"/>
            <w:left w:val="none" w:sz="0" w:space="0" w:color="auto"/>
            <w:bottom w:val="none" w:sz="0" w:space="0" w:color="auto"/>
            <w:right w:val="none" w:sz="0" w:space="0" w:color="auto"/>
          </w:divBdr>
        </w:div>
        <w:div w:id="505174032">
          <w:marLeft w:val="1134"/>
          <w:marRight w:val="0"/>
          <w:marTop w:val="60"/>
          <w:marBottom w:val="0"/>
          <w:divBdr>
            <w:top w:val="none" w:sz="0" w:space="0" w:color="auto"/>
            <w:left w:val="none" w:sz="0" w:space="0" w:color="auto"/>
            <w:bottom w:val="none" w:sz="0" w:space="0" w:color="auto"/>
            <w:right w:val="none" w:sz="0" w:space="0" w:color="auto"/>
          </w:divBdr>
        </w:div>
        <w:div w:id="21323115">
          <w:marLeft w:val="1134"/>
          <w:marRight w:val="0"/>
          <w:marTop w:val="60"/>
          <w:marBottom w:val="0"/>
          <w:divBdr>
            <w:top w:val="none" w:sz="0" w:space="0" w:color="auto"/>
            <w:left w:val="none" w:sz="0" w:space="0" w:color="auto"/>
            <w:bottom w:val="none" w:sz="0" w:space="0" w:color="auto"/>
            <w:right w:val="none" w:sz="0" w:space="0" w:color="auto"/>
          </w:divBdr>
        </w:div>
        <w:div w:id="1989893108">
          <w:marLeft w:val="1134"/>
          <w:marRight w:val="0"/>
          <w:marTop w:val="60"/>
          <w:marBottom w:val="0"/>
          <w:divBdr>
            <w:top w:val="none" w:sz="0" w:space="0" w:color="auto"/>
            <w:left w:val="none" w:sz="0" w:space="0" w:color="auto"/>
            <w:bottom w:val="none" w:sz="0" w:space="0" w:color="auto"/>
            <w:right w:val="none" w:sz="0" w:space="0" w:color="auto"/>
          </w:divBdr>
        </w:div>
        <w:div w:id="1283220685">
          <w:marLeft w:val="1134"/>
          <w:marRight w:val="0"/>
          <w:marTop w:val="60"/>
          <w:marBottom w:val="0"/>
          <w:divBdr>
            <w:top w:val="none" w:sz="0" w:space="0" w:color="auto"/>
            <w:left w:val="none" w:sz="0" w:space="0" w:color="auto"/>
            <w:bottom w:val="none" w:sz="0" w:space="0" w:color="auto"/>
            <w:right w:val="none" w:sz="0" w:space="0" w:color="auto"/>
          </w:divBdr>
        </w:div>
        <w:div w:id="722824802">
          <w:marLeft w:val="1985"/>
          <w:marRight w:val="0"/>
          <w:marTop w:val="60"/>
          <w:marBottom w:val="0"/>
          <w:divBdr>
            <w:top w:val="none" w:sz="0" w:space="0" w:color="auto"/>
            <w:left w:val="none" w:sz="0" w:space="0" w:color="auto"/>
            <w:bottom w:val="none" w:sz="0" w:space="0" w:color="auto"/>
            <w:right w:val="none" w:sz="0" w:space="0" w:color="auto"/>
          </w:divBdr>
        </w:div>
        <w:div w:id="1612086730">
          <w:marLeft w:val="1985"/>
          <w:marRight w:val="0"/>
          <w:marTop w:val="60"/>
          <w:marBottom w:val="0"/>
          <w:divBdr>
            <w:top w:val="none" w:sz="0" w:space="0" w:color="auto"/>
            <w:left w:val="none" w:sz="0" w:space="0" w:color="auto"/>
            <w:bottom w:val="none" w:sz="0" w:space="0" w:color="auto"/>
            <w:right w:val="none" w:sz="0" w:space="0" w:color="auto"/>
          </w:divBdr>
        </w:div>
      </w:divsChild>
    </w:div>
    <w:div w:id="1386290807">
      <w:bodyDiv w:val="1"/>
      <w:marLeft w:val="0"/>
      <w:marRight w:val="0"/>
      <w:marTop w:val="0"/>
      <w:marBottom w:val="0"/>
      <w:divBdr>
        <w:top w:val="none" w:sz="0" w:space="0" w:color="auto"/>
        <w:left w:val="none" w:sz="0" w:space="0" w:color="auto"/>
        <w:bottom w:val="none" w:sz="0" w:space="0" w:color="auto"/>
        <w:right w:val="none" w:sz="0" w:space="0" w:color="auto"/>
      </w:divBdr>
      <w:divsChild>
        <w:div w:id="2032877882">
          <w:marLeft w:val="0"/>
          <w:marRight w:val="0"/>
          <w:marTop w:val="120"/>
          <w:marBottom w:val="0"/>
          <w:divBdr>
            <w:top w:val="none" w:sz="0" w:space="0" w:color="auto"/>
            <w:left w:val="none" w:sz="0" w:space="0" w:color="auto"/>
            <w:bottom w:val="none" w:sz="0" w:space="0" w:color="auto"/>
            <w:right w:val="none" w:sz="0" w:space="0" w:color="auto"/>
          </w:divBdr>
        </w:div>
        <w:div w:id="2080052504">
          <w:marLeft w:val="1134"/>
          <w:marRight w:val="0"/>
          <w:marTop w:val="60"/>
          <w:marBottom w:val="0"/>
          <w:divBdr>
            <w:top w:val="none" w:sz="0" w:space="0" w:color="auto"/>
            <w:left w:val="none" w:sz="0" w:space="0" w:color="auto"/>
            <w:bottom w:val="none" w:sz="0" w:space="0" w:color="auto"/>
            <w:right w:val="none" w:sz="0" w:space="0" w:color="auto"/>
          </w:divBdr>
        </w:div>
      </w:divsChild>
    </w:div>
    <w:div w:id="1446388235">
      <w:bodyDiv w:val="1"/>
      <w:marLeft w:val="0"/>
      <w:marRight w:val="0"/>
      <w:marTop w:val="0"/>
      <w:marBottom w:val="0"/>
      <w:divBdr>
        <w:top w:val="none" w:sz="0" w:space="0" w:color="auto"/>
        <w:left w:val="none" w:sz="0" w:space="0" w:color="auto"/>
        <w:bottom w:val="none" w:sz="0" w:space="0" w:color="auto"/>
        <w:right w:val="none" w:sz="0" w:space="0" w:color="auto"/>
      </w:divBdr>
      <w:divsChild>
        <w:div w:id="2120710596">
          <w:marLeft w:val="284"/>
          <w:marRight w:val="0"/>
          <w:marTop w:val="80"/>
          <w:marBottom w:val="0"/>
          <w:divBdr>
            <w:top w:val="none" w:sz="0" w:space="0" w:color="auto"/>
            <w:left w:val="none" w:sz="0" w:space="0" w:color="auto"/>
            <w:bottom w:val="none" w:sz="0" w:space="0" w:color="auto"/>
            <w:right w:val="none" w:sz="0" w:space="0" w:color="auto"/>
          </w:divBdr>
        </w:div>
        <w:div w:id="181667795">
          <w:marLeft w:val="1134"/>
          <w:marRight w:val="0"/>
          <w:marTop w:val="60"/>
          <w:marBottom w:val="0"/>
          <w:divBdr>
            <w:top w:val="none" w:sz="0" w:space="0" w:color="auto"/>
            <w:left w:val="none" w:sz="0" w:space="0" w:color="auto"/>
            <w:bottom w:val="none" w:sz="0" w:space="0" w:color="auto"/>
            <w:right w:val="none" w:sz="0" w:space="0" w:color="auto"/>
          </w:divBdr>
        </w:div>
        <w:div w:id="1186795923">
          <w:marLeft w:val="1134"/>
          <w:marRight w:val="0"/>
          <w:marTop w:val="60"/>
          <w:marBottom w:val="0"/>
          <w:divBdr>
            <w:top w:val="none" w:sz="0" w:space="0" w:color="auto"/>
            <w:left w:val="none" w:sz="0" w:space="0" w:color="auto"/>
            <w:bottom w:val="none" w:sz="0" w:space="0" w:color="auto"/>
            <w:right w:val="none" w:sz="0" w:space="0" w:color="auto"/>
          </w:divBdr>
        </w:div>
        <w:div w:id="1056859459">
          <w:marLeft w:val="284"/>
          <w:marRight w:val="0"/>
          <w:marTop w:val="40"/>
          <w:marBottom w:val="0"/>
          <w:divBdr>
            <w:top w:val="none" w:sz="0" w:space="0" w:color="auto"/>
            <w:left w:val="none" w:sz="0" w:space="0" w:color="auto"/>
            <w:bottom w:val="none" w:sz="0" w:space="0" w:color="auto"/>
            <w:right w:val="none" w:sz="0" w:space="0" w:color="auto"/>
          </w:divBdr>
        </w:div>
      </w:divsChild>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493834015">
      <w:bodyDiv w:val="1"/>
      <w:marLeft w:val="0"/>
      <w:marRight w:val="0"/>
      <w:marTop w:val="0"/>
      <w:marBottom w:val="0"/>
      <w:divBdr>
        <w:top w:val="none" w:sz="0" w:space="0" w:color="auto"/>
        <w:left w:val="none" w:sz="0" w:space="0" w:color="auto"/>
        <w:bottom w:val="none" w:sz="0" w:space="0" w:color="auto"/>
        <w:right w:val="none" w:sz="0" w:space="0" w:color="auto"/>
      </w:divBdr>
      <w:divsChild>
        <w:div w:id="294529449">
          <w:marLeft w:val="0"/>
          <w:marRight w:val="0"/>
          <w:marTop w:val="120"/>
          <w:marBottom w:val="0"/>
          <w:divBdr>
            <w:top w:val="none" w:sz="0" w:space="0" w:color="auto"/>
            <w:left w:val="none" w:sz="0" w:space="0" w:color="auto"/>
            <w:bottom w:val="none" w:sz="0" w:space="0" w:color="auto"/>
            <w:right w:val="none" w:sz="0" w:space="0" w:color="auto"/>
          </w:divBdr>
        </w:div>
        <w:div w:id="1121725140">
          <w:marLeft w:val="1134"/>
          <w:marRight w:val="0"/>
          <w:marTop w:val="60"/>
          <w:marBottom w:val="0"/>
          <w:divBdr>
            <w:top w:val="none" w:sz="0" w:space="0" w:color="auto"/>
            <w:left w:val="none" w:sz="0" w:space="0" w:color="auto"/>
            <w:bottom w:val="none" w:sz="0" w:space="0" w:color="auto"/>
            <w:right w:val="none" w:sz="0" w:space="0" w:color="auto"/>
          </w:divBdr>
        </w:div>
        <w:div w:id="230966836">
          <w:marLeft w:val="1134"/>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8(5)%27%5d&amp;xhitlist_md=target-id=0-0-0-75219"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34y2005s4%27%5d&amp;xhitlist_md=target-id=0-0-0-749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86B0-FDC3-4FA0-A7E6-9759FDC3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8056</Words>
  <Characters>45924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HOME</cp:lastModifiedBy>
  <cp:revision>2</cp:revision>
  <cp:lastPrinted>2022-05-01T07:19:00Z</cp:lastPrinted>
  <dcterms:created xsi:type="dcterms:W3CDTF">2022-05-20T16:19:00Z</dcterms:created>
  <dcterms:modified xsi:type="dcterms:W3CDTF">2022-05-20T16:19:00Z</dcterms:modified>
</cp:coreProperties>
</file>