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51264" w14:textId="42E21A49" w:rsidR="00245E18" w:rsidRDefault="00245E18" w:rsidP="00245E18">
      <w:pPr>
        <w:widowControl w:val="0"/>
        <w:autoSpaceDE w:val="0"/>
        <w:autoSpaceDN w:val="0"/>
        <w:adjustRightInd w:val="0"/>
        <w:spacing w:after="0" w:line="240" w:lineRule="auto"/>
        <w:jc w:val="center"/>
        <w:outlineLvl w:val="0"/>
        <w:rPr>
          <w:rFonts w:ascii="Arial" w:hAnsi="Arial" w:cs="Arial"/>
          <w:b/>
          <w:bCs/>
          <w:sz w:val="28"/>
          <w:szCs w:val="28"/>
          <w:u w:val="single"/>
        </w:rPr>
      </w:pPr>
      <w:bookmarkStart w:id="0" w:name="_GoBack"/>
      <w:bookmarkEnd w:id="0"/>
      <w:r w:rsidRPr="00531213">
        <w:rPr>
          <w:rFonts w:ascii="Arial" w:hAnsi="Arial" w:cs="Arial"/>
          <w:noProof/>
          <w:sz w:val="24"/>
          <w:szCs w:val="24"/>
          <w:lang w:eastAsia="en-ZA"/>
        </w:rPr>
        <w:drawing>
          <wp:inline distT="0" distB="0" distL="0" distR="0" wp14:anchorId="7F60C993" wp14:editId="55AA5D3D">
            <wp:extent cx="1619250" cy="16192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77173DEE" w14:textId="77777777" w:rsidR="00440D95" w:rsidRDefault="00440D95" w:rsidP="00245E18">
      <w:pPr>
        <w:widowControl w:val="0"/>
        <w:autoSpaceDE w:val="0"/>
        <w:autoSpaceDN w:val="0"/>
        <w:adjustRightInd w:val="0"/>
        <w:spacing w:after="0" w:line="240" w:lineRule="auto"/>
        <w:jc w:val="center"/>
        <w:outlineLvl w:val="0"/>
        <w:rPr>
          <w:rFonts w:ascii="Arial" w:hAnsi="Arial" w:cs="Arial"/>
          <w:b/>
          <w:bCs/>
          <w:sz w:val="28"/>
          <w:szCs w:val="28"/>
          <w:u w:val="single"/>
        </w:rPr>
      </w:pPr>
    </w:p>
    <w:p w14:paraId="793F39F3" w14:textId="77777777" w:rsidR="00245E18" w:rsidRPr="0085054E" w:rsidRDefault="00245E18" w:rsidP="00245E18">
      <w:pPr>
        <w:spacing w:after="0" w:line="360" w:lineRule="auto"/>
        <w:jc w:val="center"/>
        <w:rPr>
          <w:rFonts w:ascii="Arial" w:hAnsi="Arial" w:cs="Arial"/>
          <w:b/>
          <w:bCs/>
          <w:sz w:val="24"/>
          <w:szCs w:val="24"/>
        </w:rPr>
      </w:pPr>
      <w:r w:rsidRPr="0085054E">
        <w:rPr>
          <w:rFonts w:ascii="Arial" w:hAnsi="Arial" w:cs="Arial"/>
          <w:b/>
          <w:bCs/>
          <w:sz w:val="24"/>
          <w:szCs w:val="24"/>
        </w:rPr>
        <w:t>IN THE HIGH COURT OF SOUTH AFRICA</w:t>
      </w:r>
    </w:p>
    <w:p w14:paraId="099F2541" w14:textId="77777777" w:rsidR="00245E18" w:rsidRPr="0085054E" w:rsidRDefault="00245E18" w:rsidP="00245E18">
      <w:pPr>
        <w:spacing w:after="0" w:line="360" w:lineRule="auto"/>
        <w:jc w:val="center"/>
        <w:rPr>
          <w:rFonts w:ascii="Arial" w:hAnsi="Arial" w:cs="Arial"/>
          <w:b/>
          <w:bCs/>
          <w:sz w:val="24"/>
          <w:szCs w:val="24"/>
        </w:rPr>
      </w:pPr>
      <w:r>
        <w:rPr>
          <w:rFonts w:ascii="Arial" w:hAnsi="Arial" w:cs="Arial"/>
          <w:b/>
          <w:bCs/>
          <w:sz w:val="24"/>
          <w:szCs w:val="24"/>
        </w:rPr>
        <w:t>FREE STATE</w:t>
      </w:r>
      <w:r w:rsidRPr="0085054E">
        <w:rPr>
          <w:rFonts w:ascii="Arial" w:hAnsi="Arial" w:cs="Arial"/>
          <w:b/>
          <w:bCs/>
          <w:sz w:val="24"/>
          <w:szCs w:val="24"/>
        </w:rPr>
        <w:t xml:space="preserve"> DIVISION, </w:t>
      </w:r>
      <w:r>
        <w:rPr>
          <w:rFonts w:ascii="Arial" w:hAnsi="Arial" w:cs="Arial"/>
          <w:b/>
          <w:bCs/>
          <w:sz w:val="24"/>
          <w:szCs w:val="24"/>
        </w:rPr>
        <w:t>BLOEMFONTEIN</w:t>
      </w:r>
    </w:p>
    <w:p w14:paraId="3964D966" w14:textId="77777777" w:rsidR="00245E18" w:rsidRPr="00E54812" w:rsidRDefault="00245E18" w:rsidP="00245E18">
      <w:pPr>
        <w:widowControl w:val="0"/>
        <w:autoSpaceDE w:val="0"/>
        <w:autoSpaceDN w:val="0"/>
        <w:adjustRightInd w:val="0"/>
        <w:spacing w:after="0" w:line="240" w:lineRule="auto"/>
        <w:jc w:val="right"/>
        <w:outlineLvl w:val="0"/>
        <w:rPr>
          <w:rFonts w:ascii="Arial" w:hAnsi="Arial" w:cs="Arial"/>
          <w:sz w:val="28"/>
          <w:szCs w:val="28"/>
        </w:rPr>
      </w:pPr>
    </w:p>
    <w:p w14:paraId="6CF4ED07" w14:textId="16565575" w:rsidR="00245E18" w:rsidRDefault="00245E18" w:rsidP="00245E18">
      <w:pPr>
        <w:widowControl w:val="0"/>
        <w:autoSpaceDE w:val="0"/>
        <w:autoSpaceDN w:val="0"/>
        <w:adjustRightInd w:val="0"/>
        <w:spacing w:after="0" w:line="240" w:lineRule="auto"/>
        <w:jc w:val="center"/>
        <w:outlineLvl w:val="0"/>
        <w:rPr>
          <w:rFonts w:ascii="Arial" w:hAnsi="Arial" w:cs="Arial"/>
          <w:sz w:val="28"/>
          <w:szCs w:val="28"/>
        </w:rPr>
      </w:pPr>
      <w:r>
        <w:rPr>
          <w:rFonts w:ascii="Arial" w:hAnsi="Arial" w:cs="Arial"/>
          <w:sz w:val="28"/>
          <w:szCs w:val="28"/>
        </w:rPr>
        <w:t xml:space="preserve">                                                                                 Case </w:t>
      </w:r>
      <w:r w:rsidRPr="00E54812">
        <w:rPr>
          <w:rFonts w:ascii="Arial" w:hAnsi="Arial" w:cs="Arial"/>
          <w:sz w:val="28"/>
          <w:szCs w:val="28"/>
        </w:rPr>
        <w:t>N</w:t>
      </w:r>
      <w:r>
        <w:rPr>
          <w:rFonts w:ascii="Arial" w:hAnsi="Arial" w:cs="Arial"/>
          <w:sz w:val="28"/>
          <w:szCs w:val="28"/>
        </w:rPr>
        <w:t>o</w:t>
      </w:r>
      <w:r w:rsidRPr="00E54812">
        <w:rPr>
          <w:rFonts w:ascii="Arial" w:hAnsi="Arial" w:cs="Arial"/>
          <w:sz w:val="28"/>
          <w:szCs w:val="28"/>
        </w:rPr>
        <w:t xml:space="preserve">.: </w:t>
      </w:r>
      <w:r w:rsidRPr="00440D95">
        <w:rPr>
          <w:rFonts w:ascii="Arial" w:hAnsi="Arial" w:cs="Arial"/>
          <w:b/>
          <w:sz w:val="28"/>
          <w:szCs w:val="28"/>
        </w:rPr>
        <w:t>3460/2021</w:t>
      </w:r>
    </w:p>
    <w:p w14:paraId="0B36109E" w14:textId="77777777" w:rsidR="00245E18" w:rsidRPr="00E54812" w:rsidRDefault="00245E18" w:rsidP="00245E18">
      <w:pPr>
        <w:widowControl w:val="0"/>
        <w:autoSpaceDE w:val="0"/>
        <w:autoSpaceDN w:val="0"/>
        <w:adjustRightInd w:val="0"/>
        <w:spacing w:after="0" w:line="240" w:lineRule="auto"/>
        <w:jc w:val="right"/>
        <w:outlineLvl w:val="0"/>
        <w:rPr>
          <w:rFonts w:ascii="Arial" w:hAnsi="Arial" w:cs="Arial"/>
          <w:b/>
          <w:sz w:val="28"/>
          <w:szCs w:val="28"/>
        </w:rPr>
      </w:pPr>
    </w:p>
    <w:p w14:paraId="3428469B" w14:textId="77777777" w:rsidR="00245E18" w:rsidRPr="00E54812" w:rsidRDefault="00245E18" w:rsidP="00245E18">
      <w:pPr>
        <w:widowControl w:val="0"/>
        <w:autoSpaceDE w:val="0"/>
        <w:autoSpaceDN w:val="0"/>
        <w:adjustRightInd w:val="0"/>
        <w:spacing w:after="0" w:line="240" w:lineRule="auto"/>
        <w:jc w:val="both"/>
        <w:rPr>
          <w:rFonts w:ascii="Arial" w:hAnsi="Arial" w:cs="Arial"/>
          <w:sz w:val="28"/>
          <w:szCs w:val="28"/>
        </w:rPr>
      </w:pPr>
      <w:r w:rsidRPr="00E54812">
        <w:rPr>
          <w:rFonts w:ascii="Arial" w:hAnsi="Arial" w:cs="Arial"/>
          <w:sz w:val="28"/>
          <w:szCs w:val="28"/>
        </w:rPr>
        <w:t xml:space="preserve">In </w:t>
      </w:r>
      <w:r>
        <w:rPr>
          <w:rFonts w:ascii="Arial" w:hAnsi="Arial" w:cs="Arial"/>
          <w:sz w:val="28"/>
          <w:szCs w:val="28"/>
        </w:rPr>
        <w:t>the matter between</w:t>
      </w:r>
      <w:r w:rsidRPr="00E54812">
        <w:rPr>
          <w:rFonts w:ascii="Arial" w:hAnsi="Arial" w:cs="Arial"/>
          <w:sz w:val="28"/>
          <w:szCs w:val="28"/>
        </w:rPr>
        <w:t>:</w:t>
      </w:r>
    </w:p>
    <w:p w14:paraId="08296D8C" w14:textId="77777777" w:rsidR="00245E18" w:rsidRPr="00E54812" w:rsidRDefault="00245E18" w:rsidP="00245E18">
      <w:pPr>
        <w:widowControl w:val="0"/>
        <w:autoSpaceDE w:val="0"/>
        <w:autoSpaceDN w:val="0"/>
        <w:adjustRightInd w:val="0"/>
        <w:spacing w:after="0" w:line="240" w:lineRule="auto"/>
        <w:jc w:val="both"/>
        <w:rPr>
          <w:rFonts w:ascii="Arial" w:hAnsi="Arial" w:cs="Arial"/>
          <w:sz w:val="28"/>
          <w:szCs w:val="28"/>
        </w:rPr>
      </w:pPr>
    </w:p>
    <w:p w14:paraId="385C410B" w14:textId="770E5D19" w:rsidR="00245E18" w:rsidRPr="00E54812" w:rsidRDefault="00245E18" w:rsidP="00245E18">
      <w:pPr>
        <w:widowControl w:val="0"/>
        <w:tabs>
          <w:tab w:val="right" w:pos="9072"/>
        </w:tabs>
        <w:autoSpaceDE w:val="0"/>
        <w:autoSpaceDN w:val="0"/>
        <w:adjustRightInd w:val="0"/>
        <w:spacing w:after="0" w:line="240" w:lineRule="auto"/>
        <w:jc w:val="both"/>
        <w:rPr>
          <w:rFonts w:ascii="Arial" w:hAnsi="Arial" w:cs="Arial"/>
          <w:bCs/>
          <w:sz w:val="28"/>
          <w:szCs w:val="28"/>
        </w:rPr>
      </w:pPr>
      <w:r>
        <w:rPr>
          <w:rFonts w:ascii="Arial" w:hAnsi="Arial" w:cs="Arial"/>
          <w:b/>
          <w:bCs/>
          <w:sz w:val="28"/>
          <w:szCs w:val="28"/>
        </w:rPr>
        <w:t xml:space="preserve">ATLANTIC OIL INLAND </w:t>
      </w:r>
      <w:r w:rsidR="000C452C">
        <w:rPr>
          <w:rFonts w:ascii="Arial" w:hAnsi="Arial" w:cs="Arial"/>
          <w:b/>
          <w:bCs/>
          <w:sz w:val="28"/>
          <w:szCs w:val="28"/>
        </w:rPr>
        <w:t>(</w:t>
      </w:r>
      <w:r>
        <w:rPr>
          <w:rFonts w:ascii="Arial" w:hAnsi="Arial" w:cs="Arial"/>
          <w:b/>
          <w:bCs/>
          <w:sz w:val="28"/>
          <w:szCs w:val="28"/>
        </w:rPr>
        <w:t>PTY</w:t>
      </w:r>
      <w:r w:rsidR="000C452C">
        <w:rPr>
          <w:rFonts w:ascii="Arial" w:hAnsi="Arial" w:cs="Arial"/>
          <w:b/>
          <w:bCs/>
          <w:sz w:val="28"/>
          <w:szCs w:val="28"/>
        </w:rPr>
        <w:t>)</w:t>
      </w:r>
      <w:r>
        <w:rPr>
          <w:rFonts w:ascii="Arial" w:hAnsi="Arial" w:cs="Arial"/>
          <w:b/>
          <w:bCs/>
          <w:sz w:val="28"/>
          <w:szCs w:val="28"/>
        </w:rPr>
        <w:t xml:space="preserve"> LTD</w:t>
      </w:r>
      <w:r w:rsidRPr="00E54812">
        <w:rPr>
          <w:rFonts w:ascii="Arial" w:hAnsi="Arial" w:cs="Arial"/>
          <w:bCs/>
          <w:sz w:val="28"/>
          <w:szCs w:val="28"/>
        </w:rPr>
        <w:tab/>
        <w:t xml:space="preserve">      </w:t>
      </w:r>
      <w:r>
        <w:rPr>
          <w:rFonts w:ascii="Arial" w:hAnsi="Arial" w:cs="Arial"/>
          <w:bCs/>
          <w:sz w:val="28"/>
          <w:szCs w:val="28"/>
        </w:rPr>
        <w:t xml:space="preserve"> </w:t>
      </w:r>
      <w:r w:rsidRPr="00E54812">
        <w:rPr>
          <w:rFonts w:ascii="Arial" w:hAnsi="Arial" w:cs="Arial"/>
          <w:bCs/>
          <w:sz w:val="28"/>
          <w:szCs w:val="28"/>
        </w:rPr>
        <w:t>Appli</w:t>
      </w:r>
      <w:r>
        <w:rPr>
          <w:rFonts w:ascii="Arial" w:hAnsi="Arial" w:cs="Arial"/>
          <w:bCs/>
          <w:sz w:val="28"/>
          <w:szCs w:val="28"/>
        </w:rPr>
        <w:t>c</w:t>
      </w:r>
      <w:r w:rsidRPr="00E54812">
        <w:rPr>
          <w:rFonts w:ascii="Arial" w:hAnsi="Arial" w:cs="Arial"/>
          <w:bCs/>
          <w:sz w:val="28"/>
          <w:szCs w:val="28"/>
        </w:rPr>
        <w:t>ant</w:t>
      </w:r>
    </w:p>
    <w:p w14:paraId="46380AC7" w14:textId="77777777" w:rsidR="00245E18" w:rsidRPr="00E54812" w:rsidRDefault="00245E18" w:rsidP="00245E18">
      <w:pPr>
        <w:widowControl w:val="0"/>
        <w:tabs>
          <w:tab w:val="right" w:pos="9072"/>
        </w:tabs>
        <w:autoSpaceDE w:val="0"/>
        <w:autoSpaceDN w:val="0"/>
        <w:adjustRightInd w:val="0"/>
        <w:spacing w:after="0" w:line="240" w:lineRule="auto"/>
        <w:jc w:val="both"/>
        <w:rPr>
          <w:rFonts w:ascii="Arial" w:hAnsi="Arial" w:cs="Arial"/>
          <w:bCs/>
          <w:sz w:val="28"/>
          <w:szCs w:val="28"/>
        </w:rPr>
      </w:pPr>
    </w:p>
    <w:p w14:paraId="6F024E94" w14:textId="77777777" w:rsidR="00245E18" w:rsidRPr="00E54812" w:rsidRDefault="00245E18" w:rsidP="00245E18">
      <w:pPr>
        <w:widowControl w:val="0"/>
        <w:tabs>
          <w:tab w:val="right" w:pos="9072"/>
        </w:tabs>
        <w:autoSpaceDE w:val="0"/>
        <w:autoSpaceDN w:val="0"/>
        <w:adjustRightInd w:val="0"/>
        <w:spacing w:after="0" w:line="240" w:lineRule="auto"/>
        <w:jc w:val="both"/>
        <w:rPr>
          <w:rFonts w:ascii="Arial" w:hAnsi="Arial" w:cs="Arial"/>
          <w:sz w:val="28"/>
          <w:szCs w:val="28"/>
        </w:rPr>
      </w:pPr>
      <w:r>
        <w:rPr>
          <w:rFonts w:ascii="Arial" w:hAnsi="Arial" w:cs="Arial"/>
          <w:sz w:val="28"/>
          <w:szCs w:val="28"/>
        </w:rPr>
        <w:t>and</w:t>
      </w:r>
    </w:p>
    <w:p w14:paraId="468D7F3F" w14:textId="77777777" w:rsidR="00245E18" w:rsidRPr="00E54812" w:rsidRDefault="00245E18" w:rsidP="00245E18">
      <w:pPr>
        <w:widowControl w:val="0"/>
        <w:tabs>
          <w:tab w:val="right" w:pos="9000"/>
        </w:tabs>
        <w:autoSpaceDE w:val="0"/>
        <w:autoSpaceDN w:val="0"/>
        <w:adjustRightInd w:val="0"/>
        <w:spacing w:after="0" w:line="240" w:lineRule="auto"/>
        <w:jc w:val="both"/>
        <w:rPr>
          <w:rFonts w:ascii="Arial" w:hAnsi="Arial" w:cs="Arial"/>
          <w:b/>
          <w:sz w:val="28"/>
          <w:szCs w:val="28"/>
          <w:u w:val="single"/>
        </w:rPr>
      </w:pPr>
    </w:p>
    <w:p w14:paraId="3D577AEA" w14:textId="2AFCCEA9" w:rsidR="00245E18" w:rsidRDefault="00245E18" w:rsidP="00245E18">
      <w:pPr>
        <w:widowControl w:val="0"/>
        <w:tabs>
          <w:tab w:val="right" w:pos="9000"/>
        </w:tabs>
        <w:autoSpaceDE w:val="0"/>
        <w:autoSpaceDN w:val="0"/>
        <w:adjustRightInd w:val="0"/>
        <w:spacing w:after="0" w:line="240" w:lineRule="auto"/>
        <w:jc w:val="both"/>
        <w:rPr>
          <w:rFonts w:ascii="Arial" w:hAnsi="Arial" w:cs="Arial"/>
          <w:sz w:val="28"/>
          <w:szCs w:val="28"/>
        </w:rPr>
      </w:pPr>
      <w:r>
        <w:rPr>
          <w:rFonts w:ascii="Arial" w:hAnsi="Arial" w:cs="Arial"/>
          <w:b/>
          <w:sz w:val="28"/>
          <w:szCs w:val="28"/>
        </w:rPr>
        <w:t xml:space="preserve">DATNIS TRADING </w:t>
      </w:r>
      <w:r w:rsidR="000C452C">
        <w:rPr>
          <w:rFonts w:ascii="Arial" w:hAnsi="Arial" w:cs="Arial"/>
          <w:b/>
          <w:sz w:val="28"/>
          <w:szCs w:val="28"/>
        </w:rPr>
        <w:t>(</w:t>
      </w:r>
      <w:r>
        <w:rPr>
          <w:rFonts w:ascii="Arial" w:hAnsi="Arial" w:cs="Arial"/>
          <w:b/>
          <w:sz w:val="28"/>
          <w:szCs w:val="28"/>
        </w:rPr>
        <w:t>PTY</w:t>
      </w:r>
      <w:r w:rsidR="000C452C">
        <w:rPr>
          <w:rFonts w:ascii="Arial" w:hAnsi="Arial" w:cs="Arial"/>
          <w:b/>
          <w:sz w:val="28"/>
          <w:szCs w:val="28"/>
        </w:rPr>
        <w:t>)</w:t>
      </w:r>
      <w:r>
        <w:rPr>
          <w:rFonts w:ascii="Arial" w:hAnsi="Arial" w:cs="Arial"/>
          <w:b/>
          <w:sz w:val="28"/>
          <w:szCs w:val="28"/>
        </w:rPr>
        <w:t xml:space="preserve"> LTD</w:t>
      </w:r>
      <w:r w:rsidR="004B1B20" w:rsidRPr="00E54812">
        <w:rPr>
          <w:rFonts w:ascii="Arial" w:hAnsi="Arial" w:cs="Arial"/>
          <w:sz w:val="28"/>
          <w:szCs w:val="28"/>
        </w:rPr>
        <w:tab/>
      </w:r>
      <w:r w:rsidR="004B1B20">
        <w:rPr>
          <w:rFonts w:ascii="Arial" w:hAnsi="Arial" w:cs="Arial"/>
          <w:sz w:val="28"/>
          <w:szCs w:val="28"/>
        </w:rPr>
        <w:t xml:space="preserve"> Respondent</w:t>
      </w:r>
    </w:p>
    <w:p w14:paraId="614A60D1" w14:textId="77777777" w:rsidR="00245E18" w:rsidRDefault="00245E18" w:rsidP="00245E18">
      <w:pPr>
        <w:widowControl w:val="0"/>
        <w:tabs>
          <w:tab w:val="right" w:pos="9000"/>
        </w:tabs>
        <w:autoSpaceDE w:val="0"/>
        <w:autoSpaceDN w:val="0"/>
        <w:adjustRightInd w:val="0"/>
        <w:spacing w:after="0" w:line="240" w:lineRule="auto"/>
        <w:jc w:val="both"/>
        <w:rPr>
          <w:rFonts w:ascii="Arial" w:hAnsi="Arial" w:cs="Arial"/>
          <w:sz w:val="28"/>
          <w:szCs w:val="28"/>
        </w:rPr>
      </w:pPr>
      <w:r>
        <w:rPr>
          <w:rFonts w:ascii="Arial" w:hAnsi="Arial" w:cs="Arial"/>
          <w:sz w:val="28"/>
          <w:szCs w:val="28"/>
        </w:rPr>
        <w:t>[Reg No: 2013/172541/07]</w:t>
      </w:r>
    </w:p>
    <w:p w14:paraId="6013337B" w14:textId="77777777" w:rsidR="00245E18" w:rsidRDefault="00245E18" w:rsidP="00245E18">
      <w:pPr>
        <w:widowControl w:val="0"/>
        <w:tabs>
          <w:tab w:val="right" w:pos="9000"/>
        </w:tabs>
        <w:autoSpaceDE w:val="0"/>
        <w:autoSpaceDN w:val="0"/>
        <w:adjustRightInd w:val="0"/>
        <w:spacing w:after="0" w:line="240" w:lineRule="auto"/>
        <w:jc w:val="both"/>
        <w:rPr>
          <w:rFonts w:ascii="Arial" w:hAnsi="Arial" w:cs="Arial"/>
          <w:sz w:val="28"/>
          <w:szCs w:val="28"/>
        </w:rPr>
      </w:pPr>
    </w:p>
    <w:p w14:paraId="709B21BB" w14:textId="77777777" w:rsidR="00245E18" w:rsidRPr="00E54812" w:rsidRDefault="00245E18" w:rsidP="00245E18">
      <w:pPr>
        <w:widowControl w:val="0"/>
        <w:pBdr>
          <w:bottom w:val="single" w:sz="12" w:space="1" w:color="auto"/>
        </w:pBdr>
        <w:tabs>
          <w:tab w:val="right" w:pos="9072"/>
        </w:tabs>
        <w:autoSpaceDE w:val="0"/>
        <w:autoSpaceDN w:val="0"/>
        <w:adjustRightInd w:val="0"/>
        <w:spacing w:after="0" w:line="240" w:lineRule="auto"/>
        <w:jc w:val="both"/>
        <w:rPr>
          <w:rFonts w:ascii="Arial" w:hAnsi="Arial" w:cs="Arial"/>
          <w:sz w:val="28"/>
          <w:szCs w:val="28"/>
        </w:rPr>
      </w:pPr>
    </w:p>
    <w:p w14:paraId="0A69FABF" w14:textId="77777777" w:rsidR="00245E18" w:rsidRPr="00E54812" w:rsidRDefault="00245E18" w:rsidP="00245E18">
      <w:pPr>
        <w:widowControl w:val="0"/>
        <w:tabs>
          <w:tab w:val="right" w:pos="8505"/>
        </w:tabs>
        <w:autoSpaceDE w:val="0"/>
        <w:autoSpaceDN w:val="0"/>
        <w:adjustRightInd w:val="0"/>
        <w:spacing w:after="0" w:line="240" w:lineRule="auto"/>
        <w:jc w:val="both"/>
        <w:rPr>
          <w:rFonts w:ascii="Arial" w:hAnsi="Arial" w:cs="Arial"/>
          <w:b/>
          <w:bCs/>
          <w:sz w:val="28"/>
          <w:szCs w:val="28"/>
          <w:u w:val="single"/>
        </w:rPr>
      </w:pPr>
    </w:p>
    <w:p w14:paraId="1EC535F3" w14:textId="021B5E58" w:rsidR="00245E18" w:rsidRPr="00E54812" w:rsidRDefault="00EC186A" w:rsidP="00245E18">
      <w:pPr>
        <w:widowControl w:val="0"/>
        <w:pBdr>
          <w:bottom w:val="single" w:sz="12" w:space="1" w:color="auto"/>
        </w:pBdr>
        <w:autoSpaceDE w:val="0"/>
        <w:autoSpaceDN w:val="0"/>
        <w:adjustRightInd w:val="0"/>
        <w:spacing w:after="0" w:line="240" w:lineRule="auto"/>
        <w:jc w:val="both"/>
        <w:rPr>
          <w:rFonts w:ascii="Arial" w:hAnsi="Arial" w:cs="Arial"/>
          <w:bCs/>
          <w:sz w:val="28"/>
          <w:szCs w:val="28"/>
        </w:rPr>
      </w:pPr>
      <w:r>
        <w:rPr>
          <w:rFonts w:ascii="Arial" w:hAnsi="Arial" w:cs="Arial"/>
          <w:b/>
          <w:bCs/>
          <w:sz w:val="28"/>
          <w:szCs w:val="28"/>
          <w:u w:val="single"/>
        </w:rPr>
        <w:t>JUDGMENT BY</w:t>
      </w:r>
      <w:r w:rsidR="00245E18" w:rsidRPr="007442E7">
        <w:rPr>
          <w:rFonts w:ascii="Arial" w:hAnsi="Arial" w:cs="Arial"/>
          <w:b/>
          <w:bCs/>
          <w:sz w:val="28"/>
          <w:szCs w:val="28"/>
        </w:rPr>
        <w:t>:</w:t>
      </w:r>
      <w:r w:rsidR="00245E18">
        <w:rPr>
          <w:rFonts w:ascii="Arial" w:hAnsi="Arial" w:cs="Arial"/>
          <w:b/>
          <w:bCs/>
          <w:sz w:val="28"/>
          <w:szCs w:val="28"/>
        </w:rPr>
        <w:tab/>
      </w:r>
      <w:r w:rsidR="00D9228E">
        <w:rPr>
          <w:rFonts w:ascii="Arial" w:hAnsi="Arial" w:cs="Arial"/>
          <w:b/>
          <w:bCs/>
          <w:sz w:val="28"/>
          <w:szCs w:val="28"/>
        </w:rPr>
        <w:tab/>
      </w:r>
      <w:r w:rsidR="00D9228E">
        <w:rPr>
          <w:rFonts w:ascii="Arial" w:hAnsi="Arial" w:cs="Arial"/>
          <w:b/>
          <w:bCs/>
          <w:sz w:val="28"/>
          <w:szCs w:val="28"/>
        </w:rPr>
        <w:tab/>
      </w:r>
      <w:r w:rsidR="00245E18" w:rsidRPr="00E54812">
        <w:rPr>
          <w:rFonts w:ascii="Arial" w:hAnsi="Arial" w:cs="Arial"/>
          <w:bCs/>
          <w:sz w:val="28"/>
          <w:szCs w:val="28"/>
        </w:rPr>
        <w:t>SNELLENBURG, AJ</w:t>
      </w:r>
    </w:p>
    <w:p w14:paraId="0EB36679" w14:textId="77777777" w:rsidR="00245E18" w:rsidRPr="00E54812" w:rsidRDefault="00245E18" w:rsidP="00245E18">
      <w:pPr>
        <w:widowControl w:val="0"/>
        <w:pBdr>
          <w:bottom w:val="single" w:sz="12" w:space="1" w:color="auto"/>
        </w:pBdr>
        <w:autoSpaceDE w:val="0"/>
        <w:autoSpaceDN w:val="0"/>
        <w:adjustRightInd w:val="0"/>
        <w:spacing w:after="0" w:line="240" w:lineRule="auto"/>
        <w:jc w:val="both"/>
        <w:rPr>
          <w:rFonts w:ascii="Arial" w:hAnsi="Arial" w:cs="Arial"/>
          <w:b/>
          <w:bCs/>
          <w:sz w:val="28"/>
          <w:szCs w:val="28"/>
        </w:rPr>
      </w:pPr>
    </w:p>
    <w:p w14:paraId="136EF678" w14:textId="77777777" w:rsidR="00245E18" w:rsidRPr="00E54812" w:rsidRDefault="00245E18" w:rsidP="00245E18">
      <w:pPr>
        <w:widowControl w:val="0"/>
        <w:tabs>
          <w:tab w:val="right" w:pos="8505"/>
        </w:tabs>
        <w:autoSpaceDE w:val="0"/>
        <w:autoSpaceDN w:val="0"/>
        <w:adjustRightInd w:val="0"/>
        <w:spacing w:after="0" w:line="240" w:lineRule="auto"/>
        <w:jc w:val="both"/>
        <w:rPr>
          <w:rFonts w:ascii="Arial" w:hAnsi="Arial" w:cs="Arial"/>
          <w:b/>
          <w:bCs/>
          <w:sz w:val="28"/>
          <w:szCs w:val="28"/>
          <w:u w:val="single"/>
        </w:rPr>
      </w:pPr>
    </w:p>
    <w:p w14:paraId="22F20A26" w14:textId="7696511E" w:rsidR="00245E18" w:rsidRPr="00E54812" w:rsidRDefault="00245E18" w:rsidP="00245E18">
      <w:pPr>
        <w:widowControl w:val="0"/>
        <w:autoSpaceDE w:val="0"/>
        <w:autoSpaceDN w:val="0"/>
        <w:adjustRightInd w:val="0"/>
        <w:spacing w:after="0" w:line="240" w:lineRule="auto"/>
        <w:jc w:val="both"/>
        <w:rPr>
          <w:rFonts w:ascii="Arial" w:hAnsi="Arial" w:cs="Arial"/>
          <w:b/>
          <w:bCs/>
          <w:sz w:val="28"/>
          <w:szCs w:val="28"/>
        </w:rPr>
      </w:pPr>
      <w:r w:rsidRPr="00E54812">
        <w:rPr>
          <w:rFonts w:ascii="Arial" w:hAnsi="Arial" w:cs="Arial"/>
          <w:b/>
          <w:bCs/>
          <w:sz w:val="28"/>
          <w:szCs w:val="28"/>
          <w:u w:val="single"/>
        </w:rPr>
        <w:t>HEARD</w:t>
      </w:r>
      <w:r w:rsidRPr="007442E7">
        <w:rPr>
          <w:rFonts w:ascii="Arial" w:hAnsi="Arial" w:cs="Arial"/>
          <w:b/>
          <w:bCs/>
          <w:sz w:val="28"/>
          <w:szCs w:val="28"/>
        </w:rPr>
        <w:t>:</w:t>
      </w:r>
      <w:r w:rsidRPr="00E54812">
        <w:rPr>
          <w:rFonts w:ascii="Arial" w:hAnsi="Arial" w:cs="Arial"/>
          <w:b/>
          <w:bCs/>
          <w:sz w:val="28"/>
          <w:szCs w:val="28"/>
        </w:rPr>
        <w:tab/>
      </w:r>
      <w:r w:rsidRPr="00E54812">
        <w:rPr>
          <w:rFonts w:ascii="Arial" w:hAnsi="Arial" w:cs="Arial"/>
          <w:b/>
          <w:bCs/>
          <w:sz w:val="28"/>
          <w:szCs w:val="28"/>
        </w:rPr>
        <w:tab/>
      </w:r>
      <w:r w:rsidR="00D9228E">
        <w:rPr>
          <w:rFonts w:ascii="Arial" w:hAnsi="Arial" w:cs="Arial"/>
          <w:b/>
          <w:bCs/>
          <w:sz w:val="28"/>
          <w:szCs w:val="28"/>
        </w:rPr>
        <w:tab/>
      </w:r>
      <w:r w:rsidR="00D9228E">
        <w:rPr>
          <w:rFonts w:ascii="Arial" w:hAnsi="Arial" w:cs="Arial"/>
          <w:b/>
          <w:bCs/>
          <w:sz w:val="28"/>
          <w:szCs w:val="28"/>
        </w:rPr>
        <w:tab/>
      </w:r>
      <w:r>
        <w:rPr>
          <w:rFonts w:ascii="Arial" w:hAnsi="Arial" w:cs="Arial"/>
          <w:bCs/>
          <w:sz w:val="28"/>
          <w:szCs w:val="28"/>
        </w:rPr>
        <w:t>14</w:t>
      </w:r>
      <w:r w:rsidRPr="00E54812">
        <w:rPr>
          <w:rFonts w:ascii="Arial" w:hAnsi="Arial" w:cs="Arial"/>
          <w:bCs/>
          <w:sz w:val="28"/>
          <w:szCs w:val="28"/>
        </w:rPr>
        <w:t xml:space="preserve"> </w:t>
      </w:r>
      <w:r>
        <w:rPr>
          <w:rFonts w:ascii="Arial" w:hAnsi="Arial" w:cs="Arial"/>
          <w:bCs/>
          <w:sz w:val="28"/>
          <w:szCs w:val="28"/>
        </w:rPr>
        <w:t>APRIL</w:t>
      </w:r>
      <w:r w:rsidRPr="00E54812">
        <w:rPr>
          <w:rFonts w:ascii="Arial" w:hAnsi="Arial" w:cs="Arial"/>
          <w:bCs/>
          <w:sz w:val="28"/>
          <w:szCs w:val="28"/>
        </w:rPr>
        <w:t xml:space="preserve"> 202</w:t>
      </w:r>
      <w:r>
        <w:rPr>
          <w:rFonts w:ascii="Arial" w:hAnsi="Arial" w:cs="Arial"/>
          <w:bCs/>
          <w:sz w:val="28"/>
          <w:szCs w:val="28"/>
        </w:rPr>
        <w:t>2</w:t>
      </w:r>
    </w:p>
    <w:p w14:paraId="3A7C2241" w14:textId="77777777" w:rsidR="00245E18" w:rsidRPr="00E54812" w:rsidRDefault="00245E18" w:rsidP="00245E18">
      <w:pPr>
        <w:widowControl w:val="0"/>
        <w:pBdr>
          <w:bottom w:val="single" w:sz="12" w:space="1" w:color="auto"/>
        </w:pBdr>
        <w:autoSpaceDE w:val="0"/>
        <w:autoSpaceDN w:val="0"/>
        <w:adjustRightInd w:val="0"/>
        <w:spacing w:after="0" w:line="240" w:lineRule="auto"/>
        <w:jc w:val="both"/>
        <w:rPr>
          <w:rFonts w:ascii="Arial" w:hAnsi="Arial" w:cs="Arial"/>
          <w:bCs/>
          <w:sz w:val="28"/>
          <w:szCs w:val="28"/>
        </w:rPr>
      </w:pPr>
    </w:p>
    <w:p w14:paraId="473AF845" w14:textId="77777777" w:rsidR="00245E18" w:rsidRPr="00E54812" w:rsidRDefault="00245E18" w:rsidP="00245E18">
      <w:pPr>
        <w:widowControl w:val="0"/>
        <w:autoSpaceDE w:val="0"/>
        <w:autoSpaceDN w:val="0"/>
        <w:adjustRightInd w:val="0"/>
        <w:spacing w:after="0" w:line="240" w:lineRule="auto"/>
        <w:jc w:val="both"/>
        <w:rPr>
          <w:rFonts w:ascii="Arial" w:hAnsi="Arial" w:cs="Arial"/>
          <w:b/>
          <w:bCs/>
          <w:sz w:val="28"/>
          <w:szCs w:val="28"/>
          <w:u w:val="single"/>
        </w:rPr>
      </w:pPr>
    </w:p>
    <w:p w14:paraId="3C53550B" w14:textId="5CF73FEE" w:rsidR="00245E18" w:rsidRDefault="00D9228E" w:rsidP="00245E18">
      <w:pPr>
        <w:widowControl w:val="0"/>
        <w:pBdr>
          <w:bottom w:val="single" w:sz="12" w:space="1" w:color="auto"/>
        </w:pBdr>
        <w:autoSpaceDE w:val="0"/>
        <w:autoSpaceDN w:val="0"/>
        <w:adjustRightInd w:val="0"/>
        <w:spacing w:after="0" w:line="240" w:lineRule="auto"/>
        <w:jc w:val="both"/>
        <w:rPr>
          <w:rFonts w:ascii="Arial" w:hAnsi="Arial" w:cs="Arial"/>
          <w:bCs/>
          <w:sz w:val="28"/>
          <w:szCs w:val="28"/>
        </w:rPr>
      </w:pPr>
      <w:r>
        <w:rPr>
          <w:rFonts w:ascii="Arial" w:hAnsi="Arial" w:cs="Arial"/>
          <w:b/>
          <w:bCs/>
          <w:sz w:val="28"/>
          <w:szCs w:val="28"/>
          <w:u w:val="single"/>
        </w:rPr>
        <w:t xml:space="preserve">REASONS </w:t>
      </w:r>
      <w:r w:rsidR="00245E18" w:rsidRPr="00E54812">
        <w:rPr>
          <w:rFonts w:ascii="Arial" w:hAnsi="Arial" w:cs="Arial"/>
          <w:b/>
          <w:bCs/>
          <w:sz w:val="28"/>
          <w:szCs w:val="28"/>
          <w:u w:val="single"/>
        </w:rPr>
        <w:t>DELIVERED</w:t>
      </w:r>
      <w:r w:rsidR="00245E18" w:rsidRPr="007442E7">
        <w:rPr>
          <w:rFonts w:ascii="Arial" w:hAnsi="Arial" w:cs="Arial"/>
          <w:b/>
          <w:bCs/>
          <w:sz w:val="28"/>
          <w:szCs w:val="28"/>
        </w:rPr>
        <w:t>:</w:t>
      </w:r>
      <w:r w:rsidR="00245E18" w:rsidRPr="00E54812">
        <w:rPr>
          <w:rFonts w:ascii="Arial" w:hAnsi="Arial" w:cs="Arial"/>
          <w:b/>
          <w:bCs/>
          <w:sz w:val="28"/>
          <w:szCs w:val="28"/>
        </w:rPr>
        <w:t xml:space="preserve"> </w:t>
      </w:r>
      <w:r w:rsidR="00245E18" w:rsidRPr="00E54812">
        <w:rPr>
          <w:rFonts w:ascii="Arial" w:hAnsi="Arial" w:cs="Arial"/>
          <w:b/>
          <w:bCs/>
          <w:sz w:val="28"/>
          <w:szCs w:val="28"/>
        </w:rPr>
        <w:tab/>
      </w:r>
      <w:r w:rsidR="00245E18">
        <w:rPr>
          <w:rFonts w:ascii="Arial" w:hAnsi="Arial" w:cs="Arial"/>
          <w:bCs/>
          <w:sz w:val="28"/>
          <w:szCs w:val="28"/>
        </w:rPr>
        <w:t>2</w:t>
      </w:r>
      <w:r>
        <w:rPr>
          <w:rFonts w:ascii="Arial" w:hAnsi="Arial" w:cs="Arial"/>
          <w:bCs/>
          <w:sz w:val="28"/>
          <w:szCs w:val="28"/>
        </w:rPr>
        <w:t>6</w:t>
      </w:r>
      <w:r w:rsidR="00245E18">
        <w:rPr>
          <w:rFonts w:ascii="Arial" w:hAnsi="Arial" w:cs="Arial"/>
          <w:bCs/>
          <w:sz w:val="28"/>
          <w:szCs w:val="28"/>
        </w:rPr>
        <w:t xml:space="preserve"> APRIL</w:t>
      </w:r>
      <w:r w:rsidR="00245E18" w:rsidRPr="00E54812">
        <w:rPr>
          <w:rFonts w:ascii="Arial" w:hAnsi="Arial" w:cs="Arial"/>
          <w:bCs/>
          <w:sz w:val="28"/>
          <w:szCs w:val="28"/>
        </w:rPr>
        <w:t xml:space="preserve"> 20</w:t>
      </w:r>
      <w:r w:rsidR="00245E18">
        <w:rPr>
          <w:rFonts w:ascii="Arial" w:hAnsi="Arial" w:cs="Arial"/>
          <w:bCs/>
          <w:sz w:val="28"/>
          <w:szCs w:val="28"/>
        </w:rPr>
        <w:t>22</w:t>
      </w:r>
    </w:p>
    <w:p w14:paraId="2245A8FB" w14:textId="77777777" w:rsidR="00245E18" w:rsidRPr="00E54812" w:rsidRDefault="00245E18" w:rsidP="00245E18">
      <w:pPr>
        <w:widowControl w:val="0"/>
        <w:pBdr>
          <w:bottom w:val="single" w:sz="12" w:space="1" w:color="auto"/>
        </w:pBdr>
        <w:autoSpaceDE w:val="0"/>
        <w:autoSpaceDN w:val="0"/>
        <w:adjustRightInd w:val="0"/>
        <w:spacing w:after="0" w:line="240" w:lineRule="auto"/>
        <w:jc w:val="both"/>
        <w:rPr>
          <w:rFonts w:ascii="Arial" w:hAnsi="Arial" w:cs="Arial"/>
          <w:bCs/>
          <w:sz w:val="28"/>
          <w:szCs w:val="28"/>
        </w:rPr>
      </w:pPr>
    </w:p>
    <w:p w14:paraId="657075E1" w14:textId="4B6369A0" w:rsidR="00245E18" w:rsidRDefault="00245E18" w:rsidP="00245E18">
      <w:pPr>
        <w:rPr>
          <w:rFonts w:ascii="Arial" w:hAnsi="Arial" w:cs="Arial"/>
          <w:sz w:val="28"/>
          <w:szCs w:val="28"/>
        </w:rPr>
      </w:pPr>
    </w:p>
    <w:p w14:paraId="3FD7F96A" w14:textId="346A671D" w:rsidR="00D9228E" w:rsidRDefault="00D9228E" w:rsidP="00245E18">
      <w:pPr>
        <w:rPr>
          <w:rFonts w:ascii="Arial" w:hAnsi="Arial" w:cs="Arial"/>
          <w:sz w:val="28"/>
          <w:szCs w:val="28"/>
        </w:rPr>
      </w:pPr>
    </w:p>
    <w:p w14:paraId="7102894A" w14:textId="54D77EF2" w:rsidR="00D9228E" w:rsidRDefault="00D9228E" w:rsidP="00245E18">
      <w:pPr>
        <w:rPr>
          <w:rFonts w:ascii="Arial" w:hAnsi="Arial" w:cs="Arial"/>
          <w:sz w:val="28"/>
          <w:szCs w:val="28"/>
        </w:rPr>
      </w:pPr>
    </w:p>
    <w:p w14:paraId="26672AA2" w14:textId="78F809BF" w:rsidR="00245E18" w:rsidRPr="00116D56" w:rsidRDefault="00245E18" w:rsidP="00116D56">
      <w:pPr>
        <w:spacing w:after="0" w:line="360" w:lineRule="auto"/>
        <w:ind w:left="720" w:hanging="720"/>
        <w:jc w:val="both"/>
        <w:rPr>
          <w:rFonts w:ascii="Arial" w:hAnsi="Arial" w:cs="Arial"/>
          <w:sz w:val="28"/>
          <w:szCs w:val="28"/>
        </w:rPr>
      </w:pPr>
      <w:r>
        <w:rPr>
          <w:rFonts w:ascii="Arial" w:hAnsi="Arial" w:cs="Arial"/>
          <w:sz w:val="28"/>
          <w:szCs w:val="28"/>
        </w:rPr>
        <w:lastRenderedPageBreak/>
        <w:t>[1]</w:t>
      </w:r>
      <w:r>
        <w:rPr>
          <w:rFonts w:ascii="Arial" w:hAnsi="Arial" w:cs="Arial"/>
          <w:sz w:val="28"/>
          <w:szCs w:val="28"/>
        </w:rPr>
        <w:tab/>
      </w:r>
      <w:r w:rsidRPr="00116D56">
        <w:rPr>
          <w:rFonts w:ascii="Arial" w:hAnsi="Arial" w:cs="Arial"/>
          <w:sz w:val="28"/>
          <w:szCs w:val="28"/>
        </w:rPr>
        <w:t xml:space="preserve">After hearing arguments </w:t>
      </w:r>
      <w:r w:rsidR="00872F6E" w:rsidRPr="00116D56">
        <w:rPr>
          <w:rFonts w:ascii="Arial" w:hAnsi="Arial" w:cs="Arial"/>
          <w:sz w:val="28"/>
          <w:szCs w:val="28"/>
        </w:rPr>
        <w:t>on the r</w:t>
      </w:r>
      <w:r w:rsidR="000C058D" w:rsidRPr="00116D56">
        <w:rPr>
          <w:rFonts w:ascii="Arial" w:hAnsi="Arial" w:cs="Arial"/>
          <w:sz w:val="28"/>
          <w:szCs w:val="28"/>
        </w:rPr>
        <w:t xml:space="preserve">eturn date, </w:t>
      </w:r>
      <w:r w:rsidRPr="00116D56">
        <w:rPr>
          <w:rFonts w:ascii="Arial" w:hAnsi="Arial" w:cs="Arial"/>
          <w:sz w:val="28"/>
          <w:szCs w:val="28"/>
        </w:rPr>
        <w:t xml:space="preserve">the rule nisi issued on </w:t>
      </w:r>
      <w:r w:rsidR="00440D95" w:rsidRPr="00116D56">
        <w:rPr>
          <w:rFonts w:ascii="Arial" w:hAnsi="Arial" w:cs="Arial"/>
          <w:sz w:val="28"/>
          <w:szCs w:val="28"/>
        </w:rPr>
        <w:t xml:space="preserve">      </w:t>
      </w:r>
      <w:r w:rsidR="00971F7C" w:rsidRPr="00116D56">
        <w:rPr>
          <w:rFonts w:ascii="Arial" w:hAnsi="Arial" w:cs="Arial"/>
          <w:sz w:val="28"/>
          <w:szCs w:val="28"/>
        </w:rPr>
        <w:t xml:space="preserve">     </w:t>
      </w:r>
      <w:r w:rsidRPr="00116D56">
        <w:rPr>
          <w:rFonts w:ascii="Arial" w:hAnsi="Arial" w:cs="Arial"/>
          <w:sz w:val="28"/>
          <w:szCs w:val="28"/>
        </w:rPr>
        <w:t>3 March 2022</w:t>
      </w:r>
      <w:r w:rsidR="0030443D" w:rsidRPr="00116D56">
        <w:rPr>
          <w:rFonts w:ascii="Arial" w:hAnsi="Arial" w:cs="Arial"/>
          <w:sz w:val="28"/>
          <w:szCs w:val="28"/>
        </w:rPr>
        <w:t xml:space="preserve"> was confirmed </w:t>
      </w:r>
      <w:r w:rsidRPr="00116D56">
        <w:rPr>
          <w:rFonts w:ascii="Arial" w:hAnsi="Arial" w:cs="Arial"/>
          <w:sz w:val="28"/>
          <w:szCs w:val="28"/>
        </w:rPr>
        <w:t xml:space="preserve">and the respondent </w:t>
      </w:r>
      <w:r w:rsidR="00E35566" w:rsidRPr="00116D56">
        <w:rPr>
          <w:rFonts w:ascii="Arial" w:hAnsi="Arial" w:cs="Arial"/>
          <w:sz w:val="28"/>
          <w:szCs w:val="28"/>
        </w:rPr>
        <w:t xml:space="preserve">was </w:t>
      </w:r>
      <w:r w:rsidR="0030443D" w:rsidRPr="00116D56">
        <w:rPr>
          <w:rFonts w:ascii="Arial" w:hAnsi="Arial" w:cs="Arial"/>
          <w:sz w:val="28"/>
          <w:szCs w:val="28"/>
        </w:rPr>
        <w:t xml:space="preserve">placed </w:t>
      </w:r>
      <w:r w:rsidRPr="00116D56">
        <w:rPr>
          <w:rFonts w:ascii="Arial" w:hAnsi="Arial" w:cs="Arial"/>
          <w:sz w:val="28"/>
          <w:szCs w:val="28"/>
        </w:rPr>
        <w:t xml:space="preserve">under final liquidation with an order that the costs of the application are to be costs in the administration of the liquidation of the respondent. </w:t>
      </w:r>
    </w:p>
    <w:p w14:paraId="5EDB3FEC" w14:textId="77777777" w:rsidR="00245E18" w:rsidRPr="00116D56" w:rsidRDefault="00245E18" w:rsidP="00116D56">
      <w:pPr>
        <w:spacing w:after="0" w:line="360" w:lineRule="auto"/>
        <w:ind w:left="720" w:hanging="720"/>
        <w:jc w:val="both"/>
        <w:rPr>
          <w:rFonts w:ascii="Arial" w:hAnsi="Arial" w:cs="Arial"/>
          <w:sz w:val="28"/>
          <w:szCs w:val="28"/>
        </w:rPr>
      </w:pPr>
    </w:p>
    <w:p w14:paraId="1C302DFB" w14:textId="77777777" w:rsidR="00245E18" w:rsidRPr="00116D56" w:rsidRDefault="00245E18" w:rsidP="00116D56">
      <w:pPr>
        <w:spacing w:after="0" w:line="360" w:lineRule="auto"/>
        <w:ind w:left="720" w:hanging="720"/>
        <w:jc w:val="both"/>
        <w:rPr>
          <w:rFonts w:ascii="Arial" w:hAnsi="Arial" w:cs="Arial"/>
          <w:sz w:val="28"/>
          <w:szCs w:val="28"/>
        </w:rPr>
      </w:pPr>
      <w:r w:rsidRPr="00116D56">
        <w:rPr>
          <w:rFonts w:ascii="Arial" w:hAnsi="Arial" w:cs="Arial"/>
          <w:sz w:val="28"/>
          <w:szCs w:val="28"/>
        </w:rPr>
        <w:t>[2]</w:t>
      </w:r>
      <w:r w:rsidRPr="00116D56">
        <w:rPr>
          <w:rFonts w:ascii="Arial" w:hAnsi="Arial" w:cs="Arial"/>
          <w:sz w:val="28"/>
          <w:szCs w:val="28"/>
        </w:rPr>
        <w:tab/>
        <w:t>These are the reasons for my order.</w:t>
      </w:r>
    </w:p>
    <w:p w14:paraId="0AB6A67B" w14:textId="77777777" w:rsidR="00317C91" w:rsidRPr="00116D56" w:rsidRDefault="00317C91" w:rsidP="00116D56">
      <w:pPr>
        <w:spacing w:after="0" w:line="360" w:lineRule="auto"/>
        <w:ind w:left="720" w:hanging="720"/>
        <w:jc w:val="both"/>
        <w:rPr>
          <w:rFonts w:ascii="Arial" w:hAnsi="Arial" w:cs="Arial"/>
          <w:sz w:val="28"/>
          <w:szCs w:val="28"/>
        </w:rPr>
      </w:pPr>
    </w:p>
    <w:p w14:paraId="2E0621DB" w14:textId="69364D30" w:rsidR="00317C91" w:rsidRPr="00116D56" w:rsidRDefault="00317C91" w:rsidP="00116D56">
      <w:pPr>
        <w:spacing w:after="0" w:line="360" w:lineRule="auto"/>
        <w:ind w:left="720" w:hanging="720"/>
        <w:jc w:val="both"/>
        <w:rPr>
          <w:rFonts w:ascii="Arial" w:hAnsi="Arial" w:cs="Arial"/>
          <w:sz w:val="28"/>
          <w:szCs w:val="28"/>
        </w:rPr>
      </w:pPr>
      <w:r w:rsidRPr="00116D56">
        <w:rPr>
          <w:rFonts w:ascii="Arial" w:hAnsi="Arial" w:cs="Arial"/>
          <w:sz w:val="28"/>
          <w:szCs w:val="28"/>
        </w:rPr>
        <w:t>[3]</w:t>
      </w:r>
      <w:r w:rsidRPr="00116D56">
        <w:rPr>
          <w:rFonts w:ascii="Arial" w:hAnsi="Arial" w:cs="Arial"/>
          <w:sz w:val="28"/>
          <w:szCs w:val="28"/>
        </w:rPr>
        <w:tab/>
      </w:r>
      <w:r w:rsidR="003F00CE" w:rsidRPr="00116D56">
        <w:rPr>
          <w:rFonts w:ascii="Arial" w:hAnsi="Arial" w:cs="Arial"/>
          <w:sz w:val="28"/>
          <w:szCs w:val="28"/>
        </w:rPr>
        <w:t>The applicant issued its application</w:t>
      </w:r>
      <w:r w:rsidR="002721A3" w:rsidRPr="00116D56">
        <w:rPr>
          <w:rFonts w:ascii="Arial" w:hAnsi="Arial" w:cs="Arial"/>
          <w:sz w:val="28"/>
          <w:szCs w:val="28"/>
        </w:rPr>
        <w:t xml:space="preserve"> </w:t>
      </w:r>
      <w:r w:rsidR="00B97F5C" w:rsidRPr="00116D56">
        <w:rPr>
          <w:rFonts w:ascii="Arial" w:hAnsi="Arial" w:cs="Arial"/>
          <w:sz w:val="28"/>
          <w:szCs w:val="28"/>
        </w:rPr>
        <w:t>for the liquidation</w:t>
      </w:r>
      <w:r w:rsidR="009F06A0" w:rsidRPr="00116D56">
        <w:rPr>
          <w:rFonts w:ascii="Arial" w:hAnsi="Arial" w:cs="Arial"/>
          <w:sz w:val="28"/>
          <w:szCs w:val="28"/>
        </w:rPr>
        <w:t xml:space="preserve"> of the </w:t>
      </w:r>
      <w:r w:rsidR="007F5002" w:rsidRPr="00116D56">
        <w:rPr>
          <w:rFonts w:ascii="Arial" w:hAnsi="Arial" w:cs="Arial"/>
          <w:sz w:val="28"/>
          <w:szCs w:val="28"/>
        </w:rPr>
        <w:t>respondent</w:t>
      </w:r>
      <w:r w:rsidR="00B97F5C" w:rsidRPr="00116D56">
        <w:rPr>
          <w:rFonts w:ascii="Arial" w:hAnsi="Arial" w:cs="Arial"/>
          <w:sz w:val="28"/>
          <w:szCs w:val="28"/>
        </w:rPr>
        <w:t xml:space="preserve"> </w:t>
      </w:r>
      <w:r w:rsidR="002721A3" w:rsidRPr="00116D56">
        <w:rPr>
          <w:rFonts w:ascii="Arial" w:hAnsi="Arial" w:cs="Arial"/>
          <w:sz w:val="28"/>
          <w:szCs w:val="28"/>
        </w:rPr>
        <w:t xml:space="preserve">on 28 July 2021. </w:t>
      </w:r>
      <w:r w:rsidR="0008791B" w:rsidRPr="00116D56">
        <w:rPr>
          <w:rFonts w:ascii="Arial" w:hAnsi="Arial" w:cs="Arial"/>
          <w:sz w:val="28"/>
          <w:szCs w:val="28"/>
        </w:rPr>
        <w:t xml:space="preserve">The application was opposed by the respondent </w:t>
      </w:r>
      <w:r w:rsidR="003C452E" w:rsidRPr="00116D56">
        <w:rPr>
          <w:rFonts w:ascii="Arial" w:hAnsi="Arial" w:cs="Arial"/>
          <w:sz w:val="28"/>
          <w:szCs w:val="28"/>
        </w:rPr>
        <w:t xml:space="preserve">by means of </w:t>
      </w:r>
      <w:r w:rsidR="0057370B" w:rsidRPr="00116D56">
        <w:rPr>
          <w:rFonts w:ascii="Arial" w:hAnsi="Arial" w:cs="Arial"/>
          <w:sz w:val="28"/>
          <w:szCs w:val="28"/>
        </w:rPr>
        <w:t xml:space="preserve">answering affidavit which was filed </w:t>
      </w:r>
      <w:r w:rsidR="00673E02" w:rsidRPr="00116D56">
        <w:rPr>
          <w:rFonts w:ascii="Arial" w:hAnsi="Arial" w:cs="Arial"/>
          <w:sz w:val="28"/>
          <w:szCs w:val="28"/>
        </w:rPr>
        <w:t>on 20 October 2021</w:t>
      </w:r>
      <w:r w:rsidR="00FF270F" w:rsidRPr="00116D56">
        <w:rPr>
          <w:rFonts w:ascii="Arial" w:hAnsi="Arial" w:cs="Arial"/>
          <w:sz w:val="28"/>
          <w:szCs w:val="28"/>
        </w:rPr>
        <w:t xml:space="preserve"> and to which the applicant replied</w:t>
      </w:r>
      <w:r w:rsidR="000067F7" w:rsidRPr="00116D56">
        <w:rPr>
          <w:rFonts w:ascii="Arial" w:hAnsi="Arial" w:cs="Arial"/>
          <w:sz w:val="28"/>
          <w:szCs w:val="28"/>
        </w:rPr>
        <w:t>.</w:t>
      </w:r>
    </w:p>
    <w:p w14:paraId="14C9D7F0" w14:textId="77777777" w:rsidR="000067F7" w:rsidRPr="00116D56" w:rsidRDefault="000067F7" w:rsidP="00116D56">
      <w:pPr>
        <w:spacing w:line="360" w:lineRule="auto"/>
        <w:ind w:left="720" w:hanging="720"/>
        <w:jc w:val="both"/>
        <w:rPr>
          <w:rFonts w:ascii="Arial" w:hAnsi="Arial" w:cs="Arial"/>
          <w:sz w:val="28"/>
          <w:szCs w:val="28"/>
        </w:rPr>
      </w:pPr>
    </w:p>
    <w:p w14:paraId="1454657D" w14:textId="17BA2A9F" w:rsidR="007550BD" w:rsidRPr="00116D56" w:rsidRDefault="000067F7" w:rsidP="00116D56">
      <w:pPr>
        <w:spacing w:after="0" w:line="360" w:lineRule="auto"/>
        <w:ind w:left="720" w:hanging="720"/>
        <w:jc w:val="both"/>
        <w:rPr>
          <w:rFonts w:ascii="Arial" w:hAnsi="Arial" w:cs="Arial"/>
          <w:sz w:val="28"/>
          <w:szCs w:val="28"/>
        </w:rPr>
      </w:pPr>
      <w:r w:rsidRPr="00116D56">
        <w:rPr>
          <w:rFonts w:ascii="Arial" w:hAnsi="Arial" w:cs="Arial"/>
          <w:sz w:val="28"/>
          <w:szCs w:val="28"/>
        </w:rPr>
        <w:t>[4]</w:t>
      </w:r>
      <w:r w:rsidRPr="00116D56">
        <w:rPr>
          <w:rFonts w:ascii="Arial" w:hAnsi="Arial" w:cs="Arial"/>
          <w:sz w:val="28"/>
          <w:szCs w:val="28"/>
        </w:rPr>
        <w:tab/>
        <w:t xml:space="preserve">The respondent was </w:t>
      </w:r>
      <w:r w:rsidR="004C6770" w:rsidRPr="00116D56">
        <w:rPr>
          <w:rFonts w:ascii="Arial" w:hAnsi="Arial" w:cs="Arial"/>
          <w:sz w:val="28"/>
          <w:szCs w:val="28"/>
        </w:rPr>
        <w:t xml:space="preserve">placed under </w:t>
      </w:r>
      <w:r w:rsidRPr="00116D56">
        <w:rPr>
          <w:rFonts w:ascii="Arial" w:hAnsi="Arial" w:cs="Arial"/>
          <w:sz w:val="28"/>
          <w:szCs w:val="28"/>
        </w:rPr>
        <w:t>pro</w:t>
      </w:r>
      <w:r w:rsidR="004C6770" w:rsidRPr="00116D56">
        <w:rPr>
          <w:rFonts w:ascii="Arial" w:hAnsi="Arial" w:cs="Arial"/>
          <w:sz w:val="28"/>
          <w:szCs w:val="28"/>
        </w:rPr>
        <w:t>visional liquidation on 3 March 2022 and a rule nisi issued</w:t>
      </w:r>
      <w:r w:rsidR="007550BD" w:rsidRPr="00116D56">
        <w:rPr>
          <w:rFonts w:ascii="Arial" w:hAnsi="Arial" w:cs="Arial"/>
          <w:sz w:val="28"/>
          <w:szCs w:val="28"/>
        </w:rPr>
        <w:t>, calling upon all interested parties to advance reasons why a final order of liquidation should not be granted on the return date.</w:t>
      </w:r>
    </w:p>
    <w:p w14:paraId="4D63A5E1" w14:textId="77777777" w:rsidR="007550BD" w:rsidRPr="00116D56" w:rsidRDefault="007550BD" w:rsidP="00116D56">
      <w:pPr>
        <w:spacing w:after="0" w:line="360" w:lineRule="auto"/>
        <w:ind w:left="720" w:hanging="720"/>
        <w:jc w:val="both"/>
        <w:rPr>
          <w:rFonts w:ascii="Arial" w:hAnsi="Arial" w:cs="Arial"/>
          <w:sz w:val="28"/>
          <w:szCs w:val="28"/>
        </w:rPr>
      </w:pPr>
    </w:p>
    <w:p w14:paraId="56FF92A3" w14:textId="0B74B87A" w:rsidR="007550BD" w:rsidRPr="00116D56" w:rsidRDefault="007550BD" w:rsidP="00116D56">
      <w:pPr>
        <w:spacing w:after="0" w:line="360" w:lineRule="auto"/>
        <w:ind w:left="720" w:hanging="720"/>
        <w:jc w:val="both"/>
        <w:rPr>
          <w:rFonts w:ascii="Arial" w:hAnsi="Arial" w:cs="Arial"/>
          <w:sz w:val="28"/>
          <w:szCs w:val="28"/>
        </w:rPr>
      </w:pPr>
      <w:r w:rsidRPr="00116D56">
        <w:rPr>
          <w:rFonts w:ascii="Arial" w:hAnsi="Arial" w:cs="Arial"/>
          <w:sz w:val="28"/>
          <w:szCs w:val="28"/>
        </w:rPr>
        <w:t>[5</w:t>
      </w:r>
      <w:r w:rsidR="007E535E" w:rsidRPr="00116D56">
        <w:rPr>
          <w:rFonts w:ascii="Arial" w:hAnsi="Arial" w:cs="Arial"/>
          <w:sz w:val="28"/>
          <w:szCs w:val="28"/>
        </w:rPr>
        <w:t>]</w:t>
      </w:r>
      <w:r w:rsidR="007E535E" w:rsidRPr="00116D56">
        <w:rPr>
          <w:rFonts w:ascii="Arial" w:hAnsi="Arial" w:cs="Arial"/>
          <w:sz w:val="28"/>
          <w:szCs w:val="28"/>
        </w:rPr>
        <w:tab/>
        <w:t xml:space="preserve">No </w:t>
      </w:r>
      <w:r w:rsidR="00790D1A" w:rsidRPr="00116D56">
        <w:rPr>
          <w:rFonts w:ascii="Arial" w:hAnsi="Arial" w:cs="Arial"/>
          <w:sz w:val="28"/>
          <w:szCs w:val="28"/>
        </w:rPr>
        <w:t>further reasons were advanced pursuant to the rule nisi and the respondent neither filed heads of argument</w:t>
      </w:r>
      <w:r w:rsidR="00201986" w:rsidRPr="00116D56">
        <w:rPr>
          <w:rFonts w:ascii="Arial" w:hAnsi="Arial" w:cs="Arial"/>
          <w:sz w:val="28"/>
          <w:szCs w:val="28"/>
        </w:rPr>
        <w:t>,</w:t>
      </w:r>
      <w:r w:rsidR="00790D1A" w:rsidRPr="00116D56">
        <w:rPr>
          <w:rFonts w:ascii="Arial" w:hAnsi="Arial" w:cs="Arial"/>
          <w:sz w:val="28"/>
          <w:szCs w:val="28"/>
        </w:rPr>
        <w:t xml:space="preserve"> nor w</w:t>
      </w:r>
      <w:r w:rsidR="00201986" w:rsidRPr="00116D56">
        <w:rPr>
          <w:rFonts w:ascii="Arial" w:hAnsi="Arial" w:cs="Arial"/>
          <w:sz w:val="28"/>
          <w:szCs w:val="28"/>
        </w:rPr>
        <w:t>as</w:t>
      </w:r>
      <w:r w:rsidR="00790D1A" w:rsidRPr="00116D56">
        <w:rPr>
          <w:rFonts w:ascii="Arial" w:hAnsi="Arial" w:cs="Arial"/>
          <w:sz w:val="28"/>
          <w:szCs w:val="28"/>
        </w:rPr>
        <w:t xml:space="preserve"> there any appearance on its behalf </w:t>
      </w:r>
      <w:r w:rsidR="000B539F" w:rsidRPr="00116D56">
        <w:rPr>
          <w:rFonts w:ascii="Arial" w:hAnsi="Arial" w:cs="Arial"/>
          <w:sz w:val="28"/>
          <w:szCs w:val="28"/>
        </w:rPr>
        <w:t>on the return date.</w:t>
      </w:r>
    </w:p>
    <w:p w14:paraId="36113E12" w14:textId="77777777" w:rsidR="000B539F" w:rsidRPr="00116D56" w:rsidRDefault="000B539F" w:rsidP="00116D56">
      <w:pPr>
        <w:spacing w:after="0" w:line="360" w:lineRule="auto"/>
        <w:ind w:left="720" w:hanging="720"/>
        <w:jc w:val="both"/>
        <w:rPr>
          <w:rFonts w:ascii="Arial" w:hAnsi="Arial" w:cs="Arial"/>
          <w:sz w:val="28"/>
          <w:szCs w:val="28"/>
        </w:rPr>
      </w:pPr>
    </w:p>
    <w:p w14:paraId="1C8762A7" w14:textId="0CE2D6E3" w:rsidR="00F9366C" w:rsidRPr="00116D56" w:rsidRDefault="000B539F" w:rsidP="00116D56">
      <w:pPr>
        <w:spacing w:after="0" w:line="360" w:lineRule="auto"/>
        <w:ind w:left="720" w:hanging="720"/>
        <w:jc w:val="both"/>
        <w:rPr>
          <w:rFonts w:ascii="Arial" w:hAnsi="Arial" w:cs="Arial"/>
          <w:sz w:val="28"/>
          <w:szCs w:val="28"/>
        </w:rPr>
      </w:pPr>
      <w:r w:rsidRPr="00116D56">
        <w:rPr>
          <w:rFonts w:ascii="Arial" w:hAnsi="Arial" w:cs="Arial"/>
          <w:sz w:val="28"/>
          <w:szCs w:val="28"/>
        </w:rPr>
        <w:t>[6]</w:t>
      </w:r>
      <w:r w:rsidRPr="00116D56">
        <w:rPr>
          <w:rFonts w:ascii="Arial" w:hAnsi="Arial" w:cs="Arial"/>
          <w:sz w:val="28"/>
          <w:szCs w:val="28"/>
        </w:rPr>
        <w:tab/>
      </w:r>
      <w:r w:rsidR="000913BC" w:rsidRPr="00116D56">
        <w:rPr>
          <w:rFonts w:ascii="Arial" w:hAnsi="Arial" w:cs="Arial"/>
          <w:sz w:val="28"/>
          <w:szCs w:val="28"/>
        </w:rPr>
        <w:t>In terms of the 'Badenhorst rule' winding-up proceedings are not to be used to enforce payment of a debt that is disputed on bona fide and reasonable grounds.</w:t>
      </w:r>
      <w:r w:rsidR="000913BC" w:rsidRPr="00116D56">
        <w:rPr>
          <w:rStyle w:val="FootnoteReference"/>
          <w:rFonts w:ascii="Arial" w:hAnsi="Arial" w:cs="Arial"/>
          <w:sz w:val="28"/>
          <w:szCs w:val="28"/>
        </w:rPr>
        <w:footnoteReference w:id="1"/>
      </w:r>
      <w:r w:rsidR="000913BC" w:rsidRPr="00116D56">
        <w:rPr>
          <w:rFonts w:ascii="Arial" w:hAnsi="Arial" w:cs="Arial"/>
          <w:sz w:val="28"/>
          <w:szCs w:val="28"/>
        </w:rPr>
        <w:t xml:space="preserve"> “</w:t>
      </w:r>
      <w:r w:rsidR="000913BC" w:rsidRPr="00116D56">
        <w:rPr>
          <w:rFonts w:ascii="Arial" w:hAnsi="Arial" w:cs="Arial"/>
          <w:sz w:val="26"/>
          <w:szCs w:val="26"/>
        </w:rPr>
        <w:t xml:space="preserve">Where, however, the respondent's indebtedness </w:t>
      </w:r>
      <w:r w:rsidR="000913BC" w:rsidRPr="00116D56">
        <w:rPr>
          <w:rFonts w:ascii="Arial" w:hAnsi="Arial" w:cs="Arial"/>
          <w:sz w:val="26"/>
          <w:szCs w:val="26"/>
        </w:rPr>
        <w:lastRenderedPageBreak/>
        <w:t xml:space="preserve">has, prima facie, been established, the onus </w:t>
      </w:r>
      <w:r w:rsidR="000913BC" w:rsidRPr="00116D56">
        <w:rPr>
          <w:rFonts w:ascii="Arial" w:hAnsi="Arial" w:cs="Arial"/>
          <w:sz w:val="28"/>
          <w:szCs w:val="28"/>
        </w:rPr>
        <w:t>[evidential burden]</w:t>
      </w:r>
      <w:r w:rsidR="000913BC" w:rsidRPr="00116D56">
        <w:rPr>
          <w:rFonts w:ascii="Arial" w:hAnsi="Arial" w:cs="Arial"/>
          <w:sz w:val="26"/>
          <w:szCs w:val="26"/>
        </w:rPr>
        <w:t xml:space="preserve"> is on it to show that this indebtedness is indeed disputed on bona fide and reasonable grounds.</w:t>
      </w:r>
      <w:r w:rsidR="000913BC" w:rsidRPr="00116D56">
        <w:rPr>
          <w:rFonts w:ascii="Arial" w:hAnsi="Arial" w:cs="Arial"/>
          <w:sz w:val="28"/>
          <w:szCs w:val="28"/>
        </w:rPr>
        <w:t>”</w:t>
      </w:r>
      <w:r w:rsidR="000913BC" w:rsidRPr="00116D56">
        <w:rPr>
          <w:rStyle w:val="FootnoteReference"/>
          <w:rFonts w:ascii="Arial" w:hAnsi="Arial" w:cs="Arial"/>
          <w:sz w:val="28"/>
          <w:szCs w:val="28"/>
        </w:rPr>
        <w:footnoteReference w:id="2"/>
      </w:r>
    </w:p>
    <w:p w14:paraId="0C16BDF1" w14:textId="77777777" w:rsidR="00F9366C" w:rsidRPr="00116D56" w:rsidRDefault="00F9366C" w:rsidP="00116D56">
      <w:pPr>
        <w:spacing w:line="360" w:lineRule="auto"/>
        <w:ind w:left="720" w:hanging="720"/>
        <w:jc w:val="both"/>
        <w:rPr>
          <w:rFonts w:ascii="Arial" w:hAnsi="Arial" w:cs="Arial"/>
          <w:sz w:val="28"/>
          <w:szCs w:val="28"/>
        </w:rPr>
      </w:pPr>
    </w:p>
    <w:p w14:paraId="7C2B6EFC" w14:textId="77777777" w:rsidR="00B10271" w:rsidRPr="00116D56" w:rsidRDefault="000913BC" w:rsidP="00116D56">
      <w:pPr>
        <w:spacing w:after="0" w:line="360" w:lineRule="auto"/>
        <w:ind w:left="720" w:hanging="720"/>
        <w:jc w:val="both"/>
        <w:rPr>
          <w:rFonts w:ascii="Arial" w:hAnsi="Arial" w:cs="Arial"/>
          <w:sz w:val="28"/>
          <w:szCs w:val="28"/>
        </w:rPr>
      </w:pPr>
      <w:r w:rsidRPr="00116D56">
        <w:rPr>
          <w:rFonts w:ascii="Arial" w:hAnsi="Arial" w:cs="Arial"/>
          <w:sz w:val="28"/>
          <w:szCs w:val="28"/>
        </w:rPr>
        <w:t>[7]</w:t>
      </w:r>
      <w:r w:rsidRPr="00116D56">
        <w:rPr>
          <w:rFonts w:ascii="Arial" w:hAnsi="Arial" w:cs="Arial"/>
          <w:sz w:val="28"/>
          <w:szCs w:val="28"/>
        </w:rPr>
        <w:tab/>
      </w:r>
      <w:r w:rsidR="00B10271" w:rsidRPr="00116D56">
        <w:rPr>
          <w:rFonts w:ascii="Arial" w:hAnsi="Arial" w:cs="Arial"/>
          <w:sz w:val="28"/>
          <w:szCs w:val="28"/>
        </w:rPr>
        <w:t xml:space="preserve">In </w:t>
      </w:r>
      <w:r w:rsidR="00B10271" w:rsidRPr="00116D56">
        <w:rPr>
          <w:rFonts w:ascii="Arial" w:hAnsi="Arial" w:cs="Arial"/>
          <w:b/>
          <w:sz w:val="28"/>
          <w:szCs w:val="28"/>
        </w:rPr>
        <w:t>Afgri Operations Ltd v Hamba Fleet (Pty) Ltd supra</w:t>
      </w:r>
      <w:r w:rsidR="00B10271" w:rsidRPr="00116D56">
        <w:rPr>
          <w:rStyle w:val="FootnoteReference"/>
          <w:rFonts w:ascii="Arial" w:hAnsi="Arial" w:cs="Arial"/>
          <w:b/>
          <w:sz w:val="28"/>
          <w:szCs w:val="28"/>
        </w:rPr>
        <w:footnoteReference w:id="3"/>
      </w:r>
      <w:r w:rsidR="00B10271" w:rsidRPr="00116D56">
        <w:rPr>
          <w:rFonts w:ascii="Arial" w:hAnsi="Arial" w:cs="Arial"/>
          <w:bCs/>
          <w:sz w:val="28"/>
          <w:szCs w:val="28"/>
        </w:rPr>
        <w:t xml:space="preserve">, Willis JA on behalf of a unanimous bench reaffirmed </w:t>
      </w:r>
      <w:r w:rsidR="00B10271" w:rsidRPr="00116D56">
        <w:rPr>
          <w:rFonts w:ascii="Arial" w:hAnsi="Arial" w:cs="Arial"/>
          <w:sz w:val="28"/>
          <w:szCs w:val="28"/>
        </w:rPr>
        <w:t>the specific principle that, “</w:t>
      </w:r>
      <w:r w:rsidR="00B10271" w:rsidRPr="00116D56">
        <w:rPr>
          <w:rFonts w:ascii="Arial" w:hAnsi="Arial" w:cs="Arial"/>
          <w:sz w:val="26"/>
          <w:szCs w:val="26"/>
        </w:rPr>
        <w:t>generally speaking, an unpaid creditor has a right, ex debito justitiae, to a winding-up order against the respondent company that has not discharged that debt</w:t>
      </w:r>
      <w:r w:rsidR="00B10271" w:rsidRPr="00116D56">
        <w:rPr>
          <w:rFonts w:ascii="Arial" w:hAnsi="Arial" w:cs="Arial"/>
          <w:sz w:val="28"/>
          <w:szCs w:val="28"/>
        </w:rPr>
        <w:t>”</w:t>
      </w:r>
      <w:r w:rsidR="00B10271" w:rsidRPr="00116D56">
        <w:rPr>
          <w:rStyle w:val="FootnoteReference"/>
          <w:rFonts w:ascii="Arial" w:hAnsi="Arial" w:cs="Arial"/>
          <w:sz w:val="28"/>
          <w:szCs w:val="28"/>
        </w:rPr>
        <w:footnoteReference w:id="4"/>
      </w:r>
      <w:r w:rsidR="00B10271" w:rsidRPr="00116D56">
        <w:rPr>
          <w:rFonts w:ascii="Arial" w:hAnsi="Arial" w:cs="Arial"/>
          <w:bCs/>
          <w:sz w:val="28"/>
          <w:szCs w:val="28"/>
        </w:rPr>
        <w:t xml:space="preserve"> and that </w:t>
      </w:r>
      <w:r w:rsidR="00B10271" w:rsidRPr="00116D56">
        <w:rPr>
          <w:rFonts w:ascii="Arial" w:hAnsi="Arial" w:cs="Arial"/>
          <w:sz w:val="28"/>
          <w:szCs w:val="28"/>
        </w:rPr>
        <w:t>in practice, the discretion of a court to refuse to grant a winding-up order where an unpaid creditor applies therefor is a very narrow one that is rarely exercised and then in special or unusual circumstances only.</w:t>
      </w:r>
      <w:r w:rsidR="00B10271" w:rsidRPr="00116D56">
        <w:rPr>
          <w:rStyle w:val="FootnoteReference"/>
          <w:rFonts w:ascii="Arial" w:hAnsi="Arial" w:cs="Arial"/>
          <w:sz w:val="28"/>
          <w:szCs w:val="28"/>
        </w:rPr>
        <w:footnoteReference w:id="5"/>
      </w:r>
    </w:p>
    <w:p w14:paraId="781C9921" w14:textId="77777777" w:rsidR="00B10271" w:rsidRPr="00116D56" w:rsidRDefault="00B10271" w:rsidP="00116D56">
      <w:pPr>
        <w:spacing w:after="0" w:line="360" w:lineRule="auto"/>
        <w:ind w:left="720" w:hanging="720"/>
        <w:jc w:val="both"/>
        <w:rPr>
          <w:rFonts w:ascii="Arial" w:hAnsi="Arial" w:cs="Arial"/>
          <w:sz w:val="28"/>
          <w:szCs w:val="28"/>
        </w:rPr>
      </w:pPr>
    </w:p>
    <w:p w14:paraId="07A39F79" w14:textId="1FD01F50" w:rsidR="00E82681" w:rsidRPr="00116D56" w:rsidRDefault="00781FEB" w:rsidP="00116D56">
      <w:pPr>
        <w:spacing w:after="0" w:line="360" w:lineRule="auto"/>
        <w:ind w:left="720" w:hanging="720"/>
        <w:jc w:val="both"/>
        <w:rPr>
          <w:rFonts w:ascii="Arial" w:hAnsi="Arial" w:cs="Arial"/>
          <w:sz w:val="28"/>
          <w:szCs w:val="28"/>
        </w:rPr>
      </w:pPr>
      <w:r w:rsidRPr="00116D56">
        <w:rPr>
          <w:rFonts w:ascii="Arial" w:hAnsi="Arial" w:cs="Arial"/>
          <w:sz w:val="28"/>
          <w:szCs w:val="28"/>
        </w:rPr>
        <w:t>[</w:t>
      </w:r>
      <w:r w:rsidR="00B10271" w:rsidRPr="00116D56">
        <w:rPr>
          <w:rFonts w:ascii="Arial" w:hAnsi="Arial" w:cs="Arial"/>
          <w:sz w:val="28"/>
          <w:szCs w:val="28"/>
        </w:rPr>
        <w:t>8</w:t>
      </w:r>
      <w:r w:rsidRPr="00116D56">
        <w:rPr>
          <w:rFonts w:ascii="Arial" w:hAnsi="Arial" w:cs="Arial"/>
          <w:sz w:val="28"/>
          <w:szCs w:val="28"/>
        </w:rPr>
        <w:t>]</w:t>
      </w:r>
      <w:r w:rsidRPr="00116D56">
        <w:rPr>
          <w:rFonts w:ascii="Arial" w:hAnsi="Arial" w:cs="Arial"/>
          <w:sz w:val="28"/>
          <w:szCs w:val="28"/>
        </w:rPr>
        <w:tab/>
      </w:r>
      <w:r w:rsidR="0009280F" w:rsidRPr="00116D56">
        <w:rPr>
          <w:rFonts w:ascii="Arial" w:hAnsi="Arial" w:cs="Arial"/>
          <w:sz w:val="28"/>
          <w:szCs w:val="28"/>
        </w:rPr>
        <w:t>The test for a final liquidation application differs from that which is applied when the provisional order is considered</w:t>
      </w:r>
      <w:r w:rsidR="003D27E3" w:rsidRPr="00116D56">
        <w:rPr>
          <w:rFonts w:ascii="Arial" w:hAnsi="Arial" w:cs="Arial"/>
          <w:sz w:val="28"/>
          <w:szCs w:val="28"/>
        </w:rPr>
        <w:t>.</w:t>
      </w:r>
    </w:p>
    <w:p w14:paraId="7498F9B4" w14:textId="77777777" w:rsidR="00E82681" w:rsidRPr="00116D56" w:rsidRDefault="00E82681" w:rsidP="00116D56">
      <w:pPr>
        <w:spacing w:after="0" w:line="360" w:lineRule="auto"/>
        <w:ind w:left="720" w:hanging="720"/>
        <w:jc w:val="both"/>
        <w:rPr>
          <w:rFonts w:ascii="Arial" w:hAnsi="Arial" w:cs="Arial"/>
          <w:sz w:val="28"/>
          <w:szCs w:val="28"/>
        </w:rPr>
      </w:pPr>
    </w:p>
    <w:p w14:paraId="25378BC1" w14:textId="063B45DC" w:rsidR="002F3B1E" w:rsidRPr="00116D56" w:rsidRDefault="00E82681" w:rsidP="00116D56">
      <w:pPr>
        <w:spacing w:after="0" w:line="360" w:lineRule="auto"/>
        <w:ind w:left="720" w:hanging="720"/>
        <w:jc w:val="both"/>
        <w:rPr>
          <w:rFonts w:ascii="Arial" w:hAnsi="Arial" w:cs="Arial"/>
          <w:sz w:val="28"/>
          <w:szCs w:val="28"/>
        </w:rPr>
      </w:pPr>
      <w:r w:rsidRPr="00116D56">
        <w:rPr>
          <w:rFonts w:ascii="Arial" w:hAnsi="Arial" w:cs="Arial"/>
          <w:sz w:val="28"/>
          <w:szCs w:val="28"/>
        </w:rPr>
        <w:t>[9]</w:t>
      </w:r>
      <w:r w:rsidRPr="00116D56">
        <w:rPr>
          <w:rFonts w:ascii="Arial" w:hAnsi="Arial" w:cs="Arial"/>
          <w:sz w:val="28"/>
          <w:szCs w:val="28"/>
        </w:rPr>
        <w:tab/>
      </w:r>
      <w:r w:rsidR="0060125B" w:rsidRPr="00116D56">
        <w:rPr>
          <w:rFonts w:ascii="Arial" w:hAnsi="Arial" w:cs="Arial"/>
          <w:sz w:val="28"/>
          <w:szCs w:val="28"/>
        </w:rPr>
        <w:t xml:space="preserve">The respondent’s indebtedness to the applicant arises from </w:t>
      </w:r>
      <w:r w:rsidR="00D503AD" w:rsidRPr="00116D56">
        <w:rPr>
          <w:rFonts w:ascii="Arial" w:hAnsi="Arial" w:cs="Arial"/>
          <w:sz w:val="28"/>
          <w:szCs w:val="28"/>
        </w:rPr>
        <w:t>an</w:t>
      </w:r>
      <w:r w:rsidR="004E5A6A" w:rsidRPr="00116D56">
        <w:rPr>
          <w:rFonts w:ascii="Arial" w:hAnsi="Arial" w:cs="Arial"/>
          <w:sz w:val="28"/>
          <w:szCs w:val="28"/>
        </w:rPr>
        <w:t xml:space="preserve"> agreement </w:t>
      </w:r>
      <w:r w:rsidR="00CA393A" w:rsidRPr="00116D56">
        <w:rPr>
          <w:rFonts w:ascii="Arial" w:hAnsi="Arial" w:cs="Arial"/>
          <w:sz w:val="28"/>
          <w:szCs w:val="28"/>
        </w:rPr>
        <w:t>for the supply by the applicant to the respondent of petroleum products for resale</w:t>
      </w:r>
      <w:r w:rsidR="00B067BC" w:rsidRPr="00116D56">
        <w:rPr>
          <w:rFonts w:ascii="Arial" w:hAnsi="Arial" w:cs="Arial"/>
          <w:sz w:val="28"/>
          <w:szCs w:val="28"/>
        </w:rPr>
        <w:t xml:space="preserve"> by the respondent and the installation of </w:t>
      </w:r>
      <w:r w:rsidR="00B067BC" w:rsidRPr="00116D56">
        <w:rPr>
          <w:rFonts w:ascii="Arial" w:hAnsi="Arial" w:cs="Arial"/>
          <w:sz w:val="28"/>
          <w:szCs w:val="28"/>
        </w:rPr>
        <w:lastRenderedPageBreak/>
        <w:t>petroleum dispensing and service station</w:t>
      </w:r>
      <w:r w:rsidR="007D4C77" w:rsidRPr="00116D56">
        <w:rPr>
          <w:rFonts w:ascii="Arial" w:hAnsi="Arial" w:cs="Arial"/>
          <w:sz w:val="28"/>
          <w:szCs w:val="28"/>
        </w:rPr>
        <w:t xml:space="preserve"> equipment at the respondent’s premises in Church Street, Vrede from wh</w:t>
      </w:r>
      <w:r w:rsidR="00921B42" w:rsidRPr="00116D56">
        <w:rPr>
          <w:rFonts w:ascii="Arial" w:hAnsi="Arial" w:cs="Arial"/>
          <w:sz w:val="28"/>
          <w:szCs w:val="28"/>
        </w:rPr>
        <w:t>ere</w:t>
      </w:r>
      <w:r w:rsidR="007D4C77" w:rsidRPr="00116D56">
        <w:rPr>
          <w:rFonts w:ascii="Arial" w:hAnsi="Arial" w:cs="Arial"/>
          <w:sz w:val="28"/>
          <w:szCs w:val="28"/>
        </w:rPr>
        <w:t xml:space="preserve"> the respondent </w:t>
      </w:r>
      <w:r w:rsidR="0046645B" w:rsidRPr="00116D56">
        <w:rPr>
          <w:rFonts w:ascii="Arial" w:hAnsi="Arial" w:cs="Arial"/>
          <w:sz w:val="28"/>
          <w:szCs w:val="28"/>
        </w:rPr>
        <w:t>operates</w:t>
      </w:r>
      <w:r w:rsidR="007D4C77" w:rsidRPr="00116D56">
        <w:rPr>
          <w:rFonts w:ascii="Arial" w:hAnsi="Arial" w:cs="Arial"/>
          <w:sz w:val="28"/>
          <w:szCs w:val="28"/>
        </w:rPr>
        <w:t xml:space="preserve"> a </w:t>
      </w:r>
      <w:r w:rsidR="00D503AD" w:rsidRPr="00116D56">
        <w:rPr>
          <w:rFonts w:ascii="Arial" w:hAnsi="Arial" w:cs="Arial"/>
          <w:sz w:val="28"/>
          <w:szCs w:val="28"/>
        </w:rPr>
        <w:t>fuel filling station.</w:t>
      </w:r>
      <w:r w:rsidR="002F3B1E" w:rsidRPr="00116D56">
        <w:rPr>
          <w:rFonts w:ascii="Arial" w:hAnsi="Arial" w:cs="Arial"/>
          <w:sz w:val="28"/>
          <w:szCs w:val="28"/>
        </w:rPr>
        <w:t xml:space="preserve"> </w:t>
      </w:r>
    </w:p>
    <w:p w14:paraId="319E5B5F" w14:textId="77777777" w:rsidR="008C0318" w:rsidRPr="00116D56" w:rsidRDefault="008C0318" w:rsidP="00116D56">
      <w:pPr>
        <w:spacing w:line="360" w:lineRule="auto"/>
        <w:ind w:left="720" w:hanging="720"/>
        <w:jc w:val="both"/>
        <w:rPr>
          <w:rFonts w:ascii="Arial" w:hAnsi="Arial" w:cs="Arial"/>
          <w:sz w:val="28"/>
          <w:szCs w:val="28"/>
        </w:rPr>
      </w:pPr>
    </w:p>
    <w:p w14:paraId="39F0DF71" w14:textId="135F072D" w:rsidR="008C0318" w:rsidRPr="00116D56" w:rsidRDefault="008C0318" w:rsidP="00116D56">
      <w:pPr>
        <w:spacing w:line="360" w:lineRule="auto"/>
        <w:ind w:left="720" w:hanging="720"/>
        <w:jc w:val="both"/>
        <w:rPr>
          <w:rFonts w:ascii="Arial" w:hAnsi="Arial" w:cs="Arial"/>
          <w:sz w:val="28"/>
          <w:szCs w:val="28"/>
        </w:rPr>
      </w:pPr>
      <w:r w:rsidRPr="00116D56">
        <w:rPr>
          <w:rFonts w:ascii="Arial" w:hAnsi="Arial" w:cs="Arial"/>
          <w:sz w:val="28"/>
          <w:szCs w:val="28"/>
        </w:rPr>
        <w:t>[</w:t>
      </w:r>
      <w:r w:rsidR="00F14729" w:rsidRPr="00116D56">
        <w:rPr>
          <w:rFonts w:ascii="Arial" w:hAnsi="Arial" w:cs="Arial"/>
          <w:sz w:val="28"/>
          <w:szCs w:val="28"/>
        </w:rPr>
        <w:t>10</w:t>
      </w:r>
      <w:r w:rsidRPr="00116D56">
        <w:rPr>
          <w:rFonts w:ascii="Arial" w:hAnsi="Arial" w:cs="Arial"/>
          <w:sz w:val="28"/>
          <w:szCs w:val="28"/>
        </w:rPr>
        <w:t>]</w:t>
      </w:r>
      <w:r w:rsidRPr="00116D56">
        <w:rPr>
          <w:rFonts w:ascii="Arial" w:hAnsi="Arial" w:cs="Arial"/>
          <w:sz w:val="28"/>
          <w:szCs w:val="28"/>
        </w:rPr>
        <w:tab/>
      </w:r>
      <w:r w:rsidR="00EA12BD" w:rsidRPr="00116D56">
        <w:rPr>
          <w:rFonts w:ascii="Arial" w:hAnsi="Arial" w:cs="Arial"/>
          <w:sz w:val="28"/>
          <w:szCs w:val="28"/>
        </w:rPr>
        <w:t xml:space="preserve">The </w:t>
      </w:r>
      <w:r w:rsidR="005A60C0" w:rsidRPr="00116D56">
        <w:rPr>
          <w:rFonts w:ascii="Arial" w:hAnsi="Arial" w:cs="Arial"/>
          <w:sz w:val="28"/>
          <w:szCs w:val="28"/>
        </w:rPr>
        <w:t xml:space="preserve">applicant’s </w:t>
      </w:r>
      <w:r w:rsidR="00DC64F3" w:rsidRPr="00116D56">
        <w:rPr>
          <w:rFonts w:ascii="Arial" w:hAnsi="Arial" w:cs="Arial"/>
          <w:sz w:val="28"/>
          <w:szCs w:val="28"/>
        </w:rPr>
        <w:t>application is premised on the following grounds:</w:t>
      </w:r>
    </w:p>
    <w:p w14:paraId="003212E8" w14:textId="77777777" w:rsidR="00DC64F3" w:rsidRPr="00116D56" w:rsidRDefault="00DC64F3" w:rsidP="00116D56">
      <w:pPr>
        <w:spacing w:line="360" w:lineRule="auto"/>
        <w:ind w:left="720" w:hanging="720"/>
        <w:jc w:val="both"/>
        <w:rPr>
          <w:rFonts w:ascii="Arial" w:hAnsi="Arial" w:cs="Arial"/>
          <w:sz w:val="28"/>
          <w:szCs w:val="28"/>
        </w:rPr>
      </w:pPr>
    </w:p>
    <w:p w14:paraId="1FE31128" w14:textId="5F9DCB5D" w:rsidR="006B1CA8" w:rsidRPr="00116D56" w:rsidRDefault="003D27E3" w:rsidP="00116D56">
      <w:pPr>
        <w:spacing w:after="0" w:line="360" w:lineRule="auto"/>
        <w:ind w:left="1440" w:hanging="720"/>
        <w:jc w:val="both"/>
        <w:rPr>
          <w:rFonts w:ascii="Arial" w:hAnsi="Arial" w:cs="Arial"/>
          <w:sz w:val="28"/>
          <w:szCs w:val="28"/>
        </w:rPr>
      </w:pPr>
      <w:r w:rsidRPr="00116D56">
        <w:rPr>
          <w:rFonts w:ascii="Arial" w:hAnsi="Arial" w:cs="Arial"/>
          <w:sz w:val="28"/>
          <w:szCs w:val="28"/>
        </w:rPr>
        <w:t>10</w:t>
      </w:r>
      <w:r w:rsidR="00DC64F3" w:rsidRPr="00116D56">
        <w:rPr>
          <w:rFonts w:ascii="Arial" w:hAnsi="Arial" w:cs="Arial"/>
          <w:sz w:val="28"/>
          <w:szCs w:val="28"/>
        </w:rPr>
        <w:t>.1</w:t>
      </w:r>
      <w:r w:rsidR="00DC64F3" w:rsidRPr="00116D56">
        <w:rPr>
          <w:rFonts w:ascii="Arial" w:hAnsi="Arial" w:cs="Arial"/>
          <w:sz w:val="28"/>
          <w:szCs w:val="28"/>
        </w:rPr>
        <w:tab/>
      </w:r>
      <w:r w:rsidR="00247666" w:rsidRPr="00116D56">
        <w:rPr>
          <w:rFonts w:ascii="Arial" w:hAnsi="Arial" w:cs="Arial"/>
          <w:sz w:val="28"/>
          <w:szCs w:val="28"/>
        </w:rPr>
        <w:t xml:space="preserve">The respondent is unable to pay its debts as envisaged </w:t>
      </w:r>
      <w:r w:rsidR="006B1CA8" w:rsidRPr="00116D56">
        <w:rPr>
          <w:rFonts w:ascii="Arial" w:hAnsi="Arial" w:cs="Arial"/>
          <w:sz w:val="28"/>
          <w:szCs w:val="28"/>
        </w:rPr>
        <w:t>by</w:t>
      </w:r>
      <w:r w:rsidR="00A2658E" w:rsidRPr="00116D56">
        <w:rPr>
          <w:rFonts w:ascii="Arial" w:hAnsi="Arial" w:cs="Arial"/>
          <w:sz w:val="28"/>
          <w:szCs w:val="28"/>
        </w:rPr>
        <w:t xml:space="preserve"> section 344(f) read with section 345 of the Companies</w:t>
      </w:r>
      <w:r w:rsidR="00AA325B" w:rsidRPr="00116D56">
        <w:rPr>
          <w:rFonts w:ascii="Arial" w:hAnsi="Arial" w:cs="Arial"/>
          <w:sz w:val="28"/>
          <w:szCs w:val="28"/>
        </w:rPr>
        <w:t xml:space="preserve"> Act</w:t>
      </w:r>
      <w:r w:rsidR="000C78EE" w:rsidRPr="00116D56">
        <w:rPr>
          <w:rFonts w:ascii="Arial" w:hAnsi="Arial" w:cs="Arial"/>
          <w:sz w:val="28"/>
          <w:szCs w:val="28"/>
        </w:rPr>
        <w:t xml:space="preserve"> 61 of 1973</w:t>
      </w:r>
      <w:r w:rsidR="00725E3D" w:rsidRPr="00116D56">
        <w:rPr>
          <w:rStyle w:val="FootnoteReference"/>
          <w:rFonts w:ascii="Arial" w:hAnsi="Arial" w:cs="Arial"/>
          <w:sz w:val="28"/>
          <w:szCs w:val="28"/>
        </w:rPr>
        <w:footnoteReference w:id="6"/>
      </w:r>
      <w:r w:rsidR="0093405C" w:rsidRPr="00116D56">
        <w:rPr>
          <w:rFonts w:ascii="Arial" w:hAnsi="Arial" w:cs="Arial"/>
          <w:sz w:val="28"/>
          <w:szCs w:val="28"/>
        </w:rPr>
        <w:t xml:space="preserve"> [commonly referred to as “the old Companies Act”]</w:t>
      </w:r>
      <w:r w:rsidR="006B1CA8" w:rsidRPr="00116D56">
        <w:rPr>
          <w:rFonts w:ascii="Arial" w:hAnsi="Arial" w:cs="Arial"/>
          <w:sz w:val="28"/>
          <w:szCs w:val="28"/>
        </w:rPr>
        <w:t>;</w:t>
      </w:r>
    </w:p>
    <w:p w14:paraId="172F7254" w14:textId="77777777" w:rsidR="006B1CA8" w:rsidRPr="00116D56" w:rsidRDefault="006B1CA8" w:rsidP="00116D56">
      <w:pPr>
        <w:spacing w:after="0" w:line="360" w:lineRule="auto"/>
        <w:ind w:left="1440" w:hanging="720"/>
        <w:jc w:val="both"/>
        <w:rPr>
          <w:rFonts w:ascii="Arial" w:hAnsi="Arial" w:cs="Arial"/>
          <w:sz w:val="28"/>
          <w:szCs w:val="28"/>
        </w:rPr>
      </w:pPr>
    </w:p>
    <w:p w14:paraId="2B7D34F0" w14:textId="1A072773" w:rsidR="00AF323E" w:rsidRPr="00116D56" w:rsidRDefault="003D27E3" w:rsidP="00116D56">
      <w:pPr>
        <w:spacing w:after="0" w:line="360" w:lineRule="auto"/>
        <w:ind w:left="1440" w:hanging="720"/>
        <w:jc w:val="both"/>
        <w:rPr>
          <w:rFonts w:ascii="Arial" w:hAnsi="Arial" w:cs="Arial"/>
          <w:sz w:val="28"/>
          <w:szCs w:val="28"/>
        </w:rPr>
      </w:pPr>
      <w:r w:rsidRPr="00116D56">
        <w:rPr>
          <w:rFonts w:ascii="Arial" w:hAnsi="Arial" w:cs="Arial"/>
          <w:sz w:val="28"/>
          <w:szCs w:val="28"/>
        </w:rPr>
        <w:t>10</w:t>
      </w:r>
      <w:r w:rsidR="006B1CA8" w:rsidRPr="00116D56">
        <w:rPr>
          <w:rFonts w:ascii="Arial" w:hAnsi="Arial" w:cs="Arial"/>
          <w:sz w:val="28"/>
          <w:szCs w:val="28"/>
        </w:rPr>
        <w:t>.2</w:t>
      </w:r>
      <w:r w:rsidR="006B1CA8" w:rsidRPr="00116D56">
        <w:rPr>
          <w:rFonts w:ascii="Arial" w:hAnsi="Arial" w:cs="Arial"/>
          <w:sz w:val="28"/>
          <w:szCs w:val="28"/>
        </w:rPr>
        <w:tab/>
        <w:t>The respondent is deemed to be unable to pay</w:t>
      </w:r>
      <w:r w:rsidR="00412EBC" w:rsidRPr="00116D56">
        <w:rPr>
          <w:rFonts w:ascii="Arial" w:hAnsi="Arial" w:cs="Arial"/>
          <w:sz w:val="28"/>
          <w:szCs w:val="28"/>
        </w:rPr>
        <w:t xml:space="preserve"> its debts as </w:t>
      </w:r>
      <w:r w:rsidR="00AF323E" w:rsidRPr="00116D56">
        <w:rPr>
          <w:rFonts w:ascii="Arial" w:hAnsi="Arial" w:cs="Arial"/>
          <w:sz w:val="28"/>
          <w:szCs w:val="28"/>
        </w:rPr>
        <w:t>envisaged</w:t>
      </w:r>
      <w:r w:rsidR="00412EBC" w:rsidRPr="00116D56">
        <w:rPr>
          <w:rFonts w:ascii="Arial" w:hAnsi="Arial" w:cs="Arial"/>
          <w:sz w:val="28"/>
          <w:szCs w:val="28"/>
        </w:rPr>
        <w:t xml:space="preserve"> by section 345 of </w:t>
      </w:r>
      <w:r w:rsidR="0093405C" w:rsidRPr="00116D56">
        <w:rPr>
          <w:rFonts w:ascii="Arial" w:hAnsi="Arial" w:cs="Arial"/>
          <w:sz w:val="28"/>
          <w:szCs w:val="28"/>
        </w:rPr>
        <w:t>the old Companies Act</w:t>
      </w:r>
      <w:r w:rsidR="001D6459" w:rsidRPr="00116D56">
        <w:rPr>
          <w:rFonts w:ascii="Arial" w:hAnsi="Arial" w:cs="Arial"/>
          <w:sz w:val="28"/>
          <w:szCs w:val="28"/>
        </w:rPr>
        <w:t>;</w:t>
      </w:r>
    </w:p>
    <w:p w14:paraId="17E9C89A" w14:textId="77777777" w:rsidR="00AF323E" w:rsidRPr="00116D56" w:rsidRDefault="00AF323E" w:rsidP="00116D56">
      <w:pPr>
        <w:spacing w:after="0" w:line="360" w:lineRule="auto"/>
        <w:ind w:left="1440" w:hanging="720"/>
        <w:jc w:val="both"/>
        <w:rPr>
          <w:rFonts w:ascii="Arial" w:hAnsi="Arial" w:cs="Arial"/>
          <w:sz w:val="28"/>
          <w:szCs w:val="28"/>
        </w:rPr>
      </w:pPr>
    </w:p>
    <w:p w14:paraId="7FA834F7" w14:textId="0D21AF8B" w:rsidR="00A951B6" w:rsidRPr="00116D56" w:rsidRDefault="003D27E3" w:rsidP="00116D56">
      <w:pPr>
        <w:spacing w:after="0" w:line="360" w:lineRule="auto"/>
        <w:ind w:left="1440" w:hanging="720"/>
        <w:jc w:val="both"/>
        <w:rPr>
          <w:rFonts w:ascii="Arial" w:hAnsi="Arial" w:cs="Arial"/>
          <w:sz w:val="28"/>
          <w:szCs w:val="28"/>
        </w:rPr>
      </w:pPr>
      <w:r w:rsidRPr="00116D56">
        <w:rPr>
          <w:rFonts w:ascii="Arial" w:hAnsi="Arial" w:cs="Arial"/>
          <w:sz w:val="28"/>
          <w:szCs w:val="28"/>
        </w:rPr>
        <w:t>10</w:t>
      </w:r>
      <w:r w:rsidR="00AF323E" w:rsidRPr="00116D56">
        <w:rPr>
          <w:rFonts w:ascii="Arial" w:hAnsi="Arial" w:cs="Arial"/>
          <w:sz w:val="28"/>
          <w:szCs w:val="28"/>
        </w:rPr>
        <w:t>.3</w:t>
      </w:r>
      <w:r w:rsidR="00AF323E" w:rsidRPr="00116D56">
        <w:rPr>
          <w:rFonts w:ascii="Arial" w:hAnsi="Arial" w:cs="Arial"/>
          <w:sz w:val="28"/>
          <w:szCs w:val="28"/>
        </w:rPr>
        <w:tab/>
        <w:t xml:space="preserve">It is just and equitable </w:t>
      </w:r>
      <w:r w:rsidR="00191357" w:rsidRPr="00116D56">
        <w:rPr>
          <w:rFonts w:ascii="Arial" w:hAnsi="Arial" w:cs="Arial"/>
          <w:sz w:val="28"/>
          <w:szCs w:val="28"/>
        </w:rPr>
        <w:t xml:space="preserve">that the respondent be wound up as envisaged in section </w:t>
      </w:r>
      <w:r w:rsidR="003B489A" w:rsidRPr="00116D56">
        <w:rPr>
          <w:rFonts w:ascii="Arial" w:hAnsi="Arial" w:cs="Arial"/>
          <w:sz w:val="28"/>
          <w:szCs w:val="28"/>
        </w:rPr>
        <w:t xml:space="preserve">344(h) of the old Companies Act and/or on the basis of section </w:t>
      </w:r>
      <w:r w:rsidR="00BC3BA1" w:rsidRPr="00116D56">
        <w:rPr>
          <w:rFonts w:ascii="Arial" w:hAnsi="Arial" w:cs="Arial"/>
          <w:sz w:val="28"/>
          <w:szCs w:val="28"/>
        </w:rPr>
        <w:t>81(1)(c)(ii) of the Companies Act</w:t>
      </w:r>
      <w:r w:rsidR="00194C60" w:rsidRPr="00116D56">
        <w:rPr>
          <w:rFonts w:ascii="Arial" w:hAnsi="Arial" w:cs="Arial"/>
          <w:sz w:val="28"/>
          <w:szCs w:val="28"/>
        </w:rPr>
        <w:t xml:space="preserve"> 71 of 2008 [commonly referred to as </w:t>
      </w:r>
      <w:r w:rsidR="007449F4" w:rsidRPr="00116D56">
        <w:rPr>
          <w:rFonts w:ascii="Arial" w:hAnsi="Arial" w:cs="Arial"/>
          <w:sz w:val="28"/>
          <w:szCs w:val="28"/>
        </w:rPr>
        <w:t>“</w:t>
      </w:r>
      <w:r w:rsidR="00194C60" w:rsidRPr="00116D56">
        <w:rPr>
          <w:rFonts w:ascii="Arial" w:hAnsi="Arial" w:cs="Arial"/>
          <w:sz w:val="28"/>
          <w:szCs w:val="28"/>
        </w:rPr>
        <w:t>the new Companies Act</w:t>
      </w:r>
      <w:r w:rsidR="007449F4" w:rsidRPr="00116D56">
        <w:rPr>
          <w:rFonts w:ascii="Arial" w:hAnsi="Arial" w:cs="Arial"/>
          <w:sz w:val="28"/>
          <w:szCs w:val="28"/>
        </w:rPr>
        <w:t>”</w:t>
      </w:r>
      <w:r w:rsidR="00194C60" w:rsidRPr="00116D56">
        <w:rPr>
          <w:rFonts w:ascii="Arial" w:hAnsi="Arial" w:cs="Arial"/>
          <w:sz w:val="28"/>
          <w:szCs w:val="28"/>
        </w:rPr>
        <w:t xml:space="preserve"> for sake of convenience</w:t>
      </w:r>
      <w:r w:rsidR="007449F4" w:rsidRPr="00116D56">
        <w:rPr>
          <w:rFonts w:ascii="Arial" w:hAnsi="Arial" w:cs="Arial"/>
          <w:sz w:val="28"/>
          <w:szCs w:val="28"/>
        </w:rPr>
        <w:t>]</w:t>
      </w:r>
      <w:r w:rsidR="008F22B5" w:rsidRPr="00116D56">
        <w:rPr>
          <w:rFonts w:ascii="Arial" w:hAnsi="Arial" w:cs="Arial"/>
          <w:sz w:val="28"/>
          <w:szCs w:val="28"/>
        </w:rPr>
        <w:t xml:space="preserve"> </w:t>
      </w:r>
      <w:r w:rsidR="003009E2" w:rsidRPr="00116D56">
        <w:rPr>
          <w:rFonts w:ascii="Arial" w:hAnsi="Arial" w:cs="Arial"/>
          <w:sz w:val="28"/>
          <w:szCs w:val="28"/>
        </w:rPr>
        <w:t xml:space="preserve">and </w:t>
      </w:r>
      <w:r w:rsidR="008F22B5" w:rsidRPr="00116D56">
        <w:rPr>
          <w:rFonts w:ascii="Arial" w:hAnsi="Arial" w:cs="Arial"/>
          <w:sz w:val="28"/>
          <w:szCs w:val="28"/>
        </w:rPr>
        <w:t xml:space="preserve">insofar as the respondent may be </w:t>
      </w:r>
      <w:r w:rsidR="007D7DE4" w:rsidRPr="00116D56">
        <w:rPr>
          <w:rFonts w:ascii="Arial" w:hAnsi="Arial" w:cs="Arial"/>
          <w:sz w:val="28"/>
          <w:szCs w:val="28"/>
        </w:rPr>
        <w:t xml:space="preserve">solvent (which the applicant denies) </w:t>
      </w:r>
      <w:r w:rsidR="009B469D" w:rsidRPr="00116D56">
        <w:rPr>
          <w:rFonts w:ascii="Arial" w:hAnsi="Arial" w:cs="Arial"/>
          <w:sz w:val="28"/>
          <w:szCs w:val="28"/>
        </w:rPr>
        <w:t>it remains otherwise just and equitable for the respondent to be wound up</w:t>
      </w:r>
      <w:r w:rsidR="007449F4" w:rsidRPr="00116D56">
        <w:rPr>
          <w:rFonts w:ascii="Arial" w:hAnsi="Arial" w:cs="Arial"/>
          <w:sz w:val="28"/>
          <w:szCs w:val="28"/>
        </w:rPr>
        <w:t>.</w:t>
      </w:r>
    </w:p>
    <w:p w14:paraId="2014389F" w14:textId="77777777" w:rsidR="00A951B6" w:rsidRPr="00116D56" w:rsidRDefault="00A951B6" w:rsidP="00116D56">
      <w:pPr>
        <w:spacing w:line="360" w:lineRule="auto"/>
        <w:ind w:left="720" w:hanging="720"/>
        <w:jc w:val="both"/>
        <w:rPr>
          <w:rFonts w:ascii="Arial" w:hAnsi="Arial" w:cs="Arial"/>
          <w:sz w:val="28"/>
          <w:szCs w:val="28"/>
        </w:rPr>
      </w:pPr>
    </w:p>
    <w:p w14:paraId="44DA3D44" w14:textId="1477758D" w:rsidR="00AD6EB6" w:rsidRPr="00116D56" w:rsidRDefault="00A951B6" w:rsidP="00116D56">
      <w:pPr>
        <w:spacing w:after="0" w:line="360" w:lineRule="auto"/>
        <w:ind w:left="720" w:hanging="720"/>
        <w:jc w:val="both"/>
        <w:rPr>
          <w:rFonts w:ascii="Arial" w:hAnsi="Arial" w:cs="Arial"/>
          <w:sz w:val="28"/>
          <w:szCs w:val="28"/>
        </w:rPr>
      </w:pPr>
      <w:r w:rsidRPr="00116D56">
        <w:rPr>
          <w:rFonts w:ascii="Arial" w:hAnsi="Arial" w:cs="Arial"/>
          <w:sz w:val="28"/>
          <w:szCs w:val="28"/>
        </w:rPr>
        <w:t>[</w:t>
      </w:r>
      <w:r w:rsidR="00F14729" w:rsidRPr="00116D56">
        <w:rPr>
          <w:rFonts w:ascii="Arial" w:hAnsi="Arial" w:cs="Arial"/>
          <w:sz w:val="28"/>
          <w:szCs w:val="28"/>
        </w:rPr>
        <w:t>1</w:t>
      </w:r>
      <w:r w:rsidR="003D27E3" w:rsidRPr="00116D56">
        <w:rPr>
          <w:rFonts w:ascii="Arial" w:hAnsi="Arial" w:cs="Arial"/>
          <w:sz w:val="28"/>
          <w:szCs w:val="28"/>
        </w:rPr>
        <w:t>1</w:t>
      </w:r>
      <w:r w:rsidRPr="00116D56">
        <w:rPr>
          <w:rFonts w:ascii="Arial" w:hAnsi="Arial" w:cs="Arial"/>
          <w:sz w:val="28"/>
          <w:szCs w:val="28"/>
        </w:rPr>
        <w:t>]</w:t>
      </w:r>
      <w:r w:rsidR="00F14729" w:rsidRPr="00116D56">
        <w:rPr>
          <w:rFonts w:ascii="Arial" w:hAnsi="Arial" w:cs="Arial"/>
          <w:sz w:val="28"/>
          <w:szCs w:val="28"/>
        </w:rPr>
        <w:tab/>
      </w:r>
      <w:r w:rsidR="00623D92" w:rsidRPr="00116D56">
        <w:rPr>
          <w:rFonts w:ascii="Arial" w:hAnsi="Arial" w:cs="Arial"/>
          <w:sz w:val="28"/>
          <w:szCs w:val="28"/>
        </w:rPr>
        <w:t xml:space="preserve">In this matter the respondent on its own version </w:t>
      </w:r>
      <w:r w:rsidR="004256DE" w:rsidRPr="00116D56">
        <w:rPr>
          <w:rFonts w:ascii="Arial" w:hAnsi="Arial" w:cs="Arial"/>
          <w:sz w:val="28"/>
          <w:szCs w:val="28"/>
        </w:rPr>
        <w:t xml:space="preserve">is in material </w:t>
      </w:r>
      <w:r w:rsidR="00623D92" w:rsidRPr="00116D56">
        <w:rPr>
          <w:rFonts w:ascii="Arial" w:hAnsi="Arial" w:cs="Arial"/>
          <w:sz w:val="28"/>
          <w:szCs w:val="28"/>
        </w:rPr>
        <w:t>breach</w:t>
      </w:r>
      <w:r w:rsidR="004256DE" w:rsidRPr="00116D56">
        <w:rPr>
          <w:rFonts w:ascii="Arial" w:hAnsi="Arial" w:cs="Arial"/>
          <w:sz w:val="28"/>
          <w:szCs w:val="28"/>
        </w:rPr>
        <w:t xml:space="preserve"> of the agreement between the parties. It failed to comply with its </w:t>
      </w:r>
      <w:r w:rsidR="00F639C8" w:rsidRPr="00116D56">
        <w:rPr>
          <w:rFonts w:ascii="Arial" w:hAnsi="Arial" w:cs="Arial"/>
          <w:sz w:val="28"/>
          <w:szCs w:val="28"/>
        </w:rPr>
        <w:t xml:space="preserve">obligations to make payment of amounts when they became due and </w:t>
      </w:r>
      <w:r w:rsidR="00F639C8" w:rsidRPr="00116D56">
        <w:rPr>
          <w:rFonts w:ascii="Arial" w:hAnsi="Arial" w:cs="Arial"/>
          <w:sz w:val="28"/>
          <w:szCs w:val="28"/>
        </w:rPr>
        <w:lastRenderedPageBreak/>
        <w:t xml:space="preserve">payable and it </w:t>
      </w:r>
      <w:r w:rsidR="00FE6716" w:rsidRPr="00116D56">
        <w:rPr>
          <w:rFonts w:ascii="Arial" w:hAnsi="Arial" w:cs="Arial"/>
          <w:sz w:val="28"/>
          <w:szCs w:val="28"/>
        </w:rPr>
        <w:t>p</w:t>
      </w:r>
      <w:r w:rsidR="005F04AB" w:rsidRPr="00116D56">
        <w:rPr>
          <w:rFonts w:ascii="Arial" w:hAnsi="Arial" w:cs="Arial"/>
          <w:sz w:val="28"/>
          <w:szCs w:val="28"/>
        </w:rPr>
        <w:t>rocured petroleum products from alternative suppliers</w:t>
      </w:r>
      <w:r w:rsidR="00AD6EB6" w:rsidRPr="00116D56">
        <w:rPr>
          <w:rFonts w:ascii="Arial" w:hAnsi="Arial" w:cs="Arial"/>
          <w:sz w:val="28"/>
          <w:szCs w:val="28"/>
        </w:rPr>
        <w:t>, which fact it concealed from the applicant.</w:t>
      </w:r>
    </w:p>
    <w:p w14:paraId="0FD507DE" w14:textId="77777777" w:rsidR="00AD6EB6" w:rsidRPr="00116D56" w:rsidRDefault="00AD6EB6" w:rsidP="00116D56">
      <w:pPr>
        <w:spacing w:after="0" w:line="360" w:lineRule="auto"/>
        <w:ind w:left="720" w:hanging="720"/>
        <w:jc w:val="both"/>
        <w:rPr>
          <w:rFonts w:ascii="Arial" w:hAnsi="Arial" w:cs="Arial"/>
          <w:sz w:val="28"/>
          <w:szCs w:val="28"/>
        </w:rPr>
      </w:pPr>
    </w:p>
    <w:p w14:paraId="4D781622" w14:textId="7E6A7103" w:rsidR="00E027F0" w:rsidRPr="00116D56" w:rsidRDefault="00AD6EB6" w:rsidP="00116D56">
      <w:pPr>
        <w:spacing w:after="0" w:line="360" w:lineRule="auto"/>
        <w:ind w:left="720" w:hanging="720"/>
        <w:jc w:val="both"/>
        <w:rPr>
          <w:rFonts w:ascii="Arial" w:hAnsi="Arial" w:cs="Arial"/>
          <w:sz w:val="28"/>
          <w:szCs w:val="28"/>
        </w:rPr>
      </w:pPr>
      <w:r w:rsidRPr="00116D56">
        <w:rPr>
          <w:rFonts w:ascii="Arial" w:hAnsi="Arial" w:cs="Arial"/>
          <w:sz w:val="28"/>
          <w:szCs w:val="28"/>
        </w:rPr>
        <w:t>[1</w:t>
      </w:r>
      <w:r w:rsidR="00F25337" w:rsidRPr="00116D56">
        <w:rPr>
          <w:rFonts w:ascii="Arial" w:hAnsi="Arial" w:cs="Arial"/>
          <w:sz w:val="28"/>
          <w:szCs w:val="28"/>
        </w:rPr>
        <w:t>2</w:t>
      </w:r>
      <w:r w:rsidRPr="00116D56">
        <w:rPr>
          <w:rFonts w:ascii="Arial" w:hAnsi="Arial" w:cs="Arial"/>
          <w:sz w:val="28"/>
          <w:szCs w:val="28"/>
        </w:rPr>
        <w:t>]</w:t>
      </w:r>
      <w:r w:rsidRPr="00116D56">
        <w:rPr>
          <w:rFonts w:ascii="Arial" w:hAnsi="Arial" w:cs="Arial"/>
          <w:sz w:val="28"/>
          <w:szCs w:val="28"/>
        </w:rPr>
        <w:tab/>
      </w:r>
      <w:r w:rsidR="00E121A2" w:rsidRPr="00116D56">
        <w:rPr>
          <w:rFonts w:ascii="Arial" w:hAnsi="Arial" w:cs="Arial"/>
          <w:sz w:val="28"/>
          <w:szCs w:val="28"/>
        </w:rPr>
        <w:t xml:space="preserve">The applicant </w:t>
      </w:r>
      <w:r w:rsidR="00612DFC" w:rsidRPr="00116D56">
        <w:rPr>
          <w:rFonts w:ascii="Arial" w:hAnsi="Arial" w:cs="Arial"/>
          <w:sz w:val="28"/>
          <w:szCs w:val="28"/>
        </w:rPr>
        <w:t xml:space="preserve">inter alia relies on </w:t>
      </w:r>
      <w:r w:rsidR="00E027F0" w:rsidRPr="00116D56">
        <w:rPr>
          <w:rFonts w:ascii="Arial" w:hAnsi="Arial" w:cs="Arial"/>
          <w:sz w:val="28"/>
          <w:szCs w:val="28"/>
        </w:rPr>
        <w:t>two</w:t>
      </w:r>
      <w:r w:rsidR="003F4B6C" w:rsidRPr="00116D56">
        <w:rPr>
          <w:rFonts w:ascii="Arial" w:hAnsi="Arial" w:cs="Arial"/>
          <w:sz w:val="28"/>
          <w:szCs w:val="28"/>
        </w:rPr>
        <w:t xml:space="preserve"> statutory demand</w:t>
      </w:r>
      <w:r w:rsidR="00E027F0" w:rsidRPr="00116D56">
        <w:rPr>
          <w:rFonts w:ascii="Arial" w:hAnsi="Arial" w:cs="Arial"/>
          <w:sz w:val="28"/>
          <w:szCs w:val="28"/>
        </w:rPr>
        <w:t>s</w:t>
      </w:r>
      <w:r w:rsidR="003F4B6C" w:rsidRPr="00116D56">
        <w:rPr>
          <w:rFonts w:ascii="Arial" w:hAnsi="Arial" w:cs="Arial"/>
          <w:sz w:val="28"/>
          <w:szCs w:val="28"/>
        </w:rPr>
        <w:t xml:space="preserve"> </w:t>
      </w:r>
      <w:r w:rsidR="00612DFC" w:rsidRPr="00116D56">
        <w:rPr>
          <w:rFonts w:ascii="Arial" w:hAnsi="Arial" w:cs="Arial"/>
          <w:sz w:val="28"/>
          <w:szCs w:val="28"/>
        </w:rPr>
        <w:t>which w</w:t>
      </w:r>
      <w:r w:rsidR="00E027F0" w:rsidRPr="00116D56">
        <w:rPr>
          <w:rFonts w:ascii="Arial" w:hAnsi="Arial" w:cs="Arial"/>
          <w:sz w:val="28"/>
          <w:szCs w:val="28"/>
        </w:rPr>
        <w:t xml:space="preserve">ere duly </w:t>
      </w:r>
      <w:r w:rsidR="00612DFC" w:rsidRPr="00116D56">
        <w:rPr>
          <w:rFonts w:ascii="Arial" w:hAnsi="Arial" w:cs="Arial"/>
          <w:sz w:val="28"/>
          <w:szCs w:val="28"/>
        </w:rPr>
        <w:t xml:space="preserve">served </w:t>
      </w:r>
      <w:r w:rsidR="003F4B6C" w:rsidRPr="00116D56">
        <w:rPr>
          <w:rFonts w:ascii="Arial" w:hAnsi="Arial" w:cs="Arial"/>
          <w:sz w:val="28"/>
          <w:szCs w:val="28"/>
        </w:rPr>
        <w:t>on the respondent in terms of the provisions</w:t>
      </w:r>
      <w:r w:rsidR="00612DFC" w:rsidRPr="00116D56">
        <w:rPr>
          <w:rFonts w:ascii="Arial" w:hAnsi="Arial" w:cs="Arial"/>
          <w:sz w:val="28"/>
          <w:szCs w:val="28"/>
        </w:rPr>
        <w:t xml:space="preserve"> </w:t>
      </w:r>
      <w:r w:rsidR="007E1BD6" w:rsidRPr="00116D56">
        <w:rPr>
          <w:rFonts w:ascii="Arial" w:hAnsi="Arial" w:cs="Arial"/>
          <w:sz w:val="28"/>
          <w:szCs w:val="28"/>
        </w:rPr>
        <w:t>of section 345(1) of the old Companies Act</w:t>
      </w:r>
      <w:r w:rsidR="00E027F0" w:rsidRPr="00116D56">
        <w:rPr>
          <w:rFonts w:ascii="Arial" w:hAnsi="Arial" w:cs="Arial"/>
          <w:sz w:val="28"/>
          <w:szCs w:val="28"/>
        </w:rPr>
        <w:t>.</w:t>
      </w:r>
      <w:r w:rsidR="003F4B6C" w:rsidRPr="00116D56">
        <w:rPr>
          <w:rFonts w:ascii="Arial" w:hAnsi="Arial" w:cs="Arial"/>
          <w:sz w:val="28"/>
          <w:szCs w:val="28"/>
        </w:rPr>
        <w:t xml:space="preserve"> </w:t>
      </w:r>
      <w:r w:rsidR="003E0B75" w:rsidRPr="00116D56">
        <w:rPr>
          <w:rFonts w:ascii="Arial" w:hAnsi="Arial" w:cs="Arial"/>
          <w:sz w:val="28"/>
          <w:szCs w:val="28"/>
        </w:rPr>
        <w:t xml:space="preserve">The </w:t>
      </w:r>
      <w:r w:rsidR="00F96546" w:rsidRPr="00116D56">
        <w:rPr>
          <w:rFonts w:ascii="Arial" w:hAnsi="Arial" w:cs="Arial"/>
          <w:sz w:val="28"/>
          <w:szCs w:val="28"/>
        </w:rPr>
        <w:t xml:space="preserve">respondent </w:t>
      </w:r>
      <w:r w:rsidR="00BF12C9" w:rsidRPr="00116D56">
        <w:rPr>
          <w:rFonts w:ascii="Arial" w:hAnsi="Arial" w:cs="Arial"/>
          <w:sz w:val="28"/>
          <w:szCs w:val="28"/>
        </w:rPr>
        <w:t xml:space="preserve">neglected to pay the sums </w:t>
      </w:r>
      <w:r w:rsidR="001D6459" w:rsidRPr="00116D56">
        <w:rPr>
          <w:rFonts w:ascii="Arial" w:hAnsi="Arial" w:cs="Arial"/>
          <w:sz w:val="28"/>
          <w:szCs w:val="28"/>
        </w:rPr>
        <w:t xml:space="preserve">in full </w:t>
      </w:r>
      <w:r w:rsidR="00BF12C9" w:rsidRPr="00116D56">
        <w:rPr>
          <w:rFonts w:ascii="Arial" w:hAnsi="Arial" w:cs="Arial"/>
          <w:sz w:val="28"/>
          <w:szCs w:val="28"/>
        </w:rPr>
        <w:t xml:space="preserve">or to secure or compound for it to the reasonable satisfaction of the </w:t>
      </w:r>
      <w:r w:rsidR="00F25337" w:rsidRPr="00116D56">
        <w:rPr>
          <w:rFonts w:ascii="Arial" w:hAnsi="Arial" w:cs="Arial"/>
          <w:sz w:val="28"/>
          <w:szCs w:val="28"/>
        </w:rPr>
        <w:t>applicant</w:t>
      </w:r>
      <w:r w:rsidR="009118A0" w:rsidRPr="00116D56">
        <w:rPr>
          <w:rFonts w:ascii="Arial" w:hAnsi="Arial" w:cs="Arial"/>
          <w:sz w:val="28"/>
          <w:szCs w:val="28"/>
        </w:rPr>
        <w:t xml:space="preserve">. </w:t>
      </w:r>
    </w:p>
    <w:p w14:paraId="7E268F53" w14:textId="77777777" w:rsidR="00E027F0" w:rsidRPr="00116D56" w:rsidRDefault="00E027F0" w:rsidP="00116D56">
      <w:pPr>
        <w:spacing w:after="0" w:line="360" w:lineRule="auto"/>
        <w:ind w:left="720" w:hanging="720"/>
        <w:jc w:val="both"/>
        <w:rPr>
          <w:rFonts w:ascii="Arial" w:hAnsi="Arial" w:cs="Arial"/>
          <w:sz w:val="28"/>
          <w:szCs w:val="28"/>
        </w:rPr>
      </w:pPr>
    </w:p>
    <w:p w14:paraId="3082879F" w14:textId="1EDBB026" w:rsidR="00347D02" w:rsidRPr="00116D56" w:rsidRDefault="00E027F0" w:rsidP="00116D56">
      <w:pPr>
        <w:spacing w:after="0" w:line="360" w:lineRule="auto"/>
        <w:ind w:left="720" w:hanging="720"/>
        <w:jc w:val="both"/>
        <w:rPr>
          <w:rFonts w:ascii="Arial" w:hAnsi="Arial" w:cs="Arial"/>
          <w:sz w:val="28"/>
          <w:szCs w:val="28"/>
        </w:rPr>
      </w:pPr>
      <w:r w:rsidRPr="00116D56">
        <w:rPr>
          <w:rFonts w:ascii="Arial" w:hAnsi="Arial" w:cs="Arial"/>
          <w:sz w:val="28"/>
          <w:szCs w:val="28"/>
        </w:rPr>
        <w:t>[1</w:t>
      </w:r>
      <w:r w:rsidR="00AD00FC" w:rsidRPr="00116D56">
        <w:rPr>
          <w:rFonts w:ascii="Arial" w:hAnsi="Arial" w:cs="Arial"/>
          <w:sz w:val="28"/>
          <w:szCs w:val="28"/>
        </w:rPr>
        <w:t>3</w:t>
      </w:r>
      <w:r w:rsidRPr="00116D56">
        <w:rPr>
          <w:rFonts w:ascii="Arial" w:hAnsi="Arial" w:cs="Arial"/>
          <w:sz w:val="28"/>
          <w:szCs w:val="28"/>
        </w:rPr>
        <w:t>]</w:t>
      </w:r>
      <w:r w:rsidRPr="00116D56">
        <w:rPr>
          <w:rFonts w:ascii="Arial" w:hAnsi="Arial" w:cs="Arial"/>
          <w:sz w:val="28"/>
          <w:szCs w:val="28"/>
        </w:rPr>
        <w:tab/>
      </w:r>
      <w:r w:rsidR="00513A86" w:rsidRPr="00116D56">
        <w:rPr>
          <w:rFonts w:ascii="Arial" w:hAnsi="Arial" w:cs="Arial"/>
          <w:sz w:val="28"/>
          <w:szCs w:val="28"/>
        </w:rPr>
        <w:t>T</w:t>
      </w:r>
      <w:r w:rsidR="009A6904" w:rsidRPr="00116D56">
        <w:rPr>
          <w:rFonts w:ascii="Arial" w:hAnsi="Arial" w:cs="Arial"/>
          <w:sz w:val="28"/>
          <w:szCs w:val="28"/>
        </w:rPr>
        <w:t xml:space="preserve">he respondent’s </w:t>
      </w:r>
      <w:r w:rsidR="00D11FC5" w:rsidRPr="00116D56">
        <w:rPr>
          <w:rFonts w:ascii="Arial" w:hAnsi="Arial" w:cs="Arial"/>
          <w:sz w:val="28"/>
          <w:szCs w:val="28"/>
        </w:rPr>
        <w:t xml:space="preserve">version </w:t>
      </w:r>
      <w:r w:rsidR="00513A86" w:rsidRPr="00116D56">
        <w:rPr>
          <w:rFonts w:ascii="Arial" w:hAnsi="Arial" w:cs="Arial"/>
          <w:sz w:val="28"/>
          <w:szCs w:val="28"/>
        </w:rPr>
        <w:t>i</w:t>
      </w:r>
      <w:r w:rsidR="00D11FC5" w:rsidRPr="00116D56">
        <w:rPr>
          <w:rFonts w:ascii="Arial" w:hAnsi="Arial" w:cs="Arial"/>
          <w:sz w:val="28"/>
          <w:szCs w:val="28"/>
        </w:rPr>
        <w:t xml:space="preserve">s fanciful and clearly untenable. </w:t>
      </w:r>
      <w:r w:rsidR="00D77CB4" w:rsidRPr="00116D56">
        <w:rPr>
          <w:rFonts w:ascii="Arial" w:hAnsi="Arial" w:cs="Arial"/>
          <w:sz w:val="28"/>
          <w:szCs w:val="28"/>
        </w:rPr>
        <w:t>It is not necessary to deal with the version in full</w:t>
      </w:r>
      <w:r w:rsidR="00B658EE" w:rsidRPr="00116D56">
        <w:rPr>
          <w:rFonts w:ascii="Arial" w:hAnsi="Arial" w:cs="Arial"/>
          <w:sz w:val="28"/>
          <w:szCs w:val="28"/>
        </w:rPr>
        <w:t xml:space="preserve">. </w:t>
      </w:r>
    </w:p>
    <w:p w14:paraId="11B420E7" w14:textId="77777777" w:rsidR="00347D02" w:rsidRPr="00116D56" w:rsidRDefault="00347D02" w:rsidP="00116D56">
      <w:pPr>
        <w:spacing w:after="0" w:line="360" w:lineRule="auto"/>
        <w:ind w:left="720" w:hanging="720"/>
        <w:jc w:val="both"/>
        <w:rPr>
          <w:rFonts w:ascii="Arial" w:hAnsi="Arial" w:cs="Arial"/>
          <w:sz w:val="28"/>
          <w:szCs w:val="28"/>
        </w:rPr>
      </w:pPr>
    </w:p>
    <w:p w14:paraId="6FCF435A" w14:textId="7E6C54CA" w:rsidR="00465191" w:rsidRPr="00116D56" w:rsidRDefault="00347D02" w:rsidP="00116D56">
      <w:pPr>
        <w:spacing w:after="0" w:line="360" w:lineRule="auto"/>
        <w:ind w:left="720" w:hanging="720"/>
        <w:jc w:val="both"/>
        <w:rPr>
          <w:rFonts w:ascii="Arial" w:hAnsi="Arial" w:cs="Arial"/>
          <w:sz w:val="28"/>
          <w:szCs w:val="28"/>
        </w:rPr>
      </w:pPr>
      <w:r w:rsidRPr="00116D56">
        <w:rPr>
          <w:rFonts w:ascii="Arial" w:hAnsi="Arial" w:cs="Arial"/>
          <w:sz w:val="28"/>
          <w:szCs w:val="28"/>
        </w:rPr>
        <w:t>[1</w:t>
      </w:r>
      <w:r w:rsidR="00AD00FC" w:rsidRPr="00116D56">
        <w:rPr>
          <w:rFonts w:ascii="Arial" w:hAnsi="Arial" w:cs="Arial"/>
          <w:sz w:val="28"/>
          <w:szCs w:val="28"/>
        </w:rPr>
        <w:t>4</w:t>
      </w:r>
      <w:r w:rsidRPr="00116D56">
        <w:rPr>
          <w:rFonts w:ascii="Arial" w:hAnsi="Arial" w:cs="Arial"/>
          <w:sz w:val="28"/>
          <w:szCs w:val="28"/>
        </w:rPr>
        <w:t>]</w:t>
      </w:r>
      <w:r w:rsidRPr="00116D56">
        <w:rPr>
          <w:rFonts w:ascii="Arial" w:hAnsi="Arial" w:cs="Arial"/>
          <w:sz w:val="28"/>
          <w:szCs w:val="28"/>
        </w:rPr>
        <w:tab/>
      </w:r>
      <w:r w:rsidR="00E473AE" w:rsidRPr="00116D56">
        <w:rPr>
          <w:rFonts w:ascii="Arial" w:hAnsi="Arial" w:cs="Arial"/>
          <w:sz w:val="28"/>
          <w:szCs w:val="28"/>
        </w:rPr>
        <w:t xml:space="preserve">It must be said that the </w:t>
      </w:r>
      <w:r w:rsidR="001F575D" w:rsidRPr="00116D56">
        <w:rPr>
          <w:rFonts w:ascii="Arial" w:hAnsi="Arial" w:cs="Arial"/>
          <w:sz w:val="28"/>
          <w:szCs w:val="28"/>
        </w:rPr>
        <w:t xml:space="preserve">interpretation of the agreement advanced by the respondent </w:t>
      </w:r>
      <w:r w:rsidR="00B2354B" w:rsidRPr="00116D56">
        <w:rPr>
          <w:rFonts w:ascii="Arial" w:hAnsi="Arial" w:cs="Arial"/>
          <w:sz w:val="28"/>
          <w:szCs w:val="28"/>
        </w:rPr>
        <w:t xml:space="preserve">in its answering affidavit </w:t>
      </w:r>
      <w:r w:rsidR="001F575D" w:rsidRPr="00116D56">
        <w:rPr>
          <w:rFonts w:ascii="Arial" w:hAnsi="Arial" w:cs="Arial"/>
          <w:sz w:val="28"/>
          <w:szCs w:val="28"/>
        </w:rPr>
        <w:t xml:space="preserve">is </w:t>
      </w:r>
      <w:r w:rsidR="00DF770D" w:rsidRPr="00116D56">
        <w:rPr>
          <w:rFonts w:ascii="Arial" w:hAnsi="Arial" w:cs="Arial"/>
          <w:sz w:val="28"/>
          <w:szCs w:val="28"/>
        </w:rPr>
        <w:t xml:space="preserve">clearly </w:t>
      </w:r>
      <w:r w:rsidR="00344996" w:rsidRPr="00116D56">
        <w:rPr>
          <w:rFonts w:ascii="Arial" w:hAnsi="Arial" w:cs="Arial"/>
          <w:sz w:val="28"/>
          <w:szCs w:val="28"/>
        </w:rPr>
        <w:t>untenable.</w:t>
      </w:r>
      <w:r w:rsidR="00305ACB" w:rsidRPr="00116D56">
        <w:rPr>
          <w:rFonts w:ascii="Arial" w:hAnsi="Arial" w:cs="Arial"/>
          <w:sz w:val="28"/>
          <w:szCs w:val="28"/>
        </w:rPr>
        <w:t xml:space="preserve"> </w:t>
      </w:r>
      <w:r w:rsidR="00340DED" w:rsidRPr="00116D56">
        <w:rPr>
          <w:rFonts w:ascii="Arial" w:hAnsi="Arial" w:cs="Arial"/>
          <w:sz w:val="28"/>
          <w:szCs w:val="28"/>
        </w:rPr>
        <w:t>So</w:t>
      </w:r>
      <w:r w:rsidR="00305ACB" w:rsidRPr="00116D56">
        <w:rPr>
          <w:rFonts w:ascii="Arial" w:hAnsi="Arial" w:cs="Arial"/>
          <w:sz w:val="28"/>
          <w:szCs w:val="28"/>
        </w:rPr>
        <w:t xml:space="preserve"> </w:t>
      </w:r>
      <w:r w:rsidR="00F963DB" w:rsidRPr="00116D56">
        <w:rPr>
          <w:rFonts w:ascii="Arial" w:hAnsi="Arial" w:cs="Arial"/>
          <w:sz w:val="28"/>
          <w:szCs w:val="28"/>
        </w:rPr>
        <w:t>t</w:t>
      </w:r>
      <w:r w:rsidR="00340DED" w:rsidRPr="00116D56">
        <w:rPr>
          <w:rFonts w:ascii="Arial" w:hAnsi="Arial" w:cs="Arial"/>
          <w:sz w:val="28"/>
          <w:szCs w:val="28"/>
        </w:rPr>
        <w:t xml:space="preserve">oo </w:t>
      </w:r>
      <w:r w:rsidR="00DF770D" w:rsidRPr="00116D56">
        <w:rPr>
          <w:rFonts w:ascii="Arial" w:hAnsi="Arial" w:cs="Arial"/>
          <w:sz w:val="28"/>
          <w:szCs w:val="28"/>
        </w:rPr>
        <w:t xml:space="preserve">the </w:t>
      </w:r>
      <w:r w:rsidR="00340DED" w:rsidRPr="00116D56">
        <w:rPr>
          <w:rFonts w:ascii="Arial" w:hAnsi="Arial" w:cs="Arial"/>
          <w:sz w:val="28"/>
          <w:szCs w:val="28"/>
        </w:rPr>
        <w:t xml:space="preserve">reliance on the agreement being void for vagueness. </w:t>
      </w:r>
      <w:r w:rsidR="007A5049" w:rsidRPr="00116D56">
        <w:rPr>
          <w:rFonts w:ascii="Arial" w:hAnsi="Arial" w:cs="Arial"/>
          <w:sz w:val="28"/>
          <w:szCs w:val="28"/>
        </w:rPr>
        <w:t xml:space="preserve">The parties </w:t>
      </w:r>
      <w:r w:rsidR="004C1940" w:rsidRPr="00116D56">
        <w:rPr>
          <w:rFonts w:ascii="Arial" w:hAnsi="Arial" w:cs="Arial"/>
          <w:sz w:val="28"/>
          <w:szCs w:val="28"/>
        </w:rPr>
        <w:t xml:space="preserve">implemented the agreement for approximately 7 years. </w:t>
      </w:r>
      <w:r w:rsidRPr="00116D56">
        <w:rPr>
          <w:rFonts w:ascii="Arial" w:hAnsi="Arial" w:cs="Arial"/>
          <w:sz w:val="28"/>
          <w:szCs w:val="28"/>
        </w:rPr>
        <w:t xml:space="preserve"> </w:t>
      </w:r>
      <w:r w:rsidR="001E28FD" w:rsidRPr="00116D56">
        <w:rPr>
          <w:rFonts w:ascii="Arial" w:hAnsi="Arial" w:cs="Arial"/>
          <w:sz w:val="28"/>
          <w:szCs w:val="28"/>
        </w:rPr>
        <w:t>A</w:t>
      </w:r>
      <w:r w:rsidR="00FB12D8" w:rsidRPr="00116D56">
        <w:rPr>
          <w:rFonts w:ascii="Arial" w:hAnsi="Arial" w:cs="Arial"/>
          <w:sz w:val="28"/>
          <w:szCs w:val="28"/>
        </w:rPr>
        <w:t>s explained by Wallis JA</w:t>
      </w:r>
      <w:r w:rsidR="00EA1845" w:rsidRPr="00116D56">
        <w:rPr>
          <w:rFonts w:ascii="Arial" w:hAnsi="Arial" w:cs="Arial"/>
          <w:sz w:val="28"/>
          <w:szCs w:val="28"/>
        </w:rPr>
        <w:t xml:space="preserve"> on behalf of a unanimous </w:t>
      </w:r>
      <w:r w:rsidR="00361B2E" w:rsidRPr="00116D56">
        <w:rPr>
          <w:rFonts w:ascii="Arial" w:hAnsi="Arial" w:cs="Arial"/>
          <w:sz w:val="28"/>
          <w:szCs w:val="28"/>
        </w:rPr>
        <w:t>Court</w:t>
      </w:r>
      <w:r w:rsidR="00EA1845" w:rsidRPr="00116D56">
        <w:rPr>
          <w:rFonts w:ascii="Arial" w:hAnsi="Arial" w:cs="Arial"/>
          <w:sz w:val="28"/>
          <w:szCs w:val="28"/>
        </w:rPr>
        <w:t xml:space="preserve"> in </w:t>
      </w:r>
      <w:r w:rsidR="00465191" w:rsidRPr="00116D56">
        <w:rPr>
          <w:rFonts w:ascii="Arial" w:hAnsi="Arial" w:cs="Arial"/>
          <w:b/>
          <w:sz w:val="28"/>
          <w:szCs w:val="28"/>
        </w:rPr>
        <w:t>Comwezi Security Services (Pty) Ltd v Cape Empowerment Trust Limited 2012 JDR 1734 (SCA)</w:t>
      </w:r>
      <w:r w:rsidR="00465191" w:rsidRPr="00116D56">
        <w:rPr>
          <w:rFonts w:ascii="Arial" w:hAnsi="Arial" w:cs="Arial"/>
          <w:sz w:val="28"/>
          <w:szCs w:val="28"/>
        </w:rPr>
        <w:t xml:space="preserve"> par</w:t>
      </w:r>
      <w:r w:rsidR="00EA1845" w:rsidRPr="00116D56">
        <w:rPr>
          <w:rFonts w:ascii="Arial" w:hAnsi="Arial" w:cs="Arial"/>
          <w:sz w:val="28"/>
          <w:szCs w:val="28"/>
        </w:rPr>
        <w:t>a</w:t>
      </w:r>
      <w:r w:rsidR="00465191" w:rsidRPr="00116D56">
        <w:rPr>
          <w:rFonts w:ascii="Arial" w:hAnsi="Arial" w:cs="Arial"/>
          <w:sz w:val="28"/>
          <w:szCs w:val="28"/>
        </w:rPr>
        <w:t xml:space="preserve"> 15 with reference to the ‘Endumeni Municipality</w:t>
      </w:r>
      <w:r w:rsidR="00836FA2" w:rsidRPr="00116D56">
        <w:rPr>
          <w:rStyle w:val="FootnoteReference"/>
          <w:rFonts w:ascii="Arial" w:hAnsi="Arial" w:cs="Arial"/>
          <w:sz w:val="28"/>
          <w:szCs w:val="28"/>
        </w:rPr>
        <w:footnoteReference w:id="7"/>
      </w:r>
      <w:r w:rsidR="00465191" w:rsidRPr="00116D56">
        <w:rPr>
          <w:rFonts w:ascii="Arial" w:hAnsi="Arial" w:cs="Arial"/>
          <w:sz w:val="28"/>
          <w:szCs w:val="28"/>
        </w:rPr>
        <w:t xml:space="preserve"> rule of interpretation’:</w:t>
      </w:r>
    </w:p>
    <w:p w14:paraId="7D57D3AB" w14:textId="77777777" w:rsidR="00465191" w:rsidRPr="00116D56" w:rsidRDefault="00465191" w:rsidP="00116D56">
      <w:pPr>
        <w:spacing w:after="0" w:line="360" w:lineRule="auto"/>
        <w:jc w:val="both"/>
        <w:rPr>
          <w:rFonts w:ascii="Arial" w:hAnsi="Arial" w:cs="Arial"/>
        </w:rPr>
      </w:pPr>
    </w:p>
    <w:p w14:paraId="2D60509E" w14:textId="77777777" w:rsidR="00465191" w:rsidRPr="00116D56" w:rsidRDefault="00465191" w:rsidP="00116D56">
      <w:pPr>
        <w:spacing w:after="0" w:line="360" w:lineRule="auto"/>
        <w:ind w:left="720"/>
        <w:jc w:val="both"/>
        <w:rPr>
          <w:rFonts w:ascii="Arial" w:hAnsi="Arial" w:cs="Arial"/>
          <w:sz w:val="26"/>
          <w:szCs w:val="26"/>
        </w:rPr>
      </w:pPr>
      <w:r w:rsidRPr="00116D56">
        <w:rPr>
          <w:rFonts w:ascii="Arial" w:hAnsi="Arial" w:cs="Arial"/>
          <w:sz w:val="26"/>
          <w:szCs w:val="26"/>
        </w:rPr>
        <w:t xml:space="preserve">“In the past, where there was perceived ambiguity in a contract, the courts held that the subsequent conduct of parties in implementing their agreement was a factor that could be taken into account in preferring one interpretation to another. Now that regard is had to all relevant context, irrespective of </w:t>
      </w:r>
      <w:r w:rsidRPr="00116D56">
        <w:rPr>
          <w:rFonts w:ascii="Arial" w:hAnsi="Arial" w:cs="Arial"/>
          <w:sz w:val="26"/>
          <w:szCs w:val="26"/>
        </w:rPr>
        <w:lastRenderedPageBreak/>
        <w:t>whether there is a perceived ambiguity, there is no reason not to look at the conduct of the parties in implementing the agreement. Where it is clear that they have both taken the same approach to its implementation, and hence the meaning of the provision in dispute, their conduct provides clear evidence of how reasonable business people situated as they were and knowing what they knew, would construe the disputed provision. It is therefore relevant to an objective determination of the meaning of the words they have used and the selection of the appropriate meaning from among those postulated by the parties. This does not mean that, if the parties have implemented their agreement in a manner that is inconsistent with any possible meaning of the language used, the court can use their conduct to give that language an otherwise impermissible meaning. In that situation their conduct may be relevant to a claim for rectification of the agreement or may found estoppel, but it does not affect the proper construction of the provision under consideration.”</w:t>
      </w:r>
    </w:p>
    <w:p w14:paraId="63017CDC" w14:textId="77777777" w:rsidR="00465191" w:rsidRPr="00116D56" w:rsidRDefault="00465191" w:rsidP="00116D56">
      <w:pPr>
        <w:spacing w:after="0" w:line="360" w:lineRule="auto"/>
        <w:jc w:val="both"/>
        <w:rPr>
          <w:rFonts w:ascii="Arial" w:hAnsi="Arial" w:cs="Arial"/>
          <w:sz w:val="26"/>
          <w:szCs w:val="26"/>
        </w:rPr>
      </w:pPr>
      <w:r w:rsidRPr="00116D56">
        <w:rPr>
          <w:rFonts w:ascii="Arial" w:hAnsi="Arial" w:cs="Arial"/>
          <w:sz w:val="26"/>
          <w:szCs w:val="26"/>
        </w:rPr>
        <w:tab/>
        <w:t>[I have omitted the footnotes from the passage]</w:t>
      </w:r>
    </w:p>
    <w:p w14:paraId="746A2B41" w14:textId="77777777" w:rsidR="00440D95" w:rsidRPr="00116D56" w:rsidRDefault="00440D95" w:rsidP="00116D56">
      <w:pPr>
        <w:spacing w:line="360" w:lineRule="auto"/>
        <w:ind w:left="720" w:hanging="720"/>
        <w:jc w:val="both"/>
        <w:rPr>
          <w:rFonts w:ascii="Arial" w:hAnsi="Arial" w:cs="Arial"/>
          <w:sz w:val="28"/>
          <w:szCs w:val="28"/>
        </w:rPr>
      </w:pPr>
    </w:p>
    <w:p w14:paraId="2B919BB9" w14:textId="06F81043" w:rsidR="001E28FD" w:rsidRPr="00116D56" w:rsidRDefault="007117A6" w:rsidP="00116D56">
      <w:pPr>
        <w:spacing w:after="0" w:line="360" w:lineRule="auto"/>
        <w:ind w:left="720" w:hanging="720"/>
        <w:jc w:val="both"/>
        <w:rPr>
          <w:rFonts w:ascii="Arial" w:hAnsi="Arial" w:cs="Arial"/>
          <w:sz w:val="28"/>
          <w:szCs w:val="28"/>
        </w:rPr>
      </w:pPr>
      <w:r w:rsidRPr="00116D56">
        <w:rPr>
          <w:rFonts w:ascii="Arial" w:hAnsi="Arial" w:cs="Arial"/>
          <w:sz w:val="28"/>
          <w:szCs w:val="28"/>
        </w:rPr>
        <w:t>[1</w:t>
      </w:r>
      <w:r w:rsidR="00A30F06" w:rsidRPr="00116D56">
        <w:rPr>
          <w:rFonts w:ascii="Arial" w:hAnsi="Arial" w:cs="Arial"/>
          <w:sz w:val="28"/>
          <w:szCs w:val="28"/>
        </w:rPr>
        <w:t>5</w:t>
      </w:r>
      <w:r w:rsidRPr="00116D56">
        <w:rPr>
          <w:rFonts w:ascii="Arial" w:hAnsi="Arial" w:cs="Arial"/>
          <w:sz w:val="28"/>
          <w:szCs w:val="28"/>
        </w:rPr>
        <w:t>]</w:t>
      </w:r>
      <w:r w:rsidRPr="00116D56">
        <w:rPr>
          <w:rFonts w:ascii="Arial" w:hAnsi="Arial" w:cs="Arial"/>
          <w:sz w:val="28"/>
          <w:szCs w:val="28"/>
        </w:rPr>
        <w:tab/>
      </w:r>
      <w:r w:rsidR="00643693" w:rsidRPr="00116D56">
        <w:rPr>
          <w:rFonts w:ascii="Arial" w:hAnsi="Arial" w:cs="Arial"/>
          <w:sz w:val="28"/>
          <w:szCs w:val="28"/>
        </w:rPr>
        <w:t>The parties did not implement their agreement in a manner that is inconsistent with any possible meaning of the language used.</w:t>
      </w:r>
    </w:p>
    <w:p w14:paraId="568E0CFB" w14:textId="77777777" w:rsidR="001E28FD" w:rsidRPr="00116D56" w:rsidRDefault="001E28FD" w:rsidP="00116D56">
      <w:pPr>
        <w:spacing w:after="0" w:line="360" w:lineRule="auto"/>
        <w:ind w:left="720" w:hanging="720"/>
        <w:jc w:val="both"/>
        <w:rPr>
          <w:rFonts w:ascii="Arial" w:hAnsi="Arial" w:cs="Arial"/>
          <w:sz w:val="28"/>
          <w:szCs w:val="28"/>
        </w:rPr>
      </w:pPr>
    </w:p>
    <w:p w14:paraId="24A24B31" w14:textId="5617BA36" w:rsidR="00996F93" w:rsidRPr="00116D56" w:rsidRDefault="001E28FD" w:rsidP="00116D56">
      <w:pPr>
        <w:spacing w:after="0" w:line="360" w:lineRule="auto"/>
        <w:ind w:left="720" w:hanging="720"/>
        <w:jc w:val="both"/>
        <w:rPr>
          <w:rFonts w:ascii="Arial" w:hAnsi="Arial" w:cs="Arial"/>
          <w:sz w:val="28"/>
          <w:szCs w:val="28"/>
        </w:rPr>
      </w:pPr>
      <w:r w:rsidRPr="00116D56">
        <w:rPr>
          <w:rFonts w:ascii="Arial" w:hAnsi="Arial" w:cs="Arial"/>
          <w:sz w:val="28"/>
          <w:szCs w:val="28"/>
        </w:rPr>
        <w:t>[1</w:t>
      </w:r>
      <w:r w:rsidR="004D1A3B" w:rsidRPr="00116D56">
        <w:rPr>
          <w:rFonts w:ascii="Arial" w:hAnsi="Arial" w:cs="Arial"/>
          <w:sz w:val="28"/>
          <w:szCs w:val="28"/>
        </w:rPr>
        <w:t>6</w:t>
      </w:r>
      <w:r w:rsidRPr="00116D56">
        <w:rPr>
          <w:rFonts w:ascii="Arial" w:hAnsi="Arial" w:cs="Arial"/>
          <w:sz w:val="28"/>
          <w:szCs w:val="28"/>
        </w:rPr>
        <w:t>]</w:t>
      </w:r>
      <w:r w:rsidR="00643693" w:rsidRPr="00116D56">
        <w:rPr>
          <w:rFonts w:ascii="Arial" w:hAnsi="Arial" w:cs="Arial"/>
          <w:sz w:val="28"/>
          <w:szCs w:val="28"/>
        </w:rPr>
        <w:tab/>
      </w:r>
      <w:r w:rsidR="00752AC5" w:rsidRPr="00116D56">
        <w:rPr>
          <w:rFonts w:ascii="Arial" w:hAnsi="Arial" w:cs="Arial"/>
          <w:sz w:val="28"/>
          <w:szCs w:val="28"/>
        </w:rPr>
        <w:t>N</w:t>
      </w:r>
      <w:r w:rsidR="00996F93" w:rsidRPr="00116D56">
        <w:rPr>
          <w:rFonts w:ascii="Arial" w:hAnsi="Arial" w:cs="Arial"/>
          <w:sz w:val="28"/>
          <w:szCs w:val="28"/>
        </w:rPr>
        <w:t xml:space="preserve">o genuine bona fide dispute exists that would justify dismissal of the application. </w:t>
      </w:r>
    </w:p>
    <w:p w14:paraId="4D4FFB77" w14:textId="77777777" w:rsidR="00DA263B" w:rsidRPr="00116D56" w:rsidRDefault="00DA263B" w:rsidP="00116D56">
      <w:pPr>
        <w:spacing w:after="0" w:line="360" w:lineRule="auto"/>
        <w:ind w:left="720" w:hanging="720"/>
        <w:jc w:val="both"/>
        <w:rPr>
          <w:rFonts w:ascii="Arial" w:hAnsi="Arial" w:cs="Arial"/>
          <w:sz w:val="28"/>
          <w:szCs w:val="28"/>
        </w:rPr>
      </w:pPr>
    </w:p>
    <w:p w14:paraId="0B974431" w14:textId="2F3EE5A4" w:rsidR="00DA263B" w:rsidRPr="00116D56" w:rsidRDefault="00DA263B" w:rsidP="00116D56">
      <w:pPr>
        <w:spacing w:after="0" w:line="360" w:lineRule="auto"/>
        <w:ind w:left="720" w:hanging="720"/>
        <w:jc w:val="both"/>
        <w:rPr>
          <w:rFonts w:ascii="Arial" w:hAnsi="Arial" w:cs="Arial"/>
          <w:sz w:val="28"/>
          <w:szCs w:val="28"/>
        </w:rPr>
      </w:pPr>
      <w:r w:rsidRPr="00116D56">
        <w:rPr>
          <w:rFonts w:ascii="Arial" w:hAnsi="Arial" w:cs="Arial"/>
          <w:sz w:val="28"/>
          <w:szCs w:val="28"/>
        </w:rPr>
        <w:t>[1</w:t>
      </w:r>
      <w:r w:rsidR="004D1A3B" w:rsidRPr="00116D56">
        <w:rPr>
          <w:rFonts w:ascii="Arial" w:hAnsi="Arial" w:cs="Arial"/>
          <w:sz w:val="28"/>
          <w:szCs w:val="28"/>
        </w:rPr>
        <w:t>7</w:t>
      </w:r>
      <w:r w:rsidRPr="00116D56">
        <w:rPr>
          <w:rFonts w:ascii="Arial" w:hAnsi="Arial" w:cs="Arial"/>
          <w:sz w:val="28"/>
          <w:szCs w:val="28"/>
        </w:rPr>
        <w:t>]</w:t>
      </w:r>
      <w:r w:rsidRPr="00116D56">
        <w:rPr>
          <w:rFonts w:ascii="Arial" w:hAnsi="Arial" w:cs="Arial"/>
          <w:sz w:val="28"/>
          <w:szCs w:val="28"/>
        </w:rPr>
        <w:tab/>
      </w:r>
      <w:r w:rsidR="004C791A" w:rsidRPr="00116D56">
        <w:rPr>
          <w:rFonts w:ascii="Arial" w:hAnsi="Arial" w:cs="Arial"/>
          <w:sz w:val="28"/>
          <w:szCs w:val="28"/>
        </w:rPr>
        <w:t>The respondent has not rebutted the statutory presumption that it is not able to pay its debts</w:t>
      </w:r>
      <w:r w:rsidR="00095DFD" w:rsidRPr="00116D56">
        <w:rPr>
          <w:rFonts w:ascii="Arial" w:hAnsi="Arial" w:cs="Arial"/>
          <w:sz w:val="28"/>
          <w:szCs w:val="28"/>
        </w:rPr>
        <w:t>.</w:t>
      </w:r>
    </w:p>
    <w:p w14:paraId="5B6AD4E0" w14:textId="77777777" w:rsidR="00095DFD" w:rsidRPr="00116D56" w:rsidRDefault="00095DFD" w:rsidP="00116D56">
      <w:pPr>
        <w:spacing w:after="0" w:line="360" w:lineRule="auto"/>
        <w:ind w:left="720" w:hanging="720"/>
        <w:jc w:val="both"/>
        <w:rPr>
          <w:rFonts w:ascii="Arial" w:hAnsi="Arial" w:cs="Arial"/>
          <w:sz w:val="28"/>
          <w:szCs w:val="28"/>
        </w:rPr>
      </w:pPr>
    </w:p>
    <w:p w14:paraId="21A521BF" w14:textId="3AAD2571" w:rsidR="008E499F" w:rsidRPr="00116D56" w:rsidRDefault="00095DFD" w:rsidP="00116D56">
      <w:pPr>
        <w:spacing w:after="0" w:line="360" w:lineRule="auto"/>
        <w:ind w:left="720" w:hanging="720"/>
        <w:jc w:val="both"/>
        <w:rPr>
          <w:rFonts w:ascii="Arial" w:hAnsi="Arial" w:cs="Arial"/>
          <w:sz w:val="28"/>
          <w:szCs w:val="28"/>
        </w:rPr>
      </w:pPr>
      <w:r w:rsidRPr="00116D56">
        <w:rPr>
          <w:rFonts w:ascii="Arial" w:hAnsi="Arial" w:cs="Arial"/>
          <w:sz w:val="28"/>
          <w:szCs w:val="28"/>
        </w:rPr>
        <w:lastRenderedPageBreak/>
        <w:t>[1</w:t>
      </w:r>
      <w:r w:rsidR="004D1A3B" w:rsidRPr="00116D56">
        <w:rPr>
          <w:rFonts w:ascii="Arial" w:hAnsi="Arial" w:cs="Arial"/>
          <w:sz w:val="28"/>
          <w:szCs w:val="28"/>
        </w:rPr>
        <w:t>8</w:t>
      </w:r>
      <w:r w:rsidRPr="00116D56">
        <w:rPr>
          <w:rFonts w:ascii="Arial" w:hAnsi="Arial" w:cs="Arial"/>
          <w:sz w:val="28"/>
          <w:szCs w:val="28"/>
        </w:rPr>
        <w:t>]</w:t>
      </w:r>
      <w:r w:rsidRPr="00116D56">
        <w:rPr>
          <w:rFonts w:ascii="Arial" w:hAnsi="Arial" w:cs="Arial"/>
          <w:sz w:val="28"/>
          <w:szCs w:val="28"/>
        </w:rPr>
        <w:tab/>
      </w:r>
      <w:r w:rsidR="008E499F" w:rsidRPr="00116D56">
        <w:rPr>
          <w:rFonts w:ascii="Arial" w:hAnsi="Arial" w:cs="Arial"/>
          <w:sz w:val="28"/>
          <w:szCs w:val="28"/>
        </w:rPr>
        <w:t xml:space="preserve">In </w:t>
      </w:r>
      <w:r w:rsidR="008E499F" w:rsidRPr="00116D56">
        <w:rPr>
          <w:rFonts w:ascii="Arial" w:hAnsi="Arial" w:cs="Arial"/>
          <w:b/>
          <w:bCs/>
          <w:sz w:val="28"/>
          <w:szCs w:val="28"/>
        </w:rPr>
        <w:t>Boschpoort Ondernemings (Pty) Ltd v Absa Bank Ltd</w:t>
      </w:r>
      <w:r w:rsidR="008E499F" w:rsidRPr="00116D56">
        <w:rPr>
          <w:rFonts w:ascii="Arial" w:hAnsi="Arial" w:cs="Arial"/>
          <w:sz w:val="28"/>
          <w:szCs w:val="28"/>
        </w:rPr>
        <w:t xml:space="preserve"> </w:t>
      </w:r>
      <w:r w:rsidR="008E499F" w:rsidRPr="00116D56">
        <w:rPr>
          <w:rFonts w:ascii="Arial" w:hAnsi="Arial" w:cs="Arial"/>
          <w:b/>
          <w:bCs/>
          <w:sz w:val="28"/>
          <w:szCs w:val="28"/>
        </w:rPr>
        <w:t>supra,</w:t>
      </w:r>
      <w:r w:rsidR="008E499F" w:rsidRPr="00116D56">
        <w:rPr>
          <w:rFonts w:ascii="Arial" w:hAnsi="Arial" w:cs="Arial"/>
          <w:sz w:val="28"/>
          <w:szCs w:val="28"/>
        </w:rPr>
        <w:t> the Supreme Court of Appeal authoritatively held that the deeming provisions concerning the inability to pay its debts, contained in s</w:t>
      </w:r>
      <w:r w:rsidR="004D1A3B" w:rsidRPr="00116D56">
        <w:rPr>
          <w:rFonts w:ascii="Arial" w:hAnsi="Arial" w:cs="Arial"/>
          <w:sz w:val="28"/>
          <w:szCs w:val="28"/>
        </w:rPr>
        <w:t>ection</w:t>
      </w:r>
      <w:r w:rsidR="008E499F" w:rsidRPr="00116D56">
        <w:rPr>
          <w:rFonts w:ascii="Arial" w:hAnsi="Arial" w:cs="Arial"/>
          <w:sz w:val="28"/>
          <w:szCs w:val="28"/>
        </w:rPr>
        <w:t xml:space="preserve"> 345 of the old Companies Act may be used to establish the insolvency of a company. The Court held that a commercially insolvent company may be wound up in accordance with chapter 14 of the old Companies Act, as is provided for in subitem 9(1) of schedule 5 of the </w:t>
      </w:r>
      <w:r w:rsidR="00D34CA7" w:rsidRPr="00116D56">
        <w:rPr>
          <w:rFonts w:ascii="Arial" w:hAnsi="Arial" w:cs="Arial"/>
          <w:sz w:val="28"/>
          <w:szCs w:val="28"/>
        </w:rPr>
        <w:t xml:space="preserve">new </w:t>
      </w:r>
      <w:r w:rsidR="008E499F" w:rsidRPr="00116D56">
        <w:rPr>
          <w:rFonts w:ascii="Arial" w:hAnsi="Arial" w:cs="Arial"/>
          <w:sz w:val="28"/>
          <w:szCs w:val="28"/>
        </w:rPr>
        <w:t>Companies Act and that</w:t>
      </w:r>
      <w:r w:rsidR="008E499F" w:rsidRPr="00116D56">
        <w:rPr>
          <w:rFonts w:ascii="Arial" w:hAnsi="Arial" w:cs="Arial"/>
        </w:rPr>
        <w:t xml:space="preserve"> </w:t>
      </w:r>
      <w:r w:rsidR="008E499F" w:rsidRPr="00116D56">
        <w:rPr>
          <w:rFonts w:ascii="Arial" w:hAnsi="Arial" w:cs="Arial"/>
          <w:sz w:val="28"/>
          <w:szCs w:val="28"/>
        </w:rPr>
        <w:t xml:space="preserve">factual solvency in itself is not a bar to an application to wind up a company in terms of the old Companies Act on the ground that it is commercially insolvent. </w:t>
      </w:r>
      <w:r w:rsidR="00464FB9" w:rsidRPr="00116D56">
        <w:rPr>
          <w:rFonts w:ascii="Arial" w:hAnsi="Arial" w:cs="Arial"/>
          <w:sz w:val="28"/>
          <w:szCs w:val="28"/>
        </w:rPr>
        <w:t>“</w:t>
      </w:r>
      <w:r w:rsidR="00464FB9" w:rsidRPr="00116D56">
        <w:rPr>
          <w:rFonts w:ascii="Arial" w:hAnsi="Arial" w:cs="Arial"/>
          <w:sz w:val="26"/>
          <w:szCs w:val="26"/>
        </w:rPr>
        <w:t>That a company's commercial insolvency is a ground that will justify an order for its liquidation has been a reality of law which has served us well through the passage of time.</w:t>
      </w:r>
      <w:r w:rsidR="00464FB9" w:rsidRPr="00116D56">
        <w:rPr>
          <w:rFonts w:ascii="Arial" w:hAnsi="Arial" w:cs="Arial"/>
          <w:sz w:val="28"/>
          <w:szCs w:val="28"/>
        </w:rPr>
        <w:t>”</w:t>
      </w:r>
      <w:r w:rsidR="00464FB9" w:rsidRPr="00116D56">
        <w:rPr>
          <w:rStyle w:val="FootnoteReference"/>
          <w:rFonts w:ascii="Arial" w:hAnsi="Arial" w:cs="Arial"/>
          <w:sz w:val="28"/>
          <w:szCs w:val="28"/>
        </w:rPr>
        <w:footnoteReference w:id="8"/>
      </w:r>
      <w:r w:rsidR="00116D56">
        <w:rPr>
          <w:rFonts w:ascii="Arial" w:hAnsi="Arial" w:cs="Arial"/>
          <w:sz w:val="28"/>
          <w:szCs w:val="28"/>
        </w:rPr>
        <w:t xml:space="preserve"> </w:t>
      </w:r>
      <w:r w:rsidR="00464FB9" w:rsidRPr="00116D56">
        <w:rPr>
          <w:rFonts w:ascii="Arial" w:hAnsi="Arial" w:cs="Arial"/>
          <w:sz w:val="28"/>
          <w:szCs w:val="28"/>
        </w:rPr>
        <w:t xml:space="preserve">Factual solvency </w:t>
      </w:r>
      <w:r w:rsidR="008E499F" w:rsidRPr="00116D56">
        <w:rPr>
          <w:rFonts w:ascii="Arial" w:hAnsi="Arial" w:cs="Arial"/>
          <w:sz w:val="28"/>
          <w:szCs w:val="28"/>
        </w:rPr>
        <w:t>will however always be a factor in deciding whether a company is unable to pay its debts.</w:t>
      </w:r>
    </w:p>
    <w:p w14:paraId="570C65E4" w14:textId="71BF53CA" w:rsidR="008E499F" w:rsidRPr="00116D56" w:rsidRDefault="008E499F" w:rsidP="00116D56">
      <w:pPr>
        <w:spacing w:after="0" w:line="360" w:lineRule="auto"/>
        <w:ind w:left="720" w:hanging="720"/>
        <w:jc w:val="both"/>
        <w:rPr>
          <w:rFonts w:ascii="Arial" w:hAnsi="Arial" w:cs="Arial"/>
          <w:sz w:val="28"/>
          <w:szCs w:val="28"/>
        </w:rPr>
      </w:pPr>
    </w:p>
    <w:p w14:paraId="11ADBCF0" w14:textId="0243B652" w:rsidR="008E499F" w:rsidRPr="00116D56" w:rsidRDefault="008E499F" w:rsidP="00116D56">
      <w:pPr>
        <w:spacing w:after="0" w:line="360" w:lineRule="auto"/>
        <w:ind w:left="720" w:hanging="720"/>
        <w:jc w:val="both"/>
        <w:rPr>
          <w:rFonts w:ascii="Arial" w:hAnsi="Arial" w:cs="Arial"/>
          <w:sz w:val="28"/>
          <w:szCs w:val="28"/>
        </w:rPr>
      </w:pPr>
      <w:r w:rsidRPr="00116D56">
        <w:rPr>
          <w:rFonts w:ascii="Arial" w:hAnsi="Arial" w:cs="Arial"/>
          <w:sz w:val="28"/>
          <w:szCs w:val="28"/>
        </w:rPr>
        <w:t>[</w:t>
      </w:r>
      <w:r w:rsidR="00EF7949" w:rsidRPr="00116D56">
        <w:rPr>
          <w:rFonts w:ascii="Arial" w:hAnsi="Arial" w:cs="Arial"/>
          <w:sz w:val="28"/>
          <w:szCs w:val="28"/>
        </w:rPr>
        <w:t>1</w:t>
      </w:r>
      <w:r w:rsidR="004D1A3B" w:rsidRPr="00116D56">
        <w:rPr>
          <w:rFonts w:ascii="Arial" w:hAnsi="Arial" w:cs="Arial"/>
          <w:sz w:val="28"/>
          <w:szCs w:val="28"/>
        </w:rPr>
        <w:t>9</w:t>
      </w:r>
      <w:r w:rsidRPr="00116D56">
        <w:rPr>
          <w:rFonts w:ascii="Arial" w:hAnsi="Arial" w:cs="Arial"/>
          <w:sz w:val="28"/>
          <w:szCs w:val="28"/>
        </w:rPr>
        <w:t>]</w:t>
      </w:r>
      <w:r w:rsidRPr="00116D56">
        <w:rPr>
          <w:rFonts w:ascii="Arial" w:hAnsi="Arial" w:cs="Arial"/>
          <w:sz w:val="28"/>
          <w:szCs w:val="28"/>
        </w:rPr>
        <w:tab/>
        <w:t>Even if the respondent was factually solvent,</w:t>
      </w:r>
      <w:r w:rsidR="00EF7949" w:rsidRPr="00116D56">
        <w:rPr>
          <w:rFonts w:ascii="Arial" w:hAnsi="Arial" w:cs="Arial"/>
          <w:sz w:val="28"/>
          <w:szCs w:val="28"/>
        </w:rPr>
        <w:t xml:space="preserve"> a fact that the respondent did not establish,</w:t>
      </w:r>
      <w:r w:rsidRPr="00116D56">
        <w:rPr>
          <w:rFonts w:ascii="Arial" w:hAnsi="Arial" w:cs="Arial"/>
          <w:sz w:val="28"/>
          <w:szCs w:val="28"/>
        </w:rPr>
        <w:t xml:space="preserve"> the same would not be a bar to the liquidation of the respondent on the basis that it is commercially insolvent.</w:t>
      </w:r>
    </w:p>
    <w:p w14:paraId="1E3F1142" w14:textId="77777777" w:rsidR="001D2D1F" w:rsidRPr="00116D56" w:rsidRDefault="001D2D1F" w:rsidP="00116D56">
      <w:pPr>
        <w:spacing w:after="0" w:line="360" w:lineRule="auto"/>
        <w:ind w:left="720" w:hanging="720"/>
        <w:jc w:val="both"/>
        <w:rPr>
          <w:rFonts w:ascii="Arial" w:hAnsi="Arial" w:cs="Arial"/>
          <w:sz w:val="28"/>
          <w:szCs w:val="28"/>
        </w:rPr>
      </w:pPr>
    </w:p>
    <w:p w14:paraId="4E2FA0E3" w14:textId="7A3E7256" w:rsidR="001D2D1F" w:rsidRPr="00116D56" w:rsidRDefault="001D2D1F" w:rsidP="00116D56">
      <w:pPr>
        <w:spacing w:after="0" w:line="360" w:lineRule="auto"/>
        <w:ind w:left="720" w:hanging="720"/>
        <w:jc w:val="both"/>
        <w:rPr>
          <w:rFonts w:ascii="Arial" w:hAnsi="Arial" w:cs="Arial"/>
          <w:sz w:val="28"/>
          <w:szCs w:val="28"/>
        </w:rPr>
      </w:pPr>
      <w:r w:rsidRPr="00116D56">
        <w:rPr>
          <w:rFonts w:ascii="Arial" w:hAnsi="Arial" w:cs="Arial"/>
          <w:sz w:val="28"/>
          <w:szCs w:val="28"/>
        </w:rPr>
        <w:t>[</w:t>
      </w:r>
      <w:r w:rsidR="004D1A3B" w:rsidRPr="00116D56">
        <w:rPr>
          <w:rFonts w:ascii="Arial" w:hAnsi="Arial" w:cs="Arial"/>
          <w:sz w:val="28"/>
          <w:szCs w:val="28"/>
        </w:rPr>
        <w:t>20</w:t>
      </w:r>
      <w:r w:rsidRPr="00116D56">
        <w:rPr>
          <w:rFonts w:ascii="Arial" w:hAnsi="Arial" w:cs="Arial"/>
          <w:sz w:val="28"/>
          <w:szCs w:val="28"/>
        </w:rPr>
        <w:t>]</w:t>
      </w:r>
      <w:r w:rsidRPr="00116D56">
        <w:rPr>
          <w:rFonts w:ascii="Arial" w:hAnsi="Arial" w:cs="Arial"/>
          <w:sz w:val="28"/>
          <w:szCs w:val="28"/>
        </w:rPr>
        <w:tab/>
        <w:t>In the circumstances the applicant has made a proper case for confirmation of the rule nisi and an order for final liquidation of the respondent.</w:t>
      </w:r>
    </w:p>
    <w:p w14:paraId="646A69AB" w14:textId="77777777" w:rsidR="00374827" w:rsidRPr="00116D56" w:rsidRDefault="00374827" w:rsidP="00116D56">
      <w:pPr>
        <w:spacing w:after="0" w:line="360" w:lineRule="auto"/>
        <w:ind w:left="720" w:hanging="720"/>
        <w:jc w:val="both"/>
        <w:rPr>
          <w:rFonts w:ascii="Arial" w:hAnsi="Arial" w:cs="Arial"/>
          <w:sz w:val="28"/>
          <w:szCs w:val="28"/>
        </w:rPr>
      </w:pPr>
    </w:p>
    <w:p w14:paraId="6D8645C7" w14:textId="1F90C9E6" w:rsidR="00374827" w:rsidRPr="001E324D" w:rsidRDefault="00FB6961" w:rsidP="00116D56">
      <w:pPr>
        <w:spacing w:after="0" w:line="360" w:lineRule="auto"/>
        <w:ind w:left="720" w:hanging="720"/>
        <w:jc w:val="both"/>
        <w:rPr>
          <w:rFonts w:ascii="Arial" w:hAnsi="Arial" w:cs="Arial"/>
          <w:sz w:val="28"/>
          <w:szCs w:val="28"/>
        </w:rPr>
      </w:pPr>
      <w:r w:rsidRPr="00116D56">
        <w:rPr>
          <w:rFonts w:ascii="Arial" w:hAnsi="Arial" w:cs="Arial"/>
          <w:sz w:val="28"/>
          <w:szCs w:val="28"/>
        </w:rPr>
        <w:t>[</w:t>
      </w:r>
      <w:r w:rsidR="004D1A3B" w:rsidRPr="00116D56">
        <w:rPr>
          <w:rFonts w:ascii="Arial" w:hAnsi="Arial" w:cs="Arial"/>
          <w:sz w:val="28"/>
          <w:szCs w:val="28"/>
        </w:rPr>
        <w:t>21</w:t>
      </w:r>
      <w:r w:rsidRPr="00116D56">
        <w:rPr>
          <w:rFonts w:ascii="Arial" w:hAnsi="Arial" w:cs="Arial"/>
          <w:sz w:val="28"/>
          <w:szCs w:val="28"/>
        </w:rPr>
        <w:t>]</w:t>
      </w:r>
      <w:r w:rsidRPr="00116D56">
        <w:rPr>
          <w:rFonts w:ascii="Arial" w:hAnsi="Arial" w:cs="Arial"/>
          <w:sz w:val="28"/>
          <w:szCs w:val="28"/>
        </w:rPr>
        <w:tab/>
      </w:r>
      <w:r w:rsidR="008100B0" w:rsidRPr="00116D56">
        <w:rPr>
          <w:rFonts w:ascii="Arial" w:hAnsi="Arial" w:cs="Arial"/>
          <w:sz w:val="28"/>
          <w:szCs w:val="28"/>
        </w:rPr>
        <w:t xml:space="preserve">In the premises </w:t>
      </w:r>
      <w:r w:rsidR="001E324D" w:rsidRPr="001E324D">
        <w:rPr>
          <w:rFonts w:ascii="Arial" w:hAnsi="Arial" w:cs="Arial"/>
          <w:sz w:val="28"/>
          <w:szCs w:val="28"/>
        </w:rPr>
        <w:t xml:space="preserve">the following </w:t>
      </w:r>
      <w:r w:rsidR="008100B0" w:rsidRPr="001E324D">
        <w:rPr>
          <w:rFonts w:ascii="Arial" w:hAnsi="Arial" w:cs="Arial"/>
          <w:b/>
          <w:bCs/>
          <w:sz w:val="28"/>
          <w:szCs w:val="28"/>
          <w:u w:val="single"/>
        </w:rPr>
        <w:t>ORDER</w:t>
      </w:r>
      <w:r w:rsidR="001E324D" w:rsidRPr="001E324D">
        <w:rPr>
          <w:rFonts w:ascii="Arial" w:hAnsi="Arial" w:cs="Arial"/>
          <w:sz w:val="28"/>
          <w:szCs w:val="28"/>
        </w:rPr>
        <w:t xml:space="preserve"> was made</w:t>
      </w:r>
      <w:r w:rsidR="008100B0" w:rsidRPr="001E324D">
        <w:rPr>
          <w:rFonts w:ascii="Arial" w:hAnsi="Arial" w:cs="Arial"/>
          <w:sz w:val="28"/>
          <w:szCs w:val="28"/>
        </w:rPr>
        <w:t>:</w:t>
      </w:r>
    </w:p>
    <w:p w14:paraId="326049D3" w14:textId="5136063F" w:rsidR="00095DFD" w:rsidRPr="00116D56" w:rsidRDefault="00095DFD" w:rsidP="00116D56">
      <w:pPr>
        <w:spacing w:line="360" w:lineRule="auto"/>
        <w:ind w:left="720" w:hanging="720"/>
        <w:jc w:val="both"/>
        <w:rPr>
          <w:rFonts w:ascii="Arial" w:hAnsi="Arial" w:cs="Arial"/>
          <w:sz w:val="28"/>
          <w:szCs w:val="28"/>
        </w:rPr>
      </w:pPr>
    </w:p>
    <w:p w14:paraId="3B0B8F4F" w14:textId="77777777" w:rsidR="00DB1C11" w:rsidRPr="00116D56" w:rsidRDefault="00DB1C11" w:rsidP="00116D56">
      <w:pPr>
        <w:pStyle w:val="ListParagraph"/>
        <w:numPr>
          <w:ilvl w:val="0"/>
          <w:numId w:val="1"/>
        </w:numPr>
        <w:spacing w:line="360" w:lineRule="auto"/>
        <w:ind w:left="1440" w:hanging="720"/>
        <w:jc w:val="both"/>
        <w:rPr>
          <w:rFonts w:ascii="Arial" w:hAnsi="Arial" w:cs="Arial"/>
          <w:sz w:val="28"/>
          <w:szCs w:val="28"/>
        </w:rPr>
      </w:pPr>
      <w:r w:rsidRPr="00116D56">
        <w:rPr>
          <w:rFonts w:ascii="Arial" w:hAnsi="Arial" w:cs="Arial"/>
          <w:sz w:val="28"/>
          <w:szCs w:val="28"/>
        </w:rPr>
        <w:lastRenderedPageBreak/>
        <w:t>The rule nisi, issued on 3 March 2022, is confirmed and the respondent be and is herewith placed under final liquidation.</w:t>
      </w:r>
    </w:p>
    <w:p w14:paraId="45858DBC" w14:textId="77777777" w:rsidR="00DB1C11" w:rsidRPr="00116D56" w:rsidRDefault="00DB1C11" w:rsidP="00116D56">
      <w:pPr>
        <w:spacing w:line="360" w:lineRule="auto"/>
        <w:ind w:left="1440" w:hanging="720"/>
        <w:jc w:val="both"/>
        <w:rPr>
          <w:rFonts w:ascii="Arial" w:hAnsi="Arial" w:cs="Arial"/>
          <w:sz w:val="28"/>
          <w:szCs w:val="28"/>
        </w:rPr>
      </w:pPr>
    </w:p>
    <w:p w14:paraId="3D8D37E2" w14:textId="0893C67B" w:rsidR="0009280F" w:rsidRDefault="00DB1C11" w:rsidP="00116D56">
      <w:pPr>
        <w:pStyle w:val="ListParagraph"/>
        <w:numPr>
          <w:ilvl w:val="0"/>
          <w:numId w:val="1"/>
        </w:numPr>
        <w:spacing w:line="360" w:lineRule="auto"/>
        <w:ind w:left="1440" w:hanging="720"/>
        <w:jc w:val="both"/>
        <w:rPr>
          <w:rFonts w:ascii="Arial" w:hAnsi="Arial" w:cs="Arial"/>
          <w:sz w:val="28"/>
          <w:szCs w:val="28"/>
        </w:rPr>
      </w:pPr>
      <w:r w:rsidRPr="00116D56">
        <w:rPr>
          <w:rFonts w:ascii="Arial" w:hAnsi="Arial" w:cs="Arial"/>
          <w:sz w:val="28"/>
          <w:szCs w:val="28"/>
        </w:rPr>
        <w:t>The costs of the application are to be costs in the administration of the liquidation of the respondent.</w:t>
      </w:r>
      <w:r w:rsidR="007117A6" w:rsidRPr="00116D56">
        <w:rPr>
          <w:rFonts w:ascii="Arial" w:hAnsi="Arial" w:cs="Arial"/>
          <w:sz w:val="28"/>
          <w:szCs w:val="28"/>
        </w:rPr>
        <w:t xml:space="preserve"> </w:t>
      </w:r>
    </w:p>
    <w:p w14:paraId="3B229EF2" w14:textId="77777777" w:rsidR="00233B66" w:rsidRPr="00233B66" w:rsidRDefault="00233B66" w:rsidP="00233B66">
      <w:pPr>
        <w:pStyle w:val="ListParagraph"/>
        <w:rPr>
          <w:rFonts w:ascii="Arial" w:hAnsi="Arial" w:cs="Arial"/>
          <w:sz w:val="28"/>
          <w:szCs w:val="28"/>
        </w:rPr>
      </w:pPr>
    </w:p>
    <w:p w14:paraId="12405F06" w14:textId="77777777" w:rsidR="00CC01D6" w:rsidRDefault="00CC01D6" w:rsidP="00D134A1">
      <w:pPr>
        <w:spacing w:after="0" w:line="360" w:lineRule="auto"/>
        <w:jc w:val="right"/>
        <w:rPr>
          <w:rFonts w:ascii="Arial" w:hAnsi="Arial" w:cs="Arial"/>
          <w:sz w:val="28"/>
          <w:szCs w:val="28"/>
        </w:rPr>
      </w:pPr>
    </w:p>
    <w:p w14:paraId="7A007328" w14:textId="3763E031" w:rsidR="00E971E2" w:rsidRDefault="00154918" w:rsidP="00D134A1">
      <w:pPr>
        <w:spacing w:after="0" w:line="360" w:lineRule="auto"/>
        <w:jc w:val="right"/>
        <w:rPr>
          <w:rFonts w:ascii="Arial" w:hAnsi="Arial" w:cs="Arial"/>
          <w:b/>
          <w:sz w:val="28"/>
          <w:szCs w:val="28"/>
        </w:rPr>
      </w:pPr>
      <w:r>
        <w:rPr>
          <w:rFonts w:ascii="Arial" w:hAnsi="Arial" w:cs="Arial"/>
          <w:sz w:val="28"/>
          <w:szCs w:val="28"/>
        </w:rPr>
        <w:t>___________________</w:t>
      </w:r>
      <w:r w:rsidR="00B92EF4">
        <w:rPr>
          <w:rFonts w:ascii="Arial" w:hAnsi="Arial" w:cs="Arial"/>
          <w:sz w:val="28"/>
          <w:szCs w:val="28"/>
        </w:rPr>
        <w:t xml:space="preserve"> </w:t>
      </w:r>
    </w:p>
    <w:p w14:paraId="7E4EC8F4" w14:textId="2F2C8E32" w:rsidR="00E971E2" w:rsidRDefault="00CC01D6" w:rsidP="00D134A1">
      <w:pPr>
        <w:spacing w:after="0" w:line="360" w:lineRule="auto"/>
        <w:jc w:val="right"/>
        <w:rPr>
          <w:rFonts w:ascii="Arial" w:hAnsi="Arial" w:cs="Arial"/>
          <w:b/>
          <w:sz w:val="28"/>
          <w:szCs w:val="28"/>
        </w:rPr>
      </w:pPr>
      <w:r>
        <w:rPr>
          <w:rFonts w:ascii="Arial" w:hAnsi="Arial" w:cs="Arial"/>
          <w:b/>
          <w:sz w:val="28"/>
          <w:szCs w:val="28"/>
        </w:rPr>
        <w:t xml:space="preserve">N </w:t>
      </w:r>
      <w:r w:rsidR="00E971E2">
        <w:rPr>
          <w:rFonts w:ascii="Arial" w:hAnsi="Arial" w:cs="Arial"/>
          <w:b/>
          <w:sz w:val="28"/>
          <w:szCs w:val="28"/>
        </w:rPr>
        <w:t>SNELLENBURG, AJ</w:t>
      </w:r>
    </w:p>
    <w:p w14:paraId="6C8EE4F8" w14:textId="77777777" w:rsidR="00440D95" w:rsidRDefault="00440D95" w:rsidP="00E971E2">
      <w:pPr>
        <w:ind w:left="720" w:hanging="720"/>
        <w:jc w:val="both"/>
        <w:rPr>
          <w:rFonts w:ascii="Arial" w:hAnsi="Arial" w:cs="Arial"/>
          <w:b/>
          <w:sz w:val="28"/>
          <w:szCs w:val="28"/>
        </w:rPr>
      </w:pPr>
    </w:p>
    <w:p w14:paraId="671140B4" w14:textId="77777777" w:rsidR="003141C2" w:rsidRDefault="003141C2" w:rsidP="00E971E2">
      <w:pPr>
        <w:ind w:left="720" w:hanging="720"/>
        <w:jc w:val="both"/>
        <w:rPr>
          <w:rFonts w:ascii="Arial" w:hAnsi="Arial" w:cs="Arial"/>
          <w:b/>
          <w:sz w:val="28"/>
          <w:szCs w:val="28"/>
        </w:rPr>
      </w:pPr>
    </w:p>
    <w:p w14:paraId="2F1B01F0" w14:textId="31C84F17" w:rsidR="000B539F" w:rsidRDefault="00E971E2" w:rsidP="00E971E2">
      <w:pPr>
        <w:ind w:left="720" w:hanging="720"/>
        <w:jc w:val="both"/>
        <w:rPr>
          <w:rFonts w:ascii="Arial" w:hAnsi="Arial" w:cs="Arial"/>
          <w:sz w:val="28"/>
          <w:szCs w:val="28"/>
        </w:rPr>
      </w:pPr>
      <w:r>
        <w:rPr>
          <w:rFonts w:ascii="Arial" w:hAnsi="Arial" w:cs="Arial"/>
          <w:b/>
          <w:sz w:val="28"/>
          <w:szCs w:val="28"/>
        </w:rPr>
        <w:t>On behalf of the applicant</w:t>
      </w:r>
      <w:r>
        <w:rPr>
          <w:rFonts w:ascii="Arial" w:hAnsi="Arial" w:cs="Arial"/>
          <w:b/>
          <w:sz w:val="28"/>
          <w:szCs w:val="28"/>
        </w:rPr>
        <w:tab/>
      </w:r>
      <w:r w:rsidR="005C61A0">
        <w:rPr>
          <w:rFonts w:ascii="Arial" w:hAnsi="Arial" w:cs="Arial"/>
          <w:b/>
          <w:sz w:val="28"/>
          <w:szCs w:val="28"/>
        </w:rPr>
        <w:tab/>
      </w:r>
      <w:r>
        <w:rPr>
          <w:rFonts w:ascii="Arial" w:hAnsi="Arial" w:cs="Arial"/>
          <w:b/>
          <w:sz w:val="28"/>
          <w:szCs w:val="28"/>
        </w:rPr>
        <w:t>:</w:t>
      </w:r>
      <w:r>
        <w:rPr>
          <w:rFonts w:ascii="Arial" w:hAnsi="Arial" w:cs="Arial"/>
          <w:b/>
          <w:sz w:val="28"/>
          <w:szCs w:val="28"/>
        </w:rPr>
        <w:tab/>
        <w:t>Adv. SJ Rautenbach</w:t>
      </w:r>
    </w:p>
    <w:p w14:paraId="7361C6A5" w14:textId="79DEC1FB" w:rsidR="000067F7" w:rsidRDefault="002F2591" w:rsidP="00245E18">
      <w:pPr>
        <w:ind w:left="720" w:hanging="720"/>
        <w:jc w:val="both"/>
        <w:rPr>
          <w:rFonts w:ascii="Arial" w:hAnsi="Arial" w:cs="Arial"/>
          <w:b/>
          <w:bCs/>
          <w:sz w:val="28"/>
          <w:szCs w:val="28"/>
        </w:rPr>
      </w:pPr>
      <w:r w:rsidRPr="006816AF">
        <w:rPr>
          <w:rFonts w:ascii="Arial" w:hAnsi="Arial" w:cs="Arial"/>
          <w:b/>
          <w:bCs/>
          <w:sz w:val="28"/>
          <w:szCs w:val="28"/>
        </w:rPr>
        <w:t>Instructed by</w:t>
      </w:r>
      <w:r w:rsidR="006816AF">
        <w:rPr>
          <w:rFonts w:ascii="Arial" w:hAnsi="Arial" w:cs="Arial"/>
          <w:b/>
          <w:bCs/>
          <w:sz w:val="28"/>
          <w:szCs w:val="28"/>
        </w:rPr>
        <w:tab/>
      </w:r>
      <w:r w:rsidR="006816AF">
        <w:rPr>
          <w:rFonts w:ascii="Arial" w:hAnsi="Arial" w:cs="Arial"/>
          <w:b/>
          <w:bCs/>
          <w:sz w:val="28"/>
          <w:szCs w:val="28"/>
        </w:rPr>
        <w:tab/>
      </w:r>
      <w:r w:rsidR="006816AF">
        <w:rPr>
          <w:rFonts w:ascii="Arial" w:hAnsi="Arial" w:cs="Arial"/>
          <w:b/>
          <w:bCs/>
          <w:sz w:val="28"/>
          <w:szCs w:val="28"/>
        </w:rPr>
        <w:tab/>
      </w:r>
      <w:r w:rsidR="005C61A0">
        <w:rPr>
          <w:rFonts w:ascii="Arial" w:hAnsi="Arial" w:cs="Arial"/>
          <w:b/>
          <w:bCs/>
          <w:sz w:val="28"/>
          <w:szCs w:val="28"/>
        </w:rPr>
        <w:tab/>
      </w:r>
      <w:r w:rsidR="006816AF">
        <w:rPr>
          <w:rFonts w:ascii="Arial" w:hAnsi="Arial" w:cs="Arial"/>
          <w:b/>
          <w:bCs/>
          <w:sz w:val="28"/>
          <w:szCs w:val="28"/>
        </w:rPr>
        <w:t>:</w:t>
      </w:r>
      <w:r w:rsidR="006816AF">
        <w:rPr>
          <w:rFonts w:ascii="Arial" w:hAnsi="Arial" w:cs="Arial"/>
          <w:b/>
          <w:bCs/>
          <w:sz w:val="28"/>
          <w:szCs w:val="28"/>
        </w:rPr>
        <w:tab/>
      </w:r>
      <w:r w:rsidR="00FF72E4">
        <w:rPr>
          <w:rFonts w:ascii="Arial" w:hAnsi="Arial" w:cs="Arial"/>
          <w:b/>
          <w:bCs/>
          <w:sz w:val="28"/>
          <w:szCs w:val="28"/>
        </w:rPr>
        <w:t xml:space="preserve">Phatshoane Henney </w:t>
      </w:r>
    </w:p>
    <w:p w14:paraId="3CC9B3AC" w14:textId="77777777" w:rsidR="005C61A0" w:rsidRDefault="005C61A0" w:rsidP="00245E18">
      <w:pPr>
        <w:ind w:left="720" w:hanging="720"/>
        <w:jc w:val="both"/>
        <w:rPr>
          <w:rFonts w:ascii="Arial" w:hAnsi="Arial" w:cs="Arial"/>
          <w:b/>
          <w:bCs/>
          <w:sz w:val="28"/>
          <w:szCs w:val="28"/>
        </w:rPr>
      </w:pPr>
    </w:p>
    <w:p w14:paraId="663797DF" w14:textId="6A781170" w:rsidR="005C61A0" w:rsidRPr="006816AF" w:rsidRDefault="005C61A0" w:rsidP="00245E18">
      <w:pPr>
        <w:ind w:left="720" w:hanging="720"/>
        <w:jc w:val="both"/>
        <w:rPr>
          <w:rFonts w:ascii="Arial" w:hAnsi="Arial" w:cs="Arial"/>
          <w:b/>
          <w:bCs/>
          <w:sz w:val="28"/>
          <w:szCs w:val="28"/>
        </w:rPr>
      </w:pPr>
      <w:r>
        <w:rPr>
          <w:rFonts w:ascii="Arial" w:hAnsi="Arial" w:cs="Arial"/>
          <w:b/>
          <w:bCs/>
          <w:sz w:val="28"/>
          <w:szCs w:val="28"/>
        </w:rPr>
        <w:t>On behalf of the respondent</w:t>
      </w:r>
      <w:r>
        <w:rPr>
          <w:rFonts w:ascii="Arial" w:hAnsi="Arial" w:cs="Arial"/>
          <w:b/>
          <w:bCs/>
          <w:sz w:val="28"/>
          <w:szCs w:val="28"/>
        </w:rPr>
        <w:tab/>
        <w:t>:</w:t>
      </w:r>
      <w:r w:rsidR="00084BFE">
        <w:rPr>
          <w:rFonts w:ascii="Arial" w:hAnsi="Arial" w:cs="Arial"/>
          <w:b/>
          <w:bCs/>
          <w:sz w:val="28"/>
          <w:szCs w:val="28"/>
        </w:rPr>
        <w:tab/>
        <w:t xml:space="preserve">No appearance. </w:t>
      </w:r>
      <w:r>
        <w:rPr>
          <w:rFonts w:ascii="Arial" w:hAnsi="Arial" w:cs="Arial"/>
          <w:b/>
          <w:bCs/>
          <w:sz w:val="28"/>
          <w:szCs w:val="28"/>
        </w:rPr>
        <w:tab/>
      </w:r>
    </w:p>
    <w:p w14:paraId="05CA0282" w14:textId="77777777" w:rsidR="00F25060" w:rsidRDefault="00F25060"/>
    <w:sectPr w:rsidR="00F25060" w:rsidSect="00AF1A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51651" w14:textId="77777777" w:rsidR="00986FA6" w:rsidRDefault="00986FA6" w:rsidP="002F3B1E">
      <w:pPr>
        <w:spacing w:after="0" w:line="240" w:lineRule="auto"/>
      </w:pPr>
      <w:r>
        <w:separator/>
      </w:r>
    </w:p>
  </w:endnote>
  <w:endnote w:type="continuationSeparator" w:id="0">
    <w:p w14:paraId="25BBF62E" w14:textId="77777777" w:rsidR="00986FA6" w:rsidRDefault="00986FA6" w:rsidP="002F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F011F" w14:textId="77777777" w:rsidR="00986FA6" w:rsidRDefault="00986FA6" w:rsidP="002F3B1E">
      <w:pPr>
        <w:spacing w:after="0" w:line="240" w:lineRule="auto"/>
      </w:pPr>
      <w:r>
        <w:separator/>
      </w:r>
    </w:p>
  </w:footnote>
  <w:footnote w:type="continuationSeparator" w:id="0">
    <w:p w14:paraId="40E041D4" w14:textId="77777777" w:rsidR="00986FA6" w:rsidRDefault="00986FA6" w:rsidP="002F3B1E">
      <w:pPr>
        <w:spacing w:after="0" w:line="240" w:lineRule="auto"/>
      </w:pPr>
      <w:r>
        <w:continuationSeparator/>
      </w:r>
    </w:p>
  </w:footnote>
  <w:footnote w:id="1">
    <w:p w14:paraId="5EC79C32" w14:textId="77777777" w:rsidR="000913BC" w:rsidRPr="00C421FD" w:rsidRDefault="000913BC" w:rsidP="000913BC">
      <w:pPr>
        <w:spacing w:after="0" w:line="240" w:lineRule="auto"/>
        <w:ind w:left="142" w:hanging="142"/>
        <w:jc w:val="both"/>
        <w:rPr>
          <w:lang w:val="en-GB"/>
        </w:rPr>
      </w:pPr>
      <w:r w:rsidRPr="00C421FD">
        <w:rPr>
          <w:rStyle w:val="FootnoteReference"/>
          <w:rFonts w:ascii="Arial" w:hAnsi="Arial" w:cs="Arial"/>
          <w:sz w:val="26"/>
          <w:szCs w:val="26"/>
        </w:rPr>
        <w:footnoteRef/>
      </w:r>
      <w:r w:rsidRPr="00C421FD">
        <w:rPr>
          <w:rFonts w:ascii="Arial" w:hAnsi="Arial" w:cs="Arial"/>
          <w:sz w:val="26"/>
          <w:szCs w:val="26"/>
        </w:rPr>
        <w:t xml:space="preserve"> Badenhorst v Northern Construction Enterprises (Pty) Ltd 1956 (2) SA 346 (T) at 347 – 348 and Kalil v Decotex (Pty) Ltd and Another 1988 (1) SA 943 (A) ([1987] ZASCA 156) at 980D. Also see Afgri Operations Ltd v Hamba Fleet (Pty) Ltd 2022 (1) SA 91 (SCA) par 6.</w:t>
      </w:r>
    </w:p>
  </w:footnote>
  <w:footnote w:id="2">
    <w:p w14:paraId="2AC01B62" w14:textId="77777777" w:rsidR="000913BC" w:rsidRPr="00C421FD" w:rsidRDefault="000913BC" w:rsidP="000913BC">
      <w:pPr>
        <w:pStyle w:val="FootnoteText"/>
        <w:rPr>
          <w:lang w:val="en-GB"/>
        </w:rPr>
      </w:pPr>
      <w:r w:rsidRPr="00156444">
        <w:rPr>
          <w:rStyle w:val="FootnoteReference"/>
          <w:rFonts w:ascii="Arial" w:hAnsi="Arial" w:cs="Arial"/>
          <w:sz w:val="26"/>
          <w:szCs w:val="26"/>
        </w:rPr>
        <w:footnoteRef/>
      </w:r>
      <w:r>
        <w:t xml:space="preserve"> </w:t>
      </w:r>
      <w:r w:rsidRPr="00C421FD">
        <w:rPr>
          <w:rFonts w:ascii="Arial" w:hAnsi="Arial" w:cs="Arial"/>
          <w:sz w:val="26"/>
          <w:szCs w:val="26"/>
        </w:rPr>
        <w:t>Afgri Operations Ltd v Hamba Fleet (Pty) Ltd</w:t>
      </w:r>
      <w:r>
        <w:rPr>
          <w:rFonts w:ascii="Arial" w:hAnsi="Arial" w:cs="Arial"/>
          <w:sz w:val="26"/>
          <w:szCs w:val="26"/>
        </w:rPr>
        <w:t>, supra, par 6.</w:t>
      </w:r>
      <w:r>
        <w:t xml:space="preserve"> </w:t>
      </w:r>
    </w:p>
  </w:footnote>
  <w:footnote w:id="3">
    <w:p w14:paraId="268844BD" w14:textId="77777777" w:rsidR="00B10271" w:rsidRPr="00156444" w:rsidRDefault="00B10271" w:rsidP="00B10271">
      <w:pPr>
        <w:pStyle w:val="FootnoteText"/>
        <w:rPr>
          <w:lang w:val="en-GB"/>
        </w:rPr>
      </w:pPr>
      <w:r w:rsidRPr="00156444">
        <w:rPr>
          <w:rStyle w:val="FootnoteReference"/>
          <w:rFonts w:ascii="Arial" w:hAnsi="Arial" w:cs="Arial"/>
          <w:sz w:val="26"/>
          <w:szCs w:val="26"/>
        </w:rPr>
        <w:footnoteRef/>
      </w:r>
      <w:r>
        <w:t xml:space="preserve"> </w:t>
      </w:r>
      <w:r w:rsidRPr="00C421FD">
        <w:rPr>
          <w:rFonts w:ascii="Arial" w:hAnsi="Arial" w:cs="Arial"/>
          <w:sz w:val="26"/>
          <w:szCs w:val="26"/>
        </w:rPr>
        <w:t>Afgri Operations Ltd v Hamba Fleet (Pty) Ltd</w:t>
      </w:r>
      <w:r>
        <w:rPr>
          <w:rFonts w:ascii="Arial" w:hAnsi="Arial" w:cs="Arial"/>
          <w:sz w:val="26"/>
          <w:szCs w:val="26"/>
        </w:rPr>
        <w:t>, supra, par 12.</w:t>
      </w:r>
    </w:p>
  </w:footnote>
  <w:footnote w:id="4">
    <w:p w14:paraId="54C1D5EF" w14:textId="77777777" w:rsidR="00B10271" w:rsidRPr="000C782C" w:rsidRDefault="00B10271" w:rsidP="00B10271">
      <w:pPr>
        <w:pStyle w:val="FootnoteText"/>
        <w:ind w:left="142" w:hanging="142"/>
        <w:jc w:val="both"/>
        <w:rPr>
          <w:rFonts w:ascii="Arial" w:hAnsi="Arial" w:cs="Arial"/>
          <w:sz w:val="26"/>
          <w:szCs w:val="26"/>
          <w:lang w:val="en-GB"/>
        </w:rPr>
      </w:pPr>
      <w:r w:rsidRPr="000C782C">
        <w:rPr>
          <w:rStyle w:val="FootnoteReference"/>
          <w:rFonts w:ascii="Arial" w:hAnsi="Arial" w:cs="Arial"/>
          <w:sz w:val="26"/>
          <w:szCs w:val="26"/>
        </w:rPr>
        <w:footnoteRef/>
      </w:r>
      <w:r w:rsidRPr="000C782C">
        <w:rPr>
          <w:rFonts w:ascii="Arial" w:hAnsi="Arial" w:cs="Arial"/>
          <w:sz w:val="26"/>
          <w:szCs w:val="26"/>
        </w:rPr>
        <w:t xml:space="preserve"> </w:t>
      </w:r>
      <w:r w:rsidRPr="000C782C">
        <w:rPr>
          <w:rFonts w:ascii="Arial" w:hAnsi="Arial" w:cs="Arial"/>
          <w:sz w:val="26"/>
          <w:szCs w:val="26"/>
          <w:lang w:val="en-GB"/>
        </w:rPr>
        <w:t xml:space="preserve">The Court did remark that </w:t>
      </w:r>
      <w:r w:rsidRPr="000C782C">
        <w:rPr>
          <w:rFonts w:ascii="Arial" w:hAnsi="Arial" w:cs="Arial"/>
          <w:sz w:val="26"/>
          <w:szCs w:val="26"/>
        </w:rPr>
        <w:t>different considerations may apply where business rescue proceedings are being considered in terms of part A of ch</w:t>
      </w:r>
      <w:r>
        <w:rPr>
          <w:rFonts w:ascii="Arial" w:hAnsi="Arial" w:cs="Arial"/>
          <w:sz w:val="26"/>
          <w:szCs w:val="26"/>
        </w:rPr>
        <w:t>apter</w:t>
      </w:r>
      <w:r w:rsidRPr="000C782C">
        <w:rPr>
          <w:rFonts w:ascii="Arial" w:hAnsi="Arial" w:cs="Arial"/>
          <w:sz w:val="26"/>
          <w:szCs w:val="26"/>
        </w:rPr>
        <w:t xml:space="preserve"> 6 of the Companies Act 71 of 2008. Such considerations are not relevant to these proceedings.</w:t>
      </w:r>
    </w:p>
  </w:footnote>
  <w:footnote w:id="5">
    <w:p w14:paraId="2B391269" w14:textId="77777777" w:rsidR="00B10271" w:rsidRPr="00420F6F" w:rsidRDefault="00B10271" w:rsidP="00B10271">
      <w:pPr>
        <w:pStyle w:val="FootnoteText"/>
        <w:ind w:left="142" w:hanging="142"/>
        <w:jc w:val="both"/>
        <w:rPr>
          <w:lang w:val="en-GB"/>
        </w:rPr>
      </w:pPr>
      <w:r w:rsidRPr="007D1926">
        <w:rPr>
          <w:rStyle w:val="FootnoteReference"/>
          <w:rFonts w:ascii="Arial" w:hAnsi="Arial" w:cs="Arial"/>
          <w:sz w:val="26"/>
          <w:szCs w:val="26"/>
        </w:rPr>
        <w:footnoteRef/>
      </w:r>
      <w:r>
        <w:t xml:space="preserve"> </w:t>
      </w:r>
      <w:r w:rsidRPr="00C421FD">
        <w:rPr>
          <w:rFonts w:ascii="Arial" w:hAnsi="Arial" w:cs="Arial"/>
          <w:sz w:val="26"/>
          <w:szCs w:val="26"/>
        </w:rPr>
        <w:t>Afgri Operations Ltd v Hamba Fleet (Pty) Ltd</w:t>
      </w:r>
      <w:r>
        <w:rPr>
          <w:rFonts w:ascii="Arial" w:hAnsi="Arial" w:cs="Arial"/>
          <w:sz w:val="26"/>
          <w:szCs w:val="26"/>
        </w:rPr>
        <w:t>, supra, par 12 and legal precedent referred to in footnote 16 of the judgment.</w:t>
      </w:r>
    </w:p>
  </w:footnote>
  <w:footnote w:id="6">
    <w:p w14:paraId="0234EFEE" w14:textId="373766DF" w:rsidR="00725E3D" w:rsidRPr="00725E3D" w:rsidRDefault="00725E3D">
      <w:pPr>
        <w:pStyle w:val="FootnoteText"/>
        <w:rPr>
          <w:lang w:val="en-GB"/>
        </w:rPr>
      </w:pPr>
      <w:r w:rsidRPr="00B407E6">
        <w:rPr>
          <w:rStyle w:val="FootnoteReference"/>
          <w:rFonts w:ascii="Arial" w:hAnsi="Arial" w:cs="Arial"/>
          <w:sz w:val="26"/>
          <w:szCs w:val="26"/>
        </w:rPr>
        <w:footnoteRef/>
      </w:r>
      <w:r w:rsidRPr="00B407E6">
        <w:rPr>
          <w:rFonts w:ascii="Arial" w:hAnsi="Arial" w:cs="Arial"/>
          <w:sz w:val="26"/>
          <w:szCs w:val="26"/>
        </w:rPr>
        <w:t xml:space="preserve"> </w:t>
      </w:r>
      <w:r w:rsidR="00B407E6" w:rsidRPr="00B407E6">
        <w:rPr>
          <w:rFonts w:ascii="Arial" w:hAnsi="Arial" w:cs="Arial"/>
          <w:sz w:val="26"/>
          <w:szCs w:val="26"/>
          <w:lang w:val="en-GB"/>
        </w:rPr>
        <w:t>See</w:t>
      </w:r>
      <w:r w:rsidR="00B407E6">
        <w:rPr>
          <w:lang w:val="en-GB"/>
        </w:rPr>
        <w:t xml:space="preserve"> </w:t>
      </w:r>
      <w:r w:rsidR="00B407E6" w:rsidRPr="00EF62C2">
        <w:rPr>
          <w:rFonts w:ascii="Arial" w:hAnsi="Arial" w:cs="Arial"/>
          <w:sz w:val="26"/>
          <w:szCs w:val="26"/>
        </w:rPr>
        <w:t>item 9 of Schedule 5 of the Companies Act 71 of 2008</w:t>
      </w:r>
      <w:r w:rsidR="00780418">
        <w:rPr>
          <w:rFonts w:ascii="Arial" w:hAnsi="Arial" w:cs="Arial"/>
          <w:sz w:val="26"/>
          <w:szCs w:val="26"/>
        </w:rPr>
        <w:t>.</w:t>
      </w:r>
    </w:p>
  </w:footnote>
  <w:footnote w:id="7">
    <w:p w14:paraId="0A3ECE18" w14:textId="23F233E7" w:rsidR="00836FA2" w:rsidRPr="002D3D41" w:rsidRDefault="00836FA2" w:rsidP="002D3D41">
      <w:pPr>
        <w:pStyle w:val="FootnoteText"/>
        <w:ind w:left="142" w:hanging="142"/>
        <w:rPr>
          <w:rFonts w:ascii="Arial" w:hAnsi="Arial" w:cs="Arial"/>
          <w:bCs/>
          <w:sz w:val="26"/>
          <w:szCs w:val="26"/>
          <w:lang w:val="en-GB"/>
        </w:rPr>
      </w:pPr>
      <w:r w:rsidRPr="002D3D41">
        <w:rPr>
          <w:rStyle w:val="FootnoteReference"/>
          <w:rFonts w:ascii="Arial" w:hAnsi="Arial" w:cs="Arial"/>
          <w:sz w:val="26"/>
          <w:szCs w:val="26"/>
        </w:rPr>
        <w:footnoteRef/>
      </w:r>
      <w:r w:rsidRPr="002D3D41">
        <w:rPr>
          <w:rFonts w:ascii="Arial" w:hAnsi="Arial" w:cs="Arial"/>
          <w:sz w:val="26"/>
          <w:szCs w:val="26"/>
        </w:rPr>
        <w:t xml:space="preserve"> </w:t>
      </w:r>
      <w:r w:rsidRPr="002D3D41">
        <w:rPr>
          <w:rFonts w:ascii="Arial" w:hAnsi="Arial" w:cs="Arial"/>
          <w:bCs/>
          <w:sz w:val="26"/>
          <w:szCs w:val="26"/>
        </w:rPr>
        <w:t>Natal Joint Municipal Pension Fund v Endumeni Municipality 2012 (4) SA 593 (SCA) par 18</w:t>
      </w:r>
      <w:r w:rsidR="002D3D41">
        <w:rPr>
          <w:rFonts w:ascii="Arial" w:hAnsi="Arial" w:cs="Arial"/>
          <w:bCs/>
          <w:sz w:val="26"/>
          <w:szCs w:val="26"/>
        </w:rPr>
        <w:t>.</w:t>
      </w:r>
    </w:p>
  </w:footnote>
  <w:footnote w:id="8">
    <w:p w14:paraId="322B23E0" w14:textId="77777777" w:rsidR="00464FB9" w:rsidRPr="00116D56" w:rsidRDefault="00464FB9" w:rsidP="00464FB9">
      <w:pPr>
        <w:pStyle w:val="FootnoteText"/>
        <w:rPr>
          <w:sz w:val="26"/>
          <w:szCs w:val="26"/>
          <w:lang w:val="en-GB"/>
        </w:rPr>
      </w:pPr>
      <w:r w:rsidRPr="00116D56">
        <w:rPr>
          <w:rStyle w:val="FootnoteReference"/>
          <w:sz w:val="26"/>
          <w:szCs w:val="26"/>
        </w:rPr>
        <w:footnoteRef/>
      </w:r>
      <w:r w:rsidRPr="00116D56">
        <w:rPr>
          <w:sz w:val="26"/>
          <w:szCs w:val="26"/>
        </w:rPr>
        <w:t xml:space="preserve"> </w:t>
      </w:r>
      <w:r w:rsidRPr="00116D56">
        <w:rPr>
          <w:rFonts w:ascii="Arial" w:hAnsi="Arial" w:cs="Arial"/>
          <w:sz w:val="26"/>
          <w:szCs w:val="26"/>
        </w:rPr>
        <w:t>Boschpoort Ondernemings (Pty) Ltd v Absa Bank Ltd, supra, par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870930"/>
      <w:docPartObj>
        <w:docPartGallery w:val="Page Numbers (Top of Page)"/>
        <w:docPartUnique/>
      </w:docPartObj>
    </w:sdtPr>
    <w:sdtEndPr>
      <w:rPr>
        <w:noProof/>
      </w:rPr>
    </w:sdtEndPr>
    <w:sdtContent>
      <w:p w14:paraId="5D404904" w14:textId="70CE8A9D" w:rsidR="004D2E9A" w:rsidRDefault="004D2E9A">
        <w:pPr>
          <w:pStyle w:val="Header"/>
          <w:jc w:val="right"/>
        </w:pPr>
        <w:r>
          <w:fldChar w:fldCharType="begin"/>
        </w:r>
        <w:r>
          <w:instrText xml:space="preserve"> PAGE   \* MERGEFORMAT </w:instrText>
        </w:r>
        <w:r>
          <w:fldChar w:fldCharType="separate"/>
        </w:r>
        <w:r w:rsidR="00A143AC">
          <w:rPr>
            <w:noProof/>
          </w:rPr>
          <w:t>4</w:t>
        </w:r>
        <w:r>
          <w:rPr>
            <w:noProof/>
          </w:rPr>
          <w:fldChar w:fldCharType="end"/>
        </w:r>
      </w:p>
    </w:sdtContent>
  </w:sdt>
  <w:p w14:paraId="7D454F2C" w14:textId="77777777" w:rsidR="004D2E9A" w:rsidRDefault="004D2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765"/>
    <w:multiLevelType w:val="hybridMultilevel"/>
    <w:tmpl w:val="307C5D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18"/>
    <w:rsid w:val="000067F7"/>
    <w:rsid w:val="000124EC"/>
    <w:rsid w:val="00023701"/>
    <w:rsid w:val="00060B1C"/>
    <w:rsid w:val="00084BFE"/>
    <w:rsid w:val="0008791B"/>
    <w:rsid w:val="000913BC"/>
    <w:rsid w:val="0009280F"/>
    <w:rsid w:val="00095DFD"/>
    <w:rsid w:val="000B539F"/>
    <w:rsid w:val="000C058D"/>
    <w:rsid w:val="000C452C"/>
    <w:rsid w:val="000C78EE"/>
    <w:rsid w:val="000D5A4E"/>
    <w:rsid w:val="000D7A54"/>
    <w:rsid w:val="000E5C6D"/>
    <w:rsid w:val="00116D56"/>
    <w:rsid w:val="00154918"/>
    <w:rsid w:val="001809E9"/>
    <w:rsid w:val="00191357"/>
    <w:rsid w:val="00194C60"/>
    <w:rsid w:val="001D2D1F"/>
    <w:rsid w:val="001D49D0"/>
    <w:rsid w:val="001D6459"/>
    <w:rsid w:val="001E28FD"/>
    <w:rsid w:val="001E3037"/>
    <w:rsid w:val="001E324D"/>
    <w:rsid w:val="001F575D"/>
    <w:rsid w:val="00201986"/>
    <w:rsid w:val="00233B66"/>
    <w:rsid w:val="00245E18"/>
    <w:rsid w:val="00247666"/>
    <w:rsid w:val="00260D96"/>
    <w:rsid w:val="002721A3"/>
    <w:rsid w:val="002C3383"/>
    <w:rsid w:val="002D3D41"/>
    <w:rsid w:val="002F2591"/>
    <w:rsid w:val="002F3B1E"/>
    <w:rsid w:val="003009E2"/>
    <w:rsid w:val="0030443D"/>
    <w:rsid w:val="00305ACB"/>
    <w:rsid w:val="003141C2"/>
    <w:rsid w:val="00317C91"/>
    <w:rsid w:val="003353E6"/>
    <w:rsid w:val="00340DED"/>
    <w:rsid w:val="00344996"/>
    <w:rsid w:val="00347D02"/>
    <w:rsid w:val="00361B2E"/>
    <w:rsid w:val="00374827"/>
    <w:rsid w:val="00385BDC"/>
    <w:rsid w:val="003A0F2C"/>
    <w:rsid w:val="003B489A"/>
    <w:rsid w:val="003C452E"/>
    <w:rsid w:val="003D27E3"/>
    <w:rsid w:val="003E0B75"/>
    <w:rsid w:val="003F00CE"/>
    <w:rsid w:val="003F4B6C"/>
    <w:rsid w:val="003F4BA8"/>
    <w:rsid w:val="00412EBC"/>
    <w:rsid w:val="004256DE"/>
    <w:rsid w:val="00433466"/>
    <w:rsid w:val="00440D95"/>
    <w:rsid w:val="004412DF"/>
    <w:rsid w:val="00464FB9"/>
    <w:rsid w:val="00465191"/>
    <w:rsid w:val="0046645B"/>
    <w:rsid w:val="00493370"/>
    <w:rsid w:val="004B1B20"/>
    <w:rsid w:val="004C1940"/>
    <w:rsid w:val="004C6770"/>
    <w:rsid w:val="004C791A"/>
    <w:rsid w:val="004D1A3B"/>
    <w:rsid w:val="004D2E9A"/>
    <w:rsid w:val="004E5A6A"/>
    <w:rsid w:val="00513A86"/>
    <w:rsid w:val="0053428A"/>
    <w:rsid w:val="00560059"/>
    <w:rsid w:val="0057370B"/>
    <w:rsid w:val="005A60C0"/>
    <w:rsid w:val="005C61A0"/>
    <w:rsid w:val="005F04AB"/>
    <w:rsid w:val="0060125B"/>
    <w:rsid w:val="00612DFC"/>
    <w:rsid w:val="00623D92"/>
    <w:rsid w:val="00643693"/>
    <w:rsid w:val="00673E02"/>
    <w:rsid w:val="006816AF"/>
    <w:rsid w:val="006A3716"/>
    <w:rsid w:val="006B1CA8"/>
    <w:rsid w:val="006F7A79"/>
    <w:rsid w:val="007117A6"/>
    <w:rsid w:val="00725E3D"/>
    <w:rsid w:val="0073376F"/>
    <w:rsid w:val="007449F4"/>
    <w:rsid w:val="00752AC5"/>
    <w:rsid w:val="007550BD"/>
    <w:rsid w:val="0076172A"/>
    <w:rsid w:val="00780418"/>
    <w:rsid w:val="00781FEB"/>
    <w:rsid w:val="00790D1A"/>
    <w:rsid w:val="007A5049"/>
    <w:rsid w:val="007D4C77"/>
    <w:rsid w:val="007D7DE4"/>
    <w:rsid w:val="007E1BD6"/>
    <w:rsid w:val="007E535E"/>
    <w:rsid w:val="007F5002"/>
    <w:rsid w:val="008100B0"/>
    <w:rsid w:val="00822DB5"/>
    <w:rsid w:val="00836FA2"/>
    <w:rsid w:val="008446D3"/>
    <w:rsid w:val="00872F6E"/>
    <w:rsid w:val="0088257A"/>
    <w:rsid w:val="008C0318"/>
    <w:rsid w:val="008C6497"/>
    <w:rsid w:val="008C68DE"/>
    <w:rsid w:val="008E499F"/>
    <w:rsid w:val="008F22B5"/>
    <w:rsid w:val="00901DA8"/>
    <w:rsid w:val="009118A0"/>
    <w:rsid w:val="00914B21"/>
    <w:rsid w:val="00915BCF"/>
    <w:rsid w:val="00921B42"/>
    <w:rsid w:val="00930E67"/>
    <w:rsid w:val="0093405C"/>
    <w:rsid w:val="0093664D"/>
    <w:rsid w:val="00971F7C"/>
    <w:rsid w:val="00986FA6"/>
    <w:rsid w:val="00996F93"/>
    <w:rsid w:val="009A6904"/>
    <w:rsid w:val="009B469D"/>
    <w:rsid w:val="009F06A0"/>
    <w:rsid w:val="00A143AC"/>
    <w:rsid w:val="00A20C19"/>
    <w:rsid w:val="00A23B31"/>
    <w:rsid w:val="00A24E38"/>
    <w:rsid w:val="00A2658E"/>
    <w:rsid w:val="00A30F06"/>
    <w:rsid w:val="00A73FFE"/>
    <w:rsid w:val="00A8072B"/>
    <w:rsid w:val="00A951B6"/>
    <w:rsid w:val="00AA325B"/>
    <w:rsid w:val="00AD00FC"/>
    <w:rsid w:val="00AD6EB6"/>
    <w:rsid w:val="00AF1AEB"/>
    <w:rsid w:val="00AF262A"/>
    <w:rsid w:val="00AF323E"/>
    <w:rsid w:val="00B067BC"/>
    <w:rsid w:val="00B10271"/>
    <w:rsid w:val="00B16750"/>
    <w:rsid w:val="00B2354B"/>
    <w:rsid w:val="00B407E6"/>
    <w:rsid w:val="00B634BF"/>
    <w:rsid w:val="00B658EE"/>
    <w:rsid w:val="00B71103"/>
    <w:rsid w:val="00B92EF4"/>
    <w:rsid w:val="00B97F5C"/>
    <w:rsid w:val="00BB182B"/>
    <w:rsid w:val="00BC3BA1"/>
    <w:rsid w:val="00BF12C9"/>
    <w:rsid w:val="00C33837"/>
    <w:rsid w:val="00C418A5"/>
    <w:rsid w:val="00C56CED"/>
    <w:rsid w:val="00CA393A"/>
    <w:rsid w:val="00CC01D6"/>
    <w:rsid w:val="00CC40DF"/>
    <w:rsid w:val="00D11FC5"/>
    <w:rsid w:val="00D134A1"/>
    <w:rsid w:val="00D34CA7"/>
    <w:rsid w:val="00D4514C"/>
    <w:rsid w:val="00D503AD"/>
    <w:rsid w:val="00D61B8E"/>
    <w:rsid w:val="00D77CB4"/>
    <w:rsid w:val="00D9228E"/>
    <w:rsid w:val="00D93204"/>
    <w:rsid w:val="00DA263B"/>
    <w:rsid w:val="00DB1C11"/>
    <w:rsid w:val="00DC64F3"/>
    <w:rsid w:val="00DF6D3C"/>
    <w:rsid w:val="00DF770D"/>
    <w:rsid w:val="00E027F0"/>
    <w:rsid w:val="00E121A2"/>
    <w:rsid w:val="00E33047"/>
    <w:rsid w:val="00E35566"/>
    <w:rsid w:val="00E45F02"/>
    <w:rsid w:val="00E473AE"/>
    <w:rsid w:val="00E542FC"/>
    <w:rsid w:val="00E82681"/>
    <w:rsid w:val="00E85EAA"/>
    <w:rsid w:val="00E971E2"/>
    <w:rsid w:val="00EA12BD"/>
    <w:rsid w:val="00EA1845"/>
    <w:rsid w:val="00EC186A"/>
    <w:rsid w:val="00EF7949"/>
    <w:rsid w:val="00F14729"/>
    <w:rsid w:val="00F25060"/>
    <w:rsid w:val="00F25337"/>
    <w:rsid w:val="00F639C8"/>
    <w:rsid w:val="00F72C4D"/>
    <w:rsid w:val="00F72E31"/>
    <w:rsid w:val="00F9366C"/>
    <w:rsid w:val="00F963DB"/>
    <w:rsid w:val="00F96546"/>
    <w:rsid w:val="00FA008A"/>
    <w:rsid w:val="00FB12D8"/>
    <w:rsid w:val="00FB6961"/>
    <w:rsid w:val="00FE6716"/>
    <w:rsid w:val="00FF270F"/>
    <w:rsid w:val="00FF7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4AFC"/>
  <w15:chartTrackingRefBased/>
  <w15:docId w15:val="{FA177250-5808-4479-8C05-B146838B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Cs/>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18"/>
    <w:pPr>
      <w:spacing w:after="200" w:line="276" w:lineRule="auto"/>
    </w:pPr>
    <w:rPr>
      <w:rFonts w:ascii="Calibri" w:eastAsia="Times New Roman" w:hAnsi="Calibri"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3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B1E"/>
    <w:rPr>
      <w:rFonts w:ascii="Calibri" w:eastAsia="Times New Roman" w:hAnsi="Calibri" w:cs="Times New Roman"/>
      <w:bCs w:val="0"/>
      <w:sz w:val="20"/>
      <w:szCs w:val="20"/>
    </w:rPr>
  </w:style>
  <w:style w:type="character" w:styleId="FootnoteReference">
    <w:name w:val="footnote reference"/>
    <w:basedOn w:val="DefaultParagraphFont"/>
    <w:uiPriority w:val="99"/>
    <w:semiHidden/>
    <w:unhideWhenUsed/>
    <w:rsid w:val="002F3B1E"/>
    <w:rPr>
      <w:vertAlign w:val="superscript"/>
    </w:rPr>
  </w:style>
  <w:style w:type="paragraph" w:styleId="ListParagraph">
    <w:name w:val="List Paragraph"/>
    <w:basedOn w:val="Normal"/>
    <w:uiPriority w:val="34"/>
    <w:qFormat/>
    <w:rsid w:val="00DB1C11"/>
    <w:pPr>
      <w:ind w:left="720"/>
      <w:contextualSpacing/>
    </w:pPr>
  </w:style>
  <w:style w:type="paragraph" w:styleId="Header">
    <w:name w:val="header"/>
    <w:basedOn w:val="Normal"/>
    <w:link w:val="HeaderChar"/>
    <w:uiPriority w:val="99"/>
    <w:unhideWhenUsed/>
    <w:rsid w:val="004D2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E9A"/>
    <w:rPr>
      <w:rFonts w:ascii="Calibri" w:eastAsia="Times New Roman" w:hAnsi="Calibri" w:cs="Times New Roman"/>
      <w:bCs w:val="0"/>
    </w:rPr>
  </w:style>
  <w:style w:type="paragraph" w:styleId="Footer">
    <w:name w:val="footer"/>
    <w:basedOn w:val="Normal"/>
    <w:link w:val="FooterChar"/>
    <w:uiPriority w:val="99"/>
    <w:unhideWhenUsed/>
    <w:rsid w:val="004D2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E9A"/>
    <w:rPr>
      <w:rFonts w:ascii="Calibri" w:eastAsia="Times New Roman" w:hAnsi="Calibri" w:cs="Times New Roman"/>
      <w:bCs w:val="0"/>
    </w:rPr>
  </w:style>
  <w:style w:type="paragraph" w:styleId="BalloonText">
    <w:name w:val="Balloon Text"/>
    <w:basedOn w:val="Normal"/>
    <w:link w:val="BalloonTextChar"/>
    <w:uiPriority w:val="99"/>
    <w:semiHidden/>
    <w:unhideWhenUsed/>
    <w:rsid w:val="00D9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8E"/>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A9B8-B547-4600-AE9B-E4C47CF7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Snellenburg</dc:creator>
  <cp:keywords/>
  <dc:description/>
  <cp:lastModifiedBy>HOME</cp:lastModifiedBy>
  <cp:revision>2</cp:revision>
  <cp:lastPrinted>2022-04-26T13:09:00Z</cp:lastPrinted>
  <dcterms:created xsi:type="dcterms:W3CDTF">2022-05-20T16:27:00Z</dcterms:created>
  <dcterms:modified xsi:type="dcterms:W3CDTF">2022-05-20T16:27:00Z</dcterms:modified>
</cp:coreProperties>
</file>