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D422" w14:textId="77777777" w:rsidR="00091DAB" w:rsidRDefault="00391977" w:rsidP="00091DAB">
      <w:pPr>
        <w:jc w:val="center"/>
        <w:rPr>
          <w:rFonts w:ascii="Arial" w:hAnsi="Arial" w:cs="Arial"/>
          <w:b/>
          <w:u w:val="single"/>
        </w:rPr>
      </w:pPr>
      <w:bookmarkStart w:id="0" w:name="_GoBack"/>
      <w:bookmarkEnd w:id="0"/>
      <w:r>
        <w:rPr>
          <w:noProof/>
          <w:lang w:eastAsia="en-ZA"/>
        </w:rPr>
        <w:drawing>
          <wp:anchor distT="0" distB="0" distL="114300" distR="114300" simplePos="0" relativeHeight="251659264" behindDoc="1" locked="0" layoutInCell="1" allowOverlap="1" wp14:anchorId="377C3364" wp14:editId="32CC553A">
            <wp:simplePos x="0" y="0"/>
            <wp:positionH relativeFrom="column">
              <wp:posOffset>2333625</wp:posOffset>
            </wp:positionH>
            <wp:positionV relativeFrom="paragraph">
              <wp:posOffset>-200025</wp:posOffset>
            </wp:positionV>
            <wp:extent cx="1190444" cy="1019175"/>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444" cy="1019175"/>
                    </a:xfrm>
                    <a:prstGeom prst="rect">
                      <a:avLst/>
                    </a:prstGeom>
                    <a:noFill/>
                  </pic:spPr>
                </pic:pic>
              </a:graphicData>
            </a:graphic>
            <wp14:sizeRelH relativeFrom="page">
              <wp14:pctWidth>0</wp14:pctWidth>
            </wp14:sizeRelH>
            <wp14:sizeRelV relativeFrom="page">
              <wp14:pctHeight>0</wp14:pctHeight>
            </wp14:sizeRelV>
          </wp:anchor>
        </w:drawing>
      </w:r>
    </w:p>
    <w:p w14:paraId="581BD84B" w14:textId="77777777" w:rsidR="00091DAB" w:rsidRDefault="00091DAB" w:rsidP="00091DAB">
      <w:pPr>
        <w:jc w:val="center"/>
        <w:rPr>
          <w:rFonts w:ascii="Arial" w:hAnsi="Arial" w:cs="Arial"/>
          <w:b/>
          <w:u w:val="single"/>
        </w:rPr>
      </w:pPr>
    </w:p>
    <w:p w14:paraId="3F459B13" w14:textId="77777777" w:rsidR="00091DAB" w:rsidRDefault="00091DAB" w:rsidP="00091DAB">
      <w:pPr>
        <w:jc w:val="center"/>
        <w:rPr>
          <w:rFonts w:ascii="Arial" w:hAnsi="Arial" w:cs="Arial"/>
          <w:b/>
          <w:u w:val="single"/>
        </w:rPr>
      </w:pPr>
    </w:p>
    <w:p w14:paraId="6C5AFBF8" w14:textId="77777777" w:rsidR="00091DAB" w:rsidRDefault="00091DAB" w:rsidP="00091DAB">
      <w:pPr>
        <w:jc w:val="center"/>
        <w:rPr>
          <w:rFonts w:ascii="Arial" w:hAnsi="Arial" w:cs="Arial"/>
          <w:b/>
          <w:u w:val="single"/>
        </w:rPr>
      </w:pPr>
    </w:p>
    <w:p w14:paraId="798151A6" w14:textId="77777777" w:rsidR="00091DAB" w:rsidRPr="006B533F" w:rsidRDefault="00091DAB" w:rsidP="00091DAB">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7126578B" w14:textId="77777777" w:rsidR="00091DAB" w:rsidRPr="00693FDB" w:rsidRDefault="00091DAB" w:rsidP="00091DAB">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72"/>
      </w:tblGrid>
      <w:tr w:rsidR="00091DAB" w14:paraId="74CC595E" w14:textId="77777777" w:rsidTr="007C2D09">
        <w:trPr>
          <w:trHeight w:val="624"/>
        </w:trPr>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974A4" w14:textId="77777777" w:rsidR="00091DAB" w:rsidRDefault="00091DAB" w:rsidP="007C2D09">
            <w:pPr>
              <w:rPr>
                <w:rFonts w:ascii="Arial" w:eastAsia="Times New Roman" w:hAnsi="Arial" w:cs="Arial"/>
                <w:b/>
                <w:sz w:val="16"/>
                <w:szCs w:val="16"/>
                <w:lang w:eastAsia="en-GB"/>
              </w:rPr>
            </w:pPr>
            <w:r>
              <w:rPr>
                <w:rFonts w:ascii="Arial" w:hAnsi="Arial" w:cs="Arial"/>
                <w:b/>
                <w:sz w:val="16"/>
                <w:szCs w:val="16"/>
              </w:rPr>
              <w:t>Reportable:                              YES/NO</w:t>
            </w:r>
          </w:p>
          <w:p w14:paraId="0AFCAF3E" w14:textId="77777777" w:rsidR="00091DAB" w:rsidRDefault="00091DAB" w:rsidP="007C2D09">
            <w:pPr>
              <w:rPr>
                <w:rFonts w:ascii="Arial" w:hAnsi="Arial" w:cs="Arial"/>
                <w:b/>
                <w:sz w:val="16"/>
                <w:szCs w:val="16"/>
              </w:rPr>
            </w:pPr>
            <w:r>
              <w:rPr>
                <w:rFonts w:ascii="Arial" w:hAnsi="Arial" w:cs="Arial"/>
                <w:b/>
                <w:sz w:val="16"/>
                <w:szCs w:val="16"/>
              </w:rPr>
              <w:t>Of Interest to other Judges:   YES/NO</w:t>
            </w:r>
          </w:p>
          <w:p w14:paraId="1ADB9413" w14:textId="77777777" w:rsidR="00091DAB" w:rsidRDefault="00091DAB" w:rsidP="007C2D09">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5E8D5B64" w14:textId="77777777" w:rsidR="00091DAB" w:rsidRPr="006B533F" w:rsidRDefault="00091DAB" w:rsidP="00091DAB">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14:paraId="6FF7E910" w14:textId="6D0ED808" w:rsidR="00091DAB" w:rsidRPr="00EB2564" w:rsidRDefault="00091DAB" w:rsidP="00091DAB">
      <w:pPr>
        <w:spacing w:after="0" w:line="240" w:lineRule="auto"/>
        <w:jc w:val="right"/>
        <w:rPr>
          <w:rFonts w:ascii="Arial" w:hAnsi="Arial" w:cs="Arial"/>
          <w:sz w:val="24"/>
          <w:szCs w:val="24"/>
        </w:rPr>
      </w:pPr>
      <w:r w:rsidRPr="00EB2564">
        <w:rPr>
          <w:rFonts w:ascii="Arial" w:hAnsi="Arial" w:cs="Arial"/>
          <w:sz w:val="24"/>
          <w:szCs w:val="24"/>
        </w:rPr>
        <w:t xml:space="preserve">Case number:   </w:t>
      </w:r>
      <w:r w:rsidR="00B26CCA">
        <w:rPr>
          <w:rFonts w:ascii="Arial" w:eastAsia="Times New Roman" w:hAnsi="Arial" w:cs="Arial"/>
          <w:bCs/>
          <w:sz w:val="24"/>
          <w:szCs w:val="24"/>
          <w:lang w:eastAsia="en-GB"/>
        </w:rPr>
        <w:t>3683/2018</w:t>
      </w:r>
    </w:p>
    <w:p w14:paraId="14B4ED92" w14:textId="77777777" w:rsidR="00091DAB" w:rsidRPr="00EB2564" w:rsidRDefault="00091DAB" w:rsidP="00091DAB">
      <w:pPr>
        <w:spacing w:after="0" w:line="240" w:lineRule="auto"/>
        <w:jc w:val="both"/>
        <w:rPr>
          <w:rFonts w:ascii="Arial" w:hAnsi="Arial" w:cs="Arial"/>
          <w:sz w:val="24"/>
          <w:szCs w:val="24"/>
        </w:rPr>
      </w:pPr>
    </w:p>
    <w:p w14:paraId="7C0ABD19" w14:textId="77777777" w:rsidR="00091DAB" w:rsidRPr="00EB2564" w:rsidRDefault="00091DAB" w:rsidP="00091DAB">
      <w:pPr>
        <w:spacing w:after="0" w:line="240" w:lineRule="auto"/>
        <w:jc w:val="both"/>
        <w:rPr>
          <w:rFonts w:ascii="Arial" w:hAnsi="Arial" w:cs="Arial"/>
          <w:sz w:val="24"/>
          <w:szCs w:val="24"/>
        </w:rPr>
      </w:pPr>
      <w:r w:rsidRPr="00EB2564">
        <w:rPr>
          <w:rFonts w:ascii="Arial" w:hAnsi="Arial" w:cs="Arial"/>
          <w:sz w:val="24"/>
          <w:szCs w:val="24"/>
        </w:rPr>
        <w:t xml:space="preserve">In the matter between: </w:t>
      </w:r>
    </w:p>
    <w:p w14:paraId="430557BA" w14:textId="77777777" w:rsidR="00091DAB" w:rsidRPr="00EB2564" w:rsidRDefault="00091DAB" w:rsidP="00091D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52345E5D" w14:textId="4383EBCD" w:rsidR="00B26CCA" w:rsidRPr="00EB2564" w:rsidRDefault="00B26CCA" w:rsidP="00091DAB">
      <w:pPr>
        <w:tabs>
          <w:tab w:val="right" w:pos="9180"/>
        </w:tabs>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JUANITA </w:t>
      </w:r>
      <w:r w:rsidR="0058757C">
        <w:rPr>
          <w:rFonts w:ascii="Arial" w:eastAsia="Times New Roman" w:hAnsi="Arial" w:cs="Arial"/>
          <w:b/>
          <w:sz w:val="24"/>
          <w:szCs w:val="24"/>
          <w:lang w:eastAsia="en-GB"/>
        </w:rPr>
        <w:t>TROLLIP</w:t>
      </w:r>
      <w:r w:rsidR="0058757C" w:rsidRPr="00EB2564">
        <w:rPr>
          <w:rFonts w:ascii="Arial" w:eastAsia="Times New Roman" w:hAnsi="Arial" w:cs="Arial"/>
          <w:b/>
          <w:sz w:val="24"/>
          <w:szCs w:val="24"/>
          <w:lang w:eastAsia="en-GB"/>
        </w:rPr>
        <w:t xml:space="preserve"> </w:t>
      </w:r>
      <w:r w:rsidR="0058757C" w:rsidRPr="00EB2564">
        <w:rPr>
          <w:rFonts w:ascii="Arial" w:eastAsia="Times New Roman" w:hAnsi="Arial" w:cs="Arial"/>
          <w:b/>
          <w:sz w:val="24"/>
          <w:szCs w:val="24"/>
          <w:lang w:eastAsia="en-GB"/>
        </w:rPr>
        <w:tab/>
      </w:r>
      <w:r>
        <w:rPr>
          <w:rFonts w:ascii="Arial" w:eastAsia="Times New Roman" w:hAnsi="Arial" w:cs="Arial"/>
          <w:sz w:val="24"/>
          <w:szCs w:val="24"/>
          <w:lang w:eastAsia="en-GB"/>
        </w:rPr>
        <w:t>Plaintiff</w:t>
      </w:r>
    </w:p>
    <w:p w14:paraId="7BC4A917" w14:textId="77777777" w:rsidR="00091DAB" w:rsidRPr="00EB2564" w:rsidRDefault="00091DAB" w:rsidP="00091DAB">
      <w:pPr>
        <w:tabs>
          <w:tab w:val="right" w:pos="8306"/>
        </w:tabs>
        <w:spacing w:after="0" w:line="360" w:lineRule="auto"/>
        <w:jc w:val="both"/>
        <w:rPr>
          <w:rFonts w:ascii="Arial" w:eastAsia="Times New Roman" w:hAnsi="Arial" w:cs="Arial"/>
          <w:b/>
          <w:sz w:val="24"/>
          <w:szCs w:val="24"/>
          <w:lang w:eastAsia="en-GB"/>
        </w:rPr>
      </w:pPr>
    </w:p>
    <w:p w14:paraId="4297E3FF" w14:textId="77777777" w:rsidR="00091DAB" w:rsidRPr="00EB2564" w:rsidRDefault="0005789D" w:rsidP="00091DAB">
      <w:pPr>
        <w:tabs>
          <w:tab w:val="right" w:pos="8306"/>
        </w:tabs>
        <w:spacing w:after="0" w:line="360" w:lineRule="auto"/>
        <w:jc w:val="both"/>
        <w:rPr>
          <w:rFonts w:ascii="Arial" w:eastAsia="Times New Roman" w:hAnsi="Arial" w:cs="Arial"/>
          <w:sz w:val="24"/>
          <w:szCs w:val="24"/>
          <w:lang w:eastAsia="en-GB"/>
        </w:rPr>
      </w:pPr>
      <w:r w:rsidRPr="00EB2564">
        <w:rPr>
          <w:rFonts w:ascii="Arial" w:eastAsia="Times New Roman" w:hAnsi="Arial" w:cs="Arial"/>
          <w:sz w:val="24"/>
          <w:szCs w:val="24"/>
          <w:lang w:eastAsia="en-GB"/>
        </w:rPr>
        <w:t>and</w:t>
      </w:r>
    </w:p>
    <w:p w14:paraId="5812853A" w14:textId="77777777" w:rsidR="0005789D" w:rsidRPr="00EB2564" w:rsidRDefault="0005789D" w:rsidP="0005789D">
      <w:pPr>
        <w:tabs>
          <w:tab w:val="right" w:pos="8306"/>
        </w:tabs>
        <w:spacing w:after="0" w:line="240" w:lineRule="auto"/>
        <w:jc w:val="both"/>
        <w:rPr>
          <w:rFonts w:ascii="Arial" w:eastAsia="Times New Roman" w:hAnsi="Arial" w:cs="Arial"/>
          <w:sz w:val="24"/>
          <w:szCs w:val="24"/>
          <w:lang w:eastAsia="en-GB"/>
        </w:rPr>
      </w:pPr>
    </w:p>
    <w:p w14:paraId="342B94F2" w14:textId="7EABDCBF" w:rsidR="00091DAB" w:rsidRDefault="00B26CCA" w:rsidP="00091DAB">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PHATSHOANE HENNEY ATTORNEYS</w:t>
      </w:r>
      <w:r w:rsidR="00E122D6" w:rsidRPr="00EB2564">
        <w:rPr>
          <w:rFonts w:ascii="Arial" w:eastAsia="Times New Roman" w:hAnsi="Arial" w:cs="Arial"/>
          <w:sz w:val="24"/>
          <w:szCs w:val="24"/>
          <w:lang w:eastAsia="en-GB"/>
        </w:rPr>
        <w:tab/>
        <w:t xml:space="preserve"> </w:t>
      </w:r>
      <w:r>
        <w:rPr>
          <w:rFonts w:ascii="Arial" w:eastAsia="Times New Roman" w:hAnsi="Arial" w:cs="Arial"/>
          <w:sz w:val="24"/>
          <w:szCs w:val="24"/>
          <w:lang w:eastAsia="en-GB"/>
        </w:rPr>
        <w:t>First Defendant</w:t>
      </w:r>
    </w:p>
    <w:p w14:paraId="2240842C" w14:textId="5A899849" w:rsidR="00B26CCA" w:rsidRPr="00B26CCA" w:rsidRDefault="00B26CCA" w:rsidP="00091DAB">
      <w:pPr>
        <w:tabs>
          <w:tab w:val="right" w:pos="9180"/>
        </w:tabs>
        <w:spacing w:after="0" w:line="360" w:lineRule="auto"/>
        <w:jc w:val="both"/>
        <w:rPr>
          <w:rFonts w:ascii="Arial" w:eastAsia="Times New Roman" w:hAnsi="Arial" w:cs="Arial"/>
          <w:b/>
          <w:sz w:val="24"/>
          <w:szCs w:val="24"/>
          <w:lang w:eastAsia="en-GB"/>
        </w:rPr>
      </w:pPr>
      <w:r w:rsidRPr="00B26CCA">
        <w:rPr>
          <w:rFonts w:ascii="Arial" w:eastAsia="Times New Roman" w:hAnsi="Arial" w:cs="Arial"/>
          <w:b/>
          <w:sz w:val="24"/>
          <w:szCs w:val="24"/>
          <w:lang w:eastAsia="en-GB"/>
        </w:rPr>
        <w:t>PIETER LABUSCHAGNE SKEIN</w:t>
      </w:r>
      <w:r>
        <w:rPr>
          <w:rFonts w:ascii="Arial" w:eastAsia="Times New Roman" w:hAnsi="Arial" w:cs="Arial"/>
          <w:b/>
          <w:sz w:val="24"/>
          <w:szCs w:val="24"/>
          <w:lang w:eastAsia="en-GB"/>
        </w:rPr>
        <w:tab/>
      </w:r>
      <w:r w:rsidRPr="00B26CCA">
        <w:rPr>
          <w:rFonts w:ascii="Arial" w:eastAsia="Times New Roman" w:hAnsi="Arial" w:cs="Arial"/>
          <w:sz w:val="24"/>
          <w:szCs w:val="24"/>
          <w:lang w:eastAsia="en-GB"/>
        </w:rPr>
        <w:t>Second Defendant</w:t>
      </w:r>
    </w:p>
    <w:p w14:paraId="466DACB8" w14:textId="77777777" w:rsidR="008334F4" w:rsidRPr="00EB2564" w:rsidRDefault="00091DAB" w:rsidP="0005789D">
      <w:pPr>
        <w:pBdr>
          <w:bottom w:val="single" w:sz="12" w:space="1" w:color="auto"/>
        </w:pBdr>
        <w:spacing w:after="0" w:line="240" w:lineRule="auto"/>
        <w:jc w:val="both"/>
        <w:rPr>
          <w:rFonts w:ascii="Arial" w:hAnsi="Arial" w:cs="Arial"/>
          <w:b/>
          <w:sz w:val="24"/>
          <w:szCs w:val="24"/>
        </w:rPr>
      </w:pPr>
      <w:r w:rsidRPr="00EB2564">
        <w:rPr>
          <w:rFonts w:ascii="Arial" w:hAnsi="Arial" w:cs="Arial"/>
          <w:b/>
          <w:sz w:val="24"/>
          <w:szCs w:val="24"/>
        </w:rPr>
        <w:tab/>
      </w:r>
      <w:r w:rsidRPr="00EB2564">
        <w:rPr>
          <w:rFonts w:ascii="Arial" w:hAnsi="Arial" w:cs="Arial"/>
          <w:b/>
          <w:sz w:val="24"/>
          <w:szCs w:val="24"/>
        </w:rPr>
        <w:tab/>
      </w:r>
      <w:r w:rsidR="008334F4" w:rsidRPr="00EB2564">
        <w:rPr>
          <w:rFonts w:ascii="Arial" w:hAnsi="Arial" w:cs="Arial"/>
          <w:b/>
          <w:sz w:val="24"/>
          <w:szCs w:val="24"/>
        </w:rPr>
        <w:tab/>
      </w:r>
    </w:p>
    <w:p w14:paraId="7887FA37" w14:textId="77777777" w:rsidR="00663AFC" w:rsidRPr="00EB2564" w:rsidRDefault="00663AFC" w:rsidP="00663AFC">
      <w:pPr>
        <w:spacing w:after="0" w:line="240" w:lineRule="auto"/>
        <w:contextualSpacing/>
        <w:jc w:val="both"/>
        <w:rPr>
          <w:rFonts w:ascii="Arial" w:hAnsi="Arial" w:cs="Arial"/>
          <w:b/>
          <w:sz w:val="24"/>
          <w:szCs w:val="24"/>
          <w:u w:val="single"/>
        </w:rPr>
      </w:pPr>
    </w:p>
    <w:p w14:paraId="012EE3D5" w14:textId="0633A758" w:rsidR="008334F4" w:rsidRPr="00EB2564" w:rsidRDefault="008334F4" w:rsidP="00B26CCA">
      <w:pPr>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HEARD ON:</w:t>
      </w:r>
      <w:r w:rsidRPr="00EB2564">
        <w:rPr>
          <w:rFonts w:ascii="Arial" w:hAnsi="Arial" w:cs="Arial"/>
          <w:sz w:val="24"/>
          <w:szCs w:val="24"/>
        </w:rPr>
        <w:tab/>
      </w:r>
      <w:r w:rsidR="00B26CCA">
        <w:rPr>
          <w:rFonts w:ascii="Arial" w:hAnsi="Arial" w:cs="Arial"/>
          <w:sz w:val="24"/>
          <w:szCs w:val="24"/>
        </w:rPr>
        <w:tab/>
      </w:r>
      <w:r w:rsidR="00B26CCA">
        <w:rPr>
          <w:rFonts w:ascii="Arial" w:hAnsi="Arial" w:cs="Arial"/>
          <w:sz w:val="24"/>
          <w:szCs w:val="24"/>
        </w:rPr>
        <w:tab/>
        <w:t>19, 20 and 22 APRIL</w:t>
      </w:r>
      <w:r w:rsidRPr="00EB2564">
        <w:rPr>
          <w:rFonts w:ascii="Arial" w:hAnsi="Arial" w:cs="Arial"/>
          <w:sz w:val="24"/>
          <w:szCs w:val="24"/>
        </w:rPr>
        <w:t xml:space="preserve"> 202</w:t>
      </w:r>
      <w:r w:rsidR="008D53F2">
        <w:rPr>
          <w:rFonts w:ascii="Arial" w:hAnsi="Arial" w:cs="Arial"/>
          <w:sz w:val="24"/>
          <w:szCs w:val="24"/>
        </w:rPr>
        <w:t>2</w:t>
      </w:r>
    </w:p>
    <w:p w14:paraId="7EE712C7" w14:textId="77777777" w:rsidR="008334F4" w:rsidRPr="00EB2564" w:rsidRDefault="008334F4" w:rsidP="008334F4">
      <w:pPr>
        <w:pBdr>
          <w:bottom w:val="single" w:sz="6" w:space="1" w:color="auto"/>
        </w:pBdr>
        <w:spacing w:after="0" w:line="240" w:lineRule="auto"/>
        <w:contextualSpacing/>
        <w:jc w:val="both"/>
        <w:rPr>
          <w:rFonts w:ascii="Arial" w:hAnsi="Arial" w:cs="Arial"/>
          <w:b/>
          <w:sz w:val="24"/>
          <w:szCs w:val="24"/>
        </w:rPr>
      </w:pPr>
    </w:p>
    <w:p w14:paraId="01C8698A" w14:textId="77777777" w:rsidR="008334F4" w:rsidRPr="00EB2564" w:rsidRDefault="008334F4" w:rsidP="008334F4">
      <w:pPr>
        <w:spacing w:after="0" w:line="240" w:lineRule="auto"/>
        <w:contextualSpacing/>
        <w:jc w:val="both"/>
        <w:rPr>
          <w:rFonts w:ascii="Arial" w:hAnsi="Arial" w:cs="Arial"/>
          <w:b/>
          <w:sz w:val="24"/>
          <w:szCs w:val="24"/>
        </w:rPr>
      </w:pPr>
    </w:p>
    <w:p w14:paraId="00857AED" w14:textId="77777777" w:rsidR="008334F4" w:rsidRPr="00EB2564" w:rsidRDefault="008334F4" w:rsidP="008334F4">
      <w:pPr>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JUDGMENT BY:</w:t>
      </w:r>
      <w:r w:rsidRPr="00EB2564">
        <w:rPr>
          <w:rFonts w:ascii="Arial" w:hAnsi="Arial" w:cs="Arial"/>
          <w:b/>
          <w:sz w:val="24"/>
          <w:szCs w:val="24"/>
        </w:rPr>
        <w:tab/>
      </w:r>
      <w:r w:rsidRPr="00EB2564">
        <w:rPr>
          <w:rFonts w:ascii="Arial" w:hAnsi="Arial" w:cs="Arial"/>
          <w:sz w:val="24"/>
          <w:szCs w:val="24"/>
        </w:rPr>
        <w:tab/>
      </w:r>
      <w:r w:rsidRPr="00EB2564">
        <w:rPr>
          <w:rFonts w:ascii="Arial" w:eastAsia="Times New Roman" w:hAnsi="Arial" w:cs="Arial"/>
          <w:sz w:val="24"/>
          <w:szCs w:val="24"/>
          <w:lang w:eastAsia="en-GB"/>
        </w:rPr>
        <w:t>LOUBSER, J</w:t>
      </w:r>
    </w:p>
    <w:p w14:paraId="1BC97486" w14:textId="77777777" w:rsidR="008334F4" w:rsidRPr="00EB2564" w:rsidRDefault="008334F4" w:rsidP="008334F4">
      <w:pPr>
        <w:pBdr>
          <w:bottom w:val="single" w:sz="6" w:space="1" w:color="auto"/>
        </w:pBdr>
        <w:spacing w:after="0" w:line="240" w:lineRule="auto"/>
        <w:contextualSpacing/>
        <w:jc w:val="both"/>
        <w:rPr>
          <w:rFonts w:ascii="Arial" w:hAnsi="Arial" w:cs="Arial"/>
          <w:b/>
          <w:sz w:val="24"/>
          <w:szCs w:val="24"/>
        </w:rPr>
      </w:pPr>
    </w:p>
    <w:p w14:paraId="1A87F96A" w14:textId="77777777" w:rsidR="008334F4" w:rsidRPr="00EB2564" w:rsidRDefault="008334F4" w:rsidP="008334F4">
      <w:pPr>
        <w:spacing w:after="0" w:line="240" w:lineRule="auto"/>
        <w:contextualSpacing/>
        <w:jc w:val="both"/>
        <w:rPr>
          <w:rFonts w:ascii="Arial" w:hAnsi="Arial" w:cs="Arial"/>
          <w:b/>
          <w:sz w:val="24"/>
          <w:szCs w:val="24"/>
        </w:rPr>
      </w:pPr>
    </w:p>
    <w:p w14:paraId="6D781BCD" w14:textId="167A66BE" w:rsidR="008334F4" w:rsidRPr="00EB2564" w:rsidRDefault="008334F4" w:rsidP="008334F4">
      <w:pPr>
        <w:tabs>
          <w:tab w:val="left" w:pos="2940"/>
        </w:tabs>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DELIVERED ON:</w:t>
      </w:r>
      <w:r w:rsidRPr="00EB2564">
        <w:rPr>
          <w:rFonts w:ascii="Arial" w:hAnsi="Arial" w:cs="Arial"/>
          <w:sz w:val="24"/>
          <w:szCs w:val="24"/>
        </w:rPr>
        <w:tab/>
      </w:r>
      <w:r w:rsidR="00C63E83">
        <w:rPr>
          <w:rFonts w:ascii="Arial" w:hAnsi="Arial" w:cs="Arial"/>
          <w:sz w:val="24"/>
          <w:szCs w:val="24"/>
        </w:rPr>
        <w:t>23 JUNE 2022</w:t>
      </w:r>
    </w:p>
    <w:p w14:paraId="33CF8A30" w14:textId="683F8E7D" w:rsidR="00091DAB" w:rsidRPr="008D53F2" w:rsidRDefault="008D53F2" w:rsidP="00091DAB">
      <w:pPr>
        <w:spacing w:after="0" w:line="360" w:lineRule="auto"/>
        <w:jc w:val="both"/>
        <w:rPr>
          <w:rFonts w:ascii="Arial" w:hAnsi="Arial" w:cs="Arial"/>
          <w:bCs/>
          <w:sz w:val="24"/>
          <w:szCs w:val="24"/>
        </w:rPr>
      </w:pPr>
      <w:r w:rsidRPr="008D53F2">
        <w:rPr>
          <w:rFonts w:ascii="Arial" w:hAnsi="Arial" w:cs="Arial"/>
          <w:bCs/>
          <w:sz w:val="24"/>
          <w:szCs w:val="24"/>
        </w:rPr>
        <w:t>___________________________________________________________________</w:t>
      </w:r>
    </w:p>
    <w:p w14:paraId="6D2C6BC4" w14:textId="77777777" w:rsidR="008D53F2" w:rsidRPr="00EB2564" w:rsidRDefault="008D53F2" w:rsidP="00091DAB">
      <w:pPr>
        <w:spacing w:after="0" w:line="360" w:lineRule="auto"/>
        <w:jc w:val="both"/>
        <w:rPr>
          <w:rFonts w:ascii="Arial" w:hAnsi="Arial" w:cs="Arial"/>
          <w:b/>
          <w:sz w:val="24"/>
          <w:szCs w:val="24"/>
        </w:rPr>
      </w:pPr>
    </w:p>
    <w:p w14:paraId="19DD9B1B" w14:textId="4EA7A148" w:rsidR="00C3394B" w:rsidRDefault="00091DAB" w:rsidP="00961875">
      <w:pPr>
        <w:spacing w:line="360" w:lineRule="auto"/>
        <w:ind w:left="720" w:hanging="720"/>
        <w:jc w:val="both"/>
        <w:rPr>
          <w:rFonts w:ascii="Arial" w:hAnsi="Arial" w:cs="Arial"/>
          <w:sz w:val="24"/>
          <w:szCs w:val="24"/>
        </w:rPr>
      </w:pPr>
      <w:r w:rsidRPr="00EB2564">
        <w:rPr>
          <w:rFonts w:ascii="Arial" w:hAnsi="Arial" w:cs="Arial"/>
          <w:sz w:val="24"/>
          <w:szCs w:val="24"/>
        </w:rPr>
        <w:t>[1]</w:t>
      </w:r>
      <w:r w:rsidRPr="00EB2564">
        <w:rPr>
          <w:rFonts w:ascii="Arial" w:hAnsi="Arial" w:cs="Arial"/>
          <w:sz w:val="24"/>
          <w:szCs w:val="24"/>
        </w:rPr>
        <w:tab/>
      </w:r>
      <w:r w:rsidR="00961875">
        <w:rPr>
          <w:rFonts w:ascii="Arial" w:hAnsi="Arial" w:cs="Arial"/>
          <w:sz w:val="24"/>
          <w:szCs w:val="24"/>
        </w:rPr>
        <w:t>This is yet another case where a Court has to determine whether the Plaintiff’s claim has become pres</w:t>
      </w:r>
      <w:r w:rsidR="004F5F63">
        <w:rPr>
          <w:rFonts w:ascii="Arial" w:hAnsi="Arial" w:cs="Arial"/>
          <w:sz w:val="24"/>
          <w:szCs w:val="24"/>
        </w:rPr>
        <w:t>cribed by the effluxion of time</w:t>
      </w:r>
      <w:r w:rsidR="00961875">
        <w:rPr>
          <w:rFonts w:ascii="Arial" w:hAnsi="Arial" w:cs="Arial"/>
          <w:sz w:val="24"/>
          <w:szCs w:val="24"/>
        </w:rPr>
        <w:t xml:space="preserve"> South African Courts have been seized with this question almost on a daily b</w:t>
      </w:r>
      <w:r w:rsidR="00B845BD">
        <w:rPr>
          <w:rFonts w:ascii="Arial" w:hAnsi="Arial" w:cs="Arial"/>
          <w:sz w:val="24"/>
          <w:szCs w:val="24"/>
        </w:rPr>
        <w:t xml:space="preserve">asis in recent years, with the </w:t>
      </w:r>
      <w:r w:rsidR="00CA4357">
        <w:rPr>
          <w:rFonts w:ascii="Arial" w:hAnsi="Arial" w:cs="Arial"/>
          <w:sz w:val="24"/>
          <w:szCs w:val="24"/>
        </w:rPr>
        <w:t>result</w:t>
      </w:r>
      <w:r w:rsidR="00961875">
        <w:rPr>
          <w:rFonts w:ascii="Arial" w:hAnsi="Arial" w:cs="Arial"/>
          <w:sz w:val="24"/>
          <w:szCs w:val="24"/>
        </w:rPr>
        <w:t xml:space="preserve"> that there is a plethora of judgments dealing with the issue. The judgements show that in each case, the ap</w:t>
      </w:r>
      <w:r w:rsidR="005548F4">
        <w:rPr>
          <w:rFonts w:ascii="Arial" w:hAnsi="Arial" w:cs="Arial"/>
          <w:sz w:val="24"/>
          <w:szCs w:val="24"/>
        </w:rPr>
        <w:t>plicable legal principle</w:t>
      </w:r>
      <w:r w:rsidR="00C63E83">
        <w:rPr>
          <w:rFonts w:ascii="Arial" w:hAnsi="Arial" w:cs="Arial"/>
          <w:sz w:val="24"/>
          <w:szCs w:val="24"/>
        </w:rPr>
        <w:t>s</w:t>
      </w:r>
      <w:r w:rsidR="005548F4">
        <w:rPr>
          <w:rFonts w:ascii="Arial" w:hAnsi="Arial" w:cs="Arial"/>
          <w:sz w:val="24"/>
          <w:szCs w:val="24"/>
        </w:rPr>
        <w:t xml:space="preserve"> are time</w:t>
      </w:r>
      <w:r w:rsidR="00C63E83">
        <w:rPr>
          <w:rFonts w:ascii="Arial" w:hAnsi="Arial" w:cs="Arial"/>
          <w:sz w:val="24"/>
          <w:szCs w:val="24"/>
        </w:rPr>
        <w:t xml:space="preserve"> and again weighed</w:t>
      </w:r>
      <w:r w:rsidR="00961875">
        <w:rPr>
          <w:rFonts w:ascii="Arial" w:hAnsi="Arial" w:cs="Arial"/>
          <w:sz w:val="24"/>
          <w:szCs w:val="24"/>
        </w:rPr>
        <w:t xml:space="preserve"> up against the particular facts to arrive ar</w:t>
      </w:r>
      <w:r w:rsidR="00B845BD">
        <w:rPr>
          <w:rFonts w:ascii="Arial" w:hAnsi="Arial" w:cs="Arial"/>
          <w:sz w:val="24"/>
          <w:szCs w:val="24"/>
        </w:rPr>
        <w:t>e</w:t>
      </w:r>
      <w:r w:rsidR="00961875">
        <w:rPr>
          <w:rFonts w:ascii="Arial" w:hAnsi="Arial" w:cs="Arial"/>
          <w:sz w:val="24"/>
          <w:szCs w:val="24"/>
        </w:rPr>
        <w:t xml:space="preserve"> a justifiable conclusion. This Court </w:t>
      </w:r>
      <w:r w:rsidR="00B845BD">
        <w:rPr>
          <w:rFonts w:ascii="Arial" w:hAnsi="Arial" w:cs="Arial"/>
          <w:sz w:val="24"/>
          <w:szCs w:val="24"/>
        </w:rPr>
        <w:t xml:space="preserve">will follow the same course to determine whether the Plaintiff’s claim has become prescribed or not. </w:t>
      </w:r>
    </w:p>
    <w:p w14:paraId="51E2CBED" w14:textId="2956E2C1" w:rsidR="00B845BD" w:rsidRDefault="00B845BD" w:rsidP="00961875">
      <w:pPr>
        <w:spacing w:line="36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Plaintiff issued summons against the Defendant</w:t>
      </w:r>
      <w:r w:rsidR="00C63E83">
        <w:rPr>
          <w:rFonts w:ascii="Arial" w:hAnsi="Arial" w:cs="Arial"/>
          <w:sz w:val="24"/>
          <w:szCs w:val="24"/>
        </w:rPr>
        <w:t>s</w:t>
      </w:r>
      <w:r>
        <w:rPr>
          <w:rFonts w:ascii="Arial" w:hAnsi="Arial" w:cs="Arial"/>
          <w:sz w:val="24"/>
          <w:szCs w:val="24"/>
        </w:rPr>
        <w:t xml:space="preserve"> for damages arising from the alleged negligence of the Second Defendant in pursuing a claim for bodily injuries against the Road Accident Fund as a result of a motor vehicle accident in which she was injured on 28 November 2009. It is alleged in the summons that the Plaintiff instructed the Second Defendant, who was then in the employment of the First Defendant as an attorney and therefor acting in the course and scope of his employment with the First De</w:t>
      </w:r>
      <w:r w:rsidR="00C63E83">
        <w:rPr>
          <w:rFonts w:ascii="Arial" w:hAnsi="Arial" w:cs="Arial"/>
          <w:sz w:val="24"/>
          <w:szCs w:val="24"/>
        </w:rPr>
        <w:t>fendant, to pursue her claim. In</w:t>
      </w:r>
      <w:r>
        <w:rPr>
          <w:rFonts w:ascii="Arial" w:hAnsi="Arial" w:cs="Arial"/>
          <w:sz w:val="24"/>
          <w:szCs w:val="24"/>
        </w:rPr>
        <w:t xml:space="preserve"> their respective Pleas filed subsequently, the First and Second Defendant denied all the allegations of negligence on the part of the Second Defendant. In addition, a Special Plea was</w:t>
      </w:r>
      <w:r w:rsidR="00C63E83">
        <w:rPr>
          <w:rFonts w:ascii="Arial" w:hAnsi="Arial" w:cs="Arial"/>
          <w:sz w:val="24"/>
          <w:szCs w:val="24"/>
        </w:rPr>
        <w:t xml:space="preserve"> raised in the respective Pleas</w:t>
      </w:r>
      <w:r>
        <w:rPr>
          <w:rFonts w:ascii="Arial" w:hAnsi="Arial" w:cs="Arial"/>
          <w:sz w:val="24"/>
          <w:szCs w:val="24"/>
        </w:rPr>
        <w:t xml:space="preserve"> to the effect that the Plaintiff’s claim had already become prescribed by the time that the summons was served on both Defendants on 24 July 2018. </w:t>
      </w:r>
    </w:p>
    <w:p w14:paraId="7016A6F4" w14:textId="6A0BE8E9" w:rsidR="00B845BD" w:rsidRDefault="00B845BD" w:rsidP="00961875">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their Special Pleas, both the Defendants pleaded that the </w:t>
      </w:r>
      <w:r w:rsidR="00C63E83">
        <w:rPr>
          <w:rFonts w:ascii="Arial" w:hAnsi="Arial" w:cs="Arial"/>
          <w:sz w:val="24"/>
          <w:szCs w:val="24"/>
        </w:rPr>
        <w:t>delictual debt</w:t>
      </w:r>
      <w:r>
        <w:rPr>
          <w:rFonts w:ascii="Arial" w:hAnsi="Arial" w:cs="Arial"/>
          <w:sz w:val="24"/>
          <w:szCs w:val="24"/>
        </w:rPr>
        <w:t xml:space="preserve"> which is the subject of the </w:t>
      </w:r>
      <w:r w:rsidR="008E3B89">
        <w:rPr>
          <w:rFonts w:ascii="Arial" w:hAnsi="Arial" w:cs="Arial"/>
          <w:sz w:val="24"/>
          <w:szCs w:val="24"/>
        </w:rPr>
        <w:t>Plaintiff’s</w:t>
      </w:r>
      <w:r>
        <w:rPr>
          <w:rFonts w:ascii="Arial" w:hAnsi="Arial" w:cs="Arial"/>
          <w:sz w:val="24"/>
          <w:szCs w:val="24"/>
        </w:rPr>
        <w:t xml:space="preserve"> claim </w:t>
      </w:r>
      <w:r w:rsidR="008E3B89">
        <w:rPr>
          <w:rFonts w:ascii="Arial" w:hAnsi="Arial" w:cs="Arial"/>
          <w:sz w:val="24"/>
          <w:szCs w:val="24"/>
        </w:rPr>
        <w:t>had arisen and became due on the 10</w:t>
      </w:r>
      <w:r w:rsidR="00C63E83" w:rsidRPr="00C63E83">
        <w:rPr>
          <w:rFonts w:ascii="Arial" w:hAnsi="Arial" w:cs="Arial"/>
          <w:sz w:val="24"/>
          <w:szCs w:val="24"/>
          <w:vertAlign w:val="superscript"/>
        </w:rPr>
        <w:t>th</w:t>
      </w:r>
      <w:r w:rsidR="008E3B89">
        <w:rPr>
          <w:rFonts w:ascii="Arial" w:hAnsi="Arial" w:cs="Arial"/>
          <w:sz w:val="24"/>
          <w:szCs w:val="24"/>
        </w:rPr>
        <w:t xml:space="preserve"> June 2015, alternatively the 9</w:t>
      </w:r>
      <w:r w:rsidR="00C63E83" w:rsidRPr="00C63E83">
        <w:rPr>
          <w:rFonts w:ascii="Arial" w:hAnsi="Arial" w:cs="Arial"/>
          <w:sz w:val="24"/>
          <w:szCs w:val="24"/>
          <w:vertAlign w:val="superscript"/>
        </w:rPr>
        <w:t>th</w:t>
      </w:r>
      <w:r w:rsidR="008E3B89">
        <w:rPr>
          <w:rFonts w:ascii="Arial" w:hAnsi="Arial" w:cs="Arial"/>
          <w:sz w:val="24"/>
          <w:szCs w:val="24"/>
        </w:rPr>
        <w:t xml:space="preserve"> July 2015, being the date on which the Plaintiff acquired a complete cause of action for the recovery thereof. It is ple</w:t>
      </w:r>
      <w:r w:rsidR="005548F4">
        <w:rPr>
          <w:rFonts w:ascii="Arial" w:hAnsi="Arial" w:cs="Arial"/>
          <w:sz w:val="24"/>
          <w:szCs w:val="24"/>
        </w:rPr>
        <w:t>aded that, in the circumstance</w:t>
      </w:r>
      <w:r w:rsidR="008E3B89">
        <w:rPr>
          <w:rFonts w:ascii="Arial" w:hAnsi="Arial" w:cs="Arial"/>
          <w:sz w:val="24"/>
          <w:szCs w:val="24"/>
        </w:rPr>
        <w:t>s, more than three (3) years have lapsed bet</w:t>
      </w:r>
      <w:r w:rsidR="00C63E83">
        <w:rPr>
          <w:rFonts w:ascii="Arial" w:hAnsi="Arial" w:cs="Arial"/>
          <w:sz w:val="24"/>
          <w:szCs w:val="24"/>
        </w:rPr>
        <w:t>ween the  delictual debt</w:t>
      </w:r>
      <w:r w:rsidR="008E3B89">
        <w:rPr>
          <w:rFonts w:ascii="Arial" w:hAnsi="Arial" w:cs="Arial"/>
          <w:sz w:val="24"/>
          <w:szCs w:val="24"/>
        </w:rPr>
        <w:t xml:space="preserve"> falling due and the institution of the action, resulting in the prescription of the claim in terms of Section 11(d) of the Prescription Act</w:t>
      </w:r>
      <w:r w:rsidR="008E3B89">
        <w:rPr>
          <w:rStyle w:val="FootnoteReference"/>
          <w:rFonts w:ascii="Arial" w:hAnsi="Arial" w:cs="Arial"/>
          <w:sz w:val="24"/>
          <w:szCs w:val="24"/>
        </w:rPr>
        <w:footnoteReference w:id="1"/>
      </w:r>
      <w:r w:rsidR="008E3B89">
        <w:rPr>
          <w:rFonts w:ascii="Arial" w:hAnsi="Arial" w:cs="Arial"/>
          <w:sz w:val="24"/>
          <w:szCs w:val="24"/>
        </w:rPr>
        <w:t xml:space="preserve">. </w:t>
      </w:r>
    </w:p>
    <w:p w14:paraId="7026D766" w14:textId="243319ED" w:rsidR="008E3B89" w:rsidRDefault="008E3B89" w:rsidP="00961875">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Where the Special Pleas rely on the date on which the </w:t>
      </w:r>
      <w:r w:rsidR="00CA4357">
        <w:rPr>
          <w:rFonts w:ascii="Arial" w:hAnsi="Arial" w:cs="Arial"/>
          <w:sz w:val="24"/>
          <w:szCs w:val="24"/>
        </w:rPr>
        <w:t>Plaintiff</w:t>
      </w:r>
      <w:r>
        <w:rPr>
          <w:rFonts w:ascii="Arial" w:hAnsi="Arial" w:cs="Arial"/>
          <w:sz w:val="24"/>
          <w:szCs w:val="24"/>
        </w:rPr>
        <w:t xml:space="preserve"> acquired a complete cause of action, reference is obviously made to the provisions of Sections 12(1), (2) and (3) of the said Act. Those sections provide as follows:</w:t>
      </w:r>
    </w:p>
    <w:p w14:paraId="09E8D3ED" w14:textId="77777777" w:rsidR="008E3B89" w:rsidRPr="008E3B89" w:rsidRDefault="008E3B89" w:rsidP="008F44D8">
      <w:pPr>
        <w:tabs>
          <w:tab w:val="left" w:pos="0"/>
        </w:tabs>
        <w:spacing w:after="0" w:line="240" w:lineRule="auto"/>
        <w:ind w:left="1020" w:right="1020" w:hanging="567"/>
        <w:rPr>
          <w:color w:val="000000" w:themeColor="text1"/>
          <w:sz w:val="20"/>
          <w:szCs w:val="20"/>
        </w:rPr>
      </w:pPr>
      <w:r w:rsidRPr="008E3B89">
        <w:rPr>
          <w:b/>
          <w:color w:val="000000" w:themeColor="text1"/>
          <w:sz w:val="20"/>
          <w:szCs w:val="20"/>
        </w:rPr>
        <w:t>12.</w:t>
      </w:r>
      <w:r w:rsidRPr="008E3B89">
        <w:rPr>
          <w:b/>
          <w:color w:val="000000" w:themeColor="text1"/>
          <w:sz w:val="20"/>
          <w:szCs w:val="20"/>
        </w:rPr>
        <w:tab/>
        <w:t>When prescription begins to run</w:t>
      </w:r>
    </w:p>
    <w:p w14:paraId="4416D1E9" w14:textId="77777777" w:rsidR="008E3B89" w:rsidRPr="008E3B89" w:rsidRDefault="008E3B89" w:rsidP="008F44D8">
      <w:pPr>
        <w:tabs>
          <w:tab w:val="left" w:pos="0"/>
        </w:tabs>
        <w:spacing w:after="0" w:line="240" w:lineRule="auto"/>
        <w:ind w:left="1020" w:right="1020" w:hanging="567"/>
        <w:rPr>
          <w:color w:val="000000" w:themeColor="text1"/>
          <w:sz w:val="20"/>
          <w:szCs w:val="20"/>
        </w:rPr>
      </w:pPr>
    </w:p>
    <w:p w14:paraId="3A7FB4EE" w14:textId="77777777" w:rsidR="008E3B89" w:rsidRPr="008E3B89" w:rsidRDefault="008E3B89" w:rsidP="008F44D8">
      <w:pPr>
        <w:tabs>
          <w:tab w:val="left" w:pos="0"/>
        </w:tabs>
        <w:spacing w:after="0" w:line="240" w:lineRule="auto"/>
        <w:ind w:left="1020" w:right="1020" w:hanging="567"/>
        <w:rPr>
          <w:color w:val="000000" w:themeColor="text1"/>
          <w:sz w:val="20"/>
          <w:szCs w:val="20"/>
        </w:rPr>
      </w:pPr>
      <w:r w:rsidRPr="008E3B89">
        <w:rPr>
          <w:color w:val="000000" w:themeColor="text1"/>
          <w:sz w:val="20"/>
          <w:szCs w:val="20"/>
        </w:rPr>
        <w:t>(1)</w:t>
      </w:r>
      <w:r w:rsidRPr="008E3B89">
        <w:rPr>
          <w:color w:val="000000" w:themeColor="text1"/>
          <w:sz w:val="20"/>
          <w:szCs w:val="20"/>
        </w:rPr>
        <w:tab/>
        <w:t>Subject to the provisions of subsections (2), (3) and (4), prescription shall commence to run as soon as the debt is due.</w:t>
      </w:r>
    </w:p>
    <w:p w14:paraId="504CEDC5" w14:textId="77777777" w:rsidR="008E3B89" w:rsidRPr="008E3B89" w:rsidRDefault="008E3B89" w:rsidP="008F44D8">
      <w:pPr>
        <w:tabs>
          <w:tab w:val="left" w:pos="0"/>
        </w:tabs>
        <w:spacing w:after="0" w:line="240" w:lineRule="auto"/>
        <w:ind w:left="1020" w:right="1020"/>
        <w:jc w:val="center"/>
        <w:rPr>
          <w:color w:val="000000" w:themeColor="text1"/>
          <w:sz w:val="20"/>
          <w:szCs w:val="20"/>
        </w:rPr>
      </w:pPr>
      <w:r w:rsidRPr="008E3B89">
        <w:rPr>
          <w:color w:val="000000" w:themeColor="text1"/>
          <w:sz w:val="20"/>
          <w:szCs w:val="20"/>
        </w:rPr>
        <w:t>[S 12(1) subs by s 68 of Act 32 of 2007.]</w:t>
      </w:r>
    </w:p>
    <w:p w14:paraId="324A7A34" w14:textId="77777777" w:rsidR="008E3B89" w:rsidRPr="008E3B89" w:rsidRDefault="008E3B89" w:rsidP="008F44D8">
      <w:pPr>
        <w:tabs>
          <w:tab w:val="left" w:pos="0"/>
        </w:tabs>
        <w:spacing w:after="0" w:line="240" w:lineRule="auto"/>
        <w:ind w:left="1020" w:right="1020" w:hanging="567"/>
        <w:rPr>
          <w:color w:val="000000" w:themeColor="text1"/>
          <w:sz w:val="20"/>
          <w:szCs w:val="20"/>
        </w:rPr>
      </w:pPr>
    </w:p>
    <w:p w14:paraId="6E3EFC59" w14:textId="77777777" w:rsidR="008E3B89" w:rsidRPr="008E3B89" w:rsidRDefault="008E3B89" w:rsidP="008F44D8">
      <w:pPr>
        <w:tabs>
          <w:tab w:val="left" w:pos="0"/>
        </w:tabs>
        <w:spacing w:after="0" w:line="240" w:lineRule="auto"/>
        <w:ind w:left="1020" w:right="1020" w:hanging="567"/>
        <w:rPr>
          <w:color w:val="000000" w:themeColor="text1"/>
          <w:sz w:val="20"/>
          <w:szCs w:val="20"/>
        </w:rPr>
      </w:pPr>
      <w:r w:rsidRPr="008E3B89">
        <w:rPr>
          <w:color w:val="000000" w:themeColor="text1"/>
          <w:sz w:val="20"/>
          <w:szCs w:val="20"/>
        </w:rPr>
        <w:t>(2)</w:t>
      </w:r>
      <w:r w:rsidRPr="008E3B89">
        <w:rPr>
          <w:color w:val="000000" w:themeColor="text1"/>
          <w:sz w:val="20"/>
          <w:szCs w:val="20"/>
        </w:rPr>
        <w:tab/>
        <w:t>If the debtor wilfully prevents the creditor from coming to know of the existence of the debt, prescription shall not commence to run until the creditor becomes aware of the existence of the debt.</w:t>
      </w:r>
    </w:p>
    <w:p w14:paraId="0163CBE9" w14:textId="77777777" w:rsidR="008E3B89" w:rsidRPr="008E3B89" w:rsidRDefault="008E3B89" w:rsidP="008F44D8">
      <w:pPr>
        <w:tabs>
          <w:tab w:val="left" w:pos="0"/>
        </w:tabs>
        <w:spacing w:after="0" w:line="240" w:lineRule="auto"/>
        <w:ind w:left="1020" w:right="1020" w:hanging="567"/>
        <w:rPr>
          <w:color w:val="000000" w:themeColor="text1"/>
          <w:sz w:val="20"/>
          <w:szCs w:val="20"/>
        </w:rPr>
      </w:pPr>
    </w:p>
    <w:p w14:paraId="6C925A92" w14:textId="77777777" w:rsidR="008E3B89" w:rsidRPr="008E3B89" w:rsidRDefault="008E3B89" w:rsidP="008F44D8">
      <w:pPr>
        <w:tabs>
          <w:tab w:val="left" w:pos="0"/>
        </w:tabs>
        <w:spacing w:after="0" w:line="240" w:lineRule="auto"/>
        <w:ind w:left="1020" w:right="1020" w:hanging="567"/>
        <w:rPr>
          <w:color w:val="000000" w:themeColor="text1"/>
          <w:sz w:val="20"/>
          <w:szCs w:val="20"/>
        </w:rPr>
      </w:pPr>
      <w:r w:rsidRPr="008E3B89">
        <w:rPr>
          <w:color w:val="000000" w:themeColor="text1"/>
          <w:sz w:val="20"/>
          <w:szCs w:val="20"/>
        </w:rPr>
        <w:t>(3)</w:t>
      </w:r>
      <w:r w:rsidRPr="008E3B89">
        <w:rPr>
          <w:color w:val="000000" w:themeColor="text1"/>
          <w:sz w:val="20"/>
          <w:szCs w:val="20"/>
        </w:rPr>
        <w:tab/>
        <w:t>A debt shall not be deemed to be due until the creditor has knowledge of the identity of the debtor and of the facts from which the debt arises: Provided that a creditor shall be deemed to have such knowledge if he could have acquired it by exercising reasonable care.</w:t>
      </w:r>
    </w:p>
    <w:p w14:paraId="45A98455" w14:textId="5557CD53" w:rsidR="008E3B89" w:rsidRDefault="008E3B89" w:rsidP="008F44D8">
      <w:pPr>
        <w:tabs>
          <w:tab w:val="left" w:pos="0"/>
        </w:tabs>
        <w:spacing w:after="0" w:line="240" w:lineRule="auto"/>
        <w:ind w:left="1020" w:right="1020"/>
        <w:jc w:val="center"/>
        <w:rPr>
          <w:color w:val="000000" w:themeColor="text1"/>
          <w:sz w:val="20"/>
          <w:szCs w:val="20"/>
        </w:rPr>
      </w:pPr>
      <w:r w:rsidRPr="008E3B89">
        <w:rPr>
          <w:color w:val="000000" w:themeColor="text1"/>
          <w:sz w:val="20"/>
          <w:szCs w:val="20"/>
        </w:rPr>
        <w:t>[S 12(3) subs by s 1 of Act 11 of 1984.]</w:t>
      </w:r>
    </w:p>
    <w:p w14:paraId="797FA6D4" w14:textId="65BFAD9B" w:rsidR="008F44D8" w:rsidRDefault="00232FF6"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[5]</w:t>
      </w:r>
      <w:r>
        <w:rPr>
          <w:rFonts w:ascii="Arial" w:hAnsi="Arial" w:cs="Arial"/>
          <w:color w:val="000000" w:themeColor="text1"/>
          <w:sz w:val="24"/>
          <w:szCs w:val="24"/>
        </w:rPr>
        <w:tab/>
        <w:t>In a surprising turn of events, the First and Second Defendants filed an Amended Plea by the Second Defendant on 1</w:t>
      </w:r>
      <w:r w:rsidRPr="00232FF6">
        <w:rPr>
          <w:rFonts w:ascii="Arial" w:hAnsi="Arial" w:cs="Arial"/>
          <w:color w:val="000000" w:themeColor="text1"/>
          <w:sz w:val="24"/>
          <w:szCs w:val="24"/>
          <w:vertAlign w:val="superscript"/>
        </w:rPr>
        <w:t>st</w:t>
      </w:r>
      <w:r w:rsidR="00F36441">
        <w:rPr>
          <w:rFonts w:ascii="Arial" w:hAnsi="Arial" w:cs="Arial"/>
          <w:color w:val="000000" w:themeColor="text1"/>
          <w:sz w:val="24"/>
          <w:szCs w:val="24"/>
        </w:rPr>
        <w:t xml:space="preserve"> March 2022, that is som</w:t>
      </w:r>
      <w:r>
        <w:rPr>
          <w:rFonts w:ascii="Arial" w:hAnsi="Arial" w:cs="Arial"/>
          <w:color w:val="000000" w:themeColor="text1"/>
          <w:sz w:val="24"/>
          <w:szCs w:val="24"/>
        </w:rPr>
        <w:t xml:space="preserve">e one and a half months before the trial was set to commence. In this Amended Plea, the Second Defendant </w:t>
      </w:r>
      <w:r w:rsidR="00023903">
        <w:rPr>
          <w:rFonts w:ascii="Arial" w:hAnsi="Arial" w:cs="Arial"/>
          <w:color w:val="000000" w:themeColor="text1"/>
          <w:sz w:val="24"/>
          <w:szCs w:val="24"/>
        </w:rPr>
        <w:t>c</w:t>
      </w:r>
      <w:r>
        <w:rPr>
          <w:rFonts w:ascii="Arial" w:hAnsi="Arial" w:cs="Arial"/>
          <w:color w:val="000000" w:themeColor="text1"/>
          <w:sz w:val="24"/>
          <w:szCs w:val="24"/>
        </w:rPr>
        <w:t>onceded</w:t>
      </w:r>
      <w:r w:rsidR="00023903">
        <w:rPr>
          <w:rFonts w:ascii="Arial" w:hAnsi="Arial" w:cs="Arial"/>
          <w:color w:val="000000" w:themeColor="text1"/>
          <w:sz w:val="24"/>
          <w:szCs w:val="24"/>
        </w:rPr>
        <w:t xml:space="preserve"> that he was negligent in his conduct of the Plaintiff’s case in three aspects. He persisted in his Special Plea, however, although the following was now inserted: that by 10 June 2015, alternatively the 9</w:t>
      </w:r>
      <w:r w:rsidR="00023903" w:rsidRPr="00023903">
        <w:rPr>
          <w:rFonts w:ascii="Arial" w:hAnsi="Arial" w:cs="Arial"/>
          <w:color w:val="000000" w:themeColor="text1"/>
          <w:sz w:val="24"/>
          <w:szCs w:val="24"/>
          <w:vertAlign w:val="superscript"/>
        </w:rPr>
        <w:t>th</w:t>
      </w:r>
      <w:r w:rsidR="00023903">
        <w:rPr>
          <w:rFonts w:ascii="Arial" w:hAnsi="Arial" w:cs="Arial"/>
          <w:color w:val="000000" w:themeColor="text1"/>
          <w:sz w:val="24"/>
          <w:szCs w:val="24"/>
        </w:rPr>
        <w:t xml:space="preserve"> July 2015, the Plaintiff “could by exercising reasonable care have become aware</w:t>
      </w:r>
      <w:r w:rsidR="00C63E83">
        <w:rPr>
          <w:rFonts w:ascii="Arial" w:hAnsi="Arial" w:cs="Arial"/>
          <w:color w:val="000000" w:themeColor="text1"/>
          <w:sz w:val="24"/>
          <w:szCs w:val="24"/>
        </w:rPr>
        <w:t>….” a</w:t>
      </w:r>
      <w:r w:rsidR="00023903">
        <w:rPr>
          <w:rFonts w:ascii="Arial" w:hAnsi="Arial" w:cs="Arial"/>
          <w:color w:val="000000" w:themeColor="text1"/>
          <w:sz w:val="24"/>
          <w:szCs w:val="24"/>
        </w:rPr>
        <w:t xml:space="preserve">nd “acquired knowledge </w:t>
      </w:r>
      <w:r w:rsidR="008F44D8">
        <w:rPr>
          <w:rFonts w:ascii="Arial" w:hAnsi="Arial" w:cs="Arial"/>
          <w:color w:val="000000" w:themeColor="text1"/>
          <w:sz w:val="24"/>
          <w:szCs w:val="24"/>
        </w:rPr>
        <w:t>of the identity of the debt</w:t>
      </w:r>
      <w:r w:rsidR="00023903">
        <w:rPr>
          <w:rFonts w:ascii="Arial" w:hAnsi="Arial" w:cs="Arial"/>
          <w:color w:val="000000" w:themeColor="text1"/>
          <w:sz w:val="24"/>
          <w:szCs w:val="24"/>
        </w:rPr>
        <w:t xml:space="preserve">or and the facts from which the debt arose”. It needs </w:t>
      </w:r>
      <w:r w:rsidR="008F44D8">
        <w:rPr>
          <w:rFonts w:ascii="Arial" w:hAnsi="Arial" w:cs="Arial"/>
          <w:color w:val="000000" w:themeColor="text1"/>
          <w:sz w:val="24"/>
          <w:szCs w:val="24"/>
        </w:rPr>
        <w:t>mentioning here that in a Replication filed by the Plaintiff subsequent to the filing of the original Pleas, the Plaintiff alleged that she had only become aware of the identity of the debtor and the facts of claim against them after her consultation with her present attorneys on 19 July 2016. In the alternative, it was pleaded in the Replication that the Second Defendant had wilfully prevented her from coming to kno</w:t>
      </w:r>
      <w:r w:rsidR="00C63E83">
        <w:rPr>
          <w:rFonts w:ascii="Arial" w:hAnsi="Arial" w:cs="Arial"/>
          <w:color w:val="000000" w:themeColor="text1"/>
          <w:sz w:val="24"/>
          <w:szCs w:val="24"/>
        </w:rPr>
        <w:t>w of the existence of the debt</w:t>
      </w:r>
      <w:r w:rsidR="008F44D8">
        <w:rPr>
          <w:rFonts w:ascii="Arial" w:hAnsi="Arial" w:cs="Arial"/>
          <w:color w:val="000000" w:themeColor="text1"/>
          <w:sz w:val="24"/>
          <w:szCs w:val="24"/>
        </w:rPr>
        <w:t>, causing prescription to commence running only on the sec</w:t>
      </w:r>
      <w:r w:rsidR="005548F4">
        <w:rPr>
          <w:rFonts w:ascii="Arial" w:hAnsi="Arial" w:cs="Arial"/>
          <w:color w:val="000000" w:themeColor="text1"/>
          <w:sz w:val="24"/>
          <w:szCs w:val="24"/>
        </w:rPr>
        <w:t xml:space="preserve">ond date, namely 19 July 2016. </w:t>
      </w:r>
    </w:p>
    <w:p w14:paraId="5087294F"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79335D09" w14:textId="303E96C3" w:rsidR="00C63203" w:rsidRDefault="008F44D8"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C63203">
        <w:rPr>
          <w:rFonts w:ascii="Arial" w:hAnsi="Arial" w:cs="Arial"/>
          <w:color w:val="000000" w:themeColor="text1"/>
          <w:sz w:val="24"/>
          <w:szCs w:val="24"/>
        </w:rPr>
        <w:t>Sub</w:t>
      </w:r>
      <w:r w:rsidR="00C63E83">
        <w:rPr>
          <w:rFonts w:ascii="Arial" w:hAnsi="Arial" w:cs="Arial"/>
          <w:color w:val="000000" w:themeColor="text1"/>
          <w:sz w:val="24"/>
          <w:szCs w:val="24"/>
        </w:rPr>
        <w:t>sequent to the concession made in</w:t>
      </w:r>
      <w:r w:rsidR="00C63203">
        <w:rPr>
          <w:rFonts w:ascii="Arial" w:hAnsi="Arial" w:cs="Arial"/>
          <w:color w:val="000000" w:themeColor="text1"/>
          <w:sz w:val="24"/>
          <w:szCs w:val="24"/>
        </w:rPr>
        <w:t xml:space="preserve"> the Amended Plea, the merits of the Plaintiff’s claim became settled between the parties on 9 April 2022 in the amount of R 2 261 204.00, a mere 10 days before the commencement of the trial proceedings. The only dispute remaining between the parties is now whether the Plaintiff can recover the amount agreed upon, or whether her claim against both</w:t>
      </w:r>
      <w:r w:rsidR="005548F4">
        <w:rPr>
          <w:rFonts w:ascii="Arial" w:hAnsi="Arial" w:cs="Arial"/>
          <w:color w:val="000000" w:themeColor="text1"/>
          <w:sz w:val="24"/>
          <w:szCs w:val="24"/>
        </w:rPr>
        <w:t xml:space="preserve"> parties has become prescribed.</w:t>
      </w:r>
    </w:p>
    <w:p w14:paraId="5B445C13"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2A23CD91" w14:textId="3BE568A9" w:rsidR="00463483" w:rsidRDefault="00C63203" w:rsidP="00C63E83">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t>At this point it would be appropriate to turn to the negligence claim against the Second Defendant. It appears to be common cause that after the Second Defendant received his mandate from the Plaintiff, he sent her to a general practitioner, Dr. Khan, on 19 September 2012, who them submitted a medico-legal report. On the basis of this report, Second Defendant issued summons against the Road Accident Fund out of the Bloemfontein Regional Court for an amount of R 223 000.00</w:t>
      </w:r>
      <w:r w:rsidR="00CA4357">
        <w:rPr>
          <w:rFonts w:ascii="Arial" w:hAnsi="Arial" w:cs="Arial"/>
          <w:color w:val="000000" w:themeColor="text1"/>
          <w:sz w:val="24"/>
          <w:szCs w:val="24"/>
        </w:rPr>
        <w:t>.</w:t>
      </w:r>
      <w:r>
        <w:rPr>
          <w:rFonts w:ascii="Arial" w:hAnsi="Arial" w:cs="Arial"/>
          <w:color w:val="000000" w:themeColor="text1"/>
          <w:sz w:val="24"/>
          <w:szCs w:val="24"/>
        </w:rPr>
        <w:t xml:space="preserve"> During January 2015, </w:t>
      </w:r>
      <w:r w:rsidR="00CA4357">
        <w:rPr>
          <w:rFonts w:ascii="Arial" w:hAnsi="Arial" w:cs="Arial"/>
          <w:color w:val="000000" w:themeColor="text1"/>
          <w:sz w:val="24"/>
          <w:szCs w:val="24"/>
        </w:rPr>
        <w:t xml:space="preserve">and after the five (5) year prescription period against the Road Accident Fund had already expired, the Second Defendant caused the Plaintiff to be assessed by an occupational therapist and an industrial psychologist, and their reports were submitted to an </w:t>
      </w:r>
      <w:r w:rsidR="00CA4357">
        <w:rPr>
          <w:rFonts w:ascii="Arial" w:hAnsi="Arial" w:cs="Arial"/>
          <w:color w:val="000000" w:themeColor="text1"/>
          <w:sz w:val="24"/>
          <w:szCs w:val="24"/>
        </w:rPr>
        <w:lastRenderedPageBreak/>
        <w:t>actuary, who assessed her loss of income in amounts far in excess of R 400 000. This amount is mentioned because it represented the monetary jurisdictional limit of the Regional Court at the time. Because the matter could not be transfer to the High court or summons re-issued due to prescription the Second Defendant proceeded with the case in the Regi</w:t>
      </w:r>
      <w:r w:rsidR="00463483">
        <w:rPr>
          <w:rFonts w:ascii="Arial" w:hAnsi="Arial" w:cs="Arial"/>
          <w:color w:val="000000" w:themeColor="text1"/>
          <w:sz w:val="24"/>
          <w:szCs w:val="24"/>
        </w:rPr>
        <w:t>o</w:t>
      </w:r>
      <w:r w:rsidR="00CA4357">
        <w:rPr>
          <w:rFonts w:ascii="Arial" w:hAnsi="Arial" w:cs="Arial"/>
          <w:color w:val="000000" w:themeColor="text1"/>
          <w:sz w:val="24"/>
          <w:szCs w:val="24"/>
        </w:rPr>
        <w:t>nal Court</w:t>
      </w:r>
      <w:r w:rsidR="00463483">
        <w:rPr>
          <w:rFonts w:ascii="Arial" w:hAnsi="Arial" w:cs="Arial"/>
          <w:color w:val="000000" w:themeColor="text1"/>
          <w:sz w:val="24"/>
          <w:szCs w:val="24"/>
        </w:rPr>
        <w:t xml:space="preserve">, limiting the amount of the claim to R 400 000. Eventually judgment by default was obtained for such limited amount. After deduction of the Second Defendants fees and disbursements, the Plaintiff received a total amount of some R 290 000.00 for her damages. </w:t>
      </w:r>
    </w:p>
    <w:p w14:paraId="1A6EC1FD"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6D67C5F3" w14:textId="70A00D89" w:rsidR="00463483" w:rsidRDefault="00463483" w:rsidP="00C63203">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t xml:space="preserve">In her Particulars of Claim the Plaintiff alleged that the Second Defendant acted negligently in that he – </w:t>
      </w:r>
    </w:p>
    <w:p w14:paraId="47342506" w14:textId="77777777" w:rsidR="00C63E83" w:rsidRDefault="00C63E83" w:rsidP="00C63203">
      <w:pPr>
        <w:tabs>
          <w:tab w:val="left" w:pos="0"/>
        </w:tabs>
        <w:spacing w:after="0" w:line="360" w:lineRule="auto"/>
        <w:ind w:left="720" w:hanging="720"/>
        <w:jc w:val="both"/>
        <w:rPr>
          <w:rFonts w:ascii="Arial" w:hAnsi="Arial" w:cs="Arial"/>
          <w:color w:val="000000" w:themeColor="text1"/>
          <w:sz w:val="24"/>
          <w:szCs w:val="24"/>
        </w:rPr>
      </w:pPr>
    </w:p>
    <w:p w14:paraId="04AF079A" w14:textId="4D8468B5" w:rsidR="00463483" w:rsidRDefault="00463483" w:rsidP="00C63203">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ab/>
      </w:r>
      <w:r w:rsidR="00FC7B3E">
        <w:rPr>
          <w:rFonts w:ascii="Arial" w:hAnsi="Arial" w:cs="Arial"/>
          <w:color w:val="000000" w:themeColor="text1"/>
          <w:sz w:val="24"/>
          <w:szCs w:val="24"/>
        </w:rPr>
        <w:t>8.1</w:t>
      </w:r>
      <w:r w:rsidR="00FC7B3E">
        <w:rPr>
          <w:rFonts w:ascii="Arial" w:hAnsi="Arial" w:cs="Arial"/>
          <w:color w:val="000000" w:themeColor="text1"/>
          <w:sz w:val="24"/>
          <w:szCs w:val="24"/>
        </w:rPr>
        <w:tab/>
      </w:r>
      <w:r>
        <w:rPr>
          <w:rFonts w:ascii="Arial" w:hAnsi="Arial" w:cs="Arial"/>
          <w:color w:val="000000" w:themeColor="text1"/>
          <w:sz w:val="24"/>
          <w:szCs w:val="24"/>
        </w:rPr>
        <w:t>Failed to properly quantify the matter;</w:t>
      </w:r>
    </w:p>
    <w:p w14:paraId="6FC26F11" w14:textId="05809EC0" w:rsidR="00463483" w:rsidRDefault="00463483" w:rsidP="00463483">
      <w:pPr>
        <w:pStyle w:val="ListParagraph"/>
        <w:tabs>
          <w:tab w:val="left" w:pos="0"/>
        </w:tabs>
        <w:spacing w:after="0" w:line="360" w:lineRule="auto"/>
        <w:ind w:left="1440" w:hanging="720"/>
        <w:jc w:val="both"/>
        <w:rPr>
          <w:rFonts w:ascii="Arial" w:hAnsi="Arial" w:cs="Arial"/>
          <w:color w:val="000000" w:themeColor="text1"/>
          <w:sz w:val="24"/>
          <w:szCs w:val="24"/>
        </w:rPr>
      </w:pPr>
      <w:r w:rsidRPr="00463483">
        <w:rPr>
          <w:rFonts w:ascii="Arial" w:hAnsi="Arial" w:cs="Arial"/>
          <w:color w:val="000000" w:themeColor="text1"/>
          <w:sz w:val="24"/>
          <w:szCs w:val="24"/>
        </w:rPr>
        <w:t>8.2</w:t>
      </w:r>
      <w:r w:rsidRPr="00463483">
        <w:rPr>
          <w:rFonts w:ascii="Arial" w:hAnsi="Arial" w:cs="Arial"/>
          <w:color w:val="000000" w:themeColor="text1"/>
          <w:sz w:val="24"/>
          <w:szCs w:val="24"/>
        </w:rPr>
        <w:tab/>
        <w:t>Issued summons out of the incorrect for</w:t>
      </w:r>
      <w:r w:rsidR="00C63E83">
        <w:rPr>
          <w:rFonts w:ascii="Arial" w:hAnsi="Arial" w:cs="Arial"/>
          <w:color w:val="000000" w:themeColor="text1"/>
          <w:sz w:val="24"/>
          <w:szCs w:val="24"/>
        </w:rPr>
        <w:t>u</w:t>
      </w:r>
      <w:r w:rsidRPr="00463483">
        <w:rPr>
          <w:rFonts w:ascii="Arial" w:hAnsi="Arial" w:cs="Arial"/>
          <w:color w:val="000000" w:themeColor="text1"/>
          <w:sz w:val="24"/>
          <w:szCs w:val="24"/>
        </w:rPr>
        <w:t xml:space="preserve">m when the quantum of </w:t>
      </w:r>
      <w:r>
        <w:rPr>
          <w:rFonts w:ascii="Arial" w:hAnsi="Arial" w:cs="Arial"/>
          <w:color w:val="000000" w:themeColor="text1"/>
          <w:sz w:val="24"/>
          <w:szCs w:val="24"/>
        </w:rPr>
        <w:t>t</w:t>
      </w:r>
      <w:r w:rsidRPr="00463483">
        <w:rPr>
          <w:rFonts w:ascii="Arial" w:hAnsi="Arial" w:cs="Arial"/>
          <w:color w:val="000000" w:themeColor="text1"/>
          <w:sz w:val="24"/>
          <w:szCs w:val="24"/>
        </w:rPr>
        <w:t xml:space="preserve">he </w:t>
      </w:r>
      <w:r>
        <w:rPr>
          <w:rFonts w:ascii="Arial" w:hAnsi="Arial" w:cs="Arial"/>
          <w:color w:val="000000" w:themeColor="text1"/>
          <w:sz w:val="24"/>
          <w:szCs w:val="24"/>
        </w:rPr>
        <w:t xml:space="preserve">   </w:t>
      </w:r>
      <w:r w:rsidRPr="00463483">
        <w:rPr>
          <w:rFonts w:ascii="Arial" w:hAnsi="Arial" w:cs="Arial"/>
          <w:color w:val="000000" w:themeColor="text1"/>
          <w:sz w:val="24"/>
          <w:szCs w:val="24"/>
        </w:rPr>
        <w:t>matter was above the jurisdiction of such court;</w:t>
      </w:r>
    </w:p>
    <w:p w14:paraId="441AC56A" w14:textId="159C28FC" w:rsidR="00463483" w:rsidRDefault="00463483" w:rsidP="00463483">
      <w:pPr>
        <w:pStyle w:val="ListParagraph"/>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8.3</w:t>
      </w:r>
      <w:r>
        <w:rPr>
          <w:rFonts w:ascii="Arial" w:hAnsi="Arial" w:cs="Arial"/>
          <w:color w:val="000000" w:themeColor="text1"/>
          <w:sz w:val="24"/>
          <w:szCs w:val="24"/>
        </w:rPr>
        <w:tab/>
        <w:t>Despite the Plaintiff having sustained severe orthopaedic injuries, she was not referred to an orthopaedic surgeon timeously for the purposes of a medico-legal report;</w:t>
      </w:r>
    </w:p>
    <w:p w14:paraId="22DD1AC0" w14:textId="6BC3B3B5" w:rsidR="00463483" w:rsidRDefault="00463483" w:rsidP="00463483">
      <w:pPr>
        <w:pStyle w:val="ListParagraph"/>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8.4</w:t>
      </w:r>
      <w:r>
        <w:rPr>
          <w:rFonts w:ascii="Arial" w:hAnsi="Arial" w:cs="Arial"/>
          <w:color w:val="000000" w:themeColor="text1"/>
          <w:sz w:val="24"/>
          <w:szCs w:val="24"/>
        </w:rPr>
        <w:tab/>
        <w:t xml:space="preserve">Failed to timeously assess the quantum of the matter before it became prescribed. </w:t>
      </w:r>
    </w:p>
    <w:p w14:paraId="4DD211D3" w14:textId="5A5BE5C6" w:rsidR="00463483" w:rsidRDefault="00463483" w:rsidP="00463483">
      <w:pPr>
        <w:pStyle w:val="ListParagraph"/>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8.5</w:t>
      </w:r>
      <w:r>
        <w:rPr>
          <w:rFonts w:ascii="Arial" w:hAnsi="Arial" w:cs="Arial"/>
          <w:color w:val="000000" w:themeColor="text1"/>
          <w:sz w:val="24"/>
          <w:szCs w:val="24"/>
        </w:rPr>
        <w:tab/>
        <w:t xml:space="preserve">Allowed the matter to become prescribed. </w:t>
      </w:r>
    </w:p>
    <w:p w14:paraId="128ACFB9" w14:textId="26B74EEA" w:rsidR="00463483" w:rsidRDefault="00463483" w:rsidP="00463483">
      <w:pPr>
        <w:pStyle w:val="ListParagraph"/>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8.6</w:t>
      </w:r>
      <w:r>
        <w:rPr>
          <w:rFonts w:ascii="Arial" w:hAnsi="Arial" w:cs="Arial"/>
          <w:color w:val="000000" w:themeColor="text1"/>
          <w:sz w:val="24"/>
          <w:szCs w:val="24"/>
        </w:rPr>
        <w:tab/>
      </w:r>
      <w:r w:rsidR="00FC7B3E">
        <w:rPr>
          <w:rFonts w:ascii="Arial" w:hAnsi="Arial" w:cs="Arial"/>
          <w:color w:val="000000" w:themeColor="text1"/>
          <w:sz w:val="24"/>
          <w:szCs w:val="24"/>
        </w:rPr>
        <w:t>Disentitled the Plaintiff to fully and properly prosecute her claim for recovery of the quantum of damages occasioned by her injuries, against the Road Accident Fund; and</w:t>
      </w:r>
    </w:p>
    <w:p w14:paraId="7F97E8DB" w14:textId="08823168" w:rsidR="00FC7B3E" w:rsidRDefault="00FC7B3E" w:rsidP="00FC7B3E">
      <w:pPr>
        <w:pStyle w:val="ListParagraph"/>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8.7</w:t>
      </w:r>
      <w:r>
        <w:rPr>
          <w:rFonts w:ascii="Arial" w:hAnsi="Arial" w:cs="Arial"/>
          <w:color w:val="000000" w:themeColor="text1"/>
          <w:sz w:val="24"/>
          <w:szCs w:val="24"/>
        </w:rPr>
        <w:tab/>
        <w:t>Advised the Plaintiff that she had no option but to accept the jurisdiction of the Bloemfontein Regional Court and thereby limited her compensation claimable to R 400 000.00.</w:t>
      </w:r>
    </w:p>
    <w:p w14:paraId="05AE1E6E" w14:textId="77777777" w:rsidR="00C63E83" w:rsidRPr="00FC7B3E" w:rsidRDefault="00C63E83" w:rsidP="00FC7B3E">
      <w:pPr>
        <w:pStyle w:val="ListParagraph"/>
        <w:tabs>
          <w:tab w:val="left" w:pos="0"/>
        </w:tabs>
        <w:spacing w:after="0" w:line="360" w:lineRule="auto"/>
        <w:ind w:left="1440" w:hanging="720"/>
        <w:jc w:val="both"/>
        <w:rPr>
          <w:rFonts w:ascii="Arial" w:hAnsi="Arial" w:cs="Arial"/>
          <w:color w:val="000000" w:themeColor="text1"/>
          <w:sz w:val="24"/>
          <w:szCs w:val="24"/>
        </w:rPr>
      </w:pPr>
    </w:p>
    <w:p w14:paraId="1830194F" w14:textId="5D12126E" w:rsidR="00FC7B3E" w:rsidRDefault="00C63E83" w:rsidP="005548F4">
      <w:pPr>
        <w:tabs>
          <w:tab w:val="left" w:pos="0"/>
        </w:tabs>
        <w:spacing w:after="0"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It is further alleged</w:t>
      </w:r>
      <w:r w:rsidR="00FC7B3E">
        <w:rPr>
          <w:rFonts w:ascii="Arial" w:hAnsi="Arial" w:cs="Arial"/>
          <w:color w:val="000000" w:themeColor="text1"/>
          <w:sz w:val="24"/>
          <w:szCs w:val="24"/>
        </w:rPr>
        <w:t xml:space="preserve"> in the Particulars of Claim</w:t>
      </w:r>
      <w:r>
        <w:rPr>
          <w:rFonts w:ascii="Arial" w:hAnsi="Arial" w:cs="Arial"/>
          <w:color w:val="000000" w:themeColor="text1"/>
          <w:sz w:val="24"/>
          <w:szCs w:val="24"/>
        </w:rPr>
        <w:t xml:space="preserve"> that</w:t>
      </w:r>
      <w:r w:rsidR="00FC7B3E">
        <w:rPr>
          <w:rFonts w:ascii="Arial" w:hAnsi="Arial" w:cs="Arial"/>
          <w:color w:val="000000" w:themeColor="text1"/>
          <w:sz w:val="24"/>
          <w:szCs w:val="24"/>
        </w:rPr>
        <w:t xml:space="preserve"> the Plaintiff suffered damages in the amount of R 3 094 726.97 because of the First, alternatively the Second, alternatively the joint negligence of t</w:t>
      </w:r>
      <w:r w:rsidR="005548F4">
        <w:rPr>
          <w:rFonts w:ascii="Arial" w:hAnsi="Arial" w:cs="Arial"/>
          <w:color w:val="000000" w:themeColor="text1"/>
          <w:sz w:val="24"/>
          <w:szCs w:val="24"/>
        </w:rPr>
        <w:t>he First and Second Defendants.</w:t>
      </w:r>
    </w:p>
    <w:p w14:paraId="7ACC43B1" w14:textId="77777777" w:rsidR="005548F4" w:rsidRDefault="005548F4" w:rsidP="005548F4">
      <w:pPr>
        <w:tabs>
          <w:tab w:val="left" w:pos="0"/>
        </w:tabs>
        <w:spacing w:after="0" w:line="360" w:lineRule="auto"/>
        <w:ind w:left="720"/>
        <w:jc w:val="both"/>
        <w:rPr>
          <w:rFonts w:ascii="Arial" w:hAnsi="Arial" w:cs="Arial"/>
          <w:color w:val="000000" w:themeColor="text1"/>
          <w:sz w:val="24"/>
          <w:szCs w:val="24"/>
        </w:rPr>
      </w:pPr>
    </w:p>
    <w:p w14:paraId="117E50BF" w14:textId="35C34F66" w:rsidR="00FC7B3E" w:rsidRDefault="00FC7B3E" w:rsidP="00FC7B3E">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[9]</w:t>
      </w:r>
      <w:r>
        <w:rPr>
          <w:rFonts w:ascii="Arial" w:hAnsi="Arial" w:cs="Arial"/>
          <w:color w:val="000000" w:themeColor="text1"/>
          <w:sz w:val="24"/>
          <w:szCs w:val="24"/>
        </w:rPr>
        <w:tab/>
        <w:t>In his abovementioned Amended Plea, the Second Defendant admitted that he was negligent in that he –</w:t>
      </w:r>
    </w:p>
    <w:p w14:paraId="20C9C855" w14:textId="77777777" w:rsidR="00C63E83" w:rsidRDefault="00C63E83" w:rsidP="00FC7B3E">
      <w:pPr>
        <w:tabs>
          <w:tab w:val="left" w:pos="0"/>
        </w:tabs>
        <w:spacing w:after="0" w:line="360" w:lineRule="auto"/>
        <w:ind w:left="720" w:hanging="720"/>
        <w:jc w:val="both"/>
        <w:rPr>
          <w:rFonts w:ascii="Arial" w:hAnsi="Arial" w:cs="Arial"/>
          <w:color w:val="000000" w:themeColor="text1"/>
          <w:sz w:val="24"/>
          <w:szCs w:val="24"/>
        </w:rPr>
      </w:pPr>
    </w:p>
    <w:p w14:paraId="12FC3A3F" w14:textId="55BC1F18" w:rsidR="00FC7B3E" w:rsidRDefault="00FC7B3E" w:rsidP="00FC7B3E">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9.1</w:t>
      </w:r>
      <w:r>
        <w:rPr>
          <w:rFonts w:ascii="Arial" w:hAnsi="Arial" w:cs="Arial"/>
          <w:color w:val="000000" w:themeColor="text1"/>
          <w:sz w:val="24"/>
          <w:szCs w:val="24"/>
        </w:rPr>
        <w:tab/>
        <w:t xml:space="preserve">Failed to properly assess the value of the Plaintiff’s claim against the Road Accident Fund before instituting action in the prosecution of the Plaintiff’s claim against the Road Accident Fund in the Regional Court. </w:t>
      </w:r>
    </w:p>
    <w:p w14:paraId="2D01BE67" w14:textId="706DCC51" w:rsidR="00FC7B3E" w:rsidRDefault="00FC7B3E" w:rsidP="00FC7B3E">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9.2</w:t>
      </w:r>
      <w:r>
        <w:rPr>
          <w:rFonts w:ascii="Arial" w:hAnsi="Arial" w:cs="Arial"/>
          <w:color w:val="000000" w:themeColor="text1"/>
          <w:sz w:val="24"/>
          <w:szCs w:val="24"/>
        </w:rPr>
        <w:tab/>
        <w:t>Failed to timeously either transfer the Plaintiff’</w:t>
      </w:r>
      <w:r w:rsidR="00363879">
        <w:rPr>
          <w:rFonts w:ascii="Arial" w:hAnsi="Arial" w:cs="Arial"/>
          <w:color w:val="000000" w:themeColor="text1"/>
          <w:sz w:val="24"/>
          <w:szCs w:val="24"/>
        </w:rPr>
        <w:t xml:space="preserve">s action </w:t>
      </w:r>
      <w:r>
        <w:rPr>
          <w:rFonts w:ascii="Arial" w:hAnsi="Arial" w:cs="Arial"/>
          <w:color w:val="000000" w:themeColor="text1"/>
          <w:sz w:val="24"/>
          <w:szCs w:val="24"/>
        </w:rPr>
        <w:t>to the High Cour</w:t>
      </w:r>
      <w:r w:rsidR="00363879">
        <w:rPr>
          <w:rFonts w:ascii="Arial" w:hAnsi="Arial" w:cs="Arial"/>
          <w:color w:val="000000" w:themeColor="text1"/>
          <w:sz w:val="24"/>
          <w:szCs w:val="24"/>
        </w:rPr>
        <w:t>t</w:t>
      </w:r>
      <w:r>
        <w:rPr>
          <w:rFonts w:ascii="Arial" w:hAnsi="Arial" w:cs="Arial"/>
          <w:color w:val="000000" w:themeColor="text1"/>
          <w:sz w:val="24"/>
          <w:szCs w:val="24"/>
        </w:rPr>
        <w:t>, or reinstitute action in the pro</w:t>
      </w:r>
      <w:r w:rsidR="00363879">
        <w:rPr>
          <w:rFonts w:ascii="Arial" w:hAnsi="Arial" w:cs="Arial"/>
          <w:color w:val="000000" w:themeColor="text1"/>
          <w:sz w:val="24"/>
          <w:szCs w:val="24"/>
        </w:rPr>
        <w:t>secution of the Plaintiff’s claim against the Road Accident Fund in the High Court, and</w:t>
      </w:r>
    </w:p>
    <w:p w14:paraId="0579BC77" w14:textId="3EF74474" w:rsidR="00363879" w:rsidRDefault="00363879" w:rsidP="005548F4">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9.3</w:t>
      </w:r>
      <w:r>
        <w:rPr>
          <w:rFonts w:ascii="Arial" w:hAnsi="Arial" w:cs="Arial"/>
          <w:color w:val="000000" w:themeColor="text1"/>
          <w:sz w:val="24"/>
          <w:szCs w:val="24"/>
        </w:rPr>
        <w:tab/>
        <w:t xml:space="preserve">Caused the Plaintiff’s claim against the Road Accident Fund to be limited to the </w:t>
      </w:r>
      <w:r w:rsidR="005548F4">
        <w:rPr>
          <w:rFonts w:ascii="Arial" w:hAnsi="Arial" w:cs="Arial"/>
          <w:color w:val="000000" w:themeColor="text1"/>
          <w:sz w:val="24"/>
          <w:szCs w:val="24"/>
        </w:rPr>
        <w:t>monetary value of R 400 000.00.</w:t>
      </w:r>
    </w:p>
    <w:p w14:paraId="2F09F6B9" w14:textId="77777777" w:rsidR="005548F4" w:rsidRDefault="005548F4" w:rsidP="005548F4">
      <w:pPr>
        <w:tabs>
          <w:tab w:val="left" w:pos="0"/>
        </w:tabs>
        <w:spacing w:after="0" w:line="360" w:lineRule="auto"/>
        <w:ind w:left="1440" w:hanging="720"/>
        <w:jc w:val="both"/>
        <w:rPr>
          <w:rFonts w:ascii="Arial" w:hAnsi="Arial" w:cs="Arial"/>
          <w:color w:val="000000" w:themeColor="text1"/>
          <w:sz w:val="24"/>
          <w:szCs w:val="24"/>
        </w:rPr>
      </w:pPr>
    </w:p>
    <w:p w14:paraId="4A607E8A" w14:textId="424F7BD3" w:rsidR="00363879" w:rsidRDefault="00363879"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t>When the remaining issue of prescription came before this court, the First and Second Defendants called only one witness to testify, namely the Second Defendant himself. This was done in view if the legal principle that the party alleging that a claim has become prescribed, bears the onus of proving that the Plaintiff’s claim has prescribed by the given date. No other witness was called to test</w:t>
      </w:r>
      <w:r w:rsidR="005548F4">
        <w:rPr>
          <w:rFonts w:ascii="Arial" w:hAnsi="Arial" w:cs="Arial"/>
          <w:color w:val="000000" w:themeColor="text1"/>
          <w:sz w:val="24"/>
          <w:szCs w:val="24"/>
        </w:rPr>
        <w:t xml:space="preserve">ify, by either of the parties. </w:t>
      </w:r>
    </w:p>
    <w:p w14:paraId="7E4E1834"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58311E11" w14:textId="19ECAB88" w:rsidR="00E85846" w:rsidRDefault="00363879"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t>In his testimony the Second Defendant explained the relevance of the dates of 10 June 2015 and 9 July 2015, being the dates relied upon by the Defendants in their Special Plea. He testified that on 10 June 2015 he merely notified the Plaintiff by e-mail of th</w:t>
      </w:r>
      <w:r w:rsidR="00C63E83">
        <w:rPr>
          <w:rFonts w:ascii="Arial" w:hAnsi="Arial" w:cs="Arial"/>
          <w:color w:val="000000" w:themeColor="text1"/>
          <w:sz w:val="24"/>
          <w:szCs w:val="24"/>
        </w:rPr>
        <w:t>e calculations of the actuary, a</w:t>
      </w:r>
      <w:r>
        <w:rPr>
          <w:rFonts w:ascii="Arial" w:hAnsi="Arial" w:cs="Arial"/>
          <w:color w:val="000000" w:themeColor="text1"/>
          <w:sz w:val="24"/>
          <w:szCs w:val="24"/>
        </w:rPr>
        <w:t>nd that the limit of the monetary jurisdiction in the Regional Court was only R 400 000.00. On 9 July 2015 he infor</w:t>
      </w:r>
      <w:r w:rsidR="00C63E83">
        <w:rPr>
          <w:rFonts w:ascii="Arial" w:hAnsi="Arial" w:cs="Arial"/>
          <w:color w:val="000000" w:themeColor="text1"/>
          <w:sz w:val="24"/>
          <w:szCs w:val="24"/>
        </w:rPr>
        <w:t xml:space="preserve">med her, again by e-mail, that </w:t>
      </w:r>
      <w:r>
        <w:rPr>
          <w:rFonts w:ascii="Arial" w:hAnsi="Arial" w:cs="Arial"/>
          <w:color w:val="000000" w:themeColor="text1"/>
          <w:sz w:val="24"/>
          <w:szCs w:val="24"/>
        </w:rPr>
        <w:t>he had discussed the issue of the transfer of her claim to the High Court with two advocates</w:t>
      </w:r>
      <w:r w:rsidR="008F279B">
        <w:rPr>
          <w:rFonts w:ascii="Arial" w:hAnsi="Arial" w:cs="Arial"/>
          <w:color w:val="000000" w:themeColor="text1"/>
          <w:sz w:val="24"/>
          <w:szCs w:val="24"/>
        </w:rPr>
        <w:t xml:space="preserve">, and it now appears that it cannot be done. He advised her that they would therefore have to stand by the claim of R 400 000.00 in the Regional Court. The Plaintiff was upset about this, he testified. </w:t>
      </w:r>
    </w:p>
    <w:p w14:paraId="4796206A"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581ACD90" w14:textId="29CA8985" w:rsidR="00FB29F6" w:rsidRDefault="00E85846" w:rsidP="00FB29F6">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t>The Second Defendant further testified the following, which is r</w:t>
      </w:r>
      <w:r w:rsidR="00FB29F6">
        <w:rPr>
          <w:rFonts w:ascii="Arial" w:hAnsi="Arial" w:cs="Arial"/>
          <w:color w:val="000000" w:themeColor="text1"/>
          <w:sz w:val="24"/>
          <w:szCs w:val="24"/>
        </w:rPr>
        <w:t>elevant to the present enquiry:</w:t>
      </w:r>
    </w:p>
    <w:p w14:paraId="351BDAEF" w14:textId="002620BE" w:rsidR="00FB29F6" w:rsidRDefault="00FB29F6" w:rsidP="00FB29F6">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12.1</w:t>
      </w:r>
      <w:r>
        <w:rPr>
          <w:rFonts w:ascii="Arial" w:hAnsi="Arial" w:cs="Arial"/>
          <w:color w:val="000000" w:themeColor="text1"/>
          <w:sz w:val="24"/>
          <w:szCs w:val="24"/>
        </w:rPr>
        <w:tab/>
      </w:r>
      <w:r w:rsidR="00E85846">
        <w:rPr>
          <w:rFonts w:ascii="Arial" w:hAnsi="Arial" w:cs="Arial"/>
          <w:color w:val="000000" w:themeColor="text1"/>
          <w:sz w:val="24"/>
          <w:szCs w:val="24"/>
        </w:rPr>
        <w:t>He conceded that the date of 10 June 2015 can be disregarde</w:t>
      </w:r>
      <w:r>
        <w:rPr>
          <w:rFonts w:ascii="Arial" w:hAnsi="Arial" w:cs="Arial"/>
          <w:color w:val="000000" w:themeColor="text1"/>
          <w:sz w:val="24"/>
          <w:szCs w:val="24"/>
        </w:rPr>
        <w:t xml:space="preserve">d because                                                                                                       the Plaintiff </w:t>
      </w:r>
      <w:r w:rsidR="00E85846">
        <w:rPr>
          <w:rFonts w:ascii="Arial" w:hAnsi="Arial" w:cs="Arial"/>
          <w:color w:val="000000" w:themeColor="text1"/>
          <w:sz w:val="24"/>
          <w:szCs w:val="24"/>
        </w:rPr>
        <w:t>was then still under the</w:t>
      </w:r>
      <w:r>
        <w:rPr>
          <w:rFonts w:ascii="Arial" w:hAnsi="Arial" w:cs="Arial"/>
          <w:color w:val="000000" w:themeColor="text1"/>
          <w:sz w:val="24"/>
          <w:szCs w:val="24"/>
        </w:rPr>
        <w:t xml:space="preserve"> impression that the case was go</w:t>
      </w:r>
      <w:r w:rsidR="00E85846">
        <w:rPr>
          <w:rFonts w:ascii="Arial" w:hAnsi="Arial" w:cs="Arial"/>
          <w:color w:val="000000" w:themeColor="text1"/>
          <w:sz w:val="24"/>
          <w:szCs w:val="24"/>
        </w:rPr>
        <w:t xml:space="preserve">ing to </w:t>
      </w:r>
      <w:r>
        <w:rPr>
          <w:rFonts w:ascii="Arial" w:hAnsi="Arial" w:cs="Arial"/>
          <w:color w:val="000000" w:themeColor="text1"/>
          <w:sz w:val="24"/>
          <w:szCs w:val="24"/>
        </w:rPr>
        <w:t>be transfe</w:t>
      </w:r>
      <w:r w:rsidR="00C63E83">
        <w:rPr>
          <w:rFonts w:ascii="Arial" w:hAnsi="Arial" w:cs="Arial"/>
          <w:color w:val="000000" w:themeColor="text1"/>
          <w:sz w:val="24"/>
          <w:szCs w:val="24"/>
        </w:rPr>
        <w:t>r</w:t>
      </w:r>
      <w:r>
        <w:rPr>
          <w:rFonts w:ascii="Arial" w:hAnsi="Arial" w:cs="Arial"/>
          <w:color w:val="000000" w:themeColor="text1"/>
          <w:sz w:val="24"/>
          <w:szCs w:val="24"/>
        </w:rPr>
        <w:t>r</w:t>
      </w:r>
      <w:r w:rsidR="00C63E83">
        <w:rPr>
          <w:rFonts w:ascii="Arial" w:hAnsi="Arial" w:cs="Arial"/>
          <w:color w:val="000000" w:themeColor="text1"/>
          <w:sz w:val="24"/>
          <w:szCs w:val="24"/>
        </w:rPr>
        <w:t>ed</w:t>
      </w:r>
      <w:r>
        <w:rPr>
          <w:rFonts w:ascii="Arial" w:hAnsi="Arial" w:cs="Arial"/>
          <w:color w:val="000000" w:themeColor="text1"/>
          <w:sz w:val="24"/>
          <w:szCs w:val="24"/>
        </w:rPr>
        <w:t xml:space="preserve"> to the High Court. </w:t>
      </w:r>
    </w:p>
    <w:p w14:paraId="621C8CA1" w14:textId="4A11A476" w:rsidR="00FB29F6" w:rsidRDefault="00FB29F6" w:rsidP="00FB29F6">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12.2</w:t>
      </w:r>
      <w:r>
        <w:rPr>
          <w:rFonts w:ascii="Arial" w:hAnsi="Arial" w:cs="Arial"/>
          <w:color w:val="000000" w:themeColor="text1"/>
          <w:sz w:val="24"/>
          <w:szCs w:val="24"/>
        </w:rPr>
        <w:tab/>
      </w:r>
      <w:r w:rsidR="00C63E83">
        <w:rPr>
          <w:rFonts w:ascii="Arial" w:hAnsi="Arial" w:cs="Arial"/>
          <w:color w:val="000000" w:themeColor="text1"/>
          <w:sz w:val="24"/>
          <w:szCs w:val="24"/>
        </w:rPr>
        <w:t>T</w:t>
      </w:r>
      <w:r w:rsidR="00E85846">
        <w:rPr>
          <w:rFonts w:ascii="Arial" w:hAnsi="Arial" w:cs="Arial"/>
          <w:color w:val="000000" w:themeColor="text1"/>
          <w:sz w:val="24"/>
          <w:szCs w:val="24"/>
        </w:rPr>
        <w:t xml:space="preserve">he Plaintiff is a lay person as far as the law is concerned. </w:t>
      </w:r>
    </w:p>
    <w:p w14:paraId="2F171577" w14:textId="1F63812E" w:rsidR="00E85846" w:rsidRDefault="00FB29F6" w:rsidP="00FB29F6">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12.3</w:t>
      </w:r>
      <w:r>
        <w:rPr>
          <w:rFonts w:ascii="Arial" w:hAnsi="Arial" w:cs="Arial"/>
          <w:color w:val="000000" w:themeColor="text1"/>
          <w:sz w:val="24"/>
          <w:szCs w:val="24"/>
        </w:rPr>
        <w:tab/>
      </w:r>
      <w:r w:rsidR="00E85846">
        <w:rPr>
          <w:rFonts w:ascii="Arial" w:hAnsi="Arial" w:cs="Arial"/>
          <w:color w:val="000000" w:themeColor="text1"/>
          <w:sz w:val="24"/>
          <w:szCs w:val="24"/>
        </w:rPr>
        <w:t>When he received the calculati</w:t>
      </w:r>
      <w:r>
        <w:rPr>
          <w:rFonts w:ascii="Arial" w:hAnsi="Arial" w:cs="Arial"/>
          <w:color w:val="000000" w:themeColor="text1"/>
          <w:sz w:val="24"/>
          <w:szCs w:val="24"/>
        </w:rPr>
        <w:t>o</w:t>
      </w:r>
      <w:r w:rsidR="00E85846">
        <w:rPr>
          <w:rFonts w:ascii="Arial" w:hAnsi="Arial" w:cs="Arial"/>
          <w:color w:val="000000" w:themeColor="text1"/>
          <w:sz w:val="24"/>
          <w:szCs w:val="24"/>
        </w:rPr>
        <w:t>n</w:t>
      </w:r>
      <w:r>
        <w:rPr>
          <w:rFonts w:ascii="Arial" w:hAnsi="Arial" w:cs="Arial"/>
          <w:color w:val="000000" w:themeColor="text1"/>
          <w:sz w:val="24"/>
          <w:szCs w:val="24"/>
        </w:rPr>
        <w:t>s</w:t>
      </w:r>
      <w:r w:rsidR="00E85846">
        <w:rPr>
          <w:rFonts w:ascii="Arial" w:hAnsi="Arial" w:cs="Arial"/>
          <w:color w:val="000000" w:themeColor="text1"/>
          <w:sz w:val="24"/>
          <w:szCs w:val="24"/>
        </w:rPr>
        <w:t xml:space="preserve"> from the actuary in July 2015, he realised </w:t>
      </w:r>
      <w:r w:rsidR="00C63E83">
        <w:rPr>
          <w:rFonts w:ascii="Arial" w:hAnsi="Arial" w:cs="Arial"/>
          <w:color w:val="000000" w:themeColor="text1"/>
          <w:sz w:val="24"/>
          <w:szCs w:val="24"/>
        </w:rPr>
        <w:t xml:space="preserve">that </w:t>
      </w:r>
      <w:r w:rsidR="00E85846">
        <w:rPr>
          <w:rFonts w:ascii="Arial" w:hAnsi="Arial" w:cs="Arial"/>
          <w:color w:val="000000" w:themeColor="text1"/>
          <w:sz w:val="24"/>
          <w:szCs w:val="24"/>
        </w:rPr>
        <w:t xml:space="preserve">the action </w:t>
      </w:r>
      <w:r>
        <w:rPr>
          <w:rFonts w:ascii="Arial" w:hAnsi="Arial" w:cs="Arial"/>
          <w:color w:val="000000" w:themeColor="text1"/>
          <w:sz w:val="24"/>
          <w:szCs w:val="24"/>
        </w:rPr>
        <w:t>institute</w:t>
      </w:r>
      <w:r w:rsidR="00C63E83">
        <w:rPr>
          <w:rFonts w:ascii="Arial" w:hAnsi="Arial" w:cs="Arial"/>
          <w:color w:val="000000" w:themeColor="text1"/>
          <w:sz w:val="24"/>
          <w:szCs w:val="24"/>
        </w:rPr>
        <w:t>d</w:t>
      </w:r>
      <w:r>
        <w:rPr>
          <w:rFonts w:ascii="Arial" w:hAnsi="Arial" w:cs="Arial"/>
          <w:color w:val="000000" w:themeColor="text1"/>
          <w:sz w:val="24"/>
          <w:szCs w:val="24"/>
        </w:rPr>
        <w:t xml:space="preserve"> in the Regional Court was due to his own negligence. </w:t>
      </w:r>
    </w:p>
    <w:p w14:paraId="1C03FFD5" w14:textId="75312E76" w:rsidR="008A4E1D" w:rsidRDefault="008A4E1D" w:rsidP="00FB29F6">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12.4</w:t>
      </w:r>
      <w:r>
        <w:rPr>
          <w:rFonts w:ascii="Arial" w:hAnsi="Arial" w:cs="Arial"/>
          <w:color w:val="000000" w:themeColor="text1"/>
          <w:sz w:val="24"/>
          <w:szCs w:val="24"/>
        </w:rPr>
        <w:tab/>
        <w:t xml:space="preserve">He therefore knew in July 2015 that he would be liable should the Plaintiff claim from him. </w:t>
      </w:r>
    </w:p>
    <w:p w14:paraId="7AD054A8" w14:textId="3E1601C7" w:rsidR="008A4E1D" w:rsidRDefault="008A4E1D" w:rsidP="00FB29F6">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12.5</w:t>
      </w:r>
      <w:r>
        <w:rPr>
          <w:rFonts w:ascii="Arial" w:hAnsi="Arial" w:cs="Arial"/>
          <w:color w:val="000000" w:themeColor="text1"/>
          <w:sz w:val="24"/>
          <w:szCs w:val="24"/>
        </w:rPr>
        <w:tab/>
        <w:t xml:space="preserve">In the e-mail of 9 July 2015 </w:t>
      </w:r>
      <w:r w:rsidR="003E7369">
        <w:rPr>
          <w:rFonts w:ascii="Arial" w:hAnsi="Arial" w:cs="Arial"/>
          <w:color w:val="000000" w:themeColor="text1"/>
          <w:sz w:val="24"/>
          <w:szCs w:val="24"/>
        </w:rPr>
        <w:t xml:space="preserve">he did not inform the Plaintiff that the limited claim was the result of his negligence, because he did </w:t>
      </w:r>
      <w:r w:rsidR="00143993">
        <w:rPr>
          <w:rFonts w:ascii="Arial" w:hAnsi="Arial" w:cs="Arial"/>
          <w:color w:val="000000" w:themeColor="text1"/>
          <w:sz w:val="24"/>
          <w:szCs w:val="24"/>
        </w:rPr>
        <w:t>not regard it as his duty to i</w:t>
      </w:r>
      <w:r w:rsidR="003E7369">
        <w:rPr>
          <w:rFonts w:ascii="Arial" w:hAnsi="Arial" w:cs="Arial"/>
          <w:color w:val="000000" w:themeColor="text1"/>
          <w:sz w:val="24"/>
          <w:szCs w:val="24"/>
        </w:rPr>
        <w:t xml:space="preserve">nform her accordingly. He was not aware of such a duty. </w:t>
      </w:r>
    </w:p>
    <w:p w14:paraId="6D4F0023" w14:textId="7091563F" w:rsidR="00143993" w:rsidRDefault="00143993" w:rsidP="00FB29F6">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12.6</w:t>
      </w:r>
      <w:r>
        <w:rPr>
          <w:rFonts w:ascii="Arial" w:hAnsi="Arial" w:cs="Arial"/>
          <w:color w:val="000000" w:themeColor="text1"/>
          <w:sz w:val="24"/>
          <w:szCs w:val="24"/>
        </w:rPr>
        <w:tab/>
        <w:t xml:space="preserve">He also did not regard it as his duty to refer the Plaintiff to another attorney in the circumstances. </w:t>
      </w:r>
    </w:p>
    <w:p w14:paraId="12A6A427" w14:textId="24884293" w:rsidR="00143993" w:rsidRDefault="00143993" w:rsidP="00FB29F6">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12.7</w:t>
      </w:r>
      <w:r>
        <w:rPr>
          <w:rFonts w:ascii="Arial" w:hAnsi="Arial" w:cs="Arial"/>
          <w:color w:val="000000" w:themeColor="text1"/>
          <w:sz w:val="24"/>
          <w:szCs w:val="24"/>
        </w:rPr>
        <w:tab/>
        <w:t>On 9 July 2015 the Plaintiff was therefore unaware that she could claim from him, but she was aware that she had a bigger claim than the R 400 000.00.</w:t>
      </w:r>
    </w:p>
    <w:p w14:paraId="1A6EB5A1" w14:textId="27B5375E" w:rsidR="00143993" w:rsidRDefault="00143993" w:rsidP="00FB29F6">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12.8</w:t>
      </w:r>
      <w:r>
        <w:rPr>
          <w:rFonts w:ascii="Arial" w:hAnsi="Arial" w:cs="Arial"/>
          <w:color w:val="000000" w:themeColor="text1"/>
          <w:sz w:val="24"/>
          <w:szCs w:val="24"/>
        </w:rPr>
        <w:tab/>
        <w:t>The Plaintiff did not know on the 9 July 2015 that she could also claim form the First Defendant, because he did not inform her as such. He was not aware of a duty to inform her accordingly.</w:t>
      </w:r>
    </w:p>
    <w:p w14:paraId="6E19E9DC" w14:textId="35AF834F" w:rsidR="00143993" w:rsidRDefault="00143993" w:rsidP="00FB29F6">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12.9</w:t>
      </w:r>
      <w:r>
        <w:rPr>
          <w:rFonts w:ascii="Arial" w:hAnsi="Arial" w:cs="Arial"/>
          <w:color w:val="000000" w:themeColor="text1"/>
          <w:sz w:val="24"/>
          <w:szCs w:val="24"/>
        </w:rPr>
        <w:tab/>
        <w:t xml:space="preserve">He created the impression with the Plaintiff that </w:t>
      </w:r>
      <w:r w:rsidR="00C63E83">
        <w:rPr>
          <w:rFonts w:ascii="Arial" w:hAnsi="Arial" w:cs="Arial"/>
          <w:color w:val="000000" w:themeColor="text1"/>
          <w:sz w:val="24"/>
          <w:szCs w:val="24"/>
        </w:rPr>
        <w:t xml:space="preserve">the </w:t>
      </w:r>
      <w:r>
        <w:rPr>
          <w:rFonts w:ascii="Arial" w:hAnsi="Arial" w:cs="Arial"/>
          <w:color w:val="000000" w:themeColor="text1"/>
          <w:sz w:val="24"/>
          <w:szCs w:val="24"/>
        </w:rPr>
        <w:t xml:space="preserve">limited claim was the result of circumstances beyond his control, and he failed to inform her of his omission relating to the obtaining of reports. </w:t>
      </w:r>
    </w:p>
    <w:p w14:paraId="653615F5" w14:textId="791875B2" w:rsidR="00143993" w:rsidRDefault="00143993" w:rsidP="005548F4">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12.10</w:t>
      </w:r>
      <w:r>
        <w:rPr>
          <w:rFonts w:ascii="Arial" w:hAnsi="Arial" w:cs="Arial"/>
          <w:color w:val="000000" w:themeColor="text1"/>
          <w:sz w:val="24"/>
          <w:szCs w:val="24"/>
        </w:rPr>
        <w:tab/>
        <w:t xml:space="preserve">As a result of her dissatisfaction with the situation, the Plaintiff consulted with </w:t>
      </w:r>
      <w:r w:rsidR="00C63E83">
        <w:rPr>
          <w:rFonts w:ascii="Arial" w:hAnsi="Arial" w:cs="Arial"/>
          <w:color w:val="000000" w:themeColor="text1"/>
          <w:sz w:val="24"/>
          <w:szCs w:val="24"/>
        </w:rPr>
        <w:t>another attorney on 19 July 2016</w:t>
      </w:r>
      <w:r>
        <w:rPr>
          <w:rFonts w:ascii="Arial" w:hAnsi="Arial" w:cs="Arial"/>
          <w:color w:val="000000" w:themeColor="text1"/>
          <w:sz w:val="24"/>
          <w:szCs w:val="24"/>
        </w:rPr>
        <w:t>,</w:t>
      </w:r>
      <w:r w:rsidR="004F5F63">
        <w:rPr>
          <w:rFonts w:ascii="Arial" w:hAnsi="Arial" w:cs="Arial"/>
          <w:color w:val="000000" w:themeColor="text1"/>
          <w:sz w:val="24"/>
          <w:szCs w:val="24"/>
        </w:rPr>
        <w:t xml:space="preserve"> where after she was advised that</w:t>
      </w:r>
      <w:r>
        <w:rPr>
          <w:rFonts w:ascii="Arial" w:hAnsi="Arial" w:cs="Arial"/>
          <w:color w:val="000000" w:themeColor="text1"/>
          <w:sz w:val="24"/>
          <w:szCs w:val="24"/>
        </w:rPr>
        <w:t xml:space="preserve"> she potentially had a claim against the Defendants. </w:t>
      </w:r>
    </w:p>
    <w:p w14:paraId="6D35AD01" w14:textId="77777777" w:rsidR="005548F4" w:rsidRDefault="005548F4" w:rsidP="005548F4">
      <w:pPr>
        <w:tabs>
          <w:tab w:val="left" w:pos="0"/>
        </w:tabs>
        <w:spacing w:after="0" w:line="360" w:lineRule="auto"/>
        <w:ind w:left="1440" w:hanging="720"/>
        <w:jc w:val="both"/>
        <w:rPr>
          <w:rFonts w:ascii="Arial" w:hAnsi="Arial" w:cs="Arial"/>
          <w:color w:val="000000" w:themeColor="text1"/>
          <w:sz w:val="24"/>
          <w:szCs w:val="24"/>
        </w:rPr>
      </w:pPr>
    </w:p>
    <w:p w14:paraId="0620704D" w14:textId="7A2EA1A8" w:rsidR="000962F1" w:rsidRDefault="00143993"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t xml:space="preserve">This is </w:t>
      </w:r>
      <w:r w:rsidR="000962F1">
        <w:rPr>
          <w:rFonts w:ascii="Arial" w:hAnsi="Arial" w:cs="Arial"/>
          <w:color w:val="000000" w:themeColor="text1"/>
          <w:sz w:val="24"/>
          <w:szCs w:val="24"/>
        </w:rPr>
        <w:t>then</w:t>
      </w:r>
      <w:r>
        <w:rPr>
          <w:rFonts w:ascii="Arial" w:hAnsi="Arial" w:cs="Arial"/>
          <w:color w:val="000000" w:themeColor="text1"/>
          <w:sz w:val="24"/>
          <w:szCs w:val="24"/>
        </w:rPr>
        <w:t xml:space="preserve"> the evidence and the facts of the matter, which must now be weighed up against the legal principles applicable to the issue of prescription. </w:t>
      </w:r>
    </w:p>
    <w:p w14:paraId="69FCB4B9"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6DBE3A2F" w14:textId="3236D06B" w:rsidR="00EB2F5E" w:rsidRDefault="000962F1" w:rsidP="000962F1">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EB2F5E">
        <w:rPr>
          <w:rFonts w:ascii="Arial" w:hAnsi="Arial" w:cs="Arial"/>
          <w:color w:val="000000" w:themeColor="text1"/>
          <w:sz w:val="24"/>
          <w:szCs w:val="24"/>
        </w:rPr>
        <w:t>Probably the decision most quoted when it c</w:t>
      </w:r>
      <w:r w:rsidR="00C63E83">
        <w:rPr>
          <w:rFonts w:ascii="Arial" w:hAnsi="Arial" w:cs="Arial"/>
          <w:color w:val="000000" w:themeColor="text1"/>
          <w:sz w:val="24"/>
          <w:szCs w:val="24"/>
        </w:rPr>
        <w:t>omes to determining when a deb</w:t>
      </w:r>
      <w:r w:rsidR="00EB2F5E">
        <w:rPr>
          <w:rFonts w:ascii="Arial" w:hAnsi="Arial" w:cs="Arial"/>
          <w:color w:val="000000" w:themeColor="text1"/>
          <w:sz w:val="24"/>
          <w:szCs w:val="24"/>
        </w:rPr>
        <w:t>t becomes due in terms of the Prescription Act, is the unanimous decision of the Constitutional Court in Links v Department of Health</w:t>
      </w:r>
      <w:r w:rsidR="00EB2F5E">
        <w:rPr>
          <w:rStyle w:val="FootnoteReference"/>
          <w:rFonts w:ascii="Arial" w:hAnsi="Arial" w:cs="Arial"/>
          <w:color w:val="000000" w:themeColor="text1"/>
          <w:sz w:val="24"/>
          <w:szCs w:val="24"/>
        </w:rPr>
        <w:footnoteReference w:id="2"/>
      </w:r>
      <w:r w:rsidR="00EB2F5E">
        <w:rPr>
          <w:rFonts w:ascii="Arial" w:hAnsi="Arial" w:cs="Arial"/>
          <w:color w:val="000000" w:themeColor="text1"/>
          <w:sz w:val="24"/>
          <w:szCs w:val="24"/>
        </w:rPr>
        <w:t>. In that case</w:t>
      </w:r>
      <w:r w:rsidR="00C63E83">
        <w:rPr>
          <w:rFonts w:ascii="Arial" w:hAnsi="Arial" w:cs="Arial"/>
          <w:color w:val="000000" w:themeColor="text1"/>
          <w:sz w:val="24"/>
          <w:szCs w:val="24"/>
        </w:rPr>
        <w:t>,</w:t>
      </w:r>
      <w:r w:rsidR="00EB2F5E">
        <w:rPr>
          <w:rFonts w:ascii="Arial" w:hAnsi="Arial" w:cs="Arial"/>
          <w:color w:val="000000" w:themeColor="text1"/>
          <w:sz w:val="24"/>
          <w:szCs w:val="24"/>
        </w:rPr>
        <w:t xml:space="preserve"> the Plaintiff’s </w:t>
      </w:r>
      <w:r w:rsidR="00EB2F5E">
        <w:rPr>
          <w:rFonts w:ascii="Arial" w:hAnsi="Arial" w:cs="Arial"/>
          <w:color w:val="000000" w:themeColor="text1"/>
          <w:sz w:val="24"/>
          <w:szCs w:val="24"/>
        </w:rPr>
        <w:lastRenderedPageBreak/>
        <w:t>thumb was amputated in hospital, and he was apparently not aware that the amputa</w:t>
      </w:r>
      <w:r w:rsidR="00C63E83">
        <w:rPr>
          <w:rFonts w:ascii="Arial" w:hAnsi="Arial" w:cs="Arial"/>
          <w:color w:val="000000" w:themeColor="text1"/>
          <w:sz w:val="24"/>
          <w:szCs w:val="24"/>
        </w:rPr>
        <w:t>tion was due to the negligence o</w:t>
      </w:r>
      <w:r w:rsidR="00EB2F5E">
        <w:rPr>
          <w:rFonts w:ascii="Arial" w:hAnsi="Arial" w:cs="Arial"/>
          <w:color w:val="000000" w:themeColor="text1"/>
          <w:sz w:val="24"/>
          <w:szCs w:val="24"/>
        </w:rPr>
        <w:t>f the hospital staff. When he was later advised of the negligence, he instituted action, but prescription of the claim was raised as a defence.</w:t>
      </w:r>
    </w:p>
    <w:p w14:paraId="7BE67854" w14:textId="77777777" w:rsidR="00C63E83" w:rsidRDefault="00C63E83" w:rsidP="000962F1">
      <w:pPr>
        <w:tabs>
          <w:tab w:val="left" w:pos="0"/>
        </w:tabs>
        <w:spacing w:after="0" w:line="360" w:lineRule="auto"/>
        <w:ind w:left="720" w:hanging="720"/>
        <w:jc w:val="both"/>
        <w:rPr>
          <w:rFonts w:ascii="Arial" w:hAnsi="Arial" w:cs="Arial"/>
          <w:color w:val="000000" w:themeColor="text1"/>
          <w:sz w:val="24"/>
          <w:szCs w:val="24"/>
        </w:rPr>
      </w:pPr>
    </w:p>
    <w:p w14:paraId="7ED9554C" w14:textId="50ED9756" w:rsidR="00FF3D1E" w:rsidRDefault="00EB2F5E" w:rsidP="00FF3D1E">
      <w:pPr>
        <w:spacing w:after="0" w:line="360" w:lineRule="auto"/>
        <w:ind w:left="720" w:hanging="720"/>
        <w:rPr>
          <w:rStyle w:val="Citation"/>
          <w:rFonts w:ascii="Arial" w:eastAsia="MS Mincho" w:hAnsi="Arial" w:cs="Arial"/>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C44933">
        <w:rPr>
          <w:rFonts w:ascii="Arial" w:hAnsi="Arial" w:cs="Arial"/>
          <w:color w:val="000000" w:themeColor="text1"/>
          <w:sz w:val="24"/>
          <w:szCs w:val="24"/>
        </w:rPr>
        <w:t>Firstly, the Court referred with approval to the following passage in the case of Truter and another v Deysel</w:t>
      </w:r>
      <w:r w:rsidR="00C44933">
        <w:rPr>
          <w:rStyle w:val="FootnoteReference"/>
          <w:rFonts w:ascii="Arial" w:hAnsi="Arial" w:cs="Arial"/>
          <w:color w:val="000000" w:themeColor="text1"/>
          <w:sz w:val="24"/>
          <w:szCs w:val="24"/>
        </w:rPr>
        <w:footnoteReference w:id="3"/>
      </w:r>
      <w:r w:rsidR="00FF3D1E">
        <w:rPr>
          <w:rFonts w:ascii="Arial" w:hAnsi="Arial" w:cs="Arial"/>
          <w:color w:val="000000" w:themeColor="text1"/>
          <w:sz w:val="24"/>
          <w:szCs w:val="24"/>
        </w:rPr>
        <w:t>.</w:t>
      </w:r>
      <w:r>
        <w:rPr>
          <w:rFonts w:ascii="Arial" w:hAnsi="Arial" w:cs="Arial"/>
          <w:color w:val="000000" w:themeColor="text1"/>
          <w:sz w:val="24"/>
          <w:szCs w:val="24"/>
        </w:rPr>
        <w:t xml:space="preserve"> </w:t>
      </w:r>
      <w:r w:rsidR="00FF3D1E">
        <w:rPr>
          <w:rStyle w:val="Citation"/>
          <w:rFonts w:ascii="Arial" w:eastAsia="MS Mincho" w:hAnsi="Arial" w:cs="Arial"/>
          <w:sz w:val="24"/>
          <w:szCs w:val="24"/>
        </w:rPr>
        <w:t>“D</w:t>
      </w:r>
      <w:r w:rsidR="00FF3D1E" w:rsidRPr="00FF3D1E">
        <w:rPr>
          <w:rStyle w:val="Citation"/>
          <w:rFonts w:ascii="Arial" w:eastAsia="MS Mincho" w:hAnsi="Arial" w:cs="Arial"/>
          <w:sz w:val="24"/>
          <w:szCs w:val="24"/>
        </w:rPr>
        <w:t>ebt due’ means a debt, including a delictual debt, which is owing and payable. A debt is due in this sense 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r w:rsidR="00FF3D1E">
        <w:rPr>
          <w:rStyle w:val="Citation"/>
          <w:rFonts w:ascii="Arial" w:eastAsia="MS Mincho" w:hAnsi="Arial" w:cs="Arial"/>
          <w:sz w:val="24"/>
          <w:szCs w:val="24"/>
        </w:rPr>
        <w:t>” The court also referred to another passage</w:t>
      </w:r>
      <w:r w:rsidR="00FF3D1E">
        <w:rPr>
          <w:rStyle w:val="FootnoteReference"/>
          <w:rFonts w:ascii="Arial" w:eastAsia="MS Mincho" w:hAnsi="Arial" w:cs="Arial"/>
          <w:sz w:val="24"/>
          <w:szCs w:val="24"/>
        </w:rPr>
        <w:footnoteReference w:id="4"/>
      </w:r>
      <w:r w:rsidR="00FF3D1E">
        <w:rPr>
          <w:rStyle w:val="Citation"/>
          <w:rFonts w:ascii="Arial" w:eastAsia="MS Mincho" w:hAnsi="Arial" w:cs="Arial"/>
          <w:sz w:val="24"/>
          <w:szCs w:val="24"/>
        </w:rPr>
        <w:t xml:space="preserve"> in the Truter case where “ cause of action</w:t>
      </w:r>
      <w:r w:rsidR="00312E85">
        <w:rPr>
          <w:rStyle w:val="Citation"/>
          <w:rFonts w:ascii="Arial" w:eastAsia="MS Mincho" w:hAnsi="Arial" w:cs="Arial"/>
          <w:sz w:val="24"/>
          <w:szCs w:val="24"/>
        </w:rPr>
        <w:t>”</w:t>
      </w:r>
      <w:r w:rsidR="00FF3D1E">
        <w:rPr>
          <w:rStyle w:val="Citation"/>
          <w:rFonts w:ascii="Arial" w:eastAsia="MS Mincho" w:hAnsi="Arial" w:cs="Arial"/>
          <w:sz w:val="24"/>
          <w:szCs w:val="24"/>
        </w:rPr>
        <w:t xml:space="preserve"> for the purposes of prescription was defined as:</w:t>
      </w:r>
      <w:r w:rsidR="00FF3D1E" w:rsidRPr="00FF3D1E">
        <w:rPr>
          <w:rStyle w:val="Citation"/>
          <w:rFonts w:ascii="Arial" w:eastAsia="MS Mincho" w:hAnsi="Arial" w:cs="Arial"/>
          <w:sz w:val="24"/>
          <w:szCs w:val="24"/>
        </w:rPr>
        <w:t xml:space="preserve"> “…every fact which it would be necessary for the plaintiff to prove, if traversed, in order to support his right to the judgment of the Court. It does not comprise every piece of evidence which is necessary to prove each fact, but every fact w</w:t>
      </w:r>
      <w:r w:rsidR="00FF3D1E">
        <w:rPr>
          <w:rStyle w:val="Citation"/>
          <w:rFonts w:ascii="Arial" w:eastAsia="MS Mincho" w:hAnsi="Arial" w:cs="Arial"/>
          <w:sz w:val="24"/>
          <w:szCs w:val="24"/>
        </w:rPr>
        <w:t>hich is necessary to be proved.”</w:t>
      </w:r>
    </w:p>
    <w:p w14:paraId="4744C7F5" w14:textId="5ED31315" w:rsidR="00FF3D1E" w:rsidRDefault="00FF3D1E" w:rsidP="00FF3D1E">
      <w:pPr>
        <w:spacing w:after="0" w:line="360" w:lineRule="auto"/>
        <w:ind w:left="720" w:hanging="720"/>
        <w:rPr>
          <w:rStyle w:val="Citation"/>
          <w:rFonts w:ascii="Arial" w:eastAsia="MS Mincho" w:hAnsi="Arial" w:cs="Arial"/>
          <w:sz w:val="24"/>
          <w:szCs w:val="24"/>
        </w:rPr>
      </w:pPr>
    </w:p>
    <w:p w14:paraId="62D51744" w14:textId="4E81EF10" w:rsidR="0019275C" w:rsidRDefault="00FF3D1E" w:rsidP="0019275C">
      <w:pPr>
        <w:widowControl w:val="0"/>
        <w:autoSpaceDE w:val="0"/>
        <w:autoSpaceDN w:val="0"/>
        <w:adjustRightInd w:val="0"/>
        <w:spacing w:after="0" w:line="360" w:lineRule="auto"/>
        <w:ind w:left="720" w:hanging="720"/>
        <w:jc w:val="both"/>
        <w:rPr>
          <w:rFonts w:ascii="Arial" w:hAnsi="Arial" w:cs="Arial"/>
          <w:sz w:val="24"/>
          <w:szCs w:val="24"/>
        </w:rPr>
      </w:pPr>
      <w:r>
        <w:rPr>
          <w:rStyle w:val="Citation"/>
          <w:rFonts w:ascii="Arial" w:eastAsia="MS Mincho" w:hAnsi="Arial" w:cs="Arial"/>
          <w:sz w:val="24"/>
          <w:szCs w:val="24"/>
        </w:rPr>
        <w:t>[16]</w:t>
      </w:r>
      <w:r>
        <w:rPr>
          <w:rStyle w:val="Citation"/>
          <w:rFonts w:ascii="Arial" w:eastAsia="MS Mincho" w:hAnsi="Arial" w:cs="Arial"/>
          <w:sz w:val="24"/>
          <w:szCs w:val="24"/>
        </w:rPr>
        <w:tab/>
      </w:r>
      <w:r w:rsidR="00312E85">
        <w:rPr>
          <w:rStyle w:val="Citation"/>
          <w:rFonts w:ascii="Arial" w:eastAsia="MS Mincho" w:hAnsi="Arial" w:cs="Arial"/>
          <w:sz w:val="24"/>
          <w:szCs w:val="24"/>
        </w:rPr>
        <w:t>The court further quoted the following passage in the case of Minister of Finance and others v Gore NO</w:t>
      </w:r>
      <w:r w:rsidR="00312E85">
        <w:rPr>
          <w:rStyle w:val="FootnoteReference"/>
          <w:rFonts w:ascii="Arial" w:eastAsia="MS Mincho" w:hAnsi="Arial" w:cs="Arial"/>
          <w:sz w:val="24"/>
          <w:szCs w:val="24"/>
        </w:rPr>
        <w:footnoteReference w:id="5"/>
      </w:r>
      <w:r w:rsidR="0019275C">
        <w:rPr>
          <w:rStyle w:val="Citation"/>
          <w:rFonts w:ascii="Arial" w:eastAsia="MS Mincho" w:hAnsi="Arial" w:cs="Arial"/>
          <w:sz w:val="24"/>
          <w:szCs w:val="24"/>
        </w:rPr>
        <w:t xml:space="preserve"> to explain the meaning of “knowledge” in relation to prescription: </w:t>
      </w:r>
      <w:r w:rsidR="0019275C" w:rsidRPr="0019275C">
        <w:rPr>
          <w:rStyle w:val="Citation"/>
          <w:rFonts w:ascii="Arial" w:eastAsia="MS Mincho" w:hAnsi="Arial" w:cs="Arial"/>
          <w:sz w:val="24"/>
          <w:szCs w:val="24"/>
        </w:rPr>
        <w:t xml:space="preserve">“ </w:t>
      </w:r>
      <w:r w:rsidR="0019275C" w:rsidRPr="0019275C">
        <w:rPr>
          <w:rFonts w:ascii="Arial" w:hAnsi="Arial" w:cs="Arial"/>
          <w:sz w:val="24"/>
          <w:szCs w:val="24"/>
        </w:rPr>
        <w:t>The defendants’ argument seems to us to mistake the nature of ‘knowledge’ that is required to trigger the running of prescriptive time.  Mere opinion or supposition is not enough: there must be justified, true belief.  Belief on its own is insufficient.  Belief that happens to be true is also insufficient.  For there to be knowledge, the belief must be justified.</w:t>
      </w:r>
      <w:r w:rsidR="0019275C">
        <w:rPr>
          <w:rFonts w:ascii="Arial" w:hAnsi="Arial" w:cs="Arial"/>
          <w:sz w:val="24"/>
          <w:szCs w:val="24"/>
        </w:rPr>
        <w:t>”</w:t>
      </w:r>
    </w:p>
    <w:p w14:paraId="69BD078F" w14:textId="0528B920" w:rsidR="0019275C" w:rsidRDefault="0019275C" w:rsidP="0019275C">
      <w:pPr>
        <w:widowControl w:val="0"/>
        <w:autoSpaceDE w:val="0"/>
        <w:autoSpaceDN w:val="0"/>
        <w:adjustRightInd w:val="0"/>
        <w:spacing w:after="0" w:line="360" w:lineRule="auto"/>
        <w:ind w:left="720" w:hanging="720"/>
        <w:jc w:val="both"/>
        <w:rPr>
          <w:rFonts w:ascii="Arial" w:hAnsi="Arial" w:cs="Arial"/>
          <w:sz w:val="24"/>
          <w:szCs w:val="24"/>
        </w:rPr>
      </w:pPr>
    </w:p>
    <w:p w14:paraId="0652C4AA" w14:textId="7F4A143B" w:rsidR="0019275C" w:rsidRDefault="0019275C" w:rsidP="0019275C">
      <w:pPr>
        <w:widowControl w:val="0"/>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 xml:space="preserve">[17] </w:t>
      </w:r>
      <w:r w:rsidR="005548F4">
        <w:rPr>
          <w:rFonts w:ascii="Arial" w:hAnsi="Arial" w:cs="Arial"/>
          <w:sz w:val="24"/>
          <w:szCs w:val="24"/>
        </w:rPr>
        <w:tab/>
      </w:r>
      <w:r>
        <w:rPr>
          <w:rFonts w:ascii="Arial" w:hAnsi="Arial" w:cs="Arial"/>
          <w:sz w:val="24"/>
          <w:szCs w:val="24"/>
        </w:rPr>
        <w:t xml:space="preserve">The court then came to the following conclusions: </w:t>
      </w:r>
    </w:p>
    <w:p w14:paraId="57F70AA0" w14:textId="77777777" w:rsidR="00C63E83" w:rsidRDefault="00C63E83" w:rsidP="0019275C">
      <w:pPr>
        <w:widowControl w:val="0"/>
        <w:autoSpaceDE w:val="0"/>
        <w:autoSpaceDN w:val="0"/>
        <w:adjustRightInd w:val="0"/>
        <w:spacing w:after="0" w:line="360" w:lineRule="auto"/>
        <w:ind w:left="720" w:hanging="720"/>
        <w:jc w:val="both"/>
        <w:rPr>
          <w:rFonts w:ascii="Arial" w:hAnsi="Arial" w:cs="Arial"/>
          <w:sz w:val="24"/>
          <w:szCs w:val="24"/>
        </w:rPr>
      </w:pPr>
    </w:p>
    <w:p w14:paraId="6A470487" w14:textId="7C3ABA18" w:rsidR="0019275C" w:rsidRDefault="0019275C" w:rsidP="000368DC">
      <w:pPr>
        <w:widowControl w:val="0"/>
        <w:autoSpaceDE w:val="0"/>
        <w:autoSpaceDN w:val="0"/>
        <w:adjustRightInd w:val="0"/>
        <w:spacing w:after="0" w:line="360" w:lineRule="auto"/>
        <w:ind w:left="1440" w:hanging="720"/>
        <w:jc w:val="both"/>
        <w:rPr>
          <w:rFonts w:ascii="Arial" w:hAnsi="Arial" w:cs="Arial"/>
          <w:sz w:val="24"/>
          <w:szCs w:val="24"/>
        </w:rPr>
      </w:pPr>
      <w:r>
        <w:rPr>
          <w:rFonts w:ascii="Arial" w:hAnsi="Arial" w:cs="Arial"/>
          <w:sz w:val="24"/>
          <w:szCs w:val="24"/>
        </w:rPr>
        <w:t>17.1</w:t>
      </w:r>
      <w:r>
        <w:rPr>
          <w:rFonts w:ascii="Arial" w:hAnsi="Arial" w:cs="Arial"/>
          <w:sz w:val="24"/>
          <w:szCs w:val="24"/>
        </w:rPr>
        <w:tab/>
      </w:r>
      <w:r w:rsidR="000368DC">
        <w:rPr>
          <w:rFonts w:ascii="Arial" w:hAnsi="Arial" w:cs="Arial"/>
          <w:sz w:val="24"/>
          <w:szCs w:val="24"/>
        </w:rPr>
        <w:t xml:space="preserve">“Until the applicant had knowledge of facts that would have led him to think that possibly there had been negligence and that this had caused his disability, he lacked knowledge of the necessary facts contemplated </w:t>
      </w:r>
      <w:r w:rsidR="000368DC">
        <w:rPr>
          <w:rFonts w:ascii="Arial" w:hAnsi="Arial" w:cs="Arial"/>
          <w:sz w:val="24"/>
          <w:szCs w:val="24"/>
        </w:rPr>
        <w:lastRenderedPageBreak/>
        <w:t>in Section 12 (3)”</w:t>
      </w:r>
      <w:r w:rsidR="000368DC">
        <w:rPr>
          <w:rStyle w:val="FootnoteReference"/>
          <w:rFonts w:ascii="Arial" w:hAnsi="Arial" w:cs="Arial"/>
          <w:sz w:val="24"/>
          <w:szCs w:val="24"/>
        </w:rPr>
        <w:footnoteReference w:id="6"/>
      </w:r>
      <w:r w:rsidR="000368DC">
        <w:rPr>
          <w:rFonts w:ascii="Arial" w:hAnsi="Arial" w:cs="Arial"/>
          <w:sz w:val="24"/>
          <w:szCs w:val="24"/>
        </w:rPr>
        <w:t xml:space="preserve">  </w:t>
      </w:r>
    </w:p>
    <w:p w14:paraId="74022CF1" w14:textId="4C9A43F6" w:rsidR="000368DC" w:rsidRDefault="000368DC" w:rsidP="000368DC">
      <w:pPr>
        <w:widowControl w:val="0"/>
        <w:autoSpaceDE w:val="0"/>
        <w:autoSpaceDN w:val="0"/>
        <w:adjustRightInd w:val="0"/>
        <w:spacing w:after="0" w:line="360" w:lineRule="auto"/>
        <w:ind w:left="1440" w:hanging="720"/>
        <w:jc w:val="both"/>
        <w:rPr>
          <w:rFonts w:ascii="Arial" w:hAnsi="Arial" w:cs="Arial"/>
          <w:sz w:val="24"/>
          <w:szCs w:val="24"/>
        </w:rPr>
      </w:pPr>
      <w:r>
        <w:rPr>
          <w:rFonts w:ascii="Arial" w:hAnsi="Arial" w:cs="Arial"/>
          <w:sz w:val="24"/>
          <w:szCs w:val="24"/>
        </w:rPr>
        <w:t>17.2</w:t>
      </w:r>
      <w:r>
        <w:rPr>
          <w:rFonts w:ascii="Arial" w:hAnsi="Arial" w:cs="Arial"/>
          <w:sz w:val="24"/>
          <w:szCs w:val="24"/>
        </w:rPr>
        <w:tab/>
        <w:t>“A firm finding that the applicant did not know what caused his condition as at 5 August 2006 can, therefore, be justifiably made. That was a material fact a litigant wishing to sue in a case such as this would need to know.”</w:t>
      </w:r>
      <w:r>
        <w:rPr>
          <w:rStyle w:val="FootnoteReference"/>
          <w:rFonts w:ascii="Arial" w:hAnsi="Arial" w:cs="Arial"/>
          <w:sz w:val="24"/>
          <w:szCs w:val="24"/>
        </w:rPr>
        <w:footnoteReference w:id="7"/>
      </w:r>
    </w:p>
    <w:p w14:paraId="552E1DDE" w14:textId="035A6184" w:rsidR="000368DC" w:rsidRDefault="000368DC" w:rsidP="000368DC">
      <w:pPr>
        <w:widowControl w:val="0"/>
        <w:autoSpaceDE w:val="0"/>
        <w:autoSpaceDN w:val="0"/>
        <w:adjustRightInd w:val="0"/>
        <w:spacing w:after="0" w:line="360" w:lineRule="auto"/>
        <w:ind w:left="1440" w:hanging="720"/>
        <w:jc w:val="both"/>
        <w:rPr>
          <w:rFonts w:ascii="Arial" w:hAnsi="Arial" w:cs="Arial"/>
          <w:sz w:val="24"/>
          <w:szCs w:val="24"/>
        </w:rPr>
      </w:pPr>
      <w:r>
        <w:rPr>
          <w:rFonts w:ascii="Arial" w:hAnsi="Arial" w:cs="Arial"/>
          <w:sz w:val="24"/>
          <w:szCs w:val="24"/>
        </w:rPr>
        <w:t>17.3</w:t>
      </w:r>
      <w:r>
        <w:rPr>
          <w:rFonts w:ascii="Arial" w:hAnsi="Arial" w:cs="Arial"/>
          <w:sz w:val="24"/>
          <w:szCs w:val="24"/>
        </w:rPr>
        <w:tab/>
        <w:t>“Without advice at the time from a professional or expert in the medical profession, the applicant could not have known what had cause</w:t>
      </w:r>
      <w:r w:rsidR="000F6F85">
        <w:rPr>
          <w:rFonts w:ascii="Arial" w:hAnsi="Arial" w:cs="Arial"/>
          <w:sz w:val="24"/>
          <w:szCs w:val="24"/>
        </w:rPr>
        <w:t>d</w:t>
      </w:r>
      <w:r>
        <w:rPr>
          <w:rFonts w:ascii="Arial" w:hAnsi="Arial" w:cs="Arial"/>
          <w:sz w:val="24"/>
          <w:szCs w:val="24"/>
        </w:rPr>
        <w:t xml:space="preserve"> his condition. I</w:t>
      </w:r>
      <w:r w:rsidR="006B479A">
        <w:rPr>
          <w:rFonts w:ascii="Arial" w:hAnsi="Arial" w:cs="Arial"/>
          <w:sz w:val="24"/>
          <w:szCs w:val="24"/>
        </w:rPr>
        <w:t>t seems to me that</w:t>
      </w:r>
      <w:r>
        <w:rPr>
          <w:rFonts w:ascii="Arial" w:hAnsi="Arial" w:cs="Arial"/>
          <w:sz w:val="24"/>
          <w:szCs w:val="24"/>
        </w:rPr>
        <w:t xml:space="preserve"> it would be unrealistic for the law to expect a litigant who has no knowledge of medicine to have knowledge of what caused his condition</w:t>
      </w:r>
      <w:r w:rsidR="006B479A">
        <w:rPr>
          <w:rFonts w:ascii="Arial" w:hAnsi="Arial" w:cs="Arial"/>
          <w:sz w:val="24"/>
          <w:szCs w:val="24"/>
        </w:rPr>
        <w:t xml:space="preserve"> without having first had an opportunity of consulting a relevant medical professional or specialist for advice. That in turn requires that the litigant is in possession of sufficient facts to cause a reasonable person to suspect that something has gone wrong and to seek advice.”</w:t>
      </w:r>
      <w:r w:rsidR="006B479A">
        <w:rPr>
          <w:rStyle w:val="FootnoteReference"/>
          <w:rFonts w:ascii="Arial" w:hAnsi="Arial" w:cs="Arial"/>
          <w:sz w:val="24"/>
          <w:szCs w:val="24"/>
        </w:rPr>
        <w:footnoteReference w:id="8"/>
      </w:r>
    </w:p>
    <w:p w14:paraId="208829C7" w14:textId="18CBDB5A" w:rsidR="006B479A" w:rsidRDefault="006B479A" w:rsidP="006B479A">
      <w:pPr>
        <w:widowControl w:val="0"/>
        <w:autoSpaceDE w:val="0"/>
        <w:autoSpaceDN w:val="0"/>
        <w:adjustRightInd w:val="0"/>
        <w:spacing w:after="0" w:line="360" w:lineRule="auto"/>
        <w:jc w:val="both"/>
        <w:rPr>
          <w:rFonts w:ascii="Arial" w:hAnsi="Arial" w:cs="Arial"/>
          <w:sz w:val="24"/>
          <w:szCs w:val="24"/>
        </w:rPr>
      </w:pPr>
    </w:p>
    <w:p w14:paraId="5FAAC4DD" w14:textId="7C074FEF" w:rsidR="006B479A" w:rsidRDefault="006B479A" w:rsidP="006B479A">
      <w:pPr>
        <w:widowControl w:val="0"/>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These principles now have to be applied to the facts, and especially to the evidence of the Second Defendant, to arrive at a justifiable conclusion. The Defendants rely on the very same facts and evidence in their contention</w:t>
      </w:r>
      <w:r w:rsidR="00616CE2">
        <w:rPr>
          <w:rFonts w:ascii="Arial" w:hAnsi="Arial" w:cs="Arial"/>
          <w:sz w:val="24"/>
          <w:szCs w:val="24"/>
        </w:rPr>
        <w:t xml:space="preserve"> in this Court that the Plaintiff had known by </w:t>
      </w:r>
      <w:r w:rsidR="003F7F14">
        <w:rPr>
          <w:rFonts w:ascii="Arial" w:hAnsi="Arial" w:cs="Arial"/>
          <w:sz w:val="24"/>
          <w:szCs w:val="24"/>
        </w:rPr>
        <w:t>9 July 2015 that her claim was limited in the Regional Court while the actuarial calculations obtained after issue of summons in the Regional Court, suggested that her claim was much h</w:t>
      </w:r>
      <w:r w:rsidR="00C63E83">
        <w:rPr>
          <w:rFonts w:ascii="Arial" w:hAnsi="Arial" w:cs="Arial"/>
          <w:sz w:val="24"/>
          <w:szCs w:val="24"/>
        </w:rPr>
        <w:t>igher than the limit in that</w:t>
      </w:r>
      <w:r w:rsidR="003F7F14">
        <w:rPr>
          <w:rFonts w:ascii="Arial" w:hAnsi="Arial" w:cs="Arial"/>
          <w:sz w:val="24"/>
          <w:szCs w:val="24"/>
        </w:rPr>
        <w:t xml:space="preserve"> Court. She also knew on the date that her action could not be transfer to, or reinstituted in the High Court</w:t>
      </w:r>
      <w:r w:rsidR="000F6F85">
        <w:rPr>
          <w:rFonts w:ascii="Arial" w:hAnsi="Arial" w:cs="Arial"/>
          <w:sz w:val="24"/>
          <w:szCs w:val="24"/>
        </w:rPr>
        <w:t>. O</w:t>
      </w:r>
      <w:r w:rsidR="00124BA6">
        <w:rPr>
          <w:rFonts w:ascii="Arial" w:hAnsi="Arial" w:cs="Arial"/>
          <w:sz w:val="24"/>
          <w:szCs w:val="24"/>
        </w:rPr>
        <w:t xml:space="preserve">n the basis of this knowledge, the Plaintiff knew or must have known on 9 July 2015, or could have established it by exercise of reasonable care, that she had a claim against the attorney, the argument went. </w:t>
      </w:r>
    </w:p>
    <w:p w14:paraId="3187A054" w14:textId="4F251CE4" w:rsidR="00124BA6" w:rsidRDefault="00124BA6" w:rsidP="006B479A">
      <w:pPr>
        <w:widowControl w:val="0"/>
        <w:autoSpaceDE w:val="0"/>
        <w:autoSpaceDN w:val="0"/>
        <w:adjustRightInd w:val="0"/>
        <w:spacing w:after="0" w:line="360" w:lineRule="auto"/>
        <w:ind w:left="720" w:hanging="720"/>
        <w:jc w:val="both"/>
        <w:rPr>
          <w:rFonts w:ascii="Arial" w:hAnsi="Arial" w:cs="Arial"/>
          <w:sz w:val="24"/>
          <w:szCs w:val="24"/>
        </w:rPr>
      </w:pPr>
    </w:p>
    <w:p w14:paraId="5DD245F2" w14:textId="0CD7A7E4" w:rsidR="00124BA6" w:rsidRDefault="00124BA6" w:rsidP="006B479A">
      <w:pPr>
        <w:widowControl w:val="0"/>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In my view, however, this argument is undermined by the evidence of the Second Defendant. His testimony that the Plaintiff is a lay person as far as the law is concerned, and that he created the impression with the Plaintiff on 9 July 2015 that the limited claim was the result of circumstances beyond his control and that he failed to inform her of his omission</w:t>
      </w:r>
      <w:r w:rsidR="00C63E83">
        <w:rPr>
          <w:rFonts w:ascii="Arial" w:hAnsi="Arial" w:cs="Arial"/>
          <w:sz w:val="24"/>
          <w:szCs w:val="24"/>
        </w:rPr>
        <w:t>s</w:t>
      </w:r>
      <w:r>
        <w:rPr>
          <w:rFonts w:ascii="Arial" w:hAnsi="Arial" w:cs="Arial"/>
          <w:sz w:val="24"/>
          <w:szCs w:val="24"/>
        </w:rPr>
        <w:t xml:space="preserve"> relating to the obtaining of </w:t>
      </w:r>
      <w:r>
        <w:rPr>
          <w:rFonts w:ascii="Arial" w:hAnsi="Arial" w:cs="Arial"/>
          <w:sz w:val="24"/>
          <w:szCs w:val="24"/>
        </w:rPr>
        <w:lastRenderedPageBreak/>
        <w:t>reports, is decisive. It conveys the message that the</w:t>
      </w:r>
      <w:r w:rsidR="00C63E83">
        <w:rPr>
          <w:rFonts w:ascii="Arial" w:hAnsi="Arial" w:cs="Arial"/>
          <w:sz w:val="24"/>
          <w:szCs w:val="24"/>
        </w:rPr>
        <w:t xml:space="preserve"> Plaintiff did not have all the facts, nor did she know that the</w:t>
      </w:r>
      <w:r>
        <w:rPr>
          <w:rFonts w:ascii="Arial" w:hAnsi="Arial" w:cs="Arial"/>
          <w:sz w:val="24"/>
          <w:szCs w:val="24"/>
        </w:rPr>
        <w:t xml:space="preserve"> Second Defendant was responsible for her predicament. This brings to mind what was stated in the Links-case, namely that until the applicant had knowledge</w:t>
      </w:r>
      <w:r w:rsidR="00C63E83">
        <w:rPr>
          <w:rFonts w:ascii="Arial" w:hAnsi="Arial" w:cs="Arial"/>
          <w:sz w:val="24"/>
          <w:szCs w:val="24"/>
        </w:rPr>
        <w:t xml:space="preserve"> of facts that would have led</w:t>
      </w:r>
      <w:r>
        <w:rPr>
          <w:rFonts w:ascii="Arial" w:hAnsi="Arial" w:cs="Arial"/>
          <w:sz w:val="24"/>
          <w:szCs w:val="24"/>
        </w:rPr>
        <w:t xml:space="preserve"> him </w:t>
      </w:r>
      <w:r w:rsidR="00C63E83">
        <w:rPr>
          <w:rFonts w:ascii="Arial" w:hAnsi="Arial" w:cs="Arial"/>
          <w:sz w:val="24"/>
          <w:szCs w:val="24"/>
        </w:rPr>
        <w:t xml:space="preserve">to </w:t>
      </w:r>
      <w:r>
        <w:rPr>
          <w:rFonts w:ascii="Arial" w:hAnsi="Arial" w:cs="Arial"/>
          <w:sz w:val="24"/>
          <w:szCs w:val="24"/>
        </w:rPr>
        <w:t>think that possibly there had been negligence and that</w:t>
      </w:r>
      <w:r w:rsidR="007B7F42">
        <w:rPr>
          <w:rFonts w:ascii="Arial" w:hAnsi="Arial" w:cs="Arial"/>
          <w:sz w:val="24"/>
          <w:szCs w:val="24"/>
        </w:rPr>
        <w:t xml:space="preserve"> </w:t>
      </w:r>
      <w:r>
        <w:rPr>
          <w:rFonts w:ascii="Arial" w:hAnsi="Arial" w:cs="Arial"/>
          <w:sz w:val="24"/>
          <w:szCs w:val="24"/>
        </w:rPr>
        <w:t>this had cause</w:t>
      </w:r>
      <w:r w:rsidR="00C63E83">
        <w:rPr>
          <w:rFonts w:ascii="Arial" w:hAnsi="Arial" w:cs="Arial"/>
          <w:sz w:val="24"/>
          <w:szCs w:val="24"/>
        </w:rPr>
        <w:t>d</w:t>
      </w:r>
      <w:r>
        <w:rPr>
          <w:rFonts w:ascii="Arial" w:hAnsi="Arial" w:cs="Arial"/>
          <w:sz w:val="24"/>
          <w:szCs w:val="24"/>
        </w:rPr>
        <w:t xml:space="preserve"> his disability, he lacked knowledge of the necessary facts contemplate</w:t>
      </w:r>
      <w:r w:rsidR="00C63E83">
        <w:rPr>
          <w:rFonts w:ascii="Arial" w:hAnsi="Arial" w:cs="Arial"/>
          <w:sz w:val="24"/>
          <w:szCs w:val="24"/>
        </w:rPr>
        <w:t>d</w:t>
      </w:r>
      <w:r>
        <w:rPr>
          <w:rFonts w:ascii="Arial" w:hAnsi="Arial" w:cs="Arial"/>
          <w:sz w:val="24"/>
          <w:szCs w:val="24"/>
        </w:rPr>
        <w:t xml:space="preserve"> in Section 12 (3) of the Prescription Act.</w:t>
      </w:r>
      <w:r>
        <w:rPr>
          <w:rStyle w:val="FootnoteReference"/>
          <w:rFonts w:ascii="Arial" w:hAnsi="Arial" w:cs="Arial"/>
          <w:sz w:val="24"/>
          <w:szCs w:val="24"/>
        </w:rPr>
        <w:footnoteReference w:id="9"/>
      </w:r>
    </w:p>
    <w:p w14:paraId="231258D3" w14:textId="3CCD5244" w:rsidR="00124BA6" w:rsidRDefault="00124BA6" w:rsidP="006B479A">
      <w:pPr>
        <w:widowControl w:val="0"/>
        <w:autoSpaceDE w:val="0"/>
        <w:autoSpaceDN w:val="0"/>
        <w:adjustRightInd w:val="0"/>
        <w:spacing w:after="0" w:line="360" w:lineRule="auto"/>
        <w:ind w:left="720" w:hanging="720"/>
        <w:jc w:val="both"/>
        <w:rPr>
          <w:rFonts w:ascii="Arial" w:hAnsi="Arial" w:cs="Arial"/>
          <w:sz w:val="24"/>
          <w:szCs w:val="24"/>
        </w:rPr>
      </w:pPr>
    </w:p>
    <w:p w14:paraId="2BD9C1D0" w14:textId="45D04F5A" w:rsidR="00124BA6" w:rsidRDefault="00124BA6" w:rsidP="006B479A">
      <w:pPr>
        <w:widowControl w:val="0"/>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A firm finding that the Plaintiff did not know what caused her predicament on 9 July 2015</w:t>
      </w:r>
      <w:r w:rsidR="007B7F42">
        <w:rPr>
          <w:rFonts w:ascii="Arial" w:hAnsi="Arial" w:cs="Arial"/>
          <w:sz w:val="24"/>
          <w:szCs w:val="24"/>
        </w:rPr>
        <w:t xml:space="preserve">, can therefore justifiably be made. That was a material fact </w:t>
      </w:r>
      <w:r w:rsidR="004F5F63">
        <w:rPr>
          <w:rFonts w:ascii="Arial" w:hAnsi="Arial" w:cs="Arial"/>
          <w:sz w:val="24"/>
          <w:szCs w:val="24"/>
        </w:rPr>
        <w:t>that a litigant wishing to sue in</w:t>
      </w:r>
      <w:r w:rsidR="007B7F42">
        <w:rPr>
          <w:rFonts w:ascii="Arial" w:hAnsi="Arial" w:cs="Arial"/>
          <w:sz w:val="24"/>
          <w:szCs w:val="24"/>
        </w:rPr>
        <w:t xml:space="preserve"> a case such as this, would need to know. In this respect the Court is also mindful of what “k</w:t>
      </w:r>
      <w:r w:rsidR="00C63E83">
        <w:rPr>
          <w:rFonts w:ascii="Arial" w:hAnsi="Arial" w:cs="Arial"/>
          <w:sz w:val="24"/>
          <w:szCs w:val="24"/>
        </w:rPr>
        <w:t>nowledge” entail, namely that me</w:t>
      </w:r>
      <w:r w:rsidR="007B7F42">
        <w:rPr>
          <w:rFonts w:ascii="Arial" w:hAnsi="Arial" w:cs="Arial"/>
          <w:sz w:val="24"/>
          <w:szCs w:val="24"/>
        </w:rPr>
        <w:t xml:space="preserve">re opinion or </w:t>
      </w:r>
      <w:r w:rsidR="007266D1">
        <w:rPr>
          <w:rFonts w:ascii="Arial" w:hAnsi="Arial" w:cs="Arial"/>
          <w:sz w:val="24"/>
          <w:szCs w:val="24"/>
        </w:rPr>
        <w:t>supposition</w:t>
      </w:r>
      <w:r w:rsidR="007B7F42">
        <w:rPr>
          <w:rFonts w:ascii="Arial" w:hAnsi="Arial" w:cs="Arial"/>
          <w:sz w:val="24"/>
          <w:szCs w:val="24"/>
        </w:rPr>
        <w:t xml:space="preserve"> is not enough. For there to be knowledge, the belief must be justified. </w:t>
      </w:r>
    </w:p>
    <w:p w14:paraId="3F93A525" w14:textId="508A275E" w:rsidR="007266D1" w:rsidRDefault="007266D1" w:rsidP="006B479A">
      <w:pPr>
        <w:widowControl w:val="0"/>
        <w:autoSpaceDE w:val="0"/>
        <w:autoSpaceDN w:val="0"/>
        <w:adjustRightInd w:val="0"/>
        <w:spacing w:after="0" w:line="360" w:lineRule="auto"/>
        <w:ind w:left="720" w:hanging="720"/>
        <w:jc w:val="both"/>
        <w:rPr>
          <w:rFonts w:ascii="Arial" w:hAnsi="Arial" w:cs="Arial"/>
          <w:sz w:val="24"/>
          <w:szCs w:val="24"/>
        </w:rPr>
      </w:pPr>
    </w:p>
    <w:p w14:paraId="5F152A7F" w14:textId="7AE95307" w:rsidR="007266D1" w:rsidRDefault="007266D1" w:rsidP="006B479A">
      <w:pPr>
        <w:widowControl w:val="0"/>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The Second Defendant further testified that, on 9 July 2015, the Plaintiff was not aware that she could claim from him or the First Defendant. She was only aware of the fact that she had a bigger claim than the R 400 000.00. He testified that he did not inform her that her limited claim was the result of his negligence, and that she could seek the assistance of another attorney in the circumstances. He did not regard it as his duty to inform her as such, he testified. </w:t>
      </w:r>
    </w:p>
    <w:p w14:paraId="642328A7" w14:textId="0BD07104" w:rsidR="007266D1" w:rsidRDefault="007266D1" w:rsidP="006B479A">
      <w:pPr>
        <w:widowControl w:val="0"/>
        <w:autoSpaceDE w:val="0"/>
        <w:autoSpaceDN w:val="0"/>
        <w:adjustRightInd w:val="0"/>
        <w:spacing w:after="0" w:line="360" w:lineRule="auto"/>
        <w:ind w:left="720" w:hanging="720"/>
        <w:jc w:val="both"/>
        <w:rPr>
          <w:rFonts w:ascii="Arial" w:hAnsi="Arial" w:cs="Arial"/>
          <w:sz w:val="24"/>
          <w:szCs w:val="24"/>
        </w:rPr>
      </w:pPr>
    </w:p>
    <w:p w14:paraId="568C53DC" w14:textId="2D8BCEE1" w:rsidR="007266D1" w:rsidRDefault="007266D1" w:rsidP="006B479A">
      <w:pPr>
        <w:widowControl w:val="0"/>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As for the duty to inform, I cannot agree with the Second Defendant. When there is a conflict between </w:t>
      </w:r>
      <w:r w:rsidR="0077294E">
        <w:rPr>
          <w:rFonts w:ascii="Arial" w:hAnsi="Arial" w:cs="Arial"/>
          <w:sz w:val="24"/>
          <w:szCs w:val="24"/>
        </w:rPr>
        <w:t>an attorney</w:t>
      </w:r>
      <w:r w:rsidR="00C63E83">
        <w:rPr>
          <w:rFonts w:ascii="Arial" w:hAnsi="Arial" w:cs="Arial"/>
          <w:sz w:val="24"/>
          <w:szCs w:val="24"/>
        </w:rPr>
        <w:t>’s</w:t>
      </w:r>
      <w:r w:rsidR="0077294E">
        <w:rPr>
          <w:rFonts w:ascii="Arial" w:hAnsi="Arial" w:cs="Arial"/>
          <w:sz w:val="24"/>
          <w:szCs w:val="24"/>
        </w:rPr>
        <w:t xml:space="preserve"> own interest</w:t>
      </w:r>
      <w:r w:rsidR="00C63E83">
        <w:rPr>
          <w:rFonts w:ascii="Arial" w:hAnsi="Arial" w:cs="Arial"/>
          <w:sz w:val="24"/>
          <w:szCs w:val="24"/>
        </w:rPr>
        <w:t xml:space="preserve"> and the interest</w:t>
      </w:r>
      <w:r w:rsidR="0077294E">
        <w:rPr>
          <w:rFonts w:ascii="Arial" w:hAnsi="Arial" w:cs="Arial"/>
          <w:sz w:val="24"/>
          <w:szCs w:val="24"/>
        </w:rPr>
        <w:t xml:space="preserve"> of a client, the interest</w:t>
      </w:r>
      <w:r w:rsidR="00C63E83">
        <w:rPr>
          <w:rFonts w:ascii="Arial" w:hAnsi="Arial" w:cs="Arial"/>
          <w:sz w:val="24"/>
          <w:szCs w:val="24"/>
        </w:rPr>
        <w:t>s</w:t>
      </w:r>
      <w:r w:rsidR="0077294E">
        <w:rPr>
          <w:rFonts w:ascii="Arial" w:hAnsi="Arial" w:cs="Arial"/>
          <w:sz w:val="24"/>
          <w:szCs w:val="24"/>
        </w:rPr>
        <w:t xml:space="preserve"> of the client must certainly prevail.</w:t>
      </w:r>
      <w:r w:rsidR="0077294E">
        <w:rPr>
          <w:rStyle w:val="FootnoteReference"/>
          <w:rFonts w:ascii="Arial" w:hAnsi="Arial" w:cs="Arial"/>
          <w:sz w:val="24"/>
          <w:szCs w:val="24"/>
        </w:rPr>
        <w:footnoteReference w:id="10"/>
      </w:r>
      <w:r w:rsidR="0077294E">
        <w:rPr>
          <w:rFonts w:ascii="Arial" w:hAnsi="Arial" w:cs="Arial"/>
          <w:sz w:val="24"/>
          <w:szCs w:val="24"/>
        </w:rPr>
        <w:t xml:space="preserve"> This is not the point however. The point is that the Second Defendant did not inform the Plaintiff, therefore wilfully preventing the Plaintiff to know of the existence of the debt. </w:t>
      </w:r>
    </w:p>
    <w:p w14:paraId="7B03C2ED" w14:textId="4DEA99F7" w:rsidR="00770516" w:rsidRDefault="00770516" w:rsidP="006B479A">
      <w:pPr>
        <w:widowControl w:val="0"/>
        <w:autoSpaceDE w:val="0"/>
        <w:autoSpaceDN w:val="0"/>
        <w:adjustRightInd w:val="0"/>
        <w:spacing w:after="0" w:line="360" w:lineRule="auto"/>
        <w:ind w:left="720" w:hanging="720"/>
        <w:jc w:val="both"/>
        <w:rPr>
          <w:rFonts w:ascii="Arial" w:hAnsi="Arial" w:cs="Arial"/>
          <w:sz w:val="24"/>
          <w:szCs w:val="24"/>
        </w:rPr>
      </w:pPr>
    </w:p>
    <w:p w14:paraId="3C216B9A" w14:textId="353BDA3B" w:rsidR="00770516" w:rsidRDefault="00770516" w:rsidP="006B479A">
      <w:pPr>
        <w:widowControl w:val="0"/>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67462D">
        <w:rPr>
          <w:rFonts w:ascii="Arial" w:hAnsi="Arial" w:cs="Arial"/>
          <w:sz w:val="24"/>
          <w:szCs w:val="24"/>
        </w:rPr>
        <w:t xml:space="preserve">In the premises, I find that the Defendants have failed to prove that the Plaintiff’s claim had become prescribed. Only the question of costs remains to be decided. </w:t>
      </w:r>
    </w:p>
    <w:p w14:paraId="184621BD" w14:textId="11C8880D" w:rsidR="0067462D" w:rsidRDefault="0067462D" w:rsidP="006B479A">
      <w:pPr>
        <w:widowControl w:val="0"/>
        <w:autoSpaceDE w:val="0"/>
        <w:autoSpaceDN w:val="0"/>
        <w:adjustRightInd w:val="0"/>
        <w:spacing w:after="0" w:line="360" w:lineRule="auto"/>
        <w:ind w:left="720" w:hanging="720"/>
        <w:jc w:val="both"/>
        <w:rPr>
          <w:rFonts w:ascii="Arial" w:hAnsi="Arial" w:cs="Arial"/>
          <w:sz w:val="24"/>
          <w:szCs w:val="24"/>
        </w:rPr>
      </w:pPr>
    </w:p>
    <w:p w14:paraId="55180774" w14:textId="6DB67E85" w:rsidR="0067462D" w:rsidRDefault="00C63E83" w:rsidP="006B479A">
      <w:pPr>
        <w:widowControl w:val="0"/>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A</w:t>
      </w:r>
      <w:r w:rsidR="0067462D">
        <w:rPr>
          <w:rFonts w:ascii="Arial" w:hAnsi="Arial" w:cs="Arial"/>
          <w:sz w:val="24"/>
          <w:szCs w:val="24"/>
        </w:rPr>
        <w:t xml:space="preserve"> feature that stands out in this respect, is that the Defendants persisted in the Special Plea of prescription while the Second Defendant was well aware of the fact that he had withheld crucial information from the Plaintiff on 9 July 2015, which caused her to lack the necessary knowledge on that day to realise that there had been negligence and that this had caused the claim to be limited. It speaks for itself that the Plaintiff had to incur costs to resist the Special Pleas and, in the prevailing circumstances</w:t>
      </w:r>
      <w:r>
        <w:rPr>
          <w:rFonts w:ascii="Arial" w:hAnsi="Arial" w:cs="Arial"/>
          <w:sz w:val="24"/>
          <w:szCs w:val="24"/>
        </w:rPr>
        <w:t>,</w:t>
      </w:r>
      <w:r w:rsidR="0067462D">
        <w:rPr>
          <w:rFonts w:ascii="Arial" w:hAnsi="Arial" w:cs="Arial"/>
          <w:sz w:val="24"/>
          <w:szCs w:val="24"/>
        </w:rPr>
        <w:t xml:space="preserve"> I can find no reason why the Plaintiff should be left out of pocket. </w:t>
      </w:r>
    </w:p>
    <w:p w14:paraId="75FFEF4A" w14:textId="77777777" w:rsidR="0067462D" w:rsidRDefault="0067462D" w:rsidP="006B479A">
      <w:pPr>
        <w:widowControl w:val="0"/>
        <w:autoSpaceDE w:val="0"/>
        <w:autoSpaceDN w:val="0"/>
        <w:adjustRightInd w:val="0"/>
        <w:spacing w:after="0" w:line="360" w:lineRule="auto"/>
        <w:ind w:left="720" w:hanging="720"/>
        <w:jc w:val="both"/>
        <w:rPr>
          <w:rFonts w:ascii="Arial" w:hAnsi="Arial" w:cs="Arial"/>
          <w:sz w:val="24"/>
          <w:szCs w:val="24"/>
        </w:rPr>
      </w:pPr>
    </w:p>
    <w:p w14:paraId="0A0A7ABD" w14:textId="1C23411E" w:rsidR="0067462D" w:rsidRDefault="0067462D" w:rsidP="0067462D">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following orders are made: </w:t>
      </w:r>
    </w:p>
    <w:p w14:paraId="0F85CF01" w14:textId="77777777" w:rsidR="00C63E83" w:rsidRDefault="00C63E83" w:rsidP="0067462D">
      <w:pPr>
        <w:widowControl w:val="0"/>
        <w:autoSpaceDE w:val="0"/>
        <w:autoSpaceDN w:val="0"/>
        <w:adjustRightInd w:val="0"/>
        <w:spacing w:after="0" w:line="360" w:lineRule="auto"/>
        <w:jc w:val="both"/>
        <w:rPr>
          <w:rFonts w:ascii="Arial" w:hAnsi="Arial" w:cs="Arial"/>
          <w:sz w:val="24"/>
          <w:szCs w:val="24"/>
        </w:rPr>
      </w:pPr>
    </w:p>
    <w:p w14:paraId="331BEF3E" w14:textId="654D5961" w:rsidR="0067462D" w:rsidRDefault="0067462D" w:rsidP="0067462D">
      <w:pPr>
        <w:widowControl w:val="0"/>
        <w:autoSpaceDE w:val="0"/>
        <w:autoSpaceDN w:val="0"/>
        <w:adjustRightInd w:val="0"/>
        <w:spacing w:after="0"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Special Pleas of Prescription entered by the First and Second Defendants are dismissed. </w:t>
      </w:r>
    </w:p>
    <w:p w14:paraId="636AC543" w14:textId="50D7FAF9" w:rsidR="00DE299E" w:rsidRDefault="00DE299E" w:rsidP="0067462D">
      <w:pPr>
        <w:widowControl w:val="0"/>
        <w:autoSpaceDE w:val="0"/>
        <w:autoSpaceDN w:val="0"/>
        <w:adjustRightInd w:val="0"/>
        <w:spacing w:after="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First and Second Defendant are liable to compensate the Plaintiff in the amount R 2 26</w:t>
      </w:r>
      <w:r w:rsidR="00C63E83">
        <w:rPr>
          <w:rFonts w:ascii="Arial" w:hAnsi="Arial" w:cs="Arial"/>
          <w:sz w:val="24"/>
          <w:szCs w:val="24"/>
        </w:rPr>
        <w:t>1 204.00 plus interest a tempore</w:t>
      </w:r>
      <w:r>
        <w:rPr>
          <w:rFonts w:ascii="Arial" w:hAnsi="Arial" w:cs="Arial"/>
          <w:sz w:val="24"/>
          <w:szCs w:val="24"/>
        </w:rPr>
        <w:t xml:space="preserve"> morae.</w:t>
      </w:r>
    </w:p>
    <w:p w14:paraId="5BF722F2" w14:textId="2066F5F9" w:rsidR="0067462D" w:rsidRDefault="00DE299E" w:rsidP="0067462D">
      <w:pPr>
        <w:widowControl w:val="0"/>
        <w:autoSpaceDE w:val="0"/>
        <w:autoSpaceDN w:val="0"/>
        <w:adjustRightInd w:val="0"/>
        <w:spacing w:after="0" w:line="360" w:lineRule="auto"/>
        <w:ind w:left="1440" w:hanging="720"/>
        <w:jc w:val="both"/>
        <w:rPr>
          <w:rFonts w:ascii="Arial" w:hAnsi="Arial" w:cs="Arial"/>
          <w:sz w:val="24"/>
          <w:szCs w:val="24"/>
        </w:rPr>
      </w:pPr>
      <w:r>
        <w:rPr>
          <w:rFonts w:ascii="Arial" w:hAnsi="Arial" w:cs="Arial"/>
          <w:sz w:val="24"/>
          <w:szCs w:val="24"/>
        </w:rPr>
        <w:t>3</w:t>
      </w:r>
      <w:r w:rsidR="0067462D">
        <w:rPr>
          <w:rFonts w:ascii="Arial" w:hAnsi="Arial" w:cs="Arial"/>
          <w:sz w:val="24"/>
          <w:szCs w:val="24"/>
        </w:rPr>
        <w:t>.</w:t>
      </w:r>
      <w:r w:rsidR="0067462D">
        <w:rPr>
          <w:rFonts w:ascii="Arial" w:hAnsi="Arial" w:cs="Arial"/>
          <w:sz w:val="24"/>
          <w:szCs w:val="24"/>
        </w:rPr>
        <w:tab/>
        <w:t xml:space="preserve">First and Second Defendant shall pay the Plaintiff’s taxed or agreed </w:t>
      </w:r>
      <w:r>
        <w:rPr>
          <w:rFonts w:ascii="Arial" w:hAnsi="Arial" w:cs="Arial"/>
          <w:sz w:val="24"/>
          <w:szCs w:val="24"/>
        </w:rPr>
        <w:t xml:space="preserve">costs on an attorney and client scale, which will include the following, but will not be limited to: </w:t>
      </w:r>
    </w:p>
    <w:p w14:paraId="28F721DB" w14:textId="77777777" w:rsidR="00C63E83" w:rsidRDefault="00C63E83" w:rsidP="0067462D">
      <w:pPr>
        <w:widowControl w:val="0"/>
        <w:autoSpaceDE w:val="0"/>
        <w:autoSpaceDN w:val="0"/>
        <w:adjustRightInd w:val="0"/>
        <w:spacing w:after="0" w:line="360" w:lineRule="auto"/>
        <w:ind w:left="1440" w:hanging="720"/>
        <w:jc w:val="both"/>
        <w:rPr>
          <w:rFonts w:ascii="Arial" w:hAnsi="Arial" w:cs="Arial"/>
          <w:sz w:val="24"/>
          <w:szCs w:val="24"/>
        </w:rPr>
      </w:pPr>
    </w:p>
    <w:p w14:paraId="0A02CB6B" w14:textId="1F9D0F68" w:rsidR="00DE299E" w:rsidRDefault="00DE299E" w:rsidP="00DE299E">
      <w:pPr>
        <w:widowControl w:val="0"/>
        <w:autoSpaceDE w:val="0"/>
        <w:autoSpaceDN w:val="0"/>
        <w:adjustRightInd w:val="0"/>
        <w:spacing w:after="0" w:line="360" w:lineRule="auto"/>
        <w:ind w:left="216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The costs of the assessment of the Plaintiff, preparation of the medico-legal reports, reservation, preparation and consultation costs, which includes consultations with counsel of Dr. Versveld, Ms. Donaldson, Mr. Wittaker and Mr. Weideman. </w:t>
      </w:r>
    </w:p>
    <w:p w14:paraId="308D169F" w14:textId="77777777" w:rsidR="00DE299E" w:rsidRDefault="00DE299E" w:rsidP="00DE299E">
      <w:pPr>
        <w:widowControl w:val="0"/>
        <w:autoSpaceDE w:val="0"/>
        <w:autoSpaceDN w:val="0"/>
        <w:adjustRightInd w:val="0"/>
        <w:spacing w:after="0" w:line="360" w:lineRule="auto"/>
        <w:ind w:left="216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The travel, accommodation and attendance fees for purposes of trial for Mr. Weideman for the trial on 19 to 20 April 2022. </w:t>
      </w:r>
    </w:p>
    <w:p w14:paraId="138CF74F" w14:textId="26CA42B0" w:rsidR="00DE299E" w:rsidRDefault="00DE299E" w:rsidP="00DE299E">
      <w:pPr>
        <w:widowControl w:val="0"/>
        <w:autoSpaceDE w:val="0"/>
        <w:autoSpaceDN w:val="0"/>
        <w:adjustRightInd w:val="0"/>
        <w:spacing w:after="0" w:line="360" w:lineRule="auto"/>
        <w:ind w:left="216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The costs of both junior and senior counsel for trial on 19, 20 and 22 April 2022.</w:t>
      </w:r>
    </w:p>
    <w:p w14:paraId="16E37DF7" w14:textId="7CE20E11" w:rsidR="00DE299E" w:rsidRDefault="00DE299E" w:rsidP="005548F4">
      <w:pPr>
        <w:widowControl w:val="0"/>
        <w:autoSpaceDE w:val="0"/>
        <w:autoSpaceDN w:val="0"/>
        <w:adjustRightInd w:val="0"/>
        <w:spacing w:after="0" w:line="360" w:lineRule="auto"/>
        <w:ind w:left="216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The costs for the travel and accommodation of the Plaintiff’s attorney and counsel for the trial on 19 and 20 April 2022</w:t>
      </w:r>
      <w:r w:rsidR="005548F4">
        <w:rPr>
          <w:rFonts w:ascii="Arial" w:hAnsi="Arial" w:cs="Arial"/>
          <w:sz w:val="24"/>
          <w:szCs w:val="24"/>
        </w:rPr>
        <w:t>.</w:t>
      </w:r>
    </w:p>
    <w:p w14:paraId="38148B99" w14:textId="0977055E" w:rsidR="005C4C12" w:rsidRPr="00EB2564" w:rsidRDefault="005C4C12" w:rsidP="005548F4">
      <w:pPr>
        <w:spacing w:line="276" w:lineRule="auto"/>
        <w:rPr>
          <w:rFonts w:ascii="Arial" w:hAnsi="Arial" w:cs="Arial"/>
          <w:sz w:val="24"/>
          <w:szCs w:val="24"/>
        </w:rPr>
      </w:pPr>
    </w:p>
    <w:p w14:paraId="37907B89" w14:textId="04832EEF" w:rsidR="00F53342" w:rsidRDefault="00F53342" w:rsidP="005548F4">
      <w:pPr>
        <w:spacing w:after="0" w:line="276" w:lineRule="auto"/>
        <w:ind w:left="720" w:hanging="720"/>
        <w:jc w:val="right"/>
        <w:rPr>
          <w:rFonts w:ascii="Arial" w:hAnsi="Arial" w:cs="Arial"/>
          <w:sz w:val="24"/>
          <w:szCs w:val="24"/>
        </w:rPr>
      </w:pPr>
    </w:p>
    <w:p w14:paraId="0D24969A" w14:textId="77777777" w:rsidR="00054163" w:rsidRDefault="00054163" w:rsidP="005548F4">
      <w:pPr>
        <w:spacing w:after="0" w:line="276" w:lineRule="auto"/>
        <w:ind w:left="720" w:hanging="720"/>
        <w:jc w:val="right"/>
        <w:rPr>
          <w:rFonts w:ascii="Arial" w:hAnsi="Arial" w:cs="Arial"/>
          <w:sz w:val="24"/>
          <w:szCs w:val="24"/>
        </w:rPr>
      </w:pPr>
    </w:p>
    <w:p w14:paraId="284A83F2" w14:textId="2AA8DF5D" w:rsidR="00091DAB" w:rsidRPr="00EB2564"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_</w:t>
      </w:r>
      <w:r w:rsidR="00091DAB" w:rsidRPr="00EB2564">
        <w:rPr>
          <w:rFonts w:ascii="Arial" w:hAnsi="Arial" w:cs="Arial"/>
          <w:sz w:val="24"/>
          <w:szCs w:val="24"/>
        </w:rPr>
        <w:t>______________</w:t>
      </w:r>
    </w:p>
    <w:p w14:paraId="4DB494D5" w14:textId="1C3C4C59" w:rsidR="00091DAB"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P. J. LOUBSER</w:t>
      </w:r>
      <w:r w:rsidR="00091DAB" w:rsidRPr="00EB2564">
        <w:rPr>
          <w:rFonts w:ascii="Arial" w:hAnsi="Arial" w:cs="Arial"/>
          <w:sz w:val="24"/>
          <w:szCs w:val="24"/>
        </w:rPr>
        <w:t>, J</w:t>
      </w:r>
    </w:p>
    <w:p w14:paraId="2E075850" w14:textId="66BE23E9" w:rsidR="00507BFF" w:rsidRPr="00EB2564" w:rsidRDefault="00507BFF" w:rsidP="005548F4">
      <w:pPr>
        <w:tabs>
          <w:tab w:val="left" w:pos="1701"/>
        </w:tabs>
        <w:spacing w:line="276" w:lineRule="auto"/>
        <w:rPr>
          <w:rFonts w:ascii="Arial" w:hAnsi="Arial" w:cs="Arial"/>
          <w:color w:val="000000" w:themeColor="text1"/>
          <w:sz w:val="24"/>
          <w:szCs w:val="24"/>
        </w:rPr>
      </w:pPr>
    </w:p>
    <w:p w14:paraId="6AD3C53C" w14:textId="58B86360" w:rsidR="00711C20" w:rsidRPr="00EB2564" w:rsidRDefault="00DE299E" w:rsidP="005548F4">
      <w:pPr>
        <w:tabs>
          <w:tab w:val="left" w:pos="1701"/>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For the Plaintiff</w:t>
      </w:r>
      <w:r w:rsidR="00091DAB" w:rsidRPr="00EB2564">
        <w:rPr>
          <w:rFonts w:ascii="Arial" w:hAnsi="Arial" w:cs="Arial"/>
          <w:color w:val="000000" w:themeColor="text1"/>
          <w:sz w:val="24"/>
          <w:szCs w:val="24"/>
        </w:rPr>
        <w:t>:</w:t>
      </w:r>
      <w:r w:rsidR="00091DAB" w:rsidRPr="00EB2564">
        <w:rPr>
          <w:rFonts w:ascii="Arial" w:hAnsi="Arial" w:cs="Arial"/>
          <w:color w:val="000000" w:themeColor="text1"/>
          <w:sz w:val="24"/>
          <w:szCs w:val="24"/>
        </w:rPr>
        <w:tab/>
      </w:r>
      <w:r w:rsidR="00091DAB" w:rsidRPr="00EB2564">
        <w:rPr>
          <w:rFonts w:ascii="Arial" w:hAnsi="Arial" w:cs="Arial"/>
          <w:color w:val="000000" w:themeColor="text1"/>
          <w:sz w:val="24"/>
          <w:szCs w:val="24"/>
        </w:rPr>
        <w:tab/>
      </w:r>
      <w:r w:rsidR="00091DAB" w:rsidRPr="00EB2564">
        <w:rPr>
          <w:rFonts w:ascii="Arial" w:hAnsi="Arial" w:cs="Arial"/>
          <w:color w:val="000000" w:themeColor="text1"/>
          <w:sz w:val="24"/>
          <w:szCs w:val="24"/>
        </w:rPr>
        <w:tab/>
      </w:r>
      <w:r>
        <w:rPr>
          <w:rFonts w:ascii="Arial" w:hAnsi="Arial" w:cs="Arial"/>
          <w:color w:val="000000" w:themeColor="text1"/>
          <w:sz w:val="24"/>
          <w:szCs w:val="24"/>
        </w:rPr>
        <w:t xml:space="preserve">          </w:t>
      </w:r>
      <w:r w:rsidR="00711C20" w:rsidRPr="00EB2564">
        <w:rPr>
          <w:rFonts w:ascii="Arial" w:hAnsi="Arial" w:cs="Arial"/>
          <w:color w:val="000000" w:themeColor="text1"/>
          <w:sz w:val="24"/>
          <w:szCs w:val="24"/>
        </w:rPr>
        <w:t xml:space="preserve">Adv. </w:t>
      </w:r>
      <w:r>
        <w:rPr>
          <w:rFonts w:ascii="Arial" w:hAnsi="Arial" w:cs="Arial"/>
          <w:color w:val="000000" w:themeColor="text1"/>
          <w:sz w:val="24"/>
          <w:szCs w:val="24"/>
        </w:rPr>
        <w:t>J.J. Wessels SC with Adv. C Vallaro</w:t>
      </w:r>
      <w:r w:rsidR="00182D08">
        <w:rPr>
          <w:rFonts w:ascii="Arial" w:hAnsi="Arial" w:cs="Arial"/>
          <w:color w:val="000000" w:themeColor="text1"/>
          <w:sz w:val="24"/>
          <w:szCs w:val="24"/>
        </w:rPr>
        <w:t xml:space="preserve"> </w:t>
      </w:r>
    </w:p>
    <w:p w14:paraId="59427646" w14:textId="18984AFE" w:rsidR="00711C20" w:rsidRDefault="00711C20" w:rsidP="005548F4">
      <w:pPr>
        <w:tabs>
          <w:tab w:val="left" w:pos="1701"/>
        </w:tabs>
        <w:spacing w:line="276" w:lineRule="auto"/>
        <w:ind w:left="3544" w:hanging="3544"/>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sidR="00DE299E">
        <w:rPr>
          <w:rFonts w:ascii="Arial" w:hAnsi="Arial" w:cs="Arial"/>
          <w:color w:val="000000" w:themeColor="text1"/>
          <w:sz w:val="24"/>
          <w:szCs w:val="24"/>
        </w:rPr>
        <w:tab/>
      </w:r>
      <w:r w:rsidR="00DE299E">
        <w:rPr>
          <w:rFonts w:ascii="Arial" w:hAnsi="Arial" w:cs="Arial"/>
          <w:color w:val="000000" w:themeColor="text1"/>
          <w:sz w:val="24"/>
          <w:szCs w:val="24"/>
        </w:rPr>
        <w:tab/>
        <w:t xml:space="preserve">Munro, Flowers &amp; Vermaak </w:t>
      </w:r>
      <w:r w:rsidR="004303A5" w:rsidRPr="00EB2564">
        <w:rPr>
          <w:rFonts w:ascii="Arial" w:hAnsi="Arial" w:cs="Arial"/>
          <w:color w:val="000000" w:themeColor="text1"/>
          <w:sz w:val="24"/>
          <w:szCs w:val="24"/>
        </w:rPr>
        <w:t>Attorneys</w:t>
      </w:r>
    </w:p>
    <w:p w14:paraId="1D46B244" w14:textId="18707810" w:rsidR="00FD3E8A" w:rsidRDefault="00DE299E" w:rsidP="00FD3E8A">
      <w:pPr>
        <w:tabs>
          <w:tab w:val="left" w:pos="1701"/>
        </w:tabs>
        <w:spacing w:line="276" w:lineRule="auto"/>
        <w:ind w:left="3544" w:hanging="354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 xml:space="preserve">c/o Lovius Block Attorneys, </w:t>
      </w:r>
      <w:r w:rsidR="00711C20" w:rsidRPr="00EB2564">
        <w:rPr>
          <w:rFonts w:ascii="Arial" w:hAnsi="Arial" w:cs="Arial"/>
          <w:color w:val="000000" w:themeColor="text1"/>
          <w:sz w:val="24"/>
          <w:szCs w:val="24"/>
        </w:rPr>
        <w:t>B</w:t>
      </w:r>
      <w:r w:rsidR="004303A5" w:rsidRPr="00EB2564">
        <w:rPr>
          <w:rFonts w:ascii="Arial" w:hAnsi="Arial" w:cs="Arial"/>
          <w:color w:val="000000" w:themeColor="text1"/>
          <w:sz w:val="24"/>
          <w:szCs w:val="24"/>
        </w:rPr>
        <w:t>loemfontein</w:t>
      </w:r>
    </w:p>
    <w:p w14:paraId="2DBAAC58" w14:textId="77777777" w:rsidR="00054163" w:rsidRPr="00EB2564" w:rsidRDefault="00054163" w:rsidP="00FD3E8A">
      <w:pPr>
        <w:tabs>
          <w:tab w:val="left" w:pos="1701"/>
        </w:tabs>
        <w:spacing w:line="276" w:lineRule="auto"/>
        <w:ind w:left="3544" w:hanging="3544"/>
        <w:jc w:val="both"/>
        <w:rPr>
          <w:rFonts w:ascii="Arial" w:hAnsi="Arial" w:cs="Arial"/>
          <w:color w:val="000000" w:themeColor="text1"/>
          <w:sz w:val="24"/>
          <w:szCs w:val="24"/>
        </w:rPr>
      </w:pPr>
    </w:p>
    <w:p w14:paraId="1F190D95" w14:textId="555CA73B" w:rsidR="00711C20" w:rsidRPr="00EB2564" w:rsidRDefault="007C2D09" w:rsidP="005548F4">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F</w:t>
      </w:r>
      <w:r w:rsidR="00182D08">
        <w:rPr>
          <w:rFonts w:ascii="Arial" w:hAnsi="Arial" w:cs="Arial"/>
          <w:color w:val="000000" w:themeColor="text1"/>
          <w:sz w:val="24"/>
          <w:szCs w:val="24"/>
        </w:rPr>
        <w:t>or</w:t>
      </w:r>
      <w:r w:rsidR="00DE299E">
        <w:rPr>
          <w:rFonts w:ascii="Arial" w:hAnsi="Arial" w:cs="Arial"/>
          <w:color w:val="000000" w:themeColor="text1"/>
          <w:sz w:val="24"/>
          <w:szCs w:val="24"/>
        </w:rPr>
        <w:t xml:space="preserve"> the Defendants</w:t>
      </w:r>
      <w:r w:rsidR="004303A5" w:rsidRPr="00EB2564">
        <w:rPr>
          <w:rFonts w:ascii="Arial" w:hAnsi="Arial" w:cs="Arial"/>
          <w:color w:val="000000" w:themeColor="text1"/>
          <w:sz w:val="24"/>
          <w:szCs w:val="24"/>
        </w:rPr>
        <w:t>:</w:t>
      </w:r>
      <w:r w:rsidR="004303A5" w:rsidRPr="00EB2564">
        <w:rPr>
          <w:rFonts w:ascii="Arial" w:hAnsi="Arial" w:cs="Arial"/>
          <w:color w:val="000000" w:themeColor="text1"/>
          <w:sz w:val="24"/>
          <w:szCs w:val="24"/>
        </w:rPr>
        <w:tab/>
      </w:r>
      <w:r w:rsidR="00EB2564">
        <w:rPr>
          <w:rFonts w:ascii="Arial" w:hAnsi="Arial" w:cs="Arial"/>
          <w:color w:val="000000" w:themeColor="text1"/>
          <w:sz w:val="24"/>
          <w:szCs w:val="24"/>
        </w:rPr>
        <w:tab/>
      </w:r>
      <w:r w:rsidR="00182D08">
        <w:rPr>
          <w:rFonts w:ascii="Arial" w:hAnsi="Arial" w:cs="Arial"/>
          <w:color w:val="000000" w:themeColor="text1"/>
          <w:sz w:val="24"/>
          <w:szCs w:val="24"/>
        </w:rPr>
        <w:tab/>
      </w:r>
      <w:r w:rsidR="00711C20" w:rsidRPr="00EB2564">
        <w:rPr>
          <w:rFonts w:ascii="Arial" w:hAnsi="Arial" w:cs="Arial"/>
          <w:color w:val="000000" w:themeColor="text1"/>
          <w:sz w:val="24"/>
          <w:szCs w:val="24"/>
        </w:rPr>
        <w:t xml:space="preserve">Adv. </w:t>
      </w:r>
      <w:r w:rsidR="00DE299E">
        <w:rPr>
          <w:rFonts w:ascii="Arial" w:hAnsi="Arial" w:cs="Arial"/>
          <w:color w:val="000000" w:themeColor="text1"/>
          <w:sz w:val="24"/>
          <w:szCs w:val="24"/>
        </w:rPr>
        <w:t>F. Grobler SC</w:t>
      </w:r>
    </w:p>
    <w:p w14:paraId="3859C239" w14:textId="50255626" w:rsidR="00182D08" w:rsidRDefault="00711C20" w:rsidP="005548F4">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sidRPr="00EB2564">
        <w:rPr>
          <w:rFonts w:ascii="Arial" w:hAnsi="Arial" w:cs="Arial"/>
          <w:color w:val="000000" w:themeColor="text1"/>
          <w:sz w:val="24"/>
          <w:szCs w:val="24"/>
        </w:rPr>
        <w:tab/>
      </w:r>
      <w:r w:rsidRPr="00EB2564">
        <w:rPr>
          <w:rFonts w:ascii="Arial" w:hAnsi="Arial" w:cs="Arial"/>
          <w:color w:val="000000" w:themeColor="text1"/>
          <w:sz w:val="24"/>
          <w:szCs w:val="24"/>
        </w:rPr>
        <w:tab/>
      </w:r>
      <w:r w:rsidRPr="00EB2564">
        <w:rPr>
          <w:rFonts w:ascii="Arial" w:hAnsi="Arial" w:cs="Arial"/>
          <w:color w:val="000000" w:themeColor="text1"/>
          <w:sz w:val="24"/>
          <w:szCs w:val="24"/>
        </w:rPr>
        <w:tab/>
      </w:r>
      <w:r w:rsidRPr="00EB2564">
        <w:rPr>
          <w:rFonts w:ascii="Arial" w:hAnsi="Arial" w:cs="Arial"/>
          <w:color w:val="000000" w:themeColor="text1"/>
          <w:sz w:val="24"/>
          <w:szCs w:val="24"/>
        </w:rPr>
        <w:tab/>
      </w:r>
      <w:r w:rsidR="0058757C">
        <w:rPr>
          <w:rFonts w:ascii="Arial" w:hAnsi="Arial" w:cs="Arial"/>
          <w:color w:val="000000" w:themeColor="text1"/>
          <w:sz w:val="24"/>
          <w:szCs w:val="24"/>
        </w:rPr>
        <w:t>Ditsela</w:t>
      </w:r>
      <w:r w:rsidR="00182D08">
        <w:rPr>
          <w:rFonts w:ascii="Arial" w:hAnsi="Arial" w:cs="Arial"/>
          <w:color w:val="000000" w:themeColor="text1"/>
          <w:sz w:val="24"/>
          <w:szCs w:val="24"/>
        </w:rPr>
        <w:t xml:space="preserve"> Inc.</w:t>
      </w:r>
    </w:p>
    <w:p w14:paraId="2C4A3FBE" w14:textId="2F76DC4F" w:rsidR="00091DAB" w:rsidRPr="005548F4" w:rsidRDefault="00182D08" w:rsidP="005548F4">
      <w:pPr>
        <w:tabs>
          <w:tab w:val="left" w:pos="1701"/>
        </w:tabs>
        <w:spacing w:line="276" w:lineRule="auto"/>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58757C">
        <w:rPr>
          <w:rFonts w:ascii="Arial" w:hAnsi="Arial" w:cs="Arial"/>
          <w:color w:val="000000" w:themeColor="text1"/>
          <w:sz w:val="24"/>
          <w:szCs w:val="24"/>
        </w:rPr>
        <w:t xml:space="preserve">c/o Phatshoane Henney Attorneys, </w:t>
      </w:r>
      <w:r w:rsidR="00711C20" w:rsidRPr="00EB2564">
        <w:rPr>
          <w:rFonts w:ascii="Arial" w:hAnsi="Arial" w:cs="Arial"/>
          <w:color w:val="000000" w:themeColor="text1"/>
          <w:sz w:val="24"/>
          <w:szCs w:val="24"/>
        </w:rPr>
        <w:t>B</w:t>
      </w:r>
      <w:r w:rsidR="004303A5" w:rsidRPr="00EB2564">
        <w:rPr>
          <w:rFonts w:ascii="Arial" w:hAnsi="Arial" w:cs="Arial"/>
          <w:color w:val="000000" w:themeColor="text1"/>
          <w:sz w:val="24"/>
          <w:szCs w:val="24"/>
        </w:rPr>
        <w:t>loemfontein</w:t>
      </w:r>
    </w:p>
    <w:sectPr w:rsidR="00091DAB" w:rsidRPr="005548F4" w:rsidSect="0037497E">
      <w:headerReference w:type="default" r:id="rId10"/>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94226" w14:textId="77777777" w:rsidR="00F64D11" w:rsidRDefault="00F64D11" w:rsidP="00A603BB">
      <w:pPr>
        <w:spacing w:after="0" w:line="240" w:lineRule="auto"/>
      </w:pPr>
      <w:r>
        <w:separator/>
      </w:r>
    </w:p>
  </w:endnote>
  <w:endnote w:type="continuationSeparator" w:id="0">
    <w:p w14:paraId="77269609" w14:textId="77777777" w:rsidR="00F64D11" w:rsidRDefault="00F64D11" w:rsidP="00A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20B0603030804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FCE71" w14:textId="77777777" w:rsidR="00F64D11" w:rsidRDefault="00F64D11" w:rsidP="00A603BB">
      <w:pPr>
        <w:spacing w:after="0" w:line="240" w:lineRule="auto"/>
      </w:pPr>
      <w:r>
        <w:separator/>
      </w:r>
    </w:p>
  </w:footnote>
  <w:footnote w:type="continuationSeparator" w:id="0">
    <w:p w14:paraId="125F839C" w14:textId="77777777" w:rsidR="00F64D11" w:rsidRDefault="00F64D11" w:rsidP="00A603BB">
      <w:pPr>
        <w:spacing w:after="0" w:line="240" w:lineRule="auto"/>
      </w:pPr>
      <w:r>
        <w:continuationSeparator/>
      </w:r>
    </w:p>
  </w:footnote>
  <w:footnote w:id="1">
    <w:p w14:paraId="5F7CB5E6" w14:textId="716B4CE4" w:rsidR="00E85846" w:rsidRDefault="00E85846">
      <w:pPr>
        <w:pStyle w:val="FootnoteText"/>
      </w:pPr>
      <w:r>
        <w:rPr>
          <w:rStyle w:val="FootnoteReference"/>
        </w:rPr>
        <w:footnoteRef/>
      </w:r>
      <w:r>
        <w:t xml:space="preserve"> Act 68 of 1969</w:t>
      </w:r>
    </w:p>
  </w:footnote>
  <w:footnote w:id="2">
    <w:p w14:paraId="68AB10E5" w14:textId="5D602D16" w:rsidR="00EB2F5E" w:rsidRDefault="00EB2F5E">
      <w:pPr>
        <w:pStyle w:val="FootnoteText"/>
      </w:pPr>
      <w:r>
        <w:rPr>
          <w:rStyle w:val="FootnoteReference"/>
        </w:rPr>
        <w:footnoteRef/>
      </w:r>
      <w:r>
        <w:t xml:space="preserve"> 2016(4) SA 414 (CC)</w:t>
      </w:r>
    </w:p>
  </w:footnote>
  <w:footnote w:id="3">
    <w:p w14:paraId="58863130" w14:textId="470776D0" w:rsidR="00C44933" w:rsidRDefault="00C44933">
      <w:pPr>
        <w:pStyle w:val="FootnoteText"/>
      </w:pPr>
      <w:r>
        <w:rPr>
          <w:rStyle w:val="FootnoteReference"/>
        </w:rPr>
        <w:footnoteRef/>
      </w:r>
      <w:r>
        <w:t xml:space="preserve"> </w:t>
      </w:r>
      <w:r w:rsidR="00FF3D1E">
        <w:t>2006 (4) SA 168 at par 16</w:t>
      </w:r>
    </w:p>
  </w:footnote>
  <w:footnote w:id="4">
    <w:p w14:paraId="58C71E04" w14:textId="30DAD052" w:rsidR="00FF3D1E" w:rsidRDefault="00FF3D1E">
      <w:pPr>
        <w:pStyle w:val="FootnoteText"/>
      </w:pPr>
      <w:r>
        <w:rPr>
          <w:rStyle w:val="FootnoteReference"/>
        </w:rPr>
        <w:footnoteRef/>
      </w:r>
      <w:r>
        <w:t xml:space="preserve"> Par 19 in the Truter case</w:t>
      </w:r>
    </w:p>
  </w:footnote>
  <w:footnote w:id="5">
    <w:p w14:paraId="086718EF" w14:textId="1ED5016A" w:rsidR="00312E85" w:rsidRDefault="00312E85">
      <w:pPr>
        <w:pStyle w:val="FootnoteText"/>
      </w:pPr>
      <w:r>
        <w:rPr>
          <w:rStyle w:val="FootnoteReference"/>
        </w:rPr>
        <w:footnoteRef/>
      </w:r>
      <w:r>
        <w:t xml:space="preserve"> </w:t>
      </w:r>
      <w:r w:rsidR="0019275C">
        <w:t>2007(1) SA 111 (SCA) par 18</w:t>
      </w:r>
    </w:p>
  </w:footnote>
  <w:footnote w:id="6">
    <w:p w14:paraId="332C7AE1" w14:textId="74E43986" w:rsidR="000368DC" w:rsidRDefault="000368DC">
      <w:pPr>
        <w:pStyle w:val="FootnoteText"/>
      </w:pPr>
      <w:r>
        <w:rPr>
          <w:rStyle w:val="FootnoteReference"/>
        </w:rPr>
        <w:footnoteRef/>
      </w:r>
      <w:r>
        <w:t xml:space="preserve"> Par 45 of the Judgement</w:t>
      </w:r>
    </w:p>
  </w:footnote>
  <w:footnote w:id="7">
    <w:p w14:paraId="007DF247" w14:textId="4FD97DF9" w:rsidR="000368DC" w:rsidRDefault="000368DC">
      <w:pPr>
        <w:pStyle w:val="FootnoteText"/>
      </w:pPr>
      <w:r>
        <w:rPr>
          <w:rStyle w:val="FootnoteReference"/>
        </w:rPr>
        <w:footnoteRef/>
      </w:r>
      <w:r>
        <w:t xml:space="preserve"> Par 46 of the Judgement</w:t>
      </w:r>
    </w:p>
  </w:footnote>
  <w:footnote w:id="8">
    <w:p w14:paraId="3BB09B5D" w14:textId="2C3EE432" w:rsidR="006B479A" w:rsidRDefault="006B479A">
      <w:pPr>
        <w:pStyle w:val="FootnoteText"/>
      </w:pPr>
      <w:r>
        <w:rPr>
          <w:rStyle w:val="FootnoteReference"/>
        </w:rPr>
        <w:footnoteRef/>
      </w:r>
      <w:r>
        <w:t xml:space="preserve"> Par 47 of the Judgement</w:t>
      </w:r>
    </w:p>
  </w:footnote>
  <w:footnote w:id="9">
    <w:p w14:paraId="6008CEA2" w14:textId="25E32255" w:rsidR="00124BA6" w:rsidRDefault="00124BA6">
      <w:pPr>
        <w:pStyle w:val="FootnoteText"/>
      </w:pPr>
      <w:r>
        <w:rPr>
          <w:rStyle w:val="FootnoteReference"/>
        </w:rPr>
        <w:footnoteRef/>
      </w:r>
      <w:r>
        <w:t xml:space="preserve"> See Par 17.1 above</w:t>
      </w:r>
    </w:p>
  </w:footnote>
  <w:footnote w:id="10">
    <w:p w14:paraId="4C0ED454" w14:textId="31A22D7C" w:rsidR="0077294E" w:rsidRDefault="0077294E">
      <w:pPr>
        <w:pStyle w:val="FootnoteText"/>
      </w:pPr>
      <w:r>
        <w:rPr>
          <w:rStyle w:val="FootnoteReference"/>
        </w:rPr>
        <w:footnoteRef/>
      </w:r>
      <w:r>
        <w:t xml:space="preserve"> See for instance Ekman v Venter &amp; Volschenk Attorneys and another ZAGPPHC 358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44108"/>
      <w:docPartObj>
        <w:docPartGallery w:val="Page Numbers (Top of Page)"/>
        <w:docPartUnique/>
      </w:docPartObj>
    </w:sdtPr>
    <w:sdtEndPr>
      <w:rPr>
        <w:noProof/>
      </w:rPr>
    </w:sdtEndPr>
    <w:sdtContent>
      <w:p w14:paraId="74F087A5" w14:textId="1FD72D97" w:rsidR="00E85846" w:rsidRDefault="00E85846">
        <w:pPr>
          <w:pStyle w:val="Header"/>
          <w:jc w:val="right"/>
        </w:pPr>
        <w:r>
          <w:fldChar w:fldCharType="begin"/>
        </w:r>
        <w:r>
          <w:instrText xml:space="preserve"> PAGE   \* MERGEFORMAT </w:instrText>
        </w:r>
        <w:r>
          <w:fldChar w:fldCharType="separate"/>
        </w:r>
        <w:r w:rsidR="0070754A">
          <w:rPr>
            <w:noProof/>
          </w:rPr>
          <w:t>11</w:t>
        </w:r>
        <w:r>
          <w:rPr>
            <w:noProof/>
          </w:rPr>
          <w:fldChar w:fldCharType="end"/>
        </w:r>
      </w:p>
    </w:sdtContent>
  </w:sdt>
  <w:p w14:paraId="4A90BABA" w14:textId="77777777" w:rsidR="00E85846" w:rsidRDefault="00E85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ind w:left="142" w:firstLine="0"/>
      </w:pPr>
      <w:rPr>
        <w:rFonts w:ascii="Times New Roman" w:hAnsi="Times New Roman"/>
        <w:sz w:val="28"/>
      </w:rPr>
    </w:lvl>
  </w:abstractNum>
  <w:abstractNum w:abstractNumId="1" w15:restartNumberingAfterBreak="0">
    <w:nsid w:val="0A797277"/>
    <w:multiLevelType w:val="hybridMultilevel"/>
    <w:tmpl w:val="C238555A"/>
    <w:lvl w:ilvl="0" w:tplc="FD1A81C4">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CB620CA"/>
    <w:multiLevelType w:val="hybridMultilevel"/>
    <w:tmpl w:val="ACF6EAB6"/>
    <w:lvl w:ilvl="0" w:tplc="07BC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50A32"/>
    <w:multiLevelType w:val="hybridMultilevel"/>
    <w:tmpl w:val="9030E7F8"/>
    <w:lvl w:ilvl="0" w:tplc="D1461DAC">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6493B3F"/>
    <w:multiLevelType w:val="hybridMultilevel"/>
    <w:tmpl w:val="1B444A5A"/>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5" w15:restartNumberingAfterBreak="0">
    <w:nsid w:val="37841145"/>
    <w:multiLevelType w:val="hybridMultilevel"/>
    <w:tmpl w:val="526ED7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F570B1C"/>
    <w:multiLevelType w:val="hybridMultilevel"/>
    <w:tmpl w:val="29006DCE"/>
    <w:lvl w:ilvl="0" w:tplc="63948490">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46E45CA"/>
    <w:multiLevelType w:val="hybridMultilevel"/>
    <w:tmpl w:val="C8A85E40"/>
    <w:lvl w:ilvl="0" w:tplc="6C5A2124">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5C22454B"/>
    <w:multiLevelType w:val="hybridMultilevel"/>
    <w:tmpl w:val="079C3486"/>
    <w:lvl w:ilvl="0" w:tplc="668C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A5543"/>
    <w:multiLevelType w:val="hybridMultilevel"/>
    <w:tmpl w:val="5E0EB4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7"/>
  </w:num>
  <w:num w:numId="2">
    <w:abstractNumId w:val="3"/>
  </w:num>
  <w:num w:numId="3">
    <w:abstractNumId w:val="8"/>
  </w:num>
  <w:num w:numId="4">
    <w:abstractNumId w:val="2"/>
  </w:num>
  <w:num w:numId="5">
    <w:abstractNumId w:val="9"/>
  </w:num>
  <w:num w:numId="6">
    <w:abstractNumId w:val="1"/>
  </w:num>
  <w:num w:numId="7">
    <w:abstractNumId w:val="6"/>
  </w:num>
  <w:num w:numId="8">
    <w:abstractNumId w:val="4"/>
  </w:num>
  <w:num w:numId="9">
    <w:abstractNumId w:val="5"/>
  </w:num>
  <w:num w:numId="10">
    <w:abstractNumId w:val="0"/>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B"/>
    <w:rsid w:val="00000CED"/>
    <w:rsid w:val="00014516"/>
    <w:rsid w:val="00023903"/>
    <w:rsid w:val="0002450A"/>
    <w:rsid w:val="00025384"/>
    <w:rsid w:val="000368DC"/>
    <w:rsid w:val="00052A89"/>
    <w:rsid w:val="00054163"/>
    <w:rsid w:val="000546BC"/>
    <w:rsid w:val="0005789D"/>
    <w:rsid w:val="0006366C"/>
    <w:rsid w:val="000707A9"/>
    <w:rsid w:val="00071B25"/>
    <w:rsid w:val="00072BCC"/>
    <w:rsid w:val="000741EB"/>
    <w:rsid w:val="00077DAD"/>
    <w:rsid w:val="00082426"/>
    <w:rsid w:val="00090844"/>
    <w:rsid w:val="000917D4"/>
    <w:rsid w:val="00091DAB"/>
    <w:rsid w:val="00092E2D"/>
    <w:rsid w:val="0009342F"/>
    <w:rsid w:val="000937EC"/>
    <w:rsid w:val="000962F1"/>
    <w:rsid w:val="000968C8"/>
    <w:rsid w:val="000A28E9"/>
    <w:rsid w:val="000B5E07"/>
    <w:rsid w:val="000C02A5"/>
    <w:rsid w:val="000E12C4"/>
    <w:rsid w:val="000F6F85"/>
    <w:rsid w:val="000F7D26"/>
    <w:rsid w:val="00106F3A"/>
    <w:rsid w:val="00110B99"/>
    <w:rsid w:val="00117292"/>
    <w:rsid w:val="00117488"/>
    <w:rsid w:val="00120212"/>
    <w:rsid w:val="00124BA6"/>
    <w:rsid w:val="00127183"/>
    <w:rsid w:val="00131F9A"/>
    <w:rsid w:val="00143993"/>
    <w:rsid w:val="00147703"/>
    <w:rsid w:val="00154E2E"/>
    <w:rsid w:val="00174303"/>
    <w:rsid w:val="001748F7"/>
    <w:rsid w:val="00182CFA"/>
    <w:rsid w:val="00182D08"/>
    <w:rsid w:val="0019275C"/>
    <w:rsid w:val="001A1C93"/>
    <w:rsid w:val="001A27F7"/>
    <w:rsid w:val="001A29A5"/>
    <w:rsid w:val="001A4C08"/>
    <w:rsid w:val="001A5879"/>
    <w:rsid w:val="001C1C9D"/>
    <w:rsid w:val="001C7378"/>
    <w:rsid w:val="001D3DC7"/>
    <w:rsid w:val="001D5A74"/>
    <w:rsid w:val="001F2DA1"/>
    <w:rsid w:val="001F3692"/>
    <w:rsid w:val="00214448"/>
    <w:rsid w:val="00232036"/>
    <w:rsid w:val="00232EA0"/>
    <w:rsid w:val="00232FF6"/>
    <w:rsid w:val="002447A0"/>
    <w:rsid w:val="00261691"/>
    <w:rsid w:val="00266A9C"/>
    <w:rsid w:val="00272513"/>
    <w:rsid w:val="00272679"/>
    <w:rsid w:val="00283D2D"/>
    <w:rsid w:val="00285D41"/>
    <w:rsid w:val="002A7635"/>
    <w:rsid w:val="002C575F"/>
    <w:rsid w:val="002C79A5"/>
    <w:rsid w:val="002D60C8"/>
    <w:rsid w:val="002E104D"/>
    <w:rsid w:val="00300AF3"/>
    <w:rsid w:val="003038F8"/>
    <w:rsid w:val="00310EB7"/>
    <w:rsid w:val="00312E85"/>
    <w:rsid w:val="00312F90"/>
    <w:rsid w:val="00315E43"/>
    <w:rsid w:val="00320188"/>
    <w:rsid w:val="00327BB7"/>
    <w:rsid w:val="00327BC7"/>
    <w:rsid w:val="00335AE4"/>
    <w:rsid w:val="0035552D"/>
    <w:rsid w:val="00361F8D"/>
    <w:rsid w:val="00363879"/>
    <w:rsid w:val="0036666E"/>
    <w:rsid w:val="00370DEF"/>
    <w:rsid w:val="0037497E"/>
    <w:rsid w:val="00381EAB"/>
    <w:rsid w:val="0039001D"/>
    <w:rsid w:val="00391977"/>
    <w:rsid w:val="003B0957"/>
    <w:rsid w:val="003B0B71"/>
    <w:rsid w:val="003C77DD"/>
    <w:rsid w:val="003E1C6C"/>
    <w:rsid w:val="003E7369"/>
    <w:rsid w:val="003F1D9C"/>
    <w:rsid w:val="003F4D8C"/>
    <w:rsid w:val="003F7F14"/>
    <w:rsid w:val="00405B43"/>
    <w:rsid w:val="004075D5"/>
    <w:rsid w:val="00421371"/>
    <w:rsid w:val="004303A5"/>
    <w:rsid w:val="004369DA"/>
    <w:rsid w:val="0044509D"/>
    <w:rsid w:val="004604AA"/>
    <w:rsid w:val="004614AB"/>
    <w:rsid w:val="00463483"/>
    <w:rsid w:val="004640F3"/>
    <w:rsid w:val="00483C17"/>
    <w:rsid w:val="004867B7"/>
    <w:rsid w:val="004C2DF1"/>
    <w:rsid w:val="004C55CD"/>
    <w:rsid w:val="004D0C47"/>
    <w:rsid w:val="004D4974"/>
    <w:rsid w:val="004D5B9C"/>
    <w:rsid w:val="004F2A4E"/>
    <w:rsid w:val="004F3771"/>
    <w:rsid w:val="004F3B87"/>
    <w:rsid w:val="004F3E58"/>
    <w:rsid w:val="004F5F63"/>
    <w:rsid w:val="004F62CC"/>
    <w:rsid w:val="00500DD0"/>
    <w:rsid w:val="00503CC3"/>
    <w:rsid w:val="00507BFF"/>
    <w:rsid w:val="00514845"/>
    <w:rsid w:val="0052741E"/>
    <w:rsid w:val="00536B2C"/>
    <w:rsid w:val="005404C5"/>
    <w:rsid w:val="005454DA"/>
    <w:rsid w:val="00554719"/>
    <w:rsid w:val="005548F4"/>
    <w:rsid w:val="00585D0B"/>
    <w:rsid w:val="00586427"/>
    <w:rsid w:val="0058757C"/>
    <w:rsid w:val="005954E1"/>
    <w:rsid w:val="005B034C"/>
    <w:rsid w:val="005C4C12"/>
    <w:rsid w:val="005C6D51"/>
    <w:rsid w:val="005E6F34"/>
    <w:rsid w:val="005E7F11"/>
    <w:rsid w:val="0060172F"/>
    <w:rsid w:val="00616CE2"/>
    <w:rsid w:val="00644FEC"/>
    <w:rsid w:val="006464B3"/>
    <w:rsid w:val="006475ED"/>
    <w:rsid w:val="00651929"/>
    <w:rsid w:val="006553C9"/>
    <w:rsid w:val="006622E0"/>
    <w:rsid w:val="00663AFC"/>
    <w:rsid w:val="00665608"/>
    <w:rsid w:val="006713C7"/>
    <w:rsid w:val="00672A97"/>
    <w:rsid w:val="0067462D"/>
    <w:rsid w:val="00674772"/>
    <w:rsid w:val="00683CFC"/>
    <w:rsid w:val="00691041"/>
    <w:rsid w:val="006A5125"/>
    <w:rsid w:val="006B479A"/>
    <w:rsid w:val="006C20A0"/>
    <w:rsid w:val="006F36C7"/>
    <w:rsid w:val="0070034D"/>
    <w:rsid w:val="007003D7"/>
    <w:rsid w:val="007022E3"/>
    <w:rsid w:val="0070705C"/>
    <w:rsid w:val="0070754A"/>
    <w:rsid w:val="00710DBE"/>
    <w:rsid w:val="00711C20"/>
    <w:rsid w:val="0071316D"/>
    <w:rsid w:val="007201D7"/>
    <w:rsid w:val="007264B9"/>
    <w:rsid w:val="007266D1"/>
    <w:rsid w:val="00737C36"/>
    <w:rsid w:val="007411F9"/>
    <w:rsid w:val="007452E1"/>
    <w:rsid w:val="007464F1"/>
    <w:rsid w:val="00746A8C"/>
    <w:rsid w:val="00770516"/>
    <w:rsid w:val="0077294E"/>
    <w:rsid w:val="00776AA3"/>
    <w:rsid w:val="00787D15"/>
    <w:rsid w:val="007933F8"/>
    <w:rsid w:val="00797AFF"/>
    <w:rsid w:val="007A1510"/>
    <w:rsid w:val="007A734E"/>
    <w:rsid w:val="007B7F42"/>
    <w:rsid w:val="007C0005"/>
    <w:rsid w:val="007C2D09"/>
    <w:rsid w:val="007C7740"/>
    <w:rsid w:val="007E179D"/>
    <w:rsid w:val="007E302C"/>
    <w:rsid w:val="007E3A18"/>
    <w:rsid w:val="007E72B5"/>
    <w:rsid w:val="007F2A92"/>
    <w:rsid w:val="007F37E2"/>
    <w:rsid w:val="007F408A"/>
    <w:rsid w:val="008070FE"/>
    <w:rsid w:val="00821385"/>
    <w:rsid w:val="008334F4"/>
    <w:rsid w:val="00845A38"/>
    <w:rsid w:val="00852021"/>
    <w:rsid w:val="008533E1"/>
    <w:rsid w:val="00866F8A"/>
    <w:rsid w:val="00875E90"/>
    <w:rsid w:val="00881EE9"/>
    <w:rsid w:val="008860D4"/>
    <w:rsid w:val="008A0354"/>
    <w:rsid w:val="008A2061"/>
    <w:rsid w:val="008A4E1D"/>
    <w:rsid w:val="008B0047"/>
    <w:rsid w:val="008C2848"/>
    <w:rsid w:val="008C319C"/>
    <w:rsid w:val="008D53F2"/>
    <w:rsid w:val="008E3B89"/>
    <w:rsid w:val="008F1AC5"/>
    <w:rsid w:val="008F279B"/>
    <w:rsid w:val="008F44D8"/>
    <w:rsid w:val="008F48A6"/>
    <w:rsid w:val="0090238E"/>
    <w:rsid w:val="00907B90"/>
    <w:rsid w:val="0091039D"/>
    <w:rsid w:val="0093463A"/>
    <w:rsid w:val="00956CBC"/>
    <w:rsid w:val="00961875"/>
    <w:rsid w:val="00967DBF"/>
    <w:rsid w:val="00985B5D"/>
    <w:rsid w:val="0099412F"/>
    <w:rsid w:val="009A33EF"/>
    <w:rsid w:val="009B1C23"/>
    <w:rsid w:val="009B5DE0"/>
    <w:rsid w:val="009C0D62"/>
    <w:rsid w:val="009D00EA"/>
    <w:rsid w:val="009D2367"/>
    <w:rsid w:val="009D5F12"/>
    <w:rsid w:val="009E418C"/>
    <w:rsid w:val="009F37D1"/>
    <w:rsid w:val="009F7F5B"/>
    <w:rsid w:val="00A06A05"/>
    <w:rsid w:val="00A14F95"/>
    <w:rsid w:val="00A22B38"/>
    <w:rsid w:val="00A2386F"/>
    <w:rsid w:val="00A23E6C"/>
    <w:rsid w:val="00A25873"/>
    <w:rsid w:val="00A25C32"/>
    <w:rsid w:val="00A32299"/>
    <w:rsid w:val="00A33646"/>
    <w:rsid w:val="00A33B4A"/>
    <w:rsid w:val="00A3749C"/>
    <w:rsid w:val="00A3751B"/>
    <w:rsid w:val="00A50416"/>
    <w:rsid w:val="00A603BB"/>
    <w:rsid w:val="00A95B7A"/>
    <w:rsid w:val="00AA1B0B"/>
    <w:rsid w:val="00AA450E"/>
    <w:rsid w:val="00AA53FE"/>
    <w:rsid w:val="00AA7368"/>
    <w:rsid w:val="00AB2F04"/>
    <w:rsid w:val="00AC1216"/>
    <w:rsid w:val="00AC3418"/>
    <w:rsid w:val="00AE3B10"/>
    <w:rsid w:val="00AE671C"/>
    <w:rsid w:val="00B026BA"/>
    <w:rsid w:val="00B02C3E"/>
    <w:rsid w:val="00B26CCA"/>
    <w:rsid w:val="00B43847"/>
    <w:rsid w:val="00B4718C"/>
    <w:rsid w:val="00B63A5F"/>
    <w:rsid w:val="00B71460"/>
    <w:rsid w:val="00B7596C"/>
    <w:rsid w:val="00B845BD"/>
    <w:rsid w:val="00B9196E"/>
    <w:rsid w:val="00BA3095"/>
    <w:rsid w:val="00BA3BE5"/>
    <w:rsid w:val="00BA53EF"/>
    <w:rsid w:val="00BC281A"/>
    <w:rsid w:val="00BD210A"/>
    <w:rsid w:val="00BD549E"/>
    <w:rsid w:val="00BE7177"/>
    <w:rsid w:val="00BF5B47"/>
    <w:rsid w:val="00C00EAB"/>
    <w:rsid w:val="00C1361A"/>
    <w:rsid w:val="00C31BF3"/>
    <w:rsid w:val="00C3394B"/>
    <w:rsid w:val="00C416A2"/>
    <w:rsid w:val="00C44933"/>
    <w:rsid w:val="00C63203"/>
    <w:rsid w:val="00C63E83"/>
    <w:rsid w:val="00C77DAE"/>
    <w:rsid w:val="00CA4003"/>
    <w:rsid w:val="00CA4357"/>
    <w:rsid w:val="00CC5275"/>
    <w:rsid w:val="00CC5DEC"/>
    <w:rsid w:val="00CE1BE3"/>
    <w:rsid w:val="00CE2CED"/>
    <w:rsid w:val="00CE3441"/>
    <w:rsid w:val="00CE5BBE"/>
    <w:rsid w:val="00CF228D"/>
    <w:rsid w:val="00CF456C"/>
    <w:rsid w:val="00CF4720"/>
    <w:rsid w:val="00D015B7"/>
    <w:rsid w:val="00D04623"/>
    <w:rsid w:val="00D120EF"/>
    <w:rsid w:val="00D12270"/>
    <w:rsid w:val="00D13A03"/>
    <w:rsid w:val="00D30264"/>
    <w:rsid w:val="00D37806"/>
    <w:rsid w:val="00D41AFF"/>
    <w:rsid w:val="00D54774"/>
    <w:rsid w:val="00D60EAF"/>
    <w:rsid w:val="00D82265"/>
    <w:rsid w:val="00D83EDD"/>
    <w:rsid w:val="00D871E6"/>
    <w:rsid w:val="00DA5A4A"/>
    <w:rsid w:val="00DB3F53"/>
    <w:rsid w:val="00DB3FE8"/>
    <w:rsid w:val="00DB4A99"/>
    <w:rsid w:val="00DB53A0"/>
    <w:rsid w:val="00DC1D26"/>
    <w:rsid w:val="00DC511B"/>
    <w:rsid w:val="00DD5841"/>
    <w:rsid w:val="00DE09D3"/>
    <w:rsid w:val="00DE1922"/>
    <w:rsid w:val="00DE1FE8"/>
    <w:rsid w:val="00DE299E"/>
    <w:rsid w:val="00DF0444"/>
    <w:rsid w:val="00E02224"/>
    <w:rsid w:val="00E02A94"/>
    <w:rsid w:val="00E042D5"/>
    <w:rsid w:val="00E11FB6"/>
    <w:rsid w:val="00E122D6"/>
    <w:rsid w:val="00E30DC6"/>
    <w:rsid w:val="00E64C21"/>
    <w:rsid w:val="00E64FE7"/>
    <w:rsid w:val="00E6799B"/>
    <w:rsid w:val="00E74D54"/>
    <w:rsid w:val="00E85846"/>
    <w:rsid w:val="00E90690"/>
    <w:rsid w:val="00E9364F"/>
    <w:rsid w:val="00EA0568"/>
    <w:rsid w:val="00EB2564"/>
    <w:rsid w:val="00EB2F5E"/>
    <w:rsid w:val="00EB486F"/>
    <w:rsid w:val="00EB4A05"/>
    <w:rsid w:val="00F0017D"/>
    <w:rsid w:val="00F10E6C"/>
    <w:rsid w:val="00F21A5B"/>
    <w:rsid w:val="00F22C15"/>
    <w:rsid w:val="00F3638F"/>
    <w:rsid w:val="00F36441"/>
    <w:rsid w:val="00F52CE1"/>
    <w:rsid w:val="00F53342"/>
    <w:rsid w:val="00F53A38"/>
    <w:rsid w:val="00F57047"/>
    <w:rsid w:val="00F61643"/>
    <w:rsid w:val="00F63E2B"/>
    <w:rsid w:val="00F64D11"/>
    <w:rsid w:val="00F723C3"/>
    <w:rsid w:val="00F73EAF"/>
    <w:rsid w:val="00F74D5D"/>
    <w:rsid w:val="00F8424C"/>
    <w:rsid w:val="00F97AF9"/>
    <w:rsid w:val="00FA1F6F"/>
    <w:rsid w:val="00FB031B"/>
    <w:rsid w:val="00FB22B8"/>
    <w:rsid w:val="00FB29F6"/>
    <w:rsid w:val="00FC4E3A"/>
    <w:rsid w:val="00FC74B9"/>
    <w:rsid w:val="00FC7B3E"/>
    <w:rsid w:val="00FD3E8A"/>
    <w:rsid w:val="00FE31F1"/>
    <w:rsid w:val="00FF165F"/>
    <w:rsid w:val="00FF3D1E"/>
    <w:rsid w:val="00FF507E"/>
    <w:rsid w:val="00FF6080"/>
    <w:rsid w:val="00FF6C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8692"/>
  <w15:chartTrackingRefBased/>
  <w15:docId w15:val="{7D1EB473-FA69-4276-96D4-92CB433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AB"/>
    <w:rPr>
      <w:rFonts w:ascii="Segoe UI" w:hAnsi="Segoe UI" w:cs="Segoe UI"/>
      <w:sz w:val="18"/>
      <w:szCs w:val="18"/>
    </w:rPr>
  </w:style>
  <w:style w:type="paragraph" w:styleId="ListParagraph">
    <w:name w:val="List Paragraph"/>
    <w:basedOn w:val="Normal"/>
    <w:uiPriority w:val="34"/>
    <w:qFormat/>
    <w:rsid w:val="006464B3"/>
    <w:pPr>
      <w:ind w:left="720"/>
      <w:contextualSpacing/>
    </w:pPr>
  </w:style>
  <w:style w:type="paragraph" w:styleId="Header">
    <w:name w:val="header"/>
    <w:basedOn w:val="Normal"/>
    <w:link w:val="HeaderChar"/>
    <w:uiPriority w:val="99"/>
    <w:unhideWhenUsed/>
    <w:rsid w:val="00A6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BB"/>
  </w:style>
  <w:style w:type="paragraph" w:styleId="Footer">
    <w:name w:val="footer"/>
    <w:basedOn w:val="Normal"/>
    <w:link w:val="FooterChar"/>
    <w:uiPriority w:val="99"/>
    <w:unhideWhenUsed/>
    <w:rsid w:val="00A6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BB"/>
  </w:style>
  <w:style w:type="paragraph" w:styleId="FootnoteText">
    <w:name w:val="footnote text"/>
    <w:basedOn w:val="Normal"/>
    <w:link w:val="FootnoteTextChar"/>
    <w:uiPriority w:val="99"/>
    <w:semiHidden/>
    <w:unhideWhenUsed/>
    <w:rsid w:val="00E04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2D5"/>
    <w:rPr>
      <w:sz w:val="20"/>
      <w:szCs w:val="20"/>
    </w:rPr>
  </w:style>
  <w:style w:type="character" w:styleId="FootnoteReference">
    <w:name w:val="footnote reference"/>
    <w:basedOn w:val="DefaultParagraphFont"/>
    <w:uiPriority w:val="99"/>
    <w:semiHidden/>
    <w:unhideWhenUsed/>
    <w:rsid w:val="00E042D5"/>
    <w:rPr>
      <w:vertAlign w:val="superscript"/>
    </w:rPr>
  </w:style>
  <w:style w:type="paragraph" w:styleId="EndnoteText">
    <w:name w:val="endnote text"/>
    <w:basedOn w:val="Normal"/>
    <w:link w:val="EndnoteTextChar"/>
    <w:uiPriority w:val="99"/>
    <w:semiHidden/>
    <w:unhideWhenUsed/>
    <w:rsid w:val="008E3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B89"/>
    <w:rPr>
      <w:sz w:val="20"/>
      <w:szCs w:val="20"/>
    </w:rPr>
  </w:style>
  <w:style w:type="character" w:styleId="EndnoteReference">
    <w:name w:val="endnote reference"/>
    <w:basedOn w:val="DefaultParagraphFont"/>
    <w:uiPriority w:val="99"/>
    <w:semiHidden/>
    <w:unhideWhenUsed/>
    <w:rsid w:val="008E3B89"/>
    <w:rPr>
      <w:vertAlign w:val="superscript"/>
    </w:rPr>
  </w:style>
  <w:style w:type="character" w:customStyle="1" w:styleId="Citation">
    <w:name w:val="Citation"/>
    <w:basedOn w:val="DefaultParagraphFont"/>
    <w:uiPriority w:val="99"/>
    <w:rsid w:val="00FF3D1E"/>
    <w:rPr>
      <w:rFonts w:ascii="Times New Roman" w:eastAsia="Times New Roman" w:hAnsi="Times New Roman" w:cs="DejaVu San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94754">
      <w:bodyDiv w:val="1"/>
      <w:marLeft w:val="0"/>
      <w:marRight w:val="0"/>
      <w:marTop w:val="0"/>
      <w:marBottom w:val="0"/>
      <w:divBdr>
        <w:top w:val="none" w:sz="0" w:space="0" w:color="auto"/>
        <w:left w:val="none" w:sz="0" w:space="0" w:color="auto"/>
        <w:bottom w:val="none" w:sz="0" w:space="0" w:color="auto"/>
        <w:right w:val="none" w:sz="0" w:space="0" w:color="auto"/>
      </w:divBdr>
    </w:div>
    <w:div w:id="20641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C336-102A-4573-8625-91069EFE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Oosthuizen</dc:creator>
  <cp:keywords/>
  <dc:description/>
  <cp:lastModifiedBy>HOME</cp:lastModifiedBy>
  <cp:revision>2</cp:revision>
  <cp:lastPrinted>2022-06-22T09:03:00Z</cp:lastPrinted>
  <dcterms:created xsi:type="dcterms:W3CDTF">2022-07-02T14:27:00Z</dcterms:created>
  <dcterms:modified xsi:type="dcterms:W3CDTF">2022-07-02T14:27:00Z</dcterms:modified>
</cp:coreProperties>
</file>