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3F" w:rsidRDefault="009C173F" w:rsidP="009C173F">
      <w:pPr>
        <w:spacing w:after="0" w:line="240" w:lineRule="auto"/>
        <w:jc w:val="center"/>
        <w:rPr>
          <w:rFonts w:ascii="Arial" w:hAnsi="Arial" w:cs="Arial"/>
          <w:sz w:val="24"/>
          <w:szCs w:val="24"/>
        </w:rPr>
      </w:pPr>
      <w:bookmarkStart w:id="0" w:name="_GoBack"/>
      <w:bookmarkEnd w:id="0"/>
      <w:r w:rsidRPr="004920DF">
        <w:rPr>
          <w:rFonts w:cs="Arial"/>
          <w:noProof/>
          <w:lang w:eastAsia="en-ZA"/>
        </w:rPr>
        <w:drawing>
          <wp:inline distT="0" distB="0" distL="0" distR="0" wp14:anchorId="4F0618CA" wp14:editId="37F1EA54">
            <wp:extent cx="1285493" cy="12280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192" cy="1234490"/>
                    </a:xfrm>
                    <a:prstGeom prst="rect">
                      <a:avLst/>
                    </a:prstGeom>
                    <a:noFill/>
                    <a:ln>
                      <a:noFill/>
                    </a:ln>
                  </pic:spPr>
                </pic:pic>
              </a:graphicData>
            </a:graphic>
          </wp:inline>
        </w:drawing>
      </w:r>
    </w:p>
    <w:p w:rsidR="00043A46" w:rsidRPr="009C173F" w:rsidRDefault="00043A46" w:rsidP="009C173F">
      <w:pPr>
        <w:spacing w:after="0" w:line="240" w:lineRule="auto"/>
        <w:jc w:val="center"/>
        <w:rPr>
          <w:rFonts w:ascii="Arial" w:hAnsi="Arial" w:cs="Arial"/>
          <w:sz w:val="24"/>
          <w:szCs w:val="24"/>
        </w:rPr>
      </w:pPr>
    </w:p>
    <w:p w:rsidR="00276582" w:rsidRPr="00A5416B" w:rsidRDefault="00276582" w:rsidP="00182E02">
      <w:pPr>
        <w:spacing w:after="0" w:line="240" w:lineRule="auto"/>
        <w:jc w:val="center"/>
        <w:rPr>
          <w:rFonts w:ascii="Arial" w:hAnsi="Arial" w:cs="Arial"/>
          <w:b/>
          <w:sz w:val="24"/>
          <w:szCs w:val="24"/>
          <w:u w:val="single"/>
        </w:rPr>
      </w:pPr>
      <w:r w:rsidRPr="00A5416B">
        <w:rPr>
          <w:rFonts w:ascii="Arial" w:hAnsi="Arial" w:cs="Arial"/>
          <w:b/>
          <w:sz w:val="24"/>
          <w:szCs w:val="24"/>
          <w:u w:val="single"/>
        </w:rPr>
        <w:t>IN THE HIGH COURT OF SOUTH AFRICA,</w:t>
      </w:r>
    </w:p>
    <w:p w:rsidR="00276582" w:rsidRDefault="00276582" w:rsidP="00182E02">
      <w:pPr>
        <w:spacing w:after="0" w:line="240" w:lineRule="auto"/>
        <w:jc w:val="center"/>
        <w:rPr>
          <w:rFonts w:ascii="Arial" w:hAnsi="Arial" w:cs="Arial"/>
          <w:b/>
          <w:sz w:val="24"/>
          <w:szCs w:val="24"/>
          <w:u w:val="single"/>
        </w:rPr>
      </w:pPr>
      <w:r w:rsidRPr="00A5416B">
        <w:rPr>
          <w:rFonts w:ascii="Arial" w:hAnsi="Arial" w:cs="Arial"/>
          <w:b/>
          <w:sz w:val="24"/>
          <w:szCs w:val="24"/>
          <w:u w:val="single"/>
        </w:rPr>
        <w:t>FREE STATE DIVISION, BLOEMFONTEIN</w:t>
      </w:r>
    </w:p>
    <w:p w:rsidR="00A54F57" w:rsidRDefault="00A54F57" w:rsidP="00182E02">
      <w:pPr>
        <w:spacing w:after="0" w:line="240" w:lineRule="auto"/>
        <w:jc w:val="center"/>
        <w:rPr>
          <w:rFonts w:ascii="Arial" w:hAnsi="Arial" w:cs="Arial"/>
          <w:b/>
          <w:sz w:val="24"/>
          <w:szCs w:val="24"/>
          <w:u w:val="single"/>
        </w:rPr>
      </w:pPr>
    </w:p>
    <w:p w:rsidR="00182E02" w:rsidRPr="00972745" w:rsidRDefault="00182E02" w:rsidP="00182E02">
      <w:pPr>
        <w:spacing w:after="0" w:line="240" w:lineRule="auto"/>
        <w:jc w:val="center"/>
        <w:rPr>
          <w:rFonts w:ascii="Arial" w:hAnsi="Arial" w:cs="Arial"/>
          <w:b/>
          <w:sz w:val="28"/>
          <w:szCs w:val="28"/>
          <w:u w:val="single"/>
        </w:rPr>
      </w:pPr>
    </w:p>
    <w:tbl>
      <w:tblPr>
        <w:tblStyle w:val="TableGrid"/>
        <w:tblW w:w="0" w:type="auto"/>
        <w:tblInd w:w="5353" w:type="dxa"/>
        <w:tblLook w:val="04A0" w:firstRow="1" w:lastRow="0" w:firstColumn="1" w:lastColumn="0" w:noHBand="0" w:noVBand="1"/>
      </w:tblPr>
      <w:tblGrid>
        <w:gridCol w:w="3066"/>
      </w:tblGrid>
      <w:tr w:rsidR="00276582" w:rsidRPr="00972745" w:rsidTr="00877543">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6582" w:rsidRPr="00972745" w:rsidRDefault="00276582" w:rsidP="00877543">
            <w:pPr>
              <w:spacing w:line="360" w:lineRule="auto"/>
              <w:rPr>
                <w:rFonts w:ascii="Arial" w:eastAsia="Times New Roman" w:hAnsi="Arial" w:cs="Arial"/>
                <w:b/>
                <w:sz w:val="16"/>
                <w:szCs w:val="16"/>
                <w:lang w:eastAsia="en-GB"/>
              </w:rPr>
            </w:pPr>
            <w:r w:rsidRPr="00972745">
              <w:rPr>
                <w:rFonts w:ascii="Arial" w:hAnsi="Arial" w:cs="Arial"/>
                <w:b/>
                <w:sz w:val="16"/>
                <w:szCs w:val="16"/>
              </w:rPr>
              <w:t xml:space="preserve">Reportable:                              </w:t>
            </w:r>
            <w:r w:rsidRPr="00B004BF">
              <w:rPr>
                <w:rFonts w:ascii="Arial" w:hAnsi="Arial" w:cs="Arial"/>
                <w:b/>
                <w:strike/>
                <w:sz w:val="16"/>
                <w:szCs w:val="16"/>
              </w:rPr>
              <w:t>YES</w:t>
            </w:r>
            <w:r w:rsidRPr="00972745">
              <w:rPr>
                <w:rFonts w:ascii="Arial" w:hAnsi="Arial" w:cs="Arial"/>
                <w:b/>
                <w:sz w:val="16"/>
                <w:szCs w:val="16"/>
              </w:rPr>
              <w:t>/NO</w:t>
            </w:r>
          </w:p>
          <w:p w:rsidR="00276582" w:rsidRPr="00972745" w:rsidRDefault="00276582" w:rsidP="00877543">
            <w:pPr>
              <w:spacing w:line="360" w:lineRule="auto"/>
              <w:rPr>
                <w:rFonts w:ascii="Arial" w:hAnsi="Arial" w:cs="Arial"/>
                <w:b/>
                <w:sz w:val="16"/>
                <w:szCs w:val="16"/>
              </w:rPr>
            </w:pPr>
            <w:r w:rsidRPr="00972745">
              <w:rPr>
                <w:rFonts w:ascii="Arial" w:hAnsi="Arial" w:cs="Arial"/>
                <w:b/>
                <w:sz w:val="16"/>
                <w:szCs w:val="16"/>
              </w:rPr>
              <w:t xml:space="preserve">Of Interest to other Judges:   </w:t>
            </w:r>
            <w:r w:rsidRPr="00B004BF">
              <w:rPr>
                <w:rFonts w:ascii="Arial" w:hAnsi="Arial" w:cs="Arial"/>
                <w:b/>
                <w:strike/>
                <w:sz w:val="16"/>
                <w:szCs w:val="16"/>
              </w:rPr>
              <w:t>YES</w:t>
            </w:r>
            <w:r w:rsidRPr="00972745">
              <w:rPr>
                <w:rFonts w:ascii="Arial" w:hAnsi="Arial" w:cs="Arial"/>
                <w:b/>
                <w:sz w:val="16"/>
                <w:szCs w:val="16"/>
              </w:rPr>
              <w:t>/NO</w:t>
            </w:r>
          </w:p>
          <w:p w:rsidR="00276582" w:rsidRPr="00972745" w:rsidRDefault="00276582" w:rsidP="00877543">
            <w:pPr>
              <w:spacing w:line="360" w:lineRule="auto"/>
              <w:rPr>
                <w:rFonts w:ascii="Arial" w:eastAsia="Times New Roman" w:hAnsi="Arial" w:cs="Arial"/>
                <w:b/>
                <w:sz w:val="16"/>
                <w:szCs w:val="16"/>
                <w:u w:val="single"/>
                <w:lang w:eastAsia="en-GB"/>
              </w:rPr>
            </w:pPr>
            <w:r w:rsidRPr="00972745">
              <w:rPr>
                <w:rFonts w:ascii="Arial" w:hAnsi="Arial" w:cs="Arial"/>
                <w:b/>
                <w:sz w:val="16"/>
                <w:szCs w:val="16"/>
              </w:rPr>
              <w:t xml:space="preserve">Circulate to Magistrates:        </w:t>
            </w:r>
            <w:r w:rsidRPr="00B004BF">
              <w:rPr>
                <w:rFonts w:ascii="Arial" w:hAnsi="Arial" w:cs="Arial"/>
                <w:b/>
                <w:strike/>
                <w:sz w:val="16"/>
                <w:szCs w:val="16"/>
              </w:rPr>
              <w:t>YES</w:t>
            </w:r>
            <w:r w:rsidRPr="00972745">
              <w:rPr>
                <w:rFonts w:ascii="Arial" w:hAnsi="Arial" w:cs="Arial"/>
                <w:b/>
                <w:sz w:val="16"/>
                <w:szCs w:val="16"/>
              </w:rPr>
              <w:t>/NO</w:t>
            </w:r>
          </w:p>
        </w:tc>
      </w:tr>
    </w:tbl>
    <w:p w:rsidR="00DE1FAF" w:rsidRDefault="00276582" w:rsidP="00DE1FAF">
      <w:pPr>
        <w:spacing w:line="360" w:lineRule="auto"/>
        <w:jc w:val="both"/>
        <w:rPr>
          <w:rFonts w:ascii="Arial" w:hAnsi="Arial" w:cs="Arial"/>
          <w:b/>
          <w:sz w:val="28"/>
          <w:szCs w:val="28"/>
        </w:rPr>
      </w:pPr>
      <w:r w:rsidRPr="00972745">
        <w:rPr>
          <w:rFonts w:ascii="Arial" w:hAnsi="Arial" w:cs="Arial"/>
          <w:b/>
          <w:sz w:val="28"/>
          <w:szCs w:val="28"/>
        </w:rPr>
        <w:tab/>
      </w:r>
      <w:r w:rsidRPr="00972745">
        <w:rPr>
          <w:rFonts w:ascii="Arial" w:hAnsi="Arial" w:cs="Arial"/>
          <w:b/>
          <w:sz w:val="28"/>
          <w:szCs w:val="28"/>
        </w:rPr>
        <w:tab/>
      </w:r>
      <w:r w:rsidRPr="00972745">
        <w:rPr>
          <w:rFonts w:ascii="Arial" w:hAnsi="Arial" w:cs="Arial"/>
          <w:b/>
          <w:sz w:val="28"/>
          <w:szCs w:val="28"/>
        </w:rPr>
        <w:tab/>
      </w:r>
      <w:r w:rsidRPr="00972745">
        <w:rPr>
          <w:rFonts w:ascii="Arial" w:hAnsi="Arial" w:cs="Arial"/>
          <w:b/>
          <w:sz w:val="28"/>
          <w:szCs w:val="28"/>
        </w:rPr>
        <w:tab/>
      </w:r>
      <w:r w:rsidRPr="00972745">
        <w:rPr>
          <w:rFonts w:ascii="Arial" w:hAnsi="Arial" w:cs="Arial"/>
          <w:b/>
          <w:sz w:val="28"/>
          <w:szCs w:val="28"/>
        </w:rPr>
        <w:tab/>
      </w:r>
      <w:r w:rsidRPr="00972745">
        <w:rPr>
          <w:rFonts w:ascii="Arial" w:hAnsi="Arial" w:cs="Arial"/>
          <w:b/>
          <w:sz w:val="28"/>
          <w:szCs w:val="28"/>
        </w:rPr>
        <w:tab/>
      </w:r>
      <w:r w:rsidRPr="00972745">
        <w:rPr>
          <w:rFonts w:ascii="Arial" w:hAnsi="Arial" w:cs="Arial"/>
          <w:b/>
          <w:sz w:val="28"/>
          <w:szCs w:val="28"/>
        </w:rPr>
        <w:tab/>
      </w:r>
    </w:p>
    <w:p w:rsidR="00276582" w:rsidRPr="00622E37" w:rsidRDefault="00276582" w:rsidP="00DE1FAF">
      <w:pPr>
        <w:spacing w:line="360" w:lineRule="auto"/>
        <w:jc w:val="right"/>
        <w:rPr>
          <w:rFonts w:ascii="Arial" w:eastAsia="Times New Roman" w:hAnsi="Arial" w:cs="Arial"/>
          <w:sz w:val="24"/>
          <w:szCs w:val="24"/>
        </w:rPr>
      </w:pPr>
      <w:r w:rsidRPr="00A5416B">
        <w:rPr>
          <w:rFonts w:ascii="Arial" w:eastAsia="Times New Roman" w:hAnsi="Arial" w:cs="Arial"/>
          <w:sz w:val="24"/>
          <w:szCs w:val="24"/>
          <w:lang w:eastAsia="en-GB"/>
        </w:rPr>
        <w:t xml:space="preserve">Case number: </w:t>
      </w:r>
      <w:r w:rsidR="00B004BF">
        <w:rPr>
          <w:rFonts w:ascii="Arial" w:eastAsia="Times New Roman" w:hAnsi="Arial" w:cs="Arial"/>
          <w:sz w:val="24"/>
          <w:szCs w:val="24"/>
          <w:lang w:eastAsia="en-GB"/>
        </w:rPr>
        <w:t>50</w:t>
      </w:r>
      <w:r w:rsidR="00043A46">
        <w:rPr>
          <w:rFonts w:ascii="Arial" w:eastAsia="Times New Roman" w:hAnsi="Arial" w:cs="Arial"/>
          <w:sz w:val="24"/>
          <w:szCs w:val="24"/>
          <w:lang w:eastAsia="en-GB"/>
        </w:rPr>
        <w:t>3</w:t>
      </w:r>
      <w:r w:rsidR="00A54F57">
        <w:rPr>
          <w:rFonts w:ascii="Arial" w:eastAsia="Times New Roman" w:hAnsi="Arial" w:cs="Arial"/>
          <w:sz w:val="24"/>
          <w:szCs w:val="24"/>
          <w:lang w:eastAsia="en-GB"/>
        </w:rPr>
        <w:t>2</w:t>
      </w:r>
      <w:r w:rsidRPr="00622E37">
        <w:rPr>
          <w:rFonts w:ascii="Arial" w:eastAsia="Times New Roman" w:hAnsi="Arial" w:cs="Arial"/>
          <w:sz w:val="24"/>
          <w:szCs w:val="24"/>
        </w:rPr>
        <w:t>/20</w:t>
      </w:r>
      <w:r w:rsidR="00043A46">
        <w:rPr>
          <w:rFonts w:ascii="Arial" w:eastAsia="Times New Roman" w:hAnsi="Arial" w:cs="Arial"/>
          <w:sz w:val="24"/>
          <w:szCs w:val="24"/>
        </w:rPr>
        <w:t>2</w:t>
      </w:r>
      <w:r w:rsidR="00A54F57">
        <w:rPr>
          <w:rFonts w:ascii="Arial" w:eastAsia="Times New Roman" w:hAnsi="Arial" w:cs="Arial"/>
          <w:sz w:val="24"/>
          <w:szCs w:val="24"/>
        </w:rPr>
        <w:t>1</w:t>
      </w:r>
    </w:p>
    <w:p w:rsidR="00276582" w:rsidRDefault="00276582" w:rsidP="00276582">
      <w:pPr>
        <w:spacing w:after="0" w:line="240" w:lineRule="auto"/>
        <w:jc w:val="both"/>
        <w:rPr>
          <w:rFonts w:ascii="Arial" w:eastAsia="Times New Roman" w:hAnsi="Arial" w:cs="Arial"/>
          <w:sz w:val="24"/>
          <w:szCs w:val="24"/>
          <w:lang w:eastAsia="en-GB"/>
        </w:rPr>
      </w:pPr>
      <w:r w:rsidRPr="00A5416B">
        <w:rPr>
          <w:rFonts w:ascii="Arial" w:eastAsia="Times New Roman" w:hAnsi="Arial" w:cs="Arial"/>
          <w:sz w:val="24"/>
          <w:szCs w:val="24"/>
          <w:lang w:eastAsia="en-GB"/>
        </w:rPr>
        <w:t xml:space="preserve">In the matter between: </w:t>
      </w:r>
    </w:p>
    <w:p w:rsidR="00043A46" w:rsidRPr="00B004BF" w:rsidRDefault="00043A46" w:rsidP="00276582">
      <w:pPr>
        <w:spacing w:after="0" w:line="240" w:lineRule="auto"/>
        <w:jc w:val="both"/>
        <w:rPr>
          <w:rFonts w:ascii="Arial" w:eastAsia="Times New Roman" w:hAnsi="Arial" w:cs="Arial"/>
          <w:sz w:val="24"/>
          <w:szCs w:val="24"/>
          <w:lang w:eastAsia="en-GB"/>
        </w:rPr>
      </w:pPr>
    </w:p>
    <w:p w:rsidR="00276582" w:rsidRPr="00B004BF" w:rsidRDefault="00276582" w:rsidP="00276582">
      <w:pPr>
        <w:spacing w:after="0" w:line="240" w:lineRule="auto"/>
        <w:jc w:val="both"/>
        <w:rPr>
          <w:rFonts w:ascii="Arial" w:eastAsia="Times New Roman" w:hAnsi="Arial" w:cs="Arial"/>
          <w:sz w:val="24"/>
          <w:szCs w:val="24"/>
          <w:lang w:eastAsia="en-GB"/>
        </w:rPr>
      </w:pPr>
    </w:p>
    <w:p w:rsidR="00276582" w:rsidRPr="00A54F57" w:rsidRDefault="00B004BF" w:rsidP="00276582">
      <w:pPr>
        <w:pStyle w:val="BodyText"/>
        <w:rPr>
          <w:rFonts w:ascii="Arial" w:hAnsi="Arial" w:cs="Arial"/>
          <w:b/>
          <w:sz w:val="22"/>
          <w:szCs w:val="22"/>
          <w:lang w:val="en-ZA"/>
        </w:rPr>
      </w:pPr>
      <w:r w:rsidRPr="00A54F57">
        <w:rPr>
          <w:rFonts w:ascii="Arial" w:hAnsi="Arial" w:cs="Arial"/>
          <w:b/>
          <w:sz w:val="22"/>
          <w:szCs w:val="22"/>
        </w:rPr>
        <w:t>NEDBANK LIMITED</w:t>
      </w:r>
      <w:r w:rsidRPr="00A54F57">
        <w:rPr>
          <w:rFonts w:ascii="Arial" w:hAnsi="Arial" w:cs="Arial"/>
          <w:b/>
          <w:sz w:val="22"/>
          <w:szCs w:val="22"/>
        </w:rPr>
        <w:tab/>
      </w:r>
      <w:r w:rsidR="00276582" w:rsidRPr="00A54F57">
        <w:rPr>
          <w:rFonts w:ascii="Arial" w:hAnsi="Arial" w:cs="Arial"/>
          <w:b/>
          <w:sz w:val="22"/>
          <w:szCs w:val="22"/>
        </w:rPr>
        <w:tab/>
      </w:r>
      <w:r w:rsidR="00276582" w:rsidRPr="00A54F57">
        <w:rPr>
          <w:rFonts w:ascii="Arial" w:hAnsi="Arial" w:cs="Arial"/>
          <w:b/>
          <w:sz w:val="22"/>
          <w:szCs w:val="22"/>
        </w:rPr>
        <w:tab/>
      </w:r>
      <w:r w:rsidR="0067190F" w:rsidRPr="00A54F57">
        <w:rPr>
          <w:rFonts w:ascii="Arial" w:hAnsi="Arial" w:cs="Arial"/>
          <w:b/>
          <w:sz w:val="22"/>
          <w:szCs w:val="22"/>
        </w:rPr>
        <w:t xml:space="preserve">                       </w:t>
      </w:r>
      <w:r w:rsidRPr="00A54F57">
        <w:rPr>
          <w:rFonts w:ascii="Arial" w:hAnsi="Arial" w:cs="Arial"/>
          <w:b/>
          <w:sz w:val="22"/>
          <w:szCs w:val="22"/>
        </w:rPr>
        <w:tab/>
      </w:r>
      <w:r w:rsidRPr="00A54F57">
        <w:rPr>
          <w:rFonts w:ascii="Arial" w:hAnsi="Arial" w:cs="Arial"/>
          <w:b/>
          <w:sz w:val="22"/>
          <w:szCs w:val="22"/>
        </w:rPr>
        <w:tab/>
      </w:r>
      <w:r w:rsidR="00A54F57">
        <w:rPr>
          <w:rFonts w:ascii="Arial" w:hAnsi="Arial" w:cs="Arial"/>
          <w:b/>
          <w:sz w:val="22"/>
          <w:szCs w:val="22"/>
        </w:rPr>
        <w:tab/>
      </w:r>
      <w:r w:rsidR="00DE1FAF" w:rsidRPr="00DE1FAF">
        <w:rPr>
          <w:rFonts w:ascii="Arial" w:hAnsi="Arial" w:cs="Arial"/>
          <w:bCs/>
          <w:sz w:val="22"/>
          <w:szCs w:val="22"/>
        </w:rPr>
        <w:t xml:space="preserve">                  </w:t>
      </w:r>
      <w:r w:rsidR="00DE1FAF">
        <w:rPr>
          <w:rFonts w:ascii="Arial" w:hAnsi="Arial" w:cs="Arial"/>
          <w:bCs/>
          <w:sz w:val="22"/>
          <w:szCs w:val="22"/>
        </w:rPr>
        <w:t xml:space="preserve">    </w:t>
      </w:r>
      <w:r w:rsidR="00DE1FAF" w:rsidRPr="00DE1FAF">
        <w:rPr>
          <w:rFonts w:ascii="Arial" w:hAnsi="Arial" w:cs="Arial"/>
          <w:bCs/>
          <w:sz w:val="22"/>
          <w:szCs w:val="22"/>
        </w:rPr>
        <w:t xml:space="preserve">     Plaintiff</w:t>
      </w:r>
      <w:r w:rsidR="00276582" w:rsidRPr="00A54F57">
        <w:rPr>
          <w:rFonts w:ascii="Arial" w:hAnsi="Arial" w:cs="Arial"/>
          <w:b/>
          <w:sz w:val="22"/>
          <w:szCs w:val="22"/>
          <w:lang w:val="en-ZA"/>
        </w:rPr>
        <w:tab/>
      </w:r>
    </w:p>
    <w:p w:rsidR="00276582" w:rsidRPr="00B004BF" w:rsidRDefault="00276582" w:rsidP="00276582">
      <w:pPr>
        <w:pStyle w:val="BodyText"/>
        <w:rPr>
          <w:rFonts w:ascii="Arial" w:hAnsi="Arial" w:cs="Arial"/>
          <w:szCs w:val="24"/>
          <w:lang w:val="en-ZA"/>
        </w:rPr>
      </w:pPr>
      <w:r w:rsidRPr="00B004BF">
        <w:rPr>
          <w:rFonts w:ascii="Arial" w:hAnsi="Arial" w:cs="Arial"/>
          <w:b/>
          <w:szCs w:val="24"/>
          <w:lang w:val="en-ZA"/>
        </w:rPr>
        <w:tab/>
      </w:r>
      <w:r w:rsidRPr="00B004BF">
        <w:rPr>
          <w:rFonts w:ascii="Arial" w:hAnsi="Arial" w:cs="Arial"/>
          <w:b/>
          <w:szCs w:val="24"/>
          <w:lang w:val="en-ZA"/>
        </w:rPr>
        <w:tab/>
      </w:r>
      <w:r w:rsidRPr="00B004BF">
        <w:rPr>
          <w:rFonts w:ascii="Arial" w:hAnsi="Arial" w:cs="Arial"/>
          <w:b/>
          <w:szCs w:val="24"/>
          <w:lang w:val="en-ZA"/>
        </w:rPr>
        <w:tab/>
      </w:r>
      <w:r w:rsidRPr="00B004BF">
        <w:rPr>
          <w:rFonts w:ascii="Arial" w:hAnsi="Arial" w:cs="Arial"/>
          <w:b/>
          <w:szCs w:val="24"/>
          <w:lang w:val="en-ZA"/>
        </w:rPr>
        <w:tab/>
      </w:r>
      <w:r w:rsidRPr="00B004BF">
        <w:rPr>
          <w:rFonts w:ascii="Arial" w:hAnsi="Arial" w:cs="Arial"/>
          <w:b/>
          <w:szCs w:val="24"/>
          <w:lang w:val="en-ZA"/>
        </w:rPr>
        <w:tab/>
      </w:r>
      <w:r w:rsidRPr="00B004BF">
        <w:rPr>
          <w:rFonts w:ascii="Arial" w:hAnsi="Arial" w:cs="Arial"/>
          <w:b/>
          <w:szCs w:val="24"/>
          <w:lang w:val="en-ZA"/>
        </w:rPr>
        <w:tab/>
        <w:t xml:space="preserve">   </w:t>
      </w:r>
      <w:r w:rsidRPr="00B004BF">
        <w:rPr>
          <w:rFonts w:ascii="Arial" w:hAnsi="Arial" w:cs="Arial"/>
          <w:b/>
          <w:szCs w:val="24"/>
          <w:lang w:val="en-ZA"/>
        </w:rPr>
        <w:tab/>
        <w:t xml:space="preserve">              </w:t>
      </w:r>
    </w:p>
    <w:p w:rsidR="00276582" w:rsidRPr="00B004BF" w:rsidRDefault="00276582" w:rsidP="00276582">
      <w:pPr>
        <w:pStyle w:val="BodyText"/>
        <w:rPr>
          <w:rFonts w:ascii="Arial" w:hAnsi="Arial" w:cs="Arial"/>
          <w:szCs w:val="24"/>
          <w:lang w:val="en-ZA"/>
        </w:rPr>
      </w:pPr>
      <w:r w:rsidRPr="00B004BF">
        <w:rPr>
          <w:rFonts w:ascii="Arial" w:hAnsi="Arial" w:cs="Arial"/>
          <w:szCs w:val="24"/>
          <w:lang w:val="en-ZA"/>
        </w:rPr>
        <w:t>and</w:t>
      </w:r>
    </w:p>
    <w:p w:rsidR="00276582" w:rsidRPr="00A54F57" w:rsidRDefault="00276582" w:rsidP="00276582">
      <w:pPr>
        <w:pStyle w:val="BodyText"/>
        <w:rPr>
          <w:rFonts w:ascii="Arial" w:hAnsi="Arial" w:cs="Arial"/>
          <w:b/>
          <w:sz w:val="22"/>
          <w:szCs w:val="22"/>
          <w:lang w:val="en-ZA"/>
        </w:rPr>
      </w:pPr>
      <w:r w:rsidRPr="00B004BF">
        <w:rPr>
          <w:rFonts w:ascii="Arial" w:hAnsi="Arial" w:cs="Arial"/>
          <w:szCs w:val="24"/>
          <w:lang w:val="en-ZA"/>
        </w:rPr>
        <w:t xml:space="preserve"> </w:t>
      </w:r>
    </w:p>
    <w:p w:rsidR="00276582" w:rsidRPr="00A54F57" w:rsidRDefault="00276582" w:rsidP="00276582">
      <w:pPr>
        <w:pStyle w:val="BodyText"/>
        <w:rPr>
          <w:rFonts w:ascii="Arial" w:hAnsi="Arial" w:cs="Arial"/>
          <w:b/>
          <w:sz w:val="22"/>
          <w:szCs w:val="22"/>
          <w:lang w:val="en-ZA"/>
        </w:rPr>
      </w:pPr>
    </w:p>
    <w:p w:rsidR="00276582" w:rsidRPr="00DE1FAF" w:rsidRDefault="00B004BF" w:rsidP="00043A46">
      <w:pPr>
        <w:spacing w:line="360" w:lineRule="auto"/>
        <w:jc w:val="both"/>
        <w:rPr>
          <w:rFonts w:ascii="Arial" w:hAnsi="Arial" w:cs="Arial"/>
          <w:bCs/>
        </w:rPr>
      </w:pPr>
      <w:r w:rsidRPr="00A54F57">
        <w:rPr>
          <w:rFonts w:ascii="Arial" w:hAnsi="Arial" w:cs="Arial"/>
          <w:b/>
        </w:rPr>
        <w:t>RETYRE (PTY) LTD</w:t>
      </w:r>
      <w:r w:rsidRPr="00A54F57">
        <w:rPr>
          <w:rFonts w:ascii="Arial" w:hAnsi="Arial" w:cs="Arial"/>
          <w:b/>
        </w:rPr>
        <w:tab/>
      </w:r>
      <w:r w:rsidRPr="00A54F57">
        <w:rPr>
          <w:rFonts w:ascii="Arial" w:hAnsi="Arial" w:cs="Arial"/>
          <w:b/>
        </w:rPr>
        <w:tab/>
      </w:r>
      <w:r w:rsidRPr="00A54F57">
        <w:rPr>
          <w:rFonts w:ascii="Arial" w:hAnsi="Arial" w:cs="Arial"/>
          <w:b/>
        </w:rPr>
        <w:tab/>
      </w:r>
      <w:r w:rsidRPr="00A54F57">
        <w:rPr>
          <w:rFonts w:ascii="Arial" w:hAnsi="Arial" w:cs="Arial"/>
          <w:b/>
        </w:rPr>
        <w:tab/>
      </w:r>
      <w:r w:rsidRPr="00A54F57">
        <w:rPr>
          <w:rFonts w:ascii="Arial" w:hAnsi="Arial" w:cs="Arial"/>
          <w:b/>
        </w:rPr>
        <w:tab/>
      </w:r>
      <w:r w:rsidRPr="00A54F57">
        <w:rPr>
          <w:rFonts w:ascii="Arial" w:hAnsi="Arial" w:cs="Arial"/>
          <w:b/>
        </w:rPr>
        <w:tab/>
      </w:r>
      <w:r w:rsidR="00A54F57">
        <w:rPr>
          <w:rFonts w:ascii="Arial" w:hAnsi="Arial" w:cs="Arial"/>
          <w:b/>
        </w:rPr>
        <w:tab/>
      </w:r>
      <w:r w:rsidR="00DE1FAF">
        <w:rPr>
          <w:rFonts w:ascii="Arial" w:hAnsi="Arial" w:cs="Arial"/>
          <w:b/>
        </w:rPr>
        <w:t xml:space="preserve">                  </w:t>
      </w:r>
      <w:r w:rsidR="00DE1FAF" w:rsidRPr="00DE1FAF">
        <w:rPr>
          <w:rFonts w:ascii="Arial" w:hAnsi="Arial" w:cs="Arial"/>
          <w:bCs/>
        </w:rPr>
        <w:t>1</w:t>
      </w:r>
      <w:r w:rsidR="00DE1FAF" w:rsidRPr="00DE1FAF">
        <w:rPr>
          <w:rFonts w:ascii="Arial" w:hAnsi="Arial" w:cs="Arial"/>
          <w:bCs/>
          <w:vertAlign w:val="superscript"/>
        </w:rPr>
        <w:t>st</w:t>
      </w:r>
      <w:r w:rsidR="00DE1FAF" w:rsidRPr="00DE1FAF">
        <w:rPr>
          <w:rFonts w:ascii="Arial" w:hAnsi="Arial" w:cs="Arial"/>
          <w:bCs/>
        </w:rPr>
        <w:t xml:space="preserve"> </w:t>
      </w:r>
      <w:r w:rsidR="00DE1FAF">
        <w:rPr>
          <w:rFonts w:ascii="Arial" w:hAnsi="Arial" w:cs="Arial"/>
          <w:bCs/>
        </w:rPr>
        <w:t>D</w:t>
      </w:r>
      <w:r w:rsidR="00DE1FAF" w:rsidRPr="00DE1FAF">
        <w:rPr>
          <w:rFonts w:ascii="Arial" w:hAnsi="Arial" w:cs="Arial"/>
          <w:bCs/>
        </w:rPr>
        <w:t>efendant</w:t>
      </w:r>
    </w:p>
    <w:p w:rsidR="00B004BF" w:rsidRPr="00A54F57" w:rsidRDefault="00B004BF" w:rsidP="00043A46">
      <w:pPr>
        <w:spacing w:line="360" w:lineRule="auto"/>
        <w:jc w:val="both"/>
        <w:rPr>
          <w:rFonts w:ascii="Arial" w:hAnsi="Arial" w:cs="Arial"/>
          <w:b/>
        </w:rPr>
      </w:pPr>
      <w:r w:rsidRPr="00A54F57">
        <w:rPr>
          <w:rFonts w:ascii="Arial" w:hAnsi="Arial" w:cs="Arial"/>
          <w:b/>
        </w:rPr>
        <w:t>JENDERS INVESTMENTS (PTY) LTD</w:t>
      </w:r>
      <w:r w:rsidRPr="00A54F57">
        <w:rPr>
          <w:rFonts w:ascii="Arial" w:hAnsi="Arial" w:cs="Arial"/>
          <w:b/>
        </w:rPr>
        <w:tab/>
      </w:r>
      <w:r w:rsidRPr="00A54F57">
        <w:rPr>
          <w:rFonts w:ascii="Arial" w:hAnsi="Arial" w:cs="Arial"/>
          <w:b/>
        </w:rPr>
        <w:tab/>
      </w:r>
      <w:r w:rsidRPr="00A54F57">
        <w:rPr>
          <w:rFonts w:ascii="Arial" w:hAnsi="Arial" w:cs="Arial"/>
          <w:b/>
        </w:rPr>
        <w:tab/>
      </w:r>
      <w:r w:rsidRPr="00A54F57">
        <w:rPr>
          <w:rFonts w:ascii="Arial" w:hAnsi="Arial" w:cs="Arial"/>
          <w:b/>
        </w:rPr>
        <w:tab/>
      </w:r>
      <w:r w:rsidR="00DE1FAF" w:rsidRPr="00DE1FAF">
        <w:rPr>
          <w:rFonts w:ascii="Arial" w:hAnsi="Arial" w:cs="Arial"/>
          <w:bCs/>
        </w:rPr>
        <w:t xml:space="preserve">                2</w:t>
      </w:r>
      <w:r w:rsidR="001A7038" w:rsidRPr="001A7038">
        <w:rPr>
          <w:rFonts w:ascii="Arial" w:hAnsi="Arial" w:cs="Arial"/>
          <w:bCs/>
          <w:vertAlign w:val="superscript"/>
        </w:rPr>
        <w:t>nd</w:t>
      </w:r>
      <w:r w:rsidR="001A7038">
        <w:rPr>
          <w:rFonts w:ascii="Arial" w:hAnsi="Arial" w:cs="Arial"/>
          <w:bCs/>
        </w:rPr>
        <w:t xml:space="preserve"> </w:t>
      </w:r>
      <w:r w:rsidR="00DE1FAF" w:rsidRPr="00DE1FAF">
        <w:rPr>
          <w:rFonts w:ascii="Arial" w:hAnsi="Arial" w:cs="Arial"/>
          <w:bCs/>
        </w:rPr>
        <w:t xml:space="preserve"> Defendant</w:t>
      </w:r>
    </w:p>
    <w:p w:rsidR="00B004BF" w:rsidRPr="00A54F57" w:rsidRDefault="00B004BF" w:rsidP="00043A46">
      <w:pPr>
        <w:spacing w:line="360" w:lineRule="auto"/>
        <w:jc w:val="both"/>
        <w:rPr>
          <w:rFonts w:ascii="Arial" w:hAnsi="Arial" w:cs="Arial"/>
          <w:b/>
        </w:rPr>
      </w:pPr>
      <w:r w:rsidRPr="00A54F57">
        <w:rPr>
          <w:rFonts w:ascii="Arial" w:hAnsi="Arial" w:cs="Arial"/>
          <w:b/>
        </w:rPr>
        <w:t>EBEN VINCENT BOTHA</w:t>
      </w:r>
      <w:r w:rsidRPr="00A54F57">
        <w:rPr>
          <w:rFonts w:ascii="Arial" w:hAnsi="Arial" w:cs="Arial"/>
          <w:b/>
        </w:rPr>
        <w:tab/>
      </w:r>
      <w:r w:rsidRPr="00A54F57">
        <w:rPr>
          <w:rFonts w:ascii="Arial" w:hAnsi="Arial" w:cs="Arial"/>
          <w:b/>
        </w:rPr>
        <w:tab/>
      </w:r>
      <w:r w:rsidRPr="00A54F57">
        <w:rPr>
          <w:rFonts w:ascii="Arial" w:hAnsi="Arial" w:cs="Arial"/>
          <w:b/>
        </w:rPr>
        <w:tab/>
      </w:r>
      <w:r w:rsidRPr="00A54F57">
        <w:rPr>
          <w:rFonts w:ascii="Arial" w:hAnsi="Arial" w:cs="Arial"/>
          <w:b/>
        </w:rPr>
        <w:tab/>
      </w:r>
      <w:r w:rsidRPr="00A54F57">
        <w:rPr>
          <w:rFonts w:ascii="Arial" w:hAnsi="Arial" w:cs="Arial"/>
          <w:b/>
        </w:rPr>
        <w:tab/>
      </w:r>
      <w:r w:rsidRPr="00A54F57">
        <w:rPr>
          <w:rFonts w:ascii="Arial" w:hAnsi="Arial" w:cs="Arial"/>
          <w:b/>
        </w:rPr>
        <w:tab/>
      </w:r>
      <w:r w:rsidR="00DE1FAF">
        <w:rPr>
          <w:rFonts w:ascii="Arial" w:hAnsi="Arial" w:cs="Arial"/>
          <w:b/>
        </w:rPr>
        <w:t xml:space="preserve">                 </w:t>
      </w:r>
      <w:r w:rsidR="00DE1FAF" w:rsidRPr="00DE1FAF">
        <w:rPr>
          <w:rFonts w:ascii="Arial" w:hAnsi="Arial" w:cs="Arial"/>
          <w:bCs/>
        </w:rPr>
        <w:t>3</w:t>
      </w:r>
      <w:r w:rsidR="00DE1FAF" w:rsidRPr="00DE1FAF">
        <w:rPr>
          <w:rFonts w:ascii="Arial" w:hAnsi="Arial" w:cs="Arial"/>
          <w:bCs/>
          <w:vertAlign w:val="superscript"/>
        </w:rPr>
        <w:t>rd</w:t>
      </w:r>
      <w:r w:rsidR="00DE1FAF" w:rsidRPr="00DE1FAF">
        <w:rPr>
          <w:rFonts w:ascii="Arial" w:hAnsi="Arial" w:cs="Arial"/>
          <w:bCs/>
        </w:rPr>
        <w:t xml:space="preserve"> Defendant</w:t>
      </w:r>
    </w:p>
    <w:p w:rsidR="00B004BF" w:rsidRPr="00DE1FAF" w:rsidRDefault="00B004BF" w:rsidP="00043A46">
      <w:pPr>
        <w:spacing w:line="360" w:lineRule="auto"/>
        <w:jc w:val="both"/>
        <w:rPr>
          <w:rFonts w:ascii="Verdana" w:hAnsi="Verdana" w:cs="Times New Roman"/>
          <w:bCs/>
        </w:rPr>
      </w:pPr>
      <w:r w:rsidRPr="00A54F57">
        <w:rPr>
          <w:rFonts w:ascii="Arial" w:hAnsi="Arial" w:cs="Arial"/>
          <w:b/>
        </w:rPr>
        <w:t>HELENA DORETHIA BOTHA</w:t>
      </w:r>
      <w:r w:rsidRPr="00A54F57">
        <w:rPr>
          <w:rFonts w:ascii="Arial" w:hAnsi="Arial" w:cs="Arial"/>
          <w:b/>
        </w:rPr>
        <w:tab/>
      </w:r>
      <w:r w:rsidRPr="00A54F57">
        <w:rPr>
          <w:rFonts w:ascii="Arial" w:hAnsi="Arial" w:cs="Arial"/>
          <w:b/>
        </w:rPr>
        <w:tab/>
      </w:r>
      <w:r w:rsidRPr="00A54F57">
        <w:rPr>
          <w:rFonts w:ascii="Arial" w:hAnsi="Arial" w:cs="Arial"/>
          <w:b/>
        </w:rPr>
        <w:tab/>
      </w:r>
      <w:r w:rsidRPr="00A54F57">
        <w:rPr>
          <w:rFonts w:ascii="Arial" w:hAnsi="Arial" w:cs="Arial"/>
          <w:b/>
        </w:rPr>
        <w:tab/>
      </w:r>
      <w:r w:rsidR="00DE1FAF">
        <w:rPr>
          <w:rFonts w:ascii="Arial" w:hAnsi="Arial" w:cs="Arial"/>
          <w:b/>
        </w:rPr>
        <w:t xml:space="preserve">               </w:t>
      </w:r>
      <w:r w:rsidRPr="00A54F57">
        <w:rPr>
          <w:rFonts w:ascii="Arial" w:hAnsi="Arial" w:cs="Arial"/>
          <w:b/>
        </w:rPr>
        <w:tab/>
      </w:r>
      <w:r w:rsidR="00DE1FAF">
        <w:rPr>
          <w:rFonts w:ascii="Arial" w:hAnsi="Arial" w:cs="Arial"/>
          <w:b/>
        </w:rPr>
        <w:t xml:space="preserve">     </w:t>
      </w:r>
      <w:r w:rsidR="00DE1FAF" w:rsidRPr="00DE1FAF">
        <w:rPr>
          <w:rFonts w:ascii="Arial" w:hAnsi="Arial" w:cs="Arial"/>
          <w:bCs/>
        </w:rPr>
        <w:t>4</w:t>
      </w:r>
      <w:r w:rsidR="00DE1FAF" w:rsidRPr="00DE1FAF">
        <w:rPr>
          <w:rFonts w:ascii="Arial" w:hAnsi="Arial" w:cs="Arial"/>
          <w:bCs/>
          <w:vertAlign w:val="superscript"/>
        </w:rPr>
        <w:t>th</w:t>
      </w:r>
      <w:r w:rsidR="00DE1FAF" w:rsidRPr="00DE1FAF">
        <w:rPr>
          <w:rFonts w:ascii="Arial" w:hAnsi="Arial" w:cs="Arial"/>
          <w:bCs/>
        </w:rPr>
        <w:t xml:space="preserve"> Defendant</w:t>
      </w:r>
    </w:p>
    <w:p w:rsidR="00276582" w:rsidRPr="00A5416B" w:rsidRDefault="00276582" w:rsidP="00276582">
      <w:pPr>
        <w:pStyle w:val="BodyText"/>
        <w:pBdr>
          <w:bottom w:val="single" w:sz="12" w:space="1" w:color="auto"/>
        </w:pBdr>
        <w:rPr>
          <w:rFonts w:ascii="Arial" w:hAnsi="Arial" w:cs="Arial"/>
          <w:szCs w:val="24"/>
          <w:lang w:val="en-ZA"/>
        </w:rPr>
      </w:pPr>
    </w:p>
    <w:p w:rsidR="00276582" w:rsidRPr="00A5416B" w:rsidRDefault="00276582" w:rsidP="00276582">
      <w:pPr>
        <w:pStyle w:val="BodyText"/>
        <w:rPr>
          <w:rFonts w:ascii="Arial" w:hAnsi="Arial" w:cs="Arial"/>
          <w:szCs w:val="24"/>
          <w:lang w:val="en-ZA"/>
        </w:rPr>
      </w:pPr>
    </w:p>
    <w:p w:rsidR="00276582" w:rsidRPr="00A5416B" w:rsidRDefault="00276582" w:rsidP="00276582">
      <w:pPr>
        <w:pBdr>
          <w:bottom w:val="single" w:sz="12" w:space="1" w:color="auto"/>
        </w:pBdr>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u w:val="single"/>
          <w:lang w:eastAsia="en-GB"/>
        </w:rPr>
        <w:t>CORAM</w:t>
      </w:r>
      <w:r w:rsidRPr="00A5416B">
        <w:rPr>
          <w:rFonts w:ascii="Arial" w:eastAsia="Times New Roman" w:hAnsi="Arial" w:cs="Arial"/>
          <w:b/>
          <w:sz w:val="24"/>
          <w:szCs w:val="24"/>
          <w:u w:val="single"/>
          <w:lang w:eastAsia="en-GB"/>
        </w:rPr>
        <w:t>:</w:t>
      </w:r>
      <w:r w:rsidRPr="00A5416B">
        <w:rPr>
          <w:rFonts w:ascii="Arial" w:eastAsia="Times New Roman" w:hAnsi="Arial" w:cs="Arial"/>
          <w:b/>
          <w:sz w:val="24"/>
          <w:szCs w:val="24"/>
          <w:lang w:eastAsia="en-GB"/>
        </w:rPr>
        <w:t xml:space="preserve"> </w:t>
      </w:r>
      <w:r w:rsidRPr="00A5416B">
        <w:rPr>
          <w:rFonts w:ascii="Arial" w:eastAsia="Times New Roman" w:hAnsi="Arial" w:cs="Arial"/>
          <w:b/>
          <w:sz w:val="24"/>
          <w:szCs w:val="24"/>
          <w:lang w:eastAsia="en-GB"/>
        </w:rPr>
        <w:tab/>
      </w:r>
      <w:r w:rsidRPr="00A5416B">
        <w:rPr>
          <w:rFonts w:ascii="Arial" w:eastAsia="Times New Roman" w:hAnsi="Arial" w:cs="Arial"/>
          <w:b/>
          <w:sz w:val="24"/>
          <w:szCs w:val="24"/>
          <w:lang w:eastAsia="en-GB"/>
        </w:rPr>
        <w:tab/>
      </w:r>
      <w:r w:rsidRPr="00A5416B">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i/>
          <w:sz w:val="24"/>
          <w:szCs w:val="24"/>
          <w:lang w:eastAsia="en-GB"/>
        </w:rPr>
        <w:t xml:space="preserve"> </w:t>
      </w:r>
      <w:r>
        <w:rPr>
          <w:rFonts w:ascii="Arial" w:eastAsia="Times New Roman" w:hAnsi="Arial" w:cs="Arial"/>
          <w:sz w:val="24"/>
          <w:szCs w:val="24"/>
          <w:lang w:eastAsia="en-GB"/>
        </w:rPr>
        <w:t>AFRICA, AJ</w:t>
      </w:r>
      <w:r w:rsidRPr="00A5416B">
        <w:rPr>
          <w:rFonts w:ascii="Arial" w:eastAsia="Times New Roman" w:hAnsi="Arial" w:cs="Arial"/>
          <w:sz w:val="24"/>
          <w:szCs w:val="24"/>
          <w:lang w:eastAsia="en-GB"/>
        </w:rPr>
        <w:t xml:space="preserve"> </w:t>
      </w:r>
    </w:p>
    <w:p w:rsidR="00276582" w:rsidRPr="00A5416B" w:rsidRDefault="00276582" w:rsidP="00276582">
      <w:pPr>
        <w:pBdr>
          <w:bottom w:val="single" w:sz="12" w:space="1" w:color="auto"/>
        </w:pBdr>
        <w:spacing w:after="0" w:line="240" w:lineRule="auto"/>
        <w:jc w:val="both"/>
        <w:rPr>
          <w:rFonts w:ascii="Arial" w:eastAsia="Times New Roman" w:hAnsi="Arial" w:cs="Arial"/>
          <w:b/>
          <w:sz w:val="24"/>
          <w:szCs w:val="24"/>
          <w:lang w:eastAsia="en-GB"/>
        </w:rPr>
      </w:pPr>
      <w:r w:rsidRPr="00A5416B">
        <w:rPr>
          <w:rFonts w:ascii="Arial" w:eastAsia="Times New Roman" w:hAnsi="Arial" w:cs="Arial"/>
          <w:b/>
          <w:sz w:val="24"/>
          <w:szCs w:val="24"/>
          <w:lang w:eastAsia="en-GB"/>
        </w:rPr>
        <w:tab/>
      </w:r>
      <w:r w:rsidRPr="00A5416B">
        <w:rPr>
          <w:rFonts w:ascii="Arial" w:eastAsia="Times New Roman" w:hAnsi="Arial" w:cs="Arial"/>
          <w:b/>
          <w:sz w:val="24"/>
          <w:szCs w:val="24"/>
          <w:lang w:eastAsia="en-GB"/>
        </w:rPr>
        <w:tab/>
      </w:r>
    </w:p>
    <w:p w:rsidR="00276582" w:rsidRPr="00A5416B" w:rsidRDefault="00276582" w:rsidP="0067190F">
      <w:pPr>
        <w:spacing w:after="0" w:line="240" w:lineRule="auto"/>
        <w:contextualSpacing/>
        <w:jc w:val="both"/>
        <w:rPr>
          <w:rFonts w:ascii="Arial" w:eastAsia="Times New Roman" w:hAnsi="Arial" w:cs="Arial"/>
          <w:b/>
          <w:sz w:val="24"/>
          <w:szCs w:val="24"/>
          <w:u w:val="single"/>
          <w:lang w:eastAsia="en-GB"/>
        </w:rPr>
      </w:pPr>
    </w:p>
    <w:p w:rsidR="00276582" w:rsidRPr="00A71340" w:rsidRDefault="00276582" w:rsidP="0067190F">
      <w:pPr>
        <w:spacing w:after="0" w:line="240" w:lineRule="auto"/>
        <w:ind w:left="1560" w:hanging="1560"/>
        <w:contextualSpacing/>
        <w:jc w:val="both"/>
        <w:rPr>
          <w:rFonts w:ascii="Arial" w:eastAsia="Times New Roman" w:hAnsi="Arial" w:cs="Arial"/>
          <w:sz w:val="24"/>
          <w:szCs w:val="24"/>
          <w:lang w:eastAsia="en-GB"/>
        </w:rPr>
      </w:pPr>
      <w:r w:rsidRPr="00A71340">
        <w:rPr>
          <w:rFonts w:ascii="Arial" w:eastAsia="Times New Roman" w:hAnsi="Arial" w:cs="Arial"/>
          <w:b/>
          <w:sz w:val="24"/>
          <w:szCs w:val="24"/>
          <w:u w:val="single"/>
          <w:lang w:eastAsia="en-GB"/>
        </w:rPr>
        <w:t>HEARD ON:</w:t>
      </w:r>
      <w:r w:rsidR="00A71340">
        <w:rPr>
          <w:rFonts w:ascii="Arial" w:eastAsia="Times New Roman" w:hAnsi="Arial" w:cs="Arial"/>
          <w:b/>
          <w:sz w:val="24"/>
          <w:szCs w:val="24"/>
          <w:lang w:eastAsia="en-GB"/>
        </w:rPr>
        <w:tab/>
      </w:r>
      <w:r w:rsidR="00A71340">
        <w:rPr>
          <w:rFonts w:ascii="Arial" w:eastAsia="Times New Roman" w:hAnsi="Arial" w:cs="Arial"/>
          <w:b/>
          <w:sz w:val="24"/>
          <w:szCs w:val="24"/>
          <w:lang w:eastAsia="en-GB"/>
        </w:rPr>
        <w:tab/>
      </w:r>
      <w:r w:rsidR="00A71340">
        <w:rPr>
          <w:rFonts w:ascii="Arial" w:eastAsia="Times New Roman" w:hAnsi="Arial" w:cs="Arial"/>
          <w:b/>
          <w:sz w:val="24"/>
          <w:szCs w:val="24"/>
          <w:lang w:eastAsia="en-GB"/>
        </w:rPr>
        <w:tab/>
      </w:r>
      <w:r w:rsidRPr="00A71340">
        <w:rPr>
          <w:rFonts w:ascii="Arial" w:eastAsia="Times New Roman" w:hAnsi="Arial" w:cs="Arial"/>
          <w:sz w:val="24"/>
          <w:szCs w:val="24"/>
          <w:lang w:eastAsia="en-GB"/>
        </w:rPr>
        <w:tab/>
      </w:r>
      <w:r w:rsidR="00A54F57">
        <w:rPr>
          <w:rFonts w:ascii="Arial" w:eastAsia="Times New Roman" w:hAnsi="Arial" w:cs="Arial"/>
          <w:sz w:val="24"/>
          <w:szCs w:val="24"/>
          <w:lang w:eastAsia="en-GB"/>
        </w:rPr>
        <w:t>26</w:t>
      </w:r>
      <w:r w:rsidRPr="00A71340">
        <w:rPr>
          <w:rFonts w:ascii="Arial" w:eastAsia="Times New Roman" w:hAnsi="Arial" w:cs="Arial"/>
          <w:sz w:val="24"/>
          <w:szCs w:val="24"/>
          <w:lang w:eastAsia="en-GB"/>
        </w:rPr>
        <w:t xml:space="preserve"> </w:t>
      </w:r>
      <w:r w:rsidR="00043A46">
        <w:rPr>
          <w:rFonts w:ascii="Arial" w:eastAsia="Times New Roman" w:hAnsi="Arial" w:cs="Arial"/>
          <w:sz w:val="24"/>
          <w:szCs w:val="24"/>
          <w:lang w:eastAsia="en-GB"/>
        </w:rPr>
        <w:t xml:space="preserve">MAY </w:t>
      </w:r>
      <w:r w:rsidRPr="00A71340">
        <w:rPr>
          <w:rFonts w:ascii="Arial" w:eastAsia="Times New Roman" w:hAnsi="Arial" w:cs="Arial"/>
          <w:sz w:val="24"/>
          <w:szCs w:val="24"/>
          <w:lang w:eastAsia="en-GB"/>
        </w:rPr>
        <w:t>2022</w:t>
      </w:r>
    </w:p>
    <w:p w:rsidR="00276582" w:rsidRPr="0035584D" w:rsidRDefault="00276582" w:rsidP="0035584D">
      <w:pPr>
        <w:pBdr>
          <w:bottom w:val="single" w:sz="12" w:space="1" w:color="auto"/>
        </w:pBdr>
        <w:spacing w:after="0" w:line="360" w:lineRule="auto"/>
        <w:ind w:left="1560" w:hanging="1560"/>
        <w:contextualSpacing/>
        <w:jc w:val="both"/>
        <w:rPr>
          <w:rFonts w:ascii="Arial" w:eastAsia="Times New Roman" w:hAnsi="Arial" w:cs="Arial"/>
          <w:b/>
          <w:sz w:val="24"/>
          <w:szCs w:val="24"/>
          <w:u w:val="single"/>
          <w:lang w:eastAsia="en-GB"/>
        </w:rPr>
      </w:pPr>
    </w:p>
    <w:p w:rsidR="00A71340" w:rsidRPr="0035584D" w:rsidRDefault="00A71340" w:rsidP="00182E02">
      <w:pPr>
        <w:spacing w:after="0" w:line="360" w:lineRule="auto"/>
        <w:jc w:val="both"/>
        <w:rPr>
          <w:rFonts w:ascii="Arial" w:hAnsi="Arial" w:cs="Arial"/>
          <w:b/>
          <w:sz w:val="24"/>
          <w:szCs w:val="24"/>
        </w:rPr>
      </w:pPr>
    </w:p>
    <w:p w:rsidR="005F24D8" w:rsidRDefault="00A71340" w:rsidP="00182E02">
      <w:pPr>
        <w:pBdr>
          <w:bottom w:val="single" w:sz="12" w:space="1" w:color="auto"/>
        </w:pBdr>
        <w:spacing w:after="0" w:line="360" w:lineRule="auto"/>
        <w:ind w:left="2268" w:hanging="2268"/>
        <w:jc w:val="both"/>
        <w:rPr>
          <w:rFonts w:ascii="Arial" w:hAnsi="Arial" w:cs="Arial"/>
          <w:sz w:val="24"/>
          <w:szCs w:val="24"/>
        </w:rPr>
      </w:pPr>
      <w:r w:rsidRPr="0035584D">
        <w:rPr>
          <w:rFonts w:ascii="Arial" w:hAnsi="Arial" w:cs="Arial"/>
          <w:b/>
          <w:sz w:val="24"/>
          <w:szCs w:val="24"/>
          <w:u w:val="single"/>
        </w:rPr>
        <w:t>DELIVERED ON:</w:t>
      </w:r>
      <w:r w:rsidRPr="0035584D">
        <w:rPr>
          <w:rFonts w:ascii="Arial" w:hAnsi="Arial" w:cs="Arial"/>
          <w:sz w:val="24"/>
          <w:szCs w:val="24"/>
        </w:rPr>
        <w:tab/>
      </w:r>
      <w:r w:rsidR="001D761F" w:rsidRPr="006F0435">
        <w:rPr>
          <w:rFonts w:ascii="Arial" w:hAnsi="Arial" w:cs="Arial"/>
          <w:sz w:val="24"/>
          <w:szCs w:val="24"/>
        </w:rPr>
        <w:t>This judgment was handed down electronically by circulation to the parties’ legal representatives by email.</w:t>
      </w:r>
      <w:r w:rsidR="001D761F" w:rsidRPr="006F0435">
        <w:rPr>
          <w:rFonts w:ascii="Arial" w:hAnsi="Arial" w:cs="Arial"/>
          <w:i/>
          <w:sz w:val="24"/>
          <w:szCs w:val="24"/>
        </w:rPr>
        <w:t xml:space="preserve"> </w:t>
      </w:r>
      <w:r w:rsidR="001D761F" w:rsidRPr="006F0435">
        <w:rPr>
          <w:rFonts w:ascii="Arial" w:hAnsi="Arial" w:cs="Arial"/>
          <w:sz w:val="24"/>
          <w:szCs w:val="24"/>
        </w:rPr>
        <w:t xml:space="preserve">The date and time for hand-down is deemed to have been at </w:t>
      </w:r>
      <w:r w:rsidR="00A54F57">
        <w:rPr>
          <w:rFonts w:ascii="Arial" w:hAnsi="Arial" w:cs="Arial"/>
          <w:sz w:val="24"/>
          <w:szCs w:val="24"/>
        </w:rPr>
        <w:t>11</w:t>
      </w:r>
      <w:r w:rsidR="001D761F" w:rsidRPr="006F0435">
        <w:rPr>
          <w:rFonts w:ascii="Arial" w:hAnsi="Arial" w:cs="Arial"/>
          <w:sz w:val="24"/>
          <w:szCs w:val="24"/>
        </w:rPr>
        <w:t>h</w:t>
      </w:r>
      <w:r w:rsidR="00A54F57">
        <w:rPr>
          <w:rFonts w:ascii="Arial" w:hAnsi="Arial" w:cs="Arial"/>
          <w:sz w:val="24"/>
          <w:szCs w:val="24"/>
        </w:rPr>
        <w:t>00</w:t>
      </w:r>
      <w:r w:rsidR="001D761F" w:rsidRPr="006F0435">
        <w:rPr>
          <w:rFonts w:ascii="Arial" w:hAnsi="Arial" w:cs="Arial"/>
          <w:sz w:val="24"/>
          <w:szCs w:val="24"/>
        </w:rPr>
        <w:t xml:space="preserve"> on </w:t>
      </w:r>
      <w:r w:rsidR="00A54F57">
        <w:rPr>
          <w:rFonts w:ascii="Arial" w:hAnsi="Arial" w:cs="Arial"/>
          <w:sz w:val="24"/>
          <w:szCs w:val="24"/>
        </w:rPr>
        <w:t>1</w:t>
      </w:r>
      <w:r w:rsidR="00C83054">
        <w:rPr>
          <w:rFonts w:ascii="Arial" w:hAnsi="Arial" w:cs="Arial"/>
          <w:sz w:val="24"/>
          <w:szCs w:val="24"/>
        </w:rPr>
        <w:t>4</w:t>
      </w:r>
      <w:r w:rsidR="00B7562E">
        <w:rPr>
          <w:rFonts w:ascii="Arial" w:hAnsi="Arial" w:cs="Arial"/>
          <w:sz w:val="24"/>
          <w:szCs w:val="24"/>
        </w:rPr>
        <w:t xml:space="preserve"> </w:t>
      </w:r>
      <w:r w:rsidR="00A54F57">
        <w:rPr>
          <w:rFonts w:ascii="Arial" w:hAnsi="Arial" w:cs="Arial"/>
          <w:sz w:val="24"/>
          <w:szCs w:val="24"/>
        </w:rPr>
        <w:t>June</w:t>
      </w:r>
      <w:r w:rsidR="00043A46">
        <w:rPr>
          <w:rFonts w:ascii="Arial" w:hAnsi="Arial" w:cs="Arial"/>
          <w:sz w:val="24"/>
          <w:szCs w:val="24"/>
        </w:rPr>
        <w:t xml:space="preserve"> </w:t>
      </w:r>
      <w:r w:rsidR="001D761F" w:rsidRPr="006F0435">
        <w:rPr>
          <w:rFonts w:ascii="Arial" w:hAnsi="Arial" w:cs="Arial"/>
          <w:sz w:val="24"/>
          <w:szCs w:val="24"/>
        </w:rPr>
        <w:t>2022.</w:t>
      </w:r>
    </w:p>
    <w:p w:rsidR="005F24D8" w:rsidRDefault="005F24D8" w:rsidP="00182E02">
      <w:pPr>
        <w:pBdr>
          <w:bottom w:val="single" w:sz="12" w:space="1" w:color="auto"/>
        </w:pBdr>
        <w:spacing w:after="0" w:line="360" w:lineRule="auto"/>
        <w:ind w:left="2268" w:hanging="2268"/>
        <w:jc w:val="both"/>
        <w:rPr>
          <w:rFonts w:ascii="Arial" w:eastAsia="Times New Roman" w:hAnsi="Arial" w:cs="Arial"/>
          <w:sz w:val="24"/>
          <w:szCs w:val="24"/>
          <w:lang w:val="en-GB"/>
        </w:rPr>
      </w:pPr>
    </w:p>
    <w:p w:rsidR="005F24D8" w:rsidRDefault="005F24D8" w:rsidP="00182E02">
      <w:pPr>
        <w:pBdr>
          <w:bottom w:val="single" w:sz="12" w:space="1" w:color="auto"/>
        </w:pBdr>
        <w:spacing w:after="0" w:line="360" w:lineRule="auto"/>
        <w:ind w:left="2268" w:hanging="2268"/>
        <w:jc w:val="both"/>
        <w:rPr>
          <w:rFonts w:ascii="Arial" w:eastAsia="Times New Roman" w:hAnsi="Arial" w:cs="Arial"/>
          <w:sz w:val="24"/>
          <w:szCs w:val="24"/>
          <w:lang w:val="en-GB"/>
        </w:rPr>
      </w:pPr>
    </w:p>
    <w:p w:rsidR="005F24D8" w:rsidRDefault="005F24D8" w:rsidP="00182E02">
      <w:pPr>
        <w:pBdr>
          <w:bottom w:val="single" w:sz="12" w:space="1" w:color="auto"/>
        </w:pBdr>
        <w:spacing w:after="0" w:line="360" w:lineRule="auto"/>
        <w:ind w:left="2268" w:hanging="2268"/>
        <w:jc w:val="both"/>
        <w:rPr>
          <w:rFonts w:ascii="Arial" w:eastAsia="Times New Roman" w:hAnsi="Arial" w:cs="Arial"/>
          <w:sz w:val="24"/>
          <w:szCs w:val="24"/>
          <w:lang w:val="en-GB"/>
        </w:rPr>
      </w:pPr>
    </w:p>
    <w:p w:rsidR="00182E02" w:rsidRPr="006F0435" w:rsidRDefault="00182E02" w:rsidP="00182E02">
      <w:pPr>
        <w:pBdr>
          <w:bottom w:val="single" w:sz="12" w:space="1" w:color="auto"/>
        </w:pBdr>
        <w:spacing w:after="0" w:line="360" w:lineRule="auto"/>
        <w:ind w:left="2268" w:hanging="2268"/>
        <w:jc w:val="both"/>
        <w:rPr>
          <w:rFonts w:ascii="Arial" w:hAnsi="Arial" w:cs="Arial"/>
          <w:sz w:val="24"/>
          <w:szCs w:val="24"/>
        </w:rPr>
      </w:pPr>
    </w:p>
    <w:p w:rsidR="00182E02" w:rsidRDefault="00182E02" w:rsidP="001D761F">
      <w:pPr>
        <w:spacing w:line="360" w:lineRule="auto"/>
        <w:jc w:val="center"/>
        <w:rPr>
          <w:rFonts w:ascii="Arial" w:hAnsi="Arial" w:cs="Arial"/>
          <w:b/>
          <w:sz w:val="24"/>
          <w:szCs w:val="24"/>
        </w:rPr>
      </w:pPr>
    </w:p>
    <w:p w:rsidR="00A71340" w:rsidRPr="006F0435" w:rsidRDefault="00A71340" w:rsidP="001D761F">
      <w:pPr>
        <w:spacing w:line="360" w:lineRule="auto"/>
        <w:jc w:val="center"/>
        <w:rPr>
          <w:rFonts w:ascii="Arial" w:hAnsi="Arial" w:cs="Arial"/>
          <w:b/>
          <w:sz w:val="24"/>
          <w:szCs w:val="24"/>
        </w:rPr>
      </w:pPr>
      <w:r w:rsidRPr="006F0435">
        <w:rPr>
          <w:rFonts w:ascii="Arial" w:hAnsi="Arial" w:cs="Arial"/>
          <w:b/>
          <w:sz w:val="24"/>
          <w:szCs w:val="24"/>
        </w:rPr>
        <w:t>JUDGMENT</w:t>
      </w:r>
    </w:p>
    <w:p w:rsidR="00A71340" w:rsidRPr="00182E02" w:rsidRDefault="00A71340" w:rsidP="0035584D">
      <w:pPr>
        <w:spacing w:line="360" w:lineRule="auto"/>
        <w:jc w:val="both"/>
        <w:rPr>
          <w:rFonts w:ascii="Arial" w:hAnsi="Arial" w:cs="Arial"/>
          <w:b/>
          <w:sz w:val="24"/>
          <w:szCs w:val="24"/>
        </w:rPr>
      </w:pPr>
      <w:r w:rsidRPr="00182E02">
        <w:rPr>
          <w:rFonts w:ascii="Arial" w:hAnsi="Arial" w:cs="Arial"/>
          <w:b/>
          <w:sz w:val="24"/>
          <w:szCs w:val="24"/>
        </w:rPr>
        <w:t>_____________________________________________</w:t>
      </w:r>
      <w:r w:rsidR="001D761F" w:rsidRPr="00182E02">
        <w:rPr>
          <w:rFonts w:ascii="Arial" w:hAnsi="Arial" w:cs="Arial"/>
          <w:b/>
          <w:sz w:val="24"/>
          <w:szCs w:val="24"/>
        </w:rPr>
        <w:t>__________</w:t>
      </w:r>
      <w:r w:rsidRPr="00182E02">
        <w:rPr>
          <w:rFonts w:ascii="Arial" w:hAnsi="Arial" w:cs="Arial"/>
          <w:b/>
          <w:sz w:val="24"/>
          <w:szCs w:val="24"/>
        </w:rPr>
        <w:t>____________</w:t>
      </w:r>
    </w:p>
    <w:p w:rsidR="00A71340" w:rsidRPr="00DE1FAF" w:rsidRDefault="00A71340" w:rsidP="00891209">
      <w:pPr>
        <w:spacing w:line="360" w:lineRule="auto"/>
        <w:jc w:val="both"/>
        <w:rPr>
          <w:rFonts w:ascii="Arial" w:hAnsi="Arial" w:cs="Arial"/>
          <w:b/>
          <w:bCs/>
          <w:sz w:val="24"/>
          <w:szCs w:val="24"/>
        </w:rPr>
      </w:pPr>
      <w:r w:rsidRPr="00DE1FAF">
        <w:rPr>
          <w:rFonts w:ascii="Arial" w:hAnsi="Arial" w:cs="Arial"/>
          <w:b/>
          <w:bCs/>
          <w:sz w:val="24"/>
          <w:szCs w:val="24"/>
        </w:rPr>
        <w:t>INTRODUCTION</w:t>
      </w:r>
    </w:p>
    <w:p w:rsidR="00BC1FEA" w:rsidRPr="0048049E" w:rsidRDefault="00391467" w:rsidP="00B13BF9">
      <w:pPr>
        <w:spacing w:line="360" w:lineRule="auto"/>
        <w:ind w:left="709" w:hanging="709"/>
        <w:jc w:val="both"/>
        <w:rPr>
          <w:rFonts w:ascii="Arial" w:hAnsi="Arial" w:cs="Arial"/>
          <w:sz w:val="24"/>
          <w:szCs w:val="24"/>
        </w:rPr>
      </w:pPr>
      <w:r w:rsidRPr="0048049E">
        <w:rPr>
          <w:rFonts w:ascii="Arial" w:hAnsi="Arial" w:cs="Arial"/>
          <w:sz w:val="24"/>
          <w:szCs w:val="24"/>
        </w:rPr>
        <w:t>[</w:t>
      </w:r>
      <w:r w:rsidRPr="00891209">
        <w:rPr>
          <w:rFonts w:ascii="Arial" w:hAnsi="Arial" w:cs="Arial"/>
          <w:sz w:val="24"/>
          <w:szCs w:val="24"/>
        </w:rPr>
        <w:t>1]</w:t>
      </w:r>
      <w:r w:rsidR="0048049E">
        <w:rPr>
          <w:rFonts w:ascii="Arial" w:hAnsi="Arial" w:cs="Arial"/>
          <w:sz w:val="24"/>
          <w:szCs w:val="24"/>
        </w:rPr>
        <w:tab/>
      </w:r>
      <w:r w:rsidR="00BC1FEA">
        <w:rPr>
          <w:rFonts w:ascii="Arial" w:hAnsi="Arial" w:cs="Arial"/>
          <w:bCs/>
          <w:sz w:val="24"/>
          <w:szCs w:val="24"/>
        </w:rPr>
        <w:t>This is</w:t>
      </w:r>
      <w:r w:rsidR="00BF7F65">
        <w:rPr>
          <w:rFonts w:ascii="Arial" w:hAnsi="Arial" w:cs="Arial"/>
          <w:bCs/>
          <w:sz w:val="24"/>
          <w:szCs w:val="24"/>
        </w:rPr>
        <w:t xml:space="preserve"> an </w:t>
      </w:r>
      <w:r w:rsidR="00945EA1">
        <w:rPr>
          <w:rFonts w:ascii="Arial" w:hAnsi="Arial" w:cs="Arial"/>
          <w:bCs/>
          <w:sz w:val="24"/>
          <w:szCs w:val="24"/>
        </w:rPr>
        <w:t>application for summary judg</w:t>
      </w:r>
      <w:r w:rsidR="00BF7F65">
        <w:rPr>
          <w:rFonts w:ascii="Arial" w:hAnsi="Arial" w:cs="Arial"/>
          <w:bCs/>
          <w:sz w:val="24"/>
          <w:szCs w:val="24"/>
        </w:rPr>
        <w:t>ment</w:t>
      </w:r>
      <w:r w:rsidR="00945EA1">
        <w:rPr>
          <w:rFonts w:ascii="Arial" w:hAnsi="Arial" w:cs="Arial"/>
          <w:bCs/>
          <w:sz w:val="24"/>
          <w:szCs w:val="24"/>
        </w:rPr>
        <w:t xml:space="preserve">. </w:t>
      </w:r>
      <w:r w:rsidR="00945EA1" w:rsidRPr="00945EA1">
        <w:rPr>
          <w:rFonts w:ascii="Arial" w:hAnsi="Arial" w:cs="Arial"/>
          <w:bCs/>
          <w:sz w:val="24"/>
          <w:szCs w:val="24"/>
        </w:rPr>
        <w:t>The Defendant</w:t>
      </w:r>
      <w:r w:rsidR="00945EA1">
        <w:rPr>
          <w:rFonts w:ascii="Arial" w:hAnsi="Arial" w:cs="Arial"/>
          <w:bCs/>
          <w:sz w:val="24"/>
          <w:szCs w:val="24"/>
        </w:rPr>
        <w:t>s</w:t>
      </w:r>
      <w:r w:rsidR="00945EA1" w:rsidRPr="00945EA1">
        <w:rPr>
          <w:rFonts w:ascii="Arial" w:hAnsi="Arial" w:cs="Arial"/>
          <w:bCs/>
          <w:sz w:val="24"/>
          <w:szCs w:val="24"/>
        </w:rPr>
        <w:t xml:space="preserve"> opposes the application and has filed an affidavit in support of </w:t>
      </w:r>
      <w:r w:rsidR="00945EA1">
        <w:rPr>
          <w:rFonts w:ascii="Arial" w:hAnsi="Arial" w:cs="Arial"/>
          <w:bCs/>
          <w:sz w:val="24"/>
          <w:szCs w:val="24"/>
        </w:rPr>
        <w:t>t</w:t>
      </w:r>
      <w:r w:rsidR="00945EA1" w:rsidRPr="00945EA1">
        <w:rPr>
          <w:rFonts w:ascii="Arial" w:hAnsi="Arial" w:cs="Arial"/>
          <w:bCs/>
          <w:sz w:val="24"/>
          <w:szCs w:val="24"/>
        </w:rPr>
        <w:t>he</w:t>
      </w:r>
      <w:r w:rsidR="00945EA1">
        <w:rPr>
          <w:rFonts w:ascii="Arial" w:hAnsi="Arial" w:cs="Arial"/>
          <w:bCs/>
          <w:sz w:val="24"/>
          <w:szCs w:val="24"/>
        </w:rPr>
        <w:t>i</w:t>
      </w:r>
      <w:r w:rsidR="00945EA1" w:rsidRPr="00945EA1">
        <w:rPr>
          <w:rFonts w:ascii="Arial" w:hAnsi="Arial" w:cs="Arial"/>
          <w:bCs/>
          <w:sz w:val="24"/>
          <w:szCs w:val="24"/>
        </w:rPr>
        <w:t>r opposition thereto.</w:t>
      </w:r>
    </w:p>
    <w:p w:rsidR="004C170C" w:rsidRPr="00DE1FAF" w:rsidRDefault="0048049E" w:rsidP="0061048E">
      <w:pPr>
        <w:spacing w:line="360" w:lineRule="auto"/>
        <w:jc w:val="both"/>
        <w:rPr>
          <w:rFonts w:ascii="Arial" w:hAnsi="Arial" w:cs="Arial"/>
          <w:b/>
          <w:bCs/>
          <w:sz w:val="24"/>
          <w:szCs w:val="24"/>
        </w:rPr>
      </w:pPr>
      <w:r w:rsidRPr="00DE1FAF">
        <w:rPr>
          <w:rFonts w:ascii="Arial" w:hAnsi="Arial" w:cs="Arial"/>
          <w:b/>
          <w:bCs/>
          <w:sz w:val="24"/>
          <w:szCs w:val="24"/>
        </w:rPr>
        <w:t>BACKGROUND</w:t>
      </w:r>
      <w:r w:rsidR="004C170C" w:rsidRPr="00DE1FAF">
        <w:rPr>
          <w:rFonts w:ascii="Arial" w:hAnsi="Arial" w:cs="Arial"/>
          <w:b/>
          <w:bCs/>
          <w:sz w:val="24"/>
          <w:szCs w:val="24"/>
        </w:rPr>
        <w:t xml:space="preserve"> </w:t>
      </w:r>
    </w:p>
    <w:p w:rsidR="0048049E" w:rsidRDefault="004C170C" w:rsidP="00891209">
      <w:pPr>
        <w:spacing w:line="360" w:lineRule="auto"/>
        <w:ind w:left="709" w:hanging="709"/>
        <w:jc w:val="both"/>
        <w:rPr>
          <w:rFonts w:ascii="Arial" w:hAnsi="Arial" w:cs="Arial"/>
          <w:sz w:val="24"/>
          <w:szCs w:val="24"/>
        </w:rPr>
      </w:pPr>
      <w:r w:rsidRPr="00891209">
        <w:rPr>
          <w:rFonts w:ascii="Arial" w:hAnsi="Arial" w:cs="Arial"/>
          <w:sz w:val="24"/>
          <w:szCs w:val="24"/>
        </w:rPr>
        <w:t>[</w:t>
      </w:r>
      <w:r w:rsidR="0048049E">
        <w:rPr>
          <w:rFonts w:ascii="Arial" w:hAnsi="Arial" w:cs="Arial"/>
          <w:sz w:val="24"/>
          <w:szCs w:val="24"/>
        </w:rPr>
        <w:t>2</w:t>
      </w:r>
      <w:r w:rsidRPr="00891209">
        <w:rPr>
          <w:rFonts w:ascii="Arial" w:hAnsi="Arial" w:cs="Arial"/>
          <w:sz w:val="24"/>
          <w:szCs w:val="24"/>
        </w:rPr>
        <w:t>]</w:t>
      </w:r>
      <w:r w:rsidRPr="00891209">
        <w:rPr>
          <w:rFonts w:ascii="Arial" w:hAnsi="Arial" w:cs="Arial"/>
          <w:sz w:val="24"/>
          <w:szCs w:val="24"/>
        </w:rPr>
        <w:tab/>
      </w:r>
      <w:r w:rsidR="00945EA1" w:rsidRPr="00945EA1">
        <w:rPr>
          <w:rFonts w:ascii="Arial" w:hAnsi="Arial" w:cs="Arial"/>
          <w:sz w:val="24"/>
          <w:szCs w:val="24"/>
        </w:rPr>
        <w:t>According to Plaintiff</w:t>
      </w:r>
      <w:r w:rsidR="001817E7">
        <w:rPr>
          <w:rFonts w:ascii="Arial" w:hAnsi="Arial" w:cs="Arial"/>
          <w:sz w:val="24"/>
          <w:szCs w:val="24"/>
        </w:rPr>
        <w:t>’</w:t>
      </w:r>
      <w:r w:rsidR="00945EA1" w:rsidRPr="00945EA1">
        <w:rPr>
          <w:rFonts w:ascii="Arial" w:hAnsi="Arial" w:cs="Arial"/>
          <w:sz w:val="24"/>
          <w:szCs w:val="24"/>
        </w:rPr>
        <w:t xml:space="preserve">s particulars of claim, </w:t>
      </w:r>
      <w:r w:rsidR="00945EA1">
        <w:rPr>
          <w:rFonts w:ascii="Arial" w:hAnsi="Arial" w:cs="Arial"/>
          <w:sz w:val="24"/>
          <w:szCs w:val="24"/>
        </w:rPr>
        <w:t xml:space="preserve">on </w:t>
      </w:r>
      <w:r w:rsidR="0048049E">
        <w:rPr>
          <w:rFonts w:ascii="Arial" w:hAnsi="Arial" w:cs="Arial"/>
          <w:sz w:val="24"/>
          <w:szCs w:val="24"/>
        </w:rPr>
        <w:t>or about 4 July 2016 and at Bethlehem, the plaintiff</w:t>
      </w:r>
      <w:r w:rsidR="001817E7">
        <w:rPr>
          <w:rStyle w:val="FootnoteReference"/>
          <w:rFonts w:ascii="Arial" w:hAnsi="Arial" w:cs="Arial"/>
          <w:sz w:val="24"/>
          <w:szCs w:val="24"/>
        </w:rPr>
        <w:footnoteReference w:id="1"/>
      </w:r>
      <w:r w:rsidR="001817E7">
        <w:rPr>
          <w:rFonts w:ascii="Arial" w:hAnsi="Arial" w:cs="Arial"/>
          <w:sz w:val="24"/>
          <w:szCs w:val="24"/>
        </w:rPr>
        <w:t xml:space="preserve"> </w:t>
      </w:r>
      <w:r w:rsidR="0048049E">
        <w:rPr>
          <w:rFonts w:ascii="Arial" w:hAnsi="Arial" w:cs="Arial"/>
          <w:sz w:val="24"/>
          <w:szCs w:val="24"/>
        </w:rPr>
        <w:t>and 1</w:t>
      </w:r>
      <w:r w:rsidR="0048049E" w:rsidRPr="0048049E">
        <w:rPr>
          <w:rFonts w:ascii="Arial" w:hAnsi="Arial" w:cs="Arial"/>
          <w:sz w:val="24"/>
          <w:szCs w:val="24"/>
          <w:vertAlign w:val="superscript"/>
        </w:rPr>
        <w:t>st</w:t>
      </w:r>
      <w:r w:rsidR="0048049E">
        <w:rPr>
          <w:rFonts w:ascii="Arial" w:hAnsi="Arial" w:cs="Arial"/>
          <w:sz w:val="24"/>
          <w:szCs w:val="24"/>
        </w:rPr>
        <w:t xml:space="preserve"> defendant</w:t>
      </w:r>
      <w:r w:rsidR="001817E7">
        <w:rPr>
          <w:rStyle w:val="FootnoteReference"/>
          <w:rFonts w:ascii="Arial" w:hAnsi="Arial" w:cs="Arial"/>
          <w:sz w:val="24"/>
          <w:szCs w:val="24"/>
        </w:rPr>
        <w:footnoteReference w:id="2"/>
      </w:r>
      <w:r w:rsidR="0048049E">
        <w:rPr>
          <w:rFonts w:ascii="Arial" w:hAnsi="Arial" w:cs="Arial"/>
          <w:sz w:val="24"/>
          <w:szCs w:val="24"/>
        </w:rPr>
        <w:t>,</w:t>
      </w:r>
      <w:r w:rsidR="001817E7">
        <w:rPr>
          <w:rFonts w:ascii="Arial" w:hAnsi="Arial" w:cs="Arial"/>
          <w:sz w:val="24"/>
          <w:szCs w:val="24"/>
        </w:rPr>
        <w:t xml:space="preserve"> c</w:t>
      </w:r>
      <w:r w:rsidR="0048049E">
        <w:rPr>
          <w:rFonts w:ascii="Arial" w:hAnsi="Arial" w:cs="Arial"/>
          <w:sz w:val="24"/>
          <w:szCs w:val="24"/>
        </w:rPr>
        <w:t>oncluded a written loan agreement (“</w:t>
      </w:r>
      <w:r w:rsidR="00945EA1">
        <w:rPr>
          <w:rFonts w:ascii="Arial" w:hAnsi="Arial" w:cs="Arial"/>
          <w:sz w:val="24"/>
          <w:szCs w:val="24"/>
        </w:rPr>
        <w:t>L</w:t>
      </w:r>
      <w:r w:rsidR="0048049E">
        <w:rPr>
          <w:rFonts w:ascii="Arial" w:hAnsi="Arial" w:cs="Arial"/>
          <w:sz w:val="24"/>
          <w:szCs w:val="24"/>
        </w:rPr>
        <w:t xml:space="preserve">oan </w:t>
      </w:r>
      <w:r w:rsidR="00945EA1">
        <w:rPr>
          <w:rFonts w:ascii="Arial" w:hAnsi="Arial" w:cs="Arial"/>
          <w:sz w:val="24"/>
          <w:szCs w:val="24"/>
        </w:rPr>
        <w:t>A</w:t>
      </w:r>
      <w:r w:rsidR="0048049E">
        <w:rPr>
          <w:rFonts w:ascii="Arial" w:hAnsi="Arial" w:cs="Arial"/>
          <w:sz w:val="24"/>
          <w:szCs w:val="24"/>
        </w:rPr>
        <w:t>greement”)</w:t>
      </w:r>
    </w:p>
    <w:p w:rsidR="0048049E" w:rsidRDefault="0048049E" w:rsidP="0048049E">
      <w:pPr>
        <w:spacing w:line="360" w:lineRule="auto"/>
        <w:ind w:left="709"/>
        <w:jc w:val="both"/>
        <w:rPr>
          <w:rFonts w:ascii="Arial" w:hAnsi="Arial" w:cs="Arial"/>
          <w:sz w:val="24"/>
          <w:szCs w:val="24"/>
        </w:rPr>
      </w:pPr>
      <w:r>
        <w:rPr>
          <w:rFonts w:ascii="Arial" w:hAnsi="Arial" w:cs="Arial"/>
          <w:sz w:val="24"/>
          <w:szCs w:val="24"/>
        </w:rPr>
        <w:t xml:space="preserve">On or about 26 October 2018 at Bethlehem, the plaintiff, offered an </w:t>
      </w:r>
      <w:r w:rsidR="001817E7">
        <w:rPr>
          <w:rFonts w:ascii="Arial" w:hAnsi="Arial" w:cs="Arial"/>
          <w:sz w:val="24"/>
          <w:szCs w:val="24"/>
        </w:rPr>
        <w:t>o</w:t>
      </w:r>
      <w:r>
        <w:rPr>
          <w:rFonts w:ascii="Arial" w:hAnsi="Arial" w:cs="Arial"/>
          <w:sz w:val="24"/>
          <w:szCs w:val="24"/>
        </w:rPr>
        <w:t xml:space="preserve">verdraft </w:t>
      </w:r>
      <w:r w:rsidR="001817E7">
        <w:rPr>
          <w:rFonts w:ascii="Arial" w:hAnsi="Arial" w:cs="Arial"/>
          <w:sz w:val="24"/>
          <w:szCs w:val="24"/>
        </w:rPr>
        <w:t>facility (“Overdraft Facility”)</w:t>
      </w:r>
      <w:r>
        <w:rPr>
          <w:rFonts w:ascii="Arial" w:hAnsi="Arial" w:cs="Arial"/>
          <w:sz w:val="24"/>
          <w:szCs w:val="24"/>
        </w:rPr>
        <w:t xml:space="preserve"> to the 1</w:t>
      </w:r>
      <w:r w:rsidRPr="0048049E">
        <w:rPr>
          <w:rFonts w:ascii="Arial" w:hAnsi="Arial" w:cs="Arial"/>
          <w:sz w:val="24"/>
          <w:szCs w:val="24"/>
          <w:vertAlign w:val="superscript"/>
        </w:rPr>
        <w:t>st</w:t>
      </w:r>
      <w:r>
        <w:rPr>
          <w:rFonts w:ascii="Arial" w:hAnsi="Arial" w:cs="Arial"/>
          <w:sz w:val="24"/>
          <w:szCs w:val="24"/>
        </w:rPr>
        <w:t xml:space="preserve"> defendant</w:t>
      </w:r>
      <w:r w:rsidR="001817E7">
        <w:rPr>
          <w:rFonts w:ascii="Arial" w:hAnsi="Arial" w:cs="Arial"/>
          <w:sz w:val="24"/>
          <w:szCs w:val="24"/>
        </w:rPr>
        <w:t>, which o</w:t>
      </w:r>
      <w:r>
        <w:rPr>
          <w:rFonts w:ascii="Arial" w:hAnsi="Arial" w:cs="Arial"/>
          <w:sz w:val="24"/>
          <w:szCs w:val="24"/>
        </w:rPr>
        <w:t>n 22 November 2018</w:t>
      </w:r>
      <w:r w:rsidR="001817E7">
        <w:rPr>
          <w:rFonts w:ascii="Arial" w:hAnsi="Arial" w:cs="Arial"/>
          <w:sz w:val="24"/>
          <w:szCs w:val="24"/>
        </w:rPr>
        <w:t xml:space="preserve">, </w:t>
      </w:r>
      <w:r>
        <w:rPr>
          <w:rFonts w:ascii="Arial" w:hAnsi="Arial" w:cs="Arial"/>
          <w:sz w:val="24"/>
          <w:szCs w:val="24"/>
        </w:rPr>
        <w:t xml:space="preserve">the </w:t>
      </w:r>
      <w:r w:rsidR="001817E7">
        <w:rPr>
          <w:rFonts w:ascii="Arial" w:hAnsi="Arial" w:cs="Arial"/>
          <w:sz w:val="24"/>
          <w:szCs w:val="24"/>
        </w:rPr>
        <w:t>p</w:t>
      </w:r>
      <w:r>
        <w:rPr>
          <w:rFonts w:ascii="Arial" w:hAnsi="Arial" w:cs="Arial"/>
          <w:sz w:val="24"/>
          <w:szCs w:val="24"/>
        </w:rPr>
        <w:t xml:space="preserve">rincipal debtor, accepted </w:t>
      </w:r>
      <w:r w:rsidR="001817E7">
        <w:rPr>
          <w:rFonts w:ascii="Arial" w:hAnsi="Arial" w:cs="Arial"/>
          <w:sz w:val="24"/>
          <w:szCs w:val="24"/>
        </w:rPr>
        <w:t xml:space="preserve">with the </w:t>
      </w:r>
      <w:r>
        <w:rPr>
          <w:rFonts w:ascii="Arial" w:hAnsi="Arial" w:cs="Arial"/>
          <w:sz w:val="24"/>
          <w:szCs w:val="24"/>
        </w:rPr>
        <w:t xml:space="preserve">terms and conditions </w:t>
      </w:r>
      <w:r w:rsidR="001817E7">
        <w:rPr>
          <w:rFonts w:ascii="Arial" w:hAnsi="Arial" w:cs="Arial"/>
          <w:sz w:val="24"/>
          <w:szCs w:val="24"/>
        </w:rPr>
        <w:t xml:space="preserve">as </w:t>
      </w:r>
      <w:r>
        <w:rPr>
          <w:rFonts w:ascii="Arial" w:hAnsi="Arial" w:cs="Arial"/>
          <w:sz w:val="24"/>
          <w:szCs w:val="24"/>
        </w:rPr>
        <w:t>contained in annexure “POC</w:t>
      </w:r>
      <w:r w:rsidR="00897B6F">
        <w:rPr>
          <w:rFonts w:ascii="Arial" w:hAnsi="Arial" w:cs="Arial"/>
          <w:sz w:val="24"/>
          <w:szCs w:val="24"/>
        </w:rPr>
        <w:t>4</w:t>
      </w:r>
      <w:r>
        <w:rPr>
          <w:rFonts w:ascii="Arial" w:hAnsi="Arial" w:cs="Arial"/>
          <w:sz w:val="24"/>
          <w:szCs w:val="24"/>
        </w:rPr>
        <w:t>”</w:t>
      </w:r>
      <w:r w:rsidR="00F53E31">
        <w:rPr>
          <w:rFonts w:ascii="Arial" w:hAnsi="Arial" w:cs="Arial"/>
          <w:sz w:val="24"/>
          <w:szCs w:val="24"/>
        </w:rPr>
        <w:t>.</w:t>
      </w:r>
    </w:p>
    <w:p w:rsidR="001817E7" w:rsidRDefault="001817E7" w:rsidP="0048049E">
      <w:pPr>
        <w:spacing w:line="360" w:lineRule="auto"/>
        <w:ind w:left="709"/>
        <w:jc w:val="both"/>
        <w:rPr>
          <w:rFonts w:ascii="Arial" w:hAnsi="Arial" w:cs="Arial"/>
          <w:sz w:val="24"/>
          <w:szCs w:val="24"/>
        </w:rPr>
      </w:pPr>
      <w:r>
        <w:rPr>
          <w:rFonts w:ascii="Arial" w:hAnsi="Arial" w:cs="Arial"/>
          <w:sz w:val="24"/>
          <w:szCs w:val="24"/>
        </w:rPr>
        <w:t>The Loan Agreement specifically provides that it would be paid from the Overdraft Facility.</w:t>
      </w:r>
      <w:r>
        <w:rPr>
          <w:rStyle w:val="FootnoteReference"/>
          <w:rFonts w:ascii="Arial" w:hAnsi="Arial" w:cs="Arial"/>
          <w:sz w:val="24"/>
          <w:szCs w:val="24"/>
        </w:rPr>
        <w:footnoteReference w:id="3"/>
      </w:r>
    </w:p>
    <w:p w:rsidR="00D30D2F" w:rsidRDefault="0048049E" w:rsidP="00D30D2F">
      <w:pPr>
        <w:spacing w:line="360" w:lineRule="auto"/>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556F84">
        <w:rPr>
          <w:rFonts w:ascii="Arial" w:hAnsi="Arial" w:cs="Arial"/>
          <w:sz w:val="24"/>
          <w:szCs w:val="24"/>
        </w:rPr>
        <w:t>T</w:t>
      </w:r>
      <w:r w:rsidR="00D30D2F">
        <w:rPr>
          <w:rFonts w:ascii="Arial" w:hAnsi="Arial" w:cs="Arial"/>
          <w:sz w:val="24"/>
          <w:szCs w:val="24"/>
        </w:rPr>
        <w:t>he plaintiff agreed to advance the sum of R2 900 000.00 to the 1</w:t>
      </w:r>
      <w:r w:rsidR="00D30D2F" w:rsidRPr="00D30D2F">
        <w:rPr>
          <w:rFonts w:ascii="Arial" w:hAnsi="Arial" w:cs="Arial"/>
          <w:sz w:val="24"/>
          <w:szCs w:val="24"/>
          <w:vertAlign w:val="superscript"/>
        </w:rPr>
        <w:t>st</w:t>
      </w:r>
      <w:r w:rsidR="00D30D2F">
        <w:rPr>
          <w:rFonts w:ascii="Arial" w:hAnsi="Arial" w:cs="Arial"/>
          <w:sz w:val="24"/>
          <w:szCs w:val="24"/>
        </w:rPr>
        <w:t xml:space="preserve"> defendant in terms of the </w:t>
      </w:r>
      <w:r w:rsidR="000E731D">
        <w:rPr>
          <w:rFonts w:ascii="Arial" w:hAnsi="Arial" w:cs="Arial"/>
          <w:sz w:val="24"/>
          <w:szCs w:val="24"/>
        </w:rPr>
        <w:t>L</w:t>
      </w:r>
      <w:r w:rsidR="00D30D2F">
        <w:rPr>
          <w:rFonts w:ascii="Arial" w:hAnsi="Arial" w:cs="Arial"/>
          <w:sz w:val="24"/>
          <w:szCs w:val="24"/>
        </w:rPr>
        <w:t xml:space="preserve">oan </w:t>
      </w:r>
      <w:r w:rsidR="000E731D">
        <w:rPr>
          <w:rFonts w:ascii="Arial" w:hAnsi="Arial" w:cs="Arial"/>
          <w:sz w:val="24"/>
          <w:szCs w:val="24"/>
        </w:rPr>
        <w:t>A</w:t>
      </w:r>
      <w:r w:rsidR="00D30D2F">
        <w:rPr>
          <w:rFonts w:ascii="Arial" w:hAnsi="Arial" w:cs="Arial"/>
          <w:sz w:val="24"/>
          <w:szCs w:val="24"/>
        </w:rPr>
        <w:t>greement</w:t>
      </w:r>
      <w:r w:rsidR="000E731D">
        <w:rPr>
          <w:rFonts w:ascii="Arial" w:hAnsi="Arial" w:cs="Arial"/>
          <w:sz w:val="24"/>
          <w:szCs w:val="24"/>
        </w:rPr>
        <w:t xml:space="preserve">, </w:t>
      </w:r>
      <w:r w:rsidR="00D30D2F">
        <w:rPr>
          <w:rFonts w:ascii="Arial" w:hAnsi="Arial" w:cs="Arial"/>
          <w:sz w:val="24"/>
          <w:szCs w:val="24"/>
        </w:rPr>
        <w:t xml:space="preserve">together with Credit Life </w:t>
      </w:r>
      <w:r w:rsidR="000E731D">
        <w:rPr>
          <w:rFonts w:ascii="Arial" w:hAnsi="Arial" w:cs="Arial"/>
          <w:sz w:val="24"/>
          <w:szCs w:val="24"/>
        </w:rPr>
        <w:t>A</w:t>
      </w:r>
      <w:r w:rsidR="00D30D2F">
        <w:rPr>
          <w:rFonts w:ascii="Arial" w:hAnsi="Arial" w:cs="Arial"/>
          <w:sz w:val="24"/>
          <w:szCs w:val="24"/>
        </w:rPr>
        <w:t xml:space="preserve">ssurance and Insurance over the immovable property, bonded to the plaintiff to secure the debt. </w:t>
      </w:r>
    </w:p>
    <w:p w:rsidR="00556F84" w:rsidRDefault="00B13BF9" w:rsidP="00556F84">
      <w:pPr>
        <w:spacing w:line="360" w:lineRule="auto"/>
        <w:ind w:left="709"/>
        <w:jc w:val="both"/>
        <w:rPr>
          <w:rFonts w:ascii="Arial" w:hAnsi="Arial" w:cs="Arial"/>
          <w:sz w:val="24"/>
          <w:szCs w:val="24"/>
        </w:rPr>
      </w:pPr>
      <w:r>
        <w:rPr>
          <w:rFonts w:ascii="Arial" w:hAnsi="Arial" w:cs="Arial"/>
          <w:sz w:val="24"/>
          <w:szCs w:val="24"/>
        </w:rPr>
        <w:t>The L</w:t>
      </w:r>
      <w:r w:rsidR="00D30D2F">
        <w:rPr>
          <w:rFonts w:ascii="Arial" w:hAnsi="Arial" w:cs="Arial"/>
          <w:sz w:val="24"/>
          <w:szCs w:val="24"/>
        </w:rPr>
        <w:t xml:space="preserve">oan </w:t>
      </w:r>
      <w:r>
        <w:rPr>
          <w:rFonts w:ascii="Arial" w:hAnsi="Arial" w:cs="Arial"/>
          <w:sz w:val="24"/>
          <w:szCs w:val="24"/>
        </w:rPr>
        <w:t>A</w:t>
      </w:r>
      <w:r w:rsidR="00D30D2F">
        <w:rPr>
          <w:rFonts w:ascii="Arial" w:hAnsi="Arial" w:cs="Arial"/>
          <w:sz w:val="24"/>
          <w:szCs w:val="24"/>
        </w:rPr>
        <w:t xml:space="preserve">greement was for a period of 120 months and was to be repaid in monthly instalments. In the event that </w:t>
      </w:r>
      <w:r w:rsidR="00556F84">
        <w:rPr>
          <w:rFonts w:ascii="Arial" w:hAnsi="Arial" w:cs="Arial"/>
          <w:sz w:val="24"/>
          <w:szCs w:val="24"/>
        </w:rPr>
        <w:t>plaintiff</w:t>
      </w:r>
      <w:r w:rsidR="00D30D2F">
        <w:rPr>
          <w:rFonts w:ascii="Arial" w:hAnsi="Arial" w:cs="Arial"/>
          <w:sz w:val="24"/>
          <w:szCs w:val="24"/>
        </w:rPr>
        <w:t xml:space="preserve"> failed to pay any </w:t>
      </w:r>
      <w:r w:rsidR="00556F84">
        <w:rPr>
          <w:rFonts w:ascii="Arial" w:hAnsi="Arial" w:cs="Arial"/>
          <w:sz w:val="24"/>
          <w:szCs w:val="24"/>
        </w:rPr>
        <w:t>instalments</w:t>
      </w:r>
      <w:r w:rsidR="00D30D2F">
        <w:rPr>
          <w:rFonts w:ascii="Arial" w:hAnsi="Arial" w:cs="Arial"/>
          <w:sz w:val="24"/>
          <w:szCs w:val="24"/>
        </w:rPr>
        <w:t xml:space="preserve"> due in terms of the </w:t>
      </w:r>
      <w:r w:rsidR="00556F84">
        <w:rPr>
          <w:rFonts w:ascii="Arial" w:hAnsi="Arial" w:cs="Arial"/>
          <w:sz w:val="24"/>
          <w:szCs w:val="24"/>
        </w:rPr>
        <w:t>loan</w:t>
      </w:r>
      <w:r w:rsidR="00D30D2F">
        <w:rPr>
          <w:rFonts w:ascii="Arial" w:hAnsi="Arial" w:cs="Arial"/>
          <w:sz w:val="24"/>
          <w:szCs w:val="24"/>
        </w:rPr>
        <w:t xml:space="preserve"> agreement and/or overdraft facility agreements (“the agreements”</w:t>
      </w:r>
      <w:r w:rsidR="003662C4">
        <w:rPr>
          <w:rFonts w:ascii="Arial" w:hAnsi="Arial" w:cs="Arial"/>
          <w:sz w:val="24"/>
          <w:szCs w:val="24"/>
        </w:rPr>
        <w:t>),</w:t>
      </w:r>
      <w:r w:rsidR="0042208E">
        <w:rPr>
          <w:rFonts w:ascii="Arial" w:hAnsi="Arial" w:cs="Arial"/>
          <w:sz w:val="24"/>
          <w:szCs w:val="24"/>
        </w:rPr>
        <w:t xml:space="preserve"> the plaintiff would </w:t>
      </w:r>
      <w:r w:rsidR="0042208E" w:rsidRPr="0042208E">
        <w:rPr>
          <w:rFonts w:ascii="Arial" w:hAnsi="Arial" w:cs="Arial"/>
          <w:i/>
          <w:sz w:val="24"/>
          <w:szCs w:val="24"/>
        </w:rPr>
        <w:t>inter alia</w:t>
      </w:r>
      <w:r w:rsidR="0042208E">
        <w:rPr>
          <w:rFonts w:ascii="Arial" w:hAnsi="Arial" w:cs="Arial"/>
          <w:i/>
          <w:sz w:val="24"/>
          <w:szCs w:val="24"/>
        </w:rPr>
        <w:t xml:space="preserve">, </w:t>
      </w:r>
      <w:r w:rsidR="0042208E">
        <w:rPr>
          <w:rFonts w:ascii="Arial" w:hAnsi="Arial" w:cs="Arial"/>
          <w:sz w:val="24"/>
          <w:szCs w:val="24"/>
        </w:rPr>
        <w:t>have the right</w:t>
      </w:r>
      <w:r w:rsidR="001A7038">
        <w:rPr>
          <w:rFonts w:ascii="Arial" w:hAnsi="Arial" w:cs="Arial"/>
          <w:sz w:val="24"/>
          <w:szCs w:val="24"/>
        </w:rPr>
        <w:t xml:space="preserve"> to</w:t>
      </w:r>
      <w:r w:rsidR="0042208E">
        <w:rPr>
          <w:rFonts w:ascii="Arial" w:hAnsi="Arial" w:cs="Arial"/>
          <w:sz w:val="24"/>
          <w:szCs w:val="24"/>
        </w:rPr>
        <w:t xml:space="preserve">, without prejudice to any other </w:t>
      </w:r>
      <w:r w:rsidR="003662C4">
        <w:rPr>
          <w:rFonts w:ascii="Arial" w:hAnsi="Arial" w:cs="Arial"/>
          <w:sz w:val="24"/>
          <w:szCs w:val="24"/>
        </w:rPr>
        <w:t>rights</w:t>
      </w:r>
      <w:r w:rsidR="0042208E">
        <w:rPr>
          <w:rFonts w:ascii="Arial" w:hAnsi="Arial" w:cs="Arial"/>
          <w:sz w:val="24"/>
          <w:szCs w:val="24"/>
        </w:rPr>
        <w:t xml:space="preserve"> or </w:t>
      </w:r>
      <w:r w:rsidR="003662C4">
        <w:rPr>
          <w:rFonts w:ascii="Arial" w:hAnsi="Arial" w:cs="Arial"/>
          <w:sz w:val="24"/>
          <w:szCs w:val="24"/>
        </w:rPr>
        <w:t>remedies</w:t>
      </w:r>
      <w:r w:rsidR="0042208E">
        <w:rPr>
          <w:rFonts w:ascii="Arial" w:hAnsi="Arial" w:cs="Arial"/>
          <w:sz w:val="24"/>
          <w:szCs w:val="24"/>
        </w:rPr>
        <w:t xml:space="preserve"> </w:t>
      </w:r>
      <w:r w:rsidR="003662C4">
        <w:rPr>
          <w:rFonts w:ascii="Arial" w:hAnsi="Arial" w:cs="Arial"/>
          <w:sz w:val="24"/>
          <w:szCs w:val="24"/>
        </w:rPr>
        <w:t>available</w:t>
      </w:r>
      <w:r w:rsidR="0042208E">
        <w:rPr>
          <w:rFonts w:ascii="Arial" w:hAnsi="Arial" w:cs="Arial"/>
          <w:sz w:val="24"/>
          <w:szCs w:val="24"/>
        </w:rPr>
        <w:t xml:space="preserve"> to it, cancel </w:t>
      </w:r>
      <w:r w:rsidR="000E731D">
        <w:rPr>
          <w:rFonts w:ascii="Arial" w:hAnsi="Arial" w:cs="Arial"/>
          <w:sz w:val="24"/>
          <w:szCs w:val="24"/>
        </w:rPr>
        <w:t>same</w:t>
      </w:r>
      <w:r w:rsidR="0042208E">
        <w:rPr>
          <w:rFonts w:ascii="Arial" w:hAnsi="Arial" w:cs="Arial"/>
          <w:sz w:val="24"/>
          <w:szCs w:val="24"/>
        </w:rPr>
        <w:t xml:space="preserve">. </w:t>
      </w:r>
    </w:p>
    <w:p w:rsidR="00556F84" w:rsidRDefault="003662C4" w:rsidP="003662C4">
      <w:pPr>
        <w:spacing w:line="360" w:lineRule="auto"/>
        <w:ind w:left="709" w:hanging="709"/>
        <w:jc w:val="both"/>
        <w:rPr>
          <w:rFonts w:ascii="Arial" w:hAnsi="Arial" w:cs="Arial"/>
          <w:sz w:val="24"/>
          <w:szCs w:val="24"/>
        </w:rPr>
      </w:pPr>
      <w:r>
        <w:rPr>
          <w:rFonts w:ascii="Arial" w:hAnsi="Arial" w:cs="Arial"/>
          <w:sz w:val="24"/>
          <w:szCs w:val="24"/>
        </w:rPr>
        <w:lastRenderedPageBreak/>
        <w:t>[</w:t>
      </w:r>
      <w:r w:rsidR="001C264D">
        <w:rPr>
          <w:rFonts w:ascii="Arial" w:hAnsi="Arial" w:cs="Arial"/>
          <w:sz w:val="24"/>
          <w:szCs w:val="24"/>
        </w:rPr>
        <w:t>4</w:t>
      </w:r>
      <w:r>
        <w:rPr>
          <w:rFonts w:ascii="Arial" w:hAnsi="Arial" w:cs="Arial"/>
          <w:sz w:val="24"/>
          <w:szCs w:val="24"/>
        </w:rPr>
        <w:t>]</w:t>
      </w:r>
      <w:r>
        <w:rPr>
          <w:rFonts w:ascii="Arial" w:hAnsi="Arial" w:cs="Arial"/>
          <w:sz w:val="24"/>
          <w:szCs w:val="24"/>
        </w:rPr>
        <w:tab/>
        <w:t>T</w:t>
      </w:r>
      <w:r w:rsidR="0042208E">
        <w:rPr>
          <w:rFonts w:ascii="Arial" w:hAnsi="Arial" w:cs="Arial"/>
          <w:sz w:val="24"/>
          <w:szCs w:val="24"/>
        </w:rPr>
        <w:t>he agreements were subject to certain conditions, including that a mortgage bond be registered in favour of the plaint</w:t>
      </w:r>
      <w:r>
        <w:rPr>
          <w:rFonts w:ascii="Arial" w:hAnsi="Arial" w:cs="Arial"/>
          <w:sz w:val="24"/>
          <w:szCs w:val="24"/>
        </w:rPr>
        <w:t>i</w:t>
      </w:r>
      <w:r w:rsidR="0042208E">
        <w:rPr>
          <w:rFonts w:ascii="Arial" w:hAnsi="Arial" w:cs="Arial"/>
          <w:sz w:val="24"/>
          <w:szCs w:val="24"/>
        </w:rPr>
        <w:t>ff over the properties as described.</w:t>
      </w:r>
      <w:r w:rsidR="0042208E">
        <w:rPr>
          <w:rStyle w:val="FootnoteReference"/>
          <w:rFonts w:ascii="Arial" w:hAnsi="Arial" w:cs="Arial"/>
          <w:sz w:val="24"/>
          <w:szCs w:val="24"/>
        </w:rPr>
        <w:footnoteReference w:id="4"/>
      </w:r>
    </w:p>
    <w:p w:rsidR="00EF27AF" w:rsidRDefault="00EF27AF" w:rsidP="00B13BF9">
      <w:pPr>
        <w:spacing w:line="360" w:lineRule="auto"/>
        <w:ind w:left="709" w:hanging="709"/>
        <w:jc w:val="both"/>
        <w:rPr>
          <w:rFonts w:ascii="Arial" w:hAnsi="Arial" w:cs="Arial"/>
          <w:sz w:val="24"/>
          <w:szCs w:val="24"/>
        </w:rPr>
      </w:pPr>
      <w:r>
        <w:rPr>
          <w:rFonts w:ascii="Arial" w:hAnsi="Arial" w:cs="Arial"/>
          <w:sz w:val="24"/>
          <w:szCs w:val="24"/>
        </w:rPr>
        <w:t>[</w:t>
      </w:r>
      <w:r w:rsidR="001C264D">
        <w:rPr>
          <w:rFonts w:ascii="Arial" w:hAnsi="Arial" w:cs="Arial"/>
          <w:sz w:val="24"/>
          <w:szCs w:val="24"/>
        </w:rPr>
        <w:t>5</w:t>
      </w:r>
      <w:r>
        <w:rPr>
          <w:rFonts w:ascii="Arial" w:hAnsi="Arial" w:cs="Arial"/>
          <w:sz w:val="24"/>
          <w:szCs w:val="24"/>
        </w:rPr>
        <w:t>]</w:t>
      </w:r>
      <w:r>
        <w:rPr>
          <w:rFonts w:ascii="Arial" w:hAnsi="Arial" w:cs="Arial"/>
          <w:sz w:val="24"/>
          <w:szCs w:val="24"/>
        </w:rPr>
        <w:tab/>
        <w:t>Pursuant to the conc</w:t>
      </w:r>
      <w:r w:rsidR="00B13BF9">
        <w:rPr>
          <w:rFonts w:ascii="Arial" w:hAnsi="Arial" w:cs="Arial"/>
          <w:sz w:val="24"/>
          <w:szCs w:val="24"/>
        </w:rPr>
        <w:t xml:space="preserve">lusion of the </w:t>
      </w:r>
      <w:r w:rsidR="001A7038">
        <w:rPr>
          <w:rFonts w:ascii="Arial" w:hAnsi="Arial" w:cs="Arial"/>
          <w:sz w:val="24"/>
          <w:szCs w:val="24"/>
        </w:rPr>
        <w:t>Agreements</w:t>
      </w:r>
      <w:r>
        <w:rPr>
          <w:rFonts w:ascii="Arial" w:hAnsi="Arial" w:cs="Arial"/>
          <w:sz w:val="24"/>
          <w:szCs w:val="24"/>
        </w:rPr>
        <w:t>, the 1</w:t>
      </w:r>
      <w:r w:rsidRPr="00EF27AF">
        <w:rPr>
          <w:rFonts w:ascii="Arial" w:hAnsi="Arial" w:cs="Arial"/>
          <w:sz w:val="24"/>
          <w:szCs w:val="24"/>
          <w:vertAlign w:val="superscript"/>
        </w:rPr>
        <w:t>st</w:t>
      </w:r>
      <w:r>
        <w:rPr>
          <w:rFonts w:ascii="Arial" w:hAnsi="Arial" w:cs="Arial"/>
          <w:sz w:val="24"/>
          <w:szCs w:val="24"/>
        </w:rPr>
        <w:t xml:space="preserve"> defendant caused continuing covering mortgage </w:t>
      </w:r>
      <w:r w:rsidR="00160FB0">
        <w:rPr>
          <w:rFonts w:ascii="Arial" w:hAnsi="Arial" w:cs="Arial"/>
          <w:sz w:val="24"/>
          <w:szCs w:val="24"/>
        </w:rPr>
        <w:t>bonds</w:t>
      </w:r>
      <w:r>
        <w:rPr>
          <w:rStyle w:val="FootnoteReference"/>
          <w:rFonts w:ascii="Arial" w:hAnsi="Arial" w:cs="Arial"/>
          <w:sz w:val="24"/>
          <w:szCs w:val="24"/>
        </w:rPr>
        <w:footnoteReference w:id="5"/>
      </w:r>
      <w:r>
        <w:rPr>
          <w:rFonts w:ascii="Arial" w:hAnsi="Arial" w:cs="Arial"/>
          <w:sz w:val="24"/>
          <w:szCs w:val="24"/>
        </w:rPr>
        <w:t xml:space="preserve">, to be </w:t>
      </w:r>
      <w:r w:rsidR="00160FB0">
        <w:rPr>
          <w:rFonts w:ascii="Arial" w:hAnsi="Arial" w:cs="Arial"/>
          <w:sz w:val="24"/>
          <w:szCs w:val="24"/>
        </w:rPr>
        <w:t>registered</w:t>
      </w:r>
      <w:r>
        <w:rPr>
          <w:rFonts w:ascii="Arial" w:hAnsi="Arial" w:cs="Arial"/>
          <w:sz w:val="24"/>
          <w:szCs w:val="24"/>
        </w:rPr>
        <w:t xml:space="preserve"> over the properties in favour of the plaintiff, wherein the </w:t>
      </w:r>
      <w:r w:rsidR="001A7038">
        <w:rPr>
          <w:rFonts w:ascii="Arial" w:hAnsi="Arial" w:cs="Arial"/>
          <w:sz w:val="24"/>
          <w:szCs w:val="24"/>
        </w:rPr>
        <w:t>1</w:t>
      </w:r>
      <w:r w:rsidR="001A7038" w:rsidRPr="001A7038">
        <w:rPr>
          <w:rFonts w:ascii="Arial" w:hAnsi="Arial" w:cs="Arial"/>
          <w:sz w:val="24"/>
          <w:szCs w:val="24"/>
          <w:vertAlign w:val="superscript"/>
        </w:rPr>
        <w:t>st</w:t>
      </w:r>
      <w:r w:rsidR="001A7038">
        <w:rPr>
          <w:rFonts w:ascii="Arial" w:hAnsi="Arial" w:cs="Arial"/>
          <w:sz w:val="24"/>
          <w:szCs w:val="24"/>
        </w:rPr>
        <w:t xml:space="preserve"> </w:t>
      </w:r>
      <w:r w:rsidR="00160FB0">
        <w:rPr>
          <w:rFonts w:ascii="Arial" w:hAnsi="Arial" w:cs="Arial"/>
          <w:sz w:val="24"/>
          <w:szCs w:val="24"/>
        </w:rPr>
        <w:t>defendant</w:t>
      </w:r>
      <w:r>
        <w:rPr>
          <w:rFonts w:ascii="Arial" w:hAnsi="Arial" w:cs="Arial"/>
          <w:sz w:val="24"/>
          <w:szCs w:val="24"/>
        </w:rPr>
        <w:t xml:space="preserve"> declared itself to be lawfully indebted and bound to</w:t>
      </w:r>
      <w:r w:rsidR="00E34FE8">
        <w:rPr>
          <w:rFonts w:ascii="Arial" w:hAnsi="Arial" w:cs="Arial"/>
          <w:sz w:val="24"/>
          <w:szCs w:val="24"/>
        </w:rPr>
        <w:t xml:space="preserve"> the plaintiff, its successors i</w:t>
      </w:r>
      <w:r>
        <w:rPr>
          <w:rFonts w:ascii="Arial" w:hAnsi="Arial" w:cs="Arial"/>
          <w:sz w:val="24"/>
          <w:szCs w:val="24"/>
        </w:rPr>
        <w:t>n title or assigns</w:t>
      </w:r>
      <w:r w:rsidR="00B13BF9">
        <w:rPr>
          <w:rFonts w:ascii="Arial" w:hAnsi="Arial" w:cs="Arial"/>
          <w:sz w:val="24"/>
          <w:szCs w:val="24"/>
        </w:rPr>
        <w:t>.</w:t>
      </w:r>
    </w:p>
    <w:p w:rsidR="00160FB0" w:rsidRDefault="00160FB0" w:rsidP="00160FB0">
      <w:pPr>
        <w:spacing w:line="360" w:lineRule="auto"/>
        <w:ind w:left="709" w:hanging="709"/>
        <w:jc w:val="both"/>
        <w:rPr>
          <w:rFonts w:ascii="Arial" w:hAnsi="Arial" w:cs="Arial"/>
          <w:sz w:val="24"/>
          <w:szCs w:val="24"/>
        </w:rPr>
      </w:pPr>
      <w:r>
        <w:rPr>
          <w:rFonts w:ascii="Arial" w:hAnsi="Arial" w:cs="Arial"/>
          <w:sz w:val="24"/>
          <w:szCs w:val="24"/>
        </w:rPr>
        <w:t>[</w:t>
      </w:r>
      <w:r w:rsidR="001C264D">
        <w:rPr>
          <w:rFonts w:ascii="Arial" w:hAnsi="Arial" w:cs="Arial"/>
          <w:sz w:val="24"/>
          <w:szCs w:val="24"/>
        </w:rPr>
        <w:t>6</w:t>
      </w:r>
      <w:r>
        <w:rPr>
          <w:rFonts w:ascii="Arial" w:hAnsi="Arial" w:cs="Arial"/>
          <w:sz w:val="24"/>
          <w:szCs w:val="24"/>
        </w:rPr>
        <w:t>]</w:t>
      </w:r>
      <w:r>
        <w:rPr>
          <w:rFonts w:ascii="Arial" w:hAnsi="Arial" w:cs="Arial"/>
          <w:sz w:val="24"/>
          <w:szCs w:val="24"/>
        </w:rPr>
        <w:tab/>
        <w:t>The 2</w:t>
      </w:r>
      <w:r w:rsidRPr="00160FB0">
        <w:rPr>
          <w:rFonts w:ascii="Arial" w:hAnsi="Arial" w:cs="Arial"/>
          <w:sz w:val="24"/>
          <w:szCs w:val="24"/>
          <w:vertAlign w:val="superscript"/>
        </w:rPr>
        <w:t>nd</w:t>
      </w:r>
      <w:r>
        <w:rPr>
          <w:rFonts w:ascii="Arial" w:hAnsi="Arial" w:cs="Arial"/>
          <w:sz w:val="24"/>
          <w:szCs w:val="24"/>
        </w:rPr>
        <w:t>, 3</w:t>
      </w:r>
      <w:r w:rsidRPr="00160FB0">
        <w:rPr>
          <w:rFonts w:ascii="Arial" w:hAnsi="Arial" w:cs="Arial"/>
          <w:sz w:val="24"/>
          <w:szCs w:val="24"/>
          <w:vertAlign w:val="superscript"/>
        </w:rPr>
        <w:t>rd</w:t>
      </w:r>
      <w:r>
        <w:rPr>
          <w:rFonts w:ascii="Arial" w:hAnsi="Arial" w:cs="Arial"/>
          <w:sz w:val="24"/>
          <w:szCs w:val="24"/>
        </w:rPr>
        <w:t>, and 4</w:t>
      </w:r>
      <w:r w:rsidRPr="00160FB0">
        <w:rPr>
          <w:rFonts w:ascii="Arial" w:hAnsi="Arial" w:cs="Arial"/>
          <w:sz w:val="24"/>
          <w:szCs w:val="24"/>
          <w:vertAlign w:val="superscript"/>
        </w:rPr>
        <w:t>th</w:t>
      </w:r>
      <w:r>
        <w:rPr>
          <w:rFonts w:ascii="Arial" w:hAnsi="Arial" w:cs="Arial"/>
          <w:sz w:val="24"/>
          <w:szCs w:val="24"/>
        </w:rPr>
        <w:t xml:space="preserve"> defendants, on </w:t>
      </w:r>
      <w:r w:rsidR="00B13BF9">
        <w:rPr>
          <w:rFonts w:ascii="Arial" w:hAnsi="Arial" w:cs="Arial"/>
          <w:sz w:val="24"/>
          <w:szCs w:val="24"/>
        </w:rPr>
        <w:t xml:space="preserve">the </w:t>
      </w:r>
      <w:r>
        <w:rPr>
          <w:rFonts w:ascii="Arial" w:hAnsi="Arial" w:cs="Arial"/>
          <w:sz w:val="24"/>
          <w:szCs w:val="24"/>
        </w:rPr>
        <w:t>26</w:t>
      </w:r>
      <w:r w:rsidR="00B13BF9" w:rsidRPr="00B13BF9">
        <w:rPr>
          <w:rFonts w:ascii="Arial" w:hAnsi="Arial" w:cs="Arial"/>
          <w:sz w:val="24"/>
          <w:szCs w:val="24"/>
          <w:vertAlign w:val="superscript"/>
        </w:rPr>
        <w:t>th</w:t>
      </w:r>
      <w:r w:rsidR="00B13BF9">
        <w:rPr>
          <w:rFonts w:ascii="Arial" w:hAnsi="Arial" w:cs="Arial"/>
          <w:sz w:val="24"/>
          <w:szCs w:val="24"/>
        </w:rPr>
        <w:t xml:space="preserve"> of </w:t>
      </w:r>
      <w:r>
        <w:rPr>
          <w:rFonts w:ascii="Arial" w:hAnsi="Arial" w:cs="Arial"/>
          <w:sz w:val="24"/>
          <w:szCs w:val="24"/>
        </w:rPr>
        <w:t xml:space="preserve">April 2016 at Bethlehem, and on </w:t>
      </w:r>
      <w:r w:rsidR="00B13BF9">
        <w:rPr>
          <w:rFonts w:ascii="Arial" w:hAnsi="Arial" w:cs="Arial"/>
          <w:sz w:val="24"/>
          <w:szCs w:val="24"/>
        </w:rPr>
        <w:t xml:space="preserve">the </w:t>
      </w:r>
      <w:r>
        <w:rPr>
          <w:rFonts w:ascii="Arial" w:hAnsi="Arial" w:cs="Arial"/>
          <w:sz w:val="24"/>
          <w:szCs w:val="24"/>
        </w:rPr>
        <w:t>30</w:t>
      </w:r>
      <w:r w:rsidR="00B13BF9" w:rsidRPr="00B13BF9">
        <w:rPr>
          <w:rFonts w:ascii="Arial" w:hAnsi="Arial" w:cs="Arial"/>
          <w:sz w:val="24"/>
          <w:szCs w:val="24"/>
          <w:vertAlign w:val="superscript"/>
        </w:rPr>
        <w:t>th</w:t>
      </w:r>
      <w:r w:rsidR="00B13BF9">
        <w:rPr>
          <w:rFonts w:ascii="Arial" w:hAnsi="Arial" w:cs="Arial"/>
          <w:sz w:val="24"/>
          <w:szCs w:val="24"/>
        </w:rPr>
        <w:t xml:space="preserve"> of </w:t>
      </w:r>
      <w:r>
        <w:rPr>
          <w:rFonts w:ascii="Arial" w:hAnsi="Arial" w:cs="Arial"/>
          <w:sz w:val="24"/>
          <w:szCs w:val="24"/>
        </w:rPr>
        <w:t>May 2015 at Mossel Bay, respectively, executed unlimited deeds of suretyships in consideration of indebtedness incurred by the 1</w:t>
      </w:r>
      <w:r w:rsidRPr="00160FB0">
        <w:rPr>
          <w:rFonts w:ascii="Arial" w:hAnsi="Arial" w:cs="Arial"/>
          <w:sz w:val="24"/>
          <w:szCs w:val="24"/>
          <w:vertAlign w:val="superscript"/>
        </w:rPr>
        <w:t>st</w:t>
      </w:r>
      <w:r>
        <w:rPr>
          <w:rFonts w:ascii="Arial" w:hAnsi="Arial" w:cs="Arial"/>
          <w:sz w:val="24"/>
          <w:szCs w:val="24"/>
        </w:rPr>
        <w:t xml:space="preserve"> defendant to the plaintiff. </w:t>
      </w:r>
    </w:p>
    <w:p w:rsidR="00B13BF9" w:rsidRDefault="00B13BF9" w:rsidP="00160FB0">
      <w:pPr>
        <w:spacing w:line="360" w:lineRule="auto"/>
        <w:ind w:left="709" w:hanging="709"/>
        <w:jc w:val="both"/>
        <w:rPr>
          <w:rFonts w:ascii="Arial" w:hAnsi="Arial" w:cs="Arial"/>
          <w:sz w:val="24"/>
          <w:szCs w:val="24"/>
        </w:rPr>
      </w:pPr>
      <w:r>
        <w:rPr>
          <w:rFonts w:ascii="Arial" w:hAnsi="Arial" w:cs="Arial"/>
          <w:sz w:val="24"/>
          <w:szCs w:val="24"/>
        </w:rPr>
        <w:tab/>
        <w:t xml:space="preserve">It is common cause that the Loan Agreement would be paid from the Overdraft Facility. </w:t>
      </w:r>
      <w:r w:rsidR="00E00670">
        <w:rPr>
          <w:rFonts w:ascii="Arial" w:hAnsi="Arial" w:cs="Arial"/>
          <w:sz w:val="24"/>
          <w:szCs w:val="24"/>
        </w:rPr>
        <w:t>Plaintiff</w:t>
      </w:r>
      <w:r>
        <w:rPr>
          <w:rFonts w:ascii="Arial" w:hAnsi="Arial" w:cs="Arial"/>
          <w:sz w:val="24"/>
          <w:szCs w:val="24"/>
        </w:rPr>
        <w:t xml:space="preserve"> states that the 1</w:t>
      </w:r>
      <w:r w:rsidRPr="00B13BF9">
        <w:rPr>
          <w:rFonts w:ascii="Arial" w:hAnsi="Arial" w:cs="Arial"/>
          <w:sz w:val="24"/>
          <w:szCs w:val="24"/>
          <w:vertAlign w:val="superscript"/>
        </w:rPr>
        <w:t>st</w:t>
      </w:r>
      <w:r>
        <w:rPr>
          <w:rFonts w:ascii="Arial" w:hAnsi="Arial" w:cs="Arial"/>
          <w:sz w:val="24"/>
          <w:szCs w:val="24"/>
        </w:rPr>
        <w:t xml:space="preserve"> defendant is in breach of the terms and conditions of the </w:t>
      </w:r>
      <w:r w:rsidR="001A7038">
        <w:rPr>
          <w:rFonts w:ascii="Arial" w:hAnsi="Arial" w:cs="Arial"/>
          <w:sz w:val="24"/>
          <w:szCs w:val="24"/>
        </w:rPr>
        <w:t>Agreements</w:t>
      </w:r>
      <w:r>
        <w:rPr>
          <w:rFonts w:ascii="Arial" w:hAnsi="Arial" w:cs="Arial"/>
          <w:sz w:val="24"/>
          <w:szCs w:val="24"/>
        </w:rPr>
        <w:t>, a</w:t>
      </w:r>
      <w:r w:rsidR="001A7038">
        <w:rPr>
          <w:rFonts w:ascii="Arial" w:hAnsi="Arial" w:cs="Arial"/>
          <w:sz w:val="24"/>
          <w:szCs w:val="24"/>
        </w:rPr>
        <w:t>s it</w:t>
      </w:r>
      <w:r>
        <w:rPr>
          <w:rFonts w:ascii="Arial" w:hAnsi="Arial" w:cs="Arial"/>
          <w:sz w:val="24"/>
          <w:szCs w:val="24"/>
        </w:rPr>
        <w:t xml:space="preserve"> has failed to pay the monthly instalments due in terms of both accounts, which breach is material.</w:t>
      </w:r>
      <w:r>
        <w:rPr>
          <w:rStyle w:val="FootnoteReference"/>
          <w:rFonts w:ascii="Arial" w:hAnsi="Arial" w:cs="Arial"/>
          <w:sz w:val="24"/>
          <w:szCs w:val="24"/>
        </w:rPr>
        <w:footnoteReference w:id="6"/>
      </w:r>
      <w:r w:rsidR="000E731D">
        <w:rPr>
          <w:rFonts w:ascii="Arial" w:hAnsi="Arial" w:cs="Arial"/>
          <w:sz w:val="24"/>
          <w:szCs w:val="24"/>
        </w:rPr>
        <w:t xml:space="preserve"> Further, that 1</w:t>
      </w:r>
      <w:r w:rsidR="000E731D" w:rsidRPr="000E731D">
        <w:rPr>
          <w:rFonts w:ascii="Arial" w:hAnsi="Arial" w:cs="Arial"/>
          <w:sz w:val="24"/>
          <w:szCs w:val="24"/>
          <w:vertAlign w:val="superscript"/>
        </w:rPr>
        <w:t>st</w:t>
      </w:r>
      <w:r w:rsidR="000E731D">
        <w:rPr>
          <w:rFonts w:ascii="Arial" w:hAnsi="Arial" w:cs="Arial"/>
          <w:sz w:val="24"/>
          <w:szCs w:val="24"/>
        </w:rPr>
        <w:t xml:space="preserve"> defendant and or </w:t>
      </w:r>
      <w:r w:rsidR="00C1239C">
        <w:rPr>
          <w:rFonts w:ascii="Arial" w:hAnsi="Arial" w:cs="Arial"/>
          <w:sz w:val="24"/>
          <w:szCs w:val="24"/>
        </w:rPr>
        <w:t>defendants</w:t>
      </w:r>
      <w:r w:rsidR="000E731D">
        <w:rPr>
          <w:rFonts w:ascii="Arial" w:hAnsi="Arial" w:cs="Arial"/>
          <w:sz w:val="24"/>
          <w:szCs w:val="24"/>
        </w:rPr>
        <w:t xml:space="preserve"> collectively, failed to submit financial documents in terms of the </w:t>
      </w:r>
      <w:r w:rsidR="00C1239C">
        <w:rPr>
          <w:rFonts w:ascii="Arial" w:hAnsi="Arial" w:cs="Arial"/>
          <w:sz w:val="24"/>
          <w:szCs w:val="24"/>
        </w:rPr>
        <w:t>Financial</w:t>
      </w:r>
      <w:r w:rsidR="000E731D">
        <w:rPr>
          <w:rFonts w:ascii="Arial" w:hAnsi="Arial" w:cs="Arial"/>
          <w:sz w:val="24"/>
          <w:szCs w:val="24"/>
        </w:rPr>
        <w:t xml:space="preserve"> Intelligence Centre Act</w:t>
      </w:r>
      <w:r w:rsidR="00635278">
        <w:rPr>
          <w:rFonts w:ascii="Arial" w:hAnsi="Arial" w:cs="Arial"/>
          <w:sz w:val="24"/>
          <w:szCs w:val="24"/>
        </w:rPr>
        <w:t xml:space="preserve"> (“FICA”)</w:t>
      </w:r>
      <w:r w:rsidR="00C1239C">
        <w:rPr>
          <w:rFonts w:ascii="Arial" w:hAnsi="Arial" w:cs="Arial"/>
          <w:sz w:val="24"/>
          <w:szCs w:val="24"/>
        </w:rPr>
        <w:t>.</w:t>
      </w:r>
      <w:r w:rsidR="000E731D">
        <w:rPr>
          <w:rFonts w:ascii="Arial" w:hAnsi="Arial" w:cs="Arial"/>
          <w:sz w:val="24"/>
          <w:szCs w:val="24"/>
        </w:rPr>
        <w:t xml:space="preserve"> </w:t>
      </w:r>
    </w:p>
    <w:p w:rsidR="00D5216B" w:rsidRDefault="00D5216B" w:rsidP="00160FB0">
      <w:pPr>
        <w:spacing w:line="360" w:lineRule="auto"/>
        <w:ind w:left="709" w:hanging="709"/>
        <w:jc w:val="both"/>
        <w:rPr>
          <w:rFonts w:ascii="Arial" w:hAnsi="Arial" w:cs="Arial"/>
          <w:sz w:val="24"/>
          <w:szCs w:val="24"/>
        </w:rPr>
      </w:pPr>
      <w:r>
        <w:rPr>
          <w:rFonts w:ascii="Arial" w:hAnsi="Arial" w:cs="Arial"/>
          <w:sz w:val="24"/>
          <w:szCs w:val="24"/>
        </w:rPr>
        <w:t>[</w:t>
      </w:r>
      <w:r w:rsidR="001C264D">
        <w:rPr>
          <w:rFonts w:ascii="Arial" w:hAnsi="Arial" w:cs="Arial"/>
          <w:sz w:val="24"/>
          <w:szCs w:val="24"/>
        </w:rPr>
        <w:t>7</w:t>
      </w:r>
      <w:r>
        <w:rPr>
          <w:rFonts w:ascii="Arial" w:hAnsi="Arial" w:cs="Arial"/>
          <w:sz w:val="24"/>
          <w:szCs w:val="24"/>
        </w:rPr>
        <w:t>]</w:t>
      </w:r>
      <w:r>
        <w:rPr>
          <w:rFonts w:ascii="Arial" w:hAnsi="Arial" w:cs="Arial"/>
          <w:sz w:val="24"/>
          <w:szCs w:val="24"/>
        </w:rPr>
        <w:tab/>
        <w:t>T</w:t>
      </w:r>
      <w:r w:rsidR="00160FB0">
        <w:rPr>
          <w:rFonts w:ascii="Arial" w:hAnsi="Arial" w:cs="Arial"/>
          <w:sz w:val="24"/>
          <w:szCs w:val="24"/>
        </w:rPr>
        <w:t xml:space="preserve">he </w:t>
      </w:r>
      <w:r>
        <w:rPr>
          <w:rFonts w:ascii="Arial" w:hAnsi="Arial" w:cs="Arial"/>
          <w:sz w:val="24"/>
          <w:szCs w:val="24"/>
        </w:rPr>
        <w:t>defendants</w:t>
      </w:r>
      <w:r w:rsidR="00160FB0">
        <w:rPr>
          <w:rFonts w:ascii="Arial" w:hAnsi="Arial" w:cs="Arial"/>
          <w:sz w:val="24"/>
          <w:szCs w:val="24"/>
        </w:rPr>
        <w:t xml:space="preserve"> </w:t>
      </w:r>
      <w:r>
        <w:rPr>
          <w:rFonts w:ascii="Arial" w:hAnsi="Arial" w:cs="Arial"/>
          <w:sz w:val="24"/>
          <w:szCs w:val="24"/>
        </w:rPr>
        <w:t>have</w:t>
      </w:r>
      <w:r w:rsidR="00160FB0">
        <w:rPr>
          <w:rFonts w:ascii="Arial" w:hAnsi="Arial" w:cs="Arial"/>
          <w:sz w:val="24"/>
          <w:szCs w:val="24"/>
        </w:rPr>
        <w:t xml:space="preserve"> filed </w:t>
      </w:r>
      <w:r>
        <w:rPr>
          <w:rFonts w:ascii="Arial" w:hAnsi="Arial" w:cs="Arial"/>
          <w:sz w:val="24"/>
          <w:szCs w:val="24"/>
        </w:rPr>
        <w:t>and raised a number of defences</w:t>
      </w:r>
      <w:r w:rsidR="00635278">
        <w:rPr>
          <w:rFonts w:ascii="Arial" w:hAnsi="Arial" w:cs="Arial"/>
          <w:sz w:val="24"/>
          <w:szCs w:val="24"/>
        </w:rPr>
        <w:t>.</w:t>
      </w:r>
    </w:p>
    <w:p w:rsidR="001369C3" w:rsidRPr="008A76A8" w:rsidRDefault="003802C0" w:rsidP="003802C0">
      <w:pPr>
        <w:spacing w:line="360" w:lineRule="auto"/>
        <w:ind w:left="709" w:hanging="709"/>
        <w:jc w:val="both"/>
        <w:rPr>
          <w:rFonts w:ascii="Arial" w:hAnsi="Arial" w:cs="Arial"/>
          <w:sz w:val="24"/>
          <w:szCs w:val="24"/>
        </w:rPr>
      </w:pPr>
      <w:r>
        <w:rPr>
          <w:rFonts w:ascii="Arial" w:hAnsi="Arial" w:cs="Arial"/>
          <w:sz w:val="24"/>
          <w:szCs w:val="24"/>
        </w:rPr>
        <w:t>[</w:t>
      </w:r>
      <w:r w:rsidR="001C264D">
        <w:rPr>
          <w:rFonts w:ascii="Arial" w:hAnsi="Arial" w:cs="Arial"/>
          <w:sz w:val="24"/>
          <w:szCs w:val="24"/>
        </w:rPr>
        <w:t>8</w:t>
      </w:r>
      <w:r>
        <w:rPr>
          <w:rFonts w:ascii="Arial" w:hAnsi="Arial" w:cs="Arial"/>
          <w:sz w:val="24"/>
          <w:szCs w:val="24"/>
        </w:rPr>
        <w:t>]</w:t>
      </w:r>
      <w:r>
        <w:rPr>
          <w:rFonts w:ascii="Arial" w:hAnsi="Arial" w:cs="Arial"/>
          <w:sz w:val="24"/>
          <w:szCs w:val="24"/>
        </w:rPr>
        <w:tab/>
      </w:r>
      <w:r w:rsidR="00D5216B">
        <w:rPr>
          <w:rFonts w:ascii="Arial" w:hAnsi="Arial" w:cs="Arial"/>
          <w:sz w:val="24"/>
          <w:szCs w:val="24"/>
        </w:rPr>
        <w:t>T</w:t>
      </w:r>
      <w:r w:rsidR="00160FB0">
        <w:rPr>
          <w:rFonts w:ascii="Arial" w:hAnsi="Arial" w:cs="Arial"/>
          <w:sz w:val="24"/>
          <w:szCs w:val="24"/>
        </w:rPr>
        <w:t>he first contention raised is that</w:t>
      </w:r>
      <w:r w:rsidR="00D5216B">
        <w:rPr>
          <w:rFonts w:ascii="Arial" w:hAnsi="Arial" w:cs="Arial"/>
          <w:sz w:val="24"/>
          <w:szCs w:val="24"/>
        </w:rPr>
        <w:t xml:space="preserve"> </w:t>
      </w:r>
      <w:r w:rsidR="00635278">
        <w:rPr>
          <w:rFonts w:ascii="Arial" w:hAnsi="Arial" w:cs="Arial"/>
          <w:sz w:val="24"/>
          <w:szCs w:val="24"/>
        </w:rPr>
        <w:t>plaintiff</w:t>
      </w:r>
      <w:r w:rsidR="00FB611D">
        <w:rPr>
          <w:rFonts w:ascii="Arial" w:hAnsi="Arial" w:cs="Arial"/>
          <w:sz w:val="24"/>
          <w:szCs w:val="24"/>
        </w:rPr>
        <w:t>,</w:t>
      </w:r>
      <w:r w:rsidR="00D5216B">
        <w:rPr>
          <w:rFonts w:ascii="Arial" w:hAnsi="Arial" w:cs="Arial"/>
          <w:sz w:val="24"/>
          <w:szCs w:val="24"/>
        </w:rPr>
        <w:t xml:space="preserve"> </w:t>
      </w:r>
      <w:r w:rsidR="00B933DC">
        <w:rPr>
          <w:rFonts w:ascii="Arial" w:hAnsi="Arial" w:cs="Arial"/>
          <w:sz w:val="24"/>
          <w:szCs w:val="24"/>
        </w:rPr>
        <w:t>belatedly</w:t>
      </w:r>
      <w:r w:rsidR="00D5216B">
        <w:rPr>
          <w:rFonts w:ascii="Arial" w:hAnsi="Arial" w:cs="Arial"/>
          <w:sz w:val="24"/>
          <w:szCs w:val="24"/>
        </w:rPr>
        <w:t xml:space="preserve"> seeks to adduce evidence, embodied by Annexure “REF6”</w:t>
      </w:r>
      <w:r w:rsidR="00B933DC">
        <w:rPr>
          <w:rStyle w:val="FootnoteReference"/>
          <w:rFonts w:ascii="Arial" w:hAnsi="Arial" w:cs="Arial"/>
          <w:sz w:val="24"/>
          <w:szCs w:val="24"/>
        </w:rPr>
        <w:footnoteReference w:id="7"/>
      </w:r>
      <w:r w:rsidR="00D5216B">
        <w:rPr>
          <w:rFonts w:ascii="Arial" w:hAnsi="Arial" w:cs="Arial"/>
          <w:sz w:val="24"/>
          <w:szCs w:val="24"/>
        </w:rPr>
        <w:t>, that it</w:t>
      </w:r>
      <w:r w:rsidR="00D5216B" w:rsidRPr="008A76A8">
        <w:rPr>
          <w:rFonts w:ascii="Arial" w:hAnsi="Arial" w:cs="Arial"/>
          <w:sz w:val="24"/>
          <w:szCs w:val="24"/>
        </w:rPr>
        <w:t xml:space="preserve"> was entitled to suspend the </w:t>
      </w:r>
      <w:r w:rsidR="00635278">
        <w:rPr>
          <w:rFonts w:ascii="Arial" w:hAnsi="Arial" w:cs="Arial"/>
          <w:sz w:val="24"/>
          <w:szCs w:val="24"/>
        </w:rPr>
        <w:t>O</w:t>
      </w:r>
      <w:r w:rsidR="00D5216B" w:rsidRPr="008A76A8">
        <w:rPr>
          <w:rFonts w:ascii="Arial" w:hAnsi="Arial" w:cs="Arial"/>
          <w:sz w:val="24"/>
          <w:szCs w:val="24"/>
        </w:rPr>
        <w:t xml:space="preserve">verdraft </w:t>
      </w:r>
      <w:r w:rsidR="00635278">
        <w:rPr>
          <w:rFonts w:ascii="Arial" w:hAnsi="Arial" w:cs="Arial"/>
          <w:sz w:val="24"/>
          <w:szCs w:val="24"/>
        </w:rPr>
        <w:t>F</w:t>
      </w:r>
      <w:r w:rsidR="00D5216B" w:rsidRPr="008A76A8">
        <w:rPr>
          <w:rFonts w:ascii="Arial" w:hAnsi="Arial" w:cs="Arial"/>
          <w:sz w:val="24"/>
          <w:szCs w:val="24"/>
        </w:rPr>
        <w:t>acility</w:t>
      </w:r>
      <w:r w:rsidR="000C75BF" w:rsidRPr="008A76A8">
        <w:rPr>
          <w:rFonts w:ascii="Arial" w:hAnsi="Arial" w:cs="Arial"/>
          <w:sz w:val="24"/>
          <w:szCs w:val="24"/>
        </w:rPr>
        <w:t xml:space="preserve"> b</w:t>
      </w:r>
      <w:r w:rsidR="00D5216B" w:rsidRPr="008A76A8">
        <w:rPr>
          <w:rFonts w:ascii="Arial" w:hAnsi="Arial" w:cs="Arial"/>
          <w:sz w:val="24"/>
          <w:szCs w:val="24"/>
        </w:rPr>
        <w:t>ecause, the defen</w:t>
      </w:r>
      <w:r w:rsidR="000C75BF" w:rsidRPr="008A76A8">
        <w:rPr>
          <w:rFonts w:ascii="Arial" w:hAnsi="Arial" w:cs="Arial"/>
          <w:sz w:val="24"/>
          <w:szCs w:val="24"/>
        </w:rPr>
        <w:t>dants</w:t>
      </w:r>
      <w:r w:rsidR="00D5216B" w:rsidRPr="008A76A8">
        <w:rPr>
          <w:rFonts w:ascii="Arial" w:hAnsi="Arial" w:cs="Arial"/>
          <w:sz w:val="24"/>
          <w:szCs w:val="24"/>
        </w:rPr>
        <w:t xml:space="preserve"> fail</w:t>
      </w:r>
      <w:r w:rsidR="00E00670">
        <w:rPr>
          <w:rFonts w:ascii="Arial" w:hAnsi="Arial" w:cs="Arial"/>
          <w:sz w:val="24"/>
          <w:szCs w:val="24"/>
        </w:rPr>
        <w:t>ed</w:t>
      </w:r>
      <w:r w:rsidR="00D5216B" w:rsidRPr="008A76A8">
        <w:rPr>
          <w:rFonts w:ascii="Arial" w:hAnsi="Arial" w:cs="Arial"/>
          <w:sz w:val="24"/>
          <w:szCs w:val="24"/>
        </w:rPr>
        <w:t xml:space="preserve"> to submit financial </w:t>
      </w:r>
      <w:r w:rsidR="000C75BF" w:rsidRPr="008A76A8">
        <w:rPr>
          <w:rFonts w:ascii="Arial" w:hAnsi="Arial" w:cs="Arial"/>
          <w:sz w:val="24"/>
          <w:szCs w:val="24"/>
        </w:rPr>
        <w:t>documents</w:t>
      </w:r>
      <w:r w:rsidR="00D5216B" w:rsidRPr="008A76A8">
        <w:rPr>
          <w:rFonts w:ascii="Arial" w:hAnsi="Arial" w:cs="Arial"/>
          <w:sz w:val="24"/>
          <w:szCs w:val="24"/>
        </w:rPr>
        <w:t xml:space="preserve"> in terms of F</w:t>
      </w:r>
      <w:r w:rsidR="00635278">
        <w:rPr>
          <w:rFonts w:ascii="Arial" w:hAnsi="Arial" w:cs="Arial"/>
          <w:sz w:val="24"/>
          <w:szCs w:val="24"/>
        </w:rPr>
        <w:t xml:space="preserve">ICA, </w:t>
      </w:r>
      <w:r w:rsidR="000C75BF" w:rsidRPr="008A76A8">
        <w:rPr>
          <w:rFonts w:ascii="Arial" w:hAnsi="Arial" w:cs="Arial"/>
          <w:sz w:val="24"/>
          <w:szCs w:val="24"/>
        </w:rPr>
        <w:t xml:space="preserve">which were required to review the </w:t>
      </w:r>
      <w:r w:rsidR="00635278">
        <w:rPr>
          <w:rFonts w:ascii="Arial" w:hAnsi="Arial" w:cs="Arial"/>
          <w:sz w:val="24"/>
          <w:szCs w:val="24"/>
        </w:rPr>
        <w:t>O</w:t>
      </w:r>
      <w:r w:rsidR="000C75BF" w:rsidRPr="008A76A8">
        <w:rPr>
          <w:rFonts w:ascii="Arial" w:hAnsi="Arial" w:cs="Arial"/>
          <w:sz w:val="24"/>
          <w:szCs w:val="24"/>
        </w:rPr>
        <w:t xml:space="preserve">verdraft </w:t>
      </w:r>
      <w:r w:rsidR="00635278">
        <w:rPr>
          <w:rFonts w:ascii="Arial" w:hAnsi="Arial" w:cs="Arial"/>
          <w:sz w:val="24"/>
          <w:szCs w:val="24"/>
        </w:rPr>
        <w:t>F</w:t>
      </w:r>
      <w:r w:rsidR="000C75BF" w:rsidRPr="008A76A8">
        <w:rPr>
          <w:rFonts w:ascii="Arial" w:hAnsi="Arial" w:cs="Arial"/>
          <w:sz w:val="24"/>
          <w:szCs w:val="24"/>
        </w:rPr>
        <w:t>acility”</w:t>
      </w:r>
      <w:r w:rsidR="000C75BF" w:rsidRPr="008A76A8">
        <w:rPr>
          <w:rStyle w:val="FootnoteReference"/>
          <w:rFonts w:ascii="Arial" w:hAnsi="Arial" w:cs="Arial"/>
          <w:sz w:val="24"/>
          <w:szCs w:val="24"/>
        </w:rPr>
        <w:footnoteReference w:id="8"/>
      </w:r>
      <w:r w:rsidR="00160FB0" w:rsidRPr="008A76A8">
        <w:rPr>
          <w:rFonts w:ascii="Arial" w:hAnsi="Arial" w:cs="Arial"/>
          <w:sz w:val="24"/>
          <w:szCs w:val="24"/>
        </w:rPr>
        <w:t xml:space="preserve">    </w:t>
      </w:r>
    </w:p>
    <w:p w:rsidR="00E00670" w:rsidRDefault="008A76A8" w:rsidP="008A76A8">
      <w:pPr>
        <w:ind w:left="709" w:hanging="709"/>
        <w:rPr>
          <w:rFonts w:ascii="Arial" w:hAnsi="Arial" w:cs="Arial"/>
          <w:sz w:val="24"/>
          <w:szCs w:val="24"/>
        </w:rPr>
      </w:pPr>
      <w:r w:rsidRPr="008A76A8">
        <w:rPr>
          <w:rFonts w:ascii="Arial" w:hAnsi="Arial" w:cs="Arial"/>
          <w:sz w:val="24"/>
          <w:szCs w:val="24"/>
        </w:rPr>
        <w:t>[</w:t>
      </w:r>
      <w:r w:rsidR="001C264D">
        <w:rPr>
          <w:rFonts w:ascii="Arial" w:hAnsi="Arial" w:cs="Arial"/>
          <w:sz w:val="24"/>
          <w:szCs w:val="24"/>
        </w:rPr>
        <w:t>9</w:t>
      </w:r>
      <w:r w:rsidRPr="008A76A8">
        <w:rPr>
          <w:rFonts w:ascii="Arial" w:hAnsi="Arial" w:cs="Arial"/>
          <w:sz w:val="24"/>
          <w:szCs w:val="24"/>
        </w:rPr>
        <w:t>]</w:t>
      </w:r>
      <w:r w:rsidRPr="008A76A8">
        <w:rPr>
          <w:rFonts w:ascii="Arial" w:hAnsi="Arial" w:cs="Arial"/>
          <w:sz w:val="24"/>
          <w:szCs w:val="24"/>
        </w:rPr>
        <w:tab/>
        <w:t>Rule 32(1)</w:t>
      </w:r>
      <w:r w:rsidR="00E00670">
        <w:rPr>
          <w:rStyle w:val="FootnoteReference"/>
          <w:rFonts w:ascii="Arial" w:hAnsi="Arial" w:cs="Arial"/>
          <w:sz w:val="24"/>
          <w:szCs w:val="24"/>
        </w:rPr>
        <w:footnoteReference w:id="9"/>
      </w:r>
      <w:r w:rsidR="00E00670">
        <w:rPr>
          <w:rFonts w:ascii="Arial" w:hAnsi="Arial" w:cs="Arial"/>
          <w:sz w:val="24"/>
          <w:szCs w:val="24"/>
        </w:rPr>
        <w:t xml:space="preserve"> reads</w:t>
      </w:r>
      <w:r w:rsidRPr="008A76A8">
        <w:rPr>
          <w:rFonts w:ascii="Arial" w:hAnsi="Arial" w:cs="Arial"/>
          <w:sz w:val="24"/>
          <w:szCs w:val="24"/>
        </w:rPr>
        <w:t>:</w:t>
      </w:r>
    </w:p>
    <w:p w:rsidR="008A76A8" w:rsidRPr="002E4BE1" w:rsidRDefault="008A76A8" w:rsidP="00E00670">
      <w:pPr>
        <w:spacing w:line="360" w:lineRule="auto"/>
        <w:ind w:left="1440"/>
        <w:rPr>
          <w:rFonts w:ascii="Arial" w:hAnsi="Arial" w:cs="Arial"/>
        </w:rPr>
      </w:pPr>
      <w:r w:rsidRPr="008A76A8">
        <w:rPr>
          <w:rFonts w:ascii="Arial" w:hAnsi="Arial" w:cs="Arial"/>
          <w:sz w:val="24"/>
          <w:szCs w:val="24"/>
        </w:rPr>
        <w:t xml:space="preserve">“The Plaintiff may after the Defendant has delivered a plea, apply to the court for summary judgment on each of such claims in the summons as is only: </w:t>
      </w:r>
    </w:p>
    <w:p w:rsidR="008A76A8" w:rsidRPr="002E4BE1" w:rsidRDefault="008A76A8" w:rsidP="00E00670">
      <w:pPr>
        <w:pStyle w:val="ListParagraph"/>
        <w:numPr>
          <w:ilvl w:val="0"/>
          <w:numId w:val="24"/>
        </w:numPr>
        <w:spacing w:line="360" w:lineRule="auto"/>
        <w:rPr>
          <w:rFonts w:ascii="Arial" w:hAnsi="Arial" w:cs="Arial"/>
        </w:rPr>
      </w:pPr>
      <w:r w:rsidRPr="002E4BE1">
        <w:rPr>
          <w:rFonts w:ascii="Arial" w:hAnsi="Arial" w:cs="Arial"/>
        </w:rPr>
        <w:t xml:space="preserve">On a liquid document; </w:t>
      </w:r>
    </w:p>
    <w:p w:rsidR="008A76A8" w:rsidRPr="002E4BE1" w:rsidRDefault="008A76A8" w:rsidP="00E00670">
      <w:pPr>
        <w:pStyle w:val="ListParagraph"/>
        <w:numPr>
          <w:ilvl w:val="0"/>
          <w:numId w:val="24"/>
        </w:numPr>
        <w:spacing w:line="360" w:lineRule="auto"/>
        <w:rPr>
          <w:rFonts w:ascii="Arial" w:hAnsi="Arial" w:cs="Arial"/>
        </w:rPr>
      </w:pPr>
      <w:r w:rsidRPr="002E4BE1">
        <w:rPr>
          <w:rFonts w:ascii="Arial" w:hAnsi="Arial" w:cs="Arial"/>
        </w:rPr>
        <w:lastRenderedPageBreak/>
        <w:t xml:space="preserve">For a liquidated amount in money; </w:t>
      </w:r>
    </w:p>
    <w:p w:rsidR="008A76A8" w:rsidRPr="002E4BE1" w:rsidRDefault="008A76A8" w:rsidP="00E00670">
      <w:pPr>
        <w:pStyle w:val="ListParagraph"/>
        <w:numPr>
          <w:ilvl w:val="0"/>
          <w:numId w:val="24"/>
        </w:numPr>
        <w:spacing w:line="360" w:lineRule="auto"/>
        <w:rPr>
          <w:rFonts w:ascii="Arial" w:hAnsi="Arial" w:cs="Arial"/>
        </w:rPr>
      </w:pPr>
      <w:r w:rsidRPr="002E4BE1">
        <w:rPr>
          <w:rFonts w:ascii="Arial" w:hAnsi="Arial" w:cs="Arial"/>
        </w:rPr>
        <w:t xml:space="preserve">For delivery of the specified movable property; and </w:t>
      </w:r>
    </w:p>
    <w:p w:rsidR="008A76A8" w:rsidRPr="002E4BE1" w:rsidRDefault="008A76A8" w:rsidP="00E00670">
      <w:pPr>
        <w:pStyle w:val="ListParagraph"/>
        <w:numPr>
          <w:ilvl w:val="0"/>
          <w:numId w:val="24"/>
        </w:numPr>
        <w:spacing w:line="360" w:lineRule="auto"/>
        <w:rPr>
          <w:rFonts w:ascii="Arial" w:hAnsi="Arial" w:cs="Arial"/>
        </w:rPr>
      </w:pPr>
      <w:r w:rsidRPr="002E4BE1">
        <w:rPr>
          <w:rFonts w:ascii="Arial" w:hAnsi="Arial" w:cs="Arial"/>
        </w:rPr>
        <w:t>For ejectment.”</w:t>
      </w:r>
    </w:p>
    <w:p w:rsidR="00E00670" w:rsidRPr="002E4BE1" w:rsidRDefault="008A76A8" w:rsidP="00F43C72">
      <w:pPr>
        <w:spacing w:line="360" w:lineRule="auto"/>
        <w:ind w:left="709"/>
        <w:jc w:val="both"/>
        <w:rPr>
          <w:rFonts w:ascii="Arial" w:hAnsi="Arial" w:cs="Arial"/>
        </w:rPr>
      </w:pPr>
      <w:r w:rsidRPr="002E4BE1">
        <w:rPr>
          <w:rFonts w:ascii="Arial" w:hAnsi="Arial" w:cs="Arial"/>
        </w:rPr>
        <w:t>Rule 32 (2)</w:t>
      </w:r>
      <w:r w:rsidR="00E00670" w:rsidRPr="002E4BE1">
        <w:rPr>
          <w:rFonts w:ascii="Arial" w:hAnsi="Arial" w:cs="Arial"/>
        </w:rPr>
        <w:t xml:space="preserve"> reads</w:t>
      </w:r>
      <w:r w:rsidRPr="002E4BE1">
        <w:rPr>
          <w:rFonts w:ascii="Arial" w:hAnsi="Arial" w:cs="Arial"/>
        </w:rPr>
        <w:t>:</w:t>
      </w:r>
    </w:p>
    <w:p w:rsidR="008A76A8" w:rsidRPr="002E4BE1" w:rsidRDefault="00E00670" w:rsidP="00F43C72">
      <w:pPr>
        <w:spacing w:line="360" w:lineRule="auto"/>
        <w:ind w:left="1429"/>
        <w:jc w:val="both"/>
        <w:rPr>
          <w:rFonts w:ascii="Arial" w:hAnsi="Arial" w:cs="Arial"/>
        </w:rPr>
      </w:pPr>
      <w:r w:rsidRPr="002E4BE1">
        <w:rPr>
          <w:rFonts w:ascii="Arial" w:hAnsi="Arial" w:cs="Arial"/>
        </w:rPr>
        <w:t xml:space="preserve">(a): </w:t>
      </w:r>
      <w:r w:rsidR="008A76A8" w:rsidRPr="002E4BE1">
        <w:rPr>
          <w:rFonts w:ascii="Arial" w:hAnsi="Arial" w:cs="Arial"/>
        </w:rPr>
        <w:t>“Within 15 days after the date of delivery of the plea, the plaintiff shall deliver a notice of application for summary judgment, together with an affidavit made by plaintiff or by any other person who can swear positively to the facts.</w:t>
      </w:r>
    </w:p>
    <w:p w:rsidR="008A76A8" w:rsidRPr="002E4BE1" w:rsidRDefault="008A76A8" w:rsidP="00F43C72">
      <w:pPr>
        <w:spacing w:line="360" w:lineRule="auto"/>
        <w:ind w:left="1429" w:firstLine="10"/>
        <w:jc w:val="both"/>
        <w:rPr>
          <w:rFonts w:ascii="Arial" w:hAnsi="Arial" w:cs="Arial"/>
        </w:rPr>
      </w:pPr>
      <w:r w:rsidRPr="002E4BE1">
        <w:rPr>
          <w:rFonts w:ascii="Arial" w:hAnsi="Arial" w:cs="Arial"/>
        </w:rPr>
        <w:t xml:space="preserve">(b): The plaintiff shall, </w:t>
      </w:r>
      <w:r w:rsidRPr="002E4BE1">
        <w:rPr>
          <w:rFonts w:ascii="Arial" w:hAnsi="Arial" w:cs="Arial"/>
          <w:u w:val="single"/>
        </w:rPr>
        <w:t>in the affidavit referred to in subrule (2)(a), verify the cause of action and the amount, if any claimed, and identify any point of law relied upon which the plaintiff’s claim is based, and explain briefly why the defence as pleaded does not raise any issue for trial</w:t>
      </w:r>
      <w:r w:rsidRPr="002E4BE1">
        <w:rPr>
          <w:rFonts w:ascii="Arial" w:hAnsi="Arial" w:cs="Arial"/>
        </w:rPr>
        <w:t>.</w:t>
      </w:r>
      <w:r w:rsidR="00635278" w:rsidRPr="002E4BE1">
        <w:rPr>
          <w:rFonts w:ascii="Arial" w:hAnsi="Arial" w:cs="Arial"/>
        </w:rPr>
        <w:t xml:space="preserve"> (emphasis added)</w:t>
      </w:r>
    </w:p>
    <w:p w:rsidR="008A76A8" w:rsidRPr="002E4BE1" w:rsidRDefault="008A76A8" w:rsidP="00F43C72">
      <w:pPr>
        <w:spacing w:line="360" w:lineRule="auto"/>
        <w:ind w:left="1429"/>
        <w:jc w:val="both"/>
        <w:rPr>
          <w:rFonts w:ascii="Arial" w:hAnsi="Arial" w:cs="Arial"/>
        </w:rPr>
      </w:pPr>
      <w:r w:rsidRPr="002E4BE1">
        <w:rPr>
          <w:rFonts w:ascii="Arial" w:hAnsi="Arial" w:cs="Arial"/>
        </w:rPr>
        <w:t xml:space="preserve">(c): If the claim is founded on a liquid document a copy of the document shall be annexed to such affidavit…”   </w:t>
      </w:r>
    </w:p>
    <w:p w:rsidR="00E00670" w:rsidRPr="002E4BE1" w:rsidRDefault="008A76A8" w:rsidP="00F43C72">
      <w:pPr>
        <w:spacing w:line="360" w:lineRule="auto"/>
        <w:ind w:left="709"/>
        <w:jc w:val="both"/>
        <w:rPr>
          <w:rFonts w:ascii="Arial" w:hAnsi="Arial" w:cs="Arial"/>
        </w:rPr>
      </w:pPr>
      <w:r w:rsidRPr="002E4BE1">
        <w:rPr>
          <w:rFonts w:ascii="Arial" w:hAnsi="Arial" w:cs="Arial"/>
        </w:rPr>
        <w:t>Rule 32 (4)</w:t>
      </w:r>
      <w:r w:rsidR="00E00670" w:rsidRPr="002E4BE1">
        <w:rPr>
          <w:rFonts w:ascii="Arial" w:hAnsi="Arial" w:cs="Arial"/>
        </w:rPr>
        <w:t xml:space="preserve"> reads</w:t>
      </w:r>
      <w:r w:rsidRPr="002E4BE1">
        <w:rPr>
          <w:rFonts w:ascii="Arial" w:hAnsi="Arial" w:cs="Arial"/>
        </w:rPr>
        <w:t>:</w:t>
      </w:r>
    </w:p>
    <w:p w:rsidR="008A76A8" w:rsidRPr="002E4BE1" w:rsidRDefault="008A76A8" w:rsidP="00F43C72">
      <w:pPr>
        <w:spacing w:line="360" w:lineRule="auto"/>
        <w:ind w:left="1510"/>
        <w:jc w:val="both"/>
        <w:rPr>
          <w:rFonts w:ascii="Arial" w:hAnsi="Arial" w:cs="Arial"/>
        </w:rPr>
      </w:pPr>
      <w:r w:rsidRPr="002E4BE1">
        <w:rPr>
          <w:rFonts w:ascii="Arial" w:hAnsi="Arial" w:cs="Arial"/>
        </w:rPr>
        <w:t>“</w:t>
      </w:r>
      <w:r w:rsidRPr="002E4BE1">
        <w:rPr>
          <w:rFonts w:ascii="Arial" w:hAnsi="Arial" w:cs="Arial"/>
          <w:u w:val="single"/>
        </w:rPr>
        <w:t>No evidence may be adduced by the plaintiff otherwise than by the affidavit referred to in subrule</w:t>
      </w:r>
      <w:r w:rsidRPr="002E4BE1">
        <w:rPr>
          <w:rFonts w:ascii="Arial" w:hAnsi="Arial" w:cs="Arial"/>
        </w:rPr>
        <w:t xml:space="preserve"> (2) </w:t>
      </w:r>
      <w:r w:rsidR="00635278" w:rsidRPr="002E4BE1">
        <w:rPr>
          <w:rFonts w:ascii="Arial" w:hAnsi="Arial" w:cs="Arial"/>
        </w:rPr>
        <w:t>…” (emphasis added)</w:t>
      </w:r>
    </w:p>
    <w:p w:rsidR="008A76A8" w:rsidRDefault="008A76A8" w:rsidP="00F43C72">
      <w:pPr>
        <w:spacing w:line="360" w:lineRule="auto"/>
        <w:ind w:left="709" w:hanging="709"/>
        <w:jc w:val="both"/>
        <w:rPr>
          <w:rFonts w:ascii="Arial" w:hAnsi="Arial" w:cs="Arial"/>
          <w:sz w:val="24"/>
          <w:szCs w:val="24"/>
        </w:rPr>
      </w:pPr>
      <w:r>
        <w:rPr>
          <w:rFonts w:ascii="Arial" w:hAnsi="Arial" w:cs="Arial"/>
          <w:sz w:val="24"/>
          <w:szCs w:val="24"/>
        </w:rPr>
        <w:t>[</w:t>
      </w:r>
      <w:r w:rsidR="001C264D">
        <w:rPr>
          <w:rFonts w:ascii="Arial" w:hAnsi="Arial" w:cs="Arial"/>
          <w:sz w:val="24"/>
          <w:szCs w:val="24"/>
        </w:rPr>
        <w:t>10</w:t>
      </w:r>
      <w:r>
        <w:rPr>
          <w:rFonts w:ascii="Arial" w:hAnsi="Arial" w:cs="Arial"/>
          <w:sz w:val="24"/>
          <w:szCs w:val="24"/>
        </w:rPr>
        <w:t>]</w:t>
      </w:r>
      <w:r>
        <w:rPr>
          <w:rFonts w:ascii="Arial" w:hAnsi="Arial" w:cs="Arial"/>
          <w:sz w:val="24"/>
          <w:szCs w:val="24"/>
        </w:rPr>
        <w:tab/>
        <w:t xml:space="preserve">The </w:t>
      </w:r>
      <w:r w:rsidR="00E00670">
        <w:rPr>
          <w:rFonts w:ascii="Arial" w:hAnsi="Arial" w:cs="Arial"/>
          <w:sz w:val="24"/>
          <w:szCs w:val="24"/>
        </w:rPr>
        <w:t>plaintiff</w:t>
      </w:r>
      <w:r>
        <w:rPr>
          <w:rFonts w:ascii="Arial" w:hAnsi="Arial" w:cs="Arial"/>
          <w:sz w:val="24"/>
          <w:szCs w:val="24"/>
        </w:rPr>
        <w:t xml:space="preserve"> argues that </w:t>
      </w:r>
      <w:r w:rsidR="003802C0">
        <w:rPr>
          <w:rFonts w:ascii="Arial" w:hAnsi="Arial" w:cs="Arial"/>
          <w:sz w:val="24"/>
          <w:szCs w:val="24"/>
        </w:rPr>
        <w:t xml:space="preserve">in the present case </w:t>
      </w:r>
      <w:r w:rsidR="00635278">
        <w:rPr>
          <w:rFonts w:ascii="Arial" w:hAnsi="Arial" w:cs="Arial"/>
          <w:sz w:val="24"/>
          <w:szCs w:val="24"/>
        </w:rPr>
        <w:t xml:space="preserve">Annexure </w:t>
      </w:r>
      <w:r w:rsidR="003802C0">
        <w:rPr>
          <w:rFonts w:ascii="Arial" w:hAnsi="Arial" w:cs="Arial"/>
          <w:sz w:val="24"/>
          <w:szCs w:val="24"/>
        </w:rPr>
        <w:t xml:space="preserve">“REF6” is attached to the </w:t>
      </w:r>
      <w:r w:rsidR="00635278" w:rsidRPr="00635278">
        <w:rPr>
          <w:rFonts w:ascii="Arial" w:hAnsi="Arial" w:cs="Arial"/>
          <w:sz w:val="24"/>
          <w:szCs w:val="24"/>
          <w:u w:val="single"/>
        </w:rPr>
        <w:t xml:space="preserve">founding </w:t>
      </w:r>
      <w:r w:rsidR="003802C0" w:rsidRPr="00E00670">
        <w:rPr>
          <w:rFonts w:ascii="Arial" w:hAnsi="Arial" w:cs="Arial"/>
          <w:sz w:val="24"/>
          <w:szCs w:val="24"/>
          <w:u w:val="single"/>
        </w:rPr>
        <w:t>affidavit, as is envisaged in s</w:t>
      </w:r>
      <w:r w:rsidR="000C4935" w:rsidRPr="00E00670">
        <w:rPr>
          <w:rFonts w:ascii="Arial" w:hAnsi="Arial" w:cs="Arial"/>
          <w:sz w:val="24"/>
          <w:szCs w:val="24"/>
          <w:u w:val="single"/>
        </w:rPr>
        <w:t>ubrule</w:t>
      </w:r>
      <w:r w:rsidR="003802C0" w:rsidRPr="00E00670">
        <w:rPr>
          <w:rFonts w:ascii="Arial" w:hAnsi="Arial" w:cs="Arial"/>
          <w:sz w:val="24"/>
          <w:szCs w:val="24"/>
          <w:u w:val="single"/>
        </w:rPr>
        <w:t xml:space="preserve"> (4)</w:t>
      </w:r>
      <w:r w:rsidR="003802C0">
        <w:rPr>
          <w:rFonts w:ascii="Arial" w:hAnsi="Arial" w:cs="Arial"/>
          <w:sz w:val="24"/>
          <w:szCs w:val="24"/>
        </w:rPr>
        <w:t xml:space="preserve"> and </w:t>
      </w:r>
      <w:r w:rsidR="00635278">
        <w:rPr>
          <w:rFonts w:ascii="Arial" w:hAnsi="Arial" w:cs="Arial"/>
          <w:sz w:val="24"/>
          <w:szCs w:val="24"/>
        </w:rPr>
        <w:t xml:space="preserve">therefore </w:t>
      </w:r>
      <w:r w:rsidR="00003924">
        <w:rPr>
          <w:rFonts w:ascii="Arial" w:hAnsi="Arial" w:cs="Arial"/>
          <w:sz w:val="24"/>
          <w:szCs w:val="24"/>
        </w:rPr>
        <w:t xml:space="preserve">the </w:t>
      </w:r>
      <w:r w:rsidR="003802C0">
        <w:rPr>
          <w:rFonts w:ascii="Arial" w:hAnsi="Arial" w:cs="Arial"/>
          <w:sz w:val="24"/>
          <w:szCs w:val="24"/>
        </w:rPr>
        <w:t xml:space="preserve">argument raised by the </w:t>
      </w:r>
      <w:r w:rsidR="00E00670">
        <w:rPr>
          <w:rFonts w:ascii="Arial" w:hAnsi="Arial" w:cs="Arial"/>
          <w:sz w:val="24"/>
          <w:szCs w:val="24"/>
        </w:rPr>
        <w:t>defendants</w:t>
      </w:r>
      <w:r w:rsidR="00635278">
        <w:rPr>
          <w:rFonts w:ascii="Arial" w:hAnsi="Arial" w:cs="Arial"/>
          <w:sz w:val="24"/>
          <w:szCs w:val="24"/>
        </w:rPr>
        <w:t xml:space="preserve"> that Annexure </w:t>
      </w:r>
      <w:r w:rsidR="003802C0">
        <w:rPr>
          <w:rFonts w:ascii="Arial" w:hAnsi="Arial" w:cs="Arial"/>
          <w:sz w:val="24"/>
          <w:szCs w:val="24"/>
        </w:rPr>
        <w:t>“REF</w:t>
      </w:r>
      <w:r w:rsidR="00AC268E">
        <w:rPr>
          <w:rFonts w:ascii="Arial" w:hAnsi="Arial" w:cs="Arial"/>
          <w:sz w:val="24"/>
          <w:szCs w:val="24"/>
        </w:rPr>
        <w:t>6”</w:t>
      </w:r>
      <w:r w:rsidR="00635278">
        <w:rPr>
          <w:rFonts w:ascii="Arial" w:hAnsi="Arial" w:cs="Arial"/>
          <w:sz w:val="24"/>
          <w:szCs w:val="24"/>
        </w:rPr>
        <w:t>, may be ignored</w:t>
      </w:r>
      <w:r w:rsidR="00635278">
        <w:rPr>
          <w:rStyle w:val="FootnoteReference"/>
          <w:rFonts w:ascii="Arial" w:hAnsi="Arial" w:cs="Arial"/>
          <w:sz w:val="24"/>
          <w:szCs w:val="24"/>
        </w:rPr>
        <w:footnoteReference w:id="10"/>
      </w:r>
      <w:r w:rsidR="00635278">
        <w:rPr>
          <w:rFonts w:ascii="Arial" w:hAnsi="Arial" w:cs="Arial"/>
          <w:sz w:val="24"/>
          <w:szCs w:val="24"/>
        </w:rPr>
        <w:t xml:space="preserve"> by this court, is without merit.</w:t>
      </w:r>
      <w:r w:rsidR="001767FC">
        <w:rPr>
          <w:rFonts w:ascii="Arial" w:hAnsi="Arial" w:cs="Arial"/>
          <w:sz w:val="24"/>
          <w:szCs w:val="24"/>
        </w:rPr>
        <w:t xml:space="preserve"> The </w:t>
      </w:r>
      <w:r w:rsidR="00E00670">
        <w:rPr>
          <w:rFonts w:ascii="Arial" w:hAnsi="Arial" w:cs="Arial"/>
          <w:sz w:val="24"/>
          <w:szCs w:val="24"/>
        </w:rPr>
        <w:t>plaintiff</w:t>
      </w:r>
      <w:r w:rsidR="001767FC">
        <w:rPr>
          <w:rFonts w:ascii="Arial" w:hAnsi="Arial" w:cs="Arial"/>
          <w:sz w:val="24"/>
          <w:szCs w:val="24"/>
        </w:rPr>
        <w:t xml:space="preserve"> argues that </w:t>
      </w:r>
      <w:r w:rsidR="00E00670">
        <w:rPr>
          <w:rFonts w:ascii="Arial" w:hAnsi="Arial" w:cs="Arial"/>
          <w:sz w:val="24"/>
          <w:szCs w:val="24"/>
        </w:rPr>
        <w:t xml:space="preserve">it </w:t>
      </w:r>
      <w:r w:rsidR="00716F12">
        <w:rPr>
          <w:rFonts w:ascii="Arial" w:hAnsi="Arial" w:cs="Arial"/>
          <w:sz w:val="24"/>
          <w:szCs w:val="24"/>
        </w:rPr>
        <w:t xml:space="preserve">is mindful that it </w:t>
      </w:r>
      <w:r w:rsidR="001767FC">
        <w:rPr>
          <w:rFonts w:ascii="Arial" w:hAnsi="Arial" w:cs="Arial"/>
          <w:sz w:val="24"/>
          <w:szCs w:val="24"/>
        </w:rPr>
        <w:t xml:space="preserve">must </w:t>
      </w:r>
      <w:r w:rsidR="00AC268E">
        <w:rPr>
          <w:rFonts w:ascii="Arial" w:hAnsi="Arial" w:cs="Arial"/>
          <w:sz w:val="24"/>
          <w:szCs w:val="24"/>
        </w:rPr>
        <w:t>set out</w:t>
      </w:r>
      <w:r w:rsidR="001767FC">
        <w:rPr>
          <w:rFonts w:ascii="Arial" w:hAnsi="Arial" w:cs="Arial"/>
          <w:sz w:val="24"/>
          <w:szCs w:val="24"/>
        </w:rPr>
        <w:t xml:space="preserve"> in its founding affidavit why it is entitled to summary judgment </w:t>
      </w:r>
      <w:r w:rsidR="00AC268E">
        <w:rPr>
          <w:rFonts w:ascii="Arial" w:hAnsi="Arial" w:cs="Arial"/>
          <w:sz w:val="24"/>
          <w:szCs w:val="24"/>
        </w:rPr>
        <w:t>in</w:t>
      </w:r>
      <w:r w:rsidR="001767FC">
        <w:rPr>
          <w:rFonts w:ascii="Arial" w:hAnsi="Arial" w:cs="Arial"/>
          <w:sz w:val="24"/>
          <w:szCs w:val="24"/>
        </w:rPr>
        <w:t xml:space="preserve"> terms of Rule 32</w:t>
      </w:r>
      <w:r w:rsidR="00AC268E">
        <w:rPr>
          <w:rFonts w:ascii="Arial" w:hAnsi="Arial" w:cs="Arial"/>
          <w:sz w:val="24"/>
          <w:szCs w:val="24"/>
        </w:rPr>
        <w:t xml:space="preserve"> and </w:t>
      </w:r>
      <w:r w:rsidR="00E00670">
        <w:rPr>
          <w:rFonts w:ascii="Arial" w:hAnsi="Arial" w:cs="Arial"/>
          <w:sz w:val="24"/>
          <w:szCs w:val="24"/>
        </w:rPr>
        <w:t xml:space="preserve">is not permitted </w:t>
      </w:r>
      <w:r w:rsidR="00AC268E">
        <w:rPr>
          <w:rFonts w:ascii="Arial" w:hAnsi="Arial" w:cs="Arial"/>
          <w:sz w:val="24"/>
          <w:szCs w:val="24"/>
        </w:rPr>
        <w:t xml:space="preserve">to introduce further evidence, by way of the said affidavit. </w:t>
      </w:r>
    </w:p>
    <w:p w:rsidR="00AC268E" w:rsidRDefault="00AC268E" w:rsidP="00E00670">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11</w:t>
      </w:r>
      <w:r>
        <w:rPr>
          <w:rFonts w:ascii="Arial" w:hAnsi="Arial" w:cs="Arial"/>
          <w:sz w:val="24"/>
          <w:szCs w:val="24"/>
        </w:rPr>
        <w:t>]</w:t>
      </w:r>
      <w:r>
        <w:rPr>
          <w:rFonts w:ascii="Arial" w:hAnsi="Arial" w:cs="Arial"/>
          <w:sz w:val="24"/>
          <w:szCs w:val="24"/>
        </w:rPr>
        <w:tab/>
        <w:t xml:space="preserve">In support of that argument, the </w:t>
      </w:r>
      <w:r w:rsidR="00E00670">
        <w:rPr>
          <w:rFonts w:ascii="Arial" w:hAnsi="Arial" w:cs="Arial"/>
          <w:sz w:val="24"/>
          <w:szCs w:val="24"/>
        </w:rPr>
        <w:t>plaintiff</w:t>
      </w:r>
      <w:r>
        <w:rPr>
          <w:rFonts w:ascii="Arial" w:hAnsi="Arial" w:cs="Arial"/>
          <w:sz w:val="24"/>
          <w:szCs w:val="24"/>
        </w:rPr>
        <w:t xml:space="preserve"> referred this court to the case of </w:t>
      </w:r>
      <w:r w:rsidRPr="00AC268E">
        <w:rPr>
          <w:rFonts w:ascii="Arial" w:hAnsi="Arial" w:cs="Arial"/>
          <w:i/>
          <w:sz w:val="24"/>
          <w:szCs w:val="24"/>
        </w:rPr>
        <w:t>Rossouw v FirstRand Bank Ltd</w:t>
      </w:r>
      <w:r>
        <w:rPr>
          <w:rStyle w:val="FootnoteReference"/>
          <w:rFonts w:ascii="Arial" w:hAnsi="Arial" w:cs="Arial"/>
          <w:sz w:val="24"/>
          <w:szCs w:val="24"/>
        </w:rPr>
        <w:footnoteReference w:id="11"/>
      </w:r>
      <w:r>
        <w:rPr>
          <w:rFonts w:ascii="Arial" w:hAnsi="Arial" w:cs="Arial"/>
          <w:i/>
          <w:sz w:val="24"/>
          <w:szCs w:val="24"/>
        </w:rPr>
        <w:t xml:space="preserve"> </w:t>
      </w:r>
      <w:r>
        <w:rPr>
          <w:rFonts w:ascii="Arial" w:hAnsi="Arial" w:cs="Arial"/>
          <w:sz w:val="24"/>
          <w:szCs w:val="24"/>
        </w:rPr>
        <w:t>where the Supreme Court of Appeal, however, held:</w:t>
      </w:r>
    </w:p>
    <w:p w:rsidR="00AC268E" w:rsidRPr="002E4BE1" w:rsidRDefault="00AC268E" w:rsidP="00E00670">
      <w:pPr>
        <w:spacing w:line="360" w:lineRule="auto"/>
        <w:ind w:left="1440"/>
        <w:jc w:val="both"/>
        <w:rPr>
          <w:rFonts w:ascii="Arial" w:hAnsi="Arial" w:cs="Arial"/>
        </w:rPr>
      </w:pPr>
      <w:r w:rsidRPr="002E4BE1">
        <w:rPr>
          <w:rFonts w:ascii="Arial" w:hAnsi="Arial" w:cs="Arial"/>
        </w:rPr>
        <w:t>“that a certificate of balance handed up to court in summary judgment proceedings perform a useful function and is not hit by the provisions of the subrule</w:t>
      </w:r>
      <w:r w:rsidR="00F43C72" w:rsidRPr="002E4BE1">
        <w:rPr>
          <w:rFonts w:ascii="Arial" w:hAnsi="Arial" w:cs="Arial"/>
        </w:rPr>
        <w:t>.</w:t>
      </w:r>
      <w:r w:rsidRPr="002E4BE1">
        <w:rPr>
          <w:rFonts w:ascii="Arial" w:hAnsi="Arial" w:cs="Arial"/>
        </w:rPr>
        <w:t>”</w:t>
      </w:r>
    </w:p>
    <w:p w:rsidR="008A76A8" w:rsidRPr="002E4BE1" w:rsidRDefault="000C4935" w:rsidP="00E00670">
      <w:pPr>
        <w:spacing w:line="360" w:lineRule="auto"/>
        <w:ind w:left="720" w:hanging="720"/>
        <w:jc w:val="both"/>
        <w:rPr>
          <w:rFonts w:ascii="Arial" w:hAnsi="Arial" w:cs="Arial"/>
        </w:rPr>
      </w:pPr>
      <w:r>
        <w:rPr>
          <w:rFonts w:ascii="Arial" w:hAnsi="Arial" w:cs="Arial"/>
          <w:sz w:val="24"/>
          <w:szCs w:val="24"/>
        </w:rPr>
        <w:t>[</w:t>
      </w:r>
      <w:r w:rsidR="001C264D">
        <w:rPr>
          <w:rFonts w:ascii="Arial" w:hAnsi="Arial" w:cs="Arial"/>
          <w:sz w:val="24"/>
          <w:szCs w:val="24"/>
        </w:rPr>
        <w:t>1</w:t>
      </w:r>
      <w:r>
        <w:rPr>
          <w:rFonts w:ascii="Arial" w:hAnsi="Arial" w:cs="Arial"/>
          <w:sz w:val="24"/>
          <w:szCs w:val="24"/>
        </w:rPr>
        <w:t>2]</w:t>
      </w:r>
      <w:r>
        <w:rPr>
          <w:rFonts w:ascii="Arial" w:hAnsi="Arial" w:cs="Arial"/>
          <w:sz w:val="24"/>
          <w:szCs w:val="24"/>
        </w:rPr>
        <w:tab/>
        <w:t xml:space="preserve">The </w:t>
      </w:r>
      <w:r w:rsidR="00E00670">
        <w:rPr>
          <w:rFonts w:ascii="Arial" w:hAnsi="Arial" w:cs="Arial"/>
          <w:sz w:val="24"/>
          <w:szCs w:val="24"/>
        </w:rPr>
        <w:t>plaintiff</w:t>
      </w:r>
      <w:r>
        <w:rPr>
          <w:rFonts w:ascii="Arial" w:hAnsi="Arial" w:cs="Arial"/>
          <w:sz w:val="24"/>
          <w:szCs w:val="24"/>
        </w:rPr>
        <w:t xml:space="preserve"> </w:t>
      </w:r>
      <w:r w:rsidR="00BE1566">
        <w:rPr>
          <w:rFonts w:ascii="Arial" w:hAnsi="Arial" w:cs="Arial"/>
          <w:sz w:val="24"/>
          <w:szCs w:val="24"/>
        </w:rPr>
        <w:t>argues</w:t>
      </w:r>
      <w:r>
        <w:rPr>
          <w:rFonts w:ascii="Arial" w:hAnsi="Arial" w:cs="Arial"/>
          <w:sz w:val="24"/>
          <w:szCs w:val="24"/>
        </w:rPr>
        <w:t xml:space="preserve"> that what the bank sought to do in the </w:t>
      </w:r>
      <w:r w:rsidRPr="004D0862">
        <w:rPr>
          <w:rFonts w:ascii="Arial" w:hAnsi="Arial" w:cs="Arial"/>
          <w:i/>
          <w:sz w:val="24"/>
          <w:szCs w:val="24"/>
        </w:rPr>
        <w:t>Rossouw</w:t>
      </w:r>
      <w:r>
        <w:rPr>
          <w:rFonts w:ascii="Arial" w:hAnsi="Arial" w:cs="Arial"/>
          <w:sz w:val="24"/>
          <w:szCs w:val="24"/>
        </w:rPr>
        <w:t xml:space="preserve"> matter</w:t>
      </w:r>
      <w:r w:rsidR="004D0862">
        <w:rPr>
          <w:rFonts w:ascii="Arial" w:hAnsi="Arial" w:cs="Arial"/>
          <w:sz w:val="24"/>
          <w:szCs w:val="24"/>
        </w:rPr>
        <w:t xml:space="preserve"> </w:t>
      </w:r>
      <w:r w:rsidR="004D0862" w:rsidRPr="004D0862">
        <w:rPr>
          <w:rFonts w:ascii="Arial" w:hAnsi="Arial" w:cs="Arial"/>
          <w:i/>
          <w:sz w:val="24"/>
          <w:szCs w:val="24"/>
        </w:rPr>
        <w:t>(supra)</w:t>
      </w:r>
      <w:r>
        <w:rPr>
          <w:rFonts w:ascii="Arial" w:hAnsi="Arial" w:cs="Arial"/>
          <w:sz w:val="24"/>
          <w:szCs w:val="24"/>
        </w:rPr>
        <w:t xml:space="preserve"> was to hand up documents to show compliance with the </w:t>
      </w:r>
      <w:r w:rsidR="00AE4434">
        <w:rPr>
          <w:rFonts w:ascii="Arial" w:hAnsi="Arial" w:cs="Arial"/>
          <w:sz w:val="24"/>
          <w:szCs w:val="24"/>
        </w:rPr>
        <w:t>provisions</w:t>
      </w:r>
      <w:r>
        <w:rPr>
          <w:rFonts w:ascii="Arial" w:hAnsi="Arial" w:cs="Arial"/>
          <w:sz w:val="24"/>
          <w:szCs w:val="24"/>
        </w:rPr>
        <w:t xml:space="preserve"> of </w:t>
      </w:r>
      <w:r>
        <w:rPr>
          <w:rFonts w:ascii="Arial" w:hAnsi="Arial" w:cs="Arial"/>
          <w:sz w:val="24"/>
          <w:szCs w:val="24"/>
        </w:rPr>
        <w:lastRenderedPageBreak/>
        <w:t>section 129</w:t>
      </w:r>
      <w:r w:rsidR="00BE1566">
        <w:rPr>
          <w:rFonts w:ascii="Arial" w:hAnsi="Arial" w:cs="Arial"/>
          <w:sz w:val="24"/>
          <w:szCs w:val="24"/>
        </w:rPr>
        <w:t xml:space="preserve"> of the National Credit Act 34 of 2005 and that those documents </w:t>
      </w:r>
      <w:r w:rsidR="004D0862">
        <w:rPr>
          <w:rFonts w:ascii="Arial" w:hAnsi="Arial" w:cs="Arial"/>
          <w:sz w:val="24"/>
          <w:szCs w:val="24"/>
        </w:rPr>
        <w:t>were</w:t>
      </w:r>
      <w:r w:rsidR="00BE1566">
        <w:rPr>
          <w:rFonts w:ascii="Arial" w:hAnsi="Arial" w:cs="Arial"/>
          <w:sz w:val="24"/>
          <w:szCs w:val="24"/>
        </w:rPr>
        <w:t xml:space="preserve"> not alluded to in </w:t>
      </w:r>
      <w:r w:rsidR="00716F12">
        <w:rPr>
          <w:rFonts w:ascii="Arial" w:hAnsi="Arial" w:cs="Arial"/>
          <w:sz w:val="24"/>
          <w:szCs w:val="24"/>
        </w:rPr>
        <w:t xml:space="preserve">either </w:t>
      </w:r>
      <w:r w:rsidR="00BE1566" w:rsidRPr="00C854E0">
        <w:rPr>
          <w:rFonts w:ascii="Arial" w:hAnsi="Arial" w:cs="Arial"/>
          <w:sz w:val="24"/>
          <w:szCs w:val="24"/>
          <w:u w:val="single"/>
        </w:rPr>
        <w:t xml:space="preserve">the summons or the </w:t>
      </w:r>
      <w:r w:rsidR="00795F8A" w:rsidRPr="00C854E0">
        <w:rPr>
          <w:rFonts w:ascii="Arial" w:hAnsi="Arial" w:cs="Arial"/>
          <w:sz w:val="24"/>
          <w:szCs w:val="24"/>
          <w:u w:val="single"/>
        </w:rPr>
        <w:t>affidavit</w:t>
      </w:r>
      <w:r w:rsidR="00003924">
        <w:rPr>
          <w:rFonts w:ascii="Arial" w:hAnsi="Arial" w:cs="Arial"/>
          <w:sz w:val="24"/>
          <w:szCs w:val="24"/>
          <w:u w:val="single"/>
        </w:rPr>
        <w:t>,</w:t>
      </w:r>
      <w:r w:rsidR="00003924" w:rsidRPr="00003924">
        <w:rPr>
          <w:rFonts w:ascii="Arial" w:hAnsi="Arial" w:cs="Arial"/>
          <w:sz w:val="24"/>
          <w:szCs w:val="24"/>
        </w:rPr>
        <w:t xml:space="preserve"> which is not the case in the present matter.</w:t>
      </w:r>
      <w:r w:rsidR="00BE1566">
        <w:rPr>
          <w:rFonts w:ascii="Arial" w:hAnsi="Arial" w:cs="Arial"/>
          <w:sz w:val="24"/>
          <w:szCs w:val="24"/>
        </w:rPr>
        <w:t xml:space="preserve"> Further, that </w:t>
      </w:r>
      <w:r w:rsidR="00FF0EB8">
        <w:rPr>
          <w:rFonts w:ascii="Arial" w:hAnsi="Arial" w:cs="Arial"/>
          <w:sz w:val="24"/>
          <w:szCs w:val="24"/>
        </w:rPr>
        <w:t>A</w:t>
      </w:r>
      <w:r w:rsidR="00BE1566">
        <w:rPr>
          <w:rFonts w:ascii="Arial" w:hAnsi="Arial" w:cs="Arial"/>
          <w:sz w:val="24"/>
          <w:szCs w:val="24"/>
        </w:rPr>
        <w:t xml:space="preserve">nnexure “RET6” </w:t>
      </w:r>
      <w:r w:rsidR="00FF0EB8">
        <w:rPr>
          <w:rFonts w:ascii="Arial" w:hAnsi="Arial" w:cs="Arial"/>
          <w:sz w:val="24"/>
          <w:szCs w:val="24"/>
        </w:rPr>
        <w:t xml:space="preserve">in </w:t>
      </w:r>
      <w:r w:rsidR="00FF0EB8" w:rsidRPr="00FF0EB8">
        <w:rPr>
          <w:rFonts w:ascii="Arial" w:hAnsi="Arial" w:cs="Arial"/>
          <w:i/>
          <w:sz w:val="24"/>
          <w:szCs w:val="24"/>
        </w:rPr>
        <w:t>casu</w:t>
      </w:r>
      <w:r w:rsidR="00FF0EB8">
        <w:rPr>
          <w:rFonts w:ascii="Arial" w:hAnsi="Arial" w:cs="Arial"/>
          <w:sz w:val="24"/>
          <w:szCs w:val="24"/>
        </w:rPr>
        <w:t xml:space="preserve">, </w:t>
      </w:r>
      <w:r w:rsidR="00BE1566">
        <w:rPr>
          <w:rFonts w:ascii="Arial" w:hAnsi="Arial" w:cs="Arial"/>
          <w:sz w:val="24"/>
          <w:szCs w:val="24"/>
        </w:rPr>
        <w:t xml:space="preserve">is important in respect of the defences raised in the </w:t>
      </w:r>
      <w:r w:rsidR="00795F8A">
        <w:rPr>
          <w:rFonts w:ascii="Arial" w:hAnsi="Arial" w:cs="Arial"/>
          <w:sz w:val="24"/>
          <w:szCs w:val="24"/>
        </w:rPr>
        <w:t>defendant</w:t>
      </w:r>
      <w:r w:rsidR="00F43C72">
        <w:rPr>
          <w:rFonts w:ascii="Arial" w:hAnsi="Arial" w:cs="Arial"/>
          <w:sz w:val="24"/>
          <w:szCs w:val="24"/>
        </w:rPr>
        <w:t>’</w:t>
      </w:r>
      <w:r w:rsidR="00795F8A">
        <w:rPr>
          <w:rFonts w:ascii="Arial" w:hAnsi="Arial" w:cs="Arial"/>
          <w:sz w:val="24"/>
          <w:szCs w:val="24"/>
        </w:rPr>
        <w:t>s</w:t>
      </w:r>
      <w:r w:rsidR="00BE1566">
        <w:rPr>
          <w:rFonts w:ascii="Arial" w:hAnsi="Arial" w:cs="Arial"/>
          <w:sz w:val="24"/>
          <w:szCs w:val="24"/>
        </w:rPr>
        <w:t xml:space="preserve"> plea. In this respect, </w:t>
      </w:r>
      <w:r w:rsidR="00553804">
        <w:rPr>
          <w:rFonts w:ascii="Arial" w:hAnsi="Arial" w:cs="Arial"/>
          <w:sz w:val="24"/>
          <w:szCs w:val="24"/>
        </w:rPr>
        <w:t xml:space="preserve">plaintiff </w:t>
      </w:r>
      <w:r w:rsidR="00BE1566">
        <w:rPr>
          <w:rFonts w:ascii="Arial" w:hAnsi="Arial" w:cs="Arial"/>
          <w:sz w:val="24"/>
          <w:szCs w:val="24"/>
        </w:rPr>
        <w:t xml:space="preserve">is entitled to bring an application for summary judgment on the basis that a breach occurred at the instance of the </w:t>
      </w:r>
      <w:r w:rsidR="00553804">
        <w:rPr>
          <w:rFonts w:ascii="Arial" w:hAnsi="Arial" w:cs="Arial"/>
          <w:sz w:val="24"/>
          <w:szCs w:val="24"/>
        </w:rPr>
        <w:t>d</w:t>
      </w:r>
      <w:r w:rsidR="00795F8A">
        <w:rPr>
          <w:rFonts w:ascii="Arial" w:hAnsi="Arial" w:cs="Arial"/>
          <w:sz w:val="24"/>
          <w:szCs w:val="24"/>
        </w:rPr>
        <w:t>e</w:t>
      </w:r>
      <w:r w:rsidR="00553804">
        <w:rPr>
          <w:rFonts w:ascii="Arial" w:hAnsi="Arial" w:cs="Arial"/>
          <w:sz w:val="24"/>
          <w:szCs w:val="24"/>
        </w:rPr>
        <w:t>fendants</w:t>
      </w:r>
      <w:r w:rsidR="00003924">
        <w:rPr>
          <w:rFonts w:ascii="Arial" w:hAnsi="Arial" w:cs="Arial"/>
          <w:sz w:val="24"/>
          <w:szCs w:val="24"/>
        </w:rPr>
        <w:t xml:space="preserve">, as </w:t>
      </w:r>
      <w:r w:rsidR="00BE1566">
        <w:rPr>
          <w:rFonts w:ascii="Arial" w:hAnsi="Arial" w:cs="Arial"/>
          <w:sz w:val="24"/>
          <w:szCs w:val="24"/>
        </w:rPr>
        <w:t xml:space="preserve">Annexure “RET6” </w:t>
      </w:r>
      <w:r w:rsidR="00BE1566" w:rsidRPr="002E4BE1">
        <w:rPr>
          <w:rFonts w:ascii="Arial" w:hAnsi="Arial" w:cs="Arial"/>
          <w:sz w:val="24"/>
          <w:szCs w:val="24"/>
        </w:rPr>
        <w:t>advise</w:t>
      </w:r>
      <w:r w:rsidR="00003924" w:rsidRPr="002E4BE1">
        <w:rPr>
          <w:rFonts w:ascii="Arial" w:hAnsi="Arial" w:cs="Arial"/>
          <w:sz w:val="24"/>
          <w:szCs w:val="24"/>
        </w:rPr>
        <w:t>d the</w:t>
      </w:r>
      <w:r w:rsidR="00BE1566" w:rsidRPr="002E4BE1">
        <w:rPr>
          <w:rFonts w:ascii="Arial" w:hAnsi="Arial" w:cs="Arial"/>
          <w:sz w:val="24"/>
          <w:szCs w:val="24"/>
        </w:rPr>
        <w:t xml:space="preserve"> 1</w:t>
      </w:r>
      <w:r w:rsidR="00BE1566" w:rsidRPr="002E4BE1">
        <w:rPr>
          <w:rFonts w:ascii="Arial" w:hAnsi="Arial" w:cs="Arial"/>
          <w:sz w:val="24"/>
          <w:szCs w:val="24"/>
          <w:vertAlign w:val="superscript"/>
        </w:rPr>
        <w:t>st</w:t>
      </w:r>
      <w:r w:rsidR="00553804" w:rsidRPr="002E4BE1">
        <w:rPr>
          <w:rFonts w:ascii="Arial" w:hAnsi="Arial" w:cs="Arial"/>
          <w:sz w:val="24"/>
          <w:szCs w:val="24"/>
        </w:rPr>
        <w:t xml:space="preserve"> defendant</w:t>
      </w:r>
      <w:r w:rsidR="00BE1566" w:rsidRPr="002E4BE1">
        <w:rPr>
          <w:rFonts w:ascii="Arial" w:hAnsi="Arial" w:cs="Arial"/>
          <w:sz w:val="24"/>
          <w:szCs w:val="24"/>
        </w:rPr>
        <w:t xml:space="preserve"> that </w:t>
      </w:r>
      <w:r w:rsidR="00255E40" w:rsidRPr="002E4BE1">
        <w:rPr>
          <w:rFonts w:ascii="Arial" w:hAnsi="Arial" w:cs="Arial"/>
          <w:sz w:val="24"/>
          <w:szCs w:val="24"/>
        </w:rPr>
        <w:t xml:space="preserve">it is in breach of its facilities agreement(s) with the </w:t>
      </w:r>
      <w:r w:rsidR="00795F8A" w:rsidRPr="002E4BE1">
        <w:rPr>
          <w:rFonts w:ascii="Arial" w:hAnsi="Arial" w:cs="Arial"/>
          <w:sz w:val="24"/>
          <w:szCs w:val="24"/>
        </w:rPr>
        <w:t>Bank</w:t>
      </w:r>
      <w:r w:rsidR="00255E40" w:rsidRPr="002E4BE1">
        <w:rPr>
          <w:rFonts w:ascii="Arial" w:hAnsi="Arial" w:cs="Arial"/>
          <w:sz w:val="24"/>
          <w:szCs w:val="24"/>
        </w:rPr>
        <w:t xml:space="preserve"> and committed one or more of the following events of default:</w:t>
      </w:r>
    </w:p>
    <w:p w:rsidR="00255E40" w:rsidRPr="002E4BE1" w:rsidRDefault="00255E40" w:rsidP="00DA3DD5">
      <w:pPr>
        <w:spacing w:line="360" w:lineRule="auto"/>
        <w:ind w:left="1440"/>
        <w:jc w:val="both"/>
        <w:rPr>
          <w:rFonts w:ascii="Arial" w:hAnsi="Arial" w:cs="Arial"/>
          <w:u w:val="single"/>
        </w:rPr>
      </w:pPr>
      <w:r w:rsidRPr="002E4BE1">
        <w:rPr>
          <w:rFonts w:ascii="Arial" w:hAnsi="Arial" w:cs="Arial"/>
          <w:u w:val="single"/>
        </w:rPr>
        <w:t xml:space="preserve">“You failed to submit annual financial statements, </w:t>
      </w:r>
      <w:r w:rsidR="00795F8A" w:rsidRPr="002E4BE1">
        <w:rPr>
          <w:rFonts w:ascii="Arial" w:hAnsi="Arial" w:cs="Arial"/>
          <w:u w:val="single"/>
        </w:rPr>
        <w:t>management</w:t>
      </w:r>
      <w:r w:rsidRPr="002E4BE1">
        <w:rPr>
          <w:rFonts w:ascii="Arial" w:hAnsi="Arial" w:cs="Arial"/>
          <w:u w:val="single"/>
        </w:rPr>
        <w:t xml:space="preserve"> accounts and debtors </w:t>
      </w:r>
      <w:r w:rsidR="00C854E0" w:rsidRPr="002E4BE1">
        <w:rPr>
          <w:rFonts w:ascii="Arial" w:hAnsi="Arial" w:cs="Arial"/>
          <w:u w:val="single"/>
        </w:rPr>
        <w:t>list,</w:t>
      </w:r>
    </w:p>
    <w:p w:rsidR="00255E40" w:rsidRPr="002E4BE1" w:rsidRDefault="00255E40" w:rsidP="00DA3DD5">
      <w:pPr>
        <w:spacing w:line="360" w:lineRule="auto"/>
        <w:ind w:left="1440"/>
        <w:jc w:val="both"/>
        <w:rPr>
          <w:rFonts w:ascii="Arial" w:hAnsi="Arial" w:cs="Arial"/>
        </w:rPr>
      </w:pPr>
      <w:r w:rsidRPr="002E4BE1">
        <w:rPr>
          <w:rFonts w:ascii="Arial" w:hAnsi="Arial" w:cs="Arial"/>
        </w:rPr>
        <w:t xml:space="preserve">You failed to remedy same within the time period previously stipulated, if </w:t>
      </w:r>
      <w:r w:rsidR="00C854E0" w:rsidRPr="002E4BE1">
        <w:rPr>
          <w:rFonts w:ascii="Arial" w:hAnsi="Arial" w:cs="Arial"/>
        </w:rPr>
        <w:t>any…</w:t>
      </w:r>
      <w:r w:rsidRPr="002E4BE1">
        <w:rPr>
          <w:rFonts w:ascii="Arial" w:hAnsi="Arial" w:cs="Arial"/>
        </w:rPr>
        <w:t xml:space="preserve">We hereby notify you that </w:t>
      </w:r>
      <w:r w:rsidRPr="002E4BE1">
        <w:rPr>
          <w:rFonts w:ascii="Arial" w:hAnsi="Arial" w:cs="Arial"/>
          <w:u w:val="single"/>
        </w:rPr>
        <w:t xml:space="preserve">we intend taking the following </w:t>
      </w:r>
      <w:r w:rsidR="00795F8A" w:rsidRPr="002E4BE1">
        <w:rPr>
          <w:rFonts w:ascii="Arial" w:hAnsi="Arial" w:cs="Arial"/>
          <w:u w:val="single"/>
        </w:rPr>
        <w:t>action: -</w:t>
      </w:r>
      <w:r w:rsidRPr="002E4BE1">
        <w:rPr>
          <w:rFonts w:ascii="Arial" w:hAnsi="Arial" w:cs="Arial"/>
          <w:u w:val="single"/>
        </w:rPr>
        <w:t xml:space="preserve"> Suspend the availability of your facilities</w:t>
      </w:r>
      <w:r w:rsidRPr="002E4BE1">
        <w:rPr>
          <w:rFonts w:ascii="Arial" w:hAnsi="Arial" w:cs="Arial"/>
        </w:rPr>
        <w:t xml:space="preserve"> for a review of the current position should you fail to submit the annual financial statements, management accounts and debtors by 5 February 2021.</w:t>
      </w:r>
      <w:r w:rsidR="00DA3DD5" w:rsidRPr="002E4BE1">
        <w:rPr>
          <w:rFonts w:ascii="Arial" w:hAnsi="Arial" w:cs="Arial"/>
        </w:rPr>
        <w:t>”</w:t>
      </w:r>
    </w:p>
    <w:p w:rsidR="00274D0F" w:rsidRDefault="00DA3DD5" w:rsidP="00003924">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13</w:t>
      </w:r>
      <w:r>
        <w:rPr>
          <w:rFonts w:ascii="Arial" w:hAnsi="Arial" w:cs="Arial"/>
          <w:sz w:val="24"/>
          <w:szCs w:val="24"/>
        </w:rPr>
        <w:t>]</w:t>
      </w:r>
      <w:r>
        <w:rPr>
          <w:rFonts w:ascii="Arial" w:hAnsi="Arial" w:cs="Arial"/>
          <w:sz w:val="24"/>
          <w:szCs w:val="24"/>
        </w:rPr>
        <w:tab/>
      </w:r>
      <w:r w:rsidR="00274D0F">
        <w:rPr>
          <w:rFonts w:ascii="Arial" w:hAnsi="Arial" w:cs="Arial"/>
          <w:sz w:val="24"/>
          <w:szCs w:val="24"/>
        </w:rPr>
        <w:t xml:space="preserve">The </w:t>
      </w:r>
      <w:r w:rsidR="00553804">
        <w:rPr>
          <w:rFonts w:ascii="Arial" w:hAnsi="Arial" w:cs="Arial"/>
          <w:sz w:val="24"/>
          <w:szCs w:val="24"/>
        </w:rPr>
        <w:t>plaintiff</w:t>
      </w:r>
      <w:r w:rsidR="00274D0F">
        <w:rPr>
          <w:rFonts w:ascii="Arial" w:hAnsi="Arial" w:cs="Arial"/>
          <w:sz w:val="24"/>
          <w:szCs w:val="24"/>
        </w:rPr>
        <w:t xml:space="preserve"> maintains that </w:t>
      </w:r>
      <w:r w:rsidR="00003924">
        <w:rPr>
          <w:rFonts w:ascii="Arial" w:hAnsi="Arial" w:cs="Arial"/>
          <w:sz w:val="24"/>
          <w:szCs w:val="24"/>
          <w:u w:val="single"/>
        </w:rPr>
        <w:t xml:space="preserve">it </w:t>
      </w:r>
      <w:r w:rsidR="00003924" w:rsidRPr="00C854E0">
        <w:rPr>
          <w:rFonts w:ascii="Arial" w:hAnsi="Arial" w:cs="Arial"/>
          <w:sz w:val="24"/>
          <w:szCs w:val="24"/>
          <w:u w:val="single"/>
        </w:rPr>
        <w:t>is necessitated to attach Annexure “RET6” to its founding affidavit to show that the defenc</w:t>
      </w:r>
      <w:r w:rsidR="00003924">
        <w:rPr>
          <w:rFonts w:ascii="Arial" w:hAnsi="Arial" w:cs="Arial"/>
          <w:sz w:val="24"/>
          <w:szCs w:val="24"/>
          <w:u w:val="single"/>
        </w:rPr>
        <w:t>es raised are</w:t>
      </w:r>
      <w:r w:rsidR="00003924" w:rsidRPr="00C854E0">
        <w:rPr>
          <w:rFonts w:ascii="Arial" w:hAnsi="Arial" w:cs="Arial"/>
          <w:sz w:val="24"/>
          <w:szCs w:val="24"/>
          <w:u w:val="single"/>
        </w:rPr>
        <w:t xml:space="preserve"> not triable</w:t>
      </w:r>
      <w:r w:rsidR="00003924">
        <w:rPr>
          <w:rFonts w:ascii="Arial" w:hAnsi="Arial" w:cs="Arial"/>
          <w:sz w:val="24"/>
          <w:szCs w:val="24"/>
        </w:rPr>
        <w:t xml:space="preserve">. </w:t>
      </w:r>
    </w:p>
    <w:p w:rsidR="002530AD" w:rsidRDefault="00274D0F" w:rsidP="00CE13D2">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14</w:t>
      </w:r>
      <w:r>
        <w:rPr>
          <w:rFonts w:ascii="Arial" w:hAnsi="Arial" w:cs="Arial"/>
          <w:sz w:val="24"/>
          <w:szCs w:val="24"/>
        </w:rPr>
        <w:t>]</w:t>
      </w:r>
      <w:r>
        <w:rPr>
          <w:rFonts w:ascii="Arial" w:hAnsi="Arial" w:cs="Arial"/>
          <w:sz w:val="24"/>
          <w:szCs w:val="24"/>
        </w:rPr>
        <w:tab/>
        <w:t xml:space="preserve">In opposing this argument, counsel for the </w:t>
      </w:r>
      <w:r w:rsidR="00C854E0">
        <w:rPr>
          <w:rFonts w:ascii="Arial" w:hAnsi="Arial" w:cs="Arial"/>
          <w:sz w:val="24"/>
          <w:szCs w:val="24"/>
        </w:rPr>
        <w:t>defendants</w:t>
      </w:r>
      <w:r>
        <w:rPr>
          <w:rFonts w:ascii="Arial" w:hAnsi="Arial" w:cs="Arial"/>
          <w:sz w:val="24"/>
          <w:szCs w:val="24"/>
        </w:rPr>
        <w:t xml:space="preserve"> </w:t>
      </w:r>
      <w:r w:rsidR="00281CBF">
        <w:rPr>
          <w:rFonts w:ascii="Arial" w:hAnsi="Arial" w:cs="Arial"/>
          <w:sz w:val="24"/>
          <w:szCs w:val="24"/>
        </w:rPr>
        <w:t>submits</w:t>
      </w:r>
      <w:r w:rsidR="00985A02">
        <w:rPr>
          <w:rStyle w:val="FootnoteReference"/>
          <w:rFonts w:ascii="Arial" w:hAnsi="Arial" w:cs="Arial"/>
          <w:sz w:val="24"/>
          <w:szCs w:val="24"/>
        </w:rPr>
        <w:footnoteReference w:id="12"/>
      </w:r>
      <w:r w:rsidR="00281CBF">
        <w:rPr>
          <w:rFonts w:ascii="Arial" w:hAnsi="Arial" w:cs="Arial"/>
          <w:sz w:val="24"/>
          <w:szCs w:val="24"/>
        </w:rPr>
        <w:t xml:space="preserve"> that apart from the fact that it is not evident that Annexure “RET6” was received by the </w:t>
      </w:r>
      <w:r w:rsidR="00985A02">
        <w:rPr>
          <w:rFonts w:ascii="Arial" w:hAnsi="Arial" w:cs="Arial"/>
          <w:sz w:val="24"/>
          <w:szCs w:val="24"/>
        </w:rPr>
        <w:t>defendants</w:t>
      </w:r>
      <w:r w:rsidR="00281CBF">
        <w:rPr>
          <w:rFonts w:ascii="Arial" w:hAnsi="Arial" w:cs="Arial"/>
          <w:sz w:val="24"/>
          <w:szCs w:val="24"/>
        </w:rPr>
        <w:t xml:space="preserve">, </w:t>
      </w:r>
      <w:r w:rsidR="00553804">
        <w:rPr>
          <w:rFonts w:ascii="Arial" w:hAnsi="Arial" w:cs="Arial"/>
          <w:sz w:val="24"/>
          <w:szCs w:val="24"/>
        </w:rPr>
        <w:t>p</w:t>
      </w:r>
      <w:r w:rsidR="00281CBF">
        <w:rPr>
          <w:rFonts w:ascii="Arial" w:hAnsi="Arial" w:cs="Arial"/>
          <w:sz w:val="24"/>
          <w:szCs w:val="24"/>
        </w:rPr>
        <w:t>laintiff is not entitled to rely on a</w:t>
      </w:r>
      <w:r w:rsidR="00985A02">
        <w:rPr>
          <w:rFonts w:ascii="Arial" w:hAnsi="Arial" w:cs="Arial"/>
          <w:sz w:val="24"/>
          <w:szCs w:val="24"/>
        </w:rPr>
        <w:t xml:space="preserve"> </w:t>
      </w:r>
      <w:r w:rsidR="00281CBF">
        <w:rPr>
          <w:rFonts w:ascii="Arial" w:hAnsi="Arial" w:cs="Arial"/>
          <w:sz w:val="24"/>
          <w:szCs w:val="24"/>
        </w:rPr>
        <w:t xml:space="preserve">breach of the </w:t>
      </w:r>
      <w:r w:rsidR="00B44904">
        <w:rPr>
          <w:rFonts w:ascii="Arial" w:hAnsi="Arial" w:cs="Arial"/>
          <w:sz w:val="24"/>
          <w:szCs w:val="24"/>
        </w:rPr>
        <w:t>O</w:t>
      </w:r>
      <w:r w:rsidR="00281CBF">
        <w:rPr>
          <w:rFonts w:ascii="Arial" w:hAnsi="Arial" w:cs="Arial"/>
          <w:sz w:val="24"/>
          <w:szCs w:val="24"/>
        </w:rPr>
        <w:t xml:space="preserve">verdraft, that it did not plead. This is so since it is </w:t>
      </w:r>
      <w:r w:rsidR="002530AD">
        <w:rPr>
          <w:rFonts w:ascii="Arial" w:hAnsi="Arial" w:cs="Arial"/>
          <w:sz w:val="24"/>
          <w:szCs w:val="24"/>
        </w:rPr>
        <w:t>plaintiff’s</w:t>
      </w:r>
      <w:r w:rsidR="00281CBF">
        <w:rPr>
          <w:rFonts w:ascii="Arial" w:hAnsi="Arial" w:cs="Arial"/>
          <w:sz w:val="24"/>
          <w:szCs w:val="24"/>
        </w:rPr>
        <w:t xml:space="preserve"> </w:t>
      </w:r>
      <w:r w:rsidR="00281CBF" w:rsidRPr="00C854E0">
        <w:rPr>
          <w:rFonts w:ascii="Arial" w:hAnsi="Arial" w:cs="Arial"/>
          <w:sz w:val="24"/>
          <w:szCs w:val="24"/>
          <w:u w:val="single"/>
        </w:rPr>
        <w:t>pleaded ca</w:t>
      </w:r>
      <w:r w:rsidR="00985A02" w:rsidRPr="00C854E0">
        <w:rPr>
          <w:rFonts w:ascii="Arial" w:hAnsi="Arial" w:cs="Arial"/>
          <w:sz w:val="24"/>
          <w:szCs w:val="24"/>
          <w:u w:val="single"/>
        </w:rPr>
        <w:t>s</w:t>
      </w:r>
      <w:r w:rsidR="00281CBF" w:rsidRPr="00C854E0">
        <w:rPr>
          <w:rFonts w:ascii="Arial" w:hAnsi="Arial" w:cs="Arial"/>
          <w:sz w:val="24"/>
          <w:szCs w:val="24"/>
          <w:u w:val="single"/>
        </w:rPr>
        <w:t>e</w:t>
      </w:r>
      <w:r w:rsidR="00003924">
        <w:rPr>
          <w:rFonts w:ascii="Arial" w:hAnsi="Arial" w:cs="Arial"/>
          <w:sz w:val="24"/>
          <w:szCs w:val="24"/>
          <w:u w:val="single"/>
        </w:rPr>
        <w:t>,</w:t>
      </w:r>
      <w:r w:rsidR="00281CBF" w:rsidRPr="00C854E0">
        <w:rPr>
          <w:rFonts w:ascii="Arial" w:hAnsi="Arial" w:cs="Arial"/>
          <w:sz w:val="24"/>
          <w:szCs w:val="24"/>
          <w:u w:val="single"/>
        </w:rPr>
        <w:t xml:space="preserve"> that the </w:t>
      </w:r>
      <w:r w:rsidR="00985A02" w:rsidRPr="00C854E0">
        <w:rPr>
          <w:rFonts w:ascii="Arial" w:hAnsi="Arial" w:cs="Arial"/>
          <w:sz w:val="24"/>
          <w:szCs w:val="24"/>
          <w:u w:val="single"/>
        </w:rPr>
        <w:t>defendants</w:t>
      </w:r>
      <w:r w:rsidR="00281CBF" w:rsidRPr="00C854E0">
        <w:rPr>
          <w:rFonts w:ascii="Arial" w:hAnsi="Arial" w:cs="Arial"/>
          <w:sz w:val="24"/>
          <w:szCs w:val="24"/>
          <w:u w:val="single"/>
        </w:rPr>
        <w:t xml:space="preserve"> </w:t>
      </w:r>
      <w:r w:rsidR="00985A02" w:rsidRPr="00C854E0">
        <w:rPr>
          <w:rFonts w:ascii="Arial" w:hAnsi="Arial" w:cs="Arial"/>
          <w:sz w:val="24"/>
          <w:szCs w:val="24"/>
          <w:u w:val="single"/>
        </w:rPr>
        <w:t>are called upon to meet</w:t>
      </w:r>
      <w:r w:rsidR="00985A02">
        <w:rPr>
          <w:rFonts w:ascii="Arial" w:hAnsi="Arial" w:cs="Arial"/>
          <w:sz w:val="24"/>
          <w:szCs w:val="24"/>
        </w:rPr>
        <w:t xml:space="preserve">. In this regard </w:t>
      </w:r>
      <w:r w:rsidR="00C854E0">
        <w:rPr>
          <w:rFonts w:ascii="Arial" w:hAnsi="Arial" w:cs="Arial"/>
          <w:sz w:val="24"/>
          <w:szCs w:val="24"/>
        </w:rPr>
        <w:t>plaintiff</w:t>
      </w:r>
      <w:r w:rsidR="00985A02">
        <w:rPr>
          <w:rFonts w:ascii="Arial" w:hAnsi="Arial" w:cs="Arial"/>
          <w:sz w:val="24"/>
          <w:szCs w:val="24"/>
        </w:rPr>
        <w:t xml:space="preserve"> carefully pleaded </w:t>
      </w:r>
      <w:r w:rsidR="00985A02" w:rsidRPr="00C854E0">
        <w:rPr>
          <w:rFonts w:ascii="Arial" w:hAnsi="Arial" w:cs="Arial"/>
          <w:sz w:val="24"/>
          <w:szCs w:val="24"/>
          <w:u w:val="single"/>
        </w:rPr>
        <w:t xml:space="preserve">the terms that might trigger the defendants breach of the </w:t>
      </w:r>
      <w:r w:rsidR="00B44904">
        <w:rPr>
          <w:rFonts w:ascii="Arial" w:hAnsi="Arial" w:cs="Arial"/>
          <w:sz w:val="24"/>
          <w:szCs w:val="24"/>
          <w:u w:val="single"/>
        </w:rPr>
        <w:t>O</w:t>
      </w:r>
      <w:r w:rsidR="00985A02" w:rsidRPr="00C854E0">
        <w:rPr>
          <w:rFonts w:ascii="Arial" w:hAnsi="Arial" w:cs="Arial"/>
          <w:sz w:val="24"/>
          <w:szCs w:val="24"/>
          <w:u w:val="single"/>
        </w:rPr>
        <w:t xml:space="preserve">verdraft in paragraph 13.8 of the particulars. </w:t>
      </w:r>
      <w:r w:rsidR="005C0B2C" w:rsidRPr="00C854E0">
        <w:rPr>
          <w:rFonts w:ascii="Arial" w:hAnsi="Arial" w:cs="Arial"/>
          <w:sz w:val="24"/>
          <w:szCs w:val="24"/>
          <w:u w:val="single"/>
        </w:rPr>
        <w:t>Further</w:t>
      </w:r>
      <w:r w:rsidR="00B44904">
        <w:rPr>
          <w:rFonts w:ascii="Arial" w:hAnsi="Arial" w:cs="Arial"/>
          <w:sz w:val="24"/>
          <w:szCs w:val="24"/>
          <w:u w:val="single"/>
        </w:rPr>
        <w:t>,</w:t>
      </w:r>
      <w:r w:rsidR="005C0B2C" w:rsidRPr="00C854E0">
        <w:rPr>
          <w:rFonts w:ascii="Arial" w:hAnsi="Arial" w:cs="Arial"/>
          <w:sz w:val="24"/>
          <w:szCs w:val="24"/>
          <w:u w:val="single"/>
        </w:rPr>
        <w:t xml:space="preserve"> that significantly, the failure to submit financial documents </w:t>
      </w:r>
      <w:r w:rsidR="0004787A" w:rsidRPr="00C854E0">
        <w:rPr>
          <w:rFonts w:ascii="Arial" w:hAnsi="Arial" w:cs="Arial"/>
          <w:sz w:val="24"/>
          <w:szCs w:val="24"/>
          <w:u w:val="single"/>
        </w:rPr>
        <w:t>is not</w:t>
      </w:r>
      <w:r w:rsidR="005C0B2C" w:rsidRPr="00C854E0">
        <w:rPr>
          <w:rFonts w:ascii="Arial" w:hAnsi="Arial" w:cs="Arial"/>
          <w:sz w:val="24"/>
          <w:szCs w:val="24"/>
          <w:u w:val="single"/>
        </w:rPr>
        <w:t xml:space="preserve"> </w:t>
      </w:r>
      <w:r w:rsidR="0004787A" w:rsidRPr="00C854E0">
        <w:rPr>
          <w:rFonts w:ascii="Arial" w:hAnsi="Arial" w:cs="Arial"/>
          <w:sz w:val="24"/>
          <w:szCs w:val="24"/>
          <w:u w:val="single"/>
        </w:rPr>
        <w:t>among</w:t>
      </w:r>
      <w:r w:rsidR="005C0B2C" w:rsidRPr="00C854E0">
        <w:rPr>
          <w:rFonts w:ascii="Arial" w:hAnsi="Arial" w:cs="Arial"/>
          <w:sz w:val="24"/>
          <w:szCs w:val="24"/>
          <w:u w:val="single"/>
        </w:rPr>
        <w:t xml:space="preserve"> the breaches pleaded by </w:t>
      </w:r>
      <w:r w:rsidR="002530AD" w:rsidRPr="00C854E0">
        <w:rPr>
          <w:rFonts w:ascii="Arial" w:hAnsi="Arial" w:cs="Arial"/>
          <w:sz w:val="24"/>
          <w:szCs w:val="24"/>
          <w:u w:val="single"/>
        </w:rPr>
        <w:t>plaintiff</w:t>
      </w:r>
      <w:r w:rsidR="005C0B2C">
        <w:rPr>
          <w:rFonts w:ascii="Arial" w:hAnsi="Arial" w:cs="Arial"/>
          <w:sz w:val="24"/>
          <w:szCs w:val="24"/>
        </w:rPr>
        <w:t xml:space="preserve">. That fact is especially pertinent, since the </w:t>
      </w:r>
      <w:r w:rsidR="0004787A">
        <w:rPr>
          <w:rFonts w:ascii="Arial" w:hAnsi="Arial" w:cs="Arial"/>
          <w:sz w:val="24"/>
          <w:szCs w:val="24"/>
        </w:rPr>
        <w:t>defendants</w:t>
      </w:r>
      <w:r w:rsidR="005C0B2C">
        <w:rPr>
          <w:rFonts w:ascii="Arial" w:hAnsi="Arial" w:cs="Arial"/>
          <w:sz w:val="24"/>
          <w:szCs w:val="24"/>
        </w:rPr>
        <w:t xml:space="preserve"> formally </w:t>
      </w:r>
      <w:r w:rsidR="0004787A">
        <w:rPr>
          <w:rFonts w:ascii="Arial" w:hAnsi="Arial" w:cs="Arial"/>
          <w:sz w:val="24"/>
          <w:szCs w:val="24"/>
        </w:rPr>
        <w:t>complained</w:t>
      </w:r>
      <w:r w:rsidR="005C0B2C">
        <w:rPr>
          <w:rFonts w:ascii="Arial" w:hAnsi="Arial" w:cs="Arial"/>
          <w:sz w:val="24"/>
          <w:szCs w:val="24"/>
        </w:rPr>
        <w:t xml:space="preserve"> that </w:t>
      </w:r>
      <w:r w:rsidR="002530AD">
        <w:rPr>
          <w:rFonts w:ascii="Arial" w:hAnsi="Arial" w:cs="Arial"/>
          <w:sz w:val="24"/>
          <w:szCs w:val="24"/>
        </w:rPr>
        <w:t>plaintiff</w:t>
      </w:r>
      <w:r w:rsidR="005C0B2C">
        <w:rPr>
          <w:rFonts w:ascii="Arial" w:hAnsi="Arial" w:cs="Arial"/>
          <w:sz w:val="24"/>
          <w:szCs w:val="24"/>
        </w:rPr>
        <w:t xml:space="preserve"> had originally framed the </w:t>
      </w:r>
      <w:r w:rsidR="00F43C72">
        <w:rPr>
          <w:rFonts w:ascii="Arial" w:hAnsi="Arial" w:cs="Arial"/>
          <w:sz w:val="24"/>
          <w:szCs w:val="24"/>
        </w:rPr>
        <w:t>defendant’s</w:t>
      </w:r>
      <w:r w:rsidR="005C0B2C">
        <w:rPr>
          <w:rFonts w:ascii="Arial" w:hAnsi="Arial" w:cs="Arial"/>
          <w:sz w:val="24"/>
          <w:szCs w:val="24"/>
        </w:rPr>
        <w:t xml:space="preserve"> </w:t>
      </w:r>
      <w:r w:rsidR="0004787A">
        <w:rPr>
          <w:rFonts w:ascii="Arial" w:hAnsi="Arial" w:cs="Arial"/>
          <w:sz w:val="24"/>
          <w:szCs w:val="24"/>
        </w:rPr>
        <w:t>liability</w:t>
      </w:r>
      <w:r w:rsidR="005C0B2C">
        <w:rPr>
          <w:rFonts w:ascii="Arial" w:hAnsi="Arial" w:cs="Arial"/>
          <w:sz w:val="24"/>
          <w:szCs w:val="24"/>
        </w:rPr>
        <w:t xml:space="preserve"> in unreasonably vague term</w:t>
      </w:r>
      <w:r w:rsidR="002530AD">
        <w:rPr>
          <w:rFonts w:ascii="Arial" w:hAnsi="Arial" w:cs="Arial"/>
          <w:sz w:val="24"/>
          <w:szCs w:val="24"/>
        </w:rPr>
        <w:t>s</w:t>
      </w:r>
      <w:r w:rsidR="005C0B2C">
        <w:rPr>
          <w:rFonts w:ascii="Arial" w:hAnsi="Arial" w:cs="Arial"/>
          <w:sz w:val="24"/>
          <w:szCs w:val="24"/>
        </w:rPr>
        <w:t xml:space="preserve">. </w:t>
      </w:r>
      <w:r w:rsidR="002530AD">
        <w:rPr>
          <w:rFonts w:ascii="Arial" w:hAnsi="Arial" w:cs="Arial"/>
          <w:sz w:val="24"/>
          <w:szCs w:val="24"/>
        </w:rPr>
        <w:t>Plaintiff</w:t>
      </w:r>
      <w:r w:rsidR="005C0B2C">
        <w:rPr>
          <w:rFonts w:ascii="Arial" w:hAnsi="Arial" w:cs="Arial"/>
          <w:sz w:val="24"/>
          <w:szCs w:val="24"/>
        </w:rPr>
        <w:t xml:space="preserve"> </w:t>
      </w:r>
      <w:r w:rsidR="00716F12">
        <w:rPr>
          <w:rFonts w:ascii="Arial" w:hAnsi="Arial" w:cs="Arial"/>
          <w:sz w:val="24"/>
          <w:szCs w:val="24"/>
        </w:rPr>
        <w:t xml:space="preserve">capitulated in that complaint </w:t>
      </w:r>
      <w:r w:rsidR="005C0B2C">
        <w:rPr>
          <w:rFonts w:ascii="Arial" w:hAnsi="Arial" w:cs="Arial"/>
          <w:sz w:val="24"/>
          <w:szCs w:val="24"/>
        </w:rPr>
        <w:t>and delivered an amended set of particulars</w:t>
      </w:r>
      <w:r w:rsidR="005C0B2C">
        <w:rPr>
          <w:rStyle w:val="FootnoteReference"/>
          <w:rFonts w:ascii="Arial" w:hAnsi="Arial" w:cs="Arial"/>
          <w:sz w:val="24"/>
          <w:szCs w:val="24"/>
        </w:rPr>
        <w:footnoteReference w:id="13"/>
      </w:r>
      <w:r w:rsidR="005C0B2C">
        <w:rPr>
          <w:rFonts w:ascii="Arial" w:hAnsi="Arial" w:cs="Arial"/>
          <w:sz w:val="24"/>
          <w:szCs w:val="24"/>
        </w:rPr>
        <w:t xml:space="preserve"> </w:t>
      </w:r>
      <w:r w:rsidR="002530AD">
        <w:rPr>
          <w:rFonts w:ascii="Arial" w:hAnsi="Arial" w:cs="Arial"/>
          <w:sz w:val="24"/>
          <w:szCs w:val="24"/>
        </w:rPr>
        <w:t>to give sufficient specificity in respect of the defendants alleged breach, and the breach in terms of Annexure “RET6” at no stage formed part of plaintiff’s pleaded case</w:t>
      </w:r>
      <w:r w:rsidR="00171131">
        <w:rPr>
          <w:rFonts w:ascii="Arial" w:hAnsi="Arial" w:cs="Arial"/>
          <w:sz w:val="24"/>
          <w:szCs w:val="24"/>
        </w:rPr>
        <w:t xml:space="preserve"> (even in its amended form)</w:t>
      </w:r>
      <w:r w:rsidR="002530AD">
        <w:rPr>
          <w:rFonts w:ascii="Arial" w:hAnsi="Arial" w:cs="Arial"/>
          <w:sz w:val="24"/>
          <w:szCs w:val="24"/>
        </w:rPr>
        <w:t xml:space="preserve">. </w:t>
      </w:r>
    </w:p>
    <w:p w:rsidR="00CE13D2" w:rsidRDefault="002530AD" w:rsidP="002530AD">
      <w:pPr>
        <w:spacing w:line="360" w:lineRule="auto"/>
        <w:ind w:left="720" w:hanging="720"/>
        <w:jc w:val="both"/>
        <w:rPr>
          <w:rFonts w:ascii="Arial" w:hAnsi="Arial" w:cs="Arial"/>
          <w:sz w:val="24"/>
          <w:szCs w:val="24"/>
        </w:rPr>
      </w:pPr>
      <w:r>
        <w:rPr>
          <w:rFonts w:ascii="Arial" w:hAnsi="Arial" w:cs="Arial"/>
          <w:sz w:val="24"/>
          <w:szCs w:val="24"/>
        </w:rPr>
        <w:lastRenderedPageBreak/>
        <w:t>[</w:t>
      </w:r>
      <w:r w:rsidR="001C264D">
        <w:rPr>
          <w:rFonts w:ascii="Arial" w:hAnsi="Arial" w:cs="Arial"/>
          <w:sz w:val="24"/>
          <w:szCs w:val="24"/>
        </w:rPr>
        <w:t>15</w:t>
      </w:r>
      <w:r w:rsidR="00CE13D2">
        <w:rPr>
          <w:rFonts w:ascii="Arial" w:hAnsi="Arial" w:cs="Arial"/>
          <w:sz w:val="24"/>
          <w:szCs w:val="24"/>
        </w:rPr>
        <w:t>]</w:t>
      </w:r>
      <w:r w:rsidR="00CE13D2">
        <w:rPr>
          <w:rFonts w:ascii="Arial" w:hAnsi="Arial" w:cs="Arial"/>
          <w:sz w:val="24"/>
          <w:szCs w:val="24"/>
        </w:rPr>
        <w:tab/>
      </w:r>
      <w:r>
        <w:rPr>
          <w:rFonts w:ascii="Arial" w:hAnsi="Arial" w:cs="Arial"/>
          <w:sz w:val="24"/>
          <w:szCs w:val="24"/>
        </w:rPr>
        <w:t xml:space="preserve">To this end, even when specifically requested by this court to show where the breach as alleged in terms of </w:t>
      </w:r>
      <w:r w:rsidR="00003924">
        <w:rPr>
          <w:rFonts w:ascii="Arial" w:hAnsi="Arial" w:cs="Arial"/>
          <w:sz w:val="24"/>
          <w:szCs w:val="24"/>
        </w:rPr>
        <w:t xml:space="preserve">Annexure </w:t>
      </w:r>
      <w:r>
        <w:rPr>
          <w:rFonts w:ascii="Arial" w:hAnsi="Arial" w:cs="Arial"/>
          <w:sz w:val="24"/>
          <w:szCs w:val="24"/>
        </w:rPr>
        <w:t xml:space="preserve">“RET6” was pleaded, counsel for plaintiff could not direct this court thereto. </w:t>
      </w:r>
    </w:p>
    <w:p w:rsidR="002530AD" w:rsidRDefault="002530AD" w:rsidP="002530AD">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16</w:t>
      </w:r>
      <w:r>
        <w:rPr>
          <w:rFonts w:ascii="Arial" w:hAnsi="Arial" w:cs="Arial"/>
          <w:sz w:val="24"/>
          <w:szCs w:val="24"/>
        </w:rPr>
        <w:t>]</w:t>
      </w:r>
      <w:r>
        <w:rPr>
          <w:rFonts w:ascii="Arial" w:hAnsi="Arial" w:cs="Arial"/>
          <w:sz w:val="24"/>
          <w:szCs w:val="24"/>
        </w:rPr>
        <w:tab/>
      </w:r>
      <w:r w:rsidR="00C861CA">
        <w:rPr>
          <w:rFonts w:ascii="Arial" w:hAnsi="Arial" w:cs="Arial"/>
          <w:sz w:val="24"/>
          <w:szCs w:val="24"/>
        </w:rPr>
        <w:t>C</w:t>
      </w:r>
      <w:r>
        <w:rPr>
          <w:rFonts w:ascii="Arial" w:hAnsi="Arial" w:cs="Arial"/>
          <w:sz w:val="24"/>
          <w:szCs w:val="24"/>
        </w:rPr>
        <w:t xml:space="preserve">ounsel for the defendants </w:t>
      </w:r>
      <w:r w:rsidR="00716F12">
        <w:rPr>
          <w:rFonts w:ascii="Arial" w:hAnsi="Arial" w:cs="Arial"/>
          <w:sz w:val="24"/>
          <w:szCs w:val="24"/>
        </w:rPr>
        <w:t>maintain</w:t>
      </w:r>
      <w:r>
        <w:rPr>
          <w:rFonts w:ascii="Arial" w:hAnsi="Arial" w:cs="Arial"/>
          <w:sz w:val="24"/>
          <w:szCs w:val="24"/>
        </w:rPr>
        <w:t xml:space="preserve"> that </w:t>
      </w:r>
      <w:r w:rsidR="00C861CA">
        <w:rPr>
          <w:rFonts w:ascii="Arial" w:hAnsi="Arial" w:cs="Arial"/>
          <w:sz w:val="24"/>
          <w:szCs w:val="24"/>
        </w:rPr>
        <w:t xml:space="preserve">the argument that </w:t>
      </w:r>
      <w:r w:rsidR="00003924">
        <w:rPr>
          <w:rFonts w:ascii="Arial" w:hAnsi="Arial" w:cs="Arial"/>
          <w:sz w:val="24"/>
          <w:szCs w:val="24"/>
        </w:rPr>
        <w:t xml:space="preserve">Annexure </w:t>
      </w:r>
      <w:r w:rsidR="00C861CA">
        <w:rPr>
          <w:rFonts w:ascii="Arial" w:hAnsi="Arial" w:cs="Arial"/>
          <w:sz w:val="24"/>
          <w:szCs w:val="24"/>
        </w:rPr>
        <w:t xml:space="preserve">“RET6” can be attached </w:t>
      </w:r>
      <w:r w:rsidR="00C861CA" w:rsidRPr="00716F12">
        <w:rPr>
          <w:rFonts w:ascii="Arial" w:hAnsi="Arial" w:cs="Arial"/>
          <w:sz w:val="24"/>
          <w:szCs w:val="24"/>
          <w:u w:val="single"/>
        </w:rPr>
        <w:t>either</w:t>
      </w:r>
      <w:r w:rsidR="00C861CA">
        <w:rPr>
          <w:rFonts w:ascii="Arial" w:hAnsi="Arial" w:cs="Arial"/>
          <w:sz w:val="24"/>
          <w:szCs w:val="24"/>
        </w:rPr>
        <w:t xml:space="preserve"> </w:t>
      </w:r>
      <w:r w:rsidR="00716F12">
        <w:rPr>
          <w:rFonts w:ascii="Arial" w:hAnsi="Arial" w:cs="Arial"/>
          <w:sz w:val="24"/>
          <w:szCs w:val="24"/>
        </w:rPr>
        <w:t xml:space="preserve">to </w:t>
      </w:r>
      <w:r w:rsidR="00C861CA">
        <w:rPr>
          <w:rFonts w:ascii="Arial" w:hAnsi="Arial" w:cs="Arial"/>
          <w:sz w:val="24"/>
          <w:szCs w:val="24"/>
        </w:rPr>
        <w:t>the summons or the founding affidavit</w:t>
      </w:r>
      <w:r w:rsidR="00C861CA">
        <w:rPr>
          <w:rStyle w:val="FootnoteReference"/>
          <w:rFonts w:ascii="Arial" w:hAnsi="Arial" w:cs="Arial"/>
          <w:sz w:val="24"/>
          <w:szCs w:val="24"/>
        </w:rPr>
        <w:footnoteReference w:id="14"/>
      </w:r>
      <w:r w:rsidR="00C861CA">
        <w:rPr>
          <w:rFonts w:ascii="Arial" w:hAnsi="Arial" w:cs="Arial"/>
          <w:sz w:val="24"/>
          <w:szCs w:val="24"/>
        </w:rPr>
        <w:t xml:space="preserve"> is without merit because </w:t>
      </w:r>
      <w:r w:rsidR="00C861CA" w:rsidRPr="00C861CA">
        <w:rPr>
          <w:rFonts w:ascii="Arial" w:hAnsi="Arial" w:cs="Arial"/>
          <w:sz w:val="24"/>
          <w:szCs w:val="24"/>
          <w:u w:val="single"/>
        </w:rPr>
        <w:t xml:space="preserve">subrule </w:t>
      </w:r>
      <w:r w:rsidRPr="00C861CA">
        <w:rPr>
          <w:rFonts w:ascii="Arial" w:hAnsi="Arial" w:cs="Arial"/>
          <w:sz w:val="24"/>
          <w:szCs w:val="24"/>
          <w:u w:val="single"/>
        </w:rPr>
        <w:t>(2)(a) must be read in conjunction with subrule (2)(b), in answering the question whether or not Annexure “RET6” is admissible</w:t>
      </w:r>
      <w:r>
        <w:rPr>
          <w:rFonts w:ascii="Arial" w:hAnsi="Arial" w:cs="Arial"/>
          <w:sz w:val="24"/>
          <w:szCs w:val="24"/>
        </w:rPr>
        <w:t>. Subrule (2)(b) defines what permissible evidence is</w:t>
      </w:r>
      <w:r w:rsidR="00F43C72">
        <w:rPr>
          <w:rFonts w:ascii="Arial" w:hAnsi="Arial" w:cs="Arial"/>
          <w:sz w:val="24"/>
          <w:szCs w:val="24"/>
        </w:rPr>
        <w:t>.</w:t>
      </w:r>
      <w:r w:rsidR="00C861CA">
        <w:rPr>
          <w:rStyle w:val="FootnoteReference"/>
          <w:rFonts w:ascii="Arial" w:hAnsi="Arial" w:cs="Arial"/>
          <w:sz w:val="24"/>
          <w:szCs w:val="24"/>
        </w:rPr>
        <w:footnoteReference w:id="15"/>
      </w:r>
    </w:p>
    <w:p w:rsidR="00854DE7" w:rsidRDefault="00854DE7" w:rsidP="002530AD">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17</w:t>
      </w:r>
      <w:r>
        <w:rPr>
          <w:rFonts w:ascii="Arial" w:hAnsi="Arial" w:cs="Arial"/>
          <w:sz w:val="24"/>
          <w:szCs w:val="24"/>
        </w:rPr>
        <w:t>]</w:t>
      </w:r>
      <w:r>
        <w:rPr>
          <w:rFonts w:ascii="Arial" w:hAnsi="Arial" w:cs="Arial"/>
          <w:sz w:val="24"/>
          <w:szCs w:val="24"/>
        </w:rPr>
        <w:tab/>
        <w:t>The defendants further maintain that, the breach as pleaded by plaintiff, is defendants</w:t>
      </w:r>
      <w:r w:rsidR="00F53E31">
        <w:rPr>
          <w:rFonts w:ascii="Arial" w:hAnsi="Arial" w:cs="Arial"/>
          <w:sz w:val="24"/>
          <w:szCs w:val="24"/>
        </w:rPr>
        <w:t>’</w:t>
      </w:r>
      <w:r>
        <w:rPr>
          <w:rFonts w:ascii="Arial" w:hAnsi="Arial" w:cs="Arial"/>
          <w:sz w:val="24"/>
          <w:szCs w:val="24"/>
        </w:rPr>
        <w:t xml:space="preserve"> </w:t>
      </w:r>
      <w:r w:rsidRPr="00B44904">
        <w:rPr>
          <w:rFonts w:ascii="Arial" w:hAnsi="Arial" w:cs="Arial"/>
          <w:sz w:val="24"/>
          <w:szCs w:val="24"/>
          <w:u w:val="single"/>
        </w:rPr>
        <w:t>failure to pay the monthly instalments</w:t>
      </w:r>
      <w:r>
        <w:rPr>
          <w:rFonts w:ascii="Arial" w:hAnsi="Arial" w:cs="Arial"/>
          <w:sz w:val="24"/>
          <w:szCs w:val="24"/>
        </w:rPr>
        <w:t xml:space="preserve"> in respect of the respective accounts and </w:t>
      </w:r>
      <w:r w:rsidRPr="00B44904">
        <w:rPr>
          <w:rFonts w:ascii="Arial" w:hAnsi="Arial" w:cs="Arial"/>
          <w:sz w:val="24"/>
          <w:szCs w:val="24"/>
          <w:u w:val="single"/>
        </w:rPr>
        <w:t>not defendants failure to submit financial documents</w:t>
      </w:r>
      <w:r>
        <w:rPr>
          <w:rFonts w:ascii="Arial" w:hAnsi="Arial" w:cs="Arial"/>
          <w:sz w:val="24"/>
          <w:szCs w:val="24"/>
        </w:rPr>
        <w:t>. Thus</w:t>
      </w:r>
      <w:r w:rsidR="00F43C72">
        <w:rPr>
          <w:rFonts w:ascii="Arial" w:hAnsi="Arial" w:cs="Arial"/>
          <w:sz w:val="24"/>
          <w:szCs w:val="24"/>
        </w:rPr>
        <w:t>,</w:t>
      </w:r>
      <w:r>
        <w:rPr>
          <w:rFonts w:ascii="Arial" w:hAnsi="Arial" w:cs="Arial"/>
          <w:sz w:val="24"/>
          <w:szCs w:val="24"/>
        </w:rPr>
        <w:t xml:space="preserve"> </w:t>
      </w:r>
      <w:r w:rsidR="00C861CA">
        <w:rPr>
          <w:rFonts w:ascii="Arial" w:hAnsi="Arial" w:cs="Arial"/>
          <w:sz w:val="24"/>
          <w:szCs w:val="24"/>
        </w:rPr>
        <w:t>attaching Anne</w:t>
      </w:r>
      <w:r>
        <w:rPr>
          <w:rFonts w:ascii="Arial" w:hAnsi="Arial" w:cs="Arial"/>
          <w:sz w:val="24"/>
          <w:szCs w:val="24"/>
        </w:rPr>
        <w:t xml:space="preserve">xure “RET6” to the founding affidavit does not verify the cause of action as set out in the particulars of claim </w:t>
      </w:r>
      <w:r w:rsidR="00C861CA">
        <w:rPr>
          <w:rFonts w:ascii="Arial" w:hAnsi="Arial" w:cs="Arial"/>
          <w:sz w:val="24"/>
          <w:szCs w:val="24"/>
        </w:rPr>
        <w:t xml:space="preserve">neither does it </w:t>
      </w:r>
      <w:r>
        <w:rPr>
          <w:rFonts w:ascii="Arial" w:hAnsi="Arial" w:cs="Arial"/>
          <w:sz w:val="24"/>
          <w:szCs w:val="24"/>
        </w:rPr>
        <w:t>fall within the ambit of any of the other permissible evidence, in terms of subrule (2)(b), which the affidavit must contain.</w:t>
      </w:r>
    </w:p>
    <w:p w:rsidR="00003924" w:rsidRDefault="00CA43DB" w:rsidP="00935238">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18</w:t>
      </w:r>
      <w:r>
        <w:rPr>
          <w:rFonts w:ascii="Arial" w:hAnsi="Arial" w:cs="Arial"/>
          <w:sz w:val="24"/>
          <w:szCs w:val="24"/>
        </w:rPr>
        <w:t>]</w:t>
      </w:r>
      <w:r>
        <w:rPr>
          <w:rFonts w:ascii="Arial" w:hAnsi="Arial" w:cs="Arial"/>
          <w:sz w:val="24"/>
          <w:szCs w:val="24"/>
        </w:rPr>
        <w:tab/>
      </w:r>
      <w:r w:rsidR="00003924">
        <w:rPr>
          <w:rFonts w:ascii="Arial" w:hAnsi="Arial" w:cs="Arial"/>
          <w:sz w:val="24"/>
          <w:szCs w:val="24"/>
        </w:rPr>
        <w:t>In the view of this court, t</w:t>
      </w:r>
      <w:r w:rsidR="00935238">
        <w:rPr>
          <w:rFonts w:ascii="Arial" w:hAnsi="Arial" w:cs="Arial"/>
          <w:sz w:val="24"/>
          <w:szCs w:val="24"/>
        </w:rPr>
        <w:t xml:space="preserve">he defendants’ reliance on the </w:t>
      </w:r>
      <w:r w:rsidR="00935238" w:rsidRPr="00935238">
        <w:rPr>
          <w:rFonts w:ascii="Arial" w:hAnsi="Arial" w:cs="Arial"/>
          <w:i/>
          <w:sz w:val="24"/>
          <w:szCs w:val="24"/>
        </w:rPr>
        <w:t xml:space="preserve">Rossouw </w:t>
      </w:r>
      <w:r w:rsidR="00935238">
        <w:rPr>
          <w:rFonts w:ascii="Arial" w:hAnsi="Arial" w:cs="Arial"/>
          <w:i/>
          <w:sz w:val="24"/>
          <w:szCs w:val="24"/>
        </w:rPr>
        <w:t>case</w:t>
      </w:r>
      <w:r w:rsidR="00935238">
        <w:rPr>
          <w:rFonts w:ascii="Arial" w:hAnsi="Arial" w:cs="Arial"/>
          <w:sz w:val="24"/>
          <w:szCs w:val="24"/>
        </w:rPr>
        <w:t xml:space="preserve"> in this instance is correct</w:t>
      </w:r>
      <w:r w:rsidR="00003924">
        <w:rPr>
          <w:rFonts w:ascii="Arial" w:hAnsi="Arial" w:cs="Arial"/>
          <w:sz w:val="24"/>
          <w:szCs w:val="24"/>
        </w:rPr>
        <w:t>.</w:t>
      </w:r>
      <w:r w:rsidR="00AE4434">
        <w:rPr>
          <w:rFonts w:ascii="Arial" w:hAnsi="Arial" w:cs="Arial"/>
          <w:sz w:val="24"/>
          <w:szCs w:val="24"/>
        </w:rPr>
        <w:t xml:space="preserve"> The certificate of balance, the court </w:t>
      </w:r>
      <w:r w:rsidR="00B44904">
        <w:rPr>
          <w:rFonts w:ascii="Arial" w:hAnsi="Arial" w:cs="Arial"/>
          <w:sz w:val="24"/>
          <w:szCs w:val="24"/>
        </w:rPr>
        <w:t xml:space="preserve">in </w:t>
      </w:r>
      <w:r w:rsidR="00B44904" w:rsidRPr="00B44904">
        <w:rPr>
          <w:rFonts w:ascii="Arial" w:hAnsi="Arial" w:cs="Arial"/>
          <w:i/>
          <w:sz w:val="24"/>
          <w:szCs w:val="24"/>
        </w:rPr>
        <w:t>Rossouw</w:t>
      </w:r>
      <w:r w:rsidR="00B44904">
        <w:rPr>
          <w:rFonts w:ascii="Arial" w:hAnsi="Arial" w:cs="Arial"/>
          <w:sz w:val="24"/>
          <w:szCs w:val="24"/>
        </w:rPr>
        <w:t xml:space="preserve"> </w:t>
      </w:r>
      <w:r w:rsidR="00AE4434">
        <w:rPr>
          <w:rFonts w:ascii="Arial" w:hAnsi="Arial" w:cs="Arial"/>
          <w:sz w:val="24"/>
          <w:szCs w:val="24"/>
        </w:rPr>
        <w:t xml:space="preserve">found did not amount to new evidence, which would be inadmissible under rule 32 (4). To the extent that the certificate reflects the </w:t>
      </w:r>
      <w:r w:rsidR="00D80470">
        <w:rPr>
          <w:rFonts w:ascii="Arial" w:hAnsi="Arial" w:cs="Arial"/>
          <w:sz w:val="24"/>
          <w:szCs w:val="24"/>
        </w:rPr>
        <w:t>balance</w:t>
      </w:r>
      <w:r w:rsidR="00AE4434">
        <w:rPr>
          <w:rFonts w:ascii="Arial" w:hAnsi="Arial" w:cs="Arial"/>
          <w:sz w:val="24"/>
          <w:szCs w:val="24"/>
        </w:rPr>
        <w:t xml:space="preserve"> due as at date of hearing, is merely an </w:t>
      </w:r>
      <w:r w:rsidR="00D80470">
        <w:rPr>
          <w:rFonts w:ascii="Arial" w:hAnsi="Arial" w:cs="Arial"/>
          <w:sz w:val="24"/>
          <w:szCs w:val="24"/>
        </w:rPr>
        <w:t>arithmetical</w:t>
      </w:r>
      <w:r w:rsidR="00AE4434">
        <w:rPr>
          <w:rFonts w:ascii="Arial" w:hAnsi="Arial" w:cs="Arial"/>
          <w:sz w:val="24"/>
          <w:szCs w:val="24"/>
        </w:rPr>
        <w:t xml:space="preserve"> calculation based on the facts already before court.</w:t>
      </w:r>
      <w:r w:rsidR="00DF4D55">
        <w:rPr>
          <w:rFonts w:ascii="Arial" w:hAnsi="Arial" w:cs="Arial"/>
          <w:sz w:val="24"/>
          <w:szCs w:val="24"/>
        </w:rPr>
        <w:t xml:space="preserve"> </w:t>
      </w:r>
    </w:p>
    <w:p w:rsidR="00CE13D2" w:rsidRDefault="00003924" w:rsidP="00003924">
      <w:pPr>
        <w:spacing w:line="360" w:lineRule="auto"/>
        <w:ind w:left="720"/>
        <w:jc w:val="both"/>
        <w:rPr>
          <w:rFonts w:ascii="Arial" w:hAnsi="Arial" w:cs="Arial"/>
          <w:sz w:val="24"/>
          <w:szCs w:val="24"/>
        </w:rPr>
      </w:pPr>
      <w:r>
        <w:rPr>
          <w:rFonts w:ascii="Arial" w:hAnsi="Arial" w:cs="Arial"/>
          <w:sz w:val="24"/>
          <w:szCs w:val="24"/>
        </w:rPr>
        <w:t>T</w:t>
      </w:r>
      <w:r w:rsidR="00DF4D55">
        <w:rPr>
          <w:rFonts w:ascii="Arial" w:hAnsi="Arial" w:cs="Arial"/>
          <w:sz w:val="24"/>
          <w:szCs w:val="24"/>
        </w:rPr>
        <w:t xml:space="preserve">he </w:t>
      </w:r>
      <w:r w:rsidR="003950ED" w:rsidRPr="00B44904">
        <w:rPr>
          <w:rFonts w:ascii="Arial" w:hAnsi="Arial" w:cs="Arial"/>
          <w:sz w:val="24"/>
          <w:szCs w:val="24"/>
        </w:rPr>
        <w:t>certificate</w:t>
      </w:r>
      <w:r w:rsidR="00DF4D55" w:rsidRPr="00B44904">
        <w:rPr>
          <w:rFonts w:ascii="Arial" w:hAnsi="Arial" w:cs="Arial"/>
          <w:sz w:val="24"/>
          <w:szCs w:val="24"/>
        </w:rPr>
        <w:t xml:space="preserve"> </w:t>
      </w:r>
      <w:r w:rsidR="003950ED" w:rsidRPr="00B44904">
        <w:rPr>
          <w:rFonts w:ascii="Arial" w:hAnsi="Arial" w:cs="Arial"/>
          <w:sz w:val="24"/>
          <w:szCs w:val="24"/>
        </w:rPr>
        <w:t>of</w:t>
      </w:r>
      <w:r w:rsidR="00DF4D55" w:rsidRPr="00B44904">
        <w:rPr>
          <w:rFonts w:ascii="Arial" w:hAnsi="Arial" w:cs="Arial"/>
          <w:sz w:val="24"/>
          <w:szCs w:val="24"/>
        </w:rPr>
        <w:t xml:space="preserve"> balance on its mere </w:t>
      </w:r>
      <w:r w:rsidR="003950ED" w:rsidRPr="00B44904">
        <w:rPr>
          <w:rFonts w:ascii="Arial" w:hAnsi="Arial" w:cs="Arial"/>
          <w:sz w:val="24"/>
          <w:szCs w:val="24"/>
        </w:rPr>
        <w:t>production</w:t>
      </w:r>
      <w:r w:rsidR="00DF4D55" w:rsidRPr="00B44904">
        <w:rPr>
          <w:rFonts w:ascii="Arial" w:hAnsi="Arial" w:cs="Arial"/>
          <w:sz w:val="24"/>
          <w:szCs w:val="24"/>
        </w:rPr>
        <w:t xml:space="preserve"> is sufficient proof of the amount due and owing</w:t>
      </w:r>
      <w:r w:rsidR="00BB6AE1">
        <w:rPr>
          <w:rFonts w:ascii="Arial" w:hAnsi="Arial" w:cs="Arial"/>
          <w:sz w:val="24"/>
          <w:szCs w:val="24"/>
        </w:rPr>
        <w:t xml:space="preserve">, thus </w:t>
      </w:r>
      <w:r w:rsidR="003950ED" w:rsidRPr="00B44904">
        <w:rPr>
          <w:rFonts w:ascii="Arial" w:hAnsi="Arial" w:cs="Arial"/>
          <w:sz w:val="24"/>
          <w:szCs w:val="24"/>
        </w:rPr>
        <w:t>verify</w:t>
      </w:r>
      <w:r w:rsidR="00BB6AE1">
        <w:rPr>
          <w:rFonts w:ascii="Arial" w:hAnsi="Arial" w:cs="Arial"/>
          <w:sz w:val="24"/>
          <w:szCs w:val="24"/>
        </w:rPr>
        <w:t>ing</w:t>
      </w:r>
      <w:r w:rsidR="003950ED" w:rsidRPr="00B44904">
        <w:rPr>
          <w:rFonts w:ascii="Arial" w:hAnsi="Arial" w:cs="Arial"/>
          <w:sz w:val="24"/>
          <w:szCs w:val="24"/>
        </w:rPr>
        <w:t xml:space="preserve"> the cause of action and the amount as claimed in the summons. </w:t>
      </w:r>
      <w:r w:rsidR="00AE4434" w:rsidRPr="00B44904">
        <w:rPr>
          <w:rFonts w:ascii="Arial" w:hAnsi="Arial" w:cs="Arial"/>
          <w:sz w:val="24"/>
          <w:szCs w:val="24"/>
        </w:rPr>
        <w:t xml:space="preserve">It is the view of this court, as argued on behalf of the </w:t>
      </w:r>
      <w:r w:rsidR="00D80470" w:rsidRPr="00B44904">
        <w:rPr>
          <w:rFonts w:ascii="Arial" w:hAnsi="Arial" w:cs="Arial"/>
          <w:sz w:val="24"/>
          <w:szCs w:val="24"/>
        </w:rPr>
        <w:t>defendants</w:t>
      </w:r>
      <w:r w:rsidR="00AE4434" w:rsidRPr="00B44904">
        <w:rPr>
          <w:rFonts w:ascii="Arial" w:hAnsi="Arial" w:cs="Arial"/>
          <w:sz w:val="24"/>
          <w:szCs w:val="24"/>
        </w:rPr>
        <w:t xml:space="preserve"> that Annexure “RET6” as attached to the founding affidavit, </w:t>
      </w:r>
      <w:r w:rsidR="00D80470" w:rsidRPr="00B44904">
        <w:rPr>
          <w:rFonts w:ascii="Arial" w:hAnsi="Arial" w:cs="Arial"/>
          <w:sz w:val="24"/>
          <w:szCs w:val="24"/>
        </w:rPr>
        <w:t>amounts</w:t>
      </w:r>
      <w:r w:rsidR="00AE4434" w:rsidRPr="00B44904">
        <w:rPr>
          <w:rFonts w:ascii="Arial" w:hAnsi="Arial" w:cs="Arial"/>
          <w:sz w:val="24"/>
          <w:szCs w:val="24"/>
        </w:rPr>
        <w:t xml:space="preserve"> to new evidence, which is inadmissible</w:t>
      </w:r>
      <w:r w:rsidR="00AE4434">
        <w:rPr>
          <w:rFonts w:ascii="Arial" w:hAnsi="Arial" w:cs="Arial"/>
          <w:sz w:val="24"/>
          <w:szCs w:val="24"/>
        </w:rPr>
        <w:t xml:space="preserve">. </w:t>
      </w:r>
    </w:p>
    <w:p w:rsidR="00380C3E" w:rsidRDefault="00380C3E" w:rsidP="00935238">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19</w:t>
      </w:r>
      <w:r>
        <w:rPr>
          <w:rFonts w:ascii="Arial" w:hAnsi="Arial" w:cs="Arial"/>
          <w:sz w:val="24"/>
          <w:szCs w:val="24"/>
        </w:rPr>
        <w:t>]</w:t>
      </w:r>
      <w:r>
        <w:rPr>
          <w:rFonts w:ascii="Arial" w:hAnsi="Arial" w:cs="Arial"/>
          <w:sz w:val="24"/>
          <w:szCs w:val="24"/>
        </w:rPr>
        <w:tab/>
        <w:t xml:space="preserve">A further defence raised by the defendants is that the plaintiff in its founding affidavit also belatedly relies upon clause 4.1 of the </w:t>
      </w:r>
      <w:r w:rsidR="0054535F">
        <w:rPr>
          <w:rFonts w:ascii="Arial" w:hAnsi="Arial" w:cs="Arial"/>
          <w:sz w:val="24"/>
          <w:szCs w:val="24"/>
        </w:rPr>
        <w:t>O</w:t>
      </w:r>
      <w:r>
        <w:rPr>
          <w:rFonts w:ascii="Arial" w:hAnsi="Arial" w:cs="Arial"/>
          <w:sz w:val="24"/>
          <w:szCs w:val="24"/>
        </w:rPr>
        <w:t xml:space="preserve">verdraft, namely that the </w:t>
      </w:r>
      <w:r w:rsidR="0054535F">
        <w:rPr>
          <w:rFonts w:ascii="Arial" w:hAnsi="Arial" w:cs="Arial"/>
          <w:sz w:val="24"/>
          <w:szCs w:val="24"/>
        </w:rPr>
        <w:t>O</w:t>
      </w:r>
      <w:r>
        <w:rPr>
          <w:rFonts w:ascii="Arial" w:hAnsi="Arial" w:cs="Arial"/>
          <w:sz w:val="24"/>
          <w:szCs w:val="24"/>
        </w:rPr>
        <w:t xml:space="preserve">verdraft </w:t>
      </w:r>
      <w:r w:rsidR="00BB6AE1">
        <w:rPr>
          <w:rFonts w:ascii="Arial" w:hAnsi="Arial" w:cs="Arial"/>
          <w:sz w:val="24"/>
          <w:szCs w:val="24"/>
        </w:rPr>
        <w:t xml:space="preserve">Facility </w:t>
      </w:r>
      <w:r>
        <w:rPr>
          <w:rFonts w:ascii="Arial" w:hAnsi="Arial" w:cs="Arial"/>
          <w:sz w:val="24"/>
          <w:szCs w:val="24"/>
        </w:rPr>
        <w:t>is repayable on demand in Nedbank’s</w:t>
      </w:r>
      <w:r w:rsidR="0054535F">
        <w:rPr>
          <w:rFonts w:ascii="Arial" w:hAnsi="Arial" w:cs="Arial"/>
          <w:sz w:val="24"/>
          <w:szCs w:val="24"/>
        </w:rPr>
        <w:t xml:space="preserve"> (“</w:t>
      </w:r>
      <w:r w:rsidR="0043724B">
        <w:rPr>
          <w:rFonts w:ascii="Arial" w:hAnsi="Arial" w:cs="Arial"/>
          <w:sz w:val="24"/>
          <w:szCs w:val="24"/>
        </w:rPr>
        <w:t>plaintiff’s</w:t>
      </w:r>
      <w:r w:rsidR="0054535F">
        <w:rPr>
          <w:rFonts w:ascii="Arial" w:hAnsi="Arial" w:cs="Arial"/>
          <w:sz w:val="24"/>
          <w:szCs w:val="24"/>
        </w:rPr>
        <w:t>”)</w:t>
      </w:r>
      <w:r>
        <w:rPr>
          <w:rFonts w:ascii="Arial" w:hAnsi="Arial" w:cs="Arial"/>
          <w:sz w:val="24"/>
          <w:szCs w:val="24"/>
        </w:rPr>
        <w:t xml:space="preserve"> discretion. That clause reads as follows:</w:t>
      </w:r>
    </w:p>
    <w:p w:rsidR="002E1DCF" w:rsidRPr="002E4BE1" w:rsidRDefault="00380C3E" w:rsidP="002E1DCF">
      <w:pPr>
        <w:spacing w:line="360" w:lineRule="auto"/>
        <w:ind w:left="1440"/>
        <w:jc w:val="both"/>
        <w:rPr>
          <w:rFonts w:ascii="Arial" w:hAnsi="Arial" w:cs="Arial"/>
        </w:rPr>
      </w:pPr>
      <w:r w:rsidRPr="002E4BE1">
        <w:rPr>
          <w:rFonts w:ascii="Arial" w:hAnsi="Arial" w:cs="Arial"/>
        </w:rPr>
        <w:lastRenderedPageBreak/>
        <w:t xml:space="preserve">“Oortrekkingsfasiliteite is onderworpe aan hersiening en is op aanvraag in Nedbank se </w:t>
      </w:r>
      <w:r w:rsidRPr="002E4BE1">
        <w:rPr>
          <w:rFonts w:ascii="Arial" w:hAnsi="Arial" w:cs="Arial"/>
          <w:u w:val="single"/>
        </w:rPr>
        <w:t>diskresie</w:t>
      </w:r>
      <w:r w:rsidRPr="002E4BE1">
        <w:rPr>
          <w:rFonts w:ascii="Arial" w:hAnsi="Arial" w:cs="Arial"/>
        </w:rPr>
        <w:t xml:space="preserve"> in oorstemming met gewone bankpraktyk terugbetaalbaar.”</w:t>
      </w:r>
    </w:p>
    <w:p w:rsidR="00380C3E" w:rsidRDefault="002E1DCF" w:rsidP="00E02CEC">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20</w:t>
      </w:r>
      <w:r>
        <w:rPr>
          <w:rFonts w:ascii="Arial" w:hAnsi="Arial" w:cs="Arial"/>
          <w:sz w:val="24"/>
          <w:szCs w:val="24"/>
        </w:rPr>
        <w:t>]</w:t>
      </w:r>
      <w:r>
        <w:rPr>
          <w:rFonts w:ascii="Arial" w:hAnsi="Arial" w:cs="Arial"/>
          <w:sz w:val="24"/>
          <w:szCs w:val="24"/>
        </w:rPr>
        <w:tab/>
      </w:r>
      <w:r w:rsidR="00687882">
        <w:rPr>
          <w:rFonts w:ascii="Arial" w:hAnsi="Arial" w:cs="Arial"/>
          <w:sz w:val="24"/>
          <w:szCs w:val="24"/>
        </w:rPr>
        <w:t xml:space="preserve">Counsel for the </w:t>
      </w:r>
      <w:r w:rsidR="00E02CEC">
        <w:rPr>
          <w:rFonts w:ascii="Arial" w:hAnsi="Arial" w:cs="Arial"/>
          <w:sz w:val="24"/>
          <w:szCs w:val="24"/>
        </w:rPr>
        <w:t>defendants</w:t>
      </w:r>
      <w:r w:rsidR="00687882">
        <w:rPr>
          <w:rFonts w:ascii="Arial" w:hAnsi="Arial" w:cs="Arial"/>
          <w:sz w:val="24"/>
          <w:szCs w:val="24"/>
        </w:rPr>
        <w:t xml:space="preserve"> argued that reliance on this clause is likewise </w:t>
      </w:r>
      <w:r w:rsidR="00E02CEC">
        <w:rPr>
          <w:rFonts w:ascii="Arial" w:hAnsi="Arial" w:cs="Arial"/>
          <w:sz w:val="24"/>
          <w:szCs w:val="24"/>
        </w:rPr>
        <w:t>m</w:t>
      </w:r>
      <w:r w:rsidR="00687882">
        <w:rPr>
          <w:rFonts w:ascii="Arial" w:hAnsi="Arial" w:cs="Arial"/>
          <w:sz w:val="24"/>
          <w:szCs w:val="24"/>
        </w:rPr>
        <w:t xml:space="preserve">isplaced, since this too, is not </w:t>
      </w:r>
      <w:r w:rsidR="00E02CEC">
        <w:rPr>
          <w:rFonts w:ascii="Arial" w:hAnsi="Arial" w:cs="Arial"/>
          <w:sz w:val="24"/>
          <w:szCs w:val="24"/>
        </w:rPr>
        <w:t>plaintiff’s</w:t>
      </w:r>
      <w:r w:rsidR="00687882">
        <w:rPr>
          <w:rFonts w:ascii="Arial" w:hAnsi="Arial" w:cs="Arial"/>
          <w:sz w:val="24"/>
          <w:szCs w:val="24"/>
        </w:rPr>
        <w:t xml:space="preserve"> pleaded case. However, if plaintiff is entitled to rely upon clause 4.1, such contractual discretion must be exercised </w:t>
      </w:r>
      <w:r w:rsidR="00687882" w:rsidRPr="00E02CEC">
        <w:rPr>
          <w:rFonts w:ascii="Arial" w:hAnsi="Arial" w:cs="Arial"/>
          <w:i/>
          <w:sz w:val="24"/>
          <w:szCs w:val="24"/>
        </w:rPr>
        <w:t>arbitrio boni viri</w:t>
      </w:r>
      <w:r w:rsidR="00687882">
        <w:rPr>
          <w:rFonts w:ascii="Arial" w:hAnsi="Arial" w:cs="Arial"/>
          <w:sz w:val="24"/>
          <w:szCs w:val="24"/>
        </w:rPr>
        <w:t>, namely in a fair and reasonable manner, and in good faith.</w:t>
      </w:r>
    </w:p>
    <w:p w:rsidR="00092108" w:rsidRDefault="00092108" w:rsidP="00E02CEC">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2</w:t>
      </w:r>
      <w:r>
        <w:rPr>
          <w:rFonts w:ascii="Arial" w:hAnsi="Arial" w:cs="Arial"/>
          <w:sz w:val="24"/>
          <w:szCs w:val="24"/>
        </w:rPr>
        <w:t>1]</w:t>
      </w:r>
      <w:r>
        <w:rPr>
          <w:rFonts w:ascii="Arial" w:hAnsi="Arial" w:cs="Arial"/>
          <w:sz w:val="24"/>
          <w:szCs w:val="24"/>
        </w:rPr>
        <w:tab/>
        <w:t xml:space="preserve">The exercise of this discretion, in suspending </w:t>
      </w:r>
      <w:r w:rsidR="00584B96">
        <w:rPr>
          <w:rFonts w:ascii="Arial" w:hAnsi="Arial" w:cs="Arial"/>
          <w:sz w:val="24"/>
          <w:szCs w:val="24"/>
        </w:rPr>
        <w:t>defendants’</w:t>
      </w:r>
      <w:r>
        <w:rPr>
          <w:rFonts w:ascii="Arial" w:hAnsi="Arial" w:cs="Arial"/>
          <w:sz w:val="24"/>
          <w:szCs w:val="24"/>
        </w:rPr>
        <w:t xml:space="preserve"> facilities, were communicated to the </w:t>
      </w:r>
      <w:r w:rsidR="00584B96">
        <w:rPr>
          <w:rFonts w:ascii="Arial" w:hAnsi="Arial" w:cs="Arial"/>
          <w:sz w:val="24"/>
          <w:szCs w:val="24"/>
        </w:rPr>
        <w:t>defendants</w:t>
      </w:r>
      <w:r>
        <w:rPr>
          <w:rFonts w:ascii="Arial" w:hAnsi="Arial" w:cs="Arial"/>
          <w:sz w:val="24"/>
          <w:szCs w:val="24"/>
        </w:rPr>
        <w:t xml:space="preserve"> as per Annexure “RET6”, </w:t>
      </w:r>
      <w:r w:rsidR="00B60B7B">
        <w:rPr>
          <w:rFonts w:ascii="Arial" w:hAnsi="Arial" w:cs="Arial"/>
          <w:sz w:val="24"/>
          <w:szCs w:val="24"/>
        </w:rPr>
        <w:t xml:space="preserve">the </w:t>
      </w:r>
      <w:r w:rsidR="00584B96">
        <w:rPr>
          <w:rFonts w:ascii="Arial" w:hAnsi="Arial" w:cs="Arial"/>
          <w:sz w:val="24"/>
          <w:szCs w:val="24"/>
        </w:rPr>
        <w:t>receipt of which are denied</w:t>
      </w:r>
      <w:r w:rsidR="00B60B7B">
        <w:rPr>
          <w:rFonts w:ascii="Arial" w:hAnsi="Arial" w:cs="Arial"/>
          <w:sz w:val="24"/>
          <w:szCs w:val="24"/>
        </w:rPr>
        <w:t xml:space="preserve"> by the defendants</w:t>
      </w:r>
      <w:r w:rsidR="00584B96">
        <w:rPr>
          <w:rFonts w:ascii="Arial" w:hAnsi="Arial" w:cs="Arial"/>
          <w:sz w:val="24"/>
          <w:szCs w:val="24"/>
        </w:rPr>
        <w:t xml:space="preserve">. </w:t>
      </w:r>
      <w:r w:rsidR="00F649D6">
        <w:rPr>
          <w:rFonts w:ascii="Arial" w:hAnsi="Arial" w:cs="Arial"/>
          <w:sz w:val="24"/>
          <w:szCs w:val="24"/>
        </w:rPr>
        <w:t xml:space="preserve">It is further argued by defendants that the repayment of the </w:t>
      </w:r>
      <w:r w:rsidR="00B60B7B">
        <w:rPr>
          <w:rFonts w:ascii="Arial" w:hAnsi="Arial" w:cs="Arial"/>
          <w:sz w:val="24"/>
          <w:szCs w:val="24"/>
        </w:rPr>
        <w:t>L</w:t>
      </w:r>
      <w:r w:rsidR="00F649D6">
        <w:rPr>
          <w:rFonts w:ascii="Arial" w:hAnsi="Arial" w:cs="Arial"/>
          <w:sz w:val="24"/>
          <w:szCs w:val="24"/>
        </w:rPr>
        <w:t xml:space="preserve">oan was inextricably linked to the </w:t>
      </w:r>
      <w:r w:rsidR="00B60B7B">
        <w:rPr>
          <w:rFonts w:ascii="Arial" w:hAnsi="Arial" w:cs="Arial"/>
          <w:sz w:val="24"/>
          <w:szCs w:val="24"/>
        </w:rPr>
        <w:t>O</w:t>
      </w:r>
      <w:r w:rsidR="00F649D6">
        <w:rPr>
          <w:rFonts w:ascii="Arial" w:hAnsi="Arial" w:cs="Arial"/>
          <w:sz w:val="24"/>
          <w:szCs w:val="24"/>
        </w:rPr>
        <w:t xml:space="preserve">verdraft </w:t>
      </w:r>
      <w:r w:rsidR="00B60B7B">
        <w:rPr>
          <w:rFonts w:ascii="Arial" w:hAnsi="Arial" w:cs="Arial"/>
          <w:sz w:val="24"/>
          <w:szCs w:val="24"/>
        </w:rPr>
        <w:t>F</w:t>
      </w:r>
      <w:r w:rsidR="00F649D6">
        <w:rPr>
          <w:rFonts w:ascii="Arial" w:hAnsi="Arial" w:cs="Arial"/>
          <w:sz w:val="24"/>
          <w:szCs w:val="24"/>
        </w:rPr>
        <w:t xml:space="preserve">acility and plaintiff exercised its </w:t>
      </w:r>
      <w:r w:rsidR="00D81C36">
        <w:rPr>
          <w:rFonts w:ascii="Arial" w:hAnsi="Arial" w:cs="Arial"/>
          <w:sz w:val="24"/>
          <w:szCs w:val="24"/>
        </w:rPr>
        <w:t>discretion</w:t>
      </w:r>
      <w:r w:rsidR="00F649D6">
        <w:rPr>
          <w:rFonts w:ascii="Arial" w:hAnsi="Arial" w:cs="Arial"/>
          <w:sz w:val="24"/>
          <w:szCs w:val="24"/>
        </w:rPr>
        <w:t xml:space="preserve"> arbitrary and capri</w:t>
      </w:r>
      <w:r w:rsidR="00D81C36">
        <w:rPr>
          <w:rFonts w:ascii="Arial" w:hAnsi="Arial" w:cs="Arial"/>
          <w:sz w:val="24"/>
          <w:szCs w:val="24"/>
        </w:rPr>
        <w:t xml:space="preserve">cious, more so in circumstances where the defendants during April 2021, made a payment of R1.845 million into the </w:t>
      </w:r>
      <w:r w:rsidR="00B60B7B">
        <w:rPr>
          <w:rFonts w:ascii="Arial" w:hAnsi="Arial" w:cs="Arial"/>
          <w:sz w:val="24"/>
          <w:szCs w:val="24"/>
        </w:rPr>
        <w:t>O</w:t>
      </w:r>
      <w:r w:rsidR="00D81C36">
        <w:rPr>
          <w:rFonts w:ascii="Arial" w:hAnsi="Arial" w:cs="Arial"/>
          <w:sz w:val="24"/>
          <w:szCs w:val="24"/>
        </w:rPr>
        <w:t xml:space="preserve">verdraft </w:t>
      </w:r>
      <w:r w:rsidR="00B60B7B">
        <w:rPr>
          <w:rFonts w:ascii="Arial" w:hAnsi="Arial" w:cs="Arial"/>
          <w:sz w:val="24"/>
          <w:szCs w:val="24"/>
        </w:rPr>
        <w:t>F</w:t>
      </w:r>
      <w:r w:rsidR="00D81C36">
        <w:rPr>
          <w:rFonts w:ascii="Arial" w:hAnsi="Arial" w:cs="Arial"/>
          <w:sz w:val="24"/>
          <w:szCs w:val="24"/>
        </w:rPr>
        <w:t>acility, reducing the outstanding amount to R70 701,41.</w:t>
      </w:r>
    </w:p>
    <w:p w:rsidR="00D81C36" w:rsidRDefault="00D81C36" w:rsidP="00E02CEC">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BF5ED3">
        <w:rPr>
          <w:rFonts w:ascii="Arial" w:hAnsi="Arial" w:cs="Arial"/>
          <w:sz w:val="24"/>
          <w:szCs w:val="24"/>
        </w:rPr>
        <w:t>In opposing this argument, plaintiff submits</w:t>
      </w:r>
      <w:r w:rsidR="00BF5ED3">
        <w:rPr>
          <w:rStyle w:val="FootnoteReference"/>
          <w:rFonts w:ascii="Arial" w:hAnsi="Arial" w:cs="Arial"/>
          <w:sz w:val="24"/>
          <w:szCs w:val="24"/>
        </w:rPr>
        <w:footnoteReference w:id="16"/>
      </w:r>
      <w:r w:rsidR="00BF5ED3">
        <w:rPr>
          <w:rFonts w:ascii="Arial" w:hAnsi="Arial" w:cs="Arial"/>
          <w:sz w:val="24"/>
          <w:szCs w:val="24"/>
        </w:rPr>
        <w:t xml:space="preserve">that the </w:t>
      </w:r>
      <w:r w:rsidR="00B60B7B">
        <w:rPr>
          <w:rFonts w:ascii="Arial" w:hAnsi="Arial" w:cs="Arial"/>
          <w:sz w:val="24"/>
          <w:szCs w:val="24"/>
        </w:rPr>
        <w:t>O</w:t>
      </w:r>
      <w:r w:rsidR="00BF5ED3">
        <w:rPr>
          <w:rFonts w:ascii="Arial" w:hAnsi="Arial" w:cs="Arial"/>
          <w:sz w:val="24"/>
          <w:szCs w:val="24"/>
        </w:rPr>
        <w:t xml:space="preserve">verdraft </w:t>
      </w:r>
      <w:r w:rsidR="00B60B7B">
        <w:rPr>
          <w:rFonts w:ascii="Arial" w:hAnsi="Arial" w:cs="Arial"/>
          <w:sz w:val="24"/>
          <w:szCs w:val="24"/>
        </w:rPr>
        <w:t>F</w:t>
      </w:r>
      <w:r w:rsidR="00BF5ED3">
        <w:rPr>
          <w:rFonts w:ascii="Arial" w:hAnsi="Arial" w:cs="Arial"/>
          <w:sz w:val="24"/>
          <w:szCs w:val="24"/>
        </w:rPr>
        <w:t xml:space="preserve">acility is a demand facility, which in terms of the agreement, can be suspended or cancelled or called up by the plaintiff in the event of non-compliance with any of </w:t>
      </w:r>
      <w:r w:rsidR="00A649E7">
        <w:rPr>
          <w:rFonts w:ascii="Arial" w:hAnsi="Arial" w:cs="Arial"/>
          <w:sz w:val="24"/>
          <w:szCs w:val="24"/>
        </w:rPr>
        <w:t xml:space="preserve">the </w:t>
      </w:r>
      <w:r w:rsidR="00BF5ED3">
        <w:rPr>
          <w:rFonts w:ascii="Arial" w:hAnsi="Arial" w:cs="Arial"/>
          <w:sz w:val="24"/>
          <w:szCs w:val="24"/>
        </w:rPr>
        <w:t>terms contained therein. The plaintiff has a right to claim, at its discretion, the full amount outstanding, with interest, which became immediately due and payable.</w:t>
      </w:r>
      <w:r w:rsidR="00530567">
        <w:rPr>
          <w:rFonts w:ascii="Arial" w:hAnsi="Arial" w:cs="Arial"/>
          <w:sz w:val="24"/>
          <w:szCs w:val="24"/>
        </w:rPr>
        <w:t xml:space="preserve"> In the circumstances, defendants </w:t>
      </w:r>
      <w:r w:rsidR="00BB6AE1">
        <w:rPr>
          <w:rFonts w:ascii="Arial" w:hAnsi="Arial" w:cs="Arial"/>
          <w:sz w:val="24"/>
          <w:szCs w:val="24"/>
        </w:rPr>
        <w:t xml:space="preserve">have </w:t>
      </w:r>
      <w:r w:rsidR="00530567">
        <w:rPr>
          <w:rFonts w:ascii="Arial" w:hAnsi="Arial" w:cs="Arial"/>
          <w:sz w:val="24"/>
          <w:szCs w:val="24"/>
        </w:rPr>
        <w:t xml:space="preserve">failed to submit financial documents in terms of the </w:t>
      </w:r>
      <w:r w:rsidR="00D4550C">
        <w:rPr>
          <w:rFonts w:ascii="Arial" w:hAnsi="Arial" w:cs="Arial"/>
          <w:sz w:val="24"/>
          <w:szCs w:val="24"/>
        </w:rPr>
        <w:t>Financial</w:t>
      </w:r>
      <w:r w:rsidR="00530567">
        <w:rPr>
          <w:rFonts w:ascii="Arial" w:hAnsi="Arial" w:cs="Arial"/>
          <w:sz w:val="24"/>
          <w:szCs w:val="24"/>
        </w:rPr>
        <w:t xml:space="preserve"> Intelligence Centre Act</w:t>
      </w:r>
      <w:r w:rsidR="002F5450">
        <w:rPr>
          <w:rStyle w:val="FootnoteReference"/>
          <w:rFonts w:ascii="Arial" w:hAnsi="Arial" w:cs="Arial"/>
          <w:sz w:val="24"/>
          <w:szCs w:val="24"/>
        </w:rPr>
        <w:footnoteReference w:id="17"/>
      </w:r>
      <w:r w:rsidR="00530567">
        <w:rPr>
          <w:rFonts w:ascii="Arial" w:hAnsi="Arial" w:cs="Arial"/>
          <w:sz w:val="24"/>
          <w:szCs w:val="24"/>
        </w:rPr>
        <w:t xml:space="preserve">, 38 of 2001, which documents were required to review the </w:t>
      </w:r>
      <w:r w:rsidR="00B60B7B">
        <w:rPr>
          <w:rFonts w:ascii="Arial" w:hAnsi="Arial" w:cs="Arial"/>
          <w:sz w:val="24"/>
          <w:szCs w:val="24"/>
        </w:rPr>
        <w:t>O</w:t>
      </w:r>
      <w:r w:rsidR="00530567">
        <w:rPr>
          <w:rFonts w:ascii="Arial" w:hAnsi="Arial" w:cs="Arial"/>
          <w:sz w:val="24"/>
          <w:szCs w:val="24"/>
        </w:rPr>
        <w:t xml:space="preserve">verdraft </w:t>
      </w:r>
      <w:r w:rsidR="00B60B7B">
        <w:rPr>
          <w:rFonts w:ascii="Arial" w:hAnsi="Arial" w:cs="Arial"/>
          <w:sz w:val="24"/>
          <w:szCs w:val="24"/>
        </w:rPr>
        <w:t>F</w:t>
      </w:r>
      <w:r w:rsidR="00530567">
        <w:rPr>
          <w:rFonts w:ascii="Arial" w:hAnsi="Arial" w:cs="Arial"/>
          <w:sz w:val="24"/>
          <w:szCs w:val="24"/>
        </w:rPr>
        <w:t>acility. Annexure “RET6” was addressed to 1</w:t>
      </w:r>
      <w:r w:rsidR="00530567" w:rsidRPr="00530567">
        <w:rPr>
          <w:rFonts w:ascii="Arial" w:hAnsi="Arial" w:cs="Arial"/>
          <w:sz w:val="24"/>
          <w:szCs w:val="24"/>
          <w:vertAlign w:val="superscript"/>
        </w:rPr>
        <w:t>st</w:t>
      </w:r>
      <w:r w:rsidR="00530567">
        <w:rPr>
          <w:rFonts w:ascii="Arial" w:hAnsi="Arial" w:cs="Arial"/>
          <w:sz w:val="24"/>
          <w:szCs w:val="24"/>
        </w:rPr>
        <w:t xml:space="preserve"> defendant notifying same of </w:t>
      </w:r>
      <w:r w:rsidR="00BB6AE1">
        <w:rPr>
          <w:rFonts w:ascii="Arial" w:hAnsi="Arial" w:cs="Arial"/>
          <w:sz w:val="24"/>
          <w:szCs w:val="24"/>
        </w:rPr>
        <w:t>the</w:t>
      </w:r>
      <w:r w:rsidR="00530567">
        <w:rPr>
          <w:rFonts w:ascii="Arial" w:hAnsi="Arial" w:cs="Arial"/>
          <w:sz w:val="24"/>
          <w:szCs w:val="24"/>
        </w:rPr>
        <w:t xml:space="preserve"> breach. As the breach or default was not rectified, the </w:t>
      </w:r>
      <w:r w:rsidR="00B60B7B">
        <w:rPr>
          <w:rFonts w:ascii="Arial" w:hAnsi="Arial" w:cs="Arial"/>
          <w:sz w:val="24"/>
          <w:szCs w:val="24"/>
        </w:rPr>
        <w:t>O</w:t>
      </w:r>
      <w:r w:rsidR="00530567">
        <w:rPr>
          <w:rFonts w:ascii="Arial" w:hAnsi="Arial" w:cs="Arial"/>
          <w:sz w:val="24"/>
          <w:szCs w:val="24"/>
        </w:rPr>
        <w:t xml:space="preserve">verdraft </w:t>
      </w:r>
      <w:r w:rsidR="00B60B7B">
        <w:rPr>
          <w:rFonts w:ascii="Arial" w:hAnsi="Arial" w:cs="Arial"/>
          <w:sz w:val="24"/>
          <w:szCs w:val="24"/>
        </w:rPr>
        <w:t>F</w:t>
      </w:r>
      <w:r w:rsidR="00530567">
        <w:rPr>
          <w:rFonts w:ascii="Arial" w:hAnsi="Arial" w:cs="Arial"/>
          <w:sz w:val="24"/>
          <w:szCs w:val="24"/>
        </w:rPr>
        <w:t xml:space="preserve">acility limit, was subsequently suspended on 9 February 2021, activating the </w:t>
      </w:r>
      <w:r w:rsidR="00B60B7B">
        <w:rPr>
          <w:rFonts w:ascii="Arial" w:hAnsi="Arial" w:cs="Arial"/>
          <w:sz w:val="24"/>
          <w:szCs w:val="24"/>
        </w:rPr>
        <w:t xml:space="preserve">deduction of </w:t>
      </w:r>
      <w:r w:rsidR="00530567">
        <w:rPr>
          <w:rFonts w:ascii="Arial" w:hAnsi="Arial" w:cs="Arial"/>
          <w:sz w:val="24"/>
          <w:szCs w:val="24"/>
        </w:rPr>
        <w:t>excess fe</w:t>
      </w:r>
      <w:r w:rsidR="00B60B7B">
        <w:rPr>
          <w:rFonts w:ascii="Arial" w:hAnsi="Arial" w:cs="Arial"/>
          <w:sz w:val="24"/>
          <w:szCs w:val="24"/>
        </w:rPr>
        <w:t>e</w:t>
      </w:r>
      <w:r w:rsidR="00530567">
        <w:rPr>
          <w:rFonts w:ascii="Arial" w:hAnsi="Arial" w:cs="Arial"/>
          <w:sz w:val="24"/>
          <w:szCs w:val="24"/>
        </w:rPr>
        <w:t xml:space="preserve">s. The effect of the suspended </w:t>
      </w:r>
      <w:r w:rsidR="00512A84">
        <w:rPr>
          <w:rFonts w:ascii="Arial" w:hAnsi="Arial" w:cs="Arial"/>
          <w:sz w:val="24"/>
          <w:szCs w:val="24"/>
        </w:rPr>
        <w:t>O</w:t>
      </w:r>
      <w:r w:rsidR="00530567">
        <w:rPr>
          <w:rFonts w:ascii="Arial" w:hAnsi="Arial" w:cs="Arial"/>
          <w:sz w:val="24"/>
          <w:szCs w:val="24"/>
        </w:rPr>
        <w:t xml:space="preserve">verdraft </w:t>
      </w:r>
      <w:r w:rsidR="00512A84">
        <w:rPr>
          <w:rFonts w:ascii="Arial" w:hAnsi="Arial" w:cs="Arial"/>
          <w:sz w:val="24"/>
          <w:szCs w:val="24"/>
        </w:rPr>
        <w:t>F</w:t>
      </w:r>
      <w:r w:rsidR="00530567">
        <w:rPr>
          <w:rFonts w:ascii="Arial" w:hAnsi="Arial" w:cs="Arial"/>
          <w:sz w:val="24"/>
          <w:szCs w:val="24"/>
        </w:rPr>
        <w:t xml:space="preserve">acility, meant that there were insufficient funds in the account, as the overdraft was </w:t>
      </w:r>
      <w:r w:rsidR="006B1217">
        <w:rPr>
          <w:rFonts w:ascii="Arial" w:hAnsi="Arial" w:cs="Arial"/>
          <w:sz w:val="24"/>
          <w:szCs w:val="24"/>
        </w:rPr>
        <w:t>withdrawn</w:t>
      </w:r>
      <w:r w:rsidR="00530567">
        <w:rPr>
          <w:rFonts w:ascii="Arial" w:hAnsi="Arial" w:cs="Arial"/>
          <w:sz w:val="24"/>
          <w:szCs w:val="24"/>
        </w:rPr>
        <w:t xml:space="preserve"> and debit orders returned.</w:t>
      </w:r>
      <w:r w:rsidR="006B1217">
        <w:rPr>
          <w:rFonts w:ascii="Arial" w:hAnsi="Arial" w:cs="Arial"/>
          <w:sz w:val="24"/>
          <w:szCs w:val="24"/>
        </w:rPr>
        <w:t xml:space="preserve"> </w:t>
      </w:r>
      <w:r w:rsidR="002F5450">
        <w:rPr>
          <w:rFonts w:ascii="Arial" w:hAnsi="Arial" w:cs="Arial"/>
          <w:sz w:val="24"/>
          <w:szCs w:val="24"/>
        </w:rPr>
        <w:t>Plaintiff</w:t>
      </w:r>
      <w:r w:rsidR="006B1217">
        <w:rPr>
          <w:rFonts w:ascii="Arial" w:hAnsi="Arial" w:cs="Arial"/>
          <w:sz w:val="24"/>
          <w:szCs w:val="24"/>
        </w:rPr>
        <w:t xml:space="preserve"> submits that because there was still an amount of R70 701.00 outstanding, the </w:t>
      </w:r>
      <w:r w:rsidR="002F5450">
        <w:rPr>
          <w:rFonts w:ascii="Arial" w:hAnsi="Arial" w:cs="Arial"/>
          <w:sz w:val="24"/>
          <w:szCs w:val="24"/>
        </w:rPr>
        <w:t>default</w:t>
      </w:r>
      <w:r w:rsidR="006B1217">
        <w:rPr>
          <w:rFonts w:ascii="Arial" w:hAnsi="Arial" w:cs="Arial"/>
          <w:sz w:val="24"/>
          <w:szCs w:val="24"/>
        </w:rPr>
        <w:t xml:space="preserve"> continue</w:t>
      </w:r>
      <w:r w:rsidR="00A649E7">
        <w:rPr>
          <w:rFonts w:ascii="Arial" w:hAnsi="Arial" w:cs="Arial"/>
          <w:sz w:val="24"/>
          <w:szCs w:val="24"/>
        </w:rPr>
        <w:t>d</w:t>
      </w:r>
      <w:r w:rsidR="006B1217">
        <w:rPr>
          <w:rFonts w:ascii="Arial" w:hAnsi="Arial" w:cs="Arial"/>
          <w:sz w:val="24"/>
          <w:szCs w:val="24"/>
        </w:rPr>
        <w:t xml:space="preserve"> and excess fees and interest is still payable on the outstanding amount, until the date of settlement.</w:t>
      </w:r>
    </w:p>
    <w:p w:rsidR="00CF5DF9" w:rsidRDefault="006B1217" w:rsidP="00E02CEC">
      <w:pPr>
        <w:spacing w:line="360" w:lineRule="auto"/>
        <w:ind w:left="720" w:hanging="720"/>
        <w:jc w:val="both"/>
        <w:rPr>
          <w:rFonts w:ascii="Arial" w:hAnsi="Arial" w:cs="Arial"/>
          <w:sz w:val="24"/>
          <w:szCs w:val="24"/>
        </w:rPr>
      </w:pPr>
      <w:r>
        <w:rPr>
          <w:rFonts w:ascii="Arial" w:hAnsi="Arial" w:cs="Arial"/>
          <w:sz w:val="24"/>
          <w:szCs w:val="24"/>
        </w:rPr>
        <w:lastRenderedPageBreak/>
        <w:t>[2</w:t>
      </w:r>
      <w:r w:rsidR="001C264D">
        <w:rPr>
          <w:rFonts w:ascii="Arial" w:hAnsi="Arial" w:cs="Arial"/>
          <w:sz w:val="24"/>
          <w:szCs w:val="24"/>
        </w:rPr>
        <w:t>3</w:t>
      </w:r>
      <w:r>
        <w:rPr>
          <w:rFonts w:ascii="Arial" w:hAnsi="Arial" w:cs="Arial"/>
          <w:sz w:val="24"/>
          <w:szCs w:val="24"/>
        </w:rPr>
        <w:t>]</w:t>
      </w:r>
      <w:r>
        <w:rPr>
          <w:rFonts w:ascii="Arial" w:hAnsi="Arial" w:cs="Arial"/>
          <w:sz w:val="24"/>
          <w:szCs w:val="24"/>
        </w:rPr>
        <w:tab/>
      </w:r>
      <w:r w:rsidR="00BB6AE1">
        <w:rPr>
          <w:rFonts w:ascii="Arial" w:hAnsi="Arial" w:cs="Arial"/>
          <w:sz w:val="24"/>
          <w:szCs w:val="24"/>
        </w:rPr>
        <w:t>T</w:t>
      </w:r>
      <w:r w:rsidR="002F5450">
        <w:rPr>
          <w:rFonts w:ascii="Arial" w:hAnsi="Arial" w:cs="Arial"/>
          <w:sz w:val="24"/>
          <w:szCs w:val="24"/>
        </w:rPr>
        <w:t xml:space="preserve">he </w:t>
      </w:r>
      <w:r w:rsidR="00615AB8">
        <w:rPr>
          <w:rFonts w:ascii="Arial" w:hAnsi="Arial" w:cs="Arial"/>
          <w:sz w:val="24"/>
          <w:szCs w:val="24"/>
        </w:rPr>
        <w:t>failure</w:t>
      </w:r>
      <w:r w:rsidR="002F5450">
        <w:rPr>
          <w:rFonts w:ascii="Arial" w:hAnsi="Arial" w:cs="Arial"/>
          <w:sz w:val="24"/>
          <w:szCs w:val="24"/>
        </w:rPr>
        <w:t xml:space="preserve"> by 1</w:t>
      </w:r>
      <w:r w:rsidR="002F5450" w:rsidRPr="002F5450">
        <w:rPr>
          <w:rFonts w:ascii="Arial" w:hAnsi="Arial" w:cs="Arial"/>
          <w:sz w:val="24"/>
          <w:szCs w:val="24"/>
          <w:vertAlign w:val="superscript"/>
        </w:rPr>
        <w:t>st</w:t>
      </w:r>
      <w:r w:rsidR="002F5450">
        <w:rPr>
          <w:rFonts w:ascii="Arial" w:hAnsi="Arial" w:cs="Arial"/>
          <w:sz w:val="24"/>
          <w:szCs w:val="24"/>
        </w:rPr>
        <w:t xml:space="preserve"> defendant to submit the FICA documents, triggered the suspension of the overdraft facility, having the effect that plaintiff became entitled to charge excess fees and the full amount </w:t>
      </w:r>
      <w:r w:rsidR="00615AB8">
        <w:rPr>
          <w:rFonts w:ascii="Arial" w:hAnsi="Arial" w:cs="Arial"/>
          <w:sz w:val="24"/>
          <w:szCs w:val="24"/>
        </w:rPr>
        <w:t>outstanding</w:t>
      </w:r>
      <w:r w:rsidR="002F5450">
        <w:rPr>
          <w:rFonts w:ascii="Arial" w:hAnsi="Arial" w:cs="Arial"/>
          <w:sz w:val="24"/>
          <w:szCs w:val="24"/>
        </w:rPr>
        <w:t xml:space="preserve"> becoming due and payable, upon the act of default.</w:t>
      </w:r>
      <w:r w:rsidR="00615AB8">
        <w:rPr>
          <w:rFonts w:ascii="Arial" w:hAnsi="Arial" w:cs="Arial"/>
          <w:sz w:val="24"/>
          <w:szCs w:val="24"/>
        </w:rPr>
        <w:t xml:space="preserve"> Defendants argue that Annexure “RET6” was never received, as the address referred to on the letter </w:t>
      </w:r>
      <w:r w:rsidR="00CF5DF9">
        <w:rPr>
          <w:rFonts w:ascii="Arial" w:hAnsi="Arial" w:cs="Arial"/>
          <w:sz w:val="24"/>
          <w:szCs w:val="24"/>
        </w:rPr>
        <w:t>is:</w:t>
      </w:r>
      <w:r w:rsidR="00615AB8">
        <w:rPr>
          <w:rFonts w:ascii="Arial" w:hAnsi="Arial" w:cs="Arial"/>
          <w:sz w:val="24"/>
          <w:szCs w:val="24"/>
        </w:rPr>
        <w:t xml:space="preserve"> Posbus 896, Grootbrak 6525.</w:t>
      </w:r>
      <w:r w:rsidR="002F5450">
        <w:rPr>
          <w:rFonts w:ascii="Arial" w:hAnsi="Arial" w:cs="Arial"/>
          <w:sz w:val="24"/>
          <w:szCs w:val="24"/>
        </w:rPr>
        <w:t xml:space="preserve"> </w:t>
      </w:r>
      <w:r w:rsidR="00CF5DF9">
        <w:rPr>
          <w:rFonts w:ascii="Arial" w:hAnsi="Arial" w:cs="Arial"/>
          <w:sz w:val="24"/>
          <w:szCs w:val="24"/>
        </w:rPr>
        <w:t xml:space="preserve">First defendant’s address </w:t>
      </w:r>
      <w:r w:rsidR="006D421D">
        <w:rPr>
          <w:rFonts w:ascii="Arial" w:hAnsi="Arial" w:cs="Arial"/>
          <w:sz w:val="24"/>
          <w:szCs w:val="24"/>
        </w:rPr>
        <w:t xml:space="preserve">on the face of </w:t>
      </w:r>
      <w:r w:rsidR="006D421D" w:rsidRPr="006D421D">
        <w:rPr>
          <w:rFonts w:ascii="Arial" w:hAnsi="Arial" w:cs="Arial"/>
          <w:sz w:val="24"/>
          <w:szCs w:val="24"/>
          <w:u w:val="single"/>
        </w:rPr>
        <w:t>L</w:t>
      </w:r>
      <w:r w:rsidR="00CF5DF9" w:rsidRPr="006D421D">
        <w:rPr>
          <w:rFonts w:ascii="Arial" w:hAnsi="Arial" w:cs="Arial"/>
          <w:sz w:val="24"/>
          <w:szCs w:val="24"/>
          <w:u w:val="single"/>
        </w:rPr>
        <w:t>oan agreement</w:t>
      </w:r>
      <w:r w:rsidR="00CF5DF9">
        <w:rPr>
          <w:rFonts w:ascii="Arial" w:hAnsi="Arial" w:cs="Arial"/>
          <w:sz w:val="24"/>
          <w:szCs w:val="24"/>
        </w:rPr>
        <w:t xml:space="preserve"> (“RET4”) is </w:t>
      </w:r>
      <w:r w:rsidR="006D421D" w:rsidRPr="006D421D">
        <w:rPr>
          <w:rFonts w:ascii="Arial" w:hAnsi="Arial" w:cs="Arial"/>
          <w:sz w:val="24"/>
          <w:szCs w:val="24"/>
          <w:u w:val="single"/>
        </w:rPr>
        <w:t xml:space="preserve">President </w:t>
      </w:r>
      <w:r w:rsidR="00CF5DF9" w:rsidRPr="006D421D">
        <w:rPr>
          <w:rFonts w:ascii="Arial" w:hAnsi="Arial" w:cs="Arial"/>
          <w:sz w:val="24"/>
          <w:szCs w:val="24"/>
          <w:u w:val="single"/>
        </w:rPr>
        <w:t>Boshofstraat 22, Bethlehem</w:t>
      </w:r>
      <w:r w:rsidR="00CF5DF9">
        <w:rPr>
          <w:rFonts w:ascii="Arial" w:hAnsi="Arial" w:cs="Arial"/>
          <w:sz w:val="24"/>
          <w:szCs w:val="24"/>
        </w:rPr>
        <w:t xml:space="preserve">. </w:t>
      </w:r>
      <w:r w:rsidR="002A0046">
        <w:rPr>
          <w:rFonts w:ascii="Arial" w:hAnsi="Arial" w:cs="Arial"/>
          <w:sz w:val="24"/>
          <w:szCs w:val="24"/>
        </w:rPr>
        <w:t>Paragraph</w:t>
      </w:r>
      <w:r w:rsidR="00CF5DF9">
        <w:rPr>
          <w:rFonts w:ascii="Arial" w:hAnsi="Arial" w:cs="Arial"/>
          <w:sz w:val="24"/>
          <w:szCs w:val="24"/>
        </w:rPr>
        <w:t xml:space="preserve"> 16.3-16.4 of </w:t>
      </w:r>
      <w:r w:rsidR="006D421D">
        <w:rPr>
          <w:rFonts w:ascii="Arial" w:hAnsi="Arial" w:cs="Arial"/>
          <w:sz w:val="24"/>
          <w:szCs w:val="24"/>
        </w:rPr>
        <w:t>(</w:t>
      </w:r>
      <w:r w:rsidR="00CF5DF9">
        <w:rPr>
          <w:rFonts w:ascii="Arial" w:hAnsi="Arial" w:cs="Arial"/>
          <w:sz w:val="24"/>
          <w:szCs w:val="24"/>
        </w:rPr>
        <w:t>“RET4”</w:t>
      </w:r>
      <w:r w:rsidR="006D421D">
        <w:rPr>
          <w:rFonts w:ascii="Arial" w:hAnsi="Arial" w:cs="Arial"/>
          <w:sz w:val="24"/>
          <w:szCs w:val="24"/>
        </w:rPr>
        <w:t>)</w:t>
      </w:r>
      <w:r w:rsidR="00CF5DF9">
        <w:rPr>
          <w:rFonts w:ascii="Arial" w:hAnsi="Arial" w:cs="Arial"/>
          <w:sz w:val="24"/>
          <w:szCs w:val="24"/>
        </w:rPr>
        <w:t xml:space="preserve"> reads: </w:t>
      </w:r>
    </w:p>
    <w:p w:rsidR="00CF5DF9" w:rsidRPr="002E4BE1" w:rsidRDefault="00CF5DF9" w:rsidP="00512A84">
      <w:pPr>
        <w:spacing w:line="360" w:lineRule="auto"/>
        <w:ind w:left="1440"/>
        <w:jc w:val="both"/>
        <w:rPr>
          <w:rFonts w:ascii="Arial" w:hAnsi="Arial" w:cs="Arial"/>
        </w:rPr>
      </w:pPr>
      <w:r w:rsidRPr="002E4BE1">
        <w:rPr>
          <w:rFonts w:ascii="Arial" w:hAnsi="Arial" w:cs="Arial"/>
        </w:rPr>
        <w:t xml:space="preserve">“…a notice served on either party to this Agreement will have been properly served when it has been either delivered to that party or sent by registered mail to that last party’s last known address. Any notice between parties to this agreement shall </w:t>
      </w:r>
      <w:r w:rsidRPr="002E4BE1">
        <w:rPr>
          <w:rFonts w:ascii="Arial" w:hAnsi="Arial" w:cs="Arial"/>
          <w:i/>
        </w:rPr>
        <w:t>prima facie</w:t>
      </w:r>
      <w:r w:rsidRPr="002E4BE1">
        <w:rPr>
          <w:rFonts w:ascii="Arial" w:hAnsi="Arial" w:cs="Arial"/>
        </w:rPr>
        <w:t xml:space="preserve"> be deemed to have been delivered on the day of hand delivery thereof or </w:t>
      </w:r>
      <w:r w:rsidRPr="002E4BE1">
        <w:rPr>
          <w:rFonts w:ascii="Arial" w:hAnsi="Arial" w:cs="Arial"/>
          <w:u w:val="single"/>
        </w:rPr>
        <w:t>on the 4</w:t>
      </w:r>
      <w:r w:rsidR="00F43C72" w:rsidRPr="002E4BE1">
        <w:rPr>
          <w:rFonts w:ascii="Arial" w:hAnsi="Arial" w:cs="Arial"/>
          <w:u w:val="single"/>
        </w:rPr>
        <w:t xml:space="preserve"> </w:t>
      </w:r>
      <w:r w:rsidRPr="002E4BE1">
        <w:rPr>
          <w:rFonts w:ascii="Arial" w:hAnsi="Arial" w:cs="Arial"/>
          <w:u w:val="single"/>
        </w:rPr>
        <w:t>(forth) day</w:t>
      </w:r>
      <w:r w:rsidRPr="002E4BE1">
        <w:rPr>
          <w:rFonts w:ascii="Arial" w:hAnsi="Arial" w:cs="Arial"/>
        </w:rPr>
        <w:t xml:space="preserve"> after posting of a pre-paid registered letter”</w:t>
      </w:r>
    </w:p>
    <w:p w:rsidR="006B1217" w:rsidRDefault="00CF5DF9" w:rsidP="00E02CEC">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24</w:t>
      </w:r>
      <w:r>
        <w:rPr>
          <w:rFonts w:ascii="Arial" w:hAnsi="Arial" w:cs="Arial"/>
          <w:sz w:val="24"/>
          <w:szCs w:val="24"/>
        </w:rPr>
        <w:t>]</w:t>
      </w:r>
      <w:r>
        <w:rPr>
          <w:rFonts w:ascii="Arial" w:hAnsi="Arial" w:cs="Arial"/>
          <w:sz w:val="24"/>
          <w:szCs w:val="24"/>
        </w:rPr>
        <w:tab/>
      </w:r>
      <w:r w:rsidR="006D421D">
        <w:rPr>
          <w:rFonts w:ascii="Arial" w:hAnsi="Arial" w:cs="Arial"/>
          <w:sz w:val="24"/>
          <w:szCs w:val="24"/>
        </w:rPr>
        <w:t xml:space="preserve">The chosen </w:t>
      </w:r>
      <w:r w:rsidR="00615AB8" w:rsidRPr="006D421D">
        <w:rPr>
          <w:rFonts w:ascii="Arial" w:hAnsi="Arial" w:cs="Arial"/>
          <w:i/>
          <w:sz w:val="24"/>
          <w:szCs w:val="24"/>
        </w:rPr>
        <w:t>domicili</w:t>
      </w:r>
      <w:r w:rsidRPr="006D421D">
        <w:rPr>
          <w:rFonts w:ascii="Arial" w:hAnsi="Arial" w:cs="Arial"/>
          <w:i/>
          <w:sz w:val="24"/>
          <w:szCs w:val="24"/>
        </w:rPr>
        <w:t>a citandi et executand</w:t>
      </w:r>
      <w:r w:rsidR="006D421D" w:rsidRPr="006D421D">
        <w:rPr>
          <w:rFonts w:ascii="Arial" w:hAnsi="Arial" w:cs="Arial"/>
          <w:i/>
          <w:sz w:val="24"/>
          <w:szCs w:val="24"/>
        </w:rPr>
        <w:t>i</w:t>
      </w:r>
      <w:r w:rsidR="006D421D">
        <w:rPr>
          <w:rFonts w:ascii="Arial" w:hAnsi="Arial" w:cs="Arial"/>
          <w:sz w:val="24"/>
          <w:szCs w:val="24"/>
        </w:rPr>
        <w:t xml:space="preserve">, in respect of the </w:t>
      </w:r>
      <w:r w:rsidR="006D421D" w:rsidRPr="006D421D">
        <w:rPr>
          <w:rFonts w:ascii="Arial" w:hAnsi="Arial" w:cs="Arial"/>
          <w:sz w:val="24"/>
          <w:szCs w:val="24"/>
          <w:u w:val="single"/>
        </w:rPr>
        <w:t>Overdraft (“RET5”) is President Boshofstraat 22, Bethlehem</w:t>
      </w:r>
      <w:r w:rsidR="006D421D">
        <w:rPr>
          <w:rFonts w:ascii="Arial" w:hAnsi="Arial" w:cs="Arial"/>
          <w:sz w:val="24"/>
          <w:szCs w:val="24"/>
        </w:rPr>
        <w:t xml:space="preserve">, whereas the address as reflected on </w:t>
      </w:r>
      <w:r w:rsidR="006D421D" w:rsidRPr="006D421D">
        <w:rPr>
          <w:rFonts w:ascii="Arial" w:hAnsi="Arial" w:cs="Arial"/>
          <w:sz w:val="24"/>
          <w:szCs w:val="24"/>
          <w:u w:val="single"/>
        </w:rPr>
        <w:t>(“RET6</w:t>
      </w:r>
      <w:r w:rsidR="00A649E7">
        <w:rPr>
          <w:rFonts w:ascii="Arial" w:hAnsi="Arial" w:cs="Arial"/>
          <w:sz w:val="24"/>
          <w:szCs w:val="24"/>
          <w:u w:val="single"/>
        </w:rPr>
        <w:t>”</w:t>
      </w:r>
      <w:r w:rsidR="006D421D" w:rsidRPr="006D421D">
        <w:rPr>
          <w:rFonts w:ascii="Arial" w:hAnsi="Arial" w:cs="Arial"/>
          <w:sz w:val="24"/>
          <w:szCs w:val="24"/>
          <w:u w:val="single"/>
        </w:rPr>
        <w:t>) is Posbus 896, Grootbrakrivier, 6525</w:t>
      </w:r>
      <w:r w:rsidR="006D421D">
        <w:rPr>
          <w:rFonts w:ascii="Arial" w:hAnsi="Arial" w:cs="Arial"/>
          <w:sz w:val="24"/>
          <w:szCs w:val="24"/>
        </w:rPr>
        <w:t xml:space="preserve">. Counsel for the </w:t>
      </w:r>
      <w:r w:rsidR="004D54C6">
        <w:rPr>
          <w:rFonts w:ascii="Arial" w:hAnsi="Arial" w:cs="Arial"/>
          <w:sz w:val="24"/>
          <w:szCs w:val="24"/>
        </w:rPr>
        <w:t>defendants</w:t>
      </w:r>
      <w:r w:rsidR="006D421D">
        <w:rPr>
          <w:rFonts w:ascii="Arial" w:hAnsi="Arial" w:cs="Arial"/>
          <w:sz w:val="24"/>
          <w:szCs w:val="24"/>
        </w:rPr>
        <w:t xml:space="preserve"> argue that the address on (“RET6”) is not the chosen </w:t>
      </w:r>
      <w:r w:rsidR="006D421D" w:rsidRPr="004D54C6">
        <w:rPr>
          <w:rFonts w:ascii="Arial" w:hAnsi="Arial" w:cs="Arial"/>
          <w:i/>
          <w:sz w:val="24"/>
          <w:szCs w:val="24"/>
        </w:rPr>
        <w:t>domicilium</w:t>
      </w:r>
      <w:r w:rsidR="006D421D">
        <w:rPr>
          <w:rFonts w:ascii="Arial" w:hAnsi="Arial" w:cs="Arial"/>
          <w:sz w:val="24"/>
          <w:szCs w:val="24"/>
        </w:rPr>
        <w:t xml:space="preserve"> and even if one can </w:t>
      </w:r>
      <w:r w:rsidR="004D54C6">
        <w:rPr>
          <w:rFonts w:ascii="Arial" w:hAnsi="Arial" w:cs="Arial"/>
          <w:sz w:val="24"/>
          <w:szCs w:val="24"/>
        </w:rPr>
        <w:t>deem</w:t>
      </w:r>
      <w:r w:rsidR="006D421D">
        <w:rPr>
          <w:rFonts w:ascii="Arial" w:hAnsi="Arial" w:cs="Arial"/>
          <w:sz w:val="24"/>
          <w:szCs w:val="24"/>
        </w:rPr>
        <w:t xml:space="preserve"> delivery </w:t>
      </w:r>
      <w:r w:rsidR="004D54C6">
        <w:rPr>
          <w:rFonts w:ascii="Arial" w:hAnsi="Arial" w:cs="Arial"/>
          <w:sz w:val="24"/>
          <w:szCs w:val="24"/>
        </w:rPr>
        <w:t xml:space="preserve">to have taken place </w:t>
      </w:r>
      <w:r w:rsidR="006D421D">
        <w:rPr>
          <w:rFonts w:ascii="Arial" w:hAnsi="Arial" w:cs="Arial"/>
          <w:sz w:val="24"/>
          <w:szCs w:val="24"/>
        </w:rPr>
        <w:t xml:space="preserve">after 4 days, </w:t>
      </w:r>
      <w:r w:rsidR="004D54C6">
        <w:rPr>
          <w:rFonts w:ascii="Arial" w:hAnsi="Arial" w:cs="Arial"/>
          <w:sz w:val="24"/>
          <w:szCs w:val="24"/>
        </w:rPr>
        <w:t xml:space="preserve">the notice (“RET6”) is dated 3 February 2021, whereas the time period defendants is afforded to submit the FICA documents </w:t>
      </w:r>
      <w:r w:rsidR="00BB6AE1">
        <w:rPr>
          <w:rFonts w:ascii="Arial" w:hAnsi="Arial" w:cs="Arial"/>
          <w:sz w:val="24"/>
          <w:szCs w:val="24"/>
        </w:rPr>
        <w:t>was</w:t>
      </w:r>
      <w:r w:rsidR="004D54C6">
        <w:rPr>
          <w:rFonts w:ascii="Arial" w:hAnsi="Arial" w:cs="Arial"/>
          <w:sz w:val="24"/>
          <w:szCs w:val="24"/>
        </w:rPr>
        <w:t xml:space="preserve"> until 5 February 2021. </w:t>
      </w:r>
      <w:r w:rsidR="00BB6AE1">
        <w:rPr>
          <w:rFonts w:ascii="Arial" w:hAnsi="Arial" w:cs="Arial"/>
          <w:sz w:val="24"/>
          <w:szCs w:val="24"/>
        </w:rPr>
        <w:t>Therefore, i</w:t>
      </w:r>
      <w:r w:rsidR="004D54C6">
        <w:rPr>
          <w:rFonts w:ascii="Arial" w:hAnsi="Arial" w:cs="Arial"/>
          <w:sz w:val="24"/>
          <w:szCs w:val="24"/>
        </w:rPr>
        <w:t>n the absence of any evidence in the founding affidavit to show how (“RET6”) was delivered</w:t>
      </w:r>
      <w:r w:rsidR="00BB6AE1">
        <w:rPr>
          <w:rFonts w:ascii="Arial" w:hAnsi="Arial" w:cs="Arial"/>
          <w:sz w:val="24"/>
          <w:szCs w:val="24"/>
        </w:rPr>
        <w:t xml:space="preserve"> (received) by the defendant(s)</w:t>
      </w:r>
      <w:r w:rsidR="004D54C6">
        <w:rPr>
          <w:rFonts w:ascii="Arial" w:hAnsi="Arial" w:cs="Arial"/>
          <w:sz w:val="24"/>
          <w:szCs w:val="24"/>
        </w:rPr>
        <w:t xml:space="preserve">, the argument raised by defendants in this regard, is well founded.  </w:t>
      </w:r>
      <w:r>
        <w:rPr>
          <w:rFonts w:ascii="Arial" w:hAnsi="Arial" w:cs="Arial"/>
          <w:sz w:val="24"/>
          <w:szCs w:val="24"/>
        </w:rPr>
        <w:t xml:space="preserve"> </w:t>
      </w:r>
    </w:p>
    <w:p w:rsidR="00321D80" w:rsidRPr="002E4BE1" w:rsidRDefault="00976F5F" w:rsidP="00E02CEC">
      <w:pPr>
        <w:spacing w:line="360" w:lineRule="auto"/>
        <w:ind w:left="720" w:hanging="720"/>
        <w:jc w:val="both"/>
        <w:rPr>
          <w:rFonts w:ascii="Arial" w:hAnsi="Arial" w:cs="Arial"/>
        </w:rPr>
      </w:pPr>
      <w:r>
        <w:rPr>
          <w:rFonts w:ascii="Arial" w:hAnsi="Arial" w:cs="Arial"/>
          <w:sz w:val="24"/>
          <w:szCs w:val="24"/>
        </w:rPr>
        <w:t>[</w:t>
      </w:r>
      <w:r w:rsidR="001C264D">
        <w:rPr>
          <w:rFonts w:ascii="Arial" w:hAnsi="Arial" w:cs="Arial"/>
          <w:sz w:val="24"/>
          <w:szCs w:val="24"/>
        </w:rPr>
        <w:t>25</w:t>
      </w:r>
      <w:r>
        <w:rPr>
          <w:rFonts w:ascii="Arial" w:hAnsi="Arial" w:cs="Arial"/>
          <w:sz w:val="24"/>
          <w:szCs w:val="24"/>
        </w:rPr>
        <w:t>]</w:t>
      </w:r>
      <w:r>
        <w:rPr>
          <w:rFonts w:ascii="Arial" w:hAnsi="Arial" w:cs="Arial"/>
          <w:sz w:val="24"/>
          <w:szCs w:val="24"/>
        </w:rPr>
        <w:tab/>
      </w:r>
      <w:r w:rsidR="001417ED">
        <w:rPr>
          <w:rFonts w:ascii="Arial" w:hAnsi="Arial" w:cs="Arial"/>
          <w:sz w:val="24"/>
          <w:szCs w:val="24"/>
        </w:rPr>
        <w:t xml:space="preserve">The defendants </w:t>
      </w:r>
      <w:r w:rsidR="00C00379">
        <w:rPr>
          <w:rFonts w:ascii="Arial" w:hAnsi="Arial" w:cs="Arial"/>
          <w:sz w:val="24"/>
          <w:szCs w:val="24"/>
        </w:rPr>
        <w:t xml:space="preserve">further </w:t>
      </w:r>
      <w:r w:rsidR="001417ED">
        <w:rPr>
          <w:rFonts w:ascii="Arial" w:hAnsi="Arial" w:cs="Arial"/>
          <w:sz w:val="24"/>
          <w:szCs w:val="24"/>
        </w:rPr>
        <w:t>pleaded</w:t>
      </w:r>
      <w:r w:rsidR="001417ED">
        <w:rPr>
          <w:rStyle w:val="FootnoteReference"/>
          <w:rFonts w:ascii="Arial" w:hAnsi="Arial" w:cs="Arial"/>
          <w:sz w:val="24"/>
          <w:szCs w:val="24"/>
        </w:rPr>
        <w:footnoteReference w:id="18"/>
      </w:r>
      <w:r w:rsidR="001417ED">
        <w:rPr>
          <w:rFonts w:ascii="Arial" w:hAnsi="Arial" w:cs="Arial"/>
          <w:sz w:val="24"/>
          <w:szCs w:val="24"/>
        </w:rPr>
        <w:t xml:space="preserve"> that plaintiff has without any legal </w:t>
      </w:r>
      <w:r w:rsidR="00321D80">
        <w:rPr>
          <w:rFonts w:ascii="Arial" w:hAnsi="Arial" w:cs="Arial"/>
          <w:sz w:val="24"/>
          <w:szCs w:val="24"/>
        </w:rPr>
        <w:t>cause</w:t>
      </w:r>
      <w:r w:rsidR="001417ED">
        <w:rPr>
          <w:rFonts w:ascii="Arial" w:hAnsi="Arial" w:cs="Arial"/>
          <w:sz w:val="24"/>
          <w:szCs w:val="24"/>
        </w:rPr>
        <w:t xml:space="preserve"> or justification unlawfully debited certain amounts</w:t>
      </w:r>
      <w:r w:rsidR="001417ED">
        <w:rPr>
          <w:rStyle w:val="FootnoteReference"/>
          <w:rFonts w:ascii="Arial" w:hAnsi="Arial" w:cs="Arial"/>
          <w:sz w:val="24"/>
          <w:szCs w:val="24"/>
        </w:rPr>
        <w:footnoteReference w:id="19"/>
      </w:r>
      <w:r w:rsidR="001417ED">
        <w:rPr>
          <w:rFonts w:ascii="Arial" w:hAnsi="Arial" w:cs="Arial"/>
          <w:sz w:val="24"/>
          <w:szCs w:val="24"/>
        </w:rPr>
        <w:t xml:space="preserve"> in purported “excess fees” when the defendants had not, on the </w:t>
      </w:r>
      <w:r w:rsidR="00321D80">
        <w:rPr>
          <w:rFonts w:ascii="Arial" w:hAnsi="Arial" w:cs="Arial"/>
          <w:sz w:val="24"/>
          <w:szCs w:val="24"/>
        </w:rPr>
        <w:t>plaintiff’s</w:t>
      </w:r>
      <w:r w:rsidR="001417ED">
        <w:rPr>
          <w:rFonts w:ascii="Arial" w:hAnsi="Arial" w:cs="Arial"/>
          <w:sz w:val="24"/>
          <w:szCs w:val="24"/>
        </w:rPr>
        <w:t xml:space="preserve"> own version, exceeded the </w:t>
      </w:r>
      <w:r w:rsidR="00C00379">
        <w:rPr>
          <w:rFonts w:ascii="Arial" w:hAnsi="Arial" w:cs="Arial"/>
          <w:sz w:val="24"/>
          <w:szCs w:val="24"/>
        </w:rPr>
        <w:t>O</w:t>
      </w:r>
      <w:r w:rsidR="001417ED">
        <w:rPr>
          <w:rFonts w:ascii="Arial" w:hAnsi="Arial" w:cs="Arial"/>
          <w:sz w:val="24"/>
          <w:szCs w:val="24"/>
        </w:rPr>
        <w:t xml:space="preserve">verdraft </w:t>
      </w:r>
      <w:r w:rsidR="00C00379">
        <w:rPr>
          <w:rFonts w:ascii="Arial" w:hAnsi="Arial" w:cs="Arial"/>
          <w:sz w:val="24"/>
          <w:szCs w:val="24"/>
        </w:rPr>
        <w:t>F</w:t>
      </w:r>
      <w:r w:rsidR="001417ED">
        <w:rPr>
          <w:rFonts w:ascii="Arial" w:hAnsi="Arial" w:cs="Arial"/>
          <w:sz w:val="24"/>
          <w:szCs w:val="24"/>
        </w:rPr>
        <w:t xml:space="preserve">acility. </w:t>
      </w:r>
      <w:r w:rsidR="00C3023E">
        <w:rPr>
          <w:rFonts w:ascii="Arial" w:hAnsi="Arial" w:cs="Arial"/>
          <w:sz w:val="24"/>
          <w:szCs w:val="24"/>
        </w:rPr>
        <w:t>On the 8</w:t>
      </w:r>
      <w:r w:rsidR="00C3023E" w:rsidRPr="00C3023E">
        <w:rPr>
          <w:rFonts w:ascii="Arial" w:hAnsi="Arial" w:cs="Arial"/>
          <w:sz w:val="24"/>
          <w:szCs w:val="24"/>
          <w:vertAlign w:val="superscript"/>
        </w:rPr>
        <w:t>th</w:t>
      </w:r>
      <w:r w:rsidR="00C3023E">
        <w:rPr>
          <w:rFonts w:ascii="Arial" w:hAnsi="Arial" w:cs="Arial"/>
          <w:sz w:val="24"/>
          <w:szCs w:val="24"/>
        </w:rPr>
        <w:t xml:space="preserve"> of February 2021, the available credit “disappear</w:t>
      </w:r>
      <w:r w:rsidR="00C00379">
        <w:rPr>
          <w:rFonts w:ascii="Arial" w:hAnsi="Arial" w:cs="Arial"/>
          <w:sz w:val="24"/>
          <w:szCs w:val="24"/>
        </w:rPr>
        <w:t>ed</w:t>
      </w:r>
      <w:r w:rsidR="00C3023E">
        <w:rPr>
          <w:rFonts w:ascii="Arial" w:hAnsi="Arial" w:cs="Arial"/>
          <w:sz w:val="24"/>
          <w:szCs w:val="24"/>
        </w:rPr>
        <w:t>”</w:t>
      </w:r>
      <w:r w:rsidR="00BB6AE1">
        <w:rPr>
          <w:rFonts w:ascii="Arial" w:hAnsi="Arial" w:cs="Arial"/>
          <w:sz w:val="24"/>
          <w:szCs w:val="24"/>
        </w:rPr>
        <w:t>,</w:t>
      </w:r>
      <w:r w:rsidR="00C3023E">
        <w:rPr>
          <w:rFonts w:ascii="Arial" w:hAnsi="Arial" w:cs="Arial"/>
          <w:sz w:val="24"/>
          <w:szCs w:val="24"/>
        </w:rPr>
        <w:t xml:space="preserve"> yet the bank continued to deduct the loan instalment of R36 3889.18 as can be </w:t>
      </w:r>
      <w:r w:rsidR="00180FF5">
        <w:rPr>
          <w:rFonts w:ascii="Arial" w:hAnsi="Arial" w:cs="Arial"/>
          <w:sz w:val="24"/>
          <w:szCs w:val="24"/>
        </w:rPr>
        <w:t>gleamed from (</w:t>
      </w:r>
      <w:r w:rsidR="00C00379">
        <w:rPr>
          <w:rFonts w:ascii="Arial" w:hAnsi="Arial" w:cs="Arial"/>
          <w:sz w:val="24"/>
          <w:szCs w:val="24"/>
        </w:rPr>
        <w:t>amongst other</w:t>
      </w:r>
      <w:r w:rsidR="00C3023E">
        <w:rPr>
          <w:rFonts w:ascii="Arial" w:hAnsi="Arial" w:cs="Arial"/>
          <w:sz w:val="24"/>
          <w:szCs w:val="24"/>
        </w:rPr>
        <w:t>) items 231 and 249</w:t>
      </w:r>
      <w:r w:rsidR="00180FF5">
        <w:rPr>
          <w:rStyle w:val="FootnoteReference"/>
          <w:rFonts w:ascii="Arial" w:hAnsi="Arial" w:cs="Arial"/>
          <w:sz w:val="24"/>
          <w:szCs w:val="24"/>
        </w:rPr>
        <w:footnoteReference w:id="20"/>
      </w:r>
      <w:r w:rsidR="00C3023E">
        <w:rPr>
          <w:rFonts w:ascii="Arial" w:hAnsi="Arial" w:cs="Arial"/>
          <w:sz w:val="24"/>
          <w:szCs w:val="24"/>
        </w:rPr>
        <w:t>, in addition to</w:t>
      </w:r>
      <w:r w:rsidR="00FA4C18">
        <w:rPr>
          <w:rFonts w:ascii="Arial" w:hAnsi="Arial" w:cs="Arial"/>
          <w:sz w:val="24"/>
          <w:szCs w:val="24"/>
        </w:rPr>
        <w:t>,</w:t>
      </w:r>
      <w:r w:rsidR="00C3023E">
        <w:rPr>
          <w:rFonts w:ascii="Arial" w:hAnsi="Arial" w:cs="Arial"/>
          <w:sz w:val="24"/>
          <w:szCs w:val="24"/>
        </w:rPr>
        <w:t xml:space="preserve"> excess fees, which according to </w:t>
      </w:r>
      <w:r w:rsidR="00C00379">
        <w:rPr>
          <w:rFonts w:ascii="Arial" w:hAnsi="Arial" w:cs="Arial"/>
          <w:sz w:val="24"/>
          <w:szCs w:val="24"/>
        </w:rPr>
        <w:t>the defendants</w:t>
      </w:r>
      <w:r w:rsidR="00C3023E">
        <w:rPr>
          <w:rFonts w:ascii="Arial" w:hAnsi="Arial" w:cs="Arial"/>
          <w:sz w:val="24"/>
          <w:szCs w:val="24"/>
        </w:rPr>
        <w:t xml:space="preserve"> were not permissible, as the facility was not overdrawn.</w:t>
      </w:r>
      <w:r w:rsidR="00FA4C18">
        <w:rPr>
          <w:rFonts w:ascii="Arial" w:hAnsi="Arial" w:cs="Arial"/>
          <w:sz w:val="24"/>
          <w:szCs w:val="24"/>
        </w:rPr>
        <w:t xml:space="preserve"> As </w:t>
      </w:r>
      <w:r w:rsidR="00C00379">
        <w:rPr>
          <w:rFonts w:ascii="Arial" w:hAnsi="Arial" w:cs="Arial"/>
          <w:sz w:val="24"/>
          <w:szCs w:val="24"/>
        </w:rPr>
        <w:t xml:space="preserve">a result of the </w:t>
      </w:r>
      <w:r w:rsidR="00FA4C18">
        <w:rPr>
          <w:rFonts w:ascii="Arial" w:hAnsi="Arial" w:cs="Arial"/>
          <w:sz w:val="24"/>
          <w:szCs w:val="24"/>
        </w:rPr>
        <w:t xml:space="preserve">facility </w:t>
      </w:r>
      <w:r w:rsidR="00C00379">
        <w:rPr>
          <w:rFonts w:ascii="Arial" w:hAnsi="Arial" w:cs="Arial"/>
          <w:sz w:val="24"/>
          <w:szCs w:val="24"/>
        </w:rPr>
        <w:t xml:space="preserve">being </w:t>
      </w:r>
      <w:r w:rsidR="00FA4C18">
        <w:rPr>
          <w:rFonts w:ascii="Arial" w:hAnsi="Arial" w:cs="Arial"/>
          <w:sz w:val="24"/>
          <w:szCs w:val="24"/>
        </w:rPr>
        <w:lastRenderedPageBreak/>
        <w:t xml:space="preserve">suspended, </w:t>
      </w:r>
      <w:r w:rsidR="00C00379">
        <w:rPr>
          <w:rFonts w:ascii="Arial" w:hAnsi="Arial" w:cs="Arial"/>
          <w:sz w:val="24"/>
          <w:szCs w:val="24"/>
        </w:rPr>
        <w:t>debit orders in respect of the L</w:t>
      </w:r>
      <w:r w:rsidR="00FA4C18">
        <w:rPr>
          <w:rFonts w:ascii="Arial" w:hAnsi="Arial" w:cs="Arial"/>
          <w:sz w:val="24"/>
          <w:szCs w:val="24"/>
        </w:rPr>
        <w:t>oan account were dishonoured as from 1 March 2021.</w:t>
      </w:r>
      <w:r w:rsidR="00180FF5">
        <w:rPr>
          <w:rFonts w:ascii="Arial" w:hAnsi="Arial" w:cs="Arial"/>
          <w:sz w:val="24"/>
          <w:szCs w:val="24"/>
        </w:rPr>
        <w:t xml:space="preserve"> To this extend</w:t>
      </w:r>
      <w:r w:rsidR="00FA4C18">
        <w:rPr>
          <w:rFonts w:ascii="Arial" w:hAnsi="Arial" w:cs="Arial"/>
          <w:sz w:val="24"/>
          <w:szCs w:val="24"/>
        </w:rPr>
        <w:t xml:space="preserve">, defendants </w:t>
      </w:r>
      <w:r w:rsidR="00180FF5">
        <w:rPr>
          <w:rFonts w:ascii="Arial" w:hAnsi="Arial" w:cs="Arial"/>
          <w:sz w:val="24"/>
          <w:szCs w:val="24"/>
        </w:rPr>
        <w:t xml:space="preserve">referred </w:t>
      </w:r>
      <w:r w:rsidR="00FA4C18">
        <w:rPr>
          <w:rFonts w:ascii="Arial" w:hAnsi="Arial" w:cs="Arial"/>
          <w:sz w:val="24"/>
          <w:szCs w:val="24"/>
        </w:rPr>
        <w:t xml:space="preserve">this court to </w:t>
      </w:r>
      <w:r w:rsidR="00180FF5">
        <w:rPr>
          <w:rFonts w:ascii="Arial" w:hAnsi="Arial" w:cs="Arial"/>
          <w:sz w:val="24"/>
          <w:szCs w:val="24"/>
        </w:rPr>
        <w:t xml:space="preserve">the cases of </w:t>
      </w:r>
      <w:r w:rsidR="00180FF5" w:rsidRPr="00180FF5">
        <w:rPr>
          <w:rFonts w:ascii="Arial" w:hAnsi="Arial" w:cs="Arial"/>
          <w:i/>
          <w:sz w:val="24"/>
          <w:szCs w:val="24"/>
        </w:rPr>
        <w:t>NBS Boland Bank Ltd v One Berg River Drive CC and Others; Deeb and another v Absa Ltd; Friedman v Standard Bank of SA Ltd</w:t>
      </w:r>
      <w:r w:rsidR="00180FF5">
        <w:rPr>
          <w:rStyle w:val="FootnoteReference"/>
          <w:rFonts w:ascii="Arial" w:hAnsi="Arial" w:cs="Arial"/>
          <w:sz w:val="24"/>
          <w:szCs w:val="24"/>
        </w:rPr>
        <w:footnoteReference w:id="21"/>
      </w:r>
      <w:r w:rsidR="00180FF5">
        <w:rPr>
          <w:rFonts w:ascii="Arial" w:hAnsi="Arial" w:cs="Arial"/>
          <w:sz w:val="24"/>
          <w:szCs w:val="24"/>
        </w:rPr>
        <w:t xml:space="preserve"> where it was stated that:</w:t>
      </w:r>
    </w:p>
    <w:p w:rsidR="00180FF5" w:rsidRPr="002E4BE1" w:rsidRDefault="00180FF5" w:rsidP="00180FF5">
      <w:pPr>
        <w:spacing w:line="360" w:lineRule="auto"/>
        <w:ind w:left="1440"/>
        <w:jc w:val="both"/>
        <w:rPr>
          <w:rFonts w:ascii="Arial" w:hAnsi="Arial" w:cs="Arial"/>
        </w:rPr>
      </w:pPr>
      <w:r w:rsidRPr="002E4BE1">
        <w:rPr>
          <w:rFonts w:ascii="Arial" w:hAnsi="Arial" w:cs="Arial"/>
        </w:rPr>
        <w:t xml:space="preserve">“discretion (to call up the overdraft facility) must be exercised in good faith and in a reasonable manner- </w:t>
      </w:r>
      <w:r w:rsidRPr="002E4BE1">
        <w:rPr>
          <w:rFonts w:ascii="Arial" w:hAnsi="Arial" w:cs="Arial"/>
          <w:i/>
        </w:rPr>
        <w:t>arbitrio boni viri</w:t>
      </w:r>
      <w:r w:rsidRPr="002E4BE1">
        <w:rPr>
          <w:rFonts w:ascii="Arial" w:hAnsi="Arial" w:cs="Arial"/>
        </w:rPr>
        <w:t>.”</w:t>
      </w:r>
    </w:p>
    <w:p w:rsidR="00FA4C18" w:rsidRDefault="00FA4C18" w:rsidP="00C00379">
      <w:pPr>
        <w:spacing w:line="360" w:lineRule="auto"/>
        <w:ind w:left="720" w:hanging="720"/>
        <w:jc w:val="both"/>
        <w:rPr>
          <w:rFonts w:ascii="Arial" w:hAnsi="Arial" w:cs="Arial"/>
          <w:sz w:val="24"/>
          <w:szCs w:val="24"/>
        </w:rPr>
      </w:pPr>
      <w:r>
        <w:rPr>
          <w:rFonts w:ascii="Arial" w:hAnsi="Arial" w:cs="Arial"/>
          <w:sz w:val="24"/>
          <w:szCs w:val="24"/>
        </w:rPr>
        <w:t>[2</w:t>
      </w:r>
      <w:r w:rsidR="001C264D">
        <w:rPr>
          <w:rFonts w:ascii="Arial" w:hAnsi="Arial" w:cs="Arial"/>
          <w:sz w:val="24"/>
          <w:szCs w:val="24"/>
        </w:rPr>
        <w:t>6</w:t>
      </w:r>
      <w:r>
        <w:rPr>
          <w:rFonts w:ascii="Arial" w:hAnsi="Arial" w:cs="Arial"/>
          <w:sz w:val="24"/>
          <w:szCs w:val="24"/>
        </w:rPr>
        <w:t>]</w:t>
      </w:r>
      <w:r>
        <w:rPr>
          <w:rFonts w:ascii="Arial" w:hAnsi="Arial" w:cs="Arial"/>
          <w:sz w:val="24"/>
          <w:szCs w:val="24"/>
        </w:rPr>
        <w:tab/>
        <w:t>The plaintiff correctly states</w:t>
      </w:r>
      <w:r>
        <w:rPr>
          <w:rStyle w:val="FootnoteReference"/>
          <w:rFonts w:ascii="Arial" w:hAnsi="Arial" w:cs="Arial"/>
          <w:sz w:val="24"/>
          <w:szCs w:val="24"/>
        </w:rPr>
        <w:footnoteReference w:id="22"/>
      </w:r>
      <w:r>
        <w:rPr>
          <w:rFonts w:ascii="Arial" w:hAnsi="Arial" w:cs="Arial"/>
          <w:sz w:val="24"/>
          <w:szCs w:val="24"/>
        </w:rPr>
        <w:t xml:space="preserve"> </w:t>
      </w:r>
      <w:r w:rsidR="00BB6AE1">
        <w:rPr>
          <w:rFonts w:ascii="Arial" w:hAnsi="Arial" w:cs="Arial"/>
          <w:sz w:val="24"/>
          <w:szCs w:val="24"/>
        </w:rPr>
        <w:t xml:space="preserve">that </w:t>
      </w:r>
      <w:r w:rsidR="00D846FD">
        <w:rPr>
          <w:rFonts w:ascii="Arial" w:hAnsi="Arial" w:cs="Arial"/>
          <w:sz w:val="24"/>
          <w:szCs w:val="24"/>
        </w:rPr>
        <w:t>a claim cannot be regarded as one for a “liquidated amount in money” unless it is based on an obligation to pay an agreed sum of money or is so expresse</w:t>
      </w:r>
      <w:r w:rsidR="00A649E7">
        <w:rPr>
          <w:rFonts w:ascii="Arial" w:hAnsi="Arial" w:cs="Arial"/>
          <w:sz w:val="24"/>
          <w:szCs w:val="24"/>
        </w:rPr>
        <w:t>d</w:t>
      </w:r>
      <w:r w:rsidR="00D846FD">
        <w:rPr>
          <w:rFonts w:ascii="Arial" w:hAnsi="Arial" w:cs="Arial"/>
          <w:sz w:val="24"/>
          <w:szCs w:val="24"/>
        </w:rPr>
        <w:t xml:space="preserve"> that the ascertainment of the amount is a ‘mere matter of calculation’.</w:t>
      </w:r>
      <w:r w:rsidR="00A95D4B">
        <w:rPr>
          <w:rFonts w:ascii="Arial" w:hAnsi="Arial" w:cs="Arial"/>
          <w:sz w:val="24"/>
          <w:szCs w:val="24"/>
        </w:rPr>
        <w:t xml:space="preserve"> The data upon which the calculation is to be based must not contain room for uncertainty, estimation or debate. </w:t>
      </w:r>
    </w:p>
    <w:p w:rsidR="00A95D4B" w:rsidRDefault="0090124E" w:rsidP="00C00379">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27</w:t>
      </w:r>
      <w:r>
        <w:rPr>
          <w:rFonts w:ascii="Arial" w:hAnsi="Arial" w:cs="Arial"/>
          <w:sz w:val="24"/>
          <w:szCs w:val="24"/>
        </w:rPr>
        <w:t>]</w:t>
      </w:r>
      <w:r>
        <w:rPr>
          <w:rFonts w:ascii="Arial" w:hAnsi="Arial" w:cs="Arial"/>
          <w:sz w:val="24"/>
          <w:szCs w:val="24"/>
        </w:rPr>
        <w:tab/>
        <w:t>I</w:t>
      </w:r>
      <w:r w:rsidR="00A95D4B">
        <w:rPr>
          <w:rFonts w:ascii="Arial" w:hAnsi="Arial" w:cs="Arial"/>
          <w:sz w:val="24"/>
          <w:szCs w:val="24"/>
        </w:rPr>
        <w:t xml:space="preserve">n </w:t>
      </w:r>
      <w:r w:rsidR="00A95D4B" w:rsidRPr="0090124E">
        <w:rPr>
          <w:rFonts w:ascii="Arial" w:hAnsi="Arial" w:cs="Arial"/>
          <w:i/>
          <w:sz w:val="24"/>
          <w:szCs w:val="24"/>
        </w:rPr>
        <w:t>casu,</w:t>
      </w:r>
      <w:r w:rsidR="00A95D4B">
        <w:rPr>
          <w:rFonts w:ascii="Arial" w:hAnsi="Arial" w:cs="Arial"/>
          <w:sz w:val="24"/>
          <w:szCs w:val="24"/>
        </w:rPr>
        <w:t xml:space="preserve"> this court is confronted </w:t>
      </w:r>
      <w:r>
        <w:rPr>
          <w:rFonts w:ascii="Arial" w:hAnsi="Arial" w:cs="Arial"/>
          <w:sz w:val="24"/>
          <w:szCs w:val="24"/>
        </w:rPr>
        <w:t xml:space="preserve">with </w:t>
      </w:r>
      <w:r w:rsidR="00BB6AE1">
        <w:rPr>
          <w:rFonts w:ascii="Arial" w:hAnsi="Arial" w:cs="Arial"/>
          <w:sz w:val="24"/>
          <w:szCs w:val="24"/>
        </w:rPr>
        <w:t xml:space="preserve">the </w:t>
      </w:r>
      <w:r w:rsidR="00C00379">
        <w:rPr>
          <w:rFonts w:ascii="Arial" w:hAnsi="Arial" w:cs="Arial"/>
          <w:sz w:val="24"/>
          <w:szCs w:val="24"/>
        </w:rPr>
        <w:t>submission</w:t>
      </w:r>
      <w:r>
        <w:rPr>
          <w:rFonts w:ascii="Arial" w:hAnsi="Arial" w:cs="Arial"/>
          <w:sz w:val="24"/>
          <w:szCs w:val="24"/>
        </w:rPr>
        <w:t xml:space="preserve"> </w:t>
      </w:r>
      <w:r w:rsidR="00C00379">
        <w:rPr>
          <w:rFonts w:ascii="Arial" w:hAnsi="Arial" w:cs="Arial"/>
          <w:sz w:val="24"/>
          <w:szCs w:val="24"/>
        </w:rPr>
        <w:t xml:space="preserve">as </w:t>
      </w:r>
      <w:r>
        <w:rPr>
          <w:rFonts w:ascii="Arial" w:hAnsi="Arial" w:cs="Arial"/>
          <w:sz w:val="24"/>
          <w:szCs w:val="24"/>
        </w:rPr>
        <w:t xml:space="preserve">advanced by the defendants, that plaintiff’s calculation in arriving at the amount due and owing leaves room for uncertainty. </w:t>
      </w:r>
      <w:r w:rsidR="00C00379">
        <w:rPr>
          <w:rFonts w:ascii="Arial" w:hAnsi="Arial" w:cs="Arial"/>
          <w:sz w:val="24"/>
          <w:szCs w:val="24"/>
        </w:rPr>
        <w:t>This defence surely raises a triable issue.</w:t>
      </w:r>
    </w:p>
    <w:p w:rsidR="003C551F" w:rsidRDefault="0090124E" w:rsidP="00C00379">
      <w:pPr>
        <w:spacing w:line="360" w:lineRule="auto"/>
        <w:ind w:left="720" w:hanging="720"/>
        <w:jc w:val="both"/>
        <w:rPr>
          <w:rFonts w:ascii="Arial" w:hAnsi="Arial" w:cs="Arial"/>
          <w:sz w:val="24"/>
          <w:szCs w:val="24"/>
        </w:rPr>
      </w:pPr>
      <w:r>
        <w:rPr>
          <w:rFonts w:ascii="Arial" w:hAnsi="Arial" w:cs="Arial"/>
          <w:sz w:val="24"/>
          <w:szCs w:val="24"/>
        </w:rPr>
        <w:t>[2</w:t>
      </w:r>
      <w:r w:rsidR="001C264D">
        <w:rPr>
          <w:rFonts w:ascii="Arial" w:hAnsi="Arial" w:cs="Arial"/>
          <w:sz w:val="24"/>
          <w:szCs w:val="24"/>
        </w:rPr>
        <w:t>8</w:t>
      </w:r>
      <w:r>
        <w:rPr>
          <w:rFonts w:ascii="Arial" w:hAnsi="Arial" w:cs="Arial"/>
          <w:sz w:val="24"/>
          <w:szCs w:val="24"/>
        </w:rPr>
        <w:t>]</w:t>
      </w:r>
      <w:r>
        <w:rPr>
          <w:rFonts w:ascii="Arial" w:hAnsi="Arial" w:cs="Arial"/>
          <w:sz w:val="24"/>
          <w:szCs w:val="24"/>
        </w:rPr>
        <w:tab/>
        <w:t>The prayer</w:t>
      </w:r>
      <w:r>
        <w:rPr>
          <w:rStyle w:val="FootnoteReference"/>
          <w:rFonts w:ascii="Arial" w:hAnsi="Arial" w:cs="Arial"/>
          <w:sz w:val="24"/>
          <w:szCs w:val="24"/>
        </w:rPr>
        <w:footnoteReference w:id="23"/>
      </w:r>
      <w:r>
        <w:rPr>
          <w:rFonts w:ascii="Arial" w:hAnsi="Arial" w:cs="Arial"/>
          <w:sz w:val="24"/>
          <w:szCs w:val="24"/>
        </w:rPr>
        <w:t xml:space="preserve"> seeking an order to declare certain properties specially executable was not </w:t>
      </w:r>
      <w:r w:rsidR="00714FD6">
        <w:rPr>
          <w:rFonts w:ascii="Arial" w:hAnsi="Arial" w:cs="Arial"/>
          <w:sz w:val="24"/>
          <w:szCs w:val="24"/>
        </w:rPr>
        <w:t xml:space="preserve">pursued by plaintiff in </w:t>
      </w:r>
      <w:r w:rsidR="00A649E7">
        <w:rPr>
          <w:rFonts w:ascii="Arial" w:hAnsi="Arial" w:cs="Arial"/>
          <w:sz w:val="24"/>
          <w:szCs w:val="24"/>
        </w:rPr>
        <w:t>this</w:t>
      </w:r>
      <w:r w:rsidR="00714FD6">
        <w:rPr>
          <w:rFonts w:ascii="Arial" w:hAnsi="Arial" w:cs="Arial"/>
          <w:sz w:val="24"/>
          <w:szCs w:val="24"/>
        </w:rPr>
        <w:t xml:space="preserve"> application or argument and will this court not address any issues which </w:t>
      </w:r>
      <w:r w:rsidR="00BB6AE1">
        <w:rPr>
          <w:rFonts w:ascii="Arial" w:hAnsi="Arial" w:cs="Arial"/>
          <w:sz w:val="24"/>
          <w:szCs w:val="24"/>
        </w:rPr>
        <w:t>stem from it</w:t>
      </w:r>
      <w:r w:rsidR="00714FD6">
        <w:rPr>
          <w:rFonts w:ascii="Arial" w:hAnsi="Arial" w:cs="Arial"/>
          <w:sz w:val="24"/>
          <w:szCs w:val="24"/>
        </w:rPr>
        <w:t>.</w:t>
      </w:r>
    </w:p>
    <w:p w:rsidR="00714FD6" w:rsidRDefault="003C551F" w:rsidP="00C00379">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29</w:t>
      </w:r>
      <w:r>
        <w:rPr>
          <w:rFonts w:ascii="Arial" w:hAnsi="Arial" w:cs="Arial"/>
          <w:sz w:val="24"/>
          <w:szCs w:val="24"/>
        </w:rPr>
        <w:t>]</w:t>
      </w:r>
      <w:r>
        <w:rPr>
          <w:rFonts w:ascii="Arial" w:hAnsi="Arial" w:cs="Arial"/>
          <w:sz w:val="24"/>
          <w:szCs w:val="24"/>
        </w:rPr>
        <w:tab/>
        <w:t>T</w:t>
      </w:r>
      <w:r w:rsidR="00382A6E">
        <w:rPr>
          <w:rFonts w:ascii="Arial" w:hAnsi="Arial" w:cs="Arial"/>
          <w:sz w:val="24"/>
          <w:szCs w:val="24"/>
        </w:rPr>
        <w:t xml:space="preserve">he defence of “inducement” </w:t>
      </w:r>
      <w:r>
        <w:rPr>
          <w:rFonts w:ascii="Arial" w:hAnsi="Arial" w:cs="Arial"/>
          <w:sz w:val="24"/>
          <w:szCs w:val="24"/>
        </w:rPr>
        <w:t xml:space="preserve">also do not </w:t>
      </w:r>
      <w:r w:rsidR="00382A6E">
        <w:rPr>
          <w:rFonts w:ascii="Arial" w:hAnsi="Arial" w:cs="Arial"/>
          <w:sz w:val="24"/>
          <w:szCs w:val="24"/>
        </w:rPr>
        <w:t xml:space="preserve">warrant </w:t>
      </w:r>
      <w:r>
        <w:rPr>
          <w:rFonts w:ascii="Arial" w:hAnsi="Arial" w:cs="Arial"/>
          <w:sz w:val="24"/>
          <w:szCs w:val="24"/>
        </w:rPr>
        <w:t xml:space="preserve">any </w:t>
      </w:r>
      <w:r w:rsidR="00382A6E">
        <w:rPr>
          <w:rFonts w:ascii="Arial" w:hAnsi="Arial" w:cs="Arial"/>
          <w:sz w:val="24"/>
          <w:szCs w:val="24"/>
        </w:rPr>
        <w:t xml:space="preserve">further attention </w:t>
      </w:r>
      <w:r>
        <w:rPr>
          <w:rFonts w:ascii="Arial" w:hAnsi="Arial" w:cs="Arial"/>
          <w:sz w:val="24"/>
          <w:szCs w:val="24"/>
        </w:rPr>
        <w:t>from</w:t>
      </w:r>
      <w:r w:rsidR="00382A6E">
        <w:rPr>
          <w:rFonts w:ascii="Arial" w:hAnsi="Arial" w:cs="Arial"/>
          <w:sz w:val="24"/>
          <w:szCs w:val="24"/>
        </w:rPr>
        <w:t xml:space="preserve"> this court, save to say that the court agrees with the submission made by plaintiff in this regard, that the </w:t>
      </w:r>
      <w:r w:rsidR="00C30BD6">
        <w:rPr>
          <w:rFonts w:ascii="Arial" w:hAnsi="Arial" w:cs="Arial"/>
          <w:sz w:val="24"/>
          <w:szCs w:val="24"/>
        </w:rPr>
        <w:t>defendants</w:t>
      </w:r>
      <w:r w:rsidR="00382A6E">
        <w:rPr>
          <w:rFonts w:ascii="Arial" w:hAnsi="Arial" w:cs="Arial"/>
          <w:sz w:val="24"/>
          <w:szCs w:val="24"/>
        </w:rPr>
        <w:t xml:space="preserve"> in their </w:t>
      </w:r>
      <w:r w:rsidR="00C30BD6">
        <w:rPr>
          <w:rFonts w:ascii="Arial" w:hAnsi="Arial" w:cs="Arial"/>
          <w:sz w:val="24"/>
          <w:szCs w:val="24"/>
        </w:rPr>
        <w:t>plea</w:t>
      </w:r>
      <w:r w:rsidR="00382A6E">
        <w:rPr>
          <w:rFonts w:ascii="Arial" w:hAnsi="Arial" w:cs="Arial"/>
          <w:sz w:val="24"/>
          <w:szCs w:val="24"/>
        </w:rPr>
        <w:t xml:space="preserve"> have admitted to the conclusion of the </w:t>
      </w:r>
      <w:r w:rsidR="00C30BD6">
        <w:rPr>
          <w:rFonts w:ascii="Arial" w:hAnsi="Arial" w:cs="Arial"/>
          <w:sz w:val="24"/>
          <w:szCs w:val="24"/>
        </w:rPr>
        <w:t>contracts</w:t>
      </w:r>
      <w:r w:rsidR="00382A6E">
        <w:rPr>
          <w:rFonts w:ascii="Arial" w:hAnsi="Arial" w:cs="Arial"/>
          <w:sz w:val="24"/>
          <w:szCs w:val="24"/>
        </w:rPr>
        <w:t xml:space="preserve"> and the suretyship agreements and the concomitant terms and conditions. This defence raised is </w:t>
      </w:r>
      <w:r w:rsidR="00C30BD6">
        <w:rPr>
          <w:rFonts w:ascii="Arial" w:hAnsi="Arial" w:cs="Arial"/>
          <w:sz w:val="24"/>
          <w:szCs w:val="24"/>
        </w:rPr>
        <w:t>without</w:t>
      </w:r>
      <w:r w:rsidR="00382A6E">
        <w:rPr>
          <w:rFonts w:ascii="Arial" w:hAnsi="Arial" w:cs="Arial"/>
          <w:sz w:val="24"/>
          <w:szCs w:val="24"/>
        </w:rPr>
        <w:t xml:space="preserve"> merit.</w:t>
      </w:r>
    </w:p>
    <w:p w:rsidR="00E34FE8" w:rsidRDefault="00714FD6" w:rsidP="00C00379">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30</w:t>
      </w:r>
      <w:r>
        <w:rPr>
          <w:rFonts w:ascii="Arial" w:hAnsi="Arial" w:cs="Arial"/>
          <w:sz w:val="24"/>
          <w:szCs w:val="24"/>
        </w:rPr>
        <w:t>]</w:t>
      </w:r>
      <w:r>
        <w:rPr>
          <w:rFonts w:ascii="Arial" w:hAnsi="Arial" w:cs="Arial"/>
          <w:sz w:val="24"/>
          <w:szCs w:val="24"/>
        </w:rPr>
        <w:tab/>
      </w:r>
      <w:r w:rsidR="003C551F">
        <w:rPr>
          <w:rFonts w:ascii="Arial" w:hAnsi="Arial" w:cs="Arial"/>
          <w:sz w:val="24"/>
          <w:szCs w:val="24"/>
        </w:rPr>
        <w:t>This court is mindful that t</w:t>
      </w:r>
      <w:r w:rsidR="008225C8">
        <w:rPr>
          <w:rFonts w:ascii="Arial" w:hAnsi="Arial" w:cs="Arial"/>
          <w:sz w:val="24"/>
          <w:szCs w:val="24"/>
        </w:rPr>
        <w:t>he defendant</w:t>
      </w:r>
      <w:r w:rsidR="00C00379">
        <w:rPr>
          <w:rFonts w:ascii="Arial" w:hAnsi="Arial" w:cs="Arial"/>
          <w:sz w:val="24"/>
          <w:szCs w:val="24"/>
        </w:rPr>
        <w:t>(s)</w:t>
      </w:r>
      <w:r w:rsidR="008225C8">
        <w:rPr>
          <w:rFonts w:ascii="Arial" w:hAnsi="Arial" w:cs="Arial"/>
          <w:sz w:val="24"/>
          <w:szCs w:val="24"/>
        </w:rPr>
        <w:t xml:space="preserve"> is not at this stage required to persuade the court of the correctness of the facts stated by </w:t>
      </w:r>
      <w:r w:rsidR="009E4238">
        <w:rPr>
          <w:rFonts w:ascii="Arial" w:hAnsi="Arial" w:cs="Arial"/>
          <w:sz w:val="24"/>
          <w:szCs w:val="24"/>
        </w:rPr>
        <w:t xml:space="preserve">it </w:t>
      </w:r>
      <w:r w:rsidR="008225C8">
        <w:rPr>
          <w:rFonts w:ascii="Arial" w:hAnsi="Arial" w:cs="Arial"/>
          <w:sz w:val="24"/>
          <w:szCs w:val="24"/>
        </w:rPr>
        <w:t xml:space="preserve">or, where the facts are disputed, that there is a preponderance of probabilities in </w:t>
      </w:r>
      <w:r w:rsidR="009E4238">
        <w:rPr>
          <w:rFonts w:ascii="Arial" w:hAnsi="Arial" w:cs="Arial"/>
          <w:sz w:val="24"/>
          <w:szCs w:val="24"/>
        </w:rPr>
        <w:t>its</w:t>
      </w:r>
      <w:r w:rsidR="008225C8">
        <w:rPr>
          <w:rFonts w:ascii="Arial" w:hAnsi="Arial" w:cs="Arial"/>
          <w:sz w:val="24"/>
          <w:szCs w:val="24"/>
        </w:rPr>
        <w:t xml:space="preserve"> favour,</w:t>
      </w:r>
      <w:r w:rsidR="008225C8">
        <w:rPr>
          <w:rStyle w:val="FootnoteReference"/>
          <w:rFonts w:ascii="Arial" w:hAnsi="Arial" w:cs="Arial"/>
          <w:sz w:val="24"/>
          <w:szCs w:val="24"/>
        </w:rPr>
        <w:footnoteReference w:id="24"/>
      </w:r>
      <w:r w:rsidR="008225C8">
        <w:rPr>
          <w:rFonts w:ascii="Arial" w:hAnsi="Arial" w:cs="Arial"/>
          <w:sz w:val="24"/>
          <w:szCs w:val="24"/>
        </w:rPr>
        <w:t>nor does the court at this stage endeavour to weigh or decide disputed factual issues or to determine whether or not there is a balance of probabilities in favour of the one party or another.</w:t>
      </w:r>
      <w:r w:rsidR="008225C8">
        <w:rPr>
          <w:rStyle w:val="FootnoteReference"/>
          <w:rFonts w:ascii="Arial" w:hAnsi="Arial" w:cs="Arial"/>
          <w:sz w:val="24"/>
          <w:szCs w:val="24"/>
        </w:rPr>
        <w:footnoteReference w:id="25"/>
      </w:r>
      <w:r w:rsidR="008225C8">
        <w:rPr>
          <w:rFonts w:ascii="Arial" w:hAnsi="Arial" w:cs="Arial"/>
          <w:sz w:val="24"/>
          <w:szCs w:val="24"/>
        </w:rPr>
        <w:t xml:space="preserve">The court merely </w:t>
      </w:r>
      <w:r w:rsidR="00EC0545">
        <w:rPr>
          <w:rFonts w:ascii="Arial" w:hAnsi="Arial" w:cs="Arial"/>
          <w:sz w:val="24"/>
          <w:szCs w:val="24"/>
        </w:rPr>
        <w:t>considers</w:t>
      </w:r>
      <w:r w:rsidR="008225C8">
        <w:rPr>
          <w:rFonts w:ascii="Arial" w:hAnsi="Arial" w:cs="Arial"/>
          <w:sz w:val="24"/>
          <w:szCs w:val="24"/>
        </w:rPr>
        <w:t xml:space="preserve"> whether the facts </w:t>
      </w:r>
      <w:r w:rsidR="008225C8">
        <w:rPr>
          <w:rFonts w:ascii="Arial" w:hAnsi="Arial" w:cs="Arial"/>
          <w:sz w:val="24"/>
          <w:szCs w:val="24"/>
        </w:rPr>
        <w:lastRenderedPageBreak/>
        <w:t>alleged by the defendant</w:t>
      </w:r>
      <w:r w:rsidR="009E4238">
        <w:rPr>
          <w:rFonts w:ascii="Arial" w:hAnsi="Arial" w:cs="Arial"/>
          <w:sz w:val="24"/>
          <w:szCs w:val="24"/>
        </w:rPr>
        <w:t>(s)</w:t>
      </w:r>
      <w:r w:rsidR="008225C8">
        <w:rPr>
          <w:rFonts w:ascii="Arial" w:hAnsi="Arial" w:cs="Arial"/>
          <w:sz w:val="24"/>
          <w:szCs w:val="24"/>
        </w:rPr>
        <w:t xml:space="preserve"> constitute a good defence in law and whether the defence appears to be </w:t>
      </w:r>
      <w:r w:rsidR="008225C8" w:rsidRPr="009E4238">
        <w:rPr>
          <w:rFonts w:ascii="Arial" w:hAnsi="Arial" w:cs="Arial"/>
          <w:i/>
          <w:sz w:val="24"/>
          <w:szCs w:val="24"/>
        </w:rPr>
        <w:t>bona fide</w:t>
      </w:r>
      <w:r w:rsidR="008225C8">
        <w:rPr>
          <w:rFonts w:ascii="Arial" w:hAnsi="Arial" w:cs="Arial"/>
          <w:sz w:val="24"/>
          <w:szCs w:val="24"/>
        </w:rPr>
        <w:t>.</w:t>
      </w:r>
      <w:r w:rsidR="008225C8">
        <w:rPr>
          <w:rStyle w:val="FootnoteReference"/>
          <w:rFonts w:ascii="Arial" w:hAnsi="Arial" w:cs="Arial"/>
          <w:sz w:val="24"/>
          <w:szCs w:val="24"/>
        </w:rPr>
        <w:footnoteReference w:id="26"/>
      </w:r>
      <w:r w:rsidR="008225C8">
        <w:rPr>
          <w:rFonts w:ascii="Arial" w:hAnsi="Arial" w:cs="Arial"/>
          <w:sz w:val="24"/>
          <w:szCs w:val="24"/>
        </w:rPr>
        <w:t>In order to enable the court to do this, the court must be appraised of the facts upon which the defendant</w:t>
      </w:r>
      <w:r w:rsidR="009E4238">
        <w:rPr>
          <w:rFonts w:ascii="Arial" w:hAnsi="Arial" w:cs="Arial"/>
          <w:sz w:val="24"/>
          <w:szCs w:val="24"/>
        </w:rPr>
        <w:t>(s)</w:t>
      </w:r>
      <w:r w:rsidR="008225C8">
        <w:rPr>
          <w:rFonts w:ascii="Arial" w:hAnsi="Arial" w:cs="Arial"/>
          <w:sz w:val="24"/>
          <w:szCs w:val="24"/>
        </w:rPr>
        <w:t xml:space="preserve"> relies with sufficient particularity and completeness as to be able to hold that if these </w:t>
      </w:r>
      <w:r w:rsidR="00EC0545">
        <w:rPr>
          <w:rFonts w:ascii="Arial" w:hAnsi="Arial" w:cs="Arial"/>
          <w:sz w:val="24"/>
          <w:szCs w:val="24"/>
        </w:rPr>
        <w:t>statements</w:t>
      </w:r>
      <w:r w:rsidR="008225C8">
        <w:rPr>
          <w:rFonts w:ascii="Arial" w:hAnsi="Arial" w:cs="Arial"/>
          <w:sz w:val="24"/>
          <w:szCs w:val="24"/>
        </w:rPr>
        <w:t xml:space="preserve"> of fact are found at trial to be correct, judgment should be given for the </w:t>
      </w:r>
      <w:r w:rsidR="00EC0545">
        <w:rPr>
          <w:rFonts w:ascii="Arial" w:hAnsi="Arial" w:cs="Arial"/>
          <w:sz w:val="24"/>
          <w:szCs w:val="24"/>
        </w:rPr>
        <w:t>defendant</w:t>
      </w:r>
      <w:r w:rsidR="009E4238">
        <w:rPr>
          <w:rFonts w:ascii="Arial" w:hAnsi="Arial" w:cs="Arial"/>
          <w:sz w:val="24"/>
          <w:szCs w:val="24"/>
        </w:rPr>
        <w:t>(s)</w:t>
      </w:r>
      <w:r w:rsidR="00EC0545">
        <w:rPr>
          <w:rFonts w:ascii="Arial" w:hAnsi="Arial" w:cs="Arial"/>
          <w:sz w:val="24"/>
          <w:szCs w:val="24"/>
        </w:rPr>
        <w:t>.</w:t>
      </w:r>
      <w:r w:rsidR="00EC0545">
        <w:rPr>
          <w:rStyle w:val="FootnoteReference"/>
          <w:rFonts w:ascii="Arial" w:hAnsi="Arial" w:cs="Arial"/>
          <w:sz w:val="24"/>
          <w:szCs w:val="24"/>
        </w:rPr>
        <w:footnoteReference w:id="27"/>
      </w:r>
    </w:p>
    <w:p w:rsidR="00E34FE8" w:rsidRDefault="002D1960" w:rsidP="00CD0047">
      <w:pPr>
        <w:spacing w:line="360" w:lineRule="auto"/>
        <w:ind w:left="720" w:hanging="720"/>
        <w:jc w:val="both"/>
        <w:rPr>
          <w:rFonts w:ascii="Arial" w:hAnsi="Arial" w:cs="Arial"/>
          <w:sz w:val="24"/>
          <w:szCs w:val="24"/>
        </w:rPr>
      </w:pPr>
      <w:r>
        <w:rPr>
          <w:rFonts w:ascii="Arial" w:hAnsi="Arial" w:cs="Arial"/>
          <w:sz w:val="24"/>
          <w:szCs w:val="24"/>
        </w:rPr>
        <w:t>[</w:t>
      </w:r>
      <w:r w:rsidR="001C264D">
        <w:rPr>
          <w:rFonts w:ascii="Arial" w:hAnsi="Arial" w:cs="Arial"/>
          <w:sz w:val="24"/>
          <w:szCs w:val="24"/>
        </w:rPr>
        <w:t>31</w:t>
      </w:r>
      <w:r>
        <w:rPr>
          <w:rFonts w:ascii="Arial" w:hAnsi="Arial" w:cs="Arial"/>
          <w:sz w:val="24"/>
          <w:szCs w:val="24"/>
        </w:rPr>
        <w:t>]</w:t>
      </w:r>
      <w:r>
        <w:rPr>
          <w:rFonts w:ascii="Arial" w:hAnsi="Arial" w:cs="Arial"/>
          <w:sz w:val="24"/>
          <w:szCs w:val="24"/>
        </w:rPr>
        <w:tab/>
        <w:t xml:space="preserve">It is the considered view of this court that the defences put up by the defendants, are </w:t>
      </w:r>
      <w:r w:rsidRPr="00023AB7">
        <w:rPr>
          <w:rFonts w:ascii="Arial" w:hAnsi="Arial" w:cs="Arial"/>
          <w:i/>
          <w:sz w:val="24"/>
          <w:szCs w:val="24"/>
        </w:rPr>
        <w:t>bona fide</w:t>
      </w:r>
      <w:r>
        <w:rPr>
          <w:rFonts w:ascii="Arial" w:hAnsi="Arial" w:cs="Arial"/>
          <w:sz w:val="24"/>
          <w:szCs w:val="24"/>
        </w:rPr>
        <w:t xml:space="preserve"> a</w:t>
      </w:r>
      <w:r w:rsidR="00023AB7">
        <w:rPr>
          <w:rFonts w:ascii="Arial" w:hAnsi="Arial" w:cs="Arial"/>
          <w:sz w:val="24"/>
          <w:szCs w:val="24"/>
        </w:rPr>
        <w:t>nd</w:t>
      </w:r>
      <w:r>
        <w:rPr>
          <w:rFonts w:ascii="Arial" w:hAnsi="Arial" w:cs="Arial"/>
          <w:sz w:val="24"/>
          <w:szCs w:val="24"/>
        </w:rPr>
        <w:t xml:space="preserve"> raises triable issues</w:t>
      </w:r>
      <w:r w:rsidR="00023AB7">
        <w:rPr>
          <w:rFonts w:ascii="Arial" w:hAnsi="Arial" w:cs="Arial"/>
          <w:sz w:val="24"/>
          <w:szCs w:val="24"/>
        </w:rPr>
        <w:t>.</w:t>
      </w:r>
      <w:r w:rsidR="002831DD">
        <w:rPr>
          <w:rFonts w:ascii="Arial" w:hAnsi="Arial" w:cs="Arial"/>
          <w:sz w:val="24"/>
          <w:szCs w:val="24"/>
        </w:rPr>
        <w:t xml:space="preserve"> </w:t>
      </w:r>
    </w:p>
    <w:p w:rsidR="002831DD" w:rsidRDefault="00412438" w:rsidP="00FA4C18">
      <w:pPr>
        <w:spacing w:line="360" w:lineRule="auto"/>
        <w:jc w:val="both"/>
        <w:rPr>
          <w:rFonts w:ascii="Arial" w:hAnsi="Arial" w:cs="Arial"/>
          <w:sz w:val="24"/>
          <w:szCs w:val="24"/>
        </w:rPr>
      </w:pPr>
      <w:r>
        <w:rPr>
          <w:rFonts w:ascii="Arial" w:hAnsi="Arial" w:cs="Arial"/>
          <w:sz w:val="24"/>
          <w:szCs w:val="24"/>
        </w:rPr>
        <w:t>[</w:t>
      </w:r>
      <w:r w:rsidR="001C264D">
        <w:rPr>
          <w:rFonts w:ascii="Arial" w:hAnsi="Arial" w:cs="Arial"/>
          <w:sz w:val="24"/>
          <w:szCs w:val="24"/>
        </w:rPr>
        <w:t>3</w:t>
      </w:r>
      <w:r>
        <w:rPr>
          <w:rFonts w:ascii="Arial" w:hAnsi="Arial" w:cs="Arial"/>
          <w:sz w:val="24"/>
          <w:szCs w:val="24"/>
        </w:rPr>
        <w:t>2]</w:t>
      </w:r>
      <w:r>
        <w:rPr>
          <w:rFonts w:ascii="Arial" w:hAnsi="Arial" w:cs="Arial"/>
          <w:sz w:val="24"/>
          <w:szCs w:val="24"/>
        </w:rPr>
        <w:tab/>
        <w:t>I</w:t>
      </w:r>
      <w:r w:rsidR="002831DD">
        <w:rPr>
          <w:rFonts w:ascii="Arial" w:hAnsi="Arial" w:cs="Arial"/>
          <w:sz w:val="24"/>
          <w:szCs w:val="24"/>
        </w:rPr>
        <w:t>n the result the following order is made:</w:t>
      </w:r>
    </w:p>
    <w:p w:rsidR="00E34FE8" w:rsidRDefault="002E4BE1" w:rsidP="00F53E31">
      <w:pPr>
        <w:spacing w:line="360" w:lineRule="auto"/>
        <w:ind w:left="1560" w:hanging="851"/>
        <w:jc w:val="both"/>
        <w:rPr>
          <w:rFonts w:ascii="Arial" w:hAnsi="Arial" w:cs="Arial"/>
          <w:sz w:val="24"/>
          <w:szCs w:val="24"/>
        </w:rPr>
      </w:pPr>
      <w:r>
        <w:rPr>
          <w:rFonts w:ascii="Arial" w:hAnsi="Arial" w:cs="Arial"/>
          <w:sz w:val="24"/>
          <w:szCs w:val="24"/>
        </w:rPr>
        <w:t>[</w:t>
      </w:r>
      <w:r w:rsidR="001C264D">
        <w:rPr>
          <w:rFonts w:ascii="Arial" w:hAnsi="Arial" w:cs="Arial"/>
          <w:sz w:val="24"/>
          <w:szCs w:val="24"/>
        </w:rPr>
        <w:t>3</w:t>
      </w:r>
      <w:r w:rsidR="002831DD">
        <w:rPr>
          <w:rFonts w:ascii="Arial" w:hAnsi="Arial" w:cs="Arial"/>
          <w:sz w:val="24"/>
          <w:szCs w:val="24"/>
        </w:rPr>
        <w:t>2.1</w:t>
      </w:r>
      <w:r>
        <w:rPr>
          <w:rFonts w:ascii="Arial" w:hAnsi="Arial" w:cs="Arial"/>
          <w:sz w:val="24"/>
          <w:szCs w:val="24"/>
        </w:rPr>
        <w:t>]</w:t>
      </w:r>
      <w:r w:rsidR="002831DD">
        <w:rPr>
          <w:rFonts w:ascii="Arial" w:hAnsi="Arial" w:cs="Arial"/>
          <w:sz w:val="24"/>
          <w:szCs w:val="24"/>
        </w:rPr>
        <w:tab/>
      </w:r>
      <w:r w:rsidR="00412438">
        <w:rPr>
          <w:rFonts w:ascii="Arial" w:hAnsi="Arial" w:cs="Arial"/>
          <w:sz w:val="24"/>
          <w:szCs w:val="24"/>
        </w:rPr>
        <w:t>T</w:t>
      </w:r>
      <w:r w:rsidR="002831DD">
        <w:rPr>
          <w:rFonts w:ascii="Arial" w:hAnsi="Arial" w:cs="Arial"/>
          <w:sz w:val="24"/>
          <w:szCs w:val="24"/>
        </w:rPr>
        <w:t xml:space="preserve">he application for Summary Judgment is </w:t>
      </w:r>
      <w:r w:rsidR="00E34FE8">
        <w:rPr>
          <w:rFonts w:ascii="Arial" w:hAnsi="Arial" w:cs="Arial"/>
          <w:sz w:val="24"/>
          <w:szCs w:val="24"/>
        </w:rPr>
        <w:t>refused.</w:t>
      </w:r>
    </w:p>
    <w:p w:rsidR="00E34FE8" w:rsidRDefault="00E34FE8" w:rsidP="00F53E31">
      <w:pPr>
        <w:spacing w:line="360" w:lineRule="auto"/>
        <w:ind w:left="1560" w:hanging="851"/>
        <w:jc w:val="both"/>
        <w:rPr>
          <w:rFonts w:ascii="Arial" w:hAnsi="Arial" w:cs="Arial"/>
          <w:sz w:val="24"/>
          <w:szCs w:val="24"/>
        </w:rPr>
      </w:pPr>
      <w:r>
        <w:rPr>
          <w:rFonts w:ascii="Arial" w:hAnsi="Arial" w:cs="Arial"/>
          <w:sz w:val="24"/>
          <w:szCs w:val="24"/>
        </w:rPr>
        <w:t>[32.2]</w:t>
      </w:r>
      <w:r>
        <w:rPr>
          <w:rFonts w:ascii="Arial" w:hAnsi="Arial" w:cs="Arial"/>
          <w:sz w:val="24"/>
          <w:szCs w:val="24"/>
        </w:rPr>
        <w:tab/>
        <w:t xml:space="preserve">Leave is granted to the defendants </w:t>
      </w:r>
      <w:r w:rsidR="003C551F">
        <w:rPr>
          <w:rFonts w:ascii="Arial" w:hAnsi="Arial" w:cs="Arial"/>
          <w:sz w:val="24"/>
          <w:szCs w:val="24"/>
        </w:rPr>
        <w:t>to defend</w:t>
      </w:r>
      <w:r>
        <w:rPr>
          <w:rFonts w:ascii="Arial" w:hAnsi="Arial" w:cs="Arial"/>
          <w:sz w:val="24"/>
          <w:szCs w:val="24"/>
        </w:rPr>
        <w:t xml:space="preserve"> the action.</w:t>
      </w:r>
    </w:p>
    <w:p w:rsidR="002D1960" w:rsidRDefault="00E34FE8" w:rsidP="00F53E31">
      <w:pPr>
        <w:spacing w:line="360" w:lineRule="auto"/>
        <w:ind w:left="1560" w:hanging="851"/>
        <w:jc w:val="both"/>
        <w:rPr>
          <w:rFonts w:ascii="Arial" w:hAnsi="Arial" w:cs="Arial"/>
          <w:sz w:val="24"/>
          <w:szCs w:val="24"/>
        </w:rPr>
      </w:pPr>
      <w:r>
        <w:rPr>
          <w:rFonts w:ascii="Arial" w:hAnsi="Arial" w:cs="Arial"/>
          <w:sz w:val="24"/>
          <w:szCs w:val="24"/>
        </w:rPr>
        <w:t>[32.3]</w:t>
      </w:r>
      <w:r>
        <w:rPr>
          <w:rFonts w:ascii="Arial" w:hAnsi="Arial" w:cs="Arial"/>
          <w:sz w:val="24"/>
          <w:szCs w:val="24"/>
        </w:rPr>
        <w:tab/>
        <w:t>Costs shall be costs in the cause</w:t>
      </w:r>
      <w:r w:rsidR="002831DD">
        <w:rPr>
          <w:rFonts w:ascii="Arial" w:hAnsi="Arial" w:cs="Arial"/>
          <w:sz w:val="24"/>
          <w:szCs w:val="24"/>
        </w:rPr>
        <w:t>.</w:t>
      </w:r>
      <w:r w:rsidR="002D1960">
        <w:rPr>
          <w:rFonts w:ascii="Arial" w:hAnsi="Arial" w:cs="Arial"/>
          <w:sz w:val="24"/>
          <w:szCs w:val="24"/>
        </w:rPr>
        <w:t xml:space="preserve"> </w:t>
      </w:r>
    </w:p>
    <w:p w:rsidR="005F24D8" w:rsidRDefault="005F24D8" w:rsidP="00D5216B">
      <w:pPr>
        <w:spacing w:line="360" w:lineRule="auto"/>
        <w:ind w:left="709"/>
        <w:jc w:val="both"/>
        <w:rPr>
          <w:rFonts w:ascii="Arial" w:hAnsi="Arial" w:cs="Arial"/>
          <w:sz w:val="24"/>
          <w:szCs w:val="24"/>
        </w:rPr>
      </w:pPr>
    </w:p>
    <w:p w:rsidR="001369C3" w:rsidRPr="00BE2EBF" w:rsidRDefault="001369C3" w:rsidP="001369C3">
      <w:pPr>
        <w:spacing w:after="0" w:line="240" w:lineRule="auto"/>
        <w:jc w:val="right"/>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E2EBF">
        <w:rPr>
          <w:rFonts w:ascii="Arial" w:hAnsi="Arial" w:cs="Arial"/>
          <w:b/>
          <w:bCs/>
          <w:sz w:val="24"/>
          <w:szCs w:val="24"/>
        </w:rPr>
        <w:t>______________________</w:t>
      </w:r>
    </w:p>
    <w:p w:rsidR="001369C3" w:rsidRPr="00F53E31" w:rsidRDefault="001369C3" w:rsidP="00F53E31">
      <w:pPr>
        <w:pStyle w:val="ListParagraph"/>
        <w:numPr>
          <w:ilvl w:val="0"/>
          <w:numId w:val="26"/>
        </w:numPr>
        <w:spacing w:line="360" w:lineRule="auto"/>
        <w:jc w:val="right"/>
        <w:rPr>
          <w:rFonts w:ascii="Arial" w:hAnsi="Arial" w:cs="Arial"/>
          <w:b/>
          <w:bCs/>
          <w:sz w:val="24"/>
          <w:szCs w:val="24"/>
        </w:rPr>
      </w:pPr>
      <w:r w:rsidRPr="00F53E31">
        <w:rPr>
          <w:rFonts w:ascii="Arial" w:hAnsi="Arial" w:cs="Arial"/>
          <w:b/>
          <w:bCs/>
          <w:sz w:val="24"/>
          <w:szCs w:val="24"/>
        </w:rPr>
        <w:t>AFRICA, AJ</w:t>
      </w:r>
    </w:p>
    <w:p w:rsidR="001369C3" w:rsidRDefault="001369C3" w:rsidP="001369C3">
      <w:pPr>
        <w:autoSpaceDE w:val="0"/>
        <w:autoSpaceDN w:val="0"/>
        <w:adjustRightInd w:val="0"/>
        <w:spacing w:after="0" w:line="240" w:lineRule="auto"/>
        <w:rPr>
          <w:rFonts w:ascii="Arial" w:hAnsi="Arial" w:cs="Arial"/>
          <w:color w:val="242121"/>
          <w:sz w:val="24"/>
          <w:szCs w:val="24"/>
        </w:rPr>
      </w:pPr>
      <w:r w:rsidRPr="00B947CD">
        <w:rPr>
          <w:rFonts w:ascii="Arial" w:hAnsi="Arial" w:cs="Arial"/>
          <w:b/>
          <w:bCs/>
          <w:color w:val="242121"/>
          <w:sz w:val="24"/>
          <w:szCs w:val="24"/>
          <w:u w:val="single"/>
        </w:rPr>
        <w:t>APPEARANCES</w:t>
      </w:r>
      <w:r w:rsidRPr="00886A09">
        <w:rPr>
          <w:rFonts w:ascii="Arial" w:hAnsi="Arial" w:cs="Arial"/>
          <w:color w:val="242121"/>
          <w:sz w:val="24"/>
          <w:szCs w:val="24"/>
        </w:rPr>
        <w:t>:</w:t>
      </w:r>
    </w:p>
    <w:p w:rsidR="001369C3" w:rsidRPr="00886A09" w:rsidRDefault="001369C3" w:rsidP="001369C3">
      <w:pPr>
        <w:autoSpaceDE w:val="0"/>
        <w:autoSpaceDN w:val="0"/>
        <w:adjustRightInd w:val="0"/>
        <w:spacing w:after="0" w:line="240" w:lineRule="auto"/>
        <w:rPr>
          <w:rFonts w:ascii="Arial" w:hAnsi="Arial" w:cs="Arial"/>
          <w:color w:val="242121"/>
          <w:sz w:val="24"/>
          <w:szCs w:val="24"/>
        </w:rPr>
      </w:pPr>
    </w:p>
    <w:p w:rsidR="001369C3" w:rsidRPr="00886A09" w:rsidRDefault="001369C3" w:rsidP="001369C3">
      <w:pPr>
        <w:autoSpaceDE w:val="0"/>
        <w:autoSpaceDN w:val="0"/>
        <w:adjustRightInd w:val="0"/>
        <w:spacing w:after="0" w:line="240" w:lineRule="auto"/>
        <w:rPr>
          <w:rFonts w:ascii="Arial" w:hAnsi="Arial" w:cs="Arial"/>
          <w:color w:val="242121"/>
          <w:sz w:val="24"/>
          <w:szCs w:val="24"/>
        </w:rPr>
      </w:pPr>
      <w:r w:rsidRPr="00B947CD">
        <w:rPr>
          <w:rFonts w:ascii="Arial" w:hAnsi="Arial" w:cs="Arial"/>
          <w:b/>
          <w:bCs/>
          <w:color w:val="242121"/>
          <w:sz w:val="24"/>
          <w:szCs w:val="24"/>
        </w:rPr>
        <w:t xml:space="preserve">COUNSEL FOR THE </w:t>
      </w:r>
      <w:r w:rsidR="001F1269">
        <w:rPr>
          <w:rFonts w:ascii="Arial" w:hAnsi="Arial" w:cs="Arial"/>
          <w:b/>
          <w:bCs/>
          <w:color w:val="242121"/>
          <w:sz w:val="24"/>
          <w:szCs w:val="24"/>
        </w:rPr>
        <w:t>PLAINTIFF</w:t>
      </w:r>
      <w:r w:rsidRPr="00B947CD">
        <w:rPr>
          <w:rFonts w:ascii="Arial" w:hAnsi="Arial" w:cs="Arial"/>
          <w:b/>
          <w:bCs/>
          <w:color w:val="242121"/>
          <w:sz w:val="24"/>
          <w:szCs w:val="24"/>
        </w:rPr>
        <w:t>:</w:t>
      </w:r>
      <w:r w:rsidRPr="00886A09">
        <w:rPr>
          <w:rFonts w:ascii="Arial" w:hAnsi="Arial" w:cs="Arial"/>
          <w:color w:val="242121"/>
          <w:sz w:val="24"/>
          <w:szCs w:val="24"/>
        </w:rPr>
        <w:t xml:space="preserve"> </w:t>
      </w:r>
      <w:r>
        <w:rPr>
          <w:rFonts w:ascii="Arial" w:hAnsi="Arial" w:cs="Arial"/>
          <w:color w:val="242121"/>
          <w:sz w:val="24"/>
          <w:szCs w:val="24"/>
        </w:rPr>
        <w:tab/>
      </w:r>
      <w:r>
        <w:rPr>
          <w:rFonts w:ascii="Arial" w:hAnsi="Arial" w:cs="Arial"/>
          <w:color w:val="242121"/>
          <w:sz w:val="24"/>
          <w:szCs w:val="24"/>
        </w:rPr>
        <w:tab/>
      </w:r>
      <w:r>
        <w:rPr>
          <w:rFonts w:ascii="Arial" w:hAnsi="Arial" w:cs="Arial"/>
          <w:color w:val="242121"/>
          <w:sz w:val="24"/>
          <w:szCs w:val="24"/>
        </w:rPr>
        <w:tab/>
      </w:r>
      <w:r w:rsidR="001F1269">
        <w:rPr>
          <w:rFonts w:ascii="Arial" w:hAnsi="Arial" w:cs="Arial"/>
          <w:color w:val="242121"/>
          <w:sz w:val="24"/>
          <w:szCs w:val="24"/>
        </w:rPr>
        <w:t>Adv.</w:t>
      </w:r>
      <w:r w:rsidR="00E9120D">
        <w:rPr>
          <w:rFonts w:ascii="Arial" w:hAnsi="Arial" w:cs="Arial"/>
          <w:color w:val="242121"/>
          <w:sz w:val="24"/>
          <w:szCs w:val="24"/>
        </w:rPr>
        <w:t xml:space="preserve"> Macakathi</w:t>
      </w:r>
      <w:r w:rsidR="001F1269">
        <w:rPr>
          <w:rFonts w:ascii="Arial" w:hAnsi="Arial" w:cs="Arial"/>
          <w:color w:val="242121"/>
          <w:sz w:val="24"/>
          <w:szCs w:val="24"/>
        </w:rPr>
        <w:t xml:space="preserve"> </w:t>
      </w:r>
    </w:p>
    <w:p w:rsidR="001369C3" w:rsidRDefault="001369C3" w:rsidP="001369C3">
      <w:pPr>
        <w:autoSpaceDE w:val="0"/>
        <w:autoSpaceDN w:val="0"/>
        <w:adjustRightInd w:val="0"/>
        <w:spacing w:after="0" w:line="240" w:lineRule="auto"/>
        <w:ind w:left="5040" w:firstLine="720"/>
        <w:rPr>
          <w:rFonts w:ascii="Arial" w:hAnsi="Arial" w:cs="Arial"/>
          <w:color w:val="242121"/>
          <w:sz w:val="24"/>
          <w:szCs w:val="24"/>
        </w:rPr>
      </w:pPr>
      <w:r w:rsidRPr="00886A09">
        <w:rPr>
          <w:rFonts w:ascii="Arial" w:hAnsi="Arial" w:cs="Arial"/>
          <w:color w:val="242121"/>
          <w:sz w:val="24"/>
          <w:szCs w:val="24"/>
        </w:rPr>
        <w:t xml:space="preserve">Instructed by: </w:t>
      </w:r>
    </w:p>
    <w:p w:rsidR="001369C3" w:rsidRDefault="0011154D" w:rsidP="001369C3">
      <w:pPr>
        <w:autoSpaceDE w:val="0"/>
        <w:autoSpaceDN w:val="0"/>
        <w:adjustRightInd w:val="0"/>
        <w:spacing w:after="0" w:line="240" w:lineRule="auto"/>
        <w:ind w:left="5040" w:firstLine="720"/>
        <w:rPr>
          <w:rFonts w:ascii="Arial" w:hAnsi="Arial" w:cs="Arial"/>
          <w:color w:val="242121"/>
          <w:sz w:val="24"/>
          <w:szCs w:val="24"/>
        </w:rPr>
      </w:pPr>
      <w:r>
        <w:rPr>
          <w:rFonts w:ascii="Arial" w:hAnsi="Arial" w:cs="Arial"/>
          <w:color w:val="242121"/>
          <w:sz w:val="24"/>
          <w:szCs w:val="24"/>
        </w:rPr>
        <w:t>EG Cooper Majiedt Inc</w:t>
      </w:r>
    </w:p>
    <w:p w:rsidR="001369C3" w:rsidRPr="00886A09" w:rsidRDefault="001369C3" w:rsidP="001369C3">
      <w:pPr>
        <w:autoSpaceDE w:val="0"/>
        <w:autoSpaceDN w:val="0"/>
        <w:adjustRightInd w:val="0"/>
        <w:spacing w:after="0" w:line="240" w:lineRule="auto"/>
        <w:rPr>
          <w:rFonts w:ascii="Arial" w:hAnsi="Arial" w:cs="Arial"/>
          <w:color w:val="242121"/>
          <w:sz w:val="24"/>
          <w:szCs w:val="24"/>
        </w:rPr>
      </w:pPr>
    </w:p>
    <w:p w:rsidR="001369C3" w:rsidRPr="00886A09" w:rsidRDefault="001369C3" w:rsidP="001369C3">
      <w:pPr>
        <w:autoSpaceDE w:val="0"/>
        <w:autoSpaceDN w:val="0"/>
        <w:adjustRightInd w:val="0"/>
        <w:spacing w:after="0" w:line="240" w:lineRule="auto"/>
        <w:rPr>
          <w:rFonts w:ascii="Arial" w:hAnsi="Arial" w:cs="Arial"/>
          <w:color w:val="242121"/>
          <w:sz w:val="24"/>
          <w:szCs w:val="24"/>
        </w:rPr>
      </w:pPr>
    </w:p>
    <w:p w:rsidR="001369C3" w:rsidRPr="00886A09" w:rsidRDefault="001369C3" w:rsidP="001369C3">
      <w:pPr>
        <w:autoSpaceDE w:val="0"/>
        <w:autoSpaceDN w:val="0"/>
        <w:adjustRightInd w:val="0"/>
        <w:spacing w:after="0" w:line="240" w:lineRule="auto"/>
        <w:rPr>
          <w:rFonts w:ascii="Arial" w:hAnsi="Arial" w:cs="Arial"/>
          <w:color w:val="242121"/>
          <w:sz w:val="24"/>
          <w:szCs w:val="24"/>
        </w:rPr>
      </w:pPr>
      <w:r w:rsidRPr="00B947CD">
        <w:rPr>
          <w:rFonts w:ascii="Arial" w:hAnsi="Arial" w:cs="Arial"/>
          <w:b/>
          <w:bCs/>
          <w:color w:val="242121"/>
          <w:sz w:val="24"/>
          <w:szCs w:val="24"/>
        </w:rPr>
        <w:t xml:space="preserve">COUNSEL FOR </w:t>
      </w:r>
      <w:r w:rsidR="001F1269">
        <w:rPr>
          <w:rFonts w:ascii="Arial" w:hAnsi="Arial" w:cs="Arial"/>
          <w:b/>
          <w:bCs/>
          <w:color w:val="242121"/>
          <w:sz w:val="24"/>
          <w:szCs w:val="24"/>
        </w:rPr>
        <w:t>1</w:t>
      </w:r>
      <w:r w:rsidR="001F1269" w:rsidRPr="001F1269">
        <w:rPr>
          <w:rFonts w:ascii="Arial" w:hAnsi="Arial" w:cs="Arial"/>
          <w:b/>
          <w:bCs/>
          <w:color w:val="242121"/>
          <w:sz w:val="24"/>
          <w:szCs w:val="24"/>
          <w:vertAlign w:val="superscript"/>
        </w:rPr>
        <w:t>st</w:t>
      </w:r>
      <w:r w:rsidR="001F1269">
        <w:rPr>
          <w:rFonts w:ascii="Arial" w:hAnsi="Arial" w:cs="Arial"/>
          <w:b/>
          <w:bCs/>
          <w:color w:val="242121"/>
          <w:sz w:val="24"/>
          <w:szCs w:val="24"/>
        </w:rPr>
        <w:t xml:space="preserve"> to 4</w:t>
      </w:r>
      <w:r w:rsidR="001F1269" w:rsidRPr="001F1269">
        <w:rPr>
          <w:rFonts w:ascii="Arial" w:hAnsi="Arial" w:cs="Arial"/>
          <w:b/>
          <w:bCs/>
          <w:color w:val="242121"/>
          <w:sz w:val="24"/>
          <w:szCs w:val="24"/>
          <w:vertAlign w:val="superscript"/>
        </w:rPr>
        <w:t>th</w:t>
      </w:r>
      <w:r w:rsidR="001F1269">
        <w:rPr>
          <w:rFonts w:ascii="Arial" w:hAnsi="Arial" w:cs="Arial"/>
          <w:b/>
          <w:bCs/>
          <w:color w:val="242121"/>
          <w:sz w:val="24"/>
          <w:szCs w:val="24"/>
        </w:rPr>
        <w:t xml:space="preserve"> </w:t>
      </w:r>
      <w:r w:rsidR="001C264D">
        <w:rPr>
          <w:rFonts w:ascii="Arial" w:hAnsi="Arial" w:cs="Arial"/>
          <w:b/>
          <w:bCs/>
          <w:color w:val="242121"/>
          <w:sz w:val="24"/>
          <w:szCs w:val="24"/>
        </w:rPr>
        <w:t>DEFENDANTS</w:t>
      </w:r>
      <w:r>
        <w:rPr>
          <w:rFonts w:ascii="Arial" w:hAnsi="Arial" w:cs="Arial"/>
          <w:color w:val="242121"/>
          <w:sz w:val="24"/>
          <w:szCs w:val="24"/>
        </w:rPr>
        <w:t>:</w:t>
      </w:r>
      <w:r>
        <w:rPr>
          <w:rFonts w:ascii="Arial" w:hAnsi="Arial" w:cs="Arial"/>
          <w:color w:val="242121"/>
          <w:sz w:val="24"/>
          <w:szCs w:val="24"/>
        </w:rPr>
        <w:tab/>
      </w:r>
      <w:r>
        <w:rPr>
          <w:rFonts w:ascii="Arial" w:hAnsi="Arial" w:cs="Arial"/>
          <w:color w:val="242121"/>
          <w:sz w:val="24"/>
          <w:szCs w:val="24"/>
        </w:rPr>
        <w:tab/>
        <w:t xml:space="preserve">Adv. </w:t>
      </w:r>
      <w:r w:rsidR="001F1269">
        <w:rPr>
          <w:rFonts w:ascii="Arial" w:hAnsi="Arial" w:cs="Arial"/>
          <w:color w:val="242121"/>
          <w:sz w:val="24"/>
          <w:szCs w:val="24"/>
        </w:rPr>
        <w:t>R Van der Merwe</w:t>
      </w:r>
    </w:p>
    <w:p w:rsidR="001369C3" w:rsidRDefault="001369C3" w:rsidP="001369C3">
      <w:pPr>
        <w:autoSpaceDE w:val="0"/>
        <w:autoSpaceDN w:val="0"/>
        <w:adjustRightInd w:val="0"/>
        <w:spacing w:after="0" w:line="240" w:lineRule="auto"/>
        <w:ind w:left="5040" w:firstLine="720"/>
        <w:rPr>
          <w:rFonts w:ascii="Arial" w:hAnsi="Arial" w:cs="Arial"/>
          <w:color w:val="242121"/>
          <w:sz w:val="24"/>
          <w:szCs w:val="24"/>
        </w:rPr>
      </w:pPr>
      <w:r w:rsidRPr="00886A09">
        <w:rPr>
          <w:rFonts w:ascii="Arial" w:hAnsi="Arial" w:cs="Arial"/>
          <w:color w:val="242121"/>
          <w:sz w:val="24"/>
          <w:szCs w:val="24"/>
        </w:rPr>
        <w:t xml:space="preserve">Instructed by: </w:t>
      </w:r>
    </w:p>
    <w:p w:rsidR="001369C3" w:rsidRDefault="0011154D" w:rsidP="001369C3">
      <w:pPr>
        <w:spacing w:line="360" w:lineRule="auto"/>
        <w:ind w:left="5040" w:firstLine="720"/>
        <w:jc w:val="both"/>
        <w:rPr>
          <w:rFonts w:ascii="Arial" w:hAnsi="Arial" w:cs="Arial"/>
          <w:color w:val="242121"/>
          <w:sz w:val="24"/>
          <w:szCs w:val="24"/>
        </w:rPr>
      </w:pPr>
      <w:r>
        <w:rPr>
          <w:rFonts w:ascii="Arial" w:hAnsi="Arial" w:cs="Arial"/>
          <w:color w:val="242121"/>
          <w:sz w:val="24"/>
          <w:szCs w:val="24"/>
        </w:rPr>
        <w:t>Blignaut Attorneys</w:t>
      </w:r>
    </w:p>
    <w:p w:rsidR="0011154D" w:rsidRPr="00CB32E7" w:rsidRDefault="0011154D" w:rsidP="001369C3">
      <w:pPr>
        <w:spacing w:line="360" w:lineRule="auto"/>
        <w:ind w:left="5040" w:firstLine="720"/>
        <w:jc w:val="both"/>
        <w:rPr>
          <w:rFonts w:ascii="Arial" w:hAnsi="Arial" w:cs="Arial"/>
          <w:bCs/>
          <w:sz w:val="24"/>
          <w:szCs w:val="24"/>
        </w:rPr>
      </w:pPr>
    </w:p>
    <w:sectPr w:rsidR="0011154D" w:rsidRPr="00CB32E7" w:rsidSect="00182E02">
      <w:headerReference w:type="default" r:id="rId9"/>
      <w:pgSz w:w="11906" w:h="16838"/>
      <w:pgMar w:top="851"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F9" w:rsidRDefault="007B66F9" w:rsidP="00C80290">
      <w:pPr>
        <w:spacing w:after="0" w:line="240" w:lineRule="auto"/>
      </w:pPr>
      <w:r>
        <w:separator/>
      </w:r>
    </w:p>
  </w:endnote>
  <w:endnote w:type="continuationSeparator" w:id="0">
    <w:p w:rsidR="007B66F9" w:rsidRDefault="007B66F9" w:rsidP="00C8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F9" w:rsidRDefault="007B66F9" w:rsidP="00C80290">
      <w:pPr>
        <w:spacing w:after="0" w:line="240" w:lineRule="auto"/>
      </w:pPr>
      <w:r>
        <w:separator/>
      </w:r>
    </w:p>
  </w:footnote>
  <w:footnote w:type="continuationSeparator" w:id="0">
    <w:p w:rsidR="007B66F9" w:rsidRDefault="007B66F9" w:rsidP="00C80290">
      <w:pPr>
        <w:spacing w:after="0" w:line="240" w:lineRule="auto"/>
      </w:pPr>
      <w:r>
        <w:continuationSeparator/>
      </w:r>
    </w:p>
  </w:footnote>
  <w:footnote w:id="1">
    <w:p w:rsidR="001817E7" w:rsidRPr="00DE1FAF" w:rsidRDefault="001817E7" w:rsidP="001817E7">
      <w:pPr>
        <w:pStyle w:val="FootnoteText"/>
        <w:rPr>
          <w:rFonts w:ascii="Arial" w:hAnsi="Arial" w:cs="Arial"/>
        </w:rPr>
      </w:pPr>
      <w:r w:rsidRPr="00DE1FAF">
        <w:rPr>
          <w:rStyle w:val="FootnoteReference"/>
          <w:rFonts w:ascii="Arial" w:hAnsi="Arial" w:cs="Arial"/>
        </w:rPr>
        <w:footnoteRef/>
      </w:r>
      <w:r w:rsidRPr="00DE1FAF">
        <w:rPr>
          <w:rFonts w:ascii="Arial" w:hAnsi="Arial" w:cs="Arial"/>
        </w:rPr>
        <w:t xml:space="preserve"> </w:t>
      </w:r>
      <w:r w:rsidR="00DE1FAF">
        <w:rPr>
          <w:rFonts w:ascii="Arial" w:hAnsi="Arial" w:cs="Arial"/>
        </w:rPr>
        <w:t>R</w:t>
      </w:r>
      <w:r w:rsidRPr="00DE1FAF">
        <w:rPr>
          <w:rFonts w:ascii="Arial" w:hAnsi="Arial" w:cs="Arial"/>
        </w:rPr>
        <w:t>epresented by a duly authorised representative</w:t>
      </w:r>
      <w:r w:rsidR="00DE1FAF" w:rsidRPr="00DE1FAF">
        <w:rPr>
          <w:rFonts w:ascii="Arial" w:hAnsi="Arial" w:cs="Arial"/>
        </w:rPr>
        <w:t>.</w:t>
      </w:r>
    </w:p>
  </w:footnote>
  <w:footnote w:id="2">
    <w:p w:rsidR="001817E7" w:rsidRPr="00DE1FAF" w:rsidRDefault="001817E7">
      <w:pPr>
        <w:pStyle w:val="FootnoteText"/>
        <w:rPr>
          <w:rFonts w:ascii="Arial" w:hAnsi="Arial" w:cs="Arial"/>
        </w:rPr>
      </w:pPr>
      <w:r w:rsidRPr="00DE1FAF">
        <w:rPr>
          <w:rStyle w:val="FootnoteReference"/>
          <w:rFonts w:ascii="Arial" w:hAnsi="Arial" w:cs="Arial"/>
        </w:rPr>
        <w:footnoteRef/>
      </w:r>
      <w:r w:rsidRPr="00DE1FAF">
        <w:rPr>
          <w:rFonts w:ascii="Arial" w:hAnsi="Arial" w:cs="Arial"/>
        </w:rPr>
        <w:t xml:space="preserve"> </w:t>
      </w:r>
      <w:r w:rsidR="00DE1FAF">
        <w:rPr>
          <w:rFonts w:ascii="Arial" w:hAnsi="Arial" w:cs="Arial"/>
        </w:rPr>
        <w:t>Re</w:t>
      </w:r>
      <w:r w:rsidRPr="00DE1FAF">
        <w:rPr>
          <w:rFonts w:ascii="Arial" w:hAnsi="Arial" w:cs="Arial"/>
        </w:rPr>
        <w:t>presented by the 3</w:t>
      </w:r>
      <w:r w:rsidRPr="00DE1FAF">
        <w:rPr>
          <w:rFonts w:ascii="Arial" w:hAnsi="Arial" w:cs="Arial"/>
          <w:vertAlign w:val="superscript"/>
        </w:rPr>
        <w:t>rd</w:t>
      </w:r>
      <w:r w:rsidRPr="00DE1FAF">
        <w:rPr>
          <w:rFonts w:ascii="Arial" w:hAnsi="Arial" w:cs="Arial"/>
        </w:rPr>
        <w:t xml:space="preserve"> defendant</w:t>
      </w:r>
      <w:r w:rsidR="00DE1FAF" w:rsidRPr="00DE1FAF">
        <w:rPr>
          <w:rFonts w:ascii="Arial" w:hAnsi="Arial" w:cs="Arial"/>
        </w:rPr>
        <w:t>.</w:t>
      </w:r>
    </w:p>
  </w:footnote>
  <w:footnote w:id="3">
    <w:p w:rsidR="001817E7" w:rsidRDefault="001817E7">
      <w:pPr>
        <w:pStyle w:val="FootnoteText"/>
      </w:pPr>
      <w:r w:rsidRPr="00DE1FAF">
        <w:rPr>
          <w:rStyle w:val="FootnoteReference"/>
          <w:rFonts w:ascii="Arial" w:hAnsi="Arial" w:cs="Arial"/>
        </w:rPr>
        <w:footnoteRef/>
      </w:r>
      <w:r w:rsidRPr="00DE1FAF">
        <w:rPr>
          <w:rFonts w:ascii="Arial" w:hAnsi="Arial" w:cs="Arial"/>
        </w:rPr>
        <w:t xml:space="preserve"> Annexure “POC2”</w:t>
      </w:r>
      <w:r w:rsidR="000E731D" w:rsidRPr="00DE1FAF">
        <w:rPr>
          <w:rFonts w:ascii="Arial" w:hAnsi="Arial" w:cs="Arial"/>
        </w:rPr>
        <w:t xml:space="preserve"> to the POC, page 101</w:t>
      </w:r>
      <w:r w:rsidR="00DE1FAF" w:rsidRPr="00DE1FAF">
        <w:rPr>
          <w:rFonts w:ascii="Arial" w:hAnsi="Arial" w:cs="Arial"/>
        </w:rPr>
        <w:t>.</w:t>
      </w:r>
    </w:p>
  </w:footnote>
  <w:footnote w:id="4">
    <w:p w:rsidR="001F1269" w:rsidRPr="00DE1FAF" w:rsidRDefault="001F1269" w:rsidP="00DE1FAF">
      <w:pPr>
        <w:pStyle w:val="FootnoteText"/>
        <w:ind w:left="142" w:hanging="142"/>
        <w:jc w:val="both"/>
        <w:rPr>
          <w:rFonts w:ascii="Arial" w:hAnsi="Arial" w:cs="Arial"/>
        </w:rPr>
      </w:pPr>
      <w:r w:rsidRPr="00DE1FAF">
        <w:rPr>
          <w:rStyle w:val="FootnoteReference"/>
          <w:rFonts w:ascii="Arial" w:hAnsi="Arial" w:cs="Arial"/>
        </w:rPr>
        <w:footnoteRef/>
      </w:r>
      <w:r w:rsidRPr="00DE1FAF">
        <w:rPr>
          <w:rFonts w:ascii="Arial" w:hAnsi="Arial" w:cs="Arial"/>
        </w:rPr>
        <w:t xml:space="preserve"> Erf 4277 </w:t>
      </w:r>
      <w:r w:rsidR="00DE1FAF" w:rsidRPr="00DE1FAF">
        <w:rPr>
          <w:rFonts w:ascii="Arial" w:hAnsi="Arial" w:cs="Arial"/>
        </w:rPr>
        <w:t>Pretor</w:t>
      </w:r>
      <w:r w:rsidR="00DE1FAF">
        <w:rPr>
          <w:rFonts w:ascii="Arial" w:hAnsi="Arial" w:cs="Arial"/>
        </w:rPr>
        <w:t>i</w:t>
      </w:r>
      <w:r w:rsidR="00DE1FAF" w:rsidRPr="00DE1FAF">
        <w:rPr>
          <w:rFonts w:ascii="Arial" w:hAnsi="Arial" w:cs="Arial"/>
        </w:rPr>
        <w:t>us Street</w:t>
      </w:r>
      <w:r w:rsidRPr="00DE1FAF">
        <w:rPr>
          <w:rFonts w:ascii="Arial" w:hAnsi="Arial" w:cs="Arial"/>
        </w:rPr>
        <w:t>, Bethlehem, District Bethlehem, Province Free Sate in extent 965 square meters held by Deed of Partition T15366/1995; Erf 967 Reebok Street, in Municipality and Division Mossel Bay, Province Western Cape, in extent 634 Bethlehem, District Bethlehem, province Free State in extent 955 Square meters held by Deed of Partition T15366/1995</w:t>
      </w:r>
      <w:r w:rsidR="00DE1FAF" w:rsidRPr="00DE1FAF">
        <w:rPr>
          <w:rFonts w:ascii="Arial" w:hAnsi="Arial" w:cs="Arial"/>
        </w:rPr>
        <w:t>.</w:t>
      </w:r>
    </w:p>
  </w:footnote>
  <w:footnote w:id="5">
    <w:p w:rsidR="001F1269" w:rsidRPr="00DE1FAF" w:rsidRDefault="001F1269" w:rsidP="00DE1FAF">
      <w:pPr>
        <w:pStyle w:val="FootnoteText"/>
        <w:jc w:val="both"/>
        <w:rPr>
          <w:rFonts w:ascii="Arial" w:hAnsi="Arial" w:cs="Arial"/>
        </w:rPr>
      </w:pPr>
      <w:r w:rsidRPr="00DE1FAF">
        <w:rPr>
          <w:rStyle w:val="FootnoteReference"/>
          <w:rFonts w:ascii="Arial" w:hAnsi="Arial" w:cs="Arial"/>
        </w:rPr>
        <w:footnoteRef/>
      </w:r>
      <w:r w:rsidRPr="00DE1FAF">
        <w:rPr>
          <w:rFonts w:ascii="Arial" w:hAnsi="Arial" w:cs="Arial"/>
        </w:rPr>
        <w:t xml:space="preserve"> NumberB000003410/2016; Number B 000017166/2016 and Number B000017167/2016</w:t>
      </w:r>
      <w:r w:rsidR="00DE1FAF" w:rsidRPr="00DE1FAF">
        <w:rPr>
          <w:rFonts w:ascii="Arial" w:hAnsi="Arial" w:cs="Arial"/>
        </w:rPr>
        <w:t>.</w:t>
      </w:r>
    </w:p>
  </w:footnote>
  <w:footnote w:id="6">
    <w:p w:rsidR="001F1269" w:rsidRPr="00DE1FAF" w:rsidRDefault="001F1269" w:rsidP="00DE1FAF">
      <w:pPr>
        <w:pStyle w:val="FootnoteText"/>
        <w:jc w:val="both"/>
        <w:rPr>
          <w:rFonts w:ascii="Arial" w:hAnsi="Arial" w:cs="Arial"/>
        </w:rPr>
      </w:pPr>
      <w:r w:rsidRPr="00DE1FAF">
        <w:rPr>
          <w:rStyle w:val="FootnoteReference"/>
          <w:rFonts w:ascii="Arial" w:hAnsi="Arial" w:cs="Arial"/>
        </w:rPr>
        <w:footnoteRef/>
      </w:r>
      <w:r w:rsidRPr="00DE1FAF">
        <w:rPr>
          <w:rFonts w:ascii="Arial" w:hAnsi="Arial" w:cs="Arial"/>
        </w:rPr>
        <w:t xml:space="preserve"> Paragraph 19 page 90 amended POC</w:t>
      </w:r>
      <w:r w:rsidR="00DE1FAF" w:rsidRPr="00DE1FAF">
        <w:rPr>
          <w:rFonts w:ascii="Arial" w:hAnsi="Arial" w:cs="Arial"/>
        </w:rPr>
        <w:t>.</w:t>
      </w:r>
    </w:p>
  </w:footnote>
  <w:footnote w:id="7">
    <w:p w:rsidR="001F1269" w:rsidRPr="00DE1FAF" w:rsidRDefault="001F1269" w:rsidP="00DE1FAF">
      <w:pPr>
        <w:pStyle w:val="FootnoteText"/>
        <w:jc w:val="both"/>
        <w:rPr>
          <w:rFonts w:ascii="Arial" w:hAnsi="Arial" w:cs="Arial"/>
        </w:rPr>
      </w:pPr>
      <w:r w:rsidRPr="00DE1FAF">
        <w:rPr>
          <w:rStyle w:val="FootnoteReference"/>
          <w:rFonts w:ascii="Arial" w:hAnsi="Arial" w:cs="Arial"/>
        </w:rPr>
        <w:footnoteRef/>
      </w:r>
      <w:r w:rsidRPr="00DE1FAF">
        <w:rPr>
          <w:rFonts w:ascii="Arial" w:hAnsi="Arial" w:cs="Arial"/>
        </w:rPr>
        <w:t xml:space="preserve"> Notice of Breach</w:t>
      </w:r>
      <w:r w:rsidR="00DE1FAF" w:rsidRPr="00DE1FAF">
        <w:rPr>
          <w:rFonts w:ascii="Arial" w:hAnsi="Arial" w:cs="Arial"/>
        </w:rPr>
        <w:t>.</w:t>
      </w:r>
    </w:p>
  </w:footnote>
  <w:footnote w:id="8">
    <w:p w:rsidR="001F1269" w:rsidRPr="00DE1FAF" w:rsidRDefault="001F1269" w:rsidP="00DE1FAF">
      <w:pPr>
        <w:pStyle w:val="FootnoteText"/>
        <w:jc w:val="both"/>
        <w:rPr>
          <w:rFonts w:ascii="Arial" w:hAnsi="Arial" w:cs="Arial"/>
        </w:rPr>
      </w:pPr>
      <w:r w:rsidRPr="00DE1FAF">
        <w:rPr>
          <w:rStyle w:val="FootnoteReference"/>
          <w:rFonts w:ascii="Arial" w:hAnsi="Arial" w:cs="Arial"/>
        </w:rPr>
        <w:footnoteRef/>
      </w:r>
      <w:r w:rsidRPr="00DE1FAF">
        <w:rPr>
          <w:rFonts w:ascii="Arial" w:hAnsi="Arial" w:cs="Arial"/>
        </w:rPr>
        <w:t xml:space="preserve"> Paragraph 6 of defendants’ affidavit opposing summary judgment</w:t>
      </w:r>
      <w:r w:rsidR="00DE1FAF" w:rsidRPr="00DE1FAF">
        <w:rPr>
          <w:rFonts w:ascii="Arial" w:hAnsi="Arial" w:cs="Arial"/>
        </w:rPr>
        <w:t>.</w:t>
      </w:r>
    </w:p>
  </w:footnote>
  <w:footnote w:id="9">
    <w:p w:rsidR="001F1269" w:rsidRDefault="001F1269" w:rsidP="00DE1FAF">
      <w:pPr>
        <w:pStyle w:val="FootnoteText"/>
        <w:jc w:val="both"/>
      </w:pPr>
      <w:r w:rsidRPr="00DE1FAF">
        <w:rPr>
          <w:rStyle w:val="FootnoteReference"/>
          <w:rFonts w:ascii="Arial" w:hAnsi="Arial" w:cs="Arial"/>
        </w:rPr>
        <w:footnoteRef/>
      </w:r>
      <w:r w:rsidRPr="00DE1FAF">
        <w:rPr>
          <w:rFonts w:ascii="Arial" w:hAnsi="Arial" w:cs="Arial"/>
        </w:rPr>
        <w:t xml:space="preserve"> Uniform Rules of Court</w:t>
      </w:r>
      <w:r w:rsidR="00DE1FAF">
        <w:t>.</w:t>
      </w:r>
    </w:p>
  </w:footnote>
  <w:footnote w:id="10">
    <w:p w:rsidR="00635278" w:rsidRPr="00F43C72" w:rsidRDefault="00635278">
      <w:pPr>
        <w:pStyle w:val="FootnoteText"/>
        <w:rPr>
          <w:rFonts w:ascii="Arial" w:hAnsi="Arial" w:cs="Arial"/>
        </w:rPr>
      </w:pPr>
      <w:r w:rsidRPr="00F43C72">
        <w:rPr>
          <w:rStyle w:val="FootnoteReference"/>
          <w:rFonts w:ascii="Arial" w:hAnsi="Arial" w:cs="Arial"/>
        </w:rPr>
        <w:footnoteRef/>
      </w:r>
      <w:r w:rsidRPr="00F43C72">
        <w:rPr>
          <w:rFonts w:ascii="Arial" w:hAnsi="Arial" w:cs="Arial"/>
        </w:rPr>
        <w:t xml:space="preserve"> Paragraph 17 of defendants Heads of Argument</w:t>
      </w:r>
      <w:r w:rsidR="00F43C72" w:rsidRPr="00F43C72">
        <w:rPr>
          <w:rFonts w:ascii="Arial" w:hAnsi="Arial" w:cs="Arial"/>
        </w:rPr>
        <w:t>.</w:t>
      </w:r>
    </w:p>
  </w:footnote>
  <w:footnote w:id="11">
    <w:p w:rsidR="001F1269" w:rsidRPr="00F43C72" w:rsidRDefault="001F1269">
      <w:pPr>
        <w:pStyle w:val="FootnoteText"/>
        <w:rPr>
          <w:rFonts w:ascii="Arial" w:hAnsi="Arial" w:cs="Arial"/>
        </w:rPr>
      </w:pPr>
      <w:r w:rsidRPr="00F43C72">
        <w:rPr>
          <w:rStyle w:val="FootnoteReference"/>
          <w:rFonts w:ascii="Arial" w:hAnsi="Arial" w:cs="Arial"/>
        </w:rPr>
        <w:footnoteRef/>
      </w:r>
      <w:r w:rsidRPr="00F43C72">
        <w:rPr>
          <w:rFonts w:ascii="Arial" w:hAnsi="Arial" w:cs="Arial"/>
        </w:rPr>
        <w:t xml:space="preserve"> 2010 (6) SA  439 (SCA) at 454 A-C</w:t>
      </w:r>
      <w:r w:rsidR="00F43C72" w:rsidRPr="00F43C72">
        <w:rPr>
          <w:rFonts w:ascii="Arial" w:hAnsi="Arial" w:cs="Arial"/>
        </w:rPr>
        <w:t>.</w:t>
      </w:r>
    </w:p>
  </w:footnote>
  <w:footnote w:id="12">
    <w:p w:rsidR="001F1269" w:rsidRDefault="001F1269">
      <w:pPr>
        <w:pStyle w:val="FootnoteText"/>
      </w:pPr>
      <w:r w:rsidRPr="00F43C72">
        <w:rPr>
          <w:rStyle w:val="FootnoteReference"/>
          <w:rFonts w:ascii="Arial" w:hAnsi="Arial" w:cs="Arial"/>
        </w:rPr>
        <w:footnoteRef/>
      </w:r>
      <w:r w:rsidRPr="00F43C72">
        <w:rPr>
          <w:rFonts w:ascii="Arial" w:hAnsi="Arial" w:cs="Arial"/>
        </w:rPr>
        <w:t xml:space="preserve"> Paragraphs 8,9,10 of affidavit opposing summary judgment</w:t>
      </w:r>
      <w:r w:rsidR="00F43C72" w:rsidRPr="00F43C72">
        <w:rPr>
          <w:rFonts w:ascii="Arial" w:hAnsi="Arial" w:cs="Arial"/>
        </w:rPr>
        <w:t>.</w:t>
      </w:r>
    </w:p>
  </w:footnote>
  <w:footnote w:id="13">
    <w:p w:rsidR="001F1269" w:rsidRPr="00F43C72" w:rsidRDefault="001F1269" w:rsidP="00F43C72">
      <w:pPr>
        <w:pStyle w:val="FootnoteText"/>
        <w:rPr>
          <w:rFonts w:ascii="Arial" w:hAnsi="Arial" w:cs="Arial"/>
        </w:rPr>
      </w:pPr>
      <w:r w:rsidRPr="00F43C72">
        <w:rPr>
          <w:rStyle w:val="FootnoteReference"/>
          <w:rFonts w:ascii="Arial" w:hAnsi="Arial" w:cs="Arial"/>
        </w:rPr>
        <w:footnoteRef/>
      </w:r>
      <w:r w:rsidRPr="00F43C72">
        <w:rPr>
          <w:rFonts w:ascii="Arial" w:hAnsi="Arial" w:cs="Arial"/>
        </w:rPr>
        <w:t xml:space="preserve"> Paragraph 19 of that amended particulars purports to specify the defendants alleged breach</w:t>
      </w:r>
      <w:r w:rsidR="00F43C72">
        <w:rPr>
          <w:rFonts w:ascii="Arial" w:hAnsi="Arial" w:cs="Arial"/>
        </w:rPr>
        <w:t>.</w:t>
      </w:r>
    </w:p>
  </w:footnote>
  <w:footnote w:id="14">
    <w:p w:rsidR="001F1269" w:rsidRPr="00F43C72" w:rsidRDefault="001F1269" w:rsidP="00F43C72">
      <w:pPr>
        <w:pStyle w:val="FootnoteText"/>
        <w:jc w:val="both"/>
        <w:rPr>
          <w:rFonts w:ascii="Arial" w:hAnsi="Arial" w:cs="Arial"/>
        </w:rPr>
      </w:pPr>
      <w:r w:rsidRPr="00F43C72">
        <w:rPr>
          <w:rStyle w:val="FootnoteReference"/>
          <w:rFonts w:ascii="Arial" w:hAnsi="Arial" w:cs="Arial"/>
        </w:rPr>
        <w:footnoteRef/>
      </w:r>
      <w:r w:rsidRPr="00F43C72">
        <w:rPr>
          <w:rFonts w:ascii="Arial" w:hAnsi="Arial" w:cs="Arial"/>
        </w:rPr>
        <w:t xml:space="preserve"> In support of summary judgment</w:t>
      </w:r>
      <w:r w:rsidR="00F43C72">
        <w:rPr>
          <w:rFonts w:ascii="Arial" w:hAnsi="Arial" w:cs="Arial"/>
        </w:rPr>
        <w:t>.</w:t>
      </w:r>
    </w:p>
  </w:footnote>
  <w:footnote w:id="15">
    <w:p w:rsidR="001F1269" w:rsidRPr="00F43C72" w:rsidRDefault="001F1269" w:rsidP="00F43C72">
      <w:pPr>
        <w:pStyle w:val="FootnoteText"/>
        <w:ind w:left="284" w:hanging="284"/>
        <w:jc w:val="both"/>
        <w:rPr>
          <w:rFonts w:ascii="Arial" w:hAnsi="Arial" w:cs="Arial"/>
        </w:rPr>
      </w:pPr>
      <w:r w:rsidRPr="00F43C72">
        <w:rPr>
          <w:rStyle w:val="FootnoteReference"/>
          <w:rFonts w:ascii="Arial" w:hAnsi="Arial" w:cs="Arial"/>
        </w:rPr>
        <w:footnoteRef/>
      </w:r>
      <w:r w:rsidRPr="00F43C72">
        <w:rPr>
          <w:rFonts w:ascii="Arial" w:hAnsi="Arial" w:cs="Arial"/>
        </w:rPr>
        <w:t xml:space="preserve"> “The plaintiff shall, in the affidavit referred to in subrule (2)(a), verify the cause of action and the amount, if any claimed, and identify any point of law relied upon and the facts upon which the plaintiff’s claim is based, and explain briefly why the defence as pleaded does not raise any issue for trial</w:t>
      </w:r>
      <w:r w:rsidR="00F43C72">
        <w:rPr>
          <w:rFonts w:ascii="Arial" w:hAnsi="Arial" w:cs="Arial"/>
        </w:rPr>
        <w:t>.”</w:t>
      </w:r>
    </w:p>
  </w:footnote>
  <w:footnote w:id="16">
    <w:p w:rsidR="001F1269" w:rsidRPr="00F43C72" w:rsidRDefault="001F1269">
      <w:pPr>
        <w:pStyle w:val="FootnoteText"/>
        <w:rPr>
          <w:rFonts w:ascii="Arial" w:hAnsi="Arial" w:cs="Arial"/>
        </w:rPr>
      </w:pPr>
      <w:r w:rsidRPr="00F43C72">
        <w:rPr>
          <w:rStyle w:val="FootnoteReference"/>
          <w:rFonts w:ascii="Arial" w:hAnsi="Arial" w:cs="Arial"/>
        </w:rPr>
        <w:footnoteRef/>
      </w:r>
      <w:r w:rsidRPr="00F43C72">
        <w:rPr>
          <w:rFonts w:ascii="Arial" w:hAnsi="Arial" w:cs="Arial"/>
        </w:rPr>
        <w:t xml:space="preserve"> Paragraphs 28.5-28.13</w:t>
      </w:r>
      <w:r w:rsidR="00F43C72" w:rsidRPr="00F43C72">
        <w:rPr>
          <w:rFonts w:ascii="Arial" w:hAnsi="Arial" w:cs="Arial"/>
        </w:rPr>
        <w:t>.</w:t>
      </w:r>
    </w:p>
  </w:footnote>
  <w:footnote w:id="17">
    <w:p w:rsidR="001F1269" w:rsidRPr="00F43C72" w:rsidRDefault="001F1269">
      <w:pPr>
        <w:pStyle w:val="FootnoteText"/>
        <w:rPr>
          <w:rFonts w:ascii="Arial" w:hAnsi="Arial" w:cs="Arial"/>
        </w:rPr>
      </w:pPr>
      <w:r w:rsidRPr="00F43C72">
        <w:rPr>
          <w:rStyle w:val="FootnoteReference"/>
          <w:rFonts w:ascii="Arial" w:hAnsi="Arial" w:cs="Arial"/>
        </w:rPr>
        <w:footnoteRef/>
      </w:r>
      <w:r w:rsidRPr="00F43C72">
        <w:rPr>
          <w:rFonts w:ascii="Arial" w:hAnsi="Arial" w:cs="Arial"/>
        </w:rPr>
        <w:t xml:space="preserve"> FICA</w:t>
      </w:r>
      <w:r w:rsidR="00F43C72" w:rsidRPr="00F43C72">
        <w:rPr>
          <w:rFonts w:ascii="Arial" w:hAnsi="Arial" w:cs="Arial"/>
        </w:rPr>
        <w:t>.</w:t>
      </w:r>
    </w:p>
  </w:footnote>
  <w:footnote w:id="18">
    <w:p w:rsidR="001F1269" w:rsidRPr="00F53E31" w:rsidRDefault="001F1269">
      <w:pPr>
        <w:pStyle w:val="FootnoteText"/>
        <w:rPr>
          <w:rFonts w:ascii="Arial" w:hAnsi="Arial" w:cs="Arial"/>
        </w:rPr>
      </w:pPr>
      <w:r w:rsidRPr="00F53E31">
        <w:rPr>
          <w:rStyle w:val="FootnoteReference"/>
          <w:rFonts w:ascii="Arial" w:hAnsi="Arial" w:cs="Arial"/>
        </w:rPr>
        <w:footnoteRef/>
      </w:r>
      <w:r w:rsidRPr="00F53E31">
        <w:rPr>
          <w:rFonts w:ascii="Arial" w:hAnsi="Arial" w:cs="Arial"/>
        </w:rPr>
        <w:t xml:space="preserve"> Paragraph 23 of defendant</w:t>
      </w:r>
      <w:r w:rsidR="00F53E31" w:rsidRPr="00F53E31">
        <w:rPr>
          <w:rFonts w:ascii="Arial" w:hAnsi="Arial" w:cs="Arial"/>
        </w:rPr>
        <w:t>’</w:t>
      </w:r>
      <w:r w:rsidRPr="00F53E31">
        <w:rPr>
          <w:rFonts w:ascii="Arial" w:hAnsi="Arial" w:cs="Arial"/>
        </w:rPr>
        <w:t>s plea</w:t>
      </w:r>
      <w:r w:rsidR="00F53E31" w:rsidRPr="00F53E31">
        <w:rPr>
          <w:rFonts w:ascii="Arial" w:hAnsi="Arial" w:cs="Arial"/>
        </w:rPr>
        <w:t>.</w:t>
      </w:r>
    </w:p>
  </w:footnote>
  <w:footnote w:id="19">
    <w:p w:rsidR="001F1269" w:rsidRPr="00F53E31" w:rsidRDefault="001F1269">
      <w:pPr>
        <w:pStyle w:val="FootnoteText"/>
        <w:rPr>
          <w:rFonts w:ascii="Arial" w:hAnsi="Arial" w:cs="Arial"/>
        </w:rPr>
      </w:pPr>
      <w:r w:rsidRPr="00F53E31">
        <w:rPr>
          <w:rStyle w:val="FootnoteReference"/>
          <w:rFonts w:ascii="Arial" w:hAnsi="Arial" w:cs="Arial"/>
        </w:rPr>
        <w:footnoteRef/>
      </w:r>
      <w:r w:rsidRPr="00F53E31">
        <w:rPr>
          <w:rFonts w:ascii="Arial" w:hAnsi="Arial" w:cs="Arial"/>
        </w:rPr>
        <w:t xml:space="preserve"> Paragraphs 23.1-23.9</w:t>
      </w:r>
      <w:r w:rsidR="00F53E31" w:rsidRPr="00F53E31">
        <w:rPr>
          <w:rFonts w:ascii="Arial" w:hAnsi="Arial" w:cs="Arial"/>
        </w:rPr>
        <w:t>.</w:t>
      </w:r>
    </w:p>
  </w:footnote>
  <w:footnote w:id="20">
    <w:p w:rsidR="001F1269" w:rsidRPr="00F53E31" w:rsidRDefault="001F1269">
      <w:pPr>
        <w:pStyle w:val="FootnoteText"/>
        <w:rPr>
          <w:rFonts w:ascii="Arial" w:hAnsi="Arial" w:cs="Arial"/>
        </w:rPr>
      </w:pPr>
      <w:r w:rsidRPr="00F53E31">
        <w:rPr>
          <w:rStyle w:val="FootnoteReference"/>
          <w:rFonts w:ascii="Arial" w:hAnsi="Arial" w:cs="Arial"/>
        </w:rPr>
        <w:footnoteRef/>
      </w:r>
      <w:r w:rsidRPr="00F53E31">
        <w:rPr>
          <w:rFonts w:ascii="Arial" w:hAnsi="Arial" w:cs="Arial"/>
        </w:rPr>
        <w:t xml:space="preserve"> Pages 171 and 172 of Index Bundle</w:t>
      </w:r>
      <w:r w:rsidR="00F53E31" w:rsidRPr="00F53E31">
        <w:rPr>
          <w:rFonts w:ascii="Arial" w:hAnsi="Arial" w:cs="Arial"/>
        </w:rPr>
        <w:t>.</w:t>
      </w:r>
    </w:p>
  </w:footnote>
  <w:footnote w:id="21">
    <w:p w:rsidR="001F1269" w:rsidRPr="00F53E31" w:rsidRDefault="001F1269" w:rsidP="00180FF5">
      <w:pPr>
        <w:pStyle w:val="FootnoteText"/>
        <w:rPr>
          <w:rFonts w:ascii="Arial" w:hAnsi="Arial" w:cs="Arial"/>
        </w:rPr>
      </w:pPr>
      <w:r w:rsidRPr="00F53E31">
        <w:rPr>
          <w:rStyle w:val="FootnoteReference"/>
          <w:rFonts w:ascii="Arial" w:hAnsi="Arial" w:cs="Arial"/>
        </w:rPr>
        <w:footnoteRef/>
      </w:r>
      <w:r w:rsidRPr="00F53E31">
        <w:rPr>
          <w:rFonts w:ascii="Arial" w:hAnsi="Arial" w:cs="Arial"/>
        </w:rPr>
        <w:t xml:space="preserve"> 1999 (4) SA 928 (SCA) at para 25</w:t>
      </w:r>
      <w:r w:rsidR="00F53E31" w:rsidRPr="00F53E31">
        <w:rPr>
          <w:rFonts w:ascii="Arial" w:hAnsi="Arial" w:cs="Arial"/>
        </w:rPr>
        <w:t>.</w:t>
      </w:r>
    </w:p>
  </w:footnote>
  <w:footnote w:id="22">
    <w:p w:rsidR="001F1269" w:rsidRPr="00F53E31" w:rsidRDefault="001F1269">
      <w:pPr>
        <w:pStyle w:val="FootnoteText"/>
        <w:rPr>
          <w:rFonts w:ascii="Arial" w:hAnsi="Arial" w:cs="Arial"/>
        </w:rPr>
      </w:pPr>
      <w:r w:rsidRPr="00F53E31">
        <w:rPr>
          <w:rStyle w:val="FootnoteReference"/>
          <w:rFonts w:ascii="Arial" w:hAnsi="Arial" w:cs="Arial"/>
        </w:rPr>
        <w:footnoteRef/>
      </w:r>
      <w:r w:rsidRPr="00F53E31">
        <w:rPr>
          <w:rFonts w:ascii="Arial" w:hAnsi="Arial" w:cs="Arial"/>
        </w:rPr>
        <w:t xml:space="preserve"> Paragraph 26 of the heads of argument</w:t>
      </w:r>
      <w:r w:rsidR="00F53E31" w:rsidRPr="00F53E31">
        <w:rPr>
          <w:rFonts w:ascii="Arial" w:hAnsi="Arial" w:cs="Arial"/>
        </w:rPr>
        <w:t>.</w:t>
      </w:r>
    </w:p>
  </w:footnote>
  <w:footnote w:id="23">
    <w:p w:rsidR="001F1269" w:rsidRDefault="001F1269">
      <w:pPr>
        <w:pStyle w:val="FootnoteText"/>
      </w:pPr>
      <w:r w:rsidRPr="00F53E31">
        <w:rPr>
          <w:rStyle w:val="FootnoteReference"/>
          <w:rFonts w:ascii="Arial" w:hAnsi="Arial" w:cs="Arial"/>
        </w:rPr>
        <w:footnoteRef/>
      </w:r>
      <w:r w:rsidRPr="00F53E31">
        <w:rPr>
          <w:rFonts w:ascii="Arial" w:hAnsi="Arial" w:cs="Arial"/>
        </w:rPr>
        <w:t xml:space="preserve"> Paragraph 5 of POC</w:t>
      </w:r>
      <w:r w:rsidR="00F53E31" w:rsidRPr="00F53E31">
        <w:rPr>
          <w:rFonts w:ascii="Arial" w:hAnsi="Arial" w:cs="Arial"/>
        </w:rPr>
        <w:t>.</w:t>
      </w:r>
    </w:p>
  </w:footnote>
  <w:footnote w:id="24">
    <w:p w:rsidR="001F1269" w:rsidRPr="00F53E31" w:rsidRDefault="001F1269">
      <w:pPr>
        <w:pStyle w:val="FootnoteText"/>
        <w:rPr>
          <w:rFonts w:ascii="Arial" w:hAnsi="Arial" w:cs="Arial"/>
        </w:rPr>
      </w:pPr>
      <w:r w:rsidRPr="00F53E31">
        <w:rPr>
          <w:rStyle w:val="FootnoteReference"/>
          <w:rFonts w:ascii="Arial" w:hAnsi="Arial" w:cs="Arial"/>
        </w:rPr>
        <w:footnoteRef/>
      </w:r>
      <w:r w:rsidRPr="00F53E31">
        <w:rPr>
          <w:rFonts w:ascii="Arial" w:hAnsi="Arial" w:cs="Arial"/>
        </w:rPr>
        <w:t xml:space="preserve"> Arend v Astra Furnishers (Pty) Ltd 1974 (1) SA 298 (C) at 303-4</w:t>
      </w:r>
      <w:r w:rsidR="00F53E31">
        <w:rPr>
          <w:rFonts w:ascii="Arial" w:hAnsi="Arial" w:cs="Arial"/>
        </w:rPr>
        <w:t>.</w:t>
      </w:r>
      <w:r w:rsidRPr="00F53E31">
        <w:rPr>
          <w:rFonts w:ascii="Arial" w:hAnsi="Arial" w:cs="Arial"/>
        </w:rPr>
        <w:t xml:space="preserve"> </w:t>
      </w:r>
    </w:p>
  </w:footnote>
  <w:footnote w:id="25">
    <w:p w:rsidR="001F1269" w:rsidRPr="00F53E31" w:rsidRDefault="001F1269">
      <w:pPr>
        <w:pStyle w:val="FootnoteText"/>
        <w:rPr>
          <w:rFonts w:ascii="Arial" w:hAnsi="Arial" w:cs="Arial"/>
        </w:rPr>
      </w:pPr>
      <w:r w:rsidRPr="00F53E31">
        <w:rPr>
          <w:rStyle w:val="FootnoteReference"/>
          <w:rFonts w:ascii="Arial" w:hAnsi="Arial" w:cs="Arial"/>
        </w:rPr>
        <w:footnoteRef/>
      </w:r>
      <w:r w:rsidRPr="00F53E31">
        <w:rPr>
          <w:rFonts w:ascii="Arial" w:hAnsi="Arial" w:cs="Arial"/>
        </w:rPr>
        <w:t xml:space="preserve"> Maharaj v Barclays National Bank Ltd 1976 (1) SA 418 (A) at 426</w:t>
      </w:r>
      <w:r w:rsidR="00F53E31">
        <w:rPr>
          <w:rFonts w:ascii="Arial" w:hAnsi="Arial" w:cs="Arial"/>
        </w:rPr>
        <w:t>.</w:t>
      </w:r>
    </w:p>
  </w:footnote>
  <w:footnote w:id="26">
    <w:p w:rsidR="001F1269" w:rsidRPr="00F53E31" w:rsidRDefault="001F1269">
      <w:pPr>
        <w:pStyle w:val="FootnoteText"/>
        <w:rPr>
          <w:rFonts w:ascii="Arial" w:hAnsi="Arial" w:cs="Arial"/>
        </w:rPr>
      </w:pPr>
      <w:r w:rsidRPr="00F53E31">
        <w:rPr>
          <w:rStyle w:val="FootnoteReference"/>
          <w:rFonts w:ascii="Arial" w:hAnsi="Arial" w:cs="Arial"/>
        </w:rPr>
        <w:footnoteRef/>
      </w:r>
      <w:r w:rsidRPr="00F53E31">
        <w:rPr>
          <w:rFonts w:ascii="Arial" w:hAnsi="Arial" w:cs="Arial"/>
        </w:rPr>
        <w:t xml:space="preserve"> Arend case </w:t>
      </w:r>
      <w:r w:rsidRPr="00F53E31">
        <w:rPr>
          <w:rFonts w:ascii="Arial" w:hAnsi="Arial" w:cs="Arial"/>
          <w:i/>
        </w:rPr>
        <w:t>supra</w:t>
      </w:r>
      <w:r w:rsidR="00F53E31">
        <w:rPr>
          <w:rFonts w:ascii="Arial" w:hAnsi="Arial" w:cs="Arial"/>
          <w:i/>
        </w:rPr>
        <w:t>.</w:t>
      </w:r>
    </w:p>
  </w:footnote>
  <w:footnote w:id="27">
    <w:p w:rsidR="001F1269" w:rsidRDefault="001F1269">
      <w:pPr>
        <w:pStyle w:val="FootnoteText"/>
      </w:pPr>
      <w:r w:rsidRPr="00F53E31">
        <w:rPr>
          <w:rStyle w:val="FootnoteReference"/>
          <w:rFonts w:ascii="Arial" w:hAnsi="Arial" w:cs="Arial"/>
        </w:rPr>
        <w:footnoteRef/>
      </w:r>
      <w:r w:rsidRPr="00F53E31">
        <w:rPr>
          <w:rFonts w:ascii="Arial" w:hAnsi="Arial" w:cs="Arial"/>
        </w:rPr>
        <w:t xml:space="preserve"> Maharaj case </w:t>
      </w:r>
      <w:r w:rsidRPr="00F53E31">
        <w:rPr>
          <w:rFonts w:ascii="Arial" w:hAnsi="Arial" w:cs="Arial"/>
          <w:i/>
        </w:rPr>
        <w:t>supra</w:t>
      </w:r>
      <w:r w:rsidR="00F53E31">
        <w:rPr>
          <w:rFonts w:ascii="Arial" w:hAnsi="Arial" w:cs="Arial"/>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04583"/>
      <w:docPartObj>
        <w:docPartGallery w:val="Page Numbers (Top of Page)"/>
        <w:docPartUnique/>
      </w:docPartObj>
    </w:sdtPr>
    <w:sdtEndPr>
      <w:rPr>
        <w:noProof/>
      </w:rPr>
    </w:sdtEndPr>
    <w:sdtContent>
      <w:p w:rsidR="001F1269" w:rsidRDefault="001F1269">
        <w:pPr>
          <w:pStyle w:val="Header"/>
          <w:jc w:val="right"/>
        </w:pPr>
        <w:r>
          <w:fldChar w:fldCharType="begin"/>
        </w:r>
        <w:r>
          <w:instrText xml:space="preserve"> PAGE   \* MERGEFORMAT </w:instrText>
        </w:r>
        <w:r>
          <w:fldChar w:fldCharType="separate"/>
        </w:r>
        <w:r w:rsidR="00AF4BDC">
          <w:rPr>
            <w:noProof/>
          </w:rPr>
          <w:t>10</w:t>
        </w:r>
        <w:r>
          <w:rPr>
            <w:noProof/>
          </w:rPr>
          <w:fldChar w:fldCharType="end"/>
        </w:r>
      </w:p>
    </w:sdtContent>
  </w:sdt>
  <w:p w:rsidR="001F1269" w:rsidRDefault="001F1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355"/>
    <w:multiLevelType w:val="hybridMultilevel"/>
    <w:tmpl w:val="BC688A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1761FD"/>
    <w:multiLevelType w:val="hybridMultilevel"/>
    <w:tmpl w:val="C7F6E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757C63"/>
    <w:multiLevelType w:val="hybridMultilevel"/>
    <w:tmpl w:val="659C90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9379F9"/>
    <w:multiLevelType w:val="hybridMultilevel"/>
    <w:tmpl w:val="E1FC1F16"/>
    <w:lvl w:ilvl="0" w:tplc="DDB03C4E">
      <w:numFmt w:val="bullet"/>
      <w:lvlText w:val="•"/>
      <w:lvlJc w:val="left"/>
      <w:pPr>
        <w:ind w:left="108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0E0A04"/>
    <w:multiLevelType w:val="hybridMultilevel"/>
    <w:tmpl w:val="DFC08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42133F3"/>
    <w:multiLevelType w:val="hybridMultilevel"/>
    <w:tmpl w:val="3F4462D0"/>
    <w:lvl w:ilvl="0" w:tplc="DDB03C4E">
      <w:numFmt w:val="bullet"/>
      <w:lvlText w:val="•"/>
      <w:lvlJc w:val="left"/>
      <w:pPr>
        <w:ind w:left="108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6E85A3E"/>
    <w:multiLevelType w:val="hybridMultilevel"/>
    <w:tmpl w:val="5762A450"/>
    <w:lvl w:ilvl="0" w:tplc="DB0A9C0E">
      <w:start w:val="1"/>
      <w:numFmt w:val="lowerLetter"/>
      <w:lvlText w:val="(%1)"/>
      <w:lvlJc w:val="left"/>
      <w:pPr>
        <w:ind w:left="2640" w:hanging="410"/>
      </w:pPr>
      <w:rPr>
        <w:rFonts w:hint="default"/>
      </w:rPr>
    </w:lvl>
    <w:lvl w:ilvl="1" w:tplc="1C090019" w:tentative="1">
      <w:start w:val="1"/>
      <w:numFmt w:val="lowerLetter"/>
      <w:lvlText w:val="%2."/>
      <w:lvlJc w:val="left"/>
      <w:pPr>
        <w:ind w:left="3310" w:hanging="360"/>
      </w:pPr>
    </w:lvl>
    <w:lvl w:ilvl="2" w:tplc="1C09001B" w:tentative="1">
      <w:start w:val="1"/>
      <w:numFmt w:val="lowerRoman"/>
      <w:lvlText w:val="%3."/>
      <w:lvlJc w:val="right"/>
      <w:pPr>
        <w:ind w:left="4030" w:hanging="180"/>
      </w:pPr>
    </w:lvl>
    <w:lvl w:ilvl="3" w:tplc="1C09000F" w:tentative="1">
      <w:start w:val="1"/>
      <w:numFmt w:val="decimal"/>
      <w:lvlText w:val="%4."/>
      <w:lvlJc w:val="left"/>
      <w:pPr>
        <w:ind w:left="4750" w:hanging="360"/>
      </w:pPr>
    </w:lvl>
    <w:lvl w:ilvl="4" w:tplc="1C090019" w:tentative="1">
      <w:start w:val="1"/>
      <w:numFmt w:val="lowerLetter"/>
      <w:lvlText w:val="%5."/>
      <w:lvlJc w:val="left"/>
      <w:pPr>
        <w:ind w:left="5470" w:hanging="360"/>
      </w:pPr>
    </w:lvl>
    <w:lvl w:ilvl="5" w:tplc="1C09001B" w:tentative="1">
      <w:start w:val="1"/>
      <w:numFmt w:val="lowerRoman"/>
      <w:lvlText w:val="%6."/>
      <w:lvlJc w:val="right"/>
      <w:pPr>
        <w:ind w:left="6190" w:hanging="180"/>
      </w:pPr>
    </w:lvl>
    <w:lvl w:ilvl="6" w:tplc="1C09000F" w:tentative="1">
      <w:start w:val="1"/>
      <w:numFmt w:val="decimal"/>
      <w:lvlText w:val="%7."/>
      <w:lvlJc w:val="left"/>
      <w:pPr>
        <w:ind w:left="6910" w:hanging="360"/>
      </w:pPr>
    </w:lvl>
    <w:lvl w:ilvl="7" w:tplc="1C090019" w:tentative="1">
      <w:start w:val="1"/>
      <w:numFmt w:val="lowerLetter"/>
      <w:lvlText w:val="%8."/>
      <w:lvlJc w:val="left"/>
      <w:pPr>
        <w:ind w:left="7630" w:hanging="360"/>
      </w:pPr>
    </w:lvl>
    <w:lvl w:ilvl="8" w:tplc="1C09001B" w:tentative="1">
      <w:start w:val="1"/>
      <w:numFmt w:val="lowerRoman"/>
      <w:lvlText w:val="%9."/>
      <w:lvlJc w:val="right"/>
      <w:pPr>
        <w:ind w:left="8350" w:hanging="180"/>
      </w:pPr>
    </w:lvl>
  </w:abstractNum>
  <w:abstractNum w:abstractNumId="7" w15:restartNumberingAfterBreak="0">
    <w:nsid w:val="299A4154"/>
    <w:multiLevelType w:val="hybridMultilevel"/>
    <w:tmpl w:val="EB44501A"/>
    <w:lvl w:ilvl="0" w:tplc="B2C6FC20">
      <w:start w:val="1"/>
      <w:numFmt w:val="upperLetter"/>
      <w:lvlText w:val="%1."/>
      <w:lvlJc w:val="left"/>
      <w:pPr>
        <w:ind w:left="6120" w:hanging="360"/>
      </w:pPr>
      <w:rPr>
        <w:rFonts w:hint="default"/>
      </w:rPr>
    </w:lvl>
    <w:lvl w:ilvl="1" w:tplc="1C090019" w:tentative="1">
      <w:start w:val="1"/>
      <w:numFmt w:val="lowerLetter"/>
      <w:lvlText w:val="%2."/>
      <w:lvlJc w:val="left"/>
      <w:pPr>
        <w:ind w:left="6840" w:hanging="360"/>
      </w:pPr>
    </w:lvl>
    <w:lvl w:ilvl="2" w:tplc="1C09001B" w:tentative="1">
      <w:start w:val="1"/>
      <w:numFmt w:val="lowerRoman"/>
      <w:lvlText w:val="%3."/>
      <w:lvlJc w:val="right"/>
      <w:pPr>
        <w:ind w:left="7560" w:hanging="180"/>
      </w:pPr>
    </w:lvl>
    <w:lvl w:ilvl="3" w:tplc="1C09000F" w:tentative="1">
      <w:start w:val="1"/>
      <w:numFmt w:val="decimal"/>
      <w:lvlText w:val="%4."/>
      <w:lvlJc w:val="left"/>
      <w:pPr>
        <w:ind w:left="8280" w:hanging="360"/>
      </w:pPr>
    </w:lvl>
    <w:lvl w:ilvl="4" w:tplc="1C090019" w:tentative="1">
      <w:start w:val="1"/>
      <w:numFmt w:val="lowerLetter"/>
      <w:lvlText w:val="%5."/>
      <w:lvlJc w:val="left"/>
      <w:pPr>
        <w:ind w:left="9000" w:hanging="360"/>
      </w:pPr>
    </w:lvl>
    <w:lvl w:ilvl="5" w:tplc="1C09001B" w:tentative="1">
      <w:start w:val="1"/>
      <w:numFmt w:val="lowerRoman"/>
      <w:lvlText w:val="%6."/>
      <w:lvlJc w:val="right"/>
      <w:pPr>
        <w:ind w:left="9720" w:hanging="180"/>
      </w:pPr>
    </w:lvl>
    <w:lvl w:ilvl="6" w:tplc="1C09000F" w:tentative="1">
      <w:start w:val="1"/>
      <w:numFmt w:val="decimal"/>
      <w:lvlText w:val="%7."/>
      <w:lvlJc w:val="left"/>
      <w:pPr>
        <w:ind w:left="10440" w:hanging="360"/>
      </w:pPr>
    </w:lvl>
    <w:lvl w:ilvl="7" w:tplc="1C090019" w:tentative="1">
      <w:start w:val="1"/>
      <w:numFmt w:val="lowerLetter"/>
      <w:lvlText w:val="%8."/>
      <w:lvlJc w:val="left"/>
      <w:pPr>
        <w:ind w:left="11160" w:hanging="360"/>
      </w:pPr>
    </w:lvl>
    <w:lvl w:ilvl="8" w:tplc="1C09001B" w:tentative="1">
      <w:start w:val="1"/>
      <w:numFmt w:val="lowerRoman"/>
      <w:lvlText w:val="%9."/>
      <w:lvlJc w:val="right"/>
      <w:pPr>
        <w:ind w:left="11880" w:hanging="180"/>
      </w:pPr>
    </w:lvl>
  </w:abstractNum>
  <w:abstractNum w:abstractNumId="8" w15:restartNumberingAfterBreak="0">
    <w:nsid w:val="31D15AF4"/>
    <w:multiLevelType w:val="hybridMultilevel"/>
    <w:tmpl w:val="598852D8"/>
    <w:lvl w:ilvl="0" w:tplc="1C090017">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29C380A"/>
    <w:multiLevelType w:val="hybridMultilevel"/>
    <w:tmpl w:val="1C3EBA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B18427A"/>
    <w:multiLevelType w:val="hybridMultilevel"/>
    <w:tmpl w:val="F550A8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20685A"/>
    <w:multiLevelType w:val="multilevel"/>
    <w:tmpl w:val="31B67A74"/>
    <w:lvl w:ilvl="0">
      <w:start w:val="1"/>
      <w:numFmt w:val="decimal"/>
      <w:lvlText w:val="%1."/>
      <w:lvlJc w:val="left"/>
      <w:pPr>
        <w:ind w:left="1440" w:hanging="72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C3D3DE6"/>
    <w:multiLevelType w:val="hybridMultilevel"/>
    <w:tmpl w:val="BD980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CE00B92"/>
    <w:multiLevelType w:val="hybridMultilevel"/>
    <w:tmpl w:val="81589B66"/>
    <w:lvl w:ilvl="0" w:tplc="4F0258FE">
      <w:start w:val="1"/>
      <w:numFmt w:val="upperLetter"/>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14" w15:restartNumberingAfterBreak="0">
    <w:nsid w:val="3EA63041"/>
    <w:multiLevelType w:val="hybridMultilevel"/>
    <w:tmpl w:val="A8C664D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1A0865"/>
    <w:multiLevelType w:val="hybridMultilevel"/>
    <w:tmpl w:val="78747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5770F9"/>
    <w:multiLevelType w:val="hybridMultilevel"/>
    <w:tmpl w:val="92EA924A"/>
    <w:lvl w:ilvl="0" w:tplc="DDB03C4E">
      <w:numFmt w:val="bullet"/>
      <w:lvlText w:val="•"/>
      <w:lvlJc w:val="left"/>
      <w:pPr>
        <w:ind w:left="108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1250BE"/>
    <w:multiLevelType w:val="hybridMultilevel"/>
    <w:tmpl w:val="D88E6148"/>
    <w:lvl w:ilvl="0" w:tplc="9CCCC54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EB7238"/>
    <w:multiLevelType w:val="hybridMultilevel"/>
    <w:tmpl w:val="AE1CD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6AE2C44"/>
    <w:multiLevelType w:val="hybridMultilevel"/>
    <w:tmpl w:val="C02A8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ABF0E99"/>
    <w:multiLevelType w:val="multilevel"/>
    <w:tmpl w:val="6A081D02"/>
    <w:lvl w:ilvl="0">
      <w:start w:val="5"/>
      <w:numFmt w:val="decimal"/>
      <w:lvlText w:val="%1"/>
      <w:lvlJc w:val="left"/>
      <w:pPr>
        <w:ind w:left="400" w:hanging="400"/>
      </w:pPr>
      <w:rPr>
        <w:rFonts w:hint="default"/>
        <w:sz w:val="28"/>
      </w:rPr>
    </w:lvl>
    <w:lvl w:ilvl="1">
      <w:start w:val="1"/>
      <w:numFmt w:val="decimal"/>
      <w:lvlText w:val="%1.%2"/>
      <w:lvlJc w:val="left"/>
      <w:pPr>
        <w:ind w:left="1120" w:hanging="40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21" w15:restartNumberingAfterBreak="0">
    <w:nsid w:val="5B5E7C47"/>
    <w:multiLevelType w:val="hybridMultilevel"/>
    <w:tmpl w:val="764491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6186CF6"/>
    <w:multiLevelType w:val="hybridMultilevel"/>
    <w:tmpl w:val="C4101B20"/>
    <w:lvl w:ilvl="0" w:tplc="1C09000F">
      <w:start w:val="1"/>
      <w:numFmt w:val="decimal"/>
      <w:lvlText w:val="%1."/>
      <w:lvlJc w:val="left"/>
      <w:pPr>
        <w:ind w:left="2950" w:hanging="360"/>
      </w:pPr>
    </w:lvl>
    <w:lvl w:ilvl="1" w:tplc="1C090019" w:tentative="1">
      <w:start w:val="1"/>
      <w:numFmt w:val="lowerLetter"/>
      <w:lvlText w:val="%2."/>
      <w:lvlJc w:val="left"/>
      <w:pPr>
        <w:ind w:left="3670" w:hanging="360"/>
      </w:pPr>
    </w:lvl>
    <w:lvl w:ilvl="2" w:tplc="1C09001B" w:tentative="1">
      <w:start w:val="1"/>
      <w:numFmt w:val="lowerRoman"/>
      <w:lvlText w:val="%3."/>
      <w:lvlJc w:val="right"/>
      <w:pPr>
        <w:ind w:left="4390" w:hanging="180"/>
      </w:pPr>
    </w:lvl>
    <w:lvl w:ilvl="3" w:tplc="1C09000F" w:tentative="1">
      <w:start w:val="1"/>
      <w:numFmt w:val="decimal"/>
      <w:lvlText w:val="%4."/>
      <w:lvlJc w:val="left"/>
      <w:pPr>
        <w:ind w:left="5110" w:hanging="360"/>
      </w:pPr>
    </w:lvl>
    <w:lvl w:ilvl="4" w:tplc="1C090019" w:tentative="1">
      <w:start w:val="1"/>
      <w:numFmt w:val="lowerLetter"/>
      <w:lvlText w:val="%5."/>
      <w:lvlJc w:val="left"/>
      <w:pPr>
        <w:ind w:left="5830" w:hanging="360"/>
      </w:pPr>
    </w:lvl>
    <w:lvl w:ilvl="5" w:tplc="1C09001B" w:tentative="1">
      <w:start w:val="1"/>
      <w:numFmt w:val="lowerRoman"/>
      <w:lvlText w:val="%6."/>
      <w:lvlJc w:val="right"/>
      <w:pPr>
        <w:ind w:left="6550" w:hanging="180"/>
      </w:pPr>
    </w:lvl>
    <w:lvl w:ilvl="6" w:tplc="1C09000F" w:tentative="1">
      <w:start w:val="1"/>
      <w:numFmt w:val="decimal"/>
      <w:lvlText w:val="%7."/>
      <w:lvlJc w:val="left"/>
      <w:pPr>
        <w:ind w:left="7270" w:hanging="360"/>
      </w:pPr>
    </w:lvl>
    <w:lvl w:ilvl="7" w:tplc="1C090019" w:tentative="1">
      <w:start w:val="1"/>
      <w:numFmt w:val="lowerLetter"/>
      <w:lvlText w:val="%8."/>
      <w:lvlJc w:val="left"/>
      <w:pPr>
        <w:ind w:left="7990" w:hanging="360"/>
      </w:pPr>
    </w:lvl>
    <w:lvl w:ilvl="8" w:tplc="1C09001B" w:tentative="1">
      <w:start w:val="1"/>
      <w:numFmt w:val="lowerRoman"/>
      <w:lvlText w:val="%9."/>
      <w:lvlJc w:val="right"/>
      <w:pPr>
        <w:ind w:left="8710" w:hanging="180"/>
      </w:pPr>
    </w:lvl>
  </w:abstractNum>
  <w:abstractNum w:abstractNumId="23" w15:restartNumberingAfterBreak="0">
    <w:nsid w:val="68FE1AB4"/>
    <w:multiLevelType w:val="hybridMultilevel"/>
    <w:tmpl w:val="F3500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A615531"/>
    <w:multiLevelType w:val="hybridMultilevel"/>
    <w:tmpl w:val="8AD0EB3E"/>
    <w:lvl w:ilvl="0" w:tplc="F370A8E2">
      <w:start w:val="1"/>
      <w:numFmt w:val="decimal"/>
      <w:lvlText w:val="%1."/>
      <w:lvlJc w:val="left"/>
      <w:pPr>
        <w:ind w:left="1080" w:hanging="360"/>
      </w:pPr>
      <w:rPr>
        <w:rFonts w:hint="default"/>
        <w:sz w:val="28"/>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B0004DF"/>
    <w:multiLevelType w:val="hybridMultilevel"/>
    <w:tmpl w:val="F894C6B2"/>
    <w:lvl w:ilvl="0" w:tplc="DDB03C4E">
      <w:numFmt w:val="bullet"/>
      <w:lvlText w:val="•"/>
      <w:lvlJc w:val="left"/>
      <w:pPr>
        <w:ind w:left="108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9"/>
  </w:num>
  <w:num w:numId="5">
    <w:abstractNumId w:val="4"/>
  </w:num>
  <w:num w:numId="6">
    <w:abstractNumId w:val="18"/>
  </w:num>
  <w:num w:numId="7">
    <w:abstractNumId w:val="23"/>
  </w:num>
  <w:num w:numId="8">
    <w:abstractNumId w:val="3"/>
  </w:num>
  <w:num w:numId="9">
    <w:abstractNumId w:val="25"/>
  </w:num>
  <w:num w:numId="10">
    <w:abstractNumId w:val="16"/>
  </w:num>
  <w:num w:numId="11">
    <w:abstractNumId w:val="5"/>
  </w:num>
  <w:num w:numId="12">
    <w:abstractNumId w:val="10"/>
  </w:num>
  <w:num w:numId="13">
    <w:abstractNumId w:val="21"/>
  </w:num>
  <w:num w:numId="14">
    <w:abstractNumId w:val="17"/>
  </w:num>
  <w:num w:numId="15">
    <w:abstractNumId w:val="20"/>
  </w:num>
  <w:num w:numId="16">
    <w:abstractNumId w:val="11"/>
  </w:num>
  <w:num w:numId="17">
    <w:abstractNumId w:val="24"/>
  </w:num>
  <w:num w:numId="18">
    <w:abstractNumId w:val="12"/>
  </w:num>
  <w:num w:numId="19">
    <w:abstractNumId w:val="14"/>
  </w:num>
  <w:num w:numId="20">
    <w:abstractNumId w:val="2"/>
  </w:num>
  <w:num w:numId="21">
    <w:abstractNumId w:val="22"/>
  </w:num>
  <w:num w:numId="22">
    <w:abstractNumId w:val="6"/>
  </w:num>
  <w:num w:numId="23">
    <w:abstractNumId w:val="0"/>
  </w:num>
  <w:num w:numId="24">
    <w:abstractNumId w:val="8"/>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4B"/>
    <w:rsid w:val="00000B2B"/>
    <w:rsid w:val="00003182"/>
    <w:rsid w:val="00003924"/>
    <w:rsid w:val="00004992"/>
    <w:rsid w:val="00005FCF"/>
    <w:rsid w:val="00012887"/>
    <w:rsid w:val="000132F4"/>
    <w:rsid w:val="00016E07"/>
    <w:rsid w:val="00020311"/>
    <w:rsid w:val="000218DE"/>
    <w:rsid w:val="00023019"/>
    <w:rsid w:val="00023AB7"/>
    <w:rsid w:val="000246B6"/>
    <w:rsid w:val="0003043D"/>
    <w:rsid w:val="0003201A"/>
    <w:rsid w:val="00034653"/>
    <w:rsid w:val="00043A46"/>
    <w:rsid w:val="000476A2"/>
    <w:rsid w:val="0004787A"/>
    <w:rsid w:val="000501B9"/>
    <w:rsid w:val="00050628"/>
    <w:rsid w:val="0005262A"/>
    <w:rsid w:val="0006095A"/>
    <w:rsid w:val="000668B2"/>
    <w:rsid w:val="00070063"/>
    <w:rsid w:val="00092108"/>
    <w:rsid w:val="0009767D"/>
    <w:rsid w:val="000A3229"/>
    <w:rsid w:val="000B0AD4"/>
    <w:rsid w:val="000B3AF1"/>
    <w:rsid w:val="000B7891"/>
    <w:rsid w:val="000B7A26"/>
    <w:rsid w:val="000C1EC5"/>
    <w:rsid w:val="000C207A"/>
    <w:rsid w:val="000C4935"/>
    <w:rsid w:val="000C5E5E"/>
    <w:rsid w:val="000C73F2"/>
    <w:rsid w:val="000C75BF"/>
    <w:rsid w:val="000D1AA2"/>
    <w:rsid w:val="000D4671"/>
    <w:rsid w:val="000E001A"/>
    <w:rsid w:val="000E264D"/>
    <w:rsid w:val="000E731D"/>
    <w:rsid w:val="000F006E"/>
    <w:rsid w:val="000F45D1"/>
    <w:rsid w:val="000F49CE"/>
    <w:rsid w:val="000F6AD4"/>
    <w:rsid w:val="001001C4"/>
    <w:rsid w:val="00103AE7"/>
    <w:rsid w:val="00103B99"/>
    <w:rsid w:val="001047E8"/>
    <w:rsid w:val="001114E1"/>
    <w:rsid w:val="0011154D"/>
    <w:rsid w:val="001124F1"/>
    <w:rsid w:val="00115296"/>
    <w:rsid w:val="00116063"/>
    <w:rsid w:val="00116656"/>
    <w:rsid w:val="00116848"/>
    <w:rsid w:val="00122140"/>
    <w:rsid w:val="0012309F"/>
    <w:rsid w:val="00123247"/>
    <w:rsid w:val="001236A7"/>
    <w:rsid w:val="00125947"/>
    <w:rsid w:val="001309BC"/>
    <w:rsid w:val="001328B1"/>
    <w:rsid w:val="00133D29"/>
    <w:rsid w:val="001369C3"/>
    <w:rsid w:val="001417ED"/>
    <w:rsid w:val="00145AD4"/>
    <w:rsid w:val="00150464"/>
    <w:rsid w:val="00152148"/>
    <w:rsid w:val="00160FB0"/>
    <w:rsid w:val="00166982"/>
    <w:rsid w:val="00171131"/>
    <w:rsid w:val="001767FC"/>
    <w:rsid w:val="00177E6E"/>
    <w:rsid w:val="00180FF5"/>
    <w:rsid w:val="00181500"/>
    <w:rsid w:val="00181621"/>
    <w:rsid w:val="001817E7"/>
    <w:rsid w:val="0018208B"/>
    <w:rsid w:val="00182B3F"/>
    <w:rsid w:val="00182E02"/>
    <w:rsid w:val="00184B54"/>
    <w:rsid w:val="00190F73"/>
    <w:rsid w:val="00192D77"/>
    <w:rsid w:val="00194B2C"/>
    <w:rsid w:val="001952D0"/>
    <w:rsid w:val="001A124C"/>
    <w:rsid w:val="001A592E"/>
    <w:rsid w:val="001A7038"/>
    <w:rsid w:val="001B564C"/>
    <w:rsid w:val="001C01A3"/>
    <w:rsid w:val="001C264D"/>
    <w:rsid w:val="001C2A7E"/>
    <w:rsid w:val="001C6AD8"/>
    <w:rsid w:val="001D212D"/>
    <w:rsid w:val="001D33DE"/>
    <w:rsid w:val="001D4BE5"/>
    <w:rsid w:val="001D5D3B"/>
    <w:rsid w:val="001D761F"/>
    <w:rsid w:val="001E2860"/>
    <w:rsid w:val="001E2FAA"/>
    <w:rsid w:val="001E45AE"/>
    <w:rsid w:val="001E58BC"/>
    <w:rsid w:val="001F1269"/>
    <w:rsid w:val="001F1935"/>
    <w:rsid w:val="001F57E4"/>
    <w:rsid w:val="00200CC2"/>
    <w:rsid w:val="00202E6C"/>
    <w:rsid w:val="0020323F"/>
    <w:rsid w:val="002032DF"/>
    <w:rsid w:val="0021145E"/>
    <w:rsid w:val="00214170"/>
    <w:rsid w:val="00217915"/>
    <w:rsid w:val="00220311"/>
    <w:rsid w:val="00226448"/>
    <w:rsid w:val="0022680F"/>
    <w:rsid w:val="00226D38"/>
    <w:rsid w:val="00230829"/>
    <w:rsid w:val="00240BB6"/>
    <w:rsid w:val="00242CDC"/>
    <w:rsid w:val="00245C1E"/>
    <w:rsid w:val="00251FB0"/>
    <w:rsid w:val="002530AD"/>
    <w:rsid w:val="00254E57"/>
    <w:rsid w:val="00255E40"/>
    <w:rsid w:val="002572E3"/>
    <w:rsid w:val="0026022A"/>
    <w:rsid w:val="00260D6B"/>
    <w:rsid w:val="002613C9"/>
    <w:rsid w:val="00264541"/>
    <w:rsid w:val="002741E4"/>
    <w:rsid w:val="00274D0F"/>
    <w:rsid w:val="00276582"/>
    <w:rsid w:val="00281CBF"/>
    <w:rsid w:val="002831DD"/>
    <w:rsid w:val="00283B74"/>
    <w:rsid w:val="00287EBB"/>
    <w:rsid w:val="00294443"/>
    <w:rsid w:val="002A0046"/>
    <w:rsid w:val="002A10DA"/>
    <w:rsid w:val="002A25C3"/>
    <w:rsid w:val="002A3D99"/>
    <w:rsid w:val="002A77BD"/>
    <w:rsid w:val="002B16BD"/>
    <w:rsid w:val="002B1A76"/>
    <w:rsid w:val="002B7E37"/>
    <w:rsid w:val="002C2C01"/>
    <w:rsid w:val="002D0495"/>
    <w:rsid w:val="002D1960"/>
    <w:rsid w:val="002D204E"/>
    <w:rsid w:val="002D2F41"/>
    <w:rsid w:val="002D366E"/>
    <w:rsid w:val="002E0A96"/>
    <w:rsid w:val="002E1DCF"/>
    <w:rsid w:val="002E2188"/>
    <w:rsid w:val="002E4BE1"/>
    <w:rsid w:val="002F2745"/>
    <w:rsid w:val="002F38E2"/>
    <w:rsid w:val="002F5450"/>
    <w:rsid w:val="002F5562"/>
    <w:rsid w:val="002F7650"/>
    <w:rsid w:val="00301B2F"/>
    <w:rsid w:val="0030475F"/>
    <w:rsid w:val="00306C2A"/>
    <w:rsid w:val="00312872"/>
    <w:rsid w:val="003205E3"/>
    <w:rsid w:val="00321D80"/>
    <w:rsid w:val="00326EDB"/>
    <w:rsid w:val="00327841"/>
    <w:rsid w:val="00331826"/>
    <w:rsid w:val="0033309C"/>
    <w:rsid w:val="00343C8F"/>
    <w:rsid w:val="003442D5"/>
    <w:rsid w:val="0034676A"/>
    <w:rsid w:val="00346A4B"/>
    <w:rsid w:val="00352D78"/>
    <w:rsid w:val="00353641"/>
    <w:rsid w:val="00353A4A"/>
    <w:rsid w:val="003557C3"/>
    <w:rsid w:val="0035584D"/>
    <w:rsid w:val="0035682C"/>
    <w:rsid w:val="0035700F"/>
    <w:rsid w:val="00357F74"/>
    <w:rsid w:val="00360416"/>
    <w:rsid w:val="003615B3"/>
    <w:rsid w:val="003662C4"/>
    <w:rsid w:val="0037441C"/>
    <w:rsid w:val="00375563"/>
    <w:rsid w:val="003802C0"/>
    <w:rsid w:val="0038062B"/>
    <w:rsid w:val="00380C3E"/>
    <w:rsid w:val="00382A6E"/>
    <w:rsid w:val="00382CF4"/>
    <w:rsid w:val="00383797"/>
    <w:rsid w:val="00390B57"/>
    <w:rsid w:val="00391467"/>
    <w:rsid w:val="003950ED"/>
    <w:rsid w:val="003A09CD"/>
    <w:rsid w:val="003A112D"/>
    <w:rsid w:val="003A2071"/>
    <w:rsid w:val="003A52F6"/>
    <w:rsid w:val="003A72C0"/>
    <w:rsid w:val="003C32E7"/>
    <w:rsid w:val="003C4352"/>
    <w:rsid w:val="003C551F"/>
    <w:rsid w:val="003D2C9E"/>
    <w:rsid w:val="003D3A55"/>
    <w:rsid w:val="003D6B60"/>
    <w:rsid w:val="003D6E88"/>
    <w:rsid w:val="003D750A"/>
    <w:rsid w:val="003E0A10"/>
    <w:rsid w:val="003E1653"/>
    <w:rsid w:val="003E245E"/>
    <w:rsid w:val="003E2696"/>
    <w:rsid w:val="003F0F62"/>
    <w:rsid w:val="003F3E64"/>
    <w:rsid w:val="004117F7"/>
    <w:rsid w:val="00412438"/>
    <w:rsid w:val="004131EE"/>
    <w:rsid w:val="00414054"/>
    <w:rsid w:val="0041576B"/>
    <w:rsid w:val="004159A2"/>
    <w:rsid w:val="00417F42"/>
    <w:rsid w:val="00420251"/>
    <w:rsid w:val="004205A7"/>
    <w:rsid w:val="0042208E"/>
    <w:rsid w:val="00426956"/>
    <w:rsid w:val="0043428D"/>
    <w:rsid w:val="0043724B"/>
    <w:rsid w:val="00445AD5"/>
    <w:rsid w:val="0045184C"/>
    <w:rsid w:val="00452239"/>
    <w:rsid w:val="00452AFE"/>
    <w:rsid w:val="00463087"/>
    <w:rsid w:val="00472C79"/>
    <w:rsid w:val="004756BE"/>
    <w:rsid w:val="0048049E"/>
    <w:rsid w:val="00481273"/>
    <w:rsid w:val="004A6F69"/>
    <w:rsid w:val="004A7AF5"/>
    <w:rsid w:val="004B1698"/>
    <w:rsid w:val="004C026A"/>
    <w:rsid w:val="004C170C"/>
    <w:rsid w:val="004C24A4"/>
    <w:rsid w:val="004C6597"/>
    <w:rsid w:val="004C767A"/>
    <w:rsid w:val="004D0862"/>
    <w:rsid w:val="004D1313"/>
    <w:rsid w:val="004D16BA"/>
    <w:rsid w:val="004D54C6"/>
    <w:rsid w:val="004E1935"/>
    <w:rsid w:val="004E611B"/>
    <w:rsid w:val="004F2D03"/>
    <w:rsid w:val="004F403B"/>
    <w:rsid w:val="004F45B7"/>
    <w:rsid w:val="004F4E2D"/>
    <w:rsid w:val="004F5C95"/>
    <w:rsid w:val="004F645A"/>
    <w:rsid w:val="005038CF"/>
    <w:rsid w:val="00504FD1"/>
    <w:rsid w:val="00505D60"/>
    <w:rsid w:val="00511422"/>
    <w:rsid w:val="00512A84"/>
    <w:rsid w:val="00517C3E"/>
    <w:rsid w:val="005212F4"/>
    <w:rsid w:val="00523CDD"/>
    <w:rsid w:val="00530567"/>
    <w:rsid w:val="00532F72"/>
    <w:rsid w:val="00535229"/>
    <w:rsid w:val="00543C77"/>
    <w:rsid w:val="0054535F"/>
    <w:rsid w:val="00545BDB"/>
    <w:rsid w:val="005470B2"/>
    <w:rsid w:val="00547D93"/>
    <w:rsid w:val="00550E2F"/>
    <w:rsid w:val="00553804"/>
    <w:rsid w:val="00555111"/>
    <w:rsid w:val="00556F84"/>
    <w:rsid w:val="00557AE1"/>
    <w:rsid w:val="005656F8"/>
    <w:rsid w:val="005668BB"/>
    <w:rsid w:val="0057395A"/>
    <w:rsid w:val="005807B4"/>
    <w:rsid w:val="005835F6"/>
    <w:rsid w:val="00584671"/>
    <w:rsid w:val="00584B96"/>
    <w:rsid w:val="005859D0"/>
    <w:rsid w:val="00587A1B"/>
    <w:rsid w:val="00595338"/>
    <w:rsid w:val="005A57CA"/>
    <w:rsid w:val="005B0645"/>
    <w:rsid w:val="005B2230"/>
    <w:rsid w:val="005B2BB5"/>
    <w:rsid w:val="005B3F5D"/>
    <w:rsid w:val="005B50D6"/>
    <w:rsid w:val="005B560B"/>
    <w:rsid w:val="005C063B"/>
    <w:rsid w:val="005C0B2C"/>
    <w:rsid w:val="005C0F56"/>
    <w:rsid w:val="005C1373"/>
    <w:rsid w:val="005C2FDC"/>
    <w:rsid w:val="005C36F3"/>
    <w:rsid w:val="005C4030"/>
    <w:rsid w:val="005C6D2F"/>
    <w:rsid w:val="005C6D59"/>
    <w:rsid w:val="005D190F"/>
    <w:rsid w:val="005D5E25"/>
    <w:rsid w:val="005D797F"/>
    <w:rsid w:val="005E3983"/>
    <w:rsid w:val="005F0DB8"/>
    <w:rsid w:val="005F12A8"/>
    <w:rsid w:val="005F24D8"/>
    <w:rsid w:val="005F4545"/>
    <w:rsid w:val="005F52C4"/>
    <w:rsid w:val="005F5529"/>
    <w:rsid w:val="005F67FB"/>
    <w:rsid w:val="00602E8A"/>
    <w:rsid w:val="00604867"/>
    <w:rsid w:val="006054D1"/>
    <w:rsid w:val="006056A9"/>
    <w:rsid w:val="0061048E"/>
    <w:rsid w:val="00611139"/>
    <w:rsid w:val="00613697"/>
    <w:rsid w:val="00615AB8"/>
    <w:rsid w:val="00617B5A"/>
    <w:rsid w:val="00623779"/>
    <w:rsid w:val="00625E0E"/>
    <w:rsid w:val="00635278"/>
    <w:rsid w:val="006439BB"/>
    <w:rsid w:val="00653D11"/>
    <w:rsid w:val="00657E8E"/>
    <w:rsid w:val="00661859"/>
    <w:rsid w:val="006620B3"/>
    <w:rsid w:val="0067190F"/>
    <w:rsid w:val="0067290B"/>
    <w:rsid w:val="00674B62"/>
    <w:rsid w:val="00675666"/>
    <w:rsid w:val="00676FAC"/>
    <w:rsid w:val="00680906"/>
    <w:rsid w:val="00686671"/>
    <w:rsid w:val="00687882"/>
    <w:rsid w:val="006906B4"/>
    <w:rsid w:val="0069297E"/>
    <w:rsid w:val="006A3BCA"/>
    <w:rsid w:val="006A528D"/>
    <w:rsid w:val="006B1217"/>
    <w:rsid w:val="006B192C"/>
    <w:rsid w:val="006B3323"/>
    <w:rsid w:val="006B53A2"/>
    <w:rsid w:val="006B654C"/>
    <w:rsid w:val="006B6B80"/>
    <w:rsid w:val="006C25AF"/>
    <w:rsid w:val="006C3628"/>
    <w:rsid w:val="006C4386"/>
    <w:rsid w:val="006C5C9F"/>
    <w:rsid w:val="006C663B"/>
    <w:rsid w:val="006C71C7"/>
    <w:rsid w:val="006D1EC4"/>
    <w:rsid w:val="006D3D8F"/>
    <w:rsid w:val="006D405E"/>
    <w:rsid w:val="006D421D"/>
    <w:rsid w:val="006D4256"/>
    <w:rsid w:val="006E0B04"/>
    <w:rsid w:val="006E37A0"/>
    <w:rsid w:val="006E5324"/>
    <w:rsid w:val="006F0435"/>
    <w:rsid w:val="006F0BAB"/>
    <w:rsid w:val="006F1809"/>
    <w:rsid w:val="006F20B2"/>
    <w:rsid w:val="006F6290"/>
    <w:rsid w:val="00705169"/>
    <w:rsid w:val="00714FD6"/>
    <w:rsid w:val="007166E7"/>
    <w:rsid w:val="00716F12"/>
    <w:rsid w:val="00720E10"/>
    <w:rsid w:val="00722C17"/>
    <w:rsid w:val="0072493A"/>
    <w:rsid w:val="00736E08"/>
    <w:rsid w:val="00753EEC"/>
    <w:rsid w:val="007560EF"/>
    <w:rsid w:val="00761281"/>
    <w:rsid w:val="0076350F"/>
    <w:rsid w:val="00763E80"/>
    <w:rsid w:val="007666E7"/>
    <w:rsid w:val="00766BC5"/>
    <w:rsid w:val="007765F4"/>
    <w:rsid w:val="007777BD"/>
    <w:rsid w:val="00786658"/>
    <w:rsid w:val="007902DB"/>
    <w:rsid w:val="00793338"/>
    <w:rsid w:val="00795F8A"/>
    <w:rsid w:val="007A1F8A"/>
    <w:rsid w:val="007A303D"/>
    <w:rsid w:val="007A3FAD"/>
    <w:rsid w:val="007A7FB9"/>
    <w:rsid w:val="007B07D1"/>
    <w:rsid w:val="007B1441"/>
    <w:rsid w:val="007B4A96"/>
    <w:rsid w:val="007B66F9"/>
    <w:rsid w:val="007C4C53"/>
    <w:rsid w:val="007C613F"/>
    <w:rsid w:val="007D7415"/>
    <w:rsid w:val="007E0376"/>
    <w:rsid w:val="007E1A8C"/>
    <w:rsid w:val="007E42AB"/>
    <w:rsid w:val="007E4691"/>
    <w:rsid w:val="007F13AB"/>
    <w:rsid w:val="007F1CB3"/>
    <w:rsid w:val="007F6334"/>
    <w:rsid w:val="007F7B82"/>
    <w:rsid w:val="007F7DD8"/>
    <w:rsid w:val="008016F1"/>
    <w:rsid w:val="008042FA"/>
    <w:rsid w:val="00805CC2"/>
    <w:rsid w:val="00806533"/>
    <w:rsid w:val="00807A95"/>
    <w:rsid w:val="00812204"/>
    <w:rsid w:val="008137E5"/>
    <w:rsid w:val="008155AF"/>
    <w:rsid w:val="00815731"/>
    <w:rsid w:val="008215C8"/>
    <w:rsid w:val="00821994"/>
    <w:rsid w:val="008219DE"/>
    <w:rsid w:val="008225C8"/>
    <w:rsid w:val="008227A2"/>
    <w:rsid w:val="008328FD"/>
    <w:rsid w:val="00836022"/>
    <w:rsid w:val="008422D4"/>
    <w:rsid w:val="00842496"/>
    <w:rsid w:val="00842FEF"/>
    <w:rsid w:val="0084423D"/>
    <w:rsid w:val="00846FC8"/>
    <w:rsid w:val="008536CB"/>
    <w:rsid w:val="00854033"/>
    <w:rsid w:val="00854DE7"/>
    <w:rsid w:val="00855312"/>
    <w:rsid w:val="00856C2B"/>
    <w:rsid w:val="00857F48"/>
    <w:rsid w:val="00860855"/>
    <w:rsid w:val="00861D47"/>
    <w:rsid w:val="00865F01"/>
    <w:rsid w:val="0087048E"/>
    <w:rsid w:val="00875B83"/>
    <w:rsid w:val="00877543"/>
    <w:rsid w:val="008829BB"/>
    <w:rsid w:val="00884508"/>
    <w:rsid w:val="00886812"/>
    <w:rsid w:val="00886A09"/>
    <w:rsid w:val="00891209"/>
    <w:rsid w:val="00891F6B"/>
    <w:rsid w:val="008920FD"/>
    <w:rsid w:val="00894516"/>
    <w:rsid w:val="00897B6F"/>
    <w:rsid w:val="008A1A3D"/>
    <w:rsid w:val="008A5190"/>
    <w:rsid w:val="008A5DE7"/>
    <w:rsid w:val="008A76A8"/>
    <w:rsid w:val="008B22C1"/>
    <w:rsid w:val="008B3175"/>
    <w:rsid w:val="008C0036"/>
    <w:rsid w:val="008C02DE"/>
    <w:rsid w:val="008C2E7D"/>
    <w:rsid w:val="008C3330"/>
    <w:rsid w:val="008D1659"/>
    <w:rsid w:val="008E1461"/>
    <w:rsid w:val="008E791A"/>
    <w:rsid w:val="008F0ED4"/>
    <w:rsid w:val="008F545B"/>
    <w:rsid w:val="008F5C34"/>
    <w:rsid w:val="0090124E"/>
    <w:rsid w:val="00903A29"/>
    <w:rsid w:val="00906346"/>
    <w:rsid w:val="009073EC"/>
    <w:rsid w:val="0091271F"/>
    <w:rsid w:val="00914CDC"/>
    <w:rsid w:val="0091518C"/>
    <w:rsid w:val="009162CB"/>
    <w:rsid w:val="0092328C"/>
    <w:rsid w:val="00925A14"/>
    <w:rsid w:val="00932DDB"/>
    <w:rsid w:val="0093410C"/>
    <w:rsid w:val="00935218"/>
    <w:rsid w:val="00935238"/>
    <w:rsid w:val="00935CB3"/>
    <w:rsid w:val="0093614A"/>
    <w:rsid w:val="00940068"/>
    <w:rsid w:val="00942A06"/>
    <w:rsid w:val="00944B62"/>
    <w:rsid w:val="00944CD5"/>
    <w:rsid w:val="00945EA1"/>
    <w:rsid w:val="0094646E"/>
    <w:rsid w:val="00950BBC"/>
    <w:rsid w:val="009560DF"/>
    <w:rsid w:val="00961B34"/>
    <w:rsid w:val="009717B8"/>
    <w:rsid w:val="00971F0C"/>
    <w:rsid w:val="009727DB"/>
    <w:rsid w:val="0097553C"/>
    <w:rsid w:val="00976F5F"/>
    <w:rsid w:val="00977964"/>
    <w:rsid w:val="0098064D"/>
    <w:rsid w:val="00980FD6"/>
    <w:rsid w:val="0098277E"/>
    <w:rsid w:val="00983CB6"/>
    <w:rsid w:val="00984FAA"/>
    <w:rsid w:val="00985A02"/>
    <w:rsid w:val="0099265A"/>
    <w:rsid w:val="00994329"/>
    <w:rsid w:val="0099459C"/>
    <w:rsid w:val="009A0513"/>
    <w:rsid w:val="009A4AEB"/>
    <w:rsid w:val="009A4E67"/>
    <w:rsid w:val="009B015E"/>
    <w:rsid w:val="009B640E"/>
    <w:rsid w:val="009B6F85"/>
    <w:rsid w:val="009B70BF"/>
    <w:rsid w:val="009C173F"/>
    <w:rsid w:val="009C4162"/>
    <w:rsid w:val="009C58E8"/>
    <w:rsid w:val="009C7956"/>
    <w:rsid w:val="009D0326"/>
    <w:rsid w:val="009D417F"/>
    <w:rsid w:val="009D5E15"/>
    <w:rsid w:val="009E06BA"/>
    <w:rsid w:val="009E4238"/>
    <w:rsid w:val="009F0309"/>
    <w:rsid w:val="009F230B"/>
    <w:rsid w:val="009F5B6E"/>
    <w:rsid w:val="00A02576"/>
    <w:rsid w:val="00A04146"/>
    <w:rsid w:val="00A05D65"/>
    <w:rsid w:val="00A279AC"/>
    <w:rsid w:val="00A33237"/>
    <w:rsid w:val="00A33EED"/>
    <w:rsid w:val="00A3566F"/>
    <w:rsid w:val="00A445FB"/>
    <w:rsid w:val="00A46B66"/>
    <w:rsid w:val="00A54F57"/>
    <w:rsid w:val="00A55F93"/>
    <w:rsid w:val="00A56FAA"/>
    <w:rsid w:val="00A62481"/>
    <w:rsid w:val="00A62C63"/>
    <w:rsid w:val="00A649E7"/>
    <w:rsid w:val="00A6652A"/>
    <w:rsid w:val="00A71340"/>
    <w:rsid w:val="00A731DB"/>
    <w:rsid w:val="00A74B10"/>
    <w:rsid w:val="00A74B7A"/>
    <w:rsid w:val="00A8129F"/>
    <w:rsid w:val="00A81BED"/>
    <w:rsid w:val="00A843E2"/>
    <w:rsid w:val="00A95D4B"/>
    <w:rsid w:val="00AA55AE"/>
    <w:rsid w:val="00AA56EB"/>
    <w:rsid w:val="00AA71AB"/>
    <w:rsid w:val="00AB7BB1"/>
    <w:rsid w:val="00AC054E"/>
    <w:rsid w:val="00AC2026"/>
    <w:rsid w:val="00AC24FA"/>
    <w:rsid w:val="00AC254A"/>
    <w:rsid w:val="00AC268E"/>
    <w:rsid w:val="00AC5D94"/>
    <w:rsid w:val="00AD275A"/>
    <w:rsid w:val="00AD2D43"/>
    <w:rsid w:val="00AD70C1"/>
    <w:rsid w:val="00AE4434"/>
    <w:rsid w:val="00AE7929"/>
    <w:rsid w:val="00AF3BD6"/>
    <w:rsid w:val="00AF4600"/>
    <w:rsid w:val="00AF4BDC"/>
    <w:rsid w:val="00B004BF"/>
    <w:rsid w:val="00B0165D"/>
    <w:rsid w:val="00B01AB0"/>
    <w:rsid w:val="00B12033"/>
    <w:rsid w:val="00B13BF9"/>
    <w:rsid w:val="00B1721B"/>
    <w:rsid w:val="00B2287A"/>
    <w:rsid w:val="00B24E07"/>
    <w:rsid w:val="00B32984"/>
    <w:rsid w:val="00B34229"/>
    <w:rsid w:val="00B40068"/>
    <w:rsid w:val="00B4106F"/>
    <w:rsid w:val="00B423BF"/>
    <w:rsid w:val="00B44904"/>
    <w:rsid w:val="00B53958"/>
    <w:rsid w:val="00B60B7B"/>
    <w:rsid w:val="00B70647"/>
    <w:rsid w:val="00B71B16"/>
    <w:rsid w:val="00B7562E"/>
    <w:rsid w:val="00B76509"/>
    <w:rsid w:val="00B7677C"/>
    <w:rsid w:val="00B81A69"/>
    <w:rsid w:val="00B81FAC"/>
    <w:rsid w:val="00B84322"/>
    <w:rsid w:val="00B8517D"/>
    <w:rsid w:val="00B861C5"/>
    <w:rsid w:val="00B933DC"/>
    <w:rsid w:val="00B947CD"/>
    <w:rsid w:val="00B97965"/>
    <w:rsid w:val="00BA268B"/>
    <w:rsid w:val="00BA7906"/>
    <w:rsid w:val="00BB1313"/>
    <w:rsid w:val="00BB6AE1"/>
    <w:rsid w:val="00BC1FEA"/>
    <w:rsid w:val="00BD0170"/>
    <w:rsid w:val="00BD2F06"/>
    <w:rsid w:val="00BD7FE3"/>
    <w:rsid w:val="00BE1566"/>
    <w:rsid w:val="00BE39E7"/>
    <w:rsid w:val="00BE49E4"/>
    <w:rsid w:val="00BF0445"/>
    <w:rsid w:val="00BF0C9E"/>
    <w:rsid w:val="00BF4630"/>
    <w:rsid w:val="00BF5ED3"/>
    <w:rsid w:val="00BF6D50"/>
    <w:rsid w:val="00BF6FE6"/>
    <w:rsid w:val="00BF7F65"/>
    <w:rsid w:val="00C00379"/>
    <w:rsid w:val="00C02AC6"/>
    <w:rsid w:val="00C1239C"/>
    <w:rsid w:val="00C23905"/>
    <w:rsid w:val="00C23C58"/>
    <w:rsid w:val="00C27AFB"/>
    <w:rsid w:val="00C3023E"/>
    <w:rsid w:val="00C3074B"/>
    <w:rsid w:val="00C30BD6"/>
    <w:rsid w:val="00C35F1C"/>
    <w:rsid w:val="00C37958"/>
    <w:rsid w:val="00C42A7F"/>
    <w:rsid w:val="00C509F2"/>
    <w:rsid w:val="00C536EC"/>
    <w:rsid w:val="00C5674F"/>
    <w:rsid w:val="00C643CF"/>
    <w:rsid w:val="00C64BE8"/>
    <w:rsid w:val="00C658BD"/>
    <w:rsid w:val="00C672FC"/>
    <w:rsid w:val="00C75456"/>
    <w:rsid w:val="00C80290"/>
    <w:rsid w:val="00C83054"/>
    <w:rsid w:val="00C854E0"/>
    <w:rsid w:val="00C859C8"/>
    <w:rsid w:val="00C861CA"/>
    <w:rsid w:val="00C87018"/>
    <w:rsid w:val="00C922B3"/>
    <w:rsid w:val="00C942BA"/>
    <w:rsid w:val="00C9468D"/>
    <w:rsid w:val="00C969A9"/>
    <w:rsid w:val="00CA0C21"/>
    <w:rsid w:val="00CA43DB"/>
    <w:rsid w:val="00CB065B"/>
    <w:rsid w:val="00CB0B42"/>
    <w:rsid w:val="00CB1031"/>
    <w:rsid w:val="00CB32E7"/>
    <w:rsid w:val="00CB5492"/>
    <w:rsid w:val="00CB6AC3"/>
    <w:rsid w:val="00CC0E3B"/>
    <w:rsid w:val="00CC1861"/>
    <w:rsid w:val="00CC34C8"/>
    <w:rsid w:val="00CC5EC4"/>
    <w:rsid w:val="00CD0047"/>
    <w:rsid w:val="00CD41D1"/>
    <w:rsid w:val="00CD5847"/>
    <w:rsid w:val="00CD6F06"/>
    <w:rsid w:val="00CD7FDA"/>
    <w:rsid w:val="00CE13D2"/>
    <w:rsid w:val="00CE391A"/>
    <w:rsid w:val="00CE4289"/>
    <w:rsid w:val="00CE48F8"/>
    <w:rsid w:val="00CF5DF9"/>
    <w:rsid w:val="00D0340F"/>
    <w:rsid w:val="00D052E5"/>
    <w:rsid w:val="00D06C0C"/>
    <w:rsid w:val="00D14612"/>
    <w:rsid w:val="00D14898"/>
    <w:rsid w:val="00D16E00"/>
    <w:rsid w:val="00D1761F"/>
    <w:rsid w:val="00D20A00"/>
    <w:rsid w:val="00D21D55"/>
    <w:rsid w:val="00D21F01"/>
    <w:rsid w:val="00D24C9C"/>
    <w:rsid w:val="00D30D2F"/>
    <w:rsid w:val="00D34404"/>
    <w:rsid w:val="00D35B7F"/>
    <w:rsid w:val="00D44FEC"/>
    <w:rsid w:val="00D4550C"/>
    <w:rsid w:val="00D47451"/>
    <w:rsid w:val="00D51A8E"/>
    <w:rsid w:val="00D5216B"/>
    <w:rsid w:val="00D54876"/>
    <w:rsid w:val="00D6208F"/>
    <w:rsid w:val="00D62400"/>
    <w:rsid w:val="00D65DED"/>
    <w:rsid w:val="00D66E32"/>
    <w:rsid w:val="00D721CB"/>
    <w:rsid w:val="00D73808"/>
    <w:rsid w:val="00D80470"/>
    <w:rsid w:val="00D81C36"/>
    <w:rsid w:val="00D82828"/>
    <w:rsid w:val="00D846FD"/>
    <w:rsid w:val="00D86981"/>
    <w:rsid w:val="00D87F31"/>
    <w:rsid w:val="00D909AD"/>
    <w:rsid w:val="00D93475"/>
    <w:rsid w:val="00D9386E"/>
    <w:rsid w:val="00D96558"/>
    <w:rsid w:val="00DA1ED1"/>
    <w:rsid w:val="00DA268A"/>
    <w:rsid w:val="00DA3DD5"/>
    <w:rsid w:val="00DB2D7B"/>
    <w:rsid w:val="00DB56AB"/>
    <w:rsid w:val="00DC0C87"/>
    <w:rsid w:val="00DC4096"/>
    <w:rsid w:val="00DC52EF"/>
    <w:rsid w:val="00DC68DB"/>
    <w:rsid w:val="00DE1FAF"/>
    <w:rsid w:val="00DE3D7F"/>
    <w:rsid w:val="00DF048E"/>
    <w:rsid w:val="00DF104A"/>
    <w:rsid w:val="00DF2269"/>
    <w:rsid w:val="00DF4D55"/>
    <w:rsid w:val="00DF4D7C"/>
    <w:rsid w:val="00DF6278"/>
    <w:rsid w:val="00E00670"/>
    <w:rsid w:val="00E00B53"/>
    <w:rsid w:val="00E013FF"/>
    <w:rsid w:val="00E02CEC"/>
    <w:rsid w:val="00E03422"/>
    <w:rsid w:val="00E05F3D"/>
    <w:rsid w:val="00E06A4E"/>
    <w:rsid w:val="00E101DA"/>
    <w:rsid w:val="00E162C7"/>
    <w:rsid w:val="00E16824"/>
    <w:rsid w:val="00E2128B"/>
    <w:rsid w:val="00E27244"/>
    <w:rsid w:val="00E34416"/>
    <w:rsid w:val="00E34DC0"/>
    <w:rsid w:val="00E34E6D"/>
    <w:rsid w:val="00E34FE8"/>
    <w:rsid w:val="00E4385F"/>
    <w:rsid w:val="00E46DD1"/>
    <w:rsid w:val="00E5248F"/>
    <w:rsid w:val="00E5508C"/>
    <w:rsid w:val="00E57BB5"/>
    <w:rsid w:val="00E61A6F"/>
    <w:rsid w:val="00E6224F"/>
    <w:rsid w:val="00E64BE5"/>
    <w:rsid w:val="00E67D29"/>
    <w:rsid w:val="00E70664"/>
    <w:rsid w:val="00E831F3"/>
    <w:rsid w:val="00E8688A"/>
    <w:rsid w:val="00E90B8A"/>
    <w:rsid w:val="00E9120D"/>
    <w:rsid w:val="00E966AB"/>
    <w:rsid w:val="00EA5975"/>
    <w:rsid w:val="00EA6D69"/>
    <w:rsid w:val="00EB072C"/>
    <w:rsid w:val="00EB07A8"/>
    <w:rsid w:val="00EB42AB"/>
    <w:rsid w:val="00EB4E0F"/>
    <w:rsid w:val="00EB6AF2"/>
    <w:rsid w:val="00EC0545"/>
    <w:rsid w:val="00EC07A2"/>
    <w:rsid w:val="00EC5924"/>
    <w:rsid w:val="00EE0A8A"/>
    <w:rsid w:val="00EE0E3B"/>
    <w:rsid w:val="00EE3996"/>
    <w:rsid w:val="00EF00C8"/>
    <w:rsid w:val="00EF27AF"/>
    <w:rsid w:val="00EF645E"/>
    <w:rsid w:val="00F00BC4"/>
    <w:rsid w:val="00F02D0F"/>
    <w:rsid w:val="00F044E0"/>
    <w:rsid w:val="00F06894"/>
    <w:rsid w:val="00F1560D"/>
    <w:rsid w:val="00F15DF5"/>
    <w:rsid w:val="00F160E5"/>
    <w:rsid w:val="00F22DBF"/>
    <w:rsid w:val="00F24175"/>
    <w:rsid w:val="00F26265"/>
    <w:rsid w:val="00F26D98"/>
    <w:rsid w:val="00F273B0"/>
    <w:rsid w:val="00F42AFB"/>
    <w:rsid w:val="00F43C72"/>
    <w:rsid w:val="00F45073"/>
    <w:rsid w:val="00F525F6"/>
    <w:rsid w:val="00F53941"/>
    <w:rsid w:val="00F53E31"/>
    <w:rsid w:val="00F62411"/>
    <w:rsid w:val="00F63E36"/>
    <w:rsid w:val="00F649B6"/>
    <w:rsid w:val="00F649D6"/>
    <w:rsid w:val="00F64A06"/>
    <w:rsid w:val="00F715D4"/>
    <w:rsid w:val="00F71BCC"/>
    <w:rsid w:val="00F724A1"/>
    <w:rsid w:val="00F76415"/>
    <w:rsid w:val="00F80E1B"/>
    <w:rsid w:val="00F8349A"/>
    <w:rsid w:val="00F84300"/>
    <w:rsid w:val="00F84679"/>
    <w:rsid w:val="00F8565A"/>
    <w:rsid w:val="00F85C73"/>
    <w:rsid w:val="00F87403"/>
    <w:rsid w:val="00F95460"/>
    <w:rsid w:val="00F962D9"/>
    <w:rsid w:val="00F975DF"/>
    <w:rsid w:val="00FA031F"/>
    <w:rsid w:val="00FA047F"/>
    <w:rsid w:val="00FA2394"/>
    <w:rsid w:val="00FA2AD1"/>
    <w:rsid w:val="00FA4C18"/>
    <w:rsid w:val="00FA6AF3"/>
    <w:rsid w:val="00FA7385"/>
    <w:rsid w:val="00FB18D1"/>
    <w:rsid w:val="00FB392A"/>
    <w:rsid w:val="00FB611D"/>
    <w:rsid w:val="00FC4AEE"/>
    <w:rsid w:val="00FD0801"/>
    <w:rsid w:val="00FD2072"/>
    <w:rsid w:val="00FD683F"/>
    <w:rsid w:val="00FF0AA3"/>
    <w:rsid w:val="00FF0C4A"/>
    <w:rsid w:val="00FF0EB8"/>
    <w:rsid w:val="00FF240E"/>
    <w:rsid w:val="00FF3321"/>
    <w:rsid w:val="00FF7A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3C521-740F-4AC2-853B-E311D6CE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64D"/>
    <w:pPr>
      <w:ind w:left="720"/>
      <w:contextualSpacing/>
    </w:pPr>
  </w:style>
  <w:style w:type="paragraph" w:styleId="Header">
    <w:name w:val="header"/>
    <w:basedOn w:val="Normal"/>
    <w:link w:val="HeaderChar"/>
    <w:uiPriority w:val="99"/>
    <w:unhideWhenUsed/>
    <w:rsid w:val="00C80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90"/>
  </w:style>
  <w:style w:type="paragraph" w:styleId="Footer">
    <w:name w:val="footer"/>
    <w:basedOn w:val="Normal"/>
    <w:link w:val="FooterChar"/>
    <w:uiPriority w:val="99"/>
    <w:unhideWhenUsed/>
    <w:rsid w:val="00C80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90"/>
  </w:style>
  <w:style w:type="paragraph" w:styleId="BalloonText">
    <w:name w:val="Balloon Text"/>
    <w:basedOn w:val="Normal"/>
    <w:link w:val="BalloonTextChar"/>
    <w:uiPriority w:val="99"/>
    <w:semiHidden/>
    <w:unhideWhenUsed/>
    <w:rsid w:val="00B8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A69"/>
    <w:rPr>
      <w:rFonts w:ascii="Tahoma" w:hAnsi="Tahoma" w:cs="Tahoma"/>
      <w:sz w:val="16"/>
      <w:szCs w:val="16"/>
    </w:rPr>
  </w:style>
  <w:style w:type="paragraph" w:styleId="FootnoteText">
    <w:name w:val="footnote text"/>
    <w:basedOn w:val="Normal"/>
    <w:link w:val="FootnoteTextChar"/>
    <w:uiPriority w:val="99"/>
    <w:unhideWhenUsed/>
    <w:rsid w:val="00283B74"/>
    <w:pPr>
      <w:spacing w:after="0" w:line="240" w:lineRule="auto"/>
    </w:pPr>
    <w:rPr>
      <w:sz w:val="20"/>
      <w:szCs w:val="20"/>
    </w:rPr>
  </w:style>
  <w:style w:type="character" w:customStyle="1" w:styleId="FootnoteTextChar">
    <w:name w:val="Footnote Text Char"/>
    <w:basedOn w:val="DefaultParagraphFont"/>
    <w:link w:val="FootnoteText"/>
    <w:uiPriority w:val="99"/>
    <w:rsid w:val="00283B74"/>
    <w:rPr>
      <w:sz w:val="20"/>
      <w:szCs w:val="20"/>
    </w:rPr>
  </w:style>
  <w:style w:type="character" w:styleId="FootnoteReference">
    <w:name w:val="footnote reference"/>
    <w:basedOn w:val="DefaultParagraphFont"/>
    <w:uiPriority w:val="99"/>
    <w:semiHidden/>
    <w:unhideWhenUsed/>
    <w:rsid w:val="00283B74"/>
    <w:rPr>
      <w:vertAlign w:val="superscript"/>
    </w:rPr>
  </w:style>
  <w:style w:type="paragraph" w:customStyle="1" w:styleId="Default">
    <w:name w:val="Default"/>
    <w:rsid w:val="005C06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76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276582"/>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27658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2939">
      <w:bodyDiv w:val="1"/>
      <w:marLeft w:val="0"/>
      <w:marRight w:val="0"/>
      <w:marTop w:val="0"/>
      <w:marBottom w:val="0"/>
      <w:divBdr>
        <w:top w:val="none" w:sz="0" w:space="0" w:color="auto"/>
        <w:left w:val="none" w:sz="0" w:space="0" w:color="auto"/>
        <w:bottom w:val="none" w:sz="0" w:space="0" w:color="auto"/>
        <w:right w:val="none" w:sz="0" w:space="0" w:color="auto"/>
      </w:divBdr>
    </w:div>
    <w:div w:id="16114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DAFC-8A22-4747-B3B3-9B40FD4C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 Susan</dc:creator>
  <cp:lastModifiedBy>HOME</cp:lastModifiedBy>
  <cp:revision>2</cp:revision>
  <cp:lastPrinted>2022-06-22T12:59:00Z</cp:lastPrinted>
  <dcterms:created xsi:type="dcterms:W3CDTF">2022-07-02T14:30:00Z</dcterms:created>
  <dcterms:modified xsi:type="dcterms:W3CDTF">2022-07-02T14:30:00Z</dcterms:modified>
</cp:coreProperties>
</file>