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A8" w:rsidRDefault="00EF11A8" w:rsidP="00EF11A8">
      <w:pPr>
        <w:ind w:left="2160" w:firstLine="720"/>
        <w:rPr>
          <w:rFonts w:ascii="Arial" w:hAnsi="Arial" w:cs="Arial"/>
          <w:b/>
          <w:u w:val="single"/>
        </w:rPr>
      </w:pPr>
      <w:bookmarkStart w:id="0" w:name="_GoBack"/>
      <w:bookmarkEnd w:id="0"/>
      <w:r w:rsidRPr="005B354E">
        <w:rPr>
          <w:rFonts w:asciiTheme="minorHAnsi" w:eastAsiaTheme="minorHAnsi" w:hAnsiTheme="minorHAnsi" w:cstheme="minorBidi"/>
          <w:noProof/>
          <w:lang w:val="en-ZA" w:eastAsia="en-ZA"/>
        </w:rPr>
        <w:drawing>
          <wp:anchor distT="0" distB="0" distL="114300" distR="114300" simplePos="0" relativeHeight="251659264" behindDoc="1" locked="0" layoutInCell="1" allowOverlap="1" wp14:anchorId="11080741" wp14:editId="467AD6B9">
            <wp:simplePos x="0" y="0"/>
            <wp:positionH relativeFrom="margin">
              <wp:posOffset>2089150</wp:posOffset>
            </wp:positionH>
            <wp:positionV relativeFrom="paragraph">
              <wp:posOffset>-717550</wp:posOffset>
            </wp:positionV>
            <wp:extent cx="1797050" cy="16687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DC6873" w:rsidRDefault="00DC6873" w:rsidP="00EF11A8">
      <w:pPr>
        <w:ind w:left="2160" w:firstLine="720"/>
        <w:rPr>
          <w:rFonts w:ascii="Arial" w:hAnsi="Arial" w:cs="Arial"/>
          <w:b/>
          <w:u w:val="single"/>
        </w:rPr>
      </w:pPr>
    </w:p>
    <w:p w:rsidR="00EF11A8" w:rsidRDefault="00EF11A8" w:rsidP="00EF11A8">
      <w:pPr>
        <w:ind w:left="1440" w:firstLine="720"/>
        <w:rPr>
          <w:rFonts w:ascii="Arial" w:hAnsi="Arial" w:cs="Arial"/>
          <w:b/>
          <w:u w:val="single"/>
        </w:rPr>
      </w:pPr>
      <w:r>
        <w:rPr>
          <w:rFonts w:ascii="Arial" w:hAnsi="Arial" w:cs="Arial"/>
          <w:b/>
          <w:u w:val="single"/>
        </w:rPr>
        <w:t>IN THE HIGH COURT OF SOUTH AFRICA,</w:t>
      </w:r>
    </w:p>
    <w:p w:rsidR="00EF11A8" w:rsidRDefault="00EF11A8" w:rsidP="00EF11A8">
      <w:pPr>
        <w:ind w:left="1440" w:firstLine="720"/>
        <w:rPr>
          <w:rFonts w:ascii="Arial" w:hAnsi="Arial" w:cs="Arial"/>
          <w:b/>
          <w:u w:val="single"/>
        </w:rPr>
      </w:pPr>
      <w:r>
        <w:rPr>
          <w:rFonts w:ascii="Arial" w:hAnsi="Arial" w:cs="Arial"/>
          <w:b/>
          <w:u w:val="single"/>
        </w:rPr>
        <w:t>FREE STATE DIVISION, BLOEMFONTEIN</w:t>
      </w:r>
    </w:p>
    <w:p w:rsidR="003F2617" w:rsidRDefault="003F2617" w:rsidP="00EF11A8">
      <w:pPr>
        <w:ind w:left="1440" w:firstLine="720"/>
        <w:rPr>
          <w:rFonts w:ascii="Arial" w:hAnsi="Arial" w:cs="Arial"/>
          <w:b/>
          <w:u w:val="single"/>
        </w:rPr>
      </w:pPr>
    </w:p>
    <w:p w:rsidR="003F2617"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rsidTr="007C235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11A8" w:rsidRDefault="00EF11A8" w:rsidP="007C2356">
            <w:pPr>
              <w:rPr>
                <w:rFonts w:ascii="Arial" w:hAnsi="Arial" w:cs="Arial"/>
                <w:b/>
                <w:sz w:val="16"/>
                <w:szCs w:val="16"/>
              </w:rPr>
            </w:pPr>
            <w:r>
              <w:rPr>
                <w:rFonts w:ascii="Arial" w:hAnsi="Arial" w:cs="Arial"/>
                <w:b/>
                <w:sz w:val="16"/>
                <w:szCs w:val="16"/>
              </w:rPr>
              <w:t>Reportable:                              NO</w:t>
            </w:r>
          </w:p>
          <w:p w:rsidR="00EF11A8" w:rsidRDefault="00EF11A8" w:rsidP="007C2356">
            <w:pPr>
              <w:rPr>
                <w:rFonts w:ascii="Arial" w:hAnsi="Arial" w:cs="Arial"/>
                <w:b/>
                <w:sz w:val="16"/>
                <w:szCs w:val="16"/>
              </w:rPr>
            </w:pPr>
            <w:r>
              <w:rPr>
                <w:rFonts w:ascii="Arial" w:hAnsi="Arial" w:cs="Arial"/>
                <w:b/>
                <w:sz w:val="16"/>
                <w:szCs w:val="16"/>
              </w:rPr>
              <w:t>Of Interest to other Judges:   NO</w:t>
            </w:r>
          </w:p>
          <w:p w:rsidR="00EF11A8" w:rsidRDefault="00EF11A8" w:rsidP="007C2356">
            <w:pPr>
              <w:rPr>
                <w:rFonts w:ascii="Arial" w:hAnsi="Arial" w:cs="Arial"/>
                <w:b/>
                <w:sz w:val="16"/>
                <w:szCs w:val="16"/>
                <w:u w:val="single"/>
              </w:rPr>
            </w:pPr>
            <w:r>
              <w:rPr>
                <w:rFonts w:ascii="Arial" w:hAnsi="Arial" w:cs="Arial"/>
                <w:b/>
                <w:sz w:val="16"/>
                <w:szCs w:val="16"/>
              </w:rPr>
              <w:t>Circulate to Magistrates:        NO</w:t>
            </w:r>
          </w:p>
        </w:tc>
      </w:tr>
    </w:tbl>
    <w:p w:rsidR="00EF11A8" w:rsidRDefault="00EF11A8" w:rsidP="00EF11A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781F07" w:rsidRDefault="00EF11A8" w:rsidP="00EF11A8">
      <w:pPr>
        <w:jc w:val="right"/>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781F07">
        <w:rPr>
          <w:rFonts w:ascii="Arial" w:hAnsi="Arial" w:cs="Arial"/>
          <w:b/>
          <w:sz w:val="28"/>
          <w:szCs w:val="28"/>
        </w:rPr>
        <w:t xml:space="preserve"> </w:t>
      </w:r>
      <w:r w:rsidR="0094642F">
        <w:rPr>
          <w:rFonts w:ascii="Arial" w:hAnsi="Arial" w:cs="Arial"/>
          <w:b/>
          <w:sz w:val="28"/>
          <w:szCs w:val="28"/>
        </w:rPr>
        <w:t>CASE NO</w:t>
      </w:r>
      <w:r w:rsidR="00781F07">
        <w:rPr>
          <w:rFonts w:ascii="Arial" w:hAnsi="Arial" w:cs="Arial"/>
          <w:b/>
          <w:sz w:val="28"/>
          <w:szCs w:val="28"/>
        </w:rPr>
        <w:t xml:space="preserve">: </w:t>
      </w:r>
      <w:r w:rsidR="00AC5AA4">
        <w:rPr>
          <w:rFonts w:ascii="Arial" w:hAnsi="Arial" w:cs="Arial"/>
          <w:b/>
          <w:sz w:val="28"/>
          <w:szCs w:val="28"/>
        </w:rPr>
        <w:t>A45</w:t>
      </w:r>
      <w:r w:rsidR="00781F07">
        <w:rPr>
          <w:rFonts w:ascii="Arial" w:hAnsi="Arial" w:cs="Arial"/>
          <w:b/>
          <w:sz w:val="28"/>
          <w:szCs w:val="28"/>
        </w:rPr>
        <w:t>/202</w:t>
      </w:r>
      <w:r w:rsidR="001575AF">
        <w:rPr>
          <w:rFonts w:ascii="Arial" w:hAnsi="Arial" w:cs="Arial"/>
          <w:b/>
          <w:sz w:val="28"/>
          <w:szCs w:val="28"/>
        </w:rPr>
        <w:t>2</w:t>
      </w:r>
    </w:p>
    <w:p w:rsidR="00EF11A8" w:rsidRDefault="00EF11A8" w:rsidP="00EF11A8">
      <w:pPr>
        <w:jc w:val="right"/>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 </w:t>
      </w:r>
    </w:p>
    <w:p w:rsidR="00781F07" w:rsidRDefault="00EF11A8" w:rsidP="00EF11A8">
      <w:pPr>
        <w:jc w:val="both"/>
        <w:rPr>
          <w:rFonts w:ascii="Arial" w:hAnsi="Arial" w:cs="Arial"/>
          <w:sz w:val="28"/>
          <w:szCs w:val="28"/>
        </w:rPr>
      </w:pPr>
      <w:r>
        <w:rPr>
          <w:rFonts w:ascii="Arial" w:hAnsi="Arial" w:cs="Arial"/>
          <w:sz w:val="28"/>
          <w:szCs w:val="28"/>
        </w:rPr>
        <w:t>In the matter between:</w:t>
      </w:r>
    </w:p>
    <w:p w:rsidR="00EF11A8" w:rsidRDefault="00EF11A8" w:rsidP="00EF11A8">
      <w:pPr>
        <w:jc w:val="both"/>
        <w:rPr>
          <w:rFonts w:ascii="Arial" w:hAnsi="Arial" w:cs="Arial"/>
          <w:sz w:val="28"/>
          <w:szCs w:val="28"/>
        </w:rPr>
      </w:pPr>
      <w:r>
        <w:rPr>
          <w:rFonts w:ascii="Arial" w:hAnsi="Arial" w:cs="Arial"/>
          <w:sz w:val="28"/>
          <w:szCs w:val="28"/>
        </w:rPr>
        <w:t xml:space="preserve"> </w:t>
      </w:r>
    </w:p>
    <w:p w:rsidR="00EF11A8" w:rsidRPr="00781F07" w:rsidRDefault="00F0291B"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sz w:val="28"/>
          <w:szCs w:val="28"/>
        </w:rPr>
      </w:pPr>
      <w:r>
        <w:rPr>
          <w:rFonts w:ascii="Arial" w:hAnsi="Arial" w:cs="Arial"/>
          <w:b/>
          <w:sz w:val="28"/>
          <w:szCs w:val="28"/>
        </w:rPr>
        <w:t>MASTER LE</w:t>
      </w:r>
      <w:r w:rsidR="00AC5AA4">
        <w:rPr>
          <w:rFonts w:ascii="Arial" w:hAnsi="Arial" w:cs="Arial"/>
          <w:b/>
          <w:sz w:val="28"/>
          <w:szCs w:val="28"/>
        </w:rPr>
        <w:t>T</w:t>
      </w:r>
      <w:r w:rsidR="00366E58">
        <w:rPr>
          <w:rFonts w:ascii="Arial" w:hAnsi="Arial" w:cs="Arial"/>
          <w:b/>
          <w:sz w:val="28"/>
          <w:szCs w:val="28"/>
        </w:rPr>
        <w:t>SIE</w:t>
      </w:r>
      <w:r w:rsidR="00AC5AA4">
        <w:rPr>
          <w:rFonts w:ascii="Arial" w:hAnsi="Arial" w:cs="Arial"/>
          <w:b/>
          <w:sz w:val="28"/>
          <w:szCs w:val="28"/>
        </w:rPr>
        <w:t>TSA MABE</w:t>
      </w:r>
      <w:r w:rsidR="00077E52">
        <w:rPr>
          <w:rFonts w:ascii="Arial" w:hAnsi="Arial" w:cs="Arial"/>
          <w:b/>
          <w:sz w:val="28"/>
          <w:szCs w:val="28"/>
        </w:rPr>
        <w:t xml:space="preserve">  </w:t>
      </w:r>
      <w:r w:rsidR="00781F07">
        <w:rPr>
          <w:rFonts w:ascii="Arial" w:hAnsi="Arial" w:cs="Arial"/>
          <w:b/>
          <w:sz w:val="28"/>
          <w:szCs w:val="28"/>
        </w:rPr>
        <w:t xml:space="preserve">                                    </w:t>
      </w:r>
      <w:r w:rsidR="001575AF">
        <w:rPr>
          <w:rFonts w:ascii="Arial" w:hAnsi="Arial" w:cs="Arial"/>
          <w:b/>
          <w:sz w:val="28"/>
          <w:szCs w:val="28"/>
        </w:rPr>
        <w:t xml:space="preserve">                   </w:t>
      </w:r>
      <w:r w:rsidR="00077E52">
        <w:rPr>
          <w:rFonts w:ascii="Arial" w:hAnsi="Arial" w:cs="Arial"/>
          <w:b/>
          <w:sz w:val="28"/>
          <w:szCs w:val="28"/>
        </w:rPr>
        <w:t xml:space="preserve"> </w:t>
      </w:r>
      <w:r w:rsidR="00781F07">
        <w:rPr>
          <w:rFonts w:ascii="Arial" w:hAnsi="Arial" w:cs="Arial"/>
          <w:b/>
          <w:sz w:val="28"/>
          <w:szCs w:val="28"/>
        </w:rPr>
        <w:t xml:space="preserve"> APPELLANT</w:t>
      </w:r>
    </w:p>
    <w:p w:rsidR="00EF11A8" w:rsidRPr="00781F07" w:rsidRDefault="00EF11A8"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sz w:val="28"/>
          <w:szCs w:val="28"/>
        </w:rPr>
      </w:pPr>
    </w:p>
    <w:p w:rsidR="003F2617" w:rsidRDefault="003F2617"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sz w:val="28"/>
          <w:szCs w:val="28"/>
        </w:rPr>
      </w:pPr>
    </w:p>
    <w:p w:rsidR="00EF11A8" w:rsidRDefault="00EF11A8" w:rsidP="00EF11A8">
      <w:pPr>
        <w:jc w:val="both"/>
        <w:rPr>
          <w:rFonts w:ascii="Arial" w:hAnsi="Arial" w:cs="Arial"/>
          <w:sz w:val="28"/>
          <w:szCs w:val="28"/>
        </w:rPr>
      </w:pPr>
      <w:r>
        <w:rPr>
          <w:rFonts w:ascii="Arial" w:hAnsi="Arial" w:cs="Arial"/>
          <w:sz w:val="28"/>
          <w:szCs w:val="28"/>
        </w:rPr>
        <w:t xml:space="preserve">and </w:t>
      </w:r>
    </w:p>
    <w:p w:rsidR="00781F07" w:rsidRDefault="00781F07" w:rsidP="00EF11A8">
      <w:pPr>
        <w:jc w:val="both"/>
        <w:rPr>
          <w:rFonts w:ascii="Arial" w:hAnsi="Arial" w:cs="Arial"/>
          <w:sz w:val="28"/>
          <w:szCs w:val="28"/>
        </w:rPr>
      </w:pPr>
    </w:p>
    <w:p w:rsidR="00EF11A8" w:rsidRPr="004218B0" w:rsidRDefault="00781F07" w:rsidP="00EF11A8">
      <w:pPr>
        <w:jc w:val="both"/>
        <w:rPr>
          <w:rFonts w:ascii="Arial" w:hAnsi="Arial" w:cs="Arial"/>
          <w:b/>
          <w:sz w:val="28"/>
          <w:szCs w:val="28"/>
        </w:rPr>
      </w:pPr>
      <w:r>
        <w:rPr>
          <w:rFonts w:ascii="Arial" w:hAnsi="Arial" w:cs="Arial"/>
          <w:b/>
          <w:sz w:val="28"/>
          <w:szCs w:val="28"/>
        </w:rPr>
        <w:t>THE STATE                                                                      RESPONDENT</w:t>
      </w:r>
    </w:p>
    <w:p w:rsidR="00EF11A8" w:rsidRDefault="00EF11A8" w:rsidP="00EF11A8">
      <w:pPr>
        <w:pBdr>
          <w:bottom w:val="single" w:sz="12" w:space="1" w:color="auto"/>
        </w:pBdr>
        <w:jc w:val="both"/>
        <w:rPr>
          <w:rFonts w:ascii="Arial" w:hAnsi="Arial" w:cs="Arial"/>
          <w:b/>
          <w:sz w:val="28"/>
          <w:szCs w:val="28"/>
        </w:rPr>
      </w:pPr>
      <w:r>
        <w:rPr>
          <w:rFonts w:ascii="Arial" w:hAnsi="Arial" w:cs="Arial"/>
          <w:b/>
          <w:sz w:val="28"/>
          <w:szCs w:val="28"/>
        </w:rPr>
        <w:tab/>
      </w:r>
      <w:r>
        <w:rPr>
          <w:rFonts w:ascii="Arial" w:hAnsi="Arial" w:cs="Arial"/>
          <w:b/>
          <w:sz w:val="28"/>
          <w:szCs w:val="28"/>
        </w:rPr>
        <w:tab/>
      </w:r>
    </w:p>
    <w:p w:rsidR="00EF11A8" w:rsidRDefault="00EF11A8" w:rsidP="00EF11A8">
      <w:pPr>
        <w:contextualSpacing/>
        <w:jc w:val="both"/>
        <w:rPr>
          <w:rFonts w:ascii="Arial" w:hAnsi="Arial" w:cs="Arial"/>
          <w:b/>
          <w:sz w:val="28"/>
          <w:szCs w:val="28"/>
          <w:u w:val="single"/>
        </w:rPr>
      </w:pPr>
    </w:p>
    <w:p w:rsidR="00EF11A8" w:rsidRPr="006C1474" w:rsidRDefault="00EF11A8" w:rsidP="00EF11A8">
      <w:pPr>
        <w:ind w:left="2835" w:hanging="2835"/>
        <w:contextualSpacing/>
        <w:jc w:val="both"/>
        <w:rPr>
          <w:rFonts w:ascii="Arial" w:hAnsi="Arial" w:cs="Arial"/>
          <w:sz w:val="28"/>
          <w:szCs w:val="28"/>
          <w:u w:val="single"/>
        </w:rPr>
      </w:pPr>
      <w:r w:rsidRPr="00EC14EC">
        <w:rPr>
          <w:rFonts w:ascii="Arial" w:hAnsi="Arial" w:cs="Arial"/>
          <w:b/>
          <w:sz w:val="28"/>
          <w:szCs w:val="28"/>
          <w:u w:val="single"/>
        </w:rPr>
        <w:t>HEARD ON:</w:t>
      </w:r>
      <w:r w:rsidRPr="00EC14EC">
        <w:rPr>
          <w:rFonts w:ascii="Arial" w:hAnsi="Arial" w:cs="Arial"/>
          <w:b/>
          <w:sz w:val="28"/>
          <w:szCs w:val="28"/>
        </w:rPr>
        <w:tab/>
      </w:r>
      <w:r w:rsidR="001575AF">
        <w:rPr>
          <w:rFonts w:ascii="Arial" w:hAnsi="Arial" w:cs="Arial"/>
          <w:b/>
          <w:sz w:val="28"/>
          <w:szCs w:val="28"/>
        </w:rPr>
        <w:t>1</w:t>
      </w:r>
      <w:r w:rsidR="00077E52">
        <w:rPr>
          <w:rFonts w:ascii="Arial" w:hAnsi="Arial" w:cs="Arial"/>
          <w:b/>
          <w:sz w:val="28"/>
          <w:szCs w:val="28"/>
        </w:rPr>
        <w:t>8</w:t>
      </w:r>
      <w:r w:rsidR="001575AF">
        <w:rPr>
          <w:rFonts w:ascii="Arial" w:hAnsi="Arial" w:cs="Arial"/>
          <w:b/>
          <w:sz w:val="28"/>
          <w:szCs w:val="28"/>
        </w:rPr>
        <w:t xml:space="preserve"> JUL</w:t>
      </w:r>
      <w:r w:rsidR="00077E52">
        <w:rPr>
          <w:rFonts w:ascii="Arial" w:hAnsi="Arial" w:cs="Arial"/>
          <w:b/>
          <w:sz w:val="28"/>
          <w:szCs w:val="28"/>
        </w:rPr>
        <w:t>Y</w:t>
      </w:r>
      <w:r w:rsidR="00781F07" w:rsidRPr="00A81C7A">
        <w:rPr>
          <w:rFonts w:ascii="Arial" w:hAnsi="Arial" w:cs="Arial"/>
          <w:b/>
          <w:bCs/>
          <w:sz w:val="28"/>
          <w:szCs w:val="28"/>
        </w:rPr>
        <w:t xml:space="preserve"> 202</w:t>
      </w:r>
      <w:r w:rsidR="002F71C5">
        <w:rPr>
          <w:rFonts w:ascii="Arial" w:hAnsi="Arial" w:cs="Arial"/>
          <w:b/>
          <w:bCs/>
          <w:sz w:val="28"/>
          <w:szCs w:val="28"/>
        </w:rPr>
        <w:t>2</w:t>
      </w:r>
      <w:r w:rsidRPr="00917570">
        <w:rPr>
          <w:rFonts w:ascii="Arial" w:hAnsi="Arial" w:cs="Arial"/>
          <w:sz w:val="28"/>
          <w:szCs w:val="28"/>
        </w:rPr>
        <w:t xml:space="preserve">                                                             </w:t>
      </w:r>
      <w:r>
        <w:rPr>
          <w:rFonts w:ascii="Arial" w:hAnsi="Arial" w:cs="Arial"/>
          <w:sz w:val="28"/>
          <w:szCs w:val="28"/>
        </w:rPr>
        <w:t xml:space="preserve">                            </w:t>
      </w:r>
    </w:p>
    <w:p w:rsidR="00EF11A8" w:rsidRDefault="00EF11A8" w:rsidP="00EF11A8">
      <w:pPr>
        <w:pBdr>
          <w:bottom w:val="single" w:sz="6" w:space="1" w:color="auto"/>
        </w:pBdr>
        <w:contextualSpacing/>
        <w:jc w:val="both"/>
        <w:rPr>
          <w:rFonts w:ascii="Arial" w:hAnsi="Arial" w:cs="Arial"/>
          <w:b/>
          <w:sz w:val="28"/>
          <w:szCs w:val="28"/>
        </w:rPr>
      </w:pPr>
    </w:p>
    <w:p w:rsidR="00EF11A8" w:rsidRDefault="00EF11A8" w:rsidP="00EF11A8">
      <w:pPr>
        <w:contextualSpacing/>
        <w:jc w:val="both"/>
        <w:rPr>
          <w:rFonts w:ascii="Arial" w:hAnsi="Arial" w:cs="Arial"/>
          <w:b/>
          <w:sz w:val="28"/>
          <w:szCs w:val="28"/>
        </w:rPr>
      </w:pPr>
    </w:p>
    <w:p w:rsidR="003F410D" w:rsidRPr="003F410D" w:rsidRDefault="003F410D" w:rsidP="00EF11A8">
      <w:pPr>
        <w:contextualSpacing/>
        <w:jc w:val="both"/>
        <w:rPr>
          <w:rFonts w:ascii="Arial" w:hAnsi="Arial" w:cs="Arial"/>
          <w:b/>
          <w:sz w:val="28"/>
          <w:szCs w:val="28"/>
        </w:rPr>
      </w:pPr>
      <w:r w:rsidRPr="003F410D">
        <w:rPr>
          <w:rFonts w:ascii="Arial" w:hAnsi="Arial" w:cs="Arial"/>
          <w:b/>
          <w:sz w:val="28"/>
          <w:szCs w:val="28"/>
          <w:u w:val="single"/>
        </w:rPr>
        <w:t>CORAM</w:t>
      </w:r>
      <w:r w:rsidRPr="003F410D">
        <w:rPr>
          <w:rFonts w:ascii="Arial" w:hAnsi="Arial" w:cs="Arial"/>
          <w:b/>
          <w:sz w:val="28"/>
          <w:szCs w:val="28"/>
        </w:rPr>
        <w:t xml:space="preserve">:                      NAIDOO, J et </w:t>
      </w:r>
      <w:r w:rsidR="001575AF">
        <w:rPr>
          <w:rFonts w:ascii="Arial" w:hAnsi="Arial" w:cs="Arial"/>
          <w:b/>
          <w:sz w:val="28"/>
          <w:szCs w:val="28"/>
        </w:rPr>
        <w:t>MHLAMBI</w:t>
      </w:r>
      <w:r>
        <w:rPr>
          <w:rFonts w:ascii="Arial" w:hAnsi="Arial" w:cs="Arial"/>
          <w:b/>
          <w:sz w:val="28"/>
          <w:szCs w:val="28"/>
        </w:rPr>
        <w:t>, J</w:t>
      </w:r>
    </w:p>
    <w:p w:rsidR="003F410D" w:rsidRPr="003F410D" w:rsidRDefault="003F410D" w:rsidP="00EF11A8">
      <w:pPr>
        <w:contextualSpacing/>
        <w:jc w:val="both"/>
        <w:rPr>
          <w:rFonts w:ascii="Arial" w:hAnsi="Arial" w:cs="Arial"/>
          <w:b/>
          <w:sz w:val="28"/>
          <w:szCs w:val="28"/>
          <w:u w:val="single"/>
        </w:rPr>
      </w:pPr>
      <w:r>
        <w:rPr>
          <w:rFonts w:ascii="Arial" w:hAnsi="Arial" w:cs="Arial"/>
          <w:b/>
          <w:sz w:val="28"/>
          <w:szCs w:val="28"/>
          <w:u w:val="single"/>
        </w:rPr>
        <w:t>_________________________________________________________</w:t>
      </w:r>
    </w:p>
    <w:p w:rsidR="003F410D" w:rsidRDefault="003F410D" w:rsidP="00EF11A8">
      <w:pPr>
        <w:contextualSpacing/>
        <w:jc w:val="both"/>
        <w:rPr>
          <w:rFonts w:ascii="Arial" w:hAnsi="Arial" w:cs="Arial"/>
          <w:b/>
          <w:sz w:val="28"/>
          <w:szCs w:val="28"/>
          <w:u w:val="single"/>
        </w:rPr>
      </w:pPr>
    </w:p>
    <w:p w:rsidR="00EF11A8" w:rsidRPr="00745168" w:rsidRDefault="00EF11A8" w:rsidP="00EF11A8">
      <w:pPr>
        <w:contextualSpacing/>
        <w:jc w:val="both"/>
        <w:rPr>
          <w:rFonts w:ascii="Arial" w:hAnsi="Arial" w:cs="Arial"/>
          <w:sz w:val="28"/>
          <w:szCs w:val="28"/>
          <w:u w:val="single"/>
        </w:rPr>
      </w:pPr>
      <w:r w:rsidRPr="00EC14EC">
        <w:rPr>
          <w:rFonts w:ascii="Arial" w:hAnsi="Arial" w:cs="Arial"/>
          <w:b/>
          <w:sz w:val="28"/>
          <w:szCs w:val="28"/>
          <w:u w:val="single"/>
        </w:rPr>
        <w:t>JUDGMENT BY:</w:t>
      </w:r>
      <w:r w:rsidRPr="00EC14EC">
        <w:rPr>
          <w:rFonts w:ascii="Arial" w:hAnsi="Arial" w:cs="Arial"/>
          <w:b/>
          <w:sz w:val="28"/>
          <w:szCs w:val="28"/>
        </w:rPr>
        <w:tab/>
      </w:r>
      <w:r w:rsidR="00077E52">
        <w:rPr>
          <w:rFonts w:ascii="Arial" w:hAnsi="Arial" w:cs="Arial"/>
          <w:b/>
          <w:sz w:val="28"/>
          <w:szCs w:val="28"/>
        </w:rPr>
        <w:t xml:space="preserve">        </w:t>
      </w:r>
      <w:r w:rsidR="003F410D">
        <w:rPr>
          <w:rFonts w:ascii="Arial" w:hAnsi="Arial" w:cs="Arial"/>
          <w:b/>
          <w:sz w:val="28"/>
          <w:szCs w:val="28"/>
        </w:rPr>
        <w:t xml:space="preserve"> </w:t>
      </w:r>
      <w:r w:rsidR="00C104C3">
        <w:rPr>
          <w:rFonts w:ascii="Arial" w:hAnsi="Arial" w:cs="Arial"/>
          <w:b/>
          <w:sz w:val="28"/>
          <w:szCs w:val="28"/>
        </w:rPr>
        <w:t>M</w:t>
      </w:r>
      <w:r w:rsidR="002A631E">
        <w:rPr>
          <w:rFonts w:ascii="Arial" w:hAnsi="Arial" w:cs="Arial"/>
          <w:b/>
          <w:sz w:val="28"/>
          <w:szCs w:val="28"/>
        </w:rPr>
        <w:t>HLAMBI</w:t>
      </w:r>
      <w:r w:rsidR="00781F07">
        <w:rPr>
          <w:rFonts w:ascii="Arial" w:hAnsi="Arial" w:cs="Arial"/>
          <w:b/>
          <w:sz w:val="28"/>
          <w:szCs w:val="28"/>
        </w:rPr>
        <w:t>, J</w:t>
      </w:r>
    </w:p>
    <w:p w:rsidR="00EF11A8" w:rsidRDefault="00EF11A8" w:rsidP="00EF11A8">
      <w:pPr>
        <w:pBdr>
          <w:bottom w:val="single" w:sz="6" w:space="1" w:color="auto"/>
        </w:pBdr>
        <w:contextualSpacing/>
        <w:jc w:val="both"/>
        <w:rPr>
          <w:rFonts w:ascii="Arial" w:hAnsi="Arial" w:cs="Arial"/>
          <w:b/>
          <w:sz w:val="28"/>
          <w:szCs w:val="28"/>
        </w:rPr>
      </w:pPr>
    </w:p>
    <w:p w:rsidR="00EF11A8" w:rsidRDefault="00EF11A8" w:rsidP="00EF11A8">
      <w:pPr>
        <w:contextualSpacing/>
        <w:jc w:val="both"/>
        <w:rPr>
          <w:rFonts w:ascii="Arial" w:hAnsi="Arial" w:cs="Arial"/>
          <w:b/>
          <w:sz w:val="28"/>
          <w:szCs w:val="28"/>
        </w:rPr>
      </w:pPr>
    </w:p>
    <w:p w:rsidR="007C348D" w:rsidRDefault="00EF11A8" w:rsidP="00EF11A8">
      <w:pPr>
        <w:tabs>
          <w:tab w:val="left" w:pos="2940"/>
        </w:tabs>
        <w:contextualSpacing/>
        <w:jc w:val="both"/>
        <w:rPr>
          <w:rFonts w:ascii="Arial" w:hAnsi="Arial" w:cs="Arial"/>
          <w:b/>
          <w:bCs/>
          <w:sz w:val="28"/>
          <w:szCs w:val="28"/>
        </w:rPr>
      </w:pPr>
      <w:r w:rsidRPr="00EC14EC">
        <w:rPr>
          <w:rFonts w:ascii="Arial" w:hAnsi="Arial" w:cs="Arial"/>
          <w:b/>
          <w:sz w:val="28"/>
          <w:szCs w:val="28"/>
          <w:u w:val="single"/>
        </w:rPr>
        <w:t>DELIVERED ON:</w:t>
      </w:r>
      <w:r>
        <w:rPr>
          <w:rFonts w:ascii="Arial" w:hAnsi="Arial" w:cs="Arial"/>
          <w:b/>
          <w:sz w:val="28"/>
          <w:szCs w:val="28"/>
        </w:rPr>
        <w:t xml:space="preserve">       </w:t>
      </w:r>
      <w:r w:rsidR="00626E98">
        <w:rPr>
          <w:rFonts w:ascii="Arial" w:hAnsi="Arial" w:cs="Arial"/>
          <w:sz w:val="28"/>
          <w:szCs w:val="28"/>
        </w:rPr>
        <w:tab/>
      </w:r>
      <w:r w:rsidR="002F71C5">
        <w:rPr>
          <w:rFonts w:ascii="Arial" w:hAnsi="Arial" w:cs="Arial"/>
          <w:sz w:val="28"/>
          <w:szCs w:val="28"/>
        </w:rPr>
        <w:t xml:space="preserve"> </w:t>
      </w:r>
      <w:r w:rsidR="0094642F" w:rsidRPr="0094642F">
        <w:rPr>
          <w:rFonts w:ascii="Arial" w:hAnsi="Arial" w:cs="Arial"/>
          <w:b/>
          <w:sz w:val="28"/>
          <w:szCs w:val="28"/>
        </w:rPr>
        <w:t>20 JULY</w:t>
      </w:r>
      <w:r w:rsidR="0094642F">
        <w:rPr>
          <w:rFonts w:ascii="Arial" w:hAnsi="Arial" w:cs="Arial"/>
          <w:sz w:val="28"/>
          <w:szCs w:val="28"/>
        </w:rPr>
        <w:t xml:space="preserve"> </w:t>
      </w:r>
      <w:r w:rsidR="00A81C7A" w:rsidRPr="00A81C7A">
        <w:rPr>
          <w:rFonts w:ascii="Arial" w:hAnsi="Arial" w:cs="Arial"/>
          <w:b/>
          <w:bCs/>
          <w:sz w:val="28"/>
          <w:szCs w:val="28"/>
        </w:rPr>
        <w:t>202</w:t>
      </w:r>
      <w:r w:rsidR="002F71C5">
        <w:rPr>
          <w:rFonts w:ascii="Arial" w:hAnsi="Arial" w:cs="Arial"/>
          <w:b/>
          <w:bCs/>
          <w:sz w:val="28"/>
          <w:szCs w:val="28"/>
        </w:rPr>
        <w:t>2</w:t>
      </w:r>
    </w:p>
    <w:p w:rsidR="00891F14" w:rsidRPr="00A81C7A" w:rsidRDefault="00891F14" w:rsidP="00EF11A8">
      <w:pPr>
        <w:tabs>
          <w:tab w:val="left" w:pos="2940"/>
        </w:tabs>
        <w:contextualSpacing/>
        <w:jc w:val="both"/>
        <w:rPr>
          <w:rFonts w:ascii="Arial" w:hAnsi="Arial" w:cs="Arial"/>
          <w:b/>
          <w:bCs/>
          <w:sz w:val="28"/>
          <w:szCs w:val="28"/>
          <w:u w:val="single"/>
        </w:rPr>
      </w:pPr>
    </w:p>
    <w:p w:rsidR="00EF11A8" w:rsidRPr="00EF11A8" w:rsidRDefault="00EF11A8" w:rsidP="00EF11A8">
      <w:pPr>
        <w:tabs>
          <w:tab w:val="left" w:pos="2940"/>
        </w:tabs>
        <w:contextualSpacing/>
        <w:jc w:val="both"/>
        <w:rPr>
          <w:rFonts w:ascii="Arial" w:hAnsi="Arial" w:cs="Arial"/>
          <w:sz w:val="28"/>
          <w:szCs w:val="28"/>
          <w:u w:val="single"/>
        </w:rPr>
      </w:pPr>
      <w:r>
        <w:rPr>
          <w:rFonts w:ascii="Arial" w:hAnsi="Arial" w:cs="Arial"/>
          <w:sz w:val="28"/>
          <w:szCs w:val="28"/>
          <w:u w:val="single"/>
        </w:rPr>
        <w:t>_________________________________________________________</w:t>
      </w:r>
    </w:p>
    <w:p w:rsidR="007C348D" w:rsidRDefault="007C348D" w:rsidP="007C348D">
      <w:pPr>
        <w:spacing w:line="360" w:lineRule="auto"/>
        <w:ind w:left="709" w:hanging="709"/>
        <w:jc w:val="both"/>
        <w:rPr>
          <w:rFonts w:ascii="Arial" w:hAnsi="Arial" w:cs="Arial"/>
          <w:sz w:val="28"/>
          <w:szCs w:val="28"/>
        </w:rPr>
      </w:pPr>
    </w:p>
    <w:p w:rsidR="00FB7BB4" w:rsidRPr="002A631E" w:rsidRDefault="002A631E" w:rsidP="002A631E">
      <w:pPr>
        <w:spacing w:after="240" w:line="360" w:lineRule="auto"/>
        <w:ind w:left="567" w:hanging="567"/>
        <w:jc w:val="both"/>
        <w:rPr>
          <w:rFonts w:ascii="Arial" w:hAnsi="Arial" w:cs="Arial"/>
        </w:rPr>
      </w:pPr>
      <w:r>
        <w:rPr>
          <w:rFonts w:ascii="Arial" w:hAnsi="Arial" w:cs="Arial"/>
        </w:rPr>
        <w:t>[1]</w:t>
      </w:r>
      <w:r>
        <w:rPr>
          <w:rFonts w:ascii="Arial" w:hAnsi="Arial" w:cs="Arial"/>
        </w:rPr>
        <w:tab/>
      </w:r>
      <w:r w:rsidR="00891F14" w:rsidRPr="002A631E">
        <w:rPr>
          <w:rFonts w:ascii="Arial" w:hAnsi="Arial" w:cs="Arial"/>
        </w:rPr>
        <w:t>The appellant was convicted of murder in the Regional Court at Sasolburg on 19 July 2019</w:t>
      </w:r>
      <w:r w:rsidR="002938AA" w:rsidRPr="002A631E">
        <w:rPr>
          <w:rFonts w:ascii="Arial" w:hAnsi="Arial" w:cs="Arial"/>
        </w:rPr>
        <w:t xml:space="preserve"> and sentenced to 15 years’ imprisonment on 22 July 20</w:t>
      </w:r>
      <w:r w:rsidR="00F0291B">
        <w:rPr>
          <w:rFonts w:ascii="Arial" w:hAnsi="Arial" w:cs="Arial"/>
        </w:rPr>
        <w:t>19</w:t>
      </w:r>
      <w:r w:rsidR="002938AA" w:rsidRPr="002A631E">
        <w:rPr>
          <w:rFonts w:ascii="Arial" w:hAnsi="Arial" w:cs="Arial"/>
        </w:rPr>
        <w:t>. Leave to appeal the conviction and sentence was refused on 30 June 2020. He petitioned the High Court and leave to appeal against both the conviction and sentence was granted on 10 November 2021.</w:t>
      </w:r>
    </w:p>
    <w:p w:rsidR="00356771" w:rsidRPr="002A631E" w:rsidRDefault="002A631E" w:rsidP="002A631E">
      <w:pPr>
        <w:spacing w:after="240" w:line="360" w:lineRule="auto"/>
        <w:ind w:left="567" w:hanging="567"/>
        <w:jc w:val="both"/>
        <w:rPr>
          <w:rFonts w:ascii="Arial" w:hAnsi="Arial" w:cs="Arial"/>
        </w:rPr>
      </w:pPr>
      <w:r>
        <w:rPr>
          <w:rFonts w:ascii="Arial" w:hAnsi="Arial" w:cs="Arial"/>
        </w:rPr>
        <w:lastRenderedPageBreak/>
        <w:t>[2]</w:t>
      </w:r>
      <w:r>
        <w:rPr>
          <w:rFonts w:ascii="Arial" w:hAnsi="Arial" w:cs="Arial"/>
        </w:rPr>
        <w:tab/>
      </w:r>
      <w:r w:rsidR="00BD6800" w:rsidRPr="002A631E">
        <w:rPr>
          <w:rFonts w:ascii="Arial" w:hAnsi="Arial" w:cs="Arial"/>
        </w:rPr>
        <w:t>The appellant has, in the heads of argument and in this court,</w:t>
      </w:r>
      <w:r w:rsidR="00724EA2" w:rsidRPr="002A631E">
        <w:rPr>
          <w:rFonts w:ascii="Arial" w:hAnsi="Arial" w:cs="Arial"/>
        </w:rPr>
        <w:t xml:space="preserve"> raised a challenge that there was non-compliance wi</w:t>
      </w:r>
      <w:r w:rsidR="0030603E">
        <w:rPr>
          <w:rFonts w:ascii="Arial" w:hAnsi="Arial" w:cs="Arial"/>
        </w:rPr>
        <w:t>th the provisions of section 93</w:t>
      </w:r>
      <w:r w:rsidR="00724EA2" w:rsidRPr="0030603E">
        <w:rPr>
          <w:rFonts w:ascii="Arial" w:hAnsi="Arial" w:cs="Arial"/>
          <w:i/>
        </w:rPr>
        <w:t>ter</w:t>
      </w:r>
      <w:r w:rsidR="00724EA2" w:rsidRPr="002A631E">
        <w:rPr>
          <w:rFonts w:ascii="Arial" w:hAnsi="Arial" w:cs="Arial"/>
        </w:rPr>
        <w:t xml:space="preserve"> (1) of the Magistrates’ Court Act No 32 of 1944</w:t>
      </w:r>
      <w:r w:rsidR="0030603E">
        <w:rPr>
          <w:rFonts w:ascii="Arial" w:hAnsi="Arial" w:cs="Arial"/>
        </w:rPr>
        <w:t>,</w:t>
      </w:r>
      <w:r w:rsidR="00724EA2" w:rsidRPr="002A631E">
        <w:rPr>
          <w:rFonts w:ascii="Arial" w:hAnsi="Arial" w:cs="Arial"/>
        </w:rPr>
        <w:t xml:space="preserve"> (the Act)</w:t>
      </w:r>
      <w:r w:rsidR="0030603E">
        <w:rPr>
          <w:rFonts w:ascii="Arial" w:hAnsi="Arial" w:cs="Arial"/>
        </w:rPr>
        <w:t>,</w:t>
      </w:r>
      <w:r w:rsidR="00724EA2" w:rsidRPr="002A631E">
        <w:rPr>
          <w:rFonts w:ascii="Arial" w:hAnsi="Arial" w:cs="Arial"/>
        </w:rPr>
        <w:t xml:space="preserve"> in that the magistrate failed to ask the appellant or his lawyer whether the appellant waived his right that assessors be appointed to sit with the magistrate during the </w:t>
      </w:r>
      <w:r w:rsidR="0097658B" w:rsidRPr="002A631E">
        <w:rPr>
          <w:rFonts w:ascii="Arial" w:hAnsi="Arial" w:cs="Arial"/>
        </w:rPr>
        <w:t xml:space="preserve">trial. </w:t>
      </w:r>
      <w:r w:rsidR="0030603E">
        <w:rPr>
          <w:rFonts w:ascii="Arial" w:hAnsi="Arial" w:cs="Arial"/>
        </w:rPr>
        <w:t>It was contended that n</w:t>
      </w:r>
      <w:r w:rsidR="0097658B" w:rsidRPr="002A631E">
        <w:rPr>
          <w:rFonts w:ascii="Arial" w:hAnsi="Arial" w:cs="Arial"/>
        </w:rPr>
        <w:t>either the typed nor the handwritten record reflected</w:t>
      </w:r>
      <w:r w:rsidR="00356771" w:rsidRPr="002A631E">
        <w:rPr>
          <w:rFonts w:ascii="Arial" w:hAnsi="Arial" w:cs="Arial"/>
        </w:rPr>
        <w:t xml:space="preserve"> whether the court </w:t>
      </w:r>
      <w:r w:rsidR="00356771" w:rsidRPr="0030603E">
        <w:rPr>
          <w:rFonts w:ascii="Arial" w:hAnsi="Arial" w:cs="Arial"/>
          <w:i/>
        </w:rPr>
        <w:t>a quo</w:t>
      </w:r>
      <w:r w:rsidR="00356771" w:rsidRPr="002A631E">
        <w:rPr>
          <w:rFonts w:ascii="Arial" w:hAnsi="Arial" w:cs="Arial"/>
        </w:rPr>
        <w:t xml:space="preserve"> explained the relevant provisions to the appellant and required him to elect whether the trial should proceed with or without the assessors.</w:t>
      </w:r>
      <w:r w:rsidR="0097658B" w:rsidRPr="002A631E">
        <w:rPr>
          <w:rFonts w:ascii="Arial" w:hAnsi="Arial" w:cs="Arial"/>
        </w:rPr>
        <w:t xml:space="preserve"> This</w:t>
      </w:r>
      <w:r w:rsidR="0030603E">
        <w:rPr>
          <w:rFonts w:ascii="Arial" w:hAnsi="Arial" w:cs="Arial"/>
        </w:rPr>
        <w:t>, it was argued,</w:t>
      </w:r>
      <w:r w:rsidR="0097658B" w:rsidRPr="002A631E">
        <w:rPr>
          <w:rFonts w:ascii="Arial" w:hAnsi="Arial" w:cs="Arial"/>
        </w:rPr>
        <w:t xml:space="preserve"> was tantamount to a misdirection by the magistrate </w:t>
      </w:r>
      <w:r w:rsidR="0094642F">
        <w:rPr>
          <w:rFonts w:ascii="Arial" w:hAnsi="Arial" w:cs="Arial"/>
        </w:rPr>
        <w:t xml:space="preserve">which vitiated the proceedings. </w:t>
      </w:r>
      <w:r w:rsidR="0097658B" w:rsidRPr="002A631E">
        <w:rPr>
          <w:rFonts w:ascii="Arial" w:hAnsi="Arial" w:cs="Arial"/>
        </w:rPr>
        <w:t>Co</w:t>
      </w:r>
      <w:r w:rsidR="0030603E">
        <w:rPr>
          <w:rFonts w:ascii="Arial" w:hAnsi="Arial" w:cs="Arial"/>
        </w:rPr>
        <w:t>nsequently, both the conviction</w:t>
      </w:r>
      <w:r w:rsidR="0097658B" w:rsidRPr="002A631E">
        <w:rPr>
          <w:rFonts w:ascii="Arial" w:hAnsi="Arial" w:cs="Arial"/>
        </w:rPr>
        <w:t xml:space="preserve"> and sentence should automatically be set aside.</w:t>
      </w:r>
    </w:p>
    <w:p w:rsidR="00BD6800" w:rsidRPr="002A631E" w:rsidRDefault="002A631E" w:rsidP="002A631E">
      <w:pPr>
        <w:spacing w:after="240" w:line="360" w:lineRule="auto"/>
        <w:ind w:left="567" w:hanging="567"/>
        <w:jc w:val="both"/>
        <w:rPr>
          <w:rFonts w:ascii="Arial" w:hAnsi="Arial" w:cs="Arial"/>
          <w:i/>
        </w:rPr>
      </w:pPr>
      <w:r>
        <w:rPr>
          <w:rFonts w:ascii="Arial" w:hAnsi="Arial" w:cs="Arial"/>
        </w:rPr>
        <w:t>[3]</w:t>
      </w:r>
      <w:r>
        <w:rPr>
          <w:rFonts w:ascii="Arial" w:hAnsi="Arial" w:cs="Arial"/>
        </w:rPr>
        <w:tab/>
      </w:r>
      <w:r w:rsidR="00A8690C" w:rsidRPr="002A631E">
        <w:rPr>
          <w:rFonts w:ascii="Arial" w:hAnsi="Arial" w:cs="Arial"/>
        </w:rPr>
        <w:t>The respondent opposed the application and contended that the record reflected that the court a quo complied with the provis</w:t>
      </w:r>
      <w:r w:rsidR="00F90B4F">
        <w:rPr>
          <w:rFonts w:ascii="Arial" w:hAnsi="Arial" w:cs="Arial"/>
        </w:rPr>
        <w:t>i</w:t>
      </w:r>
      <w:r w:rsidR="00A8690C" w:rsidRPr="002A631E">
        <w:rPr>
          <w:rFonts w:ascii="Arial" w:hAnsi="Arial" w:cs="Arial"/>
        </w:rPr>
        <w:t>o</w:t>
      </w:r>
      <w:r w:rsidR="00F90B4F">
        <w:rPr>
          <w:rFonts w:ascii="Arial" w:hAnsi="Arial" w:cs="Arial"/>
        </w:rPr>
        <w:t>ns of section 93</w:t>
      </w:r>
      <w:r w:rsidR="009A4CAC" w:rsidRPr="00F90B4F">
        <w:rPr>
          <w:rFonts w:ascii="Arial" w:hAnsi="Arial" w:cs="Arial"/>
          <w:i/>
        </w:rPr>
        <w:t>ter</w:t>
      </w:r>
      <w:r w:rsidR="009A4CAC" w:rsidRPr="002A631E">
        <w:rPr>
          <w:rFonts w:ascii="Arial" w:hAnsi="Arial" w:cs="Arial"/>
        </w:rPr>
        <w:t xml:space="preserve"> (</w:t>
      </w:r>
      <w:r w:rsidR="00A8690C" w:rsidRPr="002A631E">
        <w:rPr>
          <w:rFonts w:ascii="Arial" w:hAnsi="Arial" w:cs="Arial"/>
        </w:rPr>
        <w:t>1) of the Act.</w:t>
      </w:r>
      <w:r w:rsidR="009A4CAC" w:rsidRPr="002A631E">
        <w:rPr>
          <w:rStyle w:val="FootnoteReference"/>
          <w:rFonts w:ascii="Arial" w:hAnsi="Arial" w:cs="Arial"/>
        </w:rPr>
        <w:footnoteReference w:id="2"/>
      </w:r>
      <w:r w:rsidR="00E42996" w:rsidRPr="002A631E">
        <w:rPr>
          <w:rFonts w:ascii="Arial" w:hAnsi="Arial" w:cs="Arial"/>
        </w:rPr>
        <w:t xml:space="preserve"> The respondent, relying on the written record,</w:t>
      </w:r>
      <w:r w:rsidR="00E42996" w:rsidRPr="002A631E">
        <w:rPr>
          <w:rStyle w:val="FootnoteReference"/>
          <w:rFonts w:ascii="Arial" w:hAnsi="Arial" w:cs="Arial"/>
        </w:rPr>
        <w:footnoteReference w:id="3"/>
      </w:r>
      <w:r w:rsidR="00EC41C6" w:rsidRPr="002A631E">
        <w:rPr>
          <w:rFonts w:ascii="Arial" w:hAnsi="Arial" w:cs="Arial"/>
        </w:rPr>
        <w:t xml:space="preserve"> contended that the prosecutor, prior to the commencement of the trial, mentioned during the application for leave to appeal that the issue of the appointment of the assessors was raised.</w:t>
      </w:r>
      <w:r w:rsidR="00E13F80" w:rsidRPr="002A631E">
        <w:rPr>
          <w:rFonts w:ascii="Arial" w:hAnsi="Arial" w:cs="Arial"/>
        </w:rPr>
        <w:t xml:space="preserve"> It was crucial to note, therefore, that this issue was raised neither at the commencement of the trial nor during the application for leave to appeal.</w:t>
      </w:r>
      <w:r w:rsidR="00682AD5">
        <w:rPr>
          <w:rStyle w:val="FootnoteReference"/>
          <w:rFonts w:ascii="Arial" w:hAnsi="Arial" w:cs="Arial"/>
        </w:rPr>
        <w:footnoteReference w:id="4"/>
      </w:r>
      <w:r w:rsidR="006F3811" w:rsidRPr="002A631E">
        <w:rPr>
          <w:rFonts w:ascii="Arial" w:hAnsi="Arial" w:cs="Arial"/>
        </w:rPr>
        <w:t xml:space="preserve"> It was contended that the main reason why the issue was not raised by the appellant’s legal representatives, was </w:t>
      </w:r>
      <w:r w:rsidR="006F3811" w:rsidRPr="002A631E">
        <w:rPr>
          <w:rFonts w:ascii="Arial" w:hAnsi="Arial" w:cs="Arial"/>
          <w:sz w:val="20"/>
          <w:szCs w:val="20"/>
        </w:rPr>
        <w:t>“</w:t>
      </w:r>
      <w:r w:rsidR="006F3811" w:rsidRPr="002A631E">
        <w:rPr>
          <w:rFonts w:ascii="Arial" w:hAnsi="Arial" w:cs="Arial"/>
          <w:i/>
          <w:sz w:val="20"/>
          <w:szCs w:val="20"/>
        </w:rPr>
        <w:t>that the matter was canvassed to the defence (accused and his legal representative).</w:t>
      </w:r>
      <w:r w:rsidR="006F3811" w:rsidRPr="002A631E">
        <w:rPr>
          <w:rFonts w:ascii="Arial" w:hAnsi="Arial" w:cs="Arial"/>
          <w:i/>
        </w:rPr>
        <w:t>”</w:t>
      </w:r>
      <w:r w:rsidR="00F62A42" w:rsidRPr="002A631E">
        <w:rPr>
          <w:rStyle w:val="FootnoteReference"/>
          <w:rFonts w:ascii="Arial" w:hAnsi="Arial" w:cs="Arial"/>
          <w:i/>
        </w:rPr>
        <w:footnoteReference w:id="5"/>
      </w:r>
    </w:p>
    <w:p w:rsidR="00666EAC" w:rsidRPr="00682AD5" w:rsidRDefault="00682AD5" w:rsidP="00682AD5">
      <w:pPr>
        <w:spacing w:after="240" w:line="360" w:lineRule="auto"/>
        <w:ind w:left="567" w:hanging="567"/>
        <w:jc w:val="both"/>
        <w:rPr>
          <w:rFonts w:ascii="Arial" w:hAnsi="Arial" w:cs="Arial"/>
          <w:i/>
        </w:rPr>
      </w:pPr>
      <w:r>
        <w:rPr>
          <w:rFonts w:ascii="Arial" w:hAnsi="Arial" w:cs="Arial"/>
        </w:rPr>
        <w:t>[4]</w:t>
      </w:r>
      <w:r>
        <w:rPr>
          <w:rFonts w:ascii="Arial" w:hAnsi="Arial" w:cs="Arial"/>
        </w:rPr>
        <w:tab/>
      </w:r>
      <w:r w:rsidR="00666EAC" w:rsidRPr="00682AD5">
        <w:rPr>
          <w:rFonts w:ascii="Arial" w:hAnsi="Arial" w:cs="Arial"/>
        </w:rPr>
        <w:t>The respondent submitted that</w:t>
      </w:r>
      <w:r w:rsidR="00820441" w:rsidRPr="00682AD5">
        <w:rPr>
          <w:rFonts w:ascii="Arial" w:hAnsi="Arial" w:cs="Arial"/>
        </w:rPr>
        <w:t>,</w:t>
      </w:r>
      <w:r w:rsidR="00666EAC" w:rsidRPr="00682AD5">
        <w:rPr>
          <w:rFonts w:ascii="Arial" w:hAnsi="Arial" w:cs="Arial"/>
        </w:rPr>
        <w:t xml:space="preserve"> as there</w:t>
      </w:r>
      <w:r w:rsidR="000C72FC" w:rsidRPr="00682AD5">
        <w:rPr>
          <w:rFonts w:ascii="Arial" w:hAnsi="Arial" w:cs="Arial"/>
        </w:rPr>
        <w:t xml:space="preserve"> was no entry of the explanation of the relevant provision and no dispute</w:t>
      </w:r>
      <w:r w:rsidR="00F90B4F">
        <w:rPr>
          <w:rFonts w:ascii="Arial" w:hAnsi="Arial" w:cs="Arial"/>
        </w:rPr>
        <w:t xml:space="preserve"> raised by</w:t>
      </w:r>
      <w:r w:rsidR="000C72FC" w:rsidRPr="00682AD5">
        <w:rPr>
          <w:rFonts w:ascii="Arial" w:hAnsi="Arial" w:cs="Arial"/>
        </w:rPr>
        <w:t xml:space="preserve"> the </w:t>
      </w:r>
      <w:r w:rsidR="00F90B4F">
        <w:rPr>
          <w:rFonts w:ascii="Arial" w:hAnsi="Arial" w:cs="Arial"/>
        </w:rPr>
        <w:t xml:space="preserve">appellant’s </w:t>
      </w:r>
      <w:r w:rsidR="000C72FC" w:rsidRPr="00682AD5">
        <w:rPr>
          <w:rFonts w:ascii="Arial" w:hAnsi="Arial" w:cs="Arial"/>
        </w:rPr>
        <w:t>legal representative</w:t>
      </w:r>
      <w:r w:rsidR="002A62A7" w:rsidRPr="00682AD5">
        <w:rPr>
          <w:rFonts w:ascii="Arial" w:hAnsi="Arial" w:cs="Arial"/>
        </w:rPr>
        <w:t xml:space="preserve"> when the issue was</w:t>
      </w:r>
      <w:r w:rsidR="00F90B4F">
        <w:rPr>
          <w:rFonts w:ascii="Arial" w:hAnsi="Arial" w:cs="Arial"/>
        </w:rPr>
        <w:t xml:space="preserve"> raised</w:t>
      </w:r>
      <w:r w:rsidR="002A62A7" w:rsidRPr="00682AD5">
        <w:rPr>
          <w:rFonts w:ascii="Arial" w:hAnsi="Arial" w:cs="Arial"/>
        </w:rPr>
        <w:t xml:space="preserve"> by the prosecutor, it </w:t>
      </w:r>
      <w:r w:rsidR="00101B7F" w:rsidRPr="00682AD5">
        <w:rPr>
          <w:rFonts w:ascii="Arial" w:hAnsi="Arial" w:cs="Arial"/>
        </w:rPr>
        <w:t>wa</w:t>
      </w:r>
      <w:r w:rsidR="002A62A7" w:rsidRPr="00682AD5">
        <w:rPr>
          <w:rFonts w:ascii="Arial" w:hAnsi="Arial" w:cs="Arial"/>
        </w:rPr>
        <w:t>s evident that the court a quo</w:t>
      </w:r>
      <w:r w:rsidR="00101B7F" w:rsidRPr="00682AD5">
        <w:rPr>
          <w:rFonts w:ascii="Arial" w:hAnsi="Arial" w:cs="Arial"/>
        </w:rPr>
        <w:t xml:space="preserve"> dealt with this issue</w:t>
      </w:r>
      <w:r w:rsidR="002A62A7" w:rsidRPr="00682AD5">
        <w:rPr>
          <w:rFonts w:ascii="Arial" w:hAnsi="Arial" w:cs="Arial"/>
        </w:rPr>
        <w:t xml:space="preserve"> at some stage before the commencement of the trial.</w:t>
      </w:r>
      <w:r w:rsidR="002A62A7" w:rsidRPr="002A631E">
        <w:rPr>
          <w:rStyle w:val="FootnoteReference"/>
          <w:rFonts w:ascii="Arial" w:hAnsi="Arial" w:cs="Arial"/>
        </w:rPr>
        <w:footnoteReference w:id="6"/>
      </w:r>
    </w:p>
    <w:p w:rsidR="00682AD5" w:rsidRPr="00682AD5" w:rsidRDefault="00682AD5" w:rsidP="00682AD5">
      <w:pPr>
        <w:spacing w:after="240" w:line="360" w:lineRule="auto"/>
        <w:ind w:left="567" w:hanging="567"/>
        <w:jc w:val="both"/>
        <w:rPr>
          <w:rFonts w:ascii="Arial" w:hAnsi="Arial" w:cs="Arial"/>
          <w:i/>
          <w:sz w:val="20"/>
          <w:szCs w:val="20"/>
        </w:rPr>
      </w:pPr>
      <w:r>
        <w:rPr>
          <w:rFonts w:ascii="Arial" w:hAnsi="Arial" w:cs="Arial"/>
        </w:rPr>
        <w:t>[5]</w:t>
      </w:r>
      <w:r>
        <w:rPr>
          <w:rFonts w:ascii="Arial" w:hAnsi="Arial" w:cs="Arial"/>
        </w:rPr>
        <w:tab/>
      </w:r>
      <w:r w:rsidR="009E47FD" w:rsidRPr="00682AD5">
        <w:rPr>
          <w:rFonts w:ascii="Arial" w:hAnsi="Arial" w:cs="Arial"/>
        </w:rPr>
        <w:t xml:space="preserve">For the sake of completeness, it is appropriate to quote page 387 of the record which reads as follows: </w:t>
      </w:r>
    </w:p>
    <w:p w:rsidR="00682AD5" w:rsidRDefault="009E47FD" w:rsidP="00682AD5">
      <w:pPr>
        <w:pStyle w:val="ListParagraph"/>
        <w:spacing w:after="240" w:line="360" w:lineRule="auto"/>
        <w:ind w:left="644"/>
        <w:jc w:val="both"/>
        <w:rPr>
          <w:rFonts w:ascii="Arial" w:hAnsi="Arial" w:cs="Arial"/>
          <w:i/>
          <w:sz w:val="20"/>
          <w:szCs w:val="20"/>
        </w:rPr>
      </w:pPr>
      <w:r w:rsidRPr="002A631E">
        <w:rPr>
          <w:rFonts w:ascii="Arial" w:hAnsi="Arial" w:cs="Arial"/>
        </w:rPr>
        <w:lastRenderedPageBreak/>
        <w:t>“ …</w:t>
      </w:r>
      <w:r w:rsidRPr="00682AD5">
        <w:rPr>
          <w:rFonts w:ascii="Arial" w:hAnsi="Arial" w:cs="Arial"/>
          <w:i/>
          <w:sz w:val="20"/>
          <w:szCs w:val="20"/>
        </w:rPr>
        <w:t>in fact the court explained</w:t>
      </w:r>
      <w:r w:rsidR="00682AD5">
        <w:rPr>
          <w:rFonts w:ascii="Arial" w:hAnsi="Arial" w:cs="Arial"/>
          <w:i/>
          <w:sz w:val="20"/>
          <w:szCs w:val="20"/>
        </w:rPr>
        <w:t xml:space="preserve"> first and then asked whether do, asked whether do we need the assistance of assessors, Your worship?</w:t>
      </w:r>
    </w:p>
    <w:p w:rsidR="00682AD5" w:rsidRDefault="00682AD5" w:rsidP="00682AD5">
      <w:pPr>
        <w:pStyle w:val="ListParagraph"/>
        <w:spacing w:after="240" w:line="360" w:lineRule="auto"/>
        <w:ind w:left="644"/>
        <w:jc w:val="both"/>
        <w:rPr>
          <w:rFonts w:ascii="Arial" w:hAnsi="Arial" w:cs="Arial"/>
          <w:i/>
          <w:sz w:val="20"/>
          <w:szCs w:val="20"/>
        </w:rPr>
      </w:pPr>
      <w:r>
        <w:rPr>
          <w:rFonts w:ascii="Arial" w:hAnsi="Arial" w:cs="Arial"/>
          <w:i/>
          <w:sz w:val="20"/>
          <w:szCs w:val="20"/>
          <w:u w:val="single"/>
        </w:rPr>
        <w:t>Court:</w:t>
      </w:r>
      <w:r w:rsidRPr="00682AD5">
        <w:rPr>
          <w:rFonts w:ascii="Arial" w:hAnsi="Arial" w:cs="Arial"/>
          <w:i/>
          <w:sz w:val="20"/>
          <w:szCs w:val="20"/>
        </w:rPr>
        <w:t xml:space="preserve"> Mm</w:t>
      </w:r>
    </w:p>
    <w:p w:rsidR="00682AD5" w:rsidRDefault="00682AD5" w:rsidP="00682AD5">
      <w:pPr>
        <w:pStyle w:val="ListParagraph"/>
        <w:spacing w:after="240" w:line="360" w:lineRule="auto"/>
        <w:ind w:left="644"/>
        <w:jc w:val="both"/>
        <w:rPr>
          <w:rFonts w:ascii="Arial" w:hAnsi="Arial" w:cs="Arial"/>
          <w:i/>
          <w:sz w:val="20"/>
          <w:szCs w:val="20"/>
        </w:rPr>
      </w:pPr>
      <w:r w:rsidRPr="00682AD5">
        <w:rPr>
          <w:rFonts w:ascii="Arial" w:hAnsi="Arial" w:cs="Arial"/>
          <w:i/>
          <w:sz w:val="20"/>
          <w:szCs w:val="20"/>
          <w:u w:val="single"/>
        </w:rPr>
        <w:t>Prosecutor</w:t>
      </w:r>
      <w:r>
        <w:rPr>
          <w:rFonts w:ascii="Arial" w:hAnsi="Arial" w:cs="Arial"/>
          <w:i/>
          <w:sz w:val="20"/>
          <w:szCs w:val="20"/>
        </w:rPr>
        <w:t xml:space="preserve">: And the advocate Sonchi said no, we can proceed, he does not, the accused was warned before we started, even if it is not on record, Your Worship. The accused was warned by court, and even it was asked whether do we need assessors proceed with this matter. It was said that, advocate Sonchi said, yes, it was explained and court went further to explain </w:t>
      </w:r>
      <w:r w:rsidR="00DC5A12">
        <w:rPr>
          <w:rFonts w:ascii="Arial" w:hAnsi="Arial" w:cs="Arial"/>
          <w:i/>
          <w:sz w:val="20"/>
          <w:szCs w:val="20"/>
        </w:rPr>
        <w:t>again</w:t>
      </w:r>
      <w:r>
        <w:rPr>
          <w:rFonts w:ascii="Arial" w:hAnsi="Arial" w:cs="Arial"/>
          <w:i/>
          <w:sz w:val="20"/>
          <w:szCs w:val="20"/>
        </w:rPr>
        <w:t xml:space="preserve"> to the accused before court, Your Worship. </w:t>
      </w:r>
    </w:p>
    <w:p w:rsidR="00682AD5" w:rsidRDefault="00682AD5" w:rsidP="00682AD5">
      <w:pPr>
        <w:pStyle w:val="ListParagraph"/>
        <w:spacing w:after="240" w:line="360" w:lineRule="auto"/>
        <w:ind w:left="644"/>
        <w:jc w:val="both"/>
        <w:rPr>
          <w:rFonts w:ascii="Arial" w:hAnsi="Arial" w:cs="Arial"/>
          <w:i/>
          <w:sz w:val="20"/>
          <w:szCs w:val="20"/>
        </w:rPr>
      </w:pPr>
      <w:r w:rsidRPr="00682AD5">
        <w:rPr>
          <w:rFonts w:ascii="Arial" w:hAnsi="Arial" w:cs="Arial"/>
          <w:i/>
          <w:sz w:val="20"/>
          <w:szCs w:val="20"/>
          <w:u w:val="single"/>
        </w:rPr>
        <w:t>Court</w:t>
      </w:r>
      <w:r>
        <w:rPr>
          <w:rFonts w:ascii="Arial" w:hAnsi="Arial" w:cs="Arial"/>
          <w:i/>
          <w:sz w:val="20"/>
          <w:szCs w:val="20"/>
        </w:rPr>
        <w:t>: Mm</w:t>
      </w:r>
    </w:p>
    <w:p w:rsidR="00DC5A12" w:rsidRDefault="00682AD5" w:rsidP="00682AD5">
      <w:pPr>
        <w:pStyle w:val="ListParagraph"/>
        <w:spacing w:after="240" w:line="360" w:lineRule="auto"/>
        <w:ind w:left="644"/>
        <w:jc w:val="both"/>
        <w:rPr>
          <w:rFonts w:ascii="Arial" w:hAnsi="Arial" w:cs="Arial"/>
          <w:i/>
          <w:sz w:val="20"/>
          <w:szCs w:val="20"/>
        </w:rPr>
      </w:pPr>
      <w:r>
        <w:rPr>
          <w:rFonts w:ascii="Arial" w:hAnsi="Arial" w:cs="Arial"/>
          <w:i/>
          <w:sz w:val="20"/>
          <w:szCs w:val="20"/>
          <w:u w:val="single"/>
        </w:rPr>
        <w:t>Prosecutor</w:t>
      </w:r>
      <w:r w:rsidRPr="00682AD5">
        <w:rPr>
          <w:rFonts w:ascii="Arial" w:hAnsi="Arial" w:cs="Arial"/>
          <w:i/>
          <w:sz w:val="20"/>
          <w:szCs w:val="20"/>
        </w:rPr>
        <w:t>:</w:t>
      </w:r>
      <w:r>
        <w:rPr>
          <w:rFonts w:ascii="Arial" w:hAnsi="Arial" w:cs="Arial"/>
          <w:i/>
          <w:sz w:val="20"/>
          <w:szCs w:val="20"/>
        </w:rPr>
        <w:t xml:space="preserve"> And then that is, thereafter we started with the </w:t>
      </w:r>
      <w:r w:rsidR="00DC5A12">
        <w:rPr>
          <w:rFonts w:ascii="Arial" w:hAnsi="Arial" w:cs="Arial"/>
          <w:i/>
          <w:sz w:val="20"/>
          <w:szCs w:val="20"/>
        </w:rPr>
        <w:t>case.</w:t>
      </w:r>
      <w:r>
        <w:rPr>
          <w:rFonts w:ascii="Arial" w:hAnsi="Arial" w:cs="Arial"/>
          <w:i/>
          <w:sz w:val="20"/>
          <w:szCs w:val="20"/>
        </w:rPr>
        <w:t xml:space="preserve"> Your Worship. So</w:t>
      </w:r>
      <w:r w:rsidR="00DC5A12">
        <w:rPr>
          <w:rFonts w:ascii="Arial" w:hAnsi="Arial" w:cs="Arial"/>
          <w:i/>
          <w:sz w:val="20"/>
          <w:szCs w:val="20"/>
        </w:rPr>
        <w:t xml:space="preserve">, I do not know whether that part was captured on record. </w:t>
      </w:r>
    </w:p>
    <w:p w:rsidR="00DC5A12" w:rsidRDefault="00DC5A12" w:rsidP="00682AD5">
      <w:pPr>
        <w:pStyle w:val="ListParagraph"/>
        <w:spacing w:after="240" w:line="360" w:lineRule="auto"/>
        <w:ind w:left="644"/>
        <w:jc w:val="both"/>
        <w:rPr>
          <w:rFonts w:ascii="Arial" w:hAnsi="Arial" w:cs="Arial"/>
          <w:i/>
          <w:sz w:val="20"/>
          <w:szCs w:val="20"/>
        </w:rPr>
      </w:pPr>
      <w:r>
        <w:rPr>
          <w:rFonts w:ascii="Arial" w:hAnsi="Arial" w:cs="Arial"/>
          <w:i/>
          <w:sz w:val="20"/>
          <w:szCs w:val="20"/>
          <w:u w:val="single"/>
        </w:rPr>
        <w:t>Court</w:t>
      </w:r>
      <w:r>
        <w:rPr>
          <w:rFonts w:ascii="Arial" w:hAnsi="Arial" w:cs="Arial"/>
          <w:i/>
          <w:sz w:val="20"/>
          <w:szCs w:val="20"/>
        </w:rPr>
        <w:t>: Or not?</w:t>
      </w:r>
    </w:p>
    <w:p w:rsidR="00DC5A12" w:rsidRDefault="00DC5A12" w:rsidP="00682AD5">
      <w:pPr>
        <w:pStyle w:val="ListParagraph"/>
        <w:spacing w:after="240" w:line="360" w:lineRule="auto"/>
        <w:ind w:left="644"/>
        <w:jc w:val="both"/>
        <w:rPr>
          <w:rFonts w:ascii="Arial" w:hAnsi="Arial" w:cs="Arial"/>
          <w:i/>
          <w:sz w:val="20"/>
          <w:szCs w:val="20"/>
        </w:rPr>
      </w:pPr>
      <w:r>
        <w:rPr>
          <w:rFonts w:ascii="Arial" w:hAnsi="Arial" w:cs="Arial"/>
          <w:i/>
          <w:sz w:val="20"/>
          <w:szCs w:val="20"/>
          <w:u w:val="single"/>
        </w:rPr>
        <w:t>Prosecutor</w:t>
      </w:r>
      <w:r w:rsidRPr="00DC5A12">
        <w:rPr>
          <w:rFonts w:ascii="Arial" w:hAnsi="Arial" w:cs="Arial"/>
          <w:i/>
          <w:sz w:val="20"/>
          <w:szCs w:val="20"/>
        </w:rPr>
        <w:t>:</w:t>
      </w:r>
      <w:r>
        <w:rPr>
          <w:rFonts w:ascii="Arial" w:hAnsi="Arial" w:cs="Arial"/>
          <w:i/>
          <w:sz w:val="20"/>
          <w:szCs w:val="20"/>
        </w:rPr>
        <w:t xml:space="preserve"> O</w:t>
      </w:r>
      <w:r w:rsidR="00BE1A6F">
        <w:rPr>
          <w:rFonts w:ascii="Arial" w:hAnsi="Arial" w:cs="Arial"/>
          <w:i/>
          <w:sz w:val="20"/>
          <w:szCs w:val="20"/>
        </w:rPr>
        <w:t>r</w:t>
      </w:r>
      <w:r>
        <w:rPr>
          <w:rFonts w:ascii="Arial" w:hAnsi="Arial" w:cs="Arial"/>
          <w:i/>
          <w:sz w:val="20"/>
          <w:szCs w:val="20"/>
        </w:rPr>
        <w:t xml:space="preserve"> does not form part of record, Your Worship. </w:t>
      </w:r>
    </w:p>
    <w:p w:rsidR="00DC5A12" w:rsidRDefault="00DC5A12" w:rsidP="00682AD5">
      <w:pPr>
        <w:pStyle w:val="ListParagraph"/>
        <w:spacing w:after="240" w:line="360" w:lineRule="auto"/>
        <w:ind w:left="644"/>
        <w:jc w:val="both"/>
        <w:rPr>
          <w:rFonts w:ascii="Arial" w:hAnsi="Arial" w:cs="Arial"/>
          <w:i/>
          <w:sz w:val="20"/>
          <w:szCs w:val="20"/>
        </w:rPr>
      </w:pPr>
      <w:r w:rsidRPr="00DC5A12">
        <w:rPr>
          <w:rFonts w:ascii="Arial" w:hAnsi="Arial" w:cs="Arial"/>
          <w:i/>
          <w:sz w:val="20"/>
          <w:szCs w:val="20"/>
          <w:u w:val="single"/>
        </w:rPr>
        <w:t>Court:</w:t>
      </w:r>
      <w:r>
        <w:rPr>
          <w:rFonts w:ascii="Arial" w:hAnsi="Arial" w:cs="Arial"/>
          <w:i/>
          <w:sz w:val="20"/>
          <w:szCs w:val="20"/>
        </w:rPr>
        <w:t xml:space="preserve"> No, I have</w:t>
      </w:r>
      <w:r w:rsidR="00BE1A6F">
        <w:rPr>
          <w:rFonts w:ascii="Arial" w:hAnsi="Arial" w:cs="Arial"/>
          <w:i/>
          <w:sz w:val="20"/>
          <w:szCs w:val="20"/>
        </w:rPr>
        <w:t xml:space="preserve"> not</w:t>
      </w:r>
      <w:r>
        <w:rPr>
          <w:rFonts w:ascii="Arial" w:hAnsi="Arial" w:cs="Arial"/>
          <w:i/>
          <w:sz w:val="20"/>
          <w:szCs w:val="20"/>
        </w:rPr>
        <w:t xml:space="preserve"> seen the record, </w:t>
      </w:r>
      <w:r w:rsidR="009E47FD" w:rsidRPr="00682AD5">
        <w:rPr>
          <w:rFonts w:ascii="Arial" w:hAnsi="Arial" w:cs="Arial"/>
          <w:i/>
          <w:sz w:val="20"/>
          <w:szCs w:val="20"/>
        </w:rPr>
        <w:t>…</w:t>
      </w:r>
      <w:r>
        <w:rPr>
          <w:rFonts w:ascii="Arial" w:hAnsi="Arial" w:cs="Arial"/>
          <w:i/>
          <w:sz w:val="20"/>
          <w:szCs w:val="20"/>
        </w:rPr>
        <w:t xml:space="preserve"> [indistinct] [intervenes]</w:t>
      </w:r>
    </w:p>
    <w:p w:rsidR="009E47FD" w:rsidRPr="00682AD5" w:rsidRDefault="00DC5A12" w:rsidP="00682AD5">
      <w:pPr>
        <w:pStyle w:val="ListParagraph"/>
        <w:spacing w:after="240" w:line="360" w:lineRule="auto"/>
        <w:ind w:left="644"/>
        <w:jc w:val="both"/>
        <w:rPr>
          <w:rFonts w:ascii="Arial" w:hAnsi="Arial" w:cs="Arial"/>
          <w:i/>
          <w:sz w:val="20"/>
          <w:szCs w:val="20"/>
        </w:rPr>
      </w:pPr>
      <w:r>
        <w:rPr>
          <w:rFonts w:ascii="Arial" w:hAnsi="Arial" w:cs="Arial"/>
          <w:i/>
          <w:sz w:val="20"/>
          <w:szCs w:val="20"/>
          <w:u w:val="single"/>
        </w:rPr>
        <w:t>Prosecutor:</w:t>
      </w:r>
      <w:r>
        <w:rPr>
          <w:rFonts w:ascii="Arial" w:hAnsi="Arial" w:cs="Arial"/>
          <w:i/>
          <w:sz w:val="20"/>
          <w:szCs w:val="20"/>
        </w:rPr>
        <w:t xml:space="preserve"> Because the, the thing that makes me to remember, so vividly with this case, this is, this was my first case with advocate Sonc</w:t>
      </w:r>
      <w:r w:rsidR="00BE1A6F">
        <w:rPr>
          <w:rFonts w:ascii="Arial" w:hAnsi="Arial" w:cs="Arial"/>
          <w:i/>
          <w:sz w:val="20"/>
          <w:szCs w:val="20"/>
        </w:rPr>
        <w:t>h</w:t>
      </w:r>
      <w:r>
        <w:rPr>
          <w:rFonts w:ascii="Arial" w:hAnsi="Arial" w:cs="Arial"/>
          <w:i/>
          <w:sz w:val="20"/>
          <w:szCs w:val="20"/>
        </w:rPr>
        <w:t xml:space="preserve">i, in regional court, Your Worship, and thereafter we spoke about it </w:t>
      </w:r>
      <w:r w:rsidR="009E47FD" w:rsidRPr="00682AD5">
        <w:rPr>
          <w:rFonts w:ascii="Arial" w:hAnsi="Arial" w:cs="Arial"/>
          <w:i/>
          <w:sz w:val="20"/>
          <w:szCs w:val="20"/>
        </w:rPr>
        <w:t>a lot.”</w:t>
      </w:r>
    </w:p>
    <w:p w:rsidR="009E47FD" w:rsidRPr="00DC5A12" w:rsidRDefault="00DC5A12" w:rsidP="00DC5A12">
      <w:pPr>
        <w:spacing w:after="240" w:line="360" w:lineRule="auto"/>
        <w:ind w:left="567" w:hanging="567"/>
        <w:jc w:val="both"/>
        <w:rPr>
          <w:rFonts w:ascii="Arial" w:hAnsi="Arial" w:cs="Arial"/>
          <w:i/>
        </w:rPr>
      </w:pPr>
      <w:r w:rsidRPr="0094642F">
        <w:rPr>
          <w:rFonts w:ascii="Arial" w:hAnsi="Arial" w:cs="Arial"/>
        </w:rPr>
        <w:t>[6]</w:t>
      </w:r>
      <w:r>
        <w:rPr>
          <w:rFonts w:ascii="Arial" w:hAnsi="Arial" w:cs="Arial"/>
          <w:i/>
        </w:rPr>
        <w:tab/>
      </w:r>
      <w:r w:rsidR="00BE1A6F">
        <w:rPr>
          <w:rFonts w:ascii="Arial" w:hAnsi="Arial" w:cs="Arial"/>
        </w:rPr>
        <w:t>Section 93</w:t>
      </w:r>
      <w:r w:rsidR="00BE1A6F" w:rsidRPr="00BE1A6F">
        <w:rPr>
          <w:rFonts w:ascii="Arial" w:hAnsi="Arial" w:cs="Arial"/>
          <w:i/>
        </w:rPr>
        <w:t>ter</w:t>
      </w:r>
      <w:r w:rsidR="00BE1A6F" w:rsidRPr="00DC5A12">
        <w:rPr>
          <w:rFonts w:ascii="Arial" w:hAnsi="Arial" w:cs="Arial"/>
        </w:rPr>
        <w:t xml:space="preserve"> (</w:t>
      </w:r>
      <w:r w:rsidR="00240D77" w:rsidRPr="00DC5A12">
        <w:rPr>
          <w:rFonts w:ascii="Arial" w:hAnsi="Arial" w:cs="Arial"/>
        </w:rPr>
        <w:t>1) of the Act provides as follows</w:t>
      </w:r>
      <w:r w:rsidR="00240D77" w:rsidRPr="00DC5A12">
        <w:rPr>
          <w:rFonts w:ascii="Arial" w:hAnsi="Arial" w:cs="Arial"/>
          <w:i/>
        </w:rPr>
        <w:t>:</w:t>
      </w:r>
    </w:p>
    <w:p w:rsidR="002A631E" w:rsidRPr="00DC5A12" w:rsidRDefault="002A631E" w:rsidP="0094642F">
      <w:pPr>
        <w:pStyle w:val="ListParagraph"/>
        <w:numPr>
          <w:ilvl w:val="0"/>
          <w:numId w:val="10"/>
        </w:numPr>
        <w:spacing w:after="34" w:line="360" w:lineRule="auto"/>
        <w:ind w:left="1134" w:right="17" w:hanging="283"/>
        <w:jc w:val="both"/>
        <w:rPr>
          <w:rFonts w:ascii="Arial" w:hAnsi="Arial" w:cs="Arial"/>
          <w:i/>
          <w:sz w:val="20"/>
          <w:szCs w:val="20"/>
        </w:rPr>
      </w:pPr>
      <w:r w:rsidRPr="00DC5A12">
        <w:rPr>
          <w:rFonts w:ascii="Arial" w:hAnsi="Arial" w:cs="Arial"/>
          <w:i/>
          <w:sz w:val="20"/>
          <w:szCs w:val="20"/>
        </w:rPr>
        <w:t>The judicial officer presiding at any trial may, if he deems it expedient for the administration of justice­</w:t>
      </w:r>
    </w:p>
    <w:p w:rsidR="002A631E" w:rsidRPr="00DC5A12" w:rsidRDefault="002A631E" w:rsidP="00DC5A12">
      <w:pPr>
        <w:pStyle w:val="ListParagraph"/>
        <w:numPr>
          <w:ilvl w:val="1"/>
          <w:numId w:val="7"/>
        </w:numPr>
        <w:spacing w:after="34" w:line="360" w:lineRule="auto"/>
        <w:ind w:left="1701" w:right="17" w:hanging="567"/>
        <w:jc w:val="both"/>
        <w:rPr>
          <w:rFonts w:ascii="Arial" w:hAnsi="Arial" w:cs="Arial"/>
          <w:i/>
          <w:sz w:val="20"/>
          <w:szCs w:val="20"/>
        </w:rPr>
      </w:pPr>
      <w:r w:rsidRPr="00DC5A12">
        <w:rPr>
          <w:rFonts w:ascii="Arial" w:hAnsi="Arial" w:cs="Arial"/>
          <w:i/>
          <w:sz w:val="20"/>
          <w:szCs w:val="20"/>
        </w:rPr>
        <w:t>before any evidence has been led; or</w:t>
      </w:r>
    </w:p>
    <w:p w:rsidR="00781F07" w:rsidRPr="0094642F" w:rsidRDefault="002A631E" w:rsidP="0094642F">
      <w:pPr>
        <w:pStyle w:val="ListParagraph"/>
        <w:numPr>
          <w:ilvl w:val="1"/>
          <w:numId w:val="7"/>
        </w:numPr>
        <w:spacing w:after="8" w:line="360" w:lineRule="auto"/>
        <w:ind w:left="1701" w:right="17" w:hanging="567"/>
        <w:jc w:val="both"/>
        <w:rPr>
          <w:rFonts w:ascii="Arial" w:hAnsi="Arial" w:cs="Arial"/>
        </w:rPr>
      </w:pPr>
      <w:r w:rsidRPr="0094642F">
        <w:rPr>
          <w:rFonts w:ascii="Arial" w:hAnsi="Arial" w:cs="Arial"/>
          <w:i/>
          <w:sz w:val="20"/>
          <w:szCs w:val="20"/>
        </w:rPr>
        <w:t>in considering a community­based punishment in respect of any person who has been convicted of any offence,</w:t>
      </w:r>
      <w:r w:rsidR="00BE1A6F">
        <w:rPr>
          <w:rFonts w:ascii="Arial" w:hAnsi="Arial" w:cs="Arial"/>
          <w:i/>
          <w:sz w:val="20"/>
          <w:szCs w:val="20"/>
        </w:rPr>
        <w:t xml:space="preserve"> </w:t>
      </w:r>
      <w:r w:rsidRPr="0094642F">
        <w:rPr>
          <w:rFonts w:ascii="Arial" w:hAnsi="Arial" w:cs="Arial"/>
          <w:i/>
          <w:sz w:val="20"/>
          <w:szCs w:val="20"/>
        </w:rPr>
        <w:t>summon to his assistance any one or two persons who, in his opinion, may be of assistance at the trial of the case or in the determination of a proper sentence, as the case may be, to sit with him as assessor or assessors: Provided that if an accused is standing trial in the court of a regional division on a charge of murder, whether together with other charges or accused or not, the judicial officer shall at that trial be assisted by two assessors unless such an accused requests that the trial be proceeded with without assessors, whereupon the judicial officer may in his discretion summon one or two assessors to assist him.</w:t>
      </w:r>
      <w:r w:rsidR="00BE1A6F">
        <w:rPr>
          <w:rFonts w:ascii="Arial" w:hAnsi="Arial" w:cs="Arial"/>
          <w:i/>
          <w:sz w:val="20"/>
          <w:szCs w:val="20"/>
        </w:rPr>
        <w:t>”</w:t>
      </w:r>
    </w:p>
    <w:p w:rsidR="0094642F" w:rsidRPr="0094642F" w:rsidRDefault="0094642F" w:rsidP="0094642F">
      <w:pPr>
        <w:pStyle w:val="ListParagraph"/>
        <w:spacing w:after="8" w:line="360" w:lineRule="auto"/>
        <w:ind w:left="1701" w:right="17"/>
        <w:jc w:val="both"/>
        <w:rPr>
          <w:rFonts w:ascii="Arial" w:hAnsi="Arial" w:cs="Arial"/>
        </w:rPr>
      </w:pPr>
    </w:p>
    <w:p w:rsidR="0094642F" w:rsidRPr="0094642F" w:rsidRDefault="0094642F" w:rsidP="0094642F">
      <w:pPr>
        <w:spacing w:line="360" w:lineRule="auto"/>
        <w:ind w:left="567" w:hanging="567"/>
        <w:jc w:val="both"/>
        <w:rPr>
          <w:rFonts w:ascii="Arial" w:hAnsi="Arial" w:cs="Arial"/>
        </w:rPr>
      </w:pPr>
      <w:r>
        <w:rPr>
          <w:rFonts w:ascii="Arial" w:hAnsi="Arial" w:cs="Arial"/>
        </w:rPr>
        <w:t>[7]</w:t>
      </w:r>
      <w:r>
        <w:rPr>
          <w:rFonts w:ascii="Arial" w:hAnsi="Arial" w:cs="Arial"/>
        </w:rPr>
        <w:tab/>
      </w:r>
      <w:r w:rsidR="00E72866" w:rsidRPr="0094642F">
        <w:rPr>
          <w:rFonts w:ascii="Arial" w:hAnsi="Arial" w:cs="Arial"/>
        </w:rPr>
        <w:t xml:space="preserve">In </w:t>
      </w:r>
      <w:r w:rsidR="00E72866" w:rsidRPr="0094642F">
        <w:rPr>
          <w:rFonts w:ascii="Arial" w:hAnsi="Arial" w:cs="Arial"/>
          <w:i/>
        </w:rPr>
        <w:t xml:space="preserve">Gayiya v S </w:t>
      </w:r>
      <w:r w:rsidR="00E72866" w:rsidRPr="0094642F">
        <w:rPr>
          <w:rFonts w:ascii="Arial" w:hAnsi="Arial" w:cs="Arial"/>
        </w:rPr>
        <w:t xml:space="preserve">it was stated: </w:t>
      </w:r>
    </w:p>
    <w:p w:rsidR="00E72866" w:rsidRDefault="00E72866" w:rsidP="0094642F">
      <w:pPr>
        <w:pStyle w:val="ListParagraph"/>
        <w:spacing w:line="360" w:lineRule="auto"/>
        <w:ind w:left="644"/>
        <w:jc w:val="both"/>
        <w:rPr>
          <w:rFonts w:ascii="Arial" w:hAnsi="Arial" w:cs="Arial"/>
          <w:i/>
          <w:sz w:val="20"/>
          <w:szCs w:val="20"/>
        </w:rPr>
      </w:pPr>
      <w:r w:rsidRPr="0094642F">
        <w:rPr>
          <w:rFonts w:ascii="Arial" w:hAnsi="Arial" w:cs="Arial"/>
          <w:i/>
          <w:sz w:val="20"/>
          <w:szCs w:val="20"/>
        </w:rPr>
        <w:t>“</w:t>
      </w:r>
      <w:r w:rsidR="008A5D23" w:rsidRPr="0094642F">
        <w:rPr>
          <w:rFonts w:ascii="Arial" w:hAnsi="Arial" w:cs="Arial"/>
          <w:i/>
          <w:color w:val="000000"/>
          <w:sz w:val="20"/>
          <w:szCs w:val="20"/>
        </w:rPr>
        <w:t>[8] In my view</w:t>
      </w:r>
      <w:r w:rsidR="00BE1A6F">
        <w:rPr>
          <w:rFonts w:ascii="Arial" w:hAnsi="Arial" w:cs="Arial"/>
          <w:i/>
          <w:color w:val="000000"/>
          <w:sz w:val="20"/>
          <w:szCs w:val="20"/>
        </w:rPr>
        <w:t>,</w:t>
      </w:r>
      <w:r w:rsidR="008A5D23" w:rsidRPr="0094642F">
        <w:rPr>
          <w:rFonts w:ascii="Arial" w:hAnsi="Arial" w:cs="Arial"/>
          <w:i/>
          <w:color w:val="000000"/>
          <w:sz w:val="20"/>
          <w:szCs w:val="20"/>
        </w:rPr>
        <w:t xml:space="preserve"> the issue in the appeal is the proper constitution of the</w:t>
      </w:r>
      <w:r w:rsidR="0094642F">
        <w:rPr>
          <w:rFonts w:ascii="Arial" w:hAnsi="Arial" w:cs="Arial"/>
          <w:i/>
          <w:color w:val="000000"/>
          <w:sz w:val="20"/>
          <w:szCs w:val="20"/>
        </w:rPr>
        <w:t xml:space="preserve"> </w:t>
      </w:r>
      <w:r w:rsidR="008A5D23" w:rsidRPr="0094642F">
        <w:rPr>
          <w:rFonts w:ascii="Arial" w:hAnsi="Arial" w:cs="Arial"/>
          <w:i/>
          <w:color w:val="000000"/>
          <w:sz w:val="20"/>
          <w:szCs w:val="20"/>
        </w:rPr>
        <w:t>court before which the accused stood trial. The section is peremptory. It ordains that the judicial officer presiding in a regional court before which an accused is charged with murder (as in this case) </w:t>
      </w:r>
      <w:r w:rsidR="008A5D23" w:rsidRPr="0094642F">
        <w:rPr>
          <w:rFonts w:ascii="Arial" w:hAnsi="Arial" w:cs="Arial"/>
          <w:i/>
          <w:iCs/>
          <w:color w:val="000000"/>
          <w:sz w:val="20"/>
          <w:szCs w:val="20"/>
        </w:rPr>
        <w:t>shall</w:t>
      </w:r>
      <w:r w:rsidR="008A5D23" w:rsidRPr="0094642F">
        <w:rPr>
          <w:rFonts w:ascii="Arial" w:hAnsi="Arial" w:cs="Arial"/>
          <w:i/>
          <w:color w:val="000000"/>
          <w:sz w:val="20"/>
          <w:szCs w:val="20"/>
        </w:rPr>
        <w:t> be assisted by two assessors at the trial, unless the accused requests that the trial proceed without assessors. It is only where the accused makes such a</w:t>
      </w:r>
      <w:r w:rsidR="0094642F">
        <w:rPr>
          <w:rFonts w:ascii="Arial" w:hAnsi="Arial" w:cs="Arial"/>
          <w:i/>
          <w:color w:val="000000"/>
          <w:sz w:val="20"/>
          <w:szCs w:val="20"/>
        </w:rPr>
        <w:t xml:space="preserve"> </w:t>
      </w:r>
      <w:r w:rsidR="008A5D23" w:rsidRPr="0094642F">
        <w:rPr>
          <w:rFonts w:ascii="Arial" w:hAnsi="Arial" w:cs="Arial"/>
          <w:i/>
          <w:color w:val="000000"/>
          <w:sz w:val="20"/>
          <w:szCs w:val="20"/>
        </w:rPr>
        <w:t xml:space="preserve">request that the judicial officer becomes clothed with a discretion either to summon one or two assessors to assist him or to sit without an assessor. The starting point, therefore, is for the regional magistrate to inform the accused, </w:t>
      </w:r>
      <w:r w:rsidR="008A5D23" w:rsidRPr="0094642F">
        <w:rPr>
          <w:rFonts w:ascii="Arial" w:hAnsi="Arial" w:cs="Arial"/>
          <w:i/>
          <w:color w:val="000000"/>
          <w:sz w:val="20"/>
          <w:szCs w:val="20"/>
        </w:rPr>
        <w:lastRenderedPageBreak/>
        <w:t>before the commencement of the trial, that it is a requirement of the law that he or she must be assisted by two assessors, unless he (the accused) requests that the trial proceed without assessors</w:t>
      </w:r>
      <w:r w:rsidRPr="0094642F">
        <w:rPr>
          <w:rFonts w:ascii="Arial" w:hAnsi="Arial" w:cs="Arial"/>
          <w:i/>
          <w:sz w:val="20"/>
          <w:szCs w:val="20"/>
        </w:rPr>
        <w:t>.”</w:t>
      </w:r>
      <w:r w:rsidRPr="0094642F">
        <w:rPr>
          <w:rStyle w:val="FootnoteReference"/>
          <w:rFonts w:ascii="Arial" w:hAnsi="Arial" w:cs="Arial"/>
          <w:i/>
          <w:sz w:val="20"/>
          <w:szCs w:val="20"/>
        </w:rPr>
        <w:footnoteReference w:id="7"/>
      </w:r>
    </w:p>
    <w:p w:rsidR="0094642F" w:rsidRPr="0094642F" w:rsidRDefault="0094642F" w:rsidP="0094642F">
      <w:pPr>
        <w:pStyle w:val="ListParagraph"/>
        <w:spacing w:line="360" w:lineRule="auto"/>
        <w:ind w:left="644"/>
        <w:jc w:val="both"/>
        <w:rPr>
          <w:rFonts w:ascii="Arial" w:hAnsi="Arial" w:cs="Arial"/>
          <w:i/>
          <w:sz w:val="20"/>
          <w:szCs w:val="20"/>
        </w:rPr>
      </w:pPr>
    </w:p>
    <w:p w:rsidR="0094642F" w:rsidRDefault="0094642F" w:rsidP="0094642F">
      <w:pPr>
        <w:spacing w:line="360" w:lineRule="auto"/>
        <w:ind w:left="567" w:hanging="567"/>
        <w:jc w:val="both"/>
        <w:rPr>
          <w:rFonts w:ascii="Arial" w:hAnsi="Arial" w:cs="Arial"/>
        </w:rPr>
      </w:pPr>
      <w:r>
        <w:rPr>
          <w:rFonts w:ascii="Arial" w:hAnsi="Arial" w:cs="Arial"/>
        </w:rPr>
        <w:t>[8]</w:t>
      </w:r>
      <w:r>
        <w:rPr>
          <w:rFonts w:ascii="Arial" w:hAnsi="Arial" w:cs="Arial"/>
        </w:rPr>
        <w:tab/>
      </w:r>
      <w:r w:rsidR="0074371E" w:rsidRPr="002A631E">
        <w:rPr>
          <w:rFonts w:ascii="Arial" w:hAnsi="Arial" w:cs="Arial"/>
          <w:i/>
        </w:rPr>
        <w:t>In Mntambo v S,</w:t>
      </w:r>
      <w:r w:rsidR="008A5D23" w:rsidRPr="002A631E">
        <w:rPr>
          <w:rStyle w:val="FootnoteReference"/>
          <w:rFonts w:ascii="Arial" w:hAnsi="Arial" w:cs="Arial"/>
          <w:i/>
        </w:rPr>
        <w:footnoteReference w:id="8"/>
      </w:r>
      <w:r w:rsidR="0074371E" w:rsidRPr="002A631E">
        <w:rPr>
          <w:rFonts w:ascii="Arial" w:hAnsi="Arial" w:cs="Arial"/>
          <w:i/>
        </w:rPr>
        <w:t xml:space="preserve"> </w:t>
      </w:r>
      <w:r w:rsidR="0074371E" w:rsidRPr="002A631E">
        <w:rPr>
          <w:rFonts w:ascii="Arial" w:hAnsi="Arial" w:cs="Arial"/>
        </w:rPr>
        <w:t xml:space="preserve">Weiner AJA stated that : </w:t>
      </w:r>
    </w:p>
    <w:p w:rsidR="0074371E" w:rsidRPr="002A631E" w:rsidRDefault="0074371E" w:rsidP="0094642F">
      <w:pPr>
        <w:spacing w:line="360" w:lineRule="auto"/>
        <w:ind w:left="567"/>
        <w:jc w:val="both"/>
        <w:rPr>
          <w:rFonts w:ascii="Arial" w:hAnsi="Arial" w:cs="Arial"/>
          <w:i/>
          <w:sz w:val="20"/>
          <w:szCs w:val="20"/>
          <w:lang w:val="en-US"/>
        </w:rPr>
      </w:pPr>
      <w:r w:rsidRPr="002A631E">
        <w:rPr>
          <w:rFonts w:ascii="Arial" w:hAnsi="Arial" w:cs="Arial"/>
          <w:i/>
          <w:sz w:val="20"/>
          <w:szCs w:val="20"/>
        </w:rPr>
        <w:t>“</w:t>
      </w:r>
      <w:r w:rsidR="0094642F">
        <w:rPr>
          <w:rFonts w:ascii="Arial" w:hAnsi="Arial" w:cs="Arial"/>
          <w:i/>
          <w:sz w:val="20"/>
          <w:szCs w:val="20"/>
        </w:rPr>
        <w:t xml:space="preserve">[11] </w:t>
      </w:r>
      <w:r w:rsidRPr="002A631E">
        <w:rPr>
          <w:rFonts w:ascii="Arial" w:hAnsi="Arial" w:cs="Arial"/>
          <w:i/>
          <w:sz w:val="20"/>
          <w:szCs w:val="20"/>
          <w:lang w:val="en-US"/>
        </w:rPr>
        <w:t xml:space="preserve">In the present matter, </w:t>
      </w:r>
      <w:r w:rsidRPr="002A631E">
        <w:rPr>
          <w:rFonts w:ascii="Arial" w:hAnsi="Arial" w:cs="Arial"/>
          <w:i/>
          <w:sz w:val="20"/>
          <w:szCs w:val="20"/>
        </w:rPr>
        <w:t xml:space="preserve">it is clear from the record of the proceedings that the appellant was not afforded an opportunity by the magistrate to decide whether to request that the trial proceed with or without assessors before he was asked to plead. </w:t>
      </w:r>
      <w:r w:rsidRPr="002A631E">
        <w:rPr>
          <w:rFonts w:ascii="Arial" w:hAnsi="Arial" w:cs="Arial"/>
          <w:i/>
          <w:sz w:val="20"/>
          <w:szCs w:val="20"/>
          <w:lang w:val="en-US"/>
        </w:rPr>
        <w:t>I</w:t>
      </w:r>
      <w:r w:rsidRPr="002A631E">
        <w:rPr>
          <w:rFonts w:ascii="Arial" w:hAnsi="Arial" w:cs="Arial"/>
          <w:i/>
          <w:sz w:val="20"/>
          <w:szCs w:val="20"/>
        </w:rPr>
        <w:t xml:space="preserve">t is common cause that there was non-compliance with the proviso to s 93ter (1) of the Act in that no assessors were appointed in terms of the proviso to the section and the appellant did not waive his right to such appointment. This is a fatal misdirection which vitiates the proceedings. </w:t>
      </w:r>
      <w:r w:rsidRPr="002A631E">
        <w:rPr>
          <w:rFonts w:ascii="Arial" w:hAnsi="Arial" w:cs="Arial"/>
          <w:i/>
          <w:sz w:val="20"/>
          <w:szCs w:val="20"/>
          <w:lang w:val="en-US"/>
        </w:rPr>
        <w:t>The State properly conceded the point and accepted that the conviction and sentence should be set aside and the appellant immediately released from prison.</w:t>
      </w:r>
      <w:r w:rsidRPr="002A631E">
        <w:rPr>
          <w:rFonts w:ascii="Arial" w:hAnsi="Arial" w:cs="Arial"/>
          <w:i/>
          <w:color w:val="222222"/>
          <w:sz w:val="20"/>
          <w:szCs w:val="20"/>
          <w:shd w:val="clear" w:color="auto" w:fill="FFFFFF"/>
        </w:rPr>
        <w:t> </w:t>
      </w:r>
      <w:r w:rsidRPr="002A631E">
        <w:rPr>
          <w:rFonts w:ascii="Arial" w:hAnsi="Arial" w:cs="Arial"/>
          <w:i/>
          <w:sz w:val="20"/>
          <w:szCs w:val="20"/>
          <w:lang w:val="en-US"/>
        </w:rPr>
        <w:t>The appeal must therefore succeed.</w:t>
      </w:r>
      <w:r w:rsidR="0094642F">
        <w:rPr>
          <w:rFonts w:ascii="Arial" w:hAnsi="Arial" w:cs="Arial"/>
          <w:i/>
          <w:sz w:val="20"/>
          <w:szCs w:val="20"/>
          <w:lang w:val="en-US"/>
        </w:rPr>
        <w:t>”</w:t>
      </w:r>
    </w:p>
    <w:p w:rsidR="0074371E" w:rsidRPr="002A631E" w:rsidRDefault="0074371E" w:rsidP="0074371E">
      <w:pPr>
        <w:pStyle w:val="FootnoteText"/>
        <w:spacing w:line="360" w:lineRule="auto"/>
        <w:rPr>
          <w:rFonts w:ascii="Arial" w:hAnsi="Arial" w:cs="Arial"/>
          <w:sz w:val="24"/>
          <w:szCs w:val="24"/>
          <w:lang w:val="en-US"/>
        </w:rPr>
      </w:pPr>
    </w:p>
    <w:p w:rsidR="007F4F13" w:rsidRDefault="0094642F" w:rsidP="0094642F">
      <w:pPr>
        <w:spacing w:line="360" w:lineRule="auto"/>
        <w:ind w:left="567" w:hanging="567"/>
        <w:jc w:val="both"/>
        <w:rPr>
          <w:rFonts w:ascii="Arial" w:hAnsi="Arial" w:cs="Arial"/>
        </w:rPr>
      </w:pPr>
      <w:r>
        <w:rPr>
          <w:rFonts w:ascii="Arial" w:hAnsi="Arial" w:cs="Arial"/>
        </w:rPr>
        <w:t>[9]</w:t>
      </w:r>
      <w:r>
        <w:rPr>
          <w:rFonts w:ascii="Arial" w:hAnsi="Arial" w:cs="Arial"/>
        </w:rPr>
        <w:tab/>
      </w:r>
      <w:r w:rsidR="0074371E" w:rsidRPr="0094642F">
        <w:rPr>
          <w:rFonts w:ascii="Arial" w:hAnsi="Arial" w:cs="Arial"/>
        </w:rPr>
        <w:t>It is clear in the present matter that the court a</w:t>
      </w:r>
      <w:r w:rsidR="0074371E" w:rsidRPr="00C15C47">
        <w:rPr>
          <w:rFonts w:ascii="Arial" w:hAnsi="Arial" w:cs="Arial"/>
          <w:i/>
        </w:rPr>
        <w:t xml:space="preserve"> quo</w:t>
      </w:r>
      <w:r w:rsidR="0074371E" w:rsidRPr="0094642F">
        <w:rPr>
          <w:rFonts w:ascii="Arial" w:hAnsi="Arial" w:cs="Arial"/>
        </w:rPr>
        <w:t xml:space="preserve"> failed to afford the appellant the opportunity to decide whether to request that the trial proceed with or without assessors</w:t>
      </w:r>
      <w:r w:rsidR="007F4F13" w:rsidRPr="0094642F">
        <w:rPr>
          <w:rFonts w:ascii="Arial" w:hAnsi="Arial" w:cs="Arial"/>
        </w:rPr>
        <w:t xml:space="preserve"> before he was asked to plead.</w:t>
      </w:r>
      <w:r w:rsidR="00E75816">
        <w:rPr>
          <w:rFonts w:ascii="Arial" w:hAnsi="Arial" w:cs="Arial"/>
        </w:rPr>
        <w:t xml:space="preserve"> That the matter was canvassed with the accused and/or his legal representative does not exonerate the presiding officer from complying with the section and its underlying purpose. </w:t>
      </w:r>
      <w:r w:rsidR="000A4558">
        <w:rPr>
          <w:rFonts w:ascii="Arial" w:hAnsi="Arial" w:cs="Arial"/>
        </w:rPr>
        <w:t xml:space="preserve">Despite the prosecutor’s contention that the court a </w:t>
      </w:r>
      <w:r w:rsidR="000A4558" w:rsidRPr="00C15C47">
        <w:rPr>
          <w:rFonts w:ascii="Arial" w:hAnsi="Arial" w:cs="Arial"/>
          <w:i/>
        </w:rPr>
        <w:t>quo</w:t>
      </w:r>
      <w:r w:rsidR="000A4558">
        <w:rPr>
          <w:rFonts w:ascii="Arial" w:hAnsi="Arial" w:cs="Arial"/>
        </w:rPr>
        <w:t xml:space="preserve"> complied with the provisions of section 93</w:t>
      </w:r>
      <w:r w:rsidR="000A4558" w:rsidRPr="00C15C47">
        <w:rPr>
          <w:rFonts w:ascii="Arial" w:hAnsi="Arial" w:cs="Arial"/>
          <w:i/>
        </w:rPr>
        <w:t>ter</w:t>
      </w:r>
      <w:r w:rsidR="000A4558">
        <w:rPr>
          <w:rFonts w:ascii="Arial" w:hAnsi="Arial" w:cs="Arial"/>
        </w:rPr>
        <w:t xml:space="preserve"> of the Act, the presiding officer failed to investigate the prosecutor’s contentions and to ascertain from the court record whether she had done so or not.</w:t>
      </w:r>
      <w:r w:rsidR="000A4558">
        <w:rPr>
          <w:rStyle w:val="FootnoteReference"/>
          <w:rFonts w:ascii="Arial" w:hAnsi="Arial" w:cs="Arial"/>
        </w:rPr>
        <w:footnoteReference w:id="9"/>
      </w:r>
      <w:r w:rsidR="000A4558">
        <w:rPr>
          <w:rFonts w:ascii="Arial" w:hAnsi="Arial" w:cs="Arial"/>
        </w:rPr>
        <w:t xml:space="preserve"> </w:t>
      </w:r>
      <w:r w:rsidR="00E75816">
        <w:rPr>
          <w:rFonts w:ascii="Arial" w:hAnsi="Arial" w:cs="Arial"/>
        </w:rPr>
        <w:t>The record does not show that</w:t>
      </w:r>
      <w:r w:rsidR="007033AB">
        <w:rPr>
          <w:rFonts w:ascii="Arial" w:hAnsi="Arial" w:cs="Arial"/>
        </w:rPr>
        <w:t xml:space="preserve"> the appellant requested that the trial </w:t>
      </w:r>
      <w:r w:rsidR="00B50972" w:rsidRPr="00B50972">
        <w:rPr>
          <w:rFonts w:ascii="Arial" w:hAnsi="Arial" w:cs="Arial"/>
        </w:rPr>
        <w:t>proceed</w:t>
      </w:r>
      <w:r w:rsidR="007033AB">
        <w:rPr>
          <w:rFonts w:ascii="Arial" w:hAnsi="Arial" w:cs="Arial"/>
        </w:rPr>
        <w:t xml:space="preserve"> without assessors or that</w:t>
      </w:r>
      <w:r w:rsidR="00240AC1">
        <w:rPr>
          <w:rFonts w:ascii="Arial" w:hAnsi="Arial" w:cs="Arial"/>
        </w:rPr>
        <w:t xml:space="preserve"> the</w:t>
      </w:r>
      <w:r w:rsidR="007033AB">
        <w:rPr>
          <w:rFonts w:ascii="Arial" w:hAnsi="Arial" w:cs="Arial"/>
        </w:rPr>
        <w:t xml:space="preserve"> assessors were summoned to be of assistance at the trial of the case in</w:t>
      </w:r>
      <w:r w:rsidR="00E75816">
        <w:rPr>
          <w:rFonts w:ascii="Arial" w:hAnsi="Arial" w:cs="Arial"/>
        </w:rPr>
        <w:t xml:space="preserve"> compliance with the section</w:t>
      </w:r>
      <w:r w:rsidR="00E75816" w:rsidRPr="00B50972">
        <w:rPr>
          <w:rFonts w:ascii="Arial" w:hAnsi="Arial" w:cs="Arial"/>
        </w:rPr>
        <w:t>.</w:t>
      </w:r>
      <w:r w:rsidR="00302D2B" w:rsidRPr="00B50972">
        <w:rPr>
          <w:rFonts w:ascii="Arial" w:hAnsi="Arial" w:cs="Arial"/>
        </w:rPr>
        <w:t xml:space="preserve"> </w:t>
      </w:r>
      <w:r w:rsidR="0042055E" w:rsidRPr="00B50972">
        <w:rPr>
          <w:rFonts w:ascii="Arial" w:hAnsi="Arial" w:cs="Arial"/>
        </w:rPr>
        <w:t xml:space="preserve">Thus </w:t>
      </w:r>
      <w:r w:rsidR="0042055E">
        <w:rPr>
          <w:rFonts w:ascii="Arial" w:hAnsi="Arial" w:cs="Arial"/>
        </w:rPr>
        <w:t>t</w:t>
      </w:r>
      <w:r w:rsidR="00994B47">
        <w:rPr>
          <w:rFonts w:ascii="Arial" w:hAnsi="Arial" w:cs="Arial"/>
        </w:rPr>
        <w:t>he</w:t>
      </w:r>
      <w:r w:rsidR="0042055E">
        <w:rPr>
          <w:rFonts w:ascii="Arial" w:hAnsi="Arial" w:cs="Arial"/>
        </w:rPr>
        <w:t>re is no record that the</w:t>
      </w:r>
      <w:r w:rsidR="00B50972">
        <w:rPr>
          <w:rFonts w:ascii="Arial" w:hAnsi="Arial" w:cs="Arial"/>
        </w:rPr>
        <w:t xml:space="preserve"> appellant </w:t>
      </w:r>
      <w:r w:rsidR="00994B47">
        <w:rPr>
          <w:rFonts w:ascii="Arial" w:hAnsi="Arial" w:cs="Arial"/>
        </w:rPr>
        <w:t>waiv</w:t>
      </w:r>
      <w:r w:rsidR="00994B47" w:rsidRPr="00B50972">
        <w:rPr>
          <w:rFonts w:ascii="Arial" w:hAnsi="Arial" w:cs="Arial"/>
        </w:rPr>
        <w:t>e</w:t>
      </w:r>
      <w:r w:rsidR="0042055E" w:rsidRPr="00B50972">
        <w:rPr>
          <w:rFonts w:ascii="Arial" w:hAnsi="Arial" w:cs="Arial"/>
        </w:rPr>
        <w:t>d</w:t>
      </w:r>
      <w:r w:rsidR="00994B47">
        <w:rPr>
          <w:rFonts w:ascii="Arial" w:hAnsi="Arial" w:cs="Arial"/>
        </w:rPr>
        <w:t xml:space="preserve"> his right to the appointment of the assessors. This misdirection is fatal and vitiates the proceedings.</w:t>
      </w:r>
    </w:p>
    <w:p w:rsidR="00CA3518" w:rsidRPr="0094642F" w:rsidRDefault="00CA3518" w:rsidP="0094642F">
      <w:pPr>
        <w:spacing w:line="360" w:lineRule="auto"/>
        <w:ind w:left="567" w:hanging="567"/>
        <w:jc w:val="both"/>
        <w:rPr>
          <w:rFonts w:ascii="Arial" w:hAnsi="Arial" w:cs="Arial"/>
        </w:rPr>
      </w:pPr>
    </w:p>
    <w:p w:rsidR="007F4F13" w:rsidRDefault="0094642F" w:rsidP="0094642F">
      <w:pPr>
        <w:spacing w:line="360" w:lineRule="auto"/>
        <w:ind w:left="567" w:hanging="567"/>
        <w:jc w:val="both"/>
        <w:rPr>
          <w:rFonts w:ascii="Arial" w:hAnsi="Arial" w:cs="Arial"/>
        </w:rPr>
      </w:pPr>
      <w:r>
        <w:rPr>
          <w:rFonts w:ascii="Arial" w:hAnsi="Arial" w:cs="Arial"/>
        </w:rPr>
        <w:t>[10]</w:t>
      </w:r>
      <w:r>
        <w:rPr>
          <w:rFonts w:ascii="Arial" w:hAnsi="Arial" w:cs="Arial"/>
        </w:rPr>
        <w:tab/>
      </w:r>
      <w:r w:rsidR="007F4F13" w:rsidRPr="0094642F">
        <w:rPr>
          <w:rFonts w:ascii="Arial" w:hAnsi="Arial" w:cs="Arial"/>
        </w:rPr>
        <w:t>In the circumstances, the appeal must succeed. I therefore make the following order:</w:t>
      </w:r>
    </w:p>
    <w:p w:rsidR="0094642F" w:rsidRDefault="0094642F" w:rsidP="0094642F">
      <w:pPr>
        <w:spacing w:line="360" w:lineRule="auto"/>
        <w:ind w:left="567" w:hanging="567"/>
        <w:jc w:val="both"/>
        <w:rPr>
          <w:rFonts w:ascii="Arial" w:hAnsi="Arial" w:cs="Arial"/>
          <w:b/>
          <w:u w:val="single"/>
        </w:rPr>
      </w:pPr>
      <w:r>
        <w:rPr>
          <w:rFonts w:ascii="Arial" w:hAnsi="Arial" w:cs="Arial"/>
          <w:b/>
          <w:u w:val="single"/>
        </w:rPr>
        <w:t>Order:</w:t>
      </w:r>
    </w:p>
    <w:p w:rsidR="0094642F" w:rsidRPr="0094642F" w:rsidRDefault="0094642F" w:rsidP="0094642F">
      <w:pPr>
        <w:spacing w:line="360" w:lineRule="auto"/>
        <w:ind w:left="567" w:hanging="567"/>
        <w:jc w:val="both"/>
        <w:rPr>
          <w:rFonts w:ascii="Arial" w:hAnsi="Arial" w:cs="Arial"/>
          <w:b/>
          <w:u w:val="single"/>
        </w:rPr>
      </w:pPr>
    </w:p>
    <w:p w:rsidR="007F4F13" w:rsidRPr="002A631E" w:rsidRDefault="007F4F13" w:rsidP="007F4F13">
      <w:pPr>
        <w:pStyle w:val="ListParagraph"/>
        <w:numPr>
          <w:ilvl w:val="0"/>
          <w:numId w:val="8"/>
        </w:numPr>
        <w:spacing w:line="360" w:lineRule="auto"/>
        <w:jc w:val="both"/>
        <w:rPr>
          <w:rFonts w:ascii="Arial" w:hAnsi="Arial" w:cs="Arial"/>
        </w:rPr>
      </w:pPr>
      <w:r w:rsidRPr="002A631E">
        <w:rPr>
          <w:rFonts w:ascii="Arial" w:hAnsi="Arial" w:cs="Arial"/>
        </w:rPr>
        <w:t>The appeal is upheld an</w:t>
      </w:r>
      <w:r w:rsidR="005E18AD">
        <w:rPr>
          <w:rFonts w:ascii="Arial" w:hAnsi="Arial" w:cs="Arial"/>
        </w:rPr>
        <w:t>d the conviction and sentence are</w:t>
      </w:r>
      <w:r w:rsidRPr="002A631E">
        <w:rPr>
          <w:rFonts w:ascii="Arial" w:hAnsi="Arial" w:cs="Arial"/>
        </w:rPr>
        <w:t xml:space="preserve"> set aside.</w:t>
      </w:r>
    </w:p>
    <w:p w:rsidR="0074371E" w:rsidRPr="002A631E" w:rsidRDefault="007F4F13" w:rsidP="007F4F13">
      <w:pPr>
        <w:pStyle w:val="ListParagraph"/>
        <w:numPr>
          <w:ilvl w:val="0"/>
          <w:numId w:val="8"/>
        </w:numPr>
        <w:spacing w:line="360" w:lineRule="auto"/>
        <w:jc w:val="both"/>
        <w:rPr>
          <w:rFonts w:ascii="Arial" w:hAnsi="Arial" w:cs="Arial"/>
        </w:rPr>
      </w:pPr>
      <w:r w:rsidRPr="002A631E">
        <w:rPr>
          <w:rFonts w:ascii="Arial" w:hAnsi="Arial" w:cs="Arial"/>
        </w:rPr>
        <w:lastRenderedPageBreak/>
        <w:t>The appellant is to be released from custody with immediate effect.</w:t>
      </w:r>
      <w:r w:rsidR="0074371E" w:rsidRPr="002A631E">
        <w:rPr>
          <w:rFonts w:ascii="Arial" w:hAnsi="Arial" w:cs="Arial"/>
        </w:rPr>
        <w:t xml:space="preserve"> </w:t>
      </w:r>
    </w:p>
    <w:p w:rsidR="002D3664" w:rsidRPr="002A631E" w:rsidRDefault="002D3664" w:rsidP="00F3703A">
      <w:pPr>
        <w:pStyle w:val="ListParagraph"/>
        <w:spacing w:line="360" w:lineRule="auto"/>
        <w:ind w:left="554"/>
        <w:jc w:val="both"/>
        <w:rPr>
          <w:rFonts w:ascii="Arial" w:hAnsi="Arial" w:cs="Arial"/>
        </w:rPr>
      </w:pPr>
    </w:p>
    <w:p w:rsidR="002D3664" w:rsidRDefault="002D3664" w:rsidP="00F3703A">
      <w:pPr>
        <w:pStyle w:val="ListParagraph"/>
        <w:spacing w:line="360" w:lineRule="auto"/>
        <w:ind w:left="554"/>
        <w:jc w:val="both"/>
        <w:rPr>
          <w:rFonts w:ascii="Arial" w:hAnsi="Arial" w:cs="Arial"/>
          <w:sz w:val="28"/>
          <w:szCs w:val="28"/>
        </w:rPr>
      </w:pPr>
    </w:p>
    <w:p w:rsidR="00056E59" w:rsidRDefault="00056E59" w:rsidP="00056E59">
      <w:pPr>
        <w:pStyle w:val="ListParagraph"/>
        <w:spacing w:line="360" w:lineRule="auto"/>
        <w:ind w:left="554"/>
        <w:jc w:val="both"/>
        <w:rPr>
          <w:rFonts w:ascii="Arial" w:hAnsi="Arial" w:cs="Arial"/>
          <w:sz w:val="28"/>
          <w:szCs w:val="28"/>
        </w:rPr>
      </w:pPr>
    </w:p>
    <w:p w:rsidR="002C5414" w:rsidRDefault="002C5414" w:rsidP="00056E59">
      <w:pPr>
        <w:pStyle w:val="ListParagraph"/>
        <w:spacing w:line="360" w:lineRule="auto"/>
        <w:ind w:left="554"/>
        <w:jc w:val="both"/>
        <w:rPr>
          <w:rFonts w:ascii="Arial" w:hAnsi="Arial" w:cs="Arial"/>
          <w:sz w:val="28"/>
          <w:szCs w:val="28"/>
        </w:rPr>
      </w:pPr>
    </w:p>
    <w:p w:rsidR="005835FE" w:rsidRDefault="002D3664" w:rsidP="002B369A">
      <w:pPr>
        <w:pStyle w:val="ListParagraph"/>
        <w:ind w:left="5761"/>
        <w:rPr>
          <w:rFonts w:ascii="Arial" w:hAnsi="Arial" w:cs="Arial"/>
          <w:sz w:val="28"/>
          <w:szCs w:val="28"/>
        </w:rPr>
      </w:pPr>
      <w:r>
        <w:rPr>
          <w:rFonts w:ascii="Arial" w:hAnsi="Arial" w:cs="Arial"/>
          <w:sz w:val="28"/>
          <w:szCs w:val="28"/>
        </w:rPr>
        <w:t>___</w:t>
      </w:r>
      <w:r w:rsidR="005835FE">
        <w:rPr>
          <w:rFonts w:ascii="Arial" w:hAnsi="Arial" w:cs="Arial"/>
          <w:sz w:val="28"/>
          <w:szCs w:val="28"/>
        </w:rPr>
        <w:t>______________</w:t>
      </w:r>
    </w:p>
    <w:p w:rsidR="005835FE" w:rsidRPr="00C20DEE" w:rsidRDefault="00E5481E" w:rsidP="007E61BB">
      <w:pPr>
        <w:pStyle w:val="ListParagraph"/>
        <w:ind w:left="5761"/>
        <w:jc w:val="right"/>
        <w:rPr>
          <w:rFonts w:ascii="Arial" w:hAnsi="Arial" w:cs="Arial"/>
          <w:b/>
        </w:rPr>
      </w:pPr>
      <w:r w:rsidRPr="00C20DEE">
        <w:rPr>
          <w:rFonts w:ascii="Arial" w:hAnsi="Arial" w:cs="Arial"/>
          <w:b/>
        </w:rPr>
        <w:t xml:space="preserve">         </w:t>
      </w:r>
    </w:p>
    <w:p w:rsidR="005835FE" w:rsidRPr="002B369A" w:rsidRDefault="002B369A" w:rsidP="005B271F">
      <w:pPr>
        <w:spacing w:line="360" w:lineRule="auto"/>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B369A">
        <w:rPr>
          <w:rFonts w:ascii="Arial" w:hAnsi="Arial" w:cs="Arial"/>
          <w:b/>
          <w:bCs/>
        </w:rPr>
        <w:t>MHLAMBI J</w:t>
      </w:r>
    </w:p>
    <w:p w:rsidR="005835FE" w:rsidRPr="00C20DEE" w:rsidRDefault="005835FE" w:rsidP="005B271F">
      <w:pPr>
        <w:spacing w:line="360" w:lineRule="auto"/>
        <w:jc w:val="both"/>
        <w:rPr>
          <w:rFonts w:ascii="Arial" w:hAnsi="Arial" w:cs="Arial"/>
        </w:rPr>
      </w:pPr>
    </w:p>
    <w:p w:rsidR="005835FE" w:rsidRPr="00C20DEE" w:rsidRDefault="005835FE" w:rsidP="005B271F">
      <w:pPr>
        <w:spacing w:line="360" w:lineRule="auto"/>
        <w:jc w:val="both"/>
        <w:rPr>
          <w:rFonts w:ascii="Arial" w:hAnsi="Arial" w:cs="Arial"/>
        </w:rPr>
      </w:pPr>
    </w:p>
    <w:p w:rsidR="005B271F" w:rsidRPr="00C20DEE" w:rsidRDefault="005B271F" w:rsidP="005B271F">
      <w:pPr>
        <w:spacing w:line="360" w:lineRule="auto"/>
        <w:jc w:val="both"/>
        <w:rPr>
          <w:rFonts w:ascii="Arial" w:hAnsi="Arial" w:cs="Arial"/>
        </w:rPr>
      </w:pPr>
      <w:r w:rsidRPr="00C20DEE">
        <w:rPr>
          <w:rFonts w:ascii="Arial" w:hAnsi="Arial" w:cs="Arial"/>
          <w:i/>
        </w:rPr>
        <w:t>I concur</w:t>
      </w:r>
      <w:r w:rsidRPr="00C20DEE">
        <w:rPr>
          <w:rFonts w:ascii="Arial" w:hAnsi="Arial" w:cs="Arial"/>
        </w:rPr>
        <w:t>.</w:t>
      </w:r>
    </w:p>
    <w:p w:rsidR="005B271F" w:rsidRPr="00C20DEE" w:rsidRDefault="005B271F" w:rsidP="005B271F">
      <w:pPr>
        <w:spacing w:line="360" w:lineRule="auto"/>
        <w:jc w:val="both"/>
        <w:rPr>
          <w:rFonts w:ascii="Arial" w:hAnsi="Arial" w:cs="Arial"/>
        </w:rPr>
      </w:pPr>
    </w:p>
    <w:p w:rsidR="002B369A" w:rsidRDefault="005B271F" w:rsidP="002B369A">
      <w:pPr>
        <w:jc w:val="right"/>
        <w:rPr>
          <w:rFonts w:ascii="Arial" w:hAnsi="Arial" w:cs="Arial"/>
        </w:rPr>
      </w:pPr>
      <w:r w:rsidRPr="00C20DEE">
        <w:rPr>
          <w:rFonts w:ascii="Arial" w:hAnsi="Arial" w:cs="Arial"/>
        </w:rPr>
        <w:tab/>
      </w:r>
      <w:r w:rsidRPr="00C20DEE">
        <w:rPr>
          <w:rFonts w:ascii="Arial" w:hAnsi="Arial" w:cs="Arial"/>
        </w:rPr>
        <w:tab/>
      </w:r>
      <w:r w:rsidRPr="00C20DEE">
        <w:rPr>
          <w:rFonts w:ascii="Arial" w:hAnsi="Arial" w:cs="Arial"/>
        </w:rPr>
        <w:tab/>
      </w:r>
      <w:r w:rsidRPr="00C20DEE">
        <w:rPr>
          <w:rFonts w:ascii="Arial" w:hAnsi="Arial" w:cs="Arial"/>
        </w:rPr>
        <w:tab/>
      </w:r>
      <w:r w:rsidRPr="00C20DEE">
        <w:rPr>
          <w:rFonts w:ascii="Arial" w:hAnsi="Arial" w:cs="Arial"/>
        </w:rPr>
        <w:tab/>
      </w:r>
      <w:r w:rsidRPr="00C20DEE">
        <w:rPr>
          <w:rFonts w:ascii="Arial" w:hAnsi="Arial" w:cs="Arial"/>
        </w:rPr>
        <w:tab/>
      </w:r>
      <w:r w:rsidRPr="00C20DEE">
        <w:rPr>
          <w:rFonts w:ascii="Arial" w:hAnsi="Arial" w:cs="Arial"/>
        </w:rPr>
        <w:tab/>
      </w:r>
    </w:p>
    <w:p w:rsidR="002B369A" w:rsidRDefault="002B369A" w:rsidP="002B369A">
      <w:pPr>
        <w:jc w:val="right"/>
        <w:rPr>
          <w:rFonts w:ascii="Arial" w:hAnsi="Arial" w:cs="Arial"/>
        </w:rPr>
      </w:pPr>
      <w:r>
        <w:rPr>
          <w:rFonts w:ascii="Arial" w:hAnsi="Arial" w:cs="Arial"/>
        </w:rPr>
        <w:tab/>
      </w:r>
      <w:r>
        <w:rPr>
          <w:rFonts w:ascii="Arial" w:hAnsi="Arial" w:cs="Arial"/>
        </w:rPr>
        <w:tab/>
        <w:t>_______________________</w:t>
      </w:r>
    </w:p>
    <w:p w:rsidR="002B369A" w:rsidRPr="002B369A" w:rsidRDefault="002B369A" w:rsidP="002B369A">
      <w:pPr>
        <w:jc w:val="center"/>
        <w:rPr>
          <w:rFonts w:ascii="Arial" w:hAnsi="Arial" w:cs="Arial"/>
          <w:b/>
          <w:bCs/>
        </w:rPr>
      </w:pPr>
      <w:r>
        <w:rPr>
          <w:rFonts w:ascii="Arial" w:hAnsi="Arial" w:cs="Arial"/>
        </w:rPr>
        <w:t xml:space="preserve">                                                                                       </w:t>
      </w:r>
      <w:r>
        <w:rPr>
          <w:rFonts w:ascii="Arial" w:hAnsi="Arial" w:cs="Arial"/>
          <w:b/>
          <w:bCs/>
        </w:rPr>
        <w:t>NAIDOO J</w:t>
      </w:r>
    </w:p>
    <w:p w:rsidR="005B271F" w:rsidRPr="00C20DEE" w:rsidRDefault="002B369A" w:rsidP="002B369A">
      <w:pPr>
        <w:jc w:val="righ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B271F" w:rsidRPr="00C20DEE">
        <w:rPr>
          <w:rFonts w:ascii="Arial" w:hAnsi="Arial" w:cs="Arial"/>
          <w:b/>
        </w:rPr>
        <w:tab/>
      </w:r>
    </w:p>
    <w:p w:rsidR="00056E59" w:rsidRDefault="00056E59" w:rsidP="00056E59">
      <w:pPr>
        <w:pStyle w:val="ListParagraph"/>
        <w:spacing w:line="360" w:lineRule="auto"/>
        <w:ind w:left="554"/>
        <w:jc w:val="both"/>
        <w:rPr>
          <w:rFonts w:ascii="Arial" w:hAnsi="Arial" w:cs="Arial"/>
        </w:rPr>
      </w:pPr>
    </w:p>
    <w:p w:rsidR="002B369A" w:rsidRDefault="002B369A" w:rsidP="00056E59">
      <w:pPr>
        <w:pStyle w:val="ListParagraph"/>
        <w:spacing w:line="360" w:lineRule="auto"/>
        <w:ind w:left="554"/>
        <w:jc w:val="both"/>
        <w:rPr>
          <w:rFonts w:ascii="Arial" w:hAnsi="Arial" w:cs="Arial"/>
        </w:rPr>
      </w:pPr>
    </w:p>
    <w:p w:rsidR="002B369A" w:rsidRDefault="002B369A" w:rsidP="00056E59">
      <w:pPr>
        <w:pStyle w:val="ListParagraph"/>
        <w:spacing w:line="360" w:lineRule="auto"/>
        <w:ind w:left="554"/>
        <w:jc w:val="both"/>
        <w:rPr>
          <w:rFonts w:ascii="Arial" w:hAnsi="Arial" w:cs="Arial"/>
        </w:rPr>
      </w:pPr>
    </w:p>
    <w:p w:rsidR="002B369A" w:rsidRDefault="002B369A" w:rsidP="00056E59">
      <w:pPr>
        <w:pStyle w:val="ListParagraph"/>
        <w:spacing w:line="360" w:lineRule="auto"/>
        <w:ind w:left="554"/>
        <w:jc w:val="both"/>
        <w:rPr>
          <w:rFonts w:ascii="Arial" w:hAnsi="Arial" w:cs="Arial"/>
        </w:rPr>
      </w:pPr>
    </w:p>
    <w:p w:rsidR="002B369A" w:rsidRDefault="002B369A" w:rsidP="00056E59">
      <w:pPr>
        <w:pStyle w:val="ListParagraph"/>
        <w:spacing w:line="360" w:lineRule="auto"/>
        <w:ind w:left="554"/>
        <w:jc w:val="both"/>
        <w:rPr>
          <w:rFonts w:ascii="Arial" w:hAnsi="Arial" w:cs="Arial"/>
        </w:rPr>
      </w:pPr>
    </w:p>
    <w:p w:rsidR="002B369A" w:rsidRDefault="002B369A" w:rsidP="00056E59">
      <w:pPr>
        <w:pStyle w:val="ListParagraph"/>
        <w:spacing w:line="360" w:lineRule="auto"/>
        <w:ind w:left="554"/>
        <w:jc w:val="both"/>
        <w:rPr>
          <w:rFonts w:ascii="Arial" w:hAnsi="Arial" w:cs="Arial"/>
        </w:rPr>
      </w:pPr>
    </w:p>
    <w:p w:rsidR="002B369A" w:rsidRDefault="002B369A" w:rsidP="00056E59">
      <w:pPr>
        <w:pStyle w:val="ListParagraph"/>
        <w:spacing w:line="360" w:lineRule="auto"/>
        <w:ind w:left="554"/>
        <w:jc w:val="both"/>
        <w:rPr>
          <w:rFonts w:ascii="Arial" w:hAnsi="Arial" w:cs="Arial"/>
        </w:rPr>
      </w:pPr>
    </w:p>
    <w:p w:rsidR="002B369A" w:rsidRDefault="002B369A" w:rsidP="00056E59">
      <w:pPr>
        <w:pStyle w:val="ListParagraph"/>
        <w:spacing w:line="360" w:lineRule="auto"/>
        <w:ind w:left="554"/>
        <w:jc w:val="both"/>
        <w:rPr>
          <w:rFonts w:ascii="Arial" w:hAnsi="Arial" w:cs="Arial"/>
        </w:rPr>
      </w:pPr>
    </w:p>
    <w:p w:rsidR="002B369A" w:rsidRDefault="002B369A" w:rsidP="00056E59">
      <w:pPr>
        <w:pStyle w:val="ListParagraph"/>
        <w:spacing w:line="360" w:lineRule="auto"/>
        <w:ind w:left="554"/>
        <w:jc w:val="both"/>
        <w:rPr>
          <w:rFonts w:ascii="Arial" w:hAnsi="Arial" w:cs="Arial"/>
        </w:rPr>
      </w:pPr>
    </w:p>
    <w:p w:rsidR="002B369A" w:rsidRDefault="002B369A" w:rsidP="00056E59">
      <w:pPr>
        <w:pStyle w:val="ListParagraph"/>
        <w:spacing w:line="360" w:lineRule="auto"/>
        <w:ind w:left="554"/>
        <w:jc w:val="both"/>
        <w:rPr>
          <w:rFonts w:ascii="Arial" w:hAnsi="Arial" w:cs="Arial"/>
        </w:rPr>
      </w:pPr>
    </w:p>
    <w:p w:rsidR="002B369A" w:rsidRDefault="002B369A" w:rsidP="00056E59">
      <w:pPr>
        <w:pStyle w:val="ListParagraph"/>
        <w:spacing w:line="360" w:lineRule="auto"/>
        <w:ind w:left="554"/>
        <w:jc w:val="both"/>
        <w:rPr>
          <w:rFonts w:ascii="Arial" w:hAnsi="Arial" w:cs="Arial"/>
        </w:rPr>
      </w:pPr>
    </w:p>
    <w:p w:rsidR="002B369A" w:rsidRDefault="002B369A" w:rsidP="00056E59">
      <w:pPr>
        <w:pStyle w:val="ListParagraph"/>
        <w:spacing w:line="360" w:lineRule="auto"/>
        <w:ind w:left="554"/>
        <w:jc w:val="both"/>
        <w:rPr>
          <w:rFonts w:ascii="Arial" w:hAnsi="Arial" w:cs="Arial"/>
        </w:rPr>
      </w:pPr>
    </w:p>
    <w:p w:rsidR="002B369A" w:rsidRDefault="002B369A" w:rsidP="00056E59">
      <w:pPr>
        <w:pStyle w:val="ListParagraph"/>
        <w:spacing w:line="360" w:lineRule="auto"/>
        <w:ind w:left="554"/>
        <w:jc w:val="both"/>
        <w:rPr>
          <w:rFonts w:ascii="Arial" w:hAnsi="Arial" w:cs="Arial"/>
        </w:rPr>
      </w:pPr>
    </w:p>
    <w:p w:rsidR="002B369A" w:rsidRDefault="002B369A" w:rsidP="00056E59">
      <w:pPr>
        <w:pStyle w:val="ListParagraph"/>
        <w:spacing w:line="360" w:lineRule="auto"/>
        <w:ind w:left="554"/>
        <w:jc w:val="both"/>
        <w:rPr>
          <w:rFonts w:ascii="Arial" w:hAnsi="Arial" w:cs="Arial"/>
        </w:rPr>
      </w:pPr>
    </w:p>
    <w:p w:rsidR="002B369A" w:rsidRDefault="002B369A" w:rsidP="00056E59">
      <w:pPr>
        <w:pStyle w:val="ListParagraph"/>
        <w:spacing w:line="360" w:lineRule="auto"/>
        <w:ind w:left="554"/>
        <w:jc w:val="both"/>
        <w:rPr>
          <w:rFonts w:ascii="Arial" w:hAnsi="Arial" w:cs="Arial"/>
        </w:rPr>
      </w:pPr>
    </w:p>
    <w:p w:rsidR="002B369A" w:rsidRDefault="002B369A" w:rsidP="00056E59">
      <w:pPr>
        <w:pStyle w:val="ListParagraph"/>
        <w:spacing w:line="360" w:lineRule="auto"/>
        <w:ind w:left="554"/>
        <w:jc w:val="both"/>
        <w:rPr>
          <w:rFonts w:ascii="Arial" w:hAnsi="Arial" w:cs="Arial"/>
        </w:rPr>
      </w:pPr>
    </w:p>
    <w:p w:rsidR="002B369A" w:rsidRDefault="002B369A" w:rsidP="00056E59">
      <w:pPr>
        <w:pStyle w:val="ListParagraph"/>
        <w:spacing w:line="360" w:lineRule="auto"/>
        <w:ind w:left="554"/>
        <w:jc w:val="both"/>
        <w:rPr>
          <w:rFonts w:ascii="Arial" w:hAnsi="Arial" w:cs="Arial"/>
        </w:rPr>
      </w:pPr>
    </w:p>
    <w:p w:rsidR="002B369A" w:rsidRDefault="002B369A" w:rsidP="00056E59">
      <w:pPr>
        <w:pStyle w:val="ListParagraph"/>
        <w:spacing w:line="360" w:lineRule="auto"/>
        <w:ind w:left="554"/>
        <w:jc w:val="both"/>
        <w:rPr>
          <w:rFonts w:ascii="Arial" w:hAnsi="Arial" w:cs="Arial"/>
        </w:rPr>
      </w:pPr>
    </w:p>
    <w:p w:rsidR="002B369A" w:rsidRPr="00C20DEE" w:rsidRDefault="002B369A" w:rsidP="00056E59">
      <w:pPr>
        <w:pStyle w:val="ListParagraph"/>
        <w:spacing w:line="360" w:lineRule="auto"/>
        <w:ind w:left="554"/>
        <w:jc w:val="both"/>
        <w:rPr>
          <w:rFonts w:ascii="Arial" w:hAnsi="Arial" w:cs="Arial"/>
        </w:rPr>
      </w:pPr>
    </w:p>
    <w:p w:rsidR="00E5481E" w:rsidRPr="00C20DEE" w:rsidRDefault="00E5481E" w:rsidP="002F71C5">
      <w:pPr>
        <w:spacing w:line="360" w:lineRule="auto"/>
        <w:ind w:left="851" w:hanging="851"/>
        <w:rPr>
          <w:rFonts w:ascii="Arial" w:hAnsi="Arial" w:cs="Arial"/>
          <w:color w:val="000000" w:themeColor="text1"/>
        </w:rPr>
      </w:pPr>
    </w:p>
    <w:p w:rsidR="002D3664" w:rsidRPr="00C20DEE" w:rsidRDefault="002D3664" w:rsidP="002F71C5">
      <w:pPr>
        <w:spacing w:line="360" w:lineRule="auto"/>
        <w:ind w:left="851" w:hanging="851"/>
        <w:rPr>
          <w:rFonts w:ascii="Arial" w:hAnsi="Arial" w:cs="Arial"/>
          <w:color w:val="000000" w:themeColor="text1"/>
        </w:rPr>
      </w:pPr>
    </w:p>
    <w:p w:rsidR="00E5549C" w:rsidRPr="00C20DEE" w:rsidRDefault="005960F0" w:rsidP="00E5549C">
      <w:pPr>
        <w:spacing w:line="360" w:lineRule="auto"/>
        <w:ind w:left="851" w:hanging="851"/>
        <w:rPr>
          <w:rFonts w:ascii="Arial" w:hAnsi="Arial" w:cs="Arial"/>
          <w:color w:val="000000" w:themeColor="text1"/>
        </w:rPr>
      </w:pPr>
      <w:r w:rsidRPr="00C20DEE">
        <w:rPr>
          <w:rFonts w:ascii="Arial" w:hAnsi="Arial" w:cs="Arial"/>
          <w:color w:val="000000" w:themeColor="text1"/>
        </w:rPr>
        <w:t>On behalf of appellant:</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261FF7" w:rsidRPr="00C20DEE">
        <w:rPr>
          <w:rFonts w:ascii="Arial" w:hAnsi="Arial" w:cs="Arial"/>
          <w:color w:val="000000" w:themeColor="text1"/>
        </w:rPr>
        <w:t>Adv</w:t>
      </w:r>
      <w:r w:rsidR="00786C0C" w:rsidRPr="00C20DEE">
        <w:rPr>
          <w:rFonts w:ascii="Arial" w:hAnsi="Arial" w:cs="Arial"/>
          <w:color w:val="000000" w:themeColor="text1"/>
        </w:rPr>
        <w:t xml:space="preserve"> </w:t>
      </w:r>
      <w:r w:rsidR="00C20DEE" w:rsidRPr="00C20DEE">
        <w:rPr>
          <w:rFonts w:ascii="Arial" w:hAnsi="Arial" w:cs="Arial"/>
          <w:color w:val="000000" w:themeColor="text1"/>
        </w:rPr>
        <w:t>R Van Wyk</w:t>
      </w:r>
    </w:p>
    <w:p w:rsidR="00E5549C" w:rsidRDefault="005960F0" w:rsidP="002F71C5">
      <w:pPr>
        <w:tabs>
          <w:tab w:val="left" w:pos="2977"/>
        </w:tabs>
        <w:spacing w:line="360" w:lineRule="auto"/>
        <w:ind w:left="851" w:hanging="851"/>
        <w:rPr>
          <w:rFonts w:ascii="Arial" w:hAnsi="Arial" w:cs="Arial"/>
          <w:color w:val="000000" w:themeColor="text1"/>
        </w:rPr>
      </w:pPr>
      <w:r w:rsidRPr="00C20DEE">
        <w:rPr>
          <w:rFonts w:ascii="Arial" w:hAnsi="Arial" w:cs="Arial"/>
          <w:color w:val="000000" w:themeColor="text1"/>
        </w:rPr>
        <w:t>Instructed by:</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E5549C">
        <w:rPr>
          <w:rFonts w:ascii="Arial" w:hAnsi="Arial" w:cs="Arial"/>
          <w:color w:val="000000" w:themeColor="text1"/>
        </w:rPr>
        <w:t>Vermaak &amp; Siecker Attorneys</w:t>
      </w:r>
    </w:p>
    <w:p w:rsidR="005960F0" w:rsidRPr="00C20DEE" w:rsidRDefault="00E5549C" w:rsidP="002F71C5">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C/O</w:t>
      </w:r>
      <w:r w:rsidR="00F24BE3" w:rsidRPr="00C20DEE">
        <w:rPr>
          <w:rFonts w:ascii="Arial" w:hAnsi="Arial" w:cs="Arial"/>
          <w:color w:val="000000" w:themeColor="text1"/>
        </w:rPr>
        <w:t xml:space="preserve"> </w:t>
      </w:r>
      <w:r w:rsidR="00C20DEE" w:rsidRPr="00C20DEE">
        <w:rPr>
          <w:rFonts w:ascii="Arial" w:hAnsi="Arial" w:cs="Arial"/>
          <w:color w:val="000000" w:themeColor="text1"/>
        </w:rPr>
        <w:t>Adriaan Janse Van Rensburg Attorneys</w:t>
      </w:r>
    </w:p>
    <w:p w:rsidR="00C20DEE" w:rsidRPr="00C20DEE" w:rsidRDefault="00C20DEE" w:rsidP="002F71C5">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sidRPr="00C20DEE">
        <w:rPr>
          <w:rFonts w:ascii="Arial" w:hAnsi="Arial" w:cs="Arial"/>
          <w:color w:val="000000" w:themeColor="text1"/>
        </w:rPr>
        <w:t>07 Collins</w:t>
      </w:r>
      <w:r w:rsidR="002B369A">
        <w:rPr>
          <w:rFonts w:ascii="Arial" w:hAnsi="Arial" w:cs="Arial"/>
          <w:color w:val="000000" w:themeColor="text1"/>
        </w:rPr>
        <w:t>w</w:t>
      </w:r>
      <w:r w:rsidRPr="00C20DEE">
        <w:rPr>
          <w:rFonts w:ascii="Arial" w:hAnsi="Arial" w:cs="Arial"/>
          <w:color w:val="000000" w:themeColor="text1"/>
        </w:rPr>
        <w:t>eg. 2</w:t>
      </w:r>
      <w:r w:rsidRPr="00C20DEE">
        <w:rPr>
          <w:rFonts w:ascii="Arial" w:hAnsi="Arial" w:cs="Arial"/>
          <w:color w:val="000000" w:themeColor="text1"/>
          <w:vertAlign w:val="superscript"/>
        </w:rPr>
        <w:t>nd</w:t>
      </w:r>
      <w:r w:rsidRPr="00C20DEE">
        <w:rPr>
          <w:rFonts w:ascii="Arial" w:hAnsi="Arial" w:cs="Arial"/>
          <w:color w:val="000000" w:themeColor="text1"/>
        </w:rPr>
        <w:t xml:space="preserve"> Floor Linde Street </w:t>
      </w:r>
    </w:p>
    <w:p w:rsidR="00F24BE3" w:rsidRPr="00C20DEE" w:rsidRDefault="00F24BE3" w:rsidP="002F71C5">
      <w:pPr>
        <w:tabs>
          <w:tab w:val="left" w:pos="2977"/>
        </w:tabs>
        <w:spacing w:line="360" w:lineRule="auto"/>
        <w:ind w:left="851" w:hanging="851"/>
        <w:rPr>
          <w:rFonts w:ascii="Arial" w:hAnsi="Arial" w:cs="Arial"/>
          <w:color w:val="000000" w:themeColor="text1"/>
        </w:rPr>
      </w:pPr>
      <w:r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Pr="00C20DEE">
        <w:rPr>
          <w:rFonts w:ascii="Arial" w:hAnsi="Arial" w:cs="Arial"/>
          <w:color w:val="000000" w:themeColor="text1"/>
        </w:rPr>
        <w:t xml:space="preserve">Bloemfontein </w:t>
      </w:r>
    </w:p>
    <w:p w:rsidR="005960F0" w:rsidRPr="00C20DEE" w:rsidRDefault="005960F0" w:rsidP="002F71C5">
      <w:pPr>
        <w:spacing w:line="360" w:lineRule="auto"/>
        <w:ind w:left="851" w:hanging="851"/>
        <w:rPr>
          <w:rFonts w:ascii="Arial" w:hAnsi="Arial" w:cs="Arial"/>
          <w:color w:val="000000" w:themeColor="text1"/>
        </w:rPr>
      </w:pPr>
    </w:p>
    <w:p w:rsidR="005960F0" w:rsidRPr="00C20DEE" w:rsidRDefault="005960F0" w:rsidP="007C2356">
      <w:pPr>
        <w:ind w:left="851" w:hanging="851"/>
        <w:rPr>
          <w:rFonts w:ascii="Arial" w:hAnsi="Arial" w:cs="Arial"/>
          <w:color w:val="000000" w:themeColor="text1"/>
        </w:rPr>
      </w:pPr>
    </w:p>
    <w:p w:rsidR="00E5481E" w:rsidRPr="00C20DEE" w:rsidRDefault="00E5481E" w:rsidP="007C2356">
      <w:pPr>
        <w:ind w:left="851" w:hanging="851"/>
        <w:rPr>
          <w:rFonts w:ascii="Arial" w:hAnsi="Arial" w:cs="Arial"/>
          <w:color w:val="000000" w:themeColor="text1"/>
        </w:rPr>
      </w:pPr>
    </w:p>
    <w:p w:rsidR="00E5481E" w:rsidRPr="00C20DEE" w:rsidRDefault="00E5481E" w:rsidP="007C2356">
      <w:pPr>
        <w:ind w:left="851" w:hanging="851"/>
        <w:rPr>
          <w:rFonts w:ascii="Arial" w:hAnsi="Arial" w:cs="Arial"/>
          <w:color w:val="000000" w:themeColor="text1"/>
        </w:rPr>
      </w:pPr>
    </w:p>
    <w:p w:rsidR="00E5481E" w:rsidRPr="00C20DEE" w:rsidRDefault="00E5481E" w:rsidP="007C2356">
      <w:pPr>
        <w:ind w:left="851" w:hanging="851"/>
        <w:rPr>
          <w:rFonts w:ascii="Arial" w:hAnsi="Arial" w:cs="Arial"/>
          <w:color w:val="000000" w:themeColor="text1"/>
        </w:rPr>
      </w:pPr>
    </w:p>
    <w:p w:rsidR="005960F0" w:rsidRPr="00C20DEE" w:rsidRDefault="005960F0" w:rsidP="002F71C5">
      <w:pPr>
        <w:spacing w:line="360" w:lineRule="auto"/>
        <w:ind w:left="851" w:hanging="851"/>
        <w:rPr>
          <w:rFonts w:ascii="Arial" w:hAnsi="Arial" w:cs="Arial"/>
          <w:color w:val="000000" w:themeColor="text1"/>
        </w:rPr>
      </w:pPr>
      <w:r w:rsidRPr="00C20DEE">
        <w:rPr>
          <w:rFonts w:ascii="Arial" w:hAnsi="Arial" w:cs="Arial"/>
          <w:color w:val="000000" w:themeColor="text1"/>
        </w:rPr>
        <w:t>On behalf of respondent:</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F24BE3" w:rsidRPr="00C20DEE">
        <w:rPr>
          <w:rFonts w:ascii="Arial" w:hAnsi="Arial" w:cs="Arial"/>
          <w:color w:val="000000" w:themeColor="text1"/>
        </w:rPr>
        <w:t xml:space="preserve">Adv. </w:t>
      </w:r>
      <w:r w:rsidR="003B1CBE" w:rsidRPr="00C20DEE">
        <w:rPr>
          <w:rFonts w:ascii="Arial" w:hAnsi="Arial" w:cs="Arial"/>
          <w:color w:val="000000" w:themeColor="text1"/>
        </w:rPr>
        <w:t>T Sekhonyana</w:t>
      </w:r>
    </w:p>
    <w:p w:rsidR="00F24BE3" w:rsidRPr="00C20DEE" w:rsidRDefault="005960F0" w:rsidP="002F71C5">
      <w:pPr>
        <w:spacing w:line="360" w:lineRule="auto"/>
        <w:rPr>
          <w:rFonts w:ascii="Arial" w:hAnsi="Arial" w:cs="Arial"/>
          <w:color w:val="000000" w:themeColor="text1"/>
        </w:rPr>
      </w:pPr>
      <w:r w:rsidRPr="00C20DEE">
        <w:rPr>
          <w:rFonts w:ascii="Arial" w:hAnsi="Arial" w:cs="Arial"/>
          <w:color w:val="000000" w:themeColor="text1"/>
        </w:rPr>
        <w:t>Instructed by:</w:t>
      </w:r>
      <w:r w:rsidRPr="00C20DEE">
        <w:rPr>
          <w:rFonts w:ascii="Arial" w:hAnsi="Arial" w:cs="Arial"/>
          <w:color w:val="000000" w:themeColor="text1"/>
        </w:rPr>
        <w:tab/>
      </w:r>
      <w:r w:rsidRPr="00C20DEE">
        <w:rPr>
          <w:rFonts w:ascii="Arial" w:hAnsi="Arial" w:cs="Arial"/>
          <w:color w:val="000000" w:themeColor="text1"/>
        </w:rPr>
        <w:tab/>
      </w:r>
      <w:r w:rsidR="00F24BE3" w:rsidRPr="00C20DEE">
        <w:rPr>
          <w:rFonts w:ascii="Arial" w:hAnsi="Arial" w:cs="Arial"/>
          <w:color w:val="000000" w:themeColor="text1"/>
        </w:rPr>
        <w:t>The Office of the DPP</w:t>
      </w:r>
    </w:p>
    <w:p w:rsidR="005960F0" w:rsidRPr="00C20DEE" w:rsidRDefault="00F24BE3" w:rsidP="002F71C5">
      <w:pPr>
        <w:spacing w:line="360" w:lineRule="auto"/>
        <w:rPr>
          <w:rFonts w:ascii="Arial" w:hAnsi="Arial" w:cs="Arial"/>
          <w:color w:val="000000" w:themeColor="text1"/>
        </w:rPr>
      </w:pPr>
      <w:r w:rsidRPr="00C20DEE">
        <w:rPr>
          <w:rFonts w:ascii="Arial" w:hAnsi="Arial" w:cs="Arial"/>
          <w:color w:val="000000" w:themeColor="text1"/>
        </w:rPr>
        <w:t xml:space="preserve">                                           BLOEMFONTEIN</w:t>
      </w:r>
      <w:r w:rsidR="005960F0" w:rsidRPr="00C20DEE">
        <w:rPr>
          <w:rFonts w:ascii="Arial" w:hAnsi="Arial" w:cs="Arial"/>
          <w:color w:val="000000" w:themeColor="text1"/>
        </w:rPr>
        <w:tab/>
      </w:r>
      <w:r w:rsidR="005960F0" w:rsidRPr="00C20DEE">
        <w:rPr>
          <w:rFonts w:ascii="Arial" w:hAnsi="Arial" w:cs="Arial"/>
          <w:color w:val="000000" w:themeColor="text1"/>
        </w:rPr>
        <w:tab/>
      </w:r>
      <w:r w:rsidR="005960F0" w:rsidRPr="00C20DEE">
        <w:rPr>
          <w:rFonts w:ascii="Arial" w:hAnsi="Arial" w:cs="Arial"/>
          <w:color w:val="000000" w:themeColor="text1"/>
        </w:rPr>
        <w:tab/>
      </w:r>
    </w:p>
    <w:p w:rsidR="005960F0" w:rsidRPr="00AE0369" w:rsidRDefault="005960F0" w:rsidP="003F2617">
      <w:pPr>
        <w:spacing w:line="360" w:lineRule="auto"/>
        <w:ind w:left="851" w:hanging="851"/>
        <w:jc w:val="both"/>
        <w:rPr>
          <w:rFonts w:ascii="Arial" w:hAnsi="Arial" w:cs="Arial"/>
          <w:sz w:val="28"/>
          <w:szCs w:val="28"/>
        </w:rPr>
      </w:pPr>
    </w:p>
    <w:sectPr w:rsidR="005960F0" w:rsidRPr="00AE0369" w:rsidSect="002D3664">
      <w:headerReference w:type="default" r:id="rId1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BCD" w:rsidRDefault="00671BCD" w:rsidP="00DA5395">
      <w:r>
        <w:separator/>
      </w:r>
    </w:p>
  </w:endnote>
  <w:endnote w:type="continuationSeparator" w:id="0">
    <w:p w:rsidR="00671BCD" w:rsidRDefault="00671BCD" w:rsidP="00DA5395">
      <w:r>
        <w:continuationSeparator/>
      </w:r>
    </w:p>
  </w:endnote>
  <w:endnote w:type="continuationNotice" w:id="1">
    <w:p w:rsidR="00671BCD" w:rsidRDefault="00671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BCD" w:rsidRDefault="00671BCD" w:rsidP="00DA5395">
      <w:r>
        <w:separator/>
      </w:r>
    </w:p>
  </w:footnote>
  <w:footnote w:type="continuationSeparator" w:id="0">
    <w:p w:rsidR="00671BCD" w:rsidRDefault="00671BCD" w:rsidP="00DA5395">
      <w:r>
        <w:continuationSeparator/>
      </w:r>
    </w:p>
  </w:footnote>
  <w:footnote w:type="continuationNotice" w:id="1">
    <w:p w:rsidR="00671BCD" w:rsidRDefault="00671BCD"/>
  </w:footnote>
  <w:footnote w:id="2">
    <w:p w:rsidR="009A4CAC" w:rsidRPr="009A4CAC" w:rsidRDefault="009A4CAC">
      <w:pPr>
        <w:pStyle w:val="FootnoteText"/>
        <w:rPr>
          <w:lang w:val="en-US"/>
        </w:rPr>
      </w:pPr>
      <w:r>
        <w:rPr>
          <w:rStyle w:val="FootnoteReference"/>
        </w:rPr>
        <w:footnoteRef/>
      </w:r>
      <w:r>
        <w:t xml:space="preserve"> </w:t>
      </w:r>
      <w:r>
        <w:rPr>
          <w:lang w:val="en-US"/>
        </w:rPr>
        <w:t>Para 2.2 of the respondent’s heads of argument</w:t>
      </w:r>
      <w:r w:rsidR="00C563B8">
        <w:rPr>
          <w:lang w:val="en-US"/>
        </w:rPr>
        <w:t>.</w:t>
      </w:r>
    </w:p>
  </w:footnote>
  <w:footnote w:id="3">
    <w:p w:rsidR="00F62A42" w:rsidRPr="00E42996" w:rsidRDefault="00E42996">
      <w:pPr>
        <w:pStyle w:val="FootnoteText"/>
        <w:rPr>
          <w:lang w:val="en-US"/>
        </w:rPr>
      </w:pPr>
      <w:r>
        <w:rPr>
          <w:rStyle w:val="FootnoteReference"/>
        </w:rPr>
        <w:footnoteRef/>
      </w:r>
      <w:r>
        <w:t xml:space="preserve"> </w:t>
      </w:r>
      <w:r w:rsidR="00752379">
        <w:rPr>
          <w:lang w:val="en-US"/>
        </w:rPr>
        <w:t>Lines 3-8 on page 387.</w:t>
      </w:r>
    </w:p>
  </w:footnote>
  <w:footnote w:id="4">
    <w:p w:rsidR="00682AD5" w:rsidRPr="00682AD5" w:rsidRDefault="00682AD5">
      <w:pPr>
        <w:pStyle w:val="FootnoteText"/>
        <w:rPr>
          <w:lang w:val="en-ZA"/>
        </w:rPr>
      </w:pPr>
      <w:r>
        <w:rPr>
          <w:rStyle w:val="FootnoteReference"/>
        </w:rPr>
        <w:footnoteRef/>
      </w:r>
      <w:r>
        <w:t xml:space="preserve"> </w:t>
      </w:r>
      <w:r>
        <w:rPr>
          <w:lang w:val="en-US"/>
        </w:rPr>
        <w:t>Para 2.4 of the respondent’s heads of argument</w:t>
      </w:r>
    </w:p>
  </w:footnote>
  <w:footnote w:id="5">
    <w:p w:rsidR="00F62A42" w:rsidRPr="00F62A42" w:rsidRDefault="00F62A42">
      <w:pPr>
        <w:pStyle w:val="FootnoteText"/>
        <w:rPr>
          <w:lang w:val="en-US"/>
        </w:rPr>
      </w:pPr>
      <w:r>
        <w:rPr>
          <w:rStyle w:val="FootnoteReference"/>
        </w:rPr>
        <w:footnoteRef/>
      </w:r>
      <w:r>
        <w:t xml:space="preserve"> </w:t>
      </w:r>
      <w:r>
        <w:rPr>
          <w:lang w:val="en-US"/>
        </w:rPr>
        <w:t>Para 2.5 of the respondent’s heads of argument.</w:t>
      </w:r>
    </w:p>
  </w:footnote>
  <w:footnote w:id="6">
    <w:p w:rsidR="002A62A7" w:rsidRPr="002A62A7" w:rsidRDefault="002A62A7">
      <w:pPr>
        <w:pStyle w:val="FootnoteText"/>
        <w:rPr>
          <w:lang w:val="en-US"/>
        </w:rPr>
      </w:pPr>
      <w:r>
        <w:rPr>
          <w:rStyle w:val="FootnoteReference"/>
        </w:rPr>
        <w:footnoteRef/>
      </w:r>
      <w:r>
        <w:t xml:space="preserve"> </w:t>
      </w:r>
      <w:r>
        <w:rPr>
          <w:lang w:val="en-US"/>
        </w:rPr>
        <w:t>Para 2.6 of the respondent’s heads of argument.</w:t>
      </w:r>
    </w:p>
  </w:footnote>
  <w:footnote w:id="7">
    <w:p w:rsidR="00E72866" w:rsidRPr="00E72866" w:rsidRDefault="00E72866">
      <w:pPr>
        <w:pStyle w:val="FootnoteText"/>
        <w:rPr>
          <w:lang w:val="en-ZA"/>
        </w:rPr>
      </w:pPr>
      <w:r>
        <w:rPr>
          <w:rStyle w:val="FootnoteReference"/>
        </w:rPr>
        <w:footnoteRef/>
      </w:r>
      <w:r>
        <w:t xml:space="preserve"> </w:t>
      </w:r>
      <w:r>
        <w:rPr>
          <w:lang w:val="en-ZA"/>
        </w:rPr>
        <w:t>2016(2) SACR 165 (SCA).</w:t>
      </w:r>
    </w:p>
  </w:footnote>
  <w:footnote w:id="8">
    <w:p w:rsidR="008A5D23" w:rsidRPr="008A5D23" w:rsidRDefault="008A5D23">
      <w:pPr>
        <w:pStyle w:val="FootnoteText"/>
        <w:rPr>
          <w:lang w:val="en-ZA"/>
        </w:rPr>
      </w:pPr>
      <w:r>
        <w:rPr>
          <w:rStyle w:val="FootnoteReference"/>
        </w:rPr>
        <w:footnoteRef/>
      </w:r>
      <w:r>
        <w:t xml:space="preserve"> </w:t>
      </w:r>
      <w:r w:rsidR="00C20DEE">
        <w:t>Edward Mntambo vs. The State (Case no 478/2020) [2021] ZASCA (11 March 2021)</w:t>
      </w:r>
      <w:r w:rsidR="00A353EF">
        <w:t>.</w:t>
      </w:r>
    </w:p>
  </w:footnote>
  <w:footnote w:id="9">
    <w:p w:rsidR="000A4558" w:rsidRPr="000A4558" w:rsidRDefault="000A4558">
      <w:pPr>
        <w:pStyle w:val="FootnoteText"/>
        <w:rPr>
          <w:lang w:val="en-ZA"/>
        </w:rPr>
      </w:pPr>
      <w:r>
        <w:rPr>
          <w:rStyle w:val="FootnoteReference"/>
        </w:rPr>
        <w:footnoteRef/>
      </w:r>
      <w:r>
        <w:t xml:space="preserve"> </w:t>
      </w:r>
      <w:r w:rsidR="00A353EF">
        <w:rPr>
          <w:lang w:val="en-ZA"/>
        </w:rPr>
        <w:t>Line 22 of the court record shows that the presiding officer never saw the record as s</w:t>
      </w:r>
      <w:r w:rsidR="00920087">
        <w:rPr>
          <w:lang w:val="en-ZA"/>
        </w:rPr>
        <w:t>he</w:t>
      </w:r>
      <w:r w:rsidR="00A353EF">
        <w:rPr>
          <w:lang w:val="en-ZA"/>
        </w:rPr>
        <w:t xml:space="preserve"> stated that: “No, I have not seen the record,…”.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5006"/>
      <w:docPartObj>
        <w:docPartGallery w:val="Page Numbers (Top of Page)"/>
        <w:docPartUnique/>
      </w:docPartObj>
    </w:sdtPr>
    <w:sdtEndPr>
      <w:rPr>
        <w:noProof/>
      </w:rPr>
    </w:sdtEndPr>
    <w:sdtContent>
      <w:p w:rsidR="00356771" w:rsidRDefault="00356771">
        <w:pPr>
          <w:pStyle w:val="Header"/>
          <w:jc w:val="right"/>
        </w:pPr>
        <w:r>
          <w:fldChar w:fldCharType="begin"/>
        </w:r>
        <w:r>
          <w:instrText xml:space="preserve"> PAGE   \* MERGEFORMAT </w:instrText>
        </w:r>
        <w:r>
          <w:fldChar w:fldCharType="separate"/>
        </w:r>
        <w:r w:rsidR="008058AB">
          <w:rPr>
            <w:noProof/>
          </w:rPr>
          <w:t>2</w:t>
        </w:r>
        <w:r>
          <w:rPr>
            <w:noProof/>
          </w:rPr>
          <w:fldChar w:fldCharType="end"/>
        </w:r>
      </w:p>
    </w:sdtContent>
  </w:sdt>
  <w:p w:rsidR="00356771" w:rsidRDefault="00356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233"/>
    <w:multiLevelType w:val="hybridMultilevel"/>
    <w:tmpl w:val="3FAE639E"/>
    <w:lvl w:ilvl="0" w:tplc="0F8478AC">
      <w:start w:val="1"/>
      <w:numFmt w:val="decimal"/>
      <w:lvlText w:val="[%1]"/>
      <w:lvlJc w:val="left"/>
      <w:pPr>
        <w:ind w:left="720" w:hanging="360"/>
      </w:pPr>
      <w:rPr>
        <w:rFonts w:hint="default"/>
        <w:strike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9820F1"/>
    <w:multiLevelType w:val="multilevel"/>
    <w:tmpl w:val="F26A4DA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C35F5B"/>
    <w:multiLevelType w:val="hybridMultilevel"/>
    <w:tmpl w:val="04BCFFB0"/>
    <w:lvl w:ilvl="0" w:tplc="CF1AD304">
      <w:start w:val="89"/>
      <w:numFmt w:val="decimal"/>
      <w:lvlText w:val="%1"/>
      <w:lvlJc w:val="left"/>
      <w:pPr>
        <w:ind w:left="309"/>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DAA452BA">
      <w:start w:val="1"/>
      <w:numFmt w:val="decimal"/>
      <w:lvlText w:val="(%2)"/>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43AEDF7C">
      <w:start w:val="1"/>
      <w:numFmt w:val="lowerLetter"/>
      <w:lvlText w:val="(%3)"/>
      <w:lvlJc w:val="left"/>
      <w:pPr>
        <w:ind w:left="182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5288A39C">
      <w:start w:val="1"/>
      <w:numFmt w:val="decimal"/>
      <w:lvlText w:val="%4"/>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11B4914C">
      <w:start w:val="1"/>
      <w:numFmt w:val="lowerLetter"/>
      <w:lvlText w:val="%5"/>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81D43A5C">
      <w:start w:val="1"/>
      <w:numFmt w:val="lowerRoman"/>
      <w:lvlText w:val="%6"/>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31D87456">
      <w:start w:val="1"/>
      <w:numFmt w:val="decimal"/>
      <w:lvlText w:val="%7"/>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937EE536">
      <w:start w:val="1"/>
      <w:numFmt w:val="lowerLetter"/>
      <w:lvlText w:val="%8"/>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0F5A62E8">
      <w:start w:val="1"/>
      <w:numFmt w:val="lowerRoman"/>
      <w:lvlText w:val="%9"/>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280322DE"/>
    <w:multiLevelType w:val="hybridMultilevel"/>
    <w:tmpl w:val="466642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E3A2127"/>
    <w:multiLevelType w:val="hybridMultilevel"/>
    <w:tmpl w:val="DB00352C"/>
    <w:lvl w:ilvl="0" w:tplc="B15A36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05F77F1"/>
    <w:multiLevelType w:val="hybridMultilevel"/>
    <w:tmpl w:val="78329DF2"/>
    <w:lvl w:ilvl="0" w:tplc="3F60C0EA">
      <w:start w:val="1"/>
      <w:numFmt w:val="decimal"/>
      <w:lvlText w:val="%1."/>
      <w:lvlJc w:val="left"/>
      <w:pPr>
        <w:ind w:left="644" w:hanging="360"/>
      </w:pPr>
      <w:rPr>
        <w:rFonts w:hint="default"/>
        <w:i w:val="0"/>
      </w:rPr>
    </w:lvl>
    <w:lvl w:ilvl="1" w:tplc="CC0A19C6">
      <w:start w:val="1"/>
      <w:numFmt w:val="lowerLetter"/>
      <w:lvlText w:val="%2."/>
      <w:lvlJc w:val="left"/>
      <w:pPr>
        <w:ind w:left="1440" w:hanging="360"/>
      </w:pPr>
      <w:rPr>
        <w:sz w:val="20"/>
        <w:szCs w:val="20"/>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1442E51"/>
    <w:multiLevelType w:val="hybridMultilevel"/>
    <w:tmpl w:val="C0B205E6"/>
    <w:lvl w:ilvl="0" w:tplc="B5D2CCC6">
      <w:start w:val="1"/>
      <w:numFmt w:val="decimal"/>
      <w:lvlText w:val="%1."/>
      <w:lvlJc w:val="left"/>
      <w:pPr>
        <w:ind w:left="554" w:hanging="360"/>
      </w:pPr>
      <w:rPr>
        <w:rFonts w:ascii="Arial" w:eastAsia="Times New Roman" w:hAnsi="Arial" w:cs="Arial"/>
      </w:rPr>
    </w:lvl>
    <w:lvl w:ilvl="1" w:tplc="1C090019" w:tentative="1">
      <w:start w:val="1"/>
      <w:numFmt w:val="lowerLetter"/>
      <w:lvlText w:val="%2."/>
      <w:lvlJc w:val="left"/>
      <w:pPr>
        <w:ind w:left="1274" w:hanging="360"/>
      </w:pPr>
    </w:lvl>
    <w:lvl w:ilvl="2" w:tplc="1C09001B" w:tentative="1">
      <w:start w:val="1"/>
      <w:numFmt w:val="lowerRoman"/>
      <w:lvlText w:val="%3."/>
      <w:lvlJc w:val="right"/>
      <w:pPr>
        <w:ind w:left="1994" w:hanging="180"/>
      </w:pPr>
    </w:lvl>
    <w:lvl w:ilvl="3" w:tplc="1C09000F" w:tentative="1">
      <w:start w:val="1"/>
      <w:numFmt w:val="decimal"/>
      <w:lvlText w:val="%4."/>
      <w:lvlJc w:val="left"/>
      <w:pPr>
        <w:ind w:left="2714" w:hanging="360"/>
      </w:pPr>
    </w:lvl>
    <w:lvl w:ilvl="4" w:tplc="1C090019" w:tentative="1">
      <w:start w:val="1"/>
      <w:numFmt w:val="lowerLetter"/>
      <w:lvlText w:val="%5."/>
      <w:lvlJc w:val="left"/>
      <w:pPr>
        <w:ind w:left="3434" w:hanging="360"/>
      </w:pPr>
    </w:lvl>
    <w:lvl w:ilvl="5" w:tplc="1C09001B" w:tentative="1">
      <w:start w:val="1"/>
      <w:numFmt w:val="lowerRoman"/>
      <w:lvlText w:val="%6."/>
      <w:lvlJc w:val="right"/>
      <w:pPr>
        <w:ind w:left="4154" w:hanging="180"/>
      </w:pPr>
    </w:lvl>
    <w:lvl w:ilvl="6" w:tplc="1C09000F" w:tentative="1">
      <w:start w:val="1"/>
      <w:numFmt w:val="decimal"/>
      <w:lvlText w:val="%7."/>
      <w:lvlJc w:val="left"/>
      <w:pPr>
        <w:ind w:left="4874" w:hanging="360"/>
      </w:pPr>
    </w:lvl>
    <w:lvl w:ilvl="7" w:tplc="1C090019" w:tentative="1">
      <w:start w:val="1"/>
      <w:numFmt w:val="lowerLetter"/>
      <w:lvlText w:val="%8."/>
      <w:lvlJc w:val="left"/>
      <w:pPr>
        <w:ind w:left="5594" w:hanging="360"/>
      </w:pPr>
    </w:lvl>
    <w:lvl w:ilvl="8" w:tplc="1C09001B" w:tentative="1">
      <w:start w:val="1"/>
      <w:numFmt w:val="lowerRoman"/>
      <w:lvlText w:val="%9."/>
      <w:lvlJc w:val="right"/>
      <w:pPr>
        <w:ind w:left="6314" w:hanging="180"/>
      </w:pPr>
    </w:lvl>
  </w:abstractNum>
  <w:abstractNum w:abstractNumId="7" w15:restartNumberingAfterBreak="0">
    <w:nsid w:val="6A423919"/>
    <w:multiLevelType w:val="hybridMultilevel"/>
    <w:tmpl w:val="81F40AC8"/>
    <w:lvl w:ilvl="0" w:tplc="888CEBCC">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8" w15:restartNumberingAfterBreak="0">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E0C21EF"/>
    <w:multiLevelType w:val="multilevel"/>
    <w:tmpl w:val="206C269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4"/>
  </w:num>
  <w:num w:numId="3">
    <w:abstractNumId w:val="6"/>
  </w:num>
  <w:num w:numId="4">
    <w:abstractNumId w:val="0"/>
  </w:num>
  <w:num w:numId="5">
    <w:abstractNumId w:val="1"/>
  </w:num>
  <w:num w:numId="6">
    <w:abstractNumId w:val="9"/>
  </w:num>
  <w:num w:numId="7">
    <w:abstractNumId w:val="5"/>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D"/>
    <w:rsid w:val="00041CD0"/>
    <w:rsid w:val="00056043"/>
    <w:rsid w:val="00056E59"/>
    <w:rsid w:val="00076CB8"/>
    <w:rsid w:val="00077E52"/>
    <w:rsid w:val="000A016A"/>
    <w:rsid w:val="000A4558"/>
    <w:rsid w:val="000A647C"/>
    <w:rsid w:val="000C72FC"/>
    <w:rsid w:val="000C77F8"/>
    <w:rsid w:val="000C7CAF"/>
    <w:rsid w:val="000D68EE"/>
    <w:rsid w:val="000E5025"/>
    <w:rsid w:val="000F0D5A"/>
    <w:rsid w:val="00101B7F"/>
    <w:rsid w:val="00101FFF"/>
    <w:rsid w:val="00122559"/>
    <w:rsid w:val="00131CF1"/>
    <w:rsid w:val="00134B44"/>
    <w:rsid w:val="00141DCC"/>
    <w:rsid w:val="001575AF"/>
    <w:rsid w:val="001B34F4"/>
    <w:rsid w:val="001B7DC9"/>
    <w:rsid w:val="001D0A19"/>
    <w:rsid w:val="001D54AE"/>
    <w:rsid w:val="00217700"/>
    <w:rsid w:val="00234018"/>
    <w:rsid w:val="00240AC1"/>
    <w:rsid w:val="00240D77"/>
    <w:rsid w:val="00261FF7"/>
    <w:rsid w:val="00277577"/>
    <w:rsid w:val="0027763B"/>
    <w:rsid w:val="002938AA"/>
    <w:rsid w:val="002A46BB"/>
    <w:rsid w:val="002A60B8"/>
    <w:rsid w:val="002A61D2"/>
    <w:rsid w:val="002A62A7"/>
    <w:rsid w:val="002A631E"/>
    <w:rsid w:val="002A7CB0"/>
    <w:rsid w:val="002B369A"/>
    <w:rsid w:val="002B48A4"/>
    <w:rsid w:val="002C0225"/>
    <w:rsid w:val="002C5414"/>
    <w:rsid w:val="002D3664"/>
    <w:rsid w:val="002E15CB"/>
    <w:rsid w:val="002F4685"/>
    <w:rsid w:val="002F71C5"/>
    <w:rsid w:val="00302D2B"/>
    <w:rsid w:val="0030603E"/>
    <w:rsid w:val="00316479"/>
    <w:rsid w:val="00326787"/>
    <w:rsid w:val="00327340"/>
    <w:rsid w:val="00331CAF"/>
    <w:rsid w:val="003448E3"/>
    <w:rsid w:val="00356771"/>
    <w:rsid w:val="00366E58"/>
    <w:rsid w:val="00374D49"/>
    <w:rsid w:val="003805E1"/>
    <w:rsid w:val="003B1CBE"/>
    <w:rsid w:val="003E07F9"/>
    <w:rsid w:val="003F2617"/>
    <w:rsid w:val="003F410D"/>
    <w:rsid w:val="004041CC"/>
    <w:rsid w:val="00416341"/>
    <w:rsid w:val="0041714C"/>
    <w:rsid w:val="0042055E"/>
    <w:rsid w:val="0042280C"/>
    <w:rsid w:val="0043720B"/>
    <w:rsid w:val="00441D7B"/>
    <w:rsid w:val="00447C28"/>
    <w:rsid w:val="004537CD"/>
    <w:rsid w:val="004749DA"/>
    <w:rsid w:val="00482AAD"/>
    <w:rsid w:val="004919CD"/>
    <w:rsid w:val="0049477D"/>
    <w:rsid w:val="004A56AE"/>
    <w:rsid w:val="004C368F"/>
    <w:rsid w:val="004E2339"/>
    <w:rsid w:val="004E54EB"/>
    <w:rsid w:val="004F5E70"/>
    <w:rsid w:val="0050073B"/>
    <w:rsid w:val="005013E3"/>
    <w:rsid w:val="005459C8"/>
    <w:rsid w:val="00554B8B"/>
    <w:rsid w:val="005835FE"/>
    <w:rsid w:val="005851C9"/>
    <w:rsid w:val="00586501"/>
    <w:rsid w:val="0059404A"/>
    <w:rsid w:val="005960F0"/>
    <w:rsid w:val="00597EFA"/>
    <w:rsid w:val="005B271F"/>
    <w:rsid w:val="005B5C14"/>
    <w:rsid w:val="005D0070"/>
    <w:rsid w:val="005D0D19"/>
    <w:rsid w:val="005E0068"/>
    <w:rsid w:val="005E18AD"/>
    <w:rsid w:val="005E61AB"/>
    <w:rsid w:val="005F65D4"/>
    <w:rsid w:val="0062222E"/>
    <w:rsid w:val="00625250"/>
    <w:rsid w:val="00626E98"/>
    <w:rsid w:val="00645452"/>
    <w:rsid w:val="0065472D"/>
    <w:rsid w:val="0065643B"/>
    <w:rsid w:val="00666EAC"/>
    <w:rsid w:val="00671BCD"/>
    <w:rsid w:val="00682AD5"/>
    <w:rsid w:val="00684F83"/>
    <w:rsid w:val="006A47FB"/>
    <w:rsid w:val="006C0F71"/>
    <w:rsid w:val="006C3953"/>
    <w:rsid w:val="006D6CC4"/>
    <w:rsid w:val="006E0CE0"/>
    <w:rsid w:val="006F3811"/>
    <w:rsid w:val="007013A6"/>
    <w:rsid w:val="007033AB"/>
    <w:rsid w:val="00707BA7"/>
    <w:rsid w:val="00724EA2"/>
    <w:rsid w:val="0074371E"/>
    <w:rsid w:val="00744550"/>
    <w:rsid w:val="00750200"/>
    <w:rsid w:val="00752379"/>
    <w:rsid w:val="00754E32"/>
    <w:rsid w:val="0077094C"/>
    <w:rsid w:val="00781F07"/>
    <w:rsid w:val="00786C0C"/>
    <w:rsid w:val="0079284C"/>
    <w:rsid w:val="007C2356"/>
    <w:rsid w:val="007C348D"/>
    <w:rsid w:val="007D1CFA"/>
    <w:rsid w:val="007E14F4"/>
    <w:rsid w:val="007E3399"/>
    <w:rsid w:val="007E61BB"/>
    <w:rsid w:val="007F4F13"/>
    <w:rsid w:val="00800C08"/>
    <w:rsid w:val="008014A3"/>
    <w:rsid w:val="008058AB"/>
    <w:rsid w:val="00812151"/>
    <w:rsid w:val="00816F15"/>
    <w:rsid w:val="00820441"/>
    <w:rsid w:val="00843543"/>
    <w:rsid w:val="0084509E"/>
    <w:rsid w:val="00873B81"/>
    <w:rsid w:val="00875729"/>
    <w:rsid w:val="008803C0"/>
    <w:rsid w:val="00880BB3"/>
    <w:rsid w:val="00882721"/>
    <w:rsid w:val="00891F14"/>
    <w:rsid w:val="008957B5"/>
    <w:rsid w:val="008A5D23"/>
    <w:rsid w:val="008B6B38"/>
    <w:rsid w:val="008C0F83"/>
    <w:rsid w:val="008D09E3"/>
    <w:rsid w:val="008D11BE"/>
    <w:rsid w:val="008E57BF"/>
    <w:rsid w:val="00902E43"/>
    <w:rsid w:val="00914772"/>
    <w:rsid w:val="00920087"/>
    <w:rsid w:val="00931298"/>
    <w:rsid w:val="009346A8"/>
    <w:rsid w:val="00935CE2"/>
    <w:rsid w:val="0094409C"/>
    <w:rsid w:val="0094642F"/>
    <w:rsid w:val="00947956"/>
    <w:rsid w:val="00947981"/>
    <w:rsid w:val="00951E22"/>
    <w:rsid w:val="009561EF"/>
    <w:rsid w:val="009674B3"/>
    <w:rsid w:val="0097658B"/>
    <w:rsid w:val="00977A53"/>
    <w:rsid w:val="00994B47"/>
    <w:rsid w:val="009A4CAC"/>
    <w:rsid w:val="009B3CCA"/>
    <w:rsid w:val="009E40F8"/>
    <w:rsid w:val="009E469A"/>
    <w:rsid w:val="009E47FD"/>
    <w:rsid w:val="009F6077"/>
    <w:rsid w:val="00A00820"/>
    <w:rsid w:val="00A01419"/>
    <w:rsid w:val="00A103A2"/>
    <w:rsid w:val="00A2266C"/>
    <w:rsid w:val="00A23389"/>
    <w:rsid w:val="00A353EF"/>
    <w:rsid w:val="00A556CC"/>
    <w:rsid w:val="00A80708"/>
    <w:rsid w:val="00A81C7A"/>
    <w:rsid w:val="00A8690C"/>
    <w:rsid w:val="00A90D5C"/>
    <w:rsid w:val="00A96D6D"/>
    <w:rsid w:val="00A9771A"/>
    <w:rsid w:val="00AA22AB"/>
    <w:rsid w:val="00AC5040"/>
    <w:rsid w:val="00AC5AA4"/>
    <w:rsid w:val="00AD516D"/>
    <w:rsid w:val="00AD5191"/>
    <w:rsid w:val="00AD6579"/>
    <w:rsid w:val="00AE0369"/>
    <w:rsid w:val="00AE3AEB"/>
    <w:rsid w:val="00B0296B"/>
    <w:rsid w:val="00B11417"/>
    <w:rsid w:val="00B225BE"/>
    <w:rsid w:val="00B30B07"/>
    <w:rsid w:val="00B32C75"/>
    <w:rsid w:val="00B50934"/>
    <w:rsid w:val="00B50972"/>
    <w:rsid w:val="00BC07EE"/>
    <w:rsid w:val="00BD6072"/>
    <w:rsid w:val="00BD667B"/>
    <w:rsid w:val="00BD6800"/>
    <w:rsid w:val="00BE036F"/>
    <w:rsid w:val="00BE1A6F"/>
    <w:rsid w:val="00BF2C8F"/>
    <w:rsid w:val="00C018D6"/>
    <w:rsid w:val="00C01D44"/>
    <w:rsid w:val="00C104C3"/>
    <w:rsid w:val="00C140A6"/>
    <w:rsid w:val="00C15C47"/>
    <w:rsid w:val="00C16854"/>
    <w:rsid w:val="00C20DEE"/>
    <w:rsid w:val="00C268C9"/>
    <w:rsid w:val="00C31C9E"/>
    <w:rsid w:val="00C50575"/>
    <w:rsid w:val="00C530E4"/>
    <w:rsid w:val="00C563B8"/>
    <w:rsid w:val="00C6681F"/>
    <w:rsid w:val="00CA3518"/>
    <w:rsid w:val="00CD152C"/>
    <w:rsid w:val="00CE04B1"/>
    <w:rsid w:val="00CE0B31"/>
    <w:rsid w:val="00CE39C4"/>
    <w:rsid w:val="00CF3D71"/>
    <w:rsid w:val="00D040DC"/>
    <w:rsid w:val="00D07643"/>
    <w:rsid w:val="00D15916"/>
    <w:rsid w:val="00D26E04"/>
    <w:rsid w:val="00D55F80"/>
    <w:rsid w:val="00D63F82"/>
    <w:rsid w:val="00D74600"/>
    <w:rsid w:val="00D77923"/>
    <w:rsid w:val="00D918E8"/>
    <w:rsid w:val="00D9526F"/>
    <w:rsid w:val="00DA5395"/>
    <w:rsid w:val="00DB5D24"/>
    <w:rsid w:val="00DB7619"/>
    <w:rsid w:val="00DC5A12"/>
    <w:rsid w:val="00DC6873"/>
    <w:rsid w:val="00DE5AA8"/>
    <w:rsid w:val="00E011A2"/>
    <w:rsid w:val="00E050C1"/>
    <w:rsid w:val="00E13F80"/>
    <w:rsid w:val="00E23295"/>
    <w:rsid w:val="00E25A71"/>
    <w:rsid w:val="00E3784E"/>
    <w:rsid w:val="00E42996"/>
    <w:rsid w:val="00E46434"/>
    <w:rsid w:val="00E51FE8"/>
    <w:rsid w:val="00E5481E"/>
    <w:rsid w:val="00E5549C"/>
    <w:rsid w:val="00E64F07"/>
    <w:rsid w:val="00E6513F"/>
    <w:rsid w:val="00E661CA"/>
    <w:rsid w:val="00E71D96"/>
    <w:rsid w:val="00E72866"/>
    <w:rsid w:val="00E74E84"/>
    <w:rsid w:val="00E75816"/>
    <w:rsid w:val="00E9554F"/>
    <w:rsid w:val="00E97B54"/>
    <w:rsid w:val="00EA0BBA"/>
    <w:rsid w:val="00EA5959"/>
    <w:rsid w:val="00EC40DB"/>
    <w:rsid w:val="00EC41C6"/>
    <w:rsid w:val="00EF11A8"/>
    <w:rsid w:val="00EF412E"/>
    <w:rsid w:val="00EF5325"/>
    <w:rsid w:val="00EF5A67"/>
    <w:rsid w:val="00F00701"/>
    <w:rsid w:val="00F0291B"/>
    <w:rsid w:val="00F15DB4"/>
    <w:rsid w:val="00F24BE3"/>
    <w:rsid w:val="00F3703A"/>
    <w:rsid w:val="00F479DC"/>
    <w:rsid w:val="00F527A2"/>
    <w:rsid w:val="00F615A3"/>
    <w:rsid w:val="00F62A42"/>
    <w:rsid w:val="00F7253E"/>
    <w:rsid w:val="00F90B4F"/>
    <w:rsid w:val="00FA70CA"/>
    <w:rsid w:val="00FB7BB4"/>
    <w:rsid w:val="00FD19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32498-575D-4D52-AAC5-0C330C2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781F07"/>
    <w:pPr>
      <w:ind w:left="720"/>
      <w:contextualSpacing/>
    </w:pPr>
  </w:style>
  <w:style w:type="paragraph" w:styleId="FootnoteText">
    <w:name w:val="footnote text"/>
    <w:basedOn w:val="Normal"/>
    <w:link w:val="FootnoteTextChar"/>
    <w:uiPriority w:val="99"/>
    <w:unhideWhenUsed/>
    <w:qFormat/>
    <w:rsid w:val="00781F07"/>
    <w:rPr>
      <w:sz w:val="20"/>
      <w:szCs w:val="20"/>
    </w:rPr>
  </w:style>
  <w:style w:type="character" w:customStyle="1" w:styleId="FootnoteTextChar">
    <w:name w:val="Footnote Text Char"/>
    <w:basedOn w:val="DefaultParagraphFont"/>
    <w:link w:val="FootnoteText"/>
    <w:uiPriority w:val="99"/>
    <w:rsid w:val="00781F0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81F07"/>
    <w:rPr>
      <w:vertAlign w:val="superscript"/>
    </w:rPr>
  </w:style>
  <w:style w:type="character" w:customStyle="1" w:styleId="mc">
    <w:name w:val="mc"/>
    <w:basedOn w:val="DefaultParagraphFont"/>
    <w:rsid w:val="00E46434"/>
  </w:style>
  <w:style w:type="character" w:styleId="Hyperlink">
    <w:name w:val="Hyperlink"/>
    <w:basedOn w:val="DefaultParagraphFont"/>
    <w:uiPriority w:val="99"/>
    <w:semiHidden/>
    <w:unhideWhenUsed/>
    <w:rsid w:val="00331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13488">
      <w:bodyDiv w:val="1"/>
      <w:marLeft w:val="0"/>
      <w:marRight w:val="0"/>
      <w:marTop w:val="0"/>
      <w:marBottom w:val="0"/>
      <w:divBdr>
        <w:top w:val="none" w:sz="0" w:space="0" w:color="auto"/>
        <w:left w:val="none" w:sz="0" w:space="0" w:color="auto"/>
        <w:bottom w:val="none" w:sz="0" w:space="0" w:color="auto"/>
        <w:right w:val="none" w:sz="0" w:space="0" w:color="auto"/>
      </w:divBdr>
      <w:divsChild>
        <w:div w:id="1481850162">
          <w:marLeft w:val="0"/>
          <w:marRight w:val="0"/>
          <w:marTop w:val="120"/>
          <w:marBottom w:val="0"/>
          <w:divBdr>
            <w:top w:val="none" w:sz="0" w:space="0" w:color="auto"/>
            <w:left w:val="none" w:sz="0" w:space="0" w:color="auto"/>
            <w:bottom w:val="none" w:sz="0" w:space="0" w:color="auto"/>
            <w:right w:val="none" w:sz="0" w:space="0" w:color="auto"/>
          </w:divBdr>
        </w:div>
        <w:div w:id="1310132206">
          <w:marLeft w:val="0"/>
          <w:marRight w:val="0"/>
          <w:marTop w:val="120"/>
          <w:marBottom w:val="0"/>
          <w:divBdr>
            <w:top w:val="none" w:sz="0" w:space="0" w:color="auto"/>
            <w:left w:val="none" w:sz="0" w:space="0" w:color="auto"/>
            <w:bottom w:val="none" w:sz="0" w:space="0" w:color="auto"/>
            <w:right w:val="none" w:sz="0" w:space="0" w:color="auto"/>
          </w:divBdr>
        </w:div>
      </w:divsChild>
    </w:div>
    <w:div w:id="18151776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227">
          <w:marLeft w:val="0"/>
          <w:marRight w:val="0"/>
          <w:marTop w:val="144"/>
          <w:marBottom w:val="24"/>
          <w:divBdr>
            <w:top w:val="none" w:sz="0" w:space="0" w:color="auto"/>
            <w:left w:val="none" w:sz="0" w:space="0" w:color="auto"/>
            <w:bottom w:val="none" w:sz="0" w:space="0" w:color="auto"/>
            <w:right w:val="none" w:sz="0" w:space="0" w:color="auto"/>
          </w:divBdr>
        </w:div>
      </w:divsChild>
    </w:div>
    <w:div w:id="2078555941">
      <w:bodyDiv w:val="1"/>
      <w:marLeft w:val="0"/>
      <w:marRight w:val="0"/>
      <w:marTop w:val="0"/>
      <w:marBottom w:val="0"/>
      <w:divBdr>
        <w:top w:val="none" w:sz="0" w:space="0" w:color="auto"/>
        <w:left w:val="none" w:sz="0" w:space="0" w:color="auto"/>
        <w:bottom w:val="none" w:sz="0" w:space="0" w:color="auto"/>
        <w:right w:val="none" w:sz="0" w:space="0" w:color="auto"/>
      </w:divBdr>
      <w:divsChild>
        <w:div w:id="182059558">
          <w:marLeft w:val="0"/>
          <w:marRight w:val="0"/>
          <w:marTop w:val="120"/>
          <w:marBottom w:val="0"/>
          <w:divBdr>
            <w:top w:val="none" w:sz="0" w:space="0" w:color="auto"/>
            <w:left w:val="none" w:sz="0" w:space="0" w:color="auto"/>
            <w:bottom w:val="none" w:sz="0" w:space="0" w:color="auto"/>
            <w:right w:val="none" w:sz="0" w:space="0" w:color="auto"/>
          </w:divBdr>
        </w:div>
        <w:div w:id="1952666396">
          <w:marLeft w:val="567"/>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E51F8-B67B-4B3B-9C6E-46DE4DEE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HOME</cp:lastModifiedBy>
  <cp:revision>2</cp:revision>
  <cp:lastPrinted>2022-07-20T11:16:00Z</cp:lastPrinted>
  <dcterms:created xsi:type="dcterms:W3CDTF">2022-07-22T17:14:00Z</dcterms:created>
  <dcterms:modified xsi:type="dcterms:W3CDTF">2022-07-22T17:14:00Z</dcterms:modified>
</cp:coreProperties>
</file>