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A1" w:rsidRPr="00B10D52" w:rsidRDefault="00FD20A1" w:rsidP="00FD20A1">
      <w:pPr>
        <w:jc w:val="center"/>
        <w:rPr>
          <w:szCs w:val="24"/>
        </w:rPr>
      </w:pPr>
      <w:bookmarkStart w:id="0" w:name="_GoBack"/>
      <w:bookmarkEnd w:id="0"/>
      <w:r w:rsidRPr="00B10D52">
        <w:rPr>
          <w:noProof/>
          <w:lang w:eastAsia="en-ZA"/>
        </w:rPr>
        <w:drawing>
          <wp:anchor distT="0" distB="0" distL="114300" distR="114300" simplePos="0" relativeHeight="251660288" behindDoc="1" locked="0" layoutInCell="1" allowOverlap="1" wp14:anchorId="7A6D376F" wp14:editId="4AF4900A">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Pr="00B10D52" w:rsidRDefault="00FD20A1" w:rsidP="00FD20A1">
      <w:pPr>
        <w:pStyle w:val="Heading1"/>
        <w:rPr>
          <w:szCs w:val="24"/>
        </w:rPr>
      </w:pPr>
    </w:p>
    <w:p w:rsidR="00FD20A1" w:rsidRPr="00B10D52" w:rsidRDefault="00FD20A1" w:rsidP="00FD20A1">
      <w:pPr>
        <w:pStyle w:val="Heading1"/>
        <w:rPr>
          <w:szCs w:val="24"/>
        </w:rPr>
      </w:pPr>
    </w:p>
    <w:p w:rsidR="00FD20A1" w:rsidRPr="00B10D52" w:rsidRDefault="00FD20A1" w:rsidP="00FD20A1">
      <w:pPr>
        <w:pStyle w:val="Heading1"/>
        <w:rPr>
          <w:szCs w:val="24"/>
        </w:rPr>
      </w:pPr>
    </w:p>
    <w:p w:rsidR="00FA7222" w:rsidRPr="00B10D52" w:rsidRDefault="00FA7222" w:rsidP="008E5CD1">
      <w:pPr>
        <w:spacing w:line="360" w:lineRule="auto"/>
        <w:jc w:val="center"/>
        <w:rPr>
          <w:rFonts w:ascii="Arial" w:hAnsi="Arial" w:cs="Arial"/>
          <w:b/>
          <w:sz w:val="28"/>
          <w:szCs w:val="28"/>
          <w:u w:val="single"/>
        </w:rPr>
      </w:pPr>
    </w:p>
    <w:p w:rsidR="00441F33" w:rsidRPr="00B10D52" w:rsidRDefault="00441F33" w:rsidP="00A0334D">
      <w:pPr>
        <w:jc w:val="center"/>
        <w:rPr>
          <w:rFonts w:ascii="Arial" w:hAnsi="Arial" w:cs="Arial"/>
          <w:b/>
          <w:u w:val="single"/>
        </w:rPr>
      </w:pPr>
    </w:p>
    <w:p w:rsidR="00A0334D" w:rsidRPr="00B10D52" w:rsidRDefault="00A0334D" w:rsidP="00A0334D">
      <w:pPr>
        <w:jc w:val="center"/>
        <w:rPr>
          <w:rFonts w:ascii="Arial" w:hAnsi="Arial" w:cs="Arial"/>
          <w:b/>
          <w:u w:val="single"/>
        </w:rPr>
      </w:pPr>
      <w:r w:rsidRPr="00B10D52">
        <w:rPr>
          <w:rFonts w:ascii="Arial" w:hAnsi="Arial" w:cs="Arial"/>
          <w:b/>
          <w:u w:val="single"/>
        </w:rPr>
        <w:t>IN THE HIGH COURT OF SOUTH AFRICA,</w:t>
      </w:r>
    </w:p>
    <w:p w:rsidR="00A0334D" w:rsidRPr="00B10D52" w:rsidRDefault="00A0334D" w:rsidP="00A0334D">
      <w:pPr>
        <w:jc w:val="center"/>
        <w:rPr>
          <w:rFonts w:ascii="Arial" w:hAnsi="Arial" w:cs="Arial"/>
          <w:b/>
          <w:u w:val="single"/>
        </w:rPr>
      </w:pPr>
      <w:r w:rsidRPr="00B10D52">
        <w:rPr>
          <w:rFonts w:ascii="Arial" w:hAnsi="Arial" w:cs="Arial"/>
          <w:b/>
          <w:u w:val="single"/>
        </w:rPr>
        <w:t>FREE STATE DIVISION, BLOEMFONTEIN</w:t>
      </w:r>
    </w:p>
    <w:tbl>
      <w:tblPr>
        <w:tblStyle w:val="TableGrid"/>
        <w:tblW w:w="0" w:type="auto"/>
        <w:tblInd w:w="5353" w:type="dxa"/>
        <w:tblLook w:val="04A0" w:firstRow="1" w:lastRow="0" w:firstColumn="1" w:lastColumn="0" w:noHBand="0" w:noVBand="1"/>
      </w:tblPr>
      <w:tblGrid>
        <w:gridCol w:w="3066"/>
      </w:tblGrid>
      <w:tr w:rsidR="00B10D52" w:rsidRPr="00B10D52" w:rsidTr="00571222">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F3B34" w:rsidRPr="00B10D52" w:rsidRDefault="008F3B34" w:rsidP="00571222">
            <w:pPr>
              <w:spacing w:after="0"/>
              <w:rPr>
                <w:rFonts w:ascii="Arial" w:hAnsi="Arial" w:cs="Arial"/>
                <w:b/>
                <w:sz w:val="16"/>
                <w:szCs w:val="16"/>
              </w:rPr>
            </w:pPr>
          </w:p>
          <w:p w:rsidR="00A0334D" w:rsidRPr="00B10D52" w:rsidRDefault="00A0334D" w:rsidP="00571222">
            <w:pPr>
              <w:spacing w:after="0"/>
              <w:rPr>
                <w:rFonts w:ascii="Arial" w:eastAsia="Times New Roman" w:hAnsi="Arial" w:cs="Arial"/>
                <w:b/>
                <w:sz w:val="16"/>
                <w:szCs w:val="16"/>
                <w:lang w:eastAsia="en-GB"/>
              </w:rPr>
            </w:pPr>
            <w:r w:rsidRPr="00B10D52">
              <w:rPr>
                <w:rFonts w:ascii="Arial" w:hAnsi="Arial" w:cs="Arial"/>
                <w:b/>
                <w:sz w:val="16"/>
                <w:szCs w:val="16"/>
              </w:rPr>
              <w:t>Reportable:                              YES</w:t>
            </w:r>
            <w:r w:rsidR="002E3574" w:rsidRPr="00B10D52">
              <w:rPr>
                <w:rFonts w:ascii="Arial" w:hAnsi="Arial" w:cs="Arial"/>
                <w:b/>
                <w:sz w:val="16"/>
                <w:szCs w:val="16"/>
              </w:rPr>
              <w:t>/NO</w:t>
            </w:r>
          </w:p>
          <w:p w:rsidR="00A0334D" w:rsidRPr="00B10D52" w:rsidRDefault="00A0334D" w:rsidP="00B615B8">
            <w:pPr>
              <w:spacing w:after="0"/>
              <w:rPr>
                <w:rFonts w:ascii="Arial" w:eastAsia="Times New Roman" w:hAnsi="Arial" w:cs="Arial"/>
                <w:b/>
                <w:sz w:val="16"/>
                <w:szCs w:val="16"/>
                <w:u w:val="single"/>
                <w:lang w:eastAsia="en-GB"/>
              </w:rPr>
            </w:pPr>
            <w:r w:rsidRPr="00B10D52">
              <w:rPr>
                <w:rFonts w:ascii="Arial" w:hAnsi="Arial" w:cs="Arial"/>
                <w:b/>
                <w:sz w:val="16"/>
                <w:szCs w:val="16"/>
              </w:rPr>
              <w:t xml:space="preserve">Of Interest to other Judges:  </w:t>
            </w:r>
            <w:r w:rsidR="00F175C5" w:rsidRPr="00B10D52">
              <w:rPr>
                <w:rFonts w:ascii="Arial" w:hAnsi="Arial" w:cs="Arial"/>
                <w:b/>
                <w:sz w:val="16"/>
                <w:szCs w:val="16"/>
              </w:rPr>
              <w:t xml:space="preserve"> </w:t>
            </w:r>
            <w:r w:rsidR="00B615B8" w:rsidRPr="00B10D52">
              <w:rPr>
                <w:rFonts w:ascii="Arial" w:hAnsi="Arial" w:cs="Arial"/>
                <w:b/>
                <w:sz w:val="16"/>
                <w:szCs w:val="16"/>
              </w:rPr>
              <w:t>YES</w:t>
            </w:r>
            <w:r w:rsidR="002E3574" w:rsidRPr="00B10D52">
              <w:rPr>
                <w:rFonts w:ascii="Arial" w:hAnsi="Arial" w:cs="Arial"/>
                <w:b/>
                <w:sz w:val="16"/>
                <w:szCs w:val="16"/>
              </w:rPr>
              <w:t>/NO</w:t>
            </w:r>
            <w:r w:rsidR="00B615B8" w:rsidRPr="00B10D52">
              <w:rPr>
                <w:rFonts w:ascii="Arial" w:hAnsi="Arial" w:cs="Arial"/>
                <w:b/>
                <w:sz w:val="16"/>
                <w:szCs w:val="16"/>
              </w:rPr>
              <w:t xml:space="preserve"> </w:t>
            </w:r>
            <w:r w:rsidRPr="00B10D52">
              <w:rPr>
                <w:rFonts w:ascii="Arial" w:hAnsi="Arial" w:cs="Arial"/>
                <w:b/>
                <w:sz w:val="16"/>
                <w:szCs w:val="16"/>
              </w:rPr>
              <w:t xml:space="preserve">Circulate to Magistrates:        </w:t>
            </w:r>
            <w:r w:rsidR="002E3574" w:rsidRPr="00B10D52">
              <w:rPr>
                <w:rFonts w:ascii="Arial" w:hAnsi="Arial" w:cs="Arial"/>
                <w:b/>
                <w:sz w:val="16"/>
                <w:szCs w:val="16"/>
              </w:rPr>
              <w:t>YES/</w:t>
            </w:r>
            <w:r w:rsidRPr="00B10D52">
              <w:rPr>
                <w:rFonts w:ascii="Arial" w:hAnsi="Arial" w:cs="Arial"/>
                <w:b/>
                <w:sz w:val="16"/>
                <w:szCs w:val="16"/>
              </w:rPr>
              <w:t>NO</w:t>
            </w:r>
          </w:p>
        </w:tc>
      </w:tr>
    </w:tbl>
    <w:p w:rsidR="00D53D80" w:rsidRPr="00B10D52" w:rsidRDefault="00A0334D" w:rsidP="008F3B34">
      <w:pPr>
        <w:jc w:val="both"/>
        <w:rPr>
          <w:rFonts w:ascii="Arial" w:hAnsi="Arial" w:cs="Arial"/>
          <w:b/>
          <w:sz w:val="24"/>
          <w:szCs w:val="24"/>
        </w:rPr>
      </w:pPr>
      <w:r w:rsidRPr="00B10D52">
        <w:rPr>
          <w:rFonts w:ascii="Arial" w:hAnsi="Arial" w:cs="Arial"/>
          <w:b/>
          <w:sz w:val="28"/>
          <w:szCs w:val="28"/>
        </w:rPr>
        <w:tab/>
      </w:r>
      <w:r w:rsidRPr="00B10D52">
        <w:rPr>
          <w:rFonts w:ascii="Arial" w:hAnsi="Arial" w:cs="Arial"/>
          <w:b/>
          <w:sz w:val="28"/>
          <w:szCs w:val="28"/>
        </w:rPr>
        <w:tab/>
      </w:r>
      <w:r w:rsidRPr="00B10D52">
        <w:rPr>
          <w:rFonts w:ascii="Arial" w:hAnsi="Arial" w:cs="Arial"/>
          <w:b/>
          <w:sz w:val="28"/>
          <w:szCs w:val="28"/>
        </w:rPr>
        <w:tab/>
      </w:r>
      <w:r w:rsidRPr="00B10D52">
        <w:rPr>
          <w:rFonts w:ascii="Arial" w:hAnsi="Arial" w:cs="Arial"/>
          <w:b/>
          <w:sz w:val="28"/>
          <w:szCs w:val="28"/>
        </w:rPr>
        <w:tab/>
      </w:r>
      <w:r w:rsidRPr="00B10D52">
        <w:rPr>
          <w:rFonts w:ascii="Arial" w:hAnsi="Arial" w:cs="Arial"/>
          <w:b/>
          <w:sz w:val="28"/>
          <w:szCs w:val="28"/>
        </w:rPr>
        <w:tab/>
      </w:r>
      <w:r w:rsidRPr="00B10D52">
        <w:rPr>
          <w:rFonts w:ascii="Arial" w:hAnsi="Arial" w:cs="Arial"/>
          <w:b/>
          <w:sz w:val="28"/>
          <w:szCs w:val="28"/>
        </w:rPr>
        <w:tab/>
      </w:r>
      <w:r w:rsidRPr="00B10D52">
        <w:rPr>
          <w:rFonts w:ascii="Arial" w:hAnsi="Arial" w:cs="Arial"/>
          <w:b/>
          <w:sz w:val="28"/>
          <w:szCs w:val="28"/>
        </w:rPr>
        <w:tab/>
      </w:r>
    </w:p>
    <w:p w:rsidR="00A0334D" w:rsidRPr="00B10D52" w:rsidRDefault="00A0334D" w:rsidP="006F674A">
      <w:pPr>
        <w:jc w:val="both"/>
        <w:rPr>
          <w:rFonts w:ascii="Arial" w:hAnsi="Arial" w:cs="Arial"/>
          <w:sz w:val="24"/>
          <w:szCs w:val="24"/>
        </w:rPr>
      </w:pPr>
      <w:r w:rsidRPr="00B10D52">
        <w:rPr>
          <w:rFonts w:ascii="Arial" w:hAnsi="Arial" w:cs="Arial"/>
          <w:b/>
          <w:sz w:val="24"/>
          <w:szCs w:val="24"/>
        </w:rPr>
        <w:tab/>
      </w:r>
      <w:r w:rsidRPr="00B10D52">
        <w:rPr>
          <w:rFonts w:ascii="Arial" w:hAnsi="Arial" w:cs="Arial"/>
          <w:b/>
          <w:sz w:val="24"/>
          <w:szCs w:val="24"/>
        </w:rPr>
        <w:tab/>
      </w:r>
      <w:r w:rsidRPr="00B10D52">
        <w:rPr>
          <w:rFonts w:ascii="Arial" w:hAnsi="Arial" w:cs="Arial"/>
          <w:b/>
          <w:sz w:val="24"/>
          <w:szCs w:val="24"/>
        </w:rPr>
        <w:tab/>
      </w:r>
      <w:r w:rsidRPr="00B10D52">
        <w:rPr>
          <w:rFonts w:ascii="Arial" w:hAnsi="Arial" w:cs="Arial"/>
          <w:b/>
          <w:sz w:val="24"/>
          <w:szCs w:val="24"/>
        </w:rPr>
        <w:tab/>
      </w:r>
      <w:r w:rsidRPr="00B10D52">
        <w:rPr>
          <w:rFonts w:ascii="Arial" w:hAnsi="Arial" w:cs="Arial"/>
          <w:b/>
          <w:sz w:val="24"/>
          <w:szCs w:val="24"/>
        </w:rPr>
        <w:tab/>
      </w:r>
      <w:r w:rsidR="006F674A" w:rsidRPr="00B10D52">
        <w:rPr>
          <w:rFonts w:ascii="Arial" w:hAnsi="Arial" w:cs="Arial"/>
          <w:b/>
          <w:sz w:val="24"/>
          <w:szCs w:val="24"/>
        </w:rPr>
        <w:tab/>
      </w:r>
      <w:r w:rsidR="006F674A" w:rsidRPr="00B10D52">
        <w:rPr>
          <w:rFonts w:ascii="Arial" w:hAnsi="Arial" w:cs="Arial"/>
          <w:b/>
          <w:sz w:val="24"/>
          <w:szCs w:val="24"/>
        </w:rPr>
        <w:tab/>
      </w:r>
      <w:r w:rsidRPr="00B10D52">
        <w:rPr>
          <w:rFonts w:ascii="Arial" w:hAnsi="Arial" w:cs="Arial"/>
          <w:sz w:val="24"/>
          <w:szCs w:val="24"/>
        </w:rPr>
        <w:t xml:space="preserve">Case number: </w:t>
      </w:r>
      <w:r w:rsidR="00C22064" w:rsidRPr="00B10D52">
        <w:rPr>
          <w:rFonts w:ascii="Arial" w:hAnsi="Arial" w:cs="Arial"/>
          <w:sz w:val="24"/>
          <w:szCs w:val="24"/>
        </w:rPr>
        <w:t>2102/2022</w:t>
      </w:r>
    </w:p>
    <w:p w:rsidR="00A0334D" w:rsidRPr="00B10D52" w:rsidRDefault="00A0334D" w:rsidP="00E026FF">
      <w:pPr>
        <w:spacing w:after="0" w:line="240" w:lineRule="auto"/>
        <w:rPr>
          <w:rFonts w:ascii="Arial" w:hAnsi="Arial" w:cs="Arial"/>
          <w:sz w:val="24"/>
          <w:szCs w:val="24"/>
        </w:rPr>
      </w:pPr>
      <w:r w:rsidRPr="00B10D52">
        <w:rPr>
          <w:rFonts w:ascii="Arial" w:hAnsi="Arial" w:cs="Arial"/>
          <w:sz w:val="24"/>
          <w:szCs w:val="24"/>
        </w:rPr>
        <w:t xml:space="preserve">In the matter between: </w:t>
      </w:r>
    </w:p>
    <w:p w:rsidR="00A0334D" w:rsidRPr="00B10D52" w:rsidRDefault="00A0334D" w:rsidP="00E026FF">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4"/>
          <w:szCs w:val="24"/>
          <w:u w:val="single"/>
        </w:rPr>
      </w:pPr>
    </w:p>
    <w:p w:rsidR="00884155" w:rsidRPr="00B10D52" w:rsidRDefault="002E28CA" w:rsidP="00CA038E">
      <w:pPr>
        <w:spacing w:after="0"/>
        <w:ind w:right="-22"/>
        <w:jc w:val="both"/>
        <w:rPr>
          <w:rFonts w:ascii="Arial" w:hAnsi="Arial" w:cs="Arial"/>
          <w:b/>
          <w:sz w:val="24"/>
          <w:szCs w:val="24"/>
        </w:rPr>
      </w:pPr>
      <w:r w:rsidRPr="00B10D52">
        <w:rPr>
          <w:rFonts w:ascii="Arial" w:hAnsi="Arial" w:cs="Arial"/>
          <w:b/>
          <w:sz w:val="24"/>
          <w:szCs w:val="24"/>
        </w:rPr>
        <w:t>ZANDER BURGER PROPERTIES (PTY) LTD</w:t>
      </w:r>
      <w:r w:rsidRPr="00B10D52">
        <w:rPr>
          <w:rFonts w:ascii="Arial" w:hAnsi="Arial" w:cs="Arial"/>
          <w:b/>
          <w:sz w:val="24"/>
          <w:szCs w:val="24"/>
        </w:rPr>
        <w:tab/>
      </w:r>
      <w:r w:rsidR="00FA2FB3" w:rsidRPr="00B10D52">
        <w:rPr>
          <w:rFonts w:ascii="Arial" w:hAnsi="Arial" w:cs="Arial"/>
          <w:sz w:val="24"/>
          <w:szCs w:val="24"/>
          <w:vertAlign w:val="superscript"/>
        </w:rPr>
        <w:t xml:space="preserve"> </w:t>
      </w:r>
      <w:r w:rsidR="006F674A" w:rsidRPr="00B10D52">
        <w:rPr>
          <w:rFonts w:ascii="Arial" w:hAnsi="Arial" w:cs="Arial"/>
          <w:sz w:val="24"/>
          <w:szCs w:val="24"/>
        </w:rPr>
        <w:t>Applicant</w:t>
      </w:r>
      <w:r w:rsidR="00441F33" w:rsidRPr="00B10D52">
        <w:rPr>
          <w:rFonts w:ascii="Arial" w:hAnsi="Arial" w:cs="Arial"/>
          <w:sz w:val="24"/>
          <w:szCs w:val="24"/>
        </w:rPr>
        <w:t xml:space="preserve"> </w:t>
      </w:r>
    </w:p>
    <w:p w:rsidR="00CA038E" w:rsidRPr="00B10D52" w:rsidRDefault="00CA038E" w:rsidP="00CA038E">
      <w:pPr>
        <w:ind w:right="-22"/>
        <w:jc w:val="both"/>
        <w:rPr>
          <w:rFonts w:ascii="Arial" w:hAnsi="Arial" w:cs="Arial"/>
          <w:b/>
          <w:sz w:val="24"/>
          <w:szCs w:val="24"/>
        </w:rPr>
      </w:pPr>
    </w:p>
    <w:p w:rsidR="002E3574" w:rsidRPr="00B10D52" w:rsidRDefault="002E3574" w:rsidP="00E026FF">
      <w:pPr>
        <w:rPr>
          <w:rFonts w:ascii="Arial" w:hAnsi="Arial" w:cs="Arial"/>
          <w:sz w:val="24"/>
          <w:szCs w:val="24"/>
        </w:rPr>
      </w:pPr>
      <w:r w:rsidRPr="00B10D52">
        <w:rPr>
          <w:rFonts w:ascii="Arial" w:hAnsi="Arial" w:cs="Arial"/>
          <w:sz w:val="24"/>
          <w:szCs w:val="24"/>
        </w:rPr>
        <w:t>and</w:t>
      </w:r>
    </w:p>
    <w:p w:rsidR="00A06610" w:rsidRPr="00B10D52" w:rsidRDefault="002E28CA" w:rsidP="00CA038E">
      <w:pPr>
        <w:spacing w:after="0"/>
        <w:rPr>
          <w:rFonts w:ascii="Arial" w:hAnsi="Arial" w:cs="Arial"/>
          <w:sz w:val="24"/>
          <w:szCs w:val="24"/>
        </w:rPr>
      </w:pPr>
      <w:r w:rsidRPr="00B10D52">
        <w:rPr>
          <w:rFonts w:ascii="Arial" w:hAnsi="Arial" w:cs="Arial"/>
          <w:b/>
          <w:sz w:val="24"/>
          <w:szCs w:val="24"/>
        </w:rPr>
        <w:t xml:space="preserve">GRACEFUL BLESSINGS (PTY) LTD </w:t>
      </w:r>
      <w:r w:rsidR="00441F33" w:rsidRPr="00B10D52">
        <w:rPr>
          <w:rFonts w:ascii="Arial" w:hAnsi="Arial" w:cs="Arial"/>
          <w:b/>
          <w:sz w:val="24"/>
          <w:szCs w:val="24"/>
        </w:rPr>
        <w:tab/>
      </w:r>
      <w:r w:rsidR="00441F33" w:rsidRPr="00B10D52">
        <w:rPr>
          <w:rFonts w:ascii="Arial" w:hAnsi="Arial" w:cs="Arial"/>
          <w:b/>
          <w:sz w:val="24"/>
          <w:szCs w:val="24"/>
        </w:rPr>
        <w:tab/>
      </w:r>
      <w:r w:rsidR="00A853BA" w:rsidRPr="00B10D52">
        <w:rPr>
          <w:rFonts w:ascii="Arial" w:hAnsi="Arial" w:cs="Arial"/>
          <w:b/>
          <w:sz w:val="24"/>
          <w:szCs w:val="24"/>
        </w:rPr>
        <w:tab/>
      </w:r>
      <w:r w:rsidR="002E3574" w:rsidRPr="00B10D52">
        <w:rPr>
          <w:rFonts w:ascii="Arial" w:hAnsi="Arial" w:cs="Arial"/>
          <w:sz w:val="24"/>
          <w:szCs w:val="24"/>
        </w:rPr>
        <w:t>Respondent</w:t>
      </w:r>
      <w:r w:rsidR="00A06610" w:rsidRPr="00B10D52">
        <w:rPr>
          <w:rFonts w:ascii="Arial" w:hAnsi="Arial" w:cs="Arial"/>
          <w:sz w:val="24"/>
          <w:szCs w:val="24"/>
        </w:rPr>
        <w:t xml:space="preserve"> </w:t>
      </w:r>
    </w:p>
    <w:p w:rsidR="00A0334D" w:rsidRPr="00B10D52" w:rsidRDefault="004F7657" w:rsidP="004F7657">
      <w:pPr>
        <w:pBdr>
          <w:bottom w:val="single" w:sz="12" w:space="1" w:color="auto"/>
        </w:pBdr>
        <w:spacing w:after="0" w:line="240" w:lineRule="auto"/>
        <w:rPr>
          <w:rFonts w:ascii="Arial" w:hAnsi="Arial" w:cs="Arial"/>
          <w:b/>
          <w:sz w:val="24"/>
          <w:szCs w:val="24"/>
        </w:rPr>
      </w:pPr>
      <w:r w:rsidRPr="00B10D52">
        <w:rPr>
          <w:rFonts w:ascii="Arial" w:hAnsi="Arial" w:cs="Arial"/>
          <w:sz w:val="24"/>
          <w:szCs w:val="24"/>
        </w:rPr>
        <w:tab/>
      </w:r>
      <w:r w:rsidR="00A0334D" w:rsidRPr="00B10D52">
        <w:rPr>
          <w:rFonts w:ascii="Arial" w:hAnsi="Arial" w:cs="Arial"/>
          <w:b/>
          <w:sz w:val="24"/>
          <w:szCs w:val="24"/>
        </w:rPr>
        <w:tab/>
      </w:r>
      <w:r w:rsidR="00A0334D" w:rsidRPr="00B10D52">
        <w:rPr>
          <w:rFonts w:ascii="Arial" w:hAnsi="Arial" w:cs="Arial"/>
          <w:b/>
          <w:sz w:val="24"/>
          <w:szCs w:val="24"/>
        </w:rPr>
        <w:tab/>
      </w:r>
    </w:p>
    <w:p w:rsidR="00A0334D" w:rsidRPr="00B10D52" w:rsidRDefault="00A0334D" w:rsidP="00A0334D">
      <w:pPr>
        <w:spacing w:after="0" w:line="240" w:lineRule="auto"/>
        <w:contextualSpacing/>
        <w:jc w:val="both"/>
        <w:rPr>
          <w:rFonts w:ascii="Arial" w:hAnsi="Arial" w:cs="Arial"/>
          <w:b/>
          <w:sz w:val="24"/>
          <w:szCs w:val="24"/>
          <w:u w:val="single"/>
        </w:rPr>
      </w:pPr>
    </w:p>
    <w:p w:rsidR="00A0334D" w:rsidRPr="00B10D52" w:rsidRDefault="00A0334D" w:rsidP="00A0334D">
      <w:pPr>
        <w:spacing w:after="0" w:line="240" w:lineRule="auto"/>
        <w:contextualSpacing/>
        <w:jc w:val="both"/>
        <w:rPr>
          <w:rFonts w:ascii="Arial" w:hAnsi="Arial" w:cs="Arial"/>
          <w:sz w:val="24"/>
          <w:szCs w:val="24"/>
          <w:u w:val="single"/>
        </w:rPr>
      </w:pPr>
      <w:r w:rsidRPr="00B10D52">
        <w:rPr>
          <w:rFonts w:ascii="Arial" w:hAnsi="Arial" w:cs="Arial"/>
          <w:b/>
          <w:sz w:val="24"/>
          <w:szCs w:val="24"/>
          <w:u w:val="single"/>
        </w:rPr>
        <w:t>HEARD ON:</w:t>
      </w:r>
      <w:r w:rsidRPr="00B10D52">
        <w:rPr>
          <w:rFonts w:ascii="Arial" w:hAnsi="Arial" w:cs="Arial"/>
          <w:b/>
          <w:sz w:val="24"/>
          <w:szCs w:val="24"/>
        </w:rPr>
        <w:tab/>
      </w:r>
      <w:r w:rsidRPr="00B10D52">
        <w:rPr>
          <w:rFonts w:ascii="Arial" w:hAnsi="Arial" w:cs="Arial"/>
          <w:b/>
          <w:sz w:val="24"/>
          <w:szCs w:val="24"/>
        </w:rPr>
        <w:tab/>
      </w:r>
      <w:r w:rsidR="00E026FF" w:rsidRPr="00B10D52">
        <w:rPr>
          <w:rFonts w:ascii="Arial" w:hAnsi="Arial" w:cs="Arial"/>
          <w:b/>
          <w:sz w:val="24"/>
          <w:szCs w:val="24"/>
        </w:rPr>
        <w:tab/>
      </w:r>
      <w:r w:rsidR="00E026FF" w:rsidRPr="00B10D52">
        <w:rPr>
          <w:rFonts w:ascii="Arial" w:hAnsi="Arial" w:cs="Arial"/>
          <w:b/>
          <w:sz w:val="24"/>
          <w:szCs w:val="24"/>
        </w:rPr>
        <w:tab/>
      </w:r>
      <w:r w:rsidR="002E28CA" w:rsidRPr="00B10D52">
        <w:rPr>
          <w:rFonts w:ascii="Arial" w:hAnsi="Arial" w:cs="Arial"/>
          <w:sz w:val="24"/>
          <w:szCs w:val="24"/>
        </w:rPr>
        <w:t>02 JUNE 2022</w:t>
      </w:r>
    </w:p>
    <w:p w:rsidR="00A0334D" w:rsidRPr="00B10D52"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B10D52" w:rsidRDefault="00A0334D" w:rsidP="00A0334D">
      <w:pPr>
        <w:spacing w:after="0" w:line="240" w:lineRule="auto"/>
        <w:contextualSpacing/>
        <w:jc w:val="both"/>
        <w:rPr>
          <w:rFonts w:ascii="Arial" w:hAnsi="Arial" w:cs="Arial"/>
          <w:b/>
          <w:sz w:val="24"/>
          <w:szCs w:val="24"/>
        </w:rPr>
      </w:pPr>
    </w:p>
    <w:p w:rsidR="0014277B" w:rsidRPr="00B10D52" w:rsidRDefault="00A0334D" w:rsidP="0014277B">
      <w:pPr>
        <w:rPr>
          <w:rFonts w:ascii="Arial" w:hAnsi="Arial" w:cs="Arial"/>
          <w:sz w:val="24"/>
          <w:szCs w:val="24"/>
        </w:rPr>
      </w:pPr>
      <w:r w:rsidRPr="00B10D52">
        <w:rPr>
          <w:rFonts w:ascii="Arial" w:hAnsi="Arial" w:cs="Arial"/>
          <w:b/>
          <w:sz w:val="24"/>
          <w:szCs w:val="24"/>
          <w:u w:val="single"/>
        </w:rPr>
        <w:t>JUDGMENT BY:</w:t>
      </w:r>
      <w:r w:rsidRPr="00B10D52">
        <w:rPr>
          <w:rFonts w:ascii="Arial" w:hAnsi="Arial" w:cs="Arial"/>
          <w:b/>
          <w:sz w:val="24"/>
          <w:szCs w:val="24"/>
        </w:rPr>
        <w:tab/>
      </w:r>
      <w:r w:rsidRPr="00B10D52">
        <w:rPr>
          <w:rFonts w:ascii="Arial" w:hAnsi="Arial" w:cs="Arial"/>
          <w:b/>
          <w:sz w:val="24"/>
          <w:szCs w:val="24"/>
        </w:rPr>
        <w:tab/>
      </w:r>
      <w:r w:rsidR="00E026FF" w:rsidRPr="00B10D52">
        <w:rPr>
          <w:rFonts w:ascii="Arial" w:hAnsi="Arial" w:cs="Arial"/>
          <w:b/>
          <w:sz w:val="24"/>
          <w:szCs w:val="24"/>
        </w:rPr>
        <w:tab/>
      </w:r>
      <w:r w:rsidR="0014277B" w:rsidRPr="00B10D52">
        <w:rPr>
          <w:rFonts w:ascii="Arial" w:hAnsi="Arial" w:cs="Arial"/>
          <w:sz w:val="24"/>
          <w:szCs w:val="24"/>
        </w:rPr>
        <w:t>DANISO, J</w:t>
      </w:r>
    </w:p>
    <w:p w:rsidR="00A0334D" w:rsidRPr="00B10D52"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B10D52" w:rsidRDefault="00A0334D" w:rsidP="00A0334D">
      <w:pPr>
        <w:spacing w:after="0" w:line="240" w:lineRule="auto"/>
        <w:contextualSpacing/>
        <w:jc w:val="both"/>
        <w:rPr>
          <w:rFonts w:ascii="Arial" w:hAnsi="Arial" w:cs="Arial"/>
          <w:b/>
          <w:sz w:val="24"/>
          <w:szCs w:val="24"/>
        </w:rPr>
      </w:pPr>
    </w:p>
    <w:p w:rsidR="00441F33" w:rsidRPr="00B10D52" w:rsidRDefault="00A0334D" w:rsidP="00E15D21">
      <w:pPr>
        <w:pBdr>
          <w:bottom w:val="single" w:sz="6" w:space="1" w:color="auto"/>
        </w:pBdr>
        <w:spacing w:line="360" w:lineRule="auto"/>
        <w:ind w:right="-22"/>
        <w:jc w:val="both"/>
        <w:rPr>
          <w:rFonts w:ascii="Arial" w:hAnsi="Arial" w:cs="Arial"/>
          <w:sz w:val="24"/>
          <w:szCs w:val="24"/>
        </w:rPr>
      </w:pPr>
      <w:r w:rsidRPr="00B10D52">
        <w:rPr>
          <w:rFonts w:ascii="Arial" w:hAnsi="Arial" w:cs="Arial"/>
          <w:b/>
          <w:sz w:val="24"/>
          <w:szCs w:val="24"/>
          <w:u w:val="single"/>
        </w:rPr>
        <w:t>DELIVERED ON:</w:t>
      </w:r>
      <w:r w:rsidR="001018CF" w:rsidRPr="00B10D52">
        <w:rPr>
          <w:rFonts w:ascii="Arial" w:hAnsi="Arial" w:cs="Arial"/>
          <w:b/>
          <w:sz w:val="24"/>
          <w:szCs w:val="24"/>
          <w:u w:val="single"/>
        </w:rPr>
        <w:t xml:space="preserve"> </w:t>
      </w:r>
      <w:r w:rsidR="00C05704" w:rsidRPr="00B10D52">
        <w:rPr>
          <w:rFonts w:ascii="Arial" w:hAnsi="Arial" w:cs="Arial"/>
          <w:sz w:val="24"/>
          <w:szCs w:val="24"/>
          <w:shd w:val="clear" w:color="auto" w:fill="FFFFFF"/>
        </w:rPr>
        <w:t xml:space="preserve">This judgment was handed down electronically by circulation to the parties' representatives by email and by release to SAFLII. The date and time for hand-down is deemed to be </w:t>
      </w:r>
      <w:r w:rsidR="009E09A9" w:rsidRPr="00B10D52">
        <w:rPr>
          <w:rFonts w:ascii="Arial" w:hAnsi="Arial" w:cs="Arial"/>
          <w:sz w:val="24"/>
          <w:szCs w:val="24"/>
          <w:shd w:val="clear" w:color="auto" w:fill="FFFFFF"/>
        </w:rPr>
        <w:t>1</w:t>
      </w:r>
      <w:r w:rsidR="00A853BA" w:rsidRPr="00B10D52">
        <w:rPr>
          <w:rFonts w:ascii="Arial" w:hAnsi="Arial" w:cs="Arial"/>
          <w:sz w:val="24"/>
          <w:szCs w:val="24"/>
          <w:shd w:val="clear" w:color="auto" w:fill="FFFFFF"/>
        </w:rPr>
        <w:t>1</w:t>
      </w:r>
      <w:r w:rsidR="009E09A9" w:rsidRPr="00B10D52">
        <w:rPr>
          <w:rFonts w:ascii="Arial" w:hAnsi="Arial" w:cs="Arial"/>
          <w:sz w:val="24"/>
          <w:szCs w:val="24"/>
          <w:shd w:val="clear" w:color="auto" w:fill="FFFFFF"/>
        </w:rPr>
        <w:t>H00</w:t>
      </w:r>
      <w:r w:rsidR="00C05704" w:rsidRPr="00B10D52">
        <w:rPr>
          <w:rFonts w:ascii="Arial" w:hAnsi="Arial" w:cs="Arial"/>
          <w:sz w:val="24"/>
          <w:szCs w:val="24"/>
          <w:shd w:val="clear" w:color="auto" w:fill="FFFFFF"/>
        </w:rPr>
        <w:t xml:space="preserve"> on </w:t>
      </w:r>
      <w:r w:rsidR="00A853BA" w:rsidRPr="00B10D52">
        <w:rPr>
          <w:rFonts w:ascii="Arial" w:hAnsi="Arial" w:cs="Arial"/>
          <w:sz w:val="24"/>
          <w:szCs w:val="24"/>
          <w:shd w:val="clear" w:color="auto" w:fill="FFFFFF"/>
        </w:rPr>
        <w:t xml:space="preserve">25 July </w:t>
      </w:r>
      <w:r w:rsidR="00826B0E" w:rsidRPr="00B10D52">
        <w:rPr>
          <w:rFonts w:ascii="Arial" w:hAnsi="Arial" w:cs="Arial"/>
          <w:sz w:val="24"/>
          <w:szCs w:val="24"/>
          <w:shd w:val="clear" w:color="auto" w:fill="FFFFFF"/>
        </w:rPr>
        <w:t>2022</w:t>
      </w:r>
      <w:r w:rsidR="00E15D21" w:rsidRPr="00B10D52">
        <w:rPr>
          <w:rFonts w:ascii="Arial" w:hAnsi="Arial" w:cs="Arial"/>
          <w:sz w:val="24"/>
          <w:szCs w:val="24"/>
          <w:shd w:val="clear" w:color="auto" w:fill="FFFFFF"/>
        </w:rPr>
        <w:t>.</w:t>
      </w:r>
    </w:p>
    <w:p w:rsidR="00E15D21" w:rsidRPr="00B10D52" w:rsidRDefault="00E15D21" w:rsidP="00E15D21">
      <w:pPr>
        <w:spacing w:after="0" w:line="360" w:lineRule="auto"/>
        <w:ind w:right="-22"/>
        <w:jc w:val="both"/>
        <w:rPr>
          <w:rFonts w:ascii="Arial" w:hAnsi="Arial" w:cs="Arial"/>
          <w:sz w:val="28"/>
          <w:szCs w:val="28"/>
        </w:rPr>
      </w:pPr>
    </w:p>
    <w:p w:rsidR="00780724" w:rsidRPr="00B10D52" w:rsidRDefault="00504267" w:rsidP="001018CF">
      <w:pPr>
        <w:spacing w:after="0" w:line="360" w:lineRule="auto"/>
        <w:ind w:left="851" w:hanging="851"/>
        <w:jc w:val="both"/>
        <w:rPr>
          <w:rFonts w:ascii="Arial" w:hAnsi="Arial" w:cs="Arial"/>
          <w:sz w:val="24"/>
          <w:szCs w:val="24"/>
        </w:rPr>
      </w:pPr>
      <w:r w:rsidRPr="00B10D52">
        <w:rPr>
          <w:rFonts w:ascii="Arial" w:hAnsi="Arial" w:cs="Arial"/>
          <w:sz w:val="24"/>
          <w:szCs w:val="24"/>
        </w:rPr>
        <w:t>[1]</w:t>
      </w:r>
      <w:r w:rsidRPr="00B10D52">
        <w:rPr>
          <w:rFonts w:ascii="Arial" w:hAnsi="Arial" w:cs="Arial"/>
          <w:sz w:val="24"/>
          <w:szCs w:val="24"/>
        </w:rPr>
        <w:tab/>
      </w:r>
      <w:r w:rsidR="00780724" w:rsidRPr="00B10D52">
        <w:rPr>
          <w:rFonts w:ascii="Arial" w:hAnsi="Arial" w:cs="Arial"/>
          <w:sz w:val="24"/>
          <w:szCs w:val="24"/>
        </w:rPr>
        <w:t>On 11 May 2022 th</w:t>
      </w:r>
      <w:r w:rsidR="00495903" w:rsidRPr="00B10D52">
        <w:rPr>
          <w:rFonts w:ascii="Arial" w:hAnsi="Arial" w:cs="Arial"/>
          <w:sz w:val="24"/>
          <w:szCs w:val="24"/>
        </w:rPr>
        <w:t xml:space="preserve">is matter served before me as an urgent application in terms of which the applicant sought an order </w:t>
      </w:r>
      <w:r w:rsidR="00780724" w:rsidRPr="00B10D52">
        <w:rPr>
          <w:rFonts w:ascii="Arial" w:hAnsi="Arial" w:cs="Arial"/>
          <w:sz w:val="24"/>
          <w:szCs w:val="24"/>
        </w:rPr>
        <w:t>directing the respondent</w:t>
      </w:r>
      <w:r w:rsidR="002C230E" w:rsidRPr="00B10D52">
        <w:rPr>
          <w:rFonts w:ascii="Arial" w:hAnsi="Arial" w:cs="Arial"/>
          <w:sz w:val="24"/>
          <w:szCs w:val="24"/>
        </w:rPr>
        <w:t xml:space="preserve"> to </w:t>
      </w:r>
      <w:r w:rsidR="00801794" w:rsidRPr="00B10D52">
        <w:rPr>
          <w:rFonts w:ascii="Arial" w:hAnsi="Arial" w:cs="Arial"/>
          <w:sz w:val="24"/>
          <w:szCs w:val="24"/>
        </w:rPr>
        <w:t xml:space="preserve">restore the occupation and possession of a business office including a safe and a filing room </w:t>
      </w:r>
      <w:r w:rsidR="002D2FA1" w:rsidRPr="00B10D52">
        <w:rPr>
          <w:rFonts w:ascii="Arial" w:hAnsi="Arial" w:cs="Arial"/>
          <w:sz w:val="24"/>
          <w:szCs w:val="24"/>
        </w:rPr>
        <w:t xml:space="preserve">situated </w:t>
      </w:r>
      <w:r w:rsidR="00B02CCF" w:rsidRPr="00B10D52">
        <w:rPr>
          <w:rFonts w:ascii="Arial" w:hAnsi="Arial" w:cs="Arial"/>
          <w:sz w:val="24"/>
          <w:szCs w:val="24"/>
        </w:rPr>
        <w:t xml:space="preserve">at </w:t>
      </w:r>
      <w:r w:rsidR="002D2FA1" w:rsidRPr="00B10D52">
        <w:rPr>
          <w:rFonts w:ascii="Arial" w:hAnsi="Arial" w:cs="Arial"/>
          <w:sz w:val="24"/>
          <w:szCs w:val="24"/>
        </w:rPr>
        <w:t>54 Louw Wepper street, Dan Pienaar, Bloemfontein (“the premises”)</w:t>
      </w:r>
      <w:r w:rsidR="00780724" w:rsidRPr="00B10D52">
        <w:rPr>
          <w:rFonts w:ascii="Arial" w:hAnsi="Arial" w:cs="Arial"/>
          <w:sz w:val="24"/>
          <w:szCs w:val="24"/>
        </w:rPr>
        <w:t xml:space="preserve"> to </w:t>
      </w:r>
      <w:r w:rsidR="00A12D8D" w:rsidRPr="00B10D52">
        <w:rPr>
          <w:rFonts w:ascii="Arial" w:hAnsi="Arial" w:cs="Arial"/>
          <w:sz w:val="24"/>
          <w:szCs w:val="24"/>
        </w:rPr>
        <w:t xml:space="preserve">the applicant </w:t>
      </w:r>
      <w:r w:rsidR="00801794" w:rsidRPr="00B10D52">
        <w:rPr>
          <w:rFonts w:ascii="Arial" w:hAnsi="Arial" w:cs="Arial"/>
          <w:sz w:val="24"/>
          <w:szCs w:val="24"/>
        </w:rPr>
        <w:t xml:space="preserve">together with the keys </w:t>
      </w:r>
      <w:r w:rsidR="00780724" w:rsidRPr="00B10D52">
        <w:rPr>
          <w:rFonts w:ascii="Arial" w:hAnsi="Arial" w:cs="Arial"/>
          <w:sz w:val="24"/>
          <w:szCs w:val="24"/>
        </w:rPr>
        <w:t xml:space="preserve">on </w:t>
      </w:r>
      <w:r w:rsidR="00780724" w:rsidRPr="00B10D52">
        <w:rPr>
          <w:rFonts w:ascii="Arial" w:hAnsi="Arial" w:cs="Arial"/>
          <w:sz w:val="24"/>
          <w:szCs w:val="24"/>
        </w:rPr>
        <w:lastRenderedPageBreak/>
        <w:t>the grounds that the applicant was despoiled of possession of the premises.</w:t>
      </w:r>
      <w:r w:rsidR="002D6414" w:rsidRPr="00B10D52">
        <w:rPr>
          <w:rFonts w:ascii="Arial" w:hAnsi="Arial" w:cs="Arial"/>
          <w:sz w:val="24"/>
          <w:szCs w:val="24"/>
        </w:rPr>
        <w:t xml:space="preserve"> </w:t>
      </w:r>
    </w:p>
    <w:p w:rsidR="00495903" w:rsidRPr="00B10D52" w:rsidRDefault="00495903" w:rsidP="001018CF">
      <w:pPr>
        <w:spacing w:after="0" w:line="360" w:lineRule="auto"/>
        <w:ind w:left="851" w:hanging="851"/>
        <w:jc w:val="both"/>
        <w:rPr>
          <w:rFonts w:ascii="Arial" w:hAnsi="Arial" w:cs="Arial"/>
          <w:sz w:val="24"/>
          <w:szCs w:val="24"/>
        </w:rPr>
      </w:pPr>
    </w:p>
    <w:p w:rsidR="00801794" w:rsidRPr="00B10D52" w:rsidRDefault="00801794" w:rsidP="001018CF">
      <w:pPr>
        <w:spacing w:after="0" w:line="360" w:lineRule="auto"/>
        <w:ind w:left="851" w:hanging="851"/>
        <w:jc w:val="both"/>
        <w:rPr>
          <w:rFonts w:ascii="Arial" w:hAnsi="Arial" w:cs="Arial"/>
          <w:sz w:val="24"/>
          <w:szCs w:val="24"/>
        </w:rPr>
      </w:pPr>
      <w:r w:rsidRPr="00B10D52">
        <w:rPr>
          <w:rFonts w:ascii="Arial" w:hAnsi="Arial" w:cs="Arial"/>
          <w:sz w:val="24"/>
          <w:szCs w:val="24"/>
        </w:rPr>
        <w:t>[2]</w:t>
      </w:r>
      <w:r w:rsidRPr="00B10D52">
        <w:rPr>
          <w:rFonts w:ascii="Arial" w:hAnsi="Arial" w:cs="Arial"/>
          <w:sz w:val="24"/>
          <w:szCs w:val="24"/>
        </w:rPr>
        <w:tab/>
        <w:t>The respondent opposed the application</w:t>
      </w:r>
      <w:r w:rsidR="00840987" w:rsidRPr="00B10D52">
        <w:rPr>
          <w:rFonts w:ascii="Arial" w:hAnsi="Arial" w:cs="Arial"/>
          <w:sz w:val="24"/>
          <w:szCs w:val="24"/>
        </w:rPr>
        <w:t>. B</w:t>
      </w:r>
      <w:r w:rsidRPr="00B10D52">
        <w:rPr>
          <w:rFonts w:ascii="Arial" w:hAnsi="Arial" w:cs="Arial"/>
          <w:sz w:val="24"/>
          <w:szCs w:val="24"/>
        </w:rPr>
        <w:t>y concurrence of both parties, the application was postponed to 2 June 2022 for hearing on the opposed roll</w:t>
      </w:r>
      <w:r w:rsidR="00495903" w:rsidRPr="00B10D52">
        <w:rPr>
          <w:rFonts w:ascii="Arial" w:hAnsi="Arial" w:cs="Arial"/>
          <w:sz w:val="24"/>
          <w:szCs w:val="24"/>
        </w:rPr>
        <w:t xml:space="preserve">. The </w:t>
      </w:r>
      <w:r w:rsidR="00840987" w:rsidRPr="00B10D52">
        <w:rPr>
          <w:rFonts w:ascii="Arial" w:hAnsi="Arial" w:cs="Arial"/>
          <w:sz w:val="24"/>
          <w:szCs w:val="24"/>
        </w:rPr>
        <w:t>applicant was granted leave to file its replying affidavit</w:t>
      </w:r>
      <w:r w:rsidRPr="00B10D52">
        <w:rPr>
          <w:rFonts w:ascii="Arial" w:hAnsi="Arial" w:cs="Arial"/>
          <w:sz w:val="24"/>
          <w:szCs w:val="24"/>
        </w:rPr>
        <w:t xml:space="preserve">. </w:t>
      </w:r>
    </w:p>
    <w:p w:rsidR="00840987" w:rsidRPr="00B10D52" w:rsidRDefault="00840987" w:rsidP="001018CF">
      <w:pPr>
        <w:spacing w:after="0" w:line="360" w:lineRule="auto"/>
        <w:ind w:left="851" w:hanging="851"/>
        <w:jc w:val="both"/>
        <w:rPr>
          <w:rFonts w:ascii="Arial" w:hAnsi="Arial" w:cs="Arial"/>
          <w:sz w:val="24"/>
          <w:szCs w:val="24"/>
        </w:rPr>
      </w:pPr>
    </w:p>
    <w:p w:rsidR="000D60D7" w:rsidRPr="00B10D52" w:rsidRDefault="00840987" w:rsidP="001018CF">
      <w:pPr>
        <w:spacing w:after="0" w:line="360" w:lineRule="auto"/>
        <w:ind w:left="851" w:hanging="851"/>
        <w:jc w:val="both"/>
        <w:rPr>
          <w:rFonts w:ascii="Arial" w:hAnsi="Arial" w:cs="Arial"/>
          <w:sz w:val="24"/>
          <w:szCs w:val="24"/>
        </w:rPr>
      </w:pPr>
      <w:r w:rsidRPr="00B10D52">
        <w:rPr>
          <w:rFonts w:ascii="Arial" w:hAnsi="Arial" w:cs="Arial"/>
          <w:sz w:val="24"/>
          <w:szCs w:val="24"/>
        </w:rPr>
        <w:t>[3]</w:t>
      </w:r>
      <w:r w:rsidRPr="00B10D52">
        <w:rPr>
          <w:rFonts w:ascii="Arial" w:hAnsi="Arial" w:cs="Arial"/>
          <w:sz w:val="24"/>
          <w:szCs w:val="24"/>
        </w:rPr>
        <w:tab/>
      </w:r>
      <w:r w:rsidR="00780724" w:rsidRPr="00B10D52">
        <w:rPr>
          <w:rFonts w:ascii="Arial" w:hAnsi="Arial" w:cs="Arial"/>
          <w:sz w:val="24"/>
          <w:szCs w:val="24"/>
        </w:rPr>
        <w:t xml:space="preserve">At the </w:t>
      </w:r>
      <w:r w:rsidR="00495903" w:rsidRPr="00B10D52">
        <w:rPr>
          <w:rFonts w:ascii="Arial" w:hAnsi="Arial" w:cs="Arial"/>
          <w:sz w:val="24"/>
          <w:szCs w:val="24"/>
        </w:rPr>
        <w:t xml:space="preserve">commencement of the </w:t>
      </w:r>
      <w:r w:rsidR="00780724" w:rsidRPr="00B10D52">
        <w:rPr>
          <w:rFonts w:ascii="Arial" w:hAnsi="Arial" w:cs="Arial"/>
          <w:sz w:val="24"/>
          <w:szCs w:val="24"/>
        </w:rPr>
        <w:t>hearing</w:t>
      </w:r>
      <w:r w:rsidR="00A81940" w:rsidRPr="00B10D52">
        <w:rPr>
          <w:rFonts w:ascii="Arial" w:hAnsi="Arial" w:cs="Arial"/>
          <w:sz w:val="24"/>
          <w:szCs w:val="24"/>
        </w:rPr>
        <w:t xml:space="preserve">, I was informed that the </w:t>
      </w:r>
      <w:r w:rsidR="00495903" w:rsidRPr="00B10D52">
        <w:rPr>
          <w:rFonts w:ascii="Arial" w:hAnsi="Arial" w:cs="Arial"/>
          <w:sz w:val="24"/>
          <w:szCs w:val="24"/>
        </w:rPr>
        <w:t xml:space="preserve">urgency of the application had fallen away, the only issue which remained to be determined was the merits of the application. </w:t>
      </w:r>
    </w:p>
    <w:p w:rsidR="00495903" w:rsidRPr="00B10D52" w:rsidRDefault="00495903" w:rsidP="001018CF">
      <w:pPr>
        <w:spacing w:after="0" w:line="360" w:lineRule="auto"/>
        <w:ind w:left="851" w:hanging="851"/>
        <w:jc w:val="both"/>
        <w:rPr>
          <w:rFonts w:ascii="Arial" w:hAnsi="Arial" w:cs="Arial"/>
          <w:sz w:val="24"/>
          <w:szCs w:val="24"/>
        </w:rPr>
      </w:pPr>
    </w:p>
    <w:p w:rsidR="00445BB8" w:rsidRPr="00B10D52" w:rsidRDefault="000D60D7" w:rsidP="001018CF">
      <w:pPr>
        <w:spacing w:after="0" w:line="360" w:lineRule="auto"/>
        <w:ind w:left="851" w:hanging="851"/>
        <w:jc w:val="both"/>
        <w:rPr>
          <w:rFonts w:ascii="Arial" w:hAnsi="Arial" w:cs="Arial"/>
          <w:sz w:val="24"/>
          <w:szCs w:val="24"/>
        </w:rPr>
      </w:pPr>
      <w:r w:rsidRPr="00B10D52">
        <w:rPr>
          <w:rFonts w:ascii="Arial" w:hAnsi="Arial" w:cs="Arial"/>
          <w:sz w:val="24"/>
          <w:szCs w:val="24"/>
        </w:rPr>
        <w:t>[</w:t>
      </w:r>
      <w:r w:rsidR="000400C6" w:rsidRPr="00B10D52">
        <w:rPr>
          <w:rFonts w:ascii="Arial" w:hAnsi="Arial" w:cs="Arial"/>
          <w:sz w:val="24"/>
          <w:szCs w:val="24"/>
        </w:rPr>
        <w:t>4</w:t>
      </w:r>
      <w:r w:rsidRPr="00B10D52">
        <w:rPr>
          <w:rFonts w:ascii="Arial" w:hAnsi="Arial" w:cs="Arial"/>
          <w:sz w:val="24"/>
          <w:szCs w:val="24"/>
        </w:rPr>
        <w:t>]</w:t>
      </w:r>
      <w:r w:rsidRPr="00B10D52">
        <w:rPr>
          <w:rFonts w:ascii="Arial" w:hAnsi="Arial" w:cs="Arial"/>
          <w:sz w:val="24"/>
          <w:szCs w:val="24"/>
        </w:rPr>
        <w:tab/>
      </w:r>
      <w:r w:rsidR="00445BB8" w:rsidRPr="00B10D52">
        <w:rPr>
          <w:rFonts w:ascii="Arial" w:hAnsi="Arial" w:cs="Arial"/>
          <w:sz w:val="24"/>
          <w:szCs w:val="24"/>
        </w:rPr>
        <w:t xml:space="preserve">The salient background facts giving rise to this application are generally common cause: The respondent is the owner of the premises. On 27 February 2020 the parties concluded a lease agreement in terms of which the respondent let the premises to the applicant from 1 February 2020 to 31 </w:t>
      </w:r>
      <w:r w:rsidR="00B10D52">
        <w:rPr>
          <w:rFonts w:ascii="Arial" w:hAnsi="Arial" w:cs="Arial"/>
          <w:sz w:val="24"/>
          <w:szCs w:val="24"/>
        </w:rPr>
        <w:t>M</w:t>
      </w:r>
      <w:r w:rsidR="00445BB8" w:rsidRPr="00B10D52">
        <w:rPr>
          <w:rFonts w:ascii="Arial" w:hAnsi="Arial" w:cs="Arial"/>
          <w:sz w:val="24"/>
          <w:szCs w:val="24"/>
        </w:rPr>
        <w:t>ay 2024. During March 2021</w:t>
      </w:r>
      <w:r w:rsidR="00B10D52">
        <w:rPr>
          <w:rFonts w:ascii="Arial" w:hAnsi="Arial" w:cs="Arial"/>
          <w:sz w:val="24"/>
          <w:szCs w:val="24"/>
        </w:rPr>
        <w:t xml:space="preserve">, </w:t>
      </w:r>
      <w:r w:rsidR="00445BB8" w:rsidRPr="00B10D52">
        <w:rPr>
          <w:rFonts w:ascii="Arial" w:hAnsi="Arial" w:cs="Arial"/>
          <w:sz w:val="24"/>
          <w:szCs w:val="24"/>
        </w:rPr>
        <w:t xml:space="preserve">the applicant breached the lease agreement by failing to pay rentals. On 4 November 2021 the respondent served the applicant with a notice of cancellation of the lease agreement and thereafter on 6 May 2022 gave the applicant notice that the locks of the premises have been changed. </w:t>
      </w:r>
    </w:p>
    <w:p w:rsidR="00445BB8" w:rsidRPr="00B10D52" w:rsidRDefault="00445BB8" w:rsidP="001018CF">
      <w:pPr>
        <w:spacing w:after="0" w:line="360" w:lineRule="auto"/>
        <w:ind w:left="851" w:hanging="851"/>
        <w:jc w:val="both"/>
        <w:rPr>
          <w:rFonts w:ascii="Arial" w:hAnsi="Arial" w:cs="Arial"/>
          <w:sz w:val="24"/>
          <w:szCs w:val="24"/>
        </w:rPr>
      </w:pPr>
    </w:p>
    <w:p w:rsidR="00DD7D70" w:rsidRPr="00B10D52" w:rsidRDefault="000400C6" w:rsidP="001018CF">
      <w:pPr>
        <w:spacing w:after="0" w:line="360" w:lineRule="auto"/>
        <w:ind w:left="851" w:hanging="851"/>
        <w:jc w:val="both"/>
        <w:rPr>
          <w:rFonts w:ascii="Arial" w:hAnsi="Arial" w:cs="Arial"/>
          <w:sz w:val="24"/>
          <w:szCs w:val="24"/>
        </w:rPr>
      </w:pPr>
      <w:r w:rsidRPr="00B10D52">
        <w:rPr>
          <w:rFonts w:ascii="Arial" w:hAnsi="Arial" w:cs="Arial"/>
          <w:sz w:val="24"/>
          <w:szCs w:val="24"/>
        </w:rPr>
        <w:t>[5</w:t>
      </w:r>
      <w:r w:rsidR="00445BB8" w:rsidRPr="00B10D52">
        <w:rPr>
          <w:rFonts w:ascii="Arial" w:hAnsi="Arial" w:cs="Arial"/>
          <w:sz w:val="24"/>
          <w:szCs w:val="24"/>
        </w:rPr>
        <w:t>]</w:t>
      </w:r>
      <w:r w:rsidR="00445BB8" w:rsidRPr="00B10D52">
        <w:rPr>
          <w:rFonts w:ascii="Arial" w:hAnsi="Arial" w:cs="Arial"/>
          <w:sz w:val="24"/>
          <w:szCs w:val="24"/>
        </w:rPr>
        <w:tab/>
      </w:r>
      <w:r w:rsidR="007841CC" w:rsidRPr="00B10D52">
        <w:rPr>
          <w:rFonts w:ascii="Arial" w:hAnsi="Arial" w:cs="Arial"/>
          <w:sz w:val="24"/>
          <w:szCs w:val="24"/>
        </w:rPr>
        <w:t xml:space="preserve">In the founding affidavit the applicant </w:t>
      </w:r>
      <w:r w:rsidR="00445BB8" w:rsidRPr="00B10D52">
        <w:rPr>
          <w:rFonts w:ascii="Arial" w:hAnsi="Arial" w:cs="Arial"/>
          <w:sz w:val="24"/>
          <w:szCs w:val="24"/>
        </w:rPr>
        <w:t>disputes the validity of the cancellation and insists that the lease agreement</w:t>
      </w:r>
      <w:r w:rsidR="00944D49" w:rsidRPr="00B10D52">
        <w:rPr>
          <w:rStyle w:val="FootnoteReference"/>
          <w:rFonts w:ascii="Arial" w:hAnsi="Arial" w:cs="Arial"/>
          <w:sz w:val="24"/>
          <w:szCs w:val="24"/>
        </w:rPr>
        <w:footnoteReference w:id="1"/>
      </w:r>
      <w:r w:rsidR="00DD7D70" w:rsidRPr="00B10D52">
        <w:rPr>
          <w:rFonts w:ascii="Arial" w:hAnsi="Arial" w:cs="Arial"/>
          <w:sz w:val="24"/>
          <w:szCs w:val="24"/>
        </w:rPr>
        <w:t xml:space="preserve"> </w:t>
      </w:r>
      <w:r w:rsidR="00445BB8" w:rsidRPr="00B10D52">
        <w:rPr>
          <w:rFonts w:ascii="Arial" w:hAnsi="Arial" w:cs="Arial"/>
          <w:sz w:val="24"/>
          <w:szCs w:val="24"/>
        </w:rPr>
        <w:t xml:space="preserve">is extant. The applicant states that prior to </w:t>
      </w:r>
      <w:r w:rsidR="007841CC" w:rsidRPr="00B10D52">
        <w:rPr>
          <w:rFonts w:ascii="Arial" w:hAnsi="Arial" w:cs="Arial"/>
          <w:sz w:val="24"/>
          <w:szCs w:val="24"/>
        </w:rPr>
        <w:t xml:space="preserve">6 May 2022 the </w:t>
      </w:r>
      <w:r w:rsidR="00445BB8" w:rsidRPr="00B10D52">
        <w:rPr>
          <w:rFonts w:ascii="Arial" w:hAnsi="Arial" w:cs="Arial"/>
          <w:sz w:val="24"/>
          <w:szCs w:val="24"/>
        </w:rPr>
        <w:t xml:space="preserve">applicant was in </w:t>
      </w:r>
      <w:r w:rsidR="007841CC" w:rsidRPr="00B10D52">
        <w:rPr>
          <w:rFonts w:ascii="Arial" w:hAnsi="Arial" w:cs="Arial"/>
          <w:sz w:val="24"/>
          <w:szCs w:val="24"/>
        </w:rPr>
        <w:t>peaceful and undisturbed possession of the premises</w:t>
      </w:r>
      <w:r w:rsidR="00445BB8" w:rsidRPr="00B10D52">
        <w:rPr>
          <w:rFonts w:ascii="Arial" w:hAnsi="Arial" w:cs="Arial"/>
          <w:sz w:val="24"/>
          <w:szCs w:val="24"/>
        </w:rPr>
        <w:t xml:space="preserve">. </w:t>
      </w:r>
      <w:r w:rsidR="007841CC" w:rsidRPr="00B10D52">
        <w:rPr>
          <w:rFonts w:ascii="Arial" w:hAnsi="Arial" w:cs="Arial"/>
          <w:sz w:val="24"/>
          <w:szCs w:val="24"/>
        </w:rPr>
        <w:t>The respondent had no valid reasons to cancel the lease and deprive the applicant the peaceful and undisturbed possession of the premises</w:t>
      </w:r>
      <w:r w:rsidR="00B10D52">
        <w:rPr>
          <w:rFonts w:ascii="Arial" w:hAnsi="Arial" w:cs="Arial"/>
          <w:sz w:val="24"/>
          <w:szCs w:val="24"/>
        </w:rPr>
        <w:t>. T</w:t>
      </w:r>
      <w:r w:rsidR="00445BB8" w:rsidRPr="00B10D52">
        <w:rPr>
          <w:rFonts w:ascii="Arial" w:hAnsi="Arial" w:cs="Arial"/>
          <w:sz w:val="24"/>
          <w:szCs w:val="24"/>
        </w:rPr>
        <w:t xml:space="preserve">he </w:t>
      </w:r>
      <w:r w:rsidR="007841CC" w:rsidRPr="00B10D52">
        <w:rPr>
          <w:rFonts w:ascii="Arial" w:hAnsi="Arial" w:cs="Arial"/>
          <w:sz w:val="24"/>
          <w:szCs w:val="24"/>
        </w:rPr>
        <w:t xml:space="preserve">respondent must therefore show justification for depriving the applicant peaceful and </w:t>
      </w:r>
      <w:r w:rsidR="00C27335" w:rsidRPr="00B10D52">
        <w:rPr>
          <w:rFonts w:ascii="Arial" w:hAnsi="Arial" w:cs="Arial"/>
          <w:sz w:val="24"/>
          <w:szCs w:val="24"/>
        </w:rPr>
        <w:t>undisturbed possession</w:t>
      </w:r>
      <w:r w:rsidR="005E0586" w:rsidRPr="00B10D52">
        <w:rPr>
          <w:rFonts w:ascii="Arial" w:hAnsi="Arial" w:cs="Arial"/>
          <w:sz w:val="24"/>
          <w:szCs w:val="24"/>
        </w:rPr>
        <w:t>.</w:t>
      </w:r>
    </w:p>
    <w:p w:rsidR="00C27335" w:rsidRPr="00B10D52" w:rsidRDefault="00C27335" w:rsidP="001018CF">
      <w:pPr>
        <w:spacing w:after="0" w:line="360" w:lineRule="auto"/>
        <w:ind w:left="851" w:hanging="851"/>
        <w:jc w:val="both"/>
        <w:rPr>
          <w:rFonts w:ascii="Arial" w:hAnsi="Arial" w:cs="Arial"/>
          <w:sz w:val="24"/>
          <w:szCs w:val="24"/>
        </w:rPr>
      </w:pPr>
    </w:p>
    <w:p w:rsidR="006E3640" w:rsidRPr="00B10D52" w:rsidRDefault="00C27335" w:rsidP="001018CF">
      <w:pPr>
        <w:spacing w:after="0" w:line="360" w:lineRule="auto"/>
        <w:ind w:left="851" w:hanging="851"/>
        <w:jc w:val="both"/>
        <w:rPr>
          <w:rFonts w:ascii="Arial" w:hAnsi="Arial" w:cs="Arial"/>
          <w:sz w:val="24"/>
          <w:szCs w:val="24"/>
        </w:rPr>
      </w:pPr>
      <w:r w:rsidRPr="00B10D52">
        <w:rPr>
          <w:rFonts w:ascii="Arial" w:hAnsi="Arial" w:cs="Arial"/>
          <w:sz w:val="24"/>
          <w:szCs w:val="24"/>
        </w:rPr>
        <w:t>[</w:t>
      </w:r>
      <w:r w:rsidR="000400C6" w:rsidRPr="00B10D52">
        <w:rPr>
          <w:rFonts w:ascii="Arial" w:hAnsi="Arial" w:cs="Arial"/>
          <w:sz w:val="24"/>
          <w:szCs w:val="24"/>
        </w:rPr>
        <w:t>6</w:t>
      </w:r>
      <w:r w:rsidRPr="00B10D52">
        <w:rPr>
          <w:rFonts w:ascii="Arial" w:hAnsi="Arial" w:cs="Arial"/>
          <w:sz w:val="24"/>
          <w:szCs w:val="24"/>
        </w:rPr>
        <w:t>]</w:t>
      </w:r>
      <w:r w:rsidRPr="00B10D52">
        <w:rPr>
          <w:rFonts w:ascii="Arial" w:hAnsi="Arial" w:cs="Arial"/>
          <w:sz w:val="24"/>
          <w:szCs w:val="24"/>
        </w:rPr>
        <w:tab/>
      </w:r>
      <w:r w:rsidR="006B1621" w:rsidRPr="00B10D52">
        <w:rPr>
          <w:rFonts w:ascii="Arial" w:hAnsi="Arial" w:cs="Arial"/>
          <w:sz w:val="24"/>
          <w:szCs w:val="24"/>
        </w:rPr>
        <w:t>The respondent opposes the application on the grounds that</w:t>
      </w:r>
      <w:r w:rsidR="00D43DB2" w:rsidRPr="00B10D52">
        <w:rPr>
          <w:rFonts w:ascii="Arial" w:hAnsi="Arial" w:cs="Arial"/>
          <w:sz w:val="24"/>
          <w:szCs w:val="24"/>
        </w:rPr>
        <w:t xml:space="preserve"> the</w:t>
      </w:r>
      <w:r w:rsidR="007841CC" w:rsidRPr="00B10D52">
        <w:rPr>
          <w:rFonts w:ascii="Arial" w:hAnsi="Arial" w:cs="Arial"/>
          <w:sz w:val="24"/>
          <w:szCs w:val="24"/>
        </w:rPr>
        <w:t xml:space="preserve"> applicant is not entitled to </w:t>
      </w:r>
      <w:r w:rsidR="00601299">
        <w:rPr>
          <w:rFonts w:ascii="Arial" w:hAnsi="Arial" w:cs="Arial"/>
          <w:sz w:val="24"/>
          <w:szCs w:val="24"/>
        </w:rPr>
        <w:t xml:space="preserve">the </w:t>
      </w:r>
      <w:r w:rsidR="00D43DB2" w:rsidRPr="00B10D52">
        <w:rPr>
          <w:rFonts w:ascii="Arial" w:hAnsi="Arial" w:cs="Arial"/>
          <w:sz w:val="24"/>
          <w:szCs w:val="24"/>
        </w:rPr>
        <w:t xml:space="preserve">relief sought in </w:t>
      </w:r>
      <w:r w:rsidR="007841CC" w:rsidRPr="00B10D52">
        <w:rPr>
          <w:rFonts w:ascii="Arial" w:hAnsi="Arial" w:cs="Arial"/>
          <w:sz w:val="24"/>
          <w:szCs w:val="24"/>
        </w:rPr>
        <w:t xml:space="preserve">that: in the </w:t>
      </w:r>
      <w:r w:rsidR="006B1621" w:rsidRPr="00B10D52">
        <w:rPr>
          <w:rFonts w:ascii="Arial" w:hAnsi="Arial" w:cs="Arial"/>
          <w:sz w:val="24"/>
          <w:szCs w:val="24"/>
        </w:rPr>
        <w:t>founding affidavit</w:t>
      </w:r>
      <w:r w:rsidR="00D43DB2" w:rsidRPr="00B10D52">
        <w:rPr>
          <w:rFonts w:ascii="Arial" w:hAnsi="Arial" w:cs="Arial"/>
          <w:sz w:val="24"/>
          <w:szCs w:val="24"/>
        </w:rPr>
        <w:t xml:space="preserve"> </w:t>
      </w:r>
      <w:r w:rsidR="006B1621" w:rsidRPr="00B10D52">
        <w:rPr>
          <w:rFonts w:ascii="Arial" w:hAnsi="Arial" w:cs="Arial"/>
          <w:sz w:val="24"/>
          <w:szCs w:val="24"/>
        </w:rPr>
        <w:t xml:space="preserve">the </w:t>
      </w:r>
      <w:r w:rsidR="006B1621" w:rsidRPr="00B10D52">
        <w:rPr>
          <w:rFonts w:ascii="Arial" w:hAnsi="Arial" w:cs="Arial"/>
          <w:sz w:val="24"/>
          <w:szCs w:val="24"/>
        </w:rPr>
        <w:lastRenderedPageBreak/>
        <w:t xml:space="preserve">applicant </w:t>
      </w:r>
      <w:r w:rsidR="00BA547F" w:rsidRPr="00B10D52">
        <w:rPr>
          <w:rFonts w:ascii="Arial" w:hAnsi="Arial" w:cs="Arial"/>
          <w:sz w:val="24"/>
          <w:szCs w:val="24"/>
        </w:rPr>
        <w:t>alleges that its occupation of the premises arises from a lease agreement</w:t>
      </w:r>
      <w:r w:rsidR="00601299">
        <w:rPr>
          <w:rFonts w:ascii="Arial" w:hAnsi="Arial" w:cs="Arial"/>
          <w:sz w:val="24"/>
          <w:szCs w:val="24"/>
        </w:rPr>
        <w:t xml:space="preserve">, </w:t>
      </w:r>
      <w:r w:rsidR="007841CC" w:rsidRPr="00B10D52">
        <w:rPr>
          <w:rFonts w:ascii="Arial" w:hAnsi="Arial" w:cs="Arial"/>
          <w:sz w:val="24"/>
          <w:szCs w:val="24"/>
        </w:rPr>
        <w:t xml:space="preserve">the </w:t>
      </w:r>
      <w:r w:rsidR="00BA547F" w:rsidRPr="00B10D52">
        <w:rPr>
          <w:rFonts w:ascii="Arial" w:hAnsi="Arial" w:cs="Arial"/>
          <w:sz w:val="24"/>
          <w:szCs w:val="24"/>
        </w:rPr>
        <w:t xml:space="preserve">applicant is </w:t>
      </w:r>
      <w:r w:rsidR="007841CC" w:rsidRPr="00B10D52">
        <w:rPr>
          <w:rFonts w:ascii="Arial" w:hAnsi="Arial" w:cs="Arial"/>
          <w:sz w:val="24"/>
          <w:szCs w:val="24"/>
        </w:rPr>
        <w:t xml:space="preserve">thus </w:t>
      </w:r>
      <w:r w:rsidR="00BA547F" w:rsidRPr="00B10D52">
        <w:rPr>
          <w:rFonts w:ascii="Arial" w:hAnsi="Arial" w:cs="Arial"/>
          <w:sz w:val="24"/>
          <w:szCs w:val="24"/>
        </w:rPr>
        <w:t xml:space="preserve">claiming specific performance of the lease agreement which is beyond the scope of </w:t>
      </w:r>
      <w:r w:rsidR="00A853BA" w:rsidRPr="00B10D52">
        <w:rPr>
          <w:rFonts w:ascii="Arial" w:hAnsi="Arial" w:cs="Arial"/>
          <w:sz w:val="24"/>
          <w:szCs w:val="24"/>
        </w:rPr>
        <w:t>M</w:t>
      </w:r>
      <w:r w:rsidR="00BA547F" w:rsidRPr="00B10D52">
        <w:rPr>
          <w:rFonts w:ascii="Arial" w:hAnsi="Arial" w:cs="Arial"/>
          <w:sz w:val="24"/>
          <w:szCs w:val="24"/>
        </w:rPr>
        <w:t xml:space="preserve">andament van </w:t>
      </w:r>
      <w:r w:rsidR="00A853BA" w:rsidRPr="00B10D52">
        <w:rPr>
          <w:rFonts w:ascii="Arial" w:hAnsi="Arial" w:cs="Arial"/>
          <w:sz w:val="24"/>
          <w:szCs w:val="24"/>
        </w:rPr>
        <w:t>S</w:t>
      </w:r>
      <w:r w:rsidR="00BA547F" w:rsidRPr="00B10D52">
        <w:rPr>
          <w:rFonts w:ascii="Arial" w:hAnsi="Arial" w:cs="Arial"/>
          <w:sz w:val="24"/>
          <w:szCs w:val="24"/>
        </w:rPr>
        <w:t xml:space="preserve">polie. The </w:t>
      </w:r>
      <w:r w:rsidR="007841CC" w:rsidRPr="00B10D52">
        <w:rPr>
          <w:rFonts w:ascii="Arial" w:hAnsi="Arial" w:cs="Arial"/>
          <w:sz w:val="24"/>
          <w:szCs w:val="24"/>
        </w:rPr>
        <w:t xml:space="preserve">applicant also seeks </w:t>
      </w:r>
      <w:r w:rsidR="00BA547F" w:rsidRPr="00B10D52">
        <w:rPr>
          <w:rFonts w:ascii="Arial" w:hAnsi="Arial" w:cs="Arial"/>
          <w:sz w:val="24"/>
          <w:szCs w:val="24"/>
        </w:rPr>
        <w:t xml:space="preserve">a final interdict whereas the </w:t>
      </w:r>
      <w:r w:rsidR="007841CC" w:rsidRPr="00B10D52">
        <w:rPr>
          <w:rFonts w:ascii="Arial" w:hAnsi="Arial" w:cs="Arial"/>
          <w:sz w:val="24"/>
          <w:szCs w:val="24"/>
        </w:rPr>
        <w:t>requirements</w:t>
      </w:r>
      <w:r w:rsidR="00BA547F" w:rsidRPr="00B10D52">
        <w:rPr>
          <w:rFonts w:ascii="Arial" w:hAnsi="Arial" w:cs="Arial"/>
          <w:sz w:val="24"/>
          <w:szCs w:val="24"/>
        </w:rPr>
        <w:t xml:space="preserve"> for a final </w:t>
      </w:r>
      <w:r w:rsidR="007841CC" w:rsidRPr="00B10D52">
        <w:rPr>
          <w:rFonts w:ascii="Arial" w:hAnsi="Arial" w:cs="Arial"/>
          <w:sz w:val="24"/>
          <w:szCs w:val="24"/>
        </w:rPr>
        <w:t>interdict</w:t>
      </w:r>
      <w:r w:rsidR="00BA547F" w:rsidRPr="00B10D52">
        <w:rPr>
          <w:rFonts w:ascii="Arial" w:hAnsi="Arial" w:cs="Arial"/>
          <w:sz w:val="24"/>
          <w:szCs w:val="24"/>
        </w:rPr>
        <w:t xml:space="preserve"> have not been established</w:t>
      </w:r>
      <w:r w:rsidR="007841CC" w:rsidRPr="00B10D52">
        <w:rPr>
          <w:rFonts w:ascii="Arial" w:hAnsi="Arial" w:cs="Arial"/>
          <w:sz w:val="24"/>
          <w:szCs w:val="24"/>
        </w:rPr>
        <w:t xml:space="preserve">. </w:t>
      </w:r>
    </w:p>
    <w:p w:rsidR="007841CC" w:rsidRPr="00B10D52" w:rsidRDefault="007841CC" w:rsidP="001018CF">
      <w:pPr>
        <w:spacing w:after="0" w:line="360" w:lineRule="auto"/>
        <w:ind w:left="851" w:hanging="851"/>
        <w:jc w:val="both"/>
        <w:rPr>
          <w:rFonts w:ascii="Arial" w:hAnsi="Arial" w:cs="Arial"/>
          <w:sz w:val="24"/>
          <w:szCs w:val="24"/>
        </w:rPr>
      </w:pPr>
    </w:p>
    <w:p w:rsidR="00FB61E7" w:rsidRDefault="000400C6" w:rsidP="001018CF">
      <w:pPr>
        <w:spacing w:after="0" w:line="360" w:lineRule="auto"/>
        <w:ind w:left="851" w:hanging="851"/>
        <w:jc w:val="both"/>
        <w:rPr>
          <w:rFonts w:ascii="Arial" w:hAnsi="Arial" w:cs="Arial"/>
          <w:sz w:val="24"/>
          <w:szCs w:val="24"/>
        </w:rPr>
      </w:pPr>
      <w:r w:rsidRPr="00B10D52">
        <w:rPr>
          <w:rFonts w:ascii="Arial" w:hAnsi="Arial" w:cs="Arial"/>
          <w:sz w:val="24"/>
          <w:szCs w:val="24"/>
        </w:rPr>
        <w:t>[7</w:t>
      </w:r>
      <w:r w:rsidR="006E3640" w:rsidRPr="00B10D52">
        <w:rPr>
          <w:rFonts w:ascii="Arial" w:hAnsi="Arial" w:cs="Arial"/>
          <w:sz w:val="24"/>
          <w:szCs w:val="24"/>
        </w:rPr>
        <w:t>]</w:t>
      </w:r>
      <w:r w:rsidR="006E3640" w:rsidRPr="00B10D52">
        <w:rPr>
          <w:rFonts w:ascii="Arial" w:hAnsi="Arial" w:cs="Arial"/>
          <w:sz w:val="24"/>
          <w:szCs w:val="24"/>
        </w:rPr>
        <w:tab/>
      </w:r>
      <w:r w:rsidR="006B1621" w:rsidRPr="00B10D52">
        <w:rPr>
          <w:rFonts w:ascii="Arial" w:hAnsi="Arial" w:cs="Arial"/>
          <w:sz w:val="24"/>
          <w:szCs w:val="24"/>
        </w:rPr>
        <w:t xml:space="preserve">In response to the applicant’s invitation to furnish reasons justifying the dispossession, it is the respondent’s case that the </w:t>
      </w:r>
      <w:r w:rsidR="00CA6DF8" w:rsidRPr="00B10D52">
        <w:rPr>
          <w:rFonts w:ascii="Arial" w:hAnsi="Arial" w:cs="Arial"/>
          <w:sz w:val="24"/>
          <w:szCs w:val="24"/>
        </w:rPr>
        <w:t xml:space="preserve">lease was </w:t>
      </w:r>
      <w:r w:rsidR="00C27335" w:rsidRPr="00B10D52">
        <w:rPr>
          <w:rFonts w:ascii="Arial" w:hAnsi="Arial" w:cs="Arial"/>
          <w:sz w:val="24"/>
          <w:szCs w:val="24"/>
        </w:rPr>
        <w:t xml:space="preserve">cancelled </w:t>
      </w:r>
      <w:r w:rsidR="00CA6DF8" w:rsidRPr="00B10D52">
        <w:rPr>
          <w:rFonts w:ascii="Arial" w:hAnsi="Arial" w:cs="Arial"/>
          <w:sz w:val="24"/>
          <w:szCs w:val="24"/>
        </w:rPr>
        <w:t xml:space="preserve">on 4 November 2021 </w:t>
      </w:r>
      <w:r w:rsidR="006E3640" w:rsidRPr="00B10D52">
        <w:rPr>
          <w:rFonts w:ascii="Arial" w:hAnsi="Arial" w:cs="Arial"/>
          <w:sz w:val="24"/>
          <w:szCs w:val="24"/>
        </w:rPr>
        <w:t>pursuant to the applicant’s breach of the terms of the lease by failing to pay the rentals</w:t>
      </w:r>
      <w:r w:rsidR="00CA6DF8" w:rsidRPr="00B10D52">
        <w:rPr>
          <w:rFonts w:ascii="Arial" w:hAnsi="Arial" w:cs="Arial"/>
          <w:sz w:val="24"/>
          <w:szCs w:val="24"/>
        </w:rPr>
        <w:t xml:space="preserve"> despite demand. Except to dispute the validity of the cancellation the applicant failed to rectify the breach with the result that the respondent invoked the provisions of clause 18</w:t>
      </w:r>
      <w:r w:rsidR="007F74F6" w:rsidRPr="00B10D52">
        <w:rPr>
          <w:rStyle w:val="FootnoteReference"/>
          <w:rFonts w:ascii="Arial" w:hAnsi="Arial" w:cs="Arial"/>
          <w:sz w:val="24"/>
          <w:szCs w:val="24"/>
        </w:rPr>
        <w:footnoteReference w:id="2"/>
      </w:r>
      <w:r w:rsidR="00CA6DF8" w:rsidRPr="00B10D52">
        <w:rPr>
          <w:rFonts w:ascii="Arial" w:hAnsi="Arial" w:cs="Arial"/>
          <w:sz w:val="24"/>
          <w:szCs w:val="24"/>
        </w:rPr>
        <w:t xml:space="preserve"> of the lease agreement </w:t>
      </w:r>
      <w:r w:rsidR="00FB61E7" w:rsidRPr="00B10D52">
        <w:rPr>
          <w:rFonts w:ascii="Arial" w:hAnsi="Arial" w:cs="Arial"/>
          <w:sz w:val="24"/>
          <w:szCs w:val="24"/>
        </w:rPr>
        <w:t xml:space="preserve">which entitles the respondent to </w:t>
      </w:r>
      <w:r w:rsidR="00CA6DF8" w:rsidRPr="00B10D52">
        <w:rPr>
          <w:rFonts w:ascii="Arial" w:hAnsi="Arial" w:cs="Arial"/>
          <w:sz w:val="24"/>
          <w:szCs w:val="24"/>
        </w:rPr>
        <w:t xml:space="preserve">take possession of the </w:t>
      </w:r>
      <w:r w:rsidR="00FB61E7" w:rsidRPr="00B10D52">
        <w:rPr>
          <w:rFonts w:ascii="Arial" w:hAnsi="Arial" w:cs="Arial"/>
          <w:sz w:val="24"/>
          <w:szCs w:val="24"/>
        </w:rPr>
        <w:t xml:space="preserve">premises after cancelling the lease. The applicant was duly informed </w:t>
      </w:r>
      <w:r w:rsidR="00601299" w:rsidRPr="00B10D52">
        <w:rPr>
          <w:rFonts w:ascii="Arial" w:hAnsi="Arial" w:cs="Arial"/>
          <w:sz w:val="24"/>
          <w:szCs w:val="24"/>
        </w:rPr>
        <w:t>on 6 May 2022</w:t>
      </w:r>
      <w:r w:rsidR="00601299">
        <w:rPr>
          <w:rFonts w:ascii="Arial" w:hAnsi="Arial" w:cs="Arial"/>
          <w:sz w:val="24"/>
          <w:szCs w:val="24"/>
        </w:rPr>
        <w:t xml:space="preserve"> </w:t>
      </w:r>
      <w:r w:rsidR="00FB61E7" w:rsidRPr="00B10D52">
        <w:rPr>
          <w:rFonts w:ascii="Arial" w:hAnsi="Arial" w:cs="Arial"/>
          <w:sz w:val="24"/>
          <w:szCs w:val="24"/>
        </w:rPr>
        <w:t xml:space="preserve">that </w:t>
      </w:r>
      <w:r w:rsidR="00601299">
        <w:rPr>
          <w:rFonts w:ascii="Arial" w:hAnsi="Arial" w:cs="Arial"/>
          <w:sz w:val="24"/>
          <w:szCs w:val="24"/>
        </w:rPr>
        <w:t xml:space="preserve">the </w:t>
      </w:r>
      <w:r w:rsidR="00FB61E7" w:rsidRPr="00B10D52">
        <w:rPr>
          <w:rFonts w:ascii="Arial" w:hAnsi="Arial" w:cs="Arial"/>
          <w:sz w:val="24"/>
          <w:szCs w:val="24"/>
        </w:rPr>
        <w:t xml:space="preserve">locks </w:t>
      </w:r>
      <w:r w:rsidR="00601299">
        <w:rPr>
          <w:rFonts w:ascii="Arial" w:hAnsi="Arial" w:cs="Arial"/>
          <w:sz w:val="24"/>
          <w:szCs w:val="24"/>
        </w:rPr>
        <w:t xml:space="preserve">of the premises </w:t>
      </w:r>
      <w:r w:rsidR="00FB61E7" w:rsidRPr="00B10D52">
        <w:rPr>
          <w:rFonts w:ascii="Arial" w:hAnsi="Arial" w:cs="Arial"/>
          <w:sz w:val="24"/>
          <w:szCs w:val="24"/>
        </w:rPr>
        <w:t>would be changed</w:t>
      </w:r>
      <w:r w:rsidR="006E3640" w:rsidRPr="00B10D52">
        <w:rPr>
          <w:rStyle w:val="FootnoteReference"/>
          <w:rFonts w:ascii="Arial" w:hAnsi="Arial" w:cs="Arial"/>
          <w:sz w:val="24"/>
          <w:szCs w:val="24"/>
        </w:rPr>
        <w:footnoteReference w:id="3"/>
      </w:r>
      <w:r w:rsidR="00850C58" w:rsidRPr="00B10D52">
        <w:rPr>
          <w:rFonts w:ascii="Arial" w:hAnsi="Arial" w:cs="Arial"/>
          <w:sz w:val="24"/>
          <w:szCs w:val="24"/>
        </w:rPr>
        <w:t xml:space="preserve"> </w:t>
      </w:r>
      <w:r w:rsidR="00FB61E7" w:rsidRPr="00B10D52">
        <w:rPr>
          <w:rFonts w:ascii="Arial" w:hAnsi="Arial" w:cs="Arial"/>
          <w:sz w:val="24"/>
          <w:szCs w:val="24"/>
        </w:rPr>
        <w:t xml:space="preserve">therefore, the applicant has no contractual right to remain in the premises. The application must be dismissed with a punitive cost order. </w:t>
      </w:r>
    </w:p>
    <w:p w:rsidR="00B10D52" w:rsidRPr="00B10D52" w:rsidRDefault="00B10D52" w:rsidP="001018CF">
      <w:pPr>
        <w:spacing w:after="0" w:line="360" w:lineRule="auto"/>
        <w:ind w:left="851" w:hanging="851"/>
        <w:jc w:val="both"/>
        <w:rPr>
          <w:rFonts w:ascii="Arial" w:hAnsi="Arial" w:cs="Arial"/>
          <w:sz w:val="24"/>
          <w:szCs w:val="24"/>
        </w:rPr>
      </w:pPr>
    </w:p>
    <w:p w:rsidR="007B25BE" w:rsidRPr="00B10D52" w:rsidRDefault="000400C6" w:rsidP="00F06F57">
      <w:pPr>
        <w:spacing w:after="0" w:line="360" w:lineRule="auto"/>
        <w:ind w:left="851" w:hanging="851"/>
        <w:jc w:val="both"/>
        <w:rPr>
          <w:rFonts w:ascii="Arial" w:hAnsi="Arial" w:cs="Arial"/>
          <w:sz w:val="24"/>
          <w:szCs w:val="24"/>
          <w:lang w:val="en-US"/>
        </w:rPr>
      </w:pPr>
      <w:r w:rsidRPr="00B10D52">
        <w:rPr>
          <w:rFonts w:ascii="Arial" w:hAnsi="Arial" w:cs="Arial"/>
          <w:sz w:val="24"/>
          <w:szCs w:val="24"/>
        </w:rPr>
        <w:t>[8</w:t>
      </w:r>
      <w:r w:rsidR="00BA547F" w:rsidRPr="00B10D52">
        <w:rPr>
          <w:rFonts w:ascii="Arial" w:hAnsi="Arial" w:cs="Arial"/>
          <w:sz w:val="24"/>
          <w:szCs w:val="24"/>
        </w:rPr>
        <w:t>]</w:t>
      </w:r>
      <w:r w:rsidR="00BA547F" w:rsidRPr="00B10D52">
        <w:rPr>
          <w:rFonts w:ascii="Arial" w:hAnsi="Arial" w:cs="Arial"/>
          <w:sz w:val="24"/>
          <w:szCs w:val="24"/>
        </w:rPr>
        <w:tab/>
        <w:t xml:space="preserve">The requirements to be proven by the applicant in order to </w:t>
      </w:r>
      <w:r w:rsidR="002D6414" w:rsidRPr="00B10D52">
        <w:rPr>
          <w:rFonts w:ascii="Arial" w:hAnsi="Arial" w:cs="Arial"/>
          <w:sz w:val="24"/>
          <w:szCs w:val="24"/>
        </w:rPr>
        <w:t>succeed with th</w:t>
      </w:r>
      <w:r w:rsidR="00C31AE3" w:rsidRPr="00B10D52">
        <w:rPr>
          <w:rFonts w:ascii="Arial" w:hAnsi="Arial" w:cs="Arial"/>
          <w:sz w:val="24"/>
          <w:szCs w:val="24"/>
        </w:rPr>
        <w:t xml:space="preserve">is </w:t>
      </w:r>
      <w:r w:rsidR="002D6414" w:rsidRPr="00B10D52">
        <w:rPr>
          <w:rFonts w:ascii="Arial" w:hAnsi="Arial" w:cs="Arial"/>
          <w:sz w:val="24"/>
          <w:szCs w:val="24"/>
        </w:rPr>
        <w:t>application</w:t>
      </w:r>
      <w:r w:rsidR="00BA547F" w:rsidRPr="00B10D52">
        <w:rPr>
          <w:rFonts w:ascii="Arial" w:hAnsi="Arial" w:cs="Arial"/>
          <w:sz w:val="24"/>
          <w:szCs w:val="24"/>
        </w:rPr>
        <w:t xml:space="preserve"> are trite</w:t>
      </w:r>
      <w:r w:rsidR="00C31AE3" w:rsidRPr="00B10D52">
        <w:rPr>
          <w:rFonts w:ascii="Arial" w:hAnsi="Arial" w:cs="Arial"/>
          <w:sz w:val="24"/>
          <w:szCs w:val="24"/>
        </w:rPr>
        <w:t xml:space="preserve">. The </w:t>
      </w:r>
      <w:r w:rsidR="002D6414" w:rsidRPr="00B10D52">
        <w:rPr>
          <w:rFonts w:ascii="Arial" w:hAnsi="Arial" w:cs="Arial"/>
          <w:sz w:val="24"/>
          <w:szCs w:val="24"/>
        </w:rPr>
        <w:t>appl</w:t>
      </w:r>
      <w:r w:rsidR="00BA547F" w:rsidRPr="00B10D52">
        <w:rPr>
          <w:rFonts w:ascii="Arial" w:hAnsi="Arial" w:cs="Arial"/>
          <w:sz w:val="24"/>
          <w:szCs w:val="24"/>
        </w:rPr>
        <w:t>icant must allege and prove</w:t>
      </w:r>
      <w:r w:rsidR="007B25BE" w:rsidRPr="00B10D52">
        <w:rPr>
          <w:rFonts w:ascii="Arial" w:hAnsi="Arial" w:cs="Arial"/>
          <w:sz w:val="24"/>
          <w:szCs w:val="24"/>
        </w:rPr>
        <w:t xml:space="preserve"> prior possession and </w:t>
      </w:r>
      <w:r w:rsidR="00870359" w:rsidRPr="00B10D52">
        <w:rPr>
          <w:rFonts w:ascii="Arial" w:hAnsi="Arial" w:cs="Arial"/>
          <w:sz w:val="24"/>
          <w:szCs w:val="24"/>
        </w:rPr>
        <w:t xml:space="preserve">that it </w:t>
      </w:r>
      <w:r w:rsidR="007B25BE" w:rsidRPr="00B10D52">
        <w:rPr>
          <w:rFonts w:ascii="Arial" w:hAnsi="Arial" w:cs="Arial"/>
          <w:sz w:val="24"/>
          <w:szCs w:val="24"/>
        </w:rPr>
        <w:t xml:space="preserve">was deprived of that possession unlawfully </w:t>
      </w:r>
      <w:r w:rsidR="00711C6D" w:rsidRPr="00B10D52">
        <w:rPr>
          <w:rFonts w:ascii="Arial" w:hAnsi="Arial" w:cs="Arial"/>
          <w:sz w:val="24"/>
          <w:szCs w:val="24"/>
        </w:rPr>
        <w:t>or against its will</w:t>
      </w:r>
      <w:r w:rsidR="00FB61E7" w:rsidRPr="00B10D52">
        <w:rPr>
          <w:rFonts w:ascii="Arial" w:hAnsi="Arial" w:cs="Arial"/>
          <w:sz w:val="24"/>
          <w:szCs w:val="24"/>
        </w:rPr>
        <w:t xml:space="preserve">: </w:t>
      </w:r>
      <w:bookmarkStart w:id="1" w:name="_Hlk76307480"/>
      <w:r w:rsidR="00133839" w:rsidRPr="00B10D52">
        <w:rPr>
          <w:rFonts w:ascii="Arial" w:hAnsi="Arial" w:cs="Arial"/>
          <w:i/>
          <w:sz w:val="24"/>
          <w:szCs w:val="24"/>
        </w:rPr>
        <w:t>Yeko v Qana</w:t>
      </w:r>
      <w:r w:rsidR="00133839" w:rsidRPr="00B10D52">
        <w:rPr>
          <w:rFonts w:ascii="Arial" w:hAnsi="Arial" w:cs="Arial"/>
          <w:sz w:val="24"/>
          <w:szCs w:val="24"/>
        </w:rPr>
        <w:t xml:space="preserve"> </w:t>
      </w:r>
      <w:r w:rsidR="00133839" w:rsidRPr="00B10D52">
        <w:rPr>
          <w:rFonts w:ascii="Arial" w:hAnsi="Arial" w:cs="Arial"/>
          <w:b/>
          <w:sz w:val="24"/>
          <w:szCs w:val="24"/>
          <w:u w:val="single"/>
        </w:rPr>
        <w:t>1973 (4) SA 735</w:t>
      </w:r>
      <w:r w:rsidR="00133839" w:rsidRPr="00B10D52">
        <w:rPr>
          <w:rFonts w:ascii="Arial" w:hAnsi="Arial" w:cs="Arial"/>
          <w:sz w:val="24"/>
          <w:szCs w:val="24"/>
        </w:rPr>
        <w:t xml:space="preserve"> (A) at 739E-F</w:t>
      </w:r>
      <w:r w:rsidR="00FB61E7" w:rsidRPr="00B10D52">
        <w:rPr>
          <w:rFonts w:ascii="Arial" w:hAnsi="Arial" w:cs="Arial"/>
          <w:sz w:val="24"/>
          <w:szCs w:val="24"/>
        </w:rPr>
        <w:t xml:space="preserve">; </w:t>
      </w:r>
      <w:r w:rsidR="00133839" w:rsidRPr="00B10D52">
        <w:rPr>
          <w:rFonts w:ascii="Arial" w:hAnsi="Arial" w:cs="Arial"/>
          <w:i/>
          <w:sz w:val="24"/>
          <w:szCs w:val="24"/>
        </w:rPr>
        <w:t xml:space="preserve">Lawsa </w:t>
      </w:r>
      <w:r w:rsidR="00133839" w:rsidRPr="00B10D52">
        <w:rPr>
          <w:rFonts w:ascii="Arial" w:hAnsi="Arial" w:cs="Arial"/>
          <w:sz w:val="24"/>
          <w:szCs w:val="24"/>
        </w:rPr>
        <w:t>2</w:t>
      </w:r>
      <w:r w:rsidR="00FB61E7" w:rsidRPr="00B10D52">
        <w:rPr>
          <w:rFonts w:ascii="Arial" w:hAnsi="Arial" w:cs="Arial"/>
          <w:sz w:val="24"/>
          <w:szCs w:val="24"/>
          <w:vertAlign w:val="superscript"/>
        </w:rPr>
        <w:t>nd</w:t>
      </w:r>
      <w:r w:rsidR="00FB61E7" w:rsidRPr="00B10D52">
        <w:rPr>
          <w:rFonts w:ascii="Arial" w:hAnsi="Arial" w:cs="Arial"/>
          <w:sz w:val="24"/>
          <w:szCs w:val="24"/>
        </w:rPr>
        <w:t xml:space="preserve"> edition, </w:t>
      </w:r>
      <w:r w:rsidR="00133839" w:rsidRPr="00B10D52">
        <w:rPr>
          <w:rFonts w:ascii="Arial" w:hAnsi="Arial" w:cs="Arial"/>
          <w:sz w:val="24"/>
          <w:szCs w:val="24"/>
        </w:rPr>
        <w:t>2014 at 113 para 108</w:t>
      </w:r>
      <w:r w:rsidR="00A853BA" w:rsidRPr="00B10D52">
        <w:rPr>
          <w:rFonts w:ascii="Arial" w:hAnsi="Arial" w:cs="Arial"/>
          <w:sz w:val="24"/>
          <w:szCs w:val="24"/>
        </w:rPr>
        <w:t xml:space="preserve"> </w:t>
      </w:r>
      <w:r w:rsidR="00133839" w:rsidRPr="00B10D52">
        <w:rPr>
          <w:rFonts w:ascii="Arial" w:hAnsi="Arial" w:cs="Arial"/>
          <w:sz w:val="24"/>
          <w:szCs w:val="24"/>
        </w:rPr>
        <w:t xml:space="preserve">and </w:t>
      </w:r>
      <w:r w:rsidR="00133839" w:rsidRPr="00B10D52">
        <w:rPr>
          <w:rFonts w:ascii="Arial" w:hAnsi="Arial" w:cs="Arial"/>
          <w:i/>
          <w:sz w:val="24"/>
          <w:szCs w:val="24"/>
        </w:rPr>
        <w:t>B</w:t>
      </w:r>
      <w:r w:rsidR="007B25BE" w:rsidRPr="00B10D52">
        <w:rPr>
          <w:rFonts w:ascii="Arial" w:hAnsi="Arial" w:cs="Arial"/>
          <w:i/>
          <w:iCs/>
          <w:sz w:val="24"/>
          <w:szCs w:val="24"/>
        </w:rPr>
        <w:t xml:space="preserve">lendrite (Pty) Ltd and Another v </w:t>
      </w:r>
      <w:r w:rsidR="007B25BE" w:rsidRPr="00B10D52">
        <w:rPr>
          <w:rFonts w:ascii="Arial" w:hAnsi="Arial" w:cs="Arial"/>
          <w:i/>
          <w:iCs/>
          <w:sz w:val="24"/>
          <w:szCs w:val="24"/>
        </w:rPr>
        <w:lastRenderedPageBreak/>
        <w:t>Moonisami and Another</w:t>
      </w:r>
      <w:bookmarkEnd w:id="1"/>
      <w:r w:rsidR="007B25BE" w:rsidRPr="00B10D52">
        <w:rPr>
          <w:rFonts w:ascii="Arial" w:hAnsi="Arial" w:cs="Arial"/>
          <w:i/>
          <w:iCs/>
          <w:sz w:val="24"/>
          <w:szCs w:val="24"/>
        </w:rPr>
        <w:t xml:space="preserve"> </w:t>
      </w:r>
      <w:bookmarkStart w:id="2" w:name="_Hlk76307518"/>
      <w:r w:rsidR="007B25BE" w:rsidRPr="00B10D52">
        <w:rPr>
          <w:rFonts w:ascii="Arial" w:hAnsi="Arial" w:cs="Arial"/>
          <w:b/>
          <w:sz w:val="24"/>
          <w:szCs w:val="24"/>
          <w:u w:val="single"/>
          <w:lang w:val="en-US"/>
        </w:rPr>
        <w:t xml:space="preserve">Case no 227/2020 [2021] ZASCA 77 </w:t>
      </w:r>
      <w:r w:rsidR="007B25BE" w:rsidRPr="00B10D52">
        <w:rPr>
          <w:rFonts w:ascii="Arial" w:hAnsi="Arial" w:cs="Arial"/>
          <w:sz w:val="24"/>
          <w:szCs w:val="24"/>
          <w:lang w:val="en-US"/>
        </w:rPr>
        <w:t>(10 June 2021)</w:t>
      </w:r>
      <w:bookmarkEnd w:id="2"/>
      <w:r w:rsidR="007B25BE" w:rsidRPr="00B10D52">
        <w:rPr>
          <w:rFonts w:ascii="Arial" w:hAnsi="Arial" w:cs="Arial"/>
          <w:sz w:val="24"/>
          <w:szCs w:val="24"/>
          <w:lang w:val="en-US"/>
        </w:rPr>
        <w:t>.</w:t>
      </w:r>
    </w:p>
    <w:p w:rsidR="004B2A43" w:rsidRPr="00B10D52" w:rsidRDefault="004B2A43" w:rsidP="001018CF">
      <w:pPr>
        <w:spacing w:after="0" w:line="360" w:lineRule="auto"/>
        <w:ind w:left="720" w:hanging="720"/>
        <w:jc w:val="both"/>
        <w:rPr>
          <w:rFonts w:ascii="Arial" w:hAnsi="Arial" w:cs="Arial"/>
          <w:sz w:val="24"/>
          <w:szCs w:val="24"/>
          <w:lang w:val="en-US"/>
        </w:rPr>
      </w:pPr>
    </w:p>
    <w:p w:rsidR="00A853BA" w:rsidRPr="00B10D52" w:rsidRDefault="000400C6" w:rsidP="00A64FC3">
      <w:pPr>
        <w:autoSpaceDE w:val="0"/>
        <w:autoSpaceDN w:val="0"/>
        <w:adjustRightInd w:val="0"/>
        <w:spacing w:after="0" w:line="360" w:lineRule="auto"/>
        <w:ind w:left="851" w:hanging="851"/>
        <w:jc w:val="both"/>
        <w:rPr>
          <w:rFonts w:ascii="Arial" w:hAnsi="Arial" w:cs="Arial"/>
          <w:i/>
          <w:iCs/>
          <w:sz w:val="24"/>
          <w:szCs w:val="24"/>
        </w:rPr>
      </w:pPr>
      <w:r w:rsidRPr="00B10D52">
        <w:rPr>
          <w:rFonts w:ascii="Arial" w:hAnsi="Arial" w:cs="Arial"/>
          <w:sz w:val="24"/>
          <w:szCs w:val="24"/>
        </w:rPr>
        <w:t>[9</w:t>
      </w:r>
      <w:r w:rsidR="002D6414" w:rsidRPr="00B10D52">
        <w:rPr>
          <w:rFonts w:ascii="Arial" w:hAnsi="Arial" w:cs="Arial"/>
          <w:sz w:val="24"/>
          <w:szCs w:val="24"/>
        </w:rPr>
        <w:t>]</w:t>
      </w:r>
      <w:r w:rsidR="002D6414" w:rsidRPr="00B10D52">
        <w:rPr>
          <w:rFonts w:ascii="Arial" w:hAnsi="Arial" w:cs="Arial"/>
          <w:sz w:val="24"/>
          <w:szCs w:val="24"/>
        </w:rPr>
        <w:tab/>
      </w:r>
      <w:r w:rsidR="00A87DBD" w:rsidRPr="00B10D52">
        <w:rPr>
          <w:rFonts w:ascii="Arial" w:hAnsi="Arial" w:cs="Arial"/>
          <w:sz w:val="24"/>
          <w:szCs w:val="24"/>
        </w:rPr>
        <w:t>With regard to possession, it is not disputed that t</w:t>
      </w:r>
      <w:r w:rsidR="00133839" w:rsidRPr="00B10D52">
        <w:rPr>
          <w:rFonts w:ascii="Arial" w:hAnsi="Arial" w:cs="Arial"/>
          <w:sz w:val="24"/>
          <w:szCs w:val="24"/>
        </w:rPr>
        <w:t>he applicant was in possession of the premises until the respondent changed the locks</w:t>
      </w:r>
      <w:r w:rsidR="00E54A1C">
        <w:rPr>
          <w:rFonts w:ascii="Arial" w:hAnsi="Arial" w:cs="Arial"/>
          <w:sz w:val="24"/>
          <w:szCs w:val="24"/>
        </w:rPr>
        <w:t xml:space="preserve">. </w:t>
      </w:r>
      <w:r w:rsidR="00A87DBD" w:rsidRPr="00B10D52">
        <w:rPr>
          <w:rFonts w:ascii="Arial" w:hAnsi="Arial" w:cs="Arial"/>
          <w:sz w:val="24"/>
          <w:szCs w:val="24"/>
        </w:rPr>
        <w:t xml:space="preserve">The mere fact of possession generates a right which is generally referred to as the </w:t>
      </w:r>
      <w:r w:rsidR="00A87DBD" w:rsidRPr="00B10D52">
        <w:rPr>
          <w:rFonts w:ascii="Arial" w:hAnsi="Arial" w:cs="Arial"/>
          <w:i/>
          <w:iCs/>
          <w:sz w:val="24"/>
          <w:szCs w:val="24"/>
        </w:rPr>
        <w:t xml:space="preserve">jus possessionis, </w:t>
      </w:r>
      <w:r w:rsidR="00A87DBD" w:rsidRPr="00B10D52">
        <w:rPr>
          <w:rFonts w:ascii="Arial" w:hAnsi="Arial" w:cs="Arial"/>
          <w:iCs/>
          <w:sz w:val="24"/>
          <w:szCs w:val="24"/>
        </w:rPr>
        <w:t xml:space="preserve">the applicant’s legal right to possess the premises is irrelevant </w:t>
      </w:r>
      <w:r w:rsidR="001839B8" w:rsidRPr="00B10D52">
        <w:rPr>
          <w:rFonts w:ascii="Arial" w:hAnsi="Arial" w:cs="Arial"/>
          <w:iCs/>
          <w:sz w:val="24"/>
          <w:szCs w:val="24"/>
        </w:rPr>
        <w:t xml:space="preserve">to a claim </w:t>
      </w:r>
      <w:r w:rsidR="00A87DBD" w:rsidRPr="00B10D52">
        <w:rPr>
          <w:rFonts w:ascii="Arial" w:hAnsi="Arial" w:cs="Arial"/>
          <w:iCs/>
          <w:sz w:val="24"/>
          <w:szCs w:val="24"/>
        </w:rPr>
        <w:t xml:space="preserve">for </w:t>
      </w:r>
      <w:r w:rsidR="00133839" w:rsidRPr="00B10D52">
        <w:rPr>
          <w:rFonts w:ascii="Arial" w:hAnsi="Arial" w:cs="Arial"/>
          <w:iCs/>
          <w:sz w:val="24"/>
          <w:szCs w:val="24"/>
          <w:lang w:val="en-US"/>
        </w:rPr>
        <w:t>spoliatory relief</w:t>
      </w:r>
      <w:r w:rsidR="001839B8" w:rsidRPr="00B10D52">
        <w:rPr>
          <w:rFonts w:ascii="Arial" w:hAnsi="Arial" w:cs="Arial"/>
          <w:iCs/>
          <w:sz w:val="24"/>
          <w:szCs w:val="24"/>
          <w:lang w:val="en-US"/>
        </w:rPr>
        <w:t>. S</w:t>
      </w:r>
      <w:r w:rsidR="00A853BA" w:rsidRPr="00B10D52">
        <w:rPr>
          <w:rFonts w:ascii="Arial" w:hAnsi="Arial" w:cs="Arial"/>
          <w:iCs/>
          <w:sz w:val="24"/>
          <w:szCs w:val="24"/>
          <w:lang w:val="en-US"/>
        </w:rPr>
        <w:t xml:space="preserve">ee </w:t>
      </w:r>
      <w:r w:rsidR="00133839" w:rsidRPr="00B10D52">
        <w:rPr>
          <w:rFonts w:ascii="Arial" w:hAnsi="Arial" w:cs="Arial"/>
          <w:i/>
          <w:iCs/>
          <w:sz w:val="24"/>
          <w:szCs w:val="24"/>
        </w:rPr>
        <w:t>Sithole v Native Resettlement Board</w:t>
      </w:r>
      <w:r w:rsidR="00133839" w:rsidRPr="00B10D52">
        <w:rPr>
          <w:rFonts w:ascii="Arial" w:hAnsi="Arial" w:cs="Arial"/>
          <w:b/>
          <w:i/>
          <w:iCs/>
          <w:sz w:val="24"/>
          <w:szCs w:val="24"/>
          <w:u w:val="single"/>
        </w:rPr>
        <w:t xml:space="preserve"> </w:t>
      </w:r>
      <w:r w:rsidR="00133839" w:rsidRPr="00B10D52">
        <w:rPr>
          <w:rFonts w:ascii="Arial" w:hAnsi="Arial" w:cs="Arial"/>
          <w:b/>
          <w:sz w:val="24"/>
          <w:szCs w:val="24"/>
          <w:u w:val="single"/>
          <w:lang w:val="en-US"/>
        </w:rPr>
        <w:t>1959 (4) SA 115</w:t>
      </w:r>
      <w:r w:rsidR="00133839" w:rsidRPr="00B10D52">
        <w:rPr>
          <w:rFonts w:ascii="Arial" w:hAnsi="Arial" w:cs="Arial"/>
          <w:sz w:val="24"/>
          <w:szCs w:val="24"/>
          <w:lang w:val="en-US"/>
        </w:rPr>
        <w:t xml:space="preserve"> (W) at 117C-G</w:t>
      </w:r>
      <w:r w:rsidR="001839B8" w:rsidRPr="00B10D52">
        <w:rPr>
          <w:rFonts w:ascii="Arial" w:hAnsi="Arial" w:cs="Arial"/>
          <w:sz w:val="24"/>
          <w:szCs w:val="24"/>
          <w:lang w:val="en-US"/>
        </w:rPr>
        <w:t xml:space="preserve">; </w:t>
      </w:r>
      <w:r w:rsidR="001839B8" w:rsidRPr="00B10D52">
        <w:rPr>
          <w:rFonts w:ascii="Arial" w:hAnsi="Arial" w:cs="Arial"/>
          <w:i/>
          <w:iCs/>
          <w:sz w:val="24"/>
          <w:szCs w:val="24"/>
        </w:rPr>
        <w:t xml:space="preserve">Ngqukumba v Minister of Safety and Security and others </w:t>
      </w:r>
      <w:r w:rsidR="001839B8" w:rsidRPr="00B10D52">
        <w:rPr>
          <w:rFonts w:ascii="Arial" w:hAnsi="Arial" w:cs="Arial"/>
          <w:b/>
          <w:iCs/>
          <w:sz w:val="24"/>
          <w:szCs w:val="24"/>
          <w:u w:val="single"/>
        </w:rPr>
        <w:t xml:space="preserve">2014 (2) SACR 325 </w:t>
      </w:r>
      <w:r w:rsidR="001839B8" w:rsidRPr="00B10D52">
        <w:rPr>
          <w:rFonts w:ascii="Arial" w:hAnsi="Arial" w:cs="Arial"/>
          <w:iCs/>
          <w:sz w:val="24"/>
          <w:szCs w:val="24"/>
        </w:rPr>
        <w:t>CC at para 10</w:t>
      </w:r>
      <w:r w:rsidR="001839B8" w:rsidRPr="00B10D52">
        <w:rPr>
          <w:rFonts w:ascii="Arial" w:hAnsi="Arial" w:cs="Arial"/>
          <w:i/>
          <w:iCs/>
          <w:sz w:val="24"/>
          <w:szCs w:val="24"/>
        </w:rPr>
        <w:t>.</w:t>
      </w:r>
    </w:p>
    <w:p w:rsidR="001839B8" w:rsidRPr="00B10D52" w:rsidRDefault="001839B8" w:rsidP="001018CF">
      <w:pPr>
        <w:autoSpaceDE w:val="0"/>
        <w:autoSpaceDN w:val="0"/>
        <w:adjustRightInd w:val="0"/>
        <w:spacing w:after="0" w:line="360" w:lineRule="auto"/>
        <w:ind w:left="720" w:hanging="720"/>
        <w:jc w:val="both"/>
        <w:rPr>
          <w:rFonts w:ascii="Arial" w:hAnsi="Arial" w:cs="Arial"/>
          <w:sz w:val="24"/>
          <w:szCs w:val="24"/>
        </w:rPr>
      </w:pPr>
    </w:p>
    <w:p w:rsidR="00117BC1" w:rsidRPr="00B10D52" w:rsidRDefault="000400C6" w:rsidP="001018CF">
      <w:pPr>
        <w:spacing w:after="0" w:line="360" w:lineRule="auto"/>
        <w:ind w:left="851" w:hanging="851"/>
        <w:jc w:val="both"/>
        <w:rPr>
          <w:rFonts w:ascii="Arial" w:hAnsi="Arial" w:cs="Arial"/>
          <w:sz w:val="24"/>
          <w:szCs w:val="24"/>
        </w:rPr>
      </w:pPr>
      <w:r w:rsidRPr="00B10D52">
        <w:rPr>
          <w:rFonts w:ascii="Arial" w:hAnsi="Arial" w:cs="Arial"/>
          <w:sz w:val="24"/>
          <w:szCs w:val="24"/>
        </w:rPr>
        <w:t>[10</w:t>
      </w:r>
      <w:r w:rsidR="007B25BE" w:rsidRPr="00B10D52">
        <w:rPr>
          <w:rFonts w:ascii="Arial" w:hAnsi="Arial" w:cs="Arial"/>
          <w:sz w:val="24"/>
          <w:szCs w:val="24"/>
        </w:rPr>
        <w:t>]</w:t>
      </w:r>
      <w:r w:rsidR="007B25BE" w:rsidRPr="00B10D52">
        <w:rPr>
          <w:rFonts w:ascii="Arial" w:hAnsi="Arial" w:cs="Arial"/>
          <w:sz w:val="24"/>
          <w:szCs w:val="24"/>
        </w:rPr>
        <w:tab/>
      </w:r>
      <w:r w:rsidR="004B12A9" w:rsidRPr="00B10D52">
        <w:rPr>
          <w:rFonts w:ascii="Arial" w:hAnsi="Arial" w:cs="Arial"/>
          <w:sz w:val="24"/>
          <w:szCs w:val="24"/>
        </w:rPr>
        <w:t xml:space="preserve">In this matter, the applicant has however </w:t>
      </w:r>
      <w:r w:rsidR="00870359" w:rsidRPr="00B10D52">
        <w:rPr>
          <w:rFonts w:ascii="Arial" w:hAnsi="Arial" w:cs="Arial"/>
          <w:sz w:val="24"/>
          <w:szCs w:val="24"/>
        </w:rPr>
        <w:t>gone</w:t>
      </w:r>
      <w:r w:rsidR="004B12A9" w:rsidRPr="00B10D52">
        <w:rPr>
          <w:rFonts w:ascii="Arial" w:hAnsi="Arial" w:cs="Arial"/>
          <w:sz w:val="24"/>
          <w:szCs w:val="24"/>
        </w:rPr>
        <w:t xml:space="preserve"> further and </w:t>
      </w:r>
      <w:r w:rsidR="005E0586" w:rsidRPr="00B10D52">
        <w:rPr>
          <w:rFonts w:ascii="Arial" w:hAnsi="Arial" w:cs="Arial"/>
          <w:sz w:val="24"/>
          <w:szCs w:val="24"/>
        </w:rPr>
        <w:t xml:space="preserve">alleged a substantive </w:t>
      </w:r>
      <w:r w:rsidR="00850C58" w:rsidRPr="00B10D52">
        <w:rPr>
          <w:rFonts w:ascii="Arial" w:hAnsi="Arial" w:cs="Arial"/>
          <w:sz w:val="24"/>
          <w:szCs w:val="24"/>
        </w:rPr>
        <w:t xml:space="preserve">right to occupy the premises </w:t>
      </w:r>
      <w:r w:rsidR="00FE70FF" w:rsidRPr="00B10D52">
        <w:rPr>
          <w:rFonts w:ascii="Arial" w:hAnsi="Arial" w:cs="Arial"/>
          <w:sz w:val="24"/>
          <w:szCs w:val="24"/>
        </w:rPr>
        <w:t xml:space="preserve">based on </w:t>
      </w:r>
      <w:r w:rsidR="00117BC1" w:rsidRPr="00B10D52">
        <w:rPr>
          <w:rFonts w:ascii="Arial" w:hAnsi="Arial" w:cs="Arial"/>
          <w:sz w:val="24"/>
          <w:szCs w:val="24"/>
        </w:rPr>
        <w:t xml:space="preserve">the lease agreement and implored the respondent to provide reasons justifying the dispossession. </w:t>
      </w:r>
    </w:p>
    <w:p w:rsidR="00A853BA" w:rsidRPr="00B10D52" w:rsidRDefault="00A853BA" w:rsidP="001018CF">
      <w:pPr>
        <w:spacing w:after="0" w:line="360" w:lineRule="auto"/>
        <w:ind w:left="851" w:hanging="851"/>
        <w:jc w:val="both"/>
        <w:rPr>
          <w:rFonts w:ascii="Arial" w:hAnsi="Arial" w:cs="Arial"/>
          <w:sz w:val="24"/>
          <w:szCs w:val="24"/>
        </w:rPr>
      </w:pPr>
    </w:p>
    <w:p w:rsidR="00E17BD7" w:rsidRPr="00B10D52" w:rsidRDefault="000400C6" w:rsidP="001018CF">
      <w:pPr>
        <w:spacing w:after="0" w:line="360" w:lineRule="auto"/>
        <w:ind w:left="851" w:hanging="851"/>
        <w:jc w:val="both"/>
        <w:rPr>
          <w:rFonts w:ascii="Arial" w:hAnsi="Arial" w:cs="Arial"/>
          <w:b/>
          <w:bCs/>
          <w:sz w:val="24"/>
          <w:szCs w:val="24"/>
          <w:u w:val="single"/>
        </w:rPr>
      </w:pPr>
      <w:r w:rsidRPr="00B10D52">
        <w:rPr>
          <w:rFonts w:ascii="Arial" w:hAnsi="Arial" w:cs="Arial"/>
          <w:sz w:val="24"/>
          <w:szCs w:val="24"/>
        </w:rPr>
        <w:t>[11</w:t>
      </w:r>
      <w:r w:rsidR="00A853BA" w:rsidRPr="00B10D52">
        <w:rPr>
          <w:rFonts w:ascii="Arial" w:hAnsi="Arial" w:cs="Arial"/>
          <w:sz w:val="24"/>
          <w:szCs w:val="24"/>
        </w:rPr>
        <w:t>]</w:t>
      </w:r>
      <w:r w:rsidR="00A853BA" w:rsidRPr="00B10D52">
        <w:rPr>
          <w:rFonts w:ascii="Arial" w:hAnsi="Arial" w:cs="Arial"/>
          <w:sz w:val="24"/>
          <w:szCs w:val="24"/>
        </w:rPr>
        <w:tab/>
      </w:r>
      <w:r w:rsidR="00601351" w:rsidRPr="00B10D52">
        <w:rPr>
          <w:rFonts w:ascii="Arial" w:hAnsi="Arial" w:cs="Arial"/>
          <w:sz w:val="24"/>
          <w:szCs w:val="24"/>
        </w:rPr>
        <w:t xml:space="preserve">In </w:t>
      </w:r>
      <w:r w:rsidR="00601351" w:rsidRPr="00B10D52">
        <w:rPr>
          <w:rFonts w:ascii="Arial" w:hAnsi="Arial" w:cs="Arial"/>
          <w:i/>
          <w:iCs/>
          <w:sz w:val="24"/>
          <w:szCs w:val="24"/>
          <w:lang w:val="en-US"/>
        </w:rPr>
        <w:t xml:space="preserve">Street Pole Ads Durban (Pty) Ltd &amp; Another v Ethekwini Municipality </w:t>
      </w:r>
      <w:r w:rsidR="00601351" w:rsidRPr="00B10D52">
        <w:rPr>
          <w:rFonts w:ascii="Arial" w:hAnsi="Arial" w:cs="Arial"/>
          <w:b/>
          <w:bCs/>
          <w:iCs/>
          <w:sz w:val="24"/>
          <w:szCs w:val="24"/>
          <w:u w:val="single"/>
        </w:rPr>
        <w:t>2008 (5) SA 290</w:t>
      </w:r>
      <w:r w:rsidR="00601351" w:rsidRPr="00B10D52">
        <w:rPr>
          <w:rFonts w:ascii="Arial" w:hAnsi="Arial" w:cs="Arial"/>
          <w:bCs/>
          <w:iCs/>
          <w:sz w:val="24"/>
          <w:szCs w:val="24"/>
        </w:rPr>
        <w:t xml:space="preserve"> (SCA)</w:t>
      </w:r>
      <w:r w:rsidR="002B724A" w:rsidRPr="00B10D52">
        <w:rPr>
          <w:rFonts w:ascii="Arial" w:hAnsi="Arial" w:cs="Arial"/>
          <w:bCs/>
          <w:iCs/>
          <w:sz w:val="24"/>
          <w:szCs w:val="24"/>
        </w:rPr>
        <w:t xml:space="preserve"> </w:t>
      </w:r>
      <w:r w:rsidR="00E17BD7" w:rsidRPr="00B10D52">
        <w:rPr>
          <w:rFonts w:ascii="Arial" w:hAnsi="Arial" w:cs="Arial"/>
          <w:bCs/>
          <w:iCs/>
          <w:sz w:val="24"/>
          <w:szCs w:val="24"/>
        </w:rPr>
        <w:t xml:space="preserve">at para 15 </w:t>
      </w:r>
      <w:r w:rsidR="00A853BA" w:rsidRPr="00B10D52">
        <w:rPr>
          <w:rFonts w:ascii="Arial" w:hAnsi="Arial" w:cs="Arial"/>
          <w:bCs/>
          <w:iCs/>
          <w:sz w:val="24"/>
          <w:szCs w:val="24"/>
        </w:rPr>
        <w:t>it</w:t>
      </w:r>
      <w:r w:rsidR="00E17BD7" w:rsidRPr="00B10D52">
        <w:rPr>
          <w:rFonts w:ascii="Arial" w:hAnsi="Arial" w:cs="Arial"/>
          <w:sz w:val="24"/>
          <w:szCs w:val="24"/>
        </w:rPr>
        <w:t xml:space="preserve"> was held that:</w:t>
      </w:r>
    </w:p>
    <w:p w:rsidR="00601351" w:rsidRPr="00B10D52" w:rsidRDefault="00601351" w:rsidP="001018CF">
      <w:pPr>
        <w:spacing w:after="0" w:line="360" w:lineRule="auto"/>
        <w:ind w:left="851" w:hanging="851"/>
        <w:jc w:val="both"/>
        <w:rPr>
          <w:rFonts w:cs="Arial"/>
          <w:bCs/>
          <w:iCs/>
          <w:sz w:val="28"/>
          <w:szCs w:val="28"/>
        </w:rPr>
      </w:pPr>
    </w:p>
    <w:p w:rsidR="00601351" w:rsidRPr="00B10D52" w:rsidRDefault="00601351" w:rsidP="001018CF">
      <w:pPr>
        <w:autoSpaceDE w:val="0"/>
        <w:autoSpaceDN w:val="0"/>
        <w:adjustRightInd w:val="0"/>
        <w:spacing w:after="0" w:line="360" w:lineRule="auto"/>
        <w:ind w:left="1440"/>
        <w:jc w:val="both"/>
        <w:rPr>
          <w:rFonts w:ascii="Arial" w:hAnsi="Arial" w:cs="Arial"/>
          <w:sz w:val="20"/>
          <w:szCs w:val="20"/>
          <w:lang w:val="en-US"/>
        </w:rPr>
      </w:pPr>
      <w:r w:rsidRPr="00B10D52">
        <w:rPr>
          <w:rFonts w:ascii="Arial" w:hAnsi="Arial" w:cs="Arial"/>
          <w:sz w:val="20"/>
          <w:szCs w:val="20"/>
          <w:lang w:val="en-US"/>
        </w:rPr>
        <w:t>"</w:t>
      </w:r>
      <w:r w:rsidRPr="00B10D52">
        <w:rPr>
          <w:rFonts w:ascii="Arial" w:hAnsi="Arial" w:cs="Arial"/>
          <w:i/>
          <w:iCs/>
          <w:sz w:val="20"/>
          <w:szCs w:val="20"/>
          <w:lang w:val="en-US"/>
        </w:rPr>
        <w:t>… good title is irrelevant: the claim to spoliatory relief arises solely from an unprocedural deprivation of possession. There is a qualification, however, if the applicant goes further and claims a substantive right to possession, whether based on title of ownership or on contract. In that case, ‘the respondent may answer such additional claim of right and may demonstrate, if he can, that applicant does not have the right to possession which it claims’. This is because such an applicant 'in effect forces an investigation of the issues relevant to the further relief he claims. Once he does this, the respondent's defence in regard thereto has to be considered</w:t>
      </w:r>
      <w:r w:rsidRPr="00B10D52">
        <w:rPr>
          <w:rFonts w:ascii="Arial" w:hAnsi="Arial" w:cs="Arial"/>
          <w:sz w:val="20"/>
          <w:szCs w:val="20"/>
          <w:lang w:val="en-US"/>
        </w:rPr>
        <w:t>."</w:t>
      </w:r>
    </w:p>
    <w:p w:rsidR="00A853BA" w:rsidRPr="00B10D52" w:rsidRDefault="00A853BA" w:rsidP="001018CF">
      <w:pPr>
        <w:spacing w:after="0" w:line="360" w:lineRule="auto"/>
        <w:jc w:val="both"/>
        <w:rPr>
          <w:rFonts w:ascii="Arial" w:hAnsi="Arial" w:cs="Arial"/>
          <w:sz w:val="28"/>
          <w:szCs w:val="28"/>
        </w:rPr>
      </w:pPr>
    </w:p>
    <w:p w:rsidR="00E17BD7" w:rsidRPr="00B10D52" w:rsidRDefault="000400C6" w:rsidP="00A64FC3">
      <w:pPr>
        <w:spacing w:after="0" w:line="360" w:lineRule="auto"/>
        <w:ind w:left="851" w:hanging="851"/>
        <w:jc w:val="both"/>
        <w:rPr>
          <w:rFonts w:ascii="Arial" w:hAnsi="Arial" w:cs="Arial"/>
          <w:sz w:val="24"/>
          <w:szCs w:val="24"/>
        </w:rPr>
      </w:pPr>
      <w:r w:rsidRPr="00B10D52">
        <w:rPr>
          <w:rFonts w:ascii="Arial" w:hAnsi="Arial" w:cs="Arial"/>
          <w:sz w:val="24"/>
          <w:szCs w:val="24"/>
        </w:rPr>
        <w:t>[12</w:t>
      </w:r>
      <w:r w:rsidR="00A853BA" w:rsidRPr="00B10D52">
        <w:rPr>
          <w:rFonts w:ascii="Arial" w:hAnsi="Arial" w:cs="Arial"/>
          <w:sz w:val="24"/>
          <w:szCs w:val="24"/>
        </w:rPr>
        <w:t>]</w:t>
      </w:r>
      <w:r w:rsidR="00A853BA" w:rsidRPr="00B10D52">
        <w:rPr>
          <w:rFonts w:ascii="Arial" w:hAnsi="Arial" w:cs="Arial"/>
          <w:sz w:val="24"/>
          <w:szCs w:val="24"/>
        </w:rPr>
        <w:tab/>
      </w:r>
      <w:r w:rsidR="0064620C" w:rsidRPr="00B10D52">
        <w:rPr>
          <w:rFonts w:ascii="Arial" w:hAnsi="Arial" w:cs="Arial"/>
          <w:sz w:val="24"/>
          <w:szCs w:val="24"/>
        </w:rPr>
        <w:t xml:space="preserve">The </w:t>
      </w:r>
      <w:r w:rsidR="009B6F5F" w:rsidRPr="00B10D52">
        <w:rPr>
          <w:rFonts w:ascii="Arial" w:hAnsi="Arial" w:cs="Arial"/>
          <w:sz w:val="24"/>
          <w:szCs w:val="24"/>
        </w:rPr>
        <w:t xml:space="preserve">court </w:t>
      </w:r>
      <w:r w:rsidR="00CC638B" w:rsidRPr="00B10D52">
        <w:rPr>
          <w:rFonts w:ascii="Arial" w:hAnsi="Arial" w:cs="Arial"/>
          <w:sz w:val="24"/>
          <w:szCs w:val="24"/>
        </w:rPr>
        <w:t>is</w:t>
      </w:r>
      <w:r w:rsidR="00601299">
        <w:rPr>
          <w:rFonts w:ascii="Arial" w:hAnsi="Arial" w:cs="Arial"/>
          <w:sz w:val="24"/>
          <w:szCs w:val="24"/>
        </w:rPr>
        <w:t xml:space="preserve"> thus </w:t>
      </w:r>
      <w:r w:rsidR="00CC638B" w:rsidRPr="00B10D52">
        <w:rPr>
          <w:rFonts w:ascii="Arial" w:hAnsi="Arial" w:cs="Arial"/>
          <w:sz w:val="24"/>
          <w:szCs w:val="24"/>
        </w:rPr>
        <w:t xml:space="preserve">behoved to also consider the issues raised by the respondent relating to the lawfulness of the possession </w:t>
      </w:r>
      <w:r w:rsidR="002D1062" w:rsidRPr="00B10D52">
        <w:rPr>
          <w:rFonts w:ascii="Arial" w:hAnsi="Arial" w:cs="Arial"/>
          <w:sz w:val="24"/>
          <w:szCs w:val="24"/>
        </w:rPr>
        <w:t>when considering the ordinary requirements of possession and unlawful deprivation of possession</w:t>
      </w:r>
      <w:r w:rsidR="00E17BD7" w:rsidRPr="00B10D52">
        <w:rPr>
          <w:rFonts w:ascii="Arial" w:hAnsi="Arial" w:cs="Arial"/>
          <w:sz w:val="24"/>
          <w:szCs w:val="24"/>
        </w:rPr>
        <w:t>.</w:t>
      </w:r>
    </w:p>
    <w:p w:rsidR="00E17BD7" w:rsidRPr="00B10D52" w:rsidRDefault="00E17BD7" w:rsidP="001018CF">
      <w:pPr>
        <w:spacing w:after="0" w:line="360" w:lineRule="auto"/>
        <w:jc w:val="both"/>
        <w:rPr>
          <w:rFonts w:ascii="Arial" w:hAnsi="Arial" w:cs="Arial"/>
          <w:sz w:val="24"/>
          <w:szCs w:val="24"/>
        </w:rPr>
      </w:pPr>
    </w:p>
    <w:p w:rsidR="00973534" w:rsidRPr="00B10D52" w:rsidRDefault="000400C6" w:rsidP="00A64FC3">
      <w:pPr>
        <w:spacing w:after="0" w:line="360" w:lineRule="auto"/>
        <w:ind w:left="851" w:hanging="851"/>
        <w:jc w:val="both"/>
        <w:rPr>
          <w:rFonts w:ascii="Arial" w:hAnsi="Arial" w:cs="Arial"/>
          <w:sz w:val="24"/>
          <w:szCs w:val="24"/>
        </w:rPr>
      </w:pPr>
      <w:r w:rsidRPr="00B10D52">
        <w:rPr>
          <w:rFonts w:ascii="Arial" w:hAnsi="Arial" w:cs="Arial"/>
          <w:sz w:val="24"/>
          <w:szCs w:val="24"/>
        </w:rPr>
        <w:lastRenderedPageBreak/>
        <w:t>[13</w:t>
      </w:r>
      <w:r w:rsidR="002D1062" w:rsidRPr="00B10D52">
        <w:rPr>
          <w:rFonts w:ascii="Arial" w:hAnsi="Arial" w:cs="Arial"/>
          <w:sz w:val="24"/>
          <w:szCs w:val="24"/>
        </w:rPr>
        <w:t>]</w:t>
      </w:r>
      <w:r w:rsidR="002D1062" w:rsidRPr="00B10D52">
        <w:rPr>
          <w:rFonts w:ascii="Arial" w:hAnsi="Arial" w:cs="Arial"/>
          <w:sz w:val="24"/>
          <w:szCs w:val="24"/>
        </w:rPr>
        <w:tab/>
      </w:r>
      <w:r w:rsidR="007F74F6" w:rsidRPr="00B10D52">
        <w:rPr>
          <w:rFonts w:ascii="Arial" w:hAnsi="Arial" w:cs="Arial"/>
          <w:sz w:val="24"/>
          <w:szCs w:val="24"/>
        </w:rPr>
        <w:t xml:space="preserve">According to the respondent, </w:t>
      </w:r>
      <w:r w:rsidR="00445BB8" w:rsidRPr="00B10D52">
        <w:rPr>
          <w:rFonts w:ascii="Arial" w:hAnsi="Arial" w:cs="Arial"/>
          <w:sz w:val="24"/>
          <w:szCs w:val="24"/>
        </w:rPr>
        <w:t xml:space="preserve">in terms of </w:t>
      </w:r>
      <w:r w:rsidR="007F74F6" w:rsidRPr="00B10D52">
        <w:rPr>
          <w:rFonts w:ascii="Arial" w:hAnsi="Arial" w:cs="Arial"/>
          <w:sz w:val="24"/>
          <w:szCs w:val="24"/>
        </w:rPr>
        <w:t xml:space="preserve">clause 8 of the lease agreement </w:t>
      </w:r>
      <w:r w:rsidR="00445BB8" w:rsidRPr="00B10D52">
        <w:rPr>
          <w:rFonts w:ascii="Arial" w:hAnsi="Arial" w:cs="Arial"/>
          <w:sz w:val="24"/>
          <w:szCs w:val="24"/>
        </w:rPr>
        <w:t xml:space="preserve">the </w:t>
      </w:r>
      <w:r w:rsidR="001B4226" w:rsidRPr="00B10D52">
        <w:rPr>
          <w:rFonts w:ascii="Arial" w:hAnsi="Arial" w:cs="Arial"/>
          <w:sz w:val="24"/>
          <w:szCs w:val="24"/>
        </w:rPr>
        <w:t xml:space="preserve">applicant </w:t>
      </w:r>
      <w:r w:rsidR="00445BB8" w:rsidRPr="00B10D52">
        <w:rPr>
          <w:rFonts w:ascii="Arial" w:hAnsi="Arial" w:cs="Arial"/>
          <w:sz w:val="24"/>
          <w:szCs w:val="24"/>
        </w:rPr>
        <w:t xml:space="preserve">agreed </w:t>
      </w:r>
      <w:r w:rsidR="00973534" w:rsidRPr="00B10D52">
        <w:rPr>
          <w:rFonts w:ascii="Arial" w:hAnsi="Arial" w:cs="Arial"/>
          <w:sz w:val="24"/>
          <w:szCs w:val="24"/>
        </w:rPr>
        <w:t xml:space="preserve">that in the event of default the respondent would be entitled to take possession of the premises simply based on the cancellation of the agreement. </w:t>
      </w:r>
    </w:p>
    <w:p w:rsidR="00973534" w:rsidRPr="00B10D52" w:rsidRDefault="00973534" w:rsidP="001018CF">
      <w:pPr>
        <w:spacing w:after="0" w:line="360" w:lineRule="auto"/>
        <w:ind w:left="720" w:hanging="720"/>
        <w:jc w:val="both"/>
        <w:rPr>
          <w:rFonts w:ascii="Arial" w:hAnsi="Arial" w:cs="Arial"/>
          <w:sz w:val="24"/>
          <w:szCs w:val="24"/>
        </w:rPr>
      </w:pPr>
    </w:p>
    <w:p w:rsidR="007F74F6" w:rsidRPr="00B10D52" w:rsidRDefault="000400C6" w:rsidP="00A64FC3">
      <w:pPr>
        <w:spacing w:after="0" w:line="360" w:lineRule="auto"/>
        <w:ind w:left="851" w:hanging="851"/>
        <w:jc w:val="both"/>
        <w:rPr>
          <w:rFonts w:ascii="Arial" w:hAnsi="Arial" w:cs="Arial"/>
          <w:sz w:val="24"/>
          <w:szCs w:val="24"/>
        </w:rPr>
      </w:pPr>
      <w:r w:rsidRPr="00B10D52">
        <w:rPr>
          <w:rFonts w:ascii="Arial" w:hAnsi="Arial" w:cs="Arial"/>
          <w:sz w:val="24"/>
          <w:szCs w:val="24"/>
        </w:rPr>
        <w:t>[1</w:t>
      </w:r>
      <w:r w:rsidR="00601299">
        <w:rPr>
          <w:rFonts w:ascii="Arial" w:hAnsi="Arial" w:cs="Arial"/>
          <w:sz w:val="24"/>
          <w:szCs w:val="24"/>
        </w:rPr>
        <w:t>4</w:t>
      </w:r>
      <w:r w:rsidR="00973534" w:rsidRPr="00B10D52">
        <w:rPr>
          <w:rFonts w:ascii="Arial" w:hAnsi="Arial" w:cs="Arial"/>
          <w:sz w:val="24"/>
          <w:szCs w:val="24"/>
        </w:rPr>
        <w:t>]</w:t>
      </w:r>
      <w:r w:rsidR="00973534" w:rsidRPr="00B10D52">
        <w:rPr>
          <w:rFonts w:ascii="Arial" w:hAnsi="Arial" w:cs="Arial"/>
          <w:sz w:val="24"/>
          <w:szCs w:val="24"/>
        </w:rPr>
        <w:tab/>
        <w:t xml:space="preserve">It was argued by counsel for the respondent that parties are entitled to </w:t>
      </w:r>
      <w:r w:rsidR="001B4226" w:rsidRPr="00B10D52">
        <w:rPr>
          <w:rFonts w:ascii="Arial" w:hAnsi="Arial" w:cs="Arial"/>
          <w:sz w:val="24"/>
          <w:szCs w:val="24"/>
        </w:rPr>
        <w:t>contractually agree to forfeit their rights to property</w:t>
      </w:r>
      <w:r w:rsidR="00601299">
        <w:rPr>
          <w:rFonts w:ascii="Arial" w:hAnsi="Arial" w:cs="Arial"/>
          <w:sz w:val="24"/>
          <w:szCs w:val="24"/>
        </w:rPr>
        <w:t xml:space="preserve"> and </w:t>
      </w:r>
      <w:r w:rsidR="00973534" w:rsidRPr="00B10D52">
        <w:rPr>
          <w:rFonts w:ascii="Arial" w:hAnsi="Arial" w:cs="Arial"/>
          <w:sz w:val="24"/>
          <w:szCs w:val="24"/>
        </w:rPr>
        <w:t xml:space="preserve">to bolster his argument he relied on </w:t>
      </w:r>
      <w:r w:rsidR="000817B6" w:rsidRPr="00B10D52">
        <w:rPr>
          <w:rFonts w:ascii="Arial" w:hAnsi="Arial" w:cs="Arial"/>
          <w:i/>
          <w:sz w:val="24"/>
          <w:szCs w:val="24"/>
        </w:rPr>
        <w:t xml:space="preserve">Van Rooyen v Hillandale Homeowners Association </w:t>
      </w:r>
      <w:r w:rsidR="000817B6" w:rsidRPr="00B10D52">
        <w:rPr>
          <w:rFonts w:ascii="Arial" w:hAnsi="Arial" w:cs="Arial"/>
          <w:b/>
          <w:sz w:val="24"/>
          <w:szCs w:val="24"/>
          <w:u w:val="single"/>
        </w:rPr>
        <w:t>(1603/2014) [ZAFSHC 226)</w:t>
      </w:r>
      <w:r w:rsidR="000817B6" w:rsidRPr="00B10D52">
        <w:rPr>
          <w:rFonts w:ascii="Arial" w:hAnsi="Arial" w:cs="Arial"/>
          <w:i/>
          <w:sz w:val="24"/>
          <w:szCs w:val="24"/>
        </w:rPr>
        <w:t xml:space="preserve"> (11 December 2014)</w:t>
      </w:r>
      <w:r w:rsidR="00973534" w:rsidRPr="00B10D52">
        <w:rPr>
          <w:rFonts w:ascii="Arial" w:hAnsi="Arial" w:cs="Arial"/>
          <w:i/>
          <w:sz w:val="24"/>
          <w:szCs w:val="24"/>
        </w:rPr>
        <w:t xml:space="preserve"> </w:t>
      </w:r>
      <w:r w:rsidR="00973534" w:rsidRPr="00B10D52">
        <w:rPr>
          <w:rFonts w:ascii="Arial" w:hAnsi="Arial" w:cs="Arial"/>
          <w:sz w:val="24"/>
          <w:szCs w:val="24"/>
        </w:rPr>
        <w:t xml:space="preserve">where </w:t>
      </w:r>
      <w:r w:rsidR="00285212" w:rsidRPr="00B10D52">
        <w:rPr>
          <w:rFonts w:ascii="Arial" w:hAnsi="Arial" w:cs="Arial"/>
          <w:sz w:val="24"/>
          <w:szCs w:val="24"/>
        </w:rPr>
        <w:t xml:space="preserve">Moeng AJ </w:t>
      </w:r>
      <w:r w:rsidR="00973534" w:rsidRPr="00B10D52">
        <w:rPr>
          <w:rFonts w:ascii="Arial" w:hAnsi="Arial" w:cs="Arial"/>
          <w:sz w:val="24"/>
          <w:szCs w:val="24"/>
        </w:rPr>
        <w:t xml:space="preserve">held that the respondent’s conduct in limiting the applicant’s right to purchase pre-paid water and electricity did not amount to spoliation as it was in line with the provisions of </w:t>
      </w:r>
      <w:r w:rsidR="00973534" w:rsidRPr="00B10D52">
        <w:rPr>
          <w:rFonts w:ascii="Arial" w:hAnsi="Arial" w:cs="Arial"/>
          <w:sz w:val="24"/>
          <w:szCs w:val="24"/>
          <w:shd w:val="clear" w:color="auto" w:fill="FFFFFF"/>
        </w:rPr>
        <w:t>the estate rules and the agreement entered into by the parties.</w:t>
      </w:r>
      <w:r w:rsidR="00B271D6" w:rsidRPr="00B10D52">
        <w:rPr>
          <w:rFonts w:ascii="Arial" w:hAnsi="Arial" w:cs="Arial"/>
          <w:sz w:val="24"/>
          <w:szCs w:val="24"/>
        </w:rPr>
        <w:t xml:space="preserve">  </w:t>
      </w:r>
    </w:p>
    <w:p w:rsidR="00285212" w:rsidRPr="00B10D52" w:rsidRDefault="00285212" w:rsidP="001018CF">
      <w:pPr>
        <w:spacing w:after="0" w:line="360" w:lineRule="auto"/>
        <w:ind w:left="720" w:hanging="720"/>
        <w:jc w:val="both"/>
        <w:rPr>
          <w:rFonts w:ascii="Arial" w:hAnsi="Arial" w:cs="Arial"/>
          <w:sz w:val="24"/>
          <w:szCs w:val="24"/>
        </w:rPr>
      </w:pPr>
    </w:p>
    <w:p w:rsidR="008541A0" w:rsidRPr="00B10D52" w:rsidRDefault="000400C6" w:rsidP="00A64FC3">
      <w:pPr>
        <w:spacing w:after="0" w:line="360" w:lineRule="auto"/>
        <w:ind w:left="851" w:hanging="851"/>
        <w:jc w:val="both"/>
        <w:rPr>
          <w:rFonts w:ascii="Arial" w:hAnsi="Arial" w:cs="Arial"/>
          <w:sz w:val="24"/>
          <w:szCs w:val="24"/>
        </w:rPr>
      </w:pPr>
      <w:r w:rsidRPr="00B10D52">
        <w:rPr>
          <w:rFonts w:ascii="Arial" w:hAnsi="Arial" w:cs="Arial"/>
          <w:sz w:val="24"/>
          <w:szCs w:val="24"/>
        </w:rPr>
        <w:t>[1</w:t>
      </w:r>
      <w:r w:rsidR="00601299">
        <w:rPr>
          <w:rFonts w:ascii="Arial" w:hAnsi="Arial" w:cs="Arial"/>
          <w:sz w:val="24"/>
          <w:szCs w:val="24"/>
        </w:rPr>
        <w:t>5</w:t>
      </w:r>
      <w:r w:rsidR="007F74F6" w:rsidRPr="00B10D52">
        <w:rPr>
          <w:rFonts w:ascii="Arial" w:hAnsi="Arial" w:cs="Arial"/>
          <w:sz w:val="24"/>
          <w:szCs w:val="24"/>
        </w:rPr>
        <w:t>]</w:t>
      </w:r>
      <w:r w:rsidR="007F74F6" w:rsidRPr="00B10D52">
        <w:rPr>
          <w:rFonts w:ascii="Arial" w:hAnsi="Arial" w:cs="Arial"/>
          <w:sz w:val="24"/>
          <w:szCs w:val="24"/>
        </w:rPr>
        <w:tab/>
      </w:r>
      <w:r w:rsidR="00B271D6" w:rsidRPr="00B10D52">
        <w:rPr>
          <w:rFonts w:ascii="Arial" w:hAnsi="Arial" w:cs="Arial"/>
          <w:sz w:val="24"/>
          <w:szCs w:val="24"/>
        </w:rPr>
        <w:t>I do not agree with the respondent’s contention</w:t>
      </w:r>
      <w:r w:rsidR="00285212" w:rsidRPr="00B10D52">
        <w:rPr>
          <w:rFonts w:ascii="Arial" w:hAnsi="Arial" w:cs="Arial"/>
          <w:sz w:val="24"/>
          <w:szCs w:val="24"/>
        </w:rPr>
        <w:t>s</w:t>
      </w:r>
      <w:r w:rsidR="00FA220D" w:rsidRPr="00B10D52">
        <w:rPr>
          <w:rFonts w:ascii="Arial" w:hAnsi="Arial" w:cs="Arial"/>
          <w:sz w:val="24"/>
          <w:szCs w:val="24"/>
        </w:rPr>
        <w:t xml:space="preserve">. </w:t>
      </w:r>
      <w:r w:rsidR="00285212" w:rsidRPr="00B10D52">
        <w:rPr>
          <w:rFonts w:ascii="Arial" w:hAnsi="Arial" w:cs="Arial"/>
          <w:sz w:val="24"/>
          <w:szCs w:val="24"/>
        </w:rPr>
        <w:t xml:space="preserve">The reliance on </w:t>
      </w:r>
      <w:r w:rsidR="00285212" w:rsidRPr="00B10D52">
        <w:rPr>
          <w:rFonts w:ascii="Arial" w:hAnsi="Arial" w:cs="Arial"/>
          <w:i/>
          <w:sz w:val="24"/>
          <w:szCs w:val="24"/>
        </w:rPr>
        <w:t xml:space="preserve">Van Rooyen </w:t>
      </w:r>
      <w:r w:rsidR="00285212" w:rsidRPr="00B10D52">
        <w:rPr>
          <w:rFonts w:ascii="Arial" w:hAnsi="Arial" w:cs="Arial"/>
          <w:sz w:val="24"/>
          <w:szCs w:val="24"/>
        </w:rPr>
        <w:t>is misplaced</w:t>
      </w:r>
      <w:r w:rsidR="008541A0" w:rsidRPr="00B10D52">
        <w:rPr>
          <w:rFonts w:ascii="Arial" w:hAnsi="Arial" w:cs="Arial"/>
          <w:sz w:val="24"/>
          <w:szCs w:val="24"/>
        </w:rPr>
        <w:t xml:space="preserve"> </w:t>
      </w:r>
      <w:r w:rsidR="00285212" w:rsidRPr="00B10D52">
        <w:rPr>
          <w:rFonts w:ascii="Arial" w:hAnsi="Arial" w:cs="Arial"/>
          <w:sz w:val="24"/>
          <w:szCs w:val="24"/>
        </w:rPr>
        <w:t xml:space="preserve">as </w:t>
      </w:r>
      <w:r w:rsidR="003E3113" w:rsidRPr="00B10D52">
        <w:rPr>
          <w:rFonts w:ascii="Arial" w:hAnsi="Arial" w:cs="Arial"/>
          <w:sz w:val="24"/>
          <w:szCs w:val="24"/>
        </w:rPr>
        <w:t xml:space="preserve">the facts </w:t>
      </w:r>
      <w:r w:rsidR="00285212" w:rsidRPr="00B10D52">
        <w:rPr>
          <w:rFonts w:ascii="Arial" w:hAnsi="Arial" w:cs="Arial"/>
          <w:sz w:val="24"/>
          <w:szCs w:val="24"/>
        </w:rPr>
        <w:t xml:space="preserve">in that matter are </w:t>
      </w:r>
      <w:r w:rsidR="008541A0" w:rsidRPr="00B10D52">
        <w:rPr>
          <w:rFonts w:ascii="Arial" w:hAnsi="Arial" w:cs="Arial"/>
          <w:sz w:val="24"/>
          <w:szCs w:val="24"/>
        </w:rPr>
        <w:t xml:space="preserve">clearly </w:t>
      </w:r>
      <w:r w:rsidR="00285212" w:rsidRPr="00B10D52">
        <w:rPr>
          <w:rFonts w:ascii="Arial" w:hAnsi="Arial" w:cs="Arial"/>
          <w:sz w:val="24"/>
          <w:szCs w:val="24"/>
        </w:rPr>
        <w:t>distinguishable from the facts of this case</w:t>
      </w:r>
      <w:r w:rsidR="008541A0" w:rsidRPr="00B10D52">
        <w:rPr>
          <w:rFonts w:ascii="Arial" w:hAnsi="Arial" w:cs="Arial"/>
          <w:sz w:val="24"/>
          <w:szCs w:val="24"/>
        </w:rPr>
        <w:t>. See paragraph 37 thereof where the court held that:</w:t>
      </w:r>
    </w:p>
    <w:p w:rsidR="008541A0" w:rsidRPr="00B10D52" w:rsidRDefault="008541A0" w:rsidP="001018CF">
      <w:pPr>
        <w:spacing w:after="0" w:line="360" w:lineRule="auto"/>
        <w:ind w:left="720"/>
        <w:jc w:val="both"/>
        <w:rPr>
          <w:rFonts w:ascii="Arial" w:hAnsi="Arial" w:cs="Arial"/>
          <w:sz w:val="28"/>
          <w:szCs w:val="28"/>
        </w:rPr>
      </w:pPr>
    </w:p>
    <w:p w:rsidR="008541A0" w:rsidRPr="00B10D52" w:rsidRDefault="008541A0" w:rsidP="001018CF">
      <w:pPr>
        <w:spacing w:after="0" w:line="360" w:lineRule="auto"/>
        <w:ind w:left="1440"/>
        <w:jc w:val="both"/>
        <w:rPr>
          <w:rFonts w:ascii="Arial" w:hAnsi="Arial" w:cs="Arial"/>
          <w:sz w:val="28"/>
          <w:szCs w:val="28"/>
          <w:shd w:val="clear" w:color="auto" w:fill="FFFFFF"/>
        </w:rPr>
      </w:pPr>
      <w:r w:rsidRPr="00B10D52">
        <w:rPr>
          <w:rFonts w:ascii="Arial" w:hAnsi="Arial" w:cs="Arial"/>
          <w:i/>
          <w:sz w:val="20"/>
          <w:szCs w:val="20"/>
        </w:rPr>
        <w:t>“</w:t>
      </w:r>
      <w:r w:rsidRPr="00B10D52">
        <w:rPr>
          <w:rFonts w:ascii="Arial" w:hAnsi="Arial" w:cs="Arial"/>
          <w:i/>
          <w:sz w:val="20"/>
          <w:szCs w:val="20"/>
          <w:shd w:val="clear" w:color="auto" w:fill="FFFFFF"/>
        </w:rPr>
        <w:t xml:space="preserve">It is common cause that in terms of proclamation 16 of 2004, the Estate was declared a township in terms of section 14(1) of the Townships Ordinance of 1969 and authority was granted to respondent, as a company in terms of section 21 of the Companies Act, to govern the township. Its administration of the Estate should logically be in accordance with national and provincial legislation as provided for in the Constitution. The trust, by its ownership of the erf is a member of the respondent and is bound by its rules. The applicant, as occupant and lessee is likewise bound by the rules. The provisions of rule 13.11 of the Manual for Community Participation and paragraph 10.3 of the water and electricity provision agreement, falls squarely within the Constitution of the respondent and is therefore binding on both the trust and the applicant. One of the conditions of title agreed upon by the trust, and registered against the title of the property, were that the trust would be bound by the statutes and rules of the respondent. </w:t>
      </w:r>
      <w:r w:rsidRPr="00B10D52">
        <w:rPr>
          <w:rFonts w:ascii="Arial" w:hAnsi="Arial" w:cs="Arial"/>
          <w:i/>
          <w:sz w:val="20"/>
          <w:szCs w:val="20"/>
          <w:u w:val="single"/>
          <w:shd w:val="clear" w:color="auto" w:fill="FFFFFF"/>
        </w:rPr>
        <w:t>This position therefore differs from illegal clauses in lease agreements wherein a lessee consents to the termination of the supply of his water and electricity</w:t>
      </w:r>
      <w:r w:rsidRPr="00B10D52">
        <w:rPr>
          <w:rFonts w:ascii="Arial" w:hAnsi="Arial" w:cs="Arial"/>
          <w:sz w:val="27"/>
          <w:szCs w:val="27"/>
          <w:shd w:val="clear" w:color="auto" w:fill="FFFFFF"/>
        </w:rPr>
        <w:t xml:space="preserve"> </w:t>
      </w:r>
      <w:r w:rsidRPr="00B10D52">
        <w:rPr>
          <w:rFonts w:ascii="Arial" w:hAnsi="Arial" w:cs="Arial"/>
          <w:sz w:val="24"/>
          <w:szCs w:val="24"/>
          <w:shd w:val="clear" w:color="auto" w:fill="FFFFFF"/>
        </w:rPr>
        <w:t>(my underlining).</w:t>
      </w:r>
    </w:p>
    <w:p w:rsidR="008541A0" w:rsidRPr="00B10D52" w:rsidRDefault="008541A0" w:rsidP="001018CF">
      <w:pPr>
        <w:spacing w:after="0" w:line="360" w:lineRule="auto"/>
        <w:ind w:left="1440"/>
        <w:jc w:val="both"/>
        <w:rPr>
          <w:rFonts w:ascii="Verdana" w:hAnsi="Verdana"/>
          <w:sz w:val="24"/>
          <w:szCs w:val="24"/>
          <w:shd w:val="clear" w:color="auto" w:fill="FFFFFF"/>
        </w:rPr>
      </w:pPr>
    </w:p>
    <w:p w:rsidR="00CD02E2" w:rsidRPr="00B10D52" w:rsidRDefault="000400C6" w:rsidP="00A64FC3">
      <w:pPr>
        <w:spacing w:after="0" w:line="360" w:lineRule="auto"/>
        <w:ind w:left="851" w:hanging="851"/>
        <w:jc w:val="both"/>
        <w:rPr>
          <w:rFonts w:ascii="Arial" w:hAnsi="Arial" w:cs="Arial"/>
          <w:sz w:val="24"/>
          <w:szCs w:val="24"/>
        </w:rPr>
      </w:pPr>
      <w:r w:rsidRPr="00B10D52">
        <w:rPr>
          <w:rFonts w:ascii="Arial" w:hAnsi="Arial" w:cs="Arial"/>
          <w:sz w:val="24"/>
          <w:szCs w:val="24"/>
          <w:shd w:val="clear" w:color="auto" w:fill="FFFFFF"/>
        </w:rPr>
        <w:lastRenderedPageBreak/>
        <w:t>[1</w:t>
      </w:r>
      <w:r w:rsidR="00601299">
        <w:rPr>
          <w:rFonts w:ascii="Arial" w:hAnsi="Arial" w:cs="Arial"/>
          <w:sz w:val="24"/>
          <w:szCs w:val="24"/>
          <w:shd w:val="clear" w:color="auto" w:fill="FFFFFF"/>
        </w:rPr>
        <w:t>6</w:t>
      </w:r>
      <w:r w:rsidR="008541A0" w:rsidRPr="00B10D52">
        <w:rPr>
          <w:rFonts w:ascii="Arial" w:hAnsi="Arial" w:cs="Arial"/>
          <w:sz w:val="24"/>
          <w:szCs w:val="24"/>
          <w:shd w:val="clear" w:color="auto" w:fill="FFFFFF"/>
        </w:rPr>
        <w:t>]</w:t>
      </w:r>
      <w:r w:rsidR="008541A0" w:rsidRPr="00B10D52">
        <w:rPr>
          <w:rFonts w:ascii="Arial" w:hAnsi="Arial" w:cs="Arial"/>
          <w:sz w:val="24"/>
          <w:szCs w:val="24"/>
          <w:shd w:val="clear" w:color="auto" w:fill="FFFFFF"/>
        </w:rPr>
        <w:tab/>
      </w:r>
      <w:r w:rsidR="00FA220D" w:rsidRPr="00B10D52">
        <w:rPr>
          <w:rFonts w:ascii="Arial" w:hAnsi="Arial" w:cs="Arial"/>
          <w:sz w:val="24"/>
          <w:szCs w:val="24"/>
        </w:rPr>
        <w:t xml:space="preserve">The lease agreement, specifically clause </w:t>
      </w:r>
      <w:r w:rsidR="00601299">
        <w:rPr>
          <w:rFonts w:ascii="Arial" w:hAnsi="Arial" w:cs="Arial"/>
          <w:sz w:val="24"/>
          <w:szCs w:val="24"/>
        </w:rPr>
        <w:t>1</w:t>
      </w:r>
      <w:r w:rsidR="00FA220D" w:rsidRPr="00B10D52">
        <w:rPr>
          <w:rFonts w:ascii="Arial" w:hAnsi="Arial" w:cs="Arial"/>
          <w:sz w:val="24"/>
          <w:szCs w:val="24"/>
        </w:rPr>
        <w:t>8 does not grant the respondent a right to change the locks of the premises</w:t>
      </w:r>
      <w:r w:rsidR="00601299">
        <w:rPr>
          <w:rFonts w:ascii="Arial" w:hAnsi="Arial" w:cs="Arial"/>
          <w:sz w:val="24"/>
          <w:szCs w:val="24"/>
        </w:rPr>
        <w:t xml:space="preserve"> thereby evicting the </w:t>
      </w:r>
      <w:r w:rsidR="00285212" w:rsidRPr="00B10D52">
        <w:rPr>
          <w:rFonts w:ascii="Arial" w:hAnsi="Arial" w:cs="Arial"/>
          <w:sz w:val="24"/>
          <w:szCs w:val="24"/>
        </w:rPr>
        <w:t>applicant from the premises</w:t>
      </w:r>
      <w:r w:rsidR="00FA220D" w:rsidRPr="00B10D52">
        <w:rPr>
          <w:rFonts w:ascii="Arial" w:hAnsi="Arial" w:cs="Arial"/>
          <w:sz w:val="24"/>
          <w:szCs w:val="24"/>
        </w:rPr>
        <w:t xml:space="preserve"> </w:t>
      </w:r>
      <w:r w:rsidR="00B271D6" w:rsidRPr="00B10D52">
        <w:rPr>
          <w:rFonts w:ascii="Arial" w:hAnsi="Arial" w:cs="Arial"/>
          <w:sz w:val="24"/>
          <w:szCs w:val="24"/>
        </w:rPr>
        <w:t>without recourse to law</w:t>
      </w:r>
      <w:r w:rsidR="00B77C78" w:rsidRPr="00B10D52">
        <w:rPr>
          <w:rFonts w:ascii="Arial" w:hAnsi="Arial" w:cs="Arial"/>
          <w:sz w:val="24"/>
          <w:szCs w:val="24"/>
        </w:rPr>
        <w:t xml:space="preserve">. </w:t>
      </w:r>
      <w:r w:rsidR="00CD02E2" w:rsidRPr="00B10D52">
        <w:rPr>
          <w:rFonts w:ascii="Arial" w:hAnsi="Arial" w:cs="Arial"/>
          <w:sz w:val="24"/>
          <w:szCs w:val="24"/>
        </w:rPr>
        <w:t xml:space="preserve">See </w:t>
      </w:r>
      <w:r w:rsidR="00CD02E2" w:rsidRPr="00B10D52">
        <w:rPr>
          <w:rFonts w:ascii="Arial" w:hAnsi="Arial" w:cs="Arial"/>
          <w:i/>
          <w:iCs/>
          <w:sz w:val="24"/>
          <w:szCs w:val="24"/>
          <w:shd w:val="clear" w:color="auto" w:fill="FFFFFF"/>
        </w:rPr>
        <w:t>La Familia Street Culture (Pty) Ltd v Amber Brand Investments (Pty) Ltd </w:t>
      </w:r>
      <w:r w:rsidR="00CD02E2" w:rsidRPr="00B10D52">
        <w:rPr>
          <w:rFonts w:ascii="Arial" w:hAnsi="Arial" w:cs="Arial"/>
          <w:b/>
          <w:sz w:val="24"/>
          <w:szCs w:val="24"/>
          <w:u w:val="single"/>
          <w:shd w:val="clear" w:color="auto" w:fill="FFFFFF"/>
        </w:rPr>
        <w:t>[2019] ZAGPJHC 520</w:t>
      </w:r>
      <w:r w:rsidR="00CD02E2" w:rsidRPr="00B10D52">
        <w:rPr>
          <w:rFonts w:ascii="Arial" w:hAnsi="Arial" w:cs="Arial"/>
          <w:sz w:val="24"/>
          <w:szCs w:val="24"/>
        </w:rPr>
        <w:t xml:space="preserve"> at paras 20-21 the court </w:t>
      </w:r>
      <w:r w:rsidR="008541A0" w:rsidRPr="00B10D52">
        <w:rPr>
          <w:rFonts w:ascii="Arial" w:hAnsi="Arial" w:cs="Arial"/>
          <w:sz w:val="24"/>
          <w:szCs w:val="24"/>
        </w:rPr>
        <w:t xml:space="preserve">stated </w:t>
      </w:r>
      <w:r w:rsidR="00CD02E2" w:rsidRPr="00B10D52">
        <w:rPr>
          <w:rFonts w:ascii="Arial" w:hAnsi="Arial" w:cs="Arial"/>
          <w:sz w:val="24"/>
          <w:szCs w:val="24"/>
        </w:rPr>
        <w:t>that:</w:t>
      </w:r>
    </w:p>
    <w:p w:rsidR="00B10D52" w:rsidRPr="00B10D52" w:rsidRDefault="00B10D52" w:rsidP="00A64FC3">
      <w:pPr>
        <w:spacing w:after="0" w:line="360" w:lineRule="auto"/>
        <w:ind w:left="851" w:hanging="851"/>
        <w:jc w:val="both"/>
        <w:rPr>
          <w:rFonts w:ascii="Arial" w:hAnsi="Arial" w:cs="Arial"/>
          <w:sz w:val="20"/>
          <w:szCs w:val="20"/>
        </w:rPr>
      </w:pPr>
    </w:p>
    <w:p w:rsidR="00CD02E2" w:rsidRPr="00B10D52" w:rsidRDefault="00CD02E2" w:rsidP="00202F94">
      <w:pPr>
        <w:pStyle w:val="NormalWeb"/>
        <w:shd w:val="clear" w:color="auto" w:fill="FFFFFF"/>
        <w:spacing w:before="0" w:beforeAutospacing="0" w:after="0" w:afterAutospacing="0" w:line="360" w:lineRule="auto"/>
        <w:ind w:left="1440"/>
        <w:jc w:val="both"/>
        <w:rPr>
          <w:rFonts w:ascii="Arial" w:hAnsi="Arial" w:cs="Arial"/>
          <w:i/>
          <w:sz w:val="20"/>
          <w:szCs w:val="20"/>
        </w:rPr>
      </w:pPr>
      <w:r w:rsidRPr="00B10D52">
        <w:rPr>
          <w:rFonts w:ascii="Arial" w:hAnsi="Arial" w:cs="Arial"/>
          <w:i/>
          <w:sz w:val="20"/>
          <w:szCs w:val="20"/>
        </w:rPr>
        <w:t>“[20] In the present matter the respondent has not denied the allegation of dispossessing the applicant of the premises. It sought to justify its action on the basis that the applicant was in arrears in payment of the rental and that it issued a notice of termination of the lease agreement.</w:t>
      </w:r>
    </w:p>
    <w:p w:rsidR="00B10D52" w:rsidRPr="00B10D52" w:rsidRDefault="00B10D52" w:rsidP="00202F94">
      <w:pPr>
        <w:pStyle w:val="NormalWeb"/>
        <w:shd w:val="clear" w:color="auto" w:fill="FFFFFF"/>
        <w:spacing w:before="0" w:beforeAutospacing="0" w:after="0" w:afterAutospacing="0" w:line="360" w:lineRule="auto"/>
        <w:ind w:left="1440"/>
        <w:jc w:val="both"/>
        <w:rPr>
          <w:rFonts w:ascii="Arial" w:hAnsi="Arial" w:cs="Arial"/>
          <w:i/>
          <w:sz w:val="20"/>
          <w:szCs w:val="20"/>
        </w:rPr>
      </w:pPr>
    </w:p>
    <w:p w:rsidR="00CD02E2" w:rsidRPr="00B10D52" w:rsidRDefault="00CD02E2" w:rsidP="00202F94">
      <w:pPr>
        <w:pStyle w:val="NormalWeb"/>
        <w:shd w:val="clear" w:color="auto" w:fill="FFFFFF"/>
        <w:spacing w:before="0" w:beforeAutospacing="0" w:after="0" w:afterAutospacing="0" w:line="360" w:lineRule="auto"/>
        <w:ind w:left="1440"/>
        <w:jc w:val="both"/>
        <w:rPr>
          <w:rFonts w:ascii="Arial" w:hAnsi="Arial" w:cs="Arial"/>
          <w:i/>
          <w:sz w:val="20"/>
          <w:szCs w:val="20"/>
        </w:rPr>
      </w:pPr>
      <w:r w:rsidRPr="00B10D52">
        <w:rPr>
          <w:rFonts w:ascii="Arial" w:hAnsi="Arial" w:cs="Arial"/>
          <w:i/>
          <w:sz w:val="20"/>
          <w:szCs w:val="20"/>
        </w:rPr>
        <w:t>[21] There are two ways in the circumstances of this case through which the respondent could have obtained possession of the premises. The first is by way of consent by the Applicant. And the second is by way of an eviction order. The Respondent did none of these. It decides to take the law into its hands by locking the premises and thus taking possession from the Applicant in an unlawful manner.</w:t>
      </w:r>
      <w:r w:rsidR="00B10D52" w:rsidRPr="00B10D52">
        <w:rPr>
          <w:rFonts w:ascii="Arial" w:hAnsi="Arial" w:cs="Arial"/>
          <w:i/>
          <w:sz w:val="20"/>
          <w:szCs w:val="20"/>
        </w:rPr>
        <w:t>”</w:t>
      </w:r>
    </w:p>
    <w:p w:rsidR="00CD02E2" w:rsidRPr="00B10D52" w:rsidRDefault="00CD02E2" w:rsidP="00202F94">
      <w:pPr>
        <w:spacing w:after="0" w:line="360" w:lineRule="auto"/>
        <w:ind w:left="720"/>
        <w:jc w:val="both"/>
        <w:rPr>
          <w:rFonts w:ascii="Arial" w:hAnsi="Arial" w:cs="Arial"/>
          <w:sz w:val="28"/>
          <w:szCs w:val="28"/>
        </w:rPr>
      </w:pPr>
    </w:p>
    <w:p w:rsidR="00CD02E2" w:rsidRPr="00B10D52" w:rsidRDefault="000400C6" w:rsidP="001018CF">
      <w:pPr>
        <w:spacing w:after="0" w:line="360" w:lineRule="auto"/>
        <w:ind w:left="851" w:hanging="851"/>
        <w:jc w:val="both"/>
        <w:rPr>
          <w:rFonts w:ascii="Arial" w:hAnsi="Arial" w:cs="Arial"/>
          <w:iCs/>
          <w:sz w:val="24"/>
          <w:szCs w:val="24"/>
          <w:lang w:val="en-US"/>
        </w:rPr>
      </w:pPr>
      <w:r w:rsidRPr="00B10D52">
        <w:rPr>
          <w:rFonts w:ascii="Arial" w:hAnsi="Arial" w:cs="Arial"/>
          <w:sz w:val="24"/>
          <w:szCs w:val="24"/>
        </w:rPr>
        <w:t>[1</w:t>
      </w:r>
      <w:r w:rsidR="00601299">
        <w:rPr>
          <w:rFonts w:ascii="Arial" w:hAnsi="Arial" w:cs="Arial"/>
          <w:sz w:val="24"/>
          <w:szCs w:val="24"/>
        </w:rPr>
        <w:t>7</w:t>
      </w:r>
      <w:r w:rsidR="00285212" w:rsidRPr="00B10D52">
        <w:rPr>
          <w:rFonts w:ascii="Arial" w:hAnsi="Arial" w:cs="Arial"/>
          <w:sz w:val="24"/>
          <w:szCs w:val="24"/>
        </w:rPr>
        <w:t>]</w:t>
      </w:r>
      <w:r w:rsidR="00285212" w:rsidRPr="00B10D52">
        <w:rPr>
          <w:rFonts w:ascii="Arial" w:hAnsi="Arial" w:cs="Arial"/>
          <w:sz w:val="24"/>
          <w:szCs w:val="24"/>
        </w:rPr>
        <w:tab/>
      </w:r>
      <w:r w:rsidR="008541A0" w:rsidRPr="00B10D52">
        <w:rPr>
          <w:rFonts w:ascii="Arial" w:hAnsi="Arial" w:cs="Arial"/>
          <w:sz w:val="24"/>
          <w:szCs w:val="24"/>
        </w:rPr>
        <w:t xml:space="preserve">It is my view that such a clause would in any event </w:t>
      </w:r>
      <w:r w:rsidR="008541A0" w:rsidRPr="00B10D52">
        <w:rPr>
          <w:rFonts w:ascii="Arial" w:hAnsi="Arial" w:cs="Arial"/>
          <w:sz w:val="24"/>
          <w:szCs w:val="24"/>
          <w:shd w:val="clear" w:color="auto" w:fill="FFFFFF"/>
        </w:rPr>
        <w:t xml:space="preserve">be in direct conflict with the </w:t>
      </w:r>
      <w:r w:rsidR="00A87DBD" w:rsidRPr="00B10D52">
        <w:rPr>
          <w:rFonts w:ascii="Arial" w:hAnsi="Arial" w:cs="Arial"/>
          <w:sz w:val="24"/>
          <w:szCs w:val="24"/>
        </w:rPr>
        <w:t xml:space="preserve">fundamental </w:t>
      </w:r>
      <w:r w:rsidR="00A87DBD" w:rsidRPr="00B10D52">
        <w:rPr>
          <w:rFonts w:ascii="Arial" w:hAnsi="Arial" w:cs="Arial"/>
          <w:iCs/>
          <w:sz w:val="24"/>
          <w:szCs w:val="24"/>
          <w:lang w:val="en-US"/>
        </w:rPr>
        <w:t xml:space="preserve">principle of Mandament van Spolie that no one is entitled to take the law into their own hands </w:t>
      </w:r>
      <w:r w:rsidR="00E834B9" w:rsidRPr="00B10D52">
        <w:rPr>
          <w:rFonts w:ascii="Arial" w:hAnsi="Arial" w:cs="Arial"/>
          <w:iCs/>
          <w:sz w:val="24"/>
          <w:szCs w:val="24"/>
          <w:lang w:val="en-US"/>
        </w:rPr>
        <w:t xml:space="preserve">and </w:t>
      </w:r>
      <w:r w:rsidR="00A87DBD" w:rsidRPr="00B10D52">
        <w:rPr>
          <w:rFonts w:ascii="Arial" w:hAnsi="Arial" w:cs="Arial"/>
          <w:iCs/>
          <w:sz w:val="24"/>
          <w:szCs w:val="24"/>
          <w:lang w:val="en-US"/>
        </w:rPr>
        <w:t>enforce their rights without legal process</w:t>
      </w:r>
      <w:r w:rsidR="00E834B9" w:rsidRPr="00B10D52">
        <w:rPr>
          <w:rFonts w:ascii="Arial" w:hAnsi="Arial" w:cs="Arial"/>
          <w:iCs/>
          <w:sz w:val="24"/>
          <w:szCs w:val="24"/>
          <w:lang w:val="en-US"/>
        </w:rPr>
        <w:t>.</w:t>
      </w:r>
    </w:p>
    <w:p w:rsidR="00A87DBD" w:rsidRPr="00B10D52" w:rsidRDefault="00A87DBD" w:rsidP="001018CF">
      <w:pPr>
        <w:spacing w:after="0" w:line="360" w:lineRule="auto"/>
        <w:ind w:left="720"/>
        <w:jc w:val="both"/>
        <w:rPr>
          <w:rFonts w:ascii="Arial" w:hAnsi="Arial" w:cs="Arial"/>
          <w:iCs/>
          <w:sz w:val="24"/>
          <w:szCs w:val="24"/>
          <w:lang w:val="en-US"/>
        </w:rPr>
      </w:pPr>
    </w:p>
    <w:p w:rsidR="00A87DBD" w:rsidRPr="00B10D52" w:rsidRDefault="000400C6" w:rsidP="00A64FC3">
      <w:pPr>
        <w:spacing w:after="0" w:line="360" w:lineRule="auto"/>
        <w:ind w:left="851" w:hanging="851"/>
        <w:jc w:val="both"/>
        <w:rPr>
          <w:rFonts w:ascii="Arial" w:hAnsi="Arial" w:cs="Arial"/>
          <w:iCs/>
          <w:sz w:val="24"/>
          <w:szCs w:val="24"/>
          <w:lang w:val="en-US"/>
        </w:rPr>
      </w:pPr>
      <w:r w:rsidRPr="00B10D52">
        <w:rPr>
          <w:rFonts w:ascii="Arial" w:hAnsi="Arial" w:cs="Arial"/>
          <w:iCs/>
          <w:sz w:val="24"/>
          <w:szCs w:val="24"/>
          <w:lang w:val="en-US"/>
        </w:rPr>
        <w:t>[1</w:t>
      </w:r>
      <w:r w:rsidR="00601299">
        <w:rPr>
          <w:rFonts w:ascii="Arial" w:hAnsi="Arial" w:cs="Arial"/>
          <w:iCs/>
          <w:sz w:val="24"/>
          <w:szCs w:val="24"/>
          <w:lang w:val="en-US"/>
        </w:rPr>
        <w:t>8</w:t>
      </w:r>
      <w:r w:rsidR="00E834B9" w:rsidRPr="00B10D52">
        <w:rPr>
          <w:rFonts w:ascii="Arial" w:hAnsi="Arial" w:cs="Arial"/>
          <w:iCs/>
          <w:sz w:val="24"/>
          <w:szCs w:val="24"/>
          <w:lang w:val="en-US"/>
        </w:rPr>
        <w:t>]</w:t>
      </w:r>
      <w:r w:rsidR="00E834B9" w:rsidRPr="00B10D52">
        <w:rPr>
          <w:rFonts w:ascii="Arial" w:hAnsi="Arial" w:cs="Arial"/>
          <w:iCs/>
          <w:sz w:val="24"/>
          <w:szCs w:val="24"/>
          <w:lang w:val="en-US"/>
        </w:rPr>
        <w:tab/>
      </w:r>
      <w:r w:rsidR="00A87DBD" w:rsidRPr="00B10D52">
        <w:rPr>
          <w:rFonts w:ascii="Arial" w:hAnsi="Arial" w:cs="Arial"/>
          <w:iCs/>
          <w:sz w:val="24"/>
          <w:szCs w:val="24"/>
          <w:lang w:val="en-US"/>
        </w:rPr>
        <w:t xml:space="preserve">I don’t regard the relief </w:t>
      </w:r>
      <w:r w:rsidR="00E834B9" w:rsidRPr="00B10D52">
        <w:rPr>
          <w:rFonts w:ascii="Arial" w:hAnsi="Arial" w:cs="Arial"/>
          <w:iCs/>
          <w:sz w:val="24"/>
          <w:szCs w:val="24"/>
          <w:lang w:val="en-US"/>
        </w:rPr>
        <w:t>sought in prayer 2.2. a</w:t>
      </w:r>
      <w:r w:rsidR="00A87DBD" w:rsidRPr="00B10D52">
        <w:rPr>
          <w:rFonts w:ascii="Arial" w:hAnsi="Arial" w:cs="Arial"/>
          <w:iCs/>
          <w:sz w:val="24"/>
          <w:szCs w:val="24"/>
          <w:lang w:val="en-US"/>
        </w:rPr>
        <w:t xml:space="preserve">s an </w:t>
      </w:r>
      <w:r w:rsidR="00E834B9" w:rsidRPr="00B10D52">
        <w:rPr>
          <w:rFonts w:ascii="Arial" w:hAnsi="Arial" w:cs="Arial"/>
          <w:iCs/>
          <w:sz w:val="24"/>
          <w:szCs w:val="24"/>
          <w:lang w:val="en-US"/>
        </w:rPr>
        <w:t xml:space="preserve">interdictory relief </w:t>
      </w:r>
      <w:r w:rsidR="00E54A1C">
        <w:rPr>
          <w:rFonts w:ascii="Arial" w:hAnsi="Arial" w:cs="Arial"/>
          <w:iCs/>
          <w:sz w:val="24"/>
          <w:szCs w:val="24"/>
          <w:lang w:val="en-US"/>
        </w:rPr>
        <w:t xml:space="preserve">which goes </w:t>
      </w:r>
      <w:r w:rsidR="00870359" w:rsidRPr="00B10D52">
        <w:rPr>
          <w:rFonts w:ascii="Arial" w:hAnsi="Arial" w:cs="Arial"/>
          <w:iCs/>
          <w:sz w:val="24"/>
          <w:szCs w:val="24"/>
          <w:lang w:val="en-US"/>
        </w:rPr>
        <w:t xml:space="preserve">beyond the scope of mandament but an adjunct relief to the necessary restoration of </w:t>
      </w:r>
      <w:r w:rsidR="00870359" w:rsidRPr="00B10D52">
        <w:rPr>
          <w:rFonts w:ascii="Arial" w:hAnsi="Arial" w:cs="Arial"/>
          <w:sz w:val="24"/>
          <w:szCs w:val="24"/>
        </w:rPr>
        <w:t>the occupation and possession of the premises to the applicant.</w:t>
      </w:r>
    </w:p>
    <w:p w:rsidR="00A87DBD" w:rsidRPr="00B10D52" w:rsidRDefault="00A87DBD" w:rsidP="001018CF">
      <w:pPr>
        <w:spacing w:after="0" w:line="360" w:lineRule="auto"/>
        <w:ind w:left="720"/>
        <w:jc w:val="both"/>
        <w:rPr>
          <w:rFonts w:ascii="Arial" w:hAnsi="Arial" w:cs="Arial"/>
          <w:sz w:val="24"/>
          <w:szCs w:val="24"/>
        </w:rPr>
      </w:pPr>
    </w:p>
    <w:p w:rsidR="00CD02E2" w:rsidRPr="00B10D52" w:rsidRDefault="000400C6" w:rsidP="00A64FC3">
      <w:pPr>
        <w:spacing w:after="0" w:line="360" w:lineRule="auto"/>
        <w:ind w:left="851" w:hanging="851"/>
        <w:jc w:val="both"/>
        <w:rPr>
          <w:rFonts w:ascii="Arial" w:hAnsi="Arial" w:cs="Arial"/>
          <w:sz w:val="24"/>
          <w:szCs w:val="24"/>
          <w:lang w:val="en-GB"/>
        </w:rPr>
      </w:pPr>
      <w:r w:rsidRPr="00B10D52">
        <w:rPr>
          <w:rFonts w:ascii="Arial" w:hAnsi="Arial" w:cs="Arial"/>
          <w:sz w:val="24"/>
          <w:szCs w:val="24"/>
        </w:rPr>
        <w:t>[</w:t>
      </w:r>
      <w:r w:rsidR="00601299">
        <w:rPr>
          <w:rFonts w:ascii="Arial" w:hAnsi="Arial" w:cs="Arial"/>
          <w:sz w:val="24"/>
          <w:szCs w:val="24"/>
        </w:rPr>
        <w:t>19</w:t>
      </w:r>
      <w:r w:rsidR="00AA7FD3" w:rsidRPr="00B10D52">
        <w:rPr>
          <w:rFonts w:ascii="Arial" w:hAnsi="Arial" w:cs="Arial"/>
          <w:sz w:val="24"/>
          <w:szCs w:val="24"/>
        </w:rPr>
        <w:t>]</w:t>
      </w:r>
      <w:r w:rsidR="00AA7FD3" w:rsidRPr="00B10D52">
        <w:rPr>
          <w:rFonts w:ascii="Arial" w:hAnsi="Arial" w:cs="Arial"/>
          <w:sz w:val="24"/>
          <w:szCs w:val="24"/>
        </w:rPr>
        <w:tab/>
      </w:r>
      <w:r w:rsidR="00CD02E2" w:rsidRPr="00B10D52">
        <w:rPr>
          <w:rStyle w:val="Hyperlink"/>
          <w:rFonts w:ascii="Arial" w:hAnsi="Arial" w:cs="Arial"/>
          <w:b w:val="0"/>
          <w:bCs w:val="0"/>
          <w:color w:val="auto"/>
          <w:sz w:val="24"/>
          <w:szCs w:val="24"/>
          <w:u w:val="none"/>
          <w:lang w:val="en-GB"/>
        </w:rPr>
        <w:t xml:space="preserve">It is for these reasons above that </w:t>
      </w:r>
      <w:r w:rsidR="00870359" w:rsidRPr="00B10D52">
        <w:rPr>
          <w:rStyle w:val="Hyperlink"/>
          <w:rFonts w:ascii="Arial" w:hAnsi="Arial" w:cs="Arial"/>
          <w:b w:val="0"/>
          <w:bCs w:val="0"/>
          <w:color w:val="auto"/>
          <w:sz w:val="24"/>
          <w:szCs w:val="24"/>
          <w:u w:val="none"/>
          <w:lang w:val="en-GB"/>
        </w:rPr>
        <w:t xml:space="preserve">I conclude that </w:t>
      </w:r>
      <w:r w:rsidR="00CD02E2" w:rsidRPr="00B10D52">
        <w:rPr>
          <w:rStyle w:val="Hyperlink"/>
          <w:rFonts w:ascii="Arial" w:hAnsi="Arial" w:cs="Arial"/>
          <w:b w:val="0"/>
          <w:bCs w:val="0"/>
          <w:color w:val="auto"/>
          <w:sz w:val="24"/>
          <w:szCs w:val="24"/>
          <w:u w:val="none"/>
          <w:lang w:val="en-GB"/>
        </w:rPr>
        <w:t xml:space="preserve">the applicant has succeeded </w:t>
      </w:r>
      <w:r w:rsidR="00CD02E2" w:rsidRPr="00B10D52">
        <w:rPr>
          <w:rFonts w:ascii="Arial" w:hAnsi="Arial" w:cs="Arial"/>
          <w:sz w:val="24"/>
          <w:szCs w:val="24"/>
        </w:rPr>
        <w:t xml:space="preserve">in establishing that it was in peaceful and undisturbed possession of the premises and that it was unlawfully deprived of that possession.  </w:t>
      </w:r>
      <w:r w:rsidR="00CD02E2" w:rsidRPr="00B10D52">
        <w:rPr>
          <w:rFonts w:ascii="Arial" w:hAnsi="Arial" w:cs="Arial"/>
          <w:sz w:val="24"/>
          <w:szCs w:val="24"/>
          <w:lang w:val="en-GB"/>
        </w:rPr>
        <w:t xml:space="preserve">There is no reason why the costs should not follow the result. </w:t>
      </w:r>
    </w:p>
    <w:p w:rsidR="00CD02E2" w:rsidRPr="00B10D52" w:rsidRDefault="00CD02E2" w:rsidP="001018CF">
      <w:pPr>
        <w:pStyle w:val="NormalWeb"/>
        <w:shd w:val="clear" w:color="auto" w:fill="FFFFFF"/>
        <w:spacing w:before="0" w:beforeAutospacing="0" w:after="0" w:afterAutospacing="0" w:line="360" w:lineRule="auto"/>
        <w:ind w:left="709" w:hanging="709"/>
        <w:jc w:val="both"/>
        <w:rPr>
          <w:rFonts w:ascii="Arial" w:hAnsi="Arial" w:cs="Arial"/>
          <w:lang w:val="en-GB"/>
        </w:rPr>
      </w:pPr>
    </w:p>
    <w:p w:rsidR="00CD02E2" w:rsidRPr="00B10D52" w:rsidRDefault="000400C6" w:rsidP="00A64FC3">
      <w:pPr>
        <w:spacing w:after="0" w:line="360" w:lineRule="auto"/>
        <w:ind w:left="851" w:hanging="851"/>
        <w:jc w:val="both"/>
        <w:rPr>
          <w:rFonts w:ascii="Arial" w:hAnsi="Arial" w:cs="Arial"/>
          <w:sz w:val="24"/>
          <w:szCs w:val="24"/>
          <w:shd w:val="clear" w:color="auto" w:fill="FFFFFF"/>
        </w:rPr>
      </w:pPr>
      <w:r w:rsidRPr="00B10D52">
        <w:rPr>
          <w:rFonts w:ascii="Arial" w:hAnsi="Arial" w:cs="Arial"/>
          <w:sz w:val="24"/>
          <w:szCs w:val="24"/>
          <w:shd w:val="clear" w:color="auto" w:fill="FFFFFF"/>
        </w:rPr>
        <w:t>[2</w:t>
      </w:r>
      <w:r w:rsidR="00601299">
        <w:rPr>
          <w:rFonts w:ascii="Arial" w:hAnsi="Arial" w:cs="Arial"/>
          <w:sz w:val="24"/>
          <w:szCs w:val="24"/>
          <w:shd w:val="clear" w:color="auto" w:fill="FFFFFF"/>
        </w:rPr>
        <w:t>0</w:t>
      </w:r>
      <w:r w:rsidR="00CD02E2" w:rsidRPr="00B10D52">
        <w:rPr>
          <w:rFonts w:ascii="Arial" w:hAnsi="Arial" w:cs="Arial"/>
          <w:sz w:val="24"/>
          <w:szCs w:val="24"/>
          <w:shd w:val="clear" w:color="auto" w:fill="FFFFFF"/>
        </w:rPr>
        <w:t>]</w:t>
      </w:r>
      <w:r w:rsidR="00CD02E2" w:rsidRPr="00B10D52">
        <w:rPr>
          <w:rFonts w:ascii="Arial" w:hAnsi="Arial" w:cs="Arial"/>
          <w:sz w:val="24"/>
          <w:szCs w:val="24"/>
          <w:shd w:val="clear" w:color="auto" w:fill="FFFFFF"/>
        </w:rPr>
        <w:tab/>
      </w:r>
      <w:r w:rsidR="00CD02E2" w:rsidRPr="00B10D52">
        <w:rPr>
          <w:rFonts w:ascii="Arial" w:hAnsi="Arial" w:cs="Arial"/>
          <w:sz w:val="24"/>
          <w:szCs w:val="24"/>
        </w:rPr>
        <w:t>I accordingly make the following order:</w:t>
      </w:r>
      <w:r w:rsidR="00CD02E2" w:rsidRPr="00B10D52">
        <w:rPr>
          <w:rFonts w:ascii="Arial" w:hAnsi="Arial" w:cs="Arial"/>
          <w:sz w:val="24"/>
          <w:szCs w:val="24"/>
          <w:shd w:val="clear" w:color="auto" w:fill="FFFFFF"/>
        </w:rPr>
        <w:t xml:space="preserve"> </w:t>
      </w:r>
    </w:p>
    <w:p w:rsidR="00C7438D" w:rsidRPr="00B10D52" w:rsidRDefault="00C7438D" w:rsidP="001018CF">
      <w:pPr>
        <w:spacing w:after="0" w:line="360" w:lineRule="auto"/>
        <w:ind w:left="720" w:hanging="720"/>
        <w:jc w:val="both"/>
        <w:rPr>
          <w:rFonts w:ascii="Arial" w:hAnsi="Arial" w:cs="Arial"/>
          <w:b/>
          <w:i/>
          <w:sz w:val="24"/>
          <w:szCs w:val="24"/>
        </w:rPr>
      </w:pPr>
    </w:p>
    <w:p w:rsidR="00C7438D" w:rsidRPr="00B10D52" w:rsidRDefault="000817B6" w:rsidP="00BB2EB6">
      <w:pPr>
        <w:pStyle w:val="ListParagraph"/>
        <w:numPr>
          <w:ilvl w:val="0"/>
          <w:numId w:val="24"/>
        </w:numPr>
        <w:spacing w:after="0" w:line="360" w:lineRule="auto"/>
        <w:ind w:left="1134" w:hanging="425"/>
        <w:jc w:val="both"/>
        <w:rPr>
          <w:rFonts w:ascii="Arial" w:hAnsi="Arial" w:cs="Arial"/>
          <w:sz w:val="24"/>
          <w:szCs w:val="24"/>
        </w:rPr>
      </w:pPr>
      <w:r w:rsidRPr="00B10D52">
        <w:rPr>
          <w:rFonts w:ascii="Arial" w:hAnsi="Arial" w:cs="Arial"/>
          <w:sz w:val="24"/>
          <w:szCs w:val="24"/>
          <w:shd w:val="clear" w:color="auto" w:fill="FFFFFF"/>
        </w:rPr>
        <w:lastRenderedPageBreak/>
        <w:t xml:space="preserve">The application for a </w:t>
      </w:r>
      <w:r w:rsidR="002D7B25" w:rsidRPr="00B10D52">
        <w:rPr>
          <w:rFonts w:ascii="Arial" w:hAnsi="Arial" w:cs="Arial"/>
          <w:sz w:val="24"/>
          <w:szCs w:val="24"/>
          <w:shd w:val="clear" w:color="auto" w:fill="FFFFFF"/>
        </w:rPr>
        <w:t>M</w:t>
      </w:r>
      <w:r w:rsidRPr="00B10D52">
        <w:rPr>
          <w:rFonts w:ascii="Arial" w:hAnsi="Arial" w:cs="Arial"/>
          <w:sz w:val="24"/>
          <w:szCs w:val="24"/>
          <w:shd w:val="clear" w:color="auto" w:fill="FFFFFF"/>
        </w:rPr>
        <w:t xml:space="preserve">andament van </w:t>
      </w:r>
      <w:r w:rsidR="002D7B25" w:rsidRPr="00B10D52">
        <w:rPr>
          <w:rFonts w:ascii="Arial" w:hAnsi="Arial" w:cs="Arial"/>
          <w:sz w:val="24"/>
          <w:szCs w:val="24"/>
          <w:shd w:val="clear" w:color="auto" w:fill="FFFFFF"/>
        </w:rPr>
        <w:t>S</w:t>
      </w:r>
      <w:r w:rsidRPr="00B10D52">
        <w:rPr>
          <w:rFonts w:ascii="Arial" w:hAnsi="Arial" w:cs="Arial"/>
          <w:sz w:val="24"/>
          <w:szCs w:val="24"/>
          <w:shd w:val="clear" w:color="auto" w:fill="FFFFFF"/>
        </w:rPr>
        <w:t xml:space="preserve">polie in terms of paragraphs </w:t>
      </w:r>
      <w:r w:rsidR="002D7B25" w:rsidRPr="00B10D52">
        <w:rPr>
          <w:rFonts w:ascii="Arial" w:hAnsi="Arial" w:cs="Arial"/>
          <w:sz w:val="24"/>
          <w:szCs w:val="24"/>
          <w:shd w:val="clear" w:color="auto" w:fill="FFFFFF"/>
        </w:rPr>
        <w:t>2.1</w:t>
      </w:r>
      <w:r w:rsidRPr="00B10D52">
        <w:rPr>
          <w:rFonts w:ascii="Arial" w:hAnsi="Arial" w:cs="Arial"/>
          <w:sz w:val="24"/>
          <w:szCs w:val="24"/>
          <w:shd w:val="clear" w:color="auto" w:fill="FFFFFF"/>
        </w:rPr>
        <w:t xml:space="preserve"> to </w:t>
      </w:r>
      <w:r w:rsidR="002D7B25" w:rsidRPr="00B10D52">
        <w:rPr>
          <w:rFonts w:ascii="Arial" w:hAnsi="Arial" w:cs="Arial"/>
          <w:sz w:val="24"/>
          <w:szCs w:val="24"/>
          <w:shd w:val="clear" w:color="auto" w:fill="FFFFFF"/>
        </w:rPr>
        <w:t>2.2</w:t>
      </w:r>
      <w:r w:rsidRPr="00B10D52">
        <w:rPr>
          <w:rFonts w:ascii="Arial" w:hAnsi="Arial" w:cs="Arial"/>
          <w:sz w:val="24"/>
          <w:szCs w:val="24"/>
          <w:shd w:val="clear" w:color="auto" w:fill="FFFFFF"/>
        </w:rPr>
        <w:t xml:space="preserve"> </w:t>
      </w:r>
      <w:r w:rsidR="002D7B25" w:rsidRPr="00B10D52">
        <w:rPr>
          <w:rFonts w:ascii="Arial" w:hAnsi="Arial" w:cs="Arial"/>
          <w:sz w:val="24"/>
          <w:szCs w:val="24"/>
          <w:shd w:val="clear" w:color="auto" w:fill="FFFFFF"/>
        </w:rPr>
        <w:t xml:space="preserve">of the notice of motion </w:t>
      </w:r>
      <w:r w:rsidRPr="00B10D52">
        <w:rPr>
          <w:rFonts w:ascii="Arial" w:hAnsi="Arial" w:cs="Arial"/>
          <w:sz w:val="24"/>
          <w:szCs w:val="24"/>
          <w:shd w:val="clear" w:color="auto" w:fill="FFFFFF"/>
        </w:rPr>
        <w:t>is granted;</w:t>
      </w:r>
    </w:p>
    <w:p w:rsidR="002D7B25" w:rsidRPr="00B10D52" w:rsidRDefault="002D7B25" w:rsidP="001018CF">
      <w:pPr>
        <w:pStyle w:val="ListParagraph"/>
        <w:spacing w:after="0" w:line="360" w:lineRule="auto"/>
        <w:ind w:left="1080"/>
        <w:jc w:val="both"/>
        <w:rPr>
          <w:rFonts w:ascii="Arial" w:hAnsi="Arial" w:cs="Arial"/>
          <w:sz w:val="24"/>
          <w:szCs w:val="24"/>
        </w:rPr>
      </w:pPr>
    </w:p>
    <w:p w:rsidR="00DF678A" w:rsidRPr="00B10D52" w:rsidRDefault="00DF678A" w:rsidP="00BB2EB6">
      <w:pPr>
        <w:pStyle w:val="BodyTextIndent"/>
        <w:numPr>
          <w:ilvl w:val="0"/>
          <w:numId w:val="24"/>
        </w:numPr>
        <w:ind w:left="1134" w:hanging="425"/>
        <w:rPr>
          <w:rFonts w:ascii="Arial" w:hAnsi="Arial" w:cs="Arial"/>
        </w:rPr>
      </w:pPr>
      <w:r w:rsidRPr="00B10D52">
        <w:rPr>
          <w:rFonts w:ascii="Arial" w:hAnsi="Arial" w:cs="Arial"/>
        </w:rPr>
        <w:t>The respondent to p</w:t>
      </w:r>
      <w:r w:rsidR="00E10CC8" w:rsidRPr="00B10D52">
        <w:rPr>
          <w:rFonts w:ascii="Arial" w:hAnsi="Arial" w:cs="Arial"/>
        </w:rPr>
        <w:t>ay the costs of this application.</w:t>
      </w:r>
    </w:p>
    <w:p w:rsidR="009E09A9" w:rsidRPr="00B10D52" w:rsidRDefault="009E09A9" w:rsidP="001018CF">
      <w:pPr>
        <w:pStyle w:val="ListParagraph"/>
        <w:autoSpaceDE w:val="0"/>
        <w:autoSpaceDN w:val="0"/>
        <w:adjustRightInd w:val="0"/>
        <w:spacing w:after="0" w:line="360" w:lineRule="auto"/>
        <w:ind w:left="1560" w:hanging="709"/>
        <w:jc w:val="both"/>
        <w:rPr>
          <w:rFonts w:ascii="Arial" w:hAnsi="Arial" w:cs="Arial"/>
          <w:sz w:val="24"/>
          <w:szCs w:val="24"/>
        </w:rPr>
      </w:pPr>
    </w:p>
    <w:p w:rsidR="00681F52" w:rsidRPr="00B10D52" w:rsidRDefault="00681F52" w:rsidP="001018CF">
      <w:pPr>
        <w:pStyle w:val="ListParagraph"/>
        <w:autoSpaceDE w:val="0"/>
        <w:autoSpaceDN w:val="0"/>
        <w:adjustRightInd w:val="0"/>
        <w:spacing w:after="0" w:line="360" w:lineRule="auto"/>
        <w:ind w:left="1560" w:hanging="709"/>
        <w:jc w:val="both"/>
        <w:rPr>
          <w:rFonts w:ascii="Arial" w:hAnsi="Arial" w:cs="Arial"/>
          <w:sz w:val="24"/>
          <w:szCs w:val="24"/>
        </w:rPr>
      </w:pPr>
    </w:p>
    <w:p w:rsidR="0014277B" w:rsidRPr="00B10D52" w:rsidRDefault="0014277B" w:rsidP="001018CF">
      <w:pPr>
        <w:autoSpaceDE w:val="0"/>
        <w:autoSpaceDN w:val="0"/>
        <w:adjustRightInd w:val="0"/>
        <w:spacing w:after="0" w:line="360" w:lineRule="auto"/>
        <w:ind w:left="720"/>
        <w:jc w:val="right"/>
        <w:rPr>
          <w:rFonts w:ascii="Arial" w:hAnsi="Arial" w:cs="Arial"/>
          <w:b/>
          <w:sz w:val="24"/>
          <w:szCs w:val="24"/>
        </w:rPr>
      </w:pPr>
      <w:r w:rsidRPr="00B10D52">
        <w:rPr>
          <w:rFonts w:ascii="Arial" w:hAnsi="Arial" w:cs="Arial"/>
          <w:b/>
          <w:sz w:val="24"/>
          <w:szCs w:val="24"/>
        </w:rPr>
        <w:t>_____________</w:t>
      </w:r>
    </w:p>
    <w:p w:rsidR="0014277B" w:rsidRPr="00B10D52" w:rsidRDefault="000F7DF1" w:rsidP="001018CF">
      <w:pPr>
        <w:autoSpaceDE w:val="0"/>
        <w:autoSpaceDN w:val="0"/>
        <w:adjustRightInd w:val="0"/>
        <w:spacing w:after="0" w:line="360" w:lineRule="auto"/>
        <w:ind w:left="720" w:firstLine="131"/>
        <w:jc w:val="right"/>
        <w:rPr>
          <w:rFonts w:ascii="Arial" w:hAnsi="Arial" w:cs="Arial"/>
          <w:b/>
          <w:sz w:val="24"/>
          <w:szCs w:val="24"/>
        </w:rPr>
      </w:pPr>
      <w:r w:rsidRPr="00B10D52">
        <w:rPr>
          <w:rFonts w:ascii="Arial" w:hAnsi="Arial" w:cs="Arial"/>
          <w:b/>
          <w:sz w:val="24"/>
          <w:szCs w:val="24"/>
        </w:rPr>
        <w:t xml:space="preserve">NS </w:t>
      </w:r>
      <w:r w:rsidR="0014277B" w:rsidRPr="00B10D52">
        <w:rPr>
          <w:rFonts w:ascii="Arial" w:hAnsi="Arial" w:cs="Arial"/>
          <w:b/>
          <w:sz w:val="24"/>
          <w:szCs w:val="24"/>
        </w:rPr>
        <w:t>DANISO</w:t>
      </w:r>
      <w:r w:rsidRPr="00B10D52">
        <w:rPr>
          <w:rFonts w:ascii="Arial" w:hAnsi="Arial" w:cs="Arial"/>
          <w:b/>
          <w:sz w:val="24"/>
          <w:szCs w:val="24"/>
        </w:rPr>
        <w:t>, J</w:t>
      </w:r>
      <w:r w:rsidR="0014277B" w:rsidRPr="00B10D52">
        <w:rPr>
          <w:rFonts w:ascii="Arial" w:hAnsi="Arial" w:cs="Arial"/>
          <w:b/>
          <w:sz w:val="24"/>
          <w:szCs w:val="24"/>
        </w:rPr>
        <w:t xml:space="preserve"> </w:t>
      </w:r>
    </w:p>
    <w:p w:rsidR="001C4D99" w:rsidRPr="00B10D52" w:rsidRDefault="001C4D99" w:rsidP="001018CF">
      <w:pPr>
        <w:spacing w:after="0" w:line="360" w:lineRule="auto"/>
        <w:ind w:left="851" w:hanging="851"/>
        <w:jc w:val="both"/>
        <w:rPr>
          <w:rFonts w:ascii="Arial" w:hAnsi="Arial" w:cs="Arial"/>
          <w:sz w:val="24"/>
          <w:szCs w:val="24"/>
        </w:rPr>
      </w:pPr>
    </w:p>
    <w:p w:rsidR="009E09A9" w:rsidRPr="00B10D52" w:rsidRDefault="009E09A9" w:rsidP="001018CF">
      <w:pPr>
        <w:spacing w:after="0" w:line="360" w:lineRule="auto"/>
        <w:ind w:left="851" w:hanging="851"/>
        <w:jc w:val="both"/>
        <w:rPr>
          <w:rFonts w:ascii="Arial" w:hAnsi="Arial" w:cs="Arial"/>
          <w:sz w:val="24"/>
          <w:szCs w:val="24"/>
        </w:rPr>
      </w:pPr>
    </w:p>
    <w:p w:rsidR="0014277B" w:rsidRPr="00B10D52" w:rsidRDefault="0014277B" w:rsidP="001018CF">
      <w:pPr>
        <w:autoSpaceDE w:val="0"/>
        <w:autoSpaceDN w:val="0"/>
        <w:adjustRightInd w:val="0"/>
        <w:spacing w:after="0" w:line="360" w:lineRule="auto"/>
        <w:rPr>
          <w:rFonts w:ascii="Arial" w:hAnsi="Arial" w:cs="Arial"/>
          <w:sz w:val="24"/>
          <w:szCs w:val="24"/>
        </w:rPr>
      </w:pPr>
      <w:r w:rsidRPr="00B10D52">
        <w:rPr>
          <w:rFonts w:ascii="Arial" w:hAnsi="Arial" w:cs="Arial"/>
          <w:sz w:val="24"/>
          <w:szCs w:val="24"/>
        </w:rPr>
        <w:t xml:space="preserve">APPEARANCES: </w:t>
      </w:r>
      <w:r w:rsidRPr="00B10D52">
        <w:rPr>
          <w:rFonts w:ascii="Arial" w:hAnsi="Arial" w:cs="Arial"/>
          <w:sz w:val="24"/>
          <w:szCs w:val="24"/>
        </w:rPr>
        <w:tab/>
      </w:r>
    </w:p>
    <w:p w:rsidR="00B10D52" w:rsidRDefault="00B10D52" w:rsidP="001018CF">
      <w:pPr>
        <w:autoSpaceDE w:val="0"/>
        <w:autoSpaceDN w:val="0"/>
        <w:adjustRightInd w:val="0"/>
        <w:spacing w:after="0" w:line="360" w:lineRule="auto"/>
        <w:rPr>
          <w:rFonts w:ascii="Arial" w:hAnsi="Arial" w:cs="Arial"/>
          <w:sz w:val="24"/>
          <w:szCs w:val="24"/>
        </w:rPr>
      </w:pPr>
    </w:p>
    <w:p w:rsidR="0014277B" w:rsidRPr="00B10D52" w:rsidRDefault="0014277B" w:rsidP="001018CF">
      <w:pPr>
        <w:autoSpaceDE w:val="0"/>
        <w:autoSpaceDN w:val="0"/>
        <w:adjustRightInd w:val="0"/>
        <w:spacing w:after="0" w:line="360" w:lineRule="auto"/>
        <w:rPr>
          <w:rFonts w:ascii="Arial" w:hAnsi="Arial" w:cs="Arial"/>
          <w:sz w:val="24"/>
          <w:szCs w:val="24"/>
        </w:rPr>
      </w:pPr>
      <w:r w:rsidRPr="00B10D52">
        <w:rPr>
          <w:rFonts w:ascii="Arial" w:hAnsi="Arial" w:cs="Arial"/>
          <w:sz w:val="24"/>
          <w:szCs w:val="24"/>
        </w:rPr>
        <w:t>Counsel on behalf of Applicant</w:t>
      </w:r>
      <w:r w:rsidR="002E5629" w:rsidRPr="00B10D52">
        <w:rPr>
          <w:rFonts w:ascii="Arial" w:hAnsi="Arial" w:cs="Arial"/>
          <w:sz w:val="24"/>
          <w:szCs w:val="24"/>
        </w:rPr>
        <w:t>s</w:t>
      </w:r>
      <w:r w:rsidR="00FD17FB" w:rsidRPr="00B10D52">
        <w:rPr>
          <w:rFonts w:ascii="Arial" w:hAnsi="Arial" w:cs="Arial"/>
          <w:sz w:val="24"/>
          <w:szCs w:val="24"/>
        </w:rPr>
        <w:t>:</w:t>
      </w:r>
      <w:r w:rsidR="00FD17FB" w:rsidRPr="00B10D52">
        <w:rPr>
          <w:rFonts w:ascii="Arial" w:hAnsi="Arial" w:cs="Arial"/>
          <w:sz w:val="24"/>
          <w:szCs w:val="24"/>
        </w:rPr>
        <w:tab/>
      </w:r>
      <w:r w:rsidRPr="00B10D52">
        <w:rPr>
          <w:rFonts w:ascii="Arial" w:hAnsi="Arial" w:cs="Arial"/>
          <w:sz w:val="24"/>
          <w:szCs w:val="24"/>
        </w:rPr>
        <w:tab/>
      </w:r>
      <w:r w:rsidR="00B10D52">
        <w:rPr>
          <w:rFonts w:ascii="Arial" w:hAnsi="Arial" w:cs="Arial"/>
          <w:sz w:val="24"/>
          <w:szCs w:val="24"/>
        </w:rPr>
        <w:tab/>
      </w:r>
      <w:r w:rsidR="00B10D52">
        <w:rPr>
          <w:rFonts w:ascii="Arial" w:hAnsi="Arial" w:cs="Arial"/>
          <w:sz w:val="24"/>
          <w:szCs w:val="24"/>
        </w:rPr>
        <w:tab/>
      </w:r>
      <w:r w:rsidR="006F674A" w:rsidRPr="00B10D52">
        <w:rPr>
          <w:rFonts w:ascii="Arial" w:hAnsi="Arial" w:cs="Arial"/>
          <w:sz w:val="24"/>
          <w:szCs w:val="24"/>
        </w:rPr>
        <w:t xml:space="preserve">Adv. </w:t>
      </w:r>
      <w:r w:rsidR="002D7B25" w:rsidRPr="00B10D52">
        <w:rPr>
          <w:rFonts w:ascii="Arial" w:hAnsi="Arial" w:cs="Arial"/>
          <w:sz w:val="24"/>
          <w:szCs w:val="24"/>
        </w:rPr>
        <w:t>C.J. Hendricks</w:t>
      </w:r>
    </w:p>
    <w:p w:rsidR="0014277B" w:rsidRPr="00B10D52" w:rsidRDefault="0014277B" w:rsidP="001018CF">
      <w:pPr>
        <w:autoSpaceDE w:val="0"/>
        <w:autoSpaceDN w:val="0"/>
        <w:adjustRightInd w:val="0"/>
        <w:spacing w:after="0" w:line="360" w:lineRule="auto"/>
        <w:rPr>
          <w:rFonts w:ascii="Arial" w:hAnsi="Arial" w:cs="Arial"/>
          <w:sz w:val="24"/>
          <w:szCs w:val="24"/>
        </w:rPr>
      </w:pPr>
      <w:r w:rsidRPr="00B10D52">
        <w:rPr>
          <w:rFonts w:ascii="Arial" w:hAnsi="Arial" w:cs="Arial"/>
          <w:sz w:val="24"/>
          <w:szCs w:val="24"/>
        </w:rPr>
        <w:t>Instructed by:</w:t>
      </w:r>
      <w:r w:rsidRPr="00B10D52">
        <w:rPr>
          <w:rFonts w:ascii="Arial" w:hAnsi="Arial" w:cs="Arial"/>
          <w:sz w:val="24"/>
          <w:szCs w:val="24"/>
        </w:rPr>
        <w:tab/>
      </w:r>
      <w:r w:rsidRPr="00B10D52">
        <w:rPr>
          <w:rFonts w:ascii="Arial" w:hAnsi="Arial" w:cs="Arial"/>
          <w:sz w:val="24"/>
          <w:szCs w:val="24"/>
        </w:rPr>
        <w:tab/>
      </w:r>
      <w:r w:rsidRPr="00B10D52">
        <w:rPr>
          <w:rFonts w:ascii="Arial" w:hAnsi="Arial" w:cs="Arial"/>
          <w:sz w:val="24"/>
          <w:szCs w:val="24"/>
        </w:rPr>
        <w:tab/>
      </w:r>
      <w:r w:rsidRPr="00B10D52">
        <w:rPr>
          <w:rFonts w:ascii="Arial" w:hAnsi="Arial" w:cs="Arial"/>
          <w:sz w:val="24"/>
          <w:szCs w:val="24"/>
        </w:rPr>
        <w:tab/>
      </w:r>
      <w:r w:rsidRPr="00B10D52">
        <w:rPr>
          <w:rFonts w:ascii="Arial" w:hAnsi="Arial" w:cs="Arial"/>
          <w:sz w:val="24"/>
          <w:szCs w:val="24"/>
        </w:rPr>
        <w:tab/>
      </w:r>
      <w:r w:rsidR="00B10D52">
        <w:rPr>
          <w:rFonts w:ascii="Arial" w:hAnsi="Arial" w:cs="Arial"/>
          <w:sz w:val="24"/>
          <w:szCs w:val="24"/>
        </w:rPr>
        <w:tab/>
      </w:r>
      <w:r w:rsidR="002D7B25" w:rsidRPr="00B10D52">
        <w:rPr>
          <w:rFonts w:ascii="Arial" w:hAnsi="Arial" w:cs="Arial"/>
          <w:sz w:val="24"/>
          <w:szCs w:val="24"/>
        </w:rPr>
        <w:t xml:space="preserve">Gouws Virtue </w:t>
      </w:r>
      <w:r w:rsidR="002E5629" w:rsidRPr="00B10D52">
        <w:rPr>
          <w:rFonts w:ascii="Arial" w:hAnsi="Arial" w:cs="Arial"/>
          <w:sz w:val="24"/>
          <w:szCs w:val="24"/>
        </w:rPr>
        <w:t>Attorneys</w:t>
      </w:r>
    </w:p>
    <w:p w:rsidR="007D149A" w:rsidRPr="00B10D52" w:rsidRDefault="007D149A" w:rsidP="00B10D52">
      <w:pPr>
        <w:autoSpaceDE w:val="0"/>
        <w:autoSpaceDN w:val="0"/>
        <w:adjustRightInd w:val="0"/>
        <w:spacing w:after="0" w:line="360" w:lineRule="auto"/>
        <w:ind w:left="5040" w:firstLine="720"/>
        <w:rPr>
          <w:rFonts w:ascii="Arial" w:hAnsi="Arial" w:cs="Arial"/>
          <w:b/>
          <w:sz w:val="24"/>
          <w:szCs w:val="24"/>
        </w:rPr>
      </w:pPr>
      <w:r w:rsidRPr="00B10D52">
        <w:rPr>
          <w:rFonts w:ascii="Arial" w:hAnsi="Arial" w:cs="Arial"/>
          <w:b/>
          <w:sz w:val="24"/>
          <w:szCs w:val="24"/>
        </w:rPr>
        <w:t>BLOEMFONTEIN</w:t>
      </w:r>
    </w:p>
    <w:p w:rsidR="007D149A" w:rsidRPr="00B10D52" w:rsidRDefault="007D149A" w:rsidP="001018CF">
      <w:pPr>
        <w:autoSpaceDE w:val="0"/>
        <w:autoSpaceDN w:val="0"/>
        <w:adjustRightInd w:val="0"/>
        <w:spacing w:after="0" w:line="360" w:lineRule="auto"/>
        <w:ind w:left="5040" w:firstLine="720"/>
        <w:rPr>
          <w:rFonts w:ascii="Arial" w:hAnsi="Arial" w:cs="Arial"/>
          <w:sz w:val="24"/>
          <w:szCs w:val="24"/>
        </w:rPr>
      </w:pPr>
    </w:p>
    <w:p w:rsidR="00B10D52" w:rsidRPr="00B10D52" w:rsidRDefault="00B10D52" w:rsidP="001018CF">
      <w:pPr>
        <w:autoSpaceDE w:val="0"/>
        <w:autoSpaceDN w:val="0"/>
        <w:adjustRightInd w:val="0"/>
        <w:spacing w:after="0" w:line="360" w:lineRule="auto"/>
        <w:rPr>
          <w:rFonts w:ascii="Arial" w:hAnsi="Arial" w:cs="Arial"/>
          <w:sz w:val="24"/>
          <w:szCs w:val="24"/>
        </w:rPr>
      </w:pPr>
    </w:p>
    <w:p w:rsidR="00FD17FB" w:rsidRPr="00B10D52" w:rsidRDefault="0014277B" w:rsidP="001018CF">
      <w:pPr>
        <w:autoSpaceDE w:val="0"/>
        <w:autoSpaceDN w:val="0"/>
        <w:adjustRightInd w:val="0"/>
        <w:spacing w:after="0" w:line="360" w:lineRule="auto"/>
        <w:rPr>
          <w:rFonts w:ascii="Arial" w:hAnsi="Arial" w:cs="Arial"/>
          <w:sz w:val="24"/>
          <w:szCs w:val="24"/>
        </w:rPr>
      </w:pPr>
      <w:r w:rsidRPr="00B10D52">
        <w:rPr>
          <w:rFonts w:ascii="Arial" w:hAnsi="Arial" w:cs="Arial"/>
          <w:sz w:val="24"/>
          <w:szCs w:val="24"/>
        </w:rPr>
        <w:t xml:space="preserve">Counsel on behalf of </w:t>
      </w:r>
      <w:r w:rsidR="006F674A" w:rsidRPr="00B10D52">
        <w:rPr>
          <w:rFonts w:ascii="Arial" w:hAnsi="Arial" w:cs="Arial"/>
          <w:sz w:val="24"/>
          <w:szCs w:val="24"/>
        </w:rPr>
        <w:t>Respondent</w:t>
      </w:r>
      <w:r w:rsidRPr="00B10D52">
        <w:rPr>
          <w:rFonts w:ascii="Arial" w:hAnsi="Arial" w:cs="Arial"/>
          <w:sz w:val="24"/>
          <w:szCs w:val="24"/>
        </w:rPr>
        <w:t xml:space="preserve">: </w:t>
      </w:r>
      <w:r w:rsidRPr="00B10D52">
        <w:rPr>
          <w:rFonts w:ascii="Arial" w:hAnsi="Arial" w:cs="Arial"/>
          <w:sz w:val="24"/>
          <w:szCs w:val="24"/>
        </w:rPr>
        <w:tab/>
      </w:r>
      <w:r w:rsidR="006F674A" w:rsidRPr="00B10D52">
        <w:rPr>
          <w:rFonts w:ascii="Arial" w:hAnsi="Arial" w:cs="Arial"/>
          <w:sz w:val="24"/>
          <w:szCs w:val="24"/>
        </w:rPr>
        <w:tab/>
      </w:r>
      <w:r w:rsidR="00B10D52">
        <w:rPr>
          <w:rFonts w:ascii="Arial" w:hAnsi="Arial" w:cs="Arial"/>
          <w:sz w:val="24"/>
          <w:szCs w:val="24"/>
        </w:rPr>
        <w:tab/>
      </w:r>
      <w:r w:rsidR="006F674A" w:rsidRPr="00B10D52">
        <w:rPr>
          <w:rFonts w:ascii="Arial" w:hAnsi="Arial" w:cs="Arial"/>
          <w:sz w:val="24"/>
          <w:szCs w:val="24"/>
        </w:rPr>
        <w:t xml:space="preserve">Adv. </w:t>
      </w:r>
      <w:r w:rsidR="002D7B25" w:rsidRPr="00B10D52">
        <w:rPr>
          <w:rFonts w:ascii="Arial" w:hAnsi="Arial" w:cs="Arial"/>
          <w:sz w:val="24"/>
          <w:szCs w:val="24"/>
        </w:rPr>
        <w:t>R. van der Merwe</w:t>
      </w:r>
    </w:p>
    <w:p w:rsidR="008E5CD1" w:rsidRPr="00B10D52" w:rsidRDefault="00C4098F" w:rsidP="001018CF">
      <w:pPr>
        <w:autoSpaceDE w:val="0"/>
        <w:autoSpaceDN w:val="0"/>
        <w:adjustRightInd w:val="0"/>
        <w:spacing w:after="0" w:line="360" w:lineRule="auto"/>
        <w:rPr>
          <w:rFonts w:ascii="Arial" w:hAnsi="Arial" w:cs="Arial"/>
          <w:sz w:val="24"/>
          <w:szCs w:val="24"/>
        </w:rPr>
      </w:pPr>
      <w:r w:rsidRPr="00B10D52">
        <w:rPr>
          <w:rFonts w:ascii="Arial" w:hAnsi="Arial" w:cs="Arial"/>
          <w:sz w:val="24"/>
          <w:szCs w:val="24"/>
        </w:rPr>
        <w:t>Instructed by</w:t>
      </w:r>
      <w:r w:rsidR="0014277B" w:rsidRPr="00B10D52">
        <w:rPr>
          <w:rFonts w:ascii="Arial" w:hAnsi="Arial" w:cs="Arial"/>
          <w:sz w:val="24"/>
          <w:szCs w:val="24"/>
        </w:rPr>
        <w:t>:</w:t>
      </w:r>
      <w:r w:rsidR="0014277B" w:rsidRPr="00B10D52">
        <w:rPr>
          <w:rFonts w:ascii="Arial" w:hAnsi="Arial" w:cs="Arial"/>
          <w:sz w:val="24"/>
          <w:szCs w:val="24"/>
        </w:rPr>
        <w:tab/>
      </w:r>
      <w:r w:rsidR="0014277B" w:rsidRPr="00B10D52">
        <w:rPr>
          <w:rFonts w:ascii="Arial" w:hAnsi="Arial" w:cs="Arial"/>
          <w:sz w:val="24"/>
          <w:szCs w:val="24"/>
        </w:rPr>
        <w:tab/>
      </w:r>
      <w:r w:rsidR="0014277B" w:rsidRPr="00B10D52">
        <w:rPr>
          <w:rFonts w:ascii="Arial" w:hAnsi="Arial" w:cs="Arial"/>
          <w:sz w:val="24"/>
          <w:szCs w:val="24"/>
        </w:rPr>
        <w:tab/>
      </w:r>
      <w:r w:rsidR="0014277B" w:rsidRPr="00B10D52">
        <w:rPr>
          <w:rFonts w:ascii="Arial" w:hAnsi="Arial" w:cs="Arial"/>
          <w:sz w:val="24"/>
          <w:szCs w:val="24"/>
        </w:rPr>
        <w:tab/>
      </w:r>
      <w:r w:rsidR="0014277B" w:rsidRPr="00B10D52">
        <w:rPr>
          <w:rFonts w:ascii="Arial" w:hAnsi="Arial" w:cs="Arial"/>
          <w:sz w:val="24"/>
          <w:szCs w:val="24"/>
        </w:rPr>
        <w:tab/>
      </w:r>
      <w:r w:rsidR="00B10D52">
        <w:rPr>
          <w:rFonts w:ascii="Arial" w:hAnsi="Arial" w:cs="Arial"/>
          <w:sz w:val="24"/>
          <w:szCs w:val="24"/>
        </w:rPr>
        <w:tab/>
      </w:r>
      <w:r w:rsidR="002D7B25" w:rsidRPr="00B10D52">
        <w:rPr>
          <w:rFonts w:ascii="Arial" w:hAnsi="Arial" w:cs="Arial"/>
          <w:sz w:val="24"/>
          <w:szCs w:val="24"/>
        </w:rPr>
        <w:t>Honey Attorneys</w:t>
      </w:r>
      <w:r w:rsidR="002E5629" w:rsidRPr="00B10D52">
        <w:rPr>
          <w:rFonts w:ascii="Arial" w:hAnsi="Arial" w:cs="Arial"/>
          <w:sz w:val="24"/>
          <w:szCs w:val="24"/>
        </w:rPr>
        <w:t>.</w:t>
      </w:r>
    </w:p>
    <w:p w:rsidR="00FD17FB" w:rsidRPr="00B10D52" w:rsidRDefault="002E5629" w:rsidP="001018CF">
      <w:pPr>
        <w:autoSpaceDE w:val="0"/>
        <w:autoSpaceDN w:val="0"/>
        <w:adjustRightInd w:val="0"/>
        <w:spacing w:after="0" w:line="360" w:lineRule="auto"/>
        <w:rPr>
          <w:rFonts w:ascii="Arial" w:hAnsi="Arial" w:cs="Arial"/>
          <w:b/>
          <w:sz w:val="24"/>
          <w:szCs w:val="24"/>
        </w:rPr>
      </w:pPr>
      <w:r w:rsidRPr="00B10D52">
        <w:rPr>
          <w:rFonts w:ascii="Arial" w:hAnsi="Arial" w:cs="Arial"/>
          <w:sz w:val="24"/>
          <w:szCs w:val="24"/>
        </w:rPr>
        <w:tab/>
      </w:r>
      <w:r w:rsidRPr="00B10D52">
        <w:rPr>
          <w:rFonts w:ascii="Arial" w:hAnsi="Arial" w:cs="Arial"/>
          <w:sz w:val="24"/>
          <w:szCs w:val="24"/>
        </w:rPr>
        <w:tab/>
      </w:r>
      <w:r w:rsidRPr="00B10D52">
        <w:rPr>
          <w:rFonts w:ascii="Arial" w:hAnsi="Arial" w:cs="Arial"/>
          <w:sz w:val="24"/>
          <w:szCs w:val="24"/>
        </w:rPr>
        <w:tab/>
      </w:r>
      <w:r w:rsidRPr="00B10D52">
        <w:rPr>
          <w:rFonts w:ascii="Arial" w:hAnsi="Arial" w:cs="Arial"/>
          <w:sz w:val="24"/>
          <w:szCs w:val="24"/>
        </w:rPr>
        <w:tab/>
      </w:r>
      <w:r w:rsidRPr="00B10D52">
        <w:rPr>
          <w:rFonts w:ascii="Arial" w:hAnsi="Arial" w:cs="Arial"/>
          <w:sz w:val="24"/>
          <w:szCs w:val="24"/>
        </w:rPr>
        <w:tab/>
      </w:r>
      <w:r w:rsidRPr="00B10D52">
        <w:rPr>
          <w:rFonts w:ascii="Arial" w:hAnsi="Arial" w:cs="Arial"/>
          <w:sz w:val="24"/>
          <w:szCs w:val="24"/>
        </w:rPr>
        <w:tab/>
      </w:r>
      <w:r w:rsidRPr="00B10D52">
        <w:rPr>
          <w:rFonts w:ascii="Arial" w:hAnsi="Arial" w:cs="Arial"/>
          <w:sz w:val="24"/>
          <w:szCs w:val="24"/>
        </w:rPr>
        <w:tab/>
      </w:r>
      <w:r w:rsidR="00B10D52">
        <w:rPr>
          <w:rFonts w:ascii="Arial" w:hAnsi="Arial" w:cs="Arial"/>
          <w:sz w:val="24"/>
          <w:szCs w:val="24"/>
        </w:rPr>
        <w:tab/>
      </w:r>
      <w:r w:rsidR="00FD17FB" w:rsidRPr="00B10D52">
        <w:rPr>
          <w:rFonts w:ascii="Arial" w:hAnsi="Arial" w:cs="Arial"/>
          <w:b/>
          <w:sz w:val="24"/>
          <w:szCs w:val="24"/>
        </w:rPr>
        <w:t>BLOEMFONTEIN</w:t>
      </w:r>
    </w:p>
    <w:p w:rsidR="00684C95" w:rsidRPr="00B10D52" w:rsidRDefault="00684C95" w:rsidP="001018CF">
      <w:pPr>
        <w:autoSpaceDE w:val="0"/>
        <w:autoSpaceDN w:val="0"/>
        <w:adjustRightInd w:val="0"/>
        <w:spacing w:after="0" w:line="360" w:lineRule="auto"/>
        <w:rPr>
          <w:rFonts w:ascii="Arial" w:hAnsi="Arial" w:cs="Arial"/>
          <w:b/>
          <w:color w:val="FF0000"/>
          <w:sz w:val="24"/>
          <w:szCs w:val="24"/>
        </w:rPr>
      </w:pPr>
    </w:p>
    <w:sectPr w:rsidR="00684C95" w:rsidRPr="00B10D52" w:rsidSect="00884155">
      <w:headerReference w:type="default" r:id="rId10"/>
      <w:pgSz w:w="11906" w:h="16838"/>
      <w:pgMar w:top="1440" w:right="1841"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3D5" w:rsidRDefault="00B573D5" w:rsidP="003A2C84">
      <w:pPr>
        <w:spacing w:after="0" w:line="240" w:lineRule="auto"/>
      </w:pPr>
      <w:r>
        <w:separator/>
      </w:r>
    </w:p>
  </w:endnote>
  <w:endnote w:type="continuationSeparator" w:id="0">
    <w:p w:rsidR="00B573D5" w:rsidRDefault="00B573D5"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3D5" w:rsidRDefault="00B573D5" w:rsidP="003A2C84">
      <w:pPr>
        <w:spacing w:after="0" w:line="240" w:lineRule="auto"/>
      </w:pPr>
      <w:r>
        <w:separator/>
      </w:r>
    </w:p>
  </w:footnote>
  <w:footnote w:type="continuationSeparator" w:id="0">
    <w:p w:rsidR="00B573D5" w:rsidRDefault="00B573D5" w:rsidP="003A2C84">
      <w:pPr>
        <w:spacing w:after="0" w:line="240" w:lineRule="auto"/>
      </w:pPr>
      <w:r>
        <w:continuationSeparator/>
      </w:r>
    </w:p>
  </w:footnote>
  <w:footnote w:id="1">
    <w:p w:rsidR="00944D49" w:rsidRDefault="00944D49">
      <w:pPr>
        <w:pStyle w:val="FootnoteText"/>
      </w:pPr>
      <w:r>
        <w:rPr>
          <w:rStyle w:val="FootnoteReference"/>
        </w:rPr>
        <w:footnoteRef/>
      </w:r>
      <w:r>
        <w:t xml:space="preserve"> The copy of the lease agreement is attached on the founding affidavit as Annexure “ZB1.” </w:t>
      </w:r>
    </w:p>
  </w:footnote>
  <w:footnote w:id="2">
    <w:p w:rsidR="007F74F6" w:rsidRPr="00601299" w:rsidRDefault="007F74F6" w:rsidP="00B10D52">
      <w:pPr>
        <w:pStyle w:val="FootnoteText"/>
        <w:jc w:val="both"/>
        <w:rPr>
          <w:rFonts w:cs="Calibri"/>
        </w:rPr>
      </w:pPr>
      <w:r w:rsidRPr="00B10D52">
        <w:rPr>
          <w:rStyle w:val="FootnoteReference"/>
          <w:rFonts w:cs="Calibri"/>
        </w:rPr>
        <w:footnoteRef/>
      </w:r>
      <w:r w:rsidRPr="00B10D52">
        <w:rPr>
          <w:rFonts w:cs="Calibri"/>
        </w:rPr>
        <w:t xml:space="preserve"> </w:t>
      </w:r>
      <w:r w:rsidRPr="00601299">
        <w:rPr>
          <w:rFonts w:cs="Calibri"/>
        </w:rPr>
        <w:t>Clause 18 provides thus:</w:t>
      </w:r>
      <w:r w:rsidR="00B10D52" w:rsidRPr="00601299">
        <w:rPr>
          <w:rFonts w:cs="Calibri"/>
        </w:rPr>
        <w:t xml:space="preserve"> </w:t>
      </w:r>
      <w:r w:rsidRPr="00601299">
        <w:rPr>
          <w:rFonts w:cs="Calibri"/>
          <w:i/>
        </w:rPr>
        <w:t>“Should the LESSEE fails, neglects or refuses to pay any rent and/or other monies herein stipulated within SEVEN days of the date on which payment is due…the LESSOR shall be entitled, notwithstanding any prior waiver, extension or condonation and without prejudice to any other rights the LESSOR may have hereunder,  immediately and without prejudice to any other rights the LESSOR may have hereunder, immediately and without prejudice to any other rights and remedies, to give the tenant notice, in in the manner set forth in Clause (14) of this Lease Agreement, specifying the default complained of and if the tenant fails to rectify the default so complained of within SEVEN days of receiving such notice, or should the LESSEE or sub-lessee consistently breach any one or more of the terms of this Lease in such a manner as to justify the LESSOR in holding that the LESSEE’S conduct is inconsistent with the LESSEE’S  intention or ability to carry out the terms of this Lease, the LESSOR shall have the right to cancel this contract by written notice sent to the LESSEE by</w:t>
      </w:r>
      <w:r w:rsidR="00B10D52" w:rsidRPr="00601299">
        <w:rPr>
          <w:rFonts w:cs="Calibri"/>
          <w:i/>
        </w:rPr>
        <w:t xml:space="preserve"> </w:t>
      </w:r>
      <w:r w:rsidRPr="00601299">
        <w:rPr>
          <w:rFonts w:cs="Calibri"/>
          <w:i/>
        </w:rPr>
        <w:t>the LESSOR…”</w:t>
      </w:r>
      <w:r w:rsidR="00B10D52" w:rsidRPr="00601299">
        <w:rPr>
          <w:rFonts w:cs="Calibri"/>
          <w:i/>
        </w:rPr>
        <w:t xml:space="preserve"> </w:t>
      </w:r>
    </w:p>
  </w:footnote>
  <w:footnote w:id="3">
    <w:p w:rsidR="00B740DA" w:rsidRPr="00601299" w:rsidRDefault="00B740DA">
      <w:pPr>
        <w:pStyle w:val="FootnoteText"/>
      </w:pPr>
      <w:r w:rsidRPr="00601299">
        <w:rPr>
          <w:rStyle w:val="FootnoteReference"/>
          <w:rFonts w:cs="Calibri"/>
        </w:rPr>
        <w:footnoteRef/>
      </w:r>
      <w:r w:rsidRPr="00601299">
        <w:rPr>
          <w:rFonts w:cs="Calibri"/>
        </w:rPr>
        <w:t xml:space="preserve"> Annexures “A01.1, to “A01.3” of the respondent’s answering affidavit are copies of a series of correspondences between the parties’ legal representatives</w:t>
      </w:r>
      <w:r w:rsidR="00FB61E7" w:rsidRPr="00601299">
        <w:rPr>
          <w:rFonts w:cs="Calibri"/>
        </w:rPr>
        <w:t xml:space="preserve"> including letters of demand, the notice of cancellation of the lease and of the change of locks of the premises</w:t>
      </w:r>
      <w:r w:rsidRPr="0060129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rsidR="00B740DA" w:rsidRDefault="00B740DA">
        <w:pPr>
          <w:pStyle w:val="Header"/>
          <w:jc w:val="right"/>
        </w:pPr>
        <w:r>
          <w:fldChar w:fldCharType="begin"/>
        </w:r>
        <w:r>
          <w:instrText xml:space="preserve"> PAGE   \* MERGEFORMAT </w:instrText>
        </w:r>
        <w:r>
          <w:fldChar w:fldCharType="separate"/>
        </w:r>
        <w:r w:rsidR="000D3AA2">
          <w:rPr>
            <w:noProof/>
          </w:rPr>
          <w:t>2</w:t>
        </w:r>
        <w:r>
          <w:rPr>
            <w:noProof/>
          </w:rPr>
          <w:fldChar w:fldCharType="end"/>
        </w:r>
      </w:p>
    </w:sdtContent>
  </w:sdt>
  <w:p w:rsidR="00B740DA" w:rsidRDefault="00B740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1A1E"/>
    <w:multiLevelType w:val="hybridMultilevel"/>
    <w:tmpl w:val="64BCE2E8"/>
    <w:lvl w:ilvl="0" w:tplc="B23A047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95E7BC3"/>
    <w:multiLevelType w:val="hybridMultilevel"/>
    <w:tmpl w:val="DFA42054"/>
    <w:lvl w:ilvl="0" w:tplc="B4DCE15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0A79752D"/>
    <w:multiLevelType w:val="multilevel"/>
    <w:tmpl w:val="0BFC326C"/>
    <w:lvl w:ilvl="0">
      <w:start w:val="1"/>
      <w:numFmt w:val="decimal"/>
      <w:lvlText w:val="%1."/>
      <w:lvlJc w:val="left"/>
      <w:pPr>
        <w:ind w:left="400" w:hanging="400"/>
      </w:pPr>
      <w:rPr>
        <w:rFonts w:hint="default"/>
        <w:color w:val="auto"/>
        <w:sz w:val="24"/>
      </w:rPr>
    </w:lvl>
    <w:lvl w:ilvl="1">
      <w:start w:val="1"/>
      <w:numFmt w:val="decimal"/>
      <w:lvlText w:val="%1.%2."/>
      <w:lvlJc w:val="left"/>
      <w:pPr>
        <w:ind w:left="1440" w:hanging="720"/>
      </w:pPr>
      <w:rPr>
        <w:rFonts w:hint="default"/>
        <w:color w:val="auto"/>
        <w:sz w:val="24"/>
      </w:rPr>
    </w:lvl>
    <w:lvl w:ilvl="2">
      <w:start w:val="1"/>
      <w:numFmt w:val="decimal"/>
      <w:lvlText w:val="%1.%2.%3."/>
      <w:lvlJc w:val="left"/>
      <w:pPr>
        <w:ind w:left="2160" w:hanging="720"/>
      </w:pPr>
      <w:rPr>
        <w:rFonts w:hint="default"/>
        <w:color w:val="auto"/>
        <w:sz w:val="24"/>
      </w:rPr>
    </w:lvl>
    <w:lvl w:ilvl="3">
      <w:start w:val="1"/>
      <w:numFmt w:val="decimal"/>
      <w:lvlText w:val="%1.%2.%3.%4."/>
      <w:lvlJc w:val="left"/>
      <w:pPr>
        <w:ind w:left="3240" w:hanging="1080"/>
      </w:pPr>
      <w:rPr>
        <w:rFonts w:hint="default"/>
        <w:color w:val="auto"/>
        <w:sz w:val="24"/>
      </w:rPr>
    </w:lvl>
    <w:lvl w:ilvl="4">
      <w:start w:val="1"/>
      <w:numFmt w:val="decimal"/>
      <w:lvlText w:val="%1.%2.%3.%4.%5."/>
      <w:lvlJc w:val="left"/>
      <w:pPr>
        <w:ind w:left="4320" w:hanging="1440"/>
      </w:pPr>
      <w:rPr>
        <w:rFonts w:hint="default"/>
        <w:color w:val="auto"/>
        <w:sz w:val="24"/>
      </w:rPr>
    </w:lvl>
    <w:lvl w:ilvl="5">
      <w:start w:val="1"/>
      <w:numFmt w:val="decimal"/>
      <w:lvlText w:val="%1.%2.%3.%4.%5.%6."/>
      <w:lvlJc w:val="left"/>
      <w:pPr>
        <w:ind w:left="5040" w:hanging="1440"/>
      </w:pPr>
      <w:rPr>
        <w:rFonts w:hint="default"/>
        <w:color w:val="auto"/>
        <w:sz w:val="24"/>
      </w:rPr>
    </w:lvl>
    <w:lvl w:ilvl="6">
      <w:start w:val="1"/>
      <w:numFmt w:val="decimal"/>
      <w:lvlText w:val="%1.%2.%3.%4.%5.%6.%7."/>
      <w:lvlJc w:val="left"/>
      <w:pPr>
        <w:ind w:left="6120" w:hanging="1800"/>
      </w:pPr>
      <w:rPr>
        <w:rFonts w:hint="default"/>
        <w:color w:val="auto"/>
        <w:sz w:val="24"/>
      </w:rPr>
    </w:lvl>
    <w:lvl w:ilvl="7">
      <w:start w:val="1"/>
      <w:numFmt w:val="decimal"/>
      <w:lvlText w:val="%1.%2.%3.%4.%5.%6.%7.%8."/>
      <w:lvlJc w:val="left"/>
      <w:pPr>
        <w:ind w:left="7200" w:hanging="2160"/>
      </w:pPr>
      <w:rPr>
        <w:rFonts w:hint="default"/>
        <w:color w:val="auto"/>
        <w:sz w:val="24"/>
      </w:rPr>
    </w:lvl>
    <w:lvl w:ilvl="8">
      <w:start w:val="1"/>
      <w:numFmt w:val="decimal"/>
      <w:lvlText w:val="%1.%2.%3.%4.%5.%6.%7.%8.%9."/>
      <w:lvlJc w:val="left"/>
      <w:pPr>
        <w:ind w:left="7920" w:hanging="2160"/>
      </w:pPr>
      <w:rPr>
        <w:rFonts w:hint="default"/>
        <w:color w:val="auto"/>
        <w:sz w:val="24"/>
      </w:rPr>
    </w:lvl>
  </w:abstractNum>
  <w:abstractNum w:abstractNumId="3" w15:restartNumberingAfterBreak="0">
    <w:nsid w:val="0B061315"/>
    <w:multiLevelType w:val="hybridMultilevel"/>
    <w:tmpl w:val="E20431BC"/>
    <w:lvl w:ilvl="0" w:tplc="CDBE8F52">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11D0CE0"/>
    <w:multiLevelType w:val="hybridMultilevel"/>
    <w:tmpl w:val="587E4998"/>
    <w:lvl w:ilvl="0" w:tplc="6980D0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1433D14"/>
    <w:multiLevelType w:val="multilevel"/>
    <w:tmpl w:val="692E8A00"/>
    <w:lvl w:ilvl="0">
      <w:start w:val="1"/>
      <w:numFmt w:val="decimal"/>
      <w:lvlText w:val="%1."/>
      <w:lvlJc w:val="left"/>
      <w:pPr>
        <w:ind w:left="1572" w:hanging="360"/>
      </w:pPr>
      <w:rPr>
        <w:rFonts w:hint="default"/>
      </w:rPr>
    </w:lvl>
    <w:lvl w:ilvl="1">
      <w:start w:val="1"/>
      <w:numFmt w:val="decimal"/>
      <w:isLgl/>
      <w:lvlText w:val="%1.%2"/>
      <w:lvlJc w:val="left"/>
      <w:pPr>
        <w:ind w:left="2292" w:hanging="720"/>
      </w:pPr>
      <w:rPr>
        <w:rFonts w:hint="default"/>
      </w:rPr>
    </w:lvl>
    <w:lvl w:ilvl="2">
      <w:start w:val="1"/>
      <w:numFmt w:val="decimal"/>
      <w:isLgl/>
      <w:lvlText w:val="%1.%2.%3"/>
      <w:lvlJc w:val="left"/>
      <w:pPr>
        <w:ind w:left="2652" w:hanging="720"/>
      </w:pPr>
      <w:rPr>
        <w:rFonts w:hint="default"/>
      </w:rPr>
    </w:lvl>
    <w:lvl w:ilvl="3">
      <w:start w:val="1"/>
      <w:numFmt w:val="decimal"/>
      <w:isLgl/>
      <w:lvlText w:val="%1.%2.%3.%4"/>
      <w:lvlJc w:val="left"/>
      <w:pPr>
        <w:ind w:left="3372" w:hanging="1080"/>
      </w:pPr>
      <w:rPr>
        <w:rFonts w:hint="default"/>
      </w:rPr>
    </w:lvl>
    <w:lvl w:ilvl="4">
      <w:start w:val="1"/>
      <w:numFmt w:val="decimal"/>
      <w:isLgl/>
      <w:lvlText w:val="%1.%2.%3.%4.%5"/>
      <w:lvlJc w:val="left"/>
      <w:pPr>
        <w:ind w:left="4092" w:hanging="1440"/>
      </w:pPr>
      <w:rPr>
        <w:rFonts w:hint="default"/>
      </w:rPr>
    </w:lvl>
    <w:lvl w:ilvl="5">
      <w:start w:val="1"/>
      <w:numFmt w:val="decimal"/>
      <w:isLgl/>
      <w:lvlText w:val="%1.%2.%3.%4.%5.%6"/>
      <w:lvlJc w:val="left"/>
      <w:pPr>
        <w:ind w:left="4452" w:hanging="1440"/>
      </w:pPr>
      <w:rPr>
        <w:rFonts w:hint="default"/>
      </w:rPr>
    </w:lvl>
    <w:lvl w:ilvl="6">
      <w:start w:val="1"/>
      <w:numFmt w:val="decimal"/>
      <w:isLgl/>
      <w:lvlText w:val="%1.%2.%3.%4.%5.%6.%7"/>
      <w:lvlJc w:val="left"/>
      <w:pPr>
        <w:ind w:left="5172" w:hanging="1800"/>
      </w:pPr>
      <w:rPr>
        <w:rFonts w:hint="default"/>
      </w:rPr>
    </w:lvl>
    <w:lvl w:ilvl="7">
      <w:start w:val="1"/>
      <w:numFmt w:val="decimal"/>
      <w:isLgl/>
      <w:lvlText w:val="%1.%2.%3.%4.%5.%6.%7.%8"/>
      <w:lvlJc w:val="left"/>
      <w:pPr>
        <w:ind w:left="5532" w:hanging="1800"/>
      </w:pPr>
      <w:rPr>
        <w:rFonts w:hint="default"/>
      </w:rPr>
    </w:lvl>
    <w:lvl w:ilvl="8">
      <w:start w:val="1"/>
      <w:numFmt w:val="decimal"/>
      <w:isLgl/>
      <w:lvlText w:val="%1.%2.%3.%4.%5.%6.%7.%8.%9"/>
      <w:lvlJc w:val="left"/>
      <w:pPr>
        <w:ind w:left="6252" w:hanging="2160"/>
      </w:pPr>
      <w:rPr>
        <w:rFonts w:hint="default"/>
      </w:rPr>
    </w:lvl>
  </w:abstractNum>
  <w:abstractNum w:abstractNumId="9" w15:restartNumberingAfterBreak="0">
    <w:nsid w:val="2259699C"/>
    <w:multiLevelType w:val="hybridMultilevel"/>
    <w:tmpl w:val="8150462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0250CA"/>
    <w:multiLevelType w:val="hybridMultilevel"/>
    <w:tmpl w:val="E45AF1E2"/>
    <w:lvl w:ilvl="0" w:tplc="BF1E5D98">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32D3107C"/>
    <w:multiLevelType w:val="hybridMultilevel"/>
    <w:tmpl w:val="C2FE43A4"/>
    <w:lvl w:ilvl="0" w:tplc="6FA69B6A">
      <w:start w:val="4"/>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38A4AE7"/>
    <w:multiLevelType w:val="hybridMultilevel"/>
    <w:tmpl w:val="E2C0628C"/>
    <w:lvl w:ilvl="0" w:tplc="DCA892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C3269A4"/>
    <w:multiLevelType w:val="hybridMultilevel"/>
    <w:tmpl w:val="CFEAD302"/>
    <w:lvl w:ilvl="0" w:tplc="D046A0E0">
      <w:start w:val="1"/>
      <w:numFmt w:val="decimal"/>
      <w:lvlText w:val="[%1]"/>
      <w:lvlJc w:val="left"/>
      <w:pPr>
        <w:tabs>
          <w:tab w:val="num" w:pos="1440"/>
        </w:tabs>
        <w:ind w:left="720" w:firstLine="0"/>
      </w:pPr>
      <w:rPr>
        <w:rFonts w:ascii="Times New Roman" w:hAnsi="Times New Roman" w:cs="Times New Roman" w:hint="default"/>
        <w:b w:val="0"/>
        <w:i w:val="0"/>
        <w:spacing w:val="20"/>
        <w:w w:val="120"/>
      </w:rPr>
    </w:lvl>
    <w:lvl w:ilvl="1" w:tplc="1C090019">
      <w:start w:val="1"/>
      <w:numFmt w:val="lowerLetter"/>
      <w:lvlText w:val="%2."/>
      <w:lvlJc w:val="left"/>
      <w:pPr>
        <w:tabs>
          <w:tab w:val="num" w:pos="1440"/>
        </w:tabs>
        <w:ind w:left="1440" w:hanging="360"/>
      </w:pPr>
      <w:rPr>
        <w:rFonts w:cs="Times New Roman"/>
      </w:rPr>
    </w:lvl>
    <w:lvl w:ilvl="2" w:tplc="663A46AA">
      <w:start w:val="118"/>
      <w:numFmt w:val="decimal"/>
      <w:lvlText w:val="%3."/>
      <w:lvlJc w:val="left"/>
      <w:pPr>
        <w:tabs>
          <w:tab w:val="num" w:pos="2400"/>
        </w:tabs>
        <w:ind w:left="2400" w:hanging="420"/>
      </w:pPr>
      <w:rPr>
        <w:rFonts w:ascii="Times New Roman" w:eastAsia="Times New Roman" w:hAnsi="Times New Roman" w:cs="Times New Roman" w:hint="default"/>
      </w:rPr>
    </w:lvl>
    <w:lvl w:ilvl="3" w:tplc="ED0460BA">
      <w:start w:val="1"/>
      <w:numFmt w:val="decimal"/>
      <w:lvlText w:val="%4."/>
      <w:lvlJc w:val="left"/>
      <w:pPr>
        <w:tabs>
          <w:tab w:val="num" w:pos="3240"/>
        </w:tabs>
        <w:ind w:left="3240" w:hanging="720"/>
      </w:pPr>
      <w:rPr>
        <w:rFonts w:cs="Times New Roman"/>
      </w:rPr>
    </w:lvl>
    <w:lvl w:ilvl="4" w:tplc="76EA906A">
      <w:start w:val="1"/>
      <w:numFmt w:val="lowerLetter"/>
      <w:lvlText w:val="%5)"/>
      <w:lvlJc w:val="left"/>
      <w:pPr>
        <w:tabs>
          <w:tab w:val="num" w:pos="3960"/>
        </w:tabs>
        <w:ind w:left="3960" w:hanging="720"/>
      </w:pPr>
      <w:rPr>
        <w:rFonts w:cs="Times New Roman"/>
      </w:rPr>
    </w:lvl>
    <w:lvl w:ilvl="5" w:tplc="76CA9562">
      <w:start w:val="1"/>
      <w:numFmt w:val="lowerLetter"/>
      <w:lvlText w:val="(%6)"/>
      <w:lvlJc w:val="left"/>
      <w:pPr>
        <w:tabs>
          <w:tab w:val="num" w:pos="4860"/>
        </w:tabs>
        <w:ind w:left="4860" w:hanging="720"/>
      </w:pPr>
      <w:rPr>
        <w:rFonts w:cs="Times New Roman"/>
      </w:rPr>
    </w:lvl>
    <w:lvl w:ilvl="6" w:tplc="1C09000F">
      <w:start w:val="1"/>
      <w:numFmt w:val="decimal"/>
      <w:lvlText w:val="%7."/>
      <w:lvlJc w:val="left"/>
      <w:pPr>
        <w:tabs>
          <w:tab w:val="num" w:pos="5040"/>
        </w:tabs>
        <w:ind w:left="5040" w:hanging="360"/>
      </w:pPr>
      <w:rPr>
        <w:rFonts w:cs="Times New Roman"/>
      </w:rPr>
    </w:lvl>
    <w:lvl w:ilvl="7" w:tplc="1C090019">
      <w:start w:val="1"/>
      <w:numFmt w:val="lowerLetter"/>
      <w:lvlText w:val="%8."/>
      <w:lvlJc w:val="left"/>
      <w:pPr>
        <w:tabs>
          <w:tab w:val="num" w:pos="5760"/>
        </w:tabs>
        <w:ind w:left="5760" w:hanging="360"/>
      </w:pPr>
      <w:rPr>
        <w:rFonts w:cs="Times New Roman"/>
      </w:rPr>
    </w:lvl>
    <w:lvl w:ilvl="8" w:tplc="1C09001B">
      <w:start w:val="1"/>
      <w:numFmt w:val="lowerRoman"/>
      <w:lvlText w:val="%9."/>
      <w:lvlJc w:val="right"/>
      <w:pPr>
        <w:tabs>
          <w:tab w:val="num" w:pos="6480"/>
        </w:tabs>
        <w:ind w:left="6480" w:hanging="180"/>
      </w:pPr>
      <w:rPr>
        <w:rFonts w:cs="Times New Roman"/>
      </w:rPr>
    </w:lvl>
  </w:abstractNum>
  <w:abstractNum w:abstractNumId="17" w15:restartNumberingAfterBreak="0">
    <w:nsid w:val="58FC0612"/>
    <w:multiLevelType w:val="multilevel"/>
    <w:tmpl w:val="1360997A"/>
    <w:lvl w:ilvl="0">
      <w:start w:val="1"/>
      <w:numFmt w:val="decimal"/>
      <w:lvlText w:val="%1"/>
      <w:lvlJc w:val="left"/>
      <w:pPr>
        <w:ind w:left="384" w:hanging="384"/>
      </w:pPr>
      <w:rPr>
        <w:rFonts w:hint="default"/>
      </w:rPr>
    </w:lvl>
    <w:lvl w:ilvl="1">
      <w:start w:val="2"/>
      <w:numFmt w:val="decimal"/>
      <w:lvlText w:val="%1.%2"/>
      <w:lvlJc w:val="left"/>
      <w:pPr>
        <w:ind w:left="2292" w:hanging="720"/>
      </w:pPr>
      <w:rPr>
        <w:rFonts w:hint="default"/>
      </w:rPr>
    </w:lvl>
    <w:lvl w:ilvl="2">
      <w:start w:val="1"/>
      <w:numFmt w:val="decimal"/>
      <w:lvlText w:val="%1.%2.%3"/>
      <w:lvlJc w:val="left"/>
      <w:pPr>
        <w:ind w:left="3864" w:hanging="720"/>
      </w:pPr>
      <w:rPr>
        <w:rFonts w:hint="default"/>
      </w:rPr>
    </w:lvl>
    <w:lvl w:ilvl="3">
      <w:start w:val="1"/>
      <w:numFmt w:val="decimal"/>
      <w:lvlText w:val="%1.%2.%3.%4"/>
      <w:lvlJc w:val="left"/>
      <w:pPr>
        <w:ind w:left="5796" w:hanging="1080"/>
      </w:pPr>
      <w:rPr>
        <w:rFonts w:hint="default"/>
      </w:rPr>
    </w:lvl>
    <w:lvl w:ilvl="4">
      <w:start w:val="1"/>
      <w:numFmt w:val="decimal"/>
      <w:lvlText w:val="%1.%2.%3.%4.%5"/>
      <w:lvlJc w:val="left"/>
      <w:pPr>
        <w:ind w:left="7728" w:hanging="1440"/>
      </w:pPr>
      <w:rPr>
        <w:rFonts w:hint="default"/>
      </w:rPr>
    </w:lvl>
    <w:lvl w:ilvl="5">
      <w:start w:val="1"/>
      <w:numFmt w:val="decimal"/>
      <w:lvlText w:val="%1.%2.%3.%4.%5.%6"/>
      <w:lvlJc w:val="left"/>
      <w:pPr>
        <w:ind w:left="9300" w:hanging="1440"/>
      </w:pPr>
      <w:rPr>
        <w:rFonts w:hint="default"/>
      </w:rPr>
    </w:lvl>
    <w:lvl w:ilvl="6">
      <w:start w:val="1"/>
      <w:numFmt w:val="decimal"/>
      <w:lvlText w:val="%1.%2.%3.%4.%5.%6.%7"/>
      <w:lvlJc w:val="left"/>
      <w:pPr>
        <w:ind w:left="11232" w:hanging="1800"/>
      </w:pPr>
      <w:rPr>
        <w:rFonts w:hint="default"/>
      </w:rPr>
    </w:lvl>
    <w:lvl w:ilvl="7">
      <w:start w:val="1"/>
      <w:numFmt w:val="decimal"/>
      <w:lvlText w:val="%1.%2.%3.%4.%5.%6.%7.%8"/>
      <w:lvlJc w:val="left"/>
      <w:pPr>
        <w:ind w:left="12804" w:hanging="1800"/>
      </w:pPr>
      <w:rPr>
        <w:rFonts w:hint="default"/>
      </w:rPr>
    </w:lvl>
    <w:lvl w:ilvl="8">
      <w:start w:val="1"/>
      <w:numFmt w:val="decimal"/>
      <w:lvlText w:val="%1.%2.%3.%4.%5.%6.%7.%8.%9"/>
      <w:lvlJc w:val="left"/>
      <w:pPr>
        <w:ind w:left="14736" w:hanging="2160"/>
      </w:pPr>
      <w:rPr>
        <w:rFonts w:hint="default"/>
      </w:rPr>
    </w:lvl>
  </w:abstractNum>
  <w:abstractNum w:abstractNumId="18" w15:restartNumberingAfterBreak="0">
    <w:nsid w:val="592D6284"/>
    <w:multiLevelType w:val="hybridMultilevel"/>
    <w:tmpl w:val="E056029C"/>
    <w:lvl w:ilvl="0" w:tplc="BF5A618E">
      <w:start w:val="5"/>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68B35800"/>
    <w:multiLevelType w:val="hybridMultilevel"/>
    <w:tmpl w:val="64E89262"/>
    <w:lvl w:ilvl="0" w:tplc="1A58F5FC">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AF267A2"/>
    <w:multiLevelType w:val="hybridMultilevel"/>
    <w:tmpl w:val="DB5A9E1A"/>
    <w:lvl w:ilvl="0" w:tplc="0E38FE7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7B2923C5"/>
    <w:multiLevelType w:val="hybridMultilevel"/>
    <w:tmpl w:val="2D36CC68"/>
    <w:lvl w:ilvl="0" w:tplc="D03076FC">
      <w:start w:val="1"/>
      <w:numFmt w:val="decimal"/>
      <w:lvlText w:val="%1."/>
      <w:lvlJc w:val="left"/>
      <w:pPr>
        <w:ind w:left="1212" w:hanging="360"/>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22" w15:restartNumberingAfterBreak="0">
    <w:nsid w:val="7C8C5883"/>
    <w:multiLevelType w:val="hybridMultilevel"/>
    <w:tmpl w:val="7FFEA3C6"/>
    <w:lvl w:ilvl="0" w:tplc="7638DE34">
      <w:start w:val="1"/>
      <w:numFmt w:val="decimal"/>
      <w:lvlText w:val="[%1]"/>
      <w:lvlJc w:val="left"/>
      <w:pPr>
        <w:tabs>
          <w:tab w:val="num" w:pos="851"/>
        </w:tabs>
        <w:ind w:left="0" w:firstLine="0"/>
      </w:pPr>
      <w:rPr>
        <w:rFonts w:ascii="Times New Roman" w:hAnsi="Times New Roman" w:cs="Times New Roman" w:hint="default"/>
      </w:rPr>
    </w:lvl>
    <w:lvl w:ilvl="1" w:tplc="8964364E">
      <w:start w:val="1"/>
      <w:numFmt w:val="lowerLetter"/>
      <w:lvlText w:val="(%2)"/>
      <w:lvlJc w:val="left"/>
      <w:pPr>
        <w:tabs>
          <w:tab w:val="num" w:pos="1800"/>
        </w:tabs>
        <w:ind w:left="1800" w:hanging="720"/>
      </w:pPr>
      <w:rPr>
        <w:rFonts w:cs="Times New Roman"/>
        <w:sz w:val="24"/>
        <w:szCs w:val="24"/>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7E6A7C58"/>
    <w:multiLevelType w:val="hybridMultilevel"/>
    <w:tmpl w:val="3544FD2C"/>
    <w:lvl w:ilvl="0" w:tplc="C7524CA8">
      <w:start w:val="1"/>
      <w:numFmt w:val="decimal"/>
      <w:lvlText w:val="%1."/>
      <w:lvlJc w:val="left"/>
      <w:pPr>
        <w:ind w:left="720" w:hanging="360"/>
      </w:pPr>
      <w:rPr>
        <w:rFonts w:hint="default"/>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3"/>
  </w:num>
  <w:num w:numId="13">
    <w:abstractNumId w:val="18"/>
  </w:num>
  <w:num w:numId="14">
    <w:abstractNumId w:val="7"/>
  </w:num>
  <w:num w:numId="15">
    <w:abstractNumId w:val="15"/>
  </w:num>
  <w:num w:numId="16">
    <w:abstractNumId w:val="21"/>
  </w:num>
  <w:num w:numId="17">
    <w:abstractNumId w:val="8"/>
  </w:num>
  <w:num w:numId="18">
    <w:abstractNumId w:val="17"/>
  </w:num>
  <w:num w:numId="19">
    <w:abstractNumId w:val="9"/>
  </w:num>
  <w:num w:numId="20">
    <w:abstractNumId w:val="0"/>
  </w:num>
  <w:num w:numId="21">
    <w:abstractNumId w:val="23"/>
  </w:num>
  <w:num w:numId="22">
    <w:abstractNumId w:val="2"/>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0946"/>
    <w:rsid w:val="0000303C"/>
    <w:rsid w:val="0000545E"/>
    <w:rsid w:val="000158C5"/>
    <w:rsid w:val="000167D1"/>
    <w:rsid w:val="000179D0"/>
    <w:rsid w:val="00021C6A"/>
    <w:rsid w:val="000225F7"/>
    <w:rsid w:val="0002432E"/>
    <w:rsid w:val="00024A54"/>
    <w:rsid w:val="0003334E"/>
    <w:rsid w:val="00033EAC"/>
    <w:rsid w:val="00034709"/>
    <w:rsid w:val="000361B2"/>
    <w:rsid w:val="000368CF"/>
    <w:rsid w:val="000400C6"/>
    <w:rsid w:val="000431AF"/>
    <w:rsid w:val="00044AA1"/>
    <w:rsid w:val="000522D3"/>
    <w:rsid w:val="00054A38"/>
    <w:rsid w:val="00054CC3"/>
    <w:rsid w:val="00054D78"/>
    <w:rsid w:val="00055A08"/>
    <w:rsid w:val="0005793C"/>
    <w:rsid w:val="000615D3"/>
    <w:rsid w:val="00062D18"/>
    <w:rsid w:val="00063B76"/>
    <w:rsid w:val="00064E7A"/>
    <w:rsid w:val="00065F0A"/>
    <w:rsid w:val="00066F64"/>
    <w:rsid w:val="00067FC1"/>
    <w:rsid w:val="000708F2"/>
    <w:rsid w:val="00071992"/>
    <w:rsid w:val="00074E1C"/>
    <w:rsid w:val="00075EBD"/>
    <w:rsid w:val="000817B6"/>
    <w:rsid w:val="00081889"/>
    <w:rsid w:val="00082350"/>
    <w:rsid w:val="0008324E"/>
    <w:rsid w:val="000858CD"/>
    <w:rsid w:val="0008683A"/>
    <w:rsid w:val="0009378F"/>
    <w:rsid w:val="0009433D"/>
    <w:rsid w:val="00095E7A"/>
    <w:rsid w:val="000965BB"/>
    <w:rsid w:val="00096E9A"/>
    <w:rsid w:val="000970DB"/>
    <w:rsid w:val="000A2E94"/>
    <w:rsid w:val="000A391C"/>
    <w:rsid w:val="000A4581"/>
    <w:rsid w:val="000A70B5"/>
    <w:rsid w:val="000B0DA0"/>
    <w:rsid w:val="000B18D4"/>
    <w:rsid w:val="000B35BE"/>
    <w:rsid w:val="000B538B"/>
    <w:rsid w:val="000B5527"/>
    <w:rsid w:val="000B577E"/>
    <w:rsid w:val="000C3808"/>
    <w:rsid w:val="000C3AEE"/>
    <w:rsid w:val="000C62CC"/>
    <w:rsid w:val="000C678C"/>
    <w:rsid w:val="000D1817"/>
    <w:rsid w:val="000D289F"/>
    <w:rsid w:val="000D29A6"/>
    <w:rsid w:val="000D29F9"/>
    <w:rsid w:val="000D3AA2"/>
    <w:rsid w:val="000D60D7"/>
    <w:rsid w:val="000D75F5"/>
    <w:rsid w:val="000E596A"/>
    <w:rsid w:val="000E6517"/>
    <w:rsid w:val="000E67F0"/>
    <w:rsid w:val="000F0BF9"/>
    <w:rsid w:val="000F28E1"/>
    <w:rsid w:val="000F3F6F"/>
    <w:rsid w:val="000F7CD2"/>
    <w:rsid w:val="000F7DF1"/>
    <w:rsid w:val="001018CF"/>
    <w:rsid w:val="001022E0"/>
    <w:rsid w:val="0010252E"/>
    <w:rsid w:val="00105FF2"/>
    <w:rsid w:val="00106E9B"/>
    <w:rsid w:val="00107105"/>
    <w:rsid w:val="0011030D"/>
    <w:rsid w:val="001105DF"/>
    <w:rsid w:val="00113015"/>
    <w:rsid w:val="00114D92"/>
    <w:rsid w:val="001163DC"/>
    <w:rsid w:val="00117BC1"/>
    <w:rsid w:val="00123708"/>
    <w:rsid w:val="00124067"/>
    <w:rsid w:val="00125294"/>
    <w:rsid w:val="00126CFE"/>
    <w:rsid w:val="00127F67"/>
    <w:rsid w:val="00130482"/>
    <w:rsid w:val="0013252A"/>
    <w:rsid w:val="001331B6"/>
    <w:rsid w:val="00133839"/>
    <w:rsid w:val="00133CCB"/>
    <w:rsid w:val="00133D4B"/>
    <w:rsid w:val="00134368"/>
    <w:rsid w:val="00136D75"/>
    <w:rsid w:val="001376E2"/>
    <w:rsid w:val="001425BC"/>
    <w:rsid w:val="0014277B"/>
    <w:rsid w:val="00142AAB"/>
    <w:rsid w:val="00144D86"/>
    <w:rsid w:val="0014573C"/>
    <w:rsid w:val="0015170C"/>
    <w:rsid w:val="00155095"/>
    <w:rsid w:val="00156583"/>
    <w:rsid w:val="00156D1F"/>
    <w:rsid w:val="001654B4"/>
    <w:rsid w:val="00165A09"/>
    <w:rsid w:val="00166E97"/>
    <w:rsid w:val="001672CD"/>
    <w:rsid w:val="001707D5"/>
    <w:rsid w:val="00171586"/>
    <w:rsid w:val="001733A4"/>
    <w:rsid w:val="001763EC"/>
    <w:rsid w:val="0018140A"/>
    <w:rsid w:val="001839B8"/>
    <w:rsid w:val="00186FEC"/>
    <w:rsid w:val="00193C05"/>
    <w:rsid w:val="00196FFF"/>
    <w:rsid w:val="00197831"/>
    <w:rsid w:val="001A546D"/>
    <w:rsid w:val="001B08D3"/>
    <w:rsid w:val="001B0B03"/>
    <w:rsid w:val="001B37F5"/>
    <w:rsid w:val="001B3F16"/>
    <w:rsid w:val="001B4226"/>
    <w:rsid w:val="001C1CF5"/>
    <w:rsid w:val="001C2335"/>
    <w:rsid w:val="001C3DE1"/>
    <w:rsid w:val="001C4D99"/>
    <w:rsid w:val="001C6720"/>
    <w:rsid w:val="001D2479"/>
    <w:rsid w:val="001D7275"/>
    <w:rsid w:val="001E060B"/>
    <w:rsid w:val="001E0712"/>
    <w:rsid w:val="001E1616"/>
    <w:rsid w:val="001E32C3"/>
    <w:rsid w:val="001E451D"/>
    <w:rsid w:val="001F23E6"/>
    <w:rsid w:val="001F26BC"/>
    <w:rsid w:val="001F45B4"/>
    <w:rsid w:val="001F6527"/>
    <w:rsid w:val="00202F94"/>
    <w:rsid w:val="0020482A"/>
    <w:rsid w:val="00204A0F"/>
    <w:rsid w:val="0020553D"/>
    <w:rsid w:val="00207436"/>
    <w:rsid w:val="00211A70"/>
    <w:rsid w:val="00215B8A"/>
    <w:rsid w:val="002207EA"/>
    <w:rsid w:val="00223802"/>
    <w:rsid w:val="00225C08"/>
    <w:rsid w:val="00225CC3"/>
    <w:rsid w:val="002270DA"/>
    <w:rsid w:val="00227D30"/>
    <w:rsid w:val="00230BB5"/>
    <w:rsid w:val="00232724"/>
    <w:rsid w:val="00232E11"/>
    <w:rsid w:val="00233D90"/>
    <w:rsid w:val="00234796"/>
    <w:rsid w:val="00234C34"/>
    <w:rsid w:val="002350F9"/>
    <w:rsid w:val="00237D4E"/>
    <w:rsid w:val="0024182E"/>
    <w:rsid w:val="00242B52"/>
    <w:rsid w:val="002430BA"/>
    <w:rsid w:val="0024500F"/>
    <w:rsid w:val="00250AAE"/>
    <w:rsid w:val="00251359"/>
    <w:rsid w:val="00251D47"/>
    <w:rsid w:val="00252071"/>
    <w:rsid w:val="002535D7"/>
    <w:rsid w:val="0025415C"/>
    <w:rsid w:val="00254208"/>
    <w:rsid w:val="00254424"/>
    <w:rsid w:val="00254DA0"/>
    <w:rsid w:val="002616F9"/>
    <w:rsid w:val="00262BAF"/>
    <w:rsid w:val="002635C3"/>
    <w:rsid w:val="0026605A"/>
    <w:rsid w:val="00267F6E"/>
    <w:rsid w:val="00270157"/>
    <w:rsid w:val="00270F5F"/>
    <w:rsid w:val="00273E80"/>
    <w:rsid w:val="00274264"/>
    <w:rsid w:val="00275DFC"/>
    <w:rsid w:val="00283040"/>
    <w:rsid w:val="00283FAF"/>
    <w:rsid w:val="00285212"/>
    <w:rsid w:val="00286909"/>
    <w:rsid w:val="0029090A"/>
    <w:rsid w:val="00291D33"/>
    <w:rsid w:val="00292A86"/>
    <w:rsid w:val="00292C73"/>
    <w:rsid w:val="002945BD"/>
    <w:rsid w:val="002B096F"/>
    <w:rsid w:val="002B4213"/>
    <w:rsid w:val="002B5F0A"/>
    <w:rsid w:val="002B6911"/>
    <w:rsid w:val="002B6968"/>
    <w:rsid w:val="002B724A"/>
    <w:rsid w:val="002C230E"/>
    <w:rsid w:val="002C2B22"/>
    <w:rsid w:val="002C2CCC"/>
    <w:rsid w:val="002C3CFC"/>
    <w:rsid w:val="002C6E54"/>
    <w:rsid w:val="002D0404"/>
    <w:rsid w:val="002D1062"/>
    <w:rsid w:val="002D2FA1"/>
    <w:rsid w:val="002D31F1"/>
    <w:rsid w:val="002D4F04"/>
    <w:rsid w:val="002D6414"/>
    <w:rsid w:val="002D7B25"/>
    <w:rsid w:val="002E1959"/>
    <w:rsid w:val="002E1A94"/>
    <w:rsid w:val="002E28CA"/>
    <w:rsid w:val="002E3574"/>
    <w:rsid w:val="002E428D"/>
    <w:rsid w:val="002E4F5B"/>
    <w:rsid w:val="002E5629"/>
    <w:rsid w:val="002F0FF3"/>
    <w:rsid w:val="002F75D7"/>
    <w:rsid w:val="00301612"/>
    <w:rsid w:val="003053A3"/>
    <w:rsid w:val="00306B77"/>
    <w:rsid w:val="003078BA"/>
    <w:rsid w:val="00310487"/>
    <w:rsid w:val="00310B08"/>
    <w:rsid w:val="00312D5F"/>
    <w:rsid w:val="00314DD2"/>
    <w:rsid w:val="00315264"/>
    <w:rsid w:val="00315683"/>
    <w:rsid w:val="00320F22"/>
    <w:rsid w:val="00321D38"/>
    <w:rsid w:val="00322359"/>
    <w:rsid w:val="00324A95"/>
    <w:rsid w:val="003253F4"/>
    <w:rsid w:val="0032725F"/>
    <w:rsid w:val="0033010D"/>
    <w:rsid w:val="003305C4"/>
    <w:rsid w:val="003306B8"/>
    <w:rsid w:val="0033073B"/>
    <w:rsid w:val="003326F1"/>
    <w:rsid w:val="00332A31"/>
    <w:rsid w:val="00336352"/>
    <w:rsid w:val="00336BFD"/>
    <w:rsid w:val="00341FFC"/>
    <w:rsid w:val="00342A10"/>
    <w:rsid w:val="00344659"/>
    <w:rsid w:val="00347D11"/>
    <w:rsid w:val="00352227"/>
    <w:rsid w:val="00352CBD"/>
    <w:rsid w:val="0035315E"/>
    <w:rsid w:val="00355432"/>
    <w:rsid w:val="00362347"/>
    <w:rsid w:val="003624ED"/>
    <w:rsid w:val="00362A10"/>
    <w:rsid w:val="00370F09"/>
    <w:rsid w:val="003739A2"/>
    <w:rsid w:val="003741E0"/>
    <w:rsid w:val="0037422A"/>
    <w:rsid w:val="003749CB"/>
    <w:rsid w:val="0037580C"/>
    <w:rsid w:val="00380B8E"/>
    <w:rsid w:val="00381BC8"/>
    <w:rsid w:val="00383C13"/>
    <w:rsid w:val="003844EF"/>
    <w:rsid w:val="003861A4"/>
    <w:rsid w:val="003863EE"/>
    <w:rsid w:val="00387055"/>
    <w:rsid w:val="003A2C84"/>
    <w:rsid w:val="003A43D8"/>
    <w:rsid w:val="003A5ABF"/>
    <w:rsid w:val="003B1DA8"/>
    <w:rsid w:val="003B41E1"/>
    <w:rsid w:val="003B5E22"/>
    <w:rsid w:val="003C2A13"/>
    <w:rsid w:val="003C2FC7"/>
    <w:rsid w:val="003C6CC2"/>
    <w:rsid w:val="003C6F8F"/>
    <w:rsid w:val="003C7A4A"/>
    <w:rsid w:val="003D3763"/>
    <w:rsid w:val="003D486C"/>
    <w:rsid w:val="003D669E"/>
    <w:rsid w:val="003D6B8E"/>
    <w:rsid w:val="003E0376"/>
    <w:rsid w:val="003E16E3"/>
    <w:rsid w:val="003E1D76"/>
    <w:rsid w:val="003E2965"/>
    <w:rsid w:val="003E3113"/>
    <w:rsid w:val="003E493D"/>
    <w:rsid w:val="003E533D"/>
    <w:rsid w:val="003E5775"/>
    <w:rsid w:val="003F0AA3"/>
    <w:rsid w:val="003F0D0C"/>
    <w:rsid w:val="003F2FAB"/>
    <w:rsid w:val="003F31C7"/>
    <w:rsid w:val="003F41FE"/>
    <w:rsid w:val="00400DF9"/>
    <w:rsid w:val="0040254C"/>
    <w:rsid w:val="004029D7"/>
    <w:rsid w:val="00405F7D"/>
    <w:rsid w:val="0041023B"/>
    <w:rsid w:val="0041108B"/>
    <w:rsid w:val="00412B6E"/>
    <w:rsid w:val="00414654"/>
    <w:rsid w:val="0041495B"/>
    <w:rsid w:val="004149F0"/>
    <w:rsid w:val="004174B8"/>
    <w:rsid w:val="00417B0A"/>
    <w:rsid w:val="0042172E"/>
    <w:rsid w:val="00421BD8"/>
    <w:rsid w:val="004255ED"/>
    <w:rsid w:val="00425640"/>
    <w:rsid w:val="00426012"/>
    <w:rsid w:val="00426B0D"/>
    <w:rsid w:val="004308FD"/>
    <w:rsid w:val="00430BBE"/>
    <w:rsid w:val="004326D9"/>
    <w:rsid w:val="00437338"/>
    <w:rsid w:val="00441F33"/>
    <w:rsid w:val="00443BE6"/>
    <w:rsid w:val="00443D98"/>
    <w:rsid w:val="00444115"/>
    <w:rsid w:val="00444D5F"/>
    <w:rsid w:val="00445B60"/>
    <w:rsid w:val="00445BB8"/>
    <w:rsid w:val="0045350F"/>
    <w:rsid w:val="00454CF3"/>
    <w:rsid w:val="004556F8"/>
    <w:rsid w:val="00462B73"/>
    <w:rsid w:val="00470B68"/>
    <w:rsid w:val="00472F33"/>
    <w:rsid w:val="00473253"/>
    <w:rsid w:val="00474FB0"/>
    <w:rsid w:val="00477292"/>
    <w:rsid w:val="0047745E"/>
    <w:rsid w:val="00485BB5"/>
    <w:rsid w:val="00490A50"/>
    <w:rsid w:val="00490CB1"/>
    <w:rsid w:val="0049244A"/>
    <w:rsid w:val="00493122"/>
    <w:rsid w:val="00493AD1"/>
    <w:rsid w:val="004955DF"/>
    <w:rsid w:val="00495903"/>
    <w:rsid w:val="00495AC6"/>
    <w:rsid w:val="0049784F"/>
    <w:rsid w:val="004A001D"/>
    <w:rsid w:val="004A0D0A"/>
    <w:rsid w:val="004A0D6C"/>
    <w:rsid w:val="004A3AC0"/>
    <w:rsid w:val="004A5693"/>
    <w:rsid w:val="004A5C5A"/>
    <w:rsid w:val="004A651C"/>
    <w:rsid w:val="004B0023"/>
    <w:rsid w:val="004B089C"/>
    <w:rsid w:val="004B12A9"/>
    <w:rsid w:val="004B2A43"/>
    <w:rsid w:val="004B5BB5"/>
    <w:rsid w:val="004C1DF2"/>
    <w:rsid w:val="004C5B3B"/>
    <w:rsid w:val="004C635E"/>
    <w:rsid w:val="004C79D6"/>
    <w:rsid w:val="004C7FF6"/>
    <w:rsid w:val="004D0EBB"/>
    <w:rsid w:val="004D275E"/>
    <w:rsid w:val="004D2F67"/>
    <w:rsid w:val="004D4608"/>
    <w:rsid w:val="004D598C"/>
    <w:rsid w:val="004D7027"/>
    <w:rsid w:val="004E138C"/>
    <w:rsid w:val="004E2000"/>
    <w:rsid w:val="004E4C30"/>
    <w:rsid w:val="004F1B3B"/>
    <w:rsid w:val="004F3D08"/>
    <w:rsid w:val="004F70A7"/>
    <w:rsid w:val="004F7657"/>
    <w:rsid w:val="005005D6"/>
    <w:rsid w:val="00500686"/>
    <w:rsid w:val="00504267"/>
    <w:rsid w:val="00506824"/>
    <w:rsid w:val="00507050"/>
    <w:rsid w:val="005107AC"/>
    <w:rsid w:val="00512B39"/>
    <w:rsid w:val="00512F76"/>
    <w:rsid w:val="00515043"/>
    <w:rsid w:val="005155A1"/>
    <w:rsid w:val="005222E2"/>
    <w:rsid w:val="005237C2"/>
    <w:rsid w:val="00524B9A"/>
    <w:rsid w:val="00524C54"/>
    <w:rsid w:val="005263D6"/>
    <w:rsid w:val="00530530"/>
    <w:rsid w:val="00531890"/>
    <w:rsid w:val="00543FAD"/>
    <w:rsid w:val="0054575C"/>
    <w:rsid w:val="00546EF4"/>
    <w:rsid w:val="0054758C"/>
    <w:rsid w:val="005556AD"/>
    <w:rsid w:val="005623EF"/>
    <w:rsid w:val="00562E13"/>
    <w:rsid w:val="005671C1"/>
    <w:rsid w:val="00571222"/>
    <w:rsid w:val="005716A7"/>
    <w:rsid w:val="005739F0"/>
    <w:rsid w:val="00573FC6"/>
    <w:rsid w:val="00575504"/>
    <w:rsid w:val="005772E9"/>
    <w:rsid w:val="00582646"/>
    <w:rsid w:val="00586790"/>
    <w:rsid w:val="00590048"/>
    <w:rsid w:val="00591384"/>
    <w:rsid w:val="00594838"/>
    <w:rsid w:val="005969A1"/>
    <w:rsid w:val="005A32DB"/>
    <w:rsid w:val="005A4899"/>
    <w:rsid w:val="005A64CD"/>
    <w:rsid w:val="005A6851"/>
    <w:rsid w:val="005A6A3A"/>
    <w:rsid w:val="005A6BE9"/>
    <w:rsid w:val="005B5953"/>
    <w:rsid w:val="005B7C41"/>
    <w:rsid w:val="005C1B61"/>
    <w:rsid w:val="005C60B7"/>
    <w:rsid w:val="005C6A01"/>
    <w:rsid w:val="005C7061"/>
    <w:rsid w:val="005D1441"/>
    <w:rsid w:val="005D6395"/>
    <w:rsid w:val="005E0586"/>
    <w:rsid w:val="005E062B"/>
    <w:rsid w:val="005E1E60"/>
    <w:rsid w:val="005E3DAD"/>
    <w:rsid w:val="005E4FEA"/>
    <w:rsid w:val="005E5868"/>
    <w:rsid w:val="005E7DC3"/>
    <w:rsid w:val="005E7FE9"/>
    <w:rsid w:val="005F10AF"/>
    <w:rsid w:val="005F2007"/>
    <w:rsid w:val="005F5F30"/>
    <w:rsid w:val="005F70B9"/>
    <w:rsid w:val="005F75D5"/>
    <w:rsid w:val="00601299"/>
    <w:rsid w:val="00601351"/>
    <w:rsid w:val="0060742F"/>
    <w:rsid w:val="00607BB1"/>
    <w:rsid w:val="00620DBA"/>
    <w:rsid w:val="00620DE1"/>
    <w:rsid w:val="00620EF1"/>
    <w:rsid w:val="00621C9B"/>
    <w:rsid w:val="006236F2"/>
    <w:rsid w:val="006248E5"/>
    <w:rsid w:val="0062644A"/>
    <w:rsid w:val="0062737B"/>
    <w:rsid w:val="00631689"/>
    <w:rsid w:val="0063361E"/>
    <w:rsid w:val="0063378F"/>
    <w:rsid w:val="006355AF"/>
    <w:rsid w:val="00637F15"/>
    <w:rsid w:val="00640D8F"/>
    <w:rsid w:val="00640F97"/>
    <w:rsid w:val="0064620C"/>
    <w:rsid w:val="00651453"/>
    <w:rsid w:val="00651640"/>
    <w:rsid w:val="0065358F"/>
    <w:rsid w:val="00653F26"/>
    <w:rsid w:val="006546B8"/>
    <w:rsid w:val="006558CB"/>
    <w:rsid w:val="006576A8"/>
    <w:rsid w:val="00661828"/>
    <w:rsid w:val="006653E8"/>
    <w:rsid w:val="006676DE"/>
    <w:rsid w:val="00667792"/>
    <w:rsid w:val="00672CDC"/>
    <w:rsid w:val="006770E1"/>
    <w:rsid w:val="00681DBB"/>
    <w:rsid w:val="00681F52"/>
    <w:rsid w:val="006838E9"/>
    <w:rsid w:val="0068393B"/>
    <w:rsid w:val="00683B69"/>
    <w:rsid w:val="00684C95"/>
    <w:rsid w:val="0069021C"/>
    <w:rsid w:val="006915D9"/>
    <w:rsid w:val="006943C4"/>
    <w:rsid w:val="006943C6"/>
    <w:rsid w:val="0069449D"/>
    <w:rsid w:val="006A0A9A"/>
    <w:rsid w:val="006A0C2D"/>
    <w:rsid w:val="006A20D7"/>
    <w:rsid w:val="006A2A43"/>
    <w:rsid w:val="006A45F9"/>
    <w:rsid w:val="006A6409"/>
    <w:rsid w:val="006A7039"/>
    <w:rsid w:val="006A79E5"/>
    <w:rsid w:val="006B1621"/>
    <w:rsid w:val="006B52F1"/>
    <w:rsid w:val="006B76D1"/>
    <w:rsid w:val="006C15E8"/>
    <w:rsid w:val="006C5063"/>
    <w:rsid w:val="006D0609"/>
    <w:rsid w:val="006D14F5"/>
    <w:rsid w:val="006D1A93"/>
    <w:rsid w:val="006D2E03"/>
    <w:rsid w:val="006E26B2"/>
    <w:rsid w:val="006E3640"/>
    <w:rsid w:val="006E3A49"/>
    <w:rsid w:val="006E5379"/>
    <w:rsid w:val="006E6C6D"/>
    <w:rsid w:val="006E6CE8"/>
    <w:rsid w:val="006F0B9A"/>
    <w:rsid w:val="006F2EB6"/>
    <w:rsid w:val="006F625F"/>
    <w:rsid w:val="006F674A"/>
    <w:rsid w:val="00703A22"/>
    <w:rsid w:val="00711C6D"/>
    <w:rsid w:val="007134CF"/>
    <w:rsid w:val="00714BB7"/>
    <w:rsid w:val="00715706"/>
    <w:rsid w:val="0071608B"/>
    <w:rsid w:val="00717F5A"/>
    <w:rsid w:val="00721894"/>
    <w:rsid w:val="007259A3"/>
    <w:rsid w:val="00732C81"/>
    <w:rsid w:val="00736591"/>
    <w:rsid w:val="00736DEB"/>
    <w:rsid w:val="007421C6"/>
    <w:rsid w:val="007438D0"/>
    <w:rsid w:val="007442EF"/>
    <w:rsid w:val="0074479F"/>
    <w:rsid w:val="0074592E"/>
    <w:rsid w:val="00746E2D"/>
    <w:rsid w:val="00746F38"/>
    <w:rsid w:val="007500EC"/>
    <w:rsid w:val="00750424"/>
    <w:rsid w:val="00751475"/>
    <w:rsid w:val="00752813"/>
    <w:rsid w:val="00752932"/>
    <w:rsid w:val="00754288"/>
    <w:rsid w:val="00764DBC"/>
    <w:rsid w:val="007650B6"/>
    <w:rsid w:val="00765BA5"/>
    <w:rsid w:val="00765CCA"/>
    <w:rsid w:val="007718C9"/>
    <w:rsid w:val="00773518"/>
    <w:rsid w:val="007735F3"/>
    <w:rsid w:val="007736A0"/>
    <w:rsid w:val="00773FA7"/>
    <w:rsid w:val="00775564"/>
    <w:rsid w:val="00775980"/>
    <w:rsid w:val="007803EA"/>
    <w:rsid w:val="00780724"/>
    <w:rsid w:val="007841CC"/>
    <w:rsid w:val="00784E88"/>
    <w:rsid w:val="00785D13"/>
    <w:rsid w:val="00790860"/>
    <w:rsid w:val="00792122"/>
    <w:rsid w:val="00792B5F"/>
    <w:rsid w:val="007940C6"/>
    <w:rsid w:val="00794A57"/>
    <w:rsid w:val="00796B5D"/>
    <w:rsid w:val="007974E6"/>
    <w:rsid w:val="007A081B"/>
    <w:rsid w:val="007A1F84"/>
    <w:rsid w:val="007A2B66"/>
    <w:rsid w:val="007A52EF"/>
    <w:rsid w:val="007A5516"/>
    <w:rsid w:val="007A7334"/>
    <w:rsid w:val="007A7730"/>
    <w:rsid w:val="007B25BE"/>
    <w:rsid w:val="007B73E1"/>
    <w:rsid w:val="007C02EF"/>
    <w:rsid w:val="007C350B"/>
    <w:rsid w:val="007C38C3"/>
    <w:rsid w:val="007D1465"/>
    <w:rsid w:val="007D149A"/>
    <w:rsid w:val="007D3DF2"/>
    <w:rsid w:val="007D491A"/>
    <w:rsid w:val="007D5680"/>
    <w:rsid w:val="007E08F4"/>
    <w:rsid w:val="007E2A20"/>
    <w:rsid w:val="007E41F3"/>
    <w:rsid w:val="007E52DC"/>
    <w:rsid w:val="007E6C5D"/>
    <w:rsid w:val="007F1406"/>
    <w:rsid w:val="007F4F26"/>
    <w:rsid w:val="007F74F6"/>
    <w:rsid w:val="007F7EC3"/>
    <w:rsid w:val="008005FD"/>
    <w:rsid w:val="00801794"/>
    <w:rsid w:val="00803BD3"/>
    <w:rsid w:val="008040D6"/>
    <w:rsid w:val="00806209"/>
    <w:rsid w:val="00807748"/>
    <w:rsid w:val="00810ED3"/>
    <w:rsid w:val="00811602"/>
    <w:rsid w:val="008127DF"/>
    <w:rsid w:val="00813597"/>
    <w:rsid w:val="00815C82"/>
    <w:rsid w:val="008160BE"/>
    <w:rsid w:val="008167C4"/>
    <w:rsid w:val="008227DE"/>
    <w:rsid w:val="00824C86"/>
    <w:rsid w:val="00826B0E"/>
    <w:rsid w:val="008310A0"/>
    <w:rsid w:val="0083138A"/>
    <w:rsid w:val="00833E91"/>
    <w:rsid w:val="0083471F"/>
    <w:rsid w:val="00836DD5"/>
    <w:rsid w:val="0083784A"/>
    <w:rsid w:val="00840987"/>
    <w:rsid w:val="00843A23"/>
    <w:rsid w:val="00846439"/>
    <w:rsid w:val="00847DD8"/>
    <w:rsid w:val="00850C58"/>
    <w:rsid w:val="008529CD"/>
    <w:rsid w:val="008541A0"/>
    <w:rsid w:val="00854254"/>
    <w:rsid w:val="00855146"/>
    <w:rsid w:val="0085574E"/>
    <w:rsid w:val="00855E9E"/>
    <w:rsid w:val="00861C3F"/>
    <w:rsid w:val="00861C6C"/>
    <w:rsid w:val="00863172"/>
    <w:rsid w:val="00864E9F"/>
    <w:rsid w:val="0086559A"/>
    <w:rsid w:val="00865E4D"/>
    <w:rsid w:val="00870359"/>
    <w:rsid w:val="008707C3"/>
    <w:rsid w:val="0087117E"/>
    <w:rsid w:val="00871CBB"/>
    <w:rsid w:val="0087673B"/>
    <w:rsid w:val="00880152"/>
    <w:rsid w:val="0088158B"/>
    <w:rsid w:val="00884155"/>
    <w:rsid w:val="0088775E"/>
    <w:rsid w:val="00890BE4"/>
    <w:rsid w:val="00891F57"/>
    <w:rsid w:val="008A4227"/>
    <w:rsid w:val="008A4625"/>
    <w:rsid w:val="008A553F"/>
    <w:rsid w:val="008A61F2"/>
    <w:rsid w:val="008A6C71"/>
    <w:rsid w:val="008A7AE8"/>
    <w:rsid w:val="008B2445"/>
    <w:rsid w:val="008B25B7"/>
    <w:rsid w:val="008B5453"/>
    <w:rsid w:val="008B5882"/>
    <w:rsid w:val="008B66A5"/>
    <w:rsid w:val="008B693B"/>
    <w:rsid w:val="008C0163"/>
    <w:rsid w:val="008C08E2"/>
    <w:rsid w:val="008C2102"/>
    <w:rsid w:val="008C4E92"/>
    <w:rsid w:val="008C51BC"/>
    <w:rsid w:val="008D2F0E"/>
    <w:rsid w:val="008D5DCB"/>
    <w:rsid w:val="008E5CD1"/>
    <w:rsid w:val="008E5EF3"/>
    <w:rsid w:val="008E7286"/>
    <w:rsid w:val="008F29DB"/>
    <w:rsid w:val="008F3B34"/>
    <w:rsid w:val="008F4966"/>
    <w:rsid w:val="008F5629"/>
    <w:rsid w:val="008F6114"/>
    <w:rsid w:val="00902D0A"/>
    <w:rsid w:val="00911D71"/>
    <w:rsid w:val="009134A7"/>
    <w:rsid w:val="00913632"/>
    <w:rsid w:val="00915AD7"/>
    <w:rsid w:val="00920827"/>
    <w:rsid w:val="0092266C"/>
    <w:rsid w:val="00923483"/>
    <w:rsid w:val="00924F89"/>
    <w:rsid w:val="009250CB"/>
    <w:rsid w:val="00930100"/>
    <w:rsid w:val="00934785"/>
    <w:rsid w:val="00934FCD"/>
    <w:rsid w:val="00935AA5"/>
    <w:rsid w:val="00935C4C"/>
    <w:rsid w:val="0093627D"/>
    <w:rsid w:val="00941770"/>
    <w:rsid w:val="00942517"/>
    <w:rsid w:val="00944D49"/>
    <w:rsid w:val="00945BA6"/>
    <w:rsid w:val="00945EE1"/>
    <w:rsid w:val="00945FF3"/>
    <w:rsid w:val="0095265F"/>
    <w:rsid w:val="00964BC9"/>
    <w:rsid w:val="00966701"/>
    <w:rsid w:val="00966AFF"/>
    <w:rsid w:val="009716F4"/>
    <w:rsid w:val="00971C24"/>
    <w:rsid w:val="00973534"/>
    <w:rsid w:val="009743FA"/>
    <w:rsid w:val="00974A4F"/>
    <w:rsid w:val="009752E5"/>
    <w:rsid w:val="009755B1"/>
    <w:rsid w:val="00976A3C"/>
    <w:rsid w:val="00983993"/>
    <w:rsid w:val="00984676"/>
    <w:rsid w:val="00984771"/>
    <w:rsid w:val="009853DC"/>
    <w:rsid w:val="009858D7"/>
    <w:rsid w:val="009861DF"/>
    <w:rsid w:val="00990407"/>
    <w:rsid w:val="0099562F"/>
    <w:rsid w:val="009956DF"/>
    <w:rsid w:val="00995FFC"/>
    <w:rsid w:val="009A16A4"/>
    <w:rsid w:val="009A2AE6"/>
    <w:rsid w:val="009A5AF9"/>
    <w:rsid w:val="009B0CFD"/>
    <w:rsid w:val="009B1509"/>
    <w:rsid w:val="009B49B2"/>
    <w:rsid w:val="009B4C08"/>
    <w:rsid w:val="009B6F5F"/>
    <w:rsid w:val="009B773E"/>
    <w:rsid w:val="009C2FC5"/>
    <w:rsid w:val="009C3A96"/>
    <w:rsid w:val="009C41A0"/>
    <w:rsid w:val="009D3904"/>
    <w:rsid w:val="009D3E98"/>
    <w:rsid w:val="009D4026"/>
    <w:rsid w:val="009D457B"/>
    <w:rsid w:val="009D5D62"/>
    <w:rsid w:val="009E09A9"/>
    <w:rsid w:val="009E259A"/>
    <w:rsid w:val="009E7557"/>
    <w:rsid w:val="009E7988"/>
    <w:rsid w:val="009F13ED"/>
    <w:rsid w:val="009F1748"/>
    <w:rsid w:val="009F6714"/>
    <w:rsid w:val="009F698C"/>
    <w:rsid w:val="00A02917"/>
    <w:rsid w:val="00A0334D"/>
    <w:rsid w:val="00A053C0"/>
    <w:rsid w:val="00A06610"/>
    <w:rsid w:val="00A103FE"/>
    <w:rsid w:val="00A11A9E"/>
    <w:rsid w:val="00A11C78"/>
    <w:rsid w:val="00A11F3A"/>
    <w:rsid w:val="00A12D8D"/>
    <w:rsid w:val="00A1339A"/>
    <w:rsid w:val="00A16CF6"/>
    <w:rsid w:val="00A20258"/>
    <w:rsid w:val="00A2101F"/>
    <w:rsid w:val="00A215C4"/>
    <w:rsid w:val="00A240B4"/>
    <w:rsid w:val="00A25E74"/>
    <w:rsid w:val="00A2777F"/>
    <w:rsid w:val="00A33921"/>
    <w:rsid w:val="00A33F68"/>
    <w:rsid w:val="00A340BF"/>
    <w:rsid w:val="00A35A12"/>
    <w:rsid w:val="00A35FB3"/>
    <w:rsid w:val="00A37F46"/>
    <w:rsid w:val="00A445B5"/>
    <w:rsid w:val="00A446E9"/>
    <w:rsid w:val="00A45CB8"/>
    <w:rsid w:val="00A460A9"/>
    <w:rsid w:val="00A46730"/>
    <w:rsid w:val="00A51079"/>
    <w:rsid w:val="00A561FE"/>
    <w:rsid w:val="00A56475"/>
    <w:rsid w:val="00A567AD"/>
    <w:rsid w:val="00A626C7"/>
    <w:rsid w:val="00A6293A"/>
    <w:rsid w:val="00A62A86"/>
    <w:rsid w:val="00A62F42"/>
    <w:rsid w:val="00A64FC3"/>
    <w:rsid w:val="00A664BC"/>
    <w:rsid w:val="00A7015D"/>
    <w:rsid w:val="00A719A1"/>
    <w:rsid w:val="00A71F83"/>
    <w:rsid w:val="00A768D1"/>
    <w:rsid w:val="00A77423"/>
    <w:rsid w:val="00A81940"/>
    <w:rsid w:val="00A8505D"/>
    <w:rsid w:val="00A853BA"/>
    <w:rsid w:val="00A87DBD"/>
    <w:rsid w:val="00A87EF7"/>
    <w:rsid w:val="00A9033F"/>
    <w:rsid w:val="00A93F6B"/>
    <w:rsid w:val="00A941F4"/>
    <w:rsid w:val="00AA0E32"/>
    <w:rsid w:val="00AA6540"/>
    <w:rsid w:val="00AA76A7"/>
    <w:rsid w:val="00AA7FD3"/>
    <w:rsid w:val="00AB0623"/>
    <w:rsid w:val="00AB775E"/>
    <w:rsid w:val="00AC1E98"/>
    <w:rsid w:val="00AC1FDE"/>
    <w:rsid w:val="00AC2E95"/>
    <w:rsid w:val="00AC4DD4"/>
    <w:rsid w:val="00AC7514"/>
    <w:rsid w:val="00AC7A6D"/>
    <w:rsid w:val="00AD0172"/>
    <w:rsid w:val="00AD4D0D"/>
    <w:rsid w:val="00AD7371"/>
    <w:rsid w:val="00AE0A98"/>
    <w:rsid w:val="00AE1BD5"/>
    <w:rsid w:val="00AE2181"/>
    <w:rsid w:val="00AE25E6"/>
    <w:rsid w:val="00AE2EF3"/>
    <w:rsid w:val="00AE37FF"/>
    <w:rsid w:val="00AE3E22"/>
    <w:rsid w:val="00AE56A2"/>
    <w:rsid w:val="00AE677A"/>
    <w:rsid w:val="00AE7A12"/>
    <w:rsid w:val="00AF10B0"/>
    <w:rsid w:val="00AF16CD"/>
    <w:rsid w:val="00AF2832"/>
    <w:rsid w:val="00AF2ABB"/>
    <w:rsid w:val="00AF3C93"/>
    <w:rsid w:val="00AF5FC4"/>
    <w:rsid w:val="00AF6DFB"/>
    <w:rsid w:val="00AF7B22"/>
    <w:rsid w:val="00B01801"/>
    <w:rsid w:val="00B01D5F"/>
    <w:rsid w:val="00B02CCF"/>
    <w:rsid w:val="00B03855"/>
    <w:rsid w:val="00B04C49"/>
    <w:rsid w:val="00B07522"/>
    <w:rsid w:val="00B07BA2"/>
    <w:rsid w:val="00B10D52"/>
    <w:rsid w:val="00B11E97"/>
    <w:rsid w:val="00B12FC3"/>
    <w:rsid w:val="00B14447"/>
    <w:rsid w:val="00B16799"/>
    <w:rsid w:val="00B16BD9"/>
    <w:rsid w:val="00B20577"/>
    <w:rsid w:val="00B20B29"/>
    <w:rsid w:val="00B21604"/>
    <w:rsid w:val="00B255EE"/>
    <w:rsid w:val="00B26D82"/>
    <w:rsid w:val="00B271D6"/>
    <w:rsid w:val="00B30F9A"/>
    <w:rsid w:val="00B31697"/>
    <w:rsid w:val="00B332D2"/>
    <w:rsid w:val="00B3495A"/>
    <w:rsid w:val="00B3775F"/>
    <w:rsid w:val="00B37EC2"/>
    <w:rsid w:val="00B40501"/>
    <w:rsid w:val="00B4107D"/>
    <w:rsid w:val="00B43A89"/>
    <w:rsid w:val="00B44545"/>
    <w:rsid w:val="00B46409"/>
    <w:rsid w:val="00B56136"/>
    <w:rsid w:val="00B573D5"/>
    <w:rsid w:val="00B603BE"/>
    <w:rsid w:val="00B615B8"/>
    <w:rsid w:val="00B619A1"/>
    <w:rsid w:val="00B63104"/>
    <w:rsid w:val="00B63296"/>
    <w:rsid w:val="00B665F3"/>
    <w:rsid w:val="00B668B1"/>
    <w:rsid w:val="00B706BD"/>
    <w:rsid w:val="00B71694"/>
    <w:rsid w:val="00B72E17"/>
    <w:rsid w:val="00B740DA"/>
    <w:rsid w:val="00B74218"/>
    <w:rsid w:val="00B75478"/>
    <w:rsid w:val="00B77C78"/>
    <w:rsid w:val="00B8297D"/>
    <w:rsid w:val="00B848CA"/>
    <w:rsid w:val="00B87FE0"/>
    <w:rsid w:val="00B90332"/>
    <w:rsid w:val="00B9269D"/>
    <w:rsid w:val="00B96B09"/>
    <w:rsid w:val="00BA2244"/>
    <w:rsid w:val="00BA3DFB"/>
    <w:rsid w:val="00BA547F"/>
    <w:rsid w:val="00BB15CB"/>
    <w:rsid w:val="00BB2EB6"/>
    <w:rsid w:val="00BB7844"/>
    <w:rsid w:val="00BC1B42"/>
    <w:rsid w:val="00BC2CF7"/>
    <w:rsid w:val="00BC2F13"/>
    <w:rsid w:val="00BC504B"/>
    <w:rsid w:val="00BC74BB"/>
    <w:rsid w:val="00BD129D"/>
    <w:rsid w:val="00BD3A5E"/>
    <w:rsid w:val="00BD3B71"/>
    <w:rsid w:val="00BD673F"/>
    <w:rsid w:val="00BD78C3"/>
    <w:rsid w:val="00BE2E75"/>
    <w:rsid w:val="00BE474B"/>
    <w:rsid w:val="00BE7F18"/>
    <w:rsid w:val="00BF0CEE"/>
    <w:rsid w:val="00BF2F80"/>
    <w:rsid w:val="00BF423B"/>
    <w:rsid w:val="00BF79DB"/>
    <w:rsid w:val="00C005AE"/>
    <w:rsid w:val="00C016C5"/>
    <w:rsid w:val="00C045EA"/>
    <w:rsid w:val="00C047F3"/>
    <w:rsid w:val="00C052EA"/>
    <w:rsid w:val="00C05704"/>
    <w:rsid w:val="00C118EB"/>
    <w:rsid w:val="00C1243A"/>
    <w:rsid w:val="00C13063"/>
    <w:rsid w:val="00C149BF"/>
    <w:rsid w:val="00C14C67"/>
    <w:rsid w:val="00C15C13"/>
    <w:rsid w:val="00C16700"/>
    <w:rsid w:val="00C2078C"/>
    <w:rsid w:val="00C2101F"/>
    <w:rsid w:val="00C21F9F"/>
    <w:rsid w:val="00C22064"/>
    <w:rsid w:val="00C229B2"/>
    <w:rsid w:val="00C22CDF"/>
    <w:rsid w:val="00C26CC3"/>
    <w:rsid w:val="00C27335"/>
    <w:rsid w:val="00C3079E"/>
    <w:rsid w:val="00C31AE3"/>
    <w:rsid w:val="00C3445B"/>
    <w:rsid w:val="00C34911"/>
    <w:rsid w:val="00C34DDB"/>
    <w:rsid w:val="00C35F45"/>
    <w:rsid w:val="00C4098F"/>
    <w:rsid w:val="00C41B6C"/>
    <w:rsid w:val="00C4229F"/>
    <w:rsid w:val="00C45283"/>
    <w:rsid w:val="00C45C31"/>
    <w:rsid w:val="00C46597"/>
    <w:rsid w:val="00C5114A"/>
    <w:rsid w:val="00C52A09"/>
    <w:rsid w:val="00C54720"/>
    <w:rsid w:val="00C556C3"/>
    <w:rsid w:val="00C62B4A"/>
    <w:rsid w:val="00C638D2"/>
    <w:rsid w:val="00C64F52"/>
    <w:rsid w:val="00C65548"/>
    <w:rsid w:val="00C72A68"/>
    <w:rsid w:val="00C74272"/>
    <w:rsid w:val="00C7438D"/>
    <w:rsid w:val="00C74894"/>
    <w:rsid w:val="00C76514"/>
    <w:rsid w:val="00C82198"/>
    <w:rsid w:val="00C822BE"/>
    <w:rsid w:val="00C85CF3"/>
    <w:rsid w:val="00C91E8B"/>
    <w:rsid w:val="00C92AA1"/>
    <w:rsid w:val="00C964E8"/>
    <w:rsid w:val="00C976CF"/>
    <w:rsid w:val="00CA038E"/>
    <w:rsid w:val="00CA2115"/>
    <w:rsid w:val="00CA6DF8"/>
    <w:rsid w:val="00CB0CAB"/>
    <w:rsid w:val="00CB187B"/>
    <w:rsid w:val="00CB3A18"/>
    <w:rsid w:val="00CB3F4B"/>
    <w:rsid w:val="00CB72A2"/>
    <w:rsid w:val="00CC1F1C"/>
    <w:rsid w:val="00CC5292"/>
    <w:rsid w:val="00CC638B"/>
    <w:rsid w:val="00CC6728"/>
    <w:rsid w:val="00CC774B"/>
    <w:rsid w:val="00CD02E2"/>
    <w:rsid w:val="00CD26B4"/>
    <w:rsid w:val="00CD297F"/>
    <w:rsid w:val="00CD741B"/>
    <w:rsid w:val="00CD792B"/>
    <w:rsid w:val="00CE3B64"/>
    <w:rsid w:val="00CE40D7"/>
    <w:rsid w:val="00CE544A"/>
    <w:rsid w:val="00CE5AE6"/>
    <w:rsid w:val="00CF0443"/>
    <w:rsid w:val="00CF1853"/>
    <w:rsid w:val="00CF2810"/>
    <w:rsid w:val="00CF55FA"/>
    <w:rsid w:val="00D00144"/>
    <w:rsid w:val="00D00424"/>
    <w:rsid w:val="00D012D5"/>
    <w:rsid w:val="00D0133E"/>
    <w:rsid w:val="00D019CC"/>
    <w:rsid w:val="00D02D9F"/>
    <w:rsid w:val="00D035F3"/>
    <w:rsid w:val="00D03CD6"/>
    <w:rsid w:val="00D05A09"/>
    <w:rsid w:val="00D114EB"/>
    <w:rsid w:val="00D157B3"/>
    <w:rsid w:val="00D163E7"/>
    <w:rsid w:val="00D16644"/>
    <w:rsid w:val="00D17075"/>
    <w:rsid w:val="00D23AB7"/>
    <w:rsid w:val="00D23CF7"/>
    <w:rsid w:val="00D323EC"/>
    <w:rsid w:val="00D32898"/>
    <w:rsid w:val="00D333DB"/>
    <w:rsid w:val="00D34959"/>
    <w:rsid w:val="00D358AE"/>
    <w:rsid w:val="00D36900"/>
    <w:rsid w:val="00D43A54"/>
    <w:rsid w:val="00D43DB2"/>
    <w:rsid w:val="00D45430"/>
    <w:rsid w:val="00D45588"/>
    <w:rsid w:val="00D51B19"/>
    <w:rsid w:val="00D525C9"/>
    <w:rsid w:val="00D53D80"/>
    <w:rsid w:val="00D543A4"/>
    <w:rsid w:val="00D54F45"/>
    <w:rsid w:val="00D555D1"/>
    <w:rsid w:val="00D555E8"/>
    <w:rsid w:val="00D56972"/>
    <w:rsid w:val="00D574F1"/>
    <w:rsid w:val="00D61771"/>
    <w:rsid w:val="00D62541"/>
    <w:rsid w:val="00D62E38"/>
    <w:rsid w:val="00D6389B"/>
    <w:rsid w:val="00D63C2A"/>
    <w:rsid w:val="00D708AB"/>
    <w:rsid w:val="00D71277"/>
    <w:rsid w:val="00D71453"/>
    <w:rsid w:val="00D723F0"/>
    <w:rsid w:val="00D751EA"/>
    <w:rsid w:val="00D76027"/>
    <w:rsid w:val="00D77418"/>
    <w:rsid w:val="00D8457C"/>
    <w:rsid w:val="00D84DB5"/>
    <w:rsid w:val="00D858D5"/>
    <w:rsid w:val="00D92204"/>
    <w:rsid w:val="00D924EC"/>
    <w:rsid w:val="00D96A92"/>
    <w:rsid w:val="00D97AF4"/>
    <w:rsid w:val="00DA2FD5"/>
    <w:rsid w:val="00DA3E6B"/>
    <w:rsid w:val="00DA6619"/>
    <w:rsid w:val="00DB2FF2"/>
    <w:rsid w:val="00DB4961"/>
    <w:rsid w:val="00DD2102"/>
    <w:rsid w:val="00DD3C43"/>
    <w:rsid w:val="00DD7351"/>
    <w:rsid w:val="00DD7D70"/>
    <w:rsid w:val="00DE535A"/>
    <w:rsid w:val="00DE5527"/>
    <w:rsid w:val="00DE69ED"/>
    <w:rsid w:val="00DE6C52"/>
    <w:rsid w:val="00DE7A73"/>
    <w:rsid w:val="00DF1F4C"/>
    <w:rsid w:val="00DF412B"/>
    <w:rsid w:val="00DF60B0"/>
    <w:rsid w:val="00DF678A"/>
    <w:rsid w:val="00DF782F"/>
    <w:rsid w:val="00E026FF"/>
    <w:rsid w:val="00E0530D"/>
    <w:rsid w:val="00E0627F"/>
    <w:rsid w:val="00E076E8"/>
    <w:rsid w:val="00E10CC8"/>
    <w:rsid w:val="00E14D3B"/>
    <w:rsid w:val="00E15AE4"/>
    <w:rsid w:val="00E15D21"/>
    <w:rsid w:val="00E16EB6"/>
    <w:rsid w:val="00E17BD7"/>
    <w:rsid w:val="00E201F1"/>
    <w:rsid w:val="00E207E6"/>
    <w:rsid w:val="00E23136"/>
    <w:rsid w:val="00E234ED"/>
    <w:rsid w:val="00E23A77"/>
    <w:rsid w:val="00E2743B"/>
    <w:rsid w:val="00E318A9"/>
    <w:rsid w:val="00E35134"/>
    <w:rsid w:val="00E37D35"/>
    <w:rsid w:val="00E40768"/>
    <w:rsid w:val="00E40F8D"/>
    <w:rsid w:val="00E440D1"/>
    <w:rsid w:val="00E47B53"/>
    <w:rsid w:val="00E521A8"/>
    <w:rsid w:val="00E54A1C"/>
    <w:rsid w:val="00E574D8"/>
    <w:rsid w:val="00E6143B"/>
    <w:rsid w:val="00E62941"/>
    <w:rsid w:val="00E65F26"/>
    <w:rsid w:val="00E747B2"/>
    <w:rsid w:val="00E7497C"/>
    <w:rsid w:val="00E760C2"/>
    <w:rsid w:val="00E76BC2"/>
    <w:rsid w:val="00E7798D"/>
    <w:rsid w:val="00E77B82"/>
    <w:rsid w:val="00E834B9"/>
    <w:rsid w:val="00E83533"/>
    <w:rsid w:val="00E8553F"/>
    <w:rsid w:val="00E93839"/>
    <w:rsid w:val="00E94554"/>
    <w:rsid w:val="00E94A12"/>
    <w:rsid w:val="00E964CE"/>
    <w:rsid w:val="00EA08DF"/>
    <w:rsid w:val="00EA0B10"/>
    <w:rsid w:val="00EA77E0"/>
    <w:rsid w:val="00EB1951"/>
    <w:rsid w:val="00EB1F66"/>
    <w:rsid w:val="00EB2BC1"/>
    <w:rsid w:val="00EB460D"/>
    <w:rsid w:val="00EC14C5"/>
    <w:rsid w:val="00EC14EC"/>
    <w:rsid w:val="00EC1B9F"/>
    <w:rsid w:val="00EC7C24"/>
    <w:rsid w:val="00ED072E"/>
    <w:rsid w:val="00ED12E5"/>
    <w:rsid w:val="00ED2A3A"/>
    <w:rsid w:val="00ED3BDB"/>
    <w:rsid w:val="00ED6123"/>
    <w:rsid w:val="00EE21D4"/>
    <w:rsid w:val="00EE40E7"/>
    <w:rsid w:val="00EE4D49"/>
    <w:rsid w:val="00EE55DC"/>
    <w:rsid w:val="00EE67FA"/>
    <w:rsid w:val="00EF163D"/>
    <w:rsid w:val="00EF317A"/>
    <w:rsid w:val="00EF5BC2"/>
    <w:rsid w:val="00F01393"/>
    <w:rsid w:val="00F019AE"/>
    <w:rsid w:val="00F027AD"/>
    <w:rsid w:val="00F05D11"/>
    <w:rsid w:val="00F06F57"/>
    <w:rsid w:val="00F071CC"/>
    <w:rsid w:val="00F122E1"/>
    <w:rsid w:val="00F13D1E"/>
    <w:rsid w:val="00F142A9"/>
    <w:rsid w:val="00F14DB0"/>
    <w:rsid w:val="00F151B3"/>
    <w:rsid w:val="00F15DD8"/>
    <w:rsid w:val="00F175C5"/>
    <w:rsid w:val="00F17676"/>
    <w:rsid w:val="00F2047C"/>
    <w:rsid w:val="00F20860"/>
    <w:rsid w:val="00F23495"/>
    <w:rsid w:val="00F240AA"/>
    <w:rsid w:val="00F249B9"/>
    <w:rsid w:val="00F2554F"/>
    <w:rsid w:val="00F27F09"/>
    <w:rsid w:val="00F30144"/>
    <w:rsid w:val="00F33BFD"/>
    <w:rsid w:val="00F356FE"/>
    <w:rsid w:val="00F360D1"/>
    <w:rsid w:val="00F410FD"/>
    <w:rsid w:val="00F41372"/>
    <w:rsid w:val="00F51CEF"/>
    <w:rsid w:val="00F55D0D"/>
    <w:rsid w:val="00F57F20"/>
    <w:rsid w:val="00F60174"/>
    <w:rsid w:val="00F61F57"/>
    <w:rsid w:val="00F6200F"/>
    <w:rsid w:val="00F67B3F"/>
    <w:rsid w:val="00F767B6"/>
    <w:rsid w:val="00F779C2"/>
    <w:rsid w:val="00F77FA5"/>
    <w:rsid w:val="00F84004"/>
    <w:rsid w:val="00F8778A"/>
    <w:rsid w:val="00F87FEF"/>
    <w:rsid w:val="00F90B25"/>
    <w:rsid w:val="00F914C9"/>
    <w:rsid w:val="00F92CD9"/>
    <w:rsid w:val="00F95096"/>
    <w:rsid w:val="00F957A0"/>
    <w:rsid w:val="00F96B7B"/>
    <w:rsid w:val="00FA0B2A"/>
    <w:rsid w:val="00FA220D"/>
    <w:rsid w:val="00FA24DA"/>
    <w:rsid w:val="00FA2F5A"/>
    <w:rsid w:val="00FA2FB3"/>
    <w:rsid w:val="00FA6DA4"/>
    <w:rsid w:val="00FA6F19"/>
    <w:rsid w:val="00FA7222"/>
    <w:rsid w:val="00FA7559"/>
    <w:rsid w:val="00FB382E"/>
    <w:rsid w:val="00FB48A8"/>
    <w:rsid w:val="00FB5114"/>
    <w:rsid w:val="00FB61E7"/>
    <w:rsid w:val="00FC177B"/>
    <w:rsid w:val="00FC2F9B"/>
    <w:rsid w:val="00FC38A8"/>
    <w:rsid w:val="00FC61C6"/>
    <w:rsid w:val="00FC6461"/>
    <w:rsid w:val="00FC7F2C"/>
    <w:rsid w:val="00FD0818"/>
    <w:rsid w:val="00FD17FB"/>
    <w:rsid w:val="00FD1925"/>
    <w:rsid w:val="00FD20A1"/>
    <w:rsid w:val="00FD4395"/>
    <w:rsid w:val="00FD59B0"/>
    <w:rsid w:val="00FD6647"/>
    <w:rsid w:val="00FE06DE"/>
    <w:rsid w:val="00FE1B66"/>
    <w:rsid w:val="00FE1DBD"/>
    <w:rsid w:val="00FE414E"/>
    <w:rsid w:val="00FE425F"/>
    <w:rsid w:val="00FE70FF"/>
    <w:rsid w:val="00FE7B6A"/>
    <w:rsid w:val="00FF2D0B"/>
    <w:rsid w:val="00FF2E03"/>
    <w:rsid w:val="00FF59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532E1-08F3-44D0-AEE2-D1F36724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1FFC"/>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paragraph" w:styleId="Heading2">
    <w:name w:val="heading 2"/>
    <w:basedOn w:val="Normal"/>
    <w:next w:val="Normal"/>
    <w:link w:val="Heading2Char"/>
    <w:uiPriority w:val="9"/>
    <w:semiHidden/>
    <w:unhideWhenUsed/>
    <w:qFormat/>
    <w:rsid w:val="007B25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uiPriority w:val="99"/>
    <w:rsid w:val="003A2C84"/>
    <w:rPr>
      <w:rFonts w:ascii="Calibri" w:eastAsia="Times New Roman" w:hAnsi="Calibri" w:cs="Times New Roman"/>
      <w:sz w:val="20"/>
      <w:szCs w:val="20"/>
      <w:lang w:eastAsia="en-ZA"/>
    </w:rPr>
  </w:style>
  <w:style w:type="character" w:styleId="FootnoteReference">
    <w:name w:val="footnote reference"/>
    <w:basedOn w:val="DefaultParagraphFont"/>
    <w:uiPriority w:val="99"/>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odyTextIndent">
    <w:name w:val="Body Text Indent"/>
    <w:basedOn w:val="Normal"/>
    <w:link w:val="BodyTextIndentChar"/>
    <w:uiPriority w:val="99"/>
    <w:unhideWhenUsed/>
    <w:rsid w:val="005B7C41"/>
    <w:pPr>
      <w:spacing w:after="0" w:line="360" w:lineRule="auto"/>
      <w:ind w:left="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5B7C41"/>
    <w:rPr>
      <w:rFonts w:ascii="Times New Roman" w:eastAsia="Times New Roman" w:hAnsi="Times New Roman" w:cs="Times New Roman"/>
      <w:sz w:val="24"/>
      <w:szCs w:val="24"/>
    </w:rPr>
  </w:style>
  <w:style w:type="character" w:customStyle="1" w:styleId="mc2">
    <w:name w:val="mc2"/>
    <w:basedOn w:val="DefaultParagraphFont"/>
    <w:rsid w:val="009F13ED"/>
    <w:rPr>
      <w:rFonts w:ascii="Verdana" w:hAnsi="Verdana" w:hint="default"/>
      <w:b w:val="0"/>
      <w:bCs w:val="0"/>
      <w:i w:val="0"/>
      <w:iCs w:val="0"/>
      <w:color w:val="000000"/>
      <w:sz w:val="13"/>
      <w:szCs w:val="13"/>
      <w:shd w:val="clear" w:color="auto" w:fill="C0C0C0"/>
    </w:rPr>
  </w:style>
  <w:style w:type="character" w:styleId="Emphasis">
    <w:name w:val="Emphasis"/>
    <w:basedOn w:val="DefaultParagraphFont"/>
    <w:uiPriority w:val="20"/>
    <w:qFormat/>
    <w:rsid w:val="00CD26B4"/>
    <w:rPr>
      <w:i/>
      <w:iCs/>
    </w:rPr>
  </w:style>
  <w:style w:type="character" w:customStyle="1" w:styleId="mc">
    <w:name w:val="mc"/>
    <w:basedOn w:val="DefaultParagraphFont"/>
    <w:rsid w:val="00C118EB"/>
  </w:style>
  <w:style w:type="character" w:customStyle="1" w:styleId="Heading2Char">
    <w:name w:val="Heading 2 Char"/>
    <w:basedOn w:val="DefaultParagraphFont"/>
    <w:link w:val="Heading2"/>
    <w:uiPriority w:val="9"/>
    <w:semiHidden/>
    <w:rsid w:val="007B25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5506">
      <w:bodyDiv w:val="1"/>
      <w:marLeft w:val="0"/>
      <w:marRight w:val="0"/>
      <w:marTop w:val="0"/>
      <w:marBottom w:val="0"/>
      <w:divBdr>
        <w:top w:val="none" w:sz="0" w:space="0" w:color="auto"/>
        <w:left w:val="none" w:sz="0" w:space="0" w:color="auto"/>
        <w:bottom w:val="none" w:sz="0" w:space="0" w:color="auto"/>
        <w:right w:val="none" w:sz="0" w:space="0" w:color="auto"/>
      </w:divBdr>
    </w:div>
    <w:div w:id="549000830">
      <w:bodyDiv w:val="1"/>
      <w:marLeft w:val="0"/>
      <w:marRight w:val="0"/>
      <w:marTop w:val="0"/>
      <w:marBottom w:val="0"/>
      <w:divBdr>
        <w:top w:val="none" w:sz="0" w:space="0" w:color="auto"/>
        <w:left w:val="none" w:sz="0" w:space="0" w:color="auto"/>
        <w:bottom w:val="none" w:sz="0" w:space="0" w:color="auto"/>
        <w:right w:val="none" w:sz="0" w:space="0" w:color="auto"/>
      </w:divBdr>
    </w:div>
    <w:div w:id="574319616">
      <w:bodyDiv w:val="1"/>
      <w:marLeft w:val="0"/>
      <w:marRight w:val="0"/>
      <w:marTop w:val="0"/>
      <w:marBottom w:val="0"/>
      <w:divBdr>
        <w:top w:val="none" w:sz="0" w:space="0" w:color="auto"/>
        <w:left w:val="none" w:sz="0" w:space="0" w:color="auto"/>
        <w:bottom w:val="none" w:sz="0" w:space="0" w:color="auto"/>
        <w:right w:val="none" w:sz="0" w:space="0" w:color="auto"/>
      </w:divBdr>
    </w:div>
    <w:div w:id="614286032">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878859106">
      <w:bodyDiv w:val="1"/>
      <w:marLeft w:val="360"/>
      <w:marRight w:val="360"/>
      <w:marTop w:val="0"/>
      <w:marBottom w:val="0"/>
      <w:divBdr>
        <w:top w:val="none" w:sz="0" w:space="0" w:color="auto"/>
        <w:left w:val="none" w:sz="0" w:space="0" w:color="auto"/>
        <w:bottom w:val="none" w:sz="0" w:space="0" w:color="auto"/>
        <w:right w:val="none" w:sz="0" w:space="0" w:color="auto"/>
      </w:divBdr>
      <w:divsChild>
        <w:div w:id="516431236">
          <w:marLeft w:val="0"/>
          <w:marRight w:val="0"/>
          <w:marTop w:val="0"/>
          <w:marBottom w:val="0"/>
          <w:divBdr>
            <w:top w:val="none" w:sz="0" w:space="0" w:color="auto"/>
            <w:left w:val="none" w:sz="0" w:space="0" w:color="auto"/>
            <w:bottom w:val="none" w:sz="0" w:space="0" w:color="auto"/>
            <w:right w:val="none" w:sz="0" w:space="0" w:color="auto"/>
          </w:divBdr>
        </w:div>
        <w:div w:id="1378510890">
          <w:marLeft w:val="0"/>
          <w:marRight w:val="0"/>
          <w:marTop w:val="0"/>
          <w:marBottom w:val="0"/>
          <w:divBdr>
            <w:top w:val="none" w:sz="0" w:space="0" w:color="auto"/>
            <w:left w:val="none" w:sz="0" w:space="0" w:color="auto"/>
            <w:bottom w:val="none" w:sz="0" w:space="0" w:color="auto"/>
            <w:right w:val="none" w:sz="0" w:space="0" w:color="auto"/>
          </w:divBdr>
        </w:div>
        <w:div w:id="1894851762">
          <w:marLeft w:val="0"/>
          <w:marRight w:val="0"/>
          <w:marTop w:val="0"/>
          <w:marBottom w:val="0"/>
          <w:divBdr>
            <w:top w:val="none" w:sz="0" w:space="0" w:color="auto"/>
            <w:left w:val="none" w:sz="0" w:space="0" w:color="auto"/>
            <w:bottom w:val="none" w:sz="0" w:space="0" w:color="auto"/>
            <w:right w:val="none" w:sz="0" w:space="0" w:color="auto"/>
          </w:divBdr>
        </w:div>
      </w:divsChild>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11825104">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25022722">
      <w:bodyDiv w:val="1"/>
      <w:marLeft w:val="0"/>
      <w:marRight w:val="0"/>
      <w:marTop w:val="0"/>
      <w:marBottom w:val="0"/>
      <w:divBdr>
        <w:top w:val="none" w:sz="0" w:space="0" w:color="auto"/>
        <w:left w:val="none" w:sz="0" w:space="0" w:color="auto"/>
        <w:bottom w:val="none" w:sz="0" w:space="0" w:color="auto"/>
        <w:right w:val="none" w:sz="0" w:space="0" w:color="auto"/>
      </w:divBdr>
    </w:div>
    <w:div w:id="1266958111">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563983045">
      <w:bodyDiv w:val="1"/>
      <w:marLeft w:val="0"/>
      <w:marRight w:val="0"/>
      <w:marTop w:val="0"/>
      <w:marBottom w:val="0"/>
      <w:divBdr>
        <w:top w:val="none" w:sz="0" w:space="0" w:color="auto"/>
        <w:left w:val="none" w:sz="0" w:space="0" w:color="auto"/>
        <w:bottom w:val="none" w:sz="0" w:space="0" w:color="auto"/>
        <w:right w:val="none" w:sz="0" w:space="0" w:color="auto"/>
      </w:divBdr>
    </w:div>
    <w:div w:id="1601716064">
      <w:bodyDiv w:val="1"/>
      <w:marLeft w:val="0"/>
      <w:marRight w:val="0"/>
      <w:marTop w:val="0"/>
      <w:marBottom w:val="0"/>
      <w:divBdr>
        <w:top w:val="none" w:sz="0" w:space="0" w:color="auto"/>
        <w:left w:val="none" w:sz="0" w:space="0" w:color="auto"/>
        <w:bottom w:val="none" w:sz="0" w:space="0" w:color="auto"/>
        <w:right w:val="none" w:sz="0" w:space="0" w:color="auto"/>
      </w:divBdr>
    </w:div>
    <w:div w:id="1648701031">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92548765">
      <w:bodyDiv w:val="1"/>
      <w:marLeft w:val="0"/>
      <w:marRight w:val="0"/>
      <w:marTop w:val="0"/>
      <w:marBottom w:val="0"/>
      <w:divBdr>
        <w:top w:val="none" w:sz="0" w:space="0" w:color="auto"/>
        <w:left w:val="none" w:sz="0" w:space="0" w:color="auto"/>
        <w:bottom w:val="none" w:sz="0" w:space="0" w:color="auto"/>
        <w:right w:val="none" w:sz="0" w:space="0" w:color="auto"/>
      </w:divBdr>
    </w:div>
    <w:div w:id="1837725107">
      <w:bodyDiv w:val="1"/>
      <w:marLeft w:val="360"/>
      <w:marRight w:val="360"/>
      <w:marTop w:val="0"/>
      <w:marBottom w:val="0"/>
      <w:divBdr>
        <w:top w:val="none" w:sz="0" w:space="0" w:color="auto"/>
        <w:left w:val="none" w:sz="0" w:space="0" w:color="auto"/>
        <w:bottom w:val="none" w:sz="0" w:space="0" w:color="auto"/>
        <w:right w:val="none" w:sz="0" w:space="0" w:color="auto"/>
      </w:divBdr>
      <w:divsChild>
        <w:div w:id="1227840218">
          <w:marLeft w:val="0"/>
          <w:marRight w:val="0"/>
          <w:marTop w:val="120"/>
          <w:marBottom w:val="0"/>
          <w:divBdr>
            <w:top w:val="none" w:sz="0" w:space="0" w:color="auto"/>
            <w:left w:val="none" w:sz="0" w:space="0" w:color="auto"/>
            <w:bottom w:val="none" w:sz="0" w:space="0" w:color="auto"/>
            <w:right w:val="none" w:sz="0" w:space="0" w:color="auto"/>
          </w:divBdr>
        </w:div>
        <w:div w:id="1864634304">
          <w:marLeft w:val="0"/>
          <w:marRight w:val="0"/>
          <w:marTop w:val="240"/>
          <w:marBottom w:val="0"/>
          <w:divBdr>
            <w:top w:val="none" w:sz="0" w:space="0" w:color="auto"/>
            <w:left w:val="none" w:sz="0" w:space="0" w:color="auto"/>
            <w:bottom w:val="none" w:sz="0" w:space="0" w:color="auto"/>
            <w:right w:val="none" w:sz="0" w:space="0" w:color="auto"/>
          </w:divBdr>
        </w:div>
      </w:divsChild>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468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89DEA-D6AB-4D4F-8720-569C8D4CF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1580</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Chatfield Pearl</dc:creator>
  <cp:keywords/>
  <dc:description/>
  <cp:lastModifiedBy>HOME</cp:lastModifiedBy>
  <cp:revision>2</cp:revision>
  <cp:lastPrinted>2022-07-25T08:20:00Z</cp:lastPrinted>
  <dcterms:created xsi:type="dcterms:W3CDTF">2022-07-31T14:53:00Z</dcterms:created>
  <dcterms:modified xsi:type="dcterms:W3CDTF">2022-07-31T14:53:00Z</dcterms:modified>
</cp:coreProperties>
</file>