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A6B8F" w14:textId="77777777" w:rsidR="005155A1" w:rsidRPr="006268B7" w:rsidRDefault="005155A1" w:rsidP="0032369F">
      <w:pPr>
        <w:pStyle w:val="Heading1"/>
      </w:pPr>
    </w:p>
    <w:p w14:paraId="0D3D2AEA" w14:textId="77777777" w:rsidR="005155A1" w:rsidRPr="00B056BB" w:rsidRDefault="005155A1" w:rsidP="005155A1">
      <w:pPr>
        <w:jc w:val="center"/>
        <w:rPr>
          <w:rFonts w:ascii="Arial" w:hAnsi="Arial" w:cs="Arial"/>
          <w:b/>
          <w:u w:val="single"/>
        </w:rPr>
      </w:pPr>
    </w:p>
    <w:p w14:paraId="7EA3FDF0" w14:textId="77777777" w:rsidR="005155A1" w:rsidRPr="003024B9" w:rsidRDefault="00986768" w:rsidP="005155A1">
      <w:pPr>
        <w:jc w:val="center"/>
        <w:rPr>
          <w:rFonts w:ascii="Arial" w:hAnsi="Arial" w:cs="Arial"/>
          <w:b/>
          <w:u w:val="single"/>
        </w:rPr>
      </w:pPr>
      <w:r w:rsidRPr="003024B9">
        <w:rPr>
          <w:noProof/>
          <w:lang w:val="en-US"/>
        </w:rPr>
        <w:drawing>
          <wp:anchor distT="0" distB="0" distL="114300" distR="114300" simplePos="0" relativeHeight="251659264" behindDoc="1" locked="0" layoutInCell="1" allowOverlap="1" wp14:anchorId="2BA6ACC7" wp14:editId="343F0E5C">
            <wp:simplePos x="0" y="0"/>
            <wp:positionH relativeFrom="column">
              <wp:posOffset>2333625</wp:posOffset>
            </wp:positionH>
            <wp:positionV relativeFrom="paragraph">
              <wp:posOffset>-476250</wp:posOffset>
            </wp:positionV>
            <wp:extent cx="1190625" cy="1162862"/>
            <wp:effectExtent l="0" t="0" r="0" b="0"/>
            <wp:wrapNone/>
            <wp:docPr id="2" name="Picture 2"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6616" cy="1168713"/>
                    </a:xfrm>
                    <a:prstGeom prst="rect">
                      <a:avLst/>
                    </a:prstGeom>
                    <a:noFill/>
                  </pic:spPr>
                </pic:pic>
              </a:graphicData>
            </a:graphic>
            <wp14:sizeRelH relativeFrom="page">
              <wp14:pctWidth>0</wp14:pctWidth>
            </wp14:sizeRelH>
            <wp14:sizeRelV relativeFrom="page">
              <wp14:pctHeight>0</wp14:pctHeight>
            </wp14:sizeRelV>
          </wp:anchor>
        </w:drawing>
      </w:r>
    </w:p>
    <w:p w14:paraId="7451E376" w14:textId="77777777" w:rsidR="005155A1" w:rsidRPr="003024B9" w:rsidRDefault="005155A1" w:rsidP="005155A1">
      <w:pPr>
        <w:jc w:val="center"/>
        <w:rPr>
          <w:rFonts w:ascii="Arial" w:hAnsi="Arial" w:cs="Arial"/>
          <w:b/>
          <w:u w:val="single"/>
        </w:rPr>
      </w:pPr>
    </w:p>
    <w:p w14:paraId="049008B4" w14:textId="77777777" w:rsidR="005155A1" w:rsidRPr="003024B9" w:rsidRDefault="005155A1" w:rsidP="005155A1">
      <w:pPr>
        <w:jc w:val="center"/>
        <w:rPr>
          <w:rFonts w:ascii="Arial" w:hAnsi="Arial" w:cs="Arial"/>
          <w:b/>
          <w:u w:val="single"/>
        </w:rPr>
      </w:pPr>
    </w:p>
    <w:p w14:paraId="24AA84FC" w14:textId="77777777" w:rsidR="005155A1" w:rsidRPr="003024B9" w:rsidRDefault="005155A1" w:rsidP="005155A1">
      <w:pPr>
        <w:jc w:val="center"/>
        <w:rPr>
          <w:rFonts w:ascii="Arial" w:hAnsi="Arial" w:cs="Arial"/>
          <w:b/>
          <w:sz w:val="24"/>
          <w:szCs w:val="24"/>
          <w:u w:val="single"/>
        </w:rPr>
      </w:pPr>
      <w:r w:rsidRPr="003024B9">
        <w:rPr>
          <w:rFonts w:ascii="Arial" w:hAnsi="Arial" w:cs="Arial"/>
          <w:b/>
          <w:sz w:val="24"/>
          <w:szCs w:val="24"/>
          <w:u w:val="single"/>
        </w:rPr>
        <w:t>IN THE HIGH COURT OF SOUTH AFRICA,</w:t>
      </w:r>
    </w:p>
    <w:p w14:paraId="3CBC75BD" w14:textId="77777777" w:rsidR="005155A1" w:rsidRPr="003024B9" w:rsidRDefault="005155A1" w:rsidP="005155A1">
      <w:pPr>
        <w:jc w:val="center"/>
        <w:rPr>
          <w:rFonts w:ascii="Arial" w:hAnsi="Arial" w:cs="Arial"/>
          <w:b/>
          <w:sz w:val="24"/>
          <w:szCs w:val="24"/>
          <w:u w:val="single"/>
        </w:rPr>
      </w:pPr>
      <w:r w:rsidRPr="003024B9">
        <w:rPr>
          <w:rFonts w:ascii="Arial" w:hAnsi="Arial" w:cs="Arial"/>
          <w:b/>
          <w:sz w:val="24"/>
          <w:szCs w:val="24"/>
          <w:u w:val="single"/>
        </w:rPr>
        <w:t>FREE STATE DIVISION, BLOEMFONTEIN</w:t>
      </w:r>
    </w:p>
    <w:p w14:paraId="24FDA45C" w14:textId="77777777" w:rsidR="005155A1" w:rsidRPr="003024B9" w:rsidRDefault="005155A1" w:rsidP="005155A1">
      <w:pPr>
        <w:jc w:val="center"/>
        <w:rPr>
          <w:rFonts w:ascii="Arial" w:hAnsi="Arial" w:cs="Arial"/>
          <w:b/>
          <w:u w:val="single"/>
        </w:rPr>
      </w:pPr>
    </w:p>
    <w:tbl>
      <w:tblPr>
        <w:tblStyle w:val="TableGrid"/>
        <w:tblW w:w="0" w:type="auto"/>
        <w:tblInd w:w="5353" w:type="dxa"/>
        <w:tblLook w:val="04A0" w:firstRow="1" w:lastRow="0" w:firstColumn="1" w:lastColumn="0" w:noHBand="0" w:noVBand="1"/>
      </w:tblPr>
      <w:tblGrid>
        <w:gridCol w:w="3829"/>
      </w:tblGrid>
      <w:tr w:rsidR="005155A1" w:rsidRPr="003024B9" w14:paraId="2B96D12F" w14:textId="77777777" w:rsidTr="000A75AD">
        <w:trPr>
          <w:trHeight w:val="698"/>
        </w:trPr>
        <w:tc>
          <w:tcPr>
            <w:tcW w:w="3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9728F3" w14:textId="77777777" w:rsidR="005155A1" w:rsidRPr="003024B9" w:rsidRDefault="005155A1" w:rsidP="00362A10">
            <w:pPr>
              <w:spacing w:after="0"/>
              <w:rPr>
                <w:rFonts w:ascii="Arial" w:eastAsia="Times New Roman" w:hAnsi="Arial" w:cs="Arial"/>
                <w:b/>
                <w:sz w:val="16"/>
                <w:szCs w:val="16"/>
                <w:lang w:eastAsia="en-GB"/>
              </w:rPr>
            </w:pPr>
            <w:r w:rsidRPr="003024B9">
              <w:rPr>
                <w:rFonts w:ascii="Arial" w:hAnsi="Arial" w:cs="Arial"/>
                <w:b/>
                <w:sz w:val="16"/>
                <w:szCs w:val="16"/>
              </w:rPr>
              <w:t>Reportable:                              YES/NO</w:t>
            </w:r>
          </w:p>
          <w:p w14:paraId="0F0ACFB7" w14:textId="77777777" w:rsidR="005155A1" w:rsidRPr="003024B9" w:rsidRDefault="005155A1" w:rsidP="00362A10">
            <w:pPr>
              <w:spacing w:after="0"/>
              <w:rPr>
                <w:rFonts w:ascii="Arial" w:hAnsi="Arial" w:cs="Arial"/>
                <w:b/>
                <w:sz w:val="16"/>
                <w:szCs w:val="16"/>
              </w:rPr>
            </w:pPr>
            <w:r w:rsidRPr="003024B9">
              <w:rPr>
                <w:rFonts w:ascii="Arial" w:hAnsi="Arial" w:cs="Arial"/>
                <w:b/>
                <w:sz w:val="16"/>
                <w:szCs w:val="16"/>
              </w:rPr>
              <w:t>Of Interest to other Judges:   YES/NO</w:t>
            </w:r>
          </w:p>
          <w:p w14:paraId="2CCF665D" w14:textId="77777777" w:rsidR="005155A1" w:rsidRPr="003024B9" w:rsidRDefault="005155A1" w:rsidP="00362A10">
            <w:pPr>
              <w:spacing w:after="0"/>
              <w:rPr>
                <w:rFonts w:ascii="Arial" w:eastAsia="Times New Roman" w:hAnsi="Arial" w:cs="Arial"/>
                <w:b/>
                <w:sz w:val="16"/>
                <w:szCs w:val="16"/>
                <w:u w:val="single"/>
                <w:lang w:eastAsia="en-GB"/>
              </w:rPr>
            </w:pPr>
            <w:r w:rsidRPr="003024B9">
              <w:rPr>
                <w:rFonts w:ascii="Arial" w:hAnsi="Arial" w:cs="Arial"/>
                <w:b/>
                <w:sz w:val="16"/>
                <w:szCs w:val="16"/>
              </w:rPr>
              <w:t>Circulate to Magistrates:        YES/NO</w:t>
            </w:r>
          </w:p>
        </w:tc>
      </w:tr>
    </w:tbl>
    <w:p w14:paraId="53E3B1EB" w14:textId="77777777" w:rsidR="0024500F" w:rsidRPr="003024B9" w:rsidRDefault="005155A1" w:rsidP="007018AF">
      <w:pPr>
        <w:jc w:val="both"/>
        <w:rPr>
          <w:rFonts w:ascii="Arial" w:eastAsia="Times New Roman" w:hAnsi="Arial" w:cs="Arial"/>
          <w:b/>
          <w:sz w:val="28"/>
          <w:szCs w:val="28"/>
          <w:lang w:eastAsia="en-GB"/>
        </w:rPr>
      </w:pPr>
      <w:r w:rsidRPr="003024B9">
        <w:rPr>
          <w:rFonts w:ascii="Arial" w:hAnsi="Arial" w:cs="Arial"/>
          <w:b/>
          <w:sz w:val="28"/>
          <w:szCs w:val="28"/>
        </w:rPr>
        <w:tab/>
      </w:r>
      <w:r w:rsidRPr="003024B9">
        <w:rPr>
          <w:rFonts w:ascii="Arial" w:hAnsi="Arial" w:cs="Arial"/>
          <w:b/>
          <w:sz w:val="28"/>
          <w:szCs w:val="28"/>
        </w:rPr>
        <w:tab/>
      </w:r>
      <w:r w:rsidRPr="003024B9">
        <w:rPr>
          <w:rFonts w:ascii="Arial" w:hAnsi="Arial" w:cs="Arial"/>
          <w:b/>
          <w:sz w:val="28"/>
          <w:szCs w:val="28"/>
        </w:rPr>
        <w:tab/>
      </w:r>
      <w:r w:rsidRPr="003024B9">
        <w:rPr>
          <w:rFonts w:ascii="Arial" w:hAnsi="Arial" w:cs="Arial"/>
          <w:b/>
          <w:sz w:val="28"/>
          <w:szCs w:val="28"/>
        </w:rPr>
        <w:tab/>
      </w:r>
      <w:r w:rsidRPr="003024B9">
        <w:rPr>
          <w:rFonts w:ascii="Arial" w:hAnsi="Arial" w:cs="Arial"/>
          <w:b/>
          <w:sz w:val="28"/>
          <w:szCs w:val="28"/>
        </w:rPr>
        <w:tab/>
      </w:r>
    </w:p>
    <w:p w14:paraId="612D66E6" w14:textId="77777777" w:rsidR="0024500F" w:rsidRPr="003024B9" w:rsidRDefault="00EC14EC" w:rsidP="000F74BE">
      <w:pPr>
        <w:spacing w:after="0" w:line="240" w:lineRule="auto"/>
        <w:jc w:val="right"/>
        <w:rPr>
          <w:rFonts w:ascii="Arial" w:hAnsi="Arial" w:cs="Arial"/>
          <w:sz w:val="24"/>
          <w:szCs w:val="24"/>
        </w:rPr>
      </w:pPr>
      <w:r w:rsidRPr="003024B9">
        <w:rPr>
          <w:rFonts w:ascii="Arial" w:hAnsi="Arial" w:cs="Arial"/>
          <w:sz w:val="24"/>
          <w:szCs w:val="24"/>
        </w:rPr>
        <w:t xml:space="preserve">Case </w:t>
      </w:r>
      <w:r w:rsidR="0024500F" w:rsidRPr="003024B9">
        <w:rPr>
          <w:rFonts w:ascii="Arial" w:hAnsi="Arial" w:cs="Arial"/>
          <w:sz w:val="24"/>
          <w:szCs w:val="24"/>
        </w:rPr>
        <w:t xml:space="preserve">number:   </w:t>
      </w:r>
      <w:r w:rsidR="00082869" w:rsidRPr="003024B9">
        <w:rPr>
          <w:rFonts w:ascii="Arial" w:eastAsia="Times New Roman" w:hAnsi="Arial" w:cs="Arial"/>
          <w:sz w:val="24"/>
          <w:szCs w:val="24"/>
          <w:lang w:eastAsia="en-GB"/>
        </w:rPr>
        <w:t>6310</w:t>
      </w:r>
      <w:r w:rsidR="004474C6" w:rsidRPr="003024B9">
        <w:rPr>
          <w:rFonts w:ascii="Arial" w:eastAsia="Times New Roman" w:hAnsi="Arial" w:cs="Arial"/>
          <w:sz w:val="24"/>
          <w:szCs w:val="24"/>
          <w:lang w:eastAsia="en-GB"/>
        </w:rPr>
        <w:t>/2022</w:t>
      </w:r>
      <w:r w:rsidR="003F5658" w:rsidRPr="003024B9">
        <w:rPr>
          <w:rFonts w:ascii="Arial" w:eastAsia="Times New Roman" w:hAnsi="Arial" w:cs="Arial"/>
          <w:b/>
          <w:sz w:val="24"/>
          <w:szCs w:val="24"/>
          <w:lang w:eastAsia="en-GB"/>
        </w:rPr>
        <w:t xml:space="preserve">   </w:t>
      </w:r>
    </w:p>
    <w:p w14:paraId="25D1804A" w14:textId="77777777" w:rsidR="001D52C9" w:rsidRPr="003024B9" w:rsidRDefault="001D52C9" w:rsidP="00BE43D0">
      <w:pPr>
        <w:spacing w:after="0" w:line="240" w:lineRule="auto"/>
        <w:jc w:val="both"/>
        <w:rPr>
          <w:rFonts w:ascii="Arial" w:hAnsi="Arial" w:cs="Arial"/>
          <w:sz w:val="24"/>
          <w:szCs w:val="24"/>
        </w:rPr>
      </w:pPr>
    </w:p>
    <w:p w14:paraId="71335E96" w14:textId="77777777" w:rsidR="0024500F" w:rsidRPr="003024B9" w:rsidRDefault="0024500F" w:rsidP="00BE43D0">
      <w:pPr>
        <w:spacing w:after="0" w:line="240" w:lineRule="auto"/>
        <w:jc w:val="both"/>
        <w:rPr>
          <w:rFonts w:ascii="Arial" w:hAnsi="Arial" w:cs="Arial"/>
          <w:sz w:val="24"/>
          <w:szCs w:val="24"/>
        </w:rPr>
      </w:pPr>
      <w:r w:rsidRPr="003024B9">
        <w:rPr>
          <w:rFonts w:ascii="Arial" w:hAnsi="Arial" w:cs="Arial"/>
          <w:sz w:val="24"/>
          <w:szCs w:val="24"/>
        </w:rPr>
        <w:t xml:space="preserve">In the </w:t>
      </w:r>
      <w:r w:rsidR="00EC14EC" w:rsidRPr="003024B9">
        <w:rPr>
          <w:rFonts w:ascii="Arial" w:hAnsi="Arial" w:cs="Arial"/>
          <w:sz w:val="24"/>
          <w:szCs w:val="24"/>
        </w:rPr>
        <w:t>matter</w:t>
      </w:r>
      <w:r w:rsidRPr="003024B9">
        <w:rPr>
          <w:rFonts w:ascii="Arial" w:hAnsi="Arial" w:cs="Arial"/>
          <w:sz w:val="24"/>
          <w:szCs w:val="24"/>
        </w:rPr>
        <w:t xml:space="preserve"> </w:t>
      </w:r>
      <w:r w:rsidR="00A460A9" w:rsidRPr="003024B9">
        <w:rPr>
          <w:rFonts w:ascii="Arial" w:hAnsi="Arial" w:cs="Arial"/>
          <w:sz w:val="24"/>
          <w:szCs w:val="24"/>
        </w:rPr>
        <w:t>between</w:t>
      </w:r>
      <w:r w:rsidRPr="003024B9">
        <w:rPr>
          <w:rFonts w:ascii="Arial" w:hAnsi="Arial" w:cs="Arial"/>
          <w:sz w:val="24"/>
          <w:szCs w:val="24"/>
        </w:rPr>
        <w:t xml:space="preserve">: </w:t>
      </w:r>
    </w:p>
    <w:p w14:paraId="5AC09A2D" w14:textId="77777777" w:rsidR="0024500F" w:rsidRPr="003024B9" w:rsidRDefault="0024500F" w:rsidP="00BE43D0">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4"/>
          <w:szCs w:val="24"/>
          <w:u w:val="single"/>
        </w:rPr>
      </w:pPr>
    </w:p>
    <w:p w14:paraId="29E78997" w14:textId="77777777" w:rsidR="004474C6" w:rsidRPr="003024B9" w:rsidRDefault="00082869" w:rsidP="00BE43D0">
      <w:pPr>
        <w:tabs>
          <w:tab w:val="right" w:pos="9180"/>
        </w:tabs>
        <w:spacing w:after="0" w:line="360" w:lineRule="auto"/>
        <w:jc w:val="both"/>
        <w:rPr>
          <w:rFonts w:ascii="Arial" w:eastAsia="Times New Roman" w:hAnsi="Arial" w:cs="Arial"/>
          <w:sz w:val="24"/>
          <w:szCs w:val="24"/>
          <w:lang w:eastAsia="en-GB"/>
        </w:rPr>
      </w:pPr>
      <w:r w:rsidRPr="003024B9">
        <w:rPr>
          <w:rFonts w:ascii="Arial" w:eastAsia="Times New Roman" w:hAnsi="Arial" w:cs="Arial"/>
          <w:b/>
          <w:sz w:val="24"/>
          <w:szCs w:val="24"/>
          <w:lang w:eastAsia="en-GB"/>
        </w:rPr>
        <w:t>DUANE BUCHLER</w:t>
      </w:r>
      <w:r w:rsidR="00487098" w:rsidRPr="003024B9">
        <w:rPr>
          <w:rFonts w:ascii="Arial" w:eastAsia="Times New Roman" w:hAnsi="Arial" w:cs="Arial"/>
          <w:b/>
          <w:sz w:val="24"/>
          <w:szCs w:val="24"/>
          <w:lang w:eastAsia="en-GB"/>
        </w:rPr>
        <w:tab/>
      </w:r>
      <w:r w:rsidR="003B566F" w:rsidRPr="003024B9">
        <w:rPr>
          <w:rFonts w:ascii="Arial" w:eastAsia="Times New Roman" w:hAnsi="Arial" w:cs="Arial"/>
          <w:sz w:val="24"/>
          <w:szCs w:val="24"/>
          <w:lang w:eastAsia="en-GB"/>
        </w:rPr>
        <w:t>Applicant</w:t>
      </w:r>
    </w:p>
    <w:p w14:paraId="32962625" w14:textId="77777777" w:rsidR="00487098" w:rsidRPr="003024B9" w:rsidRDefault="00487098" w:rsidP="00487098">
      <w:pPr>
        <w:tabs>
          <w:tab w:val="right" w:pos="8306"/>
        </w:tabs>
        <w:spacing w:after="0" w:line="360" w:lineRule="auto"/>
        <w:jc w:val="both"/>
        <w:rPr>
          <w:rFonts w:ascii="Arial" w:eastAsia="Times New Roman" w:hAnsi="Arial" w:cs="Arial"/>
          <w:sz w:val="24"/>
          <w:szCs w:val="24"/>
          <w:lang w:eastAsia="en-GB"/>
        </w:rPr>
      </w:pPr>
    </w:p>
    <w:p w14:paraId="45422D70" w14:textId="77777777" w:rsidR="00487098" w:rsidRPr="003024B9" w:rsidRDefault="00487098" w:rsidP="00487098">
      <w:pPr>
        <w:tabs>
          <w:tab w:val="right" w:pos="8306"/>
        </w:tabs>
        <w:spacing w:after="0" w:line="360" w:lineRule="auto"/>
        <w:jc w:val="both"/>
        <w:rPr>
          <w:rFonts w:ascii="Arial" w:eastAsia="Times New Roman" w:hAnsi="Arial" w:cs="Arial"/>
          <w:sz w:val="24"/>
          <w:szCs w:val="24"/>
          <w:lang w:eastAsia="en-GB"/>
        </w:rPr>
      </w:pPr>
      <w:r w:rsidRPr="003024B9">
        <w:rPr>
          <w:rFonts w:ascii="Arial" w:eastAsia="Times New Roman" w:hAnsi="Arial" w:cs="Arial"/>
          <w:sz w:val="24"/>
          <w:szCs w:val="24"/>
          <w:lang w:eastAsia="en-GB"/>
        </w:rPr>
        <w:t>and</w:t>
      </w:r>
    </w:p>
    <w:p w14:paraId="16D5ECEB" w14:textId="77777777" w:rsidR="003B566F" w:rsidRPr="003024B9" w:rsidRDefault="003B566F" w:rsidP="00BE43D0">
      <w:pPr>
        <w:tabs>
          <w:tab w:val="right" w:pos="9180"/>
        </w:tabs>
        <w:spacing w:after="0" w:line="360" w:lineRule="auto"/>
        <w:jc w:val="both"/>
        <w:rPr>
          <w:rFonts w:ascii="Arial" w:eastAsia="Times New Roman" w:hAnsi="Arial" w:cs="Arial"/>
          <w:sz w:val="24"/>
          <w:szCs w:val="24"/>
          <w:lang w:eastAsia="en-GB"/>
        </w:rPr>
      </w:pPr>
    </w:p>
    <w:p w14:paraId="27EEB4EF" w14:textId="77777777" w:rsidR="003B566F" w:rsidRPr="003024B9" w:rsidRDefault="00082869" w:rsidP="003B566F">
      <w:pPr>
        <w:tabs>
          <w:tab w:val="right" w:pos="9180"/>
        </w:tabs>
        <w:spacing w:after="0" w:line="360" w:lineRule="auto"/>
        <w:jc w:val="both"/>
        <w:rPr>
          <w:rFonts w:ascii="Arial" w:eastAsia="Times New Roman" w:hAnsi="Arial" w:cs="Arial"/>
          <w:sz w:val="24"/>
          <w:szCs w:val="24"/>
          <w:lang w:eastAsia="en-GB"/>
        </w:rPr>
      </w:pPr>
      <w:r w:rsidRPr="003024B9">
        <w:rPr>
          <w:rFonts w:ascii="Arial" w:eastAsia="Times New Roman" w:hAnsi="Arial" w:cs="Arial"/>
          <w:b/>
          <w:sz w:val="24"/>
          <w:szCs w:val="24"/>
          <w:lang w:eastAsia="en-GB"/>
        </w:rPr>
        <w:t>THE MINISTER OF SAPS N.O.</w:t>
      </w:r>
      <w:r w:rsidR="003B566F" w:rsidRPr="003024B9">
        <w:rPr>
          <w:rFonts w:ascii="Arial" w:eastAsia="Times New Roman" w:hAnsi="Arial" w:cs="Arial"/>
          <w:sz w:val="24"/>
          <w:szCs w:val="24"/>
          <w:lang w:eastAsia="en-GB"/>
        </w:rPr>
        <w:tab/>
      </w:r>
      <w:r w:rsidR="00487098" w:rsidRPr="003024B9">
        <w:rPr>
          <w:rFonts w:ascii="Arial" w:eastAsia="Times New Roman" w:hAnsi="Arial" w:cs="Arial"/>
          <w:sz w:val="24"/>
          <w:szCs w:val="24"/>
          <w:lang w:eastAsia="en-GB"/>
        </w:rPr>
        <w:t>First Respondent</w:t>
      </w:r>
    </w:p>
    <w:p w14:paraId="0BA00C32" w14:textId="77777777" w:rsidR="004474C6" w:rsidRPr="003024B9" w:rsidRDefault="004474C6" w:rsidP="003B566F">
      <w:pPr>
        <w:tabs>
          <w:tab w:val="right" w:pos="9180"/>
        </w:tabs>
        <w:spacing w:after="0" w:line="360" w:lineRule="auto"/>
        <w:jc w:val="both"/>
        <w:rPr>
          <w:rFonts w:ascii="Arial" w:eastAsia="Times New Roman" w:hAnsi="Arial" w:cs="Arial"/>
          <w:sz w:val="24"/>
          <w:szCs w:val="24"/>
          <w:lang w:eastAsia="en-GB"/>
        </w:rPr>
      </w:pPr>
    </w:p>
    <w:p w14:paraId="160085B3" w14:textId="77777777" w:rsidR="004474C6" w:rsidRPr="003024B9" w:rsidRDefault="00082869" w:rsidP="003B566F">
      <w:pPr>
        <w:tabs>
          <w:tab w:val="right" w:pos="9180"/>
        </w:tabs>
        <w:spacing w:after="0" w:line="360" w:lineRule="auto"/>
        <w:jc w:val="both"/>
        <w:rPr>
          <w:rFonts w:ascii="Arial" w:eastAsia="Times New Roman" w:hAnsi="Arial" w:cs="Arial"/>
          <w:sz w:val="24"/>
          <w:szCs w:val="24"/>
          <w:lang w:eastAsia="en-GB"/>
        </w:rPr>
      </w:pPr>
      <w:r w:rsidRPr="003024B9">
        <w:rPr>
          <w:rFonts w:ascii="Arial" w:eastAsia="Times New Roman" w:hAnsi="Arial" w:cs="Arial"/>
          <w:b/>
          <w:sz w:val="24"/>
          <w:szCs w:val="24"/>
          <w:lang w:eastAsia="en-GB"/>
        </w:rPr>
        <w:t>WARRANT OFFICER MOLELEKOA JERRY HLAPO N.O.</w:t>
      </w:r>
      <w:r w:rsidR="003B566F" w:rsidRPr="003024B9">
        <w:rPr>
          <w:rFonts w:ascii="Arial" w:eastAsia="Times New Roman" w:hAnsi="Arial" w:cs="Arial"/>
          <w:b/>
          <w:sz w:val="24"/>
          <w:szCs w:val="24"/>
          <w:lang w:eastAsia="en-GB"/>
        </w:rPr>
        <w:tab/>
      </w:r>
      <w:r w:rsidR="00487098" w:rsidRPr="003024B9">
        <w:rPr>
          <w:rFonts w:ascii="Arial" w:eastAsia="Times New Roman" w:hAnsi="Arial" w:cs="Arial"/>
          <w:sz w:val="24"/>
          <w:szCs w:val="24"/>
          <w:lang w:eastAsia="en-GB"/>
        </w:rPr>
        <w:t>Second Respondent</w:t>
      </w:r>
    </w:p>
    <w:p w14:paraId="2D15EBF6" w14:textId="77777777" w:rsidR="004474C6" w:rsidRPr="003024B9" w:rsidRDefault="004474C6" w:rsidP="003B566F">
      <w:pPr>
        <w:tabs>
          <w:tab w:val="right" w:pos="9180"/>
        </w:tabs>
        <w:spacing w:after="0" w:line="360" w:lineRule="auto"/>
        <w:jc w:val="both"/>
        <w:rPr>
          <w:rFonts w:ascii="Arial" w:eastAsia="Times New Roman" w:hAnsi="Arial" w:cs="Arial"/>
          <w:sz w:val="24"/>
          <w:szCs w:val="24"/>
          <w:lang w:eastAsia="en-GB"/>
        </w:rPr>
      </w:pPr>
    </w:p>
    <w:p w14:paraId="3D09FE3B" w14:textId="77777777" w:rsidR="0024500F" w:rsidRPr="003024B9" w:rsidRDefault="00082869" w:rsidP="00082869">
      <w:pPr>
        <w:tabs>
          <w:tab w:val="right" w:pos="9180"/>
        </w:tabs>
        <w:spacing w:after="0" w:line="360" w:lineRule="auto"/>
        <w:jc w:val="both"/>
        <w:rPr>
          <w:rFonts w:ascii="Arial" w:hAnsi="Arial" w:cs="Arial"/>
          <w:b/>
          <w:sz w:val="24"/>
          <w:szCs w:val="24"/>
        </w:rPr>
      </w:pPr>
      <w:r w:rsidRPr="003024B9">
        <w:rPr>
          <w:rFonts w:ascii="Arial" w:eastAsia="Times New Roman" w:hAnsi="Arial" w:cs="Arial"/>
          <w:b/>
          <w:sz w:val="24"/>
          <w:szCs w:val="24"/>
          <w:lang w:eastAsia="en-GB"/>
        </w:rPr>
        <w:t>THE MAGISTRATE: PARYS N.O.</w:t>
      </w:r>
      <w:r w:rsidR="00666DA4" w:rsidRPr="003024B9">
        <w:rPr>
          <w:rFonts w:ascii="Arial" w:eastAsia="Times New Roman" w:hAnsi="Arial" w:cs="Arial"/>
          <w:b/>
          <w:sz w:val="24"/>
          <w:szCs w:val="24"/>
          <w:lang w:eastAsia="en-GB"/>
        </w:rPr>
        <w:tab/>
      </w:r>
      <w:r w:rsidR="00666DA4" w:rsidRPr="003024B9">
        <w:rPr>
          <w:rFonts w:ascii="Arial" w:eastAsia="Times New Roman" w:hAnsi="Arial" w:cs="Arial"/>
          <w:sz w:val="24"/>
          <w:szCs w:val="24"/>
          <w:lang w:eastAsia="en-GB"/>
        </w:rPr>
        <w:t>Third Respondent</w:t>
      </w:r>
    </w:p>
    <w:p w14:paraId="436AEA4F" w14:textId="77777777" w:rsidR="004474C6" w:rsidRPr="003024B9" w:rsidRDefault="004474C6" w:rsidP="00BE43D0">
      <w:pPr>
        <w:pBdr>
          <w:bottom w:val="single" w:sz="12" w:space="1" w:color="auto"/>
        </w:pBdr>
        <w:spacing w:after="0" w:line="240" w:lineRule="auto"/>
        <w:jc w:val="both"/>
        <w:rPr>
          <w:rFonts w:ascii="Arial" w:hAnsi="Arial" w:cs="Arial"/>
          <w:b/>
          <w:sz w:val="24"/>
          <w:szCs w:val="24"/>
        </w:rPr>
      </w:pPr>
    </w:p>
    <w:p w14:paraId="77ABC079" w14:textId="77777777" w:rsidR="004474C6" w:rsidRPr="003024B9" w:rsidRDefault="004474C6" w:rsidP="004474C6">
      <w:pPr>
        <w:spacing w:after="0" w:line="240" w:lineRule="auto"/>
        <w:contextualSpacing/>
        <w:jc w:val="both"/>
        <w:rPr>
          <w:rFonts w:ascii="Arial" w:hAnsi="Arial" w:cs="Arial"/>
          <w:b/>
          <w:sz w:val="24"/>
          <w:szCs w:val="24"/>
          <w:u w:val="single"/>
        </w:rPr>
      </w:pPr>
    </w:p>
    <w:p w14:paraId="1303D1C1" w14:textId="77777777" w:rsidR="00F667E3" w:rsidRPr="003024B9" w:rsidRDefault="004474C6" w:rsidP="00BE43D0">
      <w:pPr>
        <w:spacing w:after="0" w:line="240" w:lineRule="auto"/>
        <w:contextualSpacing/>
        <w:jc w:val="both"/>
        <w:rPr>
          <w:rFonts w:ascii="Arial" w:hAnsi="Arial" w:cs="Arial"/>
          <w:b/>
          <w:sz w:val="24"/>
          <w:szCs w:val="24"/>
          <w:u w:val="single"/>
        </w:rPr>
      </w:pPr>
      <w:r w:rsidRPr="003024B9">
        <w:rPr>
          <w:rFonts w:ascii="Arial" w:hAnsi="Arial" w:cs="Arial"/>
          <w:b/>
          <w:sz w:val="24"/>
          <w:szCs w:val="24"/>
          <w:u w:val="single"/>
        </w:rPr>
        <w:t>HEARD ON:</w:t>
      </w:r>
      <w:r w:rsidRPr="003024B9">
        <w:rPr>
          <w:rFonts w:ascii="Arial" w:hAnsi="Arial" w:cs="Arial"/>
          <w:b/>
          <w:sz w:val="24"/>
          <w:szCs w:val="24"/>
        </w:rPr>
        <w:tab/>
      </w:r>
      <w:r w:rsidRPr="003024B9">
        <w:rPr>
          <w:rFonts w:ascii="Arial" w:hAnsi="Arial" w:cs="Arial"/>
          <w:b/>
          <w:sz w:val="24"/>
          <w:szCs w:val="24"/>
        </w:rPr>
        <w:tab/>
      </w:r>
      <w:r w:rsidRPr="003024B9">
        <w:rPr>
          <w:rFonts w:ascii="Arial" w:hAnsi="Arial" w:cs="Arial"/>
          <w:b/>
          <w:sz w:val="24"/>
          <w:szCs w:val="24"/>
        </w:rPr>
        <w:tab/>
      </w:r>
      <w:r w:rsidR="00C148D5" w:rsidRPr="003024B9">
        <w:rPr>
          <w:rFonts w:ascii="Arial" w:eastAsia="Times New Roman" w:hAnsi="Arial" w:cs="Arial"/>
          <w:sz w:val="24"/>
          <w:szCs w:val="24"/>
          <w:lang w:eastAsia="en-GB"/>
        </w:rPr>
        <w:t>22 DECEMBER 2022</w:t>
      </w:r>
    </w:p>
    <w:p w14:paraId="14928CE4" w14:textId="77777777" w:rsidR="0024500F" w:rsidRPr="003024B9" w:rsidRDefault="0024500F" w:rsidP="00BE43D0">
      <w:pPr>
        <w:pBdr>
          <w:bottom w:val="single" w:sz="6" w:space="1" w:color="auto"/>
        </w:pBdr>
        <w:spacing w:after="0" w:line="240" w:lineRule="auto"/>
        <w:contextualSpacing/>
        <w:jc w:val="both"/>
        <w:rPr>
          <w:rFonts w:ascii="Arial" w:hAnsi="Arial" w:cs="Arial"/>
          <w:b/>
          <w:sz w:val="24"/>
          <w:szCs w:val="24"/>
        </w:rPr>
      </w:pPr>
    </w:p>
    <w:p w14:paraId="5533CE02" w14:textId="77777777" w:rsidR="0024500F" w:rsidRPr="003024B9" w:rsidRDefault="0024500F" w:rsidP="00BE43D0">
      <w:pPr>
        <w:spacing w:after="0" w:line="240" w:lineRule="auto"/>
        <w:contextualSpacing/>
        <w:jc w:val="both"/>
        <w:rPr>
          <w:rFonts w:ascii="Arial" w:hAnsi="Arial" w:cs="Arial"/>
          <w:b/>
          <w:sz w:val="24"/>
          <w:szCs w:val="24"/>
        </w:rPr>
      </w:pPr>
    </w:p>
    <w:p w14:paraId="3F7311FF" w14:textId="77777777" w:rsidR="004474C6" w:rsidRPr="003024B9" w:rsidRDefault="004474C6" w:rsidP="004474C6">
      <w:pPr>
        <w:spacing w:after="0" w:line="240" w:lineRule="auto"/>
        <w:contextualSpacing/>
        <w:jc w:val="both"/>
        <w:rPr>
          <w:rFonts w:ascii="Arial" w:hAnsi="Arial" w:cs="Arial"/>
          <w:sz w:val="24"/>
          <w:szCs w:val="24"/>
          <w:u w:val="single"/>
        </w:rPr>
      </w:pPr>
      <w:r w:rsidRPr="003024B9">
        <w:rPr>
          <w:rFonts w:ascii="Arial" w:hAnsi="Arial" w:cs="Arial"/>
          <w:b/>
          <w:sz w:val="24"/>
          <w:szCs w:val="24"/>
          <w:u w:val="single"/>
        </w:rPr>
        <w:t>CORAM:</w:t>
      </w:r>
      <w:r w:rsidRPr="003024B9">
        <w:rPr>
          <w:rFonts w:ascii="Arial" w:hAnsi="Arial" w:cs="Arial"/>
          <w:sz w:val="24"/>
          <w:szCs w:val="24"/>
        </w:rPr>
        <w:tab/>
      </w:r>
      <w:r w:rsidRPr="003024B9">
        <w:rPr>
          <w:rFonts w:ascii="Arial" w:hAnsi="Arial" w:cs="Arial"/>
          <w:sz w:val="24"/>
          <w:szCs w:val="24"/>
        </w:rPr>
        <w:tab/>
      </w:r>
      <w:r w:rsidRPr="003024B9">
        <w:rPr>
          <w:rFonts w:ascii="Arial" w:hAnsi="Arial" w:cs="Arial"/>
          <w:sz w:val="24"/>
          <w:szCs w:val="24"/>
        </w:rPr>
        <w:tab/>
        <w:t>MATHEBULA, J</w:t>
      </w:r>
    </w:p>
    <w:p w14:paraId="3C86335C" w14:textId="77777777" w:rsidR="008448A5" w:rsidRPr="003024B9" w:rsidRDefault="008448A5" w:rsidP="00BE43D0">
      <w:pPr>
        <w:pBdr>
          <w:bottom w:val="single" w:sz="6" w:space="1" w:color="auto"/>
        </w:pBdr>
        <w:spacing w:after="0" w:line="240" w:lineRule="auto"/>
        <w:contextualSpacing/>
        <w:jc w:val="both"/>
        <w:rPr>
          <w:rFonts w:ascii="Arial" w:hAnsi="Arial" w:cs="Arial"/>
          <w:b/>
          <w:sz w:val="24"/>
          <w:szCs w:val="24"/>
        </w:rPr>
      </w:pPr>
    </w:p>
    <w:p w14:paraId="036D3475" w14:textId="77777777" w:rsidR="0024500F" w:rsidRPr="003024B9" w:rsidRDefault="0024500F" w:rsidP="00BE43D0">
      <w:pPr>
        <w:spacing w:after="0" w:line="240" w:lineRule="auto"/>
        <w:contextualSpacing/>
        <w:jc w:val="both"/>
        <w:rPr>
          <w:rFonts w:ascii="Arial" w:hAnsi="Arial" w:cs="Arial"/>
          <w:b/>
          <w:sz w:val="24"/>
          <w:szCs w:val="24"/>
        </w:rPr>
      </w:pPr>
    </w:p>
    <w:p w14:paraId="0F820C6D" w14:textId="54091A62" w:rsidR="0024500F" w:rsidRPr="003024B9" w:rsidRDefault="0024500F" w:rsidP="008448A5">
      <w:pPr>
        <w:tabs>
          <w:tab w:val="left" w:pos="2940"/>
        </w:tabs>
        <w:spacing w:after="0" w:line="240" w:lineRule="auto"/>
        <w:ind w:left="2880" w:hanging="2880"/>
        <w:contextualSpacing/>
        <w:jc w:val="both"/>
        <w:rPr>
          <w:rFonts w:ascii="Arial" w:hAnsi="Arial" w:cs="Arial"/>
          <w:sz w:val="24"/>
          <w:szCs w:val="24"/>
          <w:u w:val="single"/>
        </w:rPr>
      </w:pPr>
      <w:r w:rsidRPr="003024B9">
        <w:rPr>
          <w:rFonts w:ascii="Arial" w:hAnsi="Arial" w:cs="Arial"/>
          <w:b/>
          <w:sz w:val="24"/>
          <w:szCs w:val="24"/>
          <w:u w:val="single"/>
        </w:rPr>
        <w:t>DELIVERED ON:</w:t>
      </w:r>
      <w:r w:rsidR="00832740" w:rsidRPr="003024B9">
        <w:rPr>
          <w:rFonts w:ascii="Arial" w:hAnsi="Arial" w:cs="Arial"/>
          <w:b/>
          <w:sz w:val="24"/>
          <w:szCs w:val="24"/>
        </w:rPr>
        <w:tab/>
      </w:r>
      <w:r w:rsidR="008448A5" w:rsidRPr="003024B9">
        <w:rPr>
          <w:rFonts w:ascii="Arial" w:hAnsi="Arial" w:cs="Arial"/>
          <w:sz w:val="24"/>
          <w:szCs w:val="24"/>
        </w:rPr>
        <w:t>The judgment was handed down electronically by circulation to the parties’ legal representatives by email and relea</w:t>
      </w:r>
      <w:r w:rsidR="00883A30" w:rsidRPr="003024B9">
        <w:rPr>
          <w:rFonts w:ascii="Arial" w:hAnsi="Arial" w:cs="Arial"/>
          <w:sz w:val="24"/>
          <w:szCs w:val="24"/>
        </w:rPr>
        <w:t xml:space="preserve">se to SAFLII on </w:t>
      </w:r>
      <w:r w:rsidR="00DF08D3">
        <w:rPr>
          <w:rFonts w:ascii="Arial" w:hAnsi="Arial" w:cs="Arial"/>
          <w:sz w:val="24"/>
          <w:szCs w:val="24"/>
        </w:rPr>
        <w:t xml:space="preserve">5 </w:t>
      </w:r>
      <w:r w:rsidR="00883A30" w:rsidRPr="003024B9">
        <w:rPr>
          <w:rFonts w:ascii="Arial" w:hAnsi="Arial" w:cs="Arial"/>
          <w:sz w:val="24"/>
          <w:szCs w:val="24"/>
        </w:rPr>
        <w:t>JANUARY 2023</w:t>
      </w:r>
      <w:r w:rsidR="008448A5" w:rsidRPr="003024B9">
        <w:rPr>
          <w:rFonts w:ascii="Arial" w:hAnsi="Arial" w:cs="Arial"/>
          <w:sz w:val="24"/>
          <w:szCs w:val="24"/>
        </w:rPr>
        <w:t>. The date and time for hand-down is dee</w:t>
      </w:r>
      <w:r w:rsidR="008E20C7" w:rsidRPr="003024B9">
        <w:rPr>
          <w:rFonts w:ascii="Arial" w:hAnsi="Arial" w:cs="Arial"/>
          <w:sz w:val="24"/>
          <w:szCs w:val="24"/>
        </w:rPr>
        <w:t>med</w:t>
      </w:r>
      <w:r w:rsidR="00C148D5" w:rsidRPr="003024B9">
        <w:rPr>
          <w:rFonts w:ascii="Arial" w:hAnsi="Arial" w:cs="Arial"/>
          <w:sz w:val="24"/>
          <w:szCs w:val="24"/>
        </w:rPr>
        <w:t xml:space="preserve"> to be </w:t>
      </w:r>
      <w:r w:rsidR="00DF08D3">
        <w:rPr>
          <w:rFonts w:ascii="Arial" w:hAnsi="Arial" w:cs="Arial"/>
          <w:sz w:val="24"/>
          <w:szCs w:val="24"/>
        </w:rPr>
        <w:t>5</w:t>
      </w:r>
      <w:r w:rsidR="00DF08D3" w:rsidRPr="003024B9">
        <w:rPr>
          <w:rFonts w:ascii="Arial" w:hAnsi="Arial" w:cs="Arial"/>
          <w:sz w:val="24"/>
          <w:szCs w:val="24"/>
        </w:rPr>
        <w:t xml:space="preserve"> </w:t>
      </w:r>
      <w:r w:rsidR="00883A30" w:rsidRPr="003024B9">
        <w:rPr>
          <w:rFonts w:ascii="Arial" w:hAnsi="Arial" w:cs="Arial"/>
          <w:sz w:val="24"/>
          <w:szCs w:val="24"/>
        </w:rPr>
        <w:t>JANUARY 2023</w:t>
      </w:r>
      <w:r w:rsidR="00C148D5" w:rsidRPr="003024B9">
        <w:rPr>
          <w:rFonts w:ascii="Arial" w:hAnsi="Arial" w:cs="Arial"/>
          <w:sz w:val="24"/>
          <w:szCs w:val="24"/>
        </w:rPr>
        <w:t xml:space="preserve"> at </w:t>
      </w:r>
      <w:r w:rsidR="00DF08D3">
        <w:rPr>
          <w:rFonts w:ascii="Arial" w:hAnsi="Arial" w:cs="Arial"/>
          <w:sz w:val="24"/>
          <w:szCs w:val="24"/>
        </w:rPr>
        <w:t>14</w:t>
      </w:r>
      <w:r w:rsidR="00C148D5" w:rsidRPr="003024B9">
        <w:rPr>
          <w:rFonts w:ascii="Arial" w:hAnsi="Arial" w:cs="Arial"/>
          <w:sz w:val="24"/>
          <w:szCs w:val="24"/>
        </w:rPr>
        <w:t>H</w:t>
      </w:r>
      <w:r w:rsidR="00DF08D3">
        <w:rPr>
          <w:rFonts w:ascii="Arial" w:hAnsi="Arial" w:cs="Arial"/>
          <w:sz w:val="24"/>
          <w:szCs w:val="24"/>
        </w:rPr>
        <w:t>15</w:t>
      </w:r>
      <w:r w:rsidR="008448A5" w:rsidRPr="003024B9">
        <w:rPr>
          <w:rFonts w:ascii="Arial" w:hAnsi="Arial" w:cs="Arial"/>
          <w:sz w:val="24"/>
          <w:szCs w:val="24"/>
        </w:rPr>
        <w:t>.</w:t>
      </w:r>
    </w:p>
    <w:p w14:paraId="0B23739D" w14:textId="77777777" w:rsidR="0024500F" w:rsidRPr="003024B9" w:rsidRDefault="0024500F" w:rsidP="00BE43D0">
      <w:pPr>
        <w:pBdr>
          <w:bottom w:val="single" w:sz="12" w:space="1" w:color="auto"/>
        </w:pBdr>
        <w:tabs>
          <w:tab w:val="left" w:pos="2940"/>
        </w:tabs>
        <w:spacing w:after="0" w:line="240" w:lineRule="auto"/>
        <w:contextualSpacing/>
        <w:jc w:val="both"/>
        <w:rPr>
          <w:rFonts w:ascii="Arial" w:hAnsi="Arial" w:cs="Arial"/>
          <w:b/>
          <w:sz w:val="24"/>
          <w:szCs w:val="24"/>
        </w:rPr>
      </w:pPr>
    </w:p>
    <w:p w14:paraId="6A17027C" w14:textId="77777777" w:rsidR="008448A5" w:rsidRPr="003024B9" w:rsidRDefault="008448A5" w:rsidP="00BE43D0">
      <w:pPr>
        <w:spacing w:line="360" w:lineRule="auto"/>
        <w:ind w:left="851" w:hanging="851"/>
        <w:contextualSpacing/>
        <w:jc w:val="both"/>
        <w:rPr>
          <w:rFonts w:ascii="Arial" w:eastAsia="Calibri" w:hAnsi="Arial" w:cs="Arial"/>
          <w:b/>
          <w:sz w:val="24"/>
          <w:szCs w:val="24"/>
          <w:u w:val="single"/>
        </w:rPr>
      </w:pPr>
    </w:p>
    <w:p w14:paraId="0FC72E95" w14:textId="5BC83AF8" w:rsidR="00DD3779" w:rsidRPr="003024B9" w:rsidRDefault="001D52C9" w:rsidP="00D776E1">
      <w:pPr>
        <w:spacing w:line="360" w:lineRule="auto"/>
        <w:ind w:left="851" w:hanging="851"/>
        <w:contextualSpacing/>
        <w:jc w:val="both"/>
        <w:rPr>
          <w:rFonts w:ascii="Arial" w:eastAsia="Calibri" w:hAnsi="Arial" w:cs="Arial"/>
          <w:b/>
          <w:sz w:val="24"/>
          <w:szCs w:val="24"/>
        </w:rPr>
      </w:pPr>
      <w:r w:rsidRPr="003024B9">
        <w:rPr>
          <w:rFonts w:ascii="Arial" w:eastAsia="Calibri" w:hAnsi="Arial" w:cs="Arial"/>
          <w:sz w:val="28"/>
          <w:szCs w:val="28"/>
        </w:rPr>
        <w:lastRenderedPageBreak/>
        <w:t>[1</w:t>
      </w:r>
      <w:r w:rsidR="00DB581A" w:rsidRPr="003024B9">
        <w:rPr>
          <w:rFonts w:ascii="Arial" w:eastAsia="Calibri" w:hAnsi="Arial" w:cs="Arial"/>
          <w:sz w:val="28"/>
          <w:szCs w:val="28"/>
        </w:rPr>
        <w:t>]</w:t>
      </w:r>
      <w:r w:rsidR="00DB581A" w:rsidRPr="003024B9">
        <w:rPr>
          <w:rFonts w:ascii="Arial" w:eastAsia="Calibri" w:hAnsi="Arial" w:cs="Arial"/>
          <w:sz w:val="28"/>
          <w:szCs w:val="28"/>
        </w:rPr>
        <w:tab/>
      </w:r>
      <w:r w:rsidR="00D776E1" w:rsidRPr="003024B9">
        <w:rPr>
          <w:rFonts w:ascii="Arial" w:eastAsia="Calibri" w:hAnsi="Arial" w:cs="Arial"/>
          <w:sz w:val="28"/>
          <w:szCs w:val="28"/>
        </w:rPr>
        <w:t>The applicant brought an urgent application to set-aside the search and seizure warrants issued by the third respondent</w:t>
      </w:r>
      <w:r w:rsidR="00883A30" w:rsidRPr="003024B9">
        <w:rPr>
          <w:rFonts w:ascii="Arial" w:eastAsia="Calibri" w:hAnsi="Arial" w:cs="Arial"/>
          <w:sz w:val="28"/>
          <w:szCs w:val="28"/>
        </w:rPr>
        <w:t>. The ancillary relief is t</w:t>
      </w:r>
      <w:r w:rsidR="00D776E1" w:rsidRPr="003024B9">
        <w:rPr>
          <w:rFonts w:ascii="Arial" w:eastAsia="Calibri" w:hAnsi="Arial" w:cs="Arial"/>
          <w:sz w:val="28"/>
          <w:szCs w:val="28"/>
        </w:rPr>
        <w:t>he return of the assets</w:t>
      </w:r>
      <w:r w:rsidR="00DF08D3" w:rsidRPr="00DF08D3">
        <w:rPr>
          <w:rFonts w:ascii="Arial" w:eastAsia="Calibri" w:hAnsi="Arial" w:cs="Arial"/>
          <w:sz w:val="28"/>
          <w:szCs w:val="28"/>
        </w:rPr>
        <w:t xml:space="preserve"> </w:t>
      </w:r>
      <w:r w:rsidR="00DF08D3" w:rsidRPr="003024B9">
        <w:rPr>
          <w:rFonts w:ascii="Arial" w:eastAsia="Calibri" w:hAnsi="Arial" w:cs="Arial"/>
          <w:sz w:val="28"/>
          <w:szCs w:val="28"/>
        </w:rPr>
        <w:t>specifically mentioned in Annexure “A” of the founding papers</w:t>
      </w:r>
      <w:r w:rsidR="00D776E1" w:rsidRPr="003024B9">
        <w:rPr>
          <w:rFonts w:ascii="Arial" w:eastAsia="Calibri" w:hAnsi="Arial" w:cs="Arial"/>
          <w:sz w:val="28"/>
          <w:szCs w:val="28"/>
        </w:rPr>
        <w:t xml:space="preserve"> seized by members of the first respondent</w:t>
      </w:r>
      <w:r w:rsidR="004A6A1C">
        <w:rPr>
          <w:rFonts w:ascii="Arial" w:eastAsia="Calibri" w:hAnsi="Arial" w:cs="Arial"/>
          <w:sz w:val="28"/>
          <w:szCs w:val="28"/>
        </w:rPr>
        <w:t>.</w:t>
      </w:r>
      <w:r w:rsidR="00883A30" w:rsidRPr="003024B9">
        <w:rPr>
          <w:rFonts w:ascii="Arial" w:eastAsia="Calibri" w:hAnsi="Arial" w:cs="Arial"/>
          <w:sz w:val="28"/>
          <w:szCs w:val="28"/>
        </w:rPr>
        <w:t xml:space="preserve"> </w:t>
      </w:r>
      <w:r w:rsidR="00D776E1" w:rsidRPr="003024B9">
        <w:rPr>
          <w:rFonts w:ascii="Arial" w:eastAsia="Calibri" w:hAnsi="Arial" w:cs="Arial"/>
          <w:sz w:val="28"/>
          <w:szCs w:val="28"/>
        </w:rPr>
        <w:t xml:space="preserve">The warrants were </w:t>
      </w:r>
      <w:r w:rsidR="008E6A09" w:rsidRPr="003024B9">
        <w:rPr>
          <w:rFonts w:ascii="Arial" w:eastAsia="Calibri" w:hAnsi="Arial" w:cs="Arial"/>
          <w:sz w:val="28"/>
          <w:szCs w:val="28"/>
        </w:rPr>
        <w:t>issued</w:t>
      </w:r>
      <w:r w:rsidR="00D776E1" w:rsidRPr="003024B9">
        <w:rPr>
          <w:rFonts w:ascii="Arial" w:eastAsia="Calibri" w:hAnsi="Arial" w:cs="Arial"/>
          <w:sz w:val="28"/>
          <w:szCs w:val="28"/>
        </w:rPr>
        <w:t xml:space="preserve"> on 5 December 2022 </w:t>
      </w:r>
      <w:r w:rsidR="008E6A09" w:rsidRPr="003024B9">
        <w:rPr>
          <w:rFonts w:ascii="Arial" w:eastAsia="Calibri" w:hAnsi="Arial" w:cs="Arial"/>
          <w:sz w:val="28"/>
          <w:szCs w:val="28"/>
        </w:rPr>
        <w:t xml:space="preserve">on the strength of the </w:t>
      </w:r>
      <w:r w:rsidR="00D776E1" w:rsidRPr="003024B9">
        <w:rPr>
          <w:rFonts w:ascii="Arial" w:eastAsia="Calibri" w:hAnsi="Arial" w:cs="Arial"/>
          <w:sz w:val="28"/>
          <w:szCs w:val="28"/>
        </w:rPr>
        <w:t>affidavits deposed to by the second respondent</w:t>
      </w:r>
      <w:r w:rsidR="008E6A09" w:rsidRPr="003024B9">
        <w:rPr>
          <w:rFonts w:ascii="Arial" w:eastAsia="Calibri" w:hAnsi="Arial" w:cs="Arial"/>
          <w:sz w:val="28"/>
          <w:szCs w:val="28"/>
        </w:rPr>
        <w:t xml:space="preserve"> also</w:t>
      </w:r>
      <w:r w:rsidR="00D776E1" w:rsidRPr="003024B9">
        <w:rPr>
          <w:rFonts w:ascii="Arial" w:eastAsia="Calibri" w:hAnsi="Arial" w:cs="Arial"/>
          <w:sz w:val="28"/>
          <w:szCs w:val="28"/>
        </w:rPr>
        <w:t xml:space="preserve"> on the same date.</w:t>
      </w:r>
    </w:p>
    <w:p w14:paraId="6752D44E" w14:textId="77777777" w:rsidR="005C44FF" w:rsidRPr="003024B9" w:rsidRDefault="005C44FF" w:rsidP="00BE43D0">
      <w:pPr>
        <w:spacing w:line="360" w:lineRule="auto"/>
        <w:ind w:left="851" w:hanging="851"/>
        <w:contextualSpacing/>
        <w:jc w:val="both"/>
        <w:rPr>
          <w:rFonts w:ascii="Arial" w:eastAsia="Calibri" w:hAnsi="Arial" w:cs="Arial"/>
          <w:sz w:val="24"/>
          <w:szCs w:val="24"/>
        </w:rPr>
      </w:pPr>
    </w:p>
    <w:p w14:paraId="6FA7ADCB" w14:textId="3085686A" w:rsidR="00166E61" w:rsidRPr="003024B9" w:rsidRDefault="001D52C9" w:rsidP="00897A95">
      <w:pPr>
        <w:spacing w:line="360" w:lineRule="auto"/>
        <w:ind w:left="851" w:hanging="851"/>
        <w:contextualSpacing/>
        <w:jc w:val="both"/>
        <w:rPr>
          <w:rFonts w:ascii="Arial" w:eastAsia="Calibri" w:hAnsi="Arial" w:cs="Arial"/>
          <w:sz w:val="28"/>
          <w:szCs w:val="28"/>
        </w:rPr>
      </w:pPr>
      <w:r w:rsidRPr="003024B9">
        <w:rPr>
          <w:rFonts w:ascii="Arial" w:eastAsia="Calibri" w:hAnsi="Arial" w:cs="Arial"/>
          <w:sz w:val="28"/>
          <w:szCs w:val="28"/>
        </w:rPr>
        <w:t xml:space="preserve">[2] </w:t>
      </w:r>
      <w:r w:rsidRPr="003024B9">
        <w:rPr>
          <w:rFonts w:ascii="Arial" w:eastAsia="Calibri" w:hAnsi="Arial" w:cs="Arial"/>
          <w:sz w:val="28"/>
          <w:szCs w:val="28"/>
        </w:rPr>
        <w:tab/>
      </w:r>
      <w:r w:rsidR="00D776E1" w:rsidRPr="003024B9">
        <w:rPr>
          <w:rFonts w:ascii="Arial" w:eastAsia="Calibri" w:hAnsi="Arial" w:cs="Arial"/>
          <w:sz w:val="28"/>
          <w:szCs w:val="28"/>
        </w:rPr>
        <w:t xml:space="preserve">The applicant is the owner of a business </w:t>
      </w:r>
      <w:r w:rsidR="004A6A1C">
        <w:rPr>
          <w:rFonts w:ascii="Arial" w:eastAsia="Calibri" w:hAnsi="Arial" w:cs="Arial"/>
          <w:sz w:val="28"/>
          <w:szCs w:val="28"/>
        </w:rPr>
        <w:t xml:space="preserve">called </w:t>
      </w:r>
      <w:r w:rsidR="00D776E1" w:rsidRPr="003024B9">
        <w:rPr>
          <w:rFonts w:ascii="Arial" w:eastAsia="Calibri" w:hAnsi="Arial" w:cs="Arial"/>
          <w:sz w:val="28"/>
          <w:szCs w:val="28"/>
        </w:rPr>
        <w:t>“Chill Net-Internet Ca</w:t>
      </w:r>
      <w:r w:rsidR="008E6A09" w:rsidRPr="003024B9">
        <w:rPr>
          <w:rFonts w:ascii="Arial" w:eastAsia="Calibri" w:hAnsi="Arial" w:cs="Arial"/>
          <w:sz w:val="28"/>
          <w:szCs w:val="28"/>
        </w:rPr>
        <w:t>f</w:t>
      </w:r>
      <w:r w:rsidR="0073632C" w:rsidRPr="003024B9">
        <w:rPr>
          <w:rFonts w:ascii="Arial" w:eastAsia="Calibri" w:hAnsi="Arial" w:cs="Arial"/>
          <w:sz w:val="28"/>
          <w:szCs w:val="28"/>
        </w:rPr>
        <w:t>é</w:t>
      </w:r>
      <w:r w:rsidR="00D776E1" w:rsidRPr="003024B9">
        <w:rPr>
          <w:rFonts w:ascii="Arial" w:eastAsia="Calibri" w:hAnsi="Arial" w:cs="Arial"/>
          <w:sz w:val="28"/>
          <w:szCs w:val="28"/>
        </w:rPr>
        <w:t>” operating from</w:t>
      </w:r>
      <w:r w:rsidR="008E6A09" w:rsidRPr="003024B9">
        <w:rPr>
          <w:rFonts w:ascii="Arial" w:eastAsia="Calibri" w:hAnsi="Arial" w:cs="Arial"/>
          <w:sz w:val="28"/>
          <w:szCs w:val="28"/>
        </w:rPr>
        <w:t xml:space="preserve"> the address</w:t>
      </w:r>
      <w:r w:rsidR="004A6A1C">
        <w:rPr>
          <w:rFonts w:ascii="Arial" w:eastAsia="Calibri" w:hAnsi="Arial" w:cs="Arial"/>
          <w:sz w:val="28"/>
          <w:szCs w:val="28"/>
        </w:rPr>
        <w:t xml:space="preserve"> known as</w:t>
      </w:r>
      <w:r w:rsidR="00D776E1" w:rsidRPr="003024B9">
        <w:rPr>
          <w:rFonts w:ascii="Arial" w:eastAsia="Calibri" w:hAnsi="Arial" w:cs="Arial"/>
          <w:sz w:val="28"/>
          <w:szCs w:val="28"/>
        </w:rPr>
        <w:t xml:space="preserve"> 2 </w:t>
      </w:r>
      <w:proofErr w:type="spellStart"/>
      <w:r w:rsidR="00D776E1" w:rsidRPr="003024B9">
        <w:rPr>
          <w:rFonts w:ascii="Arial" w:eastAsia="Calibri" w:hAnsi="Arial" w:cs="Arial"/>
          <w:sz w:val="28"/>
          <w:szCs w:val="28"/>
        </w:rPr>
        <w:t>Choppies</w:t>
      </w:r>
      <w:proofErr w:type="spellEnd"/>
      <w:r w:rsidR="00D776E1" w:rsidRPr="003024B9">
        <w:rPr>
          <w:rFonts w:ascii="Arial" w:eastAsia="Calibri" w:hAnsi="Arial" w:cs="Arial"/>
          <w:sz w:val="28"/>
          <w:szCs w:val="28"/>
        </w:rPr>
        <w:t xml:space="preserve"> Building, </w:t>
      </w:r>
      <w:proofErr w:type="spellStart"/>
      <w:r w:rsidR="00D776E1" w:rsidRPr="003024B9">
        <w:rPr>
          <w:rFonts w:ascii="Arial" w:eastAsia="Calibri" w:hAnsi="Arial" w:cs="Arial"/>
          <w:sz w:val="28"/>
          <w:szCs w:val="28"/>
        </w:rPr>
        <w:t>Kruis</w:t>
      </w:r>
      <w:proofErr w:type="spellEnd"/>
      <w:r w:rsidR="00D776E1" w:rsidRPr="003024B9">
        <w:rPr>
          <w:rFonts w:ascii="Arial" w:eastAsia="Calibri" w:hAnsi="Arial" w:cs="Arial"/>
          <w:sz w:val="28"/>
          <w:szCs w:val="28"/>
        </w:rPr>
        <w:t xml:space="preserve"> Street, Parys. The first respondent is cited in his official capacity as the Minister of Safety and Security of the Republic. The second respondent is an employee of the first respondent</w:t>
      </w:r>
      <w:r w:rsidR="008E6A09" w:rsidRPr="003024B9">
        <w:rPr>
          <w:rFonts w:ascii="Arial" w:eastAsia="Calibri" w:hAnsi="Arial" w:cs="Arial"/>
          <w:sz w:val="28"/>
          <w:szCs w:val="28"/>
        </w:rPr>
        <w:t xml:space="preserve"> with the rank of Captain attached to a Direct</w:t>
      </w:r>
      <w:r w:rsidR="008D18DC" w:rsidRPr="003024B9">
        <w:rPr>
          <w:rFonts w:ascii="Arial" w:eastAsia="Calibri" w:hAnsi="Arial" w:cs="Arial"/>
          <w:sz w:val="28"/>
          <w:szCs w:val="28"/>
        </w:rPr>
        <w:t>orate</w:t>
      </w:r>
      <w:r w:rsidR="008E6A09" w:rsidRPr="003024B9">
        <w:rPr>
          <w:rFonts w:ascii="Arial" w:eastAsia="Calibri" w:hAnsi="Arial" w:cs="Arial"/>
          <w:sz w:val="28"/>
          <w:szCs w:val="28"/>
        </w:rPr>
        <w:t xml:space="preserve"> </w:t>
      </w:r>
      <w:r w:rsidR="004A6A1C" w:rsidRPr="003024B9">
        <w:rPr>
          <w:rFonts w:ascii="Arial" w:eastAsia="Calibri" w:hAnsi="Arial" w:cs="Arial"/>
          <w:sz w:val="28"/>
          <w:szCs w:val="28"/>
        </w:rPr>
        <w:t>coll</w:t>
      </w:r>
      <w:r w:rsidR="004A6A1C">
        <w:rPr>
          <w:rFonts w:ascii="Arial" w:eastAsia="Calibri" w:hAnsi="Arial" w:cs="Arial"/>
          <w:sz w:val="28"/>
          <w:szCs w:val="28"/>
        </w:rPr>
        <w:t xml:space="preserve">oquially </w:t>
      </w:r>
      <w:r w:rsidR="008E6A09" w:rsidRPr="003024B9">
        <w:rPr>
          <w:rFonts w:ascii="Arial" w:eastAsia="Calibri" w:hAnsi="Arial" w:cs="Arial"/>
          <w:sz w:val="28"/>
          <w:szCs w:val="28"/>
        </w:rPr>
        <w:t>called</w:t>
      </w:r>
      <w:r w:rsidR="004A6A1C">
        <w:rPr>
          <w:rFonts w:ascii="Arial" w:eastAsia="Calibri" w:hAnsi="Arial" w:cs="Arial"/>
          <w:sz w:val="28"/>
          <w:szCs w:val="28"/>
        </w:rPr>
        <w:t xml:space="preserve"> “Th</w:t>
      </w:r>
      <w:r w:rsidR="008E6A09" w:rsidRPr="003024B9">
        <w:rPr>
          <w:rFonts w:ascii="Arial" w:eastAsia="Calibri" w:hAnsi="Arial" w:cs="Arial"/>
          <w:sz w:val="28"/>
          <w:szCs w:val="28"/>
        </w:rPr>
        <w:t>e Hawks</w:t>
      </w:r>
      <w:r w:rsidR="004A6A1C">
        <w:rPr>
          <w:rFonts w:ascii="Arial" w:eastAsia="Calibri" w:hAnsi="Arial" w:cs="Arial"/>
          <w:sz w:val="28"/>
          <w:szCs w:val="28"/>
        </w:rPr>
        <w:t>”</w:t>
      </w:r>
      <w:r w:rsidR="008E6A09" w:rsidRPr="003024B9">
        <w:rPr>
          <w:rFonts w:ascii="Arial" w:eastAsia="Calibri" w:hAnsi="Arial" w:cs="Arial"/>
          <w:sz w:val="28"/>
          <w:szCs w:val="28"/>
        </w:rPr>
        <w:t xml:space="preserve"> </w:t>
      </w:r>
      <w:r w:rsidR="00D776E1" w:rsidRPr="003024B9">
        <w:rPr>
          <w:rFonts w:ascii="Arial" w:eastAsia="Calibri" w:hAnsi="Arial" w:cs="Arial"/>
          <w:sz w:val="28"/>
          <w:szCs w:val="28"/>
        </w:rPr>
        <w:t>who was acting within the cause and ambit of his employment</w:t>
      </w:r>
      <w:r w:rsidR="004A6A1C">
        <w:rPr>
          <w:rFonts w:ascii="Arial" w:eastAsia="Calibri" w:hAnsi="Arial" w:cs="Arial"/>
          <w:sz w:val="28"/>
          <w:szCs w:val="28"/>
        </w:rPr>
        <w:t xml:space="preserve"> with the first respondent</w:t>
      </w:r>
      <w:r w:rsidR="00D776E1" w:rsidRPr="003024B9">
        <w:rPr>
          <w:rFonts w:ascii="Arial" w:eastAsia="Calibri" w:hAnsi="Arial" w:cs="Arial"/>
          <w:sz w:val="28"/>
          <w:szCs w:val="28"/>
        </w:rPr>
        <w:t>. The third respondent is the Senior Magistrate of the district of Parys. The matter is opposed by the first and second respondent. The third respondent abides. It follows that no order I can make will be against any or all of the respondents in their personal</w:t>
      </w:r>
      <w:r w:rsidR="007134E7" w:rsidRPr="003024B9">
        <w:rPr>
          <w:rFonts w:ascii="Arial" w:eastAsia="Calibri" w:hAnsi="Arial" w:cs="Arial"/>
          <w:sz w:val="28"/>
          <w:szCs w:val="28"/>
        </w:rPr>
        <w:t xml:space="preserve"> capacities.</w:t>
      </w:r>
    </w:p>
    <w:p w14:paraId="0EC32F73" w14:textId="77777777" w:rsidR="00897A95" w:rsidRPr="003024B9" w:rsidRDefault="00897A95" w:rsidP="00897A95">
      <w:pPr>
        <w:spacing w:line="360" w:lineRule="auto"/>
        <w:ind w:left="851" w:hanging="851"/>
        <w:contextualSpacing/>
        <w:jc w:val="both"/>
        <w:rPr>
          <w:rFonts w:ascii="Arial" w:eastAsia="Calibri" w:hAnsi="Arial" w:cs="Arial"/>
          <w:b/>
          <w:sz w:val="28"/>
          <w:szCs w:val="28"/>
        </w:rPr>
      </w:pPr>
    </w:p>
    <w:p w14:paraId="70FFF510" w14:textId="77777777" w:rsidR="00564690" w:rsidRPr="003024B9" w:rsidRDefault="002D32E4" w:rsidP="00EF101B">
      <w:pPr>
        <w:spacing w:line="360" w:lineRule="auto"/>
        <w:ind w:left="851" w:hanging="851"/>
        <w:contextualSpacing/>
        <w:jc w:val="both"/>
        <w:rPr>
          <w:rFonts w:ascii="Arial" w:eastAsia="Calibri" w:hAnsi="Arial" w:cs="Arial"/>
          <w:sz w:val="28"/>
          <w:szCs w:val="28"/>
        </w:rPr>
      </w:pPr>
      <w:r w:rsidRPr="003024B9">
        <w:rPr>
          <w:rFonts w:ascii="Arial" w:eastAsia="Calibri" w:hAnsi="Arial" w:cs="Arial"/>
          <w:sz w:val="28"/>
          <w:szCs w:val="28"/>
        </w:rPr>
        <w:t>[3]</w:t>
      </w:r>
      <w:r w:rsidR="00810E8A" w:rsidRPr="003024B9">
        <w:rPr>
          <w:rFonts w:ascii="Arial" w:eastAsia="Calibri" w:hAnsi="Arial" w:cs="Arial"/>
          <w:sz w:val="28"/>
          <w:szCs w:val="28"/>
        </w:rPr>
        <w:tab/>
      </w:r>
      <w:r w:rsidR="007134E7" w:rsidRPr="003024B9">
        <w:rPr>
          <w:rFonts w:ascii="Arial" w:eastAsia="Calibri" w:hAnsi="Arial" w:cs="Arial"/>
          <w:sz w:val="28"/>
          <w:szCs w:val="28"/>
        </w:rPr>
        <w:t xml:space="preserve">Briefly the facts on which the applicant </w:t>
      </w:r>
      <w:r w:rsidR="00330DD4" w:rsidRPr="003024B9">
        <w:rPr>
          <w:rFonts w:ascii="Arial" w:eastAsia="Calibri" w:hAnsi="Arial" w:cs="Arial"/>
          <w:sz w:val="28"/>
          <w:szCs w:val="28"/>
        </w:rPr>
        <w:t>based his application are as set out in the paragraphs he</w:t>
      </w:r>
      <w:r w:rsidR="0073632C" w:rsidRPr="003024B9">
        <w:rPr>
          <w:rFonts w:ascii="Arial" w:eastAsia="Calibri" w:hAnsi="Arial" w:cs="Arial"/>
          <w:sz w:val="28"/>
          <w:szCs w:val="28"/>
        </w:rPr>
        <w:t xml:space="preserve">reunder. The applicant has been </w:t>
      </w:r>
      <w:r w:rsidR="00330DD4" w:rsidRPr="003024B9">
        <w:rPr>
          <w:rFonts w:ascii="Arial" w:eastAsia="Calibri" w:hAnsi="Arial" w:cs="Arial"/>
          <w:sz w:val="28"/>
          <w:szCs w:val="28"/>
        </w:rPr>
        <w:t>conducting a business from the</w:t>
      </w:r>
      <w:r w:rsidR="0073632C" w:rsidRPr="003024B9">
        <w:rPr>
          <w:rFonts w:ascii="Arial" w:eastAsia="Calibri" w:hAnsi="Arial" w:cs="Arial"/>
          <w:sz w:val="28"/>
          <w:szCs w:val="28"/>
        </w:rPr>
        <w:t xml:space="preserve"> aforementioned </w:t>
      </w:r>
      <w:r w:rsidR="00330DD4" w:rsidRPr="003024B9">
        <w:rPr>
          <w:rFonts w:ascii="Arial" w:eastAsia="Calibri" w:hAnsi="Arial" w:cs="Arial"/>
          <w:sz w:val="28"/>
          <w:szCs w:val="28"/>
        </w:rPr>
        <w:t>premises from 2013.</w:t>
      </w:r>
      <w:r w:rsidR="0073632C" w:rsidRPr="003024B9">
        <w:rPr>
          <w:rFonts w:ascii="Arial" w:eastAsia="Calibri" w:hAnsi="Arial" w:cs="Arial"/>
          <w:sz w:val="28"/>
          <w:szCs w:val="28"/>
        </w:rPr>
        <w:t xml:space="preserve"> The premises are leased from a third party who is not party to the current proceedings. </w:t>
      </w:r>
      <w:r w:rsidR="00330DD4" w:rsidRPr="003024B9">
        <w:rPr>
          <w:rFonts w:ascii="Arial" w:eastAsia="Calibri" w:hAnsi="Arial" w:cs="Arial"/>
          <w:sz w:val="28"/>
          <w:szCs w:val="28"/>
        </w:rPr>
        <w:t xml:space="preserve">According to him, it is an internet café. </w:t>
      </w:r>
      <w:r w:rsidR="0073632C" w:rsidRPr="003024B9">
        <w:rPr>
          <w:rFonts w:ascii="Arial" w:eastAsia="Calibri" w:hAnsi="Arial" w:cs="Arial"/>
          <w:sz w:val="28"/>
          <w:szCs w:val="28"/>
        </w:rPr>
        <w:t xml:space="preserve">The applicant avers that he is the lawful possessor of the assets seized as per the warrants issued by the third respondent. </w:t>
      </w:r>
      <w:r w:rsidR="00330DD4" w:rsidRPr="003024B9">
        <w:rPr>
          <w:rFonts w:ascii="Arial" w:eastAsia="Calibri" w:hAnsi="Arial" w:cs="Arial"/>
          <w:sz w:val="28"/>
          <w:szCs w:val="28"/>
        </w:rPr>
        <w:t xml:space="preserve">The version of the </w:t>
      </w:r>
      <w:r w:rsidR="0073632C" w:rsidRPr="003024B9">
        <w:rPr>
          <w:rFonts w:ascii="Arial" w:eastAsia="Calibri" w:hAnsi="Arial" w:cs="Arial"/>
          <w:sz w:val="28"/>
          <w:szCs w:val="28"/>
        </w:rPr>
        <w:t xml:space="preserve">opposing </w:t>
      </w:r>
      <w:r w:rsidR="00330DD4" w:rsidRPr="003024B9">
        <w:rPr>
          <w:rFonts w:ascii="Arial" w:eastAsia="Calibri" w:hAnsi="Arial" w:cs="Arial"/>
          <w:sz w:val="28"/>
          <w:szCs w:val="28"/>
        </w:rPr>
        <w:t>respondent</w:t>
      </w:r>
      <w:r w:rsidR="0073632C" w:rsidRPr="003024B9">
        <w:rPr>
          <w:rFonts w:ascii="Arial" w:eastAsia="Calibri" w:hAnsi="Arial" w:cs="Arial"/>
          <w:sz w:val="28"/>
          <w:szCs w:val="28"/>
        </w:rPr>
        <w:t>s</w:t>
      </w:r>
      <w:r w:rsidR="00330DD4" w:rsidRPr="003024B9">
        <w:rPr>
          <w:rFonts w:ascii="Arial" w:eastAsia="Calibri" w:hAnsi="Arial" w:cs="Arial"/>
          <w:sz w:val="28"/>
          <w:szCs w:val="28"/>
        </w:rPr>
        <w:t xml:space="preserve"> is that the applicant is engaged in illegal gambling activities.</w:t>
      </w:r>
    </w:p>
    <w:p w14:paraId="2669600C" w14:textId="77777777" w:rsidR="00832740" w:rsidRPr="003024B9" w:rsidRDefault="00832740" w:rsidP="00832740">
      <w:pPr>
        <w:spacing w:line="360" w:lineRule="auto"/>
        <w:ind w:left="851" w:hanging="851"/>
        <w:contextualSpacing/>
        <w:jc w:val="both"/>
        <w:rPr>
          <w:rFonts w:ascii="Arial" w:eastAsia="Calibri" w:hAnsi="Arial" w:cs="Arial"/>
          <w:sz w:val="28"/>
          <w:szCs w:val="28"/>
        </w:rPr>
      </w:pPr>
    </w:p>
    <w:p w14:paraId="3396824E" w14:textId="3F71DCE9" w:rsidR="00D356D5" w:rsidRPr="003024B9" w:rsidRDefault="001D52C9" w:rsidP="00915E05">
      <w:pPr>
        <w:spacing w:line="360" w:lineRule="auto"/>
        <w:ind w:left="851" w:hanging="851"/>
        <w:contextualSpacing/>
        <w:jc w:val="both"/>
        <w:rPr>
          <w:rFonts w:ascii="Arial" w:eastAsia="Times New Roman" w:hAnsi="Arial" w:cs="Arial"/>
          <w:b/>
          <w:sz w:val="28"/>
          <w:szCs w:val="28"/>
        </w:rPr>
      </w:pPr>
      <w:r w:rsidRPr="003024B9">
        <w:rPr>
          <w:rFonts w:ascii="Arial" w:eastAsia="Calibri" w:hAnsi="Arial" w:cs="Arial"/>
          <w:sz w:val="28"/>
          <w:szCs w:val="28"/>
        </w:rPr>
        <w:t>[</w:t>
      </w:r>
      <w:r w:rsidR="002D32E4" w:rsidRPr="003024B9">
        <w:rPr>
          <w:rFonts w:ascii="Arial" w:eastAsia="Calibri" w:hAnsi="Arial" w:cs="Arial"/>
          <w:sz w:val="28"/>
          <w:szCs w:val="28"/>
        </w:rPr>
        <w:t>4</w:t>
      </w:r>
      <w:r w:rsidRPr="003024B9">
        <w:rPr>
          <w:rFonts w:ascii="Arial" w:eastAsia="Calibri" w:hAnsi="Arial" w:cs="Arial"/>
          <w:sz w:val="28"/>
          <w:szCs w:val="28"/>
        </w:rPr>
        <w:t>]</w:t>
      </w:r>
      <w:r w:rsidRPr="003024B9">
        <w:rPr>
          <w:rFonts w:ascii="Arial" w:eastAsia="Calibri" w:hAnsi="Arial" w:cs="Arial"/>
          <w:sz w:val="28"/>
          <w:szCs w:val="28"/>
        </w:rPr>
        <w:tab/>
      </w:r>
      <w:r w:rsidR="00CE1430" w:rsidRPr="003024B9">
        <w:rPr>
          <w:rFonts w:ascii="Arial" w:eastAsia="Calibri" w:hAnsi="Arial" w:cs="Arial"/>
          <w:sz w:val="28"/>
          <w:szCs w:val="28"/>
        </w:rPr>
        <w:t>The</w:t>
      </w:r>
      <w:r w:rsidR="00EF101B" w:rsidRPr="003024B9">
        <w:rPr>
          <w:rFonts w:ascii="Arial" w:eastAsia="Calibri" w:hAnsi="Arial" w:cs="Arial"/>
          <w:sz w:val="28"/>
          <w:szCs w:val="28"/>
        </w:rPr>
        <w:t xml:space="preserve"> </w:t>
      </w:r>
      <w:r w:rsidR="00330DD4" w:rsidRPr="003024B9">
        <w:rPr>
          <w:rFonts w:ascii="Arial" w:eastAsia="Calibri" w:hAnsi="Arial" w:cs="Arial"/>
          <w:sz w:val="28"/>
          <w:szCs w:val="28"/>
        </w:rPr>
        <w:t>third respondent issued two warrants for search and seizure</w:t>
      </w:r>
      <w:r w:rsidR="0073632C" w:rsidRPr="003024B9">
        <w:rPr>
          <w:rFonts w:ascii="Arial" w:eastAsia="Calibri" w:hAnsi="Arial" w:cs="Arial"/>
          <w:sz w:val="28"/>
          <w:szCs w:val="28"/>
        </w:rPr>
        <w:t xml:space="preserve"> of assets belonging to the applicant</w:t>
      </w:r>
      <w:r w:rsidR="00155104" w:rsidRPr="003024B9">
        <w:rPr>
          <w:rFonts w:ascii="Arial" w:eastAsia="Calibri" w:hAnsi="Arial" w:cs="Arial"/>
          <w:sz w:val="28"/>
          <w:szCs w:val="28"/>
        </w:rPr>
        <w:t>.</w:t>
      </w:r>
      <w:r w:rsidR="00330DD4" w:rsidRPr="003024B9">
        <w:rPr>
          <w:rFonts w:ascii="Arial" w:eastAsia="Calibri" w:hAnsi="Arial" w:cs="Arial"/>
          <w:sz w:val="28"/>
          <w:szCs w:val="28"/>
        </w:rPr>
        <w:t xml:space="preserve"> </w:t>
      </w:r>
      <w:r w:rsidR="00155104" w:rsidRPr="003024B9">
        <w:rPr>
          <w:rFonts w:ascii="Arial" w:eastAsia="Calibri" w:hAnsi="Arial" w:cs="Arial"/>
          <w:sz w:val="28"/>
          <w:szCs w:val="28"/>
        </w:rPr>
        <w:t xml:space="preserve">One </w:t>
      </w:r>
      <w:r w:rsidR="0073632C" w:rsidRPr="003024B9">
        <w:rPr>
          <w:rFonts w:ascii="Arial" w:eastAsia="Calibri" w:hAnsi="Arial" w:cs="Arial"/>
          <w:sz w:val="28"/>
          <w:szCs w:val="28"/>
        </w:rPr>
        <w:t xml:space="preserve">warrant </w:t>
      </w:r>
      <w:r w:rsidR="00330DD4" w:rsidRPr="003024B9">
        <w:rPr>
          <w:rFonts w:ascii="Arial" w:eastAsia="Calibri" w:hAnsi="Arial" w:cs="Arial"/>
          <w:sz w:val="28"/>
          <w:szCs w:val="28"/>
        </w:rPr>
        <w:t>was in terms of section 21 of the Criminal Procedure Act 51 of 1977 and the other</w:t>
      </w:r>
      <w:r w:rsidR="0073632C" w:rsidRPr="003024B9">
        <w:rPr>
          <w:rFonts w:ascii="Arial" w:eastAsia="Calibri" w:hAnsi="Arial" w:cs="Arial"/>
          <w:sz w:val="28"/>
          <w:szCs w:val="28"/>
        </w:rPr>
        <w:t xml:space="preserve"> warrant was </w:t>
      </w:r>
      <w:r w:rsidR="00155104" w:rsidRPr="003024B9">
        <w:rPr>
          <w:rFonts w:ascii="Arial" w:eastAsia="Calibri" w:hAnsi="Arial" w:cs="Arial"/>
          <w:sz w:val="28"/>
          <w:szCs w:val="28"/>
        </w:rPr>
        <w:t>in terms of section 29(1)(a) of the Cybercrimes Act 19 of 2020. These warrants were issued on the strength of the affidavit</w:t>
      </w:r>
      <w:r w:rsidR="0073632C" w:rsidRPr="003024B9">
        <w:rPr>
          <w:rFonts w:ascii="Arial" w:eastAsia="Calibri" w:hAnsi="Arial" w:cs="Arial"/>
          <w:sz w:val="28"/>
          <w:szCs w:val="28"/>
        </w:rPr>
        <w:t>s</w:t>
      </w:r>
      <w:r w:rsidR="00155104" w:rsidRPr="003024B9">
        <w:rPr>
          <w:rFonts w:ascii="Arial" w:eastAsia="Calibri" w:hAnsi="Arial" w:cs="Arial"/>
          <w:sz w:val="28"/>
          <w:szCs w:val="28"/>
        </w:rPr>
        <w:t xml:space="preserve"> deposed to by the second respondent.</w:t>
      </w:r>
      <w:r w:rsidR="0073632C" w:rsidRPr="003024B9">
        <w:rPr>
          <w:rFonts w:ascii="Arial" w:eastAsia="Calibri" w:hAnsi="Arial" w:cs="Arial"/>
          <w:sz w:val="28"/>
          <w:szCs w:val="28"/>
        </w:rPr>
        <w:t xml:space="preserve"> The parties are </w:t>
      </w:r>
      <w:r w:rsidR="00B46E13">
        <w:rPr>
          <w:rFonts w:ascii="Arial" w:eastAsia="Calibri" w:hAnsi="Arial" w:cs="Arial"/>
          <w:sz w:val="28"/>
          <w:szCs w:val="28"/>
        </w:rPr>
        <w:t>in agreement</w:t>
      </w:r>
      <w:r w:rsidR="00A95B8F">
        <w:rPr>
          <w:rFonts w:ascii="Arial" w:eastAsia="Calibri" w:hAnsi="Arial" w:cs="Arial"/>
          <w:sz w:val="28"/>
          <w:szCs w:val="28"/>
        </w:rPr>
        <w:t xml:space="preserve"> </w:t>
      </w:r>
      <w:r w:rsidR="0073632C" w:rsidRPr="003024B9">
        <w:rPr>
          <w:rFonts w:ascii="Arial" w:eastAsia="Calibri" w:hAnsi="Arial" w:cs="Arial"/>
          <w:sz w:val="28"/>
          <w:szCs w:val="28"/>
        </w:rPr>
        <w:t>that they were the only documents before the third respondent to consider</w:t>
      </w:r>
      <w:r w:rsidR="004A6A1C">
        <w:rPr>
          <w:rFonts w:ascii="Arial" w:eastAsia="Calibri" w:hAnsi="Arial" w:cs="Arial"/>
          <w:sz w:val="28"/>
          <w:szCs w:val="28"/>
        </w:rPr>
        <w:t xml:space="preserve"> whether to issue the warrants or not</w:t>
      </w:r>
      <w:r w:rsidR="0073632C" w:rsidRPr="003024B9">
        <w:rPr>
          <w:rFonts w:ascii="Arial" w:eastAsia="Calibri" w:hAnsi="Arial" w:cs="Arial"/>
          <w:sz w:val="28"/>
          <w:szCs w:val="28"/>
        </w:rPr>
        <w:t xml:space="preserve">. </w:t>
      </w:r>
      <w:r w:rsidR="00155104" w:rsidRPr="003024B9">
        <w:rPr>
          <w:rFonts w:ascii="Arial" w:eastAsia="Calibri" w:hAnsi="Arial" w:cs="Arial"/>
          <w:sz w:val="28"/>
          <w:szCs w:val="28"/>
        </w:rPr>
        <w:t>In his affidavit</w:t>
      </w:r>
      <w:r w:rsidR="0073632C" w:rsidRPr="003024B9">
        <w:rPr>
          <w:rFonts w:ascii="Arial" w:eastAsia="Calibri" w:hAnsi="Arial" w:cs="Arial"/>
          <w:sz w:val="28"/>
          <w:szCs w:val="28"/>
        </w:rPr>
        <w:t>s</w:t>
      </w:r>
      <w:r w:rsidR="00A95B8F">
        <w:rPr>
          <w:rFonts w:ascii="Arial" w:eastAsia="Calibri" w:hAnsi="Arial" w:cs="Arial"/>
          <w:sz w:val="28"/>
          <w:szCs w:val="28"/>
        </w:rPr>
        <w:t>,</w:t>
      </w:r>
      <w:r w:rsidR="00155104" w:rsidRPr="003024B9">
        <w:rPr>
          <w:rFonts w:ascii="Arial" w:eastAsia="Calibri" w:hAnsi="Arial" w:cs="Arial"/>
          <w:sz w:val="28"/>
          <w:szCs w:val="28"/>
        </w:rPr>
        <w:t xml:space="preserve"> the second respondent set</w:t>
      </w:r>
      <w:r w:rsidR="0073632C" w:rsidRPr="003024B9">
        <w:rPr>
          <w:rFonts w:ascii="Arial" w:eastAsia="Calibri" w:hAnsi="Arial" w:cs="Arial"/>
          <w:sz w:val="28"/>
          <w:szCs w:val="28"/>
        </w:rPr>
        <w:t>s</w:t>
      </w:r>
      <w:r w:rsidR="00155104" w:rsidRPr="003024B9">
        <w:rPr>
          <w:rFonts w:ascii="Arial" w:eastAsia="Calibri" w:hAnsi="Arial" w:cs="Arial"/>
          <w:sz w:val="28"/>
          <w:szCs w:val="28"/>
        </w:rPr>
        <w:t xml:space="preserve"> out the offences that were investigated quoting the relevant sections </w:t>
      </w:r>
      <w:r w:rsidR="003A0646">
        <w:rPr>
          <w:rFonts w:ascii="Arial" w:eastAsia="Calibri" w:hAnsi="Arial" w:cs="Arial"/>
          <w:sz w:val="28"/>
          <w:szCs w:val="28"/>
        </w:rPr>
        <w:t xml:space="preserve">of various Acts </w:t>
      </w:r>
      <w:r w:rsidR="00F57726" w:rsidRPr="003024B9">
        <w:rPr>
          <w:rFonts w:ascii="Arial" w:eastAsia="Calibri" w:hAnsi="Arial" w:cs="Arial"/>
          <w:sz w:val="28"/>
          <w:szCs w:val="28"/>
        </w:rPr>
        <w:t xml:space="preserve">allegedly </w:t>
      </w:r>
      <w:r w:rsidR="00155104" w:rsidRPr="003024B9">
        <w:rPr>
          <w:rFonts w:ascii="Arial" w:eastAsia="Calibri" w:hAnsi="Arial" w:cs="Arial"/>
          <w:sz w:val="28"/>
          <w:szCs w:val="28"/>
        </w:rPr>
        <w:t xml:space="preserve">transgressed by the </w:t>
      </w:r>
      <w:r w:rsidR="00155104" w:rsidRPr="003024B9">
        <w:rPr>
          <w:rFonts w:ascii="Arial" w:eastAsia="Calibri" w:hAnsi="Arial" w:cs="Arial"/>
          <w:sz w:val="28"/>
          <w:szCs w:val="28"/>
        </w:rPr>
        <w:lastRenderedPageBreak/>
        <w:t xml:space="preserve">applicant. He </w:t>
      </w:r>
      <w:r w:rsidR="00F57726" w:rsidRPr="003024B9">
        <w:rPr>
          <w:rFonts w:ascii="Arial" w:eastAsia="Calibri" w:hAnsi="Arial" w:cs="Arial"/>
          <w:sz w:val="28"/>
          <w:szCs w:val="28"/>
        </w:rPr>
        <w:t xml:space="preserve">went further and </w:t>
      </w:r>
      <w:r w:rsidR="00155104" w:rsidRPr="003024B9">
        <w:rPr>
          <w:rFonts w:ascii="Arial" w:eastAsia="Calibri" w:hAnsi="Arial" w:cs="Arial"/>
          <w:sz w:val="28"/>
          <w:szCs w:val="28"/>
        </w:rPr>
        <w:t>stated that the information was also gathered through the use of undercover agents</w:t>
      </w:r>
      <w:r w:rsidR="00F57726" w:rsidRPr="003024B9">
        <w:rPr>
          <w:rFonts w:ascii="Arial" w:eastAsia="Calibri" w:hAnsi="Arial" w:cs="Arial"/>
          <w:sz w:val="28"/>
          <w:szCs w:val="28"/>
        </w:rPr>
        <w:t xml:space="preserve"> who made certain observations and confirm that the applicant is engaged in illegal gambling activities</w:t>
      </w:r>
      <w:r w:rsidR="00155104" w:rsidRPr="003024B9">
        <w:rPr>
          <w:rFonts w:ascii="Arial" w:eastAsia="Calibri" w:hAnsi="Arial" w:cs="Arial"/>
          <w:sz w:val="28"/>
          <w:szCs w:val="28"/>
        </w:rPr>
        <w:t>. Therefore,</w:t>
      </w:r>
      <w:r w:rsidR="003A0646">
        <w:rPr>
          <w:rFonts w:ascii="Arial" w:eastAsia="Calibri" w:hAnsi="Arial" w:cs="Arial"/>
          <w:sz w:val="28"/>
          <w:szCs w:val="28"/>
        </w:rPr>
        <w:t xml:space="preserve"> the inescapable conclusion is that</w:t>
      </w:r>
      <w:r w:rsidR="00155104" w:rsidRPr="003024B9">
        <w:rPr>
          <w:rFonts w:ascii="Arial" w:eastAsia="Calibri" w:hAnsi="Arial" w:cs="Arial"/>
          <w:sz w:val="28"/>
          <w:szCs w:val="28"/>
        </w:rPr>
        <w:t xml:space="preserve"> there is sufficient information</w:t>
      </w:r>
      <w:r w:rsidR="003A0646">
        <w:rPr>
          <w:rFonts w:ascii="Arial" w:eastAsia="Calibri" w:hAnsi="Arial" w:cs="Arial"/>
          <w:sz w:val="28"/>
          <w:szCs w:val="28"/>
        </w:rPr>
        <w:t xml:space="preserve"> on oath that there are </w:t>
      </w:r>
      <w:r w:rsidR="00155104" w:rsidRPr="003024B9">
        <w:rPr>
          <w:rFonts w:ascii="Arial" w:eastAsia="Calibri" w:hAnsi="Arial" w:cs="Arial"/>
          <w:sz w:val="28"/>
          <w:szCs w:val="28"/>
        </w:rPr>
        <w:t>reasonable grounds</w:t>
      </w:r>
      <w:r w:rsidR="003A0646">
        <w:rPr>
          <w:rFonts w:ascii="Arial" w:eastAsia="Calibri" w:hAnsi="Arial" w:cs="Arial"/>
          <w:sz w:val="28"/>
          <w:szCs w:val="28"/>
        </w:rPr>
        <w:t xml:space="preserve"> that the assets involved in the</w:t>
      </w:r>
      <w:r w:rsidR="00155104" w:rsidRPr="003024B9">
        <w:rPr>
          <w:rFonts w:ascii="Arial" w:eastAsia="Calibri" w:hAnsi="Arial" w:cs="Arial"/>
          <w:sz w:val="28"/>
          <w:szCs w:val="28"/>
        </w:rPr>
        <w:t xml:space="preserve"> commission or suspected commission of an offence</w:t>
      </w:r>
      <w:r w:rsidR="003A0646">
        <w:rPr>
          <w:rFonts w:ascii="Arial" w:eastAsia="Calibri" w:hAnsi="Arial" w:cs="Arial"/>
          <w:sz w:val="28"/>
          <w:szCs w:val="28"/>
        </w:rPr>
        <w:t xml:space="preserve"> are</w:t>
      </w:r>
      <w:r w:rsidR="00155104" w:rsidRPr="003024B9">
        <w:rPr>
          <w:rFonts w:ascii="Arial" w:eastAsia="Calibri" w:hAnsi="Arial" w:cs="Arial"/>
          <w:sz w:val="28"/>
          <w:szCs w:val="28"/>
        </w:rPr>
        <w:t xml:space="preserve"> </w:t>
      </w:r>
      <w:r w:rsidR="003A0646">
        <w:rPr>
          <w:rFonts w:ascii="Arial" w:eastAsia="Calibri" w:hAnsi="Arial" w:cs="Arial"/>
          <w:sz w:val="28"/>
          <w:szCs w:val="28"/>
        </w:rPr>
        <w:t>within the jurisdiction of the third respondent.</w:t>
      </w:r>
    </w:p>
    <w:p w14:paraId="3011AAED" w14:textId="13C594DB" w:rsidR="001D52C9" w:rsidRPr="003024B9" w:rsidRDefault="001D52C9" w:rsidP="00BE43D0">
      <w:pPr>
        <w:spacing w:line="360" w:lineRule="auto"/>
        <w:contextualSpacing/>
        <w:jc w:val="both"/>
        <w:rPr>
          <w:rFonts w:ascii="Arial" w:eastAsia="Calibri" w:hAnsi="Arial" w:cs="Arial"/>
          <w:sz w:val="28"/>
          <w:szCs w:val="28"/>
        </w:rPr>
      </w:pPr>
    </w:p>
    <w:p w14:paraId="30D70F9B" w14:textId="77777777" w:rsidR="008A1065" w:rsidRPr="003024B9" w:rsidRDefault="002A6A79" w:rsidP="008A1065">
      <w:pPr>
        <w:spacing w:line="360" w:lineRule="auto"/>
        <w:ind w:left="851" w:hanging="851"/>
        <w:contextualSpacing/>
        <w:jc w:val="both"/>
        <w:rPr>
          <w:rFonts w:ascii="Arial" w:eastAsia="Calibri" w:hAnsi="Arial" w:cs="Arial"/>
          <w:sz w:val="28"/>
          <w:szCs w:val="28"/>
        </w:rPr>
      </w:pPr>
      <w:r w:rsidRPr="003024B9">
        <w:rPr>
          <w:rFonts w:ascii="Arial" w:eastAsia="Calibri" w:hAnsi="Arial" w:cs="Arial"/>
          <w:sz w:val="28"/>
          <w:szCs w:val="28"/>
        </w:rPr>
        <w:t>[</w:t>
      </w:r>
      <w:r w:rsidR="002D32E4" w:rsidRPr="003024B9">
        <w:rPr>
          <w:rFonts w:ascii="Arial" w:eastAsia="Calibri" w:hAnsi="Arial" w:cs="Arial"/>
          <w:sz w:val="28"/>
          <w:szCs w:val="28"/>
        </w:rPr>
        <w:t>5</w:t>
      </w:r>
      <w:r w:rsidR="001D52C9" w:rsidRPr="003024B9">
        <w:rPr>
          <w:rFonts w:ascii="Arial" w:eastAsia="Calibri" w:hAnsi="Arial" w:cs="Arial"/>
          <w:sz w:val="28"/>
          <w:szCs w:val="28"/>
        </w:rPr>
        <w:t>]</w:t>
      </w:r>
      <w:r w:rsidR="001D52C9" w:rsidRPr="003024B9">
        <w:rPr>
          <w:rFonts w:ascii="Arial" w:eastAsia="Calibri" w:hAnsi="Arial" w:cs="Arial"/>
          <w:sz w:val="28"/>
          <w:szCs w:val="28"/>
        </w:rPr>
        <w:tab/>
      </w:r>
      <w:r w:rsidR="00864D9D" w:rsidRPr="003024B9">
        <w:rPr>
          <w:rFonts w:ascii="Arial" w:eastAsia="Calibri" w:hAnsi="Arial" w:cs="Arial"/>
          <w:sz w:val="28"/>
          <w:szCs w:val="28"/>
        </w:rPr>
        <w:t xml:space="preserve">It is </w:t>
      </w:r>
      <w:r w:rsidR="00155104" w:rsidRPr="003024B9">
        <w:rPr>
          <w:rFonts w:ascii="Arial" w:eastAsia="Calibri" w:hAnsi="Arial" w:cs="Arial"/>
          <w:sz w:val="28"/>
          <w:szCs w:val="28"/>
        </w:rPr>
        <w:t>common cause that the warrants were executed on 7 December 2022 and items mentioned in paragraph 36 of the founding affidavit</w:t>
      </w:r>
      <w:r w:rsidR="00F57726" w:rsidRPr="003024B9">
        <w:rPr>
          <w:rFonts w:ascii="Arial" w:eastAsia="Calibri" w:hAnsi="Arial" w:cs="Arial"/>
          <w:sz w:val="28"/>
          <w:szCs w:val="28"/>
        </w:rPr>
        <w:t xml:space="preserve"> were seized</w:t>
      </w:r>
      <w:r w:rsidR="00155104" w:rsidRPr="003024B9">
        <w:rPr>
          <w:rFonts w:ascii="Arial" w:eastAsia="Calibri" w:hAnsi="Arial" w:cs="Arial"/>
          <w:sz w:val="28"/>
          <w:szCs w:val="28"/>
        </w:rPr>
        <w:t xml:space="preserve">. There is no dispute that the applicant was in peaceful and undisturbed possession </w:t>
      </w:r>
      <w:r w:rsidR="00F57726" w:rsidRPr="003024B9">
        <w:rPr>
          <w:rFonts w:ascii="Arial" w:eastAsia="Calibri" w:hAnsi="Arial" w:cs="Arial"/>
          <w:sz w:val="28"/>
          <w:szCs w:val="28"/>
        </w:rPr>
        <w:t>thereof.</w:t>
      </w:r>
    </w:p>
    <w:p w14:paraId="457E680D" w14:textId="77777777" w:rsidR="003B74C4" w:rsidRPr="003024B9" w:rsidRDefault="003B74C4" w:rsidP="003B74C4">
      <w:pPr>
        <w:spacing w:line="360" w:lineRule="auto"/>
        <w:ind w:left="851" w:hanging="851"/>
        <w:contextualSpacing/>
        <w:jc w:val="both"/>
        <w:rPr>
          <w:rFonts w:ascii="Arial" w:eastAsia="Calibri" w:hAnsi="Arial" w:cs="Arial"/>
          <w:sz w:val="28"/>
          <w:szCs w:val="28"/>
        </w:rPr>
      </w:pPr>
    </w:p>
    <w:p w14:paraId="0CD48EC8" w14:textId="77777777" w:rsidR="003A0646" w:rsidRDefault="002A6A79" w:rsidP="00600BEE">
      <w:pPr>
        <w:spacing w:line="360" w:lineRule="auto"/>
        <w:ind w:left="851" w:hanging="851"/>
        <w:contextualSpacing/>
        <w:jc w:val="both"/>
        <w:rPr>
          <w:rFonts w:ascii="Arial" w:eastAsia="Calibri" w:hAnsi="Arial" w:cs="Arial"/>
          <w:sz w:val="28"/>
          <w:szCs w:val="28"/>
        </w:rPr>
      </w:pPr>
      <w:r w:rsidRPr="003024B9">
        <w:rPr>
          <w:rFonts w:ascii="Arial" w:eastAsia="Calibri" w:hAnsi="Arial" w:cs="Arial"/>
          <w:sz w:val="28"/>
          <w:szCs w:val="28"/>
        </w:rPr>
        <w:t>[</w:t>
      </w:r>
      <w:r w:rsidR="002D32E4" w:rsidRPr="003024B9">
        <w:rPr>
          <w:rFonts w:ascii="Arial" w:eastAsia="Calibri" w:hAnsi="Arial" w:cs="Arial"/>
          <w:sz w:val="28"/>
          <w:szCs w:val="28"/>
        </w:rPr>
        <w:t>6</w:t>
      </w:r>
      <w:r w:rsidR="001D52C9" w:rsidRPr="003024B9">
        <w:rPr>
          <w:rFonts w:ascii="Arial" w:eastAsia="Calibri" w:hAnsi="Arial" w:cs="Arial"/>
          <w:sz w:val="28"/>
          <w:szCs w:val="28"/>
        </w:rPr>
        <w:t>]</w:t>
      </w:r>
      <w:r w:rsidR="00F57726" w:rsidRPr="003024B9">
        <w:rPr>
          <w:rFonts w:ascii="Arial" w:eastAsia="Calibri" w:hAnsi="Arial" w:cs="Arial"/>
          <w:sz w:val="28"/>
          <w:szCs w:val="28"/>
        </w:rPr>
        <w:tab/>
        <w:t xml:space="preserve">I pause to mention that </w:t>
      </w:r>
      <w:r w:rsidR="003A0646">
        <w:rPr>
          <w:rFonts w:ascii="Arial" w:eastAsia="Calibri" w:hAnsi="Arial" w:cs="Arial"/>
          <w:sz w:val="28"/>
          <w:szCs w:val="28"/>
        </w:rPr>
        <w:t xml:space="preserve">the question </w:t>
      </w:r>
      <w:r w:rsidR="00F57726" w:rsidRPr="003024B9">
        <w:rPr>
          <w:rFonts w:ascii="Arial" w:eastAsia="Calibri" w:hAnsi="Arial" w:cs="Arial"/>
          <w:sz w:val="28"/>
          <w:szCs w:val="28"/>
        </w:rPr>
        <w:t xml:space="preserve">whether the matter is urgent or not is no longer a contested terrain between the parties. I agreed with them that there are no grounds for urgency. </w:t>
      </w:r>
    </w:p>
    <w:p w14:paraId="40F3829A" w14:textId="77777777" w:rsidR="003A0646" w:rsidRDefault="003A0646" w:rsidP="00600BEE">
      <w:pPr>
        <w:spacing w:line="360" w:lineRule="auto"/>
        <w:ind w:left="851" w:hanging="851"/>
        <w:contextualSpacing/>
        <w:jc w:val="both"/>
        <w:rPr>
          <w:rFonts w:ascii="Arial" w:eastAsia="Calibri" w:hAnsi="Arial" w:cs="Arial"/>
          <w:sz w:val="28"/>
          <w:szCs w:val="28"/>
        </w:rPr>
      </w:pPr>
    </w:p>
    <w:p w14:paraId="1D6AA426" w14:textId="58E6205E" w:rsidR="00744FEF" w:rsidRPr="003024B9" w:rsidRDefault="003A0646" w:rsidP="00600BEE">
      <w:pPr>
        <w:spacing w:line="360" w:lineRule="auto"/>
        <w:ind w:left="851" w:hanging="851"/>
        <w:contextualSpacing/>
        <w:jc w:val="both"/>
        <w:rPr>
          <w:rFonts w:ascii="Arial" w:eastAsia="Calibri" w:hAnsi="Arial" w:cs="Arial"/>
          <w:sz w:val="28"/>
          <w:szCs w:val="28"/>
        </w:rPr>
      </w:pPr>
      <w:r>
        <w:rPr>
          <w:rFonts w:ascii="Arial" w:eastAsia="Calibri" w:hAnsi="Arial" w:cs="Arial"/>
          <w:sz w:val="28"/>
          <w:szCs w:val="28"/>
        </w:rPr>
        <w:t>[7]</w:t>
      </w:r>
      <w:r>
        <w:rPr>
          <w:rFonts w:ascii="Arial" w:eastAsia="Calibri" w:hAnsi="Arial" w:cs="Arial"/>
          <w:sz w:val="28"/>
          <w:szCs w:val="28"/>
        </w:rPr>
        <w:tab/>
      </w:r>
      <w:r w:rsidR="0083258B" w:rsidRPr="003024B9">
        <w:rPr>
          <w:rFonts w:ascii="Arial" w:eastAsia="Calibri" w:hAnsi="Arial" w:cs="Arial"/>
          <w:sz w:val="28"/>
          <w:szCs w:val="28"/>
        </w:rPr>
        <w:t xml:space="preserve">The applicants </w:t>
      </w:r>
      <w:r w:rsidR="00046365" w:rsidRPr="003024B9">
        <w:rPr>
          <w:rFonts w:ascii="Arial" w:eastAsia="Calibri" w:hAnsi="Arial" w:cs="Arial"/>
          <w:sz w:val="28"/>
          <w:szCs w:val="28"/>
        </w:rPr>
        <w:t>relied on four (4) grounds in support of the application. They are as follows: -</w:t>
      </w:r>
    </w:p>
    <w:p w14:paraId="1F280F16" w14:textId="77777777" w:rsidR="00855D6C" w:rsidRPr="003024B9" w:rsidRDefault="00046365" w:rsidP="00855D6C">
      <w:pPr>
        <w:spacing w:line="360" w:lineRule="auto"/>
        <w:ind w:left="2160" w:right="1254" w:hanging="720"/>
        <w:contextualSpacing/>
        <w:jc w:val="both"/>
        <w:rPr>
          <w:rFonts w:ascii="Arial" w:eastAsia="Calibri" w:hAnsi="Arial" w:cs="Arial"/>
          <w:b/>
          <w:sz w:val="24"/>
          <w:szCs w:val="24"/>
        </w:rPr>
      </w:pPr>
      <w:r w:rsidRPr="003024B9">
        <w:rPr>
          <w:rFonts w:ascii="Arial" w:eastAsia="Calibri" w:hAnsi="Arial" w:cs="Arial"/>
          <w:b/>
          <w:sz w:val="24"/>
          <w:szCs w:val="24"/>
        </w:rPr>
        <w:t>1.</w:t>
      </w:r>
      <w:r w:rsidRPr="003024B9">
        <w:rPr>
          <w:rFonts w:ascii="Arial" w:eastAsia="Calibri" w:hAnsi="Arial" w:cs="Arial"/>
          <w:b/>
          <w:sz w:val="24"/>
          <w:szCs w:val="24"/>
        </w:rPr>
        <w:tab/>
        <w:t xml:space="preserve">The third respondent did not apply her mind when he issued the warrant and failed to appreciate the provisions of the Criminal Procedure Act 51 of 1977 that governs the authorisation of warrants. The point raised is </w:t>
      </w:r>
      <w:r w:rsidR="00855D6C" w:rsidRPr="003024B9">
        <w:rPr>
          <w:rFonts w:ascii="Arial" w:eastAsia="Calibri" w:hAnsi="Arial" w:cs="Arial"/>
          <w:b/>
          <w:sz w:val="24"/>
          <w:szCs w:val="24"/>
        </w:rPr>
        <w:t>that the third respondent failed to appreciate the legal principles underlying the issuing of a valid warrant.</w:t>
      </w:r>
    </w:p>
    <w:p w14:paraId="5ED78B31" w14:textId="77777777" w:rsidR="00855D6C" w:rsidRPr="003024B9" w:rsidRDefault="00855D6C" w:rsidP="00855D6C">
      <w:pPr>
        <w:spacing w:line="360" w:lineRule="auto"/>
        <w:ind w:left="2160" w:right="1254" w:hanging="720"/>
        <w:contextualSpacing/>
        <w:jc w:val="both"/>
        <w:rPr>
          <w:rFonts w:ascii="Arial" w:eastAsia="Calibri" w:hAnsi="Arial" w:cs="Arial"/>
          <w:b/>
          <w:sz w:val="24"/>
          <w:szCs w:val="24"/>
        </w:rPr>
      </w:pPr>
      <w:r w:rsidRPr="003024B9">
        <w:rPr>
          <w:rFonts w:ascii="Arial" w:eastAsia="Calibri" w:hAnsi="Arial" w:cs="Arial"/>
          <w:b/>
          <w:sz w:val="24"/>
          <w:szCs w:val="24"/>
        </w:rPr>
        <w:t>2.</w:t>
      </w:r>
      <w:r w:rsidRPr="003024B9">
        <w:rPr>
          <w:rFonts w:ascii="Arial" w:eastAsia="Calibri" w:hAnsi="Arial" w:cs="Arial"/>
          <w:b/>
          <w:sz w:val="24"/>
          <w:szCs w:val="24"/>
        </w:rPr>
        <w:tab/>
        <w:t>The warrants suffer from over broadness and does not comply with the intelligibility principle.</w:t>
      </w:r>
    </w:p>
    <w:p w14:paraId="0E03CC97" w14:textId="77777777" w:rsidR="00855D6C" w:rsidRPr="003024B9" w:rsidRDefault="00855D6C" w:rsidP="00855D6C">
      <w:pPr>
        <w:spacing w:line="360" w:lineRule="auto"/>
        <w:ind w:left="2160" w:right="1254" w:hanging="720"/>
        <w:contextualSpacing/>
        <w:jc w:val="both"/>
        <w:rPr>
          <w:rFonts w:ascii="Arial" w:eastAsia="Calibri" w:hAnsi="Arial" w:cs="Arial"/>
          <w:b/>
          <w:sz w:val="24"/>
          <w:szCs w:val="24"/>
        </w:rPr>
      </w:pPr>
      <w:r w:rsidRPr="003024B9">
        <w:rPr>
          <w:rFonts w:ascii="Arial" w:eastAsia="Calibri" w:hAnsi="Arial" w:cs="Arial"/>
          <w:b/>
          <w:sz w:val="24"/>
          <w:szCs w:val="24"/>
        </w:rPr>
        <w:t>3.</w:t>
      </w:r>
      <w:r w:rsidRPr="003024B9">
        <w:rPr>
          <w:rFonts w:ascii="Arial" w:eastAsia="Calibri" w:hAnsi="Arial" w:cs="Arial"/>
          <w:b/>
          <w:sz w:val="24"/>
          <w:szCs w:val="24"/>
        </w:rPr>
        <w:tab/>
        <w:t>The information relied upon</w:t>
      </w:r>
      <w:r w:rsidR="00F57726" w:rsidRPr="003024B9">
        <w:rPr>
          <w:rFonts w:ascii="Arial" w:eastAsia="Calibri" w:hAnsi="Arial" w:cs="Arial"/>
          <w:b/>
          <w:sz w:val="24"/>
          <w:szCs w:val="24"/>
        </w:rPr>
        <w:t xml:space="preserve"> contained in the affidavits of the second respondent</w:t>
      </w:r>
      <w:r w:rsidRPr="003024B9">
        <w:rPr>
          <w:rFonts w:ascii="Arial" w:eastAsia="Calibri" w:hAnsi="Arial" w:cs="Arial"/>
          <w:b/>
          <w:sz w:val="24"/>
          <w:szCs w:val="24"/>
        </w:rPr>
        <w:t xml:space="preserve"> could not be accepted as establishing a reasonable suspicion.</w:t>
      </w:r>
    </w:p>
    <w:p w14:paraId="42CC8503" w14:textId="77777777" w:rsidR="00855D6C" w:rsidRPr="003024B9" w:rsidRDefault="00855D6C" w:rsidP="00855D6C">
      <w:pPr>
        <w:spacing w:line="360" w:lineRule="auto"/>
        <w:ind w:left="2160" w:right="1254" w:hanging="720"/>
        <w:contextualSpacing/>
        <w:jc w:val="both"/>
        <w:rPr>
          <w:rFonts w:ascii="Arial" w:eastAsia="Calibri" w:hAnsi="Arial" w:cs="Arial"/>
          <w:b/>
          <w:sz w:val="24"/>
          <w:szCs w:val="24"/>
        </w:rPr>
      </w:pPr>
      <w:r w:rsidRPr="003024B9">
        <w:rPr>
          <w:rFonts w:ascii="Arial" w:eastAsia="Calibri" w:hAnsi="Arial" w:cs="Arial"/>
          <w:b/>
          <w:sz w:val="24"/>
          <w:szCs w:val="24"/>
        </w:rPr>
        <w:t>4.</w:t>
      </w:r>
      <w:r w:rsidRPr="003024B9">
        <w:rPr>
          <w:rFonts w:ascii="Arial" w:eastAsia="Calibri" w:hAnsi="Arial" w:cs="Arial"/>
          <w:b/>
          <w:sz w:val="24"/>
          <w:szCs w:val="24"/>
        </w:rPr>
        <w:tab/>
        <w:t>The information placed before the third respondent was not obtained in a lawful manner.</w:t>
      </w:r>
    </w:p>
    <w:p w14:paraId="3B179ADC" w14:textId="77777777" w:rsidR="00744FEF" w:rsidRPr="003024B9" w:rsidRDefault="00744FEF" w:rsidP="00600BEE">
      <w:pPr>
        <w:spacing w:line="360" w:lineRule="auto"/>
        <w:ind w:left="851" w:hanging="851"/>
        <w:contextualSpacing/>
        <w:jc w:val="both"/>
        <w:rPr>
          <w:rFonts w:ascii="Arial" w:eastAsia="Calibri" w:hAnsi="Arial" w:cs="Arial"/>
          <w:sz w:val="28"/>
          <w:szCs w:val="28"/>
        </w:rPr>
      </w:pPr>
    </w:p>
    <w:p w14:paraId="139CAA70" w14:textId="76EAD309" w:rsidR="00744FEF" w:rsidRPr="003024B9" w:rsidRDefault="00744FEF" w:rsidP="00744FEF">
      <w:pPr>
        <w:spacing w:line="360" w:lineRule="auto"/>
        <w:ind w:left="851" w:hanging="851"/>
        <w:contextualSpacing/>
        <w:jc w:val="both"/>
        <w:rPr>
          <w:rFonts w:ascii="Arial" w:eastAsia="Calibri" w:hAnsi="Arial" w:cs="Arial"/>
          <w:sz w:val="28"/>
          <w:szCs w:val="28"/>
        </w:rPr>
      </w:pPr>
      <w:r w:rsidRPr="003024B9">
        <w:rPr>
          <w:rFonts w:ascii="Arial" w:eastAsia="Calibri" w:hAnsi="Arial" w:cs="Arial"/>
          <w:sz w:val="28"/>
          <w:szCs w:val="28"/>
        </w:rPr>
        <w:t xml:space="preserve"> </w:t>
      </w:r>
      <w:r w:rsidRPr="003024B9">
        <w:rPr>
          <w:rFonts w:ascii="Arial" w:eastAsia="Calibri" w:hAnsi="Arial" w:cs="Arial"/>
          <w:sz w:val="28"/>
          <w:szCs w:val="28"/>
        </w:rPr>
        <w:tab/>
      </w:r>
      <w:r w:rsidR="00855D6C" w:rsidRPr="003024B9">
        <w:rPr>
          <w:rFonts w:ascii="Arial" w:eastAsia="Calibri" w:hAnsi="Arial" w:cs="Arial"/>
          <w:sz w:val="28"/>
          <w:szCs w:val="28"/>
        </w:rPr>
        <w:t xml:space="preserve">On these grounds the applicant </w:t>
      </w:r>
      <w:r w:rsidR="003A0646" w:rsidRPr="003024B9">
        <w:rPr>
          <w:rFonts w:ascii="Arial" w:eastAsia="Calibri" w:hAnsi="Arial" w:cs="Arial"/>
          <w:sz w:val="28"/>
          <w:szCs w:val="28"/>
        </w:rPr>
        <w:t>contend</w:t>
      </w:r>
      <w:r w:rsidR="003A0646">
        <w:rPr>
          <w:rFonts w:ascii="Arial" w:eastAsia="Calibri" w:hAnsi="Arial" w:cs="Arial"/>
          <w:sz w:val="28"/>
          <w:szCs w:val="28"/>
        </w:rPr>
        <w:t>ed</w:t>
      </w:r>
      <w:r w:rsidR="003A0646" w:rsidRPr="003024B9">
        <w:rPr>
          <w:rFonts w:ascii="Arial" w:eastAsia="Calibri" w:hAnsi="Arial" w:cs="Arial"/>
          <w:sz w:val="28"/>
          <w:szCs w:val="28"/>
        </w:rPr>
        <w:t xml:space="preserve"> </w:t>
      </w:r>
      <w:r w:rsidR="00855D6C" w:rsidRPr="003024B9">
        <w:rPr>
          <w:rFonts w:ascii="Arial" w:eastAsia="Calibri" w:hAnsi="Arial" w:cs="Arial"/>
          <w:sz w:val="28"/>
          <w:szCs w:val="28"/>
        </w:rPr>
        <w:t xml:space="preserve">that the warrants are bad in law and susceptible to be set-aside. Therefore, </w:t>
      </w:r>
      <w:r w:rsidR="00B851BF" w:rsidRPr="003024B9">
        <w:rPr>
          <w:rFonts w:ascii="Arial" w:eastAsia="Calibri" w:hAnsi="Arial" w:cs="Arial"/>
          <w:sz w:val="28"/>
          <w:szCs w:val="28"/>
        </w:rPr>
        <w:t>should that eventuate</w:t>
      </w:r>
      <w:r w:rsidR="00C9478C" w:rsidRPr="003024B9">
        <w:rPr>
          <w:rFonts w:ascii="Arial" w:eastAsia="Calibri" w:hAnsi="Arial" w:cs="Arial"/>
          <w:sz w:val="28"/>
          <w:szCs w:val="28"/>
        </w:rPr>
        <w:t>,</w:t>
      </w:r>
      <w:r w:rsidR="00B851BF" w:rsidRPr="003024B9">
        <w:rPr>
          <w:rFonts w:ascii="Arial" w:eastAsia="Calibri" w:hAnsi="Arial" w:cs="Arial"/>
          <w:sz w:val="28"/>
          <w:szCs w:val="28"/>
        </w:rPr>
        <w:t xml:space="preserve"> </w:t>
      </w:r>
      <w:r w:rsidR="00855D6C" w:rsidRPr="003024B9">
        <w:rPr>
          <w:rFonts w:ascii="Arial" w:eastAsia="Calibri" w:hAnsi="Arial" w:cs="Arial"/>
          <w:sz w:val="28"/>
          <w:szCs w:val="28"/>
        </w:rPr>
        <w:t xml:space="preserve">possession of the seized </w:t>
      </w:r>
      <w:r w:rsidR="00B851BF" w:rsidRPr="003024B9">
        <w:rPr>
          <w:rFonts w:ascii="Arial" w:eastAsia="Calibri" w:hAnsi="Arial" w:cs="Arial"/>
          <w:sz w:val="28"/>
          <w:szCs w:val="28"/>
        </w:rPr>
        <w:t>assets must</w:t>
      </w:r>
      <w:r w:rsidR="00855D6C" w:rsidRPr="003024B9">
        <w:rPr>
          <w:rFonts w:ascii="Arial" w:eastAsia="Calibri" w:hAnsi="Arial" w:cs="Arial"/>
          <w:sz w:val="28"/>
          <w:szCs w:val="28"/>
        </w:rPr>
        <w:t xml:space="preserve"> be restored to him.</w:t>
      </w:r>
    </w:p>
    <w:p w14:paraId="7C434D38" w14:textId="77777777" w:rsidR="00744FEF" w:rsidRPr="003024B9" w:rsidRDefault="00744FEF" w:rsidP="00744FEF">
      <w:pPr>
        <w:spacing w:line="360" w:lineRule="auto"/>
        <w:ind w:left="851" w:hanging="851"/>
        <w:contextualSpacing/>
        <w:jc w:val="both"/>
        <w:rPr>
          <w:rFonts w:ascii="Arial" w:eastAsia="Calibri" w:hAnsi="Arial" w:cs="Arial"/>
          <w:sz w:val="28"/>
          <w:szCs w:val="28"/>
        </w:rPr>
      </w:pPr>
    </w:p>
    <w:p w14:paraId="3CF668F0" w14:textId="45A3DABB" w:rsidR="00600BEE" w:rsidRPr="0027145E" w:rsidRDefault="00615859" w:rsidP="00600BEE">
      <w:pPr>
        <w:spacing w:line="360" w:lineRule="auto"/>
        <w:ind w:left="851" w:hanging="851"/>
        <w:contextualSpacing/>
        <w:jc w:val="both"/>
        <w:rPr>
          <w:rFonts w:ascii="Arial" w:eastAsia="Calibri" w:hAnsi="Arial" w:cs="Arial"/>
          <w:sz w:val="28"/>
          <w:szCs w:val="28"/>
        </w:rPr>
      </w:pPr>
      <w:r w:rsidRPr="003024B9">
        <w:rPr>
          <w:rFonts w:ascii="Arial" w:eastAsia="Calibri" w:hAnsi="Arial" w:cs="Arial"/>
          <w:sz w:val="28"/>
          <w:szCs w:val="28"/>
        </w:rPr>
        <w:lastRenderedPageBreak/>
        <w:t>[</w:t>
      </w:r>
      <w:r w:rsidR="0027145E">
        <w:rPr>
          <w:rFonts w:ascii="Arial" w:eastAsia="Calibri" w:hAnsi="Arial" w:cs="Arial"/>
          <w:sz w:val="28"/>
          <w:szCs w:val="28"/>
        </w:rPr>
        <w:t>8</w:t>
      </w:r>
      <w:r w:rsidR="001E75E8" w:rsidRPr="003024B9">
        <w:rPr>
          <w:rFonts w:ascii="Arial" w:eastAsia="Calibri" w:hAnsi="Arial" w:cs="Arial"/>
          <w:sz w:val="28"/>
          <w:szCs w:val="28"/>
        </w:rPr>
        <w:t>]</w:t>
      </w:r>
      <w:r w:rsidR="001E75E8" w:rsidRPr="003024B9">
        <w:rPr>
          <w:rFonts w:ascii="Arial" w:eastAsia="Calibri" w:hAnsi="Arial" w:cs="Arial"/>
          <w:sz w:val="28"/>
          <w:szCs w:val="28"/>
        </w:rPr>
        <w:tab/>
      </w:r>
      <w:r w:rsidRPr="003024B9">
        <w:rPr>
          <w:rFonts w:ascii="Arial" w:eastAsia="Calibri" w:hAnsi="Arial" w:cs="Arial"/>
          <w:sz w:val="28"/>
          <w:szCs w:val="28"/>
        </w:rPr>
        <w:t>It is useful to deal</w:t>
      </w:r>
      <w:r w:rsidR="00DE4D66">
        <w:rPr>
          <w:rFonts w:ascii="Arial" w:eastAsia="Calibri" w:hAnsi="Arial" w:cs="Arial"/>
          <w:sz w:val="28"/>
          <w:szCs w:val="28"/>
        </w:rPr>
        <w:t>,</w:t>
      </w:r>
      <w:r w:rsidRPr="003024B9">
        <w:rPr>
          <w:rFonts w:ascii="Arial" w:eastAsia="Calibri" w:hAnsi="Arial" w:cs="Arial"/>
          <w:sz w:val="28"/>
          <w:szCs w:val="28"/>
        </w:rPr>
        <w:t xml:space="preserve"> to some great length with all the arguments raised by both counsel primarily</w:t>
      </w:r>
      <w:r w:rsidR="00B851BF" w:rsidRPr="003024B9">
        <w:rPr>
          <w:rFonts w:ascii="Arial" w:eastAsia="Calibri" w:hAnsi="Arial" w:cs="Arial"/>
          <w:sz w:val="28"/>
          <w:szCs w:val="28"/>
        </w:rPr>
        <w:t xml:space="preserve"> because</w:t>
      </w:r>
      <w:r w:rsidRPr="003024B9">
        <w:rPr>
          <w:rFonts w:ascii="Arial" w:eastAsia="Calibri" w:hAnsi="Arial" w:cs="Arial"/>
          <w:sz w:val="28"/>
          <w:szCs w:val="28"/>
        </w:rPr>
        <w:t xml:space="preserve"> of the order I intend to make. Mr </w:t>
      </w:r>
      <w:proofErr w:type="spellStart"/>
      <w:r w:rsidRPr="003024B9">
        <w:rPr>
          <w:rFonts w:ascii="Arial" w:eastAsia="Calibri" w:hAnsi="Arial" w:cs="Arial"/>
          <w:sz w:val="28"/>
          <w:szCs w:val="28"/>
        </w:rPr>
        <w:t>Jagga</w:t>
      </w:r>
      <w:proofErr w:type="spellEnd"/>
      <w:r w:rsidR="00B851BF" w:rsidRPr="003024B9">
        <w:rPr>
          <w:rFonts w:ascii="Arial" w:eastAsia="Calibri" w:hAnsi="Arial" w:cs="Arial"/>
          <w:sz w:val="28"/>
          <w:szCs w:val="28"/>
        </w:rPr>
        <w:t xml:space="preserve"> for the applicant</w:t>
      </w:r>
      <w:r w:rsidRPr="003024B9">
        <w:rPr>
          <w:rFonts w:ascii="Arial" w:eastAsia="Calibri" w:hAnsi="Arial" w:cs="Arial"/>
          <w:sz w:val="28"/>
          <w:szCs w:val="28"/>
        </w:rPr>
        <w:t xml:space="preserve"> commenced his argument by pointing out that in the matter where the police act under a </w:t>
      </w:r>
      <w:r w:rsidR="003A0646" w:rsidRPr="003024B9">
        <w:rPr>
          <w:rFonts w:ascii="Arial" w:eastAsia="Calibri" w:hAnsi="Arial" w:cs="Arial"/>
          <w:sz w:val="28"/>
          <w:szCs w:val="28"/>
        </w:rPr>
        <w:t>statu</w:t>
      </w:r>
      <w:r w:rsidR="003A0646">
        <w:rPr>
          <w:rFonts w:ascii="Arial" w:eastAsia="Calibri" w:hAnsi="Arial" w:cs="Arial"/>
          <w:sz w:val="28"/>
          <w:szCs w:val="28"/>
        </w:rPr>
        <w:t>te</w:t>
      </w:r>
      <w:r w:rsidR="003A0646" w:rsidRPr="003024B9">
        <w:rPr>
          <w:rFonts w:ascii="Arial" w:eastAsia="Calibri" w:hAnsi="Arial" w:cs="Arial"/>
          <w:sz w:val="28"/>
          <w:szCs w:val="28"/>
        </w:rPr>
        <w:t xml:space="preserve"> </w:t>
      </w:r>
      <w:r w:rsidRPr="003024B9">
        <w:rPr>
          <w:rFonts w:ascii="Arial" w:eastAsia="Calibri" w:hAnsi="Arial" w:cs="Arial"/>
          <w:sz w:val="28"/>
          <w:szCs w:val="28"/>
        </w:rPr>
        <w:t xml:space="preserve">to perform search and </w:t>
      </w:r>
      <w:r w:rsidR="003A0646" w:rsidRPr="003024B9">
        <w:rPr>
          <w:rFonts w:ascii="Arial" w:eastAsia="Calibri" w:hAnsi="Arial" w:cs="Arial"/>
          <w:sz w:val="28"/>
          <w:szCs w:val="28"/>
        </w:rPr>
        <w:t xml:space="preserve">seizure, </w:t>
      </w:r>
      <w:r w:rsidR="003D43B4">
        <w:rPr>
          <w:rFonts w:ascii="Arial" w:eastAsia="Calibri" w:hAnsi="Arial" w:cs="Arial"/>
          <w:sz w:val="28"/>
          <w:szCs w:val="28"/>
        </w:rPr>
        <w:t>it</w:t>
      </w:r>
      <w:r w:rsidR="003D43B4" w:rsidRPr="003024B9">
        <w:rPr>
          <w:rFonts w:ascii="Arial" w:eastAsia="Calibri" w:hAnsi="Arial" w:cs="Arial"/>
          <w:sz w:val="28"/>
          <w:szCs w:val="28"/>
        </w:rPr>
        <w:t xml:space="preserve"> </w:t>
      </w:r>
      <w:r w:rsidRPr="003024B9">
        <w:rPr>
          <w:rFonts w:ascii="Arial" w:eastAsia="Calibri" w:hAnsi="Arial" w:cs="Arial"/>
          <w:sz w:val="28"/>
          <w:szCs w:val="28"/>
        </w:rPr>
        <w:t xml:space="preserve">fits within the </w:t>
      </w:r>
      <w:r w:rsidR="003A0646" w:rsidRPr="003024B9">
        <w:rPr>
          <w:rFonts w:ascii="Arial" w:eastAsia="Calibri" w:hAnsi="Arial" w:cs="Arial"/>
          <w:sz w:val="28"/>
          <w:szCs w:val="28"/>
        </w:rPr>
        <w:t>statu</w:t>
      </w:r>
      <w:r w:rsidR="003A0646">
        <w:rPr>
          <w:rFonts w:ascii="Arial" w:eastAsia="Calibri" w:hAnsi="Arial" w:cs="Arial"/>
          <w:sz w:val="28"/>
          <w:szCs w:val="28"/>
        </w:rPr>
        <w:t>r</w:t>
      </w:r>
      <w:r w:rsidR="003A0646" w:rsidRPr="003024B9">
        <w:rPr>
          <w:rFonts w:ascii="Arial" w:eastAsia="Calibri" w:hAnsi="Arial" w:cs="Arial"/>
          <w:sz w:val="28"/>
          <w:szCs w:val="28"/>
        </w:rPr>
        <w:t xml:space="preserve">e </w:t>
      </w:r>
      <w:r w:rsidRPr="003024B9">
        <w:rPr>
          <w:rFonts w:ascii="Arial" w:eastAsia="Calibri" w:hAnsi="Arial" w:cs="Arial"/>
          <w:sz w:val="28"/>
          <w:szCs w:val="28"/>
        </w:rPr>
        <w:t>of a spoliation application. He placed his reliance solely on the decision</w:t>
      </w:r>
      <w:r w:rsidR="00B851BF" w:rsidRPr="003024B9">
        <w:rPr>
          <w:rFonts w:ascii="Arial" w:eastAsia="Calibri" w:hAnsi="Arial" w:cs="Arial"/>
          <w:sz w:val="28"/>
          <w:szCs w:val="28"/>
        </w:rPr>
        <w:t>s</w:t>
      </w:r>
      <w:r w:rsidRPr="003024B9">
        <w:rPr>
          <w:rFonts w:ascii="Arial" w:eastAsia="Calibri" w:hAnsi="Arial" w:cs="Arial"/>
          <w:sz w:val="28"/>
          <w:szCs w:val="28"/>
        </w:rPr>
        <w:t xml:space="preserve"> of the Supreme Court of Appeal in </w:t>
      </w:r>
      <w:r w:rsidRPr="00164992">
        <w:rPr>
          <w:rFonts w:ascii="Arial" w:eastAsia="Calibri" w:hAnsi="Arial" w:cs="Arial"/>
          <w:b/>
          <w:sz w:val="28"/>
          <w:szCs w:val="28"/>
        </w:rPr>
        <w:t>Ivanov v North West Gambling Board and Others</w:t>
      </w:r>
      <w:r w:rsidRPr="0027145E">
        <w:rPr>
          <w:rStyle w:val="FootnoteReference"/>
          <w:rFonts w:ascii="Arial" w:eastAsia="Calibri" w:hAnsi="Arial" w:cs="Arial"/>
          <w:sz w:val="28"/>
          <w:szCs w:val="28"/>
        </w:rPr>
        <w:footnoteReference w:id="1"/>
      </w:r>
      <w:r w:rsidR="00D47B21" w:rsidRPr="0027145E">
        <w:rPr>
          <w:rFonts w:ascii="Arial" w:eastAsia="Calibri" w:hAnsi="Arial" w:cs="Arial"/>
          <w:sz w:val="28"/>
          <w:szCs w:val="28"/>
        </w:rPr>
        <w:t xml:space="preserve"> and the Constitutional Court in </w:t>
      </w:r>
      <w:proofErr w:type="spellStart"/>
      <w:r w:rsidR="00D47B21" w:rsidRPr="00164992">
        <w:rPr>
          <w:rFonts w:ascii="Arial" w:eastAsia="Calibri" w:hAnsi="Arial" w:cs="Arial"/>
          <w:b/>
          <w:sz w:val="28"/>
          <w:szCs w:val="28"/>
        </w:rPr>
        <w:t>Ngqukumba</w:t>
      </w:r>
      <w:proofErr w:type="spellEnd"/>
      <w:r w:rsidR="00D47B21" w:rsidRPr="00164992">
        <w:rPr>
          <w:rFonts w:ascii="Arial" w:eastAsia="Calibri" w:hAnsi="Arial" w:cs="Arial"/>
          <w:b/>
          <w:sz w:val="28"/>
          <w:szCs w:val="28"/>
        </w:rPr>
        <w:t xml:space="preserve"> v Minister of Safety and Security</w:t>
      </w:r>
      <w:r w:rsidR="00D47B21" w:rsidRPr="0027145E">
        <w:rPr>
          <w:rFonts w:ascii="Arial" w:eastAsia="Calibri" w:hAnsi="Arial" w:cs="Arial"/>
          <w:sz w:val="28"/>
          <w:szCs w:val="28"/>
        </w:rPr>
        <w:t>.</w:t>
      </w:r>
      <w:r w:rsidR="00D47B21" w:rsidRPr="0027145E">
        <w:rPr>
          <w:rStyle w:val="FootnoteReference"/>
          <w:rFonts w:ascii="Arial" w:eastAsia="Calibri" w:hAnsi="Arial" w:cs="Arial"/>
          <w:sz w:val="28"/>
          <w:szCs w:val="28"/>
        </w:rPr>
        <w:footnoteReference w:id="2"/>
      </w:r>
    </w:p>
    <w:p w14:paraId="542481F3" w14:textId="77777777" w:rsidR="005D46BD" w:rsidRPr="003024B9" w:rsidRDefault="005D46BD" w:rsidP="00600BEE">
      <w:pPr>
        <w:spacing w:line="360" w:lineRule="auto"/>
        <w:ind w:left="851" w:hanging="851"/>
        <w:contextualSpacing/>
        <w:jc w:val="both"/>
        <w:rPr>
          <w:rFonts w:ascii="Arial" w:eastAsia="Calibri" w:hAnsi="Arial" w:cs="Arial"/>
          <w:sz w:val="28"/>
          <w:szCs w:val="28"/>
        </w:rPr>
      </w:pPr>
    </w:p>
    <w:p w14:paraId="179A1B0D" w14:textId="582B2E47" w:rsidR="005D46BD" w:rsidRPr="003024B9" w:rsidRDefault="005D46BD" w:rsidP="005D46BD">
      <w:pPr>
        <w:spacing w:line="360" w:lineRule="auto"/>
        <w:ind w:left="851" w:hanging="851"/>
        <w:contextualSpacing/>
        <w:jc w:val="both"/>
        <w:rPr>
          <w:rFonts w:ascii="Arial" w:eastAsia="Calibri" w:hAnsi="Arial" w:cs="Arial"/>
          <w:sz w:val="28"/>
          <w:szCs w:val="28"/>
        </w:rPr>
      </w:pPr>
      <w:r w:rsidRPr="003024B9">
        <w:rPr>
          <w:rFonts w:ascii="Arial" w:eastAsia="Calibri" w:hAnsi="Arial" w:cs="Arial"/>
          <w:sz w:val="28"/>
          <w:szCs w:val="28"/>
        </w:rPr>
        <w:t>[</w:t>
      </w:r>
      <w:r w:rsidR="0027145E">
        <w:rPr>
          <w:rFonts w:ascii="Arial" w:eastAsia="Calibri" w:hAnsi="Arial" w:cs="Arial"/>
          <w:sz w:val="28"/>
          <w:szCs w:val="28"/>
        </w:rPr>
        <w:t>9</w:t>
      </w:r>
      <w:r w:rsidRPr="003024B9">
        <w:rPr>
          <w:rFonts w:ascii="Arial" w:eastAsia="Calibri" w:hAnsi="Arial" w:cs="Arial"/>
          <w:sz w:val="28"/>
          <w:szCs w:val="28"/>
        </w:rPr>
        <w:t>]</w:t>
      </w:r>
      <w:r w:rsidRPr="003024B9">
        <w:rPr>
          <w:rFonts w:ascii="Arial" w:eastAsia="Calibri" w:hAnsi="Arial" w:cs="Arial"/>
          <w:sz w:val="28"/>
          <w:szCs w:val="28"/>
        </w:rPr>
        <w:tab/>
      </w:r>
      <w:r w:rsidR="00B851BF" w:rsidRPr="003024B9">
        <w:rPr>
          <w:rFonts w:ascii="Arial" w:eastAsia="Calibri" w:hAnsi="Arial" w:cs="Arial"/>
          <w:sz w:val="28"/>
          <w:szCs w:val="28"/>
        </w:rPr>
        <w:t xml:space="preserve">In </w:t>
      </w:r>
      <w:proofErr w:type="spellStart"/>
      <w:r w:rsidR="00B851BF" w:rsidRPr="00164992">
        <w:rPr>
          <w:rFonts w:ascii="Arial" w:eastAsia="Calibri" w:hAnsi="Arial" w:cs="Arial"/>
          <w:b/>
          <w:sz w:val="28"/>
          <w:szCs w:val="28"/>
        </w:rPr>
        <w:t>Ngqukumba</w:t>
      </w:r>
      <w:r w:rsidR="00B851BF" w:rsidRPr="003D43B4">
        <w:rPr>
          <w:rFonts w:ascii="Arial" w:eastAsia="Calibri" w:hAnsi="Arial" w:cs="Arial"/>
          <w:sz w:val="28"/>
          <w:szCs w:val="28"/>
        </w:rPr>
        <w:t>’s</w:t>
      </w:r>
      <w:proofErr w:type="spellEnd"/>
      <w:r w:rsidR="00B851BF" w:rsidRPr="003024B9">
        <w:rPr>
          <w:rFonts w:ascii="Arial" w:eastAsia="Calibri" w:hAnsi="Arial" w:cs="Arial"/>
          <w:sz w:val="28"/>
          <w:szCs w:val="28"/>
        </w:rPr>
        <w:t xml:space="preserve"> </w:t>
      </w:r>
      <w:r w:rsidR="003D43B4">
        <w:rPr>
          <w:rFonts w:ascii="Arial" w:eastAsia="Calibri" w:hAnsi="Arial" w:cs="Arial"/>
          <w:sz w:val="28"/>
          <w:szCs w:val="28"/>
        </w:rPr>
        <w:t xml:space="preserve">decision </w:t>
      </w:r>
      <w:r w:rsidR="00B851BF" w:rsidRPr="003024B9">
        <w:rPr>
          <w:rFonts w:ascii="Arial" w:eastAsia="Calibri" w:hAnsi="Arial" w:cs="Arial"/>
          <w:sz w:val="28"/>
          <w:szCs w:val="28"/>
        </w:rPr>
        <w:t xml:space="preserve">it was said by </w:t>
      </w:r>
      <w:proofErr w:type="spellStart"/>
      <w:r w:rsidR="00B851BF" w:rsidRPr="003024B9">
        <w:rPr>
          <w:rFonts w:ascii="Arial" w:eastAsia="Calibri" w:hAnsi="Arial" w:cs="Arial"/>
          <w:sz w:val="28"/>
          <w:szCs w:val="28"/>
        </w:rPr>
        <w:t>Madlanga</w:t>
      </w:r>
      <w:proofErr w:type="spellEnd"/>
      <w:r w:rsidR="00C9478C" w:rsidRPr="003024B9">
        <w:rPr>
          <w:rFonts w:ascii="Arial" w:eastAsia="Calibri" w:hAnsi="Arial" w:cs="Arial"/>
          <w:sz w:val="28"/>
          <w:szCs w:val="28"/>
        </w:rPr>
        <w:t xml:space="preserve"> J</w:t>
      </w:r>
      <w:r w:rsidR="00B851BF" w:rsidRPr="003024B9">
        <w:rPr>
          <w:rFonts w:ascii="Arial" w:eastAsia="Calibri" w:hAnsi="Arial" w:cs="Arial"/>
          <w:sz w:val="28"/>
          <w:szCs w:val="28"/>
        </w:rPr>
        <w:t xml:space="preserve"> on </w:t>
      </w:r>
      <w:r w:rsidRPr="003024B9">
        <w:rPr>
          <w:rFonts w:ascii="Arial" w:eastAsia="Calibri" w:hAnsi="Arial" w:cs="Arial"/>
          <w:sz w:val="28"/>
          <w:szCs w:val="28"/>
        </w:rPr>
        <w:t>paragraphs 12 and 13: -</w:t>
      </w:r>
    </w:p>
    <w:p w14:paraId="0E0C780D" w14:textId="654DC9A3" w:rsidR="005D46BD" w:rsidRPr="003024B9" w:rsidRDefault="005D46BD" w:rsidP="005D46BD">
      <w:pPr>
        <w:spacing w:after="0" w:line="360" w:lineRule="auto"/>
        <w:ind w:left="2160" w:right="1254" w:hanging="720"/>
        <w:jc w:val="both"/>
        <w:rPr>
          <w:rFonts w:ascii="Arial" w:eastAsia="Times New Roman" w:hAnsi="Arial" w:cs="Arial"/>
          <w:color w:val="000000"/>
          <w:sz w:val="24"/>
          <w:szCs w:val="24"/>
          <w:lang w:eastAsia="en-ZA"/>
        </w:rPr>
      </w:pPr>
      <w:r w:rsidRPr="003024B9">
        <w:rPr>
          <w:rFonts w:ascii="Arial" w:hAnsi="Arial" w:cs="Arial"/>
          <w:color w:val="000000"/>
          <w:sz w:val="24"/>
          <w:szCs w:val="24"/>
        </w:rPr>
        <w:tab/>
        <w:t xml:space="preserve">A spoliation order is available even against government entities for the simple reason that unfortunately excesses by those entities do occur. </w:t>
      </w:r>
      <w:r w:rsidRPr="003024B9">
        <w:rPr>
          <w:rFonts w:ascii="Arial" w:eastAsia="Times New Roman" w:hAnsi="Arial" w:cs="Arial"/>
          <w:color w:val="000000"/>
          <w:sz w:val="24"/>
          <w:szCs w:val="24"/>
          <w:lang w:eastAsia="en-ZA"/>
        </w:rPr>
        <w:t>Those excesses, like acts of self-help by individuals, may lead to breaches of the peace: that is what the spoliation order, which is deeply rooted in the rule of law, seeks to avert</w:t>
      </w:r>
      <w:bookmarkStart w:id="0" w:name="0-0-0-219387"/>
      <w:bookmarkEnd w:id="0"/>
      <w:r w:rsidRPr="003024B9">
        <w:rPr>
          <w:rFonts w:ascii="Arial" w:eastAsia="Times New Roman" w:hAnsi="Arial" w:cs="Arial"/>
          <w:color w:val="000000"/>
          <w:sz w:val="24"/>
          <w:szCs w:val="24"/>
          <w:lang w:eastAsia="en-ZA"/>
        </w:rPr>
        <w:t>. The likely consequences aside, the rule of law must be vindicated. The spoliation order serves exactly that purpose.</w:t>
      </w:r>
    </w:p>
    <w:p w14:paraId="0F66324A" w14:textId="743D6BE5" w:rsidR="005D46BD" w:rsidRPr="003024B9" w:rsidRDefault="005D46BD" w:rsidP="005D46BD">
      <w:pPr>
        <w:spacing w:after="0" w:line="360" w:lineRule="auto"/>
        <w:ind w:left="2160" w:right="1254" w:hanging="720"/>
        <w:jc w:val="both"/>
        <w:rPr>
          <w:rFonts w:ascii="Arial" w:eastAsia="Times New Roman" w:hAnsi="Arial" w:cs="Arial"/>
          <w:color w:val="000000"/>
          <w:sz w:val="24"/>
          <w:szCs w:val="24"/>
          <w:lang w:eastAsia="en-ZA"/>
        </w:rPr>
      </w:pPr>
      <w:r w:rsidRPr="003024B9">
        <w:rPr>
          <w:rFonts w:ascii="Arial" w:eastAsia="Times New Roman" w:hAnsi="Arial" w:cs="Arial"/>
          <w:color w:val="000000"/>
          <w:sz w:val="24"/>
          <w:szCs w:val="24"/>
          <w:lang w:eastAsia="en-ZA"/>
        </w:rPr>
        <w:tab/>
        <w:t>It matters not that a government entity may be purporting to act under colour of a law, statutory or otherwise. The real issue is whether it is properly acting within the law. After all, the principle of legality requires of state organs always to act in terms of the law.</w:t>
      </w:r>
      <w:bookmarkStart w:id="1" w:name="0-0-0-219391"/>
      <w:bookmarkEnd w:id="1"/>
      <w:r w:rsidRPr="003024B9">
        <w:rPr>
          <w:rFonts w:ascii="Arial" w:eastAsia="Times New Roman" w:hAnsi="Arial" w:cs="Arial"/>
          <w:color w:val="000000"/>
          <w:sz w:val="24"/>
          <w:szCs w:val="24"/>
          <w:lang w:eastAsia="en-ZA"/>
        </w:rPr>
        <w:t xml:space="preserve"> Surely then it should make no difference that in dispossessing an individual of an object unlawfully, the police purported to act under colour of the search and seizure powers contained in the Criminal Procedure Act.</w:t>
      </w:r>
      <w:bookmarkStart w:id="2" w:name="0-0-0-219395"/>
      <w:bookmarkEnd w:id="2"/>
      <w:r w:rsidRPr="003024B9">
        <w:rPr>
          <w:rFonts w:ascii="Arial" w:eastAsia="Times New Roman" w:hAnsi="Arial" w:cs="Arial"/>
          <w:color w:val="000000"/>
          <w:sz w:val="24"/>
          <w:szCs w:val="24"/>
          <w:lang w:eastAsia="en-ZA"/>
        </w:rPr>
        <w:t xml:space="preserve"> Non-compliance with the provisions of the Criminal Procedure Act in seizing a person's goods is unlawful. This unlawfulness, plus the other requirement for a spoliation order (namely, having been in possession immediately prior to being despoiled), satisfies the requisites for the order. All that the despoiled person need prove is that —</w:t>
      </w:r>
    </w:p>
    <w:p w14:paraId="5EA3F0C3" w14:textId="77777777" w:rsidR="005D46BD" w:rsidRPr="003024B9" w:rsidRDefault="005D46BD" w:rsidP="005D46BD">
      <w:pPr>
        <w:spacing w:after="0" w:line="360" w:lineRule="auto"/>
        <w:ind w:left="2160" w:right="1254"/>
        <w:jc w:val="both"/>
        <w:rPr>
          <w:rFonts w:ascii="Arial" w:eastAsia="Times New Roman" w:hAnsi="Arial" w:cs="Arial"/>
          <w:color w:val="000000"/>
          <w:sz w:val="24"/>
          <w:szCs w:val="24"/>
          <w:lang w:eastAsia="en-ZA"/>
        </w:rPr>
      </w:pPr>
      <w:r w:rsidRPr="003024B9">
        <w:rPr>
          <w:rFonts w:ascii="Arial" w:eastAsia="Times New Roman" w:hAnsi="Arial" w:cs="Arial"/>
          <w:i/>
          <w:iCs/>
          <w:color w:val="000000"/>
          <w:sz w:val="24"/>
          <w:szCs w:val="24"/>
          <w:lang w:eastAsia="en-ZA"/>
        </w:rPr>
        <w:t>(a)</w:t>
      </w:r>
      <w:r w:rsidRPr="003024B9">
        <w:rPr>
          <w:rFonts w:ascii="Arial" w:eastAsia="Times New Roman" w:hAnsi="Arial" w:cs="Arial"/>
          <w:color w:val="000000"/>
          <w:sz w:val="24"/>
          <w:szCs w:val="24"/>
          <w:lang w:eastAsia="en-ZA"/>
        </w:rPr>
        <w:t>   she was in possession of the object; and</w:t>
      </w:r>
    </w:p>
    <w:p w14:paraId="5258454D" w14:textId="77777777" w:rsidR="005D46BD" w:rsidRPr="003024B9" w:rsidRDefault="005D46BD" w:rsidP="005D46BD">
      <w:pPr>
        <w:spacing w:after="0" w:line="360" w:lineRule="auto"/>
        <w:ind w:left="2160" w:right="1254"/>
        <w:jc w:val="both"/>
        <w:rPr>
          <w:rFonts w:ascii="Arial" w:eastAsia="Times New Roman" w:hAnsi="Arial" w:cs="Arial"/>
          <w:color w:val="000000"/>
          <w:sz w:val="24"/>
          <w:szCs w:val="24"/>
          <w:lang w:eastAsia="en-ZA"/>
        </w:rPr>
      </w:pPr>
      <w:r w:rsidRPr="003024B9">
        <w:rPr>
          <w:rFonts w:ascii="Arial" w:eastAsia="Times New Roman" w:hAnsi="Arial" w:cs="Arial"/>
          <w:i/>
          <w:iCs/>
          <w:color w:val="000000"/>
          <w:sz w:val="24"/>
          <w:szCs w:val="24"/>
          <w:lang w:eastAsia="en-ZA"/>
        </w:rPr>
        <w:t>(b)</w:t>
      </w:r>
      <w:r w:rsidRPr="003024B9">
        <w:rPr>
          <w:rFonts w:ascii="Arial" w:eastAsia="Times New Roman" w:hAnsi="Arial" w:cs="Arial"/>
          <w:color w:val="000000"/>
          <w:sz w:val="24"/>
          <w:szCs w:val="24"/>
          <w:lang w:eastAsia="en-ZA"/>
        </w:rPr>
        <w:t>   she was deprived of possession unlawfully.</w:t>
      </w:r>
    </w:p>
    <w:p w14:paraId="1F677A5C" w14:textId="77777777" w:rsidR="005D46BD" w:rsidRPr="003024B9" w:rsidRDefault="005D46BD" w:rsidP="005D46BD">
      <w:pPr>
        <w:spacing w:line="360" w:lineRule="auto"/>
        <w:contextualSpacing/>
        <w:jc w:val="both"/>
        <w:rPr>
          <w:rFonts w:ascii="Arial" w:eastAsia="Calibri" w:hAnsi="Arial" w:cs="Arial"/>
          <w:sz w:val="28"/>
          <w:szCs w:val="28"/>
        </w:rPr>
      </w:pPr>
    </w:p>
    <w:p w14:paraId="5FCDD7AA" w14:textId="5EC1E0DF" w:rsidR="005D46BD" w:rsidRPr="003024B9" w:rsidRDefault="005D46BD" w:rsidP="005D46BD">
      <w:pPr>
        <w:spacing w:line="360" w:lineRule="auto"/>
        <w:ind w:left="851" w:hanging="851"/>
        <w:contextualSpacing/>
        <w:jc w:val="both"/>
        <w:rPr>
          <w:rFonts w:ascii="Arial" w:eastAsia="Calibri" w:hAnsi="Arial" w:cs="Arial"/>
          <w:sz w:val="28"/>
          <w:szCs w:val="28"/>
        </w:rPr>
      </w:pPr>
      <w:r w:rsidRPr="003024B9">
        <w:rPr>
          <w:rFonts w:ascii="Arial" w:eastAsia="Calibri" w:hAnsi="Arial" w:cs="Arial"/>
          <w:sz w:val="28"/>
          <w:szCs w:val="28"/>
        </w:rPr>
        <w:t>[</w:t>
      </w:r>
      <w:r w:rsidR="0027145E">
        <w:rPr>
          <w:rFonts w:ascii="Arial" w:eastAsia="Calibri" w:hAnsi="Arial" w:cs="Arial"/>
          <w:sz w:val="28"/>
          <w:szCs w:val="28"/>
        </w:rPr>
        <w:t>10</w:t>
      </w:r>
      <w:r w:rsidRPr="003024B9">
        <w:rPr>
          <w:rFonts w:ascii="Arial" w:eastAsia="Calibri" w:hAnsi="Arial" w:cs="Arial"/>
          <w:sz w:val="28"/>
          <w:szCs w:val="28"/>
        </w:rPr>
        <w:t>]</w:t>
      </w:r>
      <w:r w:rsidRPr="003024B9">
        <w:rPr>
          <w:rFonts w:ascii="Arial" w:eastAsia="Calibri" w:hAnsi="Arial" w:cs="Arial"/>
          <w:sz w:val="28"/>
          <w:szCs w:val="28"/>
        </w:rPr>
        <w:tab/>
        <w:t xml:space="preserve">From these pronouncements of the </w:t>
      </w:r>
      <w:r w:rsidR="00B851BF" w:rsidRPr="003024B9">
        <w:rPr>
          <w:rFonts w:ascii="Arial" w:eastAsia="Calibri" w:hAnsi="Arial" w:cs="Arial"/>
          <w:sz w:val="28"/>
          <w:szCs w:val="28"/>
        </w:rPr>
        <w:t>apex court</w:t>
      </w:r>
      <w:r w:rsidRPr="003024B9">
        <w:rPr>
          <w:rFonts w:ascii="Arial" w:eastAsia="Calibri" w:hAnsi="Arial" w:cs="Arial"/>
          <w:sz w:val="28"/>
          <w:szCs w:val="28"/>
        </w:rPr>
        <w:t xml:space="preserve">, it </w:t>
      </w:r>
      <w:r w:rsidR="00B851BF" w:rsidRPr="003024B9">
        <w:rPr>
          <w:rFonts w:ascii="Arial" w:eastAsia="Calibri" w:hAnsi="Arial" w:cs="Arial"/>
          <w:sz w:val="28"/>
          <w:szCs w:val="28"/>
        </w:rPr>
        <w:t>is</w:t>
      </w:r>
      <w:r w:rsidRPr="003024B9">
        <w:rPr>
          <w:rFonts w:ascii="Arial" w:eastAsia="Calibri" w:hAnsi="Arial" w:cs="Arial"/>
          <w:sz w:val="28"/>
          <w:szCs w:val="28"/>
        </w:rPr>
        <w:t xml:space="preserve"> quite clear that </w:t>
      </w:r>
      <w:proofErr w:type="spellStart"/>
      <w:r w:rsidRPr="003D43B4">
        <w:rPr>
          <w:rFonts w:ascii="Arial" w:eastAsia="Calibri" w:hAnsi="Arial" w:cs="Arial"/>
          <w:i/>
          <w:sz w:val="28"/>
          <w:szCs w:val="28"/>
        </w:rPr>
        <w:t>mandament</w:t>
      </w:r>
      <w:proofErr w:type="spellEnd"/>
      <w:r w:rsidRPr="003D43B4">
        <w:rPr>
          <w:rFonts w:ascii="Arial" w:eastAsia="Calibri" w:hAnsi="Arial" w:cs="Arial"/>
          <w:i/>
          <w:sz w:val="28"/>
          <w:szCs w:val="28"/>
        </w:rPr>
        <w:t xml:space="preserve"> van </w:t>
      </w:r>
      <w:proofErr w:type="spellStart"/>
      <w:r w:rsidRPr="003D43B4">
        <w:rPr>
          <w:rFonts w:ascii="Arial" w:eastAsia="Calibri" w:hAnsi="Arial" w:cs="Arial"/>
          <w:i/>
          <w:sz w:val="28"/>
          <w:szCs w:val="28"/>
        </w:rPr>
        <w:t>spolie</w:t>
      </w:r>
      <w:proofErr w:type="spellEnd"/>
      <w:r w:rsidRPr="003024B9">
        <w:rPr>
          <w:rFonts w:ascii="Arial" w:eastAsia="Calibri" w:hAnsi="Arial" w:cs="Arial"/>
          <w:i/>
          <w:sz w:val="28"/>
          <w:szCs w:val="28"/>
        </w:rPr>
        <w:t xml:space="preserve"> </w:t>
      </w:r>
      <w:r w:rsidRPr="003024B9">
        <w:rPr>
          <w:rFonts w:ascii="Arial" w:eastAsia="Calibri" w:hAnsi="Arial" w:cs="Arial"/>
          <w:sz w:val="28"/>
          <w:szCs w:val="28"/>
        </w:rPr>
        <w:t xml:space="preserve">is available even against the police. That will be in situations where they seize </w:t>
      </w:r>
      <w:r w:rsidR="003D43B4">
        <w:rPr>
          <w:rFonts w:ascii="Arial" w:eastAsia="Calibri" w:hAnsi="Arial" w:cs="Arial"/>
          <w:sz w:val="28"/>
          <w:szCs w:val="28"/>
        </w:rPr>
        <w:t>assets</w:t>
      </w:r>
      <w:r w:rsidR="003D43B4" w:rsidRPr="003024B9">
        <w:rPr>
          <w:rFonts w:ascii="Arial" w:eastAsia="Calibri" w:hAnsi="Arial" w:cs="Arial"/>
          <w:sz w:val="28"/>
          <w:szCs w:val="28"/>
        </w:rPr>
        <w:t xml:space="preserve"> </w:t>
      </w:r>
      <w:r w:rsidRPr="003024B9">
        <w:rPr>
          <w:rFonts w:ascii="Arial" w:eastAsia="Calibri" w:hAnsi="Arial" w:cs="Arial"/>
          <w:sz w:val="28"/>
          <w:szCs w:val="28"/>
        </w:rPr>
        <w:t>from people in an unlawful manner. Th</w:t>
      </w:r>
      <w:r w:rsidR="003D43B4">
        <w:rPr>
          <w:rFonts w:ascii="Arial" w:eastAsia="Calibri" w:hAnsi="Arial" w:cs="Arial"/>
          <w:sz w:val="28"/>
          <w:szCs w:val="28"/>
        </w:rPr>
        <w:t xml:space="preserve">e remedy </w:t>
      </w:r>
      <w:r w:rsidRPr="003024B9">
        <w:rPr>
          <w:rFonts w:ascii="Arial" w:eastAsia="Calibri" w:hAnsi="Arial" w:cs="Arial"/>
          <w:sz w:val="28"/>
          <w:szCs w:val="28"/>
        </w:rPr>
        <w:t xml:space="preserve">is one of the concerted efforts to stop and weed out the </w:t>
      </w:r>
      <w:r w:rsidRPr="003024B9">
        <w:rPr>
          <w:rFonts w:ascii="Arial" w:eastAsia="Calibri" w:hAnsi="Arial" w:cs="Arial"/>
          <w:sz w:val="28"/>
          <w:szCs w:val="28"/>
        </w:rPr>
        <w:lastRenderedPageBreak/>
        <w:t>repugnant method of resorting to self-help.</w:t>
      </w:r>
      <w:r w:rsidR="00B851BF" w:rsidRPr="003024B9">
        <w:rPr>
          <w:rFonts w:ascii="Arial" w:eastAsia="Calibri" w:hAnsi="Arial" w:cs="Arial"/>
          <w:sz w:val="28"/>
          <w:szCs w:val="28"/>
        </w:rPr>
        <w:t xml:space="preserve"> I agree with his submission</w:t>
      </w:r>
      <w:r w:rsidR="00AF6270" w:rsidRPr="003024B9">
        <w:rPr>
          <w:rFonts w:ascii="Arial" w:eastAsia="Calibri" w:hAnsi="Arial" w:cs="Arial"/>
          <w:sz w:val="28"/>
          <w:szCs w:val="28"/>
        </w:rPr>
        <w:t xml:space="preserve"> and it stands clear that where the requisites for spoliation order have been satisfied, it must simply be granted.  </w:t>
      </w:r>
    </w:p>
    <w:p w14:paraId="76D77018" w14:textId="77777777" w:rsidR="0073088A" w:rsidRPr="003024B9" w:rsidRDefault="0073088A" w:rsidP="005D46BD">
      <w:pPr>
        <w:spacing w:line="360" w:lineRule="auto"/>
        <w:ind w:left="851" w:hanging="851"/>
        <w:contextualSpacing/>
        <w:jc w:val="both"/>
        <w:rPr>
          <w:rFonts w:ascii="Arial" w:eastAsia="Calibri" w:hAnsi="Arial" w:cs="Arial"/>
          <w:sz w:val="28"/>
          <w:szCs w:val="28"/>
        </w:rPr>
      </w:pPr>
    </w:p>
    <w:p w14:paraId="41F432AB" w14:textId="04B80DD3" w:rsidR="0073088A" w:rsidRPr="003024B9" w:rsidRDefault="0073088A" w:rsidP="0073088A">
      <w:pPr>
        <w:spacing w:line="360" w:lineRule="auto"/>
        <w:ind w:left="851" w:hanging="851"/>
        <w:contextualSpacing/>
        <w:jc w:val="both"/>
        <w:rPr>
          <w:rFonts w:ascii="Arial" w:eastAsia="Calibri" w:hAnsi="Arial" w:cs="Arial"/>
          <w:sz w:val="28"/>
          <w:szCs w:val="28"/>
        </w:rPr>
      </w:pPr>
      <w:r w:rsidRPr="003024B9">
        <w:rPr>
          <w:rFonts w:ascii="Arial" w:eastAsia="Calibri" w:hAnsi="Arial" w:cs="Arial"/>
          <w:sz w:val="28"/>
          <w:szCs w:val="28"/>
        </w:rPr>
        <w:t>[1</w:t>
      </w:r>
      <w:r w:rsidR="0027145E">
        <w:rPr>
          <w:rFonts w:ascii="Arial" w:eastAsia="Calibri" w:hAnsi="Arial" w:cs="Arial"/>
          <w:sz w:val="28"/>
          <w:szCs w:val="28"/>
        </w:rPr>
        <w:t>1</w:t>
      </w:r>
      <w:r w:rsidRPr="003024B9">
        <w:rPr>
          <w:rFonts w:ascii="Arial" w:eastAsia="Calibri" w:hAnsi="Arial" w:cs="Arial"/>
          <w:sz w:val="28"/>
          <w:szCs w:val="28"/>
        </w:rPr>
        <w:t>]</w:t>
      </w:r>
      <w:r w:rsidRPr="003024B9">
        <w:rPr>
          <w:rFonts w:ascii="Arial" w:eastAsia="Calibri" w:hAnsi="Arial" w:cs="Arial"/>
          <w:sz w:val="28"/>
          <w:szCs w:val="28"/>
        </w:rPr>
        <w:tab/>
      </w:r>
      <w:r w:rsidR="003D43B4">
        <w:rPr>
          <w:rFonts w:ascii="Arial" w:eastAsia="Calibri" w:hAnsi="Arial" w:cs="Arial"/>
          <w:sz w:val="28"/>
          <w:szCs w:val="28"/>
        </w:rPr>
        <w:t>For the applicant it was</w:t>
      </w:r>
      <w:r w:rsidR="003D43B4" w:rsidRPr="003024B9">
        <w:rPr>
          <w:rFonts w:ascii="Arial" w:eastAsia="Calibri" w:hAnsi="Arial" w:cs="Arial"/>
          <w:sz w:val="28"/>
          <w:szCs w:val="28"/>
        </w:rPr>
        <w:t xml:space="preserve"> </w:t>
      </w:r>
      <w:r w:rsidRPr="003024B9">
        <w:rPr>
          <w:rFonts w:ascii="Arial" w:eastAsia="Calibri" w:hAnsi="Arial" w:cs="Arial"/>
          <w:sz w:val="28"/>
          <w:szCs w:val="28"/>
        </w:rPr>
        <w:t>pointed</w:t>
      </w:r>
      <w:r w:rsidR="003D43B4">
        <w:rPr>
          <w:rFonts w:ascii="Arial" w:eastAsia="Calibri" w:hAnsi="Arial" w:cs="Arial"/>
          <w:sz w:val="28"/>
          <w:szCs w:val="28"/>
        </w:rPr>
        <w:t xml:space="preserve"> out</w:t>
      </w:r>
      <w:r w:rsidRPr="003024B9">
        <w:rPr>
          <w:rFonts w:ascii="Arial" w:eastAsia="Calibri" w:hAnsi="Arial" w:cs="Arial"/>
          <w:sz w:val="28"/>
          <w:szCs w:val="28"/>
        </w:rPr>
        <w:t xml:space="preserve"> that the two warrants that were issued are against </w:t>
      </w:r>
      <w:r w:rsidR="00EF20A7" w:rsidRPr="003024B9">
        <w:rPr>
          <w:rFonts w:ascii="Arial" w:eastAsia="Calibri" w:hAnsi="Arial" w:cs="Arial"/>
          <w:sz w:val="28"/>
          <w:szCs w:val="28"/>
        </w:rPr>
        <w:t xml:space="preserve">four separate entities. The point made is that there is no averment in the statement of the second respondent, that the businesses concerned belong to the same entity or person. </w:t>
      </w:r>
      <w:r w:rsidR="00AF6270" w:rsidRPr="003024B9">
        <w:rPr>
          <w:rFonts w:ascii="Arial" w:eastAsia="Calibri" w:hAnsi="Arial" w:cs="Arial"/>
          <w:sz w:val="28"/>
          <w:szCs w:val="28"/>
        </w:rPr>
        <w:t>Closely connected is the damning shortcomings of the information pertaining to the activities of the undercover agents</w:t>
      </w:r>
      <w:r w:rsidR="00286C7C" w:rsidRPr="003024B9">
        <w:rPr>
          <w:rFonts w:ascii="Arial" w:eastAsia="Calibri" w:hAnsi="Arial" w:cs="Arial"/>
          <w:sz w:val="28"/>
          <w:szCs w:val="28"/>
        </w:rPr>
        <w:t xml:space="preserve">. </w:t>
      </w:r>
      <w:r w:rsidR="003D43B4">
        <w:rPr>
          <w:rFonts w:ascii="Arial" w:eastAsia="Calibri" w:hAnsi="Arial" w:cs="Arial"/>
          <w:sz w:val="28"/>
          <w:szCs w:val="28"/>
        </w:rPr>
        <w:t>The allegations are</w:t>
      </w:r>
      <w:r w:rsidR="00286C7C" w:rsidRPr="003024B9">
        <w:rPr>
          <w:rFonts w:ascii="Arial" w:eastAsia="Calibri" w:hAnsi="Arial" w:cs="Arial"/>
          <w:sz w:val="28"/>
          <w:szCs w:val="28"/>
        </w:rPr>
        <w:t xml:space="preserve"> spread out in general terms without specifics on what they did at different locations</w:t>
      </w:r>
      <w:r w:rsidR="00EF20A7" w:rsidRPr="003024B9">
        <w:rPr>
          <w:rFonts w:ascii="Arial" w:eastAsia="Calibri" w:hAnsi="Arial" w:cs="Arial"/>
          <w:sz w:val="28"/>
          <w:szCs w:val="28"/>
        </w:rPr>
        <w:t>.</w:t>
      </w:r>
    </w:p>
    <w:p w14:paraId="50489DF7" w14:textId="77777777" w:rsidR="00EF20A7" w:rsidRPr="003024B9" w:rsidRDefault="00EF20A7" w:rsidP="0073088A">
      <w:pPr>
        <w:spacing w:line="360" w:lineRule="auto"/>
        <w:ind w:left="851" w:hanging="851"/>
        <w:contextualSpacing/>
        <w:jc w:val="both"/>
        <w:rPr>
          <w:rFonts w:ascii="Arial" w:eastAsia="Calibri" w:hAnsi="Arial" w:cs="Arial"/>
          <w:sz w:val="28"/>
          <w:szCs w:val="28"/>
        </w:rPr>
      </w:pPr>
    </w:p>
    <w:p w14:paraId="0CE0F063" w14:textId="56BDAACE" w:rsidR="00246A14" w:rsidRPr="003024B9" w:rsidRDefault="00EF20A7" w:rsidP="00246A14">
      <w:pPr>
        <w:spacing w:line="360" w:lineRule="auto"/>
        <w:ind w:left="851" w:hanging="851"/>
        <w:contextualSpacing/>
        <w:jc w:val="both"/>
        <w:rPr>
          <w:rFonts w:ascii="Arial" w:eastAsia="Calibri" w:hAnsi="Arial" w:cs="Arial"/>
          <w:sz w:val="28"/>
          <w:szCs w:val="28"/>
        </w:rPr>
      </w:pPr>
      <w:r w:rsidRPr="003024B9">
        <w:rPr>
          <w:rFonts w:ascii="Arial" w:eastAsia="Calibri" w:hAnsi="Arial" w:cs="Arial"/>
          <w:sz w:val="28"/>
          <w:szCs w:val="28"/>
        </w:rPr>
        <w:t>[1</w:t>
      </w:r>
      <w:r w:rsidR="0027145E">
        <w:rPr>
          <w:rFonts w:ascii="Arial" w:eastAsia="Calibri" w:hAnsi="Arial" w:cs="Arial"/>
          <w:sz w:val="28"/>
          <w:szCs w:val="28"/>
        </w:rPr>
        <w:t>2</w:t>
      </w:r>
      <w:r w:rsidRPr="003024B9">
        <w:rPr>
          <w:rFonts w:ascii="Arial" w:eastAsia="Calibri" w:hAnsi="Arial" w:cs="Arial"/>
          <w:sz w:val="28"/>
          <w:szCs w:val="28"/>
        </w:rPr>
        <w:t>]</w:t>
      </w:r>
      <w:r w:rsidRPr="003024B9">
        <w:rPr>
          <w:rFonts w:ascii="Arial" w:eastAsia="Calibri" w:hAnsi="Arial" w:cs="Arial"/>
          <w:sz w:val="28"/>
          <w:szCs w:val="28"/>
        </w:rPr>
        <w:tab/>
      </w:r>
      <w:r w:rsidR="003D43B4">
        <w:rPr>
          <w:rFonts w:ascii="Arial" w:eastAsia="Calibri" w:hAnsi="Arial" w:cs="Arial"/>
          <w:sz w:val="28"/>
          <w:szCs w:val="28"/>
        </w:rPr>
        <w:t xml:space="preserve">Mr </w:t>
      </w:r>
      <w:proofErr w:type="spellStart"/>
      <w:r w:rsidR="003D43B4">
        <w:rPr>
          <w:rFonts w:ascii="Arial" w:eastAsia="Calibri" w:hAnsi="Arial" w:cs="Arial"/>
          <w:sz w:val="28"/>
          <w:szCs w:val="28"/>
        </w:rPr>
        <w:t>Jagga</w:t>
      </w:r>
      <w:proofErr w:type="spellEnd"/>
      <w:r w:rsidR="003D43B4" w:rsidRPr="003024B9">
        <w:rPr>
          <w:rFonts w:ascii="Arial" w:eastAsia="Calibri" w:hAnsi="Arial" w:cs="Arial"/>
          <w:sz w:val="28"/>
          <w:szCs w:val="28"/>
        </w:rPr>
        <w:t xml:space="preserve"> </w:t>
      </w:r>
      <w:r w:rsidRPr="003024B9">
        <w:rPr>
          <w:rFonts w:ascii="Arial" w:eastAsia="Calibri" w:hAnsi="Arial" w:cs="Arial"/>
          <w:sz w:val="28"/>
          <w:szCs w:val="28"/>
        </w:rPr>
        <w:t xml:space="preserve">urged me to adjudicate the matter in accordance with the test outlined in </w:t>
      </w:r>
      <w:r w:rsidRPr="00164992">
        <w:rPr>
          <w:rFonts w:ascii="Arial" w:eastAsia="Calibri" w:hAnsi="Arial" w:cs="Arial"/>
          <w:b/>
          <w:sz w:val="28"/>
          <w:szCs w:val="28"/>
        </w:rPr>
        <w:t xml:space="preserve">Minister of Safety and Security v Van </w:t>
      </w:r>
      <w:proofErr w:type="gramStart"/>
      <w:r w:rsidRPr="00164992">
        <w:rPr>
          <w:rFonts w:ascii="Arial" w:eastAsia="Calibri" w:hAnsi="Arial" w:cs="Arial"/>
          <w:b/>
          <w:sz w:val="28"/>
          <w:szCs w:val="28"/>
        </w:rPr>
        <w:t>Der</w:t>
      </w:r>
      <w:proofErr w:type="gramEnd"/>
      <w:r w:rsidRPr="00164992">
        <w:rPr>
          <w:rFonts w:ascii="Arial" w:eastAsia="Calibri" w:hAnsi="Arial" w:cs="Arial"/>
          <w:b/>
          <w:sz w:val="28"/>
          <w:szCs w:val="28"/>
        </w:rPr>
        <w:t xml:space="preserve"> Merwe and Others</w:t>
      </w:r>
      <w:r w:rsidR="00246A14" w:rsidRPr="003024B9">
        <w:rPr>
          <w:rFonts w:ascii="Arial" w:eastAsia="Calibri" w:hAnsi="Arial" w:cs="Arial"/>
          <w:sz w:val="28"/>
          <w:szCs w:val="28"/>
        </w:rPr>
        <w:t xml:space="preserve">. </w:t>
      </w:r>
      <w:proofErr w:type="spellStart"/>
      <w:r w:rsidR="00246A14" w:rsidRPr="003024B9">
        <w:rPr>
          <w:rFonts w:ascii="Arial" w:eastAsia="Calibri" w:hAnsi="Arial" w:cs="Arial"/>
          <w:sz w:val="28"/>
          <w:szCs w:val="28"/>
        </w:rPr>
        <w:t>Mogoeng</w:t>
      </w:r>
      <w:proofErr w:type="spellEnd"/>
      <w:r w:rsidR="00246A14" w:rsidRPr="003024B9">
        <w:rPr>
          <w:rFonts w:ascii="Arial" w:eastAsia="Calibri" w:hAnsi="Arial" w:cs="Arial"/>
          <w:sz w:val="28"/>
          <w:szCs w:val="28"/>
        </w:rPr>
        <w:t xml:space="preserve"> J (as he then was) writing for the undivided on paragraph 39 said the following: -</w:t>
      </w:r>
    </w:p>
    <w:p w14:paraId="2C72CFC5" w14:textId="77777777" w:rsidR="0073088A" w:rsidRPr="003024B9" w:rsidRDefault="00246A14" w:rsidP="00145A3E">
      <w:pPr>
        <w:spacing w:after="0" w:line="360" w:lineRule="auto"/>
        <w:ind w:left="1701" w:right="1254"/>
        <w:jc w:val="both"/>
        <w:rPr>
          <w:rFonts w:ascii="Arial" w:hAnsi="Arial" w:cs="Arial"/>
          <w:sz w:val="24"/>
          <w:szCs w:val="24"/>
        </w:rPr>
      </w:pPr>
      <w:r w:rsidRPr="003024B9">
        <w:rPr>
          <w:rFonts w:ascii="Arial" w:hAnsi="Arial" w:cs="Arial"/>
          <w:color w:val="000000"/>
          <w:sz w:val="24"/>
          <w:szCs w:val="24"/>
        </w:rPr>
        <w:t>“Secondly, the section requires that the decision to issue a warrant be made only if the affidavit in support of the application contains the following objective jurisdictional facts: (</w:t>
      </w:r>
      <w:proofErr w:type="spellStart"/>
      <w:r w:rsidRPr="003024B9">
        <w:rPr>
          <w:rFonts w:ascii="Arial" w:hAnsi="Arial" w:cs="Arial"/>
          <w:color w:val="000000"/>
          <w:sz w:val="24"/>
          <w:szCs w:val="24"/>
        </w:rPr>
        <w:t>i</w:t>
      </w:r>
      <w:proofErr w:type="spellEnd"/>
      <w:r w:rsidRPr="003024B9">
        <w:rPr>
          <w:rFonts w:ascii="Arial" w:hAnsi="Arial" w:cs="Arial"/>
          <w:color w:val="000000"/>
          <w:sz w:val="24"/>
          <w:szCs w:val="24"/>
        </w:rPr>
        <w:t>) the existence of a reasonable suspicion that a crime has been committed; and (ii) the existence of reasonable grounds to believe that objects connected with the offence may be found on the premises or persons intended to be searched.</w:t>
      </w:r>
      <w:bookmarkStart w:id="3" w:name="0-0-0-283309"/>
      <w:bookmarkEnd w:id="3"/>
      <w:r w:rsidRPr="003024B9">
        <w:rPr>
          <w:rFonts w:ascii="Arial" w:hAnsi="Arial" w:cs="Arial"/>
          <w:color w:val="000000"/>
          <w:sz w:val="24"/>
          <w:szCs w:val="24"/>
        </w:rPr>
        <w:t xml:space="preserve"> Both jurisdictional facts play a critical role in ensuring that the rights of a searched person are not lightly interfered with. When even one of them is missing that should spell doom to the application for a warrant”.</w:t>
      </w:r>
      <w:r w:rsidRPr="003024B9">
        <w:rPr>
          <w:rStyle w:val="FootnoteReference"/>
          <w:rFonts w:ascii="Arial" w:hAnsi="Arial" w:cs="Arial"/>
          <w:color w:val="000000"/>
          <w:sz w:val="24"/>
          <w:szCs w:val="24"/>
        </w:rPr>
        <w:footnoteReference w:id="3"/>
      </w:r>
    </w:p>
    <w:p w14:paraId="4B998F2F" w14:textId="77777777" w:rsidR="00145A3E" w:rsidRPr="003024B9" w:rsidRDefault="00145A3E" w:rsidP="00145A3E">
      <w:pPr>
        <w:spacing w:after="0" w:line="360" w:lineRule="auto"/>
        <w:ind w:left="1701" w:right="1254"/>
        <w:jc w:val="both"/>
        <w:rPr>
          <w:rFonts w:ascii="Arial" w:hAnsi="Arial" w:cs="Arial"/>
          <w:sz w:val="24"/>
          <w:szCs w:val="24"/>
        </w:rPr>
      </w:pPr>
    </w:p>
    <w:p w14:paraId="5D16D703" w14:textId="731D7E78" w:rsidR="00863E94" w:rsidRPr="003024B9" w:rsidRDefault="00145A3E" w:rsidP="00145A3E">
      <w:pPr>
        <w:spacing w:line="360" w:lineRule="auto"/>
        <w:ind w:left="851" w:hanging="851"/>
        <w:contextualSpacing/>
        <w:jc w:val="both"/>
        <w:rPr>
          <w:rFonts w:ascii="Arial" w:eastAsia="Calibri" w:hAnsi="Arial" w:cs="Arial"/>
          <w:sz w:val="28"/>
          <w:szCs w:val="28"/>
        </w:rPr>
      </w:pPr>
      <w:r w:rsidRPr="003024B9">
        <w:rPr>
          <w:rFonts w:ascii="Arial" w:eastAsia="Calibri" w:hAnsi="Arial" w:cs="Arial"/>
          <w:sz w:val="28"/>
          <w:szCs w:val="28"/>
        </w:rPr>
        <w:t>[1</w:t>
      </w:r>
      <w:r w:rsidR="0027145E">
        <w:rPr>
          <w:rFonts w:ascii="Arial" w:eastAsia="Calibri" w:hAnsi="Arial" w:cs="Arial"/>
          <w:sz w:val="28"/>
          <w:szCs w:val="28"/>
        </w:rPr>
        <w:t>3</w:t>
      </w:r>
      <w:r w:rsidRPr="003024B9">
        <w:rPr>
          <w:rFonts w:ascii="Arial" w:eastAsia="Calibri" w:hAnsi="Arial" w:cs="Arial"/>
          <w:sz w:val="28"/>
          <w:szCs w:val="28"/>
        </w:rPr>
        <w:t>]</w:t>
      </w:r>
      <w:r w:rsidRPr="003024B9">
        <w:rPr>
          <w:rFonts w:ascii="Arial" w:eastAsia="Calibri" w:hAnsi="Arial" w:cs="Arial"/>
          <w:sz w:val="28"/>
          <w:szCs w:val="28"/>
        </w:rPr>
        <w:tab/>
        <w:t xml:space="preserve">Turning to the particularity of the warrant, he specifically relied on the judgment of </w:t>
      </w:r>
      <w:proofErr w:type="spellStart"/>
      <w:r w:rsidRPr="00164992">
        <w:rPr>
          <w:rFonts w:ascii="Arial" w:eastAsia="Calibri" w:hAnsi="Arial" w:cs="Arial"/>
          <w:b/>
          <w:sz w:val="28"/>
          <w:szCs w:val="28"/>
        </w:rPr>
        <w:t>Goqwana</w:t>
      </w:r>
      <w:proofErr w:type="spellEnd"/>
      <w:r w:rsidR="00286C7C" w:rsidRPr="00164992">
        <w:rPr>
          <w:rFonts w:ascii="Arial" w:eastAsia="Calibri" w:hAnsi="Arial" w:cs="Arial"/>
          <w:b/>
          <w:sz w:val="28"/>
          <w:szCs w:val="28"/>
        </w:rPr>
        <w:t xml:space="preserve"> v Minister of Safety NO and Others</w:t>
      </w:r>
      <w:r w:rsidR="00286C7C" w:rsidRPr="00164992">
        <w:rPr>
          <w:rFonts w:ascii="Arial" w:eastAsia="Calibri" w:hAnsi="Arial" w:cs="Arial"/>
          <w:sz w:val="28"/>
          <w:szCs w:val="28"/>
        </w:rPr>
        <w:t>.</w:t>
      </w:r>
      <w:r w:rsidR="00286C7C" w:rsidRPr="00512BA7">
        <w:rPr>
          <w:rStyle w:val="FootnoteReference"/>
          <w:rFonts w:ascii="Arial" w:eastAsia="Calibri" w:hAnsi="Arial" w:cs="Arial"/>
          <w:sz w:val="28"/>
          <w:szCs w:val="28"/>
        </w:rPr>
        <w:footnoteReference w:id="4"/>
      </w:r>
      <w:r w:rsidRPr="00512BA7">
        <w:rPr>
          <w:rFonts w:ascii="Arial" w:eastAsia="Calibri" w:hAnsi="Arial" w:cs="Arial"/>
          <w:sz w:val="28"/>
          <w:szCs w:val="28"/>
        </w:rPr>
        <w:t xml:space="preserve"> </w:t>
      </w:r>
      <w:r w:rsidR="00512BA7">
        <w:rPr>
          <w:rFonts w:ascii="Arial" w:eastAsia="Calibri" w:hAnsi="Arial" w:cs="Arial"/>
          <w:sz w:val="28"/>
          <w:szCs w:val="28"/>
        </w:rPr>
        <w:t xml:space="preserve">In that matter the court </w:t>
      </w:r>
      <w:r w:rsidR="00286C7C" w:rsidRPr="003024B9">
        <w:rPr>
          <w:rFonts w:ascii="Arial" w:eastAsia="Calibri" w:hAnsi="Arial" w:cs="Arial"/>
          <w:sz w:val="28"/>
          <w:szCs w:val="28"/>
        </w:rPr>
        <w:t>held that “</w:t>
      </w:r>
      <w:r w:rsidR="00286C7C" w:rsidRPr="00512BA7">
        <w:rPr>
          <w:rFonts w:ascii="Arial" w:eastAsia="Calibri" w:hAnsi="Arial" w:cs="Arial"/>
          <w:sz w:val="24"/>
          <w:szCs w:val="24"/>
        </w:rPr>
        <w:t>the need for particularity of the search warrant especially where one is dealing with statutory offence is salutary</w:t>
      </w:r>
      <w:r w:rsidR="00286C7C" w:rsidRPr="003024B9">
        <w:rPr>
          <w:rFonts w:ascii="Arial" w:eastAsia="Calibri" w:hAnsi="Arial" w:cs="Arial"/>
          <w:sz w:val="28"/>
          <w:szCs w:val="28"/>
        </w:rPr>
        <w:t xml:space="preserve">.” The key requirement is that every relevant section and subsection must be adequately referred to. The court did not find this </w:t>
      </w:r>
      <w:r w:rsidR="00512BA7">
        <w:rPr>
          <w:rFonts w:ascii="Arial" w:eastAsia="Calibri" w:hAnsi="Arial" w:cs="Arial"/>
          <w:sz w:val="28"/>
          <w:szCs w:val="28"/>
        </w:rPr>
        <w:t xml:space="preserve">requirement </w:t>
      </w:r>
      <w:r w:rsidR="00286C7C" w:rsidRPr="003024B9">
        <w:rPr>
          <w:rFonts w:ascii="Arial" w:eastAsia="Calibri" w:hAnsi="Arial" w:cs="Arial"/>
          <w:sz w:val="28"/>
          <w:szCs w:val="28"/>
        </w:rPr>
        <w:t>to be onerous</w:t>
      </w:r>
      <w:r w:rsidR="00C2512C" w:rsidRPr="003024B9">
        <w:rPr>
          <w:rFonts w:ascii="Arial" w:eastAsia="Calibri" w:hAnsi="Arial" w:cs="Arial"/>
          <w:sz w:val="28"/>
          <w:szCs w:val="28"/>
        </w:rPr>
        <w:t xml:space="preserve"> on </w:t>
      </w:r>
      <w:r w:rsidR="00512BA7">
        <w:rPr>
          <w:rFonts w:ascii="Arial" w:eastAsia="Calibri" w:hAnsi="Arial" w:cs="Arial"/>
          <w:sz w:val="28"/>
          <w:szCs w:val="28"/>
        </w:rPr>
        <w:t xml:space="preserve">the </w:t>
      </w:r>
      <w:r w:rsidR="00C2512C" w:rsidRPr="003024B9">
        <w:rPr>
          <w:rFonts w:ascii="Arial" w:eastAsia="Calibri" w:hAnsi="Arial" w:cs="Arial"/>
          <w:sz w:val="28"/>
          <w:szCs w:val="28"/>
        </w:rPr>
        <w:t>magistrate</w:t>
      </w:r>
      <w:r w:rsidR="00512BA7">
        <w:rPr>
          <w:rFonts w:ascii="Arial" w:eastAsia="Calibri" w:hAnsi="Arial" w:cs="Arial"/>
          <w:sz w:val="28"/>
          <w:szCs w:val="28"/>
        </w:rPr>
        <w:t>s</w:t>
      </w:r>
      <w:r w:rsidR="00C2512C" w:rsidRPr="003024B9">
        <w:rPr>
          <w:rFonts w:ascii="Arial" w:eastAsia="Calibri" w:hAnsi="Arial" w:cs="Arial"/>
          <w:sz w:val="28"/>
          <w:szCs w:val="28"/>
        </w:rPr>
        <w:t xml:space="preserve"> because they</w:t>
      </w:r>
      <w:r w:rsidR="00512BA7">
        <w:rPr>
          <w:rFonts w:ascii="Arial" w:eastAsia="Calibri" w:hAnsi="Arial" w:cs="Arial"/>
          <w:sz w:val="28"/>
          <w:szCs w:val="28"/>
        </w:rPr>
        <w:t xml:space="preserve"> are</w:t>
      </w:r>
      <w:r w:rsidR="00C2512C" w:rsidRPr="003024B9">
        <w:rPr>
          <w:rFonts w:ascii="Arial" w:eastAsia="Calibri" w:hAnsi="Arial" w:cs="Arial"/>
          <w:sz w:val="28"/>
          <w:szCs w:val="28"/>
        </w:rPr>
        <w:t xml:space="preserve"> both</w:t>
      </w:r>
      <w:r w:rsidR="009E4665">
        <w:rPr>
          <w:rFonts w:ascii="Arial" w:eastAsia="Calibri" w:hAnsi="Arial" w:cs="Arial"/>
          <w:sz w:val="28"/>
          <w:szCs w:val="28"/>
        </w:rPr>
        <w:t xml:space="preserve"> </w:t>
      </w:r>
      <w:r w:rsidR="00C2512C" w:rsidRPr="003024B9">
        <w:rPr>
          <w:rFonts w:ascii="Arial" w:eastAsia="Calibri" w:hAnsi="Arial" w:cs="Arial"/>
          <w:sz w:val="28"/>
          <w:szCs w:val="28"/>
        </w:rPr>
        <w:t>academically well-equipped and vastly experienced.</w:t>
      </w:r>
      <w:r w:rsidR="005D31B1" w:rsidRPr="003024B9">
        <w:rPr>
          <w:rStyle w:val="FootnoteReference"/>
          <w:rFonts w:ascii="Arial" w:eastAsia="Calibri" w:hAnsi="Arial" w:cs="Arial"/>
          <w:sz w:val="28"/>
          <w:szCs w:val="28"/>
        </w:rPr>
        <w:footnoteReference w:id="5"/>
      </w:r>
      <w:r w:rsidR="005D31B1" w:rsidRPr="003024B9">
        <w:rPr>
          <w:rFonts w:ascii="Arial" w:eastAsia="Calibri" w:hAnsi="Arial" w:cs="Arial"/>
          <w:sz w:val="28"/>
          <w:szCs w:val="28"/>
        </w:rPr>
        <w:t xml:space="preserve"> He mounted an attack on the warrants </w:t>
      </w:r>
      <w:r w:rsidR="00512BA7">
        <w:rPr>
          <w:rFonts w:ascii="Arial" w:eastAsia="Calibri" w:hAnsi="Arial" w:cs="Arial"/>
          <w:sz w:val="28"/>
          <w:szCs w:val="28"/>
        </w:rPr>
        <w:t xml:space="preserve">under review </w:t>
      </w:r>
      <w:r w:rsidR="005D31B1" w:rsidRPr="003024B9">
        <w:rPr>
          <w:rFonts w:ascii="Arial" w:eastAsia="Calibri" w:hAnsi="Arial" w:cs="Arial"/>
          <w:sz w:val="28"/>
          <w:szCs w:val="28"/>
        </w:rPr>
        <w:t xml:space="preserve">that </w:t>
      </w:r>
      <w:r w:rsidR="00C2512C" w:rsidRPr="003024B9">
        <w:rPr>
          <w:rFonts w:ascii="Arial" w:eastAsia="Calibri" w:hAnsi="Arial" w:cs="Arial"/>
          <w:sz w:val="28"/>
          <w:szCs w:val="28"/>
        </w:rPr>
        <w:t>they</w:t>
      </w:r>
      <w:r w:rsidR="005D31B1" w:rsidRPr="003024B9">
        <w:rPr>
          <w:rFonts w:ascii="Arial" w:eastAsia="Calibri" w:hAnsi="Arial" w:cs="Arial"/>
          <w:sz w:val="28"/>
          <w:szCs w:val="28"/>
        </w:rPr>
        <w:t xml:space="preserve"> </w:t>
      </w:r>
      <w:r w:rsidR="005D31B1" w:rsidRPr="003024B9">
        <w:rPr>
          <w:rFonts w:ascii="Arial" w:eastAsia="Calibri" w:hAnsi="Arial" w:cs="Arial"/>
          <w:sz w:val="28"/>
          <w:szCs w:val="28"/>
        </w:rPr>
        <w:lastRenderedPageBreak/>
        <w:t>did not make mention of any subsections which also contain various offences. He added that the statement of the second respondent did nothing to show the t</w:t>
      </w:r>
      <w:r w:rsidR="00863E94" w:rsidRPr="003024B9">
        <w:rPr>
          <w:rFonts w:ascii="Arial" w:eastAsia="Calibri" w:hAnsi="Arial" w:cs="Arial"/>
          <w:sz w:val="28"/>
          <w:szCs w:val="28"/>
        </w:rPr>
        <w:t>hird respondent why there is some objective jurisdictional facts</w:t>
      </w:r>
      <w:r w:rsidR="005D31B1" w:rsidRPr="003024B9">
        <w:rPr>
          <w:rFonts w:ascii="Arial" w:eastAsia="Calibri" w:hAnsi="Arial" w:cs="Arial"/>
          <w:sz w:val="28"/>
          <w:szCs w:val="28"/>
        </w:rPr>
        <w:t xml:space="preserve"> to </w:t>
      </w:r>
      <w:r w:rsidR="00A903C4" w:rsidRPr="003024B9">
        <w:rPr>
          <w:rFonts w:ascii="Arial" w:eastAsia="Calibri" w:hAnsi="Arial" w:cs="Arial"/>
          <w:sz w:val="28"/>
          <w:szCs w:val="28"/>
        </w:rPr>
        <w:t>suspect</w:t>
      </w:r>
      <w:r w:rsidR="00863E94" w:rsidRPr="003024B9">
        <w:rPr>
          <w:rFonts w:ascii="Arial" w:eastAsia="Calibri" w:hAnsi="Arial" w:cs="Arial"/>
          <w:sz w:val="28"/>
          <w:szCs w:val="28"/>
        </w:rPr>
        <w:t xml:space="preserve"> the commission of the offence</w:t>
      </w:r>
      <w:r w:rsidR="00C2512C" w:rsidRPr="003024B9">
        <w:rPr>
          <w:rFonts w:ascii="Arial" w:eastAsia="Calibri" w:hAnsi="Arial" w:cs="Arial"/>
          <w:sz w:val="28"/>
          <w:szCs w:val="28"/>
        </w:rPr>
        <w:t>s</w:t>
      </w:r>
      <w:r w:rsidR="00863E94" w:rsidRPr="003024B9">
        <w:rPr>
          <w:rFonts w:ascii="Arial" w:eastAsia="Calibri" w:hAnsi="Arial" w:cs="Arial"/>
          <w:sz w:val="28"/>
          <w:szCs w:val="28"/>
        </w:rPr>
        <w:t>. The point made is that the warrants are invalid because of vagueness and lack reasonable intelligibility.</w:t>
      </w:r>
    </w:p>
    <w:p w14:paraId="50437F3B" w14:textId="77777777" w:rsidR="00863E94" w:rsidRPr="003024B9" w:rsidRDefault="00863E94" w:rsidP="00145A3E">
      <w:pPr>
        <w:spacing w:line="360" w:lineRule="auto"/>
        <w:ind w:left="851" w:hanging="851"/>
        <w:contextualSpacing/>
        <w:jc w:val="both"/>
        <w:rPr>
          <w:rFonts w:ascii="Arial" w:eastAsia="Calibri" w:hAnsi="Arial" w:cs="Arial"/>
          <w:sz w:val="28"/>
          <w:szCs w:val="28"/>
        </w:rPr>
      </w:pPr>
    </w:p>
    <w:p w14:paraId="4874DEEA" w14:textId="3207A4BD" w:rsidR="00863E94" w:rsidRPr="003024B9" w:rsidRDefault="00863E94" w:rsidP="00863E94">
      <w:pPr>
        <w:spacing w:line="360" w:lineRule="auto"/>
        <w:ind w:left="851" w:hanging="851"/>
        <w:contextualSpacing/>
        <w:jc w:val="both"/>
        <w:rPr>
          <w:rFonts w:ascii="Arial" w:eastAsia="Calibri" w:hAnsi="Arial" w:cs="Arial"/>
          <w:sz w:val="28"/>
          <w:szCs w:val="28"/>
        </w:rPr>
      </w:pPr>
      <w:r w:rsidRPr="003024B9">
        <w:rPr>
          <w:rFonts w:ascii="Arial" w:eastAsia="Calibri" w:hAnsi="Arial" w:cs="Arial"/>
          <w:sz w:val="28"/>
          <w:szCs w:val="28"/>
        </w:rPr>
        <w:t>[1</w:t>
      </w:r>
      <w:r w:rsidR="0027145E">
        <w:rPr>
          <w:rFonts w:ascii="Arial" w:eastAsia="Calibri" w:hAnsi="Arial" w:cs="Arial"/>
          <w:sz w:val="28"/>
          <w:szCs w:val="28"/>
        </w:rPr>
        <w:t>4</w:t>
      </w:r>
      <w:r w:rsidRPr="003024B9">
        <w:rPr>
          <w:rFonts w:ascii="Arial" w:eastAsia="Calibri" w:hAnsi="Arial" w:cs="Arial"/>
          <w:sz w:val="28"/>
          <w:szCs w:val="28"/>
        </w:rPr>
        <w:t>]</w:t>
      </w:r>
      <w:r w:rsidRPr="003024B9">
        <w:rPr>
          <w:rFonts w:ascii="Arial" w:eastAsia="Calibri" w:hAnsi="Arial" w:cs="Arial"/>
          <w:sz w:val="28"/>
          <w:szCs w:val="28"/>
        </w:rPr>
        <w:tab/>
      </w:r>
      <w:r w:rsidR="00C2512C" w:rsidRPr="003024B9">
        <w:rPr>
          <w:rFonts w:ascii="Arial" w:eastAsia="Calibri" w:hAnsi="Arial" w:cs="Arial"/>
          <w:sz w:val="28"/>
          <w:szCs w:val="28"/>
        </w:rPr>
        <w:t>He</w:t>
      </w:r>
      <w:r w:rsidRPr="003024B9">
        <w:rPr>
          <w:rFonts w:ascii="Arial" w:eastAsia="Calibri" w:hAnsi="Arial" w:cs="Arial"/>
          <w:sz w:val="28"/>
          <w:szCs w:val="28"/>
        </w:rPr>
        <w:t xml:space="preserve"> demonstrate</w:t>
      </w:r>
      <w:r w:rsidR="00C2512C" w:rsidRPr="003024B9">
        <w:rPr>
          <w:rFonts w:ascii="Arial" w:eastAsia="Calibri" w:hAnsi="Arial" w:cs="Arial"/>
          <w:sz w:val="28"/>
          <w:szCs w:val="28"/>
        </w:rPr>
        <w:t>d</w:t>
      </w:r>
      <w:r w:rsidRPr="003024B9">
        <w:rPr>
          <w:rFonts w:ascii="Arial" w:eastAsia="Calibri" w:hAnsi="Arial" w:cs="Arial"/>
          <w:sz w:val="28"/>
          <w:szCs w:val="28"/>
        </w:rPr>
        <w:t xml:space="preserve"> that there is no cogent reason why the warrants</w:t>
      </w:r>
      <w:r w:rsidR="00C2512C" w:rsidRPr="003024B9">
        <w:rPr>
          <w:rFonts w:ascii="Arial" w:eastAsia="Calibri" w:hAnsi="Arial" w:cs="Arial"/>
          <w:sz w:val="28"/>
          <w:szCs w:val="28"/>
        </w:rPr>
        <w:t xml:space="preserve"> </w:t>
      </w:r>
      <w:r w:rsidR="00512BA7">
        <w:rPr>
          <w:rFonts w:ascii="Arial" w:eastAsia="Calibri" w:hAnsi="Arial" w:cs="Arial"/>
          <w:sz w:val="28"/>
          <w:szCs w:val="28"/>
        </w:rPr>
        <w:t xml:space="preserve">were </w:t>
      </w:r>
      <w:r w:rsidR="00C2512C" w:rsidRPr="003024B9">
        <w:rPr>
          <w:rFonts w:ascii="Arial" w:eastAsia="Calibri" w:hAnsi="Arial" w:cs="Arial"/>
          <w:sz w:val="28"/>
          <w:szCs w:val="28"/>
        </w:rPr>
        <w:t xml:space="preserve">issued given the description of some of the assets that </w:t>
      </w:r>
      <w:r w:rsidRPr="003024B9">
        <w:rPr>
          <w:rFonts w:ascii="Arial" w:eastAsia="Calibri" w:hAnsi="Arial" w:cs="Arial"/>
          <w:sz w:val="28"/>
          <w:szCs w:val="28"/>
        </w:rPr>
        <w:t>were to be removed. Among</w:t>
      </w:r>
      <w:r w:rsidR="00A903C4" w:rsidRPr="003024B9">
        <w:rPr>
          <w:rFonts w:ascii="Arial" w:eastAsia="Calibri" w:hAnsi="Arial" w:cs="Arial"/>
          <w:sz w:val="28"/>
          <w:szCs w:val="28"/>
        </w:rPr>
        <w:t xml:space="preserve"> them</w:t>
      </w:r>
      <w:r w:rsidRPr="003024B9">
        <w:rPr>
          <w:rFonts w:ascii="Arial" w:eastAsia="Calibri" w:hAnsi="Arial" w:cs="Arial"/>
          <w:sz w:val="28"/>
          <w:szCs w:val="28"/>
        </w:rPr>
        <w:t xml:space="preserve"> were cheques which ha</w:t>
      </w:r>
      <w:r w:rsidR="009E4665">
        <w:rPr>
          <w:rFonts w:ascii="Arial" w:eastAsia="Calibri" w:hAnsi="Arial" w:cs="Arial"/>
          <w:sz w:val="28"/>
          <w:szCs w:val="28"/>
        </w:rPr>
        <w:t>ve</w:t>
      </w:r>
      <w:r w:rsidRPr="003024B9">
        <w:rPr>
          <w:rFonts w:ascii="Arial" w:eastAsia="Calibri" w:hAnsi="Arial" w:cs="Arial"/>
          <w:sz w:val="28"/>
          <w:szCs w:val="28"/>
        </w:rPr>
        <w:t xml:space="preserve"> not been a legal tender in the Republic for some time. There is no reason put forward why this archaic legal tender should be removed</w:t>
      </w:r>
      <w:r w:rsidR="00C2512C" w:rsidRPr="003024B9">
        <w:rPr>
          <w:rFonts w:ascii="Arial" w:eastAsia="Calibri" w:hAnsi="Arial" w:cs="Arial"/>
          <w:sz w:val="28"/>
          <w:szCs w:val="28"/>
        </w:rPr>
        <w:t xml:space="preserve"> or even feature in offence(s) investigated against the applicant</w:t>
      </w:r>
      <w:r w:rsidRPr="003024B9">
        <w:rPr>
          <w:rFonts w:ascii="Arial" w:eastAsia="Calibri" w:hAnsi="Arial" w:cs="Arial"/>
          <w:sz w:val="28"/>
          <w:szCs w:val="28"/>
        </w:rPr>
        <w:t>.</w:t>
      </w:r>
    </w:p>
    <w:p w14:paraId="469880BD" w14:textId="77777777" w:rsidR="00863E94" w:rsidRPr="003024B9" w:rsidRDefault="00863E94" w:rsidP="00863E94">
      <w:pPr>
        <w:spacing w:line="360" w:lineRule="auto"/>
        <w:ind w:left="851" w:hanging="851"/>
        <w:contextualSpacing/>
        <w:jc w:val="both"/>
        <w:rPr>
          <w:rFonts w:ascii="Arial" w:eastAsia="Calibri" w:hAnsi="Arial" w:cs="Arial"/>
          <w:sz w:val="28"/>
          <w:szCs w:val="28"/>
        </w:rPr>
      </w:pPr>
    </w:p>
    <w:p w14:paraId="7041009B" w14:textId="5C690EEA" w:rsidR="0027145E" w:rsidRDefault="00863E94" w:rsidP="00145A3E">
      <w:pPr>
        <w:spacing w:line="360" w:lineRule="auto"/>
        <w:ind w:left="851" w:hanging="851"/>
        <w:contextualSpacing/>
        <w:jc w:val="both"/>
        <w:rPr>
          <w:rFonts w:ascii="Arial" w:eastAsia="Calibri" w:hAnsi="Arial" w:cs="Arial"/>
          <w:sz w:val="28"/>
          <w:szCs w:val="28"/>
        </w:rPr>
      </w:pPr>
      <w:r w:rsidRPr="003024B9">
        <w:rPr>
          <w:rFonts w:ascii="Arial" w:eastAsia="Calibri" w:hAnsi="Arial" w:cs="Arial"/>
          <w:sz w:val="28"/>
          <w:szCs w:val="28"/>
        </w:rPr>
        <w:t>[1</w:t>
      </w:r>
      <w:r w:rsidR="0027145E">
        <w:rPr>
          <w:rFonts w:ascii="Arial" w:eastAsia="Calibri" w:hAnsi="Arial" w:cs="Arial"/>
          <w:sz w:val="28"/>
          <w:szCs w:val="28"/>
        </w:rPr>
        <w:t>5</w:t>
      </w:r>
      <w:r w:rsidRPr="003024B9">
        <w:rPr>
          <w:rFonts w:ascii="Arial" w:eastAsia="Calibri" w:hAnsi="Arial" w:cs="Arial"/>
          <w:sz w:val="28"/>
          <w:szCs w:val="28"/>
        </w:rPr>
        <w:t>]</w:t>
      </w:r>
      <w:r w:rsidRPr="003024B9">
        <w:rPr>
          <w:rFonts w:ascii="Arial" w:eastAsia="Calibri" w:hAnsi="Arial" w:cs="Arial"/>
          <w:sz w:val="28"/>
          <w:szCs w:val="28"/>
        </w:rPr>
        <w:tab/>
        <w:t xml:space="preserve">The further point taken </w:t>
      </w:r>
      <w:r w:rsidR="00B53127" w:rsidRPr="003024B9">
        <w:rPr>
          <w:rFonts w:ascii="Arial" w:eastAsia="Calibri" w:hAnsi="Arial" w:cs="Arial"/>
          <w:sz w:val="28"/>
          <w:szCs w:val="28"/>
        </w:rPr>
        <w:t>was</w:t>
      </w:r>
      <w:r w:rsidRPr="003024B9">
        <w:rPr>
          <w:rFonts w:ascii="Arial" w:eastAsia="Calibri" w:hAnsi="Arial" w:cs="Arial"/>
          <w:sz w:val="28"/>
          <w:szCs w:val="28"/>
        </w:rPr>
        <w:t xml:space="preserve"> the lack of full description pertaining to the premises. The statement of the second respondent makes it clear that information was collected by making use of undercover agents. </w:t>
      </w:r>
      <w:r w:rsidR="00B53127" w:rsidRPr="003024B9">
        <w:rPr>
          <w:rFonts w:ascii="Arial" w:eastAsia="Calibri" w:hAnsi="Arial" w:cs="Arial"/>
          <w:sz w:val="28"/>
          <w:szCs w:val="28"/>
        </w:rPr>
        <w:t>This</w:t>
      </w:r>
      <w:r w:rsidRPr="003024B9">
        <w:rPr>
          <w:rFonts w:ascii="Arial" w:eastAsia="Calibri" w:hAnsi="Arial" w:cs="Arial"/>
          <w:sz w:val="28"/>
          <w:szCs w:val="28"/>
        </w:rPr>
        <w:t xml:space="preserve"> was </w:t>
      </w:r>
      <w:r w:rsidR="00B53127" w:rsidRPr="003024B9">
        <w:rPr>
          <w:rFonts w:ascii="Arial" w:eastAsia="Calibri" w:hAnsi="Arial" w:cs="Arial"/>
          <w:sz w:val="28"/>
          <w:szCs w:val="28"/>
        </w:rPr>
        <w:t xml:space="preserve">in </w:t>
      </w:r>
      <w:r w:rsidRPr="003024B9">
        <w:rPr>
          <w:rFonts w:ascii="Arial" w:eastAsia="Calibri" w:hAnsi="Arial" w:cs="Arial"/>
          <w:sz w:val="28"/>
          <w:szCs w:val="28"/>
        </w:rPr>
        <w:t xml:space="preserve">contravention of section 252A of the </w:t>
      </w:r>
      <w:r w:rsidR="0027145E">
        <w:rPr>
          <w:rFonts w:ascii="Arial" w:eastAsia="Calibri" w:hAnsi="Arial" w:cs="Arial"/>
          <w:sz w:val="28"/>
          <w:szCs w:val="28"/>
        </w:rPr>
        <w:t>Criminal Procedure Act 51 of 1977.</w:t>
      </w:r>
      <w:r w:rsidR="0027145E" w:rsidRPr="003024B9">
        <w:rPr>
          <w:rFonts w:ascii="Arial" w:eastAsia="Calibri" w:hAnsi="Arial" w:cs="Arial"/>
          <w:sz w:val="28"/>
          <w:szCs w:val="28"/>
        </w:rPr>
        <w:t xml:space="preserve"> The provision in this Act cannot be implemented at whim. Stringent requirements must be met and its provisions applied as a measure of last resort. This aspect was not questioned by the third respondent. What is damaging in the case for the respondents, he argued, is that there are no specifications as to the operations that occurred at the four different locations. They were lumped together as though the information is applicable to all of them.</w:t>
      </w:r>
    </w:p>
    <w:p w14:paraId="743CCFF5" w14:textId="77777777" w:rsidR="0027145E" w:rsidRDefault="0027145E" w:rsidP="00145A3E">
      <w:pPr>
        <w:spacing w:line="360" w:lineRule="auto"/>
        <w:ind w:left="851" w:hanging="851"/>
        <w:contextualSpacing/>
        <w:jc w:val="both"/>
        <w:rPr>
          <w:rFonts w:ascii="Arial" w:eastAsia="Calibri" w:hAnsi="Arial" w:cs="Arial"/>
          <w:sz w:val="28"/>
          <w:szCs w:val="28"/>
        </w:rPr>
      </w:pPr>
    </w:p>
    <w:p w14:paraId="32153C3F" w14:textId="297C46FD" w:rsidR="00CD5FB0" w:rsidRPr="003024B9" w:rsidRDefault="0027145E" w:rsidP="00145A3E">
      <w:pPr>
        <w:spacing w:line="360" w:lineRule="auto"/>
        <w:ind w:left="851" w:hanging="851"/>
        <w:contextualSpacing/>
        <w:jc w:val="both"/>
        <w:rPr>
          <w:rFonts w:ascii="Arial" w:eastAsia="Calibri" w:hAnsi="Arial" w:cs="Arial"/>
          <w:b/>
          <w:sz w:val="28"/>
          <w:szCs w:val="28"/>
        </w:rPr>
      </w:pPr>
      <w:r>
        <w:rPr>
          <w:rFonts w:ascii="Arial" w:eastAsia="Calibri" w:hAnsi="Arial" w:cs="Arial"/>
          <w:sz w:val="28"/>
          <w:szCs w:val="28"/>
        </w:rPr>
        <w:t>[</w:t>
      </w:r>
      <w:r w:rsidR="00CD5FB0" w:rsidRPr="003024B9">
        <w:rPr>
          <w:rFonts w:ascii="Arial" w:eastAsia="Calibri" w:hAnsi="Arial" w:cs="Arial"/>
          <w:sz w:val="28"/>
          <w:szCs w:val="28"/>
        </w:rPr>
        <w:t>1</w:t>
      </w:r>
      <w:r>
        <w:rPr>
          <w:rFonts w:ascii="Arial" w:eastAsia="Calibri" w:hAnsi="Arial" w:cs="Arial"/>
          <w:sz w:val="28"/>
          <w:szCs w:val="28"/>
        </w:rPr>
        <w:t>6</w:t>
      </w:r>
      <w:r w:rsidR="00CD5FB0" w:rsidRPr="003024B9">
        <w:rPr>
          <w:rFonts w:ascii="Arial" w:eastAsia="Calibri" w:hAnsi="Arial" w:cs="Arial"/>
          <w:sz w:val="28"/>
          <w:szCs w:val="28"/>
        </w:rPr>
        <w:t>]</w:t>
      </w:r>
      <w:r w:rsidR="00CD5FB0" w:rsidRPr="003024B9">
        <w:rPr>
          <w:rFonts w:ascii="Arial" w:eastAsia="Calibri" w:hAnsi="Arial" w:cs="Arial"/>
          <w:sz w:val="28"/>
          <w:szCs w:val="28"/>
        </w:rPr>
        <w:tab/>
        <w:t>More importantly he argued that the second respondent should have provided an explanation on each and every business si</w:t>
      </w:r>
      <w:r w:rsidR="004656B7" w:rsidRPr="003024B9">
        <w:rPr>
          <w:rFonts w:ascii="Arial" w:eastAsia="Calibri" w:hAnsi="Arial" w:cs="Arial"/>
          <w:sz w:val="28"/>
          <w:szCs w:val="28"/>
        </w:rPr>
        <w:t>t</w:t>
      </w:r>
      <w:r w:rsidR="00CD5FB0" w:rsidRPr="003024B9">
        <w:rPr>
          <w:rFonts w:ascii="Arial" w:eastAsia="Calibri" w:hAnsi="Arial" w:cs="Arial"/>
          <w:sz w:val="28"/>
          <w:szCs w:val="28"/>
        </w:rPr>
        <w:t>e to sustain his assertion of a reasonable suspicion. I am inclined to agree with this submission because one must establish an objective jurisdictional fact. That is the kind of information</w:t>
      </w:r>
      <w:r w:rsidR="004A7C5A">
        <w:rPr>
          <w:rFonts w:ascii="Arial" w:eastAsia="Calibri" w:hAnsi="Arial" w:cs="Arial"/>
          <w:sz w:val="28"/>
          <w:szCs w:val="28"/>
        </w:rPr>
        <w:t xml:space="preserve"> on oath</w:t>
      </w:r>
      <w:r w:rsidR="00CD5FB0" w:rsidRPr="003024B9">
        <w:rPr>
          <w:rFonts w:ascii="Arial" w:eastAsia="Calibri" w:hAnsi="Arial" w:cs="Arial"/>
          <w:sz w:val="28"/>
          <w:szCs w:val="28"/>
        </w:rPr>
        <w:t xml:space="preserve"> that should have been placed before the third respondent before the warrants</w:t>
      </w:r>
      <w:r w:rsidR="00BA162A" w:rsidRPr="003024B9">
        <w:rPr>
          <w:rFonts w:ascii="Arial" w:eastAsia="Calibri" w:hAnsi="Arial" w:cs="Arial"/>
          <w:sz w:val="28"/>
          <w:szCs w:val="28"/>
        </w:rPr>
        <w:t xml:space="preserve"> were issued. This is also in line with the established authorities in </w:t>
      </w:r>
      <w:r w:rsidR="00BA162A" w:rsidRPr="00164992">
        <w:rPr>
          <w:rFonts w:ascii="Arial" w:eastAsia="Calibri" w:hAnsi="Arial" w:cs="Arial"/>
          <w:b/>
          <w:sz w:val="28"/>
          <w:szCs w:val="28"/>
        </w:rPr>
        <w:t>Van Der Merwe</w:t>
      </w:r>
      <w:r w:rsidR="004656B7" w:rsidRPr="0027145E">
        <w:rPr>
          <w:rFonts w:ascii="Arial" w:eastAsia="Calibri" w:hAnsi="Arial" w:cs="Arial"/>
          <w:sz w:val="28"/>
          <w:szCs w:val="28"/>
        </w:rPr>
        <w:t xml:space="preserve"> </w:t>
      </w:r>
      <w:r w:rsidR="004656B7" w:rsidRPr="0027145E">
        <w:rPr>
          <w:rFonts w:ascii="Arial" w:eastAsia="Calibri" w:hAnsi="Arial" w:cs="Arial"/>
          <w:i/>
          <w:sz w:val="28"/>
          <w:szCs w:val="28"/>
        </w:rPr>
        <w:t>supra</w:t>
      </w:r>
      <w:r w:rsidR="00BA162A" w:rsidRPr="0027145E">
        <w:rPr>
          <w:rFonts w:ascii="Arial" w:eastAsia="Calibri" w:hAnsi="Arial" w:cs="Arial"/>
          <w:sz w:val="28"/>
          <w:szCs w:val="28"/>
        </w:rPr>
        <w:t xml:space="preserve"> </w:t>
      </w:r>
      <w:r w:rsidR="00BA162A" w:rsidRPr="004A7C5A">
        <w:rPr>
          <w:rFonts w:ascii="Arial" w:eastAsia="Calibri" w:hAnsi="Arial" w:cs="Arial"/>
          <w:sz w:val="28"/>
          <w:szCs w:val="28"/>
        </w:rPr>
        <w:t>and</w:t>
      </w:r>
      <w:r w:rsidR="00BA162A" w:rsidRPr="0027145E">
        <w:rPr>
          <w:rFonts w:ascii="Arial" w:eastAsia="Calibri" w:hAnsi="Arial" w:cs="Arial"/>
          <w:sz w:val="28"/>
          <w:szCs w:val="28"/>
        </w:rPr>
        <w:t xml:space="preserve"> </w:t>
      </w:r>
      <w:r w:rsidR="00BA162A" w:rsidRPr="00164992">
        <w:rPr>
          <w:rFonts w:ascii="Arial" w:eastAsia="Calibri" w:hAnsi="Arial" w:cs="Arial"/>
          <w:b/>
          <w:sz w:val="28"/>
          <w:szCs w:val="28"/>
        </w:rPr>
        <w:t>Powell</w:t>
      </w:r>
      <w:r w:rsidR="00B010FB" w:rsidRPr="00164992">
        <w:rPr>
          <w:rFonts w:ascii="Arial" w:eastAsia="Calibri" w:hAnsi="Arial" w:cs="Arial"/>
          <w:b/>
          <w:sz w:val="28"/>
          <w:szCs w:val="28"/>
        </w:rPr>
        <w:t xml:space="preserve"> NO and Others v Van der Merwe NO and Others</w:t>
      </w:r>
      <w:r w:rsidR="009E4665">
        <w:rPr>
          <w:rFonts w:ascii="Arial" w:eastAsia="Calibri" w:hAnsi="Arial" w:cs="Arial"/>
          <w:b/>
          <w:sz w:val="28"/>
          <w:szCs w:val="28"/>
        </w:rPr>
        <w:t>.</w:t>
      </w:r>
      <w:r w:rsidR="00BA162A" w:rsidRPr="003024B9">
        <w:rPr>
          <w:rStyle w:val="FootnoteReference"/>
          <w:rFonts w:ascii="Arial" w:eastAsia="Calibri" w:hAnsi="Arial" w:cs="Arial"/>
          <w:sz w:val="28"/>
          <w:szCs w:val="28"/>
        </w:rPr>
        <w:footnoteReference w:id="6"/>
      </w:r>
    </w:p>
    <w:p w14:paraId="73B4FE85" w14:textId="77777777" w:rsidR="00145A3E" w:rsidRPr="003024B9" w:rsidRDefault="00145A3E" w:rsidP="00145A3E">
      <w:pPr>
        <w:spacing w:line="360" w:lineRule="auto"/>
        <w:ind w:left="851" w:hanging="851"/>
        <w:contextualSpacing/>
        <w:jc w:val="both"/>
        <w:rPr>
          <w:rFonts w:ascii="Arial" w:eastAsia="Calibri" w:hAnsi="Arial" w:cs="Arial"/>
          <w:sz w:val="28"/>
          <w:szCs w:val="28"/>
        </w:rPr>
      </w:pPr>
      <w:r w:rsidRPr="003024B9">
        <w:rPr>
          <w:rFonts w:ascii="Arial" w:eastAsia="Calibri" w:hAnsi="Arial" w:cs="Arial"/>
          <w:sz w:val="28"/>
          <w:szCs w:val="28"/>
        </w:rPr>
        <w:t xml:space="preserve"> </w:t>
      </w:r>
    </w:p>
    <w:p w14:paraId="01953905" w14:textId="0C9D602D" w:rsidR="00BA162A" w:rsidRPr="003024B9" w:rsidRDefault="00BA162A" w:rsidP="00145A3E">
      <w:pPr>
        <w:spacing w:line="360" w:lineRule="auto"/>
        <w:ind w:left="851" w:hanging="851"/>
        <w:contextualSpacing/>
        <w:jc w:val="both"/>
        <w:rPr>
          <w:rFonts w:ascii="Arial" w:eastAsia="Calibri" w:hAnsi="Arial" w:cs="Arial"/>
          <w:sz w:val="28"/>
          <w:szCs w:val="28"/>
        </w:rPr>
      </w:pPr>
      <w:r w:rsidRPr="003024B9">
        <w:rPr>
          <w:rFonts w:ascii="Arial" w:eastAsia="Calibri" w:hAnsi="Arial" w:cs="Arial"/>
          <w:sz w:val="28"/>
          <w:szCs w:val="28"/>
        </w:rPr>
        <w:lastRenderedPageBreak/>
        <w:t>[1</w:t>
      </w:r>
      <w:r w:rsidR="0027145E">
        <w:rPr>
          <w:rFonts w:ascii="Arial" w:eastAsia="Calibri" w:hAnsi="Arial" w:cs="Arial"/>
          <w:sz w:val="28"/>
          <w:szCs w:val="28"/>
        </w:rPr>
        <w:t>7</w:t>
      </w:r>
      <w:r w:rsidRPr="003024B9">
        <w:rPr>
          <w:rFonts w:ascii="Arial" w:eastAsia="Calibri" w:hAnsi="Arial" w:cs="Arial"/>
          <w:sz w:val="28"/>
          <w:szCs w:val="28"/>
        </w:rPr>
        <w:t>]</w:t>
      </w:r>
      <w:r w:rsidRPr="003024B9">
        <w:rPr>
          <w:rFonts w:ascii="Arial" w:eastAsia="Calibri" w:hAnsi="Arial" w:cs="Arial"/>
          <w:sz w:val="28"/>
          <w:szCs w:val="28"/>
        </w:rPr>
        <w:tab/>
        <w:t xml:space="preserve">The court in </w:t>
      </w:r>
      <w:r w:rsidRPr="00164992">
        <w:rPr>
          <w:rFonts w:ascii="Arial" w:eastAsia="Calibri" w:hAnsi="Arial" w:cs="Arial"/>
          <w:b/>
          <w:sz w:val="28"/>
          <w:szCs w:val="28"/>
        </w:rPr>
        <w:t>Powell NO and Others v</w:t>
      </w:r>
      <w:r w:rsidR="004674BF" w:rsidRPr="00164992">
        <w:rPr>
          <w:b/>
        </w:rPr>
        <w:t xml:space="preserve"> </w:t>
      </w:r>
      <w:r w:rsidR="004674BF" w:rsidRPr="00164992">
        <w:rPr>
          <w:rFonts w:ascii="Arial" w:eastAsia="Calibri" w:hAnsi="Arial" w:cs="Arial"/>
          <w:b/>
          <w:sz w:val="28"/>
          <w:szCs w:val="28"/>
        </w:rPr>
        <w:t>Van der Merwe NO and Others</w:t>
      </w:r>
      <w:r w:rsidRPr="004A7C5A">
        <w:rPr>
          <w:rFonts w:ascii="Arial" w:eastAsia="Calibri" w:hAnsi="Arial" w:cs="Arial"/>
          <w:sz w:val="28"/>
          <w:szCs w:val="28"/>
        </w:rPr>
        <w:t xml:space="preserve"> </w:t>
      </w:r>
      <w:r w:rsidRPr="003024B9">
        <w:rPr>
          <w:rFonts w:ascii="Arial" w:eastAsia="Calibri" w:hAnsi="Arial" w:cs="Arial"/>
          <w:sz w:val="28"/>
          <w:szCs w:val="28"/>
        </w:rPr>
        <w:t xml:space="preserve">described </w:t>
      </w:r>
      <w:r w:rsidR="004A7C5A">
        <w:rPr>
          <w:rFonts w:ascii="Arial" w:eastAsia="Calibri" w:hAnsi="Arial" w:cs="Arial"/>
          <w:sz w:val="28"/>
          <w:szCs w:val="28"/>
        </w:rPr>
        <w:t xml:space="preserve">the meaning of </w:t>
      </w:r>
      <w:r w:rsidRPr="003024B9">
        <w:rPr>
          <w:rFonts w:ascii="Arial" w:eastAsia="Calibri" w:hAnsi="Arial" w:cs="Arial"/>
          <w:sz w:val="28"/>
          <w:szCs w:val="28"/>
        </w:rPr>
        <w:t xml:space="preserve">suspicion in the following terms: - </w:t>
      </w:r>
    </w:p>
    <w:p w14:paraId="54B91C4D" w14:textId="77777777" w:rsidR="004D4141" w:rsidRPr="003024B9" w:rsidRDefault="004D4141" w:rsidP="004D4141">
      <w:pPr>
        <w:spacing w:after="0" w:line="360" w:lineRule="auto"/>
        <w:ind w:left="1701" w:right="1254"/>
        <w:jc w:val="both"/>
        <w:rPr>
          <w:rFonts w:ascii="Arial" w:hAnsi="Arial" w:cs="Arial"/>
          <w:sz w:val="24"/>
          <w:szCs w:val="24"/>
        </w:rPr>
      </w:pPr>
      <w:r w:rsidRPr="003024B9">
        <w:rPr>
          <w:rFonts w:ascii="Arial" w:hAnsi="Arial" w:cs="Arial"/>
          <w:sz w:val="24"/>
          <w:szCs w:val="24"/>
        </w:rPr>
        <w:t>“This Court has endorsed and adopted Lord Devlin’s formulation of the meaning of ‘suspicion’:</w:t>
      </w:r>
    </w:p>
    <w:p w14:paraId="5C7FAB9C" w14:textId="77777777" w:rsidR="004D4141" w:rsidRPr="003024B9" w:rsidRDefault="004D4141" w:rsidP="004D4141">
      <w:pPr>
        <w:spacing w:after="0" w:line="360" w:lineRule="auto"/>
        <w:ind w:left="1701" w:right="1254"/>
        <w:jc w:val="both"/>
        <w:rPr>
          <w:rFonts w:ascii="Arial" w:hAnsi="Arial" w:cs="Arial"/>
          <w:sz w:val="24"/>
          <w:szCs w:val="24"/>
        </w:rPr>
      </w:pPr>
      <w:r w:rsidRPr="003024B9">
        <w:rPr>
          <w:rFonts w:ascii="Arial" w:hAnsi="Arial" w:cs="Arial"/>
          <w:sz w:val="24"/>
          <w:szCs w:val="24"/>
        </w:rPr>
        <w:t xml:space="preserve">‘Suspicion in its ordinary meaning is a state of conjecture or surmise where proof is lacking; ‘I suspect but I cannot prove’.  Suspicion arises at or near the starting point of an investigation of which the obtaining of </w:t>
      </w:r>
      <w:r w:rsidRPr="003024B9">
        <w:rPr>
          <w:rFonts w:ascii="Arial" w:hAnsi="Arial" w:cs="Arial"/>
          <w:i/>
          <w:iCs/>
          <w:sz w:val="24"/>
          <w:szCs w:val="24"/>
        </w:rPr>
        <w:t>prima facie</w:t>
      </w:r>
      <w:r w:rsidRPr="003024B9">
        <w:rPr>
          <w:rFonts w:ascii="Arial" w:hAnsi="Arial" w:cs="Arial"/>
          <w:sz w:val="24"/>
          <w:szCs w:val="24"/>
        </w:rPr>
        <w:t xml:space="preserve"> proof is the end.’”</w:t>
      </w:r>
      <w:r w:rsidRPr="003024B9">
        <w:rPr>
          <w:rStyle w:val="FootnoteReference"/>
          <w:rFonts w:ascii="Arial" w:hAnsi="Arial" w:cs="Arial"/>
          <w:sz w:val="24"/>
          <w:szCs w:val="24"/>
        </w:rPr>
        <w:footnoteReference w:id="7"/>
      </w:r>
    </w:p>
    <w:p w14:paraId="28E76BB8" w14:textId="77777777" w:rsidR="004D4141" w:rsidRPr="003024B9" w:rsidRDefault="004D4141" w:rsidP="004D4141"/>
    <w:p w14:paraId="511C48D6" w14:textId="26FBD3EC" w:rsidR="004D4141" w:rsidRPr="003024B9" w:rsidRDefault="004D4141" w:rsidP="004D4141">
      <w:pPr>
        <w:spacing w:line="360" w:lineRule="auto"/>
        <w:ind w:left="851" w:hanging="851"/>
        <w:contextualSpacing/>
        <w:jc w:val="both"/>
        <w:rPr>
          <w:rFonts w:ascii="Arial" w:eastAsia="Calibri" w:hAnsi="Arial" w:cs="Arial"/>
          <w:sz w:val="28"/>
          <w:szCs w:val="28"/>
        </w:rPr>
      </w:pPr>
      <w:r w:rsidRPr="003024B9">
        <w:rPr>
          <w:rFonts w:ascii="Arial" w:eastAsia="Calibri" w:hAnsi="Arial" w:cs="Arial"/>
          <w:sz w:val="28"/>
          <w:szCs w:val="28"/>
        </w:rPr>
        <w:t>[1</w:t>
      </w:r>
      <w:r w:rsidR="0027145E">
        <w:rPr>
          <w:rFonts w:ascii="Arial" w:eastAsia="Calibri" w:hAnsi="Arial" w:cs="Arial"/>
          <w:sz w:val="28"/>
          <w:szCs w:val="28"/>
        </w:rPr>
        <w:t>8</w:t>
      </w:r>
      <w:r w:rsidRPr="003024B9">
        <w:rPr>
          <w:rFonts w:ascii="Arial" w:eastAsia="Calibri" w:hAnsi="Arial" w:cs="Arial"/>
          <w:sz w:val="28"/>
          <w:szCs w:val="28"/>
        </w:rPr>
        <w:t>]</w:t>
      </w:r>
      <w:r w:rsidRPr="003024B9">
        <w:rPr>
          <w:rFonts w:ascii="Arial" w:eastAsia="Calibri" w:hAnsi="Arial" w:cs="Arial"/>
          <w:sz w:val="28"/>
          <w:szCs w:val="28"/>
        </w:rPr>
        <w:tab/>
        <w:t xml:space="preserve">Counsel </w:t>
      </w:r>
      <w:r w:rsidR="00EF4E61" w:rsidRPr="003024B9">
        <w:rPr>
          <w:rFonts w:ascii="Arial" w:eastAsia="Calibri" w:hAnsi="Arial" w:cs="Arial"/>
          <w:sz w:val="28"/>
          <w:szCs w:val="28"/>
        </w:rPr>
        <w:t xml:space="preserve">for the applicant </w:t>
      </w:r>
      <w:r w:rsidRPr="003024B9">
        <w:rPr>
          <w:rFonts w:ascii="Arial" w:eastAsia="Calibri" w:hAnsi="Arial" w:cs="Arial"/>
          <w:sz w:val="28"/>
          <w:szCs w:val="28"/>
        </w:rPr>
        <w:t>submitted that the provisions of the Criminal Procedure Act</w:t>
      </w:r>
      <w:r w:rsidR="00EF4E61" w:rsidRPr="003024B9">
        <w:rPr>
          <w:rFonts w:ascii="Arial" w:eastAsia="Calibri" w:hAnsi="Arial" w:cs="Arial"/>
          <w:sz w:val="28"/>
          <w:szCs w:val="28"/>
        </w:rPr>
        <w:t xml:space="preserve"> 51 of 1977</w:t>
      </w:r>
      <w:r w:rsidR="003C1D01" w:rsidRPr="003024B9">
        <w:rPr>
          <w:rFonts w:ascii="Arial" w:eastAsia="Calibri" w:hAnsi="Arial" w:cs="Arial"/>
          <w:sz w:val="28"/>
          <w:szCs w:val="28"/>
        </w:rPr>
        <w:t xml:space="preserve"> </w:t>
      </w:r>
      <w:r w:rsidRPr="003024B9">
        <w:rPr>
          <w:rFonts w:ascii="Arial" w:eastAsia="Calibri" w:hAnsi="Arial" w:cs="Arial"/>
          <w:sz w:val="28"/>
          <w:szCs w:val="28"/>
        </w:rPr>
        <w:t>in relation to warrants only applies insofar as it is not inconsistent with the provisions of the Cybercrime</w:t>
      </w:r>
      <w:r w:rsidR="00EF4E61" w:rsidRPr="003024B9">
        <w:rPr>
          <w:rFonts w:ascii="Arial" w:eastAsia="Calibri" w:hAnsi="Arial" w:cs="Arial"/>
          <w:sz w:val="28"/>
          <w:szCs w:val="28"/>
        </w:rPr>
        <w:t>s</w:t>
      </w:r>
      <w:r w:rsidRPr="003024B9">
        <w:rPr>
          <w:rFonts w:ascii="Arial" w:eastAsia="Calibri" w:hAnsi="Arial" w:cs="Arial"/>
          <w:sz w:val="28"/>
          <w:szCs w:val="28"/>
        </w:rPr>
        <w:t xml:space="preserve"> Act</w:t>
      </w:r>
      <w:r w:rsidR="003C1D01" w:rsidRPr="003024B9">
        <w:rPr>
          <w:rFonts w:ascii="Arial" w:eastAsia="Calibri" w:hAnsi="Arial" w:cs="Arial"/>
          <w:sz w:val="28"/>
          <w:szCs w:val="28"/>
        </w:rPr>
        <w:t xml:space="preserve"> 19 of 2020</w:t>
      </w:r>
      <w:r w:rsidRPr="003024B9">
        <w:rPr>
          <w:rFonts w:ascii="Arial" w:eastAsia="Calibri" w:hAnsi="Arial" w:cs="Arial"/>
          <w:sz w:val="28"/>
          <w:szCs w:val="28"/>
        </w:rPr>
        <w:t>. In this matter the third respondent was wrong to authorise the search and seizure articles with</w:t>
      </w:r>
      <w:r w:rsidR="00EF4E61" w:rsidRPr="003024B9">
        <w:rPr>
          <w:rFonts w:ascii="Arial" w:eastAsia="Calibri" w:hAnsi="Arial" w:cs="Arial"/>
          <w:sz w:val="28"/>
          <w:szCs w:val="28"/>
        </w:rPr>
        <w:t>in</w:t>
      </w:r>
      <w:r w:rsidRPr="003024B9">
        <w:rPr>
          <w:rFonts w:ascii="Arial" w:eastAsia="Calibri" w:hAnsi="Arial" w:cs="Arial"/>
          <w:sz w:val="28"/>
          <w:szCs w:val="28"/>
        </w:rPr>
        <w:t xml:space="preserve"> the definition of the </w:t>
      </w:r>
      <w:r w:rsidR="004A7C5A">
        <w:rPr>
          <w:rFonts w:ascii="Arial" w:eastAsia="Calibri" w:hAnsi="Arial" w:cs="Arial"/>
          <w:sz w:val="28"/>
          <w:szCs w:val="28"/>
        </w:rPr>
        <w:t>latter</w:t>
      </w:r>
      <w:r w:rsidR="004A7C5A" w:rsidRPr="003024B9">
        <w:rPr>
          <w:rFonts w:ascii="Arial" w:eastAsia="Calibri" w:hAnsi="Arial" w:cs="Arial"/>
          <w:sz w:val="28"/>
          <w:szCs w:val="28"/>
        </w:rPr>
        <w:t xml:space="preserve"> </w:t>
      </w:r>
      <w:r w:rsidRPr="003024B9">
        <w:rPr>
          <w:rFonts w:ascii="Arial" w:eastAsia="Calibri" w:hAnsi="Arial" w:cs="Arial"/>
          <w:sz w:val="28"/>
          <w:szCs w:val="28"/>
        </w:rPr>
        <w:t xml:space="preserve">Act. He took issue with the fact that the warrants make reference to ships, vehicles, aircraft etc. </w:t>
      </w:r>
      <w:r w:rsidR="00C9478C" w:rsidRPr="003024B9">
        <w:rPr>
          <w:rFonts w:ascii="Arial" w:eastAsia="Calibri" w:hAnsi="Arial" w:cs="Arial"/>
          <w:sz w:val="28"/>
          <w:szCs w:val="28"/>
        </w:rPr>
        <w:t>T</w:t>
      </w:r>
      <w:r w:rsidRPr="003024B9">
        <w:rPr>
          <w:rFonts w:ascii="Arial" w:eastAsia="Calibri" w:hAnsi="Arial" w:cs="Arial"/>
          <w:sz w:val="28"/>
          <w:szCs w:val="28"/>
        </w:rPr>
        <w:t>his is a deviation</w:t>
      </w:r>
      <w:r w:rsidR="004A7C5A">
        <w:rPr>
          <w:rFonts w:ascii="Arial" w:eastAsia="Calibri" w:hAnsi="Arial" w:cs="Arial"/>
          <w:sz w:val="28"/>
          <w:szCs w:val="28"/>
        </w:rPr>
        <w:t xml:space="preserve"> from the facts in</w:t>
      </w:r>
      <w:r w:rsidRPr="003024B9">
        <w:rPr>
          <w:rFonts w:ascii="Arial" w:eastAsia="Calibri" w:hAnsi="Arial" w:cs="Arial"/>
          <w:sz w:val="28"/>
          <w:szCs w:val="28"/>
        </w:rPr>
        <w:t xml:space="preserve"> the statement used to obtain them. I agree with this submission.</w:t>
      </w:r>
    </w:p>
    <w:p w14:paraId="45230F29" w14:textId="77777777" w:rsidR="004D4141" w:rsidRPr="003024B9" w:rsidRDefault="004D4141" w:rsidP="004D4141">
      <w:pPr>
        <w:spacing w:line="360" w:lineRule="auto"/>
        <w:ind w:left="851" w:hanging="851"/>
        <w:contextualSpacing/>
        <w:jc w:val="both"/>
        <w:rPr>
          <w:rFonts w:ascii="Arial" w:eastAsia="Calibri" w:hAnsi="Arial" w:cs="Arial"/>
          <w:sz w:val="28"/>
          <w:szCs w:val="28"/>
        </w:rPr>
      </w:pPr>
    </w:p>
    <w:p w14:paraId="6D09746E" w14:textId="5B1244FA" w:rsidR="004D4141" w:rsidRPr="003024B9" w:rsidRDefault="004D4141" w:rsidP="004D4141">
      <w:pPr>
        <w:spacing w:line="360" w:lineRule="auto"/>
        <w:ind w:left="851" w:hanging="851"/>
        <w:contextualSpacing/>
        <w:jc w:val="both"/>
        <w:rPr>
          <w:rFonts w:ascii="Arial" w:eastAsia="Calibri" w:hAnsi="Arial" w:cs="Arial"/>
          <w:sz w:val="28"/>
          <w:szCs w:val="28"/>
        </w:rPr>
      </w:pPr>
      <w:r w:rsidRPr="003024B9">
        <w:rPr>
          <w:rFonts w:ascii="Arial" w:eastAsia="Calibri" w:hAnsi="Arial" w:cs="Arial"/>
          <w:sz w:val="28"/>
          <w:szCs w:val="28"/>
        </w:rPr>
        <w:t>[1</w:t>
      </w:r>
      <w:r w:rsidR="0027145E">
        <w:rPr>
          <w:rFonts w:ascii="Arial" w:eastAsia="Calibri" w:hAnsi="Arial" w:cs="Arial"/>
          <w:sz w:val="28"/>
          <w:szCs w:val="28"/>
        </w:rPr>
        <w:t>9</w:t>
      </w:r>
      <w:r w:rsidRPr="003024B9">
        <w:rPr>
          <w:rFonts w:ascii="Arial" w:eastAsia="Calibri" w:hAnsi="Arial" w:cs="Arial"/>
          <w:sz w:val="28"/>
          <w:szCs w:val="28"/>
        </w:rPr>
        <w:t>]</w:t>
      </w:r>
      <w:r w:rsidRPr="003024B9">
        <w:rPr>
          <w:rFonts w:ascii="Arial" w:eastAsia="Calibri" w:hAnsi="Arial" w:cs="Arial"/>
          <w:sz w:val="28"/>
          <w:szCs w:val="28"/>
        </w:rPr>
        <w:tab/>
        <w:t xml:space="preserve">Ms </w:t>
      </w:r>
      <w:proofErr w:type="spellStart"/>
      <w:r w:rsidRPr="003024B9">
        <w:rPr>
          <w:rFonts w:ascii="Arial" w:eastAsia="Calibri" w:hAnsi="Arial" w:cs="Arial"/>
          <w:sz w:val="28"/>
          <w:szCs w:val="28"/>
        </w:rPr>
        <w:t>Ngubeni</w:t>
      </w:r>
      <w:proofErr w:type="spellEnd"/>
      <w:r w:rsidRPr="003024B9">
        <w:rPr>
          <w:rFonts w:ascii="Arial" w:eastAsia="Calibri" w:hAnsi="Arial" w:cs="Arial"/>
          <w:sz w:val="28"/>
          <w:szCs w:val="28"/>
        </w:rPr>
        <w:t xml:space="preserve"> in reply referred to the affidavit</w:t>
      </w:r>
      <w:r w:rsidR="004A7C5A">
        <w:rPr>
          <w:rFonts w:ascii="Arial" w:eastAsia="Calibri" w:hAnsi="Arial" w:cs="Arial"/>
          <w:sz w:val="28"/>
          <w:szCs w:val="28"/>
        </w:rPr>
        <w:t>s</w:t>
      </w:r>
      <w:r w:rsidRPr="003024B9">
        <w:rPr>
          <w:rFonts w:ascii="Arial" w:eastAsia="Calibri" w:hAnsi="Arial" w:cs="Arial"/>
          <w:sz w:val="28"/>
          <w:szCs w:val="28"/>
        </w:rPr>
        <w:t xml:space="preserve"> filed by the second respondent which </w:t>
      </w:r>
      <w:r w:rsidR="004A7C5A" w:rsidRPr="003024B9">
        <w:rPr>
          <w:rFonts w:ascii="Arial" w:eastAsia="Calibri" w:hAnsi="Arial" w:cs="Arial"/>
          <w:sz w:val="28"/>
          <w:szCs w:val="28"/>
        </w:rPr>
        <w:t>w</w:t>
      </w:r>
      <w:r w:rsidR="004A7C5A">
        <w:rPr>
          <w:rFonts w:ascii="Arial" w:eastAsia="Calibri" w:hAnsi="Arial" w:cs="Arial"/>
          <w:sz w:val="28"/>
          <w:szCs w:val="28"/>
        </w:rPr>
        <w:t>ere</w:t>
      </w:r>
      <w:r w:rsidR="004A7C5A" w:rsidRPr="003024B9">
        <w:rPr>
          <w:rFonts w:ascii="Arial" w:eastAsia="Calibri" w:hAnsi="Arial" w:cs="Arial"/>
          <w:sz w:val="28"/>
          <w:szCs w:val="28"/>
        </w:rPr>
        <w:t xml:space="preserve"> </w:t>
      </w:r>
      <w:r w:rsidRPr="003024B9">
        <w:rPr>
          <w:rFonts w:ascii="Arial" w:eastAsia="Calibri" w:hAnsi="Arial" w:cs="Arial"/>
          <w:sz w:val="28"/>
          <w:szCs w:val="28"/>
        </w:rPr>
        <w:t>the only document</w:t>
      </w:r>
      <w:r w:rsidR="004A7C5A">
        <w:rPr>
          <w:rFonts w:ascii="Arial" w:eastAsia="Calibri" w:hAnsi="Arial" w:cs="Arial"/>
          <w:sz w:val="28"/>
          <w:szCs w:val="28"/>
        </w:rPr>
        <w:t>s</w:t>
      </w:r>
      <w:r w:rsidRPr="003024B9">
        <w:rPr>
          <w:rFonts w:ascii="Arial" w:eastAsia="Calibri" w:hAnsi="Arial" w:cs="Arial"/>
          <w:sz w:val="28"/>
          <w:szCs w:val="28"/>
        </w:rPr>
        <w:t xml:space="preserve"> placed before the third resp</w:t>
      </w:r>
      <w:r w:rsidR="00A903C4" w:rsidRPr="003024B9">
        <w:rPr>
          <w:rFonts w:ascii="Arial" w:eastAsia="Calibri" w:hAnsi="Arial" w:cs="Arial"/>
          <w:sz w:val="28"/>
          <w:szCs w:val="28"/>
        </w:rPr>
        <w:t xml:space="preserve">ondent. </w:t>
      </w:r>
      <w:r w:rsidR="004A7C5A">
        <w:rPr>
          <w:rFonts w:ascii="Arial" w:eastAsia="Calibri" w:hAnsi="Arial" w:cs="Arial"/>
          <w:sz w:val="28"/>
          <w:szCs w:val="28"/>
        </w:rPr>
        <w:t>Sh</w:t>
      </w:r>
      <w:r w:rsidR="00A903C4" w:rsidRPr="003024B9">
        <w:rPr>
          <w:rFonts w:ascii="Arial" w:eastAsia="Calibri" w:hAnsi="Arial" w:cs="Arial"/>
          <w:sz w:val="28"/>
          <w:szCs w:val="28"/>
        </w:rPr>
        <w:t xml:space="preserve">e stated that at that stage the second </w:t>
      </w:r>
      <w:r w:rsidR="00A17CEA" w:rsidRPr="003024B9">
        <w:rPr>
          <w:rFonts w:ascii="Arial" w:eastAsia="Calibri" w:hAnsi="Arial" w:cs="Arial"/>
          <w:sz w:val="28"/>
          <w:szCs w:val="28"/>
        </w:rPr>
        <w:t>respondent was not in possession of the entire evidence against the applicant.</w:t>
      </w:r>
      <w:r w:rsidR="00EF4E61" w:rsidRPr="003024B9">
        <w:rPr>
          <w:rFonts w:ascii="Arial" w:eastAsia="Calibri" w:hAnsi="Arial" w:cs="Arial"/>
          <w:sz w:val="28"/>
          <w:szCs w:val="28"/>
        </w:rPr>
        <w:t xml:space="preserve"> This makes sense because the matter is still under investigation.</w:t>
      </w:r>
      <w:r w:rsidR="00A17CEA" w:rsidRPr="003024B9">
        <w:rPr>
          <w:rFonts w:ascii="Arial" w:eastAsia="Calibri" w:hAnsi="Arial" w:cs="Arial"/>
          <w:sz w:val="28"/>
          <w:szCs w:val="28"/>
        </w:rPr>
        <w:t xml:space="preserve"> All he had to do was to</w:t>
      </w:r>
      <w:r w:rsidR="00EF4E61" w:rsidRPr="003024B9">
        <w:rPr>
          <w:rFonts w:ascii="Arial" w:eastAsia="Calibri" w:hAnsi="Arial" w:cs="Arial"/>
          <w:sz w:val="28"/>
          <w:szCs w:val="28"/>
        </w:rPr>
        <w:t xml:space="preserve"> make averments to</w:t>
      </w:r>
      <w:r w:rsidR="00A17CEA" w:rsidRPr="003024B9">
        <w:rPr>
          <w:rFonts w:ascii="Arial" w:eastAsia="Calibri" w:hAnsi="Arial" w:cs="Arial"/>
          <w:sz w:val="28"/>
          <w:szCs w:val="28"/>
        </w:rPr>
        <w:t xml:space="preserve"> sustain an assertion for a reasonable suspicion. </w:t>
      </w:r>
      <w:r w:rsidR="004A7C5A">
        <w:rPr>
          <w:rFonts w:ascii="Arial" w:eastAsia="Calibri" w:hAnsi="Arial" w:cs="Arial"/>
          <w:sz w:val="28"/>
          <w:szCs w:val="28"/>
        </w:rPr>
        <w:t xml:space="preserve">She </w:t>
      </w:r>
      <w:r w:rsidR="00A17CEA" w:rsidRPr="003024B9">
        <w:rPr>
          <w:rFonts w:ascii="Arial" w:eastAsia="Calibri" w:hAnsi="Arial" w:cs="Arial"/>
          <w:sz w:val="28"/>
          <w:szCs w:val="28"/>
        </w:rPr>
        <w:t xml:space="preserve">argued that the applicant knew exactly what offences were levelled against him. </w:t>
      </w:r>
      <w:r w:rsidR="004A7C5A">
        <w:rPr>
          <w:rFonts w:ascii="Arial" w:eastAsia="Calibri" w:hAnsi="Arial" w:cs="Arial"/>
          <w:sz w:val="28"/>
          <w:szCs w:val="28"/>
        </w:rPr>
        <w:t>She</w:t>
      </w:r>
      <w:r w:rsidR="004A7C5A" w:rsidRPr="003024B9">
        <w:rPr>
          <w:rFonts w:ascii="Arial" w:eastAsia="Calibri" w:hAnsi="Arial" w:cs="Arial"/>
          <w:sz w:val="28"/>
          <w:szCs w:val="28"/>
        </w:rPr>
        <w:t xml:space="preserve"> </w:t>
      </w:r>
      <w:r w:rsidR="00A17CEA" w:rsidRPr="003024B9">
        <w:rPr>
          <w:rFonts w:ascii="Arial" w:eastAsia="Calibri" w:hAnsi="Arial" w:cs="Arial"/>
          <w:sz w:val="28"/>
          <w:szCs w:val="28"/>
        </w:rPr>
        <w:t xml:space="preserve">referred to the notices that were sent to the landlord by the Free State Gambling Board </w:t>
      </w:r>
      <w:r w:rsidR="004A7C5A">
        <w:rPr>
          <w:rFonts w:ascii="Arial" w:eastAsia="Calibri" w:hAnsi="Arial" w:cs="Arial"/>
          <w:sz w:val="28"/>
          <w:szCs w:val="28"/>
        </w:rPr>
        <w:t xml:space="preserve">which elicited </w:t>
      </w:r>
      <w:r w:rsidR="00A17CEA" w:rsidRPr="003024B9">
        <w:rPr>
          <w:rFonts w:ascii="Arial" w:eastAsia="Calibri" w:hAnsi="Arial" w:cs="Arial"/>
          <w:sz w:val="28"/>
          <w:szCs w:val="28"/>
        </w:rPr>
        <w:t>the response from his attorney of record. On that score, he argued that the principle of intelligibility had been satisfied.</w:t>
      </w:r>
      <w:r w:rsidR="00EF4E61" w:rsidRPr="003024B9">
        <w:rPr>
          <w:rFonts w:ascii="Arial" w:eastAsia="Calibri" w:hAnsi="Arial" w:cs="Arial"/>
          <w:sz w:val="28"/>
          <w:szCs w:val="28"/>
        </w:rPr>
        <w:t xml:space="preserve"> I have difficulty with this argument. The third respondent is the one who must be appraised with all the facts</w:t>
      </w:r>
      <w:r w:rsidR="004A7C5A">
        <w:rPr>
          <w:rFonts w:ascii="Arial" w:eastAsia="Calibri" w:hAnsi="Arial" w:cs="Arial"/>
          <w:sz w:val="28"/>
          <w:szCs w:val="28"/>
        </w:rPr>
        <w:t xml:space="preserve"> on oath</w:t>
      </w:r>
      <w:r w:rsidR="00EF4E61" w:rsidRPr="003024B9">
        <w:rPr>
          <w:rFonts w:ascii="Arial" w:eastAsia="Calibri" w:hAnsi="Arial" w:cs="Arial"/>
          <w:sz w:val="28"/>
          <w:szCs w:val="28"/>
        </w:rPr>
        <w:t xml:space="preserve"> before issuing the warrants. </w:t>
      </w:r>
    </w:p>
    <w:p w14:paraId="1EC48651" w14:textId="77777777" w:rsidR="00775316" w:rsidRPr="003024B9" w:rsidRDefault="00775316" w:rsidP="004D4141">
      <w:pPr>
        <w:spacing w:line="360" w:lineRule="auto"/>
        <w:ind w:left="851" w:hanging="851"/>
        <w:contextualSpacing/>
        <w:jc w:val="both"/>
        <w:rPr>
          <w:rFonts w:ascii="Arial" w:eastAsia="Calibri" w:hAnsi="Arial" w:cs="Arial"/>
          <w:sz w:val="28"/>
          <w:szCs w:val="28"/>
        </w:rPr>
      </w:pPr>
    </w:p>
    <w:p w14:paraId="746189B2" w14:textId="31706FAF" w:rsidR="00775316" w:rsidRPr="003024B9" w:rsidRDefault="00775316" w:rsidP="00775316">
      <w:pPr>
        <w:spacing w:line="360" w:lineRule="auto"/>
        <w:ind w:left="851" w:hanging="851"/>
        <w:contextualSpacing/>
        <w:jc w:val="both"/>
        <w:rPr>
          <w:rFonts w:ascii="Arial" w:eastAsia="Calibri" w:hAnsi="Arial" w:cs="Arial"/>
          <w:sz w:val="28"/>
          <w:szCs w:val="28"/>
        </w:rPr>
      </w:pPr>
      <w:r w:rsidRPr="003024B9">
        <w:rPr>
          <w:rFonts w:ascii="Arial" w:eastAsia="Calibri" w:hAnsi="Arial" w:cs="Arial"/>
          <w:sz w:val="28"/>
          <w:szCs w:val="28"/>
        </w:rPr>
        <w:t>[</w:t>
      </w:r>
      <w:r w:rsidR="0027145E">
        <w:rPr>
          <w:rFonts w:ascii="Arial" w:eastAsia="Calibri" w:hAnsi="Arial" w:cs="Arial"/>
          <w:sz w:val="28"/>
          <w:szCs w:val="28"/>
        </w:rPr>
        <w:t>20</w:t>
      </w:r>
      <w:r w:rsidRPr="003024B9">
        <w:rPr>
          <w:rFonts w:ascii="Arial" w:eastAsia="Calibri" w:hAnsi="Arial" w:cs="Arial"/>
          <w:sz w:val="28"/>
          <w:szCs w:val="28"/>
        </w:rPr>
        <w:t>]</w:t>
      </w:r>
      <w:r w:rsidRPr="003024B9">
        <w:rPr>
          <w:rFonts w:ascii="Arial" w:eastAsia="Calibri" w:hAnsi="Arial" w:cs="Arial"/>
          <w:sz w:val="28"/>
          <w:szCs w:val="28"/>
        </w:rPr>
        <w:tab/>
        <w:t xml:space="preserve">According to her the affidavit of the second respondent did explicitly make mention of the equipment suspected to be used to commit the offence(s). </w:t>
      </w:r>
      <w:r w:rsidR="00EF4E61" w:rsidRPr="003024B9">
        <w:rPr>
          <w:rFonts w:ascii="Arial" w:eastAsia="Calibri" w:hAnsi="Arial" w:cs="Arial"/>
          <w:sz w:val="28"/>
          <w:szCs w:val="28"/>
        </w:rPr>
        <w:t>T</w:t>
      </w:r>
      <w:r w:rsidRPr="003024B9">
        <w:rPr>
          <w:rFonts w:ascii="Arial" w:eastAsia="Calibri" w:hAnsi="Arial" w:cs="Arial"/>
          <w:sz w:val="28"/>
          <w:szCs w:val="28"/>
        </w:rPr>
        <w:t xml:space="preserve">he reasons thereof were also made known </w:t>
      </w:r>
      <w:r w:rsidRPr="003024B9">
        <w:rPr>
          <w:rFonts w:ascii="Arial" w:eastAsia="Calibri" w:hAnsi="Arial" w:cs="Arial"/>
          <w:sz w:val="28"/>
          <w:szCs w:val="28"/>
        </w:rPr>
        <w:lastRenderedPageBreak/>
        <w:t xml:space="preserve">to the third respondent to consider whether to grant the warrants or not. </w:t>
      </w:r>
      <w:r w:rsidR="00BD5D43">
        <w:rPr>
          <w:rFonts w:ascii="Arial" w:eastAsia="Calibri" w:hAnsi="Arial" w:cs="Arial"/>
          <w:sz w:val="28"/>
          <w:szCs w:val="28"/>
        </w:rPr>
        <w:t xml:space="preserve">Counsel for the respondents </w:t>
      </w:r>
      <w:r w:rsidRPr="003024B9">
        <w:rPr>
          <w:rFonts w:ascii="Arial" w:eastAsia="Calibri" w:hAnsi="Arial" w:cs="Arial"/>
          <w:sz w:val="28"/>
          <w:szCs w:val="28"/>
        </w:rPr>
        <w:t xml:space="preserve">argued that the </w:t>
      </w:r>
      <w:r w:rsidR="00BD5D43">
        <w:rPr>
          <w:rFonts w:ascii="Arial" w:eastAsia="Calibri" w:hAnsi="Arial" w:cs="Arial"/>
          <w:sz w:val="28"/>
          <w:szCs w:val="28"/>
        </w:rPr>
        <w:t xml:space="preserve">submission to the effect that a </w:t>
      </w:r>
      <w:r w:rsidRPr="003024B9">
        <w:rPr>
          <w:rFonts w:ascii="Arial" w:eastAsia="Calibri" w:hAnsi="Arial" w:cs="Arial"/>
          <w:sz w:val="28"/>
          <w:szCs w:val="28"/>
        </w:rPr>
        <w:t>warrant in terms of the Criminal Procedure Act was bad in law</w:t>
      </w:r>
      <w:r w:rsidR="00DE2239">
        <w:rPr>
          <w:rFonts w:ascii="Arial" w:eastAsia="Calibri" w:hAnsi="Arial" w:cs="Arial"/>
          <w:sz w:val="28"/>
          <w:szCs w:val="28"/>
        </w:rPr>
        <w:t xml:space="preserve"> </w:t>
      </w:r>
      <w:r w:rsidR="004955F3">
        <w:rPr>
          <w:rFonts w:ascii="Arial" w:eastAsia="Calibri" w:hAnsi="Arial" w:cs="Arial"/>
          <w:sz w:val="28"/>
          <w:szCs w:val="28"/>
        </w:rPr>
        <w:t>is</w:t>
      </w:r>
      <w:r w:rsidR="004955F3" w:rsidRPr="003024B9">
        <w:rPr>
          <w:rFonts w:ascii="Arial" w:eastAsia="Calibri" w:hAnsi="Arial" w:cs="Arial"/>
          <w:sz w:val="28"/>
          <w:szCs w:val="28"/>
        </w:rPr>
        <w:t xml:space="preserve"> </w:t>
      </w:r>
      <w:r w:rsidRPr="003024B9">
        <w:rPr>
          <w:rFonts w:ascii="Arial" w:eastAsia="Calibri" w:hAnsi="Arial" w:cs="Arial"/>
          <w:sz w:val="28"/>
          <w:szCs w:val="28"/>
        </w:rPr>
        <w:t>superfluous</w:t>
      </w:r>
      <w:r w:rsidR="00BD5D43">
        <w:rPr>
          <w:rFonts w:ascii="Arial" w:eastAsia="Calibri" w:hAnsi="Arial" w:cs="Arial"/>
          <w:sz w:val="28"/>
          <w:szCs w:val="28"/>
        </w:rPr>
        <w:t>.</w:t>
      </w:r>
      <w:r w:rsidRPr="003024B9">
        <w:rPr>
          <w:rFonts w:ascii="Arial" w:eastAsia="Calibri" w:hAnsi="Arial" w:cs="Arial"/>
          <w:sz w:val="28"/>
          <w:szCs w:val="28"/>
        </w:rPr>
        <w:t xml:space="preserve"> She relied on section 27 of the Cybercrime Act which specifically permits concurrent operation of the Criminal Procedure Act to the extent that there is no contradiction. Therefore, there is nothing untoward concerning the warrants</w:t>
      </w:r>
      <w:r w:rsidR="00EF4E61" w:rsidRPr="003024B9">
        <w:rPr>
          <w:rFonts w:ascii="Arial" w:eastAsia="Calibri" w:hAnsi="Arial" w:cs="Arial"/>
          <w:sz w:val="28"/>
          <w:szCs w:val="28"/>
        </w:rPr>
        <w:t>.</w:t>
      </w:r>
      <w:r w:rsidRPr="003024B9">
        <w:rPr>
          <w:rFonts w:ascii="Arial" w:eastAsia="Calibri" w:hAnsi="Arial" w:cs="Arial"/>
          <w:sz w:val="28"/>
          <w:szCs w:val="28"/>
        </w:rPr>
        <w:t xml:space="preserve"> </w:t>
      </w:r>
      <w:r w:rsidR="00EF4E61" w:rsidRPr="003024B9">
        <w:rPr>
          <w:rFonts w:ascii="Arial" w:eastAsia="Calibri" w:hAnsi="Arial" w:cs="Arial"/>
          <w:sz w:val="28"/>
          <w:szCs w:val="28"/>
        </w:rPr>
        <w:t>H</w:t>
      </w:r>
      <w:r w:rsidRPr="003024B9">
        <w:rPr>
          <w:rFonts w:ascii="Arial" w:eastAsia="Calibri" w:hAnsi="Arial" w:cs="Arial"/>
          <w:sz w:val="28"/>
          <w:szCs w:val="28"/>
        </w:rPr>
        <w:t xml:space="preserve">er logic is that the </w:t>
      </w:r>
      <w:r w:rsidR="003E2787" w:rsidRPr="003024B9">
        <w:rPr>
          <w:rFonts w:ascii="Arial" w:eastAsia="Calibri" w:hAnsi="Arial" w:cs="Arial"/>
          <w:sz w:val="28"/>
          <w:szCs w:val="28"/>
        </w:rPr>
        <w:t>arguments</w:t>
      </w:r>
      <w:r w:rsidRPr="003024B9">
        <w:rPr>
          <w:rFonts w:ascii="Arial" w:eastAsia="Calibri" w:hAnsi="Arial" w:cs="Arial"/>
          <w:sz w:val="28"/>
          <w:szCs w:val="28"/>
        </w:rPr>
        <w:t xml:space="preserve"> applicable to one warrant are also valid for the other.</w:t>
      </w:r>
    </w:p>
    <w:p w14:paraId="5CEC5B50" w14:textId="77777777" w:rsidR="00775316" w:rsidRPr="003024B9" w:rsidRDefault="00775316" w:rsidP="00775316">
      <w:pPr>
        <w:spacing w:line="360" w:lineRule="auto"/>
        <w:ind w:left="851" w:hanging="851"/>
        <w:contextualSpacing/>
        <w:jc w:val="both"/>
        <w:rPr>
          <w:rFonts w:ascii="Arial" w:eastAsia="Calibri" w:hAnsi="Arial" w:cs="Arial"/>
          <w:sz w:val="28"/>
          <w:szCs w:val="28"/>
        </w:rPr>
      </w:pPr>
    </w:p>
    <w:p w14:paraId="7277EA65" w14:textId="67219BC9" w:rsidR="008E42F8" w:rsidRPr="003024B9" w:rsidRDefault="000C7017" w:rsidP="000C7017">
      <w:pPr>
        <w:spacing w:line="360" w:lineRule="auto"/>
        <w:ind w:left="851" w:hanging="851"/>
        <w:contextualSpacing/>
        <w:jc w:val="both"/>
        <w:rPr>
          <w:rFonts w:ascii="Arial" w:eastAsia="Calibri" w:hAnsi="Arial" w:cs="Arial"/>
          <w:sz w:val="28"/>
          <w:szCs w:val="28"/>
        </w:rPr>
      </w:pPr>
      <w:r w:rsidRPr="003024B9">
        <w:rPr>
          <w:rFonts w:ascii="Arial" w:eastAsia="Calibri" w:hAnsi="Arial" w:cs="Arial"/>
          <w:sz w:val="28"/>
          <w:szCs w:val="28"/>
        </w:rPr>
        <w:t>[2</w:t>
      </w:r>
      <w:r w:rsidR="0027145E">
        <w:rPr>
          <w:rFonts w:ascii="Arial" w:eastAsia="Calibri" w:hAnsi="Arial" w:cs="Arial"/>
          <w:sz w:val="28"/>
          <w:szCs w:val="28"/>
        </w:rPr>
        <w:t>1</w:t>
      </w:r>
      <w:r w:rsidR="00775316" w:rsidRPr="003024B9">
        <w:rPr>
          <w:rFonts w:ascii="Arial" w:eastAsia="Calibri" w:hAnsi="Arial" w:cs="Arial"/>
          <w:sz w:val="28"/>
          <w:szCs w:val="28"/>
        </w:rPr>
        <w:t>]</w:t>
      </w:r>
      <w:r w:rsidR="00775316" w:rsidRPr="003024B9">
        <w:rPr>
          <w:rFonts w:ascii="Arial" w:eastAsia="Calibri" w:hAnsi="Arial" w:cs="Arial"/>
          <w:sz w:val="28"/>
          <w:szCs w:val="28"/>
        </w:rPr>
        <w:tab/>
      </w:r>
      <w:r w:rsidR="009A24D3" w:rsidRPr="003024B9">
        <w:rPr>
          <w:rFonts w:ascii="Arial" w:eastAsia="Calibri" w:hAnsi="Arial" w:cs="Arial"/>
          <w:sz w:val="28"/>
          <w:szCs w:val="28"/>
        </w:rPr>
        <w:t xml:space="preserve">Ms </w:t>
      </w:r>
      <w:proofErr w:type="spellStart"/>
      <w:r w:rsidR="00A31C46" w:rsidRPr="0027145E">
        <w:rPr>
          <w:rFonts w:ascii="Arial" w:eastAsia="Calibri" w:hAnsi="Arial" w:cs="Arial"/>
          <w:sz w:val="28"/>
          <w:szCs w:val="28"/>
        </w:rPr>
        <w:t>Ngubeni</w:t>
      </w:r>
      <w:proofErr w:type="spellEnd"/>
      <w:r w:rsidR="00A31C46" w:rsidRPr="00BD5D43">
        <w:rPr>
          <w:rFonts w:ascii="Arial" w:eastAsia="Calibri" w:hAnsi="Arial" w:cs="Arial"/>
          <w:sz w:val="28"/>
          <w:szCs w:val="28"/>
        </w:rPr>
        <w:t xml:space="preserve"> </w:t>
      </w:r>
      <w:r w:rsidR="009A24D3" w:rsidRPr="00BD5D43">
        <w:rPr>
          <w:rFonts w:ascii="Arial" w:eastAsia="Calibri" w:hAnsi="Arial" w:cs="Arial"/>
          <w:sz w:val="28"/>
          <w:szCs w:val="28"/>
        </w:rPr>
        <w:t xml:space="preserve">with reference to the decision of the court </w:t>
      </w:r>
      <w:r w:rsidR="00A31C46" w:rsidRPr="00BD5D43">
        <w:rPr>
          <w:rFonts w:ascii="Arial" w:eastAsia="Calibri" w:hAnsi="Arial" w:cs="Arial"/>
          <w:sz w:val="28"/>
          <w:szCs w:val="28"/>
        </w:rPr>
        <w:t xml:space="preserve">in </w:t>
      </w:r>
      <w:r w:rsidR="00A31C46" w:rsidRPr="00164992">
        <w:rPr>
          <w:rFonts w:ascii="Arial" w:eastAsia="Calibri" w:hAnsi="Arial" w:cs="Arial"/>
          <w:b/>
          <w:sz w:val="28"/>
          <w:szCs w:val="28"/>
        </w:rPr>
        <w:t>Oosthuizen</w:t>
      </w:r>
      <w:r w:rsidRPr="00164992">
        <w:rPr>
          <w:rFonts w:ascii="Arial" w:eastAsia="Calibri" w:hAnsi="Arial" w:cs="Arial"/>
          <w:b/>
          <w:sz w:val="28"/>
          <w:szCs w:val="28"/>
        </w:rPr>
        <w:t xml:space="preserve"> v The Magistrate for the District of </w:t>
      </w:r>
      <w:proofErr w:type="spellStart"/>
      <w:r w:rsidRPr="00164992">
        <w:rPr>
          <w:rFonts w:ascii="Arial" w:eastAsia="Calibri" w:hAnsi="Arial" w:cs="Arial"/>
          <w:b/>
          <w:sz w:val="28"/>
          <w:szCs w:val="28"/>
        </w:rPr>
        <w:t>Hermanus</w:t>
      </w:r>
      <w:proofErr w:type="spellEnd"/>
      <w:r w:rsidRPr="00164992">
        <w:rPr>
          <w:rFonts w:ascii="Arial" w:eastAsia="Calibri" w:hAnsi="Arial" w:cs="Arial"/>
          <w:b/>
          <w:sz w:val="28"/>
          <w:szCs w:val="28"/>
        </w:rPr>
        <w:t xml:space="preserve"> and Others</w:t>
      </w:r>
      <w:r w:rsidRPr="00BD5D43">
        <w:rPr>
          <w:rStyle w:val="FootnoteReference"/>
          <w:rFonts w:ascii="Arial" w:eastAsia="Calibri" w:hAnsi="Arial" w:cs="Arial"/>
          <w:sz w:val="28"/>
          <w:szCs w:val="28"/>
        </w:rPr>
        <w:footnoteReference w:id="8"/>
      </w:r>
      <w:r w:rsidRPr="00BD5D43">
        <w:rPr>
          <w:rFonts w:ascii="Arial" w:eastAsia="Calibri" w:hAnsi="Arial" w:cs="Arial"/>
          <w:sz w:val="28"/>
          <w:szCs w:val="28"/>
        </w:rPr>
        <w:t xml:space="preserve"> </w:t>
      </w:r>
      <w:r w:rsidR="009A24D3" w:rsidRPr="0032369F">
        <w:rPr>
          <w:rFonts w:ascii="Arial" w:eastAsia="Calibri" w:hAnsi="Arial" w:cs="Arial"/>
          <w:sz w:val="28"/>
          <w:szCs w:val="28"/>
        </w:rPr>
        <w:t>specifically</w:t>
      </w:r>
      <w:r w:rsidRPr="0032369F">
        <w:rPr>
          <w:rFonts w:ascii="Arial" w:eastAsia="Calibri" w:hAnsi="Arial" w:cs="Arial"/>
          <w:sz w:val="28"/>
          <w:szCs w:val="28"/>
        </w:rPr>
        <w:t xml:space="preserve"> paragraph</w:t>
      </w:r>
      <w:r w:rsidR="009A24D3" w:rsidRPr="0032369F">
        <w:rPr>
          <w:rFonts w:ascii="Arial" w:eastAsia="Calibri" w:hAnsi="Arial" w:cs="Arial"/>
          <w:sz w:val="28"/>
          <w:szCs w:val="28"/>
        </w:rPr>
        <w:t>s 39 to</w:t>
      </w:r>
      <w:r w:rsidRPr="0032369F">
        <w:rPr>
          <w:rFonts w:ascii="Arial" w:eastAsia="Calibri" w:hAnsi="Arial" w:cs="Arial"/>
          <w:sz w:val="28"/>
          <w:szCs w:val="28"/>
        </w:rPr>
        <w:t xml:space="preserve"> 42 argued the court </w:t>
      </w:r>
      <w:r w:rsidR="009A24D3" w:rsidRPr="0032369F">
        <w:rPr>
          <w:rFonts w:ascii="Arial" w:eastAsia="Calibri" w:hAnsi="Arial" w:cs="Arial"/>
          <w:sz w:val="28"/>
          <w:szCs w:val="28"/>
        </w:rPr>
        <w:t xml:space="preserve">that reviews </w:t>
      </w:r>
      <w:r w:rsidR="00A31C46" w:rsidRPr="0032369F">
        <w:rPr>
          <w:rFonts w:ascii="Arial" w:eastAsia="Calibri" w:hAnsi="Arial" w:cs="Arial"/>
          <w:sz w:val="28"/>
          <w:szCs w:val="28"/>
        </w:rPr>
        <w:t>a</w:t>
      </w:r>
      <w:r w:rsidR="00A31C46" w:rsidRPr="0027145E">
        <w:rPr>
          <w:rFonts w:ascii="Arial" w:eastAsia="Calibri" w:hAnsi="Arial" w:cs="Arial"/>
          <w:sz w:val="28"/>
          <w:szCs w:val="28"/>
        </w:rPr>
        <w:t xml:space="preserve"> </w:t>
      </w:r>
      <w:r w:rsidR="009A24D3" w:rsidRPr="0027145E">
        <w:rPr>
          <w:rFonts w:ascii="Arial" w:eastAsia="Calibri" w:hAnsi="Arial" w:cs="Arial"/>
          <w:sz w:val="28"/>
          <w:szCs w:val="28"/>
        </w:rPr>
        <w:t>warrant must be satisfied the object</w:t>
      </w:r>
      <w:r w:rsidR="00A31C46" w:rsidRPr="0027145E">
        <w:rPr>
          <w:rFonts w:ascii="Arial" w:eastAsia="Calibri" w:hAnsi="Arial" w:cs="Arial"/>
          <w:sz w:val="28"/>
          <w:szCs w:val="28"/>
        </w:rPr>
        <w:t>ive</w:t>
      </w:r>
      <w:r w:rsidR="009A24D3" w:rsidRPr="0027145E">
        <w:rPr>
          <w:rFonts w:ascii="Arial" w:eastAsia="Calibri" w:hAnsi="Arial" w:cs="Arial"/>
          <w:sz w:val="28"/>
          <w:szCs w:val="28"/>
        </w:rPr>
        <w:t xml:space="preserve"> jurisdictional facts for its issue were present</w:t>
      </w:r>
      <w:r w:rsidR="00A31C46" w:rsidRPr="0027145E">
        <w:rPr>
          <w:rFonts w:ascii="Arial" w:eastAsia="Calibri" w:hAnsi="Arial" w:cs="Arial"/>
          <w:sz w:val="28"/>
          <w:szCs w:val="28"/>
        </w:rPr>
        <w:t>.</w:t>
      </w:r>
      <w:r w:rsidR="009A24D3" w:rsidRPr="00BD5D43">
        <w:rPr>
          <w:rFonts w:ascii="Arial" w:eastAsia="Calibri" w:hAnsi="Arial" w:cs="Arial"/>
          <w:sz w:val="28"/>
          <w:szCs w:val="28"/>
        </w:rPr>
        <w:t xml:space="preserve"> I agree.</w:t>
      </w:r>
      <w:r w:rsidR="00A31C46" w:rsidRPr="00BD5D43">
        <w:rPr>
          <w:rFonts w:ascii="Arial" w:eastAsia="Calibri" w:hAnsi="Arial" w:cs="Arial"/>
          <w:sz w:val="28"/>
          <w:szCs w:val="28"/>
        </w:rPr>
        <w:t xml:space="preserve"> In</w:t>
      </w:r>
      <w:r w:rsidR="00A31C46">
        <w:rPr>
          <w:rFonts w:ascii="Arial" w:eastAsia="Calibri" w:hAnsi="Arial" w:cs="Arial"/>
          <w:sz w:val="28"/>
          <w:szCs w:val="28"/>
        </w:rPr>
        <w:t xml:space="preserve"> that matter</w:t>
      </w:r>
      <w:r w:rsidR="009A24D3" w:rsidRPr="003024B9">
        <w:rPr>
          <w:rFonts w:ascii="Arial" w:eastAsia="Calibri" w:hAnsi="Arial" w:cs="Arial"/>
          <w:sz w:val="28"/>
          <w:szCs w:val="28"/>
        </w:rPr>
        <w:t xml:space="preserve"> </w:t>
      </w:r>
      <w:r w:rsidR="00A31C46" w:rsidRPr="003024B9">
        <w:rPr>
          <w:rFonts w:ascii="Arial" w:eastAsia="Calibri" w:hAnsi="Arial" w:cs="Arial"/>
          <w:sz w:val="28"/>
          <w:szCs w:val="28"/>
        </w:rPr>
        <w:t>t</w:t>
      </w:r>
      <w:r w:rsidR="009A24D3" w:rsidRPr="003024B9">
        <w:rPr>
          <w:rFonts w:ascii="Arial" w:eastAsia="Calibri" w:hAnsi="Arial" w:cs="Arial"/>
          <w:sz w:val="28"/>
          <w:szCs w:val="28"/>
        </w:rPr>
        <w:t xml:space="preserve">he court proceeded to set out the jurisdictional facts required by sections 20 and 21 of the Criminal Procedure Act 51 of 1977 that are reasonable. </w:t>
      </w:r>
      <w:r w:rsidRPr="003024B9">
        <w:rPr>
          <w:rFonts w:ascii="Arial" w:eastAsia="Calibri" w:hAnsi="Arial" w:cs="Arial"/>
          <w:sz w:val="28"/>
          <w:szCs w:val="28"/>
        </w:rPr>
        <w:t xml:space="preserve">She contended that the applicant was at all times represented by an attorney. The point made is that it is preposterous for the applicant to now claim that he does not know anything about the offences. </w:t>
      </w:r>
    </w:p>
    <w:p w14:paraId="7D6818D4" w14:textId="77777777" w:rsidR="008E42F8" w:rsidRPr="003024B9" w:rsidRDefault="008E42F8" w:rsidP="000C7017">
      <w:pPr>
        <w:spacing w:line="360" w:lineRule="auto"/>
        <w:ind w:left="851" w:hanging="851"/>
        <w:contextualSpacing/>
        <w:jc w:val="both"/>
        <w:rPr>
          <w:rFonts w:ascii="Arial" w:eastAsia="Calibri" w:hAnsi="Arial" w:cs="Arial"/>
          <w:sz w:val="28"/>
          <w:szCs w:val="28"/>
        </w:rPr>
      </w:pPr>
    </w:p>
    <w:p w14:paraId="1D8D6BD6" w14:textId="49E70386" w:rsidR="00B54946" w:rsidRPr="003024B9" w:rsidRDefault="008E42F8" w:rsidP="00B54946">
      <w:pPr>
        <w:spacing w:line="360" w:lineRule="auto"/>
        <w:ind w:left="851" w:hanging="851"/>
        <w:contextualSpacing/>
        <w:jc w:val="both"/>
        <w:rPr>
          <w:rFonts w:ascii="Arial" w:eastAsia="Calibri" w:hAnsi="Arial" w:cs="Arial"/>
          <w:sz w:val="28"/>
          <w:szCs w:val="28"/>
        </w:rPr>
      </w:pPr>
      <w:r w:rsidRPr="003024B9">
        <w:rPr>
          <w:rFonts w:ascii="Arial" w:eastAsia="Calibri" w:hAnsi="Arial" w:cs="Arial"/>
          <w:sz w:val="28"/>
          <w:szCs w:val="28"/>
        </w:rPr>
        <w:t>[2</w:t>
      </w:r>
      <w:r w:rsidR="0027145E">
        <w:rPr>
          <w:rFonts w:ascii="Arial" w:eastAsia="Calibri" w:hAnsi="Arial" w:cs="Arial"/>
          <w:sz w:val="28"/>
          <w:szCs w:val="28"/>
        </w:rPr>
        <w:t>2</w:t>
      </w:r>
      <w:r w:rsidRPr="003024B9">
        <w:rPr>
          <w:rFonts w:ascii="Arial" w:eastAsia="Calibri" w:hAnsi="Arial" w:cs="Arial"/>
          <w:sz w:val="28"/>
          <w:szCs w:val="28"/>
        </w:rPr>
        <w:t>]</w:t>
      </w:r>
      <w:r w:rsidRPr="003024B9">
        <w:rPr>
          <w:rFonts w:ascii="Arial" w:eastAsia="Calibri" w:hAnsi="Arial" w:cs="Arial"/>
          <w:sz w:val="28"/>
          <w:szCs w:val="28"/>
        </w:rPr>
        <w:tab/>
      </w:r>
      <w:r w:rsidR="000C7017" w:rsidRPr="003024B9">
        <w:rPr>
          <w:rFonts w:ascii="Arial" w:eastAsia="Calibri" w:hAnsi="Arial" w:cs="Arial"/>
          <w:sz w:val="28"/>
          <w:szCs w:val="28"/>
        </w:rPr>
        <w:t xml:space="preserve">She conceded, and correctly so, that there were </w:t>
      </w:r>
      <w:r w:rsidR="00B54946" w:rsidRPr="003024B9">
        <w:rPr>
          <w:rFonts w:ascii="Arial" w:eastAsia="Calibri" w:hAnsi="Arial" w:cs="Arial"/>
          <w:sz w:val="28"/>
          <w:szCs w:val="28"/>
        </w:rPr>
        <w:t>anomal</w:t>
      </w:r>
      <w:r w:rsidRPr="003024B9">
        <w:rPr>
          <w:rFonts w:ascii="Arial" w:eastAsia="Calibri" w:hAnsi="Arial" w:cs="Arial"/>
          <w:sz w:val="28"/>
          <w:szCs w:val="28"/>
        </w:rPr>
        <w:t xml:space="preserve">ies </w:t>
      </w:r>
      <w:r w:rsidR="00B54946" w:rsidRPr="003024B9">
        <w:rPr>
          <w:rFonts w:ascii="Arial" w:eastAsia="Calibri" w:hAnsi="Arial" w:cs="Arial"/>
          <w:sz w:val="28"/>
          <w:szCs w:val="28"/>
        </w:rPr>
        <w:t>in the warrants.</w:t>
      </w:r>
      <w:r w:rsidRPr="003024B9">
        <w:rPr>
          <w:rFonts w:ascii="Arial" w:eastAsia="Calibri" w:hAnsi="Arial" w:cs="Arial"/>
          <w:sz w:val="28"/>
          <w:szCs w:val="28"/>
        </w:rPr>
        <w:t xml:space="preserve"> This argument is problematic because it creates a process beyond that enacted in the relevant provisions. The magistrate</w:t>
      </w:r>
      <w:r w:rsidR="005D3439" w:rsidRPr="003024B9">
        <w:rPr>
          <w:rFonts w:ascii="Arial" w:eastAsia="Calibri" w:hAnsi="Arial" w:cs="Arial"/>
          <w:sz w:val="28"/>
          <w:szCs w:val="28"/>
        </w:rPr>
        <w:t xml:space="preserve"> must only consider what is before him or </w:t>
      </w:r>
      <w:r w:rsidR="00A31C46" w:rsidRPr="0080409D">
        <w:rPr>
          <w:rFonts w:ascii="Arial" w:eastAsia="Calibri" w:hAnsi="Arial" w:cs="Arial"/>
          <w:sz w:val="28"/>
          <w:szCs w:val="28"/>
        </w:rPr>
        <w:t>and nothing</w:t>
      </w:r>
      <w:r w:rsidR="005D3439" w:rsidRPr="0080409D">
        <w:rPr>
          <w:rFonts w:ascii="Arial" w:eastAsia="Calibri" w:hAnsi="Arial" w:cs="Arial"/>
          <w:sz w:val="28"/>
          <w:szCs w:val="28"/>
        </w:rPr>
        <w:t xml:space="preserve"> else. </w:t>
      </w:r>
      <w:r w:rsidR="00B54946" w:rsidRPr="0080409D">
        <w:rPr>
          <w:rFonts w:ascii="Arial" w:eastAsia="Calibri" w:hAnsi="Arial" w:cs="Arial"/>
          <w:sz w:val="28"/>
          <w:szCs w:val="28"/>
        </w:rPr>
        <w:t xml:space="preserve">On this aspect she contended that the court in </w:t>
      </w:r>
      <w:r w:rsidR="00B54946" w:rsidRPr="00164992">
        <w:rPr>
          <w:rFonts w:ascii="Arial" w:eastAsia="Calibri" w:hAnsi="Arial" w:cs="Arial"/>
          <w:b/>
          <w:sz w:val="28"/>
          <w:szCs w:val="28"/>
        </w:rPr>
        <w:t xml:space="preserve">Naidoo and Others v </w:t>
      </w:r>
      <w:proofErr w:type="spellStart"/>
      <w:r w:rsidR="00B54946" w:rsidRPr="00164992">
        <w:rPr>
          <w:rFonts w:ascii="Arial" w:eastAsia="Calibri" w:hAnsi="Arial" w:cs="Arial"/>
          <w:b/>
          <w:sz w:val="28"/>
          <w:szCs w:val="28"/>
        </w:rPr>
        <w:t>Kalianjee</w:t>
      </w:r>
      <w:proofErr w:type="spellEnd"/>
      <w:r w:rsidR="00B54946" w:rsidRPr="00164992">
        <w:rPr>
          <w:rFonts w:ascii="Arial" w:eastAsia="Calibri" w:hAnsi="Arial" w:cs="Arial"/>
          <w:b/>
          <w:sz w:val="28"/>
          <w:szCs w:val="28"/>
        </w:rPr>
        <w:t xml:space="preserve"> NO and Others</w:t>
      </w:r>
      <w:r w:rsidR="00B54946" w:rsidRPr="0080409D">
        <w:rPr>
          <w:rStyle w:val="FootnoteReference"/>
          <w:rFonts w:ascii="Arial" w:eastAsia="Calibri" w:hAnsi="Arial" w:cs="Arial"/>
          <w:sz w:val="28"/>
          <w:szCs w:val="28"/>
        </w:rPr>
        <w:footnoteReference w:id="9"/>
      </w:r>
      <w:r w:rsidR="00B54946" w:rsidRPr="0080409D">
        <w:rPr>
          <w:rFonts w:ascii="Arial" w:eastAsia="Calibri" w:hAnsi="Arial" w:cs="Arial"/>
          <w:b/>
          <w:sz w:val="28"/>
          <w:szCs w:val="28"/>
        </w:rPr>
        <w:t xml:space="preserve"> </w:t>
      </w:r>
      <w:r w:rsidR="00B54946" w:rsidRPr="0080409D">
        <w:rPr>
          <w:rFonts w:ascii="Arial" w:eastAsia="Calibri" w:hAnsi="Arial" w:cs="Arial"/>
          <w:sz w:val="28"/>
          <w:szCs w:val="28"/>
        </w:rPr>
        <w:t>looked at what the effect of the anomal</w:t>
      </w:r>
      <w:r w:rsidR="005D3439" w:rsidRPr="0080409D">
        <w:rPr>
          <w:rFonts w:ascii="Arial" w:eastAsia="Calibri" w:hAnsi="Arial" w:cs="Arial"/>
          <w:sz w:val="28"/>
          <w:szCs w:val="28"/>
        </w:rPr>
        <w:t>ies</w:t>
      </w:r>
      <w:r w:rsidR="00B54946" w:rsidRPr="0080409D">
        <w:rPr>
          <w:rFonts w:ascii="Arial" w:eastAsia="Calibri" w:hAnsi="Arial" w:cs="Arial"/>
          <w:sz w:val="28"/>
          <w:szCs w:val="28"/>
        </w:rPr>
        <w:t xml:space="preserve"> would be. Similarly, she argued that the warrants in this matter had limitations and were identifying in clear terms the </w:t>
      </w:r>
      <w:r w:rsidR="0080409D" w:rsidRPr="0080409D">
        <w:rPr>
          <w:rFonts w:ascii="Arial" w:eastAsia="Calibri" w:hAnsi="Arial" w:cs="Arial"/>
          <w:sz w:val="28"/>
          <w:szCs w:val="28"/>
        </w:rPr>
        <w:t xml:space="preserve">assets </w:t>
      </w:r>
      <w:r w:rsidR="00B54946" w:rsidRPr="0080409D">
        <w:rPr>
          <w:rFonts w:ascii="Arial" w:eastAsia="Calibri" w:hAnsi="Arial" w:cs="Arial"/>
          <w:sz w:val="28"/>
          <w:szCs w:val="28"/>
        </w:rPr>
        <w:t>to be searched and</w:t>
      </w:r>
      <w:r w:rsidR="00A31C46" w:rsidRPr="0080409D">
        <w:rPr>
          <w:rFonts w:ascii="Arial" w:eastAsia="Calibri" w:hAnsi="Arial" w:cs="Arial"/>
          <w:sz w:val="28"/>
          <w:szCs w:val="28"/>
        </w:rPr>
        <w:t xml:space="preserve"> </w:t>
      </w:r>
      <w:r w:rsidR="00A31C46" w:rsidRPr="0027145E">
        <w:rPr>
          <w:rFonts w:ascii="Arial" w:eastAsia="Calibri" w:hAnsi="Arial" w:cs="Arial"/>
          <w:sz w:val="28"/>
          <w:szCs w:val="28"/>
        </w:rPr>
        <w:t>subsequently</w:t>
      </w:r>
      <w:r w:rsidR="00B54946" w:rsidRPr="0080409D">
        <w:rPr>
          <w:rFonts w:ascii="Arial" w:eastAsia="Calibri" w:hAnsi="Arial" w:cs="Arial"/>
          <w:sz w:val="28"/>
          <w:szCs w:val="28"/>
        </w:rPr>
        <w:t xml:space="preserve"> seized. </w:t>
      </w:r>
      <w:r w:rsidR="005D3439" w:rsidRPr="0080409D">
        <w:rPr>
          <w:rFonts w:ascii="Arial" w:eastAsia="Calibri" w:hAnsi="Arial" w:cs="Arial"/>
          <w:sz w:val="28"/>
          <w:szCs w:val="28"/>
        </w:rPr>
        <w:t>Her argument was</w:t>
      </w:r>
      <w:r w:rsidR="00B54946" w:rsidRPr="0080409D">
        <w:rPr>
          <w:rFonts w:ascii="Arial" w:eastAsia="Calibri" w:hAnsi="Arial" w:cs="Arial"/>
          <w:sz w:val="28"/>
          <w:szCs w:val="28"/>
        </w:rPr>
        <w:t xml:space="preserve"> where</w:t>
      </w:r>
      <w:r w:rsidR="00B54946" w:rsidRPr="003024B9">
        <w:rPr>
          <w:rFonts w:ascii="Arial" w:eastAsia="Calibri" w:hAnsi="Arial" w:cs="Arial"/>
          <w:sz w:val="28"/>
          <w:szCs w:val="28"/>
        </w:rPr>
        <w:t xml:space="preserve"> something </w:t>
      </w:r>
      <w:r w:rsidR="005D3439" w:rsidRPr="003024B9">
        <w:rPr>
          <w:rFonts w:ascii="Arial" w:eastAsia="Calibri" w:hAnsi="Arial" w:cs="Arial"/>
          <w:sz w:val="28"/>
          <w:szCs w:val="28"/>
        </w:rPr>
        <w:t>with</w:t>
      </w:r>
      <w:r w:rsidR="00B54946" w:rsidRPr="003024B9">
        <w:rPr>
          <w:rFonts w:ascii="Arial" w:eastAsia="Calibri" w:hAnsi="Arial" w:cs="Arial"/>
          <w:sz w:val="28"/>
          <w:szCs w:val="28"/>
        </w:rPr>
        <w:t xml:space="preserve"> no force and effect is mentioned, there can be no prejudice. Overall there was sufficient information placed before the third respo</w:t>
      </w:r>
      <w:r w:rsidR="00475C1C" w:rsidRPr="003024B9">
        <w:rPr>
          <w:rFonts w:ascii="Arial" w:eastAsia="Calibri" w:hAnsi="Arial" w:cs="Arial"/>
          <w:sz w:val="28"/>
          <w:szCs w:val="28"/>
        </w:rPr>
        <w:t>ndent to issue the warrants.</w:t>
      </w:r>
    </w:p>
    <w:p w14:paraId="556EBD18" w14:textId="77777777" w:rsidR="00775316" w:rsidRPr="003024B9" w:rsidRDefault="00775316" w:rsidP="00775316">
      <w:pPr>
        <w:spacing w:line="360" w:lineRule="auto"/>
        <w:ind w:left="851" w:hanging="851"/>
        <w:contextualSpacing/>
        <w:jc w:val="both"/>
        <w:rPr>
          <w:rFonts w:ascii="Arial" w:eastAsia="Calibri" w:hAnsi="Arial" w:cs="Arial"/>
          <w:sz w:val="28"/>
          <w:szCs w:val="28"/>
        </w:rPr>
      </w:pPr>
    </w:p>
    <w:p w14:paraId="14591F15" w14:textId="28E9DDAA" w:rsidR="000E480A" w:rsidRPr="003024B9" w:rsidRDefault="005D3439" w:rsidP="00475C1C">
      <w:pPr>
        <w:spacing w:line="360" w:lineRule="auto"/>
        <w:ind w:left="851" w:hanging="851"/>
        <w:contextualSpacing/>
        <w:jc w:val="both"/>
        <w:rPr>
          <w:rFonts w:ascii="Arial" w:eastAsia="Calibri" w:hAnsi="Arial" w:cs="Arial"/>
          <w:sz w:val="28"/>
          <w:szCs w:val="28"/>
        </w:rPr>
      </w:pPr>
      <w:r w:rsidRPr="003024B9">
        <w:rPr>
          <w:rFonts w:ascii="Arial" w:eastAsia="Calibri" w:hAnsi="Arial" w:cs="Arial"/>
          <w:sz w:val="28"/>
          <w:szCs w:val="28"/>
        </w:rPr>
        <w:t>[2</w:t>
      </w:r>
      <w:r w:rsidR="0027145E">
        <w:rPr>
          <w:rFonts w:ascii="Arial" w:eastAsia="Calibri" w:hAnsi="Arial" w:cs="Arial"/>
          <w:sz w:val="28"/>
          <w:szCs w:val="28"/>
        </w:rPr>
        <w:t>3</w:t>
      </w:r>
      <w:r w:rsidR="00475C1C" w:rsidRPr="003024B9">
        <w:rPr>
          <w:rFonts w:ascii="Arial" w:eastAsia="Calibri" w:hAnsi="Arial" w:cs="Arial"/>
          <w:sz w:val="28"/>
          <w:szCs w:val="28"/>
        </w:rPr>
        <w:t>]</w:t>
      </w:r>
      <w:r w:rsidR="00475C1C" w:rsidRPr="003024B9">
        <w:rPr>
          <w:rFonts w:ascii="Arial" w:eastAsia="Calibri" w:hAnsi="Arial" w:cs="Arial"/>
          <w:sz w:val="28"/>
          <w:szCs w:val="28"/>
        </w:rPr>
        <w:tab/>
        <w:t xml:space="preserve">The significance of the role played by warrants of </w:t>
      </w:r>
      <w:r w:rsidRPr="003024B9">
        <w:rPr>
          <w:rFonts w:ascii="Arial" w:eastAsia="Calibri" w:hAnsi="Arial" w:cs="Arial"/>
          <w:sz w:val="28"/>
          <w:szCs w:val="28"/>
        </w:rPr>
        <w:t xml:space="preserve">search and seizure </w:t>
      </w:r>
      <w:r w:rsidR="00475C1C" w:rsidRPr="003024B9">
        <w:rPr>
          <w:rFonts w:ascii="Arial" w:eastAsia="Calibri" w:hAnsi="Arial" w:cs="Arial"/>
          <w:sz w:val="28"/>
          <w:szCs w:val="28"/>
        </w:rPr>
        <w:t xml:space="preserve">in the fight against crime cannot be underestimated. Equally their intrusive nature in the right to privacy entrenched in our </w:t>
      </w:r>
      <w:r w:rsidR="00475C1C" w:rsidRPr="003024B9">
        <w:rPr>
          <w:rFonts w:ascii="Arial" w:eastAsia="Calibri" w:hAnsi="Arial" w:cs="Arial"/>
          <w:sz w:val="28"/>
          <w:szCs w:val="28"/>
        </w:rPr>
        <w:lastRenderedPageBreak/>
        <w:t xml:space="preserve">Constitution is a cause for concern. This means that a court considering these </w:t>
      </w:r>
      <w:r w:rsidR="0080409D">
        <w:rPr>
          <w:rFonts w:ascii="Arial" w:eastAsia="Calibri" w:hAnsi="Arial" w:cs="Arial"/>
          <w:sz w:val="28"/>
          <w:szCs w:val="28"/>
        </w:rPr>
        <w:t>competing interests</w:t>
      </w:r>
      <w:r w:rsidR="0080409D" w:rsidRPr="003024B9">
        <w:rPr>
          <w:rFonts w:ascii="Arial" w:eastAsia="Calibri" w:hAnsi="Arial" w:cs="Arial"/>
          <w:sz w:val="28"/>
          <w:szCs w:val="28"/>
        </w:rPr>
        <w:t xml:space="preserve"> </w:t>
      </w:r>
      <w:r w:rsidR="00475C1C" w:rsidRPr="003024B9">
        <w:rPr>
          <w:rFonts w:ascii="Arial" w:eastAsia="Calibri" w:hAnsi="Arial" w:cs="Arial"/>
          <w:sz w:val="28"/>
          <w:szCs w:val="28"/>
        </w:rPr>
        <w:t xml:space="preserve">has to move ahead applying a fine balancing act. This is the approach followed in a long list of decided cases. A useful barometer to determine a valid and enforceable warrant was succinctly stated in </w:t>
      </w:r>
      <w:r w:rsidR="00475C1C" w:rsidRPr="00164992">
        <w:rPr>
          <w:rFonts w:ascii="Arial" w:eastAsia="Calibri" w:hAnsi="Arial" w:cs="Arial"/>
          <w:b/>
          <w:sz w:val="28"/>
          <w:szCs w:val="28"/>
        </w:rPr>
        <w:t xml:space="preserve">Powell </w:t>
      </w:r>
      <w:r w:rsidRPr="00164992">
        <w:rPr>
          <w:rFonts w:ascii="Arial" w:eastAsia="Calibri" w:hAnsi="Arial" w:cs="Arial"/>
          <w:b/>
          <w:sz w:val="28"/>
          <w:szCs w:val="28"/>
        </w:rPr>
        <w:t xml:space="preserve">NO </w:t>
      </w:r>
      <w:r w:rsidR="00B010FB" w:rsidRPr="00164992">
        <w:rPr>
          <w:rFonts w:ascii="Arial" w:eastAsia="Calibri" w:hAnsi="Arial" w:cs="Arial"/>
          <w:b/>
          <w:sz w:val="28"/>
          <w:szCs w:val="28"/>
        </w:rPr>
        <w:t>and Others v Van der Merwe NO and Others</w:t>
      </w:r>
      <w:r w:rsidR="00B010FB" w:rsidRPr="0080409D">
        <w:rPr>
          <w:rFonts w:ascii="Arial" w:eastAsia="Calibri" w:hAnsi="Arial" w:cs="Arial"/>
          <w:sz w:val="28"/>
          <w:szCs w:val="28"/>
        </w:rPr>
        <w:t xml:space="preserve"> </w:t>
      </w:r>
      <w:r w:rsidR="00475C1C" w:rsidRPr="003024B9">
        <w:rPr>
          <w:rFonts w:ascii="Arial" w:eastAsia="Calibri" w:hAnsi="Arial" w:cs="Arial"/>
          <w:sz w:val="28"/>
          <w:szCs w:val="28"/>
        </w:rPr>
        <w:t>by Cameron JA (as he then was)</w:t>
      </w:r>
      <w:r w:rsidR="00B010FB">
        <w:rPr>
          <w:rFonts w:ascii="Arial" w:eastAsia="Calibri" w:hAnsi="Arial" w:cs="Arial"/>
          <w:sz w:val="28"/>
          <w:szCs w:val="28"/>
        </w:rPr>
        <w:t xml:space="preserve"> </w:t>
      </w:r>
      <w:r w:rsidR="00B010FB" w:rsidRPr="0080409D">
        <w:rPr>
          <w:rFonts w:ascii="Arial" w:eastAsia="Calibri" w:hAnsi="Arial" w:cs="Arial"/>
          <w:i/>
          <w:sz w:val="28"/>
          <w:szCs w:val="28"/>
        </w:rPr>
        <w:t>supra</w:t>
      </w:r>
      <w:r w:rsidR="00475C1C" w:rsidRPr="003024B9">
        <w:rPr>
          <w:rFonts w:ascii="Arial" w:eastAsia="Calibri" w:hAnsi="Arial" w:cs="Arial"/>
          <w:sz w:val="28"/>
          <w:szCs w:val="28"/>
        </w:rPr>
        <w:t xml:space="preserve"> on paragraph 59. These guidelines were reiterated </w:t>
      </w:r>
      <w:r w:rsidR="000E480A" w:rsidRPr="003024B9">
        <w:rPr>
          <w:rFonts w:ascii="Arial" w:eastAsia="Calibri" w:hAnsi="Arial" w:cs="Arial"/>
          <w:sz w:val="28"/>
          <w:szCs w:val="28"/>
        </w:rPr>
        <w:t xml:space="preserve">with some eloquence by the apex court in </w:t>
      </w:r>
      <w:r w:rsidR="000E480A" w:rsidRPr="00164992">
        <w:rPr>
          <w:rFonts w:ascii="Arial" w:eastAsia="Calibri" w:hAnsi="Arial" w:cs="Arial"/>
          <w:b/>
          <w:sz w:val="28"/>
          <w:szCs w:val="28"/>
        </w:rPr>
        <w:t xml:space="preserve">Minister of Safety and Security v </w:t>
      </w:r>
      <w:r w:rsidR="0093779C" w:rsidRPr="00164992">
        <w:rPr>
          <w:rFonts w:ascii="Arial" w:eastAsia="Calibri" w:hAnsi="Arial" w:cs="Arial"/>
          <w:b/>
          <w:sz w:val="28"/>
          <w:szCs w:val="28"/>
        </w:rPr>
        <w:t>Van der Merwe</w:t>
      </w:r>
      <w:r w:rsidR="0093779C" w:rsidRPr="003024B9">
        <w:rPr>
          <w:rFonts w:ascii="Arial" w:eastAsia="Calibri" w:hAnsi="Arial" w:cs="Arial"/>
          <w:b/>
          <w:sz w:val="28"/>
          <w:szCs w:val="28"/>
        </w:rPr>
        <w:t xml:space="preserve"> </w:t>
      </w:r>
      <w:r w:rsidR="0093779C" w:rsidRPr="0080409D">
        <w:rPr>
          <w:rFonts w:ascii="Arial" w:eastAsia="Calibri" w:hAnsi="Arial" w:cs="Arial"/>
          <w:i/>
          <w:sz w:val="28"/>
          <w:szCs w:val="28"/>
        </w:rPr>
        <w:t>supra.</w:t>
      </w:r>
      <w:r w:rsidR="000E480A" w:rsidRPr="003024B9">
        <w:rPr>
          <w:rStyle w:val="FootnoteReference"/>
          <w:rFonts w:ascii="Arial" w:eastAsia="Calibri" w:hAnsi="Arial" w:cs="Arial"/>
          <w:sz w:val="28"/>
          <w:szCs w:val="28"/>
        </w:rPr>
        <w:footnoteReference w:id="10"/>
      </w:r>
    </w:p>
    <w:p w14:paraId="3A0A288B" w14:textId="77777777" w:rsidR="000E480A" w:rsidRPr="003024B9" w:rsidRDefault="000E480A" w:rsidP="00475C1C">
      <w:pPr>
        <w:spacing w:line="360" w:lineRule="auto"/>
        <w:ind w:left="851" w:hanging="851"/>
        <w:contextualSpacing/>
        <w:jc w:val="both"/>
        <w:rPr>
          <w:rFonts w:ascii="Arial" w:eastAsia="Calibri" w:hAnsi="Arial" w:cs="Arial"/>
          <w:sz w:val="28"/>
          <w:szCs w:val="28"/>
        </w:rPr>
      </w:pPr>
    </w:p>
    <w:p w14:paraId="32C23403" w14:textId="50608B53" w:rsidR="000E480A" w:rsidRPr="003024B9" w:rsidRDefault="000E480A" w:rsidP="000E480A">
      <w:pPr>
        <w:spacing w:line="360" w:lineRule="auto"/>
        <w:ind w:left="851" w:hanging="851"/>
        <w:contextualSpacing/>
        <w:jc w:val="both"/>
        <w:rPr>
          <w:rFonts w:ascii="Arial" w:eastAsia="Calibri" w:hAnsi="Arial" w:cs="Arial"/>
          <w:sz w:val="28"/>
          <w:szCs w:val="28"/>
        </w:rPr>
      </w:pPr>
      <w:r w:rsidRPr="003024B9">
        <w:rPr>
          <w:rFonts w:ascii="Arial" w:eastAsia="Calibri" w:hAnsi="Arial" w:cs="Arial"/>
          <w:sz w:val="28"/>
          <w:szCs w:val="28"/>
        </w:rPr>
        <w:t>[2</w:t>
      </w:r>
      <w:r w:rsidR="0027145E">
        <w:rPr>
          <w:rFonts w:ascii="Arial" w:eastAsia="Calibri" w:hAnsi="Arial" w:cs="Arial"/>
          <w:sz w:val="28"/>
          <w:szCs w:val="28"/>
        </w:rPr>
        <w:t>4</w:t>
      </w:r>
      <w:r w:rsidRPr="003024B9">
        <w:rPr>
          <w:rFonts w:ascii="Arial" w:eastAsia="Calibri" w:hAnsi="Arial" w:cs="Arial"/>
          <w:sz w:val="28"/>
          <w:szCs w:val="28"/>
        </w:rPr>
        <w:t>]</w:t>
      </w:r>
      <w:r w:rsidRPr="003024B9">
        <w:rPr>
          <w:rFonts w:ascii="Arial" w:eastAsia="Calibri" w:hAnsi="Arial" w:cs="Arial"/>
          <w:sz w:val="28"/>
          <w:szCs w:val="28"/>
        </w:rPr>
        <w:tab/>
        <w:t xml:space="preserve">It is apposite to discuss in some detail the intelligibility principle as applied to the warrants. Both counsel spent some concerted effort to persuade me that the warrants </w:t>
      </w:r>
      <w:r w:rsidR="0093779C" w:rsidRPr="003024B9">
        <w:rPr>
          <w:rFonts w:ascii="Arial" w:eastAsia="Calibri" w:hAnsi="Arial" w:cs="Arial"/>
          <w:sz w:val="28"/>
          <w:szCs w:val="28"/>
        </w:rPr>
        <w:t>were</w:t>
      </w:r>
      <w:r w:rsidRPr="003024B9">
        <w:rPr>
          <w:rFonts w:ascii="Arial" w:eastAsia="Calibri" w:hAnsi="Arial" w:cs="Arial"/>
          <w:sz w:val="28"/>
          <w:szCs w:val="28"/>
        </w:rPr>
        <w:t xml:space="preserve"> valid or </w:t>
      </w:r>
      <w:r w:rsidR="0080409D">
        <w:rPr>
          <w:rFonts w:ascii="Arial" w:eastAsia="Calibri" w:hAnsi="Arial" w:cs="Arial"/>
          <w:sz w:val="28"/>
          <w:szCs w:val="28"/>
        </w:rPr>
        <w:t>in</w:t>
      </w:r>
      <w:r w:rsidRPr="003024B9">
        <w:rPr>
          <w:rFonts w:ascii="Arial" w:eastAsia="Calibri" w:hAnsi="Arial" w:cs="Arial"/>
          <w:sz w:val="28"/>
          <w:szCs w:val="28"/>
        </w:rPr>
        <w:t>valid purely on this ground.  A search and seizure warrant must satisfy the intelligibility principle which is rooted in the founding values of the Constitution. The test underpinning it is an objective one.</w:t>
      </w:r>
    </w:p>
    <w:p w14:paraId="5F5236EC" w14:textId="77777777" w:rsidR="000E480A" w:rsidRPr="003024B9" w:rsidRDefault="000E480A" w:rsidP="000E480A">
      <w:pPr>
        <w:spacing w:line="360" w:lineRule="auto"/>
        <w:ind w:left="851" w:hanging="851"/>
        <w:contextualSpacing/>
        <w:jc w:val="both"/>
        <w:rPr>
          <w:rFonts w:ascii="Arial" w:eastAsia="Calibri" w:hAnsi="Arial" w:cs="Arial"/>
          <w:sz w:val="28"/>
          <w:szCs w:val="28"/>
        </w:rPr>
      </w:pPr>
    </w:p>
    <w:p w14:paraId="7011E1C9" w14:textId="4F42204D" w:rsidR="000E480A" w:rsidRPr="003024B9" w:rsidRDefault="000E480A" w:rsidP="000E480A">
      <w:pPr>
        <w:spacing w:line="360" w:lineRule="auto"/>
        <w:ind w:left="851" w:hanging="851"/>
        <w:contextualSpacing/>
        <w:jc w:val="both"/>
        <w:rPr>
          <w:rFonts w:ascii="Arial" w:eastAsia="Calibri" w:hAnsi="Arial" w:cs="Arial"/>
          <w:sz w:val="28"/>
          <w:szCs w:val="28"/>
        </w:rPr>
      </w:pPr>
      <w:r w:rsidRPr="003024B9">
        <w:rPr>
          <w:rFonts w:ascii="Arial" w:eastAsia="Calibri" w:hAnsi="Arial" w:cs="Arial"/>
          <w:sz w:val="28"/>
          <w:szCs w:val="28"/>
        </w:rPr>
        <w:t>[2</w:t>
      </w:r>
      <w:r w:rsidR="0027145E">
        <w:rPr>
          <w:rFonts w:ascii="Arial" w:eastAsia="Calibri" w:hAnsi="Arial" w:cs="Arial"/>
          <w:sz w:val="28"/>
          <w:szCs w:val="28"/>
        </w:rPr>
        <w:t>5</w:t>
      </w:r>
      <w:r w:rsidRPr="003024B9">
        <w:rPr>
          <w:rFonts w:ascii="Arial" w:eastAsia="Calibri" w:hAnsi="Arial" w:cs="Arial"/>
          <w:sz w:val="28"/>
          <w:szCs w:val="28"/>
        </w:rPr>
        <w:t>]</w:t>
      </w:r>
      <w:r w:rsidRPr="003024B9">
        <w:rPr>
          <w:rFonts w:ascii="Arial" w:eastAsia="Calibri" w:hAnsi="Arial" w:cs="Arial"/>
          <w:sz w:val="28"/>
          <w:szCs w:val="28"/>
        </w:rPr>
        <w:tab/>
        <w:t xml:space="preserve">On paragraph 44 of the </w:t>
      </w:r>
      <w:r w:rsidRPr="00164992">
        <w:rPr>
          <w:rFonts w:ascii="Arial" w:eastAsia="Calibri" w:hAnsi="Arial" w:cs="Arial"/>
          <w:b/>
          <w:sz w:val="28"/>
          <w:szCs w:val="28"/>
        </w:rPr>
        <w:t xml:space="preserve">Van </w:t>
      </w:r>
      <w:proofErr w:type="gramStart"/>
      <w:r w:rsidRPr="00164992">
        <w:rPr>
          <w:rFonts w:ascii="Arial" w:eastAsia="Calibri" w:hAnsi="Arial" w:cs="Arial"/>
          <w:b/>
          <w:sz w:val="28"/>
          <w:szCs w:val="28"/>
        </w:rPr>
        <w:t>Der</w:t>
      </w:r>
      <w:proofErr w:type="gramEnd"/>
      <w:r w:rsidRPr="00164992">
        <w:rPr>
          <w:rFonts w:ascii="Arial" w:eastAsia="Calibri" w:hAnsi="Arial" w:cs="Arial"/>
          <w:b/>
          <w:sz w:val="28"/>
          <w:szCs w:val="28"/>
        </w:rPr>
        <w:t xml:space="preserve"> Merwe</w:t>
      </w:r>
      <w:r w:rsidRPr="003024B9">
        <w:rPr>
          <w:rFonts w:ascii="Arial" w:eastAsia="Calibri" w:hAnsi="Arial" w:cs="Arial"/>
          <w:sz w:val="28"/>
          <w:szCs w:val="28"/>
        </w:rPr>
        <w:t xml:space="preserve"> decision </w:t>
      </w:r>
      <w:r w:rsidRPr="003024B9">
        <w:rPr>
          <w:rFonts w:ascii="Arial" w:eastAsia="Calibri" w:hAnsi="Arial" w:cs="Arial"/>
          <w:i/>
          <w:sz w:val="28"/>
          <w:szCs w:val="28"/>
        </w:rPr>
        <w:t>supra</w:t>
      </w:r>
      <w:r w:rsidRPr="003024B9">
        <w:rPr>
          <w:rFonts w:ascii="Arial" w:eastAsia="Calibri" w:hAnsi="Arial" w:cs="Arial"/>
          <w:sz w:val="28"/>
          <w:szCs w:val="28"/>
        </w:rPr>
        <w:t xml:space="preserve"> </w:t>
      </w:r>
      <w:proofErr w:type="spellStart"/>
      <w:r w:rsidR="00B103B5" w:rsidRPr="003024B9">
        <w:rPr>
          <w:rFonts w:ascii="Arial" w:eastAsia="Calibri" w:hAnsi="Arial" w:cs="Arial"/>
          <w:sz w:val="28"/>
          <w:szCs w:val="28"/>
        </w:rPr>
        <w:t>Mogoeng</w:t>
      </w:r>
      <w:proofErr w:type="spellEnd"/>
      <w:r w:rsidR="00B103B5" w:rsidRPr="003024B9">
        <w:rPr>
          <w:rFonts w:ascii="Arial" w:eastAsia="Calibri" w:hAnsi="Arial" w:cs="Arial"/>
          <w:sz w:val="28"/>
          <w:szCs w:val="28"/>
        </w:rPr>
        <w:t xml:space="preserve"> J (as he then was) describe</w:t>
      </w:r>
      <w:r w:rsidR="0093779C" w:rsidRPr="003024B9">
        <w:rPr>
          <w:rFonts w:ascii="Arial" w:eastAsia="Calibri" w:hAnsi="Arial" w:cs="Arial"/>
          <w:sz w:val="28"/>
          <w:szCs w:val="28"/>
        </w:rPr>
        <w:t>d the objective test</w:t>
      </w:r>
      <w:r w:rsidR="00B103B5" w:rsidRPr="003024B9">
        <w:rPr>
          <w:rFonts w:ascii="Arial" w:eastAsia="Calibri" w:hAnsi="Arial" w:cs="Arial"/>
          <w:sz w:val="28"/>
          <w:szCs w:val="28"/>
        </w:rPr>
        <w:t xml:space="preserve"> it in the following: -</w:t>
      </w:r>
    </w:p>
    <w:p w14:paraId="790FC4FE" w14:textId="77777777" w:rsidR="00B103B5" w:rsidRPr="003024B9" w:rsidRDefault="00B103B5" w:rsidP="00B103B5">
      <w:pPr>
        <w:spacing w:after="0" w:line="360" w:lineRule="auto"/>
        <w:ind w:left="1701" w:right="1254"/>
        <w:jc w:val="both"/>
        <w:rPr>
          <w:rFonts w:ascii="Arial" w:hAnsi="Arial" w:cs="Arial"/>
          <w:sz w:val="24"/>
          <w:szCs w:val="24"/>
        </w:rPr>
      </w:pPr>
      <w:r w:rsidRPr="003024B9">
        <w:rPr>
          <w:rFonts w:ascii="Arial" w:eastAsia="Calibri" w:hAnsi="Arial" w:cs="Arial"/>
          <w:sz w:val="28"/>
          <w:szCs w:val="28"/>
        </w:rPr>
        <w:t>“</w:t>
      </w:r>
      <w:r w:rsidRPr="003024B9">
        <w:rPr>
          <w:rFonts w:ascii="Arial" w:hAnsi="Arial" w:cs="Arial"/>
          <w:color w:val="000000"/>
          <w:sz w:val="24"/>
          <w:szCs w:val="24"/>
        </w:rPr>
        <w:t>The core issue is whether the warrant would be reasonably capable of that clear understanding, even if the offence were not mentioned in it. Put differently, does the intelligibility principle require the specification of the offence in the s 21 warrant for its validity?”</w:t>
      </w:r>
    </w:p>
    <w:p w14:paraId="6D05308B" w14:textId="77777777" w:rsidR="000E480A" w:rsidRPr="003024B9" w:rsidRDefault="000E480A" w:rsidP="000E480A">
      <w:pPr>
        <w:spacing w:line="360" w:lineRule="auto"/>
        <w:ind w:left="851" w:hanging="851"/>
        <w:contextualSpacing/>
        <w:jc w:val="both"/>
        <w:rPr>
          <w:rFonts w:ascii="Arial" w:eastAsia="Calibri" w:hAnsi="Arial" w:cs="Arial"/>
          <w:sz w:val="28"/>
          <w:szCs w:val="28"/>
        </w:rPr>
      </w:pPr>
    </w:p>
    <w:p w14:paraId="7B243077" w14:textId="77777777" w:rsidR="00B103B5" w:rsidRPr="003024B9" w:rsidRDefault="00B103B5" w:rsidP="00B103B5">
      <w:pPr>
        <w:spacing w:line="360" w:lineRule="auto"/>
        <w:ind w:left="851" w:hanging="851"/>
        <w:contextualSpacing/>
        <w:jc w:val="both"/>
        <w:rPr>
          <w:rFonts w:ascii="Arial" w:eastAsia="Calibri" w:hAnsi="Arial" w:cs="Arial"/>
          <w:sz w:val="28"/>
          <w:szCs w:val="28"/>
        </w:rPr>
      </w:pPr>
      <w:r w:rsidRPr="003024B9">
        <w:rPr>
          <w:rFonts w:ascii="Arial" w:eastAsia="Calibri" w:hAnsi="Arial" w:cs="Arial"/>
          <w:sz w:val="28"/>
          <w:szCs w:val="28"/>
        </w:rPr>
        <w:tab/>
        <w:t>T</w:t>
      </w:r>
      <w:r w:rsidR="006A3854" w:rsidRPr="003024B9">
        <w:rPr>
          <w:rFonts w:ascii="Arial" w:eastAsia="Calibri" w:hAnsi="Arial" w:cs="Arial"/>
          <w:sz w:val="28"/>
          <w:szCs w:val="28"/>
        </w:rPr>
        <w:t>his principle is in keeping with the requirement that the exercise of state power must be accountable, predictable and understandable. If the warrant falls short of this threshold, it is bound to be declared invalid and set-aside.</w:t>
      </w:r>
    </w:p>
    <w:p w14:paraId="36643BB1" w14:textId="77777777" w:rsidR="006A3854" w:rsidRPr="003024B9" w:rsidRDefault="006A3854" w:rsidP="00B103B5">
      <w:pPr>
        <w:spacing w:line="360" w:lineRule="auto"/>
        <w:ind w:left="851" w:hanging="851"/>
        <w:contextualSpacing/>
        <w:jc w:val="both"/>
        <w:rPr>
          <w:rFonts w:ascii="Arial" w:eastAsia="Calibri" w:hAnsi="Arial" w:cs="Arial"/>
          <w:sz w:val="28"/>
          <w:szCs w:val="28"/>
        </w:rPr>
      </w:pPr>
    </w:p>
    <w:p w14:paraId="3E52D5E2" w14:textId="008F79DB" w:rsidR="006A3854" w:rsidRPr="003024B9" w:rsidRDefault="006A3854" w:rsidP="006A3854">
      <w:pPr>
        <w:spacing w:line="360" w:lineRule="auto"/>
        <w:ind w:left="851" w:hanging="851"/>
        <w:contextualSpacing/>
        <w:jc w:val="both"/>
        <w:rPr>
          <w:rFonts w:ascii="Arial" w:eastAsia="Calibri" w:hAnsi="Arial" w:cs="Arial"/>
          <w:sz w:val="28"/>
          <w:szCs w:val="28"/>
        </w:rPr>
      </w:pPr>
      <w:r w:rsidRPr="003024B9">
        <w:rPr>
          <w:rFonts w:ascii="Arial" w:eastAsia="Calibri" w:hAnsi="Arial" w:cs="Arial"/>
          <w:sz w:val="28"/>
          <w:szCs w:val="28"/>
        </w:rPr>
        <w:t>[2</w:t>
      </w:r>
      <w:r w:rsidR="0027145E">
        <w:rPr>
          <w:rFonts w:ascii="Arial" w:eastAsia="Calibri" w:hAnsi="Arial" w:cs="Arial"/>
          <w:sz w:val="28"/>
          <w:szCs w:val="28"/>
        </w:rPr>
        <w:t>6</w:t>
      </w:r>
      <w:r w:rsidRPr="003024B9">
        <w:rPr>
          <w:rFonts w:ascii="Arial" w:eastAsia="Calibri" w:hAnsi="Arial" w:cs="Arial"/>
          <w:sz w:val="28"/>
          <w:szCs w:val="28"/>
        </w:rPr>
        <w:t>]</w:t>
      </w:r>
      <w:r w:rsidRPr="003024B9">
        <w:rPr>
          <w:rFonts w:ascii="Arial" w:eastAsia="Calibri" w:hAnsi="Arial" w:cs="Arial"/>
          <w:sz w:val="28"/>
          <w:szCs w:val="28"/>
        </w:rPr>
        <w:tab/>
      </w:r>
      <w:r w:rsidR="0093779C" w:rsidRPr="003024B9">
        <w:rPr>
          <w:rFonts w:ascii="Arial" w:eastAsia="Calibri" w:hAnsi="Arial" w:cs="Arial"/>
          <w:sz w:val="28"/>
          <w:szCs w:val="28"/>
        </w:rPr>
        <w:t>T</w:t>
      </w:r>
      <w:r w:rsidRPr="003024B9">
        <w:rPr>
          <w:rFonts w:ascii="Arial" w:eastAsia="Calibri" w:hAnsi="Arial" w:cs="Arial"/>
          <w:sz w:val="28"/>
          <w:szCs w:val="28"/>
        </w:rPr>
        <w:t xml:space="preserve">he compelling </w:t>
      </w:r>
      <w:r w:rsidR="00390864" w:rsidRPr="003024B9">
        <w:rPr>
          <w:rFonts w:ascii="Arial" w:eastAsia="Calibri" w:hAnsi="Arial" w:cs="Arial"/>
          <w:sz w:val="28"/>
          <w:szCs w:val="28"/>
        </w:rPr>
        <w:t xml:space="preserve">argument made on behalf of the applicant pertaining to the relief sought </w:t>
      </w:r>
      <w:r w:rsidR="0093779C" w:rsidRPr="003024B9">
        <w:rPr>
          <w:rFonts w:ascii="Arial" w:eastAsia="Calibri" w:hAnsi="Arial" w:cs="Arial"/>
          <w:sz w:val="28"/>
          <w:szCs w:val="28"/>
        </w:rPr>
        <w:t>being</w:t>
      </w:r>
      <w:r w:rsidR="00390864" w:rsidRPr="003024B9">
        <w:rPr>
          <w:rFonts w:ascii="Arial" w:eastAsia="Calibri" w:hAnsi="Arial" w:cs="Arial"/>
          <w:sz w:val="28"/>
          <w:szCs w:val="28"/>
        </w:rPr>
        <w:t xml:space="preserve"> a </w:t>
      </w:r>
      <w:proofErr w:type="spellStart"/>
      <w:r w:rsidR="00390864" w:rsidRPr="003024B9">
        <w:rPr>
          <w:rFonts w:ascii="Arial" w:eastAsia="Calibri" w:hAnsi="Arial" w:cs="Arial"/>
          <w:i/>
          <w:sz w:val="28"/>
          <w:szCs w:val="28"/>
        </w:rPr>
        <w:t>mandament</w:t>
      </w:r>
      <w:proofErr w:type="spellEnd"/>
      <w:r w:rsidR="00390864" w:rsidRPr="003024B9">
        <w:rPr>
          <w:rFonts w:ascii="Arial" w:eastAsia="Calibri" w:hAnsi="Arial" w:cs="Arial"/>
          <w:i/>
          <w:sz w:val="28"/>
          <w:szCs w:val="28"/>
        </w:rPr>
        <w:t xml:space="preserve"> van </w:t>
      </w:r>
      <w:proofErr w:type="spellStart"/>
      <w:r w:rsidR="00390864" w:rsidRPr="003024B9">
        <w:rPr>
          <w:rFonts w:ascii="Arial" w:eastAsia="Calibri" w:hAnsi="Arial" w:cs="Arial"/>
          <w:i/>
          <w:sz w:val="28"/>
          <w:szCs w:val="28"/>
        </w:rPr>
        <w:t>spolie</w:t>
      </w:r>
      <w:proofErr w:type="spellEnd"/>
      <w:r w:rsidR="00390864" w:rsidRPr="003024B9">
        <w:rPr>
          <w:rFonts w:ascii="Arial" w:eastAsia="Calibri" w:hAnsi="Arial" w:cs="Arial"/>
          <w:sz w:val="28"/>
          <w:szCs w:val="28"/>
        </w:rPr>
        <w:t xml:space="preserve"> </w:t>
      </w:r>
      <w:r w:rsidR="0093779C" w:rsidRPr="003024B9">
        <w:rPr>
          <w:rFonts w:ascii="Arial" w:eastAsia="Calibri" w:hAnsi="Arial" w:cs="Arial"/>
          <w:sz w:val="28"/>
          <w:szCs w:val="28"/>
        </w:rPr>
        <w:t xml:space="preserve">is </w:t>
      </w:r>
      <w:r w:rsidR="00390864" w:rsidRPr="003024B9">
        <w:rPr>
          <w:rFonts w:ascii="Arial" w:eastAsia="Calibri" w:hAnsi="Arial" w:cs="Arial"/>
          <w:sz w:val="28"/>
          <w:szCs w:val="28"/>
        </w:rPr>
        <w:t xml:space="preserve">uncontested. Counsel for the respondents did not, even once, refer to it. The </w:t>
      </w:r>
      <w:r w:rsidR="0080409D">
        <w:rPr>
          <w:rFonts w:ascii="Arial" w:eastAsia="Calibri" w:hAnsi="Arial" w:cs="Arial"/>
          <w:sz w:val="28"/>
          <w:szCs w:val="28"/>
        </w:rPr>
        <w:t>legal principles</w:t>
      </w:r>
      <w:r w:rsidR="0080409D" w:rsidRPr="003024B9">
        <w:rPr>
          <w:rFonts w:ascii="Arial" w:eastAsia="Calibri" w:hAnsi="Arial" w:cs="Arial"/>
          <w:sz w:val="28"/>
          <w:szCs w:val="28"/>
        </w:rPr>
        <w:t xml:space="preserve"> </w:t>
      </w:r>
      <w:r w:rsidR="00390864" w:rsidRPr="003024B9">
        <w:rPr>
          <w:rFonts w:ascii="Arial" w:eastAsia="Calibri" w:hAnsi="Arial" w:cs="Arial"/>
          <w:sz w:val="28"/>
          <w:szCs w:val="28"/>
        </w:rPr>
        <w:t xml:space="preserve">as </w:t>
      </w:r>
      <w:r w:rsidR="0080409D">
        <w:rPr>
          <w:rFonts w:ascii="Arial" w:eastAsia="Calibri" w:hAnsi="Arial" w:cs="Arial"/>
          <w:sz w:val="28"/>
          <w:szCs w:val="28"/>
        </w:rPr>
        <w:t>submitted</w:t>
      </w:r>
      <w:r w:rsidR="0080409D" w:rsidRPr="003024B9">
        <w:rPr>
          <w:rFonts w:ascii="Arial" w:eastAsia="Calibri" w:hAnsi="Arial" w:cs="Arial"/>
          <w:sz w:val="28"/>
          <w:szCs w:val="28"/>
        </w:rPr>
        <w:t xml:space="preserve"> </w:t>
      </w:r>
      <w:r w:rsidR="00390864" w:rsidRPr="003024B9">
        <w:rPr>
          <w:rFonts w:ascii="Arial" w:eastAsia="Calibri" w:hAnsi="Arial" w:cs="Arial"/>
          <w:sz w:val="28"/>
          <w:szCs w:val="28"/>
        </w:rPr>
        <w:t xml:space="preserve">for the applicant </w:t>
      </w:r>
      <w:r w:rsidR="0080409D">
        <w:rPr>
          <w:rFonts w:ascii="Arial" w:eastAsia="Calibri" w:hAnsi="Arial" w:cs="Arial"/>
          <w:sz w:val="28"/>
          <w:szCs w:val="28"/>
        </w:rPr>
        <w:t>are</w:t>
      </w:r>
      <w:r w:rsidR="0080409D" w:rsidRPr="003024B9">
        <w:rPr>
          <w:rFonts w:ascii="Arial" w:eastAsia="Calibri" w:hAnsi="Arial" w:cs="Arial"/>
          <w:sz w:val="28"/>
          <w:szCs w:val="28"/>
        </w:rPr>
        <w:t xml:space="preserve"> </w:t>
      </w:r>
      <w:r w:rsidR="00390864" w:rsidRPr="003024B9">
        <w:rPr>
          <w:rFonts w:ascii="Arial" w:eastAsia="Calibri" w:hAnsi="Arial" w:cs="Arial"/>
          <w:sz w:val="28"/>
          <w:szCs w:val="28"/>
        </w:rPr>
        <w:t xml:space="preserve">correct. The respondents are not immune and this remedy is available to the victims </w:t>
      </w:r>
      <w:r w:rsidR="0080409D">
        <w:rPr>
          <w:rFonts w:ascii="Arial" w:eastAsia="Calibri" w:hAnsi="Arial" w:cs="Arial"/>
          <w:sz w:val="28"/>
          <w:szCs w:val="28"/>
        </w:rPr>
        <w:t>whose assets were</w:t>
      </w:r>
      <w:r w:rsidR="00390864" w:rsidRPr="003024B9">
        <w:rPr>
          <w:rFonts w:ascii="Arial" w:eastAsia="Calibri" w:hAnsi="Arial" w:cs="Arial"/>
          <w:sz w:val="28"/>
          <w:szCs w:val="28"/>
        </w:rPr>
        <w:t xml:space="preserve"> seized unlawfully. Therefore, a</w:t>
      </w:r>
      <w:r w:rsidR="0080409D">
        <w:rPr>
          <w:rFonts w:ascii="Arial" w:eastAsia="Calibri" w:hAnsi="Arial" w:cs="Arial"/>
          <w:sz w:val="28"/>
          <w:szCs w:val="28"/>
        </w:rPr>
        <w:t>ny</w:t>
      </w:r>
      <w:r w:rsidR="00390864" w:rsidRPr="003024B9">
        <w:rPr>
          <w:rFonts w:ascii="Arial" w:eastAsia="Calibri" w:hAnsi="Arial" w:cs="Arial"/>
          <w:sz w:val="28"/>
          <w:szCs w:val="28"/>
        </w:rPr>
        <w:t xml:space="preserve"> finding that the warrant is </w:t>
      </w:r>
      <w:r w:rsidR="0093779C" w:rsidRPr="003024B9">
        <w:rPr>
          <w:rFonts w:ascii="Arial" w:eastAsia="Calibri" w:hAnsi="Arial" w:cs="Arial"/>
          <w:sz w:val="28"/>
          <w:szCs w:val="28"/>
        </w:rPr>
        <w:t>in</w:t>
      </w:r>
      <w:r w:rsidR="00390864" w:rsidRPr="003024B9">
        <w:rPr>
          <w:rFonts w:ascii="Arial" w:eastAsia="Calibri" w:hAnsi="Arial" w:cs="Arial"/>
          <w:sz w:val="28"/>
          <w:szCs w:val="28"/>
        </w:rPr>
        <w:t>valid, the concomitant result is that restoration must take place.</w:t>
      </w:r>
    </w:p>
    <w:p w14:paraId="0AE41E1D" w14:textId="77777777" w:rsidR="00390864" w:rsidRPr="003024B9" w:rsidRDefault="00390864" w:rsidP="006A3854">
      <w:pPr>
        <w:spacing w:line="360" w:lineRule="auto"/>
        <w:ind w:left="851" w:hanging="851"/>
        <w:contextualSpacing/>
        <w:jc w:val="both"/>
        <w:rPr>
          <w:rFonts w:ascii="Arial" w:eastAsia="Calibri" w:hAnsi="Arial" w:cs="Arial"/>
          <w:sz w:val="28"/>
          <w:szCs w:val="28"/>
        </w:rPr>
      </w:pPr>
    </w:p>
    <w:p w14:paraId="6C63FE4C" w14:textId="60BDB807" w:rsidR="00390864" w:rsidRPr="003024B9" w:rsidRDefault="00390864" w:rsidP="00390864">
      <w:pPr>
        <w:spacing w:line="360" w:lineRule="auto"/>
        <w:ind w:left="851" w:hanging="851"/>
        <w:contextualSpacing/>
        <w:jc w:val="both"/>
        <w:rPr>
          <w:rFonts w:ascii="Arial" w:eastAsia="Calibri" w:hAnsi="Arial" w:cs="Arial"/>
          <w:sz w:val="28"/>
          <w:szCs w:val="28"/>
        </w:rPr>
      </w:pPr>
      <w:r w:rsidRPr="003024B9">
        <w:rPr>
          <w:rFonts w:ascii="Arial" w:eastAsia="Calibri" w:hAnsi="Arial" w:cs="Arial"/>
          <w:sz w:val="28"/>
          <w:szCs w:val="28"/>
        </w:rPr>
        <w:lastRenderedPageBreak/>
        <w:t>[2</w:t>
      </w:r>
      <w:r w:rsidR="0027145E">
        <w:rPr>
          <w:rFonts w:ascii="Arial" w:eastAsia="Calibri" w:hAnsi="Arial" w:cs="Arial"/>
          <w:sz w:val="28"/>
          <w:szCs w:val="28"/>
        </w:rPr>
        <w:t>7</w:t>
      </w:r>
      <w:r w:rsidRPr="003024B9">
        <w:rPr>
          <w:rFonts w:ascii="Arial" w:eastAsia="Calibri" w:hAnsi="Arial" w:cs="Arial"/>
          <w:sz w:val="28"/>
          <w:szCs w:val="28"/>
        </w:rPr>
        <w:t>]</w:t>
      </w:r>
      <w:r w:rsidRPr="003024B9">
        <w:rPr>
          <w:rFonts w:ascii="Arial" w:eastAsia="Calibri" w:hAnsi="Arial" w:cs="Arial"/>
          <w:sz w:val="28"/>
          <w:szCs w:val="28"/>
        </w:rPr>
        <w:tab/>
        <w:t xml:space="preserve">I now turn to consider legal challenges launched against the validity of the two warrants. The fact of the matter is that the court issuing warrants must consider what is put before it at the time it is exercising its powers. It cannot consider anything that is not before it. In this matter, it considered the two affidavits deposed to by the second respondent. Nothing else. </w:t>
      </w:r>
      <w:r w:rsidR="0093779C" w:rsidRPr="003024B9">
        <w:rPr>
          <w:rFonts w:ascii="Arial" w:eastAsia="Calibri" w:hAnsi="Arial" w:cs="Arial"/>
          <w:sz w:val="28"/>
          <w:szCs w:val="28"/>
        </w:rPr>
        <w:t>T</w:t>
      </w:r>
      <w:r w:rsidRPr="003024B9">
        <w:rPr>
          <w:rFonts w:ascii="Arial" w:eastAsia="Calibri" w:hAnsi="Arial" w:cs="Arial"/>
          <w:sz w:val="28"/>
          <w:szCs w:val="28"/>
        </w:rPr>
        <w:t>he case for the respondents stand</w:t>
      </w:r>
      <w:r w:rsidR="001434EB">
        <w:rPr>
          <w:rFonts w:ascii="Arial" w:eastAsia="Calibri" w:hAnsi="Arial" w:cs="Arial"/>
          <w:sz w:val="28"/>
          <w:szCs w:val="28"/>
        </w:rPr>
        <w:t>s</w:t>
      </w:r>
      <w:r w:rsidRPr="003024B9">
        <w:rPr>
          <w:rFonts w:ascii="Arial" w:eastAsia="Calibri" w:hAnsi="Arial" w:cs="Arial"/>
          <w:sz w:val="28"/>
          <w:szCs w:val="28"/>
        </w:rPr>
        <w:t xml:space="preserve"> or fall</w:t>
      </w:r>
      <w:r w:rsidR="001434EB">
        <w:rPr>
          <w:rFonts w:ascii="Arial" w:eastAsia="Calibri" w:hAnsi="Arial" w:cs="Arial"/>
          <w:sz w:val="28"/>
          <w:szCs w:val="28"/>
        </w:rPr>
        <w:t>s</w:t>
      </w:r>
      <w:r w:rsidRPr="003024B9">
        <w:rPr>
          <w:rFonts w:ascii="Arial" w:eastAsia="Calibri" w:hAnsi="Arial" w:cs="Arial"/>
          <w:sz w:val="28"/>
          <w:szCs w:val="28"/>
        </w:rPr>
        <w:t xml:space="preserve"> on these two documents.</w:t>
      </w:r>
    </w:p>
    <w:p w14:paraId="531F998D" w14:textId="77777777" w:rsidR="00390864" w:rsidRPr="003024B9" w:rsidRDefault="00390864" w:rsidP="00390864">
      <w:pPr>
        <w:spacing w:line="360" w:lineRule="auto"/>
        <w:ind w:left="851" w:hanging="851"/>
        <w:contextualSpacing/>
        <w:jc w:val="both"/>
        <w:rPr>
          <w:rFonts w:ascii="Arial" w:eastAsia="Calibri" w:hAnsi="Arial" w:cs="Arial"/>
          <w:sz w:val="28"/>
          <w:szCs w:val="28"/>
        </w:rPr>
      </w:pPr>
    </w:p>
    <w:p w14:paraId="7E529E72" w14:textId="4E48C9AB" w:rsidR="00390864" w:rsidRPr="003024B9" w:rsidRDefault="00390864" w:rsidP="00390864">
      <w:pPr>
        <w:spacing w:line="360" w:lineRule="auto"/>
        <w:ind w:left="851" w:hanging="851"/>
        <w:contextualSpacing/>
        <w:jc w:val="both"/>
        <w:rPr>
          <w:rFonts w:ascii="Arial" w:eastAsia="Calibri" w:hAnsi="Arial" w:cs="Arial"/>
          <w:sz w:val="28"/>
          <w:szCs w:val="28"/>
        </w:rPr>
      </w:pPr>
      <w:r w:rsidRPr="003024B9">
        <w:rPr>
          <w:rFonts w:ascii="Arial" w:eastAsia="Calibri" w:hAnsi="Arial" w:cs="Arial"/>
          <w:sz w:val="28"/>
          <w:szCs w:val="28"/>
        </w:rPr>
        <w:t>[2</w:t>
      </w:r>
      <w:r w:rsidR="0027145E">
        <w:rPr>
          <w:rFonts w:ascii="Arial" w:eastAsia="Calibri" w:hAnsi="Arial" w:cs="Arial"/>
          <w:sz w:val="28"/>
          <w:szCs w:val="28"/>
        </w:rPr>
        <w:t>8</w:t>
      </w:r>
      <w:r w:rsidRPr="003024B9">
        <w:rPr>
          <w:rFonts w:ascii="Arial" w:eastAsia="Calibri" w:hAnsi="Arial" w:cs="Arial"/>
          <w:sz w:val="28"/>
          <w:szCs w:val="28"/>
        </w:rPr>
        <w:t>]</w:t>
      </w:r>
      <w:r w:rsidRPr="003024B9">
        <w:rPr>
          <w:rFonts w:ascii="Arial" w:eastAsia="Calibri" w:hAnsi="Arial" w:cs="Arial"/>
          <w:sz w:val="28"/>
          <w:szCs w:val="28"/>
        </w:rPr>
        <w:tab/>
      </w:r>
      <w:r w:rsidR="0026076A" w:rsidRPr="003024B9">
        <w:rPr>
          <w:rFonts w:ascii="Arial" w:eastAsia="Calibri" w:hAnsi="Arial" w:cs="Arial"/>
          <w:sz w:val="28"/>
          <w:szCs w:val="28"/>
        </w:rPr>
        <w:t xml:space="preserve">For the third respondent to issue a warrant there must be information on oath that there are reasonable grounds for believing that there is an article which may afford evidence of the commission or suspected commission of the offence. Lewis JA in </w:t>
      </w:r>
      <w:r w:rsidR="0026076A" w:rsidRPr="00164992">
        <w:rPr>
          <w:rFonts w:ascii="Arial" w:eastAsia="Calibri" w:hAnsi="Arial" w:cs="Arial"/>
          <w:b/>
          <w:sz w:val="28"/>
          <w:szCs w:val="28"/>
        </w:rPr>
        <w:t xml:space="preserve">Minister of Safety and Security v </w:t>
      </w:r>
      <w:proofErr w:type="spellStart"/>
      <w:r w:rsidR="0026076A" w:rsidRPr="00164992">
        <w:rPr>
          <w:rFonts w:ascii="Arial" w:eastAsia="Calibri" w:hAnsi="Arial" w:cs="Arial"/>
          <w:b/>
          <w:sz w:val="28"/>
          <w:szCs w:val="28"/>
        </w:rPr>
        <w:t>Ndiniso</w:t>
      </w:r>
      <w:proofErr w:type="spellEnd"/>
      <w:r w:rsidR="0026076A" w:rsidRPr="0027145E">
        <w:rPr>
          <w:rFonts w:ascii="Arial" w:eastAsia="Calibri" w:hAnsi="Arial" w:cs="Arial"/>
          <w:sz w:val="28"/>
          <w:szCs w:val="28"/>
        </w:rPr>
        <w:t xml:space="preserve"> </w:t>
      </w:r>
      <w:r w:rsidR="0026076A" w:rsidRPr="003024B9">
        <w:rPr>
          <w:rFonts w:ascii="Arial" w:eastAsia="Calibri" w:hAnsi="Arial" w:cs="Arial"/>
          <w:sz w:val="28"/>
          <w:szCs w:val="28"/>
        </w:rPr>
        <w:t>held that facts must be advanced to justify a finding that the belief was based on reasonable ground</w:t>
      </w:r>
      <w:r w:rsidR="001434EB">
        <w:rPr>
          <w:rFonts w:ascii="Arial" w:eastAsia="Calibri" w:hAnsi="Arial" w:cs="Arial"/>
          <w:sz w:val="28"/>
          <w:szCs w:val="28"/>
        </w:rPr>
        <w:t>s</w:t>
      </w:r>
      <w:r w:rsidR="0026076A" w:rsidRPr="003024B9">
        <w:rPr>
          <w:rFonts w:ascii="Arial" w:eastAsia="Calibri" w:hAnsi="Arial" w:cs="Arial"/>
          <w:sz w:val="28"/>
          <w:szCs w:val="28"/>
        </w:rPr>
        <w:t>.</w:t>
      </w:r>
      <w:r w:rsidR="0026076A" w:rsidRPr="003024B9">
        <w:rPr>
          <w:rStyle w:val="FootnoteReference"/>
          <w:rFonts w:ascii="Arial" w:eastAsia="Calibri" w:hAnsi="Arial" w:cs="Arial"/>
          <w:sz w:val="28"/>
          <w:szCs w:val="28"/>
        </w:rPr>
        <w:footnoteReference w:id="11"/>
      </w:r>
      <w:r w:rsidR="001434EB">
        <w:rPr>
          <w:rFonts w:ascii="Arial" w:eastAsia="Calibri" w:hAnsi="Arial" w:cs="Arial"/>
          <w:sz w:val="28"/>
          <w:szCs w:val="28"/>
        </w:rPr>
        <w:t xml:space="preserve"> </w:t>
      </w:r>
      <w:r w:rsidR="0093779C" w:rsidRPr="003024B9">
        <w:rPr>
          <w:rFonts w:ascii="Arial" w:eastAsia="Calibri" w:hAnsi="Arial" w:cs="Arial"/>
          <w:sz w:val="28"/>
          <w:szCs w:val="28"/>
        </w:rPr>
        <w:t xml:space="preserve">It is then expected of the magistrate </w:t>
      </w:r>
      <w:r w:rsidR="0080409D" w:rsidRPr="003024B9">
        <w:rPr>
          <w:rFonts w:ascii="Arial" w:eastAsia="Calibri" w:hAnsi="Arial" w:cs="Arial"/>
          <w:sz w:val="28"/>
          <w:szCs w:val="28"/>
        </w:rPr>
        <w:t>o</w:t>
      </w:r>
      <w:r w:rsidR="0080409D">
        <w:rPr>
          <w:rFonts w:ascii="Arial" w:eastAsia="Calibri" w:hAnsi="Arial" w:cs="Arial"/>
          <w:sz w:val="28"/>
          <w:szCs w:val="28"/>
        </w:rPr>
        <w:t>r</w:t>
      </w:r>
      <w:r w:rsidR="0080409D" w:rsidRPr="003024B9">
        <w:rPr>
          <w:rFonts w:ascii="Arial" w:eastAsia="Calibri" w:hAnsi="Arial" w:cs="Arial"/>
          <w:sz w:val="28"/>
          <w:szCs w:val="28"/>
        </w:rPr>
        <w:t xml:space="preserve"> </w:t>
      </w:r>
      <w:r w:rsidR="0093779C" w:rsidRPr="003024B9">
        <w:rPr>
          <w:rFonts w:ascii="Arial" w:eastAsia="Calibri" w:hAnsi="Arial" w:cs="Arial"/>
          <w:sz w:val="28"/>
          <w:szCs w:val="28"/>
        </w:rPr>
        <w:t>judge to scrutinize it with great skill and care that it meet</w:t>
      </w:r>
      <w:r w:rsidR="00483CD6">
        <w:rPr>
          <w:rFonts w:ascii="Arial" w:eastAsia="Calibri" w:hAnsi="Arial" w:cs="Arial"/>
          <w:sz w:val="28"/>
          <w:szCs w:val="28"/>
        </w:rPr>
        <w:t>s</w:t>
      </w:r>
      <w:r w:rsidR="0093779C" w:rsidRPr="003024B9">
        <w:rPr>
          <w:rFonts w:ascii="Arial" w:eastAsia="Calibri" w:hAnsi="Arial" w:cs="Arial"/>
          <w:sz w:val="28"/>
          <w:szCs w:val="28"/>
        </w:rPr>
        <w:t xml:space="preserve"> the requirement to issue a warrant. </w:t>
      </w:r>
    </w:p>
    <w:p w14:paraId="42956EA7" w14:textId="77777777" w:rsidR="0026076A" w:rsidRPr="003024B9" w:rsidRDefault="0026076A" w:rsidP="00390864">
      <w:pPr>
        <w:spacing w:line="360" w:lineRule="auto"/>
        <w:ind w:left="851" w:hanging="851"/>
        <w:contextualSpacing/>
        <w:jc w:val="both"/>
        <w:rPr>
          <w:rFonts w:ascii="Arial" w:eastAsia="Calibri" w:hAnsi="Arial" w:cs="Arial"/>
          <w:sz w:val="28"/>
          <w:szCs w:val="28"/>
        </w:rPr>
      </w:pPr>
    </w:p>
    <w:p w14:paraId="79C2E497" w14:textId="5736C5DA" w:rsidR="0026076A" w:rsidRPr="003024B9" w:rsidRDefault="0026076A" w:rsidP="0026076A">
      <w:pPr>
        <w:spacing w:line="360" w:lineRule="auto"/>
        <w:ind w:left="851" w:hanging="851"/>
        <w:contextualSpacing/>
        <w:jc w:val="both"/>
        <w:rPr>
          <w:rFonts w:ascii="Arial" w:eastAsia="Calibri" w:hAnsi="Arial" w:cs="Arial"/>
          <w:sz w:val="28"/>
          <w:szCs w:val="28"/>
        </w:rPr>
      </w:pPr>
      <w:r w:rsidRPr="003024B9">
        <w:rPr>
          <w:rFonts w:ascii="Arial" w:eastAsia="Calibri" w:hAnsi="Arial" w:cs="Arial"/>
          <w:sz w:val="28"/>
          <w:szCs w:val="28"/>
        </w:rPr>
        <w:t>[2</w:t>
      </w:r>
      <w:r w:rsidR="0027145E">
        <w:rPr>
          <w:rFonts w:ascii="Arial" w:eastAsia="Calibri" w:hAnsi="Arial" w:cs="Arial"/>
          <w:sz w:val="28"/>
          <w:szCs w:val="28"/>
        </w:rPr>
        <w:t>9</w:t>
      </w:r>
      <w:r w:rsidRPr="003024B9">
        <w:rPr>
          <w:rFonts w:ascii="Arial" w:eastAsia="Calibri" w:hAnsi="Arial" w:cs="Arial"/>
          <w:sz w:val="28"/>
          <w:szCs w:val="28"/>
        </w:rPr>
        <w:t>]</w:t>
      </w:r>
      <w:r w:rsidRPr="003024B9">
        <w:rPr>
          <w:rFonts w:ascii="Arial" w:eastAsia="Calibri" w:hAnsi="Arial" w:cs="Arial"/>
          <w:sz w:val="28"/>
          <w:szCs w:val="28"/>
        </w:rPr>
        <w:tab/>
        <w:t xml:space="preserve">What is required is that the information must be beyond mere assertion. This will include and not limited to, who made the report, the particulars of the information and importantly why it must be considered reliable. This is the </w:t>
      </w:r>
      <w:r w:rsidR="000947F2" w:rsidRPr="003024B9">
        <w:rPr>
          <w:rFonts w:ascii="Arial" w:eastAsia="Calibri" w:hAnsi="Arial" w:cs="Arial"/>
          <w:sz w:val="28"/>
          <w:szCs w:val="28"/>
        </w:rPr>
        <w:t>difficulty that I encounter with the case for the respondents. It does not go deep enough on the details. That there are other documents like notices issued and letters from the attorneys in response does take their case to any heights. Clearly the third respondent did not have such information when he issued the warrants.</w:t>
      </w:r>
      <w:r w:rsidR="006911A6" w:rsidRPr="003024B9">
        <w:rPr>
          <w:rFonts w:ascii="Arial" w:eastAsia="Calibri" w:hAnsi="Arial" w:cs="Arial"/>
          <w:sz w:val="28"/>
          <w:szCs w:val="28"/>
        </w:rPr>
        <w:t xml:space="preserve"> Plainly he could not have applied his </w:t>
      </w:r>
      <w:r w:rsidR="0080409D">
        <w:rPr>
          <w:rFonts w:ascii="Arial" w:eastAsia="Calibri" w:hAnsi="Arial" w:cs="Arial"/>
          <w:sz w:val="28"/>
          <w:szCs w:val="28"/>
        </w:rPr>
        <w:t>m</w:t>
      </w:r>
      <w:r w:rsidR="0080409D" w:rsidRPr="003024B9">
        <w:rPr>
          <w:rFonts w:ascii="Arial" w:eastAsia="Calibri" w:hAnsi="Arial" w:cs="Arial"/>
          <w:sz w:val="28"/>
          <w:szCs w:val="28"/>
        </w:rPr>
        <w:t>ind</w:t>
      </w:r>
      <w:r w:rsidR="006911A6" w:rsidRPr="003024B9">
        <w:rPr>
          <w:rFonts w:ascii="Arial" w:eastAsia="Calibri" w:hAnsi="Arial" w:cs="Arial"/>
          <w:sz w:val="28"/>
          <w:szCs w:val="28"/>
        </w:rPr>
        <w:t xml:space="preserve"> on what was not before him. With the scant information before him, there was not enough to conclude that objective jurisdictional facts existed.  </w:t>
      </w:r>
    </w:p>
    <w:p w14:paraId="44C87296" w14:textId="77777777" w:rsidR="000947F2" w:rsidRPr="003024B9" w:rsidRDefault="000947F2" w:rsidP="0026076A">
      <w:pPr>
        <w:spacing w:line="360" w:lineRule="auto"/>
        <w:ind w:left="851" w:hanging="851"/>
        <w:contextualSpacing/>
        <w:jc w:val="both"/>
        <w:rPr>
          <w:rFonts w:ascii="Arial" w:eastAsia="Calibri" w:hAnsi="Arial" w:cs="Arial"/>
          <w:sz w:val="28"/>
          <w:szCs w:val="28"/>
        </w:rPr>
      </w:pPr>
    </w:p>
    <w:p w14:paraId="58E0B68A" w14:textId="20822C0C" w:rsidR="000947F2" w:rsidRPr="003024B9" w:rsidRDefault="000947F2" w:rsidP="000947F2">
      <w:pPr>
        <w:spacing w:line="360" w:lineRule="auto"/>
        <w:ind w:left="851" w:hanging="851"/>
        <w:contextualSpacing/>
        <w:jc w:val="both"/>
        <w:rPr>
          <w:rFonts w:ascii="Arial" w:eastAsia="Calibri" w:hAnsi="Arial" w:cs="Arial"/>
          <w:sz w:val="28"/>
          <w:szCs w:val="28"/>
        </w:rPr>
      </w:pPr>
      <w:r w:rsidRPr="003024B9">
        <w:rPr>
          <w:rFonts w:ascii="Arial" w:eastAsia="Calibri" w:hAnsi="Arial" w:cs="Arial"/>
          <w:sz w:val="28"/>
          <w:szCs w:val="28"/>
        </w:rPr>
        <w:t>[</w:t>
      </w:r>
      <w:r w:rsidR="0027145E">
        <w:rPr>
          <w:rFonts w:ascii="Arial" w:eastAsia="Calibri" w:hAnsi="Arial" w:cs="Arial"/>
          <w:sz w:val="28"/>
          <w:szCs w:val="28"/>
        </w:rPr>
        <w:t>30</w:t>
      </w:r>
      <w:r w:rsidRPr="003024B9">
        <w:rPr>
          <w:rFonts w:ascii="Arial" w:eastAsia="Calibri" w:hAnsi="Arial" w:cs="Arial"/>
          <w:sz w:val="28"/>
          <w:szCs w:val="28"/>
        </w:rPr>
        <w:t>]</w:t>
      </w:r>
      <w:r w:rsidRPr="003024B9">
        <w:rPr>
          <w:rFonts w:ascii="Arial" w:eastAsia="Calibri" w:hAnsi="Arial" w:cs="Arial"/>
          <w:sz w:val="28"/>
          <w:szCs w:val="28"/>
        </w:rPr>
        <w:tab/>
        <w:t>The other attack on their validity is over broadness and that they do not comply with intelligibility principle. I agree with these submissions. It does not do the case for the respondents any good by simply throwing the rule book on the applicant with the hope that something might stick. The respondents must state with clear particularity “verse and chapter”</w:t>
      </w:r>
      <w:r w:rsidR="000053D0">
        <w:rPr>
          <w:rFonts w:ascii="Arial" w:eastAsia="Calibri" w:hAnsi="Arial" w:cs="Arial"/>
          <w:sz w:val="28"/>
          <w:szCs w:val="28"/>
        </w:rPr>
        <w:t xml:space="preserve"> of the relevant Acts</w:t>
      </w:r>
      <w:r w:rsidRPr="003024B9">
        <w:rPr>
          <w:rFonts w:ascii="Arial" w:eastAsia="Calibri" w:hAnsi="Arial" w:cs="Arial"/>
          <w:sz w:val="28"/>
          <w:szCs w:val="28"/>
        </w:rPr>
        <w:t xml:space="preserve"> they </w:t>
      </w:r>
      <w:r w:rsidR="000053D0">
        <w:rPr>
          <w:rFonts w:ascii="Arial" w:eastAsia="Calibri" w:hAnsi="Arial" w:cs="Arial"/>
          <w:sz w:val="28"/>
          <w:szCs w:val="28"/>
        </w:rPr>
        <w:t>place their reliance</w:t>
      </w:r>
      <w:r w:rsidRPr="003024B9">
        <w:rPr>
          <w:rFonts w:ascii="Arial" w:eastAsia="Calibri" w:hAnsi="Arial" w:cs="Arial"/>
          <w:sz w:val="28"/>
          <w:szCs w:val="28"/>
        </w:rPr>
        <w:t xml:space="preserve"> on.</w:t>
      </w:r>
    </w:p>
    <w:p w14:paraId="3FC7A200" w14:textId="77777777" w:rsidR="000947F2" w:rsidRPr="003024B9" w:rsidRDefault="000947F2" w:rsidP="000947F2">
      <w:pPr>
        <w:spacing w:line="360" w:lineRule="auto"/>
        <w:ind w:left="851" w:hanging="851"/>
        <w:contextualSpacing/>
        <w:jc w:val="both"/>
        <w:rPr>
          <w:rFonts w:ascii="Arial" w:eastAsia="Calibri" w:hAnsi="Arial" w:cs="Arial"/>
          <w:sz w:val="28"/>
          <w:szCs w:val="28"/>
        </w:rPr>
      </w:pPr>
    </w:p>
    <w:p w14:paraId="689EB9FB" w14:textId="0E42ECA7" w:rsidR="007D7355" w:rsidRPr="003024B9" w:rsidRDefault="000947F2" w:rsidP="007D7355">
      <w:pPr>
        <w:spacing w:line="360" w:lineRule="auto"/>
        <w:ind w:left="851" w:hanging="851"/>
        <w:contextualSpacing/>
        <w:jc w:val="both"/>
        <w:rPr>
          <w:rFonts w:ascii="Arial" w:eastAsia="Calibri" w:hAnsi="Arial" w:cs="Arial"/>
          <w:sz w:val="28"/>
          <w:szCs w:val="28"/>
        </w:rPr>
      </w:pPr>
      <w:r w:rsidRPr="003024B9">
        <w:rPr>
          <w:rFonts w:ascii="Arial" w:eastAsia="Calibri" w:hAnsi="Arial" w:cs="Arial"/>
          <w:sz w:val="28"/>
          <w:szCs w:val="28"/>
        </w:rPr>
        <w:t>[</w:t>
      </w:r>
      <w:r w:rsidR="001434EB">
        <w:rPr>
          <w:rFonts w:ascii="Arial" w:eastAsia="Calibri" w:hAnsi="Arial" w:cs="Arial"/>
          <w:sz w:val="28"/>
          <w:szCs w:val="28"/>
        </w:rPr>
        <w:t>3</w:t>
      </w:r>
      <w:r w:rsidR="0027145E">
        <w:rPr>
          <w:rFonts w:ascii="Arial" w:eastAsia="Calibri" w:hAnsi="Arial" w:cs="Arial"/>
          <w:sz w:val="28"/>
          <w:szCs w:val="28"/>
        </w:rPr>
        <w:t>1</w:t>
      </w:r>
      <w:r w:rsidRPr="003024B9">
        <w:rPr>
          <w:rFonts w:ascii="Arial" w:eastAsia="Calibri" w:hAnsi="Arial" w:cs="Arial"/>
          <w:sz w:val="28"/>
          <w:szCs w:val="28"/>
        </w:rPr>
        <w:t>]</w:t>
      </w:r>
      <w:r w:rsidRPr="003024B9">
        <w:rPr>
          <w:rFonts w:ascii="Arial" w:eastAsia="Calibri" w:hAnsi="Arial" w:cs="Arial"/>
          <w:sz w:val="28"/>
          <w:szCs w:val="28"/>
        </w:rPr>
        <w:tab/>
        <w:t>The warrants</w:t>
      </w:r>
      <w:r w:rsidR="007D7355" w:rsidRPr="003024B9">
        <w:rPr>
          <w:rFonts w:ascii="Arial" w:eastAsia="Calibri" w:hAnsi="Arial" w:cs="Arial"/>
          <w:sz w:val="28"/>
          <w:szCs w:val="28"/>
        </w:rPr>
        <w:t xml:space="preserve"> make mention of contravention of sections </w:t>
      </w:r>
      <w:r w:rsidR="00BC7084" w:rsidRPr="003024B9">
        <w:rPr>
          <w:rFonts w:ascii="Arial" w:eastAsia="Calibri" w:hAnsi="Arial" w:cs="Arial"/>
          <w:sz w:val="28"/>
          <w:szCs w:val="28"/>
        </w:rPr>
        <w:t xml:space="preserve">118 (1) and (2) of </w:t>
      </w:r>
      <w:r w:rsidR="000053D0">
        <w:rPr>
          <w:rFonts w:ascii="Arial" w:eastAsia="Calibri" w:hAnsi="Arial" w:cs="Arial"/>
          <w:sz w:val="28"/>
          <w:szCs w:val="28"/>
        </w:rPr>
        <w:t xml:space="preserve">the </w:t>
      </w:r>
      <w:r w:rsidR="00BC7084" w:rsidRPr="003024B9">
        <w:rPr>
          <w:rFonts w:ascii="Arial" w:eastAsia="Calibri" w:hAnsi="Arial" w:cs="Arial"/>
          <w:sz w:val="28"/>
          <w:szCs w:val="28"/>
        </w:rPr>
        <w:t xml:space="preserve">Free State Gambling and Liquor Act 6 of 2010 and </w:t>
      </w:r>
      <w:r w:rsidR="000053D0">
        <w:rPr>
          <w:rFonts w:ascii="Arial" w:eastAsia="Calibri" w:hAnsi="Arial" w:cs="Arial"/>
          <w:sz w:val="28"/>
          <w:szCs w:val="28"/>
        </w:rPr>
        <w:t xml:space="preserve">sections 8, 10 and 11 of </w:t>
      </w:r>
      <w:r w:rsidR="00BC7084" w:rsidRPr="003024B9">
        <w:rPr>
          <w:rFonts w:ascii="Arial" w:eastAsia="Calibri" w:hAnsi="Arial" w:cs="Arial"/>
          <w:sz w:val="28"/>
          <w:szCs w:val="28"/>
        </w:rPr>
        <w:t>the National Gambling Act</w:t>
      </w:r>
      <w:r w:rsidR="000053D0">
        <w:rPr>
          <w:rFonts w:ascii="Arial" w:eastAsia="Calibri" w:hAnsi="Arial" w:cs="Arial"/>
          <w:sz w:val="28"/>
          <w:szCs w:val="28"/>
        </w:rPr>
        <w:t xml:space="preserve"> 7 of 2004</w:t>
      </w:r>
      <w:r w:rsidR="007D7355" w:rsidRPr="003024B9">
        <w:rPr>
          <w:rFonts w:ascii="Arial" w:eastAsia="Calibri" w:hAnsi="Arial" w:cs="Arial"/>
          <w:sz w:val="28"/>
          <w:szCs w:val="28"/>
        </w:rPr>
        <w:t>. The defect on this aspect is that those</w:t>
      </w:r>
      <w:r w:rsidR="00BC7084" w:rsidRPr="003024B9">
        <w:rPr>
          <w:rFonts w:ascii="Arial" w:eastAsia="Calibri" w:hAnsi="Arial" w:cs="Arial"/>
          <w:sz w:val="28"/>
          <w:szCs w:val="28"/>
        </w:rPr>
        <w:t xml:space="preserve"> sections </w:t>
      </w:r>
      <w:r w:rsidR="007D7355" w:rsidRPr="003024B9">
        <w:rPr>
          <w:rFonts w:ascii="Arial" w:eastAsia="Calibri" w:hAnsi="Arial" w:cs="Arial"/>
          <w:sz w:val="28"/>
          <w:szCs w:val="28"/>
        </w:rPr>
        <w:t>have subsections which also create offences. It cannot be assumed that their omission means that they are not part of the offences investigated against him. It must be clear from the outset. As they stand, the warrants lack the offence specification requirement which has been deemed an integral part of the intelligibility principle. I have referred to a long list of cases that stressed the point. The offence, it has been held, must be laid down unequivocally and without qualification. That cannot be said about the warrants under review.</w:t>
      </w:r>
    </w:p>
    <w:p w14:paraId="2C51C62D" w14:textId="77777777" w:rsidR="00AD4E4F" w:rsidRPr="003024B9" w:rsidRDefault="00AD4E4F" w:rsidP="007D7355">
      <w:pPr>
        <w:spacing w:line="360" w:lineRule="auto"/>
        <w:ind w:left="851" w:hanging="851"/>
        <w:contextualSpacing/>
        <w:jc w:val="both"/>
        <w:rPr>
          <w:rFonts w:ascii="Arial" w:eastAsia="Calibri" w:hAnsi="Arial" w:cs="Arial"/>
          <w:sz w:val="28"/>
          <w:szCs w:val="28"/>
        </w:rPr>
      </w:pPr>
    </w:p>
    <w:p w14:paraId="582C66B7" w14:textId="43BC51FD" w:rsidR="00AD4E4F" w:rsidRPr="003024B9" w:rsidRDefault="00AD4E4F" w:rsidP="00AD4E4F">
      <w:pPr>
        <w:spacing w:line="360" w:lineRule="auto"/>
        <w:ind w:left="851" w:hanging="851"/>
        <w:contextualSpacing/>
        <w:jc w:val="both"/>
        <w:rPr>
          <w:rFonts w:ascii="Arial" w:eastAsia="Calibri" w:hAnsi="Arial" w:cs="Arial"/>
          <w:sz w:val="28"/>
          <w:szCs w:val="28"/>
        </w:rPr>
      </w:pPr>
      <w:r w:rsidRPr="003024B9">
        <w:rPr>
          <w:rFonts w:ascii="Arial" w:eastAsia="Calibri" w:hAnsi="Arial" w:cs="Arial"/>
          <w:sz w:val="28"/>
          <w:szCs w:val="28"/>
        </w:rPr>
        <w:t>[3</w:t>
      </w:r>
      <w:r w:rsidR="0027145E">
        <w:rPr>
          <w:rFonts w:ascii="Arial" w:eastAsia="Calibri" w:hAnsi="Arial" w:cs="Arial"/>
          <w:sz w:val="28"/>
          <w:szCs w:val="28"/>
        </w:rPr>
        <w:t>2</w:t>
      </w:r>
      <w:r w:rsidRPr="003024B9">
        <w:rPr>
          <w:rFonts w:ascii="Arial" w:eastAsia="Calibri" w:hAnsi="Arial" w:cs="Arial"/>
          <w:sz w:val="28"/>
          <w:szCs w:val="28"/>
        </w:rPr>
        <w:t>]</w:t>
      </w:r>
      <w:r w:rsidRPr="003024B9">
        <w:rPr>
          <w:rFonts w:ascii="Arial" w:eastAsia="Calibri" w:hAnsi="Arial" w:cs="Arial"/>
          <w:sz w:val="28"/>
          <w:szCs w:val="28"/>
        </w:rPr>
        <w:tab/>
        <w:t xml:space="preserve">I encounter </w:t>
      </w:r>
      <w:r w:rsidR="00BC7084" w:rsidRPr="003024B9">
        <w:rPr>
          <w:rFonts w:ascii="Arial" w:eastAsia="Calibri" w:hAnsi="Arial" w:cs="Arial"/>
          <w:sz w:val="28"/>
          <w:szCs w:val="28"/>
        </w:rPr>
        <w:t>difficulty</w:t>
      </w:r>
      <w:r w:rsidRPr="003024B9">
        <w:rPr>
          <w:rFonts w:ascii="Arial" w:eastAsia="Calibri" w:hAnsi="Arial" w:cs="Arial"/>
          <w:sz w:val="28"/>
          <w:szCs w:val="28"/>
        </w:rPr>
        <w:t xml:space="preserve"> with the argument that the mentioning of wide and numerous</w:t>
      </w:r>
      <w:r w:rsidR="00BC7084" w:rsidRPr="003024B9">
        <w:rPr>
          <w:rFonts w:ascii="Arial" w:eastAsia="Calibri" w:hAnsi="Arial" w:cs="Arial"/>
          <w:sz w:val="28"/>
          <w:szCs w:val="28"/>
        </w:rPr>
        <w:t xml:space="preserve"> unnecessary </w:t>
      </w:r>
      <w:r w:rsidRPr="003024B9">
        <w:rPr>
          <w:rFonts w:ascii="Arial" w:eastAsia="Calibri" w:hAnsi="Arial" w:cs="Arial"/>
          <w:sz w:val="28"/>
          <w:szCs w:val="28"/>
        </w:rPr>
        <w:t>articles does not have any effect or prejudice the applicant. Clearly some of the mentioned articles have no bearing whatsoever with the investigation of the case against the applicant. As a result, one cannot harbour any reasonable suspicion on them. This failure lends credence to the assertion that the third respondent did not apply h</w:t>
      </w:r>
      <w:r w:rsidR="00901908" w:rsidRPr="003024B9">
        <w:rPr>
          <w:rFonts w:ascii="Arial" w:eastAsia="Calibri" w:hAnsi="Arial" w:cs="Arial"/>
          <w:sz w:val="28"/>
          <w:szCs w:val="28"/>
        </w:rPr>
        <w:t>is mind. H</w:t>
      </w:r>
      <w:r w:rsidRPr="003024B9">
        <w:rPr>
          <w:rFonts w:ascii="Arial" w:eastAsia="Calibri" w:hAnsi="Arial" w:cs="Arial"/>
          <w:sz w:val="28"/>
          <w:szCs w:val="28"/>
        </w:rPr>
        <w:t xml:space="preserve">e could not have issued such an </w:t>
      </w:r>
      <w:r w:rsidR="00901908" w:rsidRPr="003024B9">
        <w:rPr>
          <w:rFonts w:ascii="Arial" w:eastAsia="Calibri" w:hAnsi="Arial" w:cs="Arial"/>
          <w:sz w:val="28"/>
          <w:szCs w:val="28"/>
        </w:rPr>
        <w:t xml:space="preserve">all-encompassing </w:t>
      </w:r>
      <w:r w:rsidRPr="003024B9">
        <w:rPr>
          <w:rFonts w:ascii="Arial" w:eastAsia="Calibri" w:hAnsi="Arial" w:cs="Arial"/>
          <w:sz w:val="28"/>
          <w:szCs w:val="28"/>
        </w:rPr>
        <w:t>warrant when there was no information put before h</w:t>
      </w:r>
      <w:r w:rsidR="00901908" w:rsidRPr="003024B9">
        <w:rPr>
          <w:rFonts w:ascii="Arial" w:eastAsia="Calibri" w:hAnsi="Arial" w:cs="Arial"/>
          <w:sz w:val="28"/>
          <w:szCs w:val="28"/>
        </w:rPr>
        <w:t>im</w:t>
      </w:r>
      <w:r w:rsidRPr="003024B9">
        <w:rPr>
          <w:rFonts w:ascii="Arial" w:eastAsia="Calibri" w:hAnsi="Arial" w:cs="Arial"/>
          <w:sz w:val="28"/>
          <w:szCs w:val="28"/>
        </w:rPr>
        <w:t xml:space="preserve"> to justify it.</w:t>
      </w:r>
      <w:r w:rsidR="00901908" w:rsidRPr="003024B9">
        <w:rPr>
          <w:rFonts w:ascii="Arial" w:eastAsia="Calibri" w:hAnsi="Arial" w:cs="Arial"/>
          <w:sz w:val="28"/>
          <w:szCs w:val="28"/>
        </w:rPr>
        <w:t xml:space="preserve"> </w:t>
      </w:r>
      <w:r w:rsidRPr="003024B9">
        <w:rPr>
          <w:rFonts w:ascii="Arial" w:eastAsia="Calibri" w:hAnsi="Arial" w:cs="Arial"/>
          <w:sz w:val="28"/>
          <w:szCs w:val="28"/>
        </w:rPr>
        <w:t xml:space="preserve">It has been stated that the purpose of the warrant is for the police to understand exactly the authority in it and what he has to do. Equally the person against whom it is executed must also be appraised with the reasons why his rights are being </w:t>
      </w:r>
      <w:r w:rsidR="0032369F">
        <w:rPr>
          <w:rFonts w:ascii="Arial" w:eastAsia="Calibri" w:hAnsi="Arial" w:cs="Arial"/>
          <w:sz w:val="28"/>
          <w:szCs w:val="28"/>
        </w:rPr>
        <w:t>overrun</w:t>
      </w:r>
      <w:r w:rsidRPr="003024B9">
        <w:rPr>
          <w:rFonts w:ascii="Arial" w:eastAsia="Calibri" w:hAnsi="Arial" w:cs="Arial"/>
          <w:sz w:val="28"/>
          <w:szCs w:val="28"/>
        </w:rPr>
        <w:t>. Clearly if the warrant is lacking in this respect, as the two warrants are, they cannot stand.</w:t>
      </w:r>
    </w:p>
    <w:p w14:paraId="3A6D676D" w14:textId="77777777" w:rsidR="00403172" w:rsidRPr="003024B9" w:rsidRDefault="00403172" w:rsidP="00AD4E4F">
      <w:pPr>
        <w:spacing w:line="360" w:lineRule="auto"/>
        <w:ind w:left="851" w:hanging="851"/>
        <w:contextualSpacing/>
        <w:jc w:val="both"/>
        <w:rPr>
          <w:rFonts w:ascii="Arial" w:eastAsia="Calibri" w:hAnsi="Arial" w:cs="Arial"/>
          <w:sz w:val="28"/>
          <w:szCs w:val="28"/>
        </w:rPr>
      </w:pPr>
    </w:p>
    <w:p w14:paraId="12259E7C" w14:textId="2A3812CE" w:rsidR="00403172" w:rsidRPr="003024B9" w:rsidRDefault="00403172" w:rsidP="00403172">
      <w:pPr>
        <w:spacing w:line="360" w:lineRule="auto"/>
        <w:ind w:left="851" w:hanging="851"/>
        <w:contextualSpacing/>
        <w:jc w:val="both"/>
        <w:rPr>
          <w:rFonts w:ascii="Arial" w:eastAsia="Calibri" w:hAnsi="Arial" w:cs="Arial"/>
          <w:sz w:val="28"/>
          <w:szCs w:val="28"/>
        </w:rPr>
      </w:pPr>
      <w:r w:rsidRPr="003024B9">
        <w:rPr>
          <w:rFonts w:ascii="Arial" w:eastAsia="Calibri" w:hAnsi="Arial" w:cs="Arial"/>
          <w:sz w:val="28"/>
          <w:szCs w:val="28"/>
        </w:rPr>
        <w:t>[3</w:t>
      </w:r>
      <w:r w:rsidR="0027145E">
        <w:rPr>
          <w:rFonts w:ascii="Arial" w:eastAsia="Calibri" w:hAnsi="Arial" w:cs="Arial"/>
          <w:sz w:val="28"/>
          <w:szCs w:val="28"/>
        </w:rPr>
        <w:t>3</w:t>
      </w:r>
      <w:r w:rsidRPr="003024B9">
        <w:rPr>
          <w:rFonts w:ascii="Arial" w:eastAsia="Calibri" w:hAnsi="Arial" w:cs="Arial"/>
          <w:sz w:val="28"/>
          <w:szCs w:val="28"/>
        </w:rPr>
        <w:t>]</w:t>
      </w:r>
      <w:r w:rsidRPr="003024B9">
        <w:rPr>
          <w:rFonts w:ascii="Arial" w:eastAsia="Calibri" w:hAnsi="Arial" w:cs="Arial"/>
          <w:sz w:val="28"/>
          <w:szCs w:val="28"/>
        </w:rPr>
        <w:tab/>
        <w:t xml:space="preserve">This brings me to the examination of the argument advanced on behalf of the respondents whether the decision of </w:t>
      </w:r>
      <w:r w:rsidRPr="00164992">
        <w:rPr>
          <w:rFonts w:ascii="Arial" w:eastAsia="Calibri" w:hAnsi="Arial" w:cs="Arial"/>
          <w:b/>
          <w:sz w:val="28"/>
          <w:szCs w:val="28"/>
        </w:rPr>
        <w:t xml:space="preserve">Naidoo v </w:t>
      </w:r>
      <w:proofErr w:type="spellStart"/>
      <w:r w:rsidRPr="00164992">
        <w:rPr>
          <w:rFonts w:ascii="Arial" w:eastAsia="Calibri" w:hAnsi="Arial" w:cs="Arial"/>
          <w:b/>
          <w:sz w:val="28"/>
          <w:szCs w:val="28"/>
        </w:rPr>
        <w:t>Kalianjee</w:t>
      </w:r>
      <w:proofErr w:type="spellEnd"/>
      <w:r w:rsidR="00483CD6" w:rsidRPr="00164992">
        <w:rPr>
          <w:rFonts w:ascii="Verdana" w:hAnsi="Verdana"/>
          <w:b/>
          <w:bCs/>
          <w:color w:val="000000"/>
          <w:sz w:val="20"/>
          <w:szCs w:val="20"/>
        </w:rPr>
        <w:t xml:space="preserve"> </w:t>
      </w:r>
      <w:r w:rsidR="00483CD6" w:rsidRPr="00164992">
        <w:rPr>
          <w:rFonts w:ascii="Arial" w:hAnsi="Arial" w:cs="Arial"/>
          <w:b/>
          <w:bCs/>
          <w:color w:val="000000"/>
          <w:sz w:val="28"/>
          <w:szCs w:val="28"/>
        </w:rPr>
        <w:t>NO and Others</w:t>
      </w:r>
      <w:r w:rsidR="00483CD6" w:rsidRPr="000053D0">
        <w:rPr>
          <w:rFonts w:ascii="Arial" w:eastAsia="Calibri" w:hAnsi="Arial" w:cs="Arial"/>
          <w:sz w:val="28"/>
          <w:szCs w:val="28"/>
        </w:rPr>
        <w:t xml:space="preserve"> </w:t>
      </w:r>
      <w:r w:rsidRPr="003024B9">
        <w:rPr>
          <w:rFonts w:ascii="Arial" w:eastAsia="Calibri" w:hAnsi="Arial" w:cs="Arial"/>
          <w:sz w:val="28"/>
          <w:szCs w:val="28"/>
        </w:rPr>
        <w:t>finds application in this matter</w:t>
      </w:r>
      <w:r w:rsidR="00483CD6">
        <w:rPr>
          <w:rFonts w:ascii="Arial" w:eastAsia="Calibri" w:hAnsi="Arial" w:cs="Arial"/>
          <w:sz w:val="28"/>
          <w:szCs w:val="28"/>
        </w:rPr>
        <w:t>.</w:t>
      </w:r>
      <w:r w:rsidRPr="003024B9">
        <w:rPr>
          <w:rFonts w:ascii="Arial" w:eastAsia="Calibri" w:hAnsi="Arial" w:cs="Arial"/>
          <w:sz w:val="28"/>
          <w:szCs w:val="28"/>
        </w:rPr>
        <w:t xml:space="preserve"> That question is answered in the negative. The facts are distinguishable. The court in that matter considered the warrants within the context of section 69 of the Insolvency Act 24 of 1936.</w:t>
      </w:r>
    </w:p>
    <w:p w14:paraId="483DC560" w14:textId="77777777" w:rsidR="00403172" w:rsidRPr="003024B9" w:rsidRDefault="00403172" w:rsidP="00403172">
      <w:pPr>
        <w:spacing w:line="360" w:lineRule="auto"/>
        <w:ind w:left="851" w:hanging="851"/>
        <w:contextualSpacing/>
        <w:jc w:val="both"/>
        <w:rPr>
          <w:rFonts w:ascii="Arial" w:eastAsia="Calibri" w:hAnsi="Arial" w:cs="Arial"/>
          <w:sz w:val="28"/>
          <w:szCs w:val="28"/>
        </w:rPr>
      </w:pPr>
    </w:p>
    <w:p w14:paraId="04C9D4E9" w14:textId="6D729D81" w:rsidR="00901908" w:rsidRDefault="00403172" w:rsidP="00403172">
      <w:pPr>
        <w:spacing w:after="0" w:line="360" w:lineRule="auto"/>
        <w:ind w:left="720" w:hanging="720"/>
        <w:jc w:val="both"/>
        <w:rPr>
          <w:rFonts w:ascii="Arial" w:eastAsia="Calibri" w:hAnsi="Arial" w:cs="Arial"/>
          <w:b/>
          <w:sz w:val="28"/>
          <w:szCs w:val="28"/>
        </w:rPr>
      </w:pPr>
      <w:r w:rsidRPr="003024B9">
        <w:rPr>
          <w:rFonts w:ascii="Arial" w:eastAsia="Calibri" w:hAnsi="Arial" w:cs="Arial"/>
          <w:sz w:val="28"/>
          <w:szCs w:val="28"/>
        </w:rPr>
        <w:t>[3</w:t>
      </w:r>
      <w:r w:rsidR="0027145E">
        <w:rPr>
          <w:rFonts w:ascii="Arial" w:eastAsia="Calibri" w:hAnsi="Arial" w:cs="Arial"/>
          <w:sz w:val="28"/>
          <w:szCs w:val="28"/>
        </w:rPr>
        <w:t>4</w:t>
      </w:r>
      <w:r w:rsidRPr="003024B9">
        <w:rPr>
          <w:rFonts w:ascii="Arial" w:eastAsia="Calibri" w:hAnsi="Arial" w:cs="Arial"/>
          <w:sz w:val="28"/>
          <w:szCs w:val="28"/>
        </w:rPr>
        <w:t>]</w:t>
      </w:r>
      <w:r w:rsidRPr="003024B9">
        <w:rPr>
          <w:rFonts w:ascii="Arial" w:eastAsia="Calibri" w:hAnsi="Arial" w:cs="Arial"/>
          <w:sz w:val="28"/>
          <w:szCs w:val="28"/>
        </w:rPr>
        <w:tab/>
        <w:t xml:space="preserve">The court on paragraph 24 </w:t>
      </w:r>
      <w:r w:rsidR="00901908" w:rsidRPr="003024B9">
        <w:rPr>
          <w:rFonts w:ascii="Arial" w:eastAsia="Calibri" w:hAnsi="Arial" w:cs="Arial"/>
          <w:sz w:val="28"/>
          <w:szCs w:val="28"/>
        </w:rPr>
        <w:t xml:space="preserve">restated the </w:t>
      </w:r>
      <w:r w:rsidRPr="003024B9">
        <w:rPr>
          <w:rFonts w:ascii="Arial" w:hAnsi="Arial" w:cs="Arial"/>
          <w:color w:val="000000"/>
          <w:sz w:val="28"/>
          <w:szCs w:val="28"/>
        </w:rPr>
        <w:t>overall purpose of a warrant issued in criminal proceedings</w:t>
      </w:r>
      <w:r w:rsidR="000053D0">
        <w:rPr>
          <w:rFonts w:ascii="Arial" w:hAnsi="Arial" w:cs="Arial"/>
          <w:color w:val="000000"/>
          <w:sz w:val="28"/>
          <w:szCs w:val="28"/>
        </w:rPr>
        <w:t xml:space="preserve"> that </w:t>
      </w:r>
      <w:r w:rsidR="00BD5D43">
        <w:rPr>
          <w:rFonts w:ascii="Arial" w:hAnsi="Arial" w:cs="Arial"/>
          <w:color w:val="000000"/>
          <w:sz w:val="28"/>
          <w:szCs w:val="28"/>
        </w:rPr>
        <w:t xml:space="preserve">it </w:t>
      </w:r>
      <w:r w:rsidR="000053D0">
        <w:rPr>
          <w:rFonts w:ascii="Arial" w:hAnsi="Arial" w:cs="Arial"/>
          <w:color w:val="000000"/>
          <w:sz w:val="28"/>
          <w:szCs w:val="28"/>
        </w:rPr>
        <w:t xml:space="preserve">is to </w:t>
      </w:r>
      <w:r w:rsidRPr="003024B9">
        <w:rPr>
          <w:rFonts w:ascii="Arial" w:hAnsi="Arial" w:cs="Arial"/>
          <w:color w:val="000000"/>
          <w:sz w:val="28"/>
          <w:szCs w:val="28"/>
        </w:rPr>
        <w:t xml:space="preserve">find and seize evidence of the commission of a crime which may be preserved for use, </w:t>
      </w:r>
      <w:r w:rsidRPr="003024B9">
        <w:rPr>
          <w:rFonts w:ascii="Arial" w:hAnsi="Arial" w:cs="Arial"/>
          <w:color w:val="000000"/>
          <w:sz w:val="28"/>
          <w:szCs w:val="28"/>
        </w:rPr>
        <w:lastRenderedPageBreak/>
        <w:t>should a prosecution follow</w:t>
      </w:r>
      <w:r w:rsidR="00BD5D43">
        <w:rPr>
          <w:rFonts w:ascii="Arial" w:hAnsi="Arial" w:cs="Arial"/>
          <w:color w:val="000000"/>
          <w:sz w:val="28"/>
          <w:szCs w:val="28"/>
        </w:rPr>
        <w:t>.</w:t>
      </w:r>
      <w:r w:rsidR="008E6606" w:rsidRPr="003024B9">
        <w:rPr>
          <w:rFonts w:ascii="Arial" w:hAnsi="Arial" w:cs="Arial"/>
          <w:color w:val="000000"/>
          <w:sz w:val="28"/>
          <w:szCs w:val="28"/>
        </w:rPr>
        <w:t xml:space="preserve"> </w:t>
      </w:r>
      <w:r w:rsidR="00BD5D43" w:rsidRPr="003024B9">
        <w:rPr>
          <w:rFonts w:ascii="Arial" w:hAnsi="Arial" w:cs="Arial"/>
          <w:color w:val="000000"/>
          <w:sz w:val="28"/>
          <w:szCs w:val="28"/>
        </w:rPr>
        <w:t>T</w:t>
      </w:r>
      <w:r w:rsidRPr="003024B9">
        <w:rPr>
          <w:rFonts w:ascii="Arial" w:eastAsia="Calibri" w:hAnsi="Arial" w:cs="Arial"/>
          <w:sz w:val="28"/>
          <w:szCs w:val="28"/>
        </w:rPr>
        <w:t>he court in unequivocal terms repeated</w:t>
      </w:r>
      <w:r>
        <w:rPr>
          <w:rFonts w:ascii="Arial" w:eastAsia="Calibri" w:hAnsi="Arial" w:cs="Arial"/>
          <w:sz w:val="28"/>
          <w:szCs w:val="28"/>
        </w:rPr>
        <w:t xml:space="preserve"> that the </w:t>
      </w:r>
      <w:r w:rsidR="00A903C4">
        <w:rPr>
          <w:rFonts w:ascii="Arial" w:eastAsia="Calibri" w:hAnsi="Arial" w:cs="Arial"/>
          <w:sz w:val="28"/>
          <w:szCs w:val="28"/>
        </w:rPr>
        <w:t>underlying purpose of the warrant issued in terms of the Insolvency Act 24 of 1936 is fundamentally different from the one issued in terms of the Criminal Procedure Act 51 of 1977.</w:t>
      </w:r>
      <w:r w:rsidR="00901908">
        <w:rPr>
          <w:rFonts w:ascii="Arial" w:eastAsia="Calibri" w:hAnsi="Arial" w:cs="Arial"/>
          <w:sz w:val="28"/>
          <w:szCs w:val="28"/>
        </w:rPr>
        <w:t xml:space="preserve"> Leach JA and </w:t>
      </w:r>
      <w:proofErr w:type="spellStart"/>
      <w:r w:rsidR="00901908">
        <w:rPr>
          <w:rFonts w:ascii="Arial" w:eastAsia="Calibri" w:hAnsi="Arial" w:cs="Arial"/>
          <w:sz w:val="28"/>
          <w:szCs w:val="28"/>
        </w:rPr>
        <w:t>Mayat</w:t>
      </w:r>
      <w:proofErr w:type="spellEnd"/>
      <w:r w:rsidR="00901908">
        <w:rPr>
          <w:rFonts w:ascii="Arial" w:eastAsia="Calibri" w:hAnsi="Arial" w:cs="Arial"/>
          <w:sz w:val="28"/>
          <w:szCs w:val="28"/>
        </w:rPr>
        <w:t xml:space="preserve"> AJA referred with approval to the following dictum by Marais JA in </w:t>
      </w:r>
      <w:r w:rsidR="00901908" w:rsidRPr="00164992">
        <w:rPr>
          <w:rFonts w:ascii="Arial" w:eastAsia="Calibri" w:hAnsi="Arial" w:cs="Arial"/>
          <w:b/>
          <w:sz w:val="28"/>
          <w:szCs w:val="28"/>
        </w:rPr>
        <w:t>Cooper NO v First National Bank of South Africa Limited 2001 (3) SA 705 (SCA)</w:t>
      </w:r>
      <w:r w:rsidR="00AE0F76" w:rsidRPr="00164992">
        <w:rPr>
          <w:rFonts w:ascii="Arial" w:eastAsia="Calibri" w:hAnsi="Arial" w:cs="Arial"/>
          <w:b/>
          <w:sz w:val="28"/>
          <w:szCs w:val="28"/>
        </w:rPr>
        <w:t xml:space="preserve"> </w:t>
      </w:r>
      <w:r w:rsidR="00AE0F76" w:rsidRPr="00BD5D43">
        <w:rPr>
          <w:rFonts w:ascii="Arial" w:eastAsia="Calibri" w:hAnsi="Arial" w:cs="Arial"/>
          <w:sz w:val="28"/>
          <w:szCs w:val="28"/>
        </w:rPr>
        <w:t>at para</w:t>
      </w:r>
      <w:r w:rsidR="00264ED0" w:rsidRPr="00BD5D43">
        <w:rPr>
          <w:rFonts w:ascii="Arial" w:eastAsia="Calibri" w:hAnsi="Arial" w:cs="Arial"/>
          <w:sz w:val="28"/>
          <w:szCs w:val="28"/>
        </w:rPr>
        <w:t xml:space="preserve"> 16</w:t>
      </w:r>
      <w:r w:rsidR="00901908" w:rsidRPr="00BD5D43">
        <w:rPr>
          <w:rFonts w:ascii="Arial" w:eastAsia="Calibri" w:hAnsi="Arial" w:cs="Arial"/>
          <w:sz w:val="28"/>
          <w:szCs w:val="28"/>
        </w:rPr>
        <w:t>.</w:t>
      </w:r>
      <w:r w:rsidR="00B46E13">
        <w:rPr>
          <w:rFonts w:ascii="Arial" w:eastAsia="Calibri" w:hAnsi="Arial" w:cs="Arial"/>
          <w:b/>
          <w:sz w:val="28"/>
          <w:szCs w:val="28"/>
        </w:rPr>
        <w:t xml:space="preserve"> </w:t>
      </w:r>
    </w:p>
    <w:p w14:paraId="38624EDF" w14:textId="6710B303" w:rsidR="00264ED0" w:rsidRDefault="00264ED0" w:rsidP="00BD5D43">
      <w:pPr>
        <w:spacing w:after="0" w:line="360" w:lineRule="auto"/>
        <w:ind w:left="1440" w:hanging="720"/>
        <w:jc w:val="both"/>
        <w:rPr>
          <w:rFonts w:ascii="Arial" w:hAnsi="Arial" w:cs="Arial"/>
          <w:color w:val="000000"/>
          <w:sz w:val="24"/>
          <w:szCs w:val="24"/>
        </w:rPr>
      </w:pPr>
      <w:r>
        <w:rPr>
          <w:rFonts w:ascii="Arial" w:hAnsi="Arial" w:cs="Arial"/>
          <w:color w:val="000000"/>
          <w:sz w:val="24"/>
          <w:szCs w:val="24"/>
        </w:rPr>
        <w:tab/>
        <w:t>“</w:t>
      </w:r>
      <w:r w:rsidRPr="00BD5D43">
        <w:rPr>
          <w:rFonts w:ascii="Arial" w:hAnsi="Arial" w:cs="Arial"/>
          <w:color w:val="000000"/>
          <w:sz w:val="24"/>
          <w:szCs w:val="24"/>
        </w:rPr>
        <w:t>'The decision to issue a warrant is in no sense an adjudication of any substantive issue, existing or potential, between the trustee and the third party or between the insolvent and the third party. Success in    </w:t>
      </w:r>
      <w:r w:rsidRPr="00DE2239">
        <w:rPr>
          <w:rFonts w:ascii="Arial" w:hAnsi="Arial" w:cs="Arial"/>
          <w:color w:val="000000"/>
          <w:sz w:val="24"/>
          <w:szCs w:val="24"/>
        </w:rPr>
        <w:t xml:space="preserve"> </w:t>
      </w:r>
      <w:r w:rsidRPr="00BD5D43">
        <w:rPr>
          <w:rFonts w:ascii="Arial" w:hAnsi="Arial" w:cs="Arial"/>
          <w:color w:val="000000"/>
          <w:sz w:val="24"/>
          <w:szCs w:val="24"/>
        </w:rPr>
        <w:t xml:space="preserve">obtaining a warrant and success in its execution brings the trustee no more than provisional physical possession of the relevant asset. The trustee's continued possession is open to challenge in the courts and the customary gamut of remedies (review proceedings, </w:t>
      </w:r>
      <w:proofErr w:type="spellStart"/>
      <w:r w:rsidRPr="00BD5D43">
        <w:rPr>
          <w:rFonts w:ascii="Arial" w:hAnsi="Arial" w:cs="Arial"/>
          <w:color w:val="000000"/>
          <w:sz w:val="24"/>
          <w:szCs w:val="24"/>
        </w:rPr>
        <w:t>prohibitory</w:t>
      </w:r>
      <w:proofErr w:type="spellEnd"/>
      <w:r w:rsidRPr="00BD5D43">
        <w:rPr>
          <w:rFonts w:ascii="Arial" w:hAnsi="Arial" w:cs="Arial"/>
          <w:color w:val="000000"/>
          <w:sz w:val="24"/>
          <w:szCs w:val="24"/>
        </w:rPr>
        <w:t xml:space="preserve"> interdicts, vindicatory actions, declarations of right, </w:t>
      </w:r>
      <w:proofErr w:type="spellStart"/>
      <w:r w:rsidRPr="00BD5D43">
        <w:rPr>
          <w:rFonts w:ascii="Arial" w:hAnsi="Arial" w:cs="Arial"/>
          <w:color w:val="000000"/>
          <w:sz w:val="24"/>
          <w:szCs w:val="24"/>
        </w:rPr>
        <w:t>etc</w:t>
      </w:r>
      <w:proofErr w:type="spellEnd"/>
      <w:r w:rsidRPr="00BD5D43">
        <w:rPr>
          <w:rFonts w:ascii="Arial" w:hAnsi="Arial" w:cs="Arial"/>
          <w:color w:val="000000"/>
          <w:sz w:val="24"/>
          <w:szCs w:val="24"/>
        </w:rPr>
        <w:t>) is available to the third party. A successful challenge will bring an end to the trustee's possession.'</w:t>
      </w:r>
      <w:r>
        <w:rPr>
          <w:rFonts w:ascii="Arial" w:hAnsi="Arial" w:cs="Arial"/>
          <w:color w:val="000000"/>
          <w:sz w:val="24"/>
          <w:szCs w:val="24"/>
        </w:rPr>
        <w:t>”</w:t>
      </w:r>
      <w:r w:rsidR="00F41D8E">
        <w:rPr>
          <w:rStyle w:val="FootnoteReference"/>
          <w:rFonts w:ascii="Arial" w:hAnsi="Arial" w:cs="Arial"/>
          <w:color w:val="000000"/>
          <w:sz w:val="24"/>
          <w:szCs w:val="24"/>
        </w:rPr>
        <w:footnoteReference w:id="12"/>
      </w:r>
    </w:p>
    <w:p w14:paraId="6DE339E1" w14:textId="77777777" w:rsidR="00264ED0" w:rsidRPr="008E6606" w:rsidRDefault="00264ED0" w:rsidP="00403172">
      <w:pPr>
        <w:spacing w:after="0" w:line="360" w:lineRule="auto"/>
        <w:ind w:left="720" w:hanging="720"/>
        <w:jc w:val="both"/>
        <w:rPr>
          <w:rFonts w:ascii="Arial" w:eastAsia="Calibri" w:hAnsi="Arial" w:cs="Arial"/>
          <w:b/>
          <w:sz w:val="28"/>
          <w:szCs w:val="28"/>
        </w:rPr>
      </w:pPr>
    </w:p>
    <w:p w14:paraId="4DF9AABD" w14:textId="77777777" w:rsidR="00403172" w:rsidRDefault="00A903C4" w:rsidP="00901908">
      <w:pPr>
        <w:spacing w:after="0" w:line="360" w:lineRule="auto"/>
        <w:ind w:left="720"/>
        <w:jc w:val="both"/>
        <w:rPr>
          <w:rFonts w:ascii="Arial" w:eastAsia="Calibri" w:hAnsi="Arial" w:cs="Arial"/>
          <w:sz w:val="28"/>
          <w:szCs w:val="28"/>
        </w:rPr>
      </w:pPr>
      <w:r>
        <w:rPr>
          <w:rFonts w:ascii="Arial" w:eastAsia="Calibri" w:hAnsi="Arial" w:cs="Arial"/>
          <w:sz w:val="28"/>
          <w:szCs w:val="28"/>
        </w:rPr>
        <w:t>Therefore, any reliance on this case is misplaced.</w:t>
      </w:r>
    </w:p>
    <w:p w14:paraId="7E17E20F" w14:textId="77777777" w:rsidR="00A903C4" w:rsidRDefault="00A903C4" w:rsidP="00403172">
      <w:pPr>
        <w:spacing w:after="0" w:line="360" w:lineRule="auto"/>
        <w:ind w:left="720" w:hanging="720"/>
        <w:jc w:val="both"/>
        <w:rPr>
          <w:rFonts w:ascii="Arial" w:eastAsia="Calibri" w:hAnsi="Arial" w:cs="Arial"/>
          <w:sz w:val="28"/>
          <w:szCs w:val="28"/>
        </w:rPr>
      </w:pPr>
    </w:p>
    <w:p w14:paraId="75484BA3" w14:textId="771DE8D9" w:rsidR="004D4141" w:rsidRDefault="00A903C4" w:rsidP="00A903C4">
      <w:pPr>
        <w:spacing w:after="0" w:line="360" w:lineRule="auto"/>
        <w:ind w:left="720" w:hanging="720"/>
        <w:jc w:val="both"/>
        <w:rPr>
          <w:rFonts w:ascii="Arial" w:eastAsia="Calibri" w:hAnsi="Arial" w:cs="Arial"/>
          <w:sz w:val="28"/>
          <w:szCs w:val="28"/>
        </w:rPr>
      </w:pPr>
      <w:r>
        <w:rPr>
          <w:rFonts w:ascii="Arial" w:eastAsia="Calibri" w:hAnsi="Arial" w:cs="Arial"/>
          <w:sz w:val="28"/>
          <w:szCs w:val="28"/>
        </w:rPr>
        <w:t>[3</w:t>
      </w:r>
      <w:r w:rsidR="00235E4C">
        <w:rPr>
          <w:rFonts w:ascii="Arial" w:eastAsia="Calibri" w:hAnsi="Arial" w:cs="Arial"/>
          <w:sz w:val="28"/>
          <w:szCs w:val="28"/>
        </w:rPr>
        <w:t>5</w:t>
      </w:r>
      <w:r>
        <w:rPr>
          <w:rFonts w:ascii="Arial" w:eastAsia="Calibri" w:hAnsi="Arial" w:cs="Arial"/>
          <w:sz w:val="28"/>
          <w:szCs w:val="28"/>
        </w:rPr>
        <w:t>]</w:t>
      </w:r>
      <w:r>
        <w:rPr>
          <w:rFonts w:ascii="Arial" w:eastAsia="Calibri" w:hAnsi="Arial" w:cs="Arial"/>
          <w:sz w:val="28"/>
          <w:szCs w:val="28"/>
        </w:rPr>
        <w:tab/>
        <w:t>For these reasons, I conclude that the application ought to succeed. No argument was made why the losing party should not be liable to pay the costs. In the exercise of my discretion on that aspect, there is also no reason to deviate from the rule to make such as an order.</w:t>
      </w:r>
    </w:p>
    <w:p w14:paraId="718AA585" w14:textId="77777777" w:rsidR="00BA162A" w:rsidRDefault="00BA162A" w:rsidP="00145A3E">
      <w:pPr>
        <w:spacing w:line="360" w:lineRule="auto"/>
        <w:ind w:left="851" w:hanging="851"/>
        <w:contextualSpacing/>
        <w:jc w:val="both"/>
        <w:rPr>
          <w:rFonts w:ascii="Arial" w:eastAsia="Calibri" w:hAnsi="Arial" w:cs="Arial"/>
          <w:sz w:val="28"/>
          <w:szCs w:val="28"/>
        </w:rPr>
      </w:pPr>
    </w:p>
    <w:p w14:paraId="6EFCE283" w14:textId="6C192678" w:rsidR="009D758D" w:rsidRPr="004F3D17" w:rsidRDefault="009D758D" w:rsidP="00145A3E">
      <w:pPr>
        <w:spacing w:line="360" w:lineRule="auto"/>
        <w:ind w:left="851" w:hanging="851"/>
        <w:contextualSpacing/>
        <w:jc w:val="both"/>
        <w:rPr>
          <w:rFonts w:ascii="Arial" w:eastAsia="Calibri" w:hAnsi="Arial" w:cs="Arial"/>
          <w:sz w:val="28"/>
          <w:szCs w:val="28"/>
        </w:rPr>
      </w:pPr>
      <w:r w:rsidRPr="004F3D17">
        <w:rPr>
          <w:rFonts w:ascii="Arial" w:eastAsia="Calibri" w:hAnsi="Arial" w:cs="Arial"/>
          <w:sz w:val="28"/>
          <w:szCs w:val="28"/>
        </w:rPr>
        <w:t>[</w:t>
      </w:r>
      <w:r w:rsidR="00A903C4">
        <w:rPr>
          <w:rFonts w:ascii="Arial" w:eastAsia="Calibri" w:hAnsi="Arial" w:cs="Arial"/>
          <w:sz w:val="28"/>
          <w:szCs w:val="28"/>
        </w:rPr>
        <w:t>3</w:t>
      </w:r>
      <w:r w:rsidR="00235E4C">
        <w:rPr>
          <w:rFonts w:ascii="Arial" w:eastAsia="Calibri" w:hAnsi="Arial" w:cs="Arial"/>
          <w:sz w:val="28"/>
          <w:szCs w:val="28"/>
        </w:rPr>
        <w:t>6</w:t>
      </w:r>
      <w:r w:rsidRPr="004F3D17">
        <w:rPr>
          <w:rFonts w:ascii="Arial" w:eastAsia="Calibri" w:hAnsi="Arial" w:cs="Arial"/>
          <w:sz w:val="28"/>
          <w:szCs w:val="28"/>
        </w:rPr>
        <w:t>]</w:t>
      </w:r>
      <w:r w:rsidRPr="004F3D17">
        <w:rPr>
          <w:rFonts w:ascii="Arial" w:eastAsia="Calibri" w:hAnsi="Arial" w:cs="Arial"/>
          <w:sz w:val="28"/>
          <w:szCs w:val="28"/>
        </w:rPr>
        <w:tab/>
      </w:r>
      <w:r w:rsidR="00FC1B0B" w:rsidRPr="004F3D17">
        <w:rPr>
          <w:rFonts w:ascii="Arial" w:eastAsia="Calibri" w:hAnsi="Arial" w:cs="Arial"/>
          <w:sz w:val="28"/>
          <w:szCs w:val="28"/>
        </w:rPr>
        <w:t xml:space="preserve">In the result </w:t>
      </w:r>
      <w:r w:rsidR="004A6E4D" w:rsidRPr="004F3D17">
        <w:rPr>
          <w:rFonts w:ascii="Arial" w:eastAsia="Calibri" w:hAnsi="Arial" w:cs="Arial"/>
          <w:sz w:val="28"/>
          <w:szCs w:val="28"/>
        </w:rPr>
        <w:t>I make the following order</w:t>
      </w:r>
      <w:r w:rsidR="000F23E7" w:rsidRPr="004F3D17">
        <w:rPr>
          <w:rFonts w:ascii="Arial" w:eastAsia="Calibri" w:hAnsi="Arial" w:cs="Arial"/>
          <w:sz w:val="28"/>
          <w:szCs w:val="28"/>
        </w:rPr>
        <w:t>: -</w:t>
      </w:r>
    </w:p>
    <w:p w14:paraId="768ABDE3" w14:textId="77777777" w:rsidR="006F27D9" w:rsidRPr="004F3D17" w:rsidRDefault="006F27D9" w:rsidP="009D758D">
      <w:pPr>
        <w:spacing w:line="360" w:lineRule="auto"/>
        <w:ind w:left="851" w:hanging="851"/>
        <w:contextualSpacing/>
        <w:jc w:val="both"/>
        <w:rPr>
          <w:rFonts w:ascii="Arial" w:eastAsia="Calibri" w:hAnsi="Arial" w:cs="Arial"/>
          <w:sz w:val="28"/>
          <w:szCs w:val="28"/>
        </w:rPr>
      </w:pPr>
    </w:p>
    <w:p w14:paraId="43A3A8DF" w14:textId="57959EC9" w:rsidR="00D1765F" w:rsidRPr="004F3D17" w:rsidRDefault="00A903C4" w:rsidP="00CE146E">
      <w:pPr>
        <w:spacing w:line="360" w:lineRule="auto"/>
        <w:ind w:left="2160" w:hanging="1305"/>
        <w:contextualSpacing/>
        <w:jc w:val="both"/>
        <w:rPr>
          <w:rFonts w:ascii="Arial" w:eastAsia="Calibri" w:hAnsi="Arial" w:cs="Arial"/>
          <w:sz w:val="28"/>
          <w:szCs w:val="28"/>
        </w:rPr>
      </w:pPr>
      <w:r>
        <w:rPr>
          <w:rFonts w:ascii="Arial" w:eastAsia="Calibri" w:hAnsi="Arial" w:cs="Arial"/>
          <w:sz w:val="28"/>
          <w:szCs w:val="28"/>
        </w:rPr>
        <w:t>3</w:t>
      </w:r>
      <w:r w:rsidR="00235E4C">
        <w:rPr>
          <w:rFonts w:ascii="Arial" w:eastAsia="Calibri" w:hAnsi="Arial" w:cs="Arial"/>
          <w:sz w:val="28"/>
          <w:szCs w:val="28"/>
        </w:rPr>
        <w:t>6</w:t>
      </w:r>
      <w:r w:rsidR="00B77EAD" w:rsidRPr="004F3D17">
        <w:rPr>
          <w:rFonts w:ascii="Arial" w:eastAsia="Calibri" w:hAnsi="Arial" w:cs="Arial"/>
          <w:sz w:val="28"/>
          <w:szCs w:val="28"/>
        </w:rPr>
        <w:t>.1.</w:t>
      </w:r>
      <w:r w:rsidR="00D1765F" w:rsidRPr="004F3D17">
        <w:rPr>
          <w:rFonts w:ascii="Arial" w:eastAsia="Calibri" w:hAnsi="Arial" w:cs="Arial"/>
          <w:sz w:val="28"/>
          <w:szCs w:val="28"/>
        </w:rPr>
        <w:tab/>
      </w:r>
      <w:r w:rsidR="008E6606">
        <w:rPr>
          <w:rFonts w:ascii="Arial" w:eastAsia="Calibri" w:hAnsi="Arial" w:cs="Arial"/>
          <w:sz w:val="28"/>
          <w:szCs w:val="28"/>
        </w:rPr>
        <w:t>Condoning the non-compliance with the forms and service provided for in the Uniform Rules of Court and disposing of the application as matter of urgency.</w:t>
      </w:r>
    </w:p>
    <w:p w14:paraId="78925324" w14:textId="77777777" w:rsidR="00D1765F" w:rsidRPr="004F3D17" w:rsidRDefault="00D1765F" w:rsidP="00D1765F">
      <w:pPr>
        <w:spacing w:line="360" w:lineRule="auto"/>
        <w:ind w:left="851" w:hanging="851"/>
        <w:contextualSpacing/>
        <w:jc w:val="both"/>
        <w:rPr>
          <w:rFonts w:ascii="Arial" w:eastAsia="Calibri" w:hAnsi="Arial" w:cs="Arial"/>
          <w:sz w:val="28"/>
          <w:szCs w:val="28"/>
        </w:rPr>
      </w:pPr>
    </w:p>
    <w:p w14:paraId="208C8E02" w14:textId="79A16E18" w:rsidR="00D34E09" w:rsidRDefault="00A903C4" w:rsidP="00D34E09">
      <w:pPr>
        <w:spacing w:line="360" w:lineRule="auto"/>
        <w:ind w:left="2160" w:hanging="1305"/>
        <w:contextualSpacing/>
        <w:jc w:val="both"/>
        <w:rPr>
          <w:rFonts w:ascii="Arial" w:eastAsia="Calibri" w:hAnsi="Arial" w:cs="Arial"/>
          <w:sz w:val="28"/>
          <w:szCs w:val="28"/>
        </w:rPr>
      </w:pPr>
      <w:r>
        <w:rPr>
          <w:rFonts w:ascii="Arial" w:eastAsia="Calibri" w:hAnsi="Arial" w:cs="Arial"/>
          <w:sz w:val="28"/>
          <w:szCs w:val="28"/>
        </w:rPr>
        <w:t>3</w:t>
      </w:r>
      <w:r w:rsidR="00235E4C">
        <w:rPr>
          <w:rFonts w:ascii="Arial" w:eastAsia="Calibri" w:hAnsi="Arial" w:cs="Arial"/>
          <w:sz w:val="28"/>
          <w:szCs w:val="28"/>
        </w:rPr>
        <w:t>6</w:t>
      </w:r>
      <w:r w:rsidR="00D1765F" w:rsidRPr="004F3D17">
        <w:rPr>
          <w:rFonts w:ascii="Arial" w:eastAsia="Calibri" w:hAnsi="Arial" w:cs="Arial"/>
          <w:sz w:val="28"/>
          <w:szCs w:val="28"/>
        </w:rPr>
        <w:t>.2.</w:t>
      </w:r>
      <w:r w:rsidR="00D1765F" w:rsidRPr="004F3D17">
        <w:rPr>
          <w:rFonts w:ascii="Arial" w:eastAsia="Calibri" w:hAnsi="Arial" w:cs="Arial"/>
          <w:sz w:val="28"/>
          <w:szCs w:val="28"/>
        </w:rPr>
        <w:tab/>
      </w:r>
      <w:r w:rsidR="00DB36C7">
        <w:rPr>
          <w:rFonts w:ascii="Arial" w:eastAsia="Calibri" w:hAnsi="Arial" w:cs="Arial"/>
          <w:sz w:val="28"/>
          <w:szCs w:val="28"/>
        </w:rPr>
        <w:t xml:space="preserve">The warrants issued (in terms of section 21 of the Criminal Procedure Act and 29 of the Cybercrimes Act, respectively) by the third respondent (dated 5 December 2022), in respect of the applicant’s business at Shop 2, </w:t>
      </w:r>
      <w:proofErr w:type="spellStart"/>
      <w:r w:rsidR="00DB36C7">
        <w:rPr>
          <w:rFonts w:ascii="Arial" w:eastAsia="Calibri" w:hAnsi="Arial" w:cs="Arial"/>
          <w:sz w:val="28"/>
          <w:szCs w:val="28"/>
        </w:rPr>
        <w:t>Choppies</w:t>
      </w:r>
      <w:proofErr w:type="spellEnd"/>
      <w:r w:rsidR="00DB36C7">
        <w:rPr>
          <w:rFonts w:ascii="Arial" w:eastAsia="Calibri" w:hAnsi="Arial" w:cs="Arial"/>
          <w:sz w:val="28"/>
          <w:szCs w:val="28"/>
        </w:rPr>
        <w:t xml:space="preserve"> Building, </w:t>
      </w:r>
      <w:proofErr w:type="spellStart"/>
      <w:r w:rsidR="00DB36C7">
        <w:rPr>
          <w:rFonts w:ascii="Arial" w:eastAsia="Calibri" w:hAnsi="Arial" w:cs="Arial"/>
          <w:sz w:val="28"/>
          <w:szCs w:val="28"/>
        </w:rPr>
        <w:t>Kruis</w:t>
      </w:r>
      <w:proofErr w:type="spellEnd"/>
      <w:r w:rsidR="00DB36C7">
        <w:rPr>
          <w:rFonts w:ascii="Arial" w:eastAsia="Calibri" w:hAnsi="Arial" w:cs="Arial"/>
          <w:sz w:val="28"/>
          <w:szCs w:val="28"/>
        </w:rPr>
        <w:t xml:space="preserve"> Street, </w:t>
      </w:r>
      <w:r w:rsidR="00DB36C7">
        <w:rPr>
          <w:rFonts w:ascii="Arial" w:eastAsia="Calibri" w:hAnsi="Arial" w:cs="Arial"/>
          <w:sz w:val="28"/>
          <w:szCs w:val="28"/>
        </w:rPr>
        <w:lastRenderedPageBreak/>
        <w:t>Parys, (“the warrants”) and executed on 7 December 2022 by the second respondent are set-aside.</w:t>
      </w:r>
    </w:p>
    <w:p w14:paraId="4B309501" w14:textId="77777777" w:rsidR="00DB36C7" w:rsidRDefault="00DB36C7" w:rsidP="00D34E09">
      <w:pPr>
        <w:spacing w:line="360" w:lineRule="auto"/>
        <w:ind w:left="2160" w:hanging="1305"/>
        <w:contextualSpacing/>
        <w:jc w:val="both"/>
        <w:rPr>
          <w:rFonts w:ascii="Arial" w:eastAsia="Calibri" w:hAnsi="Arial" w:cs="Arial"/>
          <w:sz w:val="28"/>
          <w:szCs w:val="28"/>
        </w:rPr>
      </w:pPr>
    </w:p>
    <w:p w14:paraId="21D11CA2" w14:textId="27B11A6A" w:rsidR="00DB36C7" w:rsidRDefault="00A903C4" w:rsidP="00D34E09">
      <w:pPr>
        <w:spacing w:line="360" w:lineRule="auto"/>
        <w:ind w:left="2160" w:hanging="1305"/>
        <w:contextualSpacing/>
        <w:jc w:val="both"/>
        <w:rPr>
          <w:rFonts w:ascii="Arial" w:eastAsia="Calibri" w:hAnsi="Arial" w:cs="Arial"/>
          <w:sz w:val="28"/>
          <w:szCs w:val="28"/>
        </w:rPr>
      </w:pPr>
      <w:r>
        <w:rPr>
          <w:rFonts w:ascii="Arial" w:eastAsia="Calibri" w:hAnsi="Arial" w:cs="Arial"/>
          <w:sz w:val="28"/>
          <w:szCs w:val="28"/>
        </w:rPr>
        <w:t>3</w:t>
      </w:r>
      <w:r w:rsidR="00235E4C">
        <w:rPr>
          <w:rFonts w:ascii="Arial" w:eastAsia="Calibri" w:hAnsi="Arial" w:cs="Arial"/>
          <w:sz w:val="28"/>
          <w:szCs w:val="28"/>
        </w:rPr>
        <w:t>6</w:t>
      </w:r>
      <w:r w:rsidR="00DB36C7">
        <w:rPr>
          <w:rFonts w:ascii="Arial" w:eastAsia="Calibri" w:hAnsi="Arial" w:cs="Arial"/>
          <w:sz w:val="28"/>
          <w:szCs w:val="28"/>
        </w:rPr>
        <w:t>.3.</w:t>
      </w:r>
      <w:r w:rsidR="00DB36C7">
        <w:rPr>
          <w:rFonts w:ascii="Arial" w:eastAsia="Calibri" w:hAnsi="Arial" w:cs="Arial"/>
          <w:sz w:val="28"/>
          <w:szCs w:val="28"/>
        </w:rPr>
        <w:tab/>
        <w:t>The first and second respondents (including any other person acting as agent on behalf of those respondents and may be in possession of the applicant’s articles that were seized (as set out in Annexure A to the Notice of Motion), are ordered to forthwith restore the applicant’s possession and return those articles to the applicant’s business premises.</w:t>
      </w:r>
    </w:p>
    <w:p w14:paraId="6E444173" w14:textId="77777777" w:rsidR="00DB36C7" w:rsidRDefault="00DB36C7" w:rsidP="00D34E09">
      <w:pPr>
        <w:spacing w:line="360" w:lineRule="auto"/>
        <w:ind w:left="2160" w:hanging="1305"/>
        <w:contextualSpacing/>
        <w:jc w:val="both"/>
        <w:rPr>
          <w:rFonts w:ascii="Arial" w:eastAsia="Calibri" w:hAnsi="Arial" w:cs="Arial"/>
          <w:sz w:val="28"/>
          <w:szCs w:val="28"/>
        </w:rPr>
      </w:pPr>
    </w:p>
    <w:p w14:paraId="4B8FC75F" w14:textId="07E00773" w:rsidR="00DB36C7" w:rsidRDefault="00A903C4" w:rsidP="00DB36C7">
      <w:pPr>
        <w:spacing w:line="360" w:lineRule="auto"/>
        <w:ind w:left="2160" w:hanging="1305"/>
        <w:contextualSpacing/>
        <w:jc w:val="both"/>
        <w:rPr>
          <w:rFonts w:ascii="Arial" w:eastAsia="Calibri" w:hAnsi="Arial" w:cs="Arial"/>
          <w:sz w:val="28"/>
          <w:szCs w:val="28"/>
        </w:rPr>
      </w:pPr>
      <w:r>
        <w:rPr>
          <w:rFonts w:ascii="Arial" w:eastAsia="Calibri" w:hAnsi="Arial" w:cs="Arial"/>
          <w:sz w:val="28"/>
          <w:szCs w:val="28"/>
        </w:rPr>
        <w:t>3</w:t>
      </w:r>
      <w:r w:rsidR="00235E4C">
        <w:rPr>
          <w:rFonts w:ascii="Arial" w:eastAsia="Calibri" w:hAnsi="Arial" w:cs="Arial"/>
          <w:sz w:val="28"/>
          <w:szCs w:val="28"/>
        </w:rPr>
        <w:t>6</w:t>
      </w:r>
      <w:r w:rsidR="00DB36C7">
        <w:rPr>
          <w:rFonts w:ascii="Arial" w:eastAsia="Calibri" w:hAnsi="Arial" w:cs="Arial"/>
          <w:sz w:val="28"/>
          <w:szCs w:val="28"/>
        </w:rPr>
        <w:t>.4</w:t>
      </w:r>
      <w:r w:rsidR="00DB36C7" w:rsidRPr="004F3D17">
        <w:rPr>
          <w:rFonts w:ascii="Arial" w:eastAsia="Calibri" w:hAnsi="Arial" w:cs="Arial"/>
          <w:sz w:val="28"/>
          <w:szCs w:val="28"/>
        </w:rPr>
        <w:t>.</w:t>
      </w:r>
      <w:r w:rsidR="00DB36C7" w:rsidRPr="004F3D17">
        <w:rPr>
          <w:rFonts w:ascii="Arial" w:eastAsia="Calibri" w:hAnsi="Arial" w:cs="Arial"/>
          <w:sz w:val="28"/>
          <w:szCs w:val="28"/>
        </w:rPr>
        <w:tab/>
      </w:r>
      <w:r w:rsidR="00DB36C7">
        <w:rPr>
          <w:rFonts w:ascii="Arial" w:eastAsia="Calibri" w:hAnsi="Arial" w:cs="Arial"/>
          <w:sz w:val="28"/>
          <w:szCs w:val="28"/>
        </w:rPr>
        <w:t xml:space="preserve">Costs </w:t>
      </w:r>
      <w:r w:rsidR="008E6606">
        <w:rPr>
          <w:rFonts w:ascii="Arial" w:eastAsia="Calibri" w:hAnsi="Arial" w:cs="Arial"/>
          <w:sz w:val="28"/>
          <w:szCs w:val="28"/>
        </w:rPr>
        <w:t xml:space="preserve">of application are to be paid by the first and second respondent jointly and severally, the one paying the other to be absolved. </w:t>
      </w:r>
    </w:p>
    <w:p w14:paraId="65E0653F" w14:textId="20797C83" w:rsidR="00DB36C7" w:rsidRDefault="00DB36C7" w:rsidP="00D34E09">
      <w:pPr>
        <w:spacing w:line="360" w:lineRule="auto"/>
        <w:ind w:left="2160" w:hanging="1305"/>
        <w:contextualSpacing/>
        <w:jc w:val="both"/>
        <w:rPr>
          <w:rFonts w:ascii="Arial" w:eastAsia="Calibri" w:hAnsi="Arial" w:cs="Arial"/>
          <w:sz w:val="28"/>
          <w:szCs w:val="28"/>
        </w:rPr>
      </w:pPr>
      <w:r>
        <w:rPr>
          <w:rFonts w:ascii="Arial" w:eastAsia="Calibri" w:hAnsi="Arial" w:cs="Arial"/>
          <w:sz w:val="28"/>
          <w:szCs w:val="28"/>
        </w:rPr>
        <w:t xml:space="preserve"> </w:t>
      </w:r>
    </w:p>
    <w:p w14:paraId="6FAA7093" w14:textId="2BCB4758" w:rsidR="003D2313" w:rsidRDefault="003D2313" w:rsidP="00D34E09">
      <w:pPr>
        <w:spacing w:line="360" w:lineRule="auto"/>
        <w:ind w:left="2160" w:hanging="1305"/>
        <w:contextualSpacing/>
        <w:jc w:val="both"/>
        <w:rPr>
          <w:rFonts w:ascii="Arial" w:eastAsia="Calibri" w:hAnsi="Arial" w:cs="Arial"/>
          <w:sz w:val="28"/>
          <w:szCs w:val="28"/>
        </w:rPr>
      </w:pPr>
    </w:p>
    <w:p w14:paraId="307CBD6E" w14:textId="47845132" w:rsidR="003D2313" w:rsidRDefault="003D2313" w:rsidP="00D34E09">
      <w:pPr>
        <w:spacing w:line="360" w:lineRule="auto"/>
        <w:ind w:left="2160" w:hanging="1305"/>
        <w:contextualSpacing/>
        <w:jc w:val="both"/>
        <w:rPr>
          <w:rFonts w:ascii="Arial" w:eastAsia="Calibri" w:hAnsi="Arial" w:cs="Arial"/>
          <w:sz w:val="28"/>
          <w:szCs w:val="28"/>
        </w:rPr>
      </w:pPr>
    </w:p>
    <w:p w14:paraId="3A2BCC32" w14:textId="38DC66AF" w:rsidR="003D2313" w:rsidRDefault="003D2313" w:rsidP="00D34E09">
      <w:pPr>
        <w:spacing w:line="360" w:lineRule="auto"/>
        <w:ind w:left="2160" w:hanging="1305"/>
        <w:contextualSpacing/>
        <w:jc w:val="both"/>
        <w:rPr>
          <w:rFonts w:ascii="Arial" w:eastAsia="Calibri" w:hAnsi="Arial" w:cs="Arial"/>
          <w:sz w:val="28"/>
          <w:szCs w:val="28"/>
        </w:rPr>
      </w:pPr>
    </w:p>
    <w:p w14:paraId="7A5C212F" w14:textId="0C2266CE" w:rsidR="003D2313" w:rsidRDefault="003D2313" w:rsidP="00D34E09">
      <w:pPr>
        <w:spacing w:line="360" w:lineRule="auto"/>
        <w:ind w:left="2160" w:hanging="1305"/>
        <w:contextualSpacing/>
        <w:jc w:val="both"/>
        <w:rPr>
          <w:rFonts w:ascii="Arial" w:eastAsia="Calibri" w:hAnsi="Arial" w:cs="Arial"/>
          <w:sz w:val="28"/>
          <w:szCs w:val="28"/>
        </w:rPr>
      </w:pPr>
    </w:p>
    <w:p w14:paraId="1ECE97B3" w14:textId="3531D1D8" w:rsidR="003D2313" w:rsidRDefault="003D2313" w:rsidP="00D34E09">
      <w:pPr>
        <w:spacing w:line="360" w:lineRule="auto"/>
        <w:ind w:left="2160" w:hanging="1305"/>
        <w:contextualSpacing/>
        <w:jc w:val="both"/>
        <w:rPr>
          <w:rFonts w:ascii="Arial" w:eastAsia="Calibri" w:hAnsi="Arial" w:cs="Arial"/>
          <w:sz w:val="28"/>
          <w:szCs w:val="28"/>
        </w:rPr>
      </w:pPr>
    </w:p>
    <w:p w14:paraId="534C2C80" w14:textId="36510E2C" w:rsidR="003D2313" w:rsidRDefault="003D2313" w:rsidP="00D34E09">
      <w:pPr>
        <w:spacing w:line="360" w:lineRule="auto"/>
        <w:ind w:left="2160" w:hanging="1305"/>
        <w:contextualSpacing/>
        <w:jc w:val="both"/>
        <w:rPr>
          <w:rFonts w:ascii="Arial" w:eastAsia="Calibri" w:hAnsi="Arial" w:cs="Arial"/>
          <w:sz w:val="28"/>
          <w:szCs w:val="28"/>
        </w:rPr>
      </w:pPr>
    </w:p>
    <w:p w14:paraId="5E996F9F" w14:textId="2DB53169" w:rsidR="003D2313" w:rsidRDefault="003D2313" w:rsidP="00D34E09">
      <w:pPr>
        <w:spacing w:line="360" w:lineRule="auto"/>
        <w:ind w:left="2160" w:hanging="1305"/>
        <w:contextualSpacing/>
        <w:jc w:val="both"/>
        <w:rPr>
          <w:rFonts w:ascii="Arial" w:eastAsia="Calibri" w:hAnsi="Arial" w:cs="Arial"/>
          <w:sz w:val="28"/>
          <w:szCs w:val="28"/>
        </w:rPr>
      </w:pPr>
    </w:p>
    <w:p w14:paraId="1B355952" w14:textId="77777777" w:rsidR="003D2313" w:rsidRDefault="003D2313" w:rsidP="00D34E09">
      <w:pPr>
        <w:spacing w:line="360" w:lineRule="auto"/>
        <w:ind w:left="2160" w:hanging="1305"/>
        <w:contextualSpacing/>
        <w:jc w:val="both"/>
        <w:rPr>
          <w:rFonts w:ascii="Arial" w:eastAsia="Calibri" w:hAnsi="Arial" w:cs="Arial"/>
          <w:sz w:val="28"/>
          <w:szCs w:val="28"/>
        </w:rPr>
      </w:pPr>
      <w:bookmarkStart w:id="4" w:name="_GoBack"/>
      <w:bookmarkEnd w:id="4"/>
    </w:p>
    <w:p w14:paraId="633B4850" w14:textId="77777777" w:rsidR="003D2313" w:rsidRDefault="003D2313" w:rsidP="00D34E09">
      <w:pPr>
        <w:spacing w:line="360" w:lineRule="auto"/>
        <w:ind w:left="2160" w:hanging="1305"/>
        <w:contextualSpacing/>
        <w:jc w:val="both"/>
        <w:rPr>
          <w:rFonts w:ascii="Arial" w:eastAsia="Calibri" w:hAnsi="Arial" w:cs="Arial"/>
          <w:sz w:val="28"/>
          <w:szCs w:val="28"/>
        </w:rPr>
      </w:pPr>
    </w:p>
    <w:p w14:paraId="349D9E3C" w14:textId="77777777" w:rsidR="001D52C9" w:rsidRPr="00B056BB" w:rsidRDefault="001D52C9" w:rsidP="001E5C8B">
      <w:pPr>
        <w:spacing w:after="0" w:line="240" w:lineRule="auto"/>
        <w:jc w:val="right"/>
        <w:rPr>
          <w:rFonts w:ascii="Arial" w:eastAsia="Times New Roman" w:hAnsi="Arial" w:cs="Arial"/>
          <w:b/>
          <w:sz w:val="24"/>
          <w:szCs w:val="24"/>
          <w:lang w:eastAsia="en-GB"/>
        </w:rPr>
      </w:pPr>
      <w:r w:rsidRPr="00B056BB">
        <w:rPr>
          <w:rFonts w:ascii="Arial" w:eastAsia="Times New Roman" w:hAnsi="Arial" w:cs="Arial"/>
          <w:b/>
          <w:sz w:val="24"/>
          <w:szCs w:val="24"/>
          <w:lang w:eastAsia="en-GB"/>
        </w:rPr>
        <w:softHyphen/>
      </w:r>
      <w:r w:rsidRPr="00B056BB">
        <w:rPr>
          <w:rFonts w:ascii="Arial" w:eastAsia="Times New Roman" w:hAnsi="Arial" w:cs="Arial"/>
          <w:b/>
          <w:sz w:val="24"/>
          <w:szCs w:val="24"/>
          <w:lang w:eastAsia="en-GB"/>
        </w:rPr>
        <w:softHyphen/>
        <w:t>____</w:t>
      </w:r>
      <w:r w:rsidR="003F5658" w:rsidRPr="00B056BB">
        <w:rPr>
          <w:rFonts w:ascii="Arial" w:eastAsia="Times New Roman" w:hAnsi="Arial" w:cs="Arial"/>
          <w:b/>
          <w:sz w:val="24"/>
          <w:szCs w:val="24"/>
          <w:lang w:eastAsia="en-GB"/>
        </w:rPr>
        <w:t>___</w:t>
      </w:r>
      <w:r w:rsidRPr="00B056BB">
        <w:rPr>
          <w:rFonts w:ascii="Arial" w:eastAsia="Times New Roman" w:hAnsi="Arial" w:cs="Arial"/>
          <w:b/>
          <w:sz w:val="24"/>
          <w:szCs w:val="24"/>
          <w:lang w:eastAsia="en-GB"/>
        </w:rPr>
        <w:t>__</w:t>
      </w:r>
      <w:r w:rsidR="003F5658" w:rsidRPr="00B056BB">
        <w:rPr>
          <w:rFonts w:ascii="Arial" w:eastAsia="Times New Roman" w:hAnsi="Arial" w:cs="Arial"/>
          <w:b/>
          <w:sz w:val="24"/>
          <w:szCs w:val="24"/>
          <w:lang w:eastAsia="en-GB"/>
        </w:rPr>
        <w:t>__</w:t>
      </w:r>
      <w:r w:rsidRPr="00B056BB">
        <w:rPr>
          <w:rFonts w:ascii="Arial" w:eastAsia="Times New Roman" w:hAnsi="Arial" w:cs="Arial"/>
          <w:b/>
          <w:sz w:val="24"/>
          <w:szCs w:val="24"/>
          <w:lang w:eastAsia="en-GB"/>
        </w:rPr>
        <w:t>_______</w:t>
      </w:r>
    </w:p>
    <w:p w14:paraId="1DCC2E5A" w14:textId="77777777" w:rsidR="00F21218" w:rsidRPr="00B056BB" w:rsidRDefault="003F5658" w:rsidP="00F21218">
      <w:pPr>
        <w:spacing w:after="0" w:line="240" w:lineRule="auto"/>
        <w:jc w:val="right"/>
        <w:rPr>
          <w:rFonts w:ascii="Arial" w:eastAsia="Times New Roman" w:hAnsi="Arial" w:cs="Arial"/>
          <w:b/>
          <w:sz w:val="24"/>
          <w:szCs w:val="24"/>
          <w:lang w:eastAsia="en-GB"/>
        </w:rPr>
      </w:pPr>
      <w:r w:rsidRPr="00B056BB">
        <w:rPr>
          <w:rFonts w:ascii="Arial" w:eastAsia="Times New Roman" w:hAnsi="Arial" w:cs="Arial"/>
          <w:b/>
          <w:sz w:val="24"/>
          <w:szCs w:val="24"/>
          <w:lang w:eastAsia="en-GB"/>
        </w:rPr>
        <w:t xml:space="preserve">M.A. </w:t>
      </w:r>
      <w:r w:rsidR="001D52C9" w:rsidRPr="00B056BB">
        <w:rPr>
          <w:rFonts w:ascii="Arial" w:eastAsia="Times New Roman" w:hAnsi="Arial" w:cs="Arial"/>
          <w:b/>
          <w:sz w:val="24"/>
          <w:szCs w:val="24"/>
          <w:lang w:eastAsia="en-GB"/>
        </w:rPr>
        <w:t>MATHEBULA, J</w:t>
      </w:r>
    </w:p>
    <w:p w14:paraId="3D1B0245" w14:textId="77777777" w:rsidR="00F21218" w:rsidRPr="00B056BB" w:rsidRDefault="00F21218" w:rsidP="00F21218">
      <w:pPr>
        <w:spacing w:after="0" w:line="240" w:lineRule="auto"/>
        <w:jc w:val="right"/>
        <w:rPr>
          <w:rFonts w:ascii="Arial" w:hAnsi="Arial" w:cs="Arial"/>
          <w:color w:val="000000" w:themeColor="text1"/>
          <w:sz w:val="24"/>
          <w:szCs w:val="24"/>
        </w:rPr>
      </w:pPr>
    </w:p>
    <w:p w14:paraId="5032E729" w14:textId="77777777" w:rsidR="00F21218" w:rsidRPr="00B056BB" w:rsidRDefault="00F21218" w:rsidP="00BE43D0">
      <w:pPr>
        <w:tabs>
          <w:tab w:val="left" w:pos="1701"/>
        </w:tabs>
        <w:ind w:left="851" w:hanging="851"/>
        <w:jc w:val="both"/>
        <w:rPr>
          <w:rFonts w:ascii="Arial" w:hAnsi="Arial" w:cs="Arial"/>
          <w:color w:val="000000" w:themeColor="text1"/>
          <w:sz w:val="24"/>
          <w:szCs w:val="24"/>
        </w:rPr>
      </w:pPr>
    </w:p>
    <w:p w14:paraId="4BDADE6B" w14:textId="77777777" w:rsidR="00E9215A" w:rsidRDefault="00E9215A" w:rsidP="00BE43D0">
      <w:pPr>
        <w:tabs>
          <w:tab w:val="left" w:pos="1701"/>
        </w:tabs>
        <w:ind w:left="851" w:hanging="851"/>
        <w:jc w:val="both"/>
        <w:rPr>
          <w:rFonts w:ascii="Arial" w:hAnsi="Arial" w:cs="Arial"/>
          <w:color w:val="000000" w:themeColor="text1"/>
          <w:sz w:val="24"/>
          <w:szCs w:val="24"/>
        </w:rPr>
      </w:pPr>
    </w:p>
    <w:p w14:paraId="388A73BC" w14:textId="77777777" w:rsidR="00235E4C" w:rsidRDefault="00235E4C" w:rsidP="00BE43D0">
      <w:pPr>
        <w:tabs>
          <w:tab w:val="left" w:pos="1701"/>
        </w:tabs>
        <w:ind w:left="851" w:hanging="851"/>
        <w:jc w:val="both"/>
        <w:rPr>
          <w:rFonts w:ascii="Arial" w:hAnsi="Arial" w:cs="Arial"/>
          <w:color w:val="000000" w:themeColor="text1"/>
          <w:sz w:val="24"/>
          <w:szCs w:val="24"/>
        </w:rPr>
      </w:pPr>
    </w:p>
    <w:p w14:paraId="3286CC8A" w14:textId="77777777" w:rsidR="00235E4C" w:rsidRDefault="00235E4C" w:rsidP="00BE43D0">
      <w:pPr>
        <w:tabs>
          <w:tab w:val="left" w:pos="1701"/>
        </w:tabs>
        <w:ind w:left="851" w:hanging="851"/>
        <w:jc w:val="both"/>
        <w:rPr>
          <w:rFonts w:ascii="Arial" w:hAnsi="Arial" w:cs="Arial"/>
          <w:color w:val="000000" w:themeColor="text1"/>
          <w:sz w:val="24"/>
          <w:szCs w:val="24"/>
        </w:rPr>
      </w:pPr>
    </w:p>
    <w:p w14:paraId="78618A6B" w14:textId="77777777" w:rsidR="00235E4C" w:rsidRDefault="00235E4C" w:rsidP="00BE43D0">
      <w:pPr>
        <w:tabs>
          <w:tab w:val="left" w:pos="1701"/>
        </w:tabs>
        <w:ind w:left="851" w:hanging="851"/>
        <w:jc w:val="both"/>
        <w:rPr>
          <w:rFonts w:ascii="Arial" w:hAnsi="Arial" w:cs="Arial"/>
          <w:color w:val="000000" w:themeColor="text1"/>
          <w:sz w:val="24"/>
          <w:szCs w:val="24"/>
        </w:rPr>
      </w:pPr>
    </w:p>
    <w:p w14:paraId="26939680" w14:textId="77777777" w:rsidR="001D52C9" w:rsidRPr="00B056BB" w:rsidRDefault="001D52C9" w:rsidP="00150D63">
      <w:pPr>
        <w:tabs>
          <w:tab w:val="left" w:pos="1701"/>
        </w:tabs>
        <w:spacing w:after="0"/>
        <w:ind w:left="851" w:hanging="851"/>
        <w:jc w:val="both"/>
        <w:rPr>
          <w:rFonts w:ascii="Arial" w:hAnsi="Arial" w:cs="Arial"/>
          <w:color w:val="000000" w:themeColor="text1"/>
          <w:sz w:val="24"/>
          <w:szCs w:val="24"/>
        </w:rPr>
      </w:pPr>
      <w:r w:rsidRPr="00B056BB">
        <w:rPr>
          <w:rFonts w:ascii="Arial" w:hAnsi="Arial" w:cs="Arial"/>
          <w:color w:val="000000" w:themeColor="text1"/>
          <w:sz w:val="24"/>
          <w:szCs w:val="24"/>
        </w:rPr>
        <w:t>On behalf of</w:t>
      </w:r>
      <w:r w:rsidR="00A41810" w:rsidRPr="00B056BB">
        <w:rPr>
          <w:rFonts w:ascii="Arial" w:hAnsi="Arial" w:cs="Arial"/>
          <w:color w:val="000000" w:themeColor="text1"/>
          <w:sz w:val="24"/>
          <w:szCs w:val="24"/>
        </w:rPr>
        <w:t xml:space="preserve"> the</w:t>
      </w:r>
      <w:r w:rsidRPr="00B056BB">
        <w:rPr>
          <w:rFonts w:ascii="Arial" w:hAnsi="Arial" w:cs="Arial"/>
          <w:color w:val="000000" w:themeColor="text1"/>
          <w:sz w:val="24"/>
          <w:szCs w:val="24"/>
        </w:rPr>
        <w:t xml:space="preserve"> applicant</w:t>
      </w:r>
      <w:r w:rsidR="00286892">
        <w:rPr>
          <w:rFonts w:ascii="Arial" w:hAnsi="Arial" w:cs="Arial"/>
          <w:color w:val="000000" w:themeColor="text1"/>
          <w:sz w:val="24"/>
          <w:szCs w:val="24"/>
        </w:rPr>
        <w:t>s</w:t>
      </w:r>
      <w:r w:rsidRPr="00B056BB">
        <w:rPr>
          <w:rFonts w:ascii="Arial" w:hAnsi="Arial" w:cs="Arial"/>
          <w:color w:val="000000" w:themeColor="text1"/>
          <w:sz w:val="24"/>
          <w:szCs w:val="24"/>
        </w:rPr>
        <w:t>:</w:t>
      </w:r>
      <w:r w:rsidR="00150D63" w:rsidRPr="00B056BB">
        <w:rPr>
          <w:rFonts w:ascii="Arial" w:hAnsi="Arial" w:cs="Arial"/>
          <w:color w:val="000000" w:themeColor="text1"/>
          <w:sz w:val="24"/>
          <w:szCs w:val="24"/>
        </w:rPr>
        <w:tab/>
      </w:r>
      <w:r w:rsidR="000A0898" w:rsidRPr="00B056BB">
        <w:rPr>
          <w:rFonts w:ascii="Arial" w:hAnsi="Arial" w:cs="Arial"/>
          <w:color w:val="000000" w:themeColor="text1"/>
          <w:sz w:val="24"/>
          <w:szCs w:val="24"/>
        </w:rPr>
        <w:tab/>
      </w:r>
      <w:r w:rsidR="00082869">
        <w:rPr>
          <w:rFonts w:ascii="Arial" w:hAnsi="Arial" w:cs="Arial"/>
          <w:color w:val="000000" w:themeColor="text1"/>
          <w:sz w:val="24"/>
          <w:szCs w:val="24"/>
        </w:rPr>
        <w:t xml:space="preserve">Adv. N. </w:t>
      </w:r>
      <w:proofErr w:type="spellStart"/>
      <w:r w:rsidR="00082869">
        <w:rPr>
          <w:rFonts w:ascii="Arial" w:hAnsi="Arial" w:cs="Arial"/>
          <w:color w:val="000000" w:themeColor="text1"/>
          <w:sz w:val="24"/>
          <w:szCs w:val="24"/>
        </w:rPr>
        <w:t>Jagga</w:t>
      </w:r>
      <w:proofErr w:type="spellEnd"/>
    </w:p>
    <w:p w14:paraId="070167FF" w14:textId="77777777" w:rsidR="007B20B5" w:rsidRDefault="001D52C9" w:rsidP="00150D63">
      <w:pPr>
        <w:tabs>
          <w:tab w:val="left" w:pos="1701"/>
        </w:tabs>
        <w:spacing w:after="0"/>
        <w:ind w:left="851" w:hanging="851"/>
        <w:jc w:val="both"/>
        <w:rPr>
          <w:rFonts w:ascii="Arial" w:hAnsi="Arial" w:cs="Arial"/>
          <w:color w:val="000000" w:themeColor="text1"/>
          <w:sz w:val="24"/>
          <w:szCs w:val="24"/>
        </w:rPr>
      </w:pPr>
      <w:r w:rsidRPr="00B056BB">
        <w:rPr>
          <w:rFonts w:ascii="Arial" w:hAnsi="Arial" w:cs="Arial"/>
          <w:color w:val="000000" w:themeColor="text1"/>
          <w:sz w:val="24"/>
          <w:szCs w:val="24"/>
        </w:rPr>
        <w:t>Instructed by:</w:t>
      </w:r>
      <w:r w:rsidR="000E0CDB" w:rsidRPr="00B056BB">
        <w:rPr>
          <w:rFonts w:ascii="Arial" w:hAnsi="Arial" w:cs="Arial"/>
          <w:color w:val="000000" w:themeColor="text1"/>
          <w:sz w:val="24"/>
          <w:szCs w:val="24"/>
        </w:rPr>
        <w:tab/>
      </w:r>
      <w:r w:rsidR="000E0CDB" w:rsidRPr="00B056BB">
        <w:rPr>
          <w:rFonts w:ascii="Arial" w:hAnsi="Arial" w:cs="Arial"/>
          <w:color w:val="000000" w:themeColor="text1"/>
          <w:sz w:val="24"/>
          <w:szCs w:val="24"/>
        </w:rPr>
        <w:tab/>
      </w:r>
      <w:r w:rsidR="000E0CDB" w:rsidRPr="00B056BB">
        <w:rPr>
          <w:rFonts w:ascii="Arial" w:hAnsi="Arial" w:cs="Arial"/>
          <w:color w:val="000000" w:themeColor="text1"/>
          <w:sz w:val="24"/>
          <w:szCs w:val="24"/>
        </w:rPr>
        <w:tab/>
      </w:r>
      <w:r w:rsidR="000E0CDB" w:rsidRPr="00B056BB">
        <w:rPr>
          <w:rFonts w:ascii="Arial" w:hAnsi="Arial" w:cs="Arial"/>
          <w:color w:val="000000" w:themeColor="text1"/>
          <w:sz w:val="24"/>
          <w:szCs w:val="24"/>
        </w:rPr>
        <w:tab/>
      </w:r>
      <w:r w:rsidR="000E0CDB" w:rsidRPr="00B056BB">
        <w:rPr>
          <w:rFonts w:ascii="Arial" w:hAnsi="Arial" w:cs="Arial"/>
          <w:color w:val="000000" w:themeColor="text1"/>
          <w:sz w:val="24"/>
          <w:szCs w:val="24"/>
        </w:rPr>
        <w:tab/>
      </w:r>
      <w:proofErr w:type="spellStart"/>
      <w:r w:rsidR="00082869">
        <w:rPr>
          <w:rFonts w:ascii="Arial" w:hAnsi="Arial" w:cs="Arial"/>
          <w:color w:val="000000" w:themeColor="text1"/>
          <w:sz w:val="24"/>
          <w:szCs w:val="24"/>
        </w:rPr>
        <w:t>Vardakos</w:t>
      </w:r>
      <w:proofErr w:type="spellEnd"/>
      <w:r w:rsidR="00082869">
        <w:rPr>
          <w:rFonts w:ascii="Arial" w:hAnsi="Arial" w:cs="Arial"/>
          <w:color w:val="000000" w:themeColor="text1"/>
          <w:sz w:val="24"/>
          <w:szCs w:val="24"/>
        </w:rPr>
        <w:t xml:space="preserve"> </w:t>
      </w:r>
      <w:r w:rsidR="00FC18F7" w:rsidRPr="00B056BB">
        <w:rPr>
          <w:rFonts w:ascii="Arial" w:hAnsi="Arial" w:cs="Arial"/>
          <w:color w:val="000000" w:themeColor="text1"/>
          <w:sz w:val="24"/>
          <w:szCs w:val="24"/>
        </w:rPr>
        <w:t>Attorneys</w:t>
      </w:r>
    </w:p>
    <w:p w14:paraId="5BFF5DA7" w14:textId="77777777" w:rsidR="00082869" w:rsidRDefault="00082869" w:rsidP="00150D63">
      <w:pPr>
        <w:tabs>
          <w:tab w:val="left" w:pos="1701"/>
        </w:tabs>
        <w:spacing w:after="0"/>
        <w:ind w:left="851" w:hanging="851"/>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VEREENIGING</w:t>
      </w:r>
    </w:p>
    <w:p w14:paraId="6EB8BC76" w14:textId="77777777" w:rsidR="00082869" w:rsidRPr="00B056BB" w:rsidRDefault="00082869" w:rsidP="00150D63">
      <w:pPr>
        <w:tabs>
          <w:tab w:val="left" w:pos="1701"/>
        </w:tabs>
        <w:spacing w:after="0"/>
        <w:ind w:left="851" w:hanging="851"/>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 xml:space="preserve">C/O McIntyre Van </w:t>
      </w:r>
      <w:proofErr w:type="gramStart"/>
      <w:r>
        <w:rPr>
          <w:rFonts w:ascii="Arial" w:hAnsi="Arial" w:cs="Arial"/>
          <w:color w:val="000000" w:themeColor="text1"/>
          <w:sz w:val="24"/>
          <w:szCs w:val="24"/>
        </w:rPr>
        <w:t>Der</w:t>
      </w:r>
      <w:proofErr w:type="gramEnd"/>
      <w:r>
        <w:rPr>
          <w:rFonts w:ascii="Arial" w:hAnsi="Arial" w:cs="Arial"/>
          <w:color w:val="000000" w:themeColor="text1"/>
          <w:sz w:val="24"/>
          <w:szCs w:val="24"/>
        </w:rPr>
        <w:t xml:space="preserve"> Post</w:t>
      </w:r>
    </w:p>
    <w:p w14:paraId="4022F12E" w14:textId="77777777" w:rsidR="00F21218" w:rsidRPr="00B056BB" w:rsidRDefault="000A0898" w:rsidP="001E5942">
      <w:pPr>
        <w:tabs>
          <w:tab w:val="left" w:pos="1701"/>
        </w:tabs>
        <w:ind w:left="851" w:hanging="851"/>
        <w:jc w:val="both"/>
        <w:rPr>
          <w:rFonts w:ascii="Arial" w:hAnsi="Arial" w:cs="Arial"/>
          <w:color w:val="000000" w:themeColor="text1"/>
          <w:sz w:val="24"/>
          <w:szCs w:val="24"/>
        </w:rPr>
      </w:pPr>
      <w:r w:rsidRPr="00B056BB">
        <w:rPr>
          <w:rFonts w:ascii="Arial" w:hAnsi="Arial" w:cs="Arial"/>
          <w:color w:val="000000" w:themeColor="text1"/>
          <w:sz w:val="24"/>
          <w:szCs w:val="24"/>
        </w:rPr>
        <w:tab/>
      </w:r>
      <w:r w:rsidRPr="00B056BB">
        <w:rPr>
          <w:rFonts w:ascii="Arial" w:hAnsi="Arial" w:cs="Arial"/>
          <w:color w:val="000000" w:themeColor="text1"/>
          <w:sz w:val="24"/>
          <w:szCs w:val="24"/>
        </w:rPr>
        <w:tab/>
      </w:r>
      <w:r w:rsidRPr="00B056BB">
        <w:rPr>
          <w:rFonts w:ascii="Arial" w:hAnsi="Arial" w:cs="Arial"/>
          <w:color w:val="000000" w:themeColor="text1"/>
          <w:sz w:val="24"/>
          <w:szCs w:val="24"/>
        </w:rPr>
        <w:tab/>
      </w:r>
      <w:r w:rsidRPr="00B056BB">
        <w:rPr>
          <w:rFonts w:ascii="Arial" w:hAnsi="Arial" w:cs="Arial"/>
          <w:color w:val="000000" w:themeColor="text1"/>
          <w:sz w:val="24"/>
          <w:szCs w:val="24"/>
        </w:rPr>
        <w:tab/>
      </w:r>
      <w:r w:rsidRPr="00B056BB">
        <w:rPr>
          <w:rFonts w:ascii="Arial" w:hAnsi="Arial" w:cs="Arial"/>
          <w:color w:val="000000" w:themeColor="text1"/>
          <w:sz w:val="24"/>
          <w:szCs w:val="24"/>
        </w:rPr>
        <w:tab/>
      </w:r>
      <w:r w:rsidRPr="00B056BB">
        <w:rPr>
          <w:rFonts w:ascii="Arial" w:hAnsi="Arial" w:cs="Arial"/>
          <w:color w:val="000000" w:themeColor="text1"/>
          <w:sz w:val="24"/>
          <w:szCs w:val="24"/>
        </w:rPr>
        <w:tab/>
      </w:r>
      <w:r w:rsidR="004D253C">
        <w:rPr>
          <w:rFonts w:ascii="Arial" w:hAnsi="Arial" w:cs="Arial"/>
          <w:color w:val="000000" w:themeColor="text1"/>
          <w:sz w:val="24"/>
          <w:szCs w:val="24"/>
        </w:rPr>
        <w:t>BLOEMFONTEIN</w:t>
      </w:r>
    </w:p>
    <w:p w14:paraId="178B445C" w14:textId="77777777" w:rsidR="00F21218" w:rsidRPr="00B056BB" w:rsidRDefault="00F21218" w:rsidP="001E5942">
      <w:pPr>
        <w:tabs>
          <w:tab w:val="left" w:pos="1701"/>
        </w:tabs>
        <w:ind w:left="851" w:hanging="851"/>
        <w:jc w:val="both"/>
        <w:rPr>
          <w:rFonts w:ascii="Arial" w:hAnsi="Arial" w:cs="Arial"/>
          <w:color w:val="000000" w:themeColor="text1"/>
          <w:sz w:val="24"/>
          <w:szCs w:val="24"/>
        </w:rPr>
      </w:pPr>
    </w:p>
    <w:p w14:paraId="54CA3E4F" w14:textId="77777777" w:rsidR="00F21218" w:rsidRPr="00B056BB" w:rsidRDefault="00F21218" w:rsidP="001E5942">
      <w:pPr>
        <w:tabs>
          <w:tab w:val="left" w:pos="1701"/>
        </w:tabs>
        <w:ind w:left="851" w:hanging="851"/>
        <w:jc w:val="both"/>
        <w:rPr>
          <w:rFonts w:ascii="Arial" w:hAnsi="Arial" w:cs="Arial"/>
          <w:color w:val="000000" w:themeColor="text1"/>
          <w:sz w:val="24"/>
          <w:szCs w:val="24"/>
        </w:rPr>
      </w:pPr>
    </w:p>
    <w:p w14:paraId="6DC54213" w14:textId="77777777" w:rsidR="001E5942" w:rsidRPr="00B056BB" w:rsidRDefault="001E5942" w:rsidP="00150D63">
      <w:pPr>
        <w:tabs>
          <w:tab w:val="left" w:pos="1701"/>
        </w:tabs>
        <w:spacing w:after="0"/>
        <w:ind w:left="851" w:hanging="851"/>
        <w:jc w:val="both"/>
        <w:rPr>
          <w:rFonts w:ascii="Arial" w:hAnsi="Arial" w:cs="Arial"/>
          <w:color w:val="000000" w:themeColor="text1"/>
          <w:sz w:val="24"/>
          <w:szCs w:val="24"/>
        </w:rPr>
      </w:pPr>
      <w:r w:rsidRPr="00B056BB">
        <w:rPr>
          <w:rFonts w:ascii="Arial" w:hAnsi="Arial" w:cs="Arial"/>
          <w:color w:val="000000" w:themeColor="text1"/>
          <w:sz w:val="24"/>
          <w:szCs w:val="24"/>
        </w:rPr>
        <w:t>On behalf of</w:t>
      </w:r>
      <w:r w:rsidR="00A41810" w:rsidRPr="00B056BB">
        <w:rPr>
          <w:rFonts w:ascii="Arial" w:hAnsi="Arial" w:cs="Arial"/>
          <w:color w:val="000000" w:themeColor="text1"/>
          <w:sz w:val="24"/>
          <w:szCs w:val="24"/>
        </w:rPr>
        <w:t xml:space="preserve"> the</w:t>
      </w:r>
      <w:r w:rsidRPr="00B056BB">
        <w:rPr>
          <w:rFonts w:ascii="Arial" w:hAnsi="Arial" w:cs="Arial"/>
          <w:color w:val="000000" w:themeColor="text1"/>
          <w:sz w:val="24"/>
          <w:szCs w:val="24"/>
        </w:rPr>
        <w:t xml:space="preserve"> </w:t>
      </w:r>
      <w:r w:rsidR="00286892">
        <w:rPr>
          <w:rFonts w:ascii="Arial" w:hAnsi="Arial" w:cs="Arial"/>
          <w:color w:val="000000" w:themeColor="text1"/>
          <w:sz w:val="24"/>
          <w:szCs w:val="24"/>
        </w:rPr>
        <w:t>1</w:t>
      </w:r>
      <w:r w:rsidR="00286892" w:rsidRPr="00286892">
        <w:rPr>
          <w:rFonts w:ascii="Arial" w:hAnsi="Arial" w:cs="Arial"/>
          <w:color w:val="000000" w:themeColor="text1"/>
          <w:sz w:val="24"/>
          <w:szCs w:val="24"/>
          <w:vertAlign w:val="superscript"/>
        </w:rPr>
        <w:t>st</w:t>
      </w:r>
      <w:r w:rsidR="00286892">
        <w:rPr>
          <w:rFonts w:ascii="Arial" w:hAnsi="Arial" w:cs="Arial"/>
          <w:color w:val="000000" w:themeColor="text1"/>
          <w:sz w:val="24"/>
          <w:szCs w:val="24"/>
        </w:rPr>
        <w:t xml:space="preserve"> &amp; 2</w:t>
      </w:r>
      <w:r w:rsidR="00286892" w:rsidRPr="00286892">
        <w:rPr>
          <w:rFonts w:ascii="Arial" w:hAnsi="Arial" w:cs="Arial"/>
          <w:color w:val="000000" w:themeColor="text1"/>
          <w:sz w:val="24"/>
          <w:szCs w:val="24"/>
          <w:vertAlign w:val="superscript"/>
        </w:rPr>
        <w:t>nd</w:t>
      </w:r>
      <w:r w:rsidR="00286892">
        <w:rPr>
          <w:rFonts w:ascii="Arial" w:hAnsi="Arial" w:cs="Arial"/>
          <w:color w:val="000000" w:themeColor="text1"/>
          <w:sz w:val="24"/>
          <w:szCs w:val="24"/>
        </w:rPr>
        <w:t xml:space="preserve"> </w:t>
      </w:r>
      <w:r w:rsidR="003F5658" w:rsidRPr="00B056BB">
        <w:rPr>
          <w:rFonts w:ascii="Arial" w:hAnsi="Arial" w:cs="Arial"/>
          <w:color w:val="000000" w:themeColor="text1"/>
          <w:sz w:val="24"/>
          <w:szCs w:val="24"/>
        </w:rPr>
        <w:t>respondent</w:t>
      </w:r>
      <w:r w:rsidR="00286892">
        <w:rPr>
          <w:rFonts w:ascii="Arial" w:hAnsi="Arial" w:cs="Arial"/>
          <w:color w:val="000000" w:themeColor="text1"/>
          <w:sz w:val="24"/>
          <w:szCs w:val="24"/>
        </w:rPr>
        <w:t>s</w:t>
      </w:r>
      <w:r w:rsidRPr="00B056BB">
        <w:rPr>
          <w:rFonts w:ascii="Arial" w:hAnsi="Arial" w:cs="Arial"/>
          <w:color w:val="000000" w:themeColor="text1"/>
          <w:sz w:val="24"/>
          <w:szCs w:val="24"/>
        </w:rPr>
        <w:t>:</w:t>
      </w:r>
      <w:r w:rsidR="00150D63" w:rsidRPr="00B056BB">
        <w:rPr>
          <w:rFonts w:ascii="Arial" w:hAnsi="Arial" w:cs="Arial"/>
          <w:color w:val="000000" w:themeColor="text1"/>
          <w:sz w:val="24"/>
          <w:szCs w:val="24"/>
        </w:rPr>
        <w:tab/>
      </w:r>
      <w:r w:rsidRPr="00B056BB">
        <w:rPr>
          <w:rFonts w:ascii="Arial" w:hAnsi="Arial" w:cs="Arial"/>
          <w:color w:val="000000" w:themeColor="text1"/>
          <w:sz w:val="24"/>
          <w:szCs w:val="24"/>
        </w:rPr>
        <w:t>Adv.</w:t>
      </w:r>
      <w:r w:rsidR="00082869">
        <w:rPr>
          <w:rFonts w:ascii="Arial" w:hAnsi="Arial" w:cs="Arial"/>
          <w:color w:val="000000" w:themeColor="text1"/>
          <w:sz w:val="24"/>
          <w:szCs w:val="24"/>
        </w:rPr>
        <w:t xml:space="preserve"> T. </w:t>
      </w:r>
      <w:proofErr w:type="spellStart"/>
      <w:r w:rsidR="00082869">
        <w:rPr>
          <w:rFonts w:ascii="Arial" w:hAnsi="Arial" w:cs="Arial"/>
          <w:color w:val="000000" w:themeColor="text1"/>
          <w:sz w:val="24"/>
          <w:szCs w:val="24"/>
        </w:rPr>
        <w:t>Ngubeni</w:t>
      </w:r>
      <w:proofErr w:type="spellEnd"/>
    </w:p>
    <w:p w14:paraId="4384C9E3" w14:textId="4CEDBEEE" w:rsidR="004D253C" w:rsidRDefault="001E5942" w:rsidP="004D253C">
      <w:pPr>
        <w:tabs>
          <w:tab w:val="left" w:pos="1701"/>
        </w:tabs>
        <w:spacing w:after="0"/>
        <w:ind w:left="851" w:hanging="851"/>
        <w:jc w:val="both"/>
        <w:rPr>
          <w:rFonts w:ascii="Arial" w:hAnsi="Arial" w:cs="Arial"/>
          <w:color w:val="000000" w:themeColor="text1"/>
          <w:sz w:val="24"/>
          <w:szCs w:val="24"/>
        </w:rPr>
      </w:pPr>
      <w:r w:rsidRPr="00B056BB">
        <w:rPr>
          <w:rFonts w:ascii="Arial" w:hAnsi="Arial" w:cs="Arial"/>
          <w:color w:val="000000" w:themeColor="text1"/>
          <w:sz w:val="24"/>
          <w:szCs w:val="24"/>
        </w:rPr>
        <w:t>Instructed by:</w:t>
      </w:r>
      <w:r w:rsidRPr="00B056BB">
        <w:rPr>
          <w:rFonts w:ascii="Arial" w:hAnsi="Arial" w:cs="Arial"/>
          <w:color w:val="000000" w:themeColor="text1"/>
          <w:sz w:val="24"/>
          <w:szCs w:val="24"/>
        </w:rPr>
        <w:tab/>
      </w:r>
      <w:r w:rsidRPr="00B056BB">
        <w:rPr>
          <w:rFonts w:ascii="Arial" w:hAnsi="Arial" w:cs="Arial"/>
          <w:color w:val="000000" w:themeColor="text1"/>
          <w:sz w:val="24"/>
          <w:szCs w:val="24"/>
        </w:rPr>
        <w:tab/>
      </w:r>
      <w:r w:rsidRPr="00B056BB">
        <w:rPr>
          <w:rFonts w:ascii="Arial" w:hAnsi="Arial" w:cs="Arial"/>
          <w:color w:val="000000" w:themeColor="text1"/>
          <w:sz w:val="24"/>
          <w:szCs w:val="24"/>
        </w:rPr>
        <w:tab/>
      </w:r>
      <w:r w:rsidRPr="00B056BB">
        <w:rPr>
          <w:rFonts w:ascii="Arial" w:hAnsi="Arial" w:cs="Arial"/>
          <w:color w:val="000000" w:themeColor="text1"/>
          <w:sz w:val="24"/>
          <w:szCs w:val="24"/>
        </w:rPr>
        <w:tab/>
      </w:r>
      <w:r w:rsidRPr="00B056BB">
        <w:rPr>
          <w:rFonts w:ascii="Arial" w:hAnsi="Arial" w:cs="Arial"/>
          <w:color w:val="000000" w:themeColor="text1"/>
          <w:sz w:val="24"/>
          <w:szCs w:val="24"/>
        </w:rPr>
        <w:tab/>
      </w:r>
      <w:r w:rsidR="00082869">
        <w:rPr>
          <w:rFonts w:ascii="Arial" w:hAnsi="Arial" w:cs="Arial"/>
          <w:color w:val="000000" w:themeColor="text1"/>
          <w:sz w:val="24"/>
          <w:szCs w:val="24"/>
        </w:rPr>
        <w:t>State</w:t>
      </w:r>
      <w:r w:rsidR="004D253C">
        <w:rPr>
          <w:rFonts w:ascii="Arial" w:hAnsi="Arial" w:cs="Arial"/>
          <w:color w:val="000000" w:themeColor="text1"/>
          <w:sz w:val="24"/>
          <w:szCs w:val="24"/>
        </w:rPr>
        <w:t xml:space="preserve"> Attorney</w:t>
      </w:r>
    </w:p>
    <w:p w14:paraId="5841F463" w14:textId="77777777" w:rsidR="004D253C" w:rsidRPr="00B056BB" w:rsidRDefault="004D253C" w:rsidP="004D253C">
      <w:pPr>
        <w:tabs>
          <w:tab w:val="left" w:pos="1701"/>
        </w:tabs>
        <w:spacing w:after="0"/>
        <w:ind w:left="851" w:hanging="851"/>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BLOEMFONTEIN</w:t>
      </w:r>
    </w:p>
    <w:p w14:paraId="75495B85" w14:textId="77777777" w:rsidR="00592CD4" w:rsidRPr="00B056BB" w:rsidRDefault="00592CD4" w:rsidP="00390AB8">
      <w:pPr>
        <w:tabs>
          <w:tab w:val="left" w:pos="1701"/>
        </w:tabs>
        <w:ind w:left="851" w:hanging="851"/>
        <w:jc w:val="both"/>
        <w:rPr>
          <w:rFonts w:ascii="Arial" w:hAnsi="Arial" w:cs="Arial"/>
          <w:color w:val="000000" w:themeColor="text1"/>
          <w:sz w:val="24"/>
          <w:szCs w:val="24"/>
        </w:rPr>
      </w:pPr>
    </w:p>
    <w:p w14:paraId="1A48EA31" w14:textId="77777777" w:rsidR="000200F9" w:rsidRPr="00B056BB" w:rsidRDefault="004D253C" w:rsidP="00945D21">
      <w:pPr>
        <w:tabs>
          <w:tab w:val="left" w:pos="1701"/>
        </w:tabs>
        <w:spacing w:after="0"/>
        <w:ind w:left="851" w:hanging="851"/>
        <w:jc w:val="both"/>
        <w:rPr>
          <w:rFonts w:ascii="Arial" w:hAnsi="Arial" w:cs="Arial"/>
          <w:color w:val="000000" w:themeColor="text1"/>
          <w:sz w:val="28"/>
          <w:szCs w:val="28"/>
        </w:rPr>
      </w:pPr>
      <w:r>
        <w:rPr>
          <w:rFonts w:ascii="Arial" w:hAnsi="Arial" w:cs="Arial"/>
          <w:color w:val="000000" w:themeColor="text1"/>
          <w:sz w:val="24"/>
          <w:szCs w:val="24"/>
        </w:rPr>
        <w:t>On behalf of the 3</w:t>
      </w:r>
      <w:r w:rsidRPr="004D253C">
        <w:rPr>
          <w:rFonts w:ascii="Arial" w:hAnsi="Arial" w:cs="Arial"/>
          <w:color w:val="000000" w:themeColor="text1"/>
          <w:sz w:val="24"/>
          <w:szCs w:val="24"/>
          <w:vertAlign w:val="superscript"/>
        </w:rPr>
        <w:t>rd</w:t>
      </w:r>
      <w:r>
        <w:rPr>
          <w:rFonts w:ascii="Arial" w:hAnsi="Arial" w:cs="Arial"/>
          <w:color w:val="000000" w:themeColor="text1"/>
          <w:sz w:val="24"/>
          <w:szCs w:val="24"/>
        </w:rPr>
        <w:t xml:space="preserve"> respondent</w:t>
      </w:r>
      <w:r w:rsidR="000200F9" w:rsidRPr="00B056BB">
        <w:rPr>
          <w:rFonts w:ascii="Arial" w:hAnsi="Arial" w:cs="Arial"/>
          <w:color w:val="000000" w:themeColor="text1"/>
          <w:sz w:val="24"/>
          <w:szCs w:val="24"/>
        </w:rPr>
        <w:t>:</w:t>
      </w:r>
      <w:r w:rsidR="00945D21" w:rsidRPr="00B056BB">
        <w:rPr>
          <w:rFonts w:ascii="Arial" w:hAnsi="Arial" w:cs="Arial"/>
          <w:color w:val="000000" w:themeColor="text1"/>
          <w:sz w:val="24"/>
          <w:szCs w:val="24"/>
        </w:rPr>
        <w:tab/>
      </w:r>
      <w:r w:rsidR="00945D21" w:rsidRPr="00B056BB">
        <w:rPr>
          <w:rFonts w:ascii="Arial" w:hAnsi="Arial" w:cs="Arial"/>
          <w:color w:val="000000" w:themeColor="text1"/>
          <w:sz w:val="24"/>
          <w:szCs w:val="24"/>
        </w:rPr>
        <w:tab/>
      </w:r>
      <w:r w:rsidR="000200F9" w:rsidRPr="00B056BB">
        <w:rPr>
          <w:rFonts w:ascii="Arial" w:hAnsi="Arial" w:cs="Arial"/>
          <w:color w:val="000000" w:themeColor="text1"/>
          <w:sz w:val="24"/>
          <w:szCs w:val="24"/>
        </w:rPr>
        <w:t>No appearance</w:t>
      </w:r>
    </w:p>
    <w:p w14:paraId="7A4D0A6D" w14:textId="77777777" w:rsidR="00E9215A" w:rsidRPr="00B056BB" w:rsidRDefault="00E9215A" w:rsidP="00390AB8">
      <w:pPr>
        <w:tabs>
          <w:tab w:val="left" w:pos="1701"/>
        </w:tabs>
        <w:ind w:left="851" w:hanging="851"/>
        <w:jc w:val="both"/>
        <w:rPr>
          <w:rFonts w:ascii="Arial" w:hAnsi="Arial" w:cs="Arial"/>
          <w:color w:val="000000" w:themeColor="text1"/>
          <w:sz w:val="28"/>
          <w:szCs w:val="28"/>
        </w:rPr>
      </w:pPr>
    </w:p>
    <w:p w14:paraId="7895F360" w14:textId="77777777" w:rsidR="00FC18F7" w:rsidRPr="00B056BB" w:rsidRDefault="00FC18F7" w:rsidP="004D253C">
      <w:pPr>
        <w:spacing w:after="0" w:line="360" w:lineRule="auto"/>
        <w:jc w:val="both"/>
        <w:rPr>
          <w:rFonts w:ascii="Arial" w:hAnsi="Arial" w:cs="Arial"/>
          <w:color w:val="000000" w:themeColor="text1"/>
          <w:sz w:val="28"/>
          <w:szCs w:val="28"/>
        </w:rPr>
      </w:pPr>
    </w:p>
    <w:sectPr w:rsidR="00FC18F7" w:rsidRPr="00B056BB" w:rsidSect="0042488A">
      <w:headerReference w:type="even" r:id="rId10"/>
      <w:headerReference w:type="default" r:id="rId11"/>
      <w:headerReference w:type="first" r:id="rId12"/>
      <w:pgSz w:w="11906" w:h="16838"/>
      <w:pgMar w:top="709" w:right="1274"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69610" w14:textId="77777777" w:rsidR="003D2313" w:rsidRDefault="003D2313" w:rsidP="001D52C9">
      <w:pPr>
        <w:spacing w:after="0" w:line="240" w:lineRule="auto"/>
      </w:pPr>
      <w:r>
        <w:separator/>
      </w:r>
    </w:p>
  </w:endnote>
  <w:endnote w:type="continuationSeparator" w:id="0">
    <w:p w14:paraId="29EE6894" w14:textId="77777777" w:rsidR="003D2313" w:rsidRDefault="003D2313" w:rsidP="001D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3BA67" w14:textId="77777777" w:rsidR="003D2313" w:rsidRDefault="003D2313" w:rsidP="001D52C9">
      <w:pPr>
        <w:spacing w:after="0" w:line="240" w:lineRule="auto"/>
      </w:pPr>
      <w:r>
        <w:separator/>
      </w:r>
    </w:p>
  </w:footnote>
  <w:footnote w:type="continuationSeparator" w:id="0">
    <w:p w14:paraId="00B4C31A" w14:textId="77777777" w:rsidR="003D2313" w:rsidRDefault="003D2313" w:rsidP="001D52C9">
      <w:pPr>
        <w:spacing w:after="0" w:line="240" w:lineRule="auto"/>
      </w:pPr>
      <w:r>
        <w:continuationSeparator/>
      </w:r>
    </w:p>
  </w:footnote>
  <w:footnote w:id="1">
    <w:p w14:paraId="70B83F68" w14:textId="77777777" w:rsidR="003D2313" w:rsidRPr="00164992" w:rsidRDefault="003D2313">
      <w:pPr>
        <w:pStyle w:val="FootnoteText"/>
        <w:rPr>
          <w:rFonts w:ascii="Arial" w:hAnsi="Arial" w:cs="Arial"/>
        </w:rPr>
      </w:pPr>
      <w:r>
        <w:rPr>
          <w:rStyle w:val="FootnoteReference"/>
        </w:rPr>
        <w:footnoteRef/>
      </w:r>
      <w:r>
        <w:t xml:space="preserve"> </w:t>
      </w:r>
      <w:r w:rsidRPr="00164992">
        <w:rPr>
          <w:rFonts w:ascii="Arial" w:hAnsi="Arial" w:cs="Arial"/>
        </w:rPr>
        <w:t>2012 (6) SA 67 (SCA).</w:t>
      </w:r>
    </w:p>
  </w:footnote>
  <w:footnote w:id="2">
    <w:p w14:paraId="67656979" w14:textId="77777777" w:rsidR="003D2313" w:rsidRPr="00D47B21" w:rsidRDefault="003D2313">
      <w:pPr>
        <w:pStyle w:val="FootnoteText"/>
        <w:rPr>
          <w:rFonts w:ascii="Arial" w:hAnsi="Arial" w:cs="Arial"/>
        </w:rPr>
      </w:pPr>
      <w:r w:rsidRPr="00164992">
        <w:rPr>
          <w:rStyle w:val="FootnoteReference"/>
          <w:rFonts w:ascii="Arial" w:hAnsi="Arial" w:cs="Arial"/>
        </w:rPr>
        <w:footnoteRef/>
      </w:r>
      <w:r w:rsidRPr="00164992">
        <w:rPr>
          <w:rFonts w:ascii="Arial" w:hAnsi="Arial" w:cs="Arial"/>
        </w:rPr>
        <w:t xml:space="preserve"> 2014 (5) SA 112 (CC).</w:t>
      </w:r>
    </w:p>
  </w:footnote>
  <w:footnote w:id="3">
    <w:p w14:paraId="388C27FD" w14:textId="77777777" w:rsidR="003D2313" w:rsidRPr="00246A14" w:rsidRDefault="003D2313">
      <w:pPr>
        <w:pStyle w:val="FootnoteText"/>
        <w:rPr>
          <w:rFonts w:ascii="Arial" w:hAnsi="Arial" w:cs="Arial"/>
        </w:rPr>
      </w:pPr>
      <w:r>
        <w:rPr>
          <w:rStyle w:val="FootnoteReference"/>
        </w:rPr>
        <w:footnoteRef/>
      </w:r>
      <w:r>
        <w:t xml:space="preserve"> </w:t>
      </w:r>
      <w:r>
        <w:rPr>
          <w:rFonts w:ascii="Arial" w:hAnsi="Arial" w:cs="Arial"/>
        </w:rPr>
        <w:t>2011 (5) SA 61 (CC).</w:t>
      </w:r>
    </w:p>
  </w:footnote>
  <w:footnote w:id="4">
    <w:p w14:paraId="73E6F75D" w14:textId="77777777" w:rsidR="003D2313" w:rsidRPr="00164992" w:rsidRDefault="003D2313">
      <w:pPr>
        <w:pStyle w:val="FootnoteText"/>
        <w:rPr>
          <w:rFonts w:ascii="Arial" w:hAnsi="Arial" w:cs="Arial"/>
          <w:lang w:val="en-US"/>
        </w:rPr>
      </w:pPr>
      <w:r w:rsidRPr="00164992">
        <w:rPr>
          <w:rStyle w:val="FootnoteReference"/>
          <w:rFonts w:ascii="Arial" w:hAnsi="Arial" w:cs="Arial"/>
        </w:rPr>
        <w:footnoteRef/>
      </w:r>
      <w:r w:rsidRPr="00164992">
        <w:rPr>
          <w:rFonts w:ascii="Arial" w:hAnsi="Arial" w:cs="Arial"/>
        </w:rPr>
        <w:t xml:space="preserve"> </w:t>
      </w:r>
      <w:r w:rsidRPr="00164992">
        <w:rPr>
          <w:rFonts w:ascii="Arial" w:hAnsi="Arial" w:cs="Arial"/>
          <w:lang w:val="en-US"/>
        </w:rPr>
        <w:t>2016 (1) SACR 384 (SCA).</w:t>
      </w:r>
    </w:p>
  </w:footnote>
  <w:footnote w:id="5">
    <w:p w14:paraId="7EAC9E8C" w14:textId="000F11F1" w:rsidR="003D2313" w:rsidRPr="005D31B1" w:rsidRDefault="003D2313">
      <w:pPr>
        <w:pStyle w:val="FootnoteText"/>
        <w:rPr>
          <w:rFonts w:ascii="Arial" w:hAnsi="Arial" w:cs="Arial"/>
        </w:rPr>
      </w:pPr>
      <w:r w:rsidRPr="00164992">
        <w:rPr>
          <w:rStyle w:val="FootnoteReference"/>
          <w:rFonts w:ascii="Arial" w:hAnsi="Arial" w:cs="Arial"/>
        </w:rPr>
        <w:footnoteRef/>
      </w:r>
      <w:r w:rsidRPr="00164992">
        <w:rPr>
          <w:rFonts w:ascii="Arial" w:hAnsi="Arial" w:cs="Arial"/>
        </w:rPr>
        <w:t xml:space="preserve"> Paragraph 29.</w:t>
      </w:r>
    </w:p>
  </w:footnote>
  <w:footnote w:id="6">
    <w:p w14:paraId="3F4B5320" w14:textId="2260121C" w:rsidR="003D2313" w:rsidRPr="00234C38" w:rsidRDefault="003D2313" w:rsidP="00234C38">
      <w:pPr>
        <w:pStyle w:val="Heading2"/>
        <w:shd w:val="clear" w:color="auto" w:fill="FFFFFF"/>
        <w:spacing w:before="0" w:beforeAutospacing="0" w:after="0" w:afterAutospacing="0" w:line="288" w:lineRule="atLeast"/>
        <w:rPr>
          <w:rFonts w:ascii="Arial" w:hAnsi="Arial" w:cs="Arial"/>
        </w:rPr>
      </w:pPr>
      <w:r w:rsidRPr="00234C38">
        <w:rPr>
          <w:rStyle w:val="FootnoteReference"/>
          <w:rFonts w:ascii="Arial" w:hAnsi="Arial" w:cs="Arial"/>
          <w:sz w:val="20"/>
          <w:szCs w:val="20"/>
        </w:rPr>
        <w:footnoteRef/>
      </w:r>
      <w:r w:rsidRPr="00234C38">
        <w:rPr>
          <w:rFonts w:ascii="Arial" w:hAnsi="Arial" w:cs="Arial"/>
        </w:rPr>
        <w:t xml:space="preserve"> </w:t>
      </w:r>
      <w:r w:rsidRPr="00F41D8E">
        <w:rPr>
          <w:rFonts w:ascii="Arial" w:hAnsi="Arial" w:cs="Arial"/>
          <w:b w:val="0"/>
          <w:bCs w:val="0"/>
          <w:sz w:val="20"/>
          <w:szCs w:val="20"/>
          <w:lang w:val="en-US" w:eastAsia="en-US"/>
        </w:rPr>
        <w:t>2005 (5) SA 62 (SCA); [2005] 1 All SA 149 (SCA).</w:t>
      </w:r>
    </w:p>
  </w:footnote>
  <w:footnote w:id="7">
    <w:p w14:paraId="47C0CC9D" w14:textId="5AA3909D" w:rsidR="003D2313" w:rsidRPr="00234C38" w:rsidRDefault="003D2313">
      <w:pPr>
        <w:pStyle w:val="FootnoteText"/>
        <w:rPr>
          <w:rFonts w:ascii="Arial" w:hAnsi="Arial" w:cs="Arial"/>
        </w:rPr>
      </w:pPr>
      <w:r w:rsidRPr="00234C38">
        <w:rPr>
          <w:rStyle w:val="FootnoteReference"/>
          <w:rFonts w:ascii="Arial" w:hAnsi="Arial" w:cs="Arial"/>
        </w:rPr>
        <w:footnoteRef/>
      </w:r>
      <w:r w:rsidRPr="00234C38">
        <w:rPr>
          <w:rFonts w:ascii="Arial" w:hAnsi="Arial" w:cs="Arial"/>
        </w:rPr>
        <w:t xml:space="preserve"> </w:t>
      </w:r>
      <w:r>
        <w:rPr>
          <w:rFonts w:ascii="Arial" w:hAnsi="Arial" w:cs="Arial"/>
        </w:rPr>
        <w:t xml:space="preserve">Supra </w:t>
      </w:r>
      <w:r w:rsidRPr="00234C38">
        <w:rPr>
          <w:rFonts w:ascii="Arial" w:hAnsi="Arial" w:cs="Arial"/>
        </w:rPr>
        <w:t>at paragraph 36.</w:t>
      </w:r>
    </w:p>
  </w:footnote>
  <w:footnote w:id="8">
    <w:p w14:paraId="4A7682A5" w14:textId="77777777" w:rsidR="003D2313" w:rsidRPr="00164992" w:rsidRDefault="003D2313">
      <w:pPr>
        <w:pStyle w:val="FootnoteText"/>
        <w:rPr>
          <w:rFonts w:ascii="Arial" w:hAnsi="Arial" w:cs="Arial"/>
        </w:rPr>
      </w:pPr>
      <w:r>
        <w:rPr>
          <w:rStyle w:val="FootnoteReference"/>
        </w:rPr>
        <w:footnoteRef/>
      </w:r>
      <w:r>
        <w:t xml:space="preserve"> </w:t>
      </w:r>
      <w:r w:rsidRPr="00164992">
        <w:rPr>
          <w:rFonts w:ascii="Arial" w:hAnsi="Arial" w:cs="Arial"/>
        </w:rPr>
        <w:t>2021 (1) SACR 278 (WCC) (29 October 2020).</w:t>
      </w:r>
    </w:p>
  </w:footnote>
  <w:footnote w:id="9">
    <w:p w14:paraId="3F7EC517" w14:textId="77777777" w:rsidR="003D2313" w:rsidRPr="00B54946" w:rsidRDefault="003D2313">
      <w:pPr>
        <w:pStyle w:val="FootnoteText"/>
        <w:rPr>
          <w:rFonts w:ascii="Arial" w:hAnsi="Arial" w:cs="Arial"/>
        </w:rPr>
      </w:pPr>
      <w:r w:rsidRPr="00164992">
        <w:rPr>
          <w:rStyle w:val="FootnoteReference"/>
          <w:rFonts w:ascii="Arial" w:hAnsi="Arial" w:cs="Arial"/>
        </w:rPr>
        <w:footnoteRef/>
      </w:r>
      <w:r w:rsidRPr="00164992">
        <w:rPr>
          <w:rFonts w:ascii="Arial" w:hAnsi="Arial" w:cs="Arial"/>
        </w:rPr>
        <w:t xml:space="preserve"> 2016 (2) SA 451 (SCA).</w:t>
      </w:r>
    </w:p>
  </w:footnote>
  <w:footnote w:id="10">
    <w:p w14:paraId="46A0CB97" w14:textId="56E29884" w:rsidR="003D2313" w:rsidRDefault="003D2313">
      <w:pPr>
        <w:pStyle w:val="FootnoteText"/>
      </w:pPr>
      <w:r>
        <w:rPr>
          <w:rStyle w:val="FootnoteReference"/>
        </w:rPr>
        <w:footnoteRef/>
      </w:r>
      <w:r>
        <w:t xml:space="preserve">  </w:t>
      </w:r>
      <w:r w:rsidRPr="00164992">
        <w:rPr>
          <w:rFonts w:ascii="Arial" w:hAnsi="Arial" w:cs="Arial"/>
        </w:rPr>
        <w:t>At paragraph 29.</w:t>
      </w:r>
      <w:r>
        <w:t xml:space="preserve"> </w:t>
      </w:r>
    </w:p>
  </w:footnote>
  <w:footnote w:id="11">
    <w:p w14:paraId="21AF2910" w14:textId="77777777" w:rsidR="003D2313" w:rsidRPr="0026076A" w:rsidRDefault="003D2313">
      <w:pPr>
        <w:pStyle w:val="FootnoteText"/>
        <w:rPr>
          <w:rFonts w:ascii="Arial" w:hAnsi="Arial" w:cs="Arial"/>
        </w:rPr>
      </w:pPr>
      <w:r>
        <w:rPr>
          <w:rStyle w:val="FootnoteReference"/>
        </w:rPr>
        <w:footnoteRef/>
      </w:r>
      <w:r>
        <w:t xml:space="preserve"> </w:t>
      </w:r>
      <w:r>
        <w:rPr>
          <w:rFonts w:ascii="Arial" w:hAnsi="Arial" w:cs="Arial"/>
        </w:rPr>
        <w:t>2007 JDR 0185 (SCA).</w:t>
      </w:r>
    </w:p>
  </w:footnote>
  <w:footnote w:id="12">
    <w:p w14:paraId="06B05548" w14:textId="2FBD9133" w:rsidR="003D2313" w:rsidRPr="0027145E" w:rsidRDefault="003D2313">
      <w:pPr>
        <w:pStyle w:val="FootnoteText"/>
        <w:rPr>
          <w:lang w:val="en-GB"/>
        </w:rPr>
      </w:pPr>
      <w:r>
        <w:rPr>
          <w:rStyle w:val="FootnoteReference"/>
        </w:rPr>
        <w:footnoteRef/>
      </w:r>
      <w:r>
        <w:t xml:space="preserve"> </w:t>
      </w:r>
      <w:r w:rsidRPr="00164992">
        <w:rPr>
          <w:rFonts w:ascii="Arial" w:hAnsi="Arial" w:cs="Arial"/>
          <w:lang w:val="en-GB"/>
        </w:rPr>
        <w:t xml:space="preserve">Also reported as </w:t>
      </w:r>
      <w:r w:rsidRPr="00164992">
        <w:rPr>
          <w:rFonts w:ascii="Arial" w:hAnsi="Arial" w:cs="Arial"/>
        </w:rPr>
        <w:t>[2000] 4 All SA 597.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F3B4" w14:textId="6D32DFB2" w:rsidR="003D2313" w:rsidRDefault="003D231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5D276" w14:textId="37075842" w:rsidR="003D2313" w:rsidRDefault="003D2313">
    <w:pPr>
      <w:pStyle w:val="Header"/>
      <w:jc w:val="right"/>
    </w:pPr>
    <w:sdt>
      <w:sdtPr>
        <w:id w:val="1349217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332A3">
          <w:rPr>
            <w:noProof/>
          </w:rPr>
          <w:t>17</w:t>
        </w:r>
        <w:r>
          <w:rPr>
            <w:noProof/>
          </w:rPr>
          <w:fldChar w:fldCharType="end"/>
        </w:r>
      </w:sdtContent>
    </w:sdt>
  </w:p>
  <w:p w14:paraId="6C67AAFE" w14:textId="77777777" w:rsidR="003D2313" w:rsidRDefault="003D231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C63F0" w14:textId="0C13C32A" w:rsidR="003D2313" w:rsidRDefault="003D231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6A8"/>
    <w:multiLevelType w:val="hybridMultilevel"/>
    <w:tmpl w:val="A4388C62"/>
    <w:lvl w:ilvl="0" w:tplc="D2DA6C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EA0E8A"/>
    <w:multiLevelType w:val="hybridMultilevel"/>
    <w:tmpl w:val="4094DB38"/>
    <w:lvl w:ilvl="0" w:tplc="EC425DA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210D1702"/>
    <w:multiLevelType w:val="hybridMultilevel"/>
    <w:tmpl w:val="DCD0980A"/>
    <w:lvl w:ilvl="0" w:tplc="0409000F">
      <w:start w:val="1"/>
      <w:numFmt w:val="decimal"/>
      <w:lvlText w:val="%1."/>
      <w:lvlJc w:val="left"/>
      <w:pPr>
        <w:ind w:left="851" w:hanging="360"/>
      </w:pPr>
    </w:lvl>
    <w:lvl w:ilvl="1" w:tplc="04090019">
      <w:start w:val="1"/>
      <w:numFmt w:val="lowerLetter"/>
      <w:lvlText w:val="%2."/>
      <w:lvlJc w:val="left"/>
      <w:pPr>
        <w:ind w:left="1571" w:hanging="360"/>
      </w:pPr>
    </w:lvl>
    <w:lvl w:ilvl="2" w:tplc="0409001B">
      <w:start w:val="1"/>
      <w:numFmt w:val="lowerRoman"/>
      <w:lvlText w:val="%3."/>
      <w:lvlJc w:val="right"/>
      <w:pPr>
        <w:ind w:left="2291" w:hanging="180"/>
      </w:pPr>
    </w:lvl>
    <w:lvl w:ilvl="3" w:tplc="0409000F">
      <w:start w:val="1"/>
      <w:numFmt w:val="decimal"/>
      <w:lvlText w:val="%4."/>
      <w:lvlJc w:val="left"/>
      <w:pPr>
        <w:ind w:left="3011" w:hanging="360"/>
      </w:pPr>
    </w:lvl>
    <w:lvl w:ilvl="4" w:tplc="04090019">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3" w15:restartNumberingAfterBreak="0">
    <w:nsid w:val="2D7355B0"/>
    <w:multiLevelType w:val="hybridMultilevel"/>
    <w:tmpl w:val="C92C54E2"/>
    <w:lvl w:ilvl="0" w:tplc="11DC84BC">
      <w:start w:val="1"/>
      <w:numFmt w:val="lowerRoman"/>
      <w:lvlText w:val="(%1)"/>
      <w:lvlJc w:val="left"/>
      <w:pPr>
        <w:ind w:left="3598" w:hanging="720"/>
      </w:pPr>
      <w:rPr>
        <w:rFonts w:hint="default"/>
      </w:rPr>
    </w:lvl>
    <w:lvl w:ilvl="1" w:tplc="1C090019" w:tentative="1">
      <w:start w:val="1"/>
      <w:numFmt w:val="lowerLetter"/>
      <w:lvlText w:val="%2."/>
      <w:lvlJc w:val="left"/>
      <w:pPr>
        <w:ind w:left="3958" w:hanging="360"/>
      </w:pPr>
    </w:lvl>
    <w:lvl w:ilvl="2" w:tplc="1C09001B" w:tentative="1">
      <w:start w:val="1"/>
      <w:numFmt w:val="lowerRoman"/>
      <w:lvlText w:val="%3."/>
      <w:lvlJc w:val="right"/>
      <w:pPr>
        <w:ind w:left="4678" w:hanging="180"/>
      </w:pPr>
    </w:lvl>
    <w:lvl w:ilvl="3" w:tplc="1C09000F" w:tentative="1">
      <w:start w:val="1"/>
      <w:numFmt w:val="decimal"/>
      <w:lvlText w:val="%4."/>
      <w:lvlJc w:val="left"/>
      <w:pPr>
        <w:ind w:left="5398" w:hanging="360"/>
      </w:pPr>
    </w:lvl>
    <w:lvl w:ilvl="4" w:tplc="1C090019" w:tentative="1">
      <w:start w:val="1"/>
      <w:numFmt w:val="lowerLetter"/>
      <w:lvlText w:val="%5."/>
      <w:lvlJc w:val="left"/>
      <w:pPr>
        <w:ind w:left="6118" w:hanging="360"/>
      </w:pPr>
    </w:lvl>
    <w:lvl w:ilvl="5" w:tplc="1C09001B" w:tentative="1">
      <w:start w:val="1"/>
      <w:numFmt w:val="lowerRoman"/>
      <w:lvlText w:val="%6."/>
      <w:lvlJc w:val="right"/>
      <w:pPr>
        <w:ind w:left="6838" w:hanging="180"/>
      </w:pPr>
    </w:lvl>
    <w:lvl w:ilvl="6" w:tplc="1C09000F" w:tentative="1">
      <w:start w:val="1"/>
      <w:numFmt w:val="decimal"/>
      <w:lvlText w:val="%7."/>
      <w:lvlJc w:val="left"/>
      <w:pPr>
        <w:ind w:left="7558" w:hanging="360"/>
      </w:pPr>
    </w:lvl>
    <w:lvl w:ilvl="7" w:tplc="1C090019" w:tentative="1">
      <w:start w:val="1"/>
      <w:numFmt w:val="lowerLetter"/>
      <w:lvlText w:val="%8."/>
      <w:lvlJc w:val="left"/>
      <w:pPr>
        <w:ind w:left="8278" w:hanging="360"/>
      </w:pPr>
    </w:lvl>
    <w:lvl w:ilvl="8" w:tplc="1C09001B" w:tentative="1">
      <w:start w:val="1"/>
      <w:numFmt w:val="lowerRoman"/>
      <w:lvlText w:val="%9."/>
      <w:lvlJc w:val="right"/>
      <w:pPr>
        <w:ind w:left="8998" w:hanging="180"/>
      </w:pPr>
    </w:lvl>
  </w:abstractNum>
  <w:abstractNum w:abstractNumId="4" w15:restartNumberingAfterBreak="0">
    <w:nsid w:val="36267EF8"/>
    <w:multiLevelType w:val="hybridMultilevel"/>
    <w:tmpl w:val="C0D2B8DC"/>
    <w:lvl w:ilvl="0" w:tplc="8B944C2C">
      <w:numFmt w:val="bullet"/>
      <w:lvlText w:val="-"/>
      <w:lvlJc w:val="left"/>
      <w:pPr>
        <w:ind w:left="720" w:hanging="360"/>
      </w:pPr>
      <w:rPr>
        <w:rFonts w:ascii="Arial" w:eastAsia="Times New Roman"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161322C"/>
    <w:multiLevelType w:val="hybridMultilevel"/>
    <w:tmpl w:val="E68060AA"/>
    <w:lvl w:ilvl="0" w:tplc="0409000F">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6" w15:restartNumberingAfterBreak="0">
    <w:nsid w:val="60F1537B"/>
    <w:multiLevelType w:val="hybridMultilevel"/>
    <w:tmpl w:val="81E6D55C"/>
    <w:lvl w:ilvl="0" w:tplc="1C090017">
      <w:start w:val="1"/>
      <w:numFmt w:val="lowerLetter"/>
      <w:lvlText w:val="%1)"/>
      <w:lvlJc w:val="left"/>
      <w:pPr>
        <w:ind w:left="1575" w:hanging="360"/>
      </w:p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7" w15:restartNumberingAfterBreak="0">
    <w:nsid w:val="61EF6728"/>
    <w:multiLevelType w:val="multilevel"/>
    <w:tmpl w:val="CD085B66"/>
    <w:lvl w:ilvl="0">
      <w:start w:val="1"/>
      <w:numFmt w:val="decimal"/>
      <w:lvlText w:val="%1."/>
      <w:lvlJc w:val="left"/>
      <w:pPr>
        <w:ind w:left="1215" w:hanging="360"/>
      </w:pPr>
      <w:rPr>
        <w:rFonts w:hint="default"/>
      </w:rPr>
    </w:lvl>
    <w:lvl w:ilvl="1">
      <w:start w:val="1"/>
      <w:numFmt w:val="decimal"/>
      <w:isLgl/>
      <w:lvlText w:val="%1.%2."/>
      <w:lvlJc w:val="left"/>
      <w:pPr>
        <w:ind w:left="1935" w:hanging="720"/>
      </w:pPr>
      <w:rPr>
        <w:rFonts w:hint="default"/>
      </w:rPr>
    </w:lvl>
    <w:lvl w:ilvl="2">
      <w:start w:val="1"/>
      <w:numFmt w:val="decimal"/>
      <w:isLgl/>
      <w:lvlText w:val="%1.%2.%3."/>
      <w:lvlJc w:val="left"/>
      <w:pPr>
        <w:ind w:left="2295" w:hanging="720"/>
      </w:pPr>
      <w:rPr>
        <w:rFonts w:hint="default"/>
      </w:rPr>
    </w:lvl>
    <w:lvl w:ilvl="3">
      <w:start w:val="1"/>
      <w:numFmt w:val="decimal"/>
      <w:isLgl/>
      <w:lvlText w:val="%1.%2.%3.%4."/>
      <w:lvlJc w:val="left"/>
      <w:pPr>
        <w:ind w:left="3015" w:hanging="1080"/>
      </w:pPr>
      <w:rPr>
        <w:rFonts w:hint="default"/>
      </w:rPr>
    </w:lvl>
    <w:lvl w:ilvl="4">
      <w:start w:val="1"/>
      <w:numFmt w:val="decimal"/>
      <w:isLgl/>
      <w:lvlText w:val="%1.%2.%3.%4.%5."/>
      <w:lvlJc w:val="left"/>
      <w:pPr>
        <w:ind w:left="3375" w:hanging="1080"/>
      </w:pPr>
      <w:rPr>
        <w:rFonts w:hint="default"/>
      </w:rPr>
    </w:lvl>
    <w:lvl w:ilvl="5">
      <w:start w:val="1"/>
      <w:numFmt w:val="decimal"/>
      <w:isLgl/>
      <w:lvlText w:val="%1.%2.%3.%4.%5.%6."/>
      <w:lvlJc w:val="left"/>
      <w:pPr>
        <w:ind w:left="4095" w:hanging="1440"/>
      </w:pPr>
      <w:rPr>
        <w:rFonts w:hint="default"/>
      </w:rPr>
    </w:lvl>
    <w:lvl w:ilvl="6">
      <w:start w:val="1"/>
      <w:numFmt w:val="decimal"/>
      <w:isLgl/>
      <w:lvlText w:val="%1.%2.%3.%4.%5.%6.%7."/>
      <w:lvlJc w:val="left"/>
      <w:pPr>
        <w:ind w:left="4455" w:hanging="1440"/>
      </w:pPr>
      <w:rPr>
        <w:rFonts w:hint="default"/>
      </w:rPr>
    </w:lvl>
    <w:lvl w:ilvl="7">
      <w:start w:val="1"/>
      <w:numFmt w:val="decimal"/>
      <w:isLgl/>
      <w:lvlText w:val="%1.%2.%3.%4.%5.%6.%7.%8."/>
      <w:lvlJc w:val="left"/>
      <w:pPr>
        <w:ind w:left="5175" w:hanging="1800"/>
      </w:pPr>
      <w:rPr>
        <w:rFonts w:hint="default"/>
      </w:rPr>
    </w:lvl>
    <w:lvl w:ilvl="8">
      <w:start w:val="1"/>
      <w:numFmt w:val="decimal"/>
      <w:isLgl/>
      <w:lvlText w:val="%1.%2.%3.%4.%5.%6.%7.%8.%9."/>
      <w:lvlJc w:val="left"/>
      <w:pPr>
        <w:ind w:left="5895" w:hanging="2160"/>
      </w:pPr>
      <w:rPr>
        <w:rFonts w:hint="default"/>
      </w:rPr>
    </w:lvl>
  </w:abstractNum>
  <w:abstractNum w:abstractNumId="8" w15:restartNumberingAfterBreak="0">
    <w:nsid w:val="6825282B"/>
    <w:multiLevelType w:val="hybridMultilevel"/>
    <w:tmpl w:val="C2444B9A"/>
    <w:lvl w:ilvl="0" w:tplc="D52A45AC">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69C74D16"/>
    <w:multiLevelType w:val="hybridMultilevel"/>
    <w:tmpl w:val="AC549B6E"/>
    <w:lvl w:ilvl="0" w:tplc="91EA2AF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2"/>
  </w:num>
  <w:num w:numId="3">
    <w:abstractNumId w:val="1"/>
  </w:num>
  <w:num w:numId="4">
    <w:abstractNumId w:val="3"/>
  </w:num>
  <w:num w:numId="5">
    <w:abstractNumId w:val="5"/>
  </w:num>
  <w:num w:numId="6">
    <w:abstractNumId w:val="0"/>
  </w:num>
  <w:num w:numId="7">
    <w:abstractNumId w:val="9"/>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5B50234-300C-49C2-8A32-BBE726F8EF5A}"/>
    <w:docVar w:name="dgnword-eventsink" w:val="74196416"/>
  </w:docVars>
  <w:rsids>
    <w:rsidRoot w:val="0024500F"/>
    <w:rsid w:val="000053D0"/>
    <w:rsid w:val="00010A74"/>
    <w:rsid w:val="000200F9"/>
    <w:rsid w:val="00023C41"/>
    <w:rsid w:val="0003146A"/>
    <w:rsid w:val="000332A3"/>
    <w:rsid w:val="00040F62"/>
    <w:rsid w:val="000431A4"/>
    <w:rsid w:val="000444EB"/>
    <w:rsid w:val="00046365"/>
    <w:rsid w:val="00053821"/>
    <w:rsid w:val="00054A69"/>
    <w:rsid w:val="00061BC3"/>
    <w:rsid w:val="000664ED"/>
    <w:rsid w:val="00071B39"/>
    <w:rsid w:val="00077325"/>
    <w:rsid w:val="00082869"/>
    <w:rsid w:val="00082B9B"/>
    <w:rsid w:val="000849AD"/>
    <w:rsid w:val="0008502C"/>
    <w:rsid w:val="000878C7"/>
    <w:rsid w:val="000947F2"/>
    <w:rsid w:val="000977B3"/>
    <w:rsid w:val="000A0898"/>
    <w:rsid w:val="000A2540"/>
    <w:rsid w:val="000A75AD"/>
    <w:rsid w:val="000B037D"/>
    <w:rsid w:val="000B4ACE"/>
    <w:rsid w:val="000C4210"/>
    <w:rsid w:val="000C4CBC"/>
    <w:rsid w:val="000C690F"/>
    <w:rsid w:val="000C7017"/>
    <w:rsid w:val="000E0CDB"/>
    <w:rsid w:val="000E480A"/>
    <w:rsid w:val="000E63A2"/>
    <w:rsid w:val="000F23E7"/>
    <w:rsid w:val="000F25CE"/>
    <w:rsid w:val="000F6B53"/>
    <w:rsid w:val="000F7148"/>
    <w:rsid w:val="000F74BE"/>
    <w:rsid w:val="00103E0B"/>
    <w:rsid w:val="00105EF8"/>
    <w:rsid w:val="001137B2"/>
    <w:rsid w:val="0011620E"/>
    <w:rsid w:val="00117245"/>
    <w:rsid w:val="0012008C"/>
    <w:rsid w:val="001207B6"/>
    <w:rsid w:val="00122F05"/>
    <w:rsid w:val="00130482"/>
    <w:rsid w:val="001321E6"/>
    <w:rsid w:val="001430B1"/>
    <w:rsid w:val="001434EB"/>
    <w:rsid w:val="00145A3E"/>
    <w:rsid w:val="0015093E"/>
    <w:rsid w:val="00150D63"/>
    <w:rsid w:val="0015183F"/>
    <w:rsid w:val="0015202E"/>
    <w:rsid w:val="00153E74"/>
    <w:rsid w:val="00155104"/>
    <w:rsid w:val="0016160A"/>
    <w:rsid w:val="00162984"/>
    <w:rsid w:val="0016353A"/>
    <w:rsid w:val="001637B6"/>
    <w:rsid w:val="00164992"/>
    <w:rsid w:val="0016649F"/>
    <w:rsid w:val="00166E61"/>
    <w:rsid w:val="001727C6"/>
    <w:rsid w:val="0017534D"/>
    <w:rsid w:val="00186585"/>
    <w:rsid w:val="001969D1"/>
    <w:rsid w:val="001977EA"/>
    <w:rsid w:val="001B044D"/>
    <w:rsid w:val="001B2FBF"/>
    <w:rsid w:val="001B3D36"/>
    <w:rsid w:val="001B6A9C"/>
    <w:rsid w:val="001C2867"/>
    <w:rsid w:val="001D31B5"/>
    <w:rsid w:val="001D52C9"/>
    <w:rsid w:val="001D5333"/>
    <w:rsid w:val="001D683E"/>
    <w:rsid w:val="001E31D8"/>
    <w:rsid w:val="001E5942"/>
    <w:rsid w:val="001E5C8B"/>
    <w:rsid w:val="001E75E8"/>
    <w:rsid w:val="001F3363"/>
    <w:rsid w:val="001F6392"/>
    <w:rsid w:val="002005CC"/>
    <w:rsid w:val="00201EEF"/>
    <w:rsid w:val="002079FA"/>
    <w:rsid w:val="00214CEB"/>
    <w:rsid w:val="00216287"/>
    <w:rsid w:val="00224AF5"/>
    <w:rsid w:val="002252DB"/>
    <w:rsid w:val="00226168"/>
    <w:rsid w:val="00226B75"/>
    <w:rsid w:val="0023370C"/>
    <w:rsid w:val="00234C38"/>
    <w:rsid w:val="00235394"/>
    <w:rsid w:val="00235E4C"/>
    <w:rsid w:val="00235EE1"/>
    <w:rsid w:val="00237D4E"/>
    <w:rsid w:val="0024421B"/>
    <w:rsid w:val="0024500F"/>
    <w:rsid w:val="00246A14"/>
    <w:rsid w:val="00247D67"/>
    <w:rsid w:val="00250E2F"/>
    <w:rsid w:val="002525CE"/>
    <w:rsid w:val="00252A95"/>
    <w:rsid w:val="002537F5"/>
    <w:rsid w:val="0026076A"/>
    <w:rsid w:val="0026395D"/>
    <w:rsid w:val="00264ED0"/>
    <w:rsid w:val="0026686D"/>
    <w:rsid w:val="0027004B"/>
    <w:rsid w:val="0027145E"/>
    <w:rsid w:val="00272539"/>
    <w:rsid w:val="002746BB"/>
    <w:rsid w:val="00281D85"/>
    <w:rsid w:val="0028391B"/>
    <w:rsid w:val="002849B5"/>
    <w:rsid w:val="00286892"/>
    <w:rsid w:val="00286C7C"/>
    <w:rsid w:val="00286FE0"/>
    <w:rsid w:val="00294F56"/>
    <w:rsid w:val="00295B85"/>
    <w:rsid w:val="002A021E"/>
    <w:rsid w:val="002A6A79"/>
    <w:rsid w:val="002B1017"/>
    <w:rsid w:val="002B3CA3"/>
    <w:rsid w:val="002C213C"/>
    <w:rsid w:val="002D32E4"/>
    <w:rsid w:val="002D528F"/>
    <w:rsid w:val="002D60E9"/>
    <w:rsid w:val="002D6F22"/>
    <w:rsid w:val="002D7332"/>
    <w:rsid w:val="002E4DD3"/>
    <w:rsid w:val="003024B9"/>
    <w:rsid w:val="003027E7"/>
    <w:rsid w:val="00305758"/>
    <w:rsid w:val="00305ADB"/>
    <w:rsid w:val="003127AA"/>
    <w:rsid w:val="003135B0"/>
    <w:rsid w:val="0031732B"/>
    <w:rsid w:val="003222FC"/>
    <w:rsid w:val="00323312"/>
    <w:rsid w:val="0032369F"/>
    <w:rsid w:val="0032442F"/>
    <w:rsid w:val="00327371"/>
    <w:rsid w:val="00330DD4"/>
    <w:rsid w:val="00333A4C"/>
    <w:rsid w:val="003341CA"/>
    <w:rsid w:val="00337B8C"/>
    <w:rsid w:val="003422F7"/>
    <w:rsid w:val="00342CFB"/>
    <w:rsid w:val="00344E43"/>
    <w:rsid w:val="00345BC0"/>
    <w:rsid w:val="00347A96"/>
    <w:rsid w:val="00356F41"/>
    <w:rsid w:val="00361219"/>
    <w:rsid w:val="00362A10"/>
    <w:rsid w:val="00365D0F"/>
    <w:rsid w:val="003711F3"/>
    <w:rsid w:val="00372D39"/>
    <w:rsid w:val="0037528A"/>
    <w:rsid w:val="003772B1"/>
    <w:rsid w:val="003839EC"/>
    <w:rsid w:val="00385941"/>
    <w:rsid w:val="00390864"/>
    <w:rsid w:val="00390AB8"/>
    <w:rsid w:val="0039581E"/>
    <w:rsid w:val="0039718E"/>
    <w:rsid w:val="003A0646"/>
    <w:rsid w:val="003A4BC8"/>
    <w:rsid w:val="003A5081"/>
    <w:rsid w:val="003B210B"/>
    <w:rsid w:val="003B566F"/>
    <w:rsid w:val="003B5758"/>
    <w:rsid w:val="003B5BEC"/>
    <w:rsid w:val="003B5E8B"/>
    <w:rsid w:val="003B6761"/>
    <w:rsid w:val="003B74C4"/>
    <w:rsid w:val="003C1D01"/>
    <w:rsid w:val="003D2313"/>
    <w:rsid w:val="003D43B4"/>
    <w:rsid w:val="003E2787"/>
    <w:rsid w:val="003E329E"/>
    <w:rsid w:val="003E63C0"/>
    <w:rsid w:val="003E71D5"/>
    <w:rsid w:val="003F1677"/>
    <w:rsid w:val="003F5259"/>
    <w:rsid w:val="003F5658"/>
    <w:rsid w:val="003F6D7F"/>
    <w:rsid w:val="003F7C5E"/>
    <w:rsid w:val="00403172"/>
    <w:rsid w:val="00403E05"/>
    <w:rsid w:val="004111C3"/>
    <w:rsid w:val="0042488A"/>
    <w:rsid w:val="0042586F"/>
    <w:rsid w:val="004353D1"/>
    <w:rsid w:val="00435D56"/>
    <w:rsid w:val="00436A00"/>
    <w:rsid w:val="00437449"/>
    <w:rsid w:val="00437A38"/>
    <w:rsid w:val="004474C6"/>
    <w:rsid w:val="00461A4D"/>
    <w:rsid w:val="0046487B"/>
    <w:rsid w:val="00464AED"/>
    <w:rsid w:val="004656B7"/>
    <w:rsid w:val="004674BF"/>
    <w:rsid w:val="00471E58"/>
    <w:rsid w:val="00475C1C"/>
    <w:rsid w:val="004767B8"/>
    <w:rsid w:val="004778B1"/>
    <w:rsid w:val="0048069C"/>
    <w:rsid w:val="004830A2"/>
    <w:rsid w:val="00483CD6"/>
    <w:rsid w:val="00486734"/>
    <w:rsid w:val="00487098"/>
    <w:rsid w:val="004911BC"/>
    <w:rsid w:val="004950CB"/>
    <w:rsid w:val="004955F3"/>
    <w:rsid w:val="004A6A1C"/>
    <w:rsid w:val="004A6E4D"/>
    <w:rsid w:val="004A7A41"/>
    <w:rsid w:val="004A7C5A"/>
    <w:rsid w:val="004C35CF"/>
    <w:rsid w:val="004D00EE"/>
    <w:rsid w:val="004D05A2"/>
    <w:rsid w:val="004D253C"/>
    <w:rsid w:val="004D4141"/>
    <w:rsid w:val="004D5E9C"/>
    <w:rsid w:val="004E0A78"/>
    <w:rsid w:val="004E1006"/>
    <w:rsid w:val="004E30D3"/>
    <w:rsid w:val="004E7D65"/>
    <w:rsid w:val="004F3D17"/>
    <w:rsid w:val="004F5E74"/>
    <w:rsid w:val="004F6B4C"/>
    <w:rsid w:val="00501D62"/>
    <w:rsid w:val="00502A3F"/>
    <w:rsid w:val="00504A23"/>
    <w:rsid w:val="00504BE8"/>
    <w:rsid w:val="00510573"/>
    <w:rsid w:val="0051271F"/>
    <w:rsid w:val="00512B28"/>
    <w:rsid w:val="00512BA7"/>
    <w:rsid w:val="00513386"/>
    <w:rsid w:val="005155A1"/>
    <w:rsid w:val="00517EAD"/>
    <w:rsid w:val="005239E0"/>
    <w:rsid w:val="00530D36"/>
    <w:rsid w:val="0054235D"/>
    <w:rsid w:val="0054305D"/>
    <w:rsid w:val="00543CF3"/>
    <w:rsid w:val="00555CC2"/>
    <w:rsid w:val="0055602B"/>
    <w:rsid w:val="005561B3"/>
    <w:rsid w:val="00557BE1"/>
    <w:rsid w:val="00557CFA"/>
    <w:rsid w:val="00563448"/>
    <w:rsid w:val="00564690"/>
    <w:rsid w:val="00571370"/>
    <w:rsid w:val="00572962"/>
    <w:rsid w:val="0057791A"/>
    <w:rsid w:val="0058154E"/>
    <w:rsid w:val="00592CD4"/>
    <w:rsid w:val="005933F3"/>
    <w:rsid w:val="00594FE1"/>
    <w:rsid w:val="00595D76"/>
    <w:rsid w:val="005A32DB"/>
    <w:rsid w:val="005A39CB"/>
    <w:rsid w:val="005B0B0F"/>
    <w:rsid w:val="005C44FF"/>
    <w:rsid w:val="005C7908"/>
    <w:rsid w:val="005D08AC"/>
    <w:rsid w:val="005D0BE5"/>
    <w:rsid w:val="005D10FE"/>
    <w:rsid w:val="005D31B1"/>
    <w:rsid w:val="005D3439"/>
    <w:rsid w:val="005D46BD"/>
    <w:rsid w:val="005D4DB0"/>
    <w:rsid w:val="005D5935"/>
    <w:rsid w:val="005E2438"/>
    <w:rsid w:val="005E2D63"/>
    <w:rsid w:val="005F08CF"/>
    <w:rsid w:val="005F5E7F"/>
    <w:rsid w:val="00600BEE"/>
    <w:rsid w:val="0060236F"/>
    <w:rsid w:val="00603365"/>
    <w:rsid w:val="00615859"/>
    <w:rsid w:val="00616BE1"/>
    <w:rsid w:val="0062210C"/>
    <w:rsid w:val="00624C4A"/>
    <w:rsid w:val="006268B7"/>
    <w:rsid w:val="006320E6"/>
    <w:rsid w:val="006337C8"/>
    <w:rsid w:val="006602C4"/>
    <w:rsid w:val="00660F6F"/>
    <w:rsid w:val="00661330"/>
    <w:rsid w:val="006616F4"/>
    <w:rsid w:val="0066436C"/>
    <w:rsid w:val="00666DA4"/>
    <w:rsid w:val="00674AC1"/>
    <w:rsid w:val="0067557E"/>
    <w:rsid w:val="00686E59"/>
    <w:rsid w:val="00687ED1"/>
    <w:rsid w:val="006911A6"/>
    <w:rsid w:val="00696362"/>
    <w:rsid w:val="006964FB"/>
    <w:rsid w:val="006A0B33"/>
    <w:rsid w:val="006A1143"/>
    <w:rsid w:val="006A1A30"/>
    <w:rsid w:val="006A3854"/>
    <w:rsid w:val="006B533F"/>
    <w:rsid w:val="006C1474"/>
    <w:rsid w:val="006C5B3E"/>
    <w:rsid w:val="006C5C11"/>
    <w:rsid w:val="006D0370"/>
    <w:rsid w:val="006D0595"/>
    <w:rsid w:val="006D07A2"/>
    <w:rsid w:val="006D49B9"/>
    <w:rsid w:val="006D5DB1"/>
    <w:rsid w:val="006D7283"/>
    <w:rsid w:val="006E1EF0"/>
    <w:rsid w:val="006E2F64"/>
    <w:rsid w:val="006E5C80"/>
    <w:rsid w:val="006F27D9"/>
    <w:rsid w:val="006F3771"/>
    <w:rsid w:val="006F4FFB"/>
    <w:rsid w:val="006F68F5"/>
    <w:rsid w:val="007018AF"/>
    <w:rsid w:val="00702FC0"/>
    <w:rsid w:val="00703480"/>
    <w:rsid w:val="00710FFE"/>
    <w:rsid w:val="00711389"/>
    <w:rsid w:val="007134E7"/>
    <w:rsid w:val="007252DF"/>
    <w:rsid w:val="0073088A"/>
    <w:rsid w:val="00732121"/>
    <w:rsid w:val="00732C96"/>
    <w:rsid w:val="0073632C"/>
    <w:rsid w:val="0073759C"/>
    <w:rsid w:val="00744888"/>
    <w:rsid w:val="00744FEF"/>
    <w:rsid w:val="0074568B"/>
    <w:rsid w:val="007508F2"/>
    <w:rsid w:val="0075248A"/>
    <w:rsid w:val="00755F7C"/>
    <w:rsid w:val="00757E03"/>
    <w:rsid w:val="00761F44"/>
    <w:rsid w:val="007712BE"/>
    <w:rsid w:val="00775316"/>
    <w:rsid w:val="00775A1C"/>
    <w:rsid w:val="007766DB"/>
    <w:rsid w:val="00777C1A"/>
    <w:rsid w:val="00784B02"/>
    <w:rsid w:val="007944F1"/>
    <w:rsid w:val="007A023A"/>
    <w:rsid w:val="007A349C"/>
    <w:rsid w:val="007A4532"/>
    <w:rsid w:val="007A73CB"/>
    <w:rsid w:val="007A7557"/>
    <w:rsid w:val="007B20B5"/>
    <w:rsid w:val="007C3EA9"/>
    <w:rsid w:val="007D3CE9"/>
    <w:rsid w:val="007D4FE4"/>
    <w:rsid w:val="007D6785"/>
    <w:rsid w:val="007D7355"/>
    <w:rsid w:val="007E02EC"/>
    <w:rsid w:val="007E2E7A"/>
    <w:rsid w:val="007F3916"/>
    <w:rsid w:val="007F6F19"/>
    <w:rsid w:val="007F6FEF"/>
    <w:rsid w:val="00802A53"/>
    <w:rsid w:val="0080409D"/>
    <w:rsid w:val="00807748"/>
    <w:rsid w:val="00810E8A"/>
    <w:rsid w:val="008138EA"/>
    <w:rsid w:val="00815357"/>
    <w:rsid w:val="008205C2"/>
    <w:rsid w:val="0083258B"/>
    <w:rsid w:val="00832740"/>
    <w:rsid w:val="008342B3"/>
    <w:rsid w:val="00834B92"/>
    <w:rsid w:val="0083589F"/>
    <w:rsid w:val="00836945"/>
    <w:rsid w:val="00837670"/>
    <w:rsid w:val="008415DC"/>
    <w:rsid w:val="008440E7"/>
    <w:rsid w:val="008448A5"/>
    <w:rsid w:val="008460BB"/>
    <w:rsid w:val="00855D6C"/>
    <w:rsid w:val="00856B7D"/>
    <w:rsid w:val="008624A7"/>
    <w:rsid w:val="008637C8"/>
    <w:rsid w:val="00863E94"/>
    <w:rsid w:val="00864D9D"/>
    <w:rsid w:val="00873F33"/>
    <w:rsid w:val="008768C3"/>
    <w:rsid w:val="00880C1D"/>
    <w:rsid w:val="00881724"/>
    <w:rsid w:val="008829BE"/>
    <w:rsid w:val="00883A30"/>
    <w:rsid w:val="008855BB"/>
    <w:rsid w:val="008858C8"/>
    <w:rsid w:val="008859E7"/>
    <w:rsid w:val="00887036"/>
    <w:rsid w:val="00887E72"/>
    <w:rsid w:val="00892098"/>
    <w:rsid w:val="00892D3C"/>
    <w:rsid w:val="00893F8D"/>
    <w:rsid w:val="00897A95"/>
    <w:rsid w:val="008A1065"/>
    <w:rsid w:val="008A2076"/>
    <w:rsid w:val="008A4075"/>
    <w:rsid w:val="008A5BB1"/>
    <w:rsid w:val="008A6B32"/>
    <w:rsid w:val="008A772E"/>
    <w:rsid w:val="008B218B"/>
    <w:rsid w:val="008B2DAE"/>
    <w:rsid w:val="008B5E88"/>
    <w:rsid w:val="008B7F1B"/>
    <w:rsid w:val="008D1477"/>
    <w:rsid w:val="008D18DC"/>
    <w:rsid w:val="008D27FF"/>
    <w:rsid w:val="008E0B93"/>
    <w:rsid w:val="008E20C7"/>
    <w:rsid w:val="008E414F"/>
    <w:rsid w:val="008E42F8"/>
    <w:rsid w:val="008E4411"/>
    <w:rsid w:val="008E6606"/>
    <w:rsid w:val="008E6A09"/>
    <w:rsid w:val="008F0C09"/>
    <w:rsid w:val="008F2ECB"/>
    <w:rsid w:val="008F7966"/>
    <w:rsid w:val="00901908"/>
    <w:rsid w:val="009061D8"/>
    <w:rsid w:val="00912769"/>
    <w:rsid w:val="00913C97"/>
    <w:rsid w:val="00914754"/>
    <w:rsid w:val="00915E05"/>
    <w:rsid w:val="00933134"/>
    <w:rsid w:val="009333B4"/>
    <w:rsid w:val="00933AB9"/>
    <w:rsid w:val="0093779C"/>
    <w:rsid w:val="00943612"/>
    <w:rsid w:val="00945D21"/>
    <w:rsid w:val="009548BA"/>
    <w:rsid w:val="00954FB3"/>
    <w:rsid w:val="0095502F"/>
    <w:rsid w:val="00957298"/>
    <w:rsid w:val="009573DA"/>
    <w:rsid w:val="00960214"/>
    <w:rsid w:val="00962579"/>
    <w:rsid w:val="00967B78"/>
    <w:rsid w:val="009805CD"/>
    <w:rsid w:val="00981507"/>
    <w:rsid w:val="00984EFF"/>
    <w:rsid w:val="0098537C"/>
    <w:rsid w:val="00986768"/>
    <w:rsid w:val="009916CC"/>
    <w:rsid w:val="00996CBB"/>
    <w:rsid w:val="009A017D"/>
    <w:rsid w:val="009A0F38"/>
    <w:rsid w:val="009A1F49"/>
    <w:rsid w:val="009A24D3"/>
    <w:rsid w:val="009A4762"/>
    <w:rsid w:val="009A4E57"/>
    <w:rsid w:val="009B01A1"/>
    <w:rsid w:val="009C2E2F"/>
    <w:rsid w:val="009D47AA"/>
    <w:rsid w:val="009D758D"/>
    <w:rsid w:val="009D7ED0"/>
    <w:rsid w:val="009E4665"/>
    <w:rsid w:val="009E5DE9"/>
    <w:rsid w:val="009E5EB0"/>
    <w:rsid w:val="009F2567"/>
    <w:rsid w:val="00A04966"/>
    <w:rsid w:val="00A12B45"/>
    <w:rsid w:val="00A14C1A"/>
    <w:rsid w:val="00A17CEA"/>
    <w:rsid w:val="00A17EBE"/>
    <w:rsid w:val="00A17FCC"/>
    <w:rsid w:val="00A315D1"/>
    <w:rsid w:val="00A31C46"/>
    <w:rsid w:val="00A345A0"/>
    <w:rsid w:val="00A403A9"/>
    <w:rsid w:val="00A41810"/>
    <w:rsid w:val="00A419CB"/>
    <w:rsid w:val="00A4403A"/>
    <w:rsid w:val="00A44FA8"/>
    <w:rsid w:val="00A452DF"/>
    <w:rsid w:val="00A460A9"/>
    <w:rsid w:val="00A46FB9"/>
    <w:rsid w:val="00A5601E"/>
    <w:rsid w:val="00A56CD2"/>
    <w:rsid w:val="00A6026D"/>
    <w:rsid w:val="00A653CC"/>
    <w:rsid w:val="00A676F0"/>
    <w:rsid w:val="00A70A13"/>
    <w:rsid w:val="00A70EA4"/>
    <w:rsid w:val="00A739B7"/>
    <w:rsid w:val="00A873F9"/>
    <w:rsid w:val="00A903C4"/>
    <w:rsid w:val="00A91D9A"/>
    <w:rsid w:val="00A927BF"/>
    <w:rsid w:val="00A95B8F"/>
    <w:rsid w:val="00AA0E73"/>
    <w:rsid w:val="00AB0485"/>
    <w:rsid w:val="00AB26E0"/>
    <w:rsid w:val="00AB43F4"/>
    <w:rsid w:val="00AB6B17"/>
    <w:rsid w:val="00AB6BA8"/>
    <w:rsid w:val="00AC2810"/>
    <w:rsid w:val="00AC6A26"/>
    <w:rsid w:val="00AC6F65"/>
    <w:rsid w:val="00AD0172"/>
    <w:rsid w:val="00AD391F"/>
    <w:rsid w:val="00AD4C42"/>
    <w:rsid w:val="00AD4E4F"/>
    <w:rsid w:val="00AD4FFD"/>
    <w:rsid w:val="00AE0F76"/>
    <w:rsid w:val="00AE5F10"/>
    <w:rsid w:val="00AF11BE"/>
    <w:rsid w:val="00AF1C7B"/>
    <w:rsid w:val="00AF3A81"/>
    <w:rsid w:val="00AF6270"/>
    <w:rsid w:val="00B010FB"/>
    <w:rsid w:val="00B04E8E"/>
    <w:rsid w:val="00B056BB"/>
    <w:rsid w:val="00B0662C"/>
    <w:rsid w:val="00B0769D"/>
    <w:rsid w:val="00B103B5"/>
    <w:rsid w:val="00B2269E"/>
    <w:rsid w:val="00B2482C"/>
    <w:rsid w:val="00B32125"/>
    <w:rsid w:val="00B32635"/>
    <w:rsid w:val="00B34595"/>
    <w:rsid w:val="00B35CD2"/>
    <w:rsid w:val="00B35E3D"/>
    <w:rsid w:val="00B46E13"/>
    <w:rsid w:val="00B53127"/>
    <w:rsid w:val="00B53372"/>
    <w:rsid w:val="00B54946"/>
    <w:rsid w:val="00B54DB2"/>
    <w:rsid w:val="00B55812"/>
    <w:rsid w:val="00B60E79"/>
    <w:rsid w:val="00B61AD5"/>
    <w:rsid w:val="00B646DF"/>
    <w:rsid w:val="00B6470A"/>
    <w:rsid w:val="00B66714"/>
    <w:rsid w:val="00B77EAD"/>
    <w:rsid w:val="00B848A6"/>
    <w:rsid w:val="00B851BF"/>
    <w:rsid w:val="00B90DCD"/>
    <w:rsid w:val="00B93A4B"/>
    <w:rsid w:val="00BA011A"/>
    <w:rsid w:val="00BA162A"/>
    <w:rsid w:val="00BB2CE0"/>
    <w:rsid w:val="00BB4702"/>
    <w:rsid w:val="00BC0F55"/>
    <w:rsid w:val="00BC2AE5"/>
    <w:rsid w:val="00BC36B7"/>
    <w:rsid w:val="00BC4D23"/>
    <w:rsid w:val="00BC7084"/>
    <w:rsid w:val="00BD0F68"/>
    <w:rsid w:val="00BD32EB"/>
    <w:rsid w:val="00BD48A3"/>
    <w:rsid w:val="00BD5D43"/>
    <w:rsid w:val="00BE43D0"/>
    <w:rsid w:val="00BE5540"/>
    <w:rsid w:val="00BF3AAD"/>
    <w:rsid w:val="00BF4880"/>
    <w:rsid w:val="00C148D5"/>
    <w:rsid w:val="00C2062A"/>
    <w:rsid w:val="00C24504"/>
    <w:rsid w:val="00C249B1"/>
    <w:rsid w:val="00C2512C"/>
    <w:rsid w:val="00C26436"/>
    <w:rsid w:val="00C26CC3"/>
    <w:rsid w:val="00C3514F"/>
    <w:rsid w:val="00C65AAA"/>
    <w:rsid w:val="00C67A29"/>
    <w:rsid w:val="00C80305"/>
    <w:rsid w:val="00C810D1"/>
    <w:rsid w:val="00C9081F"/>
    <w:rsid w:val="00C90DC1"/>
    <w:rsid w:val="00C9478C"/>
    <w:rsid w:val="00CA025B"/>
    <w:rsid w:val="00CA08DA"/>
    <w:rsid w:val="00CA6794"/>
    <w:rsid w:val="00CB36C6"/>
    <w:rsid w:val="00CB48C3"/>
    <w:rsid w:val="00CC6935"/>
    <w:rsid w:val="00CC7356"/>
    <w:rsid w:val="00CD1A8B"/>
    <w:rsid w:val="00CD5FB0"/>
    <w:rsid w:val="00CE1430"/>
    <w:rsid w:val="00CE146E"/>
    <w:rsid w:val="00CE61E2"/>
    <w:rsid w:val="00CF58F2"/>
    <w:rsid w:val="00CF6B27"/>
    <w:rsid w:val="00D0374C"/>
    <w:rsid w:val="00D149EB"/>
    <w:rsid w:val="00D1765F"/>
    <w:rsid w:val="00D20214"/>
    <w:rsid w:val="00D30B1B"/>
    <w:rsid w:val="00D312CD"/>
    <w:rsid w:val="00D33331"/>
    <w:rsid w:val="00D34E09"/>
    <w:rsid w:val="00D3511A"/>
    <w:rsid w:val="00D356D5"/>
    <w:rsid w:val="00D457E5"/>
    <w:rsid w:val="00D47B21"/>
    <w:rsid w:val="00D50380"/>
    <w:rsid w:val="00D52C8A"/>
    <w:rsid w:val="00D54992"/>
    <w:rsid w:val="00D54E18"/>
    <w:rsid w:val="00D578F1"/>
    <w:rsid w:val="00D61D99"/>
    <w:rsid w:val="00D62CAA"/>
    <w:rsid w:val="00D64253"/>
    <w:rsid w:val="00D64969"/>
    <w:rsid w:val="00D7676D"/>
    <w:rsid w:val="00D776E1"/>
    <w:rsid w:val="00D85504"/>
    <w:rsid w:val="00D87482"/>
    <w:rsid w:val="00D9169F"/>
    <w:rsid w:val="00D939DE"/>
    <w:rsid w:val="00D9427C"/>
    <w:rsid w:val="00D951E5"/>
    <w:rsid w:val="00D955B1"/>
    <w:rsid w:val="00DA02C6"/>
    <w:rsid w:val="00DA221F"/>
    <w:rsid w:val="00DA3358"/>
    <w:rsid w:val="00DA36A7"/>
    <w:rsid w:val="00DB36C7"/>
    <w:rsid w:val="00DB3EFC"/>
    <w:rsid w:val="00DB581A"/>
    <w:rsid w:val="00DB75D0"/>
    <w:rsid w:val="00DC0FC9"/>
    <w:rsid w:val="00DC3962"/>
    <w:rsid w:val="00DD08D5"/>
    <w:rsid w:val="00DD1A7E"/>
    <w:rsid w:val="00DD3779"/>
    <w:rsid w:val="00DE15FE"/>
    <w:rsid w:val="00DE2239"/>
    <w:rsid w:val="00DE4D66"/>
    <w:rsid w:val="00DE66DD"/>
    <w:rsid w:val="00DF08D3"/>
    <w:rsid w:val="00DF1D65"/>
    <w:rsid w:val="00DF2408"/>
    <w:rsid w:val="00E065EB"/>
    <w:rsid w:val="00E1565E"/>
    <w:rsid w:val="00E23859"/>
    <w:rsid w:val="00E23CBE"/>
    <w:rsid w:val="00E24652"/>
    <w:rsid w:val="00E25AB3"/>
    <w:rsid w:val="00E26624"/>
    <w:rsid w:val="00E30213"/>
    <w:rsid w:val="00E30E32"/>
    <w:rsid w:val="00E3475C"/>
    <w:rsid w:val="00E364B3"/>
    <w:rsid w:val="00E42480"/>
    <w:rsid w:val="00E4330D"/>
    <w:rsid w:val="00E54AF4"/>
    <w:rsid w:val="00E56EB5"/>
    <w:rsid w:val="00E7032A"/>
    <w:rsid w:val="00E75946"/>
    <w:rsid w:val="00E811E5"/>
    <w:rsid w:val="00E817D3"/>
    <w:rsid w:val="00E8202F"/>
    <w:rsid w:val="00E85EF5"/>
    <w:rsid w:val="00E87870"/>
    <w:rsid w:val="00E87C77"/>
    <w:rsid w:val="00E9215A"/>
    <w:rsid w:val="00E9230C"/>
    <w:rsid w:val="00E964CC"/>
    <w:rsid w:val="00E9702D"/>
    <w:rsid w:val="00EA2941"/>
    <w:rsid w:val="00EA2A11"/>
    <w:rsid w:val="00EB71E7"/>
    <w:rsid w:val="00EC0F6F"/>
    <w:rsid w:val="00EC10D8"/>
    <w:rsid w:val="00EC14EC"/>
    <w:rsid w:val="00EC35D3"/>
    <w:rsid w:val="00EC40B3"/>
    <w:rsid w:val="00EC74F3"/>
    <w:rsid w:val="00ED11FA"/>
    <w:rsid w:val="00ED26E4"/>
    <w:rsid w:val="00ED6185"/>
    <w:rsid w:val="00ED7594"/>
    <w:rsid w:val="00EE4F5F"/>
    <w:rsid w:val="00EE5644"/>
    <w:rsid w:val="00EF101B"/>
    <w:rsid w:val="00EF20A7"/>
    <w:rsid w:val="00EF4E61"/>
    <w:rsid w:val="00EF7028"/>
    <w:rsid w:val="00F024DF"/>
    <w:rsid w:val="00F03A3D"/>
    <w:rsid w:val="00F04F7D"/>
    <w:rsid w:val="00F105DB"/>
    <w:rsid w:val="00F149A8"/>
    <w:rsid w:val="00F21218"/>
    <w:rsid w:val="00F26F40"/>
    <w:rsid w:val="00F32D87"/>
    <w:rsid w:val="00F41D8E"/>
    <w:rsid w:val="00F44F7C"/>
    <w:rsid w:val="00F52D1E"/>
    <w:rsid w:val="00F57726"/>
    <w:rsid w:val="00F61BA2"/>
    <w:rsid w:val="00F667E3"/>
    <w:rsid w:val="00F677F5"/>
    <w:rsid w:val="00F7153B"/>
    <w:rsid w:val="00F7177C"/>
    <w:rsid w:val="00F75BAC"/>
    <w:rsid w:val="00F80F04"/>
    <w:rsid w:val="00F81C40"/>
    <w:rsid w:val="00F8588C"/>
    <w:rsid w:val="00F90ADD"/>
    <w:rsid w:val="00F97016"/>
    <w:rsid w:val="00FA1334"/>
    <w:rsid w:val="00FA36A4"/>
    <w:rsid w:val="00FA3ACB"/>
    <w:rsid w:val="00FC0335"/>
    <w:rsid w:val="00FC089F"/>
    <w:rsid w:val="00FC18F7"/>
    <w:rsid w:val="00FC1B0B"/>
    <w:rsid w:val="00FC20A7"/>
    <w:rsid w:val="00FC30BA"/>
    <w:rsid w:val="00FC4761"/>
    <w:rsid w:val="00FC5739"/>
    <w:rsid w:val="00FC6109"/>
    <w:rsid w:val="00FD3148"/>
    <w:rsid w:val="00FD5894"/>
    <w:rsid w:val="00FE2130"/>
    <w:rsid w:val="00FE2DB1"/>
    <w:rsid w:val="00FE2F70"/>
    <w:rsid w:val="00FF19D9"/>
    <w:rsid w:val="00FF4DF7"/>
    <w:rsid w:val="00FF6977"/>
    <w:rsid w:val="00FF75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7DF71C"/>
  <w15:docId w15:val="{D94D0FE4-805C-426D-B401-8BC6E61B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00F"/>
    <w:pPr>
      <w:spacing w:after="160" w:line="254" w:lineRule="auto"/>
    </w:pPr>
  </w:style>
  <w:style w:type="paragraph" w:styleId="Heading1">
    <w:name w:val="heading 1"/>
    <w:basedOn w:val="Normal"/>
    <w:next w:val="Normal"/>
    <w:link w:val="Heading1Char"/>
    <w:uiPriority w:val="9"/>
    <w:qFormat/>
    <w:rsid w:val="006268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61A4D"/>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2C9"/>
    <w:pPr>
      <w:spacing w:after="200" w:line="276" w:lineRule="auto"/>
      <w:ind w:left="720"/>
      <w:contextualSpacing/>
    </w:pPr>
    <w:rPr>
      <w:lang w:val="en-US"/>
    </w:rPr>
  </w:style>
  <w:style w:type="paragraph" w:styleId="Header">
    <w:name w:val="header"/>
    <w:basedOn w:val="Normal"/>
    <w:link w:val="HeaderChar"/>
    <w:uiPriority w:val="99"/>
    <w:unhideWhenUsed/>
    <w:rsid w:val="001D5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2C9"/>
  </w:style>
  <w:style w:type="paragraph" w:styleId="Footer">
    <w:name w:val="footer"/>
    <w:basedOn w:val="Normal"/>
    <w:link w:val="FooterChar"/>
    <w:uiPriority w:val="99"/>
    <w:unhideWhenUsed/>
    <w:rsid w:val="001D5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2C9"/>
  </w:style>
  <w:style w:type="paragraph" w:customStyle="1" w:styleId="lg-a-1">
    <w:name w:val="lg-a-1"/>
    <w:basedOn w:val="Normal"/>
    <w:rsid w:val="00960214"/>
    <w:pPr>
      <w:spacing w:before="180" w:after="0" w:line="240" w:lineRule="auto"/>
      <w:ind w:left="1361" w:hanging="1361"/>
      <w:jc w:val="both"/>
    </w:pPr>
    <w:rPr>
      <w:rFonts w:ascii="Verdana" w:eastAsia="Times New Roman" w:hAnsi="Verdana" w:cs="Times New Roman"/>
      <w:color w:val="000000"/>
      <w:sz w:val="18"/>
      <w:szCs w:val="18"/>
      <w:lang w:eastAsia="en-ZA"/>
    </w:rPr>
  </w:style>
  <w:style w:type="paragraph" w:customStyle="1" w:styleId="lg-i-a-1">
    <w:name w:val="lg-i-a-1"/>
    <w:basedOn w:val="Normal"/>
    <w:rsid w:val="00960214"/>
    <w:pPr>
      <w:spacing w:before="180" w:after="0" w:line="240" w:lineRule="auto"/>
      <w:ind w:left="1758" w:hanging="1758"/>
      <w:jc w:val="both"/>
    </w:pPr>
    <w:rPr>
      <w:rFonts w:ascii="Verdana" w:eastAsia="Times New Roman" w:hAnsi="Verdana" w:cs="Times New Roman"/>
      <w:color w:val="000000"/>
      <w:sz w:val="18"/>
      <w:szCs w:val="18"/>
      <w:lang w:eastAsia="en-ZA"/>
    </w:rPr>
  </w:style>
  <w:style w:type="paragraph" w:customStyle="1" w:styleId="lg-para5">
    <w:name w:val="lg-para5"/>
    <w:basedOn w:val="Normal"/>
    <w:rsid w:val="00DD08D5"/>
    <w:pPr>
      <w:spacing w:before="180" w:after="0" w:line="240" w:lineRule="auto"/>
      <w:ind w:firstLine="998"/>
      <w:jc w:val="both"/>
    </w:pPr>
    <w:rPr>
      <w:rFonts w:ascii="Verdana" w:eastAsia="Times New Roman" w:hAnsi="Verdana" w:cs="Times New Roman"/>
      <w:color w:val="000000"/>
      <w:sz w:val="18"/>
      <w:szCs w:val="18"/>
      <w:lang w:eastAsia="en-ZA"/>
    </w:rPr>
  </w:style>
  <w:style w:type="paragraph" w:styleId="FootnoteText">
    <w:name w:val="footnote text"/>
    <w:basedOn w:val="Normal"/>
    <w:link w:val="FootnoteTextChar"/>
    <w:uiPriority w:val="99"/>
    <w:unhideWhenUsed/>
    <w:rsid w:val="0058154E"/>
    <w:pPr>
      <w:spacing w:after="0" w:line="240" w:lineRule="auto"/>
    </w:pPr>
    <w:rPr>
      <w:sz w:val="20"/>
      <w:szCs w:val="20"/>
    </w:rPr>
  </w:style>
  <w:style w:type="character" w:customStyle="1" w:styleId="FootnoteTextChar">
    <w:name w:val="Footnote Text Char"/>
    <w:basedOn w:val="DefaultParagraphFont"/>
    <w:link w:val="FootnoteText"/>
    <w:uiPriority w:val="99"/>
    <w:rsid w:val="0058154E"/>
    <w:rPr>
      <w:sz w:val="20"/>
      <w:szCs w:val="20"/>
    </w:rPr>
  </w:style>
  <w:style w:type="character" w:styleId="FootnoteReference">
    <w:name w:val="footnote reference"/>
    <w:basedOn w:val="DefaultParagraphFont"/>
    <w:uiPriority w:val="99"/>
    <w:unhideWhenUsed/>
    <w:rsid w:val="0058154E"/>
    <w:rPr>
      <w:vertAlign w:val="superscript"/>
    </w:rPr>
  </w:style>
  <w:style w:type="character" w:customStyle="1" w:styleId="st1">
    <w:name w:val="st1"/>
    <w:basedOn w:val="DefaultParagraphFont"/>
    <w:rsid w:val="004E0A78"/>
  </w:style>
  <w:style w:type="paragraph" w:customStyle="1" w:styleId="Default">
    <w:name w:val="Default"/>
    <w:rsid w:val="006F4FFB"/>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BD4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8A3"/>
    <w:rPr>
      <w:rFonts w:ascii="Tahoma" w:hAnsi="Tahoma" w:cs="Tahoma"/>
      <w:sz w:val="16"/>
      <w:szCs w:val="16"/>
    </w:rPr>
  </w:style>
  <w:style w:type="character" w:styleId="CommentReference">
    <w:name w:val="annotation reference"/>
    <w:basedOn w:val="DefaultParagraphFont"/>
    <w:uiPriority w:val="99"/>
    <w:semiHidden/>
    <w:unhideWhenUsed/>
    <w:rsid w:val="00347A96"/>
    <w:rPr>
      <w:sz w:val="16"/>
      <w:szCs w:val="16"/>
    </w:rPr>
  </w:style>
  <w:style w:type="paragraph" w:styleId="CommentText">
    <w:name w:val="annotation text"/>
    <w:basedOn w:val="Normal"/>
    <w:link w:val="CommentTextChar"/>
    <w:uiPriority w:val="99"/>
    <w:semiHidden/>
    <w:unhideWhenUsed/>
    <w:rsid w:val="00347A96"/>
    <w:pPr>
      <w:spacing w:line="240" w:lineRule="auto"/>
    </w:pPr>
    <w:rPr>
      <w:sz w:val="20"/>
      <w:szCs w:val="20"/>
    </w:rPr>
  </w:style>
  <w:style w:type="character" w:customStyle="1" w:styleId="CommentTextChar">
    <w:name w:val="Comment Text Char"/>
    <w:basedOn w:val="DefaultParagraphFont"/>
    <w:link w:val="CommentText"/>
    <w:uiPriority w:val="99"/>
    <w:semiHidden/>
    <w:rsid w:val="00347A96"/>
    <w:rPr>
      <w:sz w:val="20"/>
      <w:szCs w:val="20"/>
    </w:rPr>
  </w:style>
  <w:style w:type="paragraph" w:styleId="CommentSubject">
    <w:name w:val="annotation subject"/>
    <w:basedOn w:val="CommentText"/>
    <w:next w:val="CommentText"/>
    <w:link w:val="CommentSubjectChar"/>
    <w:uiPriority w:val="99"/>
    <w:semiHidden/>
    <w:unhideWhenUsed/>
    <w:rsid w:val="00347A96"/>
    <w:rPr>
      <w:b/>
      <w:bCs/>
    </w:rPr>
  </w:style>
  <w:style w:type="character" w:customStyle="1" w:styleId="CommentSubjectChar">
    <w:name w:val="Comment Subject Char"/>
    <w:basedOn w:val="CommentTextChar"/>
    <w:link w:val="CommentSubject"/>
    <w:uiPriority w:val="99"/>
    <w:semiHidden/>
    <w:rsid w:val="00347A96"/>
    <w:rPr>
      <w:b/>
      <w:bCs/>
      <w:sz w:val="20"/>
      <w:szCs w:val="20"/>
    </w:rPr>
  </w:style>
  <w:style w:type="character" w:customStyle="1" w:styleId="Heading2Char">
    <w:name w:val="Heading 2 Char"/>
    <w:basedOn w:val="DefaultParagraphFont"/>
    <w:link w:val="Heading2"/>
    <w:uiPriority w:val="9"/>
    <w:rsid w:val="00461A4D"/>
    <w:rPr>
      <w:rFonts w:ascii="Times New Roman" w:eastAsia="Times New Roman" w:hAnsi="Times New Roman" w:cs="Times New Roman"/>
      <w:b/>
      <w:bCs/>
      <w:sz w:val="36"/>
      <w:szCs w:val="36"/>
      <w:lang w:eastAsia="en-ZA"/>
    </w:rPr>
  </w:style>
  <w:style w:type="character" w:styleId="Emphasis">
    <w:name w:val="Emphasis"/>
    <w:basedOn w:val="DefaultParagraphFont"/>
    <w:uiPriority w:val="20"/>
    <w:qFormat/>
    <w:rsid w:val="004656B7"/>
    <w:rPr>
      <w:i/>
      <w:iCs/>
    </w:rPr>
  </w:style>
  <w:style w:type="character" w:customStyle="1" w:styleId="mc">
    <w:name w:val="mc"/>
    <w:basedOn w:val="DefaultParagraphFont"/>
    <w:rsid w:val="00264ED0"/>
  </w:style>
  <w:style w:type="character" w:customStyle="1" w:styleId="Heading1Char">
    <w:name w:val="Heading 1 Char"/>
    <w:basedOn w:val="DefaultParagraphFont"/>
    <w:link w:val="Heading1"/>
    <w:uiPriority w:val="9"/>
    <w:rsid w:val="006268B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28595">
      <w:bodyDiv w:val="1"/>
      <w:marLeft w:val="0"/>
      <w:marRight w:val="0"/>
      <w:marTop w:val="0"/>
      <w:marBottom w:val="0"/>
      <w:divBdr>
        <w:top w:val="none" w:sz="0" w:space="0" w:color="auto"/>
        <w:left w:val="none" w:sz="0" w:space="0" w:color="auto"/>
        <w:bottom w:val="none" w:sz="0" w:space="0" w:color="auto"/>
        <w:right w:val="none" w:sz="0" w:space="0" w:color="auto"/>
      </w:divBdr>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1004866281">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35336-2489-46A3-93E5-09C307FF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3766</Words>
  <Characters>21468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Chatfield Pearl</dc:creator>
  <cp:lastModifiedBy>Vanessa Shingange</cp:lastModifiedBy>
  <cp:revision>3</cp:revision>
  <cp:lastPrinted>2023-01-05T12:03:00Z</cp:lastPrinted>
  <dcterms:created xsi:type="dcterms:W3CDTF">2023-01-05T11:55:00Z</dcterms:created>
  <dcterms:modified xsi:type="dcterms:W3CDTF">2023-01-05T12:22:00Z</dcterms:modified>
</cp:coreProperties>
</file>