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CD" w:rsidRPr="00F85635" w:rsidRDefault="008A61CD" w:rsidP="008A61CD">
      <w:pPr>
        <w:jc w:val="center"/>
        <w:rPr>
          <w:rFonts w:ascii="Arial" w:hAnsi="Arial" w:cs="Arial"/>
          <w:b/>
          <w:u w:val="single"/>
          <w:lang w:val="en-ZA"/>
        </w:rPr>
      </w:pPr>
      <w:bookmarkStart w:id="0" w:name="_GoBack"/>
      <w:bookmarkEnd w:id="0"/>
      <w:r w:rsidRPr="00F85635">
        <w:rPr>
          <w:noProof/>
          <w:lang w:val="en-US" w:eastAsia="en-US"/>
        </w:rPr>
        <w:drawing>
          <wp:anchor distT="0" distB="0" distL="114300" distR="114300" simplePos="0" relativeHeight="251659264" behindDoc="1" locked="0" layoutInCell="1" allowOverlap="1" wp14:anchorId="670EE312" wp14:editId="412A2399">
            <wp:simplePos x="0" y="0"/>
            <wp:positionH relativeFrom="column">
              <wp:posOffset>2181225</wp:posOffset>
            </wp:positionH>
            <wp:positionV relativeFrom="paragraph">
              <wp:posOffset>-314325</wp:posOffset>
            </wp:positionV>
            <wp:extent cx="1190625" cy="1162862"/>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6616" cy="1168713"/>
                    </a:xfrm>
                    <a:prstGeom prst="rect">
                      <a:avLst/>
                    </a:prstGeom>
                    <a:noFill/>
                  </pic:spPr>
                </pic:pic>
              </a:graphicData>
            </a:graphic>
            <wp14:sizeRelH relativeFrom="page">
              <wp14:pctWidth>0</wp14:pctWidth>
            </wp14:sizeRelH>
            <wp14:sizeRelV relativeFrom="page">
              <wp14:pctHeight>0</wp14:pctHeight>
            </wp14:sizeRelV>
          </wp:anchor>
        </w:drawing>
      </w:r>
    </w:p>
    <w:p w:rsidR="008A61CD" w:rsidRPr="00F85635" w:rsidRDefault="008A61CD" w:rsidP="008A61CD">
      <w:pPr>
        <w:jc w:val="center"/>
        <w:rPr>
          <w:rFonts w:ascii="Arial" w:hAnsi="Arial" w:cs="Arial"/>
          <w:b/>
          <w:u w:val="single"/>
          <w:lang w:val="en-ZA"/>
        </w:rPr>
      </w:pPr>
    </w:p>
    <w:p w:rsidR="008A61CD" w:rsidRPr="00F85635" w:rsidRDefault="008A61CD" w:rsidP="008A61CD">
      <w:pPr>
        <w:jc w:val="center"/>
        <w:rPr>
          <w:rFonts w:ascii="Arial" w:hAnsi="Arial" w:cs="Arial"/>
          <w:b/>
          <w:u w:val="single"/>
          <w:lang w:val="en-ZA"/>
        </w:rPr>
      </w:pPr>
    </w:p>
    <w:p w:rsidR="008A61CD" w:rsidRPr="00F85635" w:rsidRDefault="008A61CD" w:rsidP="008A61CD">
      <w:pPr>
        <w:jc w:val="center"/>
        <w:rPr>
          <w:rFonts w:ascii="Arial" w:hAnsi="Arial" w:cs="Arial"/>
          <w:b/>
          <w:u w:val="single"/>
          <w:lang w:val="en-ZA"/>
        </w:rPr>
      </w:pPr>
    </w:p>
    <w:p w:rsidR="008A61CD" w:rsidRPr="00F85635" w:rsidRDefault="008A61CD" w:rsidP="008A61CD">
      <w:pPr>
        <w:jc w:val="center"/>
        <w:rPr>
          <w:rFonts w:ascii="Arial" w:hAnsi="Arial" w:cs="Arial"/>
          <w:b/>
          <w:u w:val="single"/>
          <w:lang w:val="en-ZA"/>
        </w:rPr>
      </w:pPr>
    </w:p>
    <w:p w:rsidR="008A61CD" w:rsidRPr="00F85635" w:rsidRDefault="008A61CD" w:rsidP="008A61CD">
      <w:pPr>
        <w:rPr>
          <w:rFonts w:ascii="Arial" w:hAnsi="Arial" w:cs="Arial"/>
          <w:b/>
          <w:u w:val="single"/>
          <w:lang w:val="en-ZA"/>
        </w:rPr>
      </w:pPr>
    </w:p>
    <w:p w:rsidR="008A61CD" w:rsidRPr="00F85635" w:rsidRDefault="008A61CD" w:rsidP="008A61CD">
      <w:pPr>
        <w:spacing w:line="276" w:lineRule="auto"/>
        <w:jc w:val="center"/>
        <w:rPr>
          <w:rFonts w:ascii="Arial" w:hAnsi="Arial" w:cs="Arial"/>
          <w:b/>
          <w:u w:val="single"/>
          <w:lang w:val="en-ZA"/>
        </w:rPr>
      </w:pPr>
      <w:r w:rsidRPr="00F85635">
        <w:rPr>
          <w:rFonts w:ascii="Arial" w:hAnsi="Arial" w:cs="Arial"/>
          <w:b/>
          <w:u w:val="single"/>
          <w:lang w:val="en-ZA"/>
        </w:rPr>
        <w:t>IN THE HIGH COURT OF SOUTH AFRICA,</w:t>
      </w:r>
    </w:p>
    <w:p w:rsidR="008A61CD" w:rsidRPr="00F85635" w:rsidRDefault="008A61CD" w:rsidP="008A61CD">
      <w:pPr>
        <w:spacing w:line="276" w:lineRule="auto"/>
        <w:jc w:val="center"/>
        <w:rPr>
          <w:rFonts w:ascii="Arial" w:hAnsi="Arial" w:cs="Arial"/>
          <w:b/>
          <w:u w:val="single"/>
          <w:lang w:val="en-ZA"/>
        </w:rPr>
      </w:pPr>
      <w:r w:rsidRPr="00F85635">
        <w:rPr>
          <w:rFonts w:ascii="Arial" w:hAnsi="Arial" w:cs="Arial"/>
          <w:b/>
          <w:u w:val="single"/>
          <w:lang w:val="en-ZA"/>
        </w:rPr>
        <w:t>FREE STATE DIVISION, BLOEMFONTEIN</w:t>
      </w:r>
    </w:p>
    <w:p w:rsidR="008A61CD" w:rsidRPr="00F85635" w:rsidRDefault="008A61CD" w:rsidP="008A61CD">
      <w:pPr>
        <w:rPr>
          <w:rFonts w:ascii="Arial" w:hAnsi="Arial" w:cs="Arial"/>
          <w:b/>
          <w:u w:val="single"/>
          <w:lang w:val="en-ZA"/>
        </w:rPr>
      </w:pPr>
    </w:p>
    <w:tbl>
      <w:tblPr>
        <w:tblStyle w:val="TableGrid"/>
        <w:tblW w:w="0" w:type="auto"/>
        <w:tblInd w:w="5353" w:type="dxa"/>
        <w:tblLook w:val="04A0" w:firstRow="1" w:lastRow="0" w:firstColumn="1" w:lastColumn="0" w:noHBand="0" w:noVBand="1"/>
      </w:tblPr>
      <w:tblGrid>
        <w:gridCol w:w="3663"/>
      </w:tblGrid>
      <w:tr w:rsidR="008A61CD" w:rsidRPr="00F85635" w:rsidTr="00656D5A">
        <w:trPr>
          <w:trHeight w:val="682"/>
        </w:trPr>
        <w:tc>
          <w:tcPr>
            <w:tcW w:w="3705" w:type="dxa"/>
            <w:shd w:val="clear" w:color="auto" w:fill="FFFFFF" w:themeFill="background1"/>
          </w:tcPr>
          <w:p w:rsidR="008A61CD" w:rsidRPr="00F85635" w:rsidRDefault="008A61CD" w:rsidP="00656D5A">
            <w:pPr>
              <w:ind w:right="-230"/>
              <w:rPr>
                <w:rFonts w:ascii="Arial" w:hAnsi="Arial" w:cs="Arial"/>
                <w:b/>
                <w:sz w:val="16"/>
                <w:szCs w:val="16"/>
                <w:lang w:val="en-ZA"/>
              </w:rPr>
            </w:pPr>
            <w:r w:rsidRPr="00F85635">
              <w:rPr>
                <w:rFonts w:ascii="Arial" w:hAnsi="Arial" w:cs="Arial"/>
                <w:b/>
                <w:sz w:val="16"/>
                <w:szCs w:val="16"/>
                <w:lang w:val="en-ZA"/>
              </w:rPr>
              <w:t>Reportable:                              YES/NO</w:t>
            </w:r>
          </w:p>
          <w:p w:rsidR="008A61CD" w:rsidRPr="00F85635" w:rsidRDefault="008A61CD" w:rsidP="00656D5A">
            <w:pPr>
              <w:rPr>
                <w:rFonts w:ascii="Arial" w:hAnsi="Arial" w:cs="Arial"/>
                <w:b/>
                <w:sz w:val="16"/>
                <w:szCs w:val="16"/>
                <w:lang w:val="en-ZA"/>
              </w:rPr>
            </w:pPr>
            <w:r w:rsidRPr="00F85635">
              <w:rPr>
                <w:rFonts w:ascii="Arial" w:hAnsi="Arial" w:cs="Arial"/>
                <w:b/>
                <w:sz w:val="16"/>
                <w:szCs w:val="16"/>
                <w:lang w:val="en-ZA"/>
              </w:rPr>
              <w:t>Of Interest to other Judges:   YES/NO</w:t>
            </w:r>
          </w:p>
          <w:p w:rsidR="008A61CD" w:rsidRPr="00F85635" w:rsidRDefault="008A61CD" w:rsidP="00656D5A">
            <w:pPr>
              <w:rPr>
                <w:rFonts w:ascii="Arial" w:hAnsi="Arial" w:cs="Arial"/>
                <w:b/>
                <w:sz w:val="16"/>
                <w:szCs w:val="16"/>
                <w:u w:val="single"/>
                <w:lang w:val="en-ZA"/>
              </w:rPr>
            </w:pPr>
            <w:r w:rsidRPr="00F85635">
              <w:rPr>
                <w:rFonts w:ascii="Arial" w:hAnsi="Arial" w:cs="Arial"/>
                <w:b/>
                <w:sz w:val="16"/>
                <w:szCs w:val="16"/>
                <w:lang w:val="en-ZA"/>
              </w:rPr>
              <w:t>Circulate to Magistrates:       YES/NO</w:t>
            </w:r>
          </w:p>
        </w:tc>
      </w:tr>
    </w:tbl>
    <w:p w:rsidR="008A61CD" w:rsidRPr="00F85635" w:rsidRDefault="008A61CD" w:rsidP="008A61CD">
      <w:pPr>
        <w:jc w:val="both"/>
        <w:rPr>
          <w:rFonts w:ascii="Arial" w:hAnsi="Arial" w:cs="Arial"/>
          <w:b/>
          <w:sz w:val="28"/>
          <w:szCs w:val="28"/>
          <w:lang w:val="en-ZA"/>
        </w:rPr>
      </w:pPr>
    </w:p>
    <w:p w:rsidR="008A61CD" w:rsidRPr="00467903" w:rsidRDefault="001B4282" w:rsidP="008A61CD">
      <w:pPr>
        <w:jc w:val="right"/>
        <w:rPr>
          <w:rFonts w:ascii="Arial" w:hAnsi="Arial" w:cs="Arial"/>
          <w:lang w:val="en-ZA"/>
        </w:rPr>
      </w:pPr>
      <w:r>
        <w:rPr>
          <w:rFonts w:ascii="Arial" w:hAnsi="Arial" w:cs="Arial"/>
          <w:lang w:val="en-ZA"/>
        </w:rPr>
        <w:t>Appeal number:   A128/2022</w:t>
      </w:r>
    </w:p>
    <w:p w:rsidR="008A61CD" w:rsidRPr="00467903" w:rsidRDefault="008A61CD" w:rsidP="008A61CD">
      <w:pPr>
        <w:jc w:val="both"/>
        <w:rPr>
          <w:rFonts w:ascii="Arial" w:hAnsi="Arial" w:cs="Arial"/>
          <w:lang w:val="en-ZA"/>
        </w:rPr>
      </w:pPr>
    </w:p>
    <w:p w:rsidR="008A61CD" w:rsidRPr="00467903" w:rsidRDefault="008A61CD" w:rsidP="008A61CD">
      <w:pPr>
        <w:jc w:val="both"/>
        <w:rPr>
          <w:rFonts w:ascii="Arial" w:hAnsi="Arial" w:cs="Arial"/>
          <w:lang w:val="en-ZA"/>
        </w:rPr>
      </w:pPr>
    </w:p>
    <w:p w:rsidR="008A61CD" w:rsidRPr="00467903" w:rsidRDefault="008A61CD" w:rsidP="008A61CD">
      <w:pPr>
        <w:jc w:val="both"/>
        <w:rPr>
          <w:rFonts w:ascii="Arial" w:hAnsi="Arial" w:cs="Arial"/>
          <w:lang w:val="en-ZA"/>
        </w:rPr>
      </w:pPr>
      <w:r w:rsidRPr="00467903">
        <w:rPr>
          <w:rFonts w:ascii="Arial" w:hAnsi="Arial" w:cs="Arial"/>
          <w:lang w:val="en-ZA"/>
        </w:rPr>
        <w:t xml:space="preserve">In the matter between: </w:t>
      </w:r>
    </w:p>
    <w:p w:rsidR="008A61CD" w:rsidRPr="00467903" w:rsidRDefault="008A61CD" w:rsidP="008A61CD">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u w:val="single"/>
          <w:lang w:val="en-ZA"/>
        </w:rPr>
      </w:pPr>
    </w:p>
    <w:p w:rsidR="008A61CD" w:rsidRPr="00467903" w:rsidRDefault="001B4282" w:rsidP="008A61CD">
      <w:pPr>
        <w:tabs>
          <w:tab w:val="left" w:pos="720"/>
          <w:tab w:val="left" w:pos="1440"/>
          <w:tab w:val="left" w:pos="2160"/>
          <w:tab w:val="left" w:pos="2880"/>
          <w:tab w:val="left" w:pos="3600"/>
          <w:tab w:val="left" w:pos="4320"/>
          <w:tab w:val="left" w:pos="5040"/>
          <w:tab w:val="left" w:pos="5760"/>
          <w:tab w:val="left" w:pos="6480"/>
          <w:tab w:val="right" w:pos="9026"/>
        </w:tabs>
        <w:spacing w:line="360" w:lineRule="auto"/>
        <w:jc w:val="both"/>
        <w:rPr>
          <w:rFonts w:ascii="Arial" w:hAnsi="Arial" w:cs="Arial"/>
          <w:lang w:val="en-ZA"/>
        </w:rPr>
      </w:pPr>
      <w:r>
        <w:rPr>
          <w:rFonts w:ascii="Arial" w:hAnsi="Arial" w:cs="Arial"/>
          <w:b/>
          <w:lang w:val="en-ZA"/>
        </w:rPr>
        <w:t>WENDELENE MALLETT</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Pr="00467903">
        <w:rPr>
          <w:rFonts w:ascii="Arial" w:hAnsi="Arial" w:cs="Arial"/>
          <w:lang w:val="en-ZA"/>
        </w:rPr>
        <w:tab/>
      </w:r>
      <w:r w:rsidR="008A61CD" w:rsidRPr="00467903">
        <w:rPr>
          <w:rFonts w:ascii="Arial" w:hAnsi="Arial" w:cs="Arial"/>
          <w:vertAlign w:val="superscript"/>
          <w:lang w:val="en-ZA"/>
        </w:rPr>
        <w:t xml:space="preserve"> </w:t>
      </w:r>
      <w:r w:rsidR="008D3FD5">
        <w:rPr>
          <w:rFonts w:ascii="Arial" w:hAnsi="Arial" w:cs="Arial"/>
          <w:vertAlign w:val="superscript"/>
          <w:lang w:val="en-ZA"/>
        </w:rPr>
        <w:t xml:space="preserve">    </w:t>
      </w:r>
      <w:r w:rsidR="008D3FD5">
        <w:rPr>
          <w:rFonts w:ascii="Arial" w:hAnsi="Arial" w:cs="Arial"/>
          <w:vertAlign w:val="superscript"/>
          <w:lang w:val="en-ZA"/>
        </w:rPr>
        <w:tab/>
      </w:r>
      <w:r w:rsidR="008A61CD" w:rsidRPr="00467903">
        <w:rPr>
          <w:rFonts w:ascii="Arial" w:hAnsi="Arial" w:cs="Arial"/>
          <w:lang w:val="en-ZA"/>
        </w:rPr>
        <w:t>Appellant</w:t>
      </w:r>
    </w:p>
    <w:p w:rsidR="008A61CD" w:rsidRPr="00467903" w:rsidRDefault="008A61CD" w:rsidP="008A61CD">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lang w:val="en-ZA"/>
        </w:rPr>
      </w:pPr>
    </w:p>
    <w:p w:rsidR="008A61CD" w:rsidRPr="00467903" w:rsidRDefault="008A61CD" w:rsidP="008A61CD">
      <w:pPr>
        <w:jc w:val="both"/>
        <w:rPr>
          <w:rFonts w:ascii="Arial" w:hAnsi="Arial" w:cs="Arial"/>
          <w:lang w:val="en-ZA"/>
        </w:rPr>
      </w:pPr>
      <w:r w:rsidRPr="00467903">
        <w:rPr>
          <w:rFonts w:ascii="Arial" w:hAnsi="Arial" w:cs="Arial"/>
          <w:lang w:val="en-ZA"/>
        </w:rPr>
        <w:t xml:space="preserve">and </w:t>
      </w:r>
    </w:p>
    <w:p w:rsidR="008A61CD" w:rsidRPr="00467903" w:rsidRDefault="008A61CD" w:rsidP="008A61CD">
      <w:pPr>
        <w:jc w:val="both"/>
        <w:rPr>
          <w:rFonts w:ascii="Arial" w:hAnsi="Arial" w:cs="Arial"/>
          <w:lang w:val="en-ZA"/>
        </w:rPr>
      </w:pPr>
    </w:p>
    <w:p w:rsidR="008A61CD" w:rsidRPr="00467903" w:rsidRDefault="008A61CD" w:rsidP="008A61C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rFonts w:ascii="Arial" w:hAnsi="Arial" w:cs="Arial"/>
          <w:b/>
          <w:u w:val="single"/>
          <w:lang w:val="en-ZA"/>
        </w:rPr>
      </w:pPr>
    </w:p>
    <w:p w:rsidR="008A61CD" w:rsidRDefault="001B4282" w:rsidP="008A61C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rFonts w:ascii="Arial" w:hAnsi="Arial" w:cs="Arial"/>
          <w:lang w:val="en-ZA"/>
        </w:rPr>
      </w:pPr>
      <w:r>
        <w:rPr>
          <w:rFonts w:ascii="Arial" w:hAnsi="Arial" w:cs="Arial"/>
          <w:b/>
          <w:lang w:val="en-ZA"/>
        </w:rPr>
        <w:t xml:space="preserve">FIRSTRAND BANK </w:t>
      </w:r>
      <w:r w:rsidR="009213A6">
        <w:rPr>
          <w:rFonts w:ascii="Arial" w:hAnsi="Arial" w:cs="Arial"/>
          <w:b/>
          <w:lang w:val="en-ZA"/>
        </w:rPr>
        <w:t xml:space="preserve">LTD </w:t>
      </w:r>
      <w:r>
        <w:rPr>
          <w:rFonts w:ascii="Arial" w:hAnsi="Arial" w:cs="Arial"/>
          <w:b/>
          <w:lang w:val="en-ZA"/>
        </w:rPr>
        <w:t>t/a FIRST NATIONAL BANK</w:t>
      </w:r>
      <w:r w:rsidR="009213A6">
        <w:rPr>
          <w:rFonts w:ascii="Arial" w:hAnsi="Arial" w:cs="Arial"/>
          <w:lang w:val="en-ZA"/>
        </w:rPr>
        <w:tab/>
        <w:t xml:space="preserve">         </w:t>
      </w:r>
      <w:r>
        <w:rPr>
          <w:rFonts w:ascii="Arial" w:hAnsi="Arial" w:cs="Arial"/>
          <w:lang w:val="en-ZA"/>
        </w:rPr>
        <w:t>First</w:t>
      </w:r>
      <w:r w:rsidR="008D3FD5">
        <w:rPr>
          <w:rFonts w:ascii="Arial" w:hAnsi="Arial" w:cs="Arial"/>
          <w:lang w:val="en-ZA"/>
        </w:rPr>
        <w:t xml:space="preserve"> </w:t>
      </w:r>
      <w:r w:rsidR="008A61CD" w:rsidRPr="00467903">
        <w:rPr>
          <w:rFonts w:ascii="Arial" w:hAnsi="Arial" w:cs="Arial"/>
          <w:lang w:val="en-ZA"/>
        </w:rPr>
        <w:t>Respondent</w:t>
      </w:r>
    </w:p>
    <w:p w:rsidR="001B4282" w:rsidRDefault="001B4282" w:rsidP="008A61C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rFonts w:ascii="Arial" w:hAnsi="Arial" w:cs="Arial"/>
          <w:lang w:val="en-ZA"/>
        </w:rPr>
      </w:pPr>
    </w:p>
    <w:p w:rsidR="001B4282" w:rsidRDefault="009213A6" w:rsidP="001B4282">
      <w:pPr>
        <w:pBdr>
          <w:bottom w:val="single" w:sz="12" w:space="1" w:color="auto"/>
        </w:pBdr>
        <w:jc w:val="both"/>
        <w:rPr>
          <w:rFonts w:ascii="Arial" w:hAnsi="Arial" w:cs="Arial"/>
          <w:lang w:val="en-ZA"/>
        </w:rPr>
      </w:pPr>
      <w:r>
        <w:rPr>
          <w:rFonts w:ascii="Arial" w:hAnsi="Arial" w:cs="Arial"/>
          <w:b/>
          <w:lang w:val="en-ZA"/>
        </w:rPr>
        <w:t>HO</w:t>
      </w:r>
      <w:r w:rsidR="001B4282">
        <w:rPr>
          <w:rFonts w:ascii="Arial" w:hAnsi="Arial" w:cs="Arial"/>
          <w:b/>
          <w:lang w:val="en-ZA"/>
        </w:rPr>
        <w:t>KANANG COMMUNICATION SOLUTION</w:t>
      </w:r>
      <w:r w:rsidR="001B4282">
        <w:rPr>
          <w:rFonts w:ascii="Arial" w:hAnsi="Arial" w:cs="Arial"/>
          <w:b/>
          <w:lang w:val="en-ZA"/>
        </w:rPr>
        <w:tab/>
      </w:r>
      <w:r w:rsidR="001B4282" w:rsidRPr="00467903">
        <w:rPr>
          <w:rFonts w:ascii="Arial" w:hAnsi="Arial" w:cs="Arial"/>
          <w:lang w:val="en-ZA"/>
        </w:rPr>
        <w:tab/>
      </w:r>
      <w:r w:rsidR="001B4282" w:rsidRPr="00467903">
        <w:rPr>
          <w:rFonts w:ascii="Arial" w:hAnsi="Arial" w:cs="Arial"/>
          <w:lang w:val="en-ZA"/>
        </w:rPr>
        <w:tab/>
        <w:t xml:space="preserve"> </w:t>
      </w:r>
      <w:r w:rsidR="001B4282">
        <w:rPr>
          <w:rFonts w:ascii="Arial" w:hAnsi="Arial" w:cs="Arial"/>
          <w:lang w:val="en-ZA"/>
        </w:rPr>
        <w:t xml:space="preserve">   </w:t>
      </w:r>
      <w:r w:rsidR="001B4282" w:rsidRPr="00467903">
        <w:rPr>
          <w:rFonts w:ascii="Arial" w:hAnsi="Arial" w:cs="Arial"/>
          <w:lang w:val="en-ZA"/>
        </w:rPr>
        <w:t xml:space="preserve"> </w:t>
      </w:r>
      <w:r w:rsidR="001B4282">
        <w:rPr>
          <w:rFonts w:ascii="Arial" w:hAnsi="Arial" w:cs="Arial"/>
          <w:lang w:val="en-ZA"/>
        </w:rPr>
        <w:t xml:space="preserve">Second </w:t>
      </w:r>
      <w:r w:rsidR="001B4282" w:rsidRPr="00467903">
        <w:rPr>
          <w:rFonts w:ascii="Arial" w:hAnsi="Arial" w:cs="Arial"/>
          <w:lang w:val="en-ZA"/>
        </w:rPr>
        <w:t>Respondent</w:t>
      </w:r>
    </w:p>
    <w:p w:rsidR="001B4282" w:rsidRDefault="001B4282" w:rsidP="001B4282">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rFonts w:ascii="Arial" w:hAnsi="Arial" w:cs="Arial"/>
          <w:lang w:val="en-ZA"/>
        </w:rPr>
      </w:pPr>
    </w:p>
    <w:p w:rsidR="001B4282" w:rsidRDefault="009213A6" w:rsidP="001B4282">
      <w:pPr>
        <w:pBdr>
          <w:bottom w:val="single" w:sz="12" w:space="1" w:color="auto"/>
        </w:pBdr>
        <w:rPr>
          <w:rFonts w:ascii="Arial" w:hAnsi="Arial" w:cs="Arial"/>
          <w:lang w:val="en-ZA"/>
        </w:rPr>
      </w:pPr>
      <w:r>
        <w:rPr>
          <w:rFonts w:ascii="Arial" w:hAnsi="Arial" w:cs="Arial"/>
          <w:b/>
          <w:lang w:val="en-ZA"/>
        </w:rPr>
        <w:t xml:space="preserve">LOURENS JACOBS </w:t>
      </w:r>
      <w:r w:rsidR="001B4282">
        <w:rPr>
          <w:rFonts w:ascii="Arial" w:hAnsi="Arial" w:cs="Arial"/>
          <w:b/>
          <w:lang w:val="en-ZA"/>
        </w:rPr>
        <w:t xml:space="preserve"> VISSER</w:t>
      </w:r>
      <w:r w:rsidR="001B4282" w:rsidRPr="00467903">
        <w:rPr>
          <w:rFonts w:ascii="Arial" w:hAnsi="Arial" w:cs="Arial"/>
          <w:lang w:val="en-ZA"/>
        </w:rPr>
        <w:tab/>
      </w:r>
      <w:r w:rsidR="001B4282" w:rsidRPr="00467903">
        <w:rPr>
          <w:rFonts w:ascii="Arial" w:hAnsi="Arial" w:cs="Arial"/>
          <w:lang w:val="en-ZA"/>
        </w:rPr>
        <w:tab/>
        <w:t xml:space="preserve">  </w:t>
      </w:r>
      <w:r w:rsidR="001B4282">
        <w:rPr>
          <w:rFonts w:ascii="Arial" w:hAnsi="Arial" w:cs="Arial"/>
          <w:lang w:val="en-ZA"/>
        </w:rPr>
        <w:t xml:space="preserve">      </w:t>
      </w:r>
      <w:r w:rsidR="001B4282">
        <w:rPr>
          <w:rFonts w:ascii="Arial" w:hAnsi="Arial" w:cs="Arial"/>
          <w:lang w:val="en-ZA"/>
        </w:rPr>
        <w:tab/>
        <w:t xml:space="preserve">         </w:t>
      </w:r>
      <w:r>
        <w:rPr>
          <w:rFonts w:ascii="Arial" w:hAnsi="Arial" w:cs="Arial"/>
          <w:lang w:val="en-ZA"/>
        </w:rPr>
        <w:tab/>
      </w:r>
      <w:r>
        <w:rPr>
          <w:rFonts w:ascii="Arial" w:hAnsi="Arial" w:cs="Arial"/>
          <w:lang w:val="en-ZA"/>
        </w:rPr>
        <w:tab/>
        <w:t xml:space="preserve">         </w:t>
      </w:r>
      <w:r w:rsidR="001B4282">
        <w:rPr>
          <w:rFonts w:ascii="Arial" w:hAnsi="Arial" w:cs="Arial"/>
          <w:lang w:val="en-ZA"/>
        </w:rPr>
        <w:t xml:space="preserve">Third </w:t>
      </w:r>
      <w:r w:rsidR="001B4282" w:rsidRPr="00467903">
        <w:rPr>
          <w:rFonts w:ascii="Arial" w:hAnsi="Arial" w:cs="Arial"/>
          <w:lang w:val="en-ZA"/>
        </w:rPr>
        <w:t>Respondent</w:t>
      </w:r>
    </w:p>
    <w:p w:rsidR="001B4282" w:rsidRDefault="001B4282" w:rsidP="001B4282">
      <w:pPr>
        <w:pBdr>
          <w:bottom w:val="single" w:sz="12" w:space="1" w:color="auto"/>
        </w:pBdr>
        <w:rPr>
          <w:rFonts w:ascii="Arial" w:hAnsi="Arial" w:cs="Arial"/>
          <w:lang w:val="en-ZA"/>
        </w:rPr>
      </w:pPr>
    </w:p>
    <w:p w:rsidR="001B4282" w:rsidRPr="00467903" w:rsidRDefault="009213A6" w:rsidP="001B4282">
      <w:pPr>
        <w:pBdr>
          <w:bottom w:val="single" w:sz="12" w:space="1" w:color="auto"/>
        </w:pBdr>
        <w:rPr>
          <w:rFonts w:ascii="Arial" w:hAnsi="Arial" w:cs="Arial"/>
          <w:lang w:val="en-ZA"/>
        </w:rPr>
      </w:pPr>
      <w:r>
        <w:rPr>
          <w:rFonts w:ascii="Arial" w:hAnsi="Arial" w:cs="Arial"/>
          <w:b/>
          <w:lang w:val="en-ZA"/>
        </w:rPr>
        <w:t>CORNELIA JOHANNA ALETTE VISSER</w:t>
      </w:r>
      <w:r w:rsidRPr="00467903">
        <w:rPr>
          <w:rFonts w:ascii="Arial" w:hAnsi="Arial" w:cs="Arial"/>
          <w:lang w:val="en-ZA"/>
        </w:rPr>
        <w:tab/>
      </w:r>
      <w:r w:rsidRPr="00467903">
        <w:rPr>
          <w:rFonts w:ascii="Arial" w:hAnsi="Arial" w:cs="Arial"/>
          <w:lang w:val="en-ZA"/>
        </w:rPr>
        <w:tab/>
        <w:t xml:space="preserve">  </w:t>
      </w:r>
      <w:r>
        <w:rPr>
          <w:rFonts w:ascii="Arial" w:hAnsi="Arial" w:cs="Arial"/>
          <w:lang w:val="en-ZA"/>
        </w:rPr>
        <w:t xml:space="preserve">      </w:t>
      </w:r>
      <w:r>
        <w:rPr>
          <w:rFonts w:ascii="Arial" w:hAnsi="Arial" w:cs="Arial"/>
          <w:lang w:val="en-ZA"/>
        </w:rPr>
        <w:tab/>
        <w:t xml:space="preserve">       Fourth </w:t>
      </w:r>
      <w:r w:rsidRPr="00467903">
        <w:rPr>
          <w:rFonts w:ascii="Arial" w:hAnsi="Arial" w:cs="Arial"/>
          <w:lang w:val="en-ZA"/>
        </w:rPr>
        <w:t>Respondent</w:t>
      </w:r>
    </w:p>
    <w:p w:rsidR="008A61CD" w:rsidRPr="00467903" w:rsidRDefault="008A61CD" w:rsidP="008A61CD">
      <w:pPr>
        <w:pBdr>
          <w:bottom w:val="single" w:sz="12" w:space="1" w:color="auto"/>
        </w:pBdr>
        <w:jc w:val="both"/>
        <w:rPr>
          <w:rFonts w:ascii="Arial" w:hAnsi="Arial" w:cs="Arial"/>
          <w:b/>
          <w:lang w:val="en-ZA"/>
        </w:rPr>
      </w:pPr>
      <w:r w:rsidRPr="00467903">
        <w:rPr>
          <w:rFonts w:ascii="Arial" w:hAnsi="Arial" w:cs="Arial"/>
          <w:b/>
          <w:lang w:val="en-ZA"/>
        </w:rPr>
        <w:tab/>
      </w:r>
      <w:r w:rsidRPr="00467903">
        <w:rPr>
          <w:rFonts w:ascii="Arial" w:hAnsi="Arial" w:cs="Arial"/>
          <w:b/>
          <w:lang w:val="en-ZA"/>
        </w:rPr>
        <w:tab/>
      </w:r>
    </w:p>
    <w:p w:rsidR="008A61CD" w:rsidRPr="00467903" w:rsidRDefault="008A61CD" w:rsidP="008A61CD">
      <w:pPr>
        <w:pBdr>
          <w:bottom w:val="single" w:sz="6" w:space="1" w:color="auto"/>
        </w:pBdr>
        <w:contextualSpacing/>
        <w:jc w:val="both"/>
        <w:rPr>
          <w:rFonts w:ascii="Arial" w:hAnsi="Arial" w:cs="Arial"/>
          <w:b/>
          <w:u w:val="single"/>
          <w:lang w:val="en-ZA"/>
        </w:rPr>
      </w:pPr>
    </w:p>
    <w:p w:rsidR="008A61CD" w:rsidRPr="00467903" w:rsidRDefault="008A61CD" w:rsidP="008A61CD">
      <w:pPr>
        <w:pBdr>
          <w:bottom w:val="single" w:sz="6" w:space="1" w:color="auto"/>
        </w:pBdr>
        <w:contextualSpacing/>
        <w:jc w:val="both"/>
        <w:rPr>
          <w:rFonts w:ascii="Arial" w:hAnsi="Arial" w:cs="Arial"/>
          <w:lang w:val="en-ZA"/>
        </w:rPr>
      </w:pPr>
      <w:r w:rsidRPr="00467903">
        <w:rPr>
          <w:rFonts w:ascii="Arial" w:hAnsi="Arial" w:cs="Arial"/>
          <w:b/>
          <w:u w:val="single"/>
          <w:lang w:val="en-ZA"/>
        </w:rPr>
        <w:t>CORAM:</w:t>
      </w:r>
      <w:r w:rsidRPr="00467903">
        <w:rPr>
          <w:rFonts w:ascii="Arial" w:hAnsi="Arial" w:cs="Arial"/>
          <w:b/>
          <w:lang w:val="en-ZA"/>
        </w:rPr>
        <w:tab/>
      </w:r>
      <w:r w:rsidRPr="00467903">
        <w:rPr>
          <w:rFonts w:ascii="Arial" w:hAnsi="Arial" w:cs="Arial"/>
          <w:b/>
          <w:lang w:val="en-ZA"/>
        </w:rPr>
        <w:tab/>
      </w:r>
      <w:r w:rsidRPr="00467903">
        <w:rPr>
          <w:rFonts w:ascii="Arial" w:hAnsi="Arial" w:cs="Arial"/>
          <w:b/>
          <w:lang w:val="en-ZA"/>
        </w:rPr>
        <w:tab/>
      </w:r>
      <w:r w:rsidRPr="00467903">
        <w:rPr>
          <w:rFonts w:ascii="Arial" w:hAnsi="Arial" w:cs="Arial"/>
          <w:lang w:val="en-ZA"/>
        </w:rPr>
        <w:t xml:space="preserve">MATHEBULA, J </w:t>
      </w:r>
      <w:r w:rsidRPr="00467903">
        <w:rPr>
          <w:rFonts w:ascii="Arial" w:hAnsi="Arial" w:cs="Arial"/>
          <w:i/>
          <w:lang w:val="en-ZA"/>
        </w:rPr>
        <w:t xml:space="preserve">et </w:t>
      </w:r>
      <w:r w:rsidR="001B4282">
        <w:rPr>
          <w:rFonts w:ascii="Arial" w:hAnsi="Arial" w:cs="Arial"/>
          <w:lang w:val="en-ZA"/>
        </w:rPr>
        <w:t>RANTHO, AJ</w:t>
      </w:r>
    </w:p>
    <w:p w:rsidR="008A61CD" w:rsidRPr="00467903" w:rsidRDefault="008A61CD" w:rsidP="008A61CD">
      <w:pPr>
        <w:pBdr>
          <w:bottom w:val="single" w:sz="6" w:space="1" w:color="auto"/>
        </w:pBdr>
        <w:contextualSpacing/>
        <w:jc w:val="both"/>
        <w:rPr>
          <w:rFonts w:ascii="Arial" w:hAnsi="Arial" w:cs="Arial"/>
          <w:b/>
          <w:lang w:val="en-ZA"/>
        </w:rPr>
      </w:pPr>
    </w:p>
    <w:p w:rsidR="008A61CD" w:rsidRPr="00467903" w:rsidRDefault="008A61CD" w:rsidP="008A61CD">
      <w:pPr>
        <w:contextualSpacing/>
        <w:jc w:val="both"/>
        <w:rPr>
          <w:rFonts w:ascii="Arial" w:hAnsi="Arial" w:cs="Arial"/>
          <w:b/>
          <w:u w:val="single"/>
          <w:lang w:val="en-ZA"/>
        </w:rPr>
      </w:pPr>
    </w:p>
    <w:p w:rsidR="008A61CD" w:rsidRPr="00467903" w:rsidRDefault="008A61CD" w:rsidP="008A61CD">
      <w:pPr>
        <w:contextualSpacing/>
        <w:jc w:val="both"/>
        <w:rPr>
          <w:rFonts w:ascii="Arial" w:hAnsi="Arial" w:cs="Arial"/>
          <w:u w:val="single"/>
          <w:lang w:val="en-ZA"/>
        </w:rPr>
      </w:pPr>
      <w:r w:rsidRPr="00467903">
        <w:rPr>
          <w:rFonts w:ascii="Arial" w:hAnsi="Arial" w:cs="Arial"/>
          <w:b/>
          <w:u w:val="single"/>
          <w:lang w:val="en-ZA"/>
        </w:rPr>
        <w:t>HEARD ON:</w:t>
      </w:r>
      <w:r w:rsidRPr="00467903">
        <w:rPr>
          <w:rFonts w:ascii="Arial" w:hAnsi="Arial" w:cs="Arial"/>
          <w:lang w:val="en-ZA"/>
        </w:rPr>
        <w:tab/>
      </w:r>
      <w:r w:rsidRPr="00467903">
        <w:rPr>
          <w:rFonts w:ascii="Arial" w:hAnsi="Arial" w:cs="Arial"/>
          <w:lang w:val="en-ZA"/>
        </w:rPr>
        <w:tab/>
      </w:r>
      <w:r w:rsidR="00467903">
        <w:rPr>
          <w:rFonts w:ascii="Arial" w:hAnsi="Arial" w:cs="Arial"/>
          <w:lang w:val="en-ZA"/>
        </w:rPr>
        <w:tab/>
      </w:r>
      <w:r w:rsidR="001B4282">
        <w:rPr>
          <w:rFonts w:ascii="Arial" w:hAnsi="Arial" w:cs="Arial"/>
          <w:lang w:val="en-ZA"/>
        </w:rPr>
        <w:t>23 JANUARY 2023</w:t>
      </w:r>
      <w:r w:rsidRPr="00467903">
        <w:rPr>
          <w:rFonts w:ascii="Arial" w:hAnsi="Arial" w:cs="Arial"/>
          <w:b/>
          <w:lang w:val="en-ZA"/>
        </w:rPr>
        <w:tab/>
      </w:r>
    </w:p>
    <w:p w:rsidR="008A61CD" w:rsidRPr="00467903" w:rsidRDefault="008A61CD" w:rsidP="008A61CD">
      <w:pPr>
        <w:pBdr>
          <w:bottom w:val="single" w:sz="6" w:space="1" w:color="auto"/>
        </w:pBdr>
        <w:contextualSpacing/>
        <w:jc w:val="both"/>
        <w:rPr>
          <w:rFonts w:ascii="Arial" w:hAnsi="Arial" w:cs="Arial"/>
          <w:b/>
          <w:lang w:val="en-ZA"/>
        </w:rPr>
      </w:pPr>
    </w:p>
    <w:p w:rsidR="008A61CD" w:rsidRPr="00467903" w:rsidRDefault="008A61CD" w:rsidP="008A61CD">
      <w:pPr>
        <w:contextualSpacing/>
        <w:jc w:val="both"/>
        <w:rPr>
          <w:rFonts w:ascii="Arial" w:hAnsi="Arial" w:cs="Arial"/>
          <w:b/>
          <w:lang w:val="en-ZA"/>
        </w:rPr>
      </w:pPr>
    </w:p>
    <w:p w:rsidR="008A61CD" w:rsidRPr="00467903" w:rsidRDefault="008A61CD" w:rsidP="008A61CD">
      <w:pPr>
        <w:contextualSpacing/>
        <w:jc w:val="both"/>
        <w:rPr>
          <w:rFonts w:ascii="Arial" w:hAnsi="Arial" w:cs="Arial"/>
          <w:u w:val="single"/>
          <w:lang w:val="en-ZA"/>
        </w:rPr>
      </w:pPr>
      <w:r w:rsidRPr="00467903">
        <w:rPr>
          <w:rFonts w:ascii="Arial" w:hAnsi="Arial" w:cs="Arial"/>
          <w:b/>
          <w:u w:val="single"/>
          <w:lang w:val="en-ZA"/>
        </w:rPr>
        <w:t>JUDGMENT BY:</w:t>
      </w:r>
      <w:r w:rsidRPr="00467903">
        <w:rPr>
          <w:rFonts w:ascii="Arial" w:hAnsi="Arial" w:cs="Arial"/>
          <w:b/>
          <w:lang w:val="en-ZA"/>
        </w:rPr>
        <w:tab/>
      </w:r>
      <w:r w:rsidRPr="00467903">
        <w:rPr>
          <w:rFonts w:ascii="Arial" w:hAnsi="Arial" w:cs="Arial"/>
          <w:b/>
          <w:lang w:val="en-ZA"/>
        </w:rPr>
        <w:tab/>
      </w:r>
      <w:r w:rsidR="001B4282">
        <w:rPr>
          <w:rFonts w:ascii="Arial" w:hAnsi="Arial" w:cs="Arial"/>
          <w:lang w:val="en-ZA"/>
        </w:rPr>
        <w:t>RANTHO, AJ</w:t>
      </w:r>
      <w:r w:rsidRPr="00467903">
        <w:rPr>
          <w:rFonts w:ascii="Arial" w:hAnsi="Arial" w:cs="Arial"/>
          <w:b/>
          <w:lang w:val="en-ZA"/>
        </w:rPr>
        <w:tab/>
      </w:r>
    </w:p>
    <w:p w:rsidR="008A61CD" w:rsidRPr="00467903" w:rsidRDefault="008A61CD" w:rsidP="008A61CD">
      <w:pPr>
        <w:pBdr>
          <w:bottom w:val="single" w:sz="6" w:space="1" w:color="auto"/>
        </w:pBdr>
        <w:contextualSpacing/>
        <w:jc w:val="both"/>
        <w:rPr>
          <w:rFonts w:ascii="Arial" w:hAnsi="Arial" w:cs="Arial"/>
          <w:b/>
          <w:lang w:val="en-ZA"/>
        </w:rPr>
      </w:pPr>
    </w:p>
    <w:p w:rsidR="008A61CD" w:rsidRPr="00467903" w:rsidRDefault="008A61CD" w:rsidP="008A61CD">
      <w:pPr>
        <w:contextualSpacing/>
        <w:jc w:val="both"/>
        <w:rPr>
          <w:rFonts w:ascii="Arial" w:hAnsi="Arial" w:cs="Arial"/>
          <w:b/>
          <w:lang w:val="en-ZA"/>
        </w:rPr>
      </w:pPr>
    </w:p>
    <w:p w:rsidR="008A61CD" w:rsidRPr="00467903" w:rsidRDefault="008A61CD" w:rsidP="008A61CD">
      <w:pPr>
        <w:tabs>
          <w:tab w:val="left" w:pos="2940"/>
        </w:tabs>
        <w:ind w:left="2880" w:hanging="2880"/>
        <w:contextualSpacing/>
        <w:jc w:val="both"/>
        <w:rPr>
          <w:rFonts w:ascii="Arial" w:hAnsi="Arial" w:cs="Arial"/>
          <w:u w:val="single"/>
          <w:lang w:val="en-ZA"/>
        </w:rPr>
      </w:pPr>
      <w:r w:rsidRPr="00467903">
        <w:rPr>
          <w:rFonts w:ascii="Arial" w:hAnsi="Arial" w:cs="Arial"/>
          <w:b/>
          <w:u w:val="single"/>
          <w:lang w:val="en-ZA"/>
        </w:rPr>
        <w:t>DELIVERED ON:</w:t>
      </w:r>
      <w:r w:rsidRPr="00467903">
        <w:rPr>
          <w:rFonts w:ascii="Arial" w:hAnsi="Arial" w:cs="Arial"/>
          <w:lang w:val="en-ZA"/>
        </w:rPr>
        <w:tab/>
      </w:r>
      <w:r w:rsidRPr="00467903">
        <w:rPr>
          <w:rFonts w:ascii="Arial" w:hAnsi="Arial" w:cs="Arial"/>
        </w:rPr>
        <w:t>The judgment was handed down electronically by circulation to the parties’ legal representatives by email a</w:t>
      </w:r>
      <w:r w:rsidR="00EE5E8B">
        <w:rPr>
          <w:rFonts w:ascii="Arial" w:hAnsi="Arial" w:cs="Arial"/>
        </w:rPr>
        <w:t>n</w:t>
      </w:r>
      <w:r w:rsidR="001B4282">
        <w:rPr>
          <w:rFonts w:ascii="Arial" w:hAnsi="Arial" w:cs="Arial"/>
        </w:rPr>
        <w:t xml:space="preserve">d release to SAFLII on </w:t>
      </w:r>
      <w:r w:rsidR="004448EE" w:rsidRPr="004448EE">
        <w:rPr>
          <w:rFonts w:ascii="Arial" w:hAnsi="Arial" w:cs="Arial"/>
        </w:rPr>
        <w:t xml:space="preserve">07 </w:t>
      </w:r>
      <w:r w:rsidR="009213A6" w:rsidRPr="004448EE">
        <w:rPr>
          <w:rFonts w:ascii="Arial" w:hAnsi="Arial" w:cs="Arial"/>
        </w:rPr>
        <w:t>JUNE</w:t>
      </w:r>
      <w:r w:rsidR="001B4282" w:rsidRPr="004448EE">
        <w:rPr>
          <w:rFonts w:ascii="Arial" w:hAnsi="Arial" w:cs="Arial"/>
        </w:rPr>
        <w:t xml:space="preserve"> 2023</w:t>
      </w:r>
      <w:r w:rsidRPr="004448EE">
        <w:rPr>
          <w:rFonts w:ascii="Arial" w:hAnsi="Arial" w:cs="Arial"/>
        </w:rPr>
        <w:t>.</w:t>
      </w:r>
      <w:r w:rsidRPr="00467903">
        <w:rPr>
          <w:rFonts w:ascii="Arial" w:hAnsi="Arial" w:cs="Arial"/>
        </w:rPr>
        <w:t xml:space="preserve"> The date and tim</w:t>
      </w:r>
      <w:r w:rsidR="00EE5E8B">
        <w:rPr>
          <w:rFonts w:ascii="Arial" w:hAnsi="Arial" w:cs="Arial"/>
        </w:rPr>
        <w:t>e for hand-down is deemed to be</w:t>
      </w:r>
      <w:r w:rsidR="001B4282">
        <w:rPr>
          <w:rFonts w:ascii="Arial" w:hAnsi="Arial" w:cs="Arial"/>
        </w:rPr>
        <w:t xml:space="preserve"> </w:t>
      </w:r>
      <w:r w:rsidR="004448EE" w:rsidRPr="004448EE">
        <w:rPr>
          <w:rFonts w:ascii="Arial" w:hAnsi="Arial" w:cs="Arial"/>
        </w:rPr>
        <w:t xml:space="preserve">07 </w:t>
      </w:r>
      <w:r w:rsidR="009213A6" w:rsidRPr="004448EE">
        <w:rPr>
          <w:rFonts w:ascii="Arial" w:hAnsi="Arial" w:cs="Arial"/>
        </w:rPr>
        <w:t>JUNE</w:t>
      </w:r>
      <w:r w:rsidR="001B4282" w:rsidRPr="004448EE">
        <w:rPr>
          <w:rFonts w:ascii="Arial" w:hAnsi="Arial" w:cs="Arial"/>
        </w:rPr>
        <w:t xml:space="preserve"> 2023</w:t>
      </w:r>
      <w:r w:rsidR="006C1563">
        <w:rPr>
          <w:rFonts w:ascii="Arial" w:hAnsi="Arial" w:cs="Arial"/>
        </w:rPr>
        <w:t xml:space="preserve"> at 10</w:t>
      </w:r>
      <w:r w:rsidR="00EE5E8B">
        <w:rPr>
          <w:rFonts w:ascii="Arial" w:hAnsi="Arial" w:cs="Arial"/>
        </w:rPr>
        <w:t>H00</w:t>
      </w:r>
      <w:r w:rsidRPr="00467903">
        <w:rPr>
          <w:rFonts w:ascii="Arial" w:hAnsi="Arial" w:cs="Arial"/>
        </w:rPr>
        <w:t>.</w:t>
      </w:r>
    </w:p>
    <w:p w:rsidR="008A61CD" w:rsidRPr="00467903" w:rsidRDefault="008A61CD" w:rsidP="008A61CD">
      <w:pPr>
        <w:pBdr>
          <w:bottom w:val="single" w:sz="12" w:space="1" w:color="auto"/>
        </w:pBdr>
        <w:tabs>
          <w:tab w:val="left" w:pos="2940"/>
        </w:tabs>
        <w:contextualSpacing/>
        <w:jc w:val="both"/>
        <w:rPr>
          <w:rFonts w:ascii="Arial" w:hAnsi="Arial" w:cs="Arial"/>
          <w:b/>
          <w:lang w:val="en-ZA"/>
        </w:rPr>
      </w:pPr>
    </w:p>
    <w:p w:rsidR="008A61CD" w:rsidRPr="00467903" w:rsidRDefault="008A61CD" w:rsidP="008A61CD">
      <w:pPr>
        <w:jc w:val="both"/>
        <w:rPr>
          <w:rFonts w:ascii="Arial" w:hAnsi="Arial" w:cs="Arial"/>
          <w:b/>
          <w:u w:val="single"/>
          <w:lang w:val="en-ZA"/>
        </w:rPr>
      </w:pPr>
    </w:p>
    <w:p w:rsidR="001B4282" w:rsidRDefault="001B4282" w:rsidP="008A61CD">
      <w:pPr>
        <w:jc w:val="both"/>
        <w:rPr>
          <w:rFonts w:ascii="Arial" w:eastAsiaTheme="minorHAnsi" w:hAnsi="Arial" w:cs="Arial"/>
          <w:b/>
          <w:u w:val="single"/>
          <w:lang w:val="en-ZA" w:eastAsia="en-US"/>
        </w:rPr>
      </w:pPr>
    </w:p>
    <w:p w:rsidR="001B4282" w:rsidRDefault="001B4282" w:rsidP="008A61CD">
      <w:pPr>
        <w:jc w:val="both"/>
        <w:rPr>
          <w:rFonts w:ascii="Arial" w:eastAsiaTheme="minorHAnsi" w:hAnsi="Arial" w:cs="Arial"/>
          <w:b/>
          <w:u w:val="single"/>
          <w:lang w:val="en-ZA" w:eastAsia="en-US"/>
        </w:rPr>
      </w:pPr>
    </w:p>
    <w:p w:rsidR="001B4282" w:rsidRDefault="001B4282" w:rsidP="008A61CD">
      <w:pPr>
        <w:jc w:val="both"/>
        <w:rPr>
          <w:rFonts w:ascii="Arial" w:eastAsiaTheme="minorHAnsi" w:hAnsi="Arial" w:cs="Arial"/>
          <w:b/>
          <w:u w:val="single"/>
          <w:lang w:val="en-ZA" w:eastAsia="en-US"/>
        </w:rPr>
      </w:pPr>
    </w:p>
    <w:p w:rsidR="008A61CD" w:rsidRPr="005935FD" w:rsidRDefault="008A61CD" w:rsidP="008A61CD">
      <w:pPr>
        <w:jc w:val="both"/>
        <w:rPr>
          <w:rFonts w:ascii="Arial" w:eastAsiaTheme="minorHAnsi" w:hAnsi="Arial" w:cs="Arial"/>
          <w:b/>
          <w:u w:val="single"/>
          <w:lang w:val="en-ZA" w:eastAsia="en-US"/>
        </w:rPr>
      </w:pPr>
      <w:r w:rsidRPr="005935FD">
        <w:rPr>
          <w:rFonts w:ascii="Arial" w:eastAsiaTheme="minorHAnsi" w:hAnsi="Arial" w:cs="Arial"/>
          <w:b/>
          <w:u w:val="single"/>
          <w:lang w:val="en-ZA" w:eastAsia="en-US"/>
        </w:rPr>
        <w:t>Introduction</w:t>
      </w:r>
    </w:p>
    <w:p w:rsidR="000F2519" w:rsidRPr="005935FD" w:rsidRDefault="000F2519" w:rsidP="008A61CD">
      <w:pPr>
        <w:jc w:val="both"/>
        <w:rPr>
          <w:rFonts w:ascii="Arial" w:eastAsiaTheme="minorHAnsi" w:hAnsi="Arial" w:cs="Arial"/>
          <w:b/>
          <w:u w:val="single"/>
          <w:lang w:val="en-ZA" w:eastAsia="en-US"/>
        </w:rPr>
      </w:pPr>
    </w:p>
    <w:p w:rsidR="001B4282" w:rsidRPr="005935FD" w:rsidRDefault="001B4282" w:rsidP="008A61CD">
      <w:pPr>
        <w:jc w:val="both"/>
        <w:rPr>
          <w:rFonts w:ascii="Arial" w:hAnsi="Arial" w:cs="Arial"/>
          <w:b/>
          <w:u w:val="single"/>
          <w:lang w:val="en-ZA"/>
        </w:rPr>
      </w:pPr>
    </w:p>
    <w:p w:rsidR="008A61CD" w:rsidRPr="00141235" w:rsidRDefault="008A61CD" w:rsidP="00141235">
      <w:pPr>
        <w:pStyle w:val="ListParagraph"/>
        <w:numPr>
          <w:ilvl w:val="0"/>
          <w:numId w:val="28"/>
        </w:numPr>
        <w:spacing w:line="360" w:lineRule="auto"/>
        <w:jc w:val="both"/>
        <w:rPr>
          <w:rFonts w:ascii="Arial" w:hAnsi="Arial" w:cs="Arial"/>
        </w:rPr>
      </w:pPr>
      <w:r w:rsidRPr="00141235">
        <w:rPr>
          <w:rFonts w:ascii="Arial" w:hAnsi="Arial" w:cs="Arial"/>
          <w:lang w:val="en-ZA"/>
        </w:rPr>
        <w:t xml:space="preserve">This </w:t>
      </w:r>
      <w:r w:rsidR="001B4282" w:rsidRPr="00141235">
        <w:rPr>
          <w:rFonts w:ascii="Arial" w:hAnsi="Arial" w:cs="Arial"/>
        </w:rPr>
        <w:t>is an appeal against the whole judgment and order granted by the Magistrates’ Court for the District of Bloemfontein. It concerns the summary judgment granted against the appellant on 26 August 2022.</w:t>
      </w:r>
    </w:p>
    <w:p w:rsidR="000F2519" w:rsidRPr="005935FD" w:rsidRDefault="000F2519" w:rsidP="0088562D">
      <w:pPr>
        <w:spacing w:line="360" w:lineRule="auto"/>
        <w:ind w:left="720" w:hanging="720"/>
        <w:jc w:val="both"/>
        <w:rPr>
          <w:rFonts w:ascii="Arial" w:hAnsi="Arial" w:cs="Arial"/>
        </w:rPr>
      </w:pPr>
    </w:p>
    <w:p w:rsidR="001B4282" w:rsidRPr="005935FD" w:rsidRDefault="001B4282" w:rsidP="001B4282">
      <w:pPr>
        <w:spacing w:line="360" w:lineRule="auto"/>
        <w:ind w:left="851" w:hanging="851"/>
        <w:jc w:val="both"/>
        <w:rPr>
          <w:rFonts w:ascii="Arial" w:hAnsi="Arial" w:cs="Arial"/>
          <w:lang w:val="en-ZA"/>
        </w:rPr>
      </w:pPr>
    </w:p>
    <w:p w:rsidR="001B4282" w:rsidRPr="005935FD" w:rsidRDefault="001B4282" w:rsidP="001B4282">
      <w:pPr>
        <w:jc w:val="both"/>
        <w:rPr>
          <w:rFonts w:ascii="Arial" w:eastAsiaTheme="minorHAnsi" w:hAnsi="Arial" w:cs="Arial"/>
          <w:b/>
          <w:u w:val="single"/>
          <w:lang w:val="en-ZA" w:eastAsia="en-US"/>
        </w:rPr>
      </w:pPr>
      <w:r w:rsidRPr="005935FD">
        <w:rPr>
          <w:rFonts w:ascii="Arial" w:eastAsiaTheme="minorHAnsi" w:hAnsi="Arial" w:cs="Arial"/>
          <w:b/>
          <w:u w:val="single"/>
          <w:lang w:val="en-ZA" w:eastAsia="en-US"/>
        </w:rPr>
        <w:t>Facts</w:t>
      </w:r>
    </w:p>
    <w:p w:rsidR="001B4282" w:rsidRPr="005935FD" w:rsidRDefault="001B4282" w:rsidP="001B4282">
      <w:pPr>
        <w:spacing w:line="360" w:lineRule="auto"/>
        <w:ind w:left="851" w:hanging="851"/>
        <w:jc w:val="both"/>
        <w:rPr>
          <w:rFonts w:ascii="Arial" w:hAnsi="Arial" w:cs="Arial"/>
          <w:lang w:val="en-ZA"/>
        </w:rPr>
      </w:pPr>
      <w:r w:rsidRPr="005935FD">
        <w:rPr>
          <w:rFonts w:ascii="Arial" w:hAnsi="Arial" w:cs="Arial"/>
          <w:lang w:val="en-ZA"/>
        </w:rPr>
        <w:t xml:space="preserve"> </w:t>
      </w:r>
    </w:p>
    <w:p w:rsidR="00141235" w:rsidRPr="00141235" w:rsidRDefault="00724CF6" w:rsidP="00141235">
      <w:pPr>
        <w:pStyle w:val="ListParagraph"/>
        <w:numPr>
          <w:ilvl w:val="0"/>
          <w:numId w:val="28"/>
        </w:numPr>
        <w:spacing w:line="360" w:lineRule="auto"/>
        <w:jc w:val="both"/>
        <w:rPr>
          <w:rFonts w:ascii="Arial" w:hAnsi="Arial" w:cs="Arial"/>
          <w:lang w:val="en-ZA"/>
        </w:rPr>
      </w:pPr>
      <w:r w:rsidRPr="00141235">
        <w:rPr>
          <w:rFonts w:ascii="Arial" w:hAnsi="Arial" w:cs="Arial"/>
          <w:lang w:val="en-ZA"/>
        </w:rPr>
        <w:t>On 19 April 2021, t</w:t>
      </w:r>
      <w:r w:rsidR="001B4282" w:rsidRPr="00141235">
        <w:rPr>
          <w:rFonts w:ascii="Arial" w:hAnsi="Arial" w:cs="Arial"/>
          <w:lang w:val="en-ZA"/>
        </w:rPr>
        <w:t xml:space="preserve">he </w:t>
      </w:r>
      <w:r w:rsidR="001B4282" w:rsidRPr="00141235">
        <w:rPr>
          <w:rFonts w:ascii="Arial" w:hAnsi="Arial" w:cs="Arial"/>
        </w:rPr>
        <w:t xml:space="preserve">respondent (“the bank”) issued summons </w:t>
      </w:r>
      <w:r w:rsidRPr="00141235">
        <w:rPr>
          <w:rFonts w:ascii="Arial" w:hAnsi="Arial" w:cs="Arial"/>
        </w:rPr>
        <w:t>against the appellant,</w:t>
      </w:r>
      <w:r w:rsidR="00AD7982" w:rsidRPr="00141235">
        <w:rPr>
          <w:rFonts w:ascii="Arial" w:hAnsi="Arial" w:cs="Arial"/>
        </w:rPr>
        <w:t xml:space="preserve"> </w:t>
      </w:r>
      <w:r w:rsidRPr="00141235">
        <w:rPr>
          <w:rFonts w:ascii="Arial" w:hAnsi="Arial" w:cs="Arial"/>
        </w:rPr>
        <w:t xml:space="preserve">who was cited as the fourth </w:t>
      </w:r>
      <w:r w:rsidR="00103072" w:rsidRPr="00141235">
        <w:rPr>
          <w:rFonts w:ascii="Arial" w:hAnsi="Arial" w:cs="Arial"/>
        </w:rPr>
        <w:t xml:space="preserve">defendant in the </w:t>
      </w:r>
      <w:r w:rsidR="00103072" w:rsidRPr="00141235">
        <w:rPr>
          <w:rFonts w:ascii="Arial" w:hAnsi="Arial" w:cs="Arial"/>
          <w:i/>
        </w:rPr>
        <w:t>court a quo</w:t>
      </w:r>
      <w:r w:rsidR="00103072" w:rsidRPr="00141235">
        <w:rPr>
          <w:rFonts w:ascii="Arial" w:hAnsi="Arial" w:cs="Arial"/>
        </w:rPr>
        <w:t>,</w:t>
      </w:r>
      <w:r w:rsidR="004B6B7C" w:rsidRPr="00141235">
        <w:rPr>
          <w:rFonts w:ascii="Arial" w:hAnsi="Arial" w:cs="Arial"/>
        </w:rPr>
        <w:t xml:space="preserve"> </w:t>
      </w:r>
      <w:r w:rsidR="001B4282" w:rsidRPr="00141235">
        <w:rPr>
          <w:rFonts w:ascii="Arial" w:hAnsi="Arial" w:cs="Arial"/>
        </w:rPr>
        <w:t>for payment of the amount of R 189 003.00 plus interest and costs</w:t>
      </w:r>
      <w:r w:rsidRPr="00141235">
        <w:rPr>
          <w:rFonts w:ascii="Arial" w:hAnsi="Arial" w:cs="Arial"/>
        </w:rPr>
        <w:t>.</w:t>
      </w:r>
      <w:r w:rsidR="001B4282" w:rsidRPr="00141235">
        <w:rPr>
          <w:rFonts w:ascii="Arial" w:hAnsi="Arial" w:cs="Arial"/>
        </w:rPr>
        <w:t xml:space="preserve"> </w:t>
      </w:r>
      <w:r w:rsidRPr="00141235">
        <w:rPr>
          <w:rFonts w:ascii="Arial" w:hAnsi="Arial" w:cs="Arial"/>
        </w:rPr>
        <w:t>S</w:t>
      </w:r>
      <w:r w:rsidR="001B4282" w:rsidRPr="00141235">
        <w:rPr>
          <w:rFonts w:ascii="Arial" w:hAnsi="Arial" w:cs="Arial"/>
        </w:rPr>
        <w:t xml:space="preserve">ummons </w:t>
      </w:r>
      <w:r w:rsidRPr="00141235">
        <w:rPr>
          <w:rFonts w:ascii="Arial" w:hAnsi="Arial" w:cs="Arial"/>
        </w:rPr>
        <w:t xml:space="preserve">were </w:t>
      </w:r>
      <w:r w:rsidR="001B4282" w:rsidRPr="00141235">
        <w:rPr>
          <w:rFonts w:ascii="Arial" w:hAnsi="Arial" w:cs="Arial"/>
        </w:rPr>
        <w:t>issued on the basis of a suretyship agreement allegedly signed between the bank and the appellant</w:t>
      </w:r>
      <w:r w:rsidR="00103072" w:rsidRPr="00141235">
        <w:rPr>
          <w:rFonts w:ascii="Arial" w:hAnsi="Arial" w:cs="Arial"/>
        </w:rPr>
        <w:t>,</w:t>
      </w:r>
      <w:r w:rsidRPr="00141235">
        <w:rPr>
          <w:rFonts w:ascii="Arial" w:hAnsi="Arial" w:cs="Arial"/>
        </w:rPr>
        <w:t xml:space="preserve"> which was annexed to the particulars of claim marked annexure “A”.</w:t>
      </w:r>
    </w:p>
    <w:p w:rsidR="00141235" w:rsidRPr="00141235" w:rsidRDefault="00141235" w:rsidP="00141235">
      <w:pPr>
        <w:pStyle w:val="ListParagraph"/>
        <w:spacing w:line="360" w:lineRule="auto"/>
        <w:jc w:val="both"/>
        <w:rPr>
          <w:rFonts w:ascii="Arial" w:hAnsi="Arial" w:cs="Arial"/>
          <w:lang w:val="en-ZA"/>
        </w:rPr>
      </w:pPr>
    </w:p>
    <w:p w:rsidR="00141235" w:rsidRPr="00141235" w:rsidRDefault="001B4282" w:rsidP="00141235">
      <w:pPr>
        <w:pStyle w:val="ListParagraph"/>
        <w:numPr>
          <w:ilvl w:val="0"/>
          <w:numId w:val="28"/>
        </w:numPr>
        <w:spacing w:line="360" w:lineRule="auto"/>
        <w:jc w:val="both"/>
        <w:rPr>
          <w:rFonts w:ascii="Arial" w:hAnsi="Arial" w:cs="Arial"/>
          <w:lang w:val="en-ZA"/>
        </w:rPr>
      </w:pPr>
      <w:r w:rsidRPr="00141235">
        <w:rPr>
          <w:rFonts w:ascii="Arial" w:hAnsi="Arial" w:cs="Arial"/>
          <w:lang w:val="en-ZA"/>
        </w:rPr>
        <w:t xml:space="preserve">Following </w:t>
      </w:r>
      <w:r w:rsidRPr="00141235">
        <w:rPr>
          <w:rFonts w:ascii="Arial" w:hAnsi="Arial" w:cs="Arial"/>
        </w:rPr>
        <w:t xml:space="preserve">the delivery of the appellant’s plea on 11 May 2022, the bank proceeded to apply for summary judgment, which </w:t>
      </w:r>
      <w:r w:rsidR="00656D5A" w:rsidRPr="00141235">
        <w:rPr>
          <w:rFonts w:ascii="Arial" w:hAnsi="Arial" w:cs="Arial"/>
        </w:rPr>
        <w:t xml:space="preserve">application </w:t>
      </w:r>
      <w:r w:rsidRPr="00141235">
        <w:rPr>
          <w:rFonts w:ascii="Arial" w:hAnsi="Arial" w:cs="Arial"/>
        </w:rPr>
        <w:t>was opposed by the appellant.</w:t>
      </w:r>
    </w:p>
    <w:p w:rsidR="00141235" w:rsidRPr="00141235" w:rsidRDefault="00141235" w:rsidP="00141235">
      <w:pPr>
        <w:pStyle w:val="ListParagraph"/>
        <w:rPr>
          <w:rFonts w:ascii="Arial" w:hAnsi="Arial" w:cs="Arial"/>
          <w:lang w:val="en-ZA"/>
        </w:rPr>
      </w:pPr>
    </w:p>
    <w:p w:rsidR="00141235" w:rsidRPr="00141235" w:rsidRDefault="008A61CD" w:rsidP="00141235">
      <w:pPr>
        <w:pStyle w:val="ListParagraph"/>
        <w:numPr>
          <w:ilvl w:val="0"/>
          <w:numId w:val="28"/>
        </w:numPr>
        <w:spacing w:line="360" w:lineRule="auto"/>
        <w:jc w:val="both"/>
        <w:rPr>
          <w:rFonts w:ascii="Arial" w:hAnsi="Arial" w:cs="Arial"/>
          <w:lang w:val="en-ZA"/>
        </w:rPr>
      </w:pPr>
      <w:r w:rsidRPr="00141235">
        <w:rPr>
          <w:rFonts w:ascii="Arial" w:hAnsi="Arial" w:cs="Arial"/>
          <w:lang w:val="en-ZA"/>
        </w:rPr>
        <w:t xml:space="preserve">The </w:t>
      </w:r>
      <w:r w:rsidR="001B4282" w:rsidRPr="00141235">
        <w:rPr>
          <w:rFonts w:ascii="Arial" w:hAnsi="Arial" w:cs="Arial"/>
        </w:rPr>
        <w:t>relevant allegations contained in the bank’s particulars of claim were that:</w:t>
      </w:r>
    </w:p>
    <w:p w:rsidR="00141235" w:rsidRPr="00141235" w:rsidRDefault="00141235" w:rsidP="00141235">
      <w:pPr>
        <w:pStyle w:val="ListParagraph"/>
        <w:rPr>
          <w:rFonts w:ascii="Arial" w:hAnsi="Arial" w:cs="Arial"/>
          <w:sz w:val="20"/>
          <w:szCs w:val="20"/>
        </w:rPr>
      </w:pPr>
    </w:p>
    <w:p w:rsidR="00141235" w:rsidRPr="00141235" w:rsidRDefault="001B4282" w:rsidP="00141235">
      <w:pPr>
        <w:pStyle w:val="ListParagraph"/>
        <w:numPr>
          <w:ilvl w:val="1"/>
          <w:numId w:val="28"/>
        </w:numPr>
        <w:spacing w:line="360" w:lineRule="auto"/>
        <w:jc w:val="both"/>
        <w:rPr>
          <w:rFonts w:ascii="Arial" w:hAnsi="Arial" w:cs="Arial"/>
          <w:lang w:val="en-ZA"/>
        </w:rPr>
      </w:pPr>
      <w:r w:rsidRPr="00141235">
        <w:rPr>
          <w:rFonts w:ascii="Arial" w:hAnsi="Arial" w:cs="Arial"/>
          <w:sz w:val="20"/>
          <w:szCs w:val="20"/>
        </w:rPr>
        <w:t>On or about 13 August 2018 and at Bloemfontein it entered into a written overdraft facility agreement with the first defendant, Hokanang Communications Solutions CC (“</w:t>
      </w:r>
      <w:r w:rsidRPr="00141235">
        <w:rPr>
          <w:rFonts w:ascii="Arial" w:hAnsi="Arial" w:cs="Arial"/>
          <w:i/>
          <w:sz w:val="20"/>
          <w:szCs w:val="20"/>
        </w:rPr>
        <w:t>Hokanang</w:t>
      </w:r>
      <w:r w:rsidRPr="00141235">
        <w:rPr>
          <w:rFonts w:ascii="Arial" w:hAnsi="Arial" w:cs="Arial"/>
          <w:sz w:val="20"/>
          <w:szCs w:val="20"/>
        </w:rPr>
        <w:t xml:space="preserve">”), in terms of which it advanced money to the amount of R130 000.00 to the </w:t>
      </w:r>
      <w:r w:rsidR="00656D5A" w:rsidRPr="00141235">
        <w:rPr>
          <w:rFonts w:ascii="Arial" w:hAnsi="Arial" w:cs="Arial"/>
          <w:sz w:val="20"/>
          <w:szCs w:val="20"/>
        </w:rPr>
        <w:t xml:space="preserve">Close Corporation </w:t>
      </w:r>
      <w:r w:rsidRPr="00141235">
        <w:rPr>
          <w:rFonts w:ascii="Arial" w:hAnsi="Arial" w:cs="Arial"/>
          <w:sz w:val="20"/>
          <w:szCs w:val="20"/>
        </w:rPr>
        <w:t>as an overdraft facility;</w:t>
      </w:r>
      <w:r w:rsidRPr="005935FD">
        <w:rPr>
          <w:rStyle w:val="FootnoteReference"/>
          <w:rFonts w:ascii="Arial" w:hAnsi="Arial" w:cs="Arial"/>
          <w:sz w:val="20"/>
          <w:szCs w:val="20"/>
        </w:rPr>
        <w:footnoteReference w:id="1"/>
      </w:r>
    </w:p>
    <w:p w:rsidR="00141235" w:rsidRPr="00141235" w:rsidRDefault="00141235" w:rsidP="00141235">
      <w:pPr>
        <w:pStyle w:val="ListParagraph"/>
        <w:spacing w:line="360" w:lineRule="auto"/>
        <w:ind w:left="1440"/>
        <w:jc w:val="both"/>
        <w:rPr>
          <w:rFonts w:ascii="Arial" w:hAnsi="Arial" w:cs="Arial"/>
          <w:lang w:val="en-ZA"/>
        </w:rPr>
      </w:pPr>
    </w:p>
    <w:p w:rsidR="00141235" w:rsidRPr="00141235" w:rsidRDefault="001B4282" w:rsidP="00141235">
      <w:pPr>
        <w:pStyle w:val="ListParagraph"/>
        <w:numPr>
          <w:ilvl w:val="1"/>
          <w:numId w:val="28"/>
        </w:numPr>
        <w:spacing w:line="360" w:lineRule="auto"/>
        <w:jc w:val="both"/>
        <w:rPr>
          <w:rFonts w:ascii="Arial" w:hAnsi="Arial" w:cs="Arial"/>
          <w:lang w:val="en-ZA"/>
        </w:rPr>
      </w:pPr>
      <w:r w:rsidRPr="00141235">
        <w:rPr>
          <w:rFonts w:ascii="Arial" w:hAnsi="Arial" w:cs="Arial"/>
          <w:sz w:val="20"/>
          <w:szCs w:val="20"/>
        </w:rPr>
        <w:t>The second and third defendants signed a Con</w:t>
      </w:r>
      <w:r w:rsidR="0088562D" w:rsidRPr="00141235">
        <w:rPr>
          <w:rFonts w:ascii="Arial" w:hAnsi="Arial" w:cs="Arial"/>
          <w:sz w:val="20"/>
          <w:szCs w:val="20"/>
        </w:rPr>
        <w:t>sent in terms of the provisions</w:t>
      </w:r>
      <w:r w:rsidR="00141235" w:rsidRPr="00141235">
        <w:rPr>
          <w:rFonts w:ascii="Arial" w:hAnsi="Arial" w:cs="Arial"/>
          <w:sz w:val="20"/>
          <w:szCs w:val="20"/>
        </w:rPr>
        <w:t xml:space="preserve"> </w:t>
      </w:r>
      <w:r w:rsidRPr="00141235">
        <w:rPr>
          <w:rFonts w:ascii="Arial" w:hAnsi="Arial" w:cs="Arial"/>
          <w:sz w:val="20"/>
          <w:szCs w:val="20"/>
        </w:rPr>
        <w:t>of Matrimonial Property Act, 1984 (Act 88 of 1984) and a copy of the said consent is annexed to the particulars of claim.</w:t>
      </w:r>
      <w:r w:rsidRPr="005935FD">
        <w:rPr>
          <w:rStyle w:val="FootnoteReference"/>
          <w:rFonts w:ascii="Arial" w:hAnsi="Arial" w:cs="Arial"/>
          <w:sz w:val="20"/>
          <w:szCs w:val="20"/>
        </w:rPr>
        <w:footnoteReference w:id="2"/>
      </w:r>
      <w:r w:rsidRPr="00141235">
        <w:rPr>
          <w:rFonts w:ascii="Arial" w:hAnsi="Arial" w:cs="Arial"/>
          <w:sz w:val="20"/>
          <w:szCs w:val="20"/>
        </w:rPr>
        <w:t xml:space="preserve"> </w:t>
      </w:r>
    </w:p>
    <w:p w:rsidR="00141235" w:rsidRPr="00141235" w:rsidRDefault="00141235" w:rsidP="00141235">
      <w:pPr>
        <w:pStyle w:val="ListParagraph"/>
        <w:rPr>
          <w:rFonts w:ascii="Arial" w:hAnsi="Arial" w:cs="Arial"/>
          <w:sz w:val="20"/>
          <w:szCs w:val="20"/>
        </w:rPr>
      </w:pPr>
    </w:p>
    <w:p w:rsidR="00141235" w:rsidRPr="00141235" w:rsidRDefault="001B4282" w:rsidP="00141235">
      <w:pPr>
        <w:pStyle w:val="ListParagraph"/>
        <w:numPr>
          <w:ilvl w:val="1"/>
          <w:numId w:val="28"/>
        </w:numPr>
        <w:spacing w:line="360" w:lineRule="auto"/>
        <w:jc w:val="both"/>
        <w:rPr>
          <w:rFonts w:ascii="Arial" w:hAnsi="Arial" w:cs="Arial"/>
          <w:lang w:val="en-ZA"/>
        </w:rPr>
      </w:pPr>
      <w:r w:rsidRPr="00141235">
        <w:rPr>
          <w:rFonts w:ascii="Arial" w:hAnsi="Arial" w:cs="Arial"/>
          <w:sz w:val="20"/>
          <w:szCs w:val="20"/>
        </w:rPr>
        <w:t>In concluding the agreement, it was represented by its duly representative and Hokanang was allegedly represented by the appellant together with the second and third defendants (“</w:t>
      </w:r>
      <w:r w:rsidRPr="00141235">
        <w:rPr>
          <w:rFonts w:ascii="Arial" w:hAnsi="Arial" w:cs="Arial"/>
          <w:i/>
          <w:sz w:val="20"/>
          <w:szCs w:val="20"/>
        </w:rPr>
        <w:t>jointly referred to as defendants</w:t>
      </w:r>
      <w:r w:rsidRPr="00141235">
        <w:rPr>
          <w:rFonts w:ascii="Arial" w:hAnsi="Arial" w:cs="Arial"/>
          <w:sz w:val="20"/>
          <w:szCs w:val="20"/>
        </w:rPr>
        <w:t>”);</w:t>
      </w:r>
      <w:r w:rsidRPr="005935FD">
        <w:rPr>
          <w:rStyle w:val="FootnoteReference"/>
          <w:rFonts w:ascii="Arial" w:hAnsi="Arial" w:cs="Arial"/>
          <w:sz w:val="20"/>
          <w:szCs w:val="20"/>
        </w:rPr>
        <w:footnoteReference w:id="3"/>
      </w:r>
      <w:r w:rsidR="00141235" w:rsidRPr="00141235">
        <w:rPr>
          <w:rFonts w:ascii="Arial" w:hAnsi="Arial" w:cs="Arial"/>
          <w:sz w:val="20"/>
          <w:szCs w:val="20"/>
        </w:rPr>
        <w:t xml:space="preserve"> </w:t>
      </w:r>
    </w:p>
    <w:p w:rsidR="00141235" w:rsidRPr="00141235" w:rsidRDefault="00141235" w:rsidP="00141235">
      <w:pPr>
        <w:pStyle w:val="ListParagraph"/>
        <w:rPr>
          <w:rFonts w:ascii="Arial" w:hAnsi="Arial" w:cs="Arial"/>
          <w:sz w:val="20"/>
          <w:szCs w:val="20"/>
        </w:rPr>
      </w:pPr>
    </w:p>
    <w:p w:rsidR="00141235" w:rsidRDefault="001B4282" w:rsidP="00141235">
      <w:pPr>
        <w:pStyle w:val="ListParagraph"/>
        <w:numPr>
          <w:ilvl w:val="1"/>
          <w:numId w:val="28"/>
        </w:numPr>
        <w:spacing w:line="360" w:lineRule="auto"/>
        <w:jc w:val="both"/>
        <w:rPr>
          <w:rFonts w:ascii="Arial" w:hAnsi="Arial" w:cs="Arial"/>
          <w:sz w:val="20"/>
          <w:szCs w:val="20"/>
        </w:rPr>
      </w:pPr>
      <w:r w:rsidRPr="00141235">
        <w:rPr>
          <w:rFonts w:ascii="Arial" w:hAnsi="Arial" w:cs="Arial"/>
          <w:sz w:val="20"/>
          <w:szCs w:val="20"/>
        </w:rPr>
        <w:t xml:space="preserve">Defendants allegedly entered into a suretyship agreement with the bank whereby they bound themselves as sureties and co-principal debtors jointly and severally </w:t>
      </w:r>
      <w:r w:rsidRPr="00141235">
        <w:rPr>
          <w:rFonts w:ascii="Arial" w:hAnsi="Arial" w:cs="Arial"/>
          <w:i/>
          <w:sz w:val="20"/>
          <w:szCs w:val="20"/>
        </w:rPr>
        <w:t>in solidum</w:t>
      </w:r>
      <w:r w:rsidRPr="00141235">
        <w:rPr>
          <w:rFonts w:ascii="Arial" w:hAnsi="Arial" w:cs="Arial"/>
          <w:sz w:val="20"/>
          <w:szCs w:val="20"/>
        </w:rPr>
        <w:t xml:space="preserve"> with Hokanang, for the repayment of the overdraft facility advanced by the bank;</w:t>
      </w:r>
      <w:r w:rsidRPr="005935FD">
        <w:rPr>
          <w:rStyle w:val="FootnoteReference"/>
          <w:rFonts w:ascii="Arial" w:hAnsi="Arial" w:cs="Arial"/>
          <w:sz w:val="20"/>
          <w:szCs w:val="20"/>
        </w:rPr>
        <w:footnoteReference w:id="4"/>
      </w:r>
      <w:r w:rsidRPr="00141235">
        <w:rPr>
          <w:rFonts w:ascii="Arial" w:hAnsi="Arial" w:cs="Arial"/>
          <w:sz w:val="20"/>
          <w:szCs w:val="20"/>
        </w:rPr>
        <w:t xml:space="preserve"> </w:t>
      </w:r>
    </w:p>
    <w:p w:rsidR="00141235" w:rsidRPr="00141235" w:rsidRDefault="00141235" w:rsidP="00141235">
      <w:pPr>
        <w:pStyle w:val="ListParagraph"/>
        <w:rPr>
          <w:rFonts w:ascii="Arial" w:hAnsi="Arial" w:cs="Arial"/>
          <w:sz w:val="20"/>
          <w:szCs w:val="20"/>
        </w:rPr>
      </w:pPr>
    </w:p>
    <w:p w:rsidR="00141235" w:rsidRDefault="001B4282" w:rsidP="00141235">
      <w:pPr>
        <w:pStyle w:val="ListParagraph"/>
        <w:numPr>
          <w:ilvl w:val="1"/>
          <w:numId w:val="28"/>
        </w:numPr>
        <w:spacing w:line="360" w:lineRule="auto"/>
        <w:jc w:val="both"/>
        <w:rPr>
          <w:rFonts w:ascii="Arial" w:hAnsi="Arial" w:cs="Arial"/>
          <w:sz w:val="20"/>
          <w:szCs w:val="20"/>
        </w:rPr>
      </w:pPr>
      <w:r w:rsidRPr="005935FD">
        <w:rPr>
          <w:rFonts w:ascii="Arial" w:hAnsi="Arial" w:cs="Arial"/>
          <w:sz w:val="20"/>
          <w:szCs w:val="20"/>
        </w:rPr>
        <w:t xml:space="preserve">The suretyship agreement provides for a term that a certificate issued by any manager of the bank would constitute </w:t>
      </w:r>
      <w:r w:rsidRPr="005935FD">
        <w:rPr>
          <w:rFonts w:ascii="Arial" w:hAnsi="Arial" w:cs="Arial"/>
          <w:i/>
          <w:sz w:val="20"/>
          <w:szCs w:val="20"/>
        </w:rPr>
        <w:t>prima facie</w:t>
      </w:r>
      <w:r w:rsidRPr="005935FD">
        <w:rPr>
          <w:rFonts w:ascii="Arial" w:hAnsi="Arial" w:cs="Arial"/>
          <w:sz w:val="20"/>
          <w:szCs w:val="20"/>
        </w:rPr>
        <w:t xml:space="preserve"> proof of the correctness of any amount due and owing by Hokanang to the bank;</w:t>
      </w:r>
      <w:r w:rsidRPr="005935FD">
        <w:rPr>
          <w:rStyle w:val="FootnoteReference"/>
          <w:rFonts w:ascii="Arial" w:hAnsi="Arial" w:cs="Arial"/>
          <w:sz w:val="20"/>
          <w:szCs w:val="20"/>
        </w:rPr>
        <w:footnoteReference w:id="5"/>
      </w:r>
    </w:p>
    <w:p w:rsidR="00141235" w:rsidRPr="00141235" w:rsidRDefault="00141235" w:rsidP="00141235">
      <w:pPr>
        <w:pStyle w:val="ListParagraph"/>
        <w:rPr>
          <w:rFonts w:ascii="Arial" w:hAnsi="Arial" w:cs="Arial"/>
          <w:sz w:val="20"/>
          <w:szCs w:val="20"/>
        </w:rPr>
      </w:pPr>
    </w:p>
    <w:p w:rsidR="00141235" w:rsidRDefault="001B4282" w:rsidP="00141235">
      <w:pPr>
        <w:pStyle w:val="ListParagraph"/>
        <w:numPr>
          <w:ilvl w:val="1"/>
          <w:numId w:val="28"/>
        </w:numPr>
        <w:spacing w:line="360" w:lineRule="auto"/>
        <w:jc w:val="both"/>
        <w:rPr>
          <w:rFonts w:ascii="Arial" w:hAnsi="Arial" w:cs="Arial"/>
          <w:sz w:val="20"/>
          <w:szCs w:val="20"/>
        </w:rPr>
      </w:pPr>
      <w:r w:rsidRPr="005935FD">
        <w:rPr>
          <w:rFonts w:ascii="Arial" w:hAnsi="Arial" w:cs="Arial"/>
          <w:sz w:val="20"/>
          <w:szCs w:val="20"/>
        </w:rPr>
        <w:t>The agreement between the bank and Hokanang was not subject to the provisions of the National Credit Act 34 of 2005 (“NCA”) for as far as Hokanang was a juristic person with an annual turnover, at the time of agreement was concluded, exceeding the threshold as defined in the NCA;</w:t>
      </w:r>
      <w:r w:rsidRPr="005935FD">
        <w:rPr>
          <w:rStyle w:val="FootnoteReference"/>
          <w:rFonts w:ascii="Arial" w:hAnsi="Arial" w:cs="Arial"/>
          <w:sz w:val="20"/>
          <w:szCs w:val="20"/>
        </w:rPr>
        <w:footnoteReference w:id="6"/>
      </w:r>
    </w:p>
    <w:p w:rsidR="00141235" w:rsidRPr="00141235" w:rsidRDefault="00141235" w:rsidP="00141235">
      <w:pPr>
        <w:pStyle w:val="ListParagraph"/>
        <w:rPr>
          <w:rFonts w:ascii="Arial" w:hAnsi="Arial" w:cs="Arial"/>
          <w:sz w:val="20"/>
          <w:szCs w:val="20"/>
        </w:rPr>
      </w:pPr>
    </w:p>
    <w:p w:rsidR="00141235" w:rsidRDefault="001B4282" w:rsidP="00141235">
      <w:pPr>
        <w:pStyle w:val="ListParagraph"/>
        <w:numPr>
          <w:ilvl w:val="1"/>
          <w:numId w:val="28"/>
        </w:numPr>
        <w:spacing w:line="360" w:lineRule="auto"/>
        <w:jc w:val="both"/>
        <w:rPr>
          <w:rFonts w:ascii="Arial" w:hAnsi="Arial" w:cs="Arial"/>
          <w:sz w:val="20"/>
          <w:szCs w:val="20"/>
        </w:rPr>
      </w:pPr>
      <w:r w:rsidRPr="005935FD">
        <w:rPr>
          <w:rFonts w:ascii="Arial" w:hAnsi="Arial" w:cs="Arial"/>
          <w:sz w:val="20"/>
          <w:szCs w:val="20"/>
        </w:rPr>
        <w:t>For as long as the NCA did not apply to Hokanang as a principal debtor, the NCA furthermore did not apply to any sureties in terms of section 4(2) of the NCA;</w:t>
      </w:r>
      <w:r w:rsidRPr="005935FD">
        <w:rPr>
          <w:rStyle w:val="FootnoteReference"/>
          <w:rFonts w:ascii="Arial" w:hAnsi="Arial" w:cs="Arial"/>
          <w:sz w:val="20"/>
          <w:szCs w:val="20"/>
        </w:rPr>
        <w:footnoteReference w:id="7"/>
      </w:r>
      <w:r w:rsidR="00141235" w:rsidRPr="005935FD">
        <w:rPr>
          <w:rFonts w:ascii="Arial" w:hAnsi="Arial" w:cs="Arial"/>
          <w:sz w:val="20"/>
          <w:szCs w:val="20"/>
        </w:rPr>
        <w:t xml:space="preserve"> </w:t>
      </w:r>
    </w:p>
    <w:p w:rsidR="00141235" w:rsidRPr="00141235" w:rsidRDefault="00141235" w:rsidP="00141235">
      <w:pPr>
        <w:pStyle w:val="ListParagraph"/>
        <w:rPr>
          <w:rFonts w:ascii="Arial" w:hAnsi="Arial" w:cs="Arial"/>
          <w:sz w:val="20"/>
          <w:szCs w:val="20"/>
        </w:rPr>
      </w:pPr>
    </w:p>
    <w:p w:rsidR="00141235" w:rsidRDefault="001B4282" w:rsidP="00141235">
      <w:pPr>
        <w:pStyle w:val="ListParagraph"/>
        <w:numPr>
          <w:ilvl w:val="1"/>
          <w:numId w:val="28"/>
        </w:numPr>
        <w:spacing w:line="360" w:lineRule="auto"/>
        <w:jc w:val="both"/>
        <w:rPr>
          <w:rFonts w:ascii="Arial" w:hAnsi="Arial" w:cs="Arial"/>
          <w:sz w:val="20"/>
          <w:szCs w:val="20"/>
        </w:rPr>
      </w:pPr>
      <w:r w:rsidRPr="005935FD">
        <w:rPr>
          <w:rFonts w:ascii="Arial" w:hAnsi="Arial" w:cs="Arial"/>
          <w:sz w:val="20"/>
          <w:szCs w:val="20"/>
        </w:rPr>
        <w:t>In abundance of caution and only as far as it may be found to be legally required, it delivered the notices in terms of section 129 of the NCA to the Defendants on 1 December 2020.</w:t>
      </w:r>
      <w:r w:rsidRPr="005935FD">
        <w:rPr>
          <w:rStyle w:val="FootnoteReference"/>
          <w:rFonts w:ascii="Arial" w:hAnsi="Arial" w:cs="Arial"/>
          <w:sz w:val="20"/>
          <w:szCs w:val="20"/>
        </w:rPr>
        <w:footnoteReference w:id="8"/>
      </w:r>
    </w:p>
    <w:p w:rsidR="00141235" w:rsidRDefault="00141235" w:rsidP="00141235">
      <w:pPr>
        <w:pStyle w:val="ListParagraph"/>
        <w:rPr>
          <w:rFonts w:ascii="Arial" w:hAnsi="Arial" w:cs="Arial"/>
          <w:lang w:val="en-ZA"/>
        </w:rPr>
      </w:pPr>
    </w:p>
    <w:p w:rsidR="00141235" w:rsidRPr="00141235" w:rsidRDefault="00141235" w:rsidP="00141235">
      <w:pPr>
        <w:pStyle w:val="ListParagraph"/>
        <w:rPr>
          <w:rFonts w:ascii="Arial" w:hAnsi="Arial" w:cs="Arial"/>
          <w:lang w:val="en-ZA"/>
        </w:rPr>
      </w:pPr>
    </w:p>
    <w:p w:rsidR="00AD7982" w:rsidRPr="00141235" w:rsidRDefault="008E761E" w:rsidP="00141235">
      <w:pPr>
        <w:pStyle w:val="ListParagraph"/>
        <w:numPr>
          <w:ilvl w:val="0"/>
          <w:numId w:val="28"/>
        </w:numPr>
        <w:spacing w:line="360" w:lineRule="auto"/>
        <w:jc w:val="both"/>
        <w:rPr>
          <w:rFonts w:ascii="Arial" w:hAnsi="Arial" w:cs="Arial"/>
          <w:sz w:val="20"/>
          <w:szCs w:val="20"/>
        </w:rPr>
      </w:pPr>
      <w:r w:rsidRPr="00141235">
        <w:rPr>
          <w:rFonts w:ascii="Arial" w:hAnsi="Arial" w:cs="Arial"/>
          <w:lang w:val="en-ZA"/>
        </w:rPr>
        <w:t xml:space="preserve">On 11 May 2022 </w:t>
      </w:r>
      <w:r w:rsidRPr="00141235">
        <w:rPr>
          <w:rFonts w:ascii="Arial" w:hAnsi="Arial" w:cs="Arial"/>
        </w:rPr>
        <w:t xml:space="preserve">the appellant filed her plea </w:t>
      </w:r>
      <w:r w:rsidR="00656D5A" w:rsidRPr="00141235">
        <w:rPr>
          <w:rFonts w:ascii="Arial" w:hAnsi="Arial" w:cs="Arial"/>
        </w:rPr>
        <w:t xml:space="preserve">raising two special </w:t>
      </w:r>
      <w:r w:rsidR="0044201E" w:rsidRPr="00141235">
        <w:rPr>
          <w:rFonts w:ascii="Arial" w:hAnsi="Arial" w:cs="Arial"/>
        </w:rPr>
        <w:t xml:space="preserve">plea </w:t>
      </w:r>
      <w:r w:rsidR="00656D5A" w:rsidRPr="00141235">
        <w:rPr>
          <w:rFonts w:ascii="Arial" w:hAnsi="Arial" w:cs="Arial"/>
        </w:rPr>
        <w:t>defences. The first one was</w:t>
      </w:r>
      <w:r w:rsidR="00AD7982" w:rsidRPr="00141235">
        <w:rPr>
          <w:rFonts w:ascii="Arial" w:hAnsi="Arial" w:cs="Arial"/>
        </w:rPr>
        <w:t xml:space="preserve"> non-compliance with sections 72(1) and 129 of the National Credit Act (“NCA”)</w:t>
      </w:r>
      <w:r w:rsidR="00AD7982" w:rsidRPr="005935FD">
        <w:rPr>
          <w:rStyle w:val="FootnoteReference"/>
          <w:rFonts w:ascii="Arial" w:hAnsi="Arial" w:cs="Arial"/>
        </w:rPr>
        <w:footnoteReference w:id="9"/>
      </w:r>
      <w:r w:rsidR="00AD7982" w:rsidRPr="00141235">
        <w:rPr>
          <w:rFonts w:ascii="Arial" w:hAnsi="Arial" w:cs="Arial"/>
        </w:rPr>
        <w:t>. The second was that the aforesaid agreement was regulated by the NCA and because the bank was charging interest thereto, the required NCR certificate was not attached. The centrepiece defence was that she did not sign in any form or was she ever party to overdraft facilities</w:t>
      </w:r>
      <w:r w:rsidR="00387EF1" w:rsidRPr="00141235">
        <w:rPr>
          <w:rFonts w:ascii="Arial" w:hAnsi="Arial" w:cs="Arial"/>
        </w:rPr>
        <w:t xml:space="preserve"> as alleged by the bank</w:t>
      </w:r>
      <w:r w:rsidR="00AD7982" w:rsidRPr="00141235">
        <w:rPr>
          <w:rFonts w:ascii="Arial" w:hAnsi="Arial" w:cs="Arial"/>
        </w:rPr>
        <w:t>.</w:t>
      </w:r>
    </w:p>
    <w:p w:rsidR="006F06E5" w:rsidRPr="005935FD" w:rsidRDefault="006F06E5" w:rsidP="0088562D">
      <w:pPr>
        <w:pStyle w:val="Myown"/>
        <w:numPr>
          <w:ilvl w:val="0"/>
          <w:numId w:val="0"/>
        </w:numPr>
        <w:spacing w:before="0" w:after="0" w:line="360" w:lineRule="auto"/>
        <w:ind w:left="720" w:right="1088" w:hanging="720"/>
        <w:contextualSpacing/>
        <w:rPr>
          <w:rFonts w:ascii="Arial" w:hAnsi="Arial" w:cs="Arial"/>
        </w:rPr>
      </w:pPr>
    </w:p>
    <w:p w:rsidR="006F06E5" w:rsidRPr="005935FD" w:rsidRDefault="006F06E5" w:rsidP="0088562D">
      <w:pPr>
        <w:pStyle w:val="Myown"/>
        <w:numPr>
          <w:ilvl w:val="0"/>
          <w:numId w:val="0"/>
        </w:numPr>
        <w:spacing w:before="0" w:after="0" w:line="360" w:lineRule="auto"/>
        <w:ind w:left="720" w:right="1088" w:hanging="720"/>
        <w:contextualSpacing/>
        <w:rPr>
          <w:rFonts w:ascii="Arial" w:hAnsi="Arial" w:cs="Arial"/>
          <w:b/>
          <w:u w:val="single"/>
        </w:rPr>
      </w:pPr>
      <w:r w:rsidRPr="005935FD">
        <w:rPr>
          <w:rFonts w:ascii="Arial" w:hAnsi="Arial" w:cs="Arial"/>
          <w:b/>
          <w:u w:val="single"/>
        </w:rPr>
        <w:t xml:space="preserve">Arguments in the court </w:t>
      </w:r>
      <w:r w:rsidRPr="005935FD">
        <w:rPr>
          <w:rFonts w:ascii="Arial" w:hAnsi="Arial" w:cs="Arial"/>
          <w:b/>
          <w:i/>
          <w:u w:val="single"/>
        </w:rPr>
        <w:t>a quo</w:t>
      </w:r>
    </w:p>
    <w:p w:rsidR="008E761E" w:rsidRPr="005935FD" w:rsidRDefault="008E761E" w:rsidP="0000183B">
      <w:pPr>
        <w:pStyle w:val="Myown"/>
        <w:numPr>
          <w:ilvl w:val="0"/>
          <w:numId w:val="0"/>
        </w:numPr>
        <w:spacing w:before="0" w:after="0" w:line="360" w:lineRule="auto"/>
        <w:ind w:left="720" w:right="1088" w:hanging="360"/>
        <w:contextualSpacing/>
        <w:rPr>
          <w:rFonts w:ascii="Arial" w:hAnsi="Arial" w:cs="Arial"/>
        </w:rPr>
      </w:pPr>
    </w:p>
    <w:p w:rsidR="00141235" w:rsidRDefault="008E761E" w:rsidP="00141235">
      <w:pPr>
        <w:pStyle w:val="ListParagraph"/>
        <w:numPr>
          <w:ilvl w:val="0"/>
          <w:numId w:val="28"/>
        </w:numPr>
        <w:spacing w:line="360" w:lineRule="auto"/>
        <w:jc w:val="both"/>
        <w:rPr>
          <w:rFonts w:ascii="Arial" w:hAnsi="Arial" w:cs="Arial"/>
        </w:rPr>
      </w:pPr>
      <w:r w:rsidRPr="00141235">
        <w:rPr>
          <w:rFonts w:ascii="Arial" w:hAnsi="Arial" w:cs="Arial"/>
          <w:lang w:val="en-ZA"/>
        </w:rPr>
        <w:t xml:space="preserve">The </w:t>
      </w:r>
      <w:r w:rsidRPr="00141235">
        <w:rPr>
          <w:rFonts w:ascii="Arial" w:hAnsi="Arial" w:cs="Arial"/>
        </w:rPr>
        <w:t>bank contended in the application for summary judgment that the appellant</w:t>
      </w:r>
      <w:r w:rsidR="00FC3C73" w:rsidRPr="00141235">
        <w:rPr>
          <w:rFonts w:ascii="Arial" w:hAnsi="Arial" w:cs="Arial"/>
        </w:rPr>
        <w:t xml:space="preserve">’s special plea in relation to section 72(1)of the NCA cannot be sustained in law </w:t>
      </w:r>
      <w:r w:rsidR="004C733F" w:rsidRPr="00141235">
        <w:rPr>
          <w:rFonts w:ascii="Arial" w:hAnsi="Arial" w:cs="Arial"/>
        </w:rPr>
        <w:t xml:space="preserve">because it was unclear as to what </w:t>
      </w:r>
      <w:r w:rsidR="00FC3C73" w:rsidRPr="00141235">
        <w:rPr>
          <w:rFonts w:ascii="Arial" w:hAnsi="Arial" w:cs="Arial"/>
        </w:rPr>
        <w:t>‘notice’</w:t>
      </w:r>
      <w:r w:rsidR="0048299B" w:rsidRPr="00141235">
        <w:rPr>
          <w:rFonts w:ascii="Arial" w:hAnsi="Arial" w:cs="Arial"/>
        </w:rPr>
        <w:t xml:space="preserve"> should have been </w:t>
      </w:r>
      <w:r w:rsidR="0048299B" w:rsidRPr="00141235">
        <w:rPr>
          <w:rFonts w:ascii="Arial" w:hAnsi="Arial" w:cs="Arial"/>
        </w:rPr>
        <w:lastRenderedPageBreak/>
        <w:t>served on the appellant</w:t>
      </w:r>
      <w:r w:rsidR="004C733F" w:rsidRPr="00141235">
        <w:rPr>
          <w:rFonts w:ascii="Arial" w:hAnsi="Arial" w:cs="Arial"/>
        </w:rPr>
        <w:t>. It further stated that it was</w:t>
      </w:r>
      <w:r w:rsidR="00FC3C73" w:rsidRPr="00141235">
        <w:rPr>
          <w:rFonts w:ascii="Arial" w:hAnsi="Arial" w:cs="Arial"/>
        </w:rPr>
        <w:t xml:space="preserve"> not legally obliged to dispatch any notice in terms of section 72(1) prior to enforcing its claim against the defendants or to complete its cause of action.</w:t>
      </w:r>
      <w:r w:rsidR="0048299B" w:rsidRPr="005935FD">
        <w:rPr>
          <w:rStyle w:val="FootnoteReference"/>
          <w:rFonts w:ascii="Arial" w:hAnsi="Arial" w:cs="Arial"/>
        </w:rPr>
        <w:footnoteReference w:id="10"/>
      </w:r>
      <w:r w:rsidR="00FC3C73" w:rsidRPr="00141235">
        <w:rPr>
          <w:rFonts w:ascii="Arial" w:hAnsi="Arial" w:cs="Arial"/>
        </w:rPr>
        <w:t xml:space="preserve"> </w:t>
      </w:r>
    </w:p>
    <w:p w:rsidR="00141235" w:rsidRDefault="00141235" w:rsidP="00141235">
      <w:pPr>
        <w:pStyle w:val="ListParagraph"/>
        <w:spacing w:line="360" w:lineRule="auto"/>
        <w:jc w:val="both"/>
        <w:rPr>
          <w:rFonts w:ascii="Arial" w:hAnsi="Arial" w:cs="Arial"/>
        </w:rPr>
      </w:pPr>
    </w:p>
    <w:p w:rsidR="00141235" w:rsidRDefault="00CD0CF4" w:rsidP="00141235">
      <w:pPr>
        <w:pStyle w:val="ListParagraph"/>
        <w:numPr>
          <w:ilvl w:val="0"/>
          <w:numId w:val="28"/>
        </w:numPr>
        <w:spacing w:line="360" w:lineRule="auto"/>
        <w:jc w:val="both"/>
        <w:rPr>
          <w:rFonts w:ascii="Arial" w:hAnsi="Arial" w:cs="Arial"/>
        </w:rPr>
      </w:pPr>
      <w:r w:rsidRPr="00141235">
        <w:rPr>
          <w:rFonts w:ascii="Arial" w:hAnsi="Arial" w:cs="Arial"/>
        </w:rPr>
        <w:t xml:space="preserve">With regard to the second special plea, the bank </w:t>
      </w:r>
      <w:r w:rsidR="00044F93" w:rsidRPr="00141235">
        <w:rPr>
          <w:rFonts w:ascii="Arial" w:hAnsi="Arial" w:cs="Arial"/>
        </w:rPr>
        <w:t xml:space="preserve">contended </w:t>
      </w:r>
      <w:r w:rsidRPr="00141235">
        <w:rPr>
          <w:rFonts w:ascii="Arial" w:hAnsi="Arial" w:cs="Arial"/>
        </w:rPr>
        <w:t>that the appellant failed to plead the grounds relied upon for her assertion and that her plea amounted to bare denial.</w:t>
      </w:r>
      <w:r w:rsidRPr="005935FD">
        <w:rPr>
          <w:rStyle w:val="FootnoteReference"/>
          <w:rFonts w:ascii="Arial" w:hAnsi="Arial" w:cs="Arial"/>
        </w:rPr>
        <w:footnoteReference w:id="11"/>
      </w:r>
    </w:p>
    <w:p w:rsidR="00141235" w:rsidRPr="00141235" w:rsidRDefault="00141235" w:rsidP="00141235">
      <w:pPr>
        <w:pStyle w:val="ListParagraph"/>
        <w:rPr>
          <w:rFonts w:ascii="Arial" w:eastAsia="Calibri" w:hAnsi="Arial" w:cs="Arial"/>
          <w:lang w:val="en-ZA"/>
        </w:rPr>
      </w:pPr>
    </w:p>
    <w:p w:rsidR="00141235" w:rsidRPr="00141235" w:rsidRDefault="008E761E" w:rsidP="00141235">
      <w:pPr>
        <w:pStyle w:val="ListParagraph"/>
        <w:numPr>
          <w:ilvl w:val="0"/>
          <w:numId w:val="28"/>
        </w:numPr>
        <w:spacing w:line="360" w:lineRule="auto"/>
        <w:jc w:val="both"/>
        <w:rPr>
          <w:rFonts w:ascii="Arial" w:hAnsi="Arial" w:cs="Arial"/>
          <w:sz w:val="20"/>
          <w:szCs w:val="20"/>
        </w:rPr>
      </w:pPr>
      <w:r w:rsidRPr="00141235">
        <w:rPr>
          <w:rFonts w:ascii="Arial" w:eastAsia="Calibri" w:hAnsi="Arial" w:cs="Arial"/>
          <w:lang w:val="en-ZA"/>
        </w:rPr>
        <w:t>It</w:t>
      </w:r>
      <w:r w:rsidR="008A61CD" w:rsidRPr="00141235">
        <w:rPr>
          <w:rFonts w:ascii="Arial" w:eastAsia="Calibri" w:hAnsi="Arial" w:cs="Arial"/>
          <w:lang w:val="en-ZA"/>
        </w:rPr>
        <w:t xml:space="preserve"> </w:t>
      </w:r>
      <w:r w:rsidR="00591F32" w:rsidRPr="00141235">
        <w:rPr>
          <w:rFonts w:ascii="Arial" w:eastAsia="Calibri" w:hAnsi="Arial" w:cs="Arial"/>
          <w:lang w:val="en-ZA"/>
        </w:rPr>
        <w:t xml:space="preserve">was </w:t>
      </w:r>
      <w:r w:rsidRPr="00141235">
        <w:rPr>
          <w:rFonts w:ascii="Arial" w:hAnsi="Arial" w:cs="Arial"/>
        </w:rPr>
        <w:t xml:space="preserve">also contended that, notwithstanding the fact that the suretyship agreement contained a signature in the space allocated for it next to her name, the appellant pleaded that she did not sign the said agreement with Hokanang. </w:t>
      </w:r>
      <w:r w:rsidR="00483313" w:rsidRPr="00141235">
        <w:rPr>
          <w:rFonts w:ascii="Arial" w:hAnsi="Arial" w:cs="Arial"/>
        </w:rPr>
        <w:t>I</w:t>
      </w:r>
      <w:r w:rsidR="008A3707" w:rsidRPr="00141235">
        <w:rPr>
          <w:rFonts w:ascii="Arial" w:hAnsi="Arial" w:cs="Arial"/>
        </w:rPr>
        <w:t>t specifically pointed out that</w:t>
      </w:r>
      <w:r w:rsidRPr="00141235">
        <w:rPr>
          <w:rFonts w:ascii="Arial" w:hAnsi="Arial" w:cs="Arial"/>
        </w:rPr>
        <w:t>:</w:t>
      </w:r>
      <w:r w:rsidR="008A3707" w:rsidRPr="005935FD">
        <w:rPr>
          <w:rStyle w:val="FootnoteReference"/>
          <w:rFonts w:ascii="Arial" w:hAnsi="Arial" w:cs="Arial"/>
        </w:rPr>
        <w:footnoteReference w:id="12"/>
      </w:r>
    </w:p>
    <w:p w:rsidR="00141235" w:rsidRPr="00141235" w:rsidRDefault="00141235" w:rsidP="00141235">
      <w:pPr>
        <w:pStyle w:val="ListParagraph"/>
        <w:rPr>
          <w:rFonts w:ascii="Arial" w:hAnsi="Arial" w:cs="Arial"/>
          <w:sz w:val="20"/>
          <w:szCs w:val="20"/>
        </w:rPr>
      </w:pPr>
    </w:p>
    <w:p w:rsidR="00141235" w:rsidRDefault="008E761E" w:rsidP="00141235">
      <w:pPr>
        <w:pStyle w:val="ListParagraph"/>
        <w:numPr>
          <w:ilvl w:val="2"/>
          <w:numId w:val="28"/>
        </w:numPr>
        <w:spacing w:line="360" w:lineRule="auto"/>
        <w:jc w:val="both"/>
        <w:rPr>
          <w:rFonts w:ascii="Arial" w:hAnsi="Arial" w:cs="Arial"/>
          <w:sz w:val="20"/>
          <w:szCs w:val="20"/>
        </w:rPr>
      </w:pPr>
      <w:r w:rsidRPr="005935FD">
        <w:rPr>
          <w:rFonts w:ascii="Arial" w:hAnsi="Arial" w:cs="Arial"/>
          <w:sz w:val="20"/>
          <w:szCs w:val="20"/>
        </w:rPr>
        <w:t>Firstly, the agreement signed by the appellant was not with Hokanang but rather with the bank, and</w:t>
      </w:r>
    </w:p>
    <w:p w:rsidR="00141235" w:rsidRDefault="00141235" w:rsidP="00141235">
      <w:pPr>
        <w:pStyle w:val="ListParagraph"/>
        <w:spacing w:line="360" w:lineRule="auto"/>
        <w:ind w:left="2160"/>
        <w:jc w:val="both"/>
        <w:rPr>
          <w:rFonts w:ascii="Arial" w:hAnsi="Arial" w:cs="Arial"/>
          <w:sz w:val="20"/>
          <w:szCs w:val="20"/>
        </w:rPr>
      </w:pPr>
    </w:p>
    <w:p w:rsidR="00141235" w:rsidRDefault="008E761E" w:rsidP="00141235">
      <w:pPr>
        <w:pStyle w:val="ListParagraph"/>
        <w:numPr>
          <w:ilvl w:val="2"/>
          <w:numId w:val="28"/>
        </w:numPr>
        <w:spacing w:line="360" w:lineRule="auto"/>
        <w:jc w:val="both"/>
        <w:rPr>
          <w:rFonts w:ascii="Arial" w:hAnsi="Arial" w:cs="Arial"/>
          <w:sz w:val="20"/>
          <w:szCs w:val="20"/>
        </w:rPr>
      </w:pPr>
      <w:r w:rsidRPr="00141235">
        <w:rPr>
          <w:rFonts w:ascii="Arial" w:hAnsi="Arial" w:cs="Arial"/>
          <w:sz w:val="20"/>
          <w:szCs w:val="20"/>
        </w:rPr>
        <w:t>Secondly, the appellant failed to plead any reason for her denial.</w:t>
      </w:r>
    </w:p>
    <w:p w:rsidR="00141235" w:rsidRDefault="00141235" w:rsidP="00141235">
      <w:pPr>
        <w:pStyle w:val="ListParagraph"/>
        <w:rPr>
          <w:rFonts w:ascii="Arial" w:eastAsia="Calibri" w:hAnsi="Arial" w:cs="Arial"/>
          <w:lang w:val="en-ZA"/>
        </w:rPr>
      </w:pPr>
    </w:p>
    <w:p w:rsidR="00141235" w:rsidRPr="00141235" w:rsidRDefault="00141235" w:rsidP="00141235">
      <w:pPr>
        <w:pStyle w:val="ListParagraph"/>
        <w:rPr>
          <w:rFonts w:ascii="Arial" w:eastAsia="Calibri" w:hAnsi="Arial" w:cs="Arial"/>
          <w:lang w:val="en-ZA"/>
        </w:rPr>
      </w:pPr>
    </w:p>
    <w:p w:rsidR="00141235" w:rsidRPr="00141235" w:rsidRDefault="007C0891" w:rsidP="00141235">
      <w:pPr>
        <w:pStyle w:val="ListParagraph"/>
        <w:numPr>
          <w:ilvl w:val="0"/>
          <w:numId w:val="28"/>
        </w:numPr>
        <w:spacing w:line="360" w:lineRule="auto"/>
        <w:jc w:val="both"/>
        <w:rPr>
          <w:rFonts w:ascii="Arial" w:hAnsi="Arial" w:cs="Arial"/>
          <w:sz w:val="20"/>
          <w:szCs w:val="20"/>
        </w:rPr>
      </w:pPr>
      <w:r w:rsidRPr="00141235">
        <w:rPr>
          <w:rFonts w:ascii="Arial" w:eastAsia="Calibri" w:hAnsi="Arial" w:cs="Arial"/>
          <w:lang w:val="en-ZA"/>
        </w:rPr>
        <w:t>In addition thereto, the bank contended that the rem</w:t>
      </w:r>
      <w:r w:rsidR="00591F32" w:rsidRPr="00141235">
        <w:rPr>
          <w:rFonts w:ascii="Arial" w:eastAsia="Calibri" w:hAnsi="Arial" w:cs="Arial"/>
          <w:lang w:val="en-ZA"/>
        </w:rPr>
        <w:t>a</w:t>
      </w:r>
      <w:r w:rsidRPr="00141235">
        <w:rPr>
          <w:rFonts w:ascii="Arial" w:eastAsia="Calibri" w:hAnsi="Arial" w:cs="Arial"/>
          <w:lang w:val="en-ZA"/>
        </w:rPr>
        <w:t>inder of the apppellant’s plea consisted of bare denials.</w:t>
      </w:r>
      <w:r w:rsidRPr="005935FD">
        <w:rPr>
          <w:rStyle w:val="FootnoteReference"/>
          <w:rFonts w:ascii="Arial" w:eastAsia="Calibri" w:hAnsi="Arial" w:cs="Arial"/>
          <w:lang w:val="en-ZA"/>
        </w:rPr>
        <w:footnoteReference w:id="13"/>
      </w:r>
      <w:r w:rsidR="00A47F4A" w:rsidRPr="00141235">
        <w:rPr>
          <w:rFonts w:ascii="Arial" w:eastAsia="Calibri" w:hAnsi="Arial" w:cs="Arial"/>
          <w:lang w:val="en-ZA"/>
        </w:rPr>
        <w:t xml:space="preserve"> </w:t>
      </w:r>
    </w:p>
    <w:p w:rsidR="00141235" w:rsidRPr="00141235" w:rsidRDefault="00141235" w:rsidP="00141235">
      <w:pPr>
        <w:pStyle w:val="ListParagraph"/>
        <w:spacing w:line="360" w:lineRule="auto"/>
        <w:jc w:val="both"/>
        <w:rPr>
          <w:rFonts w:ascii="Arial" w:hAnsi="Arial" w:cs="Arial"/>
          <w:sz w:val="20"/>
          <w:szCs w:val="20"/>
        </w:rPr>
      </w:pPr>
    </w:p>
    <w:p w:rsidR="00141235" w:rsidRPr="00141235" w:rsidRDefault="008A61CD" w:rsidP="00141235">
      <w:pPr>
        <w:pStyle w:val="ListParagraph"/>
        <w:numPr>
          <w:ilvl w:val="0"/>
          <w:numId w:val="28"/>
        </w:numPr>
        <w:spacing w:line="360" w:lineRule="auto"/>
        <w:jc w:val="both"/>
        <w:rPr>
          <w:rFonts w:ascii="Arial" w:hAnsi="Arial" w:cs="Arial"/>
          <w:sz w:val="20"/>
          <w:szCs w:val="20"/>
        </w:rPr>
      </w:pPr>
      <w:r w:rsidRPr="00141235">
        <w:rPr>
          <w:rFonts w:ascii="Arial" w:eastAsia="Calibri" w:hAnsi="Arial" w:cs="Arial"/>
          <w:lang w:val="en-ZA"/>
        </w:rPr>
        <w:t xml:space="preserve">The </w:t>
      </w:r>
      <w:r w:rsidR="008E761E" w:rsidRPr="00141235">
        <w:rPr>
          <w:rFonts w:ascii="Arial" w:hAnsi="Arial" w:cs="Arial"/>
        </w:rPr>
        <w:t>appellant opposed the summary judgment application on the following grounds:</w:t>
      </w:r>
      <w:r w:rsidR="008E761E" w:rsidRPr="005935FD">
        <w:rPr>
          <w:rStyle w:val="FootnoteReference"/>
          <w:rFonts w:ascii="Arial" w:hAnsi="Arial" w:cs="Arial"/>
        </w:rPr>
        <w:footnoteReference w:id="14"/>
      </w:r>
      <w:r w:rsidR="00141235">
        <w:rPr>
          <w:rFonts w:ascii="Arial" w:hAnsi="Arial" w:cs="Arial"/>
        </w:rPr>
        <w:t xml:space="preserve"> </w:t>
      </w:r>
    </w:p>
    <w:p w:rsidR="00141235" w:rsidRPr="00141235" w:rsidRDefault="00141235" w:rsidP="00141235">
      <w:pPr>
        <w:pStyle w:val="ListParagraph"/>
        <w:rPr>
          <w:rFonts w:ascii="Arial" w:hAnsi="Arial" w:cs="Arial"/>
          <w:sz w:val="20"/>
          <w:szCs w:val="20"/>
        </w:rPr>
      </w:pPr>
    </w:p>
    <w:p w:rsidR="00141235" w:rsidRDefault="008E761E" w:rsidP="00141235">
      <w:pPr>
        <w:pStyle w:val="ListParagraph"/>
        <w:numPr>
          <w:ilvl w:val="1"/>
          <w:numId w:val="28"/>
        </w:numPr>
        <w:spacing w:line="360" w:lineRule="auto"/>
        <w:jc w:val="both"/>
        <w:rPr>
          <w:rFonts w:ascii="Arial" w:hAnsi="Arial" w:cs="Arial"/>
          <w:sz w:val="20"/>
          <w:szCs w:val="20"/>
        </w:rPr>
      </w:pPr>
      <w:r w:rsidRPr="005935FD">
        <w:rPr>
          <w:rFonts w:ascii="Arial" w:hAnsi="Arial" w:cs="Arial"/>
          <w:sz w:val="20"/>
          <w:szCs w:val="20"/>
        </w:rPr>
        <w:t>That the bank failed to comply with sections 129 and 130 of the NCA. She stated that she never received the notice issued in terms of section 129 of the NCA because, at the time when it was allegedly served on her, she had just relocated to Bloemfontein and resided at a different address from the one used for the said service;</w:t>
      </w:r>
    </w:p>
    <w:p w:rsidR="00141235" w:rsidRDefault="00141235" w:rsidP="00141235">
      <w:pPr>
        <w:pStyle w:val="ListParagraph"/>
        <w:spacing w:line="360" w:lineRule="auto"/>
        <w:ind w:left="1440"/>
        <w:jc w:val="both"/>
        <w:rPr>
          <w:rFonts w:ascii="Arial" w:hAnsi="Arial" w:cs="Arial"/>
          <w:sz w:val="20"/>
          <w:szCs w:val="20"/>
        </w:rPr>
      </w:pPr>
    </w:p>
    <w:p w:rsidR="00141235" w:rsidRDefault="008E761E" w:rsidP="00141235">
      <w:pPr>
        <w:pStyle w:val="ListParagraph"/>
        <w:numPr>
          <w:ilvl w:val="1"/>
          <w:numId w:val="28"/>
        </w:numPr>
        <w:spacing w:line="360" w:lineRule="auto"/>
        <w:jc w:val="both"/>
        <w:rPr>
          <w:rFonts w:ascii="Arial" w:hAnsi="Arial" w:cs="Arial"/>
          <w:sz w:val="20"/>
          <w:szCs w:val="20"/>
        </w:rPr>
      </w:pPr>
      <w:r w:rsidRPr="00141235">
        <w:rPr>
          <w:rFonts w:ascii="Arial" w:hAnsi="Arial" w:cs="Arial"/>
          <w:sz w:val="20"/>
          <w:szCs w:val="20"/>
        </w:rPr>
        <w:t>That the summons was not properly served on her;</w:t>
      </w:r>
      <w:r w:rsidR="00141235">
        <w:rPr>
          <w:rFonts w:ascii="Arial" w:hAnsi="Arial" w:cs="Arial"/>
          <w:sz w:val="20"/>
          <w:szCs w:val="20"/>
        </w:rPr>
        <w:t xml:space="preserve"> </w:t>
      </w:r>
    </w:p>
    <w:p w:rsidR="00141235" w:rsidRPr="00141235" w:rsidRDefault="00141235" w:rsidP="00141235">
      <w:pPr>
        <w:pStyle w:val="ListParagraph"/>
        <w:rPr>
          <w:rFonts w:ascii="Arial" w:hAnsi="Arial" w:cs="Arial"/>
          <w:sz w:val="20"/>
          <w:szCs w:val="20"/>
        </w:rPr>
      </w:pPr>
    </w:p>
    <w:p w:rsidR="00875DBA" w:rsidRDefault="008E761E" w:rsidP="00875DBA">
      <w:pPr>
        <w:pStyle w:val="ListParagraph"/>
        <w:numPr>
          <w:ilvl w:val="1"/>
          <w:numId w:val="28"/>
        </w:numPr>
        <w:spacing w:line="360" w:lineRule="auto"/>
        <w:jc w:val="both"/>
        <w:rPr>
          <w:rFonts w:ascii="Arial" w:hAnsi="Arial" w:cs="Arial"/>
          <w:sz w:val="20"/>
          <w:szCs w:val="20"/>
        </w:rPr>
      </w:pPr>
      <w:r w:rsidRPr="005935FD">
        <w:rPr>
          <w:rFonts w:ascii="Arial" w:hAnsi="Arial" w:cs="Arial"/>
          <w:sz w:val="20"/>
          <w:szCs w:val="20"/>
        </w:rPr>
        <w:t>That she was not in Bloemfontein (i.e.</w:t>
      </w:r>
      <w:r w:rsidRPr="00D41B45">
        <w:rPr>
          <w:rFonts w:ascii="Arial" w:hAnsi="Arial" w:cs="Arial"/>
          <w:b/>
          <w:color w:val="00B050"/>
          <w:sz w:val="20"/>
          <w:szCs w:val="20"/>
        </w:rPr>
        <w:t xml:space="preserve"> </w:t>
      </w:r>
      <w:r w:rsidR="00D41B45" w:rsidRPr="00AA58C6">
        <w:rPr>
          <w:rFonts w:ascii="Arial" w:hAnsi="Arial" w:cs="Arial"/>
          <w:sz w:val="20"/>
          <w:szCs w:val="20"/>
        </w:rPr>
        <w:t>the</w:t>
      </w:r>
      <w:r w:rsidR="00D41B45" w:rsidRPr="00D41B45">
        <w:rPr>
          <w:rFonts w:ascii="Arial" w:hAnsi="Arial" w:cs="Arial"/>
          <w:color w:val="00B050"/>
          <w:sz w:val="20"/>
          <w:szCs w:val="20"/>
        </w:rPr>
        <w:t xml:space="preserve"> </w:t>
      </w:r>
      <w:r w:rsidRPr="005935FD">
        <w:rPr>
          <w:rFonts w:ascii="Arial" w:hAnsi="Arial" w:cs="Arial"/>
          <w:sz w:val="20"/>
          <w:szCs w:val="20"/>
        </w:rPr>
        <w:t>place where the suretyship was signed at) at the time when the suretyship was signed;</w:t>
      </w:r>
      <w:r w:rsidR="00875DBA">
        <w:rPr>
          <w:rFonts w:ascii="Arial" w:hAnsi="Arial" w:cs="Arial"/>
          <w:sz w:val="20"/>
          <w:szCs w:val="20"/>
        </w:rPr>
        <w:t xml:space="preserve"> </w:t>
      </w:r>
    </w:p>
    <w:p w:rsidR="00875DBA" w:rsidRPr="00875DBA" w:rsidRDefault="00875DBA" w:rsidP="00875DBA">
      <w:pPr>
        <w:pStyle w:val="ListParagraph"/>
        <w:rPr>
          <w:rFonts w:ascii="Arial" w:hAnsi="Arial" w:cs="Arial"/>
          <w:sz w:val="20"/>
          <w:szCs w:val="20"/>
        </w:rPr>
      </w:pPr>
    </w:p>
    <w:p w:rsidR="00875DBA" w:rsidRDefault="008E761E" w:rsidP="00875DBA">
      <w:pPr>
        <w:pStyle w:val="ListParagraph"/>
        <w:numPr>
          <w:ilvl w:val="1"/>
          <w:numId w:val="28"/>
        </w:numPr>
        <w:spacing w:line="360" w:lineRule="auto"/>
        <w:jc w:val="both"/>
        <w:rPr>
          <w:rFonts w:ascii="Arial" w:hAnsi="Arial" w:cs="Arial"/>
          <w:sz w:val="20"/>
          <w:szCs w:val="20"/>
        </w:rPr>
      </w:pPr>
      <w:r w:rsidRPr="00875DBA">
        <w:rPr>
          <w:rFonts w:ascii="Arial" w:hAnsi="Arial" w:cs="Arial"/>
          <w:sz w:val="20"/>
          <w:szCs w:val="20"/>
        </w:rPr>
        <w:lastRenderedPageBreak/>
        <w:t>She did not give consent for the deceased to sign the suretyship and was not aware of it until receiving the summons;</w:t>
      </w:r>
    </w:p>
    <w:p w:rsidR="00875DBA" w:rsidRPr="00875DBA" w:rsidRDefault="00875DBA" w:rsidP="00875DBA">
      <w:pPr>
        <w:pStyle w:val="ListParagraph"/>
        <w:rPr>
          <w:rFonts w:ascii="Arial" w:hAnsi="Arial" w:cs="Arial"/>
          <w:sz w:val="20"/>
          <w:szCs w:val="20"/>
        </w:rPr>
      </w:pPr>
    </w:p>
    <w:p w:rsidR="00875DBA" w:rsidRPr="00875DBA" w:rsidRDefault="008E761E" w:rsidP="00875DBA">
      <w:pPr>
        <w:pStyle w:val="ListParagraph"/>
        <w:numPr>
          <w:ilvl w:val="1"/>
          <w:numId w:val="28"/>
        </w:numPr>
        <w:spacing w:line="360" w:lineRule="auto"/>
        <w:jc w:val="both"/>
        <w:rPr>
          <w:rFonts w:ascii="Arial" w:hAnsi="Arial" w:cs="Arial"/>
        </w:rPr>
      </w:pPr>
      <w:r w:rsidRPr="00875DBA">
        <w:rPr>
          <w:rFonts w:ascii="Arial" w:hAnsi="Arial" w:cs="Arial"/>
          <w:sz w:val="20"/>
          <w:szCs w:val="20"/>
        </w:rPr>
        <w:t>She was never involved in the business of Hokanang and had no knowledge of the overdraft facility;</w:t>
      </w:r>
      <w:r w:rsidR="002B204A" w:rsidRPr="00875DBA">
        <w:rPr>
          <w:rFonts w:ascii="Arial" w:hAnsi="Arial" w:cs="Arial"/>
          <w:sz w:val="20"/>
          <w:szCs w:val="20"/>
        </w:rPr>
        <w:t xml:space="preserve"> and</w:t>
      </w:r>
    </w:p>
    <w:p w:rsidR="00875DBA" w:rsidRPr="00875DBA" w:rsidRDefault="00875DBA" w:rsidP="00875DBA">
      <w:pPr>
        <w:pStyle w:val="ListParagraph"/>
        <w:rPr>
          <w:rFonts w:ascii="Arial" w:hAnsi="Arial" w:cs="Arial"/>
          <w:sz w:val="20"/>
          <w:szCs w:val="20"/>
        </w:rPr>
      </w:pPr>
    </w:p>
    <w:p w:rsidR="00875DBA" w:rsidRDefault="008E761E" w:rsidP="00875DBA">
      <w:pPr>
        <w:pStyle w:val="ListParagraph"/>
        <w:numPr>
          <w:ilvl w:val="1"/>
          <w:numId w:val="28"/>
        </w:numPr>
        <w:spacing w:line="360" w:lineRule="auto"/>
        <w:jc w:val="both"/>
        <w:rPr>
          <w:rFonts w:ascii="Arial" w:hAnsi="Arial" w:cs="Arial"/>
        </w:rPr>
      </w:pPr>
      <w:r w:rsidRPr="005935FD">
        <w:rPr>
          <w:rFonts w:ascii="Arial" w:hAnsi="Arial" w:cs="Arial"/>
          <w:sz w:val="20"/>
          <w:szCs w:val="20"/>
        </w:rPr>
        <w:t>That the signature appearing on the suretyship was not hers and her deceased husband’s and therefore did not know who forged their signatures on the said documents.</w:t>
      </w:r>
      <w:r w:rsidRPr="005935FD">
        <w:rPr>
          <w:rFonts w:ascii="Arial" w:hAnsi="Arial" w:cs="Arial"/>
        </w:rPr>
        <w:t xml:space="preserve"> </w:t>
      </w:r>
    </w:p>
    <w:p w:rsidR="00875DBA" w:rsidRDefault="00875DBA" w:rsidP="00875DBA">
      <w:pPr>
        <w:pStyle w:val="ListParagraph"/>
        <w:rPr>
          <w:rFonts w:ascii="Arial" w:hAnsi="Arial" w:cs="Arial"/>
          <w:lang w:val="en-ZA"/>
        </w:rPr>
      </w:pPr>
    </w:p>
    <w:p w:rsidR="00875DBA" w:rsidRPr="00875DBA" w:rsidRDefault="00875DBA" w:rsidP="00875DBA">
      <w:pPr>
        <w:pStyle w:val="ListParagraph"/>
        <w:rPr>
          <w:rFonts w:ascii="Arial" w:hAnsi="Arial" w:cs="Arial"/>
          <w:lang w:val="en-ZA"/>
        </w:rPr>
      </w:pPr>
    </w:p>
    <w:p w:rsidR="008A61CD" w:rsidRPr="00875DBA" w:rsidRDefault="00F24222" w:rsidP="00875DBA">
      <w:pPr>
        <w:pStyle w:val="ListParagraph"/>
        <w:numPr>
          <w:ilvl w:val="0"/>
          <w:numId w:val="28"/>
        </w:numPr>
        <w:spacing w:line="360" w:lineRule="auto"/>
        <w:jc w:val="both"/>
        <w:rPr>
          <w:rFonts w:ascii="Arial" w:hAnsi="Arial" w:cs="Arial"/>
        </w:rPr>
      </w:pPr>
      <w:r w:rsidRPr="00875DBA">
        <w:rPr>
          <w:rFonts w:ascii="Arial" w:hAnsi="Arial" w:cs="Arial"/>
          <w:lang w:val="en-ZA"/>
        </w:rPr>
        <w:t xml:space="preserve">It </w:t>
      </w:r>
      <w:r w:rsidRPr="00875DBA">
        <w:rPr>
          <w:rFonts w:ascii="Arial" w:hAnsi="Arial" w:cs="Arial"/>
        </w:rPr>
        <w:t>is common cause that the appellant was married in community of property to her deceased husband, who was involved in the dealings with Hokanang at some point. Therefore, her supposed liability in respect of the claim brought by the bank arose from the fact that she allegedly co-signed the suretyship agreement with her deceased husband in favour of Hokanang.</w:t>
      </w:r>
    </w:p>
    <w:p w:rsidR="000F5B90" w:rsidRPr="005935FD" w:rsidRDefault="000F5B90" w:rsidP="008A61CD">
      <w:pPr>
        <w:spacing w:line="360" w:lineRule="auto"/>
        <w:ind w:left="851" w:hanging="851"/>
        <w:jc w:val="both"/>
        <w:rPr>
          <w:rFonts w:ascii="Arial" w:hAnsi="Arial" w:cs="Arial"/>
          <w:lang w:val="en-ZA"/>
        </w:rPr>
      </w:pPr>
    </w:p>
    <w:p w:rsidR="008A61CD" w:rsidRPr="005935FD" w:rsidRDefault="008A61CD" w:rsidP="008A61CD">
      <w:pPr>
        <w:spacing w:line="360" w:lineRule="auto"/>
        <w:ind w:left="851" w:hanging="851"/>
        <w:jc w:val="both"/>
        <w:rPr>
          <w:rFonts w:ascii="Arial" w:hAnsi="Arial" w:cs="Arial"/>
          <w:lang w:val="en-ZA"/>
        </w:rPr>
      </w:pPr>
    </w:p>
    <w:p w:rsidR="00F24222" w:rsidRPr="005935FD" w:rsidRDefault="00F24222" w:rsidP="00F24222">
      <w:pPr>
        <w:pStyle w:val="Myown"/>
        <w:numPr>
          <w:ilvl w:val="0"/>
          <w:numId w:val="0"/>
        </w:numPr>
        <w:spacing w:before="0" w:after="0" w:line="360" w:lineRule="auto"/>
        <w:contextualSpacing/>
        <w:rPr>
          <w:rFonts w:ascii="Arial" w:hAnsi="Arial" w:cs="Arial"/>
          <w:b/>
          <w:u w:val="single"/>
        </w:rPr>
      </w:pPr>
      <w:r w:rsidRPr="005935FD">
        <w:rPr>
          <w:rFonts w:ascii="Arial" w:hAnsi="Arial" w:cs="Arial"/>
          <w:b/>
          <w:u w:val="single"/>
        </w:rPr>
        <w:t>Findings by the court a quo</w:t>
      </w:r>
    </w:p>
    <w:p w:rsidR="00F24222" w:rsidRPr="005935FD" w:rsidRDefault="00F24222" w:rsidP="00F24222">
      <w:pPr>
        <w:spacing w:line="360" w:lineRule="auto"/>
        <w:ind w:left="851" w:hanging="851"/>
        <w:jc w:val="both"/>
        <w:rPr>
          <w:rFonts w:ascii="Arial" w:hAnsi="Arial" w:cs="Arial"/>
          <w:lang w:val="en-ZA"/>
        </w:rPr>
      </w:pPr>
      <w:r w:rsidRPr="005935FD">
        <w:rPr>
          <w:rFonts w:ascii="Arial" w:hAnsi="Arial" w:cs="Arial"/>
          <w:lang w:val="en-ZA"/>
        </w:rPr>
        <w:t xml:space="preserve"> </w:t>
      </w:r>
    </w:p>
    <w:p w:rsidR="001703A2" w:rsidRPr="00875DBA" w:rsidRDefault="000B35C7" w:rsidP="00875DBA">
      <w:pPr>
        <w:pStyle w:val="ListParagraph"/>
        <w:numPr>
          <w:ilvl w:val="0"/>
          <w:numId w:val="28"/>
        </w:numPr>
        <w:spacing w:line="360" w:lineRule="auto"/>
        <w:jc w:val="both"/>
        <w:rPr>
          <w:rFonts w:ascii="Arial" w:hAnsi="Arial" w:cs="Arial"/>
        </w:rPr>
      </w:pPr>
      <w:r w:rsidRPr="00875DBA">
        <w:rPr>
          <w:rFonts w:ascii="Arial" w:hAnsi="Arial" w:cs="Arial"/>
        </w:rPr>
        <w:t>T</w:t>
      </w:r>
      <w:r w:rsidR="00656D5A" w:rsidRPr="00875DBA">
        <w:rPr>
          <w:rFonts w:ascii="Arial" w:hAnsi="Arial" w:cs="Arial"/>
        </w:rPr>
        <w:t xml:space="preserve">he court a quo </w:t>
      </w:r>
      <w:r w:rsidRPr="00875DBA">
        <w:rPr>
          <w:rFonts w:ascii="Arial" w:hAnsi="Arial" w:cs="Arial"/>
        </w:rPr>
        <w:t>considered the defences raised by the appellant. The learned magistrate was well conversant with the provisions of the rules and case l</w:t>
      </w:r>
      <w:r w:rsidR="00D635E6" w:rsidRPr="00875DBA">
        <w:rPr>
          <w:rFonts w:ascii="Arial" w:hAnsi="Arial" w:cs="Arial"/>
        </w:rPr>
        <w:t>aw dealing with the application</w:t>
      </w:r>
      <w:r w:rsidRPr="00875DBA">
        <w:rPr>
          <w:rFonts w:ascii="Arial" w:hAnsi="Arial" w:cs="Arial"/>
        </w:rPr>
        <w:t xml:space="preserve"> of this nature. </w:t>
      </w:r>
      <w:r w:rsidR="00A35903" w:rsidRPr="00875DBA">
        <w:rPr>
          <w:rFonts w:ascii="Arial" w:hAnsi="Arial" w:cs="Arial"/>
        </w:rPr>
        <w:t>Regrettably</w:t>
      </w:r>
      <w:r w:rsidRPr="00875DBA">
        <w:rPr>
          <w:rFonts w:ascii="Arial" w:hAnsi="Arial" w:cs="Arial"/>
        </w:rPr>
        <w:t xml:space="preserve">, the judgment is unclear as to how he dealt with the points that were raised by both parties in the case he was called upon to adjudicate. What is also unclear is the </w:t>
      </w:r>
      <w:r w:rsidR="000316B4" w:rsidRPr="00875DBA">
        <w:rPr>
          <w:rFonts w:ascii="Arial" w:hAnsi="Arial" w:cs="Arial"/>
        </w:rPr>
        <w:t xml:space="preserve">court </w:t>
      </w:r>
      <w:r w:rsidR="000316B4" w:rsidRPr="00875DBA">
        <w:rPr>
          <w:rFonts w:ascii="Arial" w:hAnsi="Arial" w:cs="Arial"/>
          <w:i/>
        </w:rPr>
        <w:t>a quo</w:t>
      </w:r>
      <w:r w:rsidR="000316B4" w:rsidRPr="00875DBA">
        <w:rPr>
          <w:rFonts w:ascii="Arial" w:hAnsi="Arial" w:cs="Arial"/>
        </w:rPr>
        <w:t xml:space="preserve">’s </w:t>
      </w:r>
      <w:r w:rsidRPr="00875DBA">
        <w:rPr>
          <w:rFonts w:ascii="Arial" w:hAnsi="Arial" w:cs="Arial"/>
        </w:rPr>
        <w:t xml:space="preserve">basis for rejecting the arguments </w:t>
      </w:r>
      <w:r w:rsidR="00D635E6" w:rsidRPr="00875DBA">
        <w:rPr>
          <w:rFonts w:ascii="Arial" w:hAnsi="Arial" w:cs="Arial"/>
        </w:rPr>
        <w:t>advanced on behalf of</w:t>
      </w:r>
      <w:r w:rsidRPr="00875DBA">
        <w:rPr>
          <w:rFonts w:ascii="Arial" w:hAnsi="Arial" w:cs="Arial"/>
        </w:rPr>
        <w:t xml:space="preserve"> the appellant. </w:t>
      </w:r>
    </w:p>
    <w:p w:rsidR="008A61CD" w:rsidRPr="005935FD" w:rsidRDefault="008A61CD" w:rsidP="001703A2">
      <w:pPr>
        <w:spacing w:line="360" w:lineRule="auto"/>
        <w:ind w:left="851" w:hanging="851"/>
        <w:jc w:val="both"/>
        <w:rPr>
          <w:rFonts w:ascii="Arial" w:hAnsi="Arial" w:cs="Arial"/>
          <w:lang w:val="en-ZA"/>
        </w:rPr>
      </w:pPr>
    </w:p>
    <w:p w:rsidR="008A61CD" w:rsidRPr="005935FD" w:rsidRDefault="001703A2" w:rsidP="008A61CD">
      <w:pPr>
        <w:spacing w:line="360" w:lineRule="auto"/>
        <w:jc w:val="both"/>
        <w:rPr>
          <w:rFonts w:ascii="Arial" w:hAnsi="Arial" w:cs="Arial"/>
          <w:lang w:val="en-ZA"/>
        </w:rPr>
      </w:pPr>
      <w:r w:rsidRPr="005935FD">
        <w:rPr>
          <w:rFonts w:ascii="Arial" w:eastAsiaTheme="minorHAnsi" w:hAnsi="Arial" w:cs="Arial"/>
          <w:b/>
          <w:u w:val="single"/>
          <w:lang w:val="en-ZA" w:eastAsia="en-US"/>
        </w:rPr>
        <w:t>G</w:t>
      </w:r>
      <w:r w:rsidR="008A61CD" w:rsidRPr="005935FD">
        <w:rPr>
          <w:rFonts w:ascii="Arial" w:eastAsiaTheme="minorHAnsi" w:hAnsi="Arial" w:cs="Arial"/>
          <w:b/>
          <w:u w:val="single"/>
          <w:lang w:val="en-ZA" w:eastAsia="en-US"/>
        </w:rPr>
        <w:t>rounds</w:t>
      </w:r>
      <w:r w:rsidRPr="005935FD">
        <w:rPr>
          <w:rFonts w:ascii="Arial" w:eastAsiaTheme="minorHAnsi" w:hAnsi="Arial" w:cs="Arial"/>
          <w:b/>
          <w:u w:val="single"/>
          <w:lang w:val="en-ZA" w:eastAsia="en-US"/>
        </w:rPr>
        <w:t xml:space="preserve"> </w:t>
      </w:r>
      <w:r w:rsidR="008A61CD" w:rsidRPr="005935FD">
        <w:rPr>
          <w:rFonts w:ascii="Arial" w:eastAsiaTheme="minorHAnsi" w:hAnsi="Arial" w:cs="Arial"/>
          <w:b/>
          <w:u w:val="single"/>
          <w:lang w:val="en-ZA" w:eastAsia="en-US"/>
        </w:rPr>
        <w:t>of appeal</w:t>
      </w:r>
    </w:p>
    <w:p w:rsidR="008A61CD" w:rsidRPr="005935FD" w:rsidRDefault="008A61CD" w:rsidP="008A61CD">
      <w:pPr>
        <w:spacing w:line="360" w:lineRule="auto"/>
        <w:ind w:left="851" w:hanging="851"/>
        <w:jc w:val="both"/>
        <w:rPr>
          <w:rFonts w:ascii="Arial" w:hAnsi="Arial" w:cs="Arial"/>
          <w:lang w:val="en-ZA"/>
        </w:rPr>
      </w:pPr>
    </w:p>
    <w:p w:rsidR="00875DBA" w:rsidRDefault="001703A2" w:rsidP="00875DBA">
      <w:pPr>
        <w:pStyle w:val="Myown"/>
        <w:numPr>
          <w:ilvl w:val="0"/>
          <w:numId w:val="28"/>
        </w:numPr>
        <w:spacing w:before="0" w:after="0" w:line="360" w:lineRule="auto"/>
        <w:contextualSpacing/>
        <w:rPr>
          <w:rFonts w:ascii="Arial" w:hAnsi="Arial" w:cs="Arial"/>
          <w:sz w:val="20"/>
          <w:szCs w:val="20"/>
        </w:rPr>
      </w:pPr>
      <w:r w:rsidRPr="005935FD">
        <w:rPr>
          <w:rFonts w:ascii="Arial" w:hAnsi="Arial" w:cs="Arial"/>
        </w:rPr>
        <w:t xml:space="preserve">The appellant launched an appeal against the whole judgment of the court </w:t>
      </w:r>
      <w:r w:rsidRPr="005935FD">
        <w:rPr>
          <w:rFonts w:ascii="Arial" w:hAnsi="Arial" w:cs="Arial"/>
          <w:i/>
        </w:rPr>
        <w:t xml:space="preserve">a quo </w:t>
      </w:r>
      <w:r w:rsidRPr="005935FD">
        <w:rPr>
          <w:rFonts w:ascii="Arial" w:hAnsi="Arial" w:cs="Arial"/>
        </w:rPr>
        <w:t>based on the following grounds:</w:t>
      </w:r>
      <w:r w:rsidR="00875DBA" w:rsidRPr="005935FD">
        <w:rPr>
          <w:rFonts w:ascii="Arial" w:hAnsi="Arial" w:cs="Arial"/>
          <w:sz w:val="20"/>
          <w:szCs w:val="20"/>
        </w:rPr>
        <w:t xml:space="preserve"> </w:t>
      </w:r>
    </w:p>
    <w:p w:rsidR="00875DBA" w:rsidRDefault="00875DBA" w:rsidP="00875DBA">
      <w:pPr>
        <w:pStyle w:val="Myown"/>
        <w:numPr>
          <w:ilvl w:val="0"/>
          <w:numId w:val="0"/>
        </w:numPr>
        <w:spacing w:before="0" w:after="0" w:line="360" w:lineRule="auto"/>
        <w:ind w:left="720"/>
        <w:contextualSpacing/>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5935FD">
        <w:rPr>
          <w:rFonts w:ascii="Arial" w:hAnsi="Arial" w:cs="Arial"/>
          <w:sz w:val="20"/>
          <w:szCs w:val="20"/>
        </w:rPr>
        <w:t>That the court erred in finding that the appellant did not raise triable issues in her plea and/or affidavit resisting summary judgment;</w:t>
      </w:r>
    </w:p>
    <w:p w:rsidR="00875DBA" w:rsidRDefault="00875DBA" w:rsidP="00875DBA">
      <w:pPr>
        <w:pStyle w:val="Myown"/>
        <w:numPr>
          <w:ilvl w:val="0"/>
          <w:numId w:val="0"/>
        </w:numPr>
        <w:spacing w:before="0" w:after="0" w:line="360" w:lineRule="auto"/>
        <w:ind w:left="1440"/>
        <w:contextualSpacing/>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court erred in finding that the appellant did not fully disclose her defences in her plea and affidavit resisting summary judgement;</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 xml:space="preserve">That the court erred in not considering the non-joinder point </w:t>
      </w:r>
      <w:r w:rsidRPr="00875DBA">
        <w:rPr>
          <w:rFonts w:ascii="Arial" w:hAnsi="Arial" w:cs="Arial"/>
          <w:i/>
          <w:sz w:val="20"/>
          <w:szCs w:val="20"/>
        </w:rPr>
        <w:t>in limine</w:t>
      </w:r>
      <w:r w:rsidRPr="00875DBA">
        <w:rPr>
          <w:rFonts w:ascii="Arial" w:hAnsi="Arial" w:cs="Arial"/>
          <w:sz w:val="20"/>
          <w:szCs w:val="20"/>
        </w:rPr>
        <w:t xml:space="preserve"> regarding the deceased estate of Clint Mallett, alternatively erred in dismissing the non-joinder point;</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 xml:space="preserve">That </w:t>
      </w:r>
      <w:r w:rsidR="00D41B45" w:rsidRPr="00875DBA">
        <w:rPr>
          <w:rFonts w:ascii="Arial" w:hAnsi="Arial" w:cs="Arial"/>
          <w:sz w:val="20"/>
          <w:szCs w:val="20"/>
        </w:rPr>
        <w:t xml:space="preserve">the </w:t>
      </w:r>
      <w:r w:rsidRPr="00875DBA">
        <w:rPr>
          <w:rFonts w:ascii="Arial" w:hAnsi="Arial" w:cs="Arial"/>
          <w:sz w:val="20"/>
          <w:szCs w:val="20"/>
        </w:rPr>
        <w:t xml:space="preserve">court erred in finding that the appellant is bound by the terms of the suretyship agreement which she </w:t>
      </w:r>
      <w:r w:rsidRPr="00875DBA">
        <w:rPr>
          <w:rFonts w:ascii="Arial" w:hAnsi="Arial" w:cs="Arial"/>
          <w:i/>
          <w:sz w:val="20"/>
          <w:szCs w:val="20"/>
        </w:rPr>
        <w:t>prima facie</w:t>
      </w:r>
      <w:r w:rsidRPr="00875DBA">
        <w:rPr>
          <w:rFonts w:ascii="Arial" w:hAnsi="Arial" w:cs="Arial"/>
          <w:sz w:val="20"/>
          <w:szCs w:val="20"/>
        </w:rPr>
        <w:t xml:space="preserve"> proves she did not sign; </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court erred by finding that the appellant agreed that the certificate of balance may be produced as</w:t>
      </w:r>
      <w:r w:rsidRPr="00875DBA">
        <w:rPr>
          <w:rFonts w:ascii="Arial" w:hAnsi="Arial" w:cs="Arial"/>
          <w:i/>
          <w:sz w:val="20"/>
          <w:szCs w:val="20"/>
        </w:rPr>
        <w:t xml:space="preserve"> prima facie</w:t>
      </w:r>
      <w:r w:rsidRPr="00875DBA">
        <w:rPr>
          <w:rFonts w:ascii="Arial" w:hAnsi="Arial" w:cs="Arial"/>
          <w:sz w:val="20"/>
          <w:szCs w:val="20"/>
        </w:rPr>
        <w:t xml:space="preserve"> proof of indebtedness whereas she has </w:t>
      </w:r>
      <w:r w:rsidRPr="00875DBA">
        <w:rPr>
          <w:rFonts w:ascii="Arial" w:hAnsi="Arial" w:cs="Arial"/>
          <w:i/>
          <w:sz w:val="20"/>
          <w:szCs w:val="20"/>
        </w:rPr>
        <w:t>prima facie</w:t>
      </w:r>
      <w:r w:rsidRPr="00875DBA">
        <w:rPr>
          <w:rFonts w:ascii="Arial" w:hAnsi="Arial" w:cs="Arial"/>
          <w:sz w:val="20"/>
          <w:szCs w:val="20"/>
        </w:rPr>
        <w:t xml:space="preserve"> proved that she did not sign the suretyship agreement;</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 xml:space="preserve">That the court erred by not finding that a </w:t>
      </w:r>
      <w:r w:rsidRPr="00875DBA">
        <w:rPr>
          <w:rFonts w:ascii="Arial" w:hAnsi="Arial" w:cs="Arial"/>
          <w:sz w:val="20"/>
          <w:szCs w:val="20"/>
          <w:u w:val="single"/>
        </w:rPr>
        <w:t>factual dispute</w:t>
      </w:r>
      <w:r w:rsidRPr="00875DBA">
        <w:rPr>
          <w:rFonts w:ascii="Arial" w:hAnsi="Arial" w:cs="Arial"/>
          <w:sz w:val="20"/>
          <w:szCs w:val="20"/>
        </w:rPr>
        <w:t xml:space="preserve"> was raised by the appellant in that she </w:t>
      </w:r>
      <w:r w:rsidRPr="00875DBA">
        <w:rPr>
          <w:rFonts w:ascii="Arial" w:hAnsi="Arial" w:cs="Arial"/>
          <w:i/>
          <w:sz w:val="20"/>
          <w:szCs w:val="20"/>
        </w:rPr>
        <w:t>prima facie</w:t>
      </w:r>
      <w:r w:rsidRPr="00875DBA">
        <w:rPr>
          <w:rFonts w:ascii="Arial" w:hAnsi="Arial" w:cs="Arial"/>
          <w:sz w:val="20"/>
          <w:szCs w:val="20"/>
        </w:rPr>
        <w:t xml:space="preserve"> proved that she did not sign the suretyship agreement;</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 xml:space="preserve">That the court erred by not referring the matter to oral evidence or dismissing the application for summary judgement on the basis that a factual dispute exists; </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court erred by not considering the visual differences in signatures attached to the appellants affidavit as annexures D2 – D3 when compared to page 6 of the suretyship agreement, and furthermore erred by not finding that the signatures differ;</w:t>
      </w:r>
    </w:p>
    <w:p w:rsidR="00875DBA" w:rsidRDefault="00875DBA" w:rsidP="00875DBA">
      <w:pPr>
        <w:pStyle w:val="ListParagraph"/>
        <w:rPr>
          <w:rFonts w:ascii="Arial" w:hAnsi="Arial" w:cs="Arial"/>
          <w:sz w:val="20"/>
          <w:szCs w:val="20"/>
        </w:rPr>
      </w:pPr>
    </w:p>
    <w:p w:rsidR="00875DBA" w:rsidRDefault="001308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w:t>
      </w:r>
      <w:r w:rsidR="001703A2" w:rsidRPr="00875DBA">
        <w:rPr>
          <w:rFonts w:ascii="Arial" w:hAnsi="Arial" w:cs="Arial"/>
          <w:sz w:val="20"/>
          <w:szCs w:val="20"/>
        </w:rPr>
        <w:t>ourt erred by finding that the main reason why the appellant denies signing that agreement was because she was not in Bloemfontein at the time when it was signed whereas this was ancillary to the main defence of the appellant (which is that she did not sign the agreement, period);</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court erred by finding that the appellant did no more than make an assertion that there was a forgery of signatures when the appellant proved that her signature had been forged by putting up evidence of her signature to be juxtaposed with the signature to be found on the suretyship agreement;</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court erred by not considering that the appellant had no knowledge of the main contract and suretyship agreement in order to put evidence before court and has no knowledge of the forgery of her signature, save to state that she did not sign the suretyship agreement;</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court erred in not considering the fact that there are witnesses, who signed next to the alleged signatures of the appellant and the deceased, who may be called as witnesses, and furthermore erred by not calling for those witnesses to give evidence;</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 xml:space="preserve">That the court erred by not considering that the plaintiff failed to prove that consent was provided, in terms of Section 15(2)(h) of the Matrimonial Property Act of 1984, by either the appellant or the deceased and furthermore by finding that the plaintiff had made </w:t>
      </w:r>
      <w:r w:rsidRPr="00875DBA">
        <w:rPr>
          <w:rFonts w:ascii="Arial" w:hAnsi="Arial" w:cs="Arial"/>
          <w:sz w:val="20"/>
          <w:szCs w:val="20"/>
        </w:rPr>
        <w:lastRenderedPageBreak/>
        <w:t>out a proper case despite not having any proof that the appellant or the deceased signed the consent form as required by the plaintiff’s own contract;</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court erred by finding that the appellant did not dispute the certificate of balance, whereas the appellant disputed same by denying same in her plea and affidavit;</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court erred by placing emphasis on the certificate of balance which was not attached to the particulars of claim at all;</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court erred by not considering that the plaintiff failed to prove that it complied with clauses 5, 6, 7 and 8 of the terms and conditions applicable to the overdraft facility, alternatively the court erred by finding that the plaintiff complied with the abovementioned clauses;</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court erred by not considering that the plaintiff failed to prove proper cancellation of the overdraft agreement in light of the lack of evidence as well as clauses 5, 6, 7 and 8 of the terms and conditions applicable to the overdraft facility;</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court erred by not considering that the plaintiff failed to bring the section 129 notice to the attention of the appellant;</w:t>
      </w:r>
    </w:p>
    <w:p w:rsidR="00875DBA" w:rsidRDefault="00875DBA" w:rsidP="00875DBA">
      <w:pPr>
        <w:pStyle w:val="ListParagraph"/>
        <w:rPr>
          <w:rFonts w:ascii="Arial" w:hAnsi="Arial" w:cs="Arial"/>
          <w:sz w:val="20"/>
          <w:szCs w:val="20"/>
        </w:rPr>
      </w:pPr>
    </w:p>
    <w:p w:rsid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court erred by not invoking its inherent discretion to dismiss summary judgement given the particular circumstances of the matter;</w:t>
      </w:r>
    </w:p>
    <w:p w:rsidR="00875DBA" w:rsidRDefault="00875DBA" w:rsidP="00875DBA">
      <w:pPr>
        <w:pStyle w:val="ListParagraph"/>
        <w:rPr>
          <w:rFonts w:ascii="Arial" w:hAnsi="Arial" w:cs="Arial"/>
          <w:sz w:val="20"/>
          <w:szCs w:val="20"/>
        </w:rPr>
      </w:pPr>
    </w:p>
    <w:p w:rsidR="00756DBF" w:rsidRPr="00875DBA" w:rsidRDefault="001703A2" w:rsidP="00875DBA">
      <w:pPr>
        <w:pStyle w:val="Myown"/>
        <w:numPr>
          <w:ilvl w:val="1"/>
          <w:numId w:val="28"/>
        </w:numPr>
        <w:spacing w:before="0" w:after="0" w:line="360" w:lineRule="auto"/>
        <w:contextualSpacing/>
        <w:rPr>
          <w:rFonts w:ascii="Arial" w:hAnsi="Arial" w:cs="Arial"/>
          <w:sz w:val="20"/>
          <w:szCs w:val="20"/>
        </w:rPr>
      </w:pPr>
      <w:r w:rsidRPr="00875DBA">
        <w:rPr>
          <w:rFonts w:ascii="Arial" w:hAnsi="Arial" w:cs="Arial"/>
          <w:sz w:val="20"/>
          <w:szCs w:val="20"/>
        </w:rPr>
        <w:t>That the court erred by finding that the appellant is liable in the amount of R189 003.00, together with interest as ordered and costs, whereas the application should have been dismissed with costs.</w:t>
      </w:r>
    </w:p>
    <w:p w:rsidR="008A61CD" w:rsidRPr="005935FD" w:rsidRDefault="008A61CD" w:rsidP="001308A2">
      <w:pPr>
        <w:spacing w:line="360" w:lineRule="auto"/>
        <w:jc w:val="both"/>
        <w:rPr>
          <w:rFonts w:ascii="Arial" w:hAnsi="Arial" w:cs="Arial"/>
          <w:lang w:val="en-ZA"/>
        </w:rPr>
      </w:pPr>
    </w:p>
    <w:p w:rsidR="00F25255" w:rsidRPr="005935FD" w:rsidRDefault="0053687E" w:rsidP="00F25255">
      <w:pPr>
        <w:widowControl w:val="0"/>
        <w:autoSpaceDE w:val="0"/>
        <w:autoSpaceDN w:val="0"/>
        <w:adjustRightInd w:val="0"/>
        <w:spacing w:line="360" w:lineRule="auto"/>
        <w:rPr>
          <w:rFonts w:ascii="Arial" w:hAnsi="Arial" w:cs="Arial"/>
          <w:b/>
          <w:u w:val="single"/>
          <w:lang w:val="en-US"/>
        </w:rPr>
      </w:pPr>
      <w:r>
        <w:rPr>
          <w:rFonts w:ascii="Arial" w:hAnsi="Arial" w:cs="Arial"/>
          <w:b/>
          <w:u w:val="single"/>
          <w:lang w:val="en-US"/>
        </w:rPr>
        <w:t>Le</w:t>
      </w:r>
      <w:r w:rsidR="00F24E2A" w:rsidRPr="005935FD">
        <w:rPr>
          <w:rFonts w:ascii="Arial" w:hAnsi="Arial" w:cs="Arial"/>
          <w:b/>
          <w:u w:val="single"/>
          <w:lang w:val="en-US"/>
        </w:rPr>
        <w:t>gal principles</w:t>
      </w:r>
      <w:r w:rsidR="006D27C9" w:rsidRPr="005935FD">
        <w:rPr>
          <w:rFonts w:ascii="Arial" w:hAnsi="Arial" w:cs="Arial"/>
          <w:b/>
          <w:u w:val="single"/>
          <w:lang w:val="en-US"/>
        </w:rPr>
        <w:t xml:space="preserve"> </w:t>
      </w:r>
      <w:r>
        <w:rPr>
          <w:rFonts w:ascii="Arial" w:hAnsi="Arial" w:cs="Arial"/>
          <w:b/>
          <w:u w:val="single"/>
          <w:lang w:val="en-US"/>
        </w:rPr>
        <w:t xml:space="preserve">applicable </w:t>
      </w:r>
      <w:r w:rsidR="006D27C9" w:rsidRPr="005935FD">
        <w:rPr>
          <w:rFonts w:ascii="Arial" w:hAnsi="Arial" w:cs="Arial"/>
          <w:b/>
          <w:u w:val="single"/>
          <w:lang w:val="en-US"/>
        </w:rPr>
        <w:t xml:space="preserve">to </w:t>
      </w:r>
      <w:r w:rsidR="001308A2" w:rsidRPr="005935FD">
        <w:rPr>
          <w:rFonts w:ascii="Arial" w:hAnsi="Arial" w:cs="Arial"/>
          <w:b/>
          <w:u w:val="single"/>
          <w:lang w:val="en-US"/>
        </w:rPr>
        <w:t>s</w:t>
      </w:r>
      <w:r w:rsidR="00F25255" w:rsidRPr="005935FD">
        <w:rPr>
          <w:rFonts w:ascii="Arial" w:hAnsi="Arial" w:cs="Arial"/>
          <w:b/>
          <w:u w:val="single"/>
          <w:lang w:val="en-US"/>
        </w:rPr>
        <w:t>ummary judgment</w:t>
      </w:r>
    </w:p>
    <w:p w:rsidR="00F25255" w:rsidRPr="005935FD" w:rsidRDefault="00F25255" w:rsidP="0000183B">
      <w:pPr>
        <w:spacing w:line="360" w:lineRule="auto"/>
        <w:ind w:left="850" w:hanging="850"/>
        <w:jc w:val="both"/>
        <w:rPr>
          <w:rFonts w:ascii="Arial" w:hAnsi="Arial" w:cs="Arial"/>
          <w:lang w:val="en-ZA"/>
        </w:rPr>
      </w:pPr>
      <w:r w:rsidRPr="005935FD">
        <w:rPr>
          <w:rFonts w:ascii="Arial" w:hAnsi="Arial" w:cs="Arial"/>
          <w:lang w:val="en-ZA"/>
        </w:rPr>
        <w:t xml:space="preserve"> </w:t>
      </w:r>
    </w:p>
    <w:p w:rsidR="003A03E9" w:rsidRPr="00875DBA" w:rsidRDefault="00F25255" w:rsidP="00875DBA">
      <w:pPr>
        <w:pStyle w:val="ListParagraph"/>
        <w:widowControl w:val="0"/>
        <w:numPr>
          <w:ilvl w:val="0"/>
          <w:numId w:val="28"/>
        </w:numPr>
        <w:autoSpaceDE w:val="0"/>
        <w:autoSpaceDN w:val="0"/>
        <w:adjustRightInd w:val="0"/>
        <w:spacing w:line="360" w:lineRule="auto"/>
        <w:rPr>
          <w:rFonts w:ascii="Arial" w:hAnsi="Arial" w:cs="Arial"/>
        </w:rPr>
      </w:pPr>
      <w:r w:rsidRPr="00875DBA">
        <w:rPr>
          <w:rFonts w:ascii="Arial" w:hAnsi="Arial" w:cs="Arial"/>
        </w:rPr>
        <w:t xml:space="preserve">Rule 14 </w:t>
      </w:r>
      <w:r w:rsidR="0077062A" w:rsidRPr="00875DBA">
        <w:rPr>
          <w:rFonts w:ascii="Arial" w:hAnsi="Arial" w:cs="Arial"/>
        </w:rPr>
        <w:t xml:space="preserve">of </w:t>
      </w:r>
      <w:r w:rsidR="003A03E9" w:rsidRPr="00875DBA">
        <w:rPr>
          <w:rFonts w:ascii="Arial" w:hAnsi="Arial" w:cs="Arial"/>
        </w:rPr>
        <w:t xml:space="preserve"> </w:t>
      </w:r>
      <w:r w:rsidR="00FC3F4F" w:rsidRPr="00875DBA">
        <w:rPr>
          <w:rFonts w:ascii="Arial" w:hAnsi="Arial" w:cs="Arial"/>
        </w:rPr>
        <w:t>Rules Regulating the Conduct of the Proceedings of t</w:t>
      </w:r>
      <w:r w:rsidR="003A03E9" w:rsidRPr="00875DBA">
        <w:rPr>
          <w:rFonts w:ascii="Arial" w:hAnsi="Arial" w:cs="Arial"/>
        </w:rPr>
        <w:t>he Magistrates' Courts stipulates that:</w:t>
      </w:r>
    </w:p>
    <w:p w:rsidR="00763E6A" w:rsidRPr="005935FD" w:rsidRDefault="00763E6A" w:rsidP="003A03E9">
      <w:pPr>
        <w:pStyle w:val="Myown"/>
        <w:numPr>
          <w:ilvl w:val="0"/>
          <w:numId w:val="0"/>
        </w:numPr>
        <w:spacing w:before="0" w:after="0" w:line="360" w:lineRule="auto"/>
        <w:ind w:right="1088"/>
        <w:contextualSpacing/>
        <w:rPr>
          <w:rFonts w:ascii="Arial" w:hAnsi="Arial" w:cs="Arial"/>
          <w:sz w:val="20"/>
          <w:szCs w:val="20"/>
        </w:rPr>
      </w:pPr>
    </w:p>
    <w:p w:rsidR="00763E6A" w:rsidRPr="005935FD" w:rsidRDefault="00875DBA" w:rsidP="00763E6A">
      <w:pPr>
        <w:pStyle w:val="onenormal"/>
        <w:ind w:left="1440"/>
        <w:rPr>
          <w:i/>
        </w:rPr>
      </w:pPr>
      <w:r>
        <w:rPr>
          <w:i/>
        </w:rPr>
        <w:t>“(1).</w:t>
      </w:r>
      <w:r>
        <w:rPr>
          <w:i/>
        </w:rPr>
        <w:tab/>
      </w:r>
      <w:r w:rsidR="00763E6A" w:rsidRPr="005935FD">
        <w:rPr>
          <w:i/>
        </w:rPr>
        <w:t>The plaintiff may, after the defendant has served a plea, apply to court for summary judgment on each of such claims in the summons as is only—</w:t>
      </w:r>
    </w:p>
    <w:p w:rsidR="00763E6A" w:rsidRPr="005935FD" w:rsidRDefault="00763E6A" w:rsidP="00763E6A">
      <w:pPr>
        <w:pStyle w:val="two"/>
        <w:rPr>
          <w:i/>
          <w:color w:val="auto"/>
        </w:rPr>
      </w:pPr>
    </w:p>
    <w:p w:rsidR="00763E6A" w:rsidRPr="005935FD" w:rsidRDefault="00875DBA" w:rsidP="00875DBA">
      <w:pPr>
        <w:pStyle w:val="two"/>
        <w:ind w:left="2160"/>
        <w:rPr>
          <w:i/>
          <w:color w:val="auto"/>
          <w:szCs w:val="20"/>
          <w:lang w:eastAsia="en-IE"/>
        </w:rPr>
      </w:pPr>
      <w:r>
        <w:rPr>
          <w:i/>
          <w:color w:val="auto"/>
          <w:szCs w:val="20"/>
          <w:lang w:eastAsia="en-IE"/>
        </w:rPr>
        <w:t>(a).</w:t>
      </w:r>
      <w:r>
        <w:rPr>
          <w:i/>
          <w:color w:val="auto"/>
          <w:szCs w:val="20"/>
          <w:lang w:eastAsia="en-IE"/>
        </w:rPr>
        <w:tab/>
      </w:r>
      <w:r w:rsidR="00763E6A" w:rsidRPr="005935FD">
        <w:rPr>
          <w:i/>
          <w:color w:val="auto"/>
          <w:szCs w:val="20"/>
          <w:lang w:eastAsia="en-IE"/>
        </w:rPr>
        <w:t>on a liquid document;</w:t>
      </w:r>
    </w:p>
    <w:p w:rsidR="00763E6A" w:rsidRPr="005935FD" w:rsidRDefault="00763E6A" w:rsidP="00763E6A">
      <w:pPr>
        <w:pStyle w:val="two"/>
        <w:rPr>
          <w:i/>
          <w:color w:val="auto"/>
          <w:szCs w:val="20"/>
          <w:lang w:eastAsia="en-IE"/>
        </w:rPr>
      </w:pPr>
    </w:p>
    <w:p w:rsidR="00763E6A" w:rsidRPr="005935FD" w:rsidRDefault="00875DBA" w:rsidP="00875DBA">
      <w:pPr>
        <w:pStyle w:val="two"/>
        <w:ind w:left="2160"/>
        <w:rPr>
          <w:i/>
          <w:color w:val="auto"/>
          <w:szCs w:val="20"/>
          <w:lang w:eastAsia="en-IE"/>
        </w:rPr>
      </w:pPr>
      <w:r>
        <w:rPr>
          <w:i/>
          <w:color w:val="auto"/>
          <w:szCs w:val="20"/>
          <w:lang w:eastAsia="en-IE"/>
        </w:rPr>
        <w:t>(b).</w:t>
      </w:r>
      <w:r>
        <w:rPr>
          <w:i/>
          <w:color w:val="auto"/>
          <w:szCs w:val="20"/>
          <w:lang w:eastAsia="en-IE"/>
        </w:rPr>
        <w:tab/>
      </w:r>
      <w:r w:rsidR="00763E6A" w:rsidRPr="005935FD">
        <w:rPr>
          <w:i/>
          <w:color w:val="auto"/>
          <w:szCs w:val="20"/>
          <w:lang w:eastAsia="en-IE"/>
        </w:rPr>
        <w:t>for a liquidated amount in money;…</w:t>
      </w:r>
    </w:p>
    <w:p w:rsidR="00DD0DD2" w:rsidRPr="005935FD" w:rsidRDefault="00DD0DD2" w:rsidP="00DD0DD2">
      <w:pPr>
        <w:pStyle w:val="para"/>
        <w:ind w:left="720"/>
        <w:rPr>
          <w:i/>
          <w:color w:val="auto"/>
          <w:szCs w:val="20"/>
          <w:lang w:eastAsia="en-IE"/>
        </w:rPr>
      </w:pPr>
    </w:p>
    <w:p w:rsidR="00763E6A" w:rsidRPr="005935FD" w:rsidRDefault="00763E6A" w:rsidP="00875DBA">
      <w:pPr>
        <w:pStyle w:val="para"/>
        <w:ind w:left="2160"/>
        <w:rPr>
          <w:i/>
          <w:color w:val="auto"/>
        </w:rPr>
      </w:pPr>
      <w:r w:rsidRPr="005935FD">
        <w:rPr>
          <w:i/>
          <w:color w:val="auto"/>
        </w:rPr>
        <w:lastRenderedPageBreak/>
        <w:t>together with any claim for interest and costs.</w:t>
      </w:r>
    </w:p>
    <w:p w:rsidR="005A4704" w:rsidRPr="005935FD" w:rsidRDefault="005A4704" w:rsidP="00763E6A">
      <w:pPr>
        <w:pStyle w:val="Myown"/>
        <w:numPr>
          <w:ilvl w:val="0"/>
          <w:numId w:val="0"/>
        </w:numPr>
        <w:spacing w:before="0" w:after="0" w:line="360" w:lineRule="auto"/>
        <w:ind w:right="1088"/>
        <w:contextualSpacing/>
        <w:rPr>
          <w:rFonts w:ascii="Arial" w:hAnsi="Arial" w:cs="Arial"/>
          <w:i/>
          <w:sz w:val="20"/>
          <w:szCs w:val="20"/>
        </w:rPr>
      </w:pPr>
    </w:p>
    <w:p w:rsidR="00BE3972" w:rsidRPr="005935FD" w:rsidRDefault="006D27C9" w:rsidP="00495768">
      <w:pPr>
        <w:pStyle w:val="Myown"/>
        <w:numPr>
          <w:ilvl w:val="0"/>
          <w:numId w:val="0"/>
        </w:numPr>
        <w:spacing w:before="0" w:after="0" w:line="360" w:lineRule="auto"/>
        <w:ind w:left="540" w:right="1088"/>
        <w:contextualSpacing/>
        <w:rPr>
          <w:rFonts w:ascii="Arial" w:hAnsi="Arial" w:cs="Arial"/>
          <w:i/>
          <w:sz w:val="20"/>
          <w:szCs w:val="20"/>
        </w:rPr>
      </w:pPr>
      <w:r w:rsidRPr="005935FD">
        <w:rPr>
          <w:rFonts w:ascii="Arial" w:hAnsi="Arial" w:cs="Arial"/>
          <w:i/>
          <w:sz w:val="20"/>
          <w:szCs w:val="20"/>
        </w:rPr>
        <w:t xml:space="preserve">     </w:t>
      </w:r>
      <w:r w:rsidR="00BE3972" w:rsidRPr="005935FD">
        <w:rPr>
          <w:rFonts w:ascii="Arial" w:hAnsi="Arial" w:cs="Arial"/>
          <w:i/>
          <w:sz w:val="20"/>
          <w:szCs w:val="20"/>
        </w:rPr>
        <w:t>(</w:t>
      </w:r>
      <w:r w:rsidR="005A4704" w:rsidRPr="005935FD">
        <w:rPr>
          <w:rFonts w:ascii="Arial" w:hAnsi="Arial" w:cs="Arial"/>
          <w:i/>
          <w:sz w:val="20"/>
          <w:szCs w:val="20"/>
        </w:rPr>
        <w:t>2) …</w:t>
      </w:r>
    </w:p>
    <w:p w:rsidR="00DD0DD2" w:rsidRPr="005935FD" w:rsidRDefault="00DD0DD2" w:rsidP="00495768">
      <w:pPr>
        <w:pStyle w:val="Myown"/>
        <w:numPr>
          <w:ilvl w:val="0"/>
          <w:numId w:val="0"/>
        </w:numPr>
        <w:spacing w:before="0" w:after="0" w:line="360" w:lineRule="auto"/>
        <w:ind w:left="900" w:right="1088"/>
        <w:contextualSpacing/>
        <w:rPr>
          <w:rFonts w:ascii="Arial" w:hAnsi="Arial" w:cs="Arial"/>
          <w:i/>
          <w:sz w:val="20"/>
          <w:szCs w:val="20"/>
        </w:rPr>
      </w:pPr>
    </w:p>
    <w:p w:rsidR="00875DBA" w:rsidRDefault="00DD0DD2" w:rsidP="00875DBA">
      <w:pPr>
        <w:pStyle w:val="two"/>
        <w:numPr>
          <w:ilvl w:val="0"/>
          <w:numId w:val="27"/>
        </w:numPr>
        <w:ind w:left="2160" w:hanging="720"/>
        <w:rPr>
          <w:i/>
          <w:color w:val="auto"/>
        </w:rPr>
      </w:pPr>
      <w:r w:rsidRPr="005935FD">
        <w:rPr>
          <w:i/>
          <w:color w:val="auto"/>
        </w:rPr>
        <w:t>Within 15 days after the date of service of the plea, the plaintiff shall deliver a notice of application for summary judgment, together with an affidavit made by the plaintiff, or by any other person who can swear positively to the facts.</w:t>
      </w:r>
    </w:p>
    <w:p w:rsidR="00875DBA" w:rsidRDefault="00875DBA" w:rsidP="00875DBA">
      <w:pPr>
        <w:pStyle w:val="two"/>
        <w:ind w:left="2160" w:firstLine="0"/>
        <w:rPr>
          <w:i/>
          <w:color w:val="auto"/>
        </w:rPr>
      </w:pPr>
    </w:p>
    <w:p w:rsidR="00875DBA" w:rsidRDefault="000F2519" w:rsidP="00875DBA">
      <w:pPr>
        <w:pStyle w:val="two"/>
        <w:numPr>
          <w:ilvl w:val="0"/>
          <w:numId w:val="27"/>
        </w:numPr>
        <w:ind w:left="2160" w:hanging="720"/>
        <w:rPr>
          <w:i/>
          <w:color w:val="auto"/>
        </w:rPr>
      </w:pPr>
      <w:r w:rsidRPr="00875DBA">
        <w:rPr>
          <w:i/>
          <w:color w:val="auto"/>
        </w:rPr>
        <w:t>The plaintiff shall, in the affidavit referred to in subrule 2(a), verify the cause of action, the amount claimed, if any, identify any point of law relied upon, state the facts upon which the plaintiff's claim is based, and explain briefly why the defence as pleaded, does not raise any issue for trial.</w:t>
      </w:r>
    </w:p>
    <w:p w:rsidR="00875DBA" w:rsidRDefault="00875DBA" w:rsidP="00875DBA">
      <w:pPr>
        <w:pStyle w:val="ListParagraph"/>
        <w:rPr>
          <w:i/>
        </w:rPr>
      </w:pPr>
    </w:p>
    <w:p w:rsidR="00DD0DD2" w:rsidRPr="00875DBA" w:rsidRDefault="000F2519" w:rsidP="00875DBA">
      <w:pPr>
        <w:pStyle w:val="two"/>
        <w:numPr>
          <w:ilvl w:val="0"/>
          <w:numId w:val="27"/>
        </w:numPr>
        <w:ind w:left="2160" w:hanging="720"/>
        <w:rPr>
          <w:i/>
          <w:color w:val="auto"/>
        </w:rPr>
      </w:pPr>
      <w:r w:rsidRPr="00875DBA">
        <w:rPr>
          <w:i/>
          <w:color w:val="auto"/>
        </w:rPr>
        <w:t>If the claim is founded on a liquid document, a copy of the document shall be annexed to such affidavit, and the notice of application for summary judgment shall state that the application will be set down for hearing on a stated day, not being less than 15 days from the date of the delivery thereof.</w:t>
      </w:r>
    </w:p>
    <w:p w:rsidR="00783586" w:rsidRPr="005935FD" w:rsidRDefault="00783586" w:rsidP="00783586">
      <w:pPr>
        <w:pStyle w:val="Myown"/>
        <w:numPr>
          <w:ilvl w:val="0"/>
          <w:numId w:val="0"/>
        </w:numPr>
        <w:tabs>
          <w:tab w:val="left" w:pos="720"/>
        </w:tabs>
        <w:spacing w:before="0" w:after="0" w:line="360" w:lineRule="auto"/>
        <w:ind w:left="720" w:right="1088"/>
        <w:contextualSpacing/>
        <w:rPr>
          <w:rFonts w:ascii="Arial" w:hAnsi="Arial" w:cs="Arial"/>
          <w:i/>
          <w:sz w:val="20"/>
          <w:szCs w:val="20"/>
        </w:rPr>
      </w:pPr>
    </w:p>
    <w:p w:rsidR="00BE3972" w:rsidRPr="005935FD" w:rsidRDefault="006D27C9" w:rsidP="0000183B">
      <w:pPr>
        <w:pStyle w:val="Myown"/>
        <w:numPr>
          <w:ilvl w:val="0"/>
          <w:numId w:val="0"/>
        </w:numPr>
        <w:spacing w:before="0" w:after="0" w:line="360" w:lineRule="auto"/>
        <w:ind w:left="720" w:right="1088" w:hanging="360"/>
        <w:contextualSpacing/>
        <w:rPr>
          <w:rFonts w:ascii="Arial" w:hAnsi="Arial" w:cs="Arial"/>
          <w:i/>
          <w:sz w:val="20"/>
          <w:szCs w:val="20"/>
        </w:rPr>
      </w:pPr>
      <w:r w:rsidRPr="005935FD">
        <w:rPr>
          <w:rFonts w:ascii="Arial" w:hAnsi="Arial" w:cs="Arial"/>
          <w:i/>
          <w:sz w:val="20"/>
          <w:szCs w:val="20"/>
        </w:rPr>
        <w:tab/>
        <w:t xml:space="preserve">   </w:t>
      </w:r>
      <w:r w:rsidR="00BE3972" w:rsidRPr="005935FD">
        <w:rPr>
          <w:rFonts w:ascii="Arial" w:hAnsi="Arial" w:cs="Arial"/>
          <w:i/>
          <w:sz w:val="20"/>
          <w:szCs w:val="20"/>
        </w:rPr>
        <w:t>(3)</w:t>
      </w:r>
      <w:r w:rsidR="00BE3972" w:rsidRPr="005935FD">
        <w:rPr>
          <w:rFonts w:ascii="Arial" w:hAnsi="Arial" w:cs="Arial"/>
          <w:i/>
          <w:sz w:val="20"/>
          <w:szCs w:val="20"/>
        </w:rPr>
        <w:tab/>
        <w:t>The defendant may-</w:t>
      </w:r>
    </w:p>
    <w:p w:rsidR="00BE3972" w:rsidRPr="005935FD" w:rsidRDefault="00BE3972" w:rsidP="00BE3972">
      <w:pPr>
        <w:pStyle w:val="Myown"/>
        <w:numPr>
          <w:ilvl w:val="0"/>
          <w:numId w:val="0"/>
        </w:numPr>
        <w:spacing w:before="0" w:after="0" w:line="360" w:lineRule="auto"/>
        <w:ind w:left="1701" w:right="1088" w:hanging="360"/>
        <w:contextualSpacing/>
        <w:rPr>
          <w:rFonts w:ascii="Arial" w:hAnsi="Arial" w:cs="Arial"/>
          <w:i/>
          <w:sz w:val="20"/>
          <w:szCs w:val="20"/>
        </w:rPr>
      </w:pPr>
    </w:p>
    <w:p w:rsidR="00BE3972" w:rsidRPr="005935FD" w:rsidRDefault="00AE4172" w:rsidP="00AE4172">
      <w:pPr>
        <w:pStyle w:val="Header"/>
        <w:tabs>
          <w:tab w:val="clear" w:pos="4513"/>
          <w:tab w:val="clear" w:pos="9026"/>
        </w:tabs>
        <w:spacing w:line="360" w:lineRule="auto"/>
        <w:ind w:left="2160" w:right="26" w:hanging="990"/>
        <w:contextualSpacing/>
        <w:jc w:val="both"/>
        <w:rPr>
          <w:rFonts w:ascii="Arial" w:hAnsi="Arial" w:cs="Arial"/>
          <w:sz w:val="20"/>
          <w:szCs w:val="20"/>
        </w:rPr>
      </w:pPr>
      <w:r>
        <w:rPr>
          <w:rFonts w:ascii="Arial" w:hAnsi="Arial" w:cs="Arial"/>
          <w:i/>
          <w:sz w:val="20"/>
          <w:szCs w:val="20"/>
        </w:rPr>
        <w:t>…(b)</w:t>
      </w:r>
      <w:r>
        <w:rPr>
          <w:rFonts w:ascii="Arial" w:hAnsi="Arial" w:cs="Arial"/>
          <w:i/>
          <w:sz w:val="20"/>
          <w:szCs w:val="20"/>
        </w:rPr>
        <w:tab/>
      </w:r>
      <w:r w:rsidR="00BE3972" w:rsidRPr="005935FD">
        <w:rPr>
          <w:rFonts w:ascii="Arial" w:hAnsi="Arial" w:cs="Arial"/>
          <w:i/>
          <w:sz w:val="20"/>
          <w:szCs w:val="20"/>
        </w:rPr>
        <w:t>satisfy the court by affidavit (which shall be delivered five days before the day on which the application is to be heard), or, with the leave of the court, by oral evidence of such defendant, or of any other person who can swear positively to the fact that the defendant has a bona fide defence to the action, and such affidavit or evidence shall fully disclose the nature, grounds of the defence and the material facts relied upon therefor…”</w:t>
      </w:r>
    </w:p>
    <w:p w:rsidR="008A61CD" w:rsidRPr="005935FD" w:rsidRDefault="008A61CD" w:rsidP="00F25255">
      <w:pPr>
        <w:spacing w:line="360" w:lineRule="auto"/>
        <w:ind w:left="851" w:hanging="851"/>
        <w:jc w:val="both"/>
        <w:rPr>
          <w:rFonts w:ascii="Arial" w:hAnsi="Arial" w:cs="Arial"/>
          <w:lang w:val="en-ZA"/>
        </w:rPr>
      </w:pPr>
    </w:p>
    <w:p w:rsidR="00AE4172" w:rsidRDefault="00BE3972" w:rsidP="00AE4172">
      <w:pPr>
        <w:pStyle w:val="Myown"/>
        <w:numPr>
          <w:ilvl w:val="0"/>
          <w:numId w:val="28"/>
        </w:numPr>
        <w:spacing w:before="0" w:after="0" w:line="360" w:lineRule="auto"/>
        <w:contextualSpacing/>
        <w:rPr>
          <w:rFonts w:ascii="Arial" w:hAnsi="Arial" w:cs="Arial"/>
        </w:rPr>
      </w:pPr>
      <w:r w:rsidRPr="005935FD">
        <w:rPr>
          <w:rFonts w:ascii="Arial" w:hAnsi="Arial" w:cs="Arial"/>
        </w:rPr>
        <w:t>The procedure provided by the rules relating to summary judgment has always been regarded a</w:t>
      </w:r>
      <w:r w:rsidR="008F5B8E">
        <w:rPr>
          <w:rFonts w:ascii="Arial" w:hAnsi="Arial" w:cs="Arial"/>
        </w:rPr>
        <w:t>s one with a limited objective, that is,</w:t>
      </w:r>
      <w:r w:rsidRPr="005935FD">
        <w:rPr>
          <w:rFonts w:ascii="Arial" w:hAnsi="Arial" w:cs="Arial"/>
        </w:rPr>
        <w:t xml:space="preserve"> to enable a plaintiff with a clear case to obtain swift enforcement of a claim against a defendant who has no real defence to that claim.</w:t>
      </w:r>
      <w:r w:rsidRPr="005935FD">
        <w:rPr>
          <w:rStyle w:val="FootnoteReference"/>
          <w:rFonts w:ascii="Arial" w:hAnsi="Arial" w:cs="Arial"/>
        </w:rPr>
        <w:footnoteReference w:id="15"/>
      </w:r>
    </w:p>
    <w:p w:rsidR="00AE4172" w:rsidRDefault="00AE4172" w:rsidP="00AE4172">
      <w:pPr>
        <w:pStyle w:val="Myown"/>
        <w:numPr>
          <w:ilvl w:val="0"/>
          <w:numId w:val="0"/>
        </w:numPr>
        <w:spacing w:before="0" w:after="0" w:line="360" w:lineRule="auto"/>
        <w:ind w:left="720"/>
        <w:contextualSpacing/>
        <w:rPr>
          <w:rFonts w:ascii="Arial" w:hAnsi="Arial" w:cs="Arial"/>
        </w:rPr>
      </w:pPr>
    </w:p>
    <w:p w:rsidR="001D0D81" w:rsidRPr="00AE4172" w:rsidRDefault="00E63E39" w:rsidP="00AE4172">
      <w:pPr>
        <w:pStyle w:val="Myown"/>
        <w:numPr>
          <w:ilvl w:val="0"/>
          <w:numId w:val="28"/>
        </w:numPr>
        <w:spacing w:before="0" w:after="0" w:line="360" w:lineRule="auto"/>
        <w:contextualSpacing/>
        <w:rPr>
          <w:rFonts w:ascii="Arial" w:hAnsi="Arial" w:cs="Arial"/>
        </w:rPr>
      </w:pPr>
      <w:r w:rsidRPr="00AE4172">
        <w:rPr>
          <w:rFonts w:ascii="Arial" w:hAnsi="Arial" w:cs="Arial"/>
        </w:rPr>
        <w:t xml:space="preserve">The courts have stressed the fact that the remedy provided by summary judgment rule is of extraordinary and drastic ‘nature’ which is ‘very stringent’ in that it closes the door to the defendant, and that ‘the grant of the remedy is based on the supposition that the plaintiff’s case is unimpeachable and that the </w:t>
      </w:r>
      <w:r w:rsidRPr="00AE4172">
        <w:rPr>
          <w:rFonts w:ascii="Arial" w:hAnsi="Arial" w:cs="Arial"/>
        </w:rPr>
        <w:lastRenderedPageBreak/>
        <w:t>defendant’s defence is bogus or bad in law’.</w:t>
      </w:r>
      <w:r w:rsidRPr="005935FD">
        <w:rPr>
          <w:rStyle w:val="FootnoteReference"/>
          <w:rFonts w:ascii="Arial" w:hAnsi="Arial" w:cs="Arial"/>
        </w:rPr>
        <w:footnoteReference w:id="16"/>
      </w:r>
      <w:r w:rsidRPr="00AE4172">
        <w:rPr>
          <w:rFonts w:ascii="Arial" w:hAnsi="Arial" w:cs="Arial"/>
        </w:rPr>
        <w:t xml:space="preserve"> It is only where the court has no reasonable doubt that the plaintiff is entitled to judgment as prayed, that the plaintiff has an answerable case, that summary judgment will be granted.</w:t>
      </w:r>
      <w:r w:rsidRPr="005935FD">
        <w:rPr>
          <w:rStyle w:val="FootnoteReference"/>
          <w:rFonts w:ascii="Arial" w:hAnsi="Arial" w:cs="Arial"/>
        </w:rPr>
        <w:footnoteReference w:id="17"/>
      </w:r>
    </w:p>
    <w:p w:rsidR="001D0D81" w:rsidRDefault="001D0D81" w:rsidP="001D0D81">
      <w:pPr>
        <w:pStyle w:val="Myown"/>
        <w:numPr>
          <w:ilvl w:val="0"/>
          <w:numId w:val="0"/>
        </w:numPr>
        <w:spacing w:before="0" w:after="0" w:line="360" w:lineRule="auto"/>
        <w:ind w:left="720" w:hanging="720"/>
        <w:contextualSpacing/>
        <w:rPr>
          <w:rFonts w:ascii="Arial" w:hAnsi="Arial" w:cs="Arial"/>
        </w:rPr>
      </w:pPr>
    </w:p>
    <w:p w:rsidR="00376121" w:rsidRPr="005935FD" w:rsidRDefault="00376121" w:rsidP="001D0D81">
      <w:pPr>
        <w:pStyle w:val="Myown"/>
        <w:numPr>
          <w:ilvl w:val="0"/>
          <w:numId w:val="0"/>
        </w:numPr>
        <w:spacing w:before="0" w:after="0" w:line="360" w:lineRule="auto"/>
        <w:ind w:left="720" w:hanging="720"/>
        <w:contextualSpacing/>
        <w:rPr>
          <w:rFonts w:ascii="Arial" w:hAnsi="Arial" w:cs="Arial"/>
        </w:rPr>
      </w:pPr>
    </w:p>
    <w:p w:rsidR="001D0D81" w:rsidRPr="005935FD" w:rsidRDefault="002D50AE" w:rsidP="001D0D81">
      <w:pPr>
        <w:spacing w:line="360" w:lineRule="auto"/>
        <w:jc w:val="both"/>
        <w:rPr>
          <w:rFonts w:ascii="Arial" w:hAnsi="Arial" w:cs="Arial"/>
          <w:b/>
          <w:u w:val="single"/>
          <w:lang w:val="en-ZA"/>
        </w:rPr>
      </w:pPr>
      <w:r w:rsidRPr="005935FD">
        <w:rPr>
          <w:rFonts w:ascii="Arial" w:hAnsi="Arial" w:cs="Arial"/>
          <w:b/>
          <w:u w:val="single"/>
          <w:lang w:val="en-ZA"/>
        </w:rPr>
        <w:t xml:space="preserve">Whether to interefe with the court </w:t>
      </w:r>
      <w:r w:rsidRPr="005935FD">
        <w:rPr>
          <w:rFonts w:ascii="Arial" w:hAnsi="Arial" w:cs="Arial"/>
          <w:b/>
          <w:i/>
          <w:u w:val="single"/>
          <w:lang w:val="en-ZA"/>
        </w:rPr>
        <w:t>a quo</w:t>
      </w:r>
      <w:r w:rsidRPr="005935FD">
        <w:rPr>
          <w:rFonts w:ascii="Arial" w:hAnsi="Arial" w:cs="Arial"/>
          <w:b/>
          <w:u w:val="single"/>
          <w:lang w:val="en-ZA"/>
        </w:rPr>
        <w:t>’s decision?</w:t>
      </w:r>
    </w:p>
    <w:p w:rsidR="001D0D81" w:rsidRPr="005935FD" w:rsidRDefault="001D0D81" w:rsidP="001D0D81">
      <w:pPr>
        <w:pStyle w:val="Myown"/>
        <w:numPr>
          <w:ilvl w:val="0"/>
          <w:numId w:val="0"/>
        </w:numPr>
        <w:spacing w:before="0" w:after="0" w:line="360" w:lineRule="auto"/>
        <w:ind w:left="720" w:hanging="720"/>
        <w:contextualSpacing/>
        <w:rPr>
          <w:rFonts w:ascii="Arial" w:hAnsi="Arial" w:cs="Arial"/>
        </w:rPr>
      </w:pPr>
    </w:p>
    <w:p w:rsidR="00AE4172" w:rsidRDefault="00676E61" w:rsidP="00AE4172">
      <w:pPr>
        <w:pStyle w:val="Myown"/>
        <w:numPr>
          <w:ilvl w:val="0"/>
          <w:numId w:val="28"/>
        </w:numPr>
        <w:spacing w:before="0" w:after="0" w:line="360" w:lineRule="auto"/>
        <w:contextualSpacing/>
        <w:rPr>
          <w:rFonts w:ascii="Arial" w:hAnsi="Arial" w:cs="Arial"/>
        </w:rPr>
      </w:pPr>
      <w:r w:rsidRPr="005935FD">
        <w:rPr>
          <w:rFonts w:ascii="Arial" w:hAnsi="Arial" w:cs="Arial"/>
        </w:rPr>
        <w:t>It</w:t>
      </w:r>
      <w:r w:rsidR="004E0E23" w:rsidRPr="005935FD">
        <w:rPr>
          <w:rFonts w:ascii="Arial" w:hAnsi="Arial" w:cs="Arial"/>
        </w:rPr>
        <w:t xml:space="preserve"> is trite that </w:t>
      </w:r>
      <w:r w:rsidR="00376121">
        <w:rPr>
          <w:rFonts w:ascii="Arial" w:hAnsi="Arial" w:cs="Arial"/>
        </w:rPr>
        <w:t>w</w:t>
      </w:r>
      <w:r w:rsidR="00376121" w:rsidRPr="005935FD">
        <w:rPr>
          <w:rFonts w:ascii="Arial" w:hAnsi="Arial" w:cs="Arial"/>
        </w:rPr>
        <w:t>hen it appears that the lower court had not exercised its discretion judicially, or that it had been influenced by wrong principles or misdirection on the facts, or that it had reached a decision which in the result could not reasonably have been made by a court properly directing itself to all the relevant facts and principles, a court of appeal may interfere with the decision of the lower court.</w:t>
      </w:r>
      <w:r w:rsidR="00376121" w:rsidRPr="005935FD">
        <w:rPr>
          <w:rFonts w:ascii="Arial" w:hAnsi="Arial" w:cs="Arial"/>
          <w:vertAlign w:val="superscript"/>
        </w:rPr>
        <w:footnoteReference w:id="18"/>
      </w:r>
    </w:p>
    <w:p w:rsidR="00AE4172" w:rsidRDefault="00AE4172" w:rsidP="00AE4172">
      <w:pPr>
        <w:pStyle w:val="Myown"/>
        <w:numPr>
          <w:ilvl w:val="0"/>
          <w:numId w:val="0"/>
        </w:numPr>
        <w:spacing w:before="0" w:after="0" w:line="360" w:lineRule="auto"/>
        <w:ind w:left="720"/>
        <w:contextualSpacing/>
        <w:rPr>
          <w:rFonts w:ascii="Arial" w:hAnsi="Arial" w:cs="Arial"/>
        </w:rPr>
      </w:pPr>
    </w:p>
    <w:p w:rsidR="00AE4172" w:rsidRDefault="00E63E39" w:rsidP="00AE4172">
      <w:pPr>
        <w:pStyle w:val="Myown"/>
        <w:numPr>
          <w:ilvl w:val="0"/>
          <w:numId w:val="28"/>
        </w:numPr>
        <w:spacing w:before="0" w:after="0" w:line="360" w:lineRule="auto"/>
        <w:contextualSpacing/>
        <w:rPr>
          <w:rFonts w:ascii="Arial" w:hAnsi="Arial" w:cs="Arial"/>
        </w:rPr>
      </w:pPr>
      <w:r w:rsidRPr="00AE4172">
        <w:rPr>
          <w:rFonts w:ascii="Arial" w:hAnsi="Arial" w:cs="Arial"/>
        </w:rPr>
        <w:t xml:space="preserve">As </w:t>
      </w:r>
      <w:r w:rsidR="00DC36FC" w:rsidRPr="00AE4172">
        <w:rPr>
          <w:rFonts w:ascii="Arial" w:hAnsi="Arial" w:cs="Arial"/>
        </w:rPr>
        <w:t xml:space="preserve">already </w:t>
      </w:r>
      <w:r w:rsidRPr="00AE4172">
        <w:rPr>
          <w:rFonts w:ascii="Arial" w:hAnsi="Arial" w:cs="Arial"/>
        </w:rPr>
        <w:t>pointed out above, the three main defences raised by the appellant in her plea concerned the issue</w:t>
      </w:r>
      <w:r w:rsidR="001374BD" w:rsidRPr="00AE4172">
        <w:rPr>
          <w:rFonts w:ascii="Arial" w:hAnsi="Arial" w:cs="Arial"/>
        </w:rPr>
        <w:t>s</w:t>
      </w:r>
      <w:r w:rsidRPr="00AE4172">
        <w:rPr>
          <w:rFonts w:ascii="Arial" w:hAnsi="Arial" w:cs="Arial"/>
        </w:rPr>
        <w:t xml:space="preserve"> of alleged non-compliance with the NCA, her denial of being present when the suretyship was signed as well as having any knowledge of such agreement. </w:t>
      </w:r>
    </w:p>
    <w:p w:rsidR="00AE4172" w:rsidRDefault="00AE4172" w:rsidP="00AE4172">
      <w:pPr>
        <w:pStyle w:val="ListParagraph"/>
        <w:rPr>
          <w:rFonts w:ascii="Arial" w:hAnsi="Arial" w:cs="Arial"/>
        </w:rPr>
      </w:pPr>
    </w:p>
    <w:p w:rsidR="00AE4172" w:rsidRDefault="007B280B" w:rsidP="00AE4172">
      <w:pPr>
        <w:pStyle w:val="Myown"/>
        <w:numPr>
          <w:ilvl w:val="0"/>
          <w:numId w:val="28"/>
        </w:numPr>
        <w:spacing w:before="0" w:after="0" w:line="360" w:lineRule="auto"/>
        <w:contextualSpacing/>
        <w:rPr>
          <w:rFonts w:ascii="Arial" w:hAnsi="Arial" w:cs="Arial"/>
        </w:rPr>
      </w:pPr>
      <w:r w:rsidRPr="00AE4172">
        <w:rPr>
          <w:rFonts w:ascii="Arial" w:hAnsi="Arial" w:cs="Arial"/>
        </w:rPr>
        <w:t xml:space="preserve">The court </w:t>
      </w:r>
      <w:r w:rsidRPr="00AE4172">
        <w:rPr>
          <w:rFonts w:ascii="Arial" w:hAnsi="Arial" w:cs="Arial"/>
          <w:i/>
        </w:rPr>
        <w:t>a quo</w:t>
      </w:r>
      <w:r w:rsidRPr="00AE4172">
        <w:rPr>
          <w:rFonts w:ascii="Arial" w:hAnsi="Arial" w:cs="Arial"/>
        </w:rPr>
        <w:t xml:space="preserve"> </w:t>
      </w:r>
      <w:r w:rsidR="00503A08" w:rsidRPr="00AE4172">
        <w:rPr>
          <w:rFonts w:ascii="Arial" w:hAnsi="Arial" w:cs="Arial"/>
        </w:rPr>
        <w:t xml:space="preserve">did not deal with </w:t>
      </w:r>
      <w:r w:rsidR="00BA1AC8" w:rsidRPr="00AE4172">
        <w:rPr>
          <w:rFonts w:ascii="Arial" w:hAnsi="Arial" w:cs="Arial"/>
        </w:rPr>
        <w:t xml:space="preserve">the issue of non-compliance with the NCA </w:t>
      </w:r>
      <w:r w:rsidR="00503A08" w:rsidRPr="00AE4172">
        <w:rPr>
          <w:rFonts w:ascii="Arial" w:hAnsi="Arial" w:cs="Arial"/>
        </w:rPr>
        <w:t xml:space="preserve">on the basis that the </w:t>
      </w:r>
      <w:r w:rsidR="00C53DFB" w:rsidRPr="00AE4172">
        <w:rPr>
          <w:rFonts w:ascii="Arial" w:hAnsi="Arial" w:cs="Arial"/>
        </w:rPr>
        <w:t>appellant abandoned the said issue</w:t>
      </w:r>
      <w:r w:rsidR="00503A08" w:rsidRPr="00AE4172">
        <w:rPr>
          <w:rFonts w:ascii="Arial" w:hAnsi="Arial" w:cs="Arial"/>
        </w:rPr>
        <w:t xml:space="preserve"> during the hearing of summary judgment </w:t>
      </w:r>
      <w:r w:rsidR="00A4360B" w:rsidRPr="00AE4172">
        <w:rPr>
          <w:rFonts w:ascii="Arial" w:hAnsi="Arial" w:cs="Arial"/>
        </w:rPr>
        <w:t>application.</w:t>
      </w:r>
      <w:r w:rsidR="00F40C02" w:rsidRPr="005935FD">
        <w:rPr>
          <w:rStyle w:val="FootnoteReference"/>
          <w:rFonts w:ascii="Arial" w:hAnsi="Arial" w:cs="Arial"/>
        </w:rPr>
        <w:footnoteReference w:id="19"/>
      </w:r>
      <w:r w:rsidR="00BA1AC8" w:rsidRPr="00AE4172">
        <w:rPr>
          <w:rFonts w:ascii="Arial" w:hAnsi="Arial" w:cs="Arial"/>
        </w:rPr>
        <w:t xml:space="preserve"> </w:t>
      </w:r>
      <w:r w:rsidR="00593BDA" w:rsidRPr="00AE4172">
        <w:rPr>
          <w:rFonts w:ascii="Arial" w:hAnsi="Arial" w:cs="Arial"/>
        </w:rPr>
        <w:t>I am, however, of the view that t</w:t>
      </w:r>
      <w:r w:rsidR="004B1A50" w:rsidRPr="00AE4172">
        <w:rPr>
          <w:rFonts w:ascii="Arial" w:hAnsi="Arial" w:cs="Arial"/>
        </w:rPr>
        <w:t>he</w:t>
      </w:r>
      <w:r w:rsidR="00BA1AC8" w:rsidRPr="00AE4172">
        <w:rPr>
          <w:rFonts w:ascii="Arial" w:hAnsi="Arial" w:cs="Arial"/>
        </w:rPr>
        <w:t xml:space="preserve"> issue of </w:t>
      </w:r>
      <w:r w:rsidR="00593BDA" w:rsidRPr="00AE4172">
        <w:rPr>
          <w:rFonts w:ascii="Arial" w:hAnsi="Arial" w:cs="Arial"/>
        </w:rPr>
        <w:t xml:space="preserve">non-compliance with section 129 </w:t>
      </w:r>
      <w:r w:rsidR="00BA1AC8" w:rsidRPr="00AE4172">
        <w:rPr>
          <w:rFonts w:ascii="Arial" w:hAnsi="Arial" w:cs="Arial"/>
        </w:rPr>
        <w:t xml:space="preserve">the NCA </w:t>
      </w:r>
      <w:r w:rsidR="00593BDA" w:rsidRPr="00AE4172">
        <w:rPr>
          <w:rFonts w:ascii="Arial" w:hAnsi="Arial" w:cs="Arial"/>
        </w:rPr>
        <w:t>is of no</w:t>
      </w:r>
      <w:r w:rsidR="00BA1AC8" w:rsidRPr="00AE4172">
        <w:rPr>
          <w:rFonts w:ascii="Arial" w:hAnsi="Arial" w:cs="Arial"/>
        </w:rPr>
        <w:t xml:space="preserve"> substance to the issues at hand. This is so, because the appellant admitted in her affidavit that </w:t>
      </w:r>
      <w:r w:rsidR="00966B20" w:rsidRPr="00AE4172">
        <w:rPr>
          <w:rFonts w:ascii="Arial" w:hAnsi="Arial" w:cs="Arial"/>
        </w:rPr>
        <w:t xml:space="preserve">a copy of </w:t>
      </w:r>
      <w:r w:rsidR="00BA1AC8" w:rsidRPr="00AE4172">
        <w:rPr>
          <w:rFonts w:ascii="Arial" w:hAnsi="Arial" w:cs="Arial"/>
        </w:rPr>
        <w:t xml:space="preserve">section 129 notice annexed to the bank’s particulars of claim bore the same </w:t>
      </w:r>
      <w:r w:rsidR="00BA1AC8" w:rsidRPr="00AE4172">
        <w:rPr>
          <w:rFonts w:ascii="Arial" w:hAnsi="Arial" w:cs="Arial"/>
        </w:rPr>
        <w:lastRenderedPageBreak/>
        <w:t xml:space="preserve">address as the one she used as her </w:t>
      </w:r>
      <w:r w:rsidR="00DF7317" w:rsidRPr="00AE4172">
        <w:rPr>
          <w:rFonts w:ascii="Arial" w:hAnsi="Arial" w:cs="Arial"/>
          <w:i/>
        </w:rPr>
        <w:t>domicilium</w:t>
      </w:r>
      <w:r w:rsidR="00BA1AC8" w:rsidRPr="00AE4172">
        <w:rPr>
          <w:rFonts w:ascii="Arial" w:hAnsi="Arial" w:cs="Arial"/>
        </w:rPr>
        <w:t xml:space="preserve"> prior to relocating to Johannesburg.</w:t>
      </w:r>
      <w:r w:rsidR="002F55E1" w:rsidRPr="005935FD">
        <w:rPr>
          <w:rStyle w:val="FootnoteReference"/>
          <w:rFonts w:ascii="Arial" w:hAnsi="Arial" w:cs="Arial"/>
        </w:rPr>
        <w:footnoteReference w:id="20"/>
      </w:r>
    </w:p>
    <w:p w:rsidR="00AE4172" w:rsidRDefault="00AE4172" w:rsidP="00AE4172">
      <w:pPr>
        <w:pStyle w:val="ListParagraph"/>
        <w:rPr>
          <w:rFonts w:ascii="Arial" w:hAnsi="Arial" w:cs="Arial"/>
        </w:rPr>
      </w:pPr>
    </w:p>
    <w:p w:rsidR="00AE4172" w:rsidRDefault="00387F52" w:rsidP="00AE4172">
      <w:pPr>
        <w:pStyle w:val="Myown"/>
        <w:numPr>
          <w:ilvl w:val="0"/>
          <w:numId w:val="28"/>
        </w:numPr>
        <w:spacing w:before="0" w:after="0" w:line="360" w:lineRule="auto"/>
        <w:contextualSpacing/>
        <w:rPr>
          <w:rFonts w:ascii="Arial" w:hAnsi="Arial" w:cs="Arial"/>
        </w:rPr>
      </w:pPr>
      <w:r w:rsidRPr="00AE4172">
        <w:rPr>
          <w:rFonts w:ascii="Arial" w:hAnsi="Arial" w:cs="Arial"/>
        </w:rPr>
        <w:t>Having considered the facts presented before it during the hearing of the application for summary judgment, t</w:t>
      </w:r>
      <w:r w:rsidR="005E4A25" w:rsidRPr="00AE4172">
        <w:rPr>
          <w:rFonts w:ascii="Arial" w:hAnsi="Arial" w:cs="Arial"/>
        </w:rPr>
        <w:t xml:space="preserve">he court </w:t>
      </w:r>
      <w:r w:rsidR="005E4A25" w:rsidRPr="00AE4172">
        <w:rPr>
          <w:rFonts w:ascii="Arial" w:hAnsi="Arial" w:cs="Arial"/>
          <w:i/>
        </w:rPr>
        <w:t>a quo</w:t>
      </w:r>
      <w:r w:rsidR="005E4A25" w:rsidRPr="00AE4172">
        <w:rPr>
          <w:rFonts w:ascii="Arial" w:hAnsi="Arial" w:cs="Arial"/>
        </w:rPr>
        <w:t xml:space="preserve"> </w:t>
      </w:r>
      <w:r w:rsidR="004D0B85" w:rsidRPr="00AE4172">
        <w:rPr>
          <w:rFonts w:ascii="Arial" w:hAnsi="Arial" w:cs="Arial"/>
        </w:rPr>
        <w:t xml:space="preserve">came to </w:t>
      </w:r>
      <w:r w:rsidR="00A578B8" w:rsidRPr="00AE4172">
        <w:rPr>
          <w:rFonts w:ascii="Arial" w:hAnsi="Arial" w:cs="Arial"/>
        </w:rPr>
        <w:t>the</w:t>
      </w:r>
      <w:r w:rsidR="004D0B85" w:rsidRPr="00AE4172">
        <w:rPr>
          <w:rFonts w:ascii="Arial" w:hAnsi="Arial" w:cs="Arial"/>
        </w:rPr>
        <w:t xml:space="preserve"> conclusion </w:t>
      </w:r>
      <w:r w:rsidRPr="00AE4172">
        <w:rPr>
          <w:rFonts w:ascii="Arial" w:hAnsi="Arial" w:cs="Arial"/>
        </w:rPr>
        <w:t>that the appellant set out an incomplete defence</w:t>
      </w:r>
      <w:r w:rsidR="0038226A" w:rsidRPr="00AE4172">
        <w:rPr>
          <w:rFonts w:ascii="Arial" w:hAnsi="Arial" w:cs="Arial"/>
        </w:rPr>
        <w:t xml:space="preserve"> </w:t>
      </w:r>
      <w:r w:rsidR="00D377AD" w:rsidRPr="00AE4172">
        <w:rPr>
          <w:rFonts w:ascii="Arial" w:hAnsi="Arial" w:cs="Arial"/>
        </w:rPr>
        <w:t>lack</w:t>
      </w:r>
      <w:r w:rsidR="0038226A" w:rsidRPr="00AE4172">
        <w:rPr>
          <w:rFonts w:ascii="Arial" w:hAnsi="Arial" w:cs="Arial"/>
        </w:rPr>
        <w:t>ing</w:t>
      </w:r>
      <w:r w:rsidR="00D377AD" w:rsidRPr="00AE4172">
        <w:rPr>
          <w:rFonts w:ascii="Arial" w:hAnsi="Arial" w:cs="Arial"/>
        </w:rPr>
        <w:t xml:space="preserve"> of particularity</w:t>
      </w:r>
      <w:r w:rsidRPr="00AE4172">
        <w:rPr>
          <w:rFonts w:ascii="Arial" w:hAnsi="Arial" w:cs="Arial"/>
        </w:rPr>
        <w:t>.</w:t>
      </w:r>
      <w:r w:rsidR="00F1578F" w:rsidRPr="005935FD">
        <w:rPr>
          <w:rStyle w:val="FootnoteReference"/>
          <w:rFonts w:ascii="Arial" w:hAnsi="Arial" w:cs="Arial"/>
        </w:rPr>
        <w:footnoteReference w:id="21"/>
      </w:r>
    </w:p>
    <w:p w:rsidR="00AE4172" w:rsidRDefault="00AE4172" w:rsidP="00AE4172">
      <w:pPr>
        <w:pStyle w:val="ListParagraph"/>
        <w:rPr>
          <w:rFonts w:ascii="Arial" w:hAnsi="Arial" w:cs="Arial"/>
        </w:rPr>
      </w:pPr>
    </w:p>
    <w:p w:rsidR="00AE4172" w:rsidRDefault="000123B7" w:rsidP="00AE4172">
      <w:pPr>
        <w:pStyle w:val="Myown"/>
        <w:numPr>
          <w:ilvl w:val="0"/>
          <w:numId w:val="28"/>
        </w:numPr>
        <w:spacing w:before="0" w:after="0" w:line="360" w:lineRule="auto"/>
        <w:contextualSpacing/>
        <w:rPr>
          <w:rFonts w:ascii="Arial" w:hAnsi="Arial" w:cs="Arial"/>
        </w:rPr>
      </w:pPr>
      <w:r w:rsidRPr="00AE4172">
        <w:rPr>
          <w:rFonts w:ascii="Arial" w:hAnsi="Arial" w:cs="Arial"/>
        </w:rPr>
        <w:t>In paragraph 16 of the judgment, t</w:t>
      </w:r>
      <w:r w:rsidR="001F6C6C" w:rsidRPr="00AE4172">
        <w:rPr>
          <w:rFonts w:ascii="Arial" w:hAnsi="Arial" w:cs="Arial"/>
        </w:rPr>
        <w:t xml:space="preserve">he </w:t>
      </w:r>
      <w:r w:rsidRPr="00AE4172">
        <w:rPr>
          <w:rFonts w:ascii="Arial" w:hAnsi="Arial" w:cs="Arial"/>
        </w:rPr>
        <w:t>learned Magistrate held that the appellant ‘</w:t>
      </w:r>
      <w:r w:rsidRPr="00AE4172">
        <w:rPr>
          <w:rFonts w:ascii="Arial" w:hAnsi="Arial" w:cs="Arial"/>
          <w:i/>
        </w:rPr>
        <w:t>danced</w:t>
      </w:r>
      <w:r w:rsidR="00DC1BB9" w:rsidRPr="00AE4172">
        <w:rPr>
          <w:rFonts w:ascii="Arial" w:hAnsi="Arial" w:cs="Arial"/>
          <w:i/>
        </w:rPr>
        <w:t xml:space="preserve"> around</w:t>
      </w:r>
      <w:r w:rsidRPr="00AE4172">
        <w:rPr>
          <w:rFonts w:ascii="Arial" w:hAnsi="Arial" w:cs="Arial"/>
        </w:rPr>
        <w:t>’</w:t>
      </w:r>
      <w:r w:rsidR="00DC1BB9" w:rsidRPr="00AE4172">
        <w:rPr>
          <w:rFonts w:ascii="Arial" w:hAnsi="Arial" w:cs="Arial"/>
        </w:rPr>
        <w:t xml:space="preserve"> the issue as to whether, objectively on the facts of this matter, she was liable or not. It then </w:t>
      </w:r>
      <w:r w:rsidRPr="00AE4172">
        <w:rPr>
          <w:rFonts w:ascii="Arial" w:hAnsi="Arial" w:cs="Arial"/>
        </w:rPr>
        <w:t>concluded</w:t>
      </w:r>
      <w:r w:rsidR="00AA3BC8" w:rsidRPr="00AE4172">
        <w:rPr>
          <w:rFonts w:ascii="Arial" w:hAnsi="Arial" w:cs="Arial"/>
        </w:rPr>
        <w:t xml:space="preserve"> </w:t>
      </w:r>
      <w:r w:rsidRPr="00AE4172">
        <w:rPr>
          <w:rFonts w:ascii="Arial" w:hAnsi="Arial" w:cs="Arial"/>
        </w:rPr>
        <w:t xml:space="preserve">that </w:t>
      </w:r>
      <w:r w:rsidR="00DC1BB9" w:rsidRPr="00AE4172">
        <w:rPr>
          <w:rFonts w:ascii="Arial" w:hAnsi="Arial" w:cs="Arial"/>
        </w:rPr>
        <w:t>the certificate of balance was not disputed.</w:t>
      </w:r>
      <w:r w:rsidR="00AA3BC8" w:rsidRPr="00D6746C">
        <w:rPr>
          <w:rStyle w:val="FootnoteReference"/>
          <w:rFonts w:ascii="Arial" w:hAnsi="Arial" w:cs="Arial"/>
        </w:rPr>
        <w:footnoteReference w:id="22"/>
      </w:r>
      <w:r w:rsidR="008041C3" w:rsidRPr="00AE4172">
        <w:rPr>
          <w:rFonts w:ascii="Arial" w:hAnsi="Arial" w:cs="Arial"/>
        </w:rPr>
        <w:t xml:space="preserve"> </w:t>
      </w:r>
      <w:r w:rsidR="00555F36" w:rsidRPr="00AE4172">
        <w:rPr>
          <w:rFonts w:ascii="Arial" w:hAnsi="Arial" w:cs="Arial"/>
        </w:rPr>
        <w:t xml:space="preserve">However, the court </w:t>
      </w:r>
      <w:r w:rsidR="00555F36" w:rsidRPr="00AE4172">
        <w:rPr>
          <w:rFonts w:ascii="Arial" w:hAnsi="Arial" w:cs="Arial"/>
          <w:i/>
        </w:rPr>
        <w:t>a quo</w:t>
      </w:r>
      <w:r w:rsidR="00555F36" w:rsidRPr="00AE4172">
        <w:rPr>
          <w:rFonts w:ascii="Arial" w:hAnsi="Arial" w:cs="Arial"/>
        </w:rPr>
        <w:t xml:space="preserve"> ignored the </w:t>
      </w:r>
      <w:r w:rsidR="008041C3" w:rsidRPr="00AE4172">
        <w:rPr>
          <w:rFonts w:ascii="Arial" w:hAnsi="Arial" w:cs="Arial"/>
        </w:rPr>
        <w:t>fact that the appellant</w:t>
      </w:r>
      <w:r w:rsidR="005B6D4D" w:rsidRPr="00AE4172">
        <w:rPr>
          <w:rFonts w:ascii="Arial" w:hAnsi="Arial" w:cs="Arial"/>
        </w:rPr>
        <w:t xml:space="preserve"> denied</w:t>
      </w:r>
      <w:r w:rsidR="008041C3" w:rsidRPr="00AE4172">
        <w:rPr>
          <w:rFonts w:ascii="Arial" w:hAnsi="Arial" w:cs="Arial"/>
        </w:rPr>
        <w:t xml:space="preserve"> having signed or formed part of the agreement</w:t>
      </w:r>
      <w:r w:rsidR="005B6D4D" w:rsidRPr="00AE4172">
        <w:rPr>
          <w:rFonts w:ascii="Arial" w:hAnsi="Arial" w:cs="Arial"/>
        </w:rPr>
        <w:t xml:space="preserve"> in the first place</w:t>
      </w:r>
      <w:r w:rsidR="008041C3" w:rsidRPr="00AE4172">
        <w:rPr>
          <w:rFonts w:ascii="Arial" w:hAnsi="Arial" w:cs="Arial"/>
        </w:rPr>
        <w:t xml:space="preserve">. </w:t>
      </w:r>
      <w:r w:rsidR="005B6D4D" w:rsidRPr="00AE4172">
        <w:rPr>
          <w:rFonts w:ascii="Arial" w:hAnsi="Arial" w:cs="Arial"/>
        </w:rPr>
        <w:t>By concluding that the certificate of balance in relation to the agreement was not disputed,</w:t>
      </w:r>
      <w:r w:rsidR="00BA1AC8" w:rsidRPr="00D6746C">
        <w:rPr>
          <w:rStyle w:val="FootnoteReference"/>
          <w:rFonts w:ascii="Arial" w:hAnsi="Arial" w:cs="Arial"/>
        </w:rPr>
        <w:footnoteReference w:id="23"/>
      </w:r>
      <w:r w:rsidR="005B6D4D" w:rsidRPr="00AE4172">
        <w:rPr>
          <w:rFonts w:ascii="Arial" w:hAnsi="Arial" w:cs="Arial"/>
        </w:rPr>
        <w:t xml:space="preserve"> the</w:t>
      </w:r>
      <w:r w:rsidR="00555F36" w:rsidRPr="00AE4172">
        <w:rPr>
          <w:rFonts w:ascii="Arial" w:hAnsi="Arial" w:cs="Arial"/>
        </w:rPr>
        <w:t xml:space="preserve"> </w:t>
      </w:r>
      <w:r w:rsidR="002F3230" w:rsidRPr="00AE4172">
        <w:rPr>
          <w:rFonts w:ascii="Arial" w:hAnsi="Arial" w:cs="Arial"/>
        </w:rPr>
        <w:t xml:space="preserve">court </w:t>
      </w:r>
      <w:r w:rsidR="002F3230" w:rsidRPr="00AE4172">
        <w:rPr>
          <w:rFonts w:ascii="Arial" w:hAnsi="Arial" w:cs="Arial"/>
          <w:i/>
        </w:rPr>
        <w:t>a quo</w:t>
      </w:r>
      <w:r w:rsidR="002F3230" w:rsidRPr="00AE4172">
        <w:rPr>
          <w:rFonts w:ascii="Arial" w:hAnsi="Arial" w:cs="Arial"/>
        </w:rPr>
        <w:t xml:space="preserve"> misdirected itself and came to a conclusion</w:t>
      </w:r>
      <w:r w:rsidR="00607663" w:rsidRPr="00AE4172">
        <w:rPr>
          <w:rFonts w:ascii="Arial" w:hAnsi="Arial" w:cs="Arial"/>
        </w:rPr>
        <w:t xml:space="preserve"> that was not</w:t>
      </w:r>
      <w:r w:rsidR="002F3230" w:rsidRPr="00AE4172">
        <w:rPr>
          <w:rFonts w:ascii="Arial" w:hAnsi="Arial" w:cs="Arial"/>
        </w:rPr>
        <w:t xml:space="preserve"> informed by the facts and/or evidence</w:t>
      </w:r>
      <w:r w:rsidR="008041C3" w:rsidRPr="00AE4172">
        <w:rPr>
          <w:rFonts w:ascii="Arial" w:hAnsi="Arial" w:cs="Arial"/>
        </w:rPr>
        <w:t>.</w:t>
      </w:r>
    </w:p>
    <w:p w:rsidR="00AE4172" w:rsidRDefault="00AE4172" w:rsidP="00AE4172">
      <w:pPr>
        <w:pStyle w:val="ListParagraph"/>
        <w:rPr>
          <w:rFonts w:ascii="Arial" w:hAnsi="Arial" w:cs="Arial"/>
        </w:rPr>
      </w:pPr>
    </w:p>
    <w:p w:rsidR="00AE4172" w:rsidRDefault="00E63E39" w:rsidP="00AE4172">
      <w:pPr>
        <w:pStyle w:val="Myown"/>
        <w:numPr>
          <w:ilvl w:val="0"/>
          <w:numId w:val="28"/>
        </w:numPr>
        <w:spacing w:before="0" w:after="0" w:line="360" w:lineRule="auto"/>
        <w:contextualSpacing/>
        <w:rPr>
          <w:rFonts w:ascii="Arial" w:hAnsi="Arial" w:cs="Arial"/>
        </w:rPr>
      </w:pPr>
      <w:r w:rsidRPr="00AE4172">
        <w:rPr>
          <w:rFonts w:ascii="Arial" w:hAnsi="Arial" w:cs="Arial"/>
        </w:rPr>
        <w:t xml:space="preserve">What remains to be examined is </w:t>
      </w:r>
      <w:r w:rsidR="0024110C" w:rsidRPr="00AE4172">
        <w:rPr>
          <w:rFonts w:ascii="Arial" w:hAnsi="Arial" w:cs="Arial"/>
        </w:rPr>
        <w:t xml:space="preserve">whether </w:t>
      </w:r>
      <w:r w:rsidRPr="00AE4172">
        <w:rPr>
          <w:rFonts w:ascii="Arial" w:hAnsi="Arial" w:cs="Arial"/>
        </w:rPr>
        <w:t>appellant’s denial of signing the suretyship agreement</w:t>
      </w:r>
      <w:r w:rsidR="0024110C" w:rsidRPr="00AE4172">
        <w:rPr>
          <w:rFonts w:ascii="Arial" w:hAnsi="Arial" w:cs="Arial"/>
        </w:rPr>
        <w:t xml:space="preserve"> and her alleged lack of knowledge pertaining to its existence constitute triable issues that should have </w:t>
      </w:r>
      <w:r w:rsidR="008E1494" w:rsidRPr="00AE4172">
        <w:rPr>
          <w:rFonts w:ascii="Arial" w:hAnsi="Arial" w:cs="Arial"/>
        </w:rPr>
        <w:t>militated against the granting of summary judgment in favour of the bank</w:t>
      </w:r>
      <w:r w:rsidRPr="00AE4172">
        <w:rPr>
          <w:rFonts w:ascii="Arial" w:hAnsi="Arial" w:cs="Arial"/>
        </w:rPr>
        <w:t>.</w:t>
      </w:r>
    </w:p>
    <w:p w:rsidR="00AE4172" w:rsidRDefault="00AE4172" w:rsidP="00AE4172">
      <w:pPr>
        <w:pStyle w:val="ListParagraph"/>
        <w:rPr>
          <w:rFonts w:ascii="Arial" w:hAnsi="Arial" w:cs="Arial"/>
          <w:shd w:val="clear" w:color="auto" w:fill="FFFFFF"/>
          <w:lang w:val="en-ZA"/>
        </w:rPr>
      </w:pPr>
    </w:p>
    <w:p w:rsidR="001A7FEC" w:rsidRPr="00AE4172" w:rsidRDefault="00E63E39" w:rsidP="00AE4172">
      <w:pPr>
        <w:pStyle w:val="Myown"/>
        <w:numPr>
          <w:ilvl w:val="0"/>
          <w:numId w:val="28"/>
        </w:numPr>
        <w:spacing w:before="0" w:after="0" w:line="360" w:lineRule="auto"/>
        <w:contextualSpacing/>
        <w:rPr>
          <w:rFonts w:ascii="Arial" w:hAnsi="Arial" w:cs="Arial"/>
        </w:rPr>
      </w:pPr>
      <w:r w:rsidRPr="00AE4172">
        <w:rPr>
          <w:rFonts w:ascii="Arial" w:hAnsi="Arial" w:cs="Arial"/>
          <w:shd w:val="clear" w:color="auto" w:fill="FFFFFF"/>
          <w:lang w:val="en-ZA"/>
        </w:rPr>
        <w:t xml:space="preserve">In </w:t>
      </w:r>
      <w:r w:rsidRPr="00AE4172">
        <w:rPr>
          <w:rFonts w:ascii="Arial" w:hAnsi="Arial" w:cs="Arial"/>
          <w:b/>
          <w:i/>
        </w:rPr>
        <w:t>Tumileng Trading CC v National Security and Fire (Pty) Ltd</w:t>
      </w:r>
      <w:r w:rsidRPr="005935FD">
        <w:rPr>
          <w:rStyle w:val="FootnoteReference"/>
          <w:rFonts w:ascii="Arial" w:hAnsi="Arial" w:cs="Arial"/>
        </w:rPr>
        <w:footnoteReference w:id="24"/>
      </w:r>
      <w:r w:rsidRPr="00AE4172">
        <w:rPr>
          <w:rFonts w:ascii="Arial" w:hAnsi="Arial" w:cs="Arial"/>
          <w:b/>
          <w:i/>
        </w:rPr>
        <w:t xml:space="preserve"> </w:t>
      </w:r>
      <w:r w:rsidRPr="00AE4172">
        <w:rPr>
          <w:rFonts w:ascii="Arial" w:hAnsi="Arial" w:cs="Arial"/>
        </w:rPr>
        <w:t>the court had the following to say</w:t>
      </w:r>
      <w:r w:rsidR="001A7FEC" w:rsidRPr="00AE4172">
        <w:rPr>
          <w:rFonts w:ascii="Arial" w:hAnsi="Arial" w:cs="Arial"/>
        </w:rPr>
        <w:t>:</w:t>
      </w:r>
    </w:p>
    <w:p w:rsidR="00163D4A" w:rsidRPr="005935FD" w:rsidRDefault="00163D4A" w:rsidP="00506D96">
      <w:pPr>
        <w:spacing w:line="360" w:lineRule="auto"/>
        <w:ind w:left="720" w:right="116" w:hanging="720"/>
        <w:jc w:val="both"/>
        <w:rPr>
          <w:rFonts w:ascii="Arial" w:hAnsi="Arial" w:cs="Arial"/>
        </w:rPr>
      </w:pPr>
    </w:p>
    <w:p w:rsidR="00163D4A" w:rsidRPr="005935FD" w:rsidRDefault="00E63E39" w:rsidP="00163D4A">
      <w:pPr>
        <w:spacing w:line="360" w:lineRule="auto"/>
        <w:ind w:left="1440" w:right="116" w:hanging="720"/>
        <w:jc w:val="both"/>
        <w:rPr>
          <w:rFonts w:ascii="Arial" w:hAnsi="Arial" w:cs="Arial"/>
          <w:sz w:val="20"/>
          <w:szCs w:val="20"/>
          <w:shd w:val="clear" w:color="auto" w:fill="FFFFFF"/>
          <w:lang w:val="en-ZA"/>
        </w:rPr>
      </w:pPr>
      <w:r w:rsidRPr="005935FD">
        <w:rPr>
          <w:rFonts w:ascii="Arial" w:hAnsi="Arial" w:cs="Arial"/>
          <w:sz w:val="20"/>
          <w:szCs w:val="20"/>
          <w:lang w:val="en-ZA"/>
        </w:rPr>
        <w:t>“[23]</w:t>
      </w:r>
      <w:r w:rsidRPr="005935FD">
        <w:rPr>
          <w:rFonts w:ascii="Arial" w:hAnsi="Arial" w:cs="Arial"/>
          <w:sz w:val="20"/>
          <w:szCs w:val="20"/>
          <w:lang w:val="en-ZA"/>
        </w:rPr>
        <w:tab/>
      </w:r>
      <w:r w:rsidRPr="005935FD">
        <w:rPr>
          <w:rFonts w:ascii="Arial" w:hAnsi="Arial" w:cs="Arial"/>
          <w:sz w:val="20"/>
          <w:szCs w:val="20"/>
          <w:shd w:val="clear" w:color="auto" w:fill="FFFFFF"/>
          <w:lang w:val="en-ZA"/>
        </w:rPr>
        <w:t xml:space="preserve">It seems to me, however, that the </w:t>
      </w:r>
      <w:r w:rsidR="001A7FEC" w:rsidRPr="005935FD">
        <w:rPr>
          <w:rFonts w:ascii="Arial" w:hAnsi="Arial" w:cs="Arial"/>
          <w:sz w:val="20"/>
          <w:szCs w:val="20"/>
          <w:shd w:val="clear" w:color="auto" w:fill="FFFFFF"/>
          <w:lang w:val="en-ZA"/>
        </w:rPr>
        <w:t>e</w:t>
      </w:r>
      <w:r w:rsidRPr="005935FD">
        <w:rPr>
          <w:rFonts w:ascii="Arial" w:hAnsi="Arial" w:cs="Arial"/>
          <w:sz w:val="20"/>
          <w:szCs w:val="20"/>
          <w:shd w:val="clear" w:color="auto" w:fill="FFFFFF"/>
          <w:lang w:val="en-ZA"/>
        </w:rPr>
        <w:t>xercise is likely to be futile in all</w:t>
      </w:r>
      <w:r w:rsidR="00B00FE1" w:rsidRPr="005935FD">
        <w:rPr>
          <w:rFonts w:ascii="Arial" w:hAnsi="Arial" w:cs="Arial"/>
          <w:sz w:val="20"/>
          <w:szCs w:val="20"/>
          <w:shd w:val="clear" w:color="auto" w:fill="FFFFFF"/>
          <w:lang w:val="en-ZA"/>
        </w:rPr>
        <w:t xml:space="preserve"> </w:t>
      </w:r>
      <w:r w:rsidRPr="005935FD">
        <w:rPr>
          <w:rFonts w:ascii="Arial" w:hAnsi="Arial" w:cs="Arial"/>
          <w:sz w:val="20"/>
          <w:szCs w:val="20"/>
          <w:shd w:val="clear" w:color="auto" w:fill="FFFFFF"/>
          <w:lang w:val="en-ZA"/>
        </w:rPr>
        <w:t xml:space="preserve">cases other than those in which the pleaded defence is a bald denial. This </w:t>
      </w:r>
      <w:r w:rsidR="00AD7982" w:rsidRPr="005935FD">
        <w:rPr>
          <w:rFonts w:ascii="Arial" w:hAnsi="Arial" w:cs="Arial"/>
          <w:sz w:val="20"/>
          <w:szCs w:val="20"/>
          <w:shd w:val="clear" w:color="auto" w:fill="FFFFFF"/>
          <w:lang w:val="en-ZA"/>
        </w:rPr>
        <w:t>is because</w:t>
      </w:r>
      <w:r w:rsidRPr="005935FD">
        <w:rPr>
          <w:rFonts w:ascii="Arial" w:hAnsi="Arial" w:cs="Arial"/>
          <w:sz w:val="20"/>
          <w:szCs w:val="20"/>
          <w:shd w:val="clear" w:color="auto" w:fill="FFFFFF"/>
          <w:lang w:val="en-ZA"/>
        </w:rPr>
        <w:t xml:space="preserve"> a court seized of a summary judgment application is not charged with determining the substantive merit of a defence, nor with determining its prospects of success. It is concerned only with an assessment of whether the pleaded defence is genuinely advanced, as opposed to a sham put up for purposes of obtaining delay. A court engaged in that exercise is not going to be willing to become involved in determining disputes of fact on the merits of the principal case. As the current applications illustrate, the exercise is likely therefore to conduce to argumentative affidavits, setting forth as averments </w:t>
      </w:r>
      <w:r w:rsidRPr="005935FD">
        <w:rPr>
          <w:rFonts w:ascii="Arial" w:hAnsi="Arial" w:cs="Arial"/>
          <w:sz w:val="20"/>
          <w:szCs w:val="20"/>
          <w:shd w:val="clear" w:color="auto" w:fill="FFFFFF"/>
          <w:lang w:val="en-ZA"/>
        </w:rPr>
        <w:lastRenderedPageBreak/>
        <w:t>assertions that could more appropriately be addressed as submissions by counsel from the bar. In other words, it is likely to lead to unnecessarily lengthy supporting affidavits, dealing more with matters for argument than matters of fact.</w:t>
      </w:r>
      <w:r w:rsidR="00506D96" w:rsidRPr="005935FD">
        <w:rPr>
          <w:rFonts w:ascii="Arial" w:hAnsi="Arial" w:cs="Arial"/>
          <w:sz w:val="20"/>
          <w:szCs w:val="20"/>
          <w:shd w:val="clear" w:color="auto" w:fill="FFFFFF"/>
          <w:lang w:val="en-ZA"/>
        </w:rPr>
        <w:t xml:space="preserve"> </w:t>
      </w:r>
    </w:p>
    <w:p w:rsidR="00E63E39" w:rsidRPr="005935FD" w:rsidRDefault="00E63E39">
      <w:pPr>
        <w:spacing w:line="360" w:lineRule="auto"/>
        <w:ind w:left="1701" w:right="1088" w:hanging="709"/>
        <w:jc w:val="both"/>
        <w:rPr>
          <w:rFonts w:ascii="Arial" w:hAnsi="Arial" w:cs="Arial"/>
          <w:sz w:val="20"/>
          <w:szCs w:val="20"/>
          <w:lang w:val="en-ZA"/>
        </w:rPr>
      </w:pPr>
    </w:p>
    <w:p w:rsidR="00E63E39" w:rsidRPr="005935FD" w:rsidRDefault="00E63E39" w:rsidP="00AE4172">
      <w:pPr>
        <w:spacing w:line="360" w:lineRule="auto"/>
        <w:ind w:left="3330" w:right="1088" w:firstLine="270"/>
        <w:jc w:val="both"/>
        <w:rPr>
          <w:rFonts w:ascii="Arial" w:hAnsi="Arial" w:cs="Arial"/>
          <w:b/>
          <w:sz w:val="20"/>
          <w:szCs w:val="20"/>
        </w:rPr>
      </w:pPr>
      <w:r w:rsidRPr="005935FD">
        <w:rPr>
          <w:rFonts w:ascii="Arial" w:hAnsi="Arial" w:cs="Arial"/>
          <w:b/>
          <w:sz w:val="20"/>
          <w:szCs w:val="20"/>
        </w:rPr>
        <w:t>Content of the opposing affidavit</w:t>
      </w:r>
      <w:r w:rsidRPr="005935FD">
        <w:rPr>
          <w:rFonts w:ascii="Arial" w:hAnsi="Arial" w:cs="Arial"/>
          <w:b/>
          <w:sz w:val="20"/>
          <w:szCs w:val="20"/>
        </w:rPr>
        <w:tab/>
      </w:r>
    </w:p>
    <w:p w:rsidR="00E63E39" w:rsidRPr="005935FD" w:rsidRDefault="00131E15" w:rsidP="00AE4172">
      <w:pPr>
        <w:spacing w:line="360" w:lineRule="auto"/>
        <w:ind w:left="1440" w:right="116"/>
        <w:jc w:val="both"/>
        <w:rPr>
          <w:rFonts w:ascii="Arial" w:hAnsi="Arial" w:cs="Arial"/>
          <w:i/>
          <w:shd w:val="clear" w:color="auto" w:fill="FFFFFF"/>
          <w:lang w:val="en-ZA"/>
        </w:rPr>
      </w:pPr>
      <w:r>
        <w:rPr>
          <w:rFonts w:ascii="Arial" w:hAnsi="Arial" w:cs="Arial"/>
          <w:sz w:val="20"/>
          <w:szCs w:val="20"/>
          <w:shd w:val="clear" w:color="auto" w:fill="FFFFFF"/>
          <w:lang w:val="en-ZA"/>
        </w:rPr>
        <w:t>..</w:t>
      </w:r>
      <w:r w:rsidR="00E63E39" w:rsidRPr="005935FD">
        <w:rPr>
          <w:rFonts w:ascii="Arial" w:hAnsi="Arial" w:cs="Arial"/>
          <w:sz w:val="20"/>
          <w:szCs w:val="20"/>
          <w:shd w:val="clear" w:color="auto" w:fill="FFFFFF"/>
          <w:lang w:val="en-ZA"/>
        </w:rPr>
        <w:t>. As has always been the position, the opposing affidavit must "disclose fully the nature and grounds of the defence and the material facts relied upon therefor".</w:t>
      </w:r>
      <w:r w:rsidR="00E63E39" w:rsidRPr="005935FD">
        <w:rPr>
          <w:rFonts w:ascii="Arial" w:hAnsi="Arial" w:cs="Arial"/>
          <w:sz w:val="20"/>
          <w:szCs w:val="20"/>
          <w:lang w:val="en-ZA"/>
        </w:rPr>
        <w:t xml:space="preserve"> </w:t>
      </w:r>
      <w:r w:rsidR="00E63E39" w:rsidRPr="005935FD">
        <w:rPr>
          <w:rFonts w:ascii="Arial" w:hAnsi="Arial" w:cs="Arial"/>
          <w:sz w:val="20"/>
          <w:szCs w:val="20"/>
        </w:rPr>
        <w:t>The</w:t>
      </w:r>
      <w:r w:rsidR="00E63E39" w:rsidRPr="005935FD">
        <w:rPr>
          <w:rFonts w:ascii="Arial" w:hAnsi="Arial" w:cs="Arial"/>
          <w:sz w:val="20"/>
          <w:szCs w:val="20"/>
          <w:shd w:val="clear" w:color="auto" w:fill="FFFFFF"/>
          <w:lang w:val="en-ZA"/>
        </w:rPr>
        <w:t xml:space="preserve"> purpose of the opposing affidavit also remains, as historically the case, to demonstrate that the defendant "has a </w:t>
      </w:r>
      <w:r w:rsidR="00E63E39" w:rsidRPr="005935FD">
        <w:rPr>
          <w:rFonts w:ascii="Arial" w:hAnsi="Arial" w:cs="Arial"/>
          <w:iCs/>
          <w:sz w:val="20"/>
          <w:szCs w:val="20"/>
          <w:lang w:val="en-ZA"/>
        </w:rPr>
        <w:t>bona fide </w:t>
      </w:r>
      <w:r w:rsidR="00E63E39" w:rsidRPr="005935FD">
        <w:rPr>
          <w:rFonts w:ascii="Arial" w:hAnsi="Arial" w:cs="Arial"/>
          <w:sz w:val="20"/>
          <w:szCs w:val="20"/>
          <w:shd w:val="clear" w:color="auto" w:fill="FFFFFF"/>
          <w:lang w:val="en-ZA"/>
        </w:rPr>
        <w:t xml:space="preserve">defence to the action". There is thus no substantive change </w:t>
      </w:r>
      <w:r w:rsidR="00AB00F6" w:rsidRPr="005935FD">
        <w:rPr>
          <w:rFonts w:ascii="Arial" w:hAnsi="Arial" w:cs="Arial"/>
          <w:sz w:val="20"/>
          <w:szCs w:val="20"/>
          <w:shd w:val="clear" w:color="auto" w:fill="FFFFFF"/>
          <w:lang w:val="en-ZA"/>
        </w:rPr>
        <w:t xml:space="preserve">in the nature of the "burden", </w:t>
      </w:r>
      <w:r w:rsidR="00E63E39" w:rsidRPr="005935FD">
        <w:rPr>
          <w:rFonts w:ascii="Arial" w:hAnsi="Arial" w:cs="Arial"/>
          <w:sz w:val="20"/>
          <w:szCs w:val="20"/>
          <w:shd w:val="clear" w:color="auto" w:fill="FFFFFF"/>
          <w:lang w:val="en-ZA"/>
        </w:rPr>
        <w:t>if that is what it is, placed on a defendant in terms of the procedure. However, the broader form of supporting affidavit that is contemplated in terms of the amended rule 32(2)(b), will in some cases require more of a defendant in respect of the content of its opposing affidavit than was the case in the pre-amendment regime, for the defendant will be expected to engage with the plaintiff's averments concerning the pleaded defence. In this regard I anticipate that we shall also see much argumentative matter in the opposing affidavits under the new regime, for argument will be met with counter-argument.</w:t>
      </w:r>
      <w:r w:rsidR="009E0E30" w:rsidRPr="005935FD">
        <w:rPr>
          <w:rFonts w:ascii="Arial" w:hAnsi="Arial" w:cs="Arial"/>
          <w:shd w:val="clear" w:color="auto" w:fill="FFFFFF"/>
          <w:lang w:val="en-ZA"/>
        </w:rPr>
        <w:t>”</w:t>
      </w:r>
    </w:p>
    <w:p w:rsidR="00E63E39" w:rsidRPr="005935FD" w:rsidRDefault="00E63E39" w:rsidP="00E63E39">
      <w:pPr>
        <w:spacing w:line="360" w:lineRule="auto"/>
        <w:ind w:left="720" w:hanging="720"/>
        <w:jc w:val="both"/>
        <w:rPr>
          <w:rFonts w:ascii="Arial" w:hAnsi="Arial" w:cs="Arial"/>
        </w:rPr>
      </w:pPr>
    </w:p>
    <w:p w:rsidR="00AE4172" w:rsidRPr="00AE4172" w:rsidRDefault="00AB00F6" w:rsidP="00AE4172">
      <w:pPr>
        <w:pStyle w:val="ListParagraph"/>
        <w:numPr>
          <w:ilvl w:val="0"/>
          <w:numId w:val="28"/>
        </w:numPr>
        <w:spacing w:line="360" w:lineRule="auto"/>
        <w:jc w:val="both"/>
        <w:rPr>
          <w:rFonts w:ascii="Arial" w:hAnsi="Arial" w:cs="Arial"/>
          <w:lang w:val="en-ZA"/>
        </w:rPr>
      </w:pPr>
      <w:r w:rsidRPr="00AE4172">
        <w:rPr>
          <w:rFonts w:ascii="Arial" w:hAnsi="Arial" w:cs="Arial"/>
        </w:rPr>
        <w:t xml:space="preserve">As stated in </w:t>
      </w:r>
      <w:r w:rsidRPr="00AE4172">
        <w:rPr>
          <w:rFonts w:ascii="Arial" w:hAnsi="Arial" w:cs="Arial"/>
          <w:b/>
          <w:i/>
        </w:rPr>
        <w:t>Maharaj</w:t>
      </w:r>
      <w:r w:rsidRPr="00AE4172">
        <w:rPr>
          <w:rFonts w:ascii="Arial" w:hAnsi="Arial" w:cs="Arial"/>
          <w:b/>
        </w:rPr>
        <w:t xml:space="preserve"> </w:t>
      </w:r>
      <w:r w:rsidRPr="00AE4172">
        <w:rPr>
          <w:rFonts w:ascii="Arial" w:hAnsi="Arial" w:cs="Arial"/>
          <w:b/>
          <w:i/>
        </w:rPr>
        <w:t>v Barclays National Bank Ltd</w:t>
      </w:r>
      <w:r w:rsidRPr="005935FD">
        <w:rPr>
          <w:rStyle w:val="FootnoteReference"/>
          <w:rFonts w:ascii="Arial" w:hAnsi="Arial" w:cs="Arial"/>
        </w:rPr>
        <w:footnoteReference w:id="25"/>
      </w:r>
      <w:r w:rsidRPr="00AE4172">
        <w:rPr>
          <w:rFonts w:ascii="Arial" w:hAnsi="Arial" w:cs="Arial"/>
          <w:b/>
        </w:rPr>
        <w:t xml:space="preserve"> </w:t>
      </w:r>
      <w:r w:rsidRPr="00AE4172">
        <w:rPr>
          <w:rFonts w:ascii="Arial" w:hAnsi="Arial" w:cs="Arial"/>
        </w:rPr>
        <w:t xml:space="preserve">the remedy afforded by summary judgment should only be resorted to and accorded only where the plaintiff can establish his claim clearly and the defendant fails to set up a </w:t>
      </w:r>
      <w:r w:rsidRPr="00AE4172">
        <w:rPr>
          <w:rFonts w:ascii="Arial" w:hAnsi="Arial" w:cs="Arial"/>
          <w:i/>
        </w:rPr>
        <w:t>bona fide</w:t>
      </w:r>
      <w:r w:rsidRPr="00AE4172">
        <w:rPr>
          <w:rFonts w:ascii="Arial" w:hAnsi="Arial" w:cs="Arial"/>
        </w:rPr>
        <w:t xml:space="preserve"> defence.</w:t>
      </w:r>
    </w:p>
    <w:p w:rsidR="00AE4172" w:rsidRPr="00AE4172" w:rsidRDefault="00AE4172" w:rsidP="00AE4172">
      <w:pPr>
        <w:pStyle w:val="ListParagraph"/>
        <w:spacing w:line="360" w:lineRule="auto"/>
        <w:jc w:val="both"/>
        <w:rPr>
          <w:rFonts w:ascii="Arial" w:hAnsi="Arial" w:cs="Arial"/>
          <w:lang w:val="en-ZA"/>
        </w:rPr>
      </w:pPr>
    </w:p>
    <w:p w:rsidR="00AE4172" w:rsidRDefault="00AB00F6" w:rsidP="00AE4172">
      <w:pPr>
        <w:pStyle w:val="ListParagraph"/>
        <w:numPr>
          <w:ilvl w:val="0"/>
          <w:numId w:val="28"/>
        </w:numPr>
        <w:spacing w:line="360" w:lineRule="auto"/>
        <w:jc w:val="both"/>
        <w:rPr>
          <w:rFonts w:ascii="Arial" w:hAnsi="Arial" w:cs="Arial"/>
          <w:lang w:val="en-ZA"/>
        </w:rPr>
      </w:pPr>
      <w:r w:rsidRPr="00AE4172">
        <w:rPr>
          <w:rFonts w:ascii="Arial" w:hAnsi="Arial" w:cs="Arial"/>
          <w:lang w:val="en-ZA"/>
        </w:rPr>
        <w:t>The bank submitted correctly that, in summary judgment proceedings, it is insufficient for a defendant to merely allege that she has no knowledge of the plaintiff’s allegations or that she regards those allegations with suspicion.</w:t>
      </w:r>
      <w:r w:rsidRPr="005935FD">
        <w:rPr>
          <w:rStyle w:val="FootnoteReference"/>
          <w:rFonts w:ascii="Arial" w:hAnsi="Arial" w:cs="Arial"/>
          <w:lang w:val="en-ZA"/>
        </w:rPr>
        <w:footnoteReference w:id="26"/>
      </w:r>
    </w:p>
    <w:p w:rsidR="00AE4172" w:rsidRPr="00AE4172" w:rsidRDefault="00AE4172" w:rsidP="00AE4172">
      <w:pPr>
        <w:pStyle w:val="ListParagraph"/>
        <w:rPr>
          <w:rFonts w:ascii="Arial" w:hAnsi="Arial" w:cs="Arial"/>
          <w:lang w:val="en-ZA"/>
        </w:rPr>
      </w:pPr>
    </w:p>
    <w:p w:rsidR="00AE4172" w:rsidRPr="00AE4172" w:rsidRDefault="0031120D" w:rsidP="00AE4172">
      <w:pPr>
        <w:pStyle w:val="ListParagraph"/>
        <w:numPr>
          <w:ilvl w:val="0"/>
          <w:numId w:val="28"/>
        </w:numPr>
        <w:spacing w:line="360" w:lineRule="auto"/>
        <w:jc w:val="both"/>
        <w:rPr>
          <w:rFonts w:ascii="Arial" w:hAnsi="Arial" w:cs="Arial"/>
          <w:lang w:val="en-ZA"/>
        </w:rPr>
      </w:pPr>
      <w:r w:rsidRPr="00AE4172">
        <w:rPr>
          <w:rFonts w:ascii="Arial" w:hAnsi="Arial" w:cs="Arial"/>
          <w:lang w:val="en-ZA"/>
        </w:rPr>
        <w:t>The bank also raised an issue that the appellant</w:t>
      </w:r>
      <w:r w:rsidR="009E0E30" w:rsidRPr="00AE4172">
        <w:rPr>
          <w:rFonts w:ascii="Arial" w:hAnsi="Arial" w:cs="Arial"/>
          <w:lang w:val="en-ZA"/>
        </w:rPr>
        <w:t>’</w:t>
      </w:r>
      <w:r w:rsidRPr="00AE4172">
        <w:rPr>
          <w:rFonts w:ascii="Arial" w:hAnsi="Arial" w:cs="Arial"/>
          <w:lang w:val="en-ZA"/>
        </w:rPr>
        <w:t>s defence of her signature having been forged was dealt with in the opposing affidavit and not in the plea.</w:t>
      </w:r>
      <w:r w:rsidRPr="005935FD">
        <w:rPr>
          <w:rStyle w:val="FootnoteReference"/>
          <w:rFonts w:ascii="Arial" w:hAnsi="Arial" w:cs="Arial"/>
          <w:lang w:val="en-ZA"/>
        </w:rPr>
        <w:footnoteReference w:id="27"/>
      </w:r>
      <w:r w:rsidRPr="00AE4172">
        <w:rPr>
          <w:rFonts w:ascii="Arial" w:hAnsi="Arial" w:cs="Arial"/>
          <w:lang w:val="en-ZA"/>
        </w:rPr>
        <w:t xml:space="preserve"> What cannot be disputed, however, is the fact that</w:t>
      </w:r>
      <w:r w:rsidRPr="00AE4172">
        <w:rPr>
          <w:rFonts w:ascii="Arial" w:hAnsi="Arial" w:cs="Arial"/>
        </w:rPr>
        <w:t>, the appellant alleged in paragraph 13.2 of her plea that ‘</w:t>
      </w:r>
      <w:r w:rsidRPr="00AE4172">
        <w:rPr>
          <w:rFonts w:ascii="Arial" w:hAnsi="Arial" w:cs="Arial"/>
          <w:i/>
        </w:rPr>
        <w:t>she did not sign any document relating to Hokanang and that Annexure D to the particulars of claim (suretyship) is denied</w:t>
      </w:r>
      <w:r w:rsidRPr="00AE4172">
        <w:rPr>
          <w:rFonts w:ascii="Arial" w:hAnsi="Arial" w:cs="Arial"/>
        </w:rPr>
        <w:t>’. This fact was conceded by the responded too.</w:t>
      </w:r>
      <w:r w:rsidRPr="005935FD">
        <w:rPr>
          <w:rStyle w:val="FootnoteReference"/>
          <w:rFonts w:ascii="Arial" w:hAnsi="Arial" w:cs="Arial"/>
        </w:rPr>
        <w:footnoteReference w:id="28"/>
      </w:r>
      <w:r w:rsidRPr="00AE4172">
        <w:rPr>
          <w:rFonts w:ascii="Arial" w:hAnsi="Arial" w:cs="Arial"/>
        </w:rPr>
        <w:t xml:space="preserve"> </w:t>
      </w:r>
    </w:p>
    <w:p w:rsidR="00AE4172" w:rsidRPr="00AE4172" w:rsidRDefault="00AE4172" w:rsidP="00AE4172">
      <w:pPr>
        <w:pStyle w:val="ListParagraph"/>
        <w:rPr>
          <w:rFonts w:ascii="Arial" w:hAnsi="Arial" w:cs="Arial"/>
        </w:rPr>
      </w:pPr>
    </w:p>
    <w:p w:rsidR="00AE4172" w:rsidRPr="00AE4172" w:rsidRDefault="00D03587" w:rsidP="00AE4172">
      <w:pPr>
        <w:pStyle w:val="ListParagraph"/>
        <w:numPr>
          <w:ilvl w:val="0"/>
          <w:numId w:val="28"/>
        </w:numPr>
        <w:spacing w:line="360" w:lineRule="auto"/>
        <w:jc w:val="both"/>
        <w:rPr>
          <w:rFonts w:ascii="Arial" w:hAnsi="Arial" w:cs="Arial"/>
          <w:lang w:val="en-ZA"/>
        </w:rPr>
      </w:pPr>
      <w:r w:rsidRPr="00AE4172">
        <w:rPr>
          <w:rFonts w:ascii="Arial" w:hAnsi="Arial" w:cs="Arial"/>
        </w:rPr>
        <w:lastRenderedPageBreak/>
        <w:t xml:space="preserve">Furthermore, </w:t>
      </w:r>
      <w:r w:rsidRPr="00AE4172">
        <w:rPr>
          <w:rFonts w:ascii="Arial" w:hAnsi="Arial" w:cs="Arial"/>
          <w:lang w:val="en-ZA"/>
        </w:rPr>
        <w:t xml:space="preserve">the appellant </w:t>
      </w:r>
      <w:r w:rsidR="008A4D1C" w:rsidRPr="00AE4172">
        <w:rPr>
          <w:rFonts w:ascii="Arial" w:hAnsi="Arial" w:cs="Arial"/>
          <w:lang w:val="en-ZA"/>
        </w:rPr>
        <w:t xml:space="preserve">pointed </w:t>
      </w:r>
      <w:r w:rsidR="00DE6AE3" w:rsidRPr="00AE4172">
        <w:rPr>
          <w:rFonts w:ascii="Arial" w:hAnsi="Arial" w:cs="Arial"/>
          <w:lang w:val="en-ZA"/>
        </w:rPr>
        <w:t xml:space="preserve">the court </w:t>
      </w:r>
      <w:r w:rsidR="00DE6AE3" w:rsidRPr="00AE4172">
        <w:rPr>
          <w:rFonts w:ascii="Arial" w:hAnsi="Arial" w:cs="Arial"/>
          <w:i/>
          <w:lang w:val="en-ZA"/>
        </w:rPr>
        <w:t>a quo</w:t>
      </w:r>
      <w:r w:rsidR="00DE6AE3" w:rsidRPr="00AE4172">
        <w:rPr>
          <w:rFonts w:ascii="Arial" w:hAnsi="Arial" w:cs="Arial"/>
          <w:lang w:val="en-ZA"/>
        </w:rPr>
        <w:t xml:space="preserve"> to the fact that the signature affixed to the opposing affidavit and the one she annexed to her affidavit bore similarities and strikingly in contrast with the one appearing on the documents annexed to the particulars of claim. She further </w:t>
      </w:r>
      <w:r w:rsidRPr="00AE4172">
        <w:rPr>
          <w:rFonts w:ascii="Arial" w:hAnsi="Arial" w:cs="Arial"/>
          <w:lang w:val="en-ZA"/>
        </w:rPr>
        <w:t xml:space="preserve">placed evidence before the court </w:t>
      </w:r>
      <w:r w:rsidRPr="00AE4172">
        <w:rPr>
          <w:rFonts w:ascii="Arial" w:hAnsi="Arial" w:cs="Arial"/>
          <w:i/>
          <w:lang w:val="en-ZA"/>
        </w:rPr>
        <w:t>a quo</w:t>
      </w:r>
      <w:r w:rsidRPr="00AE4172">
        <w:rPr>
          <w:rFonts w:ascii="Arial" w:hAnsi="Arial" w:cs="Arial"/>
          <w:lang w:val="en-ZA"/>
        </w:rPr>
        <w:t>, disputing the signature appearing on the suretyship agreement annexed to the particulars of claim.</w:t>
      </w:r>
      <w:r w:rsidR="00DE6AE3" w:rsidRPr="005935FD">
        <w:rPr>
          <w:rStyle w:val="FootnoteReference"/>
          <w:rFonts w:ascii="Arial" w:hAnsi="Arial" w:cs="Arial"/>
          <w:lang w:val="en-ZA"/>
        </w:rPr>
        <w:footnoteReference w:id="29"/>
      </w:r>
      <w:r w:rsidRPr="00AE4172">
        <w:rPr>
          <w:rFonts w:ascii="Arial" w:hAnsi="Arial" w:cs="Arial"/>
          <w:lang w:val="en-ZA"/>
        </w:rPr>
        <w:t xml:space="preserve"> </w:t>
      </w:r>
      <w:r w:rsidRPr="00AE4172">
        <w:rPr>
          <w:rFonts w:ascii="Arial" w:hAnsi="Arial" w:cs="Arial"/>
        </w:rPr>
        <w:t xml:space="preserve">This should have sufficed for the court </w:t>
      </w:r>
      <w:r w:rsidRPr="00AE4172">
        <w:rPr>
          <w:rFonts w:ascii="Arial" w:hAnsi="Arial" w:cs="Arial"/>
          <w:i/>
        </w:rPr>
        <w:t>a quo</w:t>
      </w:r>
      <w:r w:rsidRPr="00AE4172">
        <w:rPr>
          <w:rFonts w:ascii="Arial" w:hAnsi="Arial" w:cs="Arial"/>
        </w:rPr>
        <w:t xml:space="preserve"> to refuse the summary judgment </w:t>
      </w:r>
      <w:r w:rsidR="00EC4534" w:rsidRPr="00AE4172">
        <w:rPr>
          <w:rFonts w:ascii="Arial" w:hAnsi="Arial" w:cs="Arial"/>
        </w:rPr>
        <w:t xml:space="preserve">in order </w:t>
      </w:r>
      <w:r w:rsidRPr="00AE4172">
        <w:rPr>
          <w:rFonts w:ascii="Arial" w:hAnsi="Arial" w:cs="Arial"/>
        </w:rPr>
        <w:t xml:space="preserve">to allow the appellant to produce extrinsic evidence in rebuttal </w:t>
      </w:r>
      <w:r w:rsidR="00FC788F" w:rsidRPr="00AE4172">
        <w:rPr>
          <w:rFonts w:ascii="Arial" w:hAnsi="Arial" w:cs="Arial"/>
        </w:rPr>
        <w:t xml:space="preserve">thereto </w:t>
      </w:r>
      <w:r w:rsidRPr="00AE4172">
        <w:rPr>
          <w:rFonts w:ascii="Arial" w:hAnsi="Arial" w:cs="Arial"/>
        </w:rPr>
        <w:t xml:space="preserve">before </w:t>
      </w:r>
      <w:r w:rsidR="005A58B9" w:rsidRPr="00AE4172">
        <w:rPr>
          <w:rFonts w:ascii="Arial" w:hAnsi="Arial" w:cs="Arial"/>
        </w:rPr>
        <w:t>a</w:t>
      </w:r>
      <w:r w:rsidRPr="00AE4172">
        <w:rPr>
          <w:rFonts w:ascii="Arial" w:hAnsi="Arial" w:cs="Arial"/>
        </w:rPr>
        <w:t xml:space="preserve"> trial court.</w:t>
      </w:r>
    </w:p>
    <w:p w:rsidR="00AE4172" w:rsidRPr="00AE4172" w:rsidRDefault="00AE4172" w:rsidP="00AE4172">
      <w:pPr>
        <w:pStyle w:val="ListParagraph"/>
        <w:rPr>
          <w:rFonts w:ascii="Arial" w:hAnsi="Arial" w:cs="Arial"/>
          <w:lang w:val="en-ZA"/>
        </w:rPr>
      </w:pPr>
    </w:p>
    <w:p w:rsidR="00AE4172" w:rsidRDefault="00EC4534" w:rsidP="00AE4172">
      <w:pPr>
        <w:pStyle w:val="ListParagraph"/>
        <w:numPr>
          <w:ilvl w:val="0"/>
          <w:numId w:val="28"/>
        </w:numPr>
        <w:spacing w:line="360" w:lineRule="auto"/>
        <w:jc w:val="both"/>
        <w:rPr>
          <w:rFonts w:ascii="Arial" w:hAnsi="Arial" w:cs="Arial"/>
          <w:lang w:val="en-ZA"/>
        </w:rPr>
      </w:pPr>
      <w:r w:rsidRPr="00AE4172">
        <w:rPr>
          <w:rFonts w:ascii="Arial" w:hAnsi="Arial" w:cs="Arial"/>
          <w:lang w:val="en-ZA"/>
        </w:rPr>
        <w:t xml:space="preserve">In my view, the fact that the appellant made no mention of forgery and/or fraud in her plea is neither here nor there because she specifically denied </w:t>
      </w:r>
      <w:r w:rsidR="007901E0" w:rsidRPr="00AE4172">
        <w:rPr>
          <w:rFonts w:ascii="Arial" w:hAnsi="Arial" w:cs="Arial"/>
          <w:lang w:val="en-ZA"/>
        </w:rPr>
        <w:t>having signed the agreement or ever being</w:t>
      </w:r>
      <w:r w:rsidRPr="00AE4172">
        <w:rPr>
          <w:rFonts w:ascii="Arial" w:hAnsi="Arial" w:cs="Arial"/>
          <w:lang w:val="en-ZA"/>
        </w:rPr>
        <w:t xml:space="preserve"> a party to it in the first place.  </w:t>
      </w:r>
    </w:p>
    <w:p w:rsidR="00AE4172" w:rsidRPr="00AE4172" w:rsidRDefault="00AE4172" w:rsidP="00AE4172">
      <w:pPr>
        <w:pStyle w:val="ListParagraph"/>
        <w:rPr>
          <w:rFonts w:ascii="Arial" w:hAnsi="Arial" w:cs="Arial"/>
        </w:rPr>
      </w:pPr>
    </w:p>
    <w:p w:rsidR="00AE4172" w:rsidRPr="00AE4172" w:rsidRDefault="00F6603E" w:rsidP="00AE4172">
      <w:pPr>
        <w:pStyle w:val="ListParagraph"/>
        <w:numPr>
          <w:ilvl w:val="0"/>
          <w:numId w:val="28"/>
        </w:numPr>
        <w:spacing w:line="360" w:lineRule="auto"/>
        <w:jc w:val="both"/>
        <w:rPr>
          <w:rFonts w:ascii="Arial" w:hAnsi="Arial" w:cs="Arial"/>
          <w:lang w:val="en-ZA"/>
        </w:rPr>
      </w:pPr>
      <w:r w:rsidRPr="00AE4172">
        <w:rPr>
          <w:rFonts w:ascii="Arial" w:hAnsi="Arial" w:cs="Arial"/>
        </w:rPr>
        <w:t xml:space="preserve">It has been </w:t>
      </w:r>
      <w:r w:rsidR="00B30808" w:rsidRPr="00AE4172">
        <w:rPr>
          <w:rFonts w:ascii="Arial" w:hAnsi="Arial" w:cs="Arial"/>
        </w:rPr>
        <w:t xml:space="preserve">held </w:t>
      </w:r>
      <w:r w:rsidRPr="00AE4172">
        <w:rPr>
          <w:rFonts w:ascii="Arial" w:hAnsi="Arial" w:cs="Arial"/>
        </w:rPr>
        <w:t xml:space="preserve">by the court </w:t>
      </w:r>
      <w:r w:rsidR="00B30808" w:rsidRPr="00AE4172">
        <w:rPr>
          <w:rFonts w:ascii="Arial" w:hAnsi="Arial" w:cs="Arial"/>
        </w:rPr>
        <w:t xml:space="preserve">in </w:t>
      </w:r>
      <w:r w:rsidR="00B30808" w:rsidRPr="00AE4172">
        <w:rPr>
          <w:rFonts w:ascii="Arial" w:hAnsi="Arial" w:cs="Arial"/>
          <w:b/>
          <w:i/>
        </w:rPr>
        <w:t>Mowchenson and Mowchenson v Mercantile Acceptance Corporation of SA</w:t>
      </w:r>
      <w:r w:rsidR="000F3DD3" w:rsidRPr="00AE4172">
        <w:rPr>
          <w:rFonts w:ascii="Arial" w:hAnsi="Arial" w:cs="Arial"/>
          <w:b/>
          <w:i/>
        </w:rPr>
        <w:t xml:space="preserve"> Ltd</w:t>
      </w:r>
      <w:r w:rsidR="000F3DD3" w:rsidRPr="005935FD">
        <w:rPr>
          <w:rStyle w:val="FootnoteReference"/>
          <w:rFonts w:ascii="Arial" w:hAnsi="Arial" w:cs="Arial"/>
          <w:i/>
        </w:rPr>
        <w:footnoteReference w:id="30"/>
      </w:r>
      <w:r w:rsidR="000F3DD3" w:rsidRPr="00AE4172">
        <w:rPr>
          <w:rFonts w:ascii="Arial" w:hAnsi="Arial" w:cs="Arial"/>
        </w:rPr>
        <w:t xml:space="preserve"> that i</w:t>
      </w:r>
      <w:r w:rsidR="00B30808" w:rsidRPr="00AE4172">
        <w:rPr>
          <w:rFonts w:ascii="Arial" w:hAnsi="Arial" w:cs="Arial"/>
        </w:rPr>
        <w:t>f there is nothing inherently incredible in the defendant’s answer that which, if proved, would support a d</w:t>
      </w:r>
      <w:r w:rsidR="00A0385A" w:rsidRPr="00AE4172">
        <w:rPr>
          <w:rFonts w:ascii="Arial" w:hAnsi="Arial" w:cs="Arial"/>
        </w:rPr>
        <w:t>efence that is good in law, the</w:t>
      </w:r>
      <w:r w:rsidR="00B30808" w:rsidRPr="00AE4172">
        <w:rPr>
          <w:rFonts w:ascii="Arial" w:hAnsi="Arial" w:cs="Arial"/>
        </w:rPr>
        <w:t xml:space="preserve"> court would be obliged to dismiss the application and to give the defendant leave to defend the action.</w:t>
      </w:r>
    </w:p>
    <w:p w:rsidR="00AE4172" w:rsidRPr="00AE4172" w:rsidRDefault="00AE4172" w:rsidP="00AE4172">
      <w:pPr>
        <w:pStyle w:val="ListParagraph"/>
        <w:rPr>
          <w:rFonts w:ascii="Arial" w:hAnsi="Arial" w:cs="Arial"/>
        </w:rPr>
      </w:pPr>
    </w:p>
    <w:p w:rsidR="00AE4172" w:rsidRPr="00AE4172" w:rsidRDefault="003E2465" w:rsidP="00AE4172">
      <w:pPr>
        <w:pStyle w:val="ListParagraph"/>
        <w:numPr>
          <w:ilvl w:val="0"/>
          <w:numId w:val="28"/>
        </w:numPr>
        <w:spacing w:line="360" w:lineRule="auto"/>
        <w:jc w:val="both"/>
        <w:rPr>
          <w:rFonts w:ascii="Arial" w:hAnsi="Arial" w:cs="Arial"/>
          <w:lang w:val="en-ZA"/>
        </w:rPr>
      </w:pPr>
      <w:r w:rsidRPr="00AE4172">
        <w:rPr>
          <w:rFonts w:ascii="Arial" w:hAnsi="Arial" w:cs="Arial"/>
        </w:rPr>
        <w:t xml:space="preserve">In dismissing the appellant’s </w:t>
      </w:r>
      <w:r w:rsidR="006E08EF" w:rsidRPr="00AE4172">
        <w:rPr>
          <w:rFonts w:ascii="Arial" w:hAnsi="Arial" w:cs="Arial"/>
        </w:rPr>
        <w:t>point</w:t>
      </w:r>
      <w:r w:rsidRPr="00AE4172">
        <w:rPr>
          <w:rFonts w:ascii="Arial" w:hAnsi="Arial" w:cs="Arial"/>
        </w:rPr>
        <w:t xml:space="preserve"> </w:t>
      </w:r>
      <w:r w:rsidR="0017129D" w:rsidRPr="00AE4172">
        <w:rPr>
          <w:rFonts w:ascii="Arial" w:hAnsi="Arial" w:cs="Arial"/>
        </w:rPr>
        <w:t>of denying</w:t>
      </w:r>
      <w:r w:rsidR="006E08EF" w:rsidRPr="00AE4172">
        <w:rPr>
          <w:rFonts w:ascii="Arial" w:hAnsi="Arial" w:cs="Arial"/>
        </w:rPr>
        <w:t xml:space="preserve"> </w:t>
      </w:r>
      <w:r w:rsidRPr="00AE4172">
        <w:rPr>
          <w:rFonts w:ascii="Arial" w:hAnsi="Arial" w:cs="Arial"/>
        </w:rPr>
        <w:t xml:space="preserve">the signature, the court </w:t>
      </w:r>
      <w:r w:rsidRPr="00AE4172">
        <w:rPr>
          <w:rFonts w:ascii="Arial" w:hAnsi="Arial" w:cs="Arial"/>
          <w:i/>
        </w:rPr>
        <w:t>a quo</w:t>
      </w:r>
      <w:r w:rsidRPr="00AE4172">
        <w:rPr>
          <w:rFonts w:ascii="Arial" w:hAnsi="Arial" w:cs="Arial"/>
        </w:rPr>
        <w:t xml:space="preserve"> relied on </w:t>
      </w:r>
      <w:r w:rsidR="00D03587" w:rsidRPr="00AE4172">
        <w:rPr>
          <w:rFonts w:ascii="Arial" w:hAnsi="Arial" w:cs="Arial"/>
          <w:b/>
          <w:i/>
        </w:rPr>
        <w:t>Kgotlakgomang</w:t>
      </w:r>
      <w:r w:rsidRPr="00AE4172">
        <w:rPr>
          <w:rFonts w:ascii="Arial" w:hAnsi="Arial" w:cs="Arial"/>
          <w:b/>
          <w:i/>
        </w:rPr>
        <w:t xml:space="preserve"> v Joubert</w:t>
      </w:r>
      <w:r w:rsidR="0021010F" w:rsidRPr="005935FD">
        <w:rPr>
          <w:rStyle w:val="FootnoteReference"/>
          <w:rFonts w:ascii="Arial" w:hAnsi="Arial" w:cs="Arial"/>
          <w:b/>
          <w:i/>
        </w:rPr>
        <w:footnoteReference w:id="31"/>
      </w:r>
      <w:r w:rsidR="00D03587" w:rsidRPr="00AE4172">
        <w:rPr>
          <w:rFonts w:ascii="Arial" w:hAnsi="Arial" w:cs="Arial"/>
          <w:b/>
          <w:i/>
        </w:rPr>
        <w:t xml:space="preserve"> </w:t>
      </w:r>
      <w:r w:rsidRPr="00AE4172">
        <w:rPr>
          <w:rFonts w:ascii="Arial" w:hAnsi="Arial" w:cs="Arial"/>
        </w:rPr>
        <w:t>and put emphasis on the fact that the assertion made by appellant about forgery of her signature was not alleged in both the plea and opposing affidavit.</w:t>
      </w:r>
      <w:r w:rsidR="00E52575" w:rsidRPr="005935FD">
        <w:rPr>
          <w:rStyle w:val="FootnoteReference"/>
          <w:rFonts w:ascii="Arial" w:hAnsi="Arial" w:cs="Arial"/>
          <w:sz w:val="20"/>
          <w:szCs w:val="20"/>
        </w:rPr>
        <w:footnoteReference w:id="32"/>
      </w:r>
      <w:r w:rsidR="00D03587" w:rsidRPr="00AE4172">
        <w:rPr>
          <w:rFonts w:ascii="Arial" w:hAnsi="Arial" w:cs="Arial"/>
          <w:sz w:val="20"/>
          <w:szCs w:val="20"/>
        </w:rPr>
        <w:t xml:space="preserve"> </w:t>
      </w:r>
      <w:r w:rsidR="009B1A4F" w:rsidRPr="00AE4172">
        <w:rPr>
          <w:rFonts w:ascii="Arial" w:hAnsi="Arial" w:cs="Arial"/>
        </w:rPr>
        <w:t>The</w:t>
      </w:r>
      <w:r w:rsidR="00D03587" w:rsidRPr="00AE4172">
        <w:rPr>
          <w:rFonts w:ascii="Arial" w:hAnsi="Arial" w:cs="Arial"/>
        </w:rPr>
        <w:t xml:space="preserve"> distinct nature of the facts involved in </w:t>
      </w:r>
      <w:r w:rsidR="009B1A4F" w:rsidRPr="00AE4172">
        <w:rPr>
          <w:rFonts w:ascii="Arial" w:hAnsi="Arial" w:cs="Arial"/>
          <w:i/>
        </w:rPr>
        <w:t>Kgotlakgomang</w:t>
      </w:r>
      <w:r w:rsidR="009B1A4F" w:rsidRPr="00AE4172">
        <w:rPr>
          <w:rFonts w:ascii="Arial" w:hAnsi="Arial" w:cs="Arial"/>
        </w:rPr>
        <w:t xml:space="preserve"> and the present case was dealt with aptly in the appellant’s heads of argument</w:t>
      </w:r>
      <w:r w:rsidR="00C101AD" w:rsidRPr="00AE4172">
        <w:rPr>
          <w:rFonts w:ascii="Arial" w:hAnsi="Arial" w:cs="Arial"/>
        </w:rPr>
        <w:t xml:space="preserve"> and </w:t>
      </w:r>
      <w:r w:rsidR="00932333" w:rsidRPr="00AE4172">
        <w:rPr>
          <w:rFonts w:ascii="Arial" w:hAnsi="Arial" w:cs="Arial"/>
        </w:rPr>
        <w:t xml:space="preserve">thus </w:t>
      </w:r>
      <w:r w:rsidR="00C101AD" w:rsidRPr="00AE4172">
        <w:rPr>
          <w:rFonts w:ascii="Arial" w:hAnsi="Arial" w:cs="Arial"/>
        </w:rPr>
        <w:t>need not to be regurgitated</w:t>
      </w:r>
      <w:r w:rsidR="00D03587" w:rsidRPr="00AE4172">
        <w:rPr>
          <w:rFonts w:ascii="Arial" w:hAnsi="Arial" w:cs="Arial"/>
        </w:rPr>
        <w:t>.</w:t>
      </w:r>
      <w:r w:rsidR="00D37E70" w:rsidRPr="005935FD">
        <w:rPr>
          <w:rStyle w:val="CommentReference"/>
        </w:rPr>
        <w:t xml:space="preserve"> </w:t>
      </w:r>
      <w:r w:rsidR="00D37E70" w:rsidRPr="005935FD">
        <w:rPr>
          <w:rStyle w:val="FootnoteReference"/>
          <w:rFonts w:ascii="Arial" w:hAnsi="Arial" w:cs="Arial"/>
          <w:sz w:val="20"/>
          <w:szCs w:val="20"/>
        </w:rPr>
        <w:footnoteReference w:id="33"/>
      </w:r>
      <w:r w:rsidR="00D03587" w:rsidRPr="00AE4172">
        <w:rPr>
          <w:rFonts w:ascii="Arial" w:hAnsi="Arial" w:cs="Arial"/>
        </w:rPr>
        <w:t xml:space="preserve"> </w:t>
      </w:r>
      <w:r w:rsidR="00CC79E9" w:rsidRPr="00AE4172">
        <w:rPr>
          <w:rFonts w:ascii="Arial" w:hAnsi="Arial" w:cs="Arial"/>
        </w:rPr>
        <w:t xml:space="preserve"> </w:t>
      </w:r>
    </w:p>
    <w:p w:rsidR="00AE4172" w:rsidRPr="00AE4172" w:rsidRDefault="00AE4172" w:rsidP="00AE4172">
      <w:pPr>
        <w:pStyle w:val="ListParagraph"/>
        <w:rPr>
          <w:rFonts w:ascii="Arial" w:hAnsi="Arial" w:cs="Arial"/>
        </w:rPr>
      </w:pPr>
    </w:p>
    <w:p w:rsidR="00AE4172" w:rsidRPr="00AE4172" w:rsidRDefault="0068167B" w:rsidP="00AE4172">
      <w:pPr>
        <w:pStyle w:val="ListParagraph"/>
        <w:numPr>
          <w:ilvl w:val="0"/>
          <w:numId w:val="28"/>
        </w:numPr>
        <w:spacing w:line="360" w:lineRule="auto"/>
        <w:jc w:val="both"/>
        <w:rPr>
          <w:rFonts w:ascii="Arial" w:hAnsi="Arial" w:cs="Arial"/>
          <w:lang w:val="en-ZA"/>
        </w:rPr>
      </w:pPr>
      <w:r w:rsidRPr="00AE4172">
        <w:rPr>
          <w:rFonts w:ascii="Arial" w:hAnsi="Arial" w:cs="Arial"/>
        </w:rPr>
        <w:t xml:space="preserve">In addition thereto, the court </w:t>
      </w:r>
      <w:r w:rsidRPr="00AE4172">
        <w:rPr>
          <w:rFonts w:ascii="Arial" w:hAnsi="Arial" w:cs="Arial"/>
          <w:i/>
        </w:rPr>
        <w:t>a quo</w:t>
      </w:r>
      <w:r w:rsidRPr="00AE4172">
        <w:rPr>
          <w:rFonts w:ascii="Arial" w:hAnsi="Arial" w:cs="Arial"/>
        </w:rPr>
        <w:t xml:space="preserve"> ignored the wording used by the appellant in paragraph 13.2 of </w:t>
      </w:r>
      <w:r w:rsidR="00022A1A" w:rsidRPr="00AE4172">
        <w:rPr>
          <w:rFonts w:ascii="Arial" w:hAnsi="Arial" w:cs="Arial"/>
        </w:rPr>
        <w:t>her</w:t>
      </w:r>
      <w:r w:rsidRPr="00AE4172">
        <w:rPr>
          <w:rFonts w:ascii="Arial" w:hAnsi="Arial" w:cs="Arial"/>
        </w:rPr>
        <w:t xml:space="preserve"> plea wh</w:t>
      </w:r>
      <w:r w:rsidR="00B16EE9" w:rsidRPr="00AE4172">
        <w:rPr>
          <w:rFonts w:ascii="Arial" w:hAnsi="Arial" w:cs="Arial"/>
        </w:rPr>
        <w:t>en she alleged that she did not sign any document relating to the First Defendant and Annexure “D” to the particulars of claim is denied, as the ‘</w:t>
      </w:r>
      <w:r w:rsidR="00B16EE9" w:rsidRPr="00AE4172">
        <w:rPr>
          <w:rFonts w:ascii="Arial" w:hAnsi="Arial" w:cs="Arial"/>
          <w:i/>
        </w:rPr>
        <w:t>purported signature’</w:t>
      </w:r>
      <w:r w:rsidR="00B16EE9" w:rsidRPr="00AE4172">
        <w:rPr>
          <w:rFonts w:ascii="Arial" w:hAnsi="Arial" w:cs="Arial"/>
        </w:rPr>
        <w:t xml:space="preserve"> on the suretyship is not hers. </w:t>
      </w:r>
      <w:r w:rsidR="00B42935" w:rsidRPr="00AE4172">
        <w:rPr>
          <w:rFonts w:ascii="Arial" w:hAnsi="Arial" w:cs="Arial"/>
        </w:rPr>
        <w:t>This in itself points to the fact that the appellant attributes the signature appearing on the agreement to someone else</w:t>
      </w:r>
      <w:r w:rsidR="008E398B" w:rsidRPr="00AE4172">
        <w:rPr>
          <w:rFonts w:ascii="Arial" w:hAnsi="Arial" w:cs="Arial"/>
        </w:rPr>
        <w:t>, other than herself or</w:t>
      </w:r>
      <w:r w:rsidR="00B42935" w:rsidRPr="00AE4172">
        <w:rPr>
          <w:rFonts w:ascii="Arial" w:hAnsi="Arial" w:cs="Arial"/>
        </w:rPr>
        <w:t xml:space="preserve"> her late husband. </w:t>
      </w:r>
      <w:r w:rsidR="00B42935" w:rsidRPr="00AE4172">
        <w:rPr>
          <w:rFonts w:ascii="Arial" w:hAnsi="Arial" w:cs="Arial"/>
        </w:rPr>
        <w:lastRenderedPageBreak/>
        <w:t xml:space="preserve">Whether the </w:t>
      </w:r>
      <w:r w:rsidR="008E398B" w:rsidRPr="00AE4172">
        <w:rPr>
          <w:rFonts w:ascii="Arial" w:hAnsi="Arial" w:cs="Arial"/>
        </w:rPr>
        <w:t xml:space="preserve">alleged </w:t>
      </w:r>
      <w:r w:rsidR="00CA792C" w:rsidRPr="00AE4172">
        <w:rPr>
          <w:rFonts w:ascii="Arial" w:hAnsi="Arial" w:cs="Arial"/>
        </w:rPr>
        <w:t xml:space="preserve">signature was </w:t>
      </w:r>
      <w:r w:rsidR="00B42935" w:rsidRPr="00AE4172">
        <w:rPr>
          <w:rFonts w:ascii="Arial" w:hAnsi="Arial" w:cs="Arial"/>
        </w:rPr>
        <w:t xml:space="preserve">achieved by means of forgery or fraud was </w:t>
      </w:r>
      <w:r w:rsidR="00CA792C" w:rsidRPr="00AE4172">
        <w:rPr>
          <w:rFonts w:ascii="Arial" w:hAnsi="Arial" w:cs="Arial"/>
        </w:rPr>
        <w:t>irrelevant for the purpose of</w:t>
      </w:r>
      <w:r w:rsidR="00B42935" w:rsidRPr="00AE4172">
        <w:rPr>
          <w:rFonts w:ascii="Arial" w:hAnsi="Arial" w:cs="Arial"/>
        </w:rPr>
        <w:t xml:space="preserve"> the summary judgment application. </w:t>
      </w:r>
    </w:p>
    <w:p w:rsidR="00AE4172" w:rsidRPr="00AE4172" w:rsidRDefault="00AE4172" w:rsidP="00AE4172">
      <w:pPr>
        <w:pStyle w:val="ListParagraph"/>
        <w:rPr>
          <w:rFonts w:ascii="Arial" w:hAnsi="Arial" w:cs="Arial"/>
        </w:rPr>
      </w:pPr>
    </w:p>
    <w:p w:rsidR="00AE4172" w:rsidRPr="00AE4172" w:rsidRDefault="005406C7" w:rsidP="00AE4172">
      <w:pPr>
        <w:pStyle w:val="ListParagraph"/>
        <w:numPr>
          <w:ilvl w:val="0"/>
          <w:numId w:val="28"/>
        </w:numPr>
        <w:spacing w:line="360" w:lineRule="auto"/>
        <w:jc w:val="both"/>
        <w:rPr>
          <w:rFonts w:ascii="Arial" w:hAnsi="Arial" w:cs="Arial"/>
          <w:lang w:val="en-ZA"/>
        </w:rPr>
      </w:pPr>
      <w:r w:rsidRPr="00AE4172">
        <w:rPr>
          <w:rFonts w:ascii="Arial" w:hAnsi="Arial" w:cs="Arial"/>
        </w:rPr>
        <w:t>T</w:t>
      </w:r>
      <w:r w:rsidR="009C789C" w:rsidRPr="00AE4172">
        <w:rPr>
          <w:rFonts w:ascii="Arial" w:hAnsi="Arial" w:cs="Arial"/>
        </w:rPr>
        <w:t xml:space="preserve">he court </w:t>
      </w:r>
      <w:r w:rsidR="009C789C" w:rsidRPr="00AE4172">
        <w:rPr>
          <w:rFonts w:ascii="Arial" w:hAnsi="Arial" w:cs="Arial"/>
          <w:i/>
        </w:rPr>
        <w:t>a quo</w:t>
      </w:r>
      <w:r w:rsidR="009C789C" w:rsidRPr="00AE4172">
        <w:rPr>
          <w:rFonts w:ascii="Arial" w:hAnsi="Arial" w:cs="Arial"/>
        </w:rPr>
        <w:t xml:space="preserve"> </w:t>
      </w:r>
      <w:r w:rsidR="009B2406" w:rsidRPr="00AE4172">
        <w:rPr>
          <w:rFonts w:ascii="Arial" w:hAnsi="Arial" w:cs="Arial"/>
        </w:rPr>
        <w:t>also placed emphasis on</w:t>
      </w:r>
      <w:r w:rsidRPr="00AE4172">
        <w:rPr>
          <w:rFonts w:ascii="Arial" w:hAnsi="Arial" w:cs="Arial"/>
        </w:rPr>
        <w:t xml:space="preserve"> </w:t>
      </w:r>
      <w:r w:rsidR="009C789C" w:rsidRPr="00AE4172">
        <w:rPr>
          <w:rFonts w:ascii="Arial" w:hAnsi="Arial" w:cs="Arial"/>
        </w:rPr>
        <w:t xml:space="preserve">the </w:t>
      </w:r>
      <w:r w:rsidRPr="00AE4172">
        <w:rPr>
          <w:rFonts w:ascii="Arial" w:hAnsi="Arial" w:cs="Arial"/>
        </w:rPr>
        <w:t xml:space="preserve">fact that the </w:t>
      </w:r>
      <w:r w:rsidR="009C789C" w:rsidRPr="00AE4172">
        <w:rPr>
          <w:rFonts w:ascii="Arial" w:hAnsi="Arial" w:cs="Arial"/>
        </w:rPr>
        <w:t>appellant abandoned the submission that she was not in Bloemfontein during the time when the agreement was allegedly signed.</w:t>
      </w:r>
      <w:r w:rsidR="009B2406" w:rsidRPr="005935FD">
        <w:rPr>
          <w:rStyle w:val="FootnoteReference"/>
          <w:rFonts w:ascii="Arial" w:hAnsi="Arial" w:cs="Arial"/>
        </w:rPr>
        <w:footnoteReference w:id="34"/>
      </w:r>
      <w:r w:rsidR="0012435D" w:rsidRPr="00AE4172">
        <w:rPr>
          <w:rFonts w:ascii="Arial" w:hAnsi="Arial" w:cs="Arial"/>
        </w:rPr>
        <w:t xml:space="preserve"> </w:t>
      </w:r>
      <w:r w:rsidRPr="00AE4172">
        <w:rPr>
          <w:rFonts w:ascii="Arial" w:hAnsi="Arial" w:cs="Arial"/>
        </w:rPr>
        <w:t>It would therefore appear as though the learned Magistrate took a view that</w:t>
      </w:r>
      <w:r w:rsidR="00A20CB7" w:rsidRPr="00AE4172">
        <w:rPr>
          <w:rFonts w:ascii="Arial" w:hAnsi="Arial" w:cs="Arial"/>
        </w:rPr>
        <w:t>,</w:t>
      </w:r>
      <w:r w:rsidRPr="00AE4172">
        <w:rPr>
          <w:rFonts w:ascii="Arial" w:hAnsi="Arial" w:cs="Arial"/>
        </w:rPr>
        <w:t xml:space="preserve"> by not denying to have been in Bloemfontein when the agreement was allegedly signed, the appellant abandoned her entire defence about the signature. </w:t>
      </w:r>
      <w:r w:rsidR="00C110A0" w:rsidRPr="00AE4172">
        <w:rPr>
          <w:rFonts w:ascii="Arial" w:hAnsi="Arial" w:cs="Arial"/>
        </w:rPr>
        <w:t xml:space="preserve"> </w:t>
      </w:r>
      <w:r w:rsidRPr="00AE4172">
        <w:rPr>
          <w:rFonts w:ascii="Arial" w:hAnsi="Arial" w:cs="Arial"/>
        </w:rPr>
        <w:t xml:space="preserve">This </w:t>
      </w:r>
      <w:r w:rsidR="00A20CB7" w:rsidRPr="00AE4172">
        <w:rPr>
          <w:rFonts w:ascii="Arial" w:hAnsi="Arial" w:cs="Arial"/>
        </w:rPr>
        <w:t xml:space="preserve">conclusion by the court </w:t>
      </w:r>
      <w:r w:rsidR="00A20CB7" w:rsidRPr="00AE4172">
        <w:rPr>
          <w:rFonts w:ascii="Arial" w:hAnsi="Arial" w:cs="Arial"/>
          <w:i/>
        </w:rPr>
        <w:t xml:space="preserve">a quo </w:t>
      </w:r>
      <w:r w:rsidRPr="00AE4172">
        <w:rPr>
          <w:rFonts w:ascii="Arial" w:hAnsi="Arial" w:cs="Arial"/>
        </w:rPr>
        <w:t>cannot be correct because it is clear from reading paragraph 6 of the appellant’s plea what her defence is. Apart from denying being in Bloemfontein when the agreement was signed, she also denied that she had anything to do with it whatsoever.</w:t>
      </w:r>
      <w:r w:rsidR="000F45AF" w:rsidRPr="005935FD">
        <w:rPr>
          <w:rStyle w:val="FootnoteReference"/>
          <w:rFonts w:ascii="Arial" w:hAnsi="Arial" w:cs="Arial"/>
        </w:rPr>
        <w:footnoteReference w:id="35"/>
      </w:r>
      <w:r w:rsidRPr="00AE4172">
        <w:rPr>
          <w:rFonts w:ascii="Arial" w:hAnsi="Arial" w:cs="Arial"/>
        </w:rPr>
        <w:t xml:space="preserve"> This constitutes a clear bona fide defence to the action.  </w:t>
      </w:r>
    </w:p>
    <w:p w:rsidR="00AE4172" w:rsidRPr="00AE4172" w:rsidRDefault="00AE4172" w:rsidP="00AE4172">
      <w:pPr>
        <w:pStyle w:val="ListParagraph"/>
        <w:rPr>
          <w:rFonts w:ascii="Arial" w:hAnsi="Arial" w:cs="Arial"/>
          <w:shd w:val="clear" w:color="auto" w:fill="FFFFFF"/>
          <w:lang w:val="en-ZA" w:eastAsia="en-US"/>
        </w:rPr>
      </w:pPr>
    </w:p>
    <w:p w:rsidR="00AE4172" w:rsidRPr="00AE4172" w:rsidRDefault="00D66F3F" w:rsidP="00AE4172">
      <w:pPr>
        <w:pStyle w:val="ListParagraph"/>
        <w:numPr>
          <w:ilvl w:val="0"/>
          <w:numId w:val="28"/>
        </w:numPr>
        <w:spacing w:line="360" w:lineRule="auto"/>
        <w:jc w:val="both"/>
        <w:rPr>
          <w:rFonts w:ascii="Arial" w:hAnsi="Arial" w:cs="Arial"/>
          <w:lang w:val="en-ZA"/>
        </w:rPr>
      </w:pPr>
      <w:r w:rsidRPr="00AE4172">
        <w:rPr>
          <w:rFonts w:ascii="Arial" w:hAnsi="Arial" w:cs="Arial"/>
          <w:shd w:val="clear" w:color="auto" w:fill="FFFFFF"/>
          <w:lang w:val="en-ZA" w:eastAsia="en-US"/>
        </w:rPr>
        <w:t xml:space="preserve">I therefore find that the apppellant’s denial of the signature on the agreement </w:t>
      </w:r>
      <w:r w:rsidR="00AA58C6" w:rsidRPr="00AE4172">
        <w:rPr>
          <w:rFonts w:ascii="Arial" w:hAnsi="Arial" w:cs="Arial"/>
          <w:shd w:val="clear" w:color="auto" w:fill="FFFFFF"/>
          <w:lang w:val="en-ZA" w:eastAsia="en-US"/>
        </w:rPr>
        <w:t>raises</w:t>
      </w:r>
      <w:r w:rsidRPr="00AE4172">
        <w:rPr>
          <w:rFonts w:ascii="Arial" w:hAnsi="Arial" w:cs="Arial"/>
          <w:shd w:val="clear" w:color="auto" w:fill="FFFFFF"/>
          <w:lang w:val="en-ZA" w:eastAsia="en-US"/>
        </w:rPr>
        <w:t xml:space="preserve"> </w:t>
      </w:r>
      <w:r w:rsidR="00AA58C6" w:rsidRPr="00AE4172">
        <w:rPr>
          <w:rFonts w:ascii="Arial" w:hAnsi="Arial" w:cs="Arial"/>
          <w:shd w:val="clear" w:color="auto" w:fill="FFFFFF"/>
          <w:lang w:val="en-ZA" w:eastAsia="en-US"/>
        </w:rPr>
        <w:t>a triable issue</w:t>
      </w:r>
      <w:r w:rsidR="00D44816" w:rsidRPr="00AE4172">
        <w:rPr>
          <w:rFonts w:ascii="Arial" w:hAnsi="Arial" w:cs="Arial"/>
          <w:shd w:val="clear" w:color="auto" w:fill="FFFFFF"/>
          <w:lang w:val="en-ZA" w:eastAsia="en-US"/>
        </w:rPr>
        <w:t xml:space="preserve"> that requires</w:t>
      </w:r>
      <w:r w:rsidRPr="00AE4172">
        <w:rPr>
          <w:rFonts w:ascii="Arial" w:hAnsi="Arial" w:cs="Arial"/>
          <w:shd w:val="clear" w:color="auto" w:fill="FFFFFF"/>
          <w:lang w:val="en-ZA" w:eastAsia="en-US"/>
        </w:rPr>
        <w:t xml:space="preserve"> to be properly ventilated </w:t>
      </w:r>
      <w:r w:rsidR="00D44816" w:rsidRPr="00AE4172">
        <w:rPr>
          <w:rFonts w:ascii="Arial" w:hAnsi="Arial" w:cs="Arial"/>
          <w:shd w:val="clear" w:color="auto" w:fill="FFFFFF"/>
          <w:lang w:val="en-ZA" w:eastAsia="en-US"/>
        </w:rPr>
        <w:t>in</w:t>
      </w:r>
      <w:r w:rsidRPr="00AE4172">
        <w:rPr>
          <w:rFonts w:ascii="Arial" w:hAnsi="Arial" w:cs="Arial"/>
          <w:shd w:val="clear" w:color="auto" w:fill="FFFFFF"/>
          <w:lang w:val="en-ZA" w:eastAsia="en-US"/>
        </w:rPr>
        <w:t xml:space="preserve"> a trial</w:t>
      </w:r>
      <w:r w:rsidR="00D44816" w:rsidRPr="00AE4172">
        <w:rPr>
          <w:rFonts w:ascii="Arial" w:hAnsi="Arial" w:cs="Arial"/>
          <w:shd w:val="clear" w:color="auto" w:fill="FFFFFF"/>
          <w:lang w:val="en-ZA" w:eastAsia="en-US"/>
        </w:rPr>
        <w:t xml:space="preserve"> court</w:t>
      </w:r>
      <w:r w:rsidRPr="00AE4172">
        <w:rPr>
          <w:rFonts w:ascii="Arial" w:hAnsi="Arial" w:cs="Arial"/>
          <w:shd w:val="clear" w:color="auto" w:fill="FFFFFF"/>
          <w:lang w:val="en-ZA" w:eastAsia="en-US"/>
        </w:rPr>
        <w:t>.</w:t>
      </w:r>
    </w:p>
    <w:p w:rsidR="00AE4172" w:rsidRPr="00AE4172" w:rsidRDefault="00AE4172" w:rsidP="00AE4172">
      <w:pPr>
        <w:pStyle w:val="ListParagraph"/>
        <w:rPr>
          <w:rFonts w:ascii="Arial" w:hAnsi="Arial" w:cs="Arial"/>
        </w:rPr>
      </w:pPr>
    </w:p>
    <w:p w:rsidR="00AE4172" w:rsidRPr="00AE4172" w:rsidRDefault="00D03587" w:rsidP="00AE4172">
      <w:pPr>
        <w:pStyle w:val="ListParagraph"/>
        <w:numPr>
          <w:ilvl w:val="0"/>
          <w:numId w:val="28"/>
        </w:numPr>
        <w:spacing w:line="360" w:lineRule="auto"/>
        <w:jc w:val="both"/>
        <w:rPr>
          <w:rFonts w:ascii="Arial" w:hAnsi="Arial" w:cs="Arial"/>
          <w:lang w:val="en-ZA"/>
        </w:rPr>
      </w:pPr>
      <w:r w:rsidRPr="00AE4172">
        <w:rPr>
          <w:rFonts w:ascii="Arial" w:hAnsi="Arial" w:cs="Arial"/>
        </w:rPr>
        <w:t>The appellant further raised a point that the bank failed to provide sufficient evidence relating to the consent required in terms of the Matrimonial Property Act</w:t>
      </w:r>
      <w:r w:rsidR="005B118B" w:rsidRPr="00AE4172">
        <w:rPr>
          <w:rFonts w:ascii="Arial" w:hAnsi="Arial" w:cs="Arial"/>
        </w:rPr>
        <w:t xml:space="preserve"> 88 of 1984</w:t>
      </w:r>
      <w:r w:rsidRPr="00AE4172">
        <w:rPr>
          <w:rFonts w:ascii="Arial" w:hAnsi="Arial" w:cs="Arial"/>
        </w:rPr>
        <w:t>.</w:t>
      </w:r>
      <w:r w:rsidR="00C15242" w:rsidRPr="00AE4172">
        <w:rPr>
          <w:rFonts w:ascii="Arial" w:hAnsi="Arial" w:cs="Arial"/>
        </w:rPr>
        <w:t xml:space="preserve"> The bank correctly </w:t>
      </w:r>
      <w:r w:rsidR="005F73C5" w:rsidRPr="00AE4172">
        <w:rPr>
          <w:rFonts w:ascii="Arial" w:hAnsi="Arial" w:cs="Arial"/>
        </w:rPr>
        <w:t xml:space="preserve">submitted that </w:t>
      </w:r>
      <w:r w:rsidR="00C15242" w:rsidRPr="00AE4172">
        <w:rPr>
          <w:rFonts w:ascii="Arial" w:hAnsi="Arial" w:cs="Arial"/>
        </w:rPr>
        <w:t xml:space="preserve">that the </w:t>
      </w:r>
      <w:r w:rsidRPr="00AE4172">
        <w:rPr>
          <w:rFonts w:ascii="Arial" w:hAnsi="Arial" w:cs="Arial"/>
        </w:rPr>
        <w:t xml:space="preserve">appellant </w:t>
      </w:r>
      <w:r w:rsidR="00C15242" w:rsidRPr="00AE4172">
        <w:rPr>
          <w:rFonts w:ascii="Arial" w:hAnsi="Arial" w:cs="Arial"/>
        </w:rPr>
        <w:t>did not raise this</w:t>
      </w:r>
      <w:r w:rsidRPr="00AE4172">
        <w:rPr>
          <w:rFonts w:ascii="Arial" w:hAnsi="Arial" w:cs="Arial"/>
        </w:rPr>
        <w:t xml:space="preserve"> issue </w:t>
      </w:r>
      <w:r w:rsidR="00C15242" w:rsidRPr="00AE4172">
        <w:rPr>
          <w:rFonts w:ascii="Arial" w:hAnsi="Arial" w:cs="Arial"/>
        </w:rPr>
        <w:t>in her plea</w:t>
      </w:r>
      <w:r w:rsidR="001C35BA" w:rsidRPr="00AE4172">
        <w:rPr>
          <w:rFonts w:ascii="Arial" w:hAnsi="Arial" w:cs="Arial"/>
        </w:rPr>
        <w:t xml:space="preserve">. </w:t>
      </w:r>
      <w:r w:rsidR="005F73C5" w:rsidRPr="00AE4172">
        <w:rPr>
          <w:rFonts w:ascii="Arial" w:hAnsi="Arial" w:cs="Arial"/>
        </w:rPr>
        <w:t>However, this is an issue that emerged from undisputed facts before this Court.</w:t>
      </w:r>
    </w:p>
    <w:p w:rsidR="00AE4172" w:rsidRPr="00AE4172" w:rsidRDefault="00AE4172" w:rsidP="00AE4172">
      <w:pPr>
        <w:pStyle w:val="ListParagraph"/>
        <w:rPr>
          <w:rFonts w:ascii="Arial" w:hAnsi="Arial" w:cs="Arial"/>
        </w:rPr>
      </w:pPr>
    </w:p>
    <w:p w:rsidR="00AE4172" w:rsidRPr="00AE4172" w:rsidRDefault="00BD5669" w:rsidP="00AE4172">
      <w:pPr>
        <w:pStyle w:val="ListParagraph"/>
        <w:numPr>
          <w:ilvl w:val="0"/>
          <w:numId w:val="28"/>
        </w:numPr>
        <w:spacing w:line="360" w:lineRule="auto"/>
        <w:jc w:val="both"/>
        <w:rPr>
          <w:rFonts w:ascii="Arial" w:hAnsi="Arial" w:cs="Arial"/>
          <w:lang w:val="en-ZA"/>
        </w:rPr>
      </w:pPr>
      <w:r w:rsidRPr="00AE4172">
        <w:rPr>
          <w:rFonts w:ascii="Arial" w:hAnsi="Arial" w:cs="Arial"/>
        </w:rPr>
        <w:t xml:space="preserve">The </w:t>
      </w:r>
      <w:r w:rsidR="00353DE9" w:rsidRPr="00AE4172">
        <w:rPr>
          <w:rFonts w:ascii="Arial" w:hAnsi="Arial" w:cs="Arial"/>
        </w:rPr>
        <w:t>bank alleges</w:t>
      </w:r>
      <w:r w:rsidRPr="00AE4172">
        <w:rPr>
          <w:rFonts w:ascii="Arial" w:hAnsi="Arial" w:cs="Arial"/>
        </w:rPr>
        <w:t xml:space="preserve"> in its particulars of claim that, during the signing of the surety agreement, the second and third defendants signed a form confirming their marriage to be in community of property.</w:t>
      </w:r>
      <w:r w:rsidR="00353DE9" w:rsidRPr="00AE4172">
        <w:rPr>
          <w:rFonts w:ascii="Arial" w:hAnsi="Arial" w:cs="Arial"/>
        </w:rPr>
        <w:t xml:space="preserve"> In support thereof, the bank annexed to its particulars of claim confirmation of </w:t>
      </w:r>
      <w:r w:rsidR="005F73C5" w:rsidRPr="00AE4172">
        <w:rPr>
          <w:rFonts w:ascii="Arial" w:hAnsi="Arial" w:cs="Arial"/>
        </w:rPr>
        <w:t>Marriages in C</w:t>
      </w:r>
      <w:r w:rsidR="00353DE9" w:rsidRPr="00AE4172">
        <w:rPr>
          <w:rFonts w:ascii="Arial" w:hAnsi="Arial" w:cs="Arial"/>
        </w:rPr>
        <w:t xml:space="preserve">ommunity of </w:t>
      </w:r>
      <w:r w:rsidR="005F73C5" w:rsidRPr="00AE4172">
        <w:rPr>
          <w:rFonts w:ascii="Arial" w:hAnsi="Arial" w:cs="Arial"/>
        </w:rPr>
        <w:t>P</w:t>
      </w:r>
      <w:r w:rsidR="00353DE9" w:rsidRPr="00AE4172">
        <w:rPr>
          <w:rFonts w:ascii="Arial" w:hAnsi="Arial" w:cs="Arial"/>
        </w:rPr>
        <w:t>roperty Form signed by the said defendants.</w:t>
      </w:r>
      <w:r w:rsidRPr="005935FD">
        <w:rPr>
          <w:rStyle w:val="FootnoteReference"/>
          <w:rFonts w:ascii="Arial" w:hAnsi="Arial" w:cs="Arial"/>
        </w:rPr>
        <w:footnoteReference w:id="36"/>
      </w:r>
      <w:r w:rsidRPr="00AE4172">
        <w:rPr>
          <w:rFonts w:ascii="Arial" w:hAnsi="Arial" w:cs="Arial"/>
        </w:rPr>
        <w:t xml:space="preserve"> No such allegations are made in relation to the appellant and her deceased husband.</w:t>
      </w:r>
    </w:p>
    <w:p w:rsidR="00AE4172" w:rsidRPr="00AE4172" w:rsidRDefault="00AE4172" w:rsidP="00AE4172">
      <w:pPr>
        <w:pStyle w:val="ListParagraph"/>
        <w:rPr>
          <w:rFonts w:ascii="Arial" w:hAnsi="Arial" w:cs="Arial"/>
        </w:rPr>
      </w:pPr>
    </w:p>
    <w:p w:rsidR="00BD5669" w:rsidRPr="00AE4172" w:rsidRDefault="00BD5669" w:rsidP="00AE4172">
      <w:pPr>
        <w:pStyle w:val="ListParagraph"/>
        <w:numPr>
          <w:ilvl w:val="0"/>
          <w:numId w:val="28"/>
        </w:numPr>
        <w:spacing w:line="360" w:lineRule="auto"/>
        <w:jc w:val="both"/>
        <w:rPr>
          <w:rFonts w:ascii="Arial" w:hAnsi="Arial" w:cs="Arial"/>
          <w:lang w:val="en-ZA"/>
        </w:rPr>
      </w:pPr>
      <w:r w:rsidRPr="00AE4172">
        <w:rPr>
          <w:rFonts w:ascii="Arial" w:hAnsi="Arial" w:cs="Arial"/>
        </w:rPr>
        <w:lastRenderedPageBreak/>
        <w:t>Relying on an earlier decision on the issue of the raising of point of law on appeal, the Supreme Court of Appeal (“SCA”) had the following</w:t>
      </w:r>
      <w:r w:rsidR="00764E33" w:rsidRPr="00AE4172">
        <w:rPr>
          <w:rFonts w:ascii="Arial" w:hAnsi="Arial" w:cs="Arial"/>
        </w:rPr>
        <w:t xml:space="preserve"> to</w:t>
      </w:r>
      <w:r w:rsidRPr="00AE4172">
        <w:rPr>
          <w:rFonts w:ascii="Arial" w:hAnsi="Arial" w:cs="Arial"/>
          <w:b/>
          <w:color w:val="00B050"/>
        </w:rPr>
        <w:t xml:space="preserve"> </w:t>
      </w:r>
      <w:r w:rsidRPr="00AE4172">
        <w:rPr>
          <w:rFonts w:ascii="Arial" w:hAnsi="Arial" w:cs="Arial"/>
        </w:rPr>
        <w:t xml:space="preserve">say in </w:t>
      </w:r>
      <w:r w:rsidRPr="00AE4172">
        <w:rPr>
          <w:rFonts w:ascii="Arial" w:hAnsi="Arial" w:cs="Arial"/>
          <w:b/>
          <w:i/>
        </w:rPr>
        <w:t>Nwafor v Minister of Home Affairs</w:t>
      </w:r>
      <w:r w:rsidRPr="00AE4172">
        <w:rPr>
          <w:rFonts w:ascii="Arial" w:hAnsi="Arial" w:cs="Arial"/>
        </w:rPr>
        <w:t>:</w:t>
      </w:r>
      <w:r w:rsidRPr="005935FD">
        <w:rPr>
          <w:rStyle w:val="FootnoteReference"/>
          <w:rFonts w:ascii="Arial" w:hAnsi="Arial" w:cs="Arial"/>
        </w:rPr>
        <w:footnoteReference w:id="37"/>
      </w:r>
    </w:p>
    <w:p w:rsidR="00BD5669" w:rsidRPr="005935FD" w:rsidRDefault="00BD5669" w:rsidP="00BD5669">
      <w:pPr>
        <w:spacing w:line="360" w:lineRule="auto"/>
        <w:rPr>
          <w:rFonts w:ascii="Arial" w:hAnsi="Arial" w:cs="Arial"/>
          <w:lang w:val="en-ZA"/>
        </w:rPr>
      </w:pPr>
    </w:p>
    <w:p w:rsidR="00BD5669" w:rsidRPr="005935FD" w:rsidRDefault="00BD5669" w:rsidP="00AE4172">
      <w:pPr>
        <w:spacing w:line="360" w:lineRule="auto"/>
        <w:ind w:left="1440" w:right="26" w:hanging="720"/>
        <w:rPr>
          <w:rFonts w:ascii="Arial" w:hAnsi="Arial" w:cs="Arial"/>
          <w:sz w:val="20"/>
          <w:szCs w:val="20"/>
          <w:lang w:val="en-ZA"/>
        </w:rPr>
      </w:pPr>
      <w:r w:rsidRPr="005935FD">
        <w:rPr>
          <w:rFonts w:ascii="Arial" w:hAnsi="Arial" w:cs="Arial"/>
          <w:sz w:val="20"/>
          <w:szCs w:val="20"/>
        </w:rPr>
        <w:t>“[29]</w:t>
      </w:r>
      <w:r w:rsidRPr="005935FD">
        <w:rPr>
          <w:rFonts w:ascii="Arial" w:hAnsi="Arial" w:cs="Arial"/>
          <w:sz w:val="20"/>
          <w:szCs w:val="20"/>
        </w:rPr>
        <w:tab/>
        <w:t>The law and principles applicable to the raising of points of law on appeal are trite. The position was aptly described by Wallis JA in </w:t>
      </w:r>
      <w:r w:rsidRPr="005935FD">
        <w:rPr>
          <w:rFonts w:ascii="Arial" w:hAnsi="Arial" w:cs="Arial"/>
          <w:iCs/>
          <w:sz w:val="20"/>
          <w:szCs w:val="20"/>
        </w:rPr>
        <w:t>Minister of Justice and Constitutional Development and Others v Southern African Litigation Centre and Other</w:t>
      </w:r>
      <w:r w:rsidRPr="005935FD">
        <w:rPr>
          <w:rFonts w:ascii="Arial" w:hAnsi="Arial" w:cs="Arial"/>
          <w:sz w:val="20"/>
          <w:szCs w:val="20"/>
        </w:rPr>
        <w:t>s as follows:</w:t>
      </w:r>
    </w:p>
    <w:p w:rsidR="00BD5669" w:rsidRPr="005935FD" w:rsidRDefault="00BD5669" w:rsidP="00BD5669">
      <w:pPr>
        <w:pStyle w:val="Myown"/>
        <w:numPr>
          <w:ilvl w:val="0"/>
          <w:numId w:val="0"/>
        </w:numPr>
        <w:spacing w:before="0" w:after="0" w:line="360" w:lineRule="auto"/>
        <w:ind w:left="1701" w:right="1088"/>
        <w:contextualSpacing/>
        <w:rPr>
          <w:rFonts w:ascii="Arial" w:hAnsi="Arial" w:cs="Arial"/>
          <w:sz w:val="20"/>
          <w:szCs w:val="20"/>
        </w:rPr>
      </w:pPr>
    </w:p>
    <w:p w:rsidR="00BD5669" w:rsidRPr="005935FD" w:rsidRDefault="00BD5669" w:rsidP="00AE4172">
      <w:pPr>
        <w:pStyle w:val="Myown"/>
        <w:numPr>
          <w:ilvl w:val="0"/>
          <w:numId w:val="0"/>
        </w:numPr>
        <w:tabs>
          <w:tab w:val="left" w:pos="7920"/>
        </w:tabs>
        <w:spacing w:before="0" w:after="0" w:line="360" w:lineRule="auto"/>
        <w:ind w:left="1440" w:right="26"/>
        <w:contextualSpacing/>
        <w:rPr>
          <w:rFonts w:ascii="Arial" w:hAnsi="Arial" w:cs="Arial"/>
          <w:shd w:val="clear" w:color="auto" w:fill="FFFFFF"/>
          <w:lang w:val="en-ZA"/>
        </w:rPr>
      </w:pPr>
      <w:r w:rsidRPr="005935FD">
        <w:rPr>
          <w:rFonts w:ascii="Arial" w:hAnsi="Arial" w:cs="Arial"/>
          <w:sz w:val="20"/>
          <w:szCs w:val="20"/>
          <w:shd w:val="clear" w:color="auto" w:fill="FFFFFF"/>
          <w:lang w:val="en-ZA"/>
        </w:rPr>
        <w:t xml:space="preserve">‘That is not to say that merely because the High Court determines an issue of public importance it must grant leave to appeal. The merits of the appeal remain vitally important and will often be decisive. Furthermore, where the purpose of the appeal is to raise fresh arguments that have not been canvassed before the High Court, consideration must be given to whether the interests of justice favour the grant of the leave to appeal. It has frequently been said by the Constitutional Court that it is undesirable for it as the highest court of appeal in South Africa to be asked to decide legal issues as a court of both first and last instance. That is equally true before this Court. But there is another consideration. </w:t>
      </w:r>
      <w:r w:rsidRPr="005935FD">
        <w:rPr>
          <w:rFonts w:ascii="Arial" w:hAnsi="Arial" w:cs="Arial"/>
          <w:sz w:val="20"/>
          <w:szCs w:val="20"/>
          <w:u w:val="single"/>
          <w:shd w:val="clear" w:color="auto" w:fill="FFFFFF"/>
          <w:lang w:val="en-ZA"/>
        </w:rPr>
        <w:t>It is that if a point of law emerges from the undisputed facts before the court it is undesirable that the case be determined without considering that point of law</w:t>
      </w:r>
      <w:r w:rsidRPr="005935FD">
        <w:rPr>
          <w:rFonts w:ascii="Arial" w:hAnsi="Arial" w:cs="Arial"/>
          <w:sz w:val="20"/>
          <w:szCs w:val="20"/>
          <w:shd w:val="clear" w:color="auto" w:fill="FFFFFF"/>
          <w:lang w:val="en-ZA"/>
        </w:rPr>
        <w:t>. The reason is that it may lead to the case being decided on the basis of legal error on the part of one of the parties in failing to identify and raise the point at an appropriate stage. But the court must be satisfied that the point truly emerges on the papers, that the facts relevant to the legal point have been fully canvassed and that no prejudice will be occasioned to the other parties by permitting the point to be raised and argued’.”</w:t>
      </w:r>
      <w:r w:rsidR="00972135" w:rsidRPr="005935FD">
        <w:rPr>
          <w:rFonts w:ascii="Arial" w:hAnsi="Arial" w:cs="Arial"/>
          <w:sz w:val="20"/>
          <w:szCs w:val="20"/>
          <w:shd w:val="clear" w:color="auto" w:fill="FFFFFF"/>
          <w:lang w:val="en-ZA"/>
        </w:rPr>
        <w:t xml:space="preserve"> (own emphasis”)</w:t>
      </w:r>
    </w:p>
    <w:p w:rsidR="00BD5669" w:rsidRPr="005935FD" w:rsidRDefault="00BD5669" w:rsidP="00BD5669">
      <w:pPr>
        <w:spacing w:line="360" w:lineRule="auto"/>
        <w:ind w:left="720" w:hanging="720"/>
        <w:jc w:val="both"/>
        <w:rPr>
          <w:rFonts w:ascii="Arial" w:hAnsi="Arial" w:cs="Arial"/>
          <w:lang w:val="en-ZA"/>
        </w:rPr>
      </w:pPr>
    </w:p>
    <w:p w:rsidR="00AE4172" w:rsidRDefault="00BD5669" w:rsidP="00AE4172">
      <w:pPr>
        <w:pStyle w:val="Myown"/>
        <w:numPr>
          <w:ilvl w:val="0"/>
          <w:numId w:val="28"/>
        </w:numPr>
        <w:spacing w:before="0" w:after="0" w:line="360" w:lineRule="auto"/>
        <w:contextualSpacing/>
        <w:rPr>
          <w:rFonts w:ascii="Arial" w:hAnsi="Arial" w:cs="Arial"/>
        </w:rPr>
      </w:pPr>
      <w:r w:rsidRPr="005935FD">
        <w:rPr>
          <w:rFonts w:ascii="Arial" w:hAnsi="Arial" w:cs="Arial"/>
        </w:rPr>
        <w:t xml:space="preserve">In applying the principle enunciated by the SCA in </w:t>
      </w:r>
      <w:r w:rsidRPr="005935FD">
        <w:rPr>
          <w:rFonts w:ascii="Arial" w:hAnsi="Arial" w:cs="Arial"/>
          <w:b/>
          <w:i/>
        </w:rPr>
        <w:t>Nwafor</w:t>
      </w:r>
      <w:r w:rsidRPr="005935FD">
        <w:rPr>
          <w:rFonts w:ascii="Arial" w:hAnsi="Arial" w:cs="Arial"/>
        </w:rPr>
        <w:t xml:space="preserve">, I am of the view that </w:t>
      </w:r>
      <w:r w:rsidR="00972135" w:rsidRPr="005935FD">
        <w:rPr>
          <w:rFonts w:ascii="Arial" w:hAnsi="Arial" w:cs="Arial"/>
        </w:rPr>
        <w:t>the point raise</w:t>
      </w:r>
      <w:r w:rsidR="009C629C" w:rsidRPr="005935FD">
        <w:rPr>
          <w:rFonts w:ascii="Arial" w:hAnsi="Arial" w:cs="Arial"/>
        </w:rPr>
        <w:t>d by the appellant</w:t>
      </w:r>
      <w:r w:rsidR="00972135" w:rsidRPr="005935FD">
        <w:rPr>
          <w:rFonts w:ascii="Arial" w:hAnsi="Arial" w:cs="Arial"/>
        </w:rPr>
        <w:t xml:space="preserve"> in relation to Matrimonial Consent </w:t>
      </w:r>
      <w:r w:rsidR="006E157E" w:rsidRPr="005935FD">
        <w:rPr>
          <w:rFonts w:ascii="Arial" w:hAnsi="Arial" w:cs="Arial"/>
        </w:rPr>
        <w:t>should be considered on the basis of the following:</w:t>
      </w:r>
    </w:p>
    <w:p w:rsidR="00AE4172" w:rsidRDefault="00AE4172" w:rsidP="00AE4172">
      <w:pPr>
        <w:pStyle w:val="Myown"/>
        <w:numPr>
          <w:ilvl w:val="0"/>
          <w:numId w:val="0"/>
        </w:numPr>
        <w:spacing w:before="0" w:after="0" w:line="360" w:lineRule="auto"/>
        <w:ind w:left="720"/>
        <w:contextualSpacing/>
        <w:rPr>
          <w:rFonts w:ascii="Arial" w:hAnsi="Arial" w:cs="Arial"/>
        </w:rPr>
      </w:pPr>
    </w:p>
    <w:p w:rsidR="00AE4172" w:rsidRDefault="0075219A" w:rsidP="00AE4172">
      <w:pPr>
        <w:pStyle w:val="Myown"/>
        <w:numPr>
          <w:ilvl w:val="1"/>
          <w:numId w:val="28"/>
        </w:numPr>
        <w:spacing w:before="0" w:after="0" w:line="360" w:lineRule="auto"/>
        <w:contextualSpacing/>
        <w:rPr>
          <w:rFonts w:ascii="Arial" w:hAnsi="Arial" w:cs="Arial"/>
        </w:rPr>
      </w:pPr>
      <w:r w:rsidRPr="00AE4172">
        <w:rPr>
          <w:rFonts w:ascii="Arial" w:hAnsi="Arial" w:cs="Arial"/>
        </w:rPr>
        <w:t>i</w:t>
      </w:r>
      <w:r w:rsidR="006E157E" w:rsidRPr="00AE4172">
        <w:rPr>
          <w:rFonts w:ascii="Arial" w:hAnsi="Arial" w:cs="Arial"/>
        </w:rPr>
        <w:t xml:space="preserve">t </w:t>
      </w:r>
      <w:r w:rsidR="009C629C" w:rsidRPr="00AE4172">
        <w:rPr>
          <w:rFonts w:ascii="Arial" w:hAnsi="Arial" w:cs="Arial"/>
        </w:rPr>
        <w:t xml:space="preserve">is a point of law </w:t>
      </w:r>
      <w:r w:rsidR="001C58F0" w:rsidRPr="00AE4172">
        <w:rPr>
          <w:rFonts w:ascii="Arial" w:hAnsi="Arial" w:cs="Arial"/>
        </w:rPr>
        <w:t>stemming</w:t>
      </w:r>
      <w:r w:rsidR="00972135" w:rsidRPr="00AE4172">
        <w:rPr>
          <w:rFonts w:ascii="Arial" w:hAnsi="Arial" w:cs="Arial"/>
        </w:rPr>
        <w:t xml:space="preserve"> from the undisputed facts</w:t>
      </w:r>
      <w:r w:rsidR="009C629C" w:rsidRPr="00AE4172">
        <w:rPr>
          <w:rFonts w:ascii="Arial" w:hAnsi="Arial" w:cs="Arial"/>
        </w:rPr>
        <w:t xml:space="preserve"> before the court</w:t>
      </w:r>
      <w:r w:rsidR="006E157E" w:rsidRPr="00AE4172">
        <w:rPr>
          <w:rFonts w:ascii="Arial" w:hAnsi="Arial" w:cs="Arial"/>
        </w:rPr>
        <w:t>;</w:t>
      </w:r>
      <w:r w:rsidR="006B679D" w:rsidRPr="005935FD">
        <w:rPr>
          <w:rStyle w:val="FootnoteReference"/>
          <w:rFonts w:ascii="Arial" w:hAnsi="Arial" w:cs="Arial"/>
        </w:rPr>
        <w:footnoteReference w:id="38"/>
      </w:r>
      <w:r w:rsidR="006B679D" w:rsidRPr="00AE4172">
        <w:rPr>
          <w:rFonts w:ascii="Arial" w:hAnsi="Arial" w:cs="Arial"/>
        </w:rPr>
        <w:t xml:space="preserve"> </w:t>
      </w:r>
    </w:p>
    <w:p w:rsidR="00AE4172" w:rsidRDefault="0075219A" w:rsidP="00AE4172">
      <w:pPr>
        <w:pStyle w:val="Myown"/>
        <w:numPr>
          <w:ilvl w:val="1"/>
          <w:numId w:val="28"/>
        </w:numPr>
        <w:spacing w:before="0" w:after="0" w:line="360" w:lineRule="auto"/>
        <w:contextualSpacing/>
        <w:rPr>
          <w:rFonts w:ascii="Arial" w:hAnsi="Arial" w:cs="Arial"/>
        </w:rPr>
      </w:pPr>
      <w:r w:rsidRPr="005935FD">
        <w:rPr>
          <w:rFonts w:ascii="Arial" w:hAnsi="Arial" w:cs="Arial"/>
        </w:rPr>
        <w:t>t</w:t>
      </w:r>
      <w:r w:rsidR="006E157E" w:rsidRPr="005935FD">
        <w:rPr>
          <w:rFonts w:ascii="Arial" w:hAnsi="Arial" w:cs="Arial"/>
        </w:rPr>
        <w:t xml:space="preserve">he point </w:t>
      </w:r>
      <w:r w:rsidR="006B679D" w:rsidRPr="005935FD">
        <w:rPr>
          <w:rFonts w:ascii="Arial" w:hAnsi="Arial" w:cs="Arial"/>
        </w:rPr>
        <w:t xml:space="preserve">was canvassed fully during the arguments before </w:t>
      </w:r>
      <w:r w:rsidR="006E157E" w:rsidRPr="005935FD">
        <w:rPr>
          <w:rFonts w:ascii="Arial" w:hAnsi="Arial" w:cs="Arial"/>
        </w:rPr>
        <w:t xml:space="preserve">the court </w:t>
      </w:r>
      <w:r w:rsidR="006E157E" w:rsidRPr="005935FD">
        <w:rPr>
          <w:rFonts w:ascii="Arial" w:hAnsi="Arial" w:cs="Arial"/>
          <w:i/>
        </w:rPr>
        <w:t>a quo</w:t>
      </w:r>
      <w:r w:rsidR="006E157E" w:rsidRPr="005935FD">
        <w:rPr>
          <w:rFonts w:ascii="Arial" w:hAnsi="Arial" w:cs="Arial"/>
        </w:rPr>
        <w:t xml:space="preserve"> and </w:t>
      </w:r>
      <w:r w:rsidR="006B679D" w:rsidRPr="005935FD">
        <w:rPr>
          <w:rFonts w:ascii="Arial" w:hAnsi="Arial" w:cs="Arial"/>
        </w:rPr>
        <w:t>this Court</w:t>
      </w:r>
      <w:r w:rsidRPr="005935FD">
        <w:rPr>
          <w:rFonts w:ascii="Arial" w:hAnsi="Arial" w:cs="Arial"/>
        </w:rPr>
        <w:t>; and</w:t>
      </w:r>
    </w:p>
    <w:p w:rsidR="00AE4172" w:rsidRDefault="00AE4172" w:rsidP="00AE4172">
      <w:pPr>
        <w:pStyle w:val="Myown"/>
        <w:numPr>
          <w:ilvl w:val="0"/>
          <w:numId w:val="0"/>
        </w:numPr>
        <w:spacing w:before="0" w:after="0" w:line="360" w:lineRule="auto"/>
        <w:ind w:left="1440"/>
        <w:contextualSpacing/>
        <w:rPr>
          <w:rFonts w:ascii="Arial" w:hAnsi="Arial" w:cs="Arial"/>
        </w:rPr>
      </w:pPr>
    </w:p>
    <w:p w:rsidR="00AE4172" w:rsidRPr="00635AE9" w:rsidRDefault="0075219A" w:rsidP="00635AE9">
      <w:pPr>
        <w:pStyle w:val="Myown"/>
        <w:numPr>
          <w:ilvl w:val="1"/>
          <w:numId w:val="28"/>
        </w:numPr>
        <w:spacing w:before="0" w:after="0" w:line="360" w:lineRule="auto"/>
        <w:contextualSpacing/>
        <w:rPr>
          <w:rFonts w:ascii="Arial" w:hAnsi="Arial" w:cs="Arial"/>
        </w:rPr>
      </w:pPr>
      <w:r w:rsidRPr="005935FD">
        <w:rPr>
          <w:rFonts w:ascii="Arial" w:hAnsi="Arial" w:cs="Arial"/>
          <w:shd w:val="clear" w:color="auto" w:fill="FFFFFF"/>
          <w:lang w:val="en-ZA"/>
        </w:rPr>
        <w:lastRenderedPageBreak/>
        <w:t>no prejudice will be occasioned to the</w:t>
      </w:r>
      <w:r w:rsidRPr="00900E11">
        <w:rPr>
          <w:rFonts w:ascii="Arial" w:hAnsi="Arial" w:cs="Arial"/>
          <w:b/>
          <w:color w:val="00B050"/>
          <w:shd w:val="clear" w:color="auto" w:fill="FFFFFF"/>
          <w:lang w:val="en-ZA"/>
        </w:rPr>
        <w:t xml:space="preserve"> </w:t>
      </w:r>
      <w:r w:rsidRPr="005935FD">
        <w:rPr>
          <w:rFonts w:ascii="Arial" w:hAnsi="Arial" w:cs="Arial"/>
          <w:shd w:val="clear" w:color="auto" w:fill="FFFFFF"/>
          <w:lang w:val="en-ZA"/>
        </w:rPr>
        <w:t xml:space="preserve">bank because it will have an opportunity to deal with </w:t>
      </w:r>
      <w:r w:rsidR="00CC5341" w:rsidRPr="005935FD">
        <w:rPr>
          <w:rFonts w:ascii="Arial" w:hAnsi="Arial" w:cs="Arial"/>
          <w:shd w:val="clear" w:color="auto" w:fill="FFFFFF"/>
          <w:lang w:val="en-ZA"/>
        </w:rPr>
        <w:t>the said</w:t>
      </w:r>
      <w:r w:rsidRPr="005935FD">
        <w:rPr>
          <w:rFonts w:ascii="Arial" w:hAnsi="Arial" w:cs="Arial"/>
          <w:shd w:val="clear" w:color="auto" w:fill="FFFFFF"/>
          <w:lang w:val="en-ZA"/>
        </w:rPr>
        <w:t xml:space="preserve"> </w:t>
      </w:r>
      <w:r w:rsidR="001B50C0">
        <w:rPr>
          <w:rFonts w:ascii="Arial" w:hAnsi="Arial" w:cs="Arial"/>
          <w:shd w:val="clear" w:color="auto" w:fill="FFFFFF"/>
          <w:lang w:val="en-ZA"/>
        </w:rPr>
        <w:t xml:space="preserve">issue </w:t>
      </w:r>
      <w:r w:rsidRPr="005935FD">
        <w:rPr>
          <w:rFonts w:ascii="Arial" w:hAnsi="Arial" w:cs="Arial"/>
          <w:shd w:val="clear" w:color="auto" w:fill="FFFFFF"/>
          <w:lang w:val="en-ZA"/>
        </w:rPr>
        <w:t>fully during trial.</w:t>
      </w:r>
    </w:p>
    <w:p w:rsidR="00AE4172" w:rsidRDefault="00AE4172" w:rsidP="00AE4172">
      <w:pPr>
        <w:pStyle w:val="ListParagraph"/>
        <w:rPr>
          <w:rFonts w:ascii="Arial" w:hAnsi="Arial" w:cs="Arial"/>
        </w:rPr>
      </w:pPr>
    </w:p>
    <w:p w:rsidR="00634E01" w:rsidRPr="00AE4172" w:rsidRDefault="001037D7" w:rsidP="00AE4172">
      <w:pPr>
        <w:pStyle w:val="Myown"/>
        <w:numPr>
          <w:ilvl w:val="0"/>
          <w:numId w:val="28"/>
        </w:numPr>
        <w:spacing w:before="0" w:after="0" w:line="360" w:lineRule="auto"/>
        <w:contextualSpacing/>
        <w:rPr>
          <w:rFonts w:ascii="Arial" w:hAnsi="Arial" w:cs="Arial"/>
        </w:rPr>
      </w:pPr>
      <w:r w:rsidRPr="00AE4172">
        <w:rPr>
          <w:rFonts w:ascii="Arial" w:hAnsi="Arial" w:cs="Arial"/>
        </w:rPr>
        <w:t xml:space="preserve">Having considered the </w:t>
      </w:r>
      <w:r w:rsidR="009A1F8C" w:rsidRPr="00AE4172">
        <w:rPr>
          <w:rFonts w:ascii="Arial" w:hAnsi="Arial" w:cs="Arial"/>
        </w:rPr>
        <w:t xml:space="preserve">relevant </w:t>
      </w:r>
      <w:r w:rsidRPr="00AE4172">
        <w:rPr>
          <w:rFonts w:ascii="Arial" w:hAnsi="Arial" w:cs="Arial"/>
        </w:rPr>
        <w:t xml:space="preserve">principles </w:t>
      </w:r>
      <w:r w:rsidR="009A1F8C" w:rsidRPr="00AE4172">
        <w:rPr>
          <w:rFonts w:ascii="Arial" w:hAnsi="Arial" w:cs="Arial"/>
        </w:rPr>
        <w:t xml:space="preserve">outlined above </w:t>
      </w:r>
      <w:r w:rsidRPr="00AE4172">
        <w:rPr>
          <w:rFonts w:ascii="Arial" w:hAnsi="Arial" w:cs="Arial"/>
        </w:rPr>
        <w:t xml:space="preserve">and the facts presented before this Court, I find that the </w:t>
      </w:r>
      <w:r w:rsidR="009A1F8C" w:rsidRPr="00AE4172">
        <w:rPr>
          <w:rFonts w:ascii="Arial" w:hAnsi="Arial" w:cs="Arial"/>
        </w:rPr>
        <w:t xml:space="preserve">appellant raises the issues that are triable and thus this </w:t>
      </w:r>
      <w:r w:rsidRPr="00AE4172">
        <w:rPr>
          <w:rFonts w:ascii="Arial" w:hAnsi="Arial" w:cs="Arial"/>
        </w:rPr>
        <w:t>appeal should succeed.</w:t>
      </w:r>
      <w:r w:rsidR="008F23EF" w:rsidRPr="00AE4172">
        <w:rPr>
          <w:rFonts w:ascii="Arial" w:hAnsi="Arial" w:cs="Arial"/>
        </w:rPr>
        <w:t xml:space="preserve"> </w:t>
      </w:r>
    </w:p>
    <w:p w:rsidR="00286940" w:rsidRPr="005935FD" w:rsidRDefault="00286940" w:rsidP="00634E01">
      <w:pPr>
        <w:pStyle w:val="Myown"/>
        <w:numPr>
          <w:ilvl w:val="0"/>
          <w:numId w:val="0"/>
        </w:numPr>
        <w:spacing w:before="0" w:after="0" w:line="360" w:lineRule="auto"/>
        <w:ind w:left="720" w:hanging="720"/>
        <w:contextualSpacing/>
        <w:rPr>
          <w:rFonts w:ascii="Arial" w:hAnsi="Arial" w:cs="Arial"/>
        </w:rPr>
      </w:pPr>
    </w:p>
    <w:p w:rsidR="00286940" w:rsidRPr="005935FD" w:rsidRDefault="00286940" w:rsidP="00634E01">
      <w:pPr>
        <w:pStyle w:val="Myown"/>
        <w:numPr>
          <w:ilvl w:val="0"/>
          <w:numId w:val="0"/>
        </w:numPr>
        <w:spacing w:before="0" w:after="0" w:line="360" w:lineRule="auto"/>
        <w:ind w:left="720" w:hanging="720"/>
        <w:contextualSpacing/>
        <w:rPr>
          <w:rFonts w:ascii="Arial" w:hAnsi="Arial" w:cs="Arial"/>
          <w:b/>
        </w:rPr>
      </w:pPr>
      <w:r w:rsidRPr="005935FD">
        <w:rPr>
          <w:rFonts w:ascii="Arial" w:hAnsi="Arial" w:cs="Arial"/>
          <w:b/>
          <w:u w:val="single"/>
        </w:rPr>
        <w:t>Costs</w:t>
      </w:r>
    </w:p>
    <w:p w:rsidR="00286940" w:rsidRPr="005935FD" w:rsidRDefault="00286940" w:rsidP="00634E01">
      <w:pPr>
        <w:pStyle w:val="Myown"/>
        <w:numPr>
          <w:ilvl w:val="0"/>
          <w:numId w:val="0"/>
        </w:numPr>
        <w:spacing w:before="0" w:after="0" w:line="360" w:lineRule="auto"/>
        <w:ind w:left="720" w:hanging="720"/>
        <w:contextualSpacing/>
        <w:rPr>
          <w:rFonts w:ascii="Arial" w:hAnsi="Arial" w:cs="Arial"/>
        </w:rPr>
      </w:pPr>
    </w:p>
    <w:p w:rsidR="0096205F" w:rsidRPr="00635AE9" w:rsidRDefault="00286940" w:rsidP="00635AE9">
      <w:pPr>
        <w:pStyle w:val="ListParagraph"/>
        <w:numPr>
          <w:ilvl w:val="0"/>
          <w:numId w:val="28"/>
        </w:numPr>
        <w:spacing w:line="360" w:lineRule="auto"/>
        <w:rPr>
          <w:rFonts w:ascii="Arial" w:hAnsi="Arial" w:cs="Arial"/>
        </w:rPr>
      </w:pPr>
      <w:r w:rsidRPr="00AE4172">
        <w:rPr>
          <w:rFonts w:ascii="Arial" w:hAnsi="Arial" w:cs="Arial"/>
          <w:lang w:val="en-US"/>
        </w:rPr>
        <w:t xml:space="preserve">The general rule is that the costs should follow the result, being the successful litigant. </w:t>
      </w:r>
      <w:r w:rsidR="00FF4177" w:rsidRPr="00AE4172">
        <w:rPr>
          <w:rFonts w:ascii="Arial" w:hAnsi="Arial" w:cs="Arial"/>
          <w:lang w:val="en-US"/>
        </w:rPr>
        <w:t xml:space="preserve">I find no </w:t>
      </w:r>
      <w:r w:rsidRPr="00AE4172">
        <w:rPr>
          <w:rFonts w:ascii="Arial" w:hAnsi="Arial" w:cs="Arial"/>
          <w:lang w:val="en-US"/>
        </w:rPr>
        <w:t>reason to deviate from this general rule in the circumstance</w:t>
      </w:r>
      <w:r w:rsidR="00FF4177" w:rsidRPr="00AE4172">
        <w:rPr>
          <w:rFonts w:ascii="Arial" w:hAnsi="Arial" w:cs="Arial"/>
          <w:lang w:val="en-US"/>
        </w:rPr>
        <w:t>s of this matter</w:t>
      </w:r>
      <w:r w:rsidRPr="00AE4172">
        <w:rPr>
          <w:rFonts w:ascii="Arial" w:hAnsi="Arial" w:cs="Arial"/>
          <w:lang w:val="en-US"/>
        </w:rPr>
        <w:t>.</w:t>
      </w:r>
    </w:p>
    <w:p w:rsidR="008A61CD" w:rsidRPr="005935FD" w:rsidRDefault="008A61CD" w:rsidP="0096205F">
      <w:pPr>
        <w:spacing w:line="360" w:lineRule="auto"/>
        <w:jc w:val="both"/>
        <w:rPr>
          <w:rFonts w:ascii="Arial" w:hAnsi="Arial" w:cs="Arial"/>
        </w:rPr>
      </w:pPr>
    </w:p>
    <w:p w:rsidR="008A61CD" w:rsidRPr="005935FD" w:rsidRDefault="008A61CD" w:rsidP="008A61CD">
      <w:pPr>
        <w:spacing w:line="360" w:lineRule="auto"/>
        <w:ind w:left="851" w:hanging="851"/>
        <w:jc w:val="both"/>
        <w:rPr>
          <w:rFonts w:ascii="Arial" w:eastAsiaTheme="minorHAnsi" w:hAnsi="Arial" w:cs="Arial"/>
          <w:b/>
          <w:u w:val="single"/>
          <w:lang w:val="en-ZA" w:eastAsia="en-US"/>
        </w:rPr>
      </w:pPr>
      <w:r w:rsidRPr="005935FD">
        <w:rPr>
          <w:rFonts w:ascii="Arial" w:eastAsiaTheme="minorHAnsi" w:hAnsi="Arial" w:cs="Arial"/>
          <w:b/>
          <w:u w:val="single"/>
          <w:lang w:val="en-ZA" w:eastAsia="en-US"/>
        </w:rPr>
        <w:t>Order</w:t>
      </w:r>
    </w:p>
    <w:p w:rsidR="008A61CD" w:rsidRPr="005935FD" w:rsidRDefault="008A61CD" w:rsidP="008A61CD">
      <w:pPr>
        <w:spacing w:line="360" w:lineRule="auto"/>
        <w:jc w:val="both"/>
        <w:rPr>
          <w:rFonts w:ascii="Arial" w:hAnsi="Arial" w:cs="Arial"/>
          <w:lang w:val="en-ZA"/>
        </w:rPr>
      </w:pPr>
    </w:p>
    <w:p w:rsidR="0096205F" w:rsidRDefault="0096205F" w:rsidP="00635AE9">
      <w:pPr>
        <w:pStyle w:val="Myown"/>
        <w:numPr>
          <w:ilvl w:val="0"/>
          <w:numId w:val="28"/>
        </w:numPr>
        <w:spacing w:before="0" w:after="0" w:line="360" w:lineRule="auto"/>
        <w:contextualSpacing/>
        <w:rPr>
          <w:rFonts w:ascii="Arial" w:hAnsi="Arial" w:cs="Arial"/>
        </w:rPr>
      </w:pPr>
      <w:r w:rsidRPr="005935FD">
        <w:rPr>
          <w:rFonts w:ascii="Arial" w:hAnsi="Arial" w:cs="Arial"/>
        </w:rPr>
        <w:t xml:space="preserve">Accordingly, </w:t>
      </w:r>
      <w:r w:rsidR="003A5EB9" w:rsidRPr="005935FD">
        <w:rPr>
          <w:rFonts w:ascii="Arial" w:hAnsi="Arial" w:cs="Arial"/>
        </w:rPr>
        <w:t>I p</w:t>
      </w:r>
      <w:r w:rsidR="006F183C">
        <w:rPr>
          <w:rFonts w:ascii="Arial" w:hAnsi="Arial" w:cs="Arial"/>
        </w:rPr>
        <w:t>ropose</w:t>
      </w:r>
      <w:r w:rsidR="003A5EB9" w:rsidRPr="005935FD">
        <w:rPr>
          <w:rFonts w:ascii="Arial" w:hAnsi="Arial" w:cs="Arial"/>
        </w:rPr>
        <w:t xml:space="preserve"> the following order:</w:t>
      </w:r>
    </w:p>
    <w:p w:rsidR="00AA4B5F" w:rsidRPr="00635AE9" w:rsidRDefault="00AA4B5F" w:rsidP="00AA4B5F">
      <w:pPr>
        <w:pStyle w:val="Myown"/>
        <w:numPr>
          <w:ilvl w:val="0"/>
          <w:numId w:val="0"/>
        </w:numPr>
        <w:spacing w:before="0" w:after="0" w:line="360" w:lineRule="auto"/>
        <w:ind w:left="720" w:hanging="360"/>
        <w:contextualSpacing/>
        <w:rPr>
          <w:rFonts w:ascii="Arial" w:hAnsi="Arial" w:cs="Arial"/>
        </w:rPr>
      </w:pPr>
    </w:p>
    <w:p w:rsidR="00506D96" w:rsidRPr="00635AE9" w:rsidRDefault="0096205F" w:rsidP="00635AE9">
      <w:pPr>
        <w:pStyle w:val="ListParagraph"/>
        <w:numPr>
          <w:ilvl w:val="6"/>
          <w:numId w:val="28"/>
        </w:numPr>
        <w:ind w:left="1440" w:hanging="720"/>
        <w:rPr>
          <w:rFonts w:ascii="Arial" w:hAnsi="Arial" w:cs="Arial"/>
        </w:rPr>
      </w:pPr>
      <w:r w:rsidRPr="00635AE9">
        <w:rPr>
          <w:rFonts w:ascii="Arial" w:hAnsi="Arial" w:cs="Arial"/>
        </w:rPr>
        <w:t>The appeal is upheld with costs.</w:t>
      </w:r>
    </w:p>
    <w:p w:rsidR="00506D96" w:rsidRDefault="00506D96" w:rsidP="00506D96">
      <w:pPr>
        <w:pStyle w:val="ListParagraph"/>
        <w:ind w:left="1080"/>
        <w:rPr>
          <w:rFonts w:ascii="Arial" w:hAnsi="Arial" w:cs="Arial"/>
        </w:rPr>
      </w:pPr>
    </w:p>
    <w:p w:rsidR="00257600" w:rsidRPr="005935FD" w:rsidRDefault="00257600" w:rsidP="00506D96">
      <w:pPr>
        <w:pStyle w:val="ListParagraph"/>
        <w:ind w:left="1080"/>
        <w:rPr>
          <w:rFonts w:ascii="Arial" w:hAnsi="Arial" w:cs="Arial"/>
        </w:rPr>
      </w:pPr>
    </w:p>
    <w:p w:rsidR="00506D96" w:rsidRDefault="00506D96" w:rsidP="003A5EB9">
      <w:pPr>
        <w:jc w:val="right"/>
        <w:rPr>
          <w:rFonts w:ascii="Arial" w:hAnsi="Arial" w:cs="Arial"/>
        </w:rPr>
      </w:pPr>
    </w:p>
    <w:p w:rsidR="00591F32" w:rsidRPr="005935FD" w:rsidRDefault="00591F32" w:rsidP="003A5EB9">
      <w:pPr>
        <w:jc w:val="right"/>
        <w:rPr>
          <w:rFonts w:ascii="Arial" w:hAnsi="Arial" w:cs="Arial"/>
        </w:rPr>
      </w:pPr>
    </w:p>
    <w:p w:rsidR="00506D96" w:rsidRPr="005935FD" w:rsidRDefault="003A5EB9" w:rsidP="003A5EB9">
      <w:pPr>
        <w:jc w:val="right"/>
        <w:rPr>
          <w:rFonts w:ascii="Arial" w:hAnsi="Arial" w:cs="Arial"/>
          <w:b/>
          <w:lang w:val="en-ZA"/>
        </w:rPr>
      </w:pPr>
      <w:r w:rsidRPr="005935FD">
        <w:rPr>
          <w:rFonts w:ascii="Arial" w:hAnsi="Arial" w:cs="Arial"/>
          <w:b/>
          <w:lang w:val="en-ZA"/>
        </w:rPr>
        <w:t>___________________</w:t>
      </w:r>
    </w:p>
    <w:p w:rsidR="003A5EB9" w:rsidRPr="005935FD" w:rsidRDefault="003A5EB9" w:rsidP="003A5EB9">
      <w:pPr>
        <w:jc w:val="right"/>
        <w:rPr>
          <w:rFonts w:ascii="Arial" w:hAnsi="Arial" w:cs="Arial"/>
          <w:b/>
          <w:lang w:val="en-ZA"/>
        </w:rPr>
      </w:pPr>
      <w:r w:rsidRPr="005935FD">
        <w:rPr>
          <w:rFonts w:ascii="Arial" w:hAnsi="Arial" w:cs="Arial"/>
          <w:b/>
          <w:lang w:val="en-ZA"/>
        </w:rPr>
        <w:t>M. RANTHO, AJ</w:t>
      </w:r>
    </w:p>
    <w:p w:rsidR="00506D96" w:rsidRPr="005935FD" w:rsidRDefault="00506D96" w:rsidP="003A5EB9">
      <w:pPr>
        <w:jc w:val="right"/>
        <w:rPr>
          <w:rFonts w:ascii="Arial" w:hAnsi="Arial" w:cs="Arial"/>
          <w:b/>
          <w:lang w:val="en-ZA"/>
        </w:rPr>
      </w:pPr>
    </w:p>
    <w:p w:rsidR="003A5EB9" w:rsidRPr="005935FD" w:rsidRDefault="003A5EB9" w:rsidP="0000183B">
      <w:pPr>
        <w:spacing w:line="360" w:lineRule="auto"/>
        <w:jc w:val="right"/>
        <w:rPr>
          <w:rFonts w:ascii="Arial" w:hAnsi="Arial" w:cs="Arial"/>
          <w:lang w:val="en-ZA"/>
        </w:rPr>
      </w:pPr>
    </w:p>
    <w:p w:rsidR="003A5EB9" w:rsidRPr="005935FD" w:rsidRDefault="003A5EB9" w:rsidP="003A5EB9">
      <w:pPr>
        <w:rPr>
          <w:rFonts w:ascii="Arial" w:hAnsi="Arial" w:cs="Arial"/>
          <w:lang w:val="en-ZA"/>
        </w:rPr>
      </w:pPr>
      <w:r w:rsidRPr="005935FD">
        <w:rPr>
          <w:rFonts w:ascii="Arial" w:hAnsi="Arial" w:cs="Arial"/>
          <w:lang w:val="en-ZA"/>
        </w:rPr>
        <w:t>I concur and it is so ordered,</w:t>
      </w:r>
    </w:p>
    <w:p w:rsidR="003A5EB9" w:rsidRPr="005935FD" w:rsidRDefault="003A5EB9" w:rsidP="003A5EB9">
      <w:pPr>
        <w:rPr>
          <w:rFonts w:ascii="Arial" w:hAnsi="Arial" w:cs="Arial"/>
          <w:lang w:val="en-ZA"/>
        </w:rPr>
      </w:pPr>
    </w:p>
    <w:p w:rsidR="003A5EB9" w:rsidRPr="005935FD" w:rsidRDefault="003A5EB9" w:rsidP="003A5EB9">
      <w:pPr>
        <w:jc w:val="right"/>
        <w:rPr>
          <w:rFonts w:ascii="Arial" w:hAnsi="Arial" w:cs="Arial"/>
          <w:b/>
          <w:lang w:val="en-ZA"/>
        </w:rPr>
      </w:pPr>
      <w:r w:rsidRPr="005935FD">
        <w:rPr>
          <w:rFonts w:ascii="Arial" w:hAnsi="Arial" w:cs="Arial"/>
          <w:b/>
          <w:lang w:val="en-ZA"/>
        </w:rPr>
        <w:t>___________________</w:t>
      </w:r>
    </w:p>
    <w:p w:rsidR="003A5EB9" w:rsidRPr="005935FD" w:rsidRDefault="003A5EB9" w:rsidP="003A5EB9">
      <w:pPr>
        <w:pStyle w:val="ListParagraph"/>
        <w:ind w:left="6480"/>
        <w:rPr>
          <w:rFonts w:ascii="Arial" w:hAnsi="Arial" w:cs="Arial"/>
          <w:lang w:val="en-ZA"/>
        </w:rPr>
      </w:pPr>
      <w:r w:rsidRPr="005935FD">
        <w:rPr>
          <w:rFonts w:ascii="Arial" w:hAnsi="Arial" w:cs="Arial"/>
          <w:b/>
          <w:lang w:val="en-ZA"/>
        </w:rPr>
        <w:t xml:space="preserve">  M.A. MATHEBULA, J</w:t>
      </w:r>
      <w:r w:rsidRPr="005935FD">
        <w:rPr>
          <w:rFonts w:ascii="Arial" w:hAnsi="Arial" w:cs="Arial"/>
          <w:lang w:val="en-ZA"/>
        </w:rPr>
        <w:t xml:space="preserve">   </w:t>
      </w:r>
    </w:p>
    <w:p w:rsidR="00AD7982" w:rsidRPr="005935FD" w:rsidRDefault="00AD7982" w:rsidP="003A5EB9">
      <w:pPr>
        <w:tabs>
          <w:tab w:val="left" w:pos="1701"/>
        </w:tabs>
        <w:ind w:left="851" w:hanging="851"/>
        <w:rPr>
          <w:rFonts w:ascii="Arial" w:hAnsi="Arial" w:cs="Arial"/>
          <w:lang w:val="en-ZA"/>
        </w:rPr>
      </w:pPr>
    </w:p>
    <w:p w:rsidR="00AD7982" w:rsidRPr="005935FD" w:rsidRDefault="00AD7982" w:rsidP="003A5EB9">
      <w:pPr>
        <w:tabs>
          <w:tab w:val="left" w:pos="1701"/>
        </w:tabs>
        <w:ind w:left="851" w:hanging="851"/>
        <w:rPr>
          <w:rFonts w:ascii="Arial" w:hAnsi="Arial" w:cs="Arial"/>
          <w:lang w:val="en-ZA"/>
        </w:rPr>
      </w:pPr>
    </w:p>
    <w:p w:rsidR="00AD7982" w:rsidRPr="005935FD" w:rsidRDefault="00AD7982" w:rsidP="003A5EB9">
      <w:pPr>
        <w:tabs>
          <w:tab w:val="left" w:pos="1701"/>
        </w:tabs>
        <w:ind w:left="851" w:hanging="851"/>
        <w:rPr>
          <w:rFonts w:ascii="Arial" w:hAnsi="Arial" w:cs="Arial"/>
          <w:lang w:val="en-ZA"/>
        </w:rPr>
      </w:pPr>
    </w:p>
    <w:p w:rsidR="00AD7982" w:rsidRPr="005935FD" w:rsidRDefault="00AD7982" w:rsidP="00BA7927">
      <w:pPr>
        <w:tabs>
          <w:tab w:val="left" w:pos="1701"/>
        </w:tabs>
        <w:rPr>
          <w:rFonts w:ascii="Arial" w:hAnsi="Arial" w:cs="Arial"/>
          <w:lang w:val="en-ZA"/>
        </w:rPr>
      </w:pPr>
    </w:p>
    <w:p w:rsidR="00506D96" w:rsidRDefault="00506D96" w:rsidP="003A5EB9">
      <w:pPr>
        <w:tabs>
          <w:tab w:val="left" w:pos="1701"/>
        </w:tabs>
        <w:ind w:left="851" w:hanging="851"/>
        <w:rPr>
          <w:rFonts w:ascii="Arial" w:hAnsi="Arial" w:cs="Arial"/>
          <w:lang w:val="en-ZA"/>
        </w:rPr>
      </w:pPr>
    </w:p>
    <w:p w:rsidR="00635AE9" w:rsidRDefault="00635AE9" w:rsidP="003A5EB9">
      <w:pPr>
        <w:tabs>
          <w:tab w:val="left" w:pos="1701"/>
        </w:tabs>
        <w:ind w:left="851" w:hanging="851"/>
        <w:rPr>
          <w:rFonts w:ascii="Arial" w:hAnsi="Arial" w:cs="Arial"/>
          <w:lang w:val="en-ZA"/>
        </w:rPr>
      </w:pPr>
    </w:p>
    <w:p w:rsidR="00635AE9" w:rsidRDefault="00635AE9" w:rsidP="003A5EB9">
      <w:pPr>
        <w:tabs>
          <w:tab w:val="left" w:pos="1701"/>
        </w:tabs>
        <w:ind w:left="851" w:hanging="851"/>
        <w:rPr>
          <w:rFonts w:ascii="Arial" w:hAnsi="Arial" w:cs="Arial"/>
          <w:lang w:val="en-ZA"/>
        </w:rPr>
      </w:pPr>
    </w:p>
    <w:p w:rsidR="00635AE9" w:rsidRPr="005935FD" w:rsidRDefault="00635AE9" w:rsidP="003A5EB9">
      <w:pPr>
        <w:tabs>
          <w:tab w:val="left" w:pos="1701"/>
        </w:tabs>
        <w:ind w:left="851" w:hanging="851"/>
        <w:rPr>
          <w:rFonts w:ascii="Arial" w:hAnsi="Arial" w:cs="Arial"/>
          <w:lang w:val="en-ZA"/>
        </w:rPr>
      </w:pPr>
    </w:p>
    <w:p w:rsidR="00506D96" w:rsidRPr="005935FD" w:rsidRDefault="00506D96" w:rsidP="003A5EB9">
      <w:pPr>
        <w:tabs>
          <w:tab w:val="left" w:pos="1701"/>
        </w:tabs>
        <w:ind w:left="851" w:hanging="851"/>
        <w:rPr>
          <w:rFonts w:ascii="Arial" w:hAnsi="Arial" w:cs="Arial"/>
          <w:lang w:val="en-ZA"/>
        </w:rPr>
      </w:pPr>
    </w:p>
    <w:p w:rsidR="00BA7927" w:rsidRPr="005935FD" w:rsidRDefault="00BA7927" w:rsidP="00BA7927">
      <w:pPr>
        <w:autoSpaceDE w:val="0"/>
        <w:autoSpaceDN w:val="0"/>
        <w:adjustRightInd w:val="0"/>
        <w:rPr>
          <w:rFonts w:ascii="Arial" w:hAnsi="Arial" w:cs="Arial"/>
        </w:rPr>
      </w:pPr>
      <w:r w:rsidRPr="005935FD">
        <w:rPr>
          <w:rFonts w:ascii="Arial" w:hAnsi="Arial" w:cs="Arial"/>
        </w:rPr>
        <w:t xml:space="preserve">APPEARANCES: </w:t>
      </w:r>
    </w:p>
    <w:p w:rsidR="00BA7927" w:rsidRPr="005935FD" w:rsidRDefault="00BA7927" w:rsidP="00BA7927">
      <w:pPr>
        <w:autoSpaceDE w:val="0"/>
        <w:autoSpaceDN w:val="0"/>
        <w:adjustRightInd w:val="0"/>
        <w:rPr>
          <w:rFonts w:ascii="Arial" w:hAnsi="Arial" w:cs="Arial"/>
        </w:rPr>
      </w:pPr>
      <w:r w:rsidRPr="005935FD">
        <w:rPr>
          <w:rFonts w:ascii="Arial" w:hAnsi="Arial" w:cs="Arial"/>
        </w:rPr>
        <w:tab/>
      </w:r>
    </w:p>
    <w:p w:rsidR="00BA7927" w:rsidRPr="005935FD" w:rsidRDefault="00921C36" w:rsidP="00BA7927">
      <w:pPr>
        <w:tabs>
          <w:tab w:val="left" w:pos="4536"/>
        </w:tabs>
        <w:autoSpaceDE w:val="0"/>
        <w:autoSpaceDN w:val="0"/>
        <w:adjustRightInd w:val="0"/>
        <w:rPr>
          <w:rFonts w:ascii="Arial" w:hAnsi="Arial" w:cs="Arial"/>
        </w:rPr>
      </w:pPr>
      <w:r w:rsidRPr="005935FD">
        <w:rPr>
          <w:rFonts w:ascii="Arial" w:hAnsi="Arial" w:cs="Arial"/>
        </w:rPr>
        <w:t>On behalf of a</w:t>
      </w:r>
      <w:r w:rsidR="00BA7927" w:rsidRPr="005935FD">
        <w:rPr>
          <w:rFonts w:ascii="Arial" w:hAnsi="Arial" w:cs="Arial"/>
        </w:rPr>
        <w:t xml:space="preserve">ppellant: </w:t>
      </w:r>
      <w:r w:rsidR="00BA7927" w:rsidRPr="005935FD">
        <w:rPr>
          <w:rFonts w:ascii="Arial" w:hAnsi="Arial" w:cs="Arial"/>
        </w:rPr>
        <w:tab/>
        <w:t xml:space="preserve">Adv. </w:t>
      </w:r>
      <w:r w:rsidR="00EF7DF2" w:rsidRPr="005935FD">
        <w:rPr>
          <w:rFonts w:ascii="Arial" w:hAnsi="Arial" w:cs="Arial"/>
        </w:rPr>
        <w:t>K. Naidoo</w:t>
      </w:r>
    </w:p>
    <w:p w:rsidR="00BA7927" w:rsidRPr="005935FD" w:rsidRDefault="00BA7927" w:rsidP="00BA7927">
      <w:pPr>
        <w:tabs>
          <w:tab w:val="left" w:pos="4536"/>
        </w:tabs>
        <w:autoSpaceDE w:val="0"/>
        <w:autoSpaceDN w:val="0"/>
        <w:adjustRightInd w:val="0"/>
        <w:rPr>
          <w:rFonts w:ascii="Arial" w:hAnsi="Arial" w:cs="Arial"/>
        </w:rPr>
      </w:pPr>
    </w:p>
    <w:p w:rsidR="00BA7927" w:rsidRPr="005935FD" w:rsidRDefault="00BA7927" w:rsidP="00BA7927">
      <w:pPr>
        <w:tabs>
          <w:tab w:val="left" w:pos="4536"/>
        </w:tabs>
        <w:autoSpaceDE w:val="0"/>
        <w:autoSpaceDN w:val="0"/>
        <w:adjustRightInd w:val="0"/>
        <w:rPr>
          <w:rFonts w:ascii="Arial" w:hAnsi="Arial" w:cs="Arial"/>
        </w:rPr>
      </w:pPr>
      <w:r w:rsidRPr="005935FD">
        <w:rPr>
          <w:rFonts w:ascii="Arial" w:hAnsi="Arial" w:cs="Arial"/>
        </w:rPr>
        <w:t>Instructed by:</w:t>
      </w:r>
      <w:r w:rsidRPr="005935FD">
        <w:rPr>
          <w:rFonts w:ascii="Arial" w:hAnsi="Arial" w:cs="Arial"/>
        </w:rPr>
        <w:tab/>
      </w:r>
      <w:r w:rsidR="00EF7DF2" w:rsidRPr="005935FD">
        <w:rPr>
          <w:rFonts w:ascii="Arial" w:hAnsi="Arial" w:cs="Arial"/>
        </w:rPr>
        <w:t>Salley’s Attorneys, Bloemfontein.</w:t>
      </w:r>
    </w:p>
    <w:p w:rsidR="00BA7927" w:rsidRPr="005935FD" w:rsidRDefault="00BA7927" w:rsidP="00BA7927">
      <w:pPr>
        <w:tabs>
          <w:tab w:val="left" w:pos="4536"/>
        </w:tabs>
        <w:autoSpaceDE w:val="0"/>
        <w:autoSpaceDN w:val="0"/>
        <w:adjustRightInd w:val="0"/>
        <w:rPr>
          <w:rFonts w:ascii="Arial" w:hAnsi="Arial" w:cs="Arial"/>
          <w:b/>
        </w:rPr>
      </w:pPr>
      <w:r w:rsidRPr="005935FD">
        <w:rPr>
          <w:rFonts w:ascii="Arial" w:hAnsi="Arial" w:cs="Arial"/>
        </w:rPr>
        <w:tab/>
      </w:r>
    </w:p>
    <w:p w:rsidR="00BA7927" w:rsidRPr="005935FD" w:rsidRDefault="00BA7927" w:rsidP="00BA7927">
      <w:pPr>
        <w:tabs>
          <w:tab w:val="left" w:pos="5387"/>
        </w:tabs>
        <w:autoSpaceDE w:val="0"/>
        <w:autoSpaceDN w:val="0"/>
        <w:adjustRightInd w:val="0"/>
        <w:rPr>
          <w:rFonts w:ascii="Arial" w:hAnsi="Arial" w:cs="Arial"/>
        </w:rPr>
      </w:pPr>
    </w:p>
    <w:p w:rsidR="00BA7927" w:rsidRPr="005935FD" w:rsidRDefault="00BA7927" w:rsidP="00BA7927">
      <w:pPr>
        <w:tabs>
          <w:tab w:val="left" w:pos="4536"/>
        </w:tabs>
        <w:autoSpaceDE w:val="0"/>
        <w:autoSpaceDN w:val="0"/>
        <w:adjustRightInd w:val="0"/>
        <w:ind w:left="-142"/>
        <w:rPr>
          <w:rFonts w:ascii="Arial" w:hAnsi="Arial" w:cs="Arial"/>
        </w:rPr>
      </w:pPr>
    </w:p>
    <w:p w:rsidR="00BA7927" w:rsidRPr="005935FD" w:rsidRDefault="00921C36" w:rsidP="00BA7927">
      <w:pPr>
        <w:tabs>
          <w:tab w:val="left" w:pos="4536"/>
        </w:tabs>
        <w:autoSpaceDE w:val="0"/>
        <w:autoSpaceDN w:val="0"/>
        <w:adjustRightInd w:val="0"/>
        <w:ind w:left="-142"/>
        <w:rPr>
          <w:rFonts w:ascii="Arial" w:hAnsi="Arial" w:cs="Arial"/>
        </w:rPr>
      </w:pPr>
      <w:r w:rsidRPr="005935FD">
        <w:rPr>
          <w:rFonts w:ascii="Arial" w:hAnsi="Arial" w:cs="Arial"/>
        </w:rPr>
        <w:t>On behalf of r</w:t>
      </w:r>
      <w:r w:rsidR="00BA7927" w:rsidRPr="005935FD">
        <w:rPr>
          <w:rFonts w:ascii="Arial" w:hAnsi="Arial" w:cs="Arial"/>
        </w:rPr>
        <w:t xml:space="preserve">espondent: </w:t>
      </w:r>
      <w:r w:rsidR="00BA7927" w:rsidRPr="005935FD">
        <w:rPr>
          <w:rFonts w:ascii="Arial" w:hAnsi="Arial" w:cs="Arial"/>
        </w:rPr>
        <w:tab/>
        <w:t xml:space="preserve">Adv </w:t>
      </w:r>
      <w:r w:rsidRPr="005935FD">
        <w:rPr>
          <w:rFonts w:ascii="Arial" w:hAnsi="Arial" w:cs="Arial"/>
        </w:rPr>
        <w:t>H.J. van der Merwe</w:t>
      </w:r>
    </w:p>
    <w:p w:rsidR="00BA7927" w:rsidRPr="005935FD" w:rsidRDefault="00BA7927" w:rsidP="00BA7927">
      <w:pPr>
        <w:tabs>
          <w:tab w:val="left" w:pos="4536"/>
        </w:tabs>
        <w:autoSpaceDE w:val="0"/>
        <w:autoSpaceDN w:val="0"/>
        <w:adjustRightInd w:val="0"/>
        <w:rPr>
          <w:rFonts w:ascii="Arial" w:hAnsi="Arial" w:cs="Arial"/>
        </w:rPr>
      </w:pPr>
      <w:r w:rsidRPr="005935FD">
        <w:rPr>
          <w:rFonts w:ascii="Arial" w:hAnsi="Arial" w:cs="Arial"/>
        </w:rPr>
        <w:tab/>
      </w:r>
    </w:p>
    <w:p w:rsidR="003A5EB9" w:rsidRPr="005935FD" w:rsidRDefault="00BA7927" w:rsidP="00635AE9">
      <w:pPr>
        <w:autoSpaceDE w:val="0"/>
        <w:autoSpaceDN w:val="0"/>
        <w:adjustRightInd w:val="0"/>
        <w:ind w:left="-142"/>
        <w:rPr>
          <w:rFonts w:ascii="Arial" w:hAnsi="Arial" w:cs="Arial"/>
          <w:lang w:val="en-ZA"/>
        </w:rPr>
      </w:pPr>
      <w:r w:rsidRPr="005935FD">
        <w:rPr>
          <w:rFonts w:ascii="Arial" w:hAnsi="Arial" w:cs="Arial"/>
        </w:rPr>
        <w:t>Instructed by:</w:t>
      </w:r>
      <w:r w:rsidRPr="005935FD">
        <w:rPr>
          <w:rFonts w:ascii="Arial" w:hAnsi="Arial" w:cs="Arial"/>
        </w:rPr>
        <w:tab/>
      </w:r>
      <w:r w:rsidRPr="005935FD">
        <w:rPr>
          <w:rFonts w:ascii="Arial" w:hAnsi="Arial" w:cs="Arial"/>
        </w:rPr>
        <w:tab/>
      </w:r>
      <w:r w:rsidRPr="005935FD">
        <w:rPr>
          <w:rFonts w:ascii="Arial" w:hAnsi="Arial" w:cs="Arial"/>
        </w:rPr>
        <w:tab/>
      </w:r>
      <w:r w:rsidRPr="005935FD">
        <w:rPr>
          <w:rFonts w:ascii="Arial" w:hAnsi="Arial" w:cs="Arial"/>
        </w:rPr>
        <w:tab/>
      </w:r>
      <w:r w:rsidRPr="005935FD">
        <w:rPr>
          <w:rFonts w:ascii="Arial" w:hAnsi="Arial" w:cs="Arial"/>
        </w:rPr>
        <w:tab/>
        <w:t xml:space="preserve">   </w:t>
      </w:r>
      <w:r w:rsidR="00921C36" w:rsidRPr="005935FD">
        <w:rPr>
          <w:rFonts w:ascii="Arial" w:hAnsi="Arial" w:cs="Arial"/>
        </w:rPr>
        <w:t xml:space="preserve">Jay Mothobi Incorporated, </w:t>
      </w:r>
      <w:r w:rsidR="00635AE9">
        <w:rPr>
          <w:rFonts w:ascii="Arial" w:hAnsi="Arial" w:cs="Arial"/>
        </w:rPr>
        <w:t>Bloemfontein</w:t>
      </w:r>
    </w:p>
    <w:p w:rsidR="003A5EB9" w:rsidRPr="005935FD" w:rsidRDefault="003A5EB9" w:rsidP="0000183B">
      <w:pPr>
        <w:jc w:val="right"/>
        <w:rPr>
          <w:rFonts w:ascii="Arial" w:hAnsi="Arial" w:cs="Arial"/>
          <w:lang w:val="en-ZA"/>
        </w:rPr>
      </w:pPr>
    </w:p>
    <w:sectPr w:rsidR="003A5EB9" w:rsidRPr="005935FD" w:rsidSect="00DF35B6">
      <w:headerReference w:type="default" r:id="rId10"/>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6E" w:rsidRDefault="002A566E" w:rsidP="002F3751">
      <w:r>
        <w:separator/>
      </w:r>
    </w:p>
  </w:endnote>
  <w:endnote w:type="continuationSeparator" w:id="0">
    <w:p w:rsidR="002A566E" w:rsidRDefault="002A566E" w:rsidP="002F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6E" w:rsidRDefault="002A566E" w:rsidP="002F3751">
      <w:r>
        <w:separator/>
      </w:r>
    </w:p>
  </w:footnote>
  <w:footnote w:type="continuationSeparator" w:id="0">
    <w:p w:rsidR="002A566E" w:rsidRDefault="002A566E" w:rsidP="002F3751">
      <w:r>
        <w:continuationSeparator/>
      </w:r>
    </w:p>
  </w:footnote>
  <w:footnote w:id="1">
    <w:p w:rsidR="005E2BEB" w:rsidRPr="004565B9" w:rsidRDefault="005E2BEB" w:rsidP="001B4282">
      <w:pPr>
        <w:pStyle w:val="FootnoteText"/>
        <w:rPr>
          <w:rFonts w:ascii="Arial" w:hAnsi="Arial" w:cs="Arial"/>
          <w:lang w:val="en-US"/>
        </w:rPr>
      </w:pPr>
      <w:r w:rsidRPr="004565B9">
        <w:rPr>
          <w:rStyle w:val="FootnoteReference"/>
          <w:rFonts w:ascii="Arial" w:hAnsi="Arial" w:cs="Arial"/>
        </w:rPr>
        <w:footnoteRef/>
      </w:r>
      <w:r w:rsidRPr="004565B9">
        <w:rPr>
          <w:rFonts w:ascii="Arial" w:hAnsi="Arial" w:cs="Arial"/>
        </w:rPr>
        <w:t xml:space="preserve"> Index page 14: </w:t>
      </w:r>
      <w:r w:rsidRPr="004565B9">
        <w:rPr>
          <w:rFonts w:ascii="Arial" w:hAnsi="Arial" w:cs="Arial"/>
          <w:lang w:val="en-US"/>
        </w:rPr>
        <w:t>para 6 of the POC.</w:t>
      </w:r>
    </w:p>
  </w:footnote>
  <w:footnote w:id="2">
    <w:p w:rsidR="005E2BEB" w:rsidRPr="004565B9" w:rsidRDefault="005E2BEB" w:rsidP="001B4282">
      <w:pPr>
        <w:pStyle w:val="FootnoteText"/>
        <w:rPr>
          <w:rFonts w:ascii="Arial" w:hAnsi="Arial" w:cs="Arial"/>
          <w:lang w:val="en-US"/>
        </w:rPr>
      </w:pPr>
      <w:r w:rsidRPr="004565B9">
        <w:rPr>
          <w:rStyle w:val="FootnoteReference"/>
          <w:rFonts w:ascii="Arial" w:hAnsi="Arial" w:cs="Arial"/>
        </w:rPr>
        <w:footnoteRef/>
      </w:r>
      <w:r w:rsidRPr="004565B9">
        <w:rPr>
          <w:rFonts w:ascii="Arial" w:hAnsi="Arial" w:cs="Arial"/>
        </w:rPr>
        <w:t xml:space="preserve"> Index page 14</w:t>
      </w:r>
      <w:r>
        <w:rPr>
          <w:rFonts w:ascii="Arial" w:hAnsi="Arial" w:cs="Arial"/>
        </w:rPr>
        <w:t xml:space="preserve">: </w:t>
      </w:r>
      <w:r>
        <w:rPr>
          <w:rFonts w:ascii="Arial" w:hAnsi="Arial" w:cs="Arial"/>
          <w:lang w:val="en-US"/>
        </w:rPr>
        <w:t>p</w:t>
      </w:r>
      <w:r w:rsidRPr="004565B9">
        <w:rPr>
          <w:rFonts w:ascii="Arial" w:hAnsi="Arial" w:cs="Arial"/>
          <w:lang w:val="en-US"/>
        </w:rPr>
        <w:t>ara 7 of the POC.</w:t>
      </w:r>
    </w:p>
  </w:footnote>
  <w:footnote w:id="3">
    <w:p w:rsidR="005E2BEB" w:rsidRPr="004565B9" w:rsidRDefault="005E2BEB" w:rsidP="001B4282">
      <w:pPr>
        <w:pStyle w:val="FootnoteText"/>
        <w:rPr>
          <w:rFonts w:ascii="Arial" w:hAnsi="Arial" w:cs="Arial"/>
          <w:lang w:val="en-US"/>
        </w:rPr>
      </w:pPr>
      <w:r w:rsidRPr="004565B9">
        <w:rPr>
          <w:rStyle w:val="FootnoteReference"/>
          <w:rFonts w:ascii="Arial" w:hAnsi="Arial" w:cs="Arial"/>
        </w:rPr>
        <w:footnoteRef/>
      </w:r>
      <w:r>
        <w:rPr>
          <w:rFonts w:ascii="Arial" w:hAnsi="Arial" w:cs="Arial"/>
          <w:lang w:val="en-US"/>
        </w:rPr>
        <w:t>P</w:t>
      </w:r>
      <w:r w:rsidRPr="004565B9">
        <w:rPr>
          <w:rFonts w:ascii="Arial" w:hAnsi="Arial" w:cs="Arial"/>
          <w:lang w:val="en-US"/>
        </w:rPr>
        <w:t>ara 8 of the POC</w:t>
      </w:r>
      <w:r>
        <w:rPr>
          <w:rFonts w:ascii="Arial" w:hAnsi="Arial" w:cs="Arial"/>
          <w:lang w:val="en-US"/>
        </w:rPr>
        <w:t>:</w:t>
      </w:r>
      <w:r w:rsidRPr="004565B9">
        <w:rPr>
          <w:rFonts w:ascii="Arial" w:hAnsi="Arial" w:cs="Arial"/>
        </w:rPr>
        <w:t xml:space="preserve"> Index page 14</w:t>
      </w:r>
    </w:p>
  </w:footnote>
  <w:footnote w:id="4">
    <w:p w:rsidR="005E2BEB" w:rsidRPr="004565B9" w:rsidRDefault="005E2BEB" w:rsidP="001B4282">
      <w:pPr>
        <w:pStyle w:val="FootnoteText"/>
        <w:rPr>
          <w:rFonts w:ascii="Arial" w:hAnsi="Arial" w:cs="Arial"/>
          <w:lang w:val="en-US"/>
        </w:rPr>
      </w:pPr>
      <w:r w:rsidRPr="004565B9">
        <w:rPr>
          <w:rStyle w:val="FootnoteReference"/>
          <w:rFonts w:ascii="Arial" w:hAnsi="Arial" w:cs="Arial"/>
        </w:rPr>
        <w:footnoteRef/>
      </w:r>
      <w:r w:rsidRPr="004565B9">
        <w:rPr>
          <w:rFonts w:ascii="Arial" w:hAnsi="Arial" w:cs="Arial"/>
        </w:rPr>
        <w:t xml:space="preserve"> </w:t>
      </w:r>
      <w:r>
        <w:rPr>
          <w:rFonts w:ascii="Arial" w:hAnsi="Arial" w:cs="Arial"/>
          <w:lang w:val="en-US"/>
        </w:rPr>
        <w:t>P</w:t>
      </w:r>
      <w:r w:rsidRPr="004565B9">
        <w:rPr>
          <w:rFonts w:ascii="Arial" w:hAnsi="Arial" w:cs="Arial"/>
          <w:lang w:val="en-US"/>
        </w:rPr>
        <w:t>ara 15.1 of POC</w:t>
      </w:r>
      <w:r>
        <w:rPr>
          <w:rFonts w:ascii="Arial" w:hAnsi="Arial" w:cs="Arial"/>
          <w:lang w:val="en-US"/>
        </w:rPr>
        <w:t xml:space="preserve">: </w:t>
      </w:r>
      <w:r w:rsidRPr="004565B9">
        <w:rPr>
          <w:rFonts w:ascii="Arial" w:hAnsi="Arial" w:cs="Arial"/>
        </w:rPr>
        <w:t xml:space="preserve">Index page </w:t>
      </w:r>
      <w:r>
        <w:rPr>
          <w:rFonts w:ascii="Arial" w:hAnsi="Arial" w:cs="Arial"/>
        </w:rPr>
        <w:t xml:space="preserve">17 </w:t>
      </w:r>
    </w:p>
  </w:footnote>
  <w:footnote w:id="5">
    <w:p w:rsidR="005E2BEB" w:rsidRPr="004565B9" w:rsidRDefault="005E2BEB" w:rsidP="001B4282">
      <w:pPr>
        <w:pStyle w:val="FootnoteText"/>
        <w:rPr>
          <w:rFonts w:ascii="Arial" w:hAnsi="Arial" w:cs="Arial"/>
          <w:lang w:val="en-US"/>
        </w:rPr>
      </w:pPr>
      <w:r w:rsidRPr="004565B9">
        <w:rPr>
          <w:rStyle w:val="FootnoteReference"/>
          <w:rFonts w:ascii="Arial" w:hAnsi="Arial" w:cs="Arial"/>
        </w:rPr>
        <w:footnoteRef/>
      </w:r>
      <w:r w:rsidRPr="004565B9">
        <w:rPr>
          <w:rFonts w:ascii="Arial" w:hAnsi="Arial" w:cs="Arial"/>
        </w:rPr>
        <w:t xml:space="preserve"> </w:t>
      </w:r>
      <w:r>
        <w:rPr>
          <w:rFonts w:ascii="Arial" w:hAnsi="Arial" w:cs="Arial"/>
          <w:lang w:val="en-US"/>
        </w:rPr>
        <w:t>P</w:t>
      </w:r>
      <w:r w:rsidRPr="004565B9">
        <w:rPr>
          <w:rFonts w:ascii="Arial" w:hAnsi="Arial" w:cs="Arial"/>
          <w:lang w:val="en-US"/>
        </w:rPr>
        <w:t>ara 15.2 of POC</w:t>
      </w:r>
      <w:r>
        <w:rPr>
          <w:rFonts w:ascii="Arial" w:hAnsi="Arial" w:cs="Arial"/>
          <w:lang w:val="en-US"/>
        </w:rPr>
        <w:t>:</w:t>
      </w:r>
      <w:r w:rsidRPr="004565B9">
        <w:rPr>
          <w:rFonts w:ascii="Arial" w:hAnsi="Arial" w:cs="Arial"/>
        </w:rPr>
        <w:t xml:space="preserve"> Index page </w:t>
      </w:r>
      <w:r>
        <w:rPr>
          <w:rFonts w:ascii="Arial" w:hAnsi="Arial" w:cs="Arial"/>
        </w:rPr>
        <w:t>18</w:t>
      </w:r>
    </w:p>
  </w:footnote>
  <w:footnote w:id="6">
    <w:p w:rsidR="005E2BEB" w:rsidRPr="004565B9" w:rsidRDefault="005E2BEB" w:rsidP="001B4282">
      <w:pPr>
        <w:pStyle w:val="FootnoteText"/>
        <w:rPr>
          <w:rFonts w:ascii="Arial" w:hAnsi="Arial" w:cs="Arial"/>
          <w:lang w:val="en-US"/>
        </w:rPr>
      </w:pPr>
      <w:r w:rsidRPr="004565B9">
        <w:rPr>
          <w:rStyle w:val="FootnoteReference"/>
          <w:rFonts w:ascii="Arial" w:hAnsi="Arial" w:cs="Arial"/>
        </w:rPr>
        <w:footnoteRef/>
      </w:r>
      <w:r w:rsidRPr="004565B9">
        <w:rPr>
          <w:rFonts w:ascii="Arial" w:hAnsi="Arial" w:cs="Arial"/>
        </w:rPr>
        <w:t xml:space="preserve"> </w:t>
      </w:r>
      <w:r>
        <w:rPr>
          <w:rFonts w:ascii="Arial" w:hAnsi="Arial" w:cs="Arial"/>
          <w:lang w:val="en-US"/>
        </w:rPr>
        <w:t>P</w:t>
      </w:r>
      <w:r w:rsidRPr="004565B9">
        <w:rPr>
          <w:rFonts w:ascii="Arial" w:hAnsi="Arial" w:cs="Arial"/>
          <w:lang w:val="en-US"/>
        </w:rPr>
        <w:t>ara 15.3 of POC</w:t>
      </w:r>
      <w:r>
        <w:rPr>
          <w:rFonts w:ascii="Arial" w:hAnsi="Arial" w:cs="Arial"/>
          <w:lang w:val="en-US"/>
        </w:rPr>
        <w:t>:</w:t>
      </w:r>
      <w:r w:rsidRPr="004565B9">
        <w:rPr>
          <w:rFonts w:ascii="Arial" w:hAnsi="Arial" w:cs="Arial"/>
        </w:rPr>
        <w:t xml:space="preserve"> Index page </w:t>
      </w:r>
      <w:r>
        <w:rPr>
          <w:rFonts w:ascii="Arial" w:hAnsi="Arial" w:cs="Arial"/>
        </w:rPr>
        <w:t>18</w:t>
      </w:r>
    </w:p>
  </w:footnote>
  <w:footnote w:id="7">
    <w:p w:rsidR="005E2BEB" w:rsidRPr="004565B9" w:rsidRDefault="005E2BEB" w:rsidP="001B4282">
      <w:pPr>
        <w:pStyle w:val="FootnoteText"/>
        <w:rPr>
          <w:rFonts w:ascii="Arial" w:hAnsi="Arial" w:cs="Arial"/>
          <w:lang w:val="en-US"/>
        </w:rPr>
      </w:pPr>
      <w:r w:rsidRPr="004565B9">
        <w:rPr>
          <w:rStyle w:val="FootnoteReference"/>
          <w:rFonts w:ascii="Arial" w:hAnsi="Arial" w:cs="Arial"/>
        </w:rPr>
        <w:footnoteRef/>
      </w:r>
      <w:r w:rsidRPr="004565B9">
        <w:rPr>
          <w:rFonts w:ascii="Arial" w:hAnsi="Arial" w:cs="Arial"/>
        </w:rPr>
        <w:t xml:space="preserve"> </w:t>
      </w:r>
      <w:r>
        <w:rPr>
          <w:rFonts w:ascii="Arial" w:hAnsi="Arial" w:cs="Arial"/>
          <w:lang w:val="en-US"/>
        </w:rPr>
        <w:t>P</w:t>
      </w:r>
      <w:r w:rsidRPr="004565B9">
        <w:rPr>
          <w:rFonts w:ascii="Arial" w:hAnsi="Arial" w:cs="Arial"/>
          <w:lang w:val="en-US"/>
        </w:rPr>
        <w:t>ara 15.4 of POC</w:t>
      </w:r>
      <w:r>
        <w:rPr>
          <w:rFonts w:ascii="Arial" w:hAnsi="Arial" w:cs="Arial"/>
        </w:rPr>
        <w:t xml:space="preserve">: </w:t>
      </w:r>
      <w:r w:rsidRPr="004565B9">
        <w:rPr>
          <w:rFonts w:ascii="Arial" w:hAnsi="Arial" w:cs="Arial"/>
        </w:rPr>
        <w:t xml:space="preserve">Index page </w:t>
      </w:r>
      <w:r>
        <w:rPr>
          <w:rFonts w:ascii="Arial" w:hAnsi="Arial" w:cs="Arial"/>
        </w:rPr>
        <w:t>18</w:t>
      </w:r>
    </w:p>
  </w:footnote>
  <w:footnote w:id="8">
    <w:p w:rsidR="005E2BEB" w:rsidRPr="004565B9" w:rsidRDefault="005E2BEB" w:rsidP="001B4282">
      <w:pPr>
        <w:pStyle w:val="FootnoteText"/>
        <w:rPr>
          <w:rFonts w:ascii="Arial" w:hAnsi="Arial" w:cs="Arial"/>
          <w:lang w:val="en-US"/>
        </w:rPr>
      </w:pPr>
      <w:r w:rsidRPr="004565B9">
        <w:rPr>
          <w:rStyle w:val="FootnoteReference"/>
          <w:rFonts w:ascii="Arial" w:hAnsi="Arial" w:cs="Arial"/>
        </w:rPr>
        <w:footnoteRef/>
      </w:r>
      <w:r>
        <w:rPr>
          <w:rFonts w:ascii="Arial" w:hAnsi="Arial" w:cs="Arial"/>
          <w:lang w:val="en-US"/>
        </w:rPr>
        <w:t>P</w:t>
      </w:r>
      <w:r w:rsidRPr="004565B9">
        <w:rPr>
          <w:rFonts w:ascii="Arial" w:hAnsi="Arial" w:cs="Arial"/>
          <w:lang w:val="en-US"/>
        </w:rPr>
        <w:t>ara 15.5 of POC</w:t>
      </w:r>
      <w:r w:rsidRPr="004565B9">
        <w:rPr>
          <w:rFonts w:ascii="Arial" w:hAnsi="Arial" w:cs="Arial"/>
        </w:rPr>
        <w:t xml:space="preserve"> Index page </w:t>
      </w:r>
      <w:r>
        <w:rPr>
          <w:rFonts w:ascii="Arial" w:hAnsi="Arial" w:cs="Arial"/>
        </w:rPr>
        <w:t>18</w:t>
      </w:r>
    </w:p>
  </w:footnote>
  <w:footnote w:id="9">
    <w:p w:rsidR="005E2BEB" w:rsidRPr="004565B9" w:rsidRDefault="005E2BEB" w:rsidP="00AD7982">
      <w:pPr>
        <w:pStyle w:val="FootnoteText"/>
        <w:rPr>
          <w:rFonts w:ascii="Arial" w:hAnsi="Arial" w:cs="Arial"/>
          <w:lang w:val="en-US"/>
        </w:rPr>
      </w:pPr>
      <w:r w:rsidRPr="004565B9">
        <w:rPr>
          <w:rStyle w:val="FootnoteReference"/>
          <w:rFonts w:ascii="Arial" w:hAnsi="Arial" w:cs="Arial"/>
        </w:rPr>
        <w:footnoteRef/>
      </w:r>
      <w:r w:rsidRPr="004565B9">
        <w:rPr>
          <w:rFonts w:ascii="Arial" w:hAnsi="Arial" w:cs="Arial"/>
        </w:rPr>
        <w:t xml:space="preserve"> </w:t>
      </w:r>
      <w:r>
        <w:rPr>
          <w:rFonts w:ascii="Arial" w:hAnsi="Arial" w:cs="Arial"/>
          <w:lang w:val="en-US"/>
        </w:rPr>
        <w:t>P</w:t>
      </w:r>
      <w:r w:rsidRPr="004565B9">
        <w:rPr>
          <w:rFonts w:ascii="Arial" w:hAnsi="Arial" w:cs="Arial"/>
          <w:lang w:val="en-US"/>
        </w:rPr>
        <w:t>aras 1 and 2:</w:t>
      </w:r>
      <w:r>
        <w:rPr>
          <w:rFonts w:ascii="Arial" w:hAnsi="Arial" w:cs="Arial"/>
          <w:lang w:val="en-US"/>
        </w:rPr>
        <w:t xml:space="preserve"> Fourth d</w:t>
      </w:r>
      <w:r w:rsidRPr="004565B9">
        <w:rPr>
          <w:rFonts w:ascii="Arial" w:hAnsi="Arial" w:cs="Arial"/>
          <w:lang w:val="en-US"/>
        </w:rPr>
        <w:t>efendant’s plea</w:t>
      </w:r>
      <w:r>
        <w:rPr>
          <w:rFonts w:ascii="Arial" w:hAnsi="Arial" w:cs="Arial"/>
        </w:rPr>
        <w:t xml:space="preserve">: </w:t>
      </w:r>
      <w:r w:rsidRPr="004565B9">
        <w:rPr>
          <w:rFonts w:ascii="Arial" w:hAnsi="Arial" w:cs="Arial"/>
        </w:rPr>
        <w:t xml:space="preserve">Index page </w:t>
      </w:r>
      <w:r>
        <w:rPr>
          <w:rFonts w:ascii="Arial" w:hAnsi="Arial" w:cs="Arial"/>
        </w:rPr>
        <w:t xml:space="preserve">71: </w:t>
      </w:r>
    </w:p>
  </w:footnote>
  <w:footnote w:id="10">
    <w:p w:rsidR="005E2BEB" w:rsidRPr="004565B9" w:rsidRDefault="005E2BEB">
      <w:pPr>
        <w:pStyle w:val="FootnoteText"/>
        <w:rPr>
          <w:rFonts w:ascii="Arial" w:hAnsi="Arial" w:cs="Arial"/>
          <w:lang w:val="en-US"/>
        </w:rPr>
      </w:pPr>
      <w:r w:rsidRPr="004565B9">
        <w:rPr>
          <w:rStyle w:val="FootnoteReference"/>
          <w:rFonts w:ascii="Arial" w:hAnsi="Arial" w:cs="Arial"/>
        </w:rPr>
        <w:footnoteRef/>
      </w:r>
      <w:r w:rsidRPr="004565B9">
        <w:rPr>
          <w:rFonts w:ascii="Arial" w:hAnsi="Arial" w:cs="Arial"/>
        </w:rPr>
        <w:t xml:space="preserve"> </w:t>
      </w:r>
      <w:r w:rsidRPr="004565B9">
        <w:rPr>
          <w:rFonts w:ascii="Arial" w:hAnsi="Arial" w:cs="Arial"/>
          <w:lang w:val="en-US"/>
        </w:rPr>
        <w:t xml:space="preserve">FA to summary judgment: Index pages 8 to 9 at paras 5.2 to 5.2.2. </w:t>
      </w:r>
    </w:p>
  </w:footnote>
  <w:footnote w:id="11">
    <w:p w:rsidR="005E2BEB" w:rsidRPr="004565B9" w:rsidRDefault="005E2BEB">
      <w:pPr>
        <w:pStyle w:val="FootnoteText"/>
        <w:rPr>
          <w:rFonts w:ascii="Arial" w:hAnsi="Arial" w:cs="Arial"/>
          <w:lang w:val="en-US"/>
        </w:rPr>
      </w:pPr>
      <w:r w:rsidRPr="004565B9">
        <w:rPr>
          <w:rStyle w:val="FootnoteReference"/>
          <w:rFonts w:ascii="Arial" w:hAnsi="Arial" w:cs="Arial"/>
        </w:rPr>
        <w:footnoteRef/>
      </w:r>
      <w:r w:rsidRPr="004565B9">
        <w:rPr>
          <w:rFonts w:ascii="Arial" w:hAnsi="Arial" w:cs="Arial"/>
        </w:rPr>
        <w:t xml:space="preserve"> </w:t>
      </w:r>
      <w:r w:rsidRPr="004565B9">
        <w:rPr>
          <w:rFonts w:ascii="Arial" w:hAnsi="Arial" w:cs="Arial"/>
          <w:lang w:val="en-US"/>
        </w:rPr>
        <w:t>FA to summary judgment: Index pages 10 to 11 at paras 6.1 to 6.3.2.</w:t>
      </w:r>
    </w:p>
  </w:footnote>
  <w:footnote w:id="12">
    <w:p w:rsidR="005E2BEB" w:rsidRPr="004565B9" w:rsidRDefault="005E2BEB">
      <w:pPr>
        <w:pStyle w:val="FootnoteText"/>
        <w:rPr>
          <w:rFonts w:ascii="Arial" w:hAnsi="Arial" w:cs="Arial"/>
          <w:lang w:val="en-US"/>
        </w:rPr>
      </w:pPr>
      <w:r w:rsidRPr="004565B9">
        <w:rPr>
          <w:rStyle w:val="FootnoteReference"/>
          <w:rFonts w:ascii="Arial" w:hAnsi="Arial" w:cs="Arial"/>
        </w:rPr>
        <w:footnoteRef/>
      </w:r>
      <w:r w:rsidRPr="004565B9">
        <w:rPr>
          <w:rFonts w:ascii="Arial" w:hAnsi="Arial" w:cs="Arial"/>
        </w:rPr>
        <w:t xml:space="preserve"> </w:t>
      </w:r>
      <w:r w:rsidRPr="004565B9">
        <w:rPr>
          <w:rFonts w:ascii="Arial" w:hAnsi="Arial" w:cs="Arial"/>
          <w:lang w:val="en-US"/>
        </w:rPr>
        <w:t>FA to summary judgment: Index page 11 at paras 7.1 to 7.1.2.</w:t>
      </w:r>
    </w:p>
  </w:footnote>
  <w:footnote w:id="13">
    <w:p w:rsidR="005E2BEB" w:rsidRPr="004565B9" w:rsidRDefault="005E2BEB">
      <w:pPr>
        <w:pStyle w:val="FootnoteText"/>
        <w:rPr>
          <w:rFonts w:ascii="Arial" w:hAnsi="Arial" w:cs="Arial"/>
          <w:lang w:val="en-US"/>
        </w:rPr>
      </w:pPr>
      <w:r w:rsidRPr="004565B9">
        <w:rPr>
          <w:rStyle w:val="FootnoteReference"/>
          <w:rFonts w:ascii="Arial" w:hAnsi="Arial" w:cs="Arial"/>
        </w:rPr>
        <w:footnoteRef/>
      </w:r>
      <w:r w:rsidRPr="004565B9">
        <w:rPr>
          <w:rFonts w:ascii="Arial" w:hAnsi="Arial" w:cs="Arial"/>
        </w:rPr>
        <w:t xml:space="preserve"> </w:t>
      </w:r>
      <w:r w:rsidRPr="004565B9">
        <w:rPr>
          <w:rFonts w:ascii="Arial" w:hAnsi="Arial" w:cs="Arial"/>
          <w:lang w:val="en-US"/>
        </w:rPr>
        <w:t>FA to summary judgment: Index page 11 at para 8.</w:t>
      </w:r>
    </w:p>
  </w:footnote>
  <w:footnote w:id="14">
    <w:p w:rsidR="005E2BEB" w:rsidRPr="00E12B4C" w:rsidRDefault="005E2BEB" w:rsidP="008E761E">
      <w:pPr>
        <w:pStyle w:val="FootnoteText"/>
        <w:rPr>
          <w:rFonts w:ascii="Arial" w:hAnsi="Arial"/>
          <w:lang w:val="en-US"/>
        </w:rPr>
      </w:pPr>
      <w:r w:rsidRPr="00E12B4C">
        <w:rPr>
          <w:rStyle w:val="FootnoteReference"/>
          <w:rFonts w:ascii="Arial" w:hAnsi="Arial"/>
        </w:rPr>
        <w:footnoteRef/>
      </w:r>
      <w:r w:rsidRPr="00E12B4C">
        <w:rPr>
          <w:rFonts w:ascii="Arial" w:hAnsi="Arial"/>
        </w:rPr>
        <w:t xml:space="preserve"> </w:t>
      </w:r>
      <w:r>
        <w:rPr>
          <w:rFonts w:ascii="Arial" w:hAnsi="Arial"/>
          <w:lang w:val="en-US"/>
        </w:rPr>
        <w:t>A</w:t>
      </w:r>
      <w:r w:rsidRPr="00E12B4C">
        <w:rPr>
          <w:rFonts w:ascii="Arial" w:hAnsi="Arial"/>
          <w:lang w:val="en-US"/>
        </w:rPr>
        <w:t>ffidavit opposing summary judgment</w:t>
      </w:r>
      <w:r>
        <w:rPr>
          <w:rFonts w:ascii="Arial" w:hAnsi="Arial"/>
          <w:lang w:val="en-US"/>
        </w:rPr>
        <w:t>: Index pages 25 to 28 at paras 3 to 6.5</w:t>
      </w:r>
      <w:r w:rsidRPr="00E12B4C">
        <w:rPr>
          <w:rFonts w:ascii="Arial" w:hAnsi="Arial"/>
          <w:lang w:val="en-US"/>
        </w:rPr>
        <w:t>.</w:t>
      </w:r>
    </w:p>
  </w:footnote>
  <w:footnote w:id="15">
    <w:p w:rsidR="005E2BEB" w:rsidRPr="001B556F" w:rsidRDefault="005E2BEB" w:rsidP="00BE3972">
      <w:pPr>
        <w:pStyle w:val="FootnoteText"/>
        <w:rPr>
          <w:rFonts w:ascii="Arial" w:hAnsi="Arial" w:cs="Arial"/>
          <w:lang w:val="en-US"/>
        </w:rPr>
      </w:pPr>
      <w:r w:rsidRPr="001B556F">
        <w:rPr>
          <w:rStyle w:val="FootnoteReference"/>
          <w:rFonts w:ascii="Arial" w:hAnsi="Arial" w:cs="Arial"/>
        </w:rPr>
        <w:footnoteRef/>
      </w:r>
      <w:r w:rsidRPr="001B556F">
        <w:rPr>
          <w:rFonts w:ascii="Arial" w:hAnsi="Arial" w:cs="Arial"/>
        </w:rPr>
        <w:t xml:space="preserve"> </w:t>
      </w:r>
      <w:r w:rsidRPr="001B556F">
        <w:rPr>
          <w:rFonts w:ascii="Arial" w:hAnsi="Arial" w:cs="Arial"/>
          <w:lang w:val="en-US"/>
        </w:rPr>
        <w:t>Herbstein &amp; van Winsen: the Civil Practice of the High Courts of South Africa (5</w:t>
      </w:r>
      <w:r w:rsidRPr="001B556F">
        <w:rPr>
          <w:rFonts w:ascii="Arial" w:hAnsi="Arial" w:cs="Arial"/>
          <w:vertAlign w:val="superscript"/>
          <w:lang w:val="en-US"/>
        </w:rPr>
        <w:t>th</w:t>
      </w:r>
      <w:r w:rsidRPr="001B556F">
        <w:rPr>
          <w:rFonts w:ascii="Arial" w:hAnsi="Arial" w:cs="Arial"/>
          <w:lang w:val="en-US"/>
        </w:rPr>
        <w:t xml:space="preserve"> Ed), Vol. 1 on pp 516-517.</w:t>
      </w:r>
    </w:p>
  </w:footnote>
  <w:footnote w:id="16">
    <w:p w:rsidR="005E2BEB" w:rsidRPr="001B556F" w:rsidRDefault="005E2BEB" w:rsidP="00E63E39">
      <w:pPr>
        <w:pStyle w:val="FootnoteText"/>
        <w:rPr>
          <w:rFonts w:ascii="Arial" w:hAnsi="Arial" w:cs="Arial"/>
          <w:lang w:val="en-US"/>
        </w:rPr>
      </w:pPr>
      <w:r w:rsidRPr="001B556F">
        <w:rPr>
          <w:rStyle w:val="FootnoteReference"/>
          <w:rFonts w:ascii="Arial" w:hAnsi="Arial" w:cs="Arial"/>
        </w:rPr>
        <w:footnoteRef/>
      </w:r>
      <w:r w:rsidRPr="001B556F">
        <w:rPr>
          <w:rFonts w:ascii="Arial" w:hAnsi="Arial" w:cs="Arial"/>
        </w:rPr>
        <w:t xml:space="preserve"> Maharaj v Barclays National Bank Ltd 1976 (1) SA 418 (A); Tesven CC v SA Bank of Athens 2000 (1) SA 268 (A).</w:t>
      </w:r>
    </w:p>
  </w:footnote>
  <w:footnote w:id="17">
    <w:p w:rsidR="005E2BEB" w:rsidRPr="00C244A2" w:rsidRDefault="005E2BEB" w:rsidP="00E63E39">
      <w:pPr>
        <w:pStyle w:val="FootnoteText"/>
        <w:rPr>
          <w:lang w:val="en-US"/>
        </w:rPr>
      </w:pPr>
      <w:r w:rsidRPr="001B556F">
        <w:rPr>
          <w:rStyle w:val="FootnoteReference"/>
          <w:rFonts w:ascii="Arial" w:hAnsi="Arial" w:cs="Arial"/>
        </w:rPr>
        <w:footnoteRef/>
      </w:r>
      <w:r w:rsidRPr="001B556F">
        <w:rPr>
          <w:rFonts w:ascii="Arial" w:hAnsi="Arial" w:cs="Arial"/>
        </w:rPr>
        <w:t xml:space="preserve"> </w:t>
      </w:r>
      <w:r w:rsidRPr="001B556F">
        <w:rPr>
          <w:rFonts w:ascii="Arial" w:hAnsi="Arial" w:cs="Arial"/>
          <w:lang w:val="en-US"/>
        </w:rPr>
        <w:t>Edwards v Menezes 1973 (1) SA 299 (NC) at 304 -5.</w:t>
      </w:r>
    </w:p>
  </w:footnote>
  <w:footnote w:id="18">
    <w:p w:rsidR="005E2BEB" w:rsidRPr="00376121" w:rsidRDefault="005E2BEB" w:rsidP="00376121">
      <w:pPr>
        <w:pStyle w:val="Heading2"/>
        <w:spacing w:before="240" w:after="180" w:line="288" w:lineRule="atLeast"/>
        <w:ind w:left="0"/>
        <w:rPr>
          <w:rFonts w:ascii="Arial" w:hAnsi="Arial" w:cs="Arial"/>
          <w:color w:val="auto"/>
          <w:sz w:val="20"/>
          <w:szCs w:val="20"/>
        </w:rPr>
      </w:pPr>
      <w:r w:rsidRPr="00F1578F">
        <w:rPr>
          <w:rStyle w:val="FootnoteReference"/>
          <w:rFonts w:ascii="Arial" w:hAnsi="Arial" w:cs="Arial"/>
          <w:color w:val="auto"/>
          <w:sz w:val="20"/>
          <w:szCs w:val="20"/>
        </w:rPr>
        <w:footnoteRef/>
      </w:r>
      <w:r w:rsidRPr="00F1578F">
        <w:rPr>
          <w:rFonts w:ascii="Arial" w:hAnsi="Arial" w:cs="Arial"/>
          <w:color w:val="auto"/>
          <w:sz w:val="20"/>
          <w:szCs w:val="20"/>
        </w:rPr>
        <w:t xml:space="preserve"> </w:t>
      </w:r>
      <w:r w:rsidRPr="00F1578F">
        <w:rPr>
          <w:rFonts w:ascii="Arial" w:hAnsi="Arial" w:cs="Arial"/>
          <w:bCs/>
          <w:color w:val="auto"/>
          <w:sz w:val="20"/>
          <w:szCs w:val="20"/>
        </w:rPr>
        <w:t>National Coalition for Gay and Lesbian Equality and Others v Minister of Home Affairs and Others</w:t>
      </w:r>
      <w:r w:rsidRPr="00F1578F">
        <w:rPr>
          <w:rFonts w:ascii="Arial" w:hAnsi="Arial" w:cs="Arial"/>
          <w:color w:val="auto"/>
          <w:sz w:val="20"/>
          <w:szCs w:val="20"/>
        </w:rPr>
        <w:t xml:space="preserve"> </w:t>
      </w:r>
      <w:r w:rsidRPr="00F1578F">
        <w:rPr>
          <w:rFonts w:ascii="Arial" w:hAnsi="Arial" w:cs="Arial"/>
          <w:bCs/>
          <w:color w:val="auto"/>
          <w:sz w:val="20"/>
          <w:szCs w:val="20"/>
        </w:rPr>
        <w:t>(CCT10/99)</w:t>
      </w:r>
      <w:r w:rsidRPr="00F1578F">
        <w:rPr>
          <w:rFonts w:ascii="Arial" w:hAnsi="Arial" w:cs="Arial"/>
          <w:color w:val="auto"/>
          <w:sz w:val="20"/>
          <w:szCs w:val="20"/>
        </w:rPr>
        <w:t xml:space="preserve"> </w:t>
      </w:r>
      <w:r w:rsidRPr="00F1578F">
        <w:rPr>
          <w:rFonts w:ascii="Arial" w:hAnsi="Arial" w:cs="Arial"/>
          <w:bCs/>
          <w:color w:val="auto"/>
          <w:sz w:val="20"/>
          <w:szCs w:val="20"/>
        </w:rPr>
        <w:t xml:space="preserve">[1999] ZACC 17; 2000 (2) SA 1; 2000 (1) BCLR 39 (2 December 1999) at para 11; </w:t>
      </w:r>
      <w:r w:rsidRPr="00F1578F">
        <w:rPr>
          <w:rFonts w:ascii="Arial" w:hAnsi="Arial" w:cs="Arial"/>
          <w:bCs/>
          <w:i/>
          <w:color w:val="auto"/>
          <w:sz w:val="20"/>
          <w:szCs w:val="20"/>
        </w:rPr>
        <w:t>See also</w:t>
      </w:r>
      <w:r w:rsidRPr="00F1578F">
        <w:rPr>
          <w:rFonts w:ascii="Arial" w:hAnsi="Arial" w:cs="Arial"/>
          <w:bCs/>
          <w:color w:val="auto"/>
          <w:sz w:val="20"/>
          <w:szCs w:val="20"/>
        </w:rPr>
        <w:t xml:space="preserve"> </w:t>
      </w:r>
      <w:r w:rsidRPr="00F1578F">
        <w:rPr>
          <w:rFonts w:ascii="Arial" w:hAnsi="Arial" w:cs="Arial"/>
          <w:color w:val="auto"/>
          <w:sz w:val="20"/>
          <w:szCs w:val="20"/>
          <w:lang w:val="en-US"/>
        </w:rPr>
        <w:t xml:space="preserve">Trencon Construction (Pty) Ltd v Industrial Development Corporation of South Africa Limited and another </w:t>
      </w:r>
      <w:r w:rsidRPr="00F1578F">
        <w:rPr>
          <w:rFonts w:ascii="Arial" w:hAnsi="Arial" w:cs="Arial"/>
          <w:bCs/>
          <w:color w:val="auto"/>
          <w:sz w:val="20"/>
          <w:szCs w:val="20"/>
        </w:rPr>
        <w:t>(CCT198/14) [2015] ZACC 22; 2015 (5) SA 245 (CC); 2015 (10) BCLR 1199 (CC) (26 June 2015) at para 88.</w:t>
      </w:r>
    </w:p>
  </w:footnote>
  <w:footnote w:id="19">
    <w:p w:rsidR="005E2BEB" w:rsidRPr="00F40C02" w:rsidRDefault="005E2BEB">
      <w:pPr>
        <w:pStyle w:val="FootnoteText"/>
        <w:rPr>
          <w:rFonts w:ascii="Arial" w:hAnsi="Arial" w:cs="Arial"/>
          <w:lang w:val="en-US"/>
        </w:rPr>
      </w:pPr>
      <w:r w:rsidRPr="00F40C02">
        <w:rPr>
          <w:rStyle w:val="FootnoteReference"/>
          <w:rFonts w:ascii="Arial" w:hAnsi="Arial" w:cs="Arial"/>
        </w:rPr>
        <w:footnoteRef/>
      </w:r>
      <w:r w:rsidRPr="00F40C02">
        <w:rPr>
          <w:rFonts w:ascii="Arial" w:hAnsi="Arial" w:cs="Arial"/>
        </w:rPr>
        <w:t xml:space="preserve"> </w:t>
      </w:r>
      <w:r w:rsidRPr="00F40C02">
        <w:rPr>
          <w:rFonts w:ascii="Arial" w:hAnsi="Arial" w:cs="Arial"/>
          <w:lang w:val="en-US"/>
        </w:rPr>
        <w:t>Index – Notice of Appeal: page 12 at para 5.1</w:t>
      </w:r>
      <w:r>
        <w:rPr>
          <w:rFonts w:ascii="Arial" w:hAnsi="Arial" w:cs="Arial"/>
          <w:lang w:val="en-US"/>
        </w:rPr>
        <w:t xml:space="preserve"> of the judgment</w:t>
      </w:r>
      <w:r w:rsidRPr="00F40C02">
        <w:rPr>
          <w:rFonts w:ascii="Arial" w:hAnsi="Arial" w:cs="Arial"/>
          <w:lang w:val="en-US"/>
        </w:rPr>
        <w:t>.</w:t>
      </w:r>
    </w:p>
  </w:footnote>
  <w:footnote w:id="20">
    <w:p w:rsidR="005E2BEB" w:rsidRPr="002F55E1" w:rsidRDefault="005E2BEB">
      <w:pPr>
        <w:pStyle w:val="FootnoteText"/>
        <w:rPr>
          <w:rFonts w:ascii="Arial" w:hAnsi="Arial" w:cs="Arial"/>
          <w:lang w:val="en-US"/>
        </w:rPr>
      </w:pPr>
      <w:r w:rsidRPr="002F55E1">
        <w:rPr>
          <w:rStyle w:val="FootnoteReference"/>
          <w:rFonts w:ascii="Arial" w:hAnsi="Arial" w:cs="Arial"/>
        </w:rPr>
        <w:footnoteRef/>
      </w:r>
      <w:r w:rsidRPr="002F55E1">
        <w:rPr>
          <w:rFonts w:ascii="Arial" w:hAnsi="Arial" w:cs="Arial"/>
        </w:rPr>
        <w:t xml:space="preserve"> </w:t>
      </w:r>
      <w:r>
        <w:rPr>
          <w:rFonts w:ascii="Arial" w:hAnsi="Arial" w:cs="Arial"/>
          <w:lang w:val="en-US"/>
        </w:rPr>
        <w:t xml:space="preserve">Index: p 25 to 26 : Para 3.4: </w:t>
      </w:r>
      <w:r w:rsidR="00E50A52">
        <w:rPr>
          <w:rFonts w:ascii="Arial" w:hAnsi="Arial" w:cs="Arial"/>
          <w:lang w:val="en-US"/>
        </w:rPr>
        <w:t>Opposing affidavit</w:t>
      </w:r>
      <w:r>
        <w:rPr>
          <w:rFonts w:ascii="Arial" w:hAnsi="Arial" w:cs="Arial"/>
          <w:lang w:val="en-US"/>
        </w:rPr>
        <w:t>.</w:t>
      </w:r>
    </w:p>
  </w:footnote>
  <w:footnote w:id="21">
    <w:p w:rsidR="005E2BEB" w:rsidRPr="00F1578F" w:rsidRDefault="005E2BEB">
      <w:pPr>
        <w:pStyle w:val="FootnoteText"/>
        <w:rPr>
          <w:rFonts w:ascii="Arial" w:hAnsi="Arial" w:cs="Arial"/>
          <w:lang w:val="en-US"/>
        </w:rPr>
      </w:pPr>
      <w:r w:rsidRPr="00F1578F">
        <w:rPr>
          <w:rStyle w:val="FootnoteReference"/>
          <w:rFonts w:ascii="Arial" w:hAnsi="Arial" w:cs="Arial"/>
        </w:rPr>
        <w:footnoteRef/>
      </w:r>
      <w:r w:rsidRPr="00F1578F">
        <w:rPr>
          <w:rFonts w:ascii="Arial" w:hAnsi="Arial" w:cs="Arial"/>
        </w:rPr>
        <w:t xml:space="preserve"> </w:t>
      </w:r>
      <w:r>
        <w:rPr>
          <w:rFonts w:ascii="Arial" w:hAnsi="Arial" w:cs="Arial"/>
        </w:rPr>
        <w:t xml:space="preserve">Index- Notice of Appeal: page 15 at </w:t>
      </w:r>
      <w:r>
        <w:rPr>
          <w:rFonts w:ascii="Arial" w:hAnsi="Arial" w:cs="Arial"/>
          <w:lang w:val="en-US"/>
        </w:rPr>
        <w:t>p</w:t>
      </w:r>
      <w:r w:rsidRPr="00F1578F">
        <w:rPr>
          <w:rFonts w:ascii="Arial" w:hAnsi="Arial" w:cs="Arial"/>
          <w:lang w:val="en-US"/>
        </w:rPr>
        <w:t>ara 15 of the judgment.</w:t>
      </w:r>
    </w:p>
  </w:footnote>
  <w:footnote w:id="22">
    <w:p w:rsidR="005E2BEB" w:rsidRPr="00AA3BC8" w:rsidRDefault="005E2BEB">
      <w:pPr>
        <w:pStyle w:val="FootnoteText"/>
        <w:rPr>
          <w:rFonts w:ascii="Arial" w:hAnsi="Arial" w:cs="Arial"/>
          <w:lang w:val="en-US"/>
        </w:rPr>
      </w:pPr>
      <w:r w:rsidRPr="00AA3BC8">
        <w:rPr>
          <w:rStyle w:val="FootnoteReference"/>
          <w:rFonts w:ascii="Arial" w:hAnsi="Arial" w:cs="Arial"/>
        </w:rPr>
        <w:footnoteRef/>
      </w:r>
      <w:r w:rsidRPr="00AA3BC8">
        <w:rPr>
          <w:rFonts w:ascii="Arial" w:hAnsi="Arial" w:cs="Arial"/>
        </w:rPr>
        <w:t xml:space="preserve"> </w:t>
      </w:r>
      <w:r>
        <w:rPr>
          <w:rFonts w:ascii="Arial" w:hAnsi="Arial" w:cs="Arial"/>
          <w:lang w:val="en-US"/>
        </w:rPr>
        <w:t>Index - Notice of Appeal: p</w:t>
      </w:r>
      <w:r w:rsidRPr="00AA3BC8">
        <w:rPr>
          <w:rFonts w:ascii="Arial" w:hAnsi="Arial" w:cs="Arial"/>
          <w:lang w:val="en-US"/>
        </w:rPr>
        <w:t xml:space="preserve">age 16 at para 16 of </w:t>
      </w:r>
      <w:r>
        <w:rPr>
          <w:rFonts w:ascii="Arial" w:hAnsi="Arial" w:cs="Arial"/>
          <w:lang w:val="en-US"/>
        </w:rPr>
        <w:t xml:space="preserve">the </w:t>
      </w:r>
      <w:r w:rsidRPr="00AA3BC8">
        <w:rPr>
          <w:rFonts w:ascii="Arial" w:hAnsi="Arial" w:cs="Arial"/>
          <w:lang w:val="en-US"/>
        </w:rPr>
        <w:t>judgment.</w:t>
      </w:r>
    </w:p>
  </w:footnote>
  <w:footnote w:id="23">
    <w:p w:rsidR="005E2BEB" w:rsidRPr="00BA1AC8" w:rsidRDefault="005E2BEB">
      <w:pPr>
        <w:pStyle w:val="FootnoteText"/>
        <w:rPr>
          <w:rFonts w:ascii="Arial" w:hAnsi="Arial" w:cs="Arial"/>
          <w:lang w:val="en-US"/>
        </w:rPr>
      </w:pPr>
      <w:r w:rsidRPr="00BA1AC8">
        <w:rPr>
          <w:rStyle w:val="FootnoteReference"/>
          <w:rFonts w:ascii="Arial" w:hAnsi="Arial" w:cs="Arial"/>
        </w:rPr>
        <w:footnoteRef/>
      </w:r>
      <w:r w:rsidRPr="00BA1AC8">
        <w:rPr>
          <w:rFonts w:ascii="Arial" w:hAnsi="Arial" w:cs="Arial"/>
        </w:rPr>
        <w:t xml:space="preserve"> </w:t>
      </w:r>
      <w:r>
        <w:rPr>
          <w:rFonts w:ascii="Arial" w:hAnsi="Arial" w:cs="Arial"/>
          <w:lang w:val="en-US"/>
        </w:rPr>
        <w:t xml:space="preserve">See also </w:t>
      </w:r>
      <w:r>
        <w:rPr>
          <w:rFonts w:ascii="Arial" w:hAnsi="Arial" w:cs="Arial"/>
        </w:rPr>
        <w:t>Index- Notice of Appeal:</w:t>
      </w:r>
      <w:r>
        <w:rPr>
          <w:rFonts w:ascii="Arial" w:hAnsi="Arial" w:cs="Arial"/>
          <w:lang w:val="en-US"/>
        </w:rPr>
        <w:t xml:space="preserve"> page 3 at para 3 of the judgment. </w:t>
      </w:r>
    </w:p>
  </w:footnote>
  <w:footnote w:id="24">
    <w:p w:rsidR="005E2BEB" w:rsidRPr="005E3E70" w:rsidRDefault="005E2BEB" w:rsidP="00E63E39">
      <w:pPr>
        <w:pStyle w:val="FootnoteText"/>
        <w:rPr>
          <w:rFonts w:ascii="Arial" w:hAnsi="Arial" w:cs="Arial"/>
          <w:lang w:val="en-US"/>
        </w:rPr>
      </w:pPr>
      <w:r w:rsidRPr="005E3E70">
        <w:rPr>
          <w:rStyle w:val="FootnoteReference"/>
          <w:rFonts w:ascii="Arial" w:hAnsi="Arial" w:cs="Arial"/>
        </w:rPr>
        <w:footnoteRef/>
      </w:r>
      <w:r w:rsidRPr="005E3E70">
        <w:rPr>
          <w:rFonts w:ascii="Arial" w:hAnsi="Arial" w:cs="Arial"/>
        </w:rPr>
        <w:t xml:space="preserve"> 2020 (6) SA 624 (WCC) at paras 23 to 24.</w:t>
      </w:r>
    </w:p>
  </w:footnote>
  <w:footnote w:id="25">
    <w:p w:rsidR="005E2BEB" w:rsidRPr="003705FC" w:rsidRDefault="005E2BEB" w:rsidP="00AB00F6">
      <w:pPr>
        <w:pStyle w:val="FootnoteText"/>
        <w:rPr>
          <w:rFonts w:ascii="Arial" w:hAnsi="Arial" w:cs="Arial"/>
          <w:lang w:val="en-US"/>
        </w:rPr>
      </w:pPr>
      <w:r w:rsidRPr="003705FC">
        <w:rPr>
          <w:rStyle w:val="FootnoteReference"/>
          <w:rFonts w:ascii="Arial" w:hAnsi="Arial" w:cs="Arial"/>
        </w:rPr>
        <w:footnoteRef/>
      </w:r>
      <w:r w:rsidRPr="003705FC">
        <w:rPr>
          <w:rFonts w:ascii="Arial" w:hAnsi="Arial" w:cs="Arial"/>
        </w:rPr>
        <w:t xml:space="preserve"> </w:t>
      </w:r>
      <w:r w:rsidRPr="003705FC">
        <w:rPr>
          <w:rFonts w:ascii="Arial" w:hAnsi="Arial" w:cs="Arial"/>
          <w:i/>
          <w:lang w:val="en-US"/>
        </w:rPr>
        <w:t xml:space="preserve">Supra </w:t>
      </w:r>
      <w:r w:rsidRPr="003705FC">
        <w:rPr>
          <w:rFonts w:ascii="Arial" w:hAnsi="Arial" w:cs="Arial"/>
          <w:lang w:val="en-US"/>
        </w:rPr>
        <w:t>at para 18.</w:t>
      </w:r>
    </w:p>
  </w:footnote>
  <w:footnote w:id="26">
    <w:p w:rsidR="005E2BEB" w:rsidRPr="003705FC" w:rsidRDefault="005E2BEB" w:rsidP="00AB00F6">
      <w:pPr>
        <w:pStyle w:val="FootnoteText"/>
        <w:rPr>
          <w:rFonts w:ascii="Arial" w:hAnsi="Arial" w:cs="Arial"/>
          <w:lang w:val="en-US"/>
        </w:rPr>
      </w:pPr>
      <w:r w:rsidRPr="003705FC">
        <w:rPr>
          <w:rStyle w:val="FootnoteReference"/>
          <w:rFonts w:ascii="Arial" w:hAnsi="Arial" w:cs="Arial"/>
        </w:rPr>
        <w:footnoteRef/>
      </w:r>
      <w:r w:rsidRPr="003705FC">
        <w:rPr>
          <w:rFonts w:ascii="Arial" w:hAnsi="Arial" w:cs="Arial"/>
        </w:rPr>
        <w:t xml:space="preserve"> Para 5.6 of respondent’s heads of argument.</w:t>
      </w:r>
    </w:p>
  </w:footnote>
  <w:footnote w:id="27">
    <w:p w:rsidR="005E2BEB" w:rsidRPr="003705FC" w:rsidRDefault="005E2BEB" w:rsidP="0031120D">
      <w:pPr>
        <w:pStyle w:val="FootnoteText"/>
        <w:rPr>
          <w:rFonts w:ascii="Arial" w:hAnsi="Arial" w:cs="Arial"/>
          <w:lang w:val="en-US"/>
        </w:rPr>
      </w:pPr>
      <w:r w:rsidRPr="003705FC">
        <w:rPr>
          <w:rStyle w:val="FootnoteReference"/>
          <w:rFonts w:ascii="Arial" w:hAnsi="Arial" w:cs="Arial"/>
        </w:rPr>
        <w:footnoteRef/>
      </w:r>
      <w:r w:rsidRPr="003705FC">
        <w:rPr>
          <w:rFonts w:ascii="Arial" w:hAnsi="Arial" w:cs="Arial"/>
        </w:rPr>
        <w:t xml:space="preserve"> </w:t>
      </w:r>
      <w:r w:rsidRPr="003705FC">
        <w:rPr>
          <w:rFonts w:ascii="Arial" w:hAnsi="Arial" w:cs="Arial"/>
          <w:lang w:val="en-US"/>
        </w:rPr>
        <w:t xml:space="preserve">Para 8.1 of respondent’s heads </w:t>
      </w:r>
      <w:r w:rsidRPr="003705FC">
        <w:rPr>
          <w:rFonts w:ascii="Arial" w:hAnsi="Arial" w:cs="Arial"/>
        </w:rPr>
        <w:t>of argument</w:t>
      </w:r>
      <w:r w:rsidRPr="003705FC">
        <w:rPr>
          <w:rFonts w:ascii="Arial" w:hAnsi="Arial" w:cs="Arial"/>
          <w:lang w:val="en-US"/>
        </w:rPr>
        <w:t>.</w:t>
      </w:r>
    </w:p>
  </w:footnote>
  <w:footnote w:id="28">
    <w:p w:rsidR="005E2BEB" w:rsidRPr="003705FC" w:rsidRDefault="005E2BEB" w:rsidP="0031120D">
      <w:pPr>
        <w:pStyle w:val="FootnoteText"/>
        <w:rPr>
          <w:rFonts w:ascii="Arial" w:hAnsi="Arial" w:cs="Arial"/>
          <w:lang w:val="en-US"/>
        </w:rPr>
      </w:pPr>
      <w:r w:rsidRPr="003705FC">
        <w:rPr>
          <w:rStyle w:val="FootnoteReference"/>
          <w:rFonts w:ascii="Arial" w:hAnsi="Arial" w:cs="Arial"/>
        </w:rPr>
        <w:footnoteRef/>
      </w:r>
      <w:r w:rsidRPr="003705FC">
        <w:rPr>
          <w:rFonts w:ascii="Arial" w:hAnsi="Arial" w:cs="Arial"/>
        </w:rPr>
        <w:t xml:space="preserve"> </w:t>
      </w:r>
      <w:r w:rsidRPr="003705FC">
        <w:rPr>
          <w:rFonts w:ascii="Arial" w:hAnsi="Arial" w:cs="Arial"/>
          <w:lang w:val="en-US"/>
        </w:rPr>
        <w:t xml:space="preserve">Para 8.2 of respondent’s heads </w:t>
      </w:r>
      <w:r w:rsidRPr="003705FC">
        <w:rPr>
          <w:rFonts w:ascii="Arial" w:hAnsi="Arial" w:cs="Arial"/>
        </w:rPr>
        <w:t>of argument</w:t>
      </w:r>
    </w:p>
  </w:footnote>
  <w:footnote w:id="29">
    <w:p w:rsidR="005E2BEB" w:rsidRPr="0004335E" w:rsidRDefault="005E2BEB" w:rsidP="00DE6AE3">
      <w:pPr>
        <w:pStyle w:val="FootnoteText"/>
        <w:rPr>
          <w:rFonts w:ascii="Arial" w:hAnsi="Arial" w:cs="Arial"/>
          <w:lang w:val="en-US"/>
        </w:rPr>
      </w:pPr>
      <w:r w:rsidRPr="0004335E">
        <w:rPr>
          <w:rStyle w:val="FootnoteReference"/>
          <w:rFonts w:ascii="Arial" w:hAnsi="Arial" w:cs="Arial"/>
        </w:rPr>
        <w:footnoteRef/>
      </w:r>
      <w:r w:rsidRPr="0004335E">
        <w:rPr>
          <w:rFonts w:ascii="Arial" w:hAnsi="Arial" w:cs="Arial"/>
        </w:rPr>
        <w:t xml:space="preserve"> </w:t>
      </w:r>
      <w:r>
        <w:rPr>
          <w:rFonts w:ascii="Arial" w:hAnsi="Arial" w:cs="Arial"/>
        </w:rPr>
        <w:t xml:space="preserve">Index pages 27 at para 6.1 of </w:t>
      </w:r>
      <w:r w:rsidRPr="0004335E">
        <w:rPr>
          <w:rFonts w:ascii="Arial" w:hAnsi="Arial" w:cs="Arial"/>
          <w:lang w:val="en-US"/>
        </w:rPr>
        <w:t>opposing affidavit</w:t>
      </w:r>
      <w:r>
        <w:rPr>
          <w:rFonts w:ascii="Arial" w:hAnsi="Arial" w:cs="Arial"/>
        </w:rPr>
        <w:t xml:space="preserve"> and pp 48 – 49: </w:t>
      </w:r>
      <w:r w:rsidRPr="0004335E">
        <w:rPr>
          <w:rFonts w:ascii="Arial" w:hAnsi="Arial" w:cs="Arial"/>
          <w:lang w:val="en-US"/>
        </w:rPr>
        <w:t xml:space="preserve">Annexure “D1” </w:t>
      </w:r>
      <w:r>
        <w:rPr>
          <w:rFonts w:ascii="Arial" w:hAnsi="Arial" w:cs="Arial"/>
          <w:lang w:val="en-US"/>
        </w:rPr>
        <w:t>to “D2”</w:t>
      </w:r>
      <w:r w:rsidRPr="0004335E">
        <w:rPr>
          <w:rFonts w:ascii="Arial" w:hAnsi="Arial" w:cs="Arial"/>
          <w:lang w:val="en-US"/>
        </w:rPr>
        <w:t>.</w:t>
      </w:r>
    </w:p>
  </w:footnote>
  <w:footnote w:id="30">
    <w:p w:rsidR="005E2BEB" w:rsidRPr="00B30808" w:rsidRDefault="005E2BEB" w:rsidP="000F3DD3">
      <w:pPr>
        <w:pStyle w:val="FootnoteText"/>
        <w:rPr>
          <w:rFonts w:ascii="Arial" w:hAnsi="Arial" w:cs="Arial"/>
          <w:lang w:val="en-US"/>
        </w:rPr>
      </w:pPr>
      <w:r w:rsidRPr="00642359">
        <w:rPr>
          <w:rStyle w:val="FootnoteReference"/>
          <w:rFonts w:ascii="Arial" w:hAnsi="Arial" w:cs="Arial"/>
        </w:rPr>
        <w:footnoteRef/>
      </w:r>
      <w:r w:rsidRPr="00642359">
        <w:rPr>
          <w:rFonts w:ascii="Arial" w:hAnsi="Arial" w:cs="Arial"/>
        </w:rPr>
        <w:t xml:space="preserve"> </w:t>
      </w:r>
      <w:r w:rsidRPr="00642359">
        <w:rPr>
          <w:rFonts w:ascii="Arial" w:hAnsi="Arial" w:cs="Arial"/>
          <w:lang w:val="en-US"/>
        </w:rPr>
        <w:t>1959 (3) SA 362 (W)</w:t>
      </w:r>
      <w:r w:rsidRPr="00B30808">
        <w:rPr>
          <w:rFonts w:ascii="Arial" w:hAnsi="Arial" w:cs="Arial"/>
          <w:lang w:val="en-US"/>
        </w:rPr>
        <w:t>.</w:t>
      </w:r>
    </w:p>
  </w:footnote>
  <w:footnote w:id="31">
    <w:p w:rsidR="005E2BEB" w:rsidRPr="0021010F" w:rsidRDefault="005E2BEB">
      <w:pPr>
        <w:pStyle w:val="FootnoteText"/>
        <w:rPr>
          <w:rFonts w:ascii="Arial" w:hAnsi="Arial" w:cs="Arial"/>
          <w:lang w:val="en-US"/>
        </w:rPr>
      </w:pPr>
      <w:r w:rsidRPr="0021010F">
        <w:rPr>
          <w:rStyle w:val="FootnoteReference"/>
          <w:rFonts w:ascii="Arial" w:hAnsi="Arial" w:cs="Arial"/>
        </w:rPr>
        <w:footnoteRef/>
      </w:r>
      <w:r w:rsidRPr="0021010F">
        <w:rPr>
          <w:rFonts w:ascii="Arial" w:hAnsi="Arial" w:cs="Arial"/>
        </w:rPr>
        <w:t xml:space="preserve"> </w:t>
      </w:r>
      <w:r w:rsidRPr="0021010F">
        <w:rPr>
          <w:rFonts w:ascii="Arial" w:hAnsi="Arial" w:cs="Arial"/>
          <w:lang w:val="en-US"/>
        </w:rPr>
        <w:t xml:space="preserve">[2014] ZAFSHC 143 (4 September 2014). </w:t>
      </w:r>
    </w:p>
  </w:footnote>
  <w:footnote w:id="32">
    <w:p w:rsidR="005E2BEB" w:rsidRPr="00E52575" w:rsidRDefault="005E2BEB">
      <w:pPr>
        <w:pStyle w:val="FootnoteText"/>
        <w:rPr>
          <w:rFonts w:ascii="Arial" w:hAnsi="Arial" w:cs="Arial"/>
          <w:lang w:val="en-US"/>
        </w:rPr>
      </w:pPr>
      <w:r w:rsidRPr="00E52575">
        <w:rPr>
          <w:rStyle w:val="FootnoteReference"/>
          <w:rFonts w:ascii="Arial" w:hAnsi="Arial" w:cs="Arial"/>
        </w:rPr>
        <w:footnoteRef/>
      </w:r>
      <w:r w:rsidRPr="00E52575">
        <w:rPr>
          <w:rFonts w:ascii="Arial" w:hAnsi="Arial" w:cs="Arial"/>
        </w:rPr>
        <w:t xml:space="preserve"> </w:t>
      </w:r>
      <w:r>
        <w:rPr>
          <w:rFonts w:ascii="Arial" w:hAnsi="Arial" w:cs="Arial"/>
        </w:rPr>
        <w:t>I</w:t>
      </w:r>
      <w:r w:rsidR="006D3A55">
        <w:rPr>
          <w:rFonts w:ascii="Arial" w:hAnsi="Arial" w:cs="Arial"/>
        </w:rPr>
        <w:t>n</w:t>
      </w:r>
      <w:r>
        <w:rPr>
          <w:rFonts w:ascii="Arial" w:hAnsi="Arial" w:cs="Arial"/>
        </w:rPr>
        <w:t xml:space="preserve">dex – Notice of Appeal: </w:t>
      </w:r>
      <w:r>
        <w:rPr>
          <w:rFonts w:ascii="Arial" w:hAnsi="Arial" w:cs="Arial"/>
          <w:lang w:val="en-US"/>
        </w:rPr>
        <w:t xml:space="preserve"> pages 16 – 19 at paras20 - 22</w:t>
      </w:r>
      <w:r w:rsidRPr="00E52575">
        <w:rPr>
          <w:rFonts w:ascii="Arial" w:hAnsi="Arial" w:cs="Arial"/>
          <w:lang w:val="en-US"/>
        </w:rPr>
        <w:t xml:space="preserve"> of judgment.</w:t>
      </w:r>
    </w:p>
  </w:footnote>
  <w:footnote w:id="33">
    <w:p w:rsidR="005E2BEB" w:rsidRPr="00D37E70" w:rsidRDefault="005E2BEB">
      <w:pPr>
        <w:pStyle w:val="FootnoteText"/>
        <w:rPr>
          <w:rFonts w:ascii="Arial" w:hAnsi="Arial" w:cs="Arial"/>
          <w:lang w:val="en-US"/>
        </w:rPr>
      </w:pPr>
      <w:r w:rsidRPr="00D37E70">
        <w:rPr>
          <w:rStyle w:val="FootnoteReference"/>
          <w:rFonts w:ascii="Arial" w:hAnsi="Arial" w:cs="Arial"/>
        </w:rPr>
        <w:footnoteRef/>
      </w:r>
      <w:r w:rsidRPr="00D37E70">
        <w:rPr>
          <w:rFonts w:ascii="Arial" w:hAnsi="Arial" w:cs="Arial"/>
        </w:rPr>
        <w:t xml:space="preserve"> </w:t>
      </w:r>
      <w:r w:rsidRPr="00D37E70">
        <w:rPr>
          <w:rFonts w:ascii="Arial" w:hAnsi="Arial" w:cs="Arial"/>
          <w:lang w:val="en-US"/>
        </w:rPr>
        <w:t>Appellant</w:t>
      </w:r>
      <w:r>
        <w:rPr>
          <w:rFonts w:ascii="Arial" w:hAnsi="Arial" w:cs="Arial"/>
          <w:lang w:val="en-US"/>
        </w:rPr>
        <w:t>’s</w:t>
      </w:r>
      <w:r w:rsidR="006D3A55">
        <w:rPr>
          <w:rFonts w:ascii="Arial" w:hAnsi="Arial" w:cs="Arial"/>
          <w:lang w:val="en-US"/>
        </w:rPr>
        <w:t xml:space="preserve"> heads of argument at par</w:t>
      </w:r>
      <w:r w:rsidRPr="00D37E70">
        <w:rPr>
          <w:rFonts w:ascii="Arial" w:hAnsi="Arial" w:cs="Arial"/>
          <w:lang w:val="en-US"/>
        </w:rPr>
        <w:t>a 12.1 – 12.7.</w:t>
      </w:r>
    </w:p>
  </w:footnote>
  <w:footnote w:id="34">
    <w:p w:rsidR="005E2BEB" w:rsidRPr="009B2406" w:rsidRDefault="005E2BEB">
      <w:pPr>
        <w:pStyle w:val="FootnoteText"/>
        <w:rPr>
          <w:rFonts w:ascii="Arial" w:hAnsi="Arial" w:cs="Arial"/>
          <w:lang w:val="en-US"/>
        </w:rPr>
      </w:pPr>
      <w:r w:rsidRPr="009B2406">
        <w:rPr>
          <w:rStyle w:val="FootnoteReference"/>
          <w:rFonts w:ascii="Arial" w:hAnsi="Arial" w:cs="Arial"/>
        </w:rPr>
        <w:footnoteRef/>
      </w:r>
      <w:r w:rsidRPr="009B2406">
        <w:rPr>
          <w:rFonts w:ascii="Arial" w:hAnsi="Arial" w:cs="Arial"/>
        </w:rPr>
        <w:t xml:space="preserve"> </w:t>
      </w:r>
      <w:r w:rsidRPr="009B2406">
        <w:rPr>
          <w:rFonts w:ascii="Arial" w:hAnsi="Arial" w:cs="Arial"/>
          <w:lang w:val="en-US"/>
        </w:rPr>
        <w:t>Index – Notice of Appeal: pages 12 and 16 at paras 6 and 17</w:t>
      </w:r>
      <w:r w:rsidR="006D3A55">
        <w:rPr>
          <w:rFonts w:ascii="Arial" w:hAnsi="Arial" w:cs="Arial"/>
          <w:lang w:val="en-US"/>
        </w:rPr>
        <w:t xml:space="preserve"> of judgment</w:t>
      </w:r>
      <w:r w:rsidRPr="009B2406">
        <w:rPr>
          <w:rFonts w:ascii="Arial" w:hAnsi="Arial" w:cs="Arial"/>
          <w:lang w:val="en-US"/>
        </w:rPr>
        <w:t>.</w:t>
      </w:r>
    </w:p>
  </w:footnote>
  <w:footnote w:id="35">
    <w:p w:rsidR="005E2BEB" w:rsidRPr="000F45AF" w:rsidRDefault="005E2BEB">
      <w:pPr>
        <w:pStyle w:val="FootnoteText"/>
        <w:rPr>
          <w:rFonts w:ascii="Arial" w:hAnsi="Arial" w:cs="Arial"/>
          <w:lang w:val="en-US"/>
        </w:rPr>
      </w:pPr>
      <w:r w:rsidRPr="000F45AF">
        <w:rPr>
          <w:rStyle w:val="FootnoteReference"/>
          <w:rFonts w:ascii="Arial" w:hAnsi="Arial" w:cs="Arial"/>
        </w:rPr>
        <w:footnoteRef/>
      </w:r>
      <w:r w:rsidRPr="000F45AF">
        <w:rPr>
          <w:rFonts w:ascii="Arial" w:hAnsi="Arial" w:cs="Arial"/>
        </w:rPr>
        <w:t xml:space="preserve"> </w:t>
      </w:r>
      <w:r w:rsidRPr="000F45AF">
        <w:rPr>
          <w:rFonts w:ascii="Arial" w:hAnsi="Arial" w:cs="Arial"/>
          <w:lang w:val="en-US"/>
        </w:rPr>
        <w:t>See also respondent’s heads of argument at para 8.2.</w:t>
      </w:r>
    </w:p>
  </w:footnote>
  <w:footnote w:id="36">
    <w:p w:rsidR="005E2BEB" w:rsidRPr="006D3A55" w:rsidRDefault="005E2BEB" w:rsidP="00BD5669">
      <w:pPr>
        <w:pStyle w:val="FootnoteText"/>
        <w:rPr>
          <w:rFonts w:ascii="Arial" w:hAnsi="Arial" w:cs="Arial"/>
          <w:lang w:val="en-US"/>
        </w:rPr>
      </w:pPr>
      <w:r w:rsidRPr="006D3A55">
        <w:rPr>
          <w:rStyle w:val="FootnoteReference"/>
          <w:rFonts w:ascii="Arial" w:hAnsi="Arial" w:cs="Arial"/>
        </w:rPr>
        <w:footnoteRef/>
      </w:r>
      <w:r w:rsidRPr="006D3A55">
        <w:rPr>
          <w:rFonts w:ascii="Arial" w:hAnsi="Arial" w:cs="Arial"/>
        </w:rPr>
        <w:t xml:space="preserve"> </w:t>
      </w:r>
      <w:r w:rsidRPr="006D3A55">
        <w:rPr>
          <w:rFonts w:ascii="Arial" w:hAnsi="Arial" w:cs="Arial"/>
          <w:lang w:val="en-US"/>
        </w:rPr>
        <w:t xml:space="preserve">Para 7 of the </w:t>
      </w:r>
      <w:r w:rsidR="006D3A55">
        <w:rPr>
          <w:rFonts w:ascii="Arial" w:hAnsi="Arial" w:cs="Arial"/>
          <w:lang w:val="en-US"/>
        </w:rPr>
        <w:t>POC: Index page 14</w:t>
      </w:r>
      <w:r w:rsidR="006D3A55" w:rsidRPr="006D3A55">
        <w:rPr>
          <w:rFonts w:ascii="Arial" w:hAnsi="Arial" w:cs="Arial"/>
          <w:lang w:val="en-US"/>
        </w:rPr>
        <w:t>.</w:t>
      </w:r>
    </w:p>
  </w:footnote>
  <w:footnote w:id="37">
    <w:p w:rsidR="005E2BEB" w:rsidRPr="00257600" w:rsidRDefault="005E2BEB" w:rsidP="00BD5669">
      <w:pPr>
        <w:pStyle w:val="FootnoteText"/>
        <w:rPr>
          <w:rFonts w:ascii="Arial" w:hAnsi="Arial" w:cs="Arial"/>
          <w:lang w:val="en-US"/>
        </w:rPr>
      </w:pPr>
      <w:r w:rsidRPr="00257600">
        <w:rPr>
          <w:rStyle w:val="FootnoteReference"/>
          <w:rFonts w:ascii="Arial" w:hAnsi="Arial" w:cs="Arial"/>
        </w:rPr>
        <w:footnoteRef/>
      </w:r>
      <w:r w:rsidRPr="00257600">
        <w:rPr>
          <w:rFonts w:ascii="Arial" w:hAnsi="Arial" w:cs="Arial"/>
        </w:rPr>
        <w:t xml:space="preserve"> </w:t>
      </w:r>
      <w:r w:rsidRPr="00257600">
        <w:rPr>
          <w:rFonts w:ascii="Arial" w:hAnsi="Arial" w:cs="Arial"/>
          <w:lang w:val="en-US"/>
        </w:rPr>
        <w:t>(1363/2019) [2021] ZACSA 58 (12 MAY 2021).</w:t>
      </w:r>
    </w:p>
  </w:footnote>
  <w:footnote w:id="38">
    <w:p w:rsidR="005E2BEB" w:rsidRPr="001C58F0" w:rsidRDefault="005E2BEB" w:rsidP="006B679D">
      <w:pPr>
        <w:pStyle w:val="FootnoteText"/>
        <w:rPr>
          <w:rFonts w:ascii="Arial" w:hAnsi="Arial" w:cs="Arial"/>
          <w:lang w:val="en-US"/>
        </w:rPr>
      </w:pPr>
      <w:r w:rsidRPr="00257600">
        <w:rPr>
          <w:rStyle w:val="FootnoteReference"/>
          <w:rFonts w:ascii="Arial" w:hAnsi="Arial" w:cs="Arial"/>
        </w:rPr>
        <w:footnoteRef/>
      </w:r>
      <w:r w:rsidRPr="00257600">
        <w:rPr>
          <w:rFonts w:ascii="Arial" w:hAnsi="Arial" w:cs="Arial"/>
        </w:rPr>
        <w:t xml:space="preserve"> </w:t>
      </w:r>
      <w:r w:rsidRPr="00257600">
        <w:rPr>
          <w:rFonts w:ascii="Arial" w:hAnsi="Arial" w:cs="Arial"/>
          <w:lang w:val="en-US"/>
        </w:rPr>
        <w:t>Index: page14: POC at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EB" w:rsidRDefault="002A566E">
    <w:pPr>
      <w:pStyle w:val="Header"/>
      <w:jc w:val="right"/>
    </w:pPr>
    <w:sdt>
      <w:sdtPr>
        <w:id w:val="835499699"/>
        <w:docPartObj>
          <w:docPartGallery w:val="Page Numbers (Top of Page)"/>
          <w:docPartUnique/>
        </w:docPartObj>
      </w:sdtPr>
      <w:sdtEndPr>
        <w:rPr>
          <w:noProof/>
        </w:rPr>
      </w:sdtEndPr>
      <w:sdtContent>
        <w:r w:rsidR="005E2BEB">
          <w:fldChar w:fldCharType="begin"/>
        </w:r>
        <w:r w:rsidR="005E2BEB">
          <w:instrText xml:space="preserve"> PAGE   \* MERGEFORMAT </w:instrText>
        </w:r>
        <w:r w:rsidR="005E2BEB">
          <w:fldChar w:fldCharType="separate"/>
        </w:r>
        <w:r w:rsidR="006A35C5">
          <w:rPr>
            <w:noProof/>
          </w:rPr>
          <w:t>2</w:t>
        </w:r>
        <w:r w:rsidR="005E2BEB">
          <w:rPr>
            <w:noProof/>
          </w:rPr>
          <w:fldChar w:fldCharType="end"/>
        </w:r>
      </w:sdtContent>
    </w:sdt>
  </w:p>
  <w:p w:rsidR="005E2BEB" w:rsidRDefault="005E2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D34"/>
    <w:multiLevelType w:val="hybridMultilevel"/>
    <w:tmpl w:val="97703066"/>
    <w:lvl w:ilvl="0" w:tplc="FDC4E7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83378"/>
    <w:multiLevelType w:val="multilevel"/>
    <w:tmpl w:val="3A2400FE"/>
    <w:lvl w:ilvl="0">
      <w:start w:val="1"/>
      <w:numFmt w:val="decimal"/>
      <w:lvlText w:val="[%1]."/>
      <w:lvlJc w:val="left"/>
      <w:pPr>
        <w:ind w:left="720" w:hanging="720"/>
      </w:pPr>
      <w:rPr>
        <w:rFonts w:hint="default"/>
        <w:sz w:val="24"/>
        <w:szCs w:val="24"/>
      </w:rPr>
    </w:lvl>
    <w:lvl w:ilvl="1">
      <w:start w:val="1"/>
      <w:numFmt w:val="lowerLetter"/>
      <w:lvlText w:val="(%2)."/>
      <w:lvlJc w:val="left"/>
      <w:pPr>
        <w:ind w:left="1440" w:hanging="720"/>
      </w:pPr>
      <w:rPr>
        <w:rFonts w:hint="default"/>
        <w:sz w:val="20"/>
        <w:szCs w:val="20"/>
      </w:rPr>
    </w:lvl>
    <w:lvl w:ilvl="2">
      <w:start w:val="1"/>
      <w:numFmt w:val="lowerRoman"/>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B01686"/>
    <w:multiLevelType w:val="hybridMultilevel"/>
    <w:tmpl w:val="4D24D186"/>
    <w:lvl w:ilvl="0" w:tplc="0E787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B56498"/>
    <w:multiLevelType w:val="hybridMultilevel"/>
    <w:tmpl w:val="EA56812C"/>
    <w:lvl w:ilvl="0" w:tplc="6040008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B4F5B"/>
    <w:multiLevelType w:val="hybridMultilevel"/>
    <w:tmpl w:val="62443454"/>
    <w:lvl w:ilvl="0" w:tplc="C14E40A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F7731"/>
    <w:multiLevelType w:val="hybridMultilevel"/>
    <w:tmpl w:val="5B1A8A9C"/>
    <w:lvl w:ilvl="0" w:tplc="6EB80E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CD8353F"/>
    <w:multiLevelType w:val="hybridMultilevel"/>
    <w:tmpl w:val="8A123A84"/>
    <w:lvl w:ilvl="0" w:tplc="5546F6D4">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82EB4"/>
    <w:multiLevelType w:val="hybridMultilevel"/>
    <w:tmpl w:val="78DCF23C"/>
    <w:lvl w:ilvl="0" w:tplc="C30676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04A78"/>
    <w:multiLevelType w:val="hybridMultilevel"/>
    <w:tmpl w:val="3D705672"/>
    <w:lvl w:ilvl="0" w:tplc="C1A0B74A">
      <w:start w:val="1"/>
      <w:numFmt w:val="lowerLetter"/>
      <w:lvlText w:val="(%1)"/>
      <w:lvlJc w:val="left"/>
      <w:pPr>
        <w:ind w:left="720" w:hanging="360"/>
      </w:pPr>
      <w:rPr>
        <w:rFonts w:hint="default"/>
        <w:color w:val="24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B581D"/>
    <w:multiLevelType w:val="hybridMultilevel"/>
    <w:tmpl w:val="731C6B86"/>
    <w:lvl w:ilvl="0" w:tplc="46768AE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66757"/>
    <w:multiLevelType w:val="multilevel"/>
    <w:tmpl w:val="98905D80"/>
    <w:lvl w:ilvl="0">
      <w:start w:val="21"/>
      <w:numFmt w:val="decimal"/>
      <w:lvlText w:val="%1"/>
      <w:lvlJc w:val="left"/>
      <w:pPr>
        <w:ind w:left="570" w:hanging="57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1">
    <w:nsid w:val="3451577F"/>
    <w:multiLevelType w:val="multilevel"/>
    <w:tmpl w:val="C902FB1E"/>
    <w:lvl w:ilvl="0">
      <w:start w:val="1"/>
      <w:numFmt w:val="decimal"/>
      <w:lvlText w:val="[%1]."/>
      <w:lvlJc w:val="left"/>
      <w:pPr>
        <w:ind w:left="720" w:hanging="720"/>
      </w:pPr>
      <w:rPr>
        <w:rFonts w:hint="default"/>
        <w:sz w:val="24"/>
        <w:szCs w:val="24"/>
      </w:rPr>
    </w:lvl>
    <w:lvl w:ilvl="1">
      <w:start w:val="1"/>
      <w:numFmt w:val="lowerLetter"/>
      <w:lvlText w:val="(%2)."/>
      <w:lvlJc w:val="left"/>
      <w:pPr>
        <w:ind w:left="1440" w:hanging="720"/>
      </w:pPr>
      <w:rPr>
        <w:rFonts w:hint="default"/>
        <w:sz w:val="20"/>
        <w:szCs w:val="20"/>
      </w:rPr>
    </w:lvl>
    <w:lvl w:ilvl="2">
      <w:start w:val="1"/>
      <w:numFmt w:val="lowerRoman"/>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704658B"/>
    <w:multiLevelType w:val="hybridMultilevel"/>
    <w:tmpl w:val="7ED084CE"/>
    <w:lvl w:ilvl="0" w:tplc="DA86DE9A">
      <w:start w:val="1"/>
      <w:numFmt w:val="upperLetter"/>
      <w:lvlText w:val="%1."/>
      <w:lvlJc w:val="left"/>
      <w:pPr>
        <w:ind w:left="720" w:hanging="360"/>
      </w:pPr>
      <w:rPr>
        <w:rFonts w:hint="default"/>
        <w:b/>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2B65FA"/>
    <w:multiLevelType w:val="hybridMultilevel"/>
    <w:tmpl w:val="ABDED97E"/>
    <w:lvl w:ilvl="0" w:tplc="EA9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8A324E"/>
    <w:multiLevelType w:val="hybridMultilevel"/>
    <w:tmpl w:val="A1F0E656"/>
    <w:lvl w:ilvl="0" w:tplc="1E8079A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nsid w:val="423D4E14"/>
    <w:multiLevelType w:val="hybridMultilevel"/>
    <w:tmpl w:val="F04666E6"/>
    <w:lvl w:ilvl="0" w:tplc="8CFABA20">
      <w:start w:val="13"/>
      <w:numFmt w:val="upperLetter"/>
      <w:lvlText w:val="%1."/>
      <w:lvlJc w:val="left"/>
      <w:pPr>
        <w:ind w:left="720" w:hanging="360"/>
      </w:pPr>
      <w:rPr>
        <w:rFonts w:hint="default"/>
        <w:b/>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6991EAA"/>
    <w:multiLevelType w:val="hybridMultilevel"/>
    <w:tmpl w:val="CD5AA03C"/>
    <w:lvl w:ilvl="0" w:tplc="A826581C">
      <w:start w:val="1"/>
      <w:numFmt w:val="lowerLetter"/>
      <w:lvlText w:val="(%1)"/>
      <w:lvlJc w:val="left"/>
      <w:pPr>
        <w:ind w:left="720" w:hanging="360"/>
      </w:pPr>
      <w:rPr>
        <w:rFonts w:hint="default"/>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85C44DB"/>
    <w:multiLevelType w:val="hybridMultilevel"/>
    <w:tmpl w:val="DE8430D8"/>
    <w:lvl w:ilvl="0" w:tplc="6F547144">
      <w:start w:val="84"/>
      <w:numFmt w:val="bullet"/>
      <w:lvlText w:val="-"/>
      <w:lvlJc w:val="left"/>
      <w:pPr>
        <w:ind w:left="2061" w:hanging="360"/>
      </w:pPr>
      <w:rPr>
        <w:rFonts w:ascii="Arial" w:eastAsia="Times New Roman" w:hAnsi="Arial" w:cs="Arial"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18">
    <w:nsid w:val="49352F3D"/>
    <w:multiLevelType w:val="multilevel"/>
    <w:tmpl w:val="F9A4A000"/>
    <w:lvl w:ilvl="0">
      <w:start w:val="18"/>
      <w:numFmt w:val="decimal"/>
      <w:lvlText w:val="%1"/>
      <w:lvlJc w:val="left"/>
      <w:pPr>
        <w:ind w:left="570" w:hanging="57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9">
    <w:nsid w:val="4AF56956"/>
    <w:multiLevelType w:val="multilevel"/>
    <w:tmpl w:val="F490F7AA"/>
    <w:lvl w:ilvl="0">
      <w:start w:val="1"/>
      <w:numFmt w:val="decimal"/>
      <w:lvlText w:val="[%1]."/>
      <w:lvlJc w:val="left"/>
      <w:pPr>
        <w:ind w:left="720" w:hanging="720"/>
      </w:pPr>
      <w:rPr>
        <w:rFonts w:hint="default"/>
        <w:sz w:val="24"/>
        <w:szCs w:val="24"/>
      </w:rPr>
    </w:lvl>
    <w:lvl w:ilvl="1">
      <w:start w:val="1"/>
      <w:numFmt w:val="lowerLetter"/>
      <w:lvlText w:val="(%2)."/>
      <w:lvlJc w:val="left"/>
      <w:pPr>
        <w:ind w:left="1440" w:hanging="720"/>
      </w:pPr>
      <w:rPr>
        <w:rFonts w:hint="default"/>
        <w:sz w:val="20"/>
        <w:szCs w:val="20"/>
      </w:rPr>
    </w:lvl>
    <w:lvl w:ilvl="2">
      <w:start w:val="1"/>
      <w:numFmt w:val="lowerRoman"/>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ED42CC"/>
    <w:multiLevelType w:val="hybridMultilevel"/>
    <w:tmpl w:val="B474621C"/>
    <w:lvl w:ilvl="0" w:tplc="0809000F">
      <w:start w:val="1"/>
      <w:numFmt w:val="decimal"/>
      <w:pStyle w:val="Myown"/>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E93144F"/>
    <w:multiLevelType w:val="hybridMultilevel"/>
    <w:tmpl w:val="97F8948E"/>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nsid w:val="532D29E2"/>
    <w:multiLevelType w:val="hybridMultilevel"/>
    <w:tmpl w:val="E0C8E934"/>
    <w:lvl w:ilvl="0" w:tplc="DA36088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833548A"/>
    <w:multiLevelType w:val="hybridMultilevel"/>
    <w:tmpl w:val="3DF8B9E6"/>
    <w:lvl w:ilvl="0" w:tplc="BEC630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B4244"/>
    <w:multiLevelType w:val="hybridMultilevel"/>
    <w:tmpl w:val="22DCB5F8"/>
    <w:lvl w:ilvl="0" w:tplc="F9EC8E4A">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5">
    <w:nsid w:val="5F5D37FB"/>
    <w:multiLevelType w:val="hybridMultilevel"/>
    <w:tmpl w:val="883830FA"/>
    <w:lvl w:ilvl="0" w:tplc="FB22EBC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6">
    <w:nsid w:val="64944460"/>
    <w:multiLevelType w:val="hybridMultilevel"/>
    <w:tmpl w:val="9EB6268C"/>
    <w:lvl w:ilvl="0" w:tplc="A02E7F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1284AF4"/>
    <w:multiLevelType w:val="multilevel"/>
    <w:tmpl w:val="3014CAF6"/>
    <w:lvl w:ilvl="0">
      <w:start w:val="1"/>
      <w:numFmt w:val="decimal"/>
      <w:lvlText w:val="[%1]."/>
      <w:lvlJc w:val="left"/>
      <w:pPr>
        <w:ind w:left="720" w:hanging="720"/>
      </w:pPr>
      <w:rPr>
        <w:rFonts w:hint="default"/>
        <w:sz w:val="24"/>
        <w:szCs w:val="24"/>
      </w:rPr>
    </w:lvl>
    <w:lvl w:ilvl="1">
      <w:start w:val="1"/>
      <w:numFmt w:val="lowerLetter"/>
      <w:lvlText w:val="(%2)."/>
      <w:lvlJc w:val="left"/>
      <w:pPr>
        <w:ind w:left="1440" w:hanging="720"/>
      </w:pPr>
      <w:rPr>
        <w:rFonts w:hint="default"/>
        <w:sz w:val="20"/>
        <w:szCs w:val="20"/>
      </w:rPr>
    </w:lvl>
    <w:lvl w:ilvl="2">
      <w:start w:val="1"/>
      <w:numFmt w:val="lowerRoman"/>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24A5A9F"/>
    <w:multiLevelType w:val="hybridMultilevel"/>
    <w:tmpl w:val="8164494C"/>
    <w:lvl w:ilvl="0" w:tplc="6A8E5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EC46C3"/>
    <w:multiLevelType w:val="multilevel"/>
    <w:tmpl w:val="BED8E222"/>
    <w:lvl w:ilvl="0">
      <w:start w:val="1"/>
      <w:numFmt w:val="decimal"/>
      <w:lvlText w:val="%1."/>
      <w:lvlJc w:val="left"/>
      <w:pPr>
        <w:tabs>
          <w:tab w:val="num" w:pos="709"/>
        </w:tabs>
        <w:ind w:left="709" w:hanging="709"/>
      </w:pPr>
      <w:rPr>
        <w:rFonts w:ascii="Times New Roman" w:hAnsi="Times New Roman" w:cs="Times New Roman" w:hint="default"/>
        <w:b w:val="0"/>
        <w:i w:val="0"/>
        <w:color w:val="auto"/>
        <w:sz w:val="24"/>
      </w:rPr>
    </w:lvl>
    <w:lvl w:ilvl="1">
      <w:start w:val="1"/>
      <w:numFmt w:val="decimal"/>
      <w:lvlText w:val="%1.%2."/>
      <w:lvlJc w:val="left"/>
      <w:pPr>
        <w:tabs>
          <w:tab w:val="num" w:pos="1814"/>
        </w:tabs>
        <w:ind w:left="1814" w:hanging="1105"/>
      </w:pPr>
      <w:rPr>
        <w:rFonts w:ascii="Times New Roman" w:hAnsi="Times New Roman" w:cs="Times New Roman" w:hint="default"/>
        <w:b w:val="0"/>
        <w:i w:val="0"/>
        <w:sz w:val="24"/>
      </w:rPr>
    </w:lvl>
    <w:lvl w:ilvl="2">
      <w:start w:val="1"/>
      <w:numFmt w:val="decimal"/>
      <w:lvlText w:val="%1.%2.%3."/>
      <w:lvlJc w:val="left"/>
      <w:pPr>
        <w:tabs>
          <w:tab w:val="num" w:pos="3175"/>
        </w:tabs>
        <w:ind w:left="3175" w:hanging="1361"/>
      </w:pPr>
      <w:rPr>
        <w:rFonts w:ascii="Times New Roman" w:hAnsi="Times New Roman" w:cs="Times New Roman" w:hint="default"/>
        <w:b w:val="0"/>
        <w:i w:val="0"/>
        <w:sz w:val="24"/>
        <w:szCs w:val="24"/>
      </w:rPr>
    </w:lvl>
    <w:lvl w:ilvl="3">
      <w:start w:val="1"/>
      <w:numFmt w:val="decimal"/>
      <w:lvlText w:val="%1.%2.%3.%4."/>
      <w:lvlJc w:val="left"/>
      <w:pPr>
        <w:tabs>
          <w:tab w:val="num" w:pos="4990"/>
        </w:tabs>
        <w:ind w:left="4990" w:hanging="1815"/>
      </w:pPr>
      <w:rPr>
        <w:rFonts w:ascii="Times New Roman" w:hAnsi="Times New Roman" w:hint="default"/>
        <w:b w:val="0"/>
        <w:i w:val="0"/>
        <w:sz w:val="24"/>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6A44097"/>
    <w:multiLevelType w:val="multilevel"/>
    <w:tmpl w:val="5ECC2E64"/>
    <w:lvl w:ilvl="0">
      <w:start w:val="1"/>
      <w:numFmt w:val="decimal"/>
      <w:lvlText w:val="[%1]."/>
      <w:lvlJc w:val="left"/>
      <w:pPr>
        <w:ind w:left="720" w:hanging="720"/>
      </w:pPr>
      <w:rPr>
        <w:rFonts w:hint="default"/>
        <w:sz w:val="24"/>
        <w:szCs w:val="24"/>
      </w:rPr>
    </w:lvl>
    <w:lvl w:ilvl="1">
      <w:start w:val="1"/>
      <w:numFmt w:val="lowerLetter"/>
      <w:lvlText w:val="(%2)."/>
      <w:lvlJc w:val="left"/>
      <w:pPr>
        <w:ind w:left="1440" w:hanging="720"/>
      </w:pPr>
      <w:rPr>
        <w:rFonts w:hint="default"/>
        <w:sz w:val="20"/>
        <w:szCs w:val="20"/>
      </w:rPr>
    </w:lvl>
    <w:lvl w:ilvl="2">
      <w:start w:val="1"/>
      <w:numFmt w:val="lowerRoman"/>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91F6800"/>
    <w:multiLevelType w:val="hybridMultilevel"/>
    <w:tmpl w:val="C5142294"/>
    <w:lvl w:ilvl="0" w:tplc="A7527FD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nsid w:val="7A381A09"/>
    <w:multiLevelType w:val="multilevel"/>
    <w:tmpl w:val="27C044C2"/>
    <w:lvl w:ilvl="0">
      <w:start w:val="1"/>
      <w:numFmt w:val="decimal"/>
      <w:lvlText w:val="[%1]."/>
      <w:lvlJc w:val="left"/>
      <w:pPr>
        <w:ind w:left="720" w:hanging="720"/>
      </w:pPr>
      <w:rPr>
        <w:rFonts w:hint="default"/>
        <w:sz w:val="24"/>
        <w:szCs w:val="24"/>
      </w:rPr>
    </w:lvl>
    <w:lvl w:ilvl="1">
      <w:start w:val="1"/>
      <w:numFmt w:val="lowerLetter"/>
      <w:lvlText w:val="(%2)."/>
      <w:lvlJc w:val="left"/>
      <w:pPr>
        <w:ind w:left="1440" w:hanging="720"/>
      </w:pPr>
      <w:rPr>
        <w:rFonts w:hint="default"/>
        <w:sz w:val="24"/>
        <w:szCs w:val="24"/>
      </w:rPr>
    </w:lvl>
    <w:lvl w:ilvl="2">
      <w:start w:val="1"/>
      <w:numFmt w:val="lowerRoman"/>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5"/>
  </w:num>
  <w:num w:numId="3">
    <w:abstractNumId w:val="22"/>
  </w:num>
  <w:num w:numId="4">
    <w:abstractNumId w:val="31"/>
  </w:num>
  <w:num w:numId="5">
    <w:abstractNumId w:val="14"/>
  </w:num>
  <w:num w:numId="6">
    <w:abstractNumId w:val="25"/>
  </w:num>
  <w:num w:numId="7">
    <w:abstractNumId w:val="18"/>
  </w:num>
  <w:num w:numId="8">
    <w:abstractNumId w:val="10"/>
  </w:num>
  <w:num w:numId="9">
    <w:abstractNumId w:val="12"/>
  </w:num>
  <w:num w:numId="10">
    <w:abstractNumId w:val="15"/>
  </w:num>
  <w:num w:numId="11">
    <w:abstractNumId w:val="21"/>
  </w:num>
  <w:num w:numId="12">
    <w:abstractNumId w:val="20"/>
  </w:num>
  <w:num w:numId="13">
    <w:abstractNumId w:val="4"/>
  </w:num>
  <w:num w:numId="14">
    <w:abstractNumId w:val="7"/>
  </w:num>
  <w:num w:numId="15">
    <w:abstractNumId w:val="9"/>
  </w:num>
  <w:num w:numId="16">
    <w:abstractNumId w:val="3"/>
  </w:num>
  <w:num w:numId="17">
    <w:abstractNumId w:val="28"/>
  </w:num>
  <w:num w:numId="18">
    <w:abstractNumId w:val="29"/>
  </w:num>
  <w:num w:numId="19">
    <w:abstractNumId w:val="8"/>
  </w:num>
  <w:num w:numId="20">
    <w:abstractNumId w:val="6"/>
  </w:num>
  <w:num w:numId="21">
    <w:abstractNumId w:val="26"/>
  </w:num>
  <w:num w:numId="22">
    <w:abstractNumId w:val="0"/>
  </w:num>
  <w:num w:numId="23">
    <w:abstractNumId w:val="16"/>
  </w:num>
  <w:num w:numId="24">
    <w:abstractNumId w:val="24"/>
  </w:num>
  <w:num w:numId="25">
    <w:abstractNumId w:val="2"/>
  </w:num>
  <w:num w:numId="26">
    <w:abstractNumId w:val="23"/>
  </w:num>
  <w:num w:numId="27">
    <w:abstractNumId w:val="13"/>
  </w:num>
  <w:num w:numId="28">
    <w:abstractNumId w:val="32"/>
  </w:num>
  <w:num w:numId="29">
    <w:abstractNumId w:val="1"/>
  </w:num>
  <w:num w:numId="30">
    <w:abstractNumId w:val="27"/>
  </w:num>
  <w:num w:numId="31">
    <w:abstractNumId w:val="1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02838B-39B4-4F72-8B2F-C960E8896539}"/>
    <w:docVar w:name="dgnword-eventsink" w:val="430769728"/>
  </w:docVars>
  <w:rsids>
    <w:rsidRoot w:val="00A92A3B"/>
    <w:rsid w:val="0000183B"/>
    <w:rsid w:val="000123B7"/>
    <w:rsid w:val="000123EF"/>
    <w:rsid w:val="0001451D"/>
    <w:rsid w:val="00015795"/>
    <w:rsid w:val="00017EDB"/>
    <w:rsid w:val="00020B5E"/>
    <w:rsid w:val="00022A1A"/>
    <w:rsid w:val="00027449"/>
    <w:rsid w:val="000316B4"/>
    <w:rsid w:val="00033BD6"/>
    <w:rsid w:val="0003616D"/>
    <w:rsid w:val="00042693"/>
    <w:rsid w:val="0004335E"/>
    <w:rsid w:val="00044DFE"/>
    <w:rsid w:val="00044F93"/>
    <w:rsid w:val="00046C72"/>
    <w:rsid w:val="00047954"/>
    <w:rsid w:val="000505BA"/>
    <w:rsid w:val="0005215C"/>
    <w:rsid w:val="0005417A"/>
    <w:rsid w:val="00060C20"/>
    <w:rsid w:val="000616F4"/>
    <w:rsid w:val="00061862"/>
    <w:rsid w:val="00067738"/>
    <w:rsid w:val="00090643"/>
    <w:rsid w:val="0009226C"/>
    <w:rsid w:val="000973E2"/>
    <w:rsid w:val="000A2D8F"/>
    <w:rsid w:val="000A5472"/>
    <w:rsid w:val="000A624B"/>
    <w:rsid w:val="000A7FCA"/>
    <w:rsid w:val="000B35C7"/>
    <w:rsid w:val="000B48E9"/>
    <w:rsid w:val="000B5A8F"/>
    <w:rsid w:val="000C0346"/>
    <w:rsid w:val="000C1EF4"/>
    <w:rsid w:val="000C2B32"/>
    <w:rsid w:val="000C2C58"/>
    <w:rsid w:val="000D2447"/>
    <w:rsid w:val="000D4C61"/>
    <w:rsid w:val="000D7995"/>
    <w:rsid w:val="000E03DD"/>
    <w:rsid w:val="000E409B"/>
    <w:rsid w:val="000E6AC5"/>
    <w:rsid w:val="000F1C78"/>
    <w:rsid w:val="000F2519"/>
    <w:rsid w:val="000F25F5"/>
    <w:rsid w:val="000F3DD3"/>
    <w:rsid w:val="000F45AF"/>
    <w:rsid w:val="000F463E"/>
    <w:rsid w:val="000F4783"/>
    <w:rsid w:val="000F5783"/>
    <w:rsid w:val="000F5B90"/>
    <w:rsid w:val="00103072"/>
    <w:rsid w:val="001037D7"/>
    <w:rsid w:val="00104D48"/>
    <w:rsid w:val="00104E1D"/>
    <w:rsid w:val="00107291"/>
    <w:rsid w:val="00113D82"/>
    <w:rsid w:val="001141BB"/>
    <w:rsid w:val="00114DE2"/>
    <w:rsid w:val="00116FEB"/>
    <w:rsid w:val="00121FDC"/>
    <w:rsid w:val="0012435D"/>
    <w:rsid w:val="001264BC"/>
    <w:rsid w:val="001308A2"/>
    <w:rsid w:val="00131E15"/>
    <w:rsid w:val="00132DEC"/>
    <w:rsid w:val="0013460E"/>
    <w:rsid w:val="001354CC"/>
    <w:rsid w:val="00135996"/>
    <w:rsid w:val="001374BD"/>
    <w:rsid w:val="00137B89"/>
    <w:rsid w:val="00140E0F"/>
    <w:rsid w:val="00141235"/>
    <w:rsid w:val="00144670"/>
    <w:rsid w:val="001513AD"/>
    <w:rsid w:val="00154BF6"/>
    <w:rsid w:val="00162D71"/>
    <w:rsid w:val="00163D4A"/>
    <w:rsid w:val="001647E5"/>
    <w:rsid w:val="00167230"/>
    <w:rsid w:val="00167361"/>
    <w:rsid w:val="001703A2"/>
    <w:rsid w:val="0017129D"/>
    <w:rsid w:val="001719E8"/>
    <w:rsid w:val="001730D9"/>
    <w:rsid w:val="001751DD"/>
    <w:rsid w:val="00183B58"/>
    <w:rsid w:val="001852FD"/>
    <w:rsid w:val="001855A7"/>
    <w:rsid w:val="001865B7"/>
    <w:rsid w:val="001A453C"/>
    <w:rsid w:val="001A5DC8"/>
    <w:rsid w:val="001A6C4F"/>
    <w:rsid w:val="001A76FC"/>
    <w:rsid w:val="001A7FEC"/>
    <w:rsid w:val="001B1F64"/>
    <w:rsid w:val="001B3703"/>
    <w:rsid w:val="001B4282"/>
    <w:rsid w:val="001B48CF"/>
    <w:rsid w:val="001B50C0"/>
    <w:rsid w:val="001B556F"/>
    <w:rsid w:val="001B695C"/>
    <w:rsid w:val="001C155A"/>
    <w:rsid w:val="001C35BA"/>
    <w:rsid w:val="001C39CD"/>
    <w:rsid w:val="001C58F0"/>
    <w:rsid w:val="001D080B"/>
    <w:rsid w:val="001D0D81"/>
    <w:rsid w:val="001E2CCC"/>
    <w:rsid w:val="001E2DCB"/>
    <w:rsid w:val="001E71ED"/>
    <w:rsid w:val="001F0EB2"/>
    <w:rsid w:val="001F204D"/>
    <w:rsid w:val="001F51BB"/>
    <w:rsid w:val="001F6051"/>
    <w:rsid w:val="001F6C6C"/>
    <w:rsid w:val="002007F2"/>
    <w:rsid w:val="00200B7E"/>
    <w:rsid w:val="00204274"/>
    <w:rsid w:val="002055E4"/>
    <w:rsid w:val="00205E84"/>
    <w:rsid w:val="0021010F"/>
    <w:rsid w:val="00212831"/>
    <w:rsid w:val="00214E8F"/>
    <w:rsid w:val="0022030A"/>
    <w:rsid w:val="0022322A"/>
    <w:rsid w:val="00224CD9"/>
    <w:rsid w:val="00226902"/>
    <w:rsid w:val="0022764B"/>
    <w:rsid w:val="00234401"/>
    <w:rsid w:val="002374E7"/>
    <w:rsid w:val="00240104"/>
    <w:rsid w:val="00240527"/>
    <w:rsid w:val="0024110C"/>
    <w:rsid w:val="00244077"/>
    <w:rsid w:val="00244E75"/>
    <w:rsid w:val="002475A1"/>
    <w:rsid w:val="00250CF0"/>
    <w:rsid w:val="00251340"/>
    <w:rsid w:val="00256298"/>
    <w:rsid w:val="00257600"/>
    <w:rsid w:val="00262F6E"/>
    <w:rsid w:val="00263A24"/>
    <w:rsid w:val="00264A1F"/>
    <w:rsid w:val="00265BEF"/>
    <w:rsid w:val="002671EB"/>
    <w:rsid w:val="0026761C"/>
    <w:rsid w:val="002717D1"/>
    <w:rsid w:val="0027605E"/>
    <w:rsid w:val="00281E07"/>
    <w:rsid w:val="0028264B"/>
    <w:rsid w:val="00283307"/>
    <w:rsid w:val="00284482"/>
    <w:rsid w:val="00286940"/>
    <w:rsid w:val="00286FDD"/>
    <w:rsid w:val="00294488"/>
    <w:rsid w:val="00294B56"/>
    <w:rsid w:val="00296369"/>
    <w:rsid w:val="00297DF3"/>
    <w:rsid w:val="002A313F"/>
    <w:rsid w:val="002A55C8"/>
    <w:rsid w:val="002A566E"/>
    <w:rsid w:val="002A684F"/>
    <w:rsid w:val="002B0E70"/>
    <w:rsid w:val="002B0FB7"/>
    <w:rsid w:val="002B204A"/>
    <w:rsid w:val="002B2166"/>
    <w:rsid w:val="002B5E49"/>
    <w:rsid w:val="002C1207"/>
    <w:rsid w:val="002C5D3A"/>
    <w:rsid w:val="002C686C"/>
    <w:rsid w:val="002D22FA"/>
    <w:rsid w:val="002D50AE"/>
    <w:rsid w:val="002D52D6"/>
    <w:rsid w:val="002E4606"/>
    <w:rsid w:val="002E605F"/>
    <w:rsid w:val="002F1294"/>
    <w:rsid w:val="002F28B6"/>
    <w:rsid w:val="002F3230"/>
    <w:rsid w:val="002F3751"/>
    <w:rsid w:val="002F55E1"/>
    <w:rsid w:val="002F55EE"/>
    <w:rsid w:val="002F7721"/>
    <w:rsid w:val="00310199"/>
    <w:rsid w:val="0031120D"/>
    <w:rsid w:val="0031253F"/>
    <w:rsid w:val="00316659"/>
    <w:rsid w:val="00325C4A"/>
    <w:rsid w:val="00337604"/>
    <w:rsid w:val="00340C80"/>
    <w:rsid w:val="00341388"/>
    <w:rsid w:val="003445EC"/>
    <w:rsid w:val="00345E61"/>
    <w:rsid w:val="003514C1"/>
    <w:rsid w:val="00353DE9"/>
    <w:rsid w:val="00354431"/>
    <w:rsid w:val="00363669"/>
    <w:rsid w:val="003641B6"/>
    <w:rsid w:val="003705FC"/>
    <w:rsid w:val="00371531"/>
    <w:rsid w:val="003715EF"/>
    <w:rsid w:val="00374E2E"/>
    <w:rsid w:val="00376121"/>
    <w:rsid w:val="00376ADC"/>
    <w:rsid w:val="00377DE4"/>
    <w:rsid w:val="0038226A"/>
    <w:rsid w:val="003825D7"/>
    <w:rsid w:val="003837AF"/>
    <w:rsid w:val="00387EF1"/>
    <w:rsid w:val="00387F52"/>
    <w:rsid w:val="00390677"/>
    <w:rsid w:val="00390F4A"/>
    <w:rsid w:val="00392218"/>
    <w:rsid w:val="003A03E9"/>
    <w:rsid w:val="003A1105"/>
    <w:rsid w:val="003A4B85"/>
    <w:rsid w:val="003A500C"/>
    <w:rsid w:val="003A5EB9"/>
    <w:rsid w:val="003A6272"/>
    <w:rsid w:val="003A76CE"/>
    <w:rsid w:val="003A7C58"/>
    <w:rsid w:val="003B104C"/>
    <w:rsid w:val="003B2F0B"/>
    <w:rsid w:val="003B6A4D"/>
    <w:rsid w:val="003C27F2"/>
    <w:rsid w:val="003D4B8A"/>
    <w:rsid w:val="003D5F47"/>
    <w:rsid w:val="003E2465"/>
    <w:rsid w:val="003E3DEB"/>
    <w:rsid w:val="003E671B"/>
    <w:rsid w:val="003E76C2"/>
    <w:rsid w:val="003F517B"/>
    <w:rsid w:val="003F7383"/>
    <w:rsid w:val="00406041"/>
    <w:rsid w:val="00406B5C"/>
    <w:rsid w:val="00421BB3"/>
    <w:rsid w:val="00424C22"/>
    <w:rsid w:val="004266EC"/>
    <w:rsid w:val="00430EC9"/>
    <w:rsid w:val="004321A7"/>
    <w:rsid w:val="00441879"/>
    <w:rsid w:val="0044201E"/>
    <w:rsid w:val="004437B8"/>
    <w:rsid w:val="004448EE"/>
    <w:rsid w:val="004455DF"/>
    <w:rsid w:val="004525B9"/>
    <w:rsid w:val="0045293D"/>
    <w:rsid w:val="00455C64"/>
    <w:rsid w:val="004565B9"/>
    <w:rsid w:val="00463B95"/>
    <w:rsid w:val="0046685D"/>
    <w:rsid w:val="00467903"/>
    <w:rsid w:val="00470051"/>
    <w:rsid w:val="004716E5"/>
    <w:rsid w:val="00471F12"/>
    <w:rsid w:val="00474660"/>
    <w:rsid w:val="00476868"/>
    <w:rsid w:val="00476C1B"/>
    <w:rsid w:val="00477FCF"/>
    <w:rsid w:val="0048299B"/>
    <w:rsid w:val="00483313"/>
    <w:rsid w:val="004843DB"/>
    <w:rsid w:val="00484A4A"/>
    <w:rsid w:val="00490A39"/>
    <w:rsid w:val="00493C72"/>
    <w:rsid w:val="00494678"/>
    <w:rsid w:val="00495768"/>
    <w:rsid w:val="00497A18"/>
    <w:rsid w:val="004A24EC"/>
    <w:rsid w:val="004A791F"/>
    <w:rsid w:val="004A7C38"/>
    <w:rsid w:val="004B04BA"/>
    <w:rsid w:val="004B1A50"/>
    <w:rsid w:val="004B2791"/>
    <w:rsid w:val="004B45E9"/>
    <w:rsid w:val="004B5E3B"/>
    <w:rsid w:val="004B6B7C"/>
    <w:rsid w:val="004B7511"/>
    <w:rsid w:val="004C733F"/>
    <w:rsid w:val="004C7B60"/>
    <w:rsid w:val="004D077B"/>
    <w:rsid w:val="004D0B85"/>
    <w:rsid w:val="004E0E23"/>
    <w:rsid w:val="004E2A18"/>
    <w:rsid w:val="004E43A2"/>
    <w:rsid w:val="004E4548"/>
    <w:rsid w:val="004E6822"/>
    <w:rsid w:val="004E7D73"/>
    <w:rsid w:val="004F0B03"/>
    <w:rsid w:val="004F1DD7"/>
    <w:rsid w:val="004F6952"/>
    <w:rsid w:val="00503008"/>
    <w:rsid w:val="00503A08"/>
    <w:rsid w:val="00503A16"/>
    <w:rsid w:val="00506D96"/>
    <w:rsid w:val="005149C6"/>
    <w:rsid w:val="00523709"/>
    <w:rsid w:val="00524F9F"/>
    <w:rsid w:val="005272A4"/>
    <w:rsid w:val="00534800"/>
    <w:rsid w:val="0053687E"/>
    <w:rsid w:val="00537B21"/>
    <w:rsid w:val="005406C7"/>
    <w:rsid w:val="00541A61"/>
    <w:rsid w:val="005454BB"/>
    <w:rsid w:val="00545F0C"/>
    <w:rsid w:val="00547195"/>
    <w:rsid w:val="005518E8"/>
    <w:rsid w:val="005526B3"/>
    <w:rsid w:val="00555F36"/>
    <w:rsid w:val="00556E20"/>
    <w:rsid w:val="0055743D"/>
    <w:rsid w:val="00576B3B"/>
    <w:rsid w:val="005809A4"/>
    <w:rsid w:val="00580CF0"/>
    <w:rsid w:val="00582C93"/>
    <w:rsid w:val="0058706A"/>
    <w:rsid w:val="00587866"/>
    <w:rsid w:val="00591132"/>
    <w:rsid w:val="00591620"/>
    <w:rsid w:val="00591F32"/>
    <w:rsid w:val="005935FD"/>
    <w:rsid w:val="00593BDA"/>
    <w:rsid w:val="00597445"/>
    <w:rsid w:val="005A0CD2"/>
    <w:rsid w:val="005A317C"/>
    <w:rsid w:val="005A4704"/>
    <w:rsid w:val="005A58B9"/>
    <w:rsid w:val="005B118B"/>
    <w:rsid w:val="005B4934"/>
    <w:rsid w:val="005B6D4D"/>
    <w:rsid w:val="005C3A9C"/>
    <w:rsid w:val="005C49AD"/>
    <w:rsid w:val="005C5C56"/>
    <w:rsid w:val="005D3C48"/>
    <w:rsid w:val="005D6AF7"/>
    <w:rsid w:val="005D75AE"/>
    <w:rsid w:val="005E2BEB"/>
    <w:rsid w:val="005E3E70"/>
    <w:rsid w:val="005E4A25"/>
    <w:rsid w:val="005E615E"/>
    <w:rsid w:val="005F1BD9"/>
    <w:rsid w:val="005F1F8A"/>
    <w:rsid w:val="005F2A8D"/>
    <w:rsid w:val="005F73C5"/>
    <w:rsid w:val="00605002"/>
    <w:rsid w:val="0060574B"/>
    <w:rsid w:val="00607663"/>
    <w:rsid w:val="00607930"/>
    <w:rsid w:val="006156A6"/>
    <w:rsid w:val="006170FB"/>
    <w:rsid w:val="00624DF5"/>
    <w:rsid w:val="00634E01"/>
    <w:rsid w:val="00635AE9"/>
    <w:rsid w:val="006363A7"/>
    <w:rsid w:val="00640A64"/>
    <w:rsid w:val="00641CAB"/>
    <w:rsid w:val="00642359"/>
    <w:rsid w:val="00644AE5"/>
    <w:rsid w:val="0064730D"/>
    <w:rsid w:val="00651202"/>
    <w:rsid w:val="006551AE"/>
    <w:rsid w:val="00656D5A"/>
    <w:rsid w:val="006609DF"/>
    <w:rsid w:val="00660FCE"/>
    <w:rsid w:val="00671ADC"/>
    <w:rsid w:val="006747E7"/>
    <w:rsid w:val="00676B3C"/>
    <w:rsid w:val="00676E61"/>
    <w:rsid w:val="0068167B"/>
    <w:rsid w:val="0068590E"/>
    <w:rsid w:val="00687102"/>
    <w:rsid w:val="0069052A"/>
    <w:rsid w:val="00693F5A"/>
    <w:rsid w:val="0069597C"/>
    <w:rsid w:val="006A0754"/>
    <w:rsid w:val="006A0941"/>
    <w:rsid w:val="006A2CF6"/>
    <w:rsid w:val="006A3489"/>
    <w:rsid w:val="006A35C5"/>
    <w:rsid w:val="006A66AC"/>
    <w:rsid w:val="006B2D7C"/>
    <w:rsid w:val="006B679D"/>
    <w:rsid w:val="006B75D7"/>
    <w:rsid w:val="006C1563"/>
    <w:rsid w:val="006C7C0D"/>
    <w:rsid w:val="006D141E"/>
    <w:rsid w:val="006D27C9"/>
    <w:rsid w:val="006D3A55"/>
    <w:rsid w:val="006D5A24"/>
    <w:rsid w:val="006E08EF"/>
    <w:rsid w:val="006E157E"/>
    <w:rsid w:val="006E347F"/>
    <w:rsid w:val="006F06E5"/>
    <w:rsid w:val="006F16C6"/>
    <w:rsid w:val="006F183C"/>
    <w:rsid w:val="006F3DD7"/>
    <w:rsid w:val="006F4DF9"/>
    <w:rsid w:val="006F5083"/>
    <w:rsid w:val="0070336C"/>
    <w:rsid w:val="0070519C"/>
    <w:rsid w:val="00713831"/>
    <w:rsid w:val="00721D58"/>
    <w:rsid w:val="00724CF6"/>
    <w:rsid w:val="007265B9"/>
    <w:rsid w:val="00726C78"/>
    <w:rsid w:val="007327A7"/>
    <w:rsid w:val="00732916"/>
    <w:rsid w:val="00741C30"/>
    <w:rsid w:val="007442CE"/>
    <w:rsid w:val="00745A85"/>
    <w:rsid w:val="00745E3A"/>
    <w:rsid w:val="0074761F"/>
    <w:rsid w:val="00747E41"/>
    <w:rsid w:val="0075219A"/>
    <w:rsid w:val="00753679"/>
    <w:rsid w:val="00756CC2"/>
    <w:rsid w:val="00756DBF"/>
    <w:rsid w:val="00757CBA"/>
    <w:rsid w:val="00763E6A"/>
    <w:rsid w:val="00764E33"/>
    <w:rsid w:val="007656B8"/>
    <w:rsid w:val="0077062A"/>
    <w:rsid w:val="00771E8C"/>
    <w:rsid w:val="0077285A"/>
    <w:rsid w:val="00773624"/>
    <w:rsid w:val="00776411"/>
    <w:rsid w:val="007822B0"/>
    <w:rsid w:val="00782798"/>
    <w:rsid w:val="00783586"/>
    <w:rsid w:val="00783680"/>
    <w:rsid w:val="00786378"/>
    <w:rsid w:val="007901E0"/>
    <w:rsid w:val="007909F9"/>
    <w:rsid w:val="00793F54"/>
    <w:rsid w:val="00794DBD"/>
    <w:rsid w:val="007963AE"/>
    <w:rsid w:val="007969A2"/>
    <w:rsid w:val="007A20DF"/>
    <w:rsid w:val="007A284D"/>
    <w:rsid w:val="007A422C"/>
    <w:rsid w:val="007A5647"/>
    <w:rsid w:val="007A6020"/>
    <w:rsid w:val="007B0286"/>
    <w:rsid w:val="007B0E9D"/>
    <w:rsid w:val="007B280B"/>
    <w:rsid w:val="007B4B86"/>
    <w:rsid w:val="007C0891"/>
    <w:rsid w:val="007C1638"/>
    <w:rsid w:val="007C1A51"/>
    <w:rsid w:val="007C55BF"/>
    <w:rsid w:val="007D438F"/>
    <w:rsid w:val="007D66C8"/>
    <w:rsid w:val="007E5166"/>
    <w:rsid w:val="007E7386"/>
    <w:rsid w:val="007E7BD4"/>
    <w:rsid w:val="007F5203"/>
    <w:rsid w:val="008041C3"/>
    <w:rsid w:val="00804AD5"/>
    <w:rsid w:val="008053FF"/>
    <w:rsid w:val="008102B4"/>
    <w:rsid w:val="00813A57"/>
    <w:rsid w:val="00823763"/>
    <w:rsid w:val="008400D9"/>
    <w:rsid w:val="0084137C"/>
    <w:rsid w:val="00847C44"/>
    <w:rsid w:val="008504AF"/>
    <w:rsid w:val="00857BD9"/>
    <w:rsid w:val="008610F8"/>
    <w:rsid w:val="00875DBA"/>
    <w:rsid w:val="00883FF8"/>
    <w:rsid w:val="00884809"/>
    <w:rsid w:val="0088562D"/>
    <w:rsid w:val="00892FB3"/>
    <w:rsid w:val="00893237"/>
    <w:rsid w:val="00895FF2"/>
    <w:rsid w:val="008A3707"/>
    <w:rsid w:val="008A4D1C"/>
    <w:rsid w:val="008A61CD"/>
    <w:rsid w:val="008A66E8"/>
    <w:rsid w:val="008B2B5E"/>
    <w:rsid w:val="008C516A"/>
    <w:rsid w:val="008C539F"/>
    <w:rsid w:val="008C545B"/>
    <w:rsid w:val="008C6DF5"/>
    <w:rsid w:val="008D013D"/>
    <w:rsid w:val="008D3DA7"/>
    <w:rsid w:val="008D3FD5"/>
    <w:rsid w:val="008D6195"/>
    <w:rsid w:val="008E0AFF"/>
    <w:rsid w:val="008E1494"/>
    <w:rsid w:val="008E398B"/>
    <w:rsid w:val="008E761E"/>
    <w:rsid w:val="008F085A"/>
    <w:rsid w:val="008F23EF"/>
    <w:rsid w:val="008F4341"/>
    <w:rsid w:val="008F5060"/>
    <w:rsid w:val="008F5B8E"/>
    <w:rsid w:val="008F615D"/>
    <w:rsid w:val="00900851"/>
    <w:rsid w:val="0090094B"/>
    <w:rsid w:val="00900E11"/>
    <w:rsid w:val="00901906"/>
    <w:rsid w:val="00904531"/>
    <w:rsid w:val="00906915"/>
    <w:rsid w:val="00907281"/>
    <w:rsid w:val="00910506"/>
    <w:rsid w:val="009211C9"/>
    <w:rsid w:val="00921293"/>
    <w:rsid w:val="009213A6"/>
    <w:rsid w:val="00921C36"/>
    <w:rsid w:val="00925BAA"/>
    <w:rsid w:val="00926426"/>
    <w:rsid w:val="00930AAA"/>
    <w:rsid w:val="00931AE7"/>
    <w:rsid w:val="00932333"/>
    <w:rsid w:val="00934422"/>
    <w:rsid w:val="00936FDE"/>
    <w:rsid w:val="00941310"/>
    <w:rsid w:val="009415BE"/>
    <w:rsid w:val="00950516"/>
    <w:rsid w:val="009530F7"/>
    <w:rsid w:val="0096205F"/>
    <w:rsid w:val="0096293F"/>
    <w:rsid w:val="00965DD5"/>
    <w:rsid w:val="00966B20"/>
    <w:rsid w:val="00972135"/>
    <w:rsid w:val="00972A25"/>
    <w:rsid w:val="0097683D"/>
    <w:rsid w:val="00980873"/>
    <w:rsid w:val="00981D12"/>
    <w:rsid w:val="009842E6"/>
    <w:rsid w:val="009861E0"/>
    <w:rsid w:val="00987930"/>
    <w:rsid w:val="0098795C"/>
    <w:rsid w:val="0099332E"/>
    <w:rsid w:val="00997019"/>
    <w:rsid w:val="00997235"/>
    <w:rsid w:val="009A1F8C"/>
    <w:rsid w:val="009A3491"/>
    <w:rsid w:val="009A3BCE"/>
    <w:rsid w:val="009B01AF"/>
    <w:rsid w:val="009B1A4F"/>
    <w:rsid w:val="009B2406"/>
    <w:rsid w:val="009C0F6B"/>
    <w:rsid w:val="009C629C"/>
    <w:rsid w:val="009C715C"/>
    <w:rsid w:val="009C789C"/>
    <w:rsid w:val="009D00DD"/>
    <w:rsid w:val="009E0E30"/>
    <w:rsid w:val="009E36E8"/>
    <w:rsid w:val="009E636C"/>
    <w:rsid w:val="009E6D2E"/>
    <w:rsid w:val="009E75E7"/>
    <w:rsid w:val="009F0C96"/>
    <w:rsid w:val="009F683B"/>
    <w:rsid w:val="009F6917"/>
    <w:rsid w:val="00A0385A"/>
    <w:rsid w:val="00A045D3"/>
    <w:rsid w:val="00A07517"/>
    <w:rsid w:val="00A07D1A"/>
    <w:rsid w:val="00A13D6E"/>
    <w:rsid w:val="00A14B5D"/>
    <w:rsid w:val="00A20CB7"/>
    <w:rsid w:val="00A26E95"/>
    <w:rsid w:val="00A2776E"/>
    <w:rsid w:val="00A27D29"/>
    <w:rsid w:val="00A32DAE"/>
    <w:rsid w:val="00A35903"/>
    <w:rsid w:val="00A406C6"/>
    <w:rsid w:val="00A4360B"/>
    <w:rsid w:val="00A43978"/>
    <w:rsid w:val="00A44276"/>
    <w:rsid w:val="00A476FE"/>
    <w:rsid w:val="00A47F4A"/>
    <w:rsid w:val="00A52625"/>
    <w:rsid w:val="00A527FA"/>
    <w:rsid w:val="00A54410"/>
    <w:rsid w:val="00A55EA8"/>
    <w:rsid w:val="00A56CC9"/>
    <w:rsid w:val="00A56D11"/>
    <w:rsid w:val="00A578B8"/>
    <w:rsid w:val="00A61B27"/>
    <w:rsid w:val="00A62DEF"/>
    <w:rsid w:val="00A7085E"/>
    <w:rsid w:val="00A71BBF"/>
    <w:rsid w:val="00A82F8C"/>
    <w:rsid w:val="00A83FB3"/>
    <w:rsid w:val="00A84E91"/>
    <w:rsid w:val="00A85E87"/>
    <w:rsid w:val="00A92A3B"/>
    <w:rsid w:val="00A9471B"/>
    <w:rsid w:val="00A960B0"/>
    <w:rsid w:val="00A96AF4"/>
    <w:rsid w:val="00A96EFE"/>
    <w:rsid w:val="00AA3BC8"/>
    <w:rsid w:val="00AA4B5F"/>
    <w:rsid w:val="00AA58C6"/>
    <w:rsid w:val="00AA6B00"/>
    <w:rsid w:val="00AA793B"/>
    <w:rsid w:val="00AB00F6"/>
    <w:rsid w:val="00AC006A"/>
    <w:rsid w:val="00AC7D62"/>
    <w:rsid w:val="00AD0B40"/>
    <w:rsid w:val="00AD7982"/>
    <w:rsid w:val="00AE26D6"/>
    <w:rsid w:val="00AE4172"/>
    <w:rsid w:val="00AE5214"/>
    <w:rsid w:val="00AE627D"/>
    <w:rsid w:val="00AE7870"/>
    <w:rsid w:val="00AF2384"/>
    <w:rsid w:val="00AF4EFB"/>
    <w:rsid w:val="00AF6304"/>
    <w:rsid w:val="00B00FE1"/>
    <w:rsid w:val="00B01C30"/>
    <w:rsid w:val="00B03C2C"/>
    <w:rsid w:val="00B03D28"/>
    <w:rsid w:val="00B04470"/>
    <w:rsid w:val="00B06364"/>
    <w:rsid w:val="00B06486"/>
    <w:rsid w:val="00B06A24"/>
    <w:rsid w:val="00B071AB"/>
    <w:rsid w:val="00B0798C"/>
    <w:rsid w:val="00B07E15"/>
    <w:rsid w:val="00B14CB4"/>
    <w:rsid w:val="00B16EE9"/>
    <w:rsid w:val="00B2099B"/>
    <w:rsid w:val="00B24117"/>
    <w:rsid w:val="00B27365"/>
    <w:rsid w:val="00B30808"/>
    <w:rsid w:val="00B30D5B"/>
    <w:rsid w:val="00B31CE1"/>
    <w:rsid w:val="00B36497"/>
    <w:rsid w:val="00B3692B"/>
    <w:rsid w:val="00B37167"/>
    <w:rsid w:val="00B42935"/>
    <w:rsid w:val="00B5323A"/>
    <w:rsid w:val="00B60EF8"/>
    <w:rsid w:val="00B61EF4"/>
    <w:rsid w:val="00B6384E"/>
    <w:rsid w:val="00B639DD"/>
    <w:rsid w:val="00B65CCA"/>
    <w:rsid w:val="00B778C4"/>
    <w:rsid w:val="00B82E62"/>
    <w:rsid w:val="00B83905"/>
    <w:rsid w:val="00B91FC5"/>
    <w:rsid w:val="00BA06DD"/>
    <w:rsid w:val="00BA1AC8"/>
    <w:rsid w:val="00BA1BE8"/>
    <w:rsid w:val="00BA7927"/>
    <w:rsid w:val="00BB1A8D"/>
    <w:rsid w:val="00BB3936"/>
    <w:rsid w:val="00BC4F0A"/>
    <w:rsid w:val="00BC5C88"/>
    <w:rsid w:val="00BD0580"/>
    <w:rsid w:val="00BD1775"/>
    <w:rsid w:val="00BD2AC4"/>
    <w:rsid w:val="00BD5669"/>
    <w:rsid w:val="00BD62F5"/>
    <w:rsid w:val="00BD79FD"/>
    <w:rsid w:val="00BE30ED"/>
    <w:rsid w:val="00BE3972"/>
    <w:rsid w:val="00BE6B61"/>
    <w:rsid w:val="00C012D9"/>
    <w:rsid w:val="00C0438C"/>
    <w:rsid w:val="00C0468C"/>
    <w:rsid w:val="00C05478"/>
    <w:rsid w:val="00C101AD"/>
    <w:rsid w:val="00C1109C"/>
    <w:rsid w:val="00C110A0"/>
    <w:rsid w:val="00C15242"/>
    <w:rsid w:val="00C16D7A"/>
    <w:rsid w:val="00C316CD"/>
    <w:rsid w:val="00C354FD"/>
    <w:rsid w:val="00C37E8E"/>
    <w:rsid w:val="00C45B90"/>
    <w:rsid w:val="00C53DFB"/>
    <w:rsid w:val="00C54539"/>
    <w:rsid w:val="00C65039"/>
    <w:rsid w:val="00C67651"/>
    <w:rsid w:val="00C71CEE"/>
    <w:rsid w:val="00C8239D"/>
    <w:rsid w:val="00C90D72"/>
    <w:rsid w:val="00C91D12"/>
    <w:rsid w:val="00CA05B8"/>
    <w:rsid w:val="00CA32DD"/>
    <w:rsid w:val="00CA4F7F"/>
    <w:rsid w:val="00CA67E1"/>
    <w:rsid w:val="00CA792C"/>
    <w:rsid w:val="00CB1FD5"/>
    <w:rsid w:val="00CB5082"/>
    <w:rsid w:val="00CB6865"/>
    <w:rsid w:val="00CC1148"/>
    <w:rsid w:val="00CC2020"/>
    <w:rsid w:val="00CC2226"/>
    <w:rsid w:val="00CC2E7D"/>
    <w:rsid w:val="00CC41E9"/>
    <w:rsid w:val="00CC5341"/>
    <w:rsid w:val="00CC6EDC"/>
    <w:rsid w:val="00CC79E9"/>
    <w:rsid w:val="00CD0CF4"/>
    <w:rsid w:val="00CD22B3"/>
    <w:rsid w:val="00CE0D80"/>
    <w:rsid w:val="00CE0DE9"/>
    <w:rsid w:val="00CE2296"/>
    <w:rsid w:val="00CE2DC3"/>
    <w:rsid w:val="00CE2EDA"/>
    <w:rsid w:val="00CF38CF"/>
    <w:rsid w:val="00CF3C41"/>
    <w:rsid w:val="00CF3E5B"/>
    <w:rsid w:val="00CF6BED"/>
    <w:rsid w:val="00D03587"/>
    <w:rsid w:val="00D03AF8"/>
    <w:rsid w:val="00D13D33"/>
    <w:rsid w:val="00D162D6"/>
    <w:rsid w:val="00D30F9E"/>
    <w:rsid w:val="00D326BC"/>
    <w:rsid w:val="00D344F3"/>
    <w:rsid w:val="00D34EAD"/>
    <w:rsid w:val="00D377AD"/>
    <w:rsid w:val="00D37E70"/>
    <w:rsid w:val="00D4166B"/>
    <w:rsid w:val="00D41B45"/>
    <w:rsid w:val="00D44816"/>
    <w:rsid w:val="00D44E63"/>
    <w:rsid w:val="00D635E6"/>
    <w:rsid w:val="00D6571F"/>
    <w:rsid w:val="00D663B2"/>
    <w:rsid w:val="00D66F3F"/>
    <w:rsid w:val="00D6746C"/>
    <w:rsid w:val="00D74AC2"/>
    <w:rsid w:val="00D760F3"/>
    <w:rsid w:val="00D85FCA"/>
    <w:rsid w:val="00D8630C"/>
    <w:rsid w:val="00D87EBA"/>
    <w:rsid w:val="00D9065D"/>
    <w:rsid w:val="00D91B52"/>
    <w:rsid w:val="00D97A64"/>
    <w:rsid w:val="00DA309A"/>
    <w:rsid w:val="00DA4D21"/>
    <w:rsid w:val="00DA51FB"/>
    <w:rsid w:val="00DA79FF"/>
    <w:rsid w:val="00DB2A06"/>
    <w:rsid w:val="00DB5598"/>
    <w:rsid w:val="00DB67CE"/>
    <w:rsid w:val="00DC1BB9"/>
    <w:rsid w:val="00DC223C"/>
    <w:rsid w:val="00DC2D0C"/>
    <w:rsid w:val="00DC36FC"/>
    <w:rsid w:val="00DC5A73"/>
    <w:rsid w:val="00DC5EC0"/>
    <w:rsid w:val="00DD0DD2"/>
    <w:rsid w:val="00DD3163"/>
    <w:rsid w:val="00DD3C59"/>
    <w:rsid w:val="00DD41A4"/>
    <w:rsid w:val="00DE0367"/>
    <w:rsid w:val="00DE0EEE"/>
    <w:rsid w:val="00DE4125"/>
    <w:rsid w:val="00DE68D6"/>
    <w:rsid w:val="00DE6AE3"/>
    <w:rsid w:val="00DF30F4"/>
    <w:rsid w:val="00DF35B6"/>
    <w:rsid w:val="00DF5734"/>
    <w:rsid w:val="00DF7317"/>
    <w:rsid w:val="00DF78A7"/>
    <w:rsid w:val="00DF79BD"/>
    <w:rsid w:val="00E01422"/>
    <w:rsid w:val="00E02A1D"/>
    <w:rsid w:val="00E07E97"/>
    <w:rsid w:val="00E10E28"/>
    <w:rsid w:val="00E12B4C"/>
    <w:rsid w:val="00E215FA"/>
    <w:rsid w:val="00E21C8C"/>
    <w:rsid w:val="00E25507"/>
    <w:rsid w:val="00E423C8"/>
    <w:rsid w:val="00E50A52"/>
    <w:rsid w:val="00E5239F"/>
    <w:rsid w:val="00E52575"/>
    <w:rsid w:val="00E53AE8"/>
    <w:rsid w:val="00E53E1F"/>
    <w:rsid w:val="00E53E49"/>
    <w:rsid w:val="00E57C0F"/>
    <w:rsid w:val="00E61341"/>
    <w:rsid w:val="00E61E7A"/>
    <w:rsid w:val="00E62B34"/>
    <w:rsid w:val="00E62C68"/>
    <w:rsid w:val="00E62D35"/>
    <w:rsid w:val="00E63E39"/>
    <w:rsid w:val="00E640BA"/>
    <w:rsid w:val="00E6681B"/>
    <w:rsid w:val="00E70739"/>
    <w:rsid w:val="00E71249"/>
    <w:rsid w:val="00E7451B"/>
    <w:rsid w:val="00E7587D"/>
    <w:rsid w:val="00E76EDF"/>
    <w:rsid w:val="00E808A8"/>
    <w:rsid w:val="00E81396"/>
    <w:rsid w:val="00E81E03"/>
    <w:rsid w:val="00E90053"/>
    <w:rsid w:val="00E90BF3"/>
    <w:rsid w:val="00EA4AA4"/>
    <w:rsid w:val="00EA5586"/>
    <w:rsid w:val="00EC1904"/>
    <w:rsid w:val="00EC40DC"/>
    <w:rsid w:val="00EC4534"/>
    <w:rsid w:val="00EC4D0A"/>
    <w:rsid w:val="00EC5074"/>
    <w:rsid w:val="00EC7018"/>
    <w:rsid w:val="00ED44A9"/>
    <w:rsid w:val="00ED5B6A"/>
    <w:rsid w:val="00ED6F47"/>
    <w:rsid w:val="00ED7D30"/>
    <w:rsid w:val="00EE03B0"/>
    <w:rsid w:val="00EE1606"/>
    <w:rsid w:val="00EE2674"/>
    <w:rsid w:val="00EE35CD"/>
    <w:rsid w:val="00EE5E8B"/>
    <w:rsid w:val="00EE6005"/>
    <w:rsid w:val="00EF0340"/>
    <w:rsid w:val="00EF12C8"/>
    <w:rsid w:val="00EF380F"/>
    <w:rsid w:val="00EF48AE"/>
    <w:rsid w:val="00EF7DF2"/>
    <w:rsid w:val="00F0110D"/>
    <w:rsid w:val="00F042AF"/>
    <w:rsid w:val="00F07937"/>
    <w:rsid w:val="00F07EBA"/>
    <w:rsid w:val="00F100DA"/>
    <w:rsid w:val="00F12629"/>
    <w:rsid w:val="00F1578F"/>
    <w:rsid w:val="00F15A05"/>
    <w:rsid w:val="00F1655E"/>
    <w:rsid w:val="00F16734"/>
    <w:rsid w:val="00F22240"/>
    <w:rsid w:val="00F23FFB"/>
    <w:rsid w:val="00F24222"/>
    <w:rsid w:val="00F24E2A"/>
    <w:rsid w:val="00F25255"/>
    <w:rsid w:val="00F26987"/>
    <w:rsid w:val="00F320ED"/>
    <w:rsid w:val="00F35DB8"/>
    <w:rsid w:val="00F40C02"/>
    <w:rsid w:val="00F4266F"/>
    <w:rsid w:val="00F46900"/>
    <w:rsid w:val="00F47827"/>
    <w:rsid w:val="00F54CDF"/>
    <w:rsid w:val="00F56E5A"/>
    <w:rsid w:val="00F6603E"/>
    <w:rsid w:val="00F7052F"/>
    <w:rsid w:val="00F80138"/>
    <w:rsid w:val="00F809E6"/>
    <w:rsid w:val="00F85635"/>
    <w:rsid w:val="00F85F33"/>
    <w:rsid w:val="00F86CF1"/>
    <w:rsid w:val="00F877EF"/>
    <w:rsid w:val="00F91583"/>
    <w:rsid w:val="00F93315"/>
    <w:rsid w:val="00F9366D"/>
    <w:rsid w:val="00FA38E2"/>
    <w:rsid w:val="00FA612B"/>
    <w:rsid w:val="00FB074E"/>
    <w:rsid w:val="00FC056D"/>
    <w:rsid w:val="00FC06A2"/>
    <w:rsid w:val="00FC3C73"/>
    <w:rsid w:val="00FC3F4F"/>
    <w:rsid w:val="00FC6E85"/>
    <w:rsid w:val="00FC788F"/>
    <w:rsid w:val="00FD0261"/>
    <w:rsid w:val="00FD1D28"/>
    <w:rsid w:val="00FD2D19"/>
    <w:rsid w:val="00FD3E2D"/>
    <w:rsid w:val="00FD56FE"/>
    <w:rsid w:val="00FD68A2"/>
    <w:rsid w:val="00FE3D0D"/>
    <w:rsid w:val="00FE3D82"/>
    <w:rsid w:val="00FF2725"/>
    <w:rsid w:val="00FF320C"/>
    <w:rsid w:val="00FF4177"/>
    <w:rsid w:val="00FF5A4B"/>
    <w:rsid w:val="00FF7AE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3739E21-6921-4824-9AA8-35942E82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3B"/>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660FCE"/>
    <w:pPr>
      <w:keepNext/>
      <w:keepLines/>
      <w:spacing w:before="40" w:line="360" w:lineRule="auto"/>
      <w:ind w:left="360"/>
      <w:jc w:val="both"/>
      <w:outlineLvl w:val="1"/>
    </w:pPr>
    <w:rPr>
      <w:rFonts w:asciiTheme="majorHAnsi" w:eastAsiaTheme="majorEastAsia" w:hAnsiTheme="majorHAnsi" w:cstheme="majorBidi"/>
      <w:color w:val="365F91" w:themeColor="accent1" w:themeShade="BF"/>
      <w:sz w:val="26"/>
      <w:szCs w:val="26"/>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6E347F"/>
    <w:pPr>
      <w:ind w:left="720"/>
      <w:contextualSpacing/>
    </w:pPr>
  </w:style>
  <w:style w:type="paragraph" w:styleId="Header">
    <w:name w:val="header"/>
    <w:basedOn w:val="Normal"/>
    <w:link w:val="HeaderChar"/>
    <w:unhideWhenUsed/>
    <w:rsid w:val="002F3751"/>
    <w:pPr>
      <w:tabs>
        <w:tab w:val="center" w:pos="4513"/>
        <w:tab w:val="right" w:pos="9026"/>
      </w:tabs>
    </w:pPr>
  </w:style>
  <w:style w:type="character" w:customStyle="1" w:styleId="HeaderChar">
    <w:name w:val="Header Char"/>
    <w:basedOn w:val="DefaultParagraphFont"/>
    <w:link w:val="Header"/>
    <w:uiPriority w:val="99"/>
    <w:rsid w:val="002F3751"/>
    <w:rPr>
      <w:rFonts w:ascii="Times New Roman" w:eastAsia="Times New Roman" w:hAnsi="Times New Roman" w:cs="Times New Roman"/>
      <w:sz w:val="24"/>
      <w:szCs w:val="24"/>
      <w:lang w:val="af-ZA" w:eastAsia="en-GB"/>
    </w:rPr>
  </w:style>
  <w:style w:type="paragraph" w:styleId="Footer">
    <w:name w:val="footer"/>
    <w:basedOn w:val="Normal"/>
    <w:link w:val="FooterChar"/>
    <w:uiPriority w:val="99"/>
    <w:unhideWhenUsed/>
    <w:rsid w:val="002F3751"/>
    <w:pPr>
      <w:tabs>
        <w:tab w:val="center" w:pos="4513"/>
        <w:tab w:val="right" w:pos="9026"/>
      </w:tabs>
    </w:pPr>
  </w:style>
  <w:style w:type="character" w:customStyle="1" w:styleId="FooterChar">
    <w:name w:val="Footer Char"/>
    <w:basedOn w:val="DefaultParagraphFont"/>
    <w:link w:val="Footer"/>
    <w:uiPriority w:val="99"/>
    <w:rsid w:val="002F3751"/>
    <w:rPr>
      <w:rFonts w:ascii="Times New Roman" w:eastAsia="Times New Roman" w:hAnsi="Times New Roman" w:cs="Times New Roman"/>
      <w:sz w:val="24"/>
      <w:szCs w:val="24"/>
      <w:lang w:val="af-ZA" w:eastAsia="en-GB"/>
    </w:rPr>
  </w:style>
  <w:style w:type="paragraph" w:styleId="BalloonText">
    <w:name w:val="Balloon Text"/>
    <w:basedOn w:val="Normal"/>
    <w:link w:val="BalloonTextChar"/>
    <w:uiPriority w:val="99"/>
    <w:semiHidden/>
    <w:unhideWhenUsed/>
    <w:rsid w:val="00A52625"/>
    <w:rPr>
      <w:rFonts w:ascii="Tahoma" w:hAnsi="Tahoma" w:cs="Tahoma"/>
      <w:sz w:val="16"/>
      <w:szCs w:val="16"/>
    </w:rPr>
  </w:style>
  <w:style w:type="character" w:customStyle="1" w:styleId="BalloonTextChar">
    <w:name w:val="Balloon Text Char"/>
    <w:basedOn w:val="DefaultParagraphFont"/>
    <w:link w:val="BalloonText"/>
    <w:uiPriority w:val="99"/>
    <w:semiHidden/>
    <w:rsid w:val="00A52625"/>
    <w:rPr>
      <w:rFonts w:ascii="Tahoma" w:eastAsia="Times New Roman" w:hAnsi="Tahoma" w:cs="Tahoma"/>
      <w:sz w:val="16"/>
      <w:szCs w:val="16"/>
      <w:lang w:val="af-ZA" w:eastAsia="en-GB"/>
    </w:rPr>
  </w:style>
  <w:style w:type="paragraph" w:styleId="FootnoteText">
    <w:name w:val="footnote text"/>
    <w:aliases w:val="Footnote Text Char1,Footnote Text Char Char,Footnote Text Char1 Char Char,Footnote Text Char Char Char Char Char,Footnote Text Char Char1 Char Char,Footnote Text Char Char1,Footnote Text Char Char Char Char, Char Char,Char, Char,FOOTNOTES"/>
    <w:basedOn w:val="Normal"/>
    <w:link w:val="FootnoteTextChar"/>
    <w:unhideWhenUsed/>
    <w:qFormat/>
    <w:rsid w:val="00651202"/>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Footnote Text Char Char1 Char, Char Char Char,Char Char"/>
    <w:basedOn w:val="DefaultParagraphFont"/>
    <w:link w:val="FootnoteText"/>
    <w:rsid w:val="00651202"/>
    <w:rPr>
      <w:rFonts w:ascii="Times New Roman" w:eastAsia="Times New Roman" w:hAnsi="Times New Roman" w:cs="Times New Roman"/>
      <w:sz w:val="20"/>
      <w:szCs w:val="20"/>
      <w:lang w:val="af-ZA" w:eastAsia="en-GB"/>
    </w:rPr>
  </w:style>
  <w:style w:type="character" w:styleId="FootnoteReference">
    <w:name w:val="footnote reference"/>
    <w:aliases w:val="Ref,de nota al pie,註腳內容,Footnotes refss,Appel note de bas de page,(NECG) Footnote Reference,fr"/>
    <w:basedOn w:val="DefaultParagraphFont"/>
    <w:unhideWhenUsed/>
    <w:qFormat/>
    <w:rsid w:val="00651202"/>
    <w:rPr>
      <w:vertAlign w:val="superscript"/>
    </w:rPr>
  </w:style>
  <w:style w:type="character" w:styleId="Hyperlink">
    <w:name w:val="Hyperlink"/>
    <w:basedOn w:val="DefaultParagraphFont"/>
    <w:uiPriority w:val="99"/>
    <w:semiHidden/>
    <w:unhideWhenUsed/>
    <w:rsid w:val="00EF0340"/>
    <w:rPr>
      <w:color w:val="0000FF"/>
      <w:u w:val="single"/>
    </w:rPr>
  </w:style>
  <w:style w:type="character" w:customStyle="1" w:styleId="mc">
    <w:name w:val="mc"/>
    <w:basedOn w:val="DefaultParagraphFont"/>
    <w:rsid w:val="00EF0340"/>
  </w:style>
  <w:style w:type="paragraph" w:customStyle="1" w:styleId="Myown">
    <w:name w:val="My own"/>
    <w:basedOn w:val="Normal"/>
    <w:rsid w:val="001B4282"/>
    <w:pPr>
      <w:numPr>
        <w:numId w:val="12"/>
      </w:numPr>
      <w:spacing w:before="360" w:after="360" w:line="480" w:lineRule="auto"/>
      <w:jc w:val="both"/>
    </w:pPr>
    <w:rPr>
      <w:lang w:eastAsia="en-US"/>
    </w:rPr>
  </w:style>
  <w:style w:type="character" w:customStyle="1" w:styleId="ListParagraphChar">
    <w:name w:val="List Paragraph Char"/>
    <w:aliases w:val="List Paragraph 1 Char"/>
    <w:link w:val="ListParagraph"/>
    <w:uiPriority w:val="34"/>
    <w:rsid w:val="001703A2"/>
    <w:rPr>
      <w:rFonts w:ascii="Times New Roman" w:eastAsia="Times New Roman" w:hAnsi="Times New Roman" w:cs="Times New Roman"/>
      <w:sz w:val="24"/>
      <w:szCs w:val="24"/>
      <w:lang w:val="af-ZA" w:eastAsia="en-GB"/>
    </w:rPr>
  </w:style>
  <w:style w:type="character" w:styleId="CommentReference">
    <w:name w:val="annotation reference"/>
    <w:basedOn w:val="DefaultParagraphFont"/>
    <w:uiPriority w:val="99"/>
    <w:semiHidden/>
    <w:unhideWhenUsed/>
    <w:rsid w:val="00DF30F4"/>
    <w:rPr>
      <w:sz w:val="16"/>
      <w:szCs w:val="16"/>
    </w:rPr>
  </w:style>
  <w:style w:type="paragraph" w:styleId="CommentText">
    <w:name w:val="annotation text"/>
    <w:basedOn w:val="Normal"/>
    <w:link w:val="CommentTextChar"/>
    <w:uiPriority w:val="99"/>
    <w:semiHidden/>
    <w:unhideWhenUsed/>
    <w:rsid w:val="00DF30F4"/>
    <w:rPr>
      <w:sz w:val="20"/>
      <w:szCs w:val="20"/>
    </w:rPr>
  </w:style>
  <w:style w:type="character" w:customStyle="1" w:styleId="CommentTextChar">
    <w:name w:val="Comment Text Char"/>
    <w:basedOn w:val="DefaultParagraphFont"/>
    <w:link w:val="CommentText"/>
    <w:uiPriority w:val="99"/>
    <w:semiHidden/>
    <w:rsid w:val="00DF30F4"/>
    <w:rPr>
      <w:rFonts w:ascii="Times New Roman" w:eastAsia="Times New Roman" w:hAnsi="Times New Roman" w:cs="Times New Roman"/>
      <w:sz w:val="20"/>
      <w:szCs w:val="20"/>
      <w:lang w:val="af-ZA" w:eastAsia="en-GB"/>
    </w:rPr>
  </w:style>
  <w:style w:type="paragraph" w:styleId="CommentSubject">
    <w:name w:val="annotation subject"/>
    <w:basedOn w:val="CommentText"/>
    <w:next w:val="CommentText"/>
    <w:link w:val="CommentSubjectChar"/>
    <w:uiPriority w:val="99"/>
    <w:semiHidden/>
    <w:unhideWhenUsed/>
    <w:rsid w:val="00DF30F4"/>
    <w:rPr>
      <w:b/>
      <w:bCs/>
    </w:rPr>
  </w:style>
  <w:style w:type="character" w:customStyle="1" w:styleId="CommentSubjectChar">
    <w:name w:val="Comment Subject Char"/>
    <w:basedOn w:val="CommentTextChar"/>
    <w:link w:val="CommentSubject"/>
    <w:uiPriority w:val="99"/>
    <w:semiHidden/>
    <w:rsid w:val="00DF30F4"/>
    <w:rPr>
      <w:rFonts w:ascii="Times New Roman" w:eastAsia="Times New Roman" w:hAnsi="Times New Roman" w:cs="Times New Roman"/>
      <w:b/>
      <w:bCs/>
      <w:sz w:val="20"/>
      <w:szCs w:val="20"/>
      <w:lang w:val="af-ZA" w:eastAsia="en-GB"/>
    </w:rPr>
  </w:style>
  <w:style w:type="character" w:customStyle="1" w:styleId="apple-converted-space">
    <w:name w:val="apple-converted-space"/>
    <w:basedOn w:val="DefaultParagraphFont"/>
    <w:rsid w:val="00D162D6"/>
  </w:style>
  <w:style w:type="paragraph" w:customStyle="1" w:styleId="onenormal">
    <w:name w:val="one normal"/>
    <w:basedOn w:val="Normal"/>
    <w:qFormat/>
    <w:rsid w:val="00763E6A"/>
    <w:pPr>
      <w:spacing w:line="360" w:lineRule="auto"/>
      <w:ind w:left="720" w:hanging="720"/>
      <w:jc w:val="both"/>
    </w:pPr>
    <w:rPr>
      <w:rFonts w:ascii="Arial" w:hAnsi="Arial" w:cs="Arial"/>
      <w:sz w:val="20"/>
      <w:szCs w:val="20"/>
      <w:lang w:val="en-IE" w:eastAsia="en-IE"/>
    </w:rPr>
  </w:style>
  <w:style w:type="paragraph" w:customStyle="1" w:styleId="para">
    <w:name w:val="para"/>
    <w:basedOn w:val="Normal"/>
    <w:qFormat/>
    <w:rsid w:val="00763E6A"/>
    <w:pPr>
      <w:widowControl w:val="0"/>
      <w:spacing w:line="360" w:lineRule="auto"/>
      <w:jc w:val="both"/>
    </w:pPr>
    <w:rPr>
      <w:rFonts w:ascii="Arial" w:hAnsi="Arial" w:cs="Arial"/>
      <w:color w:val="000000"/>
      <w:sz w:val="20"/>
      <w:lang w:eastAsia="en-US"/>
    </w:rPr>
  </w:style>
  <w:style w:type="paragraph" w:customStyle="1" w:styleId="two">
    <w:name w:val="two"/>
    <w:basedOn w:val="Normal"/>
    <w:qFormat/>
    <w:rsid w:val="00763E6A"/>
    <w:pPr>
      <w:widowControl w:val="0"/>
      <w:spacing w:line="360" w:lineRule="auto"/>
      <w:ind w:left="1440" w:hanging="720"/>
      <w:jc w:val="both"/>
    </w:pPr>
    <w:rPr>
      <w:rFonts w:ascii="Arial" w:hAnsi="Arial" w:cs="Arial"/>
      <w:color w:val="000000"/>
      <w:sz w:val="20"/>
      <w:lang w:eastAsia="en-US"/>
    </w:rPr>
  </w:style>
  <w:style w:type="character" w:customStyle="1" w:styleId="Heading2Char">
    <w:name w:val="Heading 2 Char"/>
    <w:basedOn w:val="DefaultParagraphFont"/>
    <w:link w:val="Heading2"/>
    <w:uiPriority w:val="9"/>
    <w:rsid w:val="00660FCE"/>
    <w:rPr>
      <w:rFonts w:asciiTheme="majorHAnsi" w:eastAsiaTheme="majorEastAsia" w:hAnsiTheme="majorHAnsi" w:cstheme="majorBidi"/>
      <w:color w:val="365F91" w:themeColor="accent1" w:themeShade="BF"/>
      <w:sz w:val="26"/>
      <w:szCs w:val="26"/>
    </w:rPr>
  </w:style>
  <w:style w:type="paragraph" w:customStyle="1" w:styleId="centerhead">
    <w:name w:val="center head"/>
    <w:basedOn w:val="Normal"/>
    <w:qFormat/>
    <w:rsid w:val="003A03E9"/>
    <w:pPr>
      <w:widowControl w:val="0"/>
      <w:spacing w:line="360" w:lineRule="auto"/>
      <w:jc w:val="center"/>
    </w:pPr>
    <w:rPr>
      <w:rFonts w:ascii="Arial" w:hAnsi="Arial" w:cs="Arial"/>
      <w:b/>
      <w:bCs/>
      <w:color w:val="00000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1476">
      <w:bodyDiv w:val="1"/>
      <w:marLeft w:val="0"/>
      <w:marRight w:val="0"/>
      <w:marTop w:val="0"/>
      <w:marBottom w:val="0"/>
      <w:divBdr>
        <w:top w:val="none" w:sz="0" w:space="0" w:color="auto"/>
        <w:left w:val="none" w:sz="0" w:space="0" w:color="auto"/>
        <w:bottom w:val="none" w:sz="0" w:space="0" w:color="auto"/>
        <w:right w:val="none" w:sz="0" w:space="0" w:color="auto"/>
      </w:divBdr>
    </w:div>
    <w:div w:id="559361996">
      <w:bodyDiv w:val="1"/>
      <w:marLeft w:val="0"/>
      <w:marRight w:val="0"/>
      <w:marTop w:val="0"/>
      <w:marBottom w:val="0"/>
      <w:divBdr>
        <w:top w:val="none" w:sz="0" w:space="0" w:color="auto"/>
        <w:left w:val="none" w:sz="0" w:space="0" w:color="auto"/>
        <w:bottom w:val="none" w:sz="0" w:space="0" w:color="auto"/>
        <w:right w:val="none" w:sz="0" w:space="0" w:color="auto"/>
      </w:divBdr>
    </w:div>
    <w:div w:id="902906669">
      <w:bodyDiv w:val="1"/>
      <w:marLeft w:val="0"/>
      <w:marRight w:val="0"/>
      <w:marTop w:val="0"/>
      <w:marBottom w:val="0"/>
      <w:divBdr>
        <w:top w:val="none" w:sz="0" w:space="0" w:color="auto"/>
        <w:left w:val="none" w:sz="0" w:space="0" w:color="auto"/>
        <w:bottom w:val="none" w:sz="0" w:space="0" w:color="auto"/>
        <w:right w:val="none" w:sz="0" w:space="0" w:color="auto"/>
      </w:divBdr>
    </w:div>
    <w:div w:id="1065301127">
      <w:bodyDiv w:val="1"/>
      <w:marLeft w:val="0"/>
      <w:marRight w:val="0"/>
      <w:marTop w:val="0"/>
      <w:marBottom w:val="0"/>
      <w:divBdr>
        <w:top w:val="none" w:sz="0" w:space="0" w:color="auto"/>
        <w:left w:val="none" w:sz="0" w:space="0" w:color="auto"/>
        <w:bottom w:val="none" w:sz="0" w:space="0" w:color="auto"/>
        <w:right w:val="none" w:sz="0" w:space="0" w:color="auto"/>
      </w:divBdr>
    </w:div>
    <w:div w:id="1203207775">
      <w:bodyDiv w:val="1"/>
      <w:marLeft w:val="0"/>
      <w:marRight w:val="0"/>
      <w:marTop w:val="0"/>
      <w:marBottom w:val="0"/>
      <w:divBdr>
        <w:top w:val="none" w:sz="0" w:space="0" w:color="auto"/>
        <w:left w:val="none" w:sz="0" w:space="0" w:color="auto"/>
        <w:bottom w:val="none" w:sz="0" w:space="0" w:color="auto"/>
        <w:right w:val="none" w:sz="0" w:space="0" w:color="auto"/>
      </w:divBdr>
    </w:div>
    <w:div w:id="1301958604">
      <w:bodyDiv w:val="1"/>
      <w:marLeft w:val="0"/>
      <w:marRight w:val="0"/>
      <w:marTop w:val="0"/>
      <w:marBottom w:val="0"/>
      <w:divBdr>
        <w:top w:val="none" w:sz="0" w:space="0" w:color="auto"/>
        <w:left w:val="none" w:sz="0" w:space="0" w:color="auto"/>
        <w:bottom w:val="none" w:sz="0" w:space="0" w:color="auto"/>
        <w:right w:val="none" w:sz="0" w:space="0" w:color="auto"/>
      </w:divBdr>
    </w:div>
    <w:div w:id="1539121224">
      <w:bodyDiv w:val="1"/>
      <w:marLeft w:val="0"/>
      <w:marRight w:val="0"/>
      <w:marTop w:val="0"/>
      <w:marBottom w:val="0"/>
      <w:divBdr>
        <w:top w:val="none" w:sz="0" w:space="0" w:color="auto"/>
        <w:left w:val="none" w:sz="0" w:space="0" w:color="auto"/>
        <w:bottom w:val="none" w:sz="0" w:space="0" w:color="auto"/>
        <w:right w:val="none" w:sz="0" w:space="0" w:color="auto"/>
      </w:divBdr>
    </w:div>
    <w:div w:id="1707637032">
      <w:bodyDiv w:val="1"/>
      <w:marLeft w:val="0"/>
      <w:marRight w:val="0"/>
      <w:marTop w:val="0"/>
      <w:marBottom w:val="0"/>
      <w:divBdr>
        <w:top w:val="none" w:sz="0" w:space="0" w:color="auto"/>
        <w:left w:val="none" w:sz="0" w:space="0" w:color="auto"/>
        <w:bottom w:val="none" w:sz="0" w:space="0" w:color="auto"/>
        <w:right w:val="none" w:sz="0" w:space="0" w:color="auto"/>
      </w:divBdr>
    </w:div>
    <w:div w:id="1756248729">
      <w:bodyDiv w:val="1"/>
      <w:marLeft w:val="0"/>
      <w:marRight w:val="0"/>
      <w:marTop w:val="0"/>
      <w:marBottom w:val="0"/>
      <w:divBdr>
        <w:top w:val="none" w:sz="0" w:space="0" w:color="auto"/>
        <w:left w:val="none" w:sz="0" w:space="0" w:color="auto"/>
        <w:bottom w:val="none" w:sz="0" w:space="0" w:color="auto"/>
        <w:right w:val="none" w:sz="0" w:space="0" w:color="auto"/>
      </w:divBdr>
    </w:div>
    <w:div w:id="21272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A2B6-57EB-4477-89FE-F679EECA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Beket Elsa</dc:creator>
  <cp:keywords/>
  <dc:description/>
  <cp:lastModifiedBy>Mokone</cp:lastModifiedBy>
  <cp:revision>2</cp:revision>
  <cp:lastPrinted>2023-06-07T07:45:00Z</cp:lastPrinted>
  <dcterms:created xsi:type="dcterms:W3CDTF">2023-06-12T08:03:00Z</dcterms:created>
  <dcterms:modified xsi:type="dcterms:W3CDTF">2023-06-12T08:03:00Z</dcterms:modified>
</cp:coreProperties>
</file>