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A8" w:rsidRPr="005C4DB8" w:rsidRDefault="00EF11A8" w:rsidP="00EF11A8">
      <w:pPr>
        <w:ind w:left="2160" w:firstLine="720"/>
        <w:rPr>
          <w:rFonts w:ascii="Arial" w:hAnsi="Arial" w:cs="Arial"/>
          <w:b/>
          <w:u w:val="single"/>
        </w:rPr>
      </w:pPr>
      <w:bookmarkStart w:id="0" w:name="_GoBack"/>
      <w:bookmarkEnd w:id="0"/>
      <w:r w:rsidRPr="005C4DB8">
        <w:rPr>
          <w:rFonts w:ascii="Arial" w:eastAsiaTheme="minorHAnsi" w:hAnsi="Arial" w:cs="Arial"/>
          <w:noProof/>
          <w:lang w:val="en-US" w:eastAsia="en-US"/>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Pr="005C4DB8" w:rsidRDefault="00EF11A8" w:rsidP="00EF11A8">
      <w:pPr>
        <w:ind w:left="2160" w:firstLine="720"/>
        <w:rPr>
          <w:rFonts w:ascii="Arial" w:hAnsi="Arial" w:cs="Arial"/>
          <w:b/>
          <w:u w:val="single"/>
        </w:rPr>
      </w:pPr>
    </w:p>
    <w:p w:rsidR="00EF11A8" w:rsidRPr="005C4DB8" w:rsidRDefault="00EF11A8" w:rsidP="00EF11A8">
      <w:pPr>
        <w:ind w:left="2160" w:firstLine="720"/>
        <w:rPr>
          <w:rFonts w:ascii="Arial" w:hAnsi="Arial" w:cs="Arial"/>
          <w:b/>
          <w:u w:val="single"/>
        </w:rPr>
      </w:pPr>
    </w:p>
    <w:p w:rsidR="00EF11A8" w:rsidRPr="005C4DB8" w:rsidRDefault="00EF11A8" w:rsidP="00EF11A8">
      <w:pPr>
        <w:ind w:left="2160" w:firstLine="720"/>
        <w:rPr>
          <w:rFonts w:ascii="Arial" w:hAnsi="Arial" w:cs="Arial"/>
          <w:b/>
          <w:u w:val="single"/>
        </w:rPr>
      </w:pPr>
    </w:p>
    <w:p w:rsidR="00EF11A8" w:rsidRPr="005C4DB8" w:rsidRDefault="00EF11A8" w:rsidP="00EF11A8">
      <w:pPr>
        <w:ind w:left="2160" w:firstLine="720"/>
        <w:rPr>
          <w:rFonts w:ascii="Arial" w:hAnsi="Arial" w:cs="Arial"/>
          <w:b/>
          <w:u w:val="single"/>
        </w:rPr>
      </w:pPr>
    </w:p>
    <w:p w:rsidR="00DC6873" w:rsidRPr="005C4DB8" w:rsidRDefault="00DC6873" w:rsidP="00EF11A8">
      <w:pPr>
        <w:ind w:left="2160" w:firstLine="720"/>
        <w:rPr>
          <w:rFonts w:ascii="Arial" w:hAnsi="Arial" w:cs="Arial"/>
          <w:b/>
          <w:u w:val="single"/>
        </w:rPr>
      </w:pPr>
    </w:p>
    <w:p w:rsidR="00EF11A8" w:rsidRPr="005C4DB8" w:rsidRDefault="00EF11A8" w:rsidP="00EF11A8">
      <w:pPr>
        <w:ind w:left="1440" w:firstLine="720"/>
        <w:rPr>
          <w:rFonts w:ascii="Arial" w:hAnsi="Arial" w:cs="Arial"/>
          <w:b/>
          <w:u w:val="single"/>
        </w:rPr>
      </w:pPr>
      <w:r w:rsidRPr="005C4DB8">
        <w:rPr>
          <w:rFonts w:ascii="Arial" w:hAnsi="Arial" w:cs="Arial"/>
          <w:b/>
          <w:u w:val="single"/>
        </w:rPr>
        <w:t>IN THE HIGH COURT OF SOUTH AFRICA,</w:t>
      </w:r>
    </w:p>
    <w:p w:rsidR="00EF11A8" w:rsidRPr="005C4DB8" w:rsidRDefault="00EF11A8" w:rsidP="00EF11A8">
      <w:pPr>
        <w:ind w:left="1440" w:firstLine="720"/>
        <w:rPr>
          <w:rFonts w:ascii="Arial" w:hAnsi="Arial" w:cs="Arial"/>
          <w:b/>
          <w:u w:val="single"/>
        </w:rPr>
      </w:pPr>
      <w:r w:rsidRPr="005C4DB8">
        <w:rPr>
          <w:rFonts w:ascii="Arial" w:hAnsi="Arial" w:cs="Arial"/>
          <w:b/>
          <w:u w:val="single"/>
        </w:rPr>
        <w:t>FREE STATE DIVISION, BLOEMFONTEIN</w:t>
      </w:r>
    </w:p>
    <w:p w:rsidR="003F2617" w:rsidRPr="005C4DB8" w:rsidRDefault="003F2617" w:rsidP="00EF11A8">
      <w:pPr>
        <w:ind w:left="1440" w:firstLine="720"/>
        <w:rPr>
          <w:rFonts w:ascii="Arial" w:hAnsi="Arial" w:cs="Arial"/>
          <w:b/>
          <w:u w:val="single"/>
        </w:rPr>
      </w:pPr>
    </w:p>
    <w:p w:rsidR="003F2617" w:rsidRPr="005C4DB8"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RPr="005C4DB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C4DB8" w:rsidRDefault="00EF11A8" w:rsidP="007C2356">
            <w:pPr>
              <w:rPr>
                <w:rFonts w:ascii="Arial" w:hAnsi="Arial" w:cs="Arial"/>
                <w:b/>
                <w:sz w:val="16"/>
                <w:szCs w:val="16"/>
              </w:rPr>
            </w:pPr>
            <w:r w:rsidRPr="005C4DB8">
              <w:rPr>
                <w:rFonts w:ascii="Arial" w:hAnsi="Arial" w:cs="Arial"/>
                <w:b/>
                <w:sz w:val="16"/>
                <w:szCs w:val="16"/>
              </w:rPr>
              <w:t>Reportable:                              NO</w:t>
            </w:r>
          </w:p>
          <w:p w:rsidR="00EF11A8" w:rsidRPr="005C4DB8" w:rsidRDefault="00EF11A8" w:rsidP="007C2356">
            <w:pPr>
              <w:rPr>
                <w:rFonts w:ascii="Arial" w:hAnsi="Arial" w:cs="Arial"/>
                <w:b/>
                <w:sz w:val="16"/>
                <w:szCs w:val="16"/>
              </w:rPr>
            </w:pPr>
            <w:r w:rsidRPr="005C4DB8">
              <w:rPr>
                <w:rFonts w:ascii="Arial" w:hAnsi="Arial" w:cs="Arial"/>
                <w:b/>
                <w:sz w:val="16"/>
                <w:szCs w:val="16"/>
              </w:rPr>
              <w:t>Of Interest to other Judges:   NO</w:t>
            </w:r>
          </w:p>
          <w:p w:rsidR="00EF11A8" w:rsidRPr="005C4DB8" w:rsidRDefault="00EF11A8" w:rsidP="007C2356">
            <w:pPr>
              <w:rPr>
                <w:rFonts w:ascii="Arial" w:hAnsi="Arial" w:cs="Arial"/>
                <w:b/>
                <w:sz w:val="16"/>
                <w:szCs w:val="16"/>
                <w:u w:val="single"/>
              </w:rPr>
            </w:pPr>
            <w:r w:rsidRPr="005C4DB8">
              <w:rPr>
                <w:rFonts w:ascii="Arial" w:hAnsi="Arial" w:cs="Arial"/>
                <w:b/>
                <w:sz w:val="16"/>
                <w:szCs w:val="16"/>
              </w:rPr>
              <w:t>Circulate to Magistrates:        NO</w:t>
            </w:r>
          </w:p>
        </w:tc>
      </w:tr>
    </w:tbl>
    <w:p w:rsidR="00EF11A8" w:rsidRPr="005C4DB8" w:rsidRDefault="00EF11A8" w:rsidP="00EF11A8">
      <w:pPr>
        <w:jc w:val="both"/>
        <w:rPr>
          <w:rFonts w:ascii="Arial" w:hAnsi="Arial" w:cs="Arial"/>
          <w:b/>
          <w:sz w:val="28"/>
          <w:szCs w:val="28"/>
        </w:rPr>
      </w:pP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p>
    <w:p w:rsidR="00781F07" w:rsidRPr="005C4DB8" w:rsidRDefault="0094642F" w:rsidP="008A68B4">
      <w:pPr>
        <w:jc w:val="right"/>
        <w:rPr>
          <w:rFonts w:ascii="Arial" w:hAnsi="Arial" w:cs="Arial"/>
          <w:b/>
        </w:rPr>
      </w:pPr>
      <w:r w:rsidRPr="005C4DB8">
        <w:rPr>
          <w:rFonts w:ascii="Arial" w:hAnsi="Arial" w:cs="Arial"/>
          <w:b/>
        </w:rPr>
        <w:t>C</w:t>
      </w:r>
      <w:r w:rsidR="004E243D" w:rsidRPr="005C4DB8">
        <w:rPr>
          <w:rFonts w:ascii="Arial" w:hAnsi="Arial" w:cs="Arial"/>
          <w:b/>
        </w:rPr>
        <w:t>ase No</w:t>
      </w:r>
      <w:r w:rsidR="00781F07" w:rsidRPr="005C4DB8">
        <w:rPr>
          <w:rFonts w:ascii="Arial" w:hAnsi="Arial" w:cs="Arial"/>
          <w:b/>
        </w:rPr>
        <w:t>:</w:t>
      </w:r>
      <w:r w:rsidR="005C4DB8" w:rsidRPr="005C4DB8">
        <w:rPr>
          <w:rFonts w:ascii="Arial" w:hAnsi="Arial" w:cs="Arial"/>
          <w:b/>
        </w:rPr>
        <w:t>4184/</w:t>
      </w:r>
      <w:r w:rsidR="00AA31A4" w:rsidRPr="005C4DB8">
        <w:rPr>
          <w:rFonts w:ascii="Arial" w:hAnsi="Arial" w:cs="Arial"/>
          <w:b/>
        </w:rPr>
        <w:t>20</w:t>
      </w:r>
      <w:r w:rsidR="005C4DB8" w:rsidRPr="005C4DB8">
        <w:rPr>
          <w:rFonts w:ascii="Arial" w:hAnsi="Arial" w:cs="Arial"/>
          <w:b/>
        </w:rPr>
        <w:t>19</w:t>
      </w:r>
    </w:p>
    <w:p w:rsidR="005C4DB8" w:rsidRPr="005C4DB8" w:rsidRDefault="005C4DB8" w:rsidP="008A68B4">
      <w:pPr>
        <w:jc w:val="right"/>
        <w:rPr>
          <w:rFonts w:ascii="Arial" w:hAnsi="Arial" w:cs="Arial"/>
          <w:b/>
        </w:rPr>
      </w:pPr>
      <w:r w:rsidRPr="005C4DB8">
        <w:rPr>
          <w:rFonts w:ascii="Arial" w:hAnsi="Arial" w:cs="Arial"/>
          <w:b/>
        </w:rPr>
        <w:t>Case No: 879/2019</w:t>
      </w:r>
    </w:p>
    <w:p w:rsidR="00EF11A8" w:rsidRPr="005C4DB8" w:rsidRDefault="00EF11A8" w:rsidP="00EF11A8">
      <w:pPr>
        <w:jc w:val="right"/>
        <w:rPr>
          <w:rFonts w:ascii="Arial" w:hAnsi="Arial" w:cs="Arial"/>
        </w:rPr>
      </w:pPr>
      <w:r w:rsidRPr="005C4DB8">
        <w:rPr>
          <w:rFonts w:ascii="Arial" w:hAnsi="Arial" w:cs="Arial"/>
        </w:rPr>
        <w:t xml:space="preserve"> </w:t>
      </w:r>
      <w:r w:rsidRPr="005C4DB8">
        <w:rPr>
          <w:rFonts w:ascii="Arial" w:hAnsi="Arial" w:cs="Arial"/>
        </w:rPr>
        <w:tab/>
        <w:t xml:space="preserve"> </w:t>
      </w:r>
    </w:p>
    <w:p w:rsidR="00781F07" w:rsidRPr="005C4DB8" w:rsidRDefault="00EF11A8" w:rsidP="00EF11A8">
      <w:pPr>
        <w:jc w:val="both"/>
        <w:rPr>
          <w:rFonts w:ascii="Arial" w:hAnsi="Arial" w:cs="Arial"/>
        </w:rPr>
      </w:pPr>
      <w:r w:rsidRPr="005C4DB8">
        <w:rPr>
          <w:rFonts w:ascii="Arial" w:hAnsi="Arial" w:cs="Arial"/>
        </w:rPr>
        <w:t>In the matter between:</w:t>
      </w:r>
    </w:p>
    <w:p w:rsidR="00EF11A8" w:rsidRPr="005C4DB8" w:rsidRDefault="00EF11A8" w:rsidP="00EF11A8">
      <w:pPr>
        <w:jc w:val="both"/>
        <w:rPr>
          <w:rFonts w:ascii="Arial" w:hAnsi="Arial" w:cs="Arial"/>
        </w:rPr>
      </w:pPr>
      <w:r w:rsidRPr="005C4DB8">
        <w:rPr>
          <w:rFonts w:ascii="Arial" w:hAnsi="Arial" w:cs="Arial"/>
        </w:rPr>
        <w:t xml:space="preserve"> </w:t>
      </w:r>
    </w:p>
    <w:p w:rsidR="00600B80" w:rsidRPr="005C4DB8" w:rsidRDefault="005C4DB8" w:rsidP="00600B80">
      <w:pPr>
        <w:pStyle w:val="BodyText"/>
        <w:rPr>
          <w:rFonts w:ascii="Arial" w:hAnsi="Arial" w:cs="Arial"/>
          <w:szCs w:val="24"/>
        </w:rPr>
      </w:pPr>
      <w:r w:rsidRPr="005C4DB8">
        <w:rPr>
          <w:rFonts w:ascii="Arial" w:hAnsi="Arial" w:cs="Arial"/>
          <w:b/>
          <w:szCs w:val="24"/>
        </w:rPr>
        <w:t>FRITZ FOURIE</w:t>
      </w:r>
      <w:r w:rsidR="00600B80" w:rsidRPr="005C4DB8">
        <w:rPr>
          <w:rFonts w:ascii="Arial" w:hAnsi="Arial" w:cs="Arial"/>
          <w:b/>
          <w:szCs w:val="24"/>
        </w:rPr>
        <w:tab/>
      </w:r>
      <w:r w:rsidR="00600B80" w:rsidRPr="005C4DB8">
        <w:rPr>
          <w:rFonts w:ascii="Arial" w:hAnsi="Arial" w:cs="Arial"/>
          <w:b/>
          <w:szCs w:val="24"/>
        </w:rPr>
        <w:tab/>
        <w:t xml:space="preserve">         </w:t>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00600B80" w:rsidRPr="005C4DB8">
        <w:rPr>
          <w:rFonts w:ascii="Arial" w:hAnsi="Arial" w:cs="Arial"/>
          <w:szCs w:val="24"/>
        </w:rPr>
        <w:t>Applicant</w:t>
      </w:r>
    </w:p>
    <w:p w:rsidR="00600B80" w:rsidRPr="005C4DB8" w:rsidRDefault="00600B80" w:rsidP="00600B80">
      <w:pPr>
        <w:pStyle w:val="BodyText"/>
        <w:rPr>
          <w:rFonts w:ascii="Arial" w:hAnsi="Arial" w:cs="Arial"/>
          <w:szCs w:val="24"/>
        </w:rPr>
      </w:pPr>
    </w:p>
    <w:p w:rsidR="00600B80" w:rsidRPr="005C4DB8" w:rsidRDefault="00600B80" w:rsidP="00600B80">
      <w:pPr>
        <w:pStyle w:val="BodyText"/>
        <w:rPr>
          <w:rFonts w:ascii="Arial" w:hAnsi="Arial" w:cs="Arial"/>
          <w:szCs w:val="24"/>
        </w:rPr>
      </w:pPr>
      <w:r w:rsidRPr="005C4DB8">
        <w:rPr>
          <w:rFonts w:ascii="Arial" w:hAnsi="Arial" w:cs="Arial"/>
          <w:szCs w:val="24"/>
        </w:rPr>
        <w:t xml:space="preserve">and </w:t>
      </w:r>
    </w:p>
    <w:p w:rsidR="00600B80" w:rsidRPr="005C4DB8" w:rsidRDefault="00600B80" w:rsidP="00600B80">
      <w:pPr>
        <w:pStyle w:val="BodyText"/>
        <w:rPr>
          <w:rFonts w:ascii="Arial" w:hAnsi="Arial" w:cs="Arial"/>
          <w:szCs w:val="24"/>
        </w:rPr>
      </w:pPr>
    </w:p>
    <w:p w:rsidR="00600B80" w:rsidRPr="005C4DB8" w:rsidRDefault="00E22AA0" w:rsidP="00600B80">
      <w:pPr>
        <w:widowControl w:val="0"/>
        <w:tabs>
          <w:tab w:val="right" w:pos="9072"/>
        </w:tabs>
        <w:rPr>
          <w:rFonts w:ascii="Arial" w:eastAsia="Calibri" w:hAnsi="Arial" w:cs="Arial"/>
          <w:bCs/>
        </w:rPr>
      </w:pPr>
      <w:r>
        <w:rPr>
          <w:rFonts w:ascii="Arial" w:eastAsia="Calibri" w:hAnsi="Arial" w:cs="Arial"/>
          <w:b/>
          <w:bCs/>
          <w:color w:val="222222"/>
          <w:shd w:val="clear" w:color="auto" w:fill="FFFFFF"/>
        </w:rPr>
        <w:t>VRYSTAAT MUNS</w:t>
      </w:r>
      <w:r w:rsidR="005C4DB8" w:rsidRPr="005C4DB8">
        <w:rPr>
          <w:rFonts w:ascii="Arial" w:eastAsia="Calibri" w:hAnsi="Arial" w:cs="Arial"/>
          <w:b/>
          <w:bCs/>
          <w:color w:val="222222"/>
          <w:shd w:val="clear" w:color="auto" w:fill="FFFFFF"/>
        </w:rPr>
        <w:t>IPALE PENSOENFONDS</w:t>
      </w:r>
      <w:r w:rsidR="00600B80" w:rsidRPr="005C4DB8">
        <w:rPr>
          <w:rFonts w:ascii="Arial" w:eastAsia="Calibri" w:hAnsi="Arial" w:cs="Arial"/>
          <w:b/>
        </w:rPr>
        <w:t xml:space="preserve">                    </w:t>
      </w:r>
      <w:r w:rsidR="005C4DB8" w:rsidRPr="005C4DB8">
        <w:rPr>
          <w:rFonts w:ascii="Arial" w:eastAsia="Calibri" w:hAnsi="Arial" w:cs="Arial"/>
          <w:b/>
        </w:rPr>
        <w:tab/>
      </w:r>
      <w:r w:rsidR="00600B80" w:rsidRPr="005C4DB8">
        <w:rPr>
          <w:rFonts w:ascii="Arial" w:eastAsia="Calibri" w:hAnsi="Arial" w:cs="Arial"/>
          <w:bCs/>
        </w:rPr>
        <w:t xml:space="preserve">Respondent </w:t>
      </w:r>
    </w:p>
    <w:p w:rsidR="00600B80" w:rsidRPr="005C4DB8" w:rsidRDefault="00600B80" w:rsidP="00600B80">
      <w:pPr>
        <w:widowControl w:val="0"/>
        <w:tabs>
          <w:tab w:val="right" w:pos="9072"/>
        </w:tabs>
        <w:rPr>
          <w:rFonts w:ascii="Arial" w:eastAsia="Calibri" w:hAnsi="Arial" w:cs="Arial"/>
          <w:b/>
          <w:bCs/>
        </w:rPr>
      </w:pPr>
    </w:p>
    <w:p w:rsidR="005C4DB8" w:rsidRPr="005C4DB8" w:rsidRDefault="005C4DB8" w:rsidP="00600B80">
      <w:pPr>
        <w:widowControl w:val="0"/>
        <w:tabs>
          <w:tab w:val="right" w:pos="9072"/>
        </w:tabs>
        <w:rPr>
          <w:rFonts w:ascii="Arial" w:eastAsia="Calibri" w:hAnsi="Arial" w:cs="Arial"/>
          <w:bCs/>
          <w:i/>
        </w:rPr>
      </w:pPr>
      <w:r w:rsidRPr="005C4DB8">
        <w:rPr>
          <w:rFonts w:ascii="Arial" w:eastAsia="Calibri" w:hAnsi="Arial" w:cs="Arial"/>
          <w:bCs/>
          <w:i/>
        </w:rPr>
        <w:t>IN RE:</w:t>
      </w:r>
    </w:p>
    <w:p w:rsidR="005C4DB8" w:rsidRPr="005C4DB8" w:rsidRDefault="005C4DB8" w:rsidP="005C4DB8">
      <w:pPr>
        <w:jc w:val="right"/>
        <w:rPr>
          <w:rFonts w:ascii="Arial" w:hAnsi="Arial" w:cs="Arial"/>
          <w:b/>
        </w:rPr>
      </w:pPr>
      <w:bookmarkStart w:id="1" w:name="_Hlk126309853"/>
      <w:r w:rsidRPr="005C4DB8">
        <w:rPr>
          <w:rFonts w:ascii="Arial" w:hAnsi="Arial" w:cs="Arial"/>
          <w:b/>
        </w:rPr>
        <w:t>Case No:4184/2019</w:t>
      </w:r>
    </w:p>
    <w:p w:rsidR="005C4DB8" w:rsidRPr="005C4DB8" w:rsidRDefault="005C4DB8" w:rsidP="005C4DB8">
      <w:pPr>
        <w:jc w:val="right"/>
        <w:rPr>
          <w:rFonts w:ascii="Arial" w:hAnsi="Arial" w:cs="Arial"/>
          <w:b/>
        </w:rPr>
      </w:pPr>
      <w:r w:rsidRPr="005C4DB8">
        <w:rPr>
          <w:rFonts w:ascii="Arial" w:hAnsi="Arial" w:cs="Arial"/>
          <w:b/>
        </w:rPr>
        <w:t>Case No: 879/2019</w:t>
      </w:r>
    </w:p>
    <w:p w:rsidR="005C4DB8" w:rsidRPr="005C4DB8" w:rsidRDefault="005C4DB8" w:rsidP="00600B80">
      <w:pPr>
        <w:widowControl w:val="0"/>
        <w:tabs>
          <w:tab w:val="right" w:pos="9072"/>
        </w:tabs>
        <w:rPr>
          <w:rFonts w:ascii="Arial" w:eastAsia="Calibri" w:hAnsi="Arial" w:cs="Arial"/>
          <w:b/>
        </w:rPr>
      </w:pPr>
    </w:p>
    <w:p w:rsidR="005C4DB8" w:rsidRPr="005C4DB8" w:rsidRDefault="005C4DB8" w:rsidP="005C4DB8">
      <w:pPr>
        <w:jc w:val="both"/>
        <w:rPr>
          <w:rFonts w:ascii="Arial" w:hAnsi="Arial" w:cs="Arial"/>
        </w:rPr>
      </w:pPr>
      <w:r w:rsidRPr="005C4DB8">
        <w:rPr>
          <w:rFonts w:ascii="Arial" w:hAnsi="Arial" w:cs="Arial"/>
        </w:rPr>
        <w:t>In the matter between:</w:t>
      </w:r>
    </w:p>
    <w:p w:rsidR="005C4DB8" w:rsidRPr="005C4DB8" w:rsidRDefault="005C4DB8" w:rsidP="005C4DB8">
      <w:pPr>
        <w:widowControl w:val="0"/>
        <w:tabs>
          <w:tab w:val="right" w:pos="9072"/>
        </w:tabs>
        <w:rPr>
          <w:rFonts w:ascii="Arial" w:eastAsia="Calibri" w:hAnsi="Arial" w:cs="Arial"/>
          <w:b/>
        </w:rPr>
      </w:pPr>
    </w:p>
    <w:p w:rsidR="005C4DB8" w:rsidRPr="005C4DB8" w:rsidRDefault="005C4DB8" w:rsidP="005C4DB8">
      <w:pPr>
        <w:pStyle w:val="BodyText"/>
        <w:rPr>
          <w:rFonts w:ascii="Arial" w:hAnsi="Arial" w:cs="Arial"/>
          <w:szCs w:val="24"/>
        </w:rPr>
      </w:pPr>
      <w:r w:rsidRPr="005C4DB8">
        <w:rPr>
          <w:rFonts w:ascii="Arial" w:hAnsi="Arial" w:cs="Arial"/>
          <w:b/>
          <w:szCs w:val="24"/>
        </w:rPr>
        <w:t xml:space="preserve">MALCOLM </w:t>
      </w:r>
      <w:r w:rsidR="00E22AA0">
        <w:rPr>
          <w:rFonts w:ascii="Arial" w:hAnsi="Arial" w:cs="Arial"/>
          <w:b/>
          <w:szCs w:val="24"/>
        </w:rPr>
        <w:t>N</w:t>
      </w:r>
      <w:r w:rsidRPr="005C4DB8">
        <w:rPr>
          <w:rFonts w:ascii="Arial" w:hAnsi="Arial" w:cs="Arial"/>
          <w:b/>
          <w:szCs w:val="24"/>
        </w:rPr>
        <w:t>EIL CAMPBELL N.O.</w:t>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Pr>
          <w:rFonts w:ascii="Arial" w:hAnsi="Arial" w:cs="Arial"/>
          <w:b/>
          <w:szCs w:val="24"/>
        </w:rPr>
        <w:t xml:space="preserve">          </w:t>
      </w:r>
      <w:r w:rsidRPr="005C4DB8">
        <w:rPr>
          <w:rFonts w:ascii="Arial" w:hAnsi="Arial" w:cs="Arial"/>
          <w:szCs w:val="24"/>
        </w:rPr>
        <w:t>1</w:t>
      </w:r>
      <w:r w:rsidRPr="005C4DB8">
        <w:rPr>
          <w:rFonts w:ascii="Arial" w:hAnsi="Arial" w:cs="Arial"/>
          <w:szCs w:val="24"/>
          <w:vertAlign w:val="superscript"/>
        </w:rPr>
        <w:t>st</w:t>
      </w:r>
      <w:r w:rsidRPr="005C4DB8">
        <w:rPr>
          <w:rFonts w:ascii="Arial" w:hAnsi="Arial" w:cs="Arial"/>
          <w:szCs w:val="24"/>
        </w:rPr>
        <w:t xml:space="preserve"> Plaintiff </w:t>
      </w:r>
    </w:p>
    <w:p w:rsidR="005C4DB8" w:rsidRPr="005C4DB8" w:rsidRDefault="005C4DB8" w:rsidP="005C4DB8">
      <w:pPr>
        <w:pStyle w:val="BodyText"/>
        <w:rPr>
          <w:rFonts w:ascii="Arial" w:hAnsi="Arial" w:cs="Arial"/>
          <w:szCs w:val="24"/>
        </w:rPr>
      </w:pPr>
    </w:p>
    <w:p w:rsidR="005C4DB8" w:rsidRDefault="005C4DB8" w:rsidP="005C4DB8">
      <w:pPr>
        <w:pStyle w:val="BodyText"/>
        <w:rPr>
          <w:rFonts w:ascii="Arial" w:hAnsi="Arial" w:cs="Arial"/>
          <w:b/>
          <w:szCs w:val="24"/>
        </w:rPr>
      </w:pPr>
      <w:r w:rsidRPr="005C4DB8">
        <w:rPr>
          <w:rFonts w:ascii="Arial" w:hAnsi="Arial" w:cs="Arial"/>
          <w:b/>
          <w:szCs w:val="24"/>
        </w:rPr>
        <w:t>VRYSTAAT MUNICIPALE PENSIOENFONDS</w:t>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t xml:space="preserve">          </w:t>
      </w:r>
      <w:r>
        <w:rPr>
          <w:rFonts w:ascii="Arial" w:hAnsi="Arial" w:cs="Arial"/>
          <w:b/>
          <w:szCs w:val="24"/>
        </w:rPr>
        <w:t xml:space="preserve">          </w:t>
      </w:r>
      <w:r w:rsidRPr="005C4DB8">
        <w:rPr>
          <w:rFonts w:ascii="Arial" w:hAnsi="Arial" w:cs="Arial"/>
          <w:szCs w:val="24"/>
        </w:rPr>
        <w:t>2</w:t>
      </w:r>
      <w:r w:rsidRPr="005C4DB8">
        <w:rPr>
          <w:rFonts w:ascii="Arial" w:hAnsi="Arial" w:cs="Arial"/>
          <w:szCs w:val="24"/>
          <w:vertAlign w:val="superscript"/>
        </w:rPr>
        <w:t>nd</w:t>
      </w:r>
      <w:r w:rsidRPr="005C4DB8">
        <w:rPr>
          <w:rFonts w:ascii="Arial" w:hAnsi="Arial" w:cs="Arial"/>
          <w:szCs w:val="24"/>
        </w:rPr>
        <w:t xml:space="preserve"> Plaintiff</w:t>
      </w:r>
      <w:r w:rsidRPr="005C4DB8">
        <w:rPr>
          <w:rFonts w:ascii="Arial" w:hAnsi="Arial" w:cs="Arial"/>
          <w:b/>
          <w:szCs w:val="24"/>
        </w:rPr>
        <w:t xml:space="preserve"> </w:t>
      </w:r>
    </w:p>
    <w:p w:rsidR="005C4DB8" w:rsidRDefault="005C4DB8" w:rsidP="005C4DB8">
      <w:pPr>
        <w:pStyle w:val="BodyText"/>
        <w:rPr>
          <w:rFonts w:ascii="Arial" w:hAnsi="Arial" w:cs="Arial"/>
          <w:szCs w:val="24"/>
        </w:rPr>
      </w:pPr>
    </w:p>
    <w:p w:rsidR="005C4DB8" w:rsidRDefault="005C4DB8" w:rsidP="005C4DB8">
      <w:pPr>
        <w:pStyle w:val="BodyText"/>
        <w:rPr>
          <w:rFonts w:ascii="Arial" w:hAnsi="Arial" w:cs="Arial"/>
          <w:szCs w:val="24"/>
        </w:rPr>
      </w:pPr>
      <w:r>
        <w:rPr>
          <w:rFonts w:ascii="Arial" w:hAnsi="Arial" w:cs="Arial"/>
          <w:szCs w:val="24"/>
        </w:rPr>
        <w:t>[Registration Number: 12/8/412]</w:t>
      </w:r>
    </w:p>
    <w:p w:rsidR="005C4DB8" w:rsidRDefault="005C4DB8" w:rsidP="005C4DB8">
      <w:pPr>
        <w:pStyle w:val="BodyText"/>
        <w:rPr>
          <w:rFonts w:ascii="Arial" w:hAnsi="Arial" w:cs="Arial"/>
          <w:szCs w:val="24"/>
        </w:rPr>
      </w:pPr>
    </w:p>
    <w:p w:rsidR="005C4DB8" w:rsidRPr="005C4DB8" w:rsidRDefault="005C4DB8" w:rsidP="005C4DB8">
      <w:pPr>
        <w:pStyle w:val="BodyText"/>
        <w:rPr>
          <w:rFonts w:ascii="Arial" w:hAnsi="Arial" w:cs="Arial"/>
          <w:b/>
          <w:szCs w:val="24"/>
        </w:rPr>
      </w:pPr>
      <w:r>
        <w:rPr>
          <w:rFonts w:ascii="Arial" w:hAnsi="Arial" w:cs="Arial"/>
          <w:szCs w:val="24"/>
        </w:rPr>
        <w:t xml:space="preserve">And </w:t>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r>
      <w:r w:rsidRPr="005C4DB8">
        <w:rPr>
          <w:rFonts w:ascii="Arial" w:hAnsi="Arial" w:cs="Arial"/>
          <w:b/>
          <w:szCs w:val="24"/>
        </w:rPr>
        <w:tab/>
        <w:t xml:space="preserve">     </w:t>
      </w:r>
    </w:p>
    <w:p w:rsidR="005C4DB8" w:rsidRPr="005C4DB8" w:rsidRDefault="005C4DB8" w:rsidP="005C4DB8">
      <w:pPr>
        <w:pStyle w:val="BodyText"/>
        <w:rPr>
          <w:rFonts w:ascii="Arial" w:eastAsia="Calibri" w:hAnsi="Arial" w:cs="Arial"/>
          <w:b/>
        </w:rPr>
      </w:pPr>
    </w:p>
    <w:p w:rsidR="00600B80" w:rsidRPr="005C4DB8" w:rsidRDefault="005C4DB8" w:rsidP="00600B80">
      <w:pPr>
        <w:widowControl w:val="0"/>
        <w:tabs>
          <w:tab w:val="right" w:pos="9072"/>
        </w:tabs>
        <w:rPr>
          <w:rFonts w:ascii="Arial" w:eastAsia="Calibri" w:hAnsi="Arial" w:cs="Arial"/>
          <w:bCs/>
        </w:rPr>
      </w:pPr>
      <w:r>
        <w:rPr>
          <w:rFonts w:ascii="Arial" w:eastAsia="Calibri" w:hAnsi="Arial" w:cs="Arial"/>
          <w:b/>
          <w:bCs/>
        </w:rPr>
        <w:t>FRIT</w:t>
      </w:r>
      <w:r w:rsidR="00C51F37">
        <w:rPr>
          <w:rFonts w:ascii="Arial" w:eastAsia="Calibri" w:hAnsi="Arial" w:cs="Arial"/>
          <w:b/>
          <w:bCs/>
        </w:rPr>
        <w:t>Z</w:t>
      </w:r>
      <w:r>
        <w:rPr>
          <w:rFonts w:ascii="Arial" w:eastAsia="Calibri" w:hAnsi="Arial" w:cs="Arial"/>
          <w:b/>
          <w:bCs/>
        </w:rPr>
        <w:t xml:space="preserve"> FOURIE</w:t>
      </w:r>
      <w:r w:rsidR="00600B80" w:rsidRPr="005C4DB8">
        <w:rPr>
          <w:rFonts w:ascii="Arial" w:eastAsia="Calibri" w:hAnsi="Arial" w:cs="Arial"/>
          <w:bCs/>
        </w:rPr>
        <w:t xml:space="preserve"> </w:t>
      </w:r>
      <w:bookmarkEnd w:id="1"/>
      <w:r w:rsidR="00600B80" w:rsidRPr="005C4DB8">
        <w:rPr>
          <w:rFonts w:ascii="Arial" w:eastAsia="Calibri" w:hAnsi="Arial" w:cs="Arial"/>
          <w:bCs/>
        </w:rPr>
        <w:t xml:space="preserve">                                         </w:t>
      </w:r>
      <w:r w:rsidR="00470B0D">
        <w:rPr>
          <w:rFonts w:ascii="Arial" w:eastAsia="Calibri" w:hAnsi="Arial" w:cs="Arial"/>
          <w:bCs/>
        </w:rPr>
        <w:t xml:space="preserve">                               </w:t>
      </w:r>
      <w:r w:rsidR="00470B0D">
        <w:rPr>
          <w:rFonts w:ascii="Arial" w:eastAsia="Calibri" w:hAnsi="Arial" w:cs="Arial"/>
          <w:bCs/>
        </w:rPr>
        <w:tab/>
        <w:t>1</w:t>
      </w:r>
      <w:r w:rsidR="00470B0D" w:rsidRPr="00470B0D">
        <w:rPr>
          <w:rFonts w:ascii="Arial" w:eastAsia="Calibri" w:hAnsi="Arial" w:cs="Arial"/>
          <w:bCs/>
          <w:vertAlign w:val="superscript"/>
        </w:rPr>
        <w:t>st</w:t>
      </w:r>
      <w:r w:rsidR="00600B80" w:rsidRPr="005C4DB8">
        <w:rPr>
          <w:rFonts w:ascii="Arial" w:eastAsia="Calibri" w:hAnsi="Arial" w:cs="Arial"/>
          <w:bCs/>
        </w:rPr>
        <w:t xml:space="preserve"> </w:t>
      </w:r>
      <w:r w:rsidR="00470B0D">
        <w:rPr>
          <w:rFonts w:ascii="Arial" w:eastAsia="Calibri" w:hAnsi="Arial" w:cs="Arial"/>
          <w:bCs/>
        </w:rPr>
        <w:t xml:space="preserve">Defendant </w:t>
      </w:r>
    </w:p>
    <w:p w:rsidR="00600B80" w:rsidRPr="005C4DB8" w:rsidRDefault="00600B80" w:rsidP="00600B80">
      <w:pPr>
        <w:widowControl w:val="0"/>
        <w:tabs>
          <w:tab w:val="right" w:pos="9072"/>
        </w:tabs>
        <w:rPr>
          <w:rFonts w:ascii="Arial" w:eastAsia="Calibri" w:hAnsi="Arial" w:cs="Arial"/>
          <w:bCs/>
        </w:rPr>
      </w:pPr>
    </w:p>
    <w:p w:rsidR="00600B80" w:rsidRPr="005C4DB8" w:rsidRDefault="00470B0D" w:rsidP="00600B80">
      <w:pPr>
        <w:widowControl w:val="0"/>
        <w:tabs>
          <w:tab w:val="right" w:pos="9072"/>
        </w:tabs>
        <w:rPr>
          <w:rFonts w:ascii="Arial" w:eastAsia="Calibri" w:hAnsi="Arial" w:cs="Arial"/>
          <w:bCs/>
        </w:rPr>
      </w:pPr>
      <w:r>
        <w:rPr>
          <w:rFonts w:ascii="Arial" w:eastAsia="Calibri" w:hAnsi="Arial" w:cs="Arial"/>
          <w:b/>
          <w:bCs/>
        </w:rPr>
        <w:t>HB RAUTENBACH</w:t>
      </w:r>
      <w:r w:rsidR="00600B80" w:rsidRPr="005C4DB8">
        <w:rPr>
          <w:rFonts w:ascii="Arial" w:eastAsia="Calibri" w:hAnsi="Arial" w:cs="Arial"/>
          <w:bCs/>
        </w:rPr>
        <w:t xml:space="preserve">                                                                     </w:t>
      </w:r>
      <w:r>
        <w:rPr>
          <w:rFonts w:ascii="Arial" w:eastAsia="Calibri" w:hAnsi="Arial" w:cs="Arial"/>
          <w:bCs/>
        </w:rPr>
        <w:tab/>
        <w:t>2</w:t>
      </w:r>
      <w:r w:rsidRPr="00470B0D">
        <w:rPr>
          <w:rFonts w:ascii="Arial" w:eastAsia="Calibri" w:hAnsi="Arial" w:cs="Arial"/>
          <w:bCs/>
          <w:vertAlign w:val="superscript"/>
        </w:rPr>
        <w:t>nd</w:t>
      </w:r>
      <w:r w:rsidR="00600B80" w:rsidRPr="005C4DB8">
        <w:rPr>
          <w:rFonts w:ascii="Arial" w:eastAsia="Calibri" w:hAnsi="Arial" w:cs="Arial"/>
          <w:bCs/>
        </w:rPr>
        <w:t xml:space="preserve"> </w:t>
      </w:r>
      <w:r>
        <w:rPr>
          <w:rFonts w:ascii="Arial" w:eastAsia="Calibri" w:hAnsi="Arial" w:cs="Arial"/>
          <w:bCs/>
        </w:rPr>
        <w:t>Defenda</w:t>
      </w:r>
      <w:r w:rsidR="00600B80" w:rsidRPr="005C4DB8">
        <w:rPr>
          <w:rFonts w:ascii="Arial" w:eastAsia="Calibri" w:hAnsi="Arial" w:cs="Arial"/>
          <w:bCs/>
        </w:rPr>
        <w:t>nt</w:t>
      </w:r>
    </w:p>
    <w:p w:rsidR="00600B80" w:rsidRPr="005C4DB8" w:rsidRDefault="00600B80" w:rsidP="00600B80">
      <w:pPr>
        <w:widowControl w:val="0"/>
        <w:tabs>
          <w:tab w:val="right" w:pos="9072"/>
        </w:tabs>
        <w:rPr>
          <w:rFonts w:ascii="Arial" w:eastAsia="Calibri" w:hAnsi="Arial" w:cs="Arial"/>
          <w:bCs/>
        </w:rPr>
      </w:pPr>
    </w:p>
    <w:p w:rsidR="00600B80" w:rsidRPr="005C4DB8" w:rsidRDefault="00470B0D" w:rsidP="00600B80">
      <w:pPr>
        <w:widowControl w:val="0"/>
        <w:tabs>
          <w:tab w:val="right" w:pos="9072"/>
        </w:tabs>
        <w:rPr>
          <w:rFonts w:ascii="Arial" w:eastAsia="Calibri" w:hAnsi="Arial" w:cs="Arial"/>
          <w:bCs/>
        </w:rPr>
      </w:pPr>
      <w:r>
        <w:rPr>
          <w:rFonts w:ascii="Arial" w:eastAsia="Calibri" w:hAnsi="Arial" w:cs="Arial"/>
          <w:b/>
          <w:bCs/>
        </w:rPr>
        <w:t xml:space="preserve">PH MOTSOENENG </w:t>
      </w:r>
      <w:r w:rsidR="00600B80" w:rsidRPr="005C4DB8">
        <w:rPr>
          <w:rFonts w:ascii="Arial" w:eastAsia="Calibri" w:hAnsi="Arial" w:cs="Arial"/>
          <w:bCs/>
        </w:rPr>
        <w:t xml:space="preserve">                                       </w:t>
      </w:r>
      <w:r>
        <w:rPr>
          <w:rFonts w:ascii="Arial" w:eastAsia="Calibri" w:hAnsi="Arial" w:cs="Arial"/>
          <w:bCs/>
        </w:rPr>
        <w:t xml:space="preserve">                               </w:t>
      </w:r>
      <w:r>
        <w:rPr>
          <w:rFonts w:ascii="Arial" w:eastAsia="Calibri" w:hAnsi="Arial" w:cs="Arial"/>
          <w:bCs/>
        </w:rPr>
        <w:tab/>
        <w:t>3</w:t>
      </w:r>
      <w:r w:rsidRPr="00470B0D">
        <w:rPr>
          <w:rFonts w:ascii="Arial" w:eastAsia="Calibri" w:hAnsi="Arial" w:cs="Arial"/>
          <w:bCs/>
          <w:vertAlign w:val="superscript"/>
        </w:rPr>
        <w:t>rd</w:t>
      </w:r>
      <w:r>
        <w:rPr>
          <w:rFonts w:ascii="Arial" w:eastAsia="Calibri" w:hAnsi="Arial" w:cs="Arial"/>
          <w:bCs/>
        </w:rPr>
        <w:t xml:space="preserve"> Defendan</w:t>
      </w:r>
      <w:r w:rsidR="00600B80" w:rsidRPr="005C4DB8">
        <w:rPr>
          <w:rFonts w:ascii="Arial" w:eastAsia="Calibri" w:hAnsi="Arial" w:cs="Arial"/>
          <w:bCs/>
        </w:rPr>
        <w:t xml:space="preserve">t </w:t>
      </w:r>
    </w:p>
    <w:p w:rsidR="00600B80" w:rsidRPr="005C4DB8" w:rsidRDefault="00600B80" w:rsidP="00600B80">
      <w:pPr>
        <w:widowControl w:val="0"/>
        <w:tabs>
          <w:tab w:val="right" w:pos="9072"/>
        </w:tabs>
        <w:rPr>
          <w:rFonts w:ascii="Arial" w:eastAsia="Calibri" w:hAnsi="Arial" w:cs="Arial"/>
          <w:bCs/>
        </w:rPr>
      </w:pPr>
    </w:p>
    <w:p w:rsidR="00600B80" w:rsidRPr="005C4DB8" w:rsidRDefault="00470B0D" w:rsidP="00600B80">
      <w:pPr>
        <w:widowControl w:val="0"/>
        <w:tabs>
          <w:tab w:val="right" w:pos="9072"/>
        </w:tabs>
        <w:rPr>
          <w:rFonts w:ascii="Arial" w:eastAsia="Calibri" w:hAnsi="Arial" w:cs="Arial"/>
          <w:bCs/>
        </w:rPr>
      </w:pPr>
      <w:r>
        <w:rPr>
          <w:rFonts w:ascii="Arial" w:eastAsia="Calibri" w:hAnsi="Arial" w:cs="Arial"/>
          <w:b/>
          <w:bCs/>
        </w:rPr>
        <w:t>L RABULANA</w:t>
      </w:r>
      <w:r w:rsidR="00600B80" w:rsidRPr="005C4DB8">
        <w:rPr>
          <w:rFonts w:ascii="Arial" w:eastAsia="Calibri" w:hAnsi="Arial" w:cs="Arial"/>
          <w:bCs/>
        </w:rPr>
        <w:t xml:space="preserve">                                             </w:t>
      </w:r>
      <w:r>
        <w:rPr>
          <w:rFonts w:ascii="Arial" w:eastAsia="Calibri" w:hAnsi="Arial" w:cs="Arial"/>
          <w:bCs/>
        </w:rPr>
        <w:t xml:space="preserve">                               </w:t>
      </w:r>
      <w:r>
        <w:rPr>
          <w:rFonts w:ascii="Arial" w:eastAsia="Calibri" w:hAnsi="Arial" w:cs="Arial"/>
          <w:bCs/>
        </w:rPr>
        <w:tab/>
        <w:t>4</w:t>
      </w:r>
      <w:r w:rsidR="00600B80" w:rsidRPr="005C4DB8">
        <w:rPr>
          <w:rFonts w:ascii="Arial" w:eastAsia="Calibri" w:hAnsi="Arial" w:cs="Arial"/>
          <w:bCs/>
          <w:vertAlign w:val="superscript"/>
        </w:rPr>
        <w:t>th</w:t>
      </w:r>
      <w:r w:rsidR="00600B80" w:rsidRPr="005C4DB8">
        <w:rPr>
          <w:rFonts w:ascii="Arial" w:eastAsia="Calibri" w:hAnsi="Arial" w:cs="Arial"/>
          <w:bCs/>
        </w:rPr>
        <w:t xml:space="preserve"> </w:t>
      </w:r>
      <w:r>
        <w:rPr>
          <w:rFonts w:ascii="Arial" w:eastAsia="Calibri" w:hAnsi="Arial" w:cs="Arial"/>
          <w:bCs/>
        </w:rPr>
        <w:t>Defendan</w:t>
      </w:r>
      <w:r w:rsidR="00600B80" w:rsidRPr="005C4DB8">
        <w:rPr>
          <w:rFonts w:ascii="Arial" w:eastAsia="Calibri" w:hAnsi="Arial" w:cs="Arial"/>
          <w:bCs/>
        </w:rPr>
        <w:t>t</w:t>
      </w:r>
    </w:p>
    <w:p w:rsidR="00600B80" w:rsidRPr="005C4DB8" w:rsidRDefault="00600B80" w:rsidP="00600B80">
      <w:pPr>
        <w:widowControl w:val="0"/>
        <w:tabs>
          <w:tab w:val="right" w:pos="9072"/>
        </w:tabs>
        <w:rPr>
          <w:rFonts w:ascii="Arial" w:eastAsia="Calibri" w:hAnsi="Arial" w:cs="Arial"/>
          <w:bCs/>
        </w:rPr>
      </w:pPr>
    </w:p>
    <w:p w:rsidR="00600B80" w:rsidRPr="005C4DB8" w:rsidRDefault="00470B0D" w:rsidP="00600B80">
      <w:pPr>
        <w:widowControl w:val="0"/>
        <w:tabs>
          <w:tab w:val="right" w:pos="9072"/>
        </w:tabs>
        <w:rPr>
          <w:rFonts w:ascii="Arial" w:eastAsia="Calibri" w:hAnsi="Arial" w:cs="Arial"/>
          <w:bCs/>
        </w:rPr>
      </w:pPr>
      <w:r>
        <w:rPr>
          <w:rFonts w:ascii="Arial" w:eastAsia="Calibri" w:hAnsi="Arial" w:cs="Arial"/>
          <w:b/>
          <w:bCs/>
        </w:rPr>
        <w:t xml:space="preserve">PW DE BRUIN </w:t>
      </w:r>
      <w:r w:rsidR="00600B80" w:rsidRPr="005C4DB8">
        <w:rPr>
          <w:rFonts w:ascii="Arial" w:eastAsia="Calibri" w:hAnsi="Arial" w:cs="Arial"/>
          <w:bCs/>
        </w:rPr>
        <w:t xml:space="preserve">                                                    </w:t>
      </w:r>
      <w:r>
        <w:rPr>
          <w:rFonts w:ascii="Arial" w:eastAsia="Calibri" w:hAnsi="Arial" w:cs="Arial"/>
          <w:bCs/>
        </w:rPr>
        <w:t xml:space="preserve">                               </w:t>
      </w:r>
      <w:r>
        <w:rPr>
          <w:rFonts w:ascii="Arial" w:eastAsia="Calibri" w:hAnsi="Arial" w:cs="Arial"/>
          <w:bCs/>
        </w:rPr>
        <w:tab/>
        <w:t>5</w:t>
      </w:r>
      <w:r w:rsidR="00600B80" w:rsidRPr="005C4DB8">
        <w:rPr>
          <w:rFonts w:ascii="Arial" w:eastAsia="Calibri" w:hAnsi="Arial" w:cs="Arial"/>
          <w:bCs/>
          <w:vertAlign w:val="superscript"/>
        </w:rPr>
        <w:t>th</w:t>
      </w:r>
      <w:r w:rsidR="00600B80" w:rsidRPr="005C4DB8">
        <w:rPr>
          <w:rFonts w:ascii="Arial" w:eastAsia="Calibri" w:hAnsi="Arial" w:cs="Arial"/>
          <w:bCs/>
        </w:rPr>
        <w:t xml:space="preserve"> </w:t>
      </w:r>
      <w:r>
        <w:rPr>
          <w:rFonts w:ascii="Arial" w:eastAsia="Calibri" w:hAnsi="Arial" w:cs="Arial"/>
          <w:bCs/>
        </w:rPr>
        <w:t>Defenda</w:t>
      </w:r>
      <w:r w:rsidR="00600B80" w:rsidRPr="005C4DB8">
        <w:rPr>
          <w:rFonts w:ascii="Arial" w:eastAsia="Calibri" w:hAnsi="Arial" w:cs="Arial"/>
          <w:bCs/>
        </w:rPr>
        <w:t>nt</w:t>
      </w:r>
    </w:p>
    <w:p w:rsidR="00600B80" w:rsidRPr="005C4DB8" w:rsidRDefault="00600B80" w:rsidP="00600B80">
      <w:pPr>
        <w:widowControl w:val="0"/>
        <w:tabs>
          <w:tab w:val="right" w:pos="9072"/>
        </w:tabs>
        <w:rPr>
          <w:rFonts w:ascii="Arial" w:eastAsia="Calibri" w:hAnsi="Arial" w:cs="Arial"/>
          <w:bCs/>
        </w:rPr>
      </w:pPr>
    </w:p>
    <w:p w:rsidR="00600B80" w:rsidRPr="005C4DB8" w:rsidRDefault="00470B0D" w:rsidP="00600B80">
      <w:pPr>
        <w:widowControl w:val="0"/>
        <w:tabs>
          <w:tab w:val="right" w:pos="9072"/>
        </w:tabs>
        <w:rPr>
          <w:rFonts w:ascii="Arial" w:eastAsia="Calibri" w:hAnsi="Arial" w:cs="Arial"/>
          <w:bCs/>
        </w:rPr>
      </w:pPr>
      <w:r>
        <w:rPr>
          <w:rFonts w:ascii="Arial" w:eastAsia="Calibri" w:hAnsi="Arial" w:cs="Arial"/>
          <w:b/>
        </w:rPr>
        <w:t xml:space="preserve">R COETZEE </w:t>
      </w:r>
      <w:r w:rsidR="00600B80" w:rsidRPr="005C4DB8">
        <w:rPr>
          <w:rFonts w:ascii="Arial" w:eastAsia="Calibri" w:hAnsi="Arial" w:cs="Arial"/>
          <w:b/>
        </w:rPr>
        <w:t xml:space="preserve">                                                                     </w:t>
      </w:r>
      <w:r>
        <w:rPr>
          <w:rFonts w:ascii="Arial" w:eastAsia="Calibri" w:hAnsi="Arial" w:cs="Arial"/>
          <w:b/>
        </w:rPr>
        <w:t xml:space="preserve">                       </w:t>
      </w:r>
      <w:r>
        <w:rPr>
          <w:rFonts w:ascii="Arial" w:eastAsia="Calibri" w:hAnsi="Arial" w:cs="Arial"/>
          <w:bCs/>
        </w:rPr>
        <w:t>6</w:t>
      </w:r>
      <w:r w:rsidR="00600B80" w:rsidRPr="005C4DB8">
        <w:rPr>
          <w:rFonts w:ascii="Arial" w:eastAsia="Calibri" w:hAnsi="Arial" w:cs="Arial"/>
          <w:bCs/>
          <w:vertAlign w:val="superscript"/>
        </w:rPr>
        <w:t>th</w:t>
      </w:r>
      <w:r w:rsidR="00600B80" w:rsidRPr="005C4DB8">
        <w:rPr>
          <w:rFonts w:ascii="Arial" w:eastAsia="Calibri" w:hAnsi="Arial" w:cs="Arial"/>
          <w:bCs/>
        </w:rPr>
        <w:t xml:space="preserve"> </w:t>
      </w:r>
      <w:r>
        <w:rPr>
          <w:rFonts w:ascii="Arial" w:eastAsia="Calibri" w:hAnsi="Arial" w:cs="Arial"/>
          <w:bCs/>
        </w:rPr>
        <w:t>Defenda</w:t>
      </w:r>
      <w:r w:rsidR="00600B80" w:rsidRPr="005C4DB8">
        <w:rPr>
          <w:rFonts w:ascii="Arial" w:eastAsia="Calibri" w:hAnsi="Arial" w:cs="Arial"/>
          <w:bCs/>
        </w:rPr>
        <w:t>nt</w:t>
      </w:r>
      <w:r w:rsidR="00600B80" w:rsidRPr="005C4DB8">
        <w:rPr>
          <w:rFonts w:ascii="Arial" w:eastAsia="Calibri" w:hAnsi="Arial" w:cs="Arial"/>
          <w:bCs/>
        </w:rPr>
        <w:tab/>
      </w:r>
    </w:p>
    <w:p w:rsidR="00600B80" w:rsidRPr="005C4DB8" w:rsidRDefault="00470B0D" w:rsidP="00600B80">
      <w:pPr>
        <w:widowControl w:val="0"/>
        <w:tabs>
          <w:tab w:val="right" w:pos="9072"/>
        </w:tabs>
        <w:rPr>
          <w:rFonts w:ascii="Arial" w:eastAsia="Calibri" w:hAnsi="Arial" w:cs="Arial"/>
          <w:bCs/>
        </w:rPr>
      </w:pPr>
      <w:r>
        <w:rPr>
          <w:rFonts w:ascii="Arial" w:eastAsia="Calibri" w:hAnsi="Arial" w:cs="Arial"/>
          <w:b/>
        </w:rPr>
        <w:lastRenderedPageBreak/>
        <w:t>WJ BOTES</w:t>
      </w:r>
      <w:r w:rsidR="00600B80" w:rsidRPr="005C4DB8">
        <w:rPr>
          <w:rFonts w:ascii="Arial" w:eastAsia="Calibri" w:hAnsi="Arial" w:cs="Arial"/>
          <w:b/>
        </w:rPr>
        <w:t xml:space="preserve">                                                    </w:t>
      </w:r>
      <w:r>
        <w:rPr>
          <w:rFonts w:ascii="Arial" w:eastAsia="Calibri" w:hAnsi="Arial" w:cs="Arial"/>
          <w:b/>
        </w:rPr>
        <w:tab/>
      </w:r>
      <w:r w:rsidR="00600B80" w:rsidRPr="005C4DB8">
        <w:rPr>
          <w:rFonts w:ascii="Arial" w:eastAsia="Calibri" w:hAnsi="Arial" w:cs="Arial"/>
          <w:b/>
        </w:rPr>
        <w:t xml:space="preserve"> </w:t>
      </w:r>
      <w:r>
        <w:rPr>
          <w:rFonts w:ascii="Arial" w:eastAsia="Calibri" w:hAnsi="Arial" w:cs="Arial"/>
        </w:rPr>
        <w:t>7</w:t>
      </w:r>
      <w:r w:rsidR="00600B80" w:rsidRPr="005C4DB8">
        <w:rPr>
          <w:rFonts w:ascii="Arial" w:eastAsia="Calibri" w:hAnsi="Arial" w:cs="Arial"/>
          <w:vertAlign w:val="superscript"/>
        </w:rPr>
        <w:t>th</w:t>
      </w:r>
      <w:r w:rsidR="00600B80" w:rsidRPr="005C4DB8">
        <w:rPr>
          <w:rFonts w:ascii="Arial" w:eastAsia="Calibri" w:hAnsi="Arial" w:cs="Arial"/>
        </w:rPr>
        <w:t xml:space="preserve"> </w:t>
      </w:r>
      <w:r>
        <w:rPr>
          <w:rFonts w:ascii="Arial" w:eastAsia="Calibri" w:hAnsi="Arial" w:cs="Arial"/>
        </w:rPr>
        <w:t>Defendan</w:t>
      </w:r>
      <w:r w:rsidR="00600B80" w:rsidRPr="005C4DB8">
        <w:rPr>
          <w:rFonts w:ascii="Arial" w:eastAsia="Calibri" w:hAnsi="Arial" w:cs="Arial"/>
          <w:bCs/>
        </w:rPr>
        <w:t>t</w:t>
      </w:r>
    </w:p>
    <w:p w:rsidR="00600B80" w:rsidRPr="005C4DB8" w:rsidRDefault="00600B80" w:rsidP="00600B80">
      <w:pPr>
        <w:widowControl w:val="0"/>
        <w:tabs>
          <w:tab w:val="right" w:pos="9072"/>
        </w:tabs>
        <w:rPr>
          <w:rFonts w:ascii="Arial" w:eastAsia="Calibri" w:hAnsi="Arial" w:cs="Arial"/>
          <w:bCs/>
        </w:rPr>
      </w:pPr>
    </w:p>
    <w:p w:rsidR="00600B80" w:rsidRPr="005C4DB8" w:rsidRDefault="00470B0D" w:rsidP="00600B80">
      <w:pPr>
        <w:widowControl w:val="0"/>
        <w:tabs>
          <w:tab w:val="right" w:pos="9072"/>
        </w:tabs>
        <w:rPr>
          <w:rFonts w:ascii="Arial" w:eastAsia="Calibri" w:hAnsi="Arial" w:cs="Arial"/>
          <w:bCs/>
        </w:rPr>
      </w:pPr>
      <w:r>
        <w:rPr>
          <w:rFonts w:ascii="Arial" w:eastAsia="Calibri" w:hAnsi="Arial" w:cs="Arial"/>
          <w:b/>
          <w:bCs/>
        </w:rPr>
        <w:t>ELLOIS SLABBERT</w:t>
      </w:r>
      <w:r w:rsidR="00600B80" w:rsidRPr="005C4DB8">
        <w:rPr>
          <w:rFonts w:ascii="Arial" w:eastAsia="Calibri" w:hAnsi="Arial" w:cs="Arial"/>
          <w:bCs/>
        </w:rPr>
        <w:t xml:space="preserve">                                           </w:t>
      </w:r>
      <w:r>
        <w:rPr>
          <w:rFonts w:ascii="Arial" w:eastAsia="Calibri" w:hAnsi="Arial" w:cs="Arial"/>
          <w:bCs/>
        </w:rPr>
        <w:t xml:space="preserve">                               </w:t>
      </w:r>
      <w:r>
        <w:rPr>
          <w:rFonts w:ascii="Arial" w:eastAsia="Calibri" w:hAnsi="Arial" w:cs="Arial"/>
          <w:bCs/>
        </w:rPr>
        <w:tab/>
        <w:t>8</w:t>
      </w:r>
      <w:r w:rsidR="00600B80" w:rsidRPr="005C4DB8">
        <w:rPr>
          <w:rFonts w:ascii="Arial" w:eastAsia="Calibri" w:hAnsi="Arial" w:cs="Arial"/>
          <w:bCs/>
          <w:vertAlign w:val="superscript"/>
        </w:rPr>
        <w:t>th</w:t>
      </w:r>
      <w:r w:rsidR="00600B80" w:rsidRPr="005C4DB8">
        <w:rPr>
          <w:rFonts w:ascii="Arial" w:eastAsia="Calibri" w:hAnsi="Arial" w:cs="Arial"/>
          <w:bCs/>
        </w:rPr>
        <w:t xml:space="preserve"> </w:t>
      </w:r>
      <w:r>
        <w:rPr>
          <w:rFonts w:ascii="Arial" w:eastAsia="Calibri" w:hAnsi="Arial" w:cs="Arial"/>
          <w:bCs/>
        </w:rPr>
        <w:t>Defendan</w:t>
      </w:r>
      <w:r w:rsidR="00600B80" w:rsidRPr="005C4DB8">
        <w:rPr>
          <w:rFonts w:ascii="Arial" w:eastAsia="Calibri" w:hAnsi="Arial" w:cs="Arial"/>
          <w:bCs/>
        </w:rPr>
        <w:t>t</w:t>
      </w:r>
    </w:p>
    <w:p w:rsidR="004E243D" w:rsidRPr="005C4DB8" w:rsidRDefault="004E243D" w:rsidP="00EF11A8">
      <w:pPr>
        <w:pBdr>
          <w:bottom w:val="single" w:sz="12" w:space="1" w:color="auto"/>
        </w:pBdr>
        <w:jc w:val="both"/>
        <w:rPr>
          <w:rFonts w:ascii="Arial" w:hAnsi="Arial" w:cs="Arial"/>
          <w:b/>
        </w:rPr>
      </w:pPr>
    </w:p>
    <w:p w:rsidR="00EF11A8" w:rsidRPr="005C4DB8" w:rsidRDefault="00EF11A8" w:rsidP="00EF11A8">
      <w:pPr>
        <w:contextualSpacing/>
        <w:jc w:val="both"/>
        <w:rPr>
          <w:rFonts w:ascii="Arial" w:hAnsi="Arial" w:cs="Arial"/>
          <w:b/>
          <w:u w:val="single"/>
        </w:rPr>
      </w:pPr>
    </w:p>
    <w:p w:rsidR="00D221EC" w:rsidRPr="005C4DB8" w:rsidRDefault="00EF11A8" w:rsidP="009E06E4">
      <w:pPr>
        <w:pBdr>
          <w:bottom w:val="single" w:sz="12" w:space="1" w:color="auto"/>
        </w:pBdr>
        <w:ind w:left="2880" w:hanging="2880"/>
        <w:contextualSpacing/>
        <w:jc w:val="both"/>
        <w:rPr>
          <w:rFonts w:ascii="Arial" w:hAnsi="Arial" w:cs="Arial"/>
          <w:bCs/>
        </w:rPr>
      </w:pPr>
      <w:r w:rsidRPr="005C4DB8">
        <w:rPr>
          <w:rFonts w:ascii="Arial" w:hAnsi="Arial" w:cs="Arial"/>
          <w:b/>
          <w:u w:val="single"/>
        </w:rPr>
        <w:t>HEARD ON:</w:t>
      </w:r>
      <w:r w:rsidRPr="005C4DB8">
        <w:rPr>
          <w:rFonts w:ascii="Arial" w:hAnsi="Arial" w:cs="Arial"/>
          <w:b/>
        </w:rPr>
        <w:tab/>
      </w:r>
      <w:r w:rsidR="00600B80" w:rsidRPr="005C4DB8">
        <w:rPr>
          <w:rFonts w:ascii="Arial" w:hAnsi="Arial" w:cs="Arial"/>
        </w:rPr>
        <w:t xml:space="preserve"> </w:t>
      </w:r>
      <w:r w:rsidR="00E22AA0">
        <w:rPr>
          <w:rFonts w:ascii="Arial" w:hAnsi="Arial" w:cs="Arial"/>
        </w:rPr>
        <w:t xml:space="preserve">23 </w:t>
      </w:r>
      <w:r w:rsidR="00600B80" w:rsidRPr="005C4DB8">
        <w:rPr>
          <w:rFonts w:ascii="Arial" w:hAnsi="Arial" w:cs="Arial"/>
        </w:rPr>
        <w:t>MAY 2023</w:t>
      </w:r>
    </w:p>
    <w:p w:rsidR="00D221EC" w:rsidRPr="005C4DB8" w:rsidRDefault="00EF11A8" w:rsidP="009E06E4">
      <w:pPr>
        <w:pBdr>
          <w:bottom w:val="single" w:sz="12" w:space="1" w:color="auto"/>
        </w:pBdr>
        <w:ind w:left="2880" w:hanging="2880"/>
        <w:contextualSpacing/>
        <w:jc w:val="both"/>
        <w:rPr>
          <w:rFonts w:ascii="Arial" w:hAnsi="Arial" w:cs="Arial"/>
        </w:rPr>
      </w:pPr>
      <w:r w:rsidRPr="005C4DB8">
        <w:rPr>
          <w:rFonts w:ascii="Arial" w:hAnsi="Arial" w:cs="Arial"/>
        </w:rPr>
        <w:t xml:space="preserve"> </w:t>
      </w:r>
    </w:p>
    <w:p w:rsidR="00D221EC" w:rsidRPr="005C4DB8" w:rsidRDefault="00D221EC" w:rsidP="00EF11A8">
      <w:pPr>
        <w:contextualSpacing/>
        <w:jc w:val="both"/>
        <w:rPr>
          <w:rFonts w:ascii="Arial" w:hAnsi="Arial" w:cs="Arial"/>
          <w:b/>
        </w:rPr>
      </w:pPr>
    </w:p>
    <w:p w:rsidR="009E06E4" w:rsidRPr="005C4DB8" w:rsidRDefault="00797293" w:rsidP="009E06E4">
      <w:pPr>
        <w:contextualSpacing/>
        <w:jc w:val="both"/>
        <w:rPr>
          <w:rFonts w:ascii="Arial" w:hAnsi="Arial" w:cs="Arial"/>
          <w:b/>
          <w:u w:val="single"/>
        </w:rPr>
      </w:pPr>
      <w:r w:rsidRPr="005C4DB8">
        <w:rPr>
          <w:rFonts w:ascii="Arial" w:hAnsi="Arial" w:cs="Arial"/>
          <w:b/>
          <w:u w:val="single"/>
        </w:rPr>
        <w:t>JUDGMENT BY</w:t>
      </w:r>
      <w:r w:rsidR="003F410D" w:rsidRPr="005C4DB8">
        <w:rPr>
          <w:rFonts w:ascii="Arial" w:hAnsi="Arial" w:cs="Arial"/>
          <w:b/>
        </w:rPr>
        <w:t xml:space="preserve">: </w:t>
      </w:r>
      <w:bookmarkStart w:id="2" w:name="_Hlk111883941"/>
      <w:r w:rsidR="008A68B4" w:rsidRPr="005C4DB8">
        <w:rPr>
          <w:rFonts w:ascii="Arial" w:hAnsi="Arial" w:cs="Arial"/>
          <w:b/>
        </w:rPr>
        <w:tab/>
      </w:r>
      <w:r w:rsidR="008A68B4" w:rsidRPr="005C4DB8">
        <w:rPr>
          <w:rFonts w:ascii="Arial" w:hAnsi="Arial" w:cs="Arial"/>
          <w:b/>
        </w:rPr>
        <w:tab/>
      </w:r>
      <w:r w:rsidR="009E06E4" w:rsidRPr="005C4DB8">
        <w:rPr>
          <w:rFonts w:ascii="Arial" w:hAnsi="Arial" w:cs="Arial"/>
        </w:rPr>
        <w:t>MHLAMBI, J</w:t>
      </w:r>
      <w:bookmarkEnd w:id="2"/>
      <w:r w:rsidR="009E06E4" w:rsidRPr="005C4DB8">
        <w:rPr>
          <w:rFonts w:ascii="Arial" w:hAnsi="Arial" w:cs="Arial"/>
        </w:rPr>
        <w:t xml:space="preserve"> </w:t>
      </w:r>
    </w:p>
    <w:p w:rsidR="003F410D" w:rsidRPr="005C4DB8" w:rsidRDefault="003F410D" w:rsidP="003036C9">
      <w:pPr>
        <w:ind w:right="26"/>
        <w:contextualSpacing/>
        <w:jc w:val="both"/>
        <w:rPr>
          <w:rFonts w:ascii="Arial" w:hAnsi="Arial" w:cs="Arial"/>
          <w:bCs/>
          <w:u w:val="single"/>
        </w:rPr>
      </w:pPr>
      <w:r w:rsidRPr="005C4DB8">
        <w:rPr>
          <w:rFonts w:ascii="Arial" w:hAnsi="Arial" w:cs="Arial"/>
          <w:b/>
          <w:u w:val="single"/>
        </w:rPr>
        <w:t>_________________________________________________________</w:t>
      </w:r>
      <w:r w:rsidR="003036C9" w:rsidRPr="005C4DB8">
        <w:rPr>
          <w:rFonts w:ascii="Arial" w:hAnsi="Arial" w:cs="Arial"/>
          <w:b/>
          <w:u w:val="single"/>
        </w:rPr>
        <w:t>__________</w:t>
      </w:r>
    </w:p>
    <w:p w:rsidR="003F410D" w:rsidRPr="005C4DB8" w:rsidRDefault="003F410D" w:rsidP="00EF11A8">
      <w:pPr>
        <w:contextualSpacing/>
        <w:jc w:val="both"/>
        <w:rPr>
          <w:rFonts w:ascii="Arial" w:hAnsi="Arial" w:cs="Arial"/>
          <w:b/>
          <w:u w:val="single"/>
        </w:rPr>
      </w:pPr>
    </w:p>
    <w:p w:rsidR="007C348D" w:rsidRPr="005C4DB8" w:rsidRDefault="00EF11A8" w:rsidP="00F87E7C">
      <w:pPr>
        <w:tabs>
          <w:tab w:val="left" w:pos="2880"/>
        </w:tabs>
        <w:ind w:left="1985" w:hanging="1985"/>
        <w:contextualSpacing/>
        <w:jc w:val="both"/>
        <w:rPr>
          <w:rFonts w:ascii="Arial" w:hAnsi="Arial" w:cs="Arial"/>
          <w:b/>
          <w:bCs/>
        </w:rPr>
      </w:pPr>
      <w:r w:rsidRPr="005C4DB8">
        <w:rPr>
          <w:rFonts w:ascii="Arial" w:hAnsi="Arial" w:cs="Arial"/>
          <w:b/>
          <w:u w:val="single"/>
        </w:rPr>
        <w:t>DELIVERED ON:</w:t>
      </w:r>
      <w:r w:rsidR="00F87E7C" w:rsidRPr="005C4DB8">
        <w:rPr>
          <w:rFonts w:ascii="Arial" w:hAnsi="Arial" w:cs="Arial"/>
          <w:b/>
        </w:rPr>
        <w:t xml:space="preserve">  </w:t>
      </w:r>
      <w:r w:rsidR="00F87E7C" w:rsidRPr="005C4DB8">
        <w:rPr>
          <w:rFonts w:ascii="Arial" w:hAnsi="Arial" w:cs="Arial"/>
        </w:rPr>
        <w:t>This judgment was handed down electronically by circulation to the parties’ legal representatives by email and released to SAFLI. The date and time for</w:t>
      </w:r>
      <w:r w:rsidR="0097522B" w:rsidRPr="005C4DB8">
        <w:rPr>
          <w:rFonts w:ascii="Arial" w:hAnsi="Arial" w:cs="Arial"/>
        </w:rPr>
        <w:t xml:space="preserve"> the</w:t>
      </w:r>
      <w:r w:rsidR="00F87E7C" w:rsidRPr="005C4DB8">
        <w:rPr>
          <w:rFonts w:ascii="Arial" w:hAnsi="Arial" w:cs="Arial"/>
        </w:rPr>
        <w:t xml:space="preserve"> hand-down are deemed to</w:t>
      </w:r>
      <w:r w:rsidR="006751B4" w:rsidRPr="005C4DB8">
        <w:rPr>
          <w:rFonts w:ascii="Arial" w:hAnsi="Arial" w:cs="Arial"/>
        </w:rPr>
        <w:t xml:space="preserve"> be </w:t>
      </w:r>
      <w:r w:rsidR="00E22AA0">
        <w:rPr>
          <w:rFonts w:ascii="Arial" w:hAnsi="Arial" w:cs="Arial"/>
        </w:rPr>
        <w:t>16</w:t>
      </w:r>
      <w:r w:rsidR="00F87E7C" w:rsidRPr="005C4DB8">
        <w:rPr>
          <w:rFonts w:ascii="Arial" w:hAnsi="Arial" w:cs="Arial"/>
        </w:rPr>
        <w:t>h</w:t>
      </w:r>
      <w:r w:rsidR="00E22AA0">
        <w:rPr>
          <w:rFonts w:ascii="Arial" w:hAnsi="Arial" w:cs="Arial"/>
        </w:rPr>
        <w:t>0</w:t>
      </w:r>
      <w:r w:rsidR="00FA3679" w:rsidRPr="005C4DB8">
        <w:rPr>
          <w:rFonts w:ascii="Arial" w:hAnsi="Arial" w:cs="Arial"/>
        </w:rPr>
        <w:t>0</w:t>
      </w:r>
      <w:r w:rsidR="00F87E7C" w:rsidRPr="005C4DB8">
        <w:rPr>
          <w:rFonts w:ascii="Arial" w:hAnsi="Arial" w:cs="Arial"/>
        </w:rPr>
        <w:t xml:space="preserve"> </w:t>
      </w:r>
      <w:r w:rsidR="009C219E" w:rsidRPr="005C4DB8">
        <w:rPr>
          <w:rFonts w:ascii="Arial" w:hAnsi="Arial" w:cs="Arial"/>
        </w:rPr>
        <w:t xml:space="preserve">on </w:t>
      </w:r>
      <w:r w:rsidR="005A5054">
        <w:rPr>
          <w:rFonts w:ascii="Arial" w:hAnsi="Arial" w:cs="Arial"/>
        </w:rPr>
        <w:t xml:space="preserve">29 </w:t>
      </w:r>
      <w:r w:rsidR="00E22AA0">
        <w:rPr>
          <w:rFonts w:ascii="Arial" w:hAnsi="Arial" w:cs="Arial"/>
        </w:rPr>
        <w:t>May</w:t>
      </w:r>
      <w:r w:rsidR="00FA3679" w:rsidRPr="005C4DB8">
        <w:rPr>
          <w:rFonts w:ascii="Arial" w:hAnsi="Arial" w:cs="Arial"/>
        </w:rPr>
        <w:t xml:space="preserve"> </w:t>
      </w:r>
      <w:r w:rsidR="00F87E7C" w:rsidRPr="005C4DB8">
        <w:rPr>
          <w:rFonts w:ascii="Arial" w:hAnsi="Arial" w:cs="Arial"/>
        </w:rPr>
        <w:t>202</w:t>
      </w:r>
      <w:r w:rsidR="00E90B84" w:rsidRPr="005C4DB8">
        <w:rPr>
          <w:rFonts w:ascii="Arial" w:hAnsi="Arial" w:cs="Arial"/>
        </w:rPr>
        <w:t>3</w:t>
      </w:r>
      <w:r w:rsidR="009C219E" w:rsidRPr="005C4DB8">
        <w:rPr>
          <w:rFonts w:ascii="Arial" w:hAnsi="Arial" w:cs="Arial"/>
        </w:rPr>
        <w:t>.</w:t>
      </w:r>
    </w:p>
    <w:p w:rsidR="00891F14" w:rsidRPr="005C4DB8" w:rsidRDefault="00891F14" w:rsidP="00EF11A8">
      <w:pPr>
        <w:pBdr>
          <w:bottom w:val="single" w:sz="12" w:space="1" w:color="auto"/>
        </w:pBdr>
        <w:tabs>
          <w:tab w:val="left" w:pos="2940"/>
        </w:tabs>
        <w:contextualSpacing/>
        <w:jc w:val="both"/>
        <w:rPr>
          <w:rFonts w:ascii="Arial" w:hAnsi="Arial" w:cs="Arial"/>
          <w:b/>
          <w:bCs/>
          <w:u w:val="single"/>
        </w:rPr>
      </w:pPr>
    </w:p>
    <w:p w:rsidR="004B596E" w:rsidRDefault="004B596E" w:rsidP="004B596E">
      <w:pPr>
        <w:rPr>
          <w:rFonts w:ascii="Arial" w:hAnsi="Arial" w:cs="Arial"/>
        </w:rPr>
      </w:pPr>
    </w:p>
    <w:p w:rsidR="006729E4" w:rsidRDefault="006729E4" w:rsidP="006729E4">
      <w:pPr>
        <w:spacing w:before="240" w:after="240" w:line="360" w:lineRule="auto"/>
        <w:ind w:left="567" w:hanging="567"/>
        <w:jc w:val="both"/>
        <w:rPr>
          <w:rFonts w:ascii="Arial" w:hAnsi="Arial" w:cs="Arial"/>
        </w:rPr>
      </w:pPr>
      <w:r>
        <w:rPr>
          <w:rFonts w:ascii="Arial" w:hAnsi="Arial" w:cs="Arial"/>
        </w:rPr>
        <w:t>[1]</w:t>
      </w:r>
      <w:r>
        <w:rPr>
          <w:rFonts w:ascii="Arial" w:hAnsi="Arial" w:cs="Arial"/>
        </w:rPr>
        <w:tab/>
      </w:r>
      <w:r w:rsidR="004B596E" w:rsidRPr="002676BB">
        <w:rPr>
          <w:rFonts w:ascii="Arial" w:hAnsi="Arial" w:cs="Arial"/>
        </w:rPr>
        <w:t>The applicant filed an interlocutory application on 23 May 2023 consisting of Parts A and B seeking leave to amend his plea in case number 4184/2019 and urgent interdictory relief for the payment of interest on his pension benefit and the payment of legal costs. Part B was set down for argument on Friday 26 May 2023. The application was postponed to 26 May 2023 after the applicant’s argument on Part A was presented with directions that the respondent should file its opposing affidavits by 15h00 on Wednesday, 23 May, and the applicant to file his replying affidavit, if so inclined, by 15h00 on Thursday 24 May 2023. The parties obliged and the respondent filed its written argument titled the respondent’s Note on Argument in Interlocutory Application just before the commencement of the hearing.</w:t>
      </w:r>
    </w:p>
    <w:p w:rsidR="006729E4" w:rsidRDefault="006729E4" w:rsidP="006729E4">
      <w:pPr>
        <w:spacing w:before="240" w:after="240" w:line="360" w:lineRule="auto"/>
        <w:ind w:left="567" w:hanging="567"/>
        <w:jc w:val="both"/>
        <w:rPr>
          <w:rFonts w:ascii="Arial" w:hAnsi="Arial" w:cs="Arial"/>
        </w:rPr>
      </w:pPr>
      <w:r>
        <w:rPr>
          <w:rFonts w:ascii="Arial" w:hAnsi="Arial" w:cs="Arial"/>
        </w:rPr>
        <w:t>[2]</w:t>
      </w:r>
      <w:r>
        <w:rPr>
          <w:rFonts w:ascii="Arial" w:hAnsi="Arial" w:cs="Arial"/>
        </w:rPr>
        <w:tab/>
      </w:r>
      <w:r w:rsidR="004B596E">
        <w:rPr>
          <w:rFonts w:ascii="Arial" w:hAnsi="Arial" w:cs="Arial"/>
        </w:rPr>
        <w:t>At the start of the hearing of the application, Mr Snellenburg, who acted on behalf of the applicant, informed the court that he retracted some of his earlier submissions as it had come to his attention that a similar amendment sought in case number 879/2019, which he thought had been effected, was not effected at all. He sought the same amendment in both cases and launched an application for the substantive amendment in cases 879/2019 and 4184/2019 for the inclusion of the sixth special plea. I shall deal separately with the reliefs sought in Parts A and B.</w:t>
      </w:r>
    </w:p>
    <w:p w:rsidR="004B596E" w:rsidRDefault="006729E4" w:rsidP="006729E4">
      <w:pPr>
        <w:spacing w:before="240" w:after="240" w:line="360" w:lineRule="auto"/>
        <w:ind w:left="567" w:hanging="567"/>
        <w:jc w:val="both"/>
        <w:rPr>
          <w:rFonts w:ascii="Arial" w:hAnsi="Arial" w:cs="Arial"/>
        </w:rPr>
      </w:pPr>
      <w:r>
        <w:rPr>
          <w:rFonts w:ascii="Arial" w:hAnsi="Arial" w:cs="Arial"/>
        </w:rPr>
        <w:t>[3]</w:t>
      </w:r>
      <w:r>
        <w:rPr>
          <w:rFonts w:ascii="Arial" w:hAnsi="Arial" w:cs="Arial"/>
        </w:rPr>
        <w:tab/>
      </w:r>
      <w:r w:rsidR="004B596E">
        <w:rPr>
          <w:rFonts w:ascii="Arial" w:hAnsi="Arial" w:cs="Arial"/>
        </w:rPr>
        <w:t>The relief sought in Part</w:t>
      </w:r>
      <w:r w:rsidR="00E34260">
        <w:rPr>
          <w:rFonts w:ascii="Arial" w:hAnsi="Arial" w:cs="Arial"/>
        </w:rPr>
        <w:t xml:space="preserve"> A</w:t>
      </w:r>
      <w:r w:rsidR="004B596E">
        <w:rPr>
          <w:rFonts w:ascii="Arial" w:hAnsi="Arial" w:cs="Arial"/>
        </w:rPr>
        <w:t xml:space="preserve"> reads as follows:</w:t>
      </w:r>
    </w:p>
    <w:p w:rsidR="004B596E" w:rsidRPr="005D1614" w:rsidRDefault="004B596E" w:rsidP="004B596E">
      <w:pPr>
        <w:pStyle w:val="ListParagraph"/>
        <w:rPr>
          <w:rFonts w:ascii="Arial" w:hAnsi="Arial" w:cs="Arial"/>
        </w:rPr>
      </w:pPr>
    </w:p>
    <w:p w:rsidR="004B596E" w:rsidRPr="006729E4" w:rsidRDefault="004B596E" w:rsidP="00E4545B">
      <w:pPr>
        <w:spacing w:before="240" w:after="240" w:line="360" w:lineRule="auto"/>
        <w:ind w:left="992" w:hanging="425"/>
        <w:jc w:val="both"/>
        <w:rPr>
          <w:rFonts w:ascii="Arial" w:hAnsi="Arial" w:cs="Arial"/>
          <w:i/>
          <w:sz w:val="20"/>
          <w:szCs w:val="20"/>
        </w:rPr>
      </w:pPr>
      <w:r w:rsidRPr="006729E4">
        <w:rPr>
          <w:rFonts w:ascii="Arial" w:hAnsi="Arial" w:cs="Arial"/>
          <w:i/>
          <w:sz w:val="20"/>
          <w:szCs w:val="20"/>
        </w:rPr>
        <w:t xml:space="preserve">“2. </w:t>
      </w:r>
      <w:r w:rsidR="006729E4">
        <w:rPr>
          <w:rFonts w:ascii="Arial" w:hAnsi="Arial" w:cs="Arial"/>
          <w:i/>
          <w:sz w:val="20"/>
          <w:szCs w:val="20"/>
        </w:rPr>
        <w:tab/>
      </w:r>
      <w:r w:rsidRPr="006729E4">
        <w:rPr>
          <w:rFonts w:ascii="Arial" w:hAnsi="Arial" w:cs="Arial"/>
          <w:i/>
          <w:sz w:val="20"/>
          <w:szCs w:val="20"/>
        </w:rPr>
        <w:t>Leave be granted to the applicant to amend his plea (as first defendant) in case number: 4184/2019 by including paragraph 5A after the existing paragraph 5 and before paragraph 6 which reads as follows:</w:t>
      </w:r>
    </w:p>
    <w:p w:rsidR="004B596E" w:rsidRPr="006729E4" w:rsidRDefault="00FE3F04" w:rsidP="00FE3F04">
      <w:pPr>
        <w:spacing w:before="240" w:after="240" w:line="360" w:lineRule="auto"/>
        <w:ind w:left="1417" w:hanging="425"/>
        <w:jc w:val="both"/>
        <w:rPr>
          <w:rFonts w:ascii="Arial" w:hAnsi="Arial" w:cs="Arial"/>
          <w:i/>
          <w:sz w:val="20"/>
          <w:szCs w:val="20"/>
        </w:rPr>
      </w:pPr>
      <w:r>
        <w:rPr>
          <w:rFonts w:ascii="Arial" w:hAnsi="Arial" w:cs="Arial"/>
          <w:i/>
          <w:sz w:val="20"/>
          <w:szCs w:val="20"/>
        </w:rPr>
        <w:t>“5A</w:t>
      </w:r>
      <w:r>
        <w:rPr>
          <w:rFonts w:ascii="Arial" w:hAnsi="Arial" w:cs="Arial"/>
          <w:i/>
          <w:sz w:val="20"/>
          <w:szCs w:val="20"/>
        </w:rPr>
        <w:tab/>
      </w:r>
      <w:r w:rsidR="004B596E" w:rsidRPr="006729E4">
        <w:rPr>
          <w:rFonts w:ascii="Arial" w:hAnsi="Arial" w:cs="Arial"/>
          <w:i/>
          <w:sz w:val="20"/>
          <w:szCs w:val="20"/>
        </w:rPr>
        <w:t>Sixth Special Plea</w:t>
      </w:r>
    </w:p>
    <w:p w:rsidR="004B596E" w:rsidRDefault="004B596E" w:rsidP="0060566E">
      <w:pPr>
        <w:spacing w:before="240" w:after="240" w:line="360" w:lineRule="auto"/>
        <w:ind w:left="1560" w:hanging="568"/>
        <w:jc w:val="both"/>
        <w:rPr>
          <w:rFonts w:ascii="Arial" w:hAnsi="Arial" w:cs="Arial"/>
          <w:i/>
          <w:sz w:val="20"/>
          <w:szCs w:val="20"/>
        </w:rPr>
      </w:pPr>
      <w:r w:rsidRPr="006729E4">
        <w:rPr>
          <w:rFonts w:ascii="Arial" w:hAnsi="Arial" w:cs="Arial"/>
          <w:i/>
          <w:sz w:val="20"/>
          <w:szCs w:val="20"/>
        </w:rPr>
        <w:t>5</w:t>
      </w:r>
      <w:r w:rsidR="00FE3F04">
        <w:rPr>
          <w:rFonts w:ascii="Arial" w:hAnsi="Arial" w:cs="Arial"/>
          <w:i/>
          <w:sz w:val="20"/>
          <w:szCs w:val="20"/>
        </w:rPr>
        <w:t>A1</w:t>
      </w:r>
      <w:r w:rsidR="00FE3F04">
        <w:rPr>
          <w:rFonts w:ascii="Arial" w:hAnsi="Arial" w:cs="Arial"/>
          <w:i/>
          <w:sz w:val="20"/>
          <w:szCs w:val="20"/>
        </w:rPr>
        <w:tab/>
      </w:r>
      <w:r w:rsidRPr="006729E4">
        <w:rPr>
          <w:rFonts w:ascii="Arial" w:hAnsi="Arial" w:cs="Arial"/>
          <w:i/>
          <w:sz w:val="20"/>
          <w:szCs w:val="20"/>
        </w:rPr>
        <w:t>The First Plaintiff</w:t>
      </w:r>
      <w:r w:rsidR="00FE3F04">
        <w:rPr>
          <w:rFonts w:ascii="Arial" w:hAnsi="Arial" w:cs="Arial"/>
          <w:i/>
          <w:sz w:val="20"/>
          <w:szCs w:val="20"/>
        </w:rPr>
        <w:t xml:space="preserve"> </w:t>
      </w:r>
      <w:r w:rsidR="0060566E">
        <w:rPr>
          <w:rFonts w:ascii="Arial" w:hAnsi="Arial" w:cs="Arial"/>
          <w:i/>
          <w:sz w:val="20"/>
          <w:szCs w:val="20"/>
        </w:rPr>
        <w:t>instituted the action, in his nominal capacity, as Curator of the Second Plaintiff [Die Vrystaatse Muni</w:t>
      </w:r>
      <w:r w:rsidR="00C51F37">
        <w:rPr>
          <w:rFonts w:ascii="Arial" w:hAnsi="Arial" w:cs="Arial"/>
          <w:i/>
          <w:sz w:val="20"/>
          <w:szCs w:val="20"/>
        </w:rPr>
        <w:t>s</w:t>
      </w:r>
      <w:r w:rsidR="0060566E">
        <w:rPr>
          <w:rFonts w:ascii="Arial" w:hAnsi="Arial" w:cs="Arial"/>
          <w:i/>
          <w:sz w:val="20"/>
          <w:szCs w:val="20"/>
        </w:rPr>
        <w:t xml:space="preserve">ipale Pensioen Fonds- henceforth referred to as “the Free State Pension” where convenient] by virtue of an appointment purportedly made in terms of section 5(10) of the Financial Institutions (Protection of Funds) Act, Act 28 of 2001 [the Financial Institution Act]. </w:t>
      </w:r>
    </w:p>
    <w:p w:rsidR="0060566E" w:rsidRDefault="0060566E" w:rsidP="0060566E">
      <w:pPr>
        <w:spacing w:before="240" w:after="240" w:line="360" w:lineRule="auto"/>
        <w:ind w:left="1560" w:hanging="568"/>
        <w:jc w:val="both"/>
        <w:rPr>
          <w:rFonts w:ascii="Arial" w:hAnsi="Arial" w:cs="Arial"/>
          <w:i/>
          <w:sz w:val="20"/>
          <w:szCs w:val="20"/>
        </w:rPr>
      </w:pPr>
      <w:r>
        <w:rPr>
          <w:rFonts w:ascii="Arial" w:hAnsi="Arial" w:cs="Arial"/>
          <w:i/>
          <w:sz w:val="20"/>
          <w:szCs w:val="20"/>
        </w:rPr>
        <w:t>5A.2</w:t>
      </w:r>
      <w:r>
        <w:rPr>
          <w:rFonts w:ascii="Arial" w:hAnsi="Arial" w:cs="Arial"/>
          <w:i/>
          <w:sz w:val="20"/>
          <w:szCs w:val="20"/>
        </w:rPr>
        <w:tab/>
        <w:t>The First Plaintiff’s appointment provided that he had, amongst others, the following powers and duties:</w:t>
      </w:r>
    </w:p>
    <w:p w:rsidR="0060566E" w:rsidRDefault="0060566E" w:rsidP="0060566E">
      <w:pPr>
        <w:spacing w:before="240" w:after="240" w:line="360" w:lineRule="auto"/>
        <w:ind w:left="1701" w:hanging="708"/>
        <w:jc w:val="both"/>
        <w:rPr>
          <w:rFonts w:ascii="Arial" w:hAnsi="Arial" w:cs="Arial"/>
          <w:i/>
          <w:sz w:val="20"/>
          <w:szCs w:val="20"/>
        </w:rPr>
      </w:pPr>
      <w:r>
        <w:rPr>
          <w:rFonts w:ascii="Arial" w:hAnsi="Arial" w:cs="Arial"/>
          <w:i/>
          <w:sz w:val="20"/>
          <w:szCs w:val="20"/>
        </w:rPr>
        <w:t>5A.2.1</w:t>
      </w:r>
      <w:r>
        <w:rPr>
          <w:rFonts w:ascii="Arial" w:hAnsi="Arial" w:cs="Arial"/>
          <w:i/>
          <w:sz w:val="20"/>
          <w:szCs w:val="20"/>
        </w:rPr>
        <w:tab/>
        <w:t>Paragraph 14 states that:</w:t>
      </w:r>
    </w:p>
    <w:p w:rsidR="0060566E" w:rsidRDefault="0060566E" w:rsidP="0060566E">
      <w:pPr>
        <w:spacing w:before="240" w:after="240" w:line="360" w:lineRule="auto"/>
        <w:ind w:left="1701" w:hanging="708"/>
        <w:jc w:val="both"/>
        <w:rPr>
          <w:rFonts w:ascii="Arial" w:hAnsi="Arial" w:cs="Arial"/>
          <w:i/>
          <w:sz w:val="20"/>
          <w:szCs w:val="20"/>
        </w:rPr>
      </w:pPr>
      <w:r>
        <w:rPr>
          <w:rFonts w:ascii="Arial" w:hAnsi="Arial" w:cs="Arial"/>
          <w:i/>
          <w:sz w:val="20"/>
          <w:szCs w:val="20"/>
        </w:rPr>
        <w:tab/>
        <w:t>“subject to what is stated in paragraph 15, the First Plaintiff is empowered to take control and manage the fund, and any other person- including but not limited to the Board of Management and Officer involved with the fund’s administration, now vested with the management of the business- is hereby divested thereof, subjected to paragraph 15 below”</w:t>
      </w:r>
    </w:p>
    <w:p w:rsidR="00500D29" w:rsidRDefault="0060566E" w:rsidP="0060566E">
      <w:pPr>
        <w:spacing w:before="240" w:after="240" w:line="360" w:lineRule="auto"/>
        <w:ind w:left="1701" w:hanging="708"/>
        <w:jc w:val="both"/>
        <w:rPr>
          <w:rFonts w:ascii="Arial" w:hAnsi="Arial" w:cs="Arial"/>
          <w:i/>
          <w:sz w:val="20"/>
          <w:szCs w:val="20"/>
        </w:rPr>
      </w:pPr>
      <w:r>
        <w:rPr>
          <w:rFonts w:ascii="Arial" w:hAnsi="Arial" w:cs="Arial"/>
          <w:i/>
          <w:sz w:val="20"/>
          <w:szCs w:val="20"/>
        </w:rPr>
        <w:t>5A.2.2</w:t>
      </w:r>
      <w:r>
        <w:rPr>
          <w:rFonts w:ascii="Arial" w:hAnsi="Arial" w:cs="Arial"/>
          <w:i/>
          <w:sz w:val="20"/>
          <w:szCs w:val="20"/>
        </w:rPr>
        <w:tab/>
        <w:t>Paragraph 14.1 of the Letter of Appointment provides that the First Plaintiff is authorised to take control of, manage and investigate the business and operations of and concerning the Fund, together with all assets and interests relating to the Fund, the authority to be exercised subject to control of the register in accordance with the provisions of section 5(6) of the Financial Institution Act, and with all</w:t>
      </w:r>
      <w:r w:rsidR="00500D29">
        <w:rPr>
          <w:rFonts w:ascii="Arial" w:hAnsi="Arial" w:cs="Arial"/>
          <w:i/>
          <w:sz w:val="20"/>
          <w:szCs w:val="20"/>
        </w:rPr>
        <w:t xml:space="preserve"> rights as may be pertaining thereto. </w:t>
      </w:r>
    </w:p>
    <w:p w:rsidR="00500D29" w:rsidRDefault="00500D29" w:rsidP="0060566E">
      <w:pPr>
        <w:spacing w:before="240" w:after="240" w:line="360" w:lineRule="auto"/>
        <w:ind w:left="1701" w:hanging="708"/>
        <w:jc w:val="both"/>
        <w:rPr>
          <w:rFonts w:ascii="Arial" w:hAnsi="Arial" w:cs="Arial"/>
          <w:i/>
          <w:sz w:val="20"/>
          <w:szCs w:val="20"/>
        </w:rPr>
      </w:pPr>
      <w:r>
        <w:rPr>
          <w:rFonts w:ascii="Arial" w:hAnsi="Arial" w:cs="Arial"/>
          <w:i/>
          <w:sz w:val="20"/>
          <w:szCs w:val="20"/>
        </w:rPr>
        <w:t>5A.2.3</w:t>
      </w:r>
      <w:r>
        <w:rPr>
          <w:rFonts w:ascii="Arial" w:hAnsi="Arial" w:cs="Arial"/>
          <w:i/>
          <w:sz w:val="20"/>
          <w:szCs w:val="20"/>
        </w:rPr>
        <w:tab/>
        <w:t xml:space="preserve">Paragraph 14.2 provides that First Plaintiff is vested with all executive powers, which ordinarily be vested in, and exercised by, the Board and Principal Officer of the Fund (Second Plaintiff) whether by law or in terms of the Rules of the Fund. </w:t>
      </w:r>
    </w:p>
    <w:p w:rsidR="00500D29" w:rsidRDefault="00500D29" w:rsidP="0060566E">
      <w:pPr>
        <w:spacing w:before="240" w:after="240" w:line="360" w:lineRule="auto"/>
        <w:ind w:left="1701" w:hanging="708"/>
        <w:jc w:val="both"/>
        <w:rPr>
          <w:rFonts w:ascii="Arial" w:hAnsi="Arial" w:cs="Arial"/>
          <w:i/>
          <w:sz w:val="20"/>
          <w:szCs w:val="20"/>
        </w:rPr>
      </w:pPr>
      <w:r>
        <w:rPr>
          <w:rFonts w:ascii="Arial" w:hAnsi="Arial" w:cs="Arial"/>
          <w:i/>
          <w:sz w:val="20"/>
          <w:szCs w:val="20"/>
        </w:rPr>
        <w:t>5A.2.4</w:t>
      </w:r>
      <w:r>
        <w:rPr>
          <w:rFonts w:ascii="Arial" w:hAnsi="Arial" w:cs="Arial"/>
          <w:i/>
          <w:sz w:val="20"/>
          <w:szCs w:val="20"/>
        </w:rPr>
        <w:tab/>
        <w:t>Paragraph 14.9 provides that the First Plaintiff is permitted to engage, after consultation with the Registrar, such assistance of legal, accounting, administrative or other professional service of a technical nature, as the First plaintiff may reasonably</w:t>
      </w:r>
      <w:r w:rsidR="00C51F37">
        <w:rPr>
          <w:rFonts w:ascii="Arial" w:hAnsi="Arial" w:cs="Arial"/>
          <w:i/>
          <w:sz w:val="20"/>
          <w:szCs w:val="20"/>
        </w:rPr>
        <w:t xml:space="preserve"> deem necessary for the performance of his duties and to defray reasonable </w:t>
      </w:r>
      <w:r>
        <w:rPr>
          <w:rFonts w:ascii="Arial" w:hAnsi="Arial" w:cs="Arial"/>
          <w:i/>
          <w:sz w:val="20"/>
          <w:szCs w:val="20"/>
        </w:rPr>
        <w:t xml:space="preserve">charges and expenses thus incurred from the assets held under control of the Fund. </w:t>
      </w:r>
    </w:p>
    <w:p w:rsidR="00500D29" w:rsidRDefault="00500D29" w:rsidP="0060566E">
      <w:pPr>
        <w:spacing w:before="240" w:after="240" w:line="360" w:lineRule="auto"/>
        <w:ind w:left="1701" w:hanging="708"/>
        <w:jc w:val="both"/>
        <w:rPr>
          <w:rFonts w:ascii="Arial" w:hAnsi="Arial" w:cs="Arial"/>
          <w:i/>
          <w:sz w:val="20"/>
          <w:szCs w:val="20"/>
        </w:rPr>
      </w:pPr>
      <w:r>
        <w:rPr>
          <w:rFonts w:ascii="Arial" w:hAnsi="Arial" w:cs="Arial"/>
          <w:i/>
          <w:sz w:val="20"/>
          <w:szCs w:val="20"/>
        </w:rPr>
        <w:lastRenderedPageBreak/>
        <w:t>5A.2.5</w:t>
      </w:r>
      <w:r>
        <w:rPr>
          <w:rFonts w:ascii="Arial" w:hAnsi="Arial" w:cs="Arial"/>
          <w:i/>
          <w:sz w:val="20"/>
          <w:szCs w:val="20"/>
        </w:rPr>
        <w:tab/>
        <w:t>Paragraph 14.10 provides that the First Plaintiff</w:t>
      </w:r>
      <w:r w:rsidR="00C51F37">
        <w:rPr>
          <w:rFonts w:ascii="Arial" w:hAnsi="Arial" w:cs="Arial"/>
          <w:i/>
          <w:sz w:val="20"/>
          <w:szCs w:val="20"/>
        </w:rPr>
        <w:t xml:space="preserve"> is</w:t>
      </w:r>
      <w:r>
        <w:rPr>
          <w:rFonts w:ascii="Arial" w:hAnsi="Arial" w:cs="Arial"/>
          <w:i/>
          <w:sz w:val="20"/>
          <w:szCs w:val="20"/>
        </w:rPr>
        <w:t xml:space="preserve"> empowered to institute and prosecute any legal proceedings on behalf of the Fund (Second Plaintiff) and to defend any litigation against the fund. </w:t>
      </w:r>
    </w:p>
    <w:p w:rsidR="00500D29" w:rsidRDefault="00500D29" w:rsidP="0060566E">
      <w:pPr>
        <w:spacing w:before="240" w:after="240" w:line="360" w:lineRule="auto"/>
        <w:ind w:left="1701" w:hanging="708"/>
        <w:jc w:val="both"/>
        <w:rPr>
          <w:rFonts w:ascii="Arial" w:hAnsi="Arial" w:cs="Arial"/>
          <w:i/>
          <w:sz w:val="20"/>
          <w:szCs w:val="20"/>
        </w:rPr>
      </w:pPr>
      <w:r>
        <w:rPr>
          <w:rFonts w:ascii="Arial" w:hAnsi="Arial" w:cs="Arial"/>
          <w:i/>
          <w:sz w:val="20"/>
          <w:szCs w:val="20"/>
        </w:rPr>
        <w:t>5A.2.6</w:t>
      </w:r>
      <w:r>
        <w:rPr>
          <w:rFonts w:ascii="Arial" w:hAnsi="Arial" w:cs="Arial"/>
          <w:i/>
          <w:sz w:val="20"/>
          <w:szCs w:val="20"/>
        </w:rPr>
        <w:tab/>
        <w:t>Paragraph 15 provides that the First Plaintiff’s duties and powers set out in paragraph 14 of the Terms of Appointment are subject to the following:</w:t>
      </w:r>
    </w:p>
    <w:p w:rsidR="006225DA" w:rsidRDefault="00500D29" w:rsidP="00500D29">
      <w:pPr>
        <w:spacing w:before="240" w:after="240" w:line="360" w:lineRule="auto"/>
        <w:ind w:left="1843" w:hanging="850"/>
        <w:jc w:val="both"/>
        <w:rPr>
          <w:rFonts w:ascii="Arial" w:hAnsi="Arial" w:cs="Arial"/>
          <w:i/>
          <w:sz w:val="20"/>
          <w:szCs w:val="20"/>
        </w:rPr>
      </w:pPr>
      <w:r>
        <w:rPr>
          <w:rFonts w:ascii="Arial" w:hAnsi="Arial" w:cs="Arial"/>
          <w:i/>
          <w:sz w:val="20"/>
          <w:szCs w:val="20"/>
        </w:rPr>
        <w:t>5A.2.6.1</w:t>
      </w:r>
      <w:r>
        <w:rPr>
          <w:rFonts w:ascii="Arial" w:hAnsi="Arial" w:cs="Arial"/>
          <w:i/>
          <w:sz w:val="20"/>
          <w:szCs w:val="20"/>
        </w:rPr>
        <w:tab/>
        <w:t xml:space="preserve">That notwithstanding the Curatorship, the </w:t>
      </w:r>
      <w:r w:rsidR="000F2CCF">
        <w:rPr>
          <w:rFonts w:ascii="Arial" w:hAnsi="Arial" w:cs="Arial"/>
          <w:i/>
          <w:sz w:val="20"/>
          <w:szCs w:val="20"/>
        </w:rPr>
        <w:t xml:space="preserve">Board will retain control over [and continue to have all the powers granted to it under the PFA (Pension Fund Act) </w:t>
      </w:r>
      <w:r w:rsidR="006225DA">
        <w:rPr>
          <w:rFonts w:ascii="Arial" w:hAnsi="Arial" w:cs="Arial"/>
          <w:i/>
          <w:sz w:val="20"/>
          <w:szCs w:val="20"/>
        </w:rPr>
        <w:t>and its rules] in respect of the following:</w:t>
      </w:r>
    </w:p>
    <w:p w:rsidR="00215377" w:rsidRDefault="006225DA" w:rsidP="006225DA">
      <w:pPr>
        <w:spacing w:before="240" w:after="240" w:line="360" w:lineRule="auto"/>
        <w:ind w:left="2127" w:hanging="1134"/>
        <w:jc w:val="both"/>
        <w:rPr>
          <w:rFonts w:ascii="Arial" w:hAnsi="Arial" w:cs="Arial"/>
          <w:i/>
          <w:sz w:val="20"/>
          <w:szCs w:val="20"/>
        </w:rPr>
      </w:pPr>
      <w:r>
        <w:rPr>
          <w:rFonts w:ascii="Arial" w:hAnsi="Arial" w:cs="Arial"/>
          <w:i/>
          <w:sz w:val="20"/>
          <w:szCs w:val="20"/>
        </w:rPr>
        <w:t>5A.2.6.1.1</w:t>
      </w:r>
      <w:r>
        <w:rPr>
          <w:rFonts w:ascii="Arial" w:hAnsi="Arial" w:cs="Arial"/>
          <w:i/>
          <w:sz w:val="20"/>
          <w:szCs w:val="20"/>
        </w:rPr>
        <w:tab/>
        <w:t>The High Court litigation presently pending under case number 6795</w:t>
      </w:r>
      <w:r w:rsidR="00215377">
        <w:rPr>
          <w:rFonts w:ascii="Arial" w:hAnsi="Arial" w:cs="Arial"/>
          <w:i/>
          <w:sz w:val="20"/>
          <w:szCs w:val="20"/>
        </w:rPr>
        <w:t>4/2015 regarding the validity or otherwise or Regulation 34(4) issued under the PVA, in which application the Registrar is a party; and-</w:t>
      </w:r>
    </w:p>
    <w:p w:rsidR="00215377" w:rsidRDefault="00215377" w:rsidP="006225DA">
      <w:pPr>
        <w:spacing w:before="240" w:after="240" w:line="360" w:lineRule="auto"/>
        <w:ind w:left="2127" w:hanging="1134"/>
        <w:jc w:val="both"/>
        <w:rPr>
          <w:rFonts w:ascii="Arial" w:hAnsi="Arial" w:cs="Arial"/>
          <w:i/>
          <w:sz w:val="20"/>
          <w:szCs w:val="20"/>
        </w:rPr>
      </w:pPr>
      <w:r>
        <w:rPr>
          <w:rFonts w:ascii="Arial" w:hAnsi="Arial" w:cs="Arial"/>
          <w:i/>
          <w:sz w:val="20"/>
          <w:szCs w:val="20"/>
        </w:rPr>
        <w:t>5A.2.6.1.2</w:t>
      </w:r>
      <w:r>
        <w:rPr>
          <w:rFonts w:ascii="Arial" w:hAnsi="Arial" w:cs="Arial"/>
          <w:i/>
          <w:sz w:val="20"/>
          <w:szCs w:val="20"/>
        </w:rPr>
        <w:tab/>
        <w:t>The SALGA Nation Treasury Pension Fund rationalization dispute; and-</w:t>
      </w:r>
    </w:p>
    <w:p w:rsidR="00215377" w:rsidRDefault="00215377" w:rsidP="006225DA">
      <w:pPr>
        <w:spacing w:before="240" w:after="240" w:line="360" w:lineRule="auto"/>
        <w:ind w:left="2127" w:hanging="1134"/>
        <w:jc w:val="both"/>
        <w:rPr>
          <w:rFonts w:ascii="Arial" w:hAnsi="Arial" w:cs="Arial"/>
          <w:i/>
          <w:sz w:val="20"/>
          <w:szCs w:val="20"/>
        </w:rPr>
      </w:pPr>
      <w:r>
        <w:rPr>
          <w:rFonts w:ascii="Arial" w:hAnsi="Arial" w:cs="Arial"/>
          <w:i/>
          <w:sz w:val="20"/>
          <w:szCs w:val="20"/>
        </w:rPr>
        <w:t>5A.2.6.1.3</w:t>
      </w:r>
      <w:r>
        <w:rPr>
          <w:rFonts w:ascii="Arial" w:hAnsi="Arial" w:cs="Arial"/>
          <w:i/>
          <w:sz w:val="20"/>
          <w:szCs w:val="20"/>
        </w:rPr>
        <w:tab/>
        <w:t xml:space="preserve">Any alteration or change in the investment of the Fund’s assets, excluding the regular payments of benefits and/or pensions to members and payments to the staff and services providers to the Fund in terms of their respective contracts. </w:t>
      </w:r>
    </w:p>
    <w:p w:rsidR="00215377" w:rsidRDefault="00215377" w:rsidP="00215377">
      <w:pPr>
        <w:spacing w:before="240" w:after="240" w:line="360" w:lineRule="auto"/>
        <w:ind w:left="1701" w:hanging="708"/>
        <w:jc w:val="both"/>
        <w:rPr>
          <w:rFonts w:ascii="Arial" w:hAnsi="Arial" w:cs="Arial"/>
          <w:i/>
          <w:sz w:val="20"/>
          <w:szCs w:val="20"/>
        </w:rPr>
      </w:pPr>
      <w:r>
        <w:rPr>
          <w:rFonts w:ascii="Arial" w:hAnsi="Arial" w:cs="Arial"/>
          <w:i/>
          <w:sz w:val="20"/>
          <w:szCs w:val="20"/>
        </w:rPr>
        <w:t>5A.3</w:t>
      </w:r>
      <w:r>
        <w:rPr>
          <w:rFonts w:ascii="Arial" w:hAnsi="Arial" w:cs="Arial"/>
          <w:i/>
          <w:sz w:val="20"/>
          <w:szCs w:val="20"/>
        </w:rPr>
        <w:tab/>
        <w:t xml:space="preserve">The appointment letter is dated 8 September 2017, the action under consideration was issued on/about 22 February 2019. </w:t>
      </w:r>
    </w:p>
    <w:p w:rsidR="00215377" w:rsidRDefault="00215377" w:rsidP="00215377">
      <w:pPr>
        <w:spacing w:before="240" w:after="240" w:line="360" w:lineRule="auto"/>
        <w:ind w:left="1701" w:hanging="708"/>
        <w:jc w:val="both"/>
        <w:rPr>
          <w:rFonts w:ascii="Arial" w:hAnsi="Arial" w:cs="Arial"/>
          <w:i/>
          <w:sz w:val="20"/>
          <w:szCs w:val="20"/>
        </w:rPr>
      </w:pPr>
      <w:r>
        <w:rPr>
          <w:rFonts w:ascii="Arial" w:hAnsi="Arial" w:cs="Arial"/>
          <w:i/>
          <w:sz w:val="20"/>
          <w:szCs w:val="20"/>
        </w:rPr>
        <w:t>5A.4</w:t>
      </w:r>
      <w:r>
        <w:rPr>
          <w:rFonts w:ascii="Arial" w:hAnsi="Arial" w:cs="Arial"/>
          <w:i/>
          <w:sz w:val="20"/>
          <w:szCs w:val="20"/>
        </w:rPr>
        <w:tab/>
        <w:t xml:space="preserve">The Second Plaintiff was represented by the First Plaintiff and the action is instituted by the First Plaintiff on behalf of the Second Plaintiff. Its Principal Officer, Board and any other person was effectively divested of control, save for the powers expressly excluded in paragraph 15, which have been dealt with and Curator is the only person who has authority to institute and prosecute an action. </w:t>
      </w:r>
    </w:p>
    <w:p w:rsidR="00215377" w:rsidRDefault="00215377" w:rsidP="00215377">
      <w:pPr>
        <w:spacing w:before="240" w:after="240" w:line="360" w:lineRule="auto"/>
        <w:ind w:left="1701" w:hanging="708"/>
        <w:jc w:val="both"/>
        <w:rPr>
          <w:rFonts w:ascii="Arial" w:hAnsi="Arial" w:cs="Arial"/>
          <w:i/>
          <w:sz w:val="20"/>
          <w:szCs w:val="20"/>
        </w:rPr>
      </w:pPr>
      <w:r>
        <w:rPr>
          <w:rFonts w:ascii="Arial" w:hAnsi="Arial" w:cs="Arial"/>
          <w:i/>
          <w:sz w:val="20"/>
          <w:szCs w:val="20"/>
        </w:rPr>
        <w:t>5A.5</w:t>
      </w:r>
      <w:r>
        <w:rPr>
          <w:rFonts w:ascii="Arial" w:hAnsi="Arial" w:cs="Arial"/>
          <w:i/>
          <w:sz w:val="20"/>
          <w:szCs w:val="20"/>
        </w:rPr>
        <w:tab/>
        <w:t xml:space="preserve">The Second Plaintiff did not, nor could it, take any decision to institute and prosecute the action. </w:t>
      </w:r>
    </w:p>
    <w:p w:rsidR="00164A79" w:rsidRDefault="00215377" w:rsidP="00215377">
      <w:pPr>
        <w:spacing w:before="240" w:after="240" w:line="360" w:lineRule="auto"/>
        <w:ind w:left="1701" w:hanging="708"/>
        <w:jc w:val="both"/>
        <w:rPr>
          <w:rFonts w:ascii="Arial" w:hAnsi="Arial" w:cs="Arial"/>
          <w:i/>
          <w:sz w:val="20"/>
          <w:szCs w:val="20"/>
        </w:rPr>
      </w:pPr>
      <w:r>
        <w:rPr>
          <w:rFonts w:ascii="Arial" w:hAnsi="Arial" w:cs="Arial"/>
          <w:i/>
          <w:sz w:val="20"/>
          <w:szCs w:val="20"/>
        </w:rPr>
        <w:t>5A.6</w:t>
      </w:r>
      <w:r>
        <w:rPr>
          <w:rFonts w:ascii="Arial" w:hAnsi="Arial" w:cs="Arial"/>
          <w:i/>
          <w:sz w:val="20"/>
          <w:szCs w:val="20"/>
        </w:rPr>
        <w:tab/>
        <w:t>The Second Plaintiff did not have any locus standi when the action was instituted, a</w:t>
      </w:r>
      <w:r w:rsidR="00C51F37">
        <w:rPr>
          <w:rFonts w:ascii="Arial" w:hAnsi="Arial" w:cs="Arial"/>
          <w:i/>
          <w:sz w:val="20"/>
          <w:szCs w:val="20"/>
        </w:rPr>
        <w:t>nd did not, and could not pursue</w:t>
      </w:r>
      <w:r>
        <w:rPr>
          <w:rFonts w:ascii="Arial" w:hAnsi="Arial" w:cs="Arial"/>
          <w:i/>
          <w:sz w:val="20"/>
          <w:szCs w:val="20"/>
        </w:rPr>
        <w:t xml:space="preserve"> the claim.</w:t>
      </w:r>
    </w:p>
    <w:p w:rsidR="00164A79" w:rsidRDefault="00164A79" w:rsidP="00215377">
      <w:pPr>
        <w:spacing w:before="240" w:after="240" w:line="360" w:lineRule="auto"/>
        <w:ind w:left="1701" w:hanging="708"/>
        <w:jc w:val="both"/>
        <w:rPr>
          <w:rFonts w:ascii="Arial" w:hAnsi="Arial" w:cs="Arial"/>
          <w:i/>
          <w:sz w:val="20"/>
          <w:szCs w:val="20"/>
        </w:rPr>
      </w:pPr>
      <w:r>
        <w:rPr>
          <w:rFonts w:ascii="Arial" w:hAnsi="Arial" w:cs="Arial"/>
          <w:i/>
          <w:sz w:val="20"/>
          <w:szCs w:val="20"/>
        </w:rPr>
        <w:t>5A.7</w:t>
      </w:r>
      <w:r>
        <w:rPr>
          <w:rFonts w:ascii="Arial" w:hAnsi="Arial" w:cs="Arial"/>
          <w:i/>
          <w:sz w:val="20"/>
          <w:szCs w:val="20"/>
        </w:rPr>
        <w:tab/>
        <w:t xml:space="preserve">The First </w:t>
      </w:r>
      <w:r w:rsidR="00C51F37">
        <w:rPr>
          <w:rFonts w:ascii="Arial" w:hAnsi="Arial" w:cs="Arial"/>
          <w:i/>
          <w:sz w:val="20"/>
          <w:szCs w:val="20"/>
        </w:rPr>
        <w:t>Plaintiff’s</w:t>
      </w:r>
      <w:r>
        <w:rPr>
          <w:rFonts w:ascii="Arial" w:hAnsi="Arial" w:cs="Arial"/>
          <w:i/>
          <w:sz w:val="20"/>
          <w:szCs w:val="20"/>
        </w:rPr>
        <w:t xml:space="preserve"> appointment was withdrawn, and he is no longer capable to pursue the claims. </w:t>
      </w:r>
    </w:p>
    <w:p w:rsidR="00164A79" w:rsidRDefault="00164A79" w:rsidP="00215377">
      <w:pPr>
        <w:spacing w:before="240" w:after="240" w:line="360" w:lineRule="auto"/>
        <w:ind w:left="1701" w:hanging="708"/>
        <w:jc w:val="both"/>
        <w:rPr>
          <w:rFonts w:ascii="Arial" w:hAnsi="Arial" w:cs="Arial"/>
          <w:i/>
          <w:sz w:val="20"/>
          <w:szCs w:val="20"/>
        </w:rPr>
      </w:pPr>
      <w:r>
        <w:rPr>
          <w:rFonts w:ascii="Arial" w:hAnsi="Arial" w:cs="Arial"/>
          <w:i/>
          <w:sz w:val="20"/>
          <w:szCs w:val="20"/>
        </w:rPr>
        <w:t>5A.8</w:t>
      </w:r>
      <w:r>
        <w:rPr>
          <w:rFonts w:ascii="Arial" w:hAnsi="Arial" w:cs="Arial"/>
          <w:i/>
          <w:sz w:val="20"/>
          <w:szCs w:val="20"/>
        </w:rPr>
        <w:tab/>
        <w:t xml:space="preserve">The claims were not prosecuted to finality, by the First Plaintiff, in terms of section 15(2) of the Prescription Act, and as a result, all the claims have prescribed. </w:t>
      </w:r>
    </w:p>
    <w:p w:rsidR="00164A79" w:rsidRDefault="00164A79" w:rsidP="00215377">
      <w:pPr>
        <w:spacing w:before="240" w:after="240" w:line="360" w:lineRule="auto"/>
        <w:ind w:left="1701" w:hanging="708"/>
        <w:jc w:val="both"/>
        <w:rPr>
          <w:rFonts w:ascii="Arial" w:hAnsi="Arial" w:cs="Arial"/>
          <w:i/>
          <w:sz w:val="20"/>
          <w:szCs w:val="20"/>
        </w:rPr>
      </w:pPr>
      <w:r>
        <w:rPr>
          <w:rFonts w:ascii="Arial" w:hAnsi="Arial" w:cs="Arial"/>
          <w:i/>
          <w:sz w:val="20"/>
          <w:szCs w:val="20"/>
        </w:rPr>
        <w:lastRenderedPageBreak/>
        <w:t>5A.9</w:t>
      </w:r>
      <w:r>
        <w:rPr>
          <w:rFonts w:ascii="Arial" w:hAnsi="Arial" w:cs="Arial"/>
          <w:i/>
          <w:sz w:val="20"/>
          <w:szCs w:val="20"/>
        </w:rPr>
        <w:tab/>
        <w:t xml:space="preserve">Alternatively, it is denied that the second plaintiff was validly and lawfully appointed, or could be appointed as independent trustee. </w:t>
      </w:r>
    </w:p>
    <w:p w:rsidR="00164A79" w:rsidRDefault="00164A79" w:rsidP="00215377">
      <w:pPr>
        <w:spacing w:before="240" w:after="240" w:line="360" w:lineRule="auto"/>
        <w:ind w:left="1701" w:hanging="708"/>
        <w:jc w:val="both"/>
        <w:rPr>
          <w:rFonts w:ascii="Arial" w:hAnsi="Arial" w:cs="Arial"/>
          <w:i/>
          <w:sz w:val="20"/>
          <w:szCs w:val="20"/>
        </w:rPr>
      </w:pPr>
      <w:r>
        <w:rPr>
          <w:rFonts w:ascii="Arial" w:hAnsi="Arial" w:cs="Arial"/>
          <w:i/>
          <w:sz w:val="20"/>
          <w:szCs w:val="20"/>
        </w:rPr>
        <w:t>WHEREFORE the First Defendant prays that the Plaintiff’s claims be dismissed with costs.</w:t>
      </w:r>
    </w:p>
    <w:p w:rsidR="00164A79" w:rsidRDefault="00164A79" w:rsidP="00164A79">
      <w:pPr>
        <w:spacing w:before="240" w:after="240" w:line="360" w:lineRule="auto"/>
        <w:ind w:left="993" w:hanging="426"/>
        <w:jc w:val="both"/>
        <w:rPr>
          <w:rFonts w:ascii="Arial" w:hAnsi="Arial" w:cs="Arial"/>
          <w:i/>
          <w:sz w:val="20"/>
          <w:szCs w:val="20"/>
        </w:rPr>
      </w:pPr>
      <w:r>
        <w:rPr>
          <w:rFonts w:ascii="Arial" w:hAnsi="Arial" w:cs="Arial"/>
          <w:i/>
          <w:sz w:val="20"/>
          <w:szCs w:val="20"/>
        </w:rPr>
        <w:t>2.</w:t>
      </w:r>
      <w:r>
        <w:rPr>
          <w:rFonts w:ascii="Arial" w:hAnsi="Arial" w:cs="Arial"/>
          <w:i/>
          <w:sz w:val="20"/>
          <w:szCs w:val="20"/>
        </w:rPr>
        <w:tab/>
        <w:t xml:space="preserve">Costs pertaining to the application for leave amend only in the event of opposing the application. </w:t>
      </w:r>
    </w:p>
    <w:p w:rsidR="0060566E" w:rsidRPr="006729E4" w:rsidRDefault="00164A79" w:rsidP="00164A79">
      <w:pPr>
        <w:spacing w:before="240" w:after="240" w:line="360" w:lineRule="auto"/>
        <w:ind w:left="993" w:hanging="426"/>
        <w:jc w:val="both"/>
        <w:rPr>
          <w:rFonts w:ascii="Arial" w:hAnsi="Arial" w:cs="Arial"/>
          <w:i/>
          <w:sz w:val="20"/>
          <w:szCs w:val="20"/>
        </w:rPr>
      </w:pPr>
      <w:r>
        <w:rPr>
          <w:rFonts w:ascii="Arial" w:hAnsi="Arial" w:cs="Arial"/>
          <w:i/>
          <w:sz w:val="20"/>
          <w:szCs w:val="20"/>
        </w:rPr>
        <w:t>3.</w:t>
      </w:r>
      <w:r>
        <w:rPr>
          <w:rFonts w:ascii="Arial" w:hAnsi="Arial" w:cs="Arial"/>
          <w:i/>
          <w:sz w:val="20"/>
          <w:szCs w:val="20"/>
        </w:rPr>
        <w:tab/>
        <w:t>Further and/o</w:t>
      </w:r>
      <w:r w:rsidR="00C51F37">
        <w:rPr>
          <w:rFonts w:ascii="Arial" w:hAnsi="Arial" w:cs="Arial"/>
          <w:i/>
          <w:sz w:val="20"/>
          <w:szCs w:val="20"/>
        </w:rPr>
        <w:t>r</w:t>
      </w:r>
      <w:r>
        <w:rPr>
          <w:rFonts w:ascii="Arial" w:hAnsi="Arial" w:cs="Arial"/>
          <w:i/>
          <w:sz w:val="20"/>
          <w:szCs w:val="20"/>
        </w:rPr>
        <w:t xml:space="preserve"> alternative relief.”  </w:t>
      </w:r>
      <w:r w:rsidR="00215377">
        <w:rPr>
          <w:rFonts w:ascii="Arial" w:hAnsi="Arial" w:cs="Arial"/>
          <w:i/>
          <w:sz w:val="20"/>
          <w:szCs w:val="20"/>
        </w:rPr>
        <w:t xml:space="preserve">      </w:t>
      </w:r>
      <w:r w:rsidR="006225DA">
        <w:rPr>
          <w:rFonts w:ascii="Arial" w:hAnsi="Arial" w:cs="Arial"/>
          <w:i/>
          <w:sz w:val="20"/>
          <w:szCs w:val="20"/>
        </w:rPr>
        <w:t xml:space="preserve"> </w:t>
      </w:r>
      <w:r w:rsidR="00500D29">
        <w:rPr>
          <w:rFonts w:ascii="Arial" w:hAnsi="Arial" w:cs="Arial"/>
          <w:i/>
          <w:sz w:val="20"/>
          <w:szCs w:val="20"/>
        </w:rPr>
        <w:t xml:space="preserve">  </w:t>
      </w:r>
      <w:r w:rsidR="0060566E">
        <w:rPr>
          <w:rFonts w:ascii="Arial" w:hAnsi="Arial" w:cs="Arial"/>
          <w:i/>
          <w:sz w:val="20"/>
          <w:szCs w:val="20"/>
        </w:rPr>
        <w:t xml:space="preserve">  </w:t>
      </w:r>
      <w:r w:rsidR="0060566E">
        <w:rPr>
          <w:rFonts w:ascii="Arial" w:hAnsi="Arial" w:cs="Arial"/>
          <w:i/>
          <w:sz w:val="20"/>
          <w:szCs w:val="20"/>
        </w:rPr>
        <w:tab/>
      </w:r>
    </w:p>
    <w:p w:rsidR="006729E4" w:rsidRDefault="006729E4" w:rsidP="006729E4">
      <w:pPr>
        <w:spacing w:before="240" w:after="240" w:line="360" w:lineRule="auto"/>
        <w:ind w:left="567" w:hanging="567"/>
        <w:jc w:val="both"/>
        <w:rPr>
          <w:rFonts w:ascii="Arial" w:hAnsi="Arial" w:cs="Arial"/>
        </w:rPr>
      </w:pPr>
      <w:r>
        <w:rPr>
          <w:rFonts w:ascii="Arial" w:hAnsi="Arial" w:cs="Arial"/>
        </w:rPr>
        <w:t>[4]</w:t>
      </w:r>
      <w:r>
        <w:rPr>
          <w:rFonts w:ascii="Arial" w:hAnsi="Arial" w:cs="Arial"/>
        </w:rPr>
        <w:tab/>
      </w:r>
      <w:r w:rsidR="004B596E" w:rsidRPr="006729E4">
        <w:rPr>
          <w:rFonts w:ascii="Arial" w:hAnsi="Arial" w:cs="Arial"/>
        </w:rPr>
        <w:t>The respondent opposed the application stating that it was sent to the respondent’s attorneys per email at 20h17 on Monday 22 May 2023 and issued on the morning of 23 May 2023 and set down for hearing before the commencement of the consolidated cases which were to commence on the latter day. In the main, the argument was that the urgency on which the applicant relied was self-created and the respondent stood to suffer prejudice as the respondent had not prepared for the trial on the basis that an amendment had been effected in case number 879/2019 as required by the applicable Uniform Rule. Inherent in the amendment</w:t>
      </w:r>
      <w:r w:rsidR="00C51F37">
        <w:rPr>
          <w:rFonts w:ascii="Arial" w:hAnsi="Arial" w:cs="Arial"/>
        </w:rPr>
        <w:t>, it</w:t>
      </w:r>
      <w:r w:rsidR="004B596E" w:rsidRPr="006729E4">
        <w:rPr>
          <w:rFonts w:ascii="Arial" w:hAnsi="Arial" w:cs="Arial"/>
        </w:rPr>
        <w:t xml:space="preserve"> was</w:t>
      </w:r>
      <w:r w:rsidR="00C51F37">
        <w:rPr>
          <w:rFonts w:ascii="Arial" w:hAnsi="Arial" w:cs="Arial"/>
        </w:rPr>
        <w:t xml:space="preserve"> contended, was</w:t>
      </w:r>
      <w:r w:rsidR="004B596E" w:rsidRPr="006729E4">
        <w:rPr>
          <w:rFonts w:ascii="Arial" w:hAnsi="Arial" w:cs="Arial"/>
        </w:rPr>
        <w:t xml:space="preserve"> the withdrawal of the admission of the respondent’s locus standi as paragraph 4 of the Particulars of claim containing the description of the respondent, was and remained admitted by the applicant.</w:t>
      </w:r>
    </w:p>
    <w:p w:rsidR="006729E4" w:rsidRDefault="006729E4" w:rsidP="006729E4">
      <w:pPr>
        <w:spacing w:before="240" w:after="240" w:line="360" w:lineRule="auto"/>
        <w:ind w:left="567" w:hanging="567"/>
        <w:jc w:val="both"/>
        <w:rPr>
          <w:rFonts w:ascii="Arial" w:hAnsi="Arial" w:cs="Arial"/>
        </w:rPr>
      </w:pPr>
      <w:r>
        <w:rPr>
          <w:rFonts w:ascii="Arial" w:hAnsi="Arial" w:cs="Arial"/>
        </w:rPr>
        <w:t>[5]</w:t>
      </w:r>
      <w:r>
        <w:rPr>
          <w:rFonts w:ascii="Arial" w:hAnsi="Arial" w:cs="Arial"/>
        </w:rPr>
        <w:tab/>
      </w:r>
      <w:r w:rsidR="004B596E">
        <w:rPr>
          <w:rFonts w:ascii="Arial" w:hAnsi="Arial" w:cs="Arial"/>
        </w:rPr>
        <w:t xml:space="preserve">It is indeed so that a fact that is admitted is eliminated from the issues to be tried and the plaintiff is relieved of the duty of bringing evidence to establish it. </w:t>
      </w:r>
      <w:r w:rsidR="004B596E">
        <w:rPr>
          <w:rStyle w:val="FootnoteReference"/>
          <w:rFonts w:ascii="Arial" w:hAnsi="Arial" w:cs="Arial"/>
        </w:rPr>
        <w:footnoteReference w:id="2"/>
      </w:r>
      <w:r w:rsidR="004B596E">
        <w:rPr>
          <w:rFonts w:ascii="Arial" w:hAnsi="Arial" w:cs="Arial"/>
        </w:rPr>
        <w:t xml:space="preserve">The withdrawal of the admission of the respondent’s </w:t>
      </w:r>
      <w:r w:rsidR="004B596E" w:rsidRPr="00FE3F04">
        <w:rPr>
          <w:rFonts w:ascii="Arial" w:hAnsi="Arial" w:cs="Arial"/>
          <w:i/>
        </w:rPr>
        <w:t>locus standi</w:t>
      </w:r>
      <w:r w:rsidR="004B596E">
        <w:rPr>
          <w:rFonts w:ascii="Arial" w:hAnsi="Arial" w:cs="Arial"/>
        </w:rPr>
        <w:t xml:space="preserve">, it was contended, would cause irreparable prejudice to the respondent since the decision to withdraw Mr Campbell’s curatorship was informed at that stage by the admission of the respondent’s </w:t>
      </w:r>
      <w:r w:rsidR="004B596E" w:rsidRPr="00FE3F04">
        <w:rPr>
          <w:rFonts w:ascii="Arial" w:hAnsi="Arial" w:cs="Arial"/>
          <w:i/>
        </w:rPr>
        <w:t>locus standi</w:t>
      </w:r>
      <w:r w:rsidR="004B596E">
        <w:rPr>
          <w:rFonts w:ascii="Arial" w:hAnsi="Arial" w:cs="Arial"/>
        </w:rPr>
        <w:t xml:space="preserve">. </w:t>
      </w:r>
      <w:r w:rsidR="004B596E" w:rsidRPr="00C51F37">
        <w:rPr>
          <w:rFonts w:ascii="Arial" w:hAnsi="Arial" w:cs="Arial"/>
        </w:rPr>
        <w:t>On the contrary, the applicant argued that the termination of the curatorship was that it had come to an end and the curator was duly relieved of his duties as evidence</w:t>
      </w:r>
      <w:r w:rsidR="00C51F37" w:rsidRPr="00C51F37">
        <w:rPr>
          <w:rFonts w:ascii="Arial" w:hAnsi="Arial" w:cs="Arial"/>
        </w:rPr>
        <w:t>d</w:t>
      </w:r>
      <w:r w:rsidR="004B596E" w:rsidRPr="00C51F37">
        <w:rPr>
          <w:rFonts w:ascii="Arial" w:hAnsi="Arial" w:cs="Arial"/>
        </w:rPr>
        <w:t xml:space="preserve"> by the correspondence to that effect.</w:t>
      </w:r>
    </w:p>
    <w:p w:rsidR="006729E4" w:rsidRDefault="006729E4" w:rsidP="006729E4">
      <w:pPr>
        <w:spacing w:before="240" w:after="240" w:line="360" w:lineRule="auto"/>
        <w:ind w:left="567" w:hanging="567"/>
        <w:jc w:val="both"/>
        <w:rPr>
          <w:rFonts w:ascii="Arial" w:hAnsi="Arial" w:cs="Arial"/>
        </w:rPr>
      </w:pPr>
      <w:r>
        <w:rPr>
          <w:rFonts w:ascii="Arial" w:hAnsi="Arial" w:cs="Arial"/>
        </w:rPr>
        <w:t>[6]</w:t>
      </w:r>
      <w:r>
        <w:rPr>
          <w:rFonts w:ascii="Arial" w:hAnsi="Arial" w:cs="Arial"/>
        </w:rPr>
        <w:tab/>
      </w:r>
      <w:r w:rsidR="004B596E" w:rsidRPr="00FE3F04">
        <w:rPr>
          <w:rFonts w:ascii="Arial" w:hAnsi="Arial" w:cs="Arial"/>
          <w:color w:val="242121"/>
        </w:rPr>
        <w:t xml:space="preserve">Uniform Rule 28 regulates the amendments of pleadings and documents. Rule 28(10) provides that </w:t>
      </w:r>
      <w:r w:rsidR="004B596E" w:rsidRPr="00FE3F04">
        <w:rPr>
          <w:rFonts w:ascii="Arial" w:hAnsi="Arial" w:cs="Arial"/>
        </w:rPr>
        <w:t xml:space="preserve">the court may, notwithstanding anything to the contrary in this rule, at any stage before judgment, grant leave to amend any pleading or </w:t>
      </w:r>
      <w:r w:rsidR="004B596E" w:rsidRPr="00FE3F04">
        <w:rPr>
          <w:rFonts w:ascii="Arial" w:hAnsi="Arial" w:cs="Arial"/>
        </w:rPr>
        <w:lastRenderedPageBreak/>
        <w:t>document on such other terms as to costs or other matters as it deems fit.</w:t>
      </w:r>
      <w:r w:rsidR="004B596E" w:rsidRPr="00293DCB">
        <w:rPr>
          <w:rFonts w:ascii="Arial" w:hAnsi="Arial" w:cs="Arial"/>
        </w:rPr>
        <w:t xml:space="preserve"> In </w:t>
      </w:r>
      <w:r w:rsidR="004B596E" w:rsidRPr="00293DCB">
        <w:rPr>
          <w:rFonts w:ascii="Arial" w:hAnsi="Arial" w:cs="Arial"/>
          <w:i/>
        </w:rPr>
        <w:t>Moolman v Estate Moolman,</w:t>
      </w:r>
      <w:r w:rsidR="004B596E" w:rsidRPr="00FA453A">
        <w:rPr>
          <w:rStyle w:val="FootnoteReference"/>
          <w:rFonts w:ascii="Arial" w:hAnsi="Arial" w:cs="Arial"/>
          <w:i/>
        </w:rPr>
        <w:footnoteReference w:id="3"/>
      </w:r>
      <w:r w:rsidR="004B596E" w:rsidRPr="00293DCB">
        <w:rPr>
          <w:rFonts w:ascii="Arial" w:hAnsi="Arial" w:cs="Arial"/>
          <w:i/>
        </w:rPr>
        <w:t xml:space="preserve"> </w:t>
      </w:r>
      <w:r w:rsidR="004B596E">
        <w:rPr>
          <w:rFonts w:ascii="Arial" w:hAnsi="Arial" w:cs="Arial"/>
        </w:rPr>
        <w:t>it was stated</w:t>
      </w:r>
      <w:r w:rsidR="004B596E" w:rsidRPr="00293DCB">
        <w:rPr>
          <w:rFonts w:ascii="Arial" w:hAnsi="Arial" w:cs="Arial"/>
        </w:rPr>
        <w:t xml:space="preserve"> that: </w:t>
      </w:r>
    </w:p>
    <w:p w:rsidR="004B596E" w:rsidRPr="000642E7" w:rsidRDefault="004B596E" w:rsidP="006729E4">
      <w:pPr>
        <w:spacing w:before="240" w:after="240" w:line="360" w:lineRule="auto"/>
        <w:ind w:left="567"/>
        <w:jc w:val="both"/>
        <w:rPr>
          <w:rFonts w:ascii="Arial" w:hAnsi="Arial" w:cs="Arial"/>
          <w:i/>
          <w:sz w:val="20"/>
          <w:szCs w:val="20"/>
        </w:rPr>
      </w:pPr>
      <w:r w:rsidRPr="000642E7">
        <w:rPr>
          <w:rFonts w:ascii="Arial" w:hAnsi="Arial" w:cs="Arial"/>
          <w:i/>
          <w:sz w:val="20"/>
          <w:szCs w:val="20"/>
        </w:rPr>
        <w:t xml:space="preserve">“‘[T]he practical rule adopted seems to be that amendments will always be allowed unless the application to amend is </w:t>
      </w:r>
      <w:r w:rsidRPr="000642E7">
        <w:rPr>
          <w:rFonts w:ascii="Arial" w:hAnsi="Arial" w:cs="Arial"/>
          <w:i/>
          <w:iCs/>
          <w:sz w:val="20"/>
          <w:szCs w:val="20"/>
        </w:rPr>
        <w:t xml:space="preserve">mala fide </w:t>
      </w:r>
      <w:r w:rsidRPr="000642E7">
        <w:rPr>
          <w:rFonts w:ascii="Arial" w:hAnsi="Arial" w:cs="Arial"/>
          <w:i/>
          <w:sz w:val="20"/>
          <w:szCs w:val="20"/>
        </w:rPr>
        <w:t>or unless such</w:t>
      </w:r>
      <w:r w:rsidR="006729E4">
        <w:rPr>
          <w:rFonts w:ascii="Arial" w:hAnsi="Arial" w:cs="Arial"/>
          <w:i/>
          <w:sz w:val="20"/>
          <w:szCs w:val="20"/>
        </w:rPr>
        <w:t xml:space="preserve"> </w:t>
      </w:r>
      <w:r w:rsidRPr="000642E7">
        <w:rPr>
          <w:rFonts w:ascii="Arial" w:hAnsi="Arial" w:cs="Arial"/>
          <w:i/>
          <w:sz w:val="20"/>
          <w:szCs w:val="20"/>
        </w:rPr>
        <w:t xml:space="preserve">amendment would cause an injustice to the other side which cannot be compensated by costs, or in other words unless the parties cannot be </w:t>
      </w:r>
      <w:r w:rsidR="00C51F37">
        <w:rPr>
          <w:rFonts w:ascii="Arial" w:hAnsi="Arial" w:cs="Arial"/>
          <w:i/>
          <w:sz w:val="20"/>
          <w:szCs w:val="20"/>
        </w:rPr>
        <w:t>put back</w:t>
      </w:r>
      <w:r w:rsidRPr="000642E7">
        <w:rPr>
          <w:rFonts w:ascii="Arial" w:hAnsi="Arial" w:cs="Arial"/>
          <w:i/>
          <w:sz w:val="20"/>
          <w:szCs w:val="20"/>
        </w:rPr>
        <w:t xml:space="preserve"> for the purposes of justice in the same position as they were when the pleading which it is sought to amend was filed.</w:t>
      </w:r>
      <w:r w:rsidR="006729E4">
        <w:rPr>
          <w:rFonts w:ascii="Arial" w:hAnsi="Arial" w:cs="Arial"/>
          <w:i/>
          <w:sz w:val="20"/>
          <w:szCs w:val="20"/>
        </w:rPr>
        <w:t>”</w:t>
      </w:r>
    </w:p>
    <w:p w:rsidR="004B596E" w:rsidRPr="006729E4" w:rsidRDefault="004B596E" w:rsidP="006729E4">
      <w:pPr>
        <w:autoSpaceDE w:val="0"/>
        <w:autoSpaceDN w:val="0"/>
        <w:adjustRightInd w:val="0"/>
        <w:spacing w:before="240" w:after="240" w:line="360" w:lineRule="auto"/>
        <w:ind w:left="567" w:hanging="567"/>
        <w:jc w:val="both"/>
        <w:rPr>
          <w:rFonts w:ascii="Arial" w:hAnsi="Arial" w:cs="Arial"/>
          <w:i/>
          <w:sz w:val="20"/>
          <w:szCs w:val="20"/>
        </w:rPr>
      </w:pPr>
      <w:r w:rsidRPr="000642E7">
        <w:rPr>
          <w:rFonts w:ascii="Arial" w:hAnsi="Arial" w:cs="Arial"/>
          <w:i/>
          <w:sz w:val="20"/>
          <w:szCs w:val="20"/>
        </w:rPr>
        <w:t xml:space="preserve"> </w:t>
      </w:r>
      <w:r w:rsidR="006729E4">
        <w:rPr>
          <w:rFonts w:ascii="Arial" w:hAnsi="Arial" w:cs="Arial"/>
        </w:rPr>
        <w:t>[7]</w:t>
      </w:r>
      <w:r w:rsidR="006729E4">
        <w:rPr>
          <w:rFonts w:ascii="Arial" w:hAnsi="Arial" w:cs="Arial"/>
        </w:rPr>
        <w:tab/>
      </w:r>
      <w:r w:rsidRPr="006729E4">
        <w:rPr>
          <w:rFonts w:ascii="Arial" w:hAnsi="Arial" w:cs="Arial"/>
        </w:rPr>
        <w:t>Where a party would be no worse off if the amendment were granted with a suitable order as to costs than if his adversary’s application or summons were dismissed unamended and proceedings were commenced afresh, there is no prejudice in granting the amendment: the mere loss of the opportunity of gaining time is not in law prejudice or injustice</w:t>
      </w:r>
      <w:r>
        <w:rPr>
          <w:rStyle w:val="FootnoteReference"/>
          <w:rFonts w:ascii="Arial" w:hAnsi="Arial" w:cs="Arial"/>
        </w:rPr>
        <w:footnoteReference w:id="4"/>
      </w:r>
      <w:r w:rsidRPr="006729E4">
        <w:rPr>
          <w:rFonts w:ascii="Arial" w:hAnsi="Arial" w:cs="Arial"/>
        </w:rPr>
        <w:t>.</w:t>
      </w:r>
    </w:p>
    <w:p w:rsidR="004B596E" w:rsidRDefault="004B596E" w:rsidP="004B596E">
      <w:pPr>
        <w:autoSpaceDE w:val="0"/>
        <w:autoSpaceDN w:val="0"/>
        <w:adjustRightInd w:val="0"/>
        <w:rPr>
          <w:rFonts w:ascii="Arial" w:hAnsi="Arial" w:cs="Arial"/>
        </w:rPr>
      </w:pPr>
    </w:p>
    <w:p w:rsidR="004B596E" w:rsidRPr="006729E4" w:rsidRDefault="006729E4" w:rsidP="006729E4">
      <w:pPr>
        <w:pStyle w:val="Heading2"/>
        <w:shd w:val="clear" w:color="auto" w:fill="FFFFFF"/>
        <w:spacing w:before="240" w:after="240" w:line="360" w:lineRule="auto"/>
        <w:ind w:left="567" w:hanging="567"/>
        <w:jc w:val="both"/>
        <w:rPr>
          <w:rFonts w:ascii="Arial" w:eastAsia="Times New Roman" w:hAnsi="Arial" w:cs="Arial"/>
          <w:color w:val="auto"/>
          <w:sz w:val="24"/>
          <w:szCs w:val="24"/>
          <w:lang w:eastAsia="en-ZA"/>
        </w:rPr>
      </w:pPr>
      <w:r w:rsidRPr="006729E4">
        <w:rPr>
          <w:rFonts w:ascii="Arial" w:hAnsi="Arial" w:cs="Arial"/>
          <w:color w:val="auto"/>
          <w:sz w:val="24"/>
          <w:szCs w:val="24"/>
        </w:rPr>
        <w:t>[8]</w:t>
      </w:r>
      <w:r w:rsidRPr="006729E4">
        <w:rPr>
          <w:rFonts w:ascii="Arial" w:hAnsi="Arial" w:cs="Arial"/>
          <w:color w:val="auto"/>
          <w:sz w:val="24"/>
          <w:szCs w:val="24"/>
        </w:rPr>
        <w:tab/>
      </w:r>
      <w:r w:rsidR="004B596E" w:rsidRPr="006729E4">
        <w:rPr>
          <w:rFonts w:ascii="Arial" w:hAnsi="Arial" w:cs="Arial"/>
          <w:i/>
          <w:color w:val="auto"/>
          <w:sz w:val="24"/>
          <w:szCs w:val="24"/>
        </w:rPr>
        <w:t>In Vinpro NPC v President of the Republic of South Africa and Others</w:t>
      </w:r>
      <w:r w:rsidR="004B596E" w:rsidRPr="006729E4">
        <w:rPr>
          <w:rFonts w:ascii="Arial" w:hAnsi="Arial" w:cs="Arial"/>
          <w:color w:val="auto"/>
          <w:sz w:val="24"/>
          <w:szCs w:val="24"/>
        </w:rPr>
        <w:t>,</w:t>
      </w:r>
      <w:r>
        <w:rPr>
          <w:rStyle w:val="FootnoteReference"/>
          <w:rFonts w:ascii="Arial" w:hAnsi="Arial" w:cs="Arial"/>
          <w:color w:val="auto"/>
          <w:sz w:val="24"/>
          <w:szCs w:val="24"/>
        </w:rPr>
        <w:footnoteReference w:id="5"/>
      </w:r>
      <w:r w:rsidR="004B596E" w:rsidRPr="006729E4">
        <w:rPr>
          <w:rFonts w:ascii="Arial" w:hAnsi="Arial" w:cs="Arial"/>
          <w:color w:val="auto"/>
          <w:sz w:val="24"/>
          <w:szCs w:val="24"/>
        </w:rPr>
        <w:t xml:space="preserve"> the full bench of the Western Cape</w:t>
      </w:r>
      <w:r w:rsidR="00C51F37">
        <w:rPr>
          <w:rFonts w:ascii="Arial" w:hAnsi="Arial" w:cs="Arial"/>
          <w:color w:val="auto"/>
          <w:sz w:val="24"/>
          <w:szCs w:val="24"/>
        </w:rPr>
        <w:t xml:space="preserve"> Court</w:t>
      </w:r>
      <w:r w:rsidR="004B596E" w:rsidRPr="006729E4">
        <w:rPr>
          <w:rFonts w:ascii="Arial" w:hAnsi="Arial" w:cs="Arial"/>
          <w:color w:val="auto"/>
          <w:sz w:val="24"/>
          <w:szCs w:val="24"/>
        </w:rPr>
        <w:t xml:space="preserve"> summarised the principles relating to amendments as follows:</w:t>
      </w:r>
    </w:p>
    <w:p w:rsidR="004B596E" w:rsidRPr="000642E7" w:rsidRDefault="004B596E" w:rsidP="006729E4">
      <w:pPr>
        <w:pStyle w:val="western"/>
        <w:shd w:val="clear" w:color="auto" w:fill="FFFFFF"/>
        <w:spacing w:before="144" w:beforeAutospacing="0" w:after="288" w:afterAutospacing="0" w:line="360" w:lineRule="atLeast"/>
        <w:ind w:left="567"/>
        <w:jc w:val="both"/>
        <w:rPr>
          <w:rFonts w:ascii="Arial" w:hAnsi="Arial" w:cs="Arial"/>
          <w:i/>
          <w:color w:val="242121"/>
          <w:sz w:val="20"/>
          <w:szCs w:val="20"/>
        </w:rPr>
      </w:pPr>
      <w:r>
        <w:rPr>
          <w:rFonts w:ascii="Arial" w:hAnsi="Arial" w:cs="Arial"/>
        </w:rPr>
        <w:t>“</w:t>
      </w:r>
      <w:r w:rsidR="006729E4">
        <w:rPr>
          <w:rFonts w:ascii="Arial" w:hAnsi="Arial" w:cs="Arial"/>
          <w:i/>
          <w:color w:val="242121"/>
          <w:sz w:val="20"/>
          <w:szCs w:val="20"/>
        </w:rPr>
        <w:t>[25]</w:t>
      </w:r>
      <w:r>
        <w:rPr>
          <w:color w:val="242121"/>
          <w:sz w:val="27"/>
          <w:szCs w:val="27"/>
        </w:rPr>
        <w:t xml:space="preserve"> </w:t>
      </w:r>
      <w:r w:rsidRPr="000642E7">
        <w:rPr>
          <w:rFonts w:ascii="Arial" w:hAnsi="Arial" w:cs="Arial"/>
          <w:i/>
          <w:color w:val="242121"/>
          <w:sz w:val="20"/>
          <w:szCs w:val="20"/>
        </w:rPr>
        <w:t>On this score, it is trite law:  that a court is vested with a discretion as to whether to grant or refuse an amendment:  that an amendment cannot be granted for the mere asking thereof:  that some explanation must be offered therefor: that this explanation must be in the founding affidavit filed in support of the amendment application:  that if the amendment is not sought timeously, some reason must be given for the delay:  that that party seeking the amendment must show </w:t>
      </w:r>
      <w:r w:rsidRPr="000642E7">
        <w:rPr>
          <w:rFonts w:ascii="Arial" w:hAnsi="Arial" w:cs="Arial"/>
          <w:i/>
          <w:iCs/>
          <w:color w:val="242121"/>
          <w:sz w:val="20"/>
          <w:szCs w:val="20"/>
        </w:rPr>
        <w:t>prima facie</w:t>
      </w:r>
      <w:r w:rsidRPr="000642E7">
        <w:rPr>
          <w:rFonts w:ascii="Arial" w:hAnsi="Arial" w:cs="Arial"/>
          <w:i/>
          <w:color w:val="242121"/>
          <w:sz w:val="20"/>
          <w:szCs w:val="20"/>
        </w:rPr>
        <w:t> that the amendment has something deserving of consideration:  that the party seeking the amendment must not be mala fide:  that the amendment must not be the cause of an injustice to the other side which cannot be compensated by costs:  that the amendment should not be refused simply to punish the applicant for neglect and that mere loss of time is no reason, in itself, for refusing the application.”</w:t>
      </w:r>
    </w:p>
    <w:p w:rsidR="006729E4" w:rsidRPr="005C3F28" w:rsidRDefault="006729E4" w:rsidP="006729E4">
      <w:pPr>
        <w:spacing w:before="240" w:after="240" w:line="360" w:lineRule="auto"/>
        <w:ind w:left="567" w:hanging="567"/>
        <w:jc w:val="both"/>
        <w:rPr>
          <w:rFonts w:ascii="Arial" w:hAnsi="Arial" w:cs="Arial"/>
          <w:color w:val="000000"/>
        </w:rPr>
      </w:pPr>
      <w:r>
        <w:rPr>
          <w:rFonts w:ascii="Arial" w:hAnsi="Arial" w:cs="Arial"/>
          <w:color w:val="000000"/>
        </w:rPr>
        <w:t>[9]</w:t>
      </w:r>
      <w:r>
        <w:rPr>
          <w:rFonts w:ascii="Arial" w:hAnsi="Arial" w:cs="Arial"/>
          <w:color w:val="000000"/>
        </w:rPr>
        <w:tab/>
      </w:r>
      <w:r w:rsidR="004B596E" w:rsidRPr="006729E4">
        <w:rPr>
          <w:rFonts w:ascii="Arial" w:hAnsi="Arial" w:cs="Arial"/>
          <w:color w:val="000000"/>
        </w:rPr>
        <w:t xml:space="preserve">A court is not obliged to consider prejudice to the other side where an amendment to a pleading retracting an incorrectly admitted legal consequence is being sought, for only the law would be prejudiced if cases were to be decided </w:t>
      </w:r>
      <w:r w:rsidR="004B596E" w:rsidRPr="006729E4">
        <w:rPr>
          <w:rFonts w:ascii="Arial" w:hAnsi="Arial" w:cs="Arial"/>
          <w:color w:val="000000"/>
        </w:rPr>
        <w:lastRenderedPageBreak/>
        <w:t>on what parties might in ignorance have agreed the law to be.</w:t>
      </w:r>
      <w:r w:rsidR="004B596E" w:rsidRPr="006729E4">
        <w:rPr>
          <w:rFonts w:ascii="Arial" w:hAnsi="Arial" w:cs="Arial"/>
          <w:color w:val="000000"/>
        </w:rPr>
        <w:tab/>
        <w:t>The discretion of the court to relieve a party from the consequences of an admission made in error in a pleading should not be exercised in any other way than by granting an amendment of that pleading</w:t>
      </w:r>
      <w:r w:rsidR="004B596E" w:rsidRPr="005C3F28">
        <w:rPr>
          <w:rFonts w:ascii="Arial" w:hAnsi="Arial" w:cs="Arial"/>
          <w:color w:val="000000"/>
        </w:rPr>
        <w:t>.</w:t>
      </w:r>
    </w:p>
    <w:p w:rsidR="004B596E" w:rsidRPr="00FE3F04" w:rsidRDefault="006729E4" w:rsidP="006729E4">
      <w:pPr>
        <w:spacing w:before="240" w:after="240" w:line="360" w:lineRule="auto"/>
        <w:ind w:left="567" w:hanging="567"/>
        <w:jc w:val="both"/>
        <w:rPr>
          <w:rFonts w:ascii="Arial" w:hAnsi="Arial" w:cs="Arial"/>
          <w:i/>
          <w:color w:val="000000"/>
          <w:sz w:val="20"/>
          <w:szCs w:val="20"/>
          <w:lang w:eastAsia="en-ZA"/>
        </w:rPr>
      </w:pPr>
      <w:r w:rsidRPr="005C3F28">
        <w:rPr>
          <w:rFonts w:ascii="Arial" w:hAnsi="Arial" w:cs="Arial"/>
          <w:color w:val="000000"/>
        </w:rPr>
        <w:t>[10]</w:t>
      </w:r>
      <w:r w:rsidRPr="005C3F28">
        <w:rPr>
          <w:rFonts w:ascii="Arial" w:hAnsi="Arial" w:cs="Arial"/>
          <w:color w:val="000000"/>
        </w:rPr>
        <w:tab/>
      </w:r>
      <w:r w:rsidR="004B596E" w:rsidRPr="005C3F28">
        <w:rPr>
          <w:rFonts w:ascii="Arial" w:hAnsi="Arial" w:cs="Arial"/>
          <w:i/>
        </w:rPr>
        <w:t>In</w:t>
      </w:r>
      <w:r w:rsidR="004B596E" w:rsidRPr="006729E4">
        <w:rPr>
          <w:rFonts w:ascii="Arial" w:hAnsi="Arial" w:cs="Arial"/>
          <w:b/>
          <w:bCs/>
          <w:i/>
          <w:color w:val="000000"/>
          <w:lang w:eastAsia="en-ZA"/>
        </w:rPr>
        <w:t xml:space="preserve"> </w:t>
      </w:r>
      <w:r w:rsidR="004B596E" w:rsidRPr="006729E4">
        <w:rPr>
          <w:rFonts w:ascii="Arial" w:hAnsi="Arial" w:cs="Arial"/>
          <w:bCs/>
          <w:i/>
          <w:color w:val="000000"/>
          <w:lang w:eastAsia="en-ZA"/>
        </w:rPr>
        <w:t>POTTERS MILL INVESTMENTS 14 (PTY) LTD v ABE SWERSKY &amp; ASSOCIATES AND OTHERS</w:t>
      </w:r>
      <w:r w:rsidR="004B596E" w:rsidRPr="00D7041C">
        <w:rPr>
          <w:rStyle w:val="FootnoteReference"/>
          <w:rFonts w:ascii="Arial" w:hAnsi="Arial" w:cs="Arial"/>
          <w:bCs/>
          <w:i/>
          <w:lang w:eastAsia="en-ZA"/>
        </w:rPr>
        <w:footnoteReference w:id="6"/>
      </w:r>
      <w:r w:rsidR="00D7041C">
        <w:rPr>
          <w:rFonts w:ascii="Arial" w:hAnsi="Arial" w:cs="Arial"/>
          <w:bCs/>
          <w:i/>
          <w:color w:val="000000"/>
          <w:lang w:eastAsia="en-ZA"/>
        </w:rPr>
        <w:t xml:space="preserve"> it was held that “</w:t>
      </w:r>
      <w:r w:rsidR="004B596E" w:rsidRPr="00D7041C">
        <w:rPr>
          <w:rFonts w:ascii="Arial" w:hAnsi="Arial" w:cs="Arial"/>
          <w:i/>
          <w:color w:val="000000"/>
          <w:sz w:val="20"/>
          <w:szCs w:val="20"/>
          <w:lang w:eastAsia="en-ZA"/>
        </w:rPr>
        <w:t>A</w:t>
      </w:r>
      <w:r w:rsidR="004B596E" w:rsidRPr="00FE3F04">
        <w:rPr>
          <w:rFonts w:ascii="Arial" w:hAnsi="Arial" w:cs="Arial"/>
          <w:i/>
          <w:color w:val="000000"/>
          <w:sz w:val="20"/>
          <w:szCs w:val="20"/>
          <w:lang w:eastAsia="en-ZA"/>
        </w:rPr>
        <w:t xml:space="preserve"> court was not obliged to consider prejudice to the other side where an amendment retracting an incorrectly admitted legal consequence was being sought, for only the law would be prejudiced if cases were to be decided on what parties might in ignorance have agreed the law to be.</w:t>
      </w:r>
      <w:r w:rsidR="00FE3F04" w:rsidRPr="00FE3F04">
        <w:rPr>
          <w:rFonts w:ascii="Arial" w:hAnsi="Arial" w:cs="Arial"/>
          <w:i/>
          <w:color w:val="000000"/>
          <w:sz w:val="20"/>
          <w:szCs w:val="20"/>
          <w:lang w:eastAsia="en-ZA"/>
        </w:rPr>
        <w:t>”</w:t>
      </w:r>
    </w:p>
    <w:p w:rsidR="00FE3F04" w:rsidRDefault="00FE3F04" w:rsidP="00FE3F04">
      <w:pPr>
        <w:autoSpaceDE w:val="0"/>
        <w:autoSpaceDN w:val="0"/>
        <w:adjustRightInd w:val="0"/>
        <w:spacing w:before="240" w:after="240" w:line="360" w:lineRule="auto"/>
        <w:ind w:left="567" w:hanging="567"/>
        <w:jc w:val="both"/>
        <w:rPr>
          <w:rFonts w:ascii="Arial" w:hAnsi="Arial" w:cs="Arial"/>
        </w:rPr>
      </w:pPr>
      <w:r>
        <w:rPr>
          <w:rFonts w:ascii="Arial" w:hAnsi="Arial" w:cs="Arial"/>
        </w:rPr>
        <w:t>[11]</w:t>
      </w:r>
      <w:r>
        <w:rPr>
          <w:rFonts w:ascii="Arial" w:hAnsi="Arial" w:cs="Arial"/>
        </w:rPr>
        <w:tab/>
      </w:r>
      <w:r w:rsidR="004B596E" w:rsidRPr="002E73C0">
        <w:rPr>
          <w:rFonts w:ascii="Arial" w:hAnsi="Arial" w:cs="Arial"/>
        </w:rPr>
        <w:t>The applicant has to prove that he did not delay the application after he</w:t>
      </w:r>
      <w:r>
        <w:rPr>
          <w:rFonts w:ascii="Arial" w:hAnsi="Arial" w:cs="Arial"/>
        </w:rPr>
        <w:t xml:space="preserve"> </w:t>
      </w:r>
      <w:r w:rsidR="004B596E" w:rsidRPr="002E73C0">
        <w:rPr>
          <w:rFonts w:ascii="Arial" w:hAnsi="Arial" w:cs="Arial"/>
        </w:rPr>
        <w:t>became aware of the material upon which he proposes to rely. He must explain the reason for the amendment a</w:t>
      </w:r>
      <w:r w:rsidR="004B596E">
        <w:rPr>
          <w:rFonts w:ascii="Arial" w:hAnsi="Arial" w:cs="Arial"/>
        </w:rPr>
        <w:t xml:space="preserve">nd show prima facie that he has </w:t>
      </w:r>
      <w:r w:rsidR="004B596E" w:rsidRPr="002E73C0">
        <w:rPr>
          <w:rFonts w:ascii="Arial" w:hAnsi="Arial" w:cs="Arial"/>
        </w:rPr>
        <w:t>something deserving of consideration: a triable issue.</w:t>
      </w:r>
      <w:r w:rsidR="005C3F28">
        <w:rPr>
          <w:rFonts w:ascii="Arial" w:hAnsi="Arial" w:cs="Arial"/>
        </w:rPr>
        <w:t xml:space="preserve"> </w:t>
      </w:r>
      <w:r w:rsidR="004B596E" w:rsidRPr="002E73C0">
        <w:rPr>
          <w:rFonts w:ascii="Arial" w:hAnsi="Arial" w:cs="Arial"/>
        </w:rPr>
        <w:t>Three</w:t>
      </w:r>
      <w:r w:rsidR="005C3F28">
        <w:rPr>
          <w:rFonts w:ascii="Arial" w:hAnsi="Arial" w:cs="Arial"/>
        </w:rPr>
        <w:t xml:space="preserve"> cases</w:t>
      </w:r>
      <w:r w:rsidR="004B596E" w:rsidRPr="002E73C0">
        <w:rPr>
          <w:rFonts w:ascii="Arial" w:hAnsi="Arial" w:cs="Arial"/>
        </w:rPr>
        <w:t xml:space="preserve"> are currently pending between the parties under case numbers</w:t>
      </w:r>
      <w:r w:rsidR="004B596E">
        <w:rPr>
          <w:rFonts w:ascii="Verdana" w:hAnsi="Verdana" w:cs="Verdana"/>
          <w:sz w:val="15"/>
          <w:szCs w:val="15"/>
        </w:rPr>
        <w:t xml:space="preserve"> </w:t>
      </w:r>
      <w:r w:rsidR="004B596E">
        <w:rPr>
          <w:rFonts w:ascii="Arial" w:hAnsi="Arial" w:cs="Arial"/>
        </w:rPr>
        <w:t>879/2019, 8414/2019 and 2972/2019. The first two have been consolidated and were set down for</w:t>
      </w:r>
      <w:r w:rsidR="005C3F28">
        <w:rPr>
          <w:rFonts w:ascii="Arial" w:hAnsi="Arial" w:cs="Arial"/>
        </w:rPr>
        <w:t xml:space="preserve"> hearing on</w:t>
      </w:r>
      <w:r w:rsidR="004B596E">
        <w:rPr>
          <w:rFonts w:ascii="Arial" w:hAnsi="Arial" w:cs="Arial"/>
        </w:rPr>
        <w:t xml:space="preserve"> 23 May 2023. The third was set down for trial on 11 April 2023 but had to be postponed to October 2023 as the applicant filed an intention to amend two days be</w:t>
      </w:r>
      <w:r w:rsidR="005C3F28">
        <w:rPr>
          <w:rFonts w:ascii="Arial" w:hAnsi="Arial" w:cs="Arial"/>
        </w:rPr>
        <w:t>fore the start of the trial. That</w:t>
      </w:r>
      <w:r w:rsidR="004B596E">
        <w:rPr>
          <w:rFonts w:ascii="Arial" w:hAnsi="Arial" w:cs="Arial"/>
        </w:rPr>
        <w:t xml:space="preserve"> amendment sought to introduce the same special plea as is sought in the present cases.</w:t>
      </w:r>
      <w:r>
        <w:rPr>
          <w:rFonts w:ascii="Arial" w:hAnsi="Arial" w:cs="Arial"/>
        </w:rPr>
        <w:t xml:space="preserve"> </w:t>
      </w:r>
      <w:r w:rsidR="004B596E">
        <w:rPr>
          <w:rFonts w:ascii="Arial" w:hAnsi="Arial" w:cs="Arial"/>
        </w:rPr>
        <w:t xml:space="preserve">The tardiness </w:t>
      </w:r>
      <w:r w:rsidR="005C3F28">
        <w:rPr>
          <w:rFonts w:ascii="Arial" w:hAnsi="Arial" w:cs="Arial"/>
        </w:rPr>
        <w:t xml:space="preserve">on the papers </w:t>
      </w:r>
      <w:r w:rsidR="004B596E">
        <w:rPr>
          <w:rFonts w:ascii="Arial" w:hAnsi="Arial" w:cs="Arial"/>
        </w:rPr>
        <w:t>is inescapable but the d</w:t>
      </w:r>
      <w:r w:rsidR="004B596E" w:rsidRPr="00AB4396">
        <w:rPr>
          <w:rFonts w:ascii="Arial" w:hAnsi="Arial" w:cs="Arial"/>
        </w:rPr>
        <w:t>elay in b</w:t>
      </w:r>
      <w:r w:rsidR="005C3F28">
        <w:rPr>
          <w:rFonts w:ascii="Arial" w:hAnsi="Arial" w:cs="Arial"/>
        </w:rPr>
        <w:t xml:space="preserve">ringing forward an amendment is, </w:t>
      </w:r>
      <w:r w:rsidR="004B596E" w:rsidRPr="00AB4396">
        <w:rPr>
          <w:rFonts w:ascii="Arial" w:hAnsi="Arial" w:cs="Arial"/>
        </w:rPr>
        <w:t>in itself, in the absence of prejudice, no ground for refusing an amendment. In the</w:t>
      </w:r>
      <w:r>
        <w:rPr>
          <w:rFonts w:ascii="Arial" w:hAnsi="Arial" w:cs="Arial"/>
        </w:rPr>
        <w:t xml:space="preserve"> </w:t>
      </w:r>
      <w:r w:rsidR="004B596E" w:rsidRPr="00AB4396">
        <w:rPr>
          <w:rFonts w:ascii="Arial" w:hAnsi="Arial" w:cs="Arial"/>
        </w:rPr>
        <w:t>absence of</w:t>
      </w:r>
      <w:r>
        <w:rPr>
          <w:rFonts w:ascii="Arial" w:hAnsi="Arial" w:cs="Arial"/>
        </w:rPr>
        <w:t xml:space="preserve"> </w:t>
      </w:r>
      <w:r w:rsidR="004B596E" w:rsidRPr="00AB4396">
        <w:rPr>
          <w:rFonts w:ascii="Arial" w:hAnsi="Arial" w:cs="Arial"/>
        </w:rPr>
        <w:t>prejudice to the other party,</w:t>
      </w:r>
      <w:r w:rsidR="005C3F28">
        <w:rPr>
          <w:rFonts w:ascii="Arial" w:hAnsi="Arial" w:cs="Arial"/>
        </w:rPr>
        <w:t xml:space="preserve"> leave to amend may be granted </w:t>
      </w:r>
      <w:r w:rsidR="004B596E" w:rsidRPr="00AB4396">
        <w:rPr>
          <w:rFonts w:ascii="Arial" w:hAnsi="Arial" w:cs="Arial"/>
        </w:rPr>
        <w:t xml:space="preserve">at any stage, however careless the </w:t>
      </w:r>
      <w:r w:rsidR="004B596E">
        <w:rPr>
          <w:rFonts w:ascii="Arial" w:hAnsi="Arial" w:cs="Arial"/>
        </w:rPr>
        <w:t xml:space="preserve">mistake or omission may have been, and however late </w:t>
      </w:r>
      <w:r w:rsidR="004B596E" w:rsidRPr="00AB4396">
        <w:rPr>
          <w:rFonts w:ascii="Arial" w:hAnsi="Arial" w:cs="Arial"/>
        </w:rPr>
        <w:t>the application for amendment</w:t>
      </w:r>
      <w:r w:rsidR="004B596E">
        <w:rPr>
          <w:rFonts w:ascii="Arial" w:hAnsi="Arial" w:cs="Arial"/>
        </w:rPr>
        <w:t xml:space="preserve"> may be</w:t>
      </w:r>
      <w:r w:rsidR="004B596E" w:rsidRPr="00AB4396">
        <w:rPr>
          <w:rFonts w:ascii="Arial" w:hAnsi="Arial" w:cs="Arial"/>
        </w:rPr>
        <w:t>.</w:t>
      </w:r>
      <w:r w:rsidR="004B596E">
        <w:rPr>
          <w:rStyle w:val="FootnoteReference"/>
          <w:rFonts w:ascii="Arial" w:hAnsi="Arial" w:cs="Arial"/>
        </w:rPr>
        <w:footnoteReference w:id="7"/>
      </w:r>
    </w:p>
    <w:p w:rsidR="009B17DD" w:rsidRDefault="00FE3F04" w:rsidP="009B17DD">
      <w:pPr>
        <w:autoSpaceDE w:val="0"/>
        <w:autoSpaceDN w:val="0"/>
        <w:adjustRightInd w:val="0"/>
        <w:spacing w:before="240" w:after="240" w:line="360" w:lineRule="auto"/>
        <w:ind w:left="567" w:hanging="567"/>
        <w:jc w:val="both"/>
        <w:rPr>
          <w:rFonts w:ascii="Arial" w:hAnsi="Arial" w:cs="Arial"/>
          <w:u w:val="single"/>
        </w:rPr>
      </w:pPr>
      <w:r>
        <w:rPr>
          <w:rFonts w:ascii="Arial" w:hAnsi="Arial" w:cs="Arial"/>
        </w:rPr>
        <w:t>[12]</w:t>
      </w:r>
      <w:r>
        <w:rPr>
          <w:rFonts w:ascii="Arial" w:hAnsi="Arial" w:cs="Arial"/>
        </w:rPr>
        <w:tab/>
      </w:r>
      <w:r w:rsidR="004B596E">
        <w:rPr>
          <w:rFonts w:ascii="Arial" w:hAnsi="Arial" w:cs="Arial"/>
        </w:rPr>
        <w:t>Having</w:t>
      </w:r>
      <w:r w:rsidR="005C3F28">
        <w:rPr>
          <w:rFonts w:ascii="Arial" w:hAnsi="Arial" w:cs="Arial"/>
        </w:rPr>
        <w:t xml:space="preserve"> looked at the long history of </w:t>
      </w:r>
      <w:r w:rsidR="004B596E">
        <w:rPr>
          <w:rFonts w:ascii="Arial" w:hAnsi="Arial" w:cs="Arial"/>
        </w:rPr>
        <w:t xml:space="preserve">the </w:t>
      </w:r>
      <w:r w:rsidR="005C3F28" w:rsidRPr="005C3F28">
        <w:rPr>
          <w:rFonts w:ascii="Arial" w:hAnsi="Arial" w:cs="Arial"/>
          <w:i/>
          <w:sz w:val="20"/>
          <w:szCs w:val="20"/>
        </w:rPr>
        <w:t>“</w:t>
      </w:r>
      <w:r w:rsidR="004B596E" w:rsidRPr="005C3F28">
        <w:rPr>
          <w:rFonts w:ascii="Arial" w:hAnsi="Arial" w:cs="Arial"/>
          <w:i/>
          <w:sz w:val="20"/>
          <w:szCs w:val="20"/>
        </w:rPr>
        <w:t>thrust and parry”</w:t>
      </w:r>
      <w:r w:rsidR="004B596E">
        <w:rPr>
          <w:rFonts w:ascii="Arial" w:hAnsi="Arial" w:cs="Arial"/>
        </w:rPr>
        <w:t xml:space="preserve"> between the parties</w:t>
      </w:r>
      <w:r w:rsidR="005C3F28">
        <w:rPr>
          <w:rFonts w:ascii="Arial" w:hAnsi="Arial" w:cs="Arial"/>
        </w:rPr>
        <w:t xml:space="preserve"> in the various cases, I find </w:t>
      </w:r>
      <w:r w:rsidR="004B596E">
        <w:rPr>
          <w:rFonts w:ascii="Arial" w:hAnsi="Arial" w:cs="Arial"/>
        </w:rPr>
        <w:t>that the applicant does have a triable issue which is deserved of consideration and full ventilation.</w:t>
      </w:r>
      <w:r w:rsidR="005C3F28">
        <w:rPr>
          <w:rFonts w:ascii="Arial" w:hAnsi="Arial" w:cs="Arial"/>
        </w:rPr>
        <w:t xml:space="preserve"> The respondent sought the dismissal of the application with a punitive costs order. The applicant conceded </w:t>
      </w:r>
      <w:r w:rsidR="005C3F28">
        <w:rPr>
          <w:rFonts w:ascii="Arial" w:hAnsi="Arial" w:cs="Arial"/>
        </w:rPr>
        <w:lastRenderedPageBreak/>
        <w:t xml:space="preserve">that he was liable for the payment of the wasted costs brought about by the late filling of the application. </w:t>
      </w:r>
    </w:p>
    <w:p w:rsidR="004B596E" w:rsidRPr="00E34260" w:rsidRDefault="009B17DD" w:rsidP="00E34260">
      <w:pPr>
        <w:autoSpaceDE w:val="0"/>
        <w:autoSpaceDN w:val="0"/>
        <w:adjustRightInd w:val="0"/>
        <w:spacing w:before="240" w:after="240" w:line="360" w:lineRule="auto"/>
        <w:ind w:left="567" w:hanging="567"/>
        <w:rPr>
          <w:rFonts w:ascii="Arial" w:hAnsi="Arial" w:cs="Arial"/>
        </w:rPr>
      </w:pPr>
      <w:r w:rsidRPr="009B17DD">
        <w:rPr>
          <w:rFonts w:ascii="Arial" w:hAnsi="Arial" w:cs="Arial"/>
        </w:rPr>
        <w:t>[13]</w:t>
      </w:r>
      <w:r w:rsidR="00E34260">
        <w:rPr>
          <w:rFonts w:ascii="Arial" w:hAnsi="Arial" w:cs="Arial"/>
        </w:rPr>
        <w:tab/>
        <w:t>The relief sought in Part B reads as follows:</w:t>
      </w:r>
      <w:r w:rsidR="004B596E" w:rsidRPr="009B17DD">
        <w:rPr>
          <w:rFonts w:ascii="Arial" w:hAnsi="Arial" w:cs="Arial"/>
          <w:u w:val="single"/>
        </w:rPr>
        <w:t xml:space="preserve"> </w:t>
      </w:r>
    </w:p>
    <w:p w:rsidR="00E34260" w:rsidRDefault="00E34260" w:rsidP="00E34260">
      <w:pPr>
        <w:pStyle w:val="ListParagraph"/>
        <w:autoSpaceDE w:val="0"/>
        <w:autoSpaceDN w:val="0"/>
        <w:adjustRightInd w:val="0"/>
        <w:spacing w:before="240" w:after="240" w:line="360" w:lineRule="auto"/>
        <w:ind w:left="1134" w:hanging="567"/>
        <w:jc w:val="both"/>
        <w:rPr>
          <w:rFonts w:ascii="Arial" w:hAnsi="Arial" w:cs="Arial"/>
          <w:i/>
          <w:sz w:val="20"/>
          <w:szCs w:val="20"/>
        </w:rPr>
      </w:pPr>
      <w:r>
        <w:rPr>
          <w:rFonts w:ascii="Arial" w:hAnsi="Arial" w:cs="Arial"/>
          <w:i/>
          <w:sz w:val="20"/>
          <w:szCs w:val="20"/>
        </w:rPr>
        <w:t xml:space="preserve">“1. </w:t>
      </w:r>
      <w:r>
        <w:rPr>
          <w:rFonts w:ascii="Arial" w:hAnsi="Arial" w:cs="Arial"/>
          <w:i/>
          <w:sz w:val="20"/>
          <w:szCs w:val="20"/>
        </w:rPr>
        <w:tab/>
      </w:r>
      <w:r w:rsidR="00565D86" w:rsidRPr="00E34260">
        <w:rPr>
          <w:rFonts w:ascii="Arial" w:hAnsi="Arial" w:cs="Arial"/>
          <w:i/>
          <w:sz w:val="20"/>
          <w:szCs w:val="20"/>
        </w:rPr>
        <w:t>Condonation be granted for non-compliance with process, form and time periods for service, insofar as relevant</w:t>
      </w:r>
      <w:r w:rsidR="005C3F28">
        <w:rPr>
          <w:rFonts w:ascii="Arial" w:hAnsi="Arial" w:cs="Arial"/>
          <w:i/>
          <w:sz w:val="20"/>
          <w:szCs w:val="20"/>
        </w:rPr>
        <w:t>.</w:t>
      </w:r>
    </w:p>
    <w:p w:rsidR="00E34260" w:rsidRDefault="00E34260" w:rsidP="00E34260">
      <w:pPr>
        <w:pStyle w:val="ListParagraph"/>
        <w:autoSpaceDE w:val="0"/>
        <w:autoSpaceDN w:val="0"/>
        <w:adjustRightInd w:val="0"/>
        <w:spacing w:before="240" w:after="240" w:line="360" w:lineRule="auto"/>
        <w:ind w:left="1134" w:hanging="567"/>
        <w:jc w:val="both"/>
        <w:rPr>
          <w:rFonts w:ascii="Arial" w:hAnsi="Arial" w:cs="Arial"/>
          <w:i/>
          <w:sz w:val="20"/>
          <w:szCs w:val="20"/>
        </w:rPr>
      </w:pPr>
      <w:r>
        <w:rPr>
          <w:rFonts w:ascii="Arial" w:hAnsi="Arial" w:cs="Arial"/>
          <w:i/>
          <w:sz w:val="20"/>
          <w:szCs w:val="20"/>
        </w:rPr>
        <w:t xml:space="preserve">2. </w:t>
      </w:r>
      <w:r>
        <w:rPr>
          <w:rFonts w:ascii="Arial" w:hAnsi="Arial" w:cs="Arial"/>
          <w:i/>
          <w:sz w:val="20"/>
          <w:szCs w:val="20"/>
        </w:rPr>
        <w:tab/>
      </w:r>
      <w:r w:rsidR="00565D86" w:rsidRPr="00E34260">
        <w:rPr>
          <w:rFonts w:ascii="Arial" w:hAnsi="Arial" w:cs="Arial"/>
          <w:i/>
          <w:sz w:val="20"/>
          <w:szCs w:val="20"/>
        </w:rPr>
        <w:t>The respondent immediately makes payment to the applicant, in casu, of the monthly interest earned on the investment of the applicant’s pension benefit, the amount of such investment being R 19, 739, 733.41, at the Money Market rate of return applicable to the relevant Money Market account, maintained by the Fund’s administrators from time to time for purpose of holding the investment of the applicant’s pension benefit, for the months of November 2022, December 2022, January 2023, February 2023, March 2023, April 2023.</w:t>
      </w:r>
    </w:p>
    <w:p w:rsidR="00E34260" w:rsidRDefault="00E34260" w:rsidP="00E34260">
      <w:pPr>
        <w:pStyle w:val="ListParagraph"/>
        <w:autoSpaceDE w:val="0"/>
        <w:autoSpaceDN w:val="0"/>
        <w:adjustRightInd w:val="0"/>
        <w:spacing w:before="240" w:after="240" w:line="360" w:lineRule="auto"/>
        <w:ind w:left="1134" w:hanging="567"/>
        <w:jc w:val="both"/>
        <w:rPr>
          <w:rFonts w:ascii="Arial" w:hAnsi="Arial" w:cs="Arial"/>
          <w:i/>
          <w:sz w:val="20"/>
          <w:szCs w:val="20"/>
        </w:rPr>
      </w:pPr>
      <w:r>
        <w:rPr>
          <w:rFonts w:ascii="Arial" w:hAnsi="Arial" w:cs="Arial"/>
          <w:i/>
          <w:sz w:val="20"/>
          <w:szCs w:val="20"/>
        </w:rPr>
        <w:t>3.</w:t>
      </w:r>
      <w:r>
        <w:rPr>
          <w:rFonts w:ascii="Arial" w:hAnsi="Arial" w:cs="Arial"/>
          <w:i/>
          <w:sz w:val="20"/>
          <w:szCs w:val="20"/>
        </w:rPr>
        <w:tab/>
      </w:r>
      <w:r w:rsidR="00565D86" w:rsidRPr="00E34260">
        <w:rPr>
          <w:rFonts w:ascii="Arial" w:hAnsi="Arial" w:cs="Arial"/>
          <w:i/>
          <w:sz w:val="20"/>
          <w:szCs w:val="20"/>
        </w:rPr>
        <w:t>In the event of the respondent failing or refusing to immediately make payment of the amounts in terms of paragraph 2 above, the trial stands down until payment of the aforesaid amount</w:t>
      </w:r>
      <w:r w:rsidR="005C3F28">
        <w:rPr>
          <w:rFonts w:ascii="Arial" w:hAnsi="Arial" w:cs="Arial"/>
          <w:i/>
          <w:sz w:val="20"/>
          <w:szCs w:val="20"/>
        </w:rPr>
        <w:t>s</w:t>
      </w:r>
      <w:r w:rsidR="00565D86" w:rsidRPr="00E34260">
        <w:rPr>
          <w:rFonts w:ascii="Arial" w:hAnsi="Arial" w:cs="Arial"/>
          <w:i/>
          <w:sz w:val="20"/>
          <w:szCs w:val="20"/>
        </w:rPr>
        <w:t xml:space="preserve"> have been made.</w:t>
      </w:r>
    </w:p>
    <w:p w:rsidR="00E34260" w:rsidRDefault="00E34260" w:rsidP="00E34260">
      <w:pPr>
        <w:pStyle w:val="ListParagraph"/>
        <w:autoSpaceDE w:val="0"/>
        <w:autoSpaceDN w:val="0"/>
        <w:adjustRightInd w:val="0"/>
        <w:spacing w:before="240" w:after="240" w:line="360" w:lineRule="auto"/>
        <w:ind w:left="1134" w:hanging="567"/>
        <w:jc w:val="both"/>
        <w:rPr>
          <w:rFonts w:ascii="Arial" w:hAnsi="Arial" w:cs="Arial"/>
          <w:i/>
          <w:sz w:val="20"/>
          <w:szCs w:val="20"/>
        </w:rPr>
      </w:pPr>
      <w:r>
        <w:rPr>
          <w:rFonts w:ascii="Arial" w:hAnsi="Arial" w:cs="Arial"/>
          <w:i/>
          <w:sz w:val="20"/>
          <w:szCs w:val="20"/>
        </w:rPr>
        <w:t>4.</w:t>
      </w:r>
      <w:r>
        <w:rPr>
          <w:rFonts w:ascii="Arial" w:hAnsi="Arial" w:cs="Arial"/>
          <w:i/>
          <w:sz w:val="20"/>
          <w:szCs w:val="20"/>
        </w:rPr>
        <w:tab/>
      </w:r>
      <w:r w:rsidR="00565D86" w:rsidRPr="00E34260">
        <w:rPr>
          <w:rFonts w:ascii="Arial" w:hAnsi="Arial" w:cs="Arial"/>
          <w:i/>
          <w:sz w:val="20"/>
          <w:szCs w:val="20"/>
        </w:rPr>
        <w:t>The respondent be ordered to pay the aforesaid monthly interest in terms of the court order punctually to the applicant.</w:t>
      </w:r>
    </w:p>
    <w:p w:rsidR="00E34260" w:rsidRDefault="00E34260" w:rsidP="00E34260">
      <w:pPr>
        <w:pStyle w:val="ListParagraph"/>
        <w:autoSpaceDE w:val="0"/>
        <w:autoSpaceDN w:val="0"/>
        <w:adjustRightInd w:val="0"/>
        <w:spacing w:before="240" w:after="240" w:line="360" w:lineRule="auto"/>
        <w:ind w:left="1134" w:hanging="567"/>
        <w:jc w:val="both"/>
        <w:rPr>
          <w:rFonts w:ascii="Arial" w:hAnsi="Arial" w:cs="Arial"/>
          <w:i/>
          <w:sz w:val="20"/>
          <w:szCs w:val="20"/>
        </w:rPr>
      </w:pPr>
      <w:r>
        <w:rPr>
          <w:rFonts w:ascii="Arial" w:hAnsi="Arial" w:cs="Arial"/>
          <w:i/>
          <w:sz w:val="20"/>
          <w:szCs w:val="20"/>
        </w:rPr>
        <w:t>5.</w:t>
      </w:r>
      <w:r>
        <w:rPr>
          <w:rFonts w:ascii="Arial" w:hAnsi="Arial" w:cs="Arial"/>
          <w:i/>
          <w:sz w:val="20"/>
          <w:szCs w:val="20"/>
        </w:rPr>
        <w:tab/>
      </w:r>
      <w:r w:rsidR="00565D86" w:rsidRPr="00E34260">
        <w:rPr>
          <w:rFonts w:ascii="Arial" w:hAnsi="Arial" w:cs="Arial"/>
          <w:i/>
          <w:sz w:val="20"/>
          <w:szCs w:val="20"/>
        </w:rPr>
        <w:t>That the respondent pays the applicant’s legal costs (as first defendant) until date, upon presentation of the invoice</w:t>
      </w:r>
      <w:r w:rsidR="00063FC4">
        <w:rPr>
          <w:rFonts w:ascii="Arial" w:hAnsi="Arial" w:cs="Arial"/>
          <w:i/>
          <w:sz w:val="20"/>
          <w:szCs w:val="20"/>
        </w:rPr>
        <w:t>s</w:t>
      </w:r>
      <w:r w:rsidR="00565D86" w:rsidRPr="00E34260">
        <w:rPr>
          <w:rFonts w:ascii="Arial" w:hAnsi="Arial" w:cs="Arial"/>
          <w:i/>
          <w:sz w:val="20"/>
          <w:szCs w:val="20"/>
        </w:rPr>
        <w:t xml:space="preserve"> by my legal practitioners in terms of the</w:t>
      </w:r>
      <w:r w:rsidR="001151EF" w:rsidRPr="00E34260">
        <w:rPr>
          <w:rFonts w:ascii="Arial" w:hAnsi="Arial" w:cs="Arial"/>
          <w:i/>
          <w:sz w:val="20"/>
          <w:szCs w:val="20"/>
        </w:rPr>
        <w:t xml:space="preserve"> decision of the executive committee of the respondent, take</w:t>
      </w:r>
      <w:r w:rsidR="00063FC4">
        <w:rPr>
          <w:rFonts w:ascii="Arial" w:hAnsi="Arial" w:cs="Arial"/>
          <w:i/>
          <w:sz w:val="20"/>
          <w:szCs w:val="20"/>
        </w:rPr>
        <w:t>n</w:t>
      </w:r>
      <w:r w:rsidR="001151EF" w:rsidRPr="00E34260">
        <w:rPr>
          <w:rFonts w:ascii="Arial" w:hAnsi="Arial" w:cs="Arial"/>
          <w:i/>
          <w:sz w:val="20"/>
          <w:szCs w:val="20"/>
        </w:rPr>
        <w:t xml:space="preserve"> on 28 February 2017, and specifically item 2 thereof as well as such fees and expenses as may become payable in future with regards to the proceedings.</w:t>
      </w:r>
    </w:p>
    <w:p w:rsidR="00E34260" w:rsidRDefault="00E34260" w:rsidP="00E34260">
      <w:pPr>
        <w:pStyle w:val="ListParagraph"/>
        <w:autoSpaceDE w:val="0"/>
        <w:autoSpaceDN w:val="0"/>
        <w:adjustRightInd w:val="0"/>
        <w:spacing w:before="240" w:after="240" w:line="360" w:lineRule="auto"/>
        <w:ind w:left="1134" w:hanging="567"/>
        <w:jc w:val="both"/>
        <w:rPr>
          <w:rFonts w:ascii="Arial" w:hAnsi="Arial" w:cs="Arial"/>
          <w:i/>
          <w:sz w:val="20"/>
          <w:szCs w:val="20"/>
        </w:rPr>
      </w:pPr>
      <w:r>
        <w:rPr>
          <w:rFonts w:ascii="Arial" w:hAnsi="Arial" w:cs="Arial"/>
          <w:i/>
          <w:sz w:val="20"/>
          <w:szCs w:val="20"/>
        </w:rPr>
        <w:t>6.</w:t>
      </w:r>
      <w:r>
        <w:rPr>
          <w:rFonts w:ascii="Arial" w:hAnsi="Arial" w:cs="Arial"/>
          <w:i/>
          <w:sz w:val="20"/>
          <w:szCs w:val="20"/>
        </w:rPr>
        <w:tab/>
      </w:r>
      <w:r w:rsidR="001151EF" w:rsidRPr="00E34260">
        <w:rPr>
          <w:rFonts w:ascii="Arial" w:hAnsi="Arial" w:cs="Arial"/>
          <w:i/>
          <w:sz w:val="20"/>
          <w:szCs w:val="20"/>
        </w:rPr>
        <w:t>Costs regarding the relief for payment of the monthly interests, such costs to include the costs occasioned by the employment of 2 counsel.</w:t>
      </w:r>
    </w:p>
    <w:p w:rsidR="00E34260" w:rsidRDefault="00E34260" w:rsidP="00E34260">
      <w:pPr>
        <w:pStyle w:val="ListParagraph"/>
        <w:autoSpaceDE w:val="0"/>
        <w:autoSpaceDN w:val="0"/>
        <w:adjustRightInd w:val="0"/>
        <w:spacing w:before="240" w:after="240" w:line="360" w:lineRule="auto"/>
        <w:ind w:left="1134" w:hanging="567"/>
        <w:jc w:val="both"/>
        <w:rPr>
          <w:rFonts w:ascii="Arial" w:hAnsi="Arial" w:cs="Arial"/>
        </w:rPr>
      </w:pPr>
      <w:r>
        <w:rPr>
          <w:rFonts w:ascii="Arial" w:hAnsi="Arial" w:cs="Arial"/>
          <w:i/>
          <w:sz w:val="20"/>
          <w:szCs w:val="20"/>
        </w:rPr>
        <w:t>7.</w:t>
      </w:r>
      <w:r>
        <w:rPr>
          <w:rFonts w:ascii="Arial" w:hAnsi="Arial" w:cs="Arial"/>
          <w:i/>
          <w:sz w:val="20"/>
          <w:szCs w:val="20"/>
        </w:rPr>
        <w:tab/>
      </w:r>
      <w:r w:rsidR="001151EF" w:rsidRPr="00E34260">
        <w:rPr>
          <w:rFonts w:ascii="Arial" w:hAnsi="Arial" w:cs="Arial"/>
          <w:i/>
          <w:sz w:val="20"/>
          <w:szCs w:val="20"/>
        </w:rPr>
        <w:t>Further and/or alternative relief.</w:t>
      </w:r>
      <w:r>
        <w:rPr>
          <w:rFonts w:ascii="Arial" w:hAnsi="Arial" w:cs="Arial"/>
          <w:i/>
          <w:sz w:val="20"/>
          <w:szCs w:val="20"/>
        </w:rPr>
        <w:t>”</w:t>
      </w:r>
      <w:r w:rsidR="001151EF">
        <w:rPr>
          <w:rFonts w:ascii="Arial" w:hAnsi="Arial" w:cs="Arial"/>
        </w:rPr>
        <w:t xml:space="preserve"> </w:t>
      </w:r>
    </w:p>
    <w:p w:rsidR="00E34260" w:rsidRDefault="00565D86" w:rsidP="00E34260">
      <w:pPr>
        <w:pStyle w:val="ListParagraph"/>
        <w:autoSpaceDE w:val="0"/>
        <w:autoSpaceDN w:val="0"/>
        <w:adjustRightInd w:val="0"/>
        <w:spacing w:before="240" w:after="240" w:line="360" w:lineRule="auto"/>
        <w:ind w:left="1134" w:hanging="567"/>
        <w:jc w:val="both"/>
        <w:rPr>
          <w:rFonts w:ascii="Arial" w:hAnsi="Arial" w:cs="Arial"/>
        </w:rPr>
      </w:pPr>
      <w:r>
        <w:rPr>
          <w:rFonts w:ascii="Arial" w:hAnsi="Arial" w:cs="Arial"/>
        </w:rPr>
        <w:t xml:space="preserve"> </w:t>
      </w:r>
    </w:p>
    <w:p w:rsidR="00351E34" w:rsidRDefault="00E34260" w:rsidP="00351E34">
      <w:pPr>
        <w:pStyle w:val="ListParagraph"/>
        <w:autoSpaceDE w:val="0"/>
        <w:autoSpaceDN w:val="0"/>
        <w:adjustRightInd w:val="0"/>
        <w:spacing w:before="240" w:after="240" w:line="360" w:lineRule="auto"/>
        <w:ind w:left="567" w:hanging="567"/>
        <w:jc w:val="both"/>
        <w:rPr>
          <w:rFonts w:ascii="Arial" w:hAnsi="Arial" w:cs="Arial"/>
        </w:rPr>
      </w:pPr>
      <w:r>
        <w:rPr>
          <w:rFonts w:ascii="Arial" w:hAnsi="Arial" w:cs="Arial"/>
        </w:rPr>
        <w:t>[14]</w:t>
      </w:r>
      <w:r>
        <w:rPr>
          <w:rFonts w:ascii="Arial" w:hAnsi="Arial" w:cs="Arial"/>
        </w:rPr>
        <w:tab/>
      </w:r>
      <w:r w:rsidR="00351E34">
        <w:rPr>
          <w:rFonts w:ascii="Arial" w:hAnsi="Arial" w:cs="Arial"/>
        </w:rPr>
        <w:t xml:space="preserve">The question that </w:t>
      </w:r>
      <w:r w:rsidR="00063FC4">
        <w:rPr>
          <w:rFonts w:ascii="Arial" w:hAnsi="Arial" w:cs="Arial"/>
        </w:rPr>
        <w:t>a</w:t>
      </w:r>
      <w:r w:rsidR="00351E34">
        <w:rPr>
          <w:rFonts w:ascii="Arial" w:hAnsi="Arial" w:cs="Arial"/>
        </w:rPr>
        <w:t>r</w:t>
      </w:r>
      <w:r w:rsidR="00063FC4">
        <w:rPr>
          <w:rFonts w:ascii="Arial" w:hAnsi="Arial" w:cs="Arial"/>
        </w:rPr>
        <w:t>ises in this P</w:t>
      </w:r>
      <w:r w:rsidR="00351E34">
        <w:rPr>
          <w:rFonts w:ascii="Arial" w:hAnsi="Arial" w:cs="Arial"/>
        </w:rPr>
        <w:t>art is whether the applicant should have approached the court in the manner that he did. Mr Joubert, on behalf of the respondent</w:t>
      </w:r>
      <w:r w:rsidR="00063FC4">
        <w:rPr>
          <w:rFonts w:ascii="Arial" w:hAnsi="Arial" w:cs="Arial"/>
        </w:rPr>
        <w:t>, did</w:t>
      </w:r>
      <w:r w:rsidR="00351E34">
        <w:rPr>
          <w:rFonts w:ascii="Arial" w:hAnsi="Arial" w:cs="Arial"/>
        </w:rPr>
        <w:t xml:space="preserve"> not</w:t>
      </w:r>
      <w:r w:rsidR="00063FC4">
        <w:rPr>
          <w:rFonts w:ascii="Arial" w:hAnsi="Arial" w:cs="Arial"/>
        </w:rPr>
        <w:t xml:space="preserve"> think so</w:t>
      </w:r>
      <w:r w:rsidR="00351E34">
        <w:rPr>
          <w:rFonts w:ascii="Arial" w:hAnsi="Arial" w:cs="Arial"/>
        </w:rPr>
        <w:t xml:space="preserve"> and contended that the applicant had ample</w:t>
      </w:r>
      <w:r w:rsidR="00063FC4">
        <w:rPr>
          <w:rFonts w:ascii="Arial" w:hAnsi="Arial" w:cs="Arial"/>
        </w:rPr>
        <w:t xml:space="preserve"> time and opportunity to pursue </w:t>
      </w:r>
      <w:r w:rsidR="00351E34">
        <w:rPr>
          <w:rFonts w:ascii="Arial" w:hAnsi="Arial" w:cs="Arial"/>
        </w:rPr>
        <w:t xml:space="preserve">by other means the two reliefs sought in this </w:t>
      </w:r>
      <w:r w:rsidR="00063FC4">
        <w:rPr>
          <w:rFonts w:ascii="Arial" w:hAnsi="Arial" w:cs="Arial"/>
        </w:rPr>
        <w:t>P</w:t>
      </w:r>
      <w:r w:rsidR="00351E34">
        <w:rPr>
          <w:rFonts w:ascii="Arial" w:hAnsi="Arial" w:cs="Arial"/>
        </w:rPr>
        <w:t>art. The applicant’s reliance</w:t>
      </w:r>
      <w:r w:rsidR="00063FC4">
        <w:rPr>
          <w:rFonts w:ascii="Arial" w:hAnsi="Arial" w:cs="Arial"/>
        </w:rPr>
        <w:t xml:space="preserve"> </w:t>
      </w:r>
      <w:r w:rsidR="00351E34">
        <w:rPr>
          <w:rFonts w:ascii="Arial" w:hAnsi="Arial" w:cs="Arial"/>
        </w:rPr>
        <w:t xml:space="preserve">on the resolution that his legal fees were to be paid by the </w:t>
      </w:r>
      <w:r w:rsidR="00063FC4">
        <w:rPr>
          <w:rFonts w:ascii="Arial" w:hAnsi="Arial" w:cs="Arial"/>
        </w:rPr>
        <w:t>respondent, he argued, had</w:t>
      </w:r>
      <w:r w:rsidR="00351E34">
        <w:rPr>
          <w:rFonts w:ascii="Arial" w:hAnsi="Arial" w:cs="Arial"/>
        </w:rPr>
        <w:t xml:space="preserve"> long been rescinde</w:t>
      </w:r>
      <w:r w:rsidR="00063FC4">
        <w:rPr>
          <w:rFonts w:ascii="Arial" w:hAnsi="Arial" w:cs="Arial"/>
        </w:rPr>
        <w:t xml:space="preserve">d by the curator on assuming </w:t>
      </w:r>
      <w:r w:rsidR="00351E34">
        <w:rPr>
          <w:rFonts w:ascii="Arial" w:hAnsi="Arial" w:cs="Arial"/>
        </w:rPr>
        <w:t>his</w:t>
      </w:r>
      <w:r w:rsidR="00063FC4">
        <w:rPr>
          <w:rFonts w:ascii="Arial" w:hAnsi="Arial" w:cs="Arial"/>
        </w:rPr>
        <w:t xml:space="preserve"> duties</w:t>
      </w:r>
      <w:r w:rsidR="00351E34">
        <w:rPr>
          <w:rFonts w:ascii="Arial" w:hAnsi="Arial" w:cs="Arial"/>
        </w:rPr>
        <w:t xml:space="preserve">, a fact of which the applicant was fully aware. </w:t>
      </w:r>
    </w:p>
    <w:p w:rsidR="00351E34" w:rsidRDefault="00351E34" w:rsidP="00351E34">
      <w:pPr>
        <w:pStyle w:val="ListParagraph"/>
        <w:autoSpaceDE w:val="0"/>
        <w:autoSpaceDN w:val="0"/>
        <w:adjustRightInd w:val="0"/>
        <w:spacing w:before="240" w:after="240" w:line="360" w:lineRule="auto"/>
        <w:ind w:left="567" w:hanging="567"/>
        <w:jc w:val="both"/>
        <w:rPr>
          <w:rFonts w:ascii="Arial" w:hAnsi="Arial" w:cs="Arial"/>
        </w:rPr>
      </w:pPr>
    </w:p>
    <w:p w:rsidR="00B0413B" w:rsidRDefault="00351E34" w:rsidP="00351E34">
      <w:pPr>
        <w:pStyle w:val="ListParagraph"/>
        <w:autoSpaceDE w:val="0"/>
        <w:autoSpaceDN w:val="0"/>
        <w:adjustRightInd w:val="0"/>
        <w:spacing w:before="240" w:after="240" w:line="360" w:lineRule="auto"/>
        <w:ind w:left="567" w:hanging="567"/>
        <w:jc w:val="both"/>
        <w:rPr>
          <w:rFonts w:ascii="Arial" w:hAnsi="Arial" w:cs="Arial"/>
        </w:rPr>
      </w:pPr>
      <w:r>
        <w:rPr>
          <w:rFonts w:ascii="Arial" w:hAnsi="Arial" w:cs="Arial"/>
        </w:rPr>
        <w:t>[15]</w:t>
      </w:r>
      <w:r>
        <w:rPr>
          <w:rFonts w:ascii="Arial" w:hAnsi="Arial" w:cs="Arial"/>
        </w:rPr>
        <w:tab/>
        <w:t>The claim for</w:t>
      </w:r>
      <w:r w:rsidR="00B0413B">
        <w:rPr>
          <w:rFonts w:ascii="Arial" w:hAnsi="Arial" w:cs="Arial"/>
        </w:rPr>
        <w:t xml:space="preserve"> the pension interest is ensconced in the agreement between the parties which was made an order of</w:t>
      </w:r>
      <w:r w:rsidR="00063FC4">
        <w:rPr>
          <w:rFonts w:ascii="Arial" w:hAnsi="Arial" w:cs="Arial"/>
        </w:rPr>
        <w:t xml:space="preserve"> the </w:t>
      </w:r>
      <w:r w:rsidR="00B0413B">
        <w:rPr>
          <w:rFonts w:ascii="Arial" w:hAnsi="Arial" w:cs="Arial"/>
        </w:rPr>
        <w:t xml:space="preserve">court on 06 February 2020. The order </w:t>
      </w:r>
      <w:r w:rsidR="00B0413B">
        <w:rPr>
          <w:rFonts w:ascii="Arial" w:hAnsi="Arial" w:cs="Arial"/>
        </w:rPr>
        <w:lastRenderedPageBreak/>
        <w:t>provided that the payment of any pension benefits to which the applicant was entitled</w:t>
      </w:r>
      <w:r w:rsidR="00063FC4">
        <w:rPr>
          <w:rFonts w:ascii="Arial" w:hAnsi="Arial" w:cs="Arial"/>
        </w:rPr>
        <w:t>,</w:t>
      </w:r>
      <w:r w:rsidR="00B0413B">
        <w:rPr>
          <w:rFonts w:ascii="Arial" w:hAnsi="Arial" w:cs="Arial"/>
        </w:rPr>
        <w:t xml:space="preserve"> was suspended pending the final determination of the actions instituted by the respondents under case numbers 879/2019, 2927/2019 and 4184/2019. The amount of R 2 000 000.00</w:t>
      </w:r>
      <w:r w:rsidR="00063FC4">
        <w:rPr>
          <w:rFonts w:ascii="Arial" w:hAnsi="Arial" w:cs="Arial"/>
        </w:rPr>
        <w:t>,</w:t>
      </w:r>
      <w:r w:rsidR="00B0413B">
        <w:rPr>
          <w:rFonts w:ascii="Arial" w:hAnsi="Arial" w:cs="Arial"/>
        </w:rPr>
        <w:t xml:space="preserve"> which included all interest on the investment of the applicant’s pension benefit from December 2018 until 31 January 2020 was paid to the applicant</w:t>
      </w:r>
      <w:r w:rsidR="00063FC4">
        <w:rPr>
          <w:rFonts w:ascii="Arial" w:hAnsi="Arial" w:cs="Arial"/>
        </w:rPr>
        <w:t>. The</w:t>
      </w:r>
      <w:r w:rsidR="00B0413B">
        <w:rPr>
          <w:rFonts w:ascii="Arial" w:hAnsi="Arial" w:cs="Arial"/>
        </w:rPr>
        <w:t xml:space="preserve"> monthly interest on the investment of the applicant’s pension benefit was payable monthly in </w:t>
      </w:r>
      <w:r w:rsidR="00063FC4">
        <w:rPr>
          <w:rFonts w:ascii="Arial" w:hAnsi="Arial" w:cs="Arial"/>
        </w:rPr>
        <w:t>arrears</w:t>
      </w:r>
      <w:r w:rsidR="00B0413B">
        <w:rPr>
          <w:rFonts w:ascii="Arial" w:hAnsi="Arial" w:cs="Arial"/>
        </w:rPr>
        <w:t>. These monthly payments were effected until 7 December 2022 when the respondent began to set off the monthly interest</w:t>
      </w:r>
      <w:r w:rsidR="00063FC4">
        <w:rPr>
          <w:rFonts w:ascii="Arial" w:hAnsi="Arial" w:cs="Arial"/>
        </w:rPr>
        <w:t xml:space="preserve"> payments</w:t>
      </w:r>
      <w:r w:rsidR="00B0413B">
        <w:rPr>
          <w:rFonts w:ascii="Arial" w:hAnsi="Arial" w:cs="Arial"/>
        </w:rPr>
        <w:t xml:space="preserve"> against the taxed bi</w:t>
      </w:r>
      <w:r w:rsidR="00063FC4">
        <w:rPr>
          <w:rFonts w:ascii="Arial" w:hAnsi="Arial" w:cs="Arial"/>
        </w:rPr>
        <w:t>ll of costs in the amount of R</w:t>
      </w:r>
      <w:r w:rsidR="00B0413B">
        <w:rPr>
          <w:rFonts w:ascii="Arial" w:hAnsi="Arial" w:cs="Arial"/>
        </w:rPr>
        <w:t> 667 000.00 incurred in case number 879/2019. According to the respondent</w:t>
      </w:r>
      <w:r w:rsidR="00063FC4">
        <w:rPr>
          <w:rFonts w:ascii="Arial" w:hAnsi="Arial" w:cs="Arial"/>
        </w:rPr>
        <w:t>,</w:t>
      </w:r>
      <w:r w:rsidR="00B0413B">
        <w:rPr>
          <w:rFonts w:ascii="Arial" w:hAnsi="Arial" w:cs="Arial"/>
        </w:rPr>
        <w:t xml:space="preserve"> the remainder of the monthly interest in the amount R 62 593.31 was paid to the applicant on 07 May 2023.</w:t>
      </w:r>
    </w:p>
    <w:p w:rsidR="00B0413B" w:rsidRDefault="00B0413B" w:rsidP="00351E34">
      <w:pPr>
        <w:pStyle w:val="ListParagraph"/>
        <w:autoSpaceDE w:val="0"/>
        <w:autoSpaceDN w:val="0"/>
        <w:adjustRightInd w:val="0"/>
        <w:spacing w:before="240" w:after="240" w:line="360" w:lineRule="auto"/>
        <w:ind w:left="567" w:hanging="567"/>
        <w:jc w:val="both"/>
        <w:rPr>
          <w:rFonts w:ascii="Arial" w:hAnsi="Arial" w:cs="Arial"/>
        </w:rPr>
      </w:pPr>
    </w:p>
    <w:p w:rsidR="00D074CC" w:rsidRDefault="00B0413B" w:rsidP="00D074CC">
      <w:pPr>
        <w:pStyle w:val="ListParagraph"/>
        <w:autoSpaceDE w:val="0"/>
        <w:autoSpaceDN w:val="0"/>
        <w:adjustRightInd w:val="0"/>
        <w:spacing w:before="240" w:after="240" w:line="360" w:lineRule="auto"/>
        <w:ind w:left="567" w:hanging="567"/>
        <w:jc w:val="both"/>
        <w:rPr>
          <w:rFonts w:ascii="Arial" w:hAnsi="Arial" w:cs="Arial"/>
        </w:rPr>
      </w:pPr>
      <w:r>
        <w:rPr>
          <w:rFonts w:ascii="Arial" w:hAnsi="Arial" w:cs="Arial"/>
        </w:rPr>
        <w:t>[16]</w:t>
      </w:r>
      <w:r w:rsidR="00D074CC">
        <w:rPr>
          <w:rFonts w:ascii="Arial" w:hAnsi="Arial" w:cs="Arial"/>
        </w:rPr>
        <w:tab/>
        <w:t xml:space="preserve">According to the respondent, the applicant was invited on 11 October 2022 and November 2022 to effect payment in respect of the taxed bill of costs but to no avail. On 13 December 2022, the applicant’s attorneys requested payment of the monthly interest for the month of December from the respondent’s attorneys. On 14 December 2022 a demand was made to the respondent’s attorneys to pay the monthly interest failing which a warrant of execution would be issued. </w:t>
      </w:r>
    </w:p>
    <w:p w:rsidR="00D074CC" w:rsidRDefault="00D074CC" w:rsidP="00D074CC">
      <w:pPr>
        <w:pStyle w:val="ListParagraph"/>
        <w:autoSpaceDE w:val="0"/>
        <w:autoSpaceDN w:val="0"/>
        <w:adjustRightInd w:val="0"/>
        <w:spacing w:before="240" w:after="240" w:line="360" w:lineRule="auto"/>
        <w:ind w:left="567" w:hanging="567"/>
        <w:jc w:val="both"/>
        <w:rPr>
          <w:rFonts w:ascii="Arial" w:hAnsi="Arial" w:cs="Arial"/>
        </w:rPr>
      </w:pPr>
    </w:p>
    <w:p w:rsidR="00D074CC" w:rsidRDefault="00D074CC" w:rsidP="00D074CC">
      <w:pPr>
        <w:pStyle w:val="ListParagraph"/>
        <w:autoSpaceDE w:val="0"/>
        <w:autoSpaceDN w:val="0"/>
        <w:adjustRightInd w:val="0"/>
        <w:spacing w:before="240" w:after="240" w:line="360" w:lineRule="auto"/>
        <w:ind w:left="567" w:hanging="567"/>
        <w:jc w:val="both"/>
        <w:rPr>
          <w:rFonts w:ascii="Arial" w:hAnsi="Arial" w:cs="Arial"/>
        </w:rPr>
      </w:pPr>
      <w:r>
        <w:rPr>
          <w:rFonts w:ascii="Arial" w:hAnsi="Arial" w:cs="Arial"/>
        </w:rPr>
        <w:t>[17]</w:t>
      </w:r>
      <w:r>
        <w:rPr>
          <w:rFonts w:ascii="Arial" w:hAnsi="Arial" w:cs="Arial"/>
        </w:rPr>
        <w:tab/>
        <w:t xml:space="preserve">The applicant stated that the service of the warrant of execution was a </w:t>
      </w:r>
      <w:r w:rsidR="0058675F">
        <w:rPr>
          <w:rFonts w:ascii="Arial" w:hAnsi="Arial" w:cs="Arial"/>
        </w:rPr>
        <w:t>futile exercise as the respondent</w:t>
      </w:r>
      <w:r>
        <w:rPr>
          <w:rFonts w:ascii="Arial" w:hAnsi="Arial" w:cs="Arial"/>
        </w:rPr>
        <w:t xml:space="preserve"> was no longer at its Kroonstad offices</w:t>
      </w:r>
      <w:r w:rsidR="0058675F">
        <w:rPr>
          <w:rFonts w:ascii="Arial" w:hAnsi="Arial" w:cs="Arial"/>
        </w:rPr>
        <w:t>. T</w:t>
      </w:r>
      <w:r>
        <w:rPr>
          <w:rFonts w:ascii="Arial" w:hAnsi="Arial" w:cs="Arial"/>
        </w:rPr>
        <w:t xml:space="preserve">he forwarding address that </w:t>
      </w:r>
      <w:r w:rsidR="0058675F">
        <w:rPr>
          <w:rFonts w:ascii="Arial" w:hAnsi="Arial" w:cs="Arial"/>
        </w:rPr>
        <w:t>was furnished by the respondent’s</w:t>
      </w:r>
      <w:r>
        <w:rPr>
          <w:rFonts w:ascii="Arial" w:hAnsi="Arial" w:cs="Arial"/>
        </w:rPr>
        <w:t xml:space="preserve"> employee yielded no results with the consequence that the applicant had no other remedy but to approach </w:t>
      </w:r>
      <w:r w:rsidR="0058675F">
        <w:rPr>
          <w:rFonts w:ascii="Arial" w:hAnsi="Arial" w:cs="Arial"/>
        </w:rPr>
        <w:t xml:space="preserve">the court in the manner that he </w:t>
      </w:r>
      <w:r>
        <w:rPr>
          <w:rFonts w:ascii="Arial" w:hAnsi="Arial" w:cs="Arial"/>
        </w:rPr>
        <w:t>did. The respondent stated in its affidavit that the warrant which was issued on 20 January 2023 could not be served on 20 April</w:t>
      </w:r>
      <w:r w:rsidR="0058675F">
        <w:rPr>
          <w:rFonts w:ascii="Arial" w:hAnsi="Arial" w:cs="Arial"/>
        </w:rPr>
        <w:t xml:space="preserve"> 2023</w:t>
      </w:r>
      <w:r>
        <w:rPr>
          <w:rFonts w:ascii="Arial" w:hAnsi="Arial" w:cs="Arial"/>
        </w:rPr>
        <w:t xml:space="preserve"> due to the respondent’s service address not being in the jurisdiction of the sheriff of the court. Since 20 April 2023, the applicant did nothing to pursue obvious, quick, and </w:t>
      </w:r>
      <w:r w:rsidR="0058675F">
        <w:rPr>
          <w:rFonts w:ascii="Arial" w:hAnsi="Arial" w:cs="Arial"/>
        </w:rPr>
        <w:t>cost-effective recourse</w:t>
      </w:r>
      <w:r>
        <w:rPr>
          <w:rFonts w:ascii="Arial" w:hAnsi="Arial" w:cs="Arial"/>
        </w:rPr>
        <w:t xml:space="preserve"> such as sending to warrant to the </w:t>
      </w:r>
      <w:r w:rsidR="0058675F">
        <w:rPr>
          <w:rFonts w:ascii="Arial" w:hAnsi="Arial" w:cs="Arial"/>
        </w:rPr>
        <w:t>respondent’s</w:t>
      </w:r>
      <w:r>
        <w:rPr>
          <w:rFonts w:ascii="Arial" w:hAnsi="Arial" w:cs="Arial"/>
        </w:rPr>
        <w:t xml:space="preserve"> legal representative despite being invited to do so. </w:t>
      </w:r>
    </w:p>
    <w:p w:rsidR="00D074CC" w:rsidRDefault="00D074CC" w:rsidP="00D074CC">
      <w:pPr>
        <w:pStyle w:val="ListParagraph"/>
        <w:autoSpaceDE w:val="0"/>
        <w:autoSpaceDN w:val="0"/>
        <w:adjustRightInd w:val="0"/>
        <w:spacing w:before="240" w:after="240" w:line="360" w:lineRule="auto"/>
        <w:ind w:left="567" w:hanging="567"/>
        <w:jc w:val="both"/>
        <w:rPr>
          <w:rFonts w:ascii="Arial" w:hAnsi="Arial" w:cs="Arial"/>
        </w:rPr>
      </w:pPr>
    </w:p>
    <w:p w:rsidR="00D074CC" w:rsidRDefault="00D074CC" w:rsidP="00D074CC">
      <w:pPr>
        <w:pStyle w:val="ListParagraph"/>
        <w:autoSpaceDE w:val="0"/>
        <w:autoSpaceDN w:val="0"/>
        <w:adjustRightInd w:val="0"/>
        <w:spacing w:before="240" w:after="240" w:line="360" w:lineRule="auto"/>
        <w:ind w:left="567" w:hanging="567"/>
        <w:jc w:val="both"/>
        <w:rPr>
          <w:rFonts w:ascii="Arial" w:hAnsi="Arial" w:cs="Arial"/>
        </w:rPr>
      </w:pPr>
      <w:r>
        <w:rPr>
          <w:rFonts w:ascii="Arial" w:hAnsi="Arial" w:cs="Arial"/>
        </w:rPr>
        <w:t>[18]</w:t>
      </w:r>
      <w:r>
        <w:rPr>
          <w:rFonts w:ascii="Arial" w:hAnsi="Arial" w:cs="Arial"/>
        </w:rPr>
        <w:tab/>
        <w:t xml:space="preserve">The respondent contended that the substantial redress available to the applicant since 07 December 2022 included: </w:t>
      </w:r>
    </w:p>
    <w:p w:rsidR="000B0F35" w:rsidRDefault="00D074CC" w:rsidP="000B0F35">
      <w:pPr>
        <w:pStyle w:val="ListParagraph"/>
        <w:autoSpaceDE w:val="0"/>
        <w:autoSpaceDN w:val="0"/>
        <w:adjustRightInd w:val="0"/>
        <w:spacing w:before="240" w:after="240" w:line="360" w:lineRule="auto"/>
        <w:ind w:left="993" w:hanging="426"/>
        <w:jc w:val="both"/>
        <w:rPr>
          <w:rFonts w:ascii="Arial" w:hAnsi="Arial" w:cs="Arial"/>
        </w:rPr>
      </w:pPr>
      <w:r>
        <w:rPr>
          <w:rFonts w:ascii="Arial" w:hAnsi="Arial" w:cs="Arial"/>
        </w:rPr>
        <w:lastRenderedPageBreak/>
        <w:t>(i)</w:t>
      </w:r>
      <w:r>
        <w:rPr>
          <w:rFonts w:ascii="Arial" w:hAnsi="Arial" w:cs="Arial"/>
        </w:rPr>
        <w:tab/>
      </w:r>
      <w:r w:rsidR="0058675F">
        <w:rPr>
          <w:rFonts w:ascii="Arial" w:hAnsi="Arial" w:cs="Arial"/>
        </w:rPr>
        <w:t xml:space="preserve">Writing to the respondent </w:t>
      </w:r>
      <w:r w:rsidR="000B0F35">
        <w:rPr>
          <w:rFonts w:ascii="Arial" w:hAnsi="Arial" w:cs="Arial"/>
        </w:rPr>
        <w:t>to demand payment;</w:t>
      </w:r>
    </w:p>
    <w:p w:rsidR="000B0F35" w:rsidRDefault="0058675F" w:rsidP="000B0F35">
      <w:pPr>
        <w:pStyle w:val="ListParagraph"/>
        <w:autoSpaceDE w:val="0"/>
        <w:autoSpaceDN w:val="0"/>
        <w:adjustRightInd w:val="0"/>
        <w:spacing w:before="240" w:after="240" w:line="360" w:lineRule="auto"/>
        <w:ind w:left="993" w:hanging="426"/>
        <w:jc w:val="both"/>
        <w:rPr>
          <w:rFonts w:ascii="Arial" w:hAnsi="Arial" w:cs="Arial"/>
        </w:rPr>
      </w:pPr>
      <w:r>
        <w:rPr>
          <w:rFonts w:ascii="Arial" w:hAnsi="Arial" w:cs="Arial"/>
        </w:rPr>
        <w:t>(ii)</w:t>
      </w:r>
      <w:r>
        <w:rPr>
          <w:rFonts w:ascii="Arial" w:hAnsi="Arial" w:cs="Arial"/>
        </w:rPr>
        <w:tab/>
        <w:t>Serving</w:t>
      </w:r>
      <w:r w:rsidR="000B0F35">
        <w:rPr>
          <w:rFonts w:ascii="Arial" w:hAnsi="Arial" w:cs="Arial"/>
        </w:rPr>
        <w:t xml:space="preserve"> a writ of execution on the </w:t>
      </w:r>
      <w:r>
        <w:rPr>
          <w:rFonts w:ascii="Arial" w:hAnsi="Arial" w:cs="Arial"/>
        </w:rPr>
        <w:t>respondent’s</w:t>
      </w:r>
      <w:r w:rsidR="000B0F35">
        <w:rPr>
          <w:rFonts w:ascii="Arial" w:hAnsi="Arial" w:cs="Arial"/>
        </w:rPr>
        <w:t xml:space="preserve"> legal representatives, as requested; and</w:t>
      </w:r>
    </w:p>
    <w:p w:rsidR="000B0F35" w:rsidRDefault="000B0F35" w:rsidP="000B0F35">
      <w:pPr>
        <w:pStyle w:val="ListParagraph"/>
        <w:autoSpaceDE w:val="0"/>
        <w:autoSpaceDN w:val="0"/>
        <w:adjustRightInd w:val="0"/>
        <w:spacing w:before="240" w:after="240" w:line="360" w:lineRule="auto"/>
        <w:ind w:left="993" w:hanging="426"/>
        <w:jc w:val="both"/>
        <w:rPr>
          <w:rFonts w:ascii="Arial" w:hAnsi="Arial" w:cs="Arial"/>
        </w:rPr>
      </w:pPr>
      <w:r>
        <w:rPr>
          <w:rFonts w:ascii="Arial" w:hAnsi="Arial" w:cs="Arial"/>
        </w:rPr>
        <w:t>(iii)</w:t>
      </w:r>
      <w:r>
        <w:rPr>
          <w:rFonts w:ascii="Arial" w:hAnsi="Arial" w:cs="Arial"/>
        </w:rPr>
        <w:tab/>
        <w:t xml:space="preserve">Instituting urgent </w:t>
      </w:r>
      <w:r w:rsidR="0058675F">
        <w:rPr>
          <w:rFonts w:ascii="Arial" w:hAnsi="Arial" w:cs="Arial"/>
        </w:rPr>
        <w:t xml:space="preserve">mandatory relief to compel the respondent </w:t>
      </w:r>
      <w:r>
        <w:rPr>
          <w:rFonts w:ascii="Arial" w:hAnsi="Arial" w:cs="Arial"/>
        </w:rPr>
        <w:t>to pay his monthly interest. The applicant</w:t>
      </w:r>
      <w:r w:rsidR="0058675F">
        <w:rPr>
          <w:rFonts w:ascii="Arial" w:hAnsi="Arial" w:cs="Arial"/>
        </w:rPr>
        <w:t xml:space="preserve"> failed </w:t>
      </w:r>
      <w:r>
        <w:rPr>
          <w:rFonts w:ascii="Arial" w:hAnsi="Arial" w:cs="Arial"/>
        </w:rPr>
        <w:t xml:space="preserve">to do </w:t>
      </w:r>
      <w:r w:rsidR="0058675F">
        <w:rPr>
          <w:rFonts w:ascii="Arial" w:hAnsi="Arial" w:cs="Arial"/>
        </w:rPr>
        <w:t>so</w:t>
      </w:r>
      <w:r>
        <w:rPr>
          <w:rFonts w:ascii="Arial" w:hAnsi="Arial" w:cs="Arial"/>
        </w:rPr>
        <w:t xml:space="preserve">. </w:t>
      </w:r>
    </w:p>
    <w:p w:rsidR="000B0F35" w:rsidRDefault="000B0F35" w:rsidP="000B0F35">
      <w:pPr>
        <w:autoSpaceDE w:val="0"/>
        <w:autoSpaceDN w:val="0"/>
        <w:adjustRightInd w:val="0"/>
        <w:spacing w:before="240" w:after="240" w:line="360" w:lineRule="auto"/>
        <w:ind w:left="567" w:hanging="567"/>
        <w:jc w:val="both"/>
        <w:rPr>
          <w:rFonts w:ascii="Arial" w:hAnsi="Arial" w:cs="Arial"/>
        </w:rPr>
      </w:pPr>
      <w:r>
        <w:rPr>
          <w:rFonts w:ascii="Arial" w:hAnsi="Arial" w:cs="Arial"/>
        </w:rPr>
        <w:t>[19]</w:t>
      </w:r>
      <w:r>
        <w:rPr>
          <w:rFonts w:ascii="Arial" w:hAnsi="Arial" w:cs="Arial"/>
        </w:rPr>
        <w:tab/>
        <w:t>The applicant’s urgency was self-created as he was aware tha</w:t>
      </w:r>
      <w:r w:rsidR="0058675F">
        <w:rPr>
          <w:rFonts w:ascii="Arial" w:hAnsi="Arial" w:cs="Arial"/>
        </w:rPr>
        <w:t>t he would not be receiving the</w:t>
      </w:r>
      <w:r>
        <w:rPr>
          <w:rFonts w:ascii="Arial" w:hAnsi="Arial" w:cs="Arial"/>
        </w:rPr>
        <w:t xml:space="preserve"> monthly interest as early as 11 October 2022 and </w:t>
      </w:r>
      <w:r w:rsidR="0058675F">
        <w:rPr>
          <w:rFonts w:ascii="Arial" w:hAnsi="Arial" w:cs="Arial"/>
        </w:rPr>
        <w:t xml:space="preserve">the </w:t>
      </w:r>
      <w:r>
        <w:rPr>
          <w:rFonts w:ascii="Arial" w:hAnsi="Arial" w:cs="Arial"/>
        </w:rPr>
        <w:t>set off against his monthly interest</w:t>
      </w:r>
      <w:r w:rsidR="0058675F">
        <w:rPr>
          <w:rFonts w:ascii="Arial" w:hAnsi="Arial" w:cs="Arial"/>
        </w:rPr>
        <w:t xml:space="preserve"> payment</w:t>
      </w:r>
      <w:r>
        <w:rPr>
          <w:rFonts w:ascii="Arial" w:hAnsi="Arial" w:cs="Arial"/>
        </w:rPr>
        <w:t xml:space="preserve"> commence</w:t>
      </w:r>
      <w:r w:rsidR="0058675F">
        <w:rPr>
          <w:rFonts w:ascii="Arial" w:hAnsi="Arial" w:cs="Arial"/>
        </w:rPr>
        <w:t>d</w:t>
      </w:r>
      <w:r>
        <w:rPr>
          <w:rFonts w:ascii="Arial" w:hAnsi="Arial" w:cs="Arial"/>
        </w:rPr>
        <w:t xml:space="preserve"> as early as 07 December 2022. Since these dates, the applicant had in his position all of the necessary information and documents to </w:t>
      </w:r>
      <w:r w:rsidR="0058675F">
        <w:rPr>
          <w:rFonts w:ascii="Arial" w:hAnsi="Arial" w:cs="Arial"/>
        </w:rPr>
        <w:t>institute</w:t>
      </w:r>
      <w:r>
        <w:rPr>
          <w:rFonts w:ascii="Arial" w:hAnsi="Arial" w:cs="Arial"/>
        </w:rPr>
        <w:t xml:space="preserve"> proceedings to enforce the payment of the interest claim. Instead</w:t>
      </w:r>
      <w:r w:rsidR="00C41842">
        <w:rPr>
          <w:rFonts w:ascii="Arial" w:hAnsi="Arial" w:cs="Arial"/>
        </w:rPr>
        <w:t xml:space="preserve">, he only </w:t>
      </w:r>
      <w:r>
        <w:rPr>
          <w:rFonts w:ascii="Arial" w:hAnsi="Arial" w:cs="Arial"/>
        </w:rPr>
        <w:t>launch</w:t>
      </w:r>
      <w:r w:rsidR="00C41842">
        <w:rPr>
          <w:rFonts w:ascii="Arial" w:hAnsi="Arial" w:cs="Arial"/>
        </w:rPr>
        <w:t>ed</w:t>
      </w:r>
      <w:r>
        <w:rPr>
          <w:rFonts w:ascii="Arial" w:hAnsi="Arial" w:cs="Arial"/>
        </w:rPr>
        <w:t xml:space="preserve"> this app</w:t>
      </w:r>
      <w:r w:rsidR="00C41842">
        <w:rPr>
          <w:rFonts w:ascii="Arial" w:hAnsi="Arial" w:cs="Arial"/>
        </w:rPr>
        <w:t>lication on an urgent basis</w:t>
      </w:r>
      <w:r>
        <w:rPr>
          <w:rFonts w:ascii="Arial" w:hAnsi="Arial" w:cs="Arial"/>
        </w:rPr>
        <w:t xml:space="preserve"> </w:t>
      </w:r>
      <w:r w:rsidR="00C41842">
        <w:rPr>
          <w:rFonts w:ascii="Arial" w:hAnsi="Arial" w:cs="Arial"/>
        </w:rPr>
        <w:t xml:space="preserve">on </w:t>
      </w:r>
      <w:r>
        <w:rPr>
          <w:rFonts w:ascii="Arial" w:hAnsi="Arial" w:cs="Arial"/>
        </w:rPr>
        <w:t>the eve of the hearing of th</w:t>
      </w:r>
      <w:r w:rsidR="00C41842">
        <w:rPr>
          <w:rFonts w:ascii="Arial" w:hAnsi="Arial" w:cs="Arial"/>
        </w:rPr>
        <w:t>is</w:t>
      </w:r>
      <w:r>
        <w:rPr>
          <w:rFonts w:ascii="Arial" w:hAnsi="Arial" w:cs="Arial"/>
        </w:rPr>
        <w:t xml:space="preserve"> matter. </w:t>
      </w:r>
    </w:p>
    <w:p w:rsidR="00C671F4" w:rsidRDefault="007661F8" w:rsidP="000B0F35">
      <w:pPr>
        <w:autoSpaceDE w:val="0"/>
        <w:autoSpaceDN w:val="0"/>
        <w:adjustRightInd w:val="0"/>
        <w:spacing w:before="240" w:after="240" w:line="360" w:lineRule="auto"/>
        <w:ind w:left="567" w:hanging="567"/>
        <w:jc w:val="both"/>
        <w:rPr>
          <w:rFonts w:ascii="Arial" w:hAnsi="Arial" w:cs="Arial"/>
        </w:rPr>
      </w:pPr>
      <w:r>
        <w:rPr>
          <w:rFonts w:ascii="Arial" w:hAnsi="Arial" w:cs="Arial"/>
        </w:rPr>
        <w:t>[20]</w:t>
      </w:r>
      <w:r>
        <w:rPr>
          <w:rFonts w:ascii="Arial" w:hAnsi="Arial" w:cs="Arial"/>
        </w:rPr>
        <w:tab/>
        <w:t xml:space="preserve">The difficulty that the applicant has in this application is urgency. During argument, when this question </w:t>
      </w:r>
      <w:r w:rsidR="00C41842">
        <w:rPr>
          <w:rFonts w:ascii="Arial" w:hAnsi="Arial" w:cs="Arial"/>
        </w:rPr>
        <w:t>was posed to Mr Snellenburg, the latter’s</w:t>
      </w:r>
      <w:r>
        <w:rPr>
          <w:rFonts w:ascii="Arial" w:hAnsi="Arial" w:cs="Arial"/>
        </w:rPr>
        <w:t xml:space="preserve"> response was that the urgency lay in the </w:t>
      </w:r>
      <w:r w:rsidR="00C41842">
        <w:rPr>
          <w:rFonts w:ascii="Arial" w:hAnsi="Arial" w:cs="Arial"/>
        </w:rPr>
        <w:t>ongoing</w:t>
      </w:r>
      <w:r>
        <w:rPr>
          <w:rFonts w:ascii="Arial" w:hAnsi="Arial" w:cs="Arial"/>
        </w:rPr>
        <w:t xml:space="preserve"> </w:t>
      </w:r>
      <w:r w:rsidR="00C671F4">
        <w:rPr>
          <w:rFonts w:ascii="Arial" w:hAnsi="Arial" w:cs="Arial"/>
        </w:rPr>
        <w:t>wrong of the monthly payments not being paid to the respondent. Looking at the fact</w:t>
      </w:r>
      <w:r w:rsidR="00C41842">
        <w:rPr>
          <w:rFonts w:ascii="Arial" w:hAnsi="Arial" w:cs="Arial"/>
        </w:rPr>
        <w:t>s of this</w:t>
      </w:r>
      <w:r w:rsidR="00C671F4">
        <w:rPr>
          <w:rFonts w:ascii="Arial" w:hAnsi="Arial" w:cs="Arial"/>
        </w:rPr>
        <w:t xml:space="preserve"> case and the applicant’s own version, any urgency in the matter is entirely self-created. Since December 2022</w:t>
      </w:r>
      <w:r w:rsidR="00C41842">
        <w:rPr>
          <w:rFonts w:ascii="Arial" w:hAnsi="Arial" w:cs="Arial"/>
        </w:rPr>
        <w:t>,</w:t>
      </w:r>
      <w:r w:rsidR="00C671F4">
        <w:rPr>
          <w:rFonts w:ascii="Arial" w:hAnsi="Arial" w:cs="Arial"/>
        </w:rPr>
        <w:t xml:space="preserve"> the applicant knew about the payments which were withheld and the half-hearted </w:t>
      </w:r>
      <w:r w:rsidR="00C41842">
        <w:rPr>
          <w:rFonts w:ascii="Arial" w:hAnsi="Arial" w:cs="Arial"/>
        </w:rPr>
        <w:t>attempts</w:t>
      </w:r>
      <w:r w:rsidR="00C671F4">
        <w:rPr>
          <w:rFonts w:ascii="Arial" w:hAnsi="Arial" w:cs="Arial"/>
        </w:rPr>
        <w:t xml:space="preserve"> at the execution of the warrant are not convincing. The applicant failed to show the urgency which would entitle him to the relief sought in the application on an urgent basis. This part of the application must fail. </w:t>
      </w:r>
    </w:p>
    <w:p w:rsidR="00C671F4" w:rsidRDefault="00C671F4" w:rsidP="000B0F35">
      <w:pPr>
        <w:autoSpaceDE w:val="0"/>
        <w:autoSpaceDN w:val="0"/>
        <w:adjustRightInd w:val="0"/>
        <w:spacing w:before="240" w:after="240" w:line="360" w:lineRule="auto"/>
        <w:ind w:left="567" w:hanging="567"/>
        <w:jc w:val="both"/>
        <w:rPr>
          <w:rFonts w:ascii="Arial" w:hAnsi="Arial" w:cs="Arial"/>
        </w:rPr>
      </w:pPr>
      <w:r>
        <w:rPr>
          <w:rFonts w:ascii="Arial" w:hAnsi="Arial" w:cs="Arial"/>
        </w:rPr>
        <w:t>[22]</w:t>
      </w:r>
      <w:r>
        <w:rPr>
          <w:rFonts w:ascii="Arial" w:hAnsi="Arial" w:cs="Arial"/>
        </w:rPr>
        <w:tab/>
        <w:t xml:space="preserve">It is trite that the successful party is entitled to an order for costs. </w:t>
      </w:r>
    </w:p>
    <w:p w:rsidR="00C671F4" w:rsidRDefault="00C671F4" w:rsidP="000B0F35">
      <w:pPr>
        <w:autoSpaceDE w:val="0"/>
        <w:autoSpaceDN w:val="0"/>
        <w:adjustRightInd w:val="0"/>
        <w:spacing w:before="240" w:after="240" w:line="360" w:lineRule="auto"/>
        <w:ind w:left="567" w:hanging="567"/>
        <w:jc w:val="both"/>
        <w:rPr>
          <w:rFonts w:ascii="Arial" w:hAnsi="Arial" w:cs="Arial"/>
        </w:rPr>
      </w:pPr>
      <w:r>
        <w:rPr>
          <w:rFonts w:ascii="Arial" w:hAnsi="Arial" w:cs="Arial"/>
        </w:rPr>
        <w:t>[23]</w:t>
      </w:r>
      <w:r>
        <w:rPr>
          <w:rFonts w:ascii="Arial" w:hAnsi="Arial" w:cs="Arial"/>
        </w:rPr>
        <w:tab/>
        <w:t>Accordingly</w:t>
      </w:r>
      <w:r w:rsidR="00C41842">
        <w:rPr>
          <w:rFonts w:ascii="Arial" w:hAnsi="Arial" w:cs="Arial"/>
        </w:rPr>
        <w:t>,</w:t>
      </w:r>
      <w:r>
        <w:rPr>
          <w:rFonts w:ascii="Arial" w:hAnsi="Arial" w:cs="Arial"/>
        </w:rPr>
        <w:t xml:space="preserve"> I make the following orders:</w:t>
      </w:r>
    </w:p>
    <w:p w:rsidR="00C671F4" w:rsidRDefault="00C671F4" w:rsidP="000B0F35">
      <w:pPr>
        <w:autoSpaceDE w:val="0"/>
        <w:autoSpaceDN w:val="0"/>
        <w:adjustRightInd w:val="0"/>
        <w:spacing w:before="240" w:after="240" w:line="360" w:lineRule="auto"/>
        <w:ind w:left="567" w:hanging="567"/>
        <w:jc w:val="both"/>
        <w:rPr>
          <w:rFonts w:ascii="Arial" w:hAnsi="Arial" w:cs="Arial"/>
          <w:b/>
          <w:u w:val="single"/>
        </w:rPr>
      </w:pPr>
      <w:r>
        <w:rPr>
          <w:rFonts w:ascii="Arial" w:hAnsi="Arial" w:cs="Arial"/>
          <w:b/>
          <w:u w:val="single"/>
        </w:rPr>
        <w:t>Order:</w:t>
      </w:r>
    </w:p>
    <w:p w:rsidR="00C671F4" w:rsidRDefault="00E22AA0" w:rsidP="00C671F4">
      <w:pPr>
        <w:pStyle w:val="ListParagraph"/>
        <w:numPr>
          <w:ilvl w:val="0"/>
          <w:numId w:val="22"/>
        </w:numPr>
        <w:autoSpaceDE w:val="0"/>
        <w:autoSpaceDN w:val="0"/>
        <w:adjustRightInd w:val="0"/>
        <w:spacing w:before="240" w:after="240" w:line="360" w:lineRule="auto"/>
        <w:jc w:val="both"/>
        <w:rPr>
          <w:rFonts w:ascii="Arial" w:hAnsi="Arial" w:cs="Arial"/>
        </w:rPr>
      </w:pPr>
      <w:r>
        <w:rPr>
          <w:rFonts w:ascii="Arial" w:hAnsi="Arial" w:cs="Arial"/>
        </w:rPr>
        <w:t>Part A</w:t>
      </w:r>
    </w:p>
    <w:p w:rsidR="00C671F4" w:rsidRPr="00C671F4" w:rsidRDefault="00C671F4" w:rsidP="00C671F4">
      <w:pPr>
        <w:pStyle w:val="ListParagraph"/>
        <w:numPr>
          <w:ilvl w:val="1"/>
          <w:numId w:val="22"/>
        </w:numPr>
        <w:autoSpaceDE w:val="0"/>
        <w:autoSpaceDN w:val="0"/>
        <w:adjustRightInd w:val="0"/>
        <w:spacing w:before="240" w:after="240" w:line="360" w:lineRule="auto"/>
        <w:jc w:val="both"/>
        <w:rPr>
          <w:rFonts w:ascii="Arial" w:hAnsi="Arial" w:cs="Arial"/>
        </w:rPr>
      </w:pPr>
      <w:r w:rsidRPr="00C671F4">
        <w:rPr>
          <w:rFonts w:ascii="Arial" w:hAnsi="Arial" w:cs="Arial"/>
        </w:rPr>
        <w:t>The applicant (as the defendant) is hereby granted leave to amend the pleas in accordance with the notice given by him on 22 May 2023.</w:t>
      </w:r>
    </w:p>
    <w:p w:rsidR="00E22AA0" w:rsidRDefault="00C671F4" w:rsidP="00C671F4">
      <w:pPr>
        <w:pStyle w:val="ListParagraph"/>
        <w:numPr>
          <w:ilvl w:val="1"/>
          <w:numId w:val="22"/>
        </w:numPr>
        <w:autoSpaceDE w:val="0"/>
        <w:autoSpaceDN w:val="0"/>
        <w:adjustRightInd w:val="0"/>
        <w:spacing w:before="240" w:after="240" w:line="360" w:lineRule="auto"/>
        <w:jc w:val="both"/>
        <w:rPr>
          <w:rFonts w:ascii="Arial" w:hAnsi="Arial" w:cs="Arial"/>
        </w:rPr>
      </w:pPr>
      <w:r>
        <w:rPr>
          <w:rFonts w:ascii="Arial" w:hAnsi="Arial" w:cs="Arial"/>
        </w:rPr>
        <w:t xml:space="preserve">The applicant is to pay the respondent’s wasted costs </w:t>
      </w:r>
      <w:r w:rsidR="00E22AA0">
        <w:rPr>
          <w:rFonts w:ascii="Arial" w:hAnsi="Arial" w:cs="Arial"/>
        </w:rPr>
        <w:t xml:space="preserve">which shall include the employment of two counsel. </w:t>
      </w:r>
    </w:p>
    <w:p w:rsidR="00E22AA0" w:rsidRDefault="00E22AA0" w:rsidP="00E22AA0">
      <w:pPr>
        <w:pStyle w:val="ListParagraph"/>
        <w:numPr>
          <w:ilvl w:val="0"/>
          <w:numId w:val="22"/>
        </w:numPr>
        <w:autoSpaceDE w:val="0"/>
        <w:autoSpaceDN w:val="0"/>
        <w:adjustRightInd w:val="0"/>
        <w:spacing w:before="240" w:after="240" w:line="360" w:lineRule="auto"/>
        <w:jc w:val="both"/>
        <w:rPr>
          <w:rFonts w:ascii="Arial" w:hAnsi="Arial" w:cs="Arial"/>
        </w:rPr>
      </w:pPr>
      <w:r>
        <w:rPr>
          <w:rFonts w:ascii="Arial" w:hAnsi="Arial" w:cs="Arial"/>
        </w:rPr>
        <w:t>Part B</w:t>
      </w:r>
    </w:p>
    <w:p w:rsidR="00E34260" w:rsidRPr="00E22AA0" w:rsidRDefault="00E22AA0" w:rsidP="00E22AA0">
      <w:pPr>
        <w:pStyle w:val="ListParagraph"/>
        <w:autoSpaceDE w:val="0"/>
        <w:autoSpaceDN w:val="0"/>
        <w:adjustRightInd w:val="0"/>
        <w:spacing w:before="240" w:after="240" w:line="360" w:lineRule="auto"/>
        <w:jc w:val="both"/>
        <w:rPr>
          <w:rFonts w:ascii="Arial" w:hAnsi="Arial" w:cs="Arial"/>
        </w:rPr>
      </w:pPr>
      <w:r>
        <w:rPr>
          <w:rFonts w:ascii="Arial" w:hAnsi="Arial" w:cs="Arial"/>
        </w:rPr>
        <w:lastRenderedPageBreak/>
        <w:t xml:space="preserve">The urgent application contained in Part B is struck from the roll with costs for lack of urgency. </w:t>
      </w:r>
      <w:r w:rsidR="00C671F4" w:rsidRPr="00E22AA0">
        <w:rPr>
          <w:rFonts w:ascii="Arial" w:hAnsi="Arial" w:cs="Arial"/>
        </w:rPr>
        <w:t xml:space="preserve">   </w:t>
      </w:r>
      <w:r w:rsidR="000B0F35" w:rsidRPr="00E22AA0">
        <w:rPr>
          <w:rFonts w:ascii="Arial" w:hAnsi="Arial" w:cs="Arial"/>
        </w:rPr>
        <w:tab/>
      </w:r>
      <w:r w:rsidR="00D074CC" w:rsidRPr="00E22AA0">
        <w:rPr>
          <w:rFonts w:ascii="Arial" w:hAnsi="Arial" w:cs="Arial"/>
        </w:rPr>
        <w:t xml:space="preserve">    </w:t>
      </w:r>
      <w:r w:rsidR="00B0413B" w:rsidRPr="00E22AA0">
        <w:rPr>
          <w:rFonts w:ascii="Arial" w:hAnsi="Arial" w:cs="Arial"/>
        </w:rPr>
        <w:tab/>
      </w:r>
      <w:r w:rsidR="00351E34" w:rsidRPr="00E22AA0">
        <w:rPr>
          <w:rFonts w:ascii="Arial" w:hAnsi="Arial" w:cs="Arial"/>
        </w:rPr>
        <w:t xml:space="preserve">  </w:t>
      </w:r>
    </w:p>
    <w:p w:rsidR="004B596E" w:rsidRPr="009B17DD" w:rsidRDefault="004B596E" w:rsidP="000B0F35">
      <w:pPr>
        <w:pStyle w:val="western"/>
        <w:spacing w:before="240" w:beforeAutospacing="0" w:after="240" w:afterAutospacing="0" w:line="360" w:lineRule="auto"/>
        <w:ind w:left="993" w:hanging="426"/>
        <w:rPr>
          <w:rFonts w:ascii="Arial" w:hAnsi="Arial" w:cs="Arial"/>
          <w:color w:val="000000"/>
        </w:rPr>
      </w:pPr>
    </w:p>
    <w:p w:rsidR="001C5A54" w:rsidRPr="005C4DB8" w:rsidRDefault="001C5A54" w:rsidP="00565D86">
      <w:pPr>
        <w:spacing w:before="240" w:after="240" w:line="360" w:lineRule="auto"/>
        <w:ind w:left="567" w:hanging="567"/>
        <w:jc w:val="both"/>
        <w:rPr>
          <w:rFonts w:ascii="Arial" w:hAnsi="Arial" w:cs="Arial"/>
          <w:color w:val="000000"/>
          <w:lang w:val="en-ZA" w:eastAsia="en-ZA"/>
        </w:rPr>
      </w:pPr>
    </w:p>
    <w:p w:rsidR="005835FE" w:rsidRPr="005C4DB8" w:rsidRDefault="002D3664" w:rsidP="0035047C">
      <w:pPr>
        <w:pStyle w:val="ListParagraph"/>
        <w:ind w:left="5761"/>
        <w:jc w:val="right"/>
        <w:rPr>
          <w:rFonts w:ascii="Arial" w:hAnsi="Arial" w:cs="Arial"/>
          <w:sz w:val="28"/>
          <w:szCs w:val="28"/>
        </w:rPr>
      </w:pPr>
      <w:r w:rsidRPr="005C4DB8">
        <w:rPr>
          <w:rFonts w:ascii="Arial" w:hAnsi="Arial" w:cs="Arial"/>
          <w:sz w:val="28"/>
          <w:szCs w:val="28"/>
        </w:rPr>
        <w:t>___</w:t>
      </w:r>
      <w:r w:rsidR="005835FE" w:rsidRPr="005C4DB8">
        <w:rPr>
          <w:rFonts w:ascii="Arial" w:hAnsi="Arial" w:cs="Arial"/>
          <w:sz w:val="28"/>
          <w:szCs w:val="28"/>
        </w:rPr>
        <w:t>______________</w:t>
      </w:r>
    </w:p>
    <w:p w:rsidR="005835FE" w:rsidRPr="005C4DB8" w:rsidRDefault="00BA2163" w:rsidP="0035047C">
      <w:pPr>
        <w:jc w:val="right"/>
        <w:rPr>
          <w:rFonts w:ascii="Arial" w:hAnsi="Arial" w:cs="Arial"/>
          <w:b/>
          <w:bCs/>
        </w:rPr>
      </w:pP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002B369A" w:rsidRPr="005C4DB8">
        <w:rPr>
          <w:rFonts w:ascii="Arial" w:hAnsi="Arial" w:cs="Arial"/>
          <w:b/>
          <w:bCs/>
        </w:rPr>
        <w:t>MHLAMBI</w:t>
      </w:r>
      <w:r w:rsidR="0035047C" w:rsidRPr="005C4DB8">
        <w:rPr>
          <w:rFonts w:ascii="Arial" w:hAnsi="Arial" w:cs="Arial"/>
          <w:b/>
          <w:bCs/>
        </w:rPr>
        <w:t>,</w:t>
      </w:r>
      <w:r w:rsidR="002B369A" w:rsidRPr="005C4DB8">
        <w:rPr>
          <w:rFonts w:ascii="Arial" w:hAnsi="Arial" w:cs="Arial"/>
          <w:b/>
          <w:bCs/>
        </w:rPr>
        <w:t xml:space="preserve"> J</w:t>
      </w:r>
    </w:p>
    <w:p w:rsidR="005835FE" w:rsidRPr="005C4DB8" w:rsidRDefault="005835FE" w:rsidP="0035047C">
      <w:pPr>
        <w:jc w:val="right"/>
        <w:rPr>
          <w:rFonts w:ascii="Arial" w:hAnsi="Arial" w:cs="Arial"/>
        </w:rPr>
      </w:pPr>
    </w:p>
    <w:p w:rsidR="005835FE" w:rsidRPr="005C4DB8" w:rsidRDefault="005835FE" w:rsidP="005B271F">
      <w:pPr>
        <w:spacing w:line="360" w:lineRule="auto"/>
        <w:jc w:val="both"/>
        <w:rPr>
          <w:rFonts w:ascii="Arial" w:hAnsi="Arial" w:cs="Arial"/>
        </w:rPr>
      </w:pPr>
    </w:p>
    <w:p w:rsidR="00E5549C" w:rsidRPr="005C4DB8" w:rsidRDefault="005960F0" w:rsidP="00E5549C">
      <w:pPr>
        <w:spacing w:line="360" w:lineRule="auto"/>
        <w:ind w:left="851" w:hanging="851"/>
        <w:rPr>
          <w:rFonts w:ascii="Arial" w:hAnsi="Arial" w:cs="Arial"/>
          <w:color w:val="000000" w:themeColor="text1"/>
        </w:rPr>
      </w:pPr>
      <w:r w:rsidRPr="005C4DB8">
        <w:rPr>
          <w:rFonts w:ascii="Arial" w:hAnsi="Arial" w:cs="Arial"/>
          <w:color w:val="000000" w:themeColor="text1"/>
        </w:rPr>
        <w:t xml:space="preserve">On behalf of </w:t>
      </w:r>
      <w:r w:rsidR="00BA7A5E" w:rsidRPr="005C4DB8">
        <w:rPr>
          <w:rFonts w:ascii="Arial" w:hAnsi="Arial" w:cs="Arial"/>
          <w:color w:val="000000" w:themeColor="text1"/>
        </w:rPr>
        <w:t xml:space="preserve">the </w:t>
      </w:r>
      <w:r w:rsidR="00E22AA0">
        <w:rPr>
          <w:rFonts w:ascii="Arial" w:hAnsi="Arial" w:cs="Arial"/>
          <w:color w:val="000000" w:themeColor="text1"/>
        </w:rPr>
        <w:t>Applicant</w:t>
      </w:r>
      <w:r w:rsidRPr="005C4DB8">
        <w:rPr>
          <w:rFonts w:ascii="Arial" w:hAnsi="Arial" w:cs="Arial"/>
          <w:color w:val="000000" w:themeColor="text1"/>
        </w:rPr>
        <w:t>:</w:t>
      </w:r>
      <w:r w:rsidR="00F24BE3" w:rsidRPr="005C4DB8">
        <w:rPr>
          <w:rFonts w:ascii="Arial" w:hAnsi="Arial" w:cs="Arial"/>
          <w:color w:val="000000" w:themeColor="text1"/>
        </w:rPr>
        <w:t xml:space="preserve">  </w:t>
      </w:r>
      <w:r w:rsidR="00E22AA0">
        <w:rPr>
          <w:rFonts w:ascii="Arial" w:hAnsi="Arial" w:cs="Arial"/>
          <w:color w:val="000000" w:themeColor="text1"/>
        </w:rPr>
        <w:t>Adv N Snellenbug SC, Adv Van Rensburg/ Adv L Moeng</w:t>
      </w:r>
      <w:r w:rsidR="00FA3679" w:rsidRPr="005C4DB8">
        <w:rPr>
          <w:rFonts w:ascii="Arial" w:hAnsi="Arial" w:cs="Arial"/>
          <w:color w:val="000000" w:themeColor="text1"/>
        </w:rPr>
        <w:t xml:space="preserve"> </w:t>
      </w:r>
    </w:p>
    <w:p w:rsidR="00E5549C" w:rsidRPr="005C4DB8" w:rsidRDefault="005960F0" w:rsidP="00FA3679">
      <w:pPr>
        <w:tabs>
          <w:tab w:val="left" w:pos="2977"/>
        </w:tabs>
        <w:ind w:left="851" w:hanging="851"/>
        <w:rPr>
          <w:rFonts w:ascii="Arial" w:hAnsi="Arial" w:cs="Arial"/>
          <w:color w:val="000000" w:themeColor="text1"/>
        </w:rPr>
      </w:pPr>
      <w:r w:rsidRPr="005C4DB8">
        <w:rPr>
          <w:rFonts w:ascii="Arial" w:hAnsi="Arial" w:cs="Arial"/>
          <w:color w:val="000000" w:themeColor="text1"/>
        </w:rPr>
        <w:t>Instructed by:</w:t>
      </w:r>
      <w:r w:rsidR="00F24BE3" w:rsidRPr="005C4DB8">
        <w:rPr>
          <w:rFonts w:ascii="Arial" w:hAnsi="Arial" w:cs="Arial"/>
          <w:color w:val="000000" w:themeColor="text1"/>
        </w:rPr>
        <w:t xml:space="preserve">                </w:t>
      </w:r>
      <w:r w:rsidR="003F410D" w:rsidRPr="005C4DB8">
        <w:rPr>
          <w:rFonts w:ascii="Arial" w:hAnsi="Arial" w:cs="Arial"/>
          <w:color w:val="000000" w:themeColor="text1"/>
        </w:rPr>
        <w:t xml:space="preserve">  </w:t>
      </w:r>
      <w:r w:rsidR="005B56EE" w:rsidRPr="005C4DB8">
        <w:rPr>
          <w:rFonts w:ascii="Arial" w:hAnsi="Arial" w:cs="Arial"/>
          <w:color w:val="000000" w:themeColor="text1"/>
        </w:rPr>
        <w:t xml:space="preserve"> </w:t>
      </w:r>
      <w:r w:rsidR="009E06E4" w:rsidRPr="005C4DB8">
        <w:rPr>
          <w:rFonts w:ascii="Arial" w:hAnsi="Arial" w:cs="Arial"/>
          <w:color w:val="000000" w:themeColor="text1"/>
        </w:rPr>
        <w:t xml:space="preserve">   </w:t>
      </w:r>
      <w:r w:rsidR="00FA3679" w:rsidRPr="005C4DB8">
        <w:rPr>
          <w:rFonts w:ascii="Arial" w:hAnsi="Arial" w:cs="Arial"/>
          <w:color w:val="000000" w:themeColor="text1"/>
        </w:rPr>
        <w:t xml:space="preserve"> </w:t>
      </w:r>
      <w:r w:rsidR="00E22AA0">
        <w:rPr>
          <w:rFonts w:ascii="Arial" w:hAnsi="Arial" w:cs="Arial"/>
          <w:color w:val="000000" w:themeColor="text1"/>
        </w:rPr>
        <w:t>EG Cooper Majiedt</w:t>
      </w:r>
    </w:p>
    <w:p w:rsidR="005960F0" w:rsidRPr="005C4DB8" w:rsidRDefault="00E5549C" w:rsidP="00FA3679">
      <w:pPr>
        <w:tabs>
          <w:tab w:val="left" w:pos="2977"/>
        </w:tabs>
        <w:ind w:left="851" w:hanging="851"/>
        <w:rPr>
          <w:rFonts w:ascii="Arial" w:hAnsi="Arial" w:cs="Arial"/>
          <w:color w:val="000000" w:themeColor="text1"/>
        </w:rPr>
      </w:pPr>
      <w:r w:rsidRPr="005C4DB8">
        <w:rPr>
          <w:rFonts w:ascii="Arial" w:hAnsi="Arial" w:cs="Arial"/>
          <w:color w:val="000000" w:themeColor="text1"/>
        </w:rPr>
        <w:tab/>
        <w:t xml:space="preserve">                           </w:t>
      </w:r>
      <w:r w:rsidR="005B56EE" w:rsidRPr="005C4DB8">
        <w:rPr>
          <w:rFonts w:ascii="Arial" w:hAnsi="Arial" w:cs="Arial"/>
          <w:color w:val="000000" w:themeColor="text1"/>
        </w:rPr>
        <w:t xml:space="preserve"> </w:t>
      </w:r>
      <w:r w:rsidR="00FA3679" w:rsidRPr="005C4DB8">
        <w:rPr>
          <w:rFonts w:ascii="Arial" w:hAnsi="Arial" w:cs="Arial"/>
          <w:color w:val="000000" w:themeColor="text1"/>
        </w:rPr>
        <w:t xml:space="preserve">   </w:t>
      </w:r>
      <w:r w:rsidR="00E22AA0">
        <w:rPr>
          <w:rFonts w:ascii="Arial" w:hAnsi="Arial" w:cs="Arial"/>
          <w:color w:val="000000" w:themeColor="text1"/>
        </w:rPr>
        <w:t xml:space="preserve"> 77 Kellner Street</w:t>
      </w:r>
    </w:p>
    <w:p w:rsidR="00C20DEE" w:rsidRPr="005C4DB8" w:rsidRDefault="00C20DEE" w:rsidP="00FA3679">
      <w:pPr>
        <w:tabs>
          <w:tab w:val="left" w:pos="2977"/>
        </w:tabs>
        <w:ind w:left="851" w:hanging="851"/>
        <w:rPr>
          <w:rFonts w:ascii="Arial" w:hAnsi="Arial" w:cs="Arial"/>
          <w:color w:val="000000" w:themeColor="text1"/>
        </w:rPr>
      </w:pPr>
      <w:r w:rsidRPr="005C4DB8">
        <w:rPr>
          <w:rFonts w:ascii="Arial" w:hAnsi="Arial" w:cs="Arial"/>
          <w:color w:val="000000" w:themeColor="text1"/>
        </w:rPr>
        <w:tab/>
        <w:t xml:space="preserve">                           </w:t>
      </w:r>
      <w:r w:rsidR="009E06E4" w:rsidRPr="005C4DB8">
        <w:rPr>
          <w:rFonts w:ascii="Arial" w:hAnsi="Arial" w:cs="Arial"/>
          <w:color w:val="000000" w:themeColor="text1"/>
        </w:rPr>
        <w:t xml:space="preserve">   </w:t>
      </w:r>
      <w:r w:rsidR="00FA3679" w:rsidRPr="005C4DB8">
        <w:rPr>
          <w:rFonts w:ascii="Arial" w:hAnsi="Arial" w:cs="Arial"/>
          <w:color w:val="000000" w:themeColor="text1"/>
        </w:rPr>
        <w:t xml:space="preserve">  Westdene </w:t>
      </w:r>
      <w:r w:rsidRPr="005C4DB8">
        <w:rPr>
          <w:rFonts w:ascii="Arial" w:hAnsi="Arial" w:cs="Arial"/>
          <w:color w:val="000000" w:themeColor="text1"/>
        </w:rPr>
        <w:t xml:space="preserve"> </w:t>
      </w:r>
    </w:p>
    <w:p w:rsidR="00E5481E" w:rsidRPr="005C4DB8" w:rsidRDefault="00F24BE3" w:rsidP="00FA3679">
      <w:pPr>
        <w:tabs>
          <w:tab w:val="left" w:pos="2880"/>
        </w:tabs>
        <w:ind w:left="851" w:hanging="851"/>
        <w:rPr>
          <w:rFonts w:ascii="Arial" w:hAnsi="Arial" w:cs="Arial"/>
          <w:color w:val="000000" w:themeColor="text1"/>
        </w:rPr>
      </w:pPr>
      <w:r w:rsidRPr="005C4DB8">
        <w:rPr>
          <w:rFonts w:ascii="Arial" w:hAnsi="Arial" w:cs="Arial"/>
          <w:color w:val="000000" w:themeColor="text1"/>
        </w:rPr>
        <w:t xml:space="preserve">                                       </w:t>
      </w:r>
      <w:r w:rsidR="003F410D" w:rsidRPr="005C4DB8">
        <w:rPr>
          <w:rFonts w:ascii="Arial" w:hAnsi="Arial" w:cs="Arial"/>
          <w:color w:val="000000" w:themeColor="text1"/>
        </w:rPr>
        <w:t xml:space="preserve"> </w:t>
      </w:r>
      <w:r w:rsidR="005B56EE" w:rsidRPr="005C4DB8">
        <w:rPr>
          <w:rFonts w:ascii="Arial" w:hAnsi="Arial" w:cs="Arial"/>
          <w:color w:val="000000" w:themeColor="text1"/>
        </w:rPr>
        <w:t xml:space="preserve"> </w:t>
      </w:r>
      <w:r w:rsidR="009E06E4" w:rsidRPr="005C4DB8">
        <w:rPr>
          <w:rFonts w:ascii="Arial" w:hAnsi="Arial" w:cs="Arial"/>
          <w:color w:val="000000" w:themeColor="text1"/>
        </w:rPr>
        <w:tab/>
      </w:r>
      <w:r w:rsidR="00FA3679" w:rsidRPr="005C4DB8">
        <w:rPr>
          <w:rFonts w:ascii="Arial" w:hAnsi="Arial" w:cs="Arial"/>
          <w:color w:val="000000" w:themeColor="text1"/>
        </w:rPr>
        <w:t xml:space="preserve"> </w:t>
      </w:r>
      <w:r w:rsidRPr="005C4DB8">
        <w:rPr>
          <w:rFonts w:ascii="Arial" w:hAnsi="Arial" w:cs="Arial"/>
          <w:color w:val="000000" w:themeColor="text1"/>
        </w:rPr>
        <w:t>Bloemfontein</w:t>
      </w:r>
    </w:p>
    <w:p w:rsidR="00E5481E" w:rsidRPr="005C4DB8" w:rsidRDefault="00E5481E" w:rsidP="007C2356">
      <w:pPr>
        <w:ind w:left="851" w:hanging="851"/>
        <w:rPr>
          <w:rFonts w:ascii="Arial" w:hAnsi="Arial" w:cs="Arial"/>
          <w:color w:val="000000" w:themeColor="text1"/>
        </w:rPr>
      </w:pPr>
    </w:p>
    <w:p w:rsidR="00E5481E" w:rsidRPr="005C4DB8" w:rsidRDefault="00E5481E" w:rsidP="007C2356">
      <w:pPr>
        <w:ind w:left="851" w:hanging="851"/>
        <w:rPr>
          <w:rFonts w:ascii="Arial" w:hAnsi="Arial" w:cs="Arial"/>
          <w:color w:val="000000" w:themeColor="text1"/>
        </w:rPr>
      </w:pPr>
    </w:p>
    <w:p w:rsidR="005960F0" w:rsidRPr="005C4DB8" w:rsidRDefault="005960F0" w:rsidP="002F71C5">
      <w:pPr>
        <w:spacing w:line="360" w:lineRule="auto"/>
        <w:ind w:left="851" w:hanging="851"/>
        <w:rPr>
          <w:rFonts w:ascii="Arial" w:hAnsi="Arial" w:cs="Arial"/>
          <w:color w:val="000000" w:themeColor="text1"/>
        </w:rPr>
      </w:pPr>
      <w:r w:rsidRPr="005C4DB8">
        <w:rPr>
          <w:rFonts w:ascii="Arial" w:hAnsi="Arial" w:cs="Arial"/>
          <w:color w:val="000000" w:themeColor="text1"/>
        </w:rPr>
        <w:t xml:space="preserve">On behalf of </w:t>
      </w:r>
      <w:r w:rsidR="00BA7A5E" w:rsidRPr="005C4DB8">
        <w:rPr>
          <w:rFonts w:ascii="Arial" w:hAnsi="Arial" w:cs="Arial"/>
          <w:color w:val="000000" w:themeColor="text1"/>
        </w:rPr>
        <w:t xml:space="preserve">the </w:t>
      </w:r>
      <w:r w:rsidRPr="005C4DB8">
        <w:rPr>
          <w:rFonts w:ascii="Arial" w:hAnsi="Arial" w:cs="Arial"/>
          <w:color w:val="000000" w:themeColor="text1"/>
        </w:rPr>
        <w:t>respondent:</w:t>
      </w:r>
      <w:r w:rsidR="00F24BE3" w:rsidRPr="005C4DB8">
        <w:rPr>
          <w:rFonts w:ascii="Arial" w:hAnsi="Arial" w:cs="Arial"/>
          <w:color w:val="000000" w:themeColor="text1"/>
        </w:rPr>
        <w:t xml:space="preserve"> </w:t>
      </w:r>
      <w:r w:rsidR="003F410D" w:rsidRPr="005C4DB8">
        <w:rPr>
          <w:rFonts w:ascii="Arial" w:hAnsi="Arial" w:cs="Arial"/>
          <w:color w:val="000000" w:themeColor="text1"/>
        </w:rPr>
        <w:t xml:space="preserve"> </w:t>
      </w:r>
      <w:r w:rsidR="00F24BE3" w:rsidRPr="005C4DB8">
        <w:rPr>
          <w:rFonts w:ascii="Arial" w:hAnsi="Arial" w:cs="Arial"/>
          <w:color w:val="000000" w:themeColor="text1"/>
        </w:rPr>
        <w:t>Adv</w:t>
      </w:r>
      <w:r w:rsidR="00CA6CD3" w:rsidRPr="005C4DB8">
        <w:rPr>
          <w:rFonts w:ascii="Arial" w:hAnsi="Arial" w:cs="Arial"/>
          <w:color w:val="000000" w:themeColor="text1"/>
        </w:rPr>
        <w:t xml:space="preserve">. </w:t>
      </w:r>
      <w:r w:rsidR="00E22AA0">
        <w:rPr>
          <w:rFonts w:ascii="Arial" w:hAnsi="Arial" w:cs="Arial"/>
          <w:color w:val="000000" w:themeColor="text1"/>
        </w:rPr>
        <w:t>DC Joubert SC, Adv N Mauritz</w:t>
      </w:r>
      <w:r w:rsidR="00F24BE3" w:rsidRPr="005C4DB8">
        <w:rPr>
          <w:rFonts w:ascii="Arial" w:hAnsi="Arial" w:cs="Arial"/>
          <w:color w:val="000000" w:themeColor="text1"/>
        </w:rPr>
        <w:t xml:space="preserve"> </w:t>
      </w:r>
      <w:r w:rsidR="005B56EE" w:rsidRPr="005C4DB8">
        <w:rPr>
          <w:rFonts w:ascii="Arial" w:hAnsi="Arial" w:cs="Arial"/>
          <w:color w:val="000000" w:themeColor="text1"/>
        </w:rPr>
        <w:t xml:space="preserve"> </w:t>
      </w:r>
    </w:p>
    <w:p w:rsidR="00D82B1F" w:rsidRPr="005C4DB8" w:rsidRDefault="005960F0" w:rsidP="00FA3679">
      <w:pPr>
        <w:rPr>
          <w:rFonts w:ascii="Arial" w:hAnsi="Arial" w:cs="Arial"/>
          <w:color w:val="000000" w:themeColor="text1"/>
        </w:rPr>
      </w:pPr>
      <w:r w:rsidRPr="005C4DB8">
        <w:rPr>
          <w:rFonts w:ascii="Arial" w:hAnsi="Arial" w:cs="Arial"/>
          <w:color w:val="000000" w:themeColor="text1"/>
        </w:rPr>
        <w:t>Instructed by:</w:t>
      </w:r>
      <w:r w:rsidRPr="005C4DB8">
        <w:rPr>
          <w:rFonts w:ascii="Arial" w:hAnsi="Arial" w:cs="Arial"/>
          <w:color w:val="000000" w:themeColor="text1"/>
        </w:rPr>
        <w:tab/>
      </w:r>
      <w:r w:rsidRPr="005C4DB8">
        <w:rPr>
          <w:rFonts w:ascii="Arial" w:hAnsi="Arial" w:cs="Arial"/>
          <w:color w:val="000000" w:themeColor="text1"/>
        </w:rPr>
        <w:tab/>
      </w:r>
      <w:r w:rsidR="006751B4" w:rsidRPr="005C4DB8">
        <w:rPr>
          <w:rFonts w:ascii="Arial" w:hAnsi="Arial" w:cs="Arial"/>
          <w:color w:val="000000" w:themeColor="text1"/>
        </w:rPr>
        <w:t xml:space="preserve">    </w:t>
      </w:r>
      <w:r w:rsidR="00FA3679" w:rsidRPr="005C4DB8">
        <w:rPr>
          <w:rFonts w:ascii="Arial" w:hAnsi="Arial" w:cs="Arial"/>
          <w:color w:val="000000" w:themeColor="text1"/>
        </w:rPr>
        <w:t xml:space="preserve">Symington &amp; De Kok Attorneys </w:t>
      </w:r>
    </w:p>
    <w:p w:rsidR="00D82B1F" w:rsidRPr="005C4DB8" w:rsidRDefault="00F24BE3" w:rsidP="00FA3679">
      <w:pPr>
        <w:rPr>
          <w:rFonts w:ascii="Arial" w:hAnsi="Arial" w:cs="Arial"/>
          <w:color w:val="000000" w:themeColor="text1"/>
        </w:rPr>
      </w:pPr>
      <w:r w:rsidRPr="005C4DB8">
        <w:rPr>
          <w:rFonts w:ascii="Arial" w:hAnsi="Arial" w:cs="Arial"/>
          <w:color w:val="000000" w:themeColor="text1"/>
        </w:rPr>
        <w:t xml:space="preserve">                                           </w:t>
      </w:r>
      <w:r w:rsidR="006751B4" w:rsidRPr="005C4DB8">
        <w:rPr>
          <w:rFonts w:ascii="Arial" w:hAnsi="Arial" w:cs="Arial"/>
          <w:color w:val="000000" w:themeColor="text1"/>
        </w:rPr>
        <w:t xml:space="preserve">    </w:t>
      </w:r>
      <w:r w:rsidR="00D82B1F" w:rsidRPr="005C4DB8">
        <w:rPr>
          <w:rFonts w:ascii="Arial" w:hAnsi="Arial" w:cs="Arial"/>
          <w:color w:val="000000" w:themeColor="text1"/>
        </w:rPr>
        <w:t>1</w:t>
      </w:r>
      <w:r w:rsidR="00FA3679" w:rsidRPr="005C4DB8">
        <w:rPr>
          <w:rFonts w:ascii="Arial" w:hAnsi="Arial" w:cs="Arial"/>
          <w:color w:val="000000" w:themeColor="text1"/>
        </w:rPr>
        <w:t xml:space="preserve">69B Nelson Mandela Drive </w:t>
      </w:r>
    </w:p>
    <w:p w:rsidR="00D82B1F" w:rsidRPr="005C4DB8" w:rsidRDefault="00D82B1F" w:rsidP="00FA3679">
      <w:pPr>
        <w:rPr>
          <w:rFonts w:ascii="Arial" w:hAnsi="Arial" w:cs="Arial"/>
          <w:color w:val="000000" w:themeColor="text1"/>
        </w:rPr>
      </w:pPr>
      <w:r w:rsidRPr="005C4DB8">
        <w:rPr>
          <w:rFonts w:ascii="Arial" w:hAnsi="Arial" w:cs="Arial"/>
          <w:color w:val="000000" w:themeColor="text1"/>
        </w:rPr>
        <w:t xml:space="preserve">                                            </w:t>
      </w:r>
      <w:r w:rsidR="006751B4" w:rsidRPr="005C4DB8">
        <w:rPr>
          <w:rFonts w:ascii="Arial" w:hAnsi="Arial" w:cs="Arial"/>
          <w:color w:val="000000" w:themeColor="text1"/>
        </w:rPr>
        <w:t xml:space="preserve">   </w:t>
      </w:r>
      <w:r w:rsidRPr="005C4DB8">
        <w:rPr>
          <w:rFonts w:ascii="Arial" w:hAnsi="Arial" w:cs="Arial"/>
          <w:color w:val="000000" w:themeColor="text1"/>
        </w:rPr>
        <w:t>Westdene</w:t>
      </w:r>
    </w:p>
    <w:p w:rsidR="005960F0" w:rsidRPr="005C4DB8" w:rsidRDefault="00D82B1F" w:rsidP="00FA3679">
      <w:pPr>
        <w:rPr>
          <w:rFonts w:ascii="Arial" w:hAnsi="Arial" w:cs="Arial"/>
          <w:color w:val="000000" w:themeColor="text1"/>
        </w:rPr>
      </w:pPr>
      <w:r w:rsidRPr="005C4DB8">
        <w:rPr>
          <w:rFonts w:ascii="Arial" w:hAnsi="Arial" w:cs="Arial"/>
          <w:color w:val="000000" w:themeColor="text1"/>
        </w:rPr>
        <w:t xml:space="preserve">                                            </w:t>
      </w:r>
      <w:r w:rsidR="006751B4" w:rsidRPr="005C4DB8">
        <w:rPr>
          <w:rFonts w:ascii="Arial" w:hAnsi="Arial" w:cs="Arial"/>
          <w:color w:val="000000" w:themeColor="text1"/>
        </w:rPr>
        <w:t xml:space="preserve">   </w:t>
      </w:r>
      <w:r w:rsidR="00F24BE3" w:rsidRPr="005C4DB8">
        <w:rPr>
          <w:rFonts w:ascii="Arial" w:hAnsi="Arial" w:cs="Arial"/>
          <w:color w:val="000000" w:themeColor="text1"/>
        </w:rPr>
        <w:t>BLOEMFONTEIN</w:t>
      </w:r>
      <w:r w:rsidR="005960F0" w:rsidRPr="005C4DB8">
        <w:rPr>
          <w:rFonts w:ascii="Arial" w:hAnsi="Arial" w:cs="Arial"/>
          <w:color w:val="000000" w:themeColor="text1"/>
        </w:rPr>
        <w:tab/>
      </w:r>
      <w:r w:rsidR="005960F0" w:rsidRPr="005C4DB8">
        <w:rPr>
          <w:rFonts w:ascii="Arial" w:hAnsi="Arial" w:cs="Arial"/>
          <w:color w:val="000000" w:themeColor="text1"/>
        </w:rPr>
        <w:tab/>
      </w:r>
      <w:r w:rsidR="005960F0" w:rsidRPr="005C4DB8">
        <w:rPr>
          <w:rFonts w:ascii="Arial" w:hAnsi="Arial" w:cs="Arial"/>
          <w:color w:val="000000" w:themeColor="text1"/>
        </w:rPr>
        <w:tab/>
      </w:r>
    </w:p>
    <w:p w:rsidR="005960F0" w:rsidRPr="005C4DB8" w:rsidRDefault="005960F0"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8321CA">
      <w:pPr>
        <w:spacing w:line="360" w:lineRule="auto"/>
        <w:jc w:val="both"/>
        <w:rPr>
          <w:rFonts w:ascii="Arial" w:hAnsi="Arial" w:cs="Arial"/>
          <w:sz w:val="28"/>
          <w:szCs w:val="28"/>
        </w:rPr>
      </w:pPr>
    </w:p>
    <w:sectPr w:rsidR="00677E1C" w:rsidRPr="005C4DB8" w:rsidSect="00CA6CD3">
      <w:headerReference w:type="default" r:id="rId10"/>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BC" w:rsidRDefault="003E1ABC" w:rsidP="00DA5395">
      <w:r>
        <w:separator/>
      </w:r>
    </w:p>
  </w:endnote>
  <w:endnote w:type="continuationSeparator" w:id="0">
    <w:p w:rsidR="003E1ABC" w:rsidRDefault="003E1ABC" w:rsidP="00DA5395">
      <w:r>
        <w:continuationSeparator/>
      </w:r>
    </w:p>
  </w:endnote>
  <w:endnote w:type="continuationNotice" w:id="1">
    <w:p w:rsidR="003E1ABC" w:rsidRDefault="003E1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BC" w:rsidRDefault="003E1ABC" w:rsidP="00DA5395">
      <w:r>
        <w:separator/>
      </w:r>
    </w:p>
  </w:footnote>
  <w:footnote w:type="continuationSeparator" w:id="0">
    <w:p w:rsidR="003E1ABC" w:rsidRDefault="003E1ABC" w:rsidP="00DA5395">
      <w:r>
        <w:continuationSeparator/>
      </w:r>
    </w:p>
  </w:footnote>
  <w:footnote w:type="continuationNotice" w:id="1">
    <w:p w:rsidR="003E1ABC" w:rsidRDefault="003E1ABC"/>
  </w:footnote>
  <w:footnote w:id="2">
    <w:p w:rsidR="005C3F28" w:rsidRPr="008276F6" w:rsidRDefault="005C3F28" w:rsidP="004B596E">
      <w:pPr>
        <w:pStyle w:val="FootnoteText"/>
        <w:rPr>
          <w:rFonts w:ascii="Arial" w:hAnsi="Arial" w:cs="Arial"/>
        </w:rPr>
      </w:pPr>
      <w:r w:rsidRPr="00C51F37">
        <w:rPr>
          <w:rStyle w:val="FootnoteReference"/>
        </w:rPr>
        <w:footnoteRef/>
      </w:r>
      <w:r w:rsidRPr="00C51F37">
        <w:t xml:space="preserve"> </w:t>
      </w:r>
      <w:r w:rsidRPr="00C51F37">
        <w:rPr>
          <w:rFonts w:ascii="Arial" w:hAnsi="Arial" w:cs="Arial"/>
        </w:rPr>
        <w:t>Erasmus: Superior Court Practice:</w:t>
      </w:r>
      <w:r>
        <w:rPr>
          <w:rFonts w:ascii="Arial" w:hAnsi="Arial" w:cs="Arial"/>
        </w:rPr>
        <w:t xml:space="preserve"> RS 20, 2022, D1-331.</w:t>
      </w:r>
    </w:p>
  </w:footnote>
  <w:footnote w:id="3">
    <w:p w:rsidR="005C3F28" w:rsidRDefault="005C3F28" w:rsidP="004B596E">
      <w:pPr>
        <w:pStyle w:val="FootnoteText"/>
      </w:pPr>
      <w:r>
        <w:rPr>
          <w:rStyle w:val="FootnoteReference"/>
        </w:rPr>
        <w:footnoteRef/>
      </w:r>
      <w:r>
        <w:t xml:space="preserve"> 1927 CPD 27 at 29.</w:t>
      </w:r>
    </w:p>
  </w:footnote>
  <w:footnote w:id="4">
    <w:p w:rsidR="005C3F28" w:rsidRDefault="005C3F28" w:rsidP="004B596E">
      <w:pPr>
        <w:pStyle w:val="FootnoteText"/>
      </w:pPr>
      <w:r>
        <w:rPr>
          <w:rStyle w:val="FootnoteReference"/>
        </w:rPr>
        <w:footnoteRef/>
      </w:r>
      <w:r>
        <w:t xml:space="preserve"> Erasmus: Superior Court Practice: RS 20, D1-332.</w:t>
      </w:r>
    </w:p>
  </w:footnote>
  <w:footnote w:id="5">
    <w:p w:rsidR="005C3F28" w:rsidRPr="006729E4" w:rsidRDefault="005C3F28" w:rsidP="00C51F37">
      <w:pPr>
        <w:pStyle w:val="FootnoteText"/>
        <w:ind w:left="142" w:hanging="142"/>
        <w:rPr>
          <w:lang w:val="en-ZA"/>
        </w:rPr>
      </w:pPr>
      <w:r>
        <w:rPr>
          <w:rStyle w:val="FootnoteReference"/>
        </w:rPr>
        <w:footnoteRef/>
      </w:r>
      <w:r>
        <w:t xml:space="preserve"> (1741/2021) [2021] ZAWCHC 261 (3 December 2021); Nala Local Municipality v LFC Meule (Pty) Ltd (Unreported, FB Case No 617/2018 dated 14 March 2022. </w:t>
      </w:r>
    </w:p>
  </w:footnote>
  <w:footnote w:id="6">
    <w:p w:rsidR="005C3F28" w:rsidRPr="00501305" w:rsidRDefault="005C3F28" w:rsidP="004B596E">
      <w:pPr>
        <w:pStyle w:val="FootnoteText"/>
        <w:rPr>
          <w:lang w:val="en-US"/>
        </w:rPr>
      </w:pPr>
      <w:r>
        <w:rPr>
          <w:rStyle w:val="FootnoteReference"/>
        </w:rPr>
        <w:footnoteRef/>
      </w:r>
      <w:r>
        <w:t xml:space="preserve"> </w:t>
      </w:r>
      <w:r w:rsidRPr="00501305">
        <w:rPr>
          <w:rFonts w:ascii="Verdana" w:hAnsi="Verdana"/>
          <w:bCs/>
          <w:color w:val="000000"/>
          <w:lang w:eastAsia="en-ZA"/>
        </w:rPr>
        <w:t>2016 (5) SA 202 (WCC)   </w:t>
      </w:r>
    </w:p>
  </w:footnote>
  <w:footnote w:id="7">
    <w:p w:rsidR="005C3F28" w:rsidRDefault="005C3F28" w:rsidP="004B596E">
      <w:pPr>
        <w:pStyle w:val="FootnoteText"/>
      </w:pPr>
      <w:r>
        <w:rPr>
          <w:rStyle w:val="FootnoteReference"/>
        </w:rPr>
        <w:footnoteRef/>
      </w:r>
      <w:r>
        <w:t xml:space="preserve"> Trans-Drakensberg Bank Ltd (Under Judicial Management) v Combined Engineering (Pty) Ltd and another 1967 (3) SA 632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28" w:rsidRDefault="003E1ABC">
    <w:pPr>
      <w:pStyle w:val="Header"/>
      <w:jc w:val="right"/>
    </w:pPr>
    <w:sdt>
      <w:sdtPr>
        <w:id w:val="1641074034"/>
        <w:docPartObj>
          <w:docPartGallery w:val="Page Numbers (Top of Page)"/>
          <w:docPartUnique/>
        </w:docPartObj>
      </w:sdtPr>
      <w:sdtEndPr>
        <w:rPr>
          <w:noProof/>
        </w:rPr>
      </w:sdtEndPr>
      <w:sdtContent>
        <w:r w:rsidR="005C3F28">
          <w:fldChar w:fldCharType="begin"/>
        </w:r>
        <w:r w:rsidR="005C3F28">
          <w:instrText xml:space="preserve"> PAGE   \* MERGEFORMAT </w:instrText>
        </w:r>
        <w:r w:rsidR="005C3F28">
          <w:fldChar w:fldCharType="separate"/>
        </w:r>
        <w:r w:rsidR="00E73AB9">
          <w:rPr>
            <w:noProof/>
          </w:rPr>
          <w:t>2</w:t>
        </w:r>
        <w:r w:rsidR="005C3F28">
          <w:rPr>
            <w:noProof/>
          </w:rPr>
          <w:fldChar w:fldCharType="end"/>
        </w:r>
      </w:sdtContent>
    </w:sdt>
  </w:p>
  <w:p w:rsidR="005C3F28" w:rsidRDefault="005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nsid w:val="1ECA6BFD"/>
    <w:multiLevelType w:val="hybridMultilevel"/>
    <w:tmpl w:val="5CFEE5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C74CCD"/>
    <w:multiLevelType w:val="hybridMultilevel"/>
    <w:tmpl w:val="5E2886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A5002B"/>
    <w:multiLevelType w:val="hybridMultilevel"/>
    <w:tmpl w:val="4202C18E"/>
    <w:lvl w:ilvl="0" w:tplc="E48EDF40">
      <w:start w:val="2"/>
      <w:numFmt w:val="lowerRoman"/>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671391"/>
    <w:multiLevelType w:val="hybridMultilevel"/>
    <w:tmpl w:val="FB98B69C"/>
    <w:lvl w:ilvl="0" w:tplc="3782FF1A">
      <w:start w:val="1"/>
      <w:numFmt w:val="lowerRoman"/>
      <w:lvlText w:val="(%1)"/>
      <w:lvlJc w:val="left"/>
      <w:pPr>
        <w:ind w:left="1440" w:hanging="360"/>
      </w:pPr>
      <w:rPr>
        <w:rFonts w:ascii="Arial" w:eastAsia="Times New Roman" w:hAnsi="Arial" w:cs="Arial"/>
        <w:color w:val="auto"/>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CFD5BBE"/>
    <w:multiLevelType w:val="hybridMultilevel"/>
    <w:tmpl w:val="219CE982"/>
    <w:lvl w:ilvl="0" w:tplc="FDA8D7B6">
      <w:start w:val="1"/>
      <w:numFmt w:val="decimal"/>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52AE1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507D8E"/>
    <w:multiLevelType w:val="multilevel"/>
    <w:tmpl w:val="50460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F0D310D"/>
    <w:multiLevelType w:val="hybridMultilevel"/>
    <w:tmpl w:val="122C92D8"/>
    <w:lvl w:ilvl="0" w:tplc="6D688BBC">
      <w:start w:val="1"/>
      <w:numFmt w:val="lowerLetter"/>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7">
    <w:nsid w:val="695B1AEF"/>
    <w:multiLevelType w:val="hybridMultilevel"/>
    <w:tmpl w:val="288AB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D646FFE"/>
    <w:multiLevelType w:val="hybridMultilevel"/>
    <w:tmpl w:val="1842DDB0"/>
    <w:lvl w:ilvl="0" w:tplc="62605F6A">
      <w:start w:val="1"/>
      <w:numFmt w:val="lowerLetter"/>
      <w:lvlText w:val="(%1)"/>
      <w:lvlJc w:val="left"/>
      <w:pPr>
        <w:ind w:left="1800" w:hanging="36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F513AC9"/>
    <w:multiLevelType w:val="hybridMultilevel"/>
    <w:tmpl w:val="16DEC55E"/>
    <w:lvl w:ilvl="0" w:tplc="1DF0C21A">
      <w:start w:val="9"/>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7"/>
  </w:num>
  <w:num w:numId="3">
    <w:abstractNumId w:val="16"/>
  </w:num>
  <w:num w:numId="4">
    <w:abstractNumId w:val="0"/>
  </w:num>
  <w:num w:numId="5">
    <w:abstractNumId w:val="1"/>
  </w:num>
  <w:num w:numId="6">
    <w:abstractNumId w:val="21"/>
  </w:num>
  <w:num w:numId="7">
    <w:abstractNumId w:val="8"/>
  </w:num>
  <w:num w:numId="8">
    <w:abstractNumId w:val="18"/>
  </w:num>
  <w:num w:numId="9">
    <w:abstractNumId w:val="2"/>
  </w:num>
  <w:num w:numId="10">
    <w:abstractNumId w:val="5"/>
  </w:num>
  <w:num w:numId="11">
    <w:abstractNumId w:val="9"/>
  </w:num>
  <w:num w:numId="12">
    <w:abstractNumId w:val="6"/>
  </w:num>
  <w:num w:numId="13">
    <w:abstractNumId w:val="12"/>
  </w:num>
  <w:num w:numId="14">
    <w:abstractNumId w:val="15"/>
  </w:num>
  <w:num w:numId="15">
    <w:abstractNumId w:val="22"/>
  </w:num>
  <w:num w:numId="16">
    <w:abstractNumId w:val="10"/>
  </w:num>
  <w:num w:numId="17">
    <w:abstractNumId w:val="2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NK8FAAhg45QtAAAA"/>
  </w:docVars>
  <w:rsids>
    <w:rsidRoot w:val="007C348D"/>
    <w:rsid w:val="00001F8C"/>
    <w:rsid w:val="000111F4"/>
    <w:rsid w:val="00013A3F"/>
    <w:rsid w:val="00017C1A"/>
    <w:rsid w:val="00017F22"/>
    <w:rsid w:val="000215FA"/>
    <w:rsid w:val="0002217F"/>
    <w:rsid w:val="000237D5"/>
    <w:rsid w:val="00023E42"/>
    <w:rsid w:val="000312FA"/>
    <w:rsid w:val="00031425"/>
    <w:rsid w:val="000342DF"/>
    <w:rsid w:val="00037432"/>
    <w:rsid w:val="00040225"/>
    <w:rsid w:val="00040C9D"/>
    <w:rsid w:val="00041CD0"/>
    <w:rsid w:val="00047074"/>
    <w:rsid w:val="00056043"/>
    <w:rsid w:val="00056BDC"/>
    <w:rsid w:val="00056E59"/>
    <w:rsid w:val="00056F05"/>
    <w:rsid w:val="00063844"/>
    <w:rsid w:val="00063FC4"/>
    <w:rsid w:val="00067989"/>
    <w:rsid w:val="0007039A"/>
    <w:rsid w:val="000712B0"/>
    <w:rsid w:val="00074FB6"/>
    <w:rsid w:val="00076CB8"/>
    <w:rsid w:val="0007780D"/>
    <w:rsid w:val="00077E52"/>
    <w:rsid w:val="00080924"/>
    <w:rsid w:val="00080ACE"/>
    <w:rsid w:val="0008277E"/>
    <w:rsid w:val="00085FA9"/>
    <w:rsid w:val="000A016A"/>
    <w:rsid w:val="000A4558"/>
    <w:rsid w:val="000A52BA"/>
    <w:rsid w:val="000A647C"/>
    <w:rsid w:val="000B04E7"/>
    <w:rsid w:val="000B0F35"/>
    <w:rsid w:val="000B3EE8"/>
    <w:rsid w:val="000B7255"/>
    <w:rsid w:val="000B7705"/>
    <w:rsid w:val="000C3BA4"/>
    <w:rsid w:val="000C5A07"/>
    <w:rsid w:val="000C66EC"/>
    <w:rsid w:val="000C72FC"/>
    <w:rsid w:val="000C747A"/>
    <w:rsid w:val="000C77C4"/>
    <w:rsid w:val="000C77F8"/>
    <w:rsid w:val="000C7CAF"/>
    <w:rsid w:val="000D68EE"/>
    <w:rsid w:val="000E2717"/>
    <w:rsid w:val="000E4CC5"/>
    <w:rsid w:val="000E5025"/>
    <w:rsid w:val="000E50EE"/>
    <w:rsid w:val="000F0D5A"/>
    <w:rsid w:val="000F19A8"/>
    <w:rsid w:val="000F2881"/>
    <w:rsid w:val="000F2CCF"/>
    <w:rsid w:val="000F713E"/>
    <w:rsid w:val="00101B7F"/>
    <w:rsid w:val="00101FFF"/>
    <w:rsid w:val="00102312"/>
    <w:rsid w:val="0010369D"/>
    <w:rsid w:val="001036C0"/>
    <w:rsid w:val="00106439"/>
    <w:rsid w:val="00111D58"/>
    <w:rsid w:val="00111EEA"/>
    <w:rsid w:val="00114529"/>
    <w:rsid w:val="001151EF"/>
    <w:rsid w:val="00122559"/>
    <w:rsid w:val="00124212"/>
    <w:rsid w:val="00131CF1"/>
    <w:rsid w:val="00134B44"/>
    <w:rsid w:val="00136A1F"/>
    <w:rsid w:val="00141DCC"/>
    <w:rsid w:val="00143AAA"/>
    <w:rsid w:val="001479EF"/>
    <w:rsid w:val="00153BD2"/>
    <w:rsid w:val="001566DC"/>
    <w:rsid w:val="00157593"/>
    <w:rsid w:val="001575AF"/>
    <w:rsid w:val="00160F7C"/>
    <w:rsid w:val="00161BEC"/>
    <w:rsid w:val="0016393F"/>
    <w:rsid w:val="00164A79"/>
    <w:rsid w:val="00166E4D"/>
    <w:rsid w:val="00176209"/>
    <w:rsid w:val="00180C48"/>
    <w:rsid w:val="001842DC"/>
    <w:rsid w:val="001856BF"/>
    <w:rsid w:val="00187391"/>
    <w:rsid w:val="001909B3"/>
    <w:rsid w:val="00196B60"/>
    <w:rsid w:val="001A57CE"/>
    <w:rsid w:val="001B34F4"/>
    <w:rsid w:val="001B7DC9"/>
    <w:rsid w:val="001C2172"/>
    <w:rsid w:val="001C5A54"/>
    <w:rsid w:val="001C6D91"/>
    <w:rsid w:val="001D0A19"/>
    <w:rsid w:val="001D15CD"/>
    <w:rsid w:val="001D1971"/>
    <w:rsid w:val="001D54AE"/>
    <w:rsid w:val="001E2FDC"/>
    <w:rsid w:val="001E356C"/>
    <w:rsid w:val="001F70BD"/>
    <w:rsid w:val="00201579"/>
    <w:rsid w:val="00201E0B"/>
    <w:rsid w:val="00202924"/>
    <w:rsid w:val="002060ED"/>
    <w:rsid w:val="00212A94"/>
    <w:rsid w:val="00215377"/>
    <w:rsid w:val="00217700"/>
    <w:rsid w:val="002274E2"/>
    <w:rsid w:val="00234018"/>
    <w:rsid w:val="002367D6"/>
    <w:rsid w:val="00240AC1"/>
    <w:rsid w:val="00240D77"/>
    <w:rsid w:val="00241374"/>
    <w:rsid w:val="00246208"/>
    <w:rsid w:val="00251520"/>
    <w:rsid w:val="00251A7C"/>
    <w:rsid w:val="00252EF9"/>
    <w:rsid w:val="00253BDA"/>
    <w:rsid w:val="00254F43"/>
    <w:rsid w:val="00260853"/>
    <w:rsid w:val="00261FF7"/>
    <w:rsid w:val="002627AF"/>
    <w:rsid w:val="00265D74"/>
    <w:rsid w:val="002734F8"/>
    <w:rsid w:val="00277577"/>
    <w:rsid w:val="0027763B"/>
    <w:rsid w:val="00277A29"/>
    <w:rsid w:val="002824F0"/>
    <w:rsid w:val="002846A1"/>
    <w:rsid w:val="00284A48"/>
    <w:rsid w:val="00286EB0"/>
    <w:rsid w:val="00286F23"/>
    <w:rsid w:val="0029022F"/>
    <w:rsid w:val="002938AA"/>
    <w:rsid w:val="00296CD8"/>
    <w:rsid w:val="002A46BB"/>
    <w:rsid w:val="002A60B8"/>
    <w:rsid w:val="002A61D2"/>
    <w:rsid w:val="002A62A7"/>
    <w:rsid w:val="002A631E"/>
    <w:rsid w:val="002A7CB0"/>
    <w:rsid w:val="002A7D4B"/>
    <w:rsid w:val="002B0A9D"/>
    <w:rsid w:val="002B12B3"/>
    <w:rsid w:val="002B27AB"/>
    <w:rsid w:val="002B369A"/>
    <w:rsid w:val="002B48A4"/>
    <w:rsid w:val="002C0225"/>
    <w:rsid w:val="002C5414"/>
    <w:rsid w:val="002D172A"/>
    <w:rsid w:val="002D3664"/>
    <w:rsid w:val="002D5E30"/>
    <w:rsid w:val="002E08EC"/>
    <w:rsid w:val="002E0D26"/>
    <w:rsid w:val="002E15CB"/>
    <w:rsid w:val="002E19A6"/>
    <w:rsid w:val="002E1F3F"/>
    <w:rsid w:val="002F4685"/>
    <w:rsid w:val="002F5A42"/>
    <w:rsid w:val="002F71C5"/>
    <w:rsid w:val="00302D2B"/>
    <w:rsid w:val="003036C9"/>
    <w:rsid w:val="0030603E"/>
    <w:rsid w:val="003065ED"/>
    <w:rsid w:val="00313061"/>
    <w:rsid w:val="00315D4D"/>
    <w:rsid w:val="00316479"/>
    <w:rsid w:val="00323B17"/>
    <w:rsid w:val="00324853"/>
    <w:rsid w:val="00326787"/>
    <w:rsid w:val="00327340"/>
    <w:rsid w:val="00331CAF"/>
    <w:rsid w:val="00332212"/>
    <w:rsid w:val="00333ABC"/>
    <w:rsid w:val="00337D39"/>
    <w:rsid w:val="00343972"/>
    <w:rsid w:val="003439E2"/>
    <w:rsid w:val="00343D48"/>
    <w:rsid w:val="003448E3"/>
    <w:rsid w:val="003460C5"/>
    <w:rsid w:val="00347FB6"/>
    <w:rsid w:val="0035047C"/>
    <w:rsid w:val="00351967"/>
    <w:rsid w:val="00351E34"/>
    <w:rsid w:val="00352BB3"/>
    <w:rsid w:val="003556F0"/>
    <w:rsid w:val="00356771"/>
    <w:rsid w:val="00361C1B"/>
    <w:rsid w:val="0036522C"/>
    <w:rsid w:val="003667D6"/>
    <w:rsid w:val="00366E58"/>
    <w:rsid w:val="00371929"/>
    <w:rsid w:val="00372841"/>
    <w:rsid w:val="0037484C"/>
    <w:rsid w:val="00374D49"/>
    <w:rsid w:val="003805E1"/>
    <w:rsid w:val="00383432"/>
    <w:rsid w:val="00385141"/>
    <w:rsid w:val="003878BB"/>
    <w:rsid w:val="00395344"/>
    <w:rsid w:val="00397856"/>
    <w:rsid w:val="003A266C"/>
    <w:rsid w:val="003B15D1"/>
    <w:rsid w:val="003B1CBE"/>
    <w:rsid w:val="003B3C7C"/>
    <w:rsid w:val="003B4BB1"/>
    <w:rsid w:val="003B59BA"/>
    <w:rsid w:val="003C60E7"/>
    <w:rsid w:val="003C6B8B"/>
    <w:rsid w:val="003D05C5"/>
    <w:rsid w:val="003D0E2F"/>
    <w:rsid w:val="003E07F9"/>
    <w:rsid w:val="003E1ABC"/>
    <w:rsid w:val="003E7FE1"/>
    <w:rsid w:val="003F2617"/>
    <w:rsid w:val="003F2D1B"/>
    <w:rsid w:val="003F410D"/>
    <w:rsid w:val="00402AA4"/>
    <w:rsid w:val="004041CC"/>
    <w:rsid w:val="00404459"/>
    <w:rsid w:val="00405244"/>
    <w:rsid w:val="00406679"/>
    <w:rsid w:val="00410892"/>
    <w:rsid w:val="00416341"/>
    <w:rsid w:val="00416B9E"/>
    <w:rsid w:val="0041714C"/>
    <w:rsid w:val="0042055E"/>
    <w:rsid w:val="00420929"/>
    <w:rsid w:val="00421BC2"/>
    <w:rsid w:val="0042280C"/>
    <w:rsid w:val="00426196"/>
    <w:rsid w:val="0043720B"/>
    <w:rsid w:val="0043729E"/>
    <w:rsid w:val="00441D7B"/>
    <w:rsid w:val="004450B8"/>
    <w:rsid w:val="0044778C"/>
    <w:rsid w:val="00447C28"/>
    <w:rsid w:val="00450DA4"/>
    <w:rsid w:val="00451B85"/>
    <w:rsid w:val="0045270C"/>
    <w:rsid w:val="00452BD9"/>
    <w:rsid w:val="004537CD"/>
    <w:rsid w:val="0045387C"/>
    <w:rsid w:val="00455EC4"/>
    <w:rsid w:val="0046504C"/>
    <w:rsid w:val="004662FA"/>
    <w:rsid w:val="00467392"/>
    <w:rsid w:val="00470B0D"/>
    <w:rsid w:val="00471479"/>
    <w:rsid w:val="00472913"/>
    <w:rsid w:val="004749DA"/>
    <w:rsid w:val="004810F5"/>
    <w:rsid w:val="00482AAD"/>
    <w:rsid w:val="00491045"/>
    <w:rsid w:val="004919CD"/>
    <w:rsid w:val="0049454F"/>
    <w:rsid w:val="0049477D"/>
    <w:rsid w:val="00495DBF"/>
    <w:rsid w:val="004A20A8"/>
    <w:rsid w:val="004A3257"/>
    <w:rsid w:val="004A4986"/>
    <w:rsid w:val="004A56AE"/>
    <w:rsid w:val="004B2CE4"/>
    <w:rsid w:val="004B596E"/>
    <w:rsid w:val="004C20DC"/>
    <w:rsid w:val="004C368F"/>
    <w:rsid w:val="004D63AD"/>
    <w:rsid w:val="004D7BEB"/>
    <w:rsid w:val="004E03AB"/>
    <w:rsid w:val="004E0B29"/>
    <w:rsid w:val="004E2339"/>
    <w:rsid w:val="004E243D"/>
    <w:rsid w:val="004E2EE6"/>
    <w:rsid w:val="004E2F99"/>
    <w:rsid w:val="004E3022"/>
    <w:rsid w:val="004E54EB"/>
    <w:rsid w:val="004E5A7E"/>
    <w:rsid w:val="004F2723"/>
    <w:rsid w:val="004F3F06"/>
    <w:rsid w:val="004F5E70"/>
    <w:rsid w:val="004F793E"/>
    <w:rsid w:val="0050073B"/>
    <w:rsid w:val="00500D29"/>
    <w:rsid w:val="00500FBB"/>
    <w:rsid w:val="005013E3"/>
    <w:rsid w:val="0050544E"/>
    <w:rsid w:val="0051095E"/>
    <w:rsid w:val="0052107D"/>
    <w:rsid w:val="00522B0C"/>
    <w:rsid w:val="00524F54"/>
    <w:rsid w:val="00533A9E"/>
    <w:rsid w:val="0054066D"/>
    <w:rsid w:val="005459C8"/>
    <w:rsid w:val="00550629"/>
    <w:rsid w:val="00554302"/>
    <w:rsid w:val="00554B8B"/>
    <w:rsid w:val="00557008"/>
    <w:rsid w:val="0055759E"/>
    <w:rsid w:val="0056286B"/>
    <w:rsid w:val="00562BA7"/>
    <w:rsid w:val="00565D86"/>
    <w:rsid w:val="00576882"/>
    <w:rsid w:val="005835FE"/>
    <w:rsid w:val="00583A8C"/>
    <w:rsid w:val="00584EBC"/>
    <w:rsid w:val="00584EC5"/>
    <w:rsid w:val="005851C9"/>
    <w:rsid w:val="00585BEA"/>
    <w:rsid w:val="00586501"/>
    <w:rsid w:val="0058675F"/>
    <w:rsid w:val="00587231"/>
    <w:rsid w:val="00591CD2"/>
    <w:rsid w:val="0059404A"/>
    <w:rsid w:val="00595295"/>
    <w:rsid w:val="005960F0"/>
    <w:rsid w:val="00597EFA"/>
    <w:rsid w:val="005A5054"/>
    <w:rsid w:val="005A6F9D"/>
    <w:rsid w:val="005B271F"/>
    <w:rsid w:val="005B56EE"/>
    <w:rsid w:val="005B5C14"/>
    <w:rsid w:val="005C0BFA"/>
    <w:rsid w:val="005C3F28"/>
    <w:rsid w:val="005C4DB8"/>
    <w:rsid w:val="005D0070"/>
    <w:rsid w:val="005D0D19"/>
    <w:rsid w:val="005D6CBF"/>
    <w:rsid w:val="005E0068"/>
    <w:rsid w:val="005E18AD"/>
    <w:rsid w:val="005E2A13"/>
    <w:rsid w:val="005E5A57"/>
    <w:rsid w:val="005E61AB"/>
    <w:rsid w:val="005F349B"/>
    <w:rsid w:val="005F460B"/>
    <w:rsid w:val="005F65D4"/>
    <w:rsid w:val="00600B80"/>
    <w:rsid w:val="00600DB1"/>
    <w:rsid w:val="0060566E"/>
    <w:rsid w:val="006057B5"/>
    <w:rsid w:val="00615623"/>
    <w:rsid w:val="0061679A"/>
    <w:rsid w:val="00620500"/>
    <w:rsid w:val="0062222E"/>
    <w:rsid w:val="006225DA"/>
    <w:rsid w:val="006231E0"/>
    <w:rsid w:val="00623854"/>
    <w:rsid w:val="00625250"/>
    <w:rsid w:val="00626E98"/>
    <w:rsid w:val="00626FFB"/>
    <w:rsid w:val="006302D0"/>
    <w:rsid w:val="00632B87"/>
    <w:rsid w:val="00634F46"/>
    <w:rsid w:val="00640D43"/>
    <w:rsid w:val="00640D44"/>
    <w:rsid w:val="00645452"/>
    <w:rsid w:val="0064795D"/>
    <w:rsid w:val="0065472D"/>
    <w:rsid w:val="00656276"/>
    <w:rsid w:val="0065643B"/>
    <w:rsid w:val="00657B1C"/>
    <w:rsid w:val="0066061B"/>
    <w:rsid w:val="00662AA2"/>
    <w:rsid w:val="00665622"/>
    <w:rsid w:val="00666EAC"/>
    <w:rsid w:val="00667E39"/>
    <w:rsid w:val="006729E4"/>
    <w:rsid w:val="0067488D"/>
    <w:rsid w:val="006751B4"/>
    <w:rsid w:val="00677957"/>
    <w:rsid w:val="00677E1C"/>
    <w:rsid w:val="006810FF"/>
    <w:rsid w:val="00682AD5"/>
    <w:rsid w:val="00684F83"/>
    <w:rsid w:val="00685588"/>
    <w:rsid w:val="00686BC3"/>
    <w:rsid w:val="00687C0B"/>
    <w:rsid w:val="00691277"/>
    <w:rsid w:val="00696FCF"/>
    <w:rsid w:val="006A035D"/>
    <w:rsid w:val="006A1F93"/>
    <w:rsid w:val="006A2F67"/>
    <w:rsid w:val="006A4704"/>
    <w:rsid w:val="006A47FB"/>
    <w:rsid w:val="006B0B80"/>
    <w:rsid w:val="006B44D4"/>
    <w:rsid w:val="006B6E9D"/>
    <w:rsid w:val="006B7FDC"/>
    <w:rsid w:val="006C0F71"/>
    <w:rsid w:val="006C3953"/>
    <w:rsid w:val="006C3CD6"/>
    <w:rsid w:val="006C7746"/>
    <w:rsid w:val="006D055C"/>
    <w:rsid w:val="006D59AD"/>
    <w:rsid w:val="006D6CC4"/>
    <w:rsid w:val="006D6F69"/>
    <w:rsid w:val="006E05A0"/>
    <w:rsid w:val="006E0733"/>
    <w:rsid w:val="006E0CE0"/>
    <w:rsid w:val="006E1206"/>
    <w:rsid w:val="006F1CEF"/>
    <w:rsid w:val="006F3811"/>
    <w:rsid w:val="006F48A0"/>
    <w:rsid w:val="006F68DB"/>
    <w:rsid w:val="007013A6"/>
    <w:rsid w:val="007033AB"/>
    <w:rsid w:val="00707BA7"/>
    <w:rsid w:val="007111DC"/>
    <w:rsid w:val="00713FEB"/>
    <w:rsid w:val="00721246"/>
    <w:rsid w:val="00724EA2"/>
    <w:rsid w:val="0072546B"/>
    <w:rsid w:val="0072655E"/>
    <w:rsid w:val="00727465"/>
    <w:rsid w:val="00731AE7"/>
    <w:rsid w:val="0074371E"/>
    <w:rsid w:val="00744550"/>
    <w:rsid w:val="00745F1D"/>
    <w:rsid w:val="00750200"/>
    <w:rsid w:val="00751FB3"/>
    <w:rsid w:val="00752379"/>
    <w:rsid w:val="0075444F"/>
    <w:rsid w:val="00754E32"/>
    <w:rsid w:val="00755D03"/>
    <w:rsid w:val="00761A31"/>
    <w:rsid w:val="007661F8"/>
    <w:rsid w:val="0077094C"/>
    <w:rsid w:val="00774C0A"/>
    <w:rsid w:val="00781F07"/>
    <w:rsid w:val="0078679D"/>
    <w:rsid w:val="00786C0C"/>
    <w:rsid w:val="0079284C"/>
    <w:rsid w:val="00797293"/>
    <w:rsid w:val="007A0ECC"/>
    <w:rsid w:val="007A2DC1"/>
    <w:rsid w:val="007A507F"/>
    <w:rsid w:val="007A6A8A"/>
    <w:rsid w:val="007B561D"/>
    <w:rsid w:val="007B62E4"/>
    <w:rsid w:val="007C2356"/>
    <w:rsid w:val="007C348D"/>
    <w:rsid w:val="007C7112"/>
    <w:rsid w:val="007C7494"/>
    <w:rsid w:val="007C77B3"/>
    <w:rsid w:val="007C7857"/>
    <w:rsid w:val="007D1CFA"/>
    <w:rsid w:val="007D4A7C"/>
    <w:rsid w:val="007E0DCB"/>
    <w:rsid w:val="007E14F4"/>
    <w:rsid w:val="007E16C1"/>
    <w:rsid w:val="007E3399"/>
    <w:rsid w:val="007E61BB"/>
    <w:rsid w:val="007E7AEF"/>
    <w:rsid w:val="007F0922"/>
    <w:rsid w:val="007F2630"/>
    <w:rsid w:val="007F49B3"/>
    <w:rsid w:val="007F4F13"/>
    <w:rsid w:val="007F6B5A"/>
    <w:rsid w:val="00800164"/>
    <w:rsid w:val="00800C08"/>
    <w:rsid w:val="008014A3"/>
    <w:rsid w:val="00804DDE"/>
    <w:rsid w:val="00810079"/>
    <w:rsid w:val="00812151"/>
    <w:rsid w:val="008153E4"/>
    <w:rsid w:val="00816F15"/>
    <w:rsid w:val="00820441"/>
    <w:rsid w:val="008222E9"/>
    <w:rsid w:val="00824D90"/>
    <w:rsid w:val="008318BF"/>
    <w:rsid w:val="00831EAA"/>
    <w:rsid w:val="008321CA"/>
    <w:rsid w:val="00832EED"/>
    <w:rsid w:val="00836CB3"/>
    <w:rsid w:val="00843543"/>
    <w:rsid w:val="0084509E"/>
    <w:rsid w:val="00845D99"/>
    <w:rsid w:val="008461E8"/>
    <w:rsid w:val="00852739"/>
    <w:rsid w:val="00854D9F"/>
    <w:rsid w:val="00861568"/>
    <w:rsid w:val="008632D0"/>
    <w:rsid w:val="00867AE3"/>
    <w:rsid w:val="00872161"/>
    <w:rsid w:val="00873B81"/>
    <w:rsid w:val="008748C9"/>
    <w:rsid w:val="0087534B"/>
    <w:rsid w:val="00875729"/>
    <w:rsid w:val="00876CD8"/>
    <w:rsid w:val="008803C0"/>
    <w:rsid w:val="00880BB3"/>
    <w:rsid w:val="008826B9"/>
    <w:rsid w:val="00882721"/>
    <w:rsid w:val="008841F0"/>
    <w:rsid w:val="008856D0"/>
    <w:rsid w:val="00886572"/>
    <w:rsid w:val="0089014D"/>
    <w:rsid w:val="00891F14"/>
    <w:rsid w:val="00894EEF"/>
    <w:rsid w:val="008957B5"/>
    <w:rsid w:val="00896A57"/>
    <w:rsid w:val="008A08F8"/>
    <w:rsid w:val="008A3093"/>
    <w:rsid w:val="008A4A0D"/>
    <w:rsid w:val="008A4B98"/>
    <w:rsid w:val="008A56AB"/>
    <w:rsid w:val="008A5D23"/>
    <w:rsid w:val="008A68B4"/>
    <w:rsid w:val="008B0433"/>
    <w:rsid w:val="008B04ED"/>
    <w:rsid w:val="008B1089"/>
    <w:rsid w:val="008B1A3F"/>
    <w:rsid w:val="008B3CEB"/>
    <w:rsid w:val="008B53B4"/>
    <w:rsid w:val="008B68F7"/>
    <w:rsid w:val="008B6B38"/>
    <w:rsid w:val="008B74F5"/>
    <w:rsid w:val="008C0F83"/>
    <w:rsid w:val="008C2D93"/>
    <w:rsid w:val="008D09E3"/>
    <w:rsid w:val="008D11BE"/>
    <w:rsid w:val="008D1B36"/>
    <w:rsid w:val="008D7ECD"/>
    <w:rsid w:val="008E57BF"/>
    <w:rsid w:val="008E7503"/>
    <w:rsid w:val="008F09E1"/>
    <w:rsid w:val="008F33C4"/>
    <w:rsid w:val="008F4B86"/>
    <w:rsid w:val="008F5020"/>
    <w:rsid w:val="008F568D"/>
    <w:rsid w:val="00902E43"/>
    <w:rsid w:val="009049EF"/>
    <w:rsid w:val="00905A58"/>
    <w:rsid w:val="00914772"/>
    <w:rsid w:val="009153E3"/>
    <w:rsid w:val="00920087"/>
    <w:rsid w:val="00923A6E"/>
    <w:rsid w:val="00930BCF"/>
    <w:rsid w:val="00931298"/>
    <w:rsid w:val="0093177E"/>
    <w:rsid w:val="00933041"/>
    <w:rsid w:val="009346A8"/>
    <w:rsid w:val="00935A44"/>
    <w:rsid w:val="00935CE2"/>
    <w:rsid w:val="00935E01"/>
    <w:rsid w:val="00940F60"/>
    <w:rsid w:val="00942730"/>
    <w:rsid w:val="00942E10"/>
    <w:rsid w:val="0094409C"/>
    <w:rsid w:val="009451C2"/>
    <w:rsid w:val="0094642F"/>
    <w:rsid w:val="00947102"/>
    <w:rsid w:val="00947956"/>
    <w:rsid w:val="00947981"/>
    <w:rsid w:val="00951E22"/>
    <w:rsid w:val="00952DC9"/>
    <w:rsid w:val="009552FC"/>
    <w:rsid w:val="00955D06"/>
    <w:rsid w:val="009561EF"/>
    <w:rsid w:val="00962867"/>
    <w:rsid w:val="0096380A"/>
    <w:rsid w:val="009638BA"/>
    <w:rsid w:val="009674B3"/>
    <w:rsid w:val="00967B2F"/>
    <w:rsid w:val="0097522B"/>
    <w:rsid w:val="0097658B"/>
    <w:rsid w:val="00976C0D"/>
    <w:rsid w:val="00981B3F"/>
    <w:rsid w:val="009827EF"/>
    <w:rsid w:val="00982D0A"/>
    <w:rsid w:val="00984558"/>
    <w:rsid w:val="0098467C"/>
    <w:rsid w:val="00984B73"/>
    <w:rsid w:val="009866DB"/>
    <w:rsid w:val="00991A24"/>
    <w:rsid w:val="00991BA9"/>
    <w:rsid w:val="00994B47"/>
    <w:rsid w:val="00996143"/>
    <w:rsid w:val="00996EB3"/>
    <w:rsid w:val="009A36E8"/>
    <w:rsid w:val="009A44AB"/>
    <w:rsid w:val="009A4CAC"/>
    <w:rsid w:val="009B17DD"/>
    <w:rsid w:val="009B26F3"/>
    <w:rsid w:val="009B3622"/>
    <w:rsid w:val="009B3CCA"/>
    <w:rsid w:val="009C0F11"/>
    <w:rsid w:val="009C219E"/>
    <w:rsid w:val="009C6ADB"/>
    <w:rsid w:val="009E06E4"/>
    <w:rsid w:val="009E1BC0"/>
    <w:rsid w:val="009E40F8"/>
    <w:rsid w:val="009E469A"/>
    <w:rsid w:val="009E47FD"/>
    <w:rsid w:val="009F0D9E"/>
    <w:rsid w:val="009F6077"/>
    <w:rsid w:val="009F64D2"/>
    <w:rsid w:val="00A00820"/>
    <w:rsid w:val="00A01419"/>
    <w:rsid w:val="00A0200E"/>
    <w:rsid w:val="00A02615"/>
    <w:rsid w:val="00A03D81"/>
    <w:rsid w:val="00A052C7"/>
    <w:rsid w:val="00A07AE3"/>
    <w:rsid w:val="00A103A2"/>
    <w:rsid w:val="00A1097F"/>
    <w:rsid w:val="00A13C97"/>
    <w:rsid w:val="00A16095"/>
    <w:rsid w:val="00A2266C"/>
    <w:rsid w:val="00A22FB7"/>
    <w:rsid w:val="00A23389"/>
    <w:rsid w:val="00A24DF9"/>
    <w:rsid w:val="00A32BA8"/>
    <w:rsid w:val="00A353EF"/>
    <w:rsid w:val="00A35B69"/>
    <w:rsid w:val="00A366CC"/>
    <w:rsid w:val="00A411FF"/>
    <w:rsid w:val="00A44545"/>
    <w:rsid w:val="00A556CC"/>
    <w:rsid w:val="00A560A6"/>
    <w:rsid w:val="00A57BD7"/>
    <w:rsid w:val="00A60491"/>
    <w:rsid w:val="00A71706"/>
    <w:rsid w:val="00A74B52"/>
    <w:rsid w:val="00A75D65"/>
    <w:rsid w:val="00A768EF"/>
    <w:rsid w:val="00A80708"/>
    <w:rsid w:val="00A816FD"/>
    <w:rsid w:val="00A81C7A"/>
    <w:rsid w:val="00A8530D"/>
    <w:rsid w:val="00A8690C"/>
    <w:rsid w:val="00A908A4"/>
    <w:rsid w:val="00A90D5C"/>
    <w:rsid w:val="00A927AC"/>
    <w:rsid w:val="00A96D6D"/>
    <w:rsid w:val="00A9771A"/>
    <w:rsid w:val="00AA079A"/>
    <w:rsid w:val="00AA11ED"/>
    <w:rsid w:val="00AA1EF4"/>
    <w:rsid w:val="00AA22AB"/>
    <w:rsid w:val="00AA31A4"/>
    <w:rsid w:val="00AA3872"/>
    <w:rsid w:val="00AA415F"/>
    <w:rsid w:val="00AB18CE"/>
    <w:rsid w:val="00AC5040"/>
    <w:rsid w:val="00AC585D"/>
    <w:rsid w:val="00AC5AA4"/>
    <w:rsid w:val="00AD516D"/>
    <w:rsid w:val="00AD5191"/>
    <w:rsid w:val="00AD6579"/>
    <w:rsid w:val="00AD703C"/>
    <w:rsid w:val="00AE0369"/>
    <w:rsid w:val="00AE1391"/>
    <w:rsid w:val="00AE29A3"/>
    <w:rsid w:val="00AE31F1"/>
    <w:rsid w:val="00AE3AEB"/>
    <w:rsid w:val="00AE5421"/>
    <w:rsid w:val="00AF43A4"/>
    <w:rsid w:val="00AF514C"/>
    <w:rsid w:val="00AF61C4"/>
    <w:rsid w:val="00AF61EC"/>
    <w:rsid w:val="00AF7950"/>
    <w:rsid w:val="00B0296B"/>
    <w:rsid w:val="00B0413B"/>
    <w:rsid w:val="00B05EC8"/>
    <w:rsid w:val="00B06CFE"/>
    <w:rsid w:val="00B11417"/>
    <w:rsid w:val="00B17DD9"/>
    <w:rsid w:val="00B201D2"/>
    <w:rsid w:val="00B202A0"/>
    <w:rsid w:val="00B20C6E"/>
    <w:rsid w:val="00B225BE"/>
    <w:rsid w:val="00B23609"/>
    <w:rsid w:val="00B307E3"/>
    <w:rsid w:val="00B30B07"/>
    <w:rsid w:val="00B32C75"/>
    <w:rsid w:val="00B3451A"/>
    <w:rsid w:val="00B3726E"/>
    <w:rsid w:val="00B405D0"/>
    <w:rsid w:val="00B414B7"/>
    <w:rsid w:val="00B465B1"/>
    <w:rsid w:val="00B50934"/>
    <w:rsid w:val="00B50972"/>
    <w:rsid w:val="00B50C73"/>
    <w:rsid w:val="00B60D5A"/>
    <w:rsid w:val="00B60E9F"/>
    <w:rsid w:val="00B773EE"/>
    <w:rsid w:val="00B83F21"/>
    <w:rsid w:val="00B866B2"/>
    <w:rsid w:val="00B94B1E"/>
    <w:rsid w:val="00BA06F5"/>
    <w:rsid w:val="00BA16DE"/>
    <w:rsid w:val="00BA2163"/>
    <w:rsid w:val="00BA5977"/>
    <w:rsid w:val="00BA5A85"/>
    <w:rsid w:val="00BA7A5E"/>
    <w:rsid w:val="00BB3644"/>
    <w:rsid w:val="00BB48A3"/>
    <w:rsid w:val="00BB74B8"/>
    <w:rsid w:val="00BC07EE"/>
    <w:rsid w:val="00BC3C7C"/>
    <w:rsid w:val="00BC40A8"/>
    <w:rsid w:val="00BC6C19"/>
    <w:rsid w:val="00BC6D21"/>
    <w:rsid w:val="00BD1084"/>
    <w:rsid w:val="00BD6072"/>
    <w:rsid w:val="00BD667B"/>
    <w:rsid w:val="00BD6800"/>
    <w:rsid w:val="00BD78D6"/>
    <w:rsid w:val="00BD7E9B"/>
    <w:rsid w:val="00BE036F"/>
    <w:rsid w:val="00BE1A6F"/>
    <w:rsid w:val="00BE1B9D"/>
    <w:rsid w:val="00BE2706"/>
    <w:rsid w:val="00BE4C43"/>
    <w:rsid w:val="00BF2C8F"/>
    <w:rsid w:val="00BF628F"/>
    <w:rsid w:val="00C018D6"/>
    <w:rsid w:val="00C01D44"/>
    <w:rsid w:val="00C02899"/>
    <w:rsid w:val="00C104C3"/>
    <w:rsid w:val="00C12C90"/>
    <w:rsid w:val="00C1306A"/>
    <w:rsid w:val="00C140A6"/>
    <w:rsid w:val="00C15C47"/>
    <w:rsid w:val="00C16854"/>
    <w:rsid w:val="00C17082"/>
    <w:rsid w:val="00C20DEE"/>
    <w:rsid w:val="00C25D62"/>
    <w:rsid w:val="00C2600F"/>
    <w:rsid w:val="00C268C9"/>
    <w:rsid w:val="00C26DB3"/>
    <w:rsid w:val="00C31C9E"/>
    <w:rsid w:val="00C33A0B"/>
    <w:rsid w:val="00C41842"/>
    <w:rsid w:val="00C46159"/>
    <w:rsid w:val="00C46754"/>
    <w:rsid w:val="00C50575"/>
    <w:rsid w:val="00C5125B"/>
    <w:rsid w:val="00C51F37"/>
    <w:rsid w:val="00C530E4"/>
    <w:rsid w:val="00C563B8"/>
    <w:rsid w:val="00C6681F"/>
    <w:rsid w:val="00C671F4"/>
    <w:rsid w:val="00C67A12"/>
    <w:rsid w:val="00C718A1"/>
    <w:rsid w:val="00C909A0"/>
    <w:rsid w:val="00C943FF"/>
    <w:rsid w:val="00C945EA"/>
    <w:rsid w:val="00C94DC6"/>
    <w:rsid w:val="00C94F33"/>
    <w:rsid w:val="00CA045F"/>
    <w:rsid w:val="00CA08E2"/>
    <w:rsid w:val="00CA3518"/>
    <w:rsid w:val="00CA59F8"/>
    <w:rsid w:val="00CA6CD3"/>
    <w:rsid w:val="00CC3E6E"/>
    <w:rsid w:val="00CC50E5"/>
    <w:rsid w:val="00CC741E"/>
    <w:rsid w:val="00CD152C"/>
    <w:rsid w:val="00CD509B"/>
    <w:rsid w:val="00CD5827"/>
    <w:rsid w:val="00CD6A8C"/>
    <w:rsid w:val="00CE04B1"/>
    <w:rsid w:val="00CE0B31"/>
    <w:rsid w:val="00CE2B00"/>
    <w:rsid w:val="00CE39C4"/>
    <w:rsid w:val="00CE3C75"/>
    <w:rsid w:val="00CE4A5A"/>
    <w:rsid w:val="00CE7811"/>
    <w:rsid w:val="00CF3506"/>
    <w:rsid w:val="00CF3D71"/>
    <w:rsid w:val="00D02BAA"/>
    <w:rsid w:val="00D040DC"/>
    <w:rsid w:val="00D05204"/>
    <w:rsid w:val="00D074CC"/>
    <w:rsid w:val="00D07643"/>
    <w:rsid w:val="00D15916"/>
    <w:rsid w:val="00D15D77"/>
    <w:rsid w:val="00D221EC"/>
    <w:rsid w:val="00D233B3"/>
    <w:rsid w:val="00D26E04"/>
    <w:rsid w:val="00D320F8"/>
    <w:rsid w:val="00D36AFE"/>
    <w:rsid w:val="00D37BE9"/>
    <w:rsid w:val="00D400AF"/>
    <w:rsid w:val="00D41D5B"/>
    <w:rsid w:val="00D427B2"/>
    <w:rsid w:val="00D53982"/>
    <w:rsid w:val="00D55A20"/>
    <w:rsid w:val="00D55F80"/>
    <w:rsid w:val="00D577DA"/>
    <w:rsid w:val="00D63F82"/>
    <w:rsid w:val="00D7041C"/>
    <w:rsid w:val="00D74600"/>
    <w:rsid w:val="00D75B83"/>
    <w:rsid w:val="00D77923"/>
    <w:rsid w:val="00D82B1F"/>
    <w:rsid w:val="00D85866"/>
    <w:rsid w:val="00D918E8"/>
    <w:rsid w:val="00D9526F"/>
    <w:rsid w:val="00DA5395"/>
    <w:rsid w:val="00DA67C4"/>
    <w:rsid w:val="00DB2B8C"/>
    <w:rsid w:val="00DB2C37"/>
    <w:rsid w:val="00DB526F"/>
    <w:rsid w:val="00DB5D24"/>
    <w:rsid w:val="00DB6B90"/>
    <w:rsid w:val="00DB7619"/>
    <w:rsid w:val="00DC3E15"/>
    <w:rsid w:val="00DC5A12"/>
    <w:rsid w:val="00DC6873"/>
    <w:rsid w:val="00DD1973"/>
    <w:rsid w:val="00DE0ED3"/>
    <w:rsid w:val="00DE22A9"/>
    <w:rsid w:val="00DE5AA8"/>
    <w:rsid w:val="00DF15E9"/>
    <w:rsid w:val="00DF1E5B"/>
    <w:rsid w:val="00DF20C2"/>
    <w:rsid w:val="00E011A2"/>
    <w:rsid w:val="00E03FBA"/>
    <w:rsid w:val="00E050C1"/>
    <w:rsid w:val="00E07B48"/>
    <w:rsid w:val="00E07E9A"/>
    <w:rsid w:val="00E10ECB"/>
    <w:rsid w:val="00E11B4C"/>
    <w:rsid w:val="00E12897"/>
    <w:rsid w:val="00E13F80"/>
    <w:rsid w:val="00E15A40"/>
    <w:rsid w:val="00E176D6"/>
    <w:rsid w:val="00E1790E"/>
    <w:rsid w:val="00E20CC4"/>
    <w:rsid w:val="00E22AA0"/>
    <w:rsid w:val="00E23295"/>
    <w:rsid w:val="00E25A71"/>
    <w:rsid w:val="00E31301"/>
    <w:rsid w:val="00E31B13"/>
    <w:rsid w:val="00E34260"/>
    <w:rsid w:val="00E35BBD"/>
    <w:rsid w:val="00E3784E"/>
    <w:rsid w:val="00E42996"/>
    <w:rsid w:val="00E42DA6"/>
    <w:rsid w:val="00E437F5"/>
    <w:rsid w:val="00E4545B"/>
    <w:rsid w:val="00E45D44"/>
    <w:rsid w:val="00E46434"/>
    <w:rsid w:val="00E50F9D"/>
    <w:rsid w:val="00E51FE8"/>
    <w:rsid w:val="00E5481E"/>
    <w:rsid w:val="00E5549C"/>
    <w:rsid w:val="00E56A05"/>
    <w:rsid w:val="00E64F07"/>
    <w:rsid w:val="00E6513F"/>
    <w:rsid w:val="00E660B0"/>
    <w:rsid w:val="00E661CA"/>
    <w:rsid w:val="00E71D96"/>
    <w:rsid w:val="00E72866"/>
    <w:rsid w:val="00E73780"/>
    <w:rsid w:val="00E73AB9"/>
    <w:rsid w:val="00E74E84"/>
    <w:rsid w:val="00E75816"/>
    <w:rsid w:val="00E75D11"/>
    <w:rsid w:val="00E82712"/>
    <w:rsid w:val="00E874EF"/>
    <w:rsid w:val="00E90B84"/>
    <w:rsid w:val="00E90E0E"/>
    <w:rsid w:val="00E9198F"/>
    <w:rsid w:val="00E9554F"/>
    <w:rsid w:val="00E97B54"/>
    <w:rsid w:val="00EA0BBA"/>
    <w:rsid w:val="00EA117F"/>
    <w:rsid w:val="00EA1EE4"/>
    <w:rsid w:val="00EA291E"/>
    <w:rsid w:val="00EA5959"/>
    <w:rsid w:val="00EA598D"/>
    <w:rsid w:val="00EA5C86"/>
    <w:rsid w:val="00EA618C"/>
    <w:rsid w:val="00EA6982"/>
    <w:rsid w:val="00EA6A77"/>
    <w:rsid w:val="00EA7B65"/>
    <w:rsid w:val="00EC14D6"/>
    <w:rsid w:val="00EC20C7"/>
    <w:rsid w:val="00EC40DB"/>
    <w:rsid w:val="00EC41C6"/>
    <w:rsid w:val="00EC5A17"/>
    <w:rsid w:val="00EC7D25"/>
    <w:rsid w:val="00ED5BEE"/>
    <w:rsid w:val="00ED6A43"/>
    <w:rsid w:val="00EE2049"/>
    <w:rsid w:val="00EE3855"/>
    <w:rsid w:val="00EE4AE3"/>
    <w:rsid w:val="00EE760E"/>
    <w:rsid w:val="00EF0079"/>
    <w:rsid w:val="00EF0BAF"/>
    <w:rsid w:val="00EF11A8"/>
    <w:rsid w:val="00EF3BAF"/>
    <w:rsid w:val="00EF412E"/>
    <w:rsid w:val="00EF5325"/>
    <w:rsid w:val="00EF5A67"/>
    <w:rsid w:val="00EF7ECB"/>
    <w:rsid w:val="00F00701"/>
    <w:rsid w:val="00F007B0"/>
    <w:rsid w:val="00F0291B"/>
    <w:rsid w:val="00F13C46"/>
    <w:rsid w:val="00F14654"/>
    <w:rsid w:val="00F15380"/>
    <w:rsid w:val="00F15DB4"/>
    <w:rsid w:val="00F24BE3"/>
    <w:rsid w:val="00F302B6"/>
    <w:rsid w:val="00F34933"/>
    <w:rsid w:val="00F36C5E"/>
    <w:rsid w:val="00F3703A"/>
    <w:rsid w:val="00F424AC"/>
    <w:rsid w:val="00F4378B"/>
    <w:rsid w:val="00F445DD"/>
    <w:rsid w:val="00F479DC"/>
    <w:rsid w:val="00F527A2"/>
    <w:rsid w:val="00F52CE1"/>
    <w:rsid w:val="00F53D4E"/>
    <w:rsid w:val="00F53F14"/>
    <w:rsid w:val="00F60980"/>
    <w:rsid w:val="00F615A3"/>
    <w:rsid w:val="00F61A68"/>
    <w:rsid w:val="00F62A42"/>
    <w:rsid w:val="00F62D49"/>
    <w:rsid w:val="00F66242"/>
    <w:rsid w:val="00F7034E"/>
    <w:rsid w:val="00F70604"/>
    <w:rsid w:val="00F7253E"/>
    <w:rsid w:val="00F72FA7"/>
    <w:rsid w:val="00F75C21"/>
    <w:rsid w:val="00F76873"/>
    <w:rsid w:val="00F77D14"/>
    <w:rsid w:val="00F80F0B"/>
    <w:rsid w:val="00F81A66"/>
    <w:rsid w:val="00F81C76"/>
    <w:rsid w:val="00F8377C"/>
    <w:rsid w:val="00F87E7C"/>
    <w:rsid w:val="00F87EFB"/>
    <w:rsid w:val="00F90B4F"/>
    <w:rsid w:val="00F912E0"/>
    <w:rsid w:val="00F91E5F"/>
    <w:rsid w:val="00F92E37"/>
    <w:rsid w:val="00F934F6"/>
    <w:rsid w:val="00F937D1"/>
    <w:rsid w:val="00F939E7"/>
    <w:rsid w:val="00F940D0"/>
    <w:rsid w:val="00F96DA9"/>
    <w:rsid w:val="00F96F3C"/>
    <w:rsid w:val="00FA215F"/>
    <w:rsid w:val="00FA2ED1"/>
    <w:rsid w:val="00FA3679"/>
    <w:rsid w:val="00FA4BDA"/>
    <w:rsid w:val="00FA70CA"/>
    <w:rsid w:val="00FA7405"/>
    <w:rsid w:val="00FA776F"/>
    <w:rsid w:val="00FA7912"/>
    <w:rsid w:val="00FB7BB4"/>
    <w:rsid w:val="00FC4FC2"/>
    <w:rsid w:val="00FC6039"/>
    <w:rsid w:val="00FC6EDD"/>
    <w:rsid w:val="00FD19ED"/>
    <w:rsid w:val="00FD6FDD"/>
    <w:rsid w:val="00FD7150"/>
    <w:rsid w:val="00FE0EE1"/>
    <w:rsid w:val="00FE2616"/>
    <w:rsid w:val="00FE3F04"/>
    <w:rsid w:val="00FE4E83"/>
    <w:rsid w:val="00FF024E"/>
    <w:rsid w:val="00FF2E54"/>
    <w:rsid w:val="00FF49A1"/>
    <w:rsid w:val="00FF6C60"/>
    <w:rsid w:val="00FF6C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4B596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 w:type="paragraph" w:styleId="BodyText">
    <w:name w:val="Body Text"/>
    <w:basedOn w:val="Normal"/>
    <w:link w:val="BodyTextChar"/>
    <w:semiHidden/>
    <w:rsid w:val="00600B80"/>
    <w:rPr>
      <w:szCs w:val="20"/>
      <w:lang w:val="en-US" w:eastAsia="en-US"/>
    </w:rPr>
  </w:style>
  <w:style w:type="character" w:customStyle="1" w:styleId="BodyTextChar">
    <w:name w:val="Body Text Char"/>
    <w:basedOn w:val="DefaultParagraphFont"/>
    <w:link w:val="BodyText"/>
    <w:semiHidden/>
    <w:rsid w:val="00600B8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B596E"/>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4B596E"/>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535387742">
      <w:bodyDiv w:val="1"/>
      <w:marLeft w:val="0"/>
      <w:marRight w:val="0"/>
      <w:marTop w:val="0"/>
      <w:marBottom w:val="0"/>
      <w:divBdr>
        <w:top w:val="none" w:sz="0" w:space="0" w:color="auto"/>
        <w:left w:val="none" w:sz="0" w:space="0" w:color="auto"/>
        <w:bottom w:val="none" w:sz="0" w:space="0" w:color="auto"/>
        <w:right w:val="none" w:sz="0" w:space="0" w:color="auto"/>
      </w:divBdr>
      <w:divsChild>
        <w:div w:id="988024115">
          <w:marLeft w:val="0"/>
          <w:marRight w:val="0"/>
          <w:marTop w:val="120"/>
          <w:marBottom w:val="0"/>
          <w:divBdr>
            <w:top w:val="none" w:sz="0" w:space="0" w:color="auto"/>
            <w:left w:val="none" w:sz="0" w:space="0" w:color="auto"/>
            <w:bottom w:val="none" w:sz="0" w:space="0" w:color="auto"/>
            <w:right w:val="none" w:sz="0" w:space="0" w:color="auto"/>
          </w:divBdr>
        </w:div>
        <w:div w:id="1561553062">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2FBF-207A-4363-9CE1-E2210845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2</cp:revision>
  <cp:lastPrinted>2023-02-06T05:28:00Z</cp:lastPrinted>
  <dcterms:created xsi:type="dcterms:W3CDTF">2023-06-12T08:28:00Z</dcterms:created>
  <dcterms:modified xsi:type="dcterms:W3CDTF">2023-06-12T08:28:00Z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