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1A8" w:rsidRDefault="00EF11A8" w:rsidP="00EF11A8">
      <w:pPr>
        <w:ind w:left="2160" w:firstLine="720"/>
        <w:rPr>
          <w:rFonts w:ascii="Arial" w:hAnsi="Arial" w:cs="Arial"/>
          <w:b/>
          <w:u w:val="single"/>
        </w:rPr>
      </w:pPr>
      <w:r w:rsidRPr="005B354E">
        <w:rPr>
          <w:rFonts w:asciiTheme="minorHAnsi" w:eastAsiaTheme="minorHAnsi" w:hAnsiTheme="minorHAnsi" w:cstheme="minorBidi"/>
          <w:noProof/>
          <w:lang w:val="en-ZA" w:eastAsia="en-ZA"/>
        </w:rPr>
        <w:drawing>
          <wp:anchor distT="0" distB="0" distL="114300" distR="114300" simplePos="0" relativeHeight="251659264" behindDoc="1" locked="0" layoutInCell="1" allowOverlap="1" wp14:anchorId="41A27A92" wp14:editId="1144FAF9">
            <wp:simplePos x="0" y="0"/>
            <wp:positionH relativeFrom="margin">
              <wp:posOffset>2089150</wp:posOffset>
            </wp:positionH>
            <wp:positionV relativeFrom="paragraph">
              <wp:posOffset>-717550</wp:posOffset>
            </wp:positionV>
            <wp:extent cx="1797050" cy="1668780"/>
            <wp:effectExtent l="0" t="0" r="0" b="762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97050" cy="1668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1A8" w:rsidRDefault="00EF11A8" w:rsidP="00EF11A8">
      <w:pPr>
        <w:ind w:left="2160" w:firstLine="720"/>
        <w:rPr>
          <w:rFonts w:ascii="Arial" w:hAnsi="Arial" w:cs="Arial"/>
          <w:b/>
          <w:u w:val="single"/>
        </w:rPr>
      </w:pPr>
    </w:p>
    <w:p w:rsidR="00EF11A8" w:rsidRDefault="00EF11A8" w:rsidP="00EF11A8">
      <w:pPr>
        <w:ind w:left="2160" w:firstLine="720"/>
        <w:rPr>
          <w:rFonts w:ascii="Arial" w:hAnsi="Arial" w:cs="Arial"/>
          <w:b/>
          <w:u w:val="single"/>
        </w:rPr>
      </w:pPr>
    </w:p>
    <w:p w:rsidR="00EF11A8" w:rsidRDefault="00EF11A8" w:rsidP="00EF11A8">
      <w:pPr>
        <w:ind w:left="2160" w:firstLine="720"/>
        <w:rPr>
          <w:rFonts w:ascii="Arial" w:hAnsi="Arial" w:cs="Arial"/>
          <w:b/>
          <w:u w:val="single"/>
        </w:rPr>
      </w:pPr>
    </w:p>
    <w:p w:rsidR="00EF11A8" w:rsidRDefault="00EF11A8" w:rsidP="00EF11A8">
      <w:pPr>
        <w:ind w:left="2160" w:firstLine="720"/>
        <w:rPr>
          <w:rFonts w:ascii="Arial" w:hAnsi="Arial" w:cs="Arial"/>
          <w:b/>
          <w:u w:val="single"/>
        </w:rPr>
      </w:pPr>
    </w:p>
    <w:p w:rsidR="00DC6873" w:rsidRDefault="00DC6873" w:rsidP="00EF11A8">
      <w:pPr>
        <w:ind w:left="2160" w:firstLine="720"/>
        <w:rPr>
          <w:rFonts w:ascii="Arial" w:hAnsi="Arial" w:cs="Arial"/>
          <w:b/>
          <w:u w:val="single"/>
        </w:rPr>
      </w:pPr>
    </w:p>
    <w:p w:rsidR="00EF11A8" w:rsidRDefault="00EF11A8" w:rsidP="00EF11A8">
      <w:pPr>
        <w:ind w:left="1440" w:firstLine="720"/>
        <w:rPr>
          <w:rFonts w:ascii="Arial" w:hAnsi="Arial" w:cs="Arial"/>
          <w:b/>
          <w:u w:val="single"/>
        </w:rPr>
      </w:pPr>
      <w:r>
        <w:rPr>
          <w:rFonts w:ascii="Arial" w:hAnsi="Arial" w:cs="Arial"/>
          <w:b/>
          <w:u w:val="single"/>
        </w:rPr>
        <w:t>IN THE HIGH COURT OF SOUTH AFRICA,</w:t>
      </w:r>
    </w:p>
    <w:p w:rsidR="00EF11A8" w:rsidRDefault="00EF11A8" w:rsidP="00EF11A8">
      <w:pPr>
        <w:ind w:left="1440" w:firstLine="720"/>
        <w:rPr>
          <w:rFonts w:ascii="Arial" w:hAnsi="Arial" w:cs="Arial"/>
          <w:b/>
          <w:u w:val="single"/>
        </w:rPr>
      </w:pPr>
      <w:r>
        <w:rPr>
          <w:rFonts w:ascii="Arial" w:hAnsi="Arial" w:cs="Arial"/>
          <w:b/>
          <w:u w:val="single"/>
        </w:rPr>
        <w:t>FREE STATE DIVISION, BLOEMFONTEIN</w:t>
      </w:r>
    </w:p>
    <w:p w:rsidR="003F2617" w:rsidRDefault="003F2617" w:rsidP="00EF11A8">
      <w:pPr>
        <w:ind w:left="1440" w:firstLine="720"/>
        <w:rPr>
          <w:rFonts w:ascii="Arial" w:hAnsi="Arial" w:cs="Arial"/>
          <w:b/>
          <w:u w:val="single"/>
        </w:rPr>
      </w:pPr>
    </w:p>
    <w:p w:rsidR="003F2617" w:rsidRDefault="003F2617" w:rsidP="00EF11A8">
      <w:pPr>
        <w:ind w:left="1440" w:firstLine="720"/>
        <w:rPr>
          <w:rFonts w:ascii="Arial" w:hAnsi="Arial" w:cs="Arial"/>
          <w:b/>
          <w:u w:val="single"/>
        </w:rPr>
      </w:pPr>
    </w:p>
    <w:tbl>
      <w:tblPr>
        <w:tblStyle w:val="TableGrid"/>
        <w:tblW w:w="2693" w:type="dxa"/>
        <w:tblInd w:w="6487" w:type="dxa"/>
        <w:tblLook w:val="04A0" w:firstRow="1" w:lastRow="0" w:firstColumn="1" w:lastColumn="0" w:noHBand="0" w:noVBand="1"/>
      </w:tblPr>
      <w:tblGrid>
        <w:gridCol w:w="2693"/>
      </w:tblGrid>
      <w:tr w:rsidR="00EF11A8" w:rsidTr="007C2356">
        <w:trPr>
          <w:trHeight w:val="642"/>
        </w:trPr>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F11A8" w:rsidRPr="005D6CBF" w:rsidRDefault="00EF11A8" w:rsidP="007C2356">
            <w:pPr>
              <w:rPr>
                <w:rFonts w:ascii="Arial" w:hAnsi="Arial" w:cs="Arial"/>
                <w:b/>
                <w:sz w:val="16"/>
                <w:szCs w:val="16"/>
              </w:rPr>
            </w:pPr>
            <w:r w:rsidRPr="005D6CBF">
              <w:rPr>
                <w:rFonts w:ascii="Arial" w:hAnsi="Arial" w:cs="Arial"/>
                <w:b/>
                <w:sz w:val="16"/>
                <w:szCs w:val="16"/>
              </w:rPr>
              <w:t>Reportable:                              NO</w:t>
            </w:r>
          </w:p>
          <w:p w:rsidR="00EF11A8" w:rsidRPr="005D6CBF" w:rsidRDefault="00EF11A8" w:rsidP="007C2356">
            <w:pPr>
              <w:rPr>
                <w:rFonts w:ascii="Arial" w:hAnsi="Arial" w:cs="Arial"/>
                <w:b/>
                <w:sz w:val="16"/>
                <w:szCs w:val="16"/>
              </w:rPr>
            </w:pPr>
            <w:r w:rsidRPr="005D6CBF">
              <w:rPr>
                <w:rFonts w:ascii="Arial" w:hAnsi="Arial" w:cs="Arial"/>
                <w:b/>
                <w:sz w:val="16"/>
                <w:szCs w:val="16"/>
              </w:rPr>
              <w:t>Of Interest to other Judges:   NO</w:t>
            </w:r>
          </w:p>
          <w:p w:rsidR="00EF11A8" w:rsidRPr="005D6CBF" w:rsidRDefault="00EF11A8" w:rsidP="007C2356">
            <w:pPr>
              <w:rPr>
                <w:rFonts w:ascii="Arial" w:hAnsi="Arial" w:cs="Arial"/>
                <w:b/>
                <w:sz w:val="16"/>
                <w:szCs w:val="16"/>
                <w:u w:val="single"/>
              </w:rPr>
            </w:pPr>
            <w:r w:rsidRPr="005D6CBF">
              <w:rPr>
                <w:rFonts w:ascii="Arial" w:hAnsi="Arial" w:cs="Arial"/>
                <w:b/>
                <w:sz w:val="16"/>
                <w:szCs w:val="16"/>
              </w:rPr>
              <w:t>Circulate to Magistrates:        NO</w:t>
            </w:r>
          </w:p>
        </w:tc>
      </w:tr>
    </w:tbl>
    <w:p w:rsidR="00EF11A8" w:rsidRDefault="00EF11A8" w:rsidP="00EF11A8">
      <w:pPr>
        <w:jc w:val="both"/>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rsidR="00781F07" w:rsidRPr="005D6CBF" w:rsidRDefault="00EF11A8" w:rsidP="00EF11A8">
      <w:pPr>
        <w:jc w:val="right"/>
        <w:rPr>
          <w:rFonts w:ascii="Arial" w:hAnsi="Arial" w:cs="Arial"/>
          <w:b/>
        </w:rPr>
      </w:pPr>
      <w:r w:rsidRPr="005D6CBF">
        <w:rPr>
          <w:rFonts w:ascii="Arial" w:hAnsi="Arial" w:cs="Arial"/>
          <w:b/>
        </w:rPr>
        <w:tab/>
      </w:r>
      <w:r w:rsidRPr="005D6CBF">
        <w:rPr>
          <w:rFonts w:ascii="Arial" w:hAnsi="Arial" w:cs="Arial"/>
          <w:b/>
        </w:rPr>
        <w:tab/>
      </w:r>
      <w:r w:rsidRPr="005D6CBF">
        <w:rPr>
          <w:rFonts w:ascii="Arial" w:hAnsi="Arial" w:cs="Arial"/>
          <w:b/>
        </w:rPr>
        <w:tab/>
      </w:r>
      <w:r w:rsidRPr="005D6CBF">
        <w:rPr>
          <w:rFonts w:ascii="Arial" w:hAnsi="Arial" w:cs="Arial"/>
          <w:b/>
        </w:rPr>
        <w:tab/>
      </w:r>
      <w:r w:rsidR="00781F07" w:rsidRPr="005D6CBF">
        <w:rPr>
          <w:rFonts w:ascii="Arial" w:hAnsi="Arial" w:cs="Arial"/>
          <w:b/>
        </w:rPr>
        <w:t xml:space="preserve"> </w:t>
      </w:r>
      <w:r w:rsidR="0094642F" w:rsidRPr="005D6CBF">
        <w:rPr>
          <w:rFonts w:ascii="Arial" w:hAnsi="Arial" w:cs="Arial"/>
          <w:b/>
        </w:rPr>
        <w:t>C</w:t>
      </w:r>
      <w:r w:rsidR="004E243D">
        <w:rPr>
          <w:rFonts w:ascii="Arial" w:hAnsi="Arial" w:cs="Arial"/>
          <w:b/>
        </w:rPr>
        <w:t>ase No</w:t>
      </w:r>
      <w:r w:rsidR="00781F07" w:rsidRPr="005D6CBF">
        <w:rPr>
          <w:rFonts w:ascii="Arial" w:hAnsi="Arial" w:cs="Arial"/>
          <w:b/>
        </w:rPr>
        <w:t xml:space="preserve">: </w:t>
      </w:r>
      <w:r w:rsidR="0046504C">
        <w:rPr>
          <w:rFonts w:ascii="Arial" w:hAnsi="Arial" w:cs="Arial"/>
          <w:b/>
        </w:rPr>
        <w:t>773</w:t>
      </w:r>
      <w:r w:rsidR="00781F07" w:rsidRPr="005D6CBF">
        <w:rPr>
          <w:rFonts w:ascii="Arial" w:hAnsi="Arial" w:cs="Arial"/>
          <w:b/>
        </w:rPr>
        <w:t>/20</w:t>
      </w:r>
      <w:r w:rsidR="0046504C">
        <w:rPr>
          <w:rFonts w:ascii="Arial" w:hAnsi="Arial" w:cs="Arial"/>
          <w:b/>
        </w:rPr>
        <w:t>2</w:t>
      </w:r>
      <w:r w:rsidR="004E243D">
        <w:rPr>
          <w:rFonts w:ascii="Arial" w:hAnsi="Arial" w:cs="Arial"/>
          <w:b/>
        </w:rPr>
        <w:t>1</w:t>
      </w:r>
    </w:p>
    <w:p w:rsidR="00EF11A8" w:rsidRPr="005D6CBF" w:rsidRDefault="00EF11A8" w:rsidP="00EF11A8">
      <w:pPr>
        <w:jc w:val="right"/>
        <w:rPr>
          <w:rFonts w:ascii="Arial" w:hAnsi="Arial" w:cs="Arial"/>
        </w:rPr>
      </w:pPr>
      <w:r w:rsidRPr="005D6CBF">
        <w:rPr>
          <w:rFonts w:ascii="Arial" w:hAnsi="Arial" w:cs="Arial"/>
        </w:rPr>
        <w:t xml:space="preserve"> </w:t>
      </w:r>
      <w:r w:rsidRPr="005D6CBF">
        <w:rPr>
          <w:rFonts w:ascii="Arial" w:hAnsi="Arial" w:cs="Arial"/>
        </w:rPr>
        <w:tab/>
        <w:t xml:space="preserve"> </w:t>
      </w:r>
    </w:p>
    <w:p w:rsidR="00781F07" w:rsidRPr="005D6CBF" w:rsidRDefault="00EF11A8" w:rsidP="00EF11A8">
      <w:pPr>
        <w:jc w:val="both"/>
        <w:rPr>
          <w:rFonts w:ascii="Arial" w:hAnsi="Arial" w:cs="Arial"/>
        </w:rPr>
      </w:pPr>
      <w:r w:rsidRPr="005D6CBF">
        <w:rPr>
          <w:rFonts w:ascii="Arial" w:hAnsi="Arial" w:cs="Arial"/>
        </w:rPr>
        <w:t>In the matter between:</w:t>
      </w:r>
    </w:p>
    <w:p w:rsidR="00EF11A8" w:rsidRPr="005D6CBF" w:rsidRDefault="00EF11A8" w:rsidP="00EF11A8">
      <w:pPr>
        <w:jc w:val="both"/>
        <w:rPr>
          <w:rFonts w:ascii="Arial" w:hAnsi="Arial" w:cs="Arial"/>
        </w:rPr>
      </w:pPr>
      <w:r w:rsidRPr="005D6CBF">
        <w:rPr>
          <w:rFonts w:ascii="Arial" w:hAnsi="Arial" w:cs="Arial"/>
        </w:rPr>
        <w:t xml:space="preserve"> </w:t>
      </w:r>
    </w:p>
    <w:p w:rsidR="00EF11A8" w:rsidRDefault="0046504C" w:rsidP="00EF11A8">
      <w:pPr>
        <w:tabs>
          <w:tab w:val="left" w:pos="720"/>
          <w:tab w:val="left" w:pos="1440"/>
          <w:tab w:val="left" w:pos="2160"/>
          <w:tab w:val="left" w:pos="2880"/>
          <w:tab w:val="left" w:pos="3600"/>
          <w:tab w:val="left" w:pos="4320"/>
          <w:tab w:val="left" w:pos="5040"/>
          <w:tab w:val="left" w:pos="5760"/>
          <w:tab w:val="left" w:pos="6480"/>
          <w:tab w:val="right" w:pos="9026"/>
        </w:tabs>
        <w:jc w:val="both"/>
        <w:rPr>
          <w:rFonts w:ascii="Arial" w:hAnsi="Arial" w:cs="Arial"/>
          <w:b/>
        </w:rPr>
      </w:pPr>
      <w:r>
        <w:rPr>
          <w:rFonts w:ascii="Arial" w:hAnsi="Arial" w:cs="Arial"/>
          <w:b/>
        </w:rPr>
        <w:t>SHAUN SMITH</w:t>
      </w:r>
      <w:r w:rsidR="004E243D">
        <w:rPr>
          <w:rFonts w:ascii="Arial" w:hAnsi="Arial" w:cs="Arial"/>
          <w:b/>
        </w:rPr>
        <w:t xml:space="preserve"> </w:t>
      </w:r>
      <w:r w:rsidR="00781F07" w:rsidRPr="005D6CBF">
        <w:rPr>
          <w:rFonts w:ascii="Arial" w:hAnsi="Arial" w:cs="Arial"/>
          <w:b/>
        </w:rPr>
        <w:t xml:space="preserve">       </w:t>
      </w:r>
      <w:r w:rsidR="005D6CBF" w:rsidRPr="005D6CBF">
        <w:rPr>
          <w:rFonts w:ascii="Arial" w:hAnsi="Arial" w:cs="Arial"/>
          <w:b/>
        </w:rPr>
        <w:t xml:space="preserve">     </w:t>
      </w:r>
      <w:r w:rsidR="001575AF" w:rsidRPr="005D6CBF">
        <w:rPr>
          <w:rFonts w:ascii="Arial" w:hAnsi="Arial" w:cs="Arial"/>
          <w:b/>
        </w:rPr>
        <w:t xml:space="preserve">                   </w:t>
      </w:r>
      <w:r w:rsidR="00077E52" w:rsidRPr="005D6CBF">
        <w:rPr>
          <w:rFonts w:ascii="Arial" w:hAnsi="Arial" w:cs="Arial"/>
          <w:b/>
        </w:rPr>
        <w:t xml:space="preserve"> </w:t>
      </w:r>
      <w:r w:rsidR="00781F07" w:rsidRPr="005D6CBF">
        <w:rPr>
          <w:rFonts w:ascii="Arial" w:hAnsi="Arial" w:cs="Arial"/>
          <w:b/>
        </w:rPr>
        <w:t xml:space="preserve"> </w:t>
      </w:r>
      <w:r w:rsidR="005D6CBF">
        <w:rPr>
          <w:rFonts w:ascii="Arial" w:hAnsi="Arial" w:cs="Arial"/>
          <w:b/>
        </w:rPr>
        <w:t xml:space="preserve">                     </w:t>
      </w:r>
      <w:r>
        <w:rPr>
          <w:rFonts w:ascii="Arial" w:hAnsi="Arial" w:cs="Arial"/>
          <w:b/>
        </w:rPr>
        <w:tab/>
      </w:r>
      <w:r>
        <w:rPr>
          <w:rFonts w:ascii="Arial" w:hAnsi="Arial" w:cs="Arial"/>
          <w:b/>
        </w:rPr>
        <w:tab/>
      </w:r>
      <w:r>
        <w:rPr>
          <w:rFonts w:ascii="Arial" w:hAnsi="Arial" w:cs="Arial"/>
          <w:b/>
        </w:rPr>
        <w:tab/>
        <w:t xml:space="preserve">        </w:t>
      </w:r>
      <w:r w:rsidRPr="0046504C">
        <w:rPr>
          <w:rFonts w:ascii="Arial" w:hAnsi="Arial" w:cs="Arial"/>
        </w:rPr>
        <w:t xml:space="preserve">Applicant </w:t>
      </w:r>
    </w:p>
    <w:p w:rsidR="004E243D" w:rsidRPr="005D6CBF" w:rsidRDefault="004E243D" w:rsidP="00EF11A8">
      <w:pPr>
        <w:tabs>
          <w:tab w:val="left" w:pos="720"/>
          <w:tab w:val="left" w:pos="1440"/>
          <w:tab w:val="left" w:pos="2160"/>
          <w:tab w:val="left" w:pos="2880"/>
          <w:tab w:val="left" w:pos="3600"/>
          <w:tab w:val="left" w:pos="4320"/>
          <w:tab w:val="left" w:pos="5040"/>
          <w:tab w:val="left" w:pos="5760"/>
          <w:tab w:val="left" w:pos="6480"/>
          <w:tab w:val="right" w:pos="9026"/>
        </w:tabs>
        <w:jc w:val="both"/>
        <w:rPr>
          <w:rFonts w:ascii="Arial" w:hAnsi="Arial" w:cs="Arial"/>
          <w:b/>
        </w:rPr>
      </w:pPr>
    </w:p>
    <w:p w:rsidR="00EF11A8" w:rsidRPr="005D6CBF" w:rsidRDefault="00EF11A8" w:rsidP="00EF11A8">
      <w:pPr>
        <w:jc w:val="both"/>
        <w:rPr>
          <w:rFonts w:ascii="Arial" w:hAnsi="Arial" w:cs="Arial"/>
        </w:rPr>
      </w:pPr>
      <w:r w:rsidRPr="005D6CBF">
        <w:rPr>
          <w:rFonts w:ascii="Arial" w:hAnsi="Arial" w:cs="Arial"/>
        </w:rPr>
        <w:t xml:space="preserve">and </w:t>
      </w:r>
    </w:p>
    <w:p w:rsidR="00781F07" w:rsidRPr="005D6CBF" w:rsidRDefault="00781F07" w:rsidP="00EF11A8">
      <w:pPr>
        <w:jc w:val="both"/>
        <w:rPr>
          <w:rFonts w:ascii="Arial" w:hAnsi="Arial" w:cs="Arial"/>
        </w:rPr>
      </w:pPr>
    </w:p>
    <w:p w:rsidR="00EF11A8" w:rsidRPr="0046504C" w:rsidRDefault="0046504C" w:rsidP="00EF11A8">
      <w:pPr>
        <w:pBdr>
          <w:bottom w:val="single" w:sz="12" w:space="1" w:color="auto"/>
        </w:pBdr>
        <w:jc w:val="both"/>
        <w:rPr>
          <w:rFonts w:ascii="Arial" w:hAnsi="Arial" w:cs="Arial"/>
        </w:rPr>
      </w:pPr>
      <w:r>
        <w:rPr>
          <w:rFonts w:ascii="Arial" w:hAnsi="Arial" w:cs="Arial"/>
          <w:b/>
        </w:rPr>
        <w:t>PARKER BEUSEKOM PARTNERSHIP</w:t>
      </w:r>
      <w:r w:rsidR="004E243D">
        <w:rPr>
          <w:rFonts w:ascii="Arial" w:hAnsi="Arial" w:cs="Arial"/>
          <w:b/>
        </w:rPr>
        <w:tab/>
      </w:r>
      <w:r w:rsidR="004E243D">
        <w:rPr>
          <w:rFonts w:ascii="Arial" w:hAnsi="Arial" w:cs="Arial"/>
          <w:b/>
        </w:rPr>
        <w:tab/>
      </w:r>
      <w:r w:rsidR="004E243D">
        <w:rPr>
          <w:rFonts w:ascii="Arial" w:hAnsi="Arial" w:cs="Arial"/>
          <w:b/>
        </w:rPr>
        <w:tab/>
      </w:r>
      <w:r w:rsidR="004E243D">
        <w:rPr>
          <w:rFonts w:ascii="Arial" w:hAnsi="Arial" w:cs="Arial"/>
          <w:b/>
        </w:rPr>
        <w:tab/>
        <w:t xml:space="preserve">         </w:t>
      </w:r>
      <w:r>
        <w:rPr>
          <w:rFonts w:ascii="Arial" w:hAnsi="Arial" w:cs="Arial"/>
          <w:b/>
        </w:rPr>
        <w:t xml:space="preserve">         </w:t>
      </w:r>
      <w:r>
        <w:rPr>
          <w:rFonts w:ascii="Arial" w:hAnsi="Arial" w:cs="Arial"/>
        </w:rPr>
        <w:t xml:space="preserve">Respondent </w:t>
      </w:r>
    </w:p>
    <w:p w:rsidR="004E243D" w:rsidRPr="005D6CBF" w:rsidRDefault="004E243D" w:rsidP="00EF11A8">
      <w:pPr>
        <w:pBdr>
          <w:bottom w:val="single" w:sz="12" w:space="1" w:color="auto"/>
        </w:pBdr>
        <w:jc w:val="both"/>
        <w:rPr>
          <w:rFonts w:ascii="Arial" w:hAnsi="Arial" w:cs="Arial"/>
          <w:b/>
        </w:rPr>
      </w:pPr>
    </w:p>
    <w:p w:rsidR="00EF11A8" w:rsidRPr="005D6CBF" w:rsidRDefault="00EF11A8" w:rsidP="00EF11A8">
      <w:pPr>
        <w:contextualSpacing/>
        <w:jc w:val="both"/>
        <w:rPr>
          <w:rFonts w:ascii="Arial" w:hAnsi="Arial" w:cs="Arial"/>
          <w:b/>
          <w:u w:val="single"/>
        </w:rPr>
      </w:pPr>
    </w:p>
    <w:p w:rsidR="00D221EC" w:rsidRDefault="00EF11A8" w:rsidP="009E06E4">
      <w:pPr>
        <w:pBdr>
          <w:bottom w:val="single" w:sz="12" w:space="1" w:color="auto"/>
        </w:pBdr>
        <w:ind w:left="2880" w:hanging="2880"/>
        <w:contextualSpacing/>
        <w:jc w:val="both"/>
        <w:rPr>
          <w:rFonts w:ascii="Arial" w:hAnsi="Arial" w:cs="Arial"/>
          <w:bCs/>
        </w:rPr>
      </w:pPr>
      <w:r w:rsidRPr="005D6CBF">
        <w:rPr>
          <w:rFonts w:ascii="Arial" w:hAnsi="Arial" w:cs="Arial"/>
          <w:b/>
          <w:u w:val="single"/>
        </w:rPr>
        <w:t>HEARD ON:</w:t>
      </w:r>
      <w:r w:rsidRPr="005D6CBF">
        <w:rPr>
          <w:rFonts w:ascii="Arial" w:hAnsi="Arial" w:cs="Arial"/>
          <w:b/>
        </w:rPr>
        <w:tab/>
      </w:r>
      <w:r w:rsidR="0046504C">
        <w:rPr>
          <w:rFonts w:ascii="Arial" w:hAnsi="Arial" w:cs="Arial"/>
          <w:b/>
        </w:rPr>
        <w:t xml:space="preserve"> </w:t>
      </w:r>
      <w:r w:rsidR="00075F25" w:rsidRPr="00075F25">
        <w:rPr>
          <w:rFonts w:ascii="Arial" w:hAnsi="Arial" w:cs="Arial"/>
        </w:rPr>
        <w:t>27 OCTOBER</w:t>
      </w:r>
      <w:r w:rsidR="0046504C">
        <w:rPr>
          <w:rFonts w:ascii="Arial" w:hAnsi="Arial" w:cs="Arial"/>
        </w:rPr>
        <w:t xml:space="preserve"> </w:t>
      </w:r>
      <w:r w:rsidR="00781F07" w:rsidRPr="00F940D0">
        <w:rPr>
          <w:rFonts w:ascii="Arial" w:hAnsi="Arial" w:cs="Arial"/>
          <w:bCs/>
        </w:rPr>
        <w:t>202</w:t>
      </w:r>
      <w:r w:rsidR="002F71C5" w:rsidRPr="00F940D0">
        <w:rPr>
          <w:rFonts w:ascii="Arial" w:hAnsi="Arial" w:cs="Arial"/>
          <w:bCs/>
        </w:rPr>
        <w:t>2</w:t>
      </w:r>
    </w:p>
    <w:p w:rsidR="00D221EC" w:rsidRDefault="00EF11A8" w:rsidP="009E06E4">
      <w:pPr>
        <w:pBdr>
          <w:bottom w:val="single" w:sz="12" w:space="1" w:color="auto"/>
        </w:pBdr>
        <w:ind w:left="2880" w:hanging="2880"/>
        <w:contextualSpacing/>
        <w:jc w:val="both"/>
        <w:rPr>
          <w:rFonts w:ascii="Arial" w:hAnsi="Arial" w:cs="Arial"/>
        </w:rPr>
      </w:pPr>
      <w:r w:rsidRPr="00F940D0">
        <w:rPr>
          <w:rFonts w:ascii="Arial" w:hAnsi="Arial" w:cs="Arial"/>
        </w:rPr>
        <w:t xml:space="preserve"> </w:t>
      </w:r>
    </w:p>
    <w:p w:rsidR="00D221EC" w:rsidRPr="005D6CBF" w:rsidRDefault="00D221EC" w:rsidP="00EF11A8">
      <w:pPr>
        <w:contextualSpacing/>
        <w:jc w:val="both"/>
        <w:rPr>
          <w:rFonts w:ascii="Arial" w:hAnsi="Arial" w:cs="Arial"/>
          <w:b/>
        </w:rPr>
      </w:pPr>
    </w:p>
    <w:p w:rsidR="009E06E4" w:rsidRPr="005D6CBF" w:rsidRDefault="00797293" w:rsidP="009E06E4">
      <w:pPr>
        <w:contextualSpacing/>
        <w:jc w:val="both"/>
        <w:rPr>
          <w:rFonts w:ascii="Arial" w:hAnsi="Arial" w:cs="Arial"/>
          <w:b/>
          <w:u w:val="single"/>
        </w:rPr>
      </w:pPr>
      <w:r>
        <w:rPr>
          <w:rFonts w:ascii="Arial" w:hAnsi="Arial" w:cs="Arial"/>
          <w:b/>
          <w:u w:val="single"/>
        </w:rPr>
        <w:t>JUDGMENT BY</w:t>
      </w:r>
      <w:r w:rsidR="003F410D" w:rsidRPr="005D6CBF">
        <w:rPr>
          <w:rFonts w:ascii="Arial" w:hAnsi="Arial" w:cs="Arial"/>
          <w:b/>
        </w:rPr>
        <w:t xml:space="preserve">:                 </w:t>
      </w:r>
      <w:bookmarkStart w:id="0" w:name="_Hlk111883941"/>
      <w:r w:rsidR="009E06E4" w:rsidRPr="00F940D0">
        <w:rPr>
          <w:rFonts w:ascii="Arial" w:hAnsi="Arial" w:cs="Arial"/>
        </w:rPr>
        <w:t>MHLAMBI, J</w:t>
      </w:r>
      <w:bookmarkEnd w:id="0"/>
      <w:r w:rsidR="009E06E4" w:rsidRPr="00F940D0">
        <w:rPr>
          <w:rFonts w:ascii="Arial" w:hAnsi="Arial" w:cs="Arial"/>
        </w:rPr>
        <w:t xml:space="preserve"> </w:t>
      </w:r>
    </w:p>
    <w:p w:rsidR="003F410D" w:rsidRPr="003036C9" w:rsidRDefault="003F410D" w:rsidP="003036C9">
      <w:pPr>
        <w:ind w:right="26"/>
        <w:contextualSpacing/>
        <w:jc w:val="both"/>
        <w:rPr>
          <w:rFonts w:ascii="Arial" w:hAnsi="Arial" w:cs="Arial"/>
          <w:bCs/>
          <w:u w:val="single"/>
        </w:rPr>
      </w:pPr>
      <w:r w:rsidRPr="005D6CBF">
        <w:rPr>
          <w:rFonts w:ascii="Arial" w:hAnsi="Arial" w:cs="Arial"/>
          <w:b/>
          <w:u w:val="single"/>
        </w:rPr>
        <w:t>_________________________________________________________</w:t>
      </w:r>
      <w:r w:rsidR="003036C9">
        <w:rPr>
          <w:rFonts w:ascii="Arial" w:hAnsi="Arial" w:cs="Arial"/>
          <w:b/>
          <w:u w:val="single"/>
        </w:rPr>
        <w:t>__________</w:t>
      </w:r>
    </w:p>
    <w:p w:rsidR="003F410D" w:rsidRPr="005D6CBF" w:rsidRDefault="003F410D" w:rsidP="00EF11A8">
      <w:pPr>
        <w:contextualSpacing/>
        <w:jc w:val="both"/>
        <w:rPr>
          <w:rFonts w:ascii="Arial" w:hAnsi="Arial" w:cs="Arial"/>
          <w:b/>
          <w:u w:val="single"/>
        </w:rPr>
      </w:pPr>
    </w:p>
    <w:p w:rsidR="007C348D" w:rsidRPr="005D6CBF" w:rsidRDefault="00EF11A8" w:rsidP="00F87E7C">
      <w:pPr>
        <w:tabs>
          <w:tab w:val="left" w:pos="2880"/>
        </w:tabs>
        <w:ind w:left="1985" w:hanging="1985"/>
        <w:contextualSpacing/>
        <w:jc w:val="both"/>
        <w:rPr>
          <w:rFonts w:ascii="Arial" w:hAnsi="Arial" w:cs="Arial"/>
          <w:b/>
          <w:bCs/>
        </w:rPr>
      </w:pPr>
      <w:r w:rsidRPr="005D6CBF">
        <w:rPr>
          <w:rFonts w:ascii="Arial" w:hAnsi="Arial" w:cs="Arial"/>
          <w:b/>
          <w:u w:val="single"/>
        </w:rPr>
        <w:t>DELIVERED ON:</w:t>
      </w:r>
      <w:r w:rsidR="00F87E7C">
        <w:rPr>
          <w:rFonts w:ascii="Arial" w:hAnsi="Arial" w:cs="Arial"/>
          <w:b/>
        </w:rPr>
        <w:t xml:space="preserve">  </w:t>
      </w:r>
      <w:r w:rsidR="00F87E7C" w:rsidRPr="00C665C9">
        <w:rPr>
          <w:rFonts w:ascii="Arial" w:hAnsi="Arial" w:cs="Arial"/>
        </w:rPr>
        <w:t xml:space="preserve">This judgment was handed down electronically by circulation to the parties’ legal representatives by email and </w:t>
      </w:r>
      <w:r w:rsidR="00F87E7C">
        <w:rPr>
          <w:rFonts w:ascii="Arial" w:hAnsi="Arial" w:cs="Arial"/>
        </w:rPr>
        <w:t>released</w:t>
      </w:r>
      <w:r w:rsidR="00F87E7C" w:rsidRPr="00C665C9">
        <w:rPr>
          <w:rFonts w:ascii="Arial" w:hAnsi="Arial" w:cs="Arial"/>
        </w:rPr>
        <w:t xml:space="preserve"> to SAFLI. The date and time for</w:t>
      </w:r>
      <w:r w:rsidR="0097522B">
        <w:rPr>
          <w:rFonts w:ascii="Arial" w:hAnsi="Arial" w:cs="Arial"/>
        </w:rPr>
        <w:t xml:space="preserve"> the</w:t>
      </w:r>
      <w:r w:rsidR="00F87E7C" w:rsidRPr="00C665C9">
        <w:rPr>
          <w:rFonts w:ascii="Arial" w:hAnsi="Arial" w:cs="Arial"/>
        </w:rPr>
        <w:t xml:space="preserve"> hand-down </w:t>
      </w:r>
      <w:r w:rsidR="00F87E7C">
        <w:rPr>
          <w:rFonts w:ascii="Arial" w:hAnsi="Arial" w:cs="Arial"/>
        </w:rPr>
        <w:t>are</w:t>
      </w:r>
      <w:r w:rsidR="00F87E7C" w:rsidRPr="00C665C9">
        <w:rPr>
          <w:rFonts w:ascii="Arial" w:hAnsi="Arial" w:cs="Arial"/>
        </w:rPr>
        <w:t xml:space="preserve"> deemed to</w:t>
      </w:r>
      <w:r w:rsidR="006751B4">
        <w:rPr>
          <w:rFonts w:ascii="Arial" w:hAnsi="Arial" w:cs="Arial"/>
        </w:rPr>
        <w:t xml:space="preserve"> be 12</w:t>
      </w:r>
      <w:r w:rsidR="00F87E7C">
        <w:rPr>
          <w:rFonts w:ascii="Arial" w:hAnsi="Arial" w:cs="Arial"/>
        </w:rPr>
        <w:t>h30</w:t>
      </w:r>
      <w:r w:rsidR="00F87E7C" w:rsidRPr="00C665C9">
        <w:rPr>
          <w:rFonts w:ascii="Arial" w:hAnsi="Arial" w:cs="Arial"/>
        </w:rPr>
        <w:t xml:space="preserve"> </w:t>
      </w:r>
      <w:r w:rsidR="009C219E">
        <w:rPr>
          <w:rFonts w:ascii="Arial" w:hAnsi="Arial" w:cs="Arial"/>
        </w:rPr>
        <w:t xml:space="preserve">on </w:t>
      </w:r>
      <w:r w:rsidR="00AC7F04">
        <w:rPr>
          <w:rFonts w:ascii="Arial" w:hAnsi="Arial" w:cs="Arial"/>
        </w:rPr>
        <w:t>23 January</w:t>
      </w:r>
      <w:r w:rsidR="00F87E7C" w:rsidRPr="00C665C9">
        <w:rPr>
          <w:rFonts w:ascii="Arial" w:hAnsi="Arial" w:cs="Arial"/>
        </w:rPr>
        <w:t xml:space="preserve"> </w:t>
      </w:r>
      <w:r w:rsidR="00AC7F04">
        <w:rPr>
          <w:rFonts w:ascii="Arial" w:hAnsi="Arial" w:cs="Arial"/>
        </w:rPr>
        <w:t>2023</w:t>
      </w:r>
      <w:r w:rsidR="009C219E">
        <w:rPr>
          <w:rFonts w:ascii="Arial" w:hAnsi="Arial" w:cs="Arial"/>
        </w:rPr>
        <w:t>.</w:t>
      </w:r>
    </w:p>
    <w:p w:rsidR="00891F14" w:rsidRPr="005D6CBF" w:rsidRDefault="00891F14" w:rsidP="00EF11A8">
      <w:pPr>
        <w:pBdr>
          <w:bottom w:val="single" w:sz="12" w:space="1" w:color="auto"/>
        </w:pBdr>
        <w:tabs>
          <w:tab w:val="left" w:pos="2940"/>
        </w:tabs>
        <w:contextualSpacing/>
        <w:jc w:val="both"/>
        <w:rPr>
          <w:rFonts w:ascii="Arial" w:hAnsi="Arial" w:cs="Arial"/>
          <w:b/>
          <w:bCs/>
          <w:u w:val="single"/>
        </w:rPr>
      </w:pPr>
    </w:p>
    <w:p w:rsidR="007C348D" w:rsidRDefault="007C348D" w:rsidP="007C348D">
      <w:pPr>
        <w:spacing w:line="360" w:lineRule="auto"/>
        <w:ind w:left="709" w:hanging="709"/>
        <w:jc w:val="both"/>
        <w:rPr>
          <w:rFonts w:ascii="Arial" w:hAnsi="Arial" w:cs="Arial"/>
          <w:sz w:val="28"/>
          <w:szCs w:val="28"/>
        </w:rPr>
      </w:pPr>
    </w:p>
    <w:p w:rsidR="00731AE7" w:rsidRDefault="002A631E" w:rsidP="000E7BB3">
      <w:pPr>
        <w:spacing w:line="360" w:lineRule="auto"/>
        <w:ind w:left="567" w:hanging="567"/>
        <w:jc w:val="both"/>
        <w:rPr>
          <w:rFonts w:ascii="Arial" w:hAnsi="Arial" w:cs="Arial"/>
        </w:rPr>
      </w:pPr>
      <w:r>
        <w:rPr>
          <w:rFonts w:ascii="Arial" w:hAnsi="Arial" w:cs="Arial"/>
        </w:rPr>
        <w:t>[1]</w:t>
      </w:r>
      <w:r>
        <w:rPr>
          <w:rFonts w:ascii="Arial" w:hAnsi="Arial" w:cs="Arial"/>
        </w:rPr>
        <w:tab/>
      </w:r>
      <w:r w:rsidR="00BA5977">
        <w:rPr>
          <w:rFonts w:ascii="Arial" w:hAnsi="Arial" w:cs="Arial"/>
        </w:rPr>
        <w:t xml:space="preserve">This is an opposed application instituted by the applicant on 29 September 2022 seeking an order </w:t>
      </w:r>
      <w:r w:rsidR="009C0EC9">
        <w:rPr>
          <w:rFonts w:ascii="Arial" w:hAnsi="Arial" w:cs="Arial"/>
        </w:rPr>
        <w:t xml:space="preserve">that the respondent furnish </w:t>
      </w:r>
      <w:r w:rsidR="00BA5977">
        <w:rPr>
          <w:rFonts w:ascii="Arial" w:hAnsi="Arial" w:cs="Arial"/>
        </w:rPr>
        <w:t>security for costs in the amount of R 500 000.00 o</w:t>
      </w:r>
      <w:r w:rsidR="009C0EC9">
        <w:rPr>
          <w:rFonts w:ascii="Arial" w:hAnsi="Arial" w:cs="Arial"/>
        </w:rPr>
        <w:t>r such amount, form and manner a</w:t>
      </w:r>
      <w:r w:rsidR="00BA5977">
        <w:rPr>
          <w:rFonts w:ascii="Arial" w:hAnsi="Arial" w:cs="Arial"/>
        </w:rPr>
        <w:t xml:space="preserve">s the registrar may determine and that the proceedings be stayed until such order is complied with together with costs of the application. </w:t>
      </w:r>
    </w:p>
    <w:p w:rsidR="00BA5977" w:rsidRDefault="00BA5977" w:rsidP="000E7BB3">
      <w:pPr>
        <w:spacing w:before="240" w:after="240" w:line="360" w:lineRule="auto"/>
        <w:ind w:left="567" w:hanging="567"/>
        <w:jc w:val="both"/>
        <w:rPr>
          <w:rFonts w:ascii="Arial" w:hAnsi="Arial" w:cs="Arial"/>
        </w:rPr>
      </w:pPr>
      <w:r>
        <w:rPr>
          <w:rFonts w:ascii="Arial" w:hAnsi="Arial" w:cs="Arial"/>
        </w:rPr>
        <w:t>[2]</w:t>
      </w:r>
      <w:r>
        <w:rPr>
          <w:rFonts w:ascii="Arial" w:hAnsi="Arial" w:cs="Arial"/>
        </w:rPr>
        <w:tab/>
        <w:t xml:space="preserve">The notice of demand for security costs in terms of Rule 47 of the Uniform Rules of Court was delivered on 19 September 2022 and was based on the ground that the respondent was a peregrinus of the court and the applicant had a reasonable need for security of the costs. </w:t>
      </w:r>
    </w:p>
    <w:p w:rsidR="00BA5977" w:rsidRDefault="00BA5977" w:rsidP="0046504C">
      <w:pPr>
        <w:spacing w:after="240" w:line="360" w:lineRule="auto"/>
        <w:ind w:left="567" w:hanging="567"/>
        <w:jc w:val="both"/>
        <w:rPr>
          <w:rFonts w:ascii="Arial" w:hAnsi="Arial" w:cs="Arial"/>
        </w:rPr>
      </w:pPr>
      <w:r>
        <w:rPr>
          <w:rFonts w:ascii="Arial" w:hAnsi="Arial" w:cs="Arial"/>
        </w:rPr>
        <w:t>[3]</w:t>
      </w:r>
      <w:r>
        <w:rPr>
          <w:rFonts w:ascii="Arial" w:hAnsi="Arial" w:cs="Arial"/>
        </w:rPr>
        <w:tab/>
        <w:t>The respondent opposed the application on the grounds that:</w:t>
      </w:r>
    </w:p>
    <w:p w:rsidR="00BA5977" w:rsidRDefault="00BA5977" w:rsidP="00BA5977">
      <w:pPr>
        <w:spacing w:after="240" w:line="360" w:lineRule="auto"/>
        <w:ind w:left="1134" w:hanging="567"/>
        <w:jc w:val="both"/>
        <w:rPr>
          <w:rFonts w:ascii="Arial" w:hAnsi="Arial" w:cs="Arial"/>
        </w:rPr>
      </w:pPr>
      <w:r>
        <w:rPr>
          <w:rFonts w:ascii="Arial" w:hAnsi="Arial" w:cs="Arial"/>
        </w:rPr>
        <w:t>3.1</w:t>
      </w:r>
      <w:r>
        <w:rPr>
          <w:rFonts w:ascii="Arial" w:hAnsi="Arial" w:cs="Arial"/>
        </w:rPr>
        <w:tab/>
        <w:t>The applicant failed to demand se</w:t>
      </w:r>
      <w:r w:rsidR="009418B5">
        <w:rPr>
          <w:rFonts w:ascii="Arial" w:hAnsi="Arial" w:cs="Arial"/>
        </w:rPr>
        <w:t>curity for costs as soon as poss</w:t>
      </w:r>
      <w:r>
        <w:rPr>
          <w:rFonts w:ascii="Arial" w:hAnsi="Arial" w:cs="Arial"/>
        </w:rPr>
        <w:t>ible after the commencement of the main action and</w:t>
      </w:r>
      <w:r w:rsidR="009418B5">
        <w:rPr>
          <w:rFonts w:ascii="Arial" w:hAnsi="Arial" w:cs="Arial"/>
        </w:rPr>
        <w:t xml:space="preserve"> had</w:t>
      </w:r>
      <w:r>
        <w:rPr>
          <w:rFonts w:ascii="Arial" w:hAnsi="Arial" w:cs="Arial"/>
        </w:rPr>
        <w:t xml:space="preserve"> </w:t>
      </w:r>
      <w:r w:rsidR="009418B5">
        <w:rPr>
          <w:rFonts w:ascii="Arial" w:hAnsi="Arial" w:cs="Arial"/>
        </w:rPr>
        <w:t>therefore failed to timeously pu</w:t>
      </w:r>
      <w:r>
        <w:rPr>
          <w:rFonts w:ascii="Arial" w:hAnsi="Arial" w:cs="Arial"/>
        </w:rPr>
        <w:t>r</w:t>
      </w:r>
      <w:r w:rsidR="009418B5">
        <w:rPr>
          <w:rFonts w:ascii="Arial" w:hAnsi="Arial" w:cs="Arial"/>
        </w:rPr>
        <w:t>s</w:t>
      </w:r>
      <w:r>
        <w:rPr>
          <w:rFonts w:ascii="Arial" w:hAnsi="Arial" w:cs="Arial"/>
        </w:rPr>
        <w:t>u</w:t>
      </w:r>
      <w:r w:rsidR="009418B5">
        <w:rPr>
          <w:rFonts w:ascii="Arial" w:hAnsi="Arial" w:cs="Arial"/>
        </w:rPr>
        <w:t>e</w:t>
      </w:r>
      <w:r>
        <w:rPr>
          <w:rFonts w:ascii="Arial" w:hAnsi="Arial" w:cs="Arial"/>
        </w:rPr>
        <w:t xml:space="preserve"> the application in terms of Rule 47;</w:t>
      </w:r>
    </w:p>
    <w:p w:rsidR="00BA5977" w:rsidRDefault="00BA5977" w:rsidP="00BA5977">
      <w:pPr>
        <w:spacing w:after="240" w:line="360" w:lineRule="auto"/>
        <w:ind w:left="1134" w:hanging="567"/>
        <w:jc w:val="both"/>
        <w:rPr>
          <w:rFonts w:ascii="Arial" w:hAnsi="Arial" w:cs="Arial"/>
        </w:rPr>
      </w:pPr>
      <w:r>
        <w:rPr>
          <w:rFonts w:ascii="Arial" w:hAnsi="Arial" w:cs="Arial"/>
        </w:rPr>
        <w:t>3.2</w:t>
      </w:r>
      <w:r>
        <w:rPr>
          <w:rFonts w:ascii="Arial" w:hAnsi="Arial" w:cs="Arial"/>
        </w:rPr>
        <w:tab/>
        <w:t>Th</w:t>
      </w:r>
      <w:r w:rsidR="00E47C4A">
        <w:rPr>
          <w:rFonts w:ascii="Arial" w:hAnsi="Arial" w:cs="Arial"/>
        </w:rPr>
        <w:t xml:space="preserve">e applicant was sufficiently </w:t>
      </w:r>
      <w:r w:rsidR="00854466">
        <w:rPr>
          <w:rFonts w:ascii="Arial" w:hAnsi="Arial" w:cs="Arial"/>
        </w:rPr>
        <w:t>safeguarded</w:t>
      </w:r>
      <w:r>
        <w:rPr>
          <w:rFonts w:ascii="Arial" w:hAnsi="Arial" w:cs="Arial"/>
        </w:rPr>
        <w:t xml:space="preserve"> in other ways;</w:t>
      </w:r>
    </w:p>
    <w:p w:rsidR="00BA5977" w:rsidRDefault="00BA5977" w:rsidP="00BA5977">
      <w:pPr>
        <w:spacing w:after="240" w:line="360" w:lineRule="auto"/>
        <w:ind w:left="1134" w:hanging="567"/>
        <w:jc w:val="both"/>
        <w:rPr>
          <w:rFonts w:ascii="Arial" w:hAnsi="Arial" w:cs="Arial"/>
        </w:rPr>
      </w:pPr>
      <w:r>
        <w:rPr>
          <w:rFonts w:ascii="Arial" w:hAnsi="Arial" w:cs="Arial"/>
        </w:rPr>
        <w:t>3.3</w:t>
      </w:r>
      <w:r>
        <w:rPr>
          <w:rFonts w:ascii="Arial" w:hAnsi="Arial" w:cs="Arial"/>
        </w:rPr>
        <w:tab/>
        <w:t xml:space="preserve">The application was manifestly </w:t>
      </w:r>
      <w:r w:rsidR="00E47C4A">
        <w:rPr>
          <w:rFonts w:ascii="Arial" w:hAnsi="Arial" w:cs="Arial"/>
          <w:i/>
        </w:rPr>
        <w:t>mala fide</w:t>
      </w:r>
      <w:r>
        <w:rPr>
          <w:rFonts w:ascii="Arial" w:hAnsi="Arial" w:cs="Arial"/>
        </w:rPr>
        <w:t>;</w:t>
      </w:r>
    </w:p>
    <w:p w:rsidR="00BA5977" w:rsidRDefault="00BA5977" w:rsidP="00BA5977">
      <w:pPr>
        <w:spacing w:after="240" w:line="360" w:lineRule="auto"/>
        <w:ind w:left="1134" w:hanging="567"/>
        <w:jc w:val="both"/>
        <w:rPr>
          <w:rFonts w:ascii="Arial" w:hAnsi="Arial" w:cs="Arial"/>
        </w:rPr>
      </w:pPr>
      <w:r>
        <w:rPr>
          <w:rFonts w:ascii="Arial" w:hAnsi="Arial" w:cs="Arial"/>
        </w:rPr>
        <w:t>3.4</w:t>
      </w:r>
      <w:r>
        <w:rPr>
          <w:rFonts w:ascii="Arial" w:hAnsi="Arial" w:cs="Arial"/>
        </w:rPr>
        <w:tab/>
        <w:t xml:space="preserve">The respondent’s claim against the applicant had prospects of success and was not viscous or </w:t>
      </w:r>
      <w:r w:rsidR="00E47C4A">
        <w:rPr>
          <w:rFonts w:ascii="Arial" w:hAnsi="Arial" w:cs="Arial"/>
          <w:i/>
        </w:rPr>
        <w:t>mala fide</w:t>
      </w:r>
      <w:r>
        <w:rPr>
          <w:rFonts w:ascii="Arial" w:hAnsi="Arial" w:cs="Arial"/>
        </w:rPr>
        <w:t>;</w:t>
      </w:r>
    </w:p>
    <w:p w:rsidR="00BA5977" w:rsidRDefault="00BA5977" w:rsidP="00BA5977">
      <w:pPr>
        <w:spacing w:after="240" w:line="360" w:lineRule="auto"/>
        <w:ind w:left="1134" w:hanging="567"/>
        <w:jc w:val="both"/>
        <w:rPr>
          <w:rFonts w:ascii="Arial" w:hAnsi="Arial" w:cs="Arial"/>
        </w:rPr>
      </w:pPr>
      <w:r>
        <w:rPr>
          <w:rFonts w:ascii="Arial" w:hAnsi="Arial" w:cs="Arial"/>
        </w:rPr>
        <w:t>3.5</w:t>
      </w:r>
      <w:r>
        <w:rPr>
          <w:rFonts w:ascii="Arial" w:hAnsi="Arial" w:cs="Arial"/>
        </w:rPr>
        <w:tab/>
        <w:t xml:space="preserve">The applicant failed to make out a case for security for costs. </w:t>
      </w:r>
    </w:p>
    <w:p w:rsidR="00B06CFE" w:rsidRDefault="00BA5977" w:rsidP="00BA5977">
      <w:pPr>
        <w:spacing w:after="240" w:line="360" w:lineRule="auto"/>
        <w:ind w:left="567" w:hanging="567"/>
        <w:jc w:val="both"/>
        <w:rPr>
          <w:rFonts w:ascii="Arial" w:hAnsi="Arial" w:cs="Arial"/>
        </w:rPr>
      </w:pPr>
      <w:r>
        <w:rPr>
          <w:rFonts w:ascii="Arial" w:hAnsi="Arial" w:cs="Arial"/>
        </w:rPr>
        <w:t>[4]</w:t>
      </w:r>
      <w:r>
        <w:rPr>
          <w:rFonts w:ascii="Arial" w:hAnsi="Arial" w:cs="Arial"/>
        </w:rPr>
        <w:tab/>
      </w:r>
      <w:r w:rsidR="00831EAA">
        <w:rPr>
          <w:rFonts w:ascii="Arial" w:hAnsi="Arial" w:cs="Arial"/>
        </w:rPr>
        <w:t>It is essential to give a</w:t>
      </w:r>
      <w:r w:rsidR="00E47C4A">
        <w:rPr>
          <w:rFonts w:ascii="Arial" w:hAnsi="Arial" w:cs="Arial"/>
        </w:rPr>
        <w:t xml:space="preserve"> brief background of the facts. </w:t>
      </w:r>
      <w:r w:rsidR="00831EAA">
        <w:rPr>
          <w:rFonts w:ascii="Arial" w:hAnsi="Arial" w:cs="Arial"/>
        </w:rPr>
        <w:t xml:space="preserve">The applicant and the respondent entered into </w:t>
      </w:r>
      <w:r w:rsidR="00854466">
        <w:rPr>
          <w:rFonts w:ascii="Arial" w:hAnsi="Arial" w:cs="Arial"/>
        </w:rPr>
        <w:t>a sale agreement for an Apollo</w:t>
      </w:r>
      <w:r w:rsidR="00831EAA">
        <w:rPr>
          <w:rFonts w:ascii="Arial" w:hAnsi="Arial" w:cs="Arial"/>
        </w:rPr>
        <w:t xml:space="preserve"> Aircraft on 05 October 2018. On 22 February 2021, the respondent, having cancelled the agreement, issue</w:t>
      </w:r>
      <w:r w:rsidR="00E47C4A">
        <w:rPr>
          <w:rFonts w:ascii="Arial" w:hAnsi="Arial" w:cs="Arial"/>
        </w:rPr>
        <w:t>d</w:t>
      </w:r>
      <w:r w:rsidR="00831EAA">
        <w:rPr>
          <w:rFonts w:ascii="Arial" w:hAnsi="Arial" w:cs="Arial"/>
        </w:rPr>
        <w:t xml:space="preserve"> </w:t>
      </w:r>
      <w:r w:rsidR="00854466">
        <w:rPr>
          <w:rFonts w:ascii="Arial" w:hAnsi="Arial" w:cs="Arial"/>
        </w:rPr>
        <w:t xml:space="preserve">a </w:t>
      </w:r>
      <w:r w:rsidR="00831EAA">
        <w:rPr>
          <w:rFonts w:ascii="Arial" w:hAnsi="Arial" w:cs="Arial"/>
        </w:rPr>
        <w:t>summons against the applicant for the repayment of the purchase price. The applicant defended and the matter proceeded on a defended basis. The applicant filed a plea and a counter</w:t>
      </w:r>
      <w:r w:rsidR="00E47C4A">
        <w:rPr>
          <w:rFonts w:ascii="Arial" w:hAnsi="Arial" w:cs="Arial"/>
        </w:rPr>
        <w:t>claim</w:t>
      </w:r>
      <w:r w:rsidR="00831EAA">
        <w:rPr>
          <w:rFonts w:ascii="Arial" w:hAnsi="Arial" w:cs="Arial"/>
        </w:rPr>
        <w:t xml:space="preserve"> on 21 April 2021 and on 17 May 2021 the respondent filed a reply to the applicant’s</w:t>
      </w:r>
      <w:r w:rsidR="00E47C4A">
        <w:rPr>
          <w:rFonts w:ascii="Arial" w:hAnsi="Arial" w:cs="Arial"/>
        </w:rPr>
        <w:t xml:space="preserve"> plea and a plea to the counter</w:t>
      </w:r>
      <w:r w:rsidR="00831EAA">
        <w:rPr>
          <w:rFonts w:ascii="Arial" w:hAnsi="Arial" w:cs="Arial"/>
        </w:rPr>
        <w:t>claim. The applicant demanded security for costs in the amount of R 500 000.00 in terms of Rule 47 by delivering a notice of demand for security costs on 23 February 2022. The respondent refused to furnish the security for the costs and dared the applicant to proceed with an application in term</w:t>
      </w:r>
      <w:r w:rsidR="00E47C4A">
        <w:rPr>
          <w:rFonts w:ascii="Arial" w:hAnsi="Arial" w:cs="Arial"/>
        </w:rPr>
        <w:t>s</w:t>
      </w:r>
      <w:r w:rsidR="00831EAA">
        <w:rPr>
          <w:rFonts w:ascii="Arial" w:hAnsi="Arial" w:cs="Arial"/>
        </w:rPr>
        <w:t xml:space="preserve"> of Rule </w:t>
      </w:r>
      <w:r w:rsidR="00B06CFE">
        <w:rPr>
          <w:rFonts w:ascii="Arial" w:hAnsi="Arial" w:cs="Arial"/>
        </w:rPr>
        <w:t xml:space="preserve">47 (3). </w:t>
      </w:r>
    </w:p>
    <w:p w:rsidR="00B06CFE" w:rsidRDefault="00B06CFE" w:rsidP="00BA5977">
      <w:pPr>
        <w:spacing w:after="240" w:line="360" w:lineRule="auto"/>
        <w:ind w:left="567" w:hanging="567"/>
        <w:jc w:val="both"/>
        <w:rPr>
          <w:rFonts w:ascii="Arial" w:hAnsi="Arial" w:cs="Arial"/>
        </w:rPr>
      </w:pPr>
      <w:r>
        <w:rPr>
          <w:rFonts w:ascii="Arial" w:hAnsi="Arial" w:cs="Arial"/>
        </w:rPr>
        <w:t>[5]</w:t>
      </w:r>
      <w:r>
        <w:rPr>
          <w:rFonts w:ascii="Arial" w:hAnsi="Arial" w:cs="Arial"/>
        </w:rPr>
        <w:tab/>
        <w:t xml:space="preserve">On 19 September 2022, the applicant delivered a second notice of demand for the security for costs in the amount </w:t>
      </w:r>
      <w:r w:rsidR="00274F66">
        <w:rPr>
          <w:rFonts w:ascii="Arial" w:hAnsi="Arial" w:cs="Arial"/>
        </w:rPr>
        <w:t xml:space="preserve">of </w:t>
      </w:r>
      <w:r>
        <w:rPr>
          <w:rFonts w:ascii="Arial" w:hAnsi="Arial" w:cs="Arial"/>
        </w:rPr>
        <w:t xml:space="preserve">R 500 000.00 on </w:t>
      </w:r>
      <w:r w:rsidR="00733717">
        <w:rPr>
          <w:rFonts w:ascii="Arial" w:hAnsi="Arial" w:cs="Arial"/>
        </w:rPr>
        <w:t xml:space="preserve">the </w:t>
      </w:r>
      <w:r>
        <w:rPr>
          <w:rFonts w:ascii="Arial" w:hAnsi="Arial" w:cs="Arial"/>
        </w:rPr>
        <w:t>same ground</w:t>
      </w:r>
      <w:r w:rsidR="00274F66">
        <w:rPr>
          <w:rFonts w:ascii="Arial" w:hAnsi="Arial" w:cs="Arial"/>
        </w:rPr>
        <w:t>s as the previous notice</w:t>
      </w:r>
      <w:r w:rsidR="00733717">
        <w:rPr>
          <w:rFonts w:ascii="Arial" w:hAnsi="Arial" w:cs="Arial"/>
        </w:rPr>
        <w:t>. Once again</w:t>
      </w:r>
      <w:r>
        <w:rPr>
          <w:rFonts w:ascii="Arial" w:hAnsi="Arial" w:cs="Arial"/>
        </w:rPr>
        <w:t xml:space="preserve"> the respondent refused to furnish the securit</w:t>
      </w:r>
      <w:r w:rsidR="00733717">
        <w:rPr>
          <w:rFonts w:ascii="Arial" w:hAnsi="Arial" w:cs="Arial"/>
        </w:rPr>
        <w:t xml:space="preserve">y for costs. The respondent </w:t>
      </w:r>
      <w:r>
        <w:rPr>
          <w:rFonts w:ascii="Arial" w:hAnsi="Arial" w:cs="Arial"/>
        </w:rPr>
        <w:t>amended his particulars of claim on 14 June 2022 and amended his residential address to</w:t>
      </w:r>
      <w:r w:rsidR="00E37486">
        <w:rPr>
          <w:rFonts w:ascii="Arial" w:hAnsi="Arial" w:cs="Arial"/>
        </w:rPr>
        <w:t xml:space="preserve"> reflect that he was now resident in</w:t>
      </w:r>
      <w:r>
        <w:rPr>
          <w:rFonts w:ascii="Arial" w:hAnsi="Arial" w:cs="Arial"/>
        </w:rPr>
        <w:t xml:space="preserve"> Israel. </w:t>
      </w:r>
    </w:p>
    <w:p w:rsidR="0056474A" w:rsidRDefault="00D7041D" w:rsidP="00BA5977">
      <w:pPr>
        <w:spacing w:after="240" w:line="360" w:lineRule="auto"/>
        <w:ind w:left="567" w:hanging="567"/>
        <w:jc w:val="both"/>
        <w:rPr>
          <w:rFonts w:ascii="Arial" w:hAnsi="Arial" w:cs="Arial"/>
        </w:rPr>
      </w:pPr>
      <w:r>
        <w:rPr>
          <w:rFonts w:ascii="Arial" w:hAnsi="Arial" w:cs="Arial"/>
        </w:rPr>
        <w:t>[6]</w:t>
      </w:r>
      <w:r>
        <w:rPr>
          <w:rFonts w:ascii="Arial" w:hAnsi="Arial" w:cs="Arial"/>
        </w:rPr>
        <w:tab/>
        <w:t>In its</w:t>
      </w:r>
      <w:r w:rsidR="00B06CFE">
        <w:rPr>
          <w:rFonts w:ascii="Arial" w:hAnsi="Arial" w:cs="Arial"/>
        </w:rPr>
        <w:t xml:space="preserve"> founding affidavi</w:t>
      </w:r>
      <w:r>
        <w:rPr>
          <w:rFonts w:ascii="Arial" w:hAnsi="Arial" w:cs="Arial"/>
        </w:rPr>
        <w:t>t, the applicant stated that it was informed by its</w:t>
      </w:r>
      <w:r w:rsidR="00B06CFE">
        <w:rPr>
          <w:rFonts w:ascii="Arial" w:hAnsi="Arial" w:cs="Arial"/>
        </w:rPr>
        <w:t xml:space="preserve"> attorney that the respondent was a p</w:t>
      </w:r>
      <w:r w:rsidR="00457BF2">
        <w:rPr>
          <w:rFonts w:ascii="Arial" w:hAnsi="Arial" w:cs="Arial"/>
        </w:rPr>
        <w:t>e</w:t>
      </w:r>
      <w:r>
        <w:rPr>
          <w:rFonts w:ascii="Arial" w:hAnsi="Arial" w:cs="Arial"/>
        </w:rPr>
        <w:t>regrinus, legal</w:t>
      </w:r>
      <w:r w:rsidR="00B06CFE">
        <w:rPr>
          <w:rFonts w:ascii="Arial" w:hAnsi="Arial" w:cs="Arial"/>
        </w:rPr>
        <w:t xml:space="preserve"> term</w:t>
      </w:r>
      <w:r>
        <w:rPr>
          <w:rFonts w:ascii="Arial" w:hAnsi="Arial" w:cs="Arial"/>
        </w:rPr>
        <w:t>inology to describe a foreigner. This</w:t>
      </w:r>
      <w:r w:rsidR="00B06CFE">
        <w:rPr>
          <w:rFonts w:ascii="Arial" w:hAnsi="Arial" w:cs="Arial"/>
        </w:rPr>
        <w:t xml:space="preserve"> conclusion </w:t>
      </w:r>
      <w:r w:rsidR="00F308D2">
        <w:rPr>
          <w:rFonts w:ascii="Arial" w:hAnsi="Arial" w:cs="Arial"/>
        </w:rPr>
        <w:t>was drawn</w:t>
      </w:r>
      <w:r w:rsidR="00B06CFE">
        <w:rPr>
          <w:rFonts w:ascii="Arial" w:hAnsi="Arial" w:cs="Arial"/>
        </w:rPr>
        <w:t xml:space="preserve"> by the attorney from the amendment of the appli</w:t>
      </w:r>
      <w:r>
        <w:rPr>
          <w:rFonts w:ascii="Arial" w:hAnsi="Arial" w:cs="Arial"/>
        </w:rPr>
        <w:t xml:space="preserve">cant’s particulars of claim on </w:t>
      </w:r>
      <w:r w:rsidR="00B06CFE">
        <w:rPr>
          <w:rFonts w:ascii="Arial" w:hAnsi="Arial" w:cs="Arial"/>
        </w:rPr>
        <w:t>1 July 2022</w:t>
      </w:r>
      <w:r w:rsidR="00BB18DB">
        <w:rPr>
          <w:rFonts w:ascii="Arial" w:hAnsi="Arial" w:cs="Arial"/>
        </w:rPr>
        <w:t>.</w:t>
      </w:r>
      <w:r w:rsidR="00B06CFE">
        <w:rPr>
          <w:rFonts w:ascii="Arial" w:hAnsi="Arial" w:cs="Arial"/>
        </w:rPr>
        <w:t xml:space="preserve"> </w:t>
      </w:r>
      <w:r w:rsidR="00BB18DB">
        <w:rPr>
          <w:rFonts w:ascii="Arial" w:hAnsi="Arial" w:cs="Arial"/>
        </w:rPr>
        <w:t>The</w:t>
      </w:r>
      <w:r w:rsidR="00457BF2">
        <w:rPr>
          <w:rFonts w:ascii="Arial" w:hAnsi="Arial" w:cs="Arial"/>
        </w:rPr>
        <w:t xml:space="preserve"> </w:t>
      </w:r>
      <w:r w:rsidR="00B06CFE">
        <w:rPr>
          <w:rFonts w:ascii="Arial" w:hAnsi="Arial" w:cs="Arial"/>
        </w:rPr>
        <w:t>amend</w:t>
      </w:r>
      <w:r w:rsidR="00BB18DB">
        <w:rPr>
          <w:rFonts w:ascii="Arial" w:hAnsi="Arial" w:cs="Arial"/>
        </w:rPr>
        <w:t>ment</w:t>
      </w:r>
      <w:r>
        <w:rPr>
          <w:rFonts w:ascii="Arial" w:hAnsi="Arial" w:cs="Arial"/>
        </w:rPr>
        <w:t xml:space="preserve"> described </w:t>
      </w:r>
      <w:r w:rsidR="00B06CFE">
        <w:rPr>
          <w:rFonts w:ascii="Arial" w:hAnsi="Arial" w:cs="Arial"/>
        </w:rPr>
        <w:t xml:space="preserve">the </w:t>
      </w:r>
      <w:r>
        <w:rPr>
          <w:rFonts w:ascii="Arial" w:hAnsi="Arial" w:cs="Arial"/>
        </w:rPr>
        <w:t>respondent</w:t>
      </w:r>
      <w:r w:rsidR="00B06CFE">
        <w:rPr>
          <w:rFonts w:ascii="Arial" w:hAnsi="Arial" w:cs="Arial"/>
        </w:rPr>
        <w:t xml:space="preserve"> as a </w:t>
      </w:r>
      <w:r w:rsidR="0067768F">
        <w:rPr>
          <w:rFonts w:ascii="Arial" w:hAnsi="Arial" w:cs="Arial"/>
        </w:rPr>
        <w:t>businessman</w:t>
      </w:r>
      <w:r w:rsidR="00F23A49">
        <w:rPr>
          <w:rFonts w:ascii="Arial" w:hAnsi="Arial" w:cs="Arial"/>
        </w:rPr>
        <w:t xml:space="preserve"> resident</w:t>
      </w:r>
      <w:r w:rsidR="00B06CFE">
        <w:rPr>
          <w:rFonts w:ascii="Arial" w:hAnsi="Arial" w:cs="Arial"/>
        </w:rPr>
        <w:t xml:space="preserve"> in Israel.</w:t>
      </w:r>
      <w:r w:rsidR="00B06CFE">
        <w:rPr>
          <w:rStyle w:val="FootnoteReference"/>
          <w:rFonts w:ascii="Arial" w:hAnsi="Arial" w:cs="Arial"/>
        </w:rPr>
        <w:footnoteReference w:id="2"/>
      </w:r>
      <w:r>
        <w:rPr>
          <w:rFonts w:ascii="Arial" w:hAnsi="Arial" w:cs="Arial"/>
        </w:rPr>
        <w:t xml:space="preserve"> Before t</w:t>
      </w:r>
      <w:r w:rsidR="00B06CFE">
        <w:rPr>
          <w:rFonts w:ascii="Arial" w:hAnsi="Arial" w:cs="Arial"/>
        </w:rPr>
        <w:t>he amendment</w:t>
      </w:r>
      <w:r>
        <w:rPr>
          <w:rFonts w:ascii="Arial" w:hAnsi="Arial" w:cs="Arial"/>
        </w:rPr>
        <w:t>, the respondent was cited as a businessman resident at Plettenberg Bay in South Africa. This</w:t>
      </w:r>
      <w:r w:rsidR="00B06CFE">
        <w:rPr>
          <w:rFonts w:ascii="Arial" w:hAnsi="Arial" w:cs="Arial"/>
        </w:rPr>
        <w:t xml:space="preserve"> was </w:t>
      </w:r>
      <w:r>
        <w:rPr>
          <w:rFonts w:ascii="Arial" w:hAnsi="Arial" w:cs="Arial"/>
        </w:rPr>
        <w:t>denied in the applicant’s plea</w:t>
      </w:r>
      <w:r w:rsidR="00F308D2">
        <w:rPr>
          <w:rFonts w:ascii="Arial" w:hAnsi="Arial" w:cs="Arial"/>
        </w:rPr>
        <w:t xml:space="preserve"> </w:t>
      </w:r>
      <w:r>
        <w:rPr>
          <w:rFonts w:ascii="Arial" w:hAnsi="Arial" w:cs="Arial"/>
        </w:rPr>
        <w:t xml:space="preserve">as it pleaded that the respondent was permanently resident in </w:t>
      </w:r>
      <w:r w:rsidR="00F308D2">
        <w:rPr>
          <w:rFonts w:ascii="Arial" w:hAnsi="Arial" w:cs="Arial"/>
        </w:rPr>
        <w:t xml:space="preserve">the </w:t>
      </w:r>
      <w:r>
        <w:rPr>
          <w:rFonts w:ascii="Arial" w:hAnsi="Arial" w:cs="Arial"/>
        </w:rPr>
        <w:t>United States of America as he had emigrated thereto in 2020.</w:t>
      </w:r>
      <w:r>
        <w:rPr>
          <w:rStyle w:val="FootnoteReference"/>
          <w:rFonts w:ascii="Arial" w:hAnsi="Arial" w:cs="Arial"/>
        </w:rPr>
        <w:footnoteReference w:id="3"/>
      </w:r>
      <w:r w:rsidR="00BB18DB" w:rsidRPr="00BB18DB">
        <w:rPr>
          <w:rFonts w:ascii="Arial" w:hAnsi="Arial" w:cs="Arial"/>
          <w:color w:val="FFFFFF" w:themeColor="background1"/>
        </w:rPr>
        <w:t xml:space="preserve"> </w:t>
      </w:r>
      <w:r w:rsidR="00BB18DB">
        <w:rPr>
          <w:rFonts w:ascii="Arial" w:hAnsi="Arial" w:cs="Arial"/>
        </w:rPr>
        <w:t>The respondent’s summons was</w:t>
      </w:r>
      <w:r w:rsidR="0011692D">
        <w:rPr>
          <w:rFonts w:ascii="Arial" w:hAnsi="Arial" w:cs="Arial"/>
        </w:rPr>
        <w:t xml:space="preserve"> issued on 21 February 2021. </w:t>
      </w:r>
      <w:r w:rsidR="0056474A">
        <w:rPr>
          <w:rFonts w:ascii="Arial" w:hAnsi="Arial" w:cs="Arial"/>
        </w:rPr>
        <w:t>The applicant’s plea and counterclaim were</w:t>
      </w:r>
      <w:r w:rsidR="00F154B3">
        <w:rPr>
          <w:rFonts w:ascii="Arial" w:hAnsi="Arial" w:cs="Arial"/>
        </w:rPr>
        <w:t xml:space="preserve"> served on 23 April 2021.</w:t>
      </w:r>
      <w:r w:rsidR="00B06CFE">
        <w:rPr>
          <w:rFonts w:ascii="Arial" w:hAnsi="Arial" w:cs="Arial"/>
        </w:rPr>
        <w:t xml:space="preserve"> </w:t>
      </w:r>
    </w:p>
    <w:p w:rsidR="00B06CFE" w:rsidRDefault="00F154B3" w:rsidP="001A1404">
      <w:pPr>
        <w:spacing w:after="240" w:line="360" w:lineRule="auto"/>
        <w:ind w:left="567" w:hanging="567"/>
        <w:jc w:val="both"/>
        <w:rPr>
          <w:rFonts w:ascii="Arial" w:hAnsi="Arial" w:cs="Arial"/>
        </w:rPr>
      </w:pPr>
      <w:r>
        <w:rPr>
          <w:rFonts w:ascii="Arial" w:hAnsi="Arial" w:cs="Arial"/>
        </w:rPr>
        <w:t xml:space="preserve">  </w:t>
      </w:r>
      <w:r w:rsidR="0056474A">
        <w:rPr>
          <w:rFonts w:ascii="Arial" w:hAnsi="Arial" w:cs="Arial"/>
        </w:rPr>
        <w:t>[7</w:t>
      </w:r>
      <w:r>
        <w:rPr>
          <w:rFonts w:ascii="Arial" w:hAnsi="Arial" w:cs="Arial"/>
        </w:rPr>
        <w:t>] The</w:t>
      </w:r>
      <w:r w:rsidR="00B06CFE">
        <w:rPr>
          <w:rFonts w:ascii="Arial" w:hAnsi="Arial" w:cs="Arial"/>
        </w:rPr>
        <w:t xml:space="preserve"> application could not be brought earlier as it was not established that the </w:t>
      </w:r>
      <w:r w:rsidR="00B06CFE" w:rsidRPr="0067768F">
        <w:rPr>
          <w:rFonts w:ascii="Arial" w:hAnsi="Arial" w:cs="Arial"/>
        </w:rPr>
        <w:t>respondent was a p</w:t>
      </w:r>
      <w:r w:rsidR="007A178E" w:rsidRPr="0067768F">
        <w:rPr>
          <w:rFonts w:ascii="Arial" w:hAnsi="Arial" w:cs="Arial"/>
        </w:rPr>
        <w:t>e</w:t>
      </w:r>
      <w:r w:rsidR="00B06CFE" w:rsidRPr="0067768F">
        <w:rPr>
          <w:rFonts w:ascii="Arial" w:hAnsi="Arial" w:cs="Arial"/>
        </w:rPr>
        <w:t>regrinus.</w:t>
      </w:r>
      <w:r>
        <w:rPr>
          <w:rStyle w:val="FootnoteReference"/>
          <w:rFonts w:ascii="Arial" w:hAnsi="Arial" w:cs="Arial"/>
        </w:rPr>
        <w:footnoteReference w:id="4"/>
      </w:r>
      <w:r w:rsidR="00B06CFE">
        <w:rPr>
          <w:rFonts w:ascii="Arial" w:hAnsi="Arial" w:cs="Arial"/>
        </w:rPr>
        <w:t xml:space="preserve"> </w:t>
      </w:r>
      <w:r>
        <w:rPr>
          <w:rFonts w:ascii="Arial" w:hAnsi="Arial" w:cs="Arial"/>
        </w:rPr>
        <w:t>In the period between late 2020 and the beginning of 2021, the applicant was under the impression that the respondent was no longer residing in the United States but in South Africa, albeit</w:t>
      </w:r>
      <w:r w:rsidR="00A00249">
        <w:rPr>
          <w:rFonts w:ascii="Arial" w:hAnsi="Arial" w:cs="Arial"/>
        </w:rPr>
        <w:t xml:space="preserve"> with the stated intention of e</w:t>
      </w:r>
      <w:r>
        <w:rPr>
          <w:rFonts w:ascii="Arial" w:hAnsi="Arial" w:cs="Arial"/>
        </w:rPr>
        <w:t>migrating to Israel.</w:t>
      </w:r>
      <w:r>
        <w:rPr>
          <w:rStyle w:val="FootnoteReference"/>
          <w:rFonts w:ascii="Arial" w:hAnsi="Arial" w:cs="Arial"/>
        </w:rPr>
        <w:footnoteReference w:id="5"/>
      </w:r>
      <w:r>
        <w:rPr>
          <w:rFonts w:ascii="Arial" w:hAnsi="Arial" w:cs="Arial"/>
        </w:rPr>
        <w:t xml:space="preserve"> </w:t>
      </w:r>
      <w:r w:rsidR="00241308">
        <w:rPr>
          <w:rFonts w:ascii="Arial" w:hAnsi="Arial" w:cs="Arial"/>
        </w:rPr>
        <w:t>Up until their amendment, the particulars of claim stated clearly that the respondent was resident in South Africa.</w:t>
      </w:r>
      <w:r w:rsidR="00594EE7">
        <w:rPr>
          <w:rStyle w:val="FootnoteReference"/>
          <w:rFonts w:ascii="Arial" w:hAnsi="Arial" w:cs="Arial"/>
        </w:rPr>
        <w:footnoteReference w:id="6"/>
      </w:r>
      <w:r w:rsidR="00DA7C86">
        <w:rPr>
          <w:rFonts w:ascii="Arial" w:hAnsi="Arial" w:cs="Arial"/>
        </w:rPr>
        <w:t>The applicant was under the impression during the latter part of 2020 and up until June 2022 that the respondent was back in South Africa and no longer resident in the United States.</w:t>
      </w:r>
      <w:r w:rsidR="00DA7C86">
        <w:rPr>
          <w:rStyle w:val="FootnoteReference"/>
          <w:rFonts w:ascii="Arial" w:hAnsi="Arial" w:cs="Arial"/>
        </w:rPr>
        <w:footnoteReference w:id="7"/>
      </w:r>
    </w:p>
    <w:p w:rsidR="008826B9" w:rsidRDefault="001A1404" w:rsidP="00BA5977">
      <w:pPr>
        <w:spacing w:after="240" w:line="360" w:lineRule="auto"/>
        <w:ind w:left="567" w:hanging="567"/>
        <w:jc w:val="both"/>
        <w:rPr>
          <w:rFonts w:ascii="Arial" w:hAnsi="Arial" w:cs="Arial"/>
        </w:rPr>
      </w:pPr>
      <w:r>
        <w:rPr>
          <w:rFonts w:ascii="Arial" w:hAnsi="Arial" w:cs="Arial"/>
        </w:rPr>
        <w:t>[8</w:t>
      </w:r>
      <w:r w:rsidR="00B06CFE">
        <w:rPr>
          <w:rFonts w:ascii="Arial" w:hAnsi="Arial" w:cs="Arial"/>
        </w:rPr>
        <w:t>]</w:t>
      </w:r>
      <w:r w:rsidR="00B06CFE">
        <w:rPr>
          <w:rFonts w:ascii="Arial" w:hAnsi="Arial" w:cs="Arial"/>
        </w:rPr>
        <w:tab/>
        <w:t>In argument</w:t>
      </w:r>
      <w:r w:rsidR="00A10ECE">
        <w:rPr>
          <w:rFonts w:ascii="Arial" w:hAnsi="Arial" w:cs="Arial"/>
        </w:rPr>
        <w:t>,</w:t>
      </w:r>
      <w:r w:rsidR="00B06CFE">
        <w:rPr>
          <w:rFonts w:ascii="Arial" w:hAnsi="Arial" w:cs="Arial"/>
        </w:rPr>
        <w:t xml:space="preserve"> </w:t>
      </w:r>
      <w:r w:rsidR="00A10ECE">
        <w:rPr>
          <w:rFonts w:ascii="Arial" w:hAnsi="Arial" w:cs="Arial"/>
        </w:rPr>
        <w:t>the applicant</w:t>
      </w:r>
      <w:r w:rsidR="0078679D">
        <w:rPr>
          <w:rFonts w:ascii="Arial" w:hAnsi="Arial" w:cs="Arial"/>
        </w:rPr>
        <w:t xml:space="preserve"> submitted that it had made out a proper </w:t>
      </w:r>
      <w:r w:rsidR="00A10ECE">
        <w:rPr>
          <w:rFonts w:ascii="Arial" w:hAnsi="Arial" w:cs="Arial"/>
        </w:rPr>
        <w:t>case for the relief sort in the</w:t>
      </w:r>
      <w:r w:rsidR="0078679D">
        <w:rPr>
          <w:rFonts w:ascii="Arial" w:hAnsi="Arial" w:cs="Arial"/>
        </w:rPr>
        <w:t xml:space="preserve"> application</w:t>
      </w:r>
      <w:r w:rsidR="00A10ECE">
        <w:rPr>
          <w:rFonts w:ascii="Arial" w:hAnsi="Arial" w:cs="Arial"/>
        </w:rPr>
        <w:t>. T</w:t>
      </w:r>
      <w:r w:rsidR="0078679D">
        <w:rPr>
          <w:rFonts w:ascii="Arial" w:hAnsi="Arial" w:cs="Arial"/>
        </w:rPr>
        <w:t>here was absolutely no merit in the respondent’s allegation that the applicant failed to act as soon as possible after the commencement of the proceedings.</w:t>
      </w:r>
      <w:r w:rsidR="0078679D">
        <w:rPr>
          <w:rStyle w:val="FootnoteReference"/>
          <w:rFonts w:ascii="Arial" w:hAnsi="Arial" w:cs="Arial"/>
        </w:rPr>
        <w:footnoteReference w:id="8"/>
      </w:r>
      <w:r w:rsidR="0078679D">
        <w:rPr>
          <w:rFonts w:ascii="Arial" w:hAnsi="Arial" w:cs="Arial"/>
        </w:rPr>
        <w:t xml:space="preserve"> Relying on the case of </w:t>
      </w:r>
      <w:r w:rsidR="0078679D">
        <w:rPr>
          <w:rFonts w:ascii="Arial" w:hAnsi="Arial" w:cs="Arial"/>
          <w:i/>
        </w:rPr>
        <w:t>Silvercraft Helicopters</w:t>
      </w:r>
      <w:r w:rsidR="000F2881">
        <w:rPr>
          <w:rFonts w:ascii="Arial" w:hAnsi="Arial" w:cs="Arial"/>
          <w:i/>
        </w:rPr>
        <w:t xml:space="preserve"> </w:t>
      </w:r>
      <w:r w:rsidR="000F2881" w:rsidRPr="000F2881">
        <w:rPr>
          <w:rFonts w:ascii="Arial" w:hAnsi="Arial" w:cs="Arial"/>
          <w:bCs/>
          <w:i/>
          <w:color w:val="000000"/>
        </w:rPr>
        <w:t>(</w:t>
      </w:r>
      <w:r w:rsidR="000F2881">
        <w:rPr>
          <w:rFonts w:ascii="Arial" w:hAnsi="Arial" w:cs="Arial"/>
          <w:bCs/>
          <w:i/>
          <w:color w:val="000000"/>
        </w:rPr>
        <w:t>S</w:t>
      </w:r>
      <w:r w:rsidR="000F2881" w:rsidRPr="000F2881">
        <w:rPr>
          <w:rFonts w:ascii="Arial" w:hAnsi="Arial" w:cs="Arial"/>
          <w:bCs/>
          <w:i/>
          <w:color w:val="000000"/>
        </w:rPr>
        <w:t xml:space="preserve">witzerland) </w:t>
      </w:r>
      <w:r w:rsidR="000F2881">
        <w:rPr>
          <w:rFonts w:ascii="Arial" w:hAnsi="Arial" w:cs="Arial"/>
          <w:bCs/>
          <w:i/>
          <w:color w:val="000000"/>
        </w:rPr>
        <w:t>L</w:t>
      </w:r>
      <w:r w:rsidR="000F2881" w:rsidRPr="000F2881">
        <w:rPr>
          <w:rFonts w:ascii="Arial" w:hAnsi="Arial" w:cs="Arial"/>
          <w:bCs/>
          <w:i/>
          <w:color w:val="000000"/>
        </w:rPr>
        <w:t>td and another</w:t>
      </w:r>
      <w:r w:rsidR="00356D48">
        <w:rPr>
          <w:rFonts w:ascii="Arial" w:hAnsi="Arial" w:cs="Arial"/>
          <w:i/>
        </w:rPr>
        <w:t xml:space="preserve"> v</w:t>
      </w:r>
      <w:r w:rsidR="0078679D">
        <w:rPr>
          <w:rFonts w:ascii="Arial" w:hAnsi="Arial" w:cs="Arial"/>
          <w:i/>
        </w:rPr>
        <w:t xml:space="preserve"> Zoonekus Mansions (Pty) Ltd, and</w:t>
      </w:r>
      <w:r w:rsidR="0078679D" w:rsidRPr="0078679D">
        <w:rPr>
          <w:rFonts w:ascii="Arial" w:hAnsi="Arial" w:cs="Arial"/>
          <w:i/>
        </w:rPr>
        <w:t xml:space="preserve"> two other cases</w:t>
      </w:r>
      <w:r w:rsidR="0078679D">
        <w:rPr>
          <w:rStyle w:val="FootnoteReference"/>
          <w:rFonts w:ascii="Arial" w:hAnsi="Arial" w:cs="Arial"/>
          <w:i/>
        </w:rPr>
        <w:footnoteReference w:id="9"/>
      </w:r>
      <w:r w:rsidR="0078679D">
        <w:rPr>
          <w:rFonts w:ascii="Arial" w:hAnsi="Arial" w:cs="Arial"/>
        </w:rPr>
        <w:t xml:space="preserve">, the applicant submitted that the court </w:t>
      </w:r>
      <w:r w:rsidR="00982D0A">
        <w:rPr>
          <w:rFonts w:ascii="Arial" w:hAnsi="Arial" w:cs="Arial"/>
        </w:rPr>
        <w:t xml:space="preserve">will not </w:t>
      </w:r>
      <w:r w:rsidR="000F2881">
        <w:rPr>
          <w:rFonts w:ascii="Arial" w:hAnsi="Arial" w:cs="Arial"/>
        </w:rPr>
        <w:t xml:space="preserve">in applications for security, enquire into the merits of the dispute of the </w:t>
      </w:r>
      <w:r w:rsidR="000F2881">
        <w:rPr>
          <w:rFonts w:ascii="Arial" w:hAnsi="Arial" w:cs="Arial"/>
          <w:i/>
        </w:rPr>
        <w:t xml:space="preserve">bona fides </w:t>
      </w:r>
      <w:r w:rsidR="000F2881">
        <w:rPr>
          <w:rFonts w:ascii="Arial" w:hAnsi="Arial" w:cs="Arial"/>
        </w:rPr>
        <w:t>of the parties. Taking into account the manner in which the answering affidavit was drafted,</w:t>
      </w:r>
      <w:r w:rsidR="00A10ECE">
        <w:rPr>
          <w:rFonts w:ascii="Arial" w:hAnsi="Arial" w:cs="Arial"/>
        </w:rPr>
        <w:t xml:space="preserve"> it was submitted that</w:t>
      </w:r>
      <w:r w:rsidR="000F2881">
        <w:rPr>
          <w:rFonts w:ascii="Arial" w:hAnsi="Arial" w:cs="Arial"/>
        </w:rPr>
        <w:t xml:space="preserve"> the only </w:t>
      </w:r>
      <w:r w:rsidR="000F2881">
        <w:rPr>
          <w:rFonts w:ascii="Arial" w:hAnsi="Arial" w:cs="Arial"/>
          <w:i/>
        </w:rPr>
        <w:t xml:space="preserve">mala fides </w:t>
      </w:r>
      <w:r w:rsidR="00A10ECE">
        <w:rPr>
          <w:rFonts w:ascii="Arial" w:hAnsi="Arial" w:cs="Arial"/>
        </w:rPr>
        <w:t>present in this matter wa</w:t>
      </w:r>
      <w:r w:rsidR="000F2881">
        <w:rPr>
          <w:rFonts w:ascii="Arial" w:hAnsi="Arial" w:cs="Arial"/>
        </w:rPr>
        <w:t>s on the part of the respondent.</w:t>
      </w:r>
      <w:r w:rsidR="000F2881">
        <w:rPr>
          <w:rStyle w:val="FootnoteReference"/>
          <w:rFonts w:ascii="Arial" w:hAnsi="Arial" w:cs="Arial"/>
        </w:rPr>
        <w:footnoteReference w:id="10"/>
      </w:r>
      <w:r w:rsidR="000F2881">
        <w:rPr>
          <w:rFonts w:ascii="Arial" w:hAnsi="Arial" w:cs="Arial"/>
        </w:rPr>
        <w:t xml:space="preserve"> The applicant was entitled to be protected to the full in the proceedings initiated by the respondent p</w:t>
      </w:r>
      <w:r w:rsidR="00A10ECE">
        <w:rPr>
          <w:rFonts w:ascii="Arial" w:hAnsi="Arial" w:cs="Arial"/>
        </w:rPr>
        <w:t>e</w:t>
      </w:r>
      <w:r w:rsidR="000F2881">
        <w:rPr>
          <w:rFonts w:ascii="Arial" w:hAnsi="Arial" w:cs="Arial"/>
        </w:rPr>
        <w:t xml:space="preserve">regrinus. The respondent’s reliance on the aircraft as security was misplaced as it was clear from the replying affidavit that the aircraft was being dismantled and </w:t>
      </w:r>
      <w:r w:rsidR="008826B9">
        <w:rPr>
          <w:rFonts w:ascii="Arial" w:hAnsi="Arial" w:cs="Arial"/>
        </w:rPr>
        <w:t xml:space="preserve">was subjected to harsh coastal weather conditions. The value of the aircraft appeared to be R 1 500 000.00 as an offer for such </w:t>
      </w:r>
      <w:r w:rsidR="0067768F">
        <w:rPr>
          <w:rFonts w:ascii="Arial" w:hAnsi="Arial" w:cs="Arial"/>
        </w:rPr>
        <w:t xml:space="preserve">an </w:t>
      </w:r>
      <w:r w:rsidR="008826B9">
        <w:rPr>
          <w:rFonts w:ascii="Arial" w:hAnsi="Arial" w:cs="Arial"/>
        </w:rPr>
        <w:t>amount was made by a prospective purchaser. This amount was not even sufficient to cover the amount of the applicant’s counter-claim.</w:t>
      </w:r>
      <w:r w:rsidR="00010380">
        <w:rPr>
          <w:rStyle w:val="FootnoteReference"/>
          <w:rFonts w:ascii="Arial" w:hAnsi="Arial" w:cs="Arial"/>
        </w:rPr>
        <w:footnoteReference w:id="11"/>
      </w:r>
      <w:r w:rsidR="008826B9">
        <w:rPr>
          <w:rFonts w:ascii="Arial" w:hAnsi="Arial" w:cs="Arial"/>
        </w:rPr>
        <w:t xml:space="preserve"> </w:t>
      </w:r>
    </w:p>
    <w:p w:rsidR="005C5FA7" w:rsidRDefault="001A1404" w:rsidP="001A1404">
      <w:pPr>
        <w:autoSpaceDE w:val="0"/>
        <w:autoSpaceDN w:val="0"/>
        <w:adjustRightInd w:val="0"/>
        <w:spacing w:line="360" w:lineRule="auto"/>
        <w:ind w:left="567" w:hanging="567"/>
        <w:jc w:val="both"/>
        <w:rPr>
          <w:rFonts w:ascii="Arial" w:hAnsi="Arial" w:cs="Arial"/>
        </w:rPr>
      </w:pPr>
      <w:r>
        <w:rPr>
          <w:rFonts w:ascii="Arial" w:hAnsi="Arial" w:cs="Arial"/>
        </w:rPr>
        <w:t>[9</w:t>
      </w:r>
      <w:r w:rsidR="000E7BB3">
        <w:rPr>
          <w:rFonts w:ascii="Arial" w:hAnsi="Arial" w:cs="Arial"/>
        </w:rPr>
        <w:t>]</w:t>
      </w:r>
      <w:r w:rsidR="000E7BB3">
        <w:rPr>
          <w:rFonts w:ascii="Arial" w:hAnsi="Arial" w:cs="Arial"/>
        </w:rPr>
        <w:tab/>
      </w:r>
      <w:r w:rsidR="008826B9">
        <w:rPr>
          <w:rFonts w:ascii="Arial" w:hAnsi="Arial" w:cs="Arial"/>
        </w:rPr>
        <w:t>Rule 47 (1) of the Uniform Rules of Court p</w:t>
      </w:r>
      <w:r w:rsidR="007270BC">
        <w:rPr>
          <w:rFonts w:ascii="Arial" w:hAnsi="Arial" w:cs="Arial"/>
        </w:rPr>
        <w:t>rovides that a party entitled and</w:t>
      </w:r>
      <w:r w:rsidR="008826B9">
        <w:rPr>
          <w:rFonts w:ascii="Arial" w:hAnsi="Arial" w:cs="Arial"/>
        </w:rPr>
        <w:t xml:space="preserve"> desiring to demand security for costs from</w:t>
      </w:r>
      <w:r w:rsidR="00F23F8A">
        <w:rPr>
          <w:rFonts w:ascii="Arial" w:hAnsi="Arial" w:cs="Arial"/>
        </w:rPr>
        <w:t xml:space="preserve"> another shall, as soon as practicable</w:t>
      </w:r>
      <w:r w:rsidR="008826B9">
        <w:rPr>
          <w:rFonts w:ascii="Arial" w:hAnsi="Arial" w:cs="Arial"/>
        </w:rPr>
        <w:t xml:space="preserve"> after the commencement of proceedings, deliver a notice setting forth the grounds upon </w:t>
      </w:r>
      <w:r w:rsidR="00F23F8A">
        <w:rPr>
          <w:rFonts w:ascii="Arial" w:hAnsi="Arial" w:cs="Arial"/>
        </w:rPr>
        <w:t>which such security is claimed</w:t>
      </w:r>
      <w:r w:rsidR="008826B9">
        <w:rPr>
          <w:rFonts w:ascii="Arial" w:hAnsi="Arial" w:cs="Arial"/>
        </w:rPr>
        <w:t>, and the amount demanded.</w:t>
      </w:r>
      <w:r w:rsidR="00A128AC">
        <w:rPr>
          <w:rFonts w:ascii="Arial" w:hAnsi="Arial" w:cs="Arial"/>
        </w:rPr>
        <w:t xml:space="preserve"> If the party from whom security is demanded contests his liability to give security or if he fails or refuses to furnish security in the amount demanded, the other party may apply to court on notice for an order that such security be given and that the proceedings be stayed until such order is complied with</w:t>
      </w:r>
      <w:r w:rsidR="0067316B">
        <w:rPr>
          <w:rFonts w:ascii="Arial" w:hAnsi="Arial" w:cs="Arial"/>
        </w:rPr>
        <w:t>.</w:t>
      </w:r>
    </w:p>
    <w:p w:rsidR="0067316B" w:rsidRDefault="0067316B" w:rsidP="0067316B">
      <w:pPr>
        <w:autoSpaceDE w:val="0"/>
        <w:autoSpaceDN w:val="0"/>
        <w:adjustRightInd w:val="0"/>
        <w:rPr>
          <w:rFonts w:ascii="Arial" w:hAnsi="Arial" w:cs="Arial"/>
        </w:rPr>
      </w:pPr>
    </w:p>
    <w:p w:rsidR="000E7BB3" w:rsidRDefault="001A1404" w:rsidP="000E7BB3">
      <w:pPr>
        <w:autoSpaceDE w:val="0"/>
        <w:autoSpaceDN w:val="0"/>
        <w:adjustRightInd w:val="0"/>
        <w:ind w:left="567" w:hanging="567"/>
        <w:rPr>
          <w:rFonts w:ascii="Arial" w:hAnsi="Arial" w:cs="Arial"/>
        </w:rPr>
      </w:pPr>
      <w:r>
        <w:rPr>
          <w:rFonts w:ascii="Arial" w:hAnsi="Arial" w:cs="Arial"/>
        </w:rPr>
        <w:t>[10</w:t>
      </w:r>
      <w:r w:rsidR="005C5FA7">
        <w:rPr>
          <w:rFonts w:ascii="Arial" w:hAnsi="Arial" w:cs="Arial"/>
        </w:rPr>
        <w:t>]</w:t>
      </w:r>
      <w:r w:rsidR="000E7BB3">
        <w:rPr>
          <w:rFonts w:ascii="Arial" w:hAnsi="Arial" w:cs="Arial"/>
        </w:rPr>
        <w:tab/>
      </w:r>
      <w:r w:rsidR="008826B9">
        <w:rPr>
          <w:rFonts w:ascii="Arial" w:hAnsi="Arial" w:cs="Arial"/>
        </w:rPr>
        <w:t xml:space="preserve">In </w:t>
      </w:r>
      <w:r w:rsidR="00F45C1C">
        <w:rPr>
          <w:rFonts w:ascii="Arial" w:hAnsi="Arial" w:cs="Arial"/>
          <w:i/>
        </w:rPr>
        <w:t>Magida v</w:t>
      </w:r>
      <w:r w:rsidR="008826B9">
        <w:rPr>
          <w:rFonts w:ascii="Arial" w:hAnsi="Arial" w:cs="Arial"/>
          <w:i/>
        </w:rPr>
        <w:t>. Minister of Police</w:t>
      </w:r>
      <w:r w:rsidR="00F45C1C">
        <w:rPr>
          <w:rFonts w:ascii="Arial" w:hAnsi="Arial" w:cs="Arial"/>
          <w:i/>
        </w:rPr>
        <w:t>,</w:t>
      </w:r>
      <w:r w:rsidR="008826B9">
        <w:rPr>
          <w:rStyle w:val="FootnoteReference"/>
          <w:rFonts w:ascii="Arial" w:hAnsi="Arial" w:cs="Arial"/>
          <w:i/>
        </w:rPr>
        <w:footnoteReference w:id="12"/>
      </w:r>
      <w:r w:rsidR="00E51053">
        <w:rPr>
          <w:rFonts w:ascii="Arial" w:hAnsi="Arial" w:cs="Arial"/>
        </w:rPr>
        <w:t xml:space="preserve"> it was held that:</w:t>
      </w:r>
    </w:p>
    <w:p w:rsidR="007D7EEE" w:rsidRDefault="007D7EEE" w:rsidP="000E7BB3">
      <w:pPr>
        <w:autoSpaceDE w:val="0"/>
        <w:autoSpaceDN w:val="0"/>
        <w:adjustRightInd w:val="0"/>
        <w:ind w:left="567" w:hanging="567"/>
        <w:rPr>
          <w:rFonts w:ascii="Arial" w:hAnsi="Arial" w:cs="Arial"/>
        </w:rPr>
      </w:pPr>
    </w:p>
    <w:p w:rsidR="00310B0A" w:rsidRPr="007D7EEE" w:rsidRDefault="007D7EEE" w:rsidP="001A1404">
      <w:pPr>
        <w:autoSpaceDE w:val="0"/>
        <w:autoSpaceDN w:val="0"/>
        <w:adjustRightInd w:val="0"/>
        <w:spacing w:line="360" w:lineRule="auto"/>
        <w:ind w:left="567"/>
        <w:jc w:val="both"/>
        <w:rPr>
          <w:rFonts w:ascii="Arial" w:eastAsiaTheme="minorHAnsi" w:hAnsi="Arial" w:cs="Arial"/>
          <w:i/>
          <w:sz w:val="20"/>
          <w:szCs w:val="20"/>
          <w:lang w:val="en-ZA" w:eastAsia="en-US"/>
        </w:rPr>
      </w:pPr>
      <w:r>
        <w:rPr>
          <w:rFonts w:ascii="Arial" w:eastAsiaTheme="minorHAnsi" w:hAnsi="Arial" w:cs="Arial"/>
          <w:i/>
          <w:sz w:val="20"/>
          <w:szCs w:val="20"/>
          <w:lang w:val="en-ZA" w:eastAsia="en-US"/>
        </w:rPr>
        <w:t>“</w:t>
      </w:r>
      <w:r w:rsidR="002372E5" w:rsidRPr="007D7EEE">
        <w:rPr>
          <w:rFonts w:ascii="Arial" w:eastAsiaTheme="minorHAnsi" w:hAnsi="Arial" w:cs="Arial"/>
          <w:i/>
          <w:sz w:val="20"/>
          <w:szCs w:val="20"/>
          <w:lang w:val="en-ZA" w:eastAsia="en-US"/>
        </w:rPr>
        <w:t xml:space="preserve">Notwithstanding the obsolescence of the </w:t>
      </w:r>
      <w:r w:rsidR="002372E5" w:rsidRPr="007D7EEE">
        <w:rPr>
          <w:rFonts w:ascii="Arial" w:eastAsiaTheme="minorHAnsi" w:hAnsi="Arial" w:cs="Arial"/>
          <w:i/>
          <w:iCs/>
          <w:sz w:val="20"/>
          <w:szCs w:val="20"/>
          <w:lang w:val="en-ZA" w:eastAsia="en-US"/>
        </w:rPr>
        <w:t xml:space="preserve">cautio juratoria </w:t>
      </w:r>
      <w:r w:rsidR="002372E5" w:rsidRPr="007D7EEE">
        <w:rPr>
          <w:rFonts w:ascii="Arial" w:eastAsiaTheme="minorHAnsi" w:hAnsi="Arial" w:cs="Arial"/>
          <w:i/>
          <w:sz w:val="20"/>
          <w:szCs w:val="20"/>
          <w:lang w:val="en-ZA" w:eastAsia="en-US"/>
        </w:rPr>
        <w:t>as security on oath we must bear in mind that our common law principles which</w:t>
      </w:r>
      <w:r w:rsidR="000E7BB3" w:rsidRPr="007D7EEE">
        <w:rPr>
          <w:rFonts w:ascii="Arial" w:eastAsiaTheme="minorHAnsi" w:hAnsi="Arial" w:cs="Arial"/>
          <w:i/>
          <w:sz w:val="20"/>
          <w:szCs w:val="20"/>
          <w:lang w:val="en-ZA" w:eastAsia="en-US"/>
        </w:rPr>
        <w:t xml:space="preserve"> </w:t>
      </w:r>
      <w:r w:rsidR="002372E5" w:rsidRPr="007D7EEE">
        <w:rPr>
          <w:rFonts w:ascii="Arial" w:eastAsiaTheme="minorHAnsi" w:hAnsi="Arial" w:cs="Arial"/>
          <w:i/>
          <w:sz w:val="20"/>
          <w:szCs w:val="20"/>
          <w:lang w:val="en-ZA" w:eastAsia="en-US"/>
        </w:rPr>
        <w:t xml:space="preserve">underlie its granting are still applicable in our modern practice when a </w:t>
      </w:r>
      <w:r w:rsidR="002372E5" w:rsidRPr="007D7EEE">
        <w:rPr>
          <w:rFonts w:ascii="Arial" w:eastAsiaTheme="minorHAnsi" w:hAnsi="Arial" w:cs="Arial"/>
          <w:i/>
          <w:iCs/>
          <w:sz w:val="20"/>
          <w:szCs w:val="20"/>
          <w:lang w:val="en-ZA" w:eastAsia="en-US"/>
        </w:rPr>
        <w:t xml:space="preserve">peregrinus </w:t>
      </w:r>
      <w:r w:rsidR="002372E5" w:rsidRPr="007D7EEE">
        <w:rPr>
          <w:rFonts w:ascii="Arial" w:eastAsiaTheme="minorHAnsi" w:hAnsi="Arial" w:cs="Arial"/>
          <w:i/>
          <w:sz w:val="20"/>
          <w:szCs w:val="20"/>
          <w:lang w:val="en-ZA" w:eastAsia="en-US"/>
        </w:rPr>
        <w:t>in his answering affidavit depo</w:t>
      </w:r>
      <w:r w:rsidR="001A0324" w:rsidRPr="007D7EEE">
        <w:rPr>
          <w:rFonts w:ascii="Arial" w:eastAsiaTheme="minorHAnsi" w:hAnsi="Arial" w:cs="Arial"/>
          <w:i/>
          <w:sz w:val="20"/>
          <w:szCs w:val="20"/>
          <w:lang w:val="en-ZA" w:eastAsia="en-US"/>
        </w:rPr>
        <w:t xml:space="preserve">ses to his inability to furnish </w:t>
      </w:r>
      <w:r w:rsidR="002372E5" w:rsidRPr="007D7EEE">
        <w:rPr>
          <w:rFonts w:ascii="Arial" w:eastAsiaTheme="minorHAnsi" w:hAnsi="Arial" w:cs="Arial"/>
          <w:i/>
          <w:sz w:val="20"/>
          <w:szCs w:val="20"/>
          <w:lang w:val="en-ZA" w:eastAsia="en-US"/>
        </w:rPr>
        <w:t>security for costs owing to his impecuniosity, since it must be left to the judicial discretion of the Court by having due regard to th</w:t>
      </w:r>
      <w:r w:rsidR="001A0324" w:rsidRPr="007D7EEE">
        <w:rPr>
          <w:rFonts w:ascii="Arial" w:eastAsiaTheme="minorHAnsi" w:hAnsi="Arial" w:cs="Arial"/>
          <w:i/>
          <w:sz w:val="20"/>
          <w:szCs w:val="20"/>
          <w:lang w:val="en-ZA" w:eastAsia="en-US"/>
        </w:rPr>
        <w:t xml:space="preserve">e particular </w:t>
      </w:r>
      <w:r w:rsidR="002372E5" w:rsidRPr="007D7EEE">
        <w:rPr>
          <w:rFonts w:ascii="Arial" w:eastAsiaTheme="minorHAnsi" w:hAnsi="Arial" w:cs="Arial"/>
          <w:i/>
          <w:sz w:val="20"/>
          <w:szCs w:val="20"/>
          <w:lang w:val="en-ZA" w:eastAsia="en-US"/>
        </w:rPr>
        <w:t xml:space="preserve">circumstances of the case as well as considerations of equity and fairness to both the </w:t>
      </w:r>
      <w:r w:rsidR="002372E5" w:rsidRPr="007D7EEE">
        <w:rPr>
          <w:rFonts w:ascii="Arial" w:eastAsiaTheme="minorHAnsi" w:hAnsi="Arial" w:cs="Arial"/>
          <w:i/>
          <w:iCs/>
          <w:sz w:val="20"/>
          <w:szCs w:val="20"/>
          <w:lang w:val="en-ZA" w:eastAsia="en-US"/>
        </w:rPr>
        <w:t xml:space="preserve">incola </w:t>
      </w:r>
      <w:r w:rsidR="002372E5" w:rsidRPr="007D7EEE">
        <w:rPr>
          <w:rFonts w:ascii="Arial" w:eastAsiaTheme="minorHAnsi" w:hAnsi="Arial" w:cs="Arial"/>
          <w:i/>
          <w:sz w:val="20"/>
          <w:szCs w:val="20"/>
          <w:lang w:val="en-ZA" w:eastAsia="en-US"/>
        </w:rPr>
        <w:t xml:space="preserve">and the </w:t>
      </w:r>
      <w:r w:rsidR="002372E5" w:rsidRPr="007D7EEE">
        <w:rPr>
          <w:rFonts w:ascii="Arial" w:eastAsiaTheme="minorHAnsi" w:hAnsi="Arial" w:cs="Arial"/>
          <w:i/>
          <w:iCs/>
          <w:sz w:val="20"/>
          <w:szCs w:val="20"/>
          <w:lang w:val="en-ZA" w:eastAsia="en-US"/>
        </w:rPr>
        <w:t xml:space="preserve">peregrinus </w:t>
      </w:r>
      <w:r w:rsidR="001A0324" w:rsidRPr="007D7EEE">
        <w:rPr>
          <w:rFonts w:ascii="Arial" w:eastAsiaTheme="minorHAnsi" w:hAnsi="Arial" w:cs="Arial"/>
          <w:i/>
          <w:sz w:val="20"/>
          <w:szCs w:val="20"/>
          <w:lang w:val="en-ZA" w:eastAsia="en-US"/>
        </w:rPr>
        <w:t xml:space="preserve">to decide whether the latter </w:t>
      </w:r>
      <w:r w:rsidR="002372E5" w:rsidRPr="007D7EEE">
        <w:rPr>
          <w:rFonts w:ascii="Arial" w:eastAsiaTheme="minorHAnsi" w:hAnsi="Arial" w:cs="Arial"/>
          <w:i/>
          <w:sz w:val="20"/>
          <w:szCs w:val="20"/>
          <w:lang w:val="en-ZA" w:eastAsia="en-US"/>
        </w:rPr>
        <w:t>should be compelled to furnish, or be absolved from furnishing, security for costs. Nor is there any justifica</w:t>
      </w:r>
      <w:r w:rsidR="001A0324" w:rsidRPr="007D7EEE">
        <w:rPr>
          <w:rFonts w:ascii="Arial" w:eastAsiaTheme="minorHAnsi" w:hAnsi="Arial" w:cs="Arial"/>
          <w:i/>
          <w:sz w:val="20"/>
          <w:szCs w:val="20"/>
          <w:lang w:val="en-ZA" w:eastAsia="en-US"/>
        </w:rPr>
        <w:t xml:space="preserve">tion for requiring the Court to </w:t>
      </w:r>
      <w:r w:rsidR="00DE3FA7" w:rsidRPr="007D7EEE">
        <w:rPr>
          <w:rFonts w:ascii="Arial" w:eastAsiaTheme="minorHAnsi" w:hAnsi="Arial" w:cs="Arial"/>
          <w:i/>
          <w:sz w:val="20"/>
          <w:szCs w:val="20"/>
          <w:lang w:val="en-ZA" w:eastAsia="en-US"/>
        </w:rPr>
        <w:t>exercise its</w:t>
      </w:r>
      <w:r w:rsidR="002372E5" w:rsidRPr="007D7EEE">
        <w:rPr>
          <w:rFonts w:ascii="Arial" w:eastAsiaTheme="minorHAnsi" w:hAnsi="Arial" w:cs="Arial"/>
          <w:i/>
          <w:sz w:val="20"/>
          <w:szCs w:val="20"/>
          <w:lang w:val="en-ZA" w:eastAsia="en-US"/>
        </w:rPr>
        <w:t xml:space="preserve"> discretion in favour of a </w:t>
      </w:r>
      <w:r w:rsidR="002372E5" w:rsidRPr="007D7EEE">
        <w:rPr>
          <w:rFonts w:ascii="Arial" w:eastAsiaTheme="minorHAnsi" w:hAnsi="Arial" w:cs="Arial"/>
          <w:i/>
          <w:iCs/>
          <w:sz w:val="20"/>
          <w:szCs w:val="20"/>
          <w:lang w:val="en-ZA" w:eastAsia="en-US"/>
        </w:rPr>
        <w:t xml:space="preserve">peregrinus </w:t>
      </w:r>
      <w:r w:rsidR="002372E5" w:rsidRPr="007D7EEE">
        <w:rPr>
          <w:rFonts w:ascii="Arial" w:eastAsiaTheme="minorHAnsi" w:hAnsi="Arial" w:cs="Arial"/>
          <w:i/>
          <w:sz w:val="20"/>
          <w:szCs w:val="20"/>
          <w:lang w:val="en-ZA" w:eastAsia="en-US"/>
        </w:rPr>
        <w:t xml:space="preserve">only sparingly. It follows that the following </w:t>
      </w:r>
      <w:r w:rsidR="002372E5" w:rsidRPr="007D7EEE">
        <w:rPr>
          <w:rFonts w:ascii="Arial" w:eastAsiaTheme="minorHAnsi" w:hAnsi="Arial" w:cs="Arial"/>
          <w:i/>
          <w:iCs/>
          <w:sz w:val="20"/>
          <w:szCs w:val="20"/>
          <w:lang w:val="en-ZA" w:eastAsia="en-US"/>
        </w:rPr>
        <w:t xml:space="preserve">dictum </w:t>
      </w:r>
      <w:r w:rsidR="002372E5" w:rsidRPr="007D7EEE">
        <w:rPr>
          <w:rFonts w:ascii="Arial" w:eastAsiaTheme="minorHAnsi" w:hAnsi="Arial" w:cs="Arial"/>
          <w:i/>
          <w:sz w:val="20"/>
          <w:szCs w:val="20"/>
          <w:lang w:val="en-ZA" w:eastAsia="en-US"/>
        </w:rPr>
        <w:t xml:space="preserve">in </w:t>
      </w:r>
      <w:r w:rsidR="002372E5" w:rsidRPr="007D7EEE">
        <w:rPr>
          <w:rFonts w:ascii="Arial" w:eastAsiaTheme="minorHAnsi" w:hAnsi="Arial" w:cs="Arial"/>
          <w:i/>
          <w:iCs/>
          <w:sz w:val="20"/>
          <w:szCs w:val="20"/>
          <w:lang w:val="en-ZA" w:eastAsia="en-US"/>
        </w:rPr>
        <w:t xml:space="preserve">Saker &amp; Co Ltd v Grainger </w:t>
      </w:r>
      <w:r w:rsidR="001A0324" w:rsidRPr="007D7EEE">
        <w:rPr>
          <w:rFonts w:ascii="Arial" w:eastAsiaTheme="minorHAnsi" w:hAnsi="Arial" w:cs="Arial"/>
          <w:i/>
          <w:sz w:val="20"/>
          <w:szCs w:val="20"/>
          <w:lang w:val="en-ZA" w:eastAsia="en-US"/>
        </w:rPr>
        <w:t xml:space="preserve">1937 AD 223 </w:t>
      </w:r>
      <w:r w:rsidR="002372E5" w:rsidRPr="007D7EEE">
        <w:rPr>
          <w:rFonts w:ascii="Arial" w:eastAsiaTheme="minorHAnsi" w:hAnsi="Arial" w:cs="Arial"/>
          <w:i/>
          <w:iCs/>
          <w:sz w:val="20"/>
          <w:szCs w:val="20"/>
          <w:lang w:val="en-ZA" w:eastAsia="en-US"/>
        </w:rPr>
        <w:t xml:space="preserve">per </w:t>
      </w:r>
      <w:r w:rsidR="001A0324" w:rsidRPr="007D7EEE">
        <w:rPr>
          <w:rFonts w:ascii="Arial" w:eastAsiaTheme="minorHAnsi" w:hAnsi="Arial" w:cs="Arial"/>
          <w:i/>
          <w:sz w:val="20"/>
          <w:szCs w:val="20"/>
          <w:lang w:val="en-ZA" w:eastAsia="en-US"/>
        </w:rPr>
        <w:t>De Wet JA at 227, viz: ‘The</w:t>
      </w:r>
      <w:r w:rsidR="002372E5" w:rsidRPr="007D7EEE">
        <w:rPr>
          <w:rFonts w:ascii="Arial" w:eastAsiaTheme="minorHAnsi" w:hAnsi="Arial" w:cs="Arial"/>
          <w:i/>
          <w:sz w:val="20"/>
          <w:szCs w:val="20"/>
          <w:lang w:val="en-ZA" w:eastAsia="en-US"/>
        </w:rPr>
        <w:t xml:space="preserve"> principle underlying this practice is that in proceedings initiated by a </w:t>
      </w:r>
      <w:r w:rsidR="002372E5" w:rsidRPr="007D7EEE">
        <w:rPr>
          <w:rFonts w:ascii="Arial" w:eastAsiaTheme="minorHAnsi" w:hAnsi="Arial" w:cs="Arial"/>
          <w:i/>
          <w:iCs/>
          <w:sz w:val="20"/>
          <w:szCs w:val="20"/>
          <w:lang w:val="en-ZA" w:eastAsia="en-US"/>
        </w:rPr>
        <w:t xml:space="preserve">peregrinus </w:t>
      </w:r>
      <w:r w:rsidR="002372E5" w:rsidRPr="007D7EEE">
        <w:rPr>
          <w:rFonts w:ascii="Arial" w:eastAsiaTheme="minorHAnsi" w:hAnsi="Arial" w:cs="Arial"/>
          <w:i/>
          <w:sz w:val="20"/>
          <w:szCs w:val="20"/>
          <w:lang w:val="en-ZA" w:eastAsia="en-US"/>
        </w:rPr>
        <w:t xml:space="preserve">the Court is entitled to protect an </w:t>
      </w:r>
      <w:r w:rsidR="002372E5" w:rsidRPr="007D7EEE">
        <w:rPr>
          <w:rFonts w:ascii="Arial" w:eastAsiaTheme="minorHAnsi" w:hAnsi="Arial" w:cs="Arial"/>
          <w:i/>
          <w:iCs/>
          <w:sz w:val="20"/>
          <w:szCs w:val="20"/>
          <w:lang w:val="en-ZA" w:eastAsia="en-US"/>
        </w:rPr>
        <w:t xml:space="preserve">incola </w:t>
      </w:r>
      <w:r w:rsidR="00813D19" w:rsidRPr="007D7EEE">
        <w:rPr>
          <w:rFonts w:ascii="Arial" w:eastAsiaTheme="minorHAnsi" w:hAnsi="Arial" w:cs="Arial"/>
          <w:i/>
          <w:sz w:val="20"/>
          <w:szCs w:val="20"/>
          <w:lang w:val="en-ZA" w:eastAsia="en-US"/>
        </w:rPr>
        <w:t xml:space="preserve">to the fullest </w:t>
      </w:r>
      <w:r w:rsidR="001A0324" w:rsidRPr="007D7EEE">
        <w:rPr>
          <w:rFonts w:ascii="Arial" w:eastAsiaTheme="minorHAnsi" w:hAnsi="Arial" w:cs="Arial"/>
          <w:i/>
          <w:sz w:val="20"/>
          <w:szCs w:val="20"/>
          <w:lang w:val="en-ZA" w:eastAsia="en-US"/>
        </w:rPr>
        <w:t xml:space="preserve">extent,' </w:t>
      </w:r>
      <w:r w:rsidR="002372E5" w:rsidRPr="007D7EEE">
        <w:rPr>
          <w:rFonts w:ascii="Arial" w:eastAsiaTheme="minorHAnsi" w:hAnsi="Arial" w:cs="Arial"/>
          <w:i/>
          <w:sz w:val="20"/>
          <w:szCs w:val="20"/>
          <w:lang w:val="en-ZA" w:eastAsia="en-US"/>
        </w:rPr>
        <w:t>should be read subject to the</w:t>
      </w:r>
      <w:r w:rsidR="00DE3FA7" w:rsidRPr="007D7EEE">
        <w:rPr>
          <w:rFonts w:ascii="Arial" w:eastAsiaTheme="minorHAnsi" w:hAnsi="Arial" w:cs="Arial"/>
          <w:i/>
          <w:sz w:val="20"/>
          <w:szCs w:val="20"/>
          <w:lang w:val="en-ZA" w:eastAsia="en-US"/>
        </w:rPr>
        <w:t xml:space="preserve"> qualification that it is only</w:t>
      </w:r>
      <w:r w:rsidR="002372E5" w:rsidRPr="007D7EEE">
        <w:rPr>
          <w:rFonts w:ascii="Arial" w:eastAsiaTheme="minorHAnsi" w:hAnsi="Arial" w:cs="Arial"/>
          <w:i/>
          <w:sz w:val="20"/>
          <w:szCs w:val="20"/>
          <w:lang w:val="en-ZA" w:eastAsia="en-US"/>
        </w:rPr>
        <w:t xml:space="preserve"> applicable </w:t>
      </w:r>
      <w:r w:rsidR="002372E5" w:rsidRPr="007D7EEE">
        <w:rPr>
          <w:rFonts w:ascii="Arial" w:eastAsiaTheme="minorHAnsi" w:hAnsi="Arial" w:cs="Arial"/>
          <w:i/>
          <w:iCs/>
          <w:sz w:val="20"/>
          <w:szCs w:val="20"/>
          <w:lang w:val="en-ZA" w:eastAsia="en-US"/>
        </w:rPr>
        <w:t xml:space="preserve">after </w:t>
      </w:r>
      <w:r w:rsidR="002372E5" w:rsidRPr="007D7EEE">
        <w:rPr>
          <w:rFonts w:ascii="Arial" w:eastAsiaTheme="minorHAnsi" w:hAnsi="Arial" w:cs="Arial"/>
          <w:i/>
          <w:sz w:val="20"/>
          <w:szCs w:val="20"/>
          <w:lang w:val="en-ZA" w:eastAsia="en-US"/>
        </w:rPr>
        <w:t>the Court, in the exercise of its judicial discretion in accord</w:t>
      </w:r>
      <w:r w:rsidR="001A0324" w:rsidRPr="007D7EEE">
        <w:rPr>
          <w:rFonts w:ascii="Arial" w:eastAsiaTheme="minorHAnsi" w:hAnsi="Arial" w:cs="Arial"/>
          <w:i/>
          <w:sz w:val="20"/>
          <w:szCs w:val="20"/>
          <w:lang w:val="en-ZA" w:eastAsia="en-US"/>
        </w:rPr>
        <w:t xml:space="preserve">ance with </w:t>
      </w:r>
      <w:r w:rsidR="002372E5" w:rsidRPr="007D7EEE">
        <w:rPr>
          <w:rFonts w:ascii="Arial" w:eastAsiaTheme="minorHAnsi" w:hAnsi="Arial" w:cs="Arial"/>
          <w:i/>
          <w:sz w:val="20"/>
          <w:szCs w:val="20"/>
          <w:lang w:val="en-ZA" w:eastAsia="en-US"/>
        </w:rPr>
        <w:t xml:space="preserve">the principles hereinbefore stated, had come to the conclusion that the </w:t>
      </w:r>
      <w:r w:rsidR="002372E5" w:rsidRPr="007D7EEE">
        <w:rPr>
          <w:rFonts w:ascii="Arial" w:eastAsiaTheme="minorHAnsi" w:hAnsi="Arial" w:cs="Arial"/>
          <w:i/>
          <w:iCs/>
          <w:sz w:val="20"/>
          <w:szCs w:val="20"/>
          <w:lang w:val="en-ZA" w:eastAsia="en-US"/>
        </w:rPr>
        <w:t xml:space="preserve">peregrinus </w:t>
      </w:r>
      <w:r w:rsidR="002372E5" w:rsidRPr="007D7EEE">
        <w:rPr>
          <w:rFonts w:ascii="Arial" w:eastAsiaTheme="minorHAnsi" w:hAnsi="Arial" w:cs="Arial"/>
          <w:i/>
          <w:sz w:val="20"/>
          <w:szCs w:val="20"/>
          <w:lang w:val="en-ZA" w:eastAsia="en-US"/>
        </w:rPr>
        <w:t>should not be absolved from furnishing security for costs</w:t>
      </w:r>
      <w:r w:rsidR="00F45C1C" w:rsidRPr="007D7EEE">
        <w:rPr>
          <w:rFonts w:ascii="Arial" w:eastAsiaTheme="minorHAnsi" w:hAnsi="Arial" w:cs="Arial"/>
          <w:i/>
          <w:sz w:val="20"/>
          <w:szCs w:val="20"/>
          <w:lang w:val="en-ZA" w:eastAsia="en-US"/>
        </w:rPr>
        <w:t>.”</w:t>
      </w:r>
    </w:p>
    <w:p w:rsidR="00CA388F" w:rsidRPr="007D7EEE" w:rsidRDefault="00FB4682" w:rsidP="00B514DA">
      <w:pPr>
        <w:autoSpaceDE w:val="0"/>
        <w:autoSpaceDN w:val="0"/>
        <w:adjustRightInd w:val="0"/>
        <w:jc w:val="both"/>
        <w:rPr>
          <w:rFonts w:ascii="Arial" w:hAnsi="Arial" w:cs="Arial"/>
          <w:i/>
          <w:sz w:val="20"/>
          <w:szCs w:val="20"/>
        </w:rPr>
      </w:pPr>
      <w:r w:rsidRPr="007D7EEE">
        <w:rPr>
          <w:rFonts w:ascii="Arial" w:hAnsi="Arial" w:cs="Arial"/>
          <w:i/>
          <w:sz w:val="20"/>
          <w:szCs w:val="20"/>
        </w:rPr>
        <w:t xml:space="preserve"> </w:t>
      </w:r>
    </w:p>
    <w:p w:rsidR="00CD1750" w:rsidRDefault="001A1404" w:rsidP="000E7BB3">
      <w:pPr>
        <w:spacing w:after="240" w:line="360" w:lineRule="auto"/>
        <w:ind w:left="567" w:hanging="567"/>
        <w:jc w:val="both"/>
        <w:rPr>
          <w:rFonts w:ascii="Arial" w:hAnsi="Arial" w:cs="Arial"/>
        </w:rPr>
      </w:pPr>
      <w:r>
        <w:rPr>
          <w:rFonts w:ascii="Arial" w:hAnsi="Arial" w:cs="Arial"/>
        </w:rPr>
        <w:t>[11</w:t>
      </w:r>
      <w:r w:rsidR="00FB4682">
        <w:rPr>
          <w:rFonts w:ascii="Arial" w:hAnsi="Arial" w:cs="Arial"/>
        </w:rPr>
        <w:t>] Some of the guidelines that a court will take into account when exercising its discretion are whether the plaintiff’s claim is made in good faith or whether it is mala fide</w:t>
      </w:r>
      <w:r w:rsidR="00671A61">
        <w:rPr>
          <w:rFonts w:ascii="Arial" w:hAnsi="Arial" w:cs="Arial"/>
        </w:rPr>
        <w:t>, whether it can be concluded that a plaintiff has a reasonable prospect of success</w:t>
      </w:r>
      <w:r w:rsidR="00FB4682">
        <w:rPr>
          <w:rFonts w:ascii="Arial" w:hAnsi="Arial" w:cs="Arial"/>
        </w:rPr>
        <w:t xml:space="preserve"> and whether the application for security was used to sti</w:t>
      </w:r>
      <w:r w:rsidR="001F6CEC">
        <w:rPr>
          <w:rFonts w:ascii="Arial" w:hAnsi="Arial" w:cs="Arial"/>
        </w:rPr>
        <w:t>fle a genuine claim.</w:t>
      </w:r>
      <w:r w:rsidR="00FE6302">
        <w:rPr>
          <w:rStyle w:val="FootnoteReference"/>
          <w:rFonts w:ascii="Arial" w:hAnsi="Arial" w:cs="Arial"/>
        </w:rPr>
        <w:footnoteReference w:id="13"/>
      </w:r>
      <w:r w:rsidR="008826B9">
        <w:rPr>
          <w:rFonts w:ascii="Arial" w:hAnsi="Arial" w:cs="Arial"/>
        </w:rPr>
        <w:t xml:space="preserve"> In </w:t>
      </w:r>
      <w:r w:rsidR="008826B9">
        <w:rPr>
          <w:rFonts w:ascii="Arial" w:hAnsi="Arial" w:cs="Arial"/>
          <w:i/>
        </w:rPr>
        <w:t>Shepstone and Wyle and Others vs. Geyser N.O</w:t>
      </w:r>
      <w:r w:rsidR="008826B9">
        <w:rPr>
          <w:rStyle w:val="FootnoteReference"/>
          <w:rFonts w:ascii="Arial" w:hAnsi="Arial" w:cs="Arial"/>
          <w:i/>
        </w:rPr>
        <w:footnoteReference w:id="14"/>
      </w:r>
      <w:r w:rsidR="008826B9">
        <w:rPr>
          <w:rFonts w:ascii="Arial" w:hAnsi="Arial" w:cs="Arial"/>
        </w:rPr>
        <w:t xml:space="preserve"> </w:t>
      </w:r>
      <w:r w:rsidR="00F66242">
        <w:rPr>
          <w:rFonts w:ascii="Arial" w:hAnsi="Arial" w:cs="Arial"/>
        </w:rPr>
        <w:t xml:space="preserve">it was said that a court should not fetter its own discretion in any manner and particularly not by adopting an approach which </w:t>
      </w:r>
      <w:r w:rsidR="001F6CEC">
        <w:rPr>
          <w:rFonts w:ascii="Arial" w:hAnsi="Arial" w:cs="Arial"/>
        </w:rPr>
        <w:t>brooks</w:t>
      </w:r>
      <w:r w:rsidR="00F66242">
        <w:rPr>
          <w:rFonts w:ascii="Arial" w:hAnsi="Arial" w:cs="Arial"/>
        </w:rPr>
        <w:t xml:space="preserve"> of no departure except in special circumstances, it must decide each case upon consideration of all the relevant features, without adopting a pre-disposition either in favour of or against granting security. </w:t>
      </w:r>
      <w:r w:rsidR="00601B1A">
        <w:rPr>
          <w:rFonts w:ascii="Arial" w:hAnsi="Arial" w:cs="Arial"/>
        </w:rPr>
        <w:t xml:space="preserve">In </w:t>
      </w:r>
      <w:r w:rsidR="00601B1A" w:rsidRPr="009B2E71">
        <w:rPr>
          <w:rFonts w:ascii="Arial" w:hAnsi="Arial" w:cs="Arial"/>
          <w:i/>
        </w:rPr>
        <w:t>Fusion Properties 233 CC v Stellenbosch Municipality 2021 JDR 0094 (SCA</w:t>
      </w:r>
      <w:r w:rsidR="00601B1A">
        <w:rPr>
          <w:rFonts w:ascii="Arial" w:hAnsi="Arial" w:cs="Arial"/>
        </w:rPr>
        <w:t xml:space="preserve">), it was stated that whilst it may be desirable that a party entitled to demand security for costs must do so as soon as reasonably practicable, failure to do so was not necessarily fatal. A court faced with an application to compel will, in exercising its discretion, undoubtedly have regard to this factor and weigh it up together with other relevant factors. Delay in itself will rarely be an overriding </w:t>
      </w:r>
      <w:r w:rsidR="00601B1A" w:rsidRPr="00662E73">
        <w:rPr>
          <w:rFonts w:ascii="Arial" w:hAnsi="Arial" w:cs="Arial"/>
        </w:rPr>
        <w:t>and d</w:t>
      </w:r>
      <w:r w:rsidR="000E7BB3" w:rsidRPr="00662E73">
        <w:rPr>
          <w:rFonts w:ascii="Arial" w:hAnsi="Arial" w:cs="Arial"/>
        </w:rPr>
        <w:t>ecisive consideration.</w:t>
      </w:r>
    </w:p>
    <w:p w:rsidR="000E7BB3" w:rsidRDefault="001A1404" w:rsidP="001F6CEC">
      <w:pPr>
        <w:spacing w:after="240" w:line="360" w:lineRule="auto"/>
        <w:ind w:left="567" w:hanging="567"/>
        <w:jc w:val="both"/>
        <w:rPr>
          <w:rFonts w:ascii="Arial" w:hAnsi="Arial" w:cs="Arial"/>
        </w:rPr>
      </w:pPr>
      <w:r>
        <w:rPr>
          <w:rFonts w:ascii="Arial" w:hAnsi="Arial" w:cs="Arial"/>
        </w:rPr>
        <w:t>[12</w:t>
      </w:r>
      <w:r w:rsidR="000E7BB3">
        <w:rPr>
          <w:rFonts w:ascii="Arial" w:hAnsi="Arial" w:cs="Arial"/>
        </w:rPr>
        <w:t>]</w:t>
      </w:r>
      <w:r w:rsidR="000E7BB3">
        <w:rPr>
          <w:rFonts w:ascii="Arial" w:hAnsi="Arial" w:cs="Arial"/>
        </w:rPr>
        <w:tab/>
      </w:r>
      <w:r w:rsidR="00CD1750">
        <w:rPr>
          <w:rFonts w:ascii="Arial" w:hAnsi="Arial" w:cs="Arial"/>
        </w:rPr>
        <w:t xml:space="preserve">In </w:t>
      </w:r>
      <w:r w:rsidR="00CD1750" w:rsidRPr="00381834">
        <w:rPr>
          <w:rFonts w:ascii="Arial" w:hAnsi="Arial" w:cs="Arial"/>
          <w:i/>
        </w:rPr>
        <w:t>Giddey</w:t>
      </w:r>
      <w:r w:rsidR="00381834" w:rsidRPr="00381834">
        <w:rPr>
          <w:rFonts w:ascii="Arial" w:hAnsi="Arial" w:cs="Arial"/>
          <w:i/>
        </w:rPr>
        <w:t xml:space="preserve"> No v JC Barnard and Partners</w:t>
      </w:r>
      <w:r w:rsidR="00381834">
        <w:rPr>
          <w:rStyle w:val="FootnoteReference"/>
          <w:rFonts w:ascii="Arial" w:hAnsi="Arial" w:cs="Arial"/>
          <w:i/>
        </w:rPr>
        <w:footnoteReference w:id="15"/>
      </w:r>
      <w:r w:rsidR="00381834">
        <w:rPr>
          <w:rFonts w:ascii="Arial" w:hAnsi="Arial" w:cs="Arial"/>
          <w:i/>
        </w:rPr>
        <w:t xml:space="preserve">, </w:t>
      </w:r>
      <w:r w:rsidR="00381834">
        <w:rPr>
          <w:rFonts w:ascii="Arial" w:hAnsi="Arial" w:cs="Arial"/>
        </w:rPr>
        <w:t>it was stated that:</w:t>
      </w:r>
    </w:p>
    <w:p w:rsidR="00B77442" w:rsidRPr="00CF5AD2" w:rsidRDefault="00B77442" w:rsidP="000E7BB3">
      <w:pPr>
        <w:spacing w:after="240" w:line="360" w:lineRule="auto"/>
        <w:ind w:left="709" w:firstLine="11"/>
        <w:jc w:val="both"/>
        <w:rPr>
          <w:rFonts w:ascii="Arial" w:hAnsi="Arial" w:cs="Arial"/>
          <w:color w:val="000000" w:themeColor="text1"/>
          <w:sz w:val="20"/>
          <w:szCs w:val="20"/>
        </w:rPr>
      </w:pPr>
      <w:r w:rsidRPr="00B514DA">
        <w:rPr>
          <w:rFonts w:ascii="Arial" w:hAnsi="Arial" w:cs="Arial"/>
          <w:sz w:val="20"/>
          <w:szCs w:val="20"/>
        </w:rPr>
        <w:t>“</w:t>
      </w:r>
      <w:r w:rsidRPr="00B514DA">
        <w:rPr>
          <w:rFonts w:ascii="Arial" w:hAnsi="Arial" w:cs="Arial"/>
          <w:i/>
          <w:color w:val="000000"/>
          <w:sz w:val="20"/>
          <w:szCs w:val="20"/>
        </w:rPr>
        <w:t>The Courts have accordingly recognised that in applying s 13, they need to balance the potential injustice to a plaintiff if it is prevented from pursuing a legitimate claim as a result of an order requiring it to pay security for costs, on the one hand, against the potential injustice to a defendant who successfully defends the claim, and yet may well have to</w:t>
      </w:r>
      <w:r w:rsidR="006D0CAB" w:rsidRPr="00B514DA">
        <w:rPr>
          <w:rFonts w:ascii="Arial" w:hAnsi="Arial" w:cs="Arial"/>
          <w:i/>
          <w:color w:val="000000"/>
          <w:sz w:val="20"/>
          <w:szCs w:val="20"/>
        </w:rPr>
        <w:t xml:space="preserve"> </w:t>
      </w:r>
      <w:r w:rsidRPr="00B514DA">
        <w:rPr>
          <w:rFonts w:ascii="Arial" w:hAnsi="Arial" w:cs="Arial"/>
          <w:i/>
          <w:color w:val="000000"/>
          <w:sz w:val="20"/>
          <w:szCs w:val="20"/>
        </w:rPr>
        <w:t>pay all its own costs in the litigation.</w:t>
      </w:r>
      <w:bookmarkStart w:id="1" w:name="0-0-0-367493"/>
      <w:bookmarkEnd w:id="1"/>
      <w:r w:rsidRPr="00B514DA">
        <w:rPr>
          <w:rFonts w:ascii="Arial" w:hAnsi="Arial" w:cs="Arial"/>
          <w:i/>
          <w:color w:val="000000"/>
          <w:sz w:val="20"/>
          <w:szCs w:val="20"/>
        </w:rPr>
        <w:t xml:space="preserve"> To do this balancing exercise correctly</w:t>
      </w:r>
      <w:r w:rsidRPr="00CF5AD2">
        <w:rPr>
          <w:rFonts w:ascii="Arial" w:hAnsi="Arial" w:cs="Arial"/>
          <w:i/>
          <w:color w:val="000000"/>
          <w:sz w:val="20"/>
          <w:szCs w:val="20"/>
        </w:rPr>
        <w:t>, a court needs to be apprised of all the relevant information</w:t>
      </w:r>
      <w:r w:rsidRPr="00CF5AD2">
        <w:rPr>
          <w:rFonts w:ascii="Arial" w:hAnsi="Arial" w:cs="Arial"/>
          <w:i/>
          <w:color w:val="FF0000"/>
          <w:sz w:val="20"/>
          <w:szCs w:val="20"/>
        </w:rPr>
        <w:t xml:space="preserve">. </w:t>
      </w:r>
      <w:r w:rsidRPr="00CF5AD2">
        <w:rPr>
          <w:rFonts w:ascii="Arial" w:hAnsi="Arial" w:cs="Arial"/>
          <w:i/>
          <w:color w:val="000000" w:themeColor="text1"/>
          <w:sz w:val="20"/>
          <w:szCs w:val="20"/>
        </w:rPr>
        <w:t xml:space="preserve">An applicant for security will therefore need to show that there is a probability that the plaintiff company will be unable to pay costs. </w:t>
      </w:r>
      <w:r w:rsidRPr="00B514DA">
        <w:rPr>
          <w:rFonts w:ascii="Arial" w:hAnsi="Arial" w:cs="Arial"/>
          <w:i/>
          <w:color w:val="000000"/>
          <w:sz w:val="20"/>
          <w:szCs w:val="20"/>
        </w:rPr>
        <w:t>The respondent company, on the other hand, must establish that the order</w:t>
      </w:r>
      <w:r w:rsidR="006D0CAB" w:rsidRPr="00B514DA">
        <w:rPr>
          <w:rFonts w:ascii="Arial" w:hAnsi="Arial" w:cs="Arial"/>
          <w:i/>
          <w:color w:val="000000"/>
          <w:sz w:val="20"/>
          <w:szCs w:val="20"/>
        </w:rPr>
        <w:t xml:space="preserve"> </w:t>
      </w:r>
      <w:r w:rsidRPr="00B514DA">
        <w:rPr>
          <w:rFonts w:ascii="Arial" w:hAnsi="Arial" w:cs="Arial"/>
          <w:i/>
          <w:color w:val="000000"/>
          <w:sz w:val="20"/>
          <w:szCs w:val="20"/>
        </w:rPr>
        <w:t>for costs might well result in its being unable to pursue the litigation</w:t>
      </w:r>
      <w:bookmarkStart w:id="2" w:name="0-0-0-367497"/>
      <w:bookmarkEnd w:id="2"/>
      <w:r w:rsidRPr="00B514DA">
        <w:rPr>
          <w:rFonts w:ascii="Arial" w:hAnsi="Arial" w:cs="Arial"/>
          <w:i/>
          <w:color w:val="000000"/>
          <w:sz w:val="20"/>
          <w:szCs w:val="20"/>
        </w:rPr>
        <w:t xml:space="preserve">  and </w:t>
      </w:r>
      <w:r w:rsidRPr="00CF5AD2">
        <w:rPr>
          <w:rFonts w:ascii="Arial" w:hAnsi="Arial" w:cs="Arial"/>
          <w:i/>
          <w:color w:val="000000" w:themeColor="text1"/>
          <w:sz w:val="20"/>
          <w:szCs w:val="20"/>
        </w:rPr>
        <w:t>should indicate the nature and importance of the litigation to rebut a suggestion that it may be vexatious or without prospects of success. Equipped with this information, a court will need to balance the interests of the plaintiff in pursuing the litigation agai</w:t>
      </w:r>
      <w:r w:rsidR="00902522" w:rsidRPr="00CF5AD2">
        <w:rPr>
          <w:rFonts w:ascii="Arial" w:hAnsi="Arial" w:cs="Arial"/>
          <w:i/>
          <w:color w:val="000000" w:themeColor="text1"/>
          <w:sz w:val="20"/>
          <w:szCs w:val="20"/>
        </w:rPr>
        <w:t>nst the risks to the defendant </w:t>
      </w:r>
      <w:r w:rsidRPr="00CF5AD2">
        <w:rPr>
          <w:rFonts w:ascii="Arial" w:hAnsi="Arial" w:cs="Arial"/>
          <w:i/>
          <w:color w:val="000000" w:themeColor="text1"/>
          <w:sz w:val="20"/>
          <w:szCs w:val="20"/>
        </w:rPr>
        <w:t>of an unrealisable costs order</w:t>
      </w:r>
      <w:r w:rsidRPr="00CF5AD2">
        <w:rPr>
          <w:rFonts w:ascii="Arial" w:hAnsi="Arial" w:cs="Arial"/>
          <w:color w:val="000000" w:themeColor="text1"/>
          <w:sz w:val="20"/>
          <w:szCs w:val="20"/>
        </w:rPr>
        <w:t>.</w:t>
      </w:r>
      <w:r w:rsidR="00902522" w:rsidRPr="00CF5AD2">
        <w:rPr>
          <w:rFonts w:ascii="Arial" w:hAnsi="Arial" w:cs="Arial"/>
          <w:color w:val="000000" w:themeColor="text1"/>
          <w:sz w:val="20"/>
          <w:szCs w:val="20"/>
        </w:rPr>
        <w:t>”</w:t>
      </w:r>
    </w:p>
    <w:p w:rsidR="00BE4C88" w:rsidRDefault="000E7BB3" w:rsidP="001F6CEC">
      <w:pPr>
        <w:spacing w:after="240" w:line="360" w:lineRule="auto"/>
        <w:ind w:left="567" w:hanging="567"/>
        <w:jc w:val="both"/>
        <w:rPr>
          <w:rFonts w:ascii="Arial" w:hAnsi="Arial" w:cs="Arial"/>
        </w:rPr>
      </w:pPr>
      <w:r>
        <w:rPr>
          <w:rFonts w:ascii="Arial" w:hAnsi="Arial" w:cs="Arial"/>
        </w:rPr>
        <w:t>[1</w:t>
      </w:r>
      <w:r w:rsidR="001A1404">
        <w:rPr>
          <w:rFonts w:ascii="Arial" w:hAnsi="Arial" w:cs="Arial"/>
        </w:rPr>
        <w:t>3</w:t>
      </w:r>
      <w:r>
        <w:rPr>
          <w:rFonts w:ascii="Arial" w:hAnsi="Arial" w:cs="Arial"/>
        </w:rPr>
        <w:t>]</w:t>
      </w:r>
      <w:r>
        <w:rPr>
          <w:rFonts w:ascii="Arial" w:hAnsi="Arial" w:cs="Arial"/>
        </w:rPr>
        <w:tab/>
      </w:r>
      <w:r w:rsidR="001C6B3D">
        <w:rPr>
          <w:rFonts w:ascii="Arial" w:hAnsi="Arial" w:cs="Arial"/>
        </w:rPr>
        <w:t>The applicant’s version in its founding affidavit is that it was informed by its attorney that the respondent was a peregrinus when the attorney drew such a conclusion from the plaintiff’s amended particulars of claim on 1 July 2022.</w:t>
      </w:r>
      <w:r w:rsidR="001C6B3D">
        <w:rPr>
          <w:rStyle w:val="FootnoteReference"/>
          <w:rFonts w:ascii="Arial" w:hAnsi="Arial" w:cs="Arial"/>
        </w:rPr>
        <w:footnoteReference w:id="16"/>
      </w:r>
      <w:r w:rsidR="00C4637A">
        <w:rPr>
          <w:rFonts w:ascii="Arial" w:hAnsi="Arial" w:cs="Arial"/>
        </w:rPr>
        <w:t xml:space="preserve"> The applicant, as the defendant in the main action, pleaded specifically that the plaintiff was not resident in South Africa but had emigrated to the United States of America</w:t>
      </w:r>
      <w:r w:rsidR="005054CC">
        <w:rPr>
          <w:rFonts w:ascii="Arial" w:hAnsi="Arial" w:cs="Arial"/>
        </w:rPr>
        <w:t xml:space="preserve"> </w:t>
      </w:r>
      <w:r w:rsidR="00716CD0">
        <w:rPr>
          <w:rFonts w:ascii="Arial" w:hAnsi="Arial" w:cs="Arial"/>
        </w:rPr>
        <w:t>in</w:t>
      </w:r>
      <w:r w:rsidR="005054CC">
        <w:rPr>
          <w:rFonts w:ascii="Arial" w:hAnsi="Arial" w:cs="Arial"/>
        </w:rPr>
        <w:t xml:space="preserve"> 2020</w:t>
      </w:r>
      <w:r w:rsidR="00C4637A">
        <w:rPr>
          <w:rFonts w:ascii="Arial" w:hAnsi="Arial" w:cs="Arial"/>
        </w:rPr>
        <w:t xml:space="preserve"> where he was permanently resident.</w:t>
      </w:r>
      <w:r w:rsidR="00E058D4">
        <w:rPr>
          <w:rStyle w:val="FootnoteReference"/>
          <w:rFonts w:ascii="Arial" w:hAnsi="Arial" w:cs="Arial"/>
        </w:rPr>
        <w:footnoteReference w:id="17"/>
      </w:r>
      <w:r w:rsidR="00C4637A">
        <w:rPr>
          <w:rFonts w:ascii="Arial" w:hAnsi="Arial" w:cs="Arial"/>
        </w:rPr>
        <w:t xml:space="preserve"> </w:t>
      </w:r>
      <w:r w:rsidR="00716CD0">
        <w:rPr>
          <w:rFonts w:ascii="Arial" w:hAnsi="Arial" w:cs="Arial"/>
        </w:rPr>
        <w:t>The respondent submitted that the applicant failed to disclose the f</w:t>
      </w:r>
      <w:r w:rsidR="00C15163">
        <w:rPr>
          <w:rFonts w:ascii="Arial" w:hAnsi="Arial" w:cs="Arial"/>
        </w:rPr>
        <w:t>irst request for security in its</w:t>
      </w:r>
      <w:r w:rsidR="0038239E">
        <w:rPr>
          <w:rFonts w:ascii="Arial" w:hAnsi="Arial" w:cs="Arial"/>
        </w:rPr>
        <w:t xml:space="preserve"> founding papers and why it</w:t>
      </w:r>
      <w:r w:rsidR="00716CD0">
        <w:rPr>
          <w:rFonts w:ascii="Arial" w:hAnsi="Arial" w:cs="Arial"/>
        </w:rPr>
        <w:t xml:space="preserve"> did not apply to the court for the security for the costs in February 2022 after the demand for such security was made.</w:t>
      </w:r>
      <w:r w:rsidR="001030E7">
        <w:rPr>
          <w:rStyle w:val="FootnoteReference"/>
          <w:rFonts w:ascii="Arial" w:hAnsi="Arial" w:cs="Arial"/>
        </w:rPr>
        <w:footnoteReference w:id="18"/>
      </w:r>
      <w:r w:rsidR="00F66242">
        <w:rPr>
          <w:rFonts w:ascii="Arial" w:hAnsi="Arial" w:cs="Arial"/>
        </w:rPr>
        <w:t xml:space="preserve"> </w:t>
      </w:r>
      <w:r w:rsidR="00C2712C">
        <w:rPr>
          <w:rFonts w:ascii="Arial" w:hAnsi="Arial" w:cs="Arial"/>
        </w:rPr>
        <w:t>The applicant</w:t>
      </w:r>
      <w:r w:rsidR="00A171A6">
        <w:rPr>
          <w:rFonts w:ascii="Arial" w:hAnsi="Arial" w:cs="Arial"/>
        </w:rPr>
        <w:t>, instead of addressing this issue fully, fleetingly mentioned in its</w:t>
      </w:r>
      <w:r w:rsidR="00BE4C88">
        <w:rPr>
          <w:rFonts w:ascii="Arial" w:hAnsi="Arial" w:cs="Arial"/>
        </w:rPr>
        <w:t xml:space="preserve"> affidavit that:</w:t>
      </w:r>
    </w:p>
    <w:p w:rsidR="00C2712C" w:rsidRPr="00BE4C88" w:rsidRDefault="00BE4C88" w:rsidP="00BE4C88">
      <w:pPr>
        <w:spacing w:after="240" w:line="360" w:lineRule="auto"/>
        <w:ind w:left="567"/>
        <w:jc w:val="both"/>
        <w:rPr>
          <w:rFonts w:ascii="Arial" w:hAnsi="Arial" w:cs="Arial"/>
        </w:rPr>
      </w:pPr>
      <w:r>
        <w:rPr>
          <w:rFonts w:ascii="Arial" w:hAnsi="Arial" w:cs="Arial"/>
        </w:rPr>
        <w:t>“</w:t>
      </w:r>
      <w:r w:rsidRPr="001A1404">
        <w:rPr>
          <w:rFonts w:ascii="Arial" w:hAnsi="Arial" w:cs="Arial"/>
          <w:sz w:val="20"/>
          <w:szCs w:val="20"/>
        </w:rPr>
        <w:t>D</w:t>
      </w:r>
      <w:r w:rsidR="00C2712C" w:rsidRPr="001A1404">
        <w:rPr>
          <w:rFonts w:ascii="Arial" w:hAnsi="Arial" w:cs="Arial"/>
          <w:i/>
          <w:sz w:val="20"/>
          <w:szCs w:val="20"/>
        </w:rPr>
        <w:t>efendant’s attorney</w:t>
      </w:r>
      <w:r w:rsidR="00147796" w:rsidRPr="001A1404">
        <w:rPr>
          <w:rFonts w:ascii="Arial" w:hAnsi="Arial" w:cs="Arial"/>
          <w:i/>
          <w:sz w:val="20"/>
          <w:szCs w:val="20"/>
        </w:rPr>
        <w:t>’</w:t>
      </w:r>
      <w:r w:rsidRPr="001A1404">
        <w:rPr>
          <w:rFonts w:ascii="Arial" w:hAnsi="Arial" w:cs="Arial"/>
          <w:sz w:val="20"/>
          <w:szCs w:val="20"/>
        </w:rPr>
        <w:t>s</w:t>
      </w:r>
      <w:r w:rsidR="00C2712C" w:rsidRPr="001A1404">
        <w:rPr>
          <w:rFonts w:ascii="Arial" w:hAnsi="Arial" w:cs="Arial"/>
          <w:sz w:val="20"/>
          <w:szCs w:val="20"/>
        </w:rPr>
        <w:t xml:space="preserve"> </w:t>
      </w:r>
      <w:r w:rsidR="00C2712C" w:rsidRPr="001A1404">
        <w:rPr>
          <w:rFonts w:ascii="Arial" w:hAnsi="Arial" w:cs="Arial"/>
          <w:i/>
          <w:sz w:val="20"/>
          <w:szCs w:val="20"/>
        </w:rPr>
        <w:t xml:space="preserve">notices </w:t>
      </w:r>
      <w:r w:rsidR="00313D1F" w:rsidRPr="001A1404">
        <w:rPr>
          <w:rFonts w:ascii="Arial" w:hAnsi="Arial" w:cs="Arial"/>
          <w:i/>
          <w:sz w:val="20"/>
          <w:szCs w:val="20"/>
        </w:rPr>
        <w:t>under Rul</w:t>
      </w:r>
      <w:r w:rsidRPr="001A1404">
        <w:rPr>
          <w:rFonts w:ascii="Arial" w:hAnsi="Arial" w:cs="Arial"/>
          <w:i/>
          <w:sz w:val="20"/>
          <w:szCs w:val="20"/>
        </w:rPr>
        <w:t>e 47, calling for security, have</w:t>
      </w:r>
      <w:r w:rsidR="00313D1F" w:rsidRPr="001A1404">
        <w:rPr>
          <w:rFonts w:ascii="Arial" w:hAnsi="Arial" w:cs="Arial"/>
          <w:i/>
          <w:sz w:val="20"/>
          <w:szCs w:val="20"/>
        </w:rPr>
        <w:t xml:space="preserve"> been declined.</w:t>
      </w:r>
      <w:r w:rsidRPr="001A1404">
        <w:rPr>
          <w:rFonts w:ascii="Arial" w:hAnsi="Arial" w:cs="Arial"/>
          <w:i/>
          <w:sz w:val="20"/>
          <w:szCs w:val="20"/>
        </w:rPr>
        <w:t xml:space="preserve"> The plaintiff has not set up security and the defendant is accordingly compelled to launch this application, which I have been advised, will apparently be opposed.</w:t>
      </w:r>
      <w:r w:rsidR="00313D1F" w:rsidRPr="001A1404">
        <w:rPr>
          <w:rFonts w:ascii="Arial" w:hAnsi="Arial" w:cs="Arial"/>
          <w:i/>
          <w:sz w:val="20"/>
          <w:szCs w:val="20"/>
        </w:rPr>
        <w:t>”</w:t>
      </w:r>
      <w:r w:rsidR="00313D1F" w:rsidRPr="001A1404">
        <w:rPr>
          <w:rStyle w:val="FootnoteReference"/>
          <w:rFonts w:ascii="Arial" w:hAnsi="Arial" w:cs="Arial"/>
          <w:i/>
          <w:sz w:val="20"/>
          <w:szCs w:val="20"/>
        </w:rPr>
        <w:footnoteReference w:id="19"/>
      </w:r>
      <w:r w:rsidR="00C2712C" w:rsidRPr="00BE4C88">
        <w:rPr>
          <w:rFonts w:ascii="Arial" w:hAnsi="Arial" w:cs="Arial"/>
          <w:i/>
        </w:rPr>
        <w:t xml:space="preserve"> </w:t>
      </w:r>
      <w:r w:rsidR="00F66242" w:rsidRPr="00BE4C88">
        <w:rPr>
          <w:rFonts w:ascii="Arial" w:hAnsi="Arial" w:cs="Arial"/>
          <w:i/>
        </w:rPr>
        <w:t xml:space="preserve"> </w:t>
      </w:r>
    </w:p>
    <w:p w:rsidR="00A9657C" w:rsidRDefault="00C2712C" w:rsidP="001F6CEC">
      <w:pPr>
        <w:spacing w:after="240" w:line="360" w:lineRule="auto"/>
        <w:ind w:left="567" w:hanging="567"/>
        <w:jc w:val="both"/>
        <w:rPr>
          <w:rFonts w:ascii="Arial" w:hAnsi="Arial" w:cs="Arial"/>
        </w:rPr>
      </w:pPr>
      <w:r>
        <w:rPr>
          <w:rFonts w:ascii="Arial" w:hAnsi="Arial" w:cs="Arial"/>
        </w:rPr>
        <w:t>[1</w:t>
      </w:r>
      <w:r w:rsidR="001A1404">
        <w:rPr>
          <w:rFonts w:ascii="Arial" w:hAnsi="Arial" w:cs="Arial"/>
        </w:rPr>
        <w:t>4</w:t>
      </w:r>
      <w:r w:rsidR="000E7BB3">
        <w:rPr>
          <w:rFonts w:ascii="Arial" w:hAnsi="Arial" w:cs="Arial"/>
        </w:rPr>
        <w:t>]</w:t>
      </w:r>
      <w:r w:rsidR="000E7BB3">
        <w:rPr>
          <w:rFonts w:ascii="Arial" w:hAnsi="Arial" w:cs="Arial"/>
        </w:rPr>
        <w:tab/>
      </w:r>
      <w:r w:rsidR="00F614AA">
        <w:rPr>
          <w:rFonts w:ascii="Arial" w:hAnsi="Arial" w:cs="Arial"/>
        </w:rPr>
        <w:t xml:space="preserve">The respondent’s response to the demand for security was contained in an email of 25 February </w:t>
      </w:r>
      <w:r w:rsidR="00732E4B">
        <w:rPr>
          <w:rFonts w:ascii="Arial" w:hAnsi="Arial" w:cs="Arial"/>
        </w:rPr>
        <w:t xml:space="preserve">2022 </w:t>
      </w:r>
      <w:r w:rsidR="00F614AA">
        <w:rPr>
          <w:rFonts w:ascii="Arial" w:hAnsi="Arial" w:cs="Arial"/>
        </w:rPr>
        <w:t>which, for the sake of background and clarity,</w:t>
      </w:r>
      <w:r w:rsidR="00A9657C">
        <w:rPr>
          <w:rFonts w:ascii="Arial" w:hAnsi="Arial" w:cs="Arial"/>
        </w:rPr>
        <w:t xml:space="preserve"> is quoted near verbatim as follows: </w:t>
      </w:r>
    </w:p>
    <w:p w:rsidR="000E7BB3" w:rsidRDefault="00A9657C" w:rsidP="000E7BB3">
      <w:pPr>
        <w:spacing w:after="240" w:line="360" w:lineRule="auto"/>
        <w:ind w:left="1134" w:hanging="567"/>
        <w:jc w:val="both"/>
        <w:rPr>
          <w:rFonts w:ascii="Arial" w:hAnsi="Arial" w:cs="Arial"/>
        </w:rPr>
      </w:pPr>
      <w:r>
        <w:rPr>
          <w:rFonts w:ascii="Arial" w:hAnsi="Arial" w:cs="Arial"/>
        </w:rPr>
        <w:t>“</w:t>
      </w:r>
      <w:r w:rsidRPr="000E7BB3">
        <w:rPr>
          <w:rFonts w:ascii="Arial" w:hAnsi="Arial" w:cs="Arial"/>
          <w:i/>
          <w:sz w:val="20"/>
        </w:rPr>
        <w:t xml:space="preserve">3. </w:t>
      </w:r>
      <w:r w:rsidR="001A1404">
        <w:rPr>
          <w:rFonts w:ascii="Arial" w:hAnsi="Arial" w:cs="Arial"/>
          <w:i/>
          <w:sz w:val="20"/>
        </w:rPr>
        <w:tab/>
      </w:r>
      <w:r w:rsidRPr="000E7BB3">
        <w:rPr>
          <w:rFonts w:ascii="Arial" w:hAnsi="Arial" w:cs="Arial"/>
          <w:i/>
          <w:sz w:val="20"/>
        </w:rPr>
        <w:t>Our client denies to furnish security for costs, as demanded or at all.</w:t>
      </w:r>
    </w:p>
    <w:p w:rsidR="000E7BB3" w:rsidRDefault="00A9657C" w:rsidP="000E7BB3">
      <w:pPr>
        <w:spacing w:after="240" w:line="360" w:lineRule="auto"/>
        <w:ind w:left="1134" w:hanging="567"/>
        <w:jc w:val="both"/>
        <w:rPr>
          <w:rFonts w:ascii="Arial" w:hAnsi="Arial" w:cs="Arial"/>
          <w:i/>
          <w:sz w:val="20"/>
        </w:rPr>
      </w:pPr>
      <w:r w:rsidRPr="000E7BB3">
        <w:rPr>
          <w:rFonts w:ascii="Arial" w:hAnsi="Arial" w:cs="Arial"/>
          <w:i/>
          <w:sz w:val="20"/>
        </w:rPr>
        <w:t xml:space="preserve">4. </w:t>
      </w:r>
      <w:r w:rsidR="001A1404">
        <w:rPr>
          <w:rFonts w:ascii="Arial" w:hAnsi="Arial" w:cs="Arial"/>
          <w:i/>
          <w:sz w:val="20"/>
        </w:rPr>
        <w:tab/>
      </w:r>
      <w:r w:rsidRPr="000E7BB3">
        <w:rPr>
          <w:rFonts w:ascii="Arial" w:hAnsi="Arial" w:cs="Arial"/>
          <w:i/>
          <w:sz w:val="20"/>
        </w:rPr>
        <w:t>We respectfully submit</w:t>
      </w:r>
      <w:r w:rsidR="00065F40">
        <w:rPr>
          <w:rFonts w:ascii="Arial" w:hAnsi="Arial" w:cs="Arial"/>
          <w:i/>
          <w:sz w:val="20"/>
        </w:rPr>
        <w:t xml:space="preserve"> that your client is not entitled to such security in the circumstances of this action, for inter alia the following reasons (this is not a closed list):</w:t>
      </w:r>
    </w:p>
    <w:p w:rsidR="00065F40" w:rsidRDefault="00065F40" w:rsidP="001A1404">
      <w:pPr>
        <w:spacing w:after="240" w:line="360" w:lineRule="auto"/>
        <w:ind w:left="1701" w:hanging="567"/>
        <w:jc w:val="both"/>
        <w:rPr>
          <w:rFonts w:ascii="Arial" w:hAnsi="Arial" w:cs="Arial"/>
          <w:i/>
          <w:sz w:val="20"/>
        </w:rPr>
      </w:pPr>
      <w:r>
        <w:rPr>
          <w:rFonts w:ascii="Arial" w:hAnsi="Arial" w:cs="Arial"/>
          <w:i/>
          <w:sz w:val="20"/>
        </w:rPr>
        <w:t xml:space="preserve">4.1 </w:t>
      </w:r>
      <w:r w:rsidR="001A1404">
        <w:rPr>
          <w:rFonts w:ascii="Arial" w:hAnsi="Arial" w:cs="Arial"/>
          <w:i/>
          <w:sz w:val="20"/>
        </w:rPr>
        <w:tab/>
      </w:r>
      <w:r>
        <w:rPr>
          <w:rFonts w:ascii="Arial" w:hAnsi="Arial" w:cs="Arial"/>
          <w:i/>
          <w:sz w:val="20"/>
        </w:rPr>
        <w:t>The sole reason your client advances to support its demand for security is that our client is a foreign peregrine. It is long established that this is not by itself reason enough, something more is required, and the court always retains the overriding discretion;</w:t>
      </w:r>
    </w:p>
    <w:p w:rsidR="00065F40" w:rsidRDefault="00065F40" w:rsidP="001A1404">
      <w:pPr>
        <w:spacing w:after="240" w:line="360" w:lineRule="auto"/>
        <w:ind w:left="1701" w:hanging="567"/>
        <w:jc w:val="both"/>
        <w:rPr>
          <w:rFonts w:ascii="Arial" w:hAnsi="Arial" w:cs="Arial"/>
          <w:i/>
          <w:sz w:val="20"/>
        </w:rPr>
      </w:pPr>
      <w:r>
        <w:rPr>
          <w:rFonts w:ascii="Arial" w:hAnsi="Arial" w:cs="Arial"/>
          <w:i/>
          <w:sz w:val="20"/>
        </w:rPr>
        <w:t xml:space="preserve">4.2 </w:t>
      </w:r>
      <w:r w:rsidR="001A1404">
        <w:rPr>
          <w:rFonts w:ascii="Arial" w:hAnsi="Arial" w:cs="Arial"/>
          <w:i/>
          <w:sz w:val="20"/>
        </w:rPr>
        <w:tab/>
      </w:r>
      <w:r>
        <w:rPr>
          <w:rFonts w:ascii="Arial" w:hAnsi="Arial" w:cs="Arial"/>
          <w:i/>
          <w:sz w:val="20"/>
        </w:rPr>
        <w:t xml:space="preserve">Your client has known that our client emigrated, on its own version per its plea, since at least 23 April 2021. This is well over more than 200 court days prior to your client’s demand under reply, which is not “as soon as practicably after the commencement of </w:t>
      </w:r>
      <w:r w:rsidR="002C4ECE">
        <w:rPr>
          <w:rFonts w:ascii="Arial" w:hAnsi="Arial" w:cs="Arial"/>
          <w:i/>
          <w:sz w:val="20"/>
        </w:rPr>
        <w:t>proceedings” [vide rule 47(1)] and on this ground alone we submit that any application for security is still born;</w:t>
      </w:r>
    </w:p>
    <w:p w:rsidR="002C4ECE" w:rsidRDefault="002C4ECE" w:rsidP="001A1404">
      <w:pPr>
        <w:spacing w:after="240" w:line="360" w:lineRule="auto"/>
        <w:ind w:left="1701" w:hanging="567"/>
        <w:jc w:val="both"/>
        <w:rPr>
          <w:rFonts w:ascii="Arial" w:hAnsi="Arial" w:cs="Arial"/>
          <w:i/>
          <w:sz w:val="20"/>
        </w:rPr>
      </w:pPr>
      <w:r>
        <w:rPr>
          <w:rFonts w:ascii="Arial" w:hAnsi="Arial" w:cs="Arial"/>
          <w:i/>
          <w:sz w:val="20"/>
        </w:rPr>
        <w:t xml:space="preserve">4.3 </w:t>
      </w:r>
      <w:r w:rsidR="001A1404">
        <w:rPr>
          <w:rFonts w:ascii="Arial" w:hAnsi="Arial" w:cs="Arial"/>
          <w:i/>
          <w:sz w:val="20"/>
        </w:rPr>
        <w:tab/>
      </w:r>
      <w:r>
        <w:rPr>
          <w:rFonts w:ascii="Arial" w:hAnsi="Arial" w:cs="Arial"/>
          <w:i/>
          <w:sz w:val="20"/>
        </w:rPr>
        <w:t>The amount of R500 000.00 is astronomical, and our client verily believes the demand for security is, in this context, vexatious, intended more to stifle his bona fide4 claim/s and/or dissuade him from the further pursuit of the matter and/or try to gamer some leverage in settlement negotiations;</w:t>
      </w:r>
    </w:p>
    <w:p w:rsidR="009E2C4D" w:rsidRDefault="002C4ECE" w:rsidP="001A1404">
      <w:pPr>
        <w:spacing w:after="240" w:line="360" w:lineRule="auto"/>
        <w:ind w:left="1701" w:hanging="567"/>
        <w:jc w:val="both"/>
        <w:rPr>
          <w:rFonts w:ascii="Arial" w:hAnsi="Arial" w:cs="Arial"/>
          <w:i/>
          <w:sz w:val="20"/>
        </w:rPr>
      </w:pPr>
      <w:r>
        <w:rPr>
          <w:rFonts w:ascii="Arial" w:hAnsi="Arial" w:cs="Arial"/>
          <w:i/>
          <w:sz w:val="20"/>
        </w:rPr>
        <w:t xml:space="preserve">4.4 </w:t>
      </w:r>
      <w:r w:rsidR="001A1404">
        <w:rPr>
          <w:rFonts w:ascii="Arial" w:hAnsi="Arial" w:cs="Arial"/>
          <w:i/>
          <w:sz w:val="20"/>
        </w:rPr>
        <w:tab/>
      </w:r>
      <w:r>
        <w:rPr>
          <w:rFonts w:ascii="Arial" w:hAnsi="Arial" w:cs="Arial"/>
          <w:i/>
          <w:sz w:val="20"/>
        </w:rPr>
        <w:t>Your client has remained adamant throughout the dispute and the litigation, for going on three years this year,</w:t>
      </w:r>
      <w:r w:rsidR="00DC6A5A">
        <w:rPr>
          <w:rFonts w:ascii="Arial" w:hAnsi="Arial" w:cs="Arial"/>
          <w:i/>
          <w:sz w:val="20"/>
        </w:rPr>
        <w:t xml:space="preserve"> </w:t>
      </w:r>
      <w:r>
        <w:rPr>
          <w:rFonts w:ascii="Arial" w:hAnsi="Arial" w:cs="Arial"/>
          <w:i/>
          <w:sz w:val="20"/>
        </w:rPr>
        <w:t>that, essentially, “there is nothing at all wrong with the Apollo” and therefore on your client’s own version our client is the sole registered owner of the aircraft w</w:t>
      </w:r>
      <w:r w:rsidR="009E2C4D">
        <w:rPr>
          <w:rFonts w:ascii="Arial" w:hAnsi="Arial" w:cs="Arial"/>
          <w:i/>
          <w:sz w:val="20"/>
        </w:rPr>
        <w:t>orth at least R4 000 000.00, which sits in Plettenberg Bay in South Africa; and/or</w:t>
      </w:r>
    </w:p>
    <w:p w:rsidR="009E2C4D" w:rsidRDefault="009E2C4D" w:rsidP="001A1404">
      <w:pPr>
        <w:spacing w:after="240" w:line="360" w:lineRule="auto"/>
        <w:ind w:left="1701" w:hanging="567"/>
        <w:jc w:val="both"/>
        <w:rPr>
          <w:rFonts w:ascii="Arial" w:hAnsi="Arial" w:cs="Arial"/>
          <w:i/>
          <w:sz w:val="20"/>
        </w:rPr>
      </w:pPr>
      <w:r>
        <w:rPr>
          <w:rFonts w:ascii="Arial" w:hAnsi="Arial" w:cs="Arial"/>
          <w:i/>
          <w:sz w:val="20"/>
        </w:rPr>
        <w:t xml:space="preserve">4.5 </w:t>
      </w:r>
      <w:r w:rsidR="001A1404">
        <w:rPr>
          <w:rFonts w:ascii="Arial" w:hAnsi="Arial" w:cs="Arial"/>
          <w:i/>
          <w:sz w:val="20"/>
        </w:rPr>
        <w:tab/>
      </w:r>
      <w:r>
        <w:rPr>
          <w:rFonts w:ascii="Arial" w:hAnsi="Arial" w:cs="Arial"/>
          <w:i/>
          <w:sz w:val="20"/>
        </w:rPr>
        <w:t>The merits of the matter prima facie favour our client, evidenced inter alia by the fact that no expert notice was ever filed following your client’s own appointed expert Gerhard van Wyk inspecting the Apollo circa June 2021, which speaks for itself.</w:t>
      </w:r>
    </w:p>
    <w:p w:rsidR="009E2C4D" w:rsidRDefault="009E2C4D" w:rsidP="001A1404">
      <w:pPr>
        <w:spacing w:after="240" w:line="360" w:lineRule="auto"/>
        <w:ind w:left="851" w:hanging="284"/>
        <w:jc w:val="both"/>
        <w:rPr>
          <w:rFonts w:ascii="Arial" w:hAnsi="Arial" w:cs="Arial"/>
          <w:i/>
          <w:sz w:val="20"/>
        </w:rPr>
      </w:pPr>
      <w:r>
        <w:rPr>
          <w:rFonts w:ascii="Arial" w:hAnsi="Arial" w:cs="Arial"/>
          <w:i/>
          <w:sz w:val="20"/>
        </w:rPr>
        <w:t xml:space="preserve">5. </w:t>
      </w:r>
      <w:r w:rsidR="001A1404">
        <w:rPr>
          <w:rFonts w:ascii="Arial" w:hAnsi="Arial" w:cs="Arial"/>
          <w:i/>
          <w:sz w:val="20"/>
        </w:rPr>
        <w:tab/>
      </w:r>
      <w:r>
        <w:rPr>
          <w:rFonts w:ascii="Arial" w:hAnsi="Arial" w:cs="Arial"/>
          <w:i/>
          <w:sz w:val="20"/>
        </w:rPr>
        <w:t xml:space="preserve">Should your client persist in its demands, then we </w:t>
      </w:r>
      <w:r w:rsidR="00DC6A5A">
        <w:rPr>
          <w:rFonts w:ascii="Arial" w:hAnsi="Arial" w:cs="Arial"/>
          <w:i/>
          <w:sz w:val="20"/>
        </w:rPr>
        <w:t>await</w:t>
      </w:r>
      <w:r>
        <w:rPr>
          <w:rFonts w:ascii="Arial" w:hAnsi="Arial" w:cs="Arial"/>
          <w:i/>
          <w:sz w:val="20"/>
        </w:rPr>
        <w:t xml:space="preserve"> service of their application per rule 47(3) accordingly.</w:t>
      </w:r>
    </w:p>
    <w:p w:rsidR="008B03C5" w:rsidRDefault="009E2C4D" w:rsidP="001A1404">
      <w:pPr>
        <w:spacing w:after="240" w:line="360" w:lineRule="auto"/>
        <w:ind w:left="851" w:hanging="284"/>
        <w:jc w:val="both"/>
        <w:rPr>
          <w:rFonts w:ascii="Arial" w:hAnsi="Arial" w:cs="Arial"/>
          <w:i/>
          <w:sz w:val="20"/>
        </w:rPr>
      </w:pPr>
      <w:r>
        <w:rPr>
          <w:rFonts w:ascii="Arial" w:hAnsi="Arial" w:cs="Arial"/>
          <w:i/>
          <w:sz w:val="20"/>
        </w:rPr>
        <w:t xml:space="preserve">6. This letter will be used to support our client’s prayer that our </w:t>
      </w:r>
      <w:r w:rsidR="00317078">
        <w:rPr>
          <w:rFonts w:ascii="Arial" w:hAnsi="Arial" w:cs="Arial"/>
          <w:i/>
          <w:sz w:val="20"/>
        </w:rPr>
        <w:t>client, when</w:t>
      </w:r>
      <w:r>
        <w:rPr>
          <w:rFonts w:ascii="Arial" w:hAnsi="Arial" w:cs="Arial"/>
          <w:i/>
          <w:sz w:val="20"/>
        </w:rPr>
        <w:t xml:space="preserve"> its application is dismissed, be liable for our client’s attorney and own client costs, a punitive order that we </w:t>
      </w:r>
      <w:r w:rsidR="00DC6A5A">
        <w:rPr>
          <w:rFonts w:ascii="Arial" w:hAnsi="Arial" w:cs="Arial"/>
          <w:i/>
          <w:sz w:val="20"/>
        </w:rPr>
        <w:t>respectfully submit</w:t>
      </w:r>
      <w:r>
        <w:rPr>
          <w:rFonts w:ascii="Arial" w:hAnsi="Arial" w:cs="Arial"/>
          <w:i/>
          <w:sz w:val="20"/>
        </w:rPr>
        <w:t xml:space="preserve"> is appropriate to the facts of the matter to hand.</w:t>
      </w:r>
    </w:p>
    <w:p w:rsidR="00EF204E" w:rsidRDefault="001A1404" w:rsidP="001A1404">
      <w:pPr>
        <w:spacing w:after="240" w:line="360" w:lineRule="auto"/>
        <w:ind w:left="567" w:hanging="567"/>
        <w:jc w:val="both"/>
        <w:rPr>
          <w:rFonts w:ascii="Arial" w:hAnsi="Arial" w:cs="Arial"/>
        </w:rPr>
      </w:pPr>
      <w:r>
        <w:rPr>
          <w:rFonts w:ascii="Arial" w:hAnsi="Arial" w:cs="Arial"/>
        </w:rPr>
        <w:t>[15</w:t>
      </w:r>
      <w:r w:rsidR="00EF204E" w:rsidRPr="000A7424">
        <w:rPr>
          <w:rFonts w:ascii="Arial" w:hAnsi="Arial" w:cs="Arial"/>
        </w:rPr>
        <w:t xml:space="preserve">] </w:t>
      </w:r>
      <w:r w:rsidR="008B03C5" w:rsidRPr="000A7424">
        <w:rPr>
          <w:rFonts w:ascii="Arial" w:hAnsi="Arial" w:cs="Arial"/>
        </w:rPr>
        <w:t xml:space="preserve">The applicant failed to either respond to this letter or launch any application in terms of Rule 47(3) despite having been instructed to call for security for costs from the respondent. In </w:t>
      </w:r>
      <w:r w:rsidR="003D4E96" w:rsidRPr="000A7424">
        <w:rPr>
          <w:rFonts w:ascii="Arial" w:hAnsi="Arial" w:cs="Arial"/>
        </w:rPr>
        <w:t>an email dated 23 February 2022 addressed to the respondent’s attorneys, the applicant’s latest attorney, Mr Willem van Rensburg, advised that he had properly consulted on the pleadings and issues with counsel and had received detailed information and instructions before calling for security for costs and amending the Plea and Counterclaim.</w:t>
      </w:r>
      <w:r w:rsidR="003D4E96" w:rsidRPr="000A7424">
        <w:rPr>
          <w:rStyle w:val="FootnoteReference"/>
          <w:rFonts w:ascii="Arial" w:hAnsi="Arial" w:cs="Arial"/>
        </w:rPr>
        <w:footnoteReference w:id="20"/>
      </w:r>
      <w:r w:rsidR="00DB4713">
        <w:rPr>
          <w:rFonts w:ascii="Arial" w:hAnsi="Arial" w:cs="Arial"/>
        </w:rPr>
        <w:t xml:space="preserve"> A second notice of demand for security costs was delivered to the respondent on 19 September 2022.</w:t>
      </w:r>
    </w:p>
    <w:p w:rsidR="00BA5977" w:rsidRDefault="001A1404" w:rsidP="001A1404">
      <w:pPr>
        <w:spacing w:after="240" w:line="360" w:lineRule="auto"/>
        <w:ind w:left="567" w:hanging="567"/>
        <w:jc w:val="both"/>
        <w:rPr>
          <w:rFonts w:ascii="Arial" w:hAnsi="Arial" w:cs="Arial"/>
        </w:rPr>
      </w:pPr>
      <w:r>
        <w:rPr>
          <w:rFonts w:ascii="Arial" w:hAnsi="Arial" w:cs="Arial"/>
        </w:rPr>
        <w:t>[16</w:t>
      </w:r>
      <w:r w:rsidR="000769AB">
        <w:rPr>
          <w:rFonts w:ascii="Arial" w:hAnsi="Arial" w:cs="Arial"/>
        </w:rPr>
        <w:t xml:space="preserve">] </w:t>
      </w:r>
      <w:r w:rsidR="003778B7">
        <w:rPr>
          <w:rFonts w:ascii="Arial" w:hAnsi="Arial" w:cs="Arial"/>
        </w:rPr>
        <w:t>The respondent valued</w:t>
      </w:r>
      <w:r w:rsidR="00E321F0">
        <w:rPr>
          <w:rFonts w:ascii="Arial" w:hAnsi="Arial" w:cs="Arial"/>
        </w:rPr>
        <w:t xml:space="preserve"> the Apollo at between R4 200 000.00 and R5 200 000.00 which is ten times the amount of security required by the applicant. He was of no intention of removing it from South Africa as he tendered to return it to </w:t>
      </w:r>
      <w:r w:rsidR="00D84A09">
        <w:rPr>
          <w:rFonts w:ascii="Arial" w:hAnsi="Arial" w:cs="Arial"/>
        </w:rPr>
        <w:t xml:space="preserve">the </w:t>
      </w:r>
      <w:r w:rsidR="00F97D2D">
        <w:rPr>
          <w:rFonts w:ascii="Arial" w:hAnsi="Arial" w:cs="Arial"/>
        </w:rPr>
        <w:t>applicant</w:t>
      </w:r>
      <w:r w:rsidR="00D84A09">
        <w:rPr>
          <w:rFonts w:ascii="Arial" w:hAnsi="Arial" w:cs="Arial"/>
        </w:rPr>
        <w:t xml:space="preserve"> against its payment to him of the amount claimed.</w:t>
      </w:r>
      <w:r w:rsidR="00D84A09">
        <w:rPr>
          <w:rStyle w:val="FootnoteReference"/>
          <w:rFonts w:ascii="Arial" w:hAnsi="Arial" w:cs="Arial"/>
        </w:rPr>
        <w:footnoteReference w:id="21"/>
      </w:r>
      <w:r w:rsidR="00B9108C">
        <w:rPr>
          <w:rFonts w:ascii="Arial" w:hAnsi="Arial" w:cs="Arial"/>
        </w:rPr>
        <w:t xml:space="preserve"> </w:t>
      </w:r>
      <w:r w:rsidR="0095267C">
        <w:rPr>
          <w:rFonts w:ascii="Arial" w:hAnsi="Arial" w:cs="Arial"/>
        </w:rPr>
        <w:t xml:space="preserve"> The applicant was adequately safeguarded in respect of security for costs or judgment.</w:t>
      </w:r>
      <w:r w:rsidR="0095267C">
        <w:rPr>
          <w:rStyle w:val="FootnoteReference"/>
          <w:rFonts w:ascii="Arial" w:hAnsi="Arial" w:cs="Arial"/>
        </w:rPr>
        <w:footnoteReference w:id="22"/>
      </w:r>
      <w:r w:rsidR="005E3597">
        <w:rPr>
          <w:rFonts w:ascii="Arial" w:hAnsi="Arial" w:cs="Arial"/>
        </w:rPr>
        <w:t xml:space="preserve"> </w:t>
      </w:r>
      <w:r w:rsidR="00B9108C">
        <w:rPr>
          <w:rFonts w:ascii="Arial" w:hAnsi="Arial" w:cs="Arial"/>
        </w:rPr>
        <w:t>The applicant did not contest these amounts but contended that the aircraft was disassembled for shipment elsewhere at the instructions of the respondent. However, there was interest to purchase the aircraft at a price of approximately R1.5 million. This amount would be insufficient security</w:t>
      </w:r>
      <w:r w:rsidR="00663516">
        <w:rPr>
          <w:rFonts w:ascii="Arial" w:hAnsi="Arial" w:cs="Arial"/>
        </w:rPr>
        <w:t xml:space="preserve"> taking into account that the counterclaims exceed</w:t>
      </w:r>
      <w:r w:rsidR="00980EB4">
        <w:rPr>
          <w:rFonts w:ascii="Arial" w:hAnsi="Arial" w:cs="Arial"/>
        </w:rPr>
        <w:t>ed</w:t>
      </w:r>
      <w:r w:rsidR="00663516">
        <w:rPr>
          <w:rFonts w:ascii="Arial" w:hAnsi="Arial" w:cs="Arial"/>
        </w:rPr>
        <w:t xml:space="preserve"> th</w:t>
      </w:r>
      <w:r w:rsidR="00980EB4">
        <w:rPr>
          <w:rFonts w:ascii="Arial" w:hAnsi="Arial" w:cs="Arial"/>
        </w:rPr>
        <w:t>is</w:t>
      </w:r>
      <w:r w:rsidR="00663516">
        <w:rPr>
          <w:rFonts w:ascii="Arial" w:hAnsi="Arial" w:cs="Arial"/>
        </w:rPr>
        <w:t xml:space="preserve"> amount and especially if litigation were to be pursued in Israel.</w:t>
      </w:r>
      <w:r w:rsidR="00663516">
        <w:rPr>
          <w:rStyle w:val="FootnoteReference"/>
          <w:rFonts w:ascii="Arial" w:hAnsi="Arial" w:cs="Arial"/>
        </w:rPr>
        <w:footnoteReference w:id="23"/>
      </w:r>
      <w:r w:rsidR="005E3597">
        <w:rPr>
          <w:rFonts w:ascii="Arial" w:hAnsi="Arial" w:cs="Arial"/>
        </w:rPr>
        <w:t xml:space="preserve"> The aircraft, being a movable item forming the subject matter of the main action does not qualify as constituting acceptable security for costs.</w:t>
      </w:r>
      <w:r w:rsidR="005E3597">
        <w:rPr>
          <w:rStyle w:val="FootnoteReference"/>
          <w:rFonts w:ascii="Arial" w:hAnsi="Arial" w:cs="Arial"/>
        </w:rPr>
        <w:footnoteReference w:id="24"/>
      </w:r>
      <w:r w:rsidR="00C14FD9">
        <w:rPr>
          <w:rFonts w:ascii="Arial" w:hAnsi="Arial" w:cs="Arial"/>
        </w:rPr>
        <w:t xml:space="preserve"> This proposition is misconceived.</w:t>
      </w:r>
    </w:p>
    <w:p w:rsidR="00740049" w:rsidRDefault="00740049" w:rsidP="001A1404">
      <w:pPr>
        <w:spacing w:after="240" w:line="360" w:lineRule="auto"/>
        <w:ind w:left="567" w:hanging="567"/>
        <w:jc w:val="both"/>
        <w:rPr>
          <w:rFonts w:ascii="Arial" w:hAnsi="Arial" w:cs="Arial"/>
        </w:rPr>
      </w:pPr>
      <w:r>
        <w:rPr>
          <w:rFonts w:ascii="Arial" w:hAnsi="Arial" w:cs="Arial"/>
        </w:rPr>
        <w:t>[1</w:t>
      </w:r>
      <w:r w:rsidR="001A1404">
        <w:rPr>
          <w:rFonts w:ascii="Arial" w:hAnsi="Arial" w:cs="Arial"/>
        </w:rPr>
        <w:t>7</w:t>
      </w:r>
      <w:r w:rsidR="00D21ED6">
        <w:rPr>
          <w:rFonts w:ascii="Arial" w:hAnsi="Arial" w:cs="Arial"/>
        </w:rPr>
        <w:t>] In</w:t>
      </w:r>
      <w:r w:rsidR="00C14FD9">
        <w:rPr>
          <w:rFonts w:ascii="Arial" w:hAnsi="Arial" w:cs="Arial"/>
        </w:rPr>
        <w:t xml:space="preserve"> </w:t>
      </w:r>
      <w:r w:rsidR="00C14FD9" w:rsidRPr="00D21ED6">
        <w:rPr>
          <w:rFonts w:ascii="Arial" w:hAnsi="Arial" w:cs="Arial"/>
          <w:i/>
        </w:rPr>
        <w:t>Browns</w:t>
      </w:r>
      <w:r w:rsidR="00D21ED6" w:rsidRPr="00D21ED6">
        <w:rPr>
          <w:rFonts w:ascii="Arial" w:hAnsi="Arial" w:cs="Arial"/>
          <w:i/>
        </w:rPr>
        <w:t xml:space="preserve"> the Diamond Store CC v Van Zyl</w:t>
      </w:r>
      <w:r w:rsidR="00415848">
        <w:rPr>
          <w:rFonts w:ascii="Arial" w:hAnsi="Arial" w:cs="Arial"/>
          <w:i/>
        </w:rPr>
        <w:t>,</w:t>
      </w:r>
      <w:r w:rsidR="00D21ED6">
        <w:rPr>
          <w:rStyle w:val="FootnoteReference"/>
          <w:rFonts w:ascii="Arial" w:hAnsi="Arial" w:cs="Arial"/>
          <w:i/>
        </w:rPr>
        <w:footnoteReference w:id="25"/>
      </w:r>
      <w:r w:rsidR="00415848">
        <w:rPr>
          <w:rFonts w:ascii="Arial" w:hAnsi="Arial" w:cs="Arial"/>
          <w:i/>
        </w:rPr>
        <w:t xml:space="preserve"> </w:t>
      </w:r>
      <w:r w:rsidR="00415848">
        <w:rPr>
          <w:rFonts w:ascii="Arial" w:hAnsi="Arial" w:cs="Arial"/>
        </w:rPr>
        <w:t>Kathree-Setiloane J opined as follows:</w:t>
      </w:r>
    </w:p>
    <w:p w:rsidR="00415848" w:rsidRPr="001A1404" w:rsidRDefault="00415848" w:rsidP="001A1404">
      <w:pPr>
        <w:spacing w:after="240" w:line="360" w:lineRule="auto"/>
        <w:ind w:left="567"/>
        <w:jc w:val="both"/>
        <w:rPr>
          <w:rFonts w:ascii="Arial" w:hAnsi="Arial" w:cs="Arial"/>
          <w:i/>
          <w:color w:val="242121"/>
          <w:sz w:val="20"/>
          <w:szCs w:val="20"/>
          <w:shd w:val="clear" w:color="auto" w:fill="FFFFFF"/>
        </w:rPr>
      </w:pPr>
      <w:r w:rsidRPr="001A1404">
        <w:rPr>
          <w:rFonts w:ascii="Arial" w:hAnsi="Arial" w:cs="Arial"/>
          <w:i/>
          <w:sz w:val="20"/>
          <w:szCs w:val="20"/>
        </w:rPr>
        <w:t>“In</w:t>
      </w:r>
      <w:r w:rsidRPr="001A1404">
        <w:rPr>
          <w:rFonts w:ascii="Arial" w:hAnsi="Arial" w:cs="Arial"/>
          <w:i/>
          <w:color w:val="242121"/>
          <w:sz w:val="20"/>
          <w:szCs w:val="20"/>
          <w:shd w:val="clear" w:color="auto" w:fill="FFFFFF"/>
        </w:rPr>
        <w:t xml:space="preserve"> my view, there should be no fetter on a court’s discretion to order security for costs. Central to the proper exercise of its discretion is whether the peregrine plaintiff has sufficient or adequate assets to meet any order as to costs, which is available for satisfaction. That enquiry is not limited to the presence of immovable property but must include an enquiry into all assets – including movable assets, both corporeal and incorporeal, if they exist. The principal concern being that an incola defendant should not be left unprotected if ultimately successful in the main action.”</w:t>
      </w:r>
    </w:p>
    <w:p w:rsidR="00133DE4" w:rsidRDefault="00470E1F" w:rsidP="001A1404">
      <w:pPr>
        <w:spacing w:after="240" w:line="360" w:lineRule="auto"/>
        <w:ind w:left="567" w:hanging="567"/>
        <w:jc w:val="both"/>
        <w:rPr>
          <w:rFonts w:ascii="Arial" w:hAnsi="Arial" w:cs="Arial"/>
          <w:color w:val="242121"/>
          <w:shd w:val="clear" w:color="auto" w:fill="FFFFFF"/>
        </w:rPr>
      </w:pPr>
      <w:r w:rsidRPr="00470E1F">
        <w:rPr>
          <w:rFonts w:ascii="Arial" w:hAnsi="Arial" w:cs="Arial"/>
          <w:color w:val="242121"/>
          <w:shd w:val="clear" w:color="auto" w:fill="FFFFFF"/>
        </w:rPr>
        <w:t>[1</w:t>
      </w:r>
      <w:r w:rsidR="001A1404">
        <w:rPr>
          <w:rFonts w:ascii="Arial" w:hAnsi="Arial" w:cs="Arial"/>
          <w:color w:val="242121"/>
          <w:shd w:val="clear" w:color="auto" w:fill="FFFFFF"/>
        </w:rPr>
        <w:t>8</w:t>
      </w:r>
      <w:r w:rsidRPr="00470E1F">
        <w:rPr>
          <w:rFonts w:ascii="Arial" w:hAnsi="Arial" w:cs="Arial"/>
          <w:color w:val="242121"/>
          <w:shd w:val="clear" w:color="auto" w:fill="FFFFFF"/>
        </w:rPr>
        <w:t xml:space="preserve">] </w:t>
      </w:r>
      <w:r w:rsidR="006614CC">
        <w:rPr>
          <w:rFonts w:ascii="Arial" w:hAnsi="Arial" w:cs="Arial"/>
          <w:color w:val="242121"/>
          <w:shd w:val="clear" w:color="auto" w:fill="FFFFFF"/>
        </w:rPr>
        <w:t xml:space="preserve">Having considered the circumstances of this case and in an endeavour to </w:t>
      </w:r>
      <w:r w:rsidR="00D066D6">
        <w:rPr>
          <w:rFonts w:ascii="Arial" w:hAnsi="Arial" w:cs="Arial"/>
          <w:color w:val="242121"/>
          <w:shd w:val="clear" w:color="auto" w:fill="FFFFFF"/>
        </w:rPr>
        <w:t>strike</w:t>
      </w:r>
      <w:r w:rsidR="006614CC">
        <w:rPr>
          <w:rFonts w:ascii="Arial" w:hAnsi="Arial" w:cs="Arial"/>
          <w:color w:val="242121"/>
          <w:shd w:val="clear" w:color="auto" w:fill="FFFFFF"/>
        </w:rPr>
        <w:t xml:space="preserve"> a balance between the interests of the parties, I am not persuaded that the applicant has made out a case against the respondent for </w:t>
      </w:r>
      <w:r w:rsidR="00D066D6">
        <w:rPr>
          <w:rFonts w:ascii="Arial" w:hAnsi="Arial" w:cs="Arial"/>
          <w:color w:val="242121"/>
          <w:shd w:val="clear" w:color="auto" w:fill="FFFFFF"/>
        </w:rPr>
        <w:t>the furnishing of security for costs. The applicant failed to furnish an explanation of his delay in bringing the security application that is sufficiently full to enable this court to understand how it really came about and to assess the plaintiff’s conduct and motives.</w:t>
      </w:r>
      <w:r w:rsidR="00A25C46">
        <w:rPr>
          <w:rStyle w:val="FootnoteReference"/>
          <w:rFonts w:ascii="Arial" w:hAnsi="Arial" w:cs="Arial"/>
          <w:color w:val="242121"/>
          <w:shd w:val="clear" w:color="auto" w:fill="FFFFFF"/>
        </w:rPr>
        <w:footnoteReference w:id="26"/>
      </w:r>
      <w:r w:rsidR="00296BCB">
        <w:rPr>
          <w:rFonts w:ascii="Arial" w:hAnsi="Arial" w:cs="Arial"/>
          <w:color w:val="242121"/>
          <w:shd w:val="clear" w:color="auto" w:fill="FFFFFF"/>
        </w:rPr>
        <w:t xml:space="preserve"> The applicant was not candid in its founding affidavit and failed to mention that he had issued a notice of demand for security in February 2022, giving the impression that the only notice delivered was in September 2022. Neither a full explanation</w:t>
      </w:r>
      <w:r w:rsidR="00036093">
        <w:rPr>
          <w:rFonts w:ascii="Arial" w:hAnsi="Arial" w:cs="Arial"/>
          <w:color w:val="242121"/>
          <w:shd w:val="clear" w:color="auto" w:fill="FFFFFF"/>
        </w:rPr>
        <w:t xml:space="preserve"> was</w:t>
      </w:r>
      <w:r w:rsidR="00296BCB">
        <w:rPr>
          <w:rFonts w:ascii="Arial" w:hAnsi="Arial" w:cs="Arial"/>
          <w:color w:val="242121"/>
          <w:shd w:val="clear" w:color="auto" w:fill="FFFFFF"/>
        </w:rPr>
        <w:t xml:space="preserve"> given why the first notice of demand was not pursued to its logical end nor why the second notice was not delivered </w:t>
      </w:r>
      <w:r w:rsidR="00036093">
        <w:rPr>
          <w:rFonts w:ascii="Arial" w:hAnsi="Arial" w:cs="Arial"/>
          <w:color w:val="242121"/>
          <w:shd w:val="clear" w:color="auto" w:fill="FFFFFF"/>
        </w:rPr>
        <w:t>as soon as practicable after the commencement of proceedings, setting forth the grounds upon which the security was claimed</w:t>
      </w:r>
    </w:p>
    <w:p w:rsidR="00491045" w:rsidRDefault="00133DE4" w:rsidP="001A1404">
      <w:pPr>
        <w:spacing w:after="240" w:line="360" w:lineRule="auto"/>
        <w:ind w:left="567" w:hanging="567"/>
        <w:jc w:val="both"/>
        <w:rPr>
          <w:rFonts w:ascii="Arial" w:hAnsi="Arial" w:cs="Arial"/>
        </w:rPr>
      </w:pPr>
      <w:r>
        <w:rPr>
          <w:rFonts w:ascii="Arial" w:hAnsi="Arial" w:cs="Arial"/>
          <w:color w:val="242121"/>
          <w:shd w:val="clear" w:color="auto" w:fill="FFFFFF"/>
        </w:rPr>
        <w:t>[1</w:t>
      </w:r>
      <w:r w:rsidR="001A1404">
        <w:rPr>
          <w:rFonts w:ascii="Arial" w:hAnsi="Arial" w:cs="Arial"/>
          <w:color w:val="242121"/>
          <w:shd w:val="clear" w:color="auto" w:fill="FFFFFF"/>
        </w:rPr>
        <w:t>9</w:t>
      </w:r>
      <w:r>
        <w:rPr>
          <w:rFonts w:ascii="Arial" w:hAnsi="Arial" w:cs="Arial"/>
          <w:color w:val="242121"/>
          <w:shd w:val="clear" w:color="auto" w:fill="FFFFFF"/>
        </w:rPr>
        <w:t>] On the applicant’s own version</w:t>
      </w:r>
      <w:r w:rsidR="00F16639">
        <w:rPr>
          <w:rFonts w:ascii="Arial" w:hAnsi="Arial" w:cs="Arial"/>
          <w:color w:val="242121"/>
          <w:shd w:val="clear" w:color="auto" w:fill="FFFFFF"/>
        </w:rPr>
        <w:t>,</w:t>
      </w:r>
      <w:r>
        <w:rPr>
          <w:rStyle w:val="FootnoteReference"/>
          <w:rFonts w:ascii="Arial" w:hAnsi="Arial" w:cs="Arial"/>
          <w:color w:val="242121"/>
          <w:shd w:val="clear" w:color="auto" w:fill="FFFFFF"/>
        </w:rPr>
        <w:footnoteReference w:id="27"/>
      </w:r>
      <w:r w:rsidR="00F16639">
        <w:rPr>
          <w:rFonts w:ascii="Arial" w:hAnsi="Arial" w:cs="Arial"/>
        </w:rPr>
        <w:t xml:space="preserve"> the respondent owns sufficient assets to satisfy a costs order as interest was shown in purchasing the aircraft at a price of approximately R1.5 million which is in excess of the R500 000.00 required in the notice of demand. In these circumstances</w:t>
      </w:r>
      <w:r w:rsidR="008D65B7">
        <w:rPr>
          <w:rFonts w:ascii="Arial" w:hAnsi="Arial" w:cs="Arial"/>
        </w:rPr>
        <w:t xml:space="preserve"> and contrary to the applicant’s submissions</w:t>
      </w:r>
      <w:r w:rsidR="00F16639">
        <w:rPr>
          <w:rFonts w:ascii="Arial" w:hAnsi="Arial" w:cs="Arial"/>
        </w:rPr>
        <w:t>, it cannot be said that the responde</w:t>
      </w:r>
      <w:r w:rsidR="008D65B7">
        <w:rPr>
          <w:rFonts w:ascii="Arial" w:hAnsi="Arial" w:cs="Arial"/>
        </w:rPr>
        <w:t>nt’s conduct</w:t>
      </w:r>
      <w:r w:rsidR="00F16639">
        <w:rPr>
          <w:rFonts w:ascii="Arial" w:hAnsi="Arial" w:cs="Arial"/>
        </w:rPr>
        <w:t xml:space="preserve"> is</w:t>
      </w:r>
      <w:r w:rsidR="002F7966">
        <w:rPr>
          <w:rFonts w:ascii="Arial" w:hAnsi="Arial" w:cs="Arial"/>
        </w:rPr>
        <w:t xml:space="preserve"> vexatious or</w:t>
      </w:r>
      <w:r w:rsidR="00F16639">
        <w:rPr>
          <w:rFonts w:ascii="Arial" w:hAnsi="Arial" w:cs="Arial"/>
        </w:rPr>
        <w:t xml:space="preserve"> </w:t>
      </w:r>
      <w:r w:rsidR="00F16639" w:rsidRPr="002F7966">
        <w:rPr>
          <w:rFonts w:ascii="Arial" w:hAnsi="Arial" w:cs="Arial"/>
          <w:i/>
        </w:rPr>
        <w:t>mala fide</w:t>
      </w:r>
      <w:r w:rsidR="002F7966">
        <w:rPr>
          <w:rFonts w:ascii="Arial" w:hAnsi="Arial" w:cs="Arial"/>
        </w:rPr>
        <w:t>.</w:t>
      </w:r>
    </w:p>
    <w:p w:rsidR="002F7966" w:rsidRDefault="002F7966" w:rsidP="001A1404">
      <w:pPr>
        <w:spacing w:after="240" w:line="360" w:lineRule="auto"/>
        <w:ind w:left="567" w:hanging="567"/>
        <w:jc w:val="both"/>
        <w:rPr>
          <w:rFonts w:ascii="Arial" w:hAnsi="Arial" w:cs="Arial"/>
        </w:rPr>
      </w:pPr>
      <w:r>
        <w:rPr>
          <w:rFonts w:ascii="Arial" w:hAnsi="Arial" w:cs="Arial"/>
        </w:rPr>
        <w:t>[</w:t>
      </w:r>
      <w:r w:rsidR="001A1404">
        <w:rPr>
          <w:rFonts w:ascii="Arial" w:hAnsi="Arial" w:cs="Arial"/>
        </w:rPr>
        <w:t>20</w:t>
      </w:r>
      <w:r>
        <w:rPr>
          <w:rFonts w:ascii="Arial" w:hAnsi="Arial" w:cs="Arial"/>
        </w:rPr>
        <w:t>] In the result, the following order is made:</w:t>
      </w:r>
    </w:p>
    <w:p w:rsidR="001A1404" w:rsidRPr="001A1404" w:rsidRDefault="001A1404" w:rsidP="001A1404">
      <w:pPr>
        <w:spacing w:after="240" w:line="360" w:lineRule="auto"/>
        <w:ind w:left="567" w:hanging="567"/>
        <w:jc w:val="both"/>
        <w:rPr>
          <w:rFonts w:ascii="Arial" w:hAnsi="Arial" w:cs="Arial"/>
          <w:b/>
          <w:u w:val="single"/>
        </w:rPr>
      </w:pPr>
      <w:r>
        <w:rPr>
          <w:rFonts w:ascii="Arial" w:hAnsi="Arial" w:cs="Arial"/>
          <w:b/>
          <w:u w:val="single"/>
        </w:rPr>
        <w:t>Order:</w:t>
      </w:r>
    </w:p>
    <w:p w:rsidR="002F7966" w:rsidRPr="00F16639" w:rsidRDefault="002F7966" w:rsidP="00F16639">
      <w:pPr>
        <w:spacing w:after="240" w:line="360" w:lineRule="auto"/>
        <w:jc w:val="both"/>
        <w:rPr>
          <w:rFonts w:ascii="Arial" w:hAnsi="Arial" w:cs="Arial"/>
        </w:rPr>
      </w:pPr>
      <w:r>
        <w:rPr>
          <w:rFonts w:ascii="Arial" w:hAnsi="Arial" w:cs="Arial"/>
        </w:rPr>
        <w:t>The application is dismissed with costs.</w:t>
      </w:r>
    </w:p>
    <w:p w:rsidR="00491045" w:rsidRDefault="00491045" w:rsidP="008632D0">
      <w:pPr>
        <w:jc w:val="both"/>
        <w:rPr>
          <w:rFonts w:ascii="Arial" w:hAnsi="Arial" w:cs="Arial"/>
          <w:color w:val="000000"/>
          <w:lang w:val="en-ZA" w:eastAsia="en-ZA"/>
        </w:rPr>
      </w:pPr>
    </w:p>
    <w:p w:rsidR="00251A7C" w:rsidRDefault="00251A7C" w:rsidP="0035047C">
      <w:pPr>
        <w:pStyle w:val="ListParagraph"/>
        <w:ind w:left="5761"/>
        <w:jc w:val="right"/>
        <w:rPr>
          <w:rFonts w:ascii="Arial" w:hAnsi="Arial" w:cs="Arial"/>
          <w:sz w:val="28"/>
          <w:szCs w:val="28"/>
        </w:rPr>
      </w:pPr>
    </w:p>
    <w:p w:rsidR="005835FE" w:rsidRDefault="002D3664" w:rsidP="0035047C">
      <w:pPr>
        <w:pStyle w:val="ListParagraph"/>
        <w:ind w:left="5761"/>
        <w:jc w:val="right"/>
        <w:rPr>
          <w:rFonts w:ascii="Arial" w:hAnsi="Arial" w:cs="Arial"/>
          <w:sz w:val="28"/>
          <w:szCs w:val="28"/>
        </w:rPr>
      </w:pPr>
      <w:r>
        <w:rPr>
          <w:rFonts w:ascii="Arial" w:hAnsi="Arial" w:cs="Arial"/>
          <w:sz w:val="28"/>
          <w:szCs w:val="28"/>
        </w:rPr>
        <w:t>___</w:t>
      </w:r>
      <w:r w:rsidR="005835FE">
        <w:rPr>
          <w:rFonts w:ascii="Arial" w:hAnsi="Arial" w:cs="Arial"/>
          <w:sz w:val="28"/>
          <w:szCs w:val="28"/>
        </w:rPr>
        <w:t>______________</w:t>
      </w:r>
    </w:p>
    <w:p w:rsidR="005835FE" w:rsidRPr="002B369A" w:rsidRDefault="002B369A" w:rsidP="0035047C">
      <w:pPr>
        <w:jc w:val="right"/>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B369A">
        <w:rPr>
          <w:rFonts w:ascii="Arial" w:hAnsi="Arial" w:cs="Arial"/>
          <w:b/>
          <w:bCs/>
        </w:rPr>
        <w:t>MHLAMBI</w:t>
      </w:r>
      <w:r w:rsidR="0035047C">
        <w:rPr>
          <w:rFonts w:ascii="Arial" w:hAnsi="Arial" w:cs="Arial"/>
          <w:b/>
          <w:bCs/>
        </w:rPr>
        <w:t>,</w:t>
      </w:r>
      <w:r w:rsidRPr="002B369A">
        <w:rPr>
          <w:rFonts w:ascii="Arial" w:hAnsi="Arial" w:cs="Arial"/>
          <w:b/>
          <w:bCs/>
        </w:rPr>
        <w:t xml:space="preserve"> J</w:t>
      </w:r>
    </w:p>
    <w:p w:rsidR="005835FE" w:rsidRPr="00C20DEE" w:rsidRDefault="005835FE" w:rsidP="0035047C">
      <w:pPr>
        <w:jc w:val="right"/>
        <w:rPr>
          <w:rFonts w:ascii="Arial" w:hAnsi="Arial" w:cs="Arial"/>
        </w:rPr>
      </w:pPr>
    </w:p>
    <w:p w:rsidR="005835FE" w:rsidRPr="00C20DEE" w:rsidRDefault="005835FE" w:rsidP="005B271F">
      <w:pPr>
        <w:spacing w:line="360" w:lineRule="auto"/>
        <w:jc w:val="both"/>
        <w:rPr>
          <w:rFonts w:ascii="Arial" w:hAnsi="Arial" w:cs="Arial"/>
        </w:rPr>
      </w:pPr>
    </w:p>
    <w:p w:rsidR="00E5549C" w:rsidRPr="00C20DEE" w:rsidRDefault="005960F0" w:rsidP="00E5549C">
      <w:pPr>
        <w:spacing w:line="360" w:lineRule="auto"/>
        <w:ind w:left="851" w:hanging="851"/>
        <w:rPr>
          <w:rFonts w:ascii="Arial" w:hAnsi="Arial" w:cs="Arial"/>
          <w:color w:val="000000" w:themeColor="text1"/>
        </w:rPr>
      </w:pPr>
      <w:r w:rsidRPr="00C20DEE">
        <w:rPr>
          <w:rFonts w:ascii="Arial" w:hAnsi="Arial" w:cs="Arial"/>
          <w:color w:val="000000" w:themeColor="text1"/>
        </w:rPr>
        <w:t xml:space="preserve">On behalf of </w:t>
      </w:r>
      <w:r w:rsidR="00BA7A5E">
        <w:rPr>
          <w:rFonts w:ascii="Arial" w:hAnsi="Arial" w:cs="Arial"/>
          <w:color w:val="000000" w:themeColor="text1"/>
        </w:rPr>
        <w:t xml:space="preserve">the </w:t>
      </w:r>
      <w:r w:rsidR="00CC139A">
        <w:rPr>
          <w:rFonts w:ascii="Arial" w:hAnsi="Arial" w:cs="Arial"/>
          <w:color w:val="000000" w:themeColor="text1"/>
        </w:rPr>
        <w:t>applicant</w:t>
      </w:r>
      <w:r w:rsidRPr="00C20DEE">
        <w:rPr>
          <w:rFonts w:ascii="Arial" w:hAnsi="Arial" w:cs="Arial"/>
          <w:color w:val="000000" w:themeColor="text1"/>
        </w:rPr>
        <w:t>:</w:t>
      </w:r>
      <w:r w:rsidR="00F24BE3" w:rsidRPr="00C20DEE">
        <w:rPr>
          <w:rFonts w:ascii="Arial" w:hAnsi="Arial" w:cs="Arial"/>
          <w:color w:val="000000" w:themeColor="text1"/>
        </w:rPr>
        <w:t xml:space="preserve">  </w:t>
      </w:r>
      <w:r w:rsidR="009A69BA">
        <w:rPr>
          <w:rFonts w:ascii="Arial" w:hAnsi="Arial" w:cs="Arial"/>
          <w:color w:val="000000" w:themeColor="text1"/>
        </w:rPr>
        <w:t>Adv. J Els</w:t>
      </w:r>
    </w:p>
    <w:p w:rsidR="00E5549C" w:rsidRDefault="005960F0" w:rsidP="002F71C5">
      <w:pPr>
        <w:tabs>
          <w:tab w:val="left" w:pos="2977"/>
        </w:tabs>
        <w:spacing w:line="360" w:lineRule="auto"/>
        <w:ind w:left="851" w:hanging="851"/>
        <w:rPr>
          <w:rFonts w:ascii="Arial" w:hAnsi="Arial" w:cs="Arial"/>
          <w:color w:val="000000" w:themeColor="text1"/>
        </w:rPr>
      </w:pPr>
      <w:r w:rsidRPr="00C20DEE">
        <w:rPr>
          <w:rFonts w:ascii="Arial" w:hAnsi="Arial" w:cs="Arial"/>
          <w:color w:val="000000" w:themeColor="text1"/>
        </w:rPr>
        <w:t>Instructed by:</w:t>
      </w:r>
      <w:r w:rsidR="00F24BE3" w:rsidRPr="00C20DEE">
        <w:rPr>
          <w:rFonts w:ascii="Arial" w:hAnsi="Arial" w:cs="Arial"/>
          <w:color w:val="000000" w:themeColor="text1"/>
        </w:rPr>
        <w:t xml:space="preserve">                </w:t>
      </w:r>
      <w:r w:rsidR="003F410D" w:rsidRPr="00C20DEE">
        <w:rPr>
          <w:rFonts w:ascii="Arial" w:hAnsi="Arial" w:cs="Arial"/>
          <w:color w:val="000000" w:themeColor="text1"/>
        </w:rPr>
        <w:t xml:space="preserve">  </w:t>
      </w:r>
      <w:r w:rsidR="005B56EE">
        <w:rPr>
          <w:rFonts w:ascii="Arial" w:hAnsi="Arial" w:cs="Arial"/>
          <w:color w:val="000000" w:themeColor="text1"/>
        </w:rPr>
        <w:t xml:space="preserve"> </w:t>
      </w:r>
      <w:r w:rsidR="009E06E4">
        <w:rPr>
          <w:rFonts w:ascii="Arial" w:hAnsi="Arial" w:cs="Arial"/>
          <w:color w:val="000000" w:themeColor="text1"/>
        </w:rPr>
        <w:t xml:space="preserve">   </w:t>
      </w:r>
      <w:r w:rsidR="009A69BA">
        <w:rPr>
          <w:rFonts w:ascii="Arial" w:hAnsi="Arial" w:cs="Arial"/>
          <w:color w:val="000000" w:themeColor="text1"/>
        </w:rPr>
        <w:t>McIntyre Van der Post</w:t>
      </w:r>
    </w:p>
    <w:p w:rsidR="005960F0" w:rsidRPr="00C20DEE" w:rsidRDefault="00E5549C" w:rsidP="002F71C5">
      <w:pPr>
        <w:tabs>
          <w:tab w:val="left" w:pos="2977"/>
        </w:tabs>
        <w:spacing w:line="360" w:lineRule="auto"/>
        <w:ind w:left="851" w:hanging="851"/>
        <w:rPr>
          <w:rFonts w:ascii="Arial" w:hAnsi="Arial" w:cs="Arial"/>
          <w:color w:val="000000" w:themeColor="text1"/>
        </w:rPr>
      </w:pPr>
      <w:r>
        <w:rPr>
          <w:rFonts w:ascii="Arial" w:hAnsi="Arial" w:cs="Arial"/>
          <w:color w:val="000000" w:themeColor="text1"/>
        </w:rPr>
        <w:tab/>
        <w:t xml:space="preserve">                           </w:t>
      </w:r>
      <w:r w:rsidR="005B56EE">
        <w:rPr>
          <w:rFonts w:ascii="Arial" w:hAnsi="Arial" w:cs="Arial"/>
          <w:color w:val="000000" w:themeColor="text1"/>
        </w:rPr>
        <w:t xml:space="preserve"> </w:t>
      </w:r>
      <w:r w:rsidR="009E06E4">
        <w:rPr>
          <w:rFonts w:ascii="Arial" w:hAnsi="Arial" w:cs="Arial"/>
          <w:color w:val="000000" w:themeColor="text1"/>
        </w:rPr>
        <w:t xml:space="preserve">  </w:t>
      </w:r>
      <w:r w:rsidR="00804DDE">
        <w:rPr>
          <w:rFonts w:ascii="Arial" w:hAnsi="Arial" w:cs="Arial"/>
          <w:color w:val="000000" w:themeColor="text1"/>
        </w:rPr>
        <w:t xml:space="preserve">12 </w:t>
      </w:r>
      <w:r w:rsidR="009A69BA">
        <w:rPr>
          <w:rFonts w:ascii="Arial" w:hAnsi="Arial" w:cs="Arial"/>
          <w:color w:val="000000" w:themeColor="text1"/>
        </w:rPr>
        <w:t>Barnes Street</w:t>
      </w:r>
    </w:p>
    <w:p w:rsidR="00C20DEE" w:rsidRPr="00C20DEE" w:rsidRDefault="00C20DEE" w:rsidP="002F71C5">
      <w:pPr>
        <w:tabs>
          <w:tab w:val="left" w:pos="2977"/>
        </w:tabs>
        <w:spacing w:line="360" w:lineRule="auto"/>
        <w:ind w:left="851" w:hanging="851"/>
        <w:rPr>
          <w:rFonts w:ascii="Arial" w:hAnsi="Arial" w:cs="Arial"/>
          <w:color w:val="000000" w:themeColor="text1"/>
        </w:rPr>
      </w:pPr>
      <w:r>
        <w:rPr>
          <w:rFonts w:ascii="Arial" w:hAnsi="Arial" w:cs="Arial"/>
          <w:color w:val="000000" w:themeColor="text1"/>
        </w:rPr>
        <w:tab/>
        <w:t xml:space="preserve">                           </w:t>
      </w:r>
      <w:r w:rsidR="009E06E4">
        <w:rPr>
          <w:rFonts w:ascii="Arial" w:hAnsi="Arial" w:cs="Arial"/>
          <w:color w:val="000000" w:themeColor="text1"/>
        </w:rPr>
        <w:t xml:space="preserve">   </w:t>
      </w:r>
      <w:r w:rsidR="00804DDE">
        <w:rPr>
          <w:rFonts w:ascii="Arial" w:hAnsi="Arial" w:cs="Arial"/>
          <w:color w:val="000000" w:themeColor="text1"/>
        </w:rPr>
        <w:t>W</w:t>
      </w:r>
      <w:r w:rsidR="009A69BA">
        <w:rPr>
          <w:rFonts w:ascii="Arial" w:hAnsi="Arial" w:cs="Arial"/>
          <w:color w:val="000000" w:themeColor="text1"/>
        </w:rPr>
        <w:t>estdene</w:t>
      </w:r>
      <w:r w:rsidR="005B56EE">
        <w:rPr>
          <w:rFonts w:ascii="Arial" w:hAnsi="Arial" w:cs="Arial"/>
          <w:color w:val="000000" w:themeColor="text1"/>
        </w:rPr>
        <w:t xml:space="preserve"> </w:t>
      </w:r>
      <w:r w:rsidRPr="00C20DEE">
        <w:rPr>
          <w:rFonts w:ascii="Arial" w:hAnsi="Arial" w:cs="Arial"/>
          <w:color w:val="000000" w:themeColor="text1"/>
        </w:rPr>
        <w:t xml:space="preserve"> </w:t>
      </w:r>
    </w:p>
    <w:p w:rsidR="00E5481E" w:rsidRPr="00C20DEE" w:rsidRDefault="00F24BE3" w:rsidP="009E06E4">
      <w:pPr>
        <w:tabs>
          <w:tab w:val="left" w:pos="2880"/>
        </w:tabs>
        <w:spacing w:line="360" w:lineRule="auto"/>
        <w:ind w:left="851" w:hanging="851"/>
        <w:rPr>
          <w:rFonts w:ascii="Arial" w:hAnsi="Arial" w:cs="Arial"/>
          <w:color w:val="000000" w:themeColor="text1"/>
        </w:rPr>
      </w:pPr>
      <w:r w:rsidRPr="00C20DEE">
        <w:rPr>
          <w:rFonts w:ascii="Arial" w:hAnsi="Arial" w:cs="Arial"/>
          <w:color w:val="000000" w:themeColor="text1"/>
        </w:rPr>
        <w:t xml:space="preserve">                                       </w:t>
      </w:r>
      <w:r w:rsidR="003F410D" w:rsidRPr="00C20DEE">
        <w:rPr>
          <w:rFonts w:ascii="Arial" w:hAnsi="Arial" w:cs="Arial"/>
          <w:color w:val="000000" w:themeColor="text1"/>
        </w:rPr>
        <w:t xml:space="preserve"> </w:t>
      </w:r>
      <w:r w:rsidR="005B56EE">
        <w:rPr>
          <w:rFonts w:ascii="Arial" w:hAnsi="Arial" w:cs="Arial"/>
          <w:color w:val="000000" w:themeColor="text1"/>
        </w:rPr>
        <w:t xml:space="preserve"> </w:t>
      </w:r>
      <w:r w:rsidR="009E06E4">
        <w:rPr>
          <w:rFonts w:ascii="Arial" w:hAnsi="Arial" w:cs="Arial"/>
          <w:color w:val="000000" w:themeColor="text1"/>
        </w:rPr>
        <w:tab/>
      </w:r>
      <w:r w:rsidRPr="00C20DEE">
        <w:rPr>
          <w:rFonts w:ascii="Arial" w:hAnsi="Arial" w:cs="Arial"/>
          <w:color w:val="000000" w:themeColor="text1"/>
        </w:rPr>
        <w:t>Bloemfontein</w:t>
      </w:r>
    </w:p>
    <w:p w:rsidR="00E5481E" w:rsidRPr="00C20DEE" w:rsidRDefault="00E5481E" w:rsidP="007C2356">
      <w:pPr>
        <w:ind w:left="851" w:hanging="851"/>
        <w:rPr>
          <w:rFonts w:ascii="Arial" w:hAnsi="Arial" w:cs="Arial"/>
          <w:color w:val="000000" w:themeColor="text1"/>
        </w:rPr>
      </w:pPr>
    </w:p>
    <w:p w:rsidR="00E5481E" w:rsidRPr="00C20DEE" w:rsidRDefault="00E5481E" w:rsidP="007C2356">
      <w:pPr>
        <w:ind w:left="851" w:hanging="851"/>
        <w:rPr>
          <w:rFonts w:ascii="Arial" w:hAnsi="Arial" w:cs="Arial"/>
          <w:color w:val="000000" w:themeColor="text1"/>
        </w:rPr>
      </w:pPr>
    </w:p>
    <w:p w:rsidR="005960F0" w:rsidRPr="00C20DEE" w:rsidRDefault="005960F0" w:rsidP="002F71C5">
      <w:pPr>
        <w:spacing w:line="360" w:lineRule="auto"/>
        <w:ind w:left="851" w:hanging="851"/>
        <w:rPr>
          <w:rFonts w:ascii="Arial" w:hAnsi="Arial" w:cs="Arial"/>
          <w:color w:val="000000" w:themeColor="text1"/>
        </w:rPr>
      </w:pPr>
      <w:r w:rsidRPr="00C20DEE">
        <w:rPr>
          <w:rFonts w:ascii="Arial" w:hAnsi="Arial" w:cs="Arial"/>
          <w:color w:val="000000" w:themeColor="text1"/>
        </w:rPr>
        <w:t xml:space="preserve">On behalf of </w:t>
      </w:r>
      <w:r w:rsidR="00BA7A5E">
        <w:rPr>
          <w:rFonts w:ascii="Arial" w:hAnsi="Arial" w:cs="Arial"/>
          <w:color w:val="000000" w:themeColor="text1"/>
        </w:rPr>
        <w:t xml:space="preserve">the </w:t>
      </w:r>
      <w:r w:rsidRPr="00C20DEE">
        <w:rPr>
          <w:rFonts w:ascii="Arial" w:hAnsi="Arial" w:cs="Arial"/>
          <w:color w:val="000000" w:themeColor="text1"/>
        </w:rPr>
        <w:t>respondent:</w:t>
      </w:r>
      <w:r w:rsidR="00F24BE3" w:rsidRPr="00C20DEE">
        <w:rPr>
          <w:rFonts w:ascii="Arial" w:hAnsi="Arial" w:cs="Arial"/>
          <w:color w:val="000000" w:themeColor="text1"/>
        </w:rPr>
        <w:t xml:space="preserve"> </w:t>
      </w:r>
      <w:r w:rsidR="003F410D" w:rsidRPr="00C20DEE">
        <w:rPr>
          <w:rFonts w:ascii="Arial" w:hAnsi="Arial" w:cs="Arial"/>
          <w:color w:val="000000" w:themeColor="text1"/>
        </w:rPr>
        <w:t xml:space="preserve"> </w:t>
      </w:r>
      <w:r w:rsidR="00F24BE3" w:rsidRPr="00C20DEE">
        <w:rPr>
          <w:rFonts w:ascii="Arial" w:hAnsi="Arial" w:cs="Arial"/>
          <w:color w:val="000000" w:themeColor="text1"/>
        </w:rPr>
        <w:t>Adv</w:t>
      </w:r>
      <w:r w:rsidR="00CA6CD3">
        <w:rPr>
          <w:rFonts w:ascii="Arial" w:hAnsi="Arial" w:cs="Arial"/>
          <w:color w:val="000000" w:themeColor="text1"/>
        </w:rPr>
        <w:t xml:space="preserve">. </w:t>
      </w:r>
      <w:r w:rsidR="00F24BE3" w:rsidRPr="00C20DEE">
        <w:rPr>
          <w:rFonts w:ascii="Arial" w:hAnsi="Arial" w:cs="Arial"/>
          <w:color w:val="000000" w:themeColor="text1"/>
        </w:rPr>
        <w:t xml:space="preserve"> </w:t>
      </w:r>
      <w:r w:rsidR="005A09B6">
        <w:rPr>
          <w:rFonts w:ascii="Arial" w:hAnsi="Arial" w:cs="Arial"/>
          <w:color w:val="000000" w:themeColor="text1"/>
        </w:rPr>
        <w:t>CD Pienaar</w:t>
      </w:r>
      <w:r w:rsidR="005B56EE">
        <w:rPr>
          <w:rFonts w:ascii="Arial" w:hAnsi="Arial" w:cs="Arial"/>
          <w:color w:val="000000" w:themeColor="text1"/>
        </w:rPr>
        <w:t xml:space="preserve"> </w:t>
      </w:r>
    </w:p>
    <w:p w:rsidR="00D82B1F" w:rsidRPr="00C20DEE" w:rsidRDefault="005960F0" w:rsidP="002F71C5">
      <w:pPr>
        <w:spacing w:line="360" w:lineRule="auto"/>
        <w:rPr>
          <w:rFonts w:ascii="Arial" w:hAnsi="Arial" w:cs="Arial"/>
          <w:color w:val="000000" w:themeColor="text1"/>
        </w:rPr>
      </w:pPr>
      <w:r w:rsidRPr="00C20DEE">
        <w:rPr>
          <w:rFonts w:ascii="Arial" w:hAnsi="Arial" w:cs="Arial"/>
          <w:color w:val="000000" w:themeColor="text1"/>
        </w:rPr>
        <w:t>Instructed by:</w:t>
      </w:r>
      <w:r w:rsidRPr="00C20DEE">
        <w:rPr>
          <w:rFonts w:ascii="Arial" w:hAnsi="Arial" w:cs="Arial"/>
          <w:color w:val="000000" w:themeColor="text1"/>
        </w:rPr>
        <w:tab/>
      </w:r>
      <w:r w:rsidRPr="00C20DEE">
        <w:rPr>
          <w:rFonts w:ascii="Arial" w:hAnsi="Arial" w:cs="Arial"/>
          <w:color w:val="000000" w:themeColor="text1"/>
        </w:rPr>
        <w:tab/>
      </w:r>
      <w:r w:rsidR="006751B4">
        <w:rPr>
          <w:rFonts w:ascii="Arial" w:hAnsi="Arial" w:cs="Arial"/>
          <w:color w:val="000000" w:themeColor="text1"/>
        </w:rPr>
        <w:t xml:space="preserve">    </w:t>
      </w:r>
      <w:r w:rsidR="005A09B6">
        <w:rPr>
          <w:rFonts w:ascii="Arial" w:hAnsi="Arial" w:cs="Arial"/>
          <w:color w:val="000000" w:themeColor="text1"/>
        </w:rPr>
        <w:t>Hendre Conradie INC</w:t>
      </w:r>
    </w:p>
    <w:p w:rsidR="00D82B1F" w:rsidRDefault="00F24BE3" w:rsidP="002F71C5">
      <w:pPr>
        <w:spacing w:line="360" w:lineRule="auto"/>
        <w:rPr>
          <w:rFonts w:ascii="Arial" w:hAnsi="Arial" w:cs="Arial"/>
          <w:color w:val="000000" w:themeColor="text1"/>
        </w:rPr>
      </w:pPr>
      <w:r w:rsidRPr="00C20DEE">
        <w:rPr>
          <w:rFonts w:ascii="Arial" w:hAnsi="Arial" w:cs="Arial"/>
          <w:color w:val="000000" w:themeColor="text1"/>
        </w:rPr>
        <w:t xml:space="preserve">                                           </w:t>
      </w:r>
      <w:r w:rsidR="006751B4">
        <w:rPr>
          <w:rFonts w:ascii="Arial" w:hAnsi="Arial" w:cs="Arial"/>
          <w:color w:val="000000" w:themeColor="text1"/>
        </w:rPr>
        <w:t xml:space="preserve">    </w:t>
      </w:r>
      <w:r w:rsidR="00D82B1F">
        <w:rPr>
          <w:rFonts w:ascii="Arial" w:hAnsi="Arial" w:cs="Arial"/>
          <w:color w:val="000000" w:themeColor="text1"/>
        </w:rPr>
        <w:t>1</w:t>
      </w:r>
      <w:r w:rsidR="00CC139A">
        <w:rPr>
          <w:rFonts w:ascii="Arial" w:hAnsi="Arial" w:cs="Arial"/>
          <w:color w:val="000000" w:themeColor="text1"/>
        </w:rPr>
        <w:t>19 President Reitz</w:t>
      </w:r>
      <w:r w:rsidR="005A09B6">
        <w:rPr>
          <w:rFonts w:ascii="Arial" w:hAnsi="Arial" w:cs="Arial"/>
          <w:color w:val="000000" w:themeColor="text1"/>
        </w:rPr>
        <w:t xml:space="preserve"> Ave</w:t>
      </w:r>
    </w:p>
    <w:p w:rsidR="00D82B1F" w:rsidRDefault="00D82B1F" w:rsidP="002F71C5">
      <w:pPr>
        <w:spacing w:line="360" w:lineRule="auto"/>
        <w:rPr>
          <w:rFonts w:ascii="Arial" w:hAnsi="Arial" w:cs="Arial"/>
          <w:color w:val="000000" w:themeColor="text1"/>
        </w:rPr>
      </w:pPr>
      <w:r>
        <w:rPr>
          <w:rFonts w:ascii="Arial" w:hAnsi="Arial" w:cs="Arial"/>
          <w:color w:val="000000" w:themeColor="text1"/>
        </w:rPr>
        <w:t xml:space="preserve">                                            </w:t>
      </w:r>
      <w:r w:rsidR="006751B4">
        <w:rPr>
          <w:rFonts w:ascii="Arial" w:hAnsi="Arial" w:cs="Arial"/>
          <w:color w:val="000000" w:themeColor="text1"/>
        </w:rPr>
        <w:t xml:space="preserve">   </w:t>
      </w:r>
      <w:r>
        <w:rPr>
          <w:rFonts w:ascii="Arial" w:hAnsi="Arial" w:cs="Arial"/>
          <w:color w:val="000000" w:themeColor="text1"/>
        </w:rPr>
        <w:t>Westdene</w:t>
      </w:r>
    </w:p>
    <w:p w:rsidR="005960F0" w:rsidRPr="00C20DEE" w:rsidRDefault="00D82B1F" w:rsidP="002F71C5">
      <w:pPr>
        <w:spacing w:line="360" w:lineRule="auto"/>
        <w:rPr>
          <w:rFonts w:ascii="Arial" w:hAnsi="Arial" w:cs="Arial"/>
          <w:color w:val="000000" w:themeColor="text1"/>
        </w:rPr>
      </w:pPr>
      <w:r>
        <w:rPr>
          <w:rFonts w:ascii="Arial" w:hAnsi="Arial" w:cs="Arial"/>
          <w:color w:val="000000" w:themeColor="text1"/>
        </w:rPr>
        <w:t xml:space="preserve">                                            </w:t>
      </w:r>
      <w:r w:rsidR="006751B4">
        <w:rPr>
          <w:rFonts w:ascii="Arial" w:hAnsi="Arial" w:cs="Arial"/>
          <w:color w:val="000000" w:themeColor="text1"/>
        </w:rPr>
        <w:t xml:space="preserve">   </w:t>
      </w:r>
      <w:r w:rsidR="00F24BE3" w:rsidRPr="00C20DEE">
        <w:rPr>
          <w:rFonts w:ascii="Arial" w:hAnsi="Arial" w:cs="Arial"/>
          <w:color w:val="000000" w:themeColor="text1"/>
        </w:rPr>
        <w:t>BLOEMFONTEIN</w:t>
      </w:r>
      <w:r w:rsidR="005960F0" w:rsidRPr="00C20DEE">
        <w:rPr>
          <w:rFonts w:ascii="Arial" w:hAnsi="Arial" w:cs="Arial"/>
          <w:color w:val="000000" w:themeColor="text1"/>
        </w:rPr>
        <w:tab/>
      </w:r>
      <w:r w:rsidR="005960F0" w:rsidRPr="00C20DEE">
        <w:rPr>
          <w:rFonts w:ascii="Arial" w:hAnsi="Arial" w:cs="Arial"/>
          <w:color w:val="000000" w:themeColor="text1"/>
        </w:rPr>
        <w:tab/>
      </w:r>
      <w:r w:rsidR="005960F0" w:rsidRPr="00C20DEE">
        <w:rPr>
          <w:rFonts w:ascii="Arial" w:hAnsi="Arial" w:cs="Arial"/>
          <w:color w:val="000000" w:themeColor="text1"/>
        </w:rPr>
        <w:tab/>
      </w:r>
    </w:p>
    <w:p w:rsidR="005960F0" w:rsidRPr="00AE0369" w:rsidRDefault="005960F0" w:rsidP="003F2617">
      <w:pPr>
        <w:spacing w:line="360" w:lineRule="auto"/>
        <w:ind w:left="851" w:hanging="851"/>
        <w:jc w:val="both"/>
        <w:rPr>
          <w:rFonts w:ascii="Arial" w:hAnsi="Arial" w:cs="Arial"/>
          <w:sz w:val="28"/>
          <w:szCs w:val="28"/>
        </w:rPr>
      </w:pPr>
    </w:p>
    <w:sectPr w:rsidR="005960F0" w:rsidRPr="00AE0369" w:rsidSect="00CA6CD3">
      <w:headerReference w:type="default" r:id="rId10"/>
      <w:pgSz w:w="11906" w:h="16838"/>
      <w:pgMar w:top="1440" w:right="1440" w:bottom="164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2EC" w:rsidRDefault="008062EC" w:rsidP="00DA5395">
      <w:r>
        <w:separator/>
      </w:r>
    </w:p>
  </w:endnote>
  <w:endnote w:type="continuationSeparator" w:id="0">
    <w:p w:rsidR="008062EC" w:rsidRDefault="008062EC" w:rsidP="00DA5395">
      <w:r>
        <w:continuationSeparator/>
      </w:r>
    </w:p>
  </w:endnote>
  <w:endnote w:type="continuationNotice" w:id="1">
    <w:p w:rsidR="008062EC" w:rsidRDefault="008062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2EC" w:rsidRDefault="008062EC" w:rsidP="00DA5395">
      <w:r>
        <w:separator/>
      </w:r>
    </w:p>
  </w:footnote>
  <w:footnote w:type="continuationSeparator" w:id="0">
    <w:p w:rsidR="008062EC" w:rsidRDefault="008062EC" w:rsidP="00DA5395">
      <w:r>
        <w:continuationSeparator/>
      </w:r>
    </w:p>
  </w:footnote>
  <w:footnote w:type="continuationNotice" w:id="1">
    <w:p w:rsidR="008062EC" w:rsidRDefault="008062EC"/>
  </w:footnote>
  <w:footnote w:id="2">
    <w:p w:rsidR="00296BCB" w:rsidRPr="00B06CFE" w:rsidRDefault="00296BCB">
      <w:pPr>
        <w:pStyle w:val="FootnoteText"/>
        <w:rPr>
          <w:lang w:val="en-ZA"/>
        </w:rPr>
      </w:pPr>
      <w:r>
        <w:rPr>
          <w:rStyle w:val="FootnoteReference"/>
        </w:rPr>
        <w:footnoteRef/>
      </w:r>
      <w:r>
        <w:t xml:space="preserve"> </w:t>
      </w:r>
      <w:r>
        <w:rPr>
          <w:lang w:val="en-ZA"/>
        </w:rPr>
        <w:t xml:space="preserve">Paragraph 5 of the Applicant’s Founding Affidavit. </w:t>
      </w:r>
    </w:p>
  </w:footnote>
  <w:footnote w:id="3">
    <w:p w:rsidR="00296BCB" w:rsidRPr="00D7041D" w:rsidRDefault="00296BCB">
      <w:pPr>
        <w:pStyle w:val="FootnoteText"/>
        <w:rPr>
          <w:lang w:val="en-ZA"/>
        </w:rPr>
      </w:pPr>
      <w:r>
        <w:rPr>
          <w:rStyle w:val="FootnoteReference"/>
        </w:rPr>
        <w:footnoteRef/>
      </w:r>
      <w:r>
        <w:t xml:space="preserve"> </w:t>
      </w:r>
      <w:r>
        <w:rPr>
          <w:lang w:val="en-ZA"/>
        </w:rPr>
        <w:t>Paragraph 7 of the Applicant’s Founding Affidavit.</w:t>
      </w:r>
    </w:p>
  </w:footnote>
  <w:footnote w:id="4">
    <w:p w:rsidR="00296BCB" w:rsidRPr="00F154B3" w:rsidRDefault="00296BCB">
      <w:pPr>
        <w:pStyle w:val="FootnoteText"/>
        <w:rPr>
          <w:lang w:val="en-ZA"/>
        </w:rPr>
      </w:pPr>
      <w:r>
        <w:rPr>
          <w:rStyle w:val="FootnoteReference"/>
        </w:rPr>
        <w:footnoteRef/>
      </w:r>
      <w:r>
        <w:t xml:space="preserve"> </w:t>
      </w:r>
      <w:r>
        <w:rPr>
          <w:lang w:val="en-ZA"/>
        </w:rPr>
        <w:t>Paragraph 24 of the Applicant’s Founding Affidavit.</w:t>
      </w:r>
    </w:p>
  </w:footnote>
  <w:footnote w:id="5">
    <w:p w:rsidR="00296BCB" w:rsidRPr="00B06CFE" w:rsidRDefault="00296BCB" w:rsidP="00F154B3">
      <w:pPr>
        <w:pStyle w:val="FootnoteText"/>
        <w:rPr>
          <w:lang w:val="en-ZA"/>
        </w:rPr>
      </w:pPr>
      <w:r>
        <w:rPr>
          <w:rStyle w:val="FootnoteReference"/>
        </w:rPr>
        <w:footnoteRef/>
      </w:r>
      <w:r>
        <w:t xml:space="preserve"> </w:t>
      </w:r>
      <w:r>
        <w:rPr>
          <w:lang w:val="en-ZA"/>
        </w:rPr>
        <w:t xml:space="preserve">Paragraph 10 of the Applicant’s Founding Affidavit. </w:t>
      </w:r>
    </w:p>
  </w:footnote>
  <w:footnote w:id="6">
    <w:p w:rsidR="00296BCB" w:rsidRPr="00594EE7" w:rsidRDefault="00296BCB">
      <w:pPr>
        <w:pStyle w:val="FootnoteText"/>
        <w:rPr>
          <w:lang w:val="en-ZA"/>
        </w:rPr>
      </w:pPr>
      <w:r>
        <w:rPr>
          <w:rStyle w:val="FootnoteReference"/>
        </w:rPr>
        <w:footnoteRef/>
      </w:r>
      <w:r>
        <w:t xml:space="preserve"> </w:t>
      </w:r>
      <w:r>
        <w:rPr>
          <w:lang w:val="en-ZA"/>
        </w:rPr>
        <w:t>Paragraph 15 of the Applicant’s Founding Affidavit.</w:t>
      </w:r>
    </w:p>
  </w:footnote>
  <w:footnote w:id="7">
    <w:p w:rsidR="00296BCB" w:rsidRPr="00DA7C86" w:rsidRDefault="00296BCB">
      <w:pPr>
        <w:pStyle w:val="FootnoteText"/>
        <w:rPr>
          <w:lang w:val="en-ZA"/>
        </w:rPr>
      </w:pPr>
      <w:r>
        <w:rPr>
          <w:rStyle w:val="FootnoteReference"/>
        </w:rPr>
        <w:footnoteRef/>
      </w:r>
      <w:r>
        <w:t xml:space="preserve"> </w:t>
      </w:r>
      <w:r>
        <w:rPr>
          <w:lang w:val="en-ZA"/>
        </w:rPr>
        <w:t>Paragraph 13 of the Applicant’s Affidavit.</w:t>
      </w:r>
    </w:p>
  </w:footnote>
  <w:footnote w:id="8">
    <w:p w:rsidR="00296BCB" w:rsidRPr="0078679D" w:rsidRDefault="00296BCB">
      <w:pPr>
        <w:pStyle w:val="FootnoteText"/>
        <w:rPr>
          <w:lang w:val="en-ZA"/>
        </w:rPr>
      </w:pPr>
      <w:r>
        <w:rPr>
          <w:rStyle w:val="FootnoteReference"/>
        </w:rPr>
        <w:footnoteRef/>
      </w:r>
      <w:r>
        <w:t xml:space="preserve"> </w:t>
      </w:r>
      <w:r>
        <w:rPr>
          <w:lang w:val="en-ZA"/>
        </w:rPr>
        <w:t xml:space="preserve">Paragraph 7.4 of the Heads of Argument. </w:t>
      </w:r>
    </w:p>
  </w:footnote>
  <w:footnote w:id="9">
    <w:p w:rsidR="00296BCB" w:rsidRPr="0078679D" w:rsidRDefault="00296BCB">
      <w:pPr>
        <w:pStyle w:val="FootnoteText"/>
        <w:rPr>
          <w:lang w:val="en-ZA"/>
        </w:rPr>
      </w:pPr>
      <w:r>
        <w:rPr>
          <w:rStyle w:val="FootnoteReference"/>
        </w:rPr>
        <w:footnoteRef/>
      </w:r>
      <w:r>
        <w:t xml:space="preserve"> </w:t>
      </w:r>
      <w:r>
        <w:rPr>
          <w:lang w:val="en-ZA"/>
        </w:rPr>
        <w:t>2009 (5) SA 602 (C).</w:t>
      </w:r>
    </w:p>
  </w:footnote>
  <w:footnote w:id="10">
    <w:p w:rsidR="00296BCB" w:rsidRPr="000F2881" w:rsidRDefault="00296BCB">
      <w:pPr>
        <w:pStyle w:val="FootnoteText"/>
        <w:rPr>
          <w:lang w:val="en-ZA"/>
        </w:rPr>
      </w:pPr>
      <w:r>
        <w:rPr>
          <w:rStyle w:val="FootnoteReference"/>
        </w:rPr>
        <w:footnoteRef/>
      </w:r>
      <w:r>
        <w:t xml:space="preserve"> </w:t>
      </w:r>
      <w:r>
        <w:rPr>
          <w:lang w:val="en-ZA"/>
        </w:rPr>
        <w:t xml:space="preserve">Paragraph 8.1 of the Heads of Argument. </w:t>
      </w:r>
    </w:p>
  </w:footnote>
  <w:footnote w:id="11">
    <w:p w:rsidR="00296BCB" w:rsidRPr="00010380" w:rsidRDefault="00296BCB">
      <w:pPr>
        <w:pStyle w:val="FootnoteText"/>
        <w:rPr>
          <w:lang w:val="en-ZA"/>
        </w:rPr>
      </w:pPr>
      <w:r>
        <w:rPr>
          <w:rStyle w:val="FootnoteReference"/>
        </w:rPr>
        <w:footnoteRef/>
      </w:r>
      <w:r w:rsidR="00CF5AD2">
        <w:t xml:space="preserve"> Paragraph 29 of the Replying Affidavit.</w:t>
      </w:r>
    </w:p>
  </w:footnote>
  <w:footnote w:id="12">
    <w:p w:rsidR="00296BCB" w:rsidRPr="008826B9" w:rsidRDefault="00296BCB">
      <w:pPr>
        <w:pStyle w:val="FootnoteText"/>
        <w:rPr>
          <w:lang w:val="en-ZA"/>
        </w:rPr>
      </w:pPr>
      <w:r>
        <w:rPr>
          <w:rStyle w:val="FootnoteReference"/>
        </w:rPr>
        <w:footnoteRef/>
      </w:r>
      <w:r>
        <w:t xml:space="preserve"> </w:t>
      </w:r>
      <w:r w:rsidRPr="00662E73">
        <w:rPr>
          <w:lang w:val="en-ZA"/>
        </w:rPr>
        <w:t>1987 (1) SA 1 (A)</w:t>
      </w:r>
      <w:r>
        <w:rPr>
          <w:lang w:val="en-ZA"/>
        </w:rPr>
        <w:t xml:space="preserve"> D-G.</w:t>
      </w:r>
    </w:p>
  </w:footnote>
  <w:footnote w:id="13">
    <w:p w:rsidR="00296BCB" w:rsidRPr="00671A61" w:rsidRDefault="00296BCB">
      <w:pPr>
        <w:pStyle w:val="FootnoteText"/>
        <w:rPr>
          <w:rFonts w:ascii="Arial" w:hAnsi="Arial" w:cs="Arial"/>
          <w:lang w:val="en-ZA"/>
        </w:rPr>
      </w:pPr>
      <w:r w:rsidRPr="00671A61">
        <w:rPr>
          <w:rStyle w:val="FootnoteReference"/>
          <w:rFonts w:ascii="Arial" w:hAnsi="Arial" w:cs="Arial"/>
        </w:rPr>
        <w:footnoteRef/>
      </w:r>
      <w:r w:rsidRPr="00671A61">
        <w:rPr>
          <w:rFonts w:ascii="Arial" w:hAnsi="Arial" w:cs="Arial"/>
        </w:rPr>
        <w:t xml:space="preserve"> </w:t>
      </w:r>
      <w:r>
        <w:rPr>
          <w:rFonts w:ascii="Arial" w:hAnsi="Arial" w:cs="Arial"/>
        </w:rPr>
        <w:t>Barker v Bishops Diocesan College and Others 2019 (4) SA 1 (WCC).</w:t>
      </w:r>
    </w:p>
  </w:footnote>
  <w:footnote w:id="14">
    <w:p w:rsidR="00296BCB" w:rsidRPr="00671A61" w:rsidRDefault="00296BCB">
      <w:pPr>
        <w:pStyle w:val="FootnoteText"/>
        <w:rPr>
          <w:rFonts w:ascii="Arial" w:hAnsi="Arial" w:cs="Arial"/>
          <w:lang w:val="en-ZA"/>
        </w:rPr>
      </w:pPr>
      <w:r w:rsidRPr="00671A61">
        <w:rPr>
          <w:rStyle w:val="FootnoteReference"/>
          <w:rFonts w:ascii="Arial" w:hAnsi="Arial" w:cs="Arial"/>
        </w:rPr>
        <w:footnoteRef/>
      </w:r>
      <w:r w:rsidRPr="00671A61">
        <w:rPr>
          <w:rFonts w:ascii="Arial" w:hAnsi="Arial" w:cs="Arial"/>
        </w:rPr>
        <w:t xml:space="preserve"> </w:t>
      </w:r>
      <w:r w:rsidRPr="00671A61">
        <w:rPr>
          <w:rFonts w:ascii="Arial" w:hAnsi="Arial" w:cs="Arial"/>
          <w:lang w:val="en-ZA"/>
        </w:rPr>
        <w:t xml:space="preserve">1998 (3) SA 1036 (SCA). </w:t>
      </w:r>
    </w:p>
  </w:footnote>
  <w:footnote w:id="15">
    <w:p w:rsidR="00296BCB" w:rsidRPr="00671A61" w:rsidRDefault="00296BCB">
      <w:pPr>
        <w:pStyle w:val="FootnoteText"/>
        <w:rPr>
          <w:rFonts w:ascii="Arial" w:hAnsi="Arial" w:cs="Arial"/>
          <w:lang w:val="en-ZA"/>
        </w:rPr>
      </w:pPr>
      <w:r w:rsidRPr="00671A61">
        <w:rPr>
          <w:rStyle w:val="FootnoteReference"/>
          <w:rFonts w:ascii="Arial" w:hAnsi="Arial" w:cs="Arial"/>
        </w:rPr>
        <w:footnoteRef/>
      </w:r>
      <w:r w:rsidRPr="00671A61">
        <w:rPr>
          <w:rFonts w:ascii="Arial" w:hAnsi="Arial" w:cs="Arial"/>
        </w:rPr>
        <w:t xml:space="preserve"> </w:t>
      </w:r>
      <w:r w:rsidRPr="00671A61">
        <w:rPr>
          <w:rFonts w:ascii="Arial" w:hAnsi="Arial" w:cs="Arial"/>
          <w:bCs/>
          <w:i/>
          <w:color w:val="000000"/>
        </w:rPr>
        <w:t>2007 (5) SA 525 (CC).</w:t>
      </w:r>
    </w:p>
  </w:footnote>
  <w:footnote w:id="16">
    <w:p w:rsidR="00296BCB" w:rsidRPr="001C6B3D" w:rsidRDefault="00296BCB">
      <w:pPr>
        <w:pStyle w:val="FootnoteText"/>
        <w:rPr>
          <w:lang w:val="en-ZA"/>
        </w:rPr>
      </w:pPr>
      <w:r>
        <w:rPr>
          <w:rStyle w:val="FootnoteReference"/>
        </w:rPr>
        <w:footnoteRef/>
      </w:r>
      <w:r>
        <w:t xml:space="preserve"> </w:t>
      </w:r>
      <w:r>
        <w:rPr>
          <w:lang w:val="en-ZA"/>
        </w:rPr>
        <w:t>Paragraph 5 of the applicant’s founding affidavit.</w:t>
      </w:r>
    </w:p>
  </w:footnote>
  <w:footnote w:id="17">
    <w:p w:rsidR="00296BCB" w:rsidRPr="00E058D4" w:rsidRDefault="00296BCB">
      <w:pPr>
        <w:pStyle w:val="FootnoteText"/>
        <w:rPr>
          <w:lang w:val="en-ZA"/>
        </w:rPr>
      </w:pPr>
      <w:r>
        <w:rPr>
          <w:rStyle w:val="FootnoteReference"/>
        </w:rPr>
        <w:footnoteRef/>
      </w:r>
      <w:r>
        <w:t xml:space="preserve"> </w:t>
      </w:r>
      <w:r>
        <w:rPr>
          <w:lang w:val="en-ZA"/>
        </w:rPr>
        <w:t>Paragraph 7 of the applicant’s founding affidavit.</w:t>
      </w:r>
    </w:p>
  </w:footnote>
  <w:footnote w:id="18">
    <w:p w:rsidR="00296BCB" w:rsidRPr="001030E7" w:rsidRDefault="00296BCB">
      <w:pPr>
        <w:pStyle w:val="FootnoteText"/>
        <w:rPr>
          <w:lang w:val="en-ZA"/>
        </w:rPr>
      </w:pPr>
      <w:r>
        <w:rPr>
          <w:rStyle w:val="FootnoteReference"/>
        </w:rPr>
        <w:footnoteRef/>
      </w:r>
      <w:r>
        <w:t xml:space="preserve"> </w:t>
      </w:r>
      <w:r>
        <w:rPr>
          <w:lang w:val="en-ZA"/>
        </w:rPr>
        <w:t>Paragraph 56 of the respondent’s heads of argument.</w:t>
      </w:r>
    </w:p>
  </w:footnote>
  <w:footnote w:id="19">
    <w:p w:rsidR="00296BCB" w:rsidRPr="00313D1F" w:rsidRDefault="00296BCB">
      <w:pPr>
        <w:pStyle w:val="FootnoteText"/>
        <w:rPr>
          <w:lang w:val="en-ZA"/>
        </w:rPr>
      </w:pPr>
      <w:r>
        <w:rPr>
          <w:rStyle w:val="FootnoteReference"/>
        </w:rPr>
        <w:footnoteRef/>
      </w:r>
      <w:r>
        <w:t xml:space="preserve"> </w:t>
      </w:r>
      <w:r>
        <w:rPr>
          <w:lang w:val="en-ZA"/>
        </w:rPr>
        <w:t>Paragraph 24 of the applicant’s founding affidavit.</w:t>
      </w:r>
    </w:p>
  </w:footnote>
  <w:footnote w:id="20">
    <w:p w:rsidR="00296BCB" w:rsidRPr="003D4E96" w:rsidRDefault="00296BCB">
      <w:pPr>
        <w:pStyle w:val="FootnoteText"/>
        <w:rPr>
          <w:lang w:val="en-ZA"/>
        </w:rPr>
      </w:pPr>
      <w:r>
        <w:rPr>
          <w:rStyle w:val="FootnoteReference"/>
        </w:rPr>
        <w:footnoteRef/>
      </w:r>
      <w:r>
        <w:t xml:space="preserve"> </w:t>
      </w:r>
      <w:r>
        <w:rPr>
          <w:lang w:val="en-ZA"/>
        </w:rPr>
        <w:t>Annexure SFC2 to the Answering Affidavit.</w:t>
      </w:r>
    </w:p>
  </w:footnote>
  <w:footnote w:id="21">
    <w:p w:rsidR="00296BCB" w:rsidRPr="00D84A09" w:rsidRDefault="00296BCB">
      <w:pPr>
        <w:pStyle w:val="FootnoteText"/>
        <w:rPr>
          <w:lang w:val="en-ZA"/>
        </w:rPr>
      </w:pPr>
      <w:r>
        <w:rPr>
          <w:rStyle w:val="FootnoteReference"/>
        </w:rPr>
        <w:footnoteRef/>
      </w:r>
      <w:r>
        <w:t xml:space="preserve"> </w:t>
      </w:r>
      <w:r>
        <w:rPr>
          <w:lang w:val="en-ZA"/>
        </w:rPr>
        <w:t>Paragraphs 38-40 of the Answering Affidavit.</w:t>
      </w:r>
    </w:p>
  </w:footnote>
  <w:footnote w:id="22">
    <w:p w:rsidR="00296BCB" w:rsidRPr="0095267C" w:rsidRDefault="00296BCB">
      <w:pPr>
        <w:pStyle w:val="FootnoteText"/>
        <w:rPr>
          <w:lang w:val="en-ZA"/>
        </w:rPr>
      </w:pPr>
      <w:r>
        <w:rPr>
          <w:rStyle w:val="FootnoteReference"/>
        </w:rPr>
        <w:footnoteRef/>
      </w:r>
      <w:r>
        <w:t xml:space="preserve"> </w:t>
      </w:r>
      <w:r>
        <w:rPr>
          <w:lang w:val="en-ZA"/>
        </w:rPr>
        <w:t>Paragraph 42 of the Answering Affidavit.</w:t>
      </w:r>
    </w:p>
  </w:footnote>
  <w:footnote w:id="23">
    <w:p w:rsidR="00296BCB" w:rsidRPr="00663516" w:rsidRDefault="00296BCB">
      <w:pPr>
        <w:pStyle w:val="FootnoteText"/>
        <w:rPr>
          <w:lang w:val="en-ZA"/>
        </w:rPr>
      </w:pPr>
      <w:r>
        <w:rPr>
          <w:rStyle w:val="FootnoteReference"/>
        </w:rPr>
        <w:footnoteRef/>
      </w:r>
      <w:r>
        <w:t xml:space="preserve"> </w:t>
      </w:r>
      <w:r>
        <w:rPr>
          <w:lang w:val="en-ZA"/>
        </w:rPr>
        <w:t>Paragraphs 29 and 30 of the Replying Affidavit.</w:t>
      </w:r>
    </w:p>
  </w:footnote>
  <w:footnote w:id="24">
    <w:p w:rsidR="00296BCB" w:rsidRPr="005E3597" w:rsidRDefault="00296BCB">
      <w:pPr>
        <w:pStyle w:val="FootnoteText"/>
        <w:rPr>
          <w:lang w:val="en-ZA"/>
        </w:rPr>
      </w:pPr>
      <w:r>
        <w:rPr>
          <w:rStyle w:val="FootnoteReference"/>
        </w:rPr>
        <w:footnoteRef/>
      </w:r>
      <w:r>
        <w:t xml:space="preserve"> </w:t>
      </w:r>
      <w:r>
        <w:rPr>
          <w:lang w:val="en-ZA"/>
        </w:rPr>
        <w:t>Paragraph 4.10 of the applicant’s Heads of argument. Paragraph 13e of the Answering Affidavit.</w:t>
      </w:r>
    </w:p>
  </w:footnote>
  <w:footnote w:id="25">
    <w:p w:rsidR="00296BCB" w:rsidRPr="00D21ED6" w:rsidRDefault="00296BCB">
      <w:pPr>
        <w:pStyle w:val="FootnoteText"/>
        <w:rPr>
          <w:lang w:val="en-ZA"/>
        </w:rPr>
      </w:pPr>
      <w:r>
        <w:rPr>
          <w:rStyle w:val="FootnoteReference"/>
        </w:rPr>
        <w:footnoteRef/>
      </w:r>
      <w:r>
        <w:t xml:space="preserve"> </w:t>
      </w:r>
      <w:r>
        <w:rPr>
          <w:lang w:val="en-ZA"/>
        </w:rPr>
        <w:t>2017 JDR 0583 (GJ) para 14.</w:t>
      </w:r>
    </w:p>
  </w:footnote>
  <w:footnote w:id="26">
    <w:p w:rsidR="00296BCB" w:rsidRPr="00A25C46" w:rsidRDefault="00296BCB">
      <w:pPr>
        <w:pStyle w:val="FootnoteText"/>
        <w:rPr>
          <w:lang w:val="en-ZA"/>
        </w:rPr>
      </w:pPr>
      <w:r>
        <w:rPr>
          <w:rStyle w:val="FootnoteReference"/>
        </w:rPr>
        <w:footnoteRef/>
      </w:r>
      <w:r>
        <w:t xml:space="preserve"> </w:t>
      </w:r>
      <w:r>
        <w:rPr>
          <w:lang w:val="en-ZA"/>
        </w:rPr>
        <w:t>Christoffel Botha t/a Tax Consulting SA v Renwick [2021] JOL 50197 GJ para 52.</w:t>
      </w:r>
    </w:p>
  </w:footnote>
  <w:footnote w:id="27">
    <w:p w:rsidR="00133DE4" w:rsidRPr="00133DE4" w:rsidRDefault="00133DE4">
      <w:pPr>
        <w:pStyle w:val="FootnoteText"/>
        <w:rPr>
          <w:lang w:val="en-ZA"/>
        </w:rPr>
      </w:pPr>
      <w:r>
        <w:rPr>
          <w:rStyle w:val="FootnoteReference"/>
        </w:rPr>
        <w:footnoteRef/>
      </w:r>
      <w:r>
        <w:t xml:space="preserve"> </w:t>
      </w:r>
      <w:r>
        <w:rPr>
          <w:lang w:val="en-ZA"/>
        </w:rPr>
        <w:t>Paragraph</w:t>
      </w:r>
      <w:r w:rsidR="000F200E">
        <w:rPr>
          <w:lang w:val="en-ZA"/>
        </w:rPr>
        <w:t xml:space="preserve"> 29 of the Replying affidavbit.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BCB" w:rsidRDefault="008062EC">
    <w:pPr>
      <w:pStyle w:val="Header"/>
      <w:jc w:val="right"/>
    </w:pPr>
    <w:sdt>
      <w:sdtPr>
        <w:id w:val="1641074034"/>
        <w:docPartObj>
          <w:docPartGallery w:val="Page Numbers (Top of Page)"/>
          <w:docPartUnique/>
        </w:docPartObj>
      </w:sdtPr>
      <w:sdtEndPr>
        <w:rPr>
          <w:noProof/>
        </w:rPr>
      </w:sdtEndPr>
      <w:sdtContent>
        <w:r w:rsidR="00296BCB">
          <w:fldChar w:fldCharType="begin"/>
        </w:r>
        <w:r w:rsidR="00296BCB">
          <w:instrText xml:space="preserve"> PAGE   \* MERGEFORMAT </w:instrText>
        </w:r>
        <w:r w:rsidR="00296BCB">
          <w:fldChar w:fldCharType="separate"/>
        </w:r>
        <w:r w:rsidR="00075F25">
          <w:rPr>
            <w:noProof/>
          </w:rPr>
          <w:t>9</w:t>
        </w:r>
        <w:r w:rsidR="00296BCB">
          <w:rPr>
            <w:noProof/>
          </w:rPr>
          <w:fldChar w:fldCharType="end"/>
        </w:r>
      </w:sdtContent>
    </w:sdt>
  </w:p>
  <w:p w:rsidR="00296BCB" w:rsidRDefault="00296BC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36233"/>
    <w:multiLevelType w:val="hybridMultilevel"/>
    <w:tmpl w:val="3FAE639E"/>
    <w:lvl w:ilvl="0" w:tplc="0F8478AC">
      <w:start w:val="1"/>
      <w:numFmt w:val="decimal"/>
      <w:lvlText w:val="[%1]"/>
      <w:lvlJc w:val="left"/>
      <w:pPr>
        <w:ind w:left="720" w:hanging="360"/>
      </w:pPr>
      <w:rPr>
        <w:rFonts w:hint="default"/>
        <w:strike w:val="0"/>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99820F1"/>
    <w:multiLevelType w:val="multilevel"/>
    <w:tmpl w:val="F26A4DA0"/>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AC35F5B"/>
    <w:multiLevelType w:val="hybridMultilevel"/>
    <w:tmpl w:val="04BCFFB0"/>
    <w:lvl w:ilvl="0" w:tplc="CF1AD304">
      <w:start w:val="89"/>
      <w:numFmt w:val="decimal"/>
      <w:lvlText w:val="%1"/>
      <w:lvlJc w:val="left"/>
      <w:pPr>
        <w:ind w:left="309"/>
      </w:pPr>
      <w:rPr>
        <w:rFonts w:ascii="Verdana" w:eastAsia="Verdana" w:hAnsi="Verdana" w:cs="Verdana"/>
        <w:b/>
        <w:bCs/>
        <w:i w:val="0"/>
        <w:strike w:val="0"/>
        <w:dstrike w:val="0"/>
        <w:color w:val="000000"/>
        <w:sz w:val="15"/>
        <w:szCs w:val="15"/>
        <w:u w:val="none" w:color="000000"/>
        <w:bdr w:val="none" w:sz="0" w:space="0" w:color="auto"/>
        <w:shd w:val="clear" w:color="auto" w:fill="auto"/>
        <w:vertAlign w:val="baseline"/>
      </w:rPr>
    </w:lvl>
    <w:lvl w:ilvl="1" w:tplc="DAA452BA">
      <w:start w:val="1"/>
      <w:numFmt w:val="decimal"/>
      <w:lvlText w:val="(%2)"/>
      <w:lvlJc w:val="left"/>
      <w:pPr>
        <w:ind w:left="72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2" w:tplc="43AEDF7C">
      <w:start w:val="1"/>
      <w:numFmt w:val="lowerLetter"/>
      <w:lvlText w:val="(%3)"/>
      <w:lvlJc w:val="left"/>
      <w:pPr>
        <w:ind w:left="1824"/>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3" w:tplc="5288A39C">
      <w:start w:val="1"/>
      <w:numFmt w:val="decimal"/>
      <w:lvlText w:val="%4"/>
      <w:lvlJc w:val="left"/>
      <w:pPr>
        <w:ind w:left="155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4" w:tplc="11B4914C">
      <w:start w:val="1"/>
      <w:numFmt w:val="lowerLetter"/>
      <w:lvlText w:val="%5"/>
      <w:lvlJc w:val="left"/>
      <w:pPr>
        <w:ind w:left="227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5" w:tplc="81D43A5C">
      <w:start w:val="1"/>
      <w:numFmt w:val="lowerRoman"/>
      <w:lvlText w:val="%6"/>
      <w:lvlJc w:val="left"/>
      <w:pPr>
        <w:ind w:left="299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6" w:tplc="31D87456">
      <w:start w:val="1"/>
      <w:numFmt w:val="decimal"/>
      <w:lvlText w:val="%7"/>
      <w:lvlJc w:val="left"/>
      <w:pPr>
        <w:ind w:left="371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7" w:tplc="937EE536">
      <w:start w:val="1"/>
      <w:numFmt w:val="lowerLetter"/>
      <w:lvlText w:val="%8"/>
      <w:lvlJc w:val="left"/>
      <w:pPr>
        <w:ind w:left="443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8" w:tplc="0F5A62E8">
      <w:start w:val="1"/>
      <w:numFmt w:val="lowerRoman"/>
      <w:lvlText w:val="%9"/>
      <w:lvlJc w:val="left"/>
      <w:pPr>
        <w:ind w:left="515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abstractNum>
  <w:abstractNum w:abstractNumId="3" w15:restartNumberingAfterBreak="0">
    <w:nsid w:val="280322DE"/>
    <w:multiLevelType w:val="hybridMultilevel"/>
    <w:tmpl w:val="466642E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AFD5810"/>
    <w:multiLevelType w:val="hybridMultilevel"/>
    <w:tmpl w:val="8668C52A"/>
    <w:lvl w:ilvl="0" w:tplc="1C09000F">
      <w:start w:val="1"/>
      <w:numFmt w:val="decimal"/>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E3A2127"/>
    <w:multiLevelType w:val="hybridMultilevel"/>
    <w:tmpl w:val="DB00352C"/>
    <w:lvl w:ilvl="0" w:tplc="B15A36D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305F77F1"/>
    <w:multiLevelType w:val="hybridMultilevel"/>
    <w:tmpl w:val="78329DF2"/>
    <w:lvl w:ilvl="0" w:tplc="3F60C0EA">
      <w:start w:val="1"/>
      <w:numFmt w:val="decimal"/>
      <w:lvlText w:val="%1."/>
      <w:lvlJc w:val="left"/>
      <w:pPr>
        <w:ind w:left="644" w:hanging="360"/>
      </w:pPr>
      <w:rPr>
        <w:rFonts w:hint="default"/>
        <w:i w:val="0"/>
      </w:rPr>
    </w:lvl>
    <w:lvl w:ilvl="1" w:tplc="CC0A19C6">
      <w:start w:val="1"/>
      <w:numFmt w:val="lowerLetter"/>
      <w:lvlText w:val="%2."/>
      <w:lvlJc w:val="left"/>
      <w:pPr>
        <w:ind w:left="1440" w:hanging="360"/>
      </w:pPr>
      <w:rPr>
        <w:sz w:val="20"/>
        <w:szCs w:val="20"/>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1F24E39"/>
    <w:multiLevelType w:val="hybridMultilevel"/>
    <w:tmpl w:val="EB88530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1442E51"/>
    <w:multiLevelType w:val="hybridMultilevel"/>
    <w:tmpl w:val="C0B205E6"/>
    <w:lvl w:ilvl="0" w:tplc="B5D2CCC6">
      <w:start w:val="1"/>
      <w:numFmt w:val="decimal"/>
      <w:lvlText w:val="%1."/>
      <w:lvlJc w:val="left"/>
      <w:pPr>
        <w:ind w:left="554" w:hanging="360"/>
      </w:pPr>
      <w:rPr>
        <w:rFonts w:ascii="Arial" w:eastAsia="Times New Roman" w:hAnsi="Arial" w:cs="Arial"/>
      </w:rPr>
    </w:lvl>
    <w:lvl w:ilvl="1" w:tplc="1C090019" w:tentative="1">
      <w:start w:val="1"/>
      <w:numFmt w:val="lowerLetter"/>
      <w:lvlText w:val="%2."/>
      <w:lvlJc w:val="left"/>
      <w:pPr>
        <w:ind w:left="1274" w:hanging="360"/>
      </w:pPr>
    </w:lvl>
    <w:lvl w:ilvl="2" w:tplc="1C09001B" w:tentative="1">
      <w:start w:val="1"/>
      <w:numFmt w:val="lowerRoman"/>
      <w:lvlText w:val="%3."/>
      <w:lvlJc w:val="right"/>
      <w:pPr>
        <w:ind w:left="1994" w:hanging="180"/>
      </w:pPr>
    </w:lvl>
    <w:lvl w:ilvl="3" w:tplc="1C09000F" w:tentative="1">
      <w:start w:val="1"/>
      <w:numFmt w:val="decimal"/>
      <w:lvlText w:val="%4."/>
      <w:lvlJc w:val="left"/>
      <w:pPr>
        <w:ind w:left="2714" w:hanging="360"/>
      </w:pPr>
    </w:lvl>
    <w:lvl w:ilvl="4" w:tplc="1C090019" w:tentative="1">
      <w:start w:val="1"/>
      <w:numFmt w:val="lowerLetter"/>
      <w:lvlText w:val="%5."/>
      <w:lvlJc w:val="left"/>
      <w:pPr>
        <w:ind w:left="3434" w:hanging="360"/>
      </w:pPr>
    </w:lvl>
    <w:lvl w:ilvl="5" w:tplc="1C09001B" w:tentative="1">
      <w:start w:val="1"/>
      <w:numFmt w:val="lowerRoman"/>
      <w:lvlText w:val="%6."/>
      <w:lvlJc w:val="right"/>
      <w:pPr>
        <w:ind w:left="4154" w:hanging="180"/>
      </w:pPr>
    </w:lvl>
    <w:lvl w:ilvl="6" w:tplc="1C09000F" w:tentative="1">
      <w:start w:val="1"/>
      <w:numFmt w:val="decimal"/>
      <w:lvlText w:val="%7."/>
      <w:lvlJc w:val="left"/>
      <w:pPr>
        <w:ind w:left="4874" w:hanging="360"/>
      </w:pPr>
    </w:lvl>
    <w:lvl w:ilvl="7" w:tplc="1C090019" w:tentative="1">
      <w:start w:val="1"/>
      <w:numFmt w:val="lowerLetter"/>
      <w:lvlText w:val="%8."/>
      <w:lvlJc w:val="left"/>
      <w:pPr>
        <w:ind w:left="5594" w:hanging="360"/>
      </w:pPr>
    </w:lvl>
    <w:lvl w:ilvl="8" w:tplc="1C09001B" w:tentative="1">
      <w:start w:val="1"/>
      <w:numFmt w:val="lowerRoman"/>
      <w:lvlText w:val="%9."/>
      <w:lvlJc w:val="right"/>
      <w:pPr>
        <w:ind w:left="6314" w:hanging="180"/>
      </w:pPr>
    </w:lvl>
  </w:abstractNum>
  <w:abstractNum w:abstractNumId="9" w15:restartNumberingAfterBreak="0">
    <w:nsid w:val="6A423919"/>
    <w:multiLevelType w:val="hybridMultilevel"/>
    <w:tmpl w:val="81F40AC8"/>
    <w:lvl w:ilvl="0" w:tplc="888CEBCC">
      <w:start w:val="1"/>
      <w:numFmt w:val="decimal"/>
      <w:lvlText w:val="%1."/>
      <w:lvlJc w:val="left"/>
      <w:pPr>
        <w:ind w:left="1004" w:hanging="360"/>
      </w:pPr>
      <w:rPr>
        <w:rFonts w:hint="default"/>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10" w15:restartNumberingAfterBreak="0">
    <w:nsid w:val="6BE03973"/>
    <w:multiLevelType w:val="hybridMultilevel"/>
    <w:tmpl w:val="64DEFACA"/>
    <w:lvl w:ilvl="0" w:tplc="61EE402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E0C21EF"/>
    <w:multiLevelType w:val="multilevel"/>
    <w:tmpl w:val="206C2698"/>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5"/>
  </w:num>
  <w:num w:numId="3">
    <w:abstractNumId w:val="8"/>
  </w:num>
  <w:num w:numId="4">
    <w:abstractNumId w:val="0"/>
  </w:num>
  <w:num w:numId="5">
    <w:abstractNumId w:val="1"/>
  </w:num>
  <w:num w:numId="6">
    <w:abstractNumId w:val="11"/>
  </w:num>
  <w:num w:numId="7">
    <w:abstractNumId w:val="6"/>
  </w:num>
  <w:num w:numId="8">
    <w:abstractNumId w:val="9"/>
  </w:num>
  <w:num w:numId="9">
    <w:abstractNumId w:val="2"/>
  </w:num>
  <w:num w:numId="10">
    <w:abstractNumId w:val="3"/>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GyMLcwMjIxNzQzNzZQ0lEKTi0uzszPAykwNKsFAElR+I0tAAAA"/>
  </w:docVars>
  <w:rsids>
    <w:rsidRoot w:val="007C348D"/>
    <w:rsid w:val="00010380"/>
    <w:rsid w:val="000111F4"/>
    <w:rsid w:val="00013A3F"/>
    <w:rsid w:val="00017C1A"/>
    <w:rsid w:val="0002217F"/>
    <w:rsid w:val="000237D5"/>
    <w:rsid w:val="000312FA"/>
    <w:rsid w:val="00036093"/>
    <w:rsid w:val="00037432"/>
    <w:rsid w:val="00041CD0"/>
    <w:rsid w:val="00047074"/>
    <w:rsid w:val="00056043"/>
    <w:rsid w:val="00056E59"/>
    <w:rsid w:val="00056F05"/>
    <w:rsid w:val="00063844"/>
    <w:rsid w:val="00065F40"/>
    <w:rsid w:val="00067989"/>
    <w:rsid w:val="000712B0"/>
    <w:rsid w:val="00075F25"/>
    <w:rsid w:val="000769AB"/>
    <w:rsid w:val="00076CB8"/>
    <w:rsid w:val="00077E52"/>
    <w:rsid w:val="00080924"/>
    <w:rsid w:val="00080ACE"/>
    <w:rsid w:val="00082A3D"/>
    <w:rsid w:val="00085FA9"/>
    <w:rsid w:val="000A016A"/>
    <w:rsid w:val="000A4558"/>
    <w:rsid w:val="000A52BA"/>
    <w:rsid w:val="000A647C"/>
    <w:rsid w:val="000A7424"/>
    <w:rsid w:val="000B7255"/>
    <w:rsid w:val="000B7705"/>
    <w:rsid w:val="000C66EC"/>
    <w:rsid w:val="000C72FC"/>
    <w:rsid w:val="000C747A"/>
    <w:rsid w:val="000C77F8"/>
    <w:rsid w:val="000C7CAF"/>
    <w:rsid w:val="000D68EE"/>
    <w:rsid w:val="000E5025"/>
    <w:rsid w:val="000E7BB3"/>
    <w:rsid w:val="000F0D5A"/>
    <w:rsid w:val="000F200E"/>
    <w:rsid w:val="000F2881"/>
    <w:rsid w:val="000F713E"/>
    <w:rsid w:val="00101B7F"/>
    <w:rsid w:val="00101FFF"/>
    <w:rsid w:val="00102312"/>
    <w:rsid w:val="001030E7"/>
    <w:rsid w:val="0010369D"/>
    <w:rsid w:val="001036C0"/>
    <w:rsid w:val="0011692D"/>
    <w:rsid w:val="00122559"/>
    <w:rsid w:val="00131CF1"/>
    <w:rsid w:val="00133DE4"/>
    <w:rsid w:val="00134B44"/>
    <w:rsid w:val="00136A1F"/>
    <w:rsid w:val="00141DCC"/>
    <w:rsid w:val="00143AAA"/>
    <w:rsid w:val="00147796"/>
    <w:rsid w:val="001479EF"/>
    <w:rsid w:val="00153BD2"/>
    <w:rsid w:val="001575AF"/>
    <w:rsid w:val="0016393F"/>
    <w:rsid w:val="001842DC"/>
    <w:rsid w:val="00187391"/>
    <w:rsid w:val="00196B60"/>
    <w:rsid w:val="001A0324"/>
    <w:rsid w:val="001A1404"/>
    <w:rsid w:val="001B13B1"/>
    <w:rsid w:val="001B34F4"/>
    <w:rsid w:val="001B7DC9"/>
    <w:rsid w:val="001C6B3D"/>
    <w:rsid w:val="001C6D91"/>
    <w:rsid w:val="001D0A19"/>
    <w:rsid w:val="001D15CD"/>
    <w:rsid w:val="001D54AE"/>
    <w:rsid w:val="001E2FDC"/>
    <w:rsid w:val="001F6CEC"/>
    <w:rsid w:val="001F70BD"/>
    <w:rsid w:val="00201579"/>
    <w:rsid w:val="0020396B"/>
    <w:rsid w:val="002060ED"/>
    <w:rsid w:val="00212A94"/>
    <w:rsid w:val="00217700"/>
    <w:rsid w:val="002274E2"/>
    <w:rsid w:val="00234018"/>
    <w:rsid w:val="002372E5"/>
    <w:rsid w:val="00240AC1"/>
    <w:rsid w:val="00240D77"/>
    <w:rsid w:val="00241308"/>
    <w:rsid w:val="00251520"/>
    <w:rsid w:val="00251A7C"/>
    <w:rsid w:val="00261FF7"/>
    <w:rsid w:val="002627AF"/>
    <w:rsid w:val="002734F8"/>
    <w:rsid w:val="00274A57"/>
    <w:rsid w:val="00274F66"/>
    <w:rsid w:val="00277577"/>
    <w:rsid w:val="0027763B"/>
    <w:rsid w:val="00286EB0"/>
    <w:rsid w:val="00286F23"/>
    <w:rsid w:val="0029022F"/>
    <w:rsid w:val="002938AA"/>
    <w:rsid w:val="00296BCB"/>
    <w:rsid w:val="002A46BB"/>
    <w:rsid w:val="002A5617"/>
    <w:rsid w:val="002A60B8"/>
    <w:rsid w:val="002A61D2"/>
    <w:rsid w:val="002A62A7"/>
    <w:rsid w:val="002A631E"/>
    <w:rsid w:val="002A7CB0"/>
    <w:rsid w:val="002A7D4B"/>
    <w:rsid w:val="002B27AB"/>
    <w:rsid w:val="002B369A"/>
    <w:rsid w:val="002B48A4"/>
    <w:rsid w:val="002C0225"/>
    <w:rsid w:val="002C4ECE"/>
    <w:rsid w:val="002C5414"/>
    <w:rsid w:val="002D3664"/>
    <w:rsid w:val="002D5E30"/>
    <w:rsid w:val="002E15CB"/>
    <w:rsid w:val="002E2E53"/>
    <w:rsid w:val="002F4685"/>
    <w:rsid w:val="002F71C5"/>
    <w:rsid w:val="002F7966"/>
    <w:rsid w:val="00302D2B"/>
    <w:rsid w:val="003036C9"/>
    <w:rsid w:val="0030603E"/>
    <w:rsid w:val="003065ED"/>
    <w:rsid w:val="00310B0A"/>
    <w:rsid w:val="00313061"/>
    <w:rsid w:val="00313D1F"/>
    <w:rsid w:val="00315B14"/>
    <w:rsid w:val="00316479"/>
    <w:rsid w:val="00317078"/>
    <w:rsid w:val="00326787"/>
    <w:rsid w:val="00327340"/>
    <w:rsid w:val="00331CAF"/>
    <w:rsid w:val="00343972"/>
    <w:rsid w:val="003448E3"/>
    <w:rsid w:val="003460C5"/>
    <w:rsid w:val="0035047C"/>
    <w:rsid w:val="00351967"/>
    <w:rsid w:val="00352BB3"/>
    <w:rsid w:val="00356771"/>
    <w:rsid w:val="00356D48"/>
    <w:rsid w:val="00366E58"/>
    <w:rsid w:val="003704AE"/>
    <w:rsid w:val="00372841"/>
    <w:rsid w:val="00374D49"/>
    <w:rsid w:val="003778B7"/>
    <w:rsid w:val="003805E1"/>
    <w:rsid w:val="00381834"/>
    <w:rsid w:val="0038239E"/>
    <w:rsid w:val="00383432"/>
    <w:rsid w:val="00385141"/>
    <w:rsid w:val="003878BB"/>
    <w:rsid w:val="003B15D1"/>
    <w:rsid w:val="003B1CBE"/>
    <w:rsid w:val="003B3C7C"/>
    <w:rsid w:val="003B4BB1"/>
    <w:rsid w:val="003D4E96"/>
    <w:rsid w:val="003E07F9"/>
    <w:rsid w:val="003E7FE1"/>
    <w:rsid w:val="003F2617"/>
    <w:rsid w:val="003F2D1B"/>
    <w:rsid w:val="003F410D"/>
    <w:rsid w:val="003F49BA"/>
    <w:rsid w:val="004041CC"/>
    <w:rsid w:val="00404459"/>
    <w:rsid w:val="00415848"/>
    <w:rsid w:val="00416341"/>
    <w:rsid w:val="0041714C"/>
    <w:rsid w:val="0042055E"/>
    <w:rsid w:val="0042280C"/>
    <w:rsid w:val="0043720B"/>
    <w:rsid w:val="00441D7B"/>
    <w:rsid w:val="0044778C"/>
    <w:rsid w:val="00447C28"/>
    <w:rsid w:val="004537CD"/>
    <w:rsid w:val="00457BF2"/>
    <w:rsid w:val="0046120C"/>
    <w:rsid w:val="0046504C"/>
    <w:rsid w:val="00467392"/>
    <w:rsid w:val="00470E1F"/>
    <w:rsid w:val="004749DA"/>
    <w:rsid w:val="00482AAD"/>
    <w:rsid w:val="00491045"/>
    <w:rsid w:val="004919CD"/>
    <w:rsid w:val="0049477D"/>
    <w:rsid w:val="004A20A8"/>
    <w:rsid w:val="004A3257"/>
    <w:rsid w:val="004A56AE"/>
    <w:rsid w:val="004C20DC"/>
    <w:rsid w:val="004C368F"/>
    <w:rsid w:val="004D63AD"/>
    <w:rsid w:val="004E0B29"/>
    <w:rsid w:val="004E2339"/>
    <w:rsid w:val="004E243D"/>
    <w:rsid w:val="004E3022"/>
    <w:rsid w:val="004E54EB"/>
    <w:rsid w:val="004F2723"/>
    <w:rsid w:val="004F3F06"/>
    <w:rsid w:val="004F5E70"/>
    <w:rsid w:val="004F793E"/>
    <w:rsid w:val="0050073B"/>
    <w:rsid w:val="005013E3"/>
    <w:rsid w:val="0050544E"/>
    <w:rsid w:val="005054CC"/>
    <w:rsid w:val="0051095E"/>
    <w:rsid w:val="00533A9E"/>
    <w:rsid w:val="0054066D"/>
    <w:rsid w:val="005459C8"/>
    <w:rsid w:val="00554B8B"/>
    <w:rsid w:val="00557008"/>
    <w:rsid w:val="0056286B"/>
    <w:rsid w:val="0056474A"/>
    <w:rsid w:val="005835FE"/>
    <w:rsid w:val="00584EC5"/>
    <w:rsid w:val="005851C9"/>
    <w:rsid w:val="00586501"/>
    <w:rsid w:val="00591CD2"/>
    <w:rsid w:val="0059404A"/>
    <w:rsid w:val="00594EE7"/>
    <w:rsid w:val="005960F0"/>
    <w:rsid w:val="00597EFA"/>
    <w:rsid w:val="005A09B6"/>
    <w:rsid w:val="005A6F9D"/>
    <w:rsid w:val="005B1D73"/>
    <w:rsid w:val="005B271F"/>
    <w:rsid w:val="005B56EE"/>
    <w:rsid w:val="005B5C14"/>
    <w:rsid w:val="005C5FA7"/>
    <w:rsid w:val="005D0070"/>
    <w:rsid w:val="005D0D19"/>
    <w:rsid w:val="005D6CBF"/>
    <w:rsid w:val="005E0068"/>
    <w:rsid w:val="005E18AD"/>
    <w:rsid w:val="005E3597"/>
    <w:rsid w:val="005E61AB"/>
    <w:rsid w:val="005F349B"/>
    <w:rsid w:val="005F65D4"/>
    <w:rsid w:val="00601B1A"/>
    <w:rsid w:val="006057B5"/>
    <w:rsid w:val="00620500"/>
    <w:rsid w:val="0062222E"/>
    <w:rsid w:val="006231E0"/>
    <w:rsid w:val="00623854"/>
    <w:rsid w:val="00625250"/>
    <w:rsid w:val="00626E98"/>
    <w:rsid w:val="00626FFB"/>
    <w:rsid w:val="00640D44"/>
    <w:rsid w:val="00645452"/>
    <w:rsid w:val="0064795D"/>
    <w:rsid w:val="0065472D"/>
    <w:rsid w:val="00656276"/>
    <w:rsid w:val="0065643B"/>
    <w:rsid w:val="006614CC"/>
    <w:rsid w:val="00662E73"/>
    <w:rsid w:val="00663516"/>
    <w:rsid w:val="00666EAC"/>
    <w:rsid w:val="00667E39"/>
    <w:rsid w:val="00671A61"/>
    <w:rsid w:val="0067316B"/>
    <w:rsid w:val="006751B4"/>
    <w:rsid w:val="0067768F"/>
    <w:rsid w:val="006823FB"/>
    <w:rsid w:val="00682AD5"/>
    <w:rsid w:val="00684F83"/>
    <w:rsid w:val="00686BC3"/>
    <w:rsid w:val="006A035D"/>
    <w:rsid w:val="006A1F93"/>
    <w:rsid w:val="006A4076"/>
    <w:rsid w:val="006A47FB"/>
    <w:rsid w:val="006B44D4"/>
    <w:rsid w:val="006C0F71"/>
    <w:rsid w:val="006C3953"/>
    <w:rsid w:val="006C7746"/>
    <w:rsid w:val="006D055C"/>
    <w:rsid w:val="006D0CAB"/>
    <w:rsid w:val="006D6CC4"/>
    <w:rsid w:val="006D6F69"/>
    <w:rsid w:val="006E0733"/>
    <w:rsid w:val="006E0CE0"/>
    <w:rsid w:val="006F3811"/>
    <w:rsid w:val="006F48A0"/>
    <w:rsid w:val="007013A6"/>
    <w:rsid w:val="007033AB"/>
    <w:rsid w:val="00707BA7"/>
    <w:rsid w:val="00713FEB"/>
    <w:rsid w:val="00716CD0"/>
    <w:rsid w:val="00721246"/>
    <w:rsid w:val="00724EA2"/>
    <w:rsid w:val="0072655E"/>
    <w:rsid w:val="007270BC"/>
    <w:rsid w:val="00731AE7"/>
    <w:rsid w:val="00732E4B"/>
    <w:rsid w:val="00733379"/>
    <w:rsid w:val="00733717"/>
    <w:rsid w:val="00740049"/>
    <w:rsid w:val="0074371E"/>
    <w:rsid w:val="00744550"/>
    <w:rsid w:val="00750200"/>
    <w:rsid w:val="00751FB3"/>
    <w:rsid w:val="00752379"/>
    <w:rsid w:val="00754E32"/>
    <w:rsid w:val="0077094C"/>
    <w:rsid w:val="00774C0A"/>
    <w:rsid w:val="00781F07"/>
    <w:rsid w:val="0078679D"/>
    <w:rsid w:val="00786C0C"/>
    <w:rsid w:val="0079284C"/>
    <w:rsid w:val="00797293"/>
    <w:rsid w:val="007A0ECC"/>
    <w:rsid w:val="007A178E"/>
    <w:rsid w:val="007A2DC1"/>
    <w:rsid w:val="007C2356"/>
    <w:rsid w:val="007C348D"/>
    <w:rsid w:val="007C7112"/>
    <w:rsid w:val="007C7494"/>
    <w:rsid w:val="007C77B3"/>
    <w:rsid w:val="007D1CFA"/>
    <w:rsid w:val="007D4A7C"/>
    <w:rsid w:val="007D7EEE"/>
    <w:rsid w:val="007E14F4"/>
    <w:rsid w:val="007E3399"/>
    <w:rsid w:val="007E61BB"/>
    <w:rsid w:val="007F2630"/>
    <w:rsid w:val="007F4F13"/>
    <w:rsid w:val="007F6B5A"/>
    <w:rsid w:val="00800164"/>
    <w:rsid w:val="00800C08"/>
    <w:rsid w:val="008014A3"/>
    <w:rsid w:val="00804DDE"/>
    <w:rsid w:val="008062EC"/>
    <w:rsid w:val="00810079"/>
    <w:rsid w:val="00812151"/>
    <w:rsid w:val="00813D19"/>
    <w:rsid w:val="00816F15"/>
    <w:rsid w:val="00820441"/>
    <w:rsid w:val="008318BF"/>
    <w:rsid w:val="00831EAA"/>
    <w:rsid w:val="00832EED"/>
    <w:rsid w:val="00836CB3"/>
    <w:rsid w:val="00843543"/>
    <w:rsid w:val="0084509E"/>
    <w:rsid w:val="00845D99"/>
    <w:rsid w:val="00852739"/>
    <w:rsid w:val="00852C7F"/>
    <w:rsid w:val="00854466"/>
    <w:rsid w:val="00854D9F"/>
    <w:rsid w:val="008632D0"/>
    <w:rsid w:val="00867AE3"/>
    <w:rsid w:val="00873B81"/>
    <w:rsid w:val="0087534B"/>
    <w:rsid w:val="00875729"/>
    <w:rsid w:val="00876CD8"/>
    <w:rsid w:val="008803C0"/>
    <w:rsid w:val="00880BB3"/>
    <w:rsid w:val="008826B9"/>
    <w:rsid w:val="00882721"/>
    <w:rsid w:val="008856D0"/>
    <w:rsid w:val="00886572"/>
    <w:rsid w:val="00891F14"/>
    <w:rsid w:val="00894EEF"/>
    <w:rsid w:val="008957B5"/>
    <w:rsid w:val="008A4A0D"/>
    <w:rsid w:val="008A5D23"/>
    <w:rsid w:val="008B03C5"/>
    <w:rsid w:val="008B0433"/>
    <w:rsid w:val="008B1A3F"/>
    <w:rsid w:val="008B68F7"/>
    <w:rsid w:val="008B6B38"/>
    <w:rsid w:val="008C0F83"/>
    <w:rsid w:val="008D09E3"/>
    <w:rsid w:val="008D11BE"/>
    <w:rsid w:val="008D65B7"/>
    <w:rsid w:val="008E2214"/>
    <w:rsid w:val="008E57BF"/>
    <w:rsid w:val="008F568D"/>
    <w:rsid w:val="00902522"/>
    <w:rsid w:val="00902E43"/>
    <w:rsid w:val="00905A58"/>
    <w:rsid w:val="00914772"/>
    <w:rsid w:val="00920087"/>
    <w:rsid w:val="00931298"/>
    <w:rsid w:val="00933041"/>
    <w:rsid w:val="009346A8"/>
    <w:rsid w:val="00935CE2"/>
    <w:rsid w:val="00940F60"/>
    <w:rsid w:val="009418B5"/>
    <w:rsid w:val="00942E10"/>
    <w:rsid w:val="0094409C"/>
    <w:rsid w:val="0094642F"/>
    <w:rsid w:val="00947102"/>
    <w:rsid w:val="00947956"/>
    <w:rsid w:val="00947981"/>
    <w:rsid w:val="00951E22"/>
    <w:rsid w:val="0095267C"/>
    <w:rsid w:val="00952DC9"/>
    <w:rsid w:val="009561EF"/>
    <w:rsid w:val="009638BA"/>
    <w:rsid w:val="009674B3"/>
    <w:rsid w:val="0097522B"/>
    <w:rsid w:val="0097658B"/>
    <w:rsid w:val="00976C0D"/>
    <w:rsid w:val="00980EB4"/>
    <w:rsid w:val="00981B3F"/>
    <w:rsid w:val="009827EF"/>
    <w:rsid w:val="00982D0A"/>
    <w:rsid w:val="0098467C"/>
    <w:rsid w:val="009866DB"/>
    <w:rsid w:val="00991A24"/>
    <w:rsid w:val="00991BA9"/>
    <w:rsid w:val="00994B47"/>
    <w:rsid w:val="00997379"/>
    <w:rsid w:val="00997718"/>
    <w:rsid w:val="009A44AB"/>
    <w:rsid w:val="009A4CAC"/>
    <w:rsid w:val="009A69BA"/>
    <w:rsid w:val="009B26F3"/>
    <w:rsid w:val="009B2E71"/>
    <w:rsid w:val="009B3CCA"/>
    <w:rsid w:val="009C0EC9"/>
    <w:rsid w:val="009C0F11"/>
    <w:rsid w:val="009C219E"/>
    <w:rsid w:val="009C6212"/>
    <w:rsid w:val="009C6ADB"/>
    <w:rsid w:val="009E06E4"/>
    <w:rsid w:val="009E1BC0"/>
    <w:rsid w:val="009E2C4D"/>
    <w:rsid w:val="009E40F8"/>
    <w:rsid w:val="009E469A"/>
    <w:rsid w:val="009E47FD"/>
    <w:rsid w:val="009F6077"/>
    <w:rsid w:val="00A00249"/>
    <w:rsid w:val="00A00820"/>
    <w:rsid w:val="00A01419"/>
    <w:rsid w:val="00A0200E"/>
    <w:rsid w:val="00A052C7"/>
    <w:rsid w:val="00A103A2"/>
    <w:rsid w:val="00A1097F"/>
    <w:rsid w:val="00A10ECE"/>
    <w:rsid w:val="00A128AC"/>
    <w:rsid w:val="00A13C97"/>
    <w:rsid w:val="00A171A6"/>
    <w:rsid w:val="00A2266C"/>
    <w:rsid w:val="00A23389"/>
    <w:rsid w:val="00A255B0"/>
    <w:rsid w:val="00A25C46"/>
    <w:rsid w:val="00A353EF"/>
    <w:rsid w:val="00A35B69"/>
    <w:rsid w:val="00A411FF"/>
    <w:rsid w:val="00A556CC"/>
    <w:rsid w:val="00A74B52"/>
    <w:rsid w:val="00A75D65"/>
    <w:rsid w:val="00A80708"/>
    <w:rsid w:val="00A816FD"/>
    <w:rsid w:val="00A81C7A"/>
    <w:rsid w:val="00A8530D"/>
    <w:rsid w:val="00A8690C"/>
    <w:rsid w:val="00A90D5C"/>
    <w:rsid w:val="00A9657C"/>
    <w:rsid w:val="00A96D6D"/>
    <w:rsid w:val="00A9771A"/>
    <w:rsid w:val="00AA11ED"/>
    <w:rsid w:val="00AA22AB"/>
    <w:rsid w:val="00AA415F"/>
    <w:rsid w:val="00AC3902"/>
    <w:rsid w:val="00AC5040"/>
    <w:rsid w:val="00AC585D"/>
    <w:rsid w:val="00AC5AA4"/>
    <w:rsid w:val="00AC7F04"/>
    <w:rsid w:val="00AD516D"/>
    <w:rsid w:val="00AD5191"/>
    <w:rsid w:val="00AD6579"/>
    <w:rsid w:val="00AE0369"/>
    <w:rsid w:val="00AE1391"/>
    <w:rsid w:val="00AE29A3"/>
    <w:rsid w:val="00AE31F1"/>
    <w:rsid w:val="00AE3AEB"/>
    <w:rsid w:val="00AE4F41"/>
    <w:rsid w:val="00AF43A4"/>
    <w:rsid w:val="00AF514C"/>
    <w:rsid w:val="00AF594D"/>
    <w:rsid w:val="00AF61C4"/>
    <w:rsid w:val="00B0296B"/>
    <w:rsid w:val="00B06CFE"/>
    <w:rsid w:val="00B11417"/>
    <w:rsid w:val="00B20C6E"/>
    <w:rsid w:val="00B225BE"/>
    <w:rsid w:val="00B23609"/>
    <w:rsid w:val="00B238A8"/>
    <w:rsid w:val="00B307E3"/>
    <w:rsid w:val="00B30B07"/>
    <w:rsid w:val="00B315B9"/>
    <w:rsid w:val="00B32C75"/>
    <w:rsid w:val="00B405D0"/>
    <w:rsid w:val="00B4643E"/>
    <w:rsid w:val="00B465B1"/>
    <w:rsid w:val="00B50934"/>
    <w:rsid w:val="00B50972"/>
    <w:rsid w:val="00B50C73"/>
    <w:rsid w:val="00B514DA"/>
    <w:rsid w:val="00B60E9F"/>
    <w:rsid w:val="00B74A9D"/>
    <w:rsid w:val="00B77442"/>
    <w:rsid w:val="00B9108C"/>
    <w:rsid w:val="00B95D54"/>
    <w:rsid w:val="00BA06F5"/>
    <w:rsid w:val="00BA16DE"/>
    <w:rsid w:val="00BA5977"/>
    <w:rsid w:val="00BA5A85"/>
    <w:rsid w:val="00BA7A5E"/>
    <w:rsid w:val="00BB18DB"/>
    <w:rsid w:val="00BB3644"/>
    <w:rsid w:val="00BB48A3"/>
    <w:rsid w:val="00BC07EE"/>
    <w:rsid w:val="00BC3C7C"/>
    <w:rsid w:val="00BC40A8"/>
    <w:rsid w:val="00BC6D21"/>
    <w:rsid w:val="00BD1084"/>
    <w:rsid w:val="00BD6072"/>
    <w:rsid w:val="00BD667B"/>
    <w:rsid w:val="00BD6800"/>
    <w:rsid w:val="00BE036F"/>
    <w:rsid w:val="00BE1A6F"/>
    <w:rsid w:val="00BE1B9D"/>
    <w:rsid w:val="00BE2CEF"/>
    <w:rsid w:val="00BE4C43"/>
    <w:rsid w:val="00BE4C88"/>
    <w:rsid w:val="00BF2C8F"/>
    <w:rsid w:val="00C018D6"/>
    <w:rsid w:val="00C01D44"/>
    <w:rsid w:val="00C02899"/>
    <w:rsid w:val="00C104C3"/>
    <w:rsid w:val="00C12C90"/>
    <w:rsid w:val="00C140A6"/>
    <w:rsid w:val="00C14FD9"/>
    <w:rsid w:val="00C15163"/>
    <w:rsid w:val="00C15C47"/>
    <w:rsid w:val="00C16854"/>
    <w:rsid w:val="00C17082"/>
    <w:rsid w:val="00C20DEE"/>
    <w:rsid w:val="00C268C9"/>
    <w:rsid w:val="00C26DB3"/>
    <w:rsid w:val="00C2712C"/>
    <w:rsid w:val="00C31C9E"/>
    <w:rsid w:val="00C4637A"/>
    <w:rsid w:val="00C50575"/>
    <w:rsid w:val="00C5125B"/>
    <w:rsid w:val="00C530E4"/>
    <w:rsid w:val="00C563B8"/>
    <w:rsid w:val="00C6681F"/>
    <w:rsid w:val="00C718A1"/>
    <w:rsid w:val="00C8299A"/>
    <w:rsid w:val="00C909A0"/>
    <w:rsid w:val="00C945EA"/>
    <w:rsid w:val="00CA3518"/>
    <w:rsid w:val="00CA388F"/>
    <w:rsid w:val="00CA59F8"/>
    <w:rsid w:val="00CA6CD3"/>
    <w:rsid w:val="00CC139A"/>
    <w:rsid w:val="00CD152C"/>
    <w:rsid w:val="00CD1750"/>
    <w:rsid w:val="00CD37C7"/>
    <w:rsid w:val="00CD509B"/>
    <w:rsid w:val="00CD5827"/>
    <w:rsid w:val="00CD6A8C"/>
    <w:rsid w:val="00CE04B1"/>
    <w:rsid w:val="00CE0B31"/>
    <w:rsid w:val="00CE39C4"/>
    <w:rsid w:val="00CE3C75"/>
    <w:rsid w:val="00CE7811"/>
    <w:rsid w:val="00CF3D71"/>
    <w:rsid w:val="00CF5AD2"/>
    <w:rsid w:val="00D040DC"/>
    <w:rsid w:val="00D066D6"/>
    <w:rsid w:val="00D07643"/>
    <w:rsid w:val="00D151B9"/>
    <w:rsid w:val="00D15916"/>
    <w:rsid w:val="00D15D77"/>
    <w:rsid w:val="00D21ED6"/>
    <w:rsid w:val="00D221EC"/>
    <w:rsid w:val="00D233B3"/>
    <w:rsid w:val="00D26E04"/>
    <w:rsid w:val="00D31E63"/>
    <w:rsid w:val="00D320F8"/>
    <w:rsid w:val="00D37069"/>
    <w:rsid w:val="00D41D5B"/>
    <w:rsid w:val="00D427B2"/>
    <w:rsid w:val="00D55F80"/>
    <w:rsid w:val="00D63971"/>
    <w:rsid w:val="00D63F82"/>
    <w:rsid w:val="00D7041D"/>
    <w:rsid w:val="00D74600"/>
    <w:rsid w:val="00D75B83"/>
    <w:rsid w:val="00D77923"/>
    <w:rsid w:val="00D82B1F"/>
    <w:rsid w:val="00D84A09"/>
    <w:rsid w:val="00D918E8"/>
    <w:rsid w:val="00D9526F"/>
    <w:rsid w:val="00DA5395"/>
    <w:rsid w:val="00DA7C86"/>
    <w:rsid w:val="00DB4713"/>
    <w:rsid w:val="00DB5D24"/>
    <w:rsid w:val="00DB7619"/>
    <w:rsid w:val="00DC5A12"/>
    <w:rsid w:val="00DC6873"/>
    <w:rsid w:val="00DC6A5A"/>
    <w:rsid w:val="00DE0ED3"/>
    <w:rsid w:val="00DE3FA7"/>
    <w:rsid w:val="00DE5AA8"/>
    <w:rsid w:val="00DF09A3"/>
    <w:rsid w:val="00DF15E9"/>
    <w:rsid w:val="00DF20C2"/>
    <w:rsid w:val="00E011A2"/>
    <w:rsid w:val="00E03FBA"/>
    <w:rsid w:val="00E050C1"/>
    <w:rsid w:val="00E058D4"/>
    <w:rsid w:val="00E0713E"/>
    <w:rsid w:val="00E07B48"/>
    <w:rsid w:val="00E07E9A"/>
    <w:rsid w:val="00E12897"/>
    <w:rsid w:val="00E13F80"/>
    <w:rsid w:val="00E176D6"/>
    <w:rsid w:val="00E20CC4"/>
    <w:rsid w:val="00E23295"/>
    <w:rsid w:val="00E25A71"/>
    <w:rsid w:val="00E31301"/>
    <w:rsid w:val="00E31B13"/>
    <w:rsid w:val="00E321F0"/>
    <w:rsid w:val="00E35BBD"/>
    <w:rsid w:val="00E37486"/>
    <w:rsid w:val="00E3784E"/>
    <w:rsid w:val="00E42996"/>
    <w:rsid w:val="00E437F5"/>
    <w:rsid w:val="00E46434"/>
    <w:rsid w:val="00E47C4A"/>
    <w:rsid w:val="00E51053"/>
    <w:rsid w:val="00E51FE8"/>
    <w:rsid w:val="00E5481E"/>
    <w:rsid w:val="00E5549C"/>
    <w:rsid w:val="00E64F07"/>
    <w:rsid w:val="00E6513F"/>
    <w:rsid w:val="00E660B0"/>
    <w:rsid w:val="00E661CA"/>
    <w:rsid w:val="00E71D96"/>
    <w:rsid w:val="00E72866"/>
    <w:rsid w:val="00E74E84"/>
    <w:rsid w:val="00E75816"/>
    <w:rsid w:val="00E9198F"/>
    <w:rsid w:val="00E9554F"/>
    <w:rsid w:val="00E97B54"/>
    <w:rsid w:val="00EA0BBA"/>
    <w:rsid w:val="00EA117F"/>
    <w:rsid w:val="00EA1EE4"/>
    <w:rsid w:val="00EA291E"/>
    <w:rsid w:val="00EA5959"/>
    <w:rsid w:val="00EA598D"/>
    <w:rsid w:val="00EA5C86"/>
    <w:rsid w:val="00EA618C"/>
    <w:rsid w:val="00EA6982"/>
    <w:rsid w:val="00EA6A77"/>
    <w:rsid w:val="00EC40DB"/>
    <w:rsid w:val="00EC41C6"/>
    <w:rsid w:val="00EC5A17"/>
    <w:rsid w:val="00ED5BEE"/>
    <w:rsid w:val="00EE4AE3"/>
    <w:rsid w:val="00EF11A8"/>
    <w:rsid w:val="00EF204E"/>
    <w:rsid w:val="00EF412E"/>
    <w:rsid w:val="00EF5325"/>
    <w:rsid w:val="00EF5A67"/>
    <w:rsid w:val="00EF7ECB"/>
    <w:rsid w:val="00F00701"/>
    <w:rsid w:val="00F0291B"/>
    <w:rsid w:val="00F14654"/>
    <w:rsid w:val="00F15380"/>
    <w:rsid w:val="00F154B3"/>
    <w:rsid w:val="00F15DB4"/>
    <w:rsid w:val="00F16639"/>
    <w:rsid w:val="00F23A49"/>
    <w:rsid w:val="00F23F8A"/>
    <w:rsid w:val="00F24BE3"/>
    <w:rsid w:val="00F2676D"/>
    <w:rsid w:val="00F308D2"/>
    <w:rsid w:val="00F34933"/>
    <w:rsid w:val="00F36C5E"/>
    <w:rsid w:val="00F3703A"/>
    <w:rsid w:val="00F424AC"/>
    <w:rsid w:val="00F445DD"/>
    <w:rsid w:val="00F45C1C"/>
    <w:rsid w:val="00F479DC"/>
    <w:rsid w:val="00F527A2"/>
    <w:rsid w:val="00F53D4E"/>
    <w:rsid w:val="00F614AA"/>
    <w:rsid w:val="00F615A3"/>
    <w:rsid w:val="00F62A42"/>
    <w:rsid w:val="00F66242"/>
    <w:rsid w:val="00F7034E"/>
    <w:rsid w:val="00F70604"/>
    <w:rsid w:val="00F7253E"/>
    <w:rsid w:val="00F72FA7"/>
    <w:rsid w:val="00F75C21"/>
    <w:rsid w:val="00F76873"/>
    <w:rsid w:val="00F80F0B"/>
    <w:rsid w:val="00F81A66"/>
    <w:rsid w:val="00F81C76"/>
    <w:rsid w:val="00F87E7C"/>
    <w:rsid w:val="00F90B4F"/>
    <w:rsid w:val="00F934F6"/>
    <w:rsid w:val="00F940D0"/>
    <w:rsid w:val="00F96DA9"/>
    <w:rsid w:val="00F96F3C"/>
    <w:rsid w:val="00F97D2D"/>
    <w:rsid w:val="00FA05B4"/>
    <w:rsid w:val="00FA2ED1"/>
    <w:rsid w:val="00FA70CA"/>
    <w:rsid w:val="00FA7405"/>
    <w:rsid w:val="00FA7912"/>
    <w:rsid w:val="00FB4682"/>
    <w:rsid w:val="00FB7BB4"/>
    <w:rsid w:val="00FD19ED"/>
    <w:rsid w:val="00FD494F"/>
    <w:rsid w:val="00FE0EE1"/>
    <w:rsid w:val="00FE4E83"/>
    <w:rsid w:val="00FE6302"/>
    <w:rsid w:val="00FF49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E0BA0"/>
  <w15:docId w15:val="{FF832498-575D-4D52-AAC5-0C330C24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48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395"/>
    <w:pPr>
      <w:tabs>
        <w:tab w:val="center" w:pos="4513"/>
        <w:tab w:val="right" w:pos="9026"/>
      </w:tabs>
    </w:pPr>
  </w:style>
  <w:style w:type="character" w:customStyle="1" w:styleId="HeaderChar">
    <w:name w:val="Header Char"/>
    <w:basedOn w:val="DefaultParagraphFont"/>
    <w:link w:val="Header"/>
    <w:uiPriority w:val="99"/>
    <w:rsid w:val="00DA539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A5395"/>
    <w:pPr>
      <w:tabs>
        <w:tab w:val="center" w:pos="4513"/>
        <w:tab w:val="right" w:pos="9026"/>
      </w:tabs>
    </w:pPr>
  </w:style>
  <w:style w:type="character" w:customStyle="1" w:styleId="FooterChar">
    <w:name w:val="Footer Char"/>
    <w:basedOn w:val="DefaultParagraphFont"/>
    <w:link w:val="Footer"/>
    <w:uiPriority w:val="99"/>
    <w:rsid w:val="00DA5395"/>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EF1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681F"/>
    <w:rPr>
      <w:rFonts w:ascii="Tahoma" w:hAnsi="Tahoma" w:cs="Tahoma"/>
      <w:sz w:val="16"/>
      <w:szCs w:val="16"/>
    </w:rPr>
  </w:style>
  <w:style w:type="character" w:customStyle="1" w:styleId="BalloonTextChar">
    <w:name w:val="Balloon Text Char"/>
    <w:basedOn w:val="DefaultParagraphFont"/>
    <w:link w:val="BalloonText"/>
    <w:uiPriority w:val="99"/>
    <w:semiHidden/>
    <w:rsid w:val="00C6681F"/>
    <w:rPr>
      <w:rFonts w:ascii="Tahoma" w:eastAsia="Times New Roman" w:hAnsi="Tahoma" w:cs="Tahoma"/>
      <w:sz w:val="16"/>
      <w:szCs w:val="16"/>
      <w:lang w:val="en-GB" w:eastAsia="en-GB"/>
    </w:rPr>
  </w:style>
  <w:style w:type="paragraph" w:styleId="ListParagraph">
    <w:name w:val="List Paragraph"/>
    <w:basedOn w:val="Normal"/>
    <w:uiPriority w:val="34"/>
    <w:qFormat/>
    <w:rsid w:val="00781F07"/>
    <w:pPr>
      <w:ind w:left="720"/>
      <w:contextualSpacing/>
    </w:pPr>
  </w:style>
  <w:style w:type="paragraph" w:styleId="FootnoteText">
    <w:name w:val="footnote text"/>
    <w:basedOn w:val="Normal"/>
    <w:link w:val="FootnoteTextChar"/>
    <w:uiPriority w:val="99"/>
    <w:unhideWhenUsed/>
    <w:qFormat/>
    <w:rsid w:val="00781F07"/>
    <w:rPr>
      <w:sz w:val="20"/>
      <w:szCs w:val="20"/>
    </w:rPr>
  </w:style>
  <w:style w:type="character" w:customStyle="1" w:styleId="FootnoteTextChar">
    <w:name w:val="Footnote Text Char"/>
    <w:basedOn w:val="DefaultParagraphFont"/>
    <w:link w:val="FootnoteText"/>
    <w:uiPriority w:val="99"/>
    <w:rsid w:val="00781F07"/>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781F07"/>
    <w:rPr>
      <w:vertAlign w:val="superscript"/>
    </w:rPr>
  </w:style>
  <w:style w:type="character" w:customStyle="1" w:styleId="mc">
    <w:name w:val="mc"/>
    <w:basedOn w:val="DefaultParagraphFont"/>
    <w:rsid w:val="00E46434"/>
  </w:style>
  <w:style w:type="character" w:styleId="Hyperlink">
    <w:name w:val="Hyperlink"/>
    <w:basedOn w:val="DefaultParagraphFont"/>
    <w:uiPriority w:val="99"/>
    <w:semiHidden/>
    <w:unhideWhenUsed/>
    <w:rsid w:val="00331CAF"/>
    <w:rPr>
      <w:color w:val="0000FF"/>
      <w:u w:val="single"/>
    </w:rPr>
  </w:style>
  <w:style w:type="paragraph" w:customStyle="1" w:styleId="casehead1">
    <w:name w:val="casehead1"/>
    <w:basedOn w:val="Normal"/>
    <w:rsid w:val="00C909A0"/>
    <w:pPr>
      <w:spacing w:before="100" w:beforeAutospacing="1" w:after="100" w:afterAutospacing="1"/>
    </w:pPr>
    <w:rPr>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497805">
      <w:bodyDiv w:val="1"/>
      <w:marLeft w:val="0"/>
      <w:marRight w:val="0"/>
      <w:marTop w:val="0"/>
      <w:marBottom w:val="0"/>
      <w:divBdr>
        <w:top w:val="none" w:sz="0" w:space="0" w:color="auto"/>
        <w:left w:val="none" w:sz="0" w:space="0" w:color="auto"/>
        <w:bottom w:val="none" w:sz="0" w:space="0" w:color="auto"/>
        <w:right w:val="none" w:sz="0" w:space="0" w:color="auto"/>
      </w:divBdr>
      <w:divsChild>
        <w:div w:id="2097089434">
          <w:marLeft w:val="0"/>
          <w:marRight w:val="0"/>
          <w:marTop w:val="120"/>
          <w:marBottom w:val="0"/>
          <w:divBdr>
            <w:top w:val="none" w:sz="0" w:space="0" w:color="auto"/>
            <w:left w:val="none" w:sz="0" w:space="0" w:color="auto"/>
            <w:bottom w:val="none" w:sz="0" w:space="0" w:color="auto"/>
            <w:right w:val="none" w:sz="0" w:space="0" w:color="auto"/>
          </w:divBdr>
        </w:div>
      </w:divsChild>
    </w:div>
    <w:div w:id="1051199123">
      <w:bodyDiv w:val="1"/>
      <w:marLeft w:val="0"/>
      <w:marRight w:val="0"/>
      <w:marTop w:val="0"/>
      <w:marBottom w:val="0"/>
      <w:divBdr>
        <w:top w:val="none" w:sz="0" w:space="0" w:color="auto"/>
        <w:left w:val="none" w:sz="0" w:space="0" w:color="auto"/>
        <w:bottom w:val="none" w:sz="0" w:space="0" w:color="auto"/>
        <w:right w:val="none" w:sz="0" w:space="0" w:color="auto"/>
      </w:divBdr>
      <w:divsChild>
        <w:div w:id="1420834934">
          <w:marLeft w:val="0"/>
          <w:marRight w:val="0"/>
          <w:marTop w:val="120"/>
          <w:marBottom w:val="0"/>
          <w:divBdr>
            <w:top w:val="none" w:sz="0" w:space="0" w:color="auto"/>
            <w:left w:val="none" w:sz="0" w:space="0" w:color="auto"/>
            <w:bottom w:val="none" w:sz="0" w:space="0" w:color="auto"/>
            <w:right w:val="none" w:sz="0" w:space="0" w:color="auto"/>
          </w:divBdr>
        </w:div>
        <w:div w:id="844172336">
          <w:marLeft w:val="0"/>
          <w:marRight w:val="0"/>
          <w:marTop w:val="240"/>
          <w:marBottom w:val="24"/>
          <w:divBdr>
            <w:top w:val="single" w:sz="8" w:space="2" w:color="808080"/>
            <w:left w:val="none" w:sz="0" w:space="0" w:color="auto"/>
            <w:bottom w:val="none" w:sz="0" w:space="0" w:color="auto"/>
            <w:right w:val="none" w:sz="0" w:space="0" w:color="auto"/>
          </w:divBdr>
        </w:div>
        <w:div w:id="697199053">
          <w:marLeft w:val="0"/>
          <w:marRight w:val="0"/>
          <w:marTop w:val="120"/>
          <w:marBottom w:val="0"/>
          <w:divBdr>
            <w:top w:val="none" w:sz="0" w:space="0" w:color="auto"/>
            <w:left w:val="none" w:sz="0" w:space="0" w:color="auto"/>
            <w:bottom w:val="none" w:sz="0" w:space="0" w:color="auto"/>
            <w:right w:val="none" w:sz="0" w:space="0" w:color="auto"/>
          </w:divBdr>
        </w:div>
        <w:div w:id="118497317">
          <w:marLeft w:val="0"/>
          <w:marRight w:val="0"/>
          <w:marTop w:val="120"/>
          <w:marBottom w:val="0"/>
          <w:divBdr>
            <w:top w:val="none" w:sz="0" w:space="0" w:color="auto"/>
            <w:left w:val="none" w:sz="0" w:space="0" w:color="auto"/>
            <w:bottom w:val="none" w:sz="0" w:space="0" w:color="auto"/>
            <w:right w:val="none" w:sz="0" w:space="0" w:color="auto"/>
          </w:divBdr>
        </w:div>
      </w:divsChild>
    </w:div>
    <w:div w:id="1073313488">
      <w:bodyDiv w:val="1"/>
      <w:marLeft w:val="0"/>
      <w:marRight w:val="0"/>
      <w:marTop w:val="0"/>
      <w:marBottom w:val="0"/>
      <w:divBdr>
        <w:top w:val="none" w:sz="0" w:space="0" w:color="auto"/>
        <w:left w:val="none" w:sz="0" w:space="0" w:color="auto"/>
        <w:bottom w:val="none" w:sz="0" w:space="0" w:color="auto"/>
        <w:right w:val="none" w:sz="0" w:space="0" w:color="auto"/>
      </w:divBdr>
      <w:divsChild>
        <w:div w:id="1481850162">
          <w:marLeft w:val="0"/>
          <w:marRight w:val="0"/>
          <w:marTop w:val="120"/>
          <w:marBottom w:val="0"/>
          <w:divBdr>
            <w:top w:val="none" w:sz="0" w:space="0" w:color="auto"/>
            <w:left w:val="none" w:sz="0" w:space="0" w:color="auto"/>
            <w:bottom w:val="none" w:sz="0" w:space="0" w:color="auto"/>
            <w:right w:val="none" w:sz="0" w:space="0" w:color="auto"/>
          </w:divBdr>
        </w:div>
        <w:div w:id="1310132206">
          <w:marLeft w:val="0"/>
          <w:marRight w:val="0"/>
          <w:marTop w:val="120"/>
          <w:marBottom w:val="0"/>
          <w:divBdr>
            <w:top w:val="none" w:sz="0" w:space="0" w:color="auto"/>
            <w:left w:val="none" w:sz="0" w:space="0" w:color="auto"/>
            <w:bottom w:val="none" w:sz="0" w:space="0" w:color="auto"/>
            <w:right w:val="none" w:sz="0" w:space="0" w:color="auto"/>
          </w:divBdr>
        </w:div>
      </w:divsChild>
    </w:div>
    <w:div w:id="1353143177">
      <w:bodyDiv w:val="1"/>
      <w:marLeft w:val="0"/>
      <w:marRight w:val="0"/>
      <w:marTop w:val="0"/>
      <w:marBottom w:val="0"/>
      <w:divBdr>
        <w:top w:val="none" w:sz="0" w:space="0" w:color="auto"/>
        <w:left w:val="none" w:sz="0" w:space="0" w:color="auto"/>
        <w:bottom w:val="none" w:sz="0" w:space="0" w:color="auto"/>
        <w:right w:val="none" w:sz="0" w:space="0" w:color="auto"/>
      </w:divBdr>
      <w:divsChild>
        <w:div w:id="824011088">
          <w:marLeft w:val="0"/>
          <w:marRight w:val="0"/>
          <w:marTop w:val="120"/>
          <w:marBottom w:val="0"/>
          <w:divBdr>
            <w:top w:val="none" w:sz="0" w:space="0" w:color="auto"/>
            <w:left w:val="none" w:sz="0" w:space="0" w:color="auto"/>
            <w:bottom w:val="none" w:sz="0" w:space="0" w:color="auto"/>
            <w:right w:val="none" w:sz="0" w:space="0" w:color="auto"/>
          </w:divBdr>
        </w:div>
      </w:divsChild>
    </w:div>
    <w:div w:id="1760176658">
      <w:bodyDiv w:val="1"/>
      <w:marLeft w:val="0"/>
      <w:marRight w:val="0"/>
      <w:marTop w:val="0"/>
      <w:marBottom w:val="0"/>
      <w:divBdr>
        <w:top w:val="none" w:sz="0" w:space="0" w:color="auto"/>
        <w:left w:val="none" w:sz="0" w:space="0" w:color="auto"/>
        <w:bottom w:val="none" w:sz="0" w:space="0" w:color="auto"/>
        <w:right w:val="none" w:sz="0" w:space="0" w:color="auto"/>
      </w:divBdr>
    </w:div>
    <w:div w:id="1815177631">
      <w:bodyDiv w:val="1"/>
      <w:marLeft w:val="0"/>
      <w:marRight w:val="0"/>
      <w:marTop w:val="0"/>
      <w:marBottom w:val="0"/>
      <w:divBdr>
        <w:top w:val="none" w:sz="0" w:space="0" w:color="auto"/>
        <w:left w:val="none" w:sz="0" w:space="0" w:color="auto"/>
        <w:bottom w:val="none" w:sz="0" w:space="0" w:color="auto"/>
        <w:right w:val="none" w:sz="0" w:space="0" w:color="auto"/>
      </w:divBdr>
      <w:divsChild>
        <w:div w:id="1300379227">
          <w:marLeft w:val="0"/>
          <w:marRight w:val="0"/>
          <w:marTop w:val="144"/>
          <w:marBottom w:val="24"/>
          <w:divBdr>
            <w:top w:val="none" w:sz="0" w:space="0" w:color="auto"/>
            <w:left w:val="none" w:sz="0" w:space="0" w:color="auto"/>
            <w:bottom w:val="none" w:sz="0" w:space="0" w:color="auto"/>
            <w:right w:val="none" w:sz="0" w:space="0" w:color="auto"/>
          </w:divBdr>
        </w:div>
      </w:divsChild>
    </w:div>
    <w:div w:id="2078555941">
      <w:bodyDiv w:val="1"/>
      <w:marLeft w:val="0"/>
      <w:marRight w:val="0"/>
      <w:marTop w:val="0"/>
      <w:marBottom w:val="0"/>
      <w:divBdr>
        <w:top w:val="none" w:sz="0" w:space="0" w:color="auto"/>
        <w:left w:val="none" w:sz="0" w:space="0" w:color="auto"/>
        <w:bottom w:val="none" w:sz="0" w:space="0" w:color="auto"/>
        <w:right w:val="none" w:sz="0" w:space="0" w:color="auto"/>
      </w:divBdr>
      <w:divsChild>
        <w:div w:id="182059558">
          <w:marLeft w:val="0"/>
          <w:marRight w:val="0"/>
          <w:marTop w:val="120"/>
          <w:marBottom w:val="0"/>
          <w:divBdr>
            <w:top w:val="none" w:sz="0" w:space="0" w:color="auto"/>
            <w:left w:val="none" w:sz="0" w:space="0" w:color="auto"/>
            <w:bottom w:val="none" w:sz="0" w:space="0" w:color="auto"/>
            <w:right w:val="none" w:sz="0" w:space="0" w:color="auto"/>
          </w:divBdr>
        </w:div>
        <w:div w:id="1952666396">
          <w:marLeft w:val="567"/>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32573.78E90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2F57B-A6A4-4EE1-BB44-5533640DF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2711</Words>
  <Characters>15453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Judge-Johannes Daffue</dc:creator>
  <cp:keywords/>
  <dc:description/>
  <cp:lastModifiedBy>Solomon Radigomo</cp:lastModifiedBy>
  <cp:revision>3</cp:revision>
  <cp:lastPrinted>2023-01-23T14:08:00Z</cp:lastPrinted>
  <dcterms:created xsi:type="dcterms:W3CDTF">2023-01-23T10:55:00Z</dcterms:created>
  <dcterms:modified xsi:type="dcterms:W3CDTF">2023-01-23T14:11:00Z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57b65fd134b5309cb1ba602393baf3e320b135b864d1ba55b140df27cee3b594</vt:lpwstr>
  </property>
</Properties>
</file>