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38" w:rsidRDefault="00302938" w:rsidP="00302938">
      <w:pPr>
        <w:spacing w:after="0" w:line="240" w:lineRule="auto"/>
        <w:jc w:val="center"/>
        <w:rPr>
          <w:rFonts w:ascii="Arial" w:hAnsi="Arial" w:cs="Arial"/>
          <w:b/>
          <w:sz w:val="24"/>
          <w:szCs w:val="24"/>
          <w:u w:val="single"/>
        </w:rPr>
      </w:pPr>
      <w:bookmarkStart w:id="0" w:name="_GoBack"/>
      <w:bookmarkEnd w:id="0"/>
      <w:r>
        <w:rPr>
          <w:noProof/>
          <w:lang w:val="en-US"/>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rsidR="003539B9" w:rsidRDefault="00724163" w:rsidP="00C0166D">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 xml:space="preserve">         </w:t>
      </w:r>
      <w:r w:rsidR="00B76A17">
        <w:rPr>
          <w:rFonts w:ascii="Arial" w:hAnsi="Arial"/>
          <w:sz w:val="24"/>
          <w:szCs w:val="24"/>
        </w:rPr>
        <w:t xml:space="preserve"> Case Number: </w:t>
      </w:r>
      <w:r w:rsidR="00C40F73">
        <w:rPr>
          <w:rFonts w:ascii="Arial" w:hAnsi="Arial"/>
          <w:sz w:val="24"/>
          <w:szCs w:val="24"/>
        </w:rPr>
        <w:t>1318/2022</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Default="00C40F7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sz w:val="24"/>
          <w:szCs w:val="24"/>
        </w:rPr>
      </w:pPr>
      <w:r>
        <w:rPr>
          <w:rFonts w:ascii="Arial" w:hAnsi="Arial"/>
          <w:b/>
          <w:bCs/>
          <w:sz w:val="24"/>
          <w:szCs w:val="24"/>
        </w:rPr>
        <w:t>FEZI CONSULTANTS AND AUDITORS (PTY) LTD</w:t>
      </w:r>
      <w:r w:rsidR="003539B9">
        <w:rPr>
          <w:rFonts w:ascii="Arial" w:hAnsi="Arial"/>
          <w:b/>
          <w:bCs/>
          <w:sz w:val="24"/>
          <w:szCs w:val="24"/>
        </w:rPr>
        <w:tab/>
      </w:r>
      <w:r w:rsidR="003539B9">
        <w:rPr>
          <w:rFonts w:ascii="Arial" w:hAnsi="Arial"/>
          <w:b/>
          <w:bCs/>
          <w:sz w:val="24"/>
          <w:szCs w:val="24"/>
        </w:rPr>
        <w:tab/>
      </w:r>
      <w:r>
        <w:rPr>
          <w:rFonts w:ascii="Arial" w:hAnsi="Arial"/>
          <w:b/>
          <w:bCs/>
          <w:sz w:val="24"/>
          <w:szCs w:val="24"/>
        </w:rPr>
        <w:tab/>
      </w:r>
      <w:r>
        <w:rPr>
          <w:rFonts w:ascii="Arial" w:hAnsi="Arial"/>
          <w:b/>
          <w:sz w:val="24"/>
          <w:szCs w:val="24"/>
        </w:rPr>
        <w:t>APPLICANT</w:t>
      </w:r>
    </w:p>
    <w:p w:rsidR="00302938" w:rsidRPr="008B13F6" w:rsidRDefault="00302938"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bCs/>
          <w:sz w:val="24"/>
          <w:szCs w:val="24"/>
        </w:rPr>
      </w:pP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rsidR="003539B9" w:rsidRDefault="00C40F7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sz w:val="24"/>
          <w:szCs w:val="24"/>
        </w:rPr>
        <w:t>CENTLEC (SOC) LTD</w:t>
      </w:r>
      <w:r>
        <w:rPr>
          <w:rFonts w:ascii="Arial" w:hAnsi="Arial"/>
          <w:b/>
          <w:sz w:val="24"/>
          <w:szCs w:val="24"/>
        </w:rPr>
        <w:tab/>
      </w:r>
      <w:r>
        <w:rPr>
          <w:rFonts w:ascii="Arial" w:hAnsi="Arial"/>
          <w:b/>
          <w:sz w:val="24"/>
          <w:szCs w:val="24"/>
        </w:rPr>
        <w:tab/>
      </w:r>
      <w:r w:rsidR="00843EE5">
        <w:rPr>
          <w:rFonts w:ascii="Arial" w:hAnsi="Arial"/>
          <w:b/>
          <w:sz w:val="24"/>
          <w:szCs w:val="24"/>
        </w:rPr>
        <w:t xml:space="preserve">       </w:t>
      </w:r>
      <w:r w:rsidR="003C6C83">
        <w:rPr>
          <w:rFonts w:ascii="Arial" w:hAnsi="Arial"/>
          <w:b/>
          <w:bCs/>
          <w:sz w:val="24"/>
          <w:szCs w:val="24"/>
        </w:rPr>
        <w:t xml:space="preserve">        </w:t>
      </w:r>
      <w:r w:rsidR="00302938">
        <w:rPr>
          <w:rFonts w:ascii="Arial" w:hAnsi="Arial"/>
          <w:b/>
          <w:bCs/>
          <w:sz w:val="24"/>
          <w:szCs w:val="24"/>
        </w:rPr>
        <w:tab/>
      </w:r>
      <w:r w:rsidR="00302938">
        <w:rPr>
          <w:rFonts w:ascii="Arial" w:hAnsi="Arial"/>
          <w:b/>
          <w:bCs/>
          <w:sz w:val="24"/>
          <w:szCs w:val="24"/>
        </w:rPr>
        <w:tab/>
      </w:r>
      <w:r w:rsidR="00302938" w:rsidRPr="008B13F6">
        <w:rPr>
          <w:rFonts w:ascii="Arial" w:hAnsi="Arial"/>
          <w:b/>
          <w:bCs/>
          <w:sz w:val="24"/>
          <w:szCs w:val="24"/>
        </w:rPr>
        <w:tab/>
      </w:r>
      <w:r>
        <w:rPr>
          <w:rFonts w:ascii="Arial" w:hAnsi="Arial"/>
          <w:b/>
          <w:bCs/>
          <w:sz w:val="24"/>
          <w:szCs w:val="24"/>
        </w:rPr>
        <w:t>1</w:t>
      </w:r>
      <w:r w:rsidRPr="00C40F73">
        <w:rPr>
          <w:rFonts w:ascii="Arial" w:hAnsi="Arial"/>
          <w:b/>
          <w:bCs/>
          <w:sz w:val="24"/>
          <w:szCs w:val="24"/>
          <w:vertAlign w:val="superscript"/>
        </w:rPr>
        <w:t>ST</w:t>
      </w:r>
      <w:r>
        <w:rPr>
          <w:rFonts w:ascii="Arial" w:hAnsi="Arial"/>
          <w:b/>
          <w:bCs/>
          <w:sz w:val="24"/>
          <w:szCs w:val="24"/>
        </w:rPr>
        <w:t xml:space="preserve"> RESPONDENT</w:t>
      </w:r>
    </w:p>
    <w:p w:rsidR="00C40F73" w:rsidRDefault="00C40F7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p>
    <w:p w:rsidR="00C40F73" w:rsidRDefault="00C40F7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MAKOMOTA INVESTMENT HOLDINGS (PTY) LTD</w:t>
      </w:r>
      <w:r>
        <w:rPr>
          <w:rFonts w:ascii="Arial" w:hAnsi="Arial"/>
          <w:b/>
          <w:bCs/>
          <w:sz w:val="24"/>
          <w:szCs w:val="24"/>
        </w:rPr>
        <w:tab/>
      </w:r>
      <w:r>
        <w:rPr>
          <w:rFonts w:ascii="Arial" w:hAnsi="Arial"/>
          <w:b/>
          <w:bCs/>
          <w:sz w:val="24"/>
          <w:szCs w:val="24"/>
        </w:rPr>
        <w:tab/>
        <w:t>2</w:t>
      </w:r>
      <w:r w:rsidRPr="00C40F73">
        <w:rPr>
          <w:rFonts w:ascii="Arial" w:hAnsi="Arial"/>
          <w:b/>
          <w:bCs/>
          <w:sz w:val="24"/>
          <w:szCs w:val="24"/>
          <w:vertAlign w:val="superscript"/>
        </w:rPr>
        <w:t>ND</w:t>
      </w:r>
      <w:r>
        <w:rPr>
          <w:rFonts w:ascii="Arial" w:hAnsi="Arial"/>
          <w:b/>
          <w:bCs/>
          <w:sz w:val="24"/>
          <w:szCs w:val="24"/>
        </w:rPr>
        <w:t xml:space="preserve"> RESPONDENT</w:t>
      </w:r>
    </w:p>
    <w:p w:rsidR="003539B9" w:rsidRDefault="003539B9"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E0941A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Pr="00CC5273"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C5273">
        <w:rPr>
          <w:rFonts w:ascii="Arial" w:hAnsi="Arial" w:cs="Arial"/>
          <w:b/>
          <w:bCs/>
          <w:sz w:val="24"/>
          <w:szCs w:val="24"/>
        </w:rPr>
        <w:tab/>
      </w:r>
      <w:r w:rsidRPr="00CC5273">
        <w:rPr>
          <w:rFonts w:ascii="Arial" w:hAnsi="Arial"/>
          <w:sz w:val="24"/>
          <w:szCs w:val="24"/>
        </w:rPr>
        <w:t>M</w:t>
      </w:r>
      <w:r w:rsidR="00D34925" w:rsidRPr="00CC5273">
        <w:rPr>
          <w:rFonts w:ascii="Arial" w:hAnsi="Arial"/>
          <w:sz w:val="24"/>
          <w:szCs w:val="24"/>
        </w:rPr>
        <w:t>BHELE</w:t>
      </w:r>
      <w:r w:rsidRPr="00CC5273">
        <w:rPr>
          <w:rFonts w:ascii="Arial" w:hAnsi="Arial"/>
          <w:sz w:val="24"/>
          <w:szCs w:val="24"/>
        </w:rPr>
        <w:t xml:space="preserve">, </w:t>
      </w:r>
      <w:r w:rsidR="003C6C83" w:rsidRPr="00CC5273">
        <w:rPr>
          <w:rFonts w:ascii="Arial" w:hAnsi="Arial"/>
          <w:sz w:val="24"/>
          <w:szCs w:val="24"/>
        </w:rPr>
        <w:t>D</w:t>
      </w:r>
      <w:r w:rsidRPr="00CC5273">
        <w:rPr>
          <w:rFonts w:ascii="Arial" w:hAnsi="Arial"/>
          <w:sz w:val="24"/>
          <w:szCs w:val="24"/>
        </w:rPr>
        <w:t>JP</w:t>
      </w:r>
      <w:r w:rsidR="00C40F73" w:rsidRPr="00CC5273">
        <w:rPr>
          <w:rFonts w:ascii="Arial" w:hAnsi="Arial"/>
          <w:sz w:val="24"/>
          <w:szCs w:val="24"/>
        </w:rPr>
        <w:t xml:space="preserve"> </w:t>
      </w:r>
      <w:r w:rsidR="00C40F73" w:rsidRPr="00CC5273">
        <w:rPr>
          <w:rFonts w:ascii="Arial" w:hAnsi="Arial"/>
          <w:i/>
          <w:sz w:val="24"/>
          <w:szCs w:val="24"/>
        </w:rPr>
        <w:t xml:space="preserve">et </w:t>
      </w:r>
      <w:r w:rsidR="00C40F73" w:rsidRPr="00CC5273">
        <w:rPr>
          <w:rFonts w:ascii="Arial" w:hAnsi="Arial"/>
          <w:sz w:val="24"/>
          <w:szCs w:val="24"/>
        </w:rPr>
        <w:t>DANISO, J</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7D61F9A"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CC5273" w:rsidRDefault="00CC5273" w:rsidP="00CC5273">
      <w:pPr>
        <w:pBdr>
          <w:bottom w:val="single" w:sz="12" w:space="1" w:color="auto"/>
        </w:pBdr>
        <w:tabs>
          <w:tab w:val="left" w:pos="2835"/>
        </w:tabs>
        <w:spacing w:after="0" w:line="240" w:lineRule="auto"/>
        <w:contextualSpacing/>
        <w:jc w:val="both"/>
        <w:rPr>
          <w:rFonts w:ascii="Arial" w:eastAsia="Times New Roman" w:hAnsi="Arial" w:cs="Arial"/>
          <w:b/>
          <w:sz w:val="24"/>
          <w:szCs w:val="24"/>
          <w:u w:val="single"/>
          <w:lang w:eastAsia="en-GB"/>
        </w:rPr>
      </w:pPr>
    </w:p>
    <w:p w:rsidR="00CC5273" w:rsidRPr="00CB1250" w:rsidRDefault="00CC5273" w:rsidP="00CC5273">
      <w:pPr>
        <w:pBdr>
          <w:bottom w:val="single" w:sz="12" w:space="1" w:color="auto"/>
        </w:pBdr>
        <w:tabs>
          <w:tab w:val="left" w:pos="2835"/>
        </w:tabs>
        <w:spacing w:after="0" w:line="240" w:lineRule="auto"/>
        <w:contextualSpacing/>
        <w:jc w:val="both"/>
        <w:rPr>
          <w:rFonts w:ascii="Arial" w:eastAsia="Times New Roman" w:hAnsi="Arial" w:cs="Arial"/>
          <w:sz w:val="24"/>
          <w:szCs w:val="24"/>
          <w:lang w:eastAsia="en-GB"/>
        </w:rPr>
      </w:pPr>
      <w:r w:rsidRPr="00CB1250">
        <w:rPr>
          <w:rFonts w:ascii="Arial" w:eastAsia="Times New Roman" w:hAnsi="Arial" w:cs="Arial"/>
          <w:b/>
          <w:sz w:val="24"/>
          <w:szCs w:val="24"/>
          <w:u w:val="single"/>
          <w:lang w:eastAsia="en-GB"/>
        </w:rPr>
        <w:t>JUDGMENT BY:</w:t>
      </w:r>
      <w:r w:rsidRPr="00CB1250">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CC5273">
        <w:rPr>
          <w:rFonts w:ascii="Arial" w:hAnsi="Arial"/>
          <w:sz w:val="24"/>
          <w:szCs w:val="24"/>
        </w:rPr>
        <w:t>MBHELE, DJP</w:t>
      </w:r>
    </w:p>
    <w:p w:rsidR="00CC5273" w:rsidRPr="00CB1250" w:rsidRDefault="00CC5273" w:rsidP="00CC5273">
      <w:pPr>
        <w:pBdr>
          <w:bottom w:val="single" w:sz="12" w:space="1" w:color="auto"/>
        </w:pBdr>
        <w:spacing w:after="0" w:line="240" w:lineRule="auto"/>
        <w:contextualSpacing/>
        <w:jc w:val="both"/>
        <w:rPr>
          <w:rFonts w:ascii="Arial" w:eastAsia="Times New Roman" w:hAnsi="Arial" w:cs="Arial"/>
          <w:sz w:val="24"/>
          <w:szCs w:val="24"/>
          <w:lang w:eastAsia="en-GB"/>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Pr="00CC5273"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noProof/>
          <w:sz w:val="24"/>
          <w:szCs w:val="24"/>
          <w:lang w:val="en-ZA"/>
        </w:rPr>
      </w:pPr>
      <w:r>
        <w:rPr>
          <w:rFonts w:ascii="Arial" w:hAnsi="Arial"/>
          <w:b/>
          <w:bCs/>
          <w:sz w:val="24"/>
          <w:szCs w:val="24"/>
          <w:u w:val="single"/>
        </w:rPr>
        <w:t>HEARD ON:</w:t>
      </w:r>
      <w:r>
        <w:rPr>
          <w:rFonts w:ascii="Arial" w:hAnsi="Arial" w:cs="Arial"/>
          <w:sz w:val="24"/>
          <w:szCs w:val="24"/>
        </w:rPr>
        <w:tab/>
      </w:r>
      <w:r>
        <w:rPr>
          <w:rFonts w:ascii="Arial" w:hAnsi="Arial" w:cs="Arial"/>
          <w:sz w:val="24"/>
          <w:szCs w:val="24"/>
        </w:rPr>
        <w:tab/>
      </w:r>
      <w:r w:rsidR="00CC5273">
        <w:rPr>
          <w:rFonts w:ascii="Arial" w:hAnsi="Arial" w:cs="Arial"/>
          <w:sz w:val="24"/>
          <w:szCs w:val="24"/>
        </w:rPr>
        <w:tab/>
      </w:r>
      <w:r w:rsidR="00CC5273">
        <w:rPr>
          <w:rFonts w:ascii="Arial" w:hAnsi="Arial" w:cs="Arial"/>
          <w:sz w:val="24"/>
          <w:szCs w:val="24"/>
        </w:rPr>
        <w:tab/>
      </w:r>
      <w:r w:rsidR="00373DAC" w:rsidRPr="00CC5273">
        <w:rPr>
          <w:rFonts w:ascii="Arial" w:hAnsi="Arial" w:cs="Arial"/>
          <w:sz w:val="24"/>
          <w:szCs w:val="24"/>
        </w:rPr>
        <w:t xml:space="preserve">15 </w:t>
      </w:r>
      <w:r w:rsidR="00CC5273" w:rsidRPr="00CC5273">
        <w:rPr>
          <w:rFonts w:ascii="Arial" w:hAnsi="Arial" w:cs="Arial"/>
          <w:sz w:val="24"/>
          <w:szCs w:val="24"/>
        </w:rPr>
        <w:t>MAY</w:t>
      </w:r>
      <w:r w:rsidR="00373DAC" w:rsidRPr="00CC5273">
        <w:rPr>
          <w:rFonts w:ascii="Arial" w:hAnsi="Arial" w:cs="Arial"/>
          <w:sz w:val="24"/>
          <w:szCs w:val="24"/>
        </w:rPr>
        <w:t xml:space="preserve"> 2023</w:t>
      </w:r>
      <w:r w:rsidR="00891DEF" w:rsidRPr="00CC5273">
        <w:rPr>
          <w:rFonts w:ascii="Arial" w:hAnsi="Arial" w:cs="Arial"/>
          <w:sz w:val="24"/>
          <w:szCs w:val="24"/>
        </w:rPr>
        <w:tab/>
      </w:r>
      <w:r w:rsidRPr="00CC5273">
        <w:rPr>
          <w:rFonts w:ascii="Arial" w:hAnsi="Arial" w:cs="Arial"/>
          <w:noProof/>
          <w:sz w:val="24"/>
          <w:szCs w:val="24"/>
          <w:lang w:val="en-ZA"/>
        </w:rPr>
        <w:tab/>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91B12DC"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C02968" w:rsidRPr="002C50E5" w:rsidRDefault="00302938" w:rsidP="00C02968">
      <w:pPr>
        <w:spacing w:after="0" w:line="36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Pr>
          <w:rFonts w:ascii="Arial" w:hAnsi="Arial" w:cs="Arial"/>
          <w:sz w:val="24"/>
          <w:szCs w:val="24"/>
        </w:rPr>
        <w:tab/>
      </w:r>
      <w:r w:rsidR="00CC5273">
        <w:rPr>
          <w:rFonts w:ascii="Arial" w:hAnsi="Arial" w:cs="Arial"/>
          <w:sz w:val="24"/>
          <w:szCs w:val="24"/>
        </w:rPr>
        <w:tab/>
      </w:r>
      <w:r w:rsidR="00C02968">
        <w:rPr>
          <w:rFonts w:ascii="Arial" w:hAnsi="Arial" w:cs="Arial"/>
          <w:sz w:val="24"/>
          <w:szCs w:val="24"/>
          <w:shd w:val="clear" w:color="auto" w:fill="FFFFFF"/>
        </w:rPr>
        <w:t>15 AUGUST</w:t>
      </w:r>
      <w:r w:rsidR="003760DF">
        <w:rPr>
          <w:rFonts w:ascii="Arial" w:hAnsi="Arial" w:cs="Arial"/>
          <w:sz w:val="24"/>
          <w:szCs w:val="24"/>
          <w:shd w:val="clear" w:color="auto" w:fill="FFFFFF"/>
        </w:rPr>
        <w:t xml:space="preserve"> 2023</w:t>
      </w:r>
    </w:p>
    <w:p w:rsidR="00302938" w:rsidRDefault="00302938" w:rsidP="00C0166D">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A6D4506" wp14:editId="2CFDE6F9">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759A6E9"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CC5273" w:rsidRDefault="00CC5273" w:rsidP="00F76B55">
      <w:pPr>
        <w:pStyle w:val="Default"/>
        <w:spacing w:line="360" w:lineRule="auto"/>
        <w:ind w:left="709" w:hanging="709"/>
        <w:jc w:val="both"/>
      </w:pPr>
    </w:p>
    <w:p w:rsidR="00C0166D" w:rsidRDefault="001913D9" w:rsidP="006C5113">
      <w:pPr>
        <w:pStyle w:val="Default"/>
        <w:spacing w:line="360" w:lineRule="auto"/>
        <w:ind w:left="709" w:hanging="709"/>
        <w:jc w:val="both"/>
      </w:pPr>
      <w:r>
        <w:t>[1]</w:t>
      </w:r>
      <w:r>
        <w:tab/>
      </w:r>
      <w:r w:rsidR="00D92186">
        <w:t xml:space="preserve">The applicant </w:t>
      </w:r>
      <w:r w:rsidR="00CC5273">
        <w:t>(</w:t>
      </w:r>
      <w:r w:rsidR="00EC59BB">
        <w:t xml:space="preserve">Fezi) </w:t>
      </w:r>
      <w:r w:rsidR="00D92186">
        <w:t>seeks and order reviewing and setting aside the decision by the first respondent</w:t>
      </w:r>
      <w:r w:rsidR="00CC5273">
        <w:t xml:space="preserve"> </w:t>
      </w:r>
      <w:r w:rsidR="001D13D2">
        <w:t>(CENTLEC</w:t>
      </w:r>
      <w:r w:rsidR="00EC59BB">
        <w:t>)</w:t>
      </w:r>
      <w:r w:rsidR="00D92186">
        <w:t xml:space="preserve"> to appoi</w:t>
      </w:r>
      <w:r w:rsidR="0066534A">
        <w:t>nt the second respondent</w:t>
      </w:r>
      <w:r w:rsidR="00EC59BB">
        <w:t xml:space="preserve"> (Makomota)</w:t>
      </w:r>
      <w:r w:rsidR="0066534A">
        <w:t xml:space="preserve"> as the suc</w:t>
      </w:r>
      <w:r w:rsidR="00CC5273">
        <w:t>cessful bidder</w:t>
      </w:r>
      <w:r w:rsidR="001D13D2">
        <w:t>. On 7 May 2021 CENTLEC</w:t>
      </w:r>
      <w:r w:rsidR="00CC5273">
        <w:t xml:space="preserve"> </w:t>
      </w:r>
      <w:r w:rsidR="001D13D2">
        <w:t xml:space="preserve">requested proposals from suitable and qualified service providers to perform the task on </w:t>
      </w:r>
      <w:r w:rsidR="001D13D2">
        <w:lastRenderedPageBreak/>
        <w:t>behalf of CENTLEC to compile an Infrastructur</w:t>
      </w:r>
      <w:r w:rsidR="00F5147B">
        <w:t xml:space="preserve">e Fixed Asset Register. </w:t>
      </w:r>
      <w:r w:rsidR="00CC5273">
        <w:t>Ten (</w:t>
      </w:r>
      <w:r w:rsidR="00F5147B">
        <w:t>10 Bidders submitted</w:t>
      </w:r>
      <w:r w:rsidR="001D13D2">
        <w:t xml:space="preserve"> bids including Fezi. </w:t>
      </w:r>
      <w:r w:rsidR="00C22E19">
        <w:t>Fezi’</w:t>
      </w:r>
      <w:r w:rsidR="00F5147B">
        <w:t>s is one of</w:t>
      </w:r>
      <w:r w:rsidR="00EA3434">
        <w:t xml:space="preserve"> unsuccessful bidder</w:t>
      </w:r>
      <w:r w:rsidR="001D13D2">
        <w:t>s</w:t>
      </w:r>
      <w:r w:rsidR="00EA3434">
        <w:t xml:space="preserve">. </w:t>
      </w:r>
    </w:p>
    <w:p w:rsidR="00C22E19" w:rsidRDefault="00C22E19" w:rsidP="006C5113">
      <w:pPr>
        <w:pStyle w:val="Default"/>
        <w:spacing w:line="360" w:lineRule="auto"/>
        <w:ind w:left="709" w:hanging="709"/>
        <w:jc w:val="both"/>
      </w:pPr>
    </w:p>
    <w:p w:rsidR="00C0166D" w:rsidRDefault="00C0166D" w:rsidP="006C5113">
      <w:pPr>
        <w:pStyle w:val="Default"/>
        <w:spacing w:line="360" w:lineRule="auto"/>
        <w:ind w:left="709" w:hanging="709"/>
        <w:jc w:val="both"/>
      </w:pPr>
    </w:p>
    <w:p w:rsidR="00616F3A" w:rsidRPr="00616F3A" w:rsidRDefault="00C0166D" w:rsidP="006C5113">
      <w:pPr>
        <w:spacing w:line="360" w:lineRule="auto"/>
        <w:ind w:left="720" w:hanging="720"/>
        <w:jc w:val="both"/>
        <w:rPr>
          <w:rFonts w:ascii="Arial" w:hAnsi="Arial" w:cs="Arial"/>
          <w:sz w:val="24"/>
          <w:szCs w:val="24"/>
        </w:rPr>
      </w:pPr>
      <w:r w:rsidRPr="00616F3A">
        <w:rPr>
          <w:rFonts w:ascii="Arial" w:hAnsi="Arial" w:cs="Arial"/>
          <w:sz w:val="24"/>
          <w:szCs w:val="24"/>
        </w:rPr>
        <w:t>[2]</w:t>
      </w:r>
      <w:r w:rsidR="00616F3A" w:rsidRPr="00616F3A">
        <w:rPr>
          <w:rFonts w:ascii="Arial" w:hAnsi="Arial" w:cs="Arial"/>
          <w:sz w:val="24"/>
          <w:szCs w:val="24"/>
        </w:rPr>
        <w:t xml:space="preserve"> </w:t>
      </w:r>
      <w:r w:rsidR="00683BFA">
        <w:rPr>
          <w:rFonts w:ascii="Arial" w:hAnsi="Arial" w:cs="Arial"/>
          <w:sz w:val="24"/>
          <w:szCs w:val="24"/>
        </w:rPr>
        <w:t xml:space="preserve">  </w:t>
      </w:r>
      <w:r w:rsidR="00616F3A" w:rsidRPr="00616F3A">
        <w:rPr>
          <w:rFonts w:ascii="Arial" w:hAnsi="Arial" w:cs="Arial"/>
          <w:sz w:val="24"/>
          <w:szCs w:val="24"/>
        </w:rPr>
        <w:t xml:space="preserve">  </w:t>
      </w:r>
      <w:r w:rsidR="00683BFA">
        <w:rPr>
          <w:rFonts w:ascii="Arial" w:hAnsi="Arial" w:cs="Arial"/>
          <w:sz w:val="24"/>
          <w:szCs w:val="24"/>
        </w:rPr>
        <w:t>The following were Technical S</w:t>
      </w:r>
      <w:r w:rsidR="00616F3A">
        <w:rPr>
          <w:rFonts w:ascii="Arial" w:hAnsi="Arial" w:cs="Arial"/>
          <w:sz w:val="24"/>
          <w:szCs w:val="24"/>
        </w:rPr>
        <w:t>pecification</w:t>
      </w:r>
      <w:r w:rsidR="00F05F16">
        <w:rPr>
          <w:rFonts w:ascii="Arial" w:hAnsi="Arial" w:cs="Arial"/>
          <w:sz w:val="24"/>
          <w:szCs w:val="24"/>
        </w:rPr>
        <w:t>s</w:t>
      </w:r>
      <w:r w:rsidR="00E7269E">
        <w:rPr>
          <w:rFonts w:ascii="Arial" w:hAnsi="Arial" w:cs="Arial"/>
          <w:sz w:val="24"/>
          <w:szCs w:val="24"/>
        </w:rPr>
        <w:t xml:space="preserve"> for the tender accompanied by a </w:t>
      </w:r>
      <w:r w:rsidR="00683BFA">
        <w:rPr>
          <w:rFonts w:ascii="Arial" w:hAnsi="Arial" w:cs="Arial"/>
          <w:sz w:val="24"/>
          <w:szCs w:val="24"/>
        </w:rPr>
        <w:t xml:space="preserve">   </w:t>
      </w:r>
      <w:r w:rsidR="00E7269E">
        <w:rPr>
          <w:rFonts w:ascii="Arial" w:hAnsi="Arial" w:cs="Arial"/>
          <w:sz w:val="24"/>
          <w:szCs w:val="24"/>
        </w:rPr>
        <w:t xml:space="preserve">summary of the infrastructure Fixed Asset Register value: </w:t>
      </w:r>
    </w:p>
    <w:p w:rsidR="00616F3A" w:rsidRDefault="00616F3A" w:rsidP="006C5113">
      <w:pPr>
        <w:spacing w:line="360" w:lineRule="auto"/>
        <w:jc w:val="both"/>
      </w:pPr>
    </w:p>
    <w:p w:rsidR="00616F3A" w:rsidRPr="00CC5273" w:rsidRDefault="00616F3A" w:rsidP="006C5113">
      <w:pPr>
        <w:spacing w:line="360" w:lineRule="auto"/>
        <w:jc w:val="both"/>
        <w:rPr>
          <w:rFonts w:ascii="Arial" w:hAnsi="Arial" w:cs="Arial"/>
          <w:sz w:val="20"/>
          <w:szCs w:val="20"/>
        </w:rPr>
      </w:pPr>
      <w:r>
        <w:t xml:space="preserve">          </w:t>
      </w:r>
      <w:r>
        <w:tab/>
      </w:r>
      <w:r w:rsidR="00E12360" w:rsidRPr="00CC5273">
        <w:rPr>
          <w:sz w:val="20"/>
          <w:szCs w:val="20"/>
        </w:rPr>
        <w:t>‘4</w:t>
      </w:r>
      <w:r w:rsidR="00F05F16" w:rsidRPr="00CC5273">
        <w:rPr>
          <w:rFonts w:ascii="Arial" w:hAnsi="Arial" w:cs="Arial"/>
          <w:sz w:val="20"/>
          <w:szCs w:val="20"/>
        </w:rPr>
        <w:t xml:space="preserve">. </w:t>
      </w:r>
      <w:r w:rsidRPr="00CC5273">
        <w:rPr>
          <w:rFonts w:ascii="Arial" w:hAnsi="Arial" w:cs="Arial"/>
          <w:sz w:val="20"/>
          <w:szCs w:val="20"/>
        </w:rPr>
        <w:t>TECHNICAL SPECIFICATION</w:t>
      </w:r>
    </w:p>
    <w:p w:rsidR="00616F3A" w:rsidRPr="00CC5273" w:rsidRDefault="00616F3A" w:rsidP="006C5113">
      <w:pPr>
        <w:spacing w:line="360" w:lineRule="auto"/>
        <w:ind w:left="1440" w:hanging="720"/>
        <w:jc w:val="both"/>
        <w:rPr>
          <w:rFonts w:ascii="Arial" w:hAnsi="Arial" w:cs="Arial"/>
          <w:sz w:val="20"/>
          <w:szCs w:val="20"/>
        </w:rPr>
      </w:pPr>
      <w:r w:rsidRPr="00CC5273">
        <w:rPr>
          <w:rFonts w:ascii="Arial" w:hAnsi="Arial" w:cs="Arial"/>
          <w:sz w:val="20"/>
          <w:szCs w:val="20"/>
        </w:rPr>
        <w:t>4.1.</w:t>
      </w:r>
      <w:r w:rsidR="00683BFA" w:rsidRPr="00CC5273">
        <w:rPr>
          <w:rFonts w:ascii="Arial" w:hAnsi="Arial" w:cs="Arial"/>
          <w:sz w:val="20"/>
          <w:szCs w:val="20"/>
        </w:rPr>
        <w:tab/>
      </w:r>
      <w:r w:rsidR="00F05F16" w:rsidRPr="00CC5273">
        <w:rPr>
          <w:rFonts w:ascii="Arial" w:hAnsi="Arial" w:cs="Arial"/>
          <w:sz w:val="20"/>
          <w:szCs w:val="20"/>
        </w:rPr>
        <w:t xml:space="preserve"> </w:t>
      </w:r>
      <w:r w:rsidRPr="00CC5273">
        <w:rPr>
          <w:rFonts w:ascii="Arial" w:hAnsi="Arial" w:cs="Arial"/>
          <w:sz w:val="20"/>
          <w:szCs w:val="20"/>
        </w:rPr>
        <w:t>Develop the verification and condition</w:t>
      </w:r>
      <w:r w:rsidR="00683BFA" w:rsidRPr="00CC5273">
        <w:rPr>
          <w:rFonts w:ascii="Arial" w:hAnsi="Arial" w:cs="Arial"/>
          <w:sz w:val="20"/>
          <w:szCs w:val="20"/>
        </w:rPr>
        <w:t xml:space="preserve"> assessment methodology (using </w:t>
      </w:r>
      <w:r w:rsidRPr="00CC5273">
        <w:rPr>
          <w:rFonts w:ascii="Arial" w:hAnsi="Arial" w:cs="Arial"/>
          <w:sz w:val="20"/>
          <w:szCs w:val="20"/>
        </w:rPr>
        <w:t>a sliding scale) which should be submitted to the Management, Auditor</w:t>
      </w:r>
      <w:r w:rsidRPr="00CC5273">
        <w:rPr>
          <w:rFonts w:ascii="Arial" w:hAnsi="Arial" w:cs="Arial"/>
          <w:sz w:val="20"/>
          <w:szCs w:val="20"/>
        </w:rPr>
        <w:tab/>
        <w:t>General</w:t>
      </w:r>
      <w:r w:rsidR="00ED3216" w:rsidRPr="00CC5273">
        <w:rPr>
          <w:rFonts w:ascii="Arial" w:hAnsi="Arial" w:cs="Arial"/>
          <w:sz w:val="20"/>
          <w:szCs w:val="20"/>
        </w:rPr>
        <w:t xml:space="preserve"> </w:t>
      </w:r>
      <w:r w:rsidRPr="00CC5273">
        <w:rPr>
          <w:rFonts w:ascii="Arial" w:hAnsi="Arial" w:cs="Arial"/>
          <w:sz w:val="20"/>
          <w:szCs w:val="20"/>
        </w:rPr>
        <w:t>and National Treasury for approval.</w:t>
      </w:r>
    </w:p>
    <w:p w:rsidR="00616F3A" w:rsidRPr="00CC5273" w:rsidRDefault="00616F3A" w:rsidP="006C5113">
      <w:pPr>
        <w:spacing w:line="360" w:lineRule="auto"/>
        <w:ind w:left="1440" w:hanging="720"/>
        <w:jc w:val="both"/>
        <w:rPr>
          <w:rFonts w:ascii="Arial" w:hAnsi="Arial" w:cs="Arial"/>
          <w:sz w:val="20"/>
          <w:szCs w:val="20"/>
        </w:rPr>
      </w:pPr>
      <w:r w:rsidRPr="00CC5273">
        <w:rPr>
          <w:rFonts w:ascii="Arial" w:hAnsi="Arial" w:cs="Arial"/>
          <w:sz w:val="20"/>
          <w:szCs w:val="20"/>
        </w:rPr>
        <w:t>4.2.</w:t>
      </w:r>
      <w:r w:rsidRPr="00CC5273">
        <w:rPr>
          <w:rFonts w:ascii="Arial" w:hAnsi="Arial" w:cs="Arial"/>
          <w:sz w:val="20"/>
          <w:szCs w:val="20"/>
        </w:rPr>
        <w:tab/>
        <w:t xml:space="preserve">Perform a physical verification (and update / include GIS shape files) of </w:t>
      </w:r>
      <w:r w:rsidRPr="00CC5273">
        <w:rPr>
          <w:rFonts w:ascii="Arial" w:hAnsi="Arial" w:cs="Arial"/>
          <w:sz w:val="20"/>
          <w:szCs w:val="20"/>
        </w:rPr>
        <w:tab/>
        <w:t xml:space="preserve">all additions of electricity infrastructure assets, per the entity’s Fixed </w:t>
      </w:r>
      <w:r w:rsidRPr="00CC5273">
        <w:rPr>
          <w:rFonts w:ascii="Arial" w:hAnsi="Arial" w:cs="Arial"/>
          <w:sz w:val="20"/>
          <w:szCs w:val="20"/>
        </w:rPr>
        <w:tab/>
        <w:t xml:space="preserve">Asset Register and updated periodically during financial year under </w:t>
      </w:r>
      <w:r w:rsidRPr="00CC5273">
        <w:rPr>
          <w:rFonts w:ascii="Arial" w:hAnsi="Arial" w:cs="Arial"/>
          <w:sz w:val="20"/>
          <w:szCs w:val="20"/>
        </w:rPr>
        <w:tab/>
        <w:t>review.</w:t>
      </w:r>
    </w:p>
    <w:p w:rsidR="00616F3A" w:rsidRPr="00CC5273" w:rsidRDefault="00616F3A" w:rsidP="006C5113">
      <w:pPr>
        <w:spacing w:line="360" w:lineRule="auto"/>
        <w:ind w:left="1437" w:hanging="728"/>
        <w:jc w:val="both"/>
        <w:rPr>
          <w:rFonts w:ascii="Arial" w:hAnsi="Arial" w:cs="Arial"/>
          <w:sz w:val="20"/>
          <w:szCs w:val="20"/>
        </w:rPr>
      </w:pPr>
      <w:r w:rsidRPr="00CC5273">
        <w:rPr>
          <w:rFonts w:ascii="Arial" w:hAnsi="Arial" w:cs="Arial"/>
          <w:sz w:val="20"/>
          <w:szCs w:val="20"/>
        </w:rPr>
        <w:t>4.3.</w:t>
      </w:r>
      <w:r w:rsidRPr="00CC5273">
        <w:rPr>
          <w:rFonts w:ascii="Arial" w:hAnsi="Arial" w:cs="Arial"/>
          <w:sz w:val="20"/>
          <w:szCs w:val="20"/>
        </w:rPr>
        <w:tab/>
        <w:t>Perform a condition assessment of each item of electricity infrastructure assets listed per the entity’s Fixed Asset Register.</w:t>
      </w:r>
    </w:p>
    <w:p w:rsidR="00616F3A" w:rsidRPr="00CC5273" w:rsidRDefault="006C5113" w:rsidP="006C5113">
      <w:pPr>
        <w:spacing w:line="360" w:lineRule="auto"/>
        <w:ind w:left="1437" w:hanging="870"/>
        <w:jc w:val="both"/>
        <w:rPr>
          <w:rFonts w:ascii="Arial" w:hAnsi="Arial" w:cs="Arial"/>
          <w:sz w:val="20"/>
          <w:szCs w:val="20"/>
        </w:rPr>
      </w:pPr>
      <w:r>
        <w:rPr>
          <w:rFonts w:ascii="Arial" w:hAnsi="Arial" w:cs="Arial"/>
          <w:sz w:val="20"/>
          <w:szCs w:val="20"/>
        </w:rPr>
        <w:t xml:space="preserve">  </w:t>
      </w:r>
      <w:r w:rsidR="00616F3A" w:rsidRPr="00CC5273">
        <w:rPr>
          <w:rFonts w:ascii="Arial" w:hAnsi="Arial" w:cs="Arial"/>
          <w:sz w:val="20"/>
          <w:szCs w:val="20"/>
        </w:rPr>
        <w:t>4.4.</w:t>
      </w:r>
      <w:r w:rsidR="00616F3A" w:rsidRPr="00CC5273">
        <w:rPr>
          <w:rFonts w:ascii="Arial" w:hAnsi="Arial" w:cs="Arial"/>
          <w:sz w:val="20"/>
          <w:szCs w:val="20"/>
        </w:rPr>
        <w:tab/>
        <w:t>The team should be available, afte</w:t>
      </w:r>
      <w:r w:rsidR="00683BFA" w:rsidRPr="00CC5273">
        <w:rPr>
          <w:rFonts w:ascii="Arial" w:hAnsi="Arial" w:cs="Arial"/>
          <w:sz w:val="20"/>
          <w:szCs w:val="20"/>
        </w:rPr>
        <w:t xml:space="preserve">r the assignment, to assist in </w:t>
      </w:r>
      <w:r w:rsidR="00616F3A" w:rsidRPr="00CC5273">
        <w:rPr>
          <w:rFonts w:ascii="Arial" w:hAnsi="Arial" w:cs="Arial"/>
          <w:sz w:val="20"/>
          <w:szCs w:val="20"/>
        </w:rPr>
        <w:t>addressing Audit queries based o</w:t>
      </w:r>
      <w:r w:rsidR="00F44EBD" w:rsidRPr="00CC5273">
        <w:rPr>
          <w:rFonts w:ascii="Arial" w:hAnsi="Arial" w:cs="Arial"/>
          <w:sz w:val="20"/>
          <w:szCs w:val="20"/>
        </w:rPr>
        <w:t xml:space="preserve">n the valuations that they have </w:t>
      </w:r>
      <w:r w:rsidR="00616F3A" w:rsidRPr="00CC5273">
        <w:rPr>
          <w:rFonts w:ascii="Arial" w:hAnsi="Arial" w:cs="Arial"/>
          <w:sz w:val="20"/>
          <w:szCs w:val="20"/>
        </w:rPr>
        <w:t>performed.</w:t>
      </w:r>
    </w:p>
    <w:p w:rsidR="00616F3A" w:rsidRPr="00CC5273" w:rsidRDefault="006C5113" w:rsidP="006C5113">
      <w:pPr>
        <w:spacing w:line="360" w:lineRule="auto"/>
        <w:ind w:left="1437" w:hanging="870"/>
        <w:jc w:val="both"/>
        <w:rPr>
          <w:rFonts w:ascii="Arial" w:hAnsi="Arial" w:cs="Arial"/>
          <w:sz w:val="20"/>
          <w:szCs w:val="20"/>
        </w:rPr>
      </w:pPr>
      <w:r>
        <w:rPr>
          <w:rFonts w:ascii="Arial" w:hAnsi="Arial" w:cs="Arial"/>
          <w:sz w:val="20"/>
          <w:szCs w:val="20"/>
        </w:rPr>
        <w:t xml:space="preserve">  </w:t>
      </w:r>
      <w:r w:rsidR="00616F3A" w:rsidRPr="00CC5273">
        <w:rPr>
          <w:rFonts w:ascii="Arial" w:hAnsi="Arial" w:cs="Arial"/>
          <w:sz w:val="20"/>
          <w:szCs w:val="20"/>
        </w:rPr>
        <w:t>4.5.</w:t>
      </w:r>
      <w:r w:rsidR="00616F3A" w:rsidRPr="00CC5273">
        <w:rPr>
          <w:rFonts w:ascii="Arial" w:hAnsi="Arial" w:cs="Arial"/>
          <w:sz w:val="20"/>
          <w:szCs w:val="20"/>
        </w:rPr>
        <w:tab/>
        <w:t>Draft the required adjusting journals to account for changes arising from the asset related process (e.g. De</w:t>
      </w:r>
      <w:r w:rsidR="00F44EBD" w:rsidRPr="00CC5273">
        <w:rPr>
          <w:rFonts w:ascii="Arial" w:hAnsi="Arial" w:cs="Arial"/>
          <w:sz w:val="20"/>
          <w:szCs w:val="20"/>
        </w:rPr>
        <w:t xml:space="preserve">preciation, Disposals, Work in </w:t>
      </w:r>
      <w:r w:rsidR="00616F3A" w:rsidRPr="00CC5273">
        <w:rPr>
          <w:rFonts w:ascii="Arial" w:hAnsi="Arial" w:cs="Arial"/>
          <w:sz w:val="20"/>
          <w:szCs w:val="20"/>
        </w:rPr>
        <w:t>Progress).</w:t>
      </w:r>
    </w:p>
    <w:p w:rsidR="00616F3A" w:rsidRPr="00CC5273" w:rsidRDefault="006C5113" w:rsidP="006C5113">
      <w:pPr>
        <w:spacing w:line="360" w:lineRule="auto"/>
        <w:ind w:left="1437" w:hanging="870"/>
        <w:jc w:val="both"/>
        <w:rPr>
          <w:rFonts w:ascii="Arial" w:hAnsi="Arial" w:cs="Arial"/>
          <w:sz w:val="20"/>
          <w:szCs w:val="20"/>
        </w:rPr>
      </w:pPr>
      <w:r>
        <w:rPr>
          <w:rFonts w:ascii="Arial" w:hAnsi="Arial" w:cs="Arial"/>
          <w:sz w:val="20"/>
          <w:szCs w:val="20"/>
        </w:rPr>
        <w:t xml:space="preserve">  </w:t>
      </w:r>
      <w:r w:rsidR="00616F3A" w:rsidRPr="00CC5273">
        <w:rPr>
          <w:rFonts w:ascii="Arial" w:hAnsi="Arial" w:cs="Arial"/>
          <w:sz w:val="20"/>
          <w:szCs w:val="20"/>
        </w:rPr>
        <w:t>4.6.</w:t>
      </w:r>
      <w:r w:rsidR="00616F3A" w:rsidRPr="00CC5273">
        <w:rPr>
          <w:rFonts w:ascii="Arial" w:hAnsi="Arial" w:cs="Arial"/>
          <w:sz w:val="20"/>
          <w:szCs w:val="20"/>
        </w:rPr>
        <w:tab/>
        <w:t>Compile a detailed working paper file with sufficient support for all adjustments make to the Fixed Asset Register.</w:t>
      </w:r>
    </w:p>
    <w:p w:rsidR="00616F3A" w:rsidRPr="00CC5273" w:rsidRDefault="006C5113" w:rsidP="006C5113">
      <w:pPr>
        <w:spacing w:line="360" w:lineRule="auto"/>
        <w:ind w:left="567"/>
        <w:jc w:val="both"/>
        <w:rPr>
          <w:rFonts w:ascii="Arial" w:hAnsi="Arial" w:cs="Arial"/>
          <w:b/>
          <w:sz w:val="20"/>
          <w:szCs w:val="20"/>
        </w:rPr>
      </w:pPr>
      <w:r>
        <w:rPr>
          <w:rFonts w:ascii="Arial" w:hAnsi="Arial" w:cs="Arial"/>
          <w:b/>
          <w:sz w:val="20"/>
          <w:szCs w:val="20"/>
        </w:rPr>
        <w:t xml:space="preserve">  </w:t>
      </w:r>
      <w:r w:rsidR="00616F3A" w:rsidRPr="00CC5273">
        <w:rPr>
          <w:rFonts w:ascii="Arial" w:hAnsi="Arial" w:cs="Arial"/>
          <w:b/>
          <w:sz w:val="20"/>
          <w:szCs w:val="20"/>
        </w:rPr>
        <w:t>4.7.</w:t>
      </w:r>
      <w:r w:rsidR="00616F3A" w:rsidRPr="00CC5273">
        <w:rPr>
          <w:rFonts w:ascii="Arial" w:hAnsi="Arial" w:cs="Arial"/>
          <w:b/>
          <w:sz w:val="20"/>
          <w:szCs w:val="20"/>
        </w:rPr>
        <w:tab/>
        <w:t>Summary of the Infrastructure Fixed Asset Register value:</w:t>
      </w:r>
    </w:p>
    <w:tbl>
      <w:tblPr>
        <w:tblStyle w:val="TableGrid"/>
        <w:tblW w:w="0" w:type="auto"/>
        <w:tblInd w:w="704" w:type="dxa"/>
        <w:tblLook w:val="04A0" w:firstRow="1" w:lastRow="0" w:firstColumn="1" w:lastColumn="0" w:noHBand="0" w:noVBand="1"/>
      </w:tblPr>
      <w:tblGrid>
        <w:gridCol w:w="4066"/>
        <w:gridCol w:w="4246"/>
      </w:tblGrid>
      <w:tr w:rsidR="00616F3A" w:rsidRPr="00616F3A" w:rsidTr="00DC3ED7">
        <w:tc>
          <w:tcPr>
            <w:tcW w:w="4066" w:type="dxa"/>
          </w:tcPr>
          <w:p w:rsidR="00616F3A" w:rsidRPr="00616F3A" w:rsidRDefault="00616F3A" w:rsidP="003B4C6F">
            <w:pPr>
              <w:jc w:val="both"/>
              <w:rPr>
                <w:rFonts w:ascii="Arial" w:hAnsi="Arial" w:cs="Arial"/>
                <w:b/>
                <w:sz w:val="20"/>
                <w:szCs w:val="20"/>
              </w:rPr>
            </w:pPr>
            <w:r w:rsidRPr="00616F3A">
              <w:rPr>
                <w:rFonts w:ascii="Arial" w:hAnsi="Arial" w:cs="Arial"/>
                <w:b/>
                <w:sz w:val="20"/>
                <w:szCs w:val="20"/>
              </w:rPr>
              <w:t>Description</w:t>
            </w:r>
          </w:p>
          <w:p w:rsidR="00616F3A" w:rsidRPr="00616F3A" w:rsidRDefault="00616F3A" w:rsidP="003B4C6F">
            <w:pPr>
              <w:jc w:val="both"/>
              <w:rPr>
                <w:rFonts w:ascii="Arial" w:hAnsi="Arial" w:cs="Arial"/>
                <w:sz w:val="20"/>
                <w:szCs w:val="20"/>
              </w:rPr>
            </w:pPr>
          </w:p>
        </w:tc>
        <w:tc>
          <w:tcPr>
            <w:tcW w:w="4246" w:type="dxa"/>
          </w:tcPr>
          <w:p w:rsidR="00616F3A" w:rsidRPr="00616F3A" w:rsidRDefault="00616F3A" w:rsidP="003B4C6F">
            <w:pPr>
              <w:jc w:val="both"/>
              <w:rPr>
                <w:rFonts w:ascii="Arial" w:hAnsi="Arial" w:cs="Arial"/>
                <w:b/>
                <w:sz w:val="20"/>
                <w:szCs w:val="20"/>
              </w:rPr>
            </w:pPr>
            <w:r w:rsidRPr="00616F3A">
              <w:rPr>
                <w:rFonts w:ascii="Arial" w:hAnsi="Arial" w:cs="Arial"/>
                <w:b/>
                <w:sz w:val="20"/>
                <w:szCs w:val="20"/>
              </w:rPr>
              <w:t>Closing balance 2019/2020 Value</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HV Civil</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160, 656,950.87</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HV Conductors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442,235,069.33</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HV Equipment</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131,197,467.90</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HV Towers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894,518,539.90</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HV Transformer</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278,802,483.42</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Load Control Equipment</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2,896,114.48</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LV Conductors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1,251,126,260.88</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LV Service Connections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28,334,830.20</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LV Service Distribution Box</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190,943,127.55</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Meter</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68,715,279.25</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Poles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450,906,855.53</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Battery Chargers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29,567,650.85</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lastRenderedPageBreak/>
              <w:t>MV Conductors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1,130,245,766.67</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Load Centers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332,869,736.84</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MV Substation Building</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60,712,986.31</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Overhead Line Equipment</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30,861,032.51</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Protection Metering Equipment</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33,415,990.25</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Quality of Supply</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1,902.795.72</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Street Lights</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75,324,104.62</w:t>
            </w:r>
          </w:p>
        </w:tc>
      </w:tr>
      <w:tr w:rsidR="00616F3A" w:rsidRPr="00616F3A" w:rsidTr="00DC3ED7">
        <w:tc>
          <w:tcPr>
            <w:tcW w:w="406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Switchgear</w:t>
            </w:r>
          </w:p>
        </w:tc>
        <w:tc>
          <w:tcPr>
            <w:tcW w:w="4246" w:type="dxa"/>
          </w:tcPr>
          <w:p w:rsidR="00616F3A" w:rsidRPr="00616F3A" w:rsidRDefault="00616F3A" w:rsidP="003B4C6F">
            <w:pPr>
              <w:jc w:val="both"/>
              <w:rPr>
                <w:rFonts w:ascii="Arial" w:hAnsi="Arial" w:cs="Arial"/>
                <w:sz w:val="20"/>
                <w:szCs w:val="20"/>
              </w:rPr>
            </w:pPr>
            <w:r w:rsidRPr="00616F3A">
              <w:rPr>
                <w:rFonts w:ascii="Arial" w:hAnsi="Arial" w:cs="Arial"/>
                <w:sz w:val="20"/>
                <w:szCs w:val="20"/>
              </w:rPr>
              <w:t>R                749,557,058.60</w:t>
            </w:r>
          </w:p>
        </w:tc>
      </w:tr>
    </w:tbl>
    <w:p w:rsidR="00616F3A" w:rsidRPr="00616F3A" w:rsidRDefault="00616F3A" w:rsidP="00616F3A">
      <w:pPr>
        <w:pBdr>
          <w:bottom w:val="double" w:sz="4" w:space="1" w:color="auto"/>
        </w:pBdr>
        <w:tabs>
          <w:tab w:val="left" w:pos="3828"/>
          <w:tab w:val="left" w:pos="6521"/>
        </w:tabs>
        <w:ind w:left="426"/>
        <w:jc w:val="both"/>
        <w:rPr>
          <w:rFonts w:ascii="Arial" w:hAnsi="Arial" w:cs="Arial"/>
          <w:sz w:val="20"/>
          <w:szCs w:val="20"/>
        </w:rPr>
      </w:pPr>
      <w:r w:rsidRPr="00616F3A">
        <w:rPr>
          <w:rFonts w:ascii="Arial" w:hAnsi="Arial" w:cs="Arial"/>
          <w:sz w:val="20"/>
          <w:szCs w:val="20"/>
        </w:rPr>
        <w:t xml:space="preserve">                                                                   R             6,344,790,101.00</w:t>
      </w:r>
    </w:p>
    <w:p w:rsidR="00616F3A" w:rsidRPr="00616F3A" w:rsidRDefault="00616F3A" w:rsidP="00DC3ED7">
      <w:pPr>
        <w:spacing w:line="360" w:lineRule="auto"/>
        <w:ind w:left="1436" w:hanging="1010"/>
        <w:jc w:val="both"/>
        <w:rPr>
          <w:rFonts w:ascii="Arial" w:hAnsi="Arial" w:cs="Arial"/>
          <w:sz w:val="20"/>
          <w:szCs w:val="20"/>
        </w:rPr>
      </w:pPr>
      <w:r w:rsidRPr="00616F3A">
        <w:rPr>
          <w:rFonts w:ascii="Arial" w:hAnsi="Arial" w:cs="Arial"/>
          <w:sz w:val="20"/>
          <w:szCs w:val="20"/>
        </w:rPr>
        <w:t>4.8.</w:t>
      </w:r>
      <w:r w:rsidRPr="00616F3A">
        <w:rPr>
          <w:rFonts w:ascii="Arial" w:hAnsi="Arial" w:cs="Arial"/>
          <w:sz w:val="20"/>
          <w:szCs w:val="20"/>
        </w:rPr>
        <w:tab/>
        <w:t>The work in progress will need to be inspected and any completed projects need to be componentized and capitalized as additions.</w:t>
      </w:r>
    </w:p>
    <w:p w:rsidR="00616F3A" w:rsidRPr="00616F3A" w:rsidRDefault="0011127E" w:rsidP="00DC3ED7">
      <w:pPr>
        <w:spacing w:line="360" w:lineRule="auto"/>
        <w:ind w:left="1436" w:hanging="1010"/>
        <w:jc w:val="both"/>
        <w:rPr>
          <w:rFonts w:ascii="Arial" w:hAnsi="Arial" w:cs="Arial"/>
          <w:sz w:val="20"/>
          <w:szCs w:val="20"/>
        </w:rPr>
      </w:pPr>
      <w:r>
        <w:rPr>
          <w:rFonts w:ascii="Arial" w:hAnsi="Arial" w:cs="Arial"/>
          <w:sz w:val="20"/>
          <w:szCs w:val="20"/>
        </w:rPr>
        <w:t xml:space="preserve">4.9.  </w:t>
      </w:r>
      <w:r w:rsidR="00ED3216">
        <w:rPr>
          <w:rFonts w:ascii="Arial" w:hAnsi="Arial" w:cs="Arial"/>
          <w:sz w:val="20"/>
          <w:szCs w:val="20"/>
        </w:rPr>
        <w:tab/>
      </w:r>
      <w:r w:rsidR="00616F3A" w:rsidRPr="00616F3A">
        <w:rPr>
          <w:rFonts w:ascii="Arial" w:hAnsi="Arial" w:cs="Arial"/>
          <w:sz w:val="20"/>
          <w:szCs w:val="20"/>
        </w:rPr>
        <w:t>Disposals/scrapped assets will need to</w:t>
      </w:r>
      <w:r>
        <w:rPr>
          <w:rFonts w:ascii="Arial" w:hAnsi="Arial" w:cs="Arial"/>
          <w:sz w:val="20"/>
          <w:szCs w:val="20"/>
        </w:rPr>
        <w:t xml:space="preserve"> be identified and ensure that </w:t>
      </w:r>
      <w:r w:rsidR="00616F3A" w:rsidRPr="00616F3A">
        <w:rPr>
          <w:rFonts w:ascii="Arial" w:hAnsi="Arial" w:cs="Arial"/>
          <w:sz w:val="20"/>
          <w:szCs w:val="20"/>
        </w:rPr>
        <w:t>the correct accounting treatments is applied to these items.</w:t>
      </w:r>
      <w:r w:rsidR="00CF3AE3">
        <w:rPr>
          <w:rFonts w:ascii="Arial" w:hAnsi="Arial" w:cs="Arial"/>
          <w:sz w:val="20"/>
          <w:szCs w:val="20"/>
        </w:rPr>
        <w:t>’</w:t>
      </w:r>
    </w:p>
    <w:p w:rsidR="00616F3A" w:rsidRPr="00616F3A" w:rsidRDefault="00616F3A" w:rsidP="00DC3ED7">
      <w:pPr>
        <w:spacing w:line="360" w:lineRule="auto"/>
        <w:ind w:left="426"/>
        <w:jc w:val="both"/>
        <w:rPr>
          <w:rFonts w:ascii="Arial" w:hAnsi="Arial" w:cs="Arial"/>
          <w:sz w:val="20"/>
          <w:szCs w:val="20"/>
        </w:rPr>
      </w:pPr>
    </w:p>
    <w:p w:rsidR="000E3702" w:rsidRDefault="00616F3A" w:rsidP="00DC3ED7">
      <w:pPr>
        <w:pStyle w:val="Default"/>
        <w:spacing w:line="360" w:lineRule="auto"/>
        <w:ind w:left="709" w:hanging="709"/>
        <w:jc w:val="both"/>
      </w:pPr>
      <w:r>
        <w:t xml:space="preserve">[3]  </w:t>
      </w:r>
      <w:r w:rsidR="00F05F16">
        <w:t xml:space="preserve"> </w:t>
      </w:r>
      <w:r w:rsidR="00A30F3C">
        <w:tab/>
      </w:r>
      <w:r w:rsidR="00CC5273">
        <w:t>P</w:t>
      </w:r>
      <w:r w:rsidR="001921A8">
        <w:t>a</w:t>
      </w:r>
      <w:r w:rsidR="00CC5273">
        <w:t>ra</w:t>
      </w:r>
      <w:r w:rsidR="001921A8">
        <w:t xml:space="preserve">graph </w:t>
      </w:r>
      <w:r w:rsidR="00DF26D0">
        <w:t>4.2 above shows that the bidders were required to</w:t>
      </w:r>
      <w:r w:rsidR="00DF26D0" w:rsidRPr="00DF26D0">
        <w:rPr>
          <w:sz w:val="20"/>
          <w:szCs w:val="20"/>
        </w:rPr>
        <w:t xml:space="preserve"> </w:t>
      </w:r>
      <w:r w:rsidR="00DF26D0" w:rsidRPr="00DF26D0">
        <w:t>p</w:t>
      </w:r>
      <w:r w:rsidR="00CF3AE3">
        <w:t xml:space="preserve">erform a physical verification </w:t>
      </w:r>
      <w:r w:rsidR="00DF26D0" w:rsidRPr="00DF26D0">
        <w:t>and u</w:t>
      </w:r>
      <w:r w:rsidR="00CF3AE3">
        <w:t>pdate</w:t>
      </w:r>
      <w:r w:rsidR="00DF26D0" w:rsidRPr="00DF26D0">
        <w:t xml:space="preserve"> of </w:t>
      </w:r>
      <w:r w:rsidR="00DF26D0">
        <w:t>a</w:t>
      </w:r>
      <w:r w:rsidR="00DF26D0" w:rsidRPr="00DF26D0">
        <w:t>ll additions of electricity infrastructure assets, per the entity’s F</w:t>
      </w:r>
      <w:r w:rsidR="00CF3AE3">
        <w:t xml:space="preserve">ixed Asset Register and update same </w:t>
      </w:r>
      <w:r w:rsidR="00DF26D0" w:rsidRPr="00DF26D0">
        <w:t xml:space="preserve">periodically during financial year under </w:t>
      </w:r>
      <w:r w:rsidR="00CC5273">
        <w:t>r</w:t>
      </w:r>
      <w:r w:rsidR="00DF26D0" w:rsidRPr="00DF26D0">
        <w:t xml:space="preserve">eview. </w:t>
      </w:r>
      <w:r w:rsidR="00057DF1" w:rsidRPr="00DF26D0">
        <w:t>One of the co</w:t>
      </w:r>
      <w:r w:rsidR="00057DF1">
        <w:t>nditions of the tender was that the</w:t>
      </w:r>
      <w:r w:rsidR="00E344D8">
        <w:t xml:space="preserve"> request for proposal contract price shall be for a fixed price and tenderers were required to complete a precast pricing schedule. The precast schedule made provision for four constituen</w:t>
      </w:r>
      <w:r w:rsidR="00A30F3C">
        <w:t xml:space="preserve">cies of services to be rendered as tabulated below: </w:t>
      </w:r>
    </w:p>
    <w:p w:rsidR="00057DF1" w:rsidRDefault="00057DF1" w:rsidP="00DC3ED7">
      <w:pPr>
        <w:pStyle w:val="Default"/>
        <w:spacing w:line="360" w:lineRule="auto"/>
        <w:ind w:left="709" w:hanging="709"/>
        <w:jc w:val="both"/>
      </w:pPr>
    </w:p>
    <w:p w:rsidR="00A30F3C" w:rsidRPr="00A30F3C" w:rsidRDefault="00A30F3C" w:rsidP="00DC3ED7">
      <w:pPr>
        <w:spacing w:line="360" w:lineRule="auto"/>
        <w:ind w:left="426" w:firstLine="283"/>
        <w:rPr>
          <w:rFonts w:ascii="Arial" w:hAnsi="Arial" w:cs="Arial"/>
          <w:sz w:val="20"/>
          <w:szCs w:val="20"/>
        </w:rPr>
      </w:pPr>
      <w:r>
        <w:rPr>
          <w:rFonts w:ascii="Arial" w:hAnsi="Arial" w:cs="Arial"/>
          <w:sz w:val="20"/>
          <w:szCs w:val="20"/>
        </w:rPr>
        <w:t>‘</w:t>
      </w:r>
      <w:r w:rsidRPr="00A30F3C">
        <w:rPr>
          <w:rFonts w:ascii="Arial" w:hAnsi="Arial" w:cs="Arial"/>
          <w:sz w:val="20"/>
          <w:szCs w:val="20"/>
        </w:rPr>
        <w:t>7.</w:t>
      </w:r>
      <w:r w:rsidRPr="00A30F3C">
        <w:rPr>
          <w:rFonts w:ascii="Arial" w:hAnsi="Arial" w:cs="Arial"/>
          <w:sz w:val="20"/>
          <w:szCs w:val="20"/>
        </w:rPr>
        <w:tab/>
        <w:t>PRICING SCHEDULES</w:t>
      </w:r>
    </w:p>
    <w:p w:rsidR="00A30F3C" w:rsidRPr="00A30F3C" w:rsidRDefault="00A30F3C" w:rsidP="00DC3ED7">
      <w:pPr>
        <w:spacing w:line="360" w:lineRule="auto"/>
        <w:ind w:left="1146" w:firstLine="294"/>
        <w:rPr>
          <w:rFonts w:ascii="Arial" w:hAnsi="Arial" w:cs="Arial"/>
          <w:sz w:val="20"/>
          <w:szCs w:val="20"/>
        </w:rPr>
      </w:pPr>
      <w:r w:rsidRPr="00A30F3C">
        <w:rPr>
          <w:rFonts w:ascii="Arial" w:hAnsi="Arial" w:cs="Arial"/>
          <w:sz w:val="20"/>
          <w:szCs w:val="20"/>
        </w:rPr>
        <w:t>The contract price(s) shall be a fixed priced.</w:t>
      </w:r>
    </w:p>
    <w:p w:rsidR="00A30F3C" w:rsidRPr="00A30F3C" w:rsidRDefault="00A30F3C" w:rsidP="00DC3ED7">
      <w:pPr>
        <w:spacing w:line="360" w:lineRule="auto"/>
        <w:ind w:left="852" w:firstLine="588"/>
        <w:rPr>
          <w:rFonts w:ascii="Arial" w:hAnsi="Arial" w:cs="Arial"/>
          <w:sz w:val="20"/>
          <w:szCs w:val="20"/>
        </w:rPr>
      </w:pPr>
      <w:r w:rsidRPr="00A30F3C">
        <w:rPr>
          <w:rFonts w:ascii="Arial" w:hAnsi="Arial" w:cs="Arial"/>
          <w:sz w:val="20"/>
          <w:szCs w:val="20"/>
        </w:rPr>
        <w:t>The pricing should be based on the Annexures attached.</w:t>
      </w:r>
    </w:p>
    <w:tbl>
      <w:tblPr>
        <w:tblStyle w:val="TableGrid"/>
        <w:tblW w:w="8789" w:type="dxa"/>
        <w:tblInd w:w="704" w:type="dxa"/>
        <w:tblLook w:val="04A0" w:firstRow="1" w:lastRow="0" w:firstColumn="1" w:lastColumn="0" w:noHBand="0" w:noVBand="1"/>
      </w:tblPr>
      <w:tblGrid>
        <w:gridCol w:w="2026"/>
        <w:gridCol w:w="1143"/>
        <w:gridCol w:w="1883"/>
        <w:gridCol w:w="1923"/>
        <w:gridCol w:w="1258"/>
        <w:gridCol w:w="236"/>
        <w:gridCol w:w="320"/>
      </w:tblGrid>
      <w:tr w:rsidR="00A30F3C" w:rsidRPr="00A30F3C" w:rsidTr="00DC3ED7">
        <w:trPr>
          <w:trHeight w:val="255"/>
        </w:trPr>
        <w:tc>
          <w:tcPr>
            <w:tcW w:w="1601" w:type="dxa"/>
            <w:vMerge w:val="restart"/>
          </w:tcPr>
          <w:p w:rsidR="00A30F3C" w:rsidRPr="00A30F3C" w:rsidRDefault="00A30F3C" w:rsidP="003B4C6F">
            <w:pPr>
              <w:jc w:val="center"/>
              <w:rPr>
                <w:rFonts w:ascii="Arial" w:hAnsi="Arial" w:cs="Arial"/>
                <w:b/>
                <w:sz w:val="20"/>
                <w:szCs w:val="20"/>
              </w:rPr>
            </w:pPr>
            <w:r w:rsidRPr="00A30F3C">
              <w:rPr>
                <w:rFonts w:ascii="Arial" w:hAnsi="Arial" w:cs="Arial"/>
                <w:b/>
                <w:sz w:val="20"/>
                <w:szCs w:val="20"/>
              </w:rPr>
              <w:t>DESCRIPTION</w:t>
            </w:r>
          </w:p>
          <w:p w:rsidR="00A30F3C" w:rsidRPr="00A30F3C" w:rsidRDefault="00A30F3C" w:rsidP="003B4C6F">
            <w:pPr>
              <w:jc w:val="center"/>
              <w:rPr>
                <w:rFonts w:ascii="Arial" w:hAnsi="Arial" w:cs="Arial"/>
                <w:b/>
                <w:sz w:val="20"/>
                <w:szCs w:val="20"/>
              </w:rPr>
            </w:pPr>
          </w:p>
          <w:p w:rsidR="00A30F3C" w:rsidRPr="00A30F3C" w:rsidRDefault="00A30F3C" w:rsidP="003B4C6F">
            <w:pPr>
              <w:jc w:val="center"/>
              <w:rPr>
                <w:rFonts w:ascii="Arial" w:hAnsi="Arial" w:cs="Arial"/>
                <w:b/>
                <w:sz w:val="20"/>
                <w:szCs w:val="20"/>
              </w:rPr>
            </w:pPr>
          </w:p>
        </w:tc>
        <w:tc>
          <w:tcPr>
            <w:tcW w:w="1167" w:type="dxa"/>
          </w:tcPr>
          <w:p w:rsidR="00A30F3C" w:rsidRPr="00A30F3C" w:rsidRDefault="00A30F3C" w:rsidP="003B4C6F">
            <w:pPr>
              <w:jc w:val="center"/>
              <w:rPr>
                <w:rFonts w:ascii="Arial" w:hAnsi="Arial" w:cs="Arial"/>
                <w:b/>
                <w:sz w:val="20"/>
                <w:szCs w:val="20"/>
              </w:rPr>
            </w:pPr>
          </w:p>
        </w:tc>
        <w:tc>
          <w:tcPr>
            <w:tcW w:w="5457" w:type="dxa"/>
            <w:gridSpan w:val="3"/>
            <w:tcBorders>
              <w:bottom w:val="single" w:sz="4" w:space="0" w:color="auto"/>
              <w:right w:val="nil"/>
            </w:tcBorders>
          </w:tcPr>
          <w:p w:rsidR="00A30F3C" w:rsidRPr="00A30F3C" w:rsidRDefault="00A30F3C" w:rsidP="00CC5273">
            <w:pPr>
              <w:ind w:right="-3731"/>
              <w:rPr>
                <w:rFonts w:ascii="Arial" w:hAnsi="Arial" w:cs="Arial"/>
                <w:b/>
                <w:sz w:val="20"/>
                <w:szCs w:val="20"/>
              </w:rPr>
            </w:pPr>
            <w:r w:rsidRPr="00A30F3C">
              <w:rPr>
                <w:rFonts w:ascii="Arial" w:hAnsi="Arial" w:cs="Arial"/>
                <w:b/>
                <w:sz w:val="20"/>
                <w:szCs w:val="20"/>
              </w:rPr>
              <w:t>ELECTRICAL INFRASTRUCTURE ASSETS</w:t>
            </w:r>
          </w:p>
        </w:tc>
        <w:tc>
          <w:tcPr>
            <w:tcW w:w="236" w:type="dxa"/>
            <w:tcBorders>
              <w:left w:val="nil"/>
              <w:bottom w:val="single" w:sz="4" w:space="0" w:color="auto"/>
              <w:right w:val="nil"/>
            </w:tcBorders>
          </w:tcPr>
          <w:p w:rsidR="00A30F3C" w:rsidRPr="00A30F3C" w:rsidRDefault="00A30F3C" w:rsidP="003B4C6F">
            <w:pPr>
              <w:ind w:right="-3731"/>
              <w:jc w:val="center"/>
              <w:rPr>
                <w:rFonts w:ascii="Arial" w:hAnsi="Arial" w:cs="Arial"/>
                <w:b/>
                <w:sz w:val="20"/>
                <w:szCs w:val="20"/>
              </w:rPr>
            </w:pPr>
          </w:p>
        </w:tc>
        <w:tc>
          <w:tcPr>
            <w:tcW w:w="328" w:type="dxa"/>
            <w:tcBorders>
              <w:left w:val="nil"/>
              <w:bottom w:val="single" w:sz="4" w:space="0" w:color="auto"/>
            </w:tcBorders>
          </w:tcPr>
          <w:p w:rsidR="00A30F3C" w:rsidRPr="00A30F3C" w:rsidRDefault="00A30F3C" w:rsidP="003B4C6F">
            <w:pPr>
              <w:jc w:val="center"/>
              <w:rPr>
                <w:rFonts w:ascii="Arial" w:hAnsi="Arial" w:cs="Arial"/>
                <w:b/>
                <w:sz w:val="20"/>
                <w:szCs w:val="20"/>
              </w:rPr>
            </w:pPr>
          </w:p>
        </w:tc>
      </w:tr>
      <w:tr w:rsidR="00A30F3C" w:rsidRPr="00A30F3C" w:rsidTr="00DC3ED7">
        <w:trPr>
          <w:trHeight w:val="570"/>
        </w:trPr>
        <w:tc>
          <w:tcPr>
            <w:tcW w:w="1601" w:type="dxa"/>
            <w:vMerge/>
          </w:tcPr>
          <w:p w:rsidR="00A30F3C" w:rsidRPr="00A30F3C" w:rsidRDefault="00A30F3C" w:rsidP="003B4C6F">
            <w:pPr>
              <w:jc w:val="center"/>
              <w:rPr>
                <w:rFonts w:ascii="Arial" w:hAnsi="Arial" w:cs="Arial"/>
                <w:b/>
                <w:sz w:val="20"/>
                <w:szCs w:val="20"/>
              </w:rPr>
            </w:pPr>
          </w:p>
        </w:tc>
        <w:tc>
          <w:tcPr>
            <w:tcW w:w="1167" w:type="dxa"/>
          </w:tcPr>
          <w:p w:rsidR="00A30F3C" w:rsidRPr="00A30F3C" w:rsidRDefault="00A30F3C" w:rsidP="003B4C6F">
            <w:pPr>
              <w:jc w:val="center"/>
              <w:rPr>
                <w:rFonts w:ascii="Arial" w:hAnsi="Arial" w:cs="Arial"/>
                <w:b/>
                <w:sz w:val="20"/>
                <w:szCs w:val="20"/>
              </w:rPr>
            </w:pPr>
            <w:r w:rsidRPr="00A30F3C">
              <w:rPr>
                <w:rFonts w:ascii="Arial" w:hAnsi="Arial" w:cs="Arial"/>
                <w:b/>
                <w:sz w:val="20"/>
                <w:szCs w:val="20"/>
              </w:rPr>
              <w:t>Unit of Measure</w:t>
            </w:r>
          </w:p>
          <w:p w:rsidR="00A30F3C" w:rsidRPr="00A30F3C" w:rsidRDefault="00A30F3C" w:rsidP="003B4C6F">
            <w:pPr>
              <w:jc w:val="center"/>
              <w:rPr>
                <w:rFonts w:ascii="Arial" w:hAnsi="Arial" w:cs="Arial"/>
                <w:b/>
                <w:sz w:val="20"/>
                <w:szCs w:val="20"/>
              </w:rPr>
            </w:pPr>
          </w:p>
          <w:p w:rsidR="00A30F3C" w:rsidRPr="00A30F3C" w:rsidRDefault="00A30F3C" w:rsidP="003B4C6F">
            <w:pPr>
              <w:jc w:val="center"/>
              <w:rPr>
                <w:rFonts w:ascii="Arial" w:hAnsi="Arial" w:cs="Arial"/>
                <w:b/>
                <w:sz w:val="20"/>
                <w:szCs w:val="20"/>
              </w:rPr>
            </w:pPr>
          </w:p>
        </w:tc>
        <w:tc>
          <w:tcPr>
            <w:tcW w:w="2019" w:type="dxa"/>
            <w:tcBorders>
              <w:right w:val="single" w:sz="4" w:space="0" w:color="auto"/>
            </w:tcBorders>
          </w:tcPr>
          <w:p w:rsidR="00A30F3C" w:rsidRPr="00A30F3C" w:rsidRDefault="00A30F3C" w:rsidP="003B4C6F">
            <w:pPr>
              <w:jc w:val="center"/>
              <w:rPr>
                <w:rFonts w:ascii="Arial" w:hAnsi="Arial" w:cs="Arial"/>
                <w:b/>
                <w:sz w:val="20"/>
                <w:szCs w:val="20"/>
              </w:rPr>
            </w:pPr>
            <w:r w:rsidRPr="00A30F3C">
              <w:rPr>
                <w:rFonts w:ascii="Arial" w:hAnsi="Arial" w:cs="Arial"/>
                <w:b/>
                <w:sz w:val="20"/>
                <w:szCs w:val="20"/>
              </w:rPr>
              <w:t>Price in Rand (Excluding VAT)</w:t>
            </w:r>
          </w:p>
          <w:p w:rsidR="00A30F3C" w:rsidRPr="00A30F3C" w:rsidRDefault="00A30F3C" w:rsidP="003B4C6F">
            <w:pPr>
              <w:jc w:val="center"/>
              <w:rPr>
                <w:rFonts w:ascii="Arial" w:hAnsi="Arial" w:cs="Arial"/>
                <w:b/>
                <w:sz w:val="20"/>
                <w:szCs w:val="20"/>
              </w:rPr>
            </w:pPr>
          </w:p>
          <w:p w:rsidR="00A30F3C" w:rsidRPr="00A30F3C" w:rsidRDefault="00A30F3C" w:rsidP="003B4C6F">
            <w:pPr>
              <w:jc w:val="center"/>
              <w:rPr>
                <w:rFonts w:ascii="Arial" w:hAnsi="Arial" w:cs="Arial"/>
                <w:b/>
                <w:sz w:val="20"/>
                <w:szCs w:val="20"/>
              </w:rPr>
            </w:pPr>
            <w:r w:rsidRPr="00A30F3C">
              <w:rPr>
                <w:rFonts w:ascii="Arial" w:hAnsi="Arial" w:cs="Arial"/>
                <w:b/>
                <w:sz w:val="20"/>
                <w:szCs w:val="20"/>
              </w:rPr>
              <w:t>Year 1</w:t>
            </w:r>
          </w:p>
          <w:p w:rsidR="00A30F3C" w:rsidRPr="00A30F3C" w:rsidRDefault="00A30F3C" w:rsidP="003B4C6F">
            <w:pPr>
              <w:jc w:val="center"/>
              <w:rPr>
                <w:rFonts w:ascii="Arial" w:hAnsi="Arial" w:cs="Arial"/>
                <w:b/>
                <w:sz w:val="20"/>
                <w:szCs w:val="20"/>
              </w:rPr>
            </w:pPr>
          </w:p>
        </w:tc>
        <w:tc>
          <w:tcPr>
            <w:tcW w:w="2067" w:type="dxa"/>
            <w:tcBorders>
              <w:left w:val="single" w:sz="4" w:space="0" w:color="auto"/>
              <w:right w:val="single" w:sz="4" w:space="0" w:color="auto"/>
            </w:tcBorders>
          </w:tcPr>
          <w:p w:rsidR="00A30F3C" w:rsidRPr="00A30F3C" w:rsidRDefault="00A30F3C" w:rsidP="003B4C6F">
            <w:pPr>
              <w:jc w:val="center"/>
              <w:rPr>
                <w:rFonts w:ascii="Arial" w:hAnsi="Arial" w:cs="Arial"/>
                <w:b/>
                <w:sz w:val="20"/>
                <w:szCs w:val="20"/>
              </w:rPr>
            </w:pPr>
            <w:r w:rsidRPr="00A30F3C">
              <w:rPr>
                <w:rFonts w:ascii="Arial" w:hAnsi="Arial" w:cs="Arial"/>
                <w:b/>
                <w:sz w:val="20"/>
                <w:szCs w:val="20"/>
              </w:rPr>
              <w:t>Price in Rand (Excluding VAT)</w:t>
            </w:r>
          </w:p>
          <w:p w:rsidR="00A30F3C" w:rsidRPr="00A30F3C" w:rsidRDefault="00A30F3C" w:rsidP="003B4C6F">
            <w:pPr>
              <w:jc w:val="center"/>
              <w:rPr>
                <w:rFonts w:ascii="Arial" w:hAnsi="Arial" w:cs="Arial"/>
                <w:b/>
                <w:sz w:val="20"/>
                <w:szCs w:val="20"/>
              </w:rPr>
            </w:pPr>
          </w:p>
          <w:p w:rsidR="00A30F3C" w:rsidRPr="00A30F3C" w:rsidRDefault="00A30F3C" w:rsidP="003B4C6F">
            <w:pPr>
              <w:jc w:val="center"/>
              <w:rPr>
                <w:rFonts w:ascii="Arial" w:hAnsi="Arial" w:cs="Arial"/>
                <w:b/>
                <w:sz w:val="20"/>
                <w:szCs w:val="20"/>
              </w:rPr>
            </w:pPr>
            <w:r w:rsidRPr="00A30F3C">
              <w:rPr>
                <w:rFonts w:ascii="Arial" w:hAnsi="Arial" w:cs="Arial"/>
                <w:b/>
                <w:sz w:val="20"/>
                <w:szCs w:val="20"/>
              </w:rPr>
              <w:t>Year 2</w:t>
            </w:r>
          </w:p>
        </w:tc>
        <w:tc>
          <w:tcPr>
            <w:tcW w:w="1935" w:type="dxa"/>
            <w:gridSpan w:val="3"/>
            <w:tcBorders>
              <w:left w:val="single" w:sz="4" w:space="0" w:color="auto"/>
            </w:tcBorders>
          </w:tcPr>
          <w:p w:rsidR="00A30F3C" w:rsidRPr="00A30F3C" w:rsidRDefault="00A30F3C" w:rsidP="003B4C6F">
            <w:pPr>
              <w:jc w:val="center"/>
              <w:rPr>
                <w:rFonts w:ascii="Arial" w:hAnsi="Arial" w:cs="Arial"/>
                <w:b/>
                <w:sz w:val="20"/>
                <w:szCs w:val="20"/>
              </w:rPr>
            </w:pPr>
            <w:r w:rsidRPr="00A30F3C">
              <w:rPr>
                <w:rFonts w:ascii="Arial" w:hAnsi="Arial" w:cs="Arial"/>
                <w:b/>
                <w:sz w:val="20"/>
                <w:szCs w:val="20"/>
              </w:rPr>
              <w:t>Price in Rand (Excluding VAT)</w:t>
            </w:r>
          </w:p>
          <w:p w:rsidR="00A30F3C" w:rsidRPr="00A30F3C" w:rsidRDefault="00A30F3C" w:rsidP="003B4C6F">
            <w:pPr>
              <w:jc w:val="center"/>
              <w:rPr>
                <w:rFonts w:ascii="Arial" w:hAnsi="Arial" w:cs="Arial"/>
                <w:b/>
                <w:sz w:val="20"/>
                <w:szCs w:val="20"/>
              </w:rPr>
            </w:pPr>
          </w:p>
          <w:p w:rsidR="00A30F3C" w:rsidRPr="00A30F3C" w:rsidRDefault="00A30F3C" w:rsidP="003B4C6F">
            <w:pPr>
              <w:jc w:val="center"/>
              <w:rPr>
                <w:rFonts w:ascii="Arial" w:hAnsi="Arial" w:cs="Arial"/>
                <w:b/>
                <w:sz w:val="20"/>
                <w:szCs w:val="20"/>
              </w:rPr>
            </w:pPr>
            <w:r w:rsidRPr="00A30F3C">
              <w:rPr>
                <w:rFonts w:ascii="Arial" w:hAnsi="Arial" w:cs="Arial"/>
                <w:b/>
                <w:sz w:val="20"/>
                <w:szCs w:val="20"/>
              </w:rPr>
              <w:t>Year 3</w:t>
            </w:r>
          </w:p>
        </w:tc>
      </w:tr>
      <w:tr w:rsidR="00A30F3C" w:rsidRPr="00A30F3C" w:rsidTr="00DC3ED7">
        <w:tc>
          <w:tcPr>
            <w:tcW w:w="1601" w:type="dxa"/>
          </w:tcPr>
          <w:p w:rsidR="00A30F3C" w:rsidRPr="00A30F3C" w:rsidRDefault="00A30F3C" w:rsidP="003B4C6F">
            <w:pPr>
              <w:rPr>
                <w:rFonts w:ascii="Arial" w:hAnsi="Arial" w:cs="Arial"/>
                <w:sz w:val="20"/>
                <w:szCs w:val="20"/>
              </w:rPr>
            </w:pPr>
            <w:r w:rsidRPr="00A30F3C">
              <w:rPr>
                <w:rFonts w:ascii="Arial" w:hAnsi="Arial" w:cs="Arial"/>
                <w:sz w:val="20"/>
                <w:szCs w:val="20"/>
              </w:rPr>
              <w:t>Verification of additions</w:t>
            </w:r>
          </w:p>
          <w:p w:rsidR="00A30F3C" w:rsidRPr="00A30F3C" w:rsidRDefault="00A30F3C" w:rsidP="003B4C6F">
            <w:pPr>
              <w:rPr>
                <w:rFonts w:ascii="Arial" w:hAnsi="Arial" w:cs="Arial"/>
                <w:sz w:val="20"/>
                <w:szCs w:val="20"/>
              </w:rPr>
            </w:pPr>
          </w:p>
          <w:p w:rsidR="00A30F3C" w:rsidRPr="00A30F3C" w:rsidRDefault="00A30F3C" w:rsidP="00A30F3C">
            <w:pPr>
              <w:pStyle w:val="ListParagraph"/>
              <w:numPr>
                <w:ilvl w:val="0"/>
                <w:numId w:val="9"/>
              </w:numPr>
              <w:rPr>
                <w:rFonts w:ascii="Arial" w:hAnsi="Arial" w:cs="Arial"/>
                <w:sz w:val="20"/>
                <w:szCs w:val="20"/>
              </w:rPr>
            </w:pPr>
            <w:r w:rsidRPr="00A30F3C">
              <w:rPr>
                <w:rFonts w:ascii="Arial" w:hAnsi="Arial" w:cs="Arial"/>
                <w:sz w:val="20"/>
                <w:szCs w:val="20"/>
              </w:rPr>
              <w:t>Condition Assessment per asset</w:t>
            </w:r>
          </w:p>
          <w:p w:rsidR="00A30F3C" w:rsidRPr="00A30F3C" w:rsidRDefault="00A30F3C" w:rsidP="003B4C6F">
            <w:pPr>
              <w:rPr>
                <w:rFonts w:ascii="Arial" w:hAnsi="Arial" w:cs="Arial"/>
                <w:sz w:val="20"/>
                <w:szCs w:val="20"/>
              </w:rPr>
            </w:pPr>
          </w:p>
          <w:p w:rsidR="00A30F3C" w:rsidRPr="00A30F3C" w:rsidRDefault="00A30F3C" w:rsidP="00A30F3C">
            <w:pPr>
              <w:pStyle w:val="ListParagraph"/>
              <w:numPr>
                <w:ilvl w:val="0"/>
                <w:numId w:val="9"/>
              </w:numPr>
              <w:rPr>
                <w:rFonts w:ascii="Arial" w:hAnsi="Arial" w:cs="Arial"/>
                <w:sz w:val="20"/>
                <w:szCs w:val="20"/>
              </w:rPr>
            </w:pPr>
            <w:r w:rsidRPr="00A30F3C">
              <w:rPr>
                <w:rFonts w:ascii="Arial" w:hAnsi="Arial" w:cs="Arial"/>
                <w:sz w:val="20"/>
                <w:szCs w:val="20"/>
              </w:rPr>
              <w:t>GPS co-ordinate per asset</w:t>
            </w:r>
          </w:p>
        </w:tc>
        <w:tc>
          <w:tcPr>
            <w:tcW w:w="1167" w:type="dxa"/>
          </w:tcPr>
          <w:p w:rsidR="00A30F3C" w:rsidRPr="00A30F3C" w:rsidRDefault="00A30F3C" w:rsidP="003B4C6F">
            <w:pPr>
              <w:rPr>
                <w:rFonts w:ascii="Arial" w:hAnsi="Arial" w:cs="Arial"/>
                <w:sz w:val="20"/>
                <w:szCs w:val="20"/>
              </w:rPr>
            </w:pPr>
            <w:r w:rsidRPr="00A30F3C">
              <w:rPr>
                <w:rFonts w:ascii="Arial" w:hAnsi="Arial" w:cs="Arial"/>
                <w:sz w:val="20"/>
                <w:szCs w:val="20"/>
              </w:rPr>
              <w:t>Per Asset</w:t>
            </w:r>
          </w:p>
        </w:tc>
        <w:tc>
          <w:tcPr>
            <w:tcW w:w="2019" w:type="dxa"/>
          </w:tcPr>
          <w:p w:rsidR="00A30F3C" w:rsidRPr="00A30F3C" w:rsidRDefault="00A04F8B" w:rsidP="003B4C6F">
            <w:pPr>
              <w:rPr>
                <w:rFonts w:ascii="Arial" w:hAnsi="Arial" w:cs="Arial"/>
                <w:sz w:val="20"/>
                <w:szCs w:val="20"/>
              </w:rPr>
            </w:pPr>
            <w:r>
              <w:rPr>
                <w:rFonts w:ascii="Arial" w:hAnsi="Arial" w:cs="Arial"/>
                <w:sz w:val="20"/>
                <w:szCs w:val="20"/>
              </w:rPr>
              <w:t>10.</w:t>
            </w:r>
          </w:p>
        </w:tc>
        <w:tc>
          <w:tcPr>
            <w:tcW w:w="2067" w:type="dxa"/>
          </w:tcPr>
          <w:p w:rsidR="00A30F3C" w:rsidRPr="00A30F3C" w:rsidRDefault="00A30F3C" w:rsidP="003B4C6F">
            <w:pPr>
              <w:rPr>
                <w:rFonts w:ascii="Arial" w:hAnsi="Arial" w:cs="Arial"/>
                <w:sz w:val="20"/>
                <w:szCs w:val="20"/>
              </w:rPr>
            </w:pPr>
          </w:p>
        </w:tc>
        <w:tc>
          <w:tcPr>
            <w:tcW w:w="1935" w:type="dxa"/>
            <w:gridSpan w:val="3"/>
          </w:tcPr>
          <w:p w:rsidR="00A30F3C" w:rsidRPr="00A30F3C" w:rsidRDefault="00A30F3C" w:rsidP="003B4C6F">
            <w:pPr>
              <w:rPr>
                <w:rFonts w:ascii="Arial" w:hAnsi="Arial" w:cs="Arial"/>
                <w:sz w:val="20"/>
                <w:szCs w:val="20"/>
              </w:rPr>
            </w:pPr>
          </w:p>
        </w:tc>
      </w:tr>
      <w:tr w:rsidR="00A30F3C" w:rsidRPr="00A30F3C" w:rsidTr="00DC3ED7">
        <w:tc>
          <w:tcPr>
            <w:tcW w:w="1601" w:type="dxa"/>
          </w:tcPr>
          <w:p w:rsidR="00A30F3C" w:rsidRPr="00A30F3C" w:rsidRDefault="00A30F3C" w:rsidP="003B4C6F">
            <w:pPr>
              <w:rPr>
                <w:rFonts w:ascii="Arial" w:hAnsi="Arial" w:cs="Arial"/>
                <w:sz w:val="20"/>
                <w:szCs w:val="20"/>
              </w:rPr>
            </w:pPr>
            <w:r w:rsidRPr="00A30F3C">
              <w:rPr>
                <w:rFonts w:ascii="Arial" w:hAnsi="Arial" w:cs="Arial"/>
                <w:sz w:val="20"/>
                <w:szCs w:val="20"/>
              </w:rPr>
              <w:lastRenderedPageBreak/>
              <w:t xml:space="preserve">Identification of assets: </w:t>
            </w:r>
          </w:p>
          <w:p w:rsidR="00A30F3C" w:rsidRPr="00A30F3C" w:rsidRDefault="00A30F3C" w:rsidP="003B4C6F">
            <w:pPr>
              <w:rPr>
                <w:rFonts w:ascii="Arial" w:hAnsi="Arial" w:cs="Arial"/>
                <w:sz w:val="20"/>
                <w:szCs w:val="20"/>
              </w:rPr>
            </w:pPr>
          </w:p>
          <w:p w:rsidR="00A30F3C" w:rsidRPr="00A30F3C" w:rsidRDefault="00A30F3C" w:rsidP="003B4C6F">
            <w:pPr>
              <w:rPr>
                <w:rFonts w:ascii="Arial" w:hAnsi="Arial" w:cs="Arial"/>
                <w:sz w:val="20"/>
                <w:szCs w:val="20"/>
              </w:rPr>
            </w:pPr>
            <w:r w:rsidRPr="00A30F3C">
              <w:rPr>
                <w:rFonts w:ascii="Arial" w:hAnsi="Arial" w:cs="Arial"/>
                <w:sz w:val="20"/>
                <w:szCs w:val="20"/>
              </w:rPr>
              <w:t>Barcode assets per CENTLEC requirement</w:t>
            </w:r>
          </w:p>
          <w:p w:rsidR="00A30F3C" w:rsidRPr="00A30F3C" w:rsidRDefault="00A30F3C" w:rsidP="003B4C6F">
            <w:pPr>
              <w:rPr>
                <w:rFonts w:ascii="Arial" w:hAnsi="Arial" w:cs="Arial"/>
                <w:sz w:val="20"/>
                <w:szCs w:val="20"/>
              </w:rPr>
            </w:pPr>
          </w:p>
        </w:tc>
        <w:tc>
          <w:tcPr>
            <w:tcW w:w="1167" w:type="dxa"/>
          </w:tcPr>
          <w:p w:rsidR="00A30F3C" w:rsidRPr="00A30F3C" w:rsidRDefault="00A30F3C" w:rsidP="003B4C6F">
            <w:pPr>
              <w:rPr>
                <w:rFonts w:ascii="Arial" w:hAnsi="Arial" w:cs="Arial"/>
                <w:sz w:val="20"/>
                <w:szCs w:val="20"/>
              </w:rPr>
            </w:pPr>
            <w:r w:rsidRPr="00A30F3C">
              <w:rPr>
                <w:rFonts w:ascii="Arial" w:hAnsi="Arial" w:cs="Arial"/>
                <w:sz w:val="20"/>
                <w:szCs w:val="20"/>
              </w:rPr>
              <w:t>Per Asset</w:t>
            </w:r>
          </w:p>
        </w:tc>
        <w:tc>
          <w:tcPr>
            <w:tcW w:w="2019" w:type="dxa"/>
          </w:tcPr>
          <w:p w:rsidR="00A30F3C" w:rsidRPr="00A30F3C" w:rsidRDefault="00A30F3C" w:rsidP="003B4C6F">
            <w:pPr>
              <w:rPr>
                <w:rFonts w:ascii="Arial" w:hAnsi="Arial" w:cs="Arial"/>
                <w:sz w:val="20"/>
                <w:szCs w:val="20"/>
              </w:rPr>
            </w:pPr>
          </w:p>
        </w:tc>
        <w:tc>
          <w:tcPr>
            <w:tcW w:w="2067" w:type="dxa"/>
          </w:tcPr>
          <w:p w:rsidR="00A30F3C" w:rsidRPr="00A30F3C" w:rsidRDefault="00A30F3C" w:rsidP="003B4C6F">
            <w:pPr>
              <w:rPr>
                <w:rFonts w:ascii="Arial" w:hAnsi="Arial" w:cs="Arial"/>
                <w:sz w:val="20"/>
                <w:szCs w:val="20"/>
              </w:rPr>
            </w:pPr>
          </w:p>
        </w:tc>
        <w:tc>
          <w:tcPr>
            <w:tcW w:w="1935" w:type="dxa"/>
            <w:gridSpan w:val="3"/>
          </w:tcPr>
          <w:p w:rsidR="00A30F3C" w:rsidRPr="00A30F3C" w:rsidRDefault="00A30F3C" w:rsidP="003B4C6F">
            <w:pPr>
              <w:rPr>
                <w:rFonts w:ascii="Arial" w:hAnsi="Arial" w:cs="Arial"/>
                <w:sz w:val="20"/>
                <w:szCs w:val="20"/>
              </w:rPr>
            </w:pPr>
          </w:p>
        </w:tc>
      </w:tr>
      <w:tr w:rsidR="00A30F3C" w:rsidRPr="00A30F3C" w:rsidTr="00DC3ED7">
        <w:tc>
          <w:tcPr>
            <w:tcW w:w="1601" w:type="dxa"/>
          </w:tcPr>
          <w:p w:rsidR="00A30F3C" w:rsidRPr="00A30F3C" w:rsidRDefault="00A30F3C" w:rsidP="003B4C6F">
            <w:pPr>
              <w:rPr>
                <w:rFonts w:ascii="Arial" w:hAnsi="Arial" w:cs="Arial"/>
                <w:sz w:val="20"/>
                <w:szCs w:val="20"/>
              </w:rPr>
            </w:pPr>
            <w:r w:rsidRPr="00A30F3C">
              <w:rPr>
                <w:rFonts w:ascii="Arial" w:hAnsi="Arial" w:cs="Arial"/>
                <w:sz w:val="20"/>
                <w:szCs w:val="20"/>
              </w:rPr>
              <w:t xml:space="preserve">Accounting </w:t>
            </w:r>
          </w:p>
          <w:p w:rsidR="00A30F3C" w:rsidRPr="00A30F3C" w:rsidRDefault="00A30F3C" w:rsidP="003B4C6F">
            <w:pPr>
              <w:rPr>
                <w:rFonts w:ascii="Arial" w:hAnsi="Arial" w:cs="Arial"/>
                <w:sz w:val="20"/>
                <w:szCs w:val="20"/>
              </w:rPr>
            </w:pPr>
            <w:r w:rsidRPr="00A30F3C">
              <w:rPr>
                <w:rFonts w:ascii="Arial" w:hAnsi="Arial" w:cs="Arial"/>
                <w:sz w:val="20"/>
                <w:szCs w:val="20"/>
              </w:rPr>
              <w:t>Journals for all adjustment relating to the assets in line with the applicable GRAP standards</w:t>
            </w:r>
          </w:p>
          <w:p w:rsidR="00A30F3C" w:rsidRPr="00A30F3C" w:rsidRDefault="00A30F3C" w:rsidP="003B4C6F">
            <w:pPr>
              <w:rPr>
                <w:rFonts w:ascii="Arial" w:hAnsi="Arial" w:cs="Arial"/>
                <w:sz w:val="20"/>
                <w:szCs w:val="20"/>
              </w:rPr>
            </w:pPr>
          </w:p>
        </w:tc>
        <w:tc>
          <w:tcPr>
            <w:tcW w:w="1167" w:type="dxa"/>
          </w:tcPr>
          <w:p w:rsidR="00A30F3C" w:rsidRPr="00A30F3C" w:rsidRDefault="00A30F3C" w:rsidP="003B4C6F">
            <w:pPr>
              <w:rPr>
                <w:rFonts w:ascii="Arial" w:hAnsi="Arial" w:cs="Arial"/>
                <w:sz w:val="20"/>
                <w:szCs w:val="20"/>
              </w:rPr>
            </w:pPr>
            <w:r w:rsidRPr="00A30F3C">
              <w:rPr>
                <w:rFonts w:ascii="Arial" w:hAnsi="Arial" w:cs="Arial"/>
                <w:sz w:val="20"/>
                <w:szCs w:val="20"/>
              </w:rPr>
              <w:t>Once off</w:t>
            </w:r>
          </w:p>
        </w:tc>
        <w:tc>
          <w:tcPr>
            <w:tcW w:w="2019" w:type="dxa"/>
          </w:tcPr>
          <w:p w:rsidR="00A30F3C" w:rsidRPr="00A30F3C" w:rsidRDefault="00A30F3C" w:rsidP="003B4C6F">
            <w:pPr>
              <w:rPr>
                <w:rFonts w:ascii="Arial" w:hAnsi="Arial" w:cs="Arial"/>
                <w:sz w:val="20"/>
                <w:szCs w:val="20"/>
              </w:rPr>
            </w:pPr>
          </w:p>
        </w:tc>
        <w:tc>
          <w:tcPr>
            <w:tcW w:w="2067" w:type="dxa"/>
          </w:tcPr>
          <w:p w:rsidR="00A30F3C" w:rsidRPr="00A30F3C" w:rsidRDefault="00A30F3C" w:rsidP="003B4C6F">
            <w:pPr>
              <w:rPr>
                <w:rFonts w:ascii="Arial" w:hAnsi="Arial" w:cs="Arial"/>
                <w:sz w:val="20"/>
                <w:szCs w:val="20"/>
              </w:rPr>
            </w:pPr>
          </w:p>
        </w:tc>
        <w:tc>
          <w:tcPr>
            <w:tcW w:w="1935" w:type="dxa"/>
            <w:gridSpan w:val="3"/>
          </w:tcPr>
          <w:p w:rsidR="00A30F3C" w:rsidRPr="00A30F3C" w:rsidRDefault="00A30F3C" w:rsidP="003B4C6F">
            <w:pPr>
              <w:rPr>
                <w:rFonts w:ascii="Arial" w:hAnsi="Arial" w:cs="Arial"/>
                <w:sz w:val="20"/>
                <w:szCs w:val="20"/>
              </w:rPr>
            </w:pPr>
          </w:p>
        </w:tc>
      </w:tr>
      <w:tr w:rsidR="00A30F3C" w:rsidRPr="00A30F3C" w:rsidTr="00DC3ED7">
        <w:tc>
          <w:tcPr>
            <w:tcW w:w="1601" w:type="dxa"/>
          </w:tcPr>
          <w:p w:rsidR="00A30F3C" w:rsidRPr="00A30F3C" w:rsidRDefault="00A30F3C" w:rsidP="003B4C6F">
            <w:pPr>
              <w:rPr>
                <w:rFonts w:ascii="Arial" w:hAnsi="Arial" w:cs="Arial"/>
                <w:sz w:val="20"/>
                <w:szCs w:val="20"/>
              </w:rPr>
            </w:pPr>
            <w:r w:rsidRPr="00A30F3C">
              <w:rPr>
                <w:rFonts w:ascii="Arial" w:hAnsi="Arial" w:cs="Arial"/>
                <w:sz w:val="20"/>
                <w:szCs w:val="20"/>
              </w:rPr>
              <w:t>Record all assets in the Fixed Asset Register of CENTLEC as per current componentisation</w:t>
            </w:r>
          </w:p>
          <w:p w:rsidR="00A30F3C" w:rsidRPr="00A30F3C" w:rsidRDefault="00A30F3C" w:rsidP="003B4C6F">
            <w:pPr>
              <w:rPr>
                <w:rFonts w:ascii="Arial" w:hAnsi="Arial" w:cs="Arial"/>
                <w:sz w:val="20"/>
                <w:szCs w:val="20"/>
              </w:rPr>
            </w:pPr>
          </w:p>
        </w:tc>
        <w:tc>
          <w:tcPr>
            <w:tcW w:w="1167" w:type="dxa"/>
          </w:tcPr>
          <w:p w:rsidR="00A30F3C" w:rsidRPr="00A30F3C" w:rsidRDefault="00A30F3C" w:rsidP="003B4C6F">
            <w:pPr>
              <w:rPr>
                <w:rFonts w:ascii="Arial" w:hAnsi="Arial" w:cs="Arial"/>
                <w:sz w:val="20"/>
                <w:szCs w:val="20"/>
              </w:rPr>
            </w:pPr>
            <w:r w:rsidRPr="00A30F3C">
              <w:rPr>
                <w:rFonts w:ascii="Arial" w:hAnsi="Arial" w:cs="Arial"/>
                <w:sz w:val="20"/>
                <w:szCs w:val="20"/>
              </w:rPr>
              <w:t>Once off</w:t>
            </w:r>
          </w:p>
        </w:tc>
        <w:tc>
          <w:tcPr>
            <w:tcW w:w="2019" w:type="dxa"/>
          </w:tcPr>
          <w:p w:rsidR="00A30F3C" w:rsidRPr="00A30F3C" w:rsidRDefault="00A30F3C" w:rsidP="003B4C6F">
            <w:pPr>
              <w:rPr>
                <w:rFonts w:ascii="Arial" w:hAnsi="Arial" w:cs="Arial"/>
                <w:sz w:val="20"/>
                <w:szCs w:val="20"/>
              </w:rPr>
            </w:pPr>
          </w:p>
        </w:tc>
        <w:tc>
          <w:tcPr>
            <w:tcW w:w="2067" w:type="dxa"/>
          </w:tcPr>
          <w:p w:rsidR="00A30F3C" w:rsidRPr="00A30F3C" w:rsidRDefault="00A30F3C" w:rsidP="003B4C6F">
            <w:pPr>
              <w:rPr>
                <w:rFonts w:ascii="Arial" w:hAnsi="Arial" w:cs="Arial"/>
                <w:sz w:val="20"/>
                <w:szCs w:val="20"/>
              </w:rPr>
            </w:pPr>
          </w:p>
        </w:tc>
        <w:tc>
          <w:tcPr>
            <w:tcW w:w="1935" w:type="dxa"/>
            <w:gridSpan w:val="3"/>
          </w:tcPr>
          <w:p w:rsidR="00A30F3C" w:rsidRPr="00A30F3C" w:rsidRDefault="00A30F3C" w:rsidP="003B4C6F">
            <w:pPr>
              <w:rPr>
                <w:rFonts w:ascii="Arial" w:hAnsi="Arial" w:cs="Arial"/>
                <w:sz w:val="20"/>
                <w:szCs w:val="20"/>
              </w:rPr>
            </w:pPr>
          </w:p>
        </w:tc>
      </w:tr>
    </w:tbl>
    <w:p w:rsidR="00CC5273" w:rsidRDefault="00CC5273" w:rsidP="00A30F3C">
      <w:pPr>
        <w:ind w:left="426"/>
        <w:rPr>
          <w:rFonts w:ascii="Arial" w:hAnsi="Arial" w:cs="Arial"/>
          <w:b/>
          <w:sz w:val="20"/>
          <w:szCs w:val="20"/>
        </w:rPr>
      </w:pPr>
    </w:p>
    <w:p w:rsidR="00A30F3C" w:rsidRPr="00A30F3C" w:rsidRDefault="00A30F3C" w:rsidP="00A30F3C">
      <w:pPr>
        <w:ind w:left="426"/>
        <w:rPr>
          <w:rFonts w:ascii="Arial" w:hAnsi="Arial" w:cs="Arial"/>
          <w:b/>
          <w:sz w:val="20"/>
          <w:szCs w:val="20"/>
        </w:rPr>
      </w:pPr>
      <w:r w:rsidRPr="00A30F3C">
        <w:rPr>
          <w:rFonts w:ascii="Arial" w:hAnsi="Arial" w:cs="Arial"/>
          <w:b/>
          <w:sz w:val="20"/>
          <w:szCs w:val="20"/>
        </w:rPr>
        <w:t>Table 3 – Pricing Schedule</w:t>
      </w:r>
    </w:p>
    <w:p w:rsidR="00A30F3C" w:rsidRPr="009B164E" w:rsidRDefault="00A30F3C" w:rsidP="00A30F3C">
      <w:pPr>
        <w:ind w:left="426"/>
        <w:rPr>
          <w:rFonts w:ascii="Arial" w:hAnsi="Arial" w:cs="Arial"/>
          <w:sz w:val="24"/>
          <w:szCs w:val="24"/>
        </w:rPr>
      </w:pPr>
    </w:p>
    <w:p w:rsidR="00C0166D" w:rsidRPr="00C02968" w:rsidRDefault="00891DEF" w:rsidP="00DC3ED7">
      <w:pPr>
        <w:spacing w:line="360" w:lineRule="auto"/>
        <w:ind w:left="720" w:hanging="720"/>
        <w:jc w:val="both"/>
        <w:rPr>
          <w:rFonts w:ascii="Arial" w:hAnsi="Arial" w:cs="Arial"/>
          <w:sz w:val="24"/>
          <w:szCs w:val="24"/>
          <w:shd w:val="clear" w:color="auto" w:fill="FFFFFF"/>
        </w:rPr>
      </w:pPr>
      <w:r>
        <w:rPr>
          <w:rFonts w:ascii="Arial" w:hAnsi="Arial" w:cs="Arial"/>
          <w:sz w:val="24"/>
          <w:szCs w:val="24"/>
        </w:rPr>
        <w:t>[</w:t>
      </w:r>
      <w:r w:rsidR="00DC3ED7">
        <w:rPr>
          <w:rFonts w:ascii="Arial" w:hAnsi="Arial" w:cs="Arial"/>
          <w:sz w:val="24"/>
          <w:szCs w:val="24"/>
        </w:rPr>
        <w:t>4</w:t>
      </w:r>
      <w:r w:rsidR="00C506A6">
        <w:rPr>
          <w:rFonts w:ascii="Arial" w:hAnsi="Arial" w:cs="Arial"/>
          <w:sz w:val="24"/>
          <w:szCs w:val="24"/>
        </w:rPr>
        <w:t xml:space="preserve">] </w:t>
      </w:r>
      <w:r w:rsidR="00B4673C">
        <w:rPr>
          <w:rFonts w:ascii="Arial" w:hAnsi="Arial" w:cs="Arial"/>
          <w:color w:val="242121"/>
          <w:sz w:val="24"/>
          <w:szCs w:val="24"/>
          <w:shd w:val="clear" w:color="auto" w:fill="FFFFFF"/>
        </w:rPr>
        <w:t xml:space="preserve"> </w:t>
      </w:r>
      <w:r w:rsidR="003E7845">
        <w:rPr>
          <w:rFonts w:ascii="Arial" w:hAnsi="Arial" w:cs="Arial"/>
          <w:color w:val="242121"/>
          <w:sz w:val="24"/>
          <w:szCs w:val="24"/>
          <w:shd w:val="clear" w:color="auto" w:fill="FFFFFF"/>
        </w:rPr>
        <w:t xml:space="preserve"> </w:t>
      </w:r>
      <w:r w:rsidR="003E7845">
        <w:rPr>
          <w:rFonts w:ascii="Arial" w:hAnsi="Arial" w:cs="Arial"/>
          <w:color w:val="242121"/>
          <w:sz w:val="24"/>
          <w:szCs w:val="24"/>
          <w:shd w:val="clear" w:color="auto" w:fill="FFFFFF"/>
        </w:rPr>
        <w:tab/>
        <w:t>F</w:t>
      </w:r>
      <w:r w:rsidR="00CF3AE3">
        <w:rPr>
          <w:rFonts w:ascii="Arial" w:hAnsi="Arial" w:cs="Arial"/>
          <w:color w:val="242121"/>
          <w:sz w:val="24"/>
          <w:szCs w:val="24"/>
          <w:shd w:val="clear" w:color="auto" w:fill="FFFFFF"/>
        </w:rPr>
        <w:t>rom the above table it is clear</w:t>
      </w:r>
      <w:r w:rsidR="003E7845">
        <w:rPr>
          <w:rFonts w:ascii="Arial" w:hAnsi="Arial" w:cs="Arial"/>
          <w:color w:val="242121"/>
          <w:sz w:val="24"/>
          <w:szCs w:val="24"/>
          <w:shd w:val="clear" w:color="auto" w:fill="FFFFFF"/>
        </w:rPr>
        <w:t xml:space="preserve"> that </w:t>
      </w:r>
      <w:r w:rsidR="002F171D">
        <w:rPr>
          <w:rFonts w:ascii="Arial" w:hAnsi="Arial" w:cs="Arial"/>
          <w:color w:val="242121"/>
          <w:sz w:val="24"/>
          <w:szCs w:val="24"/>
          <w:shd w:val="clear" w:color="auto" w:fill="FFFFFF"/>
        </w:rPr>
        <w:t xml:space="preserve">bidders were required to quote fixed prices according to the price schedule provided i.e. rand and cents. </w:t>
      </w:r>
      <w:r w:rsidR="00D8635B">
        <w:rPr>
          <w:rFonts w:ascii="Arial" w:hAnsi="Arial" w:cs="Arial"/>
          <w:color w:val="242121"/>
          <w:sz w:val="24"/>
          <w:szCs w:val="24"/>
          <w:shd w:val="clear" w:color="auto" w:fill="FFFFFF"/>
        </w:rPr>
        <w:t>Under item 4 of the pricing schedule, which item required a once off amount</w:t>
      </w:r>
      <w:r w:rsidR="00E75CE8">
        <w:rPr>
          <w:rFonts w:ascii="Arial" w:hAnsi="Arial" w:cs="Arial"/>
          <w:color w:val="242121"/>
          <w:sz w:val="24"/>
          <w:szCs w:val="24"/>
          <w:shd w:val="clear" w:color="auto" w:fill="FFFFFF"/>
        </w:rPr>
        <w:t xml:space="preserve">, </w:t>
      </w:r>
      <w:r w:rsidR="00D8635B">
        <w:rPr>
          <w:rFonts w:ascii="Arial" w:hAnsi="Arial" w:cs="Arial"/>
          <w:color w:val="242121"/>
          <w:sz w:val="24"/>
          <w:szCs w:val="24"/>
          <w:shd w:val="clear" w:color="auto" w:fill="FFFFFF"/>
        </w:rPr>
        <w:t xml:space="preserve">Fezi quoted that </w:t>
      </w:r>
      <w:r w:rsidR="00D8635B" w:rsidRPr="00E75CE8">
        <w:rPr>
          <w:rFonts w:ascii="Arial" w:hAnsi="Arial" w:cs="Arial"/>
          <w:sz w:val="24"/>
          <w:szCs w:val="24"/>
          <w:shd w:val="clear" w:color="auto" w:fill="FFFFFF"/>
        </w:rPr>
        <w:t xml:space="preserve">price in rand is included </w:t>
      </w:r>
      <w:r w:rsidR="00D8635B" w:rsidRPr="00C02968">
        <w:rPr>
          <w:rFonts w:ascii="Arial" w:hAnsi="Arial" w:cs="Arial"/>
          <w:sz w:val="24"/>
          <w:szCs w:val="24"/>
          <w:shd w:val="clear" w:color="auto" w:fill="FFFFFF"/>
        </w:rPr>
        <w:t xml:space="preserve">in the price per asset. </w:t>
      </w:r>
      <w:r w:rsidR="00CF3AE3" w:rsidRPr="00C02968">
        <w:rPr>
          <w:rFonts w:ascii="Arial" w:hAnsi="Arial" w:cs="Arial"/>
          <w:sz w:val="24"/>
          <w:szCs w:val="24"/>
          <w:shd w:val="clear" w:color="auto" w:fill="FFFFFF"/>
        </w:rPr>
        <w:t xml:space="preserve">This is the item in terms of </w:t>
      </w:r>
      <w:r w:rsidR="00E12360" w:rsidRPr="00C02968">
        <w:rPr>
          <w:rFonts w:ascii="Arial" w:hAnsi="Arial" w:cs="Arial"/>
          <w:sz w:val="24"/>
          <w:szCs w:val="24"/>
          <w:shd w:val="clear" w:color="auto" w:fill="FFFFFF"/>
        </w:rPr>
        <w:t>which bidders</w:t>
      </w:r>
      <w:r w:rsidR="00DF26D0" w:rsidRPr="00C02968">
        <w:rPr>
          <w:rFonts w:ascii="Arial" w:hAnsi="Arial" w:cs="Arial"/>
          <w:sz w:val="24"/>
          <w:szCs w:val="24"/>
          <w:shd w:val="clear" w:color="auto" w:fill="FFFFFF"/>
        </w:rPr>
        <w:t xml:space="preserve"> were required to record all assets in the Fixed Asset Register per componentisation. Item</w:t>
      </w:r>
      <w:r w:rsidR="00AB2010" w:rsidRPr="00C02968">
        <w:rPr>
          <w:rFonts w:ascii="Arial" w:hAnsi="Arial" w:cs="Arial"/>
          <w:sz w:val="24"/>
          <w:szCs w:val="24"/>
          <w:shd w:val="clear" w:color="auto" w:fill="FFFFFF"/>
        </w:rPr>
        <w:t xml:space="preserve"> 1 and</w:t>
      </w:r>
      <w:r w:rsidR="00DF26D0" w:rsidRPr="00C02968">
        <w:rPr>
          <w:rFonts w:ascii="Arial" w:hAnsi="Arial" w:cs="Arial"/>
          <w:sz w:val="24"/>
          <w:szCs w:val="24"/>
          <w:shd w:val="clear" w:color="auto" w:fill="FFFFFF"/>
        </w:rPr>
        <w:t xml:space="preserve"> 2 of the bid required</w:t>
      </w:r>
      <w:r w:rsidR="00CA1EED" w:rsidRPr="00C02968">
        <w:rPr>
          <w:rFonts w:ascii="Arial" w:hAnsi="Arial" w:cs="Arial"/>
          <w:sz w:val="24"/>
          <w:szCs w:val="24"/>
          <w:shd w:val="clear" w:color="auto" w:fill="FFFFFF"/>
        </w:rPr>
        <w:t xml:space="preserve"> verification and </w:t>
      </w:r>
      <w:r w:rsidR="00E12360" w:rsidRPr="00C02968">
        <w:rPr>
          <w:rFonts w:ascii="Arial" w:hAnsi="Arial" w:cs="Arial"/>
          <w:sz w:val="24"/>
          <w:szCs w:val="24"/>
          <w:shd w:val="clear" w:color="auto" w:fill="FFFFFF"/>
        </w:rPr>
        <w:t>identification</w:t>
      </w:r>
      <w:r w:rsidR="00DF26D0" w:rsidRPr="00C02968">
        <w:rPr>
          <w:rFonts w:ascii="Arial" w:hAnsi="Arial" w:cs="Arial"/>
          <w:sz w:val="24"/>
          <w:szCs w:val="24"/>
          <w:shd w:val="clear" w:color="auto" w:fill="FFFFFF"/>
        </w:rPr>
        <w:t xml:space="preserve"> of assets. As per the bid specification</w:t>
      </w:r>
      <w:r w:rsidR="00774BE0" w:rsidRPr="00C02968">
        <w:rPr>
          <w:rFonts w:ascii="Arial" w:hAnsi="Arial" w:cs="Arial"/>
          <w:sz w:val="24"/>
          <w:szCs w:val="24"/>
          <w:shd w:val="clear" w:color="auto" w:fill="FFFFFF"/>
        </w:rPr>
        <w:t>,</w:t>
      </w:r>
      <w:r w:rsidR="00DF26D0" w:rsidRPr="00C02968">
        <w:rPr>
          <w:rFonts w:ascii="Arial" w:hAnsi="Arial" w:cs="Arial"/>
          <w:sz w:val="24"/>
          <w:szCs w:val="24"/>
          <w:shd w:val="clear" w:color="auto" w:fill="FFFFFF"/>
        </w:rPr>
        <w:t xml:space="preserve"> </w:t>
      </w:r>
      <w:r w:rsidR="00CF3AE3" w:rsidRPr="00C02968">
        <w:rPr>
          <w:rFonts w:ascii="Arial" w:hAnsi="Arial" w:cs="Arial"/>
          <w:sz w:val="24"/>
          <w:szCs w:val="24"/>
          <w:shd w:val="clear" w:color="auto" w:fill="FFFFFF"/>
        </w:rPr>
        <w:t xml:space="preserve">only additions to </w:t>
      </w:r>
      <w:r w:rsidR="00E12360" w:rsidRPr="00C02968">
        <w:rPr>
          <w:rFonts w:ascii="Arial" w:hAnsi="Arial" w:cs="Arial"/>
          <w:sz w:val="24"/>
          <w:szCs w:val="24"/>
          <w:shd w:val="clear" w:color="auto" w:fill="FFFFFF"/>
        </w:rPr>
        <w:t>the Fixed</w:t>
      </w:r>
      <w:r w:rsidR="00CF3AE3" w:rsidRPr="00C02968">
        <w:rPr>
          <w:rFonts w:ascii="Arial" w:hAnsi="Arial" w:cs="Arial"/>
          <w:sz w:val="24"/>
          <w:szCs w:val="24"/>
          <w:shd w:val="clear" w:color="auto" w:fill="FFFFFF"/>
        </w:rPr>
        <w:t xml:space="preserve"> Asset Register </w:t>
      </w:r>
      <w:r w:rsidR="00285FB5" w:rsidRPr="00C02968">
        <w:rPr>
          <w:rFonts w:ascii="Arial" w:hAnsi="Arial" w:cs="Arial"/>
          <w:sz w:val="24"/>
          <w:szCs w:val="24"/>
          <w:shd w:val="clear" w:color="auto" w:fill="FFFFFF"/>
        </w:rPr>
        <w:t>required</w:t>
      </w:r>
      <w:r w:rsidR="00AB2010" w:rsidRPr="00C02968">
        <w:rPr>
          <w:rFonts w:ascii="Arial" w:hAnsi="Arial" w:cs="Arial"/>
          <w:sz w:val="24"/>
          <w:szCs w:val="24"/>
          <w:shd w:val="clear" w:color="auto" w:fill="FFFFFF"/>
        </w:rPr>
        <w:t xml:space="preserve"> verification </w:t>
      </w:r>
      <w:r w:rsidR="00E12360" w:rsidRPr="00C02968">
        <w:rPr>
          <w:rFonts w:ascii="Arial" w:hAnsi="Arial" w:cs="Arial"/>
          <w:sz w:val="24"/>
          <w:szCs w:val="24"/>
          <w:shd w:val="clear" w:color="auto" w:fill="FFFFFF"/>
        </w:rPr>
        <w:t>and identification</w:t>
      </w:r>
      <w:r w:rsidR="004B29DF" w:rsidRPr="00C02968">
        <w:rPr>
          <w:rFonts w:ascii="Arial" w:hAnsi="Arial" w:cs="Arial"/>
          <w:sz w:val="24"/>
          <w:szCs w:val="24"/>
          <w:shd w:val="clear" w:color="auto" w:fill="FFFFFF"/>
        </w:rPr>
        <w:t xml:space="preserve">. </w:t>
      </w:r>
    </w:p>
    <w:p w:rsidR="00DC3ED7" w:rsidRPr="00C02968" w:rsidRDefault="00DC3ED7" w:rsidP="00DC3ED7">
      <w:pPr>
        <w:tabs>
          <w:tab w:val="left" w:pos="567"/>
        </w:tabs>
        <w:spacing w:before="120" w:after="0" w:line="360" w:lineRule="auto"/>
        <w:ind w:left="709" w:hanging="709"/>
        <w:jc w:val="both"/>
        <w:rPr>
          <w:rFonts w:ascii="Arial" w:hAnsi="Arial" w:cs="Arial"/>
          <w:sz w:val="24"/>
          <w:szCs w:val="24"/>
        </w:rPr>
      </w:pPr>
    </w:p>
    <w:p w:rsidR="00774BE0" w:rsidRPr="00C02968" w:rsidRDefault="00B479DB" w:rsidP="00DC3ED7">
      <w:pPr>
        <w:tabs>
          <w:tab w:val="left" w:pos="567"/>
        </w:tabs>
        <w:spacing w:before="120" w:after="0" w:line="360" w:lineRule="auto"/>
        <w:ind w:left="709" w:hanging="709"/>
        <w:jc w:val="both"/>
        <w:rPr>
          <w:rFonts w:ascii="Arial" w:hAnsi="Arial" w:cs="Arial"/>
          <w:sz w:val="24"/>
          <w:szCs w:val="24"/>
        </w:rPr>
      </w:pPr>
      <w:r w:rsidRPr="00C02968">
        <w:rPr>
          <w:rFonts w:ascii="Arial" w:hAnsi="Arial" w:cs="Arial"/>
          <w:sz w:val="24"/>
          <w:szCs w:val="24"/>
        </w:rPr>
        <w:t>[</w:t>
      </w:r>
      <w:r w:rsidR="00DC3ED7" w:rsidRPr="00C02968">
        <w:rPr>
          <w:rFonts w:ascii="Arial" w:hAnsi="Arial" w:cs="Arial"/>
          <w:sz w:val="24"/>
          <w:szCs w:val="24"/>
        </w:rPr>
        <w:t>5</w:t>
      </w:r>
      <w:r w:rsidR="002703CD" w:rsidRPr="00C02968">
        <w:rPr>
          <w:rFonts w:ascii="Arial" w:hAnsi="Arial" w:cs="Arial"/>
          <w:sz w:val="24"/>
          <w:szCs w:val="24"/>
        </w:rPr>
        <w:t xml:space="preserve">]  </w:t>
      </w:r>
      <w:r w:rsidR="00E7269E" w:rsidRPr="00C02968">
        <w:rPr>
          <w:rFonts w:ascii="Arial" w:hAnsi="Arial" w:cs="Arial"/>
          <w:sz w:val="24"/>
          <w:szCs w:val="24"/>
        </w:rPr>
        <w:t xml:space="preserve"> </w:t>
      </w:r>
      <w:r w:rsidR="00DF26D0" w:rsidRPr="00C02968">
        <w:rPr>
          <w:rFonts w:ascii="Arial" w:hAnsi="Arial" w:cs="Arial"/>
          <w:sz w:val="24"/>
          <w:szCs w:val="24"/>
        </w:rPr>
        <w:tab/>
      </w:r>
      <w:r w:rsidR="001034C1" w:rsidRPr="00C02968">
        <w:rPr>
          <w:rFonts w:ascii="Arial" w:hAnsi="Arial" w:cs="Arial"/>
          <w:sz w:val="24"/>
          <w:szCs w:val="24"/>
        </w:rPr>
        <w:tab/>
      </w:r>
      <w:r w:rsidR="00D8635B" w:rsidRPr="00C02968">
        <w:rPr>
          <w:rFonts w:ascii="Arial" w:hAnsi="Arial" w:cs="Arial"/>
          <w:sz w:val="24"/>
          <w:szCs w:val="24"/>
        </w:rPr>
        <w:t>F</w:t>
      </w:r>
      <w:r w:rsidR="00866D72" w:rsidRPr="00C02968">
        <w:rPr>
          <w:rFonts w:ascii="Arial" w:hAnsi="Arial" w:cs="Arial"/>
          <w:sz w:val="24"/>
          <w:szCs w:val="24"/>
        </w:rPr>
        <w:t>ezi’</w:t>
      </w:r>
      <w:r w:rsidR="00D8635B" w:rsidRPr="00C02968">
        <w:rPr>
          <w:rFonts w:ascii="Arial" w:hAnsi="Arial" w:cs="Arial"/>
          <w:sz w:val="24"/>
          <w:szCs w:val="24"/>
        </w:rPr>
        <w:t xml:space="preserve"> s bid was disqualified at the second stage of evaluation (Price and </w:t>
      </w:r>
      <w:r w:rsidR="00E12360" w:rsidRPr="00C02968">
        <w:rPr>
          <w:rFonts w:ascii="Arial" w:hAnsi="Arial" w:cs="Arial"/>
          <w:sz w:val="24"/>
          <w:szCs w:val="24"/>
        </w:rPr>
        <w:t>BEE stage)</w:t>
      </w:r>
      <w:r w:rsidR="00D8635B" w:rsidRPr="00C02968">
        <w:rPr>
          <w:rFonts w:ascii="Arial" w:hAnsi="Arial" w:cs="Arial"/>
          <w:sz w:val="24"/>
          <w:szCs w:val="24"/>
        </w:rPr>
        <w:t>.</w:t>
      </w:r>
      <w:r w:rsidR="00EE3D8C" w:rsidRPr="00C02968">
        <w:rPr>
          <w:rFonts w:ascii="Arial" w:hAnsi="Arial" w:cs="Arial"/>
          <w:sz w:val="24"/>
          <w:szCs w:val="24"/>
        </w:rPr>
        <w:t xml:space="preserve"> </w:t>
      </w:r>
      <w:r w:rsidR="00870743" w:rsidRPr="00C02968">
        <w:rPr>
          <w:rFonts w:ascii="Arial" w:hAnsi="Arial" w:cs="Arial"/>
          <w:sz w:val="24"/>
          <w:szCs w:val="24"/>
        </w:rPr>
        <w:t xml:space="preserve">The main reason advanced was that Fezi did not quote a fixed price for the task of recording all assets in the Fixed Asset Register.  </w:t>
      </w:r>
    </w:p>
    <w:p w:rsidR="00B72CB0" w:rsidRDefault="00B72CB0" w:rsidP="00DC3ED7">
      <w:pPr>
        <w:tabs>
          <w:tab w:val="left" w:pos="567"/>
        </w:tabs>
        <w:spacing w:before="120" w:after="0" w:line="360" w:lineRule="auto"/>
        <w:ind w:left="709" w:hanging="709"/>
        <w:jc w:val="both"/>
        <w:rPr>
          <w:rFonts w:ascii="Arial" w:hAnsi="Arial" w:cs="Arial"/>
          <w:sz w:val="24"/>
          <w:szCs w:val="24"/>
        </w:rPr>
      </w:pPr>
    </w:p>
    <w:p w:rsidR="00555FDF" w:rsidRPr="00C02968" w:rsidRDefault="00774BE0" w:rsidP="00DC3ED7">
      <w:pPr>
        <w:tabs>
          <w:tab w:val="left" w:pos="567"/>
        </w:tabs>
        <w:spacing w:before="120" w:after="0" w:line="360" w:lineRule="auto"/>
        <w:ind w:left="709" w:hanging="709"/>
        <w:jc w:val="both"/>
        <w:rPr>
          <w:rFonts w:ascii="Arial" w:hAnsi="Arial" w:cs="Arial"/>
          <w:bCs/>
          <w:sz w:val="24"/>
          <w:szCs w:val="24"/>
        </w:rPr>
      </w:pPr>
      <w:r w:rsidRPr="00C02968">
        <w:rPr>
          <w:rFonts w:ascii="Arial" w:hAnsi="Arial" w:cs="Arial"/>
          <w:sz w:val="24"/>
          <w:szCs w:val="24"/>
        </w:rPr>
        <w:t>[</w:t>
      </w:r>
      <w:r w:rsidR="00DC3ED7" w:rsidRPr="00C02968">
        <w:rPr>
          <w:rFonts w:ascii="Arial" w:hAnsi="Arial" w:cs="Arial"/>
          <w:sz w:val="24"/>
          <w:szCs w:val="24"/>
        </w:rPr>
        <w:t>6</w:t>
      </w:r>
      <w:r w:rsidRPr="00C02968">
        <w:rPr>
          <w:rFonts w:ascii="Arial" w:hAnsi="Arial" w:cs="Arial"/>
          <w:sz w:val="24"/>
          <w:szCs w:val="24"/>
        </w:rPr>
        <w:t>]</w:t>
      </w:r>
      <w:r w:rsidRPr="00C02968">
        <w:rPr>
          <w:rFonts w:ascii="Arial" w:hAnsi="Arial" w:cs="Arial"/>
          <w:sz w:val="24"/>
          <w:szCs w:val="24"/>
        </w:rPr>
        <w:tab/>
      </w:r>
      <w:r w:rsidR="00DC3ED7" w:rsidRPr="00C02968">
        <w:rPr>
          <w:rFonts w:ascii="Arial" w:hAnsi="Arial" w:cs="Arial"/>
          <w:sz w:val="24"/>
          <w:szCs w:val="24"/>
        </w:rPr>
        <w:tab/>
      </w:r>
      <w:r w:rsidR="00EE3D8C" w:rsidRPr="00C02968">
        <w:rPr>
          <w:rFonts w:ascii="Arial" w:hAnsi="Arial" w:cs="Arial"/>
          <w:bCs/>
          <w:sz w:val="24"/>
          <w:szCs w:val="24"/>
        </w:rPr>
        <w:t xml:space="preserve">Fezi submits that </w:t>
      </w:r>
      <w:r w:rsidR="0054234A" w:rsidRPr="00C02968">
        <w:rPr>
          <w:rFonts w:ascii="Arial" w:hAnsi="Arial" w:cs="Arial"/>
          <w:bCs/>
          <w:sz w:val="24"/>
          <w:szCs w:val="24"/>
        </w:rPr>
        <w:t xml:space="preserve">it </w:t>
      </w:r>
      <w:r w:rsidR="00EE3D8C" w:rsidRPr="00C02968">
        <w:rPr>
          <w:rFonts w:ascii="Arial" w:hAnsi="Arial" w:cs="Arial"/>
          <w:bCs/>
          <w:sz w:val="24"/>
          <w:szCs w:val="24"/>
        </w:rPr>
        <w:t>should have been awarded the tender</w:t>
      </w:r>
      <w:r w:rsidRPr="00C02968">
        <w:rPr>
          <w:rFonts w:ascii="Arial" w:hAnsi="Arial" w:cs="Arial"/>
          <w:bCs/>
          <w:sz w:val="24"/>
          <w:szCs w:val="24"/>
        </w:rPr>
        <w:t xml:space="preserve"> and contends </w:t>
      </w:r>
      <w:r w:rsidR="00EE3D8C" w:rsidRPr="00C02968">
        <w:rPr>
          <w:rFonts w:ascii="Arial" w:hAnsi="Arial" w:cs="Arial"/>
          <w:bCs/>
          <w:sz w:val="24"/>
          <w:szCs w:val="24"/>
        </w:rPr>
        <w:t xml:space="preserve">that </w:t>
      </w:r>
      <w:r w:rsidR="00870743" w:rsidRPr="00C02968">
        <w:rPr>
          <w:rFonts w:ascii="Arial" w:hAnsi="Arial" w:cs="Arial"/>
          <w:bCs/>
          <w:sz w:val="24"/>
          <w:szCs w:val="24"/>
        </w:rPr>
        <w:t>C</w:t>
      </w:r>
      <w:r w:rsidRPr="00C02968">
        <w:rPr>
          <w:rFonts w:ascii="Arial" w:hAnsi="Arial" w:cs="Arial"/>
          <w:bCs/>
          <w:sz w:val="24"/>
          <w:szCs w:val="24"/>
        </w:rPr>
        <w:t>ENTLEC</w:t>
      </w:r>
      <w:r w:rsidR="00870743" w:rsidRPr="00C02968">
        <w:rPr>
          <w:rFonts w:ascii="Arial" w:hAnsi="Arial" w:cs="Arial"/>
          <w:bCs/>
          <w:sz w:val="24"/>
          <w:szCs w:val="24"/>
        </w:rPr>
        <w:t xml:space="preserve"> elevated form over substance when </w:t>
      </w:r>
      <w:r w:rsidR="00E12360" w:rsidRPr="00C02968">
        <w:rPr>
          <w:rFonts w:ascii="Arial" w:hAnsi="Arial" w:cs="Arial"/>
          <w:bCs/>
          <w:sz w:val="24"/>
          <w:szCs w:val="24"/>
        </w:rPr>
        <w:t>it evaluated</w:t>
      </w:r>
      <w:r w:rsidR="00870743" w:rsidRPr="00C02968">
        <w:rPr>
          <w:rFonts w:ascii="Arial" w:hAnsi="Arial" w:cs="Arial"/>
          <w:bCs/>
          <w:sz w:val="24"/>
          <w:szCs w:val="24"/>
        </w:rPr>
        <w:t xml:space="preserve"> its tender in that its bid was</w:t>
      </w:r>
      <w:r w:rsidR="00E75CE8">
        <w:rPr>
          <w:rFonts w:ascii="Arial" w:hAnsi="Arial" w:cs="Arial"/>
          <w:bCs/>
          <w:sz w:val="24"/>
          <w:szCs w:val="24"/>
        </w:rPr>
        <w:t xml:space="preserve"> the </w:t>
      </w:r>
      <w:r w:rsidR="00B72CB0">
        <w:rPr>
          <w:rFonts w:ascii="Arial" w:hAnsi="Arial" w:cs="Arial"/>
          <w:bCs/>
          <w:sz w:val="24"/>
          <w:szCs w:val="24"/>
        </w:rPr>
        <w:t xml:space="preserve">most </w:t>
      </w:r>
      <w:r w:rsidR="00B72CB0" w:rsidRPr="00C02968">
        <w:rPr>
          <w:rFonts w:ascii="Arial" w:hAnsi="Arial" w:cs="Arial"/>
          <w:bCs/>
          <w:sz w:val="24"/>
          <w:szCs w:val="24"/>
        </w:rPr>
        <w:t>cost</w:t>
      </w:r>
      <w:r w:rsidR="00E12360" w:rsidRPr="00C02968">
        <w:rPr>
          <w:rFonts w:ascii="Arial" w:hAnsi="Arial" w:cs="Arial"/>
          <w:bCs/>
          <w:sz w:val="24"/>
          <w:szCs w:val="24"/>
        </w:rPr>
        <w:t xml:space="preserve"> effective</w:t>
      </w:r>
      <w:r w:rsidR="00870743" w:rsidRPr="00C02968">
        <w:rPr>
          <w:rFonts w:ascii="Arial" w:hAnsi="Arial" w:cs="Arial"/>
          <w:bCs/>
          <w:sz w:val="24"/>
          <w:szCs w:val="24"/>
        </w:rPr>
        <w:t xml:space="preserve"> and would have saved public funds. </w:t>
      </w:r>
      <w:r w:rsidR="0054234A" w:rsidRPr="00C02968">
        <w:rPr>
          <w:rFonts w:ascii="Arial" w:hAnsi="Arial" w:cs="Arial"/>
          <w:bCs/>
          <w:sz w:val="24"/>
          <w:szCs w:val="24"/>
        </w:rPr>
        <w:t xml:space="preserve">Fezi </w:t>
      </w:r>
      <w:r w:rsidRPr="00C02968">
        <w:rPr>
          <w:rFonts w:ascii="Arial" w:hAnsi="Arial" w:cs="Arial"/>
          <w:bCs/>
          <w:sz w:val="24"/>
          <w:szCs w:val="24"/>
        </w:rPr>
        <w:t xml:space="preserve">further submits </w:t>
      </w:r>
      <w:r w:rsidR="00870743" w:rsidRPr="00C02968">
        <w:rPr>
          <w:rFonts w:ascii="Arial" w:hAnsi="Arial" w:cs="Arial"/>
          <w:bCs/>
          <w:sz w:val="24"/>
          <w:szCs w:val="24"/>
        </w:rPr>
        <w:t>that the</w:t>
      </w:r>
      <w:r w:rsidR="00ED3216" w:rsidRPr="00C02968">
        <w:rPr>
          <w:rFonts w:ascii="Arial" w:hAnsi="Arial" w:cs="Arial"/>
          <w:bCs/>
          <w:sz w:val="24"/>
          <w:szCs w:val="24"/>
        </w:rPr>
        <w:t xml:space="preserve"> </w:t>
      </w:r>
      <w:r w:rsidR="00E12360" w:rsidRPr="00C02968">
        <w:rPr>
          <w:rFonts w:ascii="Arial" w:hAnsi="Arial" w:cs="Arial"/>
          <w:bCs/>
          <w:sz w:val="24"/>
          <w:szCs w:val="24"/>
        </w:rPr>
        <w:t>technology it</w:t>
      </w:r>
      <w:r w:rsidR="0054234A" w:rsidRPr="00C02968">
        <w:rPr>
          <w:rFonts w:ascii="Arial" w:hAnsi="Arial" w:cs="Arial"/>
          <w:bCs/>
          <w:sz w:val="24"/>
          <w:szCs w:val="24"/>
        </w:rPr>
        <w:t xml:space="preserve"> uses would, in the natural course of executing the </w:t>
      </w:r>
      <w:r w:rsidR="00ED3216" w:rsidRPr="00C02968">
        <w:rPr>
          <w:rFonts w:ascii="Arial" w:hAnsi="Arial" w:cs="Arial"/>
          <w:bCs/>
          <w:sz w:val="24"/>
          <w:szCs w:val="24"/>
        </w:rPr>
        <w:lastRenderedPageBreak/>
        <w:t>other</w:t>
      </w:r>
      <w:r w:rsidR="0054234A" w:rsidRPr="00C02968">
        <w:rPr>
          <w:rFonts w:ascii="Arial" w:hAnsi="Arial" w:cs="Arial"/>
          <w:bCs/>
          <w:sz w:val="24"/>
          <w:szCs w:val="24"/>
        </w:rPr>
        <w:t xml:space="preserve"> components of the deliverables, automatically generate the required register of assets.  </w:t>
      </w:r>
      <w:r w:rsidR="00ED3216" w:rsidRPr="00C02968">
        <w:rPr>
          <w:rFonts w:ascii="Arial" w:hAnsi="Arial" w:cs="Arial"/>
          <w:bCs/>
          <w:sz w:val="24"/>
          <w:szCs w:val="24"/>
        </w:rPr>
        <w:t xml:space="preserve">It </w:t>
      </w:r>
      <w:r w:rsidRPr="00C02968">
        <w:rPr>
          <w:rFonts w:ascii="Arial" w:hAnsi="Arial" w:cs="Arial"/>
          <w:bCs/>
          <w:sz w:val="24"/>
          <w:szCs w:val="24"/>
        </w:rPr>
        <w:t xml:space="preserve">submits </w:t>
      </w:r>
      <w:r w:rsidR="00ED3216" w:rsidRPr="00C02968">
        <w:rPr>
          <w:rFonts w:ascii="Arial" w:hAnsi="Arial" w:cs="Arial"/>
          <w:bCs/>
          <w:sz w:val="24"/>
          <w:szCs w:val="24"/>
        </w:rPr>
        <w:t xml:space="preserve">that it would not charge CENTLEC </w:t>
      </w:r>
      <w:r w:rsidR="00E12360" w:rsidRPr="00C02968">
        <w:rPr>
          <w:rFonts w:ascii="Arial" w:hAnsi="Arial" w:cs="Arial"/>
          <w:bCs/>
          <w:sz w:val="24"/>
          <w:szCs w:val="24"/>
        </w:rPr>
        <w:t>for item</w:t>
      </w:r>
      <w:r w:rsidR="00ED3216" w:rsidRPr="00C02968">
        <w:rPr>
          <w:rFonts w:ascii="Arial" w:hAnsi="Arial" w:cs="Arial"/>
          <w:bCs/>
          <w:sz w:val="24"/>
          <w:szCs w:val="24"/>
        </w:rPr>
        <w:t xml:space="preserve"> 4 as it would have been covered in price per asset charged under item 2. </w:t>
      </w:r>
    </w:p>
    <w:p w:rsidR="00DC3ED7" w:rsidRPr="00C02968" w:rsidRDefault="00DC3ED7" w:rsidP="00DC3ED7">
      <w:pPr>
        <w:tabs>
          <w:tab w:val="left" w:pos="567"/>
        </w:tabs>
        <w:spacing w:before="120" w:after="0" w:line="360" w:lineRule="auto"/>
        <w:ind w:left="709" w:hanging="709"/>
        <w:jc w:val="both"/>
        <w:rPr>
          <w:rFonts w:ascii="Arial" w:hAnsi="Arial" w:cs="Arial"/>
          <w:sz w:val="24"/>
          <w:szCs w:val="24"/>
        </w:rPr>
      </w:pPr>
    </w:p>
    <w:p w:rsidR="00401FF8" w:rsidRPr="00C02968" w:rsidRDefault="0054234A" w:rsidP="00DC3ED7">
      <w:pPr>
        <w:tabs>
          <w:tab w:val="left" w:pos="567"/>
        </w:tabs>
        <w:spacing w:before="120" w:after="0" w:line="360" w:lineRule="auto"/>
        <w:ind w:left="709" w:hanging="709"/>
        <w:jc w:val="both"/>
        <w:rPr>
          <w:rFonts w:ascii="Arial" w:hAnsi="Arial" w:cs="Arial"/>
          <w:sz w:val="24"/>
          <w:szCs w:val="24"/>
        </w:rPr>
      </w:pPr>
      <w:r w:rsidRPr="00C02968">
        <w:rPr>
          <w:rFonts w:ascii="Arial" w:hAnsi="Arial" w:cs="Arial"/>
          <w:sz w:val="24"/>
          <w:szCs w:val="24"/>
        </w:rPr>
        <w:t>[</w:t>
      </w:r>
      <w:r w:rsidR="00DC3ED7" w:rsidRPr="00C02968">
        <w:rPr>
          <w:rFonts w:ascii="Arial" w:hAnsi="Arial" w:cs="Arial"/>
          <w:sz w:val="24"/>
          <w:szCs w:val="24"/>
        </w:rPr>
        <w:t>7</w:t>
      </w:r>
      <w:r w:rsidR="00E12360" w:rsidRPr="00C02968">
        <w:rPr>
          <w:rFonts w:ascii="Arial" w:hAnsi="Arial" w:cs="Arial"/>
          <w:sz w:val="24"/>
          <w:szCs w:val="24"/>
        </w:rPr>
        <w:t xml:space="preserve">] </w:t>
      </w:r>
      <w:r w:rsidR="00E12360" w:rsidRPr="00C02968">
        <w:rPr>
          <w:rFonts w:ascii="Arial" w:hAnsi="Arial" w:cs="Arial"/>
          <w:sz w:val="24"/>
          <w:szCs w:val="24"/>
        </w:rPr>
        <w:tab/>
      </w:r>
      <w:r w:rsidRPr="00C02968">
        <w:rPr>
          <w:rFonts w:ascii="Arial" w:hAnsi="Arial" w:cs="Arial"/>
          <w:sz w:val="24"/>
          <w:szCs w:val="24"/>
        </w:rPr>
        <w:tab/>
      </w:r>
      <w:r w:rsidR="00500562" w:rsidRPr="00C02968">
        <w:rPr>
          <w:rFonts w:ascii="Arial" w:hAnsi="Arial" w:cs="Arial"/>
          <w:sz w:val="24"/>
          <w:szCs w:val="24"/>
        </w:rPr>
        <w:t xml:space="preserve">CENTLEC’s case is </w:t>
      </w:r>
      <w:r w:rsidRPr="00C02968">
        <w:rPr>
          <w:rFonts w:ascii="Arial" w:hAnsi="Arial" w:cs="Arial"/>
          <w:sz w:val="24"/>
          <w:szCs w:val="24"/>
        </w:rPr>
        <w:t xml:space="preserve">that </w:t>
      </w:r>
      <w:r w:rsidR="00E12360" w:rsidRPr="00C02968">
        <w:rPr>
          <w:rFonts w:ascii="Arial" w:hAnsi="Arial" w:cs="Arial"/>
          <w:sz w:val="24"/>
          <w:szCs w:val="24"/>
        </w:rPr>
        <w:t>Fez</w:t>
      </w:r>
      <w:r w:rsidR="00E75CE8">
        <w:rPr>
          <w:rFonts w:ascii="Arial" w:hAnsi="Arial" w:cs="Arial"/>
          <w:sz w:val="24"/>
          <w:szCs w:val="24"/>
        </w:rPr>
        <w:t>i</w:t>
      </w:r>
      <w:r w:rsidR="00E12360" w:rsidRPr="00C02968">
        <w:rPr>
          <w:rFonts w:ascii="Arial" w:hAnsi="Arial" w:cs="Arial"/>
          <w:sz w:val="24"/>
          <w:szCs w:val="24"/>
        </w:rPr>
        <w:t>’s</w:t>
      </w:r>
      <w:r w:rsidRPr="00C02968">
        <w:rPr>
          <w:rFonts w:ascii="Arial" w:hAnsi="Arial" w:cs="Arial"/>
          <w:sz w:val="24"/>
          <w:szCs w:val="24"/>
        </w:rPr>
        <w:t xml:space="preserve"> entire bid pricing is predicated on the wrong notion that bidders had to compile a Fixed Asset Register from scratch.</w:t>
      </w:r>
      <w:r w:rsidR="00E75CE8">
        <w:rPr>
          <w:rFonts w:ascii="Arial" w:hAnsi="Arial" w:cs="Arial"/>
          <w:sz w:val="24"/>
          <w:szCs w:val="24"/>
        </w:rPr>
        <w:t xml:space="preserve"> CENTLEC</w:t>
      </w:r>
      <w:r w:rsidR="00500562" w:rsidRPr="00C02968">
        <w:rPr>
          <w:rFonts w:ascii="Arial" w:hAnsi="Arial" w:cs="Arial"/>
          <w:sz w:val="24"/>
          <w:szCs w:val="24"/>
        </w:rPr>
        <w:t xml:space="preserve"> submit</w:t>
      </w:r>
      <w:r w:rsidR="00774BE0" w:rsidRPr="00C02968">
        <w:rPr>
          <w:rFonts w:ascii="Arial" w:hAnsi="Arial" w:cs="Arial"/>
          <w:sz w:val="24"/>
          <w:szCs w:val="24"/>
        </w:rPr>
        <w:t xml:space="preserve">s </w:t>
      </w:r>
      <w:r w:rsidR="00500562" w:rsidRPr="00C02968">
        <w:rPr>
          <w:rFonts w:ascii="Arial" w:hAnsi="Arial" w:cs="Arial"/>
          <w:sz w:val="24"/>
          <w:szCs w:val="24"/>
        </w:rPr>
        <w:t xml:space="preserve">that items 1 and 2 of the </w:t>
      </w:r>
      <w:r w:rsidR="00535B83" w:rsidRPr="00C02968">
        <w:rPr>
          <w:rFonts w:ascii="Arial" w:hAnsi="Arial" w:cs="Arial"/>
          <w:sz w:val="24"/>
          <w:szCs w:val="24"/>
        </w:rPr>
        <w:t xml:space="preserve">pricing schedule do not relate to the total number of the current assets, they relate to additions to the Fixed Asset Register while item </w:t>
      </w:r>
      <w:r w:rsidR="00E12360" w:rsidRPr="00C02968">
        <w:rPr>
          <w:rFonts w:ascii="Arial" w:hAnsi="Arial" w:cs="Arial"/>
          <w:sz w:val="24"/>
          <w:szCs w:val="24"/>
        </w:rPr>
        <w:t>4 relates</w:t>
      </w:r>
      <w:r w:rsidR="00535B83" w:rsidRPr="00C02968">
        <w:rPr>
          <w:rFonts w:ascii="Arial" w:hAnsi="Arial" w:cs="Arial"/>
          <w:sz w:val="24"/>
          <w:szCs w:val="24"/>
        </w:rPr>
        <w:t xml:space="preserve"> to both additions as well as total number of current assets.  </w:t>
      </w:r>
    </w:p>
    <w:p w:rsidR="00774BE0" w:rsidRPr="00C02968" w:rsidRDefault="00774BE0" w:rsidP="00DC3ED7">
      <w:pPr>
        <w:tabs>
          <w:tab w:val="left" w:pos="567"/>
        </w:tabs>
        <w:spacing w:before="120" w:after="0" w:line="360" w:lineRule="auto"/>
        <w:ind w:left="709" w:hanging="709"/>
        <w:jc w:val="both"/>
        <w:rPr>
          <w:rFonts w:ascii="Arial" w:hAnsi="Arial" w:cs="Arial"/>
          <w:sz w:val="24"/>
          <w:szCs w:val="24"/>
        </w:rPr>
      </w:pPr>
    </w:p>
    <w:p w:rsidR="006306FB" w:rsidRPr="00C02968" w:rsidRDefault="00891DEF" w:rsidP="00DC3ED7">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shd w:val="clear" w:color="auto" w:fill="FFFFFF"/>
        </w:rPr>
      </w:pPr>
      <w:r w:rsidRPr="00C02968">
        <w:rPr>
          <w:rFonts w:ascii="Arial" w:hAnsi="Arial" w:cs="Arial"/>
          <w:color w:val="auto"/>
          <w:sz w:val="24"/>
          <w:szCs w:val="24"/>
        </w:rPr>
        <w:t>[</w:t>
      </w:r>
      <w:r w:rsidR="00DC3ED7" w:rsidRPr="00C02968">
        <w:rPr>
          <w:rFonts w:ascii="Arial" w:hAnsi="Arial" w:cs="Arial"/>
          <w:color w:val="auto"/>
          <w:sz w:val="24"/>
          <w:szCs w:val="24"/>
        </w:rPr>
        <w:t>8</w:t>
      </w:r>
      <w:r w:rsidR="00401FF8" w:rsidRPr="00C02968">
        <w:rPr>
          <w:rFonts w:ascii="Arial" w:hAnsi="Arial" w:cs="Arial"/>
          <w:color w:val="auto"/>
          <w:sz w:val="24"/>
          <w:szCs w:val="24"/>
        </w:rPr>
        <w:t xml:space="preserve">] </w:t>
      </w:r>
      <w:r w:rsidR="00F82EBC" w:rsidRPr="00C02968">
        <w:rPr>
          <w:rFonts w:ascii="Arial" w:hAnsi="Arial" w:cs="Arial"/>
          <w:color w:val="auto"/>
          <w:sz w:val="24"/>
          <w:szCs w:val="24"/>
        </w:rPr>
        <w:t xml:space="preserve"> </w:t>
      </w:r>
      <w:r w:rsidR="00B80E21" w:rsidRPr="00C02968">
        <w:rPr>
          <w:rFonts w:ascii="Arial" w:hAnsi="Arial" w:cs="Arial"/>
          <w:color w:val="auto"/>
          <w:sz w:val="24"/>
          <w:szCs w:val="24"/>
        </w:rPr>
        <w:t xml:space="preserve"> </w:t>
      </w:r>
      <w:r w:rsidR="00BE6049" w:rsidRPr="00C02968">
        <w:rPr>
          <w:rFonts w:ascii="Arial" w:hAnsi="Arial" w:cs="Arial"/>
          <w:color w:val="auto"/>
          <w:sz w:val="24"/>
          <w:szCs w:val="24"/>
        </w:rPr>
        <w:t xml:space="preserve"> </w:t>
      </w:r>
      <w:r w:rsidR="005F4502" w:rsidRPr="00C02968">
        <w:rPr>
          <w:rFonts w:ascii="Arial" w:hAnsi="Arial" w:cs="Arial"/>
          <w:color w:val="auto"/>
          <w:sz w:val="24"/>
          <w:szCs w:val="24"/>
        </w:rPr>
        <w:tab/>
      </w:r>
      <w:r w:rsidR="008436CE" w:rsidRPr="00C02968">
        <w:rPr>
          <w:rFonts w:ascii="Arial" w:hAnsi="Arial" w:cs="Arial"/>
          <w:color w:val="auto"/>
          <w:sz w:val="24"/>
          <w:szCs w:val="24"/>
          <w:shd w:val="clear" w:color="auto" w:fill="FFFFFF"/>
        </w:rPr>
        <w:t>The a</w:t>
      </w:r>
      <w:r w:rsidR="004631E5" w:rsidRPr="00C02968">
        <w:rPr>
          <w:rFonts w:ascii="Arial" w:hAnsi="Arial" w:cs="Arial"/>
          <w:color w:val="auto"/>
          <w:sz w:val="24"/>
          <w:szCs w:val="24"/>
          <w:shd w:val="clear" w:color="auto" w:fill="FFFFFF"/>
        </w:rPr>
        <w:t>pplicant’s grounds of review as</w:t>
      </w:r>
      <w:r w:rsidR="00500562" w:rsidRPr="00C02968">
        <w:rPr>
          <w:rFonts w:ascii="Arial" w:hAnsi="Arial" w:cs="Arial"/>
          <w:color w:val="auto"/>
          <w:sz w:val="24"/>
          <w:szCs w:val="24"/>
          <w:shd w:val="clear" w:color="auto" w:fill="FFFFFF"/>
        </w:rPr>
        <w:t xml:space="preserve"> predicated </w:t>
      </w:r>
      <w:r w:rsidR="0041708F" w:rsidRPr="00C02968">
        <w:rPr>
          <w:rFonts w:ascii="Arial" w:hAnsi="Arial" w:cs="Arial"/>
          <w:color w:val="auto"/>
          <w:sz w:val="24"/>
          <w:szCs w:val="24"/>
          <w:shd w:val="clear" w:color="auto" w:fill="FFFFFF"/>
        </w:rPr>
        <w:t>on the</w:t>
      </w:r>
      <w:r w:rsidR="008436CE" w:rsidRPr="00C02968">
        <w:rPr>
          <w:rFonts w:ascii="Arial" w:hAnsi="Arial" w:cs="Arial"/>
          <w:color w:val="auto"/>
          <w:sz w:val="24"/>
          <w:szCs w:val="24"/>
          <w:shd w:val="clear" w:color="auto" w:fill="FFFFFF"/>
        </w:rPr>
        <w:t xml:space="preserve"> provisions of the </w:t>
      </w:r>
      <w:r w:rsidR="008436CE" w:rsidRPr="00C02968">
        <w:rPr>
          <w:rFonts w:ascii="Arial" w:hAnsi="Arial" w:cs="Arial"/>
          <w:b/>
          <w:color w:val="auto"/>
          <w:sz w:val="24"/>
          <w:szCs w:val="24"/>
          <w:shd w:val="clear" w:color="auto" w:fill="FFFFFF"/>
        </w:rPr>
        <w:t>Promotion of Adminis</w:t>
      </w:r>
      <w:r w:rsidR="00774BE0" w:rsidRPr="00C02968">
        <w:rPr>
          <w:rFonts w:ascii="Arial" w:hAnsi="Arial" w:cs="Arial"/>
          <w:b/>
          <w:color w:val="auto"/>
          <w:sz w:val="24"/>
          <w:szCs w:val="24"/>
          <w:shd w:val="clear" w:color="auto" w:fill="FFFFFF"/>
        </w:rPr>
        <w:t>trative Justice Act 3 of 2000 (</w:t>
      </w:r>
      <w:r w:rsidR="008436CE" w:rsidRPr="00C02968">
        <w:rPr>
          <w:rFonts w:ascii="Arial" w:hAnsi="Arial" w:cs="Arial"/>
          <w:b/>
          <w:color w:val="auto"/>
          <w:sz w:val="24"/>
          <w:szCs w:val="24"/>
          <w:shd w:val="clear" w:color="auto" w:fill="FFFFFF"/>
        </w:rPr>
        <w:t xml:space="preserve">PAJA) </w:t>
      </w:r>
      <w:r w:rsidR="0041708F" w:rsidRPr="00C02968">
        <w:rPr>
          <w:rFonts w:ascii="Arial" w:hAnsi="Arial" w:cs="Arial"/>
          <w:color w:val="auto"/>
          <w:sz w:val="24"/>
          <w:szCs w:val="24"/>
          <w:shd w:val="clear" w:color="auto" w:fill="FFFFFF"/>
        </w:rPr>
        <w:t>are that the impugned decision -:</w:t>
      </w:r>
    </w:p>
    <w:p w:rsidR="00DC3ED7" w:rsidRPr="00C02968" w:rsidRDefault="00DC3ED7" w:rsidP="00DC3ED7">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shd w:val="clear" w:color="auto" w:fill="FFFFFF"/>
        </w:rPr>
      </w:pPr>
    </w:p>
    <w:p w:rsidR="00535B83" w:rsidRPr="00C02968" w:rsidRDefault="0041708F" w:rsidP="00DC3ED7">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shd w:val="clear" w:color="auto" w:fill="FFFFFF"/>
        </w:rPr>
      </w:pPr>
      <w:r w:rsidRPr="00C02968">
        <w:rPr>
          <w:rFonts w:ascii="Arial" w:hAnsi="Arial" w:cs="Arial"/>
          <w:color w:val="auto"/>
          <w:sz w:val="24"/>
          <w:szCs w:val="24"/>
          <w:shd w:val="clear" w:color="auto" w:fill="FFFFFF"/>
        </w:rPr>
        <w:tab/>
      </w:r>
      <w:r w:rsidR="00535B83" w:rsidRPr="00C02968">
        <w:rPr>
          <w:rFonts w:ascii="Arial" w:hAnsi="Arial" w:cs="Arial"/>
          <w:color w:val="auto"/>
          <w:sz w:val="24"/>
          <w:szCs w:val="24"/>
          <w:shd w:val="clear" w:color="auto" w:fill="FFFFFF"/>
        </w:rPr>
        <w:tab/>
      </w:r>
      <w:r w:rsidR="00535B83" w:rsidRPr="00C02968">
        <w:rPr>
          <w:rFonts w:ascii="Arial" w:hAnsi="Arial" w:cs="Arial"/>
          <w:color w:val="auto"/>
          <w:sz w:val="24"/>
          <w:szCs w:val="24"/>
          <w:shd w:val="clear" w:color="auto" w:fill="FFFFFF"/>
        </w:rPr>
        <w:tab/>
      </w:r>
      <w:r w:rsidR="00DC3ED7" w:rsidRPr="00C02968">
        <w:rPr>
          <w:rFonts w:ascii="Arial" w:hAnsi="Arial" w:cs="Arial"/>
          <w:color w:val="auto"/>
          <w:sz w:val="24"/>
          <w:szCs w:val="24"/>
          <w:shd w:val="clear" w:color="auto" w:fill="FFFFFF"/>
        </w:rPr>
        <w:t>8</w:t>
      </w:r>
      <w:r w:rsidR="00E12360" w:rsidRPr="00C02968">
        <w:rPr>
          <w:rFonts w:ascii="Arial" w:hAnsi="Arial" w:cs="Arial"/>
          <w:color w:val="auto"/>
          <w:sz w:val="24"/>
          <w:szCs w:val="24"/>
          <w:shd w:val="clear" w:color="auto" w:fill="FFFFFF"/>
        </w:rPr>
        <w:t>.1</w:t>
      </w:r>
      <w:r w:rsidR="00DC3ED7" w:rsidRPr="00C02968">
        <w:rPr>
          <w:rFonts w:ascii="Arial" w:hAnsi="Arial" w:cs="Arial"/>
          <w:color w:val="auto"/>
          <w:sz w:val="24"/>
          <w:szCs w:val="24"/>
          <w:shd w:val="clear" w:color="auto" w:fill="FFFFFF"/>
        </w:rPr>
        <w:tab/>
      </w:r>
      <w:r w:rsidR="00E12360" w:rsidRPr="00C02968">
        <w:rPr>
          <w:rFonts w:ascii="Arial" w:hAnsi="Arial" w:cs="Arial"/>
          <w:color w:val="auto"/>
          <w:sz w:val="24"/>
          <w:szCs w:val="24"/>
          <w:shd w:val="clear" w:color="auto" w:fill="FFFFFF"/>
        </w:rPr>
        <w:t>was</w:t>
      </w:r>
      <w:r w:rsidRPr="00C02968">
        <w:rPr>
          <w:rFonts w:ascii="Arial" w:hAnsi="Arial" w:cs="Arial"/>
          <w:color w:val="auto"/>
          <w:sz w:val="24"/>
          <w:szCs w:val="24"/>
          <w:shd w:val="clear" w:color="auto" w:fill="FFFFFF"/>
        </w:rPr>
        <w:t xml:space="preserve"> taken arbitrarily or capriciously;</w:t>
      </w:r>
    </w:p>
    <w:p w:rsidR="0041708F" w:rsidRPr="00C02968" w:rsidRDefault="00DC3ED7" w:rsidP="00DC3ED7">
      <w:pPr>
        <w:pStyle w:val="BodyAAA"/>
        <w:pBdr>
          <w:top w:val="none" w:sz="0" w:space="0" w:color="auto"/>
          <w:left w:val="none" w:sz="0" w:space="0" w:color="auto"/>
          <w:bottom w:val="none" w:sz="0" w:space="0" w:color="auto"/>
          <w:right w:val="none" w:sz="0" w:space="0" w:color="auto"/>
          <w:bar w:val="none" w:sz="0" w:color="auto"/>
        </w:pBdr>
        <w:spacing w:line="360" w:lineRule="auto"/>
        <w:ind w:left="2160" w:hanging="719"/>
        <w:jc w:val="both"/>
        <w:rPr>
          <w:rFonts w:ascii="Arial" w:hAnsi="Arial" w:cs="Arial"/>
          <w:color w:val="auto"/>
          <w:sz w:val="24"/>
          <w:szCs w:val="24"/>
          <w:shd w:val="clear" w:color="auto" w:fill="FFFFFF"/>
        </w:rPr>
      </w:pPr>
      <w:r w:rsidRPr="00C02968">
        <w:rPr>
          <w:rFonts w:ascii="Arial" w:hAnsi="Arial" w:cs="Arial"/>
          <w:color w:val="auto"/>
          <w:sz w:val="24"/>
          <w:szCs w:val="24"/>
          <w:shd w:val="clear" w:color="auto" w:fill="FFFFFF"/>
        </w:rPr>
        <w:t>8</w:t>
      </w:r>
      <w:r w:rsidR="0041708F" w:rsidRPr="00C02968">
        <w:rPr>
          <w:rFonts w:ascii="Arial" w:hAnsi="Arial" w:cs="Arial"/>
          <w:color w:val="auto"/>
          <w:sz w:val="24"/>
          <w:szCs w:val="24"/>
          <w:shd w:val="clear" w:color="auto" w:fill="FFFFFF"/>
        </w:rPr>
        <w:t xml:space="preserve">.2 </w:t>
      </w:r>
      <w:r w:rsidRPr="00C02968">
        <w:rPr>
          <w:rFonts w:ascii="Arial" w:hAnsi="Arial" w:cs="Arial"/>
          <w:color w:val="auto"/>
          <w:sz w:val="24"/>
          <w:szCs w:val="24"/>
          <w:shd w:val="clear" w:color="auto" w:fill="FFFFFF"/>
        </w:rPr>
        <w:tab/>
      </w:r>
      <w:r w:rsidR="0041708F" w:rsidRPr="00C02968">
        <w:rPr>
          <w:rFonts w:ascii="Arial" w:hAnsi="Arial" w:cs="Arial"/>
          <w:color w:val="auto"/>
          <w:sz w:val="24"/>
          <w:szCs w:val="24"/>
          <w:shd w:val="clear" w:color="auto" w:fill="FFFFFF"/>
        </w:rPr>
        <w:t xml:space="preserve">was taken because irrelevant consideration </w:t>
      </w:r>
      <w:r w:rsidR="006C5113" w:rsidRPr="00C02968">
        <w:rPr>
          <w:rFonts w:ascii="Arial" w:hAnsi="Arial" w:cs="Arial"/>
          <w:color w:val="auto"/>
          <w:sz w:val="24"/>
          <w:szCs w:val="24"/>
          <w:shd w:val="clear" w:color="auto" w:fill="FFFFFF"/>
        </w:rPr>
        <w:t>was</w:t>
      </w:r>
      <w:r w:rsidR="0041708F" w:rsidRPr="00C02968">
        <w:rPr>
          <w:rFonts w:ascii="Arial" w:hAnsi="Arial" w:cs="Arial"/>
          <w:color w:val="auto"/>
          <w:sz w:val="24"/>
          <w:szCs w:val="24"/>
          <w:shd w:val="clear" w:color="auto" w:fill="FFFFFF"/>
        </w:rPr>
        <w:t xml:space="preserve"> taken into </w:t>
      </w:r>
      <w:r w:rsidR="00535B83" w:rsidRPr="00C02968">
        <w:rPr>
          <w:rFonts w:ascii="Arial" w:hAnsi="Arial" w:cs="Arial"/>
          <w:color w:val="auto"/>
          <w:sz w:val="24"/>
          <w:szCs w:val="24"/>
          <w:shd w:val="clear" w:color="auto" w:fill="FFFFFF"/>
        </w:rPr>
        <w:t>account a</w:t>
      </w:r>
      <w:r w:rsidR="0041708F" w:rsidRPr="00C02968">
        <w:rPr>
          <w:rFonts w:ascii="Arial" w:hAnsi="Arial" w:cs="Arial"/>
          <w:color w:val="auto"/>
          <w:sz w:val="24"/>
          <w:szCs w:val="24"/>
          <w:shd w:val="clear" w:color="auto" w:fill="FFFFFF"/>
        </w:rPr>
        <w:t xml:space="preserve">nd/or because relevant consideration </w:t>
      </w:r>
      <w:r w:rsidR="006C5113" w:rsidRPr="00C02968">
        <w:rPr>
          <w:rFonts w:ascii="Arial" w:hAnsi="Arial" w:cs="Arial"/>
          <w:color w:val="auto"/>
          <w:sz w:val="24"/>
          <w:szCs w:val="24"/>
          <w:shd w:val="clear" w:color="auto" w:fill="FFFFFF"/>
        </w:rPr>
        <w:t>was</w:t>
      </w:r>
      <w:r w:rsidR="0041708F" w:rsidRPr="00C02968">
        <w:rPr>
          <w:rFonts w:ascii="Arial" w:hAnsi="Arial" w:cs="Arial"/>
          <w:color w:val="auto"/>
          <w:sz w:val="24"/>
          <w:szCs w:val="24"/>
          <w:shd w:val="clear" w:color="auto" w:fill="FFFFFF"/>
        </w:rPr>
        <w:t xml:space="preserve"> not taken into account;</w:t>
      </w:r>
    </w:p>
    <w:p w:rsidR="0041708F" w:rsidRPr="00C02968" w:rsidRDefault="00DC3ED7" w:rsidP="00DC3ED7">
      <w:pPr>
        <w:pStyle w:val="BodyAAA"/>
        <w:pBdr>
          <w:top w:val="none" w:sz="0" w:space="0" w:color="auto"/>
          <w:left w:val="none" w:sz="0" w:space="0" w:color="auto"/>
          <w:bottom w:val="none" w:sz="0" w:space="0" w:color="auto"/>
          <w:right w:val="none" w:sz="0" w:space="0" w:color="auto"/>
          <w:bar w:val="none" w:sz="0" w:color="auto"/>
        </w:pBdr>
        <w:spacing w:line="360" w:lineRule="auto"/>
        <w:ind w:left="1440" w:firstLine="70"/>
        <w:jc w:val="both"/>
        <w:rPr>
          <w:rFonts w:ascii="Arial" w:hAnsi="Arial" w:cs="Arial"/>
          <w:color w:val="auto"/>
          <w:sz w:val="24"/>
          <w:szCs w:val="24"/>
          <w:shd w:val="clear" w:color="auto" w:fill="FFFFFF"/>
          <w:lang w:val="en-ZA"/>
        </w:rPr>
      </w:pPr>
      <w:r w:rsidRPr="00C02968">
        <w:rPr>
          <w:rFonts w:ascii="Arial" w:hAnsi="Arial" w:cs="Arial"/>
          <w:color w:val="auto"/>
          <w:sz w:val="24"/>
          <w:szCs w:val="24"/>
          <w:shd w:val="clear" w:color="auto" w:fill="FFFFFF"/>
        </w:rPr>
        <w:t>8</w:t>
      </w:r>
      <w:r w:rsidR="0041708F" w:rsidRPr="00C02968">
        <w:rPr>
          <w:rFonts w:ascii="Arial" w:hAnsi="Arial" w:cs="Arial"/>
          <w:color w:val="auto"/>
          <w:sz w:val="24"/>
          <w:szCs w:val="24"/>
          <w:shd w:val="clear" w:color="auto" w:fill="FFFFFF"/>
        </w:rPr>
        <w:t xml:space="preserve">.3 </w:t>
      </w:r>
      <w:r w:rsidRPr="00C02968">
        <w:rPr>
          <w:rFonts w:ascii="Arial" w:hAnsi="Arial" w:cs="Arial"/>
          <w:color w:val="auto"/>
          <w:sz w:val="24"/>
          <w:szCs w:val="24"/>
          <w:shd w:val="clear" w:color="auto" w:fill="FFFFFF"/>
        </w:rPr>
        <w:tab/>
      </w:r>
      <w:r w:rsidR="00473053" w:rsidRPr="00C02968">
        <w:rPr>
          <w:rFonts w:ascii="Arial" w:hAnsi="Arial" w:cs="Arial"/>
          <w:color w:val="auto"/>
          <w:sz w:val="24"/>
          <w:szCs w:val="24"/>
          <w:shd w:val="clear" w:color="auto" w:fill="FFFFFF"/>
        </w:rPr>
        <w:t xml:space="preserve">is not rationally connected to the purpose for which it was taken, </w:t>
      </w:r>
      <w:r w:rsidRPr="00C02968">
        <w:rPr>
          <w:rFonts w:ascii="Arial" w:hAnsi="Arial" w:cs="Arial"/>
          <w:color w:val="auto"/>
          <w:sz w:val="24"/>
          <w:szCs w:val="24"/>
          <w:shd w:val="clear" w:color="auto" w:fill="FFFFFF"/>
        </w:rPr>
        <w:tab/>
      </w:r>
      <w:r w:rsidR="004631E5" w:rsidRPr="00C02968">
        <w:rPr>
          <w:rFonts w:ascii="Arial" w:hAnsi="Arial" w:cs="Arial"/>
          <w:color w:val="auto"/>
          <w:sz w:val="24"/>
          <w:szCs w:val="24"/>
          <w:shd w:val="clear" w:color="auto" w:fill="FFFFFF"/>
        </w:rPr>
        <w:t xml:space="preserve">treason (sic) </w:t>
      </w:r>
      <w:r w:rsidR="00CA1EED" w:rsidRPr="00C02968">
        <w:rPr>
          <w:rFonts w:ascii="Arial" w:hAnsi="Arial" w:cs="Arial"/>
          <w:color w:val="auto"/>
          <w:sz w:val="24"/>
          <w:szCs w:val="24"/>
          <w:shd w:val="clear" w:color="auto" w:fill="FFFFFF"/>
        </w:rPr>
        <w:t>given for it by the administr</w:t>
      </w:r>
      <w:r w:rsidR="006C5113" w:rsidRPr="00C02968">
        <w:rPr>
          <w:rFonts w:ascii="Arial" w:hAnsi="Arial" w:cs="Arial"/>
          <w:color w:val="auto"/>
          <w:sz w:val="24"/>
          <w:szCs w:val="24"/>
          <w:shd w:val="clear" w:color="auto" w:fill="FFFFFF"/>
        </w:rPr>
        <w:t>ator.</w:t>
      </w:r>
    </w:p>
    <w:p w:rsidR="00C0166D" w:rsidRPr="00C02968" w:rsidRDefault="00C0166D" w:rsidP="006B2FE5">
      <w:pPr>
        <w:spacing w:after="0" w:line="360" w:lineRule="auto"/>
        <w:ind w:left="709" w:hanging="709"/>
        <w:jc w:val="both"/>
        <w:rPr>
          <w:rFonts w:ascii="Arial" w:hAnsi="Arial" w:cs="Arial"/>
          <w:sz w:val="24"/>
          <w:szCs w:val="24"/>
        </w:rPr>
      </w:pPr>
    </w:p>
    <w:p w:rsidR="00044F7B" w:rsidRPr="00C02968" w:rsidRDefault="00891DEF" w:rsidP="00DC3ED7">
      <w:pPr>
        <w:spacing w:after="0" w:line="360" w:lineRule="auto"/>
        <w:ind w:left="709" w:hanging="709"/>
        <w:jc w:val="both"/>
        <w:rPr>
          <w:rFonts w:ascii="Arial" w:hAnsi="Arial" w:cs="Arial"/>
          <w:sz w:val="24"/>
          <w:szCs w:val="24"/>
        </w:rPr>
      </w:pPr>
      <w:r w:rsidRPr="00C02968">
        <w:rPr>
          <w:rFonts w:ascii="Arial" w:hAnsi="Arial" w:cs="Arial"/>
          <w:sz w:val="24"/>
          <w:szCs w:val="24"/>
        </w:rPr>
        <w:t>[</w:t>
      </w:r>
      <w:r w:rsidR="00DC3ED7" w:rsidRPr="00C02968">
        <w:rPr>
          <w:rFonts w:ascii="Arial" w:hAnsi="Arial" w:cs="Arial"/>
          <w:sz w:val="24"/>
          <w:szCs w:val="24"/>
        </w:rPr>
        <w:t>9</w:t>
      </w:r>
      <w:r w:rsidR="00F96B5D" w:rsidRPr="00C02968">
        <w:rPr>
          <w:rFonts w:ascii="Arial" w:hAnsi="Arial" w:cs="Arial"/>
          <w:sz w:val="24"/>
          <w:szCs w:val="24"/>
        </w:rPr>
        <w:t>]</w:t>
      </w:r>
      <w:r w:rsidR="004C77BC" w:rsidRPr="00C02968">
        <w:rPr>
          <w:rFonts w:ascii="Arial" w:hAnsi="Arial" w:cs="Arial"/>
          <w:sz w:val="24"/>
          <w:szCs w:val="24"/>
        </w:rPr>
        <w:t xml:space="preserve"> </w:t>
      </w:r>
      <w:r w:rsidR="00EC1B8A" w:rsidRPr="00C02968">
        <w:rPr>
          <w:rFonts w:ascii="Arial" w:hAnsi="Arial" w:cs="Arial"/>
          <w:sz w:val="24"/>
          <w:szCs w:val="24"/>
        </w:rPr>
        <w:t xml:space="preserve">   </w:t>
      </w:r>
      <w:r w:rsidR="00953E54" w:rsidRPr="00C02968">
        <w:rPr>
          <w:rFonts w:ascii="Arial" w:hAnsi="Arial" w:cs="Arial"/>
          <w:sz w:val="24"/>
          <w:szCs w:val="24"/>
        </w:rPr>
        <w:t xml:space="preserve"> </w:t>
      </w:r>
      <w:r w:rsidR="00553063" w:rsidRPr="00C02968">
        <w:rPr>
          <w:rFonts w:ascii="Arial" w:hAnsi="Arial" w:cs="Arial"/>
          <w:sz w:val="24"/>
          <w:szCs w:val="24"/>
        </w:rPr>
        <w:t>Fezi’</w:t>
      </w:r>
      <w:r w:rsidR="00AB2010" w:rsidRPr="00C02968">
        <w:rPr>
          <w:rFonts w:ascii="Arial" w:hAnsi="Arial" w:cs="Arial"/>
          <w:sz w:val="24"/>
          <w:szCs w:val="24"/>
        </w:rPr>
        <w:t xml:space="preserve">s </w:t>
      </w:r>
      <w:r w:rsidR="00565044" w:rsidRPr="00C02968">
        <w:rPr>
          <w:rFonts w:ascii="Arial" w:hAnsi="Arial" w:cs="Arial"/>
          <w:sz w:val="24"/>
          <w:szCs w:val="24"/>
        </w:rPr>
        <w:t xml:space="preserve">calculation of bid </w:t>
      </w:r>
      <w:r w:rsidR="00AB2010" w:rsidRPr="00C02968">
        <w:rPr>
          <w:rFonts w:ascii="Arial" w:hAnsi="Arial" w:cs="Arial"/>
          <w:sz w:val="24"/>
          <w:szCs w:val="24"/>
        </w:rPr>
        <w:t xml:space="preserve">pricing was </w:t>
      </w:r>
      <w:r w:rsidR="006C5113" w:rsidRPr="00C02968">
        <w:rPr>
          <w:rFonts w:ascii="Arial" w:hAnsi="Arial" w:cs="Arial"/>
          <w:sz w:val="24"/>
          <w:szCs w:val="24"/>
        </w:rPr>
        <w:t>based on verification</w:t>
      </w:r>
      <w:r w:rsidR="00AB2010" w:rsidRPr="00C02968">
        <w:rPr>
          <w:rFonts w:ascii="Arial" w:hAnsi="Arial" w:cs="Arial"/>
          <w:sz w:val="24"/>
          <w:szCs w:val="24"/>
        </w:rPr>
        <w:t xml:space="preserve"> and identification of </w:t>
      </w:r>
      <w:r w:rsidR="00553063" w:rsidRPr="00C02968">
        <w:rPr>
          <w:rFonts w:ascii="Arial" w:hAnsi="Arial" w:cs="Arial"/>
          <w:b/>
          <w:sz w:val="24"/>
          <w:szCs w:val="24"/>
        </w:rPr>
        <w:t>1 030</w:t>
      </w:r>
      <w:r w:rsidR="00AB2010" w:rsidRPr="00C02968">
        <w:rPr>
          <w:rFonts w:ascii="Arial" w:hAnsi="Arial" w:cs="Arial"/>
          <w:b/>
          <w:sz w:val="24"/>
          <w:szCs w:val="24"/>
        </w:rPr>
        <w:t> </w:t>
      </w:r>
      <w:r w:rsidR="006C5113" w:rsidRPr="00C02968">
        <w:rPr>
          <w:rFonts w:ascii="Arial" w:hAnsi="Arial" w:cs="Arial"/>
          <w:b/>
          <w:sz w:val="24"/>
          <w:szCs w:val="24"/>
        </w:rPr>
        <w:t>501 assets</w:t>
      </w:r>
      <w:r w:rsidR="00AB2010" w:rsidRPr="00C02968">
        <w:rPr>
          <w:rFonts w:ascii="Arial" w:hAnsi="Arial" w:cs="Arial"/>
          <w:sz w:val="24"/>
          <w:szCs w:val="24"/>
        </w:rPr>
        <w:t xml:space="preserve"> </w:t>
      </w:r>
      <w:r w:rsidR="00553063" w:rsidRPr="00C02968">
        <w:rPr>
          <w:rFonts w:ascii="Arial" w:hAnsi="Arial" w:cs="Arial"/>
          <w:sz w:val="24"/>
          <w:szCs w:val="24"/>
        </w:rPr>
        <w:t>provided by</w:t>
      </w:r>
      <w:r w:rsidR="00535B83" w:rsidRPr="00C02968">
        <w:rPr>
          <w:rFonts w:ascii="Arial" w:hAnsi="Arial" w:cs="Arial"/>
          <w:sz w:val="24"/>
          <w:szCs w:val="24"/>
        </w:rPr>
        <w:t xml:space="preserve"> CENTLEC</w:t>
      </w:r>
      <w:r w:rsidR="009A4186" w:rsidRPr="00C02968">
        <w:rPr>
          <w:rFonts w:ascii="Arial" w:hAnsi="Arial" w:cs="Arial"/>
          <w:sz w:val="24"/>
          <w:szCs w:val="24"/>
        </w:rPr>
        <w:t xml:space="preserve"> as </w:t>
      </w:r>
      <w:r w:rsidR="00AB2010" w:rsidRPr="00C02968">
        <w:rPr>
          <w:rFonts w:ascii="Arial" w:hAnsi="Arial" w:cs="Arial"/>
          <w:sz w:val="24"/>
          <w:szCs w:val="24"/>
        </w:rPr>
        <w:t xml:space="preserve">per </w:t>
      </w:r>
      <w:r w:rsidR="009A4186" w:rsidRPr="00C02968">
        <w:rPr>
          <w:rFonts w:ascii="Arial" w:hAnsi="Arial" w:cs="Arial"/>
          <w:sz w:val="24"/>
          <w:szCs w:val="24"/>
        </w:rPr>
        <w:t xml:space="preserve">its existing Fixed Asset Register. The </w:t>
      </w:r>
      <w:r w:rsidR="00044F7B" w:rsidRPr="00C02968">
        <w:rPr>
          <w:rFonts w:ascii="Arial" w:hAnsi="Arial" w:cs="Arial"/>
          <w:sz w:val="24"/>
          <w:szCs w:val="24"/>
        </w:rPr>
        <w:t>above is more apparent from</w:t>
      </w:r>
      <w:r w:rsidR="009A4186" w:rsidRPr="00C02968">
        <w:rPr>
          <w:rFonts w:ascii="Arial" w:hAnsi="Arial" w:cs="Arial"/>
          <w:sz w:val="24"/>
          <w:szCs w:val="24"/>
        </w:rPr>
        <w:t xml:space="preserve"> the comment</w:t>
      </w:r>
      <w:r w:rsidR="00044F7B" w:rsidRPr="00C02968">
        <w:rPr>
          <w:rFonts w:ascii="Arial" w:hAnsi="Arial" w:cs="Arial"/>
          <w:sz w:val="24"/>
          <w:szCs w:val="24"/>
        </w:rPr>
        <w:t>s</w:t>
      </w:r>
      <w:r w:rsidR="00774BE0" w:rsidRPr="00C02968">
        <w:rPr>
          <w:rFonts w:ascii="Arial" w:hAnsi="Arial" w:cs="Arial"/>
          <w:sz w:val="24"/>
          <w:szCs w:val="24"/>
        </w:rPr>
        <w:t xml:space="preserve"> </w:t>
      </w:r>
      <w:r w:rsidR="009A4186" w:rsidRPr="00C02968">
        <w:rPr>
          <w:rFonts w:ascii="Arial" w:hAnsi="Arial" w:cs="Arial"/>
          <w:sz w:val="24"/>
          <w:szCs w:val="24"/>
        </w:rPr>
        <w:t xml:space="preserve">on </w:t>
      </w:r>
      <w:r w:rsidR="006C5113" w:rsidRPr="00C02968">
        <w:rPr>
          <w:rFonts w:ascii="Arial" w:hAnsi="Arial" w:cs="Arial"/>
          <w:sz w:val="24"/>
          <w:szCs w:val="24"/>
        </w:rPr>
        <w:t>the footnote</w:t>
      </w:r>
      <w:r w:rsidR="009A4186" w:rsidRPr="00C02968">
        <w:rPr>
          <w:rFonts w:ascii="Arial" w:hAnsi="Arial" w:cs="Arial"/>
          <w:sz w:val="24"/>
          <w:szCs w:val="24"/>
        </w:rPr>
        <w:t xml:space="preserve"> of Fezi’s pricing</w:t>
      </w:r>
      <w:r w:rsidR="00AB2010" w:rsidRPr="00C02968">
        <w:rPr>
          <w:rFonts w:ascii="Arial" w:hAnsi="Arial" w:cs="Arial"/>
          <w:sz w:val="24"/>
          <w:szCs w:val="24"/>
        </w:rPr>
        <w:t xml:space="preserve"> schedule where the following </w:t>
      </w:r>
      <w:r w:rsidR="006C5113" w:rsidRPr="00C02968">
        <w:rPr>
          <w:rFonts w:ascii="Arial" w:hAnsi="Arial" w:cs="Arial"/>
          <w:sz w:val="24"/>
          <w:szCs w:val="24"/>
        </w:rPr>
        <w:t>was said</w:t>
      </w:r>
      <w:r w:rsidR="00B935EF" w:rsidRPr="00C02968">
        <w:rPr>
          <w:rFonts w:ascii="Arial" w:hAnsi="Arial" w:cs="Arial"/>
          <w:sz w:val="24"/>
          <w:szCs w:val="24"/>
        </w:rPr>
        <w:t>:</w:t>
      </w:r>
    </w:p>
    <w:p w:rsidR="00DC3ED7" w:rsidRPr="00C02968" w:rsidRDefault="00044F7B" w:rsidP="006B2FE5">
      <w:pPr>
        <w:spacing w:after="0" w:line="360" w:lineRule="auto"/>
        <w:ind w:left="709" w:hanging="709"/>
        <w:jc w:val="both"/>
        <w:rPr>
          <w:rFonts w:ascii="Arial" w:hAnsi="Arial" w:cs="Arial"/>
          <w:sz w:val="24"/>
          <w:szCs w:val="24"/>
        </w:rPr>
      </w:pPr>
      <w:r w:rsidRPr="00C02968">
        <w:rPr>
          <w:rFonts w:ascii="Arial" w:hAnsi="Arial" w:cs="Arial"/>
          <w:sz w:val="24"/>
          <w:szCs w:val="24"/>
        </w:rPr>
        <w:tab/>
      </w:r>
      <w:r w:rsidR="00500562" w:rsidRPr="00C02968">
        <w:rPr>
          <w:rFonts w:ascii="Arial" w:hAnsi="Arial" w:cs="Arial"/>
          <w:sz w:val="24"/>
          <w:szCs w:val="24"/>
        </w:rPr>
        <w:tab/>
      </w:r>
      <w:r w:rsidR="00500562" w:rsidRPr="00C02968">
        <w:rPr>
          <w:rFonts w:ascii="Arial" w:hAnsi="Arial" w:cs="Arial"/>
          <w:sz w:val="24"/>
          <w:szCs w:val="24"/>
        </w:rPr>
        <w:tab/>
      </w:r>
    </w:p>
    <w:p w:rsidR="00044F7B" w:rsidRPr="00C02968" w:rsidRDefault="00500562" w:rsidP="00DC3ED7">
      <w:pPr>
        <w:spacing w:after="0" w:line="360" w:lineRule="auto"/>
        <w:ind w:left="720" w:firstLine="720"/>
        <w:jc w:val="both"/>
        <w:rPr>
          <w:rFonts w:ascii="Arial" w:hAnsi="Arial" w:cs="Arial"/>
          <w:i/>
          <w:sz w:val="20"/>
          <w:szCs w:val="20"/>
        </w:rPr>
      </w:pPr>
      <w:r w:rsidRPr="00C02968">
        <w:rPr>
          <w:rFonts w:ascii="Arial" w:hAnsi="Arial" w:cs="Arial"/>
          <w:i/>
          <w:sz w:val="24"/>
          <w:szCs w:val="24"/>
        </w:rPr>
        <w:t>‘</w:t>
      </w:r>
      <w:r w:rsidR="00044F7B" w:rsidRPr="00C02968">
        <w:rPr>
          <w:rFonts w:ascii="Arial" w:hAnsi="Arial" w:cs="Arial"/>
          <w:i/>
          <w:sz w:val="20"/>
          <w:szCs w:val="20"/>
        </w:rPr>
        <w:t>Note:</w:t>
      </w:r>
    </w:p>
    <w:p w:rsidR="00044F7B" w:rsidRPr="00C02968" w:rsidRDefault="00044F7B" w:rsidP="00774BE0">
      <w:pPr>
        <w:spacing w:after="0" w:line="360" w:lineRule="auto"/>
        <w:ind w:left="1440" w:hanging="709"/>
        <w:jc w:val="both"/>
        <w:rPr>
          <w:rFonts w:ascii="Arial" w:hAnsi="Arial" w:cs="Arial"/>
          <w:i/>
          <w:sz w:val="20"/>
          <w:szCs w:val="20"/>
        </w:rPr>
      </w:pPr>
      <w:r w:rsidRPr="00C02968">
        <w:rPr>
          <w:rFonts w:ascii="Arial" w:hAnsi="Arial" w:cs="Arial"/>
          <w:i/>
          <w:sz w:val="20"/>
          <w:szCs w:val="20"/>
        </w:rPr>
        <w:t xml:space="preserve">           </w:t>
      </w:r>
      <w:r w:rsidR="00500562" w:rsidRPr="00C02968">
        <w:rPr>
          <w:rFonts w:ascii="Arial" w:hAnsi="Arial" w:cs="Arial"/>
          <w:i/>
          <w:sz w:val="20"/>
          <w:szCs w:val="20"/>
        </w:rPr>
        <w:tab/>
      </w:r>
      <w:r w:rsidRPr="00C02968">
        <w:rPr>
          <w:rFonts w:ascii="Arial" w:hAnsi="Arial" w:cs="Arial"/>
          <w:i/>
          <w:sz w:val="20"/>
          <w:szCs w:val="20"/>
        </w:rPr>
        <w:t xml:space="preserve"> The pricing schedule provided in the bid tender </w:t>
      </w:r>
      <w:r w:rsidR="006C5113" w:rsidRPr="00C02968">
        <w:rPr>
          <w:rFonts w:ascii="Arial" w:hAnsi="Arial" w:cs="Arial"/>
          <w:i/>
          <w:sz w:val="20"/>
          <w:szCs w:val="20"/>
        </w:rPr>
        <w:t>document and</w:t>
      </w:r>
      <w:r w:rsidRPr="00C02968">
        <w:rPr>
          <w:rFonts w:ascii="Arial" w:hAnsi="Arial" w:cs="Arial"/>
          <w:i/>
          <w:sz w:val="20"/>
          <w:szCs w:val="20"/>
        </w:rPr>
        <w:t xml:space="preserve"> the number of assets provided </w:t>
      </w:r>
      <w:r w:rsidR="00156943" w:rsidRPr="00C02968">
        <w:rPr>
          <w:rFonts w:ascii="Arial" w:hAnsi="Arial" w:cs="Arial"/>
          <w:i/>
          <w:sz w:val="20"/>
          <w:szCs w:val="20"/>
        </w:rPr>
        <w:t>b</w:t>
      </w:r>
      <w:r w:rsidRPr="00C02968">
        <w:rPr>
          <w:rFonts w:ascii="Arial" w:hAnsi="Arial" w:cs="Arial"/>
          <w:i/>
          <w:sz w:val="20"/>
          <w:szCs w:val="20"/>
        </w:rPr>
        <w:t xml:space="preserve">y Centlec do not match, therefore, should Fezi be successful in the awarding of this request the alignment of the factors can be negotiated as provided in Municipal Financial Management Act. </w:t>
      </w:r>
    </w:p>
    <w:p w:rsidR="00044F7B" w:rsidRPr="00C02968" w:rsidRDefault="00044F7B" w:rsidP="00774BE0">
      <w:pPr>
        <w:spacing w:after="0" w:line="360" w:lineRule="auto"/>
        <w:ind w:left="1440"/>
        <w:jc w:val="both"/>
        <w:rPr>
          <w:rFonts w:ascii="Arial" w:hAnsi="Arial" w:cs="Arial"/>
          <w:i/>
          <w:sz w:val="20"/>
          <w:szCs w:val="20"/>
        </w:rPr>
      </w:pPr>
      <w:r w:rsidRPr="00C02968">
        <w:rPr>
          <w:rFonts w:ascii="Arial" w:hAnsi="Arial" w:cs="Arial"/>
          <w:i/>
          <w:sz w:val="20"/>
          <w:szCs w:val="20"/>
        </w:rPr>
        <w:t xml:space="preserve">*****Number </w:t>
      </w:r>
      <w:r w:rsidR="006C5113" w:rsidRPr="00C02968">
        <w:rPr>
          <w:rFonts w:ascii="Arial" w:hAnsi="Arial" w:cs="Arial"/>
          <w:i/>
          <w:sz w:val="20"/>
          <w:szCs w:val="20"/>
        </w:rPr>
        <w:t>of Assets</w:t>
      </w:r>
      <w:r w:rsidRPr="00C02968">
        <w:rPr>
          <w:rFonts w:ascii="Arial" w:hAnsi="Arial" w:cs="Arial"/>
          <w:i/>
          <w:sz w:val="20"/>
          <w:szCs w:val="20"/>
        </w:rPr>
        <w:t xml:space="preserve"> for Year 2 and Year</w:t>
      </w:r>
      <w:r w:rsidR="00156943" w:rsidRPr="00C02968">
        <w:rPr>
          <w:rFonts w:ascii="Arial" w:hAnsi="Arial" w:cs="Arial"/>
          <w:i/>
          <w:sz w:val="20"/>
          <w:szCs w:val="20"/>
        </w:rPr>
        <w:t xml:space="preserve"> [sic]</w:t>
      </w:r>
      <w:r w:rsidRPr="00C02968">
        <w:rPr>
          <w:rFonts w:ascii="Arial" w:hAnsi="Arial" w:cs="Arial"/>
          <w:i/>
          <w:sz w:val="20"/>
          <w:szCs w:val="20"/>
        </w:rPr>
        <w:t xml:space="preserve"> was not provided, however for the purpose of bidding processes we assume the number of assets will remain constant. </w:t>
      </w:r>
    </w:p>
    <w:p w:rsidR="00044F7B" w:rsidRPr="00C02968" w:rsidRDefault="00044F7B" w:rsidP="00774BE0">
      <w:pPr>
        <w:spacing w:after="0" w:line="360" w:lineRule="auto"/>
        <w:ind w:left="1440"/>
        <w:jc w:val="both"/>
        <w:rPr>
          <w:rFonts w:ascii="Arial" w:hAnsi="Arial" w:cs="Arial"/>
          <w:i/>
          <w:sz w:val="20"/>
          <w:szCs w:val="20"/>
        </w:rPr>
      </w:pPr>
      <w:r w:rsidRPr="00C02968">
        <w:rPr>
          <w:rFonts w:ascii="Arial" w:hAnsi="Arial" w:cs="Arial"/>
          <w:i/>
          <w:sz w:val="20"/>
          <w:szCs w:val="20"/>
        </w:rPr>
        <w:lastRenderedPageBreak/>
        <w:t xml:space="preserve">******Year 2 and year is based on a flat </w:t>
      </w:r>
      <w:r w:rsidR="006C5113" w:rsidRPr="00C02968">
        <w:rPr>
          <w:rFonts w:ascii="Arial" w:hAnsi="Arial" w:cs="Arial"/>
          <w:i/>
          <w:sz w:val="20"/>
          <w:szCs w:val="20"/>
        </w:rPr>
        <w:t>rate,</w:t>
      </w:r>
      <w:r w:rsidRPr="00C02968">
        <w:rPr>
          <w:rFonts w:ascii="Arial" w:hAnsi="Arial" w:cs="Arial"/>
          <w:i/>
          <w:sz w:val="20"/>
          <w:szCs w:val="20"/>
        </w:rPr>
        <w:t xml:space="preserve"> however due to the uncertainties of the of the economic</w:t>
      </w:r>
      <w:r w:rsidR="00156943" w:rsidRPr="00C02968">
        <w:rPr>
          <w:rFonts w:ascii="Arial" w:hAnsi="Arial" w:cs="Arial"/>
          <w:i/>
          <w:sz w:val="20"/>
          <w:szCs w:val="20"/>
        </w:rPr>
        <w:t xml:space="preserve"> [sic]</w:t>
      </w:r>
      <w:r w:rsidRPr="00C02968">
        <w:rPr>
          <w:rFonts w:ascii="Arial" w:hAnsi="Arial" w:cs="Arial"/>
          <w:i/>
          <w:sz w:val="20"/>
          <w:szCs w:val="20"/>
        </w:rPr>
        <w:t xml:space="preserve"> can be increased based on the </w:t>
      </w:r>
      <w:r w:rsidR="00156943" w:rsidRPr="00C02968">
        <w:rPr>
          <w:rFonts w:ascii="Arial" w:hAnsi="Arial" w:cs="Arial"/>
          <w:i/>
          <w:sz w:val="20"/>
          <w:szCs w:val="20"/>
        </w:rPr>
        <w:t>real interest rates [sic]</w:t>
      </w:r>
      <w:r w:rsidR="00774BE0" w:rsidRPr="00C02968">
        <w:rPr>
          <w:rFonts w:ascii="Arial" w:hAnsi="Arial" w:cs="Arial"/>
          <w:i/>
          <w:sz w:val="20"/>
          <w:szCs w:val="20"/>
        </w:rPr>
        <w:t>.’</w:t>
      </w:r>
    </w:p>
    <w:p w:rsidR="00DC3ED7" w:rsidRPr="00C02968" w:rsidRDefault="00044F7B" w:rsidP="006B2FE5">
      <w:pPr>
        <w:spacing w:after="0" w:line="360" w:lineRule="auto"/>
        <w:ind w:left="709" w:hanging="709"/>
        <w:jc w:val="both"/>
        <w:rPr>
          <w:rFonts w:ascii="Arial" w:hAnsi="Arial" w:cs="Arial"/>
          <w:sz w:val="24"/>
          <w:szCs w:val="24"/>
        </w:rPr>
      </w:pPr>
      <w:r w:rsidRPr="00C02968">
        <w:rPr>
          <w:rFonts w:ascii="Arial" w:hAnsi="Arial" w:cs="Arial"/>
          <w:sz w:val="24"/>
          <w:szCs w:val="24"/>
        </w:rPr>
        <w:t xml:space="preserve">   </w:t>
      </w:r>
    </w:p>
    <w:p w:rsidR="009D4D92" w:rsidRPr="00C02968" w:rsidRDefault="00891DEF" w:rsidP="006B2FE5">
      <w:pPr>
        <w:spacing w:after="0" w:line="360" w:lineRule="auto"/>
        <w:ind w:left="709" w:hanging="709"/>
        <w:jc w:val="both"/>
        <w:rPr>
          <w:rFonts w:ascii="Arial" w:hAnsi="Arial" w:cs="Arial"/>
          <w:sz w:val="24"/>
          <w:szCs w:val="24"/>
        </w:rPr>
      </w:pPr>
      <w:r w:rsidRPr="00C02968">
        <w:rPr>
          <w:rFonts w:ascii="Arial" w:hAnsi="Arial" w:cs="Arial"/>
          <w:sz w:val="24"/>
          <w:szCs w:val="24"/>
        </w:rPr>
        <w:t>[</w:t>
      </w:r>
      <w:r w:rsidR="00DC3ED7" w:rsidRPr="00C02968">
        <w:rPr>
          <w:rFonts w:ascii="Arial" w:hAnsi="Arial" w:cs="Arial"/>
          <w:sz w:val="24"/>
          <w:szCs w:val="24"/>
        </w:rPr>
        <w:t>10</w:t>
      </w:r>
      <w:r w:rsidR="00774BE0" w:rsidRPr="00C02968">
        <w:rPr>
          <w:rFonts w:ascii="Arial" w:hAnsi="Arial" w:cs="Arial"/>
          <w:sz w:val="24"/>
          <w:szCs w:val="24"/>
        </w:rPr>
        <w:t>]</w:t>
      </w:r>
      <w:r w:rsidR="00B33E1E" w:rsidRPr="00C02968">
        <w:rPr>
          <w:rFonts w:ascii="Arial" w:hAnsi="Arial" w:cs="Arial"/>
          <w:sz w:val="24"/>
          <w:szCs w:val="24"/>
        </w:rPr>
        <w:tab/>
        <w:t>The above comment is a clear indication that F</w:t>
      </w:r>
      <w:r w:rsidR="0041708F" w:rsidRPr="00C02968">
        <w:rPr>
          <w:rFonts w:ascii="Arial" w:hAnsi="Arial" w:cs="Arial"/>
          <w:sz w:val="24"/>
          <w:szCs w:val="24"/>
        </w:rPr>
        <w:t>ezi</w:t>
      </w:r>
      <w:r w:rsidR="00CF3AE3" w:rsidRPr="00C02968">
        <w:rPr>
          <w:rFonts w:ascii="Arial" w:hAnsi="Arial" w:cs="Arial"/>
          <w:sz w:val="24"/>
          <w:szCs w:val="24"/>
        </w:rPr>
        <w:t>’s bid did not meet</w:t>
      </w:r>
      <w:r w:rsidR="00B33E1E" w:rsidRPr="00C02968">
        <w:rPr>
          <w:rFonts w:ascii="Arial" w:hAnsi="Arial" w:cs="Arial"/>
          <w:sz w:val="24"/>
          <w:szCs w:val="24"/>
        </w:rPr>
        <w:t xml:space="preserve"> </w:t>
      </w:r>
      <w:r w:rsidR="0041708F" w:rsidRPr="00C02968">
        <w:rPr>
          <w:rFonts w:ascii="Arial" w:hAnsi="Arial" w:cs="Arial"/>
          <w:sz w:val="24"/>
          <w:szCs w:val="24"/>
        </w:rPr>
        <w:t>the req</w:t>
      </w:r>
      <w:r w:rsidR="00CF3AE3" w:rsidRPr="00C02968">
        <w:rPr>
          <w:rFonts w:ascii="Arial" w:hAnsi="Arial" w:cs="Arial"/>
          <w:sz w:val="24"/>
          <w:szCs w:val="24"/>
        </w:rPr>
        <w:t>uirements set out</w:t>
      </w:r>
      <w:r w:rsidR="00AB2010" w:rsidRPr="00C02968">
        <w:rPr>
          <w:rFonts w:ascii="Arial" w:hAnsi="Arial" w:cs="Arial"/>
          <w:sz w:val="24"/>
          <w:szCs w:val="24"/>
        </w:rPr>
        <w:t xml:space="preserve"> </w:t>
      </w:r>
      <w:r w:rsidR="006C5113" w:rsidRPr="00C02968">
        <w:rPr>
          <w:rFonts w:ascii="Arial" w:hAnsi="Arial" w:cs="Arial"/>
          <w:sz w:val="24"/>
          <w:szCs w:val="24"/>
        </w:rPr>
        <w:t>under technical</w:t>
      </w:r>
      <w:r w:rsidR="00B33E1E" w:rsidRPr="00C02968">
        <w:rPr>
          <w:rFonts w:ascii="Arial" w:hAnsi="Arial" w:cs="Arial"/>
          <w:sz w:val="24"/>
          <w:szCs w:val="24"/>
        </w:rPr>
        <w:t xml:space="preserve"> specifications.</w:t>
      </w:r>
      <w:r w:rsidR="00565044" w:rsidRPr="00C02968">
        <w:rPr>
          <w:rFonts w:ascii="Arial" w:hAnsi="Arial" w:cs="Arial"/>
          <w:sz w:val="24"/>
          <w:szCs w:val="24"/>
        </w:rPr>
        <w:t xml:space="preserve"> As a result of the wrong premise from which Fezi calculated its pricing on items 1 and 2 it became difficult to quote for year 2 and 3. </w:t>
      </w:r>
      <w:r w:rsidR="006C5113" w:rsidRPr="00C02968">
        <w:rPr>
          <w:rFonts w:ascii="Arial" w:hAnsi="Arial" w:cs="Arial"/>
          <w:sz w:val="24"/>
          <w:szCs w:val="24"/>
        </w:rPr>
        <w:t>Fezi’s response</w:t>
      </w:r>
      <w:r w:rsidR="00565044" w:rsidRPr="00C02968">
        <w:rPr>
          <w:rFonts w:ascii="Arial" w:hAnsi="Arial" w:cs="Arial"/>
          <w:sz w:val="24"/>
          <w:szCs w:val="24"/>
        </w:rPr>
        <w:t xml:space="preserve"> on item 4 is also not in line with the bid instructions. </w:t>
      </w:r>
      <w:r w:rsidR="006C5113" w:rsidRPr="00C02968">
        <w:rPr>
          <w:rFonts w:ascii="Arial" w:hAnsi="Arial" w:cs="Arial"/>
          <w:sz w:val="24"/>
          <w:szCs w:val="24"/>
        </w:rPr>
        <w:t>CENTLEC,</w:t>
      </w:r>
      <w:r w:rsidR="00600E53" w:rsidRPr="00C02968">
        <w:rPr>
          <w:rFonts w:ascii="Arial" w:hAnsi="Arial" w:cs="Arial"/>
          <w:sz w:val="24"/>
          <w:szCs w:val="24"/>
        </w:rPr>
        <w:t xml:space="preserve"> </w:t>
      </w:r>
      <w:r w:rsidR="009D4D92" w:rsidRPr="00C02968">
        <w:rPr>
          <w:rFonts w:ascii="Arial" w:hAnsi="Arial" w:cs="Arial"/>
          <w:sz w:val="24"/>
          <w:szCs w:val="24"/>
        </w:rPr>
        <w:t>f</w:t>
      </w:r>
      <w:r w:rsidR="00600E53" w:rsidRPr="00C02968">
        <w:rPr>
          <w:rFonts w:ascii="Arial" w:hAnsi="Arial" w:cs="Arial"/>
          <w:sz w:val="24"/>
          <w:szCs w:val="24"/>
        </w:rPr>
        <w:t>urther submit</w:t>
      </w:r>
      <w:r w:rsidR="00774BE0" w:rsidRPr="00C02968">
        <w:rPr>
          <w:rFonts w:ascii="Arial" w:hAnsi="Arial" w:cs="Arial"/>
          <w:sz w:val="24"/>
          <w:szCs w:val="24"/>
        </w:rPr>
        <w:t xml:space="preserve">s </w:t>
      </w:r>
      <w:r w:rsidR="00600E53" w:rsidRPr="00C02968">
        <w:rPr>
          <w:rFonts w:ascii="Arial" w:hAnsi="Arial" w:cs="Arial"/>
          <w:sz w:val="24"/>
          <w:szCs w:val="24"/>
        </w:rPr>
        <w:t xml:space="preserve">that Item 4 </w:t>
      </w:r>
      <w:r w:rsidR="009D4D92" w:rsidRPr="00C02968">
        <w:rPr>
          <w:rFonts w:ascii="Arial" w:hAnsi="Arial" w:cs="Arial"/>
          <w:sz w:val="24"/>
          <w:szCs w:val="24"/>
        </w:rPr>
        <w:t xml:space="preserve">of the pricing schedule required of the successful bidder to update the existing Fixed Asset Register and make sure it is compliant with the GRAP standards. This exercise would require the successful bidder to produce a GRAP compliant register which would account for depreciation for each </w:t>
      </w:r>
      <w:r w:rsidR="006C5113" w:rsidRPr="00C02968">
        <w:rPr>
          <w:rFonts w:ascii="Arial" w:hAnsi="Arial" w:cs="Arial"/>
          <w:sz w:val="24"/>
          <w:szCs w:val="24"/>
        </w:rPr>
        <w:t>asset</w:t>
      </w:r>
      <w:r w:rsidR="009D4D92" w:rsidRPr="00C02968">
        <w:rPr>
          <w:rFonts w:ascii="Arial" w:hAnsi="Arial" w:cs="Arial"/>
          <w:sz w:val="24"/>
          <w:szCs w:val="24"/>
        </w:rPr>
        <w:t xml:space="preserve"> as well as disposals.</w:t>
      </w:r>
    </w:p>
    <w:p w:rsidR="00C40F73" w:rsidRPr="00C02968" w:rsidRDefault="009D4D92" w:rsidP="006B2FE5">
      <w:pPr>
        <w:spacing w:after="0" w:line="360" w:lineRule="auto"/>
        <w:ind w:left="709" w:hanging="709"/>
        <w:jc w:val="both"/>
        <w:rPr>
          <w:rFonts w:ascii="Arial" w:hAnsi="Arial" w:cs="Arial"/>
          <w:sz w:val="24"/>
          <w:szCs w:val="24"/>
        </w:rPr>
      </w:pPr>
      <w:r w:rsidRPr="00C02968">
        <w:rPr>
          <w:rFonts w:ascii="Arial" w:hAnsi="Arial" w:cs="Arial"/>
          <w:sz w:val="24"/>
          <w:szCs w:val="24"/>
        </w:rPr>
        <w:t xml:space="preserve"> </w:t>
      </w:r>
    </w:p>
    <w:p w:rsidR="00DC3ED7" w:rsidRPr="00C02968" w:rsidRDefault="00DC3ED7" w:rsidP="00FD4A1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rPr>
      </w:pPr>
    </w:p>
    <w:p w:rsidR="00FD4A11" w:rsidRPr="00C02968" w:rsidRDefault="00891DEF" w:rsidP="00FD4A1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sidRPr="00C02968">
        <w:rPr>
          <w:rFonts w:ascii="Arial" w:hAnsi="Arial" w:cs="Arial"/>
          <w:color w:val="auto"/>
          <w:sz w:val="24"/>
          <w:szCs w:val="24"/>
        </w:rPr>
        <w:t>[</w:t>
      </w:r>
      <w:r w:rsidR="00DC3ED7" w:rsidRPr="00C02968">
        <w:rPr>
          <w:rFonts w:ascii="Arial" w:hAnsi="Arial" w:cs="Arial"/>
          <w:color w:val="auto"/>
          <w:sz w:val="24"/>
          <w:szCs w:val="24"/>
        </w:rPr>
        <w:t>11</w:t>
      </w:r>
      <w:r w:rsidR="00EF1358" w:rsidRPr="00C02968">
        <w:rPr>
          <w:rFonts w:ascii="Arial" w:hAnsi="Arial" w:cs="Arial"/>
          <w:color w:val="auto"/>
          <w:sz w:val="24"/>
          <w:szCs w:val="24"/>
        </w:rPr>
        <w:t xml:space="preserve">] </w:t>
      </w:r>
      <w:r w:rsidR="00EF1358" w:rsidRPr="00C02968">
        <w:rPr>
          <w:rFonts w:ascii="Arial" w:hAnsi="Arial" w:cs="Arial"/>
          <w:color w:val="auto"/>
          <w:sz w:val="24"/>
          <w:szCs w:val="24"/>
        </w:rPr>
        <w:tab/>
      </w:r>
      <w:r w:rsidR="003B34B3" w:rsidRPr="00C02968">
        <w:rPr>
          <w:rFonts w:ascii="Arial" w:eastAsia="Times New Roman" w:hAnsi="Arial" w:cs="Arial"/>
          <w:color w:val="auto"/>
          <w:sz w:val="24"/>
          <w:szCs w:val="24"/>
        </w:rPr>
        <w:t>Se</w:t>
      </w:r>
      <w:bookmarkStart w:id="1" w:name="_ftnref17"/>
      <w:r w:rsidR="003B34B3" w:rsidRPr="00C02968">
        <w:rPr>
          <w:rFonts w:ascii="Arial" w:eastAsia="Times New Roman" w:hAnsi="Arial" w:cs="Arial"/>
          <w:color w:val="auto"/>
          <w:sz w:val="24"/>
          <w:szCs w:val="24"/>
        </w:rPr>
        <w:t>ction 217(1) of the Constitutio</w:t>
      </w:r>
      <w:bookmarkEnd w:id="1"/>
      <w:r w:rsidR="003B34B3" w:rsidRPr="00C02968">
        <w:rPr>
          <w:rFonts w:ascii="Arial" w:eastAsia="Times New Roman" w:hAnsi="Arial" w:cs="Arial"/>
          <w:color w:val="auto"/>
          <w:sz w:val="24"/>
          <w:szCs w:val="24"/>
        </w:rPr>
        <w:t>n</w:t>
      </w:r>
      <w:r w:rsidR="00EE3D8C" w:rsidRPr="00C02968">
        <w:rPr>
          <w:rStyle w:val="FootnoteReference"/>
          <w:rFonts w:ascii="Arial" w:eastAsia="Times New Roman" w:hAnsi="Arial" w:cs="Arial"/>
          <w:color w:val="auto"/>
          <w:sz w:val="24"/>
          <w:szCs w:val="24"/>
        </w:rPr>
        <w:footnoteReference w:id="1"/>
      </w:r>
      <w:r w:rsidR="003B34B3" w:rsidRPr="00C02968">
        <w:rPr>
          <w:rFonts w:ascii="Arial" w:eastAsia="Times New Roman" w:hAnsi="Arial" w:cs="Arial"/>
          <w:color w:val="auto"/>
          <w:sz w:val="24"/>
          <w:szCs w:val="24"/>
        </w:rPr>
        <w:t xml:space="preserve"> provides that an organ o</w:t>
      </w:r>
      <w:r w:rsidR="00CF3AE3" w:rsidRPr="00C02968">
        <w:rPr>
          <w:rFonts w:ascii="Arial" w:eastAsia="Times New Roman" w:hAnsi="Arial" w:cs="Arial"/>
          <w:color w:val="auto"/>
          <w:sz w:val="24"/>
          <w:szCs w:val="24"/>
        </w:rPr>
        <w:t xml:space="preserve">f state contracting for goods or </w:t>
      </w:r>
      <w:r w:rsidR="003B34B3" w:rsidRPr="00C02968">
        <w:rPr>
          <w:rFonts w:ascii="Arial" w:eastAsia="Times New Roman" w:hAnsi="Arial" w:cs="Arial"/>
          <w:color w:val="auto"/>
          <w:sz w:val="24"/>
          <w:szCs w:val="24"/>
        </w:rPr>
        <w:t xml:space="preserve"> services must do so in accordance with a system which is fair, equitable, transparent, competitive and cost-effective.  </w:t>
      </w:r>
      <w:r w:rsidR="00FD4A11" w:rsidRPr="00C02968">
        <w:rPr>
          <w:rFonts w:ascii="Arial" w:hAnsi="Arial" w:cs="Arial"/>
          <w:color w:val="auto"/>
          <w:sz w:val="24"/>
          <w:szCs w:val="24"/>
        </w:rPr>
        <w:t xml:space="preserve">Section 1 of the </w:t>
      </w:r>
      <w:r w:rsidR="00FD4A11" w:rsidRPr="00C02968">
        <w:rPr>
          <w:rFonts w:ascii="Arial" w:hAnsi="Arial" w:cs="Arial"/>
          <w:b/>
          <w:color w:val="auto"/>
          <w:sz w:val="24"/>
          <w:szCs w:val="24"/>
        </w:rPr>
        <w:t>Preferential Procurement Policy Framework Act</w:t>
      </w:r>
      <w:r w:rsidR="00A4685F" w:rsidRPr="00C02968">
        <w:rPr>
          <w:rStyle w:val="FootnoteReference"/>
          <w:rFonts w:ascii="Arial" w:hAnsi="Arial" w:cs="Arial"/>
          <w:color w:val="auto"/>
          <w:sz w:val="24"/>
          <w:szCs w:val="24"/>
        </w:rPr>
        <w:footnoteReference w:id="2"/>
      </w:r>
      <w:r w:rsidR="00FD4A11" w:rsidRPr="00C02968">
        <w:rPr>
          <w:rFonts w:ascii="Arial" w:hAnsi="Arial" w:cs="Arial"/>
          <w:color w:val="auto"/>
          <w:sz w:val="24"/>
          <w:szCs w:val="24"/>
        </w:rPr>
        <w:t xml:space="preserve"> </w:t>
      </w:r>
      <w:r w:rsidR="00A4685F" w:rsidRPr="00C02968">
        <w:rPr>
          <w:rFonts w:ascii="Arial" w:hAnsi="Arial" w:cs="Arial"/>
          <w:color w:val="auto"/>
          <w:sz w:val="24"/>
          <w:szCs w:val="24"/>
        </w:rPr>
        <w:t xml:space="preserve">(PPPFA) </w:t>
      </w:r>
      <w:r w:rsidR="00FD4A11" w:rsidRPr="00C02968">
        <w:rPr>
          <w:rFonts w:ascii="Arial" w:hAnsi="Arial" w:cs="Arial"/>
          <w:color w:val="auto"/>
          <w:sz w:val="24"/>
          <w:szCs w:val="24"/>
        </w:rPr>
        <w:t xml:space="preserve">defines </w:t>
      </w:r>
      <w:r w:rsidR="00A4685F" w:rsidRPr="00C02968">
        <w:rPr>
          <w:rFonts w:ascii="Arial" w:hAnsi="Arial" w:cs="Arial"/>
          <w:color w:val="auto"/>
          <w:sz w:val="24"/>
          <w:szCs w:val="24"/>
        </w:rPr>
        <w:t>an</w:t>
      </w:r>
      <w:r w:rsidR="00FD4A11" w:rsidRPr="00C02968">
        <w:rPr>
          <w:rFonts w:ascii="Arial" w:hAnsi="Arial" w:cs="Arial"/>
          <w:color w:val="auto"/>
          <w:sz w:val="24"/>
          <w:szCs w:val="24"/>
        </w:rPr>
        <w:t xml:space="preserve"> acceptable tender as any tender which, in all respects, complies with the specifications and conditions as set out in the tender document. </w:t>
      </w:r>
    </w:p>
    <w:p w:rsidR="00EE3D8C" w:rsidRPr="00C02968" w:rsidRDefault="00EE3D8C" w:rsidP="00FD4A1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p>
    <w:p w:rsidR="00AB6996" w:rsidRPr="00C02968" w:rsidRDefault="002D5BA0" w:rsidP="00AB6996">
      <w:pPr>
        <w:spacing w:after="360" w:line="360" w:lineRule="auto"/>
        <w:ind w:left="709" w:hanging="709"/>
        <w:jc w:val="both"/>
        <w:rPr>
          <w:rFonts w:ascii="Arial" w:hAnsi="Arial" w:cs="Arial"/>
          <w:b/>
          <w:bCs/>
          <w:sz w:val="24"/>
          <w:szCs w:val="24"/>
          <w:lang w:eastAsia="en-ZA"/>
        </w:rPr>
      </w:pPr>
      <w:r w:rsidRPr="00C02968">
        <w:rPr>
          <w:rFonts w:ascii="Arial" w:hAnsi="Arial" w:cs="Arial"/>
          <w:sz w:val="24"/>
          <w:szCs w:val="24"/>
        </w:rPr>
        <w:t>[</w:t>
      </w:r>
      <w:r w:rsidR="00DC3ED7" w:rsidRPr="00C02968">
        <w:rPr>
          <w:rFonts w:ascii="Arial" w:hAnsi="Arial" w:cs="Arial"/>
          <w:sz w:val="24"/>
          <w:szCs w:val="24"/>
        </w:rPr>
        <w:t>12</w:t>
      </w:r>
      <w:r w:rsidRPr="00C02968">
        <w:rPr>
          <w:rFonts w:ascii="Arial" w:hAnsi="Arial" w:cs="Arial"/>
          <w:sz w:val="24"/>
          <w:szCs w:val="24"/>
        </w:rPr>
        <w:t xml:space="preserve">]   </w:t>
      </w:r>
      <w:r w:rsidR="00DC3ED7" w:rsidRPr="00C02968">
        <w:rPr>
          <w:rFonts w:ascii="Arial" w:hAnsi="Arial" w:cs="Arial"/>
          <w:sz w:val="24"/>
          <w:szCs w:val="24"/>
        </w:rPr>
        <w:tab/>
      </w:r>
      <w:r w:rsidR="00AB6996" w:rsidRPr="00C02968">
        <w:rPr>
          <w:rFonts w:ascii="Arial" w:hAnsi="Arial" w:cs="Arial"/>
          <w:sz w:val="24"/>
          <w:szCs w:val="24"/>
        </w:rPr>
        <w:t xml:space="preserve">In </w:t>
      </w:r>
      <w:r w:rsidR="00AB6996" w:rsidRPr="00C02968">
        <w:rPr>
          <w:rFonts w:ascii="Arial" w:hAnsi="Arial" w:cs="Arial"/>
          <w:i/>
          <w:sz w:val="24"/>
          <w:szCs w:val="24"/>
        </w:rPr>
        <w:t>Chairperson, Standing Tender Committee and Others v JFE Sapela Electronics and Others</w:t>
      </w:r>
      <w:r w:rsidR="00AB6996" w:rsidRPr="00C02968">
        <w:rPr>
          <w:rStyle w:val="FootnoteReference"/>
          <w:rFonts w:ascii="Arial" w:hAnsi="Arial" w:cs="Arial"/>
          <w:i/>
          <w:sz w:val="24"/>
          <w:szCs w:val="24"/>
        </w:rPr>
        <w:footnoteReference w:id="3"/>
      </w:r>
      <w:r w:rsidR="00AB6996" w:rsidRPr="00C02968">
        <w:rPr>
          <w:rFonts w:ascii="Arial" w:hAnsi="Arial" w:cs="Arial"/>
          <w:b/>
          <w:sz w:val="24"/>
          <w:szCs w:val="24"/>
        </w:rPr>
        <w:t xml:space="preserve"> </w:t>
      </w:r>
      <w:r w:rsidR="00AB6996" w:rsidRPr="00C02968">
        <w:rPr>
          <w:rFonts w:ascii="Arial" w:hAnsi="Arial" w:cs="Arial"/>
          <w:sz w:val="24"/>
          <w:szCs w:val="24"/>
        </w:rPr>
        <w:t xml:space="preserve">the Supreme Court of Appeal  had this to say about an “acceptable tender”: </w:t>
      </w:r>
    </w:p>
    <w:p w:rsidR="00C65D8B" w:rsidRPr="00C02968" w:rsidRDefault="00774BE0" w:rsidP="00774BE0">
      <w:pPr>
        <w:spacing w:after="360" w:line="360" w:lineRule="auto"/>
        <w:ind w:left="1440"/>
        <w:jc w:val="both"/>
        <w:rPr>
          <w:rFonts w:ascii="Arial" w:hAnsi="Arial" w:cs="Arial"/>
          <w:i/>
          <w:sz w:val="20"/>
          <w:szCs w:val="20"/>
        </w:rPr>
      </w:pPr>
      <w:r w:rsidRPr="00C02968">
        <w:rPr>
          <w:rFonts w:ascii="Arial" w:hAnsi="Arial" w:cs="Arial"/>
          <w:i/>
          <w:sz w:val="20"/>
          <w:szCs w:val="20"/>
        </w:rPr>
        <w:t>“</w:t>
      </w:r>
      <w:r w:rsidR="00AB6996" w:rsidRPr="00C02968">
        <w:rPr>
          <w:rFonts w:ascii="Arial" w:hAnsi="Arial" w:cs="Arial"/>
          <w:i/>
          <w:sz w:val="20"/>
          <w:szCs w:val="20"/>
        </w:rPr>
        <w:t xml:space="preserve">An 'acceptable tender' in turn is defined in s 1 as meaning 'any tender which, in all respects, complies with the specifications and conditions of tender as set out in the tender document'. It is well established that the legislature and executive in all spheres are constrained by the principle that they may exercise no power and perform no function beyond those conferred upon them by law. This is the doctrine of legality. ….. The acceptance by an organ of State of a tender which is not 'acceptable' within the </w:t>
      </w:r>
      <w:r w:rsidR="00AB6996" w:rsidRPr="00C02968">
        <w:rPr>
          <w:rFonts w:ascii="Arial" w:hAnsi="Arial" w:cs="Arial"/>
          <w:i/>
          <w:sz w:val="20"/>
          <w:szCs w:val="20"/>
        </w:rPr>
        <w:lastRenderedPageBreak/>
        <w:t>meaning of the Preferential Act is therefore an invalid act and falls to be set aside. In other words, the requirement of acceptability is a threshold requirement.</w:t>
      </w:r>
    </w:p>
    <w:p w:rsidR="00C0166D" w:rsidRPr="00C02968" w:rsidRDefault="00C65D8B" w:rsidP="00774BE0">
      <w:pPr>
        <w:spacing w:after="360" w:line="360" w:lineRule="auto"/>
        <w:ind w:left="1440"/>
        <w:jc w:val="both"/>
        <w:rPr>
          <w:rFonts w:ascii="Arial" w:hAnsi="Arial" w:cs="Arial"/>
          <w:i/>
          <w:sz w:val="20"/>
          <w:szCs w:val="20"/>
          <w:lang w:val="af-ZA"/>
        </w:rPr>
      </w:pPr>
      <w:r w:rsidRPr="00C02968">
        <w:rPr>
          <w:rFonts w:ascii="Arial" w:hAnsi="Arial" w:cs="Arial"/>
          <w:i/>
          <w:sz w:val="20"/>
          <w:szCs w:val="20"/>
        </w:rPr>
        <w:t>…</w:t>
      </w:r>
      <w:r w:rsidRPr="00C02968">
        <w:rPr>
          <w:rFonts w:ascii="Arial" w:hAnsi="Arial" w:cs="Arial"/>
          <w:i/>
          <w:sz w:val="20"/>
          <w:szCs w:val="20"/>
          <w:lang w:val="af-ZA"/>
        </w:rPr>
        <w:t xml:space="preserve"> What the Preferential Act does not permit a tenderer to do is in effect omit from his tender a whole section of the work itemized in the bill of schedules and required to be performed. A tenderer who is permitted to do this has an unfair advantage over competing tenderers who base their tenders on the premise, inherent in the tender documents, that all the work itemized in the schedule of quantities is to be performed. Whether work may later be omitted is of no consequence. What is imperative is that all tenderers tender for the same thing. By tendering on the basis that certain work will not be required a tenderer is able to reduce his price to the detriment of other tenderers, and almost certainly also to the detriment of the public purse since he is likely to load other items to the detriment of the employer. Such a tender offends each of the core values which s 217 (1) of the Constitution seeks to uphold. It would not be a tender which is ‘acceptable’ within the meaning of the Preferential Act.</w:t>
      </w:r>
      <w:r w:rsidR="00E12360" w:rsidRPr="00C02968">
        <w:rPr>
          <w:rFonts w:ascii="Arial" w:hAnsi="Arial" w:cs="Arial"/>
          <w:i/>
          <w:sz w:val="20"/>
          <w:szCs w:val="20"/>
          <w:lang w:val="af-ZA"/>
        </w:rPr>
        <w:t>”</w:t>
      </w:r>
    </w:p>
    <w:p w:rsidR="00C40F73" w:rsidRPr="00C02968" w:rsidRDefault="00C40F73" w:rsidP="006B2FE5">
      <w:pPr>
        <w:spacing w:after="0" w:line="360" w:lineRule="auto"/>
        <w:ind w:left="720" w:hanging="720"/>
        <w:jc w:val="both"/>
        <w:rPr>
          <w:rFonts w:ascii="Arial" w:hAnsi="Arial" w:cs="Arial"/>
          <w:sz w:val="24"/>
          <w:szCs w:val="24"/>
        </w:rPr>
      </w:pPr>
    </w:p>
    <w:p w:rsidR="002F1FD8" w:rsidRPr="00C02968" w:rsidRDefault="00BC7096" w:rsidP="00DC3ED7">
      <w:pPr>
        <w:autoSpaceDE w:val="0"/>
        <w:autoSpaceDN w:val="0"/>
        <w:adjustRightInd w:val="0"/>
        <w:spacing w:after="0" w:line="360" w:lineRule="auto"/>
        <w:ind w:left="709" w:hanging="709"/>
        <w:jc w:val="both"/>
        <w:rPr>
          <w:rFonts w:ascii="Arial" w:hAnsi="Arial" w:cs="Arial"/>
          <w:sz w:val="24"/>
          <w:szCs w:val="24"/>
        </w:rPr>
      </w:pPr>
      <w:r w:rsidRPr="00C02968">
        <w:rPr>
          <w:rFonts w:ascii="Arial" w:hAnsi="Arial" w:cs="Arial"/>
          <w:sz w:val="24"/>
          <w:szCs w:val="24"/>
        </w:rPr>
        <w:t>[</w:t>
      </w:r>
      <w:r w:rsidR="00DC3ED7" w:rsidRPr="00C02968">
        <w:rPr>
          <w:rFonts w:ascii="Arial" w:hAnsi="Arial" w:cs="Arial"/>
          <w:sz w:val="24"/>
          <w:szCs w:val="24"/>
        </w:rPr>
        <w:t>13</w:t>
      </w:r>
      <w:r w:rsidR="006C5113" w:rsidRPr="00C02968">
        <w:rPr>
          <w:rFonts w:ascii="Arial" w:hAnsi="Arial" w:cs="Arial"/>
          <w:sz w:val="24"/>
          <w:szCs w:val="24"/>
        </w:rPr>
        <w:t xml:space="preserve">] </w:t>
      </w:r>
      <w:r w:rsidR="006C5113" w:rsidRPr="00C02968">
        <w:rPr>
          <w:rFonts w:ascii="Arial" w:hAnsi="Arial" w:cs="Arial"/>
          <w:sz w:val="24"/>
          <w:szCs w:val="24"/>
        </w:rPr>
        <w:tab/>
      </w:r>
      <w:r w:rsidR="00C65D8B" w:rsidRPr="00C02968">
        <w:rPr>
          <w:rFonts w:ascii="Arial" w:hAnsi="Arial" w:cs="Arial"/>
          <w:sz w:val="24"/>
          <w:szCs w:val="24"/>
        </w:rPr>
        <w:t xml:space="preserve">In </w:t>
      </w:r>
      <w:r w:rsidR="00C65D8B" w:rsidRPr="00C02968">
        <w:rPr>
          <w:rFonts w:ascii="Arial" w:hAnsi="Arial" w:cs="Arial"/>
          <w:i/>
          <w:sz w:val="24"/>
          <w:szCs w:val="24"/>
        </w:rPr>
        <w:t>Sapela</w:t>
      </w:r>
      <w:r w:rsidR="00C65D8B" w:rsidRPr="00C02968">
        <w:rPr>
          <w:rFonts w:ascii="Arial" w:hAnsi="Arial" w:cs="Arial"/>
          <w:sz w:val="24"/>
          <w:szCs w:val="24"/>
        </w:rPr>
        <w:t xml:space="preserve"> </w:t>
      </w:r>
      <w:r w:rsidR="004B222D" w:rsidRPr="00C02968">
        <w:rPr>
          <w:rFonts w:ascii="Arial" w:hAnsi="Arial" w:cs="Arial"/>
          <w:sz w:val="24"/>
          <w:szCs w:val="24"/>
        </w:rPr>
        <w:t xml:space="preserve">above </w:t>
      </w:r>
      <w:r w:rsidR="009D4D92" w:rsidRPr="00C02968">
        <w:rPr>
          <w:rFonts w:ascii="Arial" w:hAnsi="Arial" w:cs="Arial"/>
          <w:sz w:val="24"/>
          <w:szCs w:val="24"/>
        </w:rPr>
        <w:t xml:space="preserve">one of </w:t>
      </w:r>
      <w:r w:rsidR="004B222D" w:rsidRPr="00C02968">
        <w:rPr>
          <w:rFonts w:ascii="Arial" w:hAnsi="Arial" w:cs="Arial"/>
          <w:sz w:val="24"/>
          <w:szCs w:val="24"/>
        </w:rPr>
        <w:t>the tenderer’s bid was found to have been unresponsive because</w:t>
      </w:r>
      <w:r w:rsidR="009D4D92" w:rsidRPr="00C02968">
        <w:rPr>
          <w:rFonts w:ascii="Arial" w:hAnsi="Arial" w:cs="Arial"/>
          <w:sz w:val="24"/>
          <w:szCs w:val="24"/>
        </w:rPr>
        <w:t xml:space="preserve"> </w:t>
      </w:r>
      <w:r w:rsidR="006C5113" w:rsidRPr="00C02968">
        <w:rPr>
          <w:rFonts w:ascii="Arial" w:hAnsi="Arial" w:cs="Arial"/>
          <w:sz w:val="24"/>
          <w:szCs w:val="24"/>
        </w:rPr>
        <w:t>the tenderer misunderstood</w:t>
      </w:r>
      <w:r w:rsidR="009D4D92" w:rsidRPr="00C02968">
        <w:rPr>
          <w:rFonts w:ascii="Arial" w:hAnsi="Arial" w:cs="Arial"/>
          <w:sz w:val="24"/>
          <w:szCs w:val="24"/>
        </w:rPr>
        <w:t xml:space="preserve"> 2 items in the schedule as it is the case with the current matter.  </w:t>
      </w:r>
      <w:r w:rsidR="000A443B" w:rsidRPr="00C02968">
        <w:rPr>
          <w:rFonts w:ascii="Arial" w:hAnsi="Arial" w:cs="Arial"/>
          <w:sz w:val="24"/>
          <w:szCs w:val="24"/>
        </w:rPr>
        <w:t xml:space="preserve">Tenderers are expected to comply with the set criteria </w:t>
      </w:r>
      <w:r w:rsidR="002F4C5E" w:rsidRPr="00C02968">
        <w:rPr>
          <w:rFonts w:ascii="Arial" w:hAnsi="Arial" w:cs="Arial"/>
          <w:sz w:val="24"/>
          <w:szCs w:val="24"/>
        </w:rPr>
        <w:t xml:space="preserve">for the tender in order </w:t>
      </w:r>
      <w:r w:rsidR="009F6334" w:rsidRPr="00C02968">
        <w:rPr>
          <w:rFonts w:ascii="Arial" w:hAnsi="Arial" w:cs="Arial"/>
          <w:sz w:val="24"/>
          <w:szCs w:val="24"/>
        </w:rPr>
        <w:t xml:space="preserve">to promote </w:t>
      </w:r>
      <w:r w:rsidR="006C5113" w:rsidRPr="00C02968">
        <w:rPr>
          <w:rFonts w:ascii="Arial" w:hAnsi="Arial" w:cs="Arial"/>
          <w:sz w:val="24"/>
          <w:szCs w:val="24"/>
        </w:rPr>
        <w:t>fairness, competitiveness,</w:t>
      </w:r>
      <w:r w:rsidR="009F6334" w:rsidRPr="00C02968">
        <w:rPr>
          <w:rFonts w:ascii="Arial" w:hAnsi="Arial" w:cs="Arial"/>
          <w:sz w:val="24"/>
          <w:szCs w:val="24"/>
        </w:rPr>
        <w:t xml:space="preserve"> equity and transparency.</w:t>
      </w:r>
      <w:r w:rsidR="000A443B" w:rsidRPr="00C02968">
        <w:rPr>
          <w:rFonts w:ascii="Arial" w:hAnsi="Arial" w:cs="Arial"/>
          <w:sz w:val="24"/>
          <w:szCs w:val="24"/>
        </w:rPr>
        <w:t xml:space="preserve"> The Bid evaluation committees are not at liberty to deviate from the</w:t>
      </w:r>
      <w:r w:rsidR="00E75CE8">
        <w:rPr>
          <w:rFonts w:ascii="Arial" w:hAnsi="Arial" w:cs="Arial"/>
          <w:sz w:val="24"/>
          <w:szCs w:val="24"/>
        </w:rPr>
        <w:t xml:space="preserve"> conditions of a tender </w:t>
      </w:r>
      <w:r w:rsidR="00F07FBC" w:rsidRPr="00C02968">
        <w:rPr>
          <w:rFonts w:ascii="Arial" w:hAnsi="Arial" w:cs="Arial"/>
          <w:sz w:val="24"/>
          <w:szCs w:val="24"/>
        </w:rPr>
        <w:t xml:space="preserve"> and the law governing procurement </w:t>
      </w:r>
      <w:r w:rsidR="006C5113" w:rsidRPr="00C02968">
        <w:rPr>
          <w:rFonts w:ascii="Arial" w:hAnsi="Arial" w:cs="Arial"/>
          <w:sz w:val="24"/>
          <w:szCs w:val="24"/>
        </w:rPr>
        <w:t>in their quest to</w:t>
      </w:r>
      <w:r w:rsidR="000A443B" w:rsidRPr="00C02968">
        <w:rPr>
          <w:rFonts w:ascii="Arial" w:hAnsi="Arial" w:cs="Arial"/>
          <w:sz w:val="24"/>
          <w:szCs w:val="24"/>
        </w:rPr>
        <w:t xml:space="preserve"> accommodate</w:t>
      </w:r>
      <w:r w:rsidR="00C06172" w:rsidRPr="00C02968">
        <w:rPr>
          <w:rFonts w:ascii="Arial" w:hAnsi="Arial" w:cs="Arial"/>
          <w:sz w:val="24"/>
          <w:szCs w:val="24"/>
        </w:rPr>
        <w:t xml:space="preserve"> mistakes </w:t>
      </w:r>
      <w:r w:rsidR="006C5113" w:rsidRPr="00C02968">
        <w:rPr>
          <w:rFonts w:ascii="Arial" w:hAnsi="Arial" w:cs="Arial"/>
          <w:sz w:val="24"/>
          <w:szCs w:val="24"/>
        </w:rPr>
        <w:t>committed by</w:t>
      </w:r>
      <w:r w:rsidR="000A443B" w:rsidRPr="00C02968">
        <w:rPr>
          <w:rFonts w:ascii="Arial" w:hAnsi="Arial" w:cs="Arial"/>
          <w:sz w:val="24"/>
          <w:szCs w:val="24"/>
        </w:rPr>
        <w:t xml:space="preserve"> competing bidders. </w:t>
      </w:r>
      <w:r w:rsidR="002F4C5E" w:rsidRPr="00C02968">
        <w:rPr>
          <w:rFonts w:ascii="Arial" w:hAnsi="Arial" w:cs="Arial"/>
          <w:sz w:val="24"/>
          <w:szCs w:val="24"/>
        </w:rPr>
        <w:t>See also</w:t>
      </w:r>
      <w:r w:rsidR="002F4C5E" w:rsidRPr="00C02968">
        <w:rPr>
          <w:rFonts w:ascii="Arial" w:hAnsi="Arial" w:cs="Arial"/>
          <w:b/>
          <w:i/>
          <w:iCs/>
          <w:sz w:val="24"/>
          <w:szCs w:val="24"/>
        </w:rPr>
        <w:t xml:space="preserve"> </w:t>
      </w:r>
      <w:r w:rsidR="002F4C5E" w:rsidRPr="00C02968">
        <w:rPr>
          <w:rFonts w:ascii="Arial" w:hAnsi="Arial" w:cs="Arial"/>
          <w:i/>
          <w:iCs/>
          <w:sz w:val="24"/>
          <w:szCs w:val="24"/>
        </w:rPr>
        <w:t>Dr JS</w:t>
      </w:r>
      <w:r w:rsidR="002F4C5E" w:rsidRPr="00C02968">
        <w:rPr>
          <w:rFonts w:ascii="Arial" w:hAnsi="Arial" w:cs="Arial"/>
          <w:b/>
          <w:iCs/>
          <w:sz w:val="24"/>
          <w:szCs w:val="24"/>
        </w:rPr>
        <w:t xml:space="preserve"> </w:t>
      </w:r>
      <w:r w:rsidR="006C5113" w:rsidRPr="00C02968">
        <w:rPr>
          <w:rFonts w:ascii="Arial" w:hAnsi="Arial" w:cs="Arial"/>
          <w:i/>
          <w:iCs/>
          <w:sz w:val="24"/>
          <w:szCs w:val="24"/>
        </w:rPr>
        <w:t xml:space="preserve">Moroka </w:t>
      </w:r>
      <w:r w:rsidR="002F4C5E" w:rsidRPr="00C02968">
        <w:rPr>
          <w:rFonts w:ascii="Arial" w:hAnsi="Arial" w:cs="Arial"/>
          <w:i/>
          <w:iCs/>
          <w:sz w:val="24"/>
          <w:szCs w:val="24"/>
        </w:rPr>
        <w:t>Municipality &amp; Others v Bertram (PTY) L</w:t>
      </w:r>
      <w:r w:rsidR="006C5113" w:rsidRPr="00C02968">
        <w:rPr>
          <w:rFonts w:ascii="Arial" w:hAnsi="Arial" w:cs="Arial"/>
          <w:i/>
          <w:iCs/>
          <w:sz w:val="24"/>
          <w:szCs w:val="24"/>
        </w:rPr>
        <w:t>imited</w:t>
      </w:r>
      <w:r w:rsidR="002F4C5E" w:rsidRPr="00C02968">
        <w:rPr>
          <w:rFonts w:ascii="Arial" w:hAnsi="Arial" w:cs="Arial"/>
          <w:i/>
          <w:iCs/>
          <w:sz w:val="24"/>
          <w:szCs w:val="24"/>
        </w:rPr>
        <w:t xml:space="preserve"> </w:t>
      </w:r>
      <w:r w:rsidR="00F07FBC" w:rsidRPr="00C02968">
        <w:rPr>
          <w:rFonts w:ascii="Arial" w:hAnsi="Arial" w:cs="Arial"/>
          <w:i/>
          <w:iCs/>
          <w:sz w:val="24"/>
          <w:szCs w:val="24"/>
        </w:rPr>
        <w:t xml:space="preserve">&amp; Another </w:t>
      </w:r>
      <w:r w:rsidR="00F07FBC" w:rsidRPr="00C02968">
        <w:rPr>
          <w:rStyle w:val="FootnoteReference"/>
          <w:rFonts w:ascii="Arial" w:hAnsi="Arial" w:cs="Arial"/>
          <w:i/>
          <w:iCs/>
          <w:sz w:val="24"/>
          <w:szCs w:val="24"/>
        </w:rPr>
        <w:footnoteReference w:id="4"/>
      </w:r>
      <w:r w:rsidR="002F4C5E" w:rsidRPr="00C02968">
        <w:rPr>
          <w:rFonts w:ascii="Arial" w:hAnsi="Arial" w:cs="Arial"/>
          <w:b/>
          <w:iCs/>
          <w:sz w:val="24"/>
          <w:szCs w:val="24"/>
        </w:rPr>
        <w:t xml:space="preserve"> </w:t>
      </w:r>
      <w:r w:rsidR="00791425" w:rsidRPr="00C02968">
        <w:rPr>
          <w:rFonts w:ascii="Arial" w:hAnsi="Arial" w:cs="Arial"/>
          <w:sz w:val="24"/>
          <w:szCs w:val="24"/>
        </w:rPr>
        <w:t>where it was said:</w:t>
      </w:r>
    </w:p>
    <w:p w:rsidR="00791425" w:rsidRPr="00C02968" w:rsidRDefault="00717F87" w:rsidP="00E12360">
      <w:pPr>
        <w:spacing w:after="0" w:line="360" w:lineRule="auto"/>
        <w:ind w:left="720" w:hanging="720"/>
        <w:jc w:val="both"/>
        <w:rPr>
          <w:rFonts w:ascii="Arial" w:hAnsi="Arial" w:cs="Arial"/>
          <w:sz w:val="20"/>
          <w:szCs w:val="20"/>
        </w:rPr>
      </w:pPr>
      <w:r w:rsidRPr="00C02968">
        <w:rPr>
          <w:rFonts w:ascii="Arial" w:hAnsi="Arial" w:cs="Arial"/>
          <w:sz w:val="24"/>
          <w:szCs w:val="24"/>
        </w:rPr>
        <w:tab/>
      </w:r>
    </w:p>
    <w:p w:rsidR="00791425" w:rsidRPr="00C02968" w:rsidRDefault="003B4C6F" w:rsidP="00DC3ED7">
      <w:pPr>
        <w:autoSpaceDE w:val="0"/>
        <w:autoSpaceDN w:val="0"/>
        <w:adjustRightInd w:val="0"/>
        <w:spacing w:after="0" w:line="360" w:lineRule="auto"/>
        <w:ind w:left="1440"/>
        <w:jc w:val="both"/>
        <w:rPr>
          <w:rFonts w:ascii="Arial" w:hAnsi="Arial" w:cs="Arial"/>
          <w:i/>
          <w:sz w:val="20"/>
          <w:szCs w:val="20"/>
        </w:rPr>
      </w:pPr>
      <w:r w:rsidRPr="00C02968">
        <w:rPr>
          <w:rFonts w:ascii="Arial" w:hAnsi="Arial" w:cs="Arial"/>
          <w:i/>
          <w:sz w:val="20"/>
          <w:szCs w:val="20"/>
        </w:rPr>
        <w:t>‘</w:t>
      </w:r>
      <w:r w:rsidR="00791425" w:rsidRPr="00C02968">
        <w:rPr>
          <w:rFonts w:ascii="Arial" w:hAnsi="Arial" w:cs="Arial"/>
          <w:i/>
          <w:sz w:val="20"/>
          <w:szCs w:val="20"/>
        </w:rPr>
        <w:t xml:space="preserve">A bid that does not satisfy the necessary prescribed minimum qualifying requirements simply cannot be viewed as a bid ‘validly submitted’. Moreover, the tender process consists of various stages: first, examination of all bids received, at which stage those which do not comply with the prescribed minimum standards are liable to be rejected as invalid; second, the evaluation of all bids ‘validly submitted’ as prescribed in clause 3; and third, a decision on which of the validly submitted bids should be accepted. The fact that all bids validly submitted are to be taken into consideration as set out in clause 3.1 affords no discretion to condone and take into account bids not validly submitted but disqualified. </w:t>
      </w:r>
    </w:p>
    <w:p w:rsidR="00791425" w:rsidRPr="00C02968" w:rsidRDefault="00791425" w:rsidP="00DC3ED7">
      <w:pPr>
        <w:autoSpaceDE w:val="0"/>
        <w:autoSpaceDN w:val="0"/>
        <w:adjustRightInd w:val="0"/>
        <w:spacing w:after="0" w:line="360" w:lineRule="auto"/>
        <w:jc w:val="both"/>
        <w:rPr>
          <w:rFonts w:ascii="Arial" w:hAnsi="Arial" w:cs="Arial"/>
          <w:i/>
          <w:sz w:val="20"/>
          <w:szCs w:val="20"/>
        </w:rPr>
      </w:pPr>
    </w:p>
    <w:p w:rsidR="00791425" w:rsidRPr="00C02968" w:rsidRDefault="00C02968" w:rsidP="00C02968">
      <w:pPr>
        <w:autoSpaceDE w:val="0"/>
        <w:autoSpaceDN w:val="0"/>
        <w:adjustRightInd w:val="0"/>
        <w:spacing w:after="0" w:line="360" w:lineRule="auto"/>
        <w:ind w:left="1440"/>
        <w:jc w:val="both"/>
        <w:rPr>
          <w:rFonts w:ascii="Arial" w:hAnsi="Arial" w:cs="Arial"/>
          <w:i/>
          <w:sz w:val="20"/>
          <w:szCs w:val="20"/>
        </w:rPr>
      </w:pPr>
      <w:r w:rsidRPr="00C02968">
        <w:rPr>
          <w:rFonts w:ascii="Arial" w:hAnsi="Arial" w:cs="Arial"/>
          <w:i/>
          <w:sz w:val="20"/>
          <w:szCs w:val="20"/>
        </w:rPr>
        <w:t>[16]</w:t>
      </w:r>
      <w:r w:rsidRPr="00C02968">
        <w:rPr>
          <w:rFonts w:ascii="Arial" w:hAnsi="Arial" w:cs="Arial"/>
          <w:i/>
          <w:sz w:val="20"/>
          <w:szCs w:val="20"/>
        </w:rPr>
        <w:tab/>
      </w:r>
      <w:r w:rsidR="00791425" w:rsidRPr="00C02968">
        <w:rPr>
          <w:rFonts w:ascii="Arial" w:hAnsi="Arial" w:cs="Arial"/>
          <w:i/>
          <w:sz w:val="20"/>
          <w:szCs w:val="20"/>
        </w:rPr>
        <w:t>In these circumstances it is clear that there was no discretion to condone a</w:t>
      </w:r>
    </w:p>
    <w:p w:rsidR="00791425" w:rsidRPr="00C02968" w:rsidRDefault="00791425" w:rsidP="00C02968">
      <w:pPr>
        <w:autoSpaceDE w:val="0"/>
        <w:autoSpaceDN w:val="0"/>
        <w:adjustRightInd w:val="0"/>
        <w:spacing w:after="0" w:line="360" w:lineRule="auto"/>
        <w:ind w:left="2160"/>
        <w:jc w:val="both"/>
        <w:rPr>
          <w:rFonts w:ascii="Arial" w:hAnsi="Arial" w:cs="Arial"/>
          <w:i/>
          <w:sz w:val="20"/>
          <w:szCs w:val="20"/>
        </w:rPr>
      </w:pPr>
      <w:r w:rsidRPr="00C02968">
        <w:rPr>
          <w:rFonts w:ascii="Arial" w:hAnsi="Arial" w:cs="Arial"/>
          <w:i/>
          <w:sz w:val="20"/>
          <w:szCs w:val="20"/>
        </w:rPr>
        <w:t>failure to comply with the prescribed minimum prerequisite of a valid and original tax</w:t>
      </w:r>
      <w:r w:rsidR="00C02968" w:rsidRPr="00C02968">
        <w:rPr>
          <w:rFonts w:ascii="Arial" w:hAnsi="Arial" w:cs="Arial"/>
          <w:i/>
          <w:sz w:val="20"/>
          <w:szCs w:val="20"/>
        </w:rPr>
        <w:t xml:space="preserve"> </w:t>
      </w:r>
      <w:r w:rsidRPr="00C02968">
        <w:rPr>
          <w:rFonts w:ascii="Arial" w:hAnsi="Arial" w:cs="Arial"/>
          <w:i/>
          <w:sz w:val="20"/>
          <w:szCs w:val="20"/>
        </w:rPr>
        <w:t>clearance certificate. That being so, the tender submitted by the first respondent was</w:t>
      </w:r>
      <w:r w:rsidR="00C02968" w:rsidRPr="00C02968">
        <w:rPr>
          <w:rFonts w:ascii="Arial" w:hAnsi="Arial" w:cs="Arial"/>
          <w:i/>
          <w:sz w:val="20"/>
          <w:szCs w:val="20"/>
        </w:rPr>
        <w:t xml:space="preserve"> </w:t>
      </w:r>
      <w:r w:rsidRPr="00C02968">
        <w:rPr>
          <w:rFonts w:ascii="Arial" w:hAnsi="Arial" w:cs="Arial"/>
          <w:i/>
          <w:sz w:val="20"/>
          <w:szCs w:val="20"/>
        </w:rPr>
        <w:t>not an ‘acceptable tender’ as envisaged by the Procurement Act and did not pass</w:t>
      </w:r>
      <w:r w:rsidR="00C02968" w:rsidRPr="00C02968">
        <w:rPr>
          <w:rFonts w:ascii="Arial" w:hAnsi="Arial" w:cs="Arial"/>
          <w:i/>
          <w:sz w:val="20"/>
          <w:szCs w:val="20"/>
        </w:rPr>
        <w:t xml:space="preserve"> </w:t>
      </w:r>
      <w:r w:rsidRPr="00C02968">
        <w:rPr>
          <w:rFonts w:ascii="Arial" w:hAnsi="Arial" w:cs="Arial"/>
          <w:i/>
          <w:sz w:val="20"/>
          <w:szCs w:val="20"/>
        </w:rPr>
        <w:t>the so-called ‘threshold requirement’ to allow it to be considered and evaluated.</w:t>
      </w:r>
      <w:r w:rsidR="00C02968" w:rsidRPr="00C02968">
        <w:rPr>
          <w:rFonts w:ascii="Arial" w:hAnsi="Arial" w:cs="Arial"/>
          <w:i/>
          <w:sz w:val="20"/>
          <w:szCs w:val="20"/>
        </w:rPr>
        <w:t xml:space="preserve"> </w:t>
      </w:r>
      <w:r w:rsidRPr="00C02968">
        <w:rPr>
          <w:rFonts w:ascii="Arial" w:hAnsi="Arial" w:cs="Arial"/>
          <w:i/>
          <w:sz w:val="20"/>
          <w:szCs w:val="20"/>
        </w:rPr>
        <w:t>Indeed, its acceptance would have been invalid and liable to be set aside – as was</w:t>
      </w:r>
      <w:r w:rsidR="00C02968" w:rsidRPr="00C02968">
        <w:rPr>
          <w:rFonts w:ascii="Arial" w:hAnsi="Arial" w:cs="Arial"/>
          <w:i/>
          <w:sz w:val="20"/>
          <w:szCs w:val="20"/>
        </w:rPr>
        <w:t xml:space="preserve"> </w:t>
      </w:r>
      <w:r w:rsidRPr="00C02968">
        <w:rPr>
          <w:rFonts w:ascii="Arial" w:hAnsi="Arial" w:cs="Arial"/>
          <w:i/>
          <w:sz w:val="20"/>
          <w:szCs w:val="20"/>
        </w:rPr>
        <w:t xml:space="preserve">held by this court in </w:t>
      </w:r>
      <w:r w:rsidRPr="00C02968">
        <w:rPr>
          <w:rFonts w:ascii="Arial" w:hAnsi="Arial" w:cs="Arial"/>
          <w:i/>
          <w:iCs/>
          <w:sz w:val="20"/>
          <w:szCs w:val="20"/>
        </w:rPr>
        <w:t>Sapela Electronics.</w:t>
      </w:r>
      <w:r w:rsidRPr="00C02968">
        <w:rPr>
          <w:rFonts w:ascii="Arial" w:hAnsi="Arial" w:cs="Arial"/>
          <w:i/>
          <w:sz w:val="20"/>
          <w:szCs w:val="20"/>
        </w:rPr>
        <w:t xml:space="preserve"> On this basis the appellants were perfectly</w:t>
      </w:r>
      <w:r w:rsidR="00C02968" w:rsidRPr="00C02968">
        <w:rPr>
          <w:rFonts w:ascii="Arial" w:hAnsi="Arial" w:cs="Arial"/>
          <w:i/>
          <w:sz w:val="20"/>
          <w:szCs w:val="20"/>
        </w:rPr>
        <w:t xml:space="preserve"> </w:t>
      </w:r>
      <w:r w:rsidRPr="00C02968">
        <w:rPr>
          <w:rFonts w:ascii="Arial" w:hAnsi="Arial" w:cs="Arial"/>
          <w:i/>
          <w:sz w:val="20"/>
          <w:szCs w:val="20"/>
        </w:rPr>
        <w:t xml:space="preserve">entitled to disqualify the first respondent’s tender as they did. </w:t>
      </w:r>
    </w:p>
    <w:p w:rsidR="003B4C6F" w:rsidRPr="00C02968" w:rsidRDefault="003B4C6F" w:rsidP="00DC3ED7">
      <w:pPr>
        <w:autoSpaceDE w:val="0"/>
        <w:autoSpaceDN w:val="0"/>
        <w:adjustRightInd w:val="0"/>
        <w:spacing w:after="0" w:line="360" w:lineRule="auto"/>
        <w:ind w:firstLine="720"/>
        <w:jc w:val="both"/>
        <w:rPr>
          <w:rFonts w:ascii="Arial" w:hAnsi="Arial" w:cs="Arial"/>
          <w:i/>
          <w:sz w:val="20"/>
          <w:szCs w:val="20"/>
        </w:rPr>
      </w:pPr>
    </w:p>
    <w:p w:rsidR="00791425" w:rsidRPr="00C02968" w:rsidRDefault="00791425" w:rsidP="00C02968">
      <w:pPr>
        <w:autoSpaceDE w:val="0"/>
        <w:autoSpaceDN w:val="0"/>
        <w:adjustRightInd w:val="0"/>
        <w:spacing w:after="0" w:line="360" w:lineRule="auto"/>
        <w:ind w:left="2160" w:hanging="720"/>
        <w:jc w:val="both"/>
        <w:rPr>
          <w:rFonts w:ascii="Arial" w:hAnsi="Arial" w:cs="Arial"/>
          <w:i/>
          <w:sz w:val="20"/>
          <w:szCs w:val="20"/>
        </w:rPr>
      </w:pPr>
      <w:r w:rsidRPr="00C02968">
        <w:rPr>
          <w:rFonts w:ascii="Arial" w:hAnsi="Arial" w:cs="Arial"/>
          <w:i/>
          <w:sz w:val="20"/>
          <w:szCs w:val="20"/>
        </w:rPr>
        <w:t>[17]</w:t>
      </w:r>
      <w:r w:rsidR="00C02968" w:rsidRPr="00C02968">
        <w:rPr>
          <w:rFonts w:ascii="Arial" w:hAnsi="Arial" w:cs="Arial"/>
          <w:i/>
          <w:sz w:val="20"/>
          <w:szCs w:val="20"/>
        </w:rPr>
        <w:tab/>
      </w:r>
      <w:r w:rsidRPr="00C02968">
        <w:rPr>
          <w:rFonts w:ascii="Arial" w:hAnsi="Arial" w:cs="Arial"/>
          <w:i/>
          <w:sz w:val="20"/>
          <w:szCs w:val="20"/>
        </w:rPr>
        <w:t>As a last line of defence, so to speak, the first respondent argued in the</w:t>
      </w:r>
      <w:r w:rsidR="003B4C6F" w:rsidRPr="00C02968">
        <w:rPr>
          <w:rFonts w:ascii="Arial" w:hAnsi="Arial" w:cs="Arial"/>
          <w:i/>
          <w:sz w:val="20"/>
          <w:szCs w:val="20"/>
        </w:rPr>
        <w:t xml:space="preserve"> </w:t>
      </w:r>
      <w:r w:rsidRPr="00C02968">
        <w:rPr>
          <w:rFonts w:ascii="Arial" w:hAnsi="Arial" w:cs="Arial"/>
          <w:i/>
          <w:sz w:val="20"/>
          <w:szCs w:val="20"/>
        </w:rPr>
        <w:t>alternative that for reasons of public policy its tender ought not to have been</w:t>
      </w:r>
      <w:r w:rsidR="003B4C6F" w:rsidRPr="00C02968">
        <w:rPr>
          <w:rFonts w:ascii="Arial" w:hAnsi="Arial" w:cs="Arial"/>
          <w:i/>
          <w:sz w:val="20"/>
          <w:szCs w:val="20"/>
        </w:rPr>
        <w:t xml:space="preserve"> </w:t>
      </w:r>
      <w:r w:rsidRPr="00C02968">
        <w:rPr>
          <w:rFonts w:ascii="Arial" w:hAnsi="Arial" w:cs="Arial"/>
          <w:i/>
          <w:sz w:val="20"/>
          <w:szCs w:val="20"/>
        </w:rPr>
        <w:t>disqualified but should have been evaluated. This argument was founded essentially</w:t>
      </w:r>
      <w:r w:rsidR="003B4C6F" w:rsidRPr="00C02968">
        <w:rPr>
          <w:rFonts w:ascii="Arial" w:hAnsi="Arial" w:cs="Arial"/>
          <w:i/>
          <w:sz w:val="20"/>
          <w:szCs w:val="20"/>
        </w:rPr>
        <w:t xml:space="preserve"> </w:t>
      </w:r>
      <w:r w:rsidRPr="00C02968">
        <w:rPr>
          <w:rFonts w:ascii="Arial" w:hAnsi="Arial" w:cs="Arial"/>
          <w:i/>
          <w:sz w:val="20"/>
          <w:szCs w:val="20"/>
        </w:rPr>
        <w:t xml:space="preserve">on the fact that it was lower than that of Eldocrete and the statement in </w:t>
      </w:r>
      <w:r w:rsidRPr="00C02968">
        <w:rPr>
          <w:rFonts w:ascii="Arial" w:hAnsi="Arial" w:cs="Arial"/>
          <w:i/>
          <w:iCs/>
          <w:sz w:val="20"/>
          <w:szCs w:val="20"/>
        </w:rPr>
        <w:t>Millennium</w:t>
      </w:r>
      <w:r w:rsidR="003B4C6F" w:rsidRPr="00C02968">
        <w:rPr>
          <w:rFonts w:ascii="Arial" w:hAnsi="Arial" w:cs="Arial"/>
          <w:i/>
          <w:iCs/>
          <w:sz w:val="20"/>
          <w:szCs w:val="20"/>
        </w:rPr>
        <w:t xml:space="preserve"> </w:t>
      </w:r>
      <w:r w:rsidRPr="00C02968">
        <w:rPr>
          <w:rFonts w:ascii="Arial" w:hAnsi="Arial" w:cs="Arial"/>
          <w:i/>
          <w:iCs/>
          <w:sz w:val="20"/>
          <w:szCs w:val="20"/>
        </w:rPr>
        <w:t xml:space="preserve">Waste Management </w:t>
      </w:r>
      <w:r w:rsidRPr="00C02968">
        <w:rPr>
          <w:rFonts w:ascii="Arial" w:hAnsi="Arial" w:cs="Arial"/>
          <w:i/>
          <w:sz w:val="20"/>
          <w:szCs w:val="20"/>
        </w:rPr>
        <w:t>that:</w:t>
      </w:r>
      <w:r w:rsidR="003B4C6F" w:rsidRPr="00C02968">
        <w:rPr>
          <w:rFonts w:ascii="Arial" w:hAnsi="Arial" w:cs="Arial"/>
          <w:i/>
          <w:sz w:val="20"/>
          <w:szCs w:val="20"/>
        </w:rPr>
        <w:t xml:space="preserve"> </w:t>
      </w:r>
      <w:r w:rsidRPr="00C02968">
        <w:rPr>
          <w:rFonts w:ascii="Arial" w:hAnsi="Arial" w:cs="Arial"/>
          <w:i/>
          <w:sz w:val="20"/>
          <w:szCs w:val="20"/>
        </w:rPr>
        <w:t>‘(O)ur law permits condonation of non-compliance with peremptory requirements in cases</w:t>
      </w:r>
      <w:r w:rsidR="003B4C6F" w:rsidRPr="00C02968">
        <w:rPr>
          <w:rFonts w:ascii="Arial" w:hAnsi="Arial" w:cs="Arial"/>
          <w:i/>
          <w:sz w:val="20"/>
          <w:szCs w:val="20"/>
        </w:rPr>
        <w:t xml:space="preserve"> </w:t>
      </w:r>
      <w:r w:rsidRPr="00C02968">
        <w:rPr>
          <w:rFonts w:ascii="Arial" w:hAnsi="Arial" w:cs="Arial"/>
          <w:i/>
          <w:sz w:val="20"/>
          <w:szCs w:val="20"/>
        </w:rPr>
        <w:t>where condonation is not incompatible with public interest and if such condonation is</w:t>
      </w:r>
      <w:r w:rsidR="003B4C6F" w:rsidRPr="00C02968">
        <w:rPr>
          <w:rFonts w:ascii="Arial" w:hAnsi="Arial" w:cs="Arial"/>
          <w:i/>
          <w:sz w:val="20"/>
          <w:szCs w:val="20"/>
        </w:rPr>
        <w:t xml:space="preserve"> </w:t>
      </w:r>
      <w:r w:rsidRPr="00C02968">
        <w:rPr>
          <w:rFonts w:ascii="Arial" w:hAnsi="Arial" w:cs="Arial"/>
          <w:i/>
          <w:sz w:val="20"/>
          <w:szCs w:val="20"/>
        </w:rPr>
        <w:t>granted by the body in whose favour the provision was enacted (</w:t>
      </w:r>
      <w:r w:rsidRPr="00C02968">
        <w:rPr>
          <w:rFonts w:ascii="Arial" w:hAnsi="Arial" w:cs="Arial"/>
          <w:i/>
          <w:iCs/>
          <w:sz w:val="20"/>
          <w:szCs w:val="20"/>
        </w:rPr>
        <w:t>SA Eagle Insurance Co Ltd</w:t>
      </w:r>
      <w:r w:rsidR="003B4C6F" w:rsidRPr="00C02968">
        <w:rPr>
          <w:rFonts w:ascii="Arial" w:hAnsi="Arial" w:cs="Arial"/>
          <w:i/>
          <w:iCs/>
          <w:sz w:val="20"/>
          <w:szCs w:val="20"/>
        </w:rPr>
        <w:t xml:space="preserve"> </w:t>
      </w:r>
      <w:r w:rsidRPr="00C02968">
        <w:rPr>
          <w:rFonts w:ascii="Arial" w:hAnsi="Arial" w:cs="Arial"/>
          <w:i/>
          <w:iCs/>
          <w:sz w:val="20"/>
          <w:szCs w:val="20"/>
        </w:rPr>
        <w:t>v Bavuma)</w:t>
      </w:r>
      <w:r w:rsidRPr="00C02968">
        <w:rPr>
          <w:rFonts w:ascii="Arial" w:hAnsi="Arial" w:cs="Arial"/>
          <w:i/>
          <w:sz w:val="20"/>
          <w:szCs w:val="20"/>
        </w:rPr>
        <w:t>’.</w:t>
      </w:r>
    </w:p>
    <w:p w:rsidR="00791425" w:rsidRPr="00C02968" w:rsidRDefault="00791425" w:rsidP="00DC3ED7">
      <w:pPr>
        <w:autoSpaceDE w:val="0"/>
        <w:autoSpaceDN w:val="0"/>
        <w:adjustRightInd w:val="0"/>
        <w:spacing w:after="0" w:line="360" w:lineRule="auto"/>
        <w:jc w:val="both"/>
        <w:rPr>
          <w:rFonts w:ascii="Arial" w:hAnsi="Arial" w:cs="Arial"/>
          <w:i/>
          <w:sz w:val="20"/>
          <w:szCs w:val="20"/>
        </w:rPr>
      </w:pPr>
    </w:p>
    <w:p w:rsidR="00791425" w:rsidRPr="00C02968" w:rsidRDefault="00791425" w:rsidP="00C02968">
      <w:pPr>
        <w:autoSpaceDE w:val="0"/>
        <w:autoSpaceDN w:val="0"/>
        <w:adjustRightInd w:val="0"/>
        <w:spacing w:after="0" w:line="360" w:lineRule="auto"/>
        <w:ind w:left="2160" w:hanging="720"/>
        <w:jc w:val="both"/>
        <w:rPr>
          <w:rFonts w:ascii="Arial" w:hAnsi="Arial" w:cs="Arial"/>
          <w:i/>
          <w:sz w:val="20"/>
          <w:szCs w:val="20"/>
        </w:rPr>
      </w:pPr>
      <w:r w:rsidRPr="00C02968">
        <w:rPr>
          <w:rFonts w:ascii="Arial" w:hAnsi="Arial" w:cs="Arial"/>
          <w:i/>
          <w:sz w:val="20"/>
          <w:szCs w:val="20"/>
        </w:rPr>
        <w:t>[18]</w:t>
      </w:r>
      <w:r w:rsidR="00C02968" w:rsidRPr="00C02968">
        <w:rPr>
          <w:rFonts w:ascii="Arial" w:hAnsi="Arial" w:cs="Arial"/>
          <w:i/>
          <w:sz w:val="20"/>
          <w:szCs w:val="20"/>
        </w:rPr>
        <w:tab/>
      </w:r>
      <w:r w:rsidRPr="00C02968">
        <w:rPr>
          <w:rFonts w:ascii="Arial" w:hAnsi="Arial" w:cs="Arial"/>
          <w:i/>
          <w:sz w:val="20"/>
          <w:szCs w:val="20"/>
        </w:rPr>
        <w:t>The first respondent’s argument on this issue faces a fundamental difficulty.</w:t>
      </w:r>
      <w:r w:rsidR="003B4C6F" w:rsidRPr="00C02968">
        <w:rPr>
          <w:rFonts w:ascii="Arial" w:hAnsi="Arial" w:cs="Arial"/>
          <w:i/>
          <w:sz w:val="20"/>
          <w:szCs w:val="20"/>
        </w:rPr>
        <w:t xml:space="preserve"> </w:t>
      </w:r>
      <w:r w:rsidRPr="00C02968">
        <w:rPr>
          <w:rFonts w:ascii="Arial" w:hAnsi="Arial" w:cs="Arial"/>
          <w:i/>
          <w:sz w:val="20"/>
          <w:szCs w:val="20"/>
        </w:rPr>
        <w:t xml:space="preserve">The decision in </w:t>
      </w:r>
      <w:r w:rsidRPr="00C02968">
        <w:rPr>
          <w:rFonts w:ascii="Arial" w:hAnsi="Arial" w:cs="Arial"/>
          <w:i/>
          <w:iCs/>
          <w:sz w:val="20"/>
          <w:szCs w:val="20"/>
        </w:rPr>
        <w:t>SA Eagle Insurance Co Ltd v Bavuma</w:t>
      </w:r>
      <w:r w:rsidRPr="00C02968">
        <w:rPr>
          <w:rFonts w:ascii="Arial" w:hAnsi="Arial" w:cs="Arial"/>
          <w:i/>
          <w:sz w:val="20"/>
          <w:szCs w:val="20"/>
        </w:rPr>
        <w:t>,</w:t>
      </w:r>
      <w:r w:rsidRPr="00C02968">
        <w:rPr>
          <w:rFonts w:ascii="Arial" w:hAnsi="Arial" w:cs="Arial"/>
          <w:i/>
          <w:iCs/>
          <w:sz w:val="20"/>
          <w:szCs w:val="20"/>
        </w:rPr>
        <w:t xml:space="preserve"> </w:t>
      </w:r>
      <w:r w:rsidRPr="00C02968">
        <w:rPr>
          <w:rFonts w:ascii="Arial" w:hAnsi="Arial" w:cs="Arial"/>
          <w:i/>
          <w:sz w:val="20"/>
          <w:szCs w:val="20"/>
        </w:rPr>
        <w:t>referred to as authority for</w:t>
      </w:r>
      <w:r w:rsidR="003B4C6F" w:rsidRPr="00C02968">
        <w:rPr>
          <w:rFonts w:ascii="Arial" w:hAnsi="Arial" w:cs="Arial"/>
          <w:i/>
          <w:sz w:val="20"/>
          <w:szCs w:val="20"/>
        </w:rPr>
        <w:t xml:space="preserve"> </w:t>
      </w:r>
      <w:r w:rsidRPr="00C02968">
        <w:rPr>
          <w:rFonts w:ascii="Arial" w:hAnsi="Arial" w:cs="Arial"/>
          <w:i/>
          <w:sz w:val="20"/>
          <w:szCs w:val="20"/>
        </w:rPr>
        <w:t xml:space="preserve">the proposition in the dictum in </w:t>
      </w:r>
      <w:r w:rsidRPr="00C02968">
        <w:rPr>
          <w:rFonts w:ascii="Arial" w:hAnsi="Arial" w:cs="Arial"/>
          <w:i/>
          <w:iCs/>
          <w:sz w:val="20"/>
          <w:szCs w:val="20"/>
        </w:rPr>
        <w:t xml:space="preserve">Millennium Waste Management </w:t>
      </w:r>
      <w:r w:rsidRPr="00C02968">
        <w:rPr>
          <w:rFonts w:ascii="Arial" w:hAnsi="Arial" w:cs="Arial"/>
          <w:i/>
          <w:sz w:val="20"/>
          <w:szCs w:val="20"/>
        </w:rPr>
        <w:t>quoted above that</w:t>
      </w:r>
      <w:r w:rsidR="003B4C6F" w:rsidRPr="00C02968">
        <w:rPr>
          <w:rFonts w:ascii="Arial" w:hAnsi="Arial" w:cs="Arial"/>
          <w:i/>
          <w:sz w:val="20"/>
          <w:szCs w:val="20"/>
        </w:rPr>
        <w:t xml:space="preserve"> </w:t>
      </w:r>
      <w:r w:rsidRPr="00C02968">
        <w:rPr>
          <w:rFonts w:ascii="Arial" w:hAnsi="Arial" w:cs="Arial"/>
          <w:i/>
          <w:sz w:val="20"/>
          <w:szCs w:val="20"/>
        </w:rPr>
        <w:t>condonation can be granted where it is not inconsistent with public policy,</w:t>
      </w:r>
      <w:r w:rsidR="003B4C6F" w:rsidRPr="00C02968">
        <w:rPr>
          <w:rFonts w:ascii="Arial" w:hAnsi="Arial" w:cs="Arial"/>
          <w:i/>
          <w:sz w:val="20"/>
          <w:szCs w:val="20"/>
        </w:rPr>
        <w:t xml:space="preserve"> </w:t>
      </w:r>
      <w:r w:rsidRPr="00C02968">
        <w:rPr>
          <w:rFonts w:ascii="Arial" w:hAnsi="Arial" w:cs="Arial"/>
          <w:i/>
          <w:sz w:val="20"/>
          <w:szCs w:val="20"/>
        </w:rPr>
        <w:t>related to a statutory provision enacted for the specific benefit of an individual or</w:t>
      </w:r>
      <w:r w:rsidR="003B4C6F" w:rsidRPr="00C02968">
        <w:rPr>
          <w:rFonts w:ascii="Arial" w:hAnsi="Arial" w:cs="Arial"/>
          <w:i/>
          <w:sz w:val="20"/>
          <w:szCs w:val="20"/>
        </w:rPr>
        <w:t xml:space="preserve"> </w:t>
      </w:r>
      <w:r w:rsidRPr="00C02968">
        <w:rPr>
          <w:rFonts w:ascii="Arial" w:hAnsi="Arial" w:cs="Arial"/>
          <w:i/>
          <w:sz w:val="20"/>
          <w:szCs w:val="20"/>
        </w:rPr>
        <w:t>body. It was held that such a benefit may be waived by that individual or body</w:t>
      </w:r>
      <w:r w:rsidR="003B4C6F" w:rsidRPr="00C02968">
        <w:rPr>
          <w:rFonts w:ascii="Arial" w:hAnsi="Arial" w:cs="Arial"/>
          <w:i/>
          <w:sz w:val="20"/>
          <w:szCs w:val="20"/>
        </w:rPr>
        <w:t xml:space="preserve"> </w:t>
      </w:r>
      <w:r w:rsidRPr="00C02968">
        <w:rPr>
          <w:rFonts w:ascii="Arial" w:hAnsi="Arial" w:cs="Arial"/>
          <w:i/>
          <w:sz w:val="20"/>
          <w:szCs w:val="20"/>
        </w:rPr>
        <w:t>provided that no public interests were affected thereby and that it was not open to</w:t>
      </w:r>
      <w:r w:rsidR="003B4C6F" w:rsidRPr="00C02968">
        <w:rPr>
          <w:rFonts w:ascii="Arial" w:hAnsi="Arial" w:cs="Arial"/>
          <w:i/>
          <w:sz w:val="20"/>
          <w:szCs w:val="20"/>
        </w:rPr>
        <w:t xml:space="preserve"> </w:t>
      </w:r>
      <w:r w:rsidRPr="00C02968">
        <w:rPr>
          <w:rFonts w:ascii="Arial" w:hAnsi="Arial" w:cs="Arial"/>
          <w:i/>
          <w:sz w:val="20"/>
          <w:szCs w:val="20"/>
        </w:rPr>
        <w:t>another person, whom the statute was not intended to benefit, to insist that the provision be observed. In my view, that does not support the proposition that, if it is</w:t>
      </w:r>
      <w:r w:rsidR="003B4C6F" w:rsidRPr="00C02968">
        <w:rPr>
          <w:rFonts w:ascii="Arial" w:hAnsi="Arial" w:cs="Arial"/>
          <w:i/>
          <w:sz w:val="20"/>
          <w:szCs w:val="20"/>
        </w:rPr>
        <w:t xml:space="preserve"> </w:t>
      </w:r>
      <w:r w:rsidRPr="00C02968">
        <w:rPr>
          <w:rFonts w:ascii="Arial" w:hAnsi="Arial" w:cs="Arial"/>
          <w:i/>
          <w:sz w:val="20"/>
          <w:szCs w:val="20"/>
        </w:rPr>
        <w:t>not inconsistent with public policy, non-compliance with a peremptory requirement of</w:t>
      </w:r>
      <w:r w:rsidR="003B4C6F" w:rsidRPr="00C02968">
        <w:rPr>
          <w:rFonts w:ascii="Arial" w:hAnsi="Arial" w:cs="Arial"/>
          <w:i/>
          <w:sz w:val="20"/>
          <w:szCs w:val="20"/>
        </w:rPr>
        <w:t xml:space="preserve"> </w:t>
      </w:r>
      <w:r w:rsidRPr="00C02968">
        <w:rPr>
          <w:rFonts w:ascii="Arial" w:hAnsi="Arial" w:cs="Arial"/>
          <w:i/>
          <w:sz w:val="20"/>
          <w:szCs w:val="20"/>
        </w:rPr>
        <w:t>a tender can be condoned so that a tender which is ‘unacceptable’ as envisaged by</w:t>
      </w:r>
      <w:r w:rsidR="003B4C6F" w:rsidRPr="00C02968">
        <w:rPr>
          <w:rFonts w:ascii="Arial" w:hAnsi="Arial" w:cs="Arial"/>
          <w:i/>
          <w:sz w:val="20"/>
          <w:szCs w:val="20"/>
        </w:rPr>
        <w:t xml:space="preserve"> </w:t>
      </w:r>
      <w:r w:rsidRPr="00C02968">
        <w:rPr>
          <w:rFonts w:ascii="Arial" w:hAnsi="Arial" w:cs="Arial"/>
          <w:i/>
          <w:sz w:val="20"/>
          <w:szCs w:val="20"/>
        </w:rPr>
        <w:t>the Procurement Act may be accepted. Not only is such a proposition inconsistent</w:t>
      </w:r>
      <w:r w:rsidR="003B4C6F" w:rsidRPr="00C02968">
        <w:rPr>
          <w:rFonts w:ascii="Arial" w:hAnsi="Arial" w:cs="Arial"/>
          <w:i/>
          <w:sz w:val="20"/>
          <w:szCs w:val="20"/>
        </w:rPr>
        <w:t xml:space="preserve"> </w:t>
      </w:r>
      <w:r w:rsidRPr="00C02968">
        <w:rPr>
          <w:rFonts w:ascii="Arial" w:hAnsi="Arial" w:cs="Arial"/>
          <w:i/>
          <w:sz w:val="20"/>
          <w:szCs w:val="20"/>
        </w:rPr>
        <w:t xml:space="preserve">with the decision of this court in </w:t>
      </w:r>
      <w:r w:rsidRPr="00C02968">
        <w:rPr>
          <w:rFonts w:ascii="Arial" w:hAnsi="Arial" w:cs="Arial"/>
          <w:i/>
          <w:iCs/>
          <w:sz w:val="20"/>
          <w:szCs w:val="20"/>
        </w:rPr>
        <w:t xml:space="preserve">Pepper Bay </w:t>
      </w:r>
      <w:r w:rsidRPr="00C02968">
        <w:rPr>
          <w:rFonts w:ascii="Arial" w:hAnsi="Arial" w:cs="Arial"/>
          <w:i/>
          <w:sz w:val="20"/>
          <w:szCs w:val="20"/>
        </w:rPr>
        <w:t xml:space="preserve">– a decision regularly followed </w:t>
      </w:r>
      <w:r w:rsidR="006C5113" w:rsidRPr="00C02968">
        <w:rPr>
          <w:rFonts w:ascii="Arial" w:hAnsi="Arial" w:cs="Arial"/>
          <w:i/>
          <w:sz w:val="20"/>
          <w:szCs w:val="20"/>
        </w:rPr>
        <w:t>and approved</w:t>
      </w:r>
      <w:r w:rsidRPr="00C02968">
        <w:rPr>
          <w:rFonts w:ascii="Arial" w:hAnsi="Arial" w:cs="Arial"/>
          <w:i/>
          <w:sz w:val="20"/>
          <w:szCs w:val="20"/>
        </w:rPr>
        <w:t xml:space="preserve">, including in </w:t>
      </w:r>
      <w:r w:rsidRPr="00C02968">
        <w:rPr>
          <w:rFonts w:ascii="Arial" w:hAnsi="Arial" w:cs="Arial"/>
          <w:i/>
          <w:iCs/>
          <w:sz w:val="20"/>
          <w:szCs w:val="20"/>
        </w:rPr>
        <w:t xml:space="preserve">Millennium Waste Management – </w:t>
      </w:r>
      <w:r w:rsidRPr="00C02968">
        <w:rPr>
          <w:rFonts w:ascii="Arial" w:hAnsi="Arial" w:cs="Arial"/>
          <w:i/>
          <w:sz w:val="20"/>
          <w:szCs w:val="20"/>
        </w:rPr>
        <w:t>but it also offends the</w:t>
      </w:r>
      <w:r w:rsidR="003B4C6F" w:rsidRPr="00C02968">
        <w:rPr>
          <w:rFonts w:ascii="Arial" w:hAnsi="Arial" w:cs="Arial"/>
          <w:i/>
          <w:sz w:val="20"/>
          <w:szCs w:val="20"/>
        </w:rPr>
        <w:t xml:space="preserve"> </w:t>
      </w:r>
      <w:r w:rsidRPr="00C02968">
        <w:rPr>
          <w:rFonts w:ascii="Arial" w:hAnsi="Arial" w:cs="Arial"/>
          <w:i/>
          <w:sz w:val="20"/>
          <w:szCs w:val="20"/>
        </w:rPr>
        <w:t xml:space="preserve">principle of legality, as emphasised by this court in </w:t>
      </w:r>
      <w:r w:rsidRPr="00C02968">
        <w:rPr>
          <w:rFonts w:ascii="Arial" w:hAnsi="Arial" w:cs="Arial"/>
          <w:i/>
          <w:iCs/>
          <w:sz w:val="20"/>
          <w:szCs w:val="20"/>
        </w:rPr>
        <w:t xml:space="preserve">Sapela Electronics. </w:t>
      </w:r>
      <w:r w:rsidRPr="00C02968">
        <w:rPr>
          <w:rFonts w:ascii="Arial" w:hAnsi="Arial" w:cs="Arial"/>
          <w:i/>
          <w:sz w:val="20"/>
          <w:szCs w:val="20"/>
        </w:rPr>
        <w:t>Accordingly,</w:t>
      </w:r>
      <w:r w:rsidR="003B4C6F" w:rsidRPr="00C02968">
        <w:rPr>
          <w:rFonts w:ascii="Arial" w:hAnsi="Arial" w:cs="Arial"/>
          <w:i/>
          <w:sz w:val="20"/>
          <w:szCs w:val="20"/>
        </w:rPr>
        <w:t xml:space="preserve"> </w:t>
      </w:r>
      <w:r w:rsidRPr="00C02968">
        <w:rPr>
          <w:rFonts w:ascii="Arial" w:hAnsi="Arial" w:cs="Arial"/>
          <w:i/>
          <w:sz w:val="20"/>
          <w:szCs w:val="20"/>
        </w:rPr>
        <w:t xml:space="preserve">in my respectful view, insofar as the judgment in </w:t>
      </w:r>
      <w:r w:rsidRPr="00C02968">
        <w:rPr>
          <w:rFonts w:ascii="Arial" w:hAnsi="Arial" w:cs="Arial"/>
          <w:i/>
          <w:iCs/>
          <w:sz w:val="20"/>
          <w:szCs w:val="20"/>
        </w:rPr>
        <w:t>Millennium Waste Management</w:t>
      </w:r>
      <w:r w:rsidR="003B4C6F" w:rsidRPr="00C02968">
        <w:rPr>
          <w:rFonts w:ascii="Arial" w:hAnsi="Arial" w:cs="Arial"/>
          <w:i/>
          <w:iCs/>
          <w:sz w:val="20"/>
          <w:szCs w:val="20"/>
        </w:rPr>
        <w:t xml:space="preserve"> </w:t>
      </w:r>
      <w:r w:rsidRPr="00C02968">
        <w:rPr>
          <w:rFonts w:ascii="Arial" w:hAnsi="Arial" w:cs="Arial"/>
          <w:i/>
          <w:sz w:val="20"/>
          <w:szCs w:val="20"/>
        </w:rPr>
        <w:t>may be construed as accepting that a failure to comply with the peremptory</w:t>
      </w:r>
      <w:r w:rsidR="003B4C6F" w:rsidRPr="00C02968">
        <w:rPr>
          <w:rFonts w:ascii="Arial" w:hAnsi="Arial" w:cs="Arial"/>
          <w:i/>
          <w:sz w:val="20"/>
          <w:szCs w:val="20"/>
        </w:rPr>
        <w:t xml:space="preserve"> </w:t>
      </w:r>
      <w:r w:rsidRPr="00C02968">
        <w:rPr>
          <w:rFonts w:ascii="Arial" w:hAnsi="Arial" w:cs="Arial"/>
          <w:i/>
          <w:sz w:val="20"/>
          <w:szCs w:val="20"/>
        </w:rPr>
        <w:t xml:space="preserve">requirement of a tender may be condoned by a municipal functionary who is of </w:t>
      </w:r>
      <w:r w:rsidRPr="00C02968">
        <w:rPr>
          <w:rFonts w:ascii="Arial" w:hAnsi="Arial" w:cs="Arial"/>
          <w:i/>
          <w:sz w:val="20"/>
          <w:szCs w:val="20"/>
        </w:rPr>
        <w:lastRenderedPageBreak/>
        <w:t>the</w:t>
      </w:r>
      <w:r w:rsidR="003B4C6F" w:rsidRPr="00C02968">
        <w:rPr>
          <w:rFonts w:ascii="Arial" w:hAnsi="Arial" w:cs="Arial"/>
          <w:i/>
          <w:sz w:val="20"/>
          <w:szCs w:val="20"/>
        </w:rPr>
        <w:t xml:space="preserve"> </w:t>
      </w:r>
      <w:r w:rsidRPr="00C02968">
        <w:rPr>
          <w:rFonts w:ascii="Arial" w:hAnsi="Arial" w:cs="Arial"/>
          <w:i/>
          <w:sz w:val="20"/>
          <w:szCs w:val="20"/>
        </w:rPr>
        <w:t>view that it would be in the public interest for such tender to be accepted, it should</w:t>
      </w:r>
      <w:r w:rsidR="003B4C6F" w:rsidRPr="00C02968">
        <w:rPr>
          <w:rFonts w:ascii="Arial" w:hAnsi="Arial" w:cs="Arial"/>
          <w:i/>
          <w:sz w:val="20"/>
          <w:szCs w:val="20"/>
        </w:rPr>
        <w:t xml:space="preserve"> </w:t>
      </w:r>
      <w:r w:rsidRPr="00C02968">
        <w:rPr>
          <w:rFonts w:ascii="Arial" w:hAnsi="Arial" w:cs="Arial"/>
          <w:i/>
          <w:sz w:val="20"/>
          <w:szCs w:val="20"/>
        </w:rPr>
        <w:t>be regarded as incorrect.</w:t>
      </w:r>
      <w:r w:rsidR="003B4C6F" w:rsidRPr="00C02968">
        <w:rPr>
          <w:rFonts w:ascii="Arial" w:hAnsi="Arial" w:cs="Arial"/>
          <w:i/>
          <w:sz w:val="20"/>
          <w:szCs w:val="20"/>
        </w:rPr>
        <w:t>’</w:t>
      </w:r>
    </w:p>
    <w:p w:rsidR="00791425" w:rsidRPr="00C02968" w:rsidRDefault="00791425" w:rsidP="00DC3ED7">
      <w:pPr>
        <w:spacing w:after="0" w:line="360" w:lineRule="auto"/>
        <w:ind w:left="720" w:hanging="720"/>
        <w:jc w:val="both"/>
        <w:rPr>
          <w:rFonts w:ascii="Arial" w:hAnsi="Arial" w:cs="Arial"/>
          <w:i/>
          <w:sz w:val="24"/>
          <w:szCs w:val="24"/>
        </w:rPr>
      </w:pPr>
    </w:p>
    <w:p w:rsidR="00791425" w:rsidRPr="00C02968" w:rsidRDefault="00791425" w:rsidP="006B2FE5">
      <w:pPr>
        <w:spacing w:after="0" w:line="360" w:lineRule="auto"/>
        <w:ind w:left="720" w:hanging="720"/>
        <w:jc w:val="both"/>
        <w:rPr>
          <w:rFonts w:ascii="Arial" w:hAnsi="Arial" w:cs="Arial"/>
          <w:sz w:val="24"/>
          <w:szCs w:val="24"/>
        </w:rPr>
      </w:pPr>
      <w:r w:rsidRPr="00C02968">
        <w:rPr>
          <w:rFonts w:ascii="Arial" w:hAnsi="Arial" w:cs="Arial"/>
          <w:sz w:val="24"/>
          <w:szCs w:val="24"/>
        </w:rPr>
        <w:t xml:space="preserve">             </w:t>
      </w:r>
    </w:p>
    <w:p w:rsidR="00E70A55" w:rsidRPr="00C02968" w:rsidRDefault="00BC7096" w:rsidP="00DC3ED7">
      <w:pPr>
        <w:spacing w:after="360" w:line="360" w:lineRule="auto"/>
        <w:ind w:left="709" w:hanging="709"/>
        <w:jc w:val="both"/>
        <w:rPr>
          <w:rFonts w:ascii="Arial" w:hAnsi="Arial" w:cs="Arial"/>
          <w:i/>
          <w:iCs/>
          <w:sz w:val="24"/>
          <w:szCs w:val="24"/>
        </w:rPr>
      </w:pPr>
      <w:r w:rsidRPr="00C02968">
        <w:rPr>
          <w:rFonts w:ascii="Arial" w:hAnsi="Arial" w:cs="Arial"/>
          <w:sz w:val="24"/>
          <w:szCs w:val="24"/>
        </w:rPr>
        <w:t>[1</w:t>
      </w:r>
      <w:r w:rsidR="00DC3ED7" w:rsidRPr="00C02968">
        <w:rPr>
          <w:rFonts w:ascii="Arial" w:hAnsi="Arial" w:cs="Arial"/>
          <w:sz w:val="24"/>
          <w:szCs w:val="24"/>
        </w:rPr>
        <w:t>4</w:t>
      </w:r>
      <w:r w:rsidR="006C5113" w:rsidRPr="00C02968">
        <w:rPr>
          <w:rFonts w:ascii="Arial" w:hAnsi="Arial" w:cs="Arial"/>
          <w:sz w:val="24"/>
          <w:szCs w:val="24"/>
        </w:rPr>
        <w:t xml:space="preserve">] </w:t>
      </w:r>
      <w:r w:rsidR="006C5113" w:rsidRPr="00C02968">
        <w:rPr>
          <w:rFonts w:ascii="Arial" w:hAnsi="Arial" w:cs="Arial"/>
          <w:sz w:val="24"/>
          <w:szCs w:val="24"/>
        </w:rPr>
        <w:tab/>
      </w:r>
      <w:r w:rsidR="000A443B" w:rsidRPr="00C02968">
        <w:rPr>
          <w:rFonts w:ascii="Arial" w:hAnsi="Arial" w:cs="Arial"/>
          <w:sz w:val="24"/>
          <w:szCs w:val="24"/>
        </w:rPr>
        <w:t xml:space="preserve">Having regard to the tender </w:t>
      </w:r>
      <w:r w:rsidR="003B4C6F" w:rsidRPr="00C02968">
        <w:rPr>
          <w:rFonts w:ascii="Arial" w:hAnsi="Arial" w:cs="Arial"/>
          <w:sz w:val="24"/>
          <w:szCs w:val="24"/>
        </w:rPr>
        <w:t xml:space="preserve">documents and bids </w:t>
      </w:r>
      <w:r w:rsidR="006C5113" w:rsidRPr="00C02968">
        <w:rPr>
          <w:rFonts w:ascii="Arial" w:hAnsi="Arial" w:cs="Arial"/>
          <w:sz w:val="24"/>
          <w:szCs w:val="24"/>
        </w:rPr>
        <w:t>submitted it</w:t>
      </w:r>
      <w:r w:rsidR="00D7308B" w:rsidRPr="00C02968">
        <w:rPr>
          <w:rFonts w:ascii="Arial" w:hAnsi="Arial" w:cs="Arial"/>
          <w:sz w:val="24"/>
          <w:szCs w:val="24"/>
        </w:rPr>
        <w:t xml:space="preserve"> is clear</w:t>
      </w:r>
      <w:r w:rsidR="000A443B" w:rsidRPr="00C02968">
        <w:rPr>
          <w:rFonts w:ascii="Arial" w:hAnsi="Arial" w:cs="Arial"/>
          <w:sz w:val="24"/>
          <w:szCs w:val="24"/>
        </w:rPr>
        <w:t xml:space="preserve"> that Fezi misunderstood the requirements of the tender hence its non- responsive pricing. </w:t>
      </w:r>
      <w:r w:rsidR="00D7308B" w:rsidRPr="00C02968">
        <w:rPr>
          <w:rFonts w:ascii="Arial" w:hAnsi="Arial" w:cs="Arial"/>
          <w:sz w:val="24"/>
          <w:szCs w:val="24"/>
        </w:rPr>
        <w:t xml:space="preserve">Fezi </w:t>
      </w:r>
      <w:r w:rsidR="000A443B" w:rsidRPr="00C02968">
        <w:rPr>
          <w:rFonts w:ascii="Arial" w:hAnsi="Arial" w:cs="Arial"/>
          <w:sz w:val="24"/>
          <w:szCs w:val="24"/>
        </w:rPr>
        <w:t>has failed to meet</w:t>
      </w:r>
      <w:r w:rsidR="003B4C6F" w:rsidRPr="00C02968">
        <w:rPr>
          <w:rFonts w:ascii="Arial" w:hAnsi="Arial" w:cs="Arial"/>
          <w:sz w:val="24"/>
          <w:szCs w:val="24"/>
        </w:rPr>
        <w:t xml:space="preserve"> the set</w:t>
      </w:r>
      <w:r w:rsidR="000A443B" w:rsidRPr="00C02968">
        <w:rPr>
          <w:rFonts w:ascii="Arial" w:hAnsi="Arial" w:cs="Arial"/>
          <w:sz w:val="24"/>
          <w:szCs w:val="24"/>
        </w:rPr>
        <w:t xml:space="preserve"> pre-qualifying criteria</w:t>
      </w:r>
      <w:r w:rsidR="00D7308B" w:rsidRPr="00C02968">
        <w:rPr>
          <w:rFonts w:ascii="Arial" w:hAnsi="Arial" w:cs="Arial"/>
          <w:sz w:val="24"/>
          <w:szCs w:val="24"/>
        </w:rPr>
        <w:t xml:space="preserve"> and its bid was thus</w:t>
      </w:r>
      <w:r w:rsidR="000A443B" w:rsidRPr="00C02968">
        <w:rPr>
          <w:rFonts w:ascii="Arial" w:hAnsi="Arial" w:cs="Arial"/>
          <w:sz w:val="24"/>
          <w:szCs w:val="24"/>
        </w:rPr>
        <w:t xml:space="preserve"> correctly</w:t>
      </w:r>
      <w:r w:rsidR="00D7308B" w:rsidRPr="00C02968">
        <w:rPr>
          <w:rFonts w:ascii="Arial" w:hAnsi="Arial" w:cs="Arial"/>
          <w:sz w:val="24"/>
          <w:szCs w:val="24"/>
        </w:rPr>
        <w:t xml:space="preserve"> rejected. There was nothing ambiguous with what bidders had to comply with. Makomota submitted a bid that is in compliance with the set requirements. The application ought to fail. There is no reason to deviate from </w:t>
      </w:r>
      <w:r w:rsidR="003B4C6F" w:rsidRPr="00C02968">
        <w:rPr>
          <w:rFonts w:ascii="Arial" w:hAnsi="Arial" w:cs="Arial"/>
          <w:sz w:val="24"/>
          <w:szCs w:val="24"/>
        </w:rPr>
        <w:t xml:space="preserve">the general rule that costs follow the event. </w:t>
      </w:r>
    </w:p>
    <w:p w:rsidR="00C0166D" w:rsidRPr="00C02968" w:rsidRDefault="00C0166D" w:rsidP="006B2FE5">
      <w:pPr>
        <w:spacing w:after="0" w:line="360" w:lineRule="auto"/>
        <w:jc w:val="both"/>
        <w:rPr>
          <w:rFonts w:ascii="Arial" w:hAnsi="Arial" w:cs="Arial"/>
          <w:sz w:val="24"/>
          <w:szCs w:val="24"/>
          <w:lang w:val="en-US"/>
        </w:rPr>
      </w:pPr>
    </w:p>
    <w:p w:rsidR="00D7308B" w:rsidRPr="00C02968" w:rsidRDefault="00BC7096" w:rsidP="00D7308B">
      <w:pPr>
        <w:spacing w:after="360" w:line="360" w:lineRule="auto"/>
        <w:jc w:val="both"/>
        <w:rPr>
          <w:rFonts w:ascii="Arial" w:hAnsi="Arial" w:cs="Arial"/>
          <w:sz w:val="24"/>
          <w:szCs w:val="24"/>
        </w:rPr>
      </w:pPr>
      <w:r w:rsidRPr="00C02968">
        <w:rPr>
          <w:rFonts w:ascii="Arial" w:hAnsi="Arial" w:cs="Arial"/>
          <w:sz w:val="24"/>
          <w:szCs w:val="24"/>
          <w:lang w:val="en-US"/>
        </w:rPr>
        <w:t>[1</w:t>
      </w:r>
      <w:r w:rsidR="00DC3ED7" w:rsidRPr="00C02968">
        <w:rPr>
          <w:rFonts w:ascii="Arial" w:hAnsi="Arial" w:cs="Arial"/>
          <w:sz w:val="24"/>
          <w:szCs w:val="24"/>
          <w:lang w:val="en-US"/>
        </w:rPr>
        <w:t>5</w:t>
      </w:r>
      <w:r w:rsidR="00CE53BD" w:rsidRPr="00C02968">
        <w:rPr>
          <w:rFonts w:ascii="Arial" w:hAnsi="Arial" w:cs="Arial"/>
          <w:sz w:val="24"/>
          <w:szCs w:val="24"/>
          <w:lang w:val="en-US"/>
        </w:rPr>
        <w:t>]</w:t>
      </w:r>
      <w:r w:rsidR="00210A0A" w:rsidRPr="00C02968">
        <w:rPr>
          <w:rFonts w:ascii="Arial" w:hAnsi="Arial" w:cs="Arial"/>
          <w:sz w:val="24"/>
          <w:szCs w:val="24"/>
          <w:lang w:val="en-US"/>
        </w:rPr>
        <w:tab/>
      </w:r>
      <w:r w:rsidR="00D7308B" w:rsidRPr="00C02968">
        <w:rPr>
          <w:rFonts w:ascii="Arial" w:hAnsi="Arial" w:cs="Arial"/>
          <w:sz w:val="24"/>
          <w:szCs w:val="24"/>
          <w:lang w:val="en-US"/>
        </w:rPr>
        <w:t xml:space="preserve">Therefore the following order is made: </w:t>
      </w:r>
    </w:p>
    <w:p w:rsidR="00C0166D" w:rsidRPr="00C02968" w:rsidRDefault="00D7308B" w:rsidP="00D7308B">
      <w:pPr>
        <w:spacing w:line="360" w:lineRule="auto"/>
        <w:ind w:left="709" w:hanging="709"/>
        <w:jc w:val="both"/>
        <w:rPr>
          <w:rFonts w:ascii="Arial" w:hAnsi="Arial" w:cs="Arial"/>
          <w:sz w:val="24"/>
          <w:szCs w:val="24"/>
        </w:rPr>
      </w:pPr>
      <w:r w:rsidRPr="00C02968">
        <w:rPr>
          <w:rFonts w:ascii="Arial" w:hAnsi="Arial" w:cs="Arial"/>
          <w:sz w:val="24"/>
          <w:szCs w:val="24"/>
        </w:rPr>
        <w:t xml:space="preserve">           </w:t>
      </w:r>
      <w:r w:rsidR="00E12360" w:rsidRPr="00C02968">
        <w:rPr>
          <w:rFonts w:ascii="Arial" w:hAnsi="Arial" w:cs="Arial"/>
          <w:sz w:val="24"/>
          <w:szCs w:val="24"/>
        </w:rPr>
        <w:tab/>
        <w:t>1.</w:t>
      </w:r>
      <w:r w:rsidR="00E12360" w:rsidRPr="00C02968">
        <w:rPr>
          <w:rFonts w:ascii="Arial" w:hAnsi="Arial" w:cs="Arial"/>
          <w:sz w:val="24"/>
          <w:szCs w:val="24"/>
        </w:rPr>
        <w:tab/>
      </w:r>
      <w:r w:rsidRPr="00C02968">
        <w:rPr>
          <w:rFonts w:ascii="Arial" w:hAnsi="Arial" w:cs="Arial"/>
          <w:sz w:val="24"/>
          <w:szCs w:val="24"/>
        </w:rPr>
        <w:t xml:space="preserve"> The application is dismissed with costs</w:t>
      </w:r>
      <w:r w:rsidR="00E12360" w:rsidRPr="00C02968">
        <w:rPr>
          <w:rFonts w:ascii="Arial" w:hAnsi="Arial" w:cs="Arial"/>
          <w:sz w:val="24"/>
          <w:szCs w:val="24"/>
        </w:rPr>
        <w:t>.</w:t>
      </w:r>
    </w:p>
    <w:p w:rsidR="003B4C6F" w:rsidRPr="00C02968" w:rsidRDefault="003B4C6F" w:rsidP="00D7308B">
      <w:pPr>
        <w:spacing w:line="360" w:lineRule="auto"/>
        <w:ind w:left="709" w:hanging="709"/>
        <w:jc w:val="both"/>
        <w:rPr>
          <w:rFonts w:ascii="Arial" w:hAnsi="Arial" w:cs="Arial"/>
          <w:sz w:val="24"/>
          <w:szCs w:val="24"/>
          <w:lang w:val="en-US"/>
        </w:rPr>
      </w:pPr>
      <w:r w:rsidRPr="00C02968">
        <w:rPr>
          <w:rFonts w:ascii="Arial" w:hAnsi="Arial" w:cs="Arial"/>
          <w:sz w:val="24"/>
          <w:szCs w:val="24"/>
        </w:rPr>
        <w:t xml:space="preserve">           </w:t>
      </w:r>
      <w:r w:rsidR="00E12360" w:rsidRPr="00C02968">
        <w:rPr>
          <w:rFonts w:ascii="Arial" w:hAnsi="Arial" w:cs="Arial"/>
          <w:sz w:val="24"/>
          <w:szCs w:val="24"/>
        </w:rPr>
        <w:tab/>
        <w:t>2.</w:t>
      </w:r>
      <w:r w:rsidR="00E12360" w:rsidRPr="00C02968">
        <w:rPr>
          <w:rFonts w:ascii="Arial" w:hAnsi="Arial" w:cs="Arial"/>
          <w:sz w:val="24"/>
          <w:szCs w:val="24"/>
        </w:rPr>
        <w:tab/>
      </w:r>
      <w:r w:rsidRPr="00C02968">
        <w:rPr>
          <w:rFonts w:ascii="Arial" w:hAnsi="Arial" w:cs="Arial"/>
          <w:sz w:val="24"/>
          <w:szCs w:val="24"/>
        </w:rPr>
        <w:t xml:space="preserve"> Costs to include that of counsel</w:t>
      </w:r>
    </w:p>
    <w:p w:rsidR="00D30D55" w:rsidRPr="00C02968" w:rsidRDefault="00D30D55"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color w:val="auto"/>
          <w:sz w:val="24"/>
          <w:szCs w:val="24"/>
        </w:rPr>
      </w:pPr>
      <w:r w:rsidRPr="00C02968">
        <w:rPr>
          <w:rFonts w:ascii="Arial" w:hAnsi="Arial"/>
          <w:color w:val="auto"/>
          <w:sz w:val="24"/>
          <w:szCs w:val="24"/>
        </w:rPr>
        <w:t>_________</w:t>
      </w:r>
      <w:r w:rsidR="00DC3ED7" w:rsidRPr="00C02968">
        <w:rPr>
          <w:rFonts w:ascii="Arial" w:hAnsi="Arial"/>
          <w:color w:val="auto"/>
          <w:sz w:val="24"/>
          <w:szCs w:val="24"/>
        </w:rPr>
        <w:t>________</w:t>
      </w:r>
    </w:p>
    <w:p w:rsidR="00D30D55" w:rsidRPr="00C02968" w:rsidRDefault="00D34925"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color w:val="auto"/>
          <w:sz w:val="24"/>
          <w:szCs w:val="24"/>
        </w:rPr>
      </w:pPr>
      <w:r w:rsidRPr="00C02968">
        <w:rPr>
          <w:rFonts w:ascii="Arial" w:hAnsi="Arial"/>
          <w:b/>
          <w:bCs/>
          <w:color w:val="auto"/>
          <w:sz w:val="24"/>
          <w:szCs w:val="24"/>
        </w:rPr>
        <w:t>N</w:t>
      </w:r>
      <w:r w:rsidR="00D30D55" w:rsidRPr="00C02968">
        <w:rPr>
          <w:rFonts w:ascii="Arial" w:hAnsi="Arial"/>
          <w:b/>
          <w:bCs/>
          <w:color w:val="auto"/>
          <w:sz w:val="24"/>
          <w:szCs w:val="24"/>
        </w:rPr>
        <w:t>.</w:t>
      </w:r>
      <w:r w:rsidRPr="00C02968">
        <w:rPr>
          <w:rFonts w:ascii="Arial" w:hAnsi="Arial"/>
          <w:b/>
          <w:bCs/>
          <w:color w:val="auto"/>
          <w:sz w:val="24"/>
          <w:szCs w:val="24"/>
        </w:rPr>
        <w:t>M</w:t>
      </w:r>
      <w:r w:rsidR="00D30D55" w:rsidRPr="00C02968">
        <w:rPr>
          <w:rFonts w:ascii="Arial" w:hAnsi="Arial"/>
          <w:b/>
          <w:bCs/>
          <w:color w:val="auto"/>
          <w:sz w:val="24"/>
          <w:szCs w:val="24"/>
        </w:rPr>
        <w:t>. M</w:t>
      </w:r>
      <w:r w:rsidRPr="00C02968">
        <w:rPr>
          <w:rFonts w:ascii="Arial" w:hAnsi="Arial"/>
          <w:b/>
          <w:bCs/>
          <w:color w:val="auto"/>
          <w:sz w:val="24"/>
          <w:szCs w:val="24"/>
        </w:rPr>
        <w:t>BHELE</w:t>
      </w:r>
      <w:r w:rsidR="00D30D55" w:rsidRPr="00C02968">
        <w:rPr>
          <w:rFonts w:ascii="Arial" w:hAnsi="Arial"/>
          <w:b/>
          <w:bCs/>
          <w:color w:val="auto"/>
          <w:sz w:val="24"/>
          <w:szCs w:val="24"/>
        </w:rPr>
        <w:t xml:space="preserve">, </w:t>
      </w:r>
      <w:r w:rsidR="001F01C0" w:rsidRPr="00C02968">
        <w:rPr>
          <w:rFonts w:ascii="Arial" w:hAnsi="Arial"/>
          <w:b/>
          <w:bCs/>
          <w:color w:val="auto"/>
          <w:sz w:val="24"/>
          <w:szCs w:val="24"/>
        </w:rPr>
        <w:t>D</w:t>
      </w:r>
      <w:r w:rsidR="00D30D55" w:rsidRPr="00C02968">
        <w:rPr>
          <w:rFonts w:ascii="Arial" w:hAnsi="Arial"/>
          <w:b/>
          <w:bCs/>
          <w:color w:val="auto"/>
          <w:sz w:val="24"/>
          <w:szCs w:val="24"/>
        </w:rPr>
        <w:t>JP</w:t>
      </w:r>
    </w:p>
    <w:p w:rsidR="00717F87" w:rsidRPr="00C02968" w:rsidRDefault="00717F87" w:rsidP="00D30D55">
      <w:pPr>
        <w:rPr>
          <w:rFonts w:ascii="Arial" w:hAnsi="Arial" w:cs="Arial"/>
          <w:sz w:val="24"/>
          <w:szCs w:val="24"/>
        </w:rPr>
      </w:pPr>
    </w:p>
    <w:p w:rsidR="00D30D55" w:rsidRPr="00C02968" w:rsidRDefault="00717F87" w:rsidP="00DC3ED7">
      <w:pPr>
        <w:ind w:firstLine="709"/>
        <w:rPr>
          <w:rFonts w:ascii="Arial" w:hAnsi="Arial" w:cs="Arial"/>
          <w:sz w:val="24"/>
          <w:szCs w:val="24"/>
        </w:rPr>
      </w:pPr>
      <w:r w:rsidRPr="00C02968">
        <w:rPr>
          <w:rFonts w:ascii="Arial" w:hAnsi="Arial" w:cs="Arial"/>
          <w:sz w:val="24"/>
          <w:szCs w:val="24"/>
        </w:rPr>
        <w:t xml:space="preserve">I concur                                                             </w:t>
      </w:r>
    </w:p>
    <w:p w:rsidR="001913D9" w:rsidRPr="00C02968" w:rsidRDefault="00717F87" w:rsidP="00DC3ED7">
      <w:pPr>
        <w:spacing w:after="0" w:line="240" w:lineRule="auto"/>
        <w:ind w:left="7200" w:hanging="709"/>
        <w:jc w:val="both"/>
        <w:rPr>
          <w:rFonts w:ascii="Arial" w:hAnsi="Arial" w:cs="Arial"/>
          <w:sz w:val="24"/>
          <w:szCs w:val="24"/>
        </w:rPr>
      </w:pPr>
      <w:r w:rsidRPr="00C02968">
        <w:rPr>
          <w:rFonts w:ascii="Arial" w:hAnsi="Arial" w:cs="Arial"/>
          <w:sz w:val="24"/>
          <w:szCs w:val="24"/>
        </w:rPr>
        <w:t xml:space="preserve">                                                                                                  _____________</w:t>
      </w:r>
    </w:p>
    <w:p w:rsidR="00717F87" w:rsidRPr="00C02968" w:rsidRDefault="00717F87" w:rsidP="00DC3ED7">
      <w:pPr>
        <w:pStyle w:val="BodyAAA"/>
        <w:pBdr>
          <w:top w:val="none" w:sz="0" w:space="0" w:color="auto"/>
          <w:left w:val="none" w:sz="0" w:space="0" w:color="auto"/>
          <w:bottom w:val="none" w:sz="0" w:space="0" w:color="auto"/>
          <w:right w:val="none" w:sz="0" w:space="0" w:color="auto"/>
          <w:bar w:val="none" w:sz="0" w:color="auto"/>
        </w:pBdr>
        <w:ind w:left="709" w:hanging="709"/>
        <w:jc w:val="both"/>
        <w:rPr>
          <w:rFonts w:ascii="Arial" w:hAnsi="Arial" w:cs="Arial"/>
          <w:b/>
          <w:bCs/>
          <w:color w:val="auto"/>
          <w:sz w:val="24"/>
          <w:szCs w:val="24"/>
        </w:rPr>
      </w:pP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Pr="00C02968">
        <w:rPr>
          <w:rFonts w:ascii="Arial" w:hAnsi="Arial" w:cs="Arial"/>
          <w:b/>
          <w:bCs/>
          <w:color w:val="auto"/>
          <w:sz w:val="24"/>
          <w:szCs w:val="24"/>
        </w:rPr>
        <w:tab/>
      </w:r>
      <w:r w:rsidR="00DC3ED7" w:rsidRPr="00C02968">
        <w:rPr>
          <w:rFonts w:ascii="Arial" w:hAnsi="Arial" w:cs="Arial"/>
          <w:b/>
          <w:bCs/>
          <w:color w:val="auto"/>
          <w:sz w:val="24"/>
          <w:szCs w:val="24"/>
        </w:rPr>
        <w:tab/>
      </w:r>
      <w:r w:rsidRPr="00C02968">
        <w:rPr>
          <w:rFonts w:ascii="Arial" w:hAnsi="Arial" w:cs="Arial"/>
          <w:b/>
          <w:bCs/>
          <w:color w:val="auto"/>
          <w:sz w:val="24"/>
          <w:szCs w:val="24"/>
        </w:rPr>
        <w:t>N.S. DANISO, J</w:t>
      </w:r>
    </w:p>
    <w:p w:rsidR="00B72CB0" w:rsidRDefault="00B72CB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Cs/>
          <w:color w:val="auto"/>
          <w:sz w:val="24"/>
          <w:szCs w:val="24"/>
        </w:rPr>
      </w:pPr>
    </w:p>
    <w:p w:rsidR="00D30D55" w:rsidRPr="00C02968"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Cs/>
          <w:color w:val="auto"/>
          <w:sz w:val="24"/>
          <w:szCs w:val="24"/>
        </w:rPr>
      </w:pPr>
      <w:r w:rsidRPr="00C02968">
        <w:rPr>
          <w:rFonts w:ascii="Arial" w:hAnsi="Arial" w:cs="Arial"/>
          <w:bCs/>
          <w:color w:val="auto"/>
          <w:sz w:val="24"/>
          <w:szCs w:val="24"/>
        </w:rPr>
        <w:t>Appearances:</w:t>
      </w:r>
    </w:p>
    <w:p w:rsidR="00966EA0" w:rsidRPr="00C02968" w:rsidRDefault="00966E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color w:val="auto"/>
          <w:sz w:val="24"/>
          <w:szCs w:val="24"/>
        </w:rPr>
      </w:pPr>
    </w:p>
    <w:p w:rsidR="00D30D55" w:rsidRPr="00C02968" w:rsidRDefault="00B72CB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Pr>
          <w:rFonts w:ascii="Arial" w:hAnsi="Arial" w:cs="Arial"/>
          <w:color w:val="auto"/>
          <w:sz w:val="24"/>
          <w:szCs w:val="24"/>
        </w:rPr>
        <w:t>Counsel f</w:t>
      </w:r>
      <w:r w:rsidR="00D30D55" w:rsidRPr="00C02968">
        <w:rPr>
          <w:rFonts w:ascii="Arial" w:hAnsi="Arial" w:cs="Arial"/>
          <w:color w:val="auto"/>
          <w:sz w:val="24"/>
          <w:szCs w:val="24"/>
        </w:rPr>
        <w:t xml:space="preserve">or the </w:t>
      </w:r>
      <w:r w:rsidR="00B76A17" w:rsidRPr="00C02968">
        <w:rPr>
          <w:rFonts w:ascii="Arial" w:hAnsi="Arial" w:cs="Arial"/>
          <w:color w:val="auto"/>
          <w:sz w:val="24"/>
          <w:szCs w:val="24"/>
        </w:rPr>
        <w:t>App</w:t>
      </w:r>
      <w:r w:rsidR="00E12360" w:rsidRPr="00C02968">
        <w:rPr>
          <w:rFonts w:ascii="Arial" w:hAnsi="Arial" w:cs="Arial"/>
          <w:color w:val="auto"/>
          <w:sz w:val="24"/>
          <w:szCs w:val="24"/>
        </w:rPr>
        <w:t>licant</w:t>
      </w:r>
      <w:r w:rsidR="00D30D55" w:rsidRPr="00C02968">
        <w:rPr>
          <w:rFonts w:ascii="Arial" w:hAnsi="Arial" w:cs="Arial"/>
          <w:color w:val="auto"/>
          <w:sz w:val="24"/>
          <w:szCs w:val="24"/>
        </w:rPr>
        <w:t>:</w:t>
      </w:r>
      <w:r w:rsidR="00D30D55" w:rsidRPr="00C02968">
        <w:rPr>
          <w:rFonts w:ascii="Arial" w:hAnsi="Arial" w:cs="Arial"/>
          <w:color w:val="auto"/>
          <w:sz w:val="24"/>
          <w:szCs w:val="24"/>
        </w:rPr>
        <w:tab/>
      </w:r>
      <w:r w:rsidR="00E12360" w:rsidRPr="00C02968">
        <w:rPr>
          <w:rFonts w:ascii="Arial" w:hAnsi="Arial" w:cs="Arial"/>
          <w:color w:val="auto"/>
          <w:sz w:val="24"/>
          <w:szCs w:val="24"/>
        </w:rPr>
        <w:tab/>
      </w:r>
      <w:r w:rsidR="00E12360" w:rsidRPr="00C02968">
        <w:rPr>
          <w:rFonts w:ascii="Arial" w:hAnsi="Arial" w:cs="Arial"/>
          <w:color w:val="auto"/>
          <w:sz w:val="24"/>
          <w:szCs w:val="24"/>
        </w:rPr>
        <w:tab/>
      </w:r>
      <w:r w:rsidR="00C152C3" w:rsidRPr="00C02968">
        <w:rPr>
          <w:rFonts w:ascii="Arial" w:hAnsi="Arial" w:cs="Arial"/>
          <w:color w:val="auto"/>
          <w:sz w:val="24"/>
          <w:szCs w:val="24"/>
        </w:rPr>
        <w:t>Adv</w:t>
      </w:r>
      <w:r w:rsidR="008601D9" w:rsidRPr="00C02968">
        <w:rPr>
          <w:rFonts w:ascii="Arial" w:hAnsi="Arial" w:cs="Arial"/>
          <w:color w:val="auto"/>
          <w:sz w:val="24"/>
          <w:szCs w:val="24"/>
        </w:rPr>
        <w:t>.</w:t>
      </w:r>
      <w:r w:rsidR="00C152C3" w:rsidRPr="00C02968">
        <w:rPr>
          <w:rFonts w:ascii="Arial" w:hAnsi="Arial" w:cs="Arial"/>
          <w:color w:val="auto"/>
          <w:sz w:val="24"/>
          <w:szCs w:val="24"/>
        </w:rPr>
        <w:t xml:space="preserve"> </w:t>
      </w:r>
      <w:r>
        <w:rPr>
          <w:rFonts w:ascii="Arial" w:hAnsi="Arial" w:cs="Arial"/>
          <w:color w:val="auto"/>
          <w:sz w:val="24"/>
          <w:szCs w:val="24"/>
        </w:rPr>
        <w:t xml:space="preserve">W.A. </w:t>
      </w:r>
      <w:r w:rsidR="003B4C6F" w:rsidRPr="00C02968">
        <w:rPr>
          <w:rFonts w:ascii="Arial" w:hAnsi="Arial" w:cs="Arial"/>
          <w:color w:val="auto"/>
          <w:sz w:val="24"/>
          <w:szCs w:val="24"/>
        </w:rPr>
        <w:t>Van Aswegen</w:t>
      </w:r>
    </w:p>
    <w:p w:rsidR="001F01C0" w:rsidRPr="00C02968" w:rsidRDefault="00E12360" w:rsidP="003B4C6F">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sidRPr="00C02968">
        <w:rPr>
          <w:rFonts w:ascii="Arial" w:hAnsi="Arial" w:cs="Arial"/>
          <w:color w:val="auto"/>
          <w:sz w:val="24"/>
          <w:szCs w:val="24"/>
        </w:rPr>
        <w:t>Instructed by</w:t>
      </w:r>
      <w:r w:rsidRPr="00C02968">
        <w:rPr>
          <w:rFonts w:ascii="Arial" w:hAnsi="Arial" w:cs="Arial"/>
          <w:color w:val="auto"/>
          <w:sz w:val="24"/>
          <w:szCs w:val="24"/>
        </w:rPr>
        <w:tab/>
      </w:r>
      <w:r w:rsidR="003B4C6F" w:rsidRPr="00C02968">
        <w:rPr>
          <w:rFonts w:ascii="Arial" w:hAnsi="Arial" w:cs="Arial"/>
          <w:color w:val="auto"/>
          <w:sz w:val="24"/>
          <w:szCs w:val="24"/>
        </w:rPr>
        <w:t xml:space="preserve">:  </w:t>
      </w:r>
      <w:r w:rsidRPr="00C02968">
        <w:rPr>
          <w:rFonts w:ascii="Arial" w:hAnsi="Arial" w:cs="Arial"/>
          <w:color w:val="auto"/>
          <w:sz w:val="24"/>
          <w:szCs w:val="24"/>
        </w:rPr>
        <w:tab/>
      </w:r>
      <w:r w:rsidRPr="00C02968">
        <w:rPr>
          <w:rFonts w:ascii="Arial" w:hAnsi="Arial" w:cs="Arial"/>
          <w:color w:val="auto"/>
          <w:sz w:val="24"/>
          <w:szCs w:val="24"/>
        </w:rPr>
        <w:tab/>
      </w:r>
      <w:r w:rsidRPr="00C02968">
        <w:rPr>
          <w:rFonts w:ascii="Arial" w:hAnsi="Arial" w:cs="Arial"/>
          <w:color w:val="auto"/>
          <w:sz w:val="24"/>
          <w:szCs w:val="24"/>
        </w:rPr>
        <w:tab/>
      </w:r>
      <w:r w:rsidRPr="00C02968">
        <w:rPr>
          <w:rFonts w:ascii="Arial" w:hAnsi="Arial" w:cs="Arial"/>
          <w:color w:val="auto"/>
          <w:sz w:val="24"/>
          <w:szCs w:val="24"/>
        </w:rPr>
        <w:tab/>
      </w:r>
      <w:r w:rsidR="003B4C6F" w:rsidRPr="00C02968">
        <w:rPr>
          <w:rFonts w:ascii="Arial" w:hAnsi="Arial" w:cs="Arial"/>
          <w:color w:val="auto"/>
          <w:sz w:val="24"/>
          <w:szCs w:val="24"/>
        </w:rPr>
        <w:t>S</w:t>
      </w:r>
      <w:r w:rsidRPr="00C02968">
        <w:rPr>
          <w:rFonts w:ascii="Arial" w:hAnsi="Arial" w:cs="Arial"/>
          <w:color w:val="auto"/>
          <w:sz w:val="24"/>
          <w:szCs w:val="24"/>
        </w:rPr>
        <w:t>ymington</w:t>
      </w:r>
      <w:r w:rsidR="003B4C6F" w:rsidRPr="00C02968">
        <w:rPr>
          <w:rFonts w:ascii="Arial" w:hAnsi="Arial" w:cs="Arial"/>
          <w:color w:val="auto"/>
          <w:sz w:val="24"/>
          <w:szCs w:val="24"/>
        </w:rPr>
        <w:t xml:space="preserve"> </w:t>
      </w:r>
      <w:r w:rsidRPr="00C02968">
        <w:rPr>
          <w:rFonts w:ascii="Arial" w:hAnsi="Arial" w:cs="Arial"/>
          <w:color w:val="auto"/>
          <w:sz w:val="24"/>
          <w:szCs w:val="24"/>
        </w:rPr>
        <w:t xml:space="preserve">and </w:t>
      </w:r>
      <w:r w:rsidR="003B4C6F" w:rsidRPr="00C02968">
        <w:rPr>
          <w:rFonts w:ascii="Arial" w:hAnsi="Arial" w:cs="Arial"/>
          <w:color w:val="auto"/>
          <w:sz w:val="24"/>
          <w:szCs w:val="24"/>
        </w:rPr>
        <w:t>D</w:t>
      </w:r>
      <w:r w:rsidRPr="00C02968">
        <w:rPr>
          <w:rFonts w:ascii="Arial" w:hAnsi="Arial" w:cs="Arial"/>
          <w:color w:val="auto"/>
          <w:sz w:val="24"/>
          <w:szCs w:val="24"/>
        </w:rPr>
        <w:t>e</w:t>
      </w:r>
      <w:r w:rsidR="003B4C6F" w:rsidRPr="00C02968">
        <w:rPr>
          <w:rFonts w:ascii="Arial" w:hAnsi="Arial" w:cs="Arial"/>
          <w:color w:val="auto"/>
          <w:sz w:val="24"/>
          <w:szCs w:val="24"/>
        </w:rPr>
        <w:t xml:space="preserve"> K</w:t>
      </w:r>
      <w:r w:rsidRPr="00C02968">
        <w:rPr>
          <w:rFonts w:ascii="Arial" w:hAnsi="Arial" w:cs="Arial"/>
          <w:color w:val="auto"/>
          <w:sz w:val="24"/>
          <w:szCs w:val="24"/>
        </w:rPr>
        <w:t xml:space="preserve">ok </w:t>
      </w:r>
      <w:r w:rsidR="003B4C6F" w:rsidRPr="00C02968">
        <w:rPr>
          <w:rFonts w:ascii="Arial" w:hAnsi="Arial" w:cs="Arial"/>
          <w:color w:val="auto"/>
          <w:sz w:val="24"/>
          <w:szCs w:val="24"/>
        </w:rPr>
        <w:t>A</w:t>
      </w:r>
      <w:r w:rsidRPr="00C02968">
        <w:rPr>
          <w:rFonts w:ascii="Arial" w:hAnsi="Arial" w:cs="Arial"/>
          <w:color w:val="auto"/>
          <w:sz w:val="24"/>
          <w:szCs w:val="24"/>
        </w:rPr>
        <w:t>ttorneys</w:t>
      </w:r>
      <w:r w:rsidR="00C461A0" w:rsidRPr="00C02968">
        <w:rPr>
          <w:rFonts w:ascii="Arial" w:hAnsi="Arial" w:cs="Arial"/>
          <w:color w:val="auto"/>
          <w:sz w:val="24"/>
          <w:szCs w:val="24"/>
        </w:rPr>
        <w:tab/>
      </w:r>
    </w:p>
    <w:p w:rsidR="00D30D55" w:rsidRPr="00C02968" w:rsidRDefault="00E12360" w:rsidP="00E12360">
      <w:pPr>
        <w:pStyle w:val="BodyAAA"/>
        <w:pBdr>
          <w:top w:val="none" w:sz="0" w:space="0" w:color="auto"/>
          <w:left w:val="none" w:sz="0" w:space="0" w:color="auto"/>
          <w:bottom w:val="none" w:sz="0" w:space="0" w:color="auto"/>
          <w:right w:val="none" w:sz="0" w:space="0" w:color="auto"/>
          <w:bar w:val="none" w:sz="0" w:color="auto"/>
        </w:pBdr>
        <w:spacing w:line="360" w:lineRule="auto"/>
        <w:ind w:left="4309" w:firstLine="11"/>
        <w:jc w:val="both"/>
        <w:rPr>
          <w:rFonts w:ascii="Arial" w:hAnsi="Arial" w:cs="Arial"/>
          <w:b/>
          <w:color w:val="auto"/>
          <w:sz w:val="24"/>
          <w:szCs w:val="24"/>
        </w:rPr>
      </w:pPr>
      <w:r w:rsidRPr="00C02968">
        <w:rPr>
          <w:rFonts w:ascii="Arial" w:hAnsi="Arial" w:cs="Arial"/>
          <w:b/>
          <w:color w:val="auto"/>
          <w:sz w:val="24"/>
          <w:szCs w:val="24"/>
        </w:rPr>
        <w:t>BLOEMFONTEIN</w:t>
      </w:r>
    </w:p>
    <w:p w:rsidR="00DC3ED7" w:rsidRPr="00C02968" w:rsidRDefault="00DC3ED7"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p>
    <w:p w:rsidR="00966EA0" w:rsidRPr="00C02968" w:rsidRDefault="00B72CB0"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Pr>
          <w:rFonts w:ascii="Arial" w:hAnsi="Arial" w:cs="Arial"/>
          <w:color w:val="auto"/>
          <w:sz w:val="24"/>
          <w:szCs w:val="24"/>
        </w:rPr>
        <w:t>Counsel f</w:t>
      </w:r>
      <w:r w:rsidR="00D30D55" w:rsidRPr="00C02968">
        <w:rPr>
          <w:rFonts w:ascii="Arial" w:hAnsi="Arial" w:cs="Arial"/>
          <w:color w:val="auto"/>
          <w:sz w:val="24"/>
          <w:szCs w:val="24"/>
        </w:rPr>
        <w:t xml:space="preserve">or the </w:t>
      </w:r>
      <w:r w:rsidR="00E12360" w:rsidRPr="00C02968">
        <w:rPr>
          <w:rFonts w:ascii="Arial" w:hAnsi="Arial" w:cs="Arial"/>
          <w:color w:val="auto"/>
          <w:sz w:val="24"/>
          <w:szCs w:val="24"/>
        </w:rPr>
        <w:t>First Respondent</w:t>
      </w:r>
      <w:r w:rsidR="00966EA0" w:rsidRPr="00C02968">
        <w:rPr>
          <w:rFonts w:ascii="Arial" w:hAnsi="Arial" w:cs="Arial"/>
          <w:color w:val="auto"/>
          <w:sz w:val="24"/>
          <w:szCs w:val="24"/>
        </w:rPr>
        <w:t xml:space="preserve">: </w:t>
      </w:r>
      <w:r w:rsidR="00E12360" w:rsidRPr="00C02968">
        <w:rPr>
          <w:rFonts w:ascii="Arial" w:hAnsi="Arial" w:cs="Arial"/>
          <w:color w:val="auto"/>
          <w:sz w:val="24"/>
          <w:szCs w:val="24"/>
        </w:rPr>
        <w:tab/>
      </w:r>
      <w:r w:rsidR="00FD119E" w:rsidRPr="00C02968">
        <w:rPr>
          <w:rFonts w:ascii="Arial" w:hAnsi="Arial" w:cs="Arial"/>
          <w:color w:val="auto"/>
          <w:sz w:val="24"/>
          <w:szCs w:val="24"/>
        </w:rPr>
        <w:t>Adv.</w:t>
      </w:r>
      <w:r w:rsidR="003B4C6F" w:rsidRPr="00C02968">
        <w:rPr>
          <w:rFonts w:ascii="Arial" w:hAnsi="Arial" w:cs="Arial"/>
          <w:color w:val="auto"/>
          <w:sz w:val="24"/>
          <w:szCs w:val="24"/>
        </w:rPr>
        <w:t xml:space="preserve"> </w:t>
      </w:r>
      <w:r>
        <w:rPr>
          <w:rFonts w:ascii="Arial" w:hAnsi="Arial" w:cs="Arial"/>
          <w:color w:val="auto"/>
          <w:sz w:val="24"/>
          <w:szCs w:val="24"/>
        </w:rPr>
        <w:t xml:space="preserve">D.R </w:t>
      </w:r>
      <w:r w:rsidR="003B4C6F" w:rsidRPr="00C02968">
        <w:rPr>
          <w:rFonts w:ascii="Arial" w:hAnsi="Arial" w:cs="Arial"/>
          <w:color w:val="auto"/>
          <w:sz w:val="24"/>
          <w:szCs w:val="24"/>
        </w:rPr>
        <w:t>Thompson</w:t>
      </w:r>
    </w:p>
    <w:p w:rsidR="00C40F73" w:rsidRPr="00C02968" w:rsidRDefault="00E12360" w:rsidP="00717F87">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sidRPr="00C02968">
        <w:rPr>
          <w:rFonts w:ascii="Arial" w:hAnsi="Arial" w:cs="Arial"/>
          <w:color w:val="auto"/>
          <w:sz w:val="24"/>
          <w:szCs w:val="24"/>
        </w:rPr>
        <w:t>Instructed by</w:t>
      </w:r>
      <w:r w:rsidR="003B4C6F" w:rsidRPr="00C02968">
        <w:rPr>
          <w:rFonts w:ascii="Arial" w:hAnsi="Arial" w:cs="Arial"/>
          <w:color w:val="auto"/>
          <w:sz w:val="24"/>
          <w:szCs w:val="24"/>
        </w:rPr>
        <w:t xml:space="preserve">: </w:t>
      </w:r>
      <w:r w:rsidRPr="00C02968">
        <w:rPr>
          <w:rFonts w:ascii="Arial" w:hAnsi="Arial" w:cs="Arial"/>
          <w:color w:val="auto"/>
          <w:sz w:val="24"/>
          <w:szCs w:val="24"/>
        </w:rPr>
        <w:tab/>
      </w:r>
      <w:r w:rsidRPr="00C02968">
        <w:rPr>
          <w:rFonts w:ascii="Arial" w:hAnsi="Arial" w:cs="Arial"/>
          <w:color w:val="auto"/>
          <w:sz w:val="24"/>
          <w:szCs w:val="24"/>
        </w:rPr>
        <w:tab/>
      </w:r>
      <w:r w:rsidRPr="00C02968">
        <w:rPr>
          <w:rFonts w:ascii="Arial" w:hAnsi="Arial" w:cs="Arial"/>
          <w:color w:val="auto"/>
          <w:sz w:val="24"/>
          <w:szCs w:val="24"/>
        </w:rPr>
        <w:tab/>
      </w:r>
      <w:r w:rsidRPr="00C02968">
        <w:rPr>
          <w:rFonts w:ascii="Arial" w:hAnsi="Arial" w:cs="Arial"/>
          <w:color w:val="auto"/>
          <w:sz w:val="24"/>
          <w:szCs w:val="24"/>
        </w:rPr>
        <w:tab/>
      </w:r>
      <w:r w:rsidR="003B4C6F" w:rsidRPr="00C02968">
        <w:rPr>
          <w:rFonts w:ascii="Arial" w:hAnsi="Arial" w:cs="Arial"/>
          <w:color w:val="auto"/>
          <w:sz w:val="24"/>
          <w:szCs w:val="24"/>
        </w:rPr>
        <w:t>R</w:t>
      </w:r>
      <w:r w:rsidRPr="00C02968">
        <w:rPr>
          <w:rFonts w:ascii="Arial" w:hAnsi="Arial" w:cs="Arial"/>
          <w:color w:val="auto"/>
          <w:sz w:val="24"/>
          <w:szCs w:val="24"/>
        </w:rPr>
        <w:t>aynard</w:t>
      </w:r>
      <w:r w:rsidR="003B4C6F" w:rsidRPr="00C02968">
        <w:rPr>
          <w:rFonts w:ascii="Arial" w:hAnsi="Arial" w:cs="Arial"/>
          <w:color w:val="auto"/>
          <w:sz w:val="24"/>
          <w:szCs w:val="24"/>
        </w:rPr>
        <w:t xml:space="preserve"> &amp; </w:t>
      </w:r>
      <w:r w:rsidRPr="00C02968">
        <w:rPr>
          <w:rFonts w:ascii="Arial" w:hAnsi="Arial" w:cs="Arial"/>
          <w:color w:val="auto"/>
          <w:sz w:val="24"/>
          <w:szCs w:val="24"/>
        </w:rPr>
        <w:t>Associates</w:t>
      </w:r>
      <w:r w:rsidR="00B72CB0">
        <w:rPr>
          <w:rFonts w:ascii="Arial" w:hAnsi="Arial" w:cs="Arial"/>
          <w:color w:val="auto"/>
          <w:sz w:val="24"/>
          <w:szCs w:val="24"/>
        </w:rPr>
        <w:t xml:space="preserve"> INC.</w:t>
      </w:r>
    </w:p>
    <w:p w:rsidR="00A4685F" w:rsidRDefault="00E12360" w:rsidP="00C75571">
      <w:pPr>
        <w:pStyle w:val="BodyAAA"/>
        <w:pBdr>
          <w:top w:val="none" w:sz="0" w:space="0" w:color="auto"/>
          <w:left w:val="none" w:sz="0" w:space="0" w:color="auto"/>
          <w:bottom w:val="none" w:sz="0" w:space="0" w:color="auto"/>
          <w:right w:val="none" w:sz="0" w:space="0" w:color="auto"/>
          <w:bar w:val="none" w:sz="0" w:color="auto"/>
        </w:pBdr>
        <w:spacing w:line="360" w:lineRule="auto"/>
        <w:ind w:left="4309" w:firstLine="11"/>
        <w:jc w:val="both"/>
        <w:rPr>
          <w:rFonts w:ascii="Arial" w:hAnsi="Arial" w:cs="Arial"/>
          <w:sz w:val="24"/>
          <w:szCs w:val="24"/>
        </w:rPr>
      </w:pPr>
      <w:r w:rsidRPr="00C02968">
        <w:rPr>
          <w:rFonts w:ascii="Arial" w:hAnsi="Arial" w:cs="Arial"/>
          <w:b/>
          <w:color w:val="auto"/>
          <w:sz w:val="24"/>
          <w:szCs w:val="24"/>
        </w:rPr>
        <w:t>BLOEMFONTEIN</w:t>
      </w:r>
    </w:p>
    <w:sectPr w:rsidR="00A4685F" w:rsidSect="005A0C6B">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B6" w:rsidRDefault="009861B6" w:rsidP="00454B2B">
      <w:pPr>
        <w:spacing w:after="0" w:line="240" w:lineRule="auto"/>
      </w:pPr>
      <w:r>
        <w:separator/>
      </w:r>
    </w:p>
  </w:endnote>
  <w:endnote w:type="continuationSeparator" w:id="0">
    <w:p w:rsidR="009861B6" w:rsidRDefault="009861B6"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B6" w:rsidRDefault="009861B6" w:rsidP="00454B2B">
      <w:pPr>
        <w:spacing w:after="0" w:line="240" w:lineRule="auto"/>
      </w:pPr>
      <w:r>
        <w:separator/>
      </w:r>
    </w:p>
  </w:footnote>
  <w:footnote w:type="continuationSeparator" w:id="0">
    <w:p w:rsidR="009861B6" w:rsidRDefault="009861B6" w:rsidP="00454B2B">
      <w:pPr>
        <w:spacing w:after="0" w:line="240" w:lineRule="auto"/>
      </w:pPr>
      <w:r>
        <w:continuationSeparator/>
      </w:r>
    </w:p>
  </w:footnote>
  <w:footnote w:id="1">
    <w:p w:rsidR="003B4C6F" w:rsidRDefault="003B4C6F">
      <w:pPr>
        <w:pStyle w:val="FootnoteText"/>
      </w:pPr>
      <w:r>
        <w:rPr>
          <w:rStyle w:val="FootnoteReference"/>
        </w:rPr>
        <w:footnoteRef/>
      </w:r>
      <w:r>
        <w:t xml:space="preserve"> Constitution Act </w:t>
      </w:r>
      <w:r w:rsidR="00B72CB0">
        <w:t xml:space="preserve">No, </w:t>
      </w:r>
      <w:r w:rsidR="00E12360">
        <w:t xml:space="preserve">108 </w:t>
      </w:r>
      <w:r>
        <w:t>of 1996</w:t>
      </w:r>
      <w:r w:rsidR="00E12360">
        <w:t>.</w:t>
      </w:r>
    </w:p>
  </w:footnote>
  <w:footnote w:id="2">
    <w:p w:rsidR="003B4C6F" w:rsidRDefault="003B4C6F">
      <w:pPr>
        <w:pStyle w:val="FootnoteText"/>
      </w:pPr>
      <w:r>
        <w:rPr>
          <w:rStyle w:val="FootnoteReference"/>
        </w:rPr>
        <w:footnoteRef/>
      </w:r>
      <w:r>
        <w:t xml:space="preserve"> Act</w:t>
      </w:r>
      <w:r w:rsidR="00E12360">
        <w:t xml:space="preserve"> No,</w:t>
      </w:r>
      <w:r>
        <w:t xml:space="preserve"> 5 of 2000</w:t>
      </w:r>
      <w:r w:rsidR="00E12360">
        <w:t>.</w:t>
      </w:r>
    </w:p>
  </w:footnote>
  <w:footnote w:id="3">
    <w:p w:rsidR="003B4C6F" w:rsidRDefault="003B4C6F" w:rsidP="00AB6996">
      <w:pPr>
        <w:pStyle w:val="FootnoteText"/>
      </w:pPr>
      <w:r w:rsidRPr="00A67B97">
        <w:rPr>
          <w:rStyle w:val="FootnoteReference"/>
          <w:rFonts w:ascii="Arial" w:hAnsi="Arial" w:cs="Arial"/>
        </w:rPr>
        <w:footnoteRef/>
      </w:r>
      <w:r w:rsidRPr="00A67B97">
        <w:rPr>
          <w:rFonts w:ascii="Arial" w:hAnsi="Arial" w:cs="Arial"/>
        </w:rPr>
        <w:t xml:space="preserve"> </w:t>
      </w:r>
      <w:r w:rsidRPr="00E75CE8">
        <w:rPr>
          <w:rFonts w:cstheme="minorHAnsi"/>
          <w:u w:val="single"/>
        </w:rPr>
        <w:t>2008 (2) SA 638</w:t>
      </w:r>
      <w:r w:rsidRPr="00AB6996">
        <w:rPr>
          <w:rFonts w:cstheme="minorHAnsi"/>
        </w:rPr>
        <w:t xml:space="preserve"> (SCA) para 11</w:t>
      </w:r>
      <w:r>
        <w:rPr>
          <w:rFonts w:cstheme="minorHAnsi"/>
        </w:rPr>
        <w:t xml:space="preserve"> &amp;14</w:t>
      </w:r>
      <w:r w:rsidR="00E12360">
        <w:rPr>
          <w:rFonts w:cstheme="minorHAnsi"/>
        </w:rPr>
        <w:t>.</w:t>
      </w:r>
    </w:p>
  </w:footnote>
  <w:footnote w:id="4">
    <w:p w:rsidR="00F07FBC" w:rsidRDefault="00F07FBC">
      <w:pPr>
        <w:pStyle w:val="FootnoteText"/>
      </w:pPr>
      <w:r>
        <w:rPr>
          <w:rStyle w:val="FootnoteReference"/>
        </w:rPr>
        <w:footnoteRef/>
      </w:r>
      <w:r w:rsidR="006C5113">
        <w:t xml:space="preserve"> </w:t>
      </w:r>
      <w:r>
        <w:t xml:space="preserve"> </w:t>
      </w:r>
      <w:r w:rsidR="006C5113" w:rsidRPr="006C5113">
        <w:rPr>
          <w:b/>
          <w:u w:val="single"/>
        </w:rPr>
        <w:t>[2014</w:t>
      </w:r>
      <w:r w:rsidRPr="006C5113">
        <w:rPr>
          <w:b/>
          <w:u w:val="single"/>
        </w:rPr>
        <w:t>] 1 All SA 545</w:t>
      </w:r>
      <w:r>
        <w:t xml:space="preserve"> </w:t>
      </w:r>
      <w:r w:rsidR="006C5113">
        <w:t>(</w:t>
      </w:r>
      <w:r>
        <w:t>SCA</w:t>
      </w:r>
      <w:r w:rsidR="006C5113">
        <w:t>)</w:t>
      </w:r>
      <w:r>
        <w:t xml:space="preserve"> par</w:t>
      </w:r>
      <w:r w:rsidR="006C5113">
        <w:t xml:space="preserve">a </w:t>
      </w:r>
      <w:r>
        <w:t>15 -18</w:t>
      </w:r>
      <w:r w:rsidR="006C511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29810"/>
      <w:docPartObj>
        <w:docPartGallery w:val="Page Numbers (Top of Page)"/>
        <w:docPartUnique/>
      </w:docPartObj>
    </w:sdtPr>
    <w:sdtEndPr>
      <w:rPr>
        <w:noProof/>
      </w:rPr>
    </w:sdtEndPr>
    <w:sdtContent>
      <w:p w:rsidR="003B4C6F" w:rsidRDefault="003B4C6F">
        <w:pPr>
          <w:pStyle w:val="Header"/>
          <w:jc w:val="right"/>
        </w:pPr>
        <w:r>
          <w:fldChar w:fldCharType="begin"/>
        </w:r>
        <w:r>
          <w:instrText xml:space="preserve"> PAGE   \* MERGEFORMAT </w:instrText>
        </w:r>
        <w:r>
          <w:fldChar w:fldCharType="separate"/>
        </w:r>
        <w:r w:rsidR="009340CC">
          <w:rPr>
            <w:noProof/>
          </w:rPr>
          <w:t>2</w:t>
        </w:r>
        <w:r>
          <w:rPr>
            <w:noProof/>
          </w:rPr>
          <w:fldChar w:fldCharType="end"/>
        </w:r>
      </w:p>
    </w:sdtContent>
  </w:sdt>
  <w:p w:rsidR="003B4C6F" w:rsidRDefault="003B4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69F"/>
    <w:multiLevelType w:val="hybridMultilevel"/>
    <w:tmpl w:val="2F50A084"/>
    <w:lvl w:ilvl="0" w:tplc="9280C38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85DF3"/>
    <w:multiLevelType w:val="multilevel"/>
    <w:tmpl w:val="B2201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A7A26"/>
    <w:multiLevelType w:val="hybridMultilevel"/>
    <w:tmpl w:val="4612B14A"/>
    <w:lvl w:ilvl="0" w:tplc="0CD23EA0">
      <w:start w:val="1"/>
      <w:numFmt w:val="decimal"/>
      <w:pStyle w:val="JUDGMENTNUMBERED"/>
      <w:lvlText w:val="[%1]"/>
      <w:lvlJc w:val="left"/>
      <w:pPr>
        <w:ind w:left="928"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5C52E1"/>
    <w:multiLevelType w:val="multilevel"/>
    <w:tmpl w:val="221A873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28851F11"/>
    <w:multiLevelType w:val="hybridMultilevel"/>
    <w:tmpl w:val="1562A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F5083F"/>
    <w:multiLevelType w:val="hybridMultilevel"/>
    <w:tmpl w:val="6E7275BE"/>
    <w:lvl w:ilvl="0" w:tplc="57968E58">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8">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24EF"/>
    <w:rsid w:val="00013C33"/>
    <w:rsid w:val="00016365"/>
    <w:rsid w:val="000168D9"/>
    <w:rsid w:val="00020F19"/>
    <w:rsid w:val="00022631"/>
    <w:rsid w:val="00026292"/>
    <w:rsid w:val="0002736F"/>
    <w:rsid w:val="00043010"/>
    <w:rsid w:val="00044F7B"/>
    <w:rsid w:val="00050978"/>
    <w:rsid w:val="00052114"/>
    <w:rsid w:val="00056D7F"/>
    <w:rsid w:val="00057432"/>
    <w:rsid w:val="00057A92"/>
    <w:rsid w:val="00057DF1"/>
    <w:rsid w:val="00062CB6"/>
    <w:rsid w:val="000635CA"/>
    <w:rsid w:val="00066021"/>
    <w:rsid w:val="00070794"/>
    <w:rsid w:val="0007199B"/>
    <w:rsid w:val="00076FE5"/>
    <w:rsid w:val="000775C8"/>
    <w:rsid w:val="000823FD"/>
    <w:rsid w:val="00084DDD"/>
    <w:rsid w:val="00087882"/>
    <w:rsid w:val="00090068"/>
    <w:rsid w:val="00092256"/>
    <w:rsid w:val="000A0FCE"/>
    <w:rsid w:val="000A443B"/>
    <w:rsid w:val="000B06B1"/>
    <w:rsid w:val="000B1178"/>
    <w:rsid w:val="000B3297"/>
    <w:rsid w:val="000B4408"/>
    <w:rsid w:val="000B6EFA"/>
    <w:rsid w:val="000B749D"/>
    <w:rsid w:val="000C1787"/>
    <w:rsid w:val="000D135A"/>
    <w:rsid w:val="000D1B53"/>
    <w:rsid w:val="000D4EA6"/>
    <w:rsid w:val="000E3702"/>
    <w:rsid w:val="000E495D"/>
    <w:rsid w:val="000F364C"/>
    <w:rsid w:val="000F38E1"/>
    <w:rsid w:val="00101DEC"/>
    <w:rsid w:val="001034C1"/>
    <w:rsid w:val="0011127E"/>
    <w:rsid w:val="00114E06"/>
    <w:rsid w:val="0012219D"/>
    <w:rsid w:val="00123AC7"/>
    <w:rsid w:val="00123C70"/>
    <w:rsid w:val="00126688"/>
    <w:rsid w:val="00130C12"/>
    <w:rsid w:val="001334FA"/>
    <w:rsid w:val="001357B6"/>
    <w:rsid w:val="00141EC9"/>
    <w:rsid w:val="00150F7D"/>
    <w:rsid w:val="00151A3B"/>
    <w:rsid w:val="001524EE"/>
    <w:rsid w:val="00156943"/>
    <w:rsid w:val="0016252A"/>
    <w:rsid w:val="001671AA"/>
    <w:rsid w:val="001709E8"/>
    <w:rsid w:val="00172290"/>
    <w:rsid w:val="00177AF4"/>
    <w:rsid w:val="0018181C"/>
    <w:rsid w:val="00187091"/>
    <w:rsid w:val="00187BD0"/>
    <w:rsid w:val="001913D9"/>
    <w:rsid w:val="001921A8"/>
    <w:rsid w:val="00196A3F"/>
    <w:rsid w:val="001A2EF3"/>
    <w:rsid w:val="001A4F6E"/>
    <w:rsid w:val="001A6A56"/>
    <w:rsid w:val="001B1C7C"/>
    <w:rsid w:val="001B5A59"/>
    <w:rsid w:val="001D1107"/>
    <w:rsid w:val="001D13D2"/>
    <w:rsid w:val="001D291B"/>
    <w:rsid w:val="001E2B48"/>
    <w:rsid w:val="001E6CEE"/>
    <w:rsid w:val="001E7429"/>
    <w:rsid w:val="001F01C0"/>
    <w:rsid w:val="001F1F29"/>
    <w:rsid w:val="001F45E9"/>
    <w:rsid w:val="00205856"/>
    <w:rsid w:val="002073E0"/>
    <w:rsid w:val="00210A0A"/>
    <w:rsid w:val="002135ED"/>
    <w:rsid w:val="00217668"/>
    <w:rsid w:val="002260BD"/>
    <w:rsid w:val="00234ACC"/>
    <w:rsid w:val="00240EE1"/>
    <w:rsid w:val="00250961"/>
    <w:rsid w:val="00253097"/>
    <w:rsid w:val="002601FC"/>
    <w:rsid w:val="00262ED6"/>
    <w:rsid w:val="002651AE"/>
    <w:rsid w:val="0026558C"/>
    <w:rsid w:val="002703CD"/>
    <w:rsid w:val="00270545"/>
    <w:rsid w:val="0027334D"/>
    <w:rsid w:val="002816D1"/>
    <w:rsid w:val="00285FB5"/>
    <w:rsid w:val="002958E1"/>
    <w:rsid w:val="002A10F9"/>
    <w:rsid w:val="002A6D12"/>
    <w:rsid w:val="002A7F17"/>
    <w:rsid w:val="002B0099"/>
    <w:rsid w:val="002B267C"/>
    <w:rsid w:val="002B4707"/>
    <w:rsid w:val="002C4F76"/>
    <w:rsid w:val="002D0D12"/>
    <w:rsid w:val="002D0D1C"/>
    <w:rsid w:val="002D5BA0"/>
    <w:rsid w:val="002D7AA6"/>
    <w:rsid w:val="002E1EE9"/>
    <w:rsid w:val="002E4EC7"/>
    <w:rsid w:val="002E7133"/>
    <w:rsid w:val="002E74BE"/>
    <w:rsid w:val="002F097A"/>
    <w:rsid w:val="002F171D"/>
    <w:rsid w:val="002F1FD8"/>
    <w:rsid w:val="002F4C5E"/>
    <w:rsid w:val="002F52BD"/>
    <w:rsid w:val="00301212"/>
    <w:rsid w:val="00302938"/>
    <w:rsid w:val="00305A6A"/>
    <w:rsid w:val="00306EE6"/>
    <w:rsid w:val="00316502"/>
    <w:rsid w:val="00317E12"/>
    <w:rsid w:val="0032204A"/>
    <w:rsid w:val="00330F06"/>
    <w:rsid w:val="00333856"/>
    <w:rsid w:val="00340F19"/>
    <w:rsid w:val="00343F62"/>
    <w:rsid w:val="00345F5C"/>
    <w:rsid w:val="00350645"/>
    <w:rsid w:val="00351937"/>
    <w:rsid w:val="00352251"/>
    <w:rsid w:val="003539B9"/>
    <w:rsid w:val="00353CEF"/>
    <w:rsid w:val="003556D5"/>
    <w:rsid w:val="0035758B"/>
    <w:rsid w:val="00360A6C"/>
    <w:rsid w:val="003705DC"/>
    <w:rsid w:val="0037331D"/>
    <w:rsid w:val="00373DAC"/>
    <w:rsid w:val="00374376"/>
    <w:rsid w:val="003760DF"/>
    <w:rsid w:val="003802F2"/>
    <w:rsid w:val="00384934"/>
    <w:rsid w:val="003907D7"/>
    <w:rsid w:val="003A3878"/>
    <w:rsid w:val="003B0433"/>
    <w:rsid w:val="003B0A43"/>
    <w:rsid w:val="003B34B3"/>
    <w:rsid w:val="003B4C6F"/>
    <w:rsid w:val="003B5C96"/>
    <w:rsid w:val="003B73BD"/>
    <w:rsid w:val="003C1ED2"/>
    <w:rsid w:val="003C25EF"/>
    <w:rsid w:val="003C37BF"/>
    <w:rsid w:val="003C649C"/>
    <w:rsid w:val="003C6C83"/>
    <w:rsid w:val="003D039E"/>
    <w:rsid w:val="003D1E6A"/>
    <w:rsid w:val="003D24C1"/>
    <w:rsid w:val="003E64B9"/>
    <w:rsid w:val="003E7845"/>
    <w:rsid w:val="003F1413"/>
    <w:rsid w:val="003F1542"/>
    <w:rsid w:val="00401FF8"/>
    <w:rsid w:val="004020C7"/>
    <w:rsid w:val="00405449"/>
    <w:rsid w:val="00405E57"/>
    <w:rsid w:val="00411FE2"/>
    <w:rsid w:val="00412F39"/>
    <w:rsid w:val="00414E96"/>
    <w:rsid w:val="0041708F"/>
    <w:rsid w:val="00417CD8"/>
    <w:rsid w:val="00426AE3"/>
    <w:rsid w:val="00440AE3"/>
    <w:rsid w:val="00447101"/>
    <w:rsid w:val="00453853"/>
    <w:rsid w:val="00454B2B"/>
    <w:rsid w:val="00457916"/>
    <w:rsid w:val="00461961"/>
    <w:rsid w:val="00462023"/>
    <w:rsid w:val="004631E5"/>
    <w:rsid w:val="0046346C"/>
    <w:rsid w:val="004701AC"/>
    <w:rsid w:val="00471E65"/>
    <w:rsid w:val="00473053"/>
    <w:rsid w:val="00473CD1"/>
    <w:rsid w:val="004811A4"/>
    <w:rsid w:val="00481F89"/>
    <w:rsid w:val="00494E32"/>
    <w:rsid w:val="004967A8"/>
    <w:rsid w:val="004A091E"/>
    <w:rsid w:val="004A346D"/>
    <w:rsid w:val="004B17F5"/>
    <w:rsid w:val="004B222D"/>
    <w:rsid w:val="004B29DF"/>
    <w:rsid w:val="004B6A86"/>
    <w:rsid w:val="004B71E7"/>
    <w:rsid w:val="004C204C"/>
    <w:rsid w:val="004C3290"/>
    <w:rsid w:val="004C691D"/>
    <w:rsid w:val="004C7462"/>
    <w:rsid w:val="004C7528"/>
    <w:rsid w:val="004C77BC"/>
    <w:rsid w:val="004D1BF3"/>
    <w:rsid w:val="004D2DEB"/>
    <w:rsid w:val="004D5731"/>
    <w:rsid w:val="004D5ABC"/>
    <w:rsid w:val="004D7A02"/>
    <w:rsid w:val="004E25B5"/>
    <w:rsid w:val="004E37CA"/>
    <w:rsid w:val="004E5157"/>
    <w:rsid w:val="004E5437"/>
    <w:rsid w:val="004E5E82"/>
    <w:rsid w:val="004F0D36"/>
    <w:rsid w:val="00500562"/>
    <w:rsid w:val="00506E6C"/>
    <w:rsid w:val="00526F18"/>
    <w:rsid w:val="005305F6"/>
    <w:rsid w:val="00533CFF"/>
    <w:rsid w:val="00535881"/>
    <w:rsid w:val="00535B83"/>
    <w:rsid w:val="00540070"/>
    <w:rsid w:val="00540D72"/>
    <w:rsid w:val="0054234A"/>
    <w:rsid w:val="00546C2B"/>
    <w:rsid w:val="00551618"/>
    <w:rsid w:val="00553063"/>
    <w:rsid w:val="00553273"/>
    <w:rsid w:val="005556B6"/>
    <w:rsid w:val="00555FDF"/>
    <w:rsid w:val="00557230"/>
    <w:rsid w:val="00565044"/>
    <w:rsid w:val="005664CD"/>
    <w:rsid w:val="005830C1"/>
    <w:rsid w:val="00591434"/>
    <w:rsid w:val="00592EE1"/>
    <w:rsid w:val="00596D2B"/>
    <w:rsid w:val="005A0C6B"/>
    <w:rsid w:val="005B01B0"/>
    <w:rsid w:val="005B1EB4"/>
    <w:rsid w:val="005B4098"/>
    <w:rsid w:val="005C11CE"/>
    <w:rsid w:val="005C1A73"/>
    <w:rsid w:val="005D135F"/>
    <w:rsid w:val="005E6285"/>
    <w:rsid w:val="005E64A4"/>
    <w:rsid w:val="005F4502"/>
    <w:rsid w:val="005F4EA5"/>
    <w:rsid w:val="00600E53"/>
    <w:rsid w:val="00615CD1"/>
    <w:rsid w:val="00616F3A"/>
    <w:rsid w:val="00621181"/>
    <w:rsid w:val="0062573A"/>
    <w:rsid w:val="00630002"/>
    <w:rsid w:val="006306FB"/>
    <w:rsid w:val="00631447"/>
    <w:rsid w:val="00636828"/>
    <w:rsid w:val="0064001D"/>
    <w:rsid w:val="00642843"/>
    <w:rsid w:val="006435A8"/>
    <w:rsid w:val="00644B41"/>
    <w:rsid w:val="0065162A"/>
    <w:rsid w:val="00654050"/>
    <w:rsid w:val="0066534A"/>
    <w:rsid w:val="006653DC"/>
    <w:rsid w:val="0067091C"/>
    <w:rsid w:val="00673BD3"/>
    <w:rsid w:val="00683BFA"/>
    <w:rsid w:val="006843C0"/>
    <w:rsid w:val="006A796E"/>
    <w:rsid w:val="006B1D3A"/>
    <w:rsid w:val="006B2C68"/>
    <w:rsid w:val="006B2FE5"/>
    <w:rsid w:val="006C05E2"/>
    <w:rsid w:val="006C4B16"/>
    <w:rsid w:val="006C5113"/>
    <w:rsid w:val="006C6282"/>
    <w:rsid w:val="006C62B5"/>
    <w:rsid w:val="006D49B2"/>
    <w:rsid w:val="006D784E"/>
    <w:rsid w:val="006E1CD5"/>
    <w:rsid w:val="006F0B95"/>
    <w:rsid w:val="006F10FB"/>
    <w:rsid w:val="006F622C"/>
    <w:rsid w:val="0070109A"/>
    <w:rsid w:val="007056BE"/>
    <w:rsid w:val="00712A8C"/>
    <w:rsid w:val="007155CA"/>
    <w:rsid w:val="007160DB"/>
    <w:rsid w:val="007165E7"/>
    <w:rsid w:val="007171B3"/>
    <w:rsid w:val="00717CA7"/>
    <w:rsid w:val="00717F87"/>
    <w:rsid w:val="00724163"/>
    <w:rsid w:val="007244E7"/>
    <w:rsid w:val="00731F99"/>
    <w:rsid w:val="00734D83"/>
    <w:rsid w:val="00736483"/>
    <w:rsid w:val="00741389"/>
    <w:rsid w:val="00746C55"/>
    <w:rsid w:val="0075084C"/>
    <w:rsid w:val="007601E6"/>
    <w:rsid w:val="00763182"/>
    <w:rsid w:val="00772F95"/>
    <w:rsid w:val="00774564"/>
    <w:rsid w:val="00774BE0"/>
    <w:rsid w:val="0077767C"/>
    <w:rsid w:val="00782001"/>
    <w:rsid w:val="007849EE"/>
    <w:rsid w:val="00785C93"/>
    <w:rsid w:val="00786996"/>
    <w:rsid w:val="00787884"/>
    <w:rsid w:val="00791425"/>
    <w:rsid w:val="00792CD6"/>
    <w:rsid w:val="00793375"/>
    <w:rsid w:val="00794951"/>
    <w:rsid w:val="007A1CD9"/>
    <w:rsid w:val="007A34FC"/>
    <w:rsid w:val="007B2199"/>
    <w:rsid w:val="007B4A64"/>
    <w:rsid w:val="007B746A"/>
    <w:rsid w:val="007C1E7C"/>
    <w:rsid w:val="007C4700"/>
    <w:rsid w:val="007C4CF4"/>
    <w:rsid w:val="007C5F91"/>
    <w:rsid w:val="007D1155"/>
    <w:rsid w:val="007D2B5F"/>
    <w:rsid w:val="007D4DF9"/>
    <w:rsid w:val="007D6047"/>
    <w:rsid w:val="007D7BDE"/>
    <w:rsid w:val="007E4DB6"/>
    <w:rsid w:val="007E73D1"/>
    <w:rsid w:val="007F0602"/>
    <w:rsid w:val="007F16D2"/>
    <w:rsid w:val="007F20F1"/>
    <w:rsid w:val="007F22BF"/>
    <w:rsid w:val="007F4D36"/>
    <w:rsid w:val="007F6227"/>
    <w:rsid w:val="007F681E"/>
    <w:rsid w:val="007F7EF1"/>
    <w:rsid w:val="00803009"/>
    <w:rsid w:val="00804A5A"/>
    <w:rsid w:val="0081717F"/>
    <w:rsid w:val="00821CB7"/>
    <w:rsid w:val="00822763"/>
    <w:rsid w:val="00824E42"/>
    <w:rsid w:val="00827BD1"/>
    <w:rsid w:val="00830DF5"/>
    <w:rsid w:val="008310A4"/>
    <w:rsid w:val="008317FB"/>
    <w:rsid w:val="008327F3"/>
    <w:rsid w:val="00842334"/>
    <w:rsid w:val="008436CE"/>
    <w:rsid w:val="00843EE5"/>
    <w:rsid w:val="0084465D"/>
    <w:rsid w:val="00846045"/>
    <w:rsid w:val="00847EF6"/>
    <w:rsid w:val="00850AFA"/>
    <w:rsid w:val="00853436"/>
    <w:rsid w:val="00854672"/>
    <w:rsid w:val="00855243"/>
    <w:rsid w:val="0085744B"/>
    <w:rsid w:val="00857E16"/>
    <w:rsid w:val="008601D9"/>
    <w:rsid w:val="00866D72"/>
    <w:rsid w:val="00870743"/>
    <w:rsid w:val="00872E1C"/>
    <w:rsid w:val="00874860"/>
    <w:rsid w:val="0088098E"/>
    <w:rsid w:val="008818E9"/>
    <w:rsid w:val="00882214"/>
    <w:rsid w:val="008841FB"/>
    <w:rsid w:val="008904E7"/>
    <w:rsid w:val="00891DEF"/>
    <w:rsid w:val="00893F0A"/>
    <w:rsid w:val="00895342"/>
    <w:rsid w:val="00895729"/>
    <w:rsid w:val="00897E47"/>
    <w:rsid w:val="008A50D0"/>
    <w:rsid w:val="008B4BCB"/>
    <w:rsid w:val="008C1765"/>
    <w:rsid w:val="008C491A"/>
    <w:rsid w:val="008D51FE"/>
    <w:rsid w:val="008E39C0"/>
    <w:rsid w:val="008E5224"/>
    <w:rsid w:val="008E5973"/>
    <w:rsid w:val="008F4729"/>
    <w:rsid w:val="008F5372"/>
    <w:rsid w:val="008F7E48"/>
    <w:rsid w:val="00916986"/>
    <w:rsid w:val="0091744A"/>
    <w:rsid w:val="00920218"/>
    <w:rsid w:val="009233C9"/>
    <w:rsid w:val="00923B47"/>
    <w:rsid w:val="00927BD7"/>
    <w:rsid w:val="009340CC"/>
    <w:rsid w:val="00934369"/>
    <w:rsid w:val="00940006"/>
    <w:rsid w:val="009417EC"/>
    <w:rsid w:val="00942A74"/>
    <w:rsid w:val="00953E54"/>
    <w:rsid w:val="009557E3"/>
    <w:rsid w:val="009641F1"/>
    <w:rsid w:val="009652BC"/>
    <w:rsid w:val="00966EA0"/>
    <w:rsid w:val="00970B0F"/>
    <w:rsid w:val="00972A77"/>
    <w:rsid w:val="009756BD"/>
    <w:rsid w:val="009826F1"/>
    <w:rsid w:val="009861B6"/>
    <w:rsid w:val="00990950"/>
    <w:rsid w:val="00991E66"/>
    <w:rsid w:val="009941E1"/>
    <w:rsid w:val="009A1E5F"/>
    <w:rsid w:val="009A4186"/>
    <w:rsid w:val="009A475C"/>
    <w:rsid w:val="009B44AC"/>
    <w:rsid w:val="009B64AE"/>
    <w:rsid w:val="009C7C33"/>
    <w:rsid w:val="009D4D92"/>
    <w:rsid w:val="009D541F"/>
    <w:rsid w:val="009D641A"/>
    <w:rsid w:val="009D6C52"/>
    <w:rsid w:val="009D7534"/>
    <w:rsid w:val="009E05EC"/>
    <w:rsid w:val="009E13C8"/>
    <w:rsid w:val="009F4A13"/>
    <w:rsid w:val="009F6334"/>
    <w:rsid w:val="00A00903"/>
    <w:rsid w:val="00A04F8B"/>
    <w:rsid w:val="00A07039"/>
    <w:rsid w:val="00A12D19"/>
    <w:rsid w:val="00A17B2E"/>
    <w:rsid w:val="00A24713"/>
    <w:rsid w:val="00A248C3"/>
    <w:rsid w:val="00A30F3C"/>
    <w:rsid w:val="00A318B8"/>
    <w:rsid w:val="00A3550F"/>
    <w:rsid w:val="00A408F5"/>
    <w:rsid w:val="00A4099D"/>
    <w:rsid w:val="00A416F0"/>
    <w:rsid w:val="00A45C5B"/>
    <w:rsid w:val="00A45EC3"/>
    <w:rsid w:val="00A460A2"/>
    <w:rsid w:val="00A4685F"/>
    <w:rsid w:val="00A569DC"/>
    <w:rsid w:val="00A60D9E"/>
    <w:rsid w:val="00A66EF9"/>
    <w:rsid w:val="00A67B79"/>
    <w:rsid w:val="00A67EAA"/>
    <w:rsid w:val="00A700A5"/>
    <w:rsid w:val="00A70FAA"/>
    <w:rsid w:val="00A7205F"/>
    <w:rsid w:val="00A747CE"/>
    <w:rsid w:val="00A77E2F"/>
    <w:rsid w:val="00A80481"/>
    <w:rsid w:val="00A81789"/>
    <w:rsid w:val="00A86130"/>
    <w:rsid w:val="00A875F9"/>
    <w:rsid w:val="00A91982"/>
    <w:rsid w:val="00A926E6"/>
    <w:rsid w:val="00A974CF"/>
    <w:rsid w:val="00AA05B3"/>
    <w:rsid w:val="00AA106B"/>
    <w:rsid w:val="00AA537A"/>
    <w:rsid w:val="00AA7AAC"/>
    <w:rsid w:val="00AB2010"/>
    <w:rsid w:val="00AB37F5"/>
    <w:rsid w:val="00AB410C"/>
    <w:rsid w:val="00AB6996"/>
    <w:rsid w:val="00AC4156"/>
    <w:rsid w:val="00AD6DAB"/>
    <w:rsid w:val="00AE339E"/>
    <w:rsid w:val="00AE56FC"/>
    <w:rsid w:val="00AE5F1A"/>
    <w:rsid w:val="00AE77B7"/>
    <w:rsid w:val="00AF11CA"/>
    <w:rsid w:val="00AF21CB"/>
    <w:rsid w:val="00AF5820"/>
    <w:rsid w:val="00B0110F"/>
    <w:rsid w:val="00B03AD0"/>
    <w:rsid w:val="00B1027C"/>
    <w:rsid w:val="00B12231"/>
    <w:rsid w:val="00B123EF"/>
    <w:rsid w:val="00B131FE"/>
    <w:rsid w:val="00B148A3"/>
    <w:rsid w:val="00B14D8D"/>
    <w:rsid w:val="00B17037"/>
    <w:rsid w:val="00B171E9"/>
    <w:rsid w:val="00B22807"/>
    <w:rsid w:val="00B33E1E"/>
    <w:rsid w:val="00B35897"/>
    <w:rsid w:val="00B4673C"/>
    <w:rsid w:val="00B479DB"/>
    <w:rsid w:val="00B50156"/>
    <w:rsid w:val="00B50273"/>
    <w:rsid w:val="00B50B36"/>
    <w:rsid w:val="00B52D81"/>
    <w:rsid w:val="00B627B4"/>
    <w:rsid w:val="00B63B0E"/>
    <w:rsid w:val="00B72CB0"/>
    <w:rsid w:val="00B76A17"/>
    <w:rsid w:val="00B779A4"/>
    <w:rsid w:val="00B80E21"/>
    <w:rsid w:val="00B81270"/>
    <w:rsid w:val="00B8354A"/>
    <w:rsid w:val="00B84B62"/>
    <w:rsid w:val="00B9076E"/>
    <w:rsid w:val="00B9112E"/>
    <w:rsid w:val="00B92962"/>
    <w:rsid w:val="00B92AC3"/>
    <w:rsid w:val="00B935EF"/>
    <w:rsid w:val="00B93651"/>
    <w:rsid w:val="00B93973"/>
    <w:rsid w:val="00B93B81"/>
    <w:rsid w:val="00B95AF1"/>
    <w:rsid w:val="00BA4E45"/>
    <w:rsid w:val="00BA6C76"/>
    <w:rsid w:val="00BB17CC"/>
    <w:rsid w:val="00BB4952"/>
    <w:rsid w:val="00BB6D7B"/>
    <w:rsid w:val="00BC0E0D"/>
    <w:rsid w:val="00BC2B09"/>
    <w:rsid w:val="00BC3CF4"/>
    <w:rsid w:val="00BC7096"/>
    <w:rsid w:val="00BD1CE7"/>
    <w:rsid w:val="00BD28B1"/>
    <w:rsid w:val="00BD2B8F"/>
    <w:rsid w:val="00BD66D3"/>
    <w:rsid w:val="00BE469E"/>
    <w:rsid w:val="00BE6049"/>
    <w:rsid w:val="00BF2C4D"/>
    <w:rsid w:val="00BF52A9"/>
    <w:rsid w:val="00C01150"/>
    <w:rsid w:val="00C0166D"/>
    <w:rsid w:val="00C02968"/>
    <w:rsid w:val="00C06172"/>
    <w:rsid w:val="00C0724F"/>
    <w:rsid w:val="00C1271B"/>
    <w:rsid w:val="00C152C3"/>
    <w:rsid w:val="00C167BB"/>
    <w:rsid w:val="00C22E19"/>
    <w:rsid w:val="00C31FE8"/>
    <w:rsid w:val="00C3221F"/>
    <w:rsid w:val="00C334C6"/>
    <w:rsid w:val="00C351C2"/>
    <w:rsid w:val="00C369A1"/>
    <w:rsid w:val="00C40F73"/>
    <w:rsid w:val="00C461A0"/>
    <w:rsid w:val="00C506A6"/>
    <w:rsid w:val="00C53D1C"/>
    <w:rsid w:val="00C540E3"/>
    <w:rsid w:val="00C54B05"/>
    <w:rsid w:val="00C56BD4"/>
    <w:rsid w:val="00C61DF1"/>
    <w:rsid w:val="00C624F9"/>
    <w:rsid w:val="00C62F99"/>
    <w:rsid w:val="00C64D95"/>
    <w:rsid w:val="00C65D8B"/>
    <w:rsid w:val="00C66113"/>
    <w:rsid w:val="00C709B0"/>
    <w:rsid w:val="00C75571"/>
    <w:rsid w:val="00C7608B"/>
    <w:rsid w:val="00C76D20"/>
    <w:rsid w:val="00C90918"/>
    <w:rsid w:val="00C90F38"/>
    <w:rsid w:val="00C95F9D"/>
    <w:rsid w:val="00CA1EED"/>
    <w:rsid w:val="00CA4F25"/>
    <w:rsid w:val="00CA7ED2"/>
    <w:rsid w:val="00CB756B"/>
    <w:rsid w:val="00CC0E33"/>
    <w:rsid w:val="00CC3AA8"/>
    <w:rsid w:val="00CC5273"/>
    <w:rsid w:val="00CC59B1"/>
    <w:rsid w:val="00CC66B9"/>
    <w:rsid w:val="00CD3303"/>
    <w:rsid w:val="00CD77DD"/>
    <w:rsid w:val="00CE1132"/>
    <w:rsid w:val="00CE4DAF"/>
    <w:rsid w:val="00CE5064"/>
    <w:rsid w:val="00CE53BD"/>
    <w:rsid w:val="00CE5CA3"/>
    <w:rsid w:val="00CF281F"/>
    <w:rsid w:val="00CF3AE3"/>
    <w:rsid w:val="00CF4505"/>
    <w:rsid w:val="00D0741A"/>
    <w:rsid w:val="00D15F30"/>
    <w:rsid w:val="00D245ED"/>
    <w:rsid w:val="00D30D55"/>
    <w:rsid w:val="00D34925"/>
    <w:rsid w:val="00D349AB"/>
    <w:rsid w:val="00D40A33"/>
    <w:rsid w:val="00D41D43"/>
    <w:rsid w:val="00D4704C"/>
    <w:rsid w:val="00D60EAD"/>
    <w:rsid w:val="00D6303D"/>
    <w:rsid w:val="00D631E7"/>
    <w:rsid w:val="00D63B84"/>
    <w:rsid w:val="00D66343"/>
    <w:rsid w:val="00D6692F"/>
    <w:rsid w:val="00D7308B"/>
    <w:rsid w:val="00D741A2"/>
    <w:rsid w:val="00D77A53"/>
    <w:rsid w:val="00D815F2"/>
    <w:rsid w:val="00D8635B"/>
    <w:rsid w:val="00D86ABB"/>
    <w:rsid w:val="00D92186"/>
    <w:rsid w:val="00D9512C"/>
    <w:rsid w:val="00D97A9F"/>
    <w:rsid w:val="00DA34CC"/>
    <w:rsid w:val="00DA7380"/>
    <w:rsid w:val="00DB39D5"/>
    <w:rsid w:val="00DB3C6B"/>
    <w:rsid w:val="00DC3ED7"/>
    <w:rsid w:val="00DC4EAE"/>
    <w:rsid w:val="00DC544A"/>
    <w:rsid w:val="00DC79DC"/>
    <w:rsid w:val="00DD114B"/>
    <w:rsid w:val="00DD1F7B"/>
    <w:rsid w:val="00DD3ECC"/>
    <w:rsid w:val="00DD6268"/>
    <w:rsid w:val="00DE56E9"/>
    <w:rsid w:val="00DF037B"/>
    <w:rsid w:val="00DF26D0"/>
    <w:rsid w:val="00DF3D9F"/>
    <w:rsid w:val="00DF5F38"/>
    <w:rsid w:val="00DF6796"/>
    <w:rsid w:val="00E054AE"/>
    <w:rsid w:val="00E06175"/>
    <w:rsid w:val="00E10218"/>
    <w:rsid w:val="00E103A9"/>
    <w:rsid w:val="00E12360"/>
    <w:rsid w:val="00E123E3"/>
    <w:rsid w:val="00E163EA"/>
    <w:rsid w:val="00E16D2D"/>
    <w:rsid w:val="00E344D8"/>
    <w:rsid w:val="00E441D0"/>
    <w:rsid w:val="00E45707"/>
    <w:rsid w:val="00E52442"/>
    <w:rsid w:val="00E55735"/>
    <w:rsid w:val="00E55FC1"/>
    <w:rsid w:val="00E57EC3"/>
    <w:rsid w:val="00E63A7F"/>
    <w:rsid w:val="00E651C0"/>
    <w:rsid w:val="00E675B9"/>
    <w:rsid w:val="00E70A55"/>
    <w:rsid w:val="00E7269E"/>
    <w:rsid w:val="00E74D4A"/>
    <w:rsid w:val="00E75CE8"/>
    <w:rsid w:val="00E77FEF"/>
    <w:rsid w:val="00E943BC"/>
    <w:rsid w:val="00E94FAD"/>
    <w:rsid w:val="00EA141A"/>
    <w:rsid w:val="00EA22C7"/>
    <w:rsid w:val="00EA2ADD"/>
    <w:rsid w:val="00EA3434"/>
    <w:rsid w:val="00EA3BC0"/>
    <w:rsid w:val="00EA5091"/>
    <w:rsid w:val="00EB0CA9"/>
    <w:rsid w:val="00EB4F05"/>
    <w:rsid w:val="00EB6927"/>
    <w:rsid w:val="00EC1B8A"/>
    <w:rsid w:val="00EC336C"/>
    <w:rsid w:val="00EC4BD1"/>
    <w:rsid w:val="00EC59BB"/>
    <w:rsid w:val="00ED3216"/>
    <w:rsid w:val="00ED7570"/>
    <w:rsid w:val="00EE1C1D"/>
    <w:rsid w:val="00EE3D8C"/>
    <w:rsid w:val="00EE4907"/>
    <w:rsid w:val="00EE51B9"/>
    <w:rsid w:val="00EE7830"/>
    <w:rsid w:val="00EF1358"/>
    <w:rsid w:val="00EF30E3"/>
    <w:rsid w:val="00EF5C62"/>
    <w:rsid w:val="00EF5F87"/>
    <w:rsid w:val="00EF6861"/>
    <w:rsid w:val="00F04D00"/>
    <w:rsid w:val="00F05F16"/>
    <w:rsid w:val="00F07FBC"/>
    <w:rsid w:val="00F13744"/>
    <w:rsid w:val="00F15A6B"/>
    <w:rsid w:val="00F174F0"/>
    <w:rsid w:val="00F213EC"/>
    <w:rsid w:val="00F27A9E"/>
    <w:rsid w:val="00F33E80"/>
    <w:rsid w:val="00F34ED5"/>
    <w:rsid w:val="00F37735"/>
    <w:rsid w:val="00F42E45"/>
    <w:rsid w:val="00F44EBD"/>
    <w:rsid w:val="00F5147B"/>
    <w:rsid w:val="00F52878"/>
    <w:rsid w:val="00F53EEB"/>
    <w:rsid w:val="00F54231"/>
    <w:rsid w:val="00F54DF7"/>
    <w:rsid w:val="00F60D56"/>
    <w:rsid w:val="00F6380F"/>
    <w:rsid w:val="00F72EE8"/>
    <w:rsid w:val="00F761D5"/>
    <w:rsid w:val="00F76B55"/>
    <w:rsid w:val="00F76E1F"/>
    <w:rsid w:val="00F80BAD"/>
    <w:rsid w:val="00F81293"/>
    <w:rsid w:val="00F82EBC"/>
    <w:rsid w:val="00F837D9"/>
    <w:rsid w:val="00F84517"/>
    <w:rsid w:val="00F84AFE"/>
    <w:rsid w:val="00F912D4"/>
    <w:rsid w:val="00F92AE9"/>
    <w:rsid w:val="00F96B5D"/>
    <w:rsid w:val="00FA2493"/>
    <w:rsid w:val="00FA33DD"/>
    <w:rsid w:val="00FA6FF4"/>
    <w:rsid w:val="00FB0A86"/>
    <w:rsid w:val="00FC0A01"/>
    <w:rsid w:val="00FC10C8"/>
    <w:rsid w:val="00FC1746"/>
    <w:rsid w:val="00FC5552"/>
    <w:rsid w:val="00FD1173"/>
    <w:rsid w:val="00FD119E"/>
    <w:rsid w:val="00FD2FFC"/>
    <w:rsid w:val="00FD4A11"/>
    <w:rsid w:val="00FE271C"/>
    <w:rsid w:val="00FF3276"/>
    <w:rsid w:val="00FF63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73"/>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9F4A13"/>
    <w:rPr>
      <w:rFonts w:ascii="Arial" w:eastAsiaTheme="minorEastAsia" w:hAnsi="Arial" w:cs="Arial"/>
      <w:sz w:val="24"/>
      <w:szCs w:val="24"/>
      <w:lang w:eastAsia="en-ZA"/>
    </w:rPr>
  </w:style>
  <w:style w:type="paragraph" w:customStyle="1" w:styleId="JUDGMENTNUMBERED">
    <w:name w:val="JUDGMENT NUMBERED"/>
    <w:basedOn w:val="Normal"/>
    <w:next w:val="JUDGMENTCONTINUED"/>
    <w:link w:val="JUDGMENTNUMBEREDChar"/>
    <w:qFormat/>
    <w:rsid w:val="00B93973"/>
    <w:pPr>
      <w:numPr>
        <w:numId w:val="7"/>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93973"/>
    <w:pPr>
      <w:numPr>
        <w:numId w:val="0"/>
      </w:numPr>
    </w:pPr>
  </w:style>
  <w:style w:type="character" w:customStyle="1" w:styleId="JUDGMENTNUMBEREDChar">
    <w:name w:val="JUDGMENT NUMBERED Char"/>
    <w:basedOn w:val="DefaultParagraphFont"/>
    <w:link w:val="JUDGMENTNUMBERED"/>
    <w:locked/>
    <w:rsid w:val="00B93973"/>
    <w:rPr>
      <w:rFonts w:ascii="Times New Roman" w:eastAsia="Times New Roman" w:hAnsi="Times New Roman" w:cs="Times New Roman"/>
      <w:sz w:val="26"/>
    </w:rPr>
  </w:style>
  <w:style w:type="table" w:styleId="TableGrid">
    <w:name w:val="Table Grid"/>
    <w:basedOn w:val="TableNormal"/>
    <w:uiPriority w:val="39"/>
    <w:rsid w:val="0061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34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697199221">
      <w:bodyDiv w:val="1"/>
      <w:marLeft w:val="0"/>
      <w:marRight w:val="0"/>
      <w:marTop w:val="0"/>
      <w:marBottom w:val="0"/>
      <w:divBdr>
        <w:top w:val="none" w:sz="0" w:space="0" w:color="auto"/>
        <w:left w:val="none" w:sz="0" w:space="0" w:color="auto"/>
        <w:bottom w:val="none" w:sz="0" w:space="0" w:color="auto"/>
        <w:right w:val="none" w:sz="0" w:space="0" w:color="auto"/>
      </w:divBdr>
      <w:divsChild>
        <w:div w:id="632515326">
          <w:marLeft w:val="0"/>
          <w:marRight w:val="0"/>
          <w:marTop w:val="120"/>
          <w:marBottom w:val="0"/>
          <w:divBdr>
            <w:top w:val="none" w:sz="0" w:space="0" w:color="auto"/>
            <w:left w:val="none" w:sz="0" w:space="0" w:color="auto"/>
            <w:bottom w:val="none" w:sz="0" w:space="0" w:color="auto"/>
            <w:right w:val="none" w:sz="0" w:space="0" w:color="auto"/>
          </w:divBdr>
        </w:div>
        <w:div w:id="1196771972">
          <w:marLeft w:val="567"/>
          <w:marRight w:val="0"/>
          <w:marTop w:val="60"/>
          <w:marBottom w:val="0"/>
          <w:divBdr>
            <w:top w:val="none" w:sz="0" w:space="0" w:color="auto"/>
            <w:left w:val="none" w:sz="0" w:space="0" w:color="auto"/>
            <w:bottom w:val="none" w:sz="0" w:space="0" w:color="auto"/>
            <w:right w:val="none" w:sz="0" w:space="0" w:color="auto"/>
          </w:divBdr>
        </w:div>
        <w:div w:id="1257664960">
          <w:marLeft w:val="0"/>
          <w:marRight w:val="0"/>
          <w:marTop w:val="120"/>
          <w:marBottom w:val="0"/>
          <w:divBdr>
            <w:top w:val="none" w:sz="0" w:space="0" w:color="auto"/>
            <w:left w:val="none" w:sz="0" w:space="0" w:color="auto"/>
            <w:bottom w:val="none" w:sz="0" w:space="0" w:color="auto"/>
            <w:right w:val="none" w:sz="0" w:space="0" w:color="auto"/>
          </w:divBdr>
        </w:div>
        <w:div w:id="45569715">
          <w:marLeft w:val="0"/>
          <w:marRight w:val="0"/>
          <w:marTop w:val="120"/>
          <w:marBottom w:val="0"/>
          <w:divBdr>
            <w:top w:val="none" w:sz="0" w:space="0" w:color="auto"/>
            <w:left w:val="none" w:sz="0" w:space="0" w:color="auto"/>
            <w:bottom w:val="none" w:sz="0" w:space="0" w:color="auto"/>
            <w:right w:val="none" w:sz="0" w:space="0" w:color="auto"/>
          </w:divBdr>
        </w:div>
        <w:div w:id="1097605173">
          <w:marLeft w:val="567"/>
          <w:marRight w:val="0"/>
          <w:marTop w:val="6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361930759">
      <w:bodyDiv w:val="1"/>
      <w:marLeft w:val="0"/>
      <w:marRight w:val="0"/>
      <w:marTop w:val="0"/>
      <w:marBottom w:val="0"/>
      <w:divBdr>
        <w:top w:val="none" w:sz="0" w:space="0" w:color="auto"/>
        <w:left w:val="none" w:sz="0" w:space="0" w:color="auto"/>
        <w:bottom w:val="none" w:sz="0" w:space="0" w:color="auto"/>
        <w:right w:val="none" w:sz="0" w:space="0" w:color="auto"/>
      </w:divBdr>
    </w:div>
    <w:div w:id="1419256375">
      <w:bodyDiv w:val="1"/>
      <w:marLeft w:val="0"/>
      <w:marRight w:val="0"/>
      <w:marTop w:val="0"/>
      <w:marBottom w:val="0"/>
      <w:divBdr>
        <w:top w:val="none" w:sz="0" w:space="0" w:color="auto"/>
        <w:left w:val="none" w:sz="0" w:space="0" w:color="auto"/>
        <w:bottom w:val="none" w:sz="0" w:space="0" w:color="auto"/>
        <w:right w:val="none" w:sz="0" w:space="0" w:color="auto"/>
      </w:divBdr>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584559673">
      <w:bodyDiv w:val="1"/>
      <w:marLeft w:val="0"/>
      <w:marRight w:val="0"/>
      <w:marTop w:val="0"/>
      <w:marBottom w:val="0"/>
      <w:divBdr>
        <w:top w:val="none" w:sz="0" w:space="0" w:color="auto"/>
        <w:left w:val="none" w:sz="0" w:space="0" w:color="auto"/>
        <w:bottom w:val="none" w:sz="0" w:space="0" w:color="auto"/>
        <w:right w:val="none" w:sz="0" w:space="0" w:color="auto"/>
      </w:divBdr>
    </w:div>
    <w:div w:id="1738238869">
      <w:bodyDiv w:val="1"/>
      <w:marLeft w:val="0"/>
      <w:marRight w:val="0"/>
      <w:marTop w:val="0"/>
      <w:marBottom w:val="0"/>
      <w:divBdr>
        <w:top w:val="none" w:sz="0" w:space="0" w:color="auto"/>
        <w:left w:val="none" w:sz="0" w:space="0" w:color="auto"/>
        <w:bottom w:val="none" w:sz="0" w:space="0" w:color="auto"/>
        <w:right w:val="none" w:sz="0" w:space="0" w:color="auto"/>
      </w:divBdr>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587C-00E8-4E50-9889-DDE4B928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Mokone</cp:lastModifiedBy>
  <cp:revision>2</cp:revision>
  <cp:lastPrinted>2023-08-15T06:44:00Z</cp:lastPrinted>
  <dcterms:created xsi:type="dcterms:W3CDTF">2023-08-21T07:06:00Z</dcterms:created>
  <dcterms:modified xsi:type="dcterms:W3CDTF">2023-08-21T07:06:00Z</dcterms:modified>
</cp:coreProperties>
</file>