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8B60" w14:textId="5A4C987C" w:rsidR="00C022A7" w:rsidRDefault="00C022A7" w:rsidP="00EF11A8">
      <w:pPr>
        <w:ind w:left="2160" w:firstLine="720"/>
        <w:rPr>
          <w:rFonts w:ascii="Arial" w:hAnsi="Arial" w:cs="Arial"/>
          <w:b/>
          <w:u w:val="single"/>
        </w:rPr>
      </w:pPr>
      <w:r w:rsidRPr="000531EC">
        <w:rPr>
          <w:b/>
          <w:bCs/>
          <w:noProof/>
        </w:rPr>
        <w:drawing>
          <wp:anchor distT="0" distB="0" distL="114300" distR="114300" simplePos="0" relativeHeight="251661312" behindDoc="1" locked="0" layoutInCell="1" allowOverlap="1" wp14:anchorId="4782A191" wp14:editId="771B9A1B">
            <wp:simplePos x="0" y="0"/>
            <wp:positionH relativeFrom="column">
              <wp:posOffset>617220</wp:posOffset>
            </wp:positionH>
            <wp:positionV relativeFrom="paragraph">
              <wp:posOffset>0</wp:posOffset>
            </wp:positionV>
            <wp:extent cx="4610100" cy="219075"/>
            <wp:effectExtent l="0" t="0" r="0" b="9525"/>
            <wp:wrapThrough wrapText="bothSides">
              <wp:wrapPolygon edited="0">
                <wp:start x="0" y="0"/>
                <wp:lineTo x="0" y="20661"/>
                <wp:lineTo x="21511" y="20661"/>
                <wp:lineTo x="215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10100" cy="219075"/>
                    </a:xfrm>
                    <a:prstGeom prst="rect">
                      <a:avLst/>
                    </a:prstGeom>
                  </pic:spPr>
                </pic:pic>
              </a:graphicData>
            </a:graphic>
          </wp:anchor>
        </w:drawing>
      </w:r>
    </w:p>
    <w:p w14:paraId="37FFB0C6" w14:textId="77777777" w:rsidR="00C022A7" w:rsidRDefault="00C022A7" w:rsidP="00EF11A8">
      <w:pPr>
        <w:ind w:left="2160" w:firstLine="720"/>
        <w:rPr>
          <w:rFonts w:ascii="Arial" w:hAnsi="Arial" w:cs="Arial"/>
          <w:b/>
          <w:u w:val="single"/>
        </w:rPr>
      </w:pPr>
    </w:p>
    <w:p w14:paraId="560BD83D" w14:textId="77777777" w:rsidR="00C022A7" w:rsidRDefault="00C022A7" w:rsidP="00EF11A8">
      <w:pPr>
        <w:ind w:left="2160" w:firstLine="720"/>
        <w:rPr>
          <w:rFonts w:ascii="Arial" w:hAnsi="Arial" w:cs="Arial"/>
          <w:b/>
          <w:u w:val="single"/>
        </w:rPr>
      </w:pPr>
    </w:p>
    <w:p w14:paraId="2B717073" w14:textId="77777777" w:rsidR="00C022A7" w:rsidRDefault="00C022A7" w:rsidP="00EF11A8">
      <w:pPr>
        <w:ind w:left="2160" w:firstLine="720"/>
        <w:rPr>
          <w:rFonts w:ascii="Arial" w:hAnsi="Arial" w:cs="Arial"/>
          <w:b/>
          <w:u w:val="single"/>
        </w:rPr>
      </w:pPr>
    </w:p>
    <w:p w14:paraId="55D4A862" w14:textId="77777777" w:rsidR="00C022A7" w:rsidRDefault="00C022A7" w:rsidP="00EF11A8">
      <w:pPr>
        <w:ind w:left="2160" w:firstLine="720"/>
        <w:rPr>
          <w:rFonts w:ascii="Arial" w:hAnsi="Arial" w:cs="Arial"/>
          <w:b/>
          <w:u w:val="single"/>
        </w:rPr>
      </w:pPr>
    </w:p>
    <w:p w14:paraId="6E6AC328" w14:textId="39F3B788" w:rsidR="00EF11A8" w:rsidRDefault="00EF11A8" w:rsidP="00EF11A8">
      <w:pPr>
        <w:ind w:left="2160" w:firstLine="720"/>
        <w:rPr>
          <w:rFonts w:ascii="Arial" w:hAnsi="Arial" w:cs="Arial"/>
          <w:b/>
          <w:u w:val="single"/>
        </w:rPr>
      </w:pPr>
      <w:r w:rsidRPr="005B354E">
        <w:rPr>
          <w:rFonts w:asciiTheme="minorHAnsi" w:eastAsiaTheme="minorHAnsi" w:hAnsiTheme="minorHAnsi" w:cstheme="minorBidi"/>
          <w:noProof/>
          <w:lang w:val="en-ZA" w:eastAsia="en-ZA"/>
        </w:rPr>
        <w:drawing>
          <wp:anchor distT="0" distB="0" distL="114300" distR="114300" simplePos="0" relativeHeight="251659264" behindDoc="1" locked="0" layoutInCell="1" allowOverlap="1" wp14:anchorId="0A43A4DC" wp14:editId="601840D2">
            <wp:simplePos x="0" y="0"/>
            <wp:positionH relativeFrom="margin">
              <wp:posOffset>2089150</wp:posOffset>
            </wp:positionH>
            <wp:positionV relativeFrom="paragraph">
              <wp:posOffset>-717550</wp:posOffset>
            </wp:positionV>
            <wp:extent cx="1797050" cy="16687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9705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DB5F8" w14:textId="77777777" w:rsidR="00EF11A8" w:rsidRDefault="00EF11A8" w:rsidP="00EF11A8">
      <w:pPr>
        <w:ind w:left="2160" w:firstLine="720"/>
        <w:rPr>
          <w:rFonts w:ascii="Arial" w:hAnsi="Arial" w:cs="Arial"/>
          <w:b/>
          <w:u w:val="single"/>
        </w:rPr>
      </w:pPr>
    </w:p>
    <w:p w14:paraId="3ECA95E1" w14:textId="77777777" w:rsidR="00EF11A8" w:rsidRDefault="00EF11A8" w:rsidP="00EF11A8">
      <w:pPr>
        <w:ind w:left="2160" w:firstLine="720"/>
        <w:rPr>
          <w:rFonts w:ascii="Arial" w:hAnsi="Arial" w:cs="Arial"/>
          <w:b/>
          <w:u w:val="single"/>
        </w:rPr>
      </w:pPr>
    </w:p>
    <w:p w14:paraId="7CE4A7B6" w14:textId="77777777" w:rsidR="00EF11A8" w:rsidRDefault="00EF11A8" w:rsidP="00EF11A8">
      <w:pPr>
        <w:ind w:left="2160" w:firstLine="720"/>
        <w:rPr>
          <w:rFonts w:ascii="Arial" w:hAnsi="Arial" w:cs="Arial"/>
          <w:b/>
          <w:u w:val="single"/>
        </w:rPr>
      </w:pPr>
    </w:p>
    <w:p w14:paraId="6B02DC30" w14:textId="77777777" w:rsidR="00EF11A8" w:rsidRDefault="00EF11A8" w:rsidP="00EF11A8">
      <w:pPr>
        <w:ind w:left="2160" w:firstLine="720"/>
        <w:rPr>
          <w:rFonts w:ascii="Arial" w:hAnsi="Arial" w:cs="Arial"/>
          <w:b/>
          <w:u w:val="single"/>
        </w:rPr>
      </w:pPr>
    </w:p>
    <w:p w14:paraId="67C60D01" w14:textId="77777777" w:rsidR="00DC6873" w:rsidRDefault="00DC6873" w:rsidP="00EF11A8">
      <w:pPr>
        <w:ind w:left="2160" w:firstLine="720"/>
        <w:rPr>
          <w:rFonts w:ascii="Arial" w:hAnsi="Arial" w:cs="Arial"/>
          <w:b/>
          <w:u w:val="single"/>
        </w:rPr>
      </w:pPr>
    </w:p>
    <w:p w14:paraId="33EDCB09" w14:textId="77777777" w:rsidR="00EF11A8" w:rsidRDefault="00EF11A8" w:rsidP="00EF11A8">
      <w:pPr>
        <w:ind w:left="1440" w:firstLine="720"/>
        <w:rPr>
          <w:rFonts w:ascii="Arial" w:hAnsi="Arial" w:cs="Arial"/>
          <w:b/>
          <w:u w:val="single"/>
        </w:rPr>
      </w:pPr>
      <w:r>
        <w:rPr>
          <w:rFonts w:ascii="Arial" w:hAnsi="Arial" w:cs="Arial"/>
          <w:b/>
          <w:u w:val="single"/>
        </w:rPr>
        <w:t>IN THE HIGH COURT OF SOUTH AFRICA,</w:t>
      </w:r>
    </w:p>
    <w:p w14:paraId="4492F2C8" w14:textId="77777777" w:rsidR="00EF11A8" w:rsidRDefault="00EF11A8" w:rsidP="00EF11A8">
      <w:pPr>
        <w:ind w:left="1440" w:firstLine="720"/>
        <w:rPr>
          <w:rFonts w:ascii="Arial" w:hAnsi="Arial" w:cs="Arial"/>
          <w:b/>
          <w:u w:val="single"/>
        </w:rPr>
      </w:pPr>
      <w:r>
        <w:rPr>
          <w:rFonts w:ascii="Arial" w:hAnsi="Arial" w:cs="Arial"/>
          <w:b/>
          <w:u w:val="single"/>
        </w:rPr>
        <w:t>FREE STATE DIVISION, BLOEMFONTEIN</w:t>
      </w:r>
    </w:p>
    <w:p w14:paraId="5478CCAE" w14:textId="77777777" w:rsidR="003F2617" w:rsidRDefault="003F2617" w:rsidP="00EF11A8">
      <w:pPr>
        <w:ind w:left="1440" w:firstLine="720"/>
        <w:rPr>
          <w:rFonts w:ascii="Arial" w:hAnsi="Arial" w:cs="Arial"/>
          <w:b/>
          <w:u w:val="single"/>
        </w:rPr>
      </w:pPr>
    </w:p>
    <w:p w14:paraId="395109E0" w14:textId="77777777" w:rsidR="003F2617"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14:paraId="2F2A2E5F" w14:textId="77777777" w:rsidTr="007C235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4A7F8" w14:textId="77777777" w:rsidR="00EF11A8" w:rsidRPr="005D6CBF" w:rsidRDefault="00EF11A8" w:rsidP="007C2356">
            <w:pPr>
              <w:rPr>
                <w:rFonts w:ascii="Arial" w:hAnsi="Arial" w:cs="Arial"/>
                <w:b/>
                <w:sz w:val="16"/>
                <w:szCs w:val="16"/>
              </w:rPr>
            </w:pPr>
            <w:r w:rsidRPr="005D6CBF">
              <w:rPr>
                <w:rFonts w:ascii="Arial" w:hAnsi="Arial" w:cs="Arial"/>
                <w:b/>
                <w:sz w:val="16"/>
                <w:szCs w:val="16"/>
              </w:rPr>
              <w:t>Reportable:                              NO</w:t>
            </w:r>
          </w:p>
          <w:p w14:paraId="68DCCDE0" w14:textId="77777777" w:rsidR="00EF11A8" w:rsidRPr="005D6CBF" w:rsidRDefault="00EF11A8" w:rsidP="007C2356">
            <w:pPr>
              <w:rPr>
                <w:rFonts w:ascii="Arial" w:hAnsi="Arial" w:cs="Arial"/>
                <w:b/>
                <w:sz w:val="16"/>
                <w:szCs w:val="16"/>
              </w:rPr>
            </w:pPr>
            <w:r w:rsidRPr="005D6CBF">
              <w:rPr>
                <w:rFonts w:ascii="Arial" w:hAnsi="Arial" w:cs="Arial"/>
                <w:b/>
                <w:sz w:val="16"/>
                <w:szCs w:val="16"/>
              </w:rPr>
              <w:t>Of Interest to other Judges:   NO</w:t>
            </w:r>
          </w:p>
          <w:p w14:paraId="79D30315" w14:textId="77777777" w:rsidR="00EF11A8" w:rsidRPr="005D6CBF" w:rsidRDefault="00EF11A8" w:rsidP="007C2356">
            <w:pPr>
              <w:rPr>
                <w:rFonts w:ascii="Arial" w:hAnsi="Arial" w:cs="Arial"/>
                <w:b/>
                <w:sz w:val="16"/>
                <w:szCs w:val="16"/>
                <w:u w:val="single"/>
              </w:rPr>
            </w:pPr>
            <w:r w:rsidRPr="005D6CBF">
              <w:rPr>
                <w:rFonts w:ascii="Arial" w:hAnsi="Arial" w:cs="Arial"/>
                <w:b/>
                <w:sz w:val="16"/>
                <w:szCs w:val="16"/>
              </w:rPr>
              <w:t>Circulate to Magistrates:        NO</w:t>
            </w:r>
          </w:p>
        </w:tc>
      </w:tr>
    </w:tbl>
    <w:p w14:paraId="0041C22A" w14:textId="77777777" w:rsidR="00EF11A8" w:rsidRDefault="00EF11A8" w:rsidP="00EF11A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75C27BF4" w14:textId="77777777" w:rsidR="00781F07" w:rsidRPr="005D6CBF" w:rsidRDefault="00EF11A8" w:rsidP="00EF11A8">
      <w:pPr>
        <w:jc w:val="right"/>
        <w:rPr>
          <w:rFonts w:ascii="Arial" w:hAnsi="Arial" w:cs="Arial"/>
          <w:b/>
        </w:rPr>
      </w:pPr>
      <w:r w:rsidRPr="005D6CBF">
        <w:rPr>
          <w:rFonts w:ascii="Arial" w:hAnsi="Arial" w:cs="Arial"/>
          <w:b/>
        </w:rPr>
        <w:tab/>
      </w:r>
      <w:r w:rsidRPr="005D6CBF">
        <w:rPr>
          <w:rFonts w:ascii="Arial" w:hAnsi="Arial" w:cs="Arial"/>
          <w:b/>
        </w:rPr>
        <w:tab/>
      </w:r>
      <w:r w:rsidRPr="005D6CBF">
        <w:rPr>
          <w:rFonts w:ascii="Arial" w:hAnsi="Arial" w:cs="Arial"/>
          <w:b/>
        </w:rPr>
        <w:tab/>
      </w:r>
      <w:r w:rsidRPr="005D6CBF">
        <w:rPr>
          <w:rFonts w:ascii="Arial" w:hAnsi="Arial" w:cs="Arial"/>
          <w:b/>
        </w:rPr>
        <w:tab/>
      </w:r>
      <w:r w:rsidR="00781F07" w:rsidRPr="005D6CBF">
        <w:rPr>
          <w:rFonts w:ascii="Arial" w:hAnsi="Arial" w:cs="Arial"/>
          <w:b/>
        </w:rPr>
        <w:t xml:space="preserve"> </w:t>
      </w:r>
      <w:r w:rsidR="0094642F" w:rsidRPr="005D6CBF">
        <w:rPr>
          <w:rFonts w:ascii="Arial" w:hAnsi="Arial" w:cs="Arial"/>
          <w:b/>
        </w:rPr>
        <w:t>C</w:t>
      </w:r>
      <w:r w:rsidR="004E243D">
        <w:rPr>
          <w:rFonts w:ascii="Arial" w:hAnsi="Arial" w:cs="Arial"/>
          <w:b/>
        </w:rPr>
        <w:t>ase No</w:t>
      </w:r>
      <w:r w:rsidR="00781F07" w:rsidRPr="005D6CBF">
        <w:rPr>
          <w:rFonts w:ascii="Arial" w:hAnsi="Arial" w:cs="Arial"/>
          <w:b/>
        </w:rPr>
        <w:t xml:space="preserve">: </w:t>
      </w:r>
      <w:r w:rsidR="00AF7950">
        <w:rPr>
          <w:rFonts w:ascii="Arial" w:hAnsi="Arial" w:cs="Arial"/>
          <w:b/>
        </w:rPr>
        <w:t>3979</w:t>
      </w:r>
      <w:r w:rsidR="00781F07" w:rsidRPr="005D6CBF">
        <w:rPr>
          <w:rFonts w:ascii="Arial" w:hAnsi="Arial" w:cs="Arial"/>
          <w:b/>
        </w:rPr>
        <w:t>/20</w:t>
      </w:r>
      <w:r w:rsidR="0046504C">
        <w:rPr>
          <w:rFonts w:ascii="Arial" w:hAnsi="Arial" w:cs="Arial"/>
          <w:b/>
        </w:rPr>
        <w:t>2</w:t>
      </w:r>
      <w:r w:rsidR="00AF7950">
        <w:rPr>
          <w:rFonts w:ascii="Arial" w:hAnsi="Arial" w:cs="Arial"/>
          <w:b/>
        </w:rPr>
        <w:t>0</w:t>
      </w:r>
    </w:p>
    <w:p w14:paraId="411A3069" w14:textId="77777777" w:rsidR="00EF11A8" w:rsidRPr="005D6CBF" w:rsidRDefault="00EF11A8" w:rsidP="00EF11A8">
      <w:pPr>
        <w:jc w:val="right"/>
        <w:rPr>
          <w:rFonts w:ascii="Arial" w:hAnsi="Arial" w:cs="Arial"/>
        </w:rPr>
      </w:pPr>
      <w:r w:rsidRPr="005D6CBF">
        <w:rPr>
          <w:rFonts w:ascii="Arial" w:hAnsi="Arial" w:cs="Arial"/>
        </w:rPr>
        <w:t xml:space="preserve"> </w:t>
      </w:r>
      <w:r w:rsidRPr="005D6CBF">
        <w:rPr>
          <w:rFonts w:ascii="Arial" w:hAnsi="Arial" w:cs="Arial"/>
        </w:rPr>
        <w:tab/>
        <w:t xml:space="preserve"> </w:t>
      </w:r>
    </w:p>
    <w:p w14:paraId="24BFFC3F" w14:textId="77777777" w:rsidR="00781F07" w:rsidRPr="005D6CBF" w:rsidRDefault="00EF11A8" w:rsidP="00EF11A8">
      <w:pPr>
        <w:jc w:val="both"/>
        <w:rPr>
          <w:rFonts w:ascii="Arial" w:hAnsi="Arial" w:cs="Arial"/>
        </w:rPr>
      </w:pPr>
      <w:r w:rsidRPr="005D6CBF">
        <w:rPr>
          <w:rFonts w:ascii="Arial" w:hAnsi="Arial" w:cs="Arial"/>
        </w:rPr>
        <w:t>In the matter between:</w:t>
      </w:r>
    </w:p>
    <w:p w14:paraId="743CB707" w14:textId="77777777" w:rsidR="00EF11A8" w:rsidRPr="005D6CBF" w:rsidRDefault="00EF11A8" w:rsidP="00EF11A8">
      <w:pPr>
        <w:jc w:val="both"/>
        <w:rPr>
          <w:rFonts w:ascii="Arial" w:hAnsi="Arial" w:cs="Arial"/>
        </w:rPr>
      </w:pPr>
      <w:r w:rsidRPr="005D6CBF">
        <w:rPr>
          <w:rFonts w:ascii="Arial" w:hAnsi="Arial" w:cs="Arial"/>
        </w:rPr>
        <w:t xml:space="preserve"> </w:t>
      </w:r>
    </w:p>
    <w:p w14:paraId="584685F2" w14:textId="77777777" w:rsidR="00EF11A8" w:rsidRDefault="00AF7950"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rPr>
      </w:pPr>
      <w:r>
        <w:rPr>
          <w:rFonts w:ascii="Arial" w:hAnsi="Arial" w:cs="Arial"/>
          <w:b/>
        </w:rPr>
        <w:t>SB GUARANTEE COMPANY (RF) PROPRIETARY</w:t>
      </w:r>
      <w:r w:rsidR="005D6CBF">
        <w:rPr>
          <w:rFonts w:ascii="Arial" w:hAnsi="Arial" w:cs="Arial"/>
          <w:b/>
        </w:rPr>
        <w:t xml:space="preserve">       </w:t>
      </w:r>
      <w:r>
        <w:rPr>
          <w:rFonts w:ascii="Arial" w:hAnsi="Arial" w:cs="Arial"/>
          <w:b/>
        </w:rPr>
        <w:tab/>
      </w:r>
      <w:r>
        <w:rPr>
          <w:rFonts w:ascii="Arial" w:hAnsi="Arial" w:cs="Arial"/>
          <w:b/>
        </w:rPr>
        <w:tab/>
      </w:r>
      <w:r>
        <w:rPr>
          <w:rFonts w:ascii="Arial" w:hAnsi="Arial" w:cs="Arial"/>
        </w:rPr>
        <w:t>Plaintiff</w:t>
      </w:r>
      <w:r w:rsidR="0046504C" w:rsidRPr="0046504C">
        <w:rPr>
          <w:rFonts w:ascii="Arial" w:hAnsi="Arial" w:cs="Arial"/>
        </w:rPr>
        <w:t xml:space="preserve"> </w:t>
      </w:r>
    </w:p>
    <w:p w14:paraId="248D7F3D" w14:textId="77777777" w:rsidR="004E243D" w:rsidRPr="005D6CBF" w:rsidRDefault="004E243D"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rPr>
      </w:pPr>
    </w:p>
    <w:p w14:paraId="63571755" w14:textId="77777777" w:rsidR="00EF11A8" w:rsidRPr="005D6CBF" w:rsidRDefault="00EF11A8" w:rsidP="00EF11A8">
      <w:pPr>
        <w:jc w:val="both"/>
        <w:rPr>
          <w:rFonts w:ascii="Arial" w:hAnsi="Arial" w:cs="Arial"/>
        </w:rPr>
      </w:pPr>
      <w:r w:rsidRPr="005D6CBF">
        <w:rPr>
          <w:rFonts w:ascii="Arial" w:hAnsi="Arial" w:cs="Arial"/>
        </w:rPr>
        <w:t xml:space="preserve">and </w:t>
      </w:r>
    </w:p>
    <w:p w14:paraId="1F26FF5B" w14:textId="77777777" w:rsidR="00781F07" w:rsidRPr="005D6CBF" w:rsidRDefault="00781F07" w:rsidP="00EF11A8">
      <w:pPr>
        <w:jc w:val="both"/>
        <w:rPr>
          <w:rFonts w:ascii="Arial" w:hAnsi="Arial" w:cs="Arial"/>
        </w:rPr>
      </w:pPr>
    </w:p>
    <w:p w14:paraId="361F19FB" w14:textId="77777777" w:rsidR="00AF7950" w:rsidRDefault="00245B66" w:rsidP="00EF11A8">
      <w:pPr>
        <w:pBdr>
          <w:bottom w:val="single" w:sz="12" w:space="1" w:color="auto"/>
        </w:pBdr>
        <w:jc w:val="both"/>
        <w:rPr>
          <w:rFonts w:ascii="Arial" w:hAnsi="Arial" w:cs="Arial"/>
        </w:rPr>
      </w:pPr>
      <w:r>
        <w:rPr>
          <w:rFonts w:ascii="Arial" w:hAnsi="Arial" w:cs="Arial"/>
          <w:b/>
        </w:rPr>
        <w:t>PE</w:t>
      </w:r>
      <w:r w:rsidR="00AF7950">
        <w:rPr>
          <w:rFonts w:ascii="Arial" w:hAnsi="Arial" w:cs="Arial"/>
          <w:b/>
        </w:rPr>
        <w:t xml:space="preserve">TER MAHLANGU </w:t>
      </w:r>
      <w:r w:rsidR="004E243D">
        <w:rPr>
          <w:rFonts w:ascii="Arial" w:hAnsi="Arial" w:cs="Arial"/>
          <w:b/>
        </w:rPr>
        <w:tab/>
      </w:r>
      <w:r w:rsidR="004E243D">
        <w:rPr>
          <w:rFonts w:ascii="Arial" w:hAnsi="Arial" w:cs="Arial"/>
          <w:b/>
        </w:rPr>
        <w:tab/>
      </w:r>
      <w:r w:rsidR="004E243D">
        <w:rPr>
          <w:rFonts w:ascii="Arial" w:hAnsi="Arial" w:cs="Arial"/>
          <w:b/>
        </w:rPr>
        <w:tab/>
      </w:r>
      <w:r w:rsidR="004E243D">
        <w:rPr>
          <w:rFonts w:ascii="Arial" w:hAnsi="Arial" w:cs="Arial"/>
          <w:b/>
        </w:rPr>
        <w:tab/>
        <w:t xml:space="preserve">         </w:t>
      </w:r>
      <w:r w:rsidR="0046504C">
        <w:rPr>
          <w:rFonts w:ascii="Arial" w:hAnsi="Arial" w:cs="Arial"/>
          <w:b/>
        </w:rPr>
        <w:t xml:space="preserve">         </w:t>
      </w:r>
      <w:r w:rsidR="00AF7950">
        <w:rPr>
          <w:rFonts w:ascii="Arial" w:hAnsi="Arial" w:cs="Arial"/>
          <w:b/>
        </w:rPr>
        <w:tab/>
      </w:r>
      <w:r w:rsidR="00AF7950">
        <w:rPr>
          <w:rFonts w:ascii="Arial" w:hAnsi="Arial" w:cs="Arial"/>
          <w:b/>
        </w:rPr>
        <w:tab/>
        <w:t xml:space="preserve">          </w:t>
      </w:r>
      <w:r w:rsidR="00AF7950">
        <w:rPr>
          <w:rFonts w:ascii="Arial" w:hAnsi="Arial" w:cs="Arial"/>
        </w:rPr>
        <w:t>Defendant</w:t>
      </w:r>
    </w:p>
    <w:p w14:paraId="62347671" w14:textId="77777777" w:rsidR="00AF7950" w:rsidRDefault="00AF7950" w:rsidP="00EF11A8">
      <w:pPr>
        <w:pBdr>
          <w:bottom w:val="single" w:sz="12" w:space="1" w:color="auto"/>
        </w:pBdr>
        <w:jc w:val="both"/>
        <w:rPr>
          <w:rFonts w:ascii="Arial" w:hAnsi="Arial" w:cs="Arial"/>
        </w:rPr>
      </w:pPr>
    </w:p>
    <w:p w14:paraId="11B0B91A" w14:textId="18B81F19" w:rsidR="00EF11A8" w:rsidRPr="0046504C" w:rsidRDefault="00AF7950" w:rsidP="00EF11A8">
      <w:pPr>
        <w:pBdr>
          <w:bottom w:val="single" w:sz="12" w:space="1" w:color="auto"/>
        </w:pBdr>
        <w:jc w:val="both"/>
        <w:rPr>
          <w:rFonts w:ascii="Arial" w:hAnsi="Arial" w:cs="Arial"/>
        </w:rPr>
      </w:pPr>
      <w:r>
        <w:rPr>
          <w:rFonts w:ascii="Arial" w:hAnsi="Arial" w:cs="Arial"/>
        </w:rPr>
        <w:t xml:space="preserve">(Identity No: </w:t>
      </w:r>
      <w:r w:rsidR="00C022A7">
        <w:rPr>
          <w:rFonts w:ascii="Arial" w:hAnsi="Arial" w:cs="Arial"/>
        </w:rPr>
        <w:t>[………]</w:t>
      </w:r>
      <w:r>
        <w:rPr>
          <w:rFonts w:ascii="Arial" w:hAnsi="Arial" w:cs="Arial"/>
        </w:rPr>
        <w:t xml:space="preserve">) </w:t>
      </w:r>
      <w:r w:rsidR="0046504C">
        <w:rPr>
          <w:rFonts w:ascii="Arial" w:hAnsi="Arial" w:cs="Arial"/>
        </w:rPr>
        <w:t xml:space="preserve"> </w:t>
      </w:r>
    </w:p>
    <w:p w14:paraId="43B9CB13" w14:textId="77777777" w:rsidR="004E243D" w:rsidRPr="005D6CBF" w:rsidRDefault="004E243D" w:rsidP="00EF11A8">
      <w:pPr>
        <w:pBdr>
          <w:bottom w:val="single" w:sz="12" w:space="1" w:color="auto"/>
        </w:pBdr>
        <w:jc w:val="both"/>
        <w:rPr>
          <w:rFonts w:ascii="Arial" w:hAnsi="Arial" w:cs="Arial"/>
          <w:b/>
        </w:rPr>
      </w:pPr>
    </w:p>
    <w:p w14:paraId="49B06D52" w14:textId="77777777" w:rsidR="00EF11A8" w:rsidRPr="005D6CBF" w:rsidRDefault="00EF11A8" w:rsidP="00EF11A8">
      <w:pPr>
        <w:contextualSpacing/>
        <w:jc w:val="both"/>
        <w:rPr>
          <w:rFonts w:ascii="Arial" w:hAnsi="Arial" w:cs="Arial"/>
          <w:b/>
          <w:u w:val="single"/>
        </w:rPr>
      </w:pPr>
    </w:p>
    <w:p w14:paraId="105EBF54" w14:textId="77777777" w:rsidR="00D221EC" w:rsidRDefault="00EF11A8" w:rsidP="009E06E4">
      <w:pPr>
        <w:pBdr>
          <w:bottom w:val="single" w:sz="12" w:space="1" w:color="auto"/>
        </w:pBdr>
        <w:ind w:left="2880" w:hanging="2880"/>
        <w:contextualSpacing/>
        <w:jc w:val="both"/>
        <w:rPr>
          <w:rFonts w:ascii="Arial" w:hAnsi="Arial" w:cs="Arial"/>
          <w:bCs/>
        </w:rPr>
      </w:pPr>
      <w:r w:rsidRPr="005D6CBF">
        <w:rPr>
          <w:rFonts w:ascii="Arial" w:hAnsi="Arial" w:cs="Arial"/>
          <w:b/>
          <w:u w:val="single"/>
        </w:rPr>
        <w:t>HEARD ON:</w:t>
      </w:r>
      <w:r w:rsidRPr="005D6CBF">
        <w:rPr>
          <w:rFonts w:ascii="Arial" w:hAnsi="Arial" w:cs="Arial"/>
          <w:b/>
        </w:rPr>
        <w:tab/>
      </w:r>
      <w:r w:rsidR="0046504C">
        <w:rPr>
          <w:rFonts w:ascii="Arial" w:hAnsi="Arial" w:cs="Arial"/>
          <w:b/>
        </w:rPr>
        <w:t xml:space="preserve"> </w:t>
      </w:r>
      <w:r w:rsidR="00DC7C22">
        <w:rPr>
          <w:rFonts w:ascii="Arial" w:hAnsi="Arial" w:cs="Arial"/>
        </w:rPr>
        <w:t>27 October</w:t>
      </w:r>
      <w:r w:rsidR="0046504C">
        <w:rPr>
          <w:rFonts w:ascii="Arial" w:hAnsi="Arial" w:cs="Arial"/>
        </w:rPr>
        <w:t xml:space="preserve"> </w:t>
      </w:r>
      <w:r w:rsidR="00781F07" w:rsidRPr="00F940D0">
        <w:rPr>
          <w:rFonts w:ascii="Arial" w:hAnsi="Arial" w:cs="Arial"/>
          <w:bCs/>
        </w:rPr>
        <w:t>202</w:t>
      </w:r>
      <w:r w:rsidR="002F71C5" w:rsidRPr="00F940D0">
        <w:rPr>
          <w:rFonts w:ascii="Arial" w:hAnsi="Arial" w:cs="Arial"/>
          <w:bCs/>
        </w:rPr>
        <w:t>2</w:t>
      </w:r>
    </w:p>
    <w:p w14:paraId="1DDEB982" w14:textId="77777777" w:rsidR="00D221EC" w:rsidRDefault="00EF11A8" w:rsidP="009E06E4">
      <w:pPr>
        <w:pBdr>
          <w:bottom w:val="single" w:sz="12" w:space="1" w:color="auto"/>
        </w:pBdr>
        <w:ind w:left="2880" w:hanging="2880"/>
        <w:contextualSpacing/>
        <w:jc w:val="both"/>
        <w:rPr>
          <w:rFonts w:ascii="Arial" w:hAnsi="Arial" w:cs="Arial"/>
        </w:rPr>
      </w:pPr>
      <w:r w:rsidRPr="00F940D0">
        <w:rPr>
          <w:rFonts w:ascii="Arial" w:hAnsi="Arial" w:cs="Arial"/>
        </w:rPr>
        <w:t xml:space="preserve"> </w:t>
      </w:r>
    </w:p>
    <w:p w14:paraId="047F685A" w14:textId="77777777" w:rsidR="00D221EC" w:rsidRPr="005D6CBF" w:rsidRDefault="00D221EC" w:rsidP="00EF11A8">
      <w:pPr>
        <w:contextualSpacing/>
        <w:jc w:val="both"/>
        <w:rPr>
          <w:rFonts w:ascii="Arial" w:hAnsi="Arial" w:cs="Arial"/>
          <w:b/>
        </w:rPr>
      </w:pPr>
    </w:p>
    <w:p w14:paraId="26D2FA0C" w14:textId="77777777" w:rsidR="009E06E4" w:rsidRPr="005D6CBF" w:rsidRDefault="00797293" w:rsidP="009E06E4">
      <w:pPr>
        <w:contextualSpacing/>
        <w:jc w:val="both"/>
        <w:rPr>
          <w:rFonts w:ascii="Arial" w:hAnsi="Arial" w:cs="Arial"/>
          <w:b/>
          <w:u w:val="single"/>
        </w:rPr>
      </w:pPr>
      <w:r>
        <w:rPr>
          <w:rFonts w:ascii="Arial" w:hAnsi="Arial" w:cs="Arial"/>
          <w:b/>
          <w:u w:val="single"/>
        </w:rPr>
        <w:t>JUDGMENT BY</w:t>
      </w:r>
      <w:r w:rsidR="003F410D" w:rsidRPr="005D6CBF">
        <w:rPr>
          <w:rFonts w:ascii="Arial" w:hAnsi="Arial" w:cs="Arial"/>
          <w:b/>
        </w:rPr>
        <w:t xml:space="preserve">:                 </w:t>
      </w:r>
      <w:bookmarkStart w:id="0" w:name="_Hlk111883941"/>
      <w:r w:rsidR="009E06E4" w:rsidRPr="00F940D0">
        <w:rPr>
          <w:rFonts w:ascii="Arial" w:hAnsi="Arial" w:cs="Arial"/>
        </w:rPr>
        <w:t>MHLAMBI, J</w:t>
      </w:r>
      <w:bookmarkEnd w:id="0"/>
      <w:r w:rsidR="009E06E4" w:rsidRPr="00F940D0">
        <w:rPr>
          <w:rFonts w:ascii="Arial" w:hAnsi="Arial" w:cs="Arial"/>
        </w:rPr>
        <w:t xml:space="preserve"> </w:t>
      </w:r>
    </w:p>
    <w:p w14:paraId="06CF5E6D" w14:textId="77777777" w:rsidR="003F410D" w:rsidRPr="003036C9" w:rsidRDefault="003F410D" w:rsidP="003036C9">
      <w:pPr>
        <w:ind w:right="26"/>
        <w:contextualSpacing/>
        <w:jc w:val="both"/>
        <w:rPr>
          <w:rFonts w:ascii="Arial" w:hAnsi="Arial" w:cs="Arial"/>
          <w:bCs/>
          <w:u w:val="single"/>
        </w:rPr>
      </w:pPr>
      <w:r w:rsidRPr="005D6CBF">
        <w:rPr>
          <w:rFonts w:ascii="Arial" w:hAnsi="Arial" w:cs="Arial"/>
          <w:b/>
          <w:u w:val="single"/>
        </w:rPr>
        <w:t>_________________________________________________________</w:t>
      </w:r>
      <w:r w:rsidR="003036C9">
        <w:rPr>
          <w:rFonts w:ascii="Arial" w:hAnsi="Arial" w:cs="Arial"/>
          <w:b/>
          <w:u w:val="single"/>
        </w:rPr>
        <w:t>__________</w:t>
      </w:r>
    </w:p>
    <w:p w14:paraId="5C663AB0" w14:textId="77777777" w:rsidR="003F410D" w:rsidRPr="005D6CBF" w:rsidRDefault="003F410D" w:rsidP="00EF11A8">
      <w:pPr>
        <w:contextualSpacing/>
        <w:jc w:val="both"/>
        <w:rPr>
          <w:rFonts w:ascii="Arial" w:hAnsi="Arial" w:cs="Arial"/>
          <w:b/>
          <w:u w:val="single"/>
        </w:rPr>
      </w:pPr>
    </w:p>
    <w:p w14:paraId="58E64987" w14:textId="77777777" w:rsidR="007C348D" w:rsidRPr="005D6CBF" w:rsidRDefault="00EF11A8" w:rsidP="00F87E7C">
      <w:pPr>
        <w:tabs>
          <w:tab w:val="left" w:pos="2880"/>
        </w:tabs>
        <w:ind w:left="1985" w:hanging="1985"/>
        <w:contextualSpacing/>
        <w:jc w:val="both"/>
        <w:rPr>
          <w:rFonts w:ascii="Arial" w:hAnsi="Arial" w:cs="Arial"/>
          <w:b/>
          <w:bCs/>
        </w:rPr>
      </w:pPr>
      <w:r w:rsidRPr="005D6CBF">
        <w:rPr>
          <w:rFonts w:ascii="Arial" w:hAnsi="Arial" w:cs="Arial"/>
          <w:b/>
          <w:u w:val="single"/>
        </w:rPr>
        <w:t>DELIVERED ON:</w:t>
      </w:r>
      <w:r w:rsidR="00F87E7C">
        <w:rPr>
          <w:rFonts w:ascii="Arial" w:hAnsi="Arial" w:cs="Arial"/>
          <w:b/>
        </w:rPr>
        <w:t xml:space="preserve">  </w:t>
      </w:r>
      <w:r w:rsidR="00F87E7C" w:rsidRPr="00C665C9">
        <w:rPr>
          <w:rFonts w:ascii="Arial" w:hAnsi="Arial" w:cs="Arial"/>
        </w:rPr>
        <w:t xml:space="preserve">This judgment was handed down electronically by circulation to the parties’ legal representatives by email and </w:t>
      </w:r>
      <w:r w:rsidR="00F87E7C">
        <w:rPr>
          <w:rFonts w:ascii="Arial" w:hAnsi="Arial" w:cs="Arial"/>
        </w:rPr>
        <w:t>released</w:t>
      </w:r>
      <w:r w:rsidR="00F87E7C" w:rsidRPr="00C665C9">
        <w:rPr>
          <w:rFonts w:ascii="Arial" w:hAnsi="Arial" w:cs="Arial"/>
        </w:rPr>
        <w:t xml:space="preserve"> to SAFLI. The date and time for</w:t>
      </w:r>
      <w:r w:rsidR="0097522B">
        <w:rPr>
          <w:rFonts w:ascii="Arial" w:hAnsi="Arial" w:cs="Arial"/>
        </w:rPr>
        <w:t xml:space="preserve"> the</w:t>
      </w:r>
      <w:r w:rsidR="00F87E7C" w:rsidRPr="00C665C9">
        <w:rPr>
          <w:rFonts w:ascii="Arial" w:hAnsi="Arial" w:cs="Arial"/>
        </w:rPr>
        <w:t xml:space="preserve"> hand-down </w:t>
      </w:r>
      <w:r w:rsidR="00F87E7C">
        <w:rPr>
          <w:rFonts w:ascii="Arial" w:hAnsi="Arial" w:cs="Arial"/>
        </w:rPr>
        <w:t>are</w:t>
      </w:r>
      <w:r w:rsidR="00F87E7C" w:rsidRPr="00C665C9">
        <w:rPr>
          <w:rFonts w:ascii="Arial" w:hAnsi="Arial" w:cs="Arial"/>
        </w:rPr>
        <w:t xml:space="preserve"> deemed to</w:t>
      </w:r>
      <w:r w:rsidR="006751B4">
        <w:rPr>
          <w:rFonts w:ascii="Arial" w:hAnsi="Arial" w:cs="Arial"/>
        </w:rPr>
        <w:t xml:space="preserve"> be 12</w:t>
      </w:r>
      <w:r w:rsidR="00F87E7C">
        <w:rPr>
          <w:rFonts w:ascii="Arial" w:hAnsi="Arial" w:cs="Arial"/>
        </w:rPr>
        <w:t>h30</w:t>
      </w:r>
      <w:r w:rsidR="00F87E7C" w:rsidRPr="00C665C9">
        <w:rPr>
          <w:rFonts w:ascii="Arial" w:hAnsi="Arial" w:cs="Arial"/>
        </w:rPr>
        <w:t xml:space="preserve"> </w:t>
      </w:r>
      <w:r w:rsidR="009C219E">
        <w:rPr>
          <w:rFonts w:ascii="Arial" w:hAnsi="Arial" w:cs="Arial"/>
        </w:rPr>
        <w:t xml:space="preserve">on </w:t>
      </w:r>
      <w:r w:rsidR="008B1A3F">
        <w:rPr>
          <w:rFonts w:ascii="Arial" w:hAnsi="Arial" w:cs="Arial"/>
        </w:rPr>
        <w:t>2</w:t>
      </w:r>
      <w:r w:rsidR="002B5CEE">
        <w:rPr>
          <w:rFonts w:ascii="Arial" w:hAnsi="Arial" w:cs="Arial"/>
        </w:rPr>
        <w:t>3</w:t>
      </w:r>
      <w:r w:rsidR="00DC7C22">
        <w:rPr>
          <w:rFonts w:ascii="Arial" w:hAnsi="Arial" w:cs="Arial"/>
        </w:rPr>
        <w:t xml:space="preserve"> January</w:t>
      </w:r>
      <w:r w:rsidR="00F87E7C" w:rsidRPr="00C665C9">
        <w:rPr>
          <w:rFonts w:ascii="Arial" w:hAnsi="Arial" w:cs="Arial"/>
        </w:rPr>
        <w:t xml:space="preserve"> </w:t>
      </w:r>
      <w:r w:rsidR="00DC7C22">
        <w:rPr>
          <w:rFonts w:ascii="Arial" w:hAnsi="Arial" w:cs="Arial"/>
        </w:rPr>
        <w:t>2023</w:t>
      </w:r>
      <w:r w:rsidR="009C219E">
        <w:rPr>
          <w:rFonts w:ascii="Arial" w:hAnsi="Arial" w:cs="Arial"/>
        </w:rPr>
        <w:t>.</w:t>
      </w:r>
    </w:p>
    <w:p w14:paraId="159FA6D9" w14:textId="77777777" w:rsidR="00891F14" w:rsidRPr="005D6CBF" w:rsidRDefault="00891F14" w:rsidP="00EF11A8">
      <w:pPr>
        <w:pBdr>
          <w:bottom w:val="single" w:sz="12" w:space="1" w:color="auto"/>
        </w:pBdr>
        <w:tabs>
          <w:tab w:val="left" w:pos="2940"/>
        </w:tabs>
        <w:contextualSpacing/>
        <w:jc w:val="both"/>
        <w:rPr>
          <w:rFonts w:ascii="Arial" w:hAnsi="Arial" w:cs="Arial"/>
          <w:b/>
          <w:bCs/>
          <w:u w:val="single"/>
        </w:rPr>
      </w:pPr>
    </w:p>
    <w:p w14:paraId="28D08E67" w14:textId="77777777" w:rsidR="007C348D" w:rsidRDefault="007C348D" w:rsidP="007C348D">
      <w:pPr>
        <w:spacing w:line="360" w:lineRule="auto"/>
        <w:ind w:left="709" w:hanging="709"/>
        <w:jc w:val="both"/>
        <w:rPr>
          <w:rFonts w:ascii="Arial" w:hAnsi="Arial" w:cs="Arial"/>
          <w:sz w:val="28"/>
          <w:szCs w:val="28"/>
        </w:rPr>
      </w:pPr>
    </w:p>
    <w:p w14:paraId="63F3C867" w14:textId="77777777" w:rsidR="00E42DA6" w:rsidRDefault="002A631E" w:rsidP="00AF7950">
      <w:pPr>
        <w:spacing w:after="240" w:line="360" w:lineRule="auto"/>
        <w:ind w:left="567" w:hanging="567"/>
        <w:jc w:val="both"/>
        <w:rPr>
          <w:rFonts w:ascii="Arial" w:hAnsi="Arial" w:cs="Arial"/>
        </w:rPr>
      </w:pPr>
      <w:r>
        <w:rPr>
          <w:rFonts w:ascii="Arial" w:hAnsi="Arial" w:cs="Arial"/>
        </w:rPr>
        <w:t>[1]</w:t>
      </w:r>
      <w:r>
        <w:rPr>
          <w:rFonts w:ascii="Arial" w:hAnsi="Arial" w:cs="Arial"/>
        </w:rPr>
        <w:tab/>
      </w:r>
      <w:r w:rsidR="00E42DA6">
        <w:rPr>
          <w:rFonts w:ascii="Arial" w:hAnsi="Arial" w:cs="Arial"/>
        </w:rPr>
        <w:t>This is an opposed application for summary judgment against the defendant for the payment of R 1 109 875.01</w:t>
      </w:r>
      <w:r w:rsidR="007A5C87">
        <w:rPr>
          <w:rFonts w:ascii="Arial" w:hAnsi="Arial" w:cs="Arial"/>
        </w:rPr>
        <w:t>.</w:t>
      </w:r>
      <w:r w:rsidR="00E42DA6">
        <w:rPr>
          <w:rFonts w:ascii="Arial" w:hAnsi="Arial" w:cs="Arial"/>
        </w:rPr>
        <w:t xml:space="preserve"> </w:t>
      </w:r>
      <w:r w:rsidR="007A5C87">
        <w:rPr>
          <w:rFonts w:ascii="Arial" w:hAnsi="Arial" w:cs="Arial"/>
        </w:rPr>
        <w:t>The cause of action arose</w:t>
      </w:r>
      <w:r w:rsidR="00E42DA6">
        <w:rPr>
          <w:rFonts w:ascii="Arial" w:hAnsi="Arial" w:cs="Arial"/>
        </w:rPr>
        <w:t xml:space="preserve"> from an alleged </w:t>
      </w:r>
      <w:r w:rsidR="00E42DA6">
        <w:rPr>
          <w:rFonts w:ascii="Arial" w:hAnsi="Arial" w:cs="Arial"/>
        </w:rPr>
        <w:lastRenderedPageBreak/>
        <w:t>breach by the defendant of the terms and conditions of a home loan agreement between the Standard Bank of South Africa and the defendant</w:t>
      </w:r>
      <w:r w:rsidR="007A5C87">
        <w:rPr>
          <w:rFonts w:ascii="Arial" w:hAnsi="Arial" w:cs="Arial"/>
        </w:rPr>
        <w:t>, concluded on/</w:t>
      </w:r>
      <w:r w:rsidR="00E42DA6">
        <w:rPr>
          <w:rFonts w:ascii="Arial" w:hAnsi="Arial" w:cs="Arial"/>
        </w:rPr>
        <w:t xml:space="preserve">or about 28 September 2017. </w:t>
      </w:r>
    </w:p>
    <w:p w14:paraId="1A5C0018" w14:textId="77777777" w:rsidR="00955D06" w:rsidRDefault="00E42DA6" w:rsidP="00AF7950">
      <w:pPr>
        <w:spacing w:after="240" w:line="360" w:lineRule="auto"/>
        <w:ind w:left="567" w:hanging="567"/>
        <w:jc w:val="both"/>
        <w:rPr>
          <w:rFonts w:ascii="Arial" w:hAnsi="Arial" w:cs="Arial"/>
        </w:rPr>
      </w:pPr>
      <w:r>
        <w:rPr>
          <w:rFonts w:ascii="Arial" w:hAnsi="Arial" w:cs="Arial"/>
        </w:rPr>
        <w:t>[2]</w:t>
      </w:r>
      <w:r>
        <w:rPr>
          <w:rFonts w:ascii="Arial" w:hAnsi="Arial" w:cs="Arial"/>
        </w:rPr>
        <w:tab/>
        <w:t>The defendant’s breach</w:t>
      </w:r>
      <w:r w:rsidR="00955D06">
        <w:rPr>
          <w:rFonts w:ascii="Arial" w:hAnsi="Arial" w:cs="Arial"/>
        </w:rPr>
        <w:t xml:space="preserve"> is stated as follows in the particulars of claim:</w:t>
      </w:r>
    </w:p>
    <w:p w14:paraId="567C690A" w14:textId="77777777" w:rsidR="00955D06" w:rsidRDefault="00955D06" w:rsidP="00955D06">
      <w:pPr>
        <w:spacing w:after="240" w:line="360" w:lineRule="auto"/>
        <w:ind w:left="1134" w:hanging="567"/>
        <w:jc w:val="both"/>
        <w:rPr>
          <w:rFonts w:ascii="Arial" w:hAnsi="Arial" w:cs="Arial"/>
          <w:i/>
          <w:sz w:val="20"/>
          <w:szCs w:val="20"/>
        </w:rPr>
      </w:pPr>
      <w:r>
        <w:rPr>
          <w:rFonts w:ascii="Arial" w:hAnsi="Arial" w:cs="Arial"/>
          <w:i/>
          <w:sz w:val="20"/>
          <w:szCs w:val="20"/>
        </w:rPr>
        <w:t>“23.</w:t>
      </w:r>
      <w:r>
        <w:rPr>
          <w:rFonts w:ascii="Arial" w:hAnsi="Arial" w:cs="Arial"/>
          <w:i/>
          <w:sz w:val="20"/>
          <w:szCs w:val="20"/>
        </w:rPr>
        <w:tab/>
      </w:r>
      <w:r w:rsidR="0080178D">
        <w:rPr>
          <w:rFonts w:ascii="Arial" w:hAnsi="Arial" w:cs="Arial"/>
          <w:i/>
          <w:sz w:val="20"/>
          <w:szCs w:val="20"/>
        </w:rPr>
        <w:t>The D</w:t>
      </w:r>
      <w:r>
        <w:rPr>
          <w:rFonts w:ascii="Arial" w:hAnsi="Arial" w:cs="Arial"/>
          <w:i/>
          <w:sz w:val="20"/>
          <w:szCs w:val="20"/>
        </w:rPr>
        <w:t>efendant, in breach of</w:t>
      </w:r>
      <w:r w:rsidR="008A28BE">
        <w:rPr>
          <w:rFonts w:ascii="Arial" w:hAnsi="Arial" w:cs="Arial"/>
          <w:i/>
          <w:sz w:val="20"/>
          <w:szCs w:val="20"/>
        </w:rPr>
        <w:t xml:space="preserve"> the</w:t>
      </w:r>
      <w:r w:rsidR="0080178D">
        <w:rPr>
          <w:rFonts w:ascii="Arial" w:hAnsi="Arial" w:cs="Arial"/>
          <w:i/>
          <w:sz w:val="20"/>
          <w:szCs w:val="20"/>
        </w:rPr>
        <w:t xml:space="preserve"> terms and conditions of the L</w:t>
      </w:r>
      <w:r>
        <w:rPr>
          <w:rFonts w:ascii="Arial" w:hAnsi="Arial" w:cs="Arial"/>
          <w:i/>
          <w:sz w:val="20"/>
          <w:szCs w:val="20"/>
        </w:rPr>
        <w:t xml:space="preserve">oan </w:t>
      </w:r>
      <w:r w:rsidR="0080178D">
        <w:rPr>
          <w:rFonts w:ascii="Arial" w:hAnsi="Arial" w:cs="Arial"/>
          <w:i/>
          <w:sz w:val="20"/>
          <w:szCs w:val="20"/>
        </w:rPr>
        <w:t>A</w:t>
      </w:r>
      <w:r>
        <w:rPr>
          <w:rFonts w:ascii="Arial" w:hAnsi="Arial" w:cs="Arial"/>
          <w:i/>
          <w:sz w:val="20"/>
          <w:szCs w:val="20"/>
        </w:rPr>
        <w:t xml:space="preserve">greement </w:t>
      </w:r>
      <w:r w:rsidR="008A28BE">
        <w:rPr>
          <w:rFonts w:ascii="Arial" w:hAnsi="Arial" w:cs="Arial"/>
          <w:i/>
          <w:sz w:val="20"/>
          <w:szCs w:val="20"/>
        </w:rPr>
        <w:t>(</w:t>
      </w:r>
      <w:r w:rsidR="0080178D">
        <w:rPr>
          <w:rFonts w:ascii="Arial" w:hAnsi="Arial" w:cs="Arial"/>
          <w:i/>
          <w:sz w:val="20"/>
          <w:szCs w:val="20"/>
        </w:rPr>
        <w:t xml:space="preserve">annexure </w:t>
      </w:r>
      <w:r>
        <w:rPr>
          <w:rFonts w:ascii="Arial" w:hAnsi="Arial" w:cs="Arial"/>
          <w:i/>
          <w:sz w:val="20"/>
          <w:szCs w:val="20"/>
        </w:rPr>
        <w:t>POC</w:t>
      </w:r>
      <w:r w:rsidR="008A28BE">
        <w:rPr>
          <w:rFonts w:ascii="Arial" w:hAnsi="Arial" w:cs="Arial"/>
          <w:i/>
          <w:sz w:val="20"/>
          <w:szCs w:val="20"/>
        </w:rPr>
        <w:t xml:space="preserve"> 1)</w:t>
      </w:r>
      <w:r>
        <w:rPr>
          <w:rFonts w:ascii="Arial" w:hAnsi="Arial" w:cs="Arial"/>
          <w:i/>
          <w:sz w:val="20"/>
          <w:szCs w:val="20"/>
        </w:rPr>
        <w:t xml:space="preserve">, have failed to pay the monthly instalments due in terms thereof, which breach was material. </w:t>
      </w:r>
    </w:p>
    <w:p w14:paraId="7DD69A0B" w14:textId="77777777" w:rsidR="00955D06" w:rsidRDefault="00D6013A" w:rsidP="00955D06">
      <w:pPr>
        <w:spacing w:after="240" w:line="360" w:lineRule="auto"/>
        <w:ind w:left="1134" w:hanging="567"/>
        <w:jc w:val="both"/>
        <w:rPr>
          <w:rFonts w:ascii="Arial" w:hAnsi="Arial" w:cs="Arial"/>
          <w:i/>
          <w:sz w:val="20"/>
          <w:szCs w:val="20"/>
        </w:rPr>
      </w:pPr>
      <w:r>
        <w:rPr>
          <w:rFonts w:ascii="Arial" w:hAnsi="Arial" w:cs="Arial"/>
          <w:i/>
          <w:sz w:val="20"/>
          <w:szCs w:val="20"/>
        </w:rPr>
        <w:t>24.</w:t>
      </w:r>
      <w:r>
        <w:rPr>
          <w:rFonts w:ascii="Arial" w:hAnsi="Arial" w:cs="Arial"/>
          <w:i/>
          <w:sz w:val="20"/>
          <w:szCs w:val="20"/>
        </w:rPr>
        <w:tab/>
        <w:t>On 10 and</w:t>
      </w:r>
      <w:r w:rsidR="00955D06">
        <w:rPr>
          <w:rFonts w:ascii="Arial" w:hAnsi="Arial" w:cs="Arial"/>
          <w:i/>
          <w:sz w:val="20"/>
          <w:szCs w:val="20"/>
        </w:rPr>
        <w:t xml:space="preserve"> 29 September 2020 respectively, the bank caused a letter of default and notice in terms of section 129 (1) (as read with section 130) of the National Credit Act (“the </w:t>
      </w:r>
      <w:r w:rsidR="0080178D">
        <w:rPr>
          <w:rFonts w:ascii="Arial" w:hAnsi="Arial" w:cs="Arial"/>
          <w:i/>
          <w:sz w:val="20"/>
          <w:szCs w:val="20"/>
        </w:rPr>
        <w:t>Default N</w:t>
      </w:r>
      <w:r w:rsidR="00955D06">
        <w:rPr>
          <w:rFonts w:ascii="Arial" w:hAnsi="Arial" w:cs="Arial"/>
          <w:i/>
          <w:sz w:val="20"/>
          <w:szCs w:val="20"/>
        </w:rPr>
        <w:t xml:space="preserve">otice”) to be sent to the defendant’s </w:t>
      </w:r>
      <w:proofErr w:type="spellStart"/>
      <w:r w:rsidR="00955D06">
        <w:rPr>
          <w:rFonts w:ascii="Arial" w:hAnsi="Arial" w:cs="Arial"/>
          <w:i/>
          <w:sz w:val="20"/>
          <w:szCs w:val="20"/>
        </w:rPr>
        <w:t>domicilium</w:t>
      </w:r>
      <w:proofErr w:type="spellEnd"/>
      <w:r w:rsidR="00955D06">
        <w:rPr>
          <w:rFonts w:ascii="Arial" w:hAnsi="Arial" w:cs="Arial"/>
          <w:i/>
          <w:sz w:val="20"/>
          <w:szCs w:val="20"/>
        </w:rPr>
        <w:t>, mortgaged property and resi</w:t>
      </w:r>
      <w:r w:rsidR="0080178D">
        <w:rPr>
          <w:rFonts w:ascii="Arial" w:hAnsi="Arial" w:cs="Arial"/>
          <w:i/>
          <w:sz w:val="20"/>
          <w:szCs w:val="20"/>
        </w:rPr>
        <w:t>dential address, informing the D</w:t>
      </w:r>
      <w:r w:rsidR="00955D06">
        <w:rPr>
          <w:rFonts w:ascii="Arial" w:hAnsi="Arial" w:cs="Arial"/>
          <w:i/>
          <w:sz w:val="20"/>
          <w:szCs w:val="20"/>
        </w:rPr>
        <w:t xml:space="preserve">efendant that, inter alia: </w:t>
      </w:r>
    </w:p>
    <w:p w14:paraId="2CE08A0A" w14:textId="77777777" w:rsidR="00FD6A26" w:rsidRDefault="00955D06" w:rsidP="00FD6A26">
      <w:pPr>
        <w:spacing w:after="240" w:line="360" w:lineRule="auto"/>
        <w:ind w:left="1701" w:hanging="567"/>
        <w:jc w:val="both"/>
        <w:rPr>
          <w:rFonts w:ascii="Arial" w:hAnsi="Arial" w:cs="Arial"/>
          <w:i/>
          <w:sz w:val="20"/>
          <w:szCs w:val="20"/>
        </w:rPr>
      </w:pPr>
      <w:r>
        <w:rPr>
          <w:rFonts w:ascii="Arial" w:hAnsi="Arial" w:cs="Arial"/>
          <w:i/>
          <w:sz w:val="20"/>
          <w:szCs w:val="20"/>
        </w:rPr>
        <w:t>24.</w:t>
      </w:r>
      <w:r w:rsidR="00D84822">
        <w:rPr>
          <w:rFonts w:ascii="Arial" w:hAnsi="Arial" w:cs="Arial"/>
          <w:i/>
          <w:sz w:val="20"/>
          <w:szCs w:val="20"/>
        </w:rPr>
        <w:t>1</w:t>
      </w:r>
      <w:r w:rsidR="00D84822">
        <w:rPr>
          <w:rFonts w:ascii="Arial" w:hAnsi="Arial" w:cs="Arial"/>
          <w:i/>
          <w:sz w:val="20"/>
          <w:szCs w:val="20"/>
        </w:rPr>
        <w:tab/>
        <w:t>The D</w:t>
      </w:r>
      <w:r>
        <w:rPr>
          <w:rFonts w:ascii="Arial" w:hAnsi="Arial" w:cs="Arial"/>
          <w:i/>
          <w:sz w:val="20"/>
          <w:szCs w:val="20"/>
        </w:rPr>
        <w:t xml:space="preserve">efendant had failed to make payment of the full monthly instalment amounts due under the </w:t>
      </w:r>
      <w:r w:rsidR="00932405">
        <w:rPr>
          <w:rFonts w:ascii="Arial" w:hAnsi="Arial" w:cs="Arial"/>
          <w:i/>
          <w:sz w:val="20"/>
          <w:szCs w:val="20"/>
        </w:rPr>
        <w:t>Loan A</w:t>
      </w:r>
      <w:r>
        <w:rPr>
          <w:rFonts w:ascii="Arial" w:hAnsi="Arial" w:cs="Arial"/>
          <w:i/>
          <w:sz w:val="20"/>
          <w:szCs w:val="20"/>
        </w:rPr>
        <w:t>greement and was</w:t>
      </w:r>
      <w:r w:rsidR="00932405">
        <w:rPr>
          <w:rFonts w:ascii="Arial" w:hAnsi="Arial" w:cs="Arial"/>
          <w:i/>
          <w:sz w:val="20"/>
          <w:szCs w:val="20"/>
        </w:rPr>
        <w:t xml:space="preserve"> consequently in breach of the Loan A</w:t>
      </w:r>
      <w:r>
        <w:rPr>
          <w:rFonts w:ascii="Arial" w:hAnsi="Arial" w:cs="Arial"/>
          <w:i/>
          <w:sz w:val="20"/>
          <w:szCs w:val="20"/>
        </w:rPr>
        <w:t>greement;</w:t>
      </w:r>
    </w:p>
    <w:p w14:paraId="3D1C66CB" w14:textId="77777777" w:rsidR="00955D06" w:rsidRDefault="00955D06" w:rsidP="00FD6A26">
      <w:pPr>
        <w:spacing w:after="240" w:line="360" w:lineRule="auto"/>
        <w:ind w:left="1701" w:hanging="567"/>
        <w:jc w:val="both"/>
        <w:rPr>
          <w:rFonts w:ascii="Arial" w:hAnsi="Arial" w:cs="Arial"/>
          <w:i/>
          <w:sz w:val="20"/>
          <w:szCs w:val="20"/>
        </w:rPr>
      </w:pPr>
      <w:r>
        <w:rPr>
          <w:rFonts w:ascii="Arial" w:hAnsi="Arial" w:cs="Arial"/>
          <w:i/>
          <w:sz w:val="20"/>
          <w:szCs w:val="20"/>
        </w:rPr>
        <w:t>24.2</w:t>
      </w:r>
      <w:r w:rsidR="00D84822">
        <w:rPr>
          <w:rFonts w:ascii="Arial" w:hAnsi="Arial" w:cs="Arial"/>
          <w:i/>
          <w:sz w:val="20"/>
          <w:szCs w:val="20"/>
        </w:rPr>
        <w:tab/>
        <w:t>The D</w:t>
      </w:r>
      <w:r>
        <w:rPr>
          <w:rFonts w:ascii="Arial" w:hAnsi="Arial" w:cs="Arial"/>
          <w:i/>
          <w:sz w:val="20"/>
          <w:szCs w:val="20"/>
        </w:rPr>
        <w:t>efendant were</w:t>
      </w:r>
      <w:r w:rsidR="00D6013A">
        <w:rPr>
          <w:rFonts w:ascii="Arial" w:hAnsi="Arial" w:cs="Arial"/>
          <w:i/>
          <w:sz w:val="20"/>
          <w:szCs w:val="20"/>
        </w:rPr>
        <w:t>(sic)</w:t>
      </w:r>
      <w:r>
        <w:rPr>
          <w:rFonts w:ascii="Arial" w:hAnsi="Arial" w:cs="Arial"/>
          <w:i/>
          <w:sz w:val="20"/>
          <w:szCs w:val="20"/>
        </w:rPr>
        <w:t xml:space="preserve"> requir</w:t>
      </w:r>
      <w:r w:rsidR="00932405">
        <w:rPr>
          <w:rFonts w:ascii="Arial" w:hAnsi="Arial" w:cs="Arial"/>
          <w:i/>
          <w:sz w:val="20"/>
          <w:szCs w:val="20"/>
        </w:rPr>
        <w:t>ed to remedy his breach of the Loan A</w:t>
      </w:r>
      <w:r>
        <w:rPr>
          <w:rFonts w:ascii="Arial" w:hAnsi="Arial" w:cs="Arial"/>
          <w:i/>
          <w:sz w:val="20"/>
          <w:szCs w:val="20"/>
        </w:rPr>
        <w:t xml:space="preserve">greement by making payment of the </w:t>
      </w:r>
      <w:r w:rsidR="00D6013A">
        <w:rPr>
          <w:rFonts w:ascii="Arial" w:hAnsi="Arial" w:cs="Arial"/>
          <w:i/>
          <w:sz w:val="20"/>
          <w:szCs w:val="20"/>
        </w:rPr>
        <w:t>arrears</w:t>
      </w:r>
      <w:r>
        <w:rPr>
          <w:rFonts w:ascii="Arial" w:hAnsi="Arial" w:cs="Arial"/>
          <w:i/>
          <w:sz w:val="20"/>
          <w:szCs w:val="20"/>
        </w:rPr>
        <w:t xml:space="preserve"> and all </w:t>
      </w:r>
      <w:r w:rsidR="00D6013A">
        <w:rPr>
          <w:rFonts w:ascii="Arial" w:hAnsi="Arial" w:cs="Arial"/>
          <w:i/>
          <w:sz w:val="20"/>
          <w:szCs w:val="20"/>
        </w:rPr>
        <w:t>overdue amounts under the Loan Agreement to the B</w:t>
      </w:r>
      <w:r>
        <w:rPr>
          <w:rFonts w:ascii="Arial" w:hAnsi="Arial" w:cs="Arial"/>
          <w:i/>
          <w:sz w:val="20"/>
          <w:szCs w:val="20"/>
        </w:rPr>
        <w:t>ank (“a</w:t>
      </w:r>
      <w:r w:rsidR="00D6013A">
        <w:rPr>
          <w:rFonts w:ascii="Arial" w:hAnsi="Arial" w:cs="Arial"/>
          <w:i/>
          <w:sz w:val="20"/>
          <w:szCs w:val="20"/>
        </w:rPr>
        <w:t>r</w:t>
      </w:r>
      <w:r>
        <w:rPr>
          <w:rFonts w:ascii="Arial" w:hAnsi="Arial" w:cs="Arial"/>
          <w:i/>
          <w:sz w:val="20"/>
          <w:szCs w:val="20"/>
        </w:rPr>
        <w:t>rea</w:t>
      </w:r>
      <w:r w:rsidR="00D6013A">
        <w:rPr>
          <w:rFonts w:ascii="Arial" w:hAnsi="Arial" w:cs="Arial"/>
          <w:i/>
          <w:sz w:val="20"/>
          <w:szCs w:val="20"/>
        </w:rPr>
        <w:t>r</w:t>
      </w:r>
      <w:r>
        <w:rPr>
          <w:rFonts w:ascii="Arial" w:hAnsi="Arial" w:cs="Arial"/>
          <w:i/>
          <w:sz w:val="20"/>
          <w:szCs w:val="20"/>
        </w:rPr>
        <w:t>s”</w:t>
      </w:r>
      <w:proofErr w:type="gramStart"/>
      <w:r>
        <w:rPr>
          <w:rFonts w:ascii="Arial" w:hAnsi="Arial" w:cs="Arial"/>
          <w:i/>
          <w:sz w:val="20"/>
          <w:szCs w:val="20"/>
        </w:rPr>
        <w:t>);</w:t>
      </w:r>
      <w:proofErr w:type="gramEnd"/>
    </w:p>
    <w:p w14:paraId="05A04654" w14:textId="77777777" w:rsidR="00955D06" w:rsidRDefault="00D84822" w:rsidP="00955D06">
      <w:pPr>
        <w:spacing w:after="240" w:line="360" w:lineRule="auto"/>
        <w:ind w:left="1701" w:hanging="567"/>
        <w:jc w:val="both"/>
        <w:rPr>
          <w:rFonts w:ascii="Arial" w:hAnsi="Arial" w:cs="Arial"/>
          <w:i/>
          <w:sz w:val="20"/>
          <w:szCs w:val="20"/>
        </w:rPr>
      </w:pPr>
      <w:r>
        <w:rPr>
          <w:rFonts w:ascii="Arial" w:hAnsi="Arial" w:cs="Arial"/>
          <w:i/>
          <w:sz w:val="20"/>
          <w:szCs w:val="20"/>
        </w:rPr>
        <w:t>24.3</w:t>
      </w:r>
      <w:r>
        <w:rPr>
          <w:rFonts w:ascii="Arial" w:hAnsi="Arial" w:cs="Arial"/>
          <w:i/>
          <w:sz w:val="20"/>
          <w:szCs w:val="20"/>
        </w:rPr>
        <w:tab/>
        <w:t>Should the D</w:t>
      </w:r>
      <w:r w:rsidR="00955D06">
        <w:rPr>
          <w:rFonts w:ascii="Arial" w:hAnsi="Arial" w:cs="Arial"/>
          <w:i/>
          <w:sz w:val="20"/>
          <w:szCs w:val="20"/>
        </w:rPr>
        <w:t>efendant fa</w:t>
      </w:r>
      <w:r w:rsidR="00932405">
        <w:rPr>
          <w:rFonts w:ascii="Arial" w:hAnsi="Arial" w:cs="Arial"/>
          <w:i/>
          <w:sz w:val="20"/>
          <w:szCs w:val="20"/>
        </w:rPr>
        <w:t>il to remedy his breach of the Loan A</w:t>
      </w:r>
      <w:r w:rsidR="00955D06">
        <w:rPr>
          <w:rFonts w:ascii="Arial" w:hAnsi="Arial" w:cs="Arial"/>
          <w:i/>
          <w:sz w:val="20"/>
          <w:szCs w:val="20"/>
        </w:rPr>
        <w:t>g</w:t>
      </w:r>
      <w:r w:rsidR="00932405">
        <w:rPr>
          <w:rFonts w:ascii="Arial" w:hAnsi="Arial" w:cs="Arial"/>
          <w:i/>
          <w:sz w:val="20"/>
          <w:szCs w:val="20"/>
        </w:rPr>
        <w:t>reement and pay the a</w:t>
      </w:r>
      <w:r w:rsidR="0080178D">
        <w:rPr>
          <w:rFonts w:ascii="Arial" w:hAnsi="Arial" w:cs="Arial"/>
          <w:i/>
          <w:sz w:val="20"/>
          <w:szCs w:val="20"/>
        </w:rPr>
        <w:t>r</w:t>
      </w:r>
      <w:r w:rsidR="00932405">
        <w:rPr>
          <w:rFonts w:ascii="Arial" w:hAnsi="Arial" w:cs="Arial"/>
          <w:i/>
          <w:sz w:val="20"/>
          <w:szCs w:val="20"/>
        </w:rPr>
        <w:t>rea</w:t>
      </w:r>
      <w:r w:rsidR="0080178D">
        <w:rPr>
          <w:rFonts w:ascii="Arial" w:hAnsi="Arial" w:cs="Arial"/>
          <w:i/>
          <w:sz w:val="20"/>
          <w:szCs w:val="20"/>
        </w:rPr>
        <w:t>r</w:t>
      </w:r>
      <w:r w:rsidR="00932405">
        <w:rPr>
          <w:rFonts w:ascii="Arial" w:hAnsi="Arial" w:cs="Arial"/>
          <w:i/>
          <w:sz w:val="20"/>
          <w:szCs w:val="20"/>
        </w:rPr>
        <w:t>s, the B</w:t>
      </w:r>
      <w:r w:rsidR="00955D06">
        <w:rPr>
          <w:rFonts w:ascii="Arial" w:hAnsi="Arial" w:cs="Arial"/>
          <w:i/>
          <w:sz w:val="20"/>
          <w:szCs w:val="20"/>
        </w:rPr>
        <w:t>ank would be enti</w:t>
      </w:r>
      <w:r w:rsidR="00932405">
        <w:rPr>
          <w:rFonts w:ascii="Arial" w:hAnsi="Arial" w:cs="Arial"/>
          <w:i/>
          <w:sz w:val="20"/>
          <w:szCs w:val="20"/>
        </w:rPr>
        <w:t>tled inter alia, to cancel the Loan A</w:t>
      </w:r>
      <w:r w:rsidR="00955D06">
        <w:rPr>
          <w:rFonts w:ascii="Arial" w:hAnsi="Arial" w:cs="Arial"/>
          <w:i/>
          <w:sz w:val="20"/>
          <w:szCs w:val="20"/>
        </w:rPr>
        <w:t>greement and/or</w:t>
      </w:r>
      <w:r>
        <w:rPr>
          <w:rFonts w:ascii="Arial" w:hAnsi="Arial" w:cs="Arial"/>
          <w:i/>
          <w:sz w:val="20"/>
          <w:szCs w:val="20"/>
        </w:rPr>
        <w:t xml:space="preserve"> to recover from the D</w:t>
      </w:r>
      <w:r w:rsidR="00955D06">
        <w:rPr>
          <w:rFonts w:ascii="Arial" w:hAnsi="Arial" w:cs="Arial"/>
          <w:i/>
          <w:sz w:val="20"/>
          <w:szCs w:val="20"/>
        </w:rPr>
        <w:t>efendant the full</w:t>
      </w:r>
      <w:r w:rsidR="00932405">
        <w:rPr>
          <w:rFonts w:ascii="Arial" w:hAnsi="Arial" w:cs="Arial"/>
          <w:i/>
          <w:sz w:val="20"/>
          <w:szCs w:val="20"/>
        </w:rPr>
        <w:t xml:space="preserve"> balance outstanding under the Loan A</w:t>
      </w:r>
      <w:r w:rsidR="00955D06">
        <w:rPr>
          <w:rFonts w:ascii="Arial" w:hAnsi="Arial" w:cs="Arial"/>
          <w:i/>
          <w:sz w:val="20"/>
          <w:szCs w:val="20"/>
        </w:rPr>
        <w:t>greement together with interest on the outstanding balance to date of final payment, as well as any and all legal costs and other re</w:t>
      </w:r>
      <w:r w:rsidR="00932405">
        <w:rPr>
          <w:rFonts w:ascii="Arial" w:hAnsi="Arial" w:cs="Arial"/>
          <w:i/>
          <w:sz w:val="20"/>
          <w:szCs w:val="20"/>
        </w:rPr>
        <w:t>asonable costs incurred by the B</w:t>
      </w:r>
      <w:r w:rsidR="00955D06">
        <w:rPr>
          <w:rFonts w:ascii="Arial" w:hAnsi="Arial" w:cs="Arial"/>
          <w:i/>
          <w:sz w:val="20"/>
          <w:szCs w:val="20"/>
        </w:rPr>
        <w:t>ank in enforcing</w:t>
      </w:r>
      <w:r w:rsidR="00932405">
        <w:rPr>
          <w:rFonts w:ascii="Arial" w:hAnsi="Arial" w:cs="Arial"/>
          <w:i/>
          <w:sz w:val="20"/>
          <w:szCs w:val="20"/>
        </w:rPr>
        <w:t xml:space="preserve"> its rights under the Loan A</w:t>
      </w:r>
      <w:r w:rsidR="00955D06">
        <w:rPr>
          <w:rFonts w:ascii="Arial" w:hAnsi="Arial" w:cs="Arial"/>
          <w:i/>
          <w:sz w:val="20"/>
          <w:szCs w:val="20"/>
        </w:rPr>
        <w:t>greement and recovering any am</w:t>
      </w:r>
      <w:r>
        <w:rPr>
          <w:rFonts w:ascii="Arial" w:hAnsi="Arial" w:cs="Arial"/>
          <w:i/>
          <w:sz w:val="20"/>
          <w:szCs w:val="20"/>
        </w:rPr>
        <w:t>ount due and/or payable by the D</w:t>
      </w:r>
      <w:r w:rsidR="00955D06">
        <w:rPr>
          <w:rFonts w:ascii="Arial" w:hAnsi="Arial" w:cs="Arial"/>
          <w:i/>
          <w:sz w:val="20"/>
          <w:szCs w:val="20"/>
        </w:rPr>
        <w:t xml:space="preserve">efendant in terms of the </w:t>
      </w:r>
      <w:r w:rsidR="00932405">
        <w:rPr>
          <w:rFonts w:ascii="Arial" w:hAnsi="Arial" w:cs="Arial"/>
          <w:i/>
          <w:sz w:val="20"/>
          <w:szCs w:val="20"/>
        </w:rPr>
        <w:t>Loan A</w:t>
      </w:r>
      <w:r w:rsidR="00955D06">
        <w:rPr>
          <w:rFonts w:ascii="Arial" w:hAnsi="Arial" w:cs="Arial"/>
          <w:i/>
          <w:sz w:val="20"/>
          <w:szCs w:val="20"/>
        </w:rPr>
        <w:t xml:space="preserve">greement. </w:t>
      </w:r>
    </w:p>
    <w:p w14:paraId="70B6AA0D" w14:textId="77777777" w:rsidR="00955D06" w:rsidRDefault="0080178D" w:rsidP="00500FBB">
      <w:pPr>
        <w:spacing w:after="240" w:line="360" w:lineRule="auto"/>
        <w:ind w:left="1134" w:hanging="567"/>
        <w:jc w:val="both"/>
        <w:rPr>
          <w:rFonts w:ascii="Arial" w:hAnsi="Arial" w:cs="Arial"/>
          <w:i/>
          <w:sz w:val="20"/>
          <w:szCs w:val="20"/>
        </w:rPr>
      </w:pPr>
      <w:r>
        <w:rPr>
          <w:rFonts w:ascii="Arial" w:hAnsi="Arial" w:cs="Arial"/>
          <w:i/>
          <w:sz w:val="20"/>
          <w:szCs w:val="20"/>
        </w:rPr>
        <w:t>25.</w:t>
      </w:r>
      <w:r>
        <w:rPr>
          <w:rFonts w:ascii="Arial" w:hAnsi="Arial" w:cs="Arial"/>
          <w:i/>
          <w:sz w:val="20"/>
          <w:szCs w:val="20"/>
        </w:rPr>
        <w:tab/>
        <w:t>Notwithstanding the Default N</w:t>
      </w:r>
      <w:r w:rsidR="00955D06">
        <w:rPr>
          <w:rFonts w:ascii="Arial" w:hAnsi="Arial" w:cs="Arial"/>
          <w:i/>
          <w:sz w:val="20"/>
          <w:szCs w:val="20"/>
        </w:rPr>
        <w:t>otice, the defendant has failed and/or refuse</w:t>
      </w:r>
      <w:r>
        <w:rPr>
          <w:rFonts w:ascii="Arial" w:hAnsi="Arial" w:cs="Arial"/>
          <w:i/>
          <w:sz w:val="20"/>
          <w:szCs w:val="20"/>
        </w:rPr>
        <w:t>d</w:t>
      </w:r>
      <w:r w:rsidR="00955D06">
        <w:rPr>
          <w:rFonts w:ascii="Arial" w:hAnsi="Arial" w:cs="Arial"/>
          <w:i/>
          <w:sz w:val="20"/>
          <w:szCs w:val="20"/>
        </w:rPr>
        <w:t xml:space="preserve"> and/or neglected to make payment of the amount as set out in the default notice. </w:t>
      </w:r>
    </w:p>
    <w:p w14:paraId="2AA6B500" w14:textId="77777777" w:rsidR="00955D06" w:rsidRDefault="00955D06" w:rsidP="00500FBB">
      <w:pPr>
        <w:spacing w:after="240" w:line="360" w:lineRule="auto"/>
        <w:ind w:left="1134" w:hanging="567"/>
        <w:jc w:val="both"/>
        <w:rPr>
          <w:rFonts w:ascii="Arial" w:hAnsi="Arial" w:cs="Arial"/>
          <w:i/>
          <w:sz w:val="20"/>
          <w:szCs w:val="20"/>
        </w:rPr>
      </w:pPr>
      <w:r>
        <w:rPr>
          <w:rFonts w:ascii="Arial" w:hAnsi="Arial" w:cs="Arial"/>
          <w:i/>
          <w:sz w:val="20"/>
          <w:szCs w:val="20"/>
        </w:rPr>
        <w:t>26.</w:t>
      </w:r>
      <w:r>
        <w:rPr>
          <w:rFonts w:ascii="Arial" w:hAnsi="Arial" w:cs="Arial"/>
          <w:i/>
          <w:sz w:val="20"/>
          <w:szCs w:val="20"/>
        </w:rPr>
        <w:tab/>
        <w:t xml:space="preserve">On or about </w:t>
      </w:r>
      <w:r w:rsidRPr="0080178D">
        <w:rPr>
          <w:rFonts w:ascii="Arial" w:hAnsi="Arial" w:cs="Arial"/>
          <w:b/>
          <w:i/>
          <w:sz w:val="20"/>
          <w:szCs w:val="20"/>
        </w:rPr>
        <w:t>15 June 2018</w:t>
      </w:r>
      <w:r>
        <w:rPr>
          <w:rFonts w:ascii="Arial" w:hAnsi="Arial" w:cs="Arial"/>
          <w:i/>
          <w:sz w:val="20"/>
          <w:szCs w:val="20"/>
        </w:rPr>
        <w:t xml:space="preserve"> the bank notified the defendant inter alia that;</w:t>
      </w:r>
    </w:p>
    <w:p w14:paraId="587A99A4" w14:textId="77777777" w:rsidR="00500FBB" w:rsidRDefault="00955D06" w:rsidP="00955D06">
      <w:pPr>
        <w:spacing w:after="240" w:line="360" w:lineRule="auto"/>
        <w:ind w:left="1701" w:hanging="567"/>
        <w:jc w:val="both"/>
        <w:rPr>
          <w:rFonts w:ascii="Arial" w:hAnsi="Arial" w:cs="Arial"/>
          <w:i/>
          <w:sz w:val="20"/>
          <w:szCs w:val="20"/>
        </w:rPr>
      </w:pPr>
      <w:r>
        <w:rPr>
          <w:rFonts w:ascii="Arial" w:hAnsi="Arial" w:cs="Arial"/>
          <w:i/>
          <w:sz w:val="20"/>
          <w:szCs w:val="20"/>
        </w:rPr>
        <w:t>2</w:t>
      </w:r>
      <w:r w:rsidR="00D84822">
        <w:rPr>
          <w:rFonts w:ascii="Arial" w:hAnsi="Arial" w:cs="Arial"/>
          <w:i/>
          <w:sz w:val="20"/>
          <w:szCs w:val="20"/>
        </w:rPr>
        <w:t>6.1</w:t>
      </w:r>
      <w:r w:rsidR="00D84822">
        <w:rPr>
          <w:rFonts w:ascii="Arial" w:hAnsi="Arial" w:cs="Arial"/>
          <w:i/>
          <w:sz w:val="20"/>
          <w:szCs w:val="20"/>
        </w:rPr>
        <w:tab/>
        <w:t>The Defendant was in breach of the Loan A</w:t>
      </w:r>
      <w:r w:rsidR="00500FBB">
        <w:rPr>
          <w:rFonts w:ascii="Arial" w:hAnsi="Arial" w:cs="Arial"/>
          <w:i/>
          <w:sz w:val="20"/>
          <w:szCs w:val="20"/>
        </w:rPr>
        <w:t xml:space="preserve">greement; </w:t>
      </w:r>
    </w:p>
    <w:p w14:paraId="7264FDD8" w14:textId="77777777" w:rsidR="00500FBB" w:rsidRDefault="00D84822" w:rsidP="00955D06">
      <w:pPr>
        <w:spacing w:after="240" w:line="360" w:lineRule="auto"/>
        <w:ind w:left="1701" w:hanging="567"/>
        <w:jc w:val="both"/>
        <w:rPr>
          <w:rFonts w:ascii="Arial" w:hAnsi="Arial" w:cs="Arial"/>
          <w:i/>
          <w:sz w:val="20"/>
          <w:szCs w:val="20"/>
        </w:rPr>
      </w:pPr>
      <w:r>
        <w:rPr>
          <w:rFonts w:ascii="Arial" w:hAnsi="Arial" w:cs="Arial"/>
          <w:i/>
          <w:sz w:val="20"/>
          <w:szCs w:val="20"/>
        </w:rPr>
        <w:t>26.2</w:t>
      </w:r>
      <w:r>
        <w:rPr>
          <w:rFonts w:ascii="Arial" w:hAnsi="Arial" w:cs="Arial"/>
          <w:i/>
          <w:sz w:val="20"/>
          <w:szCs w:val="20"/>
        </w:rPr>
        <w:tab/>
        <w:t>The P</w:t>
      </w:r>
      <w:r w:rsidR="00500FBB">
        <w:rPr>
          <w:rFonts w:ascii="Arial" w:hAnsi="Arial" w:cs="Arial"/>
          <w:i/>
          <w:sz w:val="20"/>
          <w:szCs w:val="20"/>
        </w:rPr>
        <w:t xml:space="preserve">laintiff was forthwith required to discharge </w:t>
      </w:r>
      <w:proofErr w:type="gramStart"/>
      <w:r w:rsidR="00500FBB">
        <w:rPr>
          <w:rFonts w:ascii="Arial" w:hAnsi="Arial" w:cs="Arial"/>
          <w:i/>
          <w:sz w:val="20"/>
          <w:szCs w:val="20"/>
        </w:rPr>
        <w:t>all of</w:t>
      </w:r>
      <w:proofErr w:type="gramEnd"/>
      <w:r w:rsidR="00500FBB">
        <w:rPr>
          <w:rFonts w:ascii="Arial" w:hAnsi="Arial" w:cs="Arial"/>
          <w:i/>
          <w:sz w:val="20"/>
          <w:szCs w:val="20"/>
        </w:rPr>
        <w:t xml:space="preserve"> its obligations to the</w:t>
      </w:r>
      <w:r>
        <w:rPr>
          <w:rFonts w:ascii="Arial" w:hAnsi="Arial" w:cs="Arial"/>
          <w:i/>
          <w:sz w:val="20"/>
          <w:szCs w:val="20"/>
        </w:rPr>
        <w:t xml:space="preserve"> Bank in terms of the P</w:t>
      </w:r>
      <w:r w:rsidR="00500FBB">
        <w:rPr>
          <w:rFonts w:ascii="Arial" w:hAnsi="Arial" w:cs="Arial"/>
          <w:i/>
          <w:sz w:val="20"/>
          <w:szCs w:val="20"/>
        </w:rPr>
        <w:t xml:space="preserve">laintiff’s guarantee, by promptly proceeding </w:t>
      </w:r>
      <w:r>
        <w:rPr>
          <w:rFonts w:ascii="Arial" w:hAnsi="Arial" w:cs="Arial"/>
          <w:i/>
          <w:sz w:val="20"/>
          <w:szCs w:val="20"/>
        </w:rPr>
        <w:t>in a competent court against the D</w:t>
      </w:r>
      <w:r w:rsidR="00500FBB">
        <w:rPr>
          <w:rFonts w:ascii="Arial" w:hAnsi="Arial" w:cs="Arial"/>
          <w:i/>
          <w:sz w:val="20"/>
          <w:szCs w:val="20"/>
        </w:rPr>
        <w:t>efendant, under the i</w:t>
      </w:r>
      <w:r>
        <w:rPr>
          <w:rFonts w:ascii="Arial" w:hAnsi="Arial" w:cs="Arial"/>
          <w:i/>
          <w:sz w:val="20"/>
          <w:szCs w:val="20"/>
        </w:rPr>
        <w:t>ndemnity, by calling up and fore</w:t>
      </w:r>
      <w:r w:rsidR="00500FBB">
        <w:rPr>
          <w:rFonts w:ascii="Arial" w:hAnsi="Arial" w:cs="Arial"/>
          <w:i/>
          <w:sz w:val="20"/>
          <w:szCs w:val="20"/>
        </w:rPr>
        <w:t xml:space="preserve">closing on the </w:t>
      </w:r>
      <w:r w:rsidR="00500FBB">
        <w:rPr>
          <w:rFonts w:ascii="Arial" w:hAnsi="Arial" w:cs="Arial"/>
          <w:i/>
          <w:sz w:val="20"/>
          <w:szCs w:val="20"/>
        </w:rPr>
        <w:lastRenderedPageBreak/>
        <w:t>mortgage bond and enforcing such other rem</w:t>
      </w:r>
      <w:r>
        <w:rPr>
          <w:rFonts w:ascii="Arial" w:hAnsi="Arial" w:cs="Arial"/>
          <w:i/>
          <w:sz w:val="20"/>
          <w:szCs w:val="20"/>
        </w:rPr>
        <w:t>edies as were available to the P</w:t>
      </w:r>
      <w:r w:rsidR="00500FBB">
        <w:rPr>
          <w:rFonts w:ascii="Arial" w:hAnsi="Arial" w:cs="Arial"/>
          <w:i/>
          <w:sz w:val="20"/>
          <w:szCs w:val="20"/>
        </w:rPr>
        <w:t xml:space="preserve">laintiff at law. </w:t>
      </w:r>
    </w:p>
    <w:p w14:paraId="276B3C6F" w14:textId="77777777" w:rsidR="00500FBB" w:rsidRDefault="00500FBB" w:rsidP="00500FBB">
      <w:pPr>
        <w:spacing w:after="240" w:line="360" w:lineRule="auto"/>
        <w:ind w:left="1134" w:hanging="567"/>
        <w:jc w:val="both"/>
        <w:rPr>
          <w:rFonts w:ascii="Arial" w:hAnsi="Arial" w:cs="Arial"/>
          <w:i/>
          <w:sz w:val="20"/>
          <w:szCs w:val="20"/>
        </w:rPr>
      </w:pPr>
      <w:r>
        <w:rPr>
          <w:rFonts w:ascii="Arial" w:hAnsi="Arial" w:cs="Arial"/>
          <w:i/>
          <w:sz w:val="20"/>
          <w:szCs w:val="20"/>
        </w:rPr>
        <w:t>27.</w:t>
      </w:r>
      <w:r>
        <w:rPr>
          <w:rFonts w:ascii="Arial" w:hAnsi="Arial" w:cs="Arial"/>
          <w:i/>
          <w:sz w:val="20"/>
          <w:szCs w:val="20"/>
        </w:rPr>
        <w:tab/>
        <w:t>A copy of the bank’s notificat</w:t>
      </w:r>
      <w:r w:rsidR="00676491">
        <w:rPr>
          <w:rFonts w:ascii="Arial" w:hAnsi="Arial" w:cs="Arial"/>
          <w:i/>
          <w:sz w:val="20"/>
          <w:szCs w:val="20"/>
        </w:rPr>
        <w:t xml:space="preserve">ion is annexed hereto marked </w:t>
      </w:r>
      <w:r w:rsidR="00676491" w:rsidRPr="00D8365C">
        <w:rPr>
          <w:rFonts w:ascii="Arial" w:hAnsi="Arial" w:cs="Arial"/>
          <w:b/>
          <w:i/>
          <w:sz w:val="20"/>
          <w:szCs w:val="20"/>
        </w:rPr>
        <w:t>“Po</w:t>
      </w:r>
      <w:r w:rsidRPr="00D8365C">
        <w:rPr>
          <w:rFonts w:ascii="Arial" w:hAnsi="Arial" w:cs="Arial"/>
          <w:b/>
          <w:i/>
          <w:sz w:val="20"/>
          <w:szCs w:val="20"/>
        </w:rPr>
        <w:t>C6</w:t>
      </w:r>
      <w:r>
        <w:rPr>
          <w:rFonts w:ascii="Arial" w:hAnsi="Arial" w:cs="Arial"/>
          <w:i/>
          <w:sz w:val="20"/>
          <w:szCs w:val="20"/>
        </w:rPr>
        <w:t xml:space="preserve">”. </w:t>
      </w:r>
    </w:p>
    <w:p w14:paraId="57FA36A1" w14:textId="77777777" w:rsidR="00500FBB" w:rsidRDefault="00500FBB" w:rsidP="00500FBB">
      <w:pPr>
        <w:spacing w:after="240" w:line="360" w:lineRule="auto"/>
        <w:ind w:left="1134" w:hanging="567"/>
        <w:jc w:val="both"/>
        <w:rPr>
          <w:rFonts w:ascii="Arial" w:hAnsi="Arial" w:cs="Arial"/>
          <w:i/>
          <w:sz w:val="20"/>
          <w:szCs w:val="20"/>
        </w:rPr>
      </w:pPr>
      <w:r>
        <w:rPr>
          <w:rFonts w:ascii="Arial" w:hAnsi="Arial" w:cs="Arial"/>
          <w:i/>
          <w:sz w:val="20"/>
          <w:szCs w:val="20"/>
        </w:rPr>
        <w:t>28.</w:t>
      </w:r>
      <w:r>
        <w:rPr>
          <w:rFonts w:ascii="Arial" w:hAnsi="Arial" w:cs="Arial"/>
          <w:i/>
          <w:sz w:val="20"/>
          <w:szCs w:val="20"/>
        </w:rPr>
        <w:tab/>
        <w:t xml:space="preserve">Accordingly, on or about </w:t>
      </w:r>
      <w:r w:rsidRPr="00676491">
        <w:rPr>
          <w:rFonts w:ascii="Arial" w:hAnsi="Arial" w:cs="Arial"/>
          <w:b/>
          <w:i/>
          <w:sz w:val="20"/>
          <w:szCs w:val="20"/>
        </w:rPr>
        <w:t>15 June 2018</w:t>
      </w:r>
      <w:r w:rsidR="00676491">
        <w:rPr>
          <w:rFonts w:ascii="Arial" w:hAnsi="Arial" w:cs="Arial"/>
          <w:i/>
          <w:sz w:val="20"/>
          <w:szCs w:val="20"/>
        </w:rPr>
        <w:t xml:space="preserve"> the Plaintiff sent</w:t>
      </w:r>
      <w:r>
        <w:rPr>
          <w:rFonts w:ascii="Arial" w:hAnsi="Arial" w:cs="Arial"/>
          <w:i/>
          <w:sz w:val="20"/>
          <w:szCs w:val="20"/>
        </w:rPr>
        <w:t xml:space="preserve"> a demand for payment in</w:t>
      </w:r>
      <w:r w:rsidR="00676491">
        <w:rPr>
          <w:rFonts w:ascii="Arial" w:hAnsi="Arial" w:cs="Arial"/>
          <w:i/>
          <w:sz w:val="20"/>
          <w:szCs w:val="20"/>
        </w:rPr>
        <w:t xml:space="preserve"> terms of the indemnity to the Defendant requiring the D</w:t>
      </w:r>
      <w:r>
        <w:rPr>
          <w:rFonts w:ascii="Arial" w:hAnsi="Arial" w:cs="Arial"/>
          <w:i/>
          <w:sz w:val="20"/>
          <w:szCs w:val="20"/>
        </w:rPr>
        <w:t xml:space="preserve">efendant to pay the full amount </w:t>
      </w:r>
      <w:r w:rsidRPr="00676491">
        <w:rPr>
          <w:rFonts w:ascii="Arial" w:hAnsi="Arial" w:cs="Arial"/>
          <w:sz w:val="20"/>
          <w:szCs w:val="20"/>
        </w:rPr>
        <w:t>so</w:t>
      </w:r>
      <w:r>
        <w:rPr>
          <w:rFonts w:ascii="Arial" w:hAnsi="Arial" w:cs="Arial"/>
          <w:i/>
          <w:sz w:val="20"/>
          <w:szCs w:val="20"/>
        </w:rPr>
        <w:t xml:space="preserve"> due </w:t>
      </w:r>
      <w:r w:rsidR="00676491">
        <w:rPr>
          <w:rFonts w:ascii="Arial" w:hAnsi="Arial" w:cs="Arial"/>
          <w:i/>
          <w:sz w:val="20"/>
          <w:szCs w:val="20"/>
        </w:rPr>
        <w:t>and payable forthwith (“</w:t>
      </w:r>
      <w:r w:rsidR="00676491" w:rsidRPr="00D8365C">
        <w:rPr>
          <w:rFonts w:ascii="Arial" w:hAnsi="Arial" w:cs="Arial"/>
          <w:b/>
          <w:i/>
          <w:sz w:val="20"/>
          <w:szCs w:val="20"/>
        </w:rPr>
        <w:t>the P</w:t>
      </w:r>
      <w:r w:rsidRPr="00D8365C">
        <w:rPr>
          <w:rFonts w:ascii="Arial" w:hAnsi="Arial" w:cs="Arial"/>
          <w:b/>
          <w:i/>
          <w:sz w:val="20"/>
          <w:szCs w:val="20"/>
        </w:rPr>
        <w:t>laintiff’s demand</w:t>
      </w:r>
      <w:r>
        <w:rPr>
          <w:rFonts w:ascii="Arial" w:hAnsi="Arial" w:cs="Arial"/>
          <w:i/>
          <w:sz w:val="20"/>
          <w:szCs w:val="20"/>
        </w:rPr>
        <w:t>”). A copy of the plaintiff’s dema</w:t>
      </w:r>
      <w:r w:rsidR="00676491">
        <w:rPr>
          <w:rFonts w:ascii="Arial" w:hAnsi="Arial" w:cs="Arial"/>
          <w:i/>
          <w:sz w:val="20"/>
          <w:szCs w:val="20"/>
        </w:rPr>
        <w:t>nd is annexed here to marked “Po</w:t>
      </w:r>
      <w:r>
        <w:rPr>
          <w:rFonts w:ascii="Arial" w:hAnsi="Arial" w:cs="Arial"/>
          <w:i/>
          <w:sz w:val="20"/>
          <w:szCs w:val="20"/>
        </w:rPr>
        <w:t xml:space="preserve">C7”. </w:t>
      </w:r>
    </w:p>
    <w:p w14:paraId="350EA331" w14:textId="77777777" w:rsidR="00500FBB" w:rsidRDefault="00676491" w:rsidP="00500FBB">
      <w:pPr>
        <w:spacing w:after="240" w:line="360" w:lineRule="auto"/>
        <w:ind w:left="1134" w:hanging="567"/>
        <w:jc w:val="both"/>
        <w:rPr>
          <w:rFonts w:ascii="Arial" w:hAnsi="Arial" w:cs="Arial"/>
          <w:i/>
          <w:sz w:val="20"/>
          <w:szCs w:val="20"/>
        </w:rPr>
      </w:pPr>
      <w:r>
        <w:rPr>
          <w:rFonts w:ascii="Arial" w:hAnsi="Arial" w:cs="Arial"/>
          <w:i/>
          <w:sz w:val="20"/>
          <w:szCs w:val="20"/>
        </w:rPr>
        <w:t>29.</w:t>
      </w:r>
      <w:r>
        <w:rPr>
          <w:rFonts w:ascii="Arial" w:hAnsi="Arial" w:cs="Arial"/>
          <w:i/>
          <w:sz w:val="20"/>
          <w:szCs w:val="20"/>
        </w:rPr>
        <w:tab/>
        <w:t>Notwithstanding the Plaintiff’s demand, the D</w:t>
      </w:r>
      <w:r w:rsidR="00500FBB">
        <w:rPr>
          <w:rFonts w:ascii="Arial" w:hAnsi="Arial" w:cs="Arial"/>
          <w:i/>
          <w:sz w:val="20"/>
          <w:szCs w:val="20"/>
        </w:rPr>
        <w:t>efendant has failed and/or refuse</w:t>
      </w:r>
      <w:r>
        <w:rPr>
          <w:rFonts w:ascii="Arial" w:hAnsi="Arial" w:cs="Arial"/>
          <w:i/>
          <w:sz w:val="20"/>
          <w:szCs w:val="20"/>
        </w:rPr>
        <w:t>d</w:t>
      </w:r>
      <w:r w:rsidR="00500FBB">
        <w:rPr>
          <w:rFonts w:ascii="Arial" w:hAnsi="Arial" w:cs="Arial"/>
          <w:i/>
          <w:sz w:val="20"/>
          <w:szCs w:val="20"/>
        </w:rPr>
        <w:t xml:space="preserve"> and/or neglected to make payment of the amount as set o</w:t>
      </w:r>
      <w:r>
        <w:rPr>
          <w:rFonts w:ascii="Arial" w:hAnsi="Arial" w:cs="Arial"/>
          <w:i/>
          <w:sz w:val="20"/>
          <w:szCs w:val="20"/>
        </w:rPr>
        <w:t>ut in the P</w:t>
      </w:r>
      <w:r w:rsidR="00500FBB">
        <w:rPr>
          <w:rFonts w:ascii="Arial" w:hAnsi="Arial" w:cs="Arial"/>
          <w:i/>
          <w:sz w:val="20"/>
          <w:szCs w:val="20"/>
        </w:rPr>
        <w:t xml:space="preserve">laintiff’s demand, and the </w:t>
      </w:r>
      <w:r>
        <w:rPr>
          <w:rFonts w:ascii="Arial" w:hAnsi="Arial" w:cs="Arial"/>
          <w:i/>
          <w:sz w:val="20"/>
          <w:szCs w:val="20"/>
        </w:rPr>
        <w:t>P</w:t>
      </w:r>
      <w:r w:rsidR="00500FBB">
        <w:rPr>
          <w:rFonts w:ascii="Arial" w:hAnsi="Arial" w:cs="Arial"/>
          <w:i/>
          <w:sz w:val="20"/>
          <w:szCs w:val="20"/>
        </w:rPr>
        <w:t>laintiff is accordingly entitled to claim the to</w:t>
      </w:r>
      <w:r>
        <w:rPr>
          <w:rFonts w:ascii="Arial" w:hAnsi="Arial" w:cs="Arial"/>
          <w:i/>
          <w:sz w:val="20"/>
          <w:szCs w:val="20"/>
        </w:rPr>
        <w:t>tal of all amount owing by the Defendant to the P</w:t>
      </w:r>
      <w:r w:rsidR="00500FBB">
        <w:rPr>
          <w:rFonts w:ascii="Arial" w:hAnsi="Arial" w:cs="Arial"/>
          <w:i/>
          <w:sz w:val="20"/>
          <w:szCs w:val="20"/>
        </w:rPr>
        <w:t xml:space="preserve">laintiff. </w:t>
      </w:r>
    </w:p>
    <w:p w14:paraId="0D976D70" w14:textId="77777777" w:rsidR="00040225" w:rsidRDefault="004871F9" w:rsidP="00500FBB">
      <w:pPr>
        <w:spacing w:after="240" w:line="360" w:lineRule="auto"/>
        <w:ind w:left="1134" w:hanging="567"/>
        <w:jc w:val="both"/>
        <w:rPr>
          <w:rFonts w:ascii="Arial" w:hAnsi="Arial" w:cs="Arial"/>
          <w:i/>
          <w:sz w:val="20"/>
          <w:szCs w:val="20"/>
        </w:rPr>
      </w:pPr>
      <w:r>
        <w:rPr>
          <w:rFonts w:ascii="Arial" w:hAnsi="Arial" w:cs="Arial"/>
          <w:i/>
          <w:sz w:val="20"/>
          <w:szCs w:val="20"/>
        </w:rPr>
        <w:t>30.</w:t>
      </w:r>
      <w:r>
        <w:rPr>
          <w:rFonts w:ascii="Arial" w:hAnsi="Arial" w:cs="Arial"/>
          <w:i/>
          <w:sz w:val="20"/>
          <w:szCs w:val="20"/>
        </w:rPr>
        <w:tab/>
        <w:t>The D</w:t>
      </w:r>
      <w:r w:rsidR="00500FBB">
        <w:rPr>
          <w:rFonts w:ascii="Arial" w:hAnsi="Arial" w:cs="Arial"/>
          <w:i/>
          <w:sz w:val="20"/>
          <w:szCs w:val="20"/>
        </w:rPr>
        <w:t xml:space="preserve">efendant is presently indebted to the </w:t>
      </w:r>
      <w:r>
        <w:rPr>
          <w:rFonts w:ascii="Arial" w:hAnsi="Arial" w:cs="Arial"/>
          <w:i/>
          <w:sz w:val="20"/>
          <w:szCs w:val="20"/>
        </w:rPr>
        <w:t>Bank under the Loan Agreement, and therefore to the P</w:t>
      </w:r>
      <w:r w:rsidR="00500FBB">
        <w:rPr>
          <w:rFonts w:ascii="Arial" w:hAnsi="Arial" w:cs="Arial"/>
          <w:i/>
          <w:sz w:val="20"/>
          <w:szCs w:val="20"/>
        </w:rPr>
        <w:t xml:space="preserve">laintiff under the indemnity, in the amount of </w:t>
      </w:r>
      <w:r w:rsidR="00500FBB" w:rsidRPr="004871F9">
        <w:rPr>
          <w:rFonts w:ascii="Arial" w:hAnsi="Arial" w:cs="Arial"/>
          <w:b/>
          <w:i/>
          <w:sz w:val="20"/>
          <w:szCs w:val="20"/>
        </w:rPr>
        <w:t xml:space="preserve">R 1 109 875.01 (One million one hundred and nine thousands and eight hundred </w:t>
      </w:r>
      <w:r w:rsidR="00040225" w:rsidRPr="004871F9">
        <w:rPr>
          <w:rFonts w:ascii="Arial" w:hAnsi="Arial" w:cs="Arial"/>
          <w:b/>
          <w:i/>
          <w:sz w:val="20"/>
          <w:szCs w:val="20"/>
        </w:rPr>
        <w:t>and seventy-five and one cent</w:t>
      </w:r>
      <w:r>
        <w:rPr>
          <w:rFonts w:ascii="Arial" w:hAnsi="Arial" w:cs="Arial"/>
          <w:i/>
          <w:sz w:val="20"/>
          <w:szCs w:val="20"/>
        </w:rPr>
        <w:t>), being the balance of the total P</w:t>
      </w:r>
      <w:r w:rsidR="00040225">
        <w:rPr>
          <w:rFonts w:ascii="Arial" w:hAnsi="Arial" w:cs="Arial"/>
          <w:i/>
          <w:sz w:val="20"/>
          <w:szCs w:val="20"/>
        </w:rPr>
        <w:t xml:space="preserve">rincipal </w:t>
      </w:r>
      <w:r>
        <w:rPr>
          <w:rFonts w:ascii="Arial" w:hAnsi="Arial" w:cs="Arial"/>
          <w:i/>
          <w:sz w:val="20"/>
          <w:szCs w:val="20"/>
        </w:rPr>
        <w:t>D</w:t>
      </w:r>
      <w:r w:rsidR="00040225">
        <w:rPr>
          <w:rFonts w:ascii="Arial" w:hAnsi="Arial" w:cs="Arial"/>
          <w:i/>
          <w:sz w:val="20"/>
          <w:szCs w:val="20"/>
        </w:rPr>
        <w:t>ebt, together with interest at the rate of 8.23% per annum from 03 October 2020 to date of payment, as reflected on the certificate of b</w:t>
      </w:r>
      <w:r>
        <w:rPr>
          <w:rFonts w:ascii="Arial" w:hAnsi="Arial" w:cs="Arial"/>
          <w:i/>
          <w:sz w:val="20"/>
          <w:szCs w:val="20"/>
        </w:rPr>
        <w:t>alance annexed hereto marked “Po</w:t>
      </w:r>
      <w:r w:rsidR="00040225">
        <w:rPr>
          <w:rFonts w:ascii="Arial" w:hAnsi="Arial" w:cs="Arial"/>
          <w:i/>
          <w:sz w:val="20"/>
          <w:szCs w:val="20"/>
        </w:rPr>
        <w:t>C8”.”</w:t>
      </w:r>
    </w:p>
    <w:p w14:paraId="054E24FA" w14:textId="77777777" w:rsidR="00AC3F6F" w:rsidRDefault="00040225" w:rsidP="00040225">
      <w:pPr>
        <w:spacing w:after="240" w:line="360" w:lineRule="auto"/>
        <w:ind w:left="567" w:hanging="567"/>
        <w:jc w:val="both"/>
        <w:rPr>
          <w:rFonts w:ascii="Arial" w:hAnsi="Arial" w:cs="Arial"/>
        </w:rPr>
      </w:pPr>
      <w:r>
        <w:rPr>
          <w:rFonts w:ascii="Arial" w:hAnsi="Arial" w:cs="Arial"/>
        </w:rPr>
        <w:t>[3]</w:t>
      </w:r>
      <w:r w:rsidR="004C7B28">
        <w:rPr>
          <w:rFonts w:ascii="Arial" w:hAnsi="Arial" w:cs="Arial"/>
        </w:rPr>
        <w:tab/>
        <w:t>On an analysis of the above particulars of claim</w:t>
      </w:r>
      <w:r w:rsidR="00D8365C">
        <w:rPr>
          <w:rFonts w:ascii="Arial" w:hAnsi="Arial" w:cs="Arial"/>
        </w:rPr>
        <w:t>,</w:t>
      </w:r>
      <w:r w:rsidR="004C7B28">
        <w:rPr>
          <w:rFonts w:ascii="Arial" w:hAnsi="Arial" w:cs="Arial"/>
        </w:rPr>
        <w:t xml:space="preserve"> it is evident that the plaintiff’s claim is premised on the defendant being indebted to the bank as </w:t>
      </w:r>
      <w:proofErr w:type="gramStart"/>
      <w:r w:rsidR="004C7B28">
        <w:rPr>
          <w:rFonts w:ascii="Arial" w:hAnsi="Arial" w:cs="Arial"/>
        </w:rPr>
        <w:t>at</w:t>
      </w:r>
      <w:proofErr w:type="gramEnd"/>
      <w:r w:rsidR="004C7B28">
        <w:rPr>
          <w:rFonts w:ascii="Arial" w:hAnsi="Arial" w:cs="Arial"/>
        </w:rPr>
        <w:t xml:space="preserve"> 03 October 2020 in the amount of R 1 109 875.01, and therefore to the plaintiff in the same amount under the indemnity agreement. The indemnity </w:t>
      </w:r>
      <w:r w:rsidR="00AC3F6F">
        <w:rPr>
          <w:rFonts w:ascii="Arial" w:hAnsi="Arial" w:cs="Arial"/>
        </w:rPr>
        <w:t>agreement</w:t>
      </w:r>
      <w:r w:rsidR="002C708F">
        <w:rPr>
          <w:rStyle w:val="FootnoteReference"/>
          <w:rFonts w:ascii="Arial" w:hAnsi="Arial" w:cs="Arial"/>
        </w:rPr>
        <w:footnoteReference w:id="2"/>
      </w:r>
      <w:r w:rsidR="00AC3F6F">
        <w:rPr>
          <w:rFonts w:ascii="Arial" w:hAnsi="Arial" w:cs="Arial"/>
        </w:rPr>
        <w:t xml:space="preserve"> states amongst others the following:</w:t>
      </w:r>
    </w:p>
    <w:p w14:paraId="21ED42A5" w14:textId="77777777" w:rsidR="00AC3F6F" w:rsidRDefault="00AC3F6F" w:rsidP="00AC3F6F">
      <w:pPr>
        <w:spacing w:after="240" w:line="360" w:lineRule="auto"/>
        <w:ind w:left="1134" w:hanging="567"/>
        <w:jc w:val="both"/>
        <w:rPr>
          <w:rFonts w:ascii="Arial" w:hAnsi="Arial" w:cs="Arial"/>
        </w:rPr>
      </w:pPr>
      <w:r>
        <w:rPr>
          <w:rFonts w:ascii="Arial" w:hAnsi="Arial" w:cs="Arial"/>
        </w:rPr>
        <w:t>3.1</w:t>
      </w:r>
      <w:r>
        <w:rPr>
          <w:rFonts w:ascii="Arial" w:hAnsi="Arial" w:cs="Arial"/>
        </w:rPr>
        <w:tab/>
        <w:t>The guarantor has provided or will provide a guarantee in favour of the bank in terms of which the guarantor guarantees to the bank the fulfilment of the obligations of the borrower in terms of the loan agreement subject to the terms and conditions of such guarantee. As security for among others the borrower’s indebtedness to the guarantor in terms of this indemnity, the borrower registered the mortgage bond in favour of the guarantor.</w:t>
      </w:r>
      <w:r w:rsidR="00583787">
        <w:rPr>
          <w:rStyle w:val="FootnoteReference"/>
          <w:rFonts w:ascii="Arial" w:hAnsi="Arial" w:cs="Arial"/>
        </w:rPr>
        <w:footnoteReference w:id="3"/>
      </w:r>
      <w:r>
        <w:rPr>
          <w:rFonts w:ascii="Arial" w:hAnsi="Arial" w:cs="Arial"/>
        </w:rPr>
        <w:t xml:space="preserve"> </w:t>
      </w:r>
    </w:p>
    <w:p w14:paraId="262273C8" w14:textId="77777777" w:rsidR="00AC3F6F" w:rsidRDefault="00AC3F6F" w:rsidP="00AC3F6F">
      <w:pPr>
        <w:spacing w:after="240" w:line="360" w:lineRule="auto"/>
        <w:ind w:left="1134" w:hanging="567"/>
        <w:jc w:val="both"/>
        <w:rPr>
          <w:rFonts w:ascii="Arial" w:hAnsi="Arial" w:cs="Arial"/>
        </w:rPr>
      </w:pPr>
      <w:r>
        <w:rPr>
          <w:rFonts w:ascii="Arial" w:hAnsi="Arial" w:cs="Arial"/>
        </w:rPr>
        <w:t>3.2</w:t>
      </w:r>
      <w:r>
        <w:rPr>
          <w:rFonts w:ascii="Arial" w:hAnsi="Arial" w:cs="Arial"/>
        </w:rPr>
        <w:tab/>
        <w:t>The borrower acknowledges and agrees that the bank may, in</w:t>
      </w:r>
      <w:r w:rsidR="005B7235">
        <w:rPr>
          <w:rFonts w:ascii="Arial" w:hAnsi="Arial" w:cs="Arial"/>
        </w:rPr>
        <w:t xml:space="preserve"> terms of the loan agreement, c</w:t>
      </w:r>
      <w:r>
        <w:rPr>
          <w:rFonts w:ascii="Arial" w:hAnsi="Arial" w:cs="Arial"/>
        </w:rPr>
        <w:t>ed</w:t>
      </w:r>
      <w:r w:rsidR="005B7235">
        <w:rPr>
          <w:rFonts w:ascii="Arial" w:hAnsi="Arial" w:cs="Arial"/>
        </w:rPr>
        <w:t>e</w:t>
      </w:r>
      <w:r>
        <w:rPr>
          <w:rFonts w:ascii="Arial" w:hAnsi="Arial" w:cs="Arial"/>
        </w:rPr>
        <w:t xml:space="preserve"> and/or delegate (that is, transfer) any or all of its </w:t>
      </w:r>
      <w:r>
        <w:rPr>
          <w:rFonts w:ascii="Arial" w:hAnsi="Arial" w:cs="Arial"/>
        </w:rPr>
        <w:lastRenderedPageBreak/>
        <w:t>rights and obligations under the loan agreement to any person. If the bank seeds and/or delegates any or all of the rights and obligations under the loan agreement to a transferee, and a guarantee is given to the transferee, the parties acknowledge and agree that the guarantor shall, if and event of the fault occurs-exercise its rights in terms of this indemnity against the borrower in respect of any claims made against the guarantor by the transferee in accordance with the terms of the guarantee; realise the security under the security agreements, if necessary; and pay the transferee, in accordance with the guarantee given to it, the amount of its claim.</w:t>
      </w:r>
      <w:r w:rsidR="00583787">
        <w:rPr>
          <w:rStyle w:val="FootnoteReference"/>
          <w:rFonts w:ascii="Arial" w:hAnsi="Arial" w:cs="Arial"/>
        </w:rPr>
        <w:footnoteReference w:id="4"/>
      </w:r>
      <w:r>
        <w:rPr>
          <w:rFonts w:ascii="Arial" w:hAnsi="Arial" w:cs="Arial"/>
        </w:rPr>
        <w:t xml:space="preserve"> </w:t>
      </w:r>
    </w:p>
    <w:p w14:paraId="12C09035" w14:textId="77777777" w:rsidR="00AC3F6F" w:rsidRDefault="00AC3F6F" w:rsidP="00AC3F6F">
      <w:pPr>
        <w:spacing w:after="240" w:line="360" w:lineRule="auto"/>
        <w:ind w:left="1134" w:hanging="567"/>
        <w:jc w:val="both"/>
        <w:rPr>
          <w:rFonts w:ascii="Arial" w:hAnsi="Arial" w:cs="Arial"/>
        </w:rPr>
      </w:pPr>
      <w:r>
        <w:rPr>
          <w:rFonts w:ascii="Arial" w:hAnsi="Arial" w:cs="Arial"/>
        </w:rPr>
        <w:t>3.3</w:t>
      </w:r>
      <w:r>
        <w:rPr>
          <w:rFonts w:ascii="Arial" w:hAnsi="Arial" w:cs="Arial"/>
        </w:rPr>
        <w:tab/>
        <w:t>The borrower acknowledges and agrees that if in terms of the guarantee given to the bank or the transferee, the bank or the transferee lodges or makes a claim against the guarantor, or the guarantor becomes liable to pay any amount to the bank or the transferee, the borrower shall immediately be liable to the guarantor in terms of this indemnity for the amount for which the guarantor is liable under the guarantee.</w:t>
      </w:r>
      <w:r w:rsidR="00AC6DCB">
        <w:rPr>
          <w:rStyle w:val="FootnoteReference"/>
          <w:rFonts w:ascii="Arial" w:hAnsi="Arial" w:cs="Arial"/>
        </w:rPr>
        <w:footnoteReference w:id="5"/>
      </w:r>
      <w:r>
        <w:rPr>
          <w:rFonts w:ascii="Arial" w:hAnsi="Arial" w:cs="Arial"/>
        </w:rPr>
        <w:t xml:space="preserve"> </w:t>
      </w:r>
    </w:p>
    <w:p w14:paraId="0068FED9" w14:textId="77777777" w:rsidR="0096150F" w:rsidRDefault="00E26066" w:rsidP="00AC3F6F">
      <w:pPr>
        <w:spacing w:after="240" w:line="360" w:lineRule="auto"/>
        <w:ind w:left="567" w:hanging="567"/>
        <w:jc w:val="both"/>
        <w:rPr>
          <w:rFonts w:ascii="Arial" w:hAnsi="Arial" w:cs="Arial"/>
        </w:rPr>
      </w:pPr>
      <w:r>
        <w:rPr>
          <w:rFonts w:ascii="Arial" w:hAnsi="Arial" w:cs="Arial"/>
        </w:rPr>
        <w:t>[4]</w:t>
      </w:r>
      <w:r>
        <w:rPr>
          <w:rFonts w:ascii="Arial" w:hAnsi="Arial" w:cs="Arial"/>
        </w:rPr>
        <w:tab/>
        <w:t>It is therefore clear that if the bank makes a claim against the plaintiff or the plaintiff</w:t>
      </w:r>
      <w:r w:rsidR="00AC6DCB">
        <w:rPr>
          <w:rFonts w:ascii="Arial" w:hAnsi="Arial" w:cs="Arial"/>
        </w:rPr>
        <w:t>,</w:t>
      </w:r>
      <w:r>
        <w:rPr>
          <w:rFonts w:ascii="Arial" w:hAnsi="Arial" w:cs="Arial"/>
        </w:rPr>
        <w:t xml:space="preserve"> as guarantor, becomes liable to pay any amount to the bank, the defendant, as the borrower, shall immediately be liable to the plaintiff in terms of the indemnity for the amount for which the plaintiff is liable under the guarantee.</w:t>
      </w:r>
    </w:p>
    <w:p w14:paraId="57058A25" w14:textId="77777777" w:rsidR="0096150F" w:rsidRDefault="0096150F" w:rsidP="0096150F">
      <w:pPr>
        <w:spacing w:after="240" w:line="360" w:lineRule="auto"/>
        <w:ind w:left="567" w:hanging="567"/>
        <w:jc w:val="both"/>
        <w:rPr>
          <w:rFonts w:ascii="Arial" w:hAnsi="Arial" w:cs="Arial"/>
        </w:rPr>
      </w:pPr>
      <w:r>
        <w:rPr>
          <w:rFonts w:ascii="Arial" w:hAnsi="Arial" w:cs="Arial"/>
        </w:rPr>
        <w:t>[5]</w:t>
      </w:r>
      <w:r w:rsidR="00E26066">
        <w:rPr>
          <w:rFonts w:ascii="Arial" w:hAnsi="Arial" w:cs="Arial"/>
        </w:rPr>
        <w:t xml:space="preserve"> </w:t>
      </w:r>
      <w:r>
        <w:rPr>
          <w:rFonts w:ascii="Arial" w:hAnsi="Arial" w:cs="Arial"/>
        </w:rPr>
        <w:t xml:space="preserve">   </w:t>
      </w:r>
      <w:r w:rsidR="00BF043F">
        <w:rPr>
          <w:rFonts w:ascii="Arial" w:hAnsi="Arial" w:cs="Arial"/>
        </w:rPr>
        <w:t>Ms Elsie Wall, employed as a Manager, Defended Legal, Consumer and H</w:t>
      </w:r>
      <w:r>
        <w:rPr>
          <w:rFonts w:ascii="Arial" w:hAnsi="Arial" w:cs="Arial"/>
        </w:rPr>
        <w:t>i</w:t>
      </w:r>
      <w:r w:rsidR="00BF043F">
        <w:rPr>
          <w:rFonts w:ascii="Arial" w:hAnsi="Arial" w:cs="Arial"/>
        </w:rPr>
        <w:t>gh Net Worth Credit, T</w:t>
      </w:r>
      <w:r>
        <w:rPr>
          <w:rFonts w:ascii="Arial" w:hAnsi="Arial" w:cs="Arial"/>
        </w:rPr>
        <w:t>he Standard Bank of Sout</w:t>
      </w:r>
      <w:r w:rsidR="00BF043F">
        <w:rPr>
          <w:rFonts w:ascii="Arial" w:hAnsi="Arial" w:cs="Arial"/>
        </w:rPr>
        <w:t>h Africa Limited with registered offices at 5 Simmonds S</w:t>
      </w:r>
      <w:r>
        <w:rPr>
          <w:rFonts w:ascii="Arial" w:hAnsi="Arial" w:cs="Arial"/>
        </w:rPr>
        <w:t>treet Johannesburg, Gauteng</w:t>
      </w:r>
      <w:r w:rsidR="00BF043F">
        <w:rPr>
          <w:rFonts w:ascii="Arial" w:hAnsi="Arial" w:cs="Arial"/>
        </w:rPr>
        <w:t>,</w:t>
      </w:r>
      <w:r>
        <w:rPr>
          <w:rFonts w:ascii="Arial" w:hAnsi="Arial" w:cs="Arial"/>
        </w:rPr>
        <w:t xml:space="preserve"> stated that she was duly authorised by</w:t>
      </w:r>
      <w:r w:rsidR="00BF043F">
        <w:rPr>
          <w:rFonts w:ascii="Arial" w:hAnsi="Arial" w:cs="Arial"/>
        </w:rPr>
        <w:t xml:space="preserve"> the</w:t>
      </w:r>
      <w:r>
        <w:rPr>
          <w:rFonts w:ascii="Arial" w:hAnsi="Arial" w:cs="Arial"/>
        </w:rPr>
        <w:t xml:space="preserve"> resolution of the board of directors of the applicant</w:t>
      </w:r>
      <w:r w:rsidR="00BF043F">
        <w:rPr>
          <w:rFonts w:ascii="Arial" w:hAnsi="Arial" w:cs="Arial"/>
        </w:rPr>
        <w:t>,</w:t>
      </w:r>
      <w:r>
        <w:rPr>
          <w:rFonts w:ascii="Arial" w:hAnsi="Arial" w:cs="Arial"/>
        </w:rPr>
        <w:t xml:space="preserve"> which was passed on 13 April 2022 and by a letter of authority issued by the bank</w:t>
      </w:r>
      <w:r w:rsidR="00BF043F">
        <w:rPr>
          <w:rFonts w:ascii="Arial" w:hAnsi="Arial" w:cs="Arial"/>
        </w:rPr>
        <w:t>,</w:t>
      </w:r>
      <w:r>
        <w:rPr>
          <w:rFonts w:ascii="Arial" w:hAnsi="Arial" w:cs="Arial"/>
        </w:rPr>
        <w:t xml:space="preserve"> to depose to this affidavit on behalf of the applicant and</w:t>
      </w:r>
      <w:r w:rsidR="00BF043F">
        <w:rPr>
          <w:rFonts w:ascii="Arial" w:hAnsi="Arial" w:cs="Arial"/>
        </w:rPr>
        <w:t xml:space="preserve"> represent the applicant in these</w:t>
      </w:r>
      <w:r>
        <w:rPr>
          <w:rFonts w:ascii="Arial" w:hAnsi="Arial" w:cs="Arial"/>
        </w:rPr>
        <w:t xml:space="preserve"> proceedings</w:t>
      </w:r>
      <w:r w:rsidR="00BF043F">
        <w:rPr>
          <w:rFonts w:ascii="Arial" w:hAnsi="Arial" w:cs="Arial"/>
        </w:rPr>
        <w:t>.</w:t>
      </w:r>
      <w:r>
        <w:rPr>
          <w:rStyle w:val="FootnoteReference"/>
          <w:rFonts w:ascii="Arial" w:hAnsi="Arial" w:cs="Arial"/>
        </w:rPr>
        <w:footnoteReference w:id="6"/>
      </w:r>
      <w:r w:rsidR="00BF043F">
        <w:rPr>
          <w:rFonts w:ascii="Arial" w:hAnsi="Arial" w:cs="Arial"/>
        </w:rPr>
        <w:t xml:space="preserve"> In the ordinary cour</w:t>
      </w:r>
      <w:r>
        <w:rPr>
          <w:rFonts w:ascii="Arial" w:hAnsi="Arial" w:cs="Arial"/>
        </w:rPr>
        <w:t>se of her duties and having regard to the applican</w:t>
      </w:r>
      <w:r w:rsidR="00BF043F">
        <w:rPr>
          <w:rFonts w:ascii="Arial" w:hAnsi="Arial" w:cs="Arial"/>
        </w:rPr>
        <w:t>t’s files and records in her possession and control, she read</w:t>
      </w:r>
      <w:r>
        <w:rPr>
          <w:rFonts w:ascii="Arial" w:hAnsi="Arial" w:cs="Arial"/>
        </w:rPr>
        <w:t xml:space="preserve"> the respondent’s special plea and plea and confirmed that the defences</w:t>
      </w:r>
      <w:r w:rsidR="00BF043F">
        <w:rPr>
          <w:rFonts w:ascii="Arial" w:hAnsi="Arial" w:cs="Arial"/>
        </w:rPr>
        <w:t>,</w:t>
      </w:r>
      <w:r>
        <w:rPr>
          <w:rFonts w:ascii="Arial" w:hAnsi="Arial" w:cs="Arial"/>
        </w:rPr>
        <w:t xml:space="preserve"> as pleaded</w:t>
      </w:r>
      <w:r w:rsidR="00BF043F">
        <w:rPr>
          <w:rFonts w:ascii="Arial" w:hAnsi="Arial" w:cs="Arial"/>
        </w:rPr>
        <w:t>,</w:t>
      </w:r>
      <w:r>
        <w:rPr>
          <w:rFonts w:ascii="Arial" w:hAnsi="Arial" w:cs="Arial"/>
        </w:rPr>
        <w:t xml:space="preserve"> </w:t>
      </w:r>
      <w:r>
        <w:rPr>
          <w:rFonts w:ascii="Arial" w:hAnsi="Arial" w:cs="Arial"/>
        </w:rPr>
        <w:lastRenderedPageBreak/>
        <w:t>did not raise any issue for trial.</w:t>
      </w:r>
      <w:r>
        <w:rPr>
          <w:rStyle w:val="FootnoteReference"/>
          <w:rFonts w:ascii="Arial" w:hAnsi="Arial" w:cs="Arial"/>
        </w:rPr>
        <w:footnoteReference w:id="7"/>
      </w:r>
      <w:r>
        <w:rPr>
          <w:rFonts w:ascii="Arial" w:hAnsi="Arial" w:cs="Arial"/>
        </w:rPr>
        <w:t xml:space="preserve"> The respondent’s special plea was based on an averment that the respondent had fallen into a</w:t>
      </w:r>
      <w:r w:rsidR="00BF043F">
        <w:rPr>
          <w:rFonts w:ascii="Arial" w:hAnsi="Arial" w:cs="Arial"/>
        </w:rPr>
        <w:t>r</w:t>
      </w:r>
      <w:r>
        <w:rPr>
          <w:rFonts w:ascii="Arial" w:hAnsi="Arial" w:cs="Arial"/>
        </w:rPr>
        <w:t>rea</w:t>
      </w:r>
      <w:r w:rsidR="00BF043F">
        <w:rPr>
          <w:rFonts w:ascii="Arial" w:hAnsi="Arial" w:cs="Arial"/>
        </w:rPr>
        <w:t>rs</w:t>
      </w:r>
      <w:r>
        <w:rPr>
          <w:rFonts w:ascii="Arial" w:hAnsi="Arial" w:cs="Arial"/>
        </w:rPr>
        <w:t xml:space="preserve"> with his payment obligations in 2018 which he had subsequently remedied in June 2019</w:t>
      </w:r>
      <w:r w:rsidR="00BF043F">
        <w:rPr>
          <w:rFonts w:ascii="Arial" w:hAnsi="Arial" w:cs="Arial"/>
        </w:rPr>
        <w:t>,</w:t>
      </w:r>
      <w:r>
        <w:rPr>
          <w:rFonts w:ascii="Arial" w:hAnsi="Arial" w:cs="Arial"/>
        </w:rPr>
        <w:t xml:space="preserve"> causing the applicant’s cause of action to fall way.</w:t>
      </w:r>
      <w:r>
        <w:rPr>
          <w:rStyle w:val="FootnoteReference"/>
          <w:rFonts w:ascii="Arial" w:hAnsi="Arial" w:cs="Arial"/>
        </w:rPr>
        <w:footnoteReference w:id="8"/>
      </w:r>
      <w:r>
        <w:rPr>
          <w:rFonts w:ascii="Arial" w:hAnsi="Arial" w:cs="Arial"/>
        </w:rPr>
        <w:t xml:space="preserve"> </w:t>
      </w:r>
    </w:p>
    <w:p w14:paraId="0A9199F1" w14:textId="77777777" w:rsidR="0096150F" w:rsidRDefault="00394841" w:rsidP="0096150F">
      <w:pPr>
        <w:spacing w:after="240" w:line="360" w:lineRule="auto"/>
        <w:ind w:left="567" w:hanging="567"/>
        <w:jc w:val="both"/>
        <w:rPr>
          <w:rFonts w:ascii="Arial" w:hAnsi="Arial" w:cs="Arial"/>
        </w:rPr>
      </w:pPr>
      <w:r>
        <w:rPr>
          <w:rFonts w:ascii="Arial" w:hAnsi="Arial" w:cs="Arial"/>
        </w:rPr>
        <w:t>[6</w:t>
      </w:r>
      <w:r w:rsidR="0096150F">
        <w:rPr>
          <w:rFonts w:ascii="Arial" w:hAnsi="Arial" w:cs="Arial"/>
        </w:rPr>
        <w:t>]</w:t>
      </w:r>
      <w:r w:rsidR="0096150F">
        <w:rPr>
          <w:rFonts w:ascii="Arial" w:hAnsi="Arial" w:cs="Arial"/>
        </w:rPr>
        <w:tab/>
      </w:r>
      <w:r w:rsidR="00BF043F">
        <w:rPr>
          <w:rFonts w:ascii="Arial" w:hAnsi="Arial" w:cs="Arial"/>
        </w:rPr>
        <w:t>S</w:t>
      </w:r>
      <w:r w:rsidR="0096150F">
        <w:rPr>
          <w:rFonts w:ascii="Arial" w:hAnsi="Arial" w:cs="Arial"/>
        </w:rPr>
        <w:t>he</w:t>
      </w:r>
      <w:r w:rsidR="00BF043F">
        <w:rPr>
          <w:rFonts w:ascii="Arial" w:hAnsi="Arial" w:cs="Arial"/>
        </w:rPr>
        <w:t xml:space="preserve"> stated that the</w:t>
      </w:r>
      <w:r w:rsidR="0096150F">
        <w:rPr>
          <w:rFonts w:ascii="Arial" w:hAnsi="Arial" w:cs="Arial"/>
        </w:rPr>
        <w:t xml:space="preserve"> applicant’s cause of action was not based on </w:t>
      </w:r>
      <w:r w:rsidR="00BF043F">
        <w:rPr>
          <w:rFonts w:ascii="Arial" w:hAnsi="Arial" w:cs="Arial"/>
        </w:rPr>
        <w:t xml:space="preserve">the </w:t>
      </w:r>
      <w:r w:rsidR="0096150F">
        <w:rPr>
          <w:rFonts w:ascii="Arial" w:hAnsi="Arial" w:cs="Arial"/>
        </w:rPr>
        <w:t>respondent’s initial breach from 2018, but was instead based on the respondent’s subsequent and consistent breach of the agreement from September 2019, which breach still subsisted.</w:t>
      </w:r>
      <w:r w:rsidR="0096150F">
        <w:rPr>
          <w:rStyle w:val="FootnoteReference"/>
          <w:rFonts w:ascii="Arial" w:hAnsi="Arial" w:cs="Arial"/>
        </w:rPr>
        <w:footnoteReference w:id="9"/>
      </w:r>
      <w:r w:rsidR="0096150F">
        <w:rPr>
          <w:rFonts w:ascii="Arial" w:hAnsi="Arial" w:cs="Arial"/>
        </w:rPr>
        <w:t xml:space="preserve"> From August 2019 to September</w:t>
      </w:r>
      <w:r w:rsidR="00BF043F">
        <w:rPr>
          <w:rFonts w:ascii="Arial" w:hAnsi="Arial" w:cs="Arial"/>
        </w:rPr>
        <w:t xml:space="preserve"> 2022, the respondent made no</w:t>
      </w:r>
      <w:r w:rsidR="0096150F">
        <w:rPr>
          <w:rFonts w:ascii="Arial" w:hAnsi="Arial" w:cs="Arial"/>
        </w:rPr>
        <w:t xml:space="preserve"> payment</w:t>
      </w:r>
      <w:r w:rsidR="00BF043F">
        <w:rPr>
          <w:rFonts w:ascii="Arial" w:hAnsi="Arial" w:cs="Arial"/>
        </w:rPr>
        <w:t>s</w:t>
      </w:r>
      <w:r w:rsidR="0096150F">
        <w:rPr>
          <w:rFonts w:ascii="Arial" w:hAnsi="Arial" w:cs="Arial"/>
        </w:rPr>
        <w:t xml:space="preserve"> towards the accounts. All debit orders levied against the respondent’s account were reversed.</w:t>
      </w:r>
      <w:r w:rsidR="0096150F">
        <w:rPr>
          <w:rStyle w:val="FootnoteReference"/>
          <w:rFonts w:ascii="Arial" w:hAnsi="Arial" w:cs="Arial"/>
        </w:rPr>
        <w:footnoteReference w:id="10"/>
      </w:r>
    </w:p>
    <w:p w14:paraId="0ECB7504" w14:textId="77777777" w:rsidR="00563633" w:rsidRDefault="00394841" w:rsidP="00AC3F6F">
      <w:pPr>
        <w:spacing w:after="240" w:line="360" w:lineRule="auto"/>
        <w:ind w:left="567" w:hanging="567"/>
        <w:jc w:val="both"/>
        <w:rPr>
          <w:rFonts w:ascii="Arial" w:hAnsi="Arial" w:cs="Arial"/>
        </w:rPr>
      </w:pPr>
      <w:r>
        <w:rPr>
          <w:rFonts w:ascii="Arial" w:hAnsi="Arial" w:cs="Arial"/>
        </w:rPr>
        <w:t>[7</w:t>
      </w:r>
      <w:r w:rsidR="00873354">
        <w:rPr>
          <w:rFonts w:ascii="Arial" w:hAnsi="Arial" w:cs="Arial"/>
        </w:rPr>
        <w:t>]</w:t>
      </w:r>
      <w:r w:rsidR="00873354">
        <w:rPr>
          <w:rFonts w:ascii="Arial" w:hAnsi="Arial" w:cs="Arial"/>
        </w:rPr>
        <w:tab/>
        <w:t>The affidavit of Ms Wall</w:t>
      </w:r>
      <w:r w:rsidR="00E26066">
        <w:rPr>
          <w:rFonts w:ascii="Arial" w:hAnsi="Arial" w:cs="Arial"/>
        </w:rPr>
        <w:t xml:space="preserve"> (who is an employee of the Standard Bank)</w:t>
      </w:r>
      <w:r w:rsidR="00873354">
        <w:rPr>
          <w:rFonts w:ascii="Arial" w:hAnsi="Arial" w:cs="Arial"/>
        </w:rPr>
        <w:t>,</w:t>
      </w:r>
      <w:r w:rsidR="00E26066">
        <w:rPr>
          <w:rFonts w:ascii="Arial" w:hAnsi="Arial" w:cs="Arial"/>
        </w:rPr>
        <w:t xml:space="preserve"> is clear that the action against the defendant by the plaintiff is not based on the 2018 breach, but on the 2019 breach from September onwards. The bank</w:t>
      </w:r>
      <w:r w:rsidR="00873354">
        <w:rPr>
          <w:rFonts w:ascii="Arial" w:hAnsi="Arial" w:cs="Arial"/>
        </w:rPr>
        <w:t>,</w:t>
      </w:r>
      <w:r w:rsidR="00E26066">
        <w:rPr>
          <w:rFonts w:ascii="Arial" w:hAnsi="Arial" w:cs="Arial"/>
        </w:rPr>
        <w:t xml:space="preserve"> of its own volition</w:t>
      </w:r>
      <w:r w:rsidR="00873354">
        <w:rPr>
          <w:rFonts w:ascii="Arial" w:hAnsi="Arial" w:cs="Arial"/>
        </w:rPr>
        <w:t>, pu</w:t>
      </w:r>
      <w:r w:rsidR="00E26066">
        <w:rPr>
          <w:rFonts w:ascii="Arial" w:hAnsi="Arial" w:cs="Arial"/>
        </w:rPr>
        <w:t>rs</w:t>
      </w:r>
      <w:r w:rsidR="00873354">
        <w:rPr>
          <w:rFonts w:ascii="Arial" w:hAnsi="Arial" w:cs="Arial"/>
        </w:rPr>
        <w:t>u</w:t>
      </w:r>
      <w:r w:rsidR="00E26066">
        <w:rPr>
          <w:rFonts w:ascii="Arial" w:hAnsi="Arial" w:cs="Arial"/>
        </w:rPr>
        <w:t xml:space="preserve">ed steps against the defendant and sent a default </w:t>
      </w:r>
      <w:r w:rsidR="00873354">
        <w:rPr>
          <w:rFonts w:ascii="Arial" w:hAnsi="Arial" w:cs="Arial"/>
        </w:rPr>
        <w:t>notice to him which</w:t>
      </w:r>
      <w:r w:rsidR="00E26066">
        <w:rPr>
          <w:rFonts w:ascii="Arial" w:hAnsi="Arial" w:cs="Arial"/>
        </w:rPr>
        <w:t xml:space="preserve"> was</w:t>
      </w:r>
      <w:r w:rsidR="00873354">
        <w:rPr>
          <w:rFonts w:ascii="Arial" w:hAnsi="Arial" w:cs="Arial"/>
        </w:rPr>
        <w:t xml:space="preserve"> apparently</w:t>
      </w:r>
      <w:r w:rsidR="00E26066">
        <w:rPr>
          <w:rFonts w:ascii="Arial" w:hAnsi="Arial" w:cs="Arial"/>
        </w:rPr>
        <w:t xml:space="preserve"> ignored. </w:t>
      </w:r>
      <w:r w:rsidR="00563633">
        <w:rPr>
          <w:rFonts w:ascii="Arial" w:hAnsi="Arial" w:cs="Arial"/>
        </w:rPr>
        <w:t xml:space="preserve">The demand entitled the bank, and not the plaintiff, to institute further legal steps against the defendant for his breach of the home loan agreement. </w:t>
      </w:r>
      <w:r w:rsidR="00E26066">
        <w:rPr>
          <w:rFonts w:ascii="Arial" w:hAnsi="Arial" w:cs="Arial"/>
        </w:rPr>
        <w:t>Because the defendant ignored this demand, the plaintiff fell back o</w:t>
      </w:r>
      <w:r w:rsidR="00873354">
        <w:rPr>
          <w:rFonts w:ascii="Arial" w:hAnsi="Arial" w:cs="Arial"/>
        </w:rPr>
        <w:t>n the notices issued in 2018, which were</w:t>
      </w:r>
      <w:r w:rsidR="00E26066">
        <w:rPr>
          <w:rFonts w:ascii="Arial" w:hAnsi="Arial" w:cs="Arial"/>
        </w:rPr>
        <w:t xml:space="preserve"> attached to the par</w:t>
      </w:r>
      <w:r w:rsidR="00873354">
        <w:rPr>
          <w:rFonts w:ascii="Arial" w:hAnsi="Arial" w:cs="Arial"/>
        </w:rPr>
        <w:t>ticulars of claim as POC6 and 7,</w:t>
      </w:r>
      <w:r w:rsidR="00E26066">
        <w:rPr>
          <w:rStyle w:val="FootnoteReference"/>
          <w:rFonts w:ascii="Arial" w:hAnsi="Arial" w:cs="Arial"/>
        </w:rPr>
        <w:footnoteReference w:id="11"/>
      </w:r>
      <w:r w:rsidR="00873354">
        <w:rPr>
          <w:rFonts w:ascii="Arial" w:hAnsi="Arial" w:cs="Arial"/>
        </w:rPr>
        <w:t xml:space="preserve"> a</w:t>
      </w:r>
      <w:r w:rsidR="00E26066">
        <w:rPr>
          <w:rFonts w:ascii="Arial" w:hAnsi="Arial" w:cs="Arial"/>
        </w:rPr>
        <w:t>s constitut</w:t>
      </w:r>
      <w:r w:rsidR="00873354">
        <w:rPr>
          <w:rFonts w:ascii="Arial" w:hAnsi="Arial" w:cs="Arial"/>
        </w:rPr>
        <w:t>ing the plaintiff’s demand to entitle</w:t>
      </w:r>
      <w:r w:rsidR="00E26066">
        <w:rPr>
          <w:rFonts w:ascii="Arial" w:hAnsi="Arial" w:cs="Arial"/>
        </w:rPr>
        <w:t xml:space="preserve"> it to claim</w:t>
      </w:r>
      <w:r w:rsidR="00331F98">
        <w:rPr>
          <w:rFonts w:ascii="Arial" w:hAnsi="Arial" w:cs="Arial"/>
        </w:rPr>
        <w:t xml:space="preserve"> against</w:t>
      </w:r>
      <w:r w:rsidR="00E26066">
        <w:rPr>
          <w:rFonts w:ascii="Arial" w:hAnsi="Arial" w:cs="Arial"/>
        </w:rPr>
        <w:t xml:space="preserve"> the</w:t>
      </w:r>
      <w:r w:rsidR="00331F98">
        <w:rPr>
          <w:rFonts w:ascii="Arial" w:hAnsi="Arial" w:cs="Arial"/>
        </w:rPr>
        <w:t xml:space="preserve"> defendant</w:t>
      </w:r>
      <w:r w:rsidR="00E26066">
        <w:rPr>
          <w:rFonts w:ascii="Arial" w:hAnsi="Arial" w:cs="Arial"/>
        </w:rPr>
        <w:t>.</w:t>
      </w:r>
    </w:p>
    <w:p w14:paraId="2E54D25A" w14:textId="77777777" w:rsidR="00563633" w:rsidRDefault="00394841" w:rsidP="00563633">
      <w:pPr>
        <w:spacing w:after="240" w:line="360" w:lineRule="auto"/>
        <w:ind w:left="567" w:hanging="567"/>
        <w:jc w:val="both"/>
        <w:rPr>
          <w:rFonts w:ascii="Arial" w:hAnsi="Arial" w:cs="Arial"/>
        </w:rPr>
      </w:pPr>
      <w:r>
        <w:rPr>
          <w:rFonts w:ascii="Arial" w:hAnsi="Arial" w:cs="Arial"/>
        </w:rPr>
        <w:t>[8</w:t>
      </w:r>
      <w:r w:rsidR="00FD6A26">
        <w:rPr>
          <w:rFonts w:ascii="Arial" w:hAnsi="Arial" w:cs="Arial"/>
        </w:rPr>
        <w:t>]</w:t>
      </w:r>
      <w:r w:rsidR="00FD6A26">
        <w:rPr>
          <w:rFonts w:ascii="Arial" w:hAnsi="Arial" w:cs="Arial"/>
        </w:rPr>
        <w:tab/>
      </w:r>
      <w:r w:rsidR="00563633">
        <w:rPr>
          <w:rFonts w:ascii="Arial" w:hAnsi="Arial" w:cs="Arial"/>
        </w:rPr>
        <w:t>The bank’s written notification that the defendant was in breach of the loan agreement</w:t>
      </w:r>
      <w:r w:rsidR="00563633">
        <w:rPr>
          <w:rStyle w:val="FootnoteReference"/>
          <w:rFonts w:ascii="Arial" w:hAnsi="Arial" w:cs="Arial"/>
        </w:rPr>
        <w:footnoteReference w:id="12"/>
      </w:r>
      <w:r w:rsidR="00563633">
        <w:rPr>
          <w:rFonts w:ascii="Arial" w:hAnsi="Arial" w:cs="Arial"/>
        </w:rPr>
        <w:t xml:space="preserve"> reads as follows:</w:t>
      </w:r>
    </w:p>
    <w:p w14:paraId="07168D82" w14:textId="77777777" w:rsidR="00563633" w:rsidRDefault="00563633" w:rsidP="00563633">
      <w:pPr>
        <w:spacing w:after="240" w:line="360" w:lineRule="auto"/>
        <w:ind w:left="567" w:hanging="567"/>
        <w:jc w:val="both"/>
        <w:rPr>
          <w:rFonts w:ascii="Arial" w:hAnsi="Arial" w:cs="Arial"/>
          <w:i/>
          <w:sz w:val="20"/>
          <w:szCs w:val="20"/>
        </w:rPr>
      </w:pPr>
      <w:r>
        <w:rPr>
          <w:rFonts w:ascii="Arial" w:hAnsi="Arial" w:cs="Arial"/>
        </w:rPr>
        <w:tab/>
      </w:r>
      <w:r>
        <w:rPr>
          <w:rFonts w:ascii="Arial" w:hAnsi="Arial" w:cs="Arial"/>
          <w:i/>
          <w:sz w:val="20"/>
          <w:szCs w:val="20"/>
        </w:rPr>
        <w:t xml:space="preserve">“We hereby notify you that the borrower is in breach of the home loan agreement by failing to pay the monthly instalments since 2018/01/02. Pursuant to </w:t>
      </w:r>
      <w:r w:rsidR="0074464C">
        <w:rPr>
          <w:rFonts w:ascii="Arial" w:hAnsi="Arial" w:cs="Arial"/>
          <w:i/>
          <w:sz w:val="20"/>
          <w:szCs w:val="20"/>
        </w:rPr>
        <w:t xml:space="preserve">the </w:t>
      </w:r>
      <w:r>
        <w:rPr>
          <w:rFonts w:ascii="Arial" w:hAnsi="Arial" w:cs="Arial"/>
          <w:i/>
          <w:sz w:val="20"/>
          <w:szCs w:val="20"/>
        </w:rPr>
        <w:t xml:space="preserve">breach by the borrower of the home loan agreement, the amount of R 45 294.85 is due by the borrower to us. </w:t>
      </w:r>
    </w:p>
    <w:p w14:paraId="073F5A4B" w14:textId="77777777" w:rsidR="00563633" w:rsidRDefault="00563633" w:rsidP="00563633">
      <w:pPr>
        <w:spacing w:after="240" w:line="360" w:lineRule="auto"/>
        <w:ind w:left="567"/>
        <w:jc w:val="both"/>
        <w:rPr>
          <w:rFonts w:ascii="Arial" w:hAnsi="Arial" w:cs="Arial"/>
          <w:i/>
          <w:sz w:val="20"/>
          <w:szCs w:val="20"/>
        </w:rPr>
      </w:pPr>
      <w:r>
        <w:rPr>
          <w:rFonts w:ascii="Arial" w:hAnsi="Arial" w:cs="Arial"/>
          <w:i/>
          <w:sz w:val="20"/>
          <w:szCs w:val="20"/>
        </w:rPr>
        <w:t xml:space="preserve">You issued a guarantee in our favour guaranteeing the </w:t>
      </w:r>
      <w:r w:rsidR="0074464C">
        <w:rPr>
          <w:rFonts w:ascii="Arial" w:hAnsi="Arial" w:cs="Arial"/>
          <w:i/>
          <w:sz w:val="20"/>
          <w:szCs w:val="20"/>
        </w:rPr>
        <w:t>borrower’s</w:t>
      </w:r>
      <w:r>
        <w:rPr>
          <w:rFonts w:ascii="Arial" w:hAnsi="Arial" w:cs="Arial"/>
          <w:i/>
          <w:sz w:val="20"/>
          <w:szCs w:val="20"/>
        </w:rPr>
        <w:t xml:space="preserve"> obligation to us under the home loan agreement, and you are required to proceed in any competent court against the </w:t>
      </w:r>
      <w:r>
        <w:rPr>
          <w:rFonts w:ascii="Arial" w:hAnsi="Arial" w:cs="Arial"/>
          <w:i/>
          <w:sz w:val="20"/>
          <w:szCs w:val="20"/>
        </w:rPr>
        <w:lastRenderedPageBreak/>
        <w:t xml:space="preserve">borrower for payment of the full amount so due by the borrower as well as to take steps to foreclose under the mortgage bond and to realise any other security held. </w:t>
      </w:r>
    </w:p>
    <w:p w14:paraId="2477AD37" w14:textId="77777777" w:rsidR="00563633" w:rsidRDefault="00563633" w:rsidP="00563633">
      <w:pPr>
        <w:spacing w:after="240" w:line="360" w:lineRule="auto"/>
        <w:ind w:left="567"/>
        <w:jc w:val="both"/>
        <w:rPr>
          <w:rFonts w:ascii="Arial" w:hAnsi="Arial" w:cs="Arial"/>
          <w:i/>
          <w:sz w:val="20"/>
          <w:szCs w:val="20"/>
        </w:rPr>
      </w:pPr>
      <w:r>
        <w:rPr>
          <w:rFonts w:ascii="Arial" w:hAnsi="Arial" w:cs="Arial"/>
          <w:i/>
          <w:sz w:val="20"/>
          <w:szCs w:val="20"/>
        </w:rPr>
        <w:t xml:space="preserve">We hereby unconditionally </w:t>
      </w:r>
      <w:r w:rsidR="0074464C">
        <w:rPr>
          <w:rFonts w:ascii="Arial" w:hAnsi="Arial" w:cs="Arial"/>
          <w:i/>
          <w:sz w:val="20"/>
          <w:szCs w:val="20"/>
        </w:rPr>
        <w:t>indemnify</w:t>
      </w:r>
      <w:r>
        <w:rPr>
          <w:rFonts w:ascii="Arial" w:hAnsi="Arial" w:cs="Arial"/>
          <w:i/>
          <w:sz w:val="20"/>
          <w:szCs w:val="20"/>
        </w:rPr>
        <w:t xml:space="preserve"> you for all loss, l</w:t>
      </w:r>
      <w:r w:rsidR="0074464C">
        <w:rPr>
          <w:rFonts w:ascii="Arial" w:hAnsi="Arial" w:cs="Arial"/>
          <w:i/>
          <w:sz w:val="20"/>
          <w:szCs w:val="20"/>
        </w:rPr>
        <w:t xml:space="preserve">iability, damage, claim, </w:t>
      </w:r>
      <w:proofErr w:type="gramStart"/>
      <w:r w:rsidR="0074464C">
        <w:rPr>
          <w:rFonts w:ascii="Arial" w:hAnsi="Arial" w:cs="Arial"/>
          <w:i/>
          <w:sz w:val="20"/>
          <w:szCs w:val="20"/>
        </w:rPr>
        <w:t>cost</w:t>
      </w:r>
      <w:proofErr w:type="gramEnd"/>
      <w:r>
        <w:rPr>
          <w:rFonts w:ascii="Arial" w:hAnsi="Arial" w:cs="Arial"/>
          <w:i/>
          <w:sz w:val="20"/>
          <w:szCs w:val="20"/>
        </w:rPr>
        <w:t xml:space="preserve"> </w:t>
      </w:r>
      <w:r w:rsidR="0074464C">
        <w:rPr>
          <w:rFonts w:ascii="Arial" w:hAnsi="Arial" w:cs="Arial"/>
          <w:i/>
          <w:sz w:val="20"/>
          <w:szCs w:val="20"/>
        </w:rPr>
        <w:t>or expense</w:t>
      </w:r>
      <w:r>
        <w:rPr>
          <w:rFonts w:ascii="Arial" w:hAnsi="Arial" w:cs="Arial"/>
          <w:i/>
          <w:sz w:val="20"/>
          <w:szCs w:val="20"/>
        </w:rPr>
        <w:t xml:space="preserve"> which you may incur in taking such action. </w:t>
      </w:r>
    </w:p>
    <w:p w14:paraId="1E3CD2C7" w14:textId="77777777" w:rsidR="00563633" w:rsidRDefault="00563633" w:rsidP="00563633">
      <w:pPr>
        <w:spacing w:after="240" w:line="360" w:lineRule="auto"/>
        <w:ind w:left="567"/>
        <w:jc w:val="both"/>
        <w:rPr>
          <w:rFonts w:ascii="Arial" w:hAnsi="Arial" w:cs="Arial"/>
          <w:i/>
          <w:sz w:val="20"/>
          <w:szCs w:val="20"/>
        </w:rPr>
      </w:pPr>
      <w:r>
        <w:rPr>
          <w:rFonts w:ascii="Arial" w:hAnsi="Arial" w:cs="Arial"/>
          <w:i/>
          <w:sz w:val="20"/>
          <w:szCs w:val="20"/>
        </w:rPr>
        <w:t xml:space="preserve">We remind you of your obligation to forthwith pay to us </w:t>
      </w:r>
      <w:proofErr w:type="gramStart"/>
      <w:r w:rsidR="0074464C">
        <w:rPr>
          <w:rFonts w:ascii="Arial" w:hAnsi="Arial" w:cs="Arial"/>
          <w:i/>
          <w:sz w:val="20"/>
          <w:szCs w:val="20"/>
        </w:rPr>
        <w:t>all of</w:t>
      </w:r>
      <w:proofErr w:type="gramEnd"/>
      <w:r w:rsidR="0074464C">
        <w:rPr>
          <w:rFonts w:ascii="Arial" w:hAnsi="Arial" w:cs="Arial"/>
          <w:i/>
          <w:sz w:val="20"/>
          <w:szCs w:val="20"/>
        </w:rPr>
        <w:t xml:space="preserve"> the proceeds you receive</w:t>
      </w:r>
      <w:r>
        <w:rPr>
          <w:rFonts w:ascii="Arial" w:hAnsi="Arial" w:cs="Arial"/>
          <w:i/>
          <w:sz w:val="20"/>
          <w:szCs w:val="20"/>
        </w:rPr>
        <w:t xml:space="preserve"> from or on behalf of the borrower.”</w:t>
      </w:r>
    </w:p>
    <w:p w14:paraId="1E6ECDD3" w14:textId="77777777" w:rsidR="00563633" w:rsidRDefault="00394841" w:rsidP="00563633">
      <w:pPr>
        <w:spacing w:after="240" w:line="360" w:lineRule="auto"/>
        <w:ind w:left="567" w:hanging="567"/>
        <w:jc w:val="both"/>
        <w:rPr>
          <w:rFonts w:ascii="Arial" w:hAnsi="Arial" w:cs="Arial"/>
        </w:rPr>
      </w:pPr>
      <w:r>
        <w:rPr>
          <w:rFonts w:ascii="Arial" w:hAnsi="Arial" w:cs="Arial"/>
        </w:rPr>
        <w:t>[9</w:t>
      </w:r>
      <w:r w:rsidR="00563633">
        <w:rPr>
          <w:rFonts w:ascii="Arial" w:hAnsi="Arial" w:cs="Arial"/>
        </w:rPr>
        <w:t>]</w:t>
      </w:r>
      <w:r w:rsidR="00563633">
        <w:rPr>
          <w:rFonts w:ascii="Arial" w:hAnsi="Arial" w:cs="Arial"/>
        </w:rPr>
        <w:tab/>
        <w:t>The plaintiff’s demand dated 15 June 2018 to the defendant</w:t>
      </w:r>
      <w:r w:rsidR="00563633">
        <w:rPr>
          <w:rStyle w:val="FootnoteReference"/>
          <w:rFonts w:ascii="Arial" w:hAnsi="Arial" w:cs="Arial"/>
        </w:rPr>
        <w:footnoteReference w:id="13"/>
      </w:r>
      <w:r w:rsidR="00563633">
        <w:rPr>
          <w:rFonts w:ascii="Arial" w:hAnsi="Arial" w:cs="Arial"/>
        </w:rPr>
        <w:t xml:space="preserve"> read</w:t>
      </w:r>
      <w:r w:rsidR="00745A55">
        <w:rPr>
          <w:rFonts w:ascii="Arial" w:hAnsi="Arial" w:cs="Arial"/>
        </w:rPr>
        <w:t>s</w:t>
      </w:r>
      <w:r w:rsidR="00563633">
        <w:rPr>
          <w:rFonts w:ascii="Arial" w:hAnsi="Arial" w:cs="Arial"/>
        </w:rPr>
        <w:t xml:space="preserve"> as follows:</w:t>
      </w:r>
    </w:p>
    <w:p w14:paraId="1BDACD9A" w14:textId="77777777" w:rsidR="00563633" w:rsidRDefault="00563633" w:rsidP="00563633">
      <w:pPr>
        <w:spacing w:after="240" w:line="360" w:lineRule="auto"/>
        <w:ind w:left="567" w:hanging="567"/>
        <w:jc w:val="both"/>
        <w:rPr>
          <w:rFonts w:ascii="Arial" w:hAnsi="Arial" w:cs="Arial"/>
          <w:i/>
          <w:sz w:val="20"/>
          <w:szCs w:val="20"/>
        </w:rPr>
      </w:pPr>
      <w:r>
        <w:rPr>
          <w:rFonts w:ascii="Arial" w:hAnsi="Arial" w:cs="Arial"/>
        </w:rPr>
        <w:tab/>
      </w:r>
      <w:r>
        <w:rPr>
          <w:rFonts w:ascii="Arial" w:hAnsi="Arial" w:cs="Arial"/>
          <w:i/>
          <w:sz w:val="20"/>
          <w:szCs w:val="20"/>
        </w:rPr>
        <w:t xml:space="preserve">“Dear customer </w:t>
      </w:r>
    </w:p>
    <w:p w14:paraId="340E5E65" w14:textId="3408B9A4" w:rsidR="00563633" w:rsidRDefault="00563633" w:rsidP="00563633">
      <w:pPr>
        <w:pStyle w:val="ListParagraph"/>
        <w:numPr>
          <w:ilvl w:val="0"/>
          <w:numId w:val="14"/>
        </w:numPr>
        <w:spacing w:after="240" w:line="360" w:lineRule="auto"/>
        <w:jc w:val="both"/>
        <w:rPr>
          <w:rFonts w:ascii="Arial" w:hAnsi="Arial" w:cs="Arial"/>
          <w:i/>
          <w:sz w:val="20"/>
          <w:szCs w:val="20"/>
        </w:rPr>
      </w:pPr>
      <w:r>
        <w:rPr>
          <w:rFonts w:ascii="Arial" w:hAnsi="Arial" w:cs="Arial"/>
          <w:i/>
          <w:sz w:val="20"/>
          <w:szCs w:val="20"/>
        </w:rPr>
        <w:t xml:space="preserve">We refer to the indemnity agreement you signed in favour of the </w:t>
      </w:r>
      <w:r w:rsidR="00745A55">
        <w:rPr>
          <w:rFonts w:ascii="Arial" w:hAnsi="Arial" w:cs="Arial"/>
          <w:i/>
          <w:sz w:val="20"/>
          <w:szCs w:val="20"/>
        </w:rPr>
        <w:t>SB Guarantee Company (RF) (</w:t>
      </w:r>
      <w:r w:rsidR="00745A55" w:rsidRPr="00745A55">
        <w:rPr>
          <w:rFonts w:ascii="Arial" w:hAnsi="Arial" w:cs="Arial"/>
          <w:b/>
          <w:i/>
          <w:sz w:val="20"/>
          <w:szCs w:val="20"/>
        </w:rPr>
        <w:t>the Guarantee C</w:t>
      </w:r>
      <w:r w:rsidRPr="00745A55">
        <w:rPr>
          <w:rFonts w:ascii="Arial" w:hAnsi="Arial" w:cs="Arial"/>
          <w:b/>
          <w:i/>
          <w:sz w:val="20"/>
          <w:szCs w:val="20"/>
        </w:rPr>
        <w:t>ompany</w:t>
      </w:r>
      <w:r>
        <w:rPr>
          <w:rFonts w:ascii="Arial" w:hAnsi="Arial" w:cs="Arial"/>
          <w:i/>
          <w:sz w:val="20"/>
          <w:szCs w:val="20"/>
        </w:rPr>
        <w:t xml:space="preserve">), when you concluded your home loan agreement with Standard Bank under the above home loan account number </w:t>
      </w:r>
      <w:r w:rsidR="00C022A7">
        <w:rPr>
          <w:rFonts w:ascii="Arial" w:hAnsi="Arial" w:cs="Arial"/>
          <w:i/>
          <w:sz w:val="20"/>
          <w:szCs w:val="20"/>
        </w:rPr>
        <w:t>[……….]</w:t>
      </w:r>
      <w:r>
        <w:rPr>
          <w:rFonts w:ascii="Arial" w:hAnsi="Arial" w:cs="Arial"/>
          <w:i/>
          <w:sz w:val="20"/>
          <w:szCs w:val="20"/>
        </w:rPr>
        <w:t xml:space="preserve">. </w:t>
      </w:r>
    </w:p>
    <w:p w14:paraId="26480D2E" w14:textId="77777777" w:rsidR="00563633" w:rsidRDefault="00563633" w:rsidP="00563633">
      <w:pPr>
        <w:pStyle w:val="ListParagraph"/>
        <w:numPr>
          <w:ilvl w:val="0"/>
          <w:numId w:val="14"/>
        </w:numPr>
        <w:spacing w:after="240" w:line="360" w:lineRule="auto"/>
        <w:jc w:val="both"/>
        <w:rPr>
          <w:rFonts w:ascii="Arial" w:hAnsi="Arial" w:cs="Arial"/>
          <w:i/>
          <w:sz w:val="20"/>
          <w:szCs w:val="20"/>
        </w:rPr>
      </w:pPr>
      <w:r>
        <w:rPr>
          <w:rFonts w:ascii="Arial" w:hAnsi="Arial" w:cs="Arial"/>
          <w:i/>
          <w:sz w:val="20"/>
          <w:szCs w:val="20"/>
        </w:rPr>
        <w:t>In terms of the indemnity</w:t>
      </w:r>
      <w:r w:rsidR="00745A55">
        <w:rPr>
          <w:rFonts w:ascii="Arial" w:hAnsi="Arial" w:cs="Arial"/>
          <w:i/>
          <w:sz w:val="20"/>
          <w:szCs w:val="20"/>
        </w:rPr>
        <w:t>, you indemnified the</w:t>
      </w:r>
      <w:r>
        <w:rPr>
          <w:rFonts w:ascii="Arial" w:hAnsi="Arial" w:cs="Arial"/>
          <w:i/>
          <w:sz w:val="20"/>
          <w:szCs w:val="20"/>
        </w:rPr>
        <w:t xml:space="preserve"> guarantee company from any claims which may be made against it by Standard Bank, under a guarantee which the guarantee company provided to Standard Bank for the payment of your debts under the loan agreement. </w:t>
      </w:r>
    </w:p>
    <w:p w14:paraId="352E51F0" w14:textId="77777777" w:rsidR="00563633" w:rsidRPr="00745A55" w:rsidRDefault="00563633" w:rsidP="00563633">
      <w:pPr>
        <w:pStyle w:val="ListParagraph"/>
        <w:numPr>
          <w:ilvl w:val="0"/>
          <w:numId w:val="14"/>
        </w:numPr>
        <w:spacing w:after="240" w:line="360" w:lineRule="auto"/>
        <w:jc w:val="both"/>
        <w:rPr>
          <w:rFonts w:ascii="Arial" w:hAnsi="Arial" w:cs="Arial"/>
          <w:b/>
          <w:i/>
          <w:sz w:val="20"/>
          <w:szCs w:val="20"/>
        </w:rPr>
      </w:pPr>
      <w:r>
        <w:rPr>
          <w:rFonts w:ascii="Arial" w:hAnsi="Arial" w:cs="Arial"/>
          <w:i/>
          <w:sz w:val="20"/>
          <w:szCs w:val="20"/>
        </w:rPr>
        <w:t xml:space="preserve">You are currently indebted to Standard bank under the loan agreement in the sum of </w:t>
      </w:r>
      <w:r w:rsidRPr="00745A55">
        <w:rPr>
          <w:rFonts w:ascii="Arial" w:hAnsi="Arial" w:cs="Arial"/>
          <w:b/>
          <w:i/>
          <w:sz w:val="20"/>
          <w:szCs w:val="20"/>
        </w:rPr>
        <w:t xml:space="preserve">R 1 051 213.31. </w:t>
      </w:r>
    </w:p>
    <w:p w14:paraId="4D0A2ED1" w14:textId="77777777" w:rsidR="00563633" w:rsidRDefault="00563633" w:rsidP="00563633">
      <w:pPr>
        <w:pStyle w:val="ListParagraph"/>
        <w:numPr>
          <w:ilvl w:val="0"/>
          <w:numId w:val="14"/>
        </w:numPr>
        <w:spacing w:after="240" w:line="360" w:lineRule="auto"/>
        <w:jc w:val="both"/>
        <w:rPr>
          <w:rFonts w:ascii="Arial" w:hAnsi="Arial" w:cs="Arial"/>
          <w:i/>
          <w:sz w:val="20"/>
          <w:szCs w:val="20"/>
        </w:rPr>
      </w:pPr>
      <w:r>
        <w:rPr>
          <w:rFonts w:ascii="Arial" w:hAnsi="Arial" w:cs="Arial"/>
          <w:i/>
          <w:sz w:val="20"/>
          <w:szCs w:val="20"/>
        </w:rPr>
        <w:t xml:space="preserve">Standard bank has requested the guarantee company to proceed against you for recovery of the amount due, and to pay the amounts recovered from you to Standard bank. </w:t>
      </w:r>
    </w:p>
    <w:p w14:paraId="1AB2DE78" w14:textId="40F3F307" w:rsidR="00563633" w:rsidRPr="00745A55" w:rsidRDefault="00745A55" w:rsidP="00563633">
      <w:pPr>
        <w:pStyle w:val="ListParagraph"/>
        <w:numPr>
          <w:ilvl w:val="0"/>
          <w:numId w:val="14"/>
        </w:numPr>
        <w:spacing w:after="240" w:line="360" w:lineRule="auto"/>
        <w:jc w:val="both"/>
        <w:rPr>
          <w:rFonts w:ascii="Arial" w:hAnsi="Arial" w:cs="Arial"/>
          <w:b/>
          <w:i/>
          <w:sz w:val="20"/>
          <w:szCs w:val="20"/>
        </w:rPr>
      </w:pPr>
      <w:r>
        <w:rPr>
          <w:rFonts w:ascii="Arial" w:hAnsi="Arial" w:cs="Arial"/>
          <w:i/>
          <w:sz w:val="20"/>
          <w:szCs w:val="20"/>
        </w:rPr>
        <w:t>The Guarantee C</w:t>
      </w:r>
      <w:r w:rsidR="00563633">
        <w:rPr>
          <w:rFonts w:ascii="Arial" w:hAnsi="Arial" w:cs="Arial"/>
          <w:i/>
          <w:sz w:val="20"/>
          <w:szCs w:val="20"/>
        </w:rPr>
        <w:t>ompany therefore demand</w:t>
      </w:r>
      <w:r>
        <w:rPr>
          <w:rFonts w:ascii="Arial" w:hAnsi="Arial" w:cs="Arial"/>
          <w:i/>
          <w:sz w:val="20"/>
          <w:szCs w:val="20"/>
        </w:rPr>
        <w:t>s</w:t>
      </w:r>
      <w:r w:rsidR="00563633">
        <w:rPr>
          <w:rFonts w:ascii="Arial" w:hAnsi="Arial" w:cs="Arial"/>
          <w:i/>
          <w:sz w:val="20"/>
          <w:szCs w:val="20"/>
        </w:rPr>
        <w:t xml:space="preserve"> that you immediately settle the amount due to it by making payment thereof into the following account: Standard bank Home loans (Account) Account number </w:t>
      </w:r>
      <w:r w:rsidR="00C022A7">
        <w:rPr>
          <w:rFonts w:ascii="Arial" w:hAnsi="Arial" w:cs="Arial"/>
          <w:i/>
          <w:sz w:val="20"/>
          <w:szCs w:val="20"/>
        </w:rPr>
        <w:t>[…..]</w:t>
      </w:r>
      <w:r w:rsidR="00563633">
        <w:rPr>
          <w:rFonts w:ascii="Arial" w:hAnsi="Arial" w:cs="Arial"/>
          <w:i/>
          <w:sz w:val="20"/>
          <w:szCs w:val="20"/>
        </w:rPr>
        <w:t xml:space="preserve"> branch code 004255 reference </w:t>
      </w:r>
      <w:r w:rsidR="00563633" w:rsidRPr="00745A55">
        <w:rPr>
          <w:rFonts w:ascii="Arial" w:hAnsi="Arial" w:cs="Arial"/>
          <w:b/>
          <w:i/>
          <w:sz w:val="20"/>
          <w:szCs w:val="20"/>
        </w:rPr>
        <w:t>531083004</w:t>
      </w:r>
      <w:r w:rsidR="00A2324A">
        <w:rPr>
          <w:rFonts w:ascii="Arial" w:hAnsi="Arial" w:cs="Arial"/>
          <w:b/>
          <w:i/>
          <w:sz w:val="20"/>
          <w:szCs w:val="20"/>
        </w:rPr>
        <w:t>.</w:t>
      </w:r>
      <w:r w:rsidR="00563633" w:rsidRPr="00745A55">
        <w:rPr>
          <w:rFonts w:ascii="Arial" w:hAnsi="Arial" w:cs="Arial"/>
          <w:b/>
          <w:i/>
          <w:sz w:val="20"/>
          <w:szCs w:val="20"/>
        </w:rPr>
        <w:t xml:space="preserve"> </w:t>
      </w:r>
    </w:p>
    <w:p w14:paraId="5B0D7390" w14:textId="77777777" w:rsidR="00E26066" w:rsidRDefault="00563633" w:rsidP="00FD6A26">
      <w:pPr>
        <w:spacing w:after="240" w:line="360" w:lineRule="auto"/>
        <w:ind w:left="567"/>
        <w:jc w:val="both"/>
        <w:rPr>
          <w:rFonts w:ascii="Arial" w:hAnsi="Arial" w:cs="Arial"/>
        </w:rPr>
      </w:pPr>
      <w:r>
        <w:rPr>
          <w:rFonts w:ascii="Arial" w:hAnsi="Arial" w:cs="Arial"/>
          <w:i/>
          <w:sz w:val="20"/>
          <w:szCs w:val="20"/>
        </w:rPr>
        <w:t xml:space="preserve">Should you fail to pay the </w:t>
      </w:r>
      <w:r w:rsidR="00745A55">
        <w:rPr>
          <w:rFonts w:ascii="Arial" w:hAnsi="Arial" w:cs="Arial"/>
          <w:i/>
          <w:sz w:val="20"/>
          <w:szCs w:val="20"/>
        </w:rPr>
        <w:t>amount due to the Guarantee C</w:t>
      </w:r>
      <w:r>
        <w:rPr>
          <w:rFonts w:ascii="Arial" w:hAnsi="Arial" w:cs="Arial"/>
          <w:i/>
          <w:sz w:val="20"/>
          <w:szCs w:val="20"/>
        </w:rPr>
        <w:t>ompany as demanded above,</w:t>
      </w:r>
      <w:r w:rsidR="00745A55">
        <w:rPr>
          <w:rFonts w:ascii="Arial" w:hAnsi="Arial" w:cs="Arial"/>
          <w:i/>
          <w:sz w:val="20"/>
          <w:szCs w:val="20"/>
        </w:rPr>
        <w:t xml:space="preserve"> the Guarantee C</w:t>
      </w:r>
      <w:r>
        <w:rPr>
          <w:rFonts w:ascii="Arial" w:hAnsi="Arial" w:cs="Arial"/>
          <w:i/>
          <w:sz w:val="20"/>
          <w:szCs w:val="20"/>
        </w:rPr>
        <w:t xml:space="preserve">ompany will institute legal proceedings against you, and will in such legal proceedings (and pursuant to the mortgage bond registered in favour of the guarantee company over your property) seek an order declaring your property specially </w:t>
      </w:r>
      <w:r w:rsidR="00745A55">
        <w:rPr>
          <w:rFonts w:ascii="Arial" w:hAnsi="Arial" w:cs="Arial"/>
          <w:i/>
          <w:sz w:val="20"/>
          <w:szCs w:val="20"/>
        </w:rPr>
        <w:t>executable.</w:t>
      </w:r>
    </w:p>
    <w:p w14:paraId="2E175094" w14:textId="77777777" w:rsidR="004C7B28" w:rsidRDefault="00394841" w:rsidP="00AC3F6F">
      <w:pPr>
        <w:spacing w:after="240" w:line="360" w:lineRule="auto"/>
        <w:ind w:left="567" w:hanging="567"/>
        <w:jc w:val="both"/>
        <w:rPr>
          <w:rFonts w:ascii="Arial" w:hAnsi="Arial" w:cs="Arial"/>
        </w:rPr>
      </w:pPr>
      <w:r>
        <w:rPr>
          <w:rFonts w:ascii="Arial" w:hAnsi="Arial" w:cs="Arial"/>
        </w:rPr>
        <w:t>[10</w:t>
      </w:r>
      <w:r w:rsidR="00E26066">
        <w:rPr>
          <w:rFonts w:ascii="Arial" w:hAnsi="Arial" w:cs="Arial"/>
        </w:rPr>
        <w:t>]</w:t>
      </w:r>
      <w:r w:rsidR="00E26066">
        <w:rPr>
          <w:rFonts w:ascii="Arial" w:hAnsi="Arial" w:cs="Arial"/>
        </w:rPr>
        <w:tab/>
      </w:r>
      <w:r w:rsidR="005B7235">
        <w:rPr>
          <w:rFonts w:ascii="Arial" w:hAnsi="Arial" w:cs="Arial"/>
        </w:rPr>
        <w:t>The request to the plaintiff by the bank</w:t>
      </w:r>
      <w:r w:rsidR="00A2324A">
        <w:rPr>
          <w:rFonts w:ascii="Arial" w:hAnsi="Arial" w:cs="Arial"/>
        </w:rPr>
        <w:t xml:space="preserve"> was two-fold: Proceed in any competent court against the defendant for the payment of the full amount so due and to take steps to foreclose under the mortgage bond. </w:t>
      </w:r>
      <w:r w:rsidR="00E26066">
        <w:rPr>
          <w:rFonts w:ascii="Arial" w:hAnsi="Arial" w:cs="Arial"/>
        </w:rPr>
        <w:t>On consideration of the</w:t>
      </w:r>
      <w:r w:rsidR="00A2324A">
        <w:rPr>
          <w:rFonts w:ascii="Arial" w:hAnsi="Arial" w:cs="Arial"/>
        </w:rPr>
        <w:t>se</w:t>
      </w:r>
      <w:r w:rsidR="00E26066">
        <w:rPr>
          <w:rFonts w:ascii="Arial" w:hAnsi="Arial" w:cs="Arial"/>
        </w:rPr>
        <w:t xml:space="preserve"> two letters of 15 June 2018, </w:t>
      </w:r>
      <w:proofErr w:type="gramStart"/>
      <w:r w:rsidR="00A2324A">
        <w:rPr>
          <w:rFonts w:ascii="Arial" w:hAnsi="Arial" w:cs="Arial"/>
        </w:rPr>
        <w:t xml:space="preserve">it would seem that </w:t>
      </w:r>
      <w:r w:rsidR="00E26066">
        <w:rPr>
          <w:rFonts w:ascii="Arial" w:hAnsi="Arial" w:cs="Arial"/>
        </w:rPr>
        <w:t>t</w:t>
      </w:r>
      <w:r w:rsidR="00A2324A">
        <w:rPr>
          <w:rFonts w:ascii="Arial" w:hAnsi="Arial" w:cs="Arial"/>
        </w:rPr>
        <w:t>he</w:t>
      </w:r>
      <w:proofErr w:type="gramEnd"/>
      <w:r w:rsidR="00A2324A">
        <w:rPr>
          <w:rFonts w:ascii="Arial" w:hAnsi="Arial" w:cs="Arial"/>
        </w:rPr>
        <w:t xml:space="preserve"> plaintiff was of the view that the amount due was</w:t>
      </w:r>
      <w:r w:rsidR="00E26066">
        <w:rPr>
          <w:rFonts w:ascii="Arial" w:hAnsi="Arial" w:cs="Arial"/>
        </w:rPr>
        <w:t xml:space="preserve"> R 1  05</w:t>
      </w:r>
      <w:r w:rsidR="00B82251">
        <w:rPr>
          <w:rFonts w:ascii="Arial" w:hAnsi="Arial" w:cs="Arial"/>
        </w:rPr>
        <w:t>1 213.31</w:t>
      </w:r>
      <w:r w:rsidR="00B82251">
        <w:rPr>
          <w:rStyle w:val="FootnoteReference"/>
          <w:rFonts w:ascii="Arial" w:hAnsi="Arial" w:cs="Arial"/>
        </w:rPr>
        <w:footnoteReference w:id="14"/>
      </w:r>
      <w:r w:rsidR="00B82251">
        <w:rPr>
          <w:rFonts w:ascii="Arial" w:hAnsi="Arial" w:cs="Arial"/>
        </w:rPr>
        <w:t xml:space="preserve"> </w:t>
      </w:r>
      <w:r w:rsidR="00A2324A">
        <w:rPr>
          <w:rFonts w:ascii="Arial" w:hAnsi="Arial" w:cs="Arial"/>
        </w:rPr>
        <w:t>which had to be recovered from the defendant</w:t>
      </w:r>
      <w:r w:rsidR="00B82251">
        <w:rPr>
          <w:rFonts w:ascii="Arial" w:hAnsi="Arial" w:cs="Arial"/>
        </w:rPr>
        <w:t xml:space="preserve"> </w:t>
      </w:r>
      <w:r w:rsidR="00B82251">
        <w:rPr>
          <w:rFonts w:ascii="Arial" w:hAnsi="Arial" w:cs="Arial"/>
        </w:rPr>
        <w:lastRenderedPageBreak/>
        <w:t>for onward transmission to the bank.</w:t>
      </w:r>
      <w:r w:rsidR="00B82251">
        <w:rPr>
          <w:rStyle w:val="FootnoteReference"/>
          <w:rFonts w:ascii="Arial" w:hAnsi="Arial" w:cs="Arial"/>
        </w:rPr>
        <w:footnoteReference w:id="15"/>
      </w:r>
      <w:r w:rsidR="00B82251">
        <w:rPr>
          <w:rFonts w:ascii="Arial" w:hAnsi="Arial" w:cs="Arial"/>
        </w:rPr>
        <w:t xml:space="preserve"> Should the defendant fail to pay the amount due to the plaintiff as the gua</w:t>
      </w:r>
      <w:r w:rsidR="00A2324A">
        <w:rPr>
          <w:rFonts w:ascii="Arial" w:hAnsi="Arial" w:cs="Arial"/>
        </w:rPr>
        <w:t>rantee company, legal steps would</w:t>
      </w:r>
      <w:r w:rsidR="00B82251">
        <w:rPr>
          <w:rFonts w:ascii="Arial" w:hAnsi="Arial" w:cs="Arial"/>
        </w:rPr>
        <w:t xml:space="preserve"> be taken for the recovery thereof. Nowhere in the letter was it mentioned that the defendant was in ar</w:t>
      </w:r>
      <w:r w:rsidR="002025F5">
        <w:rPr>
          <w:rFonts w:ascii="Arial" w:hAnsi="Arial" w:cs="Arial"/>
        </w:rPr>
        <w:t>r</w:t>
      </w:r>
      <w:r w:rsidR="00B82251">
        <w:rPr>
          <w:rFonts w:ascii="Arial" w:hAnsi="Arial" w:cs="Arial"/>
        </w:rPr>
        <w:t>ea</w:t>
      </w:r>
      <w:r w:rsidR="002025F5">
        <w:rPr>
          <w:rFonts w:ascii="Arial" w:hAnsi="Arial" w:cs="Arial"/>
        </w:rPr>
        <w:t>r</w:t>
      </w:r>
      <w:r w:rsidR="00B82251">
        <w:rPr>
          <w:rFonts w:ascii="Arial" w:hAnsi="Arial" w:cs="Arial"/>
        </w:rPr>
        <w:t xml:space="preserve">s in the amount of R 45 294.85, which was due and payable; on receipt of which it would </w:t>
      </w:r>
      <w:r w:rsidR="005B7235">
        <w:rPr>
          <w:rFonts w:ascii="Arial" w:hAnsi="Arial" w:cs="Arial"/>
        </w:rPr>
        <w:t>be</w:t>
      </w:r>
      <w:r w:rsidR="00B82251">
        <w:rPr>
          <w:rFonts w:ascii="Arial" w:hAnsi="Arial" w:cs="Arial"/>
        </w:rPr>
        <w:t xml:space="preserve"> paid to the bank</w:t>
      </w:r>
      <w:r w:rsidR="005B7235">
        <w:rPr>
          <w:rFonts w:ascii="Arial" w:hAnsi="Arial" w:cs="Arial"/>
        </w:rPr>
        <w:t xml:space="preserve"> forthwith</w:t>
      </w:r>
      <w:r w:rsidR="00B82251">
        <w:rPr>
          <w:rFonts w:ascii="Arial" w:hAnsi="Arial" w:cs="Arial"/>
        </w:rPr>
        <w:t xml:space="preserve">. </w:t>
      </w:r>
      <w:r w:rsidR="00E26066">
        <w:rPr>
          <w:rFonts w:ascii="Arial" w:hAnsi="Arial" w:cs="Arial"/>
        </w:rPr>
        <w:t xml:space="preserve">  </w:t>
      </w:r>
      <w:r w:rsidR="00AC3F6F">
        <w:rPr>
          <w:rFonts w:ascii="Arial" w:hAnsi="Arial" w:cs="Arial"/>
        </w:rPr>
        <w:t xml:space="preserve">   </w:t>
      </w:r>
      <w:r w:rsidR="00040225">
        <w:rPr>
          <w:rFonts w:ascii="Arial" w:hAnsi="Arial" w:cs="Arial"/>
        </w:rPr>
        <w:tab/>
      </w:r>
    </w:p>
    <w:p w14:paraId="4F7AFB82" w14:textId="77777777" w:rsidR="0096150F" w:rsidRDefault="00BB56F3" w:rsidP="0096150F">
      <w:pPr>
        <w:spacing w:after="240" w:line="360" w:lineRule="auto"/>
        <w:ind w:left="567" w:hanging="567"/>
        <w:jc w:val="both"/>
        <w:rPr>
          <w:rFonts w:ascii="Arial" w:hAnsi="Arial" w:cs="Arial"/>
        </w:rPr>
      </w:pPr>
      <w:r>
        <w:rPr>
          <w:rFonts w:ascii="Arial" w:hAnsi="Arial" w:cs="Arial"/>
        </w:rPr>
        <w:t>[11</w:t>
      </w:r>
      <w:r w:rsidR="00B82251">
        <w:rPr>
          <w:rFonts w:ascii="Arial" w:hAnsi="Arial" w:cs="Arial"/>
        </w:rPr>
        <w:t>]</w:t>
      </w:r>
      <w:r w:rsidR="00B82251">
        <w:rPr>
          <w:rFonts w:ascii="Arial" w:hAnsi="Arial" w:cs="Arial"/>
        </w:rPr>
        <w:tab/>
      </w:r>
      <w:r w:rsidR="00716386">
        <w:rPr>
          <w:rFonts w:ascii="Arial" w:hAnsi="Arial" w:cs="Arial"/>
        </w:rPr>
        <w:t>The demand notice speaks of R1 051 213.31 and not of R1 109 875.01 as indicated in the particulars of claim. The particulars of claim state</w:t>
      </w:r>
      <w:r w:rsidR="008224B6">
        <w:rPr>
          <w:rFonts w:ascii="Arial" w:hAnsi="Arial" w:cs="Arial"/>
        </w:rPr>
        <w:t>d</w:t>
      </w:r>
      <w:r w:rsidR="00716386">
        <w:rPr>
          <w:rFonts w:ascii="Arial" w:hAnsi="Arial" w:cs="Arial"/>
        </w:rPr>
        <w:t xml:space="preserve"> that the</w:t>
      </w:r>
      <w:r w:rsidR="00ED2544">
        <w:rPr>
          <w:rFonts w:ascii="Arial" w:hAnsi="Arial" w:cs="Arial"/>
        </w:rPr>
        <w:t xml:space="preserve"> </w:t>
      </w:r>
      <w:r w:rsidR="00716386">
        <w:rPr>
          <w:rFonts w:ascii="Arial" w:hAnsi="Arial" w:cs="Arial"/>
        </w:rPr>
        <w:t>defendant failed to pay the amount</w:t>
      </w:r>
      <w:r w:rsidR="00510B9A">
        <w:rPr>
          <w:rFonts w:ascii="Arial" w:hAnsi="Arial" w:cs="Arial"/>
        </w:rPr>
        <w:t xml:space="preserve"> as</w:t>
      </w:r>
      <w:r w:rsidR="00716386">
        <w:rPr>
          <w:rFonts w:ascii="Arial" w:hAnsi="Arial" w:cs="Arial"/>
        </w:rPr>
        <w:t xml:space="preserve"> set out in the plaintiff’s</w:t>
      </w:r>
      <w:r w:rsidR="008224B6">
        <w:rPr>
          <w:rFonts w:ascii="Arial" w:hAnsi="Arial" w:cs="Arial"/>
        </w:rPr>
        <w:t xml:space="preserve"> demand,</w:t>
      </w:r>
      <w:r w:rsidR="00716386">
        <w:rPr>
          <w:rFonts w:ascii="Arial" w:hAnsi="Arial" w:cs="Arial"/>
        </w:rPr>
        <w:t xml:space="preserve"> </w:t>
      </w:r>
      <w:r w:rsidR="00ED2544">
        <w:rPr>
          <w:rFonts w:ascii="Arial" w:hAnsi="Arial" w:cs="Arial"/>
        </w:rPr>
        <w:t xml:space="preserve"> which</w:t>
      </w:r>
      <w:r w:rsidR="008224B6">
        <w:rPr>
          <w:rFonts w:ascii="Arial" w:hAnsi="Arial" w:cs="Arial"/>
        </w:rPr>
        <w:t xml:space="preserve"> failure</w:t>
      </w:r>
      <w:r w:rsidR="00ED2544">
        <w:rPr>
          <w:rFonts w:ascii="Arial" w:hAnsi="Arial" w:cs="Arial"/>
        </w:rPr>
        <w:t xml:space="preserve"> entitled the plaintiff to claim the total of all amounts owing by the defendant to</w:t>
      </w:r>
      <w:r w:rsidR="005110AC">
        <w:rPr>
          <w:rFonts w:ascii="Arial" w:hAnsi="Arial" w:cs="Arial"/>
        </w:rPr>
        <w:t xml:space="preserve"> the plaintiff.</w:t>
      </w:r>
      <w:r w:rsidR="005A4A1D">
        <w:rPr>
          <w:rStyle w:val="FootnoteReference"/>
          <w:rFonts w:ascii="Arial" w:hAnsi="Arial" w:cs="Arial"/>
        </w:rPr>
        <w:footnoteReference w:id="16"/>
      </w:r>
      <w:r w:rsidR="00ED2544">
        <w:rPr>
          <w:rFonts w:ascii="Arial" w:hAnsi="Arial" w:cs="Arial"/>
        </w:rPr>
        <w:t xml:space="preserve"> </w:t>
      </w:r>
      <w:r w:rsidR="00510B9A">
        <w:rPr>
          <w:rFonts w:ascii="Arial" w:hAnsi="Arial" w:cs="Arial"/>
        </w:rPr>
        <w:t>This information is inaccurate and confusing.</w:t>
      </w:r>
    </w:p>
    <w:p w14:paraId="3C0F777A" w14:textId="77777777" w:rsidR="009665C3" w:rsidRDefault="00D02BAA" w:rsidP="00040225">
      <w:pPr>
        <w:spacing w:after="240" w:line="360" w:lineRule="auto"/>
        <w:ind w:left="567" w:hanging="567"/>
        <w:jc w:val="both"/>
        <w:rPr>
          <w:rFonts w:ascii="Arial" w:hAnsi="Arial" w:cs="Arial"/>
        </w:rPr>
      </w:pPr>
      <w:r>
        <w:rPr>
          <w:rFonts w:ascii="Arial" w:hAnsi="Arial" w:cs="Arial"/>
        </w:rPr>
        <w:t>[</w:t>
      </w:r>
      <w:r w:rsidR="00BB56F3">
        <w:rPr>
          <w:rFonts w:ascii="Arial" w:hAnsi="Arial" w:cs="Arial"/>
        </w:rPr>
        <w:t>12</w:t>
      </w:r>
      <w:r>
        <w:rPr>
          <w:rFonts w:ascii="Arial" w:hAnsi="Arial" w:cs="Arial"/>
        </w:rPr>
        <w:t>]</w:t>
      </w:r>
      <w:r>
        <w:rPr>
          <w:rFonts w:ascii="Arial" w:hAnsi="Arial" w:cs="Arial"/>
        </w:rPr>
        <w:tab/>
        <w:t>In his answering affidavit, the responden</w:t>
      </w:r>
      <w:r w:rsidR="00116BB7">
        <w:rPr>
          <w:rFonts w:ascii="Arial" w:hAnsi="Arial" w:cs="Arial"/>
        </w:rPr>
        <w:t>t stated that he was, as of</w:t>
      </w:r>
      <w:r>
        <w:rPr>
          <w:rFonts w:ascii="Arial" w:hAnsi="Arial" w:cs="Arial"/>
        </w:rPr>
        <w:t xml:space="preserve"> 19 June 2019, up to date with his payments under the home loan agreement and that the applicant had not in its particulars of claim, alleged a new breach that </w:t>
      </w:r>
      <w:r w:rsidR="00416737">
        <w:rPr>
          <w:rFonts w:ascii="Arial" w:hAnsi="Arial" w:cs="Arial"/>
        </w:rPr>
        <w:t>could sustain a cause of action</w:t>
      </w:r>
      <w:r>
        <w:rPr>
          <w:rFonts w:ascii="Arial" w:hAnsi="Arial" w:cs="Arial"/>
        </w:rPr>
        <w:t xml:space="preserve"> as stated in his plea and special plea. If the applicant’s action was not based on the 2018 breach, then the applicant had not alleged in his particular</w:t>
      </w:r>
      <w:r w:rsidR="00416737">
        <w:rPr>
          <w:rFonts w:ascii="Arial" w:hAnsi="Arial" w:cs="Arial"/>
        </w:rPr>
        <w:t>s</w:t>
      </w:r>
      <w:r>
        <w:rPr>
          <w:rFonts w:ascii="Arial" w:hAnsi="Arial" w:cs="Arial"/>
        </w:rPr>
        <w:t xml:space="preserve"> of claim that it rece</w:t>
      </w:r>
      <w:r w:rsidR="00416737">
        <w:rPr>
          <w:rFonts w:ascii="Arial" w:hAnsi="Arial" w:cs="Arial"/>
        </w:rPr>
        <w:t>ived a new notice from the bank</w:t>
      </w:r>
      <w:r>
        <w:rPr>
          <w:rFonts w:ascii="Arial" w:hAnsi="Arial" w:cs="Arial"/>
        </w:rPr>
        <w:t xml:space="preserve"> after June 2019, alleging a breach of the home loan agreement and instructing the applicant to institute action against him. That was the only way under the common terms agreement, the mortgage bond and the indemnity agreement that the applicant would acquire</w:t>
      </w:r>
      <w:r w:rsidR="00C25D62">
        <w:rPr>
          <w:rFonts w:ascii="Arial" w:hAnsi="Arial" w:cs="Arial"/>
        </w:rPr>
        <w:t xml:space="preserve"> a right of action or a cause of action against him.</w:t>
      </w:r>
      <w:r w:rsidR="00C25D62">
        <w:rPr>
          <w:rStyle w:val="FootnoteReference"/>
          <w:rFonts w:ascii="Arial" w:hAnsi="Arial" w:cs="Arial"/>
        </w:rPr>
        <w:footnoteReference w:id="17"/>
      </w:r>
      <w:r>
        <w:rPr>
          <w:rFonts w:ascii="Arial" w:hAnsi="Arial" w:cs="Arial"/>
        </w:rPr>
        <w:t xml:space="preserve"> </w:t>
      </w:r>
      <w:r w:rsidR="00C25D62">
        <w:rPr>
          <w:rFonts w:ascii="Arial" w:hAnsi="Arial" w:cs="Arial"/>
        </w:rPr>
        <w:t>This constituted a triable issue especially</w:t>
      </w:r>
      <w:r w:rsidR="00416737">
        <w:rPr>
          <w:rFonts w:ascii="Arial" w:hAnsi="Arial" w:cs="Arial"/>
        </w:rPr>
        <w:t xml:space="preserve"> when</w:t>
      </w:r>
      <w:r w:rsidR="00C25D62">
        <w:rPr>
          <w:rFonts w:ascii="Arial" w:hAnsi="Arial" w:cs="Arial"/>
        </w:rPr>
        <w:t xml:space="preserve"> viewed in the light that the applicant admitted that its cause of action did not arise in 2018 b</w:t>
      </w:r>
      <w:r w:rsidR="00C85E93">
        <w:rPr>
          <w:rFonts w:ascii="Arial" w:hAnsi="Arial" w:cs="Arial"/>
        </w:rPr>
        <w:t>ut only in September 2019. As of</w:t>
      </w:r>
      <w:r w:rsidR="00C25D62">
        <w:rPr>
          <w:rFonts w:ascii="Arial" w:hAnsi="Arial" w:cs="Arial"/>
        </w:rPr>
        <w:t xml:space="preserve"> June 2019, the home loan account was up to date and the applicant could not issue summons as at that date.</w:t>
      </w:r>
      <w:r w:rsidR="00C25D62">
        <w:rPr>
          <w:rStyle w:val="FootnoteReference"/>
          <w:rFonts w:ascii="Arial" w:hAnsi="Arial" w:cs="Arial"/>
        </w:rPr>
        <w:footnoteReference w:id="18"/>
      </w:r>
      <w:r w:rsidR="00C25D62">
        <w:rPr>
          <w:rFonts w:ascii="Arial" w:hAnsi="Arial" w:cs="Arial"/>
        </w:rPr>
        <w:t xml:space="preserve"> </w:t>
      </w:r>
    </w:p>
    <w:p w14:paraId="38676793" w14:textId="77777777" w:rsidR="00416737" w:rsidRDefault="00BB56F3" w:rsidP="00040225">
      <w:pPr>
        <w:spacing w:after="240" w:line="360" w:lineRule="auto"/>
        <w:ind w:left="567" w:hanging="567"/>
        <w:jc w:val="both"/>
        <w:rPr>
          <w:rFonts w:ascii="Arial" w:hAnsi="Arial" w:cs="Arial"/>
        </w:rPr>
      </w:pPr>
      <w:r>
        <w:rPr>
          <w:rFonts w:ascii="Arial" w:hAnsi="Arial" w:cs="Arial"/>
        </w:rPr>
        <w:t>[13</w:t>
      </w:r>
      <w:r w:rsidR="00FD6A26">
        <w:rPr>
          <w:rFonts w:ascii="Arial" w:hAnsi="Arial" w:cs="Arial"/>
        </w:rPr>
        <w:t>]</w:t>
      </w:r>
      <w:r w:rsidR="00FD6A26">
        <w:rPr>
          <w:rFonts w:ascii="Arial" w:hAnsi="Arial" w:cs="Arial"/>
        </w:rPr>
        <w:tab/>
      </w:r>
      <w:r w:rsidR="00416737">
        <w:rPr>
          <w:rFonts w:ascii="Arial" w:hAnsi="Arial" w:cs="Arial"/>
        </w:rPr>
        <w:t>In his special plea, the defendant pleaded that the demand notice</w:t>
      </w:r>
      <w:r w:rsidR="00416737">
        <w:rPr>
          <w:rStyle w:val="FootnoteReference"/>
          <w:rFonts w:ascii="Arial" w:hAnsi="Arial" w:cs="Arial"/>
        </w:rPr>
        <w:footnoteReference w:id="19"/>
      </w:r>
      <w:r w:rsidR="001B3ACC">
        <w:rPr>
          <w:rFonts w:ascii="Arial" w:hAnsi="Arial" w:cs="Arial"/>
        </w:rPr>
        <w:t xml:space="preserve">was sent to an old address when the plaintiff fully knew at the time, that he resided on the property that is the subject matter of this case. He </w:t>
      </w:r>
      <w:r w:rsidR="00C85E93">
        <w:rPr>
          <w:rFonts w:ascii="Arial" w:hAnsi="Arial" w:cs="Arial"/>
        </w:rPr>
        <w:t xml:space="preserve">admitted that he </w:t>
      </w:r>
      <w:r w:rsidR="001B3ACC">
        <w:rPr>
          <w:rFonts w:ascii="Arial" w:hAnsi="Arial" w:cs="Arial"/>
        </w:rPr>
        <w:t xml:space="preserve">was in arrears in 2018. He negotiated with the bank and paid an amount of R48 000.00 in March </w:t>
      </w:r>
      <w:r w:rsidR="001B3ACC">
        <w:rPr>
          <w:rFonts w:ascii="Arial" w:hAnsi="Arial" w:cs="Arial"/>
        </w:rPr>
        <w:lastRenderedPageBreak/>
        <w:t>2019 and cleared all arrears on 18 June 2019 when he made a payment of R95 600.00 as advised. He pleaded that the plaintiff did not have a cause of action against the defendant as the breach of 2018 had been cured. The plaintiff</w:t>
      </w:r>
      <w:r w:rsidR="00C85E93">
        <w:rPr>
          <w:rFonts w:ascii="Arial" w:hAnsi="Arial" w:cs="Arial"/>
        </w:rPr>
        <w:t xml:space="preserve">, </w:t>
      </w:r>
      <w:proofErr w:type="gramStart"/>
      <w:r w:rsidR="00C85E93">
        <w:rPr>
          <w:rFonts w:ascii="Arial" w:hAnsi="Arial" w:cs="Arial"/>
        </w:rPr>
        <w:t>in order to</w:t>
      </w:r>
      <w:proofErr w:type="gramEnd"/>
      <w:r w:rsidR="00C85E93">
        <w:rPr>
          <w:rFonts w:ascii="Arial" w:hAnsi="Arial" w:cs="Arial"/>
        </w:rPr>
        <w:t xml:space="preserve"> institute an action against him,</w:t>
      </w:r>
      <w:r w:rsidR="001B3ACC">
        <w:rPr>
          <w:rFonts w:ascii="Arial" w:hAnsi="Arial" w:cs="Arial"/>
        </w:rPr>
        <w:t xml:space="preserve"> had to receive a notice from the bank for any subsequent breach of the home</w:t>
      </w:r>
      <w:r w:rsidR="00C85E93">
        <w:rPr>
          <w:rFonts w:ascii="Arial" w:hAnsi="Arial" w:cs="Arial"/>
        </w:rPr>
        <w:t xml:space="preserve"> loan agreement by him</w:t>
      </w:r>
      <w:r w:rsidR="001B3ACC">
        <w:rPr>
          <w:rFonts w:ascii="Arial" w:hAnsi="Arial" w:cs="Arial"/>
        </w:rPr>
        <w:t>.</w:t>
      </w:r>
      <w:r w:rsidR="00A14D2D">
        <w:rPr>
          <w:rStyle w:val="FootnoteReference"/>
          <w:rFonts w:ascii="Arial" w:hAnsi="Arial" w:cs="Arial"/>
        </w:rPr>
        <w:footnoteReference w:id="20"/>
      </w:r>
    </w:p>
    <w:p w14:paraId="71FD4D96" w14:textId="77777777" w:rsidR="00FA776F" w:rsidRDefault="00BB56F3" w:rsidP="00040225">
      <w:pPr>
        <w:spacing w:after="240" w:line="360" w:lineRule="auto"/>
        <w:ind w:left="567" w:hanging="567"/>
        <w:jc w:val="both"/>
        <w:rPr>
          <w:rFonts w:ascii="Arial" w:hAnsi="Arial" w:cs="Arial"/>
        </w:rPr>
      </w:pPr>
      <w:r>
        <w:rPr>
          <w:rFonts w:ascii="Arial" w:hAnsi="Arial" w:cs="Arial"/>
        </w:rPr>
        <w:t>[14</w:t>
      </w:r>
      <w:r w:rsidR="009665C3">
        <w:rPr>
          <w:rFonts w:ascii="Arial" w:hAnsi="Arial" w:cs="Arial"/>
        </w:rPr>
        <w:t>]</w:t>
      </w:r>
      <w:r w:rsidR="009665C3">
        <w:rPr>
          <w:rFonts w:ascii="Arial" w:hAnsi="Arial" w:cs="Arial"/>
        </w:rPr>
        <w:tab/>
      </w:r>
      <w:r w:rsidR="00C25D62">
        <w:rPr>
          <w:rFonts w:ascii="Arial" w:hAnsi="Arial" w:cs="Arial"/>
        </w:rPr>
        <w:t xml:space="preserve">As succinctly </w:t>
      </w:r>
      <w:r w:rsidR="00FA776F">
        <w:rPr>
          <w:rFonts w:ascii="Arial" w:hAnsi="Arial" w:cs="Arial"/>
        </w:rPr>
        <w:t xml:space="preserve">set out by Mr </w:t>
      </w:r>
      <w:proofErr w:type="spellStart"/>
      <w:r w:rsidR="00FA776F">
        <w:rPr>
          <w:rFonts w:ascii="Arial" w:hAnsi="Arial" w:cs="Arial"/>
        </w:rPr>
        <w:t>Mazibuko</w:t>
      </w:r>
      <w:proofErr w:type="spellEnd"/>
      <w:r w:rsidR="00FA776F">
        <w:rPr>
          <w:rFonts w:ascii="Arial" w:hAnsi="Arial" w:cs="Arial"/>
        </w:rPr>
        <w:t xml:space="preserve"> on behalf of the applicant, the central issue is whether the plaintiff has a right of action against the defendant at this stage. </w:t>
      </w:r>
    </w:p>
    <w:p w14:paraId="1D9675DF" w14:textId="77777777" w:rsidR="00AA1EF4" w:rsidRDefault="00E26066" w:rsidP="001C2172">
      <w:pPr>
        <w:spacing w:after="240" w:line="360" w:lineRule="auto"/>
        <w:ind w:left="567" w:hanging="567"/>
        <w:jc w:val="both"/>
        <w:rPr>
          <w:rFonts w:ascii="Arial" w:hAnsi="Arial" w:cs="Arial"/>
        </w:rPr>
      </w:pPr>
      <w:r>
        <w:rPr>
          <w:rFonts w:ascii="Arial" w:hAnsi="Arial" w:cs="Arial"/>
        </w:rPr>
        <w:t xml:space="preserve"> </w:t>
      </w:r>
      <w:r w:rsidR="001C2172">
        <w:rPr>
          <w:rFonts w:ascii="Arial" w:hAnsi="Arial" w:cs="Arial"/>
        </w:rPr>
        <w:t>[</w:t>
      </w:r>
      <w:r w:rsidR="00BB56F3">
        <w:rPr>
          <w:rFonts w:ascii="Arial" w:hAnsi="Arial" w:cs="Arial"/>
        </w:rPr>
        <w:t>15</w:t>
      </w:r>
      <w:r w:rsidR="001C2172">
        <w:rPr>
          <w:rFonts w:ascii="Arial" w:hAnsi="Arial" w:cs="Arial"/>
        </w:rPr>
        <w:t>]</w:t>
      </w:r>
      <w:r w:rsidR="001C2172">
        <w:rPr>
          <w:rFonts w:ascii="Arial" w:hAnsi="Arial" w:cs="Arial"/>
        </w:rPr>
        <w:tab/>
      </w:r>
      <w:r w:rsidR="00F71789">
        <w:rPr>
          <w:rFonts w:ascii="Arial" w:hAnsi="Arial" w:cs="Arial"/>
        </w:rPr>
        <w:t>He submitted that o</w:t>
      </w:r>
      <w:r w:rsidR="001C2172">
        <w:rPr>
          <w:rFonts w:ascii="Arial" w:hAnsi="Arial" w:cs="Arial"/>
        </w:rPr>
        <w:t>n 15 June 2018</w:t>
      </w:r>
      <w:r w:rsidR="00F71789">
        <w:rPr>
          <w:rFonts w:ascii="Arial" w:hAnsi="Arial" w:cs="Arial"/>
        </w:rPr>
        <w:t>,</w:t>
      </w:r>
      <w:r w:rsidR="001C2172">
        <w:rPr>
          <w:rStyle w:val="FootnoteReference"/>
          <w:rFonts w:ascii="Arial" w:hAnsi="Arial" w:cs="Arial"/>
        </w:rPr>
        <w:footnoteReference w:id="21"/>
      </w:r>
      <w:r w:rsidR="00FA776F">
        <w:rPr>
          <w:rFonts w:ascii="Arial" w:hAnsi="Arial" w:cs="Arial"/>
        </w:rPr>
        <w:t xml:space="preserve"> </w:t>
      </w:r>
      <w:r w:rsidR="001C2172">
        <w:rPr>
          <w:rFonts w:ascii="Arial" w:hAnsi="Arial" w:cs="Arial"/>
        </w:rPr>
        <w:t xml:space="preserve">the bank notified the plaintiff that the defendant was in breach of the loan agreement by failing to pay the monthly instalments since 2018/01/02 and that the amount due by the defendant was R 45 294.85. As the plaintiff had issued the guarantee in favour of the bank, he was required to proceed in any competent court against the defendant for payment of the full amount so due by the defendant </w:t>
      </w:r>
      <w:r w:rsidR="00F71789">
        <w:rPr>
          <w:rFonts w:ascii="Arial" w:hAnsi="Arial" w:cs="Arial"/>
        </w:rPr>
        <w:t>as well as to take steps to fore</w:t>
      </w:r>
      <w:r w:rsidR="001C2172">
        <w:rPr>
          <w:rFonts w:ascii="Arial" w:hAnsi="Arial" w:cs="Arial"/>
        </w:rPr>
        <w:t>close</w:t>
      </w:r>
      <w:r w:rsidR="00F71789">
        <w:rPr>
          <w:rFonts w:ascii="Arial" w:hAnsi="Arial" w:cs="Arial"/>
        </w:rPr>
        <w:t xml:space="preserve"> under the mortgage bond and to</w:t>
      </w:r>
      <w:r w:rsidR="001C2172">
        <w:rPr>
          <w:rFonts w:ascii="Arial" w:hAnsi="Arial" w:cs="Arial"/>
        </w:rPr>
        <w:t xml:space="preserve"> realise any other security held. Mr </w:t>
      </w:r>
      <w:proofErr w:type="spellStart"/>
      <w:r w:rsidR="001C2172">
        <w:rPr>
          <w:rFonts w:ascii="Arial" w:hAnsi="Arial" w:cs="Arial"/>
        </w:rPr>
        <w:t>Mazibuko</w:t>
      </w:r>
      <w:proofErr w:type="spellEnd"/>
      <w:r w:rsidR="001C2172">
        <w:rPr>
          <w:rFonts w:ascii="Arial" w:hAnsi="Arial" w:cs="Arial"/>
        </w:rPr>
        <w:t xml:space="preserve"> argued and stated in his heads</w:t>
      </w:r>
      <w:r w:rsidR="00F71789">
        <w:rPr>
          <w:rFonts w:ascii="Arial" w:hAnsi="Arial" w:cs="Arial"/>
        </w:rPr>
        <w:t xml:space="preserve"> that the plaintiff demanded</w:t>
      </w:r>
      <w:r w:rsidR="001C2172">
        <w:rPr>
          <w:rFonts w:ascii="Arial" w:hAnsi="Arial" w:cs="Arial"/>
        </w:rPr>
        <w:t xml:space="preserve"> payment from the defendant of the amount of R 1 051 213.31 and notified the defendant that legal proceedings will be instituted if such an amount was not paid. By virtue of the notice given to the </w:t>
      </w:r>
      <w:r w:rsidR="00323B17">
        <w:rPr>
          <w:rFonts w:ascii="Arial" w:hAnsi="Arial" w:cs="Arial"/>
        </w:rPr>
        <w:t xml:space="preserve">plaintiff by the bank on 15 June 2018, the plaintiff’s right of action became perfected. </w:t>
      </w:r>
    </w:p>
    <w:p w14:paraId="3034A196" w14:textId="77777777" w:rsidR="00471479" w:rsidRDefault="00AA1EF4" w:rsidP="001C2172">
      <w:pPr>
        <w:spacing w:after="240" w:line="360" w:lineRule="auto"/>
        <w:ind w:left="567" w:hanging="567"/>
        <w:jc w:val="both"/>
        <w:rPr>
          <w:rFonts w:ascii="Arial" w:hAnsi="Arial" w:cs="Arial"/>
        </w:rPr>
      </w:pPr>
      <w:r>
        <w:rPr>
          <w:rFonts w:ascii="Arial" w:hAnsi="Arial" w:cs="Arial"/>
        </w:rPr>
        <w:t>[</w:t>
      </w:r>
      <w:r w:rsidR="00BB56F3">
        <w:rPr>
          <w:rFonts w:ascii="Arial" w:hAnsi="Arial" w:cs="Arial"/>
        </w:rPr>
        <w:t>16</w:t>
      </w:r>
      <w:r>
        <w:rPr>
          <w:rFonts w:ascii="Arial" w:hAnsi="Arial" w:cs="Arial"/>
        </w:rPr>
        <w:t>]</w:t>
      </w:r>
      <w:r>
        <w:rPr>
          <w:rFonts w:ascii="Arial" w:hAnsi="Arial" w:cs="Arial"/>
        </w:rPr>
        <w:tab/>
        <w:t xml:space="preserve">Mr </w:t>
      </w:r>
      <w:proofErr w:type="spellStart"/>
      <w:r>
        <w:rPr>
          <w:rFonts w:ascii="Arial" w:hAnsi="Arial" w:cs="Arial"/>
        </w:rPr>
        <w:t>Mazibuko</w:t>
      </w:r>
      <w:proofErr w:type="spellEnd"/>
      <w:r>
        <w:rPr>
          <w:rFonts w:ascii="Arial" w:hAnsi="Arial" w:cs="Arial"/>
        </w:rPr>
        <w:t xml:space="preserve"> contended that the defendant’s contention that the plaintiff could not rely on that notification given by the bank to it in June 2018 to claim amounts arising out of his breach of the agreement which occurred after the 2018 breach</w:t>
      </w:r>
      <w:r w:rsidR="008B27F3">
        <w:rPr>
          <w:rFonts w:ascii="Arial" w:hAnsi="Arial" w:cs="Arial"/>
        </w:rPr>
        <w:t>,</w:t>
      </w:r>
      <w:r>
        <w:rPr>
          <w:rFonts w:ascii="Arial" w:hAnsi="Arial" w:cs="Arial"/>
        </w:rPr>
        <w:t xml:space="preserve"> was misguided as the plaintiff assumed the right </w:t>
      </w:r>
      <w:r w:rsidR="008B27F3">
        <w:rPr>
          <w:rFonts w:ascii="Arial" w:hAnsi="Arial" w:cs="Arial"/>
        </w:rPr>
        <w:t xml:space="preserve">of </w:t>
      </w:r>
      <w:r>
        <w:rPr>
          <w:rFonts w:ascii="Arial" w:hAnsi="Arial" w:cs="Arial"/>
        </w:rPr>
        <w:t>action in June 2018 when i</w:t>
      </w:r>
      <w:r w:rsidR="008B27F3">
        <w:rPr>
          <w:rFonts w:ascii="Arial" w:hAnsi="Arial" w:cs="Arial"/>
        </w:rPr>
        <w:t xml:space="preserve">t was notified of the plaintiff’s </w:t>
      </w:r>
      <w:r>
        <w:rPr>
          <w:rFonts w:ascii="Arial" w:hAnsi="Arial" w:cs="Arial"/>
        </w:rPr>
        <w:t>brea</w:t>
      </w:r>
      <w:r w:rsidR="008B27F3">
        <w:rPr>
          <w:rFonts w:ascii="Arial" w:hAnsi="Arial" w:cs="Arial"/>
        </w:rPr>
        <w:t>ch by the bank. The judgment of</w:t>
      </w:r>
      <w:r>
        <w:rPr>
          <w:rFonts w:ascii="Arial" w:hAnsi="Arial" w:cs="Arial"/>
        </w:rPr>
        <w:t xml:space="preserve"> </w:t>
      </w:r>
      <w:r w:rsidRPr="00AA1EF4">
        <w:rPr>
          <w:rFonts w:ascii="Arial" w:hAnsi="Arial" w:cs="Arial"/>
          <w:i/>
        </w:rPr>
        <w:t>SB Guarantee Company (RF) (Pty) Ltd vs. Bloemfontein Celtic Football Club</w:t>
      </w:r>
      <w:r>
        <w:rPr>
          <w:rFonts w:ascii="Arial" w:hAnsi="Arial" w:cs="Arial"/>
          <w:i/>
        </w:rPr>
        <w:t xml:space="preserve"> (Pty) Ltd</w:t>
      </w:r>
      <w:r w:rsidR="008B27F3">
        <w:rPr>
          <w:rFonts w:ascii="Arial" w:hAnsi="Arial" w:cs="Arial"/>
          <w:i/>
        </w:rPr>
        <w:t>,</w:t>
      </w:r>
      <w:r>
        <w:rPr>
          <w:rStyle w:val="FootnoteReference"/>
          <w:rFonts w:ascii="Arial" w:hAnsi="Arial" w:cs="Arial"/>
          <w:i/>
        </w:rPr>
        <w:footnoteReference w:id="22"/>
      </w:r>
      <w:r>
        <w:rPr>
          <w:rFonts w:ascii="Arial" w:hAnsi="Arial" w:cs="Arial"/>
        </w:rPr>
        <w:t xml:space="preserve"> </w:t>
      </w:r>
      <w:r w:rsidR="008B27F3">
        <w:rPr>
          <w:rFonts w:ascii="Arial" w:hAnsi="Arial" w:cs="Arial"/>
        </w:rPr>
        <w:t xml:space="preserve">on which the defendant relied, </w:t>
      </w:r>
      <w:r>
        <w:rPr>
          <w:rFonts w:ascii="Arial" w:hAnsi="Arial" w:cs="Arial"/>
        </w:rPr>
        <w:t>did not assist the defendant</w:t>
      </w:r>
      <w:r w:rsidR="008B27F3">
        <w:rPr>
          <w:rFonts w:ascii="Arial" w:hAnsi="Arial" w:cs="Arial"/>
        </w:rPr>
        <w:t>.</w:t>
      </w:r>
      <w:r>
        <w:rPr>
          <w:rFonts w:ascii="Arial" w:hAnsi="Arial" w:cs="Arial"/>
        </w:rPr>
        <w:t xml:space="preserve"> </w:t>
      </w:r>
      <w:r w:rsidR="008B27F3">
        <w:rPr>
          <w:rFonts w:ascii="Arial" w:hAnsi="Arial" w:cs="Arial"/>
        </w:rPr>
        <w:t>T</w:t>
      </w:r>
      <w:r>
        <w:rPr>
          <w:rFonts w:ascii="Arial" w:hAnsi="Arial" w:cs="Arial"/>
        </w:rPr>
        <w:t>he facts in that case were distinguishable to the present ma</w:t>
      </w:r>
      <w:r w:rsidR="008B27F3">
        <w:rPr>
          <w:rFonts w:ascii="Arial" w:hAnsi="Arial" w:cs="Arial"/>
        </w:rPr>
        <w:t>tter. In contrast</w:t>
      </w:r>
      <w:r>
        <w:rPr>
          <w:rFonts w:ascii="Arial" w:hAnsi="Arial" w:cs="Arial"/>
        </w:rPr>
        <w:t>, there was no evidence on the papers</w:t>
      </w:r>
      <w:r w:rsidR="008B27F3">
        <w:rPr>
          <w:rFonts w:ascii="Arial" w:hAnsi="Arial" w:cs="Arial"/>
        </w:rPr>
        <w:t xml:space="preserve"> in that matter to show</w:t>
      </w:r>
      <w:r>
        <w:rPr>
          <w:rFonts w:ascii="Arial" w:hAnsi="Arial" w:cs="Arial"/>
        </w:rPr>
        <w:t xml:space="preserve"> that the bank had not</w:t>
      </w:r>
      <w:r w:rsidR="008B27F3">
        <w:rPr>
          <w:rFonts w:ascii="Arial" w:hAnsi="Arial" w:cs="Arial"/>
        </w:rPr>
        <w:t xml:space="preserve">ified SB Guarantee in </w:t>
      </w:r>
      <w:r w:rsidR="008B27F3">
        <w:rPr>
          <w:rFonts w:ascii="Arial" w:hAnsi="Arial" w:cs="Arial"/>
        </w:rPr>
        <w:lastRenderedPageBreak/>
        <w:t>writing that it should</w:t>
      </w:r>
      <w:r>
        <w:rPr>
          <w:rFonts w:ascii="Arial" w:hAnsi="Arial" w:cs="Arial"/>
        </w:rPr>
        <w:t xml:space="preserve"> make payments</w:t>
      </w:r>
      <w:r w:rsidR="008B27F3">
        <w:rPr>
          <w:rFonts w:ascii="Arial" w:hAnsi="Arial" w:cs="Arial"/>
        </w:rPr>
        <w:t xml:space="preserve"> to it,</w:t>
      </w:r>
      <w:r>
        <w:rPr>
          <w:rFonts w:ascii="Arial" w:hAnsi="Arial" w:cs="Arial"/>
        </w:rPr>
        <w:t xml:space="preserve"> owing to the debtor’s br</w:t>
      </w:r>
      <w:r w:rsidR="002B0A9D">
        <w:rPr>
          <w:rFonts w:ascii="Arial" w:hAnsi="Arial" w:cs="Arial"/>
        </w:rPr>
        <w:t>each of the ho</w:t>
      </w:r>
      <w:r w:rsidR="008B27F3">
        <w:rPr>
          <w:rFonts w:ascii="Arial" w:hAnsi="Arial" w:cs="Arial"/>
        </w:rPr>
        <w:t>me loan agreement. The court</w:t>
      </w:r>
      <w:r w:rsidR="002B0A9D">
        <w:rPr>
          <w:rFonts w:ascii="Arial" w:hAnsi="Arial" w:cs="Arial"/>
        </w:rPr>
        <w:t xml:space="preserve"> concluded as follows in that case: </w:t>
      </w:r>
    </w:p>
    <w:p w14:paraId="6E27CC75" w14:textId="77777777" w:rsidR="00471479" w:rsidRDefault="002B0A9D" w:rsidP="00FD6A26">
      <w:pPr>
        <w:spacing w:after="240" w:line="360" w:lineRule="auto"/>
        <w:ind w:left="709"/>
        <w:jc w:val="both"/>
        <w:rPr>
          <w:rFonts w:ascii="Arial" w:hAnsi="Arial" w:cs="Arial"/>
        </w:rPr>
      </w:pPr>
      <w:r w:rsidRPr="00471479">
        <w:rPr>
          <w:rFonts w:ascii="Arial" w:hAnsi="Arial" w:cs="Arial"/>
          <w:i/>
          <w:sz w:val="20"/>
          <w:szCs w:val="20"/>
        </w:rPr>
        <w:t xml:space="preserve">“in the absence of the required written demand for payment, in particular that the </w:t>
      </w:r>
      <w:r w:rsidR="004128DC">
        <w:rPr>
          <w:rFonts w:ascii="Arial" w:hAnsi="Arial" w:cs="Arial"/>
          <w:i/>
          <w:sz w:val="20"/>
          <w:szCs w:val="20"/>
        </w:rPr>
        <w:t>P</w:t>
      </w:r>
      <w:r w:rsidRPr="00471479">
        <w:rPr>
          <w:rFonts w:ascii="Arial" w:hAnsi="Arial" w:cs="Arial"/>
          <w:i/>
          <w:sz w:val="20"/>
          <w:szCs w:val="20"/>
        </w:rPr>
        <w:t>laintiff has not shown t</w:t>
      </w:r>
      <w:r w:rsidR="004128DC">
        <w:rPr>
          <w:rFonts w:ascii="Arial" w:hAnsi="Arial" w:cs="Arial"/>
          <w:i/>
          <w:sz w:val="20"/>
          <w:szCs w:val="20"/>
        </w:rPr>
        <w:t>hat Standard Bank notified the P</w:t>
      </w:r>
      <w:r w:rsidRPr="00471479">
        <w:rPr>
          <w:rFonts w:ascii="Arial" w:hAnsi="Arial" w:cs="Arial"/>
          <w:i/>
          <w:sz w:val="20"/>
          <w:szCs w:val="20"/>
        </w:rPr>
        <w:t>laintiff in writing to make any payment</w:t>
      </w:r>
      <w:r w:rsidR="004128DC">
        <w:rPr>
          <w:rFonts w:ascii="Arial" w:hAnsi="Arial" w:cs="Arial"/>
          <w:i/>
          <w:sz w:val="20"/>
          <w:szCs w:val="20"/>
        </w:rPr>
        <w:t>s, it cannot be found that the Defendant is liable towards P</w:t>
      </w:r>
      <w:r w:rsidRPr="00471479">
        <w:rPr>
          <w:rFonts w:ascii="Arial" w:hAnsi="Arial" w:cs="Arial"/>
          <w:i/>
          <w:sz w:val="20"/>
          <w:szCs w:val="20"/>
        </w:rPr>
        <w:t>laintiff and in effect, that as correctly pointed out by Mr Reinders, assisted b</w:t>
      </w:r>
      <w:r w:rsidR="004128DC">
        <w:rPr>
          <w:rFonts w:ascii="Arial" w:hAnsi="Arial" w:cs="Arial"/>
          <w:i/>
          <w:sz w:val="20"/>
          <w:szCs w:val="20"/>
        </w:rPr>
        <w:t xml:space="preserve">y Mr </w:t>
      </w:r>
      <w:proofErr w:type="spellStart"/>
      <w:r w:rsidR="004128DC">
        <w:rPr>
          <w:rFonts w:ascii="Arial" w:hAnsi="Arial" w:cs="Arial"/>
          <w:i/>
          <w:sz w:val="20"/>
          <w:szCs w:val="20"/>
        </w:rPr>
        <w:t>Greyling</w:t>
      </w:r>
      <w:proofErr w:type="spellEnd"/>
      <w:r w:rsidR="004128DC">
        <w:rPr>
          <w:rFonts w:ascii="Arial" w:hAnsi="Arial" w:cs="Arial"/>
          <w:i/>
          <w:sz w:val="20"/>
          <w:szCs w:val="20"/>
        </w:rPr>
        <w:t xml:space="preserve"> on behalf of the D</w:t>
      </w:r>
      <w:r w:rsidRPr="00471479">
        <w:rPr>
          <w:rFonts w:ascii="Arial" w:hAnsi="Arial" w:cs="Arial"/>
          <w:i/>
          <w:sz w:val="20"/>
          <w:szCs w:val="20"/>
        </w:rPr>
        <w:t xml:space="preserve">efendant, the amount as claimed or any other amount is due and payable by the </w:t>
      </w:r>
      <w:r w:rsidR="004128DC">
        <w:rPr>
          <w:rFonts w:ascii="Arial" w:hAnsi="Arial" w:cs="Arial"/>
          <w:i/>
          <w:sz w:val="20"/>
          <w:szCs w:val="20"/>
        </w:rPr>
        <w:t>Defendant toward P</w:t>
      </w:r>
      <w:r w:rsidRPr="00471479">
        <w:rPr>
          <w:rFonts w:ascii="Arial" w:hAnsi="Arial" w:cs="Arial"/>
          <w:i/>
          <w:sz w:val="20"/>
          <w:szCs w:val="20"/>
        </w:rPr>
        <w:t>laintiff. For that reason, the application for summa</w:t>
      </w:r>
      <w:r w:rsidR="004128DC">
        <w:rPr>
          <w:rFonts w:ascii="Arial" w:hAnsi="Arial" w:cs="Arial"/>
          <w:i/>
          <w:sz w:val="20"/>
          <w:szCs w:val="20"/>
        </w:rPr>
        <w:t>ry judgment cannot succeed the D</w:t>
      </w:r>
      <w:r w:rsidRPr="00471479">
        <w:rPr>
          <w:rFonts w:ascii="Arial" w:hAnsi="Arial" w:cs="Arial"/>
          <w:i/>
          <w:sz w:val="20"/>
          <w:szCs w:val="20"/>
        </w:rPr>
        <w:t xml:space="preserve">efendant does have a bona fide defence to </w:t>
      </w:r>
      <w:r w:rsidR="004128DC">
        <w:rPr>
          <w:rFonts w:ascii="Arial" w:hAnsi="Arial" w:cs="Arial"/>
          <w:i/>
          <w:sz w:val="20"/>
          <w:szCs w:val="20"/>
        </w:rPr>
        <w:t>P</w:t>
      </w:r>
      <w:r w:rsidRPr="00471479">
        <w:rPr>
          <w:rFonts w:ascii="Arial" w:hAnsi="Arial" w:cs="Arial"/>
          <w:i/>
          <w:sz w:val="20"/>
          <w:szCs w:val="20"/>
        </w:rPr>
        <w:t>laintiff’s claim”</w:t>
      </w:r>
      <w:r w:rsidR="00AA1EF4">
        <w:rPr>
          <w:rFonts w:ascii="Arial" w:hAnsi="Arial" w:cs="Arial"/>
        </w:rPr>
        <w:t xml:space="preserve"> </w:t>
      </w:r>
      <w:r w:rsidR="0045043F">
        <w:rPr>
          <w:rStyle w:val="FootnoteReference"/>
          <w:rFonts w:ascii="Arial" w:hAnsi="Arial" w:cs="Arial"/>
        </w:rPr>
        <w:footnoteReference w:id="23"/>
      </w:r>
      <w:r w:rsidR="00AA1EF4">
        <w:rPr>
          <w:rFonts w:ascii="Arial" w:hAnsi="Arial" w:cs="Arial"/>
        </w:rPr>
        <w:t xml:space="preserve"> </w:t>
      </w:r>
      <w:r w:rsidR="00323B17">
        <w:rPr>
          <w:rFonts w:ascii="Arial" w:hAnsi="Arial" w:cs="Arial"/>
        </w:rPr>
        <w:t xml:space="preserve"> </w:t>
      </w:r>
    </w:p>
    <w:p w14:paraId="07DBA3F6" w14:textId="77777777" w:rsidR="00E26066" w:rsidRDefault="000A4E68" w:rsidP="00E26066">
      <w:pPr>
        <w:spacing w:after="240" w:line="360" w:lineRule="auto"/>
        <w:ind w:left="567" w:hanging="567"/>
        <w:jc w:val="both"/>
        <w:rPr>
          <w:rFonts w:ascii="Arial" w:hAnsi="Arial" w:cs="Arial"/>
        </w:rPr>
      </w:pPr>
      <w:r>
        <w:rPr>
          <w:rFonts w:ascii="Arial" w:hAnsi="Arial" w:cs="Arial"/>
        </w:rPr>
        <w:t xml:space="preserve"> </w:t>
      </w:r>
      <w:r w:rsidR="00E26066">
        <w:rPr>
          <w:rFonts w:ascii="Arial" w:hAnsi="Arial" w:cs="Arial"/>
        </w:rPr>
        <w:t>[1</w:t>
      </w:r>
      <w:r w:rsidR="00BB56F3">
        <w:rPr>
          <w:rFonts w:ascii="Arial" w:hAnsi="Arial" w:cs="Arial"/>
        </w:rPr>
        <w:t>7</w:t>
      </w:r>
      <w:r w:rsidR="00E26066">
        <w:rPr>
          <w:rFonts w:ascii="Arial" w:hAnsi="Arial" w:cs="Arial"/>
        </w:rPr>
        <w:t>]</w:t>
      </w:r>
      <w:r w:rsidR="00E26066">
        <w:rPr>
          <w:rFonts w:ascii="Arial" w:hAnsi="Arial" w:cs="Arial"/>
        </w:rPr>
        <w:tab/>
        <w:t xml:space="preserve">Mr </w:t>
      </w:r>
      <w:proofErr w:type="spellStart"/>
      <w:r w:rsidR="00E26066">
        <w:rPr>
          <w:rFonts w:ascii="Arial" w:hAnsi="Arial" w:cs="Arial"/>
        </w:rPr>
        <w:t>Mazibuko</w:t>
      </w:r>
      <w:proofErr w:type="spellEnd"/>
      <w:r w:rsidR="00E26066">
        <w:rPr>
          <w:rFonts w:ascii="Arial" w:hAnsi="Arial" w:cs="Arial"/>
        </w:rPr>
        <w:t xml:space="preserve"> submitted that the plaintiff’s right of action originated from the</w:t>
      </w:r>
      <w:r w:rsidR="008C3A15">
        <w:rPr>
          <w:rFonts w:ascii="Arial" w:hAnsi="Arial" w:cs="Arial"/>
        </w:rPr>
        <w:t xml:space="preserve"> following agreements: the</w:t>
      </w:r>
      <w:r w:rsidR="00E26066">
        <w:rPr>
          <w:rFonts w:ascii="Arial" w:hAnsi="Arial" w:cs="Arial"/>
        </w:rPr>
        <w:t xml:space="preserve"> loan agreement which was subject to the provision of a guarantee to the bank in terms of which the plaintiff agreed to pay the amount owing in terms of the loan agreement</w:t>
      </w:r>
      <w:r w:rsidR="008C3A15">
        <w:rPr>
          <w:rFonts w:ascii="Arial" w:hAnsi="Arial" w:cs="Arial"/>
        </w:rPr>
        <w:t>; the</w:t>
      </w:r>
      <w:r w:rsidR="00E26066">
        <w:rPr>
          <w:rFonts w:ascii="Arial" w:hAnsi="Arial" w:cs="Arial"/>
        </w:rPr>
        <w:t xml:space="preserve"> indemnity</w:t>
      </w:r>
      <w:r w:rsidR="008C3A15">
        <w:rPr>
          <w:rFonts w:ascii="Arial" w:hAnsi="Arial" w:cs="Arial"/>
        </w:rPr>
        <w:t xml:space="preserve"> agreement</w:t>
      </w:r>
      <w:r w:rsidR="00E26066">
        <w:rPr>
          <w:rFonts w:ascii="Arial" w:hAnsi="Arial" w:cs="Arial"/>
        </w:rPr>
        <w:t xml:space="preserve"> which indemnified the plaintiff against any claim </w:t>
      </w:r>
      <w:r w:rsidR="008C3A15">
        <w:rPr>
          <w:rFonts w:ascii="Arial" w:hAnsi="Arial" w:cs="Arial"/>
        </w:rPr>
        <w:t>by the bank under the guarantee;</w:t>
      </w:r>
      <w:r w:rsidR="00E26066">
        <w:rPr>
          <w:rFonts w:ascii="Arial" w:hAnsi="Arial" w:cs="Arial"/>
        </w:rPr>
        <w:t xml:space="preserve"> the covering continuing mortgage bond over the immovable property in favour of the plaintif</w:t>
      </w:r>
      <w:r w:rsidR="008C3A15">
        <w:rPr>
          <w:rFonts w:ascii="Arial" w:hAnsi="Arial" w:cs="Arial"/>
        </w:rPr>
        <w:t>f,</w:t>
      </w:r>
      <w:r w:rsidR="00E26066">
        <w:rPr>
          <w:rFonts w:ascii="Arial" w:hAnsi="Arial" w:cs="Arial"/>
        </w:rPr>
        <w:t xml:space="preserve"> and</w:t>
      </w:r>
      <w:r>
        <w:rPr>
          <w:rFonts w:ascii="Arial" w:hAnsi="Arial" w:cs="Arial"/>
        </w:rPr>
        <w:t xml:space="preserve"> the</w:t>
      </w:r>
      <w:r w:rsidR="00E26066">
        <w:rPr>
          <w:rFonts w:ascii="Arial" w:hAnsi="Arial" w:cs="Arial"/>
        </w:rPr>
        <w:t xml:space="preserve"> common terms agreement concluded between the bank and the plaintiff.  </w:t>
      </w:r>
    </w:p>
    <w:p w14:paraId="102DC6CC" w14:textId="77777777" w:rsidR="00B0638F" w:rsidRDefault="00D56B0A" w:rsidP="0047504B">
      <w:pPr>
        <w:spacing w:after="240" w:line="360" w:lineRule="auto"/>
        <w:ind w:left="567" w:hanging="567"/>
        <w:jc w:val="both"/>
        <w:rPr>
          <w:rFonts w:ascii="Arial" w:hAnsi="Arial" w:cs="Arial"/>
        </w:rPr>
      </w:pPr>
      <w:r>
        <w:rPr>
          <w:rFonts w:ascii="Arial" w:hAnsi="Arial" w:cs="Arial"/>
        </w:rPr>
        <w:t xml:space="preserve"> </w:t>
      </w:r>
      <w:r w:rsidR="00B0638F">
        <w:rPr>
          <w:rFonts w:ascii="Arial" w:hAnsi="Arial" w:cs="Arial"/>
        </w:rPr>
        <w:t>[1</w:t>
      </w:r>
      <w:r w:rsidR="00BB56F3">
        <w:rPr>
          <w:rFonts w:ascii="Arial" w:hAnsi="Arial" w:cs="Arial"/>
        </w:rPr>
        <w:t>8</w:t>
      </w:r>
      <w:r w:rsidR="00B0638F">
        <w:rPr>
          <w:rFonts w:ascii="Arial" w:hAnsi="Arial" w:cs="Arial"/>
        </w:rPr>
        <w:t>]</w:t>
      </w:r>
      <w:r w:rsidR="00B0638F">
        <w:rPr>
          <w:rFonts w:ascii="Arial" w:hAnsi="Arial" w:cs="Arial"/>
        </w:rPr>
        <w:tab/>
        <w:t>The common terms guarantee agreement stipulates amongst others that:</w:t>
      </w:r>
    </w:p>
    <w:p w14:paraId="47303CF3" w14:textId="77777777" w:rsidR="00B0638F" w:rsidRDefault="00B0638F" w:rsidP="00B0638F">
      <w:pPr>
        <w:spacing w:after="240" w:line="360" w:lineRule="auto"/>
        <w:ind w:left="993" w:hanging="426"/>
        <w:jc w:val="both"/>
        <w:rPr>
          <w:rFonts w:ascii="Arial" w:hAnsi="Arial" w:cs="Arial"/>
        </w:rPr>
      </w:pPr>
      <w:r>
        <w:rPr>
          <w:rFonts w:ascii="Arial" w:hAnsi="Arial" w:cs="Arial"/>
        </w:rPr>
        <w:t>1.</w:t>
      </w:r>
      <w:r>
        <w:rPr>
          <w:rFonts w:ascii="Arial" w:hAnsi="Arial" w:cs="Arial"/>
        </w:rPr>
        <w:tab/>
        <w:t>In consideration for each debtor granting the indemnity and the mortgage bond to the guarantor, and with effect from the date of registration of the relevant mortgage bond granted by each debtor to the guarantor over the property purchased by that debtor pursuant to the home loan agreement, the guarantor guarantees, subject to the terms and conditions of the common term agreement, the due and punctual payment of all sums now and subsequently due by each debtor to the creditor pursuant to each debtor</w:t>
      </w:r>
      <w:r w:rsidR="00D56B0A">
        <w:rPr>
          <w:rFonts w:ascii="Arial" w:hAnsi="Arial" w:cs="Arial"/>
        </w:rPr>
        <w:t>’</w:t>
      </w:r>
      <w:r>
        <w:rPr>
          <w:rFonts w:ascii="Arial" w:hAnsi="Arial" w:cs="Arial"/>
        </w:rPr>
        <w:t>s individual home loan agreement, which guarantees the creditor accepts.</w:t>
      </w:r>
      <w:r>
        <w:rPr>
          <w:rStyle w:val="FootnoteReference"/>
          <w:rFonts w:ascii="Arial" w:hAnsi="Arial" w:cs="Arial"/>
        </w:rPr>
        <w:footnoteReference w:id="24"/>
      </w:r>
    </w:p>
    <w:p w14:paraId="209F2300" w14:textId="77777777" w:rsidR="00DF2CA7" w:rsidRDefault="00B0638F" w:rsidP="00B0638F">
      <w:pPr>
        <w:spacing w:after="240" w:line="360" w:lineRule="auto"/>
        <w:ind w:left="993" w:hanging="426"/>
        <w:jc w:val="both"/>
        <w:rPr>
          <w:rFonts w:ascii="Arial" w:hAnsi="Arial" w:cs="Arial"/>
        </w:rPr>
      </w:pPr>
      <w:r>
        <w:rPr>
          <w:rFonts w:ascii="Arial" w:hAnsi="Arial" w:cs="Arial"/>
        </w:rPr>
        <w:t>2.</w:t>
      </w:r>
      <w:r>
        <w:rPr>
          <w:rFonts w:ascii="Arial" w:hAnsi="Arial" w:cs="Arial"/>
        </w:rPr>
        <w:tab/>
        <w:t>If the creditor (the bank) gives written notice to the guarantor that and an individual debtor has breached any of its obligations under its relevant home loan agreement</w:t>
      </w:r>
      <w:r w:rsidR="00D56B0A">
        <w:rPr>
          <w:rFonts w:ascii="Arial" w:hAnsi="Arial" w:cs="Arial"/>
        </w:rPr>
        <w:t>,</w:t>
      </w:r>
      <w:r>
        <w:rPr>
          <w:rFonts w:ascii="Arial" w:hAnsi="Arial" w:cs="Arial"/>
        </w:rPr>
        <w:t xml:space="preserve"> then the guarantor shall forthwith discharge all of its </w:t>
      </w:r>
      <w:r>
        <w:rPr>
          <w:rFonts w:ascii="Arial" w:hAnsi="Arial" w:cs="Arial"/>
        </w:rPr>
        <w:lastRenderedPageBreak/>
        <w:t xml:space="preserve">obligations to the creditor </w:t>
      </w:r>
      <w:r w:rsidR="00DF2CA7">
        <w:rPr>
          <w:rFonts w:ascii="Arial" w:hAnsi="Arial" w:cs="Arial"/>
        </w:rPr>
        <w:t>in terms of the relevant guarantee by complying with its obligations in clause 4.1.</w:t>
      </w:r>
      <w:r w:rsidR="00DF2CA7">
        <w:rPr>
          <w:rStyle w:val="FootnoteReference"/>
          <w:rFonts w:ascii="Arial" w:hAnsi="Arial" w:cs="Arial"/>
        </w:rPr>
        <w:footnoteReference w:id="25"/>
      </w:r>
      <w:r w:rsidR="00DF2CA7">
        <w:rPr>
          <w:rFonts w:ascii="Arial" w:hAnsi="Arial" w:cs="Arial"/>
        </w:rPr>
        <w:t xml:space="preserve"> The written notice to the guarantor shall contain written details of the breach, the identity of the defaulting debtor, and the full amount owing by the relevant debtor to the creditor under the relevant home loan agreement, provided that on receipt of such notice the guarantor shall be obliged to forthwith discharge all of its obligations to the creditor and assume that such notification is true and correct in every respect.</w:t>
      </w:r>
      <w:r w:rsidR="00DF2CA7">
        <w:rPr>
          <w:rStyle w:val="FootnoteReference"/>
          <w:rFonts w:ascii="Arial" w:hAnsi="Arial" w:cs="Arial"/>
        </w:rPr>
        <w:footnoteReference w:id="26"/>
      </w:r>
      <w:r>
        <w:rPr>
          <w:rFonts w:ascii="Arial" w:hAnsi="Arial" w:cs="Arial"/>
        </w:rPr>
        <w:t xml:space="preserve"> </w:t>
      </w:r>
    </w:p>
    <w:p w14:paraId="140E7FFC" w14:textId="77777777" w:rsidR="00DD1219" w:rsidRDefault="00DF2CA7" w:rsidP="00B0638F">
      <w:pPr>
        <w:spacing w:after="240" w:line="360" w:lineRule="auto"/>
        <w:ind w:left="993" w:hanging="426"/>
        <w:jc w:val="both"/>
        <w:rPr>
          <w:rFonts w:ascii="Arial" w:hAnsi="Arial" w:cs="Arial"/>
        </w:rPr>
      </w:pPr>
      <w:r>
        <w:rPr>
          <w:rFonts w:ascii="Arial" w:hAnsi="Arial" w:cs="Arial"/>
        </w:rPr>
        <w:t>3.</w:t>
      </w:r>
      <w:r>
        <w:rPr>
          <w:rFonts w:ascii="Arial" w:hAnsi="Arial" w:cs="Arial"/>
        </w:rPr>
        <w:tab/>
        <w:t xml:space="preserve">The creditor shall not be obliged, before exercising any of its rights under this common </w:t>
      </w:r>
      <w:proofErr w:type="gramStart"/>
      <w:r>
        <w:rPr>
          <w:rFonts w:ascii="Arial" w:hAnsi="Arial" w:cs="Arial"/>
        </w:rPr>
        <w:t>terms</w:t>
      </w:r>
      <w:proofErr w:type="gramEnd"/>
      <w:r>
        <w:rPr>
          <w:rFonts w:ascii="Arial" w:hAnsi="Arial" w:cs="Arial"/>
        </w:rPr>
        <w:t xml:space="preserve"> agreement and or any guarantee to make any demand or take any action or obtain judgment in any court against the debtor or make or file any claim in the winding up, the solution, sequestration, administration, business rescue or curatorship of the debtor.</w:t>
      </w:r>
      <w:r>
        <w:rPr>
          <w:rStyle w:val="FootnoteReference"/>
          <w:rFonts w:ascii="Arial" w:hAnsi="Arial" w:cs="Arial"/>
        </w:rPr>
        <w:footnoteReference w:id="27"/>
      </w:r>
      <w:r>
        <w:rPr>
          <w:rFonts w:ascii="Arial" w:hAnsi="Arial" w:cs="Arial"/>
        </w:rPr>
        <w:t xml:space="preserve"> </w:t>
      </w:r>
    </w:p>
    <w:p w14:paraId="0B5096E1" w14:textId="77777777" w:rsidR="00294679" w:rsidRDefault="00D56B0A" w:rsidP="00DD1219">
      <w:pPr>
        <w:spacing w:after="240" w:line="360" w:lineRule="auto"/>
        <w:ind w:left="567" w:hanging="567"/>
        <w:jc w:val="both"/>
        <w:rPr>
          <w:rFonts w:ascii="Arial" w:hAnsi="Arial" w:cs="Arial"/>
        </w:rPr>
      </w:pPr>
      <w:r>
        <w:rPr>
          <w:rFonts w:ascii="Arial" w:hAnsi="Arial" w:cs="Arial"/>
        </w:rPr>
        <w:t xml:space="preserve"> </w:t>
      </w:r>
      <w:r w:rsidR="00294679">
        <w:rPr>
          <w:rFonts w:ascii="Arial" w:hAnsi="Arial" w:cs="Arial"/>
        </w:rPr>
        <w:t>[19</w:t>
      </w:r>
      <w:r w:rsidR="00FD6A26">
        <w:rPr>
          <w:rFonts w:ascii="Arial" w:hAnsi="Arial" w:cs="Arial"/>
        </w:rPr>
        <w:t>]</w:t>
      </w:r>
      <w:r w:rsidR="00FD6A26">
        <w:rPr>
          <w:rFonts w:ascii="Arial" w:hAnsi="Arial" w:cs="Arial"/>
        </w:rPr>
        <w:tab/>
      </w:r>
      <w:r w:rsidR="00294679">
        <w:rPr>
          <w:rFonts w:ascii="Arial" w:hAnsi="Arial" w:cs="Arial"/>
        </w:rPr>
        <w:t>Was the plaintiff’s right of action perfected by the notice delivered on 15 June 2018? The answer, in my view, is in the negative.</w:t>
      </w:r>
      <w:r w:rsidR="00403A75">
        <w:rPr>
          <w:rFonts w:ascii="Arial" w:hAnsi="Arial" w:cs="Arial"/>
        </w:rPr>
        <w:t xml:space="preserve"> As of 19 June 2019, the defendant was not in arrears with his payment as confirmed by Ms Elsie Wall. The bank, though not obliged in terms of the common terms agreement, initiated recovery steps on 8 September 2020 against the defendant in accordance with the provisions of the National Credit Act.</w:t>
      </w:r>
      <w:r w:rsidR="00E43EA7">
        <w:rPr>
          <w:rFonts w:ascii="Arial" w:hAnsi="Arial" w:cs="Arial"/>
        </w:rPr>
        <w:t xml:space="preserve"> This step was necessitated by the defendant’s breach of the loan agreement. Were there no breach</w:t>
      </w:r>
      <w:r w:rsidR="00F15B18">
        <w:rPr>
          <w:rFonts w:ascii="Arial" w:hAnsi="Arial" w:cs="Arial"/>
        </w:rPr>
        <w:t xml:space="preserve"> of the home loan agreement</w:t>
      </w:r>
      <w:r w:rsidR="00E43EA7">
        <w:rPr>
          <w:rFonts w:ascii="Arial" w:hAnsi="Arial" w:cs="Arial"/>
        </w:rPr>
        <w:t>, neither the defendant nor the plaintiff would have been liable to the bank under the contracts between the parties.</w:t>
      </w:r>
    </w:p>
    <w:p w14:paraId="2DB8EF49" w14:textId="77777777" w:rsidR="00A705A3" w:rsidRDefault="00FD6A26" w:rsidP="00DD1219">
      <w:pPr>
        <w:spacing w:after="240" w:line="360" w:lineRule="auto"/>
        <w:ind w:left="567" w:hanging="567"/>
        <w:jc w:val="both"/>
        <w:rPr>
          <w:rFonts w:ascii="Arial" w:hAnsi="Arial" w:cs="Arial"/>
        </w:rPr>
      </w:pPr>
      <w:r>
        <w:rPr>
          <w:rFonts w:ascii="Arial" w:hAnsi="Arial" w:cs="Arial"/>
        </w:rPr>
        <w:t>[20]</w:t>
      </w:r>
      <w:r>
        <w:rPr>
          <w:rFonts w:ascii="Arial" w:hAnsi="Arial" w:cs="Arial"/>
        </w:rPr>
        <w:tab/>
      </w:r>
      <w:r w:rsidR="00A705A3">
        <w:rPr>
          <w:rFonts w:ascii="Arial" w:hAnsi="Arial" w:cs="Arial"/>
        </w:rPr>
        <w:t>The bank, on 8 September 2020, may have chosen not to send a demand notice to the defendant. Instead, it may have relied on the guarantee given by the plaintiff and notified the plaintiff in writing to make any payments to it. The plaintiff, if so required, would have proceeded</w:t>
      </w:r>
      <w:r w:rsidR="006E2356">
        <w:rPr>
          <w:rFonts w:ascii="Arial" w:hAnsi="Arial" w:cs="Arial"/>
        </w:rPr>
        <w:t xml:space="preserve"> against the defendant under the indemnity.</w:t>
      </w:r>
      <w:r w:rsidR="006E2356">
        <w:rPr>
          <w:rStyle w:val="FootnoteReference"/>
          <w:rFonts w:ascii="Arial" w:hAnsi="Arial" w:cs="Arial"/>
        </w:rPr>
        <w:footnoteReference w:id="28"/>
      </w:r>
      <w:r w:rsidR="00096087">
        <w:rPr>
          <w:rFonts w:ascii="Arial" w:hAnsi="Arial" w:cs="Arial"/>
        </w:rPr>
        <w:t xml:space="preserve"> </w:t>
      </w:r>
      <w:r w:rsidR="005C5FFE">
        <w:rPr>
          <w:rFonts w:ascii="Arial" w:hAnsi="Arial" w:cs="Arial"/>
        </w:rPr>
        <w:t>T</w:t>
      </w:r>
      <w:r w:rsidR="00096087">
        <w:rPr>
          <w:rFonts w:ascii="Arial" w:hAnsi="Arial" w:cs="Arial"/>
        </w:rPr>
        <w:t>he plaintiff</w:t>
      </w:r>
      <w:r w:rsidR="005C5FFE">
        <w:rPr>
          <w:rFonts w:ascii="Arial" w:hAnsi="Arial" w:cs="Arial"/>
        </w:rPr>
        <w:t xml:space="preserve">’s action against the defendant could only be triggered by a written notification by the bank to the plaintiff. No such written notification was made by the bank to </w:t>
      </w:r>
      <w:r w:rsidR="00896924">
        <w:rPr>
          <w:rFonts w:ascii="Arial" w:hAnsi="Arial" w:cs="Arial"/>
        </w:rPr>
        <w:t xml:space="preserve">the plaintiff to </w:t>
      </w:r>
      <w:r w:rsidR="005C5FFE">
        <w:rPr>
          <w:rFonts w:ascii="Arial" w:hAnsi="Arial" w:cs="Arial"/>
        </w:rPr>
        <w:t xml:space="preserve">show that the defendant was in arrears </w:t>
      </w:r>
      <w:r w:rsidR="005C5FFE">
        <w:rPr>
          <w:rFonts w:ascii="Arial" w:hAnsi="Arial" w:cs="Arial"/>
        </w:rPr>
        <w:lastRenderedPageBreak/>
        <w:t>in the amount of R</w:t>
      </w:r>
      <w:r w:rsidR="00896924">
        <w:rPr>
          <w:rFonts w:ascii="Arial" w:hAnsi="Arial" w:cs="Arial"/>
        </w:rPr>
        <w:t xml:space="preserve"> </w:t>
      </w:r>
      <w:r w:rsidR="00EF1BFD">
        <w:rPr>
          <w:rFonts w:ascii="Arial" w:hAnsi="Arial" w:cs="Arial"/>
        </w:rPr>
        <w:t>157 329.14</w:t>
      </w:r>
      <w:r w:rsidR="00896924">
        <w:rPr>
          <w:rFonts w:ascii="Arial" w:hAnsi="Arial" w:cs="Arial"/>
        </w:rPr>
        <w:t xml:space="preserve"> as of </w:t>
      </w:r>
      <w:r w:rsidR="00EF1BFD">
        <w:rPr>
          <w:rFonts w:ascii="Arial" w:hAnsi="Arial" w:cs="Arial"/>
        </w:rPr>
        <w:t>3 October</w:t>
      </w:r>
      <w:r w:rsidR="00896924">
        <w:rPr>
          <w:rFonts w:ascii="Arial" w:hAnsi="Arial" w:cs="Arial"/>
        </w:rPr>
        <w:t xml:space="preserve"> 2020</w:t>
      </w:r>
      <w:r w:rsidR="00896924">
        <w:rPr>
          <w:rStyle w:val="FootnoteReference"/>
          <w:rFonts w:ascii="Arial" w:hAnsi="Arial" w:cs="Arial"/>
        </w:rPr>
        <w:footnoteReference w:id="29"/>
      </w:r>
      <w:r w:rsidR="00896924">
        <w:rPr>
          <w:rFonts w:ascii="Arial" w:hAnsi="Arial" w:cs="Arial"/>
        </w:rPr>
        <w:t xml:space="preserve"> or any other period after 19 June 2019.</w:t>
      </w:r>
      <w:r w:rsidR="005C5FFE">
        <w:rPr>
          <w:rFonts w:ascii="Arial" w:hAnsi="Arial" w:cs="Arial"/>
        </w:rPr>
        <w:t xml:space="preserve"> </w:t>
      </w:r>
      <w:r w:rsidR="00096087">
        <w:rPr>
          <w:rFonts w:ascii="Arial" w:hAnsi="Arial" w:cs="Arial"/>
        </w:rPr>
        <w:t xml:space="preserve"> </w:t>
      </w:r>
      <w:r w:rsidR="00A705A3">
        <w:rPr>
          <w:rFonts w:ascii="Arial" w:hAnsi="Arial" w:cs="Arial"/>
        </w:rPr>
        <w:t xml:space="preserve"> </w:t>
      </w:r>
    </w:p>
    <w:p w14:paraId="2AC08A2E" w14:textId="77777777" w:rsidR="00F15B18" w:rsidRDefault="00A705A3" w:rsidP="00DD1219">
      <w:pPr>
        <w:spacing w:after="240" w:line="360" w:lineRule="auto"/>
        <w:ind w:left="567" w:hanging="567"/>
        <w:jc w:val="both"/>
        <w:rPr>
          <w:rFonts w:ascii="Arial" w:hAnsi="Arial" w:cs="Arial"/>
        </w:rPr>
      </w:pPr>
      <w:r>
        <w:rPr>
          <w:rFonts w:ascii="Arial" w:hAnsi="Arial" w:cs="Arial"/>
        </w:rPr>
        <w:t>[21</w:t>
      </w:r>
      <w:r w:rsidR="00FD6A26">
        <w:rPr>
          <w:rFonts w:ascii="Arial" w:hAnsi="Arial" w:cs="Arial"/>
        </w:rPr>
        <w:t>]</w:t>
      </w:r>
      <w:r w:rsidR="00FD6A26">
        <w:rPr>
          <w:rFonts w:ascii="Arial" w:hAnsi="Arial" w:cs="Arial"/>
        </w:rPr>
        <w:tab/>
      </w:r>
      <w:r w:rsidR="00F15B18">
        <w:rPr>
          <w:rFonts w:ascii="Arial" w:hAnsi="Arial" w:cs="Arial"/>
        </w:rPr>
        <w:t>The common terms agreement provides that each guarantee is a continuing security and shall remain in force notwithstanding any fluctuation in or extinction for any period whatsoever of any amounts owing to the bank by the defendant or any intermediate payment of any such debts.</w:t>
      </w:r>
      <w:r w:rsidR="00CD4CDB">
        <w:rPr>
          <w:rFonts w:ascii="Arial" w:hAnsi="Arial" w:cs="Arial"/>
        </w:rPr>
        <w:t xml:space="preserve"> This agreement and each guarantee shall continue to apply to the remaining balance of the amounts owing to the bank by the defendant until such amounts have been finally, unconditionally- and irrevocably extinguished in full.</w:t>
      </w:r>
      <w:r w:rsidR="003A143B">
        <w:rPr>
          <w:rStyle w:val="FootnoteReference"/>
          <w:rFonts w:ascii="Arial" w:hAnsi="Arial" w:cs="Arial"/>
        </w:rPr>
        <w:footnoteReference w:id="30"/>
      </w:r>
    </w:p>
    <w:p w14:paraId="3781C534" w14:textId="77777777" w:rsidR="00734D90" w:rsidRDefault="00FD6A26" w:rsidP="00DD1219">
      <w:pPr>
        <w:spacing w:after="240" w:line="360" w:lineRule="auto"/>
        <w:ind w:left="567" w:hanging="567"/>
        <w:jc w:val="both"/>
        <w:rPr>
          <w:rFonts w:ascii="Arial" w:hAnsi="Arial" w:cs="Arial"/>
        </w:rPr>
      </w:pPr>
      <w:r>
        <w:rPr>
          <w:rFonts w:ascii="Arial" w:hAnsi="Arial" w:cs="Arial"/>
        </w:rPr>
        <w:t>[22]</w:t>
      </w:r>
      <w:r>
        <w:rPr>
          <w:rFonts w:ascii="Arial" w:hAnsi="Arial" w:cs="Arial"/>
        </w:rPr>
        <w:tab/>
      </w:r>
      <w:r w:rsidR="00B7572B">
        <w:rPr>
          <w:rFonts w:ascii="Arial" w:hAnsi="Arial" w:cs="Arial"/>
        </w:rPr>
        <w:t xml:space="preserve">Having considered the above, I am in agreement with the decision </w:t>
      </w:r>
      <w:r w:rsidR="00B7572B" w:rsidRPr="00B7572B">
        <w:rPr>
          <w:rFonts w:ascii="Arial" w:hAnsi="Arial" w:cs="Arial"/>
          <w:i/>
        </w:rPr>
        <w:t>in SB Guarantee</w:t>
      </w:r>
      <w:r w:rsidR="00B7572B">
        <w:rPr>
          <w:rStyle w:val="FootnoteReference"/>
          <w:rFonts w:ascii="Arial" w:hAnsi="Arial" w:cs="Arial"/>
        </w:rPr>
        <w:footnoteReference w:id="31"/>
      </w:r>
      <w:r w:rsidR="00B7572B">
        <w:rPr>
          <w:rFonts w:ascii="Arial" w:hAnsi="Arial" w:cs="Arial"/>
        </w:rPr>
        <w:t xml:space="preserve"> and conclude that in the absence of a written notification to the plaintiff to make payments, the defendant cannot be held liable towards the plaintiff. The summary judgment application</w:t>
      </w:r>
      <w:r w:rsidR="00E061CC">
        <w:rPr>
          <w:rFonts w:ascii="Arial" w:hAnsi="Arial" w:cs="Arial"/>
        </w:rPr>
        <w:t xml:space="preserve"> cannot succeed as I find that the defendant has a bona fide defence to the plaintiff’s claim.</w:t>
      </w:r>
    </w:p>
    <w:p w14:paraId="0877221A" w14:textId="77777777" w:rsidR="00734D90" w:rsidRDefault="00FD6A26" w:rsidP="00DD1219">
      <w:pPr>
        <w:spacing w:after="240" w:line="360" w:lineRule="auto"/>
        <w:ind w:left="567" w:hanging="567"/>
        <w:jc w:val="both"/>
        <w:rPr>
          <w:rFonts w:ascii="Arial" w:hAnsi="Arial" w:cs="Arial"/>
        </w:rPr>
      </w:pPr>
      <w:r>
        <w:rPr>
          <w:rFonts w:ascii="Arial" w:hAnsi="Arial" w:cs="Arial"/>
        </w:rPr>
        <w:t>[23]</w:t>
      </w:r>
      <w:r>
        <w:rPr>
          <w:rFonts w:ascii="Arial" w:hAnsi="Arial" w:cs="Arial"/>
        </w:rPr>
        <w:tab/>
      </w:r>
      <w:r w:rsidR="00734D90">
        <w:rPr>
          <w:rFonts w:ascii="Arial" w:hAnsi="Arial" w:cs="Arial"/>
        </w:rPr>
        <w:t>I therefore make the following order:</w:t>
      </w:r>
    </w:p>
    <w:p w14:paraId="5D63FA7D" w14:textId="77777777" w:rsidR="00FD6A26" w:rsidRPr="00F90BD0" w:rsidRDefault="00F90BD0" w:rsidP="00FD6A26">
      <w:pPr>
        <w:spacing w:before="240" w:after="240" w:line="360" w:lineRule="auto"/>
        <w:jc w:val="both"/>
        <w:rPr>
          <w:rFonts w:ascii="Arial" w:hAnsi="Arial" w:cs="Arial"/>
          <w:b/>
          <w:u w:val="single"/>
        </w:rPr>
      </w:pPr>
      <w:r>
        <w:rPr>
          <w:rFonts w:ascii="Arial" w:hAnsi="Arial" w:cs="Arial"/>
          <w:b/>
          <w:u w:val="single"/>
        </w:rPr>
        <w:t>Order:</w:t>
      </w:r>
    </w:p>
    <w:p w14:paraId="5F8D6C58" w14:textId="77777777" w:rsidR="00FD6A26" w:rsidRDefault="00544B23" w:rsidP="00FD6A26">
      <w:pPr>
        <w:spacing w:after="240" w:line="360" w:lineRule="auto"/>
        <w:ind w:left="1134" w:hanging="567"/>
        <w:jc w:val="both"/>
        <w:rPr>
          <w:rFonts w:ascii="Arial" w:hAnsi="Arial" w:cs="Arial"/>
        </w:rPr>
      </w:pPr>
      <w:r>
        <w:rPr>
          <w:rFonts w:ascii="Arial" w:hAnsi="Arial" w:cs="Arial"/>
        </w:rPr>
        <w:t>1. The application for summary judgment is dismissed.</w:t>
      </w:r>
    </w:p>
    <w:p w14:paraId="4F824B21" w14:textId="77777777" w:rsidR="00FD6A26" w:rsidRDefault="00544B23" w:rsidP="00FD6A26">
      <w:pPr>
        <w:spacing w:after="240" w:line="360" w:lineRule="auto"/>
        <w:ind w:left="1134" w:hanging="567"/>
        <w:jc w:val="both"/>
        <w:rPr>
          <w:rFonts w:ascii="Arial" w:hAnsi="Arial" w:cs="Arial"/>
        </w:rPr>
      </w:pPr>
      <w:r>
        <w:rPr>
          <w:rFonts w:ascii="Arial" w:hAnsi="Arial" w:cs="Arial"/>
        </w:rPr>
        <w:t>2. Leave is granted to the defendant to defend the action.</w:t>
      </w:r>
    </w:p>
    <w:p w14:paraId="5488FEB0" w14:textId="77777777" w:rsidR="00544B23" w:rsidRDefault="00544B23" w:rsidP="00FD6A26">
      <w:pPr>
        <w:spacing w:after="240" w:line="360" w:lineRule="auto"/>
        <w:ind w:left="1134" w:hanging="567"/>
        <w:jc w:val="both"/>
        <w:rPr>
          <w:rFonts w:ascii="Arial" w:hAnsi="Arial" w:cs="Arial"/>
        </w:rPr>
      </w:pPr>
      <w:r>
        <w:rPr>
          <w:rFonts w:ascii="Arial" w:hAnsi="Arial" w:cs="Arial"/>
        </w:rPr>
        <w:t>3.</w:t>
      </w:r>
      <w:r w:rsidR="007154F4">
        <w:rPr>
          <w:rFonts w:ascii="Arial" w:hAnsi="Arial" w:cs="Arial"/>
        </w:rPr>
        <w:t xml:space="preserve"> Costs will be costs in the main action.</w:t>
      </w:r>
    </w:p>
    <w:p w14:paraId="269F8DA4" w14:textId="77777777" w:rsidR="00491045" w:rsidRDefault="00491045" w:rsidP="008632D0">
      <w:pPr>
        <w:jc w:val="both"/>
        <w:rPr>
          <w:rFonts w:ascii="Arial" w:hAnsi="Arial" w:cs="Arial"/>
          <w:color w:val="000000"/>
          <w:lang w:val="en-ZA" w:eastAsia="en-ZA"/>
        </w:rPr>
      </w:pPr>
    </w:p>
    <w:p w14:paraId="52098F0A" w14:textId="77777777" w:rsidR="00251A7C" w:rsidRDefault="00251A7C" w:rsidP="0035047C">
      <w:pPr>
        <w:pStyle w:val="ListParagraph"/>
        <w:ind w:left="5761"/>
        <w:jc w:val="right"/>
        <w:rPr>
          <w:rFonts w:ascii="Arial" w:hAnsi="Arial" w:cs="Arial"/>
          <w:sz w:val="28"/>
          <w:szCs w:val="28"/>
        </w:rPr>
      </w:pPr>
    </w:p>
    <w:p w14:paraId="53C150E4" w14:textId="77777777" w:rsidR="005835FE" w:rsidRDefault="002D3664" w:rsidP="0035047C">
      <w:pPr>
        <w:pStyle w:val="ListParagraph"/>
        <w:ind w:left="5761"/>
        <w:jc w:val="right"/>
        <w:rPr>
          <w:rFonts w:ascii="Arial" w:hAnsi="Arial" w:cs="Arial"/>
          <w:sz w:val="28"/>
          <w:szCs w:val="28"/>
        </w:rPr>
      </w:pPr>
      <w:r>
        <w:rPr>
          <w:rFonts w:ascii="Arial" w:hAnsi="Arial" w:cs="Arial"/>
          <w:sz w:val="28"/>
          <w:szCs w:val="28"/>
        </w:rPr>
        <w:t>___</w:t>
      </w:r>
      <w:r w:rsidR="005835FE">
        <w:rPr>
          <w:rFonts w:ascii="Arial" w:hAnsi="Arial" w:cs="Arial"/>
          <w:sz w:val="28"/>
          <w:szCs w:val="28"/>
        </w:rPr>
        <w:t>______________</w:t>
      </w:r>
    </w:p>
    <w:p w14:paraId="3A492800" w14:textId="77777777" w:rsidR="005835FE" w:rsidRPr="002B369A" w:rsidRDefault="00FD6A26" w:rsidP="0035047C">
      <w:pPr>
        <w:jc w:val="right"/>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B369A" w:rsidRPr="002B369A">
        <w:rPr>
          <w:rFonts w:ascii="Arial" w:hAnsi="Arial" w:cs="Arial"/>
          <w:b/>
          <w:bCs/>
        </w:rPr>
        <w:t>MHLAMBI</w:t>
      </w:r>
      <w:r w:rsidR="0035047C">
        <w:rPr>
          <w:rFonts w:ascii="Arial" w:hAnsi="Arial" w:cs="Arial"/>
          <w:b/>
          <w:bCs/>
        </w:rPr>
        <w:t>,</w:t>
      </w:r>
      <w:r w:rsidR="002B369A" w:rsidRPr="002B369A">
        <w:rPr>
          <w:rFonts w:ascii="Arial" w:hAnsi="Arial" w:cs="Arial"/>
          <w:b/>
          <w:bCs/>
        </w:rPr>
        <w:t xml:space="preserve"> J</w:t>
      </w:r>
    </w:p>
    <w:p w14:paraId="2390546E" w14:textId="77777777" w:rsidR="005835FE" w:rsidRPr="00C20DEE" w:rsidRDefault="005835FE" w:rsidP="0035047C">
      <w:pPr>
        <w:jc w:val="right"/>
        <w:rPr>
          <w:rFonts w:ascii="Arial" w:hAnsi="Arial" w:cs="Arial"/>
        </w:rPr>
      </w:pPr>
    </w:p>
    <w:p w14:paraId="7303BDED" w14:textId="77777777" w:rsidR="005835FE" w:rsidRPr="00C20DEE" w:rsidRDefault="005835FE" w:rsidP="005B271F">
      <w:pPr>
        <w:spacing w:line="360" w:lineRule="auto"/>
        <w:jc w:val="both"/>
        <w:rPr>
          <w:rFonts w:ascii="Arial" w:hAnsi="Arial" w:cs="Arial"/>
        </w:rPr>
      </w:pPr>
    </w:p>
    <w:p w14:paraId="719A0F40" w14:textId="77777777" w:rsidR="00E5549C" w:rsidRPr="00C20DEE" w:rsidRDefault="005960F0" w:rsidP="00E5549C">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00D82B1F">
        <w:rPr>
          <w:rFonts w:ascii="Arial" w:hAnsi="Arial" w:cs="Arial"/>
          <w:color w:val="000000" w:themeColor="text1"/>
        </w:rPr>
        <w:t>plaintiff</w:t>
      </w:r>
      <w:r w:rsidRPr="00C20DEE">
        <w:rPr>
          <w:rFonts w:ascii="Arial" w:hAnsi="Arial" w:cs="Arial"/>
          <w:color w:val="000000" w:themeColor="text1"/>
        </w:rPr>
        <w:t>:</w:t>
      </w:r>
      <w:r w:rsidR="00F24BE3" w:rsidRPr="00C20DEE">
        <w:rPr>
          <w:rFonts w:ascii="Arial" w:hAnsi="Arial" w:cs="Arial"/>
          <w:color w:val="000000" w:themeColor="text1"/>
        </w:rPr>
        <w:t xml:space="preserve">  </w:t>
      </w:r>
      <w:r w:rsidR="00CA6CD3">
        <w:rPr>
          <w:rFonts w:ascii="Arial" w:hAnsi="Arial" w:cs="Arial"/>
          <w:color w:val="000000" w:themeColor="text1"/>
        </w:rPr>
        <w:tab/>
      </w:r>
      <w:r w:rsidR="00804DDE">
        <w:rPr>
          <w:rFonts w:ascii="Arial" w:hAnsi="Arial" w:cs="Arial"/>
          <w:color w:val="000000" w:themeColor="text1"/>
        </w:rPr>
        <w:t>Adv.</w:t>
      </w:r>
      <w:r w:rsidR="00A902EC">
        <w:rPr>
          <w:rFonts w:ascii="Arial" w:hAnsi="Arial" w:cs="Arial"/>
          <w:color w:val="000000" w:themeColor="text1"/>
        </w:rPr>
        <w:t xml:space="preserve"> MS </w:t>
      </w:r>
      <w:proofErr w:type="spellStart"/>
      <w:r w:rsidR="00A902EC">
        <w:rPr>
          <w:rFonts w:ascii="Arial" w:hAnsi="Arial" w:cs="Arial"/>
          <w:color w:val="000000" w:themeColor="text1"/>
        </w:rPr>
        <w:t>Mazibuko</w:t>
      </w:r>
      <w:proofErr w:type="spellEnd"/>
      <w:r w:rsidR="00804DDE">
        <w:rPr>
          <w:rFonts w:ascii="Arial" w:hAnsi="Arial" w:cs="Arial"/>
          <w:color w:val="000000" w:themeColor="text1"/>
        </w:rPr>
        <w:t xml:space="preserve"> </w:t>
      </w:r>
    </w:p>
    <w:p w14:paraId="3E4808A8" w14:textId="77777777" w:rsidR="00EC2D0A" w:rsidRPr="00C20DEE" w:rsidRDefault="005960F0" w:rsidP="00A902EC">
      <w:pPr>
        <w:tabs>
          <w:tab w:val="left" w:pos="2977"/>
        </w:tabs>
        <w:ind w:left="851" w:hanging="851"/>
        <w:rPr>
          <w:rFonts w:ascii="Arial" w:hAnsi="Arial" w:cs="Arial"/>
          <w:color w:val="000000" w:themeColor="text1"/>
        </w:rPr>
      </w:pPr>
      <w:r w:rsidRPr="00C20DEE">
        <w:rPr>
          <w:rFonts w:ascii="Arial" w:hAnsi="Arial" w:cs="Arial"/>
          <w:color w:val="000000" w:themeColor="text1"/>
        </w:rPr>
        <w:t>Instructed by:</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5B56EE">
        <w:rPr>
          <w:rFonts w:ascii="Arial" w:hAnsi="Arial" w:cs="Arial"/>
          <w:color w:val="000000" w:themeColor="text1"/>
        </w:rPr>
        <w:t xml:space="preserve"> </w:t>
      </w:r>
      <w:r w:rsidR="009E06E4">
        <w:rPr>
          <w:rFonts w:ascii="Arial" w:hAnsi="Arial" w:cs="Arial"/>
          <w:color w:val="000000" w:themeColor="text1"/>
        </w:rPr>
        <w:t xml:space="preserve">   </w:t>
      </w:r>
      <w:r w:rsidR="00A902EC">
        <w:rPr>
          <w:rFonts w:ascii="Arial" w:hAnsi="Arial" w:cs="Arial"/>
          <w:color w:val="000000" w:themeColor="text1"/>
        </w:rPr>
        <w:t xml:space="preserve">Honey Attorneys </w:t>
      </w:r>
    </w:p>
    <w:p w14:paraId="6C80D8FD" w14:textId="77777777" w:rsidR="00E5481E" w:rsidRDefault="00A902EC" w:rsidP="00A902EC">
      <w:pPr>
        <w:tabs>
          <w:tab w:val="left" w:pos="2880"/>
        </w:tabs>
        <w:ind w:left="851" w:hanging="851"/>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 xml:space="preserve">Honey Chambers </w:t>
      </w:r>
    </w:p>
    <w:p w14:paraId="26115873" w14:textId="77777777" w:rsidR="00A902EC" w:rsidRDefault="00A902EC" w:rsidP="00A902EC">
      <w:pPr>
        <w:tabs>
          <w:tab w:val="left" w:pos="2880"/>
        </w:tabs>
        <w:ind w:left="851" w:hanging="851"/>
        <w:rPr>
          <w:rFonts w:ascii="Arial" w:hAnsi="Arial" w:cs="Arial"/>
          <w:color w:val="000000" w:themeColor="text1"/>
        </w:rPr>
      </w:pPr>
      <w:r>
        <w:rPr>
          <w:rFonts w:ascii="Arial" w:hAnsi="Arial" w:cs="Arial"/>
          <w:color w:val="000000" w:themeColor="text1"/>
        </w:rPr>
        <w:lastRenderedPageBreak/>
        <w:tab/>
      </w:r>
      <w:r>
        <w:rPr>
          <w:rFonts w:ascii="Arial" w:hAnsi="Arial" w:cs="Arial"/>
          <w:color w:val="000000" w:themeColor="text1"/>
        </w:rPr>
        <w:tab/>
        <w:t>Northridge Mall</w:t>
      </w:r>
    </w:p>
    <w:p w14:paraId="027AF50B" w14:textId="77777777" w:rsidR="00A902EC" w:rsidRPr="00C20DEE" w:rsidRDefault="00A902EC" w:rsidP="00A902EC">
      <w:pPr>
        <w:tabs>
          <w:tab w:val="left" w:pos="2880"/>
        </w:tabs>
        <w:ind w:left="851" w:hanging="851"/>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Kenneth Kaunda Road</w:t>
      </w:r>
    </w:p>
    <w:p w14:paraId="4217627D" w14:textId="77777777" w:rsidR="00E5481E" w:rsidRPr="00C20DEE" w:rsidRDefault="00A902EC" w:rsidP="00A902EC">
      <w:pPr>
        <w:ind w:left="851" w:hanging="851"/>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Bloemfontein</w:t>
      </w:r>
    </w:p>
    <w:p w14:paraId="162A37CC" w14:textId="77777777" w:rsidR="00E5481E" w:rsidRPr="00C20DEE" w:rsidRDefault="00E5481E" w:rsidP="007C2356">
      <w:pPr>
        <w:ind w:left="851" w:hanging="851"/>
        <w:rPr>
          <w:rFonts w:ascii="Arial" w:hAnsi="Arial" w:cs="Arial"/>
          <w:color w:val="000000" w:themeColor="text1"/>
        </w:rPr>
      </w:pPr>
    </w:p>
    <w:p w14:paraId="6CAB442E" w14:textId="77777777" w:rsidR="005960F0" w:rsidRPr="00C20DEE" w:rsidRDefault="005960F0" w:rsidP="002F71C5">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Pr="00C20DEE">
        <w:rPr>
          <w:rFonts w:ascii="Arial" w:hAnsi="Arial" w:cs="Arial"/>
          <w:color w:val="000000" w:themeColor="text1"/>
        </w:rPr>
        <w:t>respondent:</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A902EC">
        <w:rPr>
          <w:rFonts w:ascii="Arial" w:hAnsi="Arial" w:cs="Arial"/>
          <w:color w:val="000000" w:themeColor="text1"/>
        </w:rPr>
        <w:t>Mr Peter Mahlangu</w:t>
      </w:r>
      <w:r w:rsidR="00CA6CD3">
        <w:rPr>
          <w:rFonts w:ascii="Arial" w:hAnsi="Arial" w:cs="Arial"/>
          <w:color w:val="000000" w:themeColor="text1"/>
        </w:rPr>
        <w:t xml:space="preserve"> </w:t>
      </w:r>
      <w:r w:rsidR="00F24BE3" w:rsidRPr="00C20DEE">
        <w:rPr>
          <w:rFonts w:ascii="Arial" w:hAnsi="Arial" w:cs="Arial"/>
          <w:color w:val="000000" w:themeColor="text1"/>
        </w:rPr>
        <w:t xml:space="preserve"> </w:t>
      </w:r>
      <w:r w:rsidR="005B56EE">
        <w:rPr>
          <w:rFonts w:ascii="Arial" w:hAnsi="Arial" w:cs="Arial"/>
          <w:color w:val="000000" w:themeColor="text1"/>
        </w:rPr>
        <w:t xml:space="preserve"> </w:t>
      </w:r>
    </w:p>
    <w:p w14:paraId="016385F6" w14:textId="77777777" w:rsidR="00EC2D0A" w:rsidRDefault="005960F0" w:rsidP="00A902EC">
      <w:pPr>
        <w:rPr>
          <w:rFonts w:ascii="Arial" w:hAnsi="Arial" w:cs="Arial"/>
          <w:color w:val="000000" w:themeColor="text1"/>
        </w:rPr>
      </w:pPr>
      <w:r w:rsidRPr="00C20DEE">
        <w:rPr>
          <w:rFonts w:ascii="Arial" w:hAnsi="Arial" w:cs="Arial"/>
          <w:color w:val="000000" w:themeColor="text1"/>
        </w:rPr>
        <w:t>Instructed by:</w:t>
      </w:r>
      <w:r w:rsidRPr="00C20DEE">
        <w:rPr>
          <w:rFonts w:ascii="Arial" w:hAnsi="Arial" w:cs="Arial"/>
          <w:color w:val="000000" w:themeColor="text1"/>
        </w:rPr>
        <w:tab/>
      </w:r>
      <w:r w:rsidRPr="00C20DEE">
        <w:rPr>
          <w:rFonts w:ascii="Arial" w:hAnsi="Arial" w:cs="Arial"/>
          <w:color w:val="000000" w:themeColor="text1"/>
        </w:rPr>
        <w:tab/>
      </w:r>
      <w:r w:rsidR="006751B4">
        <w:rPr>
          <w:rFonts w:ascii="Arial" w:hAnsi="Arial" w:cs="Arial"/>
          <w:color w:val="000000" w:themeColor="text1"/>
        </w:rPr>
        <w:t xml:space="preserve">    </w:t>
      </w:r>
      <w:r w:rsidR="00A902EC">
        <w:rPr>
          <w:rFonts w:ascii="Arial" w:hAnsi="Arial" w:cs="Arial"/>
          <w:color w:val="000000" w:themeColor="text1"/>
        </w:rPr>
        <w:t>In Person</w:t>
      </w:r>
    </w:p>
    <w:p w14:paraId="6216DB8C" w14:textId="77777777" w:rsidR="00A902EC" w:rsidRPr="00C20DEE" w:rsidRDefault="00A902EC" w:rsidP="00A902EC">
      <w:pPr>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57 Karas Avenue</w:t>
      </w:r>
    </w:p>
    <w:p w14:paraId="21F17802" w14:textId="77777777" w:rsidR="005960F0" w:rsidRDefault="005960F0" w:rsidP="00A902EC">
      <w:pPr>
        <w:rPr>
          <w:rFonts w:ascii="Arial" w:hAnsi="Arial" w:cs="Arial"/>
          <w:color w:val="000000" w:themeColor="text1"/>
        </w:rPr>
      </w:pPr>
      <w:r w:rsidRPr="00C20DEE">
        <w:rPr>
          <w:rFonts w:ascii="Arial" w:hAnsi="Arial" w:cs="Arial"/>
          <w:color w:val="000000" w:themeColor="text1"/>
        </w:rPr>
        <w:tab/>
      </w:r>
      <w:r w:rsidRPr="00C20DEE">
        <w:rPr>
          <w:rFonts w:ascii="Arial" w:hAnsi="Arial" w:cs="Arial"/>
          <w:color w:val="000000" w:themeColor="text1"/>
        </w:rPr>
        <w:tab/>
      </w:r>
      <w:r w:rsidRPr="00C20DEE">
        <w:rPr>
          <w:rFonts w:ascii="Arial" w:hAnsi="Arial" w:cs="Arial"/>
          <w:color w:val="000000" w:themeColor="text1"/>
        </w:rPr>
        <w:tab/>
      </w:r>
      <w:r w:rsidR="00EC2D0A">
        <w:rPr>
          <w:rFonts w:ascii="Arial" w:hAnsi="Arial" w:cs="Arial"/>
          <w:color w:val="000000" w:themeColor="text1"/>
        </w:rPr>
        <w:tab/>
        <w:t xml:space="preserve">    </w:t>
      </w:r>
      <w:proofErr w:type="spellStart"/>
      <w:r w:rsidR="00A902EC">
        <w:rPr>
          <w:rFonts w:ascii="Arial" w:hAnsi="Arial" w:cs="Arial"/>
          <w:color w:val="000000" w:themeColor="text1"/>
        </w:rPr>
        <w:t>Roodia</w:t>
      </w:r>
      <w:proofErr w:type="spellEnd"/>
    </w:p>
    <w:p w14:paraId="4795A41E" w14:textId="77777777" w:rsidR="00A902EC" w:rsidRDefault="00A902EC" w:rsidP="00A902EC">
      <w:pPr>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Sasolburg</w:t>
      </w:r>
    </w:p>
    <w:p w14:paraId="52C5E000" w14:textId="77777777" w:rsidR="00A902EC" w:rsidRPr="00C20DEE" w:rsidRDefault="00A902EC" w:rsidP="002F71C5">
      <w:pPr>
        <w:spacing w:line="36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p>
    <w:p w14:paraId="0C2F3652" w14:textId="77777777" w:rsidR="005960F0" w:rsidRPr="00AE0369" w:rsidRDefault="005960F0" w:rsidP="003F2617">
      <w:pPr>
        <w:spacing w:line="360" w:lineRule="auto"/>
        <w:ind w:left="851" w:hanging="851"/>
        <w:jc w:val="both"/>
        <w:rPr>
          <w:rFonts w:ascii="Arial" w:hAnsi="Arial" w:cs="Arial"/>
          <w:sz w:val="28"/>
          <w:szCs w:val="28"/>
        </w:rPr>
      </w:pPr>
    </w:p>
    <w:sectPr w:rsidR="005960F0" w:rsidRPr="00AE0369" w:rsidSect="00CA6CD3">
      <w:headerReference w:type="default" r:id="rId11"/>
      <w:pgSz w:w="11906" w:h="16838"/>
      <w:pgMar w:top="1440" w:right="1440" w:bottom="164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8E9B" w14:textId="77777777" w:rsidR="009D1095" w:rsidRDefault="009D1095" w:rsidP="00DA5395">
      <w:r>
        <w:separator/>
      </w:r>
    </w:p>
  </w:endnote>
  <w:endnote w:type="continuationSeparator" w:id="0">
    <w:p w14:paraId="54BC0835" w14:textId="77777777" w:rsidR="009D1095" w:rsidRDefault="009D1095" w:rsidP="00DA5395">
      <w:r>
        <w:continuationSeparator/>
      </w:r>
    </w:p>
  </w:endnote>
  <w:endnote w:type="continuationNotice" w:id="1">
    <w:p w14:paraId="5BB195B7" w14:textId="77777777" w:rsidR="009D1095" w:rsidRDefault="009D1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74AE" w14:textId="77777777" w:rsidR="009D1095" w:rsidRDefault="009D1095" w:rsidP="00DA5395">
      <w:r>
        <w:separator/>
      </w:r>
    </w:p>
  </w:footnote>
  <w:footnote w:type="continuationSeparator" w:id="0">
    <w:p w14:paraId="373CFE6B" w14:textId="77777777" w:rsidR="009D1095" w:rsidRDefault="009D1095" w:rsidP="00DA5395">
      <w:r>
        <w:continuationSeparator/>
      </w:r>
    </w:p>
  </w:footnote>
  <w:footnote w:type="continuationNotice" w:id="1">
    <w:p w14:paraId="245CB9A8" w14:textId="77777777" w:rsidR="009D1095" w:rsidRDefault="009D1095"/>
  </w:footnote>
  <w:footnote w:id="2">
    <w:p w14:paraId="30121A20" w14:textId="77777777" w:rsidR="00B7572B" w:rsidRPr="002C708F" w:rsidRDefault="00B7572B">
      <w:pPr>
        <w:pStyle w:val="FootnoteText"/>
        <w:rPr>
          <w:lang w:val="en-ZA"/>
        </w:rPr>
      </w:pPr>
      <w:r>
        <w:rPr>
          <w:rStyle w:val="FootnoteReference"/>
        </w:rPr>
        <w:footnoteRef/>
      </w:r>
      <w:r>
        <w:t xml:space="preserve"> </w:t>
      </w:r>
      <w:r>
        <w:rPr>
          <w:lang w:val="en-ZA"/>
        </w:rPr>
        <w:t>Page 72 of the indexed papers.</w:t>
      </w:r>
    </w:p>
  </w:footnote>
  <w:footnote w:id="3">
    <w:p w14:paraId="41810B40" w14:textId="77777777" w:rsidR="00B7572B" w:rsidRPr="00583787" w:rsidRDefault="00B7572B">
      <w:pPr>
        <w:pStyle w:val="FootnoteText"/>
        <w:rPr>
          <w:lang w:val="en-ZA"/>
        </w:rPr>
      </w:pPr>
      <w:r>
        <w:rPr>
          <w:rStyle w:val="FootnoteReference"/>
        </w:rPr>
        <w:footnoteRef/>
      </w:r>
      <w:r>
        <w:t xml:space="preserve"> </w:t>
      </w:r>
      <w:r>
        <w:rPr>
          <w:lang w:val="en-ZA"/>
        </w:rPr>
        <w:t>Clause 2.2 of the indemnity agreement.</w:t>
      </w:r>
    </w:p>
  </w:footnote>
  <w:footnote w:id="4">
    <w:p w14:paraId="0E9976FC" w14:textId="77777777" w:rsidR="00B7572B" w:rsidRPr="00583787" w:rsidRDefault="00B7572B">
      <w:pPr>
        <w:pStyle w:val="FootnoteText"/>
        <w:rPr>
          <w:lang w:val="en-ZA"/>
        </w:rPr>
      </w:pPr>
      <w:r>
        <w:rPr>
          <w:rStyle w:val="FootnoteReference"/>
        </w:rPr>
        <w:footnoteRef/>
      </w:r>
      <w:r>
        <w:t xml:space="preserve"> </w:t>
      </w:r>
      <w:r>
        <w:rPr>
          <w:lang w:val="en-ZA"/>
        </w:rPr>
        <w:t>Clause 2.4 of the indemnity agreement.</w:t>
      </w:r>
    </w:p>
  </w:footnote>
  <w:footnote w:id="5">
    <w:p w14:paraId="30766821" w14:textId="77777777" w:rsidR="00B7572B" w:rsidRPr="00AC6DCB" w:rsidRDefault="00B7572B">
      <w:pPr>
        <w:pStyle w:val="FootnoteText"/>
        <w:rPr>
          <w:lang w:val="en-ZA"/>
        </w:rPr>
      </w:pPr>
      <w:r>
        <w:rPr>
          <w:rStyle w:val="FootnoteReference"/>
        </w:rPr>
        <w:footnoteRef/>
      </w:r>
      <w:r>
        <w:t xml:space="preserve"> </w:t>
      </w:r>
      <w:r>
        <w:rPr>
          <w:lang w:val="en-ZA"/>
        </w:rPr>
        <w:t>Clause 3.2 of the indemnity agreement.</w:t>
      </w:r>
    </w:p>
  </w:footnote>
  <w:footnote w:id="6">
    <w:p w14:paraId="498597E0" w14:textId="77777777" w:rsidR="00B7572B" w:rsidRPr="00040225" w:rsidRDefault="00B7572B" w:rsidP="0096150F">
      <w:pPr>
        <w:pStyle w:val="FootnoteText"/>
        <w:rPr>
          <w:lang w:val="en-ZA"/>
        </w:rPr>
      </w:pPr>
      <w:r>
        <w:rPr>
          <w:rStyle w:val="FootnoteReference"/>
        </w:rPr>
        <w:footnoteRef/>
      </w:r>
      <w:r>
        <w:t xml:space="preserve"> </w:t>
      </w:r>
      <w:r>
        <w:rPr>
          <w:lang w:val="en-ZA"/>
        </w:rPr>
        <w:t xml:space="preserve">Paragraphs 1.4 and 1.2 of the affidavit in support of the application for summary judgment. </w:t>
      </w:r>
    </w:p>
  </w:footnote>
  <w:footnote w:id="7">
    <w:p w14:paraId="252036B5" w14:textId="77777777" w:rsidR="00B7572B" w:rsidRPr="00040225" w:rsidRDefault="00B7572B" w:rsidP="0096150F">
      <w:pPr>
        <w:pStyle w:val="FootnoteText"/>
        <w:rPr>
          <w:lang w:val="en-ZA"/>
        </w:rPr>
      </w:pPr>
      <w:r>
        <w:rPr>
          <w:rStyle w:val="FootnoteReference"/>
        </w:rPr>
        <w:footnoteRef/>
      </w:r>
      <w:r>
        <w:t xml:space="preserve"> </w:t>
      </w:r>
      <w:r>
        <w:rPr>
          <w:lang w:val="en-ZA"/>
        </w:rPr>
        <w:t xml:space="preserve">Paragraph 4 of the affidavit in support of the application for summary judgment. </w:t>
      </w:r>
    </w:p>
  </w:footnote>
  <w:footnote w:id="8">
    <w:p w14:paraId="5FDF786C" w14:textId="77777777" w:rsidR="00B7572B" w:rsidRPr="00D02BAA" w:rsidRDefault="00B7572B" w:rsidP="0096150F">
      <w:pPr>
        <w:pStyle w:val="FootnoteText"/>
        <w:rPr>
          <w:lang w:val="en-ZA"/>
        </w:rPr>
      </w:pPr>
      <w:r>
        <w:rPr>
          <w:rStyle w:val="FootnoteReference"/>
        </w:rPr>
        <w:footnoteRef/>
      </w:r>
      <w:r>
        <w:t xml:space="preserve"> </w:t>
      </w:r>
      <w:r>
        <w:rPr>
          <w:lang w:val="en-ZA"/>
        </w:rPr>
        <w:t>Paragraph 5.1 and 5.2 of the affidavit in support of the application for summary judgment.</w:t>
      </w:r>
    </w:p>
  </w:footnote>
  <w:footnote w:id="9">
    <w:p w14:paraId="1B1BA9B1" w14:textId="77777777" w:rsidR="00B7572B" w:rsidRPr="00D02BAA" w:rsidRDefault="00B7572B" w:rsidP="0096150F">
      <w:pPr>
        <w:pStyle w:val="FootnoteText"/>
        <w:rPr>
          <w:lang w:val="en-ZA"/>
        </w:rPr>
      </w:pPr>
      <w:r>
        <w:rPr>
          <w:rStyle w:val="FootnoteReference"/>
        </w:rPr>
        <w:footnoteRef/>
      </w:r>
      <w:r>
        <w:t xml:space="preserve"> </w:t>
      </w:r>
      <w:r>
        <w:rPr>
          <w:lang w:val="en-ZA"/>
        </w:rPr>
        <w:t>Paragraph 6.1 of the affidavit in support of the application for summary judgment.</w:t>
      </w:r>
    </w:p>
  </w:footnote>
  <w:footnote w:id="10">
    <w:p w14:paraId="0F49B8B4" w14:textId="77777777" w:rsidR="00B7572B" w:rsidRPr="009665C3" w:rsidRDefault="00B7572B" w:rsidP="0096150F">
      <w:pPr>
        <w:pStyle w:val="FootnoteText"/>
        <w:rPr>
          <w:lang w:val="en-ZA"/>
        </w:rPr>
      </w:pPr>
      <w:r>
        <w:rPr>
          <w:rStyle w:val="FootnoteReference"/>
        </w:rPr>
        <w:footnoteRef/>
      </w:r>
      <w:r>
        <w:t xml:space="preserve"> </w:t>
      </w:r>
      <w:r>
        <w:rPr>
          <w:lang w:val="en-ZA"/>
        </w:rPr>
        <w:t xml:space="preserve">Paragraph 6.3 of the affidavit in support of the application for summary judgment. </w:t>
      </w:r>
    </w:p>
  </w:footnote>
  <w:footnote w:id="11">
    <w:p w14:paraId="1A3F9D38" w14:textId="77777777" w:rsidR="00B7572B" w:rsidRPr="00E26066" w:rsidRDefault="00B7572B">
      <w:pPr>
        <w:pStyle w:val="FootnoteText"/>
        <w:rPr>
          <w:lang w:val="en-ZA"/>
        </w:rPr>
      </w:pPr>
      <w:r>
        <w:rPr>
          <w:rStyle w:val="FootnoteReference"/>
        </w:rPr>
        <w:footnoteRef/>
      </w:r>
      <w:r>
        <w:t xml:space="preserve"> </w:t>
      </w:r>
      <w:r>
        <w:rPr>
          <w:lang w:val="en-ZA"/>
        </w:rPr>
        <w:t xml:space="preserve">Paragraphs 27 and 28 of the Particulars of Claim. </w:t>
      </w:r>
    </w:p>
  </w:footnote>
  <w:footnote w:id="12">
    <w:p w14:paraId="157F404B" w14:textId="77777777" w:rsidR="00B7572B" w:rsidRPr="004A0EE9" w:rsidRDefault="00B7572B" w:rsidP="00563633">
      <w:pPr>
        <w:pStyle w:val="FootnoteText"/>
        <w:rPr>
          <w:lang w:val="en-ZA"/>
        </w:rPr>
      </w:pPr>
      <w:r>
        <w:rPr>
          <w:rStyle w:val="FootnoteReference"/>
        </w:rPr>
        <w:footnoteRef/>
      </w:r>
      <w:r>
        <w:t xml:space="preserve"> PoC6 d</w:t>
      </w:r>
      <w:proofErr w:type="spellStart"/>
      <w:r>
        <w:rPr>
          <w:lang w:val="en-ZA"/>
        </w:rPr>
        <w:t>ated</w:t>
      </w:r>
      <w:proofErr w:type="spellEnd"/>
      <w:r>
        <w:rPr>
          <w:lang w:val="en-ZA"/>
        </w:rPr>
        <w:t xml:space="preserve"> 15 June 2018. </w:t>
      </w:r>
    </w:p>
  </w:footnote>
  <w:footnote w:id="13">
    <w:p w14:paraId="4DD233A5" w14:textId="77777777" w:rsidR="00B7572B" w:rsidRPr="00632B91" w:rsidRDefault="00B7572B" w:rsidP="00563633">
      <w:pPr>
        <w:pStyle w:val="FootnoteText"/>
        <w:rPr>
          <w:lang w:val="en-ZA"/>
        </w:rPr>
      </w:pPr>
      <w:r>
        <w:rPr>
          <w:rStyle w:val="FootnoteReference"/>
        </w:rPr>
        <w:footnoteRef/>
      </w:r>
      <w:r>
        <w:t xml:space="preserve">POC7 on page 103 of the Indexed Papers.  </w:t>
      </w:r>
    </w:p>
  </w:footnote>
  <w:footnote w:id="14">
    <w:p w14:paraId="141415D7" w14:textId="77777777" w:rsidR="00B7572B" w:rsidRPr="00B82251" w:rsidRDefault="00B7572B">
      <w:pPr>
        <w:pStyle w:val="FootnoteText"/>
        <w:rPr>
          <w:lang w:val="en-ZA"/>
        </w:rPr>
      </w:pPr>
      <w:r>
        <w:rPr>
          <w:rStyle w:val="FootnoteReference"/>
        </w:rPr>
        <w:footnoteRef/>
      </w:r>
      <w:r>
        <w:t xml:space="preserve"> </w:t>
      </w:r>
      <w:r>
        <w:rPr>
          <w:lang w:val="en-ZA"/>
        </w:rPr>
        <w:t xml:space="preserve">Clause 3 of POC7. </w:t>
      </w:r>
    </w:p>
  </w:footnote>
  <w:footnote w:id="15">
    <w:p w14:paraId="619684DD" w14:textId="77777777" w:rsidR="00B7572B" w:rsidRPr="00B82251" w:rsidRDefault="00B7572B">
      <w:pPr>
        <w:pStyle w:val="FootnoteText"/>
        <w:rPr>
          <w:lang w:val="en-ZA"/>
        </w:rPr>
      </w:pPr>
      <w:r>
        <w:rPr>
          <w:rStyle w:val="FootnoteReference"/>
        </w:rPr>
        <w:footnoteRef/>
      </w:r>
      <w:r>
        <w:t xml:space="preserve"> </w:t>
      </w:r>
      <w:r>
        <w:rPr>
          <w:lang w:val="en-ZA"/>
        </w:rPr>
        <w:t>Clause 4 of POC7.</w:t>
      </w:r>
    </w:p>
  </w:footnote>
  <w:footnote w:id="16">
    <w:p w14:paraId="6673EF1F" w14:textId="77777777" w:rsidR="00B7572B" w:rsidRPr="005A4A1D" w:rsidRDefault="00B7572B">
      <w:pPr>
        <w:pStyle w:val="FootnoteText"/>
        <w:rPr>
          <w:lang w:val="en-ZA"/>
        </w:rPr>
      </w:pPr>
      <w:r>
        <w:rPr>
          <w:rStyle w:val="FootnoteReference"/>
        </w:rPr>
        <w:footnoteRef/>
      </w:r>
      <w:r>
        <w:t xml:space="preserve"> </w:t>
      </w:r>
      <w:r>
        <w:rPr>
          <w:lang w:val="en-ZA"/>
        </w:rPr>
        <w:t>Paragraph 29 of the particulars of claim.</w:t>
      </w:r>
    </w:p>
  </w:footnote>
  <w:footnote w:id="17">
    <w:p w14:paraId="08A95421" w14:textId="77777777" w:rsidR="00B7572B" w:rsidRPr="00C25D62" w:rsidRDefault="00B7572B">
      <w:pPr>
        <w:pStyle w:val="FootnoteText"/>
        <w:rPr>
          <w:lang w:val="en-ZA"/>
        </w:rPr>
      </w:pPr>
      <w:r>
        <w:rPr>
          <w:rStyle w:val="FootnoteReference"/>
        </w:rPr>
        <w:footnoteRef/>
      </w:r>
      <w:r>
        <w:t xml:space="preserve"> </w:t>
      </w:r>
      <w:r>
        <w:rPr>
          <w:lang w:val="en-ZA"/>
        </w:rPr>
        <w:t xml:space="preserve">Paragraph 11 of the Answering Affidavit. </w:t>
      </w:r>
    </w:p>
  </w:footnote>
  <w:footnote w:id="18">
    <w:p w14:paraId="630D1DA0" w14:textId="77777777" w:rsidR="00B7572B" w:rsidRPr="00C25D62" w:rsidRDefault="00B7572B">
      <w:pPr>
        <w:pStyle w:val="FootnoteText"/>
        <w:rPr>
          <w:lang w:val="en-ZA"/>
        </w:rPr>
      </w:pPr>
      <w:r>
        <w:rPr>
          <w:rStyle w:val="FootnoteReference"/>
        </w:rPr>
        <w:footnoteRef/>
      </w:r>
      <w:r>
        <w:t xml:space="preserve"> </w:t>
      </w:r>
      <w:r>
        <w:rPr>
          <w:lang w:val="en-ZA"/>
        </w:rPr>
        <w:t xml:space="preserve">Paragraph 14 and 16 of the Answering Affidavit. </w:t>
      </w:r>
    </w:p>
  </w:footnote>
  <w:footnote w:id="19">
    <w:p w14:paraId="09366057" w14:textId="77777777" w:rsidR="00B7572B" w:rsidRPr="00416737" w:rsidRDefault="00B7572B">
      <w:pPr>
        <w:pStyle w:val="FootnoteText"/>
        <w:rPr>
          <w:lang w:val="en-ZA"/>
        </w:rPr>
      </w:pPr>
      <w:r>
        <w:rPr>
          <w:rStyle w:val="FootnoteReference"/>
        </w:rPr>
        <w:footnoteRef/>
      </w:r>
      <w:r>
        <w:t xml:space="preserve"> </w:t>
      </w:r>
      <w:r>
        <w:rPr>
          <w:lang w:val="en-ZA"/>
        </w:rPr>
        <w:t>Poc7.</w:t>
      </w:r>
    </w:p>
  </w:footnote>
  <w:footnote w:id="20">
    <w:p w14:paraId="061A9B96" w14:textId="77777777" w:rsidR="00B7572B" w:rsidRPr="00A14D2D" w:rsidRDefault="00B7572B">
      <w:pPr>
        <w:pStyle w:val="FootnoteText"/>
        <w:rPr>
          <w:lang w:val="en-ZA"/>
        </w:rPr>
      </w:pPr>
      <w:r>
        <w:rPr>
          <w:rStyle w:val="FootnoteReference"/>
        </w:rPr>
        <w:footnoteRef/>
      </w:r>
      <w:r>
        <w:t xml:space="preserve"> </w:t>
      </w:r>
      <w:r>
        <w:rPr>
          <w:lang w:val="en-ZA"/>
        </w:rPr>
        <w:t>Paragraph 8 of the defendant’s plea.</w:t>
      </w:r>
    </w:p>
  </w:footnote>
  <w:footnote w:id="21">
    <w:p w14:paraId="45CF82E3" w14:textId="77777777" w:rsidR="00B7572B" w:rsidRPr="001C2172" w:rsidRDefault="00B7572B">
      <w:pPr>
        <w:pStyle w:val="FootnoteText"/>
        <w:rPr>
          <w:lang w:val="en-ZA"/>
        </w:rPr>
      </w:pPr>
      <w:r>
        <w:rPr>
          <w:rStyle w:val="FootnoteReference"/>
        </w:rPr>
        <w:footnoteRef/>
      </w:r>
      <w:r>
        <w:t xml:space="preserve"> </w:t>
      </w:r>
      <w:r>
        <w:rPr>
          <w:lang w:val="en-ZA"/>
        </w:rPr>
        <w:t xml:space="preserve">POC6 on page 102 of the Indexed Papers. </w:t>
      </w:r>
    </w:p>
  </w:footnote>
  <w:footnote w:id="22">
    <w:p w14:paraId="44DD1D8D" w14:textId="77777777" w:rsidR="00B7572B" w:rsidRPr="00AA1EF4" w:rsidRDefault="00B7572B">
      <w:pPr>
        <w:pStyle w:val="FootnoteText"/>
        <w:rPr>
          <w:lang w:val="en-ZA"/>
        </w:rPr>
      </w:pPr>
      <w:r>
        <w:rPr>
          <w:rStyle w:val="FootnoteReference"/>
        </w:rPr>
        <w:footnoteRef/>
      </w:r>
      <w:r>
        <w:t xml:space="preserve"> </w:t>
      </w:r>
      <w:r>
        <w:rPr>
          <w:lang w:val="en-ZA"/>
        </w:rPr>
        <w:t xml:space="preserve">[2021] ZAFSHC 166 </w:t>
      </w:r>
    </w:p>
  </w:footnote>
  <w:footnote w:id="23">
    <w:p w14:paraId="71C370F4" w14:textId="77777777" w:rsidR="00B7572B" w:rsidRPr="0045043F" w:rsidRDefault="00B7572B">
      <w:pPr>
        <w:pStyle w:val="FootnoteText"/>
        <w:rPr>
          <w:lang w:val="en-ZA"/>
        </w:rPr>
      </w:pPr>
      <w:r>
        <w:rPr>
          <w:rStyle w:val="FootnoteReference"/>
        </w:rPr>
        <w:footnoteRef/>
      </w:r>
      <w:r>
        <w:t xml:space="preserve"> </w:t>
      </w:r>
      <w:r>
        <w:rPr>
          <w:lang w:val="en-ZA"/>
        </w:rPr>
        <w:t>Paragraph 38 of the judgment.</w:t>
      </w:r>
    </w:p>
  </w:footnote>
  <w:footnote w:id="24">
    <w:p w14:paraId="71D12C76" w14:textId="77777777" w:rsidR="00B7572B" w:rsidRPr="00B0638F" w:rsidRDefault="00B7572B">
      <w:pPr>
        <w:pStyle w:val="FootnoteText"/>
        <w:rPr>
          <w:lang w:val="en-ZA"/>
        </w:rPr>
      </w:pPr>
      <w:r>
        <w:rPr>
          <w:rStyle w:val="FootnoteReference"/>
        </w:rPr>
        <w:footnoteRef/>
      </w:r>
      <w:r>
        <w:t xml:space="preserve"> </w:t>
      </w:r>
      <w:r>
        <w:rPr>
          <w:lang w:val="en-ZA"/>
        </w:rPr>
        <w:t xml:space="preserve">Clause 3.1 of the Agreement; Paragraph 18.1 of the Particulars of Claim. </w:t>
      </w:r>
    </w:p>
  </w:footnote>
  <w:footnote w:id="25">
    <w:p w14:paraId="00A39365" w14:textId="77777777" w:rsidR="00B7572B" w:rsidRPr="00DF2CA7" w:rsidRDefault="00B7572B">
      <w:pPr>
        <w:pStyle w:val="FootnoteText"/>
        <w:rPr>
          <w:lang w:val="en-ZA"/>
        </w:rPr>
      </w:pPr>
      <w:r>
        <w:rPr>
          <w:rStyle w:val="FootnoteReference"/>
        </w:rPr>
        <w:footnoteRef/>
      </w:r>
      <w:r>
        <w:t xml:space="preserve"> </w:t>
      </w:r>
      <w:r>
        <w:rPr>
          <w:lang w:val="en-ZA"/>
        </w:rPr>
        <w:t xml:space="preserve">Clause 5.1 of the Agreement; Paragraph 18.7 of the Particulars of Claim. </w:t>
      </w:r>
    </w:p>
  </w:footnote>
  <w:footnote w:id="26">
    <w:p w14:paraId="1E5A4C28" w14:textId="77777777" w:rsidR="00B7572B" w:rsidRPr="00DF2CA7" w:rsidRDefault="00B7572B">
      <w:pPr>
        <w:pStyle w:val="FootnoteText"/>
        <w:rPr>
          <w:lang w:val="en-ZA"/>
        </w:rPr>
      </w:pPr>
      <w:r>
        <w:rPr>
          <w:rStyle w:val="FootnoteReference"/>
        </w:rPr>
        <w:footnoteRef/>
      </w:r>
      <w:r>
        <w:t xml:space="preserve"> </w:t>
      </w:r>
      <w:r>
        <w:rPr>
          <w:lang w:val="en-ZA"/>
        </w:rPr>
        <w:t xml:space="preserve">Clause 5.2 of the Agreement; Paragraph 18.8 of the Particulars of Claim.   </w:t>
      </w:r>
    </w:p>
  </w:footnote>
  <w:footnote w:id="27">
    <w:p w14:paraId="0928526F" w14:textId="77777777" w:rsidR="00B7572B" w:rsidRPr="00DF2CA7" w:rsidRDefault="00B7572B">
      <w:pPr>
        <w:pStyle w:val="FootnoteText"/>
        <w:rPr>
          <w:lang w:val="en-ZA"/>
        </w:rPr>
      </w:pPr>
      <w:r>
        <w:rPr>
          <w:rStyle w:val="FootnoteReference"/>
        </w:rPr>
        <w:footnoteRef/>
      </w:r>
      <w:r>
        <w:t xml:space="preserve"> </w:t>
      </w:r>
      <w:r>
        <w:rPr>
          <w:lang w:val="en-ZA"/>
        </w:rPr>
        <w:t xml:space="preserve">Paragraph 5.4 of the Agreement. </w:t>
      </w:r>
    </w:p>
  </w:footnote>
  <w:footnote w:id="28">
    <w:p w14:paraId="6AEF1844" w14:textId="77777777" w:rsidR="00B7572B" w:rsidRPr="006E2356" w:rsidRDefault="00B7572B">
      <w:pPr>
        <w:pStyle w:val="FootnoteText"/>
        <w:rPr>
          <w:lang w:val="en-ZA"/>
        </w:rPr>
      </w:pPr>
      <w:r>
        <w:rPr>
          <w:rStyle w:val="FootnoteReference"/>
        </w:rPr>
        <w:footnoteRef/>
      </w:r>
      <w:r>
        <w:t xml:space="preserve"> </w:t>
      </w:r>
      <w:r>
        <w:rPr>
          <w:lang w:val="en-ZA"/>
        </w:rPr>
        <w:t>Clause 4.1 of the Common Terms Guarantee Agreement.</w:t>
      </w:r>
    </w:p>
  </w:footnote>
  <w:footnote w:id="29">
    <w:p w14:paraId="7182EA24" w14:textId="77777777" w:rsidR="00B7572B" w:rsidRPr="00896924" w:rsidRDefault="00B7572B">
      <w:pPr>
        <w:pStyle w:val="FootnoteText"/>
        <w:rPr>
          <w:lang w:val="en-ZA"/>
        </w:rPr>
      </w:pPr>
      <w:r>
        <w:rPr>
          <w:rStyle w:val="FootnoteReference"/>
        </w:rPr>
        <w:footnoteRef/>
      </w:r>
      <w:r>
        <w:t xml:space="preserve"> </w:t>
      </w:r>
      <w:r>
        <w:rPr>
          <w:lang w:val="en-ZA"/>
        </w:rPr>
        <w:t>Paragraph 34.6 of the particulars of claim.</w:t>
      </w:r>
    </w:p>
  </w:footnote>
  <w:footnote w:id="30">
    <w:p w14:paraId="465D4BDB" w14:textId="77777777" w:rsidR="00B7572B" w:rsidRPr="003A143B" w:rsidRDefault="00B7572B">
      <w:pPr>
        <w:pStyle w:val="FootnoteText"/>
        <w:rPr>
          <w:lang w:val="en-ZA"/>
        </w:rPr>
      </w:pPr>
      <w:r>
        <w:rPr>
          <w:rStyle w:val="FootnoteReference"/>
        </w:rPr>
        <w:footnoteRef/>
      </w:r>
      <w:r>
        <w:t xml:space="preserve"> </w:t>
      </w:r>
      <w:r>
        <w:rPr>
          <w:lang w:val="en-ZA"/>
        </w:rPr>
        <w:t>Clause 11.2 of the Common Terms Guarantee Agreement.</w:t>
      </w:r>
    </w:p>
  </w:footnote>
  <w:footnote w:id="31">
    <w:p w14:paraId="0433F63E" w14:textId="77777777" w:rsidR="00B7572B" w:rsidRPr="00B7572B" w:rsidRDefault="00B7572B">
      <w:pPr>
        <w:pStyle w:val="FootnoteText"/>
        <w:rPr>
          <w:lang w:val="en-ZA"/>
        </w:rPr>
      </w:pPr>
      <w:r>
        <w:rPr>
          <w:rStyle w:val="FootnoteReference"/>
        </w:rPr>
        <w:footnoteRef/>
      </w:r>
      <w:r>
        <w:t xml:space="preserve"> </w:t>
      </w:r>
      <w:r>
        <w:rPr>
          <w:lang w:val="en-ZA"/>
        </w:rPr>
        <w:t>Supra.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AF7B" w14:textId="77777777" w:rsidR="00B7572B" w:rsidRDefault="00000000">
    <w:pPr>
      <w:pStyle w:val="Header"/>
      <w:jc w:val="right"/>
    </w:pPr>
    <w:sdt>
      <w:sdtPr>
        <w:id w:val="1641074034"/>
        <w:docPartObj>
          <w:docPartGallery w:val="Page Numbers (Top of Page)"/>
          <w:docPartUnique/>
        </w:docPartObj>
      </w:sdtPr>
      <w:sdtEndPr>
        <w:rPr>
          <w:noProof/>
        </w:rPr>
      </w:sdtEndPr>
      <w:sdtContent>
        <w:r w:rsidR="00B7572B">
          <w:fldChar w:fldCharType="begin"/>
        </w:r>
        <w:r w:rsidR="00B7572B">
          <w:instrText xml:space="preserve"> PAGE   \* MERGEFORMAT </w:instrText>
        </w:r>
        <w:r w:rsidR="00B7572B">
          <w:fldChar w:fldCharType="separate"/>
        </w:r>
        <w:r w:rsidR="00F90BD0">
          <w:rPr>
            <w:noProof/>
          </w:rPr>
          <w:t>11</w:t>
        </w:r>
        <w:r w:rsidR="00B7572B">
          <w:rPr>
            <w:noProof/>
          </w:rPr>
          <w:fldChar w:fldCharType="end"/>
        </w:r>
      </w:sdtContent>
    </w:sdt>
  </w:p>
  <w:p w14:paraId="2AEBFF6A" w14:textId="77777777" w:rsidR="00B7572B" w:rsidRDefault="00B75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233"/>
    <w:multiLevelType w:val="hybridMultilevel"/>
    <w:tmpl w:val="3FAE639E"/>
    <w:lvl w:ilvl="0" w:tplc="0F8478AC">
      <w:start w:val="1"/>
      <w:numFmt w:val="decimal"/>
      <w:lvlText w:val="[%1]"/>
      <w:lvlJc w:val="left"/>
      <w:pPr>
        <w:ind w:left="720" w:hanging="360"/>
      </w:pPr>
      <w:rPr>
        <w:rFonts w:hint="default"/>
        <w:strike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9820F1"/>
    <w:multiLevelType w:val="multilevel"/>
    <w:tmpl w:val="F26A4DA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C35F5B"/>
    <w:multiLevelType w:val="hybridMultilevel"/>
    <w:tmpl w:val="04BCFFB0"/>
    <w:lvl w:ilvl="0" w:tplc="CF1AD304">
      <w:start w:val="89"/>
      <w:numFmt w:val="decimal"/>
      <w:lvlText w:val="%1"/>
      <w:lvlJc w:val="left"/>
      <w:pPr>
        <w:ind w:left="309"/>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DAA452BA">
      <w:start w:val="1"/>
      <w:numFmt w:val="decimal"/>
      <w:lvlText w:val="(%2)"/>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43AEDF7C">
      <w:start w:val="1"/>
      <w:numFmt w:val="lowerLetter"/>
      <w:lvlText w:val="(%3)"/>
      <w:lvlJc w:val="left"/>
      <w:pPr>
        <w:ind w:left="182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5288A39C">
      <w:start w:val="1"/>
      <w:numFmt w:val="decimal"/>
      <w:lvlText w:val="%4"/>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11B4914C">
      <w:start w:val="1"/>
      <w:numFmt w:val="lowerLetter"/>
      <w:lvlText w:val="%5"/>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81D43A5C">
      <w:start w:val="1"/>
      <w:numFmt w:val="lowerRoman"/>
      <w:lvlText w:val="%6"/>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31D87456">
      <w:start w:val="1"/>
      <w:numFmt w:val="decimal"/>
      <w:lvlText w:val="%7"/>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937EE536">
      <w:start w:val="1"/>
      <w:numFmt w:val="lowerLetter"/>
      <w:lvlText w:val="%8"/>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0F5A62E8">
      <w:start w:val="1"/>
      <w:numFmt w:val="lowerRoman"/>
      <w:lvlText w:val="%9"/>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280322DE"/>
    <w:multiLevelType w:val="hybridMultilevel"/>
    <w:tmpl w:val="466642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FD5810"/>
    <w:multiLevelType w:val="hybridMultilevel"/>
    <w:tmpl w:val="8668C52A"/>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CC70031"/>
    <w:multiLevelType w:val="hybridMultilevel"/>
    <w:tmpl w:val="420C2BBE"/>
    <w:lvl w:ilvl="0" w:tplc="9BC41A1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2E3A2127"/>
    <w:multiLevelType w:val="hybridMultilevel"/>
    <w:tmpl w:val="DB00352C"/>
    <w:lvl w:ilvl="0" w:tplc="B15A36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05F77F1"/>
    <w:multiLevelType w:val="hybridMultilevel"/>
    <w:tmpl w:val="78329DF2"/>
    <w:lvl w:ilvl="0" w:tplc="3F60C0EA">
      <w:start w:val="1"/>
      <w:numFmt w:val="decimal"/>
      <w:lvlText w:val="%1."/>
      <w:lvlJc w:val="left"/>
      <w:pPr>
        <w:ind w:left="644" w:hanging="360"/>
      </w:pPr>
      <w:rPr>
        <w:rFonts w:hint="default"/>
        <w:i w:val="0"/>
      </w:rPr>
    </w:lvl>
    <w:lvl w:ilvl="1" w:tplc="CC0A19C6">
      <w:start w:val="1"/>
      <w:numFmt w:val="lowerLetter"/>
      <w:lvlText w:val="%2."/>
      <w:lvlJc w:val="left"/>
      <w:pPr>
        <w:ind w:left="1440" w:hanging="360"/>
      </w:pPr>
      <w:rPr>
        <w:sz w:val="20"/>
        <w:szCs w:val="20"/>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1F24E39"/>
    <w:multiLevelType w:val="hybridMultilevel"/>
    <w:tmpl w:val="EB8853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1442E51"/>
    <w:multiLevelType w:val="hybridMultilevel"/>
    <w:tmpl w:val="C0B205E6"/>
    <w:lvl w:ilvl="0" w:tplc="B5D2CCC6">
      <w:start w:val="1"/>
      <w:numFmt w:val="decimal"/>
      <w:lvlText w:val="%1."/>
      <w:lvlJc w:val="left"/>
      <w:pPr>
        <w:ind w:left="554" w:hanging="360"/>
      </w:pPr>
      <w:rPr>
        <w:rFonts w:ascii="Arial" w:eastAsia="Times New Roman" w:hAnsi="Arial" w:cs="Arial"/>
      </w:rPr>
    </w:lvl>
    <w:lvl w:ilvl="1" w:tplc="1C090019" w:tentative="1">
      <w:start w:val="1"/>
      <w:numFmt w:val="lowerLetter"/>
      <w:lvlText w:val="%2."/>
      <w:lvlJc w:val="left"/>
      <w:pPr>
        <w:ind w:left="1274" w:hanging="360"/>
      </w:pPr>
    </w:lvl>
    <w:lvl w:ilvl="2" w:tplc="1C09001B" w:tentative="1">
      <w:start w:val="1"/>
      <w:numFmt w:val="lowerRoman"/>
      <w:lvlText w:val="%3."/>
      <w:lvlJc w:val="right"/>
      <w:pPr>
        <w:ind w:left="1994" w:hanging="180"/>
      </w:pPr>
    </w:lvl>
    <w:lvl w:ilvl="3" w:tplc="1C09000F" w:tentative="1">
      <w:start w:val="1"/>
      <w:numFmt w:val="decimal"/>
      <w:lvlText w:val="%4."/>
      <w:lvlJc w:val="left"/>
      <w:pPr>
        <w:ind w:left="2714" w:hanging="360"/>
      </w:pPr>
    </w:lvl>
    <w:lvl w:ilvl="4" w:tplc="1C090019" w:tentative="1">
      <w:start w:val="1"/>
      <w:numFmt w:val="lowerLetter"/>
      <w:lvlText w:val="%5."/>
      <w:lvlJc w:val="left"/>
      <w:pPr>
        <w:ind w:left="3434" w:hanging="360"/>
      </w:pPr>
    </w:lvl>
    <w:lvl w:ilvl="5" w:tplc="1C09001B" w:tentative="1">
      <w:start w:val="1"/>
      <w:numFmt w:val="lowerRoman"/>
      <w:lvlText w:val="%6."/>
      <w:lvlJc w:val="right"/>
      <w:pPr>
        <w:ind w:left="4154" w:hanging="180"/>
      </w:pPr>
    </w:lvl>
    <w:lvl w:ilvl="6" w:tplc="1C09000F" w:tentative="1">
      <w:start w:val="1"/>
      <w:numFmt w:val="decimal"/>
      <w:lvlText w:val="%7."/>
      <w:lvlJc w:val="left"/>
      <w:pPr>
        <w:ind w:left="4874" w:hanging="360"/>
      </w:pPr>
    </w:lvl>
    <w:lvl w:ilvl="7" w:tplc="1C090019" w:tentative="1">
      <w:start w:val="1"/>
      <w:numFmt w:val="lowerLetter"/>
      <w:lvlText w:val="%8."/>
      <w:lvlJc w:val="left"/>
      <w:pPr>
        <w:ind w:left="5594" w:hanging="360"/>
      </w:pPr>
    </w:lvl>
    <w:lvl w:ilvl="8" w:tplc="1C09001B" w:tentative="1">
      <w:start w:val="1"/>
      <w:numFmt w:val="lowerRoman"/>
      <w:lvlText w:val="%9."/>
      <w:lvlJc w:val="right"/>
      <w:pPr>
        <w:ind w:left="6314" w:hanging="180"/>
      </w:pPr>
    </w:lvl>
  </w:abstractNum>
  <w:abstractNum w:abstractNumId="10" w15:restartNumberingAfterBreak="0">
    <w:nsid w:val="6A423919"/>
    <w:multiLevelType w:val="hybridMultilevel"/>
    <w:tmpl w:val="81F40AC8"/>
    <w:lvl w:ilvl="0" w:tplc="888CEBCC">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1" w15:restartNumberingAfterBreak="0">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E0C21EF"/>
    <w:multiLevelType w:val="multilevel"/>
    <w:tmpl w:val="206C269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B3C6F0C"/>
    <w:multiLevelType w:val="hybridMultilevel"/>
    <w:tmpl w:val="1F4A9A8A"/>
    <w:lvl w:ilvl="0" w:tplc="2624B04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16cid:durableId="346832608">
    <w:abstractNumId w:val="11"/>
  </w:num>
  <w:num w:numId="2" w16cid:durableId="1259752199">
    <w:abstractNumId w:val="6"/>
  </w:num>
  <w:num w:numId="3" w16cid:durableId="2028866452">
    <w:abstractNumId w:val="9"/>
  </w:num>
  <w:num w:numId="4" w16cid:durableId="113797543">
    <w:abstractNumId w:val="0"/>
  </w:num>
  <w:num w:numId="5" w16cid:durableId="29573464">
    <w:abstractNumId w:val="1"/>
  </w:num>
  <w:num w:numId="6" w16cid:durableId="249124870">
    <w:abstractNumId w:val="12"/>
  </w:num>
  <w:num w:numId="7" w16cid:durableId="530261589">
    <w:abstractNumId w:val="7"/>
  </w:num>
  <w:num w:numId="8" w16cid:durableId="81414444">
    <w:abstractNumId w:val="10"/>
  </w:num>
  <w:num w:numId="9" w16cid:durableId="85006909">
    <w:abstractNumId w:val="2"/>
  </w:num>
  <w:num w:numId="10" w16cid:durableId="1524049133">
    <w:abstractNumId w:val="3"/>
  </w:num>
  <w:num w:numId="11" w16cid:durableId="1357579188">
    <w:abstractNumId w:val="8"/>
  </w:num>
  <w:num w:numId="12" w16cid:durableId="1297495195">
    <w:abstractNumId w:val="4"/>
  </w:num>
  <w:num w:numId="13" w16cid:durableId="559051412">
    <w:abstractNumId w:val="5"/>
  </w:num>
  <w:num w:numId="14" w16cid:durableId="13665614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GyMLcwMjIxNzQzNzZQ0lEKTi0uzszPAymwrAUAVN7h1iwAAAA="/>
  </w:docVars>
  <w:rsids>
    <w:rsidRoot w:val="007C348D"/>
    <w:rsid w:val="000111F4"/>
    <w:rsid w:val="00013A3F"/>
    <w:rsid w:val="00017C1A"/>
    <w:rsid w:val="0002217F"/>
    <w:rsid w:val="000237D5"/>
    <w:rsid w:val="000312FA"/>
    <w:rsid w:val="00037432"/>
    <w:rsid w:val="00040225"/>
    <w:rsid w:val="00040F34"/>
    <w:rsid w:val="00041CD0"/>
    <w:rsid w:val="00047074"/>
    <w:rsid w:val="00056043"/>
    <w:rsid w:val="00056E59"/>
    <w:rsid w:val="00056F05"/>
    <w:rsid w:val="00063844"/>
    <w:rsid w:val="00067989"/>
    <w:rsid w:val="000712B0"/>
    <w:rsid w:val="00076CB8"/>
    <w:rsid w:val="00077E52"/>
    <w:rsid w:val="00080924"/>
    <w:rsid w:val="00080ACE"/>
    <w:rsid w:val="00085FA9"/>
    <w:rsid w:val="00096087"/>
    <w:rsid w:val="000A016A"/>
    <w:rsid w:val="000A4558"/>
    <w:rsid w:val="000A4E68"/>
    <w:rsid w:val="000A52BA"/>
    <w:rsid w:val="000A647C"/>
    <w:rsid w:val="000B7255"/>
    <w:rsid w:val="000B7705"/>
    <w:rsid w:val="000C66EC"/>
    <w:rsid w:val="000C72FC"/>
    <w:rsid w:val="000C747A"/>
    <w:rsid w:val="000C77F8"/>
    <w:rsid w:val="000C7CAF"/>
    <w:rsid w:val="000D4F4F"/>
    <w:rsid w:val="000D68EE"/>
    <w:rsid w:val="000E5025"/>
    <w:rsid w:val="000F0D5A"/>
    <w:rsid w:val="000F2881"/>
    <w:rsid w:val="000F713E"/>
    <w:rsid w:val="00101B7F"/>
    <w:rsid w:val="00101FFF"/>
    <w:rsid w:val="00102312"/>
    <w:rsid w:val="0010369D"/>
    <w:rsid w:val="001036C0"/>
    <w:rsid w:val="00116BB7"/>
    <w:rsid w:val="00122559"/>
    <w:rsid w:val="00131CF1"/>
    <w:rsid w:val="00134B44"/>
    <w:rsid w:val="00136A1F"/>
    <w:rsid w:val="00141DCC"/>
    <w:rsid w:val="00143AAA"/>
    <w:rsid w:val="001479EF"/>
    <w:rsid w:val="00153BD2"/>
    <w:rsid w:val="001575AF"/>
    <w:rsid w:val="0016393F"/>
    <w:rsid w:val="001842DC"/>
    <w:rsid w:val="00187391"/>
    <w:rsid w:val="00196B60"/>
    <w:rsid w:val="001B34F4"/>
    <w:rsid w:val="001B3ACC"/>
    <w:rsid w:val="001B7874"/>
    <w:rsid w:val="001B7DC9"/>
    <w:rsid w:val="001C2172"/>
    <w:rsid w:val="001C6D91"/>
    <w:rsid w:val="001D0A19"/>
    <w:rsid w:val="001D15CD"/>
    <w:rsid w:val="001D54AE"/>
    <w:rsid w:val="001E2FDC"/>
    <w:rsid w:val="001F6E1A"/>
    <w:rsid w:val="001F70BD"/>
    <w:rsid w:val="00201579"/>
    <w:rsid w:val="002025F5"/>
    <w:rsid w:val="002060ED"/>
    <w:rsid w:val="00212A94"/>
    <w:rsid w:val="00217700"/>
    <w:rsid w:val="002274E2"/>
    <w:rsid w:val="00234018"/>
    <w:rsid w:val="00240AC1"/>
    <w:rsid w:val="00240D77"/>
    <w:rsid w:val="00245B66"/>
    <w:rsid w:val="00251520"/>
    <w:rsid w:val="00251A7C"/>
    <w:rsid w:val="00261FF7"/>
    <w:rsid w:val="002627AF"/>
    <w:rsid w:val="002734F8"/>
    <w:rsid w:val="002752DB"/>
    <w:rsid w:val="00277577"/>
    <w:rsid w:val="0027763B"/>
    <w:rsid w:val="00286EB0"/>
    <w:rsid w:val="00286F23"/>
    <w:rsid w:val="0029022F"/>
    <w:rsid w:val="002938AA"/>
    <w:rsid w:val="00294679"/>
    <w:rsid w:val="002A46BB"/>
    <w:rsid w:val="002A60B8"/>
    <w:rsid w:val="002A61D2"/>
    <w:rsid w:val="002A62A7"/>
    <w:rsid w:val="002A631E"/>
    <w:rsid w:val="002A7726"/>
    <w:rsid w:val="002A7CB0"/>
    <w:rsid w:val="002A7D4B"/>
    <w:rsid w:val="002B0A9D"/>
    <w:rsid w:val="002B27AB"/>
    <w:rsid w:val="002B369A"/>
    <w:rsid w:val="002B48A4"/>
    <w:rsid w:val="002B5CEE"/>
    <w:rsid w:val="002C0225"/>
    <w:rsid w:val="002C5414"/>
    <w:rsid w:val="002C708F"/>
    <w:rsid w:val="002D3664"/>
    <w:rsid w:val="002D5E30"/>
    <w:rsid w:val="002E15CB"/>
    <w:rsid w:val="002F4685"/>
    <w:rsid w:val="002F71C5"/>
    <w:rsid w:val="00302D2B"/>
    <w:rsid w:val="003036C9"/>
    <w:rsid w:val="0030603E"/>
    <w:rsid w:val="003065ED"/>
    <w:rsid w:val="00313061"/>
    <w:rsid w:val="00316479"/>
    <w:rsid w:val="00323B17"/>
    <w:rsid w:val="00326787"/>
    <w:rsid w:val="00327340"/>
    <w:rsid w:val="00331CAF"/>
    <w:rsid w:val="00331F98"/>
    <w:rsid w:val="00343972"/>
    <w:rsid w:val="003448E3"/>
    <w:rsid w:val="003460C5"/>
    <w:rsid w:val="0035047C"/>
    <w:rsid w:val="00351967"/>
    <w:rsid w:val="00352BB3"/>
    <w:rsid w:val="00356771"/>
    <w:rsid w:val="00366E58"/>
    <w:rsid w:val="00372841"/>
    <w:rsid w:val="00374D49"/>
    <w:rsid w:val="003805E1"/>
    <w:rsid w:val="00383432"/>
    <w:rsid w:val="00385141"/>
    <w:rsid w:val="003878BB"/>
    <w:rsid w:val="00394841"/>
    <w:rsid w:val="003A143B"/>
    <w:rsid w:val="003A2479"/>
    <w:rsid w:val="003B15D1"/>
    <w:rsid w:val="003B1CBE"/>
    <w:rsid w:val="003B3C7C"/>
    <w:rsid w:val="003B4BB1"/>
    <w:rsid w:val="003E07F9"/>
    <w:rsid w:val="003E7FE1"/>
    <w:rsid w:val="003F2617"/>
    <w:rsid w:val="003F2D1B"/>
    <w:rsid w:val="003F410D"/>
    <w:rsid w:val="00403A75"/>
    <w:rsid w:val="004041CC"/>
    <w:rsid w:val="00404459"/>
    <w:rsid w:val="004128DC"/>
    <w:rsid w:val="00416341"/>
    <w:rsid w:val="00416737"/>
    <w:rsid w:val="0041714C"/>
    <w:rsid w:val="0042055E"/>
    <w:rsid w:val="0042280C"/>
    <w:rsid w:val="0043720B"/>
    <w:rsid w:val="0043769B"/>
    <w:rsid w:val="00441D7B"/>
    <w:rsid w:val="00446917"/>
    <w:rsid w:val="0044778C"/>
    <w:rsid w:val="00447C28"/>
    <w:rsid w:val="0045043F"/>
    <w:rsid w:val="004537CD"/>
    <w:rsid w:val="0046504C"/>
    <w:rsid w:val="00467392"/>
    <w:rsid w:val="00471479"/>
    <w:rsid w:val="004734A0"/>
    <w:rsid w:val="004749DA"/>
    <w:rsid w:val="0047504B"/>
    <w:rsid w:val="00482AAD"/>
    <w:rsid w:val="004871F9"/>
    <w:rsid w:val="00491045"/>
    <w:rsid w:val="004919CD"/>
    <w:rsid w:val="0049477D"/>
    <w:rsid w:val="004A0EE9"/>
    <w:rsid w:val="004A20A8"/>
    <w:rsid w:val="004A3257"/>
    <w:rsid w:val="004A56AE"/>
    <w:rsid w:val="004C20DC"/>
    <w:rsid w:val="004C368F"/>
    <w:rsid w:val="004C7B28"/>
    <w:rsid w:val="004D45B9"/>
    <w:rsid w:val="004D63AD"/>
    <w:rsid w:val="004E0B29"/>
    <w:rsid w:val="004E2339"/>
    <w:rsid w:val="004E243D"/>
    <w:rsid w:val="004E3022"/>
    <w:rsid w:val="004E54EB"/>
    <w:rsid w:val="004F2723"/>
    <w:rsid w:val="004F3F06"/>
    <w:rsid w:val="004F5E70"/>
    <w:rsid w:val="004F793E"/>
    <w:rsid w:val="00500468"/>
    <w:rsid w:val="0050073B"/>
    <w:rsid w:val="00500FBB"/>
    <w:rsid w:val="005013E3"/>
    <w:rsid w:val="0050544E"/>
    <w:rsid w:val="0051095E"/>
    <w:rsid w:val="00510B9A"/>
    <w:rsid w:val="005110AC"/>
    <w:rsid w:val="00525F81"/>
    <w:rsid w:val="00533A9E"/>
    <w:rsid w:val="0054066D"/>
    <w:rsid w:val="00544B23"/>
    <w:rsid w:val="005459C8"/>
    <w:rsid w:val="00554B8B"/>
    <w:rsid w:val="00557008"/>
    <w:rsid w:val="0056286B"/>
    <w:rsid w:val="00563633"/>
    <w:rsid w:val="005835FE"/>
    <w:rsid w:val="00583787"/>
    <w:rsid w:val="00584EC5"/>
    <w:rsid w:val="005851C9"/>
    <w:rsid w:val="00586501"/>
    <w:rsid w:val="00591CD2"/>
    <w:rsid w:val="0059404A"/>
    <w:rsid w:val="005960F0"/>
    <w:rsid w:val="00597EFA"/>
    <w:rsid w:val="005A4A1D"/>
    <w:rsid w:val="005A6F9D"/>
    <w:rsid w:val="005B271F"/>
    <w:rsid w:val="005B56EE"/>
    <w:rsid w:val="005B5C14"/>
    <w:rsid w:val="005B7235"/>
    <w:rsid w:val="005C5FFE"/>
    <w:rsid w:val="005D0070"/>
    <w:rsid w:val="005D0D19"/>
    <w:rsid w:val="005D6CBF"/>
    <w:rsid w:val="005E0068"/>
    <w:rsid w:val="005E18AD"/>
    <w:rsid w:val="005E61AB"/>
    <w:rsid w:val="005F349B"/>
    <w:rsid w:val="005F65D4"/>
    <w:rsid w:val="006057B5"/>
    <w:rsid w:val="00620500"/>
    <w:rsid w:val="0062222E"/>
    <w:rsid w:val="006231E0"/>
    <w:rsid w:val="00623854"/>
    <w:rsid w:val="00625250"/>
    <w:rsid w:val="00626E98"/>
    <w:rsid w:val="00626FFB"/>
    <w:rsid w:val="00630561"/>
    <w:rsid w:val="00632B91"/>
    <w:rsid w:val="00637A8A"/>
    <w:rsid w:val="00640D44"/>
    <w:rsid w:val="00645452"/>
    <w:rsid w:val="0064795D"/>
    <w:rsid w:val="0065472D"/>
    <w:rsid w:val="00656276"/>
    <w:rsid w:val="0065643B"/>
    <w:rsid w:val="00666EAC"/>
    <w:rsid w:val="00667E39"/>
    <w:rsid w:val="006751B4"/>
    <w:rsid w:val="00676491"/>
    <w:rsid w:val="0067727A"/>
    <w:rsid w:val="00682AD5"/>
    <w:rsid w:val="00684F83"/>
    <w:rsid w:val="00686BC3"/>
    <w:rsid w:val="006A035D"/>
    <w:rsid w:val="006A1F93"/>
    <w:rsid w:val="006A47FB"/>
    <w:rsid w:val="006B44D4"/>
    <w:rsid w:val="006C0F71"/>
    <w:rsid w:val="006C3953"/>
    <w:rsid w:val="006C7746"/>
    <w:rsid w:val="006D055C"/>
    <w:rsid w:val="006D6CC4"/>
    <w:rsid w:val="006D6F69"/>
    <w:rsid w:val="006E0733"/>
    <w:rsid w:val="006E0CE0"/>
    <w:rsid w:val="006E2356"/>
    <w:rsid w:val="006F3811"/>
    <w:rsid w:val="006F48A0"/>
    <w:rsid w:val="007013A6"/>
    <w:rsid w:val="007033AB"/>
    <w:rsid w:val="00707BA7"/>
    <w:rsid w:val="00713FEB"/>
    <w:rsid w:val="007154F4"/>
    <w:rsid w:val="00716386"/>
    <w:rsid w:val="00721246"/>
    <w:rsid w:val="00724EA2"/>
    <w:rsid w:val="0072655E"/>
    <w:rsid w:val="00731AE7"/>
    <w:rsid w:val="00734D90"/>
    <w:rsid w:val="00741BB5"/>
    <w:rsid w:val="0074371E"/>
    <w:rsid w:val="00744550"/>
    <w:rsid w:val="0074464C"/>
    <w:rsid w:val="00745A55"/>
    <w:rsid w:val="00750200"/>
    <w:rsid w:val="00751FB3"/>
    <w:rsid w:val="00752379"/>
    <w:rsid w:val="00754E32"/>
    <w:rsid w:val="0077094C"/>
    <w:rsid w:val="00774C0A"/>
    <w:rsid w:val="00781F07"/>
    <w:rsid w:val="0078679D"/>
    <w:rsid w:val="00786C0C"/>
    <w:rsid w:val="0079284C"/>
    <w:rsid w:val="00797293"/>
    <w:rsid w:val="007A0ECC"/>
    <w:rsid w:val="007A2DC1"/>
    <w:rsid w:val="007A5C87"/>
    <w:rsid w:val="007A6A8A"/>
    <w:rsid w:val="007C2356"/>
    <w:rsid w:val="007C348D"/>
    <w:rsid w:val="007C7112"/>
    <w:rsid w:val="007C7494"/>
    <w:rsid w:val="007C77B3"/>
    <w:rsid w:val="007D1CFA"/>
    <w:rsid w:val="007D4A7C"/>
    <w:rsid w:val="007E14F4"/>
    <w:rsid w:val="007E3399"/>
    <w:rsid w:val="007E61BB"/>
    <w:rsid w:val="007F2630"/>
    <w:rsid w:val="007F4F13"/>
    <w:rsid w:val="007F6B5A"/>
    <w:rsid w:val="00800164"/>
    <w:rsid w:val="00800C08"/>
    <w:rsid w:val="008014A3"/>
    <w:rsid w:val="0080178D"/>
    <w:rsid w:val="00804DDE"/>
    <w:rsid w:val="00810079"/>
    <w:rsid w:val="00812151"/>
    <w:rsid w:val="00816F15"/>
    <w:rsid w:val="00820441"/>
    <w:rsid w:val="008224B6"/>
    <w:rsid w:val="008318BF"/>
    <w:rsid w:val="00831EAA"/>
    <w:rsid w:val="00832EED"/>
    <w:rsid w:val="00836CB3"/>
    <w:rsid w:val="00842AF2"/>
    <w:rsid w:val="00843543"/>
    <w:rsid w:val="0084509E"/>
    <w:rsid w:val="00845D99"/>
    <w:rsid w:val="00852739"/>
    <w:rsid w:val="00854D9F"/>
    <w:rsid w:val="008632D0"/>
    <w:rsid w:val="00867AE3"/>
    <w:rsid w:val="00873354"/>
    <w:rsid w:val="00873B81"/>
    <w:rsid w:val="0087534B"/>
    <w:rsid w:val="00875729"/>
    <w:rsid w:val="00876CD8"/>
    <w:rsid w:val="008803C0"/>
    <w:rsid w:val="00880BB3"/>
    <w:rsid w:val="008826B9"/>
    <w:rsid w:val="00882721"/>
    <w:rsid w:val="008856D0"/>
    <w:rsid w:val="00886572"/>
    <w:rsid w:val="00891F14"/>
    <w:rsid w:val="00894EEF"/>
    <w:rsid w:val="008957B5"/>
    <w:rsid w:val="00896924"/>
    <w:rsid w:val="008A28BE"/>
    <w:rsid w:val="008A4A0D"/>
    <w:rsid w:val="008A5D23"/>
    <w:rsid w:val="008B0433"/>
    <w:rsid w:val="008B1A3F"/>
    <w:rsid w:val="008B27F3"/>
    <w:rsid w:val="008B68F7"/>
    <w:rsid w:val="008B6B38"/>
    <w:rsid w:val="008C0F83"/>
    <w:rsid w:val="008C3A15"/>
    <w:rsid w:val="008D09E3"/>
    <w:rsid w:val="008D11BE"/>
    <w:rsid w:val="008E57BF"/>
    <w:rsid w:val="008F4CD8"/>
    <w:rsid w:val="008F568D"/>
    <w:rsid w:val="00902E43"/>
    <w:rsid w:val="00905A58"/>
    <w:rsid w:val="00914772"/>
    <w:rsid w:val="00920087"/>
    <w:rsid w:val="00931298"/>
    <w:rsid w:val="00932405"/>
    <w:rsid w:val="00933041"/>
    <w:rsid w:val="009346A8"/>
    <w:rsid w:val="00935CE2"/>
    <w:rsid w:val="00940F60"/>
    <w:rsid w:val="00942E10"/>
    <w:rsid w:val="0094409C"/>
    <w:rsid w:val="0094642F"/>
    <w:rsid w:val="00947102"/>
    <w:rsid w:val="00947956"/>
    <w:rsid w:val="00947981"/>
    <w:rsid w:val="00951E22"/>
    <w:rsid w:val="00952DC9"/>
    <w:rsid w:val="00955D06"/>
    <w:rsid w:val="009561EF"/>
    <w:rsid w:val="0096150F"/>
    <w:rsid w:val="009638BA"/>
    <w:rsid w:val="009665C3"/>
    <w:rsid w:val="009674B3"/>
    <w:rsid w:val="0097522B"/>
    <w:rsid w:val="0097658B"/>
    <w:rsid w:val="00976C0D"/>
    <w:rsid w:val="00981B3F"/>
    <w:rsid w:val="009827EF"/>
    <w:rsid w:val="00982D0A"/>
    <w:rsid w:val="0098467C"/>
    <w:rsid w:val="009866DB"/>
    <w:rsid w:val="00991A24"/>
    <w:rsid w:val="00991BA9"/>
    <w:rsid w:val="00994B47"/>
    <w:rsid w:val="009A44AB"/>
    <w:rsid w:val="009A4CAC"/>
    <w:rsid w:val="009B26F3"/>
    <w:rsid w:val="009B3CCA"/>
    <w:rsid w:val="009B5DB8"/>
    <w:rsid w:val="009C0F11"/>
    <w:rsid w:val="009C219E"/>
    <w:rsid w:val="009C6ADB"/>
    <w:rsid w:val="009D1095"/>
    <w:rsid w:val="009E06E4"/>
    <w:rsid w:val="009E1BC0"/>
    <w:rsid w:val="009E40F8"/>
    <w:rsid w:val="009E469A"/>
    <w:rsid w:val="009E47FD"/>
    <w:rsid w:val="009F6077"/>
    <w:rsid w:val="00A00820"/>
    <w:rsid w:val="00A01419"/>
    <w:rsid w:val="00A0200E"/>
    <w:rsid w:val="00A052C7"/>
    <w:rsid w:val="00A103A2"/>
    <w:rsid w:val="00A1097F"/>
    <w:rsid w:val="00A13C97"/>
    <w:rsid w:val="00A14D2D"/>
    <w:rsid w:val="00A2266C"/>
    <w:rsid w:val="00A2324A"/>
    <w:rsid w:val="00A23389"/>
    <w:rsid w:val="00A353EF"/>
    <w:rsid w:val="00A35B69"/>
    <w:rsid w:val="00A411FF"/>
    <w:rsid w:val="00A556CC"/>
    <w:rsid w:val="00A705A3"/>
    <w:rsid w:val="00A74B52"/>
    <w:rsid w:val="00A75D65"/>
    <w:rsid w:val="00A80708"/>
    <w:rsid w:val="00A816FD"/>
    <w:rsid w:val="00A81C7A"/>
    <w:rsid w:val="00A8530D"/>
    <w:rsid w:val="00A8690C"/>
    <w:rsid w:val="00A902EC"/>
    <w:rsid w:val="00A90D5C"/>
    <w:rsid w:val="00A96D6D"/>
    <w:rsid w:val="00A9771A"/>
    <w:rsid w:val="00AA11ED"/>
    <w:rsid w:val="00AA1EF4"/>
    <w:rsid w:val="00AA22AB"/>
    <w:rsid w:val="00AA415F"/>
    <w:rsid w:val="00AC3F6F"/>
    <w:rsid w:val="00AC5040"/>
    <w:rsid w:val="00AC585D"/>
    <w:rsid w:val="00AC5AA4"/>
    <w:rsid w:val="00AC6DCB"/>
    <w:rsid w:val="00AD1773"/>
    <w:rsid w:val="00AD516D"/>
    <w:rsid w:val="00AD5191"/>
    <w:rsid w:val="00AD6579"/>
    <w:rsid w:val="00AE0369"/>
    <w:rsid w:val="00AE1391"/>
    <w:rsid w:val="00AE160D"/>
    <w:rsid w:val="00AE29A3"/>
    <w:rsid w:val="00AE31F1"/>
    <w:rsid w:val="00AE3AEB"/>
    <w:rsid w:val="00AF43A4"/>
    <w:rsid w:val="00AF514C"/>
    <w:rsid w:val="00AF61C4"/>
    <w:rsid w:val="00AF7950"/>
    <w:rsid w:val="00B0296B"/>
    <w:rsid w:val="00B0638F"/>
    <w:rsid w:val="00B06CFE"/>
    <w:rsid w:val="00B11417"/>
    <w:rsid w:val="00B20C6E"/>
    <w:rsid w:val="00B225BE"/>
    <w:rsid w:val="00B23609"/>
    <w:rsid w:val="00B307E3"/>
    <w:rsid w:val="00B30B07"/>
    <w:rsid w:val="00B32C75"/>
    <w:rsid w:val="00B405D0"/>
    <w:rsid w:val="00B465B1"/>
    <w:rsid w:val="00B50934"/>
    <w:rsid w:val="00B50972"/>
    <w:rsid w:val="00B50C73"/>
    <w:rsid w:val="00B60E9F"/>
    <w:rsid w:val="00B7572B"/>
    <w:rsid w:val="00B82251"/>
    <w:rsid w:val="00BA06F5"/>
    <w:rsid w:val="00BA16DE"/>
    <w:rsid w:val="00BA5977"/>
    <w:rsid w:val="00BA5A85"/>
    <w:rsid w:val="00BA7A5E"/>
    <w:rsid w:val="00BB3644"/>
    <w:rsid w:val="00BB48A3"/>
    <w:rsid w:val="00BB56F3"/>
    <w:rsid w:val="00BC07EE"/>
    <w:rsid w:val="00BC3C7C"/>
    <w:rsid w:val="00BC40A8"/>
    <w:rsid w:val="00BC6D21"/>
    <w:rsid w:val="00BD1084"/>
    <w:rsid w:val="00BD6072"/>
    <w:rsid w:val="00BD667B"/>
    <w:rsid w:val="00BD6800"/>
    <w:rsid w:val="00BE036F"/>
    <w:rsid w:val="00BE1A6F"/>
    <w:rsid w:val="00BE1B9D"/>
    <w:rsid w:val="00BE4C43"/>
    <w:rsid w:val="00BF043F"/>
    <w:rsid w:val="00BF2C8F"/>
    <w:rsid w:val="00C018D6"/>
    <w:rsid w:val="00C01D44"/>
    <w:rsid w:val="00C022A7"/>
    <w:rsid w:val="00C02899"/>
    <w:rsid w:val="00C104C3"/>
    <w:rsid w:val="00C12C90"/>
    <w:rsid w:val="00C140A6"/>
    <w:rsid w:val="00C15C47"/>
    <w:rsid w:val="00C16854"/>
    <w:rsid w:val="00C17082"/>
    <w:rsid w:val="00C20DEE"/>
    <w:rsid w:val="00C21D95"/>
    <w:rsid w:val="00C25D62"/>
    <w:rsid w:val="00C268C9"/>
    <w:rsid w:val="00C26DB3"/>
    <w:rsid w:val="00C31C9E"/>
    <w:rsid w:val="00C50575"/>
    <w:rsid w:val="00C5125B"/>
    <w:rsid w:val="00C530E4"/>
    <w:rsid w:val="00C563B8"/>
    <w:rsid w:val="00C6681F"/>
    <w:rsid w:val="00C718A1"/>
    <w:rsid w:val="00C85E93"/>
    <w:rsid w:val="00C909A0"/>
    <w:rsid w:val="00C945EA"/>
    <w:rsid w:val="00CA1576"/>
    <w:rsid w:val="00CA3518"/>
    <w:rsid w:val="00CA59F8"/>
    <w:rsid w:val="00CA6CD3"/>
    <w:rsid w:val="00CD152C"/>
    <w:rsid w:val="00CD4CDB"/>
    <w:rsid w:val="00CD509B"/>
    <w:rsid w:val="00CD5827"/>
    <w:rsid w:val="00CD6A8C"/>
    <w:rsid w:val="00CE04B1"/>
    <w:rsid w:val="00CE0B31"/>
    <w:rsid w:val="00CE39C4"/>
    <w:rsid w:val="00CE3C75"/>
    <w:rsid w:val="00CE7811"/>
    <w:rsid w:val="00CF3D71"/>
    <w:rsid w:val="00CF6574"/>
    <w:rsid w:val="00D02BAA"/>
    <w:rsid w:val="00D040DC"/>
    <w:rsid w:val="00D07643"/>
    <w:rsid w:val="00D15916"/>
    <w:rsid w:val="00D15D77"/>
    <w:rsid w:val="00D221EC"/>
    <w:rsid w:val="00D233B3"/>
    <w:rsid w:val="00D26E04"/>
    <w:rsid w:val="00D320F8"/>
    <w:rsid w:val="00D41D5B"/>
    <w:rsid w:val="00D427B2"/>
    <w:rsid w:val="00D55F80"/>
    <w:rsid w:val="00D56B0A"/>
    <w:rsid w:val="00D6013A"/>
    <w:rsid w:val="00D63F82"/>
    <w:rsid w:val="00D7307C"/>
    <w:rsid w:val="00D74600"/>
    <w:rsid w:val="00D75B83"/>
    <w:rsid w:val="00D77923"/>
    <w:rsid w:val="00D82B1F"/>
    <w:rsid w:val="00D8365C"/>
    <w:rsid w:val="00D84822"/>
    <w:rsid w:val="00D918E8"/>
    <w:rsid w:val="00D9526F"/>
    <w:rsid w:val="00DA5395"/>
    <w:rsid w:val="00DB5D24"/>
    <w:rsid w:val="00DB7619"/>
    <w:rsid w:val="00DC5A12"/>
    <w:rsid w:val="00DC6873"/>
    <w:rsid w:val="00DC7C22"/>
    <w:rsid w:val="00DD1219"/>
    <w:rsid w:val="00DE0ED3"/>
    <w:rsid w:val="00DE5AA8"/>
    <w:rsid w:val="00DF15E9"/>
    <w:rsid w:val="00DF20C2"/>
    <w:rsid w:val="00DF2CA7"/>
    <w:rsid w:val="00E011A2"/>
    <w:rsid w:val="00E03FBA"/>
    <w:rsid w:val="00E050C1"/>
    <w:rsid w:val="00E061CC"/>
    <w:rsid w:val="00E07B48"/>
    <w:rsid w:val="00E07E9A"/>
    <w:rsid w:val="00E12897"/>
    <w:rsid w:val="00E13F80"/>
    <w:rsid w:val="00E15861"/>
    <w:rsid w:val="00E17304"/>
    <w:rsid w:val="00E176D6"/>
    <w:rsid w:val="00E20CC4"/>
    <w:rsid w:val="00E23295"/>
    <w:rsid w:val="00E25A71"/>
    <w:rsid w:val="00E26066"/>
    <w:rsid w:val="00E31301"/>
    <w:rsid w:val="00E31B13"/>
    <w:rsid w:val="00E35BBD"/>
    <w:rsid w:val="00E3784E"/>
    <w:rsid w:val="00E42996"/>
    <w:rsid w:val="00E42DA6"/>
    <w:rsid w:val="00E437F5"/>
    <w:rsid w:val="00E43EA7"/>
    <w:rsid w:val="00E46434"/>
    <w:rsid w:val="00E51FE8"/>
    <w:rsid w:val="00E5481E"/>
    <w:rsid w:val="00E5549C"/>
    <w:rsid w:val="00E64F07"/>
    <w:rsid w:val="00E6513F"/>
    <w:rsid w:val="00E660B0"/>
    <w:rsid w:val="00E661CA"/>
    <w:rsid w:val="00E71D96"/>
    <w:rsid w:val="00E72866"/>
    <w:rsid w:val="00E73780"/>
    <w:rsid w:val="00E74E84"/>
    <w:rsid w:val="00E75816"/>
    <w:rsid w:val="00E85EEB"/>
    <w:rsid w:val="00E9198F"/>
    <w:rsid w:val="00E9554F"/>
    <w:rsid w:val="00E97B54"/>
    <w:rsid w:val="00EA0BBA"/>
    <w:rsid w:val="00EA117F"/>
    <w:rsid w:val="00EA1EE4"/>
    <w:rsid w:val="00EA291E"/>
    <w:rsid w:val="00EA5959"/>
    <w:rsid w:val="00EA598D"/>
    <w:rsid w:val="00EA5C86"/>
    <w:rsid w:val="00EA618C"/>
    <w:rsid w:val="00EA6982"/>
    <w:rsid w:val="00EA6A77"/>
    <w:rsid w:val="00EC2D0A"/>
    <w:rsid w:val="00EC40DB"/>
    <w:rsid w:val="00EC41C6"/>
    <w:rsid w:val="00EC5A17"/>
    <w:rsid w:val="00EC7817"/>
    <w:rsid w:val="00ED2544"/>
    <w:rsid w:val="00ED5BEE"/>
    <w:rsid w:val="00EE4AE3"/>
    <w:rsid w:val="00EF11A8"/>
    <w:rsid w:val="00EF1BFD"/>
    <w:rsid w:val="00EF412E"/>
    <w:rsid w:val="00EF5325"/>
    <w:rsid w:val="00EF5A67"/>
    <w:rsid w:val="00EF7ECB"/>
    <w:rsid w:val="00F00701"/>
    <w:rsid w:val="00F0291B"/>
    <w:rsid w:val="00F1149C"/>
    <w:rsid w:val="00F14654"/>
    <w:rsid w:val="00F15380"/>
    <w:rsid w:val="00F15B18"/>
    <w:rsid w:val="00F15DB4"/>
    <w:rsid w:val="00F24BE3"/>
    <w:rsid w:val="00F34933"/>
    <w:rsid w:val="00F36C5E"/>
    <w:rsid w:val="00F3703A"/>
    <w:rsid w:val="00F424AC"/>
    <w:rsid w:val="00F445DD"/>
    <w:rsid w:val="00F479DC"/>
    <w:rsid w:val="00F527A2"/>
    <w:rsid w:val="00F53D4E"/>
    <w:rsid w:val="00F615A3"/>
    <w:rsid w:val="00F62A42"/>
    <w:rsid w:val="00F66242"/>
    <w:rsid w:val="00F7034E"/>
    <w:rsid w:val="00F70604"/>
    <w:rsid w:val="00F71789"/>
    <w:rsid w:val="00F7253E"/>
    <w:rsid w:val="00F72FA7"/>
    <w:rsid w:val="00F75C21"/>
    <w:rsid w:val="00F76873"/>
    <w:rsid w:val="00F80F0B"/>
    <w:rsid w:val="00F81A66"/>
    <w:rsid w:val="00F81C76"/>
    <w:rsid w:val="00F87E7C"/>
    <w:rsid w:val="00F90B4F"/>
    <w:rsid w:val="00F90BD0"/>
    <w:rsid w:val="00F934F6"/>
    <w:rsid w:val="00F940D0"/>
    <w:rsid w:val="00F96DA9"/>
    <w:rsid w:val="00F96F3C"/>
    <w:rsid w:val="00FA2ED1"/>
    <w:rsid w:val="00FA70CA"/>
    <w:rsid w:val="00FA7405"/>
    <w:rsid w:val="00FA776F"/>
    <w:rsid w:val="00FA7912"/>
    <w:rsid w:val="00FB7BB4"/>
    <w:rsid w:val="00FD19ED"/>
    <w:rsid w:val="00FD6A26"/>
    <w:rsid w:val="00FE0EE1"/>
    <w:rsid w:val="00FE4E83"/>
    <w:rsid w:val="00FF49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BFFA0"/>
  <w15:docId w15:val="{FF832498-575D-4D52-AAC5-0C330C2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781F07"/>
    <w:pPr>
      <w:ind w:left="720"/>
      <w:contextualSpacing/>
    </w:pPr>
  </w:style>
  <w:style w:type="paragraph" w:styleId="FootnoteText">
    <w:name w:val="footnote text"/>
    <w:basedOn w:val="Normal"/>
    <w:link w:val="FootnoteTextChar"/>
    <w:uiPriority w:val="99"/>
    <w:unhideWhenUsed/>
    <w:qFormat/>
    <w:rsid w:val="00781F07"/>
    <w:rPr>
      <w:sz w:val="20"/>
      <w:szCs w:val="20"/>
    </w:rPr>
  </w:style>
  <w:style w:type="character" w:customStyle="1" w:styleId="FootnoteTextChar">
    <w:name w:val="Footnote Text Char"/>
    <w:basedOn w:val="DefaultParagraphFont"/>
    <w:link w:val="FootnoteText"/>
    <w:uiPriority w:val="99"/>
    <w:rsid w:val="00781F0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81F07"/>
    <w:rPr>
      <w:vertAlign w:val="superscript"/>
    </w:rPr>
  </w:style>
  <w:style w:type="character" w:customStyle="1" w:styleId="mc">
    <w:name w:val="mc"/>
    <w:basedOn w:val="DefaultParagraphFont"/>
    <w:rsid w:val="00E46434"/>
  </w:style>
  <w:style w:type="character" w:styleId="Hyperlink">
    <w:name w:val="Hyperlink"/>
    <w:basedOn w:val="DefaultParagraphFont"/>
    <w:uiPriority w:val="99"/>
    <w:semiHidden/>
    <w:unhideWhenUsed/>
    <w:rsid w:val="00331CAF"/>
    <w:rPr>
      <w:color w:val="0000FF"/>
      <w:u w:val="single"/>
    </w:rPr>
  </w:style>
  <w:style w:type="paragraph" w:customStyle="1" w:styleId="casehead1">
    <w:name w:val="casehead1"/>
    <w:basedOn w:val="Normal"/>
    <w:rsid w:val="00C909A0"/>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97805">
      <w:bodyDiv w:val="1"/>
      <w:marLeft w:val="0"/>
      <w:marRight w:val="0"/>
      <w:marTop w:val="0"/>
      <w:marBottom w:val="0"/>
      <w:divBdr>
        <w:top w:val="none" w:sz="0" w:space="0" w:color="auto"/>
        <w:left w:val="none" w:sz="0" w:space="0" w:color="auto"/>
        <w:bottom w:val="none" w:sz="0" w:space="0" w:color="auto"/>
        <w:right w:val="none" w:sz="0" w:space="0" w:color="auto"/>
      </w:divBdr>
      <w:divsChild>
        <w:div w:id="2097089434">
          <w:marLeft w:val="0"/>
          <w:marRight w:val="0"/>
          <w:marTop w:val="120"/>
          <w:marBottom w:val="0"/>
          <w:divBdr>
            <w:top w:val="none" w:sz="0" w:space="0" w:color="auto"/>
            <w:left w:val="none" w:sz="0" w:space="0" w:color="auto"/>
            <w:bottom w:val="none" w:sz="0" w:space="0" w:color="auto"/>
            <w:right w:val="none" w:sz="0" w:space="0" w:color="auto"/>
          </w:divBdr>
        </w:div>
      </w:divsChild>
    </w:div>
    <w:div w:id="1051199123">
      <w:bodyDiv w:val="1"/>
      <w:marLeft w:val="0"/>
      <w:marRight w:val="0"/>
      <w:marTop w:val="0"/>
      <w:marBottom w:val="0"/>
      <w:divBdr>
        <w:top w:val="none" w:sz="0" w:space="0" w:color="auto"/>
        <w:left w:val="none" w:sz="0" w:space="0" w:color="auto"/>
        <w:bottom w:val="none" w:sz="0" w:space="0" w:color="auto"/>
        <w:right w:val="none" w:sz="0" w:space="0" w:color="auto"/>
      </w:divBdr>
      <w:divsChild>
        <w:div w:id="1420834934">
          <w:marLeft w:val="0"/>
          <w:marRight w:val="0"/>
          <w:marTop w:val="120"/>
          <w:marBottom w:val="0"/>
          <w:divBdr>
            <w:top w:val="none" w:sz="0" w:space="0" w:color="auto"/>
            <w:left w:val="none" w:sz="0" w:space="0" w:color="auto"/>
            <w:bottom w:val="none" w:sz="0" w:space="0" w:color="auto"/>
            <w:right w:val="none" w:sz="0" w:space="0" w:color="auto"/>
          </w:divBdr>
        </w:div>
        <w:div w:id="844172336">
          <w:marLeft w:val="0"/>
          <w:marRight w:val="0"/>
          <w:marTop w:val="240"/>
          <w:marBottom w:val="24"/>
          <w:divBdr>
            <w:top w:val="single" w:sz="8" w:space="2" w:color="808080"/>
            <w:left w:val="none" w:sz="0" w:space="0" w:color="auto"/>
            <w:bottom w:val="none" w:sz="0" w:space="0" w:color="auto"/>
            <w:right w:val="none" w:sz="0" w:space="0" w:color="auto"/>
          </w:divBdr>
        </w:div>
        <w:div w:id="697199053">
          <w:marLeft w:val="0"/>
          <w:marRight w:val="0"/>
          <w:marTop w:val="120"/>
          <w:marBottom w:val="0"/>
          <w:divBdr>
            <w:top w:val="none" w:sz="0" w:space="0" w:color="auto"/>
            <w:left w:val="none" w:sz="0" w:space="0" w:color="auto"/>
            <w:bottom w:val="none" w:sz="0" w:space="0" w:color="auto"/>
            <w:right w:val="none" w:sz="0" w:space="0" w:color="auto"/>
          </w:divBdr>
        </w:div>
        <w:div w:id="118497317">
          <w:marLeft w:val="0"/>
          <w:marRight w:val="0"/>
          <w:marTop w:val="120"/>
          <w:marBottom w:val="0"/>
          <w:divBdr>
            <w:top w:val="none" w:sz="0" w:space="0" w:color="auto"/>
            <w:left w:val="none" w:sz="0" w:space="0" w:color="auto"/>
            <w:bottom w:val="none" w:sz="0" w:space="0" w:color="auto"/>
            <w:right w:val="none" w:sz="0" w:space="0" w:color="auto"/>
          </w:divBdr>
        </w:div>
      </w:divsChild>
    </w:div>
    <w:div w:id="1073313488">
      <w:bodyDiv w:val="1"/>
      <w:marLeft w:val="0"/>
      <w:marRight w:val="0"/>
      <w:marTop w:val="0"/>
      <w:marBottom w:val="0"/>
      <w:divBdr>
        <w:top w:val="none" w:sz="0" w:space="0" w:color="auto"/>
        <w:left w:val="none" w:sz="0" w:space="0" w:color="auto"/>
        <w:bottom w:val="none" w:sz="0" w:space="0" w:color="auto"/>
        <w:right w:val="none" w:sz="0" w:space="0" w:color="auto"/>
      </w:divBdr>
      <w:divsChild>
        <w:div w:id="1481850162">
          <w:marLeft w:val="0"/>
          <w:marRight w:val="0"/>
          <w:marTop w:val="120"/>
          <w:marBottom w:val="0"/>
          <w:divBdr>
            <w:top w:val="none" w:sz="0" w:space="0" w:color="auto"/>
            <w:left w:val="none" w:sz="0" w:space="0" w:color="auto"/>
            <w:bottom w:val="none" w:sz="0" w:space="0" w:color="auto"/>
            <w:right w:val="none" w:sz="0" w:space="0" w:color="auto"/>
          </w:divBdr>
        </w:div>
        <w:div w:id="1310132206">
          <w:marLeft w:val="0"/>
          <w:marRight w:val="0"/>
          <w:marTop w:val="120"/>
          <w:marBottom w:val="0"/>
          <w:divBdr>
            <w:top w:val="none" w:sz="0" w:space="0" w:color="auto"/>
            <w:left w:val="none" w:sz="0" w:space="0" w:color="auto"/>
            <w:bottom w:val="none" w:sz="0" w:space="0" w:color="auto"/>
            <w:right w:val="none" w:sz="0" w:space="0" w:color="auto"/>
          </w:divBdr>
        </w:div>
      </w:divsChild>
    </w:div>
    <w:div w:id="1353143177">
      <w:bodyDiv w:val="1"/>
      <w:marLeft w:val="0"/>
      <w:marRight w:val="0"/>
      <w:marTop w:val="0"/>
      <w:marBottom w:val="0"/>
      <w:divBdr>
        <w:top w:val="none" w:sz="0" w:space="0" w:color="auto"/>
        <w:left w:val="none" w:sz="0" w:space="0" w:color="auto"/>
        <w:bottom w:val="none" w:sz="0" w:space="0" w:color="auto"/>
        <w:right w:val="none" w:sz="0" w:space="0" w:color="auto"/>
      </w:divBdr>
      <w:divsChild>
        <w:div w:id="824011088">
          <w:marLeft w:val="0"/>
          <w:marRight w:val="0"/>
          <w:marTop w:val="120"/>
          <w:marBottom w:val="0"/>
          <w:divBdr>
            <w:top w:val="none" w:sz="0" w:space="0" w:color="auto"/>
            <w:left w:val="none" w:sz="0" w:space="0" w:color="auto"/>
            <w:bottom w:val="none" w:sz="0" w:space="0" w:color="auto"/>
            <w:right w:val="none" w:sz="0" w:space="0" w:color="auto"/>
          </w:divBdr>
        </w:div>
      </w:divsChild>
    </w:div>
    <w:div w:id="1760176658">
      <w:bodyDiv w:val="1"/>
      <w:marLeft w:val="0"/>
      <w:marRight w:val="0"/>
      <w:marTop w:val="0"/>
      <w:marBottom w:val="0"/>
      <w:divBdr>
        <w:top w:val="none" w:sz="0" w:space="0" w:color="auto"/>
        <w:left w:val="none" w:sz="0" w:space="0" w:color="auto"/>
        <w:bottom w:val="none" w:sz="0" w:space="0" w:color="auto"/>
        <w:right w:val="none" w:sz="0" w:space="0" w:color="auto"/>
      </w:divBdr>
    </w:div>
    <w:div w:id="18151776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227">
          <w:marLeft w:val="0"/>
          <w:marRight w:val="0"/>
          <w:marTop w:val="144"/>
          <w:marBottom w:val="24"/>
          <w:divBdr>
            <w:top w:val="none" w:sz="0" w:space="0" w:color="auto"/>
            <w:left w:val="none" w:sz="0" w:space="0" w:color="auto"/>
            <w:bottom w:val="none" w:sz="0" w:space="0" w:color="auto"/>
            <w:right w:val="none" w:sz="0" w:space="0" w:color="auto"/>
          </w:divBdr>
        </w:div>
      </w:divsChild>
    </w:div>
    <w:div w:id="2078555941">
      <w:bodyDiv w:val="1"/>
      <w:marLeft w:val="0"/>
      <w:marRight w:val="0"/>
      <w:marTop w:val="0"/>
      <w:marBottom w:val="0"/>
      <w:divBdr>
        <w:top w:val="none" w:sz="0" w:space="0" w:color="auto"/>
        <w:left w:val="none" w:sz="0" w:space="0" w:color="auto"/>
        <w:bottom w:val="none" w:sz="0" w:space="0" w:color="auto"/>
        <w:right w:val="none" w:sz="0" w:space="0" w:color="auto"/>
      </w:divBdr>
      <w:divsChild>
        <w:div w:id="182059558">
          <w:marLeft w:val="0"/>
          <w:marRight w:val="0"/>
          <w:marTop w:val="120"/>
          <w:marBottom w:val="0"/>
          <w:divBdr>
            <w:top w:val="none" w:sz="0" w:space="0" w:color="auto"/>
            <w:left w:val="none" w:sz="0" w:space="0" w:color="auto"/>
            <w:bottom w:val="none" w:sz="0" w:space="0" w:color="auto"/>
            <w:right w:val="none" w:sz="0" w:space="0" w:color="auto"/>
          </w:divBdr>
        </w:div>
        <w:div w:id="1952666396">
          <w:marLeft w:val="56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3.png@01D32573.78E9044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2ED34-2B85-4943-B59F-CFC6C1BD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Mariana Anguelov</cp:lastModifiedBy>
  <cp:revision>3</cp:revision>
  <cp:lastPrinted>2023-01-21T18:13:00Z</cp:lastPrinted>
  <dcterms:created xsi:type="dcterms:W3CDTF">2023-02-05T07:35:00Z</dcterms:created>
  <dcterms:modified xsi:type="dcterms:W3CDTF">2023-02-05T07:42:00Z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57b65fd134b5309cb1ba602393baf3e320b135b864d1ba55b140df27cee3b594</vt:lpwstr>
  </property>
</Properties>
</file>