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15" w:rsidRDefault="00D30EE9" w:rsidP="000276F5">
      <w:pPr>
        <w:spacing w:after="0" w:line="240" w:lineRule="auto"/>
        <w:rPr>
          <w:rFonts w:ascii="Arial" w:hAnsi="Arial" w:cs="Arial"/>
          <w:sz w:val="24"/>
          <w:szCs w:val="24"/>
        </w:rPr>
      </w:pPr>
      <w:bookmarkStart w:id="0" w:name="_GoBack"/>
      <w:bookmarkEnd w:id="0"/>
      <w:r w:rsidRPr="00D30EE9">
        <w:rPr>
          <w:rFonts w:ascii="Calibri" w:eastAsia="Calibri" w:hAnsi="Calibri" w:cs="Times New Roman"/>
          <w:noProof/>
          <w:lang w:val="en-US"/>
        </w:rPr>
        <w:drawing>
          <wp:anchor distT="0" distB="0" distL="0" distR="0" simplePos="0" relativeHeight="251659264" behindDoc="1" locked="0" layoutInCell="1" allowOverlap="1" wp14:anchorId="73279993" wp14:editId="513B8719">
            <wp:simplePos x="0" y="0"/>
            <wp:positionH relativeFrom="column">
              <wp:posOffset>2121332</wp:posOffset>
            </wp:positionH>
            <wp:positionV relativeFrom="line">
              <wp:posOffset>508</wp:posOffset>
            </wp:positionV>
            <wp:extent cx="1393825" cy="1393825"/>
            <wp:effectExtent l="0" t="0" r="0" b="0"/>
            <wp:wrapTight wrapText="bothSides">
              <wp:wrapPolygon edited="0">
                <wp:start x="0" y="0"/>
                <wp:lineTo x="0" y="21256"/>
                <wp:lineTo x="21256" y="21256"/>
                <wp:lineTo x="21256" y="0"/>
                <wp:lineTo x="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139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015" w:rsidRDefault="00F01015" w:rsidP="00F01015">
      <w:pPr>
        <w:pStyle w:val="Heading1"/>
        <w:jc w:val="center"/>
        <w:rPr>
          <w:rFonts w:ascii="Arial" w:hAnsi="Arial" w:cs="Arial"/>
          <w:szCs w:val="24"/>
        </w:rPr>
      </w:pPr>
    </w:p>
    <w:p w:rsidR="00F01015" w:rsidRDefault="00F01015" w:rsidP="00F01015">
      <w:pPr>
        <w:pStyle w:val="Heading1"/>
        <w:jc w:val="center"/>
        <w:rPr>
          <w:rFonts w:ascii="Arial" w:hAnsi="Arial" w:cs="Arial"/>
          <w:szCs w:val="24"/>
        </w:rPr>
      </w:pPr>
    </w:p>
    <w:p w:rsidR="00F01015" w:rsidRDefault="00F01015" w:rsidP="00F01015">
      <w:pPr>
        <w:pStyle w:val="Heading1"/>
        <w:rPr>
          <w:rFonts w:ascii="Arial" w:hAnsi="Arial" w:cs="Arial"/>
          <w:szCs w:val="24"/>
        </w:rPr>
      </w:pPr>
    </w:p>
    <w:p w:rsidR="00F01015" w:rsidRDefault="00F01015"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D30EE9" w:rsidRDefault="00D30EE9" w:rsidP="00F01015">
      <w:pPr>
        <w:spacing w:after="0" w:line="240" w:lineRule="auto"/>
        <w:jc w:val="center"/>
        <w:rPr>
          <w:rFonts w:ascii="Arial" w:hAnsi="Arial" w:cs="Arial"/>
          <w:b/>
          <w:sz w:val="24"/>
          <w:szCs w:val="24"/>
          <w:u w:val="single"/>
        </w:rPr>
      </w:pPr>
    </w:p>
    <w:p w:rsidR="00F01015" w:rsidRDefault="00F01015" w:rsidP="00F01015">
      <w:pPr>
        <w:spacing w:after="0" w:line="240" w:lineRule="auto"/>
        <w:jc w:val="center"/>
        <w:rPr>
          <w:rFonts w:ascii="Arial" w:hAnsi="Arial" w:cs="Arial"/>
          <w:b/>
          <w:sz w:val="24"/>
          <w:szCs w:val="24"/>
          <w:u w:val="single"/>
        </w:rPr>
      </w:pPr>
      <w:r>
        <w:rPr>
          <w:rFonts w:ascii="Arial" w:hAnsi="Arial" w:cs="Arial"/>
          <w:b/>
          <w:sz w:val="24"/>
          <w:szCs w:val="24"/>
          <w:u w:val="single"/>
        </w:rPr>
        <w:t>IN THE HIGH COURT OF SOUTH AFRICA,</w:t>
      </w:r>
    </w:p>
    <w:p w:rsidR="00F01015" w:rsidRDefault="00F01015" w:rsidP="00F01015">
      <w:pPr>
        <w:spacing w:after="0" w:line="240" w:lineRule="auto"/>
        <w:jc w:val="center"/>
        <w:rPr>
          <w:rFonts w:ascii="Arial" w:hAnsi="Arial" w:cs="Arial"/>
          <w:b/>
          <w:sz w:val="24"/>
          <w:szCs w:val="24"/>
          <w:u w:val="single"/>
        </w:rPr>
      </w:pPr>
      <w:r>
        <w:rPr>
          <w:rFonts w:ascii="Arial" w:hAnsi="Arial" w:cs="Arial"/>
          <w:b/>
          <w:sz w:val="24"/>
          <w:szCs w:val="24"/>
          <w:u w:val="single"/>
        </w:rPr>
        <w:t>FREE STATE DIVISION, BLOEMFONTEIN</w:t>
      </w:r>
    </w:p>
    <w:p w:rsidR="00F01015" w:rsidRDefault="00F01015" w:rsidP="00F01015">
      <w:pPr>
        <w:spacing w:after="0" w:line="240" w:lineRule="auto"/>
        <w:jc w:val="center"/>
        <w:rPr>
          <w:rFonts w:ascii="Arial" w:hAnsi="Arial" w:cs="Arial"/>
          <w:b/>
          <w:sz w:val="24"/>
          <w:szCs w:val="24"/>
          <w:u w:val="single"/>
        </w:rPr>
      </w:pPr>
    </w:p>
    <w:tbl>
      <w:tblPr>
        <w:tblStyle w:val="TableGrid"/>
        <w:tblW w:w="4253" w:type="dxa"/>
        <w:tblInd w:w="5353" w:type="dxa"/>
        <w:tblLook w:val="04A0" w:firstRow="1" w:lastRow="0" w:firstColumn="1" w:lastColumn="0" w:noHBand="0" w:noVBand="1"/>
      </w:tblPr>
      <w:tblGrid>
        <w:gridCol w:w="4253"/>
      </w:tblGrid>
      <w:tr w:rsidR="00F01015" w:rsidTr="000276F5">
        <w:trPr>
          <w:trHeight w:val="818"/>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1015" w:rsidRPr="006A37B9" w:rsidRDefault="00F01015">
            <w:pPr>
              <w:spacing w:line="240" w:lineRule="auto"/>
              <w:rPr>
                <w:rFonts w:ascii="Arial" w:eastAsia="Times New Roman" w:hAnsi="Arial" w:cs="Arial"/>
                <w:b/>
                <w:szCs w:val="16"/>
                <w:lang w:eastAsia="en-GB"/>
              </w:rPr>
            </w:pPr>
            <w:r w:rsidRPr="006A37B9">
              <w:rPr>
                <w:rFonts w:ascii="Arial" w:hAnsi="Arial" w:cs="Arial"/>
                <w:b/>
                <w:szCs w:val="16"/>
              </w:rPr>
              <w:t>Reportable:                              YES/NO</w:t>
            </w:r>
          </w:p>
          <w:p w:rsidR="00F01015" w:rsidRPr="006A37B9" w:rsidRDefault="00F01015">
            <w:pPr>
              <w:spacing w:line="240" w:lineRule="auto"/>
              <w:rPr>
                <w:rFonts w:ascii="Arial" w:hAnsi="Arial" w:cs="Arial"/>
                <w:b/>
                <w:szCs w:val="16"/>
              </w:rPr>
            </w:pPr>
            <w:r w:rsidRPr="006A37B9">
              <w:rPr>
                <w:rFonts w:ascii="Arial" w:hAnsi="Arial" w:cs="Arial"/>
                <w:b/>
                <w:szCs w:val="16"/>
              </w:rPr>
              <w:t>Of Interest to other Judges:   YES/NO</w:t>
            </w:r>
          </w:p>
          <w:p w:rsidR="00F01015" w:rsidRPr="006A37B9" w:rsidRDefault="00F01015">
            <w:pPr>
              <w:spacing w:line="240" w:lineRule="auto"/>
              <w:rPr>
                <w:rFonts w:ascii="Arial" w:eastAsia="Times New Roman" w:hAnsi="Arial" w:cs="Arial"/>
                <w:b/>
                <w:szCs w:val="24"/>
                <w:u w:val="single"/>
                <w:lang w:eastAsia="en-GB"/>
              </w:rPr>
            </w:pPr>
            <w:r w:rsidRPr="006A37B9">
              <w:rPr>
                <w:rFonts w:ascii="Arial" w:hAnsi="Arial" w:cs="Arial"/>
                <w:b/>
                <w:szCs w:val="16"/>
              </w:rPr>
              <w:t>Circulate to Magistrates:        YES/NO</w:t>
            </w:r>
          </w:p>
        </w:tc>
      </w:tr>
    </w:tbl>
    <w:p w:rsidR="00F01015" w:rsidRDefault="00F01015" w:rsidP="00F01015">
      <w:pPr>
        <w:spacing w:after="0" w:line="240" w:lineRule="auto"/>
        <w:jc w:val="both"/>
        <w:rPr>
          <w:rFonts w:ascii="Arial" w:hAnsi="Arial" w:cs="Arial"/>
          <w:b/>
          <w:sz w:val="24"/>
          <w:szCs w:val="24"/>
        </w:rPr>
      </w:pPr>
    </w:p>
    <w:p w:rsidR="00F01015" w:rsidRDefault="00F01015" w:rsidP="00F01015">
      <w:pPr>
        <w:tabs>
          <w:tab w:val="right" w:pos="9026"/>
        </w:tabs>
        <w:spacing w:after="0" w:line="240" w:lineRule="auto"/>
        <w:rPr>
          <w:rFonts w:ascii="Arial" w:hAnsi="Arial" w:cs="Arial"/>
          <w:b/>
          <w:sz w:val="24"/>
          <w:szCs w:val="24"/>
        </w:rPr>
      </w:pPr>
      <w:r>
        <w:rPr>
          <w:rFonts w:ascii="Arial" w:hAnsi="Arial" w:cs="Arial"/>
          <w:sz w:val="24"/>
          <w:szCs w:val="24"/>
        </w:rPr>
        <w:tab/>
        <w:t xml:space="preserve">Case number: </w:t>
      </w:r>
      <w:r w:rsidR="00F91404">
        <w:rPr>
          <w:rFonts w:ascii="Arial" w:hAnsi="Arial" w:cs="Arial"/>
          <w:b/>
          <w:sz w:val="24"/>
          <w:szCs w:val="24"/>
        </w:rPr>
        <w:t>4112/2020</w:t>
      </w:r>
    </w:p>
    <w:p w:rsidR="00F01015" w:rsidRDefault="00F01015" w:rsidP="00F01015">
      <w:pPr>
        <w:tabs>
          <w:tab w:val="right" w:pos="9026"/>
        </w:tabs>
        <w:spacing w:after="0" w:line="240" w:lineRule="auto"/>
        <w:jc w:val="both"/>
        <w:rPr>
          <w:rFonts w:ascii="Arial" w:hAnsi="Arial" w:cs="Arial"/>
          <w:sz w:val="24"/>
          <w:szCs w:val="24"/>
        </w:rPr>
      </w:pPr>
    </w:p>
    <w:p w:rsidR="00F45ED8" w:rsidRDefault="00F45ED8" w:rsidP="00F45ED8">
      <w:pPr>
        <w:tabs>
          <w:tab w:val="right" w:pos="9026"/>
        </w:tabs>
        <w:spacing w:after="0" w:line="240" w:lineRule="auto"/>
        <w:jc w:val="both"/>
        <w:rPr>
          <w:rFonts w:ascii="Arial" w:hAnsi="Arial" w:cs="Arial"/>
          <w:sz w:val="24"/>
          <w:szCs w:val="24"/>
        </w:rPr>
      </w:pPr>
      <w:r>
        <w:rPr>
          <w:rFonts w:ascii="Arial" w:hAnsi="Arial" w:cs="Arial"/>
          <w:sz w:val="24"/>
          <w:szCs w:val="24"/>
        </w:rPr>
        <w:t xml:space="preserve">In the matter between: </w:t>
      </w:r>
    </w:p>
    <w:p w:rsidR="00B13800" w:rsidRDefault="00B13800" w:rsidP="00F45ED8">
      <w:pPr>
        <w:tabs>
          <w:tab w:val="right" w:pos="9026"/>
        </w:tabs>
        <w:spacing w:after="0" w:line="240" w:lineRule="auto"/>
        <w:jc w:val="both"/>
        <w:rPr>
          <w:rFonts w:ascii="Arial" w:hAnsi="Arial" w:cs="Arial"/>
          <w:sz w:val="24"/>
          <w:szCs w:val="24"/>
        </w:rPr>
      </w:pPr>
    </w:p>
    <w:p w:rsidR="00D30EE9" w:rsidRDefault="00D30EE9" w:rsidP="00F45ED8">
      <w:pPr>
        <w:tabs>
          <w:tab w:val="right" w:pos="9026"/>
        </w:tabs>
        <w:spacing w:after="0" w:line="240" w:lineRule="auto"/>
        <w:jc w:val="both"/>
        <w:rPr>
          <w:rFonts w:ascii="Arial" w:hAnsi="Arial" w:cs="Arial"/>
          <w:sz w:val="24"/>
          <w:szCs w:val="24"/>
        </w:rPr>
      </w:pPr>
    </w:p>
    <w:p w:rsidR="006A37B9" w:rsidRPr="006A37B9" w:rsidRDefault="00F91404" w:rsidP="006A37B9">
      <w:pPr>
        <w:spacing w:after="0" w:line="240" w:lineRule="auto"/>
        <w:jc w:val="both"/>
        <w:rPr>
          <w:rFonts w:ascii="Arial" w:hAnsi="Arial" w:cs="Arial"/>
          <w:sz w:val="24"/>
          <w:szCs w:val="24"/>
        </w:rPr>
      </w:pPr>
      <w:r>
        <w:rPr>
          <w:rFonts w:ascii="Arial" w:hAnsi="Arial" w:cs="Arial"/>
          <w:b/>
          <w:sz w:val="24"/>
          <w:szCs w:val="24"/>
        </w:rPr>
        <w:t>PINASE AND ASSOCIATES CC</w:t>
      </w:r>
      <w:r w:rsidR="006A37B9" w:rsidRPr="006A37B9">
        <w:rPr>
          <w:rFonts w:ascii="Arial" w:hAnsi="Arial" w:cs="Arial"/>
          <w:sz w:val="24"/>
          <w:szCs w:val="24"/>
        </w:rPr>
        <w:tab/>
      </w:r>
      <w:r w:rsidR="006A37B9" w:rsidRP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sidR="006A37B9" w:rsidRPr="006A37B9">
        <w:rPr>
          <w:rFonts w:ascii="Arial" w:hAnsi="Arial" w:cs="Arial"/>
          <w:sz w:val="24"/>
          <w:szCs w:val="24"/>
        </w:rPr>
        <w:t>Applicant</w:t>
      </w:r>
    </w:p>
    <w:p w:rsidR="006A37B9" w:rsidRPr="006A37B9" w:rsidRDefault="006A37B9" w:rsidP="006A37B9">
      <w:pPr>
        <w:tabs>
          <w:tab w:val="left" w:pos="1200"/>
        </w:tabs>
        <w:spacing w:after="0" w:line="240" w:lineRule="auto"/>
        <w:jc w:val="both"/>
        <w:rPr>
          <w:rFonts w:ascii="Arial" w:hAnsi="Arial" w:cs="Arial"/>
          <w:sz w:val="24"/>
          <w:szCs w:val="24"/>
        </w:rPr>
      </w:pPr>
    </w:p>
    <w:p w:rsidR="006A37B9" w:rsidRPr="006A37B9" w:rsidRDefault="006A37B9" w:rsidP="006A37B9">
      <w:pPr>
        <w:spacing w:after="0" w:line="240" w:lineRule="auto"/>
        <w:jc w:val="both"/>
        <w:rPr>
          <w:rFonts w:ascii="Arial" w:hAnsi="Arial" w:cs="Arial"/>
          <w:sz w:val="24"/>
          <w:szCs w:val="24"/>
        </w:rPr>
      </w:pPr>
      <w:r w:rsidRPr="006A37B9">
        <w:rPr>
          <w:rFonts w:ascii="Arial" w:hAnsi="Arial" w:cs="Arial"/>
          <w:sz w:val="24"/>
          <w:szCs w:val="24"/>
        </w:rPr>
        <w:t>and</w:t>
      </w:r>
    </w:p>
    <w:p w:rsidR="006A37B9" w:rsidRDefault="006A37B9" w:rsidP="006A37B9">
      <w:pPr>
        <w:spacing w:after="0" w:line="240" w:lineRule="auto"/>
        <w:jc w:val="both"/>
        <w:rPr>
          <w:rFonts w:ascii="Arial" w:hAnsi="Arial" w:cs="Arial"/>
          <w:sz w:val="24"/>
          <w:szCs w:val="24"/>
        </w:rPr>
      </w:pPr>
    </w:p>
    <w:p w:rsidR="00B13800" w:rsidRPr="006A37B9" w:rsidRDefault="00B13800" w:rsidP="006A37B9">
      <w:pPr>
        <w:spacing w:after="0" w:line="240" w:lineRule="auto"/>
        <w:jc w:val="both"/>
        <w:rPr>
          <w:rFonts w:ascii="Arial" w:hAnsi="Arial" w:cs="Arial"/>
          <w:sz w:val="24"/>
          <w:szCs w:val="24"/>
        </w:rPr>
      </w:pPr>
    </w:p>
    <w:p w:rsidR="006A37B9" w:rsidRPr="006A37B9" w:rsidRDefault="00F91404" w:rsidP="006A37B9">
      <w:pPr>
        <w:spacing w:after="0" w:line="240" w:lineRule="auto"/>
        <w:jc w:val="both"/>
        <w:rPr>
          <w:rFonts w:ascii="Arial" w:hAnsi="Arial" w:cs="Arial"/>
          <w:sz w:val="24"/>
          <w:szCs w:val="24"/>
        </w:rPr>
      </w:pPr>
      <w:r>
        <w:rPr>
          <w:rFonts w:ascii="Arial" w:hAnsi="Arial" w:cs="Arial"/>
          <w:b/>
          <w:sz w:val="24"/>
          <w:szCs w:val="24"/>
        </w:rPr>
        <w:t>DEPARTMENT OF HEALTH FREE STATE</w:t>
      </w:r>
      <w:r w:rsid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sidR="006A37B9">
        <w:rPr>
          <w:rFonts w:ascii="Arial" w:hAnsi="Arial" w:cs="Arial"/>
          <w:sz w:val="24"/>
          <w:szCs w:val="24"/>
        </w:rPr>
        <w:tab/>
      </w:r>
      <w:r>
        <w:rPr>
          <w:rFonts w:ascii="Arial" w:hAnsi="Arial" w:cs="Arial"/>
          <w:sz w:val="24"/>
          <w:szCs w:val="24"/>
        </w:rPr>
        <w:t>1</w:t>
      </w:r>
      <w:r w:rsidRPr="00F91404">
        <w:rPr>
          <w:rFonts w:ascii="Arial" w:hAnsi="Arial" w:cs="Arial"/>
          <w:sz w:val="24"/>
          <w:szCs w:val="24"/>
          <w:vertAlign w:val="superscript"/>
        </w:rPr>
        <w:t>ST</w:t>
      </w:r>
      <w:r>
        <w:rPr>
          <w:rFonts w:ascii="Arial" w:hAnsi="Arial" w:cs="Arial"/>
          <w:sz w:val="24"/>
          <w:szCs w:val="24"/>
        </w:rPr>
        <w:t xml:space="preserve"> </w:t>
      </w:r>
      <w:r w:rsidR="006A37B9" w:rsidRPr="006A37B9">
        <w:rPr>
          <w:rFonts w:ascii="Arial" w:hAnsi="Arial" w:cs="Arial"/>
          <w:sz w:val="24"/>
          <w:szCs w:val="24"/>
        </w:rPr>
        <w:t>Respondent</w:t>
      </w:r>
    </w:p>
    <w:p w:rsidR="006A37B9" w:rsidRDefault="006A37B9" w:rsidP="006A37B9">
      <w:pPr>
        <w:spacing w:after="0" w:line="240" w:lineRule="auto"/>
        <w:jc w:val="both"/>
        <w:rPr>
          <w:rFonts w:ascii="Arial" w:hAnsi="Arial" w:cs="Arial"/>
          <w:sz w:val="24"/>
          <w:szCs w:val="24"/>
        </w:rPr>
      </w:pPr>
    </w:p>
    <w:p w:rsidR="00F91404" w:rsidRDefault="00F91404" w:rsidP="006A37B9">
      <w:pPr>
        <w:spacing w:after="0" w:line="240" w:lineRule="auto"/>
        <w:jc w:val="both"/>
        <w:rPr>
          <w:rFonts w:ascii="Arial" w:hAnsi="Arial" w:cs="Arial"/>
          <w:sz w:val="24"/>
          <w:szCs w:val="24"/>
        </w:rPr>
      </w:pPr>
      <w:r w:rsidRPr="00F91404">
        <w:rPr>
          <w:rFonts w:ascii="Arial" w:hAnsi="Arial" w:cs="Arial"/>
          <w:b/>
          <w:sz w:val="24"/>
          <w:szCs w:val="24"/>
        </w:rPr>
        <w:t>THE MEMBER OF THE EXECUTIVE COUNCIL</w:t>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F91404">
        <w:rPr>
          <w:rFonts w:ascii="Arial" w:hAnsi="Arial" w:cs="Arial"/>
          <w:sz w:val="24"/>
          <w:szCs w:val="24"/>
          <w:vertAlign w:val="superscript"/>
        </w:rPr>
        <w:t>ND</w:t>
      </w:r>
      <w:r w:rsidRPr="00F91404">
        <w:rPr>
          <w:rFonts w:ascii="Arial" w:hAnsi="Arial" w:cs="Arial"/>
          <w:sz w:val="24"/>
          <w:szCs w:val="24"/>
        </w:rPr>
        <w:t xml:space="preserve"> Respondent</w:t>
      </w:r>
    </w:p>
    <w:p w:rsidR="006A37B9" w:rsidRPr="00F91404" w:rsidRDefault="00F91404" w:rsidP="006A37B9">
      <w:pPr>
        <w:spacing w:after="0" w:line="240" w:lineRule="auto"/>
        <w:jc w:val="both"/>
        <w:rPr>
          <w:rFonts w:ascii="Arial" w:hAnsi="Arial" w:cs="Arial"/>
          <w:b/>
          <w:sz w:val="24"/>
          <w:szCs w:val="24"/>
        </w:rPr>
      </w:pPr>
      <w:r w:rsidRPr="00F91404">
        <w:rPr>
          <w:rFonts w:ascii="Arial" w:hAnsi="Arial" w:cs="Arial"/>
          <w:b/>
          <w:sz w:val="24"/>
          <w:szCs w:val="24"/>
        </w:rPr>
        <w:t xml:space="preserve">HEALTH, FREE STATE </w:t>
      </w:r>
      <w:r w:rsidR="006A37B9" w:rsidRPr="00F91404">
        <w:rPr>
          <w:rFonts w:ascii="Arial" w:hAnsi="Arial" w:cs="Arial"/>
          <w:b/>
          <w:sz w:val="24"/>
          <w:szCs w:val="24"/>
        </w:rPr>
        <w:tab/>
      </w:r>
      <w:r w:rsidR="006A37B9" w:rsidRPr="00F91404">
        <w:rPr>
          <w:rFonts w:ascii="Arial" w:hAnsi="Arial" w:cs="Arial"/>
          <w:b/>
          <w:sz w:val="24"/>
          <w:szCs w:val="24"/>
        </w:rPr>
        <w:tab/>
      </w:r>
      <w:r w:rsidR="006A37B9" w:rsidRPr="00F91404">
        <w:rPr>
          <w:rFonts w:ascii="Arial" w:hAnsi="Arial" w:cs="Arial"/>
          <w:b/>
          <w:sz w:val="24"/>
          <w:szCs w:val="24"/>
        </w:rPr>
        <w:tab/>
      </w:r>
      <w:r w:rsidR="006A37B9" w:rsidRPr="00F91404">
        <w:rPr>
          <w:rFonts w:ascii="Arial" w:hAnsi="Arial" w:cs="Arial"/>
          <w:b/>
          <w:sz w:val="24"/>
          <w:szCs w:val="24"/>
        </w:rPr>
        <w:tab/>
      </w:r>
      <w:r w:rsidR="006A37B9" w:rsidRPr="00F91404">
        <w:rPr>
          <w:rFonts w:ascii="Arial" w:hAnsi="Arial" w:cs="Arial"/>
          <w:b/>
          <w:sz w:val="24"/>
          <w:szCs w:val="24"/>
        </w:rPr>
        <w:tab/>
      </w:r>
      <w:r w:rsidR="006A37B9" w:rsidRPr="00F91404">
        <w:rPr>
          <w:rFonts w:ascii="Arial" w:hAnsi="Arial" w:cs="Arial"/>
          <w:b/>
          <w:sz w:val="24"/>
          <w:szCs w:val="24"/>
        </w:rPr>
        <w:tab/>
      </w:r>
      <w:r w:rsidR="006A37B9" w:rsidRPr="00F91404">
        <w:rPr>
          <w:rFonts w:ascii="Arial" w:hAnsi="Arial" w:cs="Arial"/>
          <w:b/>
          <w:sz w:val="24"/>
          <w:szCs w:val="24"/>
        </w:rPr>
        <w:tab/>
      </w:r>
    </w:p>
    <w:p w:rsidR="006A37B9" w:rsidRPr="006A37B9" w:rsidRDefault="006A37B9" w:rsidP="006A37B9">
      <w:pPr>
        <w:spacing w:after="0" w:line="240" w:lineRule="auto"/>
        <w:jc w:val="both"/>
        <w:rPr>
          <w:rFonts w:ascii="Arial" w:hAnsi="Arial" w:cs="Arial"/>
          <w:sz w:val="24"/>
          <w:szCs w:val="24"/>
        </w:rPr>
      </w:pPr>
    </w:p>
    <w:p w:rsidR="00F91404" w:rsidRDefault="00F91404" w:rsidP="006A37B9">
      <w:pPr>
        <w:spacing w:after="0" w:line="240" w:lineRule="auto"/>
        <w:jc w:val="both"/>
        <w:rPr>
          <w:rFonts w:ascii="Arial" w:hAnsi="Arial" w:cs="Arial"/>
          <w:b/>
          <w:sz w:val="24"/>
          <w:szCs w:val="24"/>
        </w:rPr>
      </w:pPr>
      <w:r>
        <w:rPr>
          <w:rFonts w:ascii="Arial" w:hAnsi="Arial" w:cs="Arial"/>
          <w:b/>
          <w:sz w:val="24"/>
          <w:szCs w:val="24"/>
        </w:rPr>
        <w:t>BE PART OF IT CONSULTING ENGINEERING</w:t>
      </w:r>
    </w:p>
    <w:p w:rsidR="006A37B9" w:rsidRDefault="00F91404" w:rsidP="006A37B9">
      <w:pPr>
        <w:spacing w:after="0" w:line="240" w:lineRule="auto"/>
        <w:jc w:val="both"/>
        <w:rPr>
          <w:rFonts w:ascii="Arial" w:hAnsi="Arial" w:cs="Arial"/>
          <w:sz w:val="24"/>
          <w:szCs w:val="24"/>
        </w:rPr>
      </w:pPr>
      <w:r>
        <w:rPr>
          <w:rFonts w:ascii="Arial" w:hAnsi="Arial" w:cs="Arial"/>
          <w:b/>
          <w:sz w:val="24"/>
          <w:szCs w:val="24"/>
        </w:rPr>
        <w:t xml:space="preserve">(PTY) LTD </w:t>
      </w:r>
      <w:r>
        <w:rPr>
          <w:rFonts w:ascii="Arial" w:hAnsi="Arial" w:cs="Arial"/>
          <w:b/>
          <w:sz w:val="24"/>
          <w:szCs w:val="24"/>
        </w:rPr>
        <w:tab/>
      </w:r>
      <w:r>
        <w:rPr>
          <w:rFonts w:ascii="Arial" w:hAnsi="Arial" w:cs="Arial"/>
          <w:b/>
          <w:sz w:val="24"/>
          <w:szCs w:val="24"/>
        </w:rPr>
        <w:tab/>
      </w:r>
      <w:r w:rsidR="006A37B9" w:rsidRPr="006A37B9">
        <w:rPr>
          <w:rFonts w:ascii="Arial" w:hAnsi="Arial" w:cs="Arial"/>
          <w:sz w:val="24"/>
          <w:szCs w:val="24"/>
        </w:rPr>
        <w:tab/>
      </w:r>
      <w:r w:rsidR="006A37B9" w:rsidRPr="006A37B9">
        <w:rPr>
          <w:rFonts w:ascii="Arial" w:hAnsi="Arial" w:cs="Arial"/>
          <w:sz w:val="24"/>
          <w:szCs w:val="24"/>
        </w:rPr>
        <w:tab/>
      </w:r>
      <w:r w:rsidR="006A37B9" w:rsidRPr="006A37B9">
        <w:rPr>
          <w:rFonts w:ascii="Arial" w:hAnsi="Arial" w:cs="Arial"/>
          <w:sz w:val="24"/>
          <w:szCs w:val="24"/>
        </w:rPr>
        <w:tab/>
      </w:r>
      <w:r w:rsidR="006A37B9" w:rsidRPr="006A37B9">
        <w:rPr>
          <w:rFonts w:ascii="Arial" w:hAnsi="Arial" w:cs="Arial"/>
          <w:sz w:val="24"/>
          <w:szCs w:val="24"/>
        </w:rPr>
        <w:tab/>
      </w:r>
      <w:r w:rsidR="006A37B9" w:rsidRPr="006A37B9">
        <w:rPr>
          <w:rFonts w:ascii="Arial" w:hAnsi="Arial" w:cs="Arial"/>
          <w:sz w:val="24"/>
          <w:szCs w:val="24"/>
        </w:rPr>
        <w:tab/>
      </w:r>
      <w:r w:rsidR="006A37B9" w:rsidRPr="006A37B9">
        <w:rPr>
          <w:rFonts w:ascii="Arial" w:hAnsi="Arial" w:cs="Arial"/>
          <w:sz w:val="24"/>
          <w:szCs w:val="24"/>
        </w:rPr>
        <w:tab/>
      </w:r>
      <w:r w:rsidR="006A37B9" w:rsidRPr="006A37B9">
        <w:rPr>
          <w:rFonts w:ascii="Arial" w:hAnsi="Arial" w:cs="Arial"/>
          <w:sz w:val="24"/>
          <w:szCs w:val="24"/>
        </w:rPr>
        <w:tab/>
      </w:r>
      <w:r>
        <w:rPr>
          <w:rFonts w:ascii="Arial" w:hAnsi="Arial" w:cs="Arial"/>
          <w:sz w:val="24"/>
          <w:szCs w:val="24"/>
        </w:rPr>
        <w:t>3</w:t>
      </w:r>
      <w:r w:rsidRPr="00F91404">
        <w:rPr>
          <w:rFonts w:ascii="Arial" w:hAnsi="Arial" w:cs="Arial"/>
          <w:sz w:val="24"/>
          <w:szCs w:val="24"/>
          <w:vertAlign w:val="superscript"/>
        </w:rPr>
        <w:t>RD</w:t>
      </w:r>
      <w:r>
        <w:rPr>
          <w:rFonts w:ascii="Arial" w:hAnsi="Arial" w:cs="Arial"/>
          <w:sz w:val="24"/>
          <w:szCs w:val="24"/>
        </w:rPr>
        <w:t xml:space="preserve"> </w:t>
      </w:r>
      <w:r w:rsidRPr="00F91404">
        <w:rPr>
          <w:rFonts w:ascii="Arial" w:hAnsi="Arial" w:cs="Arial"/>
          <w:sz w:val="24"/>
          <w:szCs w:val="24"/>
        </w:rPr>
        <w:t>Respondent</w:t>
      </w:r>
    </w:p>
    <w:p w:rsidR="00F91404" w:rsidRDefault="00F91404" w:rsidP="006A37B9">
      <w:pPr>
        <w:spacing w:after="0" w:line="240" w:lineRule="auto"/>
        <w:jc w:val="both"/>
        <w:rPr>
          <w:rFonts w:ascii="Arial" w:hAnsi="Arial" w:cs="Arial"/>
          <w:sz w:val="24"/>
          <w:szCs w:val="24"/>
        </w:rPr>
      </w:pPr>
    </w:p>
    <w:p w:rsidR="00F91404" w:rsidRPr="006A37B9" w:rsidRDefault="00F91404" w:rsidP="006A37B9">
      <w:pPr>
        <w:spacing w:after="0" w:line="240" w:lineRule="auto"/>
        <w:jc w:val="both"/>
        <w:rPr>
          <w:rFonts w:ascii="Arial" w:hAnsi="Arial" w:cs="Arial"/>
          <w:sz w:val="24"/>
          <w:szCs w:val="24"/>
        </w:rPr>
      </w:pPr>
      <w:r w:rsidRPr="00B13800">
        <w:rPr>
          <w:rFonts w:ascii="Arial" w:hAnsi="Arial" w:cs="Arial"/>
          <w:b/>
          <w:sz w:val="24"/>
          <w:szCs w:val="24"/>
        </w:rPr>
        <w:t>MAROGELA CONSULTING ENGINEERS (</w:t>
      </w:r>
      <w:r w:rsidR="00B13800" w:rsidRPr="00B13800">
        <w:rPr>
          <w:rFonts w:ascii="Arial" w:hAnsi="Arial" w:cs="Arial"/>
          <w:b/>
          <w:sz w:val="24"/>
          <w:szCs w:val="24"/>
        </w:rPr>
        <w:t>PTY) LTD</w:t>
      </w:r>
      <w:r w:rsidR="00B13800">
        <w:rPr>
          <w:rFonts w:ascii="Arial" w:hAnsi="Arial" w:cs="Arial"/>
          <w:sz w:val="24"/>
          <w:szCs w:val="24"/>
        </w:rPr>
        <w:t xml:space="preserve"> </w:t>
      </w:r>
      <w:r w:rsidR="00B13800">
        <w:rPr>
          <w:rFonts w:ascii="Arial" w:hAnsi="Arial" w:cs="Arial"/>
          <w:sz w:val="24"/>
          <w:szCs w:val="24"/>
        </w:rPr>
        <w:tab/>
      </w:r>
      <w:r w:rsidR="00B13800">
        <w:rPr>
          <w:rFonts w:ascii="Arial" w:hAnsi="Arial" w:cs="Arial"/>
          <w:sz w:val="24"/>
          <w:szCs w:val="24"/>
        </w:rPr>
        <w:tab/>
        <w:t>4</w:t>
      </w:r>
      <w:r w:rsidR="00B13800" w:rsidRPr="00B13800">
        <w:rPr>
          <w:rFonts w:ascii="Arial" w:hAnsi="Arial" w:cs="Arial"/>
          <w:sz w:val="24"/>
          <w:szCs w:val="24"/>
          <w:vertAlign w:val="superscript"/>
        </w:rPr>
        <w:t>TH</w:t>
      </w:r>
      <w:r w:rsidR="00B13800">
        <w:rPr>
          <w:rFonts w:ascii="Arial" w:hAnsi="Arial" w:cs="Arial"/>
          <w:sz w:val="24"/>
          <w:szCs w:val="24"/>
        </w:rPr>
        <w:t xml:space="preserve"> </w:t>
      </w:r>
      <w:r w:rsidR="00B13800" w:rsidRPr="00B13800">
        <w:rPr>
          <w:rFonts w:ascii="Arial" w:hAnsi="Arial" w:cs="Arial"/>
          <w:sz w:val="24"/>
          <w:szCs w:val="24"/>
        </w:rPr>
        <w:t>Respondent</w:t>
      </w:r>
    </w:p>
    <w:p w:rsidR="006A37B9" w:rsidRPr="006A37B9" w:rsidRDefault="00F45ED8" w:rsidP="006A37B9">
      <w:pPr>
        <w:pBdr>
          <w:bottom w:val="single" w:sz="12" w:space="1" w:color="auto"/>
        </w:pBdr>
        <w:tabs>
          <w:tab w:val="left" w:pos="7395"/>
        </w:tabs>
        <w:spacing w:after="0" w:line="240" w:lineRule="auto"/>
        <w:jc w:val="both"/>
        <w:rPr>
          <w:rFonts w:ascii="Arial" w:hAnsi="Arial" w:cs="Arial"/>
          <w:sz w:val="24"/>
          <w:szCs w:val="24"/>
        </w:rPr>
      </w:pPr>
      <w:r>
        <w:rPr>
          <w:rFonts w:ascii="Arial" w:hAnsi="Arial" w:cs="Arial"/>
          <w:sz w:val="24"/>
          <w:szCs w:val="24"/>
        </w:rPr>
        <w:tab/>
      </w:r>
    </w:p>
    <w:p w:rsidR="00F45ED8" w:rsidRDefault="00F45ED8" w:rsidP="00F45ED8">
      <w:pPr>
        <w:spacing w:after="0" w:line="240" w:lineRule="auto"/>
        <w:contextualSpacing/>
        <w:jc w:val="both"/>
        <w:rPr>
          <w:rFonts w:ascii="Arial" w:hAnsi="Arial" w:cs="Arial"/>
          <w:b/>
          <w:sz w:val="24"/>
          <w:szCs w:val="24"/>
          <w:u w:val="single"/>
        </w:rPr>
      </w:pPr>
    </w:p>
    <w:p w:rsidR="00F45ED8" w:rsidRDefault="00F45ED8" w:rsidP="005664A5">
      <w:pPr>
        <w:pBdr>
          <w:bottom w:val="single" w:sz="12" w:space="1" w:color="auto"/>
        </w:pBdr>
        <w:spacing w:after="0" w:line="240" w:lineRule="auto"/>
        <w:contextualSpacing/>
        <w:jc w:val="both"/>
        <w:rPr>
          <w:rFonts w:ascii="Arial" w:hAnsi="Arial" w:cs="Arial"/>
          <w:sz w:val="24"/>
          <w:szCs w:val="24"/>
        </w:rPr>
      </w:pPr>
      <w:r>
        <w:rPr>
          <w:rFonts w:ascii="Arial" w:hAnsi="Arial" w:cs="Arial"/>
          <w:b/>
          <w:sz w:val="24"/>
          <w:szCs w:val="24"/>
          <w:u w:val="single"/>
        </w:rPr>
        <w:t>JUDGMENT BY:</w:t>
      </w:r>
      <w:r>
        <w:rPr>
          <w:rFonts w:ascii="Arial" w:hAnsi="Arial" w:cs="Arial"/>
          <w:b/>
          <w:sz w:val="24"/>
          <w:szCs w:val="24"/>
        </w:rPr>
        <w:tab/>
      </w:r>
      <w:r w:rsidR="00D30EE9">
        <w:rPr>
          <w:rFonts w:ascii="Arial" w:hAnsi="Arial" w:cs="Arial"/>
          <w:b/>
          <w:sz w:val="24"/>
          <w:szCs w:val="24"/>
        </w:rPr>
        <w:tab/>
      </w:r>
      <w:r>
        <w:rPr>
          <w:rFonts w:ascii="Arial" w:hAnsi="Arial" w:cs="Arial"/>
          <w:b/>
          <w:sz w:val="24"/>
          <w:szCs w:val="24"/>
        </w:rPr>
        <w:tab/>
      </w:r>
      <w:r>
        <w:rPr>
          <w:rFonts w:ascii="Arial" w:hAnsi="Arial" w:cs="Arial"/>
          <w:sz w:val="24"/>
          <w:szCs w:val="24"/>
        </w:rPr>
        <w:t>REINDERS J</w:t>
      </w:r>
    </w:p>
    <w:p w:rsidR="00F45ED8" w:rsidRDefault="00F45ED8" w:rsidP="005664A5">
      <w:pPr>
        <w:pBdr>
          <w:bottom w:val="single" w:sz="12" w:space="1" w:color="auto"/>
        </w:pBdr>
        <w:spacing w:after="0" w:line="240" w:lineRule="auto"/>
        <w:contextualSpacing/>
        <w:jc w:val="both"/>
        <w:rPr>
          <w:rFonts w:ascii="Arial" w:hAnsi="Arial" w:cs="Arial"/>
          <w:sz w:val="24"/>
          <w:szCs w:val="24"/>
          <w:u w:val="single"/>
        </w:rPr>
      </w:pPr>
    </w:p>
    <w:p w:rsidR="00F45ED8" w:rsidRDefault="00F45ED8" w:rsidP="00F45ED8">
      <w:pPr>
        <w:spacing w:after="0" w:line="240" w:lineRule="auto"/>
        <w:jc w:val="both"/>
        <w:rPr>
          <w:rFonts w:ascii="Arial" w:hAnsi="Arial" w:cs="Arial"/>
          <w:sz w:val="24"/>
          <w:szCs w:val="24"/>
        </w:rPr>
      </w:pPr>
    </w:p>
    <w:p w:rsidR="00E96079" w:rsidRPr="00E86445" w:rsidRDefault="00F45ED8" w:rsidP="000276F5">
      <w:pPr>
        <w:pBdr>
          <w:bottom w:val="single" w:sz="12" w:space="1" w:color="auto"/>
        </w:pBdr>
        <w:spacing w:after="0" w:line="240" w:lineRule="auto"/>
        <w:jc w:val="both"/>
        <w:rPr>
          <w:rFonts w:ascii="Arial" w:hAnsi="Arial" w:cs="Arial"/>
        </w:rPr>
      </w:pPr>
      <w:r>
        <w:rPr>
          <w:rFonts w:ascii="Arial" w:hAnsi="Arial" w:cs="Arial"/>
          <w:b/>
          <w:sz w:val="24"/>
          <w:szCs w:val="24"/>
          <w:u w:val="single"/>
        </w:rPr>
        <w:t>HEARD ON:</w:t>
      </w:r>
      <w:r>
        <w:rPr>
          <w:rFonts w:ascii="Arial" w:hAnsi="Arial" w:cs="Arial"/>
          <w:b/>
          <w:sz w:val="24"/>
          <w:szCs w:val="24"/>
        </w:rPr>
        <w:tab/>
      </w:r>
      <w:r>
        <w:rPr>
          <w:rFonts w:ascii="Arial" w:hAnsi="Arial" w:cs="Arial"/>
          <w:b/>
          <w:sz w:val="24"/>
          <w:szCs w:val="24"/>
        </w:rPr>
        <w:tab/>
      </w:r>
      <w:r w:rsidR="003A54BA">
        <w:rPr>
          <w:rFonts w:ascii="Arial" w:hAnsi="Arial" w:cs="Arial"/>
          <w:b/>
          <w:sz w:val="24"/>
          <w:szCs w:val="24"/>
        </w:rPr>
        <w:tab/>
      </w:r>
      <w:r w:rsidR="00E86445">
        <w:rPr>
          <w:rFonts w:ascii="Arial" w:hAnsi="Arial" w:cs="Arial"/>
          <w:b/>
          <w:sz w:val="24"/>
          <w:szCs w:val="24"/>
        </w:rPr>
        <w:tab/>
      </w:r>
      <w:r w:rsidR="00E86445">
        <w:rPr>
          <w:rFonts w:ascii="Arial" w:hAnsi="Arial" w:cs="Arial"/>
        </w:rPr>
        <w:t>18 MAY 2023</w:t>
      </w:r>
    </w:p>
    <w:p w:rsidR="006A37B9" w:rsidRDefault="00F45ED8" w:rsidP="000276F5">
      <w:pPr>
        <w:pBdr>
          <w:bottom w:val="single" w:sz="12" w:space="1" w:color="auto"/>
        </w:pBdr>
        <w:spacing w:after="0" w:line="240" w:lineRule="auto"/>
        <w:jc w:val="both"/>
        <w:rPr>
          <w:rFonts w:ascii="Arial" w:hAnsi="Arial" w:cs="Arial"/>
          <w:b/>
          <w:sz w:val="24"/>
          <w:szCs w:val="24"/>
        </w:rPr>
      </w:pPr>
      <w:r>
        <w:rPr>
          <w:rFonts w:ascii="Arial" w:hAnsi="Arial" w:cs="Arial"/>
          <w:b/>
          <w:sz w:val="24"/>
          <w:szCs w:val="24"/>
        </w:rPr>
        <w:tab/>
      </w:r>
    </w:p>
    <w:p w:rsidR="005664A5" w:rsidRPr="00B95408" w:rsidRDefault="005664A5" w:rsidP="000276F5">
      <w:pPr>
        <w:spacing w:after="0" w:line="240" w:lineRule="auto"/>
        <w:jc w:val="both"/>
        <w:rPr>
          <w:rFonts w:ascii="Arial" w:hAnsi="Arial" w:cs="Arial"/>
          <w:bCs/>
          <w:sz w:val="24"/>
          <w:szCs w:val="24"/>
        </w:rPr>
      </w:pPr>
    </w:p>
    <w:p w:rsidR="00145BE6" w:rsidRDefault="00DC45BC" w:rsidP="00145BE6">
      <w:pPr>
        <w:spacing w:after="0" w:line="240" w:lineRule="auto"/>
        <w:jc w:val="both"/>
        <w:rPr>
          <w:rFonts w:ascii="Arial" w:hAnsi="Arial" w:cs="Arial"/>
          <w:b/>
          <w:sz w:val="24"/>
          <w:szCs w:val="24"/>
          <w:u w:val="single"/>
        </w:rPr>
      </w:pPr>
      <w:r>
        <w:rPr>
          <w:rFonts w:ascii="Arial" w:hAnsi="Arial" w:cs="Arial"/>
          <w:b/>
          <w:sz w:val="24"/>
          <w:szCs w:val="24"/>
          <w:u w:val="single"/>
        </w:rPr>
        <w:t>DELIVERED ON:</w:t>
      </w:r>
    </w:p>
    <w:p w:rsidR="00145BE6" w:rsidRDefault="00145BE6" w:rsidP="00145BE6">
      <w:pPr>
        <w:spacing w:after="0" w:line="240" w:lineRule="auto"/>
        <w:jc w:val="both"/>
        <w:rPr>
          <w:rFonts w:ascii="Arial" w:hAnsi="Arial" w:cs="Arial"/>
          <w:b/>
          <w:sz w:val="24"/>
          <w:szCs w:val="24"/>
          <w:u w:val="single"/>
        </w:rPr>
      </w:pPr>
    </w:p>
    <w:p w:rsidR="00DC45BC" w:rsidRPr="00145BE6" w:rsidRDefault="00DC45BC" w:rsidP="00145BE6">
      <w:pPr>
        <w:spacing w:after="0" w:line="240" w:lineRule="auto"/>
        <w:jc w:val="both"/>
        <w:rPr>
          <w:rFonts w:ascii="Arial" w:hAnsi="Arial" w:cs="Arial"/>
          <w:b/>
          <w:sz w:val="24"/>
          <w:szCs w:val="24"/>
          <w:u w:val="single"/>
        </w:rPr>
      </w:pPr>
      <w:r>
        <w:rPr>
          <w:rFonts w:ascii="Arial" w:hAnsi="Arial" w:cs="Arial"/>
        </w:rPr>
        <w:t xml:space="preserve">This judgment was handed down in open court </w:t>
      </w:r>
      <w:r w:rsidR="00D27DE9">
        <w:rPr>
          <w:rFonts w:ascii="Arial" w:hAnsi="Arial" w:cs="Arial"/>
        </w:rPr>
        <w:t>on 18 A</w:t>
      </w:r>
      <w:r w:rsidR="00E86445">
        <w:rPr>
          <w:rFonts w:ascii="Arial" w:hAnsi="Arial" w:cs="Arial"/>
        </w:rPr>
        <w:t>UGUST</w:t>
      </w:r>
      <w:r w:rsidR="008C4D40">
        <w:rPr>
          <w:rFonts w:ascii="Arial" w:hAnsi="Arial" w:cs="Arial"/>
        </w:rPr>
        <w:t xml:space="preserve"> 2023 at 09h3</w:t>
      </w:r>
      <w:r w:rsidR="00D27DE9">
        <w:rPr>
          <w:rFonts w:ascii="Arial" w:hAnsi="Arial" w:cs="Arial"/>
        </w:rPr>
        <w:t>0 and thereafter</w:t>
      </w:r>
      <w:r>
        <w:rPr>
          <w:rFonts w:ascii="Arial" w:hAnsi="Arial" w:cs="Arial"/>
        </w:rPr>
        <w:t xml:space="preserve"> circulated to the parties’ representatives by electronic mail communication.</w:t>
      </w:r>
    </w:p>
    <w:p w:rsidR="000276F5" w:rsidRDefault="000276F5" w:rsidP="000276F5">
      <w:pPr>
        <w:spacing w:after="0" w:line="240" w:lineRule="auto"/>
        <w:jc w:val="both"/>
        <w:rPr>
          <w:rFonts w:ascii="Arial" w:hAnsi="Arial" w:cs="Arial"/>
          <w:b/>
          <w:sz w:val="24"/>
          <w:szCs w:val="24"/>
          <w:u w:val="single"/>
        </w:rPr>
      </w:pPr>
    </w:p>
    <w:p w:rsidR="000276F5" w:rsidRDefault="00F45ED8" w:rsidP="00E96079">
      <w:pPr>
        <w:pBdr>
          <w:bottom w:val="single" w:sz="12" w:space="1" w:color="auto"/>
        </w:pBdr>
        <w:spacing w:after="0" w:line="240" w:lineRule="auto"/>
        <w:jc w:val="both"/>
        <w:rPr>
          <w:rFonts w:ascii="Arial" w:hAnsi="Arial" w:cs="Arial"/>
          <w:b/>
          <w:sz w:val="24"/>
          <w:szCs w:val="24"/>
        </w:rPr>
      </w:pPr>
      <w:r>
        <w:rPr>
          <w:rFonts w:ascii="Arial" w:hAnsi="Arial" w:cs="Arial"/>
          <w:b/>
          <w:sz w:val="24"/>
          <w:szCs w:val="24"/>
        </w:rPr>
        <w:tab/>
      </w:r>
      <w:r w:rsidR="00155A73">
        <w:rPr>
          <w:rFonts w:ascii="Arial" w:hAnsi="Arial" w:cs="Arial"/>
          <w:b/>
          <w:sz w:val="24"/>
          <w:szCs w:val="24"/>
        </w:rPr>
        <w:tab/>
      </w:r>
    </w:p>
    <w:p w:rsidR="001219B5" w:rsidRPr="007C0809" w:rsidRDefault="00775ADC" w:rsidP="000E52DB">
      <w:pPr>
        <w:spacing w:after="0"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In October 2020 </w:t>
      </w:r>
      <w:r w:rsidR="007C0809">
        <w:rPr>
          <w:rFonts w:ascii="Arial" w:hAnsi="Arial" w:cs="Arial"/>
          <w:sz w:val="24"/>
          <w:szCs w:val="24"/>
        </w:rPr>
        <w:t>the applicant (as plaintiff) issued summons against</w:t>
      </w:r>
      <w:r w:rsidR="00167A81">
        <w:rPr>
          <w:rFonts w:ascii="Arial" w:hAnsi="Arial" w:cs="Arial"/>
          <w:sz w:val="24"/>
          <w:szCs w:val="24"/>
        </w:rPr>
        <w:t xml:space="preserve"> the first and second respondents</w:t>
      </w:r>
      <w:r w:rsidR="007C0809">
        <w:rPr>
          <w:rFonts w:ascii="Arial" w:hAnsi="Arial" w:cs="Arial"/>
          <w:sz w:val="24"/>
          <w:szCs w:val="24"/>
        </w:rPr>
        <w:t xml:space="preserve"> </w:t>
      </w:r>
      <w:r w:rsidR="000E52DB">
        <w:rPr>
          <w:rFonts w:ascii="Arial" w:hAnsi="Arial" w:cs="Arial"/>
          <w:sz w:val="24"/>
          <w:szCs w:val="24"/>
        </w:rPr>
        <w:t>(as first and second defendants</w:t>
      </w:r>
      <w:r w:rsidR="008F3ABA">
        <w:rPr>
          <w:rFonts w:ascii="Arial" w:hAnsi="Arial" w:cs="Arial"/>
          <w:sz w:val="24"/>
          <w:szCs w:val="24"/>
        </w:rPr>
        <w:t xml:space="preserve"> </w:t>
      </w:r>
      <w:r w:rsidR="00167A81">
        <w:rPr>
          <w:rFonts w:ascii="Arial" w:hAnsi="Arial" w:cs="Arial"/>
          <w:sz w:val="24"/>
          <w:szCs w:val="24"/>
        </w:rPr>
        <w:t>- hereafter only “the defendants”</w:t>
      </w:r>
      <w:r w:rsidR="000E52DB">
        <w:rPr>
          <w:rFonts w:ascii="Arial" w:hAnsi="Arial" w:cs="Arial"/>
          <w:sz w:val="24"/>
          <w:szCs w:val="24"/>
        </w:rPr>
        <w:t>). Referenc</w:t>
      </w:r>
      <w:r w:rsidR="00167A81">
        <w:rPr>
          <w:rFonts w:ascii="Arial" w:hAnsi="Arial" w:cs="Arial"/>
          <w:sz w:val="24"/>
          <w:szCs w:val="24"/>
        </w:rPr>
        <w:t xml:space="preserve">e to the parties will </w:t>
      </w:r>
      <w:r w:rsidR="000E52DB">
        <w:rPr>
          <w:rFonts w:ascii="Arial" w:hAnsi="Arial" w:cs="Arial"/>
          <w:sz w:val="24"/>
          <w:szCs w:val="24"/>
        </w:rPr>
        <w:t xml:space="preserve">be as in the main action. </w:t>
      </w:r>
      <w:r w:rsidR="00396E7E">
        <w:rPr>
          <w:rFonts w:ascii="Arial" w:hAnsi="Arial" w:cs="Arial"/>
          <w:sz w:val="24"/>
          <w:szCs w:val="24"/>
        </w:rPr>
        <w:t xml:space="preserve">After the defendants filed its plea, </w:t>
      </w:r>
      <w:r w:rsidR="00EA2F81">
        <w:rPr>
          <w:rFonts w:ascii="Arial" w:hAnsi="Arial" w:cs="Arial"/>
          <w:sz w:val="24"/>
          <w:szCs w:val="24"/>
        </w:rPr>
        <w:t>the plai</w:t>
      </w:r>
      <w:r w:rsidR="00396E7E">
        <w:rPr>
          <w:rFonts w:ascii="Arial" w:hAnsi="Arial" w:cs="Arial"/>
          <w:sz w:val="24"/>
          <w:szCs w:val="24"/>
        </w:rPr>
        <w:t xml:space="preserve">ntiff </w:t>
      </w:r>
      <w:r w:rsidR="00B24182">
        <w:rPr>
          <w:rFonts w:ascii="Arial" w:hAnsi="Arial" w:cs="Arial"/>
          <w:sz w:val="24"/>
          <w:szCs w:val="24"/>
        </w:rPr>
        <w:t xml:space="preserve">belatedly </w:t>
      </w:r>
      <w:r w:rsidR="00396E7E">
        <w:rPr>
          <w:rFonts w:ascii="Arial" w:hAnsi="Arial" w:cs="Arial"/>
          <w:sz w:val="24"/>
          <w:szCs w:val="24"/>
        </w:rPr>
        <w:t>applied for summary judgment.</w:t>
      </w:r>
      <w:r w:rsidR="00B24182">
        <w:rPr>
          <w:rFonts w:ascii="Arial" w:hAnsi="Arial" w:cs="Arial"/>
          <w:sz w:val="24"/>
          <w:szCs w:val="24"/>
        </w:rPr>
        <w:t xml:space="preserve"> The defendant opposed the condonation application as well as the application for summary judgment.</w:t>
      </w:r>
      <w:r w:rsidR="00167A81">
        <w:rPr>
          <w:rFonts w:ascii="Arial" w:hAnsi="Arial" w:cs="Arial"/>
          <w:sz w:val="24"/>
          <w:szCs w:val="24"/>
        </w:rPr>
        <w:t xml:space="preserve">  </w:t>
      </w:r>
    </w:p>
    <w:p w:rsidR="001219B5" w:rsidRDefault="001219B5" w:rsidP="001219B5">
      <w:pPr>
        <w:spacing w:after="0" w:line="360" w:lineRule="auto"/>
        <w:jc w:val="both"/>
        <w:rPr>
          <w:rFonts w:ascii="Arial" w:hAnsi="Arial" w:cs="Arial"/>
          <w:sz w:val="24"/>
          <w:szCs w:val="24"/>
        </w:rPr>
      </w:pPr>
    </w:p>
    <w:p w:rsidR="001219B5" w:rsidRDefault="000E52DB" w:rsidP="000E52DB">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67A81">
        <w:rPr>
          <w:rFonts w:ascii="Arial" w:hAnsi="Arial" w:cs="Arial"/>
          <w:sz w:val="24"/>
          <w:szCs w:val="24"/>
        </w:rPr>
        <w:t>At the commencement of the court proceedings</w:t>
      </w:r>
      <w:r w:rsidR="00775ADC">
        <w:rPr>
          <w:rFonts w:ascii="Arial" w:hAnsi="Arial" w:cs="Arial"/>
          <w:sz w:val="24"/>
          <w:szCs w:val="24"/>
        </w:rPr>
        <w:t xml:space="preserve"> I condoned the late filing </w:t>
      </w:r>
      <w:r>
        <w:rPr>
          <w:rFonts w:ascii="Arial" w:hAnsi="Arial" w:cs="Arial"/>
          <w:sz w:val="24"/>
          <w:szCs w:val="24"/>
        </w:rPr>
        <w:t>of this application and directed the parties to proceed with the merit</w:t>
      </w:r>
      <w:r w:rsidR="008513AF">
        <w:rPr>
          <w:rFonts w:ascii="Arial" w:hAnsi="Arial" w:cs="Arial"/>
          <w:sz w:val="24"/>
          <w:szCs w:val="24"/>
        </w:rPr>
        <w:t>s</w:t>
      </w:r>
      <w:r>
        <w:rPr>
          <w:rFonts w:ascii="Arial" w:hAnsi="Arial" w:cs="Arial"/>
          <w:sz w:val="24"/>
          <w:szCs w:val="24"/>
        </w:rPr>
        <w:t xml:space="preserve"> of the application. </w:t>
      </w:r>
      <w:r w:rsidR="00E86445">
        <w:rPr>
          <w:rFonts w:ascii="Arial" w:hAnsi="Arial" w:cs="Arial"/>
          <w:sz w:val="24"/>
          <w:szCs w:val="24"/>
        </w:rPr>
        <w:t>It is not t</w:t>
      </w:r>
      <w:r w:rsidR="001219B5">
        <w:rPr>
          <w:rFonts w:ascii="Arial" w:hAnsi="Arial" w:cs="Arial"/>
          <w:sz w:val="24"/>
          <w:szCs w:val="24"/>
        </w:rPr>
        <w:t xml:space="preserve">he principles applicable to an application for summary judgment </w:t>
      </w:r>
      <w:r w:rsidR="00E86445">
        <w:rPr>
          <w:rFonts w:ascii="Arial" w:hAnsi="Arial" w:cs="Arial"/>
          <w:sz w:val="24"/>
          <w:szCs w:val="24"/>
        </w:rPr>
        <w:t xml:space="preserve">that are </w:t>
      </w:r>
      <w:r w:rsidR="007C0809">
        <w:rPr>
          <w:rFonts w:ascii="Arial" w:hAnsi="Arial" w:cs="Arial"/>
          <w:sz w:val="24"/>
          <w:szCs w:val="24"/>
        </w:rPr>
        <w:t xml:space="preserve">in dispute between the parties, but rather the application thereof to the facts of this matter. </w:t>
      </w:r>
      <w:r w:rsidR="00E86445">
        <w:rPr>
          <w:rFonts w:ascii="Arial" w:hAnsi="Arial" w:cs="Arial"/>
          <w:sz w:val="24"/>
          <w:szCs w:val="24"/>
        </w:rPr>
        <w:t>The factual matrix creating</w:t>
      </w:r>
      <w:r w:rsidR="00B4139C">
        <w:rPr>
          <w:rFonts w:ascii="Arial" w:hAnsi="Arial" w:cs="Arial"/>
          <w:sz w:val="24"/>
          <w:szCs w:val="24"/>
        </w:rPr>
        <w:t xml:space="preserve"> the backdrop to the application emanates from a tender awarded to the plaintiff by the defendants</w:t>
      </w:r>
      <w:r w:rsidR="00E86445">
        <w:rPr>
          <w:rFonts w:ascii="Arial" w:hAnsi="Arial" w:cs="Arial"/>
          <w:sz w:val="24"/>
          <w:szCs w:val="24"/>
        </w:rPr>
        <w:t xml:space="preserve"> in an amount of </w:t>
      </w:r>
      <w:r w:rsidR="00B4139C">
        <w:rPr>
          <w:rFonts w:ascii="Arial" w:hAnsi="Arial" w:cs="Arial"/>
          <w:sz w:val="24"/>
          <w:szCs w:val="24"/>
        </w:rPr>
        <w:t>R 3 269 520.00 for the provision of profe</w:t>
      </w:r>
      <w:r w:rsidR="008F3ABA">
        <w:rPr>
          <w:rFonts w:ascii="Arial" w:hAnsi="Arial" w:cs="Arial"/>
          <w:sz w:val="24"/>
          <w:szCs w:val="24"/>
        </w:rPr>
        <w:t>ssional engineering services in respect of</w:t>
      </w:r>
      <w:r w:rsidR="00B4139C">
        <w:rPr>
          <w:rFonts w:ascii="Arial" w:hAnsi="Arial" w:cs="Arial"/>
          <w:sz w:val="24"/>
          <w:szCs w:val="24"/>
        </w:rPr>
        <w:t xml:space="preserve"> minor refurbishments at the </w:t>
      </w:r>
      <w:r w:rsidR="008F3ABA">
        <w:rPr>
          <w:rFonts w:ascii="Arial" w:hAnsi="Arial" w:cs="Arial"/>
          <w:sz w:val="24"/>
          <w:szCs w:val="24"/>
        </w:rPr>
        <w:t xml:space="preserve">provincial </w:t>
      </w:r>
      <w:r w:rsidR="00B4139C">
        <w:rPr>
          <w:rFonts w:ascii="Arial" w:hAnsi="Arial" w:cs="Arial"/>
          <w:sz w:val="24"/>
          <w:szCs w:val="24"/>
        </w:rPr>
        <w:t>Pelonomi Hospital in Bloemfontein</w:t>
      </w:r>
      <w:r w:rsidR="00E86445">
        <w:rPr>
          <w:rFonts w:ascii="Arial" w:hAnsi="Arial" w:cs="Arial"/>
          <w:sz w:val="24"/>
          <w:szCs w:val="24"/>
        </w:rPr>
        <w:t>,</w:t>
      </w:r>
      <w:r w:rsidR="007A5EC0">
        <w:rPr>
          <w:rFonts w:ascii="Arial" w:hAnsi="Arial" w:cs="Arial"/>
          <w:sz w:val="24"/>
          <w:szCs w:val="24"/>
        </w:rPr>
        <w:t xml:space="preserve"> and further averred “affirmations</w:t>
      </w:r>
      <w:r w:rsidR="00BF1481">
        <w:rPr>
          <w:rFonts w:ascii="Arial" w:hAnsi="Arial" w:cs="Arial"/>
          <w:sz w:val="24"/>
          <w:szCs w:val="24"/>
        </w:rPr>
        <w:t xml:space="preserve">” (the “extended </w:t>
      </w:r>
      <w:r w:rsidR="007A5EC0">
        <w:rPr>
          <w:rFonts w:ascii="Arial" w:hAnsi="Arial" w:cs="Arial"/>
          <w:sz w:val="24"/>
          <w:szCs w:val="24"/>
        </w:rPr>
        <w:t>agreement”</w:t>
      </w:r>
      <w:r w:rsidR="00BF1481">
        <w:rPr>
          <w:rFonts w:ascii="Arial" w:hAnsi="Arial" w:cs="Arial"/>
          <w:sz w:val="24"/>
          <w:szCs w:val="24"/>
        </w:rPr>
        <w:t>)</w:t>
      </w:r>
      <w:r w:rsidR="007A5EC0">
        <w:rPr>
          <w:rFonts w:ascii="Arial" w:hAnsi="Arial" w:cs="Arial"/>
          <w:sz w:val="24"/>
          <w:szCs w:val="24"/>
        </w:rPr>
        <w:t xml:space="preserve"> </w:t>
      </w:r>
      <w:r w:rsidR="00B4139C">
        <w:rPr>
          <w:rFonts w:ascii="Arial" w:hAnsi="Arial" w:cs="Arial"/>
          <w:sz w:val="24"/>
          <w:szCs w:val="24"/>
        </w:rPr>
        <w:t>concluded between the parties.</w:t>
      </w:r>
    </w:p>
    <w:p w:rsidR="008513AF" w:rsidRDefault="008513AF" w:rsidP="000E52DB">
      <w:pPr>
        <w:spacing w:after="0" w:line="360" w:lineRule="auto"/>
        <w:ind w:left="720" w:hanging="720"/>
        <w:jc w:val="both"/>
        <w:rPr>
          <w:rFonts w:ascii="Arial" w:hAnsi="Arial" w:cs="Arial"/>
          <w:sz w:val="24"/>
          <w:szCs w:val="24"/>
        </w:rPr>
      </w:pPr>
    </w:p>
    <w:p w:rsidR="00E86445" w:rsidRDefault="008513AF" w:rsidP="000E52DB">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75ADC">
        <w:rPr>
          <w:rFonts w:ascii="Arial" w:hAnsi="Arial" w:cs="Arial"/>
          <w:sz w:val="24"/>
          <w:szCs w:val="24"/>
        </w:rPr>
        <w:t>The plaintiff moves for summary judgment against the defendants in the amount of R 73 047 462,60, interest thereon and cost of suit. The defendant resisted the application for summa</w:t>
      </w:r>
      <w:r w:rsidR="00FD0950">
        <w:rPr>
          <w:rFonts w:ascii="Arial" w:hAnsi="Arial" w:cs="Arial"/>
          <w:sz w:val="24"/>
          <w:szCs w:val="24"/>
        </w:rPr>
        <w:t xml:space="preserve">ry judgment on </w:t>
      </w:r>
      <w:r w:rsidR="002703F4">
        <w:rPr>
          <w:rFonts w:ascii="Arial" w:hAnsi="Arial" w:cs="Arial"/>
          <w:sz w:val="24"/>
          <w:szCs w:val="24"/>
        </w:rPr>
        <w:t>several grounds, including a</w:t>
      </w:r>
      <w:r w:rsidR="00FD0950">
        <w:rPr>
          <w:rFonts w:ascii="Arial" w:hAnsi="Arial" w:cs="Arial"/>
          <w:sz w:val="24"/>
          <w:szCs w:val="24"/>
        </w:rPr>
        <w:t xml:space="preserve"> lack of authority by the deponent to depose to the verifying affidavit, prescription, a counterclaim for overpayment, non-conclusion of </w:t>
      </w:r>
      <w:r w:rsidR="002703F4">
        <w:rPr>
          <w:rFonts w:ascii="Arial" w:hAnsi="Arial" w:cs="Arial"/>
          <w:sz w:val="24"/>
          <w:szCs w:val="24"/>
        </w:rPr>
        <w:t>the alleged extended scope of work, a lack of authority to conclude the la</w:t>
      </w:r>
      <w:r w:rsidR="00E86445">
        <w:rPr>
          <w:rFonts w:ascii="Arial" w:hAnsi="Arial" w:cs="Arial"/>
          <w:sz w:val="24"/>
          <w:szCs w:val="24"/>
        </w:rPr>
        <w:t>tter and non-compliance with statutorily mandated</w:t>
      </w:r>
      <w:r w:rsidR="002703F4">
        <w:rPr>
          <w:rFonts w:ascii="Arial" w:hAnsi="Arial" w:cs="Arial"/>
          <w:sz w:val="24"/>
          <w:szCs w:val="24"/>
        </w:rPr>
        <w:t xml:space="preserve"> procurement processes.</w:t>
      </w:r>
      <w:r w:rsidR="00FD0950">
        <w:rPr>
          <w:rFonts w:ascii="Arial" w:hAnsi="Arial" w:cs="Arial"/>
          <w:sz w:val="24"/>
          <w:szCs w:val="24"/>
        </w:rPr>
        <w:t xml:space="preserve"> </w:t>
      </w:r>
    </w:p>
    <w:p w:rsidR="00E86445" w:rsidRDefault="00E86445" w:rsidP="000E52DB">
      <w:pPr>
        <w:spacing w:after="0" w:line="360" w:lineRule="auto"/>
        <w:ind w:left="720" w:hanging="720"/>
        <w:jc w:val="both"/>
        <w:rPr>
          <w:rFonts w:ascii="Arial" w:hAnsi="Arial" w:cs="Arial"/>
          <w:sz w:val="24"/>
          <w:szCs w:val="24"/>
        </w:rPr>
      </w:pPr>
    </w:p>
    <w:p w:rsidR="008513AF" w:rsidRDefault="00E86445" w:rsidP="000E52DB">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A2F81">
        <w:rPr>
          <w:rFonts w:ascii="Arial" w:hAnsi="Arial" w:cs="Arial"/>
          <w:sz w:val="24"/>
          <w:szCs w:val="24"/>
        </w:rPr>
        <w:t xml:space="preserve">The deponent </w:t>
      </w:r>
      <w:r>
        <w:rPr>
          <w:rFonts w:ascii="Arial" w:hAnsi="Arial" w:cs="Arial"/>
          <w:sz w:val="24"/>
          <w:szCs w:val="24"/>
        </w:rPr>
        <w:t xml:space="preserve">on behalf of the plaintiff in the founding affidavit to the </w:t>
      </w:r>
      <w:r w:rsidR="00EA2F81">
        <w:rPr>
          <w:rFonts w:ascii="Arial" w:hAnsi="Arial" w:cs="Arial"/>
          <w:sz w:val="24"/>
          <w:szCs w:val="24"/>
        </w:rPr>
        <w:t xml:space="preserve">application for summary judgment </w:t>
      </w:r>
      <w:r w:rsidR="00B24182">
        <w:rPr>
          <w:rFonts w:ascii="Arial" w:hAnsi="Arial" w:cs="Arial"/>
          <w:sz w:val="24"/>
          <w:szCs w:val="24"/>
        </w:rPr>
        <w:t>avers</w:t>
      </w:r>
      <w:r w:rsidR="00B4139C">
        <w:rPr>
          <w:rFonts w:ascii="Arial" w:hAnsi="Arial" w:cs="Arial"/>
          <w:sz w:val="24"/>
          <w:szCs w:val="24"/>
        </w:rPr>
        <w:t xml:space="preserve"> </w:t>
      </w:r>
      <w:r w:rsidR="00665D17">
        <w:rPr>
          <w:rFonts w:ascii="Arial" w:hAnsi="Arial" w:cs="Arial"/>
          <w:sz w:val="24"/>
          <w:szCs w:val="24"/>
        </w:rPr>
        <w:t xml:space="preserve">that the defendants have failed to provide a bona fide defence </w:t>
      </w:r>
      <w:r w:rsidR="00B24182">
        <w:rPr>
          <w:rFonts w:ascii="Arial" w:hAnsi="Arial" w:cs="Arial"/>
          <w:sz w:val="24"/>
          <w:szCs w:val="24"/>
        </w:rPr>
        <w:t xml:space="preserve">to </w:t>
      </w:r>
      <w:r w:rsidR="00665D17">
        <w:rPr>
          <w:rFonts w:ascii="Arial" w:hAnsi="Arial" w:cs="Arial"/>
          <w:sz w:val="24"/>
          <w:szCs w:val="24"/>
        </w:rPr>
        <w:t>the plaintiff’s claim</w:t>
      </w:r>
      <w:r w:rsidR="007A5EC0">
        <w:rPr>
          <w:rFonts w:ascii="Arial" w:hAnsi="Arial" w:cs="Arial"/>
          <w:sz w:val="24"/>
          <w:szCs w:val="24"/>
        </w:rPr>
        <w:t xml:space="preserve">. In heads of argument filed on behalf of plaintiff and in oral submission it was submitted that plaintiff’s claim is based </w:t>
      </w:r>
      <w:r w:rsidR="00665D17">
        <w:rPr>
          <w:rFonts w:ascii="Arial" w:hAnsi="Arial" w:cs="Arial"/>
          <w:sz w:val="24"/>
          <w:szCs w:val="24"/>
        </w:rPr>
        <w:t>“on a liquid docu</w:t>
      </w:r>
      <w:r w:rsidR="00B24182">
        <w:rPr>
          <w:rFonts w:ascii="Arial" w:hAnsi="Arial" w:cs="Arial"/>
          <w:sz w:val="24"/>
          <w:szCs w:val="24"/>
        </w:rPr>
        <w:t>ment or for a liquidated amount”</w:t>
      </w:r>
      <w:r w:rsidR="00665D17">
        <w:rPr>
          <w:rFonts w:ascii="Arial" w:hAnsi="Arial" w:cs="Arial"/>
          <w:sz w:val="24"/>
          <w:szCs w:val="24"/>
        </w:rPr>
        <w:t xml:space="preserve">. </w:t>
      </w:r>
      <w:r w:rsidR="00B24182">
        <w:rPr>
          <w:rFonts w:ascii="Arial" w:hAnsi="Arial" w:cs="Arial"/>
          <w:sz w:val="24"/>
          <w:szCs w:val="24"/>
        </w:rPr>
        <w:t xml:space="preserve">I am not convinced that </w:t>
      </w:r>
      <w:r w:rsidR="007A5EC0">
        <w:rPr>
          <w:rFonts w:ascii="Arial" w:hAnsi="Arial" w:cs="Arial"/>
          <w:sz w:val="24"/>
          <w:szCs w:val="24"/>
        </w:rPr>
        <w:t xml:space="preserve">such </w:t>
      </w:r>
      <w:r w:rsidR="001C5ED7">
        <w:rPr>
          <w:rFonts w:ascii="Arial" w:hAnsi="Arial" w:cs="Arial"/>
          <w:sz w:val="24"/>
          <w:szCs w:val="24"/>
        </w:rPr>
        <w:t>a submission is correct.</w:t>
      </w:r>
      <w:r w:rsidR="00B24182">
        <w:rPr>
          <w:rFonts w:ascii="Arial" w:hAnsi="Arial" w:cs="Arial"/>
          <w:sz w:val="24"/>
          <w:szCs w:val="24"/>
        </w:rPr>
        <w:t xml:space="preserve"> </w:t>
      </w:r>
      <w:r w:rsidR="00564DB1">
        <w:rPr>
          <w:rFonts w:ascii="Arial" w:hAnsi="Arial" w:cs="Arial"/>
          <w:sz w:val="24"/>
          <w:szCs w:val="24"/>
        </w:rPr>
        <w:t>The summons contains allegations to the effect that plaintiff cancelled its agreement with the defendants and claims “damages”.</w:t>
      </w:r>
      <w:r w:rsidR="00F36125">
        <w:rPr>
          <w:rFonts w:ascii="Arial" w:hAnsi="Arial" w:cs="Arial"/>
          <w:sz w:val="24"/>
          <w:szCs w:val="24"/>
        </w:rPr>
        <w:t xml:space="preserve">  </w:t>
      </w:r>
      <w:r w:rsidR="00564DB1">
        <w:rPr>
          <w:rFonts w:ascii="Arial" w:hAnsi="Arial" w:cs="Arial"/>
          <w:sz w:val="24"/>
          <w:szCs w:val="24"/>
        </w:rPr>
        <w:t xml:space="preserve"> Rule 32(1) allows a party to apply to court for summary judgment only based </w:t>
      </w:r>
      <w:r w:rsidR="00564DB1">
        <w:rPr>
          <w:rFonts w:ascii="Arial" w:hAnsi="Arial" w:cs="Arial"/>
          <w:sz w:val="24"/>
          <w:szCs w:val="24"/>
        </w:rPr>
        <w:lastRenderedPageBreak/>
        <w:t>on a liquid document, for a liquidated amount in money, for delivery of specified moveable property or for ejectment. The present claim is not based on a liquid document (nor is a liquid document annexed as prescribed by Rule 32(2)(c)</w:t>
      </w:r>
      <w:r>
        <w:rPr>
          <w:rFonts w:ascii="Arial" w:hAnsi="Arial" w:cs="Arial"/>
          <w:sz w:val="24"/>
          <w:szCs w:val="24"/>
        </w:rPr>
        <w:t>)</w:t>
      </w:r>
      <w:r w:rsidR="00564DB1">
        <w:rPr>
          <w:rFonts w:ascii="Arial" w:hAnsi="Arial" w:cs="Arial"/>
          <w:sz w:val="24"/>
          <w:szCs w:val="24"/>
        </w:rPr>
        <w:t>, nor is it a claim for delivery of moveable property or ejectment. The plaintiff’s claim is for damages which do not constitute a liquidated amount in money. Summary judgment may only be applied for in respect of a claim falling within the four categories mentioned in Rule 32(1).</w:t>
      </w:r>
      <w:r w:rsidR="00564DB1">
        <w:rPr>
          <w:rStyle w:val="FootnoteReference"/>
          <w:rFonts w:ascii="Arial" w:hAnsi="Arial" w:cs="Arial"/>
          <w:sz w:val="24"/>
          <w:szCs w:val="24"/>
        </w:rPr>
        <w:footnoteReference w:id="1"/>
      </w:r>
      <w:r w:rsidR="00D54294">
        <w:rPr>
          <w:rFonts w:ascii="Arial" w:hAnsi="Arial" w:cs="Arial"/>
          <w:sz w:val="24"/>
          <w:szCs w:val="24"/>
        </w:rPr>
        <w:t xml:space="preserve"> Summary judgment cannot be applied for in respect of an unliquidated amount.</w:t>
      </w:r>
    </w:p>
    <w:p w:rsidR="008513AF" w:rsidRDefault="00B24182" w:rsidP="000E52DB">
      <w:pPr>
        <w:spacing w:after="0" w:line="360" w:lineRule="auto"/>
        <w:ind w:left="720" w:hanging="720"/>
        <w:jc w:val="both"/>
        <w:rPr>
          <w:rFonts w:ascii="Arial" w:hAnsi="Arial" w:cs="Arial"/>
          <w:sz w:val="24"/>
          <w:szCs w:val="24"/>
        </w:rPr>
      </w:pPr>
      <w:r>
        <w:rPr>
          <w:rFonts w:ascii="Arial" w:hAnsi="Arial" w:cs="Arial"/>
          <w:sz w:val="24"/>
          <w:szCs w:val="24"/>
        </w:rPr>
        <w:t>.</w:t>
      </w:r>
    </w:p>
    <w:p w:rsidR="001219B5" w:rsidRPr="00EA2F81" w:rsidRDefault="008F3ABA" w:rsidP="008513AF">
      <w:pPr>
        <w:spacing w:after="0" w:line="360" w:lineRule="auto"/>
        <w:ind w:left="720" w:hanging="720"/>
        <w:jc w:val="both"/>
        <w:rPr>
          <w:rFonts w:ascii="Arial" w:hAnsi="Arial" w:cs="Arial"/>
        </w:rPr>
      </w:pPr>
      <w:r>
        <w:rPr>
          <w:rFonts w:ascii="Arial" w:hAnsi="Arial" w:cs="Arial"/>
          <w:sz w:val="24"/>
          <w:szCs w:val="24"/>
        </w:rPr>
        <w:t>[5</w:t>
      </w:r>
      <w:r w:rsidR="000E52DB">
        <w:rPr>
          <w:rFonts w:ascii="Arial" w:hAnsi="Arial" w:cs="Arial"/>
          <w:sz w:val="24"/>
          <w:szCs w:val="24"/>
        </w:rPr>
        <w:t>]</w:t>
      </w:r>
      <w:r w:rsidR="000E52DB">
        <w:rPr>
          <w:rFonts w:ascii="Arial" w:hAnsi="Arial" w:cs="Arial"/>
          <w:sz w:val="24"/>
          <w:szCs w:val="24"/>
        </w:rPr>
        <w:tab/>
      </w:r>
      <w:r w:rsidR="00D207D6">
        <w:rPr>
          <w:rFonts w:ascii="Arial" w:hAnsi="Arial" w:cs="Arial"/>
          <w:sz w:val="24"/>
          <w:szCs w:val="24"/>
        </w:rPr>
        <w:t xml:space="preserve">But assuming that I am wrong in my views </w:t>
      </w:r>
      <w:r w:rsidR="0003679E">
        <w:rPr>
          <w:rFonts w:ascii="Arial" w:hAnsi="Arial" w:cs="Arial"/>
          <w:sz w:val="24"/>
          <w:szCs w:val="24"/>
        </w:rPr>
        <w:t xml:space="preserve">that the claim is not for a liquidated amount, </w:t>
      </w:r>
      <w:r w:rsidR="00D207D6">
        <w:rPr>
          <w:rFonts w:ascii="Arial" w:hAnsi="Arial" w:cs="Arial"/>
          <w:sz w:val="24"/>
          <w:szCs w:val="24"/>
        </w:rPr>
        <w:t>a</w:t>
      </w:r>
      <w:r w:rsidR="001219B5">
        <w:rPr>
          <w:rFonts w:ascii="Arial" w:hAnsi="Arial" w:cs="Arial"/>
          <w:sz w:val="24"/>
          <w:szCs w:val="24"/>
        </w:rPr>
        <w:t xml:space="preserve"> succinct summary of the test to be applied </w:t>
      </w:r>
      <w:r w:rsidR="003F4BAB">
        <w:rPr>
          <w:rFonts w:ascii="Arial" w:hAnsi="Arial" w:cs="Arial"/>
          <w:sz w:val="24"/>
          <w:szCs w:val="24"/>
        </w:rPr>
        <w:t xml:space="preserve">by a court </w:t>
      </w:r>
      <w:r w:rsidR="001219B5">
        <w:rPr>
          <w:rFonts w:ascii="Arial" w:hAnsi="Arial" w:cs="Arial"/>
          <w:sz w:val="24"/>
          <w:szCs w:val="24"/>
        </w:rPr>
        <w:t xml:space="preserve">in deciding whether to grant summary judgment or not, </w:t>
      </w:r>
      <w:r w:rsidR="007C0809">
        <w:rPr>
          <w:rFonts w:ascii="Arial" w:hAnsi="Arial" w:cs="Arial"/>
          <w:sz w:val="24"/>
          <w:szCs w:val="24"/>
        </w:rPr>
        <w:t xml:space="preserve">was set out recently by the Supreme Court of Appeal in </w:t>
      </w:r>
      <w:r w:rsidR="00167A81">
        <w:rPr>
          <w:rFonts w:ascii="Arial" w:hAnsi="Arial" w:cs="Arial"/>
          <w:sz w:val="24"/>
          <w:szCs w:val="24"/>
        </w:rPr>
        <w:t xml:space="preserve">the unreported </w:t>
      </w:r>
      <w:r w:rsidR="003F4BAB">
        <w:rPr>
          <w:rFonts w:ascii="Arial" w:hAnsi="Arial" w:cs="Arial"/>
          <w:sz w:val="24"/>
          <w:szCs w:val="24"/>
        </w:rPr>
        <w:t xml:space="preserve">unanimous </w:t>
      </w:r>
      <w:r w:rsidR="00167A81">
        <w:rPr>
          <w:rFonts w:ascii="Arial" w:hAnsi="Arial" w:cs="Arial"/>
          <w:sz w:val="24"/>
          <w:szCs w:val="24"/>
        </w:rPr>
        <w:t xml:space="preserve">judgment of </w:t>
      </w:r>
      <w:r w:rsidR="007C0809" w:rsidRPr="00167A81">
        <w:rPr>
          <w:rFonts w:ascii="Arial" w:hAnsi="Arial" w:cs="Arial"/>
          <w:b/>
          <w:i/>
          <w:sz w:val="24"/>
          <w:szCs w:val="24"/>
        </w:rPr>
        <w:t xml:space="preserve">Cohen NO </w:t>
      </w:r>
      <w:r w:rsidR="00167A81" w:rsidRPr="00167A81">
        <w:rPr>
          <w:rFonts w:ascii="Arial" w:hAnsi="Arial" w:cs="Arial"/>
          <w:b/>
          <w:i/>
          <w:sz w:val="24"/>
          <w:szCs w:val="24"/>
        </w:rPr>
        <w:t>&amp; Other</w:t>
      </w:r>
      <w:r w:rsidR="00167A81" w:rsidRPr="003F4BAB">
        <w:rPr>
          <w:rFonts w:ascii="Arial" w:hAnsi="Arial" w:cs="Arial"/>
          <w:b/>
          <w:i/>
          <w:sz w:val="24"/>
          <w:szCs w:val="24"/>
        </w:rPr>
        <w:t>s v D[…]</w:t>
      </w:r>
      <w:r>
        <w:rPr>
          <w:rFonts w:ascii="Arial" w:hAnsi="Arial" w:cs="Arial"/>
          <w:b/>
          <w:i/>
          <w:sz w:val="24"/>
          <w:szCs w:val="24"/>
        </w:rPr>
        <w:t>.</w:t>
      </w:r>
      <w:r w:rsidR="00167A81">
        <w:rPr>
          <w:rStyle w:val="FootnoteReference"/>
          <w:rFonts w:ascii="Arial" w:hAnsi="Arial" w:cs="Arial"/>
          <w:sz w:val="24"/>
          <w:szCs w:val="24"/>
        </w:rPr>
        <w:footnoteReference w:id="2"/>
      </w:r>
      <w:r w:rsidR="007C0809">
        <w:rPr>
          <w:rFonts w:ascii="Arial" w:hAnsi="Arial" w:cs="Arial"/>
          <w:sz w:val="24"/>
          <w:szCs w:val="24"/>
        </w:rPr>
        <w:t xml:space="preserve"> </w:t>
      </w:r>
      <w:r w:rsidR="003F4BAB" w:rsidRPr="00FE414E">
        <w:rPr>
          <w:rFonts w:ascii="Arial" w:hAnsi="Arial" w:cs="Arial"/>
          <w:sz w:val="24"/>
          <w:szCs w:val="24"/>
        </w:rPr>
        <w:t xml:space="preserve">Nicholls JA held </w:t>
      </w:r>
      <w:r w:rsidR="00EA2F81" w:rsidRPr="00FE414E">
        <w:rPr>
          <w:rFonts w:ascii="Arial" w:hAnsi="Arial" w:cs="Arial"/>
          <w:sz w:val="24"/>
          <w:szCs w:val="24"/>
        </w:rPr>
        <w:t>in para [31] as follows:</w:t>
      </w:r>
    </w:p>
    <w:p w:rsidR="00FE414E" w:rsidRDefault="00FE414E" w:rsidP="00EA2F81">
      <w:pPr>
        <w:spacing w:after="0" w:line="360" w:lineRule="auto"/>
        <w:ind w:left="1440"/>
        <w:jc w:val="both"/>
        <w:rPr>
          <w:rFonts w:ascii="Arial" w:hAnsi="Arial" w:cs="Arial"/>
        </w:rPr>
      </w:pPr>
    </w:p>
    <w:p w:rsidR="008513AF" w:rsidRDefault="00EA2F81" w:rsidP="00EA2F81">
      <w:pPr>
        <w:spacing w:after="0" w:line="360" w:lineRule="auto"/>
        <w:ind w:left="1440"/>
        <w:jc w:val="both"/>
        <w:rPr>
          <w:rFonts w:ascii="Arial" w:hAnsi="Arial" w:cs="Arial"/>
        </w:rPr>
      </w:pPr>
      <w:r w:rsidRPr="00EA2F81">
        <w:rPr>
          <w:rFonts w:ascii="Arial" w:hAnsi="Arial" w:cs="Arial"/>
        </w:rPr>
        <w:t>“</w:t>
      </w:r>
      <w:r w:rsidR="008513AF" w:rsidRPr="00EA2F81">
        <w:rPr>
          <w:rFonts w:ascii="Arial" w:hAnsi="Arial" w:cs="Arial"/>
        </w:rPr>
        <w:t>The high court failed to consider the test to be applied in deciding whether to grant summary judgment. This was, and remains, whether the facts put up by the defendants raise a triable issue and a sustainable defence in the law, deserving of their day in court.</w:t>
      </w:r>
      <w:r w:rsidR="008513AF" w:rsidRPr="00EA2F81">
        <w:rPr>
          <w:rStyle w:val="FootnoteReference"/>
          <w:rFonts w:ascii="Arial" w:hAnsi="Arial" w:cs="Arial"/>
        </w:rPr>
        <w:footnoteReference w:id="3"/>
      </w:r>
      <w:r w:rsidR="008513AF" w:rsidRPr="00EA2F81">
        <w:rPr>
          <w:rFonts w:ascii="Arial" w:hAnsi="Arial" w:cs="Arial"/>
        </w:rPr>
        <w:t xml:space="preserve"> The defendants must fully disclose the nature and grounds of their defence and the material facts on which it is founded. All a defendant has to do is set out facts which if proven at trial will constitute a good defence to the claim.</w:t>
      </w:r>
      <w:r w:rsidR="008513AF" w:rsidRPr="00EA2F81">
        <w:rPr>
          <w:rStyle w:val="FootnoteReference"/>
          <w:rFonts w:ascii="Arial" w:hAnsi="Arial" w:cs="Arial"/>
        </w:rPr>
        <w:footnoteReference w:id="4"/>
      </w:r>
      <w:r w:rsidR="00E529D7">
        <w:rPr>
          <w:rFonts w:ascii="Arial" w:hAnsi="Arial" w:cs="Arial"/>
        </w:rPr>
        <w:t>” (</w:t>
      </w:r>
      <w:r w:rsidR="00E529D7" w:rsidRPr="00BF1481">
        <w:rPr>
          <w:rFonts w:ascii="Arial" w:hAnsi="Arial" w:cs="Arial"/>
          <w:sz w:val="24"/>
          <w:szCs w:val="24"/>
        </w:rPr>
        <w:t>numbering of footnotes adjusted</w:t>
      </w:r>
      <w:r w:rsidR="00E529D7">
        <w:rPr>
          <w:rFonts w:ascii="Arial" w:hAnsi="Arial" w:cs="Arial"/>
        </w:rPr>
        <w:t>)</w:t>
      </w:r>
    </w:p>
    <w:p w:rsidR="00EA2F81" w:rsidRDefault="00EA2F81" w:rsidP="00B4139C">
      <w:pPr>
        <w:spacing w:after="0" w:line="360" w:lineRule="auto"/>
        <w:jc w:val="both"/>
        <w:rPr>
          <w:rFonts w:ascii="Arial" w:hAnsi="Arial" w:cs="Arial"/>
        </w:rPr>
      </w:pPr>
    </w:p>
    <w:p w:rsidR="00CB3744" w:rsidRDefault="008F3ABA" w:rsidP="00FE414E">
      <w:pPr>
        <w:spacing w:after="0" w:line="360" w:lineRule="auto"/>
        <w:ind w:left="720" w:hanging="720"/>
        <w:jc w:val="both"/>
        <w:rPr>
          <w:sz w:val="28"/>
          <w:szCs w:val="28"/>
        </w:rPr>
      </w:pPr>
      <w:r>
        <w:rPr>
          <w:rFonts w:ascii="Arial" w:hAnsi="Arial" w:cs="Arial"/>
        </w:rPr>
        <w:t>[6</w:t>
      </w:r>
      <w:r w:rsidR="00B4139C">
        <w:rPr>
          <w:rFonts w:ascii="Arial" w:hAnsi="Arial" w:cs="Arial"/>
        </w:rPr>
        <w:t>]</w:t>
      </w:r>
      <w:r w:rsidR="00B4139C">
        <w:rPr>
          <w:rFonts w:ascii="Arial" w:hAnsi="Arial" w:cs="Arial"/>
        </w:rPr>
        <w:tab/>
      </w:r>
      <w:r w:rsidR="00B4139C" w:rsidRPr="00FE414E">
        <w:rPr>
          <w:rFonts w:ascii="Arial" w:hAnsi="Arial" w:cs="Arial"/>
          <w:sz w:val="24"/>
          <w:szCs w:val="24"/>
        </w:rPr>
        <w:t xml:space="preserve">With reference to the </w:t>
      </w:r>
      <w:r w:rsidR="00E529D7">
        <w:rPr>
          <w:rFonts w:ascii="Arial" w:hAnsi="Arial" w:cs="Arial"/>
          <w:sz w:val="24"/>
          <w:szCs w:val="24"/>
        </w:rPr>
        <w:t xml:space="preserve">difference between the amended rule 32 or rule 32 prior to the 2019 amendment, </w:t>
      </w:r>
      <w:r w:rsidR="00B4139C" w:rsidRPr="00FE414E">
        <w:rPr>
          <w:rFonts w:ascii="Arial" w:hAnsi="Arial" w:cs="Arial"/>
          <w:sz w:val="24"/>
          <w:szCs w:val="24"/>
        </w:rPr>
        <w:t xml:space="preserve">the </w:t>
      </w:r>
      <w:r w:rsidR="00FE414E">
        <w:rPr>
          <w:rFonts w:ascii="Arial" w:hAnsi="Arial" w:cs="Arial"/>
          <w:sz w:val="24"/>
          <w:szCs w:val="24"/>
        </w:rPr>
        <w:t xml:space="preserve">Supreme Court of Appeal </w:t>
      </w:r>
      <w:r w:rsidR="00B4139C" w:rsidRPr="00FE414E">
        <w:rPr>
          <w:rFonts w:ascii="Arial" w:hAnsi="Arial" w:cs="Arial"/>
          <w:sz w:val="24"/>
          <w:szCs w:val="24"/>
        </w:rPr>
        <w:t>held that the position remains that a defendant has to disclose a bona fide defence to successfully oppose an application for summary judgement.</w:t>
      </w:r>
      <w:r w:rsidR="00B4139C" w:rsidRPr="00FE414E">
        <w:rPr>
          <w:rStyle w:val="FootnoteReference"/>
          <w:rFonts w:ascii="Arial" w:hAnsi="Arial" w:cs="Arial"/>
          <w:sz w:val="24"/>
          <w:szCs w:val="24"/>
        </w:rPr>
        <w:footnoteReference w:id="5"/>
      </w:r>
      <w:r w:rsidR="00FE414E" w:rsidRPr="00FE414E">
        <w:rPr>
          <w:sz w:val="24"/>
          <w:szCs w:val="24"/>
        </w:rPr>
        <w:t xml:space="preserve"> </w:t>
      </w:r>
      <w:r w:rsidR="00FE414E">
        <w:rPr>
          <w:rFonts w:ascii="Arial" w:hAnsi="Arial" w:cs="Arial"/>
          <w:sz w:val="24"/>
          <w:szCs w:val="24"/>
        </w:rPr>
        <w:t>The defence must be genuine, as opposed to ‘a sham’ defence.</w:t>
      </w:r>
      <w:r w:rsidR="00FE414E">
        <w:rPr>
          <w:rStyle w:val="FootnoteReference"/>
          <w:rFonts w:ascii="Arial" w:hAnsi="Arial" w:cs="Arial"/>
          <w:sz w:val="24"/>
          <w:szCs w:val="24"/>
        </w:rPr>
        <w:footnoteReference w:id="6"/>
      </w:r>
      <w:r w:rsidR="00CB3744">
        <w:rPr>
          <w:sz w:val="28"/>
          <w:szCs w:val="28"/>
        </w:rPr>
        <w:t xml:space="preserve"> </w:t>
      </w:r>
      <w:r w:rsidR="00FE414E" w:rsidRPr="00FE414E">
        <w:rPr>
          <w:rFonts w:ascii="Arial" w:hAnsi="Arial" w:cs="Arial"/>
          <w:sz w:val="24"/>
          <w:szCs w:val="24"/>
        </w:rPr>
        <w:t>It was held that the p</w:t>
      </w:r>
      <w:r w:rsidR="00CB3744" w:rsidRPr="00FE414E">
        <w:rPr>
          <w:rFonts w:ascii="Arial" w:hAnsi="Arial" w:cs="Arial"/>
          <w:sz w:val="24"/>
          <w:szCs w:val="24"/>
        </w:rPr>
        <w:t>rospects of success are irrelevant</w:t>
      </w:r>
      <w:r w:rsidR="00FE414E">
        <w:rPr>
          <w:rFonts w:ascii="Arial" w:hAnsi="Arial" w:cs="Arial"/>
          <w:sz w:val="24"/>
          <w:szCs w:val="24"/>
        </w:rPr>
        <w:t>,</w:t>
      </w:r>
      <w:r w:rsidR="00CB3744" w:rsidRPr="00FE414E">
        <w:rPr>
          <w:rFonts w:ascii="Arial" w:hAnsi="Arial" w:cs="Arial"/>
          <w:sz w:val="24"/>
          <w:szCs w:val="24"/>
        </w:rPr>
        <w:t xml:space="preserve"> and as long as the defence is legally cognisable in the sense that it </w:t>
      </w:r>
      <w:r w:rsidR="00CB3744" w:rsidRPr="00FE414E">
        <w:rPr>
          <w:rFonts w:ascii="Arial" w:hAnsi="Arial" w:cs="Arial"/>
          <w:sz w:val="24"/>
          <w:szCs w:val="24"/>
        </w:rPr>
        <w:lastRenderedPageBreak/>
        <w:t>amounts to a valid defence if proven at trial, then an application for summary judgment must fail.</w:t>
      </w:r>
      <w:r w:rsidR="00FE414E">
        <w:rPr>
          <w:rStyle w:val="FootnoteReference"/>
          <w:sz w:val="28"/>
          <w:szCs w:val="28"/>
        </w:rPr>
        <w:footnoteReference w:id="7"/>
      </w:r>
    </w:p>
    <w:p w:rsidR="00EA2F81" w:rsidRPr="00FE414E" w:rsidRDefault="00EA2F81" w:rsidP="00EA2F81">
      <w:pPr>
        <w:spacing w:after="0" w:line="360" w:lineRule="auto"/>
        <w:jc w:val="both"/>
        <w:rPr>
          <w:rFonts w:ascii="Arial" w:hAnsi="Arial" w:cs="Arial"/>
          <w:sz w:val="24"/>
          <w:szCs w:val="24"/>
        </w:rPr>
      </w:pPr>
    </w:p>
    <w:p w:rsidR="00EA2F81" w:rsidRDefault="008F3ABA" w:rsidP="009D1584">
      <w:pPr>
        <w:spacing w:after="0" w:line="360" w:lineRule="auto"/>
        <w:ind w:left="720" w:hanging="720"/>
        <w:jc w:val="both"/>
        <w:rPr>
          <w:rFonts w:ascii="Arial" w:hAnsi="Arial" w:cs="Arial"/>
          <w:sz w:val="24"/>
          <w:szCs w:val="24"/>
        </w:rPr>
      </w:pPr>
      <w:r>
        <w:rPr>
          <w:rFonts w:ascii="Arial" w:hAnsi="Arial" w:cs="Arial"/>
          <w:sz w:val="24"/>
          <w:szCs w:val="24"/>
        </w:rPr>
        <w:t>[7</w:t>
      </w:r>
      <w:r w:rsidR="00FE414E" w:rsidRPr="00FE414E">
        <w:rPr>
          <w:rFonts w:ascii="Arial" w:hAnsi="Arial" w:cs="Arial"/>
          <w:sz w:val="24"/>
          <w:szCs w:val="24"/>
        </w:rPr>
        <w:t>]</w:t>
      </w:r>
      <w:r w:rsidR="00FE414E" w:rsidRPr="00FE414E">
        <w:rPr>
          <w:rFonts w:ascii="Arial" w:hAnsi="Arial" w:cs="Arial"/>
          <w:sz w:val="24"/>
          <w:szCs w:val="24"/>
        </w:rPr>
        <w:tab/>
      </w:r>
      <w:r w:rsidR="00396E7E">
        <w:rPr>
          <w:rFonts w:ascii="Arial" w:hAnsi="Arial" w:cs="Arial"/>
          <w:sz w:val="24"/>
          <w:szCs w:val="24"/>
        </w:rPr>
        <w:t>T</w:t>
      </w:r>
      <w:r w:rsidR="009D1584">
        <w:rPr>
          <w:rFonts w:ascii="Arial" w:hAnsi="Arial" w:cs="Arial"/>
          <w:sz w:val="24"/>
          <w:szCs w:val="24"/>
        </w:rPr>
        <w:t>he defendant</w:t>
      </w:r>
      <w:r w:rsidR="0003679E">
        <w:rPr>
          <w:rFonts w:ascii="Arial" w:hAnsi="Arial" w:cs="Arial"/>
          <w:sz w:val="24"/>
          <w:szCs w:val="24"/>
        </w:rPr>
        <w:t>s’</w:t>
      </w:r>
      <w:r w:rsidR="009D1584">
        <w:rPr>
          <w:rFonts w:ascii="Arial" w:hAnsi="Arial" w:cs="Arial"/>
          <w:sz w:val="24"/>
          <w:szCs w:val="24"/>
        </w:rPr>
        <w:t xml:space="preserve"> main gripe seems, as I understood it, to be </w:t>
      </w:r>
      <w:r w:rsidR="002B0317">
        <w:rPr>
          <w:rFonts w:ascii="Arial" w:hAnsi="Arial" w:cs="Arial"/>
          <w:sz w:val="24"/>
          <w:szCs w:val="24"/>
        </w:rPr>
        <w:t xml:space="preserve">the judgment amount which is an increase from R3.2 million </w:t>
      </w:r>
      <w:r>
        <w:rPr>
          <w:rFonts w:ascii="Arial" w:hAnsi="Arial" w:cs="Arial"/>
          <w:sz w:val="24"/>
          <w:szCs w:val="24"/>
        </w:rPr>
        <w:t xml:space="preserve">for minor refurbishments to the hospital </w:t>
      </w:r>
      <w:r w:rsidR="002B0317">
        <w:rPr>
          <w:rFonts w:ascii="Arial" w:hAnsi="Arial" w:cs="Arial"/>
          <w:sz w:val="24"/>
          <w:szCs w:val="24"/>
        </w:rPr>
        <w:t xml:space="preserve">to more than R86 million for </w:t>
      </w:r>
      <w:r>
        <w:rPr>
          <w:rFonts w:ascii="Arial" w:hAnsi="Arial" w:cs="Arial"/>
          <w:sz w:val="24"/>
          <w:szCs w:val="24"/>
        </w:rPr>
        <w:t xml:space="preserve">alleged </w:t>
      </w:r>
      <w:r w:rsidR="002B0317">
        <w:rPr>
          <w:rFonts w:ascii="Arial" w:hAnsi="Arial" w:cs="Arial"/>
          <w:sz w:val="24"/>
          <w:szCs w:val="24"/>
        </w:rPr>
        <w:t>majo</w:t>
      </w:r>
      <w:r>
        <w:rPr>
          <w:rFonts w:ascii="Arial" w:hAnsi="Arial" w:cs="Arial"/>
          <w:sz w:val="24"/>
          <w:szCs w:val="24"/>
        </w:rPr>
        <w:t>r refurbishments</w:t>
      </w:r>
      <w:r w:rsidR="002B0317">
        <w:rPr>
          <w:rFonts w:ascii="Arial" w:hAnsi="Arial" w:cs="Arial"/>
          <w:sz w:val="24"/>
          <w:szCs w:val="24"/>
        </w:rPr>
        <w:t xml:space="preserve">. The defendants aver that the alleged R86 million </w:t>
      </w:r>
      <w:r w:rsidR="0003679E">
        <w:rPr>
          <w:rFonts w:ascii="Arial" w:hAnsi="Arial" w:cs="Arial"/>
          <w:sz w:val="24"/>
          <w:szCs w:val="24"/>
        </w:rPr>
        <w:t xml:space="preserve">contract </w:t>
      </w:r>
      <w:r w:rsidR="002B0317">
        <w:rPr>
          <w:rFonts w:ascii="Arial" w:hAnsi="Arial" w:cs="Arial"/>
          <w:sz w:val="24"/>
          <w:szCs w:val="24"/>
        </w:rPr>
        <w:t>was not preceded by any process in compliance with the precepts of s217 of the Constitution of South A</w:t>
      </w:r>
      <w:r w:rsidR="009D1584">
        <w:rPr>
          <w:rFonts w:ascii="Arial" w:hAnsi="Arial" w:cs="Arial"/>
          <w:sz w:val="24"/>
          <w:szCs w:val="24"/>
        </w:rPr>
        <w:t>frica</w:t>
      </w:r>
      <w:r w:rsidR="002B0317">
        <w:rPr>
          <w:rStyle w:val="FootnoteReference"/>
          <w:rFonts w:ascii="Arial" w:hAnsi="Arial" w:cs="Arial"/>
          <w:sz w:val="24"/>
          <w:szCs w:val="24"/>
        </w:rPr>
        <w:footnoteReference w:id="8"/>
      </w:r>
      <w:r w:rsidR="009D1584">
        <w:rPr>
          <w:rFonts w:ascii="Arial" w:hAnsi="Arial" w:cs="Arial"/>
          <w:sz w:val="24"/>
          <w:szCs w:val="24"/>
        </w:rPr>
        <w:t xml:space="preserve"> or, for that matter</w:t>
      </w:r>
      <w:r w:rsidR="00BF1481">
        <w:rPr>
          <w:rFonts w:ascii="Arial" w:hAnsi="Arial" w:cs="Arial"/>
          <w:sz w:val="24"/>
          <w:szCs w:val="24"/>
        </w:rPr>
        <w:t>,</w:t>
      </w:r>
      <w:r w:rsidR="009D1584">
        <w:rPr>
          <w:rFonts w:ascii="Arial" w:hAnsi="Arial" w:cs="Arial"/>
          <w:sz w:val="24"/>
          <w:szCs w:val="24"/>
        </w:rPr>
        <w:t xml:space="preserve"> with any of the related legislative procurement requ</w:t>
      </w:r>
      <w:r w:rsidR="0003679E">
        <w:rPr>
          <w:rFonts w:ascii="Arial" w:hAnsi="Arial" w:cs="Arial"/>
          <w:sz w:val="24"/>
          <w:szCs w:val="24"/>
        </w:rPr>
        <w:t>irements. The defendants accuse</w:t>
      </w:r>
      <w:r w:rsidR="009D1584">
        <w:rPr>
          <w:rFonts w:ascii="Arial" w:hAnsi="Arial" w:cs="Arial"/>
          <w:sz w:val="24"/>
          <w:szCs w:val="24"/>
        </w:rPr>
        <w:t xml:space="preserve"> the plaintiff of seeking an order from court which ratifies its circumvention of a competitive bidding process in terms of s2</w:t>
      </w:r>
      <w:r w:rsidR="00882A5E">
        <w:rPr>
          <w:rFonts w:ascii="Arial" w:hAnsi="Arial" w:cs="Arial"/>
          <w:sz w:val="24"/>
          <w:szCs w:val="24"/>
        </w:rPr>
        <w:t xml:space="preserve">17 of the Constitution. </w:t>
      </w:r>
    </w:p>
    <w:p w:rsidR="00882A5E" w:rsidRDefault="00882A5E" w:rsidP="009D1584">
      <w:pPr>
        <w:spacing w:after="0" w:line="360" w:lineRule="auto"/>
        <w:ind w:left="720" w:hanging="720"/>
        <w:jc w:val="both"/>
        <w:rPr>
          <w:rFonts w:ascii="Arial" w:hAnsi="Arial" w:cs="Arial"/>
          <w:sz w:val="24"/>
          <w:szCs w:val="24"/>
        </w:rPr>
      </w:pPr>
    </w:p>
    <w:p w:rsidR="000E52DB" w:rsidRDefault="008F3ABA" w:rsidP="00882A5E">
      <w:pPr>
        <w:spacing w:after="0" w:line="360" w:lineRule="auto"/>
        <w:ind w:left="720" w:hanging="720"/>
        <w:jc w:val="both"/>
        <w:rPr>
          <w:rFonts w:ascii="Arial" w:hAnsi="Arial" w:cs="Arial"/>
          <w:sz w:val="24"/>
          <w:szCs w:val="24"/>
        </w:rPr>
      </w:pPr>
      <w:r>
        <w:rPr>
          <w:rFonts w:ascii="Arial" w:hAnsi="Arial" w:cs="Arial"/>
          <w:sz w:val="24"/>
          <w:szCs w:val="24"/>
        </w:rPr>
        <w:t>[8</w:t>
      </w:r>
      <w:r w:rsidR="00882A5E">
        <w:rPr>
          <w:rFonts w:ascii="Arial" w:hAnsi="Arial" w:cs="Arial"/>
          <w:sz w:val="24"/>
          <w:szCs w:val="24"/>
        </w:rPr>
        <w:t>]</w:t>
      </w:r>
      <w:r w:rsidR="00882A5E">
        <w:rPr>
          <w:rFonts w:ascii="Arial" w:hAnsi="Arial" w:cs="Arial"/>
          <w:sz w:val="24"/>
          <w:szCs w:val="24"/>
        </w:rPr>
        <w:tab/>
        <w:t xml:space="preserve">If I apply the principles as set out in </w:t>
      </w:r>
      <w:r w:rsidR="00882A5E" w:rsidRPr="008F3ABA">
        <w:rPr>
          <w:rFonts w:ascii="Arial" w:hAnsi="Arial" w:cs="Arial"/>
          <w:b/>
          <w:i/>
          <w:sz w:val="24"/>
          <w:szCs w:val="24"/>
        </w:rPr>
        <w:t>Cohen</w:t>
      </w:r>
      <w:r w:rsidRPr="008F3ABA">
        <w:rPr>
          <w:rFonts w:ascii="Arial" w:hAnsi="Arial" w:cs="Arial"/>
          <w:i/>
          <w:sz w:val="24"/>
          <w:szCs w:val="24"/>
        </w:rPr>
        <w:t xml:space="preserve"> supra</w:t>
      </w:r>
      <w:r w:rsidR="00882A5E">
        <w:rPr>
          <w:rFonts w:ascii="Arial" w:hAnsi="Arial" w:cs="Arial"/>
          <w:sz w:val="24"/>
          <w:szCs w:val="24"/>
        </w:rPr>
        <w:t xml:space="preserve">, I have to conclude that defendants have set up allegations which constitute triable issues and which can only finally be adjudicated upon by </w:t>
      </w:r>
      <w:r w:rsidR="00F466A6">
        <w:rPr>
          <w:rFonts w:ascii="Arial" w:hAnsi="Arial" w:cs="Arial"/>
          <w:sz w:val="24"/>
          <w:szCs w:val="24"/>
        </w:rPr>
        <w:t xml:space="preserve">a </w:t>
      </w:r>
      <w:r w:rsidR="00882A5E">
        <w:rPr>
          <w:rFonts w:ascii="Arial" w:hAnsi="Arial" w:cs="Arial"/>
          <w:sz w:val="24"/>
          <w:szCs w:val="24"/>
        </w:rPr>
        <w:t xml:space="preserve">court having had the advantage of evidence placed before it. </w:t>
      </w:r>
      <w:r w:rsidR="005C3CC5">
        <w:rPr>
          <w:rFonts w:ascii="Arial" w:hAnsi="Arial" w:cs="Arial"/>
          <w:sz w:val="24"/>
          <w:szCs w:val="24"/>
        </w:rPr>
        <w:t>Having so concluded I cannot grant summary judgment.</w:t>
      </w:r>
    </w:p>
    <w:p w:rsidR="00B40D3D" w:rsidRDefault="00B40D3D" w:rsidP="00882A5E">
      <w:pPr>
        <w:spacing w:after="0" w:line="360" w:lineRule="auto"/>
        <w:ind w:left="720" w:hanging="720"/>
        <w:jc w:val="both"/>
        <w:rPr>
          <w:rFonts w:ascii="Arial" w:hAnsi="Arial" w:cs="Arial"/>
          <w:sz w:val="24"/>
          <w:szCs w:val="24"/>
        </w:rPr>
      </w:pPr>
    </w:p>
    <w:p w:rsidR="00B40D3D" w:rsidRDefault="00B40D3D" w:rsidP="0003679E">
      <w:pPr>
        <w:spacing w:after="0" w:line="360" w:lineRule="auto"/>
        <w:jc w:val="both"/>
        <w:rPr>
          <w:rFonts w:ascii="Arial" w:hAnsi="Arial" w:cs="Arial"/>
          <w:sz w:val="24"/>
          <w:szCs w:val="24"/>
        </w:rPr>
      </w:pPr>
    </w:p>
    <w:p w:rsidR="008C4D40" w:rsidRDefault="008F3ABA" w:rsidP="00882A5E">
      <w:pPr>
        <w:spacing w:after="0" w:line="360" w:lineRule="auto"/>
        <w:ind w:left="720" w:hanging="720"/>
        <w:jc w:val="both"/>
        <w:rPr>
          <w:rFonts w:ascii="Arial" w:hAnsi="Arial" w:cs="Arial"/>
          <w:sz w:val="24"/>
          <w:szCs w:val="24"/>
        </w:rPr>
      </w:pPr>
      <w:r>
        <w:rPr>
          <w:rFonts w:ascii="Arial" w:hAnsi="Arial" w:cs="Arial"/>
          <w:sz w:val="24"/>
          <w:szCs w:val="24"/>
        </w:rPr>
        <w:t>[9</w:t>
      </w:r>
      <w:r w:rsidR="005C3CC5">
        <w:rPr>
          <w:rFonts w:ascii="Arial" w:hAnsi="Arial" w:cs="Arial"/>
          <w:sz w:val="24"/>
          <w:szCs w:val="24"/>
        </w:rPr>
        <w:t>]</w:t>
      </w:r>
      <w:r w:rsidR="005C3CC5">
        <w:rPr>
          <w:rFonts w:ascii="Arial" w:hAnsi="Arial" w:cs="Arial"/>
          <w:sz w:val="24"/>
          <w:szCs w:val="24"/>
        </w:rPr>
        <w:tab/>
        <w:t xml:space="preserve">A cost order in respect of the condonation application still has to be made. It was the plaintiff who moved for the indulgence and who should bear the costs </w:t>
      </w:r>
    </w:p>
    <w:p w:rsidR="005C3CC5" w:rsidRDefault="005C3CC5" w:rsidP="00BF1481">
      <w:pPr>
        <w:spacing w:after="0" w:line="360" w:lineRule="auto"/>
        <w:ind w:left="720"/>
        <w:jc w:val="both"/>
        <w:rPr>
          <w:sz w:val="24"/>
          <w:szCs w:val="24"/>
        </w:rPr>
      </w:pPr>
      <w:r>
        <w:rPr>
          <w:rFonts w:ascii="Arial" w:hAnsi="Arial" w:cs="Arial"/>
          <w:sz w:val="24"/>
          <w:szCs w:val="24"/>
        </w:rPr>
        <w:t>thereof as will be reflected in the order hereunder.</w:t>
      </w:r>
      <w:r w:rsidR="00DF6F57">
        <w:rPr>
          <w:rFonts w:ascii="Arial" w:hAnsi="Arial" w:cs="Arial"/>
          <w:sz w:val="24"/>
          <w:szCs w:val="24"/>
        </w:rPr>
        <w:t xml:space="preserve"> Notwithstanding my reservations in respect of whether the plaintiff’s claim falls within the ambit of </w:t>
      </w:r>
      <w:r w:rsidR="00DF6F57">
        <w:rPr>
          <w:rFonts w:ascii="Arial" w:hAnsi="Arial" w:cs="Arial"/>
          <w:sz w:val="24"/>
          <w:szCs w:val="24"/>
        </w:rPr>
        <w:lastRenderedPageBreak/>
        <w:t>the provisions of Rule 32(1), I intend to make the usual cost order that I deem appropriate in applications like these.</w:t>
      </w:r>
    </w:p>
    <w:p w:rsidR="000E52DB" w:rsidRDefault="000E52DB" w:rsidP="00D85FBD">
      <w:pPr>
        <w:spacing w:after="0" w:line="360" w:lineRule="auto"/>
        <w:ind w:left="851" w:hanging="851"/>
        <w:rPr>
          <w:rFonts w:ascii="Arial" w:hAnsi="Arial" w:cs="Arial"/>
          <w:sz w:val="24"/>
          <w:szCs w:val="24"/>
        </w:rPr>
      </w:pPr>
    </w:p>
    <w:p w:rsidR="00DD4EFA" w:rsidRDefault="00DD4EFA" w:rsidP="008C4D40">
      <w:pPr>
        <w:spacing w:after="0" w:line="360" w:lineRule="auto"/>
        <w:rPr>
          <w:rFonts w:ascii="Arial" w:hAnsi="Arial" w:cs="Arial"/>
          <w:sz w:val="24"/>
          <w:szCs w:val="24"/>
        </w:rPr>
      </w:pPr>
    </w:p>
    <w:p w:rsidR="000E52DB" w:rsidRDefault="000E52DB" w:rsidP="008C4D40">
      <w:pPr>
        <w:spacing w:after="0" w:line="360" w:lineRule="auto"/>
        <w:rPr>
          <w:rFonts w:ascii="Arial" w:hAnsi="Arial" w:cs="Arial"/>
          <w:sz w:val="24"/>
          <w:szCs w:val="24"/>
        </w:rPr>
      </w:pPr>
      <w:r w:rsidRPr="000E52DB">
        <w:rPr>
          <w:rFonts w:ascii="Arial" w:hAnsi="Arial" w:cs="Arial"/>
          <w:sz w:val="24"/>
          <w:szCs w:val="24"/>
        </w:rPr>
        <w:t>[10]</w:t>
      </w:r>
      <w:r w:rsidRPr="000E52DB">
        <w:rPr>
          <w:rFonts w:ascii="Arial" w:hAnsi="Arial" w:cs="Arial"/>
          <w:sz w:val="24"/>
          <w:szCs w:val="24"/>
        </w:rPr>
        <w:tab/>
        <w:t>I make the following order:</w:t>
      </w:r>
    </w:p>
    <w:p w:rsidR="005C3CC5" w:rsidRDefault="005C3CC5" w:rsidP="00D85FBD">
      <w:pPr>
        <w:spacing w:after="0" w:line="360" w:lineRule="auto"/>
        <w:ind w:left="851" w:hanging="851"/>
        <w:rPr>
          <w:rFonts w:ascii="Arial" w:hAnsi="Arial" w:cs="Arial"/>
          <w:sz w:val="24"/>
          <w:szCs w:val="24"/>
        </w:rPr>
      </w:pPr>
    </w:p>
    <w:p w:rsidR="005C3CC5" w:rsidRPr="000E52DB" w:rsidRDefault="00DD4EFA" w:rsidP="00D85FBD">
      <w:pPr>
        <w:spacing w:after="0" w:line="360" w:lineRule="auto"/>
        <w:ind w:left="851" w:hanging="851"/>
        <w:rPr>
          <w:rFonts w:ascii="Arial" w:hAnsi="Arial" w:cs="Arial"/>
          <w:sz w:val="24"/>
          <w:szCs w:val="24"/>
        </w:rPr>
      </w:pPr>
      <w:r>
        <w:rPr>
          <w:rFonts w:ascii="Arial" w:hAnsi="Arial" w:cs="Arial"/>
          <w:sz w:val="24"/>
          <w:szCs w:val="24"/>
        </w:rPr>
        <w:t xml:space="preserve">10.1     </w:t>
      </w:r>
      <w:r w:rsidR="005C3CC5">
        <w:rPr>
          <w:rFonts w:ascii="Arial" w:hAnsi="Arial" w:cs="Arial"/>
          <w:sz w:val="24"/>
          <w:szCs w:val="24"/>
        </w:rPr>
        <w:t xml:space="preserve">The plaintiff is </w:t>
      </w:r>
      <w:r w:rsidR="00DF6F57">
        <w:rPr>
          <w:rFonts w:ascii="Arial" w:hAnsi="Arial" w:cs="Arial"/>
          <w:sz w:val="24"/>
          <w:szCs w:val="24"/>
        </w:rPr>
        <w:t xml:space="preserve">ordered </w:t>
      </w:r>
      <w:r w:rsidR="005C3CC5">
        <w:rPr>
          <w:rFonts w:ascii="Arial" w:hAnsi="Arial" w:cs="Arial"/>
          <w:sz w:val="24"/>
          <w:szCs w:val="24"/>
        </w:rPr>
        <w:t xml:space="preserve">to pay the costs of the </w:t>
      </w:r>
      <w:r w:rsidR="00DF6F57">
        <w:rPr>
          <w:rFonts w:ascii="Arial" w:hAnsi="Arial" w:cs="Arial"/>
          <w:sz w:val="24"/>
          <w:szCs w:val="24"/>
        </w:rPr>
        <w:t>application for condonation.</w:t>
      </w:r>
    </w:p>
    <w:p w:rsidR="00D85FBD" w:rsidRPr="000E52DB" w:rsidRDefault="005C3CC5" w:rsidP="005C3CC5">
      <w:pPr>
        <w:spacing w:after="0" w:line="360" w:lineRule="auto"/>
        <w:rPr>
          <w:rFonts w:ascii="Arial" w:hAnsi="Arial" w:cs="Arial"/>
          <w:sz w:val="24"/>
          <w:szCs w:val="24"/>
        </w:rPr>
      </w:pPr>
      <w:r>
        <w:rPr>
          <w:rFonts w:ascii="Arial" w:hAnsi="Arial" w:cs="Arial"/>
          <w:sz w:val="24"/>
          <w:szCs w:val="24"/>
        </w:rPr>
        <w:t>10.2</w:t>
      </w:r>
      <w:r w:rsidR="000E52DB">
        <w:rPr>
          <w:rFonts w:ascii="Arial" w:hAnsi="Arial" w:cs="Arial"/>
          <w:sz w:val="24"/>
          <w:szCs w:val="24"/>
        </w:rPr>
        <w:tab/>
      </w:r>
      <w:r w:rsidR="008F3ABA">
        <w:rPr>
          <w:rFonts w:ascii="Arial" w:hAnsi="Arial" w:cs="Arial"/>
          <w:sz w:val="24"/>
          <w:szCs w:val="24"/>
        </w:rPr>
        <w:t xml:space="preserve"> </w:t>
      </w:r>
      <w:r w:rsidR="00D85FBD" w:rsidRPr="000E52DB">
        <w:rPr>
          <w:rFonts w:ascii="Arial" w:hAnsi="Arial" w:cs="Arial"/>
          <w:sz w:val="24"/>
          <w:szCs w:val="24"/>
        </w:rPr>
        <w:t>The application for summary judgment is refused.</w:t>
      </w:r>
    </w:p>
    <w:p w:rsidR="000E52DB" w:rsidRPr="000E52DB" w:rsidRDefault="005C3CC5" w:rsidP="00D85FBD">
      <w:pPr>
        <w:spacing w:after="0" w:line="360" w:lineRule="auto"/>
        <w:ind w:left="851" w:hanging="851"/>
        <w:rPr>
          <w:rFonts w:ascii="Arial" w:hAnsi="Arial" w:cs="Arial"/>
          <w:sz w:val="24"/>
          <w:szCs w:val="24"/>
        </w:rPr>
      </w:pPr>
      <w:r>
        <w:rPr>
          <w:rFonts w:ascii="Arial" w:hAnsi="Arial" w:cs="Arial"/>
          <w:sz w:val="24"/>
          <w:szCs w:val="24"/>
        </w:rPr>
        <w:t>10.3</w:t>
      </w:r>
      <w:r w:rsidR="000E52DB">
        <w:rPr>
          <w:rFonts w:ascii="Arial" w:hAnsi="Arial" w:cs="Arial"/>
          <w:sz w:val="24"/>
          <w:szCs w:val="24"/>
        </w:rPr>
        <w:tab/>
      </w:r>
      <w:r w:rsidR="000E52DB" w:rsidRPr="000E52DB">
        <w:rPr>
          <w:rFonts w:ascii="Arial" w:hAnsi="Arial" w:cs="Arial"/>
          <w:sz w:val="24"/>
          <w:szCs w:val="24"/>
        </w:rPr>
        <w:t>Leave is gran</w:t>
      </w:r>
      <w:r>
        <w:rPr>
          <w:rFonts w:ascii="Arial" w:hAnsi="Arial" w:cs="Arial"/>
          <w:sz w:val="24"/>
          <w:szCs w:val="24"/>
        </w:rPr>
        <w:t xml:space="preserve">ted to the defendants to defend </w:t>
      </w:r>
      <w:r w:rsidR="000E52DB" w:rsidRPr="000E52DB">
        <w:rPr>
          <w:rFonts w:ascii="Arial" w:hAnsi="Arial" w:cs="Arial"/>
          <w:sz w:val="24"/>
          <w:szCs w:val="24"/>
        </w:rPr>
        <w:t>the action.</w:t>
      </w:r>
    </w:p>
    <w:p w:rsidR="00D85FBD" w:rsidRPr="000E52DB" w:rsidRDefault="005C3CC5" w:rsidP="00D85FBD">
      <w:pPr>
        <w:spacing w:after="0" w:line="360" w:lineRule="auto"/>
        <w:ind w:left="851" w:hanging="851"/>
        <w:rPr>
          <w:rFonts w:ascii="Arial" w:hAnsi="Arial" w:cs="Arial"/>
          <w:sz w:val="24"/>
          <w:szCs w:val="24"/>
        </w:rPr>
      </w:pPr>
      <w:r>
        <w:rPr>
          <w:rFonts w:ascii="Arial" w:hAnsi="Arial" w:cs="Arial"/>
          <w:sz w:val="24"/>
          <w:szCs w:val="24"/>
        </w:rPr>
        <w:t>10.4</w:t>
      </w:r>
      <w:r w:rsidR="000E52DB">
        <w:rPr>
          <w:rFonts w:ascii="Arial" w:hAnsi="Arial" w:cs="Arial"/>
          <w:sz w:val="24"/>
          <w:szCs w:val="24"/>
        </w:rPr>
        <w:tab/>
      </w:r>
      <w:r>
        <w:rPr>
          <w:rFonts w:ascii="Arial" w:hAnsi="Arial" w:cs="Arial"/>
          <w:sz w:val="24"/>
          <w:szCs w:val="24"/>
        </w:rPr>
        <w:t>Costs to be in the cause.</w:t>
      </w:r>
    </w:p>
    <w:p w:rsidR="00D30EE9" w:rsidRDefault="00D30EE9" w:rsidP="00FB48B7">
      <w:pPr>
        <w:spacing w:after="0" w:line="360" w:lineRule="auto"/>
        <w:ind w:left="851" w:hanging="851"/>
        <w:jc w:val="right"/>
        <w:rPr>
          <w:rFonts w:ascii="Arial" w:hAnsi="Arial" w:cs="Arial"/>
          <w:b/>
          <w:sz w:val="24"/>
          <w:szCs w:val="24"/>
        </w:rPr>
      </w:pPr>
    </w:p>
    <w:p w:rsidR="00FB48B7" w:rsidRDefault="00FB48B7" w:rsidP="008C4D40">
      <w:pPr>
        <w:spacing w:after="0" w:line="240" w:lineRule="auto"/>
        <w:rPr>
          <w:rFonts w:ascii="Arial" w:hAnsi="Arial" w:cs="Arial"/>
          <w:b/>
          <w:sz w:val="24"/>
          <w:szCs w:val="24"/>
        </w:rPr>
      </w:pPr>
    </w:p>
    <w:p w:rsidR="00457479" w:rsidRDefault="00457479" w:rsidP="0008079C">
      <w:pPr>
        <w:spacing w:after="0" w:line="240" w:lineRule="auto"/>
        <w:jc w:val="both"/>
        <w:rPr>
          <w:rFonts w:ascii="Arial" w:hAnsi="Arial" w:cs="Arial"/>
          <w:sz w:val="24"/>
          <w:szCs w:val="24"/>
        </w:rPr>
      </w:pPr>
    </w:p>
    <w:p w:rsidR="00457479" w:rsidRDefault="005664A5" w:rsidP="0008079C">
      <w:pPr>
        <w:spacing w:after="0" w:line="240" w:lineRule="auto"/>
        <w:ind w:left="851" w:hanging="851"/>
        <w:jc w:val="right"/>
        <w:rPr>
          <w:rFonts w:ascii="Arial" w:hAnsi="Arial" w:cs="Arial"/>
          <w:b/>
          <w:sz w:val="24"/>
          <w:szCs w:val="24"/>
        </w:rPr>
      </w:pPr>
      <w:r>
        <w:rPr>
          <w:rFonts w:ascii="Arial" w:hAnsi="Arial" w:cs="Arial"/>
          <w:b/>
          <w:sz w:val="24"/>
          <w:szCs w:val="24"/>
        </w:rPr>
        <w:t>__</w:t>
      </w:r>
      <w:r w:rsidR="00457479">
        <w:rPr>
          <w:rFonts w:ascii="Arial" w:hAnsi="Arial" w:cs="Arial"/>
          <w:b/>
          <w:sz w:val="24"/>
          <w:szCs w:val="24"/>
        </w:rPr>
        <w:t>_________________</w:t>
      </w:r>
    </w:p>
    <w:p w:rsidR="00457479" w:rsidRDefault="00457479" w:rsidP="0008079C">
      <w:pPr>
        <w:spacing w:after="0" w:line="240" w:lineRule="auto"/>
        <w:ind w:left="851" w:hanging="851"/>
        <w:jc w:val="right"/>
        <w:rPr>
          <w:rFonts w:ascii="Arial" w:hAnsi="Arial" w:cs="Arial"/>
          <w:b/>
          <w:sz w:val="24"/>
          <w:szCs w:val="24"/>
        </w:rPr>
      </w:pPr>
      <w:r>
        <w:rPr>
          <w:rFonts w:ascii="Arial" w:hAnsi="Arial" w:cs="Arial"/>
          <w:b/>
          <w:sz w:val="24"/>
          <w:szCs w:val="24"/>
        </w:rPr>
        <w:t>C REINDERS, J</w:t>
      </w:r>
    </w:p>
    <w:p w:rsidR="00457479" w:rsidRDefault="00457479" w:rsidP="0008079C">
      <w:pPr>
        <w:spacing w:after="0" w:line="240" w:lineRule="auto"/>
        <w:ind w:left="851" w:hanging="851"/>
        <w:jc w:val="right"/>
        <w:rPr>
          <w:rFonts w:ascii="Arial" w:hAnsi="Arial" w:cs="Arial"/>
          <w:b/>
          <w:sz w:val="24"/>
          <w:szCs w:val="24"/>
        </w:rPr>
      </w:pPr>
    </w:p>
    <w:p w:rsidR="00457479" w:rsidRDefault="00457479" w:rsidP="0008079C">
      <w:pPr>
        <w:spacing w:after="0" w:line="240" w:lineRule="auto"/>
        <w:jc w:val="both"/>
        <w:rPr>
          <w:rFonts w:ascii="Arial" w:hAnsi="Arial" w:cs="Arial"/>
          <w:sz w:val="24"/>
          <w:szCs w:val="24"/>
        </w:rPr>
      </w:pPr>
    </w:p>
    <w:p w:rsidR="008C4D40" w:rsidRDefault="008C4D40" w:rsidP="008C4D40">
      <w:pPr>
        <w:spacing w:after="120" w:line="240" w:lineRule="auto"/>
        <w:jc w:val="both"/>
        <w:rPr>
          <w:rFonts w:ascii="Arial" w:hAnsi="Arial" w:cs="Arial"/>
          <w:sz w:val="24"/>
          <w:szCs w:val="24"/>
        </w:rPr>
      </w:pPr>
    </w:p>
    <w:p w:rsidR="008C4D40" w:rsidRDefault="008C4D40" w:rsidP="008C4D40">
      <w:pPr>
        <w:spacing w:after="120" w:line="240" w:lineRule="auto"/>
        <w:jc w:val="both"/>
        <w:rPr>
          <w:rFonts w:ascii="Arial" w:hAnsi="Arial" w:cs="Arial"/>
          <w:sz w:val="24"/>
          <w:szCs w:val="24"/>
        </w:rPr>
      </w:pPr>
    </w:p>
    <w:p w:rsidR="008C4D40" w:rsidRDefault="008C4D40" w:rsidP="008C4D40">
      <w:pPr>
        <w:spacing w:after="120" w:line="240" w:lineRule="auto"/>
        <w:jc w:val="both"/>
        <w:rPr>
          <w:rFonts w:ascii="Arial" w:hAnsi="Arial" w:cs="Arial"/>
          <w:sz w:val="24"/>
          <w:szCs w:val="24"/>
        </w:rPr>
      </w:pPr>
    </w:p>
    <w:p w:rsidR="00DD4EFA" w:rsidRDefault="00DD4EFA" w:rsidP="008C4D40">
      <w:pPr>
        <w:spacing w:after="120" w:line="240" w:lineRule="auto"/>
        <w:jc w:val="both"/>
        <w:rPr>
          <w:rFonts w:ascii="Arial" w:hAnsi="Arial" w:cs="Arial"/>
          <w:sz w:val="24"/>
          <w:szCs w:val="24"/>
        </w:rPr>
      </w:pPr>
    </w:p>
    <w:p w:rsidR="00331F3D" w:rsidRPr="00331F3D" w:rsidRDefault="00331F3D" w:rsidP="008C4D40">
      <w:pPr>
        <w:spacing w:after="120" w:line="240" w:lineRule="auto"/>
        <w:jc w:val="both"/>
        <w:rPr>
          <w:rFonts w:ascii="Arial" w:hAnsi="Arial" w:cs="Arial"/>
          <w:sz w:val="24"/>
          <w:szCs w:val="24"/>
        </w:rPr>
      </w:pPr>
      <w:r>
        <w:rPr>
          <w:rFonts w:ascii="Arial" w:hAnsi="Arial" w:cs="Arial"/>
          <w:sz w:val="24"/>
          <w:szCs w:val="24"/>
        </w:rPr>
        <w:t>On behalf of the Plaintiff:</w:t>
      </w:r>
      <w:r>
        <w:rPr>
          <w:rFonts w:ascii="Arial" w:hAnsi="Arial" w:cs="Arial"/>
          <w:sz w:val="24"/>
          <w:szCs w:val="24"/>
        </w:rPr>
        <w:tab/>
      </w:r>
      <w:r>
        <w:rPr>
          <w:rFonts w:ascii="Arial" w:hAnsi="Arial" w:cs="Arial"/>
          <w:sz w:val="24"/>
          <w:szCs w:val="24"/>
        </w:rPr>
        <w:tab/>
        <w:t xml:space="preserve">           Adv T. Masuku SC</w:t>
      </w:r>
    </w:p>
    <w:p w:rsidR="00331F3D" w:rsidRPr="00331F3D" w:rsidRDefault="00331F3D" w:rsidP="008C4D40">
      <w:pPr>
        <w:spacing w:after="120" w:line="240" w:lineRule="auto"/>
        <w:jc w:val="both"/>
        <w:rPr>
          <w:rFonts w:ascii="Arial" w:hAnsi="Arial" w:cs="Arial"/>
          <w:sz w:val="24"/>
          <w:szCs w:val="24"/>
        </w:rPr>
      </w:pP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t xml:space="preserve">Adv </w:t>
      </w:r>
      <w:r>
        <w:rPr>
          <w:rFonts w:ascii="Arial" w:hAnsi="Arial" w:cs="Arial"/>
          <w:sz w:val="24"/>
          <w:szCs w:val="24"/>
        </w:rPr>
        <w:t>M. Simelane</w:t>
      </w:r>
    </w:p>
    <w:p w:rsidR="00331F3D" w:rsidRDefault="00331F3D" w:rsidP="008C4D40">
      <w:pPr>
        <w:spacing w:after="120" w:line="240" w:lineRule="auto"/>
        <w:jc w:val="both"/>
        <w:rPr>
          <w:rFonts w:ascii="Arial" w:hAnsi="Arial" w:cs="Arial"/>
          <w:sz w:val="24"/>
          <w:szCs w:val="24"/>
        </w:rPr>
      </w:pP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t xml:space="preserve">Adv </w:t>
      </w:r>
      <w:r>
        <w:rPr>
          <w:rFonts w:ascii="Arial" w:hAnsi="Arial" w:cs="Arial"/>
          <w:sz w:val="24"/>
          <w:szCs w:val="24"/>
        </w:rPr>
        <w:t>N. Nyathi</w:t>
      </w:r>
    </w:p>
    <w:p w:rsidR="00331F3D" w:rsidRPr="00331F3D" w:rsidRDefault="00331F3D" w:rsidP="008C4D40">
      <w:pPr>
        <w:spacing w:after="120" w:line="240" w:lineRule="auto"/>
        <w:ind w:left="3600" w:firstLine="720"/>
        <w:jc w:val="both"/>
        <w:rPr>
          <w:rFonts w:ascii="Arial" w:hAnsi="Arial" w:cs="Arial"/>
          <w:sz w:val="24"/>
          <w:szCs w:val="24"/>
        </w:rPr>
      </w:pPr>
      <w:r w:rsidRPr="00331F3D">
        <w:rPr>
          <w:rFonts w:ascii="Arial" w:hAnsi="Arial" w:cs="Arial"/>
          <w:sz w:val="24"/>
          <w:szCs w:val="24"/>
        </w:rPr>
        <w:t>Instructed by:</w:t>
      </w:r>
    </w:p>
    <w:p w:rsidR="00331F3D" w:rsidRPr="00331F3D" w:rsidRDefault="00331F3D" w:rsidP="008C4D40">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A.T. Shabangu Inc </w:t>
      </w:r>
      <w:r w:rsidRPr="00331F3D">
        <w:rPr>
          <w:rFonts w:ascii="Arial" w:hAnsi="Arial" w:cs="Arial"/>
          <w:sz w:val="24"/>
          <w:szCs w:val="24"/>
        </w:rPr>
        <w:t>Attorneys</w:t>
      </w:r>
    </w:p>
    <w:p w:rsidR="00331F3D" w:rsidRPr="00331F3D" w:rsidRDefault="00331F3D" w:rsidP="008C4D40">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Mohlokonya Attorneys</w:t>
      </w:r>
    </w:p>
    <w:p w:rsidR="00331F3D" w:rsidRPr="00331F3D" w:rsidRDefault="00331F3D" w:rsidP="008C4D40">
      <w:pPr>
        <w:spacing w:after="120" w:line="240" w:lineRule="auto"/>
        <w:ind w:left="3600" w:firstLine="720"/>
        <w:jc w:val="both"/>
        <w:rPr>
          <w:rFonts w:ascii="Arial" w:hAnsi="Arial" w:cs="Arial"/>
          <w:sz w:val="24"/>
          <w:szCs w:val="24"/>
        </w:rPr>
      </w:pPr>
      <w:r w:rsidRPr="00331F3D">
        <w:rPr>
          <w:rFonts w:ascii="Arial" w:hAnsi="Arial" w:cs="Arial"/>
          <w:sz w:val="24"/>
          <w:szCs w:val="24"/>
        </w:rPr>
        <w:t>BLOEMFONTEIN</w:t>
      </w:r>
    </w:p>
    <w:p w:rsidR="00331F3D" w:rsidRPr="00331F3D" w:rsidRDefault="00331F3D" w:rsidP="00331F3D">
      <w:pPr>
        <w:spacing w:line="360" w:lineRule="auto"/>
        <w:jc w:val="both"/>
        <w:rPr>
          <w:rFonts w:ascii="Arial" w:hAnsi="Arial" w:cs="Arial"/>
          <w:sz w:val="24"/>
          <w:szCs w:val="24"/>
        </w:rPr>
      </w:pPr>
    </w:p>
    <w:p w:rsidR="00331F3D" w:rsidRPr="00331F3D" w:rsidRDefault="00331F3D" w:rsidP="008C4D40">
      <w:pPr>
        <w:spacing w:after="120" w:line="240" w:lineRule="auto"/>
        <w:jc w:val="both"/>
        <w:rPr>
          <w:rFonts w:ascii="Arial" w:hAnsi="Arial" w:cs="Arial"/>
          <w:sz w:val="24"/>
          <w:szCs w:val="24"/>
        </w:rPr>
      </w:pPr>
      <w:r>
        <w:rPr>
          <w:rFonts w:ascii="Arial" w:hAnsi="Arial" w:cs="Arial"/>
          <w:sz w:val="24"/>
          <w:szCs w:val="24"/>
        </w:rPr>
        <w:t>On behalf of 1</w:t>
      </w:r>
      <w:r w:rsidRPr="00331F3D">
        <w:rPr>
          <w:rFonts w:ascii="Arial" w:hAnsi="Arial" w:cs="Arial"/>
          <w:sz w:val="24"/>
          <w:szCs w:val="24"/>
          <w:vertAlign w:val="superscript"/>
        </w:rPr>
        <w:t>st</w:t>
      </w:r>
      <w:r>
        <w:rPr>
          <w:rFonts w:ascii="Arial" w:hAnsi="Arial" w:cs="Arial"/>
          <w:sz w:val="24"/>
          <w:szCs w:val="24"/>
        </w:rPr>
        <w:t xml:space="preserve"> and 2</w:t>
      </w:r>
      <w:r w:rsidRPr="00331F3D">
        <w:rPr>
          <w:rFonts w:ascii="Arial" w:hAnsi="Arial" w:cs="Arial"/>
          <w:sz w:val="24"/>
          <w:szCs w:val="24"/>
          <w:vertAlign w:val="superscript"/>
        </w:rPr>
        <w:t>nd</w:t>
      </w:r>
      <w:r>
        <w:rPr>
          <w:rFonts w:ascii="Arial" w:hAnsi="Arial" w:cs="Arial"/>
          <w:sz w:val="24"/>
          <w:szCs w:val="24"/>
        </w:rPr>
        <w:t xml:space="preserve"> Defendants:</w:t>
      </w:r>
      <w:r>
        <w:rPr>
          <w:rFonts w:ascii="Arial" w:hAnsi="Arial" w:cs="Arial"/>
          <w:sz w:val="24"/>
          <w:szCs w:val="24"/>
        </w:rPr>
        <w:tab/>
        <w:t>Adv N. Cassim</w:t>
      </w:r>
      <w:r w:rsidRPr="00331F3D">
        <w:rPr>
          <w:rFonts w:ascii="Arial" w:hAnsi="Arial" w:cs="Arial"/>
          <w:sz w:val="24"/>
          <w:szCs w:val="24"/>
        </w:rPr>
        <w:t xml:space="preserve"> SC</w:t>
      </w:r>
    </w:p>
    <w:p w:rsidR="00331F3D" w:rsidRPr="00331F3D" w:rsidRDefault="00331F3D" w:rsidP="008C4D40">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I. Macakati</w:t>
      </w:r>
    </w:p>
    <w:p w:rsidR="00604070" w:rsidRDefault="00331F3D" w:rsidP="008C4D40">
      <w:pPr>
        <w:spacing w:after="120" w:line="240" w:lineRule="auto"/>
        <w:jc w:val="both"/>
        <w:rPr>
          <w:rFonts w:ascii="Arial" w:hAnsi="Arial" w:cs="Arial"/>
          <w:sz w:val="24"/>
          <w:szCs w:val="24"/>
        </w:rPr>
      </w:pP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r>
      <w:r w:rsidRPr="00331F3D">
        <w:rPr>
          <w:rFonts w:ascii="Arial" w:hAnsi="Arial" w:cs="Arial"/>
          <w:sz w:val="24"/>
          <w:szCs w:val="24"/>
        </w:rPr>
        <w:tab/>
        <w:t>Instructed by:</w:t>
      </w:r>
    </w:p>
    <w:p w:rsidR="00331F3D" w:rsidRDefault="00331F3D" w:rsidP="008C4D40">
      <w:pPr>
        <w:spacing w:after="120" w:line="240" w:lineRule="auto"/>
        <w:ind w:left="3600" w:firstLine="720"/>
        <w:jc w:val="both"/>
        <w:rPr>
          <w:rFonts w:ascii="Arial" w:hAnsi="Arial" w:cs="Arial"/>
          <w:sz w:val="24"/>
          <w:szCs w:val="24"/>
        </w:rPr>
      </w:pPr>
      <w:r>
        <w:rPr>
          <w:rFonts w:ascii="Arial" w:hAnsi="Arial" w:cs="Arial"/>
          <w:sz w:val="24"/>
          <w:szCs w:val="24"/>
        </w:rPr>
        <w:t>C.E. Cawood</w:t>
      </w:r>
    </w:p>
    <w:p w:rsidR="00331F3D" w:rsidRPr="00331F3D" w:rsidRDefault="00331F3D" w:rsidP="008C4D40">
      <w:pPr>
        <w:spacing w:after="120" w:line="240" w:lineRule="auto"/>
        <w:ind w:left="3600" w:firstLine="720"/>
        <w:jc w:val="both"/>
        <w:rPr>
          <w:rFonts w:ascii="Arial" w:hAnsi="Arial" w:cs="Arial"/>
          <w:sz w:val="24"/>
          <w:szCs w:val="24"/>
        </w:rPr>
      </w:pPr>
      <w:r>
        <w:rPr>
          <w:rFonts w:ascii="Arial" w:hAnsi="Arial" w:cs="Arial"/>
          <w:sz w:val="24"/>
          <w:szCs w:val="24"/>
        </w:rPr>
        <w:t>State Attorney</w:t>
      </w:r>
    </w:p>
    <w:p w:rsidR="00331F3D" w:rsidRPr="00331F3D" w:rsidRDefault="00331F3D" w:rsidP="008C4D40">
      <w:pPr>
        <w:spacing w:after="120" w:line="240" w:lineRule="auto"/>
        <w:ind w:left="3600" w:firstLine="720"/>
        <w:jc w:val="both"/>
        <w:rPr>
          <w:rFonts w:ascii="Arial" w:hAnsi="Arial" w:cs="Arial"/>
          <w:sz w:val="24"/>
          <w:szCs w:val="24"/>
        </w:rPr>
      </w:pPr>
      <w:r w:rsidRPr="00331F3D">
        <w:rPr>
          <w:rFonts w:ascii="Arial" w:hAnsi="Arial" w:cs="Arial"/>
          <w:sz w:val="24"/>
          <w:szCs w:val="24"/>
        </w:rPr>
        <w:t>BLOEMFONTEIN</w:t>
      </w:r>
    </w:p>
    <w:p w:rsidR="00EE16BA" w:rsidRPr="00BF1481" w:rsidRDefault="00331F3D" w:rsidP="00BF1481">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EE16BA" w:rsidRPr="00BF1481" w:rsidSect="001D505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81" w:rsidRDefault="00423E81" w:rsidP="00FB48B7">
      <w:pPr>
        <w:spacing w:after="0" w:line="240" w:lineRule="auto"/>
      </w:pPr>
      <w:r>
        <w:separator/>
      </w:r>
    </w:p>
  </w:endnote>
  <w:endnote w:type="continuationSeparator" w:id="0">
    <w:p w:rsidR="00423E81" w:rsidRDefault="00423E81" w:rsidP="00FB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81" w:rsidRDefault="00423E81" w:rsidP="00FB48B7">
      <w:pPr>
        <w:spacing w:after="0" w:line="240" w:lineRule="auto"/>
      </w:pPr>
      <w:r>
        <w:separator/>
      </w:r>
    </w:p>
  </w:footnote>
  <w:footnote w:type="continuationSeparator" w:id="0">
    <w:p w:rsidR="00423E81" w:rsidRDefault="00423E81" w:rsidP="00FB48B7">
      <w:pPr>
        <w:spacing w:after="0" w:line="240" w:lineRule="auto"/>
      </w:pPr>
      <w:r>
        <w:continuationSeparator/>
      </w:r>
    </w:p>
  </w:footnote>
  <w:footnote w:id="1">
    <w:p w:rsidR="00564DB1" w:rsidRDefault="00564DB1">
      <w:pPr>
        <w:pStyle w:val="FootnoteText"/>
      </w:pPr>
      <w:r>
        <w:rPr>
          <w:rStyle w:val="FootnoteReference"/>
        </w:rPr>
        <w:footnoteRef/>
      </w:r>
      <w:r>
        <w:t xml:space="preserve"> </w:t>
      </w:r>
      <w:r w:rsidRPr="007A7C56">
        <w:rPr>
          <w:i/>
        </w:rPr>
        <w:t>Nichas and Son (Pty) Ltd v Papenfus</w:t>
      </w:r>
      <w:r>
        <w:t xml:space="preserve"> 1970 (2) SA 316 (O); </w:t>
      </w:r>
      <w:r w:rsidR="00A22399">
        <w:t>s</w:t>
      </w:r>
      <w:r w:rsidR="007A7C56">
        <w:rPr>
          <w:i/>
        </w:rPr>
        <w:t>.</w:t>
      </w:r>
      <w:r>
        <w:t>1985(1) SA 540 (C).</w:t>
      </w:r>
    </w:p>
  </w:footnote>
  <w:footnote w:id="2">
    <w:p w:rsidR="00167A81" w:rsidRDefault="00167A81">
      <w:pPr>
        <w:pStyle w:val="FootnoteText"/>
      </w:pPr>
      <w:r>
        <w:rPr>
          <w:rStyle w:val="FootnoteReference"/>
        </w:rPr>
        <w:footnoteRef/>
      </w:r>
      <w:r>
        <w:t xml:space="preserve"> (Case no 368/2022)</w:t>
      </w:r>
      <w:r w:rsidR="00B24182">
        <w:t xml:space="preserve"> [2023] ZASCA </w:t>
      </w:r>
      <w:r>
        <w:t>56 (2023)</w:t>
      </w:r>
      <w:r w:rsidR="00355E4D">
        <w:t>.</w:t>
      </w:r>
    </w:p>
  </w:footnote>
  <w:footnote w:id="3">
    <w:p w:rsidR="008513AF" w:rsidRDefault="008513AF" w:rsidP="008513AF">
      <w:pPr>
        <w:pStyle w:val="FootnoteText"/>
        <w:jc w:val="both"/>
      </w:pPr>
      <w:r>
        <w:rPr>
          <w:rStyle w:val="FootnoteReference"/>
        </w:rPr>
        <w:footnoteRef/>
      </w:r>
      <w:r>
        <w:t xml:space="preserve"> </w:t>
      </w:r>
      <w:r>
        <w:rPr>
          <w:i/>
        </w:rPr>
        <w:t>Joob Joob Investments (Pty) Ltd v Stocks Mavundla Joint Venture</w:t>
      </w:r>
      <w:r>
        <w:t xml:space="preserve"> </w:t>
      </w:r>
      <w:r>
        <w:rPr>
          <w:i/>
        </w:rPr>
        <w:t xml:space="preserve">Zek Joint Venture </w:t>
      </w:r>
      <w:r>
        <w:t>[2009] ZASCA 23; 2009 (5) SA 1 (SCA); [2009] 3 All SA 407 (SCA) para 32.</w:t>
      </w:r>
    </w:p>
  </w:footnote>
  <w:footnote w:id="4">
    <w:p w:rsidR="008513AF" w:rsidRDefault="008513AF" w:rsidP="008513AF">
      <w:pPr>
        <w:pStyle w:val="FootnoteText"/>
        <w:jc w:val="both"/>
      </w:pPr>
      <w:r>
        <w:rPr>
          <w:rStyle w:val="FootnoteReference"/>
        </w:rPr>
        <w:footnoteRef/>
      </w:r>
      <w:r>
        <w:t xml:space="preserve"> </w:t>
      </w:r>
      <w:r>
        <w:rPr>
          <w:i/>
        </w:rPr>
        <w:t>Maharaj v Barclays National Bank</w:t>
      </w:r>
      <w:r>
        <w:t xml:space="preserve"> </w:t>
      </w:r>
      <w:r>
        <w:rPr>
          <w:i/>
        </w:rPr>
        <w:t>Ltd</w:t>
      </w:r>
      <w:r>
        <w:t xml:space="preserve"> 1976 (1) SA 418 (A) at 418H-419A.</w:t>
      </w:r>
    </w:p>
  </w:footnote>
  <w:footnote w:id="5">
    <w:p w:rsidR="00B4139C" w:rsidRDefault="00B4139C">
      <w:pPr>
        <w:pStyle w:val="FootnoteText"/>
      </w:pPr>
      <w:r>
        <w:rPr>
          <w:rStyle w:val="FootnoteReference"/>
        </w:rPr>
        <w:footnoteRef/>
      </w:r>
      <w:r>
        <w:t xml:space="preserve"> At para </w:t>
      </w:r>
      <w:r w:rsidR="00E529D7">
        <w:t>28</w:t>
      </w:r>
      <w:r w:rsidR="00FE414E">
        <w:t>.</w:t>
      </w:r>
    </w:p>
  </w:footnote>
  <w:footnote w:id="6">
    <w:p w:rsidR="00FE414E" w:rsidRDefault="00FE414E">
      <w:pPr>
        <w:pStyle w:val="FootnoteText"/>
      </w:pPr>
      <w:r>
        <w:rPr>
          <w:rStyle w:val="FootnoteReference"/>
        </w:rPr>
        <w:footnoteRef/>
      </w:r>
      <w:r w:rsidR="00E529D7">
        <w:t xml:space="preserve"> At para 28.</w:t>
      </w:r>
    </w:p>
  </w:footnote>
  <w:footnote w:id="7">
    <w:p w:rsidR="00FE414E" w:rsidRDefault="00FE414E">
      <w:pPr>
        <w:pStyle w:val="FootnoteText"/>
      </w:pPr>
      <w:r>
        <w:rPr>
          <w:rStyle w:val="FootnoteReference"/>
        </w:rPr>
        <w:footnoteRef/>
      </w:r>
      <w:r w:rsidR="00E529D7">
        <w:t xml:space="preserve"> At para 29</w:t>
      </w:r>
      <w:r>
        <w:t>.</w:t>
      </w:r>
    </w:p>
  </w:footnote>
  <w:footnote w:id="8">
    <w:p w:rsidR="002B0317" w:rsidRDefault="002B0317">
      <w:pPr>
        <w:pStyle w:val="FootnoteText"/>
      </w:pPr>
      <w:r>
        <w:rPr>
          <w:rStyle w:val="FootnoteReference"/>
        </w:rPr>
        <w:footnoteRef/>
      </w:r>
      <w:r>
        <w:t xml:space="preserve"> S217 reads:</w:t>
      </w:r>
    </w:p>
    <w:p w:rsidR="008C4D40" w:rsidRPr="00BF1481" w:rsidRDefault="008C4D40" w:rsidP="008C4D40">
      <w:pPr>
        <w:spacing w:after="0" w:line="240" w:lineRule="auto"/>
        <w:jc w:val="both"/>
        <w:rPr>
          <w:rFonts w:cstheme="minorHAnsi"/>
          <w:b/>
          <w:bCs/>
          <w:sz w:val="20"/>
          <w:szCs w:val="20"/>
        </w:rPr>
      </w:pPr>
      <w:r w:rsidRPr="00BF1481">
        <w:rPr>
          <w:rFonts w:cstheme="minorHAnsi"/>
          <w:sz w:val="20"/>
          <w:szCs w:val="20"/>
          <w:lang w:eastAsia="en-ZA"/>
        </w:rPr>
        <w:t> </w:t>
      </w:r>
      <w:hyperlink r:id="rId1" w:tgtFrame="main" w:history="1">
        <w:r w:rsidRPr="00BF1481">
          <w:rPr>
            <w:rStyle w:val="Hyperlink"/>
            <w:rFonts w:cstheme="minorHAnsi"/>
            <w:b/>
            <w:bCs/>
            <w:color w:val="auto"/>
            <w:sz w:val="20"/>
            <w:szCs w:val="20"/>
          </w:rPr>
          <w:t>217</w:t>
        </w:r>
      </w:hyperlink>
      <w:r w:rsidRPr="00BF1481">
        <w:rPr>
          <w:rFonts w:cstheme="minorHAnsi"/>
          <w:b/>
          <w:bCs/>
          <w:sz w:val="20"/>
          <w:szCs w:val="20"/>
        </w:rPr>
        <w:t>  Procurement</w:t>
      </w:r>
    </w:p>
    <w:p w:rsidR="008C4D40" w:rsidRPr="008C4D40" w:rsidRDefault="00423E81" w:rsidP="008C4D40">
      <w:pPr>
        <w:spacing w:after="0" w:line="240" w:lineRule="auto"/>
        <w:ind w:firstLine="284"/>
        <w:jc w:val="both"/>
        <w:rPr>
          <w:rFonts w:cstheme="minorHAnsi"/>
          <w:color w:val="000000"/>
          <w:sz w:val="20"/>
          <w:szCs w:val="20"/>
        </w:rPr>
      </w:pPr>
      <w:hyperlink r:id="rId2" w:tgtFrame="main" w:history="1">
        <w:r w:rsidR="008C4D40" w:rsidRPr="00BF1481">
          <w:rPr>
            <w:rStyle w:val="Hyperlink"/>
            <w:rFonts w:cstheme="minorHAnsi"/>
            <w:color w:val="auto"/>
            <w:sz w:val="20"/>
            <w:szCs w:val="20"/>
          </w:rPr>
          <w:t>(1)</w:t>
        </w:r>
      </w:hyperlink>
      <w:r w:rsidR="008C4D40" w:rsidRPr="008C4D40">
        <w:rPr>
          <w:rFonts w:cstheme="minorHAnsi"/>
          <w:color w:val="000000"/>
          <w:sz w:val="20"/>
          <w:szCs w:val="20"/>
        </w:rPr>
        <w:t> 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8C4D40" w:rsidRPr="008C4D40" w:rsidRDefault="008C4D40" w:rsidP="008C4D40">
      <w:pPr>
        <w:spacing w:after="0" w:line="240" w:lineRule="auto"/>
        <w:ind w:firstLine="284"/>
        <w:jc w:val="both"/>
        <w:rPr>
          <w:rFonts w:cstheme="minorHAnsi"/>
          <w:color w:val="000000"/>
          <w:sz w:val="20"/>
          <w:szCs w:val="20"/>
        </w:rPr>
      </w:pPr>
      <w:r w:rsidRPr="008C4D40">
        <w:rPr>
          <w:rFonts w:cstheme="minorHAnsi"/>
          <w:color w:val="000000"/>
          <w:sz w:val="20"/>
          <w:szCs w:val="20"/>
        </w:rPr>
        <w:t>(2) Subsection (1) does not prevent the organs of state or institutions referred to in that subsection from implementing a procurement policy providing for-</w:t>
      </w:r>
    </w:p>
    <w:p w:rsidR="008C4D40" w:rsidRPr="008C4D40" w:rsidRDefault="008C4D40" w:rsidP="008C4D40">
      <w:pPr>
        <w:spacing w:after="0" w:line="240" w:lineRule="auto"/>
        <w:ind w:hanging="737"/>
        <w:jc w:val="both"/>
        <w:rPr>
          <w:rFonts w:cstheme="minorHAnsi"/>
          <w:color w:val="000000"/>
          <w:sz w:val="20"/>
          <w:szCs w:val="20"/>
        </w:rPr>
      </w:pPr>
      <w:r w:rsidRPr="008C4D40">
        <w:rPr>
          <w:rFonts w:cstheme="minorHAnsi"/>
          <w:color w:val="000000"/>
          <w:sz w:val="20"/>
          <w:szCs w:val="20"/>
        </w:rPr>
        <w:t>  </w:t>
      </w:r>
      <w:r w:rsidR="00BF1481">
        <w:rPr>
          <w:rFonts w:cstheme="minorHAnsi"/>
          <w:color w:val="000000"/>
          <w:sz w:val="20"/>
          <w:szCs w:val="20"/>
        </w:rPr>
        <w:tab/>
      </w:r>
      <w:r w:rsidRPr="008C4D40">
        <w:rPr>
          <w:rFonts w:cstheme="minorHAnsi"/>
          <w:color w:val="000000"/>
          <w:sz w:val="20"/>
          <w:szCs w:val="20"/>
        </w:rPr>
        <w:t> </w:t>
      </w:r>
      <w:r w:rsidRPr="008C4D40">
        <w:rPr>
          <w:rFonts w:cstheme="minorHAnsi"/>
          <w:i/>
          <w:iCs/>
          <w:color w:val="000000"/>
          <w:sz w:val="20"/>
          <w:szCs w:val="20"/>
        </w:rPr>
        <w:t>(a)</w:t>
      </w:r>
      <w:r w:rsidRPr="008C4D40">
        <w:rPr>
          <w:rFonts w:cstheme="minorHAnsi"/>
          <w:color w:val="000000"/>
          <w:sz w:val="20"/>
          <w:szCs w:val="20"/>
        </w:rPr>
        <w:t>   categories of preference in the allocation of contracts; and</w:t>
      </w:r>
    </w:p>
    <w:p w:rsidR="008C4D40" w:rsidRPr="008C4D40" w:rsidRDefault="008C4D40" w:rsidP="008C4D40">
      <w:pPr>
        <w:spacing w:after="0" w:line="240" w:lineRule="auto"/>
        <w:ind w:hanging="737"/>
        <w:jc w:val="both"/>
        <w:rPr>
          <w:rFonts w:cstheme="minorHAnsi"/>
          <w:color w:val="000000"/>
          <w:sz w:val="20"/>
          <w:szCs w:val="20"/>
        </w:rPr>
      </w:pPr>
      <w:r w:rsidRPr="008C4D40">
        <w:rPr>
          <w:rFonts w:cstheme="minorHAnsi"/>
          <w:color w:val="000000"/>
          <w:sz w:val="20"/>
          <w:szCs w:val="20"/>
        </w:rPr>
        <w:t>   </w:t>
      </w:r>
      <w:r w:rsidR="00BF1481">
        <w:rPr>
          <w:rFonts w:cstheme="minorHAnsi"/>
          <w:color w:val="000000"/>
          <w:sz w:val="20"/>
          <w:szCs w:val="20"/>
        </w:rPr>
        <w:tab/>
      </w:r>
      <w:r w:rsidRPr="008C4D40">
        <w:rPr>
          <w:rFonts w:cstheme="minorHAnsi"/>
          <w:i/>
          <w:iCs/>
          <w:color w:val="000000"/>
          <w:sz w:val="20"/>
          <w:szCs w:val="20"/>
        </w:rPr>
        <w:t>(b)</w:t>
      </w:r>
      <w:r w:rsidRPr="008C4D40">
        <w:rPr>
          <w:rFonts w:cstheme="minorHAnsi"/>
          <w:color w:val="000000"/>
          <w:sz w:val="20"/>
          <w:szCs w:val="20"/>
        </w:rPr>
        <w:t>   the protection or advancement of persons, or categories of persons, disadvantaged by unfair discrimination.</w:t>
      </w:r>
    </w:p>
    <w:p w:rsidR="008C4D40" w:rsidRPr="008C4D40" w:rsidRDefault="008C4D40" w:rsidP="008C4D40">
      <w:pPr>
        <w:spacing w:after="0" w:line="240" w:lineRule="auto"/>
        <w:ind w:firstLine="284"/>
        <w:jc w:val="both"/>
        <w:rPr>
          <w:rFonts w:cstheme="minorHAnsi"/>
          <w:color w:val="000000"/>
          <w:sz w:val="20"/>
          <w:szCs w:val="20"/>
        </w:rPr>
      </w:pPr>
      <w:r w:rsidRPr="008C4D40">
        <w:rPr>
          <w:rFonts w:cstheme="minorHAnsi"/>
          <w:color w:val="000000"/>
          <w:sz w:val="20"/>
          <w:szCs w:val="20"/>
        </w:rPr>
        <w:t>(3) National legislation must prescribe a framework within which the policy referred to in subsection (2) must be implemented.</w:t>
      </w:r>
    </w:p>
    <w:p w:rsidR="008C4D40" w:rsidRPr="008C4D40" w:rsidRDefault="008C4D40" w:rsidP="008C4D40">
      <w:pPr>
        <w:spacing w:after="0" w:line="240" w:lineRule="auto"/>
        <w:jc w:val="both"/>
        <w:rPr>
          <w:rFonts w:cstheme="minorHAnsi"/>
          <w:color w:val="000000"/>
          <w:sz w:val="20"/>
          <w:szCs w:val="20"/>
        </w:rPr>
      </w:pPr>
      <w:r w:rsidRPr="008C4D40">
        <w:rPr>
          <w:rFonts w:cstheme="minorHAnsi"/>
          <w:color w:val="000000"/>
          <w:sz w:val="20"/>
          <w:szCs w:val="20"/>
        </w:rPr>
        <w:t>[Sub-s. (3) substituted by s. 6 of the</w:t>
      </w:r>
      <w:r w:rsidRPr="00BF1481">
        <w:rPr>
          <w:rFonts w:cstheme="minorHAnsi"/>
          <w:sz w:val="20"/>
          <w:szCs w:val="20"/>
        </w:rPr>
        <w:t> </w:t>
      </w:r>
      <w:hyperlink r:id="rId3" w:tgtFrame="main" w:history="1">
        <w:r w:rsidRPr="00BF1481">
          <w:rPr>
            <w:rStyle w:val="Hyperlink"/>
            <w:rFonts w:cstheme="minorHAnsi"/>
            <w:color w:val="auto"/>
            <w:sz w:val="20"/>
            <w:szCs w:val="20"/>
          </w:rPr>
          <w:t>Constitution Seventh Amendment Act of 2001</w:t>
        </w:r>
      </w:hyperlink>
      <w:r w:rsidRPr="00BF1481">
        <w:rPr>
          <w:rFonts w:cstheme="minorHAnsi"/>
          <w:sz w:val="20"/>
          <w:szCs w:val="20"/>
        </w:rPr>
        <w:t> </w:t>
      </w:r>
      <w:r w:rsidRPr="008C4D40">
        <w:rPr>
          <w:rFonts w:cstheme="minorHAnsi"/>
          <w:color w:val="000000"/>
          <w:sz w:val="20"/>
          <w:szCs w:val="20"/>
        </w:rPr>
        <w:t>(wef 26 April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9403"/>
      <w:docPartObj>
        <w:docPartGallery w:val="Page Numbers (Top of Page)"/>
        <w:docPartUnique/>
      </w:docPartObj>
    </w:sdtPr>
    <w:sdtEndPr>
      <w:rPr>
        <w:noProof/>
      </w:rPr>
    </w:sdtEndPr>
    <w:sdtContent>
      <w:p w:rsidR="00FE414E" w:rsidRDefault="00FE414E">
        <w:pPr>
          <w:pStyle w:val="Header"/>
          <w:jc w:val="right"/>
        </w:pPr>
        <w:r>
          <w:fldChar w:fldCharType="begin"/>
        </w:r>
        <w:r>
          <w:instrText xml:space="preserve"> PAGE   \* MERGEFORMAT </w:instrText>
        </w:r>
        <w:r>
          <w:fldChar w:fldCharType="separate"/>
        </w:r>
        <w:r w:rsidR="00315EAC">
          <w:rPr>
            <w:noProof/>
          </w:rPr>
          <w:t>2</w:t>
        </w:r>
        <w:r>
          <w:rPr>
            <w:noProof/>
          </w:rPr>
          <w:fldChar w:fldCharType="end"/>
        </w:r>
      </w:p>
    </w:sdtContent>
  </w:sdt>
  <w:p w:rsidR="00782E4B" w:rsidRDefault="0078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85B04AB0"/>
    <w:lvl w:ilvl="0">
      <w:start w:val="1"/>
      <w:numFmt w:val="decimal"/>
      <w:lvlText w:val="[%1]"/>
      <w:lvlJc w:val="left"/>
      <w:pPr>
        <w:ind w:left="828" w:hanging="718"/>
      </w:pPr>
      <w:rPr>
        <w:rFonts w:cs="Times New Roman"/>
        <w:spacing w:val="-4"/>
        <w:w w:val="99"/>
        <w:vertAlign w:val="baseline"/>
      </w:rPr>
    </w:lvl>
    <w:lvl w:ilvl="1">
      <w:start w:val="1"/>
      <w:numFmt w:val="decimal"/>
      <w:lvlText w:val="(%2)"/>
      <w:lvlJc w:val="left"/>
      <w:pPr>
        <w:ind w:left="840" w:hanging="699"/>
      </w:pPr>
      <w:rPr>
        <w:rFonts w:cs="Times New Roman"/>
        <w:w w:val="99"/>
      </w:rPr>
    </w:lvl>
    <w:lvl w:ilvl="2">
      <w:start w:val="1"/>
      <w:numFmt w:val="lowerLetter"/>
      <w:lvlText w:val="(%3)"/>
      <w:lvlJc w:val="left"/>
      <w:pPr>
        <w:ind w:left="1560" w:hanging="699"/>
      </w:pPr>
      <w:rPr>
        <w:rFonts w:ascii="Arial" w:hAnsi="Arial" w:cs="Arial" w:hint="default"/>
        <w:b w:val="0"/>
        <w:bCs w:val="0"/>
        <w:i w:val="0"/>
        <w:iCs w:val="0"/>
        <w:color w:val="232020"/>
        <w:spacing w:val="-2"/>
        <w:w w:val="99"/>
        <w:sz w:val="24"/>
        <w:szCs w:val="24"/>
      </w:rPr>
    </w:lvl>
    <w:lvl w:ilvl="3">
      <w:start w:val="1"/>
      <w:numFmt w:val="upperRoman"/>
      <w:lvlText w:val="%4."/>
      <w:lvlJc w:val="left"/>
      <w:pPr>
        <w:ind w:left="2280" w:hanging="699"/>
      </w:pPr>
      <w:rPr>
        <w:rFonts w:ascii="Arial" w:hAnsi="Arial" w:cs="Arial"/>
        <w:b w:val="0"/>
        <w:bCs w:val="0"/>
        <w:i w:val="0"/>
        <w:iCs w:val="0"/>
        <w:color w:val="232020"/>
        <w:w w:val="100"/>
        <w:sz w:val="24"/>
        <w:szCs w:val="24"/>
      </w:rPr>
    </w:lvl>
    <w:lvl w:ilvl="4">
      <w:numFmt w:val="bullet"/>
      <w:lvlText w:val="•"/>
      <w:lvlJc w:val="left"/>
      <w:pPr>
        <w:ind w:left="1920" w:hanging="699"/>
      </w:pPr>
    </w:lvl>
    <w:lvl w:ilvl="5">
      <w:numFmt w:val="bullet"/>
      <w:lvlText w:val="•"/>
      <w:lvlJc w:val="left"/>
      <w:pPr>
        <w:ind w:left="2280" w:hanging="699"/>
      </w:pPr>
    </w:lvl>
    <w:lvl w:ilvl="6">
      <w:numFmt w:val="bullet"/>
      <w:lvlText w:val="•"/>
      <w:lvlJc w:val="left"/>
      <w:pPr>
        <w:ind w:left="3677" w:hanging="699"/>
      </w:pPr>
    </w:lvl>
    <w:lvl w:ilvl="7">
      <w:numFmt w:val="bullet"/>
      <w:lvlText w:val="•"/>
      <w:lvlJc w:val="left"/>
      <w:pPr>
        <w:ind w:left="5074" w:hanging="699"/>
      </w:pPr>
    </w:lvl>
    <w:lvl w:ilvl="8">
      <w:numFmt w:val="bullet"/>
      <w:lvlText w:val="•"/>
      <w:lvlJc w:val="left"/>
      <w:pPr>
        <w:ind w:left="6471" w:hanging="699"/>
      </w:pPr>
    </w:lvl>
  </w:abstractNum>
  <w:abstractNum w:abstractNumId="1">
    <w:nsid w:val="09FE7929"/>
    <w:multiLevelType w:val="hybridMultilevel"/>
    <w:tmpl w:val="C458FCA0"/>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4202204"/>
    <w:multiLevelType w:val="hybridMultilevel"/>
    <w:tmpl w:val="4CF6E21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69"/>
    <w:rsid w:val="0000162E"/>
    <w:rsid w:val="00006F5A"/>
    <w:rsid w:val="00013FF7"/>
    <w:rsid w:val="00020FF5"/>
    <w:rsid w:val="00027350"/>
    <w:rsid w:val="000276F5"/>
    <w:rsid w:val="000341D0"/>
    <w:rsid w:val="0003679E"/>
    <w:rsid w:val="000451C0"/>
    <w:rsid w:val="00051F67"/>
    <w:rsid w:val="000554B1"/>
    <w:rsid w:val="00060F91"/>
    <w:rsid w:val="000677D0"/>
    <w:rsid w:val="0008079C"/>
    <w:rsid w:val="00082B91"/>
    <w:rsid w:val="0008465A"/>
    <w:rsid w:val="00086E3A"/>
    <w:rsid w:val="0008724E"/>
    <w:rsid w:val="000875E6"/>
    <w:rsid w:val="00093204"/>
    <w:rsid w:val="00095F2B"/>
    <w:rsid w:val="000B04EA"/>
    <w:rsid w:val="000C0201"/>
    <w:rsid w:val="000C2275"/>
    <w:rsid w:val="000C2DBB"/>
    <w:rsid w:val="000C42D6"/>
    <w:rsid w:val="000D3EE2"/>
    <w:rsid w:val="000D42EC"/>
    <w:rsid w:val="000E33C3"/>
    <w:rsid w:val="000E33F3"/>
    <w:rsid w:val="000E359D"/>
    <w:rsid w:val="000E52DB"/>
    <w:rsid w:val="000E6012"/>
    <w:rsid w:val="000E6BE2"/>
    <w:rsid w:val="000F5114"/>
    <w:rsid w:val="0010270D"/>
    <w:rsid w:val="00104C64"/>
    <w:rsid w:val="0011416A"/>
    <w:rsid w:val="001219B5"/>
    <w:rsid w:val="0014360D"/>
    <w:rsid w:val="00143A91"/>
    <w:rsid w:val="00143E1B"/>
    <w:rsid w:val="00145BE6"/>
    <w:rsid w:val="00147DEF"/>
    <w:rsid w:val="00155A73"/>
    <w:rsid w:val="00166BC6"/>
    <w:rsid w:val="00167A81"/>
    <w:rsid w:val="00180448"/>
    <w:rsid w:val="001851FB"/>
    <w:rsid w:val="00197A68"/>
    <w:rsid w:val="001A4B88"/>
    <w:rsid w:val="001B3806"/>
    <w:rsid w:val="001B410D"/>
    <w:rsid w:val="001B5933"/>
    <w:rsid w:val="001B7124"/>
    <w:rsid w:val="001B727E"/>
    <w:rsid w:val="001C0FBE"/>
    <w:rsid w:val="001C5ED7"/>
    <w:rsid w:val="001D371F"/>
    <w:rsid w:val="001D505C"/>
    <w:rsid w:val="001D6997"/>
    <w:rsid w:val="001F0EC7"/>
    <w:rsid w:val="00210745"/>
    <w:rsid w:val="0022534D"/>
    <w:rsid w:val="00237713"/>
    <w:rsid w:val="002460AF"/>
    <w:rsid w:val="00252FFD"/>
    <w:rsid w:val="0025382A"/>
    <w:rsid w:val="0025529D"/>
    <w:rsid w:val="00265210"/>
    <w:rsid w:val="002703F4"/>
    <w:rsid w:val="002753BA"/>
    <w:rsid w:val="0028290E"/>
    <w:rsid w:val="002838D7"/>
    <w:rsid w:val="00286D56"/>
    <w:rsid w:val="00292719"/>
    <w:rsid w:val="002A0834"/>
    <w:rsid w:val="002A3EF7"/>
    <w:rsid w:val="002B0317"/>
    <w:rsid w:val="002B0FA8"/>
    <w:rsid w:val="002B16A9"/>
    <w:rsid w:val="002B5669"/>
    <w:rsid w:val="002C5CB4"/>
    <w:rsid w:val="002D2745"/>
    <w:rsid w:val="002E17FB"/>
    <w:rsid w:val="002E49F8"/>
    <w:rsid w:val="002F677B"/>
    <w:rsid w:val="00303E30"/>
    <w:rsid w:val="00305803"/>
    <w:rsid w:val="0031238C"/>
    <w:rsid w:val="00314AA7"/>
    <w:rsid w:val="00315EAC"/>
    <w:rsid w:val="00331F3D"/>
    <w:rsid w:val="00347752"/>
    <w:rsid w:val="00355E4D"/>
    <w:rsid w:val="00356D8F"/>
    <w:rsid w:val="003615D5"/>
    <w:rsid w:val="0036725A"/>
    <w:rsid w:val="0037195D"/>
    <w:rsid w:val="00373BF0"/>
    <w:rsid w:val="0037680E"/>
    <w:rsid w:val="003815FF"/>
    <w:rsid w:val="00384640"/>
    <w:rsid w:val="00385044"/>
    <w:rsid w:val="003859F2"/>
    <w:rsid w:val="00393292"/>
    <w:rsid w:val="00395833"/>
    <w:rsid w:val="00396E7E"/>
    <w:rsid w:val="00397B56"/>
    <w:rsid w:val="003A54BA"/>
    <w:rsid w:val="003A7B83"/>
    <w:rsid w:val="003B024B"/>
    <w:rsid w:val="003C5023"/>
    <w:rsid w:val="003C7324"/>
    <w:rsid w:val="003D1F79"/>
    <w:rsid w:val="003D4453"/>
    <w:rsid w:val="003F1480"/>
    <w:rsid w:val="003F1B55"/>
    <w:rsid w:val="003F4BAB"/>
    <w:rsid w:val="00404907"/>
    <w:rsid w:val="00412EC4"/>
    <w:rsid w:val="004136EE"/>
    <w:rsid w:val="00414282"/>
    <w:rsid w:val="00423E81"/>
    <w:rsid w:val="00433D16"/>
    <w:rsid w:val="004468F8"/>
    <w:rsid w:val="004478E5"/>
    <w:rsid w:val="0045058A"/>
    <w:rsid w:val="00450651"/>
    <w:rsid w:val="00456737"/>
    <w:rsid w:val="00457479"/>
    <w:rsid w:val="00461D19"/>
    <w:rsid w:val="004653F0"/>
    <w:rsid w:val="004735BB"/>
    <w:rsid w:val="00477ED0"/>
    <w:rsid w:val="00494331"/>
    <w:rsid w:val="004A61EB"/>
    <w:rsid w:val="004B2ECA"/>
    <w:rsid w:val="004B68F7"/>
    <w:rsid w:val="004C3A55"/>
    <w:rsid w:val="004C77E0"/>
    <w:rsid w:val="004C7FC7"/>
    <w:rsid w:val="004D6FB8"/>
    <w:rsid w:val="004E4674"/>
    <w:rsid w:val="004F1384"/>
    <w:rsid w:val="004F47B7"/>
    <w:rsid w:val="004F6416"/>
    <w:rsid w:val="004F6CF5"/>
    <w:rsid w:val="00507F8A"/>
    <w:rsid w:val="005124D8"/>
    <w:rsid w:val="005126E8"/>
    <w:rsid w:val="00513480"/>
    <w:rsid w:val="005179DB"/>
    <w:rsid w:val="005300FD"/>
    <w:rsid w:val="00530DC5"/>
    <w:rsid w:val="00537AD1"/>
    <w:rsid w:val="00542248"/>
    <w:rsid w:val="00544288"/>
    <w:rsid w:val="00554742"/>
    <w:rsid w:val="00564B95"/>
    <w:rsid w:val="00564DB1"/>
    <w:rsid w:val="00565635"/>
    <w:rsid w:val="00565860"/>
    <w:rsid w:val="005664A5"/>
    <w:rsid w:val="0057670D"/>
    <w:rsid w:val="005769B6"/>
    <w:rsid w:val="005931D6"/>
    <w:rsid w:val="005A3E95"/>
    <w:rsid w:val="005B0A0F"/>
    <w:rsid w:val="005C19E7"/>
    <w:rsid w:val="005C28BD"/>
    <w:rsid w:val="005C3CC5"/>
    <w:rsid w:val="005D42C9"/>
    <w:rsid w:val="005E421D"/>
    <w:rsid w:val="005F26FD"/>
    <w:rsid w:val="005F4E2F"/>
    <w:rsid w:val="005F7E3A"/>
    <w:rsid w:val="0060193F"/>
    <w:rsid w:val="00602061"/>
    <w:rsid w:val="0060351F"/>
    <w:rsid w:val="006037E5"/>
    <w:rsid w:val="00604070"/>
    <w:rsid w:val="00605B15"/>
    <w:rsid w:val="00612B8F"/>
    <w:rsid w:val="0062267D"/>
    <w:rsid w:val="00625FCC"/>
    <w:rsid w:val="00642E63"/>
    <w:rsid w:val="00655190"/>
    <w:rsid w:val="00660630"/>
    <w:rsid w:val="00662F53"/>
    <w:rsid w:val="00665484"/>
    <w:rsid w:val="00665D17"/>
    <w:rsid w:val="006866E6"/>
    <w:rsid w:val="00693DCC"/>
    <w:rsid w:val="006A37B9"/>
    <w:rsid w:val="006A3ACB"/>
    <w:rsid w:val="006B121E"/>
    <w:rsid w:val="006D5B5C"/>
    <w:rsid w:val="006E0E7A"/>
    <w:rsid w:val="00715205"/>
    <w:rsid w:val="00716BB6"/>
    <w:rsid w:val="00721584"/>
    <w:rsid w:val="00735797"/>
    <w:rsid w:val="00750EF8"/>
    <w:rsid w:val="007511D5"/>
    <w:rsid w:val="00751C91"/>
    <w:rsid w:val="00757F5F"/>
    <w:rsid w:val="007659A1"/>
    <w:rsid w:val="00775ADC"/>
    <w:rsid w:val="00782E4B"/>
    <w:rsid w:val="00787B97"/>
    <w:rsid w:val="00797B63"/>
    <w:rsid w:val="007A2235"/>
    <w:rsid w:val="007A2475"/>
    <w:rsid w:val="007A5EC0"/>
    <w:rsid w:val="007A7C56"/>
    <w:rsid w:val="007B7022"/>
    <w:rsid w:val="007C010D"/>
    <w:rsid w:val="007C0809"/>
    <w:rsid w:val="007C2F12"/>
    <w:rsid w:val="007C5047"/>
    <w:rsid w:val="007C6898"/>
    <w:rsid w:val="007D0C1A"/>
    <w:rsid w:val="007E7E61"/>
    <w:rsid w:val="007F3119"/>
    <w:rsid w:val="007F78F2"/>
    <w:rsid w:val="00802EA1"/>
    <w:rsid w:val="00811D6D"/>
    <w:rsid w:val="00812E5F"/>
    <w:rsid w:val="008139F8"/>
    <w:rsid w:val="008140D2"/>
    <w:rsid w:val="00814DB8"/>
    <w:rsid w:val="008226AE"/>
    <w:rsid w:val="00823AFB"/>
    <w:rsid w:val="008243F0"/>
    <w:rsid w:val="00825C47"/>
    <w:rsid w:val="0083022E"/>
    <w:rsid w:val="00833422"/>
    <w:rsid w:val="00833BC2"/>
    <w:rsid w:val="00846AF9"/>
    <w:rsid w:val="00846E50"/>
    <w:rsid w:val="00847876"/>
    <w:rsid w:val="008513AF"/>
    <w:rsid w:val="00851CD9"/>
    <w:rsid w:val="008602CC"/>
    <w:rsid w:val="00864F4E"/>
    <w:rsid w:val="008664ED"/>
    <w:rsid w:val="008677ED"/>
    <w:rsid w:val="00882A5E"/>
    <w:rsid w:val="00884ABC"/>
    <w:rsid w:val="008853E9"/>
    <w:rsid w:val="008865F7"/>
    <w:rsid w:val="0089068A"/>
    <w:rsid w:val="008A4BFA"/>
    <w:rsid w:val="008A4D35"/>
    <w:rsid w:val="008B3679"/>
    <w:rsid w:val="008B524F"/>
    <w:rsid w:val="008B694E"/>
    <w:rsid w:val="008C4D40"/>
    <w:rsid w:val="008C65C6"/>
    <w:rsid w:val="008E0BF4"/>
    <w:rsid w:val="008E2C09"/>
    <w:rsid w:val="008F3ABA"/>
    <w:rsid w:val="008F6B0A"/>
    <w:rsid w:val="008F6D6C"/>
    <w:rsid w:val="00903D08"/>
    <w:rsid w:val="00924116"/>
    <w:rsid w:val="00927971"/>
    <w:rsid w:val="009414F2"/>
    <w:rsid w:val="00942CD2"/>
    <w:rsid w:val="00942EC8"/>
    <w:rsid w:val="00945D19"/>
    <w:rsid w:val="00950FB4"/>
    <w:rsid w:val="00954245"/>
    <w:rsid w:val="00960177"/>
    <w:rsid w:val="0096621B"/>
    <w:rsid w:val="009865A9"/>
    <w:rsid w:val="00990669"/>
    <w:rsid w:val="00992240"/>
    <w:rsid w:val="009958C5"/>
    <w:rsid w:val="00996088"/>
    <w:rsid w:val="00997403"/>
    <w:rsid w:val="009B54CA"/>
    <w:rsid w:val="009C7742"/>
    <w:rsid w:val="009D0FFD"/>
    <w:rsid w:val="009D1584"/>
    <w:rsid w:val="009E7D4F"/>
    <w:rsid w:val="00A01035"/>
    <w:rsid w:val="00A06619"/>
    <w:rsid w:val="00A22399"/>
    <w:rsid w:val="00A27010"/>
    <w:rsid w:val="00A37BEF"/>
    <w:rsid w:val="00A73072"/>
    <w:rsid w:val="00A82928"/>
    <w:rsid w:val="00A944A9"/>
    <w:rsid w:val="00A95BC5"/>
    <w:rsid w:val="00AA2B75"/>
    <w:rsid w:val="00AB52FD"/>
    <w:rsid w:val="00AC0DB0"/>
    <w:rsid w:val="00AF4CAB"/>
    <w:rsid w:val="00AF5AFF"/>
    <w:rsid w:val="00B13800"/>
    <w:rsid w:val="00B24182"/>
    <w:rsid w:val="00B31C42"/>
    <w:rsid w:val="00B37DF9"/>
    <w:rsid w:val="00B40D3D"/>
    <w:rsid w:val="00B4139C"/>
    <w:rsid w:val="00B429FA"/>
    <w:rsid w:val="00B42D76"/>
    <w:rsid w:val="00B43C49"/>
    <w:rsid w:val="00B50FC8"/>
    <w:rsid w:val="00B60D7D"/>
    <w:rsid w:val="00B67C25"/>
    <w:rsid w:val="00B75522"/>
    <w:rsid w:val="00B75CEC"/>
    <w:rsid w:val="00B83DC5"/>
    <w:rsid w:val="00B8507F"/>
    <w:rsid w:val="00B909C3"/>
    <w:rsid w:val="00B91EE6"/>
    <w:rsid w:val="00B933C6"/>
    <w:rsid w:val="00B93D54"/>
    <w:rsid w:val="00B95408"/>
    <w:rsid w:val="00B9635C"/>
    <w:rsid w:val="00BB5FBB"/>
    <w:rsid w:val="00BB7996"/>
    <w:rsid w:val="00BD45F7"/>
    <w:rsid w:val="00BD72DE"/>
    <w:rsid w:val="00BE2BF8"/>
    <w:rsid w:val="00BE6882"/>
    <w:rsid w:val="00BE7722"/>
    <w:rsid w:val="00BF04BB"/>
    <w:rsid w:val="00BF1481"/>
    <w:rsid w:val="00BF272F"/>
    <w:rsid w:val="00BF45D1"/>
    <w:rsid w:val="00C045EC"/>
    <w:rsid w:val="00C26E33"/>
    <w:rsid w:val="00C32BE7"/>
    <w:rsid w:val="00C359CF"/>
    <w:rsid w:val="00C45B97"/>
    <w:rsid w:val="00C53F40"/>
    <w:rsid w:val="00C53FD5"/>
    <w:rsid w:val="00C635D4"/>
    <w:rsid w:val="00C63B8A"/>
    <w:rsid w:val="00C700D7"/>
    <w:rsid w:val="00CB34CA"/>
    <w:rsid w:val="00CB3744"/>
    <w:rsid w:val="00CB4151"/>
    <w:rsid w:val="00CC58F5"/>
    <w:rsid w:val="00CC6472"/>
    <w:rsid w:val="00CC6C0C"/>
    <w:rsid w:val="00CE3F8D"/>
    <w:rsid w:val="00CE6E09"/>
    <w:rsid w:val="00CE751B"/>
    <w:rsid w:val="00D108CA"/>
    <w:rsid w:val="00D207D6"/>
    <w:rsid w:val="00D23945"/>
    <w:rsid w:val="00D27DE9"/>
    <w:rsid w:val="00D30EE9"/>
    <w:rsid w:val="00D34285"/>
    <w:rsid w:val="00D43F90"/>
    <w:rsid w:val="00D54294"/>
    <w:rsid w:val="00D54310"/>
    <w:rsid w:val="00D55BA7"/>
    <w:rsid w:val="00D5786E"/>
    <w:rsid w:val="00D71A6B"/>
    <w:rsid w:val="00D7446A"/>
    <w:rsid w:val="00D763DC"/>
    <w:rsid w:val="00D84C05"/>
    <w:rsid w:val="00D85B3E"/>
    <w:rsid w:val="00D85EBA"/>
    <w:rsid w:val="00D85FBD"/>
    <w:rsid w:val="00D90516"/>
    <w:rsid w:val="00D95C06"/>
    <w:rsid w:val="00DB3CCD"/>
    <w:rsid w:val="00DC45BC"/>
    <w:rsid w:val="00DD4EFA"/>
    <w:rsid w:val="00DD5CA5"/>
    <w:rsid w:val="00DE1B4B"/>
    <w:rsid w:val="00DE2954"/>
    <w:rsid w:val="00DF38C5"/>
    <w:rsid w:val="00DF54FB"/>
    <w:rsid w:val="00DF5DAA"/>
    <w:rsid w:val="00DF6F57"/>
    <w:rsid w:val="00E04084"/>
    <w:rsid w:val="00E10A72"/>
    <w:rsid w:val="00E30669"/>
    <w:rsid w:val="00E4073F"/>
    <w:rsid w:val="00E43B30"/>
    <w:rsid w:val="00E47808"/>
    <w:rsid w:val="00E47ACA"/>
    <w:rsid w:val="00E529D7"/>
    <w:rsid w:val="00E57BF1"/>
    <w:rsid w:val="00E61DD6"/>
    <w:rsid w:val="00E63393"/>
    <w:rsid w:val="00E72A95"/>
    <w:rsid w:val="00E777A0"/>
    <w:rsid w:val="00E83CCB"/>
    <w:rsid w:val="00E842F1"/>
    <w:rsid w:val="00E86279"/>
    <w:rsid w:val="00E86445"/>
    <w:rsid w:val="00E86A2F"/>
    <w:rsid w:val="00E96079"/>
    <w:rsid w:val="00EA2F81"/>
    <w:rsid w:val="00EB43B6"/>
    <w:rsid w:val="00EC07A2"/>
    <w:rsid w:val="00EC1094"/>
    <w:rsid w:val="00EC5030"/>
    <w:rsid w:val="00ED47E9"/>
    <w:rsid w:val="00ED5288"/>
    <w:rsid w:val="00ED6FCA"/>
    <w:rsid w:val="00ED753F"/>
    <w:rsid w:val="00EE16BA"/>
    <w:rsid w:val="00EF0AEC"/>
    <w:rsid w:val="00EF3217"/>
    <w:rsid w:val="00EF72F7"/>
    <w:rsid w:val="00F01015"/>
    <w:rsid w:val="00F03945"/>
    <w:rsid w:val="00F10765"/>
    <w:rsid w:val="00F107DE"/>
    <w:rsid w:val="00F10FD3"/>
    <w:rsid w:val="00F16E8A"/>
    <w:rsid w:val="00F36125"/>
    <w:rsid w:val="00F44D54"/>
    <w:rsid w:val="00F45ED8"/>
    <w:rsid w:val="00F466A6"/>
    <w:rsid w:val="00F54168"/>
    <w:rsid w:val="00F87A6A"/>
    <w:rsid w:val="00F91404"/>
    <w:rsid w:val="00F93CDA"/>
    <w:rsid w:val="00F97352"/>
    <w:rsid w:val="00FA1533"/>
    <w:rsid w:val="00FB48B7"/>
    <w:rsid w:val="00FB7C72"/>
    <w:rsid w:val="00FC003D"/>
    <w:rsid w:val="00FD0950"/>
    <w:rsid w:val="00FE0D61"/>
    <w:rsid w:val="00FE414E"/>
    <w:rsid w:val="00FF41A2"/>
    <w:rsid w:val="00FF42E7"/>
    <w:rsid w:val="00FF7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558E-792D-4033-9102-8F5517A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FB"/>
    <w:pPr>
      <w:spacing w:line="252" w:lineRule="auto"/>
    </w:pPr>
  </w:style>
  <w:style w:type="paragraph" w:styleId="Heading1">
    <w:name w:val="heading 1"/>
    <w:basedOn w:val="Normal"/>
    <w:next w:val="Normal"/>
    <w:link w:val="Heading1Char"/>
    <w:qFormat/>
    <w:rsid w:val="002E17FB"/>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7FB"/>
    <w:rPr>
      <w:rFonts w:ascii="Times New Roman" w:eastAsia="Times New Roman" w:hAnsi="Times New Roman" w:cs="Times New Roman"/>
      <w:sz w:val="24"/>
      <w:szCs w:val="20"/>
      <w:u w:val="single"/>
      <w:lang w:val="en-AU"/>
    </w:rPr>
  </w:style>
  <w:style w:type="table" w:styleId="TableGrid">
    <w:name w:val="Table Grid"/>
    <w:basedOn w:val="TableNormal"/>
    <w:uiPriority w:val="59"/>
    <w:rsid w:val="002E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48B7"/>
    <w:pPr>
      <w:spacing w:before="144" w:after="288"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FB4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B7"/>
    <w:rPr>
      <w:sz w:val="20"/>
      <w:szCs w:val="20"/>
    </w:rPr>
  </w:style>
  <w:style w:type="paragraph" w:styleId="ListParagraph">
    <w:name w:val="List Paragraph"/>
    <w:basedOn w:val="Normal"/>
    <w:uiPriority w:val="34"/>
    <w:qFormat/>
    <w:rsid w:val="00FB48B7"/>
    <w:pPr>
      <w:spacing w:line="254" w:lineRule="auto"/>
      <w:ind w:left="720"/>
      <w:contextualSpacing/>
    </w:pPr>
  </w:style>
  <w:style w:type="character" w:styleId="FootnoteReference">
    <w:name w:val="footnote reference"/>
    <w:basedOn w:val="DefaultParagraphFont"/>
    <w:uiPriority w:val="99"/>
    <w:semiHidden/>
    <w:unhideWhenUsed/>
    <w:rsid w:val="00FB48B7"/>
    <w:rPr>
      <w:vertAlign w:val="superscript"/>
    </w:rPr>
  </w:style>
  <w:style w:type="paragraph" w:styleId="Header">
    <w:name w:val="header"/>
    <w:basedOn w:val="Normal"/>
    <w:link w:val="HeaderChar"/>
    <w:uiPriority w:val="99"/>
    <w:unhideWhenUsed/>
    <w:rsid w:val="00F01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15"/>
  </w:style>
  <w:style w:type="paragraph" w:styleId="Footer">
    <w:name w:val="footer"/>
    <w:basedOn w:val="Normal"/>
    <w:link w:val="FooterChar"/>
    <w:uiPriority w:val="99"/>
    <w:unhideWhenUsed/>
    <w:rsid w:val="00F0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15"/>
  </w:style>
  <w:style w:type="paragraph" w:styleId="BalloonText">
    <w:name w:val="Balloon Text"/>
    <w:basedOn w:val="Normal"/>
    <w:link w:val="BalloonTextChar"/>
    <w:uiPriority w:val="99"/>
    <w:semiHidden/>
    <w:unhideWhenUsed/>
    <w:rsid w:val="001D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1F"/>
    <w:rPr>
      <w:rFonts w:ascii="Segoe UI" w:hAnsi="Segoe UI" w:cs="Segoe UI"/>
      <w:sz w:val="18"/>
      <w:szCs w:val="18"/>
    </w:rPr>
  </w:style>
  <w:style w:type="character" w:customStyle="1" w:styleId="mc">
    <w:name w:val="mc"/>
    <w:basedOn w:val="DefaultParagraphFont"/>
    <w:rsid w:val="009414F2"/>
  </w:style>
  <w:style w:type="paragraph" w:styleId="Revision">
    <w:name w:val="Revision"/>
    <w:hidden/>
    <w:uiPriority w:val="99"/>
    <w:semiHidden/>
    <w:rsid w:val="00E86279"/>
    <w:pPr>
      <w:spacing w:after="0" w:line="240" w:lineRule="auto"/>
    </w:pPr>
  </w:style>
  <w:style w:type="character" w:customStyle="1" w:styleId="g1">
    <w:name w:val="g1"/>
    <w:basedOn w:val="DefaultParagraphFont"/>
    <w:rsid w:val="003615D5"/>
  </w:style>
  <w:style w:type="character" w:styleId="Hyperlink">
    <w:name w:val="Hyperlink"/>
    <w:basedOn w:val="DefaultParagraphFont"/>
    <w:uiPriority w:val="99"/>
    <w:semiHidden/>
    <w:unhideWhenUsed/>
    <w:rsid w:val="00361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5972">
      <w:bodyDiv w:val="1"/>
      <w:marLeft w:val="0"/>
      <w:marRight w:val="0"/>
      <w:marTop w:val="0"/>
      <w:marBottom w:val="0"/>
      <w:divBdr>
        <w:top w:val="none" w:sz="0" w:space="0" w:color="auto"/>
        <w:left w:val="none" w:sz="0" w:space="0" w:color="auto"/>
        <w:bottom w:val="none" w:sz="0" w:space="0" w:color="auto"/>
        <w:right w:val="none" w:sz="0" w:space="0" w:color="auto"/>
      </w:divBdr>
    </w:div>
    <w:div w:id="144048397">
      <w:bodyDiv w:val="1"/>
      <w:marLeft w:val="0"/>
      <w:marRight w:val="0"/>
      <w:marTop w:val="0"/>
      <w:marBottom w:val="0"/>
      <w:divBdr>
        <w:top w:val="none" w:sz="0" w:space="0" w:color="auto"/>
        <w:left w:val="none" w:sz="0" w:space="0" w:color="auto"/>
        <w:bottom w:val="none" w:sz="0" w:space="0" w:color="auto"/>
        <w:right w:val="none" w:sz="0" w:space="0" w:color="auto"/>
      </w:divBdr>
    </w:div>
    <w:div w:id="297346623">
      <w:bodyDiv w:val="1"/>
      <w:marLeft w:val="0"/>
      <w:marRight w:val="0"/>
      <w:marTop w:val="0"/>
      <w:marBottom w:val="0"/>
      <w:divBdr>
        <w:top w:val="none" w:sz="0" w:space="0" w:color="auto"/>
        <w:left w:val="none" w:sz="0" w:space="0" w:color="auto"/>
        <w:bottom w:val="none" w:sz="0" w:space="0" w:color="auto"/>
        <w:right w:val="none" w:sz="0" w:space="0" w:color="auto"/>
      </w:divBdr>
    </w:div>
    <w:div w:id="322515023">
      <w:bodyDiv w:val="1"/>
      <w:marLeft w:val="0"/>
      <w:marRight w:val="0"/>
      <w:marTop w:val="0"/>
      <w:marBottom w:val="0"/>
      <w:divBdr>
        <w:top w:val="none" w:sz="0" w:space="0" w:color="auto"/>
        <w:left w:val="none" w:sz="0" w:space="0" w:color="auto"/>
        <w:bottom w:val="none" w:sz="0" w:space="0" w:color="auto"/>
        <w:right w:val="none" w:sz="0" w:space="0" w:color="auto"/>
      </w:divBdr>
    </w:div>
    <w:div w:id="425541308">
      <w:bodyDiv w:val="1"/>
      <w:marLeft w:val="0"/>
      <w:marRight w:val="0"/>
      <w:marTop w:val="0"/>
      <w:marBottom w:val="0"/>
      <w:divBdr>
        <w:top w:val="none" w:sz="0" w:space="0" w:color="auto"/>
        <w:left w:val="none" w:sz="0" w:space="0" w:color="auto"/>
        <w:bottom w:val="none" w:sz="0" w:space="0" w:color="auto"/>
        <w:right w:val="none" w:sz="0" w:space="0" w:color="auto"/>
      </w:divBdr>
    </w:div>
    <w:div w:id="496965048">
      <w:bodyDiv w:val="1"/>
      <w:marLeft w:val="0"/>
      <w:marRight w:val="0"/>
      <w:marTop w:val="0"/>
      <w:marBottom w:val="0"/>
      <w:divBdr>
        <w:top w:val="none" w:sz="0" w:space="0" w:color="auto"/>
        <w:left w:val="none" w:sz="0" w:space="0" w:color="auto"/>
        <w:bottom w:val="none" w:sz="0" w:space="0" w:color="auto"/>
        <w:right w:val="none" w:sz="0" w:space="0" w:color="auto"/>
      </w:divBdr>
    </w:div>
    <w:div w:id="811991124">
      <w:bodyDiv w:val="1"/>
      <w:marLeft w:val="0"/>
      <w:marRight w:val="0"/>
      <w:marTop w:val="0"/>
      <w:marBottom w:val="0"/>
      <w:divBdr>
        <w:top w:val="none" w:sz="0" w:space="0" w:color="auto"/>
        <w:left w:val="none" w:sz="0" w:space="0" w:color="auto"/>
        <w:bottom w:val="none" w:sz="0" w:space="0" w:color="auto"/>
        <w:right w:val="none" w:sz="0" w:space="0" w:color="auto"/>
      </w:divBdr>
    </w:div>
    <w:div w:id="903686519">
      <w:bodyDiv w:val="1"/>
      <w:marLeft w:val="0"/>
      <w:marRight w:val="0"/>
      <w:marTop w:val="0"/>
      <w:marBottom w:val="0"/>
      <w:divBdr>
        <w:top w:val="none" w:sz="0" w:space="0" w:color="auto"/>
        <w:left w:val="none" w:sz="0" w:space="0" w:color="auto"/>
        <w:bottom w:val="none" w:sz="0" w:space="0" w:color="auto"/>
        <w:right w:val="none" w:sz="0" w:space="0" w:color="auto"/>
      </w:divBdr>
    </w:div>
    <w:div w:id="922225758">
      <w:bodyDiv w:val="1"/>
      <w:marLeft w:val="0"/>
      <w:marRight w:val="0"/>
      <w:marTop w:val="0"/>
      <w:marBottom w:val="0"/>
      <w:divBdr>
        <w:top w:val="none" w:sz="0" w:space="0" w:color="auto"/>
        <w:left w:val="none" w:sz="0" w:space="0" w:color="auto"/>
        <w:bottom w:val="none" w:sz="0" w:space="0" w:color="auto"/>
        <w:right w:val="none" w:sz="0" w:space="0" w:color="auto"/>
      </w:divBdr>
    </w:div>
    <w:div w:id="929851301">
      <w:bodyDiv w:val="1"/>
      <w:marLeft w:val="0"/>
      <w:marRight w:val="0"/>
      <w:marTop w:val="0"/>
      <w:marBottom w:val="0"/>
      <w:divBdr>
        <w:top w:val="none" w:sz="0" w:space="0" w:color="auto"/>
        <w:left w:val="none" w:sz="0" w:space="0" w:color="auto"/>
        <w:bottom w:val="none" w:sz="0" w:space="0" w:color="auto"/>
        <w:right w:val="none" w:sz="0" w:space="0" w:color="auto"/>
      </w:divBdr>
    </w:div>
    <w:div w:id="1153525362">
      <w:bodyDiv w:val="1"/>
      <w:marLeft w:val="0"/>
      <w:marRight w:val="0"/>
      <w:marTop w:val="0"/>
      <w:marBottom w:val="0"/>
      <w:divBdr>
        <w:top w:val="none" w:sz="0" w:space="0" w:color="auto"/>
        <w:left w:val="none" w:sz="0" w:space="0" w:color="auto"/>
        <w:bottom w:val="none" w:sz="0" w:space="0" w:color="auto"/>
        <w:right w:val="none" w:sz="0" w:space="0" w:color="auto"/>
      </w:divBdr>
    </w:div>
    <w:div w:id="1340617945">
      <w:bodyDiv w:val="1"/>
      <w:marLeft w:val="0"/>
      <w:marRight w:val="0"/>
      <w:marTop w:val="0"/>
      <w:marBottom w:val="0"/>
      <w:divBdr>
        <w:top w:val="none" w:sz="0" w:space="0" w:color="auto"/>
        <w:left w:val="none" w:sz="0" w:space="0" w:color="auto"/>
        <w:bottom w:val="none" w:sz="0" w:space="0" w:color="auto"/>
        <w:right w:val="none" w:sz="0" w:space="0" w:color="auto"/>
      </w:divBdr>
    </w:div>
    <w:div w:id="1456556421">
      <w:bodyDiv w:val="1"/>
      <w:marLeft w:val="0"/>
      <w:marRight w:val="0"/>
      <w:marTop w:val="0"/>
      <w:marBottom w:val="0"/>
      <w:divBdr>
        <w:top w:val="none" w:sz="0" w:space="0" w:color="auto"/>
        <w:left w:val="none" w:sz="0" w:space="0" w:color="auto"/>
        <w:bottom w:val="none" w:sz="0" w:space="0" w:color="auto"/>
        <w:right w:val="none" w:sz="0" w:space="0" w:color="auto"/>
      </w:divBdr>
    </w:div>
    <w:div w:id="1514953690">
      <w:bodyDiv w:val="1"/>
      <w:marLeft w:val="0"/>
      <w:marRight w:val="0"/>
      <w:marTop w:val="0"/>
      <w:marBottom w:val="0"/>
      <w:divBdr>
        <w:top w:val="none" w:sz="0" w:space="0" w:color="auto"/>
        <w:left w:val="none" w:sz="0" w:space="0" w:color="auto"/>
        <w:bottom w:val="none" w:sz="0" w:space="0" w:color="auto"/>
        <w:right w:val="none" w:sz="0" w:space="0" w:color="auto"/>
      </w:divBdr>
    </w:div>
    <w:div w:id="1543399070">
      <w:bodyDiv w:val="1"/>
      <w:marLeft w:val="0"/>
      <w:marRight w:val="0"/>
      <w:marTop w:val="0"/>
      <w:marBottom w:val="0"/>
      <w:divBdr>
        <w:top w:val="none" w:sz="0" w:space="0" w:color="auto"/>
        <w:left w:val="none" w:sz="0" w:space="0" w:color="auto"/>
        <w:bottom w:val="none" w:sz="0" w:space="0" w:color="auto"/>
        <w:right w:val="none" w:sz="0" w:space="0" w:color="auto"/>
      </w:divBdr>
    </w:div>
    <w:div w:id="1624730624">
      <w:bodyDiv w:val="1"/>
      <w:marLeft w:val="0"/>
      <w:marRight w:val="0"/>
      <w:marTop w:val="0"/>
      <w:marBottom w:val="0"/>
      <w:divBdr>
        <w:top w:val="none" w:sz="0" w:space="0" w:color="auto"/>
        <w:left w:val="none" w:sz="0" w:space="0" w:color="auto"/>
        <w:bottom w:val="none" w:sz="0" w:space="0" w:color="auto"/>
        <w:right w:val="none" w:sz="0" w:space="0" w:color="auto"/>
      </w:divBdr>
    </w:div>
    <w:div w:id="1724450439">
      <w:bodyDiv w:val="1"/>
      <w:marLeft w:val="0"/>
      <w:marRight w:val="0"/>
      <w:marTop w:val="0"/>
      <w:marBottom w:val="0"/>
      <w:divBdr>
        <w:top w:val="none" w:sz="0" w:space="0" w:color="auto"/>
        <w:left w:val="none" w:sz="0" w:space="0" w:color="auto"/>
        <w:bottom w:val="none" w:sz="0" w:space="0" w:color="auto"/>
        <w:right w:val="none" w:sz="0" w:space="0" w:color="auto"/>
      </w:divBdr>
    </w:div>
    <w:div w:id="1941641168">
      <w:bodyDiv w:val="1"/>
      <w:marLeft w:val="0"/>
      <w:marRight w:val="0"/>
      <w:marTop w:val="0"/>
      <w:marBottom w:val="0"/>
      <w:divBdr>
        <w:top w:val="none" w:sz="0" w:space="0" w:color="auto"/>
        <w:left w:val="none" w:sz="0" w:space="0" w:color="auto"/>
        <w:bottom w:val="none" w:sz="0" w:space="0" w:color="auto"/>
        <w:right w:val="none" w:sz="0" w:space="0" w:color="auto"/>
      </w:divBdr>
      <w:divsChild>
        <w:div w:id="704522875">
          <w:marLeft w:val="0"/>
          <w:marRight w:val="0"/>
          <w:marTop w:val="120"/>
          <w:marBottom w:val="0"/>
          <w:divBdr>
            <w:top w:val="none" w:sz="0" w:space="0" w:color="auto"/>
            <w:left w:val="none" w:sz="0" w:space="0" w:color="auto"/>
            <w:bottom w:val="none" w:sz="0" w:space="0" w:color="auto"/>
            <w:right w:val="none" w:sz="0" w:space="0" w:color="auto"/>
          </w:divBdr>
        </w:div>
        <w:div w:id="1385058249">
          <w:marLeft w:val="1191"/>
          <w:marRight w:val="0"/>
          <w:marTop w:val="60"/>
          <w:marBottom w:val="0"/>
          <w:divBdr>
            <w:top w:val="none" w:sz="0" w:space="0" w:color="auto"/>
            <w:left w:val="none" w:sz="0" w:space="0" w:color="auto"/>
            <w:bottom w:val="none" w:sz="0" w:space="0" w:color="auto"/>
            <w:right w:val="none" w:sz="0" w:space="0" w:color="auto"/>
          </w:divBdr>
        </w:div>
        <w:div w:id="2115326493">
          <w:marLeft w:val="1191"/>
          <w:marRight w:val="0"/>
          <w:marTop w:val="60"/>
          <w:marBottom w:val="0"/>
          <w:divBdr>
            <w:top w:val="none" w:sz="0" w:space="0" w:color="auto"/>
            <w:left w:val="none" w:sz="0" w:space="0" w:color="auto"/>
            <w:bottom w:val="none" w:sz="0" w:space="0" w:color="auto"/>
            <w:right w:val="none" w:sz="0" w:space="0" w:color="auto"/>
          </w:divBdr>
        </w:div>
        <w:div w:id="1200164409">
          <w:marLeft w:val="1191"/>
          <w:marRight w:val="0"/>
          <w:marTop w:val="60"/>
          <w:marBottom w:val="0"/>
          <w:divBdr>
            <w:top w:val="none" w:sz="0" w:space="0" w:color="auto"/>
            <w:left w:val="none" w:sz="0" w:space="0" w:color="auto"/>
            <w:bottom w:val="none" w:sz="0" w:space="0" w:color="auto"/>
            <w:right w:val="none" w:sz="0" w:space="0" w:color="auto"/>
          </w:divBdr>
        </w:div>
        <w:div w:id="709762156">
          <w:marLeft w:val="1191"/>
          <w:marRight w:val="0"/>
          <w:marTop w:val="60"/>
          <w:marBottom w:val="0"/>
          <w:divBdr>
            <w:top w:val="none" w:sz="0" w:space="0" w:color="auto"/>
            <w:left w:val="none" w:sz="0" w:space="0" w:color="auto"/>
            <w:bottom w:val="none" w:sz="0" w:space="0" w:color="auto"/>
            <w:right w:val="none" w:sz="0" w:space="0" w:color="auto"/>
          </w:divBdr>
        </w:div>
      </w:divsChild>
    </w:div>
    <w:div w:id="19557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const7y2001%27%5d&amp;xhitlist_md=target-id=0-0-0-116401"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217(1)%27%5d&amp;xhitlist_md=target-id=0-0-0-120711"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108y1996s217%27%5d&amp;xhitlist_md=target-id=0-0-0-120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A378-D641-450F-BD61-DDC344CC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Judge-Celeste Reinders</dc:creator>
  <cp:keywords/>
  <dc:description/>
  <cp:lastModifiedBy>Mokone</cp:lastModifiedBy>
  <cp:revision>2</cp:revision>
  <cp:lastPrinted>2023-08-18T08:41:00Z</cp:lastPrinted>
  <dcterms:created xsi:type="dcterms:W3CDTF">2023-08-30T12:47:00Z</dcterms:created>
  <dcterms:modified xsi:type="dcterms:W3CDTF">2023-08-30T12:47:00Z</dcterms:modified>
</cp:coreProperties>
</file>