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3C572" w14:textId="77777777" w:rsidR="008F7F70" w:rsidRPr="00BD77FC" w:rsidRDefault="00A231F0" w:rsidP="000973CA">
      <w:pPr>
        <w:rPr>
          <w:rFonts w:ascii="Arial" w:hAnsi="Arial" w:cs="Arial"/>
          <w:u w:val="single"/>
        </w:rPr>
      </w:pPr>
      <w:bookmarkStart w:id="0" w:name="_GoBack"/>
      <w:bookmarkEnd w:id="0"/>
      <w:r>
        <w:rPr>
          <w:noProof/>
          <w:lang w:val="en-US"/>
        </w:rPr>
        <w:drawing>
          <wp:anchor distT="0" distB="0" distL="0" distR="0" simplePos="0" relativeHeight="251660288" behindDoc="1" locked="0" layoutInCell="1" allowOverlap="1" wp14:anchorId="41987F81" wp14:editId="12604FC2">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A82F5" w14:textId="77777777" w:rsidR="008F7F70" w:rsidRPr="00BD77FC" w:rsidRDefault="008F7F70" w:rsidP="00A231F0">
      <w:pPr>
        <w:autoSpaceDE w:val="0"/>
        <w:autoSpaceDN w:val="0"/>
        <w:adjustRightInd w:val="0"/>
        <w:spacing w:before="100"/>
        <w:jc w:val="center"/>
        <w:rPr>
          <w:rFonts w:ascii="Arial" w:hAnsi="Arial" w:cs="Arial"/>
          <w:b/>
          <w:bCs/>
          <w:sz w:val="28"/>
          <w:szCs w:val="28"/>
          <w:u w:val="single"/>
        </w:rPr>
      </w:pPr>
    </w:p>
    <w:p w14:paraId="04EE9623" w14:textId="77777777" w:rsidR="00212E9C" w:rsidRPr="00BD77FC" w:rsidRDefault="00212E9C" w:rsidP="00A231F0">
      <w:pPr>
        <w:autoSpaceDE w:val="0"/>
        <w:autoSpaceDN w:val="0"/>
        <w:adjustRightInd w:val="0"/>
        <w:spacing w:before="100"/>
        <w:jc w:val="center"/>
        <w:rPr>
          <w:rFonts w:ascii="Arial" w:hAnsi="Arial" w:cs="Arial"/>
          <w:b/>
          <w:bCs/>
          <w:sz w:val="28"/>
          <w:szCs w:val="28"/>
          <w:u w:val="single"/>
        </w:rPr>
      </w:pPr>
    </w:p>
    <w:p w14:paraId="50025D1F" w14:textId="77777777" w:rsidR="00A231F0" w:rsidRDefault="00A231F0" w:rsidP="00A231F0">
      <w:pPr>
        <w:autoSpaceDE w:val="0"/>
        <w:autoSpaceDN w:val="0"/>
        <w:adjustRightInd w:val="0"/>
        <w:spacing w:before="100" w:after="100"/>
        <w:jc w:val="center"/>
        <w:rPr>
          <w:rFonts w:ascii="Arial" w:hAnsi="Arial" w:cs="Arial"/>
          <w:b/>
          <w:bCs/>
          <w:sz w:val="2"/>
          <w:szCs w:val="2"/>
          <w:u w:val="single"/>
        </w:rPr>
      </w:pPr>
    </w:p>
    <w:p w14:paraId="05BB4A64" w14:textId="77777777" w:rsidR="00A231F0" w:rsidRPr="00A231F0" w:rsidRDefault="00A231F0" w:rsidP="00A231F0">
      <w:pPr>
        <w:autoSpaceDE w:val="0"/>
        <w:autoSpaceDN w:val="0"/>
        <w:adjustRightInd w:val="0"/>
        <w:spacing w:before="100" w:after="100"/>
        <w:jc w:val="center"/>
        <w:rPr>
          <w:rFonts w:ascii="Arial" w:hAnsi="Arial" w:cs="Arial"/>
          <w:b/>
          <w:bCs/>
          <w:sz w:val="2"/>
          <w:szCs w:val="2"/>
          <w:u w:val="single"/>
        </w:rPr>
      </w:pPr>
    </w:p>
    <w:p w14:paraId="7D218B22" w14:textId="77777777" w:rsidR="001E4E2C" w:rsidRPr="00A231F0" w:rsidRDefault="001E4E2C" w:rsidP="00E57E73">
      <w:pPr>
        <w:autoSpaceDE w:val="0"/>
        <w:autoSpaceDN w:val="0"/>
        <w:adjustRightInd w:val="0"/>
        <w:spacing w:before="100" w:after="100" w:line="276" w:lineRule="auto"/>
        <w:jc w:val="center"/>
        <w:rPr>
          <w:rFonts w:ascii="Arial" w:hAnsi="Arial" w:cs="Arial"/>
          <w:u w:val="single"/>
        </w:rPr>
      </w:pPr>
      <w:r w:rsidRPr="00A231F0">
        <w:rPr>
          <w:rFonts w:ascii="Arial" w:hAnsi="Arial" w:cs="Arial"/>
          <w:b/>
          <w:bCs/>
          <w:u w:val="single"/>
        </w:rPr>
        <w:t>IN THE HIGH COURT OF SOUTH AFRICA</w:t>
      </w:r>
    </w:p>
    <w:p w14:paraId="0AE38905" w14:textId="77777777" w:rsidR="00EF5FF3" w:rsidRPr="00A231F0" w:rsidRDefault="001E4E2C" w:rsidP="00EF5FF3">
      <w:pPr>
        <w:autoSpaceDE w:val="0"/>
        <w:autoSpaceDN w:val="0"/>
        <w:adjustRightInd w:val="0"/>
        <w:spacing w:before="100" w:line="480" w:lineRule="auto"/>
        <w:jc w:val="center"/>
        <w:rPr>
          <w:rFonts w:ascii="Arial" w:hAnsi="Arial" w:cs="Arial"/>
          <w:b/>
          <w:bCs/>
          <w:u w:val="single"/>
        </w:rPr>
      </w:pPr>
      <w:r w:rsidRPr="00A231F0">
        <w:rPr>
          <w:rFonts w:ascii="Arial" w:hAnsi="Arial" w:cs="Arial"/>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14:paraId="18942321" w14:textId="77777777" w:rsidTr="003533A8">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560C4D6C" w14:textId="77777777" w:rsidR="00A231F0" w:rsidRDefault="00A231F0" w:rsidP="003533A8">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14:paraId="31030273" w14:textId="77777777" w:rsidR="00A231F0" w:rsidRDefault="00A231F0" w:rsidP="003533A8">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14:paraId="5B81C3ED" w14:textId="77777777" w:rsidR="00A231F0" w:rsidRDefault="00A231F0" w:rsidP="003533A8">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1C46463F" w14:textId="77777777" w:rsidR="00A231F0" w:rsidRDefault="00A231F0" w:rsidP="003533A8">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14:paraId="4F01AEFC" w14:textId="77777777" w:rsidR="00A231F0" w:rsidRDefault="00A231F0" w:rsidP="003533A8">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14:paraId="0EA2DA0F" w14:textId="77777777" w:rsidR="00A231F0" w:rsidRDefault="00A231F0" w:rsidP="003533A8">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14:paraId="06146CE1" w14:textId="77777777" w:rsidR="001E4E2C" w:rsidRDefault="001E4E2C" w:rsidP="00BE63E4">
      <w:pPr>
        <w:spacing w:line="276" w:lineRule="auto"/>
        <w:jc w:val="center"/>
        <w:rPr>
          <w:rFonts w:ascii="Arial" w:hAnsi="Arial" w:cs="Arial"/>
          <w:sz w:val="26"/>
          <w:szCs w:val="26"/>
        </w:rPr>
      </w:pPr>
    </w:p>
    <w:p w14:paraId="58A19694" w14:textId="77777777" w:rsidR="00031136" w:rsidRPr="007E3EFE" w:rsidRDefault="00031136" w:rsidP="00BE63E4">
      <w:pPr>
        <w:spacing w:line="276" w:lineRule="auto"/>
        <w:jc w:val="right"/>
        <w:rPr>
          <w:rFonts w:ascii="Arial" w:hAnsi="Arial" w:cs="Arial"/>
          <w:b/>
        </w:rPr>
      </w:pPr>
      <w:r>
        <w:rPr>
          <w:rFonts w:ascii="Arial" w:hAnsi="Arial" w:cs="Arial"/>
          <w:sz w:val="28"/>
          <w:szCs w:val="28"/>
        </w:rPr>
        <w:t xml:space="preserve"> </w:t>
      </w:r>
      <w:r w:rsidRPr="00A231F0">
        <w:rPr>
          <w:rFonts w:ascii="Arial" w:hAnsi="Arial" w:cs="Arial"/>
        </w:rPr>
        <w:t xml:space="preserve">Case no: </w:t>
      </w:r>
      <w:r w:rsidR="007E3EFE">
        <w:rPr>
          <w:rFonts w:ascii="Arial" w:hAnsi="Arial" w:cs="Arial"/>
          <w:b/>
        </w:rPr>
        <w:t>5082/2019</w:t>
      </w:r>
    </w:p>
    <w:p w14:paraId="4A1A975D" w14:textId="77777777" w:rsidR="00031136" w:rsidRPr="00A231F0" w:rsidRDefault="00031136" w:rsidP="00BE63E4">
      <w:pPr>
        <w:spacing w:line="276" w:lineRule="auto"/>
        <w:rPr>
          <w:rFonts w:ascii="Arial" w:hAnsi="Arial" w:cs="Arial"/>
        </w:rPr>
      </w:pPr>
      <w:r w:rsidRPr="00A231F0">
        <w:rPr>
          <w:rFonts w:ascii="Arial" w:hAnsi="Arial" w:cs="Arial"/>
        </w:rPr>
        <w:t>In the matter between:</w:t>
      </w:r>
    </w:p>
    <w:p w14:paraId="792D9E54" w14:textId="77777777" w:rsidR="00EF5FF3" w:rsidRPr="00A231F0" w:rsidRDefault="00EF5FF3" w:rsidP="00BE63E4">
      <w:pPr>
        <w:spacing w:line="276" w:lineRule="auto"/>
        <w:rPr>
          <w:rFonts w:ascii="Arial" w:hAnsi="Arial" w:cs="Arial"/>
          <w:b/>
        </w:rPr>
      </w:pPr>
      <w:r w:rsidRPr="00A231F0">
        <w:rPr>
          <w:rFonts w:ascii="Arial" w:hAnsi="Arial" w:cs="Arial"/>
          <w:b/>
        </w:rPr>
        <w:tab/>
      </w:r>
      <w:r w:rsidRPr="00A231F0">
        <w:rPr>
          <w:rFonts w:ascii="Arial" w:hAnsi="Arial" w:cs="Arial"/>
          <w:b/>
        </w:rPr>
        <w:tab/>
      </w:r>
      <w:r w:rsidRPr="00A231F0">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26"/>
      </w:tblGrid>
      <w:tr w:rsidR="00D75FF0" w14:paraId="6BDFC5AE" w14:textId="77777777" w:rsidTr="007E3EFE">
        <w:tc>
          <w:tcPr>
            <w:tcW w:w="6091" w:type="dxa"/>
          </w:tcPr>
          <w:p w14:paraId="661FEAA9" w14:textId="77777777" w:rsidR="00D75FF0" w:rsidRPr="007E3EFE" w:rsidRDefault="007E3EFE"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sz w:val="24"/>
                <w:szCs w:val="24"/>
              </w:rPr>
            </w:pPr>
            <w:r>
              <w:rPr>
                <w:rFonts w:ascii="Arial" w:hAnsi="Arial" w:cs="Arial"/>
                <w:b/>
                <w:sz w:val="24"/>
                <w:szCs w:val="24"/>
              </w:rPr>
              <w:t>FIRSTRAND BANK LIMITED</w:t>
            </w:r>
          </w:p>
          <w:p w14:paraId="717A2FD5" w14:textId="77777777" w:rsidR="00D75FF0" w:rsidRDefault="00D75F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p>
          <w:p w14:paraId="7789E16E" w14:textId="77777777" w:rsidR="00D75FF0" w:rsidRDefault="00D75F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sz w:val="24"/>
                <w:szCs w:val="24"/>
              </w:rPr>
              <w:t>and</w:t>
            </w:r>
          </w:p>
          <w:p w14:paraId="7F9A3E41" w14:textId="77777777" w:rsidR="00D75FF0" w:rsidRDefault="00D75F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p>
          <w:p w14:paraId="5B534936" w14:textId="77777777" w:rsidR="00D75FF0" w:rsidRDefault="007E3EFE" w:rsidP="00B22070">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b/>
                <w:sz w:val="24"/>
                <w:szCs w:val="24"/>
              </w:rPr>
              <w:t>DUNCAN LEJONE MOTAUNG</w:t>
            </w:r>
          </w:p>
        </w:tc>
        <w:tc>
          <w:tcPr>
            <w:tcW w:w="2926" w:type="dxa"/>
          </w:tcPr>
          <w:p w14:paraId="252C715D" w14:textId="77777777" w:rsidR="00D75FF0" w:rsidRDefault="007E3EFE" w:rsidP="007E3EFE">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r>
              <w:rPr>
                <w:rFonts w:ascii="Arial" w:hAnsi="Arial" w:cs="Arial"/>
                <w:sz w:val="24"/>
                <w:szCs w:val="24"/>
              </w:rPr>
              <w:t>Plaintiff</w:t>
            </w:r>
          </w:p>
          <w:p w14:paraId="3505C0F9" w14:textId="77777777" w:rsidR="007E3EFE" w:rsidRDefault="007E3EFE" w:rsidP="007E3EFE">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p>
          <w:p w14:paraId="38C8CF2C" w14:textId="77777777" w:rsidR="007E3EFE" w:rsidRDefault="007E3EFE" w:rsidP="007E3EFE">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p>
          <w:p w14:paraId="0AC0A61A" w14:textId="77777777" w:rsidR="007E3EFE" w:rsidRDefault="007E3EFE" w:rsidP="007E3EFE">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p>
          <w:p w14:paraId="1BB0E221" w14:textId="77777777" w:rsidR="007E3EFE" w:rsidRDefault="007E3EFE" w:rsidP="007E3EFE">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r>
              <w:rPr>
                <w:rFonts w:ascii="Arial" w:hAnsi="Arial" w:cs="Arial"/>
                <w:sz w:val="24"/>
                <w:szCs w:val="24"/>
              </w:rPr>
              <w:t>Defendant</w:t>
            </w:r>
          </w:p>
        </w:tc>
      </w:tr>
    </w:tbl>
    <w:p w14:paraId="02AF9F2C" w14:textId="77777777" w:rsidR="00D75FF0" w:rsidRDefault="00D75F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p>
    <w:p w14:paraId="267A114F" w14:textId="77777777" w:rsidR="00A231F0"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13E07B6E" wp14:editId="25EBD60C">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5DC716E"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33F6D1A1" w14:textId="2C035151" w:rsidR="00031136" w:rsidRPr="00E40CE4" w:rsidRDefault="00597462" w:rsidP="00BE63E4">
      <w:pPr>
        <w:spacing w:before="240" w:line="276" w:lineRule="auto"/>
        <w:jc w:val="both"/>
        <w:rPr>
          <w:rFonts w:ascii="Arial" w:hAnsi="Arial" w:cs="Arial"/>
          <w:b/>
          <w:bCs/>
        </w:rPr>
      </w:pPr>
      <w:r w:rsidRPr="00A231F0">
        <w:rPr>
          <w:rFonts w:ascii="Arial" w:hAnsi="Arial" w:cs="Arial"/>
          <w:b/>
          <w:u w:val="single"/>
        </w:rPr>
        <w:t>CORAM</w:t>
      </w:r>
      <w:r w:rsidR="00031136" w:rsidRPr="00A231F0">
        <w:rPr>
          <w:rFonts w:ascii="Arial" w:hAnsi="Arial" w:cs="Arial"/>
          <w:b/>
          <w:u w:val="single"/>
        </w:rPr>
        <w:t>:</w:t>
      </w:r>
      <w:r w:rsidR="00306913" w:rsidRPr="00A231F0">
        <w:rPr>
          <w:rFonts w:ascii="Arial" w:hAnsi="Arial" w:cs="Arial"/>
        </w:rPr>
        <w:tab/>
      </w:r>
      <w:r w:rsidR="00306913" w:rsidRPr="00A231F0">
        <w:rPr>
          <w:rFonts w:ascii="Arial" w:hAnsi="Arial" w:cs="Arial"/>
        </w:rPr>
        <w:tab/>
      </w:r>
      <w:r w:rsidR="00E40CE4" w:rsidRPr="00E40CE4">
        <w:rPr>
          <w:rFonts w:ascii="Arial" w:hAnsi="Arial" w:cs="Arial"/>
          <w:b/>
          <w:bCs/>
        </w:rPr>
        <w:t>P R CRONJÉ, AJ</w:t>
      </w:r>
    </w:p>
    <w:p w14:paraId="1ED4D45F" w14:textId="77777777" w:rsidR="00A231F0"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637F4ED8" wp14:editId="26008F0F">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640A5AAC"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65E413E8" w14:textId="30B693A0" w:rsidR="00031136" w:rsidRDefault="00031136" w:rsidP="00BE63E4">
      <w:pPr>
        <w:spacing w:before="240" w:line="276" w:lineRule="auto"/>
        <w:jc w:val="both"/>
        <w:rPr>
          <w:rFonts w:ascii="Arial" w:hAnsi="Arial" w:cs="Arial"/>
        </w:rPr>
      </w:pPr>
      <w:r w:rsidRPr="00A231F0">
        <w:rPr>
          <w:rFonts w:ascii="Arial" w:hAnsi="Arial" w:cs="Arial"/>
          <w:b/>
          <w:u w:val="single"/>
        </w:rPr>
        <w:t>HEARD ON:</w:t>
      </w:r>
      <w:r w:rsidR="00597462" w:rsidRPr="00A231F0">
        <w:rPr>
          <w:rFonts w:ascii="Arial" w:hAnsi="Arial" w:cs="Arial"/>
        </w:rPr>
        <w:tab/>
      </w:r>
      <w:r w:rsidR="00597462" w:rsidRPr="00A231F0">
        <w:rPr>
          <w:rFonts w:ascii="Arial" w:hAnsi="Arial" w:cs="Arial"/>
        </w:rPr>
        <w:tab/>
      </w:r>
      <w:r w:rsidR="003938BD" w:rsidRPr="003938BD">
        <w:rPr>
          <w:rFonts w:ascii="Arial" w:hAnsi="Arial" w:cs="Arial"/>
          <w:b/>
          <w:bCs/>
        </w:rPr>
        <w:t xml:space="preserve">20 JULY </w:t>
      </w:r>
      <w:r w:rsidR="00B22070" w:rsidRPr="003938BD">
        <w:rPr>
          <w:rFonts w:ascii="Arial" w:hAnsi="Arial" w:cs="Arial"/>
          <w:b/>
          <w:bCs/>
        </w:rPr>
        <w:t>2023</w:t>
      </w:r>
      <w:r w:rsidRPr="00A231F0">
        <w:rPr>
          <w:rFonts w:ascii="Arial" w:hAnsi="Arial" w:cs="Arial"/>
        </w:rPr>
        <w:tab/>
      </w:r>
    </w:p>
    <w:p w14:paraId="79DC8B7C" w14:textId="77777777" w:rsidR="00A231F0"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7E7CFD13" wp14:editId="1C05BECF">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6242714"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1CE01CF1" w14:textId="0DFD7F68" w:rsidR="00231388" w:rsidRDefault="00031136" w:rsidP="00BE63E4">
      <w:pPr>
        <w:spacing w:before="240" w:line="276" w:lineRule="auto"/>
        <w:jc w:val="both"/>
        <w:rPr>
          <w:rFonts w:ascii="Arial" w:hAnsi="Arial" w:cs="Arial"/>
        </w:rPr>
      </w:pPr>
      <w:r w:rsidRPr="00A231F0">
        <w:rPr>
          <w:rFonts w:ascii="Arial" w:hAnsi="Arial" w:cs="Arial"/>
          <w:b/>
          <w:u w:val="single"/>
        </w:rPr>
        <w:t>DELIVERED ON:</w:t>
      </w:r>
      <w:r w:rsidR="00E706E4" w:rsidRPr="00A231F0">
        <w:rPr>
          <w:rFonts w:ascii="Arial" w:hAnsi="Arial" w:cs="Arial"/>
          <w:b/>
        </w:rPr>
        <w:tab/>
      </w:r>
      <w:r w:rsidR="007D248D">
        <w:rPr>
          <w:rFonts w:ascii="Arial" w:hAnsi="Arial" w:cs="Arial"/>
          <w:b/>
        </w:rPr>
        <w:t>8</w:t>
      </w:r>
      <w:r w:rsidR="003938BD">
        <w:rPr>
          <w:rFonts w:ascii="Arial" w:hAnsi="Arial" w:cs="Arial"/>
          <w:b/>
        </w:rPr>
        <w:t xml:space="preserve"> SEPTEMBER </w:t>
      </w:r>
      <w:r w:rsidR="00B22070" w:rsidRPr="003938BD">
        <w:rPr>
          <w:rFonts w:ascii="Arial" w:hAnsi="Arial" w:cs="Arial"/>
          <w:b/>
          <w:bCs/>
        </w:rPr>
        <w:t>2023</w:t>
      </w:r>
      <w:r w:rsidR="00231388" w:rsidRPr="00A231F0">
        <w:rPr>
          <w:rFonts w:ascii="Arial" w:hAnsi="Arial" w:cs="Arial"/>
        </w:rPr>
        <w:tab/>
      </w:r>
    </w:p>
    <w:p w14:paraId="3AD026F4" w14:textId="77777777" w:rsidR="00E40CE4" w:rsidRDefault="00A231F0" w:rsidP="00E40C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u w:val="single"/>
        </w:rPr>
      </w:pPr>
      <w:r>
        <w:rPr>
          <w:rFonts w:ascii="Arial" w:hAnsi="Arial" w:cs="Arial"/>
          <w:noProof/>
          <w:sz w:val="24"/>
          <w:szCs w:val="24"/>
          <w:lang w:eastAsia="en-US"/>
        </w:rPr>
        <mc:AlternateContent>
          <mc:Choice Requires="wps">
            <w:drawing>
              <wp:inline distT="0" distB="0" distL="0" distR="0" wp14:anchorId="2375DD3F" wp14:editId="7BB58FC0">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58F7E75"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043984A5" w14:textId="77777777" w:rsidR="00E40CE4" w:rsidRDefault="00E40CE4" w:rsidP="00E40C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u w:val="single"/>
        </w:rPr>
      </w:pPr>
    </w:p>
    <w:p w14:paraId="44628E50" w14:textId="44E8282A" w:rsidR="00231388" w:rsidRPr="00E40CE4" w:rsidRDefault="00231388" w:rsidP="00E40C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A231F0">
        <w:rPr>
          <w:rFonts w:ascii="Arial" w:hAnsi="Arial" w:cs="Arial"/>
          <w:b/>
          <w:u w:val="single"/>
        </w:rPr>
        <w:t>JUDGMENT BY:</w:t>
      </w:r>
      <w:r w:rsidRPr="00A231F0">
        <w:rPr>
          <w:rFonts w:ascii="Arial" w:hAnsi="Arial" w:cs="Arial"/>
          <w:b/>
        </w:rPr>
        <w:tab/>
      </w:r>
      <w:r w:rsidR="00E40CE4" w:rsidRPr="00E40CE4">
        <w:rPr>
          <w:rFonts w:ascii="Arial" w:hAnsi="Arial" w:cs="Arial"/>
          <w:b/>
          <w:bCs/>
        </w:rPr>
        <w:t>P R CRONJÉ, AJ</w:t>
      </w:r>
    </w:p>
    <w:p w14:paraId="07987DF5" w14:textId="13F52DA3" w:rsidR="00A231F0" w:rsidRDefault="00A231F0" w:rsidP="007D248D">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7F58BF18" wp14:editId="0AA7EFC9">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C2076F0"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3FE47D10" w14:textId="77777777" w:rsidR="007D248D" w:rsidRPr="007D248D" w:rsidRDefault="007D248D" w:rsidP="007D248D">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p>
    <w:p w14:paraId="41507573" w14:textId="7AA03B51" w:rsidR="007D248D" w:rsidRPr="007D248D" w:rsidRDefault="007D248D" w:rsidP="007D248D">
      <w:pPr>
        <w:spacing w:line="360" w:lineRule="auto"/>
        <w:jc w:val="both"/>
        <w:rPr>
          <w:rFonts w:asciiTheme="majorHAnsi" w:hAnsiTheme="majorHAnsi" w:cstheme="majorHAnsi"/>
          <w:color w:val="000000" w:themeColor="text1"/>
        </w:rPr>
      </w:pPr>
      <w:r w:rsidRPr="007D248D">
        <w:rPr>
          <w:rFonts w:asciiTheme="majorHAnsi" w:hAnsiTheme="majorHAnsi" w:cstheme="majorHAnsi"/>
          <w:color w:val="000000" w:themeColor="text1"/>
        </w:rPr>
        <w:t xml:space="preserve">This judgment was handed down electronically by circulation to the parties’ representatives by email, and release to SAFLII. The date and time for hand-down is deemed to be </w:t>
      </w:r>
      <w:r w:rsidR="001A7DA6">
        <w:rPr>
          <w:rFonts w:asciiTheme="majorHAnsi" w:hAnsiTheme="majorHAnsi" w:cstheme="majorHAnsi"/>
          <w:color w:val="000000" w:themeColor="text1"/>
        </w:rPr>
        <w:t>12</w:t>
      </w:r>
      <w:r>
        <w:rPr>
          <w:rFonts w:asciiTheme="majorHAnsi" w:hAnsiTheme="majorHAnsi" w:cstheme="majorHAnsi"/>
          <w:color w:val="000000" w:themeColor="text1"/>
        </w:rPr>
        <w:t>h00</w:t>
      </w:r>
      <w:r w:rsidRPr="007D248D">
        <w:rPr>
          <w:rFonts w:asciiTheme="majorHAnsi" w:hAnsiTheme="majorHAnsi" w:cstheme="majorHAnsi"/>
          <w:color w:val="000000" w:themeColor="text1"/>
        </w:rPr>
        <w:t xml:space="preserve"> on </w:t>
      </w:r>
      <w:r>
        <w:rPr>
          <w:rFonts w:asciiTheme="majorHAnsi" w:hAnsiTheme="majorHAnsi" w:cstheme="majorHAnsi"/>
          <w:color w:val="000000" w:themeColor="text1"/>
        </w:rPr>
        <w:t>08</w:t>
      </w:r>
      <w:r w:rsidRPr="007D248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September </w:t>
      </w:r>
      <w:r w:rsidRPr="007D248D">
        <w:rPr>
          <w:rFonts w:asciiTheme="majorHAnsi" w:hAnsiTheme="majorHAnsi" w:cstheme="majorHAnsi"/>
          <w:color w:val="000000" w:themeColor="text1"/>
        </w:rPr>
        <w:t>2023.</w:t>
      </w:r>
    </w:p>
    <w:p w14:paraId="0115A268" w14:textId="46B68289" w:rsidR="007D248D" w:rsidRDefault="007D248D" w:rsidP="007D248D">
      <w:pPr>
        <w:spacing w:line="360" w:lineRule="auto"/>
        <w:jc w:val="both"/>
        <w:rPr>
          <w:rFonts w:asciiTheme="majorHAnsi" w:hAnsiTheme="majorHAnsi" w:cstheme="majorHAnsi"/>
          <w:color w:val="000000" w:themeColor="text1"/>
        </w:rPr>
      </w:pPr>
      <w:r w:rsidRPr="007D248D">
        <w:rPr>
          <w:rFonts w:asciiTheme="majorHAnsi" w:hAnsiTheme="majorHAnsi" w:cstheme="majorHAnsi"/>
          <w:color w:val="000000" w:themeColor="text1"/>
        </w:rPr>
        <w:t>___________________________________________________________________</w:t>
      </w:r>
    </w:p>
    <w:p w14:paraId="774ACABE" w14:textId="77777777" w:rsidR="007D248D" w:rsidRPr="00EC2758" w:rsidRDefault="007D248D" w:rsidP="00EC2758">
      <w:pPr>
        <w:spacing w:line="360" w:lineRule="auto"/>
        <w:jc w:val="both"/>
        <w:rPr>
          <w:rFonts w:asciiTheme="majorHAnsi" w:hAnsiTheme="majorHAnsi" w:cstheme="majorHAnsi"/>
          <w:color w:val="000000" w:themeColor="text1"/>
        </w:rPr>
      </w:pPr>
    </w:p>
    <w:p w14:paraId="264BFD8E" w14:textId="1733E97E" w:rsidR="00F213C7" w:rsidRPr="00EC2758" w:rsidRDefault="00F213C7" w:rsidP="00EC2758">
      <w:pPr>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[1]</w:t>
      </w:r>
      <w:r w:rsidRPr="00EC2758">
        <w:rPr>
          <w:rFonts w:asciiTheme="majorHAnsi" w:hAnsiTheme="majorHAnsi" w:cstheme="majorHAnsi"/>
          <w:color w:val="000000" w:themeColor="text1"/>
        </w:rPr>
        <w:tab/>
        <w:t xml:space="preserve">Plaintiff issued summons against the Defendant for payment of R1 986 964.70 plus interest at a variable rate of 10.15% from 15 October 2019. It seeks costs </w:t>
      </w:r>
      <w:r w:rsidRPr="00EC2758">
        <w:rPr>
          <w:rFonts w:asciiTheme="majorHAnsi" w:hAnsiTheme="majorHAnsi" w:cstheme="majorHAnsi"/>
          <w:color w:val="000000" w:themeColor="text1"/>
        </w:rPr>
        <w:lastRenderedPageBreak/>
        <w:t xml:space="preserve">on attorney and client scale. It does not seek an order that the property be declared executable. The cause of action is a written loan agreement concluded on 2 September 2016.  </w:t>
      </w:r>
    </w:p>
    <w:p w14:paraId="0024DCC6" w14:textId="77777777" w:rsidR="00231388" w:rsidRPr="00EC2758" w:rsidRDefault="00231388" w:rsidP="00EC2758">
      <w:pPr>
        <w:spacing w:line="360" w:lineRule="auto"/>
        <w:ind w:left="720" w:hanging="720"/>
        <w:jc w:val="both"/>
        <w:rPr>
          <w:rFonts w:asciiTheme="majorHAnsi" w:hAnsiTheme="majorHAnsi" w:cstheme="majorHAnsi"/>
          <w:color w:val="000000" w:themeColor="text1"/>
        </w:rPr>
      </w:pPr>
    </w:p>
    <w:p w14:paraId="780C454F" w14:textId="40641A76" w:rsidR="00173B5A" w:rsidRPr="00EC2758" w:rsidRDefault="00173B5A" w:rsidP="00EC2758">
      <w:pPr>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w:t>
      </w:r>
      <w:r w:rsidR="001440E3" w:rsidRPr="00EC2758">
        <w:rPr>
          <w:rFonts w:asciiTheme="majorHAnsi" w:hAnsiTheme="majorHAnsi" w:cstheme="majorHAnsi"/>
          <w:color w:val="000000" w:themeColor="text1"/>
        </w:rPr>
        <w:t>2</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r>
      <w:r w:rsidR="00F213C7" w:rsidRPr="00EC2758">
        <w:rPr>
          <w:rFonts w:asciiTheme="majorHAnsi" w:hAnsiTheme="majorHAnsi" w:cstheme="majorHAnsi"/>
          <w:color w:val="000000" w:themeColor="text1"/>
        </w:rPr>
        <w:t>I</w:t>
      </w:r>
      <w:r w:rsidRPr="00EC2758">
        <w:rPr>
          <w:rFonts w:asciiTheme="majorHAnsi" w:hAnsiTheme="majorHAnsi" w:cstheme="majorHAnsi"/>
          <w:color w:val="000000" w:themeColor="text1"/>
        </w:rPr>
        <w:t xml:space="preserve">n 2019, the Plaintiff obtained default judgment </w:t>
      </w:r>
      <w:r w:rsidR="00FD3714" w:rsidRPr="00EC2758">
        <w:rPr>
          <w:rFonts w:asciiTheme="majorHAnsi" w:hAnsiTheme="majorHAnsi" w:cstheme="majorHAnsi"/>
          <w:color w:val="000000" w:themeColor="text1"/>
        </w:rPr>
        <w:t xml:space="preserve">under this case number </w:t>
      </w:r>
      <w:r w:rsidRPr="00EC2758">
        <w:rPr>
          <w:rFonts w:asciiTheme="majorHAnsi" w:hAnsiTheme="majorHAnsi" w:cstheme="majorHAnsi"/>
          <w:color w:val="000000" w:themeColor="text1"/>
        </w:rPr>
        <w:t>against the Defendant. That judgment was set</w:t>
      </w:r>
      <w:r w:rsidR="00FD3714" w:rsidRPr="00EC2758">
        <w:rPr>
          <w:rFonts w:asciiTheme="majorHAnsi" w:hAnsiTheme="majorHAnsi" w:cstheme="majorHAnsi"/>
          <w:color w:val="000000" w:themeColor="text1"/>
        </w:rPr>
        <w:t xml:space="preserve"> </w:t>
      </w:r>
      <w:r w:rsidRPr="00EC2758">
        <w:rPr>
          <w:rFonts w:asciiTheme="majorHAnsi" w:hAnsiTheme="majorHAnsi" w:cstheme="majorHAnsi"/>
          <w:color w:val="000000" w:themeColor="text1"/>
        </w:rPr>
        <w:t>aside by Boonzaaier AJ on 6 May 2021.</w:t>
      </w:r>
      <w:r w:rsidR="00470FEE" w:rsidRPr="00EC2758">
        <w:rPr>
          <w:rFonts w:asciiTheme="majorHAnsi" w:hAnsiTheme="majorHAnsi" w:cstheme="majorHAnsi"/>
          <w:color w:val="000000" w:themeColor="text1"/>
        </w:rPr>
        <w:t xml:space="preserve"> </w:t>
      </w:r>
      <w:r w:rsidR="00FD3714" w:rsidRPr="00EC2758">
        <w:rPr>
          <w:rFonts w:asciiTheme="majorHAnsi" w:hAnsiTheme="majorHAnsi" w:cstheme="majorHAnsi"/>
          <w:color w:val="000000" w:themeColor="text1"/>
        </w:rPr>
        <w:t xml:space="preserve">The </w:t>
      </w:r>
      <w:r w:rsidR="00470FEE" w:rsidRPr="00EC2758">
        <w:rPr>
          <w:rFonts w:asciiTheme="majorHAnsi" w:hAnsiTheme="majorHAnsi" w:cstheme="majorHAnsi"/>
          <w:color w:val="000000" w:themeColor="text1"/>
        </w:rPr>
        <w:t xml:space="preserve">relevance </w:t>
      </w:r>
      <w:r w:rsidR="00FD3714" w:rsidRPr="00EC2758">
        <w:rPr>
          <w:rFonts w:asciiTheme="majorHAnsi" w:hAnsiTheme="majorHAnsi" w:cstheme="majorHAnsi"/>
          <w:color w:val="000000" w:themeColor="text1"/>
        </w:rPr>
        <w:t xml:space="preserve">of that judgment is that she found </w:t>
      </w:r>
      <w:r w:rsidR="00470FEE" w:rsidRPr="00EC2758">
        <w:rPr>
          <w:rFonts w:asciiTheme="majorHAnsi" w:hAnsiTheme="majorHAnsi" w:cstheme="majorHAnsi"/>
          <w:color w:val="000000" w:themeColor="text1"/>
        </w:rPr>
        <w:t xml:space="preserve">that </w:t>
      </w:r>
      <w:r w:rsidR="001440E3" w:rsidRPr="00EC2758">
        <w:rPr>
          <w:rFonts w:asciiTheme="majorHAnsi" w:hAnsiTheme="majorHAnsi" w:cstheme="majorHAnsi"/>
          <w:color w:val="000000" w:themeColor="text1"/>
        </w:rPr>
        <w:t xml:space="preserve">the Plaintiff </w:t>
      </w:r>
      <w:r w:rsidR="00470FEE" w:rsidRPr="00EC2758">
        <w:rPr>
          <w:rFonts w:asciiTheme="majorHAnsi" w:hAnsiTheme="majorHAnsi" w:cstheme="majorHAnsi"/>
          <w:color w:val="000000" w:themeColor="text1"/>
        </w:rPr>
        <w:t>complied with section 129 of the National Credit Act</w:t>
      </w:r>
      <w:r w:rsidR="001440E3" w:rsidRPr="00EC2758">
        <w:rPr>
          <w:rFonts w:asciiTheme="majorHAnsi" w:hAnsiTheme="majorHAnsi" w:cstheme="majorHAnsi"/>
          <w:color w:val="000000" w:themeColor="text1"/>
        </w:rPr>
        <w:t xml:space="preserve"> (NCA)</w:t>
      </w:r>
      <w:r w:rsidR="001160E3" w:rsidRPr="00EC2758">
        <w:rPr>
          <w:rFonts w:asciiTheme="majorHAnsi" w:hAnsiTheme="majorHAnsi" w:cstheme="majorHAnsi"/>
          <w:color w:val="000000" w:themeColor="text1"/>
        </w:rPr>
        <w:t>.</w:t>
      </w:r>
      <w:r w:rsidR="00470FEE" w:rsidRPr="00EC2758">
        <w:rPr>
          <w:rStyle w:val="FootnoteReference"/>
          <w:rFonts w:asciiTheme="majorHAnsi" w:hAnsiTheme="majorHAnsi" w:cstheme="majorHAnsi"/>
          <w:color w:val="000000" w:themeColor="text1"/>
        </w:rPr>
        <w:footnoteReference w:id="1"/>
      </w:r>
    </w:p>
    <w:p w14:paraId="45736C3D" w14:textId="77777777" w:rsidR="00173B5A" w:rsidRPr="00EC2758" w:rsidRDefault="00173B5A" w:rsidP="00EC2758">
      <w:pPr>
        <w:spacing w:line="360" w:lineRule="auto"/>
        <w:ind w:left="720" w:hanging="720"/>
        <w:jc w:val="both"/>
        <w:rPr>
          <w:rFonts w:asciiTheme="majorHAnsi" w:hAnsiTheme="majorHAnsi" w:cstheme="majorHAnsi"/>
          <w:color w:val="000000" w:themeColor="text1"/>
        </w:rPr>
      </w:pPr>
    </w:p>
    <w:p w14:paraId="49A5BE63" w14:textId="45D85180" w:rsidR="003D0D17" w:rsidRPr="00EC2758" w:rsidRDefault="00B22070" w:rsidP="00EC2758">
      <w:pPr>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w:t>
      </w:r>
      <w:r w:rsidR="001440E3" w:rsidRPr="00EC2758">
        <w:rPr>
          <w:rFonts w:asciiTheme="majorHAnsi" w:hAnsiTheme="majorHAnsi" w:cstheme="majorHAnsi"/>
          <w:color w:val="000000" w:themeColor="text1"/>
        </w:rPr>
        <w:t>3</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r>
      <w:r w:rsidR="0075645B" w:rsidRPr="00EC2758">
        <w:rPr>
          <w:rFonts w:asciiTheme="majorHAnsi" w:hAnsiTheme="majorHAnsi" w:cstheme="majorHAnsi"/>
          <w:color w:val="000000" w:themeColor="text1"/>
        </w:rPr>
        <w:t xml:space="preserve">On 12 August 2022, </w:t>
      </w:r>
      <w:r w:rsidR="001440E3" w:rsidRPr="00EC2758">
        <w:rPr>
          <w:rFonts w:asciiTheme="majorHAnsi" w:hAnsiTheme="majorHAnsi" w:cstheme="majorHAnsi"/>
          <w:color w:val="000000" w:themeColor="text1"/>
        </w:rPr>
        <w:t xml:space="preserve">the Plaintiff served </w:t>
      </w:r>
      <w:r w:rsidR="0075645B" w:rsidRPr="00EC2758">
        <w:rPr>
          <w:rFonts w:asciiTheme="majorHAnsi" w:hAnsiTheme="majorHAnsi" w:cstheme="majorHAnsi"/>
          <w:color w:val="000000" w:themeColor="text1"/>
        </w:rPr>
        <w:t xml:space="preserve">a Notice of Bar on </w:t>
      </w:r>
      <w:r w:rsidR="001440E3" w:rsidRPr="00EC2758">
        <w:rPr>
          <w:rFonts w:asciiTheme="majorHAnsi" w:hAnsiTheme="majorHAnsi" w:cstheme="majorHAnsi"/>
          <w:color w:val="000000" w:themeColor="text1"/>
        </w:rPr>
        <w:t>the Defendant</w:t>
      </w:r>
      <w:r w:rsidR="00F17D45" w:rsidRPr="00EC2758">
        <w:rPr>
          <w:rFonts w:asciiTheme="majorHAnsi" w:hAnsiTheme="majorHAnsi" w:cstheme="majorHAnsi"/>
          <w:color w:val="000000" w:themeColor="text1"/>
        </w:rPr>
        <w:t>’s</w:t>
      </w:r>
      <w:r w:rsidR="0075645B" w:rsidRPr="00EC2758">
        <w:rPr>
          <w:rFonts w:asciiTheme="majorHAnsi" w:hAnsiTheme="majorHAnsi" w:cstheme="majorHAnsi"/>
          <w:color w:val="000000" w:themeColor="text1"/>
        </w:rPr>
        <w:t xml:space="preserve"> attorneys affording him an opportunity to file a Plea. </w:t>
      </w:r>
    </w:p>
    <w:p w14:paraId="5AAD1F45" w14:textId="2A4C3BFA" w:rsidR="00173B5A" w:rsidRPr="00EC2758" w:rsidRDefault="00682E40" w:rsidP="00EC2758">
      <w:pPr>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 xml:space="preserve"> </w:t>
      </w:r>
    </w:p>
    <w:p w14:paraId="0A410771" w14:textId="0CD1EC9A" w:rsidR="00A35BF1" w:rsidRPr="00EC2758" w:rsidRDefault="001440E3" w:rsidP="00EC2758">
      <w:pPr>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[4]</w:t>
      </w:r>
      <w:r w:rsidRPr="00EC2758">
        <w:rPr>
          <w:rFonts w:asciiTheme="majorHAnsi" w:hAnsiTheme="majorHAnsi" w:cstheme="majorHAnsi"/>
          <w:color w:val="000000" w:themeColor="text1"/>
        </w:rPr>
        <w:tab/>
      </w:r>
      <w:r w:rsidR="00492C57" w:rsidRPr="00EC2758">
        <w:rPr>
          <w:rFonts w:asciiTheme="majorHAnsi" w:hAnsiTheme="majorHAnsi" w:cstheme="majorHAnsi"/>
          <w:color w:val="000000" w:themeColor="text1"/>
        </w:rPr>
        <w:t xml:space="preserve">On 7 September 2022, a fresh s 129 notice was served on </w:t>
      </w:r>
      <w:r w:rsidR="004B11E3" w:rsidRPr="00EC2758">
        <w:rPr>
          <w:rFonts w:asciiTheme="majorHAnsi" w:hAnsiTheme="majorHAnsi" w:cstheme="majorHAnsi"/>
          <w:color w:val="000000" w:themeColor="text1"/>
        </w:rPr>
        <w:t xml:space="preserve">the Plaintiff’s </w:t>
      </w:r>
      <w:r w:rsidR="00492C57" w:rsidRPr="00EC2758">
        <w:rPr>
          <w:rFonts w:asciiTheme="majorHAnsi" w:hAnsiTheme="majorHAnsi" w:cstheme="majorHAnsi"/>
          <w:color w:val="000000" w:themeColor="text1"/>
        </w:rPr>
        <w:t>mother at his residence as he was not present.</w:t>
      </w:r>
      <w:r w:rsidR="00492C57" w:rsidRPr="00EC2758">
        <w:rPr>
          <w:rStyle w:val="FootnoteReference"/>
          <w:rFonts w:asciiTheme="majorHAnsi" w:hAnsiTheme="majorHAnsi" w:cstheme="majorHAnsi"/>
          <w:color w:val="000000" w:themeColor="text1"/>
        </w:rPr>
        <w:footnoteReference w:id="2"/>
      </w:r>
      <w:r w:rsidR="00492C57" w:rsidRPr="00EC2758">
        <w:rPr>
          <w:rFonts w:asciiTheme="majorHAnsi" w:hAnsiTheme="majorHAnsi" w:cstheme="majorHAnsi"/>
          <w:color w:val="000000" w:themeColor="text1"/>
        </w:rPr>
        <w:t xml:space="preserve"> By then the amount in default was R151 905.58 </w:t>
      </w:r>
      <w:r w:rsidR="00A35BF1" w:rsidRPr="00EC2758">
        <w:rPr>
          <w:rFonts w:asciiTheme="majorHAnsi" w:hAnsiTheme="majorHAnsi" w:cstheme="majorHAnsi"/>
          <w:color w:val="000000" w:themeColor="text1"/>
        </w:rPr>
        <w:t>and the outstanding balance R2 011 099.07.</w:t>
      </w:r>
    </w:p>
    <w:p w14:paraId="7BC72F3F" w14:textId="77777777" w:rsidR="00A35BF1" w:rsidRPr="00EC2758" w:rsidRDefault="00A35BF1" w:rsidP="00EC2758">
      <w:pPr>
        <w:tabs>
          <w:tab w:val="left" w:pos="709"/>
        </w:tabs>
        <w:spacing w:line="360" w:lineRule="auto"/>
        <w:ind w:left="709" w:hanging="709"/>
        <w:jc w:val="both"/>
        <w:rPr>
          <w:rFonts w:asciiTheme="majorHAnsi" w:hAnsiTheme="majorHAnsi" w:cstheme="majorHAnsi"/>
          <w:color w:val="000000" w:themeColor="text1"/>
        </w:rPr>
      </w:pPr>
    </w:p>
    <w:p w14:paraId="67D368D2" w14:textId="05520539" w:rsidR="00B22070" w:rsidRPr="00EC2758" w:rsidRDefault="004B11E3" w:rsidP="00EC2758">
      <w:pPr>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[5]</w:t>
      </w:r>
      <w:r w:rsidRPr="00EC2758">
        <w:rPr>
          <w:rFonts w:asciiTheme="majorHAnsi" w:hAnsiTheme="majorHAnsi" w:cstheme="majorHAnsi"/>
          <w:color w:val="000000" w:themeColor="text1"/>
        </w:rPr>
        <w:tab/>
      </w:r>
      <w:r w:rsidR="00B22070" w:rsidRPr="00EC2758">
        <w:rPr>
          <w:rFonts w:asciiTheme="majorHAnsi" w:hAnsiTheme="majorHAnsi" w:cstheme="majorHAnsi"/>
          <w:color w:val="000000" w:themeColor="text1"/>
        </w:rPr>
        <w:t xml:space="preserve">On 16 March 2023, </w:t>
      </w:r>
      <w:r w:rsidR="00361602" w:rsidRPr="00EC2758">
        <w:rPr>
          <w:rFonts w:asciiTheme="majorHAnsi" w:hAnsiTheme="majorHAnsi" w:cstheme="majorHAnsi"/>
          <w:color w:val="000000" w:themeColor="text1"/>
        </w:rPr>
        <w:t xml:space="preserve">the Plaintiff </w:t>
      </w:r>
      <w:r w:rsidR="00B22070" w:rsidRPr="00EC2758">
        <w:rPr>
          <w:rFonts w:asciiTheme="majorHAnsi" w:hAnsiTheme="majorHAnsi" w:cstheme="majorHAnsi"/>
          <w:color w:val="000000" w:themeColor="text1"/>
        </w:rPr>
        <w:t xml:space="preserve">served a </w:t>
      </w:r>
      <w:r w:rsidR="00F17D45" w:rsidRPr="00EC2758">
        <w:rPr>
          <w:rFonts w:asciiTheme="majorHAnsi" w:hAnsiTheme="majorHAnsi" w:cstheme="majorHAnsi"/>
          <w:color w:val="000000" w:themeColor="text1"/>
        </w:rPr>
        <w:t xml:space="preserve">fresh </w:t>
      </w:r>
      <w:r w:rsidR="00B22070" w:rsidRPr="00EC2758">
        <w:rPr>
          <w:rFonts w:asciiTheme="majorHAnsi" w:hAnsiTheme="majorHAnsi" w:cstheme="majorHAnsi"/>
          <w:color w:val="000000" w:themeColor="text1"/>
        </w:rPr>
        <w:t>Notice of Bar on the Defendant’s attorney</w:t>
      </w:r>
      <w:r w:rsidR="00EF06B0">
        <w:rPr>
          <w:rFonts w:asciiTheme="majorHAnsi" w:hAnsiTheme="majorHAnsi" w:cstheme="majorHAnsi"/>
          <w:color w:val="000000" w:themeColor="text1"/>
        </w:rPr>
        <w:t>s</w:t>
      </w:r>
      <w:r w:rsidR="00F17D45" w:rsidRPr="00EC2758">
        <w:rPr>
          <w:rFonts w:asciiTheme="majorHAnsi" w:hAnsiTheme="majorHAnsi" w:cstheme="majorHAnsi"/>
          <w:color w:val="000000" w:themeColor="text1"/>
        </w:rPr>
        <w:t xml:space="preserve"> and o</w:t>
      </w:r>
      <w:r w:rsidR="00B22070" w:rsidRPr="00EC2758">
        <w:rPr>
          <w:rFonts w:asciiTheme="majorHAnsi" w:hAnsiTheme="majorHAnsi" w:cstheme="majorHAnsi"/>
          <w:color w:val="000000" w:themeColor="text1"/>
        </w:rPr>
        <w:t xml:space="preserve">n 28 March 2023, the Defendant filed his Plea.  </w:t>
      </w:r>
    </w:p>
    <w:p w14:paraId="346925F8" w14:textId="77777777" w:rsidR="00B22070" w:rsidRPr="00EC2758" w:rsidRDefault="00B22070" w:rsidP="00EC2758">
      <w:pPr>
        <w:spacing w:line="360" w:lineRule="auto"/>
        <w:ind w:left="709" w:hanging="709"/>
        <w:jc w:val="both"/>
        <w:rPr>
          <w:rFonts w:asciiTheme="majorHAnsi" w:hAnsiTheme="majorHAnsi" w:cstheme="majorHAnsi"/>
          <w:color w:val="000000" w:themeColor="text1"/>
        </w:rPr>
      </w:pPr>
    </w:p>
    <w:p w14:paraId="16F10649" w14:textId="1EEAC00D" w:rsidR="00B22070" w:rsidRPr="00EC2758" w:rsidRDefault="00B22070" w:rsidP="00EC2758">
      <w:pPr>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w:t>
      </w:r>
      <w:r w:rsidR="00361602" w:rsidRPr="00EC2758">
        <w:rPr>
          <w:rFonts w:asciiTheme="majorHAnsi" w:hAnsiTheme="majorHAnsi" w:cstheme="majorHAnsi"/>
          <w:color w:val="000000" w:themeColor="text1"/>
        </w:rPr>
        <w:t>6</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t xml:space="preserve">On 17 April 2023, the application for summary judgment was served on </w:t>
      </w:r>
      <w:r w:rsidR="00EF06B0">
        <w:rPr>
          <w:rFonts w:asciiTheme="majorHAnsi" w:hAnsiTheme="majorHAnsi" w:cstheme="majorHAnsi"/>
          <w:color w:val="000000" w:themeColor="text1"/>
        </w:rPr>
        <w:t xml:space="preserve">the </w:t>
      </w:r>
      <w:r w:rsidRPr="00EC2758">
        <w:rPr>
          <w:rFonts w:asciiTheme="majorHAnsi" w:hAnsiTheme="majorHAnsi" w:cstheme="majorHAnsi"/>
          <w:color w:val="000000" w:themeColor="text1"/>
        </w:rPr>
        <w:t xml:space="preserve">Defendant and the matter set down for hearing </w:t>
      </w:r>
      <w:r w:rsidR="00042CAF" w:rsidRPr="00EC2758">
        <w:rPr>
          <w:rFonts w:asciiTheme="majorHAnsi" w:hAnsiTheme="majorHAnsi" w:cstheme="majorHAnsi"/>
          <w:color w:val="000000" w:themeColor="text1"/>
        </w:rPr>
        <w:t xml:space="preserve">on </w:t>
      </w:r>
      <w:r w:rsidRPr="00EC2758">
        <w:rPr>
          <w:rFonts w:asciiTheme="majorHAnsi" w:hAnsiTheme="majorHAnsi" w:cstheme="majorHAnsi"/>
          <w:color w:val="000000" w:themeColor="text1"/>
        </w:rPr>
        <w:t xml:space="preserve">18 May 2023.  </w:t>
      </w:r>
      <w:r w:rsidR="00EF06B0">
        <w:rPr>
          <w:rFonts w:asciiTheme="majorHAnsi" w:hAnsiTheme="majorHAnsi" w:cstheme="majorHAnsi"/>
          <w:color w:val="000000" w:themeColor="text1"/>
        </w:rPr>
        <w:t xml:space="preserve">The </w:t>
      </w:r>
      <w:r w:rsidRPr="00EC2758">
        <w:rPr>
          <w:rFonts w:asciiTheme="majorHAnsi" w:hAnsiTheme="majorHAnsi" w:cstheme="majorHAnsi"/>
          <w:color w:val="000000" w:themeColor="text1"/>
        </w:rPr>
        <w:t>Defendant stat</w:t>
      </w:r>
      <w:r w:rsidR="00CA3F0C" w:rsidRPr="00EC2758">
        <w:rPr>
          <w:rFonts w:asciiTheme="majorHAnsi" w:hAnsiTheme="majorHAnsi" w:cstheme="majorHAnsi"/>
          <w:color w:val="000000" w:themeColor="text1"/>
        </w:rPr>
        <w:t>es</w:t>
      </w:r>
      <w:r w:rsidRPr="00EC2758">
        <w:rPr>
          <w:rFonts w:asciiTheme="majorHAnsi" w:hAnsiTheme="majorHAnsi" w:cstheme="majorHAnsi"/>
          <w:color w:val="000000" w:themeColor="text1"/>
        </w:rPr>
        <w:t xml:space="preserve"> that his opposing affidavit should only have been filed five (5) days before the matter </w:t>
      </w:r>
      <w:r w:rsidR="00EF06B0">
        <w:rPr>
          <w:rFonts w:asciiTheme="majorHAnsi" w:hAnsiTheme="majorHAnsi" w:cstheme="majorHAnsi"/>
          <w:color w:val="000000" w:themeColor="text1"/>
        </w:rPr>
        <w:t xml:space="preserve">was </w:t>
      </w:r>
      <w:r w:rsidRPr="00EC2758">
        <w:rPr>
          <w:rFonts w:asciiTheme="majorHAnsi" w:hAnsiTheme="majorHAnsi" w:cstheme="majorHAnsi"/>
          <w:color w:val="000000" w:themeColor="text1"/>
        </w:rPr>
        <w:t xml:space="preserve">heard, which </w:t>
      </w:r>
      <w:r w:rsidR="00CA3F0C" w:rsidRPr="00EC2758">
        <w:rPr>
          <w:rFonts w:asciiTheme="majorHAnsi" w:hAnsiTheme="majorHAnsi" w:cstheme="majorHAnsi"/>
          <w:color w:val="000000" w:themeColor="text1"/>
        </w:rPr>
        <w:t xml:space="preserve">was </w:t>
      </w:r>
      <w:r w:rsidRPr="00EC2758">
        <w:rPr>
          <w:rFonts w:asciiTheme="majorHAnsi" w:hAnsiTheme="majorHAnsi" w:cstheme="majorHAnsi"/>
          <w:color w:val="000000" w:themeColor="text1"/>
        </w:rPr>
        <w:t xml:space="preserve">11 May 2023. He did not </w:t>
      </w:r>
      <w:r w:rsidR="00042CAF" w:rsidRPr="00EC2758">
        <w:rPr>
          <w:rFonts w:asciiTheme="majorHAnsi" w:hAnsiTheme="majorHAnsi" w:cstheme="majorHAnsi"/>
          <w:color w:val="000000" w:themeColor="text1"/>
        </w:rPr>
        <w:t xml:space="preserve">file it and </w:t>
      </w:r>
      <w:r w:rsidRPr="00EC2758">
        <w:rPr>
          <w:rFonts w:asciiTheme="majorHAnsi" w:hAnsiTheme="majorHAnsi" w:cstheme="majorHAnsi"/>
          <w:color w:val="000000" w:themeColor="text1"/>
        </w:rPr>
        <w:t xml:space="preserve">the matter was enrolled on the unopposed roll for 18 May 2023.  </w:t>
      </w:r>
      <w:r w:rsidR="00DD7577" w:rsidRPr="00EC2758">
        <w:rPr>
          <w:rFonts w:asciiTheme="majorHAnsi" w:hAnsiTheme="majorHAnsi" w:cstheme="majorHAnsi"/>
          <w:color w:val="000000" w:themeColor="text1"/>
        </w:rPr>
        <w:t>B</w:t>
      </w:r>
      <w:r w:rsidRPr="00EC2758">
        <w:rPr>
          <w:rFonts w:asciiTheme="majorHAnsi" w:hAnsiTheme="majorHAnsi" w:cstheme="majorHAnsi"/>
          <w:color w:val="000000" w:themeColor="text1"/>
        </w:rPr>
        <w:t xml:space="preserve">y agreement between the parties the application </w:t>
      </w:r>
      <w:r w:rsidR="00DD7577" w:rsidRPr="00EC2758">
        <w:rPr>
          <w:rFonts w:asciiTheme="majorHAnsi" w:hAnsiTheme="majorHAnsi" w:cstheme="majorHAnsi"/>
          <w:color w:val="000000" w:themeColor="text1"/>
        </w:rPr>
        <w:t>was</w:t>
      </w:r>
      <w:r w:rsidRPr="00EC2758">
        <w:rPr>
          <w:rFonts w:asciiTheme="majorHAnsi" w:hAnsiTheme="majorHAnsi" w:cstheme="majorHAnsi"/>
          <w:color w:val="000000" w:themeColor="text1"/>
        </w:rPr>
        <w:t xml:space="preserve"> postponed </w:t>
      </w:r>
      <w:r w:rsidR="00DD7577" w:rsidRPr="00EC2758">
        <w:rPr>
          <w:rFonts w:asciiTheme="majorHAnsi" w:hAnsiTheme="majorHAnsi" w:cstheme="majorHAnsi"/>
          <w:color w:val="000000" w:themeColor="text1"/>
        </w:rPr>
        <w:t xml:space="preserve">to </w:t>
      </w:r>
      <w:r w:rsidRPr="00EC2758">
        <w:rPr>
          <w:rFonts w:asciiTheme="majorHAnsi" w:hAnsiTheme="majorHAnsi" w:cstheme="majorHAnsi"/>
          <w:color w:val="000000" w:themeColor="text1"/>
        </w:rPr>
        <w:t>20 July 2023</w:t>
      </w:r>
      <w:r w:rsidR="00DD7577" w:rsidRPr="00EC2758">
        <w:rPr>
          <w:rFonts w:asciiTheme="majorHAnsi" w:hAnsiTheme="majorHAnsi" w:cstheme="majorHAnsi"/>
          <w:color w:val="000000" w:themeColor="text1"/>
        </w:rPr>
        <w:t xml:space="preserve">. </w:t>
      </w:r>
      <w:r w:rsidR="00EF06B0">
        <w:rPr>
          <w:rFonts w:asciiTheme="majorHAnsi" w:hAnsiTheme="majorHAnsi" w:cstheme="majorHAnsi"/>
          <w:color w:val="000000" w:themeColor="text1"/>
        </w:rPr>
        <w:t xml:space="preserve">The </w:t>
      </w:r>
      <w:r w:rsidR="00DD7577" w:rsidRPr="00EC2758">
        <w:rPr>
          <w:rFonts w:asciiTheme="majorHAnsi" w:hAnsiTheme="majorHAnsi" w:cstheme="majorHAnsi"/>
          <w:color w:val="000000" w:themeColor="text1"/>
        </w:rPr>
        <w:t xml:space="preserve">Defendant </w:t>
      </w:r>
      <w:r w:rsidRPr="00EC2758">
        <w:rPr>
          <w:rFonts w:asciiTheme="majorHAnsi" w:hAnsiTheme="majorHAnsi" w:cstheme="majorHAnsi"/>
          <w:color w:val="000000" w:themeColor="text1"/>
        </w:rPr>
        <w:t>had to file a condonation application together with his opposing affidavit</w:t>
      </w:r>
      <w:r w:rsidR="00D94BF3" w:rsidRPr="00EC2758">
        <w:rPr>
          <w:rFonts w:asciiTheme="majorHAnsi" w:hAnsiTheme="majorHAnsi" w:cstheme="majorHAnsi"/>
          <w:color w:val="000000" w:themeColor="text1"/>
        </w:rPr>
        <w:t xml:space="preserve"> in the summary judgment application</w:t>
      </w:r>
      <w:r w:rsidR="0051282D" w:rsidRPr="00EC2758">
        <w:rPr>
          <w:rFonts w:asciiTheme="majorHAnsi" w:hAnsiTheme="majorHAnsi" w:cstheme="majorHAnsi"/>
          <w:color w:val="000000" w:themeColor="text1"/>
        </w:rPr>
        <w:t>. H</w:t>
      </w:r>
      <w:r w:rsidR="0032565E" w:rsidRPr="00EC2758">
        <w:rPr>
          <w:rFonts w:asciiTheme="majorHAnsi" w:hAnsiTheme="majorHAnsi" w:cstheme="majorHAnsi"/>
          <w:color w:val="000000" w:themeColor="text1"/>
        </w:rPr>
        <w:t>e</w:t>
      </w:r>
      <w:r w:rsidR="0051282D" w:rsidRPr="00EC2758">
        <w:rPr>
          <w:rFonts w:asciiTheme="majorHAnsi" w:hAnsiTheme="majorHAnsi" w:cstheme="majorHAnsi"/>
          <w:color w:val="000000" w:themeColor="text1"/>
        </w:rPr>
        <w:t xml:space="preserve"> was ten </w:t>
      </w:r>
      <w:r w:rsidRPr="00EC2758">
        <w:rPr>
          <w:rFonts w:asciiTheme="majorHAnsi" w:hAnsiTheme="majorHAnsi" w:cstheme="majorHAnsi"/>
          <w:color w:val="000000" w:themeColor="text1"/>
        </w:rPr>
        <w:t xml:space="preserve">(10) days </w:t>
      </w:r>
      <w:r w:rsidR="0051282D" w:rsidRPr="00EC2758">
        <w:rPr>
          <w:rFonts w:asciiTheme="majorHAnsi" w:hAnsiTheme="majorHAnsi" w:cstheme="majorHAnsi"/>
          <w:color w:val="000000" w:themeColor="text1"/>
        </w:rPr>
        <w:t>out of time</w:t>
      </w:r>
      <w:r w:rsidRPr="00EC2758">
        <w:rPr>
          <w:rFonts w:asciiTheme="majorHAnsi" w:hAnsiTheme="majorHAnsi" w:cstheme="majorHAnsi"/>
          <w:color w:val="000000" w:themeColor="text1"/>
        </w:rPr>
        <w:t xml:space="preserve">.  </w:t>
      </w:r>
    </w:p>
    <w:p w14:paraId="378AD6F1" w14:textId="77777777" w:rsidR="00B22070" w:rsidRPr="00EC2758" w:rsidRDefault="00B22070" w:rsidP="00EC2758">
      <w:pPr>
        <w:spacing w:line="360" w:lineRule="auto"/>
        <w:ind w:left="709" w:hanging="709"/>
        <w:jc w:val="both"/>
        <w:rPr>
          <w:rFonts w:asciiTheme="majorHAnsi" w:hAnsiTheme="majorHAnsi" w:cstheme="majorHAnsi"/>
          <w:color w:val="000000" w:themeColor="text1"/>
        </w:rPr>
      </w:pPr>
    </w:p>
    <w:p w14:paraId="6464ACC5" w14:textId="3A00EC5A" w:rsidR="00B22070" w:rsidRPr="00EC2758" w:rsidRDefault="00B22070" w:rsidP="00C81343">
      <w:pPr>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w:t>
      </w:r>
      <w:r w:rsidR="00361602" w:rsidRPr="00EC2758">
        <w:rPr>
          <w:rFonts w:asciiTheme="majorHAnsi" w:hAnsiTheme="majorHAnsi" w:cstheme="majorHAnsi"/>
          <w:color w:val="000000" w:themeColor="text1"/>
        </w:rPr>
        <w:t>7</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r>
      <w:r w:rsidR="00042CAF" w:rsidRPr="00EC2758">
        <w:rPr>
          <w:rFonts w:asciiTheme="majorHAnsi" w:hAnsiTheme="majorHAnsi" w:cstheme="majorHAnsi"/>
          <w:color w:val="000000" w:themeColor="text1"/>
        </w:rPr>
        <w:t>When the matter came before me, t</w:t>
      </w:r>
      <w:r w:rsidR="00B02906" w:rsidRPr="00EC2758">
        <w:rPr>
          <w:rFonts w:asciiTheme="majorHAnsi" w:hAnsiTheme="majorHAnsi" w:cstheme="majorHAnsi"/>
          <w:color w:val="000000" w:themeColor="text1"/>
        </w:rPr>
        <w:t xml:space="preserve">he legal representatives of the parties agreed that the condonation application be heard simultaneously with the main </w:t>
      </w:r>
      <w:r w:rsidR="00B02906" w:rsidRPr="00EC2758">
        <w:rPr>
          <w:rFonts w:asciiTheme="majorHAnsi" w:hAnsiTheme="majorHAnsi" w:cstheme="majorHAnsi"/>
          <w:color w:val="000000" w:themeColor="text1"/>
        </w:rPr>
        <w:lastRenderedPageBreak/>
        <w:t>application.</w:t>
      </w:r>
      <w:r w:rsidR="00D94BF3" w:rsidRPr="00EC2758">
        <w:rPr>
          <w:rFonts w:asciiTheme="majorHAnsi" w:hAnsiTheme="majorHAnsi" w:cstheme="majorHAnsi"/>
          <w:color w:val="000000" w:themeColor="text1"/>
        </w:rPr>
        <w:t xml:space="preserve"> The requirements for condonation is trite and I will deal with them in due course.</w:t>
      </w:r>
    </w:p>
    <w:p w14:paraId="747473B6" w14:textId="537D201D" w:rsidR="004672DC" w:rsidRDefault="00D550FB" w:rsidP="00EC2758">
      <w:pPr>
        <w:pStyle w:val="western"/>
        <w:shd w:val="clear" w:color="auto" w:fill="FFFFFF"/>
        <w:spacing w:before="144" w:beforeAutospacing="0" w:after="0" w:afterAutospacing="0" w:line="360" w:lineRule="auto"/>
        <w:ind w:left="720" w:hanging="720"/>
        <w:jc w:val="both"/>
        <w:rPr>
          <w:rFonts w:asciiTheme="majorHAnsi" w:hAnsiTheme="majorHAnsi" w:cstheme="majorHAnsi"/>
          <w:color w:val="000000" w:themeColor="text1"/>
        </w:rPr>
      </w:pPr>
      <w:r w:rsidRPr="00EC2758">
        <w:rPr>
          <w:rFonts w:asciiTheme="majorHAnsi" w:hAnsiTheme="majorHAnsi" w:cstheme="majorHAnsi"/>
          <w:color w:val="000000" w:themeColor="text1"/>
        </w:rPr>
        <w:t>[</w:t>
      </w:r>
      <w:r w:rsidR="00361602" w:rsidRPr="00EC2758">
        <w:rPr>
          <w:rFonts w:asciiTheme="majorHAnsi" w:hAnsiTheme="majorHAnsi" w:cstheme="majorHAnsi"/>
          <w:color w:val="000000" w:themeColor="text1"/>
        </w:rPr>
        <w:t>8</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r>
      <w:r w:rsidR="004672DC" w:rsidRPr="00EC2758">
        <w:rPr>
          <w:rFonts w:asciiTheme="majorHAnsi" w:hAnsiTheme="majorHAnsi" w:cstheme="majorHAnsi"/>
          <w:color w:val="000000" w:themeColor="text1"/>
        </w:rPr>
        <w:t xml:space="preserve">The Defendant raised a plethora of defences in the form of Special Pleas/points in </w:t>
      </w:r>
      <w:r w:rsidR="004672DC" w:rsidRPr="00EC2758">
        <w:rPr>
          <w:rFonts w:asciiTheme="majorHAnsi" w:hAnsiTheme="majorHAnsi" w:cstheme="majorHAnsi"/>
          <w:i/>
          <w:iCs/>
          <w:color w:val="000000" w:themeColor="text1"/>
        </w:rPr>
        <w:t>limine</w:t>
      </w:r>
      <w:r w:rsidR="004672DC" w:rsidRPr="00EC2758">
        <w:rPr>
          <w:rFonts w:asciiTheme="majorHAnsi" w:hAnsiTheme="majorHAnsi" w:cstheme="majorHAnsi"/>
          <w:color w:val="000000" w:themeColor="text1"/>
        </w:rPr>
        <w:t xml:space="preserve"> and defences. I carefully considered each of the grounds of opposition in light of the facts, the arguments and the applicable principles of law in respect of Summary Judgment. </w:t>
      </w:r>
    </w:p>
    <w:p w14:paraId="0245CDBC" w14:textId="77777777" w:rsidR="007D248D" w:rsidRPr="00EC2758" w:rsidRDefault="007D248D" w:rsidP="00EC2758">
      <w:pPr>
        <w:pStyle w:val="western"/>
        <w:shd w:val="clear" w:color="auto" w:fill="FFFFFF"/>
        <w:spacing w:before="144" w:beforeAutospacing="0" w:after="0" w:afterAutospacing="0" w:line="360" w:lineRule="auto"/>
        <w:ind w:left="720" w:hanging="720"/>
        <w:jc w:val="both"/>
        <w:rPr>
          <w:rFonts w:asciiTheme="majorHAnsi" w:hAnsiTheme="majorHAnsi" w:cstheme="majorHAnsi"/>
          <w:color w:val="000000" w:themeColor="text1"/>
          <w:sz w:val="27"/>
          <w:szCs w:val="27"/>
        </w:rPr>
      </w:pPr>
    </w:p>
    <w:p w14:paraId="0A032E0C" w14:textId="01FB61ED" w:rsidR="00361602" w:rsidRPr="00EC2758" w:rsidRDefault="00361602" w:rsidP="00EC2758">
      <w:pPr>
        <w:tabs>
          <w:tab w:val="left" w:pos="709"/>
        </w:tabs>
        <w:spacing w:line="360" w:lineRule="auto"/>
        <w:ind w:left="1440" w:hanging="1440"/>
        <w:jc w:val="both"/>
        <w:rPr>
          <w:rFonts w:asciiTheme="majorHAnsi" w:hAnsiTheme="majorHAnsi" w:cstheme="majorHAnsi"/>
          <w:b/>
          <w:bCs/>
          <w:color w:val="000000" w:themeColor="text1"/>
          <w:shd w:val="clear" w:color="auto" w:fill="FFFFFF"/>
        </w:rPr>
      </w:pPr>
      <w:r w:rsidRPr="00EC2758">
        <w:rPr>
          <w:rFonts w:asciiTheme="majorHAnsi" w:hAnsiTheme="majorHAnsi" w:cstheme="majorHAnsi"/>
          <w:b/>
          <w:bCs/>
          <w:color w:val="000000" w:themeColor="text1"/>
          <w:shd w:val="clear" w:color="auto" w:fill="FFFFFF"/>
        </w:rPr>
        <w:tab/>
        <w:t xml:space="preserve">SPECIAL PLEA </w:t>
      </w:r>
      <w:r w:rsidR="009D252C" w:rsidRPr="00EC2758">
        <w:rPr>
          <w:rFonts w:asciiTheme="majorHAnsi" w:hAnsiTheme="majorHAnsi" w:cstheme="majorHAnsi"/>
          <w:b/>
          <w:bCs/>
          <w:color w:val="000000" w:themeColor="text1"/>
          <w:shd w:val="clear" w:color="auto" w:fill="FFFFFF"/>
        </w:rPr>
        <w:t xml:space="preserve">– AMENDMENT OF PAYMENT TERMS AND PAYMENT </w:t>
      </w:r>
    </w:p>
    <w:p w14:paraId="1753EF23" w14:textId="77777777" w:rsidR="009D252C" w:rsidRPr="00EC2758" w:rsidRDefault="009D252C" w:rsidP="00EC2758">
      <w:pPr>
        <w:tabs>
          <w:tab w:val="left" w:pos="709"/>
        </w:tabs>
        <w:spacing w:line="360" w:lineRule="auto"/>
        <w:ind w:left="1440" w:hanging="1440"/>
        <w:jc w:val="both"/>
        <w:rPr>
          <w:rFonts w:asciiTheme="majorHAnsi" w:hAnsiTheme="majorHAnsi" w:cstheme="majorHAnsi"/>
          <w:color w:val="000000" w:themeColor="text1"/>
          <w:shd w:val="clear" w:color="auto" w:fill="FFFFFF"/>
        </w:rPr>
      </w:pPr>
    </w:p>
    <w:p w14:paraId="011D466C" w14:textId="4E11848A" w:rsidR="00200E73" w:rsidRPr="00EC2758" w:rsidRDefault="00200E73" w:rsidP="00EC2758">
      <w:pPr>
        <w:tabs>
          <w:tab w:val="left" w:pos="709"/>
        </w:tabs>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w:t>
      </w:r>
      <w:r w:rsidR="00B05123" w:rsidRPr="00EC2758">
        <w:rPr>
          <w:rFonts w:asciiTheme="majorHAnsi" w:hAnsiTheme="majorHAnsi" w:cstheme="majorHAnsi"/>
          <w:color w:val="000000" w:themeColor="text1"/>
        </w:rPr>
        <w:t>9</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r>
      <w:r w:rsidR="00B02074" w:rsidRPr="00EC2758">
        <w:rPr>
          <w:rFonts w:asciiTheme="majorHAnsi" w:hAnsiTheme="majorHAnsi" w:cstheme="majorHAnsi"/>
          <w:color w:val="000000" w:themeColor="text1"/>
        </w:rPr>
        <w:t xml:space="preserve">The first </w:t>
      </w:r>
      <w:r w:rsidR="00AF0727" w:rsidRPr="00EC2758">
        <w:rPr>
          <w:rFonts w:asciiTheme="majorHAnsi" w:hAnsiTheme="majorHAnsi" w:cstheme="majorHAnsi"/>
          <w:color w:val="000000" w:themeColor="text1"/>
        </w:rPr>
        <w:t xml:space="preserve">is a special plea </w:t>
      </w:r>
      <w:r w:rsidR="00EF06B0">
        <w:rPr>
          <w:rFonts w:asciiTheme="majorHAnsi" w:hAnsiTheme="majorHAnsi" w:cstheme="majorHAnsi"/>
          <w:color w:val="000000" w:themeColor="text1"/>
        </w:rPr>
        <w:t xml:space="preserve">is </w:t>
      </w:r>
      <w:r w:rsidR="00AF0727" w:rsidRPr="00EC2758">
        <w:rPr>
          <w:rFonts w:asciiTheme="majorHAnsi" w:hAnsiTheme="majorHAnsi" w:cstheme="majorHAnsi"/>
          <w:color w:val="000000" w:themeColor="text1"/>
        </w:rPr>
        <w:t xml:space="preserve">that a written agreement was concluded via email between </w:t>
      </w:r>
      <w:r w:rsidR="00885493" w:rsidRPr="00EC2758">
        <w:rPr>
          <w:rFonts w:asciiTheme="majorHAnsi" w:hAnsiTheme="majorHAnsi" w:cstheme="majorHAnsi"/>
          <w:color w:val="000000" w:themeColor="text1"/>
        </w:rPr>
        <w:t>the parties on or about 11 October 2022</w:t>
      </w:r>
      <w:r w:rsidR="00296877" w:rsidRPr="00EC2758">
        <w:rPr>
          <w:rFonts w:asciiTheme="majorHAnsi" w:hAnsiTheme="majorHAnsi" w:cstheme="majorHAnsi"/>
          <w:color w:val="000000" w:themeColor="text1"/>
        </w:rPr>
        <w:t xml:space="preserve"> </w:t>
      </w:r>
      <w:r w:rsidR="00D550FB" w:rsidRPr="00EC2758">
        <w:rPr>
          <w:rFonts w:asciiTheme="majorHAnsi" w:hAnsiTheme="majorHAnsi" w:cstheme="majorHAnsi"/>
          <w:color w:val="000000" w:themeColor="text1"/>
        </w:rPr>
        <w:t xml:space="preserve">in terms of which the </w:t>
      </w:r>
      <w:r w:rsidR="009D252C" w:rsidRPr="00EC2758">
        <w:rPr>
          <w:rFonts w:asciiTheme="majorHAnsi" w:hAnsiTheme="majorHAnsi" w:cstheme="majorHAnsi"/>
          <w:color w:val="000000" w:themeColor="text1"/>
        </w:rPr>
        <w:t>Plaintiff</w:t>
      </w:r>
      <w:r w:rsidR="00D550FB" w:rsidRPr="00EC2758">
        <w:rPr>
          <w:rFonts w:asciiTheme="majorHAnsi" w:hAnsiTheme="majorHAnsi" w:cstheme="majorHAnsi"/>
          <w:color w:val="000000" w:themeColor="text1"/>
        </w:rPr>
        <w:t xml:space="preserve"> “</w:t>
      </w:r>
      <w:r w:rsidR="00D550FB" w:rsidRPr="00EC2758">
        <w:rPr>
          <w:rFonts w:asciiTheme="majorHAnsi" w:hAnsiTheme="majorHAnsi" w:cstheme="majorHAnsi"/>
          <w:i/>
          <w:color w:val="000000" w:themeColor="text1"/>
        </w:rPr>
        <w:t>undertook to hold all further litigation in abeyance</w:t>
      </w:r>
      <w:r w:rsidR="00D550FB" w:rsidRPr="00EC2758">
        <w:rPr>
          <w:rFonts w:asciiTheme="majorHAnsi" w:hAnsiTheme="majorHAnsi" w:cstheme="majorHAnsi"/>
          <w:color w:val="000000" w:themeColor="text1"/>
        </w:rPr>
        <w:t>”.</w:t>
      </w:r>
      <w:r w:rsidR="00D550FB" w:rsidRPr="00EC2758">
        <w:rPr>
          <w:rStyle w:val="FootnoteReference"/>
          <w:rFonts w:asciiTheme="majorHAnsi" w:hAnsiTheme="majorHAnsi" w:cstheme="majorHAnsi"/>
          <w:color w:val="000000" w:themeColor="text1"/>
        </w:rPr>
        <w:footnoteReference w:id="3"/>
      </w:r>
      <w:r w:rsidR="00AF0727" w:rsidRPr="00EC2758">
        <w:rPr>
          <w:rFonts w:asciiTheme="majorHAnsi" w:hAnsiTheme="majorHAnsi" w:cstheme="majorHAnsi"/>
          <w:color w:val="000000" w:themeColor="text1"/>
        </w:rPr>
        <w:t xml:space="preserve"> </w:t>
      </w:r>
      <w:r w:rsidR="009D252C" w:rsidRPr="00EC2758">
        <w:rPr>
          <w:rFonts w:asciiTheme="majorHAnsi" w:hAnsiTheme="majorHAnsi" w:cstheme="majorHAnsi"/>
          <w:color w:val="000000" w:themeColor="text1"/>
        </w:rPr>
        <w:t xml:space="preserve">The Defendant </w:t>
      </w:r>
      <w:r w:rsidR="00AF0727" w:rsidRPr="00EC2758">
        <w:rPr>
          <w:rFonts w:asciiTheme="majorHAnsi" w:hAnsiTheme="majorHAnsi" w:cstheme="majorHAnsi"/>
          <w:color w:val="000000" w:themeColor="text1"/>
        </w:rPr>
        <w:t xml:space="preserve">would </w:t>
      </w:r>
      <w:r w:rsidR="00D550FB" w:rsidRPr="00EC2758">
        <w:rPr>
          <w:rFonts w:asciiTheme="majorHAnsi" w:hAnsiTheme="majorHAnsi" w:cstheme="majorHAnsi"/>
          <w:color w:val="000000" w:themeColor="text1"/>
        </w:rPr>
        <w:t>pay R100 000.00 towards the arrears and thereafter instalments consisting of the instalment amount as well as an extra amount per month for a period of twelve (12) months in order to settle the full arrear amount.</w:t>
      </w:r>
      <w:r w:rsidR="00D550FB" w:rsidRPr="00EC2758">
        <w:rPr>
          <w:rStyle w:val="FootnoteReference"/>
          <w:rFonts w:asciiTheme="majorHAnsi" w:hAnsiTheme="majorHAnsi" w:cstheme="majorHAnsi"/>
          <w:color w:val="000000" w:themeColor="text1"/>
        </w:rPr>
        <w:footnoteReference w:id="4"/>
      </w:r>
      <w:r w:rsidR="00D550FB" w:rsidRPr="00EC2758">
        <w:rPr>
          <w:rFonts w:asciiTheme="majorHAnsi" w:hAnsiTheme="majorHAnsi" w:cstheme="majorHAnsi"/>
          <w:color w:val="000000" w:themeColor="text1"/>
        </w:rPr>
        <w:t xml:space="preserve">  </w:t>
      </w:r>
    </w:p>
    <w:p w14:paraId="7407715C" w14:textId="77777777" w:rsidR="00200E73" w:rsidRPr="00EC2758" w:rsidRDefault="00200E73" w:rsidP="00EC2758">
      <w:pPr>
        <w:tabs>
          <w:tab w:val="left" w:pos="709"/>
        </w:tabs>
        <w:spacing w:line="360" w:lineRule="auto"/>
        <w:ind w:left="709" w:hanging="709"/>
        <w:jc w:val="both"/>
        <w:rPr>
          <w:rFonts w:asciiTheme="majorHAnsi" w:hAnsiTheme="majorHAnsi" w:cstheme="majorHAnsi"/>
          <w:color w:val="000000" w:themeColor="text1"/>
        </w:rPr>
      </w:pPr>
    </w:p>
    <w:p w14:paraId="2994D40A" w14:textId="60AC7C65" w:rsidR="00844A8F" w:rsidRPr="00EC2758" w:rsidRDefault="00200E73" w:rsidP="00EC2758">
      <w:pPr>
        <w:tabs>
          <w:tab w:val="left" w:pos="709"/>
        </w:tabs>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w:t>
      </w:r>
      <w:r w:rsidR="00B05123" w:rsidRPr="00EC2758">
        <w:rPr>
          <w:rFonts w:asciiTheme="majorHAnsi" w:hAnsiTheme="majorHAnsi" w:cstheme="majorHAnsi"/>
          <w:color w:val="000000" w:themeColor="text1"/>
        </w:rPr>
        <w:t>10</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r>
      <w:r w:rsidR="002D487F" w:rsidRPr="00EC2758">
        <w:rPr>
          <w:rFonts w:asciiTheme="majorHAnsi" w:hAnsiTheme="majorHAnsi" w:cstheme="majorHAnsi"/>
          <w:color w:val="000000" w:themeColor="text1"/>
        </w:rPr>
        <w:t>The arrangement was confirmed in a</w:t>
      </w:r>
      <w:r w:rsidR="00844A8F" w:rsidRPr="00EC2758">
        <w:rPr>
          <w:rFonts w:asciiTheme="majorHAnsi" w:hAnsiTheme="majorHAnsi" w:cstheme="majorHAnsi"/>
          <w:color w:val="000000" w:themeColor="text1"/>
        </w:rPr>
        <w:t xml:space="preserve">n e-mail from </w:t>
      </w:r>
      <w:r w:rsidR="00EF06B0">
        <w:rPr>
          <w:rFonts w:asciiTheme="majorHAnsi" w:hAnsiTheme="majorHAnsi" w:cstheme="majorHAnsi"/>
          <w:color w:val="000000" w:themeColor="text1"/>
        </w:rPr>
        <w:t>the Plaintiff</w:t>
      </w:r>
      <w:r w:rsidR="00844A8F" w:rsidRPr="00EC2758">
        <w:rPr>
          <w:rFonts w:asciiTheme="majorHAnsi" w:hAnsiTheme="majorHAnsi" w:cstheme="majorHAnsi"/>
          <w:color w:val="000000" w:themeColor="text1"/>
        </w:rPr>
        <w:t xml:space="preserve"> on 11 October 2022</w:t>
      </w:r>
      <w:r w:rsidR="002D487F" w:rsidRPr="00EC2758">
        <w:rPr>
          <w:rFonts w:asciiTheme="majorHAnsi" w:hAnsiTheme="majorHAnsi" w:cstheme="majorHAnsi"/>
          <w:color w:val="000000" w:themeColor="text1"/>
        </w:rPr>
        <w:t xml:space="preserve">. It notes </w:t>
      </w:r>
      <w:r w:rsidR="00AD5EAC" w:rsidRPr="00EC2758">
        <w:rPr>
          <w:rFonts w:asciiTheme="majorHAnsi" w:hAnsiTheme="majorHAnsi" w:cstheme="majorHAnsi"/>
          <w:color w:val="000000" w:themeColor="text1"/>
        </w:rPr>
        <w:t xml:space="preserve">the </w:t>
      </w:r>
      <w:r w:rsidR="00844A8F" w:rsidRPr="00EC2758">
        <w:rPr>
          <w:rFonts w:asciiTheme="majorHAnsi" w:hAnsiTheme="majorHAnsi" w:cstheme="majorHAnsi"/>
          <w:color w:val="000000" w:themeColor="text1"/>
        </w:rPr>
        <w:t xml:space="preserve">proposal for payment of R100 000.00 </w:t>
      </w:r>
      <w:r w:rsidR="00213A12" w:rsidRPr="00EC2758">
        <w:rPr>
          <w:rFonts w:asciiTheme="majorHAnsi" w:hAnsiTheme="majorHAnsi" w:cstheme="majorHAnsi"/>
          <w:color w:val="000000" w:themeColor="text1"/>
        </w:rPr>
        <w:t xml:space="preserve">as </w:t>
      </w:r>
      <w:r w:rsidR="00844A8F" w:rsidRPr="00EC2758">
        <w:rPr>
          <w:rFonts w:asciiTheme="majorHAnsi" w:hAnsiTheme="majorHAnsi" w:cstheme="majorHAnsi"/>
          <w:color w:val="000000" w:themeColor="text1"/>
        </w:rPr>
        <w:t>lump sum on the balance of R2 026 796.79</w:t>
      </w:r>
      <w:r w:rsidR="00213A12" w:rsidRPr="00EC2758">
        <w:rPr>
          <w:rFonts w:asciiTheme="majorHAnsi" w:hAnsiTheme="majorHAnsi" w:cstheme="majorHAnsi"/>
          <w:color w:val="000000" w:themeColor="text1"/>
        </w:rPr>
        <w:t xml:space="preserve">. </w:t>
      </w:r>
      <w:r w:rsidR="00844A8F" w:rsidRPr="00EC2758">
        <w:rPr>
          <w:rFonts w:asciiTheme="majorHAnsi" w:hAnsiTheme="majorHAnsi" w:cstheme="majorHAnsi"/>
          <w:color w:val="000000" w:themeColor="text1"/>
        </w:rPr>
        <w:t>The arrears balance of R71 443.62 shall be paid over a twelve (12) month period in amounts of R5 953.63 plus an instalment of R20 405.40</w:t>
      </w:r>
      <w:r w:rsidR="00213A12" w:rsidRPr="00EC2758">
        <w:rPr>
          <w:rFonts w:asciiTheme="majorHAnsi" w:hAnsiTheme="majorHAnsi" w:cstheme="majorHAnsi"/>
          <w:color w:val="000000" w:themeColor="text1"/>
        </w:rPr>
        <w:t xml:space="preserve">. The </w:t>
      </w:r>
      <w:r w:rsidR="00844A8F" w:rsidRPr="00EC2758">
        <w:rPr>
          <w:rFonts w:asciiTheme="majorHAnsi" w:hAnsiTheme="majorHAnsi" w:cstheme="majorHAnsi"/>
          <w:color w:val="000000" w:themeColor="text1"/>
        </w:rPr>
        <w:t>total monthly payment over twelve (12) month</w:t>
      </w:r>
      <w:r w:rsidR="00F027CC" w:rsidRPr="00EC2758">
        <w:rPr>
          <w:rFonts w:asciiTheme="majorHAnsi" w:hAnsiTheme="majorHAnsi" w:cstheme="majorHAnsi"/>
          <w:color w:val="000000" w:themeColor="text1"/>
        </w:rPr>
        <w:t xml:space="preserve">s would be </w:t>
      </w:r>
      <w:r w:rsidR="00844A8F" w:rsidRPr="00EC2758">
        <w:rPr>
          <w:rFonts w:asciiTheme="majorHAnsi" w:hAnsiTheme="majorHAnsi" w:cstheme="majorHAnsi"/>
          <w:color w:val="000000" w:themeColor="text1"/>
        </w:rPr>
        <w:t>R26 359.03.</w:t>
      </w:r>
      <w:r w:rsidR="00844A8F" w:rsidRPr="00EC2758">
        <w:rPr>
          <w:rStyle w:val="FootnoteReference"/>
          <w:rFonts w:asciiTheme="majorHAnsi" w:hAnsiTheme="majorHAnsi" w:cstheme="majorHAnsi"/>
          <w:color w:val="000000" w:themeColor="text1"/>
        </w:rPr>
        <w:footnoteReference w:id="5"/>
      </w:r>
    </w:p>
    <w:p w14:paraId="58B16C4E" w14:textId="77777777" w:rsidR="00844A8F" w:rsidRPr="00EC2758" w:rsidRDefault="00844A8F" w:rsidP="00EC2758">
      <w:pPr>
        <w:tabs>
          <w:tab w:val="left" w:pos="709"/>
        </w:tabs>
        <w:spacing w:line="360" w:lineRule="auto"/>
        <w:ind w:left="709" w:hanging="709"/>
        <w:jc w:val="both"/>
        <w:rPr>
          <w:rFonts w:asciiTheme="majorHAnsi" w:hAnsiTheme="majorHAnsi" w:cstheme="majorHAnsi"/>
          <w:color w:val="000000" w:themeColor="text1"/>
        </w:rPr>
      </w:pPr>
    </w:p>
    <w:p w14:paraId="69E478EF" w14:textId="5DC8A3CE" w:rsidR="00AD5EAC" w:rsidRPr="00EC2758" w:rsidRDefault="007E50B6" w:rsidP="00EC2758">
      <w:pPr>
        <w:tabs>
          <w:tab w:val="left" w:pos="709"/>
        </w:tabs>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[11]</w:t>
      </w:r>
      <w:r w:rsidRPr="00EC2758">
        <w:rPr>
          <w:rFonts w:asciiTheme="majorHAnsi" w:hAnsiTheme="majorHAnsi" w:cstheme="majorHAnsi"/>
          <w:color w:val="000000" w:themeColor="text1"/>
        </w:rPr>
        <w:tab/>
      </w:r>
      <w:r w:rsidR="00B05123" w:rsidRPr="00EC2758">
        <w:rPr>
          <w:rFonts w:asciiTheme="majorHAnsi" w:hAnsiTheme="majorHAnsi" w:cstheme="majorHAnsi"/>
          <w:color w:val="000000" w:themeColor="text1"/>
        </w:rPr>
        <w:t xml:space="preserve">The Defendant </w:t>
      </w:r>
      <w:r w:rsidR="00D550FB" w:rsidRPr="00EC2758">
        <w:rPr>
          <w:rFonts w:asciiTheme="majorHAnsi" w:hAnsiTheme="majorHAnsi" w:cstheme="majorHAnsi"/>
          <w:color w:val="000000" w:themeColor="text1"/>
        </w:rPr>
        <w:t>pa</w:t>
      </w:r>
      <w:r w:rsidR="00F027CC" w:rsidRPr="00EC2758">
        <w:rPr>
          <w:rFonts w:asciiTheme="majorHAnsi" w:hAnsiTheme="majorHAnsi" w:cstheme="majorHAnsi"/>
          <w:color w:val="000000" w:themeColor="text1"/>
        </w:rPr>
        <w:t>id</w:t>
      </w:r>
      <w:r w:rsidR="00D550FB" w:rsidRPr="00EC2758">
        <w:rPr>
          <w:rFonts w:asciiTheme="majorHAnsi" w:hAnsiTheme="majorHAnsi" w:cstheme="majorHAnsi"/>
          <w:color w:val="000000" w:themeColor="text1"/>
        </w:rPr>
        <w:t xml:space="preserve"> R100 000.00 on 11 October 2022 and thereafter R27 000.00 on 11 November 2022, R20 405.40 on 29 December 2022, R6 000.00 on 9 January 2023 and R26 000.00 on 7 F</w:t>
      </w:r>
      <w:r w:rsidR="00B16688" w:rsidRPr="00EC2758">
        <w:rPr>
          <w:rFonts w:asciiTheme="majorHAnsi" w:hAnsiTheme="majorHAnsi" w:cstheme="majorHAnsi"/>
          <w:color w:val="000000" w:themeColor="text1"/>
        </w:rPr>
        <w:t>ebruary 2023</w:t>
      </w:r>
      <w:r w:rsidR="00AD5EAC" w:rsidRPr="00EC2758">
        <w:rPr>
          <w:rFonts w:asciiTheme="majorHAnsi" w:hAnsiTheme="majorHAnsi" w:cstheme="majorHAnsi"/>
          <w:color w:val="000000" w:themeColor="text1"/>
        </w:rPr>
        <w:t>.</w:t>
      </w:r>
      <w:r w:rsidR="00B16688" w:rsidRPr="00EC2758">
        <w:rPr>
          <w:rStyle w:val="FootnoteReference"/>
          <w:rFonts w:asciiTheme="majorHAnsi" w:hAnsiTheme="majorHAnsi" w:cstheme="majorHAnsi"/>
          <w:color w:val="000000" w:themeColor="text1"/>
        </w:rPr>
        <w:footnoteReference w:id="6"/>
      </w:r>
      <w:r w:rsidR="00B16688" w:rsidRPr="00EC2758">
        <w:rPr>
          <w:rFonts w:asciiTheme="majorHAnsi" w:hAnsiTheme="majorHAnsi" w:cstheme="majorHAnsi"/>
          <w:color w:val="000000" w:themeColor="text1"/>
        </w:rPr>
        <w:tab/>
      </w:r>
    </w:p>
    <w:p w14:paraId="0F51F6B1" w14:textId="4FC31092" w:rsidR="00AD5EAC" w:rsidRPr="00EC2758" w:rsidRDefault="00AD5EAC" w:rsidP="00EC2758">
      <w:pPr>
        <w:tabs>
          <w:tab w:val="left" w:pos="709"/>
        </w:tabs>
        <w:spacing w:line="360" w:lineRule="auto"/>
        <w:ind w:left="709" w:hanging="709"/>
        <w:jc w:val="both"/>
        <w:rPr>
          <w:rFonts w:asciiTheme="majorHAnsi" w:hAnsiTheme="majorHAnsi" w:cstheme="majorHAnsi"/>
          <w:color w:val="000000" w:themeColor="text1"/>
        </w:rPr>
      </w:pPr>
    </w:p>
    <w:p w14:paraId="38AE4476" w14:textId="5C7DACF8" w:rsidR="00B16688" w:rsidRPr="00EC2758" w:rsidRDefault="00200E73" w:rsidP="001A7DA6">
      <w:pPr>
        <w:tabs>
          <w:tab w:val="left" w:pos="709"/>
        </w:tabs>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lastRenderedPageBreak/>
        <w:t>[12]</w:t>
      </w:r>
      <w:r w:rsidRPr="00EC2758">
        <w:rPr>
          <w:rFonts w:asciiTheme="majorHAnsi" w:hAnsiTheme="majorHAnsi" w:cstheme="majorHAnsi"/>
          <w:color w:val="000000" w:themeColor="text1"/>
        </w:rPr>
        <w:tab/>
      </w:r>
      <w:r w:rsidR="00B16688" w:rsidRPr="00EC2758">
        <w:rPr>
          <w:rFonts w:asciiTheme="majorHAnsi" w:hAnsiTheme="majorHAnsi" w:cstheme="majorHAnsi"/>
          <w:color w:val="000000" w:themeColor="text1"/>
        </w:rPr>
        <w:t>On 4 November 2022, the Defendant’s attorneys stated:</w:t>
      </w:r>
    </w:p>
    <w:p w14:paraId="7BEC95D9" w14:textId="77777777" w:rsidR="00B05123" w:rsidRPr="00EC2758" w:rsidRDefault="00B16688" w:rsidP="00EC2758">
      <w:pPr>
        <w:spacing w:line="360" w:lineRule="auto"/>
        <w:ind w:left="1418" w:hanging="1134"/>
        <w:jc w:val="both"/>
        <w:rPr>
          <w:rFonts w:asciiTheme="majorHAnsi" w:hAnsiTheme="majorHAnsi" w:cstheme="majorHAnsi"/>
          <w:color w:val="000000" w:themeColor="text1"/>
          <w:sz w:val="20"/>
          <w:szCs w:val="20"/>
        </w:rPr>
      </w:pPr>
      <w:r w:rsidRPr="00EC2758">
        <w:rPr>
          <w:rFonts w:asciiTheme="majorHAnsi" w:hAnsiTheme="majorHAnsi" w:cstheme="majorHAnsi"/>
          <w:color w:val="000000" w:themeColor="text1"/>
          <w:sz w:val="20"/>
          <w:szCs w:val="20"/>
        </w:rPr>
        <w:tab/>
        <w:t>“</w:t>
      </w:r>
      <w:r w:rsidRPr="00EC2758">
        <w:rPr>
          <w:rFonts w:asciiTheme="majorHAnsi" w:hAnsiTheme="majorHAnsi" w:cstheme="majorHAnsi"/>
          <w:i/>
          <w:color w:val="000000" w:themeColor="text1"/>
          <w:sz w:val="20"/>
          <w:szCs w:val="20"/>
        </w:rPr>
        <w:t xml:space="preserve">Our instructions are, that following </w:t>
      </w:r>
      <w:r w:rsidR="002075E0" w:rsidRPr="00EC2758">
        <w:rPr>
          <w:rFonts w:asciiTheme="majorHAnsi" w:hAnsiTheme="majorHAnsi" w:cstheme="majorHAnsi"/>
          <w:i/>
          <w:color w:val="000000" w:themeColor="text1"/>
          <w:sz w:val="20"/>
          <w:szCs w:val="20"/>
        </w:rPr>
        <w:t xml:space="preserve">the communication between our client and your client, represented by Sherika Kanhai, there was an agreement that the above </w:t>
      </w:r>
      <w:r w:rsidR="002075E0" w:rsidRPr="00EC2758">
        <w:rPr>
          <w:rFonts w:asciiTheme="majorHAnsi" w:hAnsiTheme="majorHAnsi" w:cstheme="majorHAnsi"/>
          <w:i/>
          <w:color w:val="000000" w:themeColor="text1"/>
          <w:sz w:val="20"/>
          <w:szCs w:val="20"/>
          <w:u w:val="single"/>
        </w:rPr>
        <w:t>action will be suspended</w:t>
      </w:r>
      <w:r w:rsidR="002075E0" w:rsidRPr="00EC2758">
        <w:rPr>
          <w:rFonts w:asciiTheme="majorHAnsi" w:hAnsiTheme="majorHAnsi" w:cstheme="majorHAnsi"/>
          <w:i/>
          <w:color w:val="000000" w:themeColor="text1"/>
          <w:sz w:val="20"/>
          <w:szCs w:val="20"/>
        </w:rPr>
        <w:t xml:space="preserve"> upon our client’s payment of the amount of R100 000.00 and the balance of R51 905.58 to be paid over a period of twelve (12) months from date of payment of the R100 000.00.  On the 11</w:t>
      </w:r>
      <w:r w:rsidR="002075E0" w:rsidRPr="00EC2758">
        <w:rPr>
          <w:rFonts w:asciiTheme="majorHAnsi" w:hAnsiTheme="majorHAnsi" w:cstheme="majorHAnsi"/>
          <w:i/>
          <w:color w:val="000000" w:themeColor="text1"/>
          <w:sz w:val="20"/>
          <w:szCs w:val="20"/>
          <w:vertAlign w:val="superscript"/>
        </w:rPr>
        <w:t>th</w:t>
      </w:r>
      <w:r w:rsidR="002075E0" w:rsidRPr="00EC2758">
        <w:rPr>
          <w:rFonts w:asciiTheme="majorHAnsi" w:hAnsiTheme="majorHAnsi" w:cstheme="majorHAnsi"/>
          <w:i/>
          <w:color w:val="000000" w:themeColor="text1"/>
          <w:sz w:val="20"/>
          <w:szCs w:val="20"/>
        </w:rPr>
        <w:t xml:space="preserve"> October 2022 our client paid an amount of R100 000.00 and your client sent him an e-mail confirming the </w:t>
      </w:r>
      <w:r w:rsidR="002075E0" w:rsidRPr="00EC2758">
        <w:rPr>
          <w:rFonts w:asciiTheme="majorHAnsi" w:hAnsiTheme="majorHAnsi" w:cstheme="majorHAnsi"/>
          <w:i/>
          <w:color w:val="000000" w:themeColor="text1"/>
          <w:sz w:val="20"/>
          <w:szCs w:val="20"/>
          <w:u w:val="single"/>
        </w:rPr>
        <w:t>suspension of the action</w:t>
      </w:r>
      <w:r w:rsidR="002075E0" w:rsidRPr="00EC2758">
        <w:rPr>
          <w:rFonts w:asciiTheme="majorHAnsi" w:hAnsiTheme="majorHAnsi" w:cstheme="majorHAnsi"/>
          <w:i/>
          <w:color w:val="000000" w:themeColor="text1"/>
          <w:sz w:val="20"/>
          <w:szCs w:val="20"/>
        </w:rPr>
        <w:t>.</w:t>
      </w:r>
    </w:p>
    <w:p w14:paraId="5D7F1FF2" w14:textId="77777777" w:rsidR="00B05123" w:rsidRPr="00EC2758" w:rsidRDefault="00B05123" w:rsidP="00EC2758">
      <w:pPr>
        <w:spacing w:line="360" w:lineRule="auto"/>
        <w:ind w:left="1418" w:hanging="1134"/>
        <w:jc w:val="both"/>
        <w:rPr>
          <w:rFonts w:asciiTheme="majorHAnsi" w:hAnsiTheme="majorHAnsi" w:cstheme="majorHAnsi"/>
          <w:color w:val="000000" w:themeColor="text1"/>
          <w:sz w:val="20"/>
          <w:szCs w:val="20"/>
        </w:rPr>
      </w:pPr>
    </w:p>
    <w:p w14:paraId="1DED3AE9" w14:textId="70F96279" w:rsidR="002075E0" w:rsidRPr="00EC2758" w:rsidRDefault="00B05123" w:rsidP="00EC2758">
      <w:pPr>
        <w:spacing w:line="360" w:lineRule="auto"/>
        <w:ind w:left="1418" w:hanging="1134"/>
        <w:jc w:val="both"/>
        <w:rPr>
          <w:rFonts w:asciiTheme="majorHAnsi" w:hAnsiTheme="majorHAnsi" w:cstheme="majorHAnsi"/>
          <w:color w:val="000000" w:themeColor="text1"/>
          <w:sz w:val="20"/>
          <w:szCs w:val="20"/>
        </w:rPr>
      </w:pPr>
      <w:r w:rsidRPr="00EC2758">
        <w:rPr>
          <w:rFonts w:asciiTheme="majorHAnsi" w:hAnsiTheme="majorHAnsi" w:cstheme="majorHAnsi"/>
          <w:color w:val="000000" w:themeColor="text1"/>
          <w:sz w:val="20"/>
          <w:szCs w:val="20"/>
        </w:rPr>
        <w:tab/>
      </w:r>
      <w:r w:rsidR="002075E0" w:rsidRPr="00EC2758">
        <w:rPr>
          <w:rFonts w:asciiTheme="majorHAnsi" w:hAnsiTheme="majorHAnsi" w:cstheme="majorHAnsi"/>
          <w:i/>
          <w:color w:val="000000" w:themeColor="text1"/>
          <w:sz w:val="20"/>
          <w:szCs w:val="20"/>
        </w:rPr>
        <w:t xml:space="preserve">Our client informs us, however, that despite the </w:t>
      </w:r>
      <w:r w:rsidR="002075E0" w:rsidRPr="00EC2758">
        <w:rPr>
          <w:rFonts w:asciiTheme="majorHAnsi" w:hAnsiTheme="majorHAnsi" w:cstheme="majorHAnsi"/>
          <w:i/>
          <w:color w:val="000000" w:themeColor="text1"/>
          <w:sz w:val="20"/>
          <w:szCs w:val="20"/>
          <w:u w:val="single"/>
        </w:rPr>
        <w:t>suspension of the action</w:t>
      </w:r>
      <w:r w:rsidR="002075E0" w:rsidRPr="00EC2758">
        <w:rPr>
          <w:rFonts w:asciiTheme="majorHAnsi" w:hAnsiTheme="majorHAnsi" w:cstheme="majorHAnsi"/>
          <w:i/>
          <w:color w:val="000000" w:themeColor="text1"/>
          <w:sz w:val="20"/>
          <w:szCs w:val="20"/>
        </w:rPr>
        <w:t>, you proceeded with the action by delivering amended particulars of claim on the 2</w:t>
      </w:r>
      <w:r w:rsidR="002075E0" w:rsidRPr="00EC2758">
        <w:rPr>
          <w:rFonts w:asciiTheme="majorHAnsi" w:hAnsiTheme="majorHAnsi" w:cstheme="majorHAnsi"/>
          <w:i/>
          <w:color w:val="000000" w:themeColor="text1"/>
          <w:sz w:val="20"/>
          <w:szCs w:val="20"/>
          <w:vertAlign w:val="superscript"/>
        </w:rPr>
        <w:t>nd</w:t>
      </w:r>
      <w:r w:rsidR="002075E0" w:rsidRPr="00EC2758">
        <w:rPr>
          <w:rFonts w:asciiTheme="majorHAnsi" w:hAnsiTheme="majorHAnsi" w:cstheme="majorHAnsi"/>
          <w:i/>
          <w:color w:val="000000" w:themeColor="text1"/>
          <w:sz w:val="20"/>
          <w:szCs w:val="20"/>
        </w:rPr>
        <w:t xml:space="preserve"> November 2022, contrary to the agreement concluded between our client and your client.</w:t>
      </w:r>
      <w:r w:rsidR="002075E0" w:rsidRPr="00EC2758">
        <w:rPr>
          <w:rFonts w:asciiTheme="majorHAnsi" w:hAnsiTheme="majorHAnsi" w:cstheme="majorHAnsi"/>
          <w:color w:val="000000" w:themeColor="text1"/>
          <w:sz w:val="20"/>
          <w:szCs w:val="20"/>
        </w:rPr>
        <w:t>”</w:t>
      </w:r>
      <w:r w:rsidR="002075E0" w:rsidRPr="00EC2758">
        <w:rPr>
          <w:rStyle w:val="FootnoteReference"/>
          <w:rFonts w:asciiTheme="majorHAnsi" w:hAnsiTheme="majorHAnsi" w:cstheme="majorHAnsi"/>
          <w:color w:val="000000" w:themeColor="text1"/>
          <w:sz w:val="20"/>
          <w:szCs w:val="20"/>
        </w:rPr>
        <w:footnoteReference w:id="7"/>
      </w:r>
      <w:r w:rsidR="00A63BDD" w:rsidRPr="00EC2758">
        <w:rPr>
          <w:rFonts w:asciiTheme="majorHAnsi" w:hAnsiTheme="majorHAnsi" w:cstheme="majorHAnsi"/>
          <w:color w:val="000000" w:themeColor="text1"/>
          <w:sz w:val="20"/>
          <w:szCs w:val="20"/>
        </w:rPr>
        <w:t xml:space="preserve"> [my emphasis]</w:t>
      </w:r>
    </w:p>
    <w:p w14:paraId="30F9BA03" w14:textId="43884E16" w:rsidR="00D550FB" w:rsidRPr="00EC2758" w:rsidRDefault="00D550FB" w:rsidP="00EC2758">
      <w:pPr>
        <w:tabs>
          <w:tab w:val="left" w:pos="709"/>
        </w:tabs>
        <w:spacing w:line="360" w:lineRule="auto"/>
        <w:ind w:left="709" w:hanging="709"/>
        <w:jc w:val="both"/>
        <w:rPr>
          <w:rFonts w:asciiTheme="majorHAnsi" w:hAnsiTheme="majorHAnsi" w:cstheme="majorHAnsi"/>
          <w:color w:val="000000" w:themeColor="text1"/>
          <w:sz w:val="20"/>
          <w:szCs w:val="20"/>
        </w:rPr>
      </w:pPr>
    </w:p>
    <w:p w14:paraId="7761D5DC" w14:textId="5650090D" w:rsidR="00D550FB" w:rsidRPr="00EC2758" w:rsidRDefault="00D550FB" w:rsidP="00EC2758">
      <w:pPr>
        <w:tabs>
          <w:tab w:val="left" w:pos="709"/>
        </w:tabs>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[1</w:t>
      </w:r>
      <w:r w:rsidR="009F79A1" w:rsidRPr="00EC2758">
        <w:rPr>
          <w:rFonts w:asciiTheme="majorHAnsi" w:hAnsiTheme="majorHAnsi" w:cstheme="majorHAnsi"/>
          <w:color w:val="000000" w:themeColor="text1"/>
        </w:rPr>
        <w:t>3</w:t>
      </w:r>
      <w:r w:rsidRPr="00EC2758">
        <w:rPr>
          <w:rFonts w:asciiTheme="majorHAnsi" w:hAnsiTheme="majorHAnsi" w:cstheme="majorHAnsi"/>
          <w:color w:val="000000" w:themeColor="text1"/>
        </w:rPr>
        <w:t>]</w:t>
      </w:r>
      <w:r w:rsidR="002075E0" w:rsidRPr="00EC2758">
        <w:rPr>
          <w:rFonts w:asciiTheme="majorHAnsi" w:hAnsiTheme="majorHAnsi" w:cstheme="majorHAnsi"/>
          <w:color w:val="000000" w:themeColor="text1"/>
        </w:rPr>
        <w:tab/>
        <w:t xml:space="preserve">In an e-mail from </w:t>
      </w:r>
      <w:r w:rsidR="00B05123" w:rsidRPr="00EC2758">
        <w:rPr>
          <w:rFonts w:asciiTheme="majorHAnsi" w:hAnsiTheme="majorHAnsi" w:cstheme="majorHAnsi"/>
          <w:color w:val="000000" w:themeColor="text1"/>
        </w:rPr>
        <w:t xml:space="preserve">the Plaintiff </w:t>
      </w:r>
      <w:r w:rsidR="002075E0" w:rsidRPr="00EC2758">
        <w:rPr>
          <w:rFonts w:asciiTheme="majorHAnsi" w:hAnsiTheme="majorHAnsi" w:cstheme="majorHAnsi"/>
          <w:color w:val="000000" w:themeColor="text1"/>
        </w:rPr>
        <w:t xml:space="preserve">to the Defendant on 4 November 2022, </w:t>
      </w:r>
      <w:r w:rsidR="00B05123" w:rsidRPr="00EC2758">
        <w:rPr>
          <w:rFonts w:asciiTheme="majorHAnsi" w:hAnsiTheme="majorHAnsi" w:cstheme="majorHAnsi"/>
          <w:color w:val="000000" w:themeColor="text1"/>
        </w:rPr>
        <w:t>the Plaintiff</w:t>
      </w:r>
      <w:r w:rsidR="002075E0" w:rsidRPr="00EC2758">
        <w:rPr>
          <w:rFonts w:asciiTheme="majorHAnsi" w:hAnsiTheme="majorHAnsi" w:cstheme="majorHAnsi"/>
          <w:color w:val="000000" w:themeColor="text1"/>
        </w:rPr>
        <w:t xml:space="preserve"> referred to the Defendant’s attorney’s letter of 4 November 2022 and stated:</w:t>
      </w:r>
    </w:p>
    <w:p w14:paraId="7F5651C7" w14:textId="77777777" w:rsidR="002075E0" w:rsidRPr="00EC2758" w:rsidRDefault="002075E0" w:rsidP="00EC2758">
      <w:pPr>
        <w:tabs>
          <w:tab w:val="left" w:pos="709"/>
        </w:tabs>
        <w:spacing w:line="360" w:lineRule="auto"/>
        <w:ind w:left="709" w:hanging="709"/>
        <w:jc w:val="both"/>
        <w:rPr>
          <w:rFonts w:asciiTheme="majorHAnsi" w:hAnsiTheme="majorHAnsi" w:cstheme="majorHAnsi"/>
          <w:color w:val="000000" w:themeColor="text1"/>
        </w:rPr>
      </w:pPr>
    </w:p>
    <w:p w14:paraId="2D8C3F0C" w14:textId="77777777" w:rsidR="002075E0" w:rsidRPr="00EC2758" w:rsidRDefault="002075E0" w:rsidP="00EC2758">
      <w:pPr>
        <w:tabs>
          <w:tab w:val="left" w:pos="1134"/>
        </w:tabs>
        <w:spacing w:line="360" w:lineRule="auto"/>
        <w:ind w:left="1134" w:hanging="1134"/>
        <w:jc w:val="both"/>
        <w:rPr>
          <w:rFonts w:asciiTheme="majorHAnsi" w:hAnsiTheme="majorHAnsi" w:cstheme="majorHAnsi"/>
          <w:i/>
          <w:color w:val="000000" w:themeColor="text1"/>
          <w:sz w:val="20"/>
          <w:szCs w:val="20"/>
        </w:rPr>
      </w:pPr>
      <w:r w:rsidRPr="00EC2758">
        <w:rPr>
          <w:rFonts w:asciiTheme="majorHAnsi" w:hAnsiTheme="majorHAnsi" w:cstheme="majorHAnsi"/>
          <w:color w:val="000000" w:themeColor="text1"/>
          <w:sz w:val="20"/>
          <w:szCs w:val="20"/>
        </w:rPr>
        <w:tab/>
        <w:t>“</w:t>
      </w:r>
      <w:r w:rsidRPr="00EC2758">
        <w:rPr>
          <w:rFonts w:asciiTheme="majorHAnsi" w:hAnsiTheme="majorHAnsi" w:cstheme="majorHAnsi"/>
          <w:i/>
          <w:color w:val="000000" w:themeColor="text1"/>
          <w:sz w:val="20"/>
          <w:szCs w:val="20"/>
        </w:rPr>
        <w:t xml:space="preserve">It was our instruction from our client to </w:t>
      </w:r>
      <w:r w:rsidRPr="00EC2758">
        <w:rPr>
          <w:rFonts w:asciiTheme="majorHAnsi" w:hAnsiTheme="majorHAnsi" w:cstheme="majorHAnsi"/>
          <w:i/>
          <w:color w:val="000000" w:themeColor="text1"/>
          <w:sz w:val="20"/>
          <w:szCs w:val="20"/>
          <w:u w:val="single"/>
        </w:rPr>
        <w:t>pend legal action</w:t>
      </w:r>
      <w:r w:rsidRPr="00EC2758">
        <w:rPr>
          <w:rFonts w:asciiTheme="majorHAnsi" w:hAnsiTheme="majorHAnsi" w:cstheme="majorHAnsi"/>
          <w:i/>
          <w:color w:val="000000" w:themeColor="text1"/>
          <w:sz w:val="20"/>
          <w:szCs w:val="20"/>
        </w:rPr>
        <w:t xml:space="preserve">, but to first complete the amendment of the particulars of claim. </w:t>
      </w:r>
    </w:p>
    <w:p w14:paraId="785B7DA8" w14:textId="77777777" w:rsidR="002075E0" w:rsidRPr="00EC2758" w:rsidRDefault="002075E0" w:rsidP="00EC2758">
      <w:pPr>
        <w:tabs>
          <w:tab w:val="left" w:pos="1134"/>
        </w:tabs>
        <w:spacing w:line="360" w:lineRule="auto"/>
        <w:ind w:left="1134" w:hanging="1134"/>
        <w:jc w:val="both"/>
        <w:rPr>
          <w:rFonts w:asciiTheme="majorHAnsi" w:hAnsiTheme="majorHAnsi" w:cstheme="majorHAnsi"/>
          <w:i/>
          <w:color w:val="000000" w:themeColor="text1"/>
          <w:sz w:val="20"/>
          <w:szCs w:val="20"/>
        </w:rPr>
      </w:pPr>
    </w:p>
    <w:p w14:paraId="68F08F1D" w14:textId="1C216B0B" w:rsidR="002075E0" w:rsidRPr="00EC2758" w:rsidRDefault="002075E0" w:rsidP="00EC2758">
      <w:pPr>
        <w:tabs>
          <w:tab w:val="left" w:pos="1134"/>
        </w:tabs>
        <w:spacing w:line="360" w:lineRule="auto"/>
        <w:ind w:left="1134" w:hanging="1134"/>
        <w:jc w:val="both"/>
        <w:rPr>
          <w:rFonts w:asciiTheme="majorHAnsi" w:hAnsiTheme="majorHAnsi" w:cstheme="majorHAnsi"/>
          <w:color w:val="000000" w:themeColor="text1"/>
          <w:sz w:val="20"/>
          <w:szCs w:val="20"/>
        </w:rPr>
      </w:pPr>
      <w:r w:rsidRPr="00EC2758">
        <w:rPr>
          <w:rFonts w:asciiTheme="majorHAnsi" w:hAnsiTheme="majorHAnsi" w:cstheme="majorHAnsi"/>
          <w:i/>
          <w:color w:val="000000" w:themeColor="text1"/>
          <w:sz w:val="20"/>
          <w:szCs w:val="20"/>
        </w:rPr>
        <w:tab/>
        <w:t xml:space="preserve">Legal action is not proceeding </w:t>
      </w:r>
      <w:r w:rsidRPr="00EC2758">
        <w:rPr>
          <w:rFonts w:asciiTheme="majorHAnsi" w:hAnsiTheme="majorHAnsi" w:cstheme="majorHAnsi"/>
          <w:i/>
          <w:color w:val="000000" w:themeColor="text1"/>
          <w:sz w:val="20"/>
          <w:szCs w:val="20"/>
          <w:u w:val="single"/>
        </w:rPr>
        <w:t>at this stage</w:t>
      </w:r>
      <w:r w:rsidRPr="00EC2758">
        <w:rPr>
          <w:rFonts w:asciiTheme="majorHAnsi" w:hAnsiTheme="majorHAnsi" w:cstheme="majorHAnsi"/>
          <w:i/>
          <w:color w:val="000000" w:themeColor="text1"/>
          <w:sz w:val="20"/>
          <w:szCs w:val="20"/>
        </w:rPr>
        <w:t>.</w:t>
      </w:r>
      <w:r w:rsidRPr="00EC2758">
        <w:rPr>
          <w:rFonts w:asciiTheme="majorHAnsi" w:hAnsiTheme="majorHAnsi" w:cstheme="majorHAnsi"/>
          <w:color w:val="000000" w:themeColor="text1"/>
          <w:sz w:val="20"/>
          <w:szCs w:val="20"/>
        </w:rPr>
        <w:t>”</w:t>
      </w:r>
      <w:r w:rsidRPr="00EC2758">
        <w:rPr>
          <w:rStyle w:val="FootnoteReference"/>
          <w:rFonts w:asciiTheme="majorHAnsi" w:hAnsiTheme="majorHAnsi" w:cstheme="majorHAnsi"/>
          <w:color w:val="000000" w:themeColor="text1"/>
          <w:sz w:val="20"/>
          <w:szCs w:val="20"/>
        </w:rPr>
        <w:footnoteReference w:id="8"/>
      </w:r>
      <w:r w:rsidR="00EA5EF5" w:rsidRPr="00EC2758">
        <w:rPr>
          <w:rFonts w:asciiTheme="majorHAnsi" w:hAnsiTheme="majorHAnsi" w:cstheme="majorHAnsi"/>
          <w:color w:val="000000" w:themeColor="text1"/>
          <w:sz w:val="20"/>
          <w:szCs w:val="20"/>
        </w:rPr>
        <w:t xml:space="preserve"> [my emphasis]</w:t>
      </w:r>
    </w:p>
    <w:p w14:paraId="66707D3A" w14:textId="77777777" w:rsidR="00B503A3" w:rsidRDefault="00B503A3" w:rsidP="00EC2758">
      <w:pPr>
        <w:tabs>
          <w:tab w:val="left" w:pos="709"/>
        </w:tabs>
        <w:spacing w:line="360" w:lineRule="auto"/>
        <w:ind w:left="709" w:hanging="709"/>
        <w:jc w:val="both"/>
        <w:rPr>
          <w:rFonts w:asciiTheme="majorHAnsi" w:hAnsiTheme="majorHAnsi" w:cstheme="majorHAnsi"/>
          <w:color w:val="000000" w:themeColor="text1"/>
        </w:rPr>
      </w:pPr>
    </w:p>
    <w:p w14:paraId="426147A9" w14:textId="70DCB712" w:rsidR="00D550FB" w:rsidRPr="00EC2758" w:rsidRDefault="00D550FB" w:rsidP="00EC2758">
      <w:pPr>
        <w:tabs>
          <w:tab w:val="left" w:pos="709"/>
        </w:tabs>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w:t>
      </w:r>
      <w:r w:rsidR="0054488C" w:rsidRPr="00EC2758">
        <w:rPr>
          <w:rFonts w:asciiTheme="majorHAnsi" w:hAnsiTheme="majorHAnsi" w:cstheme="majorHAnsi"/>
          <w:color w:val="000000" w:themeColor="text1"/>
        </w:rPr>
        <w:t>14</w:t>
      </w:r>
      <w:r w:rsidRPr="00EC2758">
        <w:rPr>
          <w:rFonts w:asciiTheme="majorHAnsi" w:hAnsiTheme="majorHAnsi" w:cstheme="majorHAnsi"/>
          <w:color w:val="000000" w:themeColor="text1"/>
        </w:rPr>
        <w:t>]</w:t>
      </w:r>
      <w:r w:rsidR="002075E0" w:rsidRPr="00EC2758">
        <w:rPr>
          <w:rFonts w:asciiTheme="majorHAnsi" w:hAnsiTheme="majorHAnsi" w:cstheme="majorHAnsi"/>
          <w:color w:val="000000" w:themeColor="text1"/>
        </w:rPr>
        <w:tab/>
      </w:r>
      <w:r w:rsidR="00B503A3" w:rsidRPr="00EC2758">
        <w:rPr>
          <w:rFonts w:asciiTheme="majorHAnsi" w:hAnsiTheme="majorHAnsi" w:cstheme="majorHAnsi"/>
          <w:color w:val="000000" w:themeColor="text1"/>
        </w:rPr>
        <w:t>On 27 March 2023, the Defendant stated that the e-mail of 11 October 2022 contains the “</w:t>
      </w:r>
      <w:r w:rsidR="00B503A3" w:rsidRPr="00EC2758">
        <w:rPr>
          <w:rFonts w:asciiTheme="majorHAnsi" w:hAnsiTheme="majorHAnsi" w:cstheme="majorHAnsi"/>
          <w:i/>
          <w:color w:val="000000" w:themeColor="text1"/>
          <w:u w:val="single"/>
        </w:rPr>
        <w:t>initial arrangement</w:t>
      </w:r>
      <w:r w:rsidR="00B503A3" w:rsidRPr="00EC2758">
        <w:rPr>
          <w:rFonts w:asciiTheme="majorHAnsi" w:hAnsiTheme="majorHAnsi" w:cstheme="majorHAnsi"/>
          <w:i/>
          <w:color w:val="000000" w:themeColor="text1"/>
        </w:rPr>
        <w:t xml:space="preserve"> with a lump sum payment of R100 000.00.</w:t>
      </w:r>
      <w:r w:rsidR="00B503A3" w:rsidRPr="00EC2758">
        <w:rPr>
          <w:rFonts w:asciiTheme="majorHAnsi" w:hAnsiTheme="majorHAnsi" w:cstheme="majorHAnsi"/>
          <w:color w:val="000000" w:themeColor="text1"/>
        </w:rPr>
        <w:t>”</w:t>
      </w:r>
      <w:r w:rsidR="00B503A3" w:rsidRPr="00EC2758">
        <w:rPr>
          <w:rStyle w:val="FootnoteReference"/>
          <w:rFonts w:asciiTheme="majorHAnsi" w:hAnsiTheme="majorHAnsi" w:cstheme="majorHAnsi"/>
          <w:color w:val="000000" w:themeColor="text1"/>
        </w:rPr>
        <w:footnoteReference w:id="9"/>
      </w:r>
      <w:r w:rsidR="00B503A3" w:rsidRPr="00EC2758">
        <w:rPr>
          <w:rFonts w:asciiTheme="majorHAnsi" w:hAnsiTheme="majorHAnsi" w:cstheme="majorHAnsi"/>
          <w:color w:val="000000" w:themeColor="text1"/>
        </w:rPr>
        <w:t xml:space="preserve"> [my emphasis]</w:t>
      </w:r>
      <w:r w:rsidR="00B503A3">
        <w:rPr>
          <w:rFonts w:asciiTheme="majorHAnsi" w:hAnsiTheme="majorHAnsi" w:cstheme="majorHAnsi"/>
          <w:color w:val="000000" w:themeColor="text1"/>
        </w:rPr>
        <w:t xml:space="preserve"> </w:t>
      </w:r>
      <w:r w:rsidR="002075E0" w:rsidRPr="00EC2758">
        <w:rPr>
          <w:rFonts w:asciiTheme="majorHAnsi" w:hAnsiTheme="majorHAnsi" w:cstheme="majorHAnsi"/>
          <w:color w:val="000000" w:themeColor="text1"/>
        </w:rPr>
        <w:t xml:space="preserve">It is apparent that when the e-mail of </w:t>
      </w:r>
      <w:r w:rsidR="0054488C" w:rsidRPr="00EC2758">
        <w:rPr>
          <w:rFonts w:asciiTheme="majorHAnsi" w:hAnsiTheme="majorHAnsi" w:cstheme="majorHAnsi"/>
          <w:color w:val="000000" w:themeColor="text1"/>
        </w:rPr>
        <w:t>the Plaintiff</w:t>
      </w:r>
      <w:r w:rsidR="002075E0" w:rsidRPr="00EC2758">
        <w:rPr>
          <w:rFonts w:asciiTheme="majorHAnsi" w:hAnsiTheme="majorHAnsi" w:cstheme="majorHAnsi"/>
          <w:color w:val="000000" w:themeColor="text1"/>
        </w:rPr>
        <w:t xml:space="preserve"> </w:t>
      </w:r>
      <w:r w:rsidR="007D16B1">
        <w:rPr>
          <w:rFonts w:asciiTheme="majorHAnsi" w:hAnsiTheme="majorHAnsi" w:cstheme="majorHAnsi"/>
          <w:color w:val="000000" w:themeColor="text1"/>
        </w:rPr>
        <w:t>dated</w:t>
      </w:r>
      <w:r w:rsidR="002075E0" w:rsidRPr="00EC2758">
        <w:rPr>
          <w:rFonts w:asciiTheme="majorHAnsi" w:hAnsiTheme="majorHAnsi" w:cstheme="majorHAnsi"/>
          <w:color w:val="000000" w:themeColor="text1"/>
        </w:rPr>
        <w:t xml:space="preserve"> 11 October 2022 </w:t>
      </w:r>
      <w:r w:rsidR="007D16B1">
        <w:rPr>
          <w:rFonts w:asciiTheme="majorHAnsi" w:hAnsiTheme="majorHAnsi" w:cstheme="majorHAnsi"/>
          <w:color w:val="000000" w:themeColor="text1"/>
        </w:rPr>
        <w:t xml:space="preserve">that </w:t>
      </w:r>
      <w:r w:rsidR="002075E0" w:rsidRPr="00EC2758">
        <w:rPr>
          <w:rFonts w:asciiTheme="majorHAnsi" w:hAnsiTheme="majorHAnsi" w:cstheme="majorHAnsi"/>
          <w:color w:val="000000" w:themeColor="text1"/>
        </w:rPr>
        <w:t>set</w:t>
      </w:r>
      <w:r w:rsidR="002628A5" w:rsidRPr="00EC2758">
        <w:rPr>
          <w:rFonts w:asciiTheme="majorHAnsi" w:hAnsiTheme="majorHAnsi" w:cstheme="majorHAnsi"/>
          <w:color w:val="000000" w:themeColor="text1"/>
        </w:rPr>
        <w:t xml:space="preserve"> </w:t>
      </w:r>
      <w:r w:rsidR="002075E0" w:rsidRPr="00EC2758">
        <w:rPr>
          <w:rFonts w:asciiTheme="majorHAnsi" w:hAnsiTheme="majorHAnsi" w:cstheme="majorHAnsi"/>
          <w:color w:val="000000" w:themeColor="text1"/>
        </w:rPr>
        <w:t xml:space="preserve">out the monthly instalment </w:t>
      </w:r>
      <w:r w:rsidR="002628A5" w:rsidRPr="00EC2758">
        <w:rPr>
          <w:rFonts w:asciiTheme="majorHAnsi" w:hAnsiTheme="majorHAnsi" w:cstheme="majorHAnsi"/>
          <w:color w:val="000000" w:themeColor="text1"/>
        </w:rPr>
        <w:t xml:space="preserve">plan </w:t>
      </w:r>
      <w:r w:rsidR="002075E0" w:rsidRPr="00EC2758">
        <w:rPr>
          <w:rFonts w:asciiTheme="majorHAnsi" w:hAnsiTheme="majorHAnsi" w:cstheme="majorHAnsi"/>
          <w:color w:val="000000" w:themeColor="text1"/>
        </w:rPr>
        <w:t xml:space="preserve">of R26 359.03 </w:t>
      </w:r>
      <w:r w:rsidR="001117AC" w:rsidRPr="00EC2758">
        <w:rPr>
          <w:rFonts w:asciiTheme="majorHAnsi" w:hAnsiTheme="majorHAnsi" w:cstheme="majorHAnsi"/>
          <w:color w:val="000000" w:themeColor="text1"/>
        </w:rPr>
        <w:t xml:space="preserve">(“payment plan”) </w:t>
      </w:r>
      <w:r w:rsidR="002075E0" w:rsidRPr="00EC2758">
        <w:rPr>
          <w:rFonts w:asciiTheme="majorHAnsi" w:hAnsiTheme="majorHAnsi" w:cstheme="majorHAnsi"/>
          <w:color w:val="000000" w:themeColor="text1"/>
        </w:rPr>
        <w:t xml:space="preserve">is read with paragraph 1.3 of the Defendant’s Plea, the Defendant did not comply with the agreement. </w:t>
      </w:r>
      <w:r w:rsidR="001C3DD4" w:rsidRPr="00EC2758">
        <w:rPr>
          <w:rFonts w:asciiTheme="majorHAnsi" w:hAnsiTheme="majorHAnsi" w:cstheme="majorHAnsi"/>
          <w:color w:val="000000" w:themeColor="text1"/>
        </w:rPr>
        <w:t xml:space="preserve">Only the </w:t>
      </w:r>
      <w:r w:rsidR="002075E0" w:rsidRPr="00EC2758">
        <w:rPr>
          <w:rFonts w:asciiTheme="majorHAnsi" w:hAnsiTheme="majorHAnsi" w:cstheme="majorHAnsi"/>
          <w:color w:val="000000" w:themeColor="text1"/>
        </w:rPr>
        <w:t xml:space="preserve">payment </w:t>
      </w:r>
      <w:r w:rsidR="00680DF9" w:rsidRPr="00EC2758">
        <w:rPr>
          <w:rFonts w:asciiTheme="majorHAnsi" w:hAnsiTheme="majorHAnsi" w:cstheme="majorHAnsi"/>
          <w:color w:val="000000" w:themeColor="text1"/>
        </w:rPr>
        <w:t xml:space="preserve">of R27 000.00 </w:t>
      </w:r>
      <w:r w:rsidR="002075E0" w:rsidRPr="00EC2758">
        <w:rPr>
          <w:rFonts w:asciiTheme="majorHAnsi" w:hAnsiTheme="majorHAnsi" w:cstheme="majorHAnsi"/>
          <w:color w:val="000000" w:themeColor="text1"/>
        </w:rPr>
        <w:t xml:space="preserve">exceeded </w:t>
      </w:r>
      <w:r w:rsidR="002628A5" w:rsidRPr="00EC2758">
        <w:rPr>
          <w:rFonts w:asciiTheme="majorHAnsi" w:hAnsiTheme="majorHAnsi" w:cstheme="majorHAnsi"/>
          <w:color w:val="000000" w:themeColor="text1"/>
        </w:rPr>
        <w:t>R26 359.03</w:t>
      </w:r>
      <w:r w:rsidR="002075E0" w:rsidRPr="00EC2758">
        <w:rPr>
          <w:rFonts w:asciiTheme="majorHAnsi" w:hAnsiTheme="majorHAnsi" w:cstheme="majorHAnsi"/>
          <w:color w:val="000000" w:themeColor="text1"/>
        </w:rPr>
        <w:t xml:space="preserve">.  </w:t>
      </w:r>
      <w:r w:rsidR="00680DF9" w:rsidRPr="00EC2758">
        <w:rPr>
          <w:rFonts w:asciiTheme="majorHAnsi" w:hAnsiTheme="majorHAnsi" w:cstheme="majorHAnsi"/>
          <w:color w:val="000000" w:themeColor="text1"/>
        </w:rPr>
        <w:t>The other payment</w:t>
      </w:r>
      <w:r w:rsidR="007D16B1">
        <w:rPr>
          <w:rFonts w:asciiTheme="majorHAnsi" w:hAnsiTheme="majorHAnsi" w:cstheme="majorHAnsi"/>
          <w:color w:val="000000" w:themeColor="text1"/>
        </w:rPr>
        <w:t>s</w:t>
      </w:r>
      <w:r w:rsidR="00680DF9" w:rsidRPr="00EC2758">
        <w:rPr>
          <w:rFonts w:asciiTheme="majorHAnsi" w:hAnsiTheme="majorHAnsi" w:cstheme="majorHAnsi"/>
          <w:color w:val="000000" w:themeColor="text1"/>
        </w:rPr>
        <w:t xml:space="preserve"> were </w:t>
      </w:r>
      <w:r w:rsidR="001C3DD4" w:rsidRPr="00EC2758">
        <w:rPr>
          <w:rFonts w:asciiTheme="majorHAnsi" w:hAnsiTheme="majorHAnsi" w:cstheme="majorHAnsi"/>
          <w:color w:val="000000" w:themeColor="text1"/>
        </w:rPr>
        <w:t xml:space="preserve">all </w:t>
      </w:r>
      <w:r w:rsidR="00680DF9" w:rsidRPr="00EC2758">
        <w:rPr>
          <w:rFonts w:asciiTheme="majorHAnsi" w:hAnsiTheme="majorHAnsi" w:cstheme="majorHAnsi"/>
          <w:color w:val="000000" w:themeColor="text1"/>
        </w:rPr>
        <w:t>short</w:t>
      </w:r>
      <w:r w:rsidR="005761D2" w:rsidRPr="00EC2758">
        <w:rPr>
          <w:rFonts w:asciiTheme="majorHAnsi" w:hAnsiTheme="majorHAnsi" w:cstheme="majorHAnsi"/>
          <w:color w:val="000000" w:themeColor="text1"/>
        </w:rPr>
        <w:t xml:space="preserve">.  The Plea was signed on 27 March 2023 and by that date, the Defendant has not made any further payments.  The opposing affidavit was filed on 26 May 2023.  </w:t>
      </w:r>
      <w:r w:rsidR="001C3DD4" w:rsidRPr="00EC2758">
        <w:rPr>
          <w:rFonts w:asciiTheme="majorHAnsi" w:hAnsiTheme="majorHAnsi" w:cstheme="majorHAnsi"/>
          <w:color w:val="000000" w:themeColor="text1"/>
        </w:rPr>
        <w:t>It</w:t>
      </w:r>
      <w:r w:rsidR="0054488C" w:rsidRPr="00EC2758">
        <w:rPr>
          <w:rFonts w:asciiTheme="majorHAnsi" w:hAnsiTheme="majorHAnsi" w:cstheme="majorHAnsi"/>
          <w:color w:val="000000" w:themeColor="text1"/>
        </w:rPr>
        <w:t>,</w:t>
      </w:r>
      <w:r w:rsidR="001C3DD4" w:rsidRPr="00EC2758">
        <w:rPr>
          <w:rFonts w:asciiTheme="majorHAnsi" w:hAnsiTheme="majorHAnsi" w:cstheme="majorHAnsi"/>
          <w:color w:val="000000" w:themeColor="text1"/>
        </w:rPr>
        <w:t xml:space="preserve"> similarly</w:t>
      </w:r>
      <w:r w:rsidR="0054488C" w:rsidRPr="00EC2758">
        <w:rPr>
          <w:rFonts w:asciiTheme="majorHAnsi" w:hAnsiTheme="majorHAnsi" w:cstheme="majorHAnsi"/>
          <w:color w:val="000000" w:themeColor="text1"/>
        </w:rPr>
        <w:t>,</w:t>
      </w:r>
      <w:r w:rsidR="001C3DD4" w:rsidRPr="00EC2758">
        <w:rPr>
          <w:rFonts w:asciiTheme="majorHAnsi" w:hAnsiTheme="majorHAnsi" w:cstheme="majorHAnsi"/>
          <w:color w:val="000000" w:themeColor="text1"/>
        </w:rPr>
        <w:t xml:space="preserve"> does not reflect any payments after 27 March 2023.</w:t>
      </w:r>
    </w:p>
    <w:p w14:paraId="465B9817" w14:textId="77777777" w:rsidR="007F43B7" w:rsidRPr="00EC2758" w:rsidRDefault="007F43B7" w:rsidP="00EC2758">
      <w:pPr>
        <w:tabs>
          <w:tab w:val="left" w:pos="709"/>
        </w:tabs>
        <w:spacing w:line="360" w:lineRule="auto"/>
        <w:ind w:left="709" w:hanging="709"/>
        <w:jc w:val="both"/>
        <w:rPr>
          <w:rFonts w:asciiTheme="majorHAnsi" w:hAnsiTheme="majorHAnsi" w:cstheme="majorHAnsi"/>
          <w:color w:val="000000" w:themeColor="text1"/>
        </w:rPr>
      </w:pPr>
    </w:p>
    <w:p w14:paraId="15B97167" w14:textId="77777777" w:rsidR="00C81343" w:rsidRDefault="00457D2F" w:rsidP="00C81343">
      <w:pPr>
        <w:tabs>
          <w:tab w:val="left" w:pos="709"/>
        </w:tabs>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lastRenderedPageBreak/>
        <w:t>[</w:t>
      </w:r>
      <w:r w:rsidR="00914B21" w:rsidRPr="00EC2758">
        <w:rPr>
          <w:rFonts w:asciiTheme="majorHAnsi" w:hAnsiTheme="majorHAnsi" w:cstheme="majorHAnsi"/>
          <w:color w:val="000000" w:themeColor="text1"/>
        </w:rPr>
        <w:t>15</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t xml:space="preserve">It cannot be clearer that </w:t>
      </w:r>
      <w:r w:rsidR="00B762E3" w:rsidRPr="00EC2758">
        <w:rPr>
          <w:rFonts w:asciiTheme="majorHAnsi" w:hAnsiTheme="majorHAnsi" w:cstheme="majorHAnsi"/>
          <w:color w:val="000000" w:themeColor="text1"/>
        </w:rPr>
        <w:t>the obligatory monthly payments in terms of the loan agreement was not amended</w:t>
      </w:r>
      <w:r w:rsidR="00B532F2" w:rsidRPr="00EC2758">
        <w:rPr>
          <w:rFonts w:asciiTheme="majorHAnsi" w:hAnsiTheme="majorHAnsi" w:cstheme="majorHAnsi"/>
          <w:color w:val="000000" w:themeColor="text1"/>
        </w:rPr>
        <w:t xml:space="preserve">. </w:t>
      </w:r>
      <w:r w:rsidR="007D16B1">
        <w:rPr>
          <w:rFonts w:asciiTheme="majorHAnsi" w:hAnsiTheme="majorHAnsi" w:cstheme="majorHAnsi"/>
          <w:color w:val="000000" w:themeColor="text1"/>
        </w:rPr>
        <w:t>Only a</w:t>
      </w:r>
      <w:r w:rsidRPr="00EC2758">
        <w:rPr>
          <w:rFonts w:asciiTheme="majorHAnsi" w:hAnsiTheme="majorHAnsi" w:cstheme="majorHAnsi"/>
          <w:color w:val="000000" w:themeColor="text1"/>
        </w:rPr>
        <w:t xml:space="preserve">n interim </w:t>
      </w:r>
      <w:r w:rsidR="00B532F2" w:rsidRPr="00EC2758">
        <w:rPr>
          <w:rFonts w:asciiTheme="majorHAnsi" w:hAnsiTheme="majorHAnsi" w:cstheme="majorHAnsi"/>
          <w:color w:val="000000" w:themeColor="text1"/>
        </w:rPr>
        <w:t>payment plan was agreed on</w:t>
      </w:r>
      <w:r w:rsidRPr="00EC2758">
        <w:rPr>
          <w:rFonts w:asciiTheme="majorHAnsi" w:hAnsiTheme="majorHAnsi" w:cstheme="majorHAnsi"/>
          <w:color w:val="000000" w:themeColor="text1"/>
        </w:rPr>
        <w:t>.</w:t>
      </w:r>
    </w:p>
    <w:p w14:paraId="0C26DC59" w14:textId="6388E4AB" w:rsidR="00457D2F" w:rsidRPr="00EC2758" w:rsidRDefault="00457D2F" w:rsidP="00C81343">
      <w:pPr>
        <w:tabs>
          <w:tab w:val="left" w:pos="709"/>
        </w:tabs>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 xml:space="preserve"> </w:t>
      </w:r>
    </w:p>
    <w:p w14:paraId="3660F011" w14:textId="651B7703" w:rsidR="009F79A1" w:rsidRPr="00EC2758" w:rsidRDefault="00457D2F" w:rsidP="00EC2758">
      <w:pPr>
        <w:tabs>
          <w:tab w:val="left" w:pos="709"/>
        </w:tabs>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w:t>
      </w:r>
      <w:r w:rsidR="00914B21" w:rsidRPr="00EC2758">
        <w:rPr>
          <w:rFonts w:asciiTheme="majorHAnsi" w:hAnsiTheme="majorHAnsi" w:cstheme="majorHAnsi"/>
          <w:color w:val="000000" w:themeColor="text1"/>
        </w:rPr>
        <w:t>16</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t>T</w:t>
      </w:r>
      <w:r w:rsidR="00B532F2" w:rsidRPr="00EC2758">
        <w:rPr>
          <w:rFonts w:asciiTheme="majorHAnsi" w:hAnsiTheme="majorHAnsi" w:cstheme="majorHAnsi"/>
          <w:color w:val="000000" w:themeColor="text1"/>
        </w:rPr>
        <w:t xml:space="preserve">he correspondence of the Plaintiff and the </w:t>
      </w:r>
      <w:r w:rsidR="00696423" w:rsidRPr="00EC2758">
        <w:rPr>
          <w:rFonts w:asciiTheme="majorHAnsi" w:hAnsiTheme="majorHAnsi" w:cstheme="majorHAnsi"/>
          <w:color w:val="000000" w:themeColor="text1"/>
        </w:rPr>
        <w:t>Defendant</w:t>
      </w:r>
      <w:r w:rsidR="00B532F2" w:rsidRPr="00EC2758">
        <w:rPr>
          <w:rFonts w:asciiTheme="majorHAnsi" w:hAnsiTheme="majorHAnsi" w:cstheme="majorHAnsi"/>
          <w:color w:val="000000" w:themeColor="text1"/>
        </w:rPr>
        <w:t xml:space="preserve"> does not </w:t>
      </w:r>
      <w:r w:rsidRPr="00EC2758">
        <w:rPr>
          <w:rFonts w:asciiTheme="majorHAnsi" w:hAnsiTheme="majorHAnsi" w:cstheme="majorHAnsi"/>
          <w:color w:val="000000" w:themeColor="text1"/>
        </w:rPr>
        <w:t>show</w:t>
      </w:r>
      <w:r w:rsidR="00B532F2" w:rsidRPr="00EC2758">
        <w:rPr>
          <w:rFonts w:asciiTheme="majorHAnsi" w:hAnsiTheme="majorHAnsi" w:cstheme="majorHAnsi"/>
          <w:color w:val="000000" w:themeColor="text1"/>
        </w:rPr>
        <w:t xml:space="preserve"> that the action was to be withdrawn. What the Plaintiff did was to grant the </w:t>
      </w:r>
      <w:r w:rsidR="00696423" w:rsidRPr="00EC2758">
        <w:rPr>
          <w:rFonts w:asciiTheme="majorHAnsi" w:hAnsiTheme="majorHAnsi" w:cstheme="majorHAnsi"/>
          <w:color w:val="000000" w:themeColor="text1"/>
        </w:rPr>
        <w:t>Defendant</w:t>
      </w:r>
      <w:r w:rsidR="00B532F2" w:rsidRPr="00EC2758">
        <w:rPr>
          <w:rFonts w:asciiTheme="majorHAnsi" w:hAnsiTheme="majorHAnsi" w:cstheme="majorHAnsi"/>
          <w:color w:val="000000" w:themeColor="text1"/>
        </w:rPr>
        <w:t xml:space="preserve"> an opportunity to reinstate the agreement and to pend further st</w:t>
      </w:r>
      <w:r w:rsidR="007D16B1">
        <w:rPr>
          <w:rFonts w:asciiTheme="majorHAnsi" w:hAnsiTheme="majorHAnsi" w:cstheme="majorHAnsi"/>
          <w:color w:val="000000" w:themeColor="text1"/>
        </w:rPr>
        <w:t>e</w:t>
      </w:r>
      <w:r w:rsidR="00B532F2" w:rsidRPr="00EC2758">
        <w:rPr>
          <w:rFonts w:asciiTheme="majorHAnsi" w:hAnsiTheme="majorHAnsi" w:cstheme="majorHAnsi"/>
          <w:color w:val="000000" w:themeColor="text1"/>
        </w:rPr>
        <w:t>ps if h</w:t>
      </w:r>
      <w:r w:rsidR="0020374A" w:rsidRPr="00EC2758">
        <w:rPr>
          <w:rFonts w:asciiTheme="majorHAnsi" w:hAnsiTheme="majorHAnsi" w:cstheme="majorHAnsi"/>
          <w:color w:val="000000" w:themeColor="text1"/>
        </w:rPr>
        <w:t>e</w:t>
      </w:r>
      <w:r w:rsidR="00B532F2" w:rsidRPr="00EC2758">
        <w:rPr>
          <w:rFonts w:asciiTheme="majorHAnsi" w:hAnsiTheme="majorHAnsi" w:cstheme="majorHAnsi"/>
          <w:color w:val="000000" w:themeColor="text1"/>
        </w:rPr>
        <w:t xml:space="preserve"> complies.</w:t>
      </w:r>
      <w:r w:rsidR="005761D2" w:rsidRPr="00EC2758">
        <w:rPr>
          <w:rFonts w:asciiTheme="majorHAnsi" w:hAnsiTheme="majorHAnsi" w:cstheme="majorHAnsi"/>
          <w:color w:val="000000" w:themeColor="text1"/>
        </w:rPr>
        <w:t xml:space="preserve"> </w:t>
      </w:r>
      <w:r w:rsidR="006A25F1" w:rsidRPr="00EC2758">
        <w:rPr>
          <w:rFonts w:asciiTheme="majorHAnsi" w:hAnsiTheme="majorHAnsi" w:cstheme="majorHAnsi"/>
          <w:color w:val="000000" w:themeColor="text1"/>
        </w:rPr>
        <w:t>He would in any event carry a</w:t>
      </w:r>
      <w:r w:rsidR="007D16B1">
        <w:rPr>
          <w:rFonts w:asciiTheme="majorHAnsi" w:hAnsiTheme="majorHAnsi" w:cstheme="majorHAnsi"/>
          <w:color w:val="000000" w:themeColor="text1"/>
        </w:rPr>
        <w:t>n</w:t>
      </w:r>
      <w:r w:rsidR="006A25F1" w:rsidRPr="00EC2758">
        <w:rPr>
          <w:rFonts w:asciiTheme="majorHAnsi" w:hAnsiTheme="majorHAnsi" w:cstheme="majorHAnsi"/>
          <w:color w:val="000000" w:themeColor="text1"/>
        </w:rPr>
        <w:t xml:space="preserve"> onus in respect of not only the agreement but also payment</w:t>
      </w:r>
      <w:r w:rsidR="003E095C" w:rsidRPr="00EC2758">
        <w:rPr>
          <w:rFonts w:asciiTheme="majorHAnsi" w:hAnsiTheme="majorHAnsi" w:cstheme="majorHAnsi"/>
          <w:color w:val="000000" w:themeColor="text1"/>
        </w:rPr>
        <w:t xml:space="preserve">s according to the </w:t>
      </w:r>
      <w:r w:rsidR="006A25F1" w:rsidRPr="00EC2758">
        <w:rPr>
          <w:rFonts w:asciiTheme="majorHAnsi" w:hAnsiTheme="majorHAnsi" w:cstheme="majorHAnsi"/>
          <w:color w:val="000000" w:themeColor="text1"/>
        </w:rPr>
        <w:t>terms of the agreement</w:t>
      </w:r>
      <w:r w:rsidR="003E095C" w:rsidRPr="00EC2758">
        <w:rPr>
          <w:rFonts w:asciiTheme="majorHAnsi" w:hAnsiTheme="majorHAnsi" w:cstheme="majorHAnsi"/>
          <w:color w:val="000000" w:themeColor="text1"/>
        </w:rPr>
        <w:t xml:space="preserve"> </w:t>
      </w:r>
      <w:r w:rsidR="007D16B1">
        <w:rPr>
          <w:rFonts w:asciiTheme="majorHAnsi" w:hAnsiTheme="majorHAnsi" w:cstheme="majorHAnsi"/>
          <w:color w:val="000000" w:themeColor="text1"/>
        </w:rPr>
        <w:t xml:space="preserve">that </w:t>
      </w:r>
      <w:r w:rsidR="003E095C" w:rsidRPr="00EC2758">
        <w:rPr>
          <w:rFonts w:asciiTheme="majorHAnsi" w:hAnsiTheme="majorHAnsi" w:cstheme="majorHAnsi"/>
          <w:color w:val="000000" w:themeColor="text1"/>
        </w:rPr>
        <w:t xml:space="preserve">he relies on. </w:t>
      </w:r>
      <w:r w:rsidR="00641470" w:rsidRPr="00EC2758">
        <w:rPr>
          <w:rFonts w:asciiTheme="majorHAnsi" w:hAnsiTheme="majorHAnsi" w:cstheme="majorHAnsi"/>
          <w:color w:val="000000" w:themeColor="text1"/>
        </w:rPr>
        <w:t xml:space="preserve">His allegation that he remedied the breach by the payments in terms of the written agreement </w:t>
      </w:r>
      <w:r w:rsidR="00392ABA" w:rsidRPr="00EC2758">
        <w:rPr>
          <w:rFonts w:asciiTheme="majorHAnsi" w:hAnsiTheme="majorHAnsi" w:cstheme="majorHAnsi"/>
          <w:color w:val="000000" w:themeColor="text1"/>
        </w:rPr>
        <w:t>can be rejected.</w:t>
      </w:r>
      <w:r w:rsidR="00392ABA" w:rsidRPr="00EC2758">
        <w:rPr>
          <w:rStyle w:val="FootnoteReference"/>
          <w:rFonts w:asciiTheme="majorHAnsi" w:hAnsiTheme="majorHAnsi" w:cstheme="majorHAnsi"/>
          <w:color w:val="000000" w:themeColor="text1"/>
        </w:rPr>
        <w:footnoteReference w:id="10"/>
      </w:r>
      <w:r w:rsidR="00392ABA" w:rsidRPr="00EC2758">
        <w:rPr>
          <w:rFonts w:asciiTheme="majorHAnsi" w:hAnsiTheme="majorHAnsi" w:cstheme="majorHAnsi"/>
          <w:color w:val="000000" w:themeColor="text1"/>
        </w:rPr>
        <w:t xml:space="preserve"> </w:t>
      </w:r>
      <w:r w:rsidR="003E095C" w:rsidRPr="00EC2758">
        <w:rPr>
          <w:rFonts w:asciiTheme="majorHAnsi" w:hAnsiTheme="majorHAnsi" w:cstheme="majorHAnsi"/>
          <w:color w:val="000000" w:themeColor="text1"/>
        </w:rPr>
        <w:t xml:space="preserve">His first point </w:t>
      </w:r>
      <w:r w:rsidR="003E095C" w:rsidRPr="00EC2758">
        <w:rPr>
          <w:rFonts w:asciiTheme="majorHAnsi" w:hAnsiTheme="majorHAnsi" w:cstheme="majorHAnsi"/>
          <w:i/>
          <w:color w:val="000000" w:themeColor="text1"/>
        </w:rPr>
        <w:t>in limine</w:t>
      </w:r>
      <w:r w:rsidR="003E095C" w:rsidRPr="00EC2758">
        <w:rPr>
          <w:rFonts w:asciiTheme="majorHAnsi" w:hAnsiTheme="majorHAnsi" w:cstheme="majorHAnsi"/>
          <w:color w:val="000000" w:themeColor="text1"/>
        </w:rPr>
        <w:t xml:space="preserve"> is therefore not </w:t>
      </w:r>
      <w:r w:rsidR="003E095C" w:rsidRPr="00EC2758">
        <w:rPr>
          <w:rFonts w:asciiTheme="majorHAnsi" w:hAnsiTheme="majorHAnsi" w:cstheme="majorHAnsi"/>
          <w:i/>
          <w:color w:val="000000" w:themeColor="text1"/>
        </w:rPr>
        <w:t xml:space="preserve">bona fide </w:t>
      </w:r>
      <w:r w:rsidR="003E095C" w:rsidRPr="00EC2758">
        <w:rPr>
          <w:rFonts w:asciiTheme="majorHAnsi" w:hAnsiTheme="majorHAnsi" w:cstheme="majorHAnsi"/>
          <w:iCs/>
          <w:color w:val="000000" w:themeColor="text1"/>
        </w:rPr>
        <w:t xml:space="preserve">and </w:t>
      </w:r>
      <w:r w:rsidR="0078490F" w:rsidRPr="00EC2758">
        <w:rPr>
          <w:rFonts w:asciiTheme="majorHAnsi" w:hAnsiTheme="majorHAnsi" w:cstheme="majorHAnsi"/>
          <w:iCs/>
          <w:color w:val="000000" w:themeColor="text1"/>
        </w:rPr>
        <w:t xml:space="preserve">is </w:t>
      </w:r>
      <w:r w:rsidR="003E095C" w:rsidRPr="00EC2758">
        <w:rPr>
          <w:rFonts w:asciiTheme="majorHAnsi" w:hAnsiTheme="majorHAnsi" w:cstheme="majorHAnsi"/>
          <w:iCs/>
          <w:color w:val="000000" w:themeColor="text1"/>
        </w:rPr>
        <w:t>dismissed</w:t>
      </w:r>
      <w:r w:rsidR="006A25F1" w:rsidRPr="00EC2758">
        <w:rPr>
          <w:rFonts w:asciiTheme="majorHAnsi" w:hAnsiTheme="majorHAnsi" w:cstheme="majorHAnsi"/>
          <w:color w:val="000000" w:themeColor="text1"/>
        </w:rPr>
        <w:t>.</w:t>
      </w:r>
    </w:p>
    <w:p w14:paraId="6AF710C1" w14:textId="77777777" w:rsidR="003834F5" w:rsidRPr="00EC2758" w:rsidRDefault="003834F5" w:rsidP="00C81343">
      <w:pPr>
        <w:tabs>
          <w:tab w:val="left" w:pos="709"/>
        </w:tabs>
        <w:spacing w:line="360" w:lineRule="auto"/>
        <w:jc w:val="both"/>
        <w:rPr>
          <w:rFonts w:asciiTheme="majorHAnsi" w:hAnsiTheme="majorHAnsi" w:cstheme="majorHAnsi"/>
          <w:color w:val="000000" w:themeColor="text1"/>
        </w:rPr>
      </w:pPr>
    </w:p>
    <w:p w14:paraId="0044D95C" w14:textId="0819809E" w:rsidR="003834F5" w:rsidRPr="00EC2758" w:rsidRDefault="003834F5" w:rsidP="00C81343">
      <w:pPr>
        <w:tabs>
          <w:tab w:val="left" w:pos="709"/>
        </w:tabs>
        <w:spacing w:line="360" w:lineRule="auto"/>
        <w:jc w:val="both"/>
        <w:rPr>
          <w:rFonts w:asciiTheme="majorHAnsi" w:hAnsiTheme="majorHAnsi" w:cstheme="majorHAnsi"/>
          <w:b/>
          <w:bCs/>
          <w:color w:val="000000" w:themeColor="text1"/>
        </w:rPr>
      </w:pPr>
      <w:r w:rsidRPr="00EC2758">
        <w:rPr>
          <w:rFonts w:asciiTheme="majorHAnsi" w:hAnsiTheme="majorHAnsi" w:cstheme="majorHAnsi"/>
          <w:b/>
          <w:bCs/>
          <w:color w:val="000000" w:themeColor="text1"/>
        </w:rPr>
        <w:tab/>
      </w:r>
      <w:r w:rsidR="00A43B13" w:rsidRPr="00EC2758">
        <w:rPr>
          <w:rFonts w:asciiTheme="majorHAnsi" w:hAnsiTheme="majorHAnsi" w:cstheme="majorHAnsi"/>
          <w:b/>
          <w:bCs/>
          <w:color w:val="000000" w:themeColor="text1"/>
        </w:rPr>
        <w:t>SPECIAL PLEA</w:t>
      </w:r>
      <w:r w:rsidRPr="00EC2758">
        <w:rPr>
          <w:rFonts w:asciiTheme="majorHAnsi" w:hAnsiTheme="majorHAnsi" w:cstheme="majorHAnsi"/>
          <w:b/>
          <w:bCs/>
          <w:color w:val="000000" w:themeColor="text1"/>
        </w:rPr>
        <w:t xml:space="preserve"> – MATTER IS MOOT AND </w:t>
      </w:r>
      <w:r w:rsidRPr="00EC2758">
        <w:rPr>
          <w:rFonts w:asciiTheme="majorHAnsi" w:hAnsiTheme="majorHAnsi" w:cstheme="majorHAnsi"/>
          <w:b/>
          <w:bCs/>
          <w:i/>
          <w:iCs/>
          <w:color w:val="000000" w:themeColor="text1"/>
        </w:rPr>
        <w:t>RES JUDICATA</w:t>
      </w:r>
    </w:p>
    <w:p w14:paraId="0BE9BF55" w14:textId="77777777" w:rsidR="003834F5" w:rsidRPr="00EC2758" w:rsidRDefault="005761D2" w:rsidP="00C81343">
      <w:pPr>
        <w:tabs>
          <w:tab w:val="left" w:pos="709"/>
        </w:tabs>
        <w:spacing w:line="360" w:lineRule="auto"/>
        <w:jc w:val="both"/>
        <w:rPr>
          <w:rFonts w:asciiTheme="majorHAnsi" w:hAnsiTheme="majorHAnsi" w:cstheme="majorHAnsi"/>
          <w:color w:val="000000" w:themeColor="text1"/>
        </w:rPr>
      </w:pPr>
      <w:r w:rsidRPr="00EC2758">
        <w:rPr>
          <w:rFonts w:asciiTheme="majorHAnsi" w:hAnsiTheme="majorHAnsi" w:cstheme="majorHAnsi"/>
          <w:color w:val="000000" w:themeColor="text1"/>
        </w:rPr>
        <w:t xml:space="preserve"> </w:t>
      </w:r>
    </w:p>
    <w:p w14:paraId="4404EA61" w14:textId="764A6966" w:rsidR="005B2E99" w:rsidRPr="00EC2758" w:rsidRDefault="003834F5" w:rsidP="00EC2758">
      <w:pPr>
        <w:tabs>
          <w:tab w:val="left" w:pos="709"/>
        </w:tabs>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[1</w:t>
      </w:r>
      <w:r w:rsidR="00914B21" w:rsidRPr="00EC2758">
        <w:rPr>
          <w:rFonts w:asciiTheme="majorHAnsi" w:hAnsiTheme="majorHAnsi" w:cstheme="majorHAnsi"/>
          <w:color w:val="000000" w:themeColor="text1"/>
        </w:rPr>
        <w:t>7</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r>
      <w:r w:rsidR="005761D2" w:rsidRPr="00EC2758">
        <w:rPr>
          <w:rFonts w:asciiTheme="majorHAnsi" w:hAnsiTheme="majorHAnsi" w:cstheme="majorHAnsi"/>
          <w:color w:val="000000" w:themeColor="text1"/>
        </w:rPr>
        <w:t xml:space="preserve">The second point </w:t>
      </w:r>
      <w:r w:rsidR="005761D2" w:rsidRPr="00EC2758">
        <w:rPr>
          <w:rFonts w:asciiTheme="majorHAnsi" w:hAnsiTheme="majorHAnsi" w:cstheme="majorHAnsi"/>
          <w:i/>
          <w:color w:val="000000" w:themeColor="text1"/>
        </w:rPr>
        <w:t xml:space="preserve">in limine </w:t>
      </w:r>
      <w:r w:rsidR="005761D2" w:rsidRPr="00EC2758">
        <w:rPr>
          <w:rFonts w:asciiTheme="majorHAnsi" w:hAnsiTheme="majorHAnsi" w:cstheme="majorHAnsi"/>
          <w:color w:val="000000" w:themeColor="text1"/>
        </w:rPr>
        <w:t xml:space="preserve">is that </w:t>
      </w:r>
      <w:r w:rsidR="005B2E99" w:rsidRPr="00EC2758">
        <w:rPr>
          <w:rFonts w:asciiTheme="majorHAnsi" w:hAnsiTheme="majorHAnsi" w:cstheme="majorHAnsi"/>
          <w:color w:val="000000" w:themeColor="text1"/>
        </w:rPr>
        <w:t xml:space="preserve">the matter became moot and </w:t>
      </w:r>
      <w:r w:rsidR="005B2E99" w:rsidRPr="00EC2758">
        <w:rPr>
          <w:rFonts w:asciiTheme="majorHAnsi" w:hAnsiTheme="majorHAnsi" w:cstheme="majorHAnsi"/>
          <w:i/>
          <w:color w:val="000000" w:themeColor="text1"/>
        </w:rPr>
        <w:t>res judicata</w:t>
      </w:r>
      <w:r w:rsidR="005B2E99" w:rsidRPr="00EC2758">
        <w:rPr>
          <w:rFonts w:asciiTheme="majorHAnsi" w:hAnsiTheme="majorHAnsi" w:cstheme="majorHAnsi"/>
          <w:color w:val="000000" w:themeColor="text1"/>
        </w:rPr>
        <w:t xml:space="preserve"> due to </w:t>
      </w:r>
      <w:r w:rsidR="0078490F" w:rsidRPr="00EC2758">
        <w:rPr>
          <w:rFonts w:asciiTheme="majorHAnsi" w:hAnsiTheme="majorHAnsi" w:cstheme="majorHAnsi"/>
          <w:color w:val="000000" w:themeColor="text1"/>
        </w:rPr>
        <w:t xml:space="preserve">the agreement and payments </w:t>
      </w:r>
      <w:r w:rsidR="005B2E99" w:rsidRPr="00EC2758">
        <w:rPr>
          <w:rFonts w:asciiTheme="majorHAnsi" w:hAnsiTheme="majorHAnsi" w:cstheme="majorHAnsi"/>
          <w:color w:val="000000" w:themeColor="text1"/>
        </w:rPr>
        <w:t>made</w:t>
      </w:r>
      <w:r w:rsidR="005761D2" w:rsidRPr="00EC2758">
        <w:rPr>
          <w:rFonts w:asciiTheme="majorHAnsi" w:hAnsiTheme="majorHAnsi" w:cstheme="majorHAnsi"/>
          <w:color w:val="000000" w:themeColor="text1"/>
        </w:rPr>
        <w:t>.</w:t>
      </w:r>
      <w:r w:rsidR="0078490F" w:rsidRPr="00EC2758">
        <w:rPr>
          <w:rStyle w:val="FootnoteReference"/>
          <w:rFonts w:asciiTheme="majorHAnsi" w:hAnsiTheme="majorHAnsi" w:cstheme="majorHAnsi"/>
          <w:color w:val="000000" w:themeColor="text1"/>
        </w:rPr>
        <w:footnoteReference w:id="11"/>
      </w:r>
      <w:r w:rsidR="005761D2" w:rsidRPr="00EC2758">
        <w:rPr>
          <w:rFonts w:asciiTheme="majorHAnsi" w:hAnsiTheme="majorHAnsi" w:cstheme="majorHAnsi"/>
          <w:color w:val="000000" w:themeColor="text1"/>
        </w:rPr>
        <w:t xml:space="preserve">  </w:t>
      </w:r>
      <w:r w:rsidR="005B2E99" w:rsidRPr="00EC2758">
        <w:rPr>
          <w:rFonts w:asciiTheme="majorHAnsi" w:hAnsiTheme="majorHAnsi" w:cstheme="majorHAnsi"/>
          <w:color w:val="000000" w:themeColor="text1"/>
        </w:rPr>
        <w:t xml:space="preserve">As shown above he failed to comply with the agreement. </w:t>
      </w:r>
      <w:r w:rsidR="000D4E87" w:rsidRPr="00EC2758">
        <w:rPr>
          <w:rFonts w:asciiTheme="majorHAnsi" w:hAnsiTheme="majorHAnsi" w:cstheme="majorHAnsi"/>
          <w:color w:val="000000" w:themeColor="text1"/>
        </w:rPr>
        <w:t>His failure to pay as agreed</w:t>
      </w:r>
      <w:r w:rsidR="00526EE4">
        <w:rPr>
          <w:rFonts w:asciiTheme="majorHAnsi" w:hAnsiTheme="majorHAnsi" w:cstheme="majorHAnsi"/>
          <w:color w:val="000000" w:themeColor="text1"/>
        </w:rPr>
        <w:t>,</w:t>
      </w:r>
      <w:r w:rsidR="000D4E87" w:rsidRPr="00EC2758">
        <w:rPr>
          <w:rFonts w:asciiTheme="majorHAnsi" w:hAnsiTheme="majorHAnsi" w:cstheme="majorHAnsi"/>
          <w:color w:val="000000" w:themeColor="text1"/>
        </w:rPr>
        <w:t xml:space="preserve"> cannot </w:t>
      </w:r>
      <w:r w:rsidR="005761D2" w:rsidRPr="00EC2758">
        <w:rPr>
          <w:rFonts w:asciiTheme="majorHAnsi" w:hAnsiTheme="majorHAnsi" w:cstheme="majorHAnsi"/>
          <w:color w:val="000000" w:themeColor="text1"/>
        </w:rPr>
        <w:t xml:space="preserve">make the issue moot.  </w:t>
      </w:r>
      <w:r w:rsidR="005761D2" w:rsidRPr="00EC2758">
        <w:rPr>
          <w:rFonts w:asciiTheme="majorHAnsi" w:hAnsiTheme="majorHAnsi" w:cstheme="majorHAnsi"/>
          <w:i/>
          <w:color w:val="000000" w:themeColor="text1"/>
        </w:rPr>
        <w:t xml:space="preserve">Res judicata </w:t>
      </w:r>
      <w:r w:rsidR="005761D2" w:rsidRPr="00EC2758">
        <w:rPr>
          <w:rFonts w:asciiTheme="majorHAnsi" w:hAnsiTheme="majorHAnsi" w:cstheme="majorHAnsi"/>
          <w:color w:val="000000" w:themeColor="text1"/>
        </w:rPr>
        <w:t>does not find application as the indebtedness</w:t>
      </w:r>
      <w:r w:rsidR="000D4E87" w:rsidRPr="00EC2758">
        <w:rPr>
          <w:rFonts w:asciiTheme="majorHAnsi" w:hAnsiTheme="majorHAnsi" w:cstheme="majorHAnsi"/>
          <w:color w:val="000000" w:themeColor="text1"/>
        </w:rPr>
        <w:t>, even on his own version,</w:t>
      </w:r>
      <w:r w:rsidR="005761D2" w:rsidRPr="00EC2758">
        <w:rPr>
          <w:rFonts w:asciiTheme="majorHAnsi" w:hAnsiTheme="majorHAnsi" w:cstheme="majorHAnsi"/>
          <w:color w:val="000000" w:themeColor="text1"/>
        </w:rPr>
        <w:t xml:space="preserve"> was not finally settled</w:t>
      </w:r>
      <w:r w:rsidR="005B2E99" w:rsidRPr="00EC2758">
        <w:rPr>
          <w:rFonts w:asciiTheme="majorHAnsi" w:hAnsiTheme="majorHAnsi" w:cstheme="majorHAnsi"/>
          <w:color w:val="000000" w:themeColor="text1"/>
        </w:rPr>
        <w:t xml:space="preserve"> as per the agreement</w:t>
      </w:r>
      <w:r w:rsidR="005761D2" w:rsidRPr="00EC2758">
        <w:rPr>
          <w:rFonts w:asciiTheme="majorHAnsi" w:hAnsiTheme="majorHAnsi" w:cstheme="majorHAnsi"/>
          <w:color w:val="000000" w:themeColor="text1"/>
        </w:rPr>
        <w:t>.</w:t>
      </w:r>
    </w:p>
    <w:p w14:paraId="23DC7BBB" w14:textId="77777777" w:rsidR="005B2E99" w:rsidRPr="00EC2758" w:rsidRDefault="005B2E99" w:rsidP="00EC2758">
      <w:pPr>
        <w:tabs>
          <w:tab w:val="left" w:pos="709"/>
        </w:tabs>
        <w:spacing w:line="360" w:lineRule="auto"/>
        <w:ind w:left="709" w:hanging="709"/>
        <w:jc w:val="both"/>
        <w:rPr>
          <w:rFonts w:asciiTheme="majorHAnsi" w:hAnsiTheme="majorHAnsi" w:cstheme="majorHAnsi"/>
          <w:color w:val="000000" w:themeColor="text1"/>
        </w:rPr>
      </w:pPr>
    </w:p>
    <w:p w14:paraId="2BA5583C" w14:textId="3AE67C7E" w:rsidR="000D4E87" w:rsidRPr="00EC2758" w:rsidRDefault="005B2E99" w:rsidP="00EC2758">
      <w:pPr>
        <w:tabs>
          <w:tab w:val="left" w:pos="709"/>
        </w:tabs>
        <w:spacing w:line="360" w:lineRule="auto"/>
        <w:ind w:left="709" w:hanging="709"/>
        <w:jc w:val="both"/>
        <w:rPr>
          <w:rFonts w:asciiTheme="majorHAnsi" w:hAnsiTheme="majorHAnsi" w:cstheme="majorHAnsi"/>
          <w:b/>
          <w:bCs/>
          <w:color w:val="000000" w:themeColor="text1"/>
        </w:rPr>
      </w:pPr>
      <w:r w:rsidRPr="00EC2758">
        <w:rPr>
          <w:rFonts w:asciiTheme="majorHAnsi" w:hAnsiTheme="majorHAnsi" w:cstheme="majorHAnsi"/>
          <w:b/>
          <w:bCs/>
          <w:color w:val="000000" w:themeColor="text1"/>
        </w:rPr>
        <w:tab/>
      </w:r>
      <w:r w:rsidR="00A43B13" w:rsidRPr="00EC2758">
        <w:rPr>
          <w:rFonts w:asciiTheme="majorHAnsi" w:hAnsiTheme="majorHAnsi" w:cstheme="majorHAnsi"/>
          <w:b/>
          <w:bCs/>
          <w:color w:val="000000" w:themeColor="text1"/>
        </w:rPr>
        <w:t>FIRST DEFENCE</w:t>
      </w:r>
      <w:r w:rsidRPr="00EC2758">
        <w:rPr>
          <w:rFonts w:asciiTheme="majorHAnsi" w:hAnsiTheme="majorHAnsi" w:cstheme="majorHAnsi"/>
          <w:b/>
          <w:bCs/>
          <w:color w:val="000000" w:themeColor="text1"/>
        </w:rPr>
        <w:t xml:space="preserve"> – NON-COMPLIANCE WITH SECTION 129 OF THE NATIONAL CREDIT ACT</w:t>
      </w:r>
      <w:r w:rsidR="005761D2" w:rsidRPr="00EC2758">
        <w:rPr>
          <w:rFonts w:asciiTheme="majorHAnsi" w:hAnsiTheme="majorHAnsi" w:cstheme="majorHAnsi"/>
          <w:b/>
          <w:bCs/>
          <w:color w:val="000000" w:themeColor="text1"/>
        </w:rPr>
        <w:t xml:space="preserve">  </w:t>
      </w:r>
    </w:p>
    <w:p w14:paraId="2C362F81" w14:textId="77777777" w:rsidR="000D4E87" w:rsidRPr="00EC2758" w:rsidRDefault="000D4E87" w:rsidP="00EC2758">
      <w:pPr>
        <w:tabs>
          <w:tab w:val="left" w:pos="709"/>
        </w:tabs>
        <w:spacing w:line="360" w:lineRule="auto"/>
        <w:ind w:left="709" w:hanging="709"/>
        <w:jc w:val="both"/>
        <w:rPr>
          <w:rFonts w:asciiTheme="majorHAnsi" w:hAnsiTheme="majorHAnsi" w:cstheme="majorHAnsi"/>
          <w:color w:val="000000" w:themeColor="text1"/>
        </w:rPr>
      </w:pPr>
    </w:p>
    <w:p w14:paraId="2906ED5F" w14:textId="00E132E6" w:rsidR="00D550FB" w:rsidRPr="00EC2758" w:rsidRDefault="000D6CFC" w:rsidP="00EC2758">
      <w:pPr>
        <w:tabs>
          <w:tab w:val="left" w:pos="709"/>
        </w:tabs>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[18]</w:t>
      </w:r>
      <w:r w:rsidRPr="00EC2758">
        <w:rPr>
          <w:rFonts w:asciiTheme="majorHAnsi" w:hAnsiTheme="majorHAnsi" w:cstheme="majorHAnsi"/>
          <w:color w:val="000000" w:themeColor="text1"/>
        </w:rPr>
        <w:tab/>
        <w:t xml:space="preserve">He alleges that </w:t>
      </w:r>
      <w:r w:rsidR="00685F23" w:rsidRPr="00EC2758">
        <w:rPr>
          <w:rFonts w:asciiTheme="majorHAnsi" w:hAnsiTheme="majorHAnsi" w:cstheme="majorHAnsi"/>
          <w:color w:val="000000" w:themeColor="text1"/>
        </w:rPr>
        <w:t xml:space="preserve">a defective notice in terms of s 129 of the NCA was served </w:t>
      </w:r>
      <w:r w:rsidR="004D4008" w:rsidRPr="00EC2758">
        <w:rPr>
          <w:rFonts w:asciiTheme="majorHAnsi" w:hAnsiTheme="majorHAnsi" w:cstheme="majorHAnsi"/>
          <w:color w:val="000000" w:themeColor="text1"/>
        </w:rPr>
        <w:t>incorrectly</w:t>
      </w:r>
      <w:r w:rsidRPr="00EC2758">
        <w:rPr>
          <w:rFonts w:asciiTheme="majorHAnsi" w:hAnsiTheme="majorHAnsi" w:cstheme="majorHAnsi"/>
          <w:color w:val="000000" w:themeColor="text1"/>
        </w:rPr>
        <w:t>. H</w:t>
      </w:r>
      <w:r w:rsidR="00685F23" w:rsidRPr="00EC2758">
        <w:rPr>
          <w:rFonts w:asciiTheme="majorHAnsi" w:hAnsiTheme="majorHAnsi" w:cstheme="majorHAnsi"/>
          <w:color w:val="000000" w:themeColor="text1"/>
        </w:rPr>
        <w:t xml:space="preserve">e does not produce the </w:t>
      </w:r>
      <w:r w:rsidRPr="00EC2758">
        <w:rPr>
          <w:rFonts w:asciiTheme="majorHAnsi" w:hAnsiTheme="majorHAnsi" w:cstheme="majorHAnsi"/>
          <w:color w:val="000000" w:themeColor="text1"/>
        </w:rPr>
        <w:t>n</w:t>
      </w:r>
      <w:r w:rsidR="00685F23" w:rsidRPr="00EC2758">
        <w:rPr>
          <w:rFonts w:asciiTheme="majorHAnsi" w:hAnsiTheme="majorHAnsi" w:cstheme="majorHAnsi"/>
          <w:color w:val="000000" w:themeColor="text1"/>
        </w:rPr>
        <w:t>otice</w:t>
      </w:r>
      <w:r w:rsidR="00352AE1" w:rsidRPr="00EC2758">
        <w:rPr>
          <w:rFonts w:asciiTheme="majorHAnsi" w:hAnsiTheme="majorHAnsi" w:cstheme="majorHAnsi"/>
          <w:color w:val="000000" w:themeColor="text1"/>
        </w:rPr>
        <w:t xml:space="preserve">. </w:t>
      </w:r>
      <w:r w:rsidR="00D118A2" w:rsidRPr="00EC2758">
        <w:rPr>
          <w:rFonts w:asciiTheme="majorHAnsi" w:hAnsiTheme="majorHAnsi" w:cstheme="majorHAnsi"/>
          <w:color w:val="000000" w:themeColor="text1"/>
        </w:rPr>
        <w:t>I already referred to the judgment of Boonzaaier AJ where she found that a s 129 notice was correctly served.</w:t>
      </w:r>
    </w:p>
    <w:p w14:paraId="1EB2E6DC" w14:textId="77777777" w:rsidR="00352AE1" w:rsidRPr="00EC2758" w:rsidRDefault="00352AE1" w:rsidP="00EC2758">
      <w:pPr>
        <w:tabs>
          <w:tab w:val="left" w:pos="709"/>
        </w:tabs>
        <w:spacing w:line="360" w:lineRule="auto"/>
        <w:ind w:left="709" w:hanging="709"/>
        <w:jc w:val="both"/>
        <w:rPr>
          <w:rFonts w:asciiTheme="majorHAnsi" w:hAnsiTheme="majorHAnsi" w:cstheme="majorHAnsi"/>
          <w:color w:val="000000" w:themeColor="text1"/>
        </w:rPr>
      </w:pPr>
    </w:p>
    <w:p w14:paraId="2D460DDC" w14:textId="26EE7EBA" w:rsidR="00C81343" w:rsidRDefault="00D550FB" w:rsidP="001A7DA6">
      <w:pPr>
        <w:tabs>
          <w:tab w:val="left" w:pos="709"/>
        </w:tabs>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w:t>
      </w:r>
      <w:r w:rsidR="002F21F2" w:rsidRPr="00EC2758">
        <w:rPr>
          <w:rFonts w:asciiTheme="majorHAnsi" w:hAnsiTheme="majorHAnsi" w:cstheme="majorHAnsi"/>
          <w:color w:val="000000" w:themeColor="text1"/>
        </w:rPr>
        <w:t>19</w:t>
      </w:r>
      <w:r w:rsidRPr="00EC2758">
        <w:rPr>
          <w:rFonts w:asciiTheme="majorHAnsi" w:hAnsiTheme="majorHAnsi" w:cstheme="majorHAnsi"/>
          <w:color w:val="000000" w:themeColor="text1"/>
        </w:rPr>
        <w:t>]</w:t>
      </w:r>
      <w:r w:rsidR="005761D2" w:rsidRPr="00EC2758">
        <w:rPr>
          <w:rFonts w:asciiTheme="majorHAnsi" w:hAnsiTheme="majorHAnsi" w:cstheme="majorHAnsi"/>
          <w:color w:val="000000" w:themeColor="text1"/>
        </w:rPr>
        <w:tab/>
      </w:r>
      <w:r w:rsidR="000D6CFC" w:rsidRPr="00EC2758">
        <w:rPr>
          <w:rFonts w:asciiTheme="majorHAnsi" w:hAnsiTheme="majorHAnsi" w:cstheme="majorHAnsi"/>
          <w:color w:val="000000" w:themeColor="text1"/>
        </w:rPr>
        <w:t>According to him the s</w:t>
      </w:r>
      <w:r w:rsidR="005761D2" w:rsidRPr="00EC2758">
        <w:rPr>
          <w:rFonts w:asciiTheme="majorHAnsi" w:hAnsiTheme="majorHAnsi" w:cstheme="majorHAnsi"/>
          <w:color w:val="000000" w:themeColor="text1"/>
        </w:rPr>
        <w:t xml:space="preserve"> 129(1) notice does not align with the particulars of claim and is therefore irregular</w:t>
      </w:r>
      <w:r w:rsidR="000D6CFC" w:rsidRPr="00EC2758">
        <w:rPr>
          <w:rFonts w:asciiTheme="majorHAnsi" w:hAnsiTheme="majorHAnsi" w:cstheme="majorHAnsi"/>
          <w:color w:val="000000" w:themeColor="text1"/>
        </w:rPr>
        <w:t>.</w:t>
      </w:r>
    </w:p>
    <w:p w14:paraId="26807572" w14:textId="77777777" w:rsidR="001A7DA6" w:rsidRPr="00EC2758" w:rsidRDefault="001A7DA6" w:rsidP="001A7DA6">
      <w:pPr>
        <w:tabs>
          <w:tab w:val="left" w:pos="709"/>
        </w:tabs>
        <w:spacing w:line="360" w:lineRule="auto"/>
        <w:ind w:left="709" w:hanging="709"/>
        <w:jc w:val="both"/>
        <w:rPr>
          <w:rFonts w:asciiTheme="majorHAnsi" w:hAnsiTheme="majorHAnsi" w:cstheme="majorHAnsi"/>
          <w:color w:val="000000" w:themeColor="text1"/>
        </w:rPr>
      </w:pPr>
    </w:p>
    <w:p w14:paraId="7DDE7AE1" w14:textId="4C2B5222" w:rsidR="00D460BB" w:rsidRPr="00EC2758" w:rsidRDefault="000D6CFC" w:rsidP="00EC2758">
      <w:pPr>
        <w:pStyle w:val="BodyTextIndent"/>
        <w:widowControl w:val="0"/>
        <w:tabs>
          <w:tab w:val="left" w:pos="709"/>
        </w:tabs>
        <w:rPr>
          <w:rFonts w:asciiTheme="majorHAnsi" w:hAnsiTheme="majorHAnsi" w:cstheme="majorHAnsi"/>
          <w:color w:val="000000" w:themeColor="text1"/>
        </w:rPr>
      </w:pPr>
      <w:r w:rsidRPr="00EC2758">
        <w:rPr>
          <w:rFonts w:asciiTheme="majorHAnsi" w:hAnsiTheme="majorHAnsi" w:cstheme="majorHAnsi"/>
          <w:color w:val="000000" w:themeColor="text1"/>
        </w:rPr>
        <w:lastRenderedPageBreak/>
        <w:t>[2</w:t>
      </w:r>
      <w:r w:rsidR="002F21F2" w:rsidRPr="00EC2758">
        <w:rPr>
          <w:rFonts w:asciiTheme="majorHAnsi" w:hAnsiTheme="majorHAnsi" w:cstheme="majorHAnsi"/>
          <w:color w:val="000000" w:themeColor="text1"/>
        </w:rPr>
        <w:t>0</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r>
      <w:r w:rsidR="00C8196E" w:rsidRPr="00EC2758">
        <w:rPr>
          <w:rFonts w:asciiTheme="majorHAnsi" w:hAnsiTheme="majorHAnsi" w:cstheme="majorHAnsi"/>
          <w:color w:val="000000" w:themeColor="text1"/>
        </w:rPr>
        <w:t xml:space="preserve">He </w:t>
      </w:r>
      <w:r w:rsidR="00D118A2" w:rsidRPr="00EC2758">
        <w:rPr>
          <w:rFonts w:asciiTheme="majorHAnsi" w:hAnsiTheme="majorHAnsi" w:cstheme="majorHAnsi"/>
          <w:color w:val="000000" w:themeColor="text1"/>
        </w:rPr>
        <w:t xml:space="preserve">proceeds to state that </w:t>
      </w:r>
      <w:r w:rsidR="00C8196E" w:rsidRPr="00EC2758">
        <w:rPr>
          <w:rFonts w:asciiTheme="majorHAnsi" w:hAnsiTheme="majorHAnsi" w:cstheme="majorHAnsi"/>
          <w:color w:val="000000" w:themeColor="text1"/>
        </w:rPr>
        <w:t xml:space="preserve">the </w:t>
      </w:r>
      <w:r w:rsidR="00D118A2" w:rsidRPr="00EC2758">
        <w:rPr>
          <w:rFonts w:asciiTheme="majorHAnsi" w:hAnsiTheme="majorHAnsi" w:cstheme="majorHAnsi"/>
          <w:color w:val="000000" w:themeColor="text1"/>
        </w:rPr>
        <w:t xml:space="preserve">contents of the </w:t>
      </w:r>
      <w:r w:rsidR="00D83AAD" w:rsidRPr="00EC2758">
        <w:rPr>
          <w:rFonts w:asciiTheme="majorHAnsi" w:hAnsiTheme="majorHAnsi" w:cstheme="majorHAnsi"/>
          <w:color w:val="000000" w:themeColor="text1"/>
        </w:rPr>
        <w:t>s</w:t>
      </w:r>
      <w:r w:rsidR="00C8196E" w:rsidRPr="00EC2758">
        <w:rPr>
          <w:rFonts w:asciiTheme="majorHAnsi" w:hAnsiTheme="majorHAnsi" w:cstheme="majorHAnsi"/>
          <w:color w:val="000000" w:themeColor="text1"/>
        </w:rPr>
        <w:t xml:space="preserve"> 129(1) notice</w:t>
      </w:r>
      <w:r w:rsidR="00D118A2" w:rsidRPr="00EC2758">
        <w:rPr>
          <w:rFonts w:asciiTheme="majorHAnsi" w:hAnsiTheme="majorHAnsi" w:cstheme="majorHAnsi"/>
          <w:color w:val="000000" w:themeColor="text1"/>
        </w:rPr>
        <w:t xml:space="preserve">s and </w:t>
      </w:r>
      <w:r w:rsidR="00C8196E" w:rsidRPr="00EC2758">
        <w:rPr>
          <w:rFonts w:asciiTheme="majorHAnsi" w:hAnsiTheme="majorHAnsi" w:cstheme="majorHAnsi"/>
          <w:color w:val="000000" w:themeColor="text1"/>
        </w:rPr>
        <w:t xml:space="preserve">the amounts therein does not correspond with the claim. However, the Defendant himself liquidated the exact debt by acceptance of the </w:t>
      </w:r>
      <w:r w:rsidR="00D83AAD" w:rsidRPr="00EC2758">
        <w:rPr>
          <w:rFonts w:asciiTheme="majorHAnsi" w:hAnsiTheme="majorHAnsi" w:cstheme="majorHAnsi"/>
          <w:color w:val="000000" w:themeColor="text1"/>
        </w:rPr>
        <w:t>payment plan.</w:t>
      </w:r>
      <w:r w:rsidR="00C8196E" w:rsidRPr="00EC2758">
        <w:rPr>
          <w:rFonts w:asciiTheme="majorHAnsi" w:hAnsiTheme="majorHAnsi" w:cstheme="majorHAnsi"/>
          <w:color w:val="000000" w:themeColor="text1"/>
        </w:rPr>
        <w:t xml:space="preserve"> At date of the </w:t>
      </w:r>
      <w:r w:rsidR="00D118A2" w:rsidRPr="00EC2758">
        <w:rPr>
          <w:rFonts w:asciiTheme="majorHAnsi" w:hAnsiTheme="majorHAnsi" w:cstheme="majorHAnsi"/>
          <w:color w:val="000000" w:themeColor="text1"/>
        </w:rPr>
        <w:t xml:space="preserve">s 129 </w:t>
      </w:r>
      <w:r w:rsidR="00C8196E" w:rsidRPr="00EC2758">
        <w:rPr>
          <w:rFonts w:asciiTheme="majorHAnsi" w:hAnsiTheme="majorHAnsi" w:cstheme="majorHAnsi"/>
          <w:color w:val="000000" w:themeColor="text1"/>
        </w:rPr>
        <w:t>notice the amount was correct as it was not disputed by the Defendant</w:t>
      </w:r>
      <w:r w:rsidR="00D460BB" w:rsidRPr="00EC2758">
        <w:rPr>
          <w:rFonts w:asciiTheme="majorHAnsi" w:hAnsiTheme="majorHAnsi" w:cstheme="majorHAnsi"/>
          <w:color w:val="000000" w:themeColor="text1"/>
        </w:rPr>
        <w:t xml:space="preserve"> when he negotiated the terms to bring the arrears up to date</w:t>
      </w:r>
      <w:r w:rsidR="00C8196E" w:rsidRPr="00EC2758">
        <w:rPr>
          <w:rFonts w:asciiTheme="majorHAnsi" w:hAnsiTheme="majorHAnsi" w:cstheme="majorHAnsi"/>
          <w:color w:val="000000" w:themeColor="text1"/>
        </w:rPr>
        <w:t xml:space="preserve">. </w:t>
      </w:r>
      <w:r w:rsidR="00D460BB" w:rsidRPr="00EC2758">
        <w:rPr>
          <w:rFonts w:asciiTheme="majorHAnsi" w:hAnsiTheme="majorHAnsi" w:cstheme="majorHAnsi"/>
          <w:color w:val="000000" w:themeColor="text1"/>
        </w:rPr>
        <w:t>On 26 August 2022 the arrears was R151 905.58</w:t>
      </w:r>
      <w:r w:rsidR="00B21118" w:rsidRPr="00EC2758">
        <w:rPr>
          <w:rFonts w:asciiTheme="majorHAnsi" w:hAnsiTheme="majorHAnsi" w:cstheme="majorHAnsi"/>
          <w:color w:val="000000" w:themeColor="text1"/>
        </w:rPr>
        <w:t>. This was demanded in the s 129 notice.</w:t>
      </w:r>
      <w:r w:rsidR="00B21118" w:rsidRPr="00EC2758">
        <w:rPr>
          <w:rStyle w:val="FootnoteReference"/>
          <w:rFonts w:asciiTheme="majorHAnsi" w:hAnsiTheme="majorHAnsi" w:cstheme="majorHAnsi"/>
          <w:color w:val="000000" w:themeColor="text1"/>
        </w:rPr>
        <w:footnoteReference w:id="12"/>
      </w:r>
      <w:r w:rsidR="00B21118" w:rsidRPr="00EC2758">
        <w:rPr>
          <w:rFonts w:asciiTheme="majorHAnsi" w:hAnsiTheme="majorHAnsi" w:cstheme="majorHAnsi"/>
          <w:color w:val="000000" w:themeColor="text1"/>
        </w:rPr>
        <w:t xml:space="preserve"> When he made the payment arrangement the arrears was R171 443.62</w:t>
      </w:r>
      <w:r w:rsidR="0086083A" w:rsidRPr="00EC2758">
        <w:rPr>
          <w:rFonts w:asciiTheme="majorHAnsi" w:hAnsiTheme="majorHAnsi" w:cstheme="majorHAnsi"/>
          <w:color w:val="000000" w:themeColor="text1"/>
        </w:rPr>
        <w:t>,</w:t>
      </w:r>
      <w:r w:rsidR="00B21118" w:rsidRPr="00EC2758">
        <w:rPr>
          <w:rFonts w:asciiTheme="majorHAnsi" w:hAnsiTheme="majorHAnsi" w:cstheme="majorHAnsi"/>
          <w:color w:val="000000" w:themeColor="text1"/>
        </w:rPr>
        <w:t xml:space="preserve"> which he accepted when he agreed to make the payments.</w:t>
      </w:r>
      <w:r w:rsidR="00B21118" w:rsidRPr="00EC2758">
        <w:rPr>
          <w:rStyle w:val="FootnoteReference"/>
          <w:rFonts w:asciiTheme="majorHAnsi" w:hAnsiTheme="majorHAnsi" w:cstheme="majorHAnsi"/>
          <w:color w:val="000000" w:themeColor="text1"/>
        </w:rPr>
        <w:footnoteReference w:id="13"/>
      </w:r>
    </w:p>
    <w:p w14:paraId="0224CA8C" w14:textId="77777777" w:rsidR="00D460BB" w:rsidRPr="00EC2758" w:rsidRDefault="00D460BB" w:rsidP="00EC2758">
      <w:pPr>
        <w:pStyle w:val="BodyTextIndent"/>
        <w:widowControl w:val="0"/>
        <w:tabs>
          <w:tab w:val="left" w:pos="709"/>
        </w:tabs>
        <w:rPr>
          <w:rFonts w:asciiTheme="majorHAnsi" w:hAnsiTheme="majorHAnsi" w:cstheme="majorHAnsi"/>
          <w:color w:val="000000" w:themeColor="text1"/>
        </w:rPr>
      </w:pPr>
    </w:p>
    <w:p w14:paraId="156CC0AE" w14:textId="089EBE9A" w:rsidR="00A43B13" w:rsidRPr="00EC2758" w:rsidRDefault="00A43B13" w:rsidP="00EC2758">
      <w:pPr>
        <w:pStyle w:val="BodyTextIndent"/>
        <w:widowControl w:val="0"/>
        <w:tabs>
          <w:tab w:val="left" w:pos="709"/>
        </w:tabs>
        <w:rPr>
          <w:rFonts w:asciiTheme="majorHAnsi" w:hAnsiTheme="majorHAnsi" w:cstheme="majorHAnsi"/>
          <w:b/>
          <w:bCs/>
          <w:color w:val="000000" w:themeColor="text1"/>
        </w:rPr>
      </w:pPr>
      <w:r w:rsidRPr="00EC2758">
        <w:rPr>
          <w:rFonts w:asciiTheme="majorHAnsi" w:hAnsiTheme="majorHAnsi" w:cstheme="majorHAnsi"/>
          <w:b/>
          <w:bCs/>
          <w:color w:val="000000" w:themeColor="text1"/>
        </w:rPr>
        <w:tab/>
        <w:t>SECOND DEFENCE – PLAINTIFF DID NOT PROVE REGISTRATION UNDER THE NATIONAL CREDIT ACT</w:t>
      </w:r>
    </w:p>
    <w:p w14:paraId="42287482" w14:textId="77777777" w:rsidR="00CC2E88" w:rsidRPr="00EC2758" w:rsidRDefault="00CC2E88" w:rsidP="00EC2758">
      <w:pPr>
        <w:pStyle w:val="BodyTextIndent"/>
        <w:widowControl w:val="0"/>
        <w:tabs>
          <w:tab w:val="left" w:pos="709"/>
        </w:tabs>
        <w:rPr>
          <w:rFonts w:asciiTheme="majorHAnsi" w:hAnsiTheme="majorHAnsi" w:cstheme="majorHAnsi"/>
          <w:b/>
          <w:bCs/>
          <w:color w:val="000000" w:themeColor="text1"/>
        </w:rPr>
      </w:pPr>
    </w:p>
    <w:p w14:paraId="479298C7" w14:textId="3B05F304" w:rsidR="00C8196E" w:rsidRPr="00EC2758" w:rsidRDefault="001F7C18" w:rsidP="00EC2758">
      <w:pPr>
        <w:pStyle w:val="BodyTextIndent"/>
        <w:widowControl w:val="0"/>
        <w:tabs>
          <w:tab w:val="left" w:pos="709"/>
        </w:tabs>
        <w:rPr>
          <w:rFonts w:asciiTheme="majorHAnsi" w:hAnsiTheme="majorHAnsi" w:cstheme="majorHAnsi"/>
          <w:color w:val="000000" w:themeColor="text1"/>
        </w:rPr>
      </w:pPr>
      <w:r w:rsidRPr="00EC2758">
        <w:rPr>
          <w:rFonts w:asciiTheme="majorHAnsi" w:hAnsiTheme="majorHAnsi" w:cstheme="majorHAnsi"/>
          <w:color w:val="000000" w:themeColor="text1"/>
        </w:rPr>
        <w:t>[2</w:t>
      </w:r>
      <w:r w:rsidR="00E5192C" w:rsidRPr="00EC2758">
        <w:rPr>
          <w:rFonts w:asciiTheme="majorHAnsi" w:hAnsiTheme="majorHAnsi" w:cstheme="majorHAnsi"/>
          <w:color w:val="000000" w:themeColor="text1"/>
        </w:rPr>
        <w:t>1</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r>
      <w:r w:rsidR="00C8196E" w:rsidRPr="00EC2758">
        <w:rPr>
          <w:rFonts w:asciiTheme="majorHAnsi" w:hAnsiTheme="majorHAnsi" w:cstheme="majorHAnsi"/>
          <w:color w:val="000000" w:themeColor="text1"/>
        </w:rPr>
        <w:t xml:space="preserve">It is not necessary to attach the NCR Certificate to the pleadings.  It is </w:t>
      </w:r>
      <w:r w:rsidRPr="00EC2758">
        <w:rPr>
          <w:rFonts w:asciiTheme="majorHAnsi" w:hAnsiTheme="majorHAnsi" w:cstheme="majorHAnsi"/>
          <w:color w:val="000000" w:themeColor="text1"/>
        </w:rPr>
        <w:t xml:space="preserve">obligatory </w:t>
      </w:r>
      <w:r w:rsidR="00C8196E" w:rsidRPr="00EC2758">
        <w:rPr>
          <w:rFonts w:asciiTheme="majorHAnsi" w:hAnsiTheme="majorHAnsi" w:cstheme="majorHAnsi"/>
          <w:color w:val="000000" w:themeColor="text1"/>
        </w:rPr>
        <w:t xml:space="preserve">to make </w:t>
      </w:r>
      <w:r w:rsidRPr="00EC2758">
        <w:rPr>
          <w:rFonts w:asciiTheme="majorHAnsi" w:hAnsiTheme="majorHAnsi" w:cstheme="majorHAnsi"/>
          <w:color w:val="000000" w:themeColor="text1"/>
        </w:rPr>
        <w:t>an averment whether the claim is subject to the provisions of the NCA</w:t>
      </w:r>
      <w:r w:rsidR="00CC2E88" w:rsidRPr="00EC2758">
        <w:rPr>
          <w:rFonts w:asciiTheme="majorHAnsi" w:hAnsiTheme="majorHAnsi" w:cstheme="majorHAnsi"/>
          <w:color w:val="000000" w:themeColor="text1"/>
        </w:rPr>
        <w:t xml:space="preserve"> or not</w:t>
      </w:r>
      <w:r w:rsidR="00B522B7" w:rsidRPr="00EC2758">
        <w:rPr>
          <w:rFonts w:asciiTheme="majorHAnsi" w:hAnsiTheme="majorHAnsi" w:cstheme="majorHAnsi"/>
          <w:color w:val="000000" w:themeColor="text1"/>
        </w:rPr>
        <w:t xml:space="preserve">. In such instance the creditor has to show that </w:t>
      </w:r>
      <w:r w:rsidR="00C8196E" w:rsidRPr="00EC2758">
        <w:rPr>
          <w:rFonts w:asciiTheme="majorHAnsi" w:hAnsiTheme="majorHAnsi" w:cstheme="majorHAnsi"/>
          <w:color w:val="000000" w:themeColor="text1"/>
        </w:rPr>
        <w:t xml:space="preserve">there was compliance with </w:t>
      </w:r>
      <w:r w:rsidRPr="00EC2758">
        <w:rPr>
          <w:rFonts w:asciiTheme="majorHAnsi" w:hAnsiTheme="majorHAnsi" w:cstheme="majorHAnsi"/>
          <w:color w:val="000000" w:themeColor="text1"/>
        </w:rPr>
        <w:t>s</w:t>
      </w:r>
      <w:r w:rsidR="00C8196E" w:rsidRPr="00EC2758">
        <w:rPr>
          <w:rFonts w:asciiTheme="majorHAnsi" w:hAnsiTheme="majorHAnsi" w:cstheme="majorHAnsi"/>
          <w:color w:val="000000" w:themeColor="text1"/>
        </w:rPr>
        <w:t xml:space="preserve"> 129 and that the Defendant failed to explore the options granted therein. </w:t>
      </w:r>
      <w:r w:rsidR="00477C6B" w:rsidRPr="00EC2758">
        <w:rPr>
          <w:rFonts w:asciiTheme="majorHAnsi" w:hAnsiTheme="majorHAnsi" w:cstheme="majorHAnsi"/>
          <w:color w:val="000000" w:themeColor="text1"/>
        </w:rPr>
        <w:t xml:space="preserve">Averment of registration is </w:t>
      </w:r>
      <w:r w:rsidR="00C8196E" w:rsidRPr="00EC2758">
        <w:rPr>
          <w:rFonts w:asciiTheme="majorHAnsi" w:hAnsiTheme="majorHAnsi" w:cstheme="majorHAnsi"/>
          <w:i/>
          <w:color w:val="000000" w:themeColor="text1"/>
        </w:rPr>
        <w:t>facta probanda</w:t>
      </w:r>
      <w:r w:rsidR="00477C6B" w:rsidRPr="00EC2758">
        <w:rPr>
          <w:rFonts w:asciiTheme="majorHAnsi" w:hAnsiTheme="majorHAnsi" w:cstheme="majorHAnsi"/>
          <w:i/>
          <w:color w:val="000000" w:themeColor="text1"/>
        </w:rPr>
        <w:t xml:space="preserve">, </w:t>
      </w:r>
      <w:r w:rsidR="00477C6B" w:rsidRPr="00EC2758">
        <w:rPr>
          <w:rFonts w:asciiTheme="majorHAnsi" w:hAnsiTheme="majorHAnsi" w:cstheme="majorHAnsi"/>
          <w:iCs/>
          <w:color w:val="000000" w:themeColor="text1"/>
        </w:rPr>
        <w:t>whilst proof by</w:t>
      </w:r>
      <w:r w:rsidR="00093437">
        <w:rPr>
          <w:rFonts w:asciiTheme="majorHAnsi" w:hAnsiTheme="majorHAnsi" w:cstheme="majorHAnsi"/>
          <w:iCs/>
          <w:color w:val="000000" w:themeColor="text1"/>
        </w:rPr>
        <w:t xml:space="preserve"> </w:t>
      </w:r>
      <w:r w:rsidR="00477C6B" w:rsidRPr="00EC2758">
        <w:rPr>
          <w:rFonts w:asciiTheme="majorHAnsi" w:hAnsiTheme="majorHAnsi" w:cstheme="majorHAnsi"/>
          <w:iCs/>
          <w:color w:val="000000" w:themeColor="text1"/>
        </w:rPr>
        <w:t xml:space="preserve">way of a certificate is </w:t>
      </w:r>
      <w:r w:rsidR="00C8196E" w:rsidRPr="00EC2758">
        <w:rPr>
          <w:rFonts w:asciiTheme="majorHAnsi" w:hAnsiTheme="majorHAnsi" w:cstheme="majorHAnsi"/>
          <w:i/>
          <w:color w:val="000000" w:themeColor="text1"/>
        </w:rPr>
        <w:t>facta probantia</w:t>
      </w:r>
      <w:r w:rsidR="00477C6B" w:rsidRPr="00EC2758">
        <w:rPr>
          <w:rFonts w:asciiTheme="majorHAnsi" w:hAnsiTheme="majorHAnsi" w:cstheme="majorHAnsi"/>
          <w:iCs/>
          <w:color w:val="000000" w:themeColor="text1"/>
        </w:rPr>
        <w:t>.</w:t>
      </w:r>
      <w:r w:rsidR="00253FC8" w:rsidRPr="00EC2758">
        <w:rPr>
          <w:rFonts w:asciiTheme="majorHAnsi" w:hAnsiTheme="majorHAnsi" w:cstheme="majorHAnsi"/>
          <w:color w:val="000000" w:themeColor="text1"/>
        </w:rPr>
        <w:t xml:space="preserve"> This </w:t>
      </w:r>
      <w:r w:rsidR="00093437">
        <w:rPr>
          <w:rFonts w:asciiTheme="majorHAnsi" w:hAnsiTheme="majorHAnsi" w:cstheme="majorHAnsi"/>
          <w:color w:val="000000" w:themeColor="text1"/>
        </w:rPr>
        <w:t xml:space="preserve">point </w:t>
      </w:r>
      <w:r w:rsidR="00253FC8" w:rsidRPr="00EC2758">
        <w:rPr>
          <w:rFonts w:asciiTheme="majorHAnsi" w:hAnsiTheme="majorHAnsi" w:cstheme="majorHAnsi"/>
          <w:color w:val="000000" w:themeColor="text1"/>
        </w:rPr>
        <w:t xml:space="preserve">does not constitute a </w:t>
      </w:r>
      <w:r w:rsidR="00253FC8" w:rsidRPr="00EC2758">
        <w:rPr>
          <w:rFonts w:asciiTheme="majorHAnsi" w:hAnsiTheme="majorHAnsi" w:cstheme="majorHAnsi"/>
          <w:i/>
          <w:iCs/>
          <w:color w:val="000000" w:themeColor="text1"/>
        </w:rPr>
        <w:t>bona fide</w:t>
      </w:r>
      <w:r w:rsidR="00253FC8" w:rsidRPr="00EC2758">
        <w:rPr>
          <w:rFonts w:asciiTheme="majorHAnsi" w:hAnsiTheme="majorHAnsi" w:cstheme="majorHAnsi"/>
          <w:color w:val="000000" w:themeColor="text1"/>
        </w:rPr>
        <w:t xml:space="preserve"> defen</w:t>
      </w:r>
      <w:r w:rsidR="00B522B7" w:rsidRPr="00EC2758">
        <w:rPr>
          <w:rFonts w:asciiTheme="majorHAnsi" w:hAnsiTheme="majorHAnsi" w:cstheme="majorHAnsi"/>
          <w:color w:val="000000" w:themeColor="text1"/>
        </w:rPr>
        <w:t>c</w:t>
      </w:r>
      <w:r w:rsidR="00253FC8" w:rsidRPr="00EC2758">
        <w:rPr>
          <w:rFonts w:asciiTheme="majorHAnsi" w:hAnsiTheme="majorHAnsi" w:cstheme="majorHAnsi"/>
          <w:color w:val="000000" w:themeColor="text1"/>
        </w:rPr>
        <w:t>e.</w:t>
      </w:r>
      <w:r w:rsidR="006F5A84" w:rsidRPr="00EC2758">
        <w:rPr>
          <w:rFonts w:asciiTheme="majorHAnsi" w:hAnsiTheme="majorHAnsi" w:cstheme="majorHAnsi"/>
          <w:color w:val="000000" w:themeColor="text1"/>
        </w:rPr>
        <w:t xml:space="preserve"> The Plaintiff in any event attached</w:t>
      </w:r>
      <w:r w:rsidR="00F70C7B" w:rsidRPr="00EC2758">
        <w:rPr>
          <w:rFonts w:asciiTheme="majorHAnsi" w:hAnsiTheme="majorHAnsi" w:cstheme="majorHAnsi"/>
          <w:color w:val="000000" w:themeColor="text1"/>
        </w:rPr>
        <w:t>, upon being invited by the Defendant to proof it,</w:t>
      </w:r>
      <w:r w:rsidR="00F70C7B" w:rsidRPr="00EC2758">
        <w:rPr>
          <w:rStyle w:val="FootnoteReference"/>
          <w:rFonts w:asciiTheme="majorHAnsi" w:hAnsiTheme="majorHAnsi" w:cstheme="majorHAnsi"/>
          <w:color w:val="000000" w:themeColor="text1"/>
        </w:rPr>
        <w:footnoteReference w:id="14"/>
      </w:r>
      <w:r w:rsidR="00F70C7B" w:rsidRPr="00EC2758">
        <w:rPr>
          <w:rFonts w:asciiTheme="majorHAnsi" w:hAnsiTheme="majorHAnsi" w:cstheme="majorHAnsi"/>
          <w:color w:val="000000" w:themeColor="text1"/>
        </w:rPr>
        <w:t xml:space="preserve"> </w:t>
      </w:r>
      <w:r w:rsidR="006F5A84" w:rsidRPr="00EC2758">
        <w:rPr>
          <w:rFonts w:asciiTheme="majorHAnsi" w:hAnsiTheme="majorHAnsi" w:cstheme="majorHAnsi"/>
          <w:color w:val="000000" w:themeColor="text1"/>
        </w:rPr>
        <w:t>its certificate to the affidavit i</w:t>
      </w:r>
      <w:r w:rsidR="00093437">
        <w:rPr>
          <w:rFonts w:asciiTheme="majorHAnsi" w:hAnsiTheme="majorHAnsi" w:cstheme="majorHAnsi"/>
          <w:color w:val="000000" w:themeColor="text1"/>
        </w:rPr>
        <w:t>n</w:t>
      </w:r>
      <w:r w:rsidR="006F5A84" w:rsidRPr="00EC2758">
        <w:rPr>
          <w:rFonts w:asciiTheme="majorHAnsi" w:hAnsiTheme="majorHAnsi" w:cstheme="majorHAnsi"/>
          <w:color w:val="000000" w:themeColor="text1"/>
        </w:rPr>
        <w:t xml:space="preserve"> support</w:t>
      </w:r>
      <w:r w:rsidR="0056718A" w:rsidRPr="00EC2758">
        <w:rPr>
          <w:rFonts w:asciiTheme="majorHAnsi" w:hAnsiTheme="majorHAnsi" w:cstheme="majorHAnsi"/>
          <w:color w:val="000000" w:themeColor="text1"/>
        </w:rPr>
        <w:t xml:space="preserve"> </w:t>
      </w:r>
      <w:r w:rsidR="006F5A84" w:rsidRPr="00EC2758">
        <w:rPr>
          <w:rFonts w:asciiTheme="majorHAnsi" w:hAnsiTheme="majorHAnsi" w:cstheme="majorHAnsi"/>
          <w:color w:val="000000" w:themeColor="text1"/>
        </w:rPr>
        <w:t>of the application for summary judgment.</w:t>
      </w:r>
      <w:r w:rsidR="006F5A84" w:rsidRPr="00EC2758">
        <w:rPr>
          <w:rStyle w:val="FootnoteReference"/>
          <w:rFonts w:asciiTheme="majorHAnsi" w:hAnsiTheme="majorHAnsi" w:cstheme="majorHAnsi"/>
          <w:color w:val="000000" w:themeColor="text1"/>
        </w:rPr>
        <w:footnoteReference w:id="15"/>
      </w:r>
      <w:r w:rsidR="003B2C2E" w:rsidRPr="00EC2758">
        <w:rPr>
          <w:rFonts w:asciiTheme="majorHAnsi" w:hAnsiTheme="majorHAnsi" w:cstheme="majorHAnsi"/>
          <w:color w:val="000000" w:themeColor="text1"/>
        </w:rPr>
        <w:t xml:space="preserve"> Complaining that it cannot be introduced in the affidavit for summary judgment is misplaced.</w:t>
      </w:r>
    </w:p>
    <w:p w14:paraId="5DFBE9E6" w14:textId="77777777" w:rsidR="00C8196E" w:rsidRPr="00EC2758" w:rsidRDefault="00C8196E" w:rsidP="00EC2758">
      <w:pPr>
        <w:pStyle w:val="BodyTextIndent"/>
        <w:widowControl w:val="0"/>
        <w:tabs>
          <w:tab w:val="left" w:pos="709"/>
        </w:tabs>
        <w:rPr>
          <w:rFonts w:asciiTheme="majorHAnsi" w:hAnsiTheme="majorHAnsi" w:cstheme="majorHAnsi"/>
          <w:color w:val="000000" w:themeColor="text1"/>
        </w:rPr>
      </w:pPr>
    </w:p>
    <w:p w14:paraId="2BED25B5" w14:textId="77777777" w:rsidR="001A7DA6" w:rsidRDefault="001117AC" w:rsidP="00EC2758">
      <w:pPr>
        <w:pStyle w:val="BodyTextIndent"/>
        <w:widowControl w:val="0"/>
        <w:tabs>
          <w:tab w:val="left" w:pos="709"/>
        </w:tabs>
        <w:rPr>
          <w:rFonts w:asciiTheme="majorHAnsi" w:hAnsiTheme="majorHAnsi" w:cstheme="majorHAnsi"/>
          <w:b/>
          <w:bCs/>
          <w:color w:val="000000" w:themeColor="text1"/>
        </w:rPr>
      </w:pPr>
      <w:r w:rsidRPr="00EC2758">
        <w:rPr>
          <w:rFonts w:asciiTheme="majorHAnsi" w:hAnsiTheme="majorHAnsi" w:cstheme="majorHAnsi"/>
          <w:b/>
          <w:bCs/>
          <w:color w:val="000000" w:themeColor="text1"/>
        </w:rPr>
        <w:tab/>
      </w:r>
    </w:p>
    <w:p w14:paraId="7CDCF02F" w14:textId="77777777" w:rsidR="001A7DA6" w:rsidRDefault="001A7DA6" w:rsidP="00EC2758">
      <w:pPr>
        <w:pStyle w:val="BodyTextIndent"/>
        <w:widowControl w:val="0"/>
        <w:tabs>
          <w:tab w:val="left" w:pos="709"/>
        </w:tabs>
        <w:rPr>
          <w:rFonts w:asciiTheme="majorHAnsi" w:hAnsiTheme="majorHAnsi" w:cstheme="majorHAnsi"/>
          <w:b/>
          <w:bCs/>
          <w:color w:val="000000" w:themeColor="text1"/>
        </w:rPr>
      </w:pPr>
    </w:p>
    <w:p w14:paraId="1D337231" w14:textId="77777777" w:rsidR="001A7DA6" w:rsidRDefault="001A7DA6" w:rsidP="00EC2758">
      <w:pPr>
        <w:pStyle w:val="BodyTextIndent"/>
        <w:widowControl w:val="0"/>
        <w:tabs>
          <w:tab w:val="left" w:pos="709"/>
        </w:tabs>
        <w:rPr>
          <w:rFonts w:asciiTheme="majorHAnsi" w:hAnsiTheme="majorHAnsi" w:cstheme="majorHAnsi"/>
          <w:b/>
          <w:bCs/>
          <w:color w:val="000000" w:themeColor="text1"/>
        </w:rPr>
      </w:pPr>
    </w:p>
    <w:p w14:paraId="039F6FA6" w14:textId="77777777" w:rsidR="001A7DA6" w:rsidRDefault="001A7DA6" w:rsidP="00EC2758">
      <w:pPr>
        <w:pStyle w:val="BodyTextIndent"/>
        <w:widowControl w:val="0"/>
        <w:tabs>
          <w:tab w:val="left" w:pos="709"/>
        </w:tabs>
        <w:rPr>
          <w:rFonts w:asciiTheme="majorHAnsi" w:hAnsiTheme="majorHAnsi" w:cstheme="majorHAnsi"/>
          <w:b/>
          <w:bCs/>
          <w:color w:val="000000" w:themeColor="text1"/>
        </w:rPr>
      </w:pPr>
    </w:p>
    <w:p w14:paraId="4FB2CE07" w14:textId="77777777" w:rsidR="001A7DA6" w:rsidRDefault="001A7DA6" w:rsidP="00EC2758">
      <w:pPr>
        <w:pStyle w:val="BodyTextIndent"/>
        <w:widowControl w:val="0"/>
        <w:tabs>
          <w:tab w:val="left" w:pos="709"/>
        </w:tabs>
        <w:rPr>
          <w:rFonts w:asciiTheme="majorHAnsi" w:hAnsiTheme="majorHAnsi" w:cstheme="majorHAnsi"/>
          <w:b/>
          <w:bCs/>
          <w:color w:val="000000" w:themeColor="text1"/>
        </w:rPr>
      </w:pPr>
    </w:p>
    <w:p w14:paraId="7BD17439" w14:textId="4C395D08" w:rsidR="001117AC" w:rsidRPr="00EC2758" w:rsidRDefault="005F4C14" w:rsidP="00EC2758">
      <w:pPr>
        <w:pStyle w:val="BodyTextIndent"/>
        <w:widowControl w:val="0"/>
        <w:tabs>
          <w:tab w:val="left" w:pos="709"/>
        </w:tabs>
        <w:rPr>
          <w:rFonts w:asciiTheme="majorHAnsi" w:hAnsiTheme="majorHAnsi" w:cstheme="majorHAnsi"/>
          <w:b/>
          <w:bCs/>
          <w:color w:val="000000" w:themeColor="text1"/>
        </w:rPr>
      </w:pPr>
      <w:r w:rsidRPr="00EC2758">
        <w:rPr>
          <w:rFonts w:asciiTheme="majorHAnsi" w:hAnsiTheme="majorHAnsi" w:cstheme="majorHAnsi"/>
          <w:b/>
          <w:bCs/>
          <w:color w:val="000000" w:themeColor="text1"/>
        </w:rPr>
        <w:lastRenderedPageBreak/>
        <w:t>THIRD DEFENCE</w:t>
      </w:r>
      <w:r w:rsidR="00CC2E88" w:rsidRPr="00EC2758">
        <w:rPr>
          <w:rFonts w:asciiTheme="majorHAnsi" w:hAnsiTheme="majorHAnsi" w:cstheme="majorHAnsi"/>
          <w:b/>
          <w:bCs/>
          <w:color w:val="000000" w:themeColor="text1"/>
        </w:rPr>
        <w:t xml:space="preserve"> – NEW ACTION </w:t>
      </w:r>
      <w:r w:rsidRPr="00EC2758">
        <w:rPr>
          <w:rFonts w:asciiTheme="majorHAnsi" w:hAnsiTheme="majorHAnsi" w:cstheme="majorHAnsi"/>
          <w:b/>
          <w:bCs/>
          <w:color w:val="000000" w:themeColor="text1"/>
        </w:rPr>
        <w:t>NEEDED</w:t>
      </w:r>
    </w:p>
    <w:p w14:paraId="46C41572" w14:textId="77777777" w:rsidR="001117AC" w:rsidRPr="00EC2758" w:rsidRDefault="001117AC" w:rsidP="00EC2758">
      <w:pPr>
        <w:pStyle w:val="BodyTextIndent"/>
        <w:widowControl w:val="0"/>
        <w:tabs>
          <w:tab w:val="left" w:pos="709"/>
        </w:tabs>
        <w:rPr>
          <w:rFonts w:asciiTheme="majorHAnsi" w:hAnsiTheme="majorHAnsi" w:cstheme="majorHAnsi"/>
          <w:b/>
          <w:bCs/>
          <w:color w:val="000000" w:themeColor="text1"/>
        </w:rPr>
      </w:pPr>
    </w:p>
    <w:p w14:paraId="74FF5C8F" w14:textId="77777777" w:rsidR="001A7DA6" w:rsidRDefault="00D550FB" w:rsidP="007D248D">
      <w:pPr>
        <w:tabs>
          <w:tab w:val="left" w:pos="709"/>
        </w:tabs>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[2</w:t>
      </w:r>
      <w:r w:rsidR="00E5192C" w:rsidRPr="00EC2758">
        <w:rPr>
          <w:rFonts w:asciiTheme="majorHAnsi" w:hAnsiTheme="majorHAnsi" w:cstheme="majorHAnsi"/>
          <w:color w:val="000000" w:themeColor="text1"/>
        </w:rPr>
        <w:t>2</w:t>
      </w:r>
      <w:r w:rsidRPr="00EC2758">
        <w:rPr>
          <w:rFonts w:asciiTheme="majorHAnsi" w:hAnsiTheme="majorHAnsi" w:cstheme="majorHAnsi"/>
          <w:color w:val="000000" w:themeColor="text1"/>
        </w:rPr>
        <w:t>]</w:t>
      </w:r>
      <w:r w:rsidR="005761D2" w:rsidRPr="00EC2758">
        <w:rPr>
          <w:rFonts w:asciiTheme="majorHAnsi" w:hAnsiTheme="majorHAnsi" w:cstheme="majorHAnsi"/>
          <w:color w:val="000000" w:themeColor="text1"/>
        </w:rPr>
        <w:tab/>
      </w:r>
      <w:r w:rsidR="001117AC" w:rsidRPr="00EC2758">
        <w:rPr>
          <w:rFonts w:asciiTheme="majorHAnsi" w:hAnsiTheme="majorHAnsi" w:cstheme="majorHAnsi"/>
          <w:color w:val="000000" w:themeColor="text1"/>
        </w:rPr>
        <w:t xml:space="preserve">He states that if the Plaintiff wish to rely on a breach of the payment plan, it </w:t>
      </w:r>
      <w:r w:rsidR="00577225" w:rsidRPr="00EC2758">
        <w:rPr>
          <w:rFonts w:asciiTheme="majorHAnsi" w:hAnsiTheme="majorHAnsi" w:cstheme="majorHAnsi"/>
          <w:color w:val="000000" w:themeColor="text1"/>
        </w:rPr>
        <w:t>should have issued a new action and complied with s 129.</w:t>
      </w:r>
      <w:r w:rsidR="00577225" w:rsidRPr="00EC2758">
        <w:rPr>
          <w:rStyle w:val="FootnoteReference"/>
          <w:rFonts w:asciiTheme="majorHAnsi" w:hAnsiTheme="majorHAnsi" w:cstheme="majorHAnsi"/>
          <w:color w:val="000000" w:themeColor="text1"/>
        </w:rPr>
        <w:footnoteReference w:id="16"/>
      </w:r>
      <w:r w:rsidR="00577225" w:rsidRPr="00EC2758">
        <w:rPr>
          <w:rFonts w:asciiTheme="majorHAnsi" w:hAnsiTheme="majorHAnsi" w:cstheme="majorHAnsi"/>
          <w:color w:val="000000" w:themeColor="text1"/>
        </w:rPr>
        <w:t xml:space="preserve"> </w:t>
      </w:r>
      <w:r w:rsidR="00E30A95" w:rsidRPr="00EC2758">
        <w:rPr>
          <w:rFonts w:asciiTheme="majorHAnsi" w:hAnsiTheme="majorHAnsi" w:cstheme="majorHAnsi"/>
          <w:color w:val="000000" w:themeColor="text1"/>
        </w:rPr>
        <w:t>The issue of mootness and res judicata would then find application.</w:t>
      </w:r>
      <w:r w:rsidR="00C7737B" w:rsidRPr="00EC2758">
        <w:rPr>
          <w:rFonts w:asciiTheme="majorHAnsi" w:hAnsiTheme="majorHAnsi" w:cstheme="majorHAnsi"/>
          <w:color w:val="000000" w:themeColor="text1"/>
        </w:rPr>
        <w:t xml:space="preserve"> I already dealt with this</w:t>
      </w:r>
    </w:p>
    <w:p w14:paraId="02F9248F" w14:textId="5AA7DE13" w:rsidR="007D248D" w:rsidRDefault="00C7737B" w:rsidP="007D248D">
      <w:pPr>
        <w:tabs>
          <w:tab w:val="left" w:pos="709"/>
        </w:tabs>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w:t>
      </w:r>
    </w:p>
    <w:p w14:paraId="113B9091" w14:textId="107C1332" w:rsidR="00D473F5" w:rsidRPr="00EC2758" w:rsidRDefault="0078338A" w:rsidP="00EC2758">
      <w:pPr>
        <w:tabs>
          <w:tab w:val="left" w:pos="709"/>
        </w:tabs>
        <w:spacing w:line="360" w:lineRule="auto"/>
        <w:ind w:left="709" w:hanging="709"/>
        <w:jc w:val="both"/>
        <w:rPr>
          <w:rFonts w:asciiTheme="majorHAnsi" w:hAnsiTheme="majorHAnsi" w:cstheme="majorHAnsi"/>
          <w:b/>
          <w:bCs/>
          <w:color w:val="000000" w:themeColor="text1"/>
        </w:rPr>
      </w:pPr>
      <w:r w:rsidRPr="00EC2758">
        <w:rPr>
          <w:rFonts w:asciiTheme="majorHAnsi" w:hAnsiTheme="majorHAnsi" w:cstheme="majorHAnsi"/>
          <w:b/>
          <w:bCs/>
          <w:color w:val="000000" w:themeColor="text1"/>
        </w:rPr>
        <w:t>FOURTH</w:t>
      </w:r>
      <w:r w:rsidR="005F4C14" w:rsidRPr="00EC2758">
        <w:rPr>
          <w:rFonts w:asciiTheme="majorHAnsi" w:hAnsiTheme="majorHAnsi" w:cstheme="majorHAnsi"/>
          <w:b/>
          <w:bCs/>
          <w:color w:val="000000" w:themeColor="text1"/>
        </w:rPr>
        <w:t xml:space="preserve"> DEFENCE - </w:t>
      </w:r>
      <w:r w:rsidR="00D473F5" w:rsidRPr="00EC2758">
        <w:rPr>
          <w:rFonts w:asciiTheme="majorHAnsi" w:hAnsiTheme="majorHAnsi" w:cstheme="majorHAnsi"/>
          <w:b/>
          <w:bCs/>
          <w:color w:val="000000" w:themeColor="text1"/>
        </w:rPr>
        <w:t>LACK OF AUTHORITY – RULE 7(1)</w:t>
      </w:r>
    </w:p>
    <w:p w14:paraId="0350701E" w14:textId="77777777" w:rsidR="00D473F5" w:rsidRPr="00EC2758" w:rsidRDefault="00D473F5" w:rsidP="00EC2758">
      <w:pPr>
        <w:tabs>
          <w:tab w:val="left" w:pos="709"/>
        </w:tabs>
        <w:spacing w:line="360" w:lineRule="auto"/>
        <w:ind w:left="709" w:hanging="709"/>
        <w:jc w:val="both"/>
        <w:rPr>
          <w:rFonts w:asciiTheme="majorHAnsi" w:hAnsiTheme="majorHAnsi" w:cstheme="majorHAnsi"/>
          <w:color w:val="000000" w:themeColor="text1"/>
        </w:rPr>
      </w:pPr>
    </w:p>
    <w:p w14:paraId="5CAF68A0" w14:textId="6E7C3385" w:rsidR="005655E4" w:rsidRPr="00EC2758" w:rsidRDefault="005655E4" w:rsidP="00EC2758">
      <w:pPr>
        <w:tabs>
          <w:tab w:val="left" w:pos="709"/>
        </w:tabs>
        <w:spacing w:line="360" w:lineRule="auto"/>
        <w:ind w:left="709" w:hanging="709"/>
        <w:jc w:val="both"/>
        <w:rPr>
          <w:rFonts w:asciiTheme="majorHAnsi" w:hAnsiTheme="majorHAnsi" w:cstheme="majorHAnsi"/>
          <w:color w:val="000000" w:themeColor="text1"/>
          <w:shd w:val="clear" w:color="auto" w:fill="FFFFFF"/>
        </w:rPr>
      </w:pPr>
      <w:r w:rsidRPr="00EC2758">
        <w:rPr>
          <w:rFonts w:asciiTheme="majorHAnsi" w:hAnsiTheme="majorHAnsi" w:cstheme="majorHAnsi"/>
          <w:color w:val="000000" w:themeColor="text1"/>
        </w:rPr>
        <w:t>[2</w:t>
      </w:r>
      <w:r w:rsidR="00E5192C" w:rsidRPr="00EC2758">
        <w:rPr>
          <w:rFonts w:asciiTheme="majorHAnsi" w:hAnsiTheme="majorHAnsi" w:cstheme="majorHAnsi"/>
          <w:color w:val="000000" w:themeColor="text1"/>
        </w:rPr>
        <w:t>3</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r>
      <w:r w:rsidR="00D473F5" w:rsidRPr="00EC2758">
        <w:rPr>
          <w:rFonts w:asciiTheme="majorHAnsi" w:hAnsiTheme="majorHAnsi" w:cstheme="majorHAnsi"/>
          <w:color w:val="000000" w:themeColor="text1"/>
        </w:rPr>
        <w:t xml:space="preserve">This was </w:t>
      </w:r>
      <w:r w:rsidR="007029D9" w:rsidRPr="00EC2758">
        <w:rPr>
          <w:rFonts w:asciiTheme="majorHAnsi" w:hAnsiTheme="majorHAnsi" w:cstheme="majorHAnsi"/>
          <w:color w:val="000000" w:themeColor="text1"/>
        </w:rPr>
        <w:t xml:space="preserve">for the first time </w:t>
      </w:r>
      <w:r w:rsidR="00B02E9A" w:rsidRPr="00EC2758">
        <w:rPr>
          <w:rFonts w:asciiTheme="majorHAnsi" w:hAnsiTheme="majorHAnsi" w:cstheme="majorHAnsi"/>
          <w:color w:val="000000" w:themeColor="text1"/>
        </w:rPr>
        <w:t xml:space="preserve">challenged in the </w:t>
      </w:r>
      <w:r w:rsidR="00D473F5" w:rsidRPr="00EC2758">
        <w:rPr>
          <w:rFonts w:asciiTheme="majorHAnsi" w:hAnsiTheme="majorHAnsi" w:cstheme="majorHAnsi"/>
          <w:color w:val="000000" w:themeColor="text1"/>
        </w:rPr>
        <w:t xml:space="preserve">plea. </w:t>
      </w:r>
      <w:r w:rsidR="00B02E9A" w:rsidRPr="00EC2758">
        <w:rPr>
          <w:rFonts w:asciiTheme="majorHAnsi" w:hAnsiTheme="majorHAnsi" w:cstheme="majorHAnsi"/>
          <w:color w:val="000000" w:themeColor="text1"/>
        </w:rPr>
        <w:t xml:space="preserve">If </w:t>
      </w:r>
      <w:r w:rsidR="00B02E9A" w:rsidRPr="00EC2758">
        <w:rPr>
          <w:rFonts w:asciiTheme="majorHAnsi" w:hAnsiTheme="majorHAnsi" w:cstheme="majorHAnsi"/>
          <w:color w:val="000000" w:themeColor="text1"/>
          <w:shd w:val="clear" w:color="auto" w:fill="FFFFFF"/>
        </w:rPr>
        <w:t xml:space="preserve">the authority of an attorney is challenged by the other party, that attorney may not proceed to act unless he satisfies the court that he is in fact duly authorised so to act. The challenge must be by way of notice in terms of this </w:t>
      </w:r>
      <w:r w:rsidR="007029D9" w:rsidRPr="00EC2758">
        <w:rPr>
          <w:rFonts w:asciiTheme="majorHAnsi" w:hAnsiTheme="majorHAnsi" w:cstheme="majorHAnsi"/>
          <w:color w:val="000000" w:themeColor="text1"/>
          <w:shd w:val="clear" w:color="auto" w:fill="FFFFFF"/>
        </w:rPr>
        <w:t>R</w:t>
      </w:r>
      <w:r w:rsidR="00B02E9A" w:rsidRPr="00EC2758">
        <w:rPr>
          <w:rFonts w:asciiTheme="majorHAnsi" w:hAnsiTheme="majorHAnsi" w:cstheme="majorHAnsi"/>
          <w:color w:val="000000" w:themeColor="text1"/>
          <w:shd w:val="clear" w:color="auto" w:fill="FFFFFF"/>
        </w:rPr>
        <w:t>ule</w:t>
      </w:r>
      <w:r w:rsidR="00CB6F4C" w:rsidRPr="00EC2758">
        <w:rPr>
          <w:rFonts w:asciiTheme="majorHAnsi" w:hAnsiTheme="majorHAnsi" w:cstheme="majorHAnsi"/>
          <w:color w:val="000000" w:themeColor="text1"/>
          <w:shd w:val="clear" w:color="auto" w:fill="FFFFFF"/>
        </w:rPr>
        <w:t>.</w:t>
      </w:r>
      <w:r w:rsidR="00CB6F4C" w:rsidRPr="00EC2758">
        <w:rPr>
          <w:rStyle w:val="FootnoteReference"/>
          <w:rFonts w:asciiTheme="majorHAnsi" w:hAnsiTheme="majorHAnsi" w:cstheme="majorHAnsi"/>
          <w:color w:val="000000" w:themeColor="text1"/>
          <w:shd w:val="clear" w:color="auto" w:fill="FFFFFF"/>
        </w:rPr>
        <w:footnoteReference w:id="17"/>
      </w:r>
      <w:r w:rsidRPr="00EC2758">
        <w:rPr>
          <w:rFonts w:asciiTheme="majorHAnsi" w:hAnsiTheme="majorHAnsi" w:cstheme="majorHAnsi"/>
          <w:color w:val="000000" w:themeColor="text1"/>
          <w:shd w:val="clear" w:color="auto" w:fill="FFFFFF"/>
        </w:rPr>
        <w:t xml:space="preserve"> T</w:t>
      </w:r>
      <w:r w:rsidR="007E75C2" w:rsidRPr="00EC2758">
        <w:rPr>
          <w:rFonts w:asciiTheme="majorHAnsi" w:hAnsiTheme="majorHAnsi" w:cstheme="majorHAnsi"/>
          <w:color w:val="000000" w:themeColor="text1"/>
          <w:shd w:val="clear" w:color="auto" w:fill="FFFFFF"/>
        </w:rPr>
        <w:t xml:space="preserve">he object of the </w:t>
      </w:r>
      <w:r w:rsidR="00963B37">
        <w:rPr>
          <w:rFonts w:asciiTheme="majorHAnsi" w:hAnsiTheme="majorHAnsi" w:cstheme="majorHAnsi"/>
          <w:color w:val="000000" w:themeColor="text1"/>
          <w:shd w:val="clear" w:color="auto" w:fill="FFFFFF"/>
        </w:rPr>
        <w:t>R</w:t>
      </w:r>
      <w:r w:rsidR="007E75C2" w:rsidRPr="00EC2758">
        <w:rPr>
          <w:rFonts w:asciiTheme="majorHAnsi" w:hAnsiTheme="majorHAnsi" w:cstheme="majorHAnsi"/>
          <w:color w:val="000000" w:themeColor="text1"/>
          <w:shd w:val="clear" w:color="auto" w:fill="FFFFFF"/>
        </w:rPr>
        <w:t xml:space="preserve">ule is to eliminate the issue about authority because it is assumed that persons will not litigate who do not have the necessary authority. </w:t>
      </w:r>
      <w:r w:rsidRPr="00EC2758">
        <w:rPr>
          <w:rFonts w:asciiTheme="majorHAnsi" w:hAnsiTheme="majorHAnsi" w:cstheme="majorHAnsi"/>
          <w:color w:val="000000" w:themeColor="text1"/>
          <w:shd w:val="clear" w:color="auto" w:fill="FFFFFF"/>
        </w:rPr>
        <w:t>There is no proof that the Rule was utilised. It is important to distinguish between a power of attorney (Rule 7) and lack of authority.</w:t>
      </w:r>
      <w:r w:rsidR="00B8457A" w:rsidRPr="00EC2758">
        <w:rPr>
          <w:rFonts w:asciiTheme="majorHAnsi" w:hAnsiTheme="majorHAnsi" w:cstheme="majorHAnsi"/>
          <w:color w:val="000000" w:themeColor="text1"/>
          <w:shd w:val="clear" w:color="auto" w:fill="FFFFFF"/>
        </w:rPr>
        <w:t xml:space="preserve"> </w:t>
      </w:r>
      <w:r w:rsidR="007029D9" w:rsidRPr="00EC2758">
        <w:rPr>
          <w:rFonts w:asciiTheme="majorHAnsi" w:hAnsiTheme="majorHAnsi" w:cstheme="majorHAnsi"/>
          <w:color w:val="000000" w:themeColor="text1"/>
          <w:shd w:val="clear" w:color="auto" w:fill="FFFFFF"/>
        </w:rPr>
        <w:t xml:space="preserve">In the affidavit in support of summary judgment, the Plaintiff states that the Defendant already during October/November 2022 realised that its </w:t>
      </w:r>
      <w:r w:rsidR="001C0520" w:rsidRPr="00EC2758">
        <w:rPr>
          <w:rFonts w:asciiTheme="majorHAnsi" w:hAnsiTheme="majorHAnsi" w:cstheme="majorHAnsi"/>
          <w:color w:val="000000" w:themeColor="text1"/>
          <w:shd w:val="clear" w:color="auto" w:fill="FFFFFF"/>
        </w:rPr>
        <w:t>attorneys are acting for it.</w:t>
      </w:r>
      <w:r w:rsidR="001C0520" w:rsidRPr="00EC2758">
        <w:rPr>
          <w:rStyle w:val="FootnoteReference"/>
          <w:rFonts w:asciiTheme="majorHAnsi" w:hAnsiTheme="majorHAnsi" w:cstheme="majorHAnsi"/>
          <w:color w:val="000000" w:themeColor="text1"/>
          <w:shd w:val="clear" w:color="auto" w:fill="FFFFFF"/>
        </w:rPr>
        <w:footnoteReference w:id="18"/>
      </w:r>
      <w:r w:rsidR="00D4634C" w:rsidRPr="00EC2758">
        <w:rPr>
          <w:rFonts w:asciiTheme="majorHAnsi" w:hAnsiTheme="majorHAnsi" w:cstheme="majorHAnsi"/>
          <w:color w:val="000000" w:themeColor="text1"/>
          <w:shd w:val="clear" w:color="auto" w:fill="FFFFFF"/>
        </w:rPr>
        <w:t xml:space="preserve"> This is not a bona fide defence.</w:t>
      </w:r>
    </w:p>
    <w:p w14:paraId="4D3CBAB4" w14:textId="77777777" w:rsidR="005655E4" w:rsidRPr="00EC2758" w:rsidRDefault="005655E4" w:rsidP="00EC2758">
      <w:pPr>
        <w:tabs>
          <w:tab w:val="left" w:pos="709"/>
        </w:tabs>
        <w:spacing w:line="360" w:lineRule="auto"/>
        <w:jc w:val="both"/>
        <w:rPr>
          <w:rFonts w:asciiTheme="majorHAnsi" w:hAnsiTheme="majorHAnsi" w:cstheme="majorHAnsi"/>
          <w:color w:val="000000" w:themeColor="text1"/>
          <w:shd w:val="clear" w:color="auto" w:fill="FFFFFF"/>
        </w:rPr>
      </w:pPr>
    </w:p>
    <w:p w14:paraId="0169A644" w14:textId="37648FB9" w:rsidR="008517C2" w:rsidRPr="00EC2758" w:rsidRDefault="008517C2" w:rsidP="00EC2758">
      <w:pPr>
        <w:tabs>
          <w:tab w:val="left" w:pos="709"/>
        </w:tabs>
        <w:spacing w:line="360" w:lineRule="auto"/>
        <w:jc w:val="both"/>
        <w:rPr>
          <w:rFonts w:asciiTheme="majorHAnsi" w:hAnsiTheme="majorHAnsi" w:cstheme="majorHAnsi"/>
          <w:b/>
          <w:bCs/>
          <w:color w:val="000000" w:themeColor="text1"/>
          <w:shd w:val="clear" w:color="auto" w:fill="FFFFFF"/>
        </w:rPr>
      </w:pPr>
      <w:r w:rsidRPr="00EC2758">
        <w:rPr>
          <w:rFonts w:asciiTheme="majorHAnsi" w:hAnsiTheme="majorHAnsi" w:cstheme="majorHAnsi"/>
          <w:b/>
          <w:bCs/>
          <w:color w:val="000000" w:themeColor="text1"/>
          <w:shd w:val="clear" w:color="auto" w:fill="FFFFFF"/>
        </w:rPr>
        <w:tab/>
        <w:t>COURT SHOULD NOT VENTURE INTO THE MERITS</w:t>
      </w:r>
    </w:p>
    <w:p w14:paraId="6BE31A7F" w14:textId="77777777" w:rsidR="008517C2" w:rsidRPr="00EC2758" w:rsidRDefault="008517C2" w:rsidP="00EC2758">
      <w:pPr>
        <w:tabs>
          <w:tab w:val="left" w:pos="709"/>
        </w:tabs>
        <w:spacing w:line="360" w:lineRule="auto"/>
        <w:jc w:val="both"/>
        <w:rPr>
          <w:rFonts w:asciiTheme="majorHAnsi" w:hAnsiTheme="majorHAnsi" w:cstheme="majorHAnsi"/>
          <w:b/>
          <w:bCs/>
          <w:color w:val="000000" w:themeColor="text1"/>
          <w:shd w:val="clear" w:color="auto" w:fill="FFFFFF"/>
        </w:rPr>
      </w:pPr>
    </w:p>
    <w:p w14:paraId="1FE40870" w14:textId="3236DC8D" w:rsidR="001A7DA6" w:rsidRPr="001A7DA6" w:rsidRDefault="00E5192C" w:rsidP="001A7DA6">
      <w:pPr>
        <w:tabs>
          <w:tab w:val="left" w:pos="709"/>
        </w:tabs>
        <w:spacing w:line="360" w:lineRule="auto"/>
        <w:ind w:left="709" w:hanging="709"/>
        <w:jc w:val="both"/>
        <w:rPr>
          <w:rFonts w:asciiTheme="majorHAnsi" w:hAnsiTheme="majorHAnsi" w:cstheme="majorHAnsi"/>
          <w:color w:val="000000" w:themeColor="text1"/>
          <w:shd w:val="clear" w:color="auto" w:fill="FFFFFF"/>
        </w:rPr>
      </w:pPr>
      <w:r w:rsidRPr="00EC2758">
        <w:rPr>
          <w:rFonts w:asciiTheme="majorHAnsi" w:hAnsiTheme="majorHAnsi" w:cstheme="majorHAnsi"/>
          <w:color w:val="000000" w:themeColor="text1"/>
          <w:shd w:val="clear" w:color="auto" w:fill="FFFFFF"/>
        </w:rPr>
        <w:t>[24]</w:t>
      </w:r>
      <w:r w:rsidRPr="00EC2758">
        <w:rPr>
          <w:rFonts w:asciiTheme="majorHAnsi" w:hAnsiTheme="majorHAnsi" w:cstheme="majorHAnsi"/>
          <w:color w:val="000000" w:themeColor="text1"/>
          <w:shd w:val="clear" w:color="auto" w:fill="FFFFFF"/>
        </w:rPr>
        <w:tab/>
      </w:r>
      <w:r w:rsidR="008517C2" w:rsidRPr="00EC2758">
        <w:rPr>
          <w:rFonts w:asciiTheme="majorHAnsi" w:hAnsiTheme="majorHAnsi" w:cstheme="majorHAnsi"/>
          <w:color w:val="000000" w:themeColor="text1"/>
          <w:shd w:val="clear" w:color="auto" w:fill="FFFFFF"/>
        </w:rPr>
        <w:t xml:space="preserve">He states that the Court should not venture into the merits and make a finding on the validity of the agreement, but only determine whether a </w:t>
      </w:r>
      <w:r w:rsidR="008517C2" w:rsidRPr="00963B37">
        <w:rPr>
          <w:rFonts w:asciiTheme="majorHAnsi" w:hAnsiTheme="majorHAnsi" w:cstheme="majorHAnsi"/>
          <w:i/>
          <w:iCs/>
          <w:color w:val="000000" w:themeColor="text1"/>
          <w:shd w:val="clear" w:color="auto" w:fill="FFFFFF"/>
        </w:rPr>
        <w:t xml:space="preserve">bona </w:t>
      </w:r>
      <w:r w:rsidR="00963B37" w:rsidRPr="00963B37">
        <w:rPr>
          <w:rFonts w:asciiTheme="majorHAnsi" w:hAnsiTheme="majorHAnsi" w:cstheme="majorHAnsi"/>
          <w:i/>
          <w:iCs/>
          <w:color w:val="000000" w:themeColor="text1"/>
          <w:shd w:val="clear" w:color="auto" w:fill="FFFFFF"/>
        </w:rPr>
        <w:t>fide</w:t>
      </w:r>
      <w:r w:rsidR="00963B37">
        <w:rPr>
          <w:rFonts w:asciiTheme="majorHAnsi" w:hAnsiTheme="majorHAnsi" w:cstheme="majorHAnsi"/>
          <w:color w:val="000000" w:themeColor="text1"/>
          <w:shd w:val="clear" w:color="auto" w:fill="FFFFFF"/>
        </w:rPr>
        <w:t xml:space="preserve"> </w:t>
      </w:r>
      <w:r w:rsidR="008517C2" w:rsidRPr="00EC2758">
        <w:rPr>
          <w:rFonts w:asciiTheme="majorHAnsi" w:hAnsiTheme="majorHAnsi" w:cstheme="majorHAnsi"/>
          <w:color w:val="000000" w:themeColor="text1"/>
          <w:shd w:val="clear" w:color="auto" w:fill="FFFFFF"/>
        </w:rPr>
        <w:t>defence is raised.</w:t>
      </w:r>
      <w:r w:rsidR="008D389F" w:rsidRPr="00EC2758">
        <w:rPr>
          <w:rFonts w:asciiTheme="majorHAnsi" w:hAnsiTheme="majorHAnsi" w:cstheme="majorHAnsi"/>
          <w:color w:val="000000" w:themeColor="text1"/>
          <w:shd w:val="clear" w:color="auto" w:fill="FFFFFF"/>
        </w:rPr>
        <w:t xml:space="preserve"> </w:t>
      </w:r>
      <w:r w:rsidR="00E62044" w:rsidRPr="00EC2758">
        <w:rPr>
          <w:rFonts w:asciiTheme="majorHAnsi" w:hAnsiTheme="majorHAnsi" w:cstheme="majorHAnsi"/>
          <w:color w:val="000000" w:themeColor="text1"/>
          <w:shd w:val="clear" w:color="auto" w:fill="FFFFFF"/>
        </w:rPr>
        <w:t xml:space="preserve">The Defendant not only raised the conclusion of the agreement, thereby implying some form of misplaced novation, but went further to state that he complied. Even if he does not have an onus, his own version shows that he failed to </w:t>
      </w:r>
      <w:r w:rsidR="00696423" w:rsidRPr="00EC2758">
        <w:rPr>
          <w:rFonts w:asciiTheme="majorHAnsi" w:hAnsiTheme="majorHAnsi" w:cstheme="majorHAnsi"/>
          <w:color w:val="000000" w:themeColor="text1"/>
          <w:shd w:val="clear" w:color="auto" w:fill="FFFFFF"/>
        </w:rPr>
        <w:t>comply</w:t>
      </w:r>
      <w:r w:rsidR="00E62044" w:rsidRPr="00EC2758">
        <w:rPr>
          <w:rFonts w:asciiTheme="majorHAnsi" w:hAnsiTheme="majorHAnsi" w:cstheme="majorHAnsi"/>
          <w:color w:val="000000" w:themeColor="text1"/>
          <w:shd w:val="clear" w:color="auto" w:fill="FFFFFF"/>
        </w:rPr>
        <w:t xml:space="preserve">. This is not unjustifiable venturing into the merits. It is the search for </w:t>
      </w:r>
      <w:r w:rsidR="00E62044" w:rsidRPr="00963B37">
        <w:rPr>
          <w:rFonts w:asciiTheme="majorHAnsi" w:hAnsiTheme="majorHAnsi" w:cstheme="majorHAnsi"/>
          <w:i/>
          <w:iCs/>
          <w:color w:val="000000" w:themeColor="text1"/>
          <w:shd w:val="clear" w:color="auto" w:fill="FFFFFF"/>
        </w:rPr>
        <w:t>bona</w:t>
      </w:r>
      <w:r w:rsidR="006A6908" w:rsidRPr="00963B37">
        <w:rPr>
          <w:rFonts w:asciiTheme="majorHAnsi" w:hAnsiTheme="majorHAnsi" w:cstheme="majorHAnsi"/>
          <w:i/>
          <w:iCs/>
          <w:color w:val="000000" w:themeColor="text1"/>
          <w:shd w:val="clear" w:color="auto" w:fill="FFFFFF"/>
        </w:rPr>
        <w:t xml:space="preserve"> </w:t>
      </w:r>
      <w:r w:rsidR="00E62044" w:rsidRPr="00963B37">
        <w:rPr>
          <w:rFonts w:asciiTheme="majorHAnsi" w:hAnsiTheme="majorHAnsi" w:cstheme="majorHAnsi"/>
          <w:i/>
          <w:iCs/>
          <w:color w:val="000000" w:themeColor="text1"/>
          <w:shd w:val="clear" w:color="auto" w:fill="FFFFFF"/>
        </w:rPr>
        <w:t>fides</w:t>
      </w:r>
      <w:r w:rsidR="00E62044" w:rsidRPr="00EC2758">
        <w:rPr>
          <w:rFonts w:asciiTheme="majorHAnsi" w:hAnsiTheme="majorHAnsi" w:cstheme="majorHAnsi"/>
          <w:color w:val="000000" w:themeColor="text1"/>
          <w:shd w:val="clear" w:color="auto" w:fill="FFFFFF"/>
        </w:rPr>
        <w:t xml:space="preserve">, which </w:t>
      </w:r>
      <w:r w:rsidR="006A6908" w:rsidRPr="00EC2758">
        <w:rPr>
          <w:rFonts w:asciiTheme="majorHAnsi" w:hAnsiTheme="majorHAnsi" w:cstheme="majorHAnsi"/>
          <w:color w:val="000000" w:themeColor="text1"/>
          <w:shd w:val="clear" w:color="auto" w:fill="FFFFFF"/>
        </w:rPr>
        <w:t xml:space="preserve">his </w:t>
      </w:r>
      <w:r w:rsidR="00E62044" w:rsidRPr="00EC2758">
        <w:rPr>
          <w:rFonts w:asciiTheme="majorHAnsi" w:hAnsiTheme="majorHAnsi" w:cstheme="majorHAnsi"/>
          <w:color w:val="000000" w:themeColor="text1"/>
          <w:shd w:val="clear" w:color="auto" w:fill="FFFFFF"/>
        </w:rPr>
        <w:t>defence lacks.</w:t>
      </w:r>
    </w:p>
    <w:p w14:paraId="0F0FCA63" w14:textId="509F3750" w:rsidR="00540967" w:rsidRPr="00EC2758" w:rsidRDefault="00540967" w:rsidP="00EC2758">
      <w:pPr>
        <w:tabs>
          <w:tab w:val="left" w:pos="709"/>
        </w:tabs>
        <w:spacing w:line="360" w:lineRule="auto"/>
        <w:jc w:val="both"/>
        <w:rPr>
          <w:rFonts w:asciiTheme="majorHAnsi" w:hAnsiTheme="majorHAnsi" w:cstheme="majorHAnsi"/>
          <w:b/>
          <w:bCs/>
          <w:color w:val="000000" w:themeColor="text1"/>
          <w:shd w:val="clear" w:color="auto" w:fill="FFFFFF"/>
        </w:rPr>
      </w:pPr>
      <w:r w:rsidRPr="00EC2758">
        <w:rPr>
          <w:rFonts w:asciiTheme="majorHAnsi" w:hAnsiTheme="majorHAnsi" w:cstheme="majorHAnsi"/>
          <w:b/>
          <w:bCs/>
          <w:color w:val="000000" w:themeColor="text1"/>
          <w:shd w:val="clear" w:color="auto" w:fill="FFFFFF"/>
        </w:rPr>
        <w:lastRenderedPageBreak/>
        <w:t>UNDERTAKING NOT TO PROCEED WITH ACTION</w:t>
      </w:r>
    </w:p>
    <w:p w14:paraId="5495CA5D" w14:textId="77777777" w:rsidR="00540967" w:rsidRPr="00EC2758" w:rsidRDefault="00540967" w:rsidP="00EC2758">
      <w:pPr>
        <w:tabs>
          <w:tab w:val="left" w:pos="709"/>
        </w:tabs>
        <w:spacing w:line="360" w:lineRule="auto"/>
        <w:jc w:val="both"/>
        <w:rPr>
          <w:rFonts w:asciiTheme="majorHAnsi" w:hAnsiTheme="majorHAnsi" w:cstheme="majorHAnsi"/>
          <w:b/>
          <w:bCs/>
          <w:color w:val="000000" w:themeColor="text1"/>
          <w:shd w:val="clear" w:color="auto" w:fill="FFFFFF"/>
        </w:rPr>
      </w:pPr>
    </w:p>
    <w:p w14:paraId="279266CD" w14:textId="2A888140" w:rsidR="00540967" w:rsidRPr="00EC2758" w:rsidRDefault="00E5192C" w:rsidP="00EC2758">
      <w:pPr>
        <w:tabs>
          <w:tab w:val="left" w:pos="709"/>
        </w:tabs>
        <w:spacing w:line="360" w:lineRule="auto"/>
        <w:ind w:left="709" w:hanging="709"/>
        <w:jc w:val="both"/>
        <w:rPr>
          <w:rFonts w:asciiTheme="majorHAnsi" w:hAnsiTheme="majorHAnsi" w:cstheme="majorHAnsi"/>
          <w:color w:val="000000" w:themeColor="text1"/>
          <w:shd w:val="clear" w:color="auto" w:fill="FFFFFF"/>
        </w:rPr>
      </w:pPr>
      <w:r w:rsidRPr="00EC2758">
        <w:rPr>
          <w:rFonts w:asciiTheme="majorHAnsi" w:hAnsiTheme="majorHAnsi" w:cstheme="majorHAnsi"/>
          <w:color w:val="000000" w:themeColor="text1"/>
          <w:shd w:val="clear" w:color="auto" w:fill="FFFFFF"/>
        </w:rPr>
        <w:t>[25]</w:t>
      </w:r>
      <w:r w:rsidRPr="00EC2758">
        <w:rPr>
          <w:rFonts w:asciiTheme="majorHAnsi" w:hAnsiTheme="majorHAnsi" w:cstheme="majorHAnsi"/>
          <w:color w:val="000000" w:themeColor="text1"/>
          <w:shd w:val="clear" w:color="auto" w:fill="FFFFFF"/>
        </w:rPr>
        <w:tab/>
      </w:r>
      <w:r w:rsidR="0044787A" w:rsidRPr="00EC2758">
        <w:rPr>
          <w:rFonts w:asciiTheme="majorHAnsi" w:hAnsiTheme="majorHAnsi" w:cstheme="majorHAnsi"/>
          <w:color w:val="000000" w:themeColor="text1"/>
          <w:shd w:val="clear" w:color="auto" w:fill="FFFFFF"/>
        </w:rPr>
        <w:t xml:space="preserve">He </w:t>
      </w:r>
      <w:r w:rsidR="00696423" w:rsidRPr="00EC2758">
        <w:rPr>
          <w:rFonts w:asciiTheme="majorHAnsi" w:hAnsiTheme="majorHAnsi" w:cstheme="majorHAnsi"/>
          <w:color w:val="000000" w:themeColor="text1"/>
          <w:shd w:val="clear" w:color="auto" w:fill="FFFFFF"/>
        </w:rPr>
        <w:t>maintains</w:t>
      </w:r>
      <w:r w:rsidR="0044787A" w:rsidRPr="00EC2758">
        <w:rPr>
          <w:rFonts w:asciiTheme="majorHAnsi" w:hAnsiTheme="majorHAnsi" w:cstheme="majorHAnsi"/>
          <w:color w:val="000000" w:themeColor="text1"/>
          <w:shd w:val="clear" w:color="auto" w:fill="FFFFFF"/>
        </w:rPr>
        <w:t xml:space="preserve"> that the Plaintiff’s attorneys informed him that “</w:t>
      </w:r>
      <w:r w:rsidR="0044787A" w:rsidRPr="00EC2758">
        <w:rPr>
          <w:rFonts w:asciiTheme="majorHAnsi" w:hAnsiTheme="majorHAnsi" w:cstheme="majorHAnsi"/>
          <w:i/>
          <w:iCs/>
          <w:color w:val="000000" w:themeColor="text1"/>
          <w:shd w:val="clear" w:color="auto" w:fill="FFFFFF"/>
        </w:rPr>
        <w:t xml:space="preserve">they are instructed not to proceed with legal action </w:t>
      </w:r>
      <w:r w:rsidR="0044787A" w:rsidRPr="00963B37">
        <w:rPr>
          <w:rFonts w:asciiTheme="majorHAnsi" w:hAnsiTheme="majorHAnsi" w:cstheme="majorHAnsi"/>
          <w:i/>
          <w:iCs/>
          <w:color w:val="000000" w:themeColor="text1"/>
          <w:u w:val="single"/>
          <w:shd w:val="clear" w:color="auto" w:fill="FFFFFF"/>
        </w:rPr>
        <w:t>at that stage</w:t>
      </w:r>
      <w:r w:rsidR="0044787A" w:rsidRPr="00EC2758">
        <w:rPr>
          <w:rFonts w:asciiTheme="majorHAnsi" w:hAnsiTheme="majorHAnsi" w:cstheme="majorHAnsi"/>
          <w:color w:val="000000" w:themeColor="text1"/>
          <w:shd w:val="clear" w:color="auto" w:fill="FFFFFF"/>
        </w:rPr>
        <w:t>”</w:t>
      </w:r>
      <w:r w:rsidR="00963B37">
        <w:rPr>
          <w:rFonts w:asciiTheme="majorHAnsi" w:hAnsiTheme="majorHAnsi" w:cstheme="majorHAnsi"/>
          <w:color w:val="000000" w:themeColor="text1"/>
          <w:shd w:val="clear" w:color="auto" w:fill="FFFFFF"/>
        </w:rPr>
        <w:t xml:space="preserve"> [my emphasis]</w:t>
      </w:r>
      <w:r w:rsidR="0044787A" w:rsidRPr="00EC2758">
        <w:rPr>
          <w:rFonts w:asciiTheme="majorHAnsi" w:hAnsiTheme="majorHAnsi" w:cstheme="majorHAnsi"/>
          <w:color w:val="000000" w:themeColor="text1"/>
          <w:shd w:val="clear" w:color="auto" w:fill="FFFFFF"/>
        </w:rPr>
        <w:t xml:space="preserve">. this is a far cry from withdrawing </w:t>
      </w:r>
      <w:r w:rsidR="00D86798">
        <w:rPr>
          <w:rFonts w:asciiTheme="majorHAnsi" w:hAnsiTheme="majorHAnsi" w:cstheme="majorHAnsi"/>
          <w:color w:val="000000" w:themeColor="text1"/>
          <w:shd w:val="clear" w:color="auto" w:fill="FFFFFF"/>
        </w:rPr>
        <w:t xml:space="preserve">an </w:t>
      </w:r>
      <w:r w:rsidR="0044787A" w:rsidRPr="00EC2758">
        <w:rPr>
          <w:rFonts w:asciiTheme="majorHAnsi" w:hAnsiTheme="majorHAnsi" w:cstheme="majorHAnsi"/>
          <w:color w:val="000000" w:themeColor="text1"/>
          <w:shd w:val="clear" w:color="auto" w:fill="FFFFFF"/>
        </w:rPr>
        <w:t>action. Even the letter of the Defendant’s attorney made it clear that action was only pended.</w:t>
      </w:r>
      <w:r w:rsidR="00D573D9" w:rsidRPr="00EC2758">
        <w:rPr>
          <w:rStyle w:val="FootnoteReference"/>
          <w:rFonts w:asciiTheme="majorHAnsi" w:hAnsiTheme="majorHAnsi" w:cstheme="majorHAnsi"/>
          <w:color w:val="000000" w:themeColor="text1"/>
          <w:shd w:val="clear" w:color="auto" w:fill="FFFFFF"/>
        </w:rPr>
        <w:footnoteReference w:id="19"/>
      </w:r>
      <w:r w:rsidR="0044787A" w:rsidRPr="00EC2758">
        <w:rPr>
          <w:rFonts w:asciiTheme="majorHAnsi" w:hAnsiTheme="majorHAnsi" w:cstheme="majorHAnsi"/>
          <w:color w:val="000000" w:themeColor="text1"/>
          <w:shd w:val="clear" w:color="auto" w:fill="FFFFFF"/>
        </w:rPr>
        <w:t xml:space="preserve"> </w:t>
      </w:r>
    </w:p>
    <w:p w14:paraId="34652D83" w14:textId="77777777" w:rsidR="00696423" w:rsidRPr="00EC2758" w:rsidRDefault="00696423" w:rsidP="00EC2758">
      <w:pPr>
        <w:tabs>
          <w:tab w:val="left" w:pos="709"/>
        </w:tabs>
        <w:spacing w:line="360" w:lineRule="auto"/>
        <w:jc w:val="both"/>
        <w:rPr>
          <w:rFonts w:asciiTheme="majorHAnsi" w:hAnsiTheme="majorHAnsi" w:cstheme="majorHAnsi"/>
          <w:color w:val="000000" w:themeColor="text1"/>
        </w:rPr>
      </w:pPr>
    </w:p>
    <w:p w14:paraId="714B1F2D" w14:textId="377E09D5" w:rsidR="00D550FB" w:rsidRPr="00EC2758" w:rsidRDefault="00E5192C" w:rsidP="00EC2758">
      <w:pPr>
        <w:tabs>
          <w:tab w:val="left" w:pos="709"/>
        </w:tabs>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[26]</w:t>
      </w:r>
      <w:r w:rsidRPr="00EC2758">
        <w:rPr>
          <w:rFonts w:asciiTheme="majorHAnsi" w:hAnsiTheme="majorHAnsi" w:cstheme="majorHAnsi"/>
          <w:color w:val="000000" w:themeColor="text1"/>
        </w:rPr>
        <w:tab/>
      </w:r>
      <w:r w:rsidR="00D473F5" w:rsidRPr="00EC2758">
        <w:rPr>
          <w:rFonts w:asciiTheme="majorHAnsi" w:hAnsiTheme="majorHAnsi" w:cstheme="majorHAnsi"/>
          <w:color w:val="000000" w:themeColor="text1"/>
        </w:rPr>
        <w:t>H</w:t>
      </w:r>
      <w:r w:rsidR="00696423" w:rsidRPr="00EC2758">
        <w:rPr>
          <w:rFonts w:asciiTheme="majorHAnsi" w:hAnsiTheme="majorHAnsi" w:cstheme="majorHAnsi"/>
          <w:color w:val="000000" w:themeColor="text1"/>
        </w:rPr>
        <w:t>e</w:t>
      </w:r>
      <w:r w:rsidR="00577225" w:rsidRPr="00EC2758">
        <w:rPr>
          <w:rFonts w:asciiTheme="majorHAnsi" w:hAnsiTheme="majorHAnsi" w:cstheme="majorHAnsi"/>
          <w:color w:val="000000" w:themeColor="text1"/>
        </w:rPr>
        <w:t xml:space="preserve"> </w:t>
      </w:r>
      <w:r w:rsidR="00696423" w:rsidRPr="00EC2758">
        <w:rPr>
          <w:rFonts w:asciiTheme="majorHAnsi" w:hAnsiTheme="majorHAnsi" w:cstheme="majorHAnsi"/>
          <w:color w:val="000000" w:themeColor="text1"/>
        </w:rPr>
        <w:t xml:space="preserve">takes </w:t>
      </w:r>
      <w:r w:rsidR="001117AC" w:rsidRPr="00EC2758">
        <w:rPr>
          <w:rFonts w:asciiTheme="majorHAnsi" w:hAnsiTheme="majorHAnsi" w:cstheme="majorHAnsi"/>
          <w:color w:val="000000" w:themeColor="text1"/>
        </w:rPr>
        <w:t xml:space="preserve">issue </w:t>
      </w:r>
      <w:r w:rsidR="005761D2" w:rsidRPr="00EC2758">
        <w:rPr>
          <w:rFonts w:asciiTheme="majorHAnsi" w:hAnsiTheme="majorHAnsi" w:cstheme="majorHAnsi"/>
          <w:color w:val="000000" w:themeColor="text1"/>
        </w:rPr>
        <w:t xml:space="preserve"> that the loan agreement does not specify punctual monthly payments and he in any event made such payments.  He fell in arrears as a result </w:t>
      </w:r>
      <w:r w:rsidR="000E4934" w:rsidRPr="00EC2758">
        <w:rPr>
          <w:rFonts w:asciiTheme="majorHAnsi" w:hAnsiTheme="majorHAnsi" w:cstheme="majorHAnsi"/>
          <w:color w:val="000000" w:themeColor="text1"/>
        </w:rPr>
        <w:t>of</w:t>
      </w:r>
      <w:r w:rsidR="005761D2" w:rsidRPr="00EC2758">
        <w:rPr>
          <w:rFonts w:asciiTheme="majorHAnsi" w:hAnsiTheme="majorHAnsi" w:cstheme="majorHAnsi"/>
          <w:color w:val="000000" w:themeColor="text1"/>
        </w:rPr>
        <w:t xml:space="preserve"> short-payment on the bond instalment and not due to failure to make punctual monthly payments.</w:t>
      </w:r>
      <w:r w:rsidR="005761D2" w:rsidRPr="00EC2758">
        <w:rPr>
          <w:rStyle w:val="FootnoteReference"/>
          <w:rFonts w:asciiTheme="majorHAnsi" w:hAnsiTheme="majorHAnsi" w:cstheme="majorHAnsi"/>
          <w:color w:val="000000" w:themeColor="text1"/>
        </w:rPr>
        <w:footnoteReference w:id="20"/>
      </w:r>
      <w:r w:rsidR="005761D2" w:rsidRPr="00EC2758">
        <w:rPr>
          <w:rFonts w:asciiTheme="majorHAnsi" w:hAnsiTheme="majorHAnsi" w:cstheme="majorHAnsi"/>
          <w:color w:val="000000" w:themeColor="text1"/>
        </w:rPr>
        <w:t xml:space="preserve">  </w:t>
      </w:r>
    </w:p>
    <w:p w14:paraId="69F7EF1E" w14:textId="77777777" w:rsidR="00D550FB" w:rsidRPr="00EC2758" w:rsidRDefault="00D550FB" w:rsidP="00EC2758">
      <w:pPr>
        <w:tabs>
          <w:tab w:val="left" w:pos="709"/>
        </w:tabs>
        <w:spacing w:line="360" w:lineRule="auto"/>
        <w:ind w:left="709" w:hanging="709"/>
        <w:jc w:val="both"/>
        <w:rPr>
          <w:rFonts w:asciiTheme="majorHAnsi" w:hAnsiTheme="majorHAnsi" w:cstheme="majorHAnsi"/>
          <w:color w:val="000000" w:themeColor="text1"/>
        </w:rPr>
      </w:pPr>
    </w:p>
    <w:p w14:paraId="679D2FC8" w14:textId="51D342C6" w:rsidR="005761D2" w:rsidRPr="00EC2758" w:rsidRDefault="00D550FB" w:rsidP="00EC2758">
      <w:pPr>
        <w:tabs>
          <w:tab w:val="left" w:pos="709"/>
        </w:tabs>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[2</w:t>
      </w:r>
      <w:r w:rsidR="00E5192C" w:rsidRPr="00EC2758">
        <w:rPr>
          <w:rFonts w:asciiTheme="majorHAnsi" w:hAnsiTheme="majorHAnsi" w:cstheme="majorHAnsi"/>
          <w:color w:val="000000" w:themeColor="text1"/>
        </w:rPr>
        <w:t>7</w:t>
      </w:r>
      <w:r w:rsidRPr="00EC2758">
        <w:rPr>
          <w:rFonts w:asciiTheme="majorHAnsi" w:hAnsiTheme="majorHAnsi" w:cstheme="majorHAnsi"/>
          <w:color w:val="000000" w:themeColor="text1"/>
        </w:rPr>
        <w:t>]</w:t>
      </w:r>
      <w:r w:rsidR="005761D2" w:rsidRPr="00EC2758">
        <w:rPr>
          <w:rFonts w:asciiTheme="majorHAnsi" w:hAnsiTheme="majorHAnsi" w:cstheme="majorHAnsi"/>
          <w:color w:val="000000" w:themeColor="text1"/>
        </w:rPr>
        <w:tab/>
        <w:t>The loan agreement, however, specify that the monthly repayment amount, excluding other fees, is R20 329.11, which has to be paid over a period of two hundred and forty (24</w:t>
      </w:r>
      <w:r w:rsidR="00D86798">
        <w:rPr>
          <w:rFonts w:asciiTheme="majorHAnsi" w:hAnsiTheme="majorHAnsi" w:cstheme="majorHAnsi"/>
          <w:color w:val="000000" w:themeColor="text1"/>
        </w:rPr>
        <w:t>0</w:t>
      </w:r>
      <w:r w:rsidR="005761D2" w:rsidRPr="00EC2758">
        <w:rPr>
          <w:rFonts w:asciiTheme="majorHAnsi" w:hAnsiTheme="majorHAnsi" w:cstheme="majorHAnsi"/>
          <w:color w:val="000000" w:themeColor="text1"/>
        </w:rPr>
        <w:t>) months.</w:t>
      </w:r>
      <w:r w:rsidR="005761D2" w:rsidRPr="00EC2758">
        <w:rPr>
          <w:rStyle w:val="FootnoteReference"/>
          <w:rFonts w:asciiTheme="majorHAnsi" w:hAnsiTheme="majorHAnsi" w:cstheme="majorHAnsi"/>
          <w:color w:val="000000" w:themeColor="text1"/>
        </w:rPr>
        <w:footnoteReference w:id="21"/>
      </w:r>
      <w:r w:rsidR="005761D2" w:rsidRPr="00EC2758">
        <w:rPr>
          <w:rFonts w:asciiTheme="majorHAnsi" w:hAnsiTheme="majorHAnsi" w:cstheme="majorHAnsi"/>
          <w:color w:val="000000" w:themeColor="text1"/>
        </w:rPr>
        <w:t xml:space="preserve">  The bond document states that the bond is a continuing covering security in terms of or arising out of the provisions of any loan agreement entered into between the parties.</w:t>
      </w:r>
      <w:r w:rsidR="005761D2" w:rsidRPr="00EC2758">
        <w:rPr>
          <w:rStyle w:val="FootnoteReference"/>
          <w:rFonts w:asciiTheme="majorHAnsi" w:hAnsiTheme="majorHAnsi" w:cstheme="majorHAnsi"/>
          <w:color w:val="000000" w:themeColor="text1"/>
        </w:rPr>
        <w:footnoteReference w:id="22"/>
      </w:r>
    </w:p>
    <w:p w14:paraId="143EFC5A" w14:textId="77777777" w:rsidR="00D550FB" w:rsidRPr="00EC2758" w:rsidRDefault="00D550FB" w:rsidP="00EC2758">
      <w:pPr>
        <w:tabs>
          <w:tab w:val="left" w:pos="709"/>
        </w:tabs>
        <w:spacing w:line="360" w:lineRule="auto"/>
        <w:ind w:left="709" w:hanging="709"/>
        <w:jc w:val="both"/>
        <w:rPr>
          <w:rFonts w:asciiTheme="majorHAnsi" w:hAnsiTheme="majorHAnsi" w:cstheme="majorHAnsi"/>
          <w:color w:val="000000" w:themeColor="text1"/>
        </w:rPr>
      </w:pPr>
    </w:p>
    <w:p w14:paraId="4F63C35D" w14:textId="33B86355" w:rsidR="00D550FB" w:rsidRPr="00EC2758" w:rsidRDefault="00D550FB" w:rsidP="00EC2758">
      <w:pPr>
        <w:pStyle w:val="BodyTextIndent"/>
        <w:widowControl w:val="0"/>
        <w:tabs>
          <w:tab w:val="left" w:pos="709"/>
        </w:tabs>
        <w:rPr>
          <w:rFonts w:asciiTheme="majorHAnsi" w:hAnsiTheme="majorHAnsi" w:cstheme="majorHAnsi"/>
          <w:color w:val="000000" w:themeColor="text1"/>
        </w:rPr>
      </w:pPr>
      <w:r w:rsidRPr="00EC2758">
        <w:rPr>
          <w:rFonts w:asciiTheme="majorHAnsi" w:hAnsiTheme="majorHAnsi" w:cstheme="majorHAnsi"/>
          <w:color w:val="000000" w:themeColor="text1"/>
        </w:rPr>
        <w:t>[2</w:t>
      </w:r>
      <w:r w:rsidR="00E5192C" w:rsidRPr="00EC2758">
        <w:rPr>
          <w:rFonts w:asciiTheme="majorHAnsi" w:hAnsiTheme="majorHAnsi" w:cstheme="majorHAnsi"/>
          <w:color w:val="000000" w:themeColor="text1"/>
        </w:rPr>
        <w:t>8</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r>
      <w:r w:rsidR="005761D2" w:rsidRPr="00EC2758">
        <w:rPr>
          <w:rFonts w:asciiTheme="majorHAnsi" w:hAnsiTheme="majorHAnsi" w:cstheme="majorHAnsi"/>
          <w:color w:val="000000" w:themeColor="text1"/>
        </w:rPr>
        <w:t xml:space="preserve">Strangely, the Defendant admits that as of 24 October 2019 he was in arrears </w:t>
      </w:r>
      <w:r w:rsidR="00D86798">
        <w:rPr>
          <w:rFonts w:asciiTheme="majorHAnsi" w:hAnsiTheme="majorHAnsi" w:cstheme="majorHAnsi"/>
          <w:color w:val="000000" w:themeColor="text1"/>
        </w:rPr>
        <w:t xml:space="preserve">with </w:t>
      </w:r>
      <w:r w:rsidR="005761D2" w:rsidRPr="00EC2758">
        <w:rPr>
          <w:rFonts w:asciiTheme="majorHAnsi" w:hAnsiTheme="majorHAnsi" w:cstheme="majorHAnsi"/>
          <w:color w:val="000000" w:themeColor="text1"/>
        </w:rPr>
        <w:t>R78 305.51, but further states that it has been settled thereby eliminating the Plaintiff’s cause of action.</w:t>
      </w:r>
      <w:r w:rsidR="005761D2" w:rsidRPr="00EC2758">
        <w:rPr>
          <w:rStyle w:val="FootnoteReference"/>
          <w:rFonts w:asciiTheme="majorHAnsi" w:hAnsiTheme="majorHAnsi" w:cstheme="majorHAnsi"/>
          <w:color w:val="000000" w:themeColor="text1"/>
        </w:rPr>
        <w:footnoteReference w:id="23"/>
      </w:r>
      <w:r w:rsidR="005761D2" w:rsidRPr="00EC2758">
        <w:rPr>
          <w:rFonts w:asciiTheme="majorHAnsi" w:hAnsiTheme="majorHAnsi" w:cstheme="majorHAnsi"/>
          <w:color w:val="000000" w:themeColor="text1"/>
        </w:rPr>
        <w:t xml:space="preserve">  He takes issue with the Certificate of Balance stating that it has become moot as the arrears as on 24 October 2019 was settled in full.</w:t>
      </w:r>
      <w:r w:rsidR="005761D2" w:rsidRPr="00EC2758">
        <w:rPr>
          <w:rStyle w:val="FootnoteReference"/>
          <w:rFonts w:asciiTheme="majorHAnsi" w:hAnsiTheme="majorHAnsi" w:cstheme="majorHAnsi"/>
          <w:color w:val="000000" w:themeColor="text1"/>
        </w:rPr>
        <w:footnoteReference w:id="24"/>
      </w:r>
      <w:r w:rsidR="005761D2" w:rsidRPr="00EC2758">
        <w:rPr>
          <w:rFonts w:asciiTheme="majorHAnsi" w:hAnsiTheme="majorHAnsi" w:cstheme="majorHAnsi"/>
          <w:color w:val="000000" w:themeColor="text1"/>
        </w:rPr>
        <w:t xml:space="preserve">  I am of the view that the Defendant’s acceptance of the term in the e-mail of </w:t>
      </w:r>
      <w:r w:rsidR="00D86798">
        <w:rPr>
          <w:rFonts w:asciiTheme="majorHAnsi" w:hAnsiTheme="majorHAnsi" w:cstheme="majorHAnsi"/>
          <w:color w:val="000000" w:themeColor="text1"/>
        </w:rPr>
        <w:t>the Plaintiff</w:t>
      </w:r>
      <w:r w:rsidR="005761D2" w:rsidRPr="00EC2758">
        <w:rPr>
          <w:rFonts w:asciiTheme="majorHAnsi" w:hAnsiTheme="majorHAnsi" w:cstheme="majorHAnsi"/>
          <w:color w:val="000000" w:themeColor="text1"/>
        </w:rPr>
        <w:t xml:space="preserve"> dated 11 October 2022, which exceeded th</w:t>
      </w:r>
      <w:r w:rsidR="009D1601">
        <w:rPr>
          <w:rFonts w:asciiTheme="majorHAnsi" w:hAnsiTheme="majorHAnsi" w:cstheme="majorHAnsi"/>
          <w:color w:val="000000" w:themeColor="text1"/>
        </w:rPr>
        <w:t>e</w:t>
      </w:r>
      <w:r w:rsidR="005761D2" w:rsidRPr="00EC2758">
        <w:rPr>
          <w:rFonts w:asciiTheme="majorHAnsi" w:hAnsiTheme="majorHAnsi" w:cstheme="majorHAnsi"/>
          <w:color w:val="000000" w:themeColor="text1"/>
        </w:rPr>
        <w:t xml:space="preserve"> amount in the certificate, and which terms he accepted in fact confirms his indebtedness. </w:t>
      </w:r>
    </w:p>
    <w:p w14:paraId="4947660B" w14:textId="3B13B7F6" w:rsidR="003533A8" w:rsidRPr="00EC2758" w:rsidRDefault="001A7DA6" w:rsidP="00EC2758">
      <w:pPr>
        <w:pStyle w:val="BodyTextIndent"/>
        <w:widowControl w:val="0"/>
        <w:tabs>
          <w:tab w:val="left" w:pos="709"/>
        </w:tabs>
        <w:rPr>
          <w:rFonts w:asciiTheme="majorHAnsi" w:hAnsiTheme="majorHAnsi" w:cstheme="majorHAnsi"/>
          <w:color w:val="000000" w:themeColor="text1"/>
        </w:rPr>
      </w:pPr>
      <w:r w:rsidRPr="00EC2758">
        <w:rPr>
          <w:rFonts w:asciiTheme="majorHAnsi" w:hAnsiTheme="majorHAnsi" w:cstheme="majorHAnsi"/>
          <w:color w:val="000000" w:themeColor="text1"/>
        </w:rPr>
        <w:lastRenderedPageBreak/>
        <w:t xml:space="preserve"> </w:t>
      </w:r>
      <w:r w:rsidR="003533A8" w:rsidRPr="00EC2758">
        <w:rPr>
          <w:rFonts w:asciiTheme="majorHAnsi" w:hAnsiTheme="majorHAnsi" w:cstheme="majorHAnsi"/>
          <w:color w:val="000000" w:themeColor="text1"/>
        </w:rPr>
        <w:t>[2</w:t>
      </w:r>
      <w:r w:rsidR="00E5192C" w:rsidRPr="00EC2758">
        <w:rPr>
          <w:rFonts w:asciiTheme="majorHAnsi" w:hAnsiTheme="majorHAnsi" w:cstheme="majorHAnsi"/>
          <w:color w:val="000000" w:themeColor="text1"/>
        </w:rPr>
        <w:t>9</w:t>
      </w:r>
      <w:r w:rsidR="003533A8" w:rsidRPr="00EC2758">
        <w:rPr>
          <w:rFonts w:asciiTheme="majorHAnsi" w:hAnsiTheme="majorHAnsi" w:cstheme="majorHAnsi"/>
          <w:color w:val="000000" w:themeColor="text1"/>
        </w:rPr>
        <w:t>]</w:t>
      </w:r>
      <w:r w:rsidR="003533A8" w:rsidRPr="00EC2758">
        <w:rPr>
          <w:rFonts w:asciiTheme="majorHAnsi" w:hAnsiTheme="majorHAnsi" w:cstheme="majorHAnsi"/>
          <w:color w:val="000000" w:themeColor="text1"/>
        </w:rPr>
        <w:tab/>
        <w:t xml:space="preserve">The defence that </w:t>
      </w:r>
      <w:r w:rsidR="009D1601">
        <w:rPr>
          <w:rFonts w:asciiTheme="majorHAnsi" w:hAnsiTheme="majorHAnsi" w:cstheme="majorHAnsi"/>
          <w:color w:val="000000" w:themeColor="text1"/>
        </w:rPr>
        <w:t xml:space="preserve">the </w:t>
      </w:r>
      <w:r w:rsidR="003533A8" w:rsidRPr="00EC2758">
        <w:rPr>
          <w:rFonts w:asciiTheme="majorHAnsi" w:hAnsiTheme="majorHAnsi" w:cstheme="majorHAnsi"/>
          <w:color w:val="000000" w:themeColor="text1"/>
        </w:rPr>
        <w:t xml:space="preserve">Plaintiff was not entitled to amend the pleadings whilst the parties were still in negotiations does not hold water.  The particulars of claim, which would then reflect the correct position at that stage, would be merely to ensure that nothing more is claimed than what the Defendant is indebted.  This was fully justified in view of the fact that litigation was pended and the Plaintiff’s pleadings and e-mails cannot be read as to nullify the </w:t>
      </w:r>
      <w:r w:rsidR="009D1601">
        <w:rPr>
          <w:rFonts w:asciiTheme="majorHAnsi" w:hAnsiTheme="majorHAnsi" w:cstheme="majorHAnsi"/>
          <w:color w:val="000000" w:themeColor="text1"/>
        </w:rPr>
        <w:t>action</w:t>
      </w:r>
      <w:r w:rsidR="003533A8" w:rsidRPr="00EC2758">
        <w:rPr>
          <w:rFonts w:asciiTheme="majorHAnsi" w:hAnsiTheme="majorHAnsi" w:cstheme="majorHAnsi"/>
          <w:color w:val="000000" w:themeColor="text1"/>
        </w:rPr>
        <w:t xml:space="preserve"> already instituted.</w:t>
      </w:r>
    </w:p>
    <w:p w14:paraId="532290C2" w14:textId="77777777" w:rsidR="003533A8" w:rsidRPr="00EC2758" w:rsidRDefault="003533A8" w:rsidP="00EC2758">
      <w:pPr>
        <w:pStyle w:val="BodyTextIndent"/>
        <w:widowControl w:val="0"/>
        <w:tabs>
          <w:tab w:val="left" w:pos="709"/>
        </w:tabs>
        <w:rPr>
          <w:rFonts w:asciiTheme="majorHAnsi" w:hAnsiTheme="majorHAnsi" w:cstheme="majorHAnsi"/>
          <w:color w:val="000000" w:themeColor="text1"/>
        </w:rPr>
      </w:pPr>
    </w:p>
    <w:p w14:paraId="06F7A2F0" w14:textId="47A4479B" w:rsidR="006027C4" w:rsidRPr="00EC2758" w:rsidRDefault="006027C4" w:rsidP="00EC2758">
      <w:pPr>
        <w:pStyle w:val="BodyTextIndent"/>
        <w:widowControl w:val="0"/>
        <w:tabs>
          <w:tab w:val="left" w:pos="709"/>
        </w:tabs>
        <w:rPr>
          <w:rFonts w:asciiTheme="majorHAnsi" w:hAnsiTheme="majorHAnsi" w:cstheme="majorHAnsi"/>
          <w:b/>
          <w:bCs/>
          <w:color w:val="000000" w:themeColor="text1"/>
        </w:rPr>
      </w:pPr>
      <w:r w:rsidRPr="00EC2758">
        <w:rPr>
          <w:rFonts w:asciiTheme="majorHAnsi" w:hAnsiTheme="majorHAnsi" w:cstheme="majorHAnsi"/>
          <w:b/>
          <w:bCs/>
          <w:color w:val="000000" w:themeColor="text1"/>
        </w:rPr>
        <w:tab/>
      </w:r>
      <w:r w:rsidR="00EC40A8" w:rsidRPr="00EC2758">
        <w:rPr>
          <w:rFonts w:asciiTheme="majorHAnsi" w:hAnsiTheme="majorHAnsi" w:cstheme="majorHAnsi"/>
          <w:b/>
          <w:bCs/>
          <w:color w:val="000000" w:themeColor="text1"/>
        </w:rPr>
        <w:t xml:space="preserve">LEGAL PRINCIPLES AND </w:t>
      </w:r>
      <w:r w:rsidRPr="00EC2758">
        <w:rPr>
          <w:rFonts w:asciiTheme="majorHAnsi" w:hAnsiTheme="majorHAnsi" w:cstheme="majorHAnsi"/>
          <w:b/>
          <w:bCs/>
          <w:color w:val="000000" w:themeColor="text1"/>
        </w:rPr>
        <w:t>ARGUMENTS</w:t>
      </w:r>
    </w:p>
    <w:p w14:paraId="190265B5" w14:textId="77777777" w:rsidR="006027C4" w:rsidRPr="00EC2758" w:rsidRDefault="006027C4" w:rsidP="00EC2758">
      <w:pPr>
        <w:pStyle w:val="BodyTextIndent"/>
        <w:widowControl w:val="0"/>
        <w:tabs>
          <w:tab w:val="left" w:pos="709"/>
        </w:tabs>
        <w:rPr>
          <w:rFonts w:asciiTheme="majorHAnsi" w:hAnsiTheme="majorHAnsi" w:cstheme="majorHAnsi"/>
          <w:b/>
          <w:bCs/>
          <w:color w:val="000000" w:themeColor="text1"/>
        </w:rPr>
      </w:pPr>
    </w:p>
    <w:p w14:paraId="7018375E" w14:textId="2CED8B90" w:rsidR="003533A8" w:rsidRPr="00EC2758" w:rsidRDefault="003533A8" w:rsidP="00EC2758">
      <w:pPr>
        <w:pStyle w:val="BodyTextIndent"/>
        <w:widowControl w:val="0"/>
        <w:tabs>
          <w:tab w:val="left" w:pos="709"/>
        </w:tabs>
        <w:rPr>
          <w:rFonts w:asciiTheme="majorHAnsi" w:hAnsiTheme="majorHAnsi" w:cstheme="majorHAnsi"/>
          <w:color w:val="000000" w:themeColor="text1"/>
        </w:rPr>
      </w:pPr>
      <w:r w:rsidRPr="00EC2758">
        <w:rPr>
          <w:rFonts w:asciiTheme="majorHAnsi" w:hAnsiTheme="majorHAnsi" w:cstheme="majorHAnsi"/>
          <w:color w:val="000000" w:themeColor="text1"/>
        </w:rPr>
        <w:t>[</w:t>
      </w:r>
      <w:r w:rsidR="00E5192C" w:rsidRPr="00EC2758">
        <w:rPr>
          <w:rFonts w:asciiTheme="majorHAnsi" w:hAnsiTheme="majorHAnsi" w:cstheme="majorHAnsi"/>
          <w:color w:val="000000" w:themeColor="text1"/>
        </w:rPr>
        <w:t>30</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t>Mr van der Merwe submits that Rule 32 gives the Court a discretion to refuse summary judgment</w:t>
      </w:r>
      <w:r w:rsidR="009D1601">
        <w:rPr>
          <w:rFonts w:asciiTheme="majorHAnsi" w:hAnsiTheme="majorHAnsi" w:cstheme="majorHAnsi"/>
          <w:color w:val="000000" w:themeColor="text1"/>
        </w:rPr>
        <w:t>. H</w:t>
      </w:r>
      <w:r w:rsidRPr="00EC2758">
        <w:rPr>
          <w:rFonts w:asciiTheme="majorHAnsi" w:hAnsiTheme="majorHAnsi" w:cstheme="majorHAnsi"/>
          <w:color w:val="000000" w:themeColor="text1"/>
        </w:rPr>
        <w:t>owever, the discretion should be exercised judicially and should not be exercised in favour of the Defendant based on mere conjecture or speculation.</w:t>
      </w:r>
      <w:r w:rsidRPr="00EC2758">
        <w:rPr>
          <w:rStyle w:val="FootnoteReference"/>
          <w:rFonts w:asciiTheme="majorHAnsi" w:hAnsiTheme="majorHAnsi" w:cstheme="majorHAnsi"/>
          <w:color w:val="000000" w:themeColor="text1"/>
        </w:rPr>
        <w:footnoteReference w:id="25"/>
      </w:r>
      <w:r w:rsidR="00E67917" w:rsidRPr="00EC2758">
        <w:rPr>
          <w:rFonts w:asciiTheme="majorHAnsi" w:hAnsiTheme="majorHAnsi" w:cstheme="majorHAnsi"/>
          <w:color w:val="000000" w:themeColor="text1"/>
        </w:rPr>
        <w:t xml:space="preserve"> The Supreme Court of Appe</w:t>
      </w:r>
      <w:r w:rsidR="00863988" w:rsidRPr="00EC2758">
        <w:rPr>
          <w:rFonts w:asciiTheme="majorHAnsi" w:hAnsiTheme="majorHAnsi" w:cstheme="majorHAnsi"/>
          <w:color w:val="000000" w:themeColor="text1"/>
        </w:rPr>
        <w:t>al</w:t>
      </w:r>
      <w:r w:rsidR="00E67917" w:rsidRPr="00EC2758">
        <w:rPr>
          <w:rFonts w:asciiTheme="majorHAnsi" w:hAnsiTheme="majorHAnsi" w:cstheme="majorHAnsi"/>
          <w:color w:val="000000" w:themeColor="text1"/>
        </w:rPr>
        <w:t xml:space="preserve"> held:</w:t>
      </w:r>
    </w:p>
    <w:p w14:paraId="736DCFC0" w14:textId="77777777" w:rsidR="00863988" w:rsidRPr="00EC2758" w:rsidRDefault="00863988" w:rsidP="00EC2758">
      <w:pPr>
        <w:pStyle w:val="BodyTextIndent"/>
        <w:widowControl w:val="0"/>
        <w:tabs>
          <w:tab w:val="left" w:pos="709"/>
        </w:tabs>
        <w:rPr>
          <w:rFonts w:asciiTheme="majorHAnsi" w:hAnsiTheme="majorHAnsi" w:cstheme="majorHAnsi"/>
          <w:color w:val="000000" w:themeColor="text1"/>
        </w:rPr>
      </w:pPr>
    </w:p>
    <w:p w14:paraId="6CC17BA4" w14:textId="6FBA2B2E" w:rsidR="00E67917" w:rsidRPr="00EC2758" w:rsidRDefault="00863988" w:rsidP="00EC2758">
      <w:pPr>
        <w:pStyle w:val="BodyTextIndent"/>
        <w:widowControl w:val="0"/>
        <w:tabs>
          <w:tab w:val="left" w:pos="709"/>
        </w:tabs>
        <w:ind w:left="2268" w:hanging="850"/>
        <w:rPr>
          <w:rFonts w:asciiTheme="majorHAnsi" w:hAnsiTheme="majorHAnsi" w:cstheme="majorHAnsi"/>
          <w:i/>
          <w:iCs/>
          <w:color w:val="000000" w:themeColor="text1"/>
          <w:sz w:val="20"/>
          <w:szCs w:val="20"/>
        </w:rPr>
      </w:pPr>
      <w:r w:rsidRPr="00EC2758">
        <w:rPr>
          <w:rFonts w:asciiTheme="majorHAnsi" w:hAnsiTheme="majorHAnsi" w:cstheme="majorHAnsi"/>
          <w:color w:val="000000" w:themeColor="text1"/>
          <w:sz w:val="20"/>
          <w:szCs w:val="20"/>
        </w:rPr>
        <w:t>“</w:t>
      </w:r>
      <w:r w:rsidR="00E67917" w:rsidRPr="00EC2758">
        <w:rPr>
          <w:rFonts w:asciiTheme="majorHAnsi" w:hAnsiTheme="majorHAnsi" w:cstheme="majorHAnsi"/>
          <w:i/>
          <w:iCs/>
          <w:color w:val="000000" w:themeColor="text1"/>
          <w:sz w:val="20"/>
          <w:szCs w:val="20"/>
        </w:rPr>
        <w:t>[14]</w:t>
      </w:r>
      <w:r w:rsidRPr="00EC2758">
        <w:rPr>
          <w:rFonts w:asciiTheme="majorHAnsi" w:hAnsiTheme="majorHAnsi" w:cstheme="majorHAnsi"/>
          <w:i/>
          <w:iCs/>
          <w:color w:val="000000" w:themeColor="text1"/>
          <w:sz w:val="20"/>
          <w:szCs w:val="20"/>
        </w:rPr>
        <w:tab/>
      </w:r>
      <w:r w:rsidR="00E67917" w:rsidRPr="00EC2758">
        <w:rPr>
          <w:rFonts w:asciiTheme="majorHAnsi" w:hAnsiTheme="majorHAnsi" w:cstheme="majorHAnsi"/>
          <w:i/>
          <w:iCs/>
          <w:color w:val="000000" w:themeColor="text1"/>
          <w:sz w:val="20"/>
          <w:szCs w:val="20"/>
          <w:u w:val="single"/>
        </w:rPr>
        <w:t>It is a different matter where the liability of the defendant is undisputed</w:t>
      </w:r>
      <w:r w:rsidR="00E67917" w:rsidRPr="00EC2758">
        <w:rPr>
          <w:rFonts w:asciiTheme="majorHAnsi" w:hAnsiTheme="majorHAnsi" w:cstheme="majorHAnsi"/>
          <w:i/>
          <w:iCs/>
          <w:color w:val="000000" w:themeColor="text1"/>
          <w:sz w:val="20"/>
          <w:szCs w:val="20"/>
        </w:rPr>
        <w:t xml:space="preserve">: the discretion should not be exercised against a plaintiff so as to deprive it of the relief to which it is entitled. </w:t>
      </w:r>
      <w:r w:rsidR="00E67917" w:rsidRPr="00EC2758">
        <w:rPr>
          <w:rFonts w:asciiTheme="majorHAnsi" w:hAnsiTheme="majorHAnsi" w:cstheme="majorHAnsi"/>
          <w:i/>
          <w:iCs/>
          <w:color w:val="000000" w:themeColor="text1"/>
          <w:sz w:val="20"/>
          <w:szCs w:val="20"/>
          <w:u w:val="single"/>
        </w:rPr>
        <w:t>Where it is clear from the defendant’s affidavit resisting summary judgment that the defence which has been advanced carries no reasonable possibility of succeeding in the trial action, a discretion should not be exercised against granting summary judgment</w:t>
      </w:r>
      <w:r w:rsidR="00E67917" w:rsidRPr="00EC2758">
        <w:rPr>
          <w:rFonts w:asciiTheme="majorHAnsi" w:hAnsiTheme="majorHAnsi" w:cstheme="majorHAnsi"/>
          <w:i/>
          <w:iCs/>
          <w:color w:val="000000" w:themeColor="text1"/>
          <w:sz w:val="20"/>
          <w:szCs w:val="20"/>
        </w:rPr>
        <w:t>. The discretion should also not be exercised against a plaintiff on the basis of mere conjecture or speculation.”</w:t>
      </w:r>
      <w:r w:rsidR="00E67917" w:rsidRPr="00EC2758">
        <w:rPr>
          <w:rFonts w:asciiTheme="majorHAnsi" w:hAnsiTheme="majorHAnsi" w:cstheme="majorHAnsi"/>
          <w:color w:val="000000" w:themeColor="text1"/>
          <w:sz w:val="20"/>
          <w:szCs w:val="20"/>
        </w:rPr>
        <w:t>(footnotes omitted)</w:t>
      </w:r>
      <w:r w:rsidRPr="00EC2758">
        <w:rPr>
          <w:rFonts w:asciiTheme="majorHAnsi" w:hAnsiTheme="majorHAnsi" w:cstheme="majorHAnsi"/>
          <w:color w:val="000000" w:themeColor="text1"/>
          <w:sz w:val="20"/>
          <w:szCs w:val="20"/>
        </w:rPr>
        <w:t xml:space="preserve"> [my emphasis]</w:t>
      </w:r>
    </w:p>
    <w:p w14:paraId="0C15A682" w14:textId="77777777" w:rsidR="00F210BE" w:rsidRPr="00EC2758" w:rsidRDefault="00F210BE" w:rsidP="00EC2758">
      <w:pPr>
        <w:pStyle w:val="BodyTextIndent"/>
        <w:widowControl w:val="0"/>
        <w:tabs>
          <w:tab w:val="left" w:pos="709"/>
        </w:tabs>
        <w:rPr>
          <w:rFonts w:asciiTheme="majorHAnsi" w:hAnsiTheme="majorHAnsi" w:cstheme="majorHAnsi"/>
          <w:color w:val="000000" w:themeColor="text1"/>
        </w:rPr>
      </w:pPr>
    </w:p>
    <w:p w14:paraId="1B47AC04" w14:textId="300FE223" w:rsidR="006B20C8" w:rsidRPr="00EC2758" w:rsidRDefault="002A1B59" w:rsidP="00EC2758">
      <w:pPr>
        <w:pStyle w:val="BodyTextIndent"/>
        <w:widowControl w:val="0"/>
        <w:tabs>
          <w:tab w:val="left" w:pos="709"/>
        </w:tabs>
        <w:rPr>
          <w:rFonts w:asciiTheme="majorHAnsi" w:hAnsiTheme="majorHAnsi" w:cstheme="majorHAnsi"/>
          <w:color w:val="000000" w:themeColor="text1"/>
        </w:rPr>
      </w:pPr>
      <w:r w:rsidRPr="00EC2758">
        <w:rPr>
          <w:rFonts w:asciiTheme="majorHAnsi" w:hAnsiTheme="majorHAnsi" w:cstheme="majorHAnsi"/>
          <w:color w:val="000000" w:themeColor="text1"/>
        </w:rPr>
        <w:t>[31]</w:t>
      </w:r>
      <w:r w:rsidRPr="00EC2758">
        <w:rPr>
          <w:rFonts w:asciiTheme="majorHAnsi" w:hAnsiTheme="majorHAnsi" w:cstheme="majorHAnsi"/>
          <w:color w:val="000000" w:themeColor="text1"/>
        </w:rPr>
        <w:tab/>
      </w:r>
      <w:r w:rsidR="000D3090" w:rsidRPr="00EC2758">
        <w:rPr>
          <w:rFonts w:asciiTheme="majorHAnsi" w:hAnsiTheme="majorHAnsi" w:cstheme="majorHAnsi"/>
          <w:color w:val="000000" w:themeColor="text1"/>
        </w:rPr>
        <w:t xml:space="preserve">On the Defendant’s own evidence, he did not make payments </w:t>
      </w:r>
      <w:r w:rsidR="00754F93" w:rsidRPr="00EC2758">
        <w:rPr>
          <w:rFonts w:asciiTheme="majorHAnsi" w:hAnsiTheme="majorHAnsi" w:cstheme="majorHAnsi"/>
          <w:color w:val="000000" w:themeColor="text1"/>
        </w:rPr>
        <w:t xml:space="preserve">as </w:t>
      </w:r>
      <w:r w:rsidR="0078338A" w:rsidRPr="00EC2758">
        <w:rPr>
          <w:rFonts w:asciiTheme="majorHAnsi" w:hAnsiTheme="majorHAnsi" w:cstheme="majorHAnsi"/>
          <w:color w:val="000000" w:themeColor="text1"/>
        </w:rPr>
        <w:t>stipulated</w:t>
      </w:r>
      <w:r w:rsidR="000D3090" w:rsidRPr="00EC2758">
        <w:rPr>
          <w:rFonts w:asciiTheme="majorHAnsi" w:hAnsiTheme="majorHAnsi" w:cstheme="majorHAnsi"/>
          <w:color w:val="000000" w:themeColor="text1"/>
        </w:rPr>
        <w:t xml:space="preserve"> and agreed </w:t>
      </w:r>
      <w:r w:rsidR="00754F93" w:rsidRPr="00EC2758">
        <w:rPr>
          <w:rFonts w:asciiTheme="majorHAnsi" w:hAnsiTheme="majorHAnsi" w:cstheme="majorHAnsi"/>
          <w:color w:val="000000" w:themeColor="text1"/>
        </w:rPr>
        <w:t xml:space="preserve">on </w:t>
      </w:r>
      <w:r w:rsidR="000D3090" w:rsidRPr="00EC2758">
        <w:rPr>
          <w:rFonts w:asciiTheme="majorHAnsi" w:hAnsiTheme="majorHAnsi" w:cstheme="majorHAnsi"/>
          <w:color w:val="000000" w:themeColor="text1"/>
        </w:rPr>
        <w:t>by him. His debt remains undisputed</w:t>
      </w:r>
      <w:r w:rsidRPr="00EC2758">
        <w:rPr>
          <w:rFonts w:asciiTheme="majorHAnsi" w:hAnsiTheme="majorHAnsi" w:cstheme="majorHAnsi"/>
          <w:color w:val="000000" w:themeColor="text1"/>
        </w:rPr>
        <w:t xml:space="preserve">. This </w:t>
      </w:r>
      <w:r w:rsidR="000D3090" w:rsidRPr="00EC2758">
        <w:rPr>
          <w:rFonts w:asciiTheme="majorHAnsi" w:hAnsiTheme="majorHAnsi" w:cstheme="majorHAnsi"/>
          <w:color w:val="000000" w:themeColor="text1"/>
        </w:rPr>
        <w:t>addresses the first special plea</w:t>
      </w:r>
      <w:r w:rsidR="00E3660A" w:rsidRPr="00EC2758">
        <w:rPr>
          <w:rFonts w:asciiTheme="majorHAnsi" w:hAnsiTheme="majorHAnsi" w:cstheme="majorHAnsi"/>
          <w:color w:val="000000" w:themeColor="text1"/>
        </w:rPr>
        <w:t xml:space="preserve"> and the third defence</w:t>
      </w:r>
      <w:r w:rsidRPr="00EC2758">
        <w:rPr>
          <w:rFonts w:asciiTheme="majorHAnsi" w:hAnsiTheme="majorHAnsi" w:cstheme="majorHAnsi"/>
          <w:color w:val="000000" w:themeColor="text1"/>
        </w:rPr>
        <w:t>.</w:t>
      </w:r>
    </w:p>
    <w:p w14:paraId="1612B026" w14:textId="77777777" w:rsidR="006B20C8" w:rsidRPr="00EC2758" w:rsidRDefault="006B20C8" w:rsidP="00EC2758">
      <w:pPr>
        <w:pStyle w:val="BodyTextIndent"/>
        <w:widowControl w:val="0"/>
        <w:tabs>
          <w:tab w:val="left" w:pos="709"/>
        </w:tabs>
        <w:rPr>
          <w:rFonts w:asciiTheme="majorHAnsi" w:hAnsiTheme="majorHAnsi" w:cstheme="majorHAnsi"/>
          <w:color w:val="000000" w:themeColor="text1"/>
        </w:rPr>
      </w:pPr>
    </w:p>
    <w:p w14:paraId="26BA72EF" w14:textId="105E5C47" w:rsidR="005803C3" w:rsidRPr="00EC2758" w:rsidRDefault="003533A8" w:rsidP="00EC2758">
      <w:pPr>
        <w:pStyle w:val="BodyTextIndent"/>
        <w:widowControl w:val="0"/>
        <w:tabs>
          <w:tab w:val="left" w:pos="709"/>
        </w:tabs>
        <w:rPr>
          <w:rFonts w:asciiTheme="majorHAnsi" w:hAnsiTheme="majorHAnsi" w:cstheme="majorHAnsi"/>
          <w:i/>
          <w:color w:val="000000" w:themeColor="text1"/>
        </w:rPr>
      </w:pPr>
      <w:r w:rsidRPr="00EC2758">
        <w:rPr>
          <w:rFonts w:asciiTheme="majorHAnsi" w:hAnsiTheme="majorHAnsi" w:cstheme="majorHAnsi"/>
          <w:color w:val="000000" w:themeColor="text1"/>
        </w:rPr>
        <w:t>[</w:t>
      </w:r>
      <w:r w:rsidR="00C5185E" w:rsidRPr="00EC2758">
        <w:rPr>
          <w:rFonts w:asciiTheme="majorHAnsi" w:hAnsiTheme="majorHAnsi" w:cstheme="majorHAnsi"/>
          <w:color w:val="000000" w:themeColor="text1"/>
        </w:rPr>
        <w:t>3</w:t>
      </w:r>
      <w:r w:rsidR="002A1B59" w:rsidRPr="00EC2758">
        <w:rPr>
          <w:rFonts w:asciiTheme="majorHAnsi" w:hAnsiTheme="majorHAnsi" w:cstheme="majorHAnsi"/>
          <w:color w:val="000000" w:themeColor="text1"/>
        </w:rPr>
        <w:t>2</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r>
      <w:r w:rsidR="005803C3" w:rsidRPr="00EC2758">
        <w:rPr>
          <w:rFonts w:asciiTheme="majorHAnsi" w:hAnsiTheme="majorHAnsi" w:cstheme="majorHAnsi"/>
          <w:color w:val="000000" w:themeColor="text1"/>
        </w:rPr>
        <w:t xml:space="preserve">In respect of the </w:t>
      </w:r>
      <w:r w:rsidR="00754F93" w:rsidRPr="00EC2758">
        <w:rPr>
          <w:rFonts w:asciiTheme="majorHAnsi" w:hAnsiTheme="majorHAnsi" w:cstheme="majorHAnsi"/>
          <w:color w:val="000000" w:themeColor="text1"/>
        </w:rPr>
        <w:t xml:space="preserve">second </w:t>
      </w:r>
      <w:r w:rsidR="005803C3" w:rsidRPr="00EC2758">
        <w:rPr>
          <w:rFonts w:asciiTheme="majorHAnsi" w:hAnsiTheme="majorHAnsi" w:cstheme="majorHAnsi"/>
          <w:color w:val="000000" w:themeColor="text1"/>
        </w:rPr>
        <w:t xml:space="preserve">special plea of </w:t>
      </w:r>
      <w:r w:rsidR="00F210BE" w:rsidRPr="00EC2758">
        <w:rPr>
          <w:rFonts w:asciiTheme="majorHAnsi" w:hAnsiTheme="majorHAnsi" w:cstheme="majorHAnsi"/>
          <w:color w:val="000000" w:themeColor="text1"/>
        </w:rPr>
        <w:t xml:space="preserve">mootness and </w:t>
      </w:r>
      <w:r w:rsidRPr="00EC2758">
        <w:rPr>
          <w:rFonts w:asciiTheme="majorHAnsi" w:hAnsiTheme="majorHAnsi" w:cstheme="majorHAnsi"/>
          <w:i/>
          <w:color w:val="000000" w:themeColor="text1"/>
        </w:rPr>
        <w:t>res judicata</w:t>
      </w:r>
      <w:r w:rsidR="00F210BE" w:rsidRPr="00EC2758">
        <w:rPr>
          <w:rFonts w:asciiTheme="majorHAnsi" w:hAnsiTheme="majorHAnsi" w:cstheme="majorHAnsi"/>
          <w:iCs/>
          <w:color w:val="000000" w:themeColor="text1"/>
        </w:rPr>
        <w:t>,</w:t>
      </w:r>
      <w:r w:rsidRPr="00EC2758">
        <w:rPr>
          <w:rFonts w:asciiTheme="majorHAnsi" w:hAnsiTheme="majorHAnsi" w:cstheme="majorHAnsi"/>
          <w:i/>
          <w:color w:val="000000" w:themeColor="text1"/>
        </w:rPr>
        <w:t xml:space="preserve"> </w:t>
      </w:r>
      <w:r w:rsidR="005803C3" w:rsidRPr="00EC2758">
        <w:rPr>
          <w:rFonts w:asciiTheme="majorHAnsi" w:hAnsiTheme="majorHAnsi" w:cstheme="majorHAnsi"/>
          <w:iCs/>
          <w:color w:val="000000" w:themeColor="text1"/>
        </w:rPr>
        <w:t>the Court in</w:t>
      </w:r>
      <w:r w:rsidR="005803C3" w:rsidRPr="00EC2758">
        <w:rPr>
          <w:rFonts w:asciiTheme="majorHAnsi" w:hAnsiTheme="majorHAnsi" w:cstheme="majorHAnsi"/>
          <w:i/>
          <w:color w:val="000000" w:themeColor="text1"/>
        </w:rPr>
        <w:t xml:space="preserve"> </w:t>
      </w:r>
      <w:r w:rsidR="006B20C8" w:rsidRPr="00EC2758">
        <w:rPr>
          <w:rFonts w:asciiTheme="majorHAnsi" w:hAnsiTheme="majorHAnsi" w:cstheme="majorHAnsi"/>
          <w:i/>
          <w:iCs/>
          <w:color w:val="000000" w:themeColor="text1"/>
        </w:rPr>
        <w:t>Outeniqua Skydivers CC v Hartzer and Another</w:t>
      </w:r>
      <w:r w:rsidR="006B20C8" w:rsidRPr="00EC2758">
        <w:rPr>
          <w:rStyle w:val="FootnoteReference"/>
          <w:rFonts w:asciiTheme="majorHAnsi" w:hAnsiTheme="majorHAnsi" w:cstheme="majorHAnsi"/>
          <w:i/>
          <w:iCs/>
          <w:color w:val="000000" w:themeColor="text1"/>
        </w:rPr>
        <w:footnoteReference w:id="26"/>
      </w:r>
      <w:r w:rsidR="005803C3" w:rsidRPr="00EC2758">
        <w:rPr>
          <w:rFonts w:asciiTheme="majorHAnsi" w:hAnsiTheme="majorHAnsi" w:cstheme="majorHAnsi"/>
          <w:i/>
          <w:color w:val="000000" w:themeColor="text1"/>
        </w:rPr>
        <w:t xml:space="preserve"> </w:t>
      </w:r>
      <w:r w:rsidR="005803C3" w:rsidRPr="00EC2758">
        <w:rPr>
          <w:rFonts w:asciiTheme="majorHAnsi" w:hAnsiTheme="majorHAnsi" w:cstheme="majorHAnsi"/>
          <w:iCs/>
          <w:color w:val="000000" w:themeColor="text1"/>
        </w:rPr>
        <w:t>held:</w:t>
      </w:r>
    </w:p>
    <w:p w14:paraId="4F86E77C" w14:textId="77777777" w:rsidR="005803C3" w:rsidRPr="00EC2758" w:rsidRDefault="005803C3" w:rsidP="00EC2758">
      <w:pPr>
        <w:pStyle w:val="BodyTextIndent"/>
        <w:widowControl w:val="0"/>
        <w:tabs>
          <w:tab w:val="left" w:pos="709"/>
        </w:tabs>
        <w:rPr>
          <w:rFonts w:asciiTheme="majorHAnsi" w:hAnsiTheme="majorHAnsi" w:cstheme="majorHAnsi"/>
          <w:i/>
          <w:color w:val="000000" w:themeColor="text1"/>
        </w:rPr>
      </w:pPr>
    </w:p>
    <w:p w14:paraId="711B70C8" w14:textId="77777777" w:rsidR="00474CAD" w:rsidRPr="00EC2758" w:rsidRDefault="005803C3" w:rsidP="00EC2758">
      <w:pPr>
        <w:pStyle w:val="BodyTextIndent"/>
        <w:widowControl w:val="0"/>
        <w:tabs>
          <w:tab w:val="left" w:pos="709"/>
        </w:tabs>
        <w:ind w:left="2160" w:hanging="742"/>
        <w:rPr>
          <w:rFonts w:asciiTheme="majorHAnsi" w:hAnsiTheme="majorHAnsi" w:cstheme="majorHAnsi"/>
          <w:color w:val="000000" w:themeColor="text1"/>
          <w:sz w:val="20"/>
          <w:szCs w:val="20"/>
        </w:rPr>
      </w:pPr>
      <w:r w:rsidRPr="00EC2758">
        <w:rPr>
          <w:rFonts w:asciiTheme="majorHAnsi" w:hAnsiTheme="majorHAnsi" w:cstheme="majorHAnsi"/>
          <w:i/>
          <w:iCs/>
          <w:color w:val="000000" w:themeColor="text1"/>
          <w:sz w:val="20"/>
          <w:szCs w:val="20"/>
        </w:rPr>
        <w:t>“[9]</w:t>
      </w:r>
      <w:r w:rsidRPr="00EC2758">
        <w:rPr>
          <w:rFonts w:asciiTheme="majorHAnsi" w:hAnsiTheme="majorHAnsi" w:cstheme="majorHAnsi"/>
          <w:i/>
          <w:iCs/>
          <w:color w:val="000000" w:themeColor="text1"/>
          <w:sz w:val="20"/>
          <w:szCs w:val="20"/>
        </w:rPr>
        <w:tab/>
      </w:r>
      <w:r w:rsidRPr="00EC2758">
        <w:rPr>
          <w:rFonts w:asciiTheme="majorHAnsi" w:hAnsiTheme="majorHAnsi" w:cstheme="majorHAnsi"/>
          <w:i/>
          <w:iCs/>
          <w:color w:val="000000" w:themeColor="text1"/>
          <w:sz w:val="20"/>
          <w:szCs w:val="20"/>
          <w:u w:val="single"/>
        </w:rPr>
        <w:t xml:space="preserve">It is trite that the expression res judicata means that the dispute raised for </w:t>
      </w:r>
      <w:r w:rsidRPr="00EC2758">
        <w:rPr>
          <w:rFonts w:asciiTheme="majorHAnsi" w:hAnsiTheme="majorHAnsi" w:cstheme="majorHAnsi"/>
          <w:i/>
          <w:iCs/>
          <w:color w:val="000000" w:themeColor="text1"/>
          <w:sz w:val="20"/>
          <w:szCs w:val="20"/>
          <w:u w:val="single"/>
        </w:rPr>
        <w:lastRenderedPageBreak/>
        <w:t>adjudication has already been finally decided</w:t>
      </w:r>
      <w:r w:rsidRPr="00EC2758">
        <w:rPr>
          <w:rFonts w:asciiTheme="majorHAnsi" w:hAnsiTheme="majorHAnsi" w:cstheme="majorHAnsi"/>
          <w:i/>
          <w:iCs/>
          <w:color w:val="000000" w:themeColor="text1"/>
          <w:sz w:val="20"/>
          <w:szCs w:val="20"/>
        </w:rPr>
        <w:t xml:space="preserve">. In terms of the common law, the three requisites of res judicata are: that the dispute to be adjudicated relates to the same parties, for the same relief and in relation to the same cause. </w:t>
      </w:r>
      <w:r w:rsidRPr="00EC2758">
        <w:rPr>
          <w:rFonts w:asciiTheme="majorHAnsi" w:hAnsiTheme="majorHAnsi" w:cstheme="majorHAnsi"/>
          <w:i/>
          <w:iCs/>
          <w:color w:val="000000" w:themeColor="text1"/>
          <w:sz w:val="20"/>
          <w:szCs w:val="20"/>
          <w:u w:val="single"/>
        </w:rPr>
        <w:t>This means that the exceptio can be raised by a defendant in a later suit against a plaintiff who is “demanding the same thing on the same ground</w:t>
      </w:r>
      <w:r w:rsidRPr="00EC2758">
        <w:rPr>
          <w:rFonts w:asciiTheme="majorHAnsi" w:hAnsiTheme="majorHAnsi" w:cstheme="majorHAnsi"/>
          <w:i/>
          <w:iCs/>
          <w:color w:val="000000" w:themeColor="text1"/>
          <w:sz w:val="20"/>
          <w:szCs w:val="20"/>
        </w:rPr>
        <w:t xml:space="preserve">”; or which comes to the same thing, “on the same cause for the same relief.” </w:t>
      </w:r>
      <w:r w:rsidRPr="00EC2758">
        <w:rPr>
          <w:rFonts w:asciiTheme="majorHAnsi" w:hAnsiTheme="majorHAnsi" w:cstheme="majorHAnsi"/>
          <w:color w:val="000000" w:themeColor="text1"/>
          <w:sz w:val="20"/>
          <w:szCs w:val="20"/>
        </w:rPr>
        <w:t>(footnotes omitted) [my emphasis]</w:t>
      </w:r>
    </w:p>
    <w:p w14:paraId="039D5C77" w14:textId="77777777" w:rsidR="0011160F" w:rsidRPr="00EC2758" w:rsidRDefault="0011160F" w:rsidP="00EC2758">
      <w:pPr>
        <w:pStyle w:val="BodyTextIndent"/>
        <w:widowControl w:val="0"/>
        <w:tabs>
          <w:tab w:val="left" w:pos="709"/>
        </w:tabs>
        <w:ind w:left="0" w:firstLine="0"/>
        <w:rPr>
          <w:rFonts w:asciiTheme="majorHAnsi" w:hAnsiTheme="majorHAnsi" w:cstheme="majorHAnsi"/>
          <w:color w:val="000000" w:themeColor="text1"/>
          <w:sz w:val="20"/>
          <w:szCs w:val="20"/>
        </w:rPr>
      </w:pPr>
    </w:p>
    <w:p w14:paraId="5515FC09" w14:textId="461AE5BB" w:rsidR="00807D3A" w:rsidRPr="00EC2758" w:rsidRDefault="006D6BBF" w:rsidP="00EC2758">
      <w:pPr>
        <w:pStyle w:val="BodyTextIndent"/>
        <w:widowControl w:val="0"/>
        <w:tabs>
          <w:tab w:val="left" w:pos="709"/>
        </w:tabs>
        <w:rPr>
          <w:rFonts w:asciiTheme="majorHAnsi" w:hAnsiTheme="majorHAnsi" w:cstheme="majorHAnsi"/>
          <w:color w:val="000000" w:themeColor="text1"/>
        </w:rPr>
      </w:pPr>
      <w:r w:rsidRPr="00EC2758">
        <w:rPr>
          <w:rFonts w:asciiTheme="majorHAnsi" w:hAnsiTheme="majorHAnsi" w:cstheme="majorHAnsi"/>
          <w:color w:val="000000" w:themeColor="text1"/>
        </w:rPr>
        <w:t>[33]</w:t>
      </w:r>
      <w:r w:rsidRPr="00EC2758">
        <w:rPr>
          <w:rFonts w:asciiTheme="majorHAnsi" w:hAnsiTheme="majorHAnsi" w:cstheme="majorHAnsi"/>
          <w:color w:val="000000" w:themeColor="text1"/>
        </w:rPr>
        <w:tab/>
      </w:r>
      <w:r w:rsidR="00807D3A" w:rsidRPr="00EC2758">
        <w:rPr>
          <w:rFonts w:asciiTheme="majorHAnsi" w:hAnsiTheme="majorHAnsi" w:cstheme="majorHAnsi"/>
          <w:color w:val="000000" w:themeColor="text1"/>
        </w:rPr>
        <w:t xml:space="preserve">The </w:t>
      </w:r>
      <w:r w:rsidR="00F210BE" w:rsidRPr="00EC2758">
        <w:rPr>
          <w:rFonts w:asciiTheme="majorHAnsi" w:hAnsiTheme="majorHAnsi" w:cstheme="majorHAnsi"/>
          <w:color w:val="000000" w:themeColor="text1"/>
        </w:rPr>
        <w:t>D</w:t>
      </w:r>
      <w:r w:rsidR="00807D3A" w:rsidRPr="00EC2758">
        <w:rPr>
          <w:rFonts w:asciiTheme="majorHAnsi" w:hAnsiTheme="majorHAnsi" w:cstheme="majorHAnsi"/>
          <w:color w:val="000000" w:themeColor="text1"/>
        </w:rPr>
        <w:t>e</w:t>
      </w:r>
      <w:r w:rsidR="0011160F" w:rsidRPr="00EC2758">
        <w:rPr>
          <w:rFonts w:asciiTheme="majorHAnsi" w:hAnsiTheme="majorHAnsi" w:cstheme="majorHAnsi"/>
          <w:color w:val="000000" w:themeColor="text1"/>
        </w:rPr>
        <w:t>fendant</w:t>
      </w:r>
      <w:r w:rsidR="00807D3A" w:rsidRPr="00EC2758">
        <w:rPr>
          <w:rFonts w:asciiTheme="majorHAnsi" w:hAnsiTheme="majorHAnsi" w:cstheme="majorHAnsi"/>
          <w:color w:val="000000" w:themeColor="text1"/>
        </w:rPr>
        <w:t xml:space="preserve"> </w:t>
      </w:r>
      <w:r w:rsidR="0011160F" w:rsidRPr="00EC2758">
        <w:rPr>
          <w:rFonts w:asciiTheme="majorHAnsi" w:hAnsiTheme="majorHAnsi" w:cstheme="majorHAnsi"/>
          <w:color w:val="000000" w:themeColor="text1"/>
        </w:rPr>
        <w:t xml:space="preserve">not only pleaded </w:t>
      </w:r>
      <w:r w:rsidR="00807D3A" w:rsidRPr="00EC2758">
        <w:rPr>
          <w:rFonts w:asciiTheme="majorHAnsi" w:hAnsiTheme="majorHAnsi" w:cstheme="majorHAnsi"/>
          <w:color w:val="000000" w:themeColor="text1"/>
        </w:rPr>
        <w:t xml:space="preserve">that litigation was </w:t>
      </w:r>
      <w:r w:rsidR="00B44E6F" w:rsidRPr="00EC2758">
        <w:rPr>
          <w:rFonts w:asciiTheme="majorHAnsi" w:hAnsiTheme="majorHAnsi" w:cstheme="majorHAnsi"/>
          <w:color w:val="000000" w:themeColor="text1"/>
        </w:rPr>
        <w:t>held in abeyance</w:t>
      </w:r>
      <w:r w:rsidR="00B44E6F" w:rsidRPr="00EC2758">
        <w:rPr>
          <w:rStyle w:val="FootnoteReference"/>
          <w:rFonts w:asciiTheme="majorHAnsi" w:hAnsiTheme="majorHAnsi" w:cstheme="majorHAnsi"/>
          <w:color w:val="000000" w:themeColor="text1"/>
        </w:rPr>
        <w:footnoteReference w:id="27"/>
      </w:r>
      <w:r w:rsidR="00B44E6F" w:rsidRPr="00EC2758">
        <w:rPr>
          <w:rFonts w:asciiTheme="majorHAnsi" w:hAnsiTheme="majorHAnsi" w:cstheme="majorHAnsi"/>
          <w:color w:val="000000" w:themeColor="text1"/>
        </w:rPr>
        <w:t xml:space="preserve"> </w:t>
      </w:r>
      <w:r w:rsidR="0011160F" w:rsidRPr="00EC2758">
        <w:rPr>
          <w:rFonts w:asciiTheme="majorHAnsi" w:hAnsiTheme="majorHAnsi" w:cstheme="majorHAnsi"/>
          <w:color w:val="000000" w:themeColor="text1"/>
        </w:rPr>
        <w:t xml:space="preserve">and </w:t>
      </w:r>
      <w:r w:rsidR="00B44E6F" w:rsidRPr="00EC2758">
        <w:rPr>
          <w:rFonts w:asciiTheme="majorHAnsi" w:hAnsiTheme="majorHAnsi" w:cstheme="majorHAnsi"/>
          <w:color w:val="000000" w:themeColor="text1"/>
        </w:rPr>
        <w:t xml:space="preserve">that the action was </w:t>
      </w:r>
      <w:r w:rsidR="00807D3A" w:rsidRPr="00EC2758">
        <w:rPr>
          <w:rFonts w:asciiTheme="majorHAnsi" w:hAnsiTheme="majorHAnsi" w:cstheme="majorHAnsi"/>
          <w:color w:val="000000" w:themeColor="text1"/>
        </w:rPr>
        <w:t>pended</w:t>
      </w:r>
      <w:r w:rsidR="0011160F" w:rsidRPr="00EC2758">
        <w:rPr>
          <w:rFonts w:asciiTheme="majorHAnsi" w:hAnsiTheme="majorHAnsi" w:cstheme="majorHAnsi"/>
          <w:color w:val="000000" w:themeColor="text1"/>
        </w:rPr>
        <w:t>,</w:t>
      </w:r>
      <w:r w:rsidR="00807D3A" w:rsidRPr="00EC2758">
        <w:rPr>
          <w:rStyle w:val="FootnoteReference"/>
          <w:rFonts w:asciiTheme="majorHAnsi" w:hAnsiTheme="majorHAnsi" w:cstheme="majorHAnsi"/>
          <w:color w:val="000000" w:themeColor="text1"/>
        </w:rPr>
        <w:footnoteReference w:id="28"/>
      </w:r>
      <w:r w:rsidR="00B44E6F" w:rsidRPr="00EC2758">
        <w:rPr>
          <w:rFonts w:asciiTheme="majorHAnsi" w:hAnsiTheme="majorHAnsi" w:cstheme="majorHAnsi"/>
          <w:color w:val="000000" w:themeColor="text1"/>
        </w:rPr>
        <w:t xml:space="preserve"> but also attached his attorneys</w:t>
      </w:r>
      <w:r w:rsidR="00F210BE" w:rsidRPr="00EC2758">
        <w:rPr>
          <w:rFonts w:asciiTheme="majorHAnsi" w:hAnsiTheme="majorHAnsi" w:cstheme="majorHAnsi"/>
          <w:color w:val="000000" w:themeColor="text1"/>
        </w:rPr>
        <w:t>’</w:t>
      </w:r>
      <w:r w:rsidR="00B44E6F" w:rsidRPr="00EC2758">
        <w:rPr>
          <w:rFonts w:asciiTheme="majorHAnsi" w:hAnsiTheme="majorHAnsi" w:cstheme="majorHAnsi"/>
          <w:color w:val="000000" w:themeColor="text1"/>
        </w:rPr>
        <w:t xml:space="preserve"> letter that the action was suspended.</w:t>
      </w:r>
      <w:r w:rsidR="0011160F" w:rsidRPr="00EC2758">
        <w:rPr>
          <w:rStyle w:val="FootnoteReference"/>
          <w:rFonts w:asciiTheme="majorHAnsi" w:hAnsiTheme="majorHAnsi" w:cstheme="majorHAnsi"/>
          <w:color w:val="000000" w:themeColor="text1"/>
        </w:rPr>
        <w:footnoteReference w:id="29"/>
      </w:r>
      <w:r w:rsidR="009C6695" w:rsidRPr="00EC2758">
        <w:rPr>
          <w:rFonts w:asciiTheme="majorHAnsi" w:hAnsiTheme="majorHAnsi" w:cstheme="majorHAnsi"/>
          <w:color w:val="000000" w:themeColor="text1"/>
        </w:rPr>
        <w:t xml:space="preserve"> Mootness and </w:t>
      </w:r>
      <w:r w:rsidR="009C6695" w:rsidRPr="00EC2758">
        <w:rPr>
          <w:rFonts w:asciiTheme="majorHAnsi" w:hAnsiTheme="majorHAnsi" w:cstheme="majorHAnsi"/>
          <w:i/>
          <w:iCs/>
          <w:color w:val="000000" w:themeColor="text1"/>
        </w:rPr>
        <w:t>res judicata</w:t>
      </w:r>
      <w:r w:rsidR="009C6695" w:rsidRPr="00EC2758">
        <w:rPr>
          <w:rFonts w:asciiTheme="majorHAnsi" w:hAnsiTheme="majorHAnsi" w:cstheme="majorHAnsi"/>
          <w:color w:val="000000" w:themeColor="text1"/>
        </w:rPr>
        <w:t xml:space="preserve"> cannot be raised unless there is a final order</w:t>
      </w:r>
      <w:r w:rsidR="00BB1031" w:rsidRPr="00EC2758">
        <w:rPr>
          <w:rFonts w:asciiTheme="majorHAnsi" w:hAnsiTheme="majorHAnsi" w:cstheme="majorHAnsi"/>
          <w:color w:val="000000" w:themeColor="text1"/>
        </w:rPr>
        <w:t>.</w:t>
      </w:r>
    </w:p>
    <w:p w14:paraId="6E484AEF" w14:textId="77777777" w:rsidR="006D6BBF" w:rsidRPr="00EC2758" w:rsidRDefault="006D6BBF" w:rsidP="00EC2758">
      <w:pPr>
        <w:pStyle w:val="BodyTextIndent"/>
        <w:widowControl w:val="0"/>
        <w:tabs>
          <w:tab w:val="left" w:pos="709"/>
        </w:tabs>
        <w:ind w:left="0" w:firstLine="0"/>
        <w:rPr>
          <w:rFonts w:asciiTheme="majorHAnsi" w:hAnsiTheme="majorHAnsi" w:cstheme="majorHAnsi"/>
          <w:color w:val="000000" w:themeColor="text1"/>
        </w:rPr>
      </w:pPr>
    </w:p>
    <w:p w14:paraId="72FF5B1F" w14:textId="6E1EACCE" w:rsidR="00474CAD" w:rsidRPr="00EC2758" w:rsidRDefault="006D6BBF" w:rsidP="00EC2758">
      <w:pPr>
        <w:pStyle w:val="BodyTextIndent"/>
        <w:widowControl w:val="0"/>
        <w:tabs>
          <w:tab w:val="left" w:pos="709"/>
        </w:tabs>
        <w:rPr>
          <w:rFonts w:asciiTheme="majorHAnsi" w:hAnsiTheme="majorHAnsi" w:cstheme="majorHAnsi"/>
          <w:color w:val="000000" w:themeColor="text1"/>
          <w:sz w:val="20"/>
          <w:szCs w:val="20"/>
        </w:rPr>
      </w:pPr>
      <w:r w:rsidRPr="00EC2758">
        <w:rPr>
          <w:rFonts w:asciiTheme="majorHAnsi" w:hAnsiTheme="majorHAnsi" w:cstheme="majorHAnsi"/>
          <w:color w:val="000000" w:themeColor="text1"/>
        </w:rPr>
        <w:t>[34]</w:t>
      </w:r>
      <w:r w:rsidRPr="00EC2758">
        <w:rPr>
          <w:rFonts w:asciiTheme="majorHAnsi" w:hAnsiTheme="majorHAnsi" w:cstheme="majorHAnsi"/>
          <w:color w:val="000000" w:themeColor="text1"/>
        </w:rPr>
        <w:tab/>
      </w:r>
      <w:r w:rsidR="00AF65A8" w:rsidRPr="00EC2758">
        <w:rPr>
          <w:rFonts w:asciiTheme="majorHAnsi" w:hAnsiTheme="majorHAnsi" w:cstheme="majorHAnsi"/>
          <w:color w:val="000000" w:themeColor="text1"/>
        </w:rPr>
        <w:t xml:space="preserve">I quoted from Rule 7 above. In </w:t>
      </w:r>
      <w:r w:rsidR="00474CAD" w:rsidRPr="00EC2758">
        <w:rPr>
          <w:rFonts w:asciiTheme="majorHAnsi" w:hAnsiTheme="majorHAnsi" w:cstheme="majorHAnsi"/>
          <w:i/>
          <w:iCs/>
          <w:color w:val="000000" w:themeColor="text1"/>
        </w:rPr>
        <w:t>Janse van Rensburg v Obiang and Another</w:t>
      </w:r>
      <w:r w:rsidR="00474CAD" w:rsidRPr="00EC2758">
        <w:rPr>
          <w:rStyle w:val="FootnoteReference"/>
          <w:rFonts w:asciiTheme="majorHAnsi" w:hAnsiTheme="majorHAnsi" w:cstheme="majorHAnsi"/>
          <w:color w:val="000000" w:themeColor="text1"/>
        </w:rPr>
        <w:footnoteReference w:id="30"/>
      </w:r>
      <w:r w:rsidR="00474CAD" w:rsidRPr="00EC2758">
        <w:rPr>
          <w:rFonts w:asciiTheme="majorHAnsi" w:hAnsiTheme="majorHAnsi" w:cstheme="majorHAnsi"/>
          <w:color w:val="000000" w:themeColor="text1"/>
        </w:rPr>
        <w:t xml:space="preserve"> it was held that a challenge to authority to represent has to be taken as soon as possible</w:t>
      </w:r>
      <w:r w:rsidR="00A4478F" w:rsidRPr="00EC2758">
        <w:rPr>
          <w:rFonts w:asciiTheme="majorHAnsi" w:hAnsiTheme="majorHAnsi" w:cstheme="majorHAnsi"/>
          <w:color w:val="000000" w:themeColor="text1"/>
        </w:rPr>
        <w:t>.</w:t>
      </w:r>
      <w:r w:rsidR="00D77BFD" w:rsidRPr="00EC2758">
        <w:rPr>
          <w:rStyle w:val="FootnoteReference"/>
          <w:rFonts w:asciiTheme="majorHAnsi" w:hAnsiTheme="majorHAnsi" w:cstheme="majorHAnsi"/>
          <w:color w:val="000000" w:themeColor="text1"/>
        </w:rPr>
        <w:footnoteReference w:id="31"/>
      </w:r>
    </w:p>
    <w:p w14:paraId="4C37E9FC" w14:textId="49579777" w:rsidR="00AF65A8" w:rsidRPr="00EC2758" w:rsidRDefault="00AF65A8" w:rsidP="00EC2758">
      <w:pPr>
        <w:pStyle w:val="BodyTextIndent"/>
        <w:widowControl w:val="0"/>
        <w:tabs>
          <w:tab w:val="left" w:pos="709"/>
          <w:tab w:val="left" w:pos="1134"/>
        </w:tabs>
        <w:rPr>
          <w:rFonts w:asciiTheme="majorHAnsi" w:hAnsiTheme="majorHAnsi" w:cstheme="majorHAnsi"/>
          <w:color w:val="000000" w:themeColor="text1"/>
        </w:rPr>
      </w:pPr>
    </w:p>
    <w:p w14:paraId="70F92C0D" w14:textId="77777777" w:rsidR="001E6F67" w:rsidRPr="00EC2758" w:rsidRDefault="005008FA" w:rsidP="00EC2758">
      <w:pPr>
        <w:pStyle w:val="BodyTextIndent"/>
        <w:widowControl w:val="0"/>
        <w:tabs>
          <w:tab w:val="left" w:pos="709"/>
          <w:tab w:val="left" w:pos="1418"/>
        </w:tabs>
        <w:ind w:left="2160" w:hanging="742"/>
        <w:rPr>
          <w:rFonts w:asciiTheme="majorHAnsi" w:hAnsiTheme="majorHAnsi" w:cstheme="majorHAnsi"/>
          <w:color w:val="000000" w:themeColor="text1"/>
          <w:sz w:val="20"/>
          <w:szCs w:val="20"/>
          <w:shd w:val="clear" w:color="auto" w:fill="FFFFFF"/>
        </w:rPr>
      </w:pPr>
      <w:r w:rsidRPr="00EC2758">
        <w:rPr>
          <w:rFonts w:asciiTheme="majorHAnsi" w:hAnsiTheme="majorHAnsi" w:cstheme="majorHAnsi"/>
          <w:i/>
          <w:iCs/>
          <w:color w:val="000000" w:themeColor="text1"/>
          <w:sz w:val="20"/>
          <w:szCs w:val="20"/>
          <w:shd w:val="clear" w:color="auto" w:fill="FFFFFF"/>
        </w:rPr>
        <w:t>“[17]</w:t>
      </w:r>
      <w:r w:rsidRPr="00EC2758">
        <w:rPr>
          <w:rFonts w:asciiTheme="majorHAnsi" w:hAnsiTheme="majorHAnsi" w:cstheme="majorHAnsi"/>
          <w:i/>
          <w:iCs/>
          <w:color w:val="000000" w:themeColor="text1"/>
          <w:sz w:val="20"/>
          <w:szCs w:val="20"/>
          <w:shd w:val="clear" w:color="auto" w:fill="FFFFFF"/>
        </w:rPr>
        <w:tab/>
        <w:t xml:space="preserve">It has been held, rightly so in my respectful view, that the production of a power of attorney is ordinarily sufficient to answer a challenge in terms of rule 7(1) to an attorney’s authority to act; </w:t>
      </w:r>
      <w:r w:rsidR="001E6F67" w:rsidRPr="00EC2758">
        <w:rPr>
          <w:rFonts w:asciiTheme="majorHAnsi" w:hAnsiTheme="majorHAnsi" w:cstheme="majorHAnsi"/>
          <w:i/>
          <w:iCs/>
          <w:color w:val="000000" w:themeColor="text1"/>
          <w:sz w:val="20"/>
          <w:szCs w:val="20"/>
          <w:shd w:val="clear" w:color="auto" w:fill="FFFFFF"/>
        </w:rPr>
        <w:t xml:space="preserve">… </w:t>
      </w:r>
      <w:r w:rsidRPr="00EC2758">
        <w:rPr>
          <w:rFonts w:asciiTheme="majorHAnsi" w:hAnsiTheme="majorHAnsi" w:cstheme="majorHAnsi"/>
          <w:i/>
          <w:iCs/>
          <w:color w:val="000000" w:themeColor="text1"/>
          <w:sz w:val="20"/>
          <w:szCs w:val="20"/>
          <w:shd w:val="clear" w:color="auto" w:fill="FFFFFF"/>
        </w:rPr>
        <w:t xml:space="preserve">Implicit in such finding is that it behoves a party that alleges that the proffered power of attorney does not meet the challenge to timeously make its position clear.  A failure to do so gives the impression that representation of authority constituted by the power of attorney has been accepted.  </w:t>
      </w:r>
      <w:r w:rsidRPr="00EC2758">
        <w:rPr>
          <w:rFonts w:asciiTheme="majorHAnsi" w:hAnsiTheme="majorHAnsi" w:cstheme="majorHAnsi"/>
          <w:i/>
          <w:iCs/>
          <w:color w:val="000000" w:themeColor="text1"/>
          <w:sz w:val="20"/>
          <w:szCs w:val="20"/>
          <w:u w:val="single"/>
          <w:shd w:val="clear" w:color="auto" w:fill="FFFFFF"/>
        </w:rPr>
        <w:t xml:space="preserve">Challenging the attorney’s represented authority only much later in the litigious process would be inimical to the efficient administration of justice - at the furtherance of which the rules in general are directed.  Challenges to the authority of an attorney to represent a litigant, if they are to be raised at all, should be raised promptly at the earliest opportunity, and once raised, taken to a determination without delay.  Indeed, that, no </w:t>
      </w:r>
      <w:r w:rsidRPr="00EC2758">
        <w:rPr>
          <w:rFonts w:asciiTheme="majorHAnsi" w:hAnsiTheme="majorHAnsi" w:cstheme="majorHAnsi"/>
          <w:i/>
          <w:iCs/>
          <w:color w:val="000000" w:themeColor="text1"/>
          <w:sz w:val="20"/>
          <w:szCs w:val="20"/>
          <w:u w:val="single"/>
          <w:shd w:val="clear" w:color="auto" w:fill="FFFFFF"/>
        </w:rPr>
        <w:lastRenderedPageBreak/>
        <w:t>doubt, is why there is a 10-day time limit in terms of rule 7(1)</w:t>
      </w:r>
      <w:r w:rsidRPr="00EC2758">
        <w:rPr>
          <w:rFonts w:asciiTheme="majorHAnsi" w:hAnsiTheme="majorHAnsi" w:cstheme="majorHAnsi"/>
          <w:i/>
          <w:iCs/>
          <w:color w:val="000000" w:themeColor="text1"/>
          <w:sz w:val="20"/>
          <w:szCs w:val="20"/>
          <w:shd w:val="clear" w:color="auto" w:fill="FFFFFF"/>
        </w:rPr>
        <w:t>.</w:t>
      </w:r>
      <w:r w:rsidR="001E6F67" w:rsidRPr="00EC2758">
        <w:rPr>
          <w:rFonts w:asciiTheme="majorHAnsi" w:hAnsiTheme="majorHAnsi" w:cstheme="majorHAnsi"/>
          <w:i/>
          <w:iCs/>
          <w:color w:val="000000" w:themeColor="text1"/>
          <w:sz w:val="20"/>
          <w:szCs w:val="20"/>
          <w:shd w:val="clear" w:color="auto" w:fill="FFFFFF"/>
        </w:rPr>
        <w:t xml:space="preserve"> </w:t>
      </w:r>
      <w:r w:rsidR="001E6F67" w:rsidRPr="00EC2758">
        <w:rPr>
          <w:rFonts w:asciiTheme="majorHAnsi" w:hAnsiTheme="majorHAnsi" w:cstheme="majorHAnsi"/>
          <w:color w:val="000000" w:themeColor="text1"/>
          <w:sz w:val="20"/>
          <w:szCs w:val="20"/>
          <w:shd w:val="clear" w:color="auto" w:fill="FFFFFF"/>
        </w:rPr>
        <w:t>[my emphasis]</w:t>
      </w:r>
    </w:p>
    <w:p w14:paraId="22E3A048" w14:textId="77777777" w:rsidR="001E6F67" w:rsidRPr="00EC2758" w:rsidRDefault="001E6F67" w:rsidP="00EC2758">
      <w:pPr>
        <w:pStyle w:val="BodyTextIndent"/>
        <w:widowControl w:val="0"/>
        <w:tabs>
          <w:tab w:val="left" w:pos="709"/>
          <w:tab w:val="left" w:pos="1418"/>
        </w:tabs>
        <w:ind w:left="2160" w:hanging="742"/>
        <w:rPr>
          <w:rFonts w:asciiTheme="majorHAnsi" w:hAnsiTheme="majorHAnsi" w:cstheme="majorHAnsi"/>
          <w:color w:val="000000" w:themeColor="text1"/>
          <w:sz w:val="20"/>
          <w:szCs w:val="20"/>
          <w:shd w:val="clear" w:color="auto" w:fill="FFFFFF"/>
        </w:rPr>
      </w:pPr>
    </w:p>
    <w:p w14:paraId="29CE5CD6" w14:textId="6AA288E5" w:rsidR="00C84F9F" w:rsidRPr="00EC2758" w:rsidRDefault="001E6F67" w:rsidP="00EC2758">
      <w:pPr>
        <w:pStyle w:val="BodyTextIndent"/>
        <w:widowControl w:val="0"/>
        <w:tabs>
          <w:tab w:val="left" w:pos="709"/>
          <w:tab w:val="left" w:pos="1418"/>
        </w:tabs>
        <w:rPr>
          <w:rFonts w:asciiTheme="majorHAnsi" w:hAnsiTheme="majorHAnsi" w:cstheme="majorHAnsi"/>
          <w:color w:val="000000" w:themeColor="text1"/>
          <w:shd w:val="clear" w:color="auto" w:fill="FFFFFF"/>
        </w:rPr>
      </w:pPr>
      <w:r w:rsidRPr="00EC2758">
        <w:rPr>
          <w:rFonts w:asciiTheme="majorHAnsi" w:hAnsiTheme="majorHAnsi" w:cstheme="majorHAnsi"/>
          <w:color w:val="000000" w:themeColor="text1"/>
          <w:shd w:val="clear" w:color="auto" w:fill="FFFFFF"/>
        </w:rPr>
        <w:t>[3</w:t>
      </w:r>
      <w:r w:rsidR="006D6BBF" w:rsidRPr="00EC2758">
        <w:rPr>
          <w:rFonts w:asciiTheme="majorHAnsi" w:hAnsiTheme="majorHAnsi" w:cstheme="majorHAnsi"/>
          <w:color w:val="000000" w:themeColor="text1"/>
          <w:shd w:val="clear" w:color="auto" w:fill="FFFFFF"/>
        </w:rPr>
        <w:t>5</w:t>
      </w:r>
      <w:r w:rsidRPr="00EC2758">
        <w:rPr>
          <w:rFonts w:asciiTheme="majorHAnsi" w:hAnsiTheme="majorHAnsi" w:cstheme="majorHAnsi"/>
          <w:color w:val="000000" w:themeColor="text1"/>
          <w:shd w:val="clear" w:color="auto" w:fill="FFFFFF"/>
        </w:rPr>
        <w:t>]</w:t>
      </w:r>
      <w:r w:rsidRPr="00EC2758">
        <w:rPr>
          <w:rFonts w:asciiTheme="majorHAnsi" w:hAnsiTheme="majorHAnsi" w:cstheme="majorHAnsi"/>
          <w:color w:val="000000" w:themeColor="text1"/>
          <w:shd w:val="clear" w:color="auto" w:fill="FFFFFF"/>
        </w:rPr>
        <w:tab/>
        <w:t>I perused the Court file and could not find a notice to the attorneys of the Plaintiff challenging their authority.</w:t>
      </w:r>
      <w:r w:rsidR="00D92236" w:rsidRPr="00EC2758">
        <w:rPr>
          <w:rFonts w:asciiTheme="majorHAnsi" w:hAnsiTheme="majorHAnsi" w:cstheme="majorHAnsi"/>
          <w:color w:val="000000" w:themeColor="text1"/>
          <w:shd w:val="clear" w:color="auto" w:fill="FFFFFF"/>
        </w:rPr>
        <w:t xml:space="preserve"> This does therefore not constitute an impediment to </w:t>
      </w:r>
      <w:r w:rsidR="00C810E1" w:rsidRPr="00EC2758">
        <w:rPr>
          <w:rFonts w:asciiTheme="majorHAnsi" w:hAnsiTheme="majorHAnsi" w:cstheme="majorHAnsi"/>
          <w:color w:val="000000" w:themeColor="text1"/>
          <w:shd w:val="clear" w:color="auto" w:fill="FFFFFF"/>
        </w:rPr>
        <w:t xml:space="preserve">the attorneys’ authority. </w:t>
      </w:r>
    </w:p>
    <w:p w14:paraId="7174B868" w14:textId="77777777" w:rsidR="00C84F9F" w:rsidRPr="00EC2758" w:rsidRDefault="00C84F9F" w:rsidP="00EC2758">
      <w:pPr>
        <w:pStyle w:val="BodyTextIndent"/>
        <w:widowControl w:val="0"/>
        <w:tabs>
          <w:tab w:val="left" w:pos="709"/>
          <w:tab w:val="left" w:pos="1418"/>
        </w:tabs>
        <w:rPr>
          <w:rFonts w:asciiTheme="majorHAnsi" w:hAnsiTheme="majorHAnsi" w:cstheme="majorHAnsi"/>
          <w:color w:val="000000" w:themeColor="text1"/>
          <w:shd w:val="clear" w:color="auto" w:fill="FFFFFF"/>
        </w:rPr>
      </w:pPr>
    </w:p>
    <w:p w14:paraId="21877272" w14:textId="194F7BA3" w:rsidR="00C84F9F" w:rsidRPr="00EC2758" w:rsidRDefault="003533A8" w:rsidP="00EC2758">
      <w:pPr>
        <w:pStyle w:val="BodyTextIndent"/>
        <w:widowControl w:val="0"/>
        <w:tabs>
          <w:tab w:val="left" w:pos="709"/>
          <w:tab w:val="left" w:pos="1418"/>
        </w:tabs>
        <w:rPr>
          <w:rFonts w:asciiTheme="majorHAnsi" w:hAnsiTheme="majorHAnsi" w:cstheme="majorHAnsi"/>
          <w:color w:val="000000" w:themeColor="text1"/>
          <w:sz w:val="20"/>
          <w:szCs w:val="20"/>
          <w:shd w:val="clear" w:color="auto" w:fill="FFFFFF"/>
        </w:rPr>
      </w:pPr>
      <w:r w:rsidRPr="00EC2758">
        <w:rPr>
          <w:rFonts w:asciiTheme="majorHAnsi" w:hAnsiTheme="majorHAnsi" w:cstheme="majorHAnsi"/>
          <w:color w:val="000000" w:themeColor="text1"/>
        </w:rPr>
        <w:t>[3</w:t>
      </w:r>
      <w:r w:rsidR="006D6BBF" w:rsidRPr="00EC2758">
        <w:rPr>
          <w:rFonts w:asciiTheme="majorHAnsi" w:hAnsiTheme="majorHAnsi" w:cstheme="majorHAnsi"/>
          <w:color w:val="000000" w:themeColor="text1"/>
        </w:rPr>
        <w:t>6</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r>
      <w:r w:rsidR="00E63E6F" w:rsidRPr="00EC2758">
        <w:rPr>
          <w:rFonts w:asciiTheme="majorHAnsi" w:hAnsiTheme="majorHAnsi" w:cstheme="majorHAnsi"/>
          <w:color w:val="000000" w:themeColor="text1"/>
        </w:rPr>
        <w:t xml:space="preserve">In respect of the </w:t>
      </w:r>
      <w:r w:rsidR="007876D0" w:rsidRPr="00EC2758">
        <w:rPr>
          <w:rFonts w:asciiTheme="majorHAnsi" w:hAnsiTheme="majorHAnsi" w:cstheme="majorHAnsi"/>
          <w:color w:val="000000" w:themeColor="text1"/>
        </w:rPr>
        <w:t xml:space="preserve">second defence that the </w:t>
      </w:r>
      <w:r w:rsidRPr="00EC2758">
        <w:rPr>
          <w:rFonts w:asciiTheme="majorHAnsi" w:hAnsiTheme="majorHAnsi" w:cstheme="majorHAnsi"/>
          <w:color w:val="000000" w:themeColor="text1"/>
        </w:rPr>
        <w:t xml:space="preserve">particulars of claim </w:t>
      </w:r>
      <w:r w:rsidR="007876D0" w:rsidRPr="00EC2758">
        <w:rPr>
          <w:rFonts w:asciiTheme="majorHAnsi" w:hAnsiTheme="majorHAnsi" w:cstheme="majorHAnsi"/>
          <w:color w:val="000000" w:themeColor="text1"/>
        </w:rPr>
        <w:t xml:space="preserve">does not </w:t>
      </w:r>
      <w:r w:rsidRPr="00EC2758">
        <w:rPr>
          <w:rFonts w:asciiTheme="majorHAnsi" w:hAnsiTheme="majorHAnsi" w:cstheme="majorHAnsi"/>
          <w:color w:val="000000" w:themeColor="text1"/>
        </w:rPr>
        <w:t xml:space="preserve">align with the notice in terms of </w:t>
      </w:r>
      <w:r w:rsidR="00C72BF6">
        <w:rPr>
          <w:rFonts w:asciiTheme="majorHAnsi" w:hAnsiTheme="majorHAnsi" w:cstheme="majorHAnsi"/>
          <w:color w:val="000000" w:themeColor="text1"/>
        </w:rPr>
        <w:t>s</w:t>
      </w:r>
      <w:r w:rsidRPr="00EC2758">
        <w:rPr>
          <w:rFonts w:asciiTheme="majorHAnsi" w:hAnsiTheme="majorHAnsi" w:cstheme="majorHAnsi"/>
          <w:color w:val="000000" w:themeColor="text1"/>
        </w:rPr>
        <w:t xml:space="preserve"> 129</w:t>
      </w:r>
      <w:r w:rsidR="00E63E6F" w:rsidRPr="00EC2758">
        <w:rPr>
          <w:rFonts w:asciiTheme="majorHAnsi" w:hAnsiTheme="majorHAnsi" w:cstheme="majorHAnsi"/>
          <w:color w:val="000000" w:themeColor="text1"/>
        </w:rPr>
        <w:t xml:space="preserve">, </w:t>
      </w:r>
      <w:r w:rsidR="00C84F9F" w:rsidRPr="00EC2758">
        <w:rPr>
          <w:rFonts w:asciiTheme="majorHAnsi" w:hAnsiTheme="majorHAnsi" w:cstheme="majorHAnsi"/>
          <w:color w:val="000000" w:themeColor="text1"/>
        </w:rPr>
        <w:t>M</w:t>
      </w:r>
      <w:r w:rsidR="00E63E6F" w:rsidRPr="00EC2758">
        <w:rPr>
          <w:rFonts w:asciiTheme="majorHAnsi" w:hAnsiTheme="majorHAnsi" w:cstheme="majorHAnsi"/>
          <w:color w:val="000000" w:themeColor="text1"/>
        </w:rPr>
        <w:t xml:space="preserve">r van der </w:t>
      </w:r>
      <w:r w:rsidR="00C84F9F" w:rsidRPr="00EC2758">
        <w:rPr>
          <w:rFonts w:asciiTheme="majorHAnsi" w:hAnsiTheme="majorHAnsi" w:cstheme="majorHAnsi"/>
          <w:color w:val="000000" w:themeColor="text1"/>
        </w:rPr>
        <w:t>M</w:t>
      </w:r>
      <w:r w:rsidR="00E63E6F" w:rsidRPr="00EC2758">
        <w:rPr>
          <w:rFonts w:asciiTheme="majorHAnsi" w:hAnsiTheme="majorHAnsi" w:cstheme="majorHAnsi"/>
          <w:color w:val="000000" w:themeColor="text1"/>
        </w:rPr>
        <w:t xml:space="preserve">erwe refers to </w:t>
      </w:r>
      <w:r w:rsidR="00C84F9F" w:rsidRPr="00EC2758">
        <w:rPr>
          <w:rFonts w:asciiTheme="majorHAnsi" w:hAnsiTheme="majorHAnsi" w:cstheme="majorHAnsi"/>
          <w:i/>
          <w:iCs/>
          <w:color w:val="000000" w:themeColor="text1"/>
        </w:rPr>
        <w:t>Amardien and Others v Registrar of Deeds and Others</w:t>
      </w:r>
      <w:r w:rsidR="00B37B01" w:rsidRPr="00EC2758">
        <w:rPr>
          <w:rFonts w:asciiTheme="majorHAnsi" w:hAnsiTheme="majorHAnsi" w:cstheme="majorHAnsi"/>
          <w:i/>
          <w:iCs/>
          <w:color w:val="000000" w:themeColor="text1"/>
        </w:rPr>
        <w:t>.</w:t>
      </w:r>
      <w:r w:rsidR="00C84F9F" w:rsidRPr="00EC2758">
        <w:rPr>
          <w:rStyle w:val="FootnoteReference"/>
          <w:rFonts w:asciiTheme="majorHAnsi" w:hAnsiTheme="majorHAnsi" w:cstheme="majorHAnsi"/>
          <w:color w:val="000000" w:themeColor="text1"/>
        </w:rPr>
        <w:footnoteReference w:id="32"/>
      </w:r>
      <w:r w:rsidR="00C84F9F" w:rsidRPr="00EC2758">
        <w:rPr>
          <w:rFonts w:asciiTheme="majorHAnsi" w:hAnsiTheme="majorHAnsi" w:cstheme="majorHAnsi"/>
          <w:color w:val="000000" w:themeColor="text1"/>
        </w:rPr>
        <w:t xml:space="preserve"> </w:t>
      </w:r>
      <w:r w:rsidR="00B37B01" w:rsidRPr="00EC2758">
        <w:rPr>
          <w:rFonts w:asciiTheme="majorHAnsi" w:hAnsiTheme="majorHAnsi" w:cstheme="majorHAnsi"/>
          <w:color w:val="000000" w:themeColor="text1"/>
        </w:rPr>
        <w:t xml:space="preserve">The </w:t>
      </w:r>
      <w:r w:rsidR="00C84F9F" w:rsidRPr="00EC2758">
        <w:rPr>
          <w:rFonts w:asciiTheme="majorHAnsi" w:hAnsiTheme="majorHAnsi" w:cstheme="majorHAnsi"/>
          <w:color w:val="000000" w:themeColor="text1"/>
        </w:rPr>
        <w:t>Constitutional Court held</w:t>
      </w:r>
      <w:r w:rsidR="00B37B01" w:rsidRPr="00EC2758">
        <w:rPr>
          <w:rFonts w:asciiTheme="majorHAnsi" w:hAnsiTheme="majorHAnsi" w:cstheme="majorHAnsi"/>
          <w:color w:val="000000" w:themeColor="text1"/>
        </w:rPr>
        <w:t>:</w:t>
      </w:r>
    </w:p>
    <w:p w14:paraId="7C3EF5D5" w14:textId="77777777" w:rsidR="00C84F9F" w:rsidRPr="00EC2758" w:rsidRDefault="00C84F9F" w:rsidP="00EC2758">
      <w:pPr>
        <w:pStyle w:val="BodyTextIndent"/>
        <w:widowControl w:val="0"/>
        <w:tabs>
          <w:tab w:val="left" w:pos="709"/>
        </w:tabs>
        <w:rPr>
          <w:rFonts w:asciiTheme="majorHAnsi" w:hAnsiTheme="majorHAnsi" w:cstheme="majorHAnsi"/>
          <w:i/>
          <w:iCs/>
          <w:color w:val="000000" w:themeColor="text1"/>
          <w:sz w:val="20"/>
          <w:szCs w:val="20"/>
        </w:rPr>
      </w:pPr>
    </w:p>
    <w:p w14:paraId="54F87A60" w14:textId="77777777" w:rsidR="00B37B01" w:rsidRPr="00EC2758" w:rsidRDefault="00B37B01" w:rsidP="00C72BF6">
      <w:pPr>
        <w:pStyle w:val="NormalWeb"/>
        <w:shd w:val="clear" w:color="auto" w:fill="FFFFFF"/>
        <w:spacing w:before="144" w:line="360" w:lineRule="auto"/>
        <w:ind w:left="2268" w:hanging="850"/>
        <w:jc w:val="both"/>
        <w:rPr>
          <w:rFonts w:asciiTheme="majorHAnsi" w:hAnsiTheme="majorHAnsi" w:cstheme="majorHAnsi"/>
          <w:i/>
          <w:iCs/>
          <w:color w:val="000000" w:themeColor="text1"/>
          <w:sz w:val="20"/>
          <w:szCs w:val="20"/>
        </w:rPr>
      </w:pPr>
      <w:r w:rsidRPr="00EC2758">
        <w:rPr>
          <w:rFonts w:asciiTheme="majorHAnsi" w:hAnsiTheme="majorHAnsi" w:cstheme="majorHAnsi"/>
          <w:i/>
          <w:iCs/>
          <w:color w:val="000000" w:themeColor="text1"/>
          <w:sz w:val="20"/>
          <w:szCs w:val="20"/>
        </w:rPr>
        <w:t>“</w:t>
      </w:r>
      <w:r w:rsidR="00C84F9F" w:rsidRPr="00EC2758">
        <w:rPr>
          <w:rFonts w:asciiTheme="majorHAnsi" w:hAnsiTheme="majorHAnsi" w:cstheme="majorHAnsi"/>
          <w:i/>
          <w:iCs/>
          <w:color w:val="000000" w:themeColor="text1"/>
          <w:sz w:val="20"/>
          <w:szCs w:val="20"/>
        </w:rPr>
        <w:t>[61]</w:t>
      </w:r>
      <w:r w:rsidRPr="00EC2758">
        <w:rPr>
          <w:rFonts w:asciiTheme="majorHAnsi" w:hAnsiTheme="majorHAnsi" w:cstheme="majorHAnsi"/>
          <w:i/>
          <w:iCs/>
          <w:color w:val="000000" w:themeColor="text1"/>
          <w:sz w:val="20"/>
          <w:szCs w:val="20"/>
        </w:rPr>
        <w:tab/>
      </w:r>
      <w:r w:rsidR="00C84F9F" w:rsidRPr="00EC2758">
        <w:rPr>
          <w:rFonts w:asciiTheme="majorHAnsi" w:hAnsiTheme="majorHAnsi" w:cstheme="majorHAnsi"/>
          <w:i/>
          <w:iCs/>
          <w:color w:val="000000" w:themeColor="text1"/>
          <w:sz w:val="20"/>
          <w:szCs w:val="20"/>
        </w:rPr>
        <w:t>It is thus a necessary requirement to specify the amount and nature of the default in the section 129 NCA notice.  As section 129(1) specifically requires the credit provider to “draw the default to the attention of the consumer” it is clear that this will only be met if the amount of arrears is specified in the notice, since the consumer’s attention will not have been drawn to the amount of the default otherwise.  If the basis of the default is that the debtor has fallen into arrears, it must follow axiomatically that “drawing the default to the attention of the consumer” entails that the consumer should be advised of the amount in arrears.  It is only when this has been done that it can be said that notice of the “default” has been drawn to the attention of the consumer.</w:t>
      </w:r>
    </w:p>
    <w:p w14:paraId="11D377EF" w14:textId="77777777" w:rsidR="000C5D0E" w:rsidRPr="00EC2758" w:rsidRDefault="00C84F9F" w:rsidP="00C72BF6">
      <w:pPr>
        <w:pStyle w:val="NormalWeb"/>
        <w:shd w:val="clear" w:color="auto" w:fill="FFFFFF"/>
        <w:spacing w:before="144" w:line="360" w:lineRule="auto"/>
        <w:ind w:left="2268" w:hanging="850"/>
        <w:jc w:val="both"/>
        <w:rPr>
          <w:rFonts w:asciiTheme="majorHAnsi" w:hAnsiTheme="majorHAnsi" w:cstheme="majorHAnsi"/>
          <w:i/>
          <w:iCs/>
          <w:color w:val="000000" w:themeColor="text1"/>
          <w:sz w:val="20"/>
          <w:szCs w:val="20"/>
        </w:rPr>
      </w:pPr>
      <w:r w:rsidRPr="00EC2758">
        <w:rPr>
          <w:rFonts w:asciiTheme="majorHAnsi" w:hAnsiTheme="majorHAnsi" w:cstheme="majorHAnsi"/>
          <w:i/>
          <w:iCs/>
          <w:color w:val="000000" w:themeColor="text1"/>
          <w:sz w:val="20"/>
          <w:szCs w:val="20"/>
        </w:rPr>
        <w:t>[62] </w:t>
      </w:r>
      <w:r w:rsidR="00B37B01" w:rsidRPr="00EC2758">
        <w:rPr>
          <w:rFonts w:asciiTheme="majorHAnsi" w:hAnsiTheme="majorHAnsi" w:cstheme="majorHAnsi"/>
          <w:i/>
          <w:iCs/>
          <w:color w:val="000000" w:themeColor="text1"/>
          <w:sz w:val="20"/>
          <w:szCs w:val="20"/>
        </w:rPr>
        <w:tab/>
      </w:r>
      <w:r w:rsidRPr="00EC2758">
        <w:rPr>
          <w:rFonts w:asciiTheme="majorHAnsi" w:hAnsiTheme="majorHAnsi" w:cstheme="majorHAnsi"/>
          <w:i/>
          <w:iCs/>
          <w:color w:val="000000" w:themeColor="text1"/>
          <w:sz w:val="20"/>
          <w:szCs w:val="20"/>
        </w:rPr>
        <w:t>If the consumer is not advised of the arrear amount she will be left none the wiser.  The referral by the consumer of the credit agreement to a debt counsellor, alternative dispute resolution agent, consumer court or ombud with jurisdiction presupposes that the consumer has been apprised of the facts to enable her to, amongst others, develop and agree on a plan to bring the payments under the agreement up to date.  One may rhetorically ask: how is the consumer to agree on a plan to bring payments under the agreement up to date if she is not notified of the amount in arrears?</w:t>
      </w:r>
    </w:p>
    <w:p w14:paraId="7D5AD274" w14:textId="42494C5E" w:rsidR="00C84F9F" w:rsidRDefault="00C84F9F" w:rsidP="00C72BF6">
      <w:pPr>
        <w:pStyle w:val="NormalWeb"/>
        <w:shd w:val="clear" w:color="auto" w:fill="FFFFFF"/>
        <w:spacing w:before="144" w:line="360" w:lineRule="auto"/>
        <w:ind w:left="2268" w:hanging="850"/>
        <w:jc w:val="both"/>
        <w:rPr>
          <w:rFonts w:asciiTheme="majorHAnsi" w:hAnsiTheme="majorHAnsi" w:cstheme="majorHAnsi"/>
          <w:i/>
          <w:iCs/>
          <w:color w:val="000000" w:themeColor="text1"/>
          <w:sz w:val="20"/>
          <w:szCs w:val="20"/>
        </w:rPr>
      </w:pPr>
      <w:r w:rsidRPr="00EC2758">
        <w:rPr>
          <w:rFonts w:asciiTheme="majorHAnsi" w:hAnsiTheme="majorHAnsi" w:cstheme="majorHAnsi"/>
          <w:i/>
          <w:iCs/>
          <w:color w:val="000000" w:themeColor="text1"/>
          <w:sz w:val="20"/>
          <w:szCs w:val="20"/>
        </w:rPr>
        <w:t>[63] </w:t>
      </w:r>
      <w:r w:rsidR="000C5D0E" w:rsidRPr="00EC2758">
        <w:rPr>
          <w:rFonts w:asciiTheme="majorHAnsi" w:hAnsiTheme="majorHAnsi" w:cstheme="majorHAnsi"/>
          <w:i/>
          <w:iCs/>
          <w:color w:val="000000" w:themeColor="text1"/>
          <w:sz w:val="20"/>
          <w:szCs w:val="20"/>
        </w:rPr>
        <w:tab/>
      </w:r>
      <w:r w:rsidRPr="00EC2758">
        <w:rPr>
          <w:rFonts w:asciiTheme="majorHAnsi" w:hAnsiTheme="majorHAnsi" w:cstheme="majorHAnsi"/>
          <w:i/>
          <w:iCs/>
          <w:color w:val="000000" w:themeColor="text1"/>
          <w:sz w:val="20"/>
          <w:szCs w:val="20"/>
        </w:rPr>
        <w:t xml:space="preserve">This Court in Nkata held that the onus is on the credit provider to take appropriate steps if it wants to recover the cost for enforcing an agreement with the consumer.  The creditor is in a better position to determine the amount of the debt and must be required to stipulate the amount owed by the debtor.  </w:t>
      </w:r>
      <w:r w:rsidRPr="00EC2758">
        <w:rPr>
          <w:rFonts w:asciiTheme="majorHAnsi" w:hAnsiTheme="majorHAnsi" w:cstheme="majorHAnsi"/>
          <w:i/>
          <w:iCs/>
          <w:color w:val="000000" w:themeColor="text1"/>
          <w:sz w:val="20"/>
          <w:szCs w:val="20"/>
          <w:u w:val="single"/>
        </w:rPr>
        <w:t xml:space="preserve">The burden of determining the amount is an onerous one to place upon the consumer, as the consumer may not be aware of complex </w:t>
      </w:r>
      <w:r w:rsidRPr="00EC2758">
        <w:rPr>
          <w:rFonts w:asciiTheme="majorHAnsi" w:hAnsiTheme="majorHAnsi" w:cstheme="majorHAnsi"/>
          <w:i/>
          <w:iCs/>
          <w:color w:val="000000" w:themeColor="text1"/>
          <w:sz w:val="20"/>
          <w:szCs w:val="20"/>
          <w:u w:val="single"/>
        </w:rPr>
        <w:lastRenderedPageBreak/>
        <w:t>calculations that are to be taken into account while calculating interest</w:t>
      </w:r>
      <w:r w:rsidRPr="00EC2758">
        <w:rPr>
          <w:rFonts w:asciiTheme="majorHAnsi" w:hAnsiTheme="majorHAnsi" w:cstheme="majorHAnsi"/>
          <w:i/>
          <w:iCs/>
          <w:color w:val="000000" w:themeColor="text1"/>
          <w:sz w:val="20"/>
          <w:szCs w:val="20"/>
        </w:rPr>
        <w:t>.  On the other hand, it will be significantly easier for the creditor to state the amount concerned.  After all, it is the credit provider itself that claims that the consumer is in arrears with her payments.</w:t>
      </w:r>
      <w:r w:rsidR="000C5D0E" w:rsidRPr="00EC2758">
        <w:rPr>
          <w:rFonts w:asciiTheme="majorHAnsi" w:hAnsiTheme="majorHAnsi" w:cstheme="majorHAnsi"/>
          <w:i/>
          <w:iCs/>
          <w:color w:val="000000" w:themeColor="text1"/>
          <w:sz w:val="20"/>
          <w:szCs w:val="20"/>
        </w:rPr>
        <w:t>”</w:t>
      </w:r>
    </w:p>
    <w:p w14:paraId="110394C2" w14:textId="77777777" w:rsidR="00C81343" w:rsidRPr="00EC2758" w:rsidRDefault="00C81343" w:rsidP="00C81343">
      <w:pPr>
        <w:pStyle w:val="NormalWeb"/>
        <w:shd w:val="clear" w:color="auto" w:fill="FFFFFF"/>
        <w:spacing w:before="144" w:line="360" w:lineRule="auto"/>
        <w:jc w:val="both"/>
        <w:rPr>
          <w:rFonts w:asciiTheme="majorHAnsi" w:hAnsiTheme="majorHAnsi" w:cstheme="majorHAnsi"/>
          <w:i/>
          <w:iCs/>
          <w:color w:val="000000" w:themeColor="text1"/>
          <w:sz w:val="20"/>
          <w:szCs w:val="20"/>
        </w:rPr>
      </w:pPr>
    </w:p>
    <w:p w14:paraId="54B211E2" w14:textId="53514D26" w:rsidR="00717444" w:rsidRDefault="007750BF" w:rsidP="00C81343">
      <w:pPr>
        <w:pStyle w:val="NormalWeb"/>
        <w:shd w:val="clear" w:color="auto" w:fill="FFFFFF"/>
        <w:spacing w:before="144" w:line="360" w:lineRule="auto"/>
        <w:ind w:left="720" w:hanging="720"/>
        <w:jc w:val="both"/>
        <w:rPr>
          <w:rFonts w:asciiTheme="majorHAnsi" w:hAnsiTheme="majorHAnsi" w:cstheme="majorHAnsi"/>
          <w:color w:val="000000" w:themeColor="text1"/>
        </w:rPr>
      </w:pPr>
      <w:r w:rsidRPr="00EC2758">
        <w:rPr>
          <w:rFonts w:asciiTheme="majorHAnsi" w:hAnsiTheme="majorHAnsi" w:cstheme="majorHAnsi"/>
          <w:color w:val="000000" w:themeColor="text1"/>
        </w:rPr>
        <w:t>[3</w:t>
      </w:r>
      <w:r w:rsidR="006D6BBF" w:rsidRPr="00EC2758">
        <w:rPr>
          <w:rFonts w:asciiTheme="majorHAnsi" w:hAnsiTheme="majorHAnsi" w:cstheme="majorHAnsi"/>
          <w:color w:val="000000" w:themeColor="text1"/>
        </w:rPr>
        <w:t>7</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r>
      <w:r w:rsidR="000C5D0E" w:rsidRPr="00EC2758">
        <w:rPr>
          <w:rFonts w:asciiTheme="majorHAnsi" w:hAnsiTheme="majorHAnsi" w:cstheme="majorHAnsi"/>
          <w:color w:val="000000" w:themeColor="text1"/>
        </w:rPr>
        <w:t xml:space="preserve">I quoted extensively from the judgment to satisfy the </w:t>
      </w:r>
      <w:r w:rsidR="00E5516A" w:rsidRPr="00EC2758">
        <w:rPr>
          <w:rFonts w:asciiTheme="majorHAnsi" w:hAnsiTheme="majorHAnsi" w:cstheme="majorHAnsi"/>
          <w:color w:val="000000" w:themeColor="text1"/>
        </w:rPr>
        <w:t xml:space="preserve">Defendant </w:t>
      </w:r>
      <w:r w:rsidR="000C5D0E" w:rsidRPr="00EC2758">
        <w:rPr>
          <w:rFonts w:asciiTheme="majorHAnsi" w:hAnsiTheme="majorHAnsi" w:cstheme="majorHAnsi"/>
          <w:color w:val="000000" w:themeColor="text1"/>
        </w:rPr>
        <w:t>that the princi</w:t>
      </w:r>
      <w:r w:rsidRPr="00EC2758">
        <w:rPr>
          <w:rFonts w:asciiTheme="majorHAnsi" w:hAnsiTheme="majorHAnsi" w:cstheme="majorHAnsi"/>
          <w:color w:val="000000" w:themeColor="text1"/>
        </w:rPr>
        <w:t>p</w:t>
      </w:r>
      <w:r w:rsidR="000C5D0E" w:rsidRPr="00EC2758">
        <w:rPr>
          <w:rFonts w:asciiTheme="majorHAnsi" w:hAnsiTheme="majorHAnsi" w:cstheme="majorHAnsi"/>
          <w:color w:val="000000" w:themeColor="text1"/>
        </w:rPr>
        <w:t xml:space="preserve">les were considered by me. </w:t>
      </w:r>
      <w:r w:rsidR="00D53C76" w:rsidRPr="00EC2758">
        <w:rPr>
          <w:rFonts w:asciiTheme="majorHAnsi" w:hAnsiTheme="majorHAnsi" w:cstheme="majorHAnsi"/>
          <w:color w:val="000000" w:themeColor="text1"/>
        </w:rPr>
        <w:t xml:space="preserve">When the Court stated that the burden of determining the amount is an onerous one to place upon the consumer, as the consumer may not be aware of complex calculations that are to be taken into account while calculating interest, it should be considered in the context of </w:t>
      </w:r>
      <w:r w:rsidRPr="00EC2758">
        <w:rPr>
          <w:rFonts w:asciiTheme="majorHAnsi" w:hAnsiTheme="majorHAnsi" w:cstheme="majorHAnsi"/>
          <w:color w:val="000000" w:themeColor="text1"/>
        </w:rPr>
        <w:t xml:space="preserve">the </w:t>
      </w:r>
      <w:r w:rsidR="00EC2758" w:rsidRPr="00EC2758">
        <w:rPr>
          <w:rFonts w:asciiTheme="majorHAnsi" w:hAnsiTheme="majorHAnsi" w:cstheme="majorHAnsi"/>
          <w:color w:val="000000" w:themeColor="text1"/>
        </w:rPr>
        <w:t>circumstances</w:t>
      </w:r>
      <w:r w:rsidR="00D53C76" w:rsidRPr="00EC2758">
        <w:rPr>
          <w:rFonts w:asciiTheme="majorHAnsi" w:hAnsiTheme="majorHAnsi" w:cstheme="majorHAnsi"/>
          <w:color w:val="000000" w:themeColor="text1"/>
        </w:rPr>
        <w:t xml:space="preserve"> </w:t>
      </w:r>
      <w:r w:rsidR="00CB05C8" w:rsidRPr="00EC2758">
        <w:rPr>
          <w:rFonts w:asciiTheme="majorHAnsi" w:hAnsiTheme="majorHAnsi" w:cstheme="majorHAnsi"/>
          <w:color w:val="000000" w:themeColor="text1"/>
        </w:rPr>
        <w:t xml:space="preserve">surrounding the </w:t>
      </w:r>
      <w:r w:rsidR="00D53C76" w:rsidRPr="00EC2758">
        <w:rPr>
          <w:rFonts w:asciiTheme="majorHAnsi" w:hAnsiTheme="majorHAnsi" w:cstheme="majorHAnsi"/>
          <w:color w:val="000000" w:themeColor="text1"/>
        </w:rPr>
        <w:t>Plaintiff’s case against the Defendant in th</w:t>
      </w:r>
      <w:r w:rsidR="00E5516A" w:rsidRPr="00EC2758">
        <w:rPr>
          <w:rFonts w:asciiTheme="majorHAnsi" w:hAnsiTheme="majorHAnsi" w:cstheme="majorHAnsi"/>
          <w:color w:val="000000" w:themeColor="text1"/>
        </w:rPr>
        <w:t>e</w:t>
      </w:r>
      <w:r w:rsidR="00D53C76" w:rsidRPr="00EC2758">
        <w:rPr>
          <w:rFonts w:asciiTheme="majorHAnsi" w:hAnsiTheme="majorHAnsi" w:cstheme="majorHAnsi"/>
          <w:color w:val="000000" w:themeColor="text1"/>
        </w:rPr>
        <w:t>se proceedings. The Defendant did not deny the initial amount in arrears. He did also not dispute the certificate of balance</w:t>
      </w:r>
      <w:r w:rsidR="00C667BA" w:rsidRPr="00EC2758">
        <w:rPr>
          <w:rFonts w:asciiTheme="majorHAnsi" w:hAnsiTheme="majorHAnsi" w:cstheme="majorHAnsi"/>
          <w:color w:val="000000" w:themeColor="text1"/>
        </w:rPr>
        <w:t xml:space="preserve"> </w:t>
      </w:r>
      <w:r w:rsidR="00D53C76" w:rsidRPr="00EC2758">
        <w:rPr>
          <w:rFonts w:asciiTheme="majorHAnsi" w:hAnsiTheme="majorHAnsi" w:cstheme="majorHAnsi"/>
          <w:color w:val="000000" w:themeColor="text1"/>
        </w:rPr>
        <w:t xml:space="preserve">to the extent that it lost its status as </w:t>
      </w:r>
      <w:r w:rsidR="00D53C76" w:rsidRPr="00EC2758">
        <w:rPr>
          <w:rFonts w:asciiTheme="majorHAnsi" w:hAnsiTheme="majorHAnsi" w:cstheme="majorHAnsi"/>
          <w:i/>
          <w:iCs/>
          <w:color w:val="000000" w:themeColor="text1"/>
        </w:rPr>
        <w:t>prima facie</w:t>
      </w:r>
      <w:r w:rsidR="00D53C76" w:rsidRPr="00EC2758">
        <w:rPr>
          <w:rFonts w:asciiTheme="majorHAnsi" w:hAnsiTheme="majorHAnsi" w:cstheme="majorHAnsi"/>
          <w:color w:val="000000" w:themeColor="text1"/>
        </w:rPr>
        <w:t xml:space="preserve"> proof</w:t>
      </w:r>
      <w:r w:rsidR="00CB05C8" w:rsidRPr="00EC2758">
        <w:rPr>
          <w:rFonts w:asciiTheme="majorHAnsi" w:hAnsiTheme="majorHAnsi" w:cstheme="majorHAnsi"/>
          <w:color w:val="000000" w:themeColor="text1"/>
        </w:rPr>
        <w:t>, at least in respect of his default and the amount at that stage.</w:t>
      </w:r>
      <w:r w:rsidR="00D53C76" w:rsidRPr="00EC2758">
        <w:rPr>
          <w:rFonts w:asciiTheme="majorHAnsi" w:hAnsiTheme="majorHAnsi" w:cstheme="majorHAnsi"/>
          <w:color w:val="000000" w:themeColor="text1"/>
        </w:rPr>
        <w:t xml:space="preserve"> When he entered into the e</w:t>
      </w:r>
      <w:r w:rsidR="00C72BF6">
        <w:rPr>
          <w:rFonts w:asciiTheme="majorHAnsi" w:hAnsiTheme="majorHAnsi" w:cstheme="majorHAnsi"/>
          <w:color w:val="000000" w:themeColor="text1"/>
        </w:rPr>
        <w:t>-</w:t>
      </w:r>
      <w:r w:rsidR="00D53C76" w:rsidRPr="00EC2758">
        <w:rPr>
          <w:rFonts w:asciiTheme="majorHAnsi" w:hAnsiTheme="majorHAnsi" w:cstheme="majorHAnsi"/>
          <w:color w:val="000000" w:themeColor="text1"/>
        </w:rPr>
        <w:t xml:space="preserve">mail agreement </w:t>
      </w:r>
      <w:r w:rsidRPr="00EC2758">
        <w:rPr>
          <w:rFonts w:asciiTheme="majorHAnsi" w:hAnsiTheme="majorHAnsi" w:cstheme="majorHAnsi"/>
          <w:color w:val="000000" w:themeColor="text1"/>
        </w:rPr>
        <w:t>(payment plan), he was aware of the exact amount. There was thus compliance with the requirements set by the Constitutional Court.</w:t>
      </w:r>
    </w:p>
    <w:p w14:paraId="71097E46" w14:textId="77777777" w:rsidR="00C81343" w:rsidRDefault="00C81343" w:rsidP="00C81343">
      <w:pPr>
        <w:pStyle w:val="NormalWeb"/>
        <w:shd w:val="clear" w:color="auto" w:fill="FFFFFF"/>
        <w:spacing w:before="144" w:line="360" w:lineRule="auto"/>
        <w:ind w:left="720" w:hanging="720"/>
        <w:jc w:val="both"/>
        <w:rPr>
          <w:rFonts w:asciiTheme="majorHAnsi" w:hAnsiTheme="majorHAnsi" w:cstheme="majorHAnsi"/>
          <w:color w:val="000000" w:themeColor="text1"/>
        </w:rPr>
      </w:pPr>
    </w:p>
    <w:p w14:paraId="58C82D14" w14:textId="2A1A7974" w:rsidR="006336A9" w:rsidRPr="00EC2758" w:rsidRDefault="006336A9" w:rsidP="00EC2758">
      <w:pPr>
        <w:pStyle w:val="NormalWeb"/>
        <w:shd w:val="clear" w:color="auto" w:fill="FFFFFF"/>
        <w:spacing w:before="144" w:line="360" w:lineRule="auto"/>
        <w:ind w:left="720" w:hanging="720"/>
        <w:jc w:val="both"/>
        <w:rPr>
          <w:rFonts w:asciiTheme="majorHAnsi" w:hAnsiTheme="majorHAnsi" w:cstheme="majorHAnsi"/>
          <w:color w:val="000000" w:themeColor="text1"/>
        </w:rPr>
      </w:pPr>
      <w:r w:rsidRPr="00EC2758">
        <w:rPr>
          <w:rFonts w:asciiTheme="majorHAnsi" w:hAnsiTheme="majorHAnsi" w:cstheme="majorHAnsi"/>
          <w:color w:val="000000" w:themeColor="text1"/>
        </w:rPr>
        <w:t>[3</w:t>
      </w:r>
      <w:r w:rsidR="00A53F42" w:rsidRPr="00EC2758">
        <w:rPr>
          <w:rFonts w:asciiTheme="majorHAnsi" w:hAnsiTheme="majorHAnsi" w:cstheme="majorHAnsi"/>
          <w:color w:val="000000" w:themeColor="text1"/>
        </w:rPr>
        <w:t>8</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r>
      <w:r w:rsidR="008F1EAA" w:rsidRPr="00EC2758">
        <w:rPr>
          <w:rFonts w:asciiTheme="majorHAnsi" w:hAnsiTheme="majorHAnsi" w:cstheme="majorHAnsi"/>
          <w:color w:val="000000" w:themeColor="text1"/>
        </w:rPr>
        <w:t>In respect of Mr van der Merwe’s submission that s 129 does not constit</w:t>
      </w:r>
      <w:r w:rsidR="005E0B4B" w:rsidRPr="00EC2758">
        <w:rPr>
          <w:rFonts w:asciiTheme="majorHAnsi" w:hAnsiTheme="majorHAnsi" w:cstheme="majorHAnsi"/>
          <w:color w:val="000000" w:themeColor="text1"/>
        </w:rPr>
        <w:t>ute</w:t>
      </w:r>
      <w:r w:rsidR="008F1EAA" w:rsidRPr="00EC2758">
        <w:rPr>
          <w:rFonts w:asciiTheme="majorHAnsi" w:hAnsiTheme="majorHAnsi" w:cstheme="majorHAnsi"/>
          <w:color w:val="000000" w:themeColor="text1"/>
        </w:rPr>
        <w:t xml:space="preserve"> a defence to summary judgement proceedings, </w:t>
      </w:r>
      <w:r w:rsidRPr="00EC2758">
        <w:rPr>
          <w:rFonts w:asciiTheme="majorHAnsi" w:hAnsiTheme="majorHAnsi" w:cstheme="majorHAnsi"/>
          <w:color w:val="000000" w:themeColor="text1"/>
        </w:rPr>
        <w:t xml:space="preserve">I understand </w:t>
      </w:r>
      <w:r w:rsidRPr="00EC2758">
        <w:rPr>
          <w:rFonts w:asciiTheme="majorHAnsi" w:hAnsiTheme="majorHAnsi" w:cstheme="majorHAnsi"/>
          <w:i/>
          <w:iCs/>
          <w:color w:val="000000" w:themeColor="text1"/>
        </w:rPr>
        <w:t>Standard Bank of South Africa Limited v Rockhill and Another</w:t>
      </w:r>
      <w:r w:rsidRPr="00EC2758">
        <w:rPr>
          <w:rStyle w:val="FootnoteReference"/>
          <w:rFonts w:asciiTheme="majorHAnsi" w:hAnsiTheme="majorHAnsi" w:cstheme="majorHAnsi"/>
          <w:color w:val="000000" w:themeColor="text1"/>
        </w:rPr>
        <w:footnoteReference w:id="33"/>
      </w:r>
      <w:r w:rsidRPr="00EC2758">
        <w:rPr>
          <w:rFonts w:asciiTheme="majorHAnsi" w:hAnsiTheme="majorHAnsi" w:cstheme="majorHAnsi"/>
          <w:color w:val="000000" w:themeColor="text1"/>
        </w:rPr>
        <w:t xml:space="preserve"> not to mean that non-compliance with section 129 is irrelevant, but that a Defendant has to show</w:t>
      </w:r>
      <w:r w:rsidR="00C667BA"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 xml:space="preserve"> at </w:t>
      </w:r>
      <w:r w:rsidR="00C667BA" w:rsidRPr="00EC2758">
        <w:rPr>
          <w:rFonts w:asciiTheme="majorHAnsi" w:hAnsiTheme="majorHAnsi" w:cstheme="majorHAnsi"/>
          <w:color w:val="000000" w:themeColor="text1"/>
        </w:rPr>
        <w:t xml:space="preserve">the minimum, </w:t>
      </w:r>
      <w:r w:rsidRPr="00EC2758">
        <w:rPr>
          <w:rFonts w:asciiTheme="majorHAnsi" w:hAnsiTheme="majorHAnsi" w:cstheme="majorHAnsi"/>
          <w:color w:val="000000" w:themeColor="text1"/>
        </w:rPr>
        <w:t xml:space="preserve">that he has a defence </w:t>
      </w:r>
      <w:r w:rsidR="00674CFD" w:rsidRPr="00EC2758">
        <w:rPr>
          <w:rFonts w:asciiTheme="majorHAnsi" w:hAnsiTheme="majorHAnsi" w:cstheme="majorHAnsi"/>
          <w:color w:val="000000" w:themeColor="text1"/>
        </w:rPr>
        <w:t>or triable issue</w:t>
      </w:r>
      <w:r w:rsidR="00674CFD" w:rsidRPr="00EC2758">
        <w:rPr>
          <w:rStyle w:val="FootnoteReference"/>
          <w:rFonts w:asciiTheme="majorHAnsi" w:hAnsiTheme="majorHAnsi" w:cstheme="majorHAnsi"/>
          <w:color w:val="000000" w:themeColor="text1"/>
        </w:rPr>
        <w:footnoteReference w:id="34"/>
      </w:r>
      <w:r w:rsidR="00674CFD" w:rsidRPr="00EC2758">
        <w:rPr>
          <w:rFonts w:asciiTheme="majorHAnsi" w:hAnsiTheme="majorHAnsi" w:cstheme="majorHAnsi"/>
          <w:color w:val="000000" w:themeColor="text1"/>
        </w:rPr>
        <w:t xml:space="preserve"> </w:t>
      </w:r>
      <w:r w:rsidRPr="00EC2758">
        <w:rPr>
          <w:rFonts w:asciiTheme="majorHAnsi" w:hAnsiTheme="majorHAnsi" w:cstheme="majorHAnsi"/>
          <w:color w:val="000000" w:themeColor="text1"/>
        </w:rPr>
        <w:t xml:space="preserve">to the </w:t>
      </w:r>
      <w:r w:rsidR="00616654" w:rsidRPr="00EC2758">
        <w:rPr>
          <w:rFonts w:asciiTheme="majorHAnsi" w:hAnsiTheme="majorHAnsi" w:cstheme="majorHAnsi"/>
          <w:color w:val="000000" w:themeColor="text1"/>
        </w:rPr>
        <w:t xml:space="preserve">substance (merits) </w:t>
      </w:r>
      <w:r w:rsidRPr="00EC2758">
        <w:rPr>
          <w:rFonts w:asciiTheme="majorHAnsi" w:hAnsiTheme="majorHAnsi" w:cstheme="majorHAnsi"/>
          <w:color w:val="000000" w:themeColor="text1"/>
        </w:rPr>
        <w:t>of the claim</w:t>
      </w:r>
      <w:r w:rsidR="00616654" w:rsidRPr="00EC2758">
        <w:rPr>
          <w:rFonts w:asciiTheme="majorHAnsi" w:hAnsiTheme="majorHAnsi" w:cstheme="majorHAnsi"/>
          <w:color w:val="000000" w:themeColor="text1"/>
        </w:rPr>
        <w:t>. Section 129 is procedural.</w:t>
      </w:r>
      <w:r w:rsidR="007876D0" w:rsidRPr="00EC2758">
        <w:rPr>
          <w:rFonts w:asciiTheme="majorHAnsi" w:hAnsiTheme="majorHAnsi" w:cstheme="majorHAnsi"/>
          <w:color w:val="000000" w:themeColor="text1"/>
        </w:rPr>
        <w:t xml:space="preserve"> This answers the second </w:t>
      </w:r>
      <w:r w:rsidR="008F2D64" w:rsidRPr="00EC2758">
        <w:rPr>
          <w:rFonts w:asciiTheme="majorHAnsi" w:hAnsiTheme="majorHAnsi" w:cstheme="majorHAnsi"/>
          <w:color w:val="000000" w:themeColor="text1"/>
        </w:rPr>
        <w:t>defence</w:t>
      </w:r>
      <w:r w:rsidR="007876D0" w:rsidRPr="00EC2758">
        <w:rPr>
          <w:rFonts w:asciiTheme="majorHAnsi" w:hAnsiTheme="majorHAnsi" w:cstheme="majorHAnsi"/>
          <w:color w:val="000000" w:themeColor="text1"/>
        </w:rPr>
        <w:t>.</w:t>
      </w:r>
    </w:p>
    <w:p w14:paraId="79A2611B" w14:textId="77777777" w:rsidR="00A53F42" w:rsidRPr="00EC2758" w:rsidRDefault="00A53F42" w:rsidP="00EC2758">
      <w:pPr>
        <w:pStyle w:val="BodyTextIndent"/>
        <w:widowControl w:val="0"/>
        <w:tabs>
          <w:tab w:val="left" w:pos="709"/>
        </w:tabs>
        <w:rPr>
          <w:rFonts w:asciiTheme="majorHAnsi" w:hAnsiTheme="majorHAnsi" w:cstheme="majorHAnsi"/>
          <w:color w:val="000000" w:themeColor="text1"/>
        </w:rPr>
      </w:pPr>
    </w:p>
    <w:p w14:paraId="57EFD28C" w14:textId="3503E193" w:rsidR="00751D9D" w:rsidRDefault="003533A8" w:rsidP="00EC2758">
      <w:pPr>
        <w:pStyle w:val="BodyTextIndent"/>
        <w:widowControl w:val="0"/>
        <w:tabs>
          <w:tab w:val="left" w:pos="709"/>
        </w:tabs>
        <w:rPr>
          <w:rFonts w:asciiTheme="majorHAnsi" w:hAnsiTheme="majorHAnsi" w:cstheme="majorHAnsi"/>
          <w:color w:val="000000" w:themeColor="text1"/>
        </w:rPr>
      </w:pPr>
      <w:r w:rsidRPr="00EC2758">
        <w:rPr>
          <w:rFonts w:asciiTheme="majorHAnsi" w:hAnsiTheme="majorHAnsi" w:cstheme="majorHAnsi"/>
          <w:color w:val="000000" w:themeColor="text1"/>
        </w:rPr>
        <w:t>[</w:t>
      </w:r>
      <w:r w:rsidR="006458BE">
        <w:rPr>
          <w:rFonts w:asciiTheme="majorHAnsi" w:hAnsiTheme="majorHAnsi" w:cstheme="majorHAnsi"/>
          <w:color w:val="000000" w:themeColor="text1"/>
        </w:rPr>
        <w:t>3</w:t>
      </w:r>
      <w:r w:rsidR="00C72BF6">
        <w:rPr>
          <w:rFonts w:asciiTheme="majorHAnsi" w:hAnsiTheme="majorHAnsi" w:cstheme="majorHAnsi"/>
          <w:color w:val="000000" w:themeColor="text1"/>
        </w:rPr>
        <w:t>9</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t xml:space="preserve">Mrs Pieterse argued that </w:t>
      </w:r>
      <w:r w:rsidR="00C72BF6">
        <w:rPr>
          <w:rFonts w:asciiTheme="majorHAnsi" w:hAnsiTheme="majorHAnsi" w:cstheme="majorHAnsi"/>
          <w:color w:val="000000" w:themeColor="text1"/>
        </w:rPr>
        <w:t>an</w:t>
      </w:r>
      <w:r w:rsidRPr="00EC2758">
        <w:rPr>
          <w:rFonts w:asciiTheme="majorHAnsi" w:hAnsiTheme="majorHAnsi" w:cstheme="majorHAnsi"/>
          <w:color w:val="000000" w:themeColor="text1"/>
        </w:rPr>
        <w:t xml:space="preserve"> </w:t>
      </w:r>
      <w:r w:rsidR="00C72BF6">
        <w:rPr>
          <w:rFonts w:asciiTheme="majorHAnsi" w:hAnsiTheme="majorHAnsi" w:cstheme="majorHAnsi"/>
          <w:color w:val="000000" w:themeColor="text1"/>
        </w:rPr>
        <w:t>e-mail</w:t>
      </w:r>
      <w:r w:rsidRPr="00EC2758">
        <w:rPr>
          <w:rFonts w:asciiTheme="majorHAnsi" w:hAnsiTheme="majorHAnsi" w:cstheme="majorHAnsi"/>
          <w:color w:val="000000" w:themeColor="text1"/>
        </w:rPr>
        <w:t xml:space="preserve"> agreement was approved to be a valid agreement even in the presence of a non-variation clause as it reflects the true intention of the parties.  </w:t>
      </w:r>
      <w:r w:rsidR="00751D9D" w:rsidRPr="00EC2758">
        <w:rPr>
          <w:rFonts w:asciiTheme="majorHAnsi" w:hAnsiTheme="majorHAnsi" w:cstheme="majorHAnsi"/>
          <w:color w:val="000000" w:themeColor="text1"/>
        </w:rPr>
        <w:t>I do not take issue with that. It is, however, clear to me that the negotiation and agreement provides for the</w:t>
      </w:r>
      <w:r w:rsidR="0019342A" w:rsidRPr="00EC2758">
        <w:rPr>
          <w:rFonts w:asciiTheme="majorHAnsi" w:hAnsiTheme="majorHAnsi" w:cstheme="majorHAnsi"/>
          <w:color w:val="000000" w:themeColor="text1"/>
        </w:rPr>
        <w:t xml:space="preserve"> </w:t>
      </w:r>
      <w:r w:rsidR="00751D9D" w:rsidRPr="00EC2758">
        <w:rPr>
          <w:rFonts w:asciiTheme="majorHAnsi" w:hAnsiTheme="majorHAnsi" w:cstheme="majorHAnsi"/>
          <w:color w:val="000000" w:themeColor="text1"/>
        </w:rPr>
        <w:t xml:space="preserve">payment of the arrears and </w:t>
      </w:r>
      <w:r w:rsidR="00751D9D" w:rsidRPr="00EC2758">
        <w:rPr>
          <w:rFonts w:asciiTheme="majorHAnsi" w:hAnsiTheme="majorHAnsi" w:cstheme="majorHAnsi"/>
          <w:color w:val="000000" w:themeColor="text1"/>
        </w:rPr>
        <w:lastRenderedPageBreak/>
        <w:t>the instalment. It did not amend the term</w:t>
      </w:r>
      <w:r w:rsidR="0019342A" w:rsidRPr="00EC2758">
        <w:rPr>
          <w:rFonts w:asciiTheme="majorHAnsi" w:hAnsiTheme="majorHAnsi" w:cstheme="majorHAnsi"/>
          <w:color w:val="000000" w:themeColor="text1"/>
        </w:rPr>
        <w:t>s</w:t>
      </w:r>
      <w:r w:rsidR="00751D9D" w:rsidRPr="00EC2758">
        <w:rPr>
          <w:rFonts w:asciiTheme="majorHAnsi" w:hAnsiTheme="majorHAnsi" w:cstheme="majorHAnsi"/>
          <w:color w:val="000000" w:themeColor="text1"/>
        </w:rPr>
        <w:t xml:space="preserve"> of the</w:t>
      </w:r>
      <w:r w:rsidR="0019342A" w:rsidRPr="00EC2758">
        <w:rPr>
          <w:rFonts w:asciiTheme="majorHAnsi" w:hAnsiTheme="majorHAnsi" w:cstheme="majorHAnsi"/>
          <w:color w:val="000000" w:themeColor="text1"/>
        </w:rPr>
        <w:t xml:space="preserve"> </w:t>
      </w:r>
      <w:r w:rsidR="00751D9D" w:rsidRPr="00EC2758">
        <w:rPr>
          <w:rFonts w:asciiTheme="majorHAnsi" w:hAnsiTheme="majorHAnsi" w:cstheme="majorHAnsi"/>
          <w:color w:val="000000" w:themeColor="text1"/>
        </w:rPr>
        <w:t>loan agreement</w:t>
      </w:r>
      <w:r w:rsidR="00CA540C" w:rsidRPr="00EC2758">
        <w:rPr>
          <w:rFonts w:asciiTheme="majorHAnsi" w:hAnsiTheme="majorHAnsi" w:cstheme="majorHAnsi"/>
          <w:color w:val="000000" w:themeColor="text1"/>
        </w:rPr>
        <w:t>, no</w:t>
      </w:r>
      <w:r w:rsidR="00717444">
        <w:rPr>
          <w:rFonts w:asciiTheme="majorHAnsi" w:hAnsiTheme="majorHAnsi" w:cstheme="majorHAnsi"/>
          <w:color w:val="000000" w:themeColor="text1"/>
        </w:rPr>
        <w:t>r</w:t>
      </w:r>
      <w:r w:rsidR="00CA540C" w:rsidRPr="00EC2758">
        <w:rPr>
          <w:rFonts w:asciiTheme="majorHAnsi" w:hAnsiTheme="majorHAnsi" w:cstheme="majorHAnsi"/>
          <w:color w:val="000000" w:themeColor="text1"/>
        </w:rPr>
        <w:t xml:space="preserve"> did it bring finality to his obligations</w:t>
      </w:r>
      <w:r w:rsidR="0019342A" w:rsidRPr="00EC2758">
        <w:rPr>
          <w:rFonts w:asciiTheme="majorHAnsi" w:hAnsiTheme="majorHAnsi" w:cstheme="majorHAnsi"/>
          <w:color w:val="000000" w:themeColor="text1"/>
        </w:rPr>
        <w:t xml:space="preserve">. The </w:t>
      </w:r>
      <w:r w:rsidR="00751D9D" w:rsidRPr="00EC2758">
        <w:rPr>
          <w:rFonts w:asciiTheme="majorHAnsi" w:hAnsiTheme="majorHAnsi" w:cstheme="majorHAnsi"/>
          <w:color w:val="000000" w:themeColor="text1"/>
        </w:rPr>
        <w:t xml:space="preserve">facts differ from those in </w:t>
      </w:r>
      <w:r w:rsidR="00751D9D" w:rsidRPr="00EC2758">
        <w:rPr>
          <w:rFonts w:asciiTheme="majorHAnsi" w:hAnsiTheme="majorHAnsi" w:cstheme="majorHAnsi"/>
          <w:i/>
          <w:iCs/>
          <w:color w:val="000000" w:themeColor="text1"/>
        </w:rPr>
        <w:t>Spring Forest Trading 599 CC v Wilberry (Pty) Ltd t/a Ecowash and Another</w:t>
      </w:r>
      <w:r w:rsidR="0019342A" w:rsidRPr="00EC2758">
        <w:rPr>
          <w:rStyle w:val="FootnoteReference"/>
          <w:rFonts w:asciiTheme="majorHAnsi" w:hAnsiTheme="majorHAnsi" w:cstheme="majorHAnsi"/>
          <w:i/>
          <w:iCs/>
          <w:color w:val="000000" w:themeColor="text1"/>
        </w:rPr>
        <w:footnoteReference w:id="35"/>
      </w:r>
      <w:r w:rsidR="0019342A" w:rsidRPr="00EC2758">
        <w:rPr>
          <w:rFonts w:asciiTheme="majorHAnsi" w:hAnsiTheme="majorHAnsi" w:cstheme="majorHAnsi"/>
          <w:i/>
          <w:iCs/>
          <w:color w:val="000000" w:themeColor="text1"/>
        </w:rPr>
        <w:t xml:space="preserve"> </w:t>
      </w:r>
      <w:r w:rsidR="0019342A" w:rsidRPr="00EC2758">
        <w:rPr>
          <w:rFonts w:asciiTheme="majorHAnsi" w:hAnsiTheme="majorHAnsi" w:cstheme="majorHAnsi"/>
          <w:color w:val="000000" w:themeColor="text1"/>
        </w:rPr>
        <w:t>where it was held:</w:t>
      </w:r>
    </w:p>
    <w:p w14:paraId="41F2141F" w14:textId="77777777" w:rsidR="00717444" w:rsidRPr="00EC2758" w:rsidRDefault="00717444" w:rsidP="00EC2758">
      <w:pPr>
        <w:pStyle w:val="BodyTextIndent"/>
        <w:widowControl w:val="0"/>
        <w:tabs>
          <w:tab w:val="left" w:pos="709"/>
        </w:tabs>
        <w:rPr>
          <w:rFonts w:asciiTheme="majorHAnsi" w:hAnsiTheme="majorHAnsi" w:cstheme="majorHAnsi"/>
          <w:color w:val="000000" w:themeColor="text1"/>
        </w:rPr>
      </w:pPr>
    </w:p>
    <w:p w14:paraId="7F85784E" w14:textId="4C10C53F" w:rsidR="003533A8" w:rsidRPr="00EC2758" w:rsidRDefault="0019342A" w:rsidP="00EC2758">
      <w:pPr>
        <w:pStyle w:val="BodyTextIndent"/>
        <w:widowControl w:val="0"/>
        <w:ind w:left="2160" w:hanging="742"/>
        <w:rPr>
          <w:rFonts w:asciiTheme="majorHAnsi" w:hAnsiTheme="majorHAnsi" w:cstheme="majorHAnsi"/>
          <w:color w:val="000000" w:themeColor="text1"/>
          <w:sz w:val="20"/>
          <w:szCs w:val="20"/>
        </w:rPr>
      </w:pPr>
      <w:r w:rsidRPr="00EC2758">
        <w:rPr>
          <w:rFonts w:asciiTheme="majorHAnsi" w:hAnsiTheme="majorHAnsi" w:cstheme="majorHAnsi"/>
          <w:i/>
          <w:iCs/>
          <w:color w:val="000000" w:themeColor="text1"/>
          <w:sz w:val="20"/>
          <w:szCs w:val="20"/>
          <w:shd w:val="clear" w:color="auto" w:fill="FFFFFF"/>
        </w:rPr>
        <w:t>“</w:t>
      </w:r>
      <w:r w:rsidR="00751D9D" w:rsidRPr="00EC2758">
        <w:rPr>
          <w:rFonts w:asciiTheme="majorHAnsi" w:hAnsiTheme="majorHAnsi" w:cstheme="majorHAnsi"/>
          <w:i/>
          <w:iCs/>
          <w:color w:val="000000" w:themeColor="text1"/>
          <w:sz w:val="20"/>
          <w:szCs w:val="20"/>
          <w:shd w:val="clear" w:color="auto" w:fill="FFFFFF"/>
        </w:rPr>
        <w:t>[12]</w:t>
      </w:r>
      <w:r w:rsidRPr="00EC2758">
        <w:rPr>
          <w:rFonts w:asciiTheme="majorHAnsi" w:hAnsiTheme="majorHAnsi" w:cstheme="majorHAnsi"/>
          <w:i/>
          <w:iCs/>
          <w:color w:val="000000" w:themeColor="text1"/>
          <w:sz w:val="20"/>
          <w:szCs w:val="20"/>
          <w:shd w:val="clear" w:color="auto" w:fill="FFFFFF"/>
        </w:rPr>
        <w:tab/>
      </w:r>
      <w:r w:rsidR="00751D9D" w:rsidRPr="00EC2758">
        <w:rPr>
          <w:rFonts w:asciiTheme="majorHAnsi" w:hAnsiTheme="majorHAnsi" w:cstheme="majorHAnsi"/>
          <w:i/>
          <w:iCs/>
          <w:color w:val="000000" w:themeColor="text1"/>
          <w:sz w:val="20"/>
          <w:szCs w:val="20"/>
          <w:shd w:val="clear" w:color="auto" w:fill="FFFFFF"/>
        </w:rPr>
        <w:t xml:space="preserve">The respondent’s contention that the emails merely record a negotiation and do not amount to an agreement to cancel is utterly without merit. </w:t>
      </w:r>
      <w:r w:rsidR="00751D9D" w:rsidRPr="00EC2758">
        <w:rPr>
          <w:rFonts w:asciiTheme="majorHAnsi" w:hAnsiTheme="majorHAnsi" w:cstheme="majorHAnsi"/>
          <w:i/>
          <w:iCs/>
          <w:color w:val="000000" w:themeColor="text1"/>
          <w:sz w:val="20"/>
          <w:szCs w:val="20"/>
          <w:u w:val="single"/>
          <w:shd w:val="clear" w:color="auto" w:fill="FFFFFF"/>
        </w:rPr>
        <w:t>The emails say emphatically and unambiguously that once the appellant settles the arrear rental and returns the respondent’s equipment it may ‘walk away’ without any further legal obligation</w:t>
      </w:r>
      <w:r w:rsidR="00751D9D" w:rsidRPr="00EC2758">
        <w:rPr>
          <w:rFonts w:asciiTheme="majorHAnsi" w:hAnsiTheme="majorHAnsi" w:cstheme="majorHAnsi"/>
          <w:i/>
          <w:iCs/>
          <w:color w:val="000000" w:themeColor="text1"/>
          <w:sz w:val="20"/>
          <w:szCs w:val="20"/>
          <w:shd w:val="clear" w:color="auto" w:fill="FFFFFF"/>
        </w:rPr>
        <w:t xml:space="preserve">. This can only mean – and did mean – that the parties considered that all agreements between them (the master and subsidiary rental agreements) would be cancelled once the appellant had satisfied two obligations: payment of the arrear rental and return of equipment. </w:t>
      </w:r>
      <w:r w:rsidR="00751D9D" w:rsidRPr="00EC2758">
        <w:rPr>
          <w:rFonts w:asciiTheme="majorHAnsi" w:hAnsiTheme="majorHAnsi" w:cstheme="majorHAnsi"/>
          <w:i/>
          <w:iCs/>
          <w:color w:val="000000" w:themeColor="text1"/>
          <w:sz w:val="20"/>
          <w:szCs w:val="20"/>
          <w:u w:val="single"/>
          <w:shd w:val="clear" w:color="auto" w:fill="FFFFFF"/>
        </w:rPr>
        <w:t>The obligations were met and the agreements therefore do evince a consensual cancellation</w:t>
      </w:r>
      <w:r w:rsidR="00751D9D" w:rsidRPr="00EC2758">
        <w:rPr>
          <w:rFonts w:asciiTheme="majorHAnsi" w:hAnsiTheme="majorHAnsi" w:cstheme="majorHAnsi"/>
          <w:i/>
          <w:iCs/>
          <w:color w:val="000000" w:themeColor="text1"/>
          <w:sz w:val="20"/>
          <w:szCs w:val="20"/>
          <w:shd w:val="clear" w:color="auto" w:fill="FFFFFF"/>
        </w:rPr>
        <w:t>. Whether this cancellation by email fulfilled the requirements of the non-variation clauses to be in writing and signed by both parties requires a consideration of the relevant provisions of the Act.</w:t>
      </w:r>
      <w:r w:rsidRPr="00EC2758">
        <w:rPr>
          <w:rFonts w:asciiTheme="majorHAnsi" w:hAnsiTheme="majorHAnsi" w:cstheme="majorHAnsi"/>
          <w:i/>
          <w:iCs/>
          <w:color w:val="000000" w:themeColor="text1"/>
          <w:sz w:val="20"/>
          <w:szCs w:val="20"/>
          <w:shd w:val="clear" w:color="auto" w:fill="FFFFFF"/>
        </w:rPr>
        <w:t>”</w:t>
      </w:r>
      <w:r w:rsidR="00751D9D" w:rsidRPr="00EC2758">
        <w:rPr>
          <w:rFonts w:asciiTheme="majorHAnsi" w:hAnsiTheme="majorHAnsi" w:cstheme="majorHAnsi"/>
          <w:color w:val="000000" w:themeColor="text1"/>
          <w:sz w:val="20"/>
          <w:szCs w:val="20"/>
        </w:rPr>
        <w:t xml:space="preserve"> </w:t>
      </w:r>
    </w:p>
    <w:p w14:paraId="3E65538E" w14:textId="77777777" w:rsidR="003533A8" w:rsidRPr="00EC2758" w:rsidRDefault="003533A8" w:rsidP="00EC2758">
      <w:pPr>
        <w:pStyle w:val="BodyTextIndent"/>
        <w:widowControl w:val="0"/>
        <w:tabs>
          <w:tab w:val="left" w:pos="709"/>
        </w:tabs>
        <w:rPr>
          <w:rFonts w:asciiTheme="majorHAnsi" w:hAnsiTheme="majorHAnsi" w:cstheme="majorHAnsi"/>
          <w:color w:val="000000" w:themeColor="text1"/>
        </w:rPr>
      </w:pPr>
    </w:p>
    <w:p w14:paraId="504334F1" w14:textId="251C22FE" w:rsidR="003533A8" w:rsidRPr="00EC2758" w:rsidRDefault="003533A8" w:rsidP="00EC2758">
      <w:pPr>
        <w:pStyle w:val="BodyTextIndent"/>
        <w:widowControl w:val="0"/>
        <w:tabs>
          <w:tab w:val="left" w:pos="709"/>
        </w:tabs>
        <w:rPr>
          <w:rFonts w:asciiTheme="majorHAnsi" w:hAnsiTheme="majorHAnsi" w:cstheme="majorHAnsi"/>
          <w:color w:val="000000" w:themeColor="text1"/>
        </w:rPr>
      </w:pPr>
      <w:r w:rsidRPr="00EC2758">
        <w:rPr>
          <w:rFonts w:asciiTheme="majorHAnsi" w:hAnsiTheme="majorHAnsi" w:cstheme="majorHAnsi"/>
          <w:color w:val="000000" w:themeColor="text1"/>
        </w:rPr>
        <w:t>[</w:t>
      </w:r>
      <w:r w:rsidR="006458BE">
        <w:rPr>
          <w:rFonts w:asciiTheme="majorHAnsi" w:hAnsiTheme="majorHAnsi" w:cstheme="majorHAnsi"/>
          <w:color w:val="000000" w:themeColor="text1"/>
        </w:rPr>
        <w:t>40</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t xml:space="preserve">She also refers to </w:t>
      </w:r>
      <w:r w:rsidRPr="00EC2758">
        <w:rPr>
          <w:rFonts w:asciiTheme="majorHAnsi" w:hAnsiTheme="majorHAnsi" w:cstheme="majorHAnsi"/>
          <w:i/>
          <w:iCs/>
          <w:color w:val="000000" w:themeColor="text1"/>
        </w:rPr>
        <w:t xml:space="preserve">Amardien </w:t>
      </w:r>
      <w:r w:rsidR="00434F26" w:rsidRPr="00EC2758">
        <w:rPr>
          <w:rFonts w:asciiTheme="majorHAnsi" w:hAnsiTheme="majorHAnsi" w:cstheme="majorHAnsi"/>
          <w:i/>
          <w:iCs/>
          <w:color w:val="000000" w:themeColor="text1"/>
        </w:rPr>
        <w:t>supra</w:t>
      </w:r>
      <w:r w:rsidR="00434F26" w:rsidRPr="00EC2758">
        <w:rPr>
          <w:rFonts w:asciiTheme="majorHAnsi" w:hAnsiTheme="majorHAnsi" w:cstheme="majorHAnsi"/>
          <w:color w:val="000000" w:themeColor="text1"/>
        </w:rPr>
        <w:t xml:space="preserve">. </w:t>
      </w:r>
      <w:r w:rsidR="00386F5D" w:rsidRPr="00EC2758">
        <w:rPr>
          <w:rFonts w:asciiTheme="majorHAnsi" w:hAnsiTheme="majorHAnsi" w:cstheme="majorHAnsi"/>
          <w:color w:val="000000" w:themeColor="text1"/>
        </w:rPr>
        <w:t xml:space="preserve">I </w:t>
      </w:r>
      <w:r w:rsidR="00434F26" w:rsidRPr="00EC2758">
        <w:rPr>
          <w:rFonts w:asciiTheme="majorHAnsi" w:hAnsiTheme="majorHAnsi" w:cstheme="majorHAnsi"/>
          <w:color w:val="000000" w:themeColor="text1"/>
        </w:rPr>
        <w:t xml:space="preserve">dealt with the essence </w:t>
      </w:r>
      <w:r w:rsidR="00CB17BF" w:rsidRPr="00EC2758">
        <w:rPr>
          <w:rFonts w:asciiTheme="majorHAnsi" w:hAnsiTheme="majorHAnsi" w:cstheme="majorHAnsi"/>
          <w:color w:val="000000" w:themeColor="text1"/>
        </w:rPr>
        <w:t>of the judgment and found that the Plaintiff complied with s 129.</w:t>
      </w:r>
    </w:p>
    <w:p w14:paraId="3D52F0E5" w14:textId="77777777" w:rsidR="003533A8" w:rsidRPr="00EC2758" w:rsidRDefault="003533A8" w:rsidP="00EC2758">
      <w:pPr>
        <w:pStyle w:val="BodyTextIndent"/>
        <w:widowControl w:val="0"/>
        <w:tabs>
          <w:tab w:val="left" w:pos="709"/>
        </w:tabs>
        <w:rPr>
          <w:rFonts w:asciiTheme="majorHAnsi" w:hAnsiTheme="majorHAnsi" w:cstheme="majorHAnsi"/>
          <w:color w:val="000000" w:themeColor="text1"/>
        </w:rPr>
      </w:pPr>
    </w:p>
    <w:p w14:paraId="7DA24689" w14:textId="28EB837F" w:rsidR="00AF2775" w:rsidRPr="00EC2758" w:rsidRDefault="003533A8" w:rsidP="00EC2758">
      <w:pPr>
        <w:pStyle w:val="BodyTextIndent"/>
        <w:widowControl w:val="0"/>
        <w:tabs>
          <w:tab w:val="left" w:pos="709"/>
        </w:tabs>
        <w:rPr>
          <w:rFonts w:asciiTheme="majorHAnsi" w:hAnsiTheme="majorHAnsi" w:cstheme="majorHAnsi"/>
          <w:color w:val="000000" w:themeColor="text1"/>
        </w:rPr>
      </w:pPr>
      <w:r w:rsidRPr="00EC2758">
        <w:rPr>
          <w:rFonts w:asciiTheme="majorHAnsi" w:hAnsiTheme="majorHAnsi" w:cstheme="majorHAnsi"/>
          <w:color w:val="000000" w:themeColor="text1"/>
        </w:rPr>
        <w:t>[</w:t>
      </w:r>
      <w:r w:rsidR="006458BE">
        <w:rPr>
          <w:rFonts w:asciiTheme="majorHAnsi" w:hAnsiTheme="majorHAnsi" w:cstheme="majorHAnsi"/>
          <w:color w:val="000000" w:themeColor="text1"/>
        </w:rPr>
        <w:t>41</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r>
      <w:r w:rsidR="00CB17BF" w:rsidRPr="00EC2758">
        <w:rPr>
          <w:rFonts w:asciiTheme="majorHAnsi" w:hAnsiTheme="majorHAnsi" w:cstheme="majorHAnsi"/>
          <w:color w:val="000000" w:themeColor="text1"/>
        </w:rPr>
        <w:t>For the contention that t</w:t>
      </w:r>
      <w:r w:rsidRPr="00EC2758">
        <w:rPr>
          <w:rFonts w:asciiTheme="majorHAnsi" w:hAnsiTheme="majorHAnsi" w:cstheme="majorHAnsi"/>
          <w:color w:val="000000" w:themeColor="text1"/>
        </w:rPr>
        <w:t>here is no requirement that a Defendant should prove a defence but merely has to satisfy the Court</w:t>
      </w:r>
      <w:r w:rsidR="00CB17BF" w:rsidRPr="00EC2758">
        <w:rPr>
          <w:rFonts w:asciiTheme="majorHAnsi" w:hAnsiTheme="majorHAnsi" w:cstheme="majorHAnsi"/>
          <w:color w:val="000000" w:themeColor="text1"/>
        </w:rPr>
        <w:t>, s</w:t>
      </w:r>
      <w:r w:rsidRPr="00EC2758">
        <w:rPr>
          <w:rFonts w:asciiTheme="majorHAnsi" w:hAnsiTheme="majorHAnsi" w:cstheme="majorHAnsi"/>
          <w:color w:val="000000" w:themeColor="text1"/>
        </w:rPr>
        <w:t xml:space="preserve">he refers to </w:t>
      </w:r>
      <w:r w:rsidRPr="00EC2758">
        <w:rPr>
          <w:rFonts w:asciiTheme="majorHAnsi" w:hAnsiTheme="majorHAnsi" w:cstheme="majorHAnsi"/>
          <w:i/>
          <w:iCs/>
          <w:color w:val="000000" w:themeColor="text1"/>
        </w:rPr>
        <w:t>Marsh v Standard Bank of South Africa</w:t>
      </w:r>
      <w:r w:rsidR="00795E3A" w:rsidRPr="00EC2758">
        <w:rPr>
          <w:rFonts w:asciiTheme="majorHAnsi" w:hAnsiTheme="majorHAnsi" w:cstheme="majorHAnsi"/>
          <w:color w:val="000000" w:themeColor="text1"/>
        </w:rPr>
        <w:t xml:space="preserve"> where the Court, with reference also to </w:t>
      </w:r>
      <w:r w:rsidRPr="00EC2758">
        <w:rPr>
          <w:rFonts w:asciiTheme="majorHAnsi" w:hAnsiTheme="majorHAnsi" w:cstheme="majorHAnsi"/>
          <w:i/>
          <w:iCs/>
          <w:color w:val="000000" w:themeColor="text1"/>
        </w:rPr>
        <w:t>Breitenbach v F</w:t>
      </w:r>
      <w:r w:rsidR="00AF2775" w:rsidRPr="00EC2758">
        <w:rPr>
          <w:rFonts w:asciiTheme="majorHAnsi" w:hAnsiTheme="majorHAnsi" w:cstheme="majorHAnsi"/>
          <w:i/>
          <w:iCs/>
          <w:color w:val="000000" w:themeColor="text1"/>
        </w:rPr>
        <w:t>iat</w:t>
      </w:r>
      <w:r w:rsidR="00AE526A" w:rsidRPr="00EC2758">
        <w:rPr>
          <w:rStyle w:val="FootnoteReference"/>
          <w:rFonts w:asciiTheme="majorHAnsi" w:hAnsiTheme="majorHAnsi" w:cstheme="majorHAnsi"/>
          <w:i/>
          <w:iCs/>
          <w:color w:val="000000" w:themeColor="text1"/>
        </w:rPr>
        <w:footnoteReference w:id="36"/>
      </w:r>
      <w:r w:rsidRPr="00EC2758">
        <w:rPr>
          <w:rFonts w:asciiTheme="majorHAnsi" w:hAnsiTheme="majorHAnsi" w:cstheme="majorHAnsi"/>
          <w:i/>
          <w:iCs/>
          <w:color w:val="000000" w:themeColor="text1"/>
        </w:rPr>
        <w:t xml:space="preserve"> and Maharaj v Barclays National Bank</w:t>
      </w:r>
      <w:r w:rsidR="00795E3A" w:rsidRPr="00EC2758">
        <w:rPr>
          <w:rFonts w:asciiTheme="majorHAnsi" w:hAnsiTheme="majorHAnsi" w:cstheme="majorHAnsi"/>
          <w:i/>
          <w:iCs/>
          <w:color w:val="000000" w:themeColor="text1"/>
        </w:rPr>
        <w:t xml:space="preserve"> </w:t>
      </w:r>
      <w:r w:rsidR="00AE526A" w:rsidRPr="00EC2758">
        <w:rPr>
          <w:rFonts w:asciiTheme="majorHAnsi" w:hAnsiTheme="majorHAnsi" w:cstheme="majorHAnsi"/>
          <w:i/>
          <w:iCs/>
          <w:color w:val="000000" w:themeColor="text1"/>
        </w:rPr>
        <w:t xml:space="preserve">Ltd </w:t>
      </w:r>
      <w:r w:rsidR="00795E3A" w:rsidRPr="00717444">
        <w:rPr>
          <w:rFonts w:asciiTheme="majorHAnsi" w:hAnsiTheme="majorHAnsi" w:cstheme="majorHAnsi"/>
          <w:color w:val="000000" w:themeColor="text1"/>
        </w:rPr>
        <w:t>stated</w:t>
      </w:r>
      <w:r w:rsidR="00AE526A" w:rsidRPr="00EC2758">
        <w:rPr>
          <w:rStyle w:val="FootnoteReference"/>
          <w:rFonts w:asciiTheme="majorHAnsi" w:hAnsiTheme="majorHAnsi" w:cstheme="majorHAnsi"/>
          <w:color w:val="000000" w:themeColor="text1"/>
        </w:rPr>
        <w:footnoteReference w:id="37"/>
      </w:r>
      <w:r w:rsidR="00795E3A" w:rsidRPr="00EC2758">
        <w:rPr>
          <w:rFonts w:asciiTheme="majorHAnsi" w:hAnsiTheme="majorHAnsi" w:cstheme="majorHAnsi"/>
          <w:color w:val="000000" w:themeColor="text1"/>
        </w:rPr>
        <w:t>:</w:t>
      </w:r>
    </w:p>
    <w:p w14:paraId="01F59300" w14:textId="7CA7E837" w:rsidR="00AF2775" w:rsidRPr="00EC2758" w:rsidRDefault="00AF2775" w:rsidP="00EC2758">
      <w:pPr>
        <w:pStyle w:val="BodyTextIndent"/>
        <w:widowControl w:val="0"/>
        <w:tabs>
          <w:tab w:val="left" w:pos="709"/>
        </w:tabs>
        <w:rPr>
          <w:rFonts w:asciiTheme="majorHAnsi" w:hAnsiTheme="majorHAnsi" w:cstheme="majorHAnsi"/>
          <w:color w:val="000000" w:themeColor="text1"/>
        </w:rPr>
      </w:pPr>
    </w:p>
    <w:p w14:paraId="01EA6D16" w14:textId="77777777" w:rsidR="00AF2775" w:rsidRPr="00EC2758" w:rsidRDefault="00AF2775" w:rsidP="00EC2758">
      <w:pPr>
        <w:pStyle w:val="BodyTextIndent"/>
        <w:widowControl w:val="0"/>
        <w:tabs>
          <w:tab w:val="left" w:pos="709"/>
        </w:tabs>
        <w:ind w:left="1701" w:hanging="283"/>
        <w:rPr>
          <w:rFonts w:asciiTheme="majorHAnsi" w:hAnsiTheme="majorHAnsi" w:cstheme="majorHAnsi"/>
          <w:i/>
          <w:iCs/>
          <w:color w:val="000000" w:themeColor="text1"/>
          <w:sz w:val="20"/>
          <w:szCs w:val="20"/>
        </w:rPr>
      </w:pPr>
      <w:r w:rsidRPr="00EC2758">
        <w:rPr>
          <w:rFonts w:asciiTheme="majorHAnsi" w:hAnsiTheme="majorHAnsi" w:cstheme="majorHAnsi"/>
          <w:i/>
          <w:iCs/>
          <w:color w:val="000000" w:themeColor="text1"/>
          <w:sz w:val="20"/>
          <w:szCs w:val="20"/>
        </w:rPr>
        <w:t>“1.</w:t>
      </w:r>
      <w:r w:rsidRPr="00EC2758">
        <w:rPr>
          <w:rFonts w:asciiTheme="majorHAnsi" w:hAnsiTheme="majorHAnsi" w:cstheme="majorHAnsi"/>
          <w:i/>
          <w:iCs/>
          <w:color w:val="000000" w:themeColor="text1"/>
          <w:sz w:val="20"/>
          <w:szCs w:val="20"/>
        </w:rPr>
        <w:tab/>
        <w:t>… The rule requires the defendant to set out in his affidavit sufficient facts which, if proved at the trial, will constitute an answer to the plaintiff’s claim (Breytenbach v Fiat SA (Edms) Bpk 1976 (2) SA 226 (T); District Bank Ltd v Hoosain 1984 (4) SA 544 (C).</w:t>
      </w:r>
    </w:p>
    <w:p w14:paraId="2172C4B4" w14:textId="77777777" w:rsidR="00102347" w:rsidRPr="00EC2758" w:rsidRDefault="00102347" w:rsidP="00EC2758">
      <w:pPr>
        <w:pStyle w:val="BodyTextIndent"/>
        <w:widowControl w:val="0"/>
        <w:tabs>
          <w:tab w:val="left" w:pos="709"/>
        </w:tabs>
        <w:ind w:left="1701" w:hanging="283"/>
        <w:rPr>
          <w:rFonts w:asciiTheme="majorHAnsi" w:hAnsiTheme="majorHAnsi" w:cstheme="majorHAnsi"/>
          <w:i/>
          <w:iCs/>
          <w:color w:val="000000" w:themeColor="text1"/>
          <w:sz w:val="20"/>
          <w:szCs w:val="20"/>
        </w:rPr>
      </w:pPr>
    </w:p>
    <w:p w14:paraId="02FBBC5E" w14:textId="55B4533F" w:rsidR="00AF2775" w:rsidRPr="00EC2758" w:rsidRDefault="00AF2775" w:rsidP="00EC2758">
      <w:pPr>
        <w:pStyle w:val="BodyTextIndent"/>
        <w:widowControl w:val="0"/>
        <w:tabs>
          <w:tab w:val="left" w:pos="709"/>
        </w:tabs>
        <w:ind w:left="1701" w:hanging="283"/>
        <w:rPr>
          <w:rFonts w:asciiTheme="majorHAnsi" w:hAnsiTheme="majorHAnsi" w:cstheme="majorHAnsi"/>
          <w:i/>
          <w:iCs/>
          <w:color w:val="000000" w:themeColor="text1"/>
          <w:sz w:val="20"/>
          <w:szCs w:val="20"/>
        </w:rPr>
      </w:pPr>
      <w:r w:rsidRPr="00EC2758">
        <w:rPr>
          <w:rFonts w:asciiTheme="majorHAnsi" w:hAnsiTheme="majorHAnsi" w:cstheme="majorHAnsi"/>
          <w:i/>
          <w:iCs/>
          <w:color w:val="000000" w:themeColor="text1"/>
          <w:sz w:val="20"/>
          <w:szCs w:val="20"/>
        </w:rPr>
        <w:t xml:space="preserve">2.  At the summary judgment stage of the proceedings it is not for the court to decide any balance of probabilities or determine the likelihood of the deponent’s allegations being true or false. Maharaj v Barclays National Bank Ltd 1976 (1) SA 418 (A) at </w:t>
      </w:r>
      <w:r w:rsidRPr="00EC2758">
        <w:rPr>
          <w:rFonts w:asciiTheme="majorHAnsi" w:hAnsiTheme="majorHAnsi" w:cstheme="majorHAnsi"/>
          <w:i/>
          <w:iCs/>
          <w:color w:val="000000" w:themeColor="text1"/>
          <w:sz w:val="20"/>
          <w:szCs w:val="20"/>
        </w:rPr>
        <w:lastRenderedPageBreak/>
        <w:t>426 where at A–E the position is succinctly summarised by Corbett JA (as he then was) as follows:</w:t>
      </w:r>
    </w:p>
    <w:p w14:paraId="0E7626DC" w14:textId="77777777" w:rsidR="00AF2775" w:rsidRPr="00EC2758" w:rsidRDefault="00AF2775" w:rsidP="00EC2758">
      <w:pPr>
        <w:pStyle w:val="BodyTextIndent"/>
        <w:widowControl w:val="0"/>
        <w:tabs>
          <w:tab w:val="left" w:pos="709"/>
        </w:tabs>
        <w:rPr>
          <w:rFonts w:asciiTheme="majorHAnsi" w:hAnsiTheme="majorHAnsi" w:cstheme="majorHAnsi"/>
          <w:i/>
          <w:iCs/>
          <w:color w:val="000000" w:themeColor="text1"/>
          <w:sz w:val="20"/>
          <w:szCs w:val="20"/>
        </w:rPr>
      </w:pPr>
    </w:p>
    <w:p w14:paraId="31F057E2" w14:textId="318213C9" w:rsidR="003533A8" w:rsidRPr="00EC2758" w:rsidRDefault="00102347" w:rsidP="00EC2758">
      <w:pPr>
        <w:pStyle w:val="BodyTextIndent"/>
        <w:widowControl w:val="0"/>
        <w:tabs>
          <w:tab w:val="left" w:pos="709"/>
        </w:tabs>
        <w:ind w:left="2160" w:hanging="2160"/>
        <w:rPr>
          <w:rFonts w:asciiTheme="majorHAnsi" w:hAnsiTheme="majorHAnsi" w:cstheme="majorHAnsi"/>
          <w:i/>
          <w:iCs/>
          <w:color w:val="000000" w:themeColor="text1"/>
          <w:sz w:val="20"/>
          <w:szCs w:val="20"/>
        </w:rPr>
      </w:pPr>
      <w:r w:rsidRPr="00EC2758">
        <w:rPr>
          <w:rFonts w:asciiTheme="majorHAnsi" w:hAnsiTheme="majorHAnsi" w:cstheme="majorHAnsi"/>
          <w:i/>
          <w:iCs/>
          <w:color w:val="000000" w:themeColor="text1"/>
          <w:sz w:val="20"/>
          <w:szCs w:val="20"/>
        </w:rPr>
        <w:tab/>
      </w:r>
      <w:r w:rsidRPr="00EC2758">
        <w:rPr>
          <w:rFonts w:asciiTheme="majorHAnsi" w:hAnsiTheme="majorHAnsi" w:cstheme="majorHAnsi"/>
          <w:i/>
          <w:iCs/>
          <w:color w:val="000000" w:themeColor="text1"/>
          <w:sz w:val="20"/>
          <w:szCs w:val="20"/>
        </w:rPr>
        <w:tab/>
      </w:r>
      <w:r w:rsidR="00AF2775" w:rsidRPr="00EC2758">
        <w:rPr>
          <w:rFonts w:asciiTheme="majorHAnsi" w:hAnsiTheme="majorHAnsi" w:cstheme="majorHAnsi"/>
          <w:i/>
          <w:iCs/>
          <w:color w:val="000000" w:themeColor="text1"/>
          <w:sz w:val="20"/>
          <w:szCs w:val="20"/>
        </w:rPr>
        <w:t xml:space="preserve">“Where the defence is based upon facts in the sense that material facts alleged by the plaintiff in his summons or combined summons are disputed or new facts are alleged constituting a defence, the Court does not attempt to decide these issues or determine whether or not there is a balance of probabilities in favour of the one party or the other. </w:t>
      </w:r>
      <w:r w:rsidR="00CF1312" w:rsidRPr="00EC2758">
        <w:rPr>
          <w:rFonts w:asciiTheme="majorHAnsi" w:hAnsiTheme="majorHAnsi" w:cstheme="majorHAnsi"/>
          <w:i/>
          <w:iCs/>
          <w:color w:val="000000" w:themeColor="text1"/>
          <w:sz w:val="20"/>
          <w:szCs w:val="20"/>
        </w:rPr>
        <w:t>…”</w:t>
      </w:r>
    </w:p>
    <w:p w14:paraId="2A1B1CC7" w14:textId="77777777" w:rsidR="00A53F42" w:rsidRPr="00EC2758" w:rsidRDefault="00A53F42" w:rsidP="00EC2758">
      <w:pPr>
        <w:pStyle w:val="BodyTextIndent"/>
        <w:widowControl w:val="0"/>
        <w:tabs>
          <w:tab w:val="left" w:pos="709"/>
        </w:tabs>
        <w:ind w:left="0" w:firstLine="0"/>
        <w:rPr>
          <w:rFonts w:asciiTheme="majorHAnsi" w:hAnsiTheme="majorHAnsi" w:cstheme="majorHAnsi"/>
          <w:color w:val="000000" w:themeColor="text1"/>
        </w:rPr>
      </w:pPr>
    </w:p>
    <w:p w14:paraId="1AFF6E4E" w14:textId="6C10CD06" w:rsidR="00856DBB" w:rsidRPr="00EC2758" w:rsidRDefault="006458BE" w:rsidP="00EC2758">
      <w:pPr>
        <w:pStyle w:val="BodyTextIndent"/>
        <w:widowControl w:val="0"/>
        <w:tabs>
          <w:tab w:val="left" w:pos="709"/>
        </w:tabs>
        <w:rPr>
          <w:rFonts w:asciiTheme="majorHAnsi" w:hAnsiTheme="majorHAnsi" w:cstheme="majorHAnsi"/>
          <w:color w:val="000000" w:themeColor="text1"/>
          <w:sz w:val="18"/>
          <w:szCs w:val="18"/>
          <w:shd w:val="clear" w:color="auto" w:fill="FFFFFF"/>
        </w:rPr>
      </w:pPr>
      <w:r>
        <w:rPr>
          <w:rFonts w:asciiTheme="majorHAnsi" w:hAnsiTheme="majorHAnsi" w:cstheme="majorHAnsi"/>
          <w:color w:val="000000" w:themeColor="text1"/>
        </w:rPr>
        <w:t>[42</w:t>
      </w:r>
      <w:r w:rsidR="00A53F42" w:rsidRPr="00EC2758">
        <w:rPr>
          <w:rFonts w:asciiTheme="majorHAnsi" w:hAnsiTheme="majorHAnsi" w:cstheme="majorHAnsi"/>
          <w:color w:val="000000" w:themeColor="text1"/>
        </w:rPr>
        <w:t>]</w:t>
      </w:r>
      <w:r w:rsidR="00A53F42" w:rsidRPr="00EC2758">
        <w:rPr>
          <w:rFonts w:asciiTheme="majorHAnsi" w:hAnsiTheme="majorHAnsi" w:cstheme="majorHAnsi"/>
          <w:color w:val="000000" w:themeColor="text1"/>
        </w:rPr>
        <w:tab/>
      </w:r>
      <w:r w:rsidR="00CF1312" w:rsidRPr="00EC2758">
        <w:rPr>
          <w:rFonts w:asciiTheme="majorHAnsi" w:hAnsiTheme="majorHAnsi" w:cstheme="majorHAnsi"/>
          <w:color w:val="000000" w:themeColor="text1"/>
        </w:rPr>
        <w:t xml:space="preserve">This begs the question whether the principles apply when the Defendant sets up a defence </w:t>
      </w:r>
      <w:r w:rsidR="001F2864" w:rsidRPr="00EC2758">
        <w:rPr>
          <w:rFonts w:asciiTheme="majorHAnsi" w:hAnsiTheme="majorHAnsi" w:cstheme="majorHAnsi"/>
          <w:color w:val="000000" w:themeColor="text1"/>
        </w:rPr>
        <w:t xml:space="preserve">of </w:t>
      </w:r>
      <w:r w:rsidR="00CF1312" w:rsidRPr="00EC2758">
        <w:rPr>
          <w:rFonts w:asciiTheme="majorHAnsi" w:hAnsiTheme="majorHAnsi" w:cstheme="majorHAnsi"/>
          <w:color w:val="000000" w:themeColor="text1"/>
        </w:rPr>
        <w:t xml:space="preserve">which he will carry the onus. In the matter before me, the Defendant pleads an agreement which he </w:t>
      </w:r>
      <w:r w:rsidR="00230BFA" w:rsidRPr="00EC2758">
        <w:rPr>
          <w:rFonts w:asciiTheme="majorHAnsi" w:hAnsiTheme="majorHAnsi" w:cstheme="majorHAnsi"/>
          <w:color w:val="000000" w:themeColor="text1"/>
        </w:rPr>
        <w:t xml:space="preserve">allegedly </w:t>
      </w:r>
      <w:r w:rsidR="00CF1312" w:rsidRPr="00EC2758">
        <w:rPr>
          <w:rFonts w:asciiTheme="majorHAnsi" w:hAnsiTheme="majorHAnsi" w:cstheme="majorHAnsi"/>
          <w:color w:val="000000" w:themeColor="text1"/>
        </w:rPr>
        <w:t xml:space="preserve">complied with by making payment and </w:t>
      </w:r>
      <w:r w:rsidR="00717444">
        <w:rPr>
          <w:rFonts w:asciiTheme="majorHAnsi" w:hAnsiTheme="majorHAnsi" w:cstheme="majorHAnsi"/>
          <w:color w:val="000000" w:themeColor="text1"/>
        </w:rPr>
        <w:t xml:space="preserve">also </w:t>
      </w:r>
      <w:r w:rsidR="00CA0B8C" w:rsidRPr="00EC2758">
        <w:rPr>
          <w:rFonts w:asciiTheme="majorHAnsi" w:hAnsiTheme="majorHAnsi" w:cstheme="majorHAnsi"/>
          <w:color w:val="000000" w:themeColor="text1"/>
        </w:rPr>
        <w:t xml:space="preserve">raised </w:t>
      </w:r>
      <w:r w:rsidR="00CA0B8C" w:rsidRPr="00EC2758">
        <w:rPr>
          <w:rFonts w:asciiTheme="majorHAnsi" w:hAnsiTheme="majorHAnsi" w:cstheme="majorHAnsi"/>
          <w:i/>
          <w:iCs/>
          <w:color w:val="000000" w:themeColor="text1"/>
        </w:rPr>
        <w:t>res judicata</w:t>
      </w:r>
      <w:r w:rsidR="00CA0B8C" w:rsidRPr="00EC2758">
        <w:rPr>
          <w:rFonts w:asciiTheme="majorHAnsi" w:hAnsiTheme="majorHAnsi" w:cstheme="majorHAnsi"/>
          <w:color w:val="000000" w:themeColor="text1"/>
        </w:rPr>
        <w:t>. In respect of these issues he would</w:t>
      </w:r>
      <w:r w:rsidR="00717444">
        <w:rPr>
          <w:rFonts w:asciiTheme="majorHAnsi" w:hAnsiTheme="majorHAnsi" w:cstheme="majorHAnsi"/>
          <w:color w:val="000000" w:themeColor="text1"/>
        </w:rPr>
        <w:t>,</w:t>
      </w:r>
      <w:r w:rsidR="00CA0B8C" w:rsidRPr="00EC2758">
        <w:rPr>
          <w:rFonts w:asciiTheme="majorHAnsi" w:hAnsiTheme="majorHAnsi" w:cstheme="majorHAnsi"/>
          <w:color w:val="000000" w:themeColor="text1"/>
        </w:rPr>
        <w:t xml:space="preserve"> </w:t>
      </w:r>
      <w:r w:rsidR="001F2864" w:rsidRPr="00EC2758">
        <w:rPr>
          <w:rFonts w:asciiTheme="majorHAnsi" w:hAnsiTheme="majorHAnsi" w:cstheme="majorHAnsi"/>
          <w:color w:val="000000" w:themeColor="text1"/>
        </w:rPr>
        <w:t>in my view</w:t>
      </w:r>
      <w:r w:rsidR="00717444">
        <w:rPr>
          <w:rFonts w:asciiTheme="majorHAnsi" w:hAnsiTheme="majorHAnsi" w:cstheme="majorHAnsi"/>
          <w:color w:val="000000" w:themeColor="text1"/>
        </w:rPr>
        <w:t>,</w:t>
      </w:r>
      <w:r w:rsidR="001F2864" w:rsidRPr="00EC2758">
        <w:rPr>
          <w:rFonts w:asciiTheme="majorHAnsi" w:hAnsiTheme="majorHAnsi" w:cstheme="majorHAnsi"/>
          <w:color w:val="000000" w:themeColor="text1"/>
        </w:rPr>
        <w:t xml:space="preserve"> </w:t>
      </w:r>
      <w:r w:rsidR="00CA0B8C" w:rsidRPr="00EC2758">
        <w:rPr>
          <w:rFonts w:asciiTheme="majorHAnsi" w:hAnsiTheme="majorHAnsi" w:cstheme="majorHAnsi"/>
          <w:color w:val="000000" w:themeColor="text1"/>
        </w:rPr>
        <w:t>carry the onus.</w:t>
      </w:r>
      <w:r w:rsidR="001F2864" w:rsidRPr="00EC2758">
        <w:rPr>
          <w:rFonts w:asciiTheme="majorHAnsi" w:hAnsiTheme="majorHAnsi" w:cstheme="majorHAnsi"/>
          <w:color w:val="000000" w:themeColor="text1"/>
        </w:rPr>
        <w:t xml:space="preserve"> In </w:t>
      </w:r>
      <w:r w:rsidR="001F2864" w:rsidRPr="00EC2758">
        <w:rPr>
          <w:rFonts w:asciiTheme="majorHAnsi" w:hAnsiTheme="majorHAnsi" w:cstheme="majorHAnsi"/>
          <w:i/>
          <w:iCs/>
          <w:color w:val="000000" w:themeColor="text1"/>
        </w:rPr>
        <w:t>Jugwanth v MTN</w:t>
      </w:r>
      <w:r w:rsidR="001F2864" w:rsidRPr="00EC2758">
        <w:rPr>
          <w:rStyle w:val="FootnoteReference"/>
          <w:rFonts w:asciiTheme="majorHAnsi" w:hAnsiTheme="majorHAnsi" w:cstheme="majorHAnsi"/>
          <w:color w:val="000000" w:themeColor="text1"/>
        </w:rPr>
        <w:footnoteReference w:id="38"/>
      </w:r>
      <w:r w:rsidR="001F2864" w:rsidRPr="00EC2758">
        <w:rPr>
          <w:rFonts w:asciiTheme="majorHAnsi" w:hAnsiTheme="majorHAnsi" w:cstheme="majorHAnsi"/>
          <w:color w:val="000000" w:themeColor="text1"/>
        </w:rPr>
        <w:t>, albeit in the context of prescription in an exception</w:t>
      </w:r>
      <w:r w:rsidR="00717444">
        <w:rPr>
          <w:rFonts w:asciiTheme="majorHAnsi" w:hAnsiTheme="majorHAnsi" w:cstheme="majorHAnsi"/>
          <w:color w:val="000000" w:themeColor="text1"/>
        </w:rPr>
        <w:t>,</w:t>
      </w:r>
      <w:r w:rsidR="001F2864" w:rsidRPr="00EC2758">
        <w:rPr>
          <w:rFonts w:asciiTheme="majorHAnsi" w:hAnsiTheme="majorHAnsi" w:cstheme="majorHAnsi"/>
          <w:color w:val="000000" w:themeColor="text1"/>
        </w:rPr>
        <w:t xml:space="preserve"> the Court confirmed the principle with reference to </w:t>
      </w:r>
      <w:r w:rsidR="001F2864" w:rsidRPr="00EC2758">
        <w:rPr>
          <w:rFonts w:asciiTheme="majorHAnsi" w:hAnsiTheme="majorHAnsi" w:cstheme="majorHAnsi"/>
          <w:i/>
          <w:iCs/>
          <w:color w:val="000000" w:themeColor="text1"/>
        </w:rPr>
        <w:t>Gericke v Sack</w:t>
      </w:r>
      <w:r w:rsidR="00630975" w:rsidRPr="00EC2758">
        <w:rPr>
          <w:rFonts w:asciiTheme="majorHAnsi" w:hAnsiTheme="majorHAnsi" w:cstheme="majorHAnsi"/>
          <w:i/>
          <w:iCs/>
          <w:color w:val="000000" w:themeColor="text1"/>
        </w:rPr>
        <w:t>.</w:t>
      </w:r>
      <w:r w:rsidR="00630975" w:rsidRPr="00EC2758">
        <w:rPr>
          <w:rStyle w:val="FootnoteReference"/>
          <w:rFonts w:asciiTheme="majorHAnsi" w:hAnsiTheme="majorHAnsi" w:cstheme="majorHAnsi"/>
          <w:color w:val="000000" w:themeColor="text1"/>
        </w:rPr>
        <w:footnoteReference w:id="39"/>
      </w:r>
      <w:r w:rsidR="00856DBB" w:rsidRPr="00B002DB">
        <w:rPr>
          <w:rFonts w:asciiTheme="majorHAnsi" w:hAnsiTheme="majorHAnsi" w:cstheme="majorHAnsi"/>
          <w:color w:val="000000" w:themeColor="text1"/>
        </w:rPr>
        <w:t xml:space="preserve"> In</w:t>
      </w:r>
      <w:r w:rsidR="00856DBB" w:rsidRPr="00B002DB">
        <w:rPr>
          <w:rFonts w:asciiTheme="majorHAnsi" w:hAnsiTheme="majorHAnsi" w:cstheme="majorHAnsi"/>
          <w:i/>
          <w:iCs/>
          <w:color w:val="000000" w:themeColor="text1"/>
        </w:rPr>
        <w:t xml:space="preserve"> </w:t>
      </w:r>
      <w:r w:rsidR="00D21471" w:rsidRPr="00B002DB">
        <w:rPr>
          <w:rFonts w:asciiTheme="majorHAnsi" w:hAnsiTheme="majorHAnsi" w:cstheme="majorHAnsi"/>
          <w:color w:val="000000" w:themeColor="text1"/>
          <w:shd w:val="clear" w:color="auto" w:fill="FFFFFF"/>
        </w:rPr>
        <w:t xml:space="preserve">Van </w:t>
      </w:r>
      <w:r w:rsidR="00EC2758" w:rsidRPr="00B002DB">
        <w:rPr>
          <w:rFonts w:asciiTheme="majorHAnsi" w:hAnsiTheme="majorHAnsi" w:cstheme="majorHAnsi"/>
          <w:color w:val="000000" w:themeColor="text1"/>
          <w:shd w:val="clear" w:color="auto" w:fill="FFFFFF"/>
        </w:rPr>
        <w:t>Niekerk</w:t>
      </w:r>
      <w:r w:rsidR="00643CEB" w:rsidRPr="00B002DB">
        <w:rPr>
          <w:rStyle w:val="FootnoteReference"/>
          <w:rFonts w:asciiTheme="majorHAnsi" w:hAnsiTheme="majorHAnsi" w:cstheme="majorHAnsi"/>
          <w:color w:val="000000" w:themeColor="text1"/>
          <w:shd w:val="clear" w:color="auto" w:fill="FFFFFF"/>
        </w:rPr>
        <w:footnoteReference w:id="40"/>
      </w:r>
      <w:r w:rsidR="00D21471" w:rsidRPr="00B002DB">
        <w:rPr>
          <w:rFonts w:asciiTheme="majorHAnsi" w:hAnsiTheme="majorHAnsi" w:cstheme="majorHAnsi"/>
          <w:color w:val="000000" w:themeColor="text1"/>
          <w:shd w:val="clear" w:color="auto" w:fill="FFFFFF"/>
        </w:rPr>
        <w:t xml:space="preserve"> it is noted</w:t>
      </w:r>
      <w:r w:rsidR="00D21471" w:rsidRPr="00EC2758">
        <w:rPr>
          <w:rFonts w:asciiTheme="majorHAnsi" w:hAnsiTheme="majorHAnsi" w:cstheme="majorHAnsi"/>
          <w:color w:val="000000" w:themeColor="text1"/>
          <w:sz w:val="18"/>
          <w:szCs w:val="18"/>
          <w:shd w:val="clear" w:color="auto" w:fill="FFFFFF"/>
        </w:rPr>
        <w:t>:</w:t>
      </w:r>
    </w:p>
    <w:p w14:paraId="6B0FEBA3" w14:textId="77777777" w:rsidR="00856DBB" w:rsidRPr="00EC2758" w:rsidRDefault="00856DBB" w:rsidP="00EC2758">
      <w:pPr>
        <w:pStyle w:val="BodyTextIndent"/>
        <w:widowControl w:val="0"/>
        <w:tabs>
          <w:tab w:val="left" w:pos="709"/>
        </w:tabs>
        <w:ind w:left="0" w:firstLine="0"/>
        <w:rPr>
          <w:rFonts w:asciiTheme="majorHAnsi" w:hAnsiTheme="majorHAnsi" w:cstheme="majorHAnsi"/>
          <w:color w:val="000000" w:themeColor="text1"/>
          <w:sz w:val="18"/>
          <w:szCs w:val="18"/>
          <w:shd w:val="clear" w:color="auto" w:fill="FFFFFF"/>
        </w:rPr>
      </w:pPr>
    </w:p>
    <w:p w14:paraId="4AABB32E" w14:textId="5DBE2DFF" w:rsidR="00230BFA" w:rsidRPr="00EC2758" w:rsidRDefault="00856DBB" w:rsidP="00EC2758">
      <w:pPr>
        <w:pStyle w:val="BodyTextIndent"/>
        <w:widowControl w:val="0"/>
        <w:tabs>
          <w:tab w:val="left" w:pos="709"/>
        </w:tabs>
        <w:ind w:left="1440" w:hanging="1440"/>
        <w:rPr>
          <w:rFonts w:asciiTheme="majorHAnsi" w:hAnsiTheme="majorHAnsi" w:cstheme="majorHAnsi"/>
          <w:i/>
          <w:iCs/>
          <w:color w:val="000000" w:themeColor="text1"/>
        </w:rPr>
      </w:pPr>
      <w:r w:rsidRPr="00EC2758">
        <w:rPr>
          <w:rFonts w:asciiTheme="majorHAnsi" w:hAnsiTheme="majorHAnsi" w:cstheme="majorHAnsi"/>
          <w:i/>
          <w:iCs/>
          <w:color w:val="000000" w:themeColor="text1"/>
          <w:sz w:val="18"/>
          <w:szCs w:val="18"/>
          <w:shd w:val="clear" w:color="auto" w:fill="FFFFFF"/>
        </w:rPr>
        <w:tab/>
      </w:r>
      <w:r w:rsidRPr="00EC2758">
        <w:rPr>
          <w:rFonts w:asciiTheme="majorHAnsi" w:hAnsiTheme="majorHAnsi" w:cstheme="majorHAnsi"/>
          <w:i/>
          <w:iCs/>
          <w:color w:val="000000" w:themeColor="text1"/>
          <w:sz w:val="18"/>
          <w:szCs w:val="18"/>
          <w:shd w:val="clear" w:color="auto" w:fill="FFFFFF"/>
        </w:rPr>
        <w:tab/>
        <w:t>“[The] onus of proving the payment rests on the defendant. Nothing should be easier than proving payment by, for example, disclosing the above particulars or attaching the paid cheque. The unsubstantiated allegation of payment is, for that reason, suspect and summary judgment ought to be granted.</w:t>
      </w:r>
      <w:r w:rsidRPr="00EC2758">
        <w:rPr>
          <w:rFonts w:asciiTheme="majorHAnsi" w:hAnsiTheme="majorHAnsi" w:cstheme="majorHAnsi"/>
          <w:i/>
          <w:iCs/>
          <w:color w:val="000000" w:themeColor="text1"/>
        </w:rPr>
        <w:t xml:space="preserve">” </w:t>
      </w:r>
      <w:r w:rsidRPr="00B002DB">
        <w:rPr>
          <w:rFonts w:asciiTheme="majorHAnsi" w:hAnsiTheme="majorHAnsi" w:cstheme="majorHAnsi"/>
          <w:color w:val="000000" w:themeColor="text1"/>
          <w:sz w:val="20"/>
          <w:szCs w:val="20"/>
        </w:rPr>
        <w:t>(footnotes omitted)</w:t>
      </w:r>
      <w:r w:rsidRPr="00EC2758">
        <w:rPr>
          <w:rFonts w:asciiTheme="majorHAnsi" w:hAnsiTheme="majorHAnsi" w:cstheme="majorHAnsi"/>
          <w:i/>
          <w:iCs/>
          <w:color w:val="000000" w:themeColor="text1"/>
        </w:rPr>
        <w:t xml:space="preserve"> </w:t>
      </w:r>
    </w:p>
    <w:p w14:paraId="507E43A3" w14:textId="77777777" w:rsidR="00230BFA" w:rsidRPr="00EC2758" w:rsidRDefault="00230BFA" w:rsidP="00EC2758">
      <w:pPr>
        <w:pStyle w:val="BodyTextIndent"/>
        <w:widowControl w:val="0"/>
        <w:tabs>
          <w:tab w:val="left" w:pos="709"/>
        </w:tabs>
        <w:rPr>
          <w:rFonts w:asciiTheme="majorHAnsi" w:hAnsiTheme="majorHAnsi" w:cstheme="majorHAnsi"/>
          <w:color w:val="000000" w:themeColor="text1"/>
        </w:rPr>
      </w:pPr>
    </w:p>
    <w:p w14:paraId="3F0CF2FB" w14:textId="0E2EB07E" w:rsidR="00B05296" w:rsidRPr="00EC2758" w:rsidRDefault="006458BE" w:rsidP="00EC2758">
      <w:pPr>
        <w:pStyle w:val="BodyTextIndent"/>
        <w:widowControl w:val="0"/>
        <w:tabs>
          <w:tab w:val="left" w:pos="709"/>
        </w:tabs>
        <w:rPr>
          <w:rFonts w:asciiTheme="majorHAnsi" w:hAnsiTheme="majorHAnsi" w:cstheme="majorHAnsi"/>
          <w:color w:val="000000" w:themeColor="text1"/>
        </w:rPr>
      </w:pPr>
      <w:r>
        <w:rPr>
          <w:rFonts w:asciiTheme="majorHAnsi" w:hAnsiTheme="majorHAnsi" w:cstheme="majorHAnsi"/>
          <w:color w:val="000000" w:themeColor="text1"/>
        </w:rPr>
        <w:t>[43</w:t>
      </w:r>
      <w:r w:rsidR="00A53F42" w:rsidRPr="00EC2758">
        <w:rPr>
          <w:rFonts w:asciiTheme="majorHAnsi" w:hAnsiTheme="majorHAnsi" w:cstheme="majorHAnsi"/>
          <w:color w:val="000000" w:themeColor="text1"/>
        </w:rPr>
        <w:t>]</w:t>
      </w:r>
      <w:r w:rsidR="00A53F42" w:rsidRPr="00EC2758">
        <w:rPr>
          <w:rFonts w:asciiTheme="majorHAnsi" w:hAnsiTheme="majorHAnsi" w:cstheme="majorHAnsi"/>
          <w:color w:val="000000" w:themeColor="text1"/>
        </w:rPr>
        <w:tab/>
      </w:r>
      <w:r w:rsidR="00B05296" w:rsidRPr="00EC2758">
        <w:rPr>
          <w:rFonts w:asciiTheme="majorHAnsi" w:hAnsiTheme="majorHAnsi" w:cstheme="majorHAnsi"/>
          <w:color w:val="000000" w:themeColor="text1"/>
        </w:rPr>
        <w:t>If I am wrong on this score, Van Niekerk</w:t>
      </w:r>
      <w:r w:rsidR="00B05296" w:rsidRPr="00EC2758">
        <w:rPr>
          <w:rStyle w:val="FootnoteReference"/>
          <w:rFonts w:asciiTheme="majorHAnsi" w:hAnsiTheme="majorHAnsi" w:cstheme="majorHAnsi"/>
          <w:color w:val="000000" w:themeColor="text1"/>
        </w:rPr>
        <w:footnoteReference w:id="41"/>
      </w:r>
      <w:r w:rsidR="00B05296" w:rsidRPr="00EC2758">
        <w:rPr>
          <w:rFonts w:asciiTheme="majorHAnsi" w:hAnsiTheme="majorHAnsi" w:cstheme="majorHAnsi"/>
          <w:color w:val="000000" w:themeColor="text1"/>
        </w:rPr>
        <w:t xml:space="preserve"> also states that:</w:t>
      </w:r>
    </w:p>
    <w:p w14:paraId="183730F9" w14:textId="77777777" w:rsidR="00B05296" w:rsidRPr="00EC2758" w:rsidRDefault="00B05296" w:rsidP="00EC2758">
      <w:pPr>
        <w:pStyle w:val="BodyTextIndent"/>
        <w:widowControl w:val="0"/>
        <w:tabs>
          <w:tab w:val="left" w:pos="709"/>
        </w:tabs>
        <w:rPr>
          <w:rFonts w:asciiTheme="majorHAnsi" w:hAnsiTheme="majorHAnsi" w:cstheme="majorHAnsi"/>
          <w:color w:val="000000" w:themeColor="text1"/>
        </w:rPr>
      </w:pPr>
    </w:p>
    <w:p w14:paraId="6A5F65D3" w14:textId="38D936BF" w:rsidR="00FD5205" w:rsidRPr="001A7DA6" w:rsidRDefault="00B05296" w:rsidP="001A7DA6">
      <w:pPr>
        <w:tabs>
          <w:tab w:val="left" w:pos="709"/>
        </w:tabs>
        <w:spacing w:line="360" w:lineRule="auto"/>
        <w:ind w:left="1440" w:hanging="1440"/>
        <w:jc w:val="both"/>
        <w:rPr>
          <w:rFonts w:asciiTheme="majorHAnsi" w:hAnsiTheme="majorHAnsi" w:cstheme="majorHAnsi"/>
          <w:i/>
          <w:iCs/>
          <w:color w:val="000000" w:themeColor="text1"/>
          <w:sz w:val="20"/>
          <w:szCs w:val="20"/>
          <w:shd w:val="clear" w:color="auto" w:fill="FFFFFF"/>
        </w:rPr>
      </w:pPr>
      <w:r w:rsidRPr="00EC2758">
        <w:rPr>
          <w:rFonts w:asciiTheme="majorHAnsi" w:hAnsiTheme="majorHAnsi" w:cstheme="majorHAnsi"/>
          <w:color w:val="000000" w:themeColor="text1"/>
          <w:sz w:val="18"/>
          <w:szCs w:val="18"/>
          <w:shd w:val="clear" w:color="auto" w:fill="FFFFFF"/>
        </w:rPr>
        <w:tab/>
      </w:r>
      <w:r w:rsidRPr="00EC2758">
        <w:rPr>
          <w:rFonts w:asciiTheme="majorHAnsi" w:hAnsiTheme="majorHAnsi" w:cstheme="majorHAnsi"/>
          <w:color w:val="000000" w:themeColor="text1"/>
          <w:sz w:val="18"/>
          <w:szCs w:val="18"/>
          <w:shd w:val="clear" w:color="auto" w:fill="FFFFFF"/>
        </w:rPr>
        <w:tab/>
      </w:r>
      <w:r w:rsidRPr="00EC2758">
        <w:rPr>
          <w:rFonts w:asciiTheme="majorHAnsi" w:hAnsiTheme="majorHAnsi" w:cstheme="majorHAnsi"/>
          <w:i/>
          <w:iCs/>
          <w:color w:val="000000" w:themeColor="text1"/>
          <w:sz w:val="18"/>
          <w:szCs w:val="18"/>
          <w:shd w:val="clear" w:color="auto" w:fill="FFFFFF"/>
        </w:rPr>
        <w:t>“More is expected of a defendant who bears the onus of proving his defence in the main action (for example, if his defence is one of payment). He must then go further than a simple allegation that he has paid to the plaintiff everything he owes. Such an allegation lacks the frankness and particularity expected of a defendant in summary judgment proceedings. A court may also doubt the defendant’s bona fides when he deals vaguely and scantily with facts which clearly fall within his knowledge.</w:t>
      </w:r>
      <w:r w:rsidR="006D6BBF" w:rsidRPr="00EC2758">
        <w:rPr>
          <w:rFonts w:asciiTheme="majorHAnsi" w:hAnsiTheme="majorHAnsi" w:cstheme="majorHAnsi"/>
          <w:i/>
          <w:iCs/>
          <w:color w:val="000000" w:themeColor="text1"/>
          <w:sz w:val="20"/>
          <w:szCs w:val="20"/>
          <w:shd w:val="clear" w:color="auto" w:fill="FFFFFF"/>
        </w:rPr>
        <w:t xml:space="preserve">  A defence in respect of which the onus rests upon the defendant must, in order to comply with the requirements of comprehensiveness and bona fides, be disclosed with greater particularity than would be acceptable in other instances.”</w:t>
      </w:r>
    </w:p>
    <w:p w14:paraId="233A9BCE" w14:textId="26E0D9D7" w:rsidR="00C81343" w:rsidRDefault="003533A8" w:rsidP="00C81343">
      <w:pPr>
        <w:pStyle w:val="BodyTextIndent"/>
        <w:widowControl w:val="0"/>
        <w:tabs>
          <w:tab w:val="left" w:pos="709"/>
        </w:tabs>
        <w:rPr>
          <w:rFonts w:asciiTheme="majorHAnsi" w:hAnsiTheme="majorHAnsi" w:cstheme="majorHAnsi"/>
          <w:color w:val="000000" w:themeColor="text1"/>
        </w:rPr>
      </w:pPr>
      <w:r w:rsidRPr="00EC2758">
        <w:rPr>
          <w:rFonts w:asciiTheme="majorHAnsi" w:hAnsiTheme="majorHAnsi" w:cstheme="majorHAnsi"/>
          <w:color w:val="000000" w:themeColor="text1"/>
        </w:rPr>
        <w:lastRenderedPageBreak/>
        <w:t>[</w:t>
      </w:r>
      <w:r w:rsidR="006458BE">
        <w:rPr>
          <w:rFonts w:asciiTheme="majorHAnsi" w:hAnsiTheme="majorHAnsi" w:cstheme="majorHAnsi"/>
          <w:color w:val="000000" w:themeColor="text1"/>
        </w:rPr>
        <w:t>44</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t xml:space="preserve">She argues that in </w:t>
      </w:r>
      <w:r w:rsidRPr="00EC2758">
        <w:rPr>
          <w:rFonts w:asciiTheme="majorHAnsi" w:hAnsiTheme="majorHAnsi" w:cstheme="majorHAnsi"/>
          <w:i/>
          <w:iCs/>
          <w:color w:val="000000" w:themeColor="text1"/>
        </w:rPr>
        <w:t>Transvaal Spice Works v Conpen Holdings</w:t>
      </w:r>
      <w:r w:rsidR="00724D23" w:rsidRPr="00EC2758">
        <w:rPr>
          <w:rStyle w:val="FootnoteReference"/>
          <w:rFonts w:asciiTheme="majorHAnsi" w:hAnsiTheme="majorHAnsi" w:cstheme="majorHAnsi"/>
          <w:color w:val="000000" w:themeColor="text1"/>
        </w:rPr>
        <w:footnoteReference w:id="42"/>
      </w:r>
      <w:r w:rsidRPr="00EC2758">
        <w:rPr>
          <w:rFonts w:asciiTheme="majorHAnsi" w:hAnsiTheme="majorHAnsi" w:cstheme="majorHAnsi"/>
          <w:color w:val="000000" w:themeColor="text1"/>
        </w:rPr>
        <w:t xml:space="preserve"> it was held that if </w:t>
      </w:r>
      <w:r w:rsidRPr="00EC2758">
        <w:rPr>
          <w:rFonts w:asciiTheme="majorHAnsi" w:hAnsiTheme="majorHAnsi" w:cstheme="majorHAnsi"/>
          <w:i/>
          <w:color w:val="000000" w:themeColor="text1"/>
        </w:rPr>
        <w:t xml:space="preserve">ex facie </w:t>
      </w:r>
      <w:r w:rsidRPr="00EC2758">
        <w:rPr>
          <w:rFonts w:asciiTheme="majorHAnsi" w:hAnsiTheme="majorHAnsi" w:cstheme="majorHAnsi"/>
          <w:color w:val="000000" w:themeColor="text1"/>
        </w:rPr>
        <w:t xml:space="preserve">the document upon which the claim is founded there appears to be a </w:t>
      </w:r>
      <w:r w:rsidR="00B174F6" w:rsidRPr="00EC2758">
        <w:rPr>
          <w:rFonts w:asciiTheme="majorHAnsi" w:hAnsiTheme="majorHAnsi" w:cstheme="majorHAnsi"/>
          <w:color w:val="000000" w:themeColor="text1"/>
        </w:rPr>
        <w:t xml:space="preserve">defect in the cause of action, the Court must refuse summary judgment whether or not Defendant has filed an affidavit to oppose it.  </w:t>
      </w:r>
      <w:r w:rsidR="00624D07" w:rsidRPr="00EC2758">
        <w:rPr>
          <w:rFonts w:asciiTheme="majorHAnsi" w:hAnsiTheme="majorHAnsi" w:cstheme="majorHAnsi"/>
          <w:color w:val="000000" w:themeColor="text1"/>
        </w:rPr>
        <w:t>As t</w:t>
      </w:r>
      <w:r w:rsidR="00B174F6" w:rsidRPr="00EC2758">
        <w:rPr>
          <w:rFonts w:asciiTheme="majorHAnsi" w:hAnsiTheme="majorHAnsi" w:cstheme="majorHAnsi"/>
          <w:color w:val="000000" w:themeColor="text1"/>
        </w:rPr>
        <w:t xml:space="preserve">he Plaintiff’s cause of action relies on the first agreement (loan agreement) </w:t>
      </w:r>
      <w:r w:rsidR="00624D07" w:rsidRPr="00EC2758">
        <w:rPr>
          <w:rFonts w:asciiTheme="majorHAnsi" w:hAnsiTheme="majorHAnsi" w:cstheme="majorHAnsi"/>
          <w:color w:val="000000" w:themeColor="text1"/>
        </w:rPr>
        <w:t xml:space="preserve">and it </w:t>
      </w:r>
      <w:r w:rsidR="00B174F6" w:rsidRPr="00EC2758">
        <w:rPr>
          <w:rFonts w:asciiTheme="majorHAnsi" w:hAnsiTheme="majorHAnsi" w:cstheme="majorHAnsi"/>
          <w:color w:val="000000" w:themeColor="text1"/>
        </w:rPr>
        <w:t>allege</w:t>
      </w:r>
      <w:r w:rsidR="00624D07" w:rsidRPr="00EC2758">
        <w:rPr>
          <w:rFonts w:asciiTheme="majorHAnsi" w:hAnsiTheme="majorHAnsi" w:cstheme="majorHAnsi"/>
          <w:color w:val="000000" w:themeColor="text1"/>
        </w:rPr>
        <w:t xml:space="preserve">s a </w:t>
      </w:r>
      <w:r w:rsidR="00B174F6" w:rsidRPr="00EC2758">
        <w:rPr>
          <w:rFonts w:asciiTheme="majorHAnsi" w:hAnsiTheme="majorHAnsi" w:cstheme="majorHAnsi"/>
          <w:color w:val="000000" w:themeColor="text1"/>
        </w:rPr>
        <w:t>breach stem</w:t>
      </w:r>
      <w:r w:rsidR="00D24289" w:rsidRPr="00EC2758">
        <w:rPr>
          <w:rFonts w:asciiTheme="majorHAnsi" w:hAnsiTheme="majorHAnsi" w:cstheme="majorHAnsi"/>
          <w:color w:val="000000" w:themeColor="text1"/>
        </w:rPr>
        <w:t>ming</w:t>
      </w:r>
      <w:r w:rsidR="00B174F6" w:rsidRPr="00EC2758">
        <w:rPr>
          <w:rFonts w:asciiTheme="majorHAnsi" w:hAnsiTheme="majorHAnsi" w:cstheme="majorHAnsi"/>
          <w:color w:val="000000" w:themeColor="text1"/>
        </w:rPr>
        <w:t xml:space="preserve"> from the second agreement </w:t>
      </w:r>
      <w:r w:rsidR="00D24289" w:rsidRPr="00EC2758">
        <w:rPr>
          <w:rFonts w:asciiTheme="majorHAnsi" w:hAnsiTheme="majorHAnsi" w:cstheme="majorHAnsi"/>
          <w:color w:val="000000" w:themeColor="text1"/>
        </w:rPr>
        <w:t xml:space="preserve">it would </w:t>
      </w:r>
      <w:r w:rsidR="00B174F6" w:rsidRPr="00EC2758">
        <w:rPr>
          <w:rFonts w:asciiTheme="majorHAnsi" w:hAnsiTheme="majorHAnsi" w:cstheme="majorHAnsi"/>
          <w:color w:val="000000" w:themeColor="text1"/>
        </w:rPr>
        <w:t xml:space="preserve">justify a refusal of the summary judgment.  </w:t>
      </w:r>
      <w:r w:rsidR="00D24289" w:rsidRPr="00EC2758">
        <w:rPr>
          <w:rFonts w:asciiTheme="majorHAnsi" w:hAnsiTheme="majorHAnsi" w:cstheme="majorHAnsi"/>
          <w:color w:val="000000" w:themeColor="text1"/>
        </w:rPr>
        <w:t>I do not agree. The cause of action has consistently been the loan agreement. The second (e</w:t>
      </w:r>
      <w:r w:rsidR="006F60FD">
        <w:rPr>
          <w:rFonts w:asciiTheme="majorHAnsi" w:hAnsiTheme="majorHAnsi" w:cstheme="majorHAnsi"/>
          <w:color w:val="000000" w:themeColor="text1"/>
        </w:rPr>
        <w:t>-</w:t>
      </w:r>
      <w:r w:rsidR="00D24289" w:rsidRPr="00EC2758">
        <w:rPr>
          <w:rFonts w:asciiTheme="majorHAnsi" w:hAnsiTheme="majorHAnsi" w:cstheme="majorHAnsi"/>
          <w:color w:val="000000" w:themeColor="text1"/>
        </w:rPr>
        <w:t xml:space="preserve">mail) agreement was meant to bring </w:t>
      </w:r>
      <w:r w:rsidR="006F60FD">
        <w:rPr>
          <w:rFonts w:asciiTheme="majorHAnsi" w:hAnsiTheme="majorHAnsi" w:cstheme="majorHAnsi"/>
          <w:color w:val="000000" w:themeColor="text1"/>
        </w:rPr>
        <w:t xml:space="preserve">the </w:t>
      </w:r>
      <w:r w:rsidR="00D24289" w:rsidRPr="00EC2758">
        <w:rPr>
          <w:rFonts w:asciiTheme="majorHAnsi" w:hAnsiTheme="majorHAnsi" w:cstheme="majorHAnsi"/>
          <w:color w:val="000000" w:themeColor="text1"/>
        </w:rPr>
        <w:t>arrears p to date. There was therefore no</w:t>
      </w:r>
      <w:r w:rsidR="002E3CB6" w:rsidRPr="00EC2758">
        <w:rPr>
          <w:rFonts w:asciiTheme="majorHAnsi" w:hAnsiTheme="majorHAnsi" w:cstheme="majorHAnsi"/>
          <w:color w:val="000000" w:themeColor="text1"/>
        </w:rPr>
        <w:t xml:space="preserve"> defect in the cause of action. It was also not necessary to issue a fresh s 129 notice </w:t>
      </w:r>
      <w:r w:rsidR="005253C9" w:rsidRPr="00EC2758">
        <w:rPr>
          <w:rFonts w:asciiTheme="majorHAnsi" w:hAnsiTheme="majorHAnsi" w:cstheme="majorHAnsi"/>
          <w:color w:val="000000" w:themeColor="text1"/>
        </w:rPr>
        <w:t>as the Defendant himself liquidated the debt and knew what the origin of the debt was.</w:t>
      </w:r>
    </w:p>
    <w:p w14:paraId="1B11DD22" w14:textId="77777777" w:rsidR="00C81343" w:rsidRPr="00EC2758" w:rsidRDefault="00C81343" w:rsidP="00C81343">
      <w:pPr>
        <w:pStyle w:val="BodyTextIndent"/>
        <w:widowControl w:val="0"/>
        <w:tabs>
          <w:tab w:val="left" w:pos="709"/>
        </w:tabs>
        <w:rPr>
          <w:rFonts w:asciiTheme="majorHAnsi" w:hAnsiTheme="majorHAnsi" w:cstheme="majorHAnsi"/>
          <w:color w:val="000000" w:themeColor="text1"/>
        </w:rPr>
      </w:pPr>
    </w:p>
    <w:p w14:paraId="25966E7E" w14:textId="1F8B65C3" w:rsidR="006027C4" w:rsidRPr="00EC2758" w:rsidRDefault="006027C4" w:rsidP="00EC2758">
      <w:pPr>
        <w:pStyle w:val="BodyTextIndent"/>
        <w:widowControl w:val="0"/>
        <w:tabs>
          <w:tab w:val="left" w:pos="709"/>
        </w:tabs>
        <w:rPr>
          <w:rFonts w:asciiTheme="majorHAnsi" w:hAnsiTheme="majorHAnsi" w:cstheme="majorHAnsi"/>
          <w:b/>
          <w:bCs/>
          <w:color w:val="000000" w:themeColor="text1"/>
        </w:rPr>
      </w:pPr>
      <w:r w:rsidRPr="00EC2758">
        <w:rPr>
          <w:rFonts w:asciiTheme="majorHAnsi" w:hAnsiTheme="majorHAnsi" w:cstheme="majorHAnsi"/>
          <w:b/>
          <w:bCs/>
          <w:color w:val="000000" w:themeColor="text1"/>
        </w:rPr>
        <w:tab/>
        <w:t>CONCLUSION</w:t>
      </w:r>
    </w:p>
    <w:p w14:paraId="16C54B37" w14:textId="77777777" w:rsidR="00510E0A" w:rsidRPr="00EC2758" w:rsidRDefault="00510E0A" w:rsidP="00EC2758">
      <w:pPr>
        <w:tabs>
          <w:tab w:val="left" w:pos="709"/>
        </w:tabs>
        <w:spacing w:line="360" w:lineRule="auto"/>
        <w:ind w:left="709" w:hanging="709"/>
        <w:jc w:val="both"/>
        <w:rPr>
          <w:rFonts w:asciiTheme="majorHAnsi" w:hAnsiTheme="majorHAnsi" w:cstheme="majorHAnsi"/>
          <w:color w:val="000000" w:themeColor="text1"/>
        </w:rPr>
      </w:pPr>
    </w:p>
    <w:p w14:paraId="2DD3A25D" w14:textId="10274737" w:rsidR="007121B8" w:rsidRPr="00EC2758" w:rsidRDefault="00C5185E" w:rsidP="00EC2758">
      <w:pPr>
        <w:tabs>
          <w:tab w:val="left" w:pos="709"/>
        </w:tabs>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w:t>
      </w:r>
      <w:r w:rsidR="006458BE">
        <w:rPr>
          <w:rFonts w:asciiTheme="majorHAnsi" w:hAnsiTheme="majorHAnsi" w:cstheme="majorHAnsi"/>
          <w:color w:val="000000" w:themeColor="text1"/>
        </w:rPr>
        <w:t>45</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r>
      <w:r w:rsidR="00ED38C5" w:rsidRPr="00EC2758">
        <w:rPr>
          <w:rFonts w:asciiTheme="majorHAnsi" w:hAnsiTheme="majorHAnsi" w:cstheme="majorHAnsi"/>
          <w:color w:val="000000" w:themeColor="text1"/>
        </w:rPr>
        <w:t>I carefully considered each of the defences even before I had to decide whether condonation should</w:t>
      </w:r>
      <w:r w:rsidR="00180193" w:rsidRPr="00EC2758">
        <w:rPr>
          <w:rFonts w:asciiTheme="majorHAnsi" w:hAnsiTheme="majorHAnsi" w:cstheme="majorHAnsi"/>
          <w:color w:val="000000" w:themeColor="text1"/>
        </w:rPr>
        <w:t xml:space="preserve"> </w:t>
      </w:r>
      <w:r w:rsidR="00ED38C5" w:rsidRPr="00EC2758">
        <w:rPr>
          <w:rFonts w:asciiTheme="majorHAnsi" w:hAnsiTheme="majorHAnsi" w:cstheme="majorHAnsi"/>
          <w:color w:val="000000" w:themeColor="text1"/>
        </w:rPr>
        <w:t xml:space="preserve">be granted. As summary judgment is a </w:t>
      </w:r>
      <w:r w:rsidR="00A7512A" w:rsidRPr="00EC2758">
        <w:rPr>
          <w:rFonts w:asciiTheme="majorHAnsi" w:hAnsiTheme="majorHAnsi" w:cstheme="majorHAnsi"/>
          <w:color w:val="000000" w:themeColor="text1"/>
        </w:rPr>
        <w:t xml:space="preserve">speedy remedy and as it may close the doors to a defendant who has a </w:t>
      </w:r>
      <w:r w:rsidR="00A7512A" w:rsidRPr="00EC2758">
        <w:rPr>
          <w:rFonts w:asciiTheme="majorHAnsi" w:hAnsiTheme="majorHAnsi" w:cstheme="majorHAnsi"/>
          <w:i/>
          <w:iCs/>
          <w:color w:val="000000" w:themeColor="text1"/>
        </w:rPr>
        <w:t>bona fide</w:t>
      </w:r>
      <w:r w:rsidR="00A7512A" w:rsidRPr="00EC2758">
        <w:rPr>
          <w:rFonts w:asciiTheme="majorHAnsi" w:hAnsiTheme="majorHAnsi" w:cstheme="majorHAnsi"/>
          <w:color w:val="000000" w:themeColor="text1"/>
        </w:rPr>
        <w:t xml:space="preserve"> defence, I am not inclined to dismiss the condonation application. I hurry to state that the prospects for success, </w:t>
      </w:r>
      <w:r w:rsidR="006F60FD">
        <w:rPr>
          <w:rFonts w:asciiTheme="majorHAnsi" w:hAnsiTheme="majorHAnsi" w:cstheme="majorHAnsi"/>
          <w:color w:val="000000" w:themeColor="text1"/>
        </w:rPr>
        <w:t xml:space="preserve">even </w:t>
      </w:r>
      <w:r w:rsidR="00A7512A" w:rsidRPr="00EC2758">
        <w:rPr>
          <w:rFonts w:asciiTheme="majorHAnsi" w:hAnsiTheme="majorHAnsi" w:cstheme="majorHAnsi"/>
          <w:color w:val="000000" w:themeColor="text1"/>
        </w:rPr>
        <w:t xml:space="preserve">measured in terms of summary judgment, is not convincing. I, however, </w:t>
      </w:r>
      <w:r w:rsidR="007121B8" w:rsidRPr="00EC2758">
        <w:rPr>
          <w:rFonts w:asciiTheme="majorHAnsi" w:hAnsiTheme="majorHAnsi" w:cstheme="majorHAnsi"/>
          <w:color w:val="000000" w:themeColor="text1"/>
        </w:rPr>
        <w:t>elected to consider his papers dispassionately.</w:t>
      </w:r>
    </w:p>
    <w:p w14:paraId="4D84F698" w14:textId="77777777" w:rsidR="007121B8" w:rsidRPr="00EC2758" w:rsidRDefault="007121B8" w:rsidP="00EC2758">
      <w:pPr>
        <w:tabs>
          <w:tab w:val="left" w:pos="709"/>
        </w:tabs>
        <w:spacing w:line="360" w:lineRule="auto"/>
        <w:ind w:left="709" w:hanging="709"/>
        <w:jc w:val="both"/>
        <w:rPr>
          <w:rFonts w:asciiTheme="majorHAnsi" w:hAnsiTheme="majorHAnsi" w:cstheme="majorHAnsi"/>
          <w:color w:val="000000" w:themeColor="text1"/>
        </w:rPr>
      </w:pPr>
    </w:p>
    <w:p w14:paraId="1FF07DFF" w14:textId="74C84079" w:rsidR="00D71AEA" w:rsidRPr="00EC2758" w:rsidRDefault="007121B8" w:rsidP="00EC2758">
      <w:pPr>
        <w:tabs>
          <w:tab w:val="left" w:pos="709"/>
        </w:tabs>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w:t>
      </w:r>
      <w:r w:rsidR="006458BE">
        <w:rPr>
          <w:rFonts w:asciiTheme="majorHAnsi" w:hAnsiTheme="majorHAnsi" w:cstheme="majorHAnsi"/>
          <w:color w:val="000000" w:themeColor="text1"/>
        </w:rPr>
        <w:t>46</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r>
      <w:r w:rsidR="00180193" w:rsidRPr="00EC2758">
        <w:rPr>
          <w:rFonts w:asciiTheme="majorHAnsi" w:hAnsiTheme="majorHAnsi" w:cstheme="majorHAnsi"/>
          <w:color w:val="000000" w:themeColor="text1"/>
        </w:rPr>
        <w:t>In my view</w:t>
      </w:r>
      <w:r w:rsidR="00501883" w:rsidRPr="00EC2758">
        <w:rPr>
          <w:rFonts w:asciiTheme="majorHAnsi" w:hAnsiTheme="majorHAnsi" w:cstheme="majorHAnsi"/>
          <w:color w:val="000000" w:themeColor="text1"/>
        </w:rPr>
        <w:t xml:space="preserve">, none of the </w:t>
      </w:r>
      <w:r w:rsidR="006F60FD">
        <w:rPr>
          <w:rFonts w:asciiTheme="majorHAnsi" w:hAnsiTheme="majorHAnsi" w:cstheme="majorHAnsi"/>
          <w:color w:val="000000" w:themeColor="text1"/>
        </w:rPr>
        <w:t>de</w:t>
      </w:r>
      <w:r w:rsidR="00501883" w:rsidRPr="00EC2758">
        <w:rPr>
          <w:rFonts w:asciiTheme="majorHAnsi" w:hAnsiTheme="majorHAnsi" w:cstheme="majorHAnsi"/>
          <w:color w:val="000000" w:themeColor="text1"/>
        </w:rPr>
        <w:t xml:space="preserve">fences is </w:t>
      </w:r>
      <w:r w:rsidR="00501883" w:rsidRPr="006F60FD">
        <w:rPr>
          <w:rFonts w:asciiTheme="majorHAnsi" w:hAnsiTheme="majorHAnsi" w:cstheme="majorHAnsi"/>
          <w:i/>
          <w:iCs/>
          <w:color w:val="000000" w:themeColor="text1"/>
        </w:rPr>
        <w:t>bona fide</w:t>
      </w:r>
      <w:r w:rsidR="00501883" w:rsidRPr="00EC2758">
        <w:rPr>
          <w:rFonts w:asciiTheme="majorHAnsi" w:hAnsiTheme="majorHAnsi" w:cstheme="majorHAnsi"/>
          <w:color w:val="000000" w:themeColor="text1"/>
        </w:rPr>
        <w:t xml:space="preserve">. If </w:t>
      </w:r>
      <w:r w:rsidR="00D71AEA" w:rsidRPr="00EC2758">
        <w:rPr>
          <w:rFonts w:asciiTheme="majorHAnsi" w:hAnsiTheme="majorHAnsi" w:cstheme="majorHAnsi"/>
          <w:color w:val="000000" w:themeColor="text1"/>
        </w:rPr>
        <w:t xml:space="preserve">the test in respect of </w:t>
      </w:r>
      <w:r w:rsidR="00856262">
        <w:rPr>
          <w:rFonts w:asciiTheme="majorHAnsi" w:hAnsiTheme="majorHAnsi" w:cstheme="majorHAnsi"/>
          <w:color w:val="000000" w:themeColor="text1"/>
        </w:rPr>
        <w:t xml:space="preserve">on </w:t>
      </w:r>
      <w:r w:rsidR="00D71AEA" w:rsidRPr="00EC2758">
        <w:rPr>
          <w:rFonts w:asciiTheme="majorHAnsi" w:hAnsiTheme="majorHAnsi" w:cstheme="majorHAnsi"/>
          <w:color w:val="000000" w:themeColor="text1"/>
        </w:rPr>
        <w:t xml:space="preserve">which elements the Defendant </w:t>
      </w:r>
      <w:r w:rsidR="00EC2758" w:rsidRPr="00EC2758">
        <w:rPr>
          <w:rFonts w:asciiTheme="majorHAnsi" w:hAnsiTheme="majorHAnsi" w:cstheme="majorHAnsi"/>
          <w:color w:val="000000" w:themeColor="text1"/>
        </w:rPr>
        <w:t>carries</w:t>
      </w:r>
      <w:r w:rsidR="00D71AEA" w:rsidRPr="00EC2758">
        <w:rPr>
          <w:rFonts w:asciiTheme="majorHAnsi" w:hAnsiTheme="majorHAnsi" w:cstheme="majorHAnsi"/>
          <w:color w:val="000000" w:themeColor="text1"/>
        </w:rPr>
        <w:t xml:space="preserve"> the onus is applied, the Defendant failed to pass the bar. Even if the onus is not applied. He still did not pass the bar.</w:t>
      </w:r>
      <w:r w:rsidR="00905A4B">
        <w:rPr>
          <w:rFonts w:asciiTheme="majorHAnsi" w:hAnsiTheme="majorHAnsi" w:cstheme="majorHAnsi"/>
          <w:color w:val="000000" w:themeColor="text1"/>
        </w:rPr>
        <w:t xml:space="preserve"> The Plaintiff’s summary judgment application has to succeed.</w:t>
      </w:r>
    </w:p>
    <w:p w14:paraId="718F0CDD" w14:textId="77777777" w:rsidR="00D71AEA" w:rsidRPr="00EC2758" w:rsidRDefault="00D71AEA" w:rsidP="00EC2758">
      <w:pPr>
        <w:tabs>
          <w:tab w:val="left" w:pos="709"/>
        </w:tabs>
        <w:spacing w:line="360" w:lineRule="auto"/>
        <w:ind w:left="709" w:hanging="709"/>
        <w:jc w:val="both"/>
        <w:rPr>
          <w:rFonts w:asciiTheme="majorHAnsi" w:hAnsiTheme="majorHAnsi" w:cstheme="majorHAnsi"/>
          <w:color w:val="000000" w:themeColor="text1"/>
        </w:rPr>
      </w:pPr>
    </w:p>
    <w:p w14:paraId="5148B3BB" w14:textId="67B42774" w:rsidR="00250F6C" w:rsidRDefault="00D71AEA" w:rsidP="00C81343">
      <w:pPr>
        <w:tabs>
          <w:tab w:val="left" w:pos="709"/>
        </w:tabs>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[4</w:t>
      </w:r>
      <w:r w:rsidR="006458BE">
        <w:rPr>
          <w:rFonts w:asciiTheme="majorHAnsi" w:hAnsiTheme="majorHAnsi" w:cstheme="majorHAnsi"/>
          <w:color w:val="000000" w:themeColor="text1"/>
        </w:rPr>
        <w:t>7</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t xml:space="preserve">The Defendant sought condonation. I grant condonation. It is trite that the </w:t>
      </w:r>
      <w:r w:rsidR="00EC2758" w:rsidRPr="00EC2758">
        <w:rPr>
          <w:rFonts w:asciiTheme="majorHAnsi" w:hAnsiTheme="majorHAnsi" w:cstheme="majorHAnsi"/>
          <w:color w:val="000000" w:themeColor="text1"/>
        </w:rPr>
        <w:t>party</w:t>
      </w:r>
      <w:r w:rsidRPr="00EC2758">
        <w:rPr>
          <w:rFonts w:asciiTheme="majorHAnsi" w:hAnsiTheme="majorHAnsi" w:cstheme="majorHAnsi"/>
          <w:color w:val="000000" w:themeColor="text1"/>
        </w:rPr>
        <w:t xml:space="preserve"> who seeks condonation is asking for an indulgence. The Defendant has to pay </w:t>
      </w:r>
      <w:r w:rsidRPr="00EC2758">
        <w:rPr>
          <w:rFonts w:asciiTheme="majorHAnsi" w:hAnsiTheme="majorHAnsi" w:cstheme="majorHAnsi"/>
          <w:color w:val="000000" w:themeColor="text1"/>
        </w:rPr>
        <w:lastRenderedPageBreak/>
        <w:t xml:space="preserve">for the indulgence and the opposition was not unreasonable. The Plaintiff is successful </w:t>
      </w:r>
      <w:r w:rsidR="00856262">
        <w:rPr>
          <w:rFonts w:asciiTheme="majorHAnsi" w:hAnsiTheme="majorHAnsi" w:cstheme="majorHAnsi"/>
          <w:color w:val="000000" w:themeColor="text1"/>
        </w:rPr>
        <w:t xml:space="preserve">in its </w:t>
      </w:r>
      <w:r w:rsidRPr="00EC2758">
        <w:rPr>
          <w:rFonts w:asciiTheme="majorHAnsi" w:hAnsiTheme="majorHAnsi" w:cstheme="majorHAnsi"/>
          <w:color w:val="000000" w:themeColor="text1"/>
        </w:rPr>
        <w:t xml:space="preserve">application for summary judgment and </w:t>
      </w:r>
      <w:r w:rsidR="00250F6C" w:rsidRPr="00EC2758">
        <w:rPr>
          <w:rFonts w:asciiTheme="majorHAnsi" w:hAnsiTheme="majorHAnsi" w:cstheme="majorHAnsi"/>
          <w:color w:val="000000" w:themeColor="text1"/>
        </w:rPr>
        <w:t>is entitled to its costs.</w:t>
      </w:r>
    </w:p>
    <w:p w14:paraId="055A881A" w14:textId="77777777" w:rsidR="001A7DA6" w:rsidRPr="00EC2758" w:rsidRDefault="001A7DA6" w:rsidP="00C81343">
      <w:pPr>
        <w:tabs>
          <w:tab w:val="left" w:pos="709"/>
        </w:tabs>
        <w:spacing w:line="360" w:lineRule="auto"/>
        <w:ind w:left="709" w:hanging="709"/>
        <w:jc w:val="both"/>
        <w:rPr>
          <w:rFonts w:asciiTheme="majorHAnsi" w:hAnsiTheme="majorHAnsi" w:cstheme="majorHAnsi"/>
          <w:color w:val="000000" w:themeColor="text1"/>
        </w:rPr>
      </w:pPr>
    </w:p>
    <w:p w14:paraId="47A212BD" w14:textId="672BCFD5" w:rsidR="00250F6C" w:rsidRPr="00EC2758" w:rsidRDefault="00250F6C" w:rsidP="00EC2758">
      <w:pPr>
        <w:tabs>
          <w:tab w:val="left" w:pos="709"/>
        </w:tabs>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color w:val="000000" w:themeColor="text1"/>
        </w:rPr>
        <w:t>[4</w:t>
      </w:r>
      <w:r w:rsidR="007D248D">
        <w:rPr>
          <w:rFonts w:asciiTheme="majorHAnsi" w:hAnsiTheme="majorHAnsi" w:cstheme="majorHAnsi"/>
          <w:color w:val="000000" w:themeColor="text1"/>
        </w:rPr>
        <w:t>8</w:t>
      </w:r>
      <w:r w:rsidRPr="00EC2758">
        <w:rPr>
          <w:rFonts w:asciiTheme="majorHAnsi" w:hAnsiTheme="majorHAnsi" w:cstheme="majorHAnsi"/>
          <w:color w:val="000000" w:themeColor="text1"/>
        </w:rPr>
        <w:t>]</w:t>
      </w:r>
      <w:r w:rsidRPr="00EC2758">
        <w:rPr>
          <w:rFonts w:asciiTheme="majorHAnsi" w:hAnsiTheme="majorHAnsi" w:cstheme="majorHAnsi"/>
          <w:color w:val="000000" w:themeColor="text1"/>
        </w:rPr>
        <w:tab/>
      </w:r>
      <w:r w:rsidR="00856262">
        <w:rPr>
          <w:rFonts w:asciiTheme="majorHAnsi" w:hAnsiTheme="majorHAnsi" w:cstheme="majorHAnsi"/>
          <w:color w:val="000000" w:themeColor="text1"/>
        </w:rPr>
        <w:t>I</w:t>
      </w:r>
      <w:r w:rsidRPr="00EC2758">
        <w:rPr>
          <w:rFonts w:asciiTheme="majorHAnsi" w:hAnsiTheme="majorHAnsi" w:cstheme="majorHAnsi"/>
          <w:color w:val="000000" w:themeColor="text1"/>
        </w:rPr>
        <w:t xml:space="preserve"> therefore make the following order:</w:t>
      </w:r>
    </w:p>
    <w:p w14:paraId="69101F34" w14:textId="77777777" w:rsidR="00250F6C" w:rsidRPr="00EC2758" w:rsidRDefault="00250F6C" w:rsidP="00EC2758">
      <w:pPr>
        <w:tabs>
          <w:tab w:val="left" w:pos="709"/>
        </w:tabs>
        <w:spacing w:line="360" w:lineRule="auto"/>
        <w:ind w:left="709" w:hanging="709"/>
        <w:jc w:val="both"/>
        <w:rPr>
          <w:rFonts w:asciiTheme="majorHAnsi" w:hAnsiTheme="majorHAnsi" w:cstheme="majorHAnsi"/>
          <w:color w:val="000000" w:themeColor="text1"/>
        </w:rPr>
      </w:pPr>
    </w:p>
    <w:p w14:paraId="70E75C8A" w14:textId="77777777" w:rsidR="00250F6C" w:rsidRPr="00EC2758" w:rsidRDefault="00250F6C" w:rsidP="00EC2758">
      <w:pPr>
        <w:tabs>
          <w:tab w:val="left" w:pos="709"/>
        </w:tabs>
        <w:spacing w:line="360" w:lineRule="auto"/>
        <w:ind w:left="709" w:hanging="709"/>
        <w:jc w:val="both"/>
        <w:rPr>
          <w:rFonts w:asciiTheme="majorHAnsi" w:hAnsiTheme="majorHAnsi" w:cstheme="majorHAnsi"/>
          <w:color w:val="000000" w:themeColor="text1"/>
        </w:rPr>
      </w:pPr>
      <w:r w:rsidRPr="00EC2758">
        <w:rPr>
          <w:rFonts w:asciiTheme="majorHAnsi" w:hAnsiTheme="majorHAnsi" w:cstheme="majorHAnsi"/>
          <w:b/>
          <w:bCs/>
          <w:color w:val="000000" w:themeColor="text1"/>
        </w:rPr>
        <w:t>ORDER</w:t>
      </w:r>
    </w:p>
    <w:p w14:paraId="0CCBDD71" w14:textId="77777777" w:rsidR="00250F6C" w:rsidRPr="00EC2758" w:rsidRDefault="00250F6C" w:rsidP="000F23E2">
      <w:pPr>
        <w:tabs>
          <w:tab w:val="left" w:pos="709"/>
        </w:tabs>
        <w:spacing w:line="360" w:lineRule="auto"/>
        <w:ind w:left="709" w:hanging="709"/>
        <w:jc w:val="both"/>
        <w:rPr>
          <w:rFonts w:asciiTheme="majorHAnsi" w:hAnsiTheme="majorHAnsi" w:cstheme="majorHAnsi"/>
          <w:color w:val="000000" w:themeColor="text1"/>
        </w:rPr>
      </w:pPr>
    </w:p>
    <w:p w14:paraId="45824B55" w14:textId="2EB95586" w:rsidR="00250F6C" w:rsidRPr="00EC2758" w:rsidRDefault="00250F6C" w:rsidP="000F23E2">
      <w:pPr>
        <w:tabs>
          <w:tab w:val="left" w:pos="1276"/>
        </w:tabs>
        <w:spacing w:line="360" w:lineRule="auto"/>
        <w:ind w:left="1276" w:hanging="567"/>
        <w:jc w:val="both"/>
        <w:rPr>
          <w:rFonts w:asciiTheme="majorHAnsi" w:hAnsiTheme="majorHAnsi" w:cstheme="majorHAnsi"/>
          <w:color w:val="000000" w:themeColor="text1"/>
        </w:rPr>
      </w:pPr>
      <w:r w:rsidRPr="00EC2758">
        <w:rPr>
          <w:rFonts w:asciiTheme="majorHAnsi" w:hAnsiTheme="majorHAnsi" w:cstheme="majorHAnsi"/>
          <w:color w:val="000000" w:themeColor="text1"/>
        </w:rPr>
        <w:t>1.</w:t>
      </w:r>
      <w:r w:rsidRPr="00EC2758">
        <w:rPr>
          <w:rFonts w:asciiTheme="majorHAnsi" w:hAnsiTheme="majorHAnsi" w:cstheme="majorHAnsi"/>
          <w:color w:val="000000" w:themeColor="text1"/>
        </w:rPr>
        <w:tab/>
        <w:t>Condonation is granted to the Defendant</w:t>
      </w:r>
      <w:r w:rsidR="00685FDB" w:rsidRPr="00EC2758">
        <w:rPr>
          <w:rFonts w:asciiTheme="majorHAnsi" w:hAnsiTheme="majorHAnsi" w:cstheme="majorHAnsi"/>
          <w:color w:val="000000" w:themeColor="text1"/>
        </w:rPr>
        <w:t xml:space="preserve"> for the</w:t>
      </w:r>
      <w:r w:rsidR="00CD3115" w:rsidRPr="00EC2758">
        <w:rPr>
          <w:rFonts w:asciiTheme="majorHAnsi" w:hAnsiTheme="majorHAnsi" w:cstheme="majorHAnsi"/>
          <w:color w:val="000000" w:themeColor="text1"/>
        </w:rPr>
        <w:t xml:space="preserve"> </w:t>
      </w:r>
      <w:r w:rsidR="00685FDB" w:rsidRPr="00EC2758">
        <w:rPr>
          <w:rFonts w:asciiTheme="majorHAnsi" w:hAnsiTheme="majorHAnsi" w:cstheme="majorHAnsi"/>
          <w:color w:val="000000" w:themeColor="text1"/>
        </w:rPr>
        <w:t>late filing of his plea and opposing affidavit</w:t>
      </w:r>
      <w:r w:rsidRPr="00EC2758">
        <w:rPr>
          <w:rFonts w:asciiTheme="majorHAnsi" w:hAnsiTheme="majorHAnsi" w:cstheme="majorHAnsi"/>
          <w:color w:val="000000" w:themeColor="text1"/>
        </w:rPr>
        <w:t>.</w:t>
      </w:r>
    </w:p>
    <w:p w14:paraId="7B7F9DA9" w14:textId="01731E5E" w:rsidR="00250F6C" w:rsidRPr="00EC2758" w:rsidRDefault="00250F6C" w:rsidP="000F23E2">
      <w:pPr>
        <w:tabs>
          <w:tab w:val="left" w:pos="1276"/>
        </w:tabs>
        <w:spacing w:line="360" w:lineRule="auto"/>
        <w:ind w:left="1276" w:hanging="567"/>
        <w:jc w:val="both"/>
        <w:rPr>
          <w:rFonts w:asciiTheme="majorHAnsi" w:hAnsiTheme="majorHAnsi" w:cstheme="majorHAnsi"/>
          <w:color w:val="000000" w:themeColor="text1"/>
        </w:rPr>
      </w:pPr>
      <w:r w:rsidRPr="00EC2758">
        <w:rPr>
          <w:rFonts w:asciiTheme="majorHAnsi" w:hAnsiTheme="majorHAnsi" w:cstheme="majorHAnsi"/>
          <w:color w:val="000000" w:themeColor="text1"/>
        </w:rPr>
        <w:t>2.</w:t>
      </w:r>
      <w:r w:rsidRPr="00EC2758">
        <w:rPr>
          <w:rFonts w:asciiTheme="majorHAnsi" w:hAnsiTheme="majorHAnsi" w:cstheme="majorHAnsi"/>
          <w:color w:val="000000" w:themeColor="text1"/>
        </w:rPr>
        <w:tab/>
      </w:r>
      <w:r w:rsidR="00685FDB" w:rsidRPr="00EC2758">
        <w:rPr>
          <w:rFonts w:asciiTheme="majorHAnsi" w:hAnsiTheme="majorHAnsi" w:cstheme="majorHAnsi"/>
          <w:color w:val="000000" w:themeColor="text1"/>
        </w:rPr>
        <w:t>T</w:t>
      </w:r>
      <w:r w:rsidRPr="00EC2758">
        <w:rPr>
          <w:rFonts w:asciiTheme="majorHAnsi" w:hAnsiTheme="majorHAnsi" w:cstheme="majorHAnsi"/>
          <w:color w:val="000000" w:themeColor="text1"/>
        </w:rPr>
        <w:t>he Defendant pays the costs of the condonation application.</w:t>
      </w:r>
    </w:p>
    <w:p w14:paraId="6EE0F20B" w14:textId="5055271D" w:rsidR="00EE56A9" w:rsidRDefault="002736E2" w:rsidP="000F23E2">
      <w:pPr>
        <w:tabs>
          <w:tab w:val="left" w:pos="1276"/>
        </w:tabs>
        <w:spacing w:line="360" w:lineRule="auto"/>
        <w:ind w:left="1276" w:hanging="567"/>
        <w:jc w:val="both"/>
        <w:rPr>
          <w:rFonts w:asciiTheme="majorHAnsi" w:hAnsiTheme="majorHAnsi" w:cstheme="majorHAnsi"/>
          <w:color w:val="000000" w:themeColor="text1"/>
        </w:rPr>
      </w:pPr>
      <w:r>
        <w:rPr>
          <w:rFonts w:asciiTheme="majorHAnsi" w:hAnsiTheme="majorHAnsi" w:cstheme="majorHAnsi"/>
          <w:color w:val="000000" w:themeColor="text1"/>
        </w:rPr>
        <w:t>3</w:t>
      </w:r>
      <w:r w:rsidR="00250F6C" w:rsidRPr="00EC2758">
        <w:rPr>
          <w:rFonts w:asciiTheme="majorHAnsi" w:hAnsiTheme="majorHAnsi" w:cstheme="majorHAnsi"/>
          <w:color w:val="000000" w:themeColor="text1"/>
        </w:rPr>
        <w:t>.</w:t>
      </w:r>
      <w:r w:rsidR="00250F6C" w:rsidRPr="00EC2758">
        <w:rPr>
          <w:rFonts w:asciiTheme="majorHAnsi" w:hAnsiTheme="majorHAnsi" w:cstheme="majorHAnsi"/>
          <w:color w:val="000000" w:themeColor="text1"/>
        </w:rPr>
        <w:tab/>
      </w:r>
      <w:r w:rsidR="001408B8">
        <w:rPr>
          <w:rFonts w:asciiTheme="majorHAnsi" w:hAnsiTheme="majorHAnsi" w:cstheme="majorHAnsi"/>
          <w:color w:val="000000" w:themeColor="text1"/>
        </w:rPr>
        <w:t>Defendant pays R1 986 964.70 (one million nin</w:t>
      </w:r>
      <w:r w:rsidR="00EE56A9">
        <w:rPr>
          <w:rFonts w:asciiTheme="majorHAnsi" w:hAnsiTheme="majorHAnsi" w:cstheme="majorHAnsi"/>
          <w:color w:val="000000" w:themeColor="text1"/>
        </w:rPr>
        <w:t>e hundred and eighty six thousand nin</w:t>
      </w:r>
      <w:r w:rsidR="000F23E2">
        <w:rPr>
          <w:rFonts w:asciiTheme="majorHAnsi" w:hAnsiTheme="majorHAnsi" w:cstheme="majorHAnsi"/>
          <w:color w:val="000000" w:themeColor="text1"/>
        </w:rPr>
        <w:t>e</w:t>
      </w:r>
      <w:r w:rsidR="00EE56A9">
        <w:rPr>
          <w:rFonts w:asciiTheme="majorHAnsi" w:hAnsiTheme="majorHAnsi" w:cstheme="majorHAnsi"/>
          <w:color w:val="000000" w:themeColor="text1"/>
        </w:rPr>
        <w:t xml:space="preserve"> hundred and sixty four rand and sev</w:t>
      </w:r>
      <w:r w:rsidR="000F23E2">
        <w:rPr>
          <w:rFonts w:asciiTheme="majorHAnsi" w:hAnsiTheme="majorHAnsi" w:cstheme="majorHAnsi"/>
          <w:color w:val="000000" w:themeColor="text1"/>
        </w:rPr>
        <w:t>e</w:t>
      </w:r>
      <w:r w:rsidR="00EE56A9">
        <w:rPr>
          <w:rFonts w:asciiTheme="majorHAnsi" w:hAnsiTheme="majorHAnsi" w:cstheme="majorHAnsi"/>
          <w:color w:val="000000" w:themeColor="text1"/>
        </w:rPr>
        <w:t>nty cents) to the Plaintiff.</w:t>
      </w:r>
    </w:p>
    <w:p w14:paraId="0EDCD9F6" w14:textId="2A5BA7F0" w:rsidR="00615614" w:rsidRDefault="00EE56A9" w:rsidP="000F23E2">
      <w:pPr>
        <w:tabs>
          <w:tab w:val="left" w:pos="1276"/>
        </w:tabs>
        <w:spacing w:line="360" w:lineRule="auto"/>
        <w:ind w:left="1276" w:hanging="567"/>
        <w:jc w:val="both"/>
        <w:rPr>
          <w:rFonts w:asciiTheme="majorHAnsi" w:hAnsiTheme="majorHAnsi" w:cstheme="majorHAnsi"/>
          <w:color w:val="000000" w:themeColor="text1"/>
        </w:rPr>
      </w:pPr>
      <w:r>
        <w:rPr>
          <w:rFonts w:asciiTheme="majorHAnsi" w:hAnsiTheme="majorHAnsi" w:cstheme="majorHAnsi"/>
          <w:color w:val="000000" w:themeColor="text1"/>
        </w:rPr>
        <w:t>4.</w:t>
      </w:r>
      <w:r>
        <w:rPr>
          <w:rFonts w:asciiTheme="majorHAnsi" w:hAnsiTheme="majorHAnsi" w:cstheme="majorHAnsi"/>
          <w:color w:val="000000" w:themeColor="text1"/>
        </w:rPr>
        <w:tab/>
        <w:t xml:space="preserve">Defendant pays interests on the amount of R1 986 964.70 at a variable rate </w:t>
      </w:r>
      <w:r w:rsidR="00615614">
        <w:rPr>
          <w:rFonts w:asciiTheme="majorHAnsi" w:hAnsiTheme="majorHAnsi" w:cstheme="majorHAnsi"/>
          <w:color w:val="000000" w:themeColor="text1"/>
        </w:rPr>
        <w:t>of 10.15% from 15 October 2019</w:t>
      </w:r>
      <w:r w:rsidR="004307FA">
        <w:rPr>
          <w:rFonts w:asciiTheme="majorHAnsi" w:hAnsiTheme="majorHAnsi" w:cstheme="majorHAnsi"/>
          <w:color w:val="000000" w:themeColor="text1"/>
        </w:rPr>
        <w:t>,</w:t>
      </w:r>
      <w:r w:rsidR="00615614">
        <w:rPr>
          <w:rFonts w:asciiTheme="majorHAnsi" w:hAnsiTheme="majorHAnsi" w:cstheme="majorHAnsi"/>
          <w:color w:val="000000" w:themeColor="text1"/>
        </w:rPr>
        <w:t xml:space="preserve"> nominal per annum, calculated daily and compounded monthly, to date of payment (both days inclusive</w:t>
      </w:r>
      <w:r w:rsidR="000F23E2">
        <w:rPr>
          <w:rFonts w:asciiTheme="majorHAnsi" w:hAnsiTheme="majorHAnsi" w:cstheme="majorHAnsi"/>
          <w:color w:val="000000" w:themeColor="text1"/>
        </w:rPr>
        <w:t>)</w:t>
      </w:r>
      <w:r w:rsidR="00615614">
        <w:rPr>
          <w:rFonts w:asciiTheme="majorHAnsi" w:hAnsiTheme="majorHAnsi" w:cstheme="majorHAnsi"/>
          <w:color w:val="000000" w:themeColor="text1"/>
        </w:rPr>
        <w:t>, which rate is linked to the prime interest rate on over</w:t>
      </w:r>
      <w:r w:rsidR="000F23E2">
        <w:rPr>
          <w:rFonts w:asciiTheme="majorHAnsi" w:hAnsiTheme="majorHAnsi" w:cstheme="majorHAnsi"/>
          <w:color w:val="000000" w:themeColor="text1"/>
        </w:rPr>
        <w:t>d</w:t>
      </w:r>
      <w:r w:rsidR="00615614">
        <w:rPr>
          <w:rFonts w:asciiTheme="majorHAnsi" w:hAnsiTheme="majorHAnsi" w:cstheme="majorHAnsi"/>
          <w:color w:val="000000" w:themeColor="text1"/>
        </w:rPr>
        <w:t>rafts of the Plaintiff</w:t>
      </w:r>
      <w:r w:rsidR="000F23E2">
        <w:rPr>
          <w:rFonts w:asciiTheme="majorHAnsi" w:hAnsiTheme="majorHAnsi" w:cstheme="majorHAnsi"/>
          <w:color w:val="000000" w:themeColor="text1"/>
        </w:rPr>
        <w:t>.</w:t>
      </w:r>
    </w:p>
    <w:p w14:paraId="604B7F3D" w14:textId="27D02218" w:rsidR="00250F6C" w:rsidRPr="00EC2758" w:rsidRDefault="00615614" w:rsidP="00EC2758">
      <w:pPr>
        <w:tabs>
          <w:tab w:val="left" w:pos="1276"/>
        </w:tabs>
        <w:spacing w:line="360" w:lineRule="auto"/>
        <w:ind w:left="1276" w:hanging="567"/>
        <w:jc w:val="both"/>
        <w:rPr>
          <w:rFonts w:asciiTheme="majorHAnsi" w:hAnsiTheme="majorHAnsi" w:cstheme="majorHAnsi"/>
          <w:color w:val="000000" w:themeColor="text1"/>
        </w:rPr>
      </w:pPr>
      <w:r>
        <w:rPr>
          <w:rFonts w:asciiTheme="majorHAnsi" w:hAnsiTheme="majorHAnsi" w:cstheme="majorHAnsi"/>
          <w:color w:val="000000" w:themeColor="text1"/>
        </w:rPr>
        <w:t>5.</w:t>
      </w:r>
      <w:r>
        <w:rPr>
          <w:rFonts w:asciiTheme="majorHAnsi" w:hAnsiTheme="majorHAnsi" w:cstheme="majorHAnsi"/>
          <w:color w:val="000000" w:themeColor="text1"/>
        </w:rPr>
        <w:tab/>
      </w:r>
      <w:r w:rsidR="000F23E2">
        <w:rPr>
          <w:rFonts w:asciiTheme="majorHAnsi" w:hAnsiTheme="majorHAnsi" w:cstheme="majorHAnsi"/>
          <w:color w:val="000000" w:themeColor="text1"/>
        </w:rPr>
        <w:t>Defendant pays the c</w:t>
      </w:r>
      <w:r>
        <w:rPr>
          <w:rFonts w:asciiTheme="majorHAnsi" w:hAnsiTheme="majorHAnsi" w:cstheme="majorHAnsi"/>
          <w:color w:val="000000" w:themeColor="text1"/>
        </w:rPr>
        <w:t>osts of suit</w:t>
      </w:r>
      <w:r w:rsidR="000F23E2">
        <w:rPr>
          <w:rFonts w:asciiTheme="majorHAnsi" w:hAnsiTheme="majorHAnsi" w:cstheme="majorHAnsi"/>
          <w:color w:val="000000" w:themeColor="text1"/>
        </w:rPr>
        <w:t xml:space="preserve"> on the scale as between attorney and client.</w:t>
      </w:r>
    </w:p>
    <w:p w14:paraId="34CBC2F0" w14:textId="77777777" w:rsidR="00F366EF" w:rsidRDefault="00F366EF" w:rsidP="00EC2758">
      <w:pPr>
        <w:pStyle w:val="BodyTextIndent"/>
        <w:widowControl w:val="0"/>
        <w:tabs>
          <w:tab w:val="left" w:pos="709"/>
        </w:tabs>
        <w:rPr>
          <w:rFonts w:asciiTheme="majorHAnsi" w:hAnsiTheme="majorHAnsi" w:cstheme="majorHAnsi"/>
          <w:color w:val="000000" w:themeColor="text1"/>
          <w:sz w:val="20"/>
          <w:szCs w:val="20"/>
        </w:rPr>
      </w:pPr>
    </w:p>
    <w:p w14:paraId="5BA615F9" w14:textId="77777777" w:rsidR="00F366EF" w:rsidRPr="00EC2758" w:rsidRDefault="00F366EF" w:rsidP="00EC2758">
      <w:pPr>
        <w:pStyle w:val="BodyTextIndent"/>
        <w:widowControl w:val="0"/>
        <w:tabs>
          <w:tab w:val="left" w:pos="709"/>
        </w:tabs>
        <w:rPr>
          <w:rFonts w:asciiTheme="majorHAnsi" w:hAnsiTheme="majorHAnsi" w:cstheme="majorHAnsi"/>
          <w:color w:val="000000" w:themeColor="text1"/>
          <w:sz w:val="20"/>
          <w:szCs w:val="20"/>
        </w:rPr>
      </w:pPr>
    </w:p>
    <w:p w14:paraId="28CE62AE" w14:textId="77777777" w:rsidR="00B174F6" w:rsidRPr="00EC2758" w:rsidRDefault="00B174F6" w:rsidP="00EC2758">
      <w:pPr>
        <w:pStyle w:val="BodyTextIndent"/>
        <w:widowControl w:val="0"/>
        <w:tabs>
          <w:tab w:val="left" w:pos="709"/>
        </w:tabs>
        <w:jc w:val="right"/>
        <w:rPr>
          <w:rFonts w:asciiTheme="majorHAnsi" w:hAnsiTheme="majorHAnsi" w:cstheme="majorHAnsi"/>
          <w:color w:val="000000" w:themeColor="text1"/>
        </w:rPr>
      </w:pPr>
      <w:r w:rsidRPr="00EC2758">
        <w:rPr>
          <w:rFonts w:asciiTheme="majorHAnsi" w:hAnsiTheme="majorHAnsi" w:cstheme="majorHAnsi"/>
          <w:color w:val="000000" w:themeColor="text1"/>
        </w:rPr>
        <w:t>________________________</w:t>
      </w:r>
    </w:p>
    <w:p w14:paraId="10AC6B2E" w14:textId="77777777" w:rsidR="00B174F6" w:rsidRDefault="00B174F6" w:rsidP="00EC2758">
      <w:pPr>
        <w:pStyle w:val="BodyTextIndent"/>
        <w:widowControl w:val="0"/>
        <w:tabs>
          <w:tab w:val="left" w:pos="709"/>
        </w:tabs>
        <w:jc w:val="right"/>
        <w:rPr>
          <w:rFonts w:asciiTheme="majorHAnsi" w:hAnsiTheme="majorHAnsi" w:cstheme="majorHAnsi"/>
          <w:b/>
          <w:color w:val="000000" w:themeColor="text1"/>
        </w:rPr>
      </w:pPr>
      <w:r w:rsidRPr="00EC2758">
        <w:rPr>
          <w:rFonts w:asciiTheme="majorHAnsi" w:hAnsiTheme="majorHAnsi" w:cstheme="majorHAnsi"/>
          <w:b/>
          <w:color w:val="000000" w:themeColor="text1"/>
        </w:rPr>
        <w:t>P R CRONJé, AJ</w:t>
      </w:r>
    </w:p>
    <w:p w14:paraId="328AA8D9" w14:textId="77777777" w:rsidR="00965D42" w:rsidRDefault="00965D42" w:rsidP="00EC2758">
      <w:pPr>
        <w:pStyle w:val="BodyTextIndent"/>
        <w:widowControl w:val="0"/>
        <w:tabs>
          <w:tab w:val="left" w:pos="709"/>
        </w:tabs>
        <w:jc w:val="right"/>
        <w:rPr>
          <w:rFonts w:asciiTheme="majorHAnsi" w:hAnsiTheme="majorHAnsi" w:cstheme="majorHAnsi"/>
          <w:b/>
          <w:color w:val="000000" w:themeColor="text1"/>
        </w:rPr>
      </w:pPr>
    </w:p>
    <w:p w14:paraId="0BC094C5" w14:textId="596AD9B7" w:rsidR="00F366EF" w:rsidRDefault="00965D42" w:rsidP="00965D42">
      <w:pPr>
        <w:pStyle w:val="BodyTextIndent"/>
        <w:widowControl w:val="0"/>
        <w:tabs>
          <w:tab w:val="left" w:pos="709"/>
        </w:tabs>
        <w:jc w:val="left"/>
        <w:rPr>
          <w:rFonts w:asciiTheme="majorHAnsi" w:hAnsiTheme="majorHAnsi" w:cstheme="majorHAnsi"/>
          <w:bCs/>
          <w:color w:val="000000" w:themeColor="text1"/>
        </w:rPr>
      </w:pPr>
      <w:r w:rsidRPr="00965D42">
        <w:rPr>
          <w:rFonts w:asciiTheme="majorHAnsi" w:hAnsiTheme="majorHAnsi" w:cstheme="majorHAnsi"/>
          <w:bCs/>
          <w:color w:val="000000" w:themeColor="text1"/>
        </w:rPr>
        <w:t>On behalf of the Plaintiff:</w:t>
      </w:r>
      <w:r w:rsidR="00A5618B">
        <w:rPr>
          <w:rFonts w:asciiTheme="majorHAnsi" w:hAnsiTheme="majorHAnsi" w:cstheme="majorHAnsi"/>
          <w:bCs/>
          <w:color w:val="000000" w:themeColor="text1"/>
        </w:rPr>
        <w:tab/>
        <w:t>Adv</w:t>
      </w:r>
      <w:r w:rsidR="00F366EF">
        <w:rPr>
          <w:rFonts w:asciiTheme="majorHAnsi" w:hAnsiTheme="majorHAnsi" w:cstheme="majorHAnsi"/>
          <w:bCs/>
          <w:color w:val="000000" w:themeColor="text1"/>
        </w:rPr>
        <w:t xml:space="preserve"> H J Van Der Merwe</w:t>
      </w:r>
    </w:p>
    <w:p w14:paraId="5F2A2993" w14:textId="77777777" w:rsidR="00F366EF" w:rsidRDefault="00F366EF" w:rsidP="00965D42">
      <w:pPr>
        <w:pStyle w:val="BodyTextIndent"/>
        <w:widowControl w:val="0"/>
        <w:tabs>
          <w:tab w:val="left" w:pos="709"/>
        </w:tabs>
        <w:jc w:val="left"/>
        <w:rPr>
          <w:rFonts w:asciiTheme="majorHAnsi" w:hAnsiTheme="majorHAnsi" w:cstheme="majorHAnsi"/>
          <w:bCs/>
          <w:color w:val="000000" w:themeColor="text1"/>
        </w:rPr>
      </w:pP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t>Symington &amp; De Kok</w:t>
      </w:r>
    </w:p>
    <w:p w14:paraId="19D7F90A" w14:textId="36D5FD91" w:rsidR="00965D42" w:rsidRDefault="00F366EF" w:rsidP="00965D42">
      <w:pPr>
        <w:pStyle w:val="BodyTextIndent"/>
        <w:widowControl w:val="0"/>
        <w:tabs>
          <w:tab w:val="left" w:pos="709"/>
        </w:tabs>
        <w:jc w:val="left"/>
        <w:rPr>
          <w:rFonts w:asciiTheme="majorHAnsi" w:hAnsiTheme="majorHAnsi" w:cstheme="majorHAnsi"/>
          <w:bCs/>
          <w:color w:val="000000" w:themeColor="text1"/>
        </w:rPr>
      </w:pP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t>Bloemfontein</w:t>
      </w:r>
      <w:r w:rsidR="00A5618B">
        <w:rPr>
          <w:rFonts w:asciiTheme="majorHAnsi" w:hAnsiTheme="majorHAnsi" w:cstheme="majorHAnsi"/>
          <w:bCs/>
          <w:color w:val="000000" w:themeColor="text1"/>
        </w:rPr>
        <w:t xml:space="preserve"> </w:t>
      </w:r>
    </w:p>
    <w:p w14:paraId="26103ADB" w14:textId="77777777" w:rsidR="00A5618B" w:rsidRDefault="00A5618B" w:rsidP="00965D42">
      <w:pPr>
        <w:pStyle w:val="BodyTextIndent"/>
        <w:widowControl w:val="0"/>
        <w:tabs>
          <w:tab w:val="left" w:pos="709"/>
        </w:tabs>
        <w:jc w:val="left"/>
        <w:rPr>
          <w:rFonts w:asciiTheme="majorHAnsi" w:hAnsiTheme="majorHAnsi" w:cstheme="majorHAnsi"/>
          <w:bCs/>
          <w:color w:val="000000" w:themeColor="text1"/>
        </w:rPr>
      </w:pPr>
    </w:p>
    <w:p w14:paraId="653A6882" w14:textId="364CA973" w:rsidR="00A5618B" w:rsidRDefault="00A5618B" w:rsidP="00965D42">
      <w:pPr>
        <w:pStyle w:val="BodyTextIndent"/>
        <w:widowControl w:val="0"/>
        <w:tabs>
          <w:tab w:val="left" w:pos="709"/>
        </w:tabs>
        <w:jc w:val="left"/>
        <w:rPr>
          <w:rFonts w:asciiTheme="majorHAnsi" w:hAnsiTheme="majorHAnsi" w:cstheme="majorHAnsi"/>
          <w:bCs/>
          <w:color w:val="000000" w:themeColor="text1"/>
        </w:rPr>
      </w:pPr>
      <w:r>
        <w:rPr>
          <w:rFonts w:asciiTheme="majorHAnsi" w:hAnsiTheme="majorHAnsi" w:cstheme="majorHAnsi"/>
          <w:bCs/>
          <w:color w:val="000000" w:themeColor="text1"/>
        </w:rPr>
        <w:t>On behalf of Defendant:</w:t>
      </w:r>
      <w:r>
        <w:rPr>
          <w:rFonts w:asciiTheme="majorHAnsi" w:hAnsiTheme="majorHAnsi" w:cstheme="majorHAnsi"/>
          <w:bCs/>
          <w:color w:val="000000" w:themeColor="text1"/>
        </w:rPr>
        <w:tab/>
        <w:t>Adv M C M Pieterse</w:t>
      </w:r>
    </w:p>
    <w:p w14:paraId="66B41445" w14:textId="744FE742" w:rsidR="00F366EF" w:rsidRDefault="00F366EF" w:rsidP="00965D42">
      <w:pPr>
        <w:pStyle w:val="BodyTextIndent"/>
        <w:widowControl w:val="0"/>
        <w:tabs>
          <w:tab w:val="left" w:pos="709"/>
        </w:tabs>
        <w:jc w:val="left"/>
        <w:rPr>
          <w:rFonts w:asciiTheme="majorHAnsi" w:hAnsiTheme="majorHAnsi" w:cstheme="majorHAnsi"/>
          <w:bCs/>
          <w:color w:val="000000" w:themeColor="text1"/>
        </w:rPr>
      </w:pP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t>Horn &amp; Van Rensburg</w:t>
      </w:r>
    </w:p>
    <w:p w14:paraId="3B90AED1" w14:textId="71A576AF" w:rsidR="00A5618B" w:rsidRPr="00965D42" w:rsidRDefault="00A5618B" w:rsidP="00965D42">
      <w:pPr>
        <w:pStyle w:val="BodyTextIndent"/>
        <w:widowControl w:val="0"/>
        <w:tabs>
          <w:tab w:val="left" w:pos="709"/>
        </w:tabs>
        <w:jc w:val="left"/>
        <w:rPr>
          <w:rFonts w:asciiTheme="majorHAnsi" w:hAnsiTheme="majorHAnsi" w:cstheme="majorHAnsi"/>
          <w:bCs/>
          <w:color w:val="000000" w:themeColor="text1"/>
        </w:rPr>
      </w:pP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sidR="00F366EF">
        <w:rPr>
          <w:rFonts w:asciiTheme="majorHAnsi" w:hAnsiTheme="majorHAnsi" w:cstheme="majorHAnsi"/>
          <w:bCs/>
          <w:color w:val="000000" w:themeColor="text1"/>
        </w:rPr>
        <w:t>Bloemfontein</w:t>
      </w:r>
    </w:p>
    <w:sectPr w:rsidR="00A5618B" w:rsidRPr="00965D42" w:rsidSect="001A7DA6">
      <w:headerReference w:type="default" r:id="rId9"/>
      <w:headerReference w:type="first" r:id="rId10"/>
      <w:pgSz w:w="11907" w:h="16840" w:code="9"/>
      <w:pgMar w:top="2127" w:right="1440" w:bottom="993"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FCCA9" w14:textId="77777777" w:rsidR="00205C21" w:rsidRDefault="00205C21" w:rsidP="00F404A4">
      <w:r>
        <w:separator/>
      </w:r>
    </w:p>
  </w:endnote>
  <w:endnote w:type="continuationSeparator" w:id="0">
    <w:p w14:paraId="54275ADD" w14:textId="77777777" w:rsidR="00205C21" w:rsidRDefault="00205C21"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F88A6" w14:textId="77777777" w:rsidR="00205C21" w:rsidRDefault="00205C21" w:rsidP="00F404A4">
      <w:r>
        <w:separator/>
      </w:r>
    </w:p>
  </w:footnote>
  <w:footnote w:type="continuationSeparator" w:id="0">
    <w:p w14:paraId="4A6F8C95" w14:textId="77777777" w:rsidR="00205C21" w:rsidRDefault="00205C21" w:rsidP="00F404A4">
      <w:r>
        <w:continuationSeparator/>
      </w:r>
    </w:p>
  </w:footnote>
  <w:footnote w:id="1">
    <w:p w14:paraId="1494A6E2" w14:textId="349A990F" w:rsidR="00470FEE" w:rsidRPr="00EC2758" w:rsidRDefault="00470FEE" w:rsidP="00EC2758">
      <w:pPr>
        <w:pStyle w:val="FootnoteText"/>
        <w:spacing w:line="360" w:lineRule="auto"/>
        <w:contextualSpacing/>
        <w:jc w:val="both"/>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w:t>
      </w:r>
      <w:r w:rsidR="00FD3714" w:rsidRPr="00EC2758">
        <w:rPr>
          <w:rFonts w:asciiTheme="majorHAnsi" w:hAnsiTheme="majorHAnsi" w:cstheme="majorHAnsi"/>
          <w:color w:val="000000" w:themeColor="text1"/>
          <w:szCs w:val="22"/>
        </w:rPr>
        <w:t>35 of 2005</w:t>
      </w:r>
    </w:p>
  </w:footnote>
  <w:footnote w:id="2">
    <w:p w14:paraId="7179E126" w14:textId="77777777" w:rsidR="00492C57" w:rsidRPr="00EC2758" w:rsidRDefault="00492C57" w:rsidP="00EC2758">
      <w:pPr>
        <w:pStyle w:val="FootnoteText"/>
        <w:spacing w:line="360" w:lineRule="auto"/>
        <w:contextualSpacing/>
        <w:jc w:val="both"/>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Pleadings, p. 34 - 40</w:t>
      </w:r>
    </w:p>
  </w:footnote>
  <w:footnote w:id="3">
    <w:p w14:paraId="06C05DAA" w14:textId="77777777" w:rsidR="003533A8" w:rsidRPr="00EC2758" w:rsidRDefault="003533A8" w:rsidP="00EC2758">
      <w:pPr>
        <w:pStyle w:val="FootnoteText"/>
        <w:spacing w:line="360" w:lineRule="auto"/>
        <w:contextualSpacing/>
        <w:jc w:val="both"/>
        <w:rPr>
          <w:rFonts w:asciiTheme="majorHAnsi" w:hAnsiTheme="majorHAnsi" w:cstheme="majorHAnsi"/>
          <w:color w:val="000000" w:themeColor="text1"/>
          <w:szCs w:val="22"/>
          <w:lang w:val="en-US"/>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w:t>
      </w:r>
      <w:r w:rsidRPr="00EC2758">
        <w:rPr>
          <w:rFonts w:asciiTheme="majorHAnsi" w:hAnsiTheme="majorHAnsi" w:cstheme="majorHAnsi"/>
          <w:color w:val="000000" w:themeColor="text1"/>
          <w:szCs w:val="22"/>
          <w:lang w:val="en-US"/>
        </w:rPr>
        <w:tab/>
        <w:t>Pleadings, page 54, para 1.1</w:t>
      </w:r>
    </w:p>
  </w:footnote>
  <w:footnote w:id="4">
    <w:p w14:paraId="1CD603B9" w14:textId="77777777" w:rsidR="003533A8" w:rsidRPr="00EC2758" w:rsidRDefault="003533A8" w:rsidP="00EC2758">
      <w:pPr>
        <w:pStyle w:val="FootnoteText"/>
        <w:spacing w:line="360" w:lineRule="auto"/>
        <w:contextualSpacing/>
        <w:jc w:val="both"/>
        <w:rPr>
          <w:rFonts w:asciiTheme="majorHAnsi" w:hAnsiTheme="majorHAnsi" w:cstheme="majorHAnsi"/>
          <w:color w:val="000000" w:themeColor="text1"/>
          <w:szCs w:val="22"/>
          <w:lang w:val="en-US"/>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w:t>
      </w:r>
      <w:r w:rsidRPr="00EC2758">
        <w:rPr>
          <w:rFonts w:asciiTheme="majorHAnsi" w:hAnsiTheme="majorHAnsi" w:cstheme="majorHAnsi"/>
          <w:color w:val="000000" w:themeColor="text1"/>
          <w:szCs w:val="22"/>
          <w:lang w:val="en-US"/>
        </w:rPr>
        <w:tab/>
        <w:t>Pleadings, page 55, para 1.2</w:t>
      </w:r>
    </w:p>
  </w:footnote>
  <w:footnote w:id="5">
    <w:p w14:paraId="4D974618" w14:textId="77777777" w:rsidR="00844A8F" w:rsidRPr="00EC2758" w:rsidRDefault="00844A8F" w:rsidP="00EC2758">
      <w:pPr>
        <w:pStyle w:val="FootnoteText"/>
        <w:spacing w:line="360" w:lineRule="auto"/>
        <w:contextualSpacing/>
        <w:jc w:val="both"/>
        <w:rPr>
          <w:rFonts w:asciiTheme="majorHAnsi" w:hAnsiTheme="majorHAnsi" w:cstheme="majorHAnsi"/>
          <w:color w:val="000000" w:themeColor="text1"/>
          <w:szCs w:val="22"/>
          <w:lang w:val="en-US"/>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w:t>
      </w:r>
      <w:r w:rsidRPr="00EC2758">
        <w:rPr>
          <w:rFonts w:asciiTheme="majorHAnsi" w:hAnsiTheme="majorHAnsi" w:cstheme="majorHAnsi"/>
          <w:color w:val="000000" w:themeColor="text1"/>
          <w:szCs w:val="22"/>
          <w:lang w:val="en-US"/>
        </w:rPr>
        <w:tab/>
        <w:t>Pleadings, p. 68 - 69</w:t>
      </w:r>
    </w:p>
  </w:footnote>
  <w:footnote w:id="6">
    <w:p w14:paraId="59599630" w14:textId="77777777" w:rsidR="003533A8" w:rsidRPr="00EC2758" w:rsidRDefault="003533A8" w:rsidP="00EC2758">
      <w:pPr>
        <w:pStyle w:val="FootnoteText"/>
        <w:spacing w:line="360" w:lineRule="auto"/>
        <w:contextualSpacing/>
        <w:jc w:val="both"/>
        <w:rPr>
          <w:rFonts w:asciiTheme="majorHAnsi" w:hAnsiTheme="majorHAnsi" w:cstheme="majorHAnsi"/>
          <w:color w:val="000000" w:themeColor="text1"/>
          <w:szCs w:val="22"/>
          <w:lang w:val="en-US"/>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w:t>
      </w:r>
      <w:r w:rsidRPr="00EC2758">
        <w:rPr>
          <w:rFonts w:asciiTheme="majorHAnsi" w:hAnsiTheme="majorHAnsi" w:cstheme="majorHAnsi"/>
          <w:color w:val="000000" w:themeColor="text1"/>
          <w:szCs w:val="22"/>
          <w:lang w:val="en-US"/>
        </w:rPr>
        <w:tab/>
        <w:t>Pleadings, page 55, para 1.3</w:t>
      </w:r>
    </w:p>
  </w:footnote>
  <w:footnote w:id="7">
    <w:p w14:paraId="6FABE819" w14:textId="4D643AF9" w:rsidR="003533A8" w:rsidRPr="00EC2758" w:rsidRDefault="003533A8" w:rsidP="00EC2758">
      <w:pPr>
        <w:pStyle w:val="FootnoteText"/>
        <w:spacing w:line="360" w:lineRule="auto"/>
        <w:contextualSpacing/>
        <w:jc w:val="both"/>
        <w:rPr>
          <w:rFonts w:asciiTheme="majorHAnsi" w:hAnsiTheme="majorHAnsi" w:cstheme="majorHAnsi"/>
          <w:color w:val="000000" w:themeColor="text1"/>
          <w:szCs w:val="22"/>
          <w:lang w:val="en-US"/>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w:t>
      </w:r>
      <w:r w:rsidRPr="00EC2758">
        <w:rPr>
          <w:rFonts w:asciiTheme="majorHAnsi" w:hAnsiTheme="majorHAnsi" w:cstheme="majorHAnsi"/>
          <w:color w:val="000000" w:themeColor="text1"/>
          <w:szCs w:val="22"/>
          <w:lang w:val="en-US"/>
        </w:rPr>
        <w:t>Pleadings, page 71 - 72</w:t>
      </w:r>
    </w:p>
  </w:footnote>
  <w:footnote w:id="8">
    <w:p w14:paraId="30F405B6" w14:textId="1693A707" w:rsidR="003533A8" w:rsidRPr="00EC2758" w:rsidRDefault="003533A8" w:rsidP="00EC2758">
      <w:pPr>
        <w:pStyle w:val="FootnoteText"/>
        <w:spacing w:line="360" w:lineRule="auto"/>
        <w:contextualSpacing/>
        <w:jc w:val="both"/>
        <w:rPr>
          <w:rFonts w:asciiTheme="majorHAnsi" w:hAnsiTheme="majorHAnsi" w:cstheme="majorHAnsi"/>
          <w:color w:val="000000" w:themeColor="text1"/>
          <w:szCs w:val="22"/>
          <w:lang w:val="en-US"/>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w:t>
      </w:r>
      <w:r w:rsidRPr="00EC2758">
        <w:rPr>
          <w:rFonts w:asciiTheme="majorHAnsi" w:hAnsiTheme="majorHAnsi" w:cstheme="majorHAnsi"/>
          <w:color w:val="000000" w:themeColor="text1"/>
          <w:szCs w:val="22"/>
          <w:lang w:val="en-US"/>
        </w:rPr>
        <w:t>Pleadings, page 73</w:t>
      </w:r>
    </w:p>
  </w:footnote>
  <w:footnote w:id="9">
    <w:p w14:paraId="05B1E2C4" w14:textId="77777777" w:rsidR="00B503A3" w:rsidRPr="00EC2758" w:rsidRDefault="00B503A3" w:rsidP="00B503A3">
      <w:pPr>
        <w:pStyle w:val="FootnoteText"/>
        <w:spacing w:line="360" w:lineRule="auto"/>
        <w:contextualSpacing/>
        <w:jc w:val="both"/>
        <w:rPr>
          <w:rFonts w:asciiTheme="majorHAnsi" w:hAnsiTheme="majorHAnsi" w:cstheme="majorHAnsi"/>
          <w:color w:val="000000" w:themeColor="text1"/>
          <w:szCs w:val="22"/>
          <w:lang w:val="en-US"/>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w:t>
      </w:r>
      <w:r w:rsidRPr="00EC2758">
        <w:rPr>
          <w:rFonts w:asciiTheme="majorHAnsi" w:hAnsiTheme="majorHAnsi" w:cstheme="majorHAnsi"/>
          <w:color w:val="000000" w:themeColor="text1"/>
          <w:szCs w:val="22"/>
          <w:lang w:val="en-US"/>
        </w:rPr>
        <w:tab/>
        <w:t>Pleadings, p. 66</w:t>
      </w:r>
    </w:p>
  </w:footnote>
  <w:footnote w:id="10">
    <w:p w14:paraId="0A975940" w14:textId="3D8975AB" w:rsidR="00392ABA" w:rsidRPr="00EC2758" w:rsidRDefault="00392ABA" w:rsidP="00EC2758">
      <w:pPr>
        <w:pStyle w:val="FootnoteText"/>
        <w:spacing w:line="360" w:lineRule="auto"/>
        <w:contextualSpacing/>
        <w:jc w:val="both"/>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Pleadings, p. 148, para 5.7</w:t>
      </w:r>
      <w:r w:rsidR="0093679B" w:rsidRPr="00EC2758">
        <w:rPr>
          <w:rFonts w:asciiTheme="majorHAnsi" w:hAnsiTheme="majorHAnsi" w:cstheme="majorHAnsi"/>
          <w:color w:val="000000" w:themeColor="text1"/>
          <w:szCs w:val="22"/>
        </w:rPr>
        <w:t>; p. 149, para 6.2.2</w:t>
      </w:r>
    </w:p>
  </w:footnote>
  <w:footnote w:id="11">
    <w:p w14:paraId="1728A610" w14:textId="0E559FE3" w:rsidR="0078490F" w:rsidRPr="00EC2758" w:rsidRDefault="0078490F" w:rsidP="00EC2758">
      <w:pPr>
        <w:pStyle w:val="FootnoteText"/>
        <w:spacing w:line="360" w:lineRule="auto"/>
        <w:contextualSpacing/>
        <w:jc w:val="both"/>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Pleadings, p. 1</w:t>
      </w:r>
      <w:r w:rsidR="00102E6C" w:rsidRPr="00EC2758">
        <w:rPr>
          <w:rFonts w:asciiTheme="majorHAnsi" w:hAnsiTheme="majorHAnsi" w:cstheme="majorHAnsi"/>
          <w:color w:val="000000" w:themeColor="text1"/>
          <w:szCs w:val="22"/>
        </w:rPr>
        <w:t>50</w:t>
      </w:r>
      <w:r w:rsidRPr="00EC2758">
        <w:rPr>
          <w:rFonts w:asciiTheme="majorHAnsi" w:hAnsiTheme="majorHAnsi" w:cstheme="majorHAnsi"/>
          <w:color w:val="000000" w:themeColor="text1"/>
          <w:szCs w:val="22"/>
        </w:rPr>
        <w:t xml:space="preserve">, para </w:t>
      </w:r>
      <w:r w:rsidR="00102E6C" w:rsidRPr="00EC2758">
        <w:rPr>
          <w:rFonts w:asciiTheme="majorHAnsi" w:hAnsiTheme="majorHAnsi" w:cstheme="majorHAnsi"/>
          <w:color w:val="000000" w:themeColor="text1"/>
          <w:szCs w:val="22"/>
        </w:rPr>
        <w:t>6.2.4</w:t>
      </w:r>
    </w:p>
  </w:footnote>
  <w:footnote w:id="12">
    <w:p w14:paraId="05028DF4" w14:textId="2FCE3905" w:rsidR="00B21118" w:rsidRPr="00EC2758" w:rsidRDefault="00B21118" w:rsidP="00EC2758">
      <w:pPr>
        <w:pStyle w:val="FootnoteText"/>
        <w:spacing w:line="360" w:lineRule="auto"/>
        <w:contextualSpacing/>
        <w:jc w:val="both"/>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Pleadings, p. 37 - 38</w:t>
      </w:r>
    </w:p>
  </w:footnote>
  <w:footnote w:id="13">
    <w:p w14:paraId="747C9D29" w14:textId="4E0651E5" w:rsidR="00B21118" w:rsidRPr="00EC2758" w:rsidRDefault="00B21118" w:rsidP="00EC2758">
      <w:pPr>
        <w:pStyle w:val="FootnoteText"/>
        <w:spacing w:line="360" w:lineRule="auto"/>
        <w:contextualSpacing/>
        <w:jc w:val="both"/>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Pleadings, p. </w:t>
      </w:r>
      <w:r w:rsidR="005C41BD" w:rsidRPr="00EC2758">
        <w:rPr>
          <w:rFonts w:asciiTheme="majorHAnsi" w:hAnsiTheme="majorHAnsi" w:cstheme="majorHAnsi"/>
          <w:color w:val="000000" w:themeColor="text1"/>
          <w:szCs w:val="22"/>
        </w:rPr>
        <w:t>68 - 69</w:t>
      </w:r>
    </w:p>
  </w:footnote>
  <w:footnote w:id="14">
    <w:p w14:paraId="4C052D17" w14:textId="70CE7500" w:rsidR="00F70C7B" w:rsidRPr="00EC2758" w:rsidRDefault="00F70C7B" w:rsidP="00EC2758">
      <w:pPr>
        <w:pStyle w:val="FootnoteText"/>
        <w:spacing w:line="360" w:lineRule="auto"/>
        <w:contextualSpacing/>
        <w:jc w:val="both"/>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Pleadings, p. 61, para 8.3</w:t>
      </w:r>
    </w:p>
  </w:footnote>
  <w:footnote w:id="15">
    <w:p w14:paraId="4B8BA14C" w14:textId="1D82D967" w:rsidR="006F5A84" w:rsidRPr="00EC2758" w:rsidRDefault="006F5A84" w:rsidP="00EC2758">
      <w:pPr>
        <w:pStyle w:val="FootnoteText"/>
        <w:spacing w:line="360" w:lineRule="auto"/>
        <w:contextualSpacing/>
        <w:jc w:val="both"/>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Pleadings, p. 139</w:t>
      </w:r>
    </w:p>
  </w:footnote>
  <w:footnote w:id="16">
    <w:p w14:paraId="446A4699" w14:textId="6883EA44" w:rsidR="00577225" w:rsidRPr="00EC2758" w:rsidRDefault="00577225" w:rsidP="00EC2758">
      <w:pPr>
        <w:pStyle w:val="FootnoteText"/>
        <w:shd w:val="clear" w:color="auto" w:fill="FFFFFF" w:themeFill="background1"/>
        <w:spacing w:line="360" w:lineRule="auto"/>
        <w:contextualSpacing/>
        <w:jc w:val="both"/>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Pleadings, p. 150, para 6.2.3</w:t>
      </w:r>
    </w:p>
  </w:footnote>
  <w:footnote w:id="17">
    <w:p w14:paraId="04A2D350" w14:textId="629E7FDF" w:rsidR="00CB6F4C" w:rsidRPr="00EC2758" w:rsidRDefault="00CB6F4C" w:rsidP="00EC2758">
      <w:pPr>
        <w:pStyle w:val="hit-location"/>
        <w:shd w:val="clear" w:color="auto" w:fill="FFFFFF" w:themeFill="background1"/>
        <w:spacing w:before="0" w:beforeAutospacing="0" w:after="0" w:afterAutospacing="0" w:line="360" w:lineRule="auto"/>
        <w:contextualSpacing/>
        <w:jc w:val="both"/>
        <w:rPr>
          <w:rFonts w:asciiTheme="majorHAnsi" w:hAnsiTheme="majorHAnsi" w:cstheme="majorHAnsi"/>
          <w:color w:val="000000" w:themeColor="text1"/>
          <w:sz w:val="22"/>
          <w:szCs w:val="22"/>
        </w:rPr>
      </w:pPr>
      <w:r w:rsidRPr="00EC2758">
        <w:rPr>
          <w:rStyle w:val="FootnoteReference"/>
          <w:rFonts w:asciiTheme="majorHAnsi" w:hAnsiTheme="majorHAnsi" w:cstheme="majorHAnsi"/>
          <w:color w:val="000000" w:themeColor="text1"/>
          <w:sz w:val="22"/>
          <w:szCs w:val="22"/>
          <w:shd w:val="clear" w:color="auto" w:fill="FFFFFF" w:themeFill="background1"/>
        </w:rPr>
        <w:footnoteRef/>
      </w:r>
      <w:r w:rsidRPr="00EC2758">
        <w:rPr>
          <w:rFonts w:asciiTheme="majorHAnsi" w:hAnsiTheme="majorHAnsi" w:cstheme="majorHAnsi"/>
          <w:color w:val="000000" w:themeColor="text1"/>
          <w:sz w:val="22"/>
          <w:szCs w:val="22"/>
          <w:shd w:val="clear" w:color="auto" w:fill="FFFFFF" w:themeFill="background1"/>
        </w:rPr>
        <w:t xml:space="preserve"> Derek Harms, Civil Procedure in the Superior Courts, Part B High Court</w:t>
      </w:r>
      <w:r w:rsidR="007E214F" w:rsidRPr="00EC2758">
        <w:rPr>
          <w:rFonts w:asciiTheme="majorHAnsi" w:hAnsiTheme="majorHAnsi" w:cstheme="majorHAnsi"/>
          <w:color w:val="000000" w:themeColor="text1"/>
          <w:sz w:val="22"/>
          <w:szCs w:val="22"/>
          <w:shd w:val="clear" w:color="auto" w:fill="FFFFFF" w:themeFill="background1"/>
        </w:rPr>
        <w:t xml:space="preserve"> </w:t>
      </w:r>
      <w:r w:rsidRPr="00EC2758">
        <w:rPr>
          <w:rFonts w:asciiTheme="majorHAnsi" w:hAnsiTheme="majorHAnsi" w:cstheme="majorHAnsi"/>
          <w:color w:val="000000" w:themeColor="text1"/>
          <w:sz w:val="22"/>
          <w:szCs w:val="22"/>
          <w:shd w:val="clear" w:color="auto" w:fill="FFFFFF" w:themeFill="background1"/>
        </w:rPr>
        <w:t>,LexisNexis, February 2023 – para B7.3</w:t>
      </w:r>
      <w:r w:rsidRPr="00EC2758">
        <w:rPr>
          <w:rFonts w:asciiTheme="majorHAnsi" w:hAnsiTheme="majorHAnsi" w:cstheme="majorHAnsi"/>
          <w:color w:val="000000" w:themeColor="text1"/>
          <w:sz w:val="22"/>
          <w:szCs w:val="22"/>
        </w:rPr>
        <w:t> </w:t>
      </w:r>
    </w:p>
  </w:footnote>
  <w:footnote w:id="18">
    <w:p w14:paraId="43A6F6D9" w14:textId="06598B3C" w:rsidR="001C0520" w:rsidRPr="00EC2758" w:rsidRDefault="001C0520" w:rsidP="00EC2758">
      <w:pPr>
        <w:pStyle w:val="FootnoteText"/>
        <w:spacing w:line="360" w:lineRule="auto"/>
        <w:contextualSpacing/>
        <w:jc w:val="both"/>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Pleadings, p. 91, para 5.1.2.1</w:t>
      </w:r>
    </w:p>
  </w:footnote>
  <w:footnote w:id="19">
    <w:p w14:paraId="2D8EB0A6" w14:textId="2E5388EB" w:rsidR="00D573D9" w:rsidRPr="00EC2758" w:rsidRDefault="00D573D9" w:rsidP="00EC2758">
      <w:pPr>
        <w:pStyle w:val="FootnoteText"/>
        <w:spacing w:line="360" w:lineRule="auto"/>
        <w:contextualSpacing/>
        <w:jc w:val="both"/>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Pend: </w:t>
      </w:r>
      <w:r w:rsidRPr="00EC2758">
        <w:rPr>
          <w:rFonts w:asciiTheme="majorHAnsi" w:hAnsiTheme="majorHAnsi" w:cstheme="majorHAnsi"/>
          <w:color w:val="000000" w:themeColor="text1"/>
          <w:szCs w:val="22"/>
          <w:shd w:val="clear" w:color="auto" w:fill="FFFFFF"/>
        </w:rPr>
        <w:t>to </w:t>
      </w:r>
      <w:hyperlink r:id="rId1" w:tooltip="Definition of await" w:history="1">
        <w:r w:rsidRPr="00EC2758">
          <w:rPr>
            <w:rStyle w:val="Hyperlink"/>
            <w:rFonts w:asciiTheme="majorHAnsi" w:eastAsia="Arial" w:hAnsiTheme="majorHAnsi" w:cstheme="majorHAnsi"/>
            <w:color w:val="000000" w:themeColor="text1"/>
            <w:szCs w:val="22"/>
            <w:u w:val="none"/>
            <w:bdr w:val="none" w:sz="0" w:space="0" w:color="auto" w:frame="1"/>
            <w:shd w:val="clear" w:color="auto" w:fill="FFFFFF"/>
          </w:rPr>
          <w:t>await</w:t>
        </w:r>
      </w:hyperlink>
      <w:r w:rsidRPr="00EC2758">
        <w:rPr>
          <w:rFonts w:asciiTheme="majorHAnsi" w:hAnsiTheme="majorHAnsi" w:cstheme="majorHAnsi"/>
          <w:color w:val="000000" w:themeColor="text1"/>
          <w:szCs w:val="22"/>
          <w:shd w:val="clear" w:color="auto" w:fill="FFFFFF"/>
        </w:rPr>
        <w:t> </w:t>
      </w:r>
      <w:hyperlink r:id="rId2" w:tooltip="Definition of judgment" w:history="1">
        <w:r w:rsidRPr="00EC2758">
          <w:rPr>
            <w:rStyle w:val="Hyperlink"/>
            <w:rFonts w:asciiTheme="majorHAnsi" w:eastAsia="Arial" w:hAnsiTheme="majorHAnsi" w:cstheme="majorHAnsi"/>
            <w:color w:val="000000" w:themeColor="text1"/>
            <w:szCs w:val="22"/>
            <w:u w:val="none"/>
            <w:bdr w:val="none" w:sz="0" w:space="0" w:color="auto" w:frame="1"/>
            <w:shd w:val="clear" w:color="auto" w:fill="FFFFFF"/>
          </w:rPr>
          <w:t>judgment</w:t>
        </w:r>
      </w:hyperlink>
      <w:r w:rsidRPr="00EC2758">
        <w:rPr>
          <w:rFonts w:asciiTheme="majorHAnsi" w:hAnsiTheme="majorHAnsi" w:cstheme="majorHAnsi"/>
          <w:color w:val="000000" w:themeColor="text1"/>
          <w:szCs w:val="22"/>
          <w:shd w:val="clear" w:color="auto" w:fill="FFFFFF"/>
        </w:rPr>
        <w:t> or </w:t>
      </w:r>
      <w:hyperlink r:id="rId3" w:tooltip="Definition of settlement" w:history="1">
        <w:r w:rsidRPr="00EC2758">
          <w:rPr>
            <w:rStyle w:val="Hyperlink"/>
            <w:rFonts w:asciiTheme="majorHAnsi" w:eastAsia="Arial" w:hAnsiTheme="majorHAnsi" w:cstheme="majorHAnsi"/>
            <w:color w:val="000000" w:themeColor="text1"/>
            <w:szCs w:val="22"/>
            <w:u w:val="none"/>
            <w:bdr w:val="none" w:sz="0" w:space="0" w:color="auto" w:frame="1"/>
            <w:shd w:val="clear" w:color="auto" w:fill="FFFFFF"/>
          </w:rPr>
          <w:t>settlement</w:t>
        </w:r>
      </w:hyperlink>
      <w:r w:rsidRPr="00EC2758">
        <w:rPr>
          <w:rFonts w:asciiTheme="majorHAnsi" w:hAnsiTheme="majorHAnsi" w:cstheme="majorHAnsi"/>
          <w:color w:val="000000" w:themeColor="text1"/>
          <w:szCs w:val="22"/>
        </w:rPr>
        <w:t xml:space="preserve"> - </w:t>
      </w:r>
      <w:hyperlink r:id="rId4" w:history="1">
        <w:r w:rsidRPr="00EC2758">
          <w:rPr>
            <w:rStyle w:val="Hyperlink"/>
            <w:rFonts w:asciiTheme="majorHAnsi" w:eastAsia="Arial" w:hAnsiTheme="majorHAnsi" w:cstheme="majorHAnsi"/>
            <w:color w:val="000000" w:themeColor="text1"/>
            <w:szCs w:val="22"/>
          </w:rPr>
          <w:t>Pend definition and meaning | Collins English Dictionary (collinsdictionary.com)</w:t>
        </w:r>
      </w:hyperlink>
    </w:p>
  </w:footnote>
  <w:footnote w:id="20">
    <w:p w14:paraId="278395F4" w14:textId="36B25C2D" w:rsidR="003533A8" w:rsidRPr="00EC2758" w:rsidRDefault="003533A8" w:rsidP="00EC2758">
      <w:pPr>
        <w:pStyle w:val="FootnoteText"/>
        <w:spacing w:line="360" w:lineRule="auto"/>
        <w:contextualSpacing/>
        <w:jc w:val="both"/>
        <w:rPr>
          <w:rFonts w:asciiTheme="majorHAnsi" w:hAnsiTheme="majorHAnsi" w:cstheme="majorHAnsi"/>
          <w:color w:val="000000" w:themeColor="text1"/>
          <w:szCs w:val="22"/>
          <w:lang w:val="en-US"/>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w:t>
      </w:r>
      <w:r w:rsidRPr="00EC2758">
        <w:rPr>
          <w:rFonts w:asciiTheme="majorHAnsi" w:hAnsiTheme="majorHAnsi" w:cstheme="majorHAnsi"/>
          <w:color w:val="000000" w:themeColor="text1"/>
          <w:szCs w:val="22"/>
          <w:lang w:val="en-US"/>
        </w:rPr>
        <w:t>Pleadings, page 60, para 7</w:t>
      </w:r>
    </w:p>
  </w:footnote>
  <w:footnote w:id="21">
    <w:p w14:paraId="7E1C8149" w14:textId="7386F101" w:rsidR="003533A8" w:rsidRPr="00EC2758" w:rsidRDefault="003533A8" w:rsidP="00EC2758">
      <w:pPr>
        <w:pStyle w:val="FootnoteText"/>
        <w:spacing w:line="360" w:lineRule="auto"/>
        <w:contextualSpacing/>
        <w:jc w:val="both"/>
        <w:rPr>
          <w:rFonts w:asciiTheme="majorHAnsi" w:hAnsiTheme="majorHAnsi" w:cstheme="majorHAnsi"/>
          <w:color w:val="000000" w:themeColor="text1"/>
          <w:szCs w:val="22"/>
          <w:lang w:val="en-US"/>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w:t>
      </w:r>
      <w:r w:rsidRPr="00EC2758">
        <w:rPr>
          <w:rFonts w:asciiTheme="majorHAnsi" w:hAnsiTheme="majorHAnsi" w:cstheme="majorHAnsi"/>
          <w:color w:val="000000" w:themeColor="text1"/>
          <w:szCs w:val="22"/>
          <w:lang w:val="en-US"/>
        </w:rPr>
        <w:t>Pleadings, page 19, Clause 2.9 – 2.10</w:t>
      </w:r>
    </w:p>
  </w:footnote>
  <w:footnote w:id="22">
    <w:p w14:paraId="2698D0F2" w14:textId="1AD89838" w:rsidR="003533A8" w:rsidRPr="00EC2758" w:rsidRDefault="003533A8" w:rsidP="00EC2758">
      <w:pPr>
        <w:pStyle w:val="FootnoteText"/>
        <w:spacing w:line="360" w:lineRule="auto"/>
        <w:contextualSpacing/>
        <w:jc w:val="both"/>
        <w:rPr>
          <w:rFonts w:asciiTheme="majorHAnsi" w:hAnsiTheme="majorHAnsi" w:cstheme="majorHAnsi"/>
          <w:color w:val="000000" w:themeColor="text1"/>
          <w:szCs w:val="22"/>
          <w:lang w:val="en-US"/>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w:t>
      </w:r>
      <w:r w:rsidRPr="00EC2758">
        <w:rPr>
          <w:rFonts w:asciiTheme="majorHAnsi" w:hAnsiTheme="majorHAnsi" w:cstheme="majorHAnsi"/>
          <w:color w:val="000000" w:themeColor="text1"/>
          <w:szCs w:val="22"/>
          <w:lang w:val="en-US"/>
        </w:rPr>
        <w:t>Pleadings, page 31</w:t>
      </w:r>
    </w:p>
  </w:footnote>
  <w:footnote w:id="23">
    <w:p w14:paraId="4F949E78" w14:textId="025462B5" w:rsidR="003533A8" w:rsidRPr="00EC2758" w:rsidRDefault="003533A8" w:rsidP="00EC2758">
      <w:pPr>
        <w:pStyle w:val="FootnoteText"/>
        <w:spacing w:line="360" w:lineRule="auto"/>
        <w:contextualSpacing/>
        <w:jc w:val="both"/>
        <w:rPr>
          <w:rFonts w:asciiTheme="majorHAnsi" w:hAnsiTheme="majorHAnsi" w:cstheme="majorHAnsi"/>
          <w:color w:val="000000" w:themeColor="text1"/>
          <w:szCs w:val="22"/>
          <w:lang w:val="en-US"/>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w:t>
      </w:r>
      <w:r w:rsidRPr="00EC2758">
        <w:rPr>
          <w:rFonts w:asciiTheme="majorHAnsi" w:hAnsiTheme="majorHAnsi" w:cstheme="majorHAnsi"/>
          <w:color w:val="000000" w:themeColor="text1"/>
          <w:szCs w:val="22"/>
          <w:lang w:val="en-US"/>
        </w:rPr>
        <w:t>Pleadings, page 60, para 7.2</w:t>
      </w:r>
    </w:p>
  </w:footnote>
  <w:footnote w:id="24">
    <w:p w14:paraId="1390312C" w14:textId="045BDD0E" w:rsidR="003533A8" w:rsidRPr="00EC2758" w:rsidRDefault="003533A8" w:rsidP="00EC2758">
      <w:pPr>
        <w:pStyle w:val="FootnoteText"/>
        <w:spacing w:line="360" w:lineRule="auto"/>
        <w:contextualSpacing/>
        <w:jc w:val="both"/>
        <w:rPr>
          <w:rFonts w:asciiTheme="majorHAnsi" w:hAnsiTheme="majorHAnsi" w:cstheme="majorHAnsi"/>
          <w:color w:val="000000" w:themeColor="text1"/>
          <w:szCs w:val="22"/>
          <w:lang w:val="en-US"/>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w:t>
      </w:r>
      <w:r w:rsidRPr="00EC2758">
        <w:rPr>
          <w:rFonts w:asciiTheme="majorHAnsi" w:hAnsiTheme="majorHAnsi" w:cstheme="majorHAnsi"/>
          <w:color w:val="000000" w:themeColor="text1"/>
          <w:szCs w:val="22"/>
          <w:lang w:val="en-US"/>
        </w:rPr>
        <w:t>Pleadings, page 61, para 7.5</w:t>
      </w:r>
    </w:p>
  </w:footnote>
  <w:footnote w:id="25">
    <w:p w14:paraId="1DBB14B7" w14:textId="3890F0C9" w:rsidR="003533A8" w:rsidRPr="00EC2758" w:rsidRDefault="003533A8" w:rsidP="00EC2758">
      <w:pPr>
        <w:pStyle w:val="FootnoteText"/>
        <w:spacing w:line="360" w:lineRule="auto"/>
        <w:contextualSpacing/>
        <w:jc w:val="both"/>
        <w:rPr>
          <w:rFonts w:asciiTheme="majorHAnsi" w:hAnsiTheme="majorHAnsi" w:cstheme="majorHAnsi"/>
          <w:color w:val="000000" w:themeColor="text1"/>
          <w:szCs w:val="22"/>
          <w:u w:val="single"/>
          <w:lang w:val="en-US"/>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w:t>
      </w:r>
      <w:r w:rsidR="00EC40A8" w:rsidRPr="00EC2758">
        <w:rPr>
          <w:rFonts w:asciiTheme="majorHAnsi" w:hAnsiTheme="majorHAnsi" w:cstheme="majorHAnsi"/>
          <w:i/>
          <w:iCs/>
          <w:color w:val="000000" w:themeColor="text1"/>
          <w:szCs w:val="22"/>
        </w:rPr>
        <w:t>Jili v Firstrand Bank Ltd</w:t>
      </w:r>
      <w:r w:rsidR="00EC40A8" w:rsidRPr="00EC2758">
        <w:rPr>
          <w:rFonts w:asciiTheme="majorHAnsi" w:hAnsiTheme="majorHAnsi" w:cstheme="majorHAnsi"/>
          <w:color w:val="000000" w:themeColor="text1"/>
          <w:szCs w:val="22"/>
        </w:rPr>
        <w:t xml:space="preserve"> (763/13) [2014] ZASCA 183 (26 November 2014)</w:t>
      </w:r>
      <w:r w:rsidR="00E23732" w:rsidRPr="00EC2758">
        <w:rPr>
          <w:rFonts w:asciiTheme="majorHAnsi" w:hAnsiTheme="majorHAnsi" w:cstheme="majorHAnsi"/>
          <w:color w:val="000000" w:themeColor="text1"/>
          <w:szCs w:val="22"/>
        </w:rPr>
        <w:t xml:space="preserve"> para [14]</w:t>
      </w:r>
      <w:r w:rsidR="008F51A8" w:rsidRPr="00EC2758">
        <w:rPr>
          <w:rFonts w:asciiTheme="majorHAnsi" w:hAnsiTheme="majorHAnsi" w:cstheme="majorHAnsi"/>
          <w:color w:val="000000" w:themeColor="text1"/>
          <w:szCs w:val="22"/>
        </w:rPr>
        <w:t xml:space="preserve">; </w:t>
      </w:r>
      <w:r w:rsidR="008F51A8" w:rsidRPr="00EC2758">
        <w:rPr>
          <w:rFonts w:asciiTheme="majorHAnsi" w:hAnsiTheme="majorHAnsi" w:cstheme="majorHAnsi"/>
          <w:i/>
          <w:iCs/>
          <w:color w:val="000000" w:themeColor="text1"/>
          <w:szCs w:val="22"/>
          <w:shd w:val="clear" w:color="auto" w:fill="FFFFFF"/>
        </w:rPr>
        <w:t>Breitenbach v Fiat SA (Edms) Bpk </w:t>
      </w:r>
      <w:r w:rsidR="008F51A8" w:rsidRPr="00EC2758">
        <w:rPr>
          <w:rFonts w:asciiTheme="majorHAnsi" w:hAnsiTheme="majorHAnsi" w:cstheme="majorHAnsi"/>
          <w:color w:val="000000" w:themeColor="text1"/>
          <w:szCs w:val="22"/>
        </w:rPr>
        <w:t>1976 (2) SA 226</w:t>
      </w:r>
      <w:r w:rsidR="008F51A8" w:rsidRPr="00EC2758">
        <w:rPr>
          <w:rFonts w:asciiTheme="majorHAnsi" w:hAnsiTheme="majorHAnsi" w:cstheme="majorHAnsi"/>
          <w:color w:val="000000" w:themeColor="text1"/>
          <w:szCs w:val="22"/>
          <w:shd w:val="clear" w:color="auto" w:fill="FFFFFF"/>
        </w:rPr>
        <w:t> (T)</w:t>
      </w:r>
    </w:p>
  </w:footnote>
  <w:footnote w:id="26">
    <w:p w14:paraId="5FD1C594" w14:textId="6FD4D800" w:rsidR="006B20C8" w:rsidRPr="00EC2758" w:rsidRDefault="006B20C8" w:rsidP="00EC2758">
      <w:pPr>
        <w:pStyle w:val="FootnoteText"/>
        <w:spacing w:line="360" w:lineRule="auto"/>
        <w:contextualSpacing/>
        <w:jc w:val="both"/>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(H264/2019) [2022] ZAWCHC 9 (7 February 2022)</w:t>
      </w:r>
    </w:p>
  </w:footnote>
  <w:footnote w:id="27">
    <w:p w14:paraId="6A0B2D4D" w14:textId="28E66480" w:rsidR="00B44E6F" w:rsidRPr="00EC2758" w:rsidRDefault="00B44E6F" w:rsidP="00EC2758">
      <w:pPr>
        <w:pStyle w:val="FootnoteText"/>
        <w:spacing w:line="360" w:lineRule="auto"/>
        <w:contextualSpacing/>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Pleadings, p. 54, para 1.1</w:t>
      </w:r>
    </w:p>
  </w:footnote>
  <w:footnote w:id="28">
    <w:p w14:paraId="6DF39902" w14:textId="21ED88BD" w:rsidR="00807D3A" w:rsidRPr="00EC2758" w:rsidRDefault="00807D3A" w:rsidP="00EC2758">
      <w:pPr>
        <w:pStyle w:val="FootnoteText"/>
        <w:spacing w:line="360" w:lineRule="auto"/>
        <w:contextualSpacing/>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Pleadings, p. 55, para 1.6</w:t>
      </w:r>
    </w:p>
  </w:footnote>
  <w:footnote w:id="29">
    <w:p w14:paraId="71B827F9" w14:textId="5E0A3AF1" w:rsidR="0011160F" w:rsidRPr="00EC2758" w:rsidRDefault="0011160F" w:rsidP="00EC2758">
      <w:pPr>
        <w:pStyle w:val="FootnoteText"/>
        <w:spacing w:line="360" w:lineRule="auto"/>
        <w:contextualSpacing/>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Pleadings, p. 71 – 72; See also: p. 73</w:t>
      </w:r>
    </w:p>
  </w:footnote>
  <w:footnote w:id="30">
    <w:p w14:paraId="4498B013" w14:textId="4B64E243" w:rsidR="00474CAD" w:rsidRPr="00EC2758" w:rsidRDefault="00474CAD" w:rsidP="00EC2758">
      <w:pPr>
        <w:pStyle w:val="FootnoteText"/>
        <w:spacing w:line="360" w:lineRule="auto"/>
        <w:contextualSpacing/>
        <w:jc w:val="both"/>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(A338/2018, 22470/2015) [2019] ZAWCHC 53 (10 May 2019)</w:t>
      </w:r>
    </w:p>
  </w:footnote>
  <w:footnote w:id="31">
    <w:p w14:paraId="2A682332" w14:textId="442565EF" w:rsidR="00D77BFD" w:rsidRPr="00EC2758" w:rsidRDefault="00D77BFD" w:rsidP="00EC2758">
      <w:pPr>
        <w:pStyle w:val="Heading2"/>
        <w:shd w:val="clear" w:color="auto" w:fill="FFFFFF"/>
        <w:spacing w:before="0" w:line="360" w:lineRule="auto"/>
        <w:contextualSpacing/>
        <w:jc w:val="both"/>
        <w:rPr>
          <w:rFonts w:cstheme="majorHAnsi"/>
          <w:color w:val="000000" w:themeColor="text1"/>
          <w:sz w:val="22"/>
          <w:szCs w:val="22"/>
        </w:rPr>
      </w:pPr>
      <w:r w:rsidRPr="00EC2758">
        <w:rPr>
          <w:rStyle w:val="FootnoteReference"/>
          <w:rFonts w:cstheme="majorHAnsi"/>
          <w:color w:val="000000" w:themeColor="text1"/>
          <w:sz w:val="22"/>
          <w:szCs w:val="22"/>
        </w:rPr>
        <w:footnoteRef/>
      </w:r>
      <w:r w:rsidRPr="00EC2758">
        <w:rPr>
          <w:rFonts w:cstheme="majorHAnsi"/>
          <w:color w:val="000000" w:themeColor="text1"/>
          <w:sz w:val="22"/>
          <w:szCs w:val="22"/>
        </w:rPr>
        <w:t xml:space="preserve"> See</w:t>
      </w:r>
      <w:r w:rsidR="00EC00C2" w:rsidRPr="00EC2758">
        <w:rPr>
          <w:rFonts w:cstheme="majorHAnsi"/>
          <w:color w:val="000000" w:themeColor="text1"/>
          <w:sz w:val="22"/>
          <w:szCs w:val="22"/>
        </w:rPr>
        <w:t xml:space="preserve"> also</w:t>
      </w:r>
      <w:r w:rsidRPr="00EC2758">
        <w:rPr>
          <w:rFonts w:cstheme="majorHAnsi"/>
          <w:color w:val="000000" w:themeColor="text1"/>
          <w:sz w:val="22"/>
          <w:szCs w:val="22"/>
        </w:rPr>
        <w:t xml:space="preserve">: </w:t>
      </w:r>
      <w:r w:rsidRPr="00EC2758">
        <w:rPr>
          <w:rFonts w:cstheme="majorHAnsi"/>
          <w:i/>
          <w:iCs/>
          <w:color w:val="000000" w:themeColor="text1"/>
          <w:sz w:val="22"/>
          <w:szCs w:val="22"/>
        </w:rPr>
        <w:t>Kaap-Vaal Trust (Pty) Ltd v Speedy Brick &amp; Sand CC</w:t>
      </w:r>
      <w:r w:rsidRPr="00EC2758">
        <w:rPr>
          <w:rFonts w:cstheme="majorHAnsi"/>
          <w:color w:val="000000" w:themeColor="text1"/>
          <w:sz w:val="22"/>
          <w:szCs w:val="22"/>
        </w:rPr>
        <w:t xml:space="preserve"> (23143/2020) [2021] ZAGPPHC 668 (18 October 2021)</w:t>
      </w:r>
    </w:p>
    <w:p w14:paraId="799F095D" w14:textId="781B081B" w:rsidR="00D77BFD" w:rsidRPr="00EC2758" w:rsidRDefault="00D77BFD" w:rsidP="00EC2758">
      <w:pPr>
        <w:pStyle w:val="FootnoteText"/>
        <w:spacing w:line="360" w:lineRule="auto"/>
        <w:contextualSpacing/>
        <w:jc w:val="both"/>
        <w:rPr>
          <w:rFonts w:asciiTheme="majorHAnsi" w:hAnsiTheme="majorHAnsi" w:cstheme="majorHAnsi"/>
          <w:color w:val="000000" w:themeColor="text1"/>
          <w:szCs w:val="22"/>
        </w:rPr>
      </w:pPr>
    </w:p>
  </w:footnote>
  <w:footnote w:id="32">
    <w:p w14:paraId="56397558" w14:textId="4C09BBCF" w:rsidR="00C84F9F" w:rsidRPr="00EC2758" w:rsidRDefault="00C84F9F" w:rsidP="00EC2758">
      <w:pPr>
        <w:pStyle w:val="FootnoteText"/>
        <w:spacing w:line="360" w:lineRule="auto"/>
        <w:contextualSpacing/>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(CCT212/17) [2018] ZACC 47; 2019 (2) BCLR 193 (CC); 2019 (3) SA 341 (CC) (28 November 2018)</w:t>
      </w:r>
    </w:p>
  </w:footnote>
  <w:footnote w:id="33">
    <w:p w14:paraId="40446E6B" w14:textId="62907C67" w:rsidR="006336A9" w:rsidRPr="00EC2758" w:rsidRDefault="006336A9" w:rsidP="00EC2758">
      <w:pPr>
        <w:pStyle w:val="Heading2"/>
        <w:shd w:val="clear" w:color="auto" w:fill="FFFFFF"/>
        <w:spacing w:before="0" w:line="360" w:lineRule="auto"/>
        <w:contextualSpacing/>
        <w:rPr>
          <w:rFonts w:cstheme="majorHAnsi"/>
          <w:color w:val="000000" w:themeColor="text1"/>
          <w:sz w:val="22"/>
          <w:szCs w:val="22"/>
        </w:rPr>
      </w:pPr>
      <w:r w:rsidRPr="00EC2758">
        <w:rPr>
          <w:rStyle w:val="FootnoteReference"/>
          <w:rFonts w:cstheme="majorHAnsi"/>
          <w:color w:val="000000" w:themeColor="text1"/>
          <w:sz w:val="22"/>
          <w:szCs w:val="22"/>
        </w:rPr>
        <w:footnoteRef/>
      </w:r>
      <w:r w:rsidRPr="00EC2758">
        <w:rPr>
          <w:rFonts w:cstheme="majorHAnsi"/>
          <w:color w:val="000000" w:themeColor="text1"/>
          <w:sz w:val="22"/>
          <w:szCs w:val="22"/>
        </w:rPr>
        <w:t xml:space="preserve"> (09/56251) [2010] ZAGPJHC 10; 2010 (5) SA 252 (GSJ) (11 March 2010)</w:t>
      </w:r>
    </w:p>
  </w:footnote>
  <w:footnote w:id="34">
    <w:p w14:paraId="7019259A" w14:textId="15086954" w:rsidR="00674CFD" w:rsidRPr="00B002DB" w:rsidRDefault="00674CFD" w:rsidP="00EC2758">
      <w:pPr>
        <w:pStyle w:val="FootnoteText"/>
        <w:spacing w:line="360" w:lineRule="auto"/>
        <w:contextualSpacing/>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w:t>
      </w:r>
      <w:r w:rsidRPr="00EC2758">
        <w:rPr>
          <w:rFonts w:asciiTheme="majorHAnsi" w:hAnsiTheme="majorHAnsi" w:cstheme="majorHAnsi"/>
          <w:i/>
          <w:iCs/>
          <w:color w:val="000000" w:themeColor="text1"/>
          <w:szCs w:val="22"/>
          <w:bdr w:val="none" w:sz="0" w:space="0" w:color="auto" w:frame="1"/>
          <w:shd w:val="clear" w:color="auto" w:fill="FFFFFF"/>
        </w:rPr>
        <w:t>Joob Joob Investments (Pty) Ltd v Stocks Mavundla Zek Joint Venture</w:t>
      </w:r>
      <w:r w:rsidRPr="00EC2758">
        <w:rPr>
          <w:rFonts w:asciiTheme="majorHAnsi" w:hAnsiTheme="majorHAnsi" w:cstheme="majorHAnsi"/>
          <w:color w:val="000000" w:themeColor="text1"/>
          <w:szCs w:val="22"/>
          <w:shd w:val="clear" w:color="auto" w:fill="FFFFFF"/>
        </w:rPr>
        <w:t> </w:t>
      </w:r>
      <w:hyperlink r:id="rId5" w:history="1">
        <w:r w:rsidRPr="00B002DB">
          <w:rPr>
            <w:rStyle w:val="Hyperlink"/>
            <w:rFonts w:asciiTheme="majorHAnsi" w:eastAsia="Arial" w:hAnsiTheme="majorHAnsi" w:cstheme="majorHAnsi"/>
            <w:color w:val="000000" w:themeColor="text1"/>
            <w:szCs w:val="22"/>
            <w:u w:val="none"/>
            <w:shd w:val="clear" w:color="auto" w:fill="FFFFFF"/>
          </w:rPr>
          <w:t>[2009] 3 All SA 407 (SCA)</w:t>
        </w:r>
      </w:hyperlink>
    </w:p>
  </w:footnote>
  <w:footnote w:id="35">
    <w:p w14:paraId="47EE5263" w14:textId="77C52E5C" w:rsidR="0019342A" w:rsidRPr="00EC2758" w:rsidRDefault="0019342A" w:rsidP="00EC2758">
      <w:pPr>
        <w:pStyle w:val="FootnoteText"/>
        <w:spacing w:line="360" w:lineRule="auto"/>
        <w:contextualSpacing/>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(725/13) [2014] ZASCA 178; 2015 (2) SA 118 (SCA) (21 November 2014)</w:t>
      </w:r>
    </w:p>
  </w:footnote>
  <w:footnote w:id="36">
    <w:p w14:paraId="084862F9" w14:textId="66348778" w:rsidR="00AE526A" w:rsidRPr="00EC2758" w:rsidRDefault="00AE526A" w:rsidP="00EC2758">
      <w:pPr>
        <w:pStyle w:val="FootnoteText"/>
        <w:spacing w:line="360" w:lineRule="auto"/>
        <w:contextualSpacing/>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1976 (2) SA 226 (T); District Bank Ltd v Hoosain 1984 (4) SA 544 (C)</w:t>
      </w:r>
    </w:p>
  </w:footnote>
  <w:footnote w:id="37">
    <w:p w14:paraId="7E320CE1" w14:textId="1D239491" w:rsidR="00AE526A" w:rsidRPr="00EC2758" w:rsidRDefault="00AE526A" w:rsidP="00EC2758">
      <w:pPr>
        <w:pStyle w:val="FootnoteText"/>
        <w:spacing w:line="360" w:lineRule="auto"/>
        <w:contextualSpacing/>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1976 (1) SA 418 (A)</w:t>
      </w:r>
    </w:p>
  </w:footnote>
  <w:footnote w:id="38">
    <w:p w14:paraId="25DD1BBF" w14:textId="45829DCE" w:rsidR="001F2864" w:rsidRPr="00EC2758" w:rsidRDefault="001F2864" w:rsidP="00EC2758">
      <w:pPr>
        <w:pStyle w:val="FootnoteText"/>
        <w:spacing w:line="360" w:lineRule="auto"/>
        <w:contextualSpacing/>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(Case no 529/2020) [2021] ZASCA 114 (9 September 2021)</w:t>
      </w:r>
    </w:p>
  </w:footnote>
  <w:footnote w:id="39">
    <w:p w14:paraId="70A971BA" w14:textId="584436EA" w:rsidR="00630975" w:rsidRPr="00EC2758" w:rsidRDefault="00630975" w:rsidP="00EC2758">
      <w:pPr>
        <w:pStyle w:val="FootnoteText"/>
        <w:spacing w:line="360" w:lineRule="auto"/>
        <w:contextualSpacing/>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1978 (1) SA 821 (A) at 825H.</w:t>
      </w:r>
    </w:p>
  </w:footnote>
  <w:footnote w:id="40">
    <w:p w14:paraId="18F640D2" w14:textId="05830CA1" w:rsidR="00643CEB" w:rsidRPr="00EC2758" w:rsidRDefault="00643CEB" w:rsidP="00EC2758">
      <w:pPr>
        <w:pStyle w:val="FootnoteText"/>
        <w:spacing w:line="360" w:lineRule="auto"/>
        <w:contextualSpacing/>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P</w:t>
      </w:r>
      <w:r w:rsidRPr="00EC2758">
        <w:rPr>
          <w:rFonts w:asciiTheme="majorHAnsi" w:hAnsiTheme="majorHAnsi" w:cstheme="majorHAnsi"/>
          <w:color w:val="000000" w:themeColor="text1"/>
          <w:szCs w:val="22"/>
          <w:shd w:val="clear" w:color="auto" w:fill="FFFFFF"/>
        </w:rPr>
        <w:t>ara 11.4.2</w:t>
      </w:r>
    </w:p>
  </w:footnote>
  <w:footnote w:id="41">
    <w:p w14:paraId="13A88877" w14:textId="3AAE4418" w:rsidR="00B05296" w:rsidRPr="00EC2758" w:rsidRDefault="00B05296" w:rsidP="00EC2758">
      <w:pPr>
        <w:pStyle w:val="FootnoteText"/>
        <w:spacing w:line="360" w:lineRule="auto"/>
        <w:contextualSpacing/>
        <w:rPr>
          <w:rFonts w:asciiTheme="majorHAnsi" w:hAnsiTheme="majorHAnsi" w:cstheme="majorHAnsi"/>
          <w:color w:val="000000" w:themeColor="text1"/>
          <w:szCs w:val="22"/>
        </w:rPr>
      </w:pPr>
      <w:r w:rsidRPr="00EC2758">
        <w:rPr>
          <w:rStyle w:val="FootnoteReference"/>
          <w:rFonts w:asciiTheme="majorHAnsi" w:hAnsiTheme="majorHAnsi" w:cstheme="majorHAnsi"/>
          <w:color w:val="000000" w:themeColor="text1"/>
          <w:szCs w:val="22"/>
        </w:rPr>
        <w:footnoteRef/>
      </w:r>
      <w:r w:rsidRPr="00EC2758">
        <w:rPr>
          <w:rFonts w:asciiTheme="majorHAnsi" w:hAnsiTheme="majorHAnsi" w:cstheme="majorHAnsi"/>
          <w:color w:val="000000" w:themeColor="text1"/>
          <w:szCs w:val="22"/>
        </w:rPr>
        <w:t xml:space="preserve"> Para 11.4.4</w:t>
      </w:r>
    </w:p>
  </w:footnote>
  <w:footnote w:id="42">
    <w:p w14:paraId="3A51C218" w14:textId="77777777" w:rsidR="00724D23" w:rsidRPr="00EC2758" w:rsidRDefault="00724D23" w:rsidP="00EC2758">
      <w:pPr>
        <w:pStyle w:val="Heading2"/>
        <w:shd w:val="clear" w:color="auto" w:fill="FFFFFF"/>
        <w:spacing w:before="0" w:line="360" w:lineRule="auto"/>
        <w:contextualSpacing/>
        <w:rPr>
          <w:rFonts w:cstheme="majorHAnsi"/>
          <w:color w:val="000000" w:themeColor="text1"/>
          <w:sz w:val="22"/>
          <w:szCs w:val="22"/>
        </w:rPr>
      </w:pPr>
      <w:r w:rsidRPr="00EC2758">
        <w:rPr>
          <w:rStyle w:val="FootnoteReference"/>
          <w:rFonts w:cstheme="majorHAnsi"/>
          <w:color w:val="000000" w:themeColor="text1"/>
          <w:sz w:val="22"/>
          <w:szCs w:val="22"/>
        </w:rPr>
        <w:footnoteRef/>
      </w:r>
      <w:r w:rsidRPr="00EC2758">
        <w:rPr>
          <w:rFonts w:cstheme="majorHAnsi"/>
          <w:color w:val="000000" w:themeColor="text1"/>
          <w:sz w:val="22"/>
          <w:szCs w:val="22"/>
        </w:rPr>
        <w:t xml:space="preserve"> 1959 (2) SA 198 (W) at 200 A; See also Nedbank Limited v Rinor Civils (Pty) Ltd and Others (5696/2021) [2022] ZAFSHC 224 (15 September 2022)</w:t>
      </w:r>
    </w:p>
    <w:p w14:paraId="69FD4F84" w14:textId="6D8FF5B2" w:rsidR="00724D23" w:rsidRPr="00EC2758" w:rsidRDefault="00724D23" w:rsidP="00EC2758">
      <w:pPr>
        <w:pStyle w:val="FootnoteText"/>
        <w:spacing w:line="360" w:lineRule="auto"/>
        <w:contextualSpacing/>
        <w:rPr>
          <w:rFonts w:asciiTheme="majorHAnsi" w:hAnsiTheme="majorHAnsi" w:cstheme="majorHAnsi"/>
          <w:color w:val="000000" w:themeColor="text1"/>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31818"/>
      <w:docPartObj>
        <w:docPartGallery w:val="Page Numbers (Top of Page)"/>
        <w:docPartUnique/>
      </w:docPartObj>
    </w:sdtPr>
    <w:sdtEndPr>
      <w:rPr>
        <w:noProof/>
      </w:rPr>
    </w:sdtEndPr>
    <w:sdtContent>
      <w:p w14:paraId="3B89190A" w14:textId="7EEAFDD4" w:rsidR="003533A8" w:rsidRDefault="003533A8">
        <w:pPr>
          <w:pStyle w:val="Header"/>
          <w:jc w:val="right"/>
        </w:pPr>
        <w:r>
          <w:fldChar w:fldCharType="begin"/>
        </w:r>
        <w:r>
          <w:instrText xml:space="preserve"> PAGE   \* MERGEFORMAT </w:instrText>
        </w:r>
        <w:r>
          <w:fldChar w:fldCharType="separate"/>
        </w:r>
        <w:r w:rsidR="00891177">
          <w:rPr>
            <w:noProof/>
          </w:rPr>
          <w:t>2</w:t>
        </w:r>
        <w:r>
          <w:rPr>
            <w:noProof/>
          </w:rPr>
          <w:fldChar w:fldCharType="end"/>
        </w:r>
      </w:p>
    </w:sdtContent>
  </w:sdt>
  <w:p w14:paraId="15926901" w14:textId="77777777" w:rsidR="003533A8" w:rsidRDefault="00353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F6CDC" w14:textId="77777777" w:rsidR="003533A8" w:rsidRPr="008F7F70" w:rsidRDefault="003533A8"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6">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8">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9">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2">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6">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9">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3">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5">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6">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28">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1">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34">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1"/>
  </w:num>
  <w:num w:numId="2">
    <w:abstractNumId w:val="6"/>
  </w:num>
  <w:num w:numId="3">
    <w:abstractNumId w:val="32"/>
  </w:num>
  <w:num w:numId="4">
    <w:abstractNumId w:val="12"/>
  </w:num>
  <w:num w:numId="5">
    <w:abstractNumId w:val="20"/>
  </w:num>
  <w:num w:numId="6">
    <w:abstractNumId w:val="33"/>
  </w:num>
  <w:num w:numId="7">
    <w:abstractNumId w:val="26"/>
  </w:num>
  <w:num w:numId="8">
    <w:abstractNumId w:val="17"/>
  </w:num>
  <w:num w:numId="9">
    <w:abstractNumId w:val="1"/>
  </w:num>
  <w:num w:numId="10">
    <w:abstractNumId w:val="19"/>
  </w:num>
  <w:num w:numId="11">
    <w:abstractNumId w:val="21"/>
  </w:num>
  <w:num w:numId="12">
    <w:abstractNumId w:val="34"/>
  </w:num>
  <w:num w:numId="13">
    <w:abstractNumId w:val="23"/>
  </w:num>
  <w:num w:numId="14">
    <w:abstractNumId w:val="13"/>
  </w:num>
  <w:num w:numId="15">
    <w:abstractNumId w:val="3"/>
  </w:num>
  <w:num w:numId="16">
    <w:abstractNumId w:val="8"/>
  </w:num>
  <w:num w:numId="17">
    <w:abstractNumId w:val="11"/>
  </w:num>
  <w:num w:numId="18">
    <w:abstractNumId w:val="16"/>
  </w:num>
  <w:num w:numId="19">
    <w:abstractNumId w:val="27"/>
  </w:num>
  <w:num w:numId="20">
    <w:abstractNumId w:val="5"/>
  </w:num>
  <w:num w:numId="21">
    <w:abstractNumId w:val="22"/>
  </w:num>
  <w:num w:numId="22">
    <w:abstractNumId w:val="4"/>
  </w:num>
  <w:num w:numId="23">
    <w:abstractNumId w:val="28"/>
  </w:num>
  <w:num w:numId="24">
    <w:abstractNumId w:val="29"/>
  </w:num>
  <w:num w:numId="25">
    <w:abstractNumId w:val="15"/>
  </w:num>
  <w:num w:numId="26">
    <w:abstractNumId w:val="14"/>
  </w:num>
  <w:num w:numId="27">
    <w:abstractNumId w:val="0"/>
  </w:num>
  <w:num w:numId="28">
    <w:abstractNumId w:val="24"/>
  </w:num>
  <w:num w:numId="29">
    <w:abstractNumId w:val="9"/>
  </w:num>
  <w:num w:numId="30">
    <w:abstractNumId w:val="18"/>
  </w:num>
  <w:num w:numId="31">
    <w:abstractNumId w:val="10"/>
  </w:num>
  <w:num w:numId="32">
    <w:abstractNumId w:val="7"/>
  </w:num>
  <w:num w:numId="33">
    <w:abstractNumId w:val="2"/>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0"/>
  <w:activeWritingStyle w:appName="MSWord" w:lang="en-GB"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3DB4"/>
    <w:rsid w:val="0000615B"/>
    <w:rsid w:val="00011BF3"/>
    <w:rsid w:val="00012084"/>
    <w:rsid w:val="000131BB"/>
    <w:rsid w:val="00013D39"/>
    <w:rsid w:val="00016235"/>
    <w:rsid w:val="00017A7A"/>
    <w:rsid w:val="00020179"/>
    <w:rsid w:val="000236F0"/>
    <w:rsid w:val="00023A2D"/>
    <w:rsid w:val="00025645"/>
    <w:rsid w:val="00025A35"/>
    <w:rsid w:val="00025B02"/>
    <w:rsid w:val="000308B2"/>
    <w:rsid w:val="00030CAE"/>
    <w:rsid w:val="00031136"/>
    <w:rsid w:val="00035926"/>
    <w:rsid w:val="00036CCF"/>
    <w:rsid w:val="00040D44"/>
    <w:rsid w:val="00041E66"/>
    <w:rsid w:val="00042CAF"/>
    <w:rsid w:val="00046B92"/>
    <w:rsid w:val="00047818"/>
    <w:rsid w:val="00047D25"/>
    <w:rsid w:val="0005094D"/>
    <w:rsid w:val="0005118C"/>
    <w:rsid w:val="00052369"/>
    <w:rsid w:val="00052B4B"/>
    <w:rsid w:val="000542D2"/>
    <w:rsid w:val="000560C5"/>
    <w:rsid w:val="00057FB8"/>
    <w:rsid w:val="00061B16"/>
    <w:rsid w:val="00062F6E"/>
    <w:rsid w:val="00064CEB"/>
    <w:rsid w:val="00064EE2"/>
    <w:rsid w:val="00066208"/>
    <w:rsid w:val="00066D9E"/>
    <w:rsid w:val="00071593"/>
    <w:rsid w:val="00073053"/>
    <w:rsid w:val="00073B0E"/>
    <w:rsid w:val="00077342"/>
    <w:rsid w:val="000808B1"/>
    <w:rsid w:val="000819C7"/>
    <w:rsid w:val="00083707"/>
    <w:rsid w:val="000838EE"/>
    <w:rsid w:val="00083BCC"/>
    <w:rsid w:val="00084CBF"/>
    <w:rsid w:val="00085A6D"/>
    <w:rsid w:val="000872D6"/>
    <w:rsid w:val="000877DF"/>
    <w:rsid w:val="00090472"/>
    <w:rsid w:val="00092561"/>
    <w:rsid w:val="0009283F"/>
    <w:rsid w:val="00092917"/>
    <w:rsid w:val="00092F2C"/>
    <w:rsid w:val="00093437"/>
    <w:rsid w:val="00095D3C"/>
    <w:rsid w:val="00096756"/>
    <w:rsid w:val="000973CA"/>
    <w:rsid w:val="00097D7C"/>
    <w:rsid w:val="000A023F"/>
    <w:rsid w:val="000A0522"/>
    <w:rsid w:val="000A2087"/>
    <w:rsid w:val="000A466F"/>
    <w:rsid w:val="000A6F1A"/>
    <w:rsid w:val="000A70F0"/>
    <w:rsid w:val="000A71F9"/>
    <w:rsid w:val="000B2AD6"/>
    <w:rsid w:val="000B61CB"/>
    <w:rsid w:val="000B7211"/>
    <w:rsid w:val="000C3559"/>
    <w:rsid w:val="000C3ADE"/>
    <w:rsid w:val="000C4AAB"/>
    <w:rsid w:val="000C5D0E"/>
    <w:rsid w:val="000C6B6B"/>
    <w:rsid w:val="000C6CBE"/>
    <w:rsid w:val="000D04A8"/>
    <w:rsid w:val="000D0A3F"/>
    <w:rsid w:val="000D3090"/>
    <w:rsid w:val="000D4E87"/>
    <w:rsid w:val="000D6CFC"/>
    <w:rsid w:val="000D7E35"/>
    <w:rsid w:val="000E1CD6"/>
    <w:rsid w:val="000E27A8"/>
    <w:rsid w:val="000E4934"/>
    <w:rsid w:val="000E5700"/>
    <w:rsid w:val="000F02C3"/>
    <w:rsid w:val="000F0D81"/>
    <w:rsid w:val="000F1952"/>
    <w:rsid w:val="000F23E2"/>
    <w:rsid w:val="000F5F92"/>
    <w:rsid w:val="000F73DC"/>
    <w:rsid w:val="00100DA0"/>
    <w:rsid w:val="00101C27"/>
    <w:rsid w:val="00102347"/>
    <w:rsid w:val="00102E6C"/>
    <w:rsid w:val="00103246"/>
    <w:rsid w:val="00103AB6"/>
    <w:rsid w:val="00104C6E"/>
    <w:rsid w:val="00110A38"/>
    <w:rsid w:val="0011112A"/>
    <w:rsid w:val="0011160F"/>
    <w:rsid w:val="001117AC"/>
    <w:rsid w:val="00113D4D"/>
    <w:rsid w:val="00113F99"/>
    <w:rsid w:val="00114B2D"/>
    <w:rsid w:val="0011591D"/>
    <w:rsid w:val="00115E94"/>
    <w:rsid w:val="001160E3"/>
    <w:rsid w:val="0011680C"/>
    <w:rsid w:val="00120954"/>
    <w:rsid w:val="00122B48"/>
    <w:rsid w:val="001233C4"/>
    <w:rsid w:val="001248CA"/>
    <w:rsid w:val="00124C43"/>
    <w:rsid w:val="00124CB9"/>
    <w:rsid w:val="0012620D"/>
    <w:rsid w:val="0012677E"/>
    <w:rsid w:val="00130020"/>
    <w:rsid w:val="001325AF"/>
    <w:rsid w:val="00133585"/>
    <w:rsid w:val="0013776B"/>
    <w:rsid w:val="001378E8"/>
    <w:rsid w:val="00137D2D"/>
    <w:rsid w:val="001408B8"/>
    <w:rsid w:val="00143DF7"/>
    <w:rsid w:val="001440E3"/>
    <w:rsid w:val="00145CB3"/>
    <w:rsid w:val="00151428"/>
    <w:rsid w:val="001522EA"/>
    <w:rsid w:val="001608B2"/>
    <w:rsid w:val="00161483"/>
    <w:rsid w:val="00161E31"/>
    <w:rsid w:val="00162C9A"/>
    <w:rsid w:val="00165EA1"/>
    <w:rsid w:val="0017008D"/>
    <w:rsid w:val="00170999"/>
    <w:rsid w:val="00170AD4"/>
    <w:rsid w:val="001733F9"/>
    <w:rsid w:val="00173B5A"/>
    <w:rsid w:val="00175354"/>
    <w:rsid w:val="001759DF"/>
    <w:rsid w:val="001760D1"/>
    <w:rsid w:val="00180193"/>
    <w:rsid w:val="00180723"/>
    <w:rsid w:val="00180B03"/>
    <w:rsid w:val="00181D6B"/>
    <w:rsid w:val="00182308"/>
    <w:rsid w:val="00183A6D"/>
    <w:rsid w:val="00184101"/>
    <w:rsid w:val="001846DC"/>
    <w:rsid w:val="001859E7"/>
    <w:rsid w:val="001901A4"/>
    <w:rsid w:val="00192485"/>
    <w:rsid w:val="0019342A"/>
    <w:rsid w:val="001937D9"/>
    <w:rsid w:val="001965A6"/>
    <w:rsid w:val="001A2AFE"/>
    <w:rsid w:val="001A318B"/>
    <w:rsid w:val="001A3417"/>
    <w:rsid w:val="001A3DC3"/>
    <w:rsid w:val="001A4397"/>
    <w:rsid w:val="001A5B4A"/>
    <w:rsid w:val="001A63D4"/>
    <w:rsid w:val="001A6412"/>
    <w:rsid w:val="001A70E8"/>
    <w:rsid w:val="001A7DA6"/>
    <w:rsid w:val="001B0C0C"/>
    <w:rsid w:val="001B1108"/>
    <w:rsid w:val="001B323F"/>
    <w:rsid w:val="001B58CC"/>
    <w:rsid w:val="001B6282"/>
    <w:rsid w:val="001B72D4"/>
    <w:rsid w:val="001C0520"/>
    <w:rsid w:val="001C0B3C"/>
    <w:rsid w:val="001C2ECD"/>
    <w:rsid w:val="001C3DD4"/>
    <w:rsid w:val="001C421A"/>
    <w:rsid w:val="001C7D27"/>
    <w:rsid w:val="001D05AC"/>
    <w:rsid w:val="001D24A8"/>
    <w:rsid w:val="001D6381"/>
    <w:rsid w:val="001E421C"/>
    <w:rsid w:val="001E4E2C"/>
    <w:rsid w:val="001E53D5"/>
    <w:rsid w:val="001E548E"/>
    <w:rsid w:val="001E615D"/>
    <w:rsid w:val="001E6F67"/>
    <w:rsid w:val="001F2864"/>
    <w:rsid w:val="001F3E80"/>
    <w:rsid w:val="001F5EA0"/>
    <w:rsid w:val="001F62C4"/>
    <w:rsid w:val="001F6F85"/>
    <w:rsid w:val="001F7C18"/>
    <w:rsid w:val="00200E73"/>
    <w:rsid w:val="0020374A"/>
    <w:rsid w:val="00204507"/>
    <w:rsid w:val="00204DD8"/>
    <w:rsid w:val="00205C21"/>
    <w:rsid w:val="00206695"/>
    <w:rsid w:val="002075E0"/>
    <w:rsid w:val="00211B3E"/>
    <w:rsid w:val="00212E9C"/>
    <w:rsid w:val="00213A12"/>
    <w:rsid w:val="00213AE3"/>
    <w:rsid w:val="00215DC6"/>
    <w:rsid w:val="0021755D"/>
    <w:rsid w:val="00221B1E"/>
    <w:rsid w:val="00223066"/>
    <w:rsid w:val="002234F9"/>
    <w:rsid w:val="00224456"/>
    <w:rsid w:val="0022731D"/>
    <w:rsid w:val="00230BFA"/>
    <w:rsid w:val="00231388"/>
    <w:rsid w:val="0023218D"/>
    <w:rsid w:val="00232C26"/>
    <w:rsid w:val="00247337"/>
    <w:rsid w:val="00250F6C"/>
    <w:rsid w:val="002521AE"/>
    <w:rsid w:val="00253FC8"/>
    <w:rsid w:val="002541D4"/>
    <w:rsid w:val="00256562"/>
    <w:rsid w:val="0025669D"/>
    <w:rsid w:val="00257826"/>
    <w:rsid w:val="00257E2A"/>
    <w:rsid w:val="0026128E"/>
    <w:rsid w:val="00262034"/>
    <w:rsid w:val="002628A5"/>
    <w:rsid w:val="0026527F"/>
    <w:rsid w:val="0026647F"/>
    <w:rsid w:val="00267271"/>
    <w:rsid w:val="0027044A"/>
    <w:rsid w:val="0027076F"/>
    <w:rsid w:val="002736E2"/>
    <w:rsid w:val="002775D4"/>
    <w:rsid w:val="00282D5B"/>
    <w:rsid w:val="00283FC8"/>
    <w:rsid w:val="00285613"/>
    <w:rsid w:val="0029061C"/>
    <w:rsid w:val="00290E31"/>
    <w:rsid w:val="00296877"/>
    <w:rsid w:val="002A018D"/>
    <w:rsid w:val="002A0A20"/>
    <w:rsid w:val="002A1B59"/>
    <w:rsid w:val="002A2120"/>
    <w:rsid w:val="002A69A0"/>
    <w:rsid w:val="002A7F8C"/>
    <w:rsid w:val="002B02C9"/>
    <w:rsid w:val="002B1436"/>
    <w:rsid w:val="002B1C03"/>
    <w:rsid w:val="002B3073"/>
    <w:rsid w:val="002B35F9"/>
    <w:rsid w:val="002B36DF"/>
    <w:rsid w:val="002B40F2"/>
    <w:rsid w:val="002B461E"/>
    <w:rsid w:val="002B781D"/>
    <w:rsid w:val="002B7D3C"/>
    <w:rsid w:val="002C0334"/>
    <w:rsid w:val="002C0832"/>
    <w:rsid w:val="002C0E9A"/>
    <w:rsid w:val="002C25CD"/>
    <w:rsid w:val="002D06A4"/>
    <w:rsid w:val="002D273F"/>
    <w:rsid w:val="002D3EF2"/>
    <w:rsid w:val="002D487F"/>
    <w:rsid w:val="002D4FC6"/>
    <w:rsid w:val="002D7106"/>
    <w:rsid w:val="002E1854"/>
    <w:rsid w:val="002E22A9"/>
    <w:rsid w:val="002E32CD"/>
    <w:rsid w:val="002E3CB6"/>
    <w:rsid w:val="002F173C"/>
    <w:rsid w:val="002F21F2"/>
    <w:rsid w:val="002F3BE0"/>
    <w:rsid w:val="002F408A"/>
    <w:rsid w:val="002F4423"/>
    <w:rsid w:val="002F4629"/>
    <w:rsid w:val="002F54C5"/>
    <w:rsid w:val="002F5618"/>
    <w:rsid w:val="003001FD"/>
    <w:rsid w:val="003004DF"/>
    <w:rsid w:val="0030683C"/>
    <w:rsid w:val="00306913"/>
    <w:rsid w:val="00307F51"/>
    <w:rsid w:val="003119D2"/>
    <w:rsid w:val="00311E48"/>
    <w:rsid w:val="00317977"/>
    <w:rsid w:val="003179AA"/>
    <w:rsid w:val="0032172A"/>
    <w:rsid w:val="0032217A"/>
    <w:rsid w:val="00322847"/>
    <w:rsid w:val="00323633"/>
    <w:rsid w:val="00324F1A"/>
    <w:rsid w:val="0032565E"/>
    <w:rsid w:val="0033032C"/>
    <w:rsid w:val="00333ACC"/>
    <w:rsid w:val="0033671A"/>
    <w:rsid w:val="00336A67"/>
    <w:rsid w:val="00340FF0"/>
    <w:rsid w:val="003412FB"/>
    <w:rsid w:val="00345291"/>
    <w:rsid w:val="00345B8A"/>
    <w:rsid w:val="0035018F"/>
    <w:rsid w:val="0035091B"/>
    <w:rsid w:val="0035252B"/>
    <w:rsid w:val="00352767"/>
    <w:rsid w:val="0035280D"/>
    <w:rsid w:val="00352AE1"/>
    <w:rsid w:val="00352DB2"/>
    <w:rsid w:val="003533A8"/>
    <w:rsid w:val="00353DEA"/>
    <w:rsid w:val="0035471C"/>
    <w:rsid w:val="00356313"/>
    <w:rsid w:val="00356BD9"/>
    <w:rsid w:val="003611E1"/>
    <w:rsid w:val="00361602"/>
    <w:rsid w:val="00363601"/>
    <w:rsid w:val="00370118"/>
    <w:rsid w:val="0037149E"/>
    <w:rsid w:val="003759D4"/>
    <w:rsid w:val="003767C2"/>
    <w:rsid w:val="0037712C"/>
    <w:rsid w:val="003833EB"/>
    <w:rsid w:val="003834F5"/>
    <w:rsid w:val="00386D44"/>
    <w:rsid w:val="00386F5D"/>
    <w:rsid w:val="00387A55"/>
    <w:rsid w:val="003904D3"/>
    <w:rsid w:val="00392ABA"/>
    <w:rsid w:val="003932B5"/>
    <w:rsid w:val="0039357D"/>
    <w:rsid w:val="003938BD"/>
    <w:rsid w:val="00393F3D"/>
    <w:rsid w:val="00397270"/>
    <w:rsid w:val="003A0F34"/>
    <w:rsid w:val="003A206F"/>
    <w:rsid w:val="003A2BF8"/>
    <w:rsid w:val="003B0DCA"/>
    <w:rsid w:val="003B22BF"/>
    <w:rsid w:val="003B2C2E"/>
    <w:rsid w:val="003C5761"/>
    <w:rsid w:val="003C769F"/>
    <w:rsid w:val="003C7A2E"/>
    <w:rsid w:val="003D0D17"/>
    <w:rsid w:val="003D12DC"/>
    <w:rsid w:val="003D3B8E"/>
    <w:rsid w:val="003D51B5"/>
    <w:rsid w:val="003D59F3"/>
    <w:rsid w:val="003E095C"/>
    <w:rsid w:val="003E261A"/>
    <w:rsid w:val="003E317D"/>
    <w:rsid w:val="003E35B6"/>
    <w:rsid w:val="003E362A"/>
    <w:rsid w:val="003E4A24"/>
    <w:rsid w:val="003E5514"/>
    <w:rsid w:val="003E7283"/>
    <w:rsid w:val="003F0838"/>
    <w:rsid w:val="003F0A0F"/>
    <w:rsid w:val="003F1155"/>
    <w:rsid w:val="003F3CEC"/>
    <w:rsid w:val="003F6BDB"/>
    <w:rsid w:val="00404521"/>
    <w:rsid w:val="00407CAA"/>
    <w:rsid w:val="00413D48"/>
    <w:rsid w:val="004144B8"/>
    <w:rsid w:val="00417B0A"/>
    <w:rsid w:val="00421660"/>
    <w:rsid w:val="00421AB5"/>
    <w:rsid w:val="004222C9"/>
    <w:rsid w:val="004225C4"/>
    <w:rsid w:val="00423F8D"/>
    <w:rsid w:val="004248BD"/>
    <w:rsid w:val="004255F1"/>
    <w:rsid w:val="004269E6"/>
    <w:rsid w:val="00426DAF"/>
    <w:rsid w:val="004300FE"/>
    <w:rsid w:val="00430345"/>
    <w:rsid w:val="004307FA"/>
    <w:rsid w:val="0043144F"/>
    <w:rsid w:val="00431948"/>
    <w:rsid w:val="00431EF7"/>
    <w:rsid w:val="004342F7"/>
    <w:rsid w:val="00434F26"/>
    <w:rsid w:val="004400D6"/>
    <w:rsid w:val="00442D54"/>
    <w:rsid w:val="0044310B"/>
    <w:rsid w:val="00445961"/>
    <w:rsid w:val="00446E3D"/>
    <w:rsid w:val="00447473"/>
    <w:rsid w:val="0044787A"/>
    <w:rsid w:val="00450B62"/>
    <w:rsid w:val="00457D2F"/>
    <w:rsid w:val="00462D98"/>
    <w:rsid w:val="00464A80"/>
    <w:rsid w:val="00465563"/>
    <w:rsid w:val="004672DC"/>
    <w:rsid w:val="004700BE"/>
    <w:rsid w:val="004700FD"/>
    <w:rsid w:val="00470102"/>
    <w:rsid w:val="00470FEE"/>
    <w:rsid w:val="004715D5"/>
    <w:rsid w:val="00472FCE"/>
    <w:rsid w:val="0047361E"/>
    <w:rsid w:val="004744C4"/>
    <w:rsid w:val="00474CAD"/>
    <w:rsid w:val="00475EDC"/>
    <w:rsid w:val="00477C6B"/>
    <w:rsid w:val="0048080E"/>
    <w:rsid w:val="00480944"/>
    <w:rsid w:val="00481806"/>
    <w:rsid w:val="00483460"/>
    <w:rsid w:val="00483DC9"/>
    <w:rsid w:val="00487BFD"/>
    <w:rsid w:val="004907CE"/>
    <w:rsid w:val="00490C3D"/>
    <w:rsid w:val="0049127F"/>
    <w:rsid w:val="00492C57"/>
    <w:rsid w:val="00494A5A"/>
    <w:rsid w:val="00494EE4"/>
    <w:rsid w:val="00495067"/>
    <w:rsid w:val="004955B1"/>
    <w:rsid w:val="004958CE"/>
    <w:rsid w:val="00495D66"/>
    <w:rsid w:val="00496A64"/>
    <w:rsid w:val="004A316D"/>
    <w:rsid w:val="004A3213"/>
    <w:rsid w:val="004A3F74"/>
    <w:rsid w:val="004A4715"/>
    <w:rsid w:val="004B11E3"/>
    <w:rsid w:val="004B1CA6"/>
    <w:rsid w:val="004B1D34"/>
    <w:rsid w:val="004B347C"/>
    <w:rsid w:val="004B51D2"/>
    <w:rsid w:val="004B651F"/>
    <w:rsid w:val="004B7272"/>
    <w:rsid w:val="004C4DA0"/>
    <w:rsid w:val="004C556D"/>
    <w:rsid w:val="004C5DA1"/>
    <w:rsid w:val="004C69D6"/>
    <w:rsid w:val="004C7100"/>
    <w:rsid w:val="004C7B08"/>
    <w:rsid w:val="004D1BD0"/>
    <w:rsid w:val="004D23EF"/>
    <w:rsid w:val="004D2601"/>
    <w:rsid w:val="004D4008"/>
    <w:rsid w:val="004D4651"/>
    <w:rsid w:val="004D4E41"/>
    <w:rsid w:val="004D628C"/>
    <w:rsid w:val="004D756D"/>
    <w:rsid w:val="004E339D"/>
    <w:rsid w:val="004E33ED"/>
    <w:rsid w:val="004E5E03"/>
    <w:rsid w:val="004E7F79"/>
    <w:rsid w:val="004F12CF"/>
    <w:rsid w:val="004F2B3F"/>
    <w:rsid w:val="004F49D2"/>
    <w:rsid w:val="004F53D2"/>
    <w:rsid w:val="004F6697"/>
    <w:rsid w:val="004F78DB"/>
    <w:rsid w:val="005004CD"/>
    <w:rsid w:val="005008FA"/>
    <w:rsid w:val="005015A5"/>
    <w:rsid w:val="00501883"/>
    <w:rsid w:val="00502685"/>
    <w:rsid w:val="00502AF6"/>
    <w:rsid w:val="005049FB"/>
    <w:rsid w:val="00506EEE"/>
    <w:rsid w:val="00507018"/>
    <w:rsid w:val="00507177"/>
    <w:rsid w:val="00510E0A"/>
    <w:rsid w:val="0051282D"/>
    <w:rsid w:val="00512C3C"/>
    <w:rsid w:val="00513CA6"/>
    <w:rsid w:val="005141A9"/>
    <w:rsid w:val="00514D3B"/>
    <w:rsid w:val="00515C1B"/>
    <w:rsid w:val="00515FBB"/>
    <w:rsid w:val="0051771C"/>
    <w:rsid w:val="00521DD4"/>
    <w:rsid w:val="00522FCD"/>
    <w:rsid w:val="005243C4"/>
    <w:rsid w:val="005253C9"/>
    <w:rsid w:val="00525E4E"/>
    <w:rsid w:val="00526B0C"/>
    <w:rsid w:val="00526EE4"/>
    <w:rsid w:val="0053022A"/>
    <w:rsid w:val="00531283"/>
    <w:rsid w:val="00531601"/>
    <w:rsid w:val="00531D68"/>
    <w:rsid w:val="00532C14"/>
    <w:rsid w:val="00535B06"/>
    <w:rsid w:val="00535ED7"/>
    <w:rsid w:val="00540967"/>
    <w:rsid w:val="005410A4"/>
    <w:rsid w:val="0054243D"/>
    <w:rsid w:val="00542479"/>
    <w:rsid w:val="0054488C"/>
    <w:rsid w:val="00546FBB"/>
    <w:rsid w:val="0054793A"/>
    <w:rsid w:val="0055075C"/>
    <w:rsid w:val="00555F27"/>
    <w:rsid w:val="00555FE0"/>
    <w:rsid w:val="0055720F"/>
    <w:rsid w:val="00560D54"/>
    <w:rsid w:val="00563129"/>
    <w:rsid w:val="005633BB"/>
    <w:rsid w:val="005655E4"/>
    <w:rsid w:val="005666F5"/>
    <w:rsid w:val="00566B2E"/>
    <w:rsid w:val="0056718A"/>
    <w:rsid w:val="0057016F"/>
    <w:rsid w:val="00573812"/>
    <w:rsid w:val="00573BE8"/>
    <w:rsid w:val="00575AA6"/>
    <w:rsid w:val="005761D2"/>
    <w:rsid w:val="005766EA"/>
    <w:rsid w:val="00576D5B"/>
    <w:rsid w:val="00577225"/>
    <w:rsid w:val="005803C3"/>
    <w:rsid w:val="00582569"/>
    <w:rsid w:val="00583565"/>
    <w:rsid w:val="0058541B"/>
    <w:rsid w:val="00586175"/>
    <w:rsid w:val="00590297"/>
    <w:rsid w:val="00592BF8"/>
    <w:rsid w:val="00592F85"/>
    <w:rsid w:val="0059310B"/>
    <w:rsid w:val="00593C53"/>
    <w:rsid w:val="00594369"/>
    <w:rsid w:val="00595B0E"/>
    <w:rsid w:val="00597462"/>
    <w:rsid w:val="00597E96"/>
    <w:rsid w:val="005A16A5"/>
    <w:rsid w:val="005A445E"/>
    <w:rsid w:val="005A4D8C"/>
    <w:rsid w:val="005A4D8E"/>
    <w:rsid w:val="005B00EC"/>
    <w:rsid w:val="005B2E99"/>
    <w:rsid w:val="005B3E0D"/>
    <w:rsid w:val="005B4EED"/>
    <w:rsid w:val="005B5A19"/>
    <w:rsid w:val="005C07F6"/>
    <w:rsid w:val="005C1B39"/>
    <w:rsid w:val="005C218E"/>
    <w:rsid w:val="005C234A"/>
    <w:rsid w:val="005C3230"/>
    <w:rsid w:val="005C3305"/>
    <w:rsid w:val="005C41BD"/>
    <w:rsid w:val="005C49DB"/>
    <w:rsid w:val="005C6C95"/>
    <w:rsid w:val="005C73FB"/>
    <w:rsid w:val="005C755D"/>
    <w:rsid w:val="005D0642"/>
    <w:rsid w:val="005D180E"/>
    <w:rsid w:val="005D21E8"/>
    <w:rsid w:val="005D478D"/>
    <w:rsid w:val="005E0298"/>
    <w:rsid w:val="005E0B4B"/>
    <w:rsid w:val="005E1731"/>
    <w:rsid w:val="005E379F"/>
    <w:rsid w:val="005E3892"/>
    <w:rsid w:val="005E4D17"/>
    <w:rsid w:val="005F254D"/>
    <w:rsid w:val="005F45F3"/>
    <w:rsid w:val="005F4C14"/>
    <w:rsid w:val="005F6D08"/>
    <w:rsid w:val="005F76A0"/>
    <w:rsid w:val="005F7CF9"/>
    <w:rsid w:val="006027C4"/>
    <w:rsid w:val="006037B1"/>
    <w:rsid w:val="00605C02"/>
    <w:rsid w:val="006061AE"/>
    <w:rsid w:val="00606FA5"/>
    <w:rsid w:val="006071F8"/>
    <w:rsid w:val="006079DF"/>
    <w:rsid w:val="0061066A"/>
    <w:rsid w:val="00612593"/>
    <w:rsid w:val="00613B3A"/>
    <w:rsid w:val="00615614"/>
    <w:rsid w:val="00616525"/>
    <w:rsid w:val="00616654"/>
    <w:rsid w:val="00616F54"/>
    <w:rsid w:val="00620B45"/>
    <w:rsid w:val="006214C8"/>
    <w:rsid w:val="00622644"/>
    <w:rsid w:val="00624137"/>
    <w:rsid w:val="0062488B"/>
    <w:rsid w:val="00624CF5"/>
    <w:rsid w:val="00624D07"/>
    <w:rsid w:val="0062520D"/>
    <w:rsid w:val="00626ADF"/>
    <w:rsid w:val="00627280"/>
    <w:rsid w:val="00627AD3"/>
    <w:rsid w:val="00627B79"/>
    <w:rsid w:val="00630975"/>
    <w:rsid w:val="0063348B"/>
    <w:rsid w:val="006336A9"/>
    <w:rsid w:val="0063441B"/>
    <w:rsid w:val="0063501F"/>
    <w:rsid w:val="00635569"/>
    <w:rsid w:val="00637FE5"/>
    <w:rsid w:val="00641470"/>
    <w:rsid w:val="006434F0"/>
    <w:rsid w:val="00643CEB"/>
    <w:rsid w:val="00644235"/>
    <w:rsid w:val="00644D68"/>
    <w:rsid w:val="006458BE"/>
    <w:rsid w:val="00653DB7"/>
    <w:rsid w:val="00657BE9"/>
    <w:rsid w:val="00662CF2"/>
    <w:rsid w:val="006637DE"/>
    <w:rsid w:val="00665A74"/>
    <w:rsid w:val="00666668"/>
    <w:rsid w:val="006671F0"/>
    <w:rsid w:val="006674A5"/>
    <w:rsid w:val="00667B83"/>
    <w:rsid w:val="00671558"/>
    <w:rsid w:val="0067371A"/>
    <w:rsid w:val="006746B8"/>
    <w:rsid w:val="00674CFD"/>
    <w:rsid w:val="0067544A"/>
    <w:rsid w:val="006761F0"/>
    <w:rsid w:val="00680DF9"/>
    <w:rsid w:val="0068189F"/>
    <w:rsid w:val="00682E40"/>
    <w:rsid w:val="00683E19"/>
    <w:rsid w:val="00684A18"/>
    <w:rsid w:val="00684B40"/>
    <w:rsid w:val="00685F23"/>
    <w:rsid w:val="00685FDB"/>
    <w:rsid w:val="006861EF"/>
    <w:rsid w:val="0068666D"/>
    <w:rsid w:val="006906BA"/>
    <w:rsid w:val="0069241C"/>
    <w:rsid w:val="00694023"/>
    <w:rsid w:val="006941A2"/>
    <w:rsid w:val="00696423"/>
    <w:rsid w:val="0069661A"/>
    <w:rsid w:val="0069782A"/>
    <w:rsid w:val="006A12E3"/>
    <w:rsid w:val="006A1A6A"/>
    <w:rsid w:val="006A2573"/>
    <w:rsid w:val="006A25F1"/>
    <w:rsid w:val="006A32BE"/>
    <w:rsid w:val="006A49B9"/>
    <w:rsid w:val="006A6285"/>
    <w:rsid w:val="006A64A8"/>
    <w:rsid w:val="006A6908"/>
    <w:rsid w:val="006A749C"/>
    <w:rsid w:val="006B20C8"/>
    <w:rsid w:val="006B234C"/>
    <w:rsid w:val="006B2F94"/>
    <w:rsid w:val="006B6635"/>
    <w:rsid w:val="006B76D8"/>
    <w:rsid w:val="006C3A94"/>
    <w:rsid w:val="006C53E0"/>
    <w:rsid w:val="006C60DD"/>
    <w:rsid w:val="006C7CB3"/>
    <w:rsid w:val="006D1FCE"/>
    <w:rsid w:val="006D6BBF"/>
    <w:rsid w:val="006D6EFD"/>
    <w:rsid w:val="006D7318"/>
    <w:rsid w:val="006D7BD1"/>
    <w:rsid w:val="006E204D"/>
    <w:rsid w:val="006E5231"/>
    <w:rsid w:val="006E5867"/>
    <w:rsid w:val="006E70EC"/>
    <w:rsid w:val="006E71E6"/>
    <w:rsid w:val="006F1FF0"/>
    <w:rsid w:val="006F2EAB"/>
    <w:rsid w:val="006F52B6"/>
    <w:rsid w:val="006F5811"/>
    <w:rsid w:val="006F5A61"/>
    <w:rsid w:val="006F5A84"/>
    <w:rsid w:val="006F60FD"/>
    <w:rsid w:val="006F7E58"/>
    <w:rsid w:val="0070048A"/>
    <w:rsid w:val="007029D9"/>
    <w:rsid w:val="0070315B"/>
    <w:rsid w:val="00703C1B"/>
    <w:rsid w:val="0070408F"/>
    <w:rsid w:val="007121B8"/>
    <w:rsid w:val="00712290"/>
    <w:rsid w:val="00714ECA"/>
    <w:rsid w:val="007160FC"/>
    <w:rsid w:val="00717444"/>
    <w:rsid w:val="00720ABA"/>
    <w:rsid w:val="00720D92"/>
    <w:rsid w:val="00720DD1"/>
    <w:rsid w:val="0072182A"/>
    <w:rsid w:val="00724D23"/>
    <w:rsid w:val="00724EDB"/>
    <w:rsid w:val="007267FA"/>
    <w:rsid w:val="00726810"/>
    <w:rsid w:val="007277F5"/>
    <w:rsid w:val="00730C7C"/>
    <w:rsid w:val="007315C1"/>
    <w:rsid w:val="00737FF9"/>
    <w:rsid w:val="007416C7"/>
    <w:rsid w:val="00741E11"/>
    <w:rsid w:val="00744D86"/>
    <w:rsid w:val="00751D9D"/>
    <w:rsid w:val="00753530"/>
    <w:rsid w:val="0075364D"/>
    <w:rsid w:val="00754D57"/>
    <w:rsid w:val="00754F93"/>
    <w:rsid w:val="0075645B"/>
    <w:rsid w:val="00757D8D"/>
    <w:rsid w:val="00760A35"/>
    <w:rsid w:val="00761E0A"/>
    <w:rsid w:val="00764C93"/>
    <w:rsid w:val="007672B6"/>
    <w:rsid w:val="00772071"/>
    <w:rsid w:val="007750BF"/>
    <w:rsid w:val="00780568"/>
    <w:rsid w:val="007812C0"/>
    <w:rsid w:val="00781327"/>
    <w:rsid w:val="00781794"/>
    <w:rsid w:val="0078338A"/>
    <w:rsid w:val="0078490F"/>
    <w:rsid w:val="00784F42"/>
    <w:rsid w:val="007876D0"/>
    <w:rsid w:val="00787888"/>
    <w:rsid w:val="00790CA6"/>
    <w:rsid w:val="007940CE"/>
    <w:rsid w:val="007944D7"/>
    <w:rsid w:val="0079573F"/>
    <w:rsid w:val="00795ACF"/>
    <w:rsid w:val="00795E3A"/>
    <w:rsid w:val="00797428"/>
    <w:rsid w:val="007A1120"/>
    <w:rsid w:val="007A45EC"/>
    <w:rsid w:val="007A68BF"/>
    <w:rsid w:val="007A710F"/>
    <w:rsid w:val="007A7853"/>
    <w:rsid w:val="007A78EF"/>
    <w:rsid w:val="007A7C23"/>
    <w:rsid w:val="007B143E"/>
    <w:rsid w:val="007B18FB"/>
    <w:rsid w:val="007B25A8"/>
    <w:rsid w:val="007B2DAE"/>
    <w:rsid w:val="007B3407"/>
    <w:rsid w:val="007B4D68"/>
    <w:rsid w:val="007B6397"/>
    <w:rsid w:val="007B6F07"/>
    <w:rsid w:val="007C576F"/>
    <w:rsid w:val="007C6831"/>
    <w:rsid w:val="007C786E"/>
    <w:rsid w:val="007D156A"/>
    <w:rsid w:val="007D16B1"/>
    <w:rsid w:val="007D16B4"/>
    <w:rsid w:val="007D1712"/>
    <w:rsid w:val="007D248D"/>
    <w:rsid w:val="007D363E"/>
    <w:rsid w:val="007D7D96"/>
    <w:rsid w:val="007E1978"/>
    <w:rsid w:val="007E214F"/>
    <w:rsid w:val="007E3EFE"/>
    <w:rsid w:val="007E407E"/>
    <w:rsid w:val="007E50B6"/>
    <w:rsid w:val="007E611F"/>
    <w:rsid w:val="007E75C2"/>
    <w:rsid w:val="007F01C2"/>
    <w:rsid w:val="007F0C1B"/>
    <w:rsid w:val="007F1493"/>
    <w:rsid w:val="007F25BA"/>
    <w:rsid w:val="007F3A08"/>
    <w:rsid w:val="007F43B7"/>
    <w:rsid w:val="007F70BC"/>
    <w:rsid w:val="00801123"/>
    <w:rsid w:val="008016E2"/>
    <w:rsid w:val="0080295C"/>
    <w:rsid w:val="0080422A"/>
    <w:rsid w:val="008048A7"/>
    <w:rsid w:val="008048F1"/>
    <w:rsid w:val="0080499B"/>
    <w:rsid w:val="008049AB"/>
    <w:rsid w:val="00804D6A"/>
    <w:rsid w:val="00805052"/>
    <w:rsid w:val="00805AF1"/>
    <w:rsid w:val="00805B3F"/>
    <w:rsid w:val="00807433"/>
    <w:rsid w:val="00807862"/>
    <w:rsid w:val="00807D3A"/>
    <w:rsid w:val="00811138"/>
    <w:rsid w:val="00813454"/>
    <w:rsid w:val="00820AFE"/>
    <w:rsid w:val="00820BA3"/>
    <w:rsid w:val="00821CB1"/>
    <w:rsid w:val="00822A69"/>
    <w:rsid w:val="00824768"/>
    <w:rsid w:val="00825820"/>
    <w:rsid w:val="00827786"/>
    <w:rsid w:val="00830BB2"/>
    <w:rsid w:val="0083202B"/>
    <w:rsid w:val="00833953"/>
    <w:rsid w:val="00843E5A"/>
    <w:rsid w:val="00844A8F"/>
    <w:rsid w:val="00845308"/>
    <w:rsid w:val="0084620B"/>
    <w:rsid w:val="00846E2D"/>
    <w:rsid w:val="00847B27"/>
    <w:rsid w:val="008517C2"/>
    <w:rsid w:val="00853AAF"/>
    <w:rsid w:val="008555AC"/>
    <w:rsid w:val="00856262"/>
    <w:rsid w:val="00856DBB"/>
    <w:rsid w:val="0086083A"/>
    <w:rsid w:val="00860F1C"/>
    <w:rsid w:val="008616C7"/>
    <w:rsid w:val="008622F3"/>
    <w:rsid w:val="00862B69"/>
    <w:rsid w:val="008635CE"/>
    <w:rsid w:val="00863988"/>
    <w:rsid w:val="008658B0"/>
    <w:rsid w:val="00866559"/>
    <w:rsid w:val="00867968"/>
    <w:rsid w:val="00870617"/>
    <w:rsid w:val="008719B9"/>
    <w:rsid w:val="00875736"/>
    <w:rsid w:val="00876EE3"/>
    <w:rsid w:val="00877F07"/>
    <w:rsid w:val="008808D4"/>
    <w:rsid w:val="008853B0"/>
    <w:rsid w:val="00885493"/>
    <w:rsid w:val="00885C87"/>
    <w:rsid w:val="00885DD4"/>
    <w:rsid w:val="0088641F"/>
    <w:rsid w:val="00891177"/>
    <w:rsid w:val="00892AB9"/>
    <w:rsid w:val="0089446B"/>
    <w:rsid w:val="008A09C2"/>
    <w:rsid w:val="008A3002"/>
    <w:rsid w:val="008A411A"/>
    <w:rsid w:val="008A4A72"/>
    <w:rsid w:val="008A5914"/>
    <w:rsid w:val="008B01D2"/>
    <w:rsid w:val="008B3AB9"/>
    <w:rsid w:val="008B47B2"/>
    <w:rsid w:val="008B64EE"/>
    <w:rsid w:val="008C2293"/>
    <w:rsid w:val="008C3306"/>
    <w:rsid w:val="008D389F"/>
    <w:rsid w:val="008D4D64"/>
    <w:rsid w:val="008D594E"/>
    <w:rsid w:val="008D6198"/>
    <w:rsid w:val="008E02BD"/>
    <w:rsid w:val="008E19D4"/>
    <w:rsid w:val="008E34D4"/>
    <w:rsid w:val="008E7104"/>
    <w:rsid w:val="008F1EAA"/>
    <w:rsid w:val="008F1F1F"/>
    <w:rsid w:val="008F2D64"/>
    <w:rsid w:val="008F342B"/>
    <w:rsid w:val="008F4617"/>
    <w:rsid w:val="008F51A8"/>
    <w:rsid w:val="008F65FF"/>
    <w:rsid w:val="008F7F70"/>
    <w:rsid w:val="009030E6"/>
    <w:rsid w:val="00904511"/>
    <w:rsid w:val="009046C0"/>
    <w:rsid w:val="00905A4B"/>
    <w:rsid w:val="00910F74"/>
    <w:rsid w:val="00911F94"/>
    <w:rsid w:val="0091442F"/>
    <w:rsid w:val="00914B21"/>
    <w:rsid w:val="00915402"/>
    <w:rsid w:val="00915522"/>
    <w:rsid w:val="00915C10"/>
    <w:rsid w:val="00916590"/>
    <w:rsid w:val="009220AD"/>
    <w:rsid w:val="009229B9"/>
    <w:rsid w:val="009230D2"/>
    <w:rsid w:val="00923114"/>
    <w:rsid w:val="00923A52"/>
    <w:rsid w:val="00924A19"/>
    <w:rsid w:val="009263C8"/>
    <w:rsid w:val="00926F9F"/>
    <w:rsid w:val="009274F1"/>
    <w:rsid w:val="00930C74"/>
    <w:rsid w:val="00931CC4"/>
    <w:rsid w:val="00932777"/>
    <w:rsid w:val="00934472"/>
    <w:rsid w:val="0093457D"/>
    <w:rsid w:val="0093679B"/>
    <w:rsid w:val="009438BF"/>
    <w:rsid w:val="00945092"/>
    <w:rsid w:val="0094595D"/>
    <w:rsid w:val="00946630"/>
    <w:rsid w:val="0095192D"/>
    <w:rsid w:val="00951F55"/>
    <w:rsid w:val="00954995"/>
    <w:rsid w:val="009574A8"/>
    <w:rsid w:val="00957718"/>
    <w:rsid w:val="00960745"/>
    <w:rsid w:val="0096086A"/>
    <w:rsid w:val="00963B37"/>
    <w:rsid w:val="00965D42"/>
    <w:rsid w:val="0096602E"/>
    <w:rsid w:val="00966E51"/>
    <w:rsid w:val="00972EF3"/>
    <w:rsid w:val="00973BA7"/>
    <w:rsid w:val="009747E3"/>
    <w:rsid w:val="00977489"/>
    <w:rsid w:val="0098046B"/>
    <w:rsid w:val="009813AE"/>
    <w:rsid w:val="009824A7"/>
    <w:rsid w:val="00984092"/>
    <w:rsid w:val="00984100"/>
    <w:rsid w:val="00984E6C"/>
    <w:rsid w:val="009861D8"/>
    <w:rsid w:val="0099148C"/>
    <w:rsid w:val="0099327D"/>
    <w:rsid w:val="00995C2E"/>
    <w:rsid w:val="0099618C"/>
    <w:rsid w:val="009A3BA6"/>
    <w:rsid w:val="009A4257"/>
    <w:rsid w:val="009A61F7"/>
    <w:rsid w:val="009A655A"/>
    <w:rsid w:val="009A79EA"/>
    <w:rsid w:val="009B0D62"/>
    <w:rsid w:val="009B1C6C"/>
    <w:rsid w:val="009B5A30"/>
    <w:rsid w:val="009B640B"/>
    <w:rsid w:val="009B7C2C"/>
    <w:rsid w:val="009C2A1D"/>
    <w:rsid w:val="009C33BE"/>
    <w:rsid w:val="009C4CD3"/>
    <w:rsid w:val="009C5204"/>
    <w:rsid w:val="009C5F49"/>
    <w:rsid w:val="009C6695"/>
    <w:rsid w:val="009C6E95"/>
    <w:rsid w:val="009D07B1"/>
    <w:rsid w:val="009D1601"/>
    <w:rsid w:val="009D252C"/>
    <w:rsid w:val="009D263A"/>
    <w:rsid w:val="009D2A32"/>
    <w:rsid w:val="009D36E9"/>
    <w:rsid w:val="009D3FA3"/>
    <w:rsid w:val="009D5F92"/>
    <w:rsid w:val="009D7527"/>
    <w:rsid w:val="009E0584"/>
    <w:rsid w:val="009E0E4F"/>
    <w:rsid w:val="009E208A"/>
    <w:rsid w:val="009E2B00"/>
    <w:rsid w:val="009E6A72"/>
    <w:rsid w:val="009E7976"/>
    <w:rsid w:val="009F1140"/>
    <w:rsid w:val="009F1B48"/>
    <w:rsid w:val="009F1F15"/>
    <w:rsid w:val="009F4942"/>
    <w:rsid w:val="009F6E29"/>
    <w:rsid w:val="009F79A1"/>
    <w:rsid w:val="00A00EC0"/>
    <w:rsid w:val="00A02A3B"/>
    <w:rsid w:val="00A06C40"/>
    <w:rsid w:val="00A11122"/>
    <w:rsid w:val="00A126D5"/>
    <w:rsid w:val="00A1300F"/>
    <w:rsid w:val="00A1461C"/>
    <w:rsid w:val="00A14EA1"/>
    <w:rsid w:val="00A154DC"/>
    <w:rsid w:val="00A15B53"/>
    <w:rsid w:val="00A2087E"/>
    <w:rsid w:val="00A22E04"/>
    <w:rsid w:val="00A231F0"/>
    <w:rsid w:val="00A248F6"/>
    <w:rsid w:val="00A26557"/>
    <w:rsid w:val="00A2717F"/>
    <w:rsid w:val="00A27997"/>
    <w:rsid w:val="00A27AE6"/>
    <w:rsid w:val="00A27B86"/>
    <w:rsid w:val="00A31E79"/>
    <w:rsid w:val="00A34860"/>
    <w:rsid w:val="00A35BF1"/>
    <w:rsid w:val="00A41399"/>
    <w:rsid w:val="00A43B13"/>
    <w:rsid w:val="00A4478F"/>
    <w:rsid w:val="00A4629C"/>
    <w:rsid w:val="00A506D8"/>
    <w:rsid w:val="00A52569"/>
    <w:rsid w:val="00A53F04"/>
    <w:rsid w:val="00A53F42"/>
    <w:rsid w:val="00A5493F"/>
    <w:rsid w:val="00A5618B"/>
    <w:rsid w:val="00A56FE6"/>
    <w:rsid w:val="00A62F8C"/>
    <w:rsid w:val="00A63BDD"/>
    <w:rsid w:val="00A6577C"/>
    <w:rsid w:val="00A65BAE"/>
    <w:rsid w:val="00A67452"/>
    <w:rsid w:val="00A70623"/>
    <w:rsid w:val="00A73584"/>
    <w:rsid w:val="00A73D76"/>
    <w:rsid w:val="00A7512A"/>
    <w:rsid w:val="00A752DF"/>
    <w:rsid w:val="00A76720"/>
    <w:rsid w:val="00A76762"/>
    <w:rsid w:val="00A77C6A"/>
    <w:rsid w:val="00A809FF"/>
    <w:rsid w:val="00A815B9"/>
    <w:rsid w:val="00A843A7"/>
    <w:rsid w:val="00A865B8"/>
    <w:rsid w:val="00A900A5"/>
    <w:rsid w:val="00A92C34"/>
    <w:rsid w:val="00A978DF"/>
    <w:rsid w:val="00AA3937"/>
    <w:rsid w:val="00AA3DBB"/>
    <w:rsid w:val="00AA510D"/>
    <w:rsid w:val="00AA7E16"/>
    <w:rsid w:val="00AB15CE"/>
    <w:rsid w:val="00AB32E6"/>
    <w:rsid w:val="00AB3F28"/>
    <w:rsid w:val="00AB5E83"/>
    <w:rsid w:val="00AC435F"/>
    <w:rsid w:val="00AD1EA5"/>
    <w:rsid w:val="00AD297B"/>
    <w:rsid w:val="00AD3AA0"/>
    <w:rsid w:val="00AD5EAC"/>
    <w:rsid w:val="00AD7C06"/>
    <w:rsid w:val="00AE1F1C"/>
    <w:rsid w:val="00AE429C"/>
    <w:rsid w:val="00AE4336"/>
    <w:rsid w:val="00AE526A"/>
    <w:rsid w:val="00AE568E"/>
    <w:rsid w:val="00AE64D3"/>
    <w:rsid w:val="00AF0675"/>
    <w:rsid w:val="00AF0727"/>
    <w:rsid w:val="00AF24C9"/>
    <w:rsid w:val="00AF2775"/>
    <w:rsid w:val="00AF54FF"/>
    <w:rsid w:val="00AF65A8"/>
    <w:rsid w:val="00AF6C66"/>
    <w:rsid w:val="00B002DB"/>
    <w:rsid w:val="00B02074"/>
    <w:rsid w:val="00B02906"/>
    <w:rsid w:val="00B02DF9"/>
    <w:rsid w:val="00B02E9A"/>
    <w:rsid w:val="00B0322D"/>
    <w:rsid w:val="00B03CB5"/>
    <w:rsid w:val="00B05123"/>
    <w:rsid w:val="00B05296"/>
    <w:rsid w:val="00B07996"/>
    <w:rsid w:val="00B114F5"/>
    <w:rsid w:val="00B11934"/>
    <w:rsid w:val="00B11D40"/>
    <w:rsid w:val="00B127FC"/>
    <w:rsid w:val="00B12B16"/>
    <w:rsid w:val="00B13241"/>
    <w:rsid w:val="00B13C67"/>
    <w:rsid w:val="00B14BFC"/>
    <w:rsid w:val="00B16688"/>
    <w:rsid w:val="00B16BC6"/>
    <w:rsid w:val="00B174F6"/>
    <w:rsid w:val="00B21118"/>
    <w:rsid w:val="00B216BC"/>
    <w:rsid w:val="00B22070"/>
    <w:rsid w:val="00B2451F"/>
    <w:rsid w:val="00B25036"/>
    <w:rsid w:val="00B3325B"/>
    <w:rsid w:val="00B37B01"/>
    <w:rsid w:val="00B40CD1"/>
    <w:rsid w:val="00B424CE"/>
    <w:rsid w:val="00B43735"/>
    <w:rsid w:val="00B44E6F"/>
    <w:rsid w:val="00B503A3"/>
    <w:rsid w:val="00B5104D"/>
    <w:rsid w:val="00B522B7"/>
    <w:rsid w:val="00B532F2"/>
    <w:rsid w:val="00B53E44"/>
    <w:rsid w:val="00B550E1"/>
    <w:rsid w:val="00B55177"/>
    <w:rsid w:val="00B55404"/>
    <w:rsid w:val="00B56163"/>
    <w:rsid w:val="00B56689"/>
    <w:rsid w:val="00B5748F"/>
    <w:rsid w:val="00B57750"/>
    <w:rsid w:val="00B604D9"/>
    <w:rsid w:val="00B6064E"/>
    <w:rsid w:val="00B62CFF"/>
    <w:rsid w:val="00B637F8"/>
    <w:rsid w:val="00B65B08"/>
    <w:rsid w:val="00B67001"/>
    <w:rsid w:val="00B714F8"/>
    <w:rsid w:val="00B737BE"/>
    <w:rsid w:val="00B762E3"/>
    <w:rsid w:val="00B80FD6"/>
    <w:rsid w:val="00B8325F"/>
    <w:rsid w:val="00B83499"/>
    <w:rsid w:val="00B83D63"/>
    <w:rsid w:val="00B8457A"/>
    <w:rsid w:val="00B8465F"/>
    <w:rsid w:val="00B84A42"/>
    <w:rsid w:val="00B858E1"/>
    <w:rsid w:val="00B90EAF"/>
    <w:rsid w:val="00B9358C"/>
    <w:rsid w:val="00B9445F"/>
    <w:rsid w:val="00B96422"/>
    <w:rsid w:val="00B97403"/>
    <w:rsid w:val="00BA27E6"/>
    <w:rsid w:val="00BA2910"/>
    <w:rsid w:val="00BA3ABA"/>
    <w:rsid w:val="00BA4CBD"/>
    <w:rsid w:val="00BA4D64"/>
    <w:rsid w:val="00BA59F0"/>
    <w:rsid w:val="00BA7B58"/>
    <w:rsid w:val="00BB1031"/>
    <w:rsid w:val="00BB2082"/>
    <w:rsid w:val="00BB2E89"/>
    <w:rsid w:val="00BB606F"/>
    <w:rsid w:val="00BC06A1"/>
    <w:rsid w:val="00BC1633"/>
    <w:rsid w:val="00BC1B68"/>
    <w:rsid w:val="00BC3772"/>
    <w:rsid w:val="00BC60D6"/>
    <w:rsid w:val="00BC6EC8"/>
    <w:rsid w:val="00BD0128"/>
    <w:rsid w:val="00BD1A63"/>
    <w:rsid w:val="00BD5B40"/>
    <w:rsid w:val="00BD77FC"/>
    <w:rsid w:val="00BE0A90"/>
    <w:rsid w:val="00BE0B7B"/>
    <w:rsid w:val="00BE2A7F"/>
    <w:rsid w:val="00BE39A9"/>
    <w:rsid w:val="00BE4585"/>
    <w:rsid w:val="00BE4770"/>
    <w:rsid w:val="00BE4DBB"/>
    <w:rsid w:val="00BE5223"/>
    <w:rsid w:val="00BE63E4"/>
    <w:rsid w:val="00BF16A2"/>
    <w:rsid w:val="00BF49C4"/>
    <w:rsid w:val="00BF4A72"/>
    <w:rsid w:val="00BF5376"/>
    <w:rsid w:val="00BF57CF"/>
    <w:rsid w:val="00BF6655"/>
    <w:rsid w:val="00BF6C46"/>
    <w:rsid w:val="00C00743"/>
    <w:rsid w:val="00C00F35"/>
    <w:rsid w:val="00C0395C"/>
    <w:rsid w:val="00C03DDB"/>
    <w:rsid w:val="00C04279"/>
    <w:rsid w:val="00C04ADF"/>
    <w:rsid w:val="00C07F1D"/>
    <w:rsid w:val="00C1076C"/>
    <w:rsid w:val="00C12D52"/>
    <w:rsid w:val="00C146D7"/>
    <w:rsid w:val="00C15487"/>
    <w:rsid w:val="00C217FA"/>
    <w:rsid w:val="00C219D6"/>
    <w:rsid w:val="00C21CD3"/>
    <w:rsid w:val="00C22E6B"/>
    <w:rsid w:val="00C24072"/>
    <w:rsid w:val="00C24CA1"/>
    <w:rsid w:val="00C25977"/>
    <w:rsid w:val="00C25B97"/>
    <w:rsid w:val="00C31035"/>
    <w:rsid w:val="00C32A97"/>
    <w:rsid w:val="00C33D68"/>
    <w:rsid w:val="00C35E68"/>
    <w:rsid w:val="00C40F08"/>
    <w:rsid w:val="00C436A6"/>
    <w:rsid w:val="00C45955"/>
    <w:rsid w:val="00C461DD"/>
    <w:rsid w:val="00C47192"/>
    <w:rsid w:val="00C50D61"/>
    <w:rsid w:val="00C5185E"/>
    <w:rsid w:val="00C53D8F"/>
    <w:rsid w:val="00C6133B"/>
    <w:rsid w:val="00C626A7"/>
    <w:rsid w:val="00C633B5"/>
    <w:rsid w:val="00C63443"/>
    <w:rsid w:val="00C63A98"/>
    <w:rsid w:val="00C63FF5"/>
    <w:rsid w:val="00C64040"/>
    <w:rsid w:val="00C6502F"/>
    <w:rsid w:val="00C667BA"/>
    <w:rsid w:val="00C668CE"/>
    <w:rsid w:val="00C66A1B"/>
    <w:rsid w:val="00C67EEB"/>
    <w:rsid w:val="00C707A7"/>
    <w:rsid w:val="00C7184F"/>
    <w:rsid w:val="00C72BF6"/>
    <w:rsid w:val="00C74985"/>
    <w:rsid w:val="00C759AF"/>
    <w:rsid w:val="00C75ED2"/>
    <w:rsid w:val="00C7737B"/>
    <w:rsid w:val="00C810E1"/>
    <w:rsid w:val="00C81343"/>
    <w:rsid w:val="00C8196E"/>
    <w:rsid w:val="00C81C72"/>
    <w:rsid w:val="00C82E14"/>
    <w:rsid w:val="00C83C2E"/>
    <w:rsid w:val="00C84F9F"/>
    <w:rsid w:val="00C85321"/>
    <w:rsid w:val="00C856E0"/>
    <w:rsid w:val="00C90E19"/>
    <w:rsid w:val="00C91858"/>
    <w:rsid w:val="00C918E2"/>
    <w:rsid w:val="00C9251E"/>
    <w:rsid w:val="00C95877"/>
    <w:rsid w:val="00C95E64"/>
    <w:rsid w:val="00C96B23"/>
    <w:rsid w:val="00C973AE"/>
    <w:rsid w:val="00CA0B8C"/>
    <w:rsid w:val="00CA0C00"/>
    <w:rsid w:val="00CA19D0"/>
    <w:rsid w:val="00CA1C1D"/>
    <w:rsid w:val="00CA29E8"/>
    <w:rsid w:val="00CA3C02"/>
    <w:rsid w:val="00CA3F0C"/>
    <w:rsid w:val="00CA540C"/>
    <w:rsid w:val="00CA56AA"/>
    <w:rsid w:val="00CA56F3"/>
    <w:rsid w:val="00CA607F"/>
    <w:rsid w:val="00CA64BB"/>
    <w:rsid w:val="00CA6832"/>
    <w:rsid w:val="00CA6CC3"/>
    <w:rsid w:val="00CB0136"/>
    <w:rsid w:val="00CB05C8"/>
    <w:rsid w:val="00CB07D6"/>
    <w:rsid w:val="00CB0FE0"/>
    <w:rsid w:val="00CB1675"/>
    <w:rsid w:val="00CB17BF"/>
    <w:rsid w:val="00CB2AD9"/>
    <w:rsid w:val="00CB38BD"/>
    <w:rsid w:val="00CB4B24"/>
    <w:rsid w:val="00CB57BE"/>
    <w:rsid w:val="00CB6720"/>
    <w:rsid w:val="00CB672D"/>
    <w:rsid w:val="00CB6D6E"/>
    <w:rsid w:val="00CB6F4C"/>
    <w:rsid w:val="00CB7841"/>
    <w:rsid w:val="00CC2E88"/>
    <w:rsid w:val="00CC3337"/>
    <w:rsid w:val="00CC5B42"/>
    <w:rsid w:val="00CC7DF1"/>
    <w:rsid w:val="00CD124F"/>
    <w:rsid w:val="00CD3115"/>
    <w:rsid w:val="00CE0AC8"/>
    <w:rsid w:val="00CE566B"/>
    <w:rsid w:val="00CE60B7"/>
    <w:rsid w:val="00CE7471"/>
    <w:rsid w:val="00CE7A0E"/>
    <w:rsid w:val="00CF0018"/>
    <w:rsid w:val="00CF1312"/>
    <w:rsid w:val="00CF1CEC"/>
    <w:rsid w:val="00CF2E23"/>
    <w:rsid w:val="00CF507B"/>
    <w:rsid w:val="00CF5827"/>
    <w:rsid w:val="00D0183F"/>
    <w:rsid w:val="00D02647"/>
    <w:rsid w:val="00D02BF3"/>
    <w:rsid w:val="00D03B3C"/>
    <w:rsid w:val="00D03FB8"/>
    <w:rsid w:val="00D1017C"/>
    <w:rsid w:val="00D101BE"/>
    <w:rsid w:val="00D1037A"/>
    <w:rsid w:val="00D118A2"/>
    <w:rsid w:val="00D11CEE"/>
    <w:rsid w:val="00D15637"/>
    <w:rsid w:val="00D15F07"/>
    <w:rsid w:val="00D21018"/>
    <w:rsid w:val="00D21471"/>
    <w:rsid w:val="00D220FA"/>
    <w:rsid w:val="00D223A9"/>
    <w:rsid w:val="00D22FA7"/>
    <w:rsid w:val="00D23BD8"/>
    <w:rsid w:val="00D24289"/>
    <w:rsid w:val="00D2462A"/>
    <w:rsid w:val="00D252FE"/>
    <w:rsid w:val="00D30D5A"/>
    <w:rsid w:val="00D3144F"/>
    <w:rsid w:val="00D31F75"/>
    <w:rsid w:val="00D32EEB"/>
    <w:rsid w:val="00D34BD1"/>
    <w:rsid w:val="00D35F9B"/>
    <w:rsid w:val="00D365FE"/>
    <w:rsid w:val="00D42691"/>
    <w:rsid w:val="00D455B4"/>
    <w:rsid w:val="00D45937"/>
    <w:rsid w:val="00D460BB"/>
    <w:rsid w:val="00D4634C"/>
    <w:rsid w:val="00D47117"/>
    <w:rsid w:val="00D4721B"/>
    <w:rsid w:val="00D473F5"/>
    <w:rsid w:val="00D47D4E"/>
    <w:rsid w:val="00D50C49"/>
    <w:rsid w:val="00D516C3"/>
    <w:rsid w:val="00D52005"/>
    <w:rsid w:val="00D53C76"/>
    <w:rsid w:val="00D550FB"/>
    <w:rsid w:val="00D5655E"/>
    <w:rsid w:val="00D573D9"/>
    <w:rsid w:val="00D57545"/>
    <w:rsid w:val="00D57D57"/>
    <w:rsid w:val="00D600CD"/>
    <w:rsid w:val="00D601A4"/>
    <w:rsid w:val="00D60E47"/>
    <w:rsid w:val="00D6183F"/>
    <w:rsid w:val="00D63830"/>
    <w:rsid w:val="00D66E14"/>
    <w:rsid w:val="00D67962"/>
    <w:rsid w:val="00D70CD4"/>
    <w:rsid w:val="00D71AEA"/>
    <w:rsid w:val="00D71D97"/>
    <w:rsid w:val="00D75F8B"/>
    <w:rsid w:val="00D75FF0"/>
    <w:rsid w:val="00D77BFD"/>
    <w:rsid w:val="00D83AAD"/>
    <w:rsid w:val="00D85CF6"/>
    <w:rsid w:val="00D86798"/>
    <w:rsid w:val="00D8693E"/>
    <w:rsid w:val="00D9038A"/>
    <w:rsid w:val="00D92236"/>
    <w:rsid w:val="00D934DB"/>
    <w:rsid w:val="00D94BDD"/>
    <w:rsid w:val="00D94BF3"/>
    <w:rsid w:val="00DA159B"/>
    <w:rsid w:val="00DA231E"/>
    <w:rsid w:val="00DB3045"/>
    <w:rsid w:val="00DB4707"/>
    <w:rsid w:val="00DC1C60"/>
    <w:rsid w:val="00DC2385"/>
    <w:rsid w:val="00DC33CB"/>
    <w:rsid w:val="00DC3FCB"/>
    <w:rsid w:val="00DC5DB1"/>
    <w:rsid w:val="00DD4DE1"/>
    <w:rsid w:val="00DD69D6"/>
    <w:rsid w:val="00DD6D1E"/>
    <w:rsid w:val="00DD7577"/>
    <w:rsid w:val="00DE042E"/>
    <w:rsid w:val="00DE153F"/>
    <w:rsid w:val="00DE1BFB"/>
    <w:rsid w:val="00DE221B"/>
    <w:rsid w:val="00DE60F2"/>
    <w:rsid w:val="00DF2185"/>
    <w:rsid w:val="00DF4C11"/>
    <w:rsid w:val="00DF5D25"/>
    <w:rsid w:val="00DF690E"/>
    <w:rsid w:val="00DF702D"/>
    <w:rsid w:val="00E04A17"/>
    <w:rsid w:val="00E05A53"/>
    <w:rsid w:val="00E07B11"/>
    <w:rsid w:val="00E10756"/>
    <w:rsid w:val="00E1264B"/>
    <w:rsid w:val="00E14A8D"/>
    <w:rsid w:val="00E17BCD"/>
    <w:rsid w:val="00E219BB"/>
    <w:rsid w:val="00E21A9B"/>
    <w:rsid w:val="00E21BC4"/>
    <w:rsid w:val="00E23732"/>
    <w:rsid w:val="00E24DF0"/>
    <w:rsid w:val="00E26988"/>
    <w:rsid w:val="00E26D59"/>
    <w:rsid w:val="00E30A95"/>
    <w:rsid w:val="00E31EA9"/>
    <w:rsid w:val="00E340DB"/>
    <w:rsid w:val="00E34BCA"/>
    <w:rsid w:val="00E3660A"/>
    <w:rsid w:val="00E377BD"/>
    <w:rsid w:val="00E37C5A"/>
    <w:rsid w:val="00E40CE4"/>
    <w:rsid w:val="00E41870"/>
    <w:rsid w:val="00E42702"/>
    <w:rsid w:val="00E447B6"/>
    <w:rsid w:val="00E45351"/>
    <w:rsid w:val="00E5192C"/>
    <w:rsid w:val="00E532E4"/>
    <w:rsid w:val="00E541DE"/>
    <w:rsid w:val="00E54B0B"/>
    <w:rsid w:val="00E5516A"/>
    <w:rsid w:val="00E57E73"/>
    <w:rsid w:val="00E62044"/>
    <w:rsid w:val="00E63E6F"/>
    <w:rsid w:val="00E644C8"/>
    <w:rsid w:val="00E657FE"/>
    <w:rsid w:val="00E662DE"/>
    <w:rsid w:val="00E668D4"/>
    <w:rsid w:val="00E67917"/>
    <w:rsid w:val="00E67F57"/>
    <w:rsid w:val="00E706E4"/>
    <w:rsid w:val="00E708E9"/>
    <w:rsid w:val="00E738CC"/>
    <w:rsid w:val="00E760BD"/>
    <w:rsid w:val="00E8060C"/>
    <w:rsid w:val="00E81269"/>
    <w:rsid w:val="00E83DE4"/>
    <w:rsid w:val="00E83EB8"/>
    <w:rsid w:val="00E86DAD"/>
    <w:rsid w:val="00E91515"/>
    <w:rsid w:val="00E94210"/>
    <w:rsid w:val="00E963A1"/>
    <w:rsid w:val="00E97415"/>
    <w:rsid w:val="00EA051D"/>
    <w:rsid w:val="00EA3D0B"/>
    <w:rsid w:val="00EA5554"/>
    <w:rsid w:val="00EA5EF5"/>
    <w:rsid w:val="00EA6FAA"/>
    <w:rsid w:val="00EA7EEA"/>
    <w:rsid w:val="00EB11B1"/>
    <w:rsid w:val="00EB15B3"/>
    <w:rsid w:val="00EB15D2"/>
    <w:rsid w:val="00EB1FC1"/>
    <w:rsid w:val="00EB34C0"/>
    <w:rsid w:val="00EB3A00"/>
    <w:rsid w:val="00EB4EF9"/>
    <w:rsid w:val="00EB5029"/>
    <w:rsid w:val="00EB5C47"/>
    <w:rsid w:val="00EB6B8A"/>
    <w:rsid w:val="00EC00C2"/>
    <w:rsid w:val="00EC0527"/>
    <w:rsid w:val="00EC1FB3"/>
    <w:rsid w:val="00EC2758"/>
    <w:rsid w:val="00EC388D"/>
    <w:rsid w:val="00EC40A8"/>
    <w:rsid w:val="00EC43FD"/>
    <w:rsid w:val="00EC5239"/>
    <w:rsid w:val="00EC5BEA"/>
    <w:rsid w:val="00EC650E"/>
    <w:rsid w:val="00ED2269"/>
    <w:rsid w:val="00ED329F"/>
    <w:rsid w:val="00ED3836"/>
    <w:rsid w:val="00ED38C5"/>
    <w:rsid w:val="00ED45B9"/>
    <w:rsid w:val="00ED7C20"/>
    <w:rsid w:val="00EE254C"/>
    <w:rsid w:val="00EE459C"/>
    <w:rsid w:val="00EE56A9"/>
    <w:rsid w:val="00EE65C7"/>
    <w:rsid w:val="00EE74FB"/>
    <w:rsid w:val="00EE7A15"/>
    <w:rsid w:val="00EF06B0"/>
    <w:rsid w:val="00EF0EDF"/>
    <w:rsid w:val="00EF0F0B"/>
    <w:rsid w:val="00EF102C"/>
    <w:rsid w:val="00EF2413"/>
    <w:rsid w:val="00EF5DD7"/>
    <w:rsid w:val="00EF5FF3"/>
    <w:rsid w:val="00EF6AB4"/>
    <w:rsid w:val="00F027CC"/>
    <w:rsid w:val="00F03A74"/>
    <w:rsid w:val="00F04A44"/>
    <w:rsid w:val="00F0509C"/>
    <w:rsid w:val="00F11734"/>
    <w:rsid w:val="00F11BCA"/>
    <w:rsid w:val="00F15672"/>
    <w:rsid w:val="00F17864"/>
    <w:rsid w:val="00F17D45"/>
    <w:rsid w:val="00F210BE"/>
    <w:rsid w:val="00F213C7"/>
    <w:rsid w:val="00F2541A"/>
    <w:rsid w:val="00F366EF"/>
    <w:rsid w:val="00F37D80"/>
    <w:rsid w:val="00F404A4"/>
    <w:rsid w:val="00F40CB3"/>
    <w:rsid w:val="00F428A4"/>
    <w:rsid w:val="00F44323"/>
    <w:rsid w:val="00F46AC3"/>
    <w:rsid w:val="00F51AEB"/>
    <w:rsid w:val="00F5288D"/>
    <w:rsid w:val="00F53C01"/>
    <w:rsid w:val="00F57249"/>
    <w:rsid w:val="00F60CFE"/>
    <w:rsid w:val="00F67C0E"/>
    <w:rsid w:val="00F70C7B"/>
    <w:rsid w:val="00F74460"/>
    <w:rsid w:val="00F74ECB"/>
    <w:rsid w:val="00F80BD6"/>
    <w:rsid w:val="00F82486"/>
    <w:rsid w:val="00F83636"/>
    <w:rsid w:val="00F83861"/>
    <w:rsid w:val="00F84AEB"/>
    <w:rsid w:val="00F851C7"/>
    <w:rsid w:val="00F94C51"/>
    <w:rsid w:val="00FA1262"/>
    <w:rsid w:val="00FA4EDF"/>
    <w:rsid w:val="00FB049F"/>
    <w:rsid w:val="00FB451F"/>
    <w:rsid w:val="00FB54F5"/>
    <w:rsid w:val="00FB6FC7"/>
    <w:rsid w:val="00FB7DCF"/>
    <w:rsid w:val="00FC29B3"/>
    <w:rsid w:val="00FC3E1F"/>
    <w:rsid w:val="00FC42F6"/>
    <w:rsid w:val="00FC4BF3"/>
    <w:rsid w:val="00FC5858"/>
    <w:rsid w:val="00FC7CC2"/>
    <w:rsid w:val="00FD2047"/>
    <w:rsid w:val="00FD26CE"/>
    <w:rsid w:val="00FD27B0"/>
    <w:rsid w:val="00FD2AD3"/>
    <w:rsid w:val="00FD32AD"/>
    <w:rsid w:val="00FD3714"/>
    <w:rsid w:val="00FD5205"/>
    <w:rsid w:val="00FD6CF9"/>
    <w:rsid w:val="00FD783B"/>
    <w:rsid w:val="00FE0F94"/>
    <w:rsid w:val="00FE16FD"/>
    <w:rsid w:val="00FE2886"/>
    <w:rsid w:val="00FE2973"/>
    <w:rsid w:val="00FE2DD4"/>
    <w:rsid w:val="00FE37F2"/>
    <w:rsid w:val="00FE3AEE"/>
    <w:rsid w:val="00FE3BE4"/>
    <w:rsid w:val="00FE6B14"/>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B3BC5"/>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6B20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0A0F"/>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D550FB"/>
    <w:rPr>
      <w:rFonts w:ascii="Arial" w:hAnsi="Arial"/>
      <w:sz w:val="22"/>
      <w:szCs w:val="20"/>
    </w:rPr>
  </w:style>
  <w:style w:type="character" w:customStyle="1" w:styleId="FootnoteTextChar">
    <w:name w:val="Footnote Text Char"/>
    <w:basedOn w:val="DefaultParagraphFont"/>
    <w:link w:val="FootnoteText"/>
    <w:uiPriority w:val="99"/>
    <w:semiHidden/>
    <w:rsid w:val="00D550FB"/>
    <w:rPr>
      <w:rFonts w:ascii="Arial" w:eastAsia="Times New Roman" w:hAnsi="Arial" w:cs="Times New Roman"/>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paragraph" w:styleId="BodyTextIndent">
    <w:name w:val="Body Text Indent"/>
    <w:basedOn w:val="Normal"/>
    <w:link w:val="BodyTextIndentChar"/>
    <w:uiPriority w:val="99"/>
    <w:unhideWhenUsed/>
    <w:rsid w:val="00B22070"/>
    <w:pPr>
      <w:spacing w:line="360" w:lineRule="auto"/>
      <w:ind w:left="709" w:hanging="709"/>
      <w:jc w:val="both"/>
    </w:pPr>
    <w:rPr>
      <w:rFonts w:ascii="Arial" w:hAnsi="Arial" w:cs="Arial"/>
    </w:rPr>
  </w:style>
  <w:style w:type="character" w:customStyle="1" w:styleId="BodyTextIndentChar">
    <w:name w:val="Body Text Indent Char"/>
    <w:basedOn w:val="DefaultParagraphFont"/>
    <w:link w:val="BodyTextIndent"/>
    <w:uiPriority w:val="99"/>
    <w:rsid w:val="00B22070"/>
    <w:rPr>
      <w:rFonts w:ascii="Arial" w:eastAsia="Times New Roman" w:hAnsi="Arial" w:cs="Arial"/>
      <w:sz w:val="24"/>
      <w:szCs w:val="24"/>
    </w:rPr>
  </w:style>
  <w:style w:type="paragraph" w:customStyle="1" w:styleId="hit-location">
    <w:name w:val="hit-location"/>
    <w:basedOn w:val="Normal"/>
    <w:rsid w:val="00D32EEB"/>
    <w:pPr>
      <w:spacing w:before="100" w:beforeAutospacing="1" w:after="100" w:afterAutospacing="1"/>
    </w:pPr>
    <w:rPr>
      <w:lang w:val="en-GB" w:eastAsia="en-GB"/>
    </w:rPr>
  </w:style>
  <w:style w:type="character" w:customStyle="1" w:styleId="Heading2Char">
    <w:name w:val="Heading 2 Char"/>
    <w:basedOn w:val="DefaultParagraphFont"/>
    <w:link w:val="Heading2"/>
    <w:uiPriority w:val="9"/>
    <w:rsid w:val="006B20C8"/>
    <w:rPr>
      <w:rFonts w:asciiTheme="majorHAnsi" w:eastAsiaTheme="majorEastAsia" w:hAnsiTheme="majorHAnsi" w:cstheme="majorBidi"/>
      <w:color w:val="365F91" w:themeColor="accent1" w:themeShade="BF"/>
      <w:sz w:val="26"/>
      <w:szCs w:val="26"/>
    </w:rPr>
  </w:style>
  <w:style w:type="paragraph" w:customStyle="1" w:styleId="western">
    <w:name w:val="western"/>
    <w:basedOn w:val="Normal"/>
    <w:rsid w:val="004672D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139465874">
      <w:bodyDiv w:val="1"/>
      <w:marLeft w:val="0"/>
      <w:marRight w:val="0"/>
      <w:marTop w:val="0"/>
      <w:marBottom w:val="0"/>
      <w:divBdr>
        <w:top w:val="none" w:sz="0" w:space="0" w:color="auto"/>
        <w:left w:val="none" w:sz="0" w:space="0" w:color="auto"/>
        <w:bottom w:val="none" w:sz="0" w:space="0" w:color="auto"/>
        <w:right w:val="none" w:sz="0" w:space="0" w:color="auto"/>
      </w:divBdr>
    </w:div>
    <w:div w:id="206572978">
      <w:bodyDiv w:val="1"/>
      <w:marLeft w:val="0"/>
      <w:marRight w:val="0"/>
      <w:marTop w:val="0"/>
      <w:marBottom w:val="0"/>
      <w:divBdr>
        <w:top w:val="none" w:sz="0" w:space="0" w:color="auto"/>
        <w:left w:val="none" w:sz="0" w:space="0" w:color="auto"/>
        <w:bottom w:val="none" w:sz="0" w:space="0" w:color="auto"/>
        <w:right w:val="none" w:sz="0" w:space="0" w:color="auto"/>
      </w:divBdr>
    </w:div>
    <w:div w:id="505362732">
      <w:bodyDiv w:val="1"/>
      <w:marLeft w:val="0"/>
      <w:marRight w:val="0"/>
      <w:marTop w:val="0"/>
      <w:marBottom w:val="0"/>
      <w:divBdr>
        <w:top w:val="none" w:sz="0" w:space="0" w:color="auto"/>
        <w:left w:val="none" w:sz="0" w:space="0" w:color="auto"/>
        <w:bottom w:val="none" w:sz="0" w:space="0" w:color="auto"/>
        <w:right w:val="none" w:sz="0" w:space="0" w:color="auto"/>
      </w:divBdr>
      <w:divsChild>
        <w:div w:id="1070495716">
          <w:marLeft w:val="-225"/>
          <w:marRight w:val="-225"/>
          <w:marTop w:val="300"/>
          <w:marBottom w:val="0"/>
          <w:divBdr>
            <w:top w:val="none" w:sz="0" w:space="0" w:color="auto"/>
            <w:left w:val="none" w:sz="0" w:space="0" w:color="auto"/>
            <w:bottom w:val="none" w:sz="0" w:space="0" w:color="auto"/>
            <w:right w:val="none" w:sz="0" w:space="0" w:color="auto"/>
          </w:divBdr>
        </w:div>
      </w:divsChild>
    </w:div>
    <w:div w:id="732047907">
      <w:bodyDiv w:val="1"/>
      <w:marLeft w:val="0"/>
      <w:marRight w:val="0"/>
      <w:marTop w:val="0"/>
      <w:marBottom w:val="0"/>
      <w:divBdr>
        <w:top w:val="none" w:sz="0" w:space="0" w:color="auto"/>
        <w:left w:val="none" w:sz="0" w:space="0" w:color="auto"/>
        <w:bottom w:val="none" w:sz="0" w:space="0" w:color="auto"/>
        <w:right w:val="none" w:sz="0" w:space="0" w:color="auto"/>
      </w:divBdr>
    </w:div>
    <w:div w:id="1021972960">
      <w:bodyDiv w:val="1"/>
      <w:marLeft w:val="0"/>
      <w:marRight w:val="0"/>
      <w:marTop w:val="0"/>
      <w:marBottom w:val="0"/>
      <w:divBdr>
        <w:top w:val="none" w:sz="0" w:space="0" w:color="auto"/>
        <w:left w:val="none" w:sz="0" w:space="0" w:color="auto"/>
        <w:bottom w:val="none" w:sz="0" w:space="0" w:color="auto"/>
        <w:right w:val="none" w:sz="0" w:space="0" w:color="auto"/>
      </w:divBdr>
    </w:div>
    <w:div w:id="1029526946">
      <w:bodyDiv w:val="1"/>
      <w:marLeft w:val="0"/>
      <w:marRight w:val="0"/>
      <w:marTop w:val="0"/>
      <w:marBottom w:val="0"/>
      <w:divBdr>
        <w:top w:val="none" w:sz="0" w:space="0" w:color="auto"/>
        <w:left w:val="none" w:sz="0" w:space="0" w:color="auto"/>
        <w:bottom w:val="none" w:sz="0" w:space="0" w:color="auto"/>
        <w:right w:val="none" w:sz="0" w:space="0" w:color="auto"/>
      </w:divBdr>
    </w:div>
    <w:div w:id="1103502132">
      <w:bodyDiv w:val="1"/>
      <w:marLeft w:val="0"/>
      <w:marRight w:val="0"/>
      <w:marTop w:val="0"/>
      <w:marBottom w:val="0"/>
      <w:divBdr>
        <w:top w:val="none" w:sz="0" w:space="0" w:color="auto"/>
        <w:left w:val="none" w:sz="0" w:space="0" w:color="auto"/>
        <w:bottom w:val="none" w:sz="0" w:space="0" w:color="auto"/>
        <w:right w:val="none" w:sz="0" w:space="0" w:color="auto"/>
      </w:divBdr>
    </w:div>
    <w:div w:id="1414280097">
      <w:bodyDiv w:val="1"/>
      <w:marLeft w:val="0"/>
      <w:marRight w:val="0"/>
      <w:marTop w:val="0"/>
      <w:marBottom w:val="0"/>
      <w:divBdr>
        <w:top w:val="none" w:sz="0" w:space="0" w:color="auto"/>
        <w:left w:val="none" w:sz="0" w:space="0" w:color="auto"/>
        <w:bottom w:val="none" w:sz="0" w:space="0" w:color="auto"/>
        <w:right w:val="none" w:sz="0" w:space="0" w:color="auto"/>
      </w:divBdr>
    </w:div>
    <w:div w:id="1720400208">
      <w:bodyDiv w:val="1"/>
      <w:marLeft w:val="0"/>
      <w:marRight w:val="0"/>
      <w:marTop w:val="0"/>
      <w:marBottom w:val="0"/>
      <w:divBdr>
        <w:top w:val="none" w:sz="0" w:space="0" w:color="auto"/>
        <w:left w:val="none" w:sz="0" w:space="0" w:color="auto"/>
        <w:bottom w:val="none" w:sz="0" w:space="0" w:color="auto"/>
        <w:right w:val="none" w:sz="0" w:space="0" w:color="auto"/>
      </w:divBdr>
    </w:div>
    <w:div w:id="1732191793">
      <w:bodyDiv w:val="1"/>
      <w:marLeft w:val="0"/>
      <w:marRight w:val="0"/>
      <w:marTop w:val="0"/>
      <w:marBottom w:val="0"/>
      <w:divBdr>
        <w:top w:val="none" w:sz="0" w:space="0" w:color="auto"/>
        <w:left w:val="none" w:sz="0" w:space="0" w:color="auto"/>
        <w:bottom w:val="none" w:sz="0" w:space="0" w:color="auto"/>
        <w:right w:val="none" w:sz="0" w:space="0" w:color="auto"/>
      </w:divBdr>
      <w:divsChild>
        <w:div w:id="6447891">
          <w:marLeft w:val="-225"/>
          <w:marRight w:val="-225"/>
          <w:marTop w:val="300"/>
          <w:marBottom w:val="0"/>
          <w:divBdr>
            <w:top w:val="none" w:sz="0" w:space="0" w:color="auto"/>
            <w:left w:val="none" w:sz="0" w:space="0" w:color="auto"/>
            <w:bottom w:val="none" w:sz="0" w:space="0" w:color="auto"/>
            <w:right w:val="none" w:sz="0" w:space="0" w:color="auto"/>
          </w:divBdr>
        </w:div>
      </w:divsChild>
    </w:div>
    <w:div w:id="1757286759">
      <w:bodyDiv w:val="1"/>
      <w:marLeft w:val="0"/>
      <w:marRight w:val="0"/>
      <w:marTop w:val="0"/>
      <w:marBottom w:val="0"/>
      <w:divBdr>
        <w:top w:val="none" w:sz="0" w:space="0" w:color="auto"/>
        <w:left w:val="none" w:sz="0" w:space="0" w:color="auto"/>
        <w:bottom w:val="none" w:sz="0" w:space="0" w:color="auto"/>
        <w:right w:val="none" w:sz="0" w:space="0" w:color="auto"/>
      </w:divBdr>
    </w:div>
    <w:div w:id="1883516830">
      <w:bodyDiv w:val="1"/>
      <w:marLeft w:val="0"/>
      <w:marRight w:val="0"/>
      <w:marTop w:val="0"/>
      <w:marBottom w:val="0"/>
      <w:divBdr>
        <w:top w:val="none" w:sz="0" w:space="0" w:color="auto"/>
        <w:left w:val="none" w:sz="0" w:space="0" w:color="auto"/>
        <w:bottom w:val="none" w:sz="0" w:space="0" w:color="auto"/>
        <w:right w:val="none" w:sz="0" w:space="0" w:color="auto"/>
      </w:divBdr>
    </w:div>
    <w:div w:id="1948656767">
      <w:bodyDiv w:val="1"/>
      <w:marLeft w:val="0"/>
      <w:marRight w:val="0"/>
      <w:marTop w:val="0"/>
      <w:marBottom w:val="0"/>
      <w:divBdr>
        <w:top w:val="none" w:sz="0" w:space="0" w:color="auto"/>
        <w:left w:val="none" w:sz="0" w:space="0" w:color="auto"/>
        <w:bottom w:val="none" w:sz="0" w:space="0" w:color="auto"/>
        <w:right w:val="none" w:sz="0" w:space="0" w:color="auto"/>
      </w:divBdr>
      <w:divsChild>
        <w:div w:id="817305574">
          <w:marLeft w:val="-225"/>
          <w:marRight w:val="-225"/>
          <w:marTop w:val="300"/>
          <w:marBottom w:val="0"/>
          <w:divBdr>
            <w:top w:val="none" w:sz="0" w:space="0" w:color="auto"/>
            <w:left w:val="none" w:sz="0" w:space="0" w:color="auto"/>
            <w:bottom w:val="none" w:sz="0" w:space="0" w:color="auto"/>
            <w:right w:val="none" w:sz="0" w:space="0" w:color="auto"/>
          </w:divBdr>
        </w:div>
      </w:divsChild>
    </w:div>
    <w:div w:id="1975671309">
      <w:bodyDiv w:val="1"/>
      <w:marLeft w:val="0"/>
      <w:marRight w:val="0"/>
      <w:marTop w:val="0"/>
      <w:marBottom w:val="0"/>
      <w:divBdr>
        <w:top w:val="none" w:sz="0" w:space="0" w:color="auto"/>
        <w:left w:val="none" w:sz="0" w:space="0" w:color="auto"/>
        <w:bottom w:val="none" w:sz="0" w:space="0" w:color="auto"/>
        <w:right w:val="none" w:sz="0" w:space="0" w:color="auto"/>
      </w:divBdr>
    </w:div>
    <w:div w:id="21012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llinsdictionary.com/dictionary/english/settlement" TargetMode="External"/><Relationship Id="rId2" Type="http://schemas.openxmlformats.org/officeDocument/2006/relationships/hyperlink" Target="https://www.collinsdictionary.com/dictionary/english/judgment" TargetMode="External"/><Relationship Id="rId1" Type="http://schemas.openxmlformats.org/officeDocument/2006/relationships/hyperlink" Target="https://www.collinsdictionary.com/dictionary/english/await" TargetMode="External"/><Relationship Id="rId5" Type="http://schemas.openxmlformats.org/officeDocument/2006/relationships/hyperlink" Target="https://www.mylexisnexis.co.za/LegalCitator/FullDetails.aspx?caseid=114449" TargetMode="External"/><Relationship Id="rId4" Type="http://schemas.openxmlformats.org/officeDocument/2006/relationships/hyperlink" Target="https://www.collinsdictionary.com/dictionary/english/p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71D0CC2-EC54-4A5A-8048-42735E06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4072</Words>
  <Characters>23212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Motseki Morobane</dc:creator>
  <cp:lastModifiedBy>Mokone</cp:lastModifiedBy>
  <cp:revision>2</cp:revision>
  <cp:lastPrinted>2023-09-08T08:51:00Z</cp:lastPrinted>
  <dcterms:created xsi:type="dcterms:W3CDTF">2023-09-12T14:05:00Z</dcterms:created>
  <dcterms:modified xsi:type="dcterms:W3CDTF">2023-09-12T14:05:00Z</dcterms:modified>
</cp:coreProperties>
</file>