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15" w:rsidRDefault="00D30EE9" w:rsidP="00F01015">
      <w:pPr>
        <w:spacing w:after="0" w:line="240" w:lineRule="auto"/>
        <w:jc w:val="center"/>
        <w:rPr>
          <w:rFonts w:ascii="Arial" w:hAnsi="Arial" w:cs="Arial"/>
          <w:sz w:val="24"/>
          <w:szCs w:val="24"/>
        </w:rPr>
      </w:pPr>
      <w:bookmarkStart w:id="0" w:name="_GoBack"/>
      <w:bookmarkEnd w:id="0"/>
      <w:r w:rsidRPr="00D30EE9">
        <w:rPr>
          <w:rFonts w:ascii="Calibri" w:eastAsia="Calibri" w:hAnsi="Calibri" w:cs="Times New Roman"/>
          <w:noProof/>
          <w:lang w:val="en-US"/>
        </w:rPr>
        <w:drawing>
          <wp:anchor distT="0" distB="0" distL="0" distR="0" simplePos="0" relativeHeight="251659264" behindDoc="1" locked="0" layoutInCell="1" allowOverlap="1" wp14:anchorId="73279993" wp14:editId="513B8719">
            <wp:simplePos x="0" y="0"/>
            <wp:positionH relativeFrom="column">
              <wp:posOffset>2070126</wp:posOffset>
            </wp:positionH>
            <wp:positionV relativeFrom="line">
              <wp:posOffset>204</wp:posOffset>
            </wp:positionV>
            <wp:extent cx="1394232" cy="1394232"/>
            <wp:effectExtent l="0" t="0" r="0" b="0"/>
            <wp:wrapTight wrapText="bothSides">
              <wp:wrapPolygon edited="0">
                <wp:start x="0" y="0"/>
                <wp:lineTo x="0" y="21256"/>
                <wp:lineTo x="21256" y="21256"/>
                <wp:lineTo x="21256" y="0"/>
                <wp:lineTo x="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232" cy="1394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015" w:rsidRDefault="00F01015" w:rsidP="00F01015">
      <w:pPr>
        <w:pStyle w:val="Heading1"/>
        <w:jc w:val="center"/>
        <w:rPr>
          <w:rFonts w:ascii="Arial" w:hAnsi="Arial" w:cs="Arial"/>
          <w:szCs w:val="24"/>
        </w:rPr>
      </w:pPr>
    </w:p>
    <w:p w:rsidR="00F01015" w:rsidRDefault="00F01015" w:rsidP="00F01015">
      <w:pPr>
        <w:pStyle w:val="Heading1"/>
        <w:jc w:val="center"/>
        <w:rPr>
          <w:rFonts w:ascii="Arial" w:hAnsi="Arial" w:cs="Arial"/>
          <w:szCs w:val="24"/>
        </w:rPr>
      </w:pPr>
    </w:p>
    <w:p w:rsidR="00F01015" w:rsidRDefault="00F01015" w:rsidP="00F01015">
      <w:pPr>
        <w:pStyle w:val="Heading1"/>
        <w:rPr>
          <w:rFonts w:ascii="Arial" w:hAnsi="Arial" w:cs="Arial"/>
          <w:szCs w:val="24"/>
        </w:rPr>
      </w:pPr>
    </w:p>
    <w:p w:rsidR="00F01015" w:rsidRDefault="00F01015" w:rsidP="00F01015">
      <w:pPr>
        <w:spacing w:after="0" w:line="240" w:lineRule="auto"/>
        <w:jc w:val="center"/>
        <w:rPr>
          <w:rFonts w:ascii="Arial" w:hAnsi="Arial" w:cs="Arial"/>
          <w:b/>
          <w:sz w:val="24"/>
          <w:szCs w:val="24"/>
          <w:u w:val="single"/>
        </w:rPr>
      </w:pPr>
    </w:p>
    <w:p w:rsidR="00D30EE9" w:rsidRDefault="00D30EE9" w:rsidP="00F01015">
      <w:pPr>
        <w:spacing w:after="0" w:line="240" w:lineRule="auto"/>
        <w:jc w:val="center"/>
        <w:rPr>
          <w:rFonts w:ascii="Arial" w:hAnsi="Arial" w:cs="Arial"/>
          <w:b/>
          <w:sz w:val="24"/>
          <w:szCs w:val="24"/>
          <w:u w:val="single"/>
        </w:rPr>
      </w:pPr>
    </w:p>
    <w:p w:rsidR="00D30EE9" w:rsidRDefault="00D30EE9" w:rsidP="00F01015">
      <w:pPr>
        <w:spacing w:after="0" w:line="240" w:lineRule="auto"/>
        <w:jc w:val="center"/>
        <w:rPr>
          <w:rFonts w:ascii="Arial" w:hAnsi="Arial" w:cs="Arial"/>
          <w:b/>
          <w:sz w:val="24"/>
          <w:szCs w:val="24"/>
          <w:u w:val="single"/>
        </w:rPr>
      </w:pPr>
    </w:p>
    <w:p w:rsidR="00D30EE9" w:rsidRDefault="00D30EE9" w:rsidP="00F01015">
      <w:pPr>
        <w:spacing w:after="0" w:line="240" w:lineRule="auto"/>
        <w:jc w:val="center"/>
        <w:rPr>
          <w:rFonts w:ascii="Arial" w:hAnsi="Arial" w:cs="Arial"/>
          <w:b/>
          <w:sz w:val="24"/>
          <w:szCs w:val="24"/>
          <w:u w:val="single"/>
        </w:rPr>
      </w:pPr>
    </w:p>
    <w:p w:rsidR="00D34E06" w:rsidRDefault="00D34E06" w:rsidP="00F01015">
      <w:pPr>
        <w:spacing w:after="0" w:line="240" w:lineRule="auto"/>
        <w:jc w:val="center"/>
        <w:rPr>
          <w:rFonts w:ascii="Arial" w:hAnsi="Arial" w:cs="Arial"/>
          <w:b/>
          <w:sz w:val="24"/>
          <w:szCs w:val="24"/>
          <w:u w:val="single"/>
        </w:rPr>
      </w:pPr>
    </w:p>
    <w:p w:rsidR="00F01015" w:rsidRDefault="00F01015" w:rsidP="00F01015">
      <w:pPr>
        <w:spacing w:after="0" w:line="240" w:lineRule="auto"/>
        <w:jc w:val="center"/>
        <w:rPr>
          <w:rFonts w:ascii="Arial" w:hAnsi="Arial" w:cs="Arial"/>
          <w:b/>
          <w:sz w:val="24"/>
          <w:szCs w:val="24"/>
          <w:u w:val="single"/>
        </w:rPr>
      </w:pPr>
      <w:r>
        <w:rPr>
          <w:rFonts w:ascii="Arial" w:hAnsi="Arial" w:cs="Arial"/>
          <w:b/>
          <w:sz w:val="24"/>
          <w:szCs w:val="24"/>
          <w:u w:val="single"/>
        </w:rPr>
        <w:t>IN THE HIGH COURT OF SOUTH AFRICA,</w:t>
      </w:r>
    </w:p>
    <w:p w:rsidR="00F01015" w:rsidRDefault="00F01015" w:rsidP="00F01015">
      <w:pPr>
        <w:spacing w:after="0" w:line="240" w:lineRule="auto"/>
        <w:jc w:val="center"/>
        <w:rPr>
          <w:rFonts w:ascii="Arial" w:hAnsi="Arial" w:cs="Arial"/>
          <w:b/>
          <w:sz w:val="24"/>
          <w:szCs w:val="24"/>
          <w:u w:val="single"/>
        </w:rPr>
      </w:pPr>
      <w:r>
        <w:rPr>
          <w:rFonts w:ascii="Arial" w:hAnsi="Arial" w:cs="Arial"/>
          <w:b/>
          <w:sz w:val="24"/>
          <w:szCs w:val="24"/>
          <w:u w:val="single"/>
        </w:rPr>
        <w:t>FREE STATE DIVISION, BLOEMFONTEIN</w:t>
      </w:r>
    </w:p>
    <w:p w:rsidR="00D34E06" w:rsidRDefault="00D34E06" w:rsidP="00F01015">
      <w:pPr>
        <w:spacing w:after="0" w:line="240" w:lineRule="auto"/>
        <w:jc w:val="center"/>
        <w:rPr>
          <w:rFonts w:ascii="Arial" w:hAnsi="Arial" w:cs="Arial"/>
          <w:b/>
          <w:sz w:val="24"/>
          <w:szCs w:val="24"/>
          <w:u w:val="single"/>
        </w:rPr>
      </w:pPr>
    </w:p>
    <w:tbl>
      <w:tblPr>
        <w:tblStyle w:val="TableGrid"/>
        <w:tblW w:w="3896" w:type="dxa"/>
        <w:tblInd w:w="5353" w:type="dxa"/>
        <w:tblLook w:val="04A0" w:firstRow="1" w:lastRow="0" w:firstColumn="1" w:lastColumn="0" w:noHBand="0" w:noVBand="1"/>
      </w:tblPr>
      <w:tblGrid>
        <w:gridCol w:w="3896"/>
      </w:tblGrid>
      <w:tr w:rsidR="00F01015" w:rsidTr="00D30EE9">
        <w:trPr>
          <w:trHeight w:val="832"/>
        </w:trPr>
        <w:tc>
          <w:tcPr>
            <w:tcW w:w="38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1015" w:rsidRPr="00D30EE9" w:rsidRDefault="00F01015">
            <w:pPr>
              <w:spacing w:line="240" w:lineRule="auto"/>
              <w:rPr>
                <w:rFonts w:ascii="Arial" w:eastAsia="Times New Roman" w:hAnsi="Arial" w:cs="Arial"/>
                <w:b/>
                <w:sz w:val="20"/>
                <w:szCs w:val="16"/>
                <w:lang w:eastAsia="en-GB"/>
              </w:rPr>
            </w:pPr>
            <w:r w:rsidRPr="00D30EE9">
              <w:rPr>
                <w:rFonts w:ascii="Arial" w:hAnsi="Arial" w:cs="Arial"/>
                <w:b/>
                <w:sz w:val="20"/>
                <w:szCs w:val="16"/>
              </w:rPr>
              <w:t>Reportable:                              YES/NO</w:t>
            </w:r>
          </w:p>
          <w:p w:rsidR="00F01015" w:rsidRPr="00D30EE9" w:rsidRDefault="00F01015">
            <w:pPr>
              <w:spacing w:line="240" w:lineRule="auto"/>
              <w:rPr>
                <w:rFonts w:ascii="Arial" w:hAnsi="Arial" w:cs="Arial"/>
                <w:b/>
                <w:sz w:val="20"/>
                <w:szCs w:val="16"/>
              </w:rPr>
            </w:pPr>
            <w:r w:rsidRPr="00D30EE9">
              <w:rPr>
                <w:rFonts w:ascii="Arial" w:hAnsi="Arial" w:cs="Arial"/>
                <w:b/>
                <w:sz w:val="20"/>
                <w:szCs w:val="16"/>
              </w:rPr>
              <w:t>Of Interest to other Judges:   YES/NO</w:t>
            </w:r>
          </w:p>
          <w:p w:rsidR="00F01015" w:rsidRDefault="00F01015">
            <w:pPr>
              <w:spacing w:line="240" w:lineRule="auto"/>
              <w:rPr>
                <w:rFonts w:ascii="Arial" w:eastAsia="Times New Roman" w:hAnsi="Arial" w:cs="Arial"/>
                <w:b/>
                <w:sz w:val="24"/>
                <w:szCs w:val="24"/>
                <w:u w:val="single"/>
                <w:lang w:eastAsia="en-GB"/>
              </w:rPr>
            </w:pPr>
            <w:r w:rsidRPr="00D30EE9">
              <w:rPr>
                <w:rFonts w:ascii="Arial" w:hAnsi="Arial" w:cs="Arial"/>
                <w:b/>
                <w:sz w:val="20"/>
                <w:szCs w:val="16"/>
              </w:rPr>
              <w:t>Circulate to Magistrates:        YES/NO</w:t>
            </w:r>
          </w:p>
        </w:tc>
      </w:tr>
    </w:tbl>
    <w:p w:rsidR="00234CC2" w:rsidRDefault="00234CC2" w:rsidP="00F01015">
      <w:pPr>
        <w:tabs>
          <w:tab w:val="right" w:pos="9026"/>
        </w:tabs>
        <w:spacing w:after="0" w:line="240" w:lineRule="auto"/>
        <w:rPr>
          <w:rFonts w:ascii="Arial" w:hAnsi="Arial" w:cs="Arial"/>
          <w:b/>
          <w:sz w:val="24"/>
          <w:szCs w:val="24"/>
        </w:rPr>
      </w:pPr>
    </w:p>
    <w:p w:rsidR="00F01015" w:rsidRDefault="00F01015" w:rsidP="00F01015">
      <w:pPr>
        <w:tabs>
          <w:tab w:val="right" w:pos="9026"/>
        </w:tabs>
        <w:spacing w:after="0" w:line="240" w:lineRule="auto"/>
        <w:rPr>
          <w:rFonts w:ascii="Arial" w:hAnsi="Arial" w:cs="Arial"/>
          <w:b/>
          <w:sz w:val="24"/>
          <w:szCs w:val="24"/>
        </w:rPr>
      </w:pPr>
      <w:r>
        <w:rPr>
          <w:rFonts w:ascii="Arial" w:hAnsi="Arial" w:cs="Arial"/>
          <w:sz w:val="24"/>
          <w:szCs w:val="24"/>
        </w:rPr>
        <w:tab/>
        <w:t xml:space="preserve">Case number: </w:t>
      </w:r>
      <w:r w:rsidR="00D30EE9">
        <w:rPr>
          <w:rFonts w:ascii="Arial" w:hAnsi="Arial" w:cs="Arial"/>
          <w:b/>
          <w:sz w:val="24"/>
          <w:szCs w:val="24"/>
        </w:rPr>
        <w:t>5856/2022</w:t>
      </w:r>
    </w:p>
    <w:p w:rsidR="00D34E06" w:rsidRDefault="00D34E06" w:rsidP="00F45ED8">
      <w:pPr>
        <w:tabs>
          <w:tab w:val="right" w:pos="9026"/>
        </w:tabs>
        <w:spacing w:after="0" w:line="240" w:lineRule="auto"/>
        <w:jc w:val="both"/>
        <w:rPr>
          <w:rFonts w:ascii="Arial" w:hAnsi="Arial" w:cs="Arial"/>
          <w:sz w:val="24"/>
          <w:szCs w:val="24"/>
        </w:rPr>
      </w:pPr>
    </w:p>
    <w:p w:rsidR="00F45ED8" w:rsidRDefault="00F45ED8" w:rsidP="00F45ED8">
      <w:pPr>
        <w:tabs>
          <w:tab w:val="right" w:pos="9026"/>
        </w:tabs>
        <w:spacing w:after="0" w:line="240" w:lineRule="auto"/>
        <w:jc w:val="both"/>
        <w:rPr>
          <w:rFonts w:ascii="Arial" w:hAnsi="Arial" w:cs="Arial"/>
          <w:sz w:val="24"/>
          <w:szCs w:val="24"/>
        </w:rPr>
      </w:pPr>
      <w:r>
        <w:rPr>
          <w:rFonts w:ascii="Arial" w:hAnsi="Arial" w:cs="Arial"/>
          <w:sz w:val="24"/>
          <w:szCs w:val="24"/>
        </w:rPr>
        <w:t xml:space="preserve">In the matter between: </w:t>
      </w:r>
    </w:p>
    <w:p w:rsidR="00D30EE9" w:rsidRDefault="00D30EE9" w:rsidP="00F45ED8">
      <w:pPr>
        <w:tabs>
          <w:tab w:val="right" w:pos="9026"/>
        </w:tabs>
        <w:spacing w:after="0" w:line="240" w:lineRule="auto"/>
        <w:jc w:val="both"/>
        <w:rPr>
          <w:rFonts w:ascii="Arial" w:hAnsi="Arial" w:cs="Arial"/>
          <w:sz w:val="24"/>
          <w:szCs w:val="24"/>
        </w:rPr>
      </w:pPr>
    </w:p>
    <w:p w:rsidR="00D34E06" w:rsidRDefault="00D34E06" w:rsidP="002E7C2A">
      <w:pPr>
        <w:tabs>
          <w:tab w:val="left" w:pos="7395"/>
        </w:tabs>
        <w:spacing w:after="0" w:line="240" w:lineRule="auto"/>
        <w:jc w:val="both"/>
        <w:rPr>
          <w:rFonts w:ascii="Arial" w:eastAsia="Calibri" w:hAnsi="Arial" w:cs="Arial"/>
          <w:b/>
          <w:sz w:val="24"/>
          <w:szCs w:val="24"/>
        </w:rPr>
      </w:pPr>
    </w:p>
    <w:p w:rsidR="00D30EE9" w:rsidRPr="002E7C2A" w:rsidRDefault="00D30EE9" w:rsidP="002E7C2A">
      <w:pPr>
        <w:tabs>
          <w:tab w:val="left" w:pos="7395"/>
        </w:tabs>
        <w:spacing w:after="0" w:line="240" w:lineRule="auto"/>
        <w:jc w:val="both"/>
        <w:rPr>
          <w:rFonts w:ascii="Arial" w:hAnsi="Arial" w:cs="Arial"/>
          <w:sz w:val="24"/>
          <w:szCs w:val="24"/>
        </w:rPr>
      </w:pPr>
      <w:r w:rsidRPr="00D30EE9">
        <w:rPr>
          <w:rFonts w:ascii="Arial" w:eastAsia="Calibri" w:hAnsi="Arial" w:cs="Arial"/>
          <w:b/>
          <w:sz w:val="24"/>
          <w:szCs w:val="24"/>
        </w:rPr>
        <w:t>DEON MARIUS BOTHA N.O.</w:t>
      </w:r>
      <w:r w:rsidR="00D34E06">
        <w:rPr>
          <w:rFonts w:ascii="Arial" w:eastAsia="Calibri" w:hAnsi="Arial" w:cs="Arial"/>
          <w:sz w:val="24"/>
          <w:szCs w:val="24"/>
        </w:rPr>
        <w:tab/>
      </w:r>
      <w:r w:rsidRPr="00D30EE9">
        <w:rPr>
          <w:rFonts w:ascii="Arial" w:eastAsia="Calibri" w:hAnsi="Arial" w:cs="Arial"/>
          <w:sz w:val="24"/>
          <w:szCs w:val="24"/>
        </w:rPr>
        <w:t>1</w:t>
      </w:r>
      <w:r w:rsidRPr="00D30EE9">
        <w:rPr>
          <w:rFonts w:ascii="Arial" w:eastAsia="Calibri" w:hAnsi="Arial" w:cs="Arial"/>
          <w:sz w:val="24"/>
          <w:szCs w:val="24"/>
          <w:vertAlign w:val="superscript"/>
        </w:rPr>
        <w:t>st</w:t>
      </w:r>
      <w:r w:rsidR="00234CC2">
        <w:rPr>
          <w:rFonts w:ascii="Arial" w:eastAsia="Calibri" w:hAnsi="Arial" w:cs="Arial"/>
          <w:sz w:val="24"/>
          <w:szCs w:val="24"/>
          <w:vertAlign w:val="superscript"/>
        </w:rPr>
        <w:t xml:space="preserve"> </w:t>
      </w:r>
      <w:r w:rsidRPr="00D30EE9">
        <w:rPr>
          <w:rFonts w:ascii="Arial" w:eastAsia="Calibri" w:hAnsi="Arial" w:cs="Arial"/>
          <w:sz w:val="24"/>
          <w:szCs w:val="24"/>
        </w:rPr>
        <w:t>Applicant</w:t>
      </w:r>
    </w:p>
    <w:p w:rsidR="00D30EE9" w:rsidRPr="00D30EE9" w:rsidRDefault="00D30EE9" w:rsidP="00D30EE9">
      <w:pPr>
        <w:spacing w:after="0" w:line="240" w:lineRule="auto"/>
        <w:jc w:val="both"/>
        <w:rPr>
          <w:rFonts w:ascii="Arial" w:eastAsia="Calibri" w:hAnsi="Arial" w:cs="Arial"/>
          <w:sz w:val="24"/>
          <w:szCs w:val="24"/>
        </w:rPr>
      </w:pPr>
    </w:p>
    <w:p w:rsidR="00D30EE9" w:rsidRPr="00D30EE9" w:rsidRDefault="00D30EE9" w:rsidP="00D30EE9">
      <w:pPr>
        <w:spacing w:after="0" w:line="240" w:lineRule="auto"/>
        <w:jc w:val="both"/>
        <w:rPr>
          <w:rFonts w:ascii="Arial" w:eastAsia="Calibri" w:hAnsi="Arial" w:cs="Arial"/>
          <w:sz w:val="24"/>
          <w:szCs w:val="24"/>
        </w:rPr>
      </w:pPr>
      <w:r w:rsidRPr="00D30EE9">
        <w:rPr>
          <w:rFonts w:ascii="Arial" w:eastAsia="Calibri" w:hAnsi="Arial" w:cs="Arial"/>
          <w:b/>
          <w:sz w:val="24"/>
          <w:szCs w:val="24"/>
        </w:rPr>
        <w:t>RALPH FARREL LUTCHMAN N.O.</w:t>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00D34E06">
        <w:rPr>
          <w:rFonts w:ascii="Arial" w:eastAsia="Calibri" w:hAnsi="Arial" w:cs="Arial"/>
          <w:sz w:val="24"/>
          <w:szCs w:val="24"/>
        </w:rPr>
        <w:t xml:space="preserve"> </w:t>
      </w:r>
      <w:r w:rsidRPr="00D30EE9">
        <w:rPr>
          <w:rFonts w:ascii="Arial" w:eastAsia="Calibri" w:hAnsi="Arial" w:cs="Arial"/>
          <w:sz w:val="24"/>
          <w:szCs w:val="24"/>
        </w:rPr>
        <w:t>2</w:t>
      </w:r>
      <w:r w:rsidRPr="00D30EE9">
        <w:rPr>
          <w:rFonts w:ascii="Arial" w:eastAsia="Calibri" w:hAnsi="Arial" w:cs="Arial"/>
          <w:sz w:val="24"/>
          <w:szCs w:val="24"/>
          <w:vertAlign w:val="superscript"/>
        </w:rPr>
        <w:t>nd</w:t>
      </w:r>
      <w:r w:rsidRPr="00D30EE9">
        <w:rPr>
          <w:rFonts w:ascii="Arial" w:eastAsia="Calibri" w:hAnsi="Arial" w:cs="Arial"/>
          <w:sz w:val="24"/>
          <w:szCs w:val="24"/>
        </w:rPr>
        <w:t xml:space="preserve"> Applicant</w:t>
      </w:r>
    </w:p>
    <w:p w:rsidR="00D30EE9" w:rsidRPr="00D30EE9" w:rsidRDefault="00D30EE9" w:rsidP="00D30EE9">
      <w:pPr>
        <w:spacing w:after="0" w:line="240" w:lineRule="auto"/>
        <w:jc w:val="both"/>
        <w:rPr>
          <w:rFonts w:ascii="Arial" w:eastAsia="Calibri" w:hAnsi="Arial" w:cs="Arial"/>
          <w:sz w:val="24"/>
          <w:szCs w:val="24"/>
        </w:rPr>
      </w:pPr>
    </w:p>
    <w:p w:rsidR="00D30EE9" w:rsidRPr="00D30EE9" w:rsidRDefault="00D30EE9" w:rsidP="00D30EE9">
      <w:pPr>
        <w:spacing w:after="0" w:line="240" w:lineRule="auto"/>
        <w:jc w:val="both"/>
        <w:rPr>
          <w:rFonts w:ascii="Arial" w:eastAsia="Calibri" w:hAnsi="Arial" w:cs="Arial"/>
          <w:sz w:val="24"/>
          <w:szCs w:val="24"/>
        </w:rPr>
      </w:pPr>
      <w:r w:rsidRPr="00D30EE9">
        <w:rPr>
          <w:rFonts w:ascii="Arial" w:eastAsia="Calibri" w:hAnsi="Arial" w:cs="Arial"/>
          <w:b/>
          <w:sz w:val="24"/>
          <w:szCs w:val="24"/>
        </w:rPr>
        <w:t>AGRI-COM COOPERATIVE LTD</w:t>
      </w:r>
      <w:r w:rsidRPr="00D30EE9">
        <w:rPr>
          <w:rFonts w:ascii="Arial" w:eastAsia="Calibri" w:hAnsi="Arial" w:cs="Arial"/>
          <w:b/>
          <w:sz w:val="24"/>
          <w:szCs w:val="24"/>
        </w:rPr>
        <w:tab/>
      </w:r>
      <w:r w:rsidRPr="00D30EE9">
        <w:rPr>
          <w:rFonts w:ascii="Arial" w:eastAsia="Calibri" w:hAnsi="Arial" w:cs="Arial"/>
          <w:b/>
          <w:sz w:val="24"/>
          <w:szCs w:val="24"/>
        </w:rPr>
        <w:tab/>
      </w:r>
      <w:r w:rsidRPr="00D30EE9">
        <w:rPr>
          <w:rFonts w:ascii="Arial" w:eastAsia="Calibri" w:hAnsi="Arial" w:cs="Arial"/>
          <w:b/>
          <w:sz w:val="24"/>
          <w:szCs w:val="24"/>
        </w:rPr>
        <w:tab/>
      </w:r>
      <w:r w:rsidRPr="00D30EE9">
        <w:rPr>
          <w:rFonts w:ascii="Arial" w:eastAsia="Calibri" w:hAnsi="Arial" w:cs="Arial"/>
          <w:b/>
          <w:sz w:val="24"/>
          <w:szCs w:val="24"/>
        </w:rPr>
        <w:tab/>
      </w:r>
      <w:r>
        <w:rPr>
          <w:rFonts w:ascii="Arial" w:eastAsia="Calibri" w:hAnsi="Arial" w:cs="Arial"/>
          <w:b/>
          <w:sz w:val="24"/>
          <w:szCs w:val="24"/>
        </w:rPr>
        <w:tab/>
      </w:r>
      <w:r w:rsidRPr="00D30EE9">
        <w:rPr>
          <w:rFonts w:ascii="Arial" w:eastAsia="Calibri" w:hAnsi="Arial" w:cs="Arial"/>
          <w:b/>
          <w:sz w:val="24"/>
          <w:szCs w:val="24"/>
        </w:rPr>
        <w:tab/>
      </w:r>
      <w:r w:rsidR="00D34E06">
        <w:rPr>
          <w:rFonts w:ascii="Arial" w:eastAsia="Calibri" w:hAnsi="Arial" w:cs="Arial"/>
          <w:b/>
          <w:sz w:val="24"/>
          <w:szCs w:val="24"/>
        </w:rPr>
        <w:t xml:space="preserve"> </w:t>
      </w:r>
      <w:r w:rsidRPr="00D30EE9">
        <w:rPr>
          <w:rFonts w:ascii="Arial" w:eastAsia="Calibri" w:hAnsi="Arial" w:cs="Arial"/>
          <w:sz w:val="24"/>
          <w:szCs w:val="24"/>
        </w:rPr>
        <w:t>3</w:t>
      </w:r>
      <w:r w:rsidRPr="00D30EE9">
        <w:rPr>
          <w:rFonts w:ascii="Arial" w:eastAsia="Calibri" w:hAnsi="Arial" w:cs="Arial"/>
          <w:sz w:val="24"/>
          <w:szCs w:val="24"/>
          <w:vertAlign w:val="superscript"/>
        </w:rPr>
        <w:t>rd</w:t>
      </w:r>
      <w:r w:rsidRPr="00D30EE9">
        <w:rPr>
          <w:rFonts w:ascii="Arial" w:eastAsia="Calibri" w:hAnsi="Arial" w:cs="Arial"/>
          <w:sz w:val="24"/>
          <w:szCs w:val="24"/>
        </w:rPr>
        <w:t xml:space="preserve"> Applicant</w:t>
      </w:r>
    </w:p>
    <w:p w:rsidR="00D30EE9" w:rsidRPr="00D30EE9" w:rsidRDefault="00234CC2" w:rsidP="00D30EE9">
      <w:pPr>
        <w:spacing w:after="0" w:line="240" w:lineRule="auto"/>
        <w:jc w:val="both"/>
        <w:rPr>
          <w:rFonts w:ascii="Arial" w:eastAsia="Calibri" w:hAnsi="Arial" w:cs="Arial"/>
          <w:sz w:val="24"/>
          <w:szCs w:val="24"/>
        </w:rPr>
      </w:pPr>
      <w:r>
        <w:rPr>
          <w:rFonts w:ascii="Arial" w:eastAsia="Calibri" w:hAnsi="Arial" w:cs="Arial"/>
          <w:sz w:val="24"/>
          <w:szCs w:val="24"/>
        </w:rPr>
        <w:t xml:space="preserve">(Registration number: </w:t>
      </w:r>
      <w:r w:rsidR="00D30EE9" w:rsidRPr="00D30EE9">
        <w:rPr>
          <w:rFonts w:ascii="Arial" w:eastAsia="Calibri" w:hAnsi="Arial" w:cs="Arial"/>
          <w:sz w:val="24"/>
          <w:szCs w:val="24"/>
        </w:rPr>
        <w:t>2000/0000025/24)</w:t>
      </w:r>
    </w:p>
    <w:p w:rsidR="00D30EE9" w:rsidRPr="00D30EE9" w:rsidRDefault="00D30EE9" w:rsidP="00D30EE9">
      <w:pPr>
        <w:spacing w:after="0" w:line="240" w:lineRule="auto"/>
        <w:jc w:val="both"/>
        <w:rPr>
          <w:rFonts w:ascii="Arial" w:eastAsia="Calibri" w:hAnsi="Arial" w:cs="Arial"/>
          <w:sz w:val="24"/>
          <w:szCs w:val="24"/>
        </w:rPr>
      </w:pPr>
      <w:r w:rsidRPr="00D30EE9">
        <w:rPr>
          <w:rFonts w:ascii="Arial" w:eastAsia="Calibri" w:hAnsi="Arial" w:cs="Arial"/>
          <w:sz w:val="24"/>
          <w:szCs w:val="24"/>
        </w:rPr>
        <w:t>(in Liquidation)</w:t>
      </w:r>
    </w:p>
    <w:p w:rsidR="00D30EE9" w:rsidRDefault="00D30EE9" w:rsidP="00D30EE9">
      <w:pPr>
        <w:tabs>
          <w:tab w:val="left" w:pos="1200"/>
        </w:tabs>
        <w:spacing w:after="0" w:line="240" w:lineRule="auto"/>
        <w:jc w:val="both"/>
        <w:rPr>
          <w:rFonts w:ascii="Arial" w:eastAsia="Calibri" w:hAnsi="Arial" w:cs="Arial"/>
          <w:sz w:val="24"/>
          <w:szCs w:val="24"/>
        </w:rPr>
      </w:pPr>
    </w:p>
    <w:p w:rsidR="00D30EE9" w:rsidRPr="00D30EE9" w:rsidRDefault="00D30EE9" w:rsidP="00D30EE9">
      <w:pPr>
        <w:tabs>
          <w:tab w:val="left" w:pos="1200"/>
        </w:tabs>
        <w:spacing w:after="0" w:line="240" w:lineRule="auto"/>
        <w:jc w:val="both"/>
        <w:rPr>
          <w:rFonts w:ascii="Arial" w:eastAsia="Calibri" w:hAnsi="Arial" w:cs="Arial"/>
          <w:sz w:val="24"/>
          <w:szCs w:val="24"/>
        </w:rPr>
      </w:pPr>
      <w:r w:rsidRPr="00D30EE9">
        <w:rPr>
          <w:rFonts w:ascii="Arial" w:eastAsia="Calibri" w:hAnsi="Arial" w:cs="Arial"/>
          <w:sz w:val="24"/>
          <w:szCs w:val="24"/>
        </w:rPr>
        <w:tab/>
      </w:r>
    </w:p>
    <w:p w:rsidR="00D30EE9" w:rsidRPr="00D30EE9" w:rsidRDefault="00D30EE9" w:rsidP="00D30EE9">
      <w:pPr>
        <w:spacing w:after="0" w:line="240" w:lineRule="auto"/>
        <w:jc w:val="both"/>
        <w:rPr>
          <w:rFonts w:ascii="Arial" w:eastAsia="Calibri" w:hAnsi="Arial" w:cs="Arial"/>
          <w:sz w:val="24"/>
          <w:szCs w:val="24"/>
        </w:rPr>
      </w:pPr>
      <w:r w:rsidRPr="00D30EE9">
        <w:rPr>
          <w:rFonts w:ascii="Arial" w:eastAsia="Calibri" w:hAnsi="Arial" w:cs="Arial"/>
          <w:sz w:val="24"/>
          <w:szCs w:val="24"/>
        </w:rPr>
        <w:t>and</w:t>
      </w:r>
    </w:p>
    <w:p w:rsidR="00D30EE9" w:rsidRDefault="00D30EE9" w:rsidP="00D30EE9">
      <w:pPr>
        <w:spacing w:after="0" w:line="240" w:lineRule="auto"/>
        <w:jc w:val="both"/>
        <w:rPr>
          <w:rFonts w:ascii="Arial" w:eastAsia="Calibri" w:hAnsi="Arial" w:cs="Arial"/>
          <w:sz w:val="24"/>
          <w:szCs w:val="24"/>
        </w:rPr>
      </w:pPr>
    </w:p>
    <w:p w:rsidR="00D30EE9" w:rsidRPr="00D30EE9" w:rsidRDefault="00D30EE9" w:rsidP="00D30EE9">
      <w:pPr>
        <w:spacing w:after="0" w:line="240" w:lineRule="auto"/>
        <w:jc w:val="both"/>
        <w:rPr>
          <w:rFonts w:ascii="Arial" w:eastAsia="Calibri" w:hAnsi="Arial" w:cs="Arial"/>
          <w:sz w:val="24"/>
          <w:szCs w:val="24"/>
        </w:rPr>
      </w:pPr>
    </w:p>
    <w:p w:rsidR="00D30EE9" w:rsidRPr="00D30EE9" w:rsidRDefault="00D30EE9" w:rsidP="00D30EE9">
      <w:pPr>
        <w:spacing w:after="0" w:line="240" w:lineRule="auto"/>
        <w:jc w:val="both"/>
        <w:rPr>
          <w:rFonts w:ascii="Arial" w:eastAsia="Calibri" w:hAnsi="Arial" w:cs="Arial"/>
          <w:sz w:val="24"/>
          <w:szCs w:val="24"/>
        </w:rPr>
      </w:pPr>
      <w:r w:rsidRPr="00D30EE9">
        <w:rPr>
          <w:rFonts w:ascii="Arial" w:eastAsia="Calibri" w:hAnsi="Arial" w:cs="Arial"/>
          <w:b/>
          <w:sz w:val="24"/>
          <w:szCs w:val="24"/>
        </w:rPr>
        <w:t>LEGO BOERDERY CC</w:t>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t>1</w:t>
      </w:r>
      <w:r w:rsidRPr="00D30EE9">
        <w:rPr>
          <w:rFonts w:ascii="Arial" w:eastAsia="Calibri" w:hAnsi="Arial" w:cs="Arial"/>
          <w:sz w:val="24"/>
          <w:szCs w:val="24"/>
          <w:vertAlign w:val="superscript"/>
        </w:rPr>
        <w:t>st</w:t>
      </w:r>
      <w:r w:rsidRPr="00D30EE9">
        <w:rPr>
          <w:rFonts w:ascii="Arial" w:eastAsia="Calibri" w:hAnsi="Arial" w:cs="Arial"/>
          <w:sz w:val="24"/>
          <w:szCs w:val="24"/>
        </w:rPr>
        <w:t xml:space="preserve"> Respondent</w:t>
      </w:r>
    </w:p>
    <w:p w:rsidR="00D30EE9" w:rsidRPr="00D30EE9" w:rsidRDefault="00234CC2" w:rsidP="00D30EE9">
      <w:pPr>
        <w:spacing w:after="0" w:line="240" w:lineRule="auto"/>
        <w:jc w:val="both"/>
        <w:rPr>
          <w:rFonts w:ascii="Arial" w:eastAsia="Calibri" w:hAnsi="Arial" w:cs="Arial"/>
          <w:sz w:val="24"/>
          <w:szCs w:val="24"/>
        </w:rPr>
      </w:pPr>
      <w:r>
        <w:rPr>
          <w:rFonts w:ascii="Arial" w:eastAsia="Calibri" w:hAnsi="Arial" w:cs="Arial"/>
          <w:sz w:val="24"/>
          <w:szCs w:val="24"/>
        </w:rPr>
        <w:t xml:space="preserve">(Registration number: </w:t>
      </w:r>
      <w:r w:rsidR="00D30EE9" w:rsidRPr="00D30EE9">
        <w:rPr>
          <w:rFonts w:ascii="Arial" w:eastAsia="Calibri" w:hAnsi="Arial" w:cs="Arial"/>
          <w:sz w:val="24"/>
          <w:szCs w:val="24"/>
        </w:rPr>
        <w:t>2004/057421/23)</w:t>
      </w:r>
    </w:p>
    <w:p w:rsidR="00D30EE9" w:rsidRPr="00D30EE9" w:rsidRDefault="00D30EE9" w:rsidP="00D30EE9">
      <w:pPr>
        <w:spacing w:after="0" w:line="240" w:lineRule="auto"/>
        <w:jc w:val="both"/>
        <w:rPr>
          <w:rFonts w:ascii="Arial" w:eastAsia="Calibri" w:hAnsi="Arial" w:cs="Arial"/>
          <w:sz w:val="24"/>
          <w:szCs w:val="24"/>
        </w:rPr>
      </w:pPr>
    </w:p>
    <w:p w:rsidR="00D30EE9" w:rsidRPr="00D30EE9" w:rsidRDefault="00D30EE9" w:rsidP="00D30EE9">
      <w:pPr>
        <w:spacing w:after="0" w:line="240" w:lineRule="auto"/>
        <w:jc w:val="both"/>
        <w:rPr>
          <w:rFonts w:ascii="Arial" w:eastAsia="Calibri" w:hAnsi="Arial" w:cs="Arial"/>
          <w:sz w:val="24"/>
          <w:szCs w:val="24"/>
        </w:rPr>
      </w:pPr>
      <w:r w:rsidRPr="00D30EE9">
        <w:rPr>
          <w:rFonts w:ascii="Arial" w:eastAsia="Calibri" w:hAnsi="Arial" w:cs="Arial"/>
          <w:b/>
          <w:sz w:val="24"/>
          <w:szCs w:val="24"/>
        </w:rPr>
        <w:t>LENEL GERHARD OOSTHUIZEN</w:t>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r>
      <w:r w:rsidRPr="00D30EE9">
        <w:rPr>
          <w:rFonts w:ascii="Arial" w:eastAsia="Calibri" w:hAnsi="Arial" w:cs="Arial"/>
          <w:sz w:val="24"/>
          <w:szCs w:val="24"/>
        </w:rPr>
        <w:tab/>
        <w:t>2</w:t>
      </w:r>
      <w:r w:rsidRPr="00D30EE9">
        <w:rPr>
          <w:rFonts w:ascii="Arial" w:eastAsia="Calibri" w:hAnsi="Arial" w:cs="Arial"/>
          <w:sz w:val="24"/>
          <w:szCs w:val="24"/>
          <w:vertAlign w:val="superscript"/>
        </w:rPr>
        <w:t>nd</w:t>
      </w:r>
      <w:r w:rsidRPr="00D30EE9">
        <w:rPr>
          <w:rFonts w:ascii="Arial" w:eastAsia="Calibri" w:hAnsi="Arial" w:cs="Arial"/>
          <w:sz w:val="24"/>
          <w:szCs w:val="24"/>
        </w:rPr>
        <w:t xml:space="preserve"> Respondent </w:t>
      </w:r>
    </w:p>
    <w:p w:rsidR="00F45ED8" w:rsidRDefault="00F45ED8" w:rsidP="005664A5">
      <w:pPr>
        <w:pBdr>
          <w:bottom w:val="single" w:sz="12" w:space="1" w:color="auto"/>
        </w:pBdr>
        <w:tabs>
          <w:tab w:val="left" w:pos="6379"/>
          <w:tab w:val="right" w:pos="9026"/>
          <w:tab w:val="right" w:pos="9072"/>
        </w:tabs>
        <w:spacing w:after="0" w:line="240" w:lineRule="auto"/>
        <w:ind w:right="-46"/>
        <w:rPr>
          <w:rFonts w:ascii="Arial" w:hAnsi="Arial" w:cs="Arial"/>
          <w:b/>
          <w:sz w:val="24"/>
          <w:szCs w:val="24"/>
        </w:rPr>
      </w:pPr>
    </w:p>
    <w:p w:rsidR="00F45ED8" w:rsidRDefault="00F45ED8" w:rsidP="00F45ED8">
      <w:pPr>
        <w:spacing w:after="0" w:line="240" w:lineRule="auto"/>
        <w:contextualSpacing/>
        <w:jc w:val="both"/>
        <w:rPr>
          <w:rFonts w:ascii="Arial" w:hAnsi="Arial" w:cs="Arial"/>
          <w:b/>
          <w:sz w:val="24"/>
          <w:szCs w:val="24"/>
          <w:u w:val="single"/>
        </w:rPr>
      </w:pPr>
    </w:p>
    <w:p w:rsidR="00F45ED8" w:rsidRDefault="00F45ED8" w:rsidP="005664A5">
      <w:pPr>
        <w:pBdr>
          <w:bottom w:val="single" w:sz="12" w:space="1" w:color="auto"/>
        </w:pBdr>
        <w:spacing w:after="0" w:line="240" w:lineRule="auto"/>
        <w:contextualSpacing/>
        <w:jc w:val="both"/>
        <w:rPr>
          <w:rFonts w:ascii="Arial" w:hAnsi="Arial" w:cs="Arial"/>
          <w:sz w:val="24"/>
          <w:szCs w:val="24"/>
        </w:rPr>
      </w:pPr>
      <w:r>
        <w:rPr>
          <w:rFonts w:ascii="Arial" w:hAnsi="Arial" w:cs="Arial"/>
          <w:b/>
          <w:sz w:val="24"/>
          <w:szCs w:val="24"/>
          <w:u w:val="single"/>
        </w:rPr>
        <w:t>JUDGMENT BY:</w:t>
      </w:r>
      <w:r>
        <w:rPr>
          <w:rFonts w:ascii="Arial" w:hAnsi="Arial" w:cs="Arial"/>
          <w:b/>
          <w:sz w:val="24"/>
          <w:szCs w:val="24"/>
        </w:rPr>
        <w:tab/>
      </w:r>
      <w:r w:rsidR="00D30EE9">
        <w:rPr>
          <w:rFonts w:ascii="Arial" w:hAnsi="Arial" w:cs="Arial"/>
          <w:b/>
          <w:sz w:val="24"/>
          <w:szCs w:val="24"/>
        </w:rPr>
        <w:tab/>
      </w:r>
      <w:r>
        <w:rPr>
          <w:rFonts w:ascii="Arial" w:hAnsi="Arial" w:cs="Arial"/>
          <w:b/>
          <w:sz w:val="24"/>
          <w:szCs w:val="24"/>
        </w:rPr>
        <w:tab/>
      </w:r>
      <w:r>
        <w:rPr>
          <w:rFonts w:ascii="Arial" w:hAnsi="Arial" w:cs="Arial"/>
          <w:sz w:val="24"/>
          <w:szCs w:val="24"/>
        </w:rPr>
        <w:t>REINDERS J</w:t>
      </w:r>
    </w:p>
    <w:p w:rsidR="00F45ED8" w:rsidRDefault="00F45ED8" w:rsidP="005664A5">
      <w:pPr>
        <w:pBdr>
          <w:bottom w:val="single" w:sz="12" w:space="1" w:color="auto"/>
        </w:pBdr>
        <w:spacing w:after="0" w:line="240" w:lineRule="auto"/>
        <w:contextualSpacing/>
        <w:jc w:val="both"/>
        <w:rPr>
          <w:rFonts w:ascii="Arial" w:hAnsi="Arial" w:cs="Arial"/>
          <w:sz w:val="24"/>
          <w:szCs w:val="24"/>
          <w:u w:val="single"/>
        </w:rPr>
      </w:pPr>
    </w:p>
    <w:p w:rsidR="00F45ED8" w:rsidRDefault="00F45ED8" w:rsidP="00F45ED8">
      <w:pPr>
        <w:spacing w:after="0" w:line="240" w:lineRule="auto"/>
        <w:jc w:val="both"/>
        <w:rPr>
          <w:rFonts w:ascii="Arial" w:hAnsi="Arial" w:cs="Arial"/>
          <w:sz w:val="24"/>
          <w:szCs w:val="24"/>
        </w:rPr>
      </w:pPr>
    </w:p>
    <w:p w:rsidR="00F45ED8" w:rsidRDefault="00F45ED8" w:rsidP="005664A5">
      <w:pPr>
        <w:pBdr>
          <w:bottom w:val="single" w:sz="12" w:space="1" w:color="auto"/>
        </w:pBdr>
        <w:spacing w:after="0" w:line="240" w:lineRule="auto"/>
        <w:jc w:val="both"/>
        <w:rPr>
          <w:rFonts w:ascii="Arial" w:hAnsi="Arial" w:cs="Arial"/>
          <w:b/>
          <w:sz w:val="24"/>
          <w:szCs w:val="24"/>
        </w:rPr>
      </w:pPr>
      <w:r>
        <w:rPr>
          <w:rFonts w:ascii="Arial" w:hAnsi="Arial" w:cs="Arial"/>
          <w:b/>
          <w:sz w:val="24"/>
          <w:szCs w:val="24"/>
          <w:u w:val="single"/>
        </w:rPr>
        <w:t>HEARD ON:</w:t>
      </w:r>
      <w:r>
        <w:rPr>
          <w:rFonts w:ascii="Arial" w:hAnsi="Arial" w:cs="Arial"/>
          <w:b/>
          <w:sz w:val="24"/>
          <w:szCs w:val="24"/>
        </w:rPr>
        <w:tab/>
      </w:r>
      <w:r>
        <w:rPr>
          <w:rFonts w:ascii="Arial" w:hAnsi="Arial" w:cs="Arial"/>
          <w:b/>
          <w:sz w:val="24"/>
          <w:szCs w:val="24"/>
        </w:rPr>
        <w:tab/>
      </w:r>
      <w:r w:rsidR="00D30EE9">
        <w:rPr>
          <w:rFonts w:ascii="Arial" w:hAnsi="Arial" w:cs="Arial"/>
          <w:b/>
          <w:sz w:val="24"/>
          <w:szCs w:val="24"/>
        </w:rPr>
        <w:tab/>
      </w:r>
      <w:r w:rsidR="00D30EE9">
        <w:rPr>
          <w:rFonts w:ascii="Arial" w:hAnsi="Arial" w:cs="Arial"/>
          <w:b/>
          <w:sz w:val="24"/>
          <w:szCs w:val="24"/>
        </w:rPr>
        <w:tab/>
      </w:r>
      <w:r w:rsidR="00D30EE9" w:rsidRPr="00D30EE9">
        <w:rPr>
          <w:rFonts w:ascii="Arial" w:hAnsi="Arial" w:cs="Arial"/>
          <w:sz w:val="24"/>
          <w:szCs w:val="24"/>
        </w:rPr>
        <w:t xml:space="preserve"> </w:t>
      </w:r>
      <w:r w:rsidR="00D34E06" w:rsidRPr="00D34E06">
        <w:rPr>
          <w:rFonts w:ascii="Arial" w:hAnsi="Arial" w:cs="Arial"/>
        </w:rPr>
        <w:t xml:space="preserve">25 MAY </w:t>
      </w:r>
      <w:r w:rsidR="00D30EE9" w:rsidRPr="00D34E06">
        <w:rPr>
          <w:rFonts w:ascii="Arial" w:hAnsi="Arial" w:cs="Arial"/>
        </w:rPr>
        <w:t>2023</w:t>
      </w:r>
      <w:r>
        <w:rPr>
          <w:rFonts w:ascii="Arial" w:hAnsi="Arial" w:cs="Arial"/>
          <w:b/>
          <w:sz w:val="24"/>
          <w:szCs w:val="24"/>
        </w:rPr>
        <w:tab/>
      </w:r>
    </w:p>
    <w:p w:rsidR="00F45ED8" w:rsidRDefault="00F45ED8" w:rsidP="005664A5">
      <w:pPr>
        <w:pBdr>
          <w:bottom w:val="single" w:sz="12" w:space="1" w:color="auto"/>
        </w:pBdr>
        <w:spacing w:after="0" w:line="240" w:lineRule="auto"/>
        <w:jc w:val="both"/>
        <w:rPr>
          <w:rFonts w:ascii="Arial" w:hAnsi="Arial" w:cs="Arial"/>
          <w:b/>
          <w:sz w:val="24"/>
          <w:szCs w:val="24"/>
        </w:rPr>
      </w:pPr>
    </w:p>
    <w:p w:rsidR="00D34E06" w:rsidRDefault="00D34E06" w:rsidP="00A563F9">
      <w:pPr>
        <w:spacing w:after="0" w:line="240" w:lineRule="auto"/>
        <w:jc w:val="both"/>
        <w:rPr>
          <w:rFonts w:ascii="Arial" w:hAnsi="Arial" w:cs="Arial"/>
          <w:b/>
          <w:sz w:val="24"/>
          <w:szCs w:val="24"/>
          <w:u w:val="single"/>
        </w:rPr>
      </w:pPr>
    </w:p>
    <w:p w:rsidR="00A563F9" w:rsidRPr="00D34E06" w:rsidRDefault="00A563F9" w:rsidP="00A563F9">
      <w:pPr>
        <w:spacing w:after="0" w:line="240" w:lineRule="auto"/>
        <w:jc w:val="both"/>
        <w:rPr>
          <w:rFonts w:ascii="Arial" w:hAnsi="Arial" w:cs="Arial"/>
        </w:rPr>
      </w:pPr>
      <w:r>
        <w:rPr>
          <w:rFonts w:ascii="Arial" w:hAnsi="Arial" w:cs="Arial"/>
          <w:b/>
          <w:sz w:val="24"/>
          <w:szCs w:val="24"/>
          <w:u w:val="single"/>
        </w:rPr>
        <w:t>DELIVERED ON:</w:t>
      </w:r>
      <w:r w:rsidR="00D34E06">
        <w:rPr>
          <w:rFonts w:ascii="Arial" w:hAnsi="Arial" w:cs="Arial"/>
          <w:sz w:val="24"/>
          <w:szCs w:val="24"/>
        </w:rPr>
        <w:tab/>
      </w:r>
      <w:r w:rsidR="00D34E06">
        <w:rPr>
          <w:rFonts w:ascii="Arial" w:hAnsi="Arial" w:cs="Arial"/>
          <w:sz w:val="24"/>
          <w:szCs w:val="24"/>
        </w:rPr>
        <w:tab/>
      </w:r>
      <w:r w:rsidR="00D34E06">
        <w:rPr>
          <w:rFonts w:ascii="Arial" w:hAnsi="Arial" w:cs="Arial"/>
          <w:sz w:val="24"/>
          <w:szCs w:val="24"/>
        </w:rPr>
        <w:tab/>
      </w:r>
      <w:r w:rsidR="00D34E06">
        <w:rPr>
          <w:rFonts w:ascii="Arial" w:hAnsi="Arial" w:cs="Arial"/>
        </w:rPr>
        <w:t xml:space="preserve"> 4 SEPTEMBER 2023</w:t>
      </w:r>
    </w:p>
    <w:p w:rsidR="002E7C2A" w:rsidRDefault="002E7C2A" w:rsidP="00A563F9">
      <w:pPr>
        <w:spacing w:after="0" w:line="240" w:lineRule="auto"/>
        <w:jc w:val="both"/>
        <w:rPr>
          <w:rFonts w:ascii="Arial" w:hAnsi="Arial" w:cs="Arial"/>
          <w:b/>
          <w:sz w:val="24"/>
          <w:szCs w:val="24"/>
          <w:u w:val="single"/>
        </w:rPr>
      </w:pPr>
    </w:p>
    <w:p w:rsidR="00D34E06" w:rsidRPr="00234CC2" w:rsidRDefault="00A563F9" w:rsidP="00234CC2">
      <w:pPr>
        <w:tabs>
          <w:tab w:val="left" w:pos="2835"/>
          <w:tab w:val="left" w:pos="2977"/>
        </w:tabs>
        <w:spacing w:line="240" w:lineRule="auto"/>
        <w:jc w:val="both"/>
        <w:rPr>
          <w:rFonts w:ascii="Arial" w:hAnsi="Arial" w:cs="Arial"/>
        </w:rPr>
      </w:pPr>
      <w:r>
        <w:rPr>
          <w:rFonts w:ascii="Arial" w:hAnsi="Arial" w:cs="Arial"/>
        </w:rPr>
        <w:t>This judgment was handed down</w:t>
      </w:r>
      <w:r w:rsidR="00220CCF">
        <w:rPr>
          <w:rFonts w:ascii="Arial" w:hAnsi="Arial" w:cs="Arial"/>
        </w:rPr>
        <w:t xml:space="preserve"> in open court and </w:t>
      </w:r>
      <w:r>
        <w:rPr>
          <w:rFonts w:ascii="Arial" w:hAnsi="Arial" w:cs="Arial"/>
        </w:rPr>
        <w:t>circulated to the parties’ representatives by electronic mail communication</w:t>
      </w:r>
      <w:r w:rsidR="00D34E06">
        <w:rPr>
          <w:rFonts w:ascii="Arial" w:hAnsi="Arial" w:cs="Arial"/>
        </w:rPr>
        <w:t xml:space="preserve"> on 4 September 2023 </w:t>
      </w:r>
      <w:r w:rsidR="00234CC2">
        <w:rPr>
          <w:rFonts w:ascii="Arial" w:hAnsi="Arial" w:cs="Arial"/>
        </w:rPr>
        <w:t>at 15</w:t>
      </w:r>
      <w:r w:rsidR="00220CCF">
        <w:rPr>
          <w:rFonts w:ascii="Arial" w:hAnsi="Arial" w:cs="Arial"/>
        </w:rPr>
        <w:t>h00</w:t>
      </w:r>
      <w:r>
        <w:rPr>
          <w:rFonts w:ascii="Arial" w:hAnsi="Arial" w:cs="Arial"/>
        </w:rPr>
        <w:t>.</w:t>
      </w:r>
    </w:p>
    <w:p w:rsidR="001A52BB" w:rsidRDefault="00220CCF" w:rsidP="009062F3">
      <w:pPr>
        <w:spacing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0D158F">
        <w:rPr>
          <w:rFonts w:ascii="Arial" w:hAnsi="Arial" w:cs="Arial"/>
          <w:sz w:val="24"/>
          <w:szCs w:val="24"/>
        </w:rPr>
        <w:t>On 14 April 2022 the third applicant, Agri-Com Co-Operative Ltd (</w:t>
      </w:r>
      <w:r w:rsidR="00F2686E">
        <w:rPr>
          <w:rFonts w:ascii="Arial" w:hAnsi="Arial" w:cs="Arial"/>
          <w:sz w:val="24"/>
          <w:szCs w:val="24"/>
        </w:rPr>
        <w:t>in liquidation) [</w:t>
      </w:r>
      <w:r w:rsidR="000D158F">
        <w:rPr>
          <w:rFonts w:ascii="Arial" w:hAnsi="Arial" w:cs="Arial"/>
          <w:sz w:val="24"/>
          <w:szCs w:val="24"/>
        </w:rPr>
        <w:t>Agri-Com</w:t>
      </w:r>
      <w:r w:rsidR="00F2686E">
        <w:rPr>
          <w:rFonts w:ascii="Arial" w:hAnsi="Arial" w:cs="Arial"/>
          <w:sz w:val="24"/>
          <w:szCs w:val="24"/>
        </w:rPr>
        <w:t>]</w:t>
      </w:r>
      <w:r w:rsidR="000D158F">
        <w:rPr>
          <w:rFonts w:ascii="Arial" w:hAnsi="Arial" w:cs="Arial"/>
          <w:sz w:val="24"/>
          <w:szCs w:val="24"/>
        </w:rPr>
        <w:t xml:space="preserve"> was placed under final liquidation </w:t>
      </w:r>
      <w:r w:rsidR="00F2686E">
        <w:rPr>
          <w:rFonts w:ascii="Arial" w:hAnsi="Arial" w:cs="Arial"/>
          <w:sz w:val="24"/>
          <w:szCs w:val="24"/>
        </w:rPr>
        <w:t xml:space="preserve">by this court </w:t>
      </w:r>
      <w:r w:rsidR="000D158F">
        <w:rPr>
          <w:rFonts w:ascii="Arial" w:hAnsi="Arial" w:cs="Arial"/>
          <w:sz w:val="24"/>
          <w:szCs w:val="24"/>
        </w:rPr>
        <w:t>at the behest of The Land and Agricultural Develo</w:t>
      </w:r>
      <w:r w:rsidR="000E1E4B">
        <w:rPr>
          <w:rFonts w:ascii="Arial" w:hAnsi="Arial" w:cs="Arial"/>
          <w:sz w:val="24"/>
          <w:szCs w:val="24"/>
        </w:rPr>
        <w:t>pment Bank of South Africa (</w:t>
      </w:r>
      <w:r w:rsidR="000D158F">
        <w:rPr>
          <w:rFonts w:ascii="Arial" w:hAnsi="Arial" w:cs="Arial"/>
          <w:sz w:val="24"/>
          <w:szCs w:val="24"/>
        </w:rPr>
        <w:t>Land Bank). I</w:t>
      </w:r>
      <w:r w:rsidR="001A52BB">
        <w:rPr>
          <w:rFonts w:ascii="Arial" w:hAnsi="Arial" w:cs="Arial"/>
          <w:sz w:val="24"/>
          <w:szCs w:val="24"/>
        </w:rPr>
        <w:t xml:space="preserve">n an urgent application heard on 9 February 2023 </w:t>
      </w:r>
      <w:r w:rsidR="00C3550F">
        <w:rPr>
          <w:rFonts w:ascii="Arial" w:hAnsi="Arial" w:cs="Arial"/>
          <w:sz w:val="24"/>
          <w:szCs w:val="24"/>
        </w:rPr>
        <w:t>the first and second applicants</w:t>
      </w:r>
      <w:r w:rsidR="009B31D9">
        <w:rPr>
          <w:rFonts w:ascii="Arial" w:hAnsi="Arial" w:cs="Arial"/>
          <w:sz w:val="24"/>
          <w:szCs w:val="24"/>
        </w:rPr>
        <w:t>,</w:t>
      </w:r>
      <w:r w:rsidR="009062F3">
        <w:rPr>
          <w:rFonts w:ascii="Arial" w:hAnsi="Arial" w:cs="Arial"/>
          <w:sz w:val="24"/>
          <w:szCs w:val="24"/>
        </w:rPr>
        <w:t xml:space="preserve"> acting </w:t>
      </w:r>
      <w:r w:rsidR="00A34237">
        <w:rPr>
          <w:rFonts w:ascii="Arial" w:hAnsi="Arial" w:cs="Arial"/>
          <w:sz w:val="24"/>
          <w:szCs w:val="24"/>
        </w:rPr>
        <w:t>in their capacities</w:t>
      </w:r>
      <w:r w:rsidR="00C3550F">
        <w:rPr>
          <w:rFonts w:ascii="Arial" w:hAnsi="Arial" w:cs="Arial"/>
          <w:sz w:val="24"/>
          <w:szCs w:val="24"/>
        </w:rPr>
        <w:t xml:space="preserve"> as the joint liquidators of </w:t>
      </w:r>
      <w:r w:rsidR="00D46847">
        <w:rPr>
          <w:rFonts w:ascii="Arial" w:hAnsi="Arial" w:cs="Arial"/>
          <w:sz w:val="24"/>
          <w:szCs w:val="24"/>
        </w:rPr>
        <w:t>Agri-Com,</w:t>
      </w:r>
      <w:r w:rsidR="009062F3">
        <w:rPr>
          <w:rFonts w:ascii="Arial" w:hAnsi="Arial" w:cs="Arial"/>
          <w:sz w:val="24"/>
          <w:szCs w:val="24"/>
        </w:rPr>
        <w:t xml:space="preserve"> obtained on an ex parte basis an </w:t>
      </w:r>
      <w:r w:rsidR="009B31D9">
        <w:rPr>
          <w:rFonts w:ascii="Arial" w:hAnsi="Arial" w:cs="Arial"/>
          <w:sz w:val="24"/>
          <w:szCs w:val="24"/>
        </w:rPr>
        <w:t xml:space="preserve">interim </w:t>
      </w:r>
      <w:r w:rsidR="009062F3">
        <w:rPr>
          <w:rFonts w:ascii="Arial" w:hAnsi="Arial" w:cs="Arial"/>
          <w:sz w:val="24"/>
          <w:szCs w:val="24"/>
        </w:rPr>
        <w:t>order in terms whereof it be entitle</w:t>
      </w:r>
      <w:r w:rsidR="006007D5">
        <w:rPr>
          <w:rFonts w:ascii="Arial" w:hAnsi="Arial" w:cs="Arial"/>
          <w:sz w:val="24"/>
          <w:szCs w:val="24"/>
        </w:rPr>
        <w:t>d to perfect various securities</w:t>
      </w:r>
      <w:r w:rsidR="001A52BB">
        <w:rPr>
          <w:rFonts w:ascii="Arial" w:hAnsi="Arial" w:cs="Arial"/>
          <w:sz w:val="24"/>
          <w:szCs w:val="24"/>
        </w:rPr>
        <w:t xml:space="preserve"> granted in favour of A</w:t>
      </w:r>
      <w:r w:rsidR="009062F3">
        <w:rPr>
          <w:rFonts w:ascii="Arial" w:hAnsi="Arial" w:cs="Arial"/>
          <w:sz w:val="24"/>
          <w:szCs w:val="24"/>
        </w:rPr>
        <w:t xml:space="preserve">gri-Com by </w:t>
      </w:r>
      <w:r w:rsidR="001A52BB">
        <w:rPr>
          <w:rFonts w:ascii="Arial" w:hAnsi="Arial" w:cs="Arial"/>
          <w:sz w:val="24"/>
          <w:szCs w:val="24"/>
        </w:rPr>
        <w:t xml:space="preserve">the first respondent, </w:t>
      </w:r>
      <w:r w:rsidR="009062F3">
        <w:rPr>
          <w:rFonts w:ascii="Arial" w:hAnsi="Arial" w:cs="Arial"/>
          <w:sz w:val="24"/>
          <w:szCs w:val="24"/>
        </w:rPr>
        <w:t>Lego Boerdery CC</w:t>
      </w:r>
      <w:r w:rsidR="006007D5">
        <w:rPr>
          <w:rFonts w:ascii="Arial" w:hAnsi="Arial" w:cs="Arial"/>
          <w:sz w:val="24"/>
          <w:szCs w:val="24"/>
        </w:rPr>
        <w:t xml:space="preserve"> (Lego Boerdery)</w:t>
      </w:r>
      <w:r w:rsidR="001A52BB">
        <w:rPr>
          <w:rFonts w:ascii="Arial" w:hAnsi="Arial" w:cs="Arial"/>
          <w:sz w:val="24"/>
          <w:szCs w:val="24"/>
        </w:rPr>
        <w:t>. The interim relief was granted under Part A of the notice of motion</w:t>
      </w:r>
      <w:r w:rsidR="00D46847">
        <w:rPr>
          <w:rFonts w:ascii="Arial" w:hAnsi="Arial" w:cs="Arial"/>
          <w:sz w:val="24"/>
          <w:szCs w:val="24"/>
        </w:rPr>
        <w:t xml:space="preserve"> and t</w:t>
      </w:r>
      <w:r w:rsidR="001A52BB">
        <w:rPr>
          <w:rFonts w:ascii="Arial" w:hAnsi="Arial" w:cs="Arial"/>
          <w:sz w:val="24"/>
          <w:szCs w:val="24"/>
        </w:rPr>
        <w:t xml:space="preserve">he </w:t>
      </w:r>
      <w:r w:rsidR="001A52BB" w:rsidRPr="009C1E4A">
        <w:rPr>
          <w:rFonts w:ascii="Arial" w:hAnsi="Arial" w:cs="Arial"/>
          <w:i/>
          <w:sz w:val="24"/>
          <w:szCs w:val="24"/>
        </w:rPr>
        <w:t>rule nisi</w:t>
      </w:r>
      <w:r w:rsidR="001A52BB">
        <w:rPr>
          <w:rFonts w:ascii="Arial" w:hAnsi="Arial" w:cs="Arial"/>
          <w:sz w:val="24"/>
          <w:szCs w:val="24"/>
        </w:rPr>
        <w:t xml:space="preserve"> was extended by agreement</w:t>
      </w:r>
      <w:r w:rsidR="003A49A1">
        <w:rPr>
          <w:rFonts w:ascii="Arial" w:hAnsi="Arial" w:cs="Arial"/>
          <w:sz w:val="24"/>
          <w:szCs w:val="24"/>
        </w:rPr>
        <w:t xml:space="preserve"> between the parties</w:t>
      </w:r>
      <w:r w:rsidR="001A52BB">
        <w:rPr>
          <w:rFonts w:ascii="Arial" w:hAnsi="Arial" w:cs="Arial"/>
          <w:sz w:val="24"/>
          <w:szCs w:val="24"/>
        </w:rPr>
        <w:t xml:space="preserve">. The applicants now move for confirmation of the </w:t>
      </w:r>
      <w:r w:rsidR="001A52BB" w:rsidRPr="009C1E4A">
        <w:rPr>
          <w:rFonts w:ascii="Arial" w:hAnsi="Arial" w:cs="Arial"/>
          <w:i/>
          <w:sz w:val="24"/>
          <w:szCs w:val="24"/>
        </w:rPr>
        <w:t>rule nisi</w:t>
      </w:r>
      <w:r w:rsidR="001A52BB">
        <w:rPr>
          <w:rFonts w:ascii="Arial" w:hAnsi="Arial" w:cs="Arial"/>
          <w:sz w:val="24"/>
          <w:szCs w:val="24"/>
        </w:rPr>
        <w:t xml:space="preserve"> </w:t>
      </w:r>
      <w:r w:rsidR="00D46847">
        <w:rPr>
          <w:rFonts w:ascii="Arial" w:hAnsi="Arial" w:cs="Arial"/>
          <w:sz w:val="24"/>
          <w:szCs w:val="24"/>
        </w:rPr>
        <w:t xml:space="preserve">as well as </w:t>
      </w:r>
      <w:r w:rsidR="001A52BB">
        <w:rPr>
          <w:rFonts w:ascii="Arial" w:hAnsi="Arial" w:cs="Arial"/>
          <w:sz w:val="24"/>
          <w:szCs w:val="24"/>
        </w:rPr>
        <w:t>the relief claimed under Part B</w:t>
      </w:r>
      <w:r w:rsidR="006007D5">
        <w:rPr>
          <w:rFonts w:ascii="Arial" w:hAnsi="Arial" w:cs="Arial"/>
          <w:sz w:val="24"/>
          <w:szCs w:val="24"/>
        </w:rPr>
        <w:t xml:space="preserve"> against </w:t>
      </w:r>
      <w:r w:rsidR="002F64A2">
        <w:rPr>
          <w:rFonts w:ascii="Arial" w:hAnsi="Arial" w:cs="Arial"/>
          <w:sz w:val="24"/>
          <w:szCs w:val="24"/>
        </w:rPr>
        <w:t xml:space="preserve">Lego </w:t>
      </w:r>
      <w:r w:rsidR="009B31D9">
        <w:rPr>
          <w:rFonts w:ascii="Arial" w:hAnsi="Arial" w:cs="Arial"/>
          <w:sz w:val="24"/>
          <w:szCs w:val="24"/>
        </w:rPr>
        <w:t xml:space="preserve">Boerdery </w:t>
      </w:r>
      <w:r w:rsidR="002F64A2">
        <w:rPr>
          <w:rFonts w:ascii="Arial" w:hAnsi="Arial" w:cs="Arial"/>
          <w:sz w:val="24"/>
          <w:szCs w:val="24"/>
        </w:rPr>
        <w:t xml:space="preserve">and </w:t>
      </w:r>
      <w:r w:rsidR="006007D5">
        <w:rPr>
          <w:rFonts w:ascii="Arial" w:hAnsi="Arial" w:cs="Arial"/>
          <w:sz w:val="24"/>
          <w:szCs w:val="24"/>
        </w:rPr>
        <w:t>the second respondent (</w:t>
      </w:r>
      <w:r w:rsidR="00FF3F98">
        <w:rPr>
          <w:rFonts w:ascii="Arial" w:hAnsi="Arial" w:cs="Arial"/>
          <w:sz w:val="24"/>
          <w:szCs w:val="24"/>
        </w:rPr>
        <w:t xml:space="preserve">a </w:t>
      </w:r>
      <w:r w:rsidR="006007D5">
        <w:rPr>
          <w:rFonts w:ascii="Arial" w:hAnsi="Arial" w:cs="Arial"/>
          <w:sz w:val="24"/>
          <w:szCs w:val="24"/>
        </w:rPr>
        <w:t>member of the first respondent)</w:t>
      </w:r>
      <w:r w:rsidR="009B31D9" w:rsidRPr="009B31D9">
        <w:rPr>
          <w:rFonts w:ascii="Arial" w:hAnsi="Arial" w:cs="Arial"/>
          <w:sz w:val="24"/>
          <w:szCs w:val="24"/>
        </w:rPr>
        <w:t xml:space="preserve"> </w:t>
      </w:r>
      <w:r w:rsidR="009B31D9">
        <w:rPr>
          <w:rFonts w:ascii="Arial" w:hAnsi="Arial" w:cs="Arial"/>
          <w:sz w:val="24"/>
          <w:szCs w:val="24"/>
        </w:rPr>
        <w:t xml:space="preserve">jointly and severally, the one paying, the other to be absolved. Under part B the applicants claim </w:t>
      </w:r>
      <w:r w:rsidR="00D46847">
        <w:rPr>
          <w:rFonts w:ascii="Arial" w:hAnsi="Arial" w:cs="Arial"/>
          <w:sz w:val="24"/>
          <w:szCs w:val="24"/>
        </w:rPr>
        <w:t>payment in the amount of</w:t>
      </w:r>
      <w:r w:rsidR="00E25C11">
        <w:rPr>
          <w:rFonts w:ascii="Arial" w:hAnsi="Arial" w:cs="Arial"/>
          <w:sz w:val="24"/>
          <w:szCs w:val="24"/>
        </w:rPr>
        <w:t xml:space="preserve">      </w:t>
      </w:r>
      <w:r w:rsidR="00D46847">
        <w:rPr>
          <w:rFonts w:ascii="Arial" w:hAnsi="Arial" w:cs="Arial"/>
          <w:sz w:val="24"/>
          <w:szCs w:val="24"/>
        </w:rPr>
        <w:t xml:space="preserve"> R 2 717 854.90</w:t>
      </w:r>
      <w:r w:rsidR="002F64A2">
        <w:rPr>
          <w:rFonts w:ascii="Arial" w:hAnsi="Arial" w:cs="Arial"/>
          <w:sz w:val="24"/>
          <w:szCs w:val="24"/>
        </w:rPr>
        <w:t xml:space="preserve"> </w:t>
      </w:r>
      <w:r w:rsidR="009B31D9">
        <w:rPr>
          <w:rFonts w:ascii="Arial" w:hAnsi="Arial" w:cs="Arial"/>
          <w:sz w:val="24"/>
          <w:szCs w:val="24"/>
        </w:rPr>
        <w:t>together with interest thereon.</w:t>
      </w:r>
    </w:p>
    <w:p w:rsidR="001A52BB" w:rsidRDefault="001A52BB" w:rsidP="001A52BB">
      <w:pPr>
        <w:spacing w:line="360" w:lineRule="auto"/>
        <w:jc w:val="both"/>
        <w:rPr>
          <w:rFonts w:ascii="Arial" w:hAnsi="Arial" w:cs="Arial"/>
          <w:sz w:val="24"/>
          <w:szCs w:val="24"/>
        </w:rPr>
      </w:pPr>
    </w:p>
    <w:p w:rsidR="000B5DAE" w:rsidRPr="000B5DAE" w:rsidRDefault="000B5DAE" w:rsidP="000B5DAE">
      <w:pPr>
        <w:spacing w:after="0"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1A52BB" w:rsidRPr="000B5DAE">
        <w:rPr>
          <w:rFonts w:ascii="Arial" w:hAnsi="Arial" w:cs="Arial"/>
          <w:sz w:val="24"/>
          <w:szCs w:val="24"/>
        </w:rPr>
        <w:t>Lego Boe</w:t>
      </w:r>
      <w:r w:rsidR="006007D5">
        <w:rPr>
          <w:rFonts w:ascii="Arial" w:hAnsi="Arial" w:cs="Arial"/>
          <w:sz w:val="24"/>
          <w:szCs w:val="24"/>
        </w:rPr>
        <w:t>rdery and the second respondent (</w:t>
      </w:r>
      <w:r w:rsidR="00C77E7B">
        <w:rPr>
          <w:rFonts w:ascii="Arial" w:hAnsi="Arial" w:cs="Arial"/>
          <w:sz w:val="24"/>
          <w:szCs w:val="24"/>
        </w:rPr>
        <w:t xml:space="preserve">duly authorised to act on behalf of </w:t>
      </w:r>
      <w:r w:rsidR="003A49A1">
        <w:rPr>
          <w:rFonts w:ascii="Arial" w:hAnsi="Arial" w:cs="Arial"/>
          <w:sz w:val="24"/>
          <w:szCs w:val="24"/>
        </w:rPr>
        <w:t>the first respondent</w:t>
      </w:r>
      <w:r w:rsidR="00C77E7B">
        <w:rPr>
          <w:rFonts w:ascii="Arial" w:hAnsi="Arial" w:cs="Arial"/>
          <w:sz w:val="24"/>
          <w:szCs w:val="24"/>
        </w:rPr>
        <w:t>)</w:t>
      </w:r>
      <w:r w:rsidR="006007D5">
        <w:rPr>
          <w:rFonts w:ascii="Arial" w:hAnsi="Arial" w:cs="Arial"/>
          <w:sz w:val="24"/>
          <w:szCs w:val="24"/>
        </w:rPr>
        <w:t xml:space="preserve"> </w:t>
      </w:r>
      <w:r w:rsidR="001A52BB" w:rsidRPr="000B5DAE">
        <w:rPr>
          <w:rFonts w:ascii="Arial" w:hAnsi="Arial" w:cs="Arial"/>
          <w:sz w:val="24"/>
          <w:szCs w:val="24"/>
        </w:rPr>
        <w:t>oppose the relief sought b</w:t>
      </w:r>
      <w:r w:rsidR="00AE267E">
        <w:rPr>
          <w:rFonts w:ascii="Arial" w:hAnsi="Arial" w:cs="Arial"/>
          <w:sz w:val="24"/>
          <w:szCs w:val="24"/>
        </w:rPr>
        <w:t>y the applicants a</w:t>
      </w:r>
      <w:r w:rsidR="003A49A1">
        <w:rPr>
          <w:rFonts w:ascii="Arial" w:hAnsi="Arial" w:cs="Arial"/>
          <w:sz w:val="24"/>
          <w:szCs w:val="24"/>
        </w:rPr>
        <w:t xml:space="preserve">nd pray for </w:t>
      </w:r>
      <w:r w:rsidR="00AE267E">
        <w:rPr>
          <w:rFonts w:ascii="Arial" w:hAnsi="Arial" w:cs="Arial"/>
          <w:sz w:val="24"/>
          <w:szCs w:val="24"/>
        </w:rPr>
        <w:t xml:space="preserve">discharge of the </w:t>
      </w:r>
      <w:r w:rsidR="00AE267E" w:rsidRPr="009C1E4A">
        <w:rPr>
          <w:rFonts w:ascii="Arial" w:hAnsi="Arial" w:cs="Arial"/>
          <w:i/>
          <w:sz w:val="24"/>
          <w:szCs w:val="24"/>
        </w:rPr>
        <w:t>rule nisi</w:t>
      </w:r>
      <w:r w:rsidR="00AE267E">
        <w:rPr>
          <w:rFonts w:ascii="Arial" w:hAnsi="Arial" w:cs="Arial"/>
          <w:sz w:val="24"/>
          <w:szCs w:val="24"/>
        </w:rPr>
        <w:t xml:space="preserve"> and dismissal of the </w:t>
      </w:r>
      <w:r w:rsidR="001A52BB" w:rsidRPr="000B5DAE">
        <w:rPr>
          <w:rFonts w:ascii="Arial" w:hAnsi="Arial" w:cs="Arial"/>
          <w:sz w:val="24"/>
          <w:szCs w:val="24"/>
        </w:rPr>
        <w:t xml:space="preserve">relief </w:t>
      </w:r>
      <w:r w:rsidR="00AE267E">
        <w:rPr>
          <w:rFonts w:ascii="Arial" w:hAnsi="Arial" w:cs="Arial"/>
          <w:sz w:val="24"/>
          <w:szCs w:val="24"/>
        </w:rPr>
        <w:t xml:space="preserve">sought </w:t>
      </w:r>
      <w:r w:rsidR="001A52BB" w:rsidRPr="000B5DAE">
        <w:rPr>
          <w:rFonts w:ascii="Arial" w:hAnsi="Arial" w:cs="Arial"/>
          <w:sz w:val="24"/>
          <w:szCs w:val="24"/>
        </w:rPr>
        <w:t>under Part B</w:t>
      </w:r>
      <w:r w:rsidR="00AE267E">
        <w:rPr>
          <w:rFonts w:ascii="Arial" w:hAnsi="Arial" w:cs="Arial"/>
          <w:sz w:val="24"/>
          <w:szCs w:val="24"/>
        </w:rPr>
        <w:t>.</w:t>
      </w:r>
      <w:r w:rsidRPr="000B5DAE">
        <w:rPr>
          <w:rFonts w:ascii="Arial" w:hAnsi="Arial" w:cs="Arial"/>
          <w:sz w:val="24"/>
          <w:szCs w:val="24"/>
        </w:rPr>
        <w:t xml:space="preserve"> </w:t>
      </w:r>
      <w:r w:rsidR="00C77E7B">
        <w:rPr>
          <w:rFonts w:ascii="Arial" w:hAnsi="Arial" w:cs="Arial"/>
          <w:sz w:val="24"/>
          <w:szCs w:val="24"/>
        </w:rPr>
        <w:t xml:space="preserve">In its answering affidavit </w:t>
      </w:r>
      <w:r w:rsidRPr="000B5DAE">
        <w:rPr>
          <w:rFonts w:ascii="Arial" w:hAnsi="Arial" w:cs="Arial"/>
          <w:sz w:val="24"/>
          <w:szCs w:val="24"/>
        </w:rPr>
        <w:t xml:space="preserve">the applicants’ </w:t>
      </w:r>
      <w:r w:rsidRPr="00E83E74">
        <w:rPr>
          <w:rFonts w:ascii="Arial" w:hAnsi="Arial" w:cs="Arial"/>
          <w:i/>
          <w:sz w:val="24"/>
          <w:szCs w:val="24"/>
        </w:rPr>
        <w:t>locus standi</w:t>
      </w:r>
      <w:r w:rsidRPr="000B5DAE">
        <w:rPr>
          <w:rFonts w:ascii="Arial" w:hAnsi="Arial" w:cs="Arial"/>
          <w:sz w:val="24"/>
          <w:szCs w:val="24"/>
        </w:rPr>
        <w:t xml:space="preserve"> </w:t>
      </w:r>
      <w:r>
        <w:rPr>
          <w:rFonts w:ascii="Arial" w:hAnsi="Arial" w:cs="Arial"/>
          <w:sz w:val="24"/>
          <w:szCs w:val="24"/>
        </w:rPr>
        <w:t xml:space="preserve">to </w:t>
      </w:r>
      <w:r w:rsidRPr="000B5DAE">
        <w:rPr>
          <w:rFonts w:ascii="Arial" w:hAnsi="Arial" w:cs="Arial"/>
          <w:sz w:val="24"/>
          <w:szCs w:val="24"/>
        </w:rPr>
        <w:t>perfect the security under the notarial bonds (</w:t>
      </w:r>
      <w:r>
        <w:rPr>
          <w:rFonts w:ascii="Arial" w:hAnsi="Arial" w:cs="Arial"/>
          <w:sz w:val="24"/>
          <w:szCs w:val="24"/>
        </w:rPr>
        <w:t xml:space="preserve">numbers </w:t>
      </w:r>
      <w:r w:rsidRPr="000B5DAE">
        <w:rPr>
          <w:rFonts w:ascii="Arial" w:hAnsi="Arial" w:cs="Arial"/>
          <w:sz w:val="24"/>
          <w:szCs w:val="24"/>
        </w:rPr>
        <w:t>BN8214/2023;</w:t>
      </w:r>
      <w:r>
        <w:rPr>
          <w:rFonts w:ascii="Arial" w:hAnsi="Arial" w:cs="Arial"/>
          <w:sz w:val="24"/>
          <w:szCs w:val="24"/>
        </w:rPr>
        <w:t xml:space="preserve"> </w:t>
      </w:r>
      <w:r w:rsidRPr="000B5DAE">
        <w:rPr>
          <w:rFonts w:ascii="Arial" w:hAnsi="Arial" w:cs="Arial"/>
          <w:sz w:val="24"/>
          <w:szCs w:val="24"/>
        </w:rPr>
        <w:t>BN8662/2014</w:t>
      </w:r>
      <w:r w:rsidR="00C77E7B">
        <w:rPr>
          <w:rFonts w:ascii="Arial" w:hAnsi="Arial" w:cs="Arial"/>
          <w:sz w:val="24"/>
          <w:szCs w:val="24"/>
        </w:rPr>
        <w:t xml:space="preserve">; </w:t>
      </w:r>
      <w:r w:rsidRPr="000B5DAE">
        <w:rPr>
          <w:rFonts w:ascii="Arial" w:hAnsi="Arial" w:cs="Arial"/>
          <w:sz w:val="24"/>
          <w:szCs w:val="24"/>
        </w:rPr>
        <w:t>BN2906/2016;</w:t>
      </w:r>
      <w:r>
        <w:rPr>
          <w:rFonts w:ascii="Arial" w:hAnsi="Arial" w:cs="Arial"/>
          <w:sz w:val="24"/>
          <w:szCs w:val="24"/>
        </w:rPr>
        <w:t xml:space="preserve"> </w:t>
      </w:r>
      <w:r w:rsidRPr="000B5DAE">
        <w:rPr>
          <w:rFonts w:ascii="Arial" w:hAnsi="Arial" w:cs="Arial"/>
          <w:sz w:val="24"/>
          <w:szCs w:val="24"/>
        </w:rPr>
        <w:t>BN5535/2016)</w:t>
      </w:r>
      <w:r w:rsidR="003E08FA">
        <w:rPr>
          <w:rFonts w:ascii="Arial" w:hAnsi="Arial" w:cs="Arial"/>
          <w:sz w:val="24"/>
          <w:szCs w:val="24"/>
        </w:rPr>
        <w:t xml:space="preserve"> are disputed by the </w:t>
      </w:r>
      <w:r w:rsidR="00C77E7B">
        <w:rPr>
          <w:rFonts w:ascii="Arial" w:hAnsi="Arial" w:cs="Arial"/>
          <w:sz w:val="24"/>
          <w:szCs w:val="24"/>
        </w:rPr>
        <w:t>respondent</w:t>
      </w:r>
      <w:r w:rsidR="003E08FA">
        <w:rPr>
          <w:rFonts w:ascii="Arial" w:hAnsi="Arial" w:cs="Arial"/>
          <w:sz w:val="24"/>
          <w:szCs w:val="24"/>
        </w:rPr>
        <w:t xml:space="preserve">s. The contention is firstly </w:t>
      </w:r>
      <w:r>
        <w:rPr>
          <w:rFonts w:ascii="Arial" w:hAnsi="Arial" w:cs="Arial"/>
          <w:sz w:val="24"/>
          <w:szCs w:val="24"/>
        </w:rPr>
        <w:t xml:space="preserve">that there </w:t>
      </w:r>
      <w:r w:rsidR="003E08FA">
        <w:rPr>
          <w:rFonts w:ascii="Arial" w:hAnsi="Arial" w:cs="Arial"/>
          <w:sz w:val="24"/>
          <w:szCs w:val="24"/>
        </w:rPr>
        <w:t>was an out-and-out cession by Agri-Com to Land Bank of Agri-Com</w:t>
      </w:r>
      <w:r w:rsidR="00AE31AC">
        <w:rPr>
          <w:rFonts w:ascii="Arial" w:hAnsi="Arial" w:cs="Arial"/>
          <w:sz w:val="24"/>
          <w:szCs w:val="24"/>
        </w:rPr>
        <w:t>’</w:t>
      </w:r>
      <w:r w:rsidR="003E08FA">
        <w:rPr>
          <w:rFonts w:ascii="Arial" w:hAnsi="Arial" w:cs="Arial"/>
          <w:sz w:val="24"/>
          <w:szCs w:val="24"/>
        </w:rPr>
        <w:t xml:space="preserve">s claim against Lego resulting therein that Agri-Com has no further </w:t>
      </w:r>
      <w:r w:rsidR="003E08FA" w:rsidRPr="00BB0B50">
        <w:rPr>
          <w:rFonts w:ascii="Arial" w:hAnsi="Arial" w:cs="Arial"/>
          <w:i/>
          <w:sz w:val="24"/>
          <w:szCs w:val="24"/>
        </w:rPr>
        <w:t>locus standi</w:t>
      </w:r>
      <w:r w:rsidR="003E08FA">
        <w:rPr>
          <w:rFonts w:ascii="Arial" w:hAnsi="Arial" w:cs="Arial"/>
          <w:sz w:val="24"/>
          <w:szCs w:val="24"/>
        </w:rPr>
        <w:t xml:space="preserve"> to claim from Lego Boerdery – put differently the contention being that Land Bank should have enforced the claim herein. The second contention </w:t>
      </w:r>
      <w:r>
        <w:rPr>
          <w:rFonts w:ascii="Arial" w:hAnsi="Arial" w:cs="Arial"/>
          <w:sz w:val="24"/>
          <w:szCs w:val="24"/>
        </w:rPr>
        <w:t xml:space="preserve">is </w:t>
      </w:r>
      <w:r w:rsidR="003E08FA">
        <w:rPr>
          <w:rFonts w:ascii="Arial" w:hAnsi="Arial" w:cs="Arial"/>
          <w:sz w:val="24"/>
          <w:szCs w:val="24"/>
        </w:rPr>
        <w:t xml:space="preserve">that there is no underlying causa for </w:t>
      </w:r>
      <w:r>
        <w:rPr>
          <w:rFonts w:ascii="Arial" w:hAnsi="Arial" w:cs="Arial"/>
          <w:sz w:val="24"/>
          <w:szCs w:val="24"/>
        </w:rPr>
        <w:t>perfection of these bonds</w:t>
      </w:r>
      <w:r w:rsidR="00C77E7B">
        <w:rPr>
          <w:rFonts w:ascii="Arial" w:hAnsi="Arial" w:cs="Arial"/>
          <w:sz w:val="24"/>
          <w:szCs w:val="24"/>
        </w:rPr>
        <w:t>,</w:t>
      </w:r>
      <w:r>
        <w:rPr>
          <w:rFonts w:ascii="Arial" w:hAnsi="Arial" w:cs="Arial"/>
          <w:sz w:val="24"/>
          <w:szCs w:val="24"/>
        </w:rPr>
        <w:t xml:space="preserve"> as first respondent’s indebtedness to Agri-Com has been extinguish</w:t>
      </w:r>
      <w:r w:rsidR="003850AE">
        <w:rPr>
          <w:rFonts w:ascii="Arial" w:hAnsi="Arial" w:cs="Arial"/>
          <w:sz w:val="24"/>
          <w:szCs w:val="24"/>
        </w:rPr>
        <w:t xml:space="preserve">ed and, </w:t>
      </w:r>
      <w:r>
        <w:rPr>
          <w:rFonts w:ascii="Arial" w:hAnsi="Arial" w:cs="Arial"/>
          <w:sz w:val="24"/>
          <w:szCs w:val="24"/>
        </w:rPr>
        <w:t>whereas the security held under the notarial bond is accessory to the existence of the principle debt, the ap</w:t>
      </w:r>
      <w:r w:rsidR="00D9419C">
        <w:rPr>
          <w:rFonts w:ascii="Arial" w:hAnsi="Arial" w:cs="Arial"/>
          <w:sz w:val="24"/>
          <w:szCs w:val="24"/>
        </w:rPr>
        <w:t>plicants are not entitled to an</w:t>
      </w:r>
      <w:r>
        <w:rPr>
          <w:rFonts w:ascii="Arial" w:hAnsi="Arial" w:cs="Arial"/>
          <w:sz w:val="24"/>
          <w:szCs w:val="24"/>
        </w:rPr>
        <w:t xml:space="preserve"> order for the perfection of security. Moreover, </w:t>
      </w:r>
      <w:r w:rsidR="003850AE">
        <w:rPr>
          <w:rFonts w:ascii="Arial" w:hAnsi="Arial" w:cs="Arial"/>
          <w:sz w:val="24"/>
          <w:szCs w:val="24"/>
        </w:rPr>
        <w:t>so the opposition goes, based on the aforementioned grounds of opposition a material dispute of facts exists</w:t>
      </w:r>
      <w:r w:rsidR="00216832">
        <w:rPr>
          <w:rFonts w:ascii="Arial" w:hAnsi="Arial" w:cs="Arial"/>
          <w:sz w:val="24"/>
          <w:szCs w:val="24"/>
        </w:rPr>
        <w:t xml:space="preserve"> which cannot be resolved on the papers</w:t>
      </w:r>
      <w:r w:rsidR="003850AE">
        <w:rPr>
          <w:rFonts w:ascii="Arial" w:hAnsi="Arial" w:cs="Arial"/>
          <w:sz w:val="24"/>
          <w:szCs w:val="24"/>
        </w:rPr>
        <w:t>.</w:t>
      </w:r>
    </w:p>
    <w:p w:rsidR="009062F3" w:rsidRDefault="009062F3" w:rsidP="00D9419C">
      <w:pPr>
        <w:spacing w:line="360" w:lineRule="auto"/>
        <w:jc w:val="both"/>
        <w:rPr>
          <w:rFonts w:ascii="Arial" w:hAnsi="Arial" w:cs="Arial"/>
          <w:sz w:val="24"/>
          <w:szCs w:val="24"/>
        </w:rPr>
      </w:pPr>
    </w:p>
    <w:p w:rsidR="00F743F8" w:rsidRDefault="009062F3" w:rsidP="00AF559D">
      <w:pPr>
        <w:spacing w:after="0" w:line="360" w:lineRule="auto"/>
        <w:ind w:left="567" w:hanging="567"/>
        <w:jc w:val="both"/>
        <w:rPr>
          <w:rFonts w:ascii="Arial" w:hAnsi="Arial" w:cs="Arial"/>
          <w:sz w:val="24"/>
          <w:szCs w:val="24"/>
        </w:rPr>
      </w:pPr>
      <w:r>
        <w:rPr>
          <w:rFonts w:ascii="Arial" w:hAnsi="Arial" w:cs="Arial"/>
          <w:sz w:val="24"/>
          <w:szCs w:val="24"/>
        </w:rPr>
        <w:lastRenderedPageBreak/>
        <w:t xml:space="preserve"> </w:t>
      </w:r>
      <w:r w:rsidR="00AF559D">
        <w:rPr>
          <w:rFonts w:ascii="Arial" w:hAnsi="Arial" w:cs="Arial"/>
          <w:sz w:val="24"/>
          <w:szCs w:val="24"/>
        </w:rPr>
        <w:t>[3</w:t>
      </w:r>
      <w:r w:rsidR="001A52BB">
        <w:rPr>
          <w:rFonts w:ascii="Arial" w:hAnsi="Arial" w:cs="Arial"/>
          <w:sz w:val="24"/>
          <w:szCs w:val="24"/>
        </w:rPr>
        <w:t>]</w:t>
      </w:r>
      <w:r w:rsidR="001A52BB">
        <w:rPr>
          <w:rFonts w:ascii="Arial" w:hAnsi="Arial" w:cs="Arial"/>
          <w:sz w:val="24"/>
          <w:szCs w:val="24"/>
        </w:rPr>
        <w:tab/>
      </w:r>
      <w:r w:rsidR="00AF559D">
        <w:rPr>
          <w:rFonts w:ascii="Arial" w:hAnsi="Arial" w:cs="Arial"/>
          <w:sz w:val="24"/>
          <w:szCs w:val="24"/>
        </w:rPr>
        <w:t>That the third applica</w:t>
      </w:r>
      <w:r w:rsidR="00216832">
        <w:rPr>
          <w:rFonts w:ascii="Arial" w:hAnsi="Arial" w:cs="Arial"/>
          <w:sz w:val="24"/>
          <w:szCs w:val="24"/>
        </w:rPr>
        <w:t xml:space="preserve">nt and the first respondent </w:t>
      </w:r>
      <w:r w:rsidR="00AF559D">
        <w:rPr>
          <w:rFonts w:ascii="Arial" w:hAnsi="Arial" w:cs="Arial"/>
          <w:sz w:val="24"/>
          <w:szCs w:val="24"/>
        </w:rPr>
        <w:t xml:space="preserve">entered into five credit agreements from November 2013 to February 2018, is common cause. </w:t>
      </w:r>
      <w:r w:rsidR="00216832">
        <w:rPr>
          <w:rFonts w:ascii="Arial" w:hAnsi="Arial" w:cs="Arial"/>
          <w:sz w:val="24"/>
          <w:szCs w:val="24"/>
        </w:rPr>
        <w:t xml:space="preserve"> </w:t>
      </w:r>
      <w:r w:rsidR="00E84A36">
        <w:rPr>
          <w:rFonts w:ascii="Arial" w:hAnsi="Arial" w:cs="Arial"/>
          <w:sz w:val="24"/>
          <w:szCs w:val="24"/>
        </w:rPr>
        <w:t>Four of the five agreements entailed summer production loans, whilst one was a loan for the purchase of lime (the liming loan).</w:t>
      </w:r>
      <w:r w:rsidR="000E60C0">
        <w:rPr>
          <w:rFonts w:ascii="Arial" w:hAnsi="Arial" w:cs="Arial"/>
          <w:sz w:val="24"/>
          <w:szCs w:val="24"/>
        </w:rPr>
        <w:t xml:space="preserve"> The applicants allege that the respondents</w:t>
      </w:r>
      <w:r w:rsidR="00E84A36">
        <w:rPr>
          <w:rFonts w:ascii="Arial" w:hAnsi="Arial" w:cs="Arial"/>
          <w:sz w:val="24"/>
          <w:szCs w:val="24"/>
        </w:rPr>
        <w:t xml:space="preserve"> </w:t>
      </w:r>
      <w:r w:rsidR="000E60C0">
        <w:rPr>
          <w:rFonts w:ascii="Arial" w:hAnsi="Arial" w:cs="Arial"/>
          <w:sz w:val="24"/>
          <w:szCs w:val="24"/>
        </w:rPr>
        <w:t xml:space="preserve">are indebted to the third applicant </w:t>
      </w:r>
      <w:r w:rsidR="003E08FA">
        <w:rPr>
          <w:rFonts w:ascii="Arial" w:hAnsi="Arial" w:cs="Arial"/>
          <w:sz w:val="24"/>
          <w:szCs w:val="24"/>
        </w:rPr>
        <w:t xml:space="preserve">(jointly and severally) </w:t>
      </w:r>
      <w:r w:rsidR="000E60C0">
        <w:rPr>
          <w:rFonts w:ascii="Arial" w:hAnsi="Arial" w:cs="Arial"/>
          <w:sz w:val="24"/>
          <w:szCs w:val="24"/>
        </w:rPr>
        <w:t>in the amount as claimed under Part B</w:t>
      </w:r>
      <w:r w:rsidR="003675CD">
        <w:rPr>
          <w:rFonts w:ascii="Arial" w:hAnsi="Arial" w:cs="Arial"/>
          <w:sz w:val="24"/>
          <w:szCs w:val="24"/>
        </w:rPr>
        <w:t xml:space="preserve"> in respect of these loans</w:t>
      </w:r>
      <w:r w:rsidR="00D34E06">
        <w:rPr>
          <w:rFonts w:ascii="Arial" w:hAnsi="Arial" w:cs="Arial"/>
          <w:sz w:val="24"/>
          <w:szCs w:val="24"/>
        </w:rPr>
        <w:t xml:space="preserve"> and</w:t>
      </w:r>
      <w:r w:rsidR="00AE31AC">
        <w:rPr>
          <w:rFonts w:ascii="Arial" w:hAnsi="Arial" w:cs="Arial"/>
          <w:sz w:val="24"/>
          <w:szCs w:val="24"/>
        </w:rPr>
        <w:t>,</w:t>
      </w:r>
      <w:r w:rsidR="00D34E06">
        <w:rPr>
          <w:rFonts w:ascii="Arial" w:hAnsi="Arial" w:cs="Arial"/>
          <w:sz w:val="24"/>
          <w:szCs w:val="24"/>
        </w:rPr>
        <w:t xml:space="preserve"> more in particular</w:t>
      </w:r>
      <w:r w:rsidR="00AE31AC">
        <w:rPr>
          <w:rFonts w:ascii="Arial" w:hAnsi="Arial" w:cs="Arial"/>
          <w:sz w:val="24"/>
          <w:szCs w:val="24"/>
        </w:rPr>
        <w:t>,</w:t>
      </w:r>
      <w:r w:rsidR="00D34E06">
        <w:rPr>
          <w:rFonts w:ascii="Arial" w:hAnsi="Arial" w:cs="Arial"/>
          <w:sz w:val="24"/>
          <w:szCs w:val="24"/>
        </w:rPr>
        <w:t xml:space="preserve"> the fifth loan agreement being a reconciliation loan.</w:t>
      </w:r>
    </w:p>
    <w:p w:rsidR="00F743F8" w:rsidRDefault="00F743F8" w:rsidP="00AF559D">
      <w:pPr>
        <w:spacing w:after="0" w:line="360" w:lineRule="auto"/>
        <w:ind w:left="567" w:hanging="567"/>
        <w:jc w:val="both"/>
        <w:rPr>
          <w:rFonts w:ascii="Arial" w:hAnsi="Arial" w:cs="Arial"/>
          <w:sz w:val="24"/>
          <w:szCs w:val="24"/>
        </w:rPr>
      </w:pPr>
    </w:p>
    <w:p w:rsidR="001A52BB" w:rsidRDefault="00F743F8" w:rsidP="00AF559D">
      <w:pPr>
        <w:spacing w:after="0" w:line="36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0D158F">
        <w:rPr>
          <w:rFonts w:ascii="Arial" w:hAnsi="Arial" w:cs="Arial"/>
          <w:sz w:val="24"/>
          <w:szCs w:val="24"/>
        </w:rPr>
        <w:t xml:space="preserve"> </w:t>
      </w:r>
      <w:r w:rsidR="000E1E4B">
        <w:rPr>
          <w:rFonts w:ascii="Arial" w:hAnsi="Arial" w:cs="Arial"/>
          <w:sz w:val="24"/>
          <w:szCs w:val="24"/>
        </w:rPr>
        <w:t>During January 2011</w:t>
      </w:r>
      <w:r w:rsidR="00727505">
        <w:rPr>
          <w:rFonts w:ascii="Arial" w:hAnsi="Arial" w:cs="Arial"/>
          <w:sz w:val="24"/>
          <w:szCs w:val="24"/>
        </w:rPr>
        <w:t xml:space="preserve"> </w:t>
      </w:r>
      <w:r>
        <w:rPr>
          <w:rFonts w:ascii="Arial" w:hAnsi="Arial" w:cs="Arial"/>
          <w:sz w:val="24"/>
          <w:szCs w:val="24"/>
        </w:rPr>
        <w:t xml:space="preserve">Land Bank </w:t>
      </w:r>
      <w:r w:rsidR="006763BF">
        <w:rPr>
          <w:rFonts w:ascii="Arial" w:hAnsi="Arial" w:cs="Arial"/>
          <w:sz w:val="24"/>
          <w:szCs w:val="24"/>
        </w:rPr>
        <w:t xml:space="preserve">and </w:t>
      </w:r>
      <w:r w:rsidR="000E1E4B">
        <w:rPr>
          <w:rFonts w:ascii="Arial" w:hAnsi="Arial" w:cs="Arial"/>
          <w:sz w:val="24"/>
          <w:szCs w:val="24"/>
        </w:rPr>
        <w:t xml:space="preserve">Agri-Com entered into a deed of cession (annexed as </w:t>
      </w:r>
      <w:r w:rsidR="00AE31AC">
        <w:rPr>
          <w:rFonts w:ascii="Arial" w:hAnsi="Arial" w:cs="Arial"/>
          <w:sz w:val="24"/>
          <w:szCs w:val="24"/>
        </w:rPr>
        <w:t>“</w:t>
      </w:r>
      <w:r w:rsidR="000E1E4B">
        <w:rPr>
          <w:rFonts w:ascii="Arial" w:hAnsi="Arial" w:cs="Arial"/>
          <w:sz w:val="24"/>
          <w:szCs w:val="24"/>
        </w:rPr>
        <w:t>DB5</w:t>
      </w:r>
      <w:r w:rsidR="00AE31AC">
        <w:rPr>
          <w:rFonts w:ascii="Arial" w:hAnsi="Arial" w:cs="Arial"/>
          <w:sz w:val="24"/>
          <w:szCs w:val="24"/>
        </w:rPr>
        <w:t>”</w:t>
      </w:r>
      <w:r w:rsidR="000E1E4B">
        <w:rPr>
          <w:rFonts w:ascii="Arial" w:hAnsi="Arial" w:cs="Arial"/>
          <w:sz w:val="24"/>
          <w:szCs w:val="24"/>
        </w:rPr>
        <w:t xml:space="preserve"> to the founding papers – the deed) which formed the Land Bank’s security </w:t>
      </w:r>
      <w:r w:rsidR="006763BF">
        <w:rPr>
          <w:rFonts w:ascii="Arial" w:hAnsi="Arial" w:cs="Arial"/>
          <w:sz w:val="24"/>
          <w:szCs w:val="24"/>
        </w:rPr>
        <w:t xml:space="preserve">for monies </w:t>
      </w:r>
      <w:r w:rsidR="00727505">
        <w:rPr>
          <w:rFonts w:ascii="Arial" w:hAnsi="Arial" w:cs="Arial"/>
          <w:sz w:val="24"/>
          <w:szCs w:val="24"/>
        </w:rPr>
        <w:t xml:space="preserve">lent and advanced </w:t>
      </w:r>
      <w:r w:rsidR="003675CD">
        <w:rPr>
          <w:rFonts w:ascii="Arial" w:hAnsi="Arial" w:cs="Arial"/>
          <w:sz w:val="24"/>
          <w:szCs w:val="24"/>
        </w:rPr>
        <w:t>to Agri-Com.</w:t>
      </w:r>
      <w:r>
        <w:rPr>
          <w:rFonts w:ascii="Arial" w:hAnsi="Arial" w:cs="Arial"/>
          <w:sz w:val="24"/>
          <w:szCs w:val="24"/>
        </w:rPr>
        <w:t xml:space="preserve"> </w:t>
      </w:r>
      <w:r w:rsidR="00FC6D2C">
        <w:rPr>
          <w:rFonts w:ascii="Arial" w:hAnsi="Arial" w:cs="Arial"/>
          <w:sz w:val="24"/>
          <w:szCs w:val="24"/>
        </w:rPr>
        <w:t xml:space="preserve">Agri-Com </w:t>
      </w:r>
      <w:r w:rsidR="00E75694">
        <w:rPr>
          <w:rFonts w:ascii="Arial" w:hAnsi="Arial" w:cs="Arial"/>
          <w:sz w:val="24"/>
          <w:szCs w:val="24"/>
        </w:rPr>
        <w:t xml:space="preserve">ultimately </w:t>
      </w:r>
      <w:r w:rsidR="00FC6D2C">
        <w:rPr>
          <w:rFonts w:ascii="Arial" w:hAnsi="Arial" w:cs="Arial"/>
          <w:sz w:val="24"/>
          <w:szCs w:val="24"/>
        </w:rPr>
        <w:t>ceded its book debts</w:t>
      </w:r>
      <w:r w:rsidR="000E60C0">
        <w:rPr>
          <w:rFonts w:ascii="Arial" w:hAnsi="Arial" w:cs="Arial"/>
          <w:sz w:val="24"/>
          <w:szCs w:val="24"/>
        </w:rPr>
        <w:t xml:space="preserve"> to Land Bank</w:t>
      </w:r>
      <w:r w:rsidR="001C1D97">
        <w:rPr>
          <w:rFonts w:ascii="Arial" w:hAnsi="Arial" w:cs="Arial"/>
          <w:sz w:val="24"/>
          <w:szCs w:val="24"/>
        </w:rPr>
        <w:t>,</w:t>
      </w:r>
      <w:r w:rsidR="00FC6D2C">
        <w:rPr>
          <w:rFonts w:ascii="Arial" w:hAnsi="Arial" w:cs="Arial"/>
          <w:sz w:val="24"/>
          <w:szCs w:val="24"/>
        </w:rPr>
        <w:t xml:space="preserve"> wh</w:t>
      </w:r>
      <w:r w:rsidR="003675CD">
        <w:rPr>
          <w:rFonts w:ascii="Arial" w:hAnsi="Arial" w:cs="Arial"/>
          <w:sz w:val="24"/>
          <w:szCs w:val="24"/>
        </w:rPr>
        <w:t xml:space="preserve">ich included the five </w:t>
      </w:r>
      <w:r w:rsidR="00FC6D2C">
        <w:rPr>
          <w:rFonts w:ascii="Arial" w:hAnsi="Arial" w:cs="Arial"/>
          <w:sz w:val="24"/>
          <w:szCs w:val="24"/>
        </w:rPr>
        <w:t>credit agreements between itself and Lego Boerdery</w:t>
      </w:r>
      <w:r w:rsidR="00E84A36">
        <w:rPr>
          <w:rFonts w:ascii="Arial" w:hAnsi="Arial" w:cs="Arial"/>
          <w:sz w:val="24"/>
          <w:szCs w:val="24"/>
        </w:rPr>
        <w:t xml:space="preserve">. </w:t>
      </w:r>
      <w:r w:rsidR="00323B19">
        <w:rPr>
          <w:rFonts w:ascii="Arial" w:hAnsi="Arial" w:cs="Arial"/>
          <w:sz w:val="24"/>
          <w:szCs w:val="24"/>
        </w:rPr>
        <w:t>T</w:t>
      </w:r>
      <w:r w:rsidR="00727505">
        <w:rPr>
          <w:rFonts w:ascii="Arial" w:hAnsi="Arial" w:cs="Arial"/>
          <w:sz w:val="24"/>
          <w:szCs w:val="24"/>
        </w:rPr>
        <w:t xml:space="preserve">he nature of </w:t>
      </w:r>
      <w:r w:rsidR="000E1E4B">
        <w:rPr>
          <w:rFonts w:ascii="Arial" w:hAnsi="Arial" w:cs="Arial"/>
          <w:sz w:val="24"/>
          <w:szCs w:val="24"/>
        </w:rPr>
        <w:t>this cession and the</w:t>
      </w:r>
      <w:r w:rsidR="00323B19">
        <w:rPr>
          <w:rFonts w:ascii="Arial" w:hAnsi="Arial" w:cs="Arial"/>
          <w:sz w:val="24"/>
          <w:szCs w:val="24"/>
        </w:rPr>
        <w:t xml:space="preserve"> </w:t>
      </w:r>
      <w:r w:rsidR="00E5700B">
        <w:rPr>
          <w:rFonts w:ascii="Arial" w:hAnsi="Arial" w:cs="Arial"/>
          <w:sz w:val="24"/>
          <w:szCs w:val="24"/>
        </w:rPr>
        <w:t xml:space="preserve">concomitant </w:t>
      </w:r>
      <w:r w:rsidR="00323B19">
        <w:rPr>
          <w:rFonts w:ascii="Arial" w:hAnsi="Arial" w:cs="Arial"/>
          <w:sz w:val="24"/>
          <w:szCs w:val="24"/>
        </w:rPr>
        <w:t>consequences flowing therefrom</w:t>
      </w:r>
      <w:r w:rsidR="000E1E4B">
        <w:rPr>
          <w:rFonts w:ascii="Arial" w:hAnsi="Arial" w:cs="Arial"/>
          <w:sz w:val="24"/>
          <w:szCs w:val="24"/>
        </w:rPr>
        <w:t xml:space="preserve"> is in dispute between the parties.</w:t>
      </w:r>
      <w:r w:rsidR="00E84A36">
        <w:rPr>
          <w:rFonts w:ascii="Arial" w:hAnsi="Arial" w:cs="Arial"/>
          <w:sz w:val="24"/>
          <w:szCs w:val="24"/>
        </w:rPr>
        <w:t xml:space="preserve"> </w:t>
      </w:r>
    </w:p>
    <w:p w:rsidR="000E1E4B" w:rsidRDefault="000E1E4B" w:rsidP="00AF559D">
      <w:pPr>
        <w:spacing w:after="0" w:line="360" w:lineRule="auto"/>
        <w:ind w:left="567" w:hanging="567"/>
        <w:jc w:val="both"/>
        <w:rPr>
          <w:rFonts w:ascii="Arial" w:hAnsi="Arial" w:cs="Arial"/>
          <w:sz w:val="24"/>
          <w:szCs w:val="24"/>
        </w:rPr>
      </w:pPr>
    </w:p>
    <w:p w:rsidR="000E1E4B" w:rsidRDefault="000E1E4B" w:rsidP="00AF559D">
      <w:pPr>
        <w:spacing w:after="0" w:line="36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t>The deed defines Agri-Com as “the cedent” and Land Bank as “the cessi</w:t>
      </w:r>
      <w:r w:rsidR="007D4F05">
        <w:rPr>
          <w:rFonts w:ascii="Arial" w:hAnsi="Arial" w:cs="Arial"/>
          <w:sz w:val="24"/>
          <w:szCs w:val="24"/>
        </w:rPr>
        <w:t>onary”, and the more important clauses for purposes of this judgment are quoted</w:t>
      </w:r>
      <w:r>
        <w:rPr>
          <w:rFonts w:ascii="Arial" w:hAnsi="Arial" w:cs="Arial"/>
          <w:sz w:val="24"/>
          <w:szCs w:val="24"/>
        </w:rPr>
        <w:t>:</w:t>
      </w:r>
    </w:p>
    <w:p w:rsidR="007D4F05" w:rsidRDefault="000E60C0" w:rsidP="000E60C0">
      <w:pPr>
        <w:spacing w:after="0" w:line="360" w:lineRule="auto"/>
        <w:jc w:val="both"/>
        <w:rPr>
          <w:rFonts w:ascii="Arial" w:hAnsi="Arial" w:cs="Arial"/>
          <w:sz w:val="24"/>
          <w:szCs w:val="24"/>
        </w:rPr>
      </w:pPr>
      <w:r>
        <w:rPr>
          <w:rFonts w:ascii="Arial" w:hAnsi="Arial" w:cs="Arial"/>
          <w:sz w:val="24"/>
          <w:szCs w:val="24"/>
        </w:rPr>
        <w:tab/>
      </w:r>
      <w:r w:rsidR="00597C7C">
        <w:rPr>
          <w:rFonts w:ascii="Arial" w:hAnsi="Arial" w:cs="Arial"/>
          <w:sz w:val="24"/>
          <w:szCs w:val="24"/>
        </w:rPr>
        <w:tab/>
      </w:r>
    </w:p>
    <w:p w:rsidR="007D4F05" w:rsidRPr="007D4F05" w:rsidRDefault="005D497C" w:rsidP="00597C7C">
      <w:pPr>
        <w:spacing w:after="120" w:line="276" w:lineRule="auto"/>
        <w:ind w:firstLine="720"/>
        <w:jc w:val="both"/>
        <w:rPr>
          <w:rFonts w:ascii="Arial" w:eastAsia="Microsoft YaHei" w:hAnsi="Arial" w:cs="Arial"/>
          <w:i/>
          <w:lang w:val="en-US"/>
        </w:rPr>
      </w:pPr>
      <w:r>
        <w:rPr>
          <w:rFonts w:ascii="Arial" w:eastAsia="Microsoft YaHei" w:hAnsi="Arial" w:cs="Arial"/>
          <w:i/>
          <w:lang w:val="en-US"/>
        </w:rPr>
        <w:t>“</w:t>
      </w:r>
      <w:r w:rsidR="007D4F05" w:rsidRPr="007D4F05">
        <w:rPr>
          <w:rFonts w:ascii="Arial" w:eastAsia="Microsoft YaHei" w:hAnsi="Arial" w:cs="Arial"/>
          <w:i/>
          <w:lang w:val="en-US"/>
        </w:rPr>
        <w:t>1.3</w:t>
      </w:r>
      <w:r w:rsidR="007D4F05" w:rsidRPr="007D4F05">
        <w:rPr>
          <w:rFonts w:ascii="Arial" w:eastAsia="Microsoft YaHei" w:hAnsi="Arial" w:cs="Arial"/>
          <w:i/>
          <w:lang w:val="en-US"/>
        </w:rPr>
        <w:tab/>
        <w:t xml:space="preserve">The </w:t>
      </w:r>
      <w:r w:rsidR="007D4F05" w:rsidRPr="007D4F05">
        <w:rPr>
          <w:rFonts w:ascii="Arial" w:eastAsia="Microsoft YaHei" w:hAnsi="Arial" w:cs="Arial"/>
          <w:b/>
          <w:i/>
          <w:lang w:val="en-US"/>
        </w:rPr>
        <w:t>Cessionary</w:t>
      </w:r>
      <w:r w:rsidR="007D4F05" w:rsidRPr="007D4F05">
        <w:rPr>
          <w:rFonts w:ascii="Arial" w:eastAsia="Microsoft YaHei" w:hAnsi="Arial" w:cs="Arial"/>
          <w:i/>
          <w:lang w:val="en-US"/>
        </w:rPr>
        <w:t xml:space="preserve"> requires from the </w:t>
      </w:r>
      <w:r w:rsidR="007D4F05" w:rsidRPr="007D4F05">
        <w:rPr>
          <w:rFonts w:ascii="Arial" w:eastAsia="Microsoft YaHei" w:hAnsi="Arial" w:cs="Arial"/>
          <w:b/>
          <w:i/>
          <w:lang w:val="en-US"/>
        </w:rPr>
        <w:t>Cedent</w:t>
      </w:r>
      <w:r w:rsidR="007D4F05" w:rsidRPr="007D4F05">
        <w:rPr>
          <w:rFonts w:ascii="Arial" w:eastAsia="Microsoft YaHei" w:hAnsi="Arial" w:cs="Arial"/>
          <w:i/>
          <w:lang w:val="en-US"/>
        </w:rPr>
        <w:t xml:space="preserve"> to furnish s</w:t>
      </w:r>
      <w:r w:rsidR="000E60C0">
        <w:rPr>
          <w:rFonts w:ascii="Arial" w:eastAsia="Microsoft YaHei" w:hAnsi="Arial" w:cs="Arial"/>
          <w:i/>
          <w:lang w:val="en-US"/>
        </w:rPr>
        <w:t xml:space="preserve">ecurity to it for the due </w:t>
      </w:r>
      <w:r w:rsidR="009A7C85">
        <w:rPr>
          <w:rFonts w:ascii="Arial" w:eastAsia="Microsoft YaHei" w:hAnsi="Arial" w:cs="Arial"/>
          <w:i/>
          <w:lang w:val="en-US"/>
        </w:rPr>
        <w:tab/>
      </w:r>
      <w:r w:rsidR="009A7C85">
        <w:rPr>
          <w:rFonts w:ascii="Arial" w:eastAsia="Microsoft YaHei" w:hAnsi="Arial" w:cs="Arial"/>
          <w:i/>
          <w:lang w:val="en-US"/>
        </w:rPr>
        <w:tab/>
      </w:r>
      <w:r w:rsidR="000E60C0">
        <w:rPr>
          <w:rFonts w:ascii="Arial" w:eastAsia="Microsoft YaHei" w:hAnsi="Arial" w:cs="Arial"/>
          <w:i/>
          <w:lang w:val="en-US"/>
        </w:rPr>
        <w:t xml:space="preserve">and </w:t>
      </w:r>
      <w:r w:rsidR="007D4F05" w:rsidRPr="007D4F05">
        <w:rPr>
          <w:rFonts w:ascii="Arial" w:eastAsia="Microsoft YaHei" w:hAnsi="Arial" w:cs="Arial"/>
          <w:i/>
          <w:lang w:val="en-US"/>
        </w:rPr>
        <w:tab/>
        <w:t>punctual:</w:t>
      </w:r>
    </w:p>
    <w:p w:rsidR="007D4F05" w:rsidRPr="007D4F05" w:rsidRDefault="007D4F05" w:rsidP="007D4F05">
      <w:pPr>
        <w:spacing w:after="120" w:line="276" w:lineRule="auto"/>
        <w:jc w:val="both"/>
        <w:rPr>
          <w:rFonts w:ascii="Arial" w:eastAsia="Microsoft YaHei" w:hAnsi="Arial" w:cs="Arial"/>
          <w:i/>
          <w:lang w:val="en-US"/>
        </w:rPr>
      </w:pPr>
      <w:r w:rsidRPr="007D4F05">
        <w:rPr>
          <w:rFonts w:ascii="Arial" w:eastAsia="Microsoft YaHei" w:hAnsi="Arial" w:cs="Arial"/>
          <w:i/>
          <w:lang w:val="en-US"/>
        </w:rPr>
        <w:tab/>
        <w:t xml:space="preserve">1.3.1 </w:t>
      </w:r>
      <w:r w:rsidRPr="007D4F05">
        <w:rPr>
          <w:rFonts w:ascii="Arial" w:eastAsia="Microsoft YaHei" w:hAnsi="Arial" w:cs="Arial"/>
          <w:i/>
          <w:lang w:val="en-US"/>
        </w:rPr>
        <w:tab/>
        <w:t xml:space="preserve">repayment to the </w:t>
      </w:r>
      <w:r w:rsidRPr="007D4F05">
        <w:rPr>
          <w:rFonts w:ascii="Arial" w:eastAsia="Microsoft YaHei" w:hAnsi="Arial" w:cs="Arial"/>
          <w:b/>
          <w:i/>
          <w:lang w:val="en-US"/>
        </w:rPr>
        <w:t xml:space="preserve">Cessionary </w:t>
      </w:r>
      <w:r w:rsidRPr="007D4F05">
        <w:rPr>
          <w:rFonts w:ascii="Arial" w:eastAsia="Microsoft YaHei" w:hAnsi="Arial" w:cs="Arial"/>
          <w:i/>
          <w:lang w:val="en-US"/>
        </w:rPr>
        <w:t xml:space="preserve">of the aforementioned cash credit accounts </w:t>
      </w:r>
      <w:r w:rsidRPr="007D4F05">
        <w:rPr>
          <w:rFonts w:ascii="Arial" w:eastAsia="Microsoft YaHei" w:hAnsi="Arial" w:cs="Arial"/>
          <w:i/>
          <w:lang w:val="en-US"/>
        </w:rPr>
        <w:tab/>
      </w:r>
      <w:r w:rsidRPr="007D4F05">
        <w:rPr>
          <w:rFonts w:ascii="Arial" w:eastAsia="Microsoft YaHei" w:hAnsi="Arial" w:cs="Arial"/>
          <w:i/>
          <w:lang w:val="en-US"/>
        </w:rPr>
        <w:tab/>
        <w:t>(working capital overdraft facilities) or installments</w:t>
      </w:r>
    </w:p>
    <w:p w:rsidR="007D4F05" w:rsidRPr="007D4F05" w:rsidRDefault="007D4F05" w:rsidP="000E60C0">
      <w:pPr>
        <w:spacing w:after="120" w:line="276" w:lineRule="auto"/>
        <w:ind w:firstLine="720"/>
        <w:jc w:val="both"/>
        <w:rPr>
          <w:rFonts w:ascii="Arial" w:eastAsia="Microsoft YaHei" w:hAnsi="Arial" w:cs="Arial"/>
          <w:i/>
          <w:lang w:val="en-US"/>
        </w:rPr>
      </w:pPr>
      <w:r w:rsidRPr="007D4F05">
        <w:rPr>
          <w:rFonts w:ascii="Arial" w:eastAsia="Microsoft YaHei" w:hAnsi="Arial" w:cs="Arial"/>
          <w:i/>
          <w:lang w:val="en-US"/>
        </w:rPr>
        <w:t>…</w:t>
      </w:r>
    </w:p>
    <w:p w:rsidR="007D4F05" w:rsidRPr="007D4F05" w:rsidRDefault="007D4F05" w:rsidP="007D4F05">
      <w:pPr>
        <w:spacing w:after="120" w:line="276" w:lineRule="auto"/>
        <w:jc w:val="both"/>
        <w:rPr>
          <w:rFonts w:ascii="Arial" w:eastAsia="Microsoft YaHei" w:hAnsi="Arial" w:cs="Arial"/>
          <w:i/>
          <w:lang w:val="en-US"/>
        </w:rPr>
      </w:pPr>
    </w:p>
    <w:p w:rsidR="007D4F05" w:rsidRPr="007D4F05" w:rsidRDefault="007D4F05" w:rsidP="009A7C85">
      <w:pPr>
        <w:spacing w:after="120" w:line="276" w:lineRule="auto"/>
        <w:ind w:firstLine="720"/>
        <w:jc w:val="both"/>
        <w:rPr>
          <w:rFonts w:ascii="Arial" w:eastAsia="Microsoft YaHei" w:hAnsi="Arial" w:cs="Arial"/>
          <w:i/>
          <w:lang w:val="en-US"/>
        </w:rPr>
      </w:pPr>
      <w:r w:rsidRPr="007D4F05">
        <w:rPr>
          <w:rFonts w:ascii="Arial" w:eastAsia="Microsoft YaHei" w:hAnsi="Arial" w:cs="Arial"/>
          <w:i/>
          <w:lang w:val="en-US"/>
        </w:rPr>
        <w:t>2.2</w:t>
      </w:r>
      <w:r w:rsidRPr="007D4F05">
        <w:rPr>
          <w:rFonts w:ascii="Arial" w:eastAsia="Microsoft YaHei" w:hAnsi="Arial" w:cs="Arial"/>
          <w:i/>
          <w:lang w:val="en-US"/>
        </w:rPr>
        <w:tab/>
        <w:t xml:space="preserve">The </w:t>
      </w:r>
      <w:r w:rsidRPr="007D4F05">
        <w:rPr>
          <w:rFonts w:ascii="Arial" w:eastAsia="Microsoft YaHei" w:hAnsi="Arial" w:cs="Arial"/>
          <w:b/>
          <w:i/>
          <w:lang w:val="en-US"/>
        </w:rPr>
        <w:t>Cedent</w:t>
      </w:r>
      <w:r w:rsidRPr="007D4F05">
        <w:rPr>
          <w:rFonts w:ascii="Arial" w:eastAsia="Microsoft YaHei" w:hAnsi="Arial" w:cs="Arial"/>
          <w:i/>
          <w:lang w:val="en-US"/>
        </w:rPr>
        <w:t xml:space="preserve"> hereby cedes to the </w:t>
      </w:r>
      <w:r w:rsidRPr="007D4F05">
        <w:rPr>
          <w:rFonts w:ascii="Arial" w:eastAsia="Microsoft YaHei" w:hAnsi="Arial" w:cs="Arial"/>
          <w:b/>
          <w:i/>
          <w:lang w:val="en-US"/>
        </w:rPr>
        <w:t>Cessionary</w:t>
      </w:r>
      <w:r w:rsidRPr="007D4F05">
        <w:rPr>
          <w:rFonts w:ascii="Arial" w:eastAsia="Microsoft YaHei" w:hAnsi="Arial" w:cs="Arial"/>
          <w:i/>
          <w:lang w:val="en-US"/>
        </w:rPr>
        <w:t xml:space="preserve"> in securitatem debiti, all its right,</w:t>
      </w:r>
      <w:r w:rsidRPr="007D4F05">
        <w:rPr>
          <w:rFonts w:ascii="Arial" w:eastAsia="Microsoft YaHei" w:hAnsi="Arial" w:cs="Arial"/>
          <w:i/>
          <w:lang w:val="en-US"/>
        </w:rPr>
        <w:tab/>
      </w:r>
      <w:r w:rsidR="009A7C85">
        <w:rPr>
          <w:rFonts w:ascii="Arial" w:eastAsia="Microsoft YaHei" w:hAnsi="Arial" w:cs="Arial"/>
          <w:i/>
          <w:lang w:val="en-US"/>
        </w:rPr>
        <w:tab/>
        <w:t xml:space="preserve">title </w:t>
      </w:r>
      <w:r w:rsidRPr="007D4F05">
        <w:rPr>
          <w:rFonts w:ascii="Arial" w:eastAsia="Microsoft YaHei" w:hAnsi="Arial" w:cs="Arial"/>
          <w:i/>
          <w:lang w:val="en-US"/>
        </w:rPr>
        <w:t xml:space="preserve">and interest in all to all amounts which the Debtors may be owing to or </w:t>
      </w:r>
      <w:r w:rsidR="009A7C85">
        <w:rPr>
          <w:rFonts w:ascii="Arial" w:eastAsia="Microsoft YaHei" w:hAnsi="Arial" w:cs="Arial"/>
          <w:i/>
          <w:lang w:val="en-US"/>
        </w:rPr>
        <w:tab/>
      </w:r>
      <w:r w:rsidR="009A7C85">
        <w:rPr>
          <w:rFonts w:ascii="Arial" w:eastAsia="Microsoft YaHei" w:hAnsi="Arial" w:cs="Arial"/>
          <w:i/>
          <w:lang w:val="en-US"/>
        </w:rPr>
        <w:tab/>
        <w:t xml:space="preserve">in future </w:t>
      </w:r>
      <w:r w:rsidRPr="007D4F05">
        <w:rPr>
          <w:rFonts w:ascii="Arial" w:eastAsia="Microsoft YaHei" w:hAnsi="Arial" w:cs="Arial"/>
          <w:i/>
          <w:lang w:val="en-US"/>
        </w:rPr>
        <w:t>become owing to the</w:t>
      </w:r>
      <w:r w:rsidRPr="007D4F05">
        <w:rPr>
          <w:rFonts w:ascii="Arial" w:eastAsia="Microsoft YaHei" w:hAnsi="Arial" w:cs="Arial"/>
          <w:b/>
          <w:i/>
          <w:lang w:val="en-US"/>
        </w:rPr>
        <w:t xml:space="preserve"> Cedent</w:t>
      </w:r>
      <w:r w:rsidRPr="007D4F05">
        <w:rPr>
          <w:rFonts w:ascii="Arial" w:eastAsia="Microsoft YaHei" w:hAnsi="Arial" w:cs="Arial"/>
          <w:i/>
          <w:lang w:val="en-US"/>
        </w:rPr>
        <w:t xml:space="preserve">, together with all rights or action which </w:t>
      </w:r>
      <w:r w:rsidR="009A7C85">
        <w:rPr>
          <w:rFonts w:ascii="Arial" w:eastAsia="Microsoft YaHei" w:hAnsi="Arial" w:cs="Arial"/>
          <w:i/>
          <w:lang w:val="en-US"/>
        </w:rPr>
        <w:tab/>
      </w:r>
      <w:r w:rsidR="009A7C85">
        <w:rPr>
          <w:rFonts w:ascii="Arial" w:eastAsia="Microsoft YaHei" w:hAnsi="Arial" w:cs="Arial"/>
          <w:i/>
          <w:lang w:val="en-US"/>
        </w:rPr>
        <w:tab/>
      </w:r>
      <w:r w:rsidRPr="007D4F05">
        <w:rPr>
          <w:rFonts w:ascii="Arial" w:eastAsia="Microsoft YaHei" w:hAnsi="Arial" w:cs="Arial"/>
          <w:b/>
          <w:i/>
          <w:lang w:val="en-US"/>
        </w:rPr>
        <w:t>Cedent</w:t>
      </w:r>
      <w:r w:rsidR="009A7C85">
        <w:rPr>
          <w:rFonts w:ascii="Arial" w:eastAsia="Microsoft YaHei" w:hAnsi="Arial" w:cs="Arial"/>
          <w:i/>
          <w:lang w:val="en-US"/>
        </w:rPr>
        <w:t xml:space="preserve"> </w:t>
      </w:r>
      <w:r w:rsidRPr="007D4F05">
        <w:rPr>
          <w:rFonts w:ascii="Arial" w:eastAsia="Microsoft YaHei" w:hAnsi="Arial" w:cs="Arial"/>
          <w:i/>
          <w:lang w:val="en-US"/>
        </w:rPr>
        <w:t xml:space="preserve">may have or obtain in respect of or against the Debtors (hereinafter </w:t>
      </w:r>
      <w:r w:rsidR="009A7C85">
        <w:rPr>
          <w:rFonts w:ascii="Arial" w:eastAsia="Microsoft YaHei" w:hAnsi="Arial" w:cs="Arial"/>
          <w:i/>
          <w:lang w:val="en-US"/>
        </w:rPr>
        <w:tab/>
      </w:r>
      <w:r w:rsidR="009A7C85">
        <w:rPr>
          <w:rFonts w:ascii="Arial" w:eastAsia="Microsoft YaHei" w:hAnsi="Arial" w:cs="Arial"/>
          <w:i/>
          <w:lang w:val="en-US"/>
        </w:rPr>
        <w:tab/>
      </w:r>
      <w:r w:rsidRPr="007D4F05">
        <w:rPr>
          <w:rFonts w:ascii="Arial" w:eastAsia="Microsoft YaHei" w:hAnsi="Arial" w:cs="Arial"/>
          <w:i/>
          <w:lang w:val="en-US"/>
        </w:rPr>
        <w:t xml:space="preserve">jointly </w:t>
      </w:r>
      <w:r w:rsidRPr="007D4F05">
        <w:rPr>
          <w:rFonts w:ascii="Arial" w:eastAsia="Microsoft YaHei" w:hAnsi="Arial" w:cs="Arial"/>
          <w:i/>
          <w:lang w:val="en-US"/>
        </w:rPr>
        <w:tab/>
        <w:t>referred to as “the Ceded Amount</w:t>
      </w:r>
      <w:r w:rsidR="009A7C85">
        <w:rPr>
          <w:rFonts w:ascii="Arial" w:eastAsia="Microsoft YaHei" w:hAnsi="Arial" w:cs="Arial"/>
          <w:i/>
          <w:lang w:val="en-US"/>
        </w:rPr>
        <w:t xml:space="preserve">s”) as security for the due and </w:t>
      </w:r>
      <w:r w:rsidR="009A7C85">
        <w:rPr>
          <w:rFonts w:ascii="Arial" w:eastAsia="Microsoft YaHei" w:hAnsi="Arial" w:cs="Arial"/>
          <w:i/>
          <w:lang w:val="en-US"/>
        </w:rPr>
        <w:tab/>
      </w:r>
      <w:r w:rsidR="009A7C85">
        <w:rPr>
          <w:rFonts w:ascii="Arial" w:eastAsia="Microsoft YaHei" w:hAnsi="Arial" w:cs="Arial"/>
          <w:i/>
          <w:lang w:val="en-US"/>
        </w:rPr>
        <w:tab/>
      </w:r>
      <w:r w:rsidR="009A7C85">
        <w:rPr>
          <w:rFonts w:ascii="Arial" w:eastAsia="Microsoft YaHei" w:hAnsi="Arial" w:cs="Arial"/>
          <w:i/>
          <w:lang w:val="en-US"/>
        </w:rPr>
        <w:tab/>
        <w:t xml:space="preserve">punctual </w:t>
      </w:r>
      <w:r w:rsidRPr="007D4F05">
        <w:rPr>
          <w:rFonts w:ascii="Arial" w:eastAsia="Microsoft YaHei" w:hAnsi="Arial" w:cs="Arial"/>
          <w:i/>
          <w:lang w:val="en-US"/>
        </w:rPr>
        <w:t xml:space="preserve">compliance by the </w:t>
      </w:r>
      <w:r w:rsidRPr="007D4F05">
        <w:rPr>
          <w:rFonts w:ascii="Arial" w:eastAsia="Microsoft YaHei" w:hAnsi="Arial" w:cs="Arial"/>
          <w:b/>
          <w:i/>
          <w:lang w:val="en-US"/>
        </w:rPr>
        <w:t xml:space="preserve">Cedent </w:t>
      </w:r>
      <w:r w:rsidRPr="007D4F05">
        <w:rPr>
          <w:rFonts w:ascii="Arial" w:eastAsia="Microsoft YaHei" w:hAnsi="Arial" w:cs="Arial"/>
          <w:i/>
          <w:lang w:val="en-US"/>
        </w:rPr>
        <w:t xml:space="preserve">of all its obligations to the </w:t>
      </w:r>
      <w:r w:rsidRPr="007D4F05">
        <w:rPr>
          <w:rFonts w:ascii="Arial" w:eastAsia="Microsoft YaHei" w:hAnsi="Arial" w:cs="Arial"/>
          <w:b/>
          <w:i/>
          <w:lang w:val="en-US"/>
        </w:rPr>
        <w:t>Cessionary</w:t>
      </w:r>
      <w:r w:rsidRPr="007D4F05">
        <w:rPr>
          <w:rFonts w:ascii="Arial" w:eastAsia="Microsoft YaHei" w:hAnsi="Arial" w:cs="Arial"/>
          <w:i/>
          <w:lang w:val="en-US"/>
        </w:rPr>
        <w:t xml:space="preserve"> </w:t>
      </w:r>
      <w:r w:rsidR="009A7C85">
        <w:rPr>
          <w:rFonts w:ascii="Arial" w:eastAsia="Microsoft YaHei" w:hAnsi="Arial" w:cs="Arial"/>
          <w:i/>
          <w:lang w:val="en-US"/>
        </w:rPr>
        <w:tab/>
      </w:r>
      <w:r w:rsidR="009A7C85">
        <w:rPr>
          <w:rFonts w:ascii="Arial" w:eastAsia="Microsoft YaHei" w:hAnsi="Arial" w:cs="Arial"/>
          <w:i/>
          <w:lang w:val="en-US"/>
        </w:rPr>
        <w:tab/>
      </w:r>
      <w:r w:rsidRPr="007D4F05">
        <w:rPr>
          <w:rFonts w:ascii="Arial" w:eastAsia="Microsoft YaHei" w:hAnsi="Arial" w:cs="Arial"/>
          <w:i/>
          <w:lang w:val="en-US"/>
        </w:rPr>
        <w:t xml:space="preserve">under </w:t>
      </w:r>
      <w:r w:rsidRPr="007D4F05">
        <w:rPr>
          <w:rFonts w:ascii="Arial" w:eastAsia="Microsoft YaHei" w:hAnsi="Arial" w:cs="Arial"/>
          <w:i/>
          <w:lang w:val="en-US"/>
        </w:rPr>
        <w:tab/>
        <w:t>indebtedness.</w:t>
      </w:r>
    </w:p>
    <w:p w:rsidR="007D4F05" w:rsidRPr="007D4F05" w:rsidRDefault="007D4F05" w:rsidP="007D4F05">
      <w:pPr>
        <w:spacing w:after="120" w:line="276" w:lineRule="auto"/>
        <w:jc w:val="both"/>
        <w:rPr>
          <w:rFonts w:ascii="Arial" w:eastAsia="Microsoft YaHei" w:hAnsi="Arial" w:cs="Arial"/>
          <w:i/>
          <w:lang w:val="en-US"/>
        </w:rPr>
      </w:pPr>
    </w:p>
    <w:p w:rsidR="007D4F05" w:rsidRPr="007D4F05" w:rsidRDefault="007D4F05" w:rsidP="00597C7C">
      <w:pPr>
        <w:spacing w:after="120" w:line="276" w:lineRule="auto"/>
        <w:ind w:left="720"/>
        <w:jc w:val="both"/>
        <w:rPr>
          <w:rFonts w:ascii="Arial" w:eastAsia="Microsoft YaHei" w:hAnsi="Arial" w:cs="Arial"/>
          <w:i/>
          <w:lang w:val="en-US"/>
        </w:rPr>
      </w:pPr>
      <w:r w:rsidRPr="007D4F05">
        <w:rPr>
          <w:rFonts w:ascii="Arial" w:eastAsia="Microsoft YaHei" w:hAnsi="Arial" w:cs="Arial"/>
          <w:i/>
          <w:lang w:val="en-US"/>
        </w:rPr>
        <w:t>2.3</w:t>
      </w:r>
      <w:r w:rsidRPr="007D4F05">
        <w:rPr>
          <w:rFonts w:ascii="Arial" w:eastAsia="Microsoft YaHei" w:hAnsi="Arial" w:cs="Arial"/>
          <w:i/>
          <w:lang w:val="en-US"/>
        </w:rPr>
        <w:tab/>
        <w:t xml:space="preserve">The </w:t>
      </w:r>
      <w:r w:rsidRPr="00AE31AC">
        <w:rPr>
          <w:rFonts w:ascii="Arial" w:eastAsia="Microsoft YaHei" w:hAnsi="Arial" w:cs="Arial"/>
          <w:b/>
          <w:i/>
          <w:lang w:val="en-US"/>
        </w:rPr>
        <w:t>Cessionary</w:t>
      </w:r>
      <w:r w:rsidRPr="007D4F05">
        <w:rPr>
          <w:rFonts w:ascii="Arial" w:eastAsia="Microsoft YaHei" w:hAnsi="Arial" w:cs="Arial"/>
          <w:i/>
          <w:lang w:val="en-US"/>
        </w:rPr>
        <w:t>, by its signing of this Deed of Cess</w:t>
      </w:r>
      <w:r w:rsidR="009A7C85">
        <w:rPr>
          <w:rFonts w:ascii="Arial" w:eastAsia="Microsoft YaHei" w:hAnsi="Arial" w:cs="Arial"/>
          <w:i/>
          <w:lang w:val="en-US"/>
        </w:rPr>
        <w:t xml:space="preserve">ion at the end hereof, </w:t>
      </w:r>
      <w:r w:rsidR="009A7C85">
        <w:rPr>
          <w:rFonts w:ascii="Arial" w:eastAsia="Microsoft YaHei" w:hAnsi="Arial" w:cs="Arial"/>
          <w:i/>
          <w:lang w:val="en-US"/>
        </w:rPr>
        <w:tab/>
        <w:t xml:space="preserve">accepts </w:t>
      </w:r>
      <w:r w:rsidRPr="007D4F05">
        <w:rPr>
          <w:rFonts w:ascii="Arial" w:eastAsia="Microsoft YaHei" w:hAnsi="Arial" w:cs="Arial"/>
          <w:i/>
          <w:lang w:val="en-US"/>
        </w:rPr>
        <w:t xml:space="preserve">the Cession in securitatem debiti, subject to the </w:t>
      </w:r>
      <w:r w:rsidR="009A7C85">
        <w:rPr>
          <w:rFonts w:ascii="Arial" w:eastAsia="Microsoft YaHei" w:hAnsi="Arial" w:cs="Arial"/>
          <w:i/>
          <w:lang w:val="en-US"/>
        </w:rPr>
        <w:t xml:space="preserve">terms and conditions </w:t>
      </w:r>
      <w:r w:rsidR="009A7C85">
        <w:rPr>
          <w:rFonts w:ascii="Arial" w:eastAsia="Microsoft YaHei" w:hAnsi="Arial" w:cs="Arial"/>
          <w:i/>
          <w:lang w:val="en-US"/>
        </w:rPr>
        <w:tab/>
        <w:t xml:space="preserve">contained </w:t>
      </w:r>
      <w:r w:rsidRPr="007D4F05">
        <w:rPr>
          <w:rFonts w:ascii="Arial" w:eastAsia="Microsoft YaHei" w:hAnsi="Arial" w:cs="Arial"/>
          <w:i/>
          <w:lang w:val="en-US"/>
        </w:rPr>
        <w:t>herein.</w:t>
      </w:r>
    </w:p>
    <w:p w:rsidR="007D4F05" w:rsidRPr="007D4F05" w:rsidRDefault="007D4F05" w:rsidP="007D4F05">
      <w:pPr>
        <w:spacing w:after="120" w:line="276" w:lineRule="auto"/>
        <w:jc w:val="both"/>
        <w:rPr>
          <w:rFonts w:ascii="Arial" w:eastAsia="Microsoft YaHei" w:hAnsi="Arial" w:cs="Arial"/>
          <w:i/>
          <w:lang w:val="en-US"/>
        </w:rPr>
      </w:pPr>
    </w:p>
    <w:p w:rsidR="007D4F05" w:rsidRPr="007D4F05" w:rsidRDefault="007D4F05" w:rsidP="00FA613B">
      <w:pPr>
        <w:spacing w:after="120" w:line="276" w:lineRule="auto"/>
        <w:ind w:left="720"/>
        <w:jc w:val="both"/>
        <w:rPr>
          <w:rFonts w:ascii="Arial" w:eastAsia="Microsoft YaHei" w:hAnsi="Arial" w:cs="Arial"/>
          <w:i/>
          <w:lang w:val="en-US"/>
        </w:rPr>
      </w:pPr>
      <w:r w:rsidRPr="007D4F05">
        <w:rPr>
          <w:rFonts w:ascii="Arial" w:eastAsia="Microsoft YaHei" w:hAnsi="Arial" w:cs="Arial"/>
          <w:i/>
          <w:lang w:val="en-US"/>
        </w:rPr>
        <w:lastRenderedPageBreak/>
        <w:t xml:space="preserve">2.4 </w:t>
      </w:r>
      <w:r w:rsidRPr="007D4F05">
        <w:rPr>
          <w:rFonts w:ascii="Arial" w:eastAsia="Microsoft YaHei" w:hAnsi="Arial" w:cs="Arial"/>
          <w:i/>
          <w:lang w:val="en-US"/>
        </w:rPr>
        <w:tab/>
        <w:t xml:space="preserve">It is hereby recorded and agreed that, notwithstanding anything to the contrary </w:t>
      </w:r>
      <w:r w:rsidRPr="007D4F05">
        <w:rPr>
          <w:rFonts w:ascii="Arial" w:eastAsia="Microsoft YaHei" w:hAnsi="Arial" w:cs="Arial"/>
          <w:i/>
          <w:lang w:val="en-US"/>
        </w:rPr>
        <w:tab/>
        <w:t xml:space="preserve">elsewhere contained in this Deed of Cession, the </w:t>
      </w:r>
      <w:r w:rsidRPr="007D4F05">
        <w:rPr>
          <w:rFonts w:ascii="Arial" w:eastAsia="Microsoft YaHei" w:hAnsi="Arial" w:cs="Arial"/>
          <w:b/>
          <w:i/>
          <w:lang w:val="en-US"/>
        </w:rPr>
        <w:t>Cessionary</w:t>
      </w:r>
      <w:r w:rsidR="00234CC2">
        <w:rPr>
          <w:rFonts w:ascii="Arial" w:eastAsia="Microsoft YaHei" w:hAnsi="Arial" w:cs="Arial"/>
          <w:i/>
          <w:lang w:val="en-US"/>
        </w:rPr>
        <w:t xml:space="preserve"> shall be entitled, </w:t>
      </w:r>
      <w:r w:rsidR="00234CC2">
        <w:rPr>
          <w:rFonts w:ascii="Arial" w:eastAsia="Microsoft YaHei" w:hAnsi="Arial" w:cs="Arial"/>
          <w:i/>
          <w:lang w:val="en-US"/>
        </w:rPr>
        <w:tab/>
      </w:r>
      <w:r w:rsidR="009A7C85">
        <w:rPr>
          <w:rFonts w:ascii="Arial" w:eastAsia="Microsoft YaHei" w:hAnsi="Arial" w:cs="Arial"/>
          <w:i/>
          <w:lang w:val="en-US"/>
        </w:rPr>
        <w:t xml:space="preserve">in </w:t>
      </w:r>
      <w:r w:rsidRPr="007D4F05">
        <w:rPr>
          <w:rFonts w:ascii="Arial" w:eastAsia="Microsoft YaHei" w:hAnsi="Arial" w:cs="Arial"/>
          <w:i/>
          <w:lang w:val="en-US"/>
        </w:rPr>
        <w:t>its sole discretion, at any time during the curren</w:t>
      </w:r>
      <w:r w:rsidR="00234CC2">
        <w:rPr>
          <w:rFonts w:ascii="Arial" w:eastAsia="Microsoft YaHei" w:hAnsi="Arial" w:cs="Arial"/>
          <w:i/>
          <w:lang w:val="en-US"/>
        </w:rPr>
        <w:t xml:space="preserve">cy of this Deed of Cession, </w:t>
      </w:r>
      <w:r w:rsidR="00234CC2">
        <w:rPr>
          <w:rFonts w:ascii="Arial" w:eastAsia="Microsoft YaHei" w:hAnsi="Arial" w:cs="Arial"/>
          <w:i/>
          <w:lang w:val="en-US"/>
        </w:rPr>
        <w:tab/>
      </w:r>
      <w:r w:rsidR="009A7C85">
        <w:rPr>
          <w:rFonts w:ascii="Arial" w:eastAsia="Microsoft YaHei" w:hAnsi="Arial" w:cs="Arial"/>
          <w:i/>
          <w:lang w:val="en-US"/>
        </w:rPr>
        <w:t xml:space="preserve">to </w:t>
      </w:r>
      <w:r w:rsidRPr="007D4F05">
        <w:rPr>
          <w:rFonts w:ascii="Arial" w:eastAsia="Microsoft YaHei" w:hAnsi="Arial" w:cs="Arial"/>
          <w:i/>
          <w:lang w:val="en-US"/>
        </w:rPr>
        <w:t xml:space="preserve">elect </w:t>
      </w:r>
      <w:r w:rsidR="00E75694">
        <w:rPr>
          <w:rFonts w:ascii="Arial" w:eastAsia="Microsoft YaHei" w:hAnsi="Arial" w:cs="Arial"/>
          <w:i/>
          <w:lang w:val="en-US"/>
        </w:rPr>
        <w:t xml:space="preserve">to </w:t>
      </w:r>
      <w:r w:rsidRPr="007D4F05">
        <w:rPr>
          <w:rFonts w:ascii="Arial" w:eastAsia="Microsoft YaHei" w:hAnsi="Arial" w:cs="Arial"/>
          <w:i/>
          <w:lang w:val="en-US"/>
        </w:rPr>
        <w:t>co</w:t>
      </w:r>
      <w:r w:rsidR="00E75694">
        <w:rPr>
          <w:rFonts w:ascii="Arial" w:eastAsia="Microsoft YaHei" w:hAnsi="Arial" w:cs="Arial"/>
          <w:i/>
          <w:lang w:val="en-US"/>
        </w:rPr>
        <w:t>n</w:t>
      </w:r>
      <w:r w:rsidRPr="007D4F05">
        <w:rPr>
          <w:rFonts w:ascii="Arial" w:eastAsia="Microsoft YaHei" w:hAnsi="Arial" w:cs="Arial"/>
          <w:i/>
          <w:lang w:val="en-US"/>
        </w:rPr>
        <w:t>vert any one or more of the cessions in sec</w:t>
      </w:r>
      <w:r w:rsidR="00234CC2">
        <w:rPr>
          <w:rFonts w:ascii="Arial" w:eastAsia="Microsoft YaHei" w:hAnsi="Arial" w:cs="Arial"/>
          <w:i/>
          <w:lang w:val="en-US"/>
        </w:rPr>
        <w:t xml:space="preserve">uritatem debiti referred </w:t>
      </w:r>
      <w:r w:rsidR="00234CC2">
        <w:rPr>
          <w:rFonts w:ascii="Arial" w:eastAsia="Microsoft YaHei" w:hAnsi="Arial" w:cs="Arial"/>
          <w:i/>
          <w:lang w:val="en-US"/>
        </w:rPr>
        <w:tab/>
        <w:t xml:space="preserve">to </w:t>
      </w:r>
      <w:r w:rsidR="009A7C85">
        <w:rPr>
          <w:rFonts w:ascii="Arial" w:eastAsia="Microsoft YaHei" w:hAnsi="Arial" w:cs="Arial"/>
          <w:i/>
          <w:lang w:val="en-US"/>
        </w:rPr>
        <w:t xml:space="preserve">in </w:t>
      </w:r>
      <w:r w:rsidRPr="007D4F05">
        <w:rPr>
          <w:rFonts w:ascii="Arial" w:eastAsia="Microsoft YaHei" w:hAnsi="Arial" w:cs="Arial"/>
          <w:i/>
          <w:lang w:val="en-US"/>
        </w:rPr>
        <w:t>clause 2.2, into out-and-out security cessions i</w:t>
      </w:r>
      <w:r w:rsidR="00234CC2">
        <w:rPr>
          <w:rFonts w:ascii="Arial" w:eastAsia="Microsoft YaHei" w:hAnsi="Arial" w:cs="Arial"/>
          <w:i/>
          <w:lang w:val="en-US"/>
        </w:rPr>
        <w:t xml:space="preserve">n favour of the Cessionary, </w:t>
      </w:r>
      <w:r w:rsidR="00234CC2">
        <w:rPr>
          <w:rFonts w:ascii="Arial" w:eastAsia="Microsoft YaHei" w:hAnsi="Arial" w:cs="Arial"/>
          <w:i/>
          <w:lang w:val="en-US"/>
        </w:rPr>
        <w:tab/>
        <w:t xml:space="preserve">in </w:t>
      </w:r>
      <w:r w:rsidRPr="007D4F05">
        <w:rPr>
          <w:rFonts w:ascii="Arial" w:eastAsia="Microsoft YaHei" w:hAnsi="Arial" w:cs="Arial"/>
          <w:i/>
          <w:lang w:val="en-US"/>
        </w:rPr>
        <w:t>which event:</w:t>
      </w:r>
    </w:p>
    <w:p w:rsidR="007D4F05" w:rsidRPr="007D4F05" w:rsidRDefault="007D4F05" w:rsidP="00FA613B">
      <w:pPr>
        <w:spacing w:after="120" w:line="276" w:lineRule="auto"/>
        <w:jc w:val="both"/>
        <w:rPr>
          <w:rFonts w:ascii="Arial" w:eastAsia="Microsoft YaHei" w:hAnsi="Arial" w:cs="Arial"/>
          <w:i/>
          <w:lang w:val="en-US"/>
        </w:rPr>
      </w:pPr>
    </w:p>
    <w:p w:rsidR="007D4F05" w:rsidRPr="007D4F05" w:rsidRDefault="007D4F05" w:rsidP="007D4F05">
      <w:pPr>
        <w:spacing w:after="120" w:line="276" w:lineRule="auto"/>
        <w:jc w:val="both"/>
        <w:rPr>
          <w:rFonts w:ascii="Arial" w:eastAsia="Microsoft YaHei" w:hAnsi="Arial" w:cs="Arial"/>
          <w:i/>
          <w:lang w:val="en-US"/>
        </w:rPr>
      </w:pPr>
      <w:r w:rsidRPr="007D4F05">
        <w:rPr>
          <w:rFonts w:ascii="Arial" w:eastAsia="Microsoft YaHei" w:hAnsi="Arial" w:cs="Arial"/>
          <w:i/>
          <w:lang w:val="en-US"/>
        </w:rPr>
        <w:tab/>
      </w:r>
      <w:r w:rsidRPr="007D4F05">
        <w:rPr>
          <w:rFonts w:ascii="Arial" w:eastAsia="Microsoft YaHei" w:hAnsi="Arial" w:cs="Arial"/>
          <w:i/>
          <w:lang w:val="en-US"/>
        </w:rPr>
        <w:tab/>
        <w:t>2.4.1</w:t>
      </w:r>
      <w:r w:rsidRPr="007D4F05">
        <w:rPr>
          <w:rFonts w:ascii="Arial" w:eastAsia="Microsoft YaHei" w:hAnsi="Arial" w:cs="Arial"/>
          <w:i/>
          <w:lang w:val="en-US"/>
        </w:rPr>
        <w:tab/>
        <w:t xml:space="preserve">The </w:t>
      </w:r>
      <w:r w:rsidRPr="00AE31AC">
        <w:rPr>
          <w:rFonts w:ascii="Arial" w:eastAsia="Microsoft YaHei" w:hAnsi="Arial" w:cs="Arial"/>
          <w:b/>
          <w:i/>
          <w:lang w:val="en-US"/>
        </w:rPr>
        <w:t>Cessionary</w:t>
      </w:r>
      <w:r w:rsidRPr="007D4F05">
        <w:rPr>
          <w:rFonts w:ascii="Arial" w:eastAsia="Microsoft YaHei" w:hAnsi="Arial" w:cs="Arial"/>
          <w:i/>
          <w:lang w:val="en-US"/>
        </w:rPr>
        <w:t xml:space="preserve"> shall inform the relevant </w:t>
      </w:r>
      <w:r w:rsidRPr="00AE31AC">
        <w:rPr>
          <w:rFonts w:ascii="Arial" w:eastAsia="Microsoft YaHei" w:hAnsi="Arial" w:cs="Arial"/>
          <w:b/>
          <w:i/>
          <w:lang w:val="en-US"/>
        </w:rPr>
        <w:t>Cedent</w:t>
      </w:r>
      <w:r w:rsidRPr="007D4F05">
        <w:rPr>
          <w:rFonts w:ascii="Arial" w:eastAsia="Microsoft YaHei" w:hAnsi="Arial" w:cs="Arial"/>
          <w:i/>
          <w:lang w:val="en-US"/>
        </w:rPr>
        <w:t xml:space="preserve"> in writing of its </w:t>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t>decision to do so:</w:t>
      </w:r>
    </w:p>
    <w:p w:rsidR="007D4F05" w:rsidRPr="007D4F05" w:rsidRDefault="007D4F05" w:rsidP="007D4F05">
      <w:pPr>
        <w:spacing w:after="120" w:line="276" w:lineRule="auto"/>
        <w:jc w:val="both"/>
        <w:rPr>
          <w:rFonts w:ascii="Arial" w:eastAsia="Microsoft YaHei" w:hAnsi="Arial" w:cs="Arial"/>
          <w:i/>
          <w:lang w:val="en-US"/>
        </w:rPr>
      </w:pPr>
      <w:r w:rsidRPr="007D4F05">
        <w:rPr>
          <w:rFonts w:ascii="Arial" w:eastAsia="Microsoft YaHei" w:hAnsi="Arial" w:cs="Arial"/>
          <w:i/>
          <w:lang w:val="en-US"/>
        </w:rPr>
        <w:tab/>
      </w:r>
      <w:r w:rsidRPr="007D4F05">
        <w:rPr>
          <w:rFonts w:ascii="Arial" w:eastAsia="Microsoft YaHei" w:hAnsi="Arial" w:cs="Arial"/>
          <w:i/>
          <w:lang w:val="en-US"/>
        </w:rPr>
        <w:tab/>
        <w:t>2.4.2</w:t>
      </w:r>
      <w:r w:rsidRPr="007D4F05">
        <w:rPr>
          <w:rFonts w:ascii="Arial" w:eastAsia="Microsoft YaHei" w:hAnsi="Arial" w:cs="Arial"/>
          <w:i/>
          <w:lang w:val="en-US"/>
        </w:rPr>
        <w:tab/>
        <w:t xml:space="preserve">The </w:t>
      </w:r>
      <w:r w:rsidRPr="00AE31AC">
        <w:rPr>
          <w:rFonts w:ascii="Arial" w:eastAsia="Microsoft YaHei" w:hAnsi="Arial" w:cs="Arial"/>
          <w:b/>
          <w:i/>
          <w:lang w:val="en-US"/>
        </w:rPr>
        <w:t>Cessionary</w:t>
      </w:r>
      <w:r w:rsidRPr="007D4F05">
        <w:rPr>
          <w:rFonts w:ascii="Arial" w:eastAsia="Microsoft YaHei" w:hAnsi="Arial" w:cs="Arial"/>
          <w:i/>
          <w:lang w:val="en-US"/>
        </w:rPr>
        <w:t xml:space="preserve"> shall authorize the relevant </w:t>
      </w:r>
      <w:r w:rsidRPr="00AE31AC">
        <w:rPr>
          <w:rFonts w:ascii="Arial" w:eastAsia="Microsoft YaHei" w:hAnsi="Arial" w:cs="Arial"/>
          <w:b/>
          <w:i/>
          <w:lang w:val="en-US"/>
        </w:rPr>
        <w:t>Cedent</w:t>
      </w:r>
      <w:r w:rsidRPr="007D4F05">
        <w:rPr>
          <w:rFonts w:ascii="Arial" w:eastAsia="Microsoft YaHei" w:hAnsi="Arial" w:cs="Arial"/>
          <w:i/>
          <w:lang w:val="en-US"/>
        </w:rPr>
        <w:t xml:space="preserve"> to collect all </w:t>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t xml:space="preserve">ceded amounts for and on behalf of the </w:t>
      </w:r>
      <w:r w:rsidRPr="00AE31AC">
        <w:rPr>
          <w:rFonts w:ascii="Arial" w:eastAsia="Microsoft YaHei" w:hAnsi="Arial" w:cs="Arial"/>
          <w:b/>
          <w:i/>
          <w:lang w:val="en-US"/>
        </w:rPr>
        <w:t>Cessionary</w:t>
      </w:r>
      <w:r w:rsidRPr="007D4F05">
        <w:rPr>
          <w:rFonts w:ascii="Arial" w:eastAsia="Microsoft YaHei" w:hAnsi="Arial" w:cs="Arial"/>
          <w:i/>
          <w:lang w:val="en-US"/>
        </w:rPr>
        <w:t xml:space="preserve"> on such </w:t>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t>conditions as the Cessionary deems appropriate; and</w:t>
      </w:r>
    </w:p>
    <w:p w:rsidR="007D4F05" w:rsidRPr="007D4F05" w:rsidRDefault="007D4F05" w:rsidP="007D4F05">
      <w:pPr>
        <w:spacing w:after="120" w:line="276" w:lineRule="auto"/>
        <w:jc w:val="both"/>
        <w:rPr>
          <w:rFonts w:ascii="Arial" w:eastAsia="Microsoft YaHei" w:hAnsi="Arial" w:cs="Arial"/>
          <w:i/>
          <w:lang w:val="en-US"/>
        </w:rPr>
      </w:pPr>
      <w:r w:rsidRPr="007D4F05">
        <w:rPr>
          <w:rFonts w:ascii="Arial" w:eastAsia="Microsoft YaHei" w:hAnsi="Arial" w:cs="Arial"/>
          <w:i/>
          <w:lang w:val="en-US"/>
        </w:rPr>
        <w:tab/>
      </w:r>
      <w:r w:rsidRPr="007D4F05">
        <w:rPr>
          <w:rFonts w:ascii="Arial" w:eastAsia="Microsoft YaHei" w:hAnsi="Arial" w:cs="Arial"/>
          <w:i/>
          <w:lang w:val="en-US"/>
        </w:rPr>
        <w:tab/>
        <w:t xml:space="preserve">2.4.3 </w:t>
      </w:r>
      <w:r w:rsidRPr="007D4F05">
        <w:rPr>
          <w:rFonts w:ascii="Arial" w:eastAsia="Microsoft YaHei" w:hAnsi="Arial" w:cs="Arial"/>
          <w:i/>
          <w:lang w:val="en-US"/>
        </w:rPr>
        <w:tab/>
        <w:t xml:space="preserve">The </w:t>
      </w:r>
      <w:r w:rsidRPr="00AE31AC">
        <w:rPr>
          <w:rFonts w:ascii="Arial" w:eastAsia="Microsoft YaHei" w:hAnsi="Arial" w:cs="Arial"/>
          <w:b/>
          <w:i/>
          <w:lang w:val="en-US"/>
        </w:rPr>
        <w:t>Cessionary</w:t>
      </w:r>
      <w:r w:rsidRPr="007D4F05">
        <w:rPr>
          <w:rFonts w:ascii="Arial" w:eastAsia="Microsoft YaHei" w:hAnsi="Arial" w:cs="Arial"/>
          <w:i/>
          <w:lang w:val="en-US"/>
        </w:rPr>
        <w:t xml:space="preserve"> shall not be entitled to cede its rights or delegate </w:t>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t xml:space="preserve">its obligations in terms of this Deed of Cession to any third, other </w:t>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r>
      <w:r w:rsidRPr="007D4F05">
        <w:rPr>
          <w:rFonts w:ascii="Arial" w:eastAsia="Microsoft YaHei" w:hAnsi="Arial" w:cs="Arial"/>
          <w:i/>
          <w:lang w:val="en-US"/>
        </w:rPr>
        <w:tab/>
        <w:t xml:space="preserve">than a successor bank of the </w:t>
      </w:r>
      <w:r w:rsidRPr="00AE31AC">
        <w:rPr>
          <w:rFonts w:ascii="Arial" w:eastAsia="Microsoft YaHei" w:hAnsi="Arial" w:cs="Arial"/>
          <w:b/>
          <w:i/>
          <w:lang w:val="en-US"/>
        </w:rPr>
        <w:t>Cessionary</w:t>
      </w:r>
      <w:r w:rsidRPr="007D4F05">
        <w:rPr>
          <w:rFonts w:ascii="Arial" w:eastAsia="Microsoft YaHei" w:hAnsi="Arial" w:cs="Arial"/>
          <w:i/>
          <w:lang w:val="en-US"/>
        </w:rPr>
        <w:t xml:space="preserve">, should the </w:t>
      </w:r>
      <w:r w:rsidRPr="00AE31AC">
        <w:rPr>
          <w:rFonts w:ascii="Arial" w:eastAsia="Microsoft YaHei" w:hAnsi="Arial" w:cs="Arial"/>
          <w:b/>
          <w:i/>
          <w:lang w:val="en-US"/>
        </w:rPr>
        <w:t>Cessionary</w:t>
      </w:r>
      <w:r w:rsidR="00AE31AC">
        <w:rPr>
          <w:rFonts w:ascii="Arial" w:eastAsia="Microsoft YaHei" w:hAnsi="Arial" w:cs="Arial"/>
          <w:i/>
          <w:lang w:val="en-US"/>
        </w:rPr>
        <w:t xml:space="preserve"> </w:t>
      </w:r>
      <w:r w:rsidR="00AE31AC">
        <w:rPr>
          <w:rFonts w:ascii="Arial" w:eastAsia="Microsoft YaHei" w:hAnsi="Arial" w:cs="Arial"/>
          <w:i/>
          <w:lang w:val="en-US"/>
        </w:rPr>
        <w:tab/>
      </w:r>
      <w:r w:rsidR="00AE31AC">
        <w:rPr>
          <w:rFonts w:ascii="Arial" w:eastAsia="Microsoft YaHei" w:hAnsi="Arial" w:cs="Arial"/>
          <w:i/>
          <w:lang w:val="en-US"/>
        </w:rPr>
        <w:tab/>
      </w:r>
      <w:r w:rsidR="00AE31AC">
        <w:rPr>
          <w:rFonts w:ascii="Arial" w:eastAsia="Microsoft YaHei" w:hAnsi="Arial" w:cs="Arial"/>
          <w:i/>
          <w:lang w:val="en-US"/>
        </w:rPr>
        <w:tab/>
      </w:r>
      <w:r w:rsidRPr="007D4F05">
        <w:rPr>
          <w:rFonts w:ascii="Arial" w:eastAsia="Microsoft YaHei" w:hAnsi="Arial" w:cs="Arial"/>
          <w:i/>
          <w:lang w:val="en-US"/>
        </w:rPr>
        <w:t>cease to exist for whatever reason.</w:t>
      </w:r>
    </w:p>
    <w:p w:rsidR="007D4F05" w:rsidRPr="007D4F05" w:rsidRDefault="002E7C2A" w:rsidP="007D4F05">
      <w:pPr>
        <w:spacing w:after="120" w:line="276" w:lineRule="auto"/>
        <w:jc w:val="both"/>
        <w:rPr>
          <w:rFonts w:ascii="Arial" w:eastAsia="Microsoft YaHei" w:hAnsi="Arial" w:cs="Arial"/>
          <w:i/>
          <w:lang w:val="en-US"/>
        </w:rPr>
      </w:pPr>
      <w:r>
        <w:rPr>
          <w:rFonts w:ascii="Arial" w:eastAsia="Microsoft YaHei" w:hAnsi="Arial" w:cs="Arial"/>
          <w:i/>
          <w:lang w:val="en-US"/>
        </w:rPr>
        <w:tab/>
      </w:r>
      <w:r>
        <w:rPr>
          <w:rFonts w:ascii="Arial" w:eastAsia="Microsoft YaHei" w:hAnsi="Arial" w:cs="Arial"/>
          <w:i/>
          <w:lang w:val="en-US"/>
        </w:rPr>
        <w:tab/>
        <w:t>…</w:t>
      </w:r>
    </w:p>
    <w:p w:rsidR="007D4F05" w:rsidRPr="007D4F05" w:rsidRDefault="007D4F05" w:rsidP="00597C7C">
      <w:pPr>
        <w:spacing w:after="120" w:line="276" w:lineRule="auto"/>
        <w:ind w:left="1440" w:hanging="720"/>
        <w:jc w:val="both"/>
        <w:rPr>
          <w:rFonts w:ascii="Arial" w:eastAsia="Microsoft YaHei" w:hAnsi="Arial" w:cs="Arial"/>
          <w:i/>
          <w:lang w:val="en-US"/>
        </w:rPr>
      </w:pPr>
      <w:r w:rsidRPr="007D4F05">
        <w:rPr>
          <w:rFonts w:ascii="Arial" w:eastAsia="Microsoft YaHei" w:hAnsi="Arial" w:cs="Arial"/>
          <w:i/>
          <w:lang w:val="en-US"/>
        </w:rPr>
        <w:t>5.1</w:t>
      </w:r>
      <w:r w:rsidRPr="007D4F05">
        <w:rPr>
          <w:rFonts w:ascii="Arial" w:eastAsia="Microsoft YaHei" w:hAnsi="Arial" w:cs="Arial"/>
          <w:i/>
          <w:lang w:val="en-US"/>
        </w:rPr>
        <w:tab/>
        <w:t xml:space="preserve">The </w:t>
      </w:r>
      <w:r w:rsidRPr="007D4F05">
        <w:rPr>
          <w:rFonts w:ascii="Arial" w:eastAsia="Microsoft YaHei" w:hAnsi="Arial" w:cs="Arial"/>
          <w:b/>
          <w:i/>
          <w:lang w:val="en-US"/>
        </w:rPr>
        <w:t>Cedent</w:t>
      </w:r>
      <w:r w:rsidRPr="007D4F05">
        <w:rPr>
          <w:rFonts w:ascii="Arial" w:eastAsia="Microsoft YaHei" w:hAnsi="Arial" w:cs="Arial"/>
          <w:i/>
          <w:lang w:val="en-US"/>
        </w:rPr>
        <w:t xml:space="preserve"> hereby undertake and warrants that the </w:t>
      </w:r>
      <w:r w:rsidRPr="007D4F05">
        <w:rPr>
          <w:rFonts w:ascii="Arial" w:eastAsia="Microsoft YaHei" w:hAnsi="Arial" w:cs="Arial"/>
          <w:b/>
          <w:i/>
          <w:lang w:val="en-US"/>
        </w:rPr>
        <w:t xml:space="preserve">Cedent </w:t>
      </w:r>
      <w:r w:rsidR="009A7C85">
        <w:rPr>
          <w:rFonts w:ascii="Arial" w:eastAsia="Microsoft YaHei" w:hAnsi="Arial" w:cs="Arial"/>
          <w:i/>
          <w:lang w:val="en-US"/>
        </w:rPr>
        <w:t xml:space="preserve">has not entered into </w:t>
      </w:r>
      <w:r w:rsidRPr="007D4F05">
        <w:rPr>
          <w:rFonts w:ascii="Arial" w:eastAsia="Microsoft YaHei" w:hAnsi="Arial" w:cs="Arial"/>
          <w:i/>
          <w:lang w:val="en-US"/>
        </w:rPr>
        <w:t>any agreements restricting or excluding the transferability of the Ceded Amounts;</w:t>
      </w:r>
    </w:p>
    <w:p w:rsidR="007D4F05" w:rsidRPr="007D4F05" w:rsidRDefault="002E7C2A" w:rsidP="005D497C">
      <w:pPr>
        <w:spacing w:after="120" w:line="276" w:lineRule="auto"/>
        <w:jc w:val="both"/>
        <w:rPr>
          <w:rFonts w:ascii="Arial" w:eastAsia="Microsoft YaHei" w:hAnsi="Arial" w:cs="Arial"/>
          <w:i/>
          <w:lang w:val="en-US"/>
        </w:rPr>
      </w:pPr>
      <w:r>
        <w:rPr>
          <w:rFonts w:ascii="Arial" w:eastAsia="Microsoft YaHei" w:hAnsi="Arial" w:cs="Arial"/>
          <w:i/>
          <w:lang w:val="en-US"/>
        </w:rPr>
        <w:tab/>
      </w:r>
      <w:r>
        <w:rPr>
          <w:rFonts w:ascii="Arial" w:eastAsia="Microsoft YaHei" w:hAnsi="Arial" w:cs="Arial"/>
          <w:i/>
          <w:lang w:val="en-US"/>
        </w:rPr>
        <w:tab/>
        <w:t>…</w:t>
      </w:r>
    </w:p>
    <w:p w:rsidR="00323B19" w:rsidRPr="007D4F05" w:rsidRDefault="005D497C" w:rsidP="009A7C85">
      <w:pPr>
        <w:spacing w:after="120" w:line="276" w:lineRule="auto"/>
        <w:ind w:left="1440" w:hanging="720"/>
        <w:jc w:val="both"/>
        <w:rPr>
          <w:rFonts w:ascii="Arial" w:eastAsia="Microsoft YaHei" w:hAnsi="Arial" w:cs="Arial"/>
          <w:i/>
          <w:lang w:val="en-US"/>
        </w:rPr>
      </w:pPr>
      <w:r>
        <w:rPr>
          <w:rFonts w:ascii="Arial" w:eastAsia="Microsoft YaHei" w:hAnsi="Arial" w:cs="Arial"/>
          <w:i/>
          <w:lang w:val="en-US"/>
        </w:rPr>
        <w:t>5.3</w:t>
      </w:r>
      <w:r w:rsidR="007D4F05" w:rsidRPr="007D4F05">
        <w:rPr>
          <w:rFonts w:ascii="Arial" w:eastAsia="Microsoft YaHei" w:hAnsi="Arial" w:cs="Arial"/>
          <w:i/>
          <w:lang w:val="en-US"/>
        </w:rPr>
        <w:tab/>
        <w:t xml:space="preserve">If the </w:t>
      </w:r>
      <w:r w:rsidR="007D4F05" w:rsidRPr="007D4F05">
        <w:rPr>
          <w:rFonts w:ascii="Arial" w:eastAsia="Microsoft YaHei" w:hAnsi="Arial" w:cs="Arial"/>
          <w:b/>
          <w:i/>
          <w:lang w:val="en-US"/>
        </w:rPr>
        <w:t xml:space="preserve">Cedent </w:t>
      </w:r>
      <w:r w:rsidR="007D4F05" w:rsidRPr="007D4F05">
        <w:rPr>
          <w:rFonts w:ascii="Arial" w:eastAsia="Microsoft YaHei" w:hAnsi="Arial" w:cs="Arial"/>
          <w:i/>
          <w:lang w:val="en-US"/>
        </w:rPr>
        <w:t>has, contrary to the warrant in terms</w:t>
      </w:r>
      <w:r w:rsidR="009A7C85">
        <w:rPr>
          <w:rFonts w:ascii="Arial" w:eastAsia="Microsoft YaHei" w:hAnsi="Arial" w:cs="Arial"/>
          <w:i/>
          <w:lang w:val="en-US"/>
        </w:rPr>
        <w:t xml:space="preserve"> of clause 5.1, already ceded </w:t>
      </w:r>
      <w:r w:rsidR="007D4F05" w:rsidRPr="007D4F05">
        <w:rPr>
          <w:rFonts w:ascii="Arial" w:eastAsia="Microsoft YaHei" w:hAnsi="Arial" w:cs="Arial"/>
          <w:i/>
          <w:lang w:val="en-US"/>
        </w:rPr>
        <w:t>the Ceded Amounts to another party, then this De</w:t>
      </w:r>
      <w:r w:rsidR="009A7C85">
        <w:rPr>
          <w:rFonts w:ascii="Arial" w:eastAsia="Microsoft YaHei" w:hAnsi="Arial" w:cs="Arial"/>
          <w:i/>
          <w:lang w:val="en-US"/>
        </w:rPr>
        <w:t xml:space="preserve">ed of Cession shall operate as a </w:t>
      </w:r>
      <w:r w:rsidR="007D4F05" w:rsidRPr="007D4F05">
        <w:rPr>
          <w:rFonts w:ascii="Arial" w:eastAsia="Microsoft YaHei" w:hAnsi="Arial" w:cs="Arial"/>
          <w:i/>
          <w:lang w:val="en-US"/>
        </w:rPr>
        <w:t>cession of the</w:t>
      </w:r>
      <w:r w:rsidR="007D4F05" w:rsidRPr="007D4F05">
        <w:rPr>
          <w:rFonts w:ascii="Arial" w:eastAsia="Microsoft YaHei" w:hAnsi="Arial" w:cs="Arial"/>
          <w:b/>
          <w:i/>
          <w:lang w:val="en-US"/>
        </w:rPr>
        <w:t xml:space="preserve"> Cedent’s</w:t>
      </w:r>
      <w:r w:rsidR="007D4F05" w:rsidRPr="007D4F05">
        <w:rPr>
          <w:rFonts w:ascii="Arial" w:eastAsia="Microsoft YaHei" w:hAnsi="Arial" w:cs="Arial"/>
          <w:i/>
          <w:lang w:val="en-US"/>
        </w:rPr>
        <w:t xml:space="preserve"> reversionary rights to the </w:t>
      </w:r>
      <w:r w:rsidR="007D4F05" w:rsidRPr="007D4F05">
        <w:rPr>
          <w:rFonts w:ascii="Arial" w:eastAsia="Microsoft YaHei" w:hAnsi="Arial" w:cs="Arial"/>
          <w:b/>
          <w:i/>
          <w:lang w:val="en-US"/>
        </w:rPr>
        <w:t>Cessionary</w:t>
      </w:r>
      <w:r w:rsidR="009A7C85">
        <w:rPr>
          <w:rFonts w:ascii="Arial" w:eastAsia="Microsoft YaHei" w:hAnsi="Arial" w:cs="Arial"/>
          <w:i/>
          <w:lang w:val="en-US"/>
        </w:rPr>
        <w:t xml:space="preserve">, including all </w:t>
      </w:r>
      <w:r w:rsidR="007D4F05" w:rsidRPr="007D4F05">
        <w:rPr>
          <w:rFonts w:ascii="Arial" w:eastAsia="Microsoft YaHei" w:hAnsi="Arial" w:cs="Arial"/>
          <w:i/>
          <w:lang w:val="en-US"/>
        </w:rPr>
        <w:t xml:space="preserve">rights of action against the prior </w:t>
      </w:r>
      <w:r w:rsidR="007D4F05" w:rsidRPr="007D4F05">
        <w:rPr>
          <w:rFonts w:ascii="Arial" w:eastAsia="Microsoft YaHei" w:hAnsi="Arial" w:cs="Arial"/>
          <w:b/>
          <w:i/>
          <w:lang w:val="en-US"/>
        </w:rPr>
        <w:t>Cessionary</w:t>
      </w:r>
      <w:r w:rsidR="007D4F05" w:rsidRPr="007D4F05">
        <w:rPr>
          <w:rFonts w:ascii="Arial" w:eastAsia="Microsoft YaHei" w:hAnsi="Arial" w:cs="Arial"/>
          <w:i/>
          <w:lang w:val="en-US"/>
        </w:rPr>
        <w:t>.</w:t>
      </w:r>
    </w:p>
    <w:p w:rsidR="00323B19" w:rsidRPr="007D4F05" w:rsidRDefault="00323B19" w:rsidP="005D497C">
      <w:pPr>
        <w:spacing w:after="0" w:line="360" w:lineRule="auto"/>
        <w:jc w:val="both"/>
        <w:rPr>
          <w:rFonts w:ascii="Arial" w:hAnsi="Arial" w:cs="Arial"/>
          <w:i/>
        </w:rPr>
      </w:pPr>
    </w:p>
    <w:p w:rsidR="005A4E76" w:rsidRPr="007D4F05" w:rsidRDefault="00323B19" w:rsidP="00597C7C">
      <w:pPr>
        <w:pStyle w:val="BodyText"/>
        <w:ind w:firstLine="720"/>
        <w:rPr>
          <w:rFonts w:ascii="Arial" w:hAnsi="Arial" w:cs="Arial"/>
          <w:i/>
        </w:rPr>
      </w:pPr>
      <w:r w:rsidRPr="007D4F05">
        <w:rPr>
          <w:rFonts w:ascii="Arial" w:hAnsi="Arial" w:cs="Arial"/>
          <w:i/>
        </w:rPr>
        <w:t>6.</w:t>
      </w:r>
      <w:r w:rsidR="00597C7C">
        <w:rPr>
          <w:rFonts w:ascii="Arial" w:hAnsi="Arial" w:cs="Arial"/>
          <w:i/>
        </w:rPr>
        <w:t xml:space="preserve"> </w:t>
      </w:r>
      <w:r w:rsidR="005A4E76" w:rsidRPr="007D4F05">
        <w:rPr>
          <w:rFonts w:ascii="Arial" w:hAnsi="Arial" w:cs="Arial"/>
          <w:i/>
        </w:rPr>
        <w:t xml:space="preserve"> </w:t>
      </w:r>
      <w:r w:rsidR="009A7C85">
        <w:rPr>
          <w:rFonts w:ascii="Arial" w:hAnsi="Arial" w:cs="Arial"/>
          <w:i/>
        </w:rPr>
        <w:tab/>
      </w:r>
      <w:r w:rsidR="005A4E76" w:rsidRPr="007D4F05">
        <w:rPr>
          <w:rFonts w:ascii="Arial" w:hAnsi="Arial" w:cs="Arial"/>
          <w:i/>
        </w:rPr>
        <w:t>For the duration of this Deed of Cession and u</w:t>
      </w:r>
      <w:r w:rsidR="009A7C85">
        <w:rPr>
          <w:rFonts w:ascii="Arial" w:hAnsi="Arial" w:cs="Arial"/>
          <w:i/>
        </w:rPr>
        <w:t xml:space="preserve">ntil the cessionary notifies </w:t>
      </w:r>
      <w:r w:rsidR="009A7C85">
        <w:rPr>
          <w:rFonts w:ascii="Arial" w:hAnsi="Arial" w:cs="Arial"/>
          <w:i/>
        </w:rPr>
        <w:tab/>
      </w:r>
      <w:r w:rsidR="009A7C85">
        <w:rPr>
          <w:rFonts w:ascii="Arial" w:hAnsi="Arial" w:cs="Arial"/>
          <w:i/>
        </w:rPr>
        <w:tab/>
      </w:r>
      <w:r w:rsidR="009A7C85">
        <w:rPr>
          <w:rFonts w:ascii="Arial" w:hAnsi="Arial" w:cs="Arial"/>
          <w:i/>
        </w:rPr>
        <w:tab/>
      </w:r>
      <w:r w:rsidR="00AE31AC">
        <w:rPr>
          <w:rFonts w:ascii="Arial" w:hAnsi="Arial" w:cs="Arial"/>
          <w:i/>
        </w:rPr>
        <w:t xml:space="preserve">the </w:t>
      </w:r>
      <w:r w:rsidR="00AE31AC" w:rsidRPr="00AE31AC">
        <w:rPr>
          <w:rFonts w:ascii="Arial" w:hAnsi="Arial" w:cs="Arial"/>
          <w:b/>
          <w:i/>
        </w:rPr>
        <w:t>C</w:t>
      </w:r>
      <w:r w:rsidR="005A4E76" w:rsidRPr="00AE31AC">
        <w:rPr>
          <w:rFonts w:ascii="Arial" w:hAnsi="Arial" w:cs="Arial"/>
          <w:b/>
          <w:i/>
        </w:rPr>
        <w:t>edent</w:t>
      </w:r>
      <w:r w:rsidR="005A4E76" w:rsidRPr="007D4F05">
        <w:rPr>
          <w:rFonts w:ascii="Arial" w:hAnsi="Arial" w:cs="Arial"/>
          <w:i/>
        </w:rPr>
        <w:t xml:space="preserve"> in writing that</w:t>
      </w:r>
      <w:r w:rsidR="00AE31AC">
        <w:rPr>
          <w:rFonts w:ascii="Arial" w:hAnsi="Arial" w:cs="Arial"/>
          <w:i/>
        </w:rPr>
        <w:t xml:space="preserve"> its authority is revoked, the </w:t>
      </w:r>
      <w:r w:rsidR="00AE31AC" w:rsidRPr="00AE31AC">
        <w:rPr>
          <w:rFonts w:ascii="Arial" w:hAnsi="Arial" w:cs="Arial"/>
          <w:b/>
          <w:i/>
        </w:rPr>
        <w:t>C</w:t>
      </w:r>
      <w:r w:rsidR="005A4E76" w:rsidRPr="00AE31AC">
        <w:rPr>
          <w:rFonts w:ascii="Arial" w:hAnsi="Arial" w:cs="Arial"/>
          <w:b/>
          <w:i/>
        </w:rPr>
        <w:t>edent</w:t>
      </w:r>
      <w:r w:rsidR="005A4E76" w:rsidRPr="007D4F05">
        <w:rPr>
          <w:rFonts w:ascii="Arial" w:hAnsi="Arial" w:cs="Arial"/>
          <w:i/>
        </w:rPr>
        <w:t xml:space="preserve"> is authorized </w:t>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t>to:</w:t>
      </w:r>
    </w:p>
    <w:p w:rsidR="005A4E76" w:rsidRPr="007D4F05" w:rsidRDefault="005A4E76" w:rsidP="0079763A">
      <w:pPr>
        <w:pStyle w:val="BodyText"/>
        <w:rPr>
          <w:rFonts w:ascii="Arial" w:hAnsi="Arial" w:cs="Arial"/>
          <w:i/>
        </w:rPr>
      </w:pPr>
    </w:p>
    <w:p w:rsidR="005A4E76" w:rsidRPr="007D4F05" w:rsidRDefault="00597C7C" w:rsidP="002E7C2A">
      <w:pPr>
        <w:pStyle w:val="BodyText"/>
        <w:tabs>
          <w:tab w:val="left" w:pos="1418"/>
        </w:tabs>
        <w:rPr>
          <w:rFonts w:ascii="Arial" w:hAnsi="Arial" w:cs="Arial"/>
          <w:i/>
        </w:rPr>
      </w:pPr>
      <w:r>
        <w:rPr>
          <w:rFonts w:ascii="Arial" w:hAnsi="Arial" w:cs="Arial"/>
          <w:i/>
        </w:rPr>
        <w:tab/>
      </w:r>
      <w:r w:rsidR="00234CC2">
        <w:rPr>
          <w:rFonts w:ascii="Arial" w:hAnsi="Arial" w:cs="Arial"/>
          <w:i/>
        </w:rPr>
        <w:tab/>
      </w:r>
      <w:r w:rsidR="005A4E76" w:rsidRPr="007D4F05">
        <w:rPr>
          <w:rFonts w:ascii="Arial" w:hAnsi="Arial" w:cs="Arial"/>
          <w:i/>
        </w:rPr>
        <w:t xml:space="preserve">6.1 </w:t>
      </w:r>
      <w:r w:rsidR="005A4E76" w:rsidRPr="007D4F05">
        <w:rPr>
          <w:rFonts w:ascii="Arial" w:hAnsi="Arial" w:cs="Arial"/>
          <w:i/>
        </w:rPr>
        <w:tab/>
        <w:t xml:space="preserve">Collect all monies due or to become due and payable to the </w:t>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t xml:space="preserve">cedent under the ceded amount, in its own name and to issue </w:t>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t>valid receipt thereof;</w:t>
      </w:r>
    </w:p>
    <w:p w:rsidR="005A4E76" w:rsidRPr="007D4F05" w:rsidRDefault="00597C7C" w:rsidP="0079763A">
      <w:pPr>
        <w:pStyle w:val="BodyText"/>
        <w:tabs>
          <w:tab w:val="left" w:pos="1418"/>
        </w:tabs>
        <w:rPr>
          <w:rFonts w:ascii="Arial" w:hAnsi="Arial" w:cs="Arial"/>
          <w:i/>
        </w:rPr>
      </w:pPr>
      <w:r>
        <w:rPr>
          <w:rFonts w:ascii="Arial" w:hAnsi="Arial" w:cs="Arial"/>
          <w:i/>
        </w:rPr>
        <w:tab/>
      </w:r>
      <w:r w:rsidR="005A4E76" w:rsidRPr="007D4F05">
        <w:rPr>
          <w:rFonts w:ascii="Arial" w:hAnsi="Arial" w:cs="Arial"/>
          <w:i/>
        </w:rPr>
        <w:t xml:space="preserve">6.2 </w:t>
      </w:r>
      <w:r w:rsidR="005A4E76" w:rsidRPr="007D4F05">
        <w:rPr>
          <w:rFonts w:ascii="Arial" w:hAnsi="Arial" w:cs="Arial"/>
          <w:i/>
        </w:rPr>
        <w:tab/>
        <w:t xml:space="preserve">Take, either itself or through the nominees or agents, all the </w:t>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t xml:space="preserve">requisite steps to collect the ceded amounts when they become </w:t>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t xml:space="preserve">due and payable from the debtors, including the institution of </w:t>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t xml:space="preserve">appropriate legal proceedings against those debtors, in any court </w:t>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r>
      <w:r w:rsidR="005A4E76" w:rsidRPr="007D4F05">
        <w:rPr>
          <w:rFonts w:ascii="Arial" w:hAnsi="Arial" w:cs="Arial"/>
          <w:i/>
        </w:rPr>
        <w:tab/>
        <w:t>of law which has jurisdiction."</w:t>
      </w:r>
    </w:p>
    <w:p w:rsidR="00323B19" w:rsidRPr="007D4F05" w:rsidRDefault="002E7C2A" w:rsidP="00641B7A">
      <w:pPr>
        <w:spacing w:after="0" w:line="360" w:lineRule="auto"/>
        <w:ind w:left="567" w:hanging="567"/>
        <w:rPr>
          <w:rFonts w:ascii="Arial" w:hAnsi="Arial" w:cs="Arial"/>
          <w:i/>
        </w:rPr>
      </w:pPr>
      <w:r>
        <w:rPr>
          <w:rFonts w:ascii="Arial" w:hAnsi="Arial" w:cs="Arial"/>
          <w:i/>
        </w:rPr>
        <w:tab/>
      </w:r>
      <w:r>
        <w:rPr>
          <w:rFonts w:ascii="Arial" w:hAnsi="Arial" w:cs="Arial"/>
          <w:i/>
        </w:rPr>
        <w:tab/>
      </w:r>
      <w:r>
        <w:rPr>
          <w:rFonts w:ascii="Arial" w:hAnsi="Arial" w:cs="Arial"/>
          <w:i/>
        </w:rPr>
        <w:tab/>
        <w:t>…</w:t>
      </w:r>
      <w:r w:rsidR="007D4F05">
        <w:rPr>
          <w:rFonts w:ascii="Arial" w:hAnsi="Arial" w:cs="Arial"/>
          <w:i/>
        </w:rPr>
        <w:tab/>
      </w:r>
      <w:r w:rsidR="005D497C">
        <w:rPr>
          <w:rFonts w:ascii="Arial" w:hAnsi="Arial" w:cs="Arial"/>
          <w:i/>
        </w:rPr>
        <w:tab/>
      </w:r>
      <w:r w:rsidR="005D497C">
        <w:rPr>
          <w:rFonts w:ascii="Arial" w:hAnsi="Arial" w:cs="Arial"/>
          <w:i/>
        </w:rPr>
        <w:tab/>
      </w:r>
    </w:p>
    <w:p w:rsidR="00323B19" w:rsidRPr="007D4F05" w:rsidRDefault="00323B19" w:rsidP="00597C7C">
      <w:pPr>
        <w:spacing w:after="0" w:line="360" w:lineRule="auto"/>
        <w:ind w:left="720" w:hanging="153"/>
        <w:jc w:val="both"/>
        <w:rPr>
          <w:rFonts w:ascii="Arial" w:hAnsi="Arial" w:cs="Arial"/>
          <w:i/>
        </w:rPr>
      </w:pPr>
      <w:r w:rsidRPr="007D4F05">
        <w:rPr>
          <w:rFonts w:ascii="Arial" w:hAnsi="Arial" w:cs="Arial"/>
          <w:i/>
        </w:rPr>
        <w:t>7.</w:t>
      </w:r>
      <w:r w:rsidR="00124EF7" w:rsidRPr="007D4F05">
        <w:rPr>
          <w:rFonts w:ascii="Arial" w:hAnsi="Arial" w:cs="Arial"/>
          <w:i/>
        </w:rPr>
        <w:t>2</w:t>
      </w:r>
      <w:r w:rsidR="00597C7C">
        <w:rPr>
          <w:rFonts w:ascii="Arial" w:hAnsi="Arial" w:cs="Arial"/>
          <w:i/>
        </w:rPr>
        <w:tab/>
      </w:r>
      <w:r w:rsidR="007D4F05" w:rsidRPr="007D4F05">
        <w:rPr>
          <w:rFonts w:ascii="Arial" w:hAnsi="Arial" w:cs="Arial"/>
          <w:i/>
        </w:rPr>
        <w:t xml:space="preserve">The </w:t>
      </w:r>
      <w:r w:rsidR="007D4F05" w:rsidRPr="00AE31AC">
        <w:rPr>
          <w:rFonts w:ascii="Arial" w:hAnsi="Arial" w:cs="Arial"/>
          <w:b/>
          <w:i/>
        </w:rPr>
        <w:t>Cessionary</w:t>
      </w:r>
      <w:r w:rsidR="007D4F05" w:rsidRPr="007D4F05">
        <w:rPr>
          <w:rFonts w:ascii="Arial" w:hAnsi="Arial" w:cs="Arial"/>
          <w:i/>
        </w:rPr>
        <w:t xml:space="preserve"> is entitled at any time and irrespective of whether the</w:t>
      </w:r>
      <w:r w:rsidR="009A7C85">
        <w:rPr>
          <w:rFonts w:ascii="Arial" w:hAnsi="Arial" w:cs="Arial"/>
          <w:i/>
        </w:rPr>
        <w:tab/>
      </w:r>
      <w:r w:rsidR="009A7C85">
        <w:rPr>
          <w:rFonts w:ascii="Arial" w:hAnsi="Arial" w:cs="Arial"/>
          <w:i/>
        </w:rPr>
        <w:tab/>
      </w:r>
      <w:r w:rsidR="007D4F05" w:rsidRPr="00AE31AC">
        <w:rPr>
          <w:rFonts w:ascii="Arial" w:hAnsi="Arial" w:cs="Arial"/>
          <w:b/>
          <w:i/>
        </w:rPr>
        <w:t>Cedent</w:t>
      </w:r>
      <w:r w:rsidR="007D4F05" w:rsidRPr="007D4F05">
        <w:rPr>
          <w:rFonts w:ascii="Arial" w:hAnsi="Arial" w:cs="Arial"/>
          <w:i/>
        </w:rPr>
        <w:t xml:space="preserve"> is in breach with any provisions of the Deed of Cession, to revoke the </w:t>
      </w:r>
      <w:r w:rsidR="009A7C85">
        <w:rPr>
          <w:rFonts w:ascii="Arial" w:hAnsi="Arial" w:cs="Arial"/>
          <w:i/>
        </w:rPr>
        <w:lastRenderedPageBreak/>
        <w:tab/>
      </w:r>
      <w:r w:rsidR="007D4F05" w:rsidRPr="007D4F05">
        <w:rPr>
          <w:rFonts w:ascii="Arial" w:hAnsi="Arial" w:cs="Arial"/>
          <w:i/>
        </w:rPr>
        <w:t xml:space="preserve">authority given to the </w:t>
      </w:r>
      <w:r w:rsidR="007D4F05" w:rsidRPr="00AE31AC">
        <w:rPr>
          <w:rFonts w:ascii="Arial" w:hAnsi="Arial" w:cs="Arial"/>
          <w:b/>
          <w:i/>
        </w:rPr>
        <w:t>Cedent</w:t>
      </w:r>
      <w:r w:rsidR="007D4F05" w:rsidRPr="007D4F05">
        <w:rPr>
          <w:rFonts w:ascii="Arial" w:hAnsi="Arial" w:cs="Arial"/>
          <w:i/>
        </w:rPr>
        <w:t xml:space="preserve"> in terms of clause 6 above, pursuant whereto the </w:t>
      </w:r>
      <w:r w:rsidR="009A7C85">
        <w:rPr>
          <w:rFonts w:ascii="Arial" w:hAnsi="Arial" w:cs="Arial"/>
          <w:i/>
        </w:rPr>
        <w:tab/>
      </w:r>
      <w:r w:rsidR="007D4F05" w:rsidRPr="00AE31AC">
        <w:rPr>
          <w:rFonts w:ascii="Arial" w:hAnsi="Arial" w:cs="Arial"/>
          <w:b/>
          <w:i/>
        </w:rPr>
        <w:t>Cessionary</w:t>
      </w:r>
      <w:r w:rsidR="007D4F05" w:rsidRPr="007D4F05">
        <w:rPr>
          <w:rFonts w:ascii="Arial" w:hAnsi="Arial" w:cs="Arial"/>
          <w:i/>
        </w:rPr>
        <w:t xml:space="preserve"> will have the irrevocable authority to, in rem suam perform the </w:t>
      </w:r>
      <w:r w:rsidR="009A7C85">
        <w:rPr>
          <w:rFonts w:ascii="Arial" w:hAnsi="Arial" w:cs="Arial"/>
          <w:i/>
        </w:rPr>
        <w:tab/>
      </w:r>
      <w:r w:rsidR="007D4F05" w:rsidRPr="007D4F05">
        <w:rPr>
          <w:rFonts w:ascii="Arial" w:hAnsi="Arial" w:cs="Arial"/>
          <w:i/>
        </w:rPr>
        <w:t>actions in terms of clause 6 above.</w:t>
      </w:r>
      <w:r w:rsidR="00597C7C">
        <w:rPr>
          <w:rFonts w:ascii="Arial" w:hAnsi="Arial" w:cs="Arial"/>
          <w:i/>
        </w:rPr>
        <w:t>”</w:t>
      </w:r>
    </w:p>
    <w:p w:rsidR="00564566" w:rsidRPr="00220CCF" w:rsidRDefault="000D158F" w:rsidP="00C77E7B">
      <w:pPr>
        <w:spacing w:line="360" w:lineRule="auto"/>
        <w:jc w:val="both"/>
        <w:rPr>
          <w:rFonts w:ascii="Arial" w:hAnsi="Arial" w:cs="Arial"/>
          <w:sz w:val="24"/>
          <w:szCs w:val="24"/>
        </w:rPr>
      </w:pPr>
      <w:r w:rsidRPr="007D4F05">
        <w:rPr>
          <w:rFonts w:ascii="Arial" w:hAnsi="Arial" w:cs="Arial"/>
          <w:i/>
        </w:rPr>
        <w:t xml:space="preserve"> </w:t>
      </w:r>
    </w:p>
    <w:p w:rsidR="00FB48B7" w:rsidRDefault="009B31D9" w:rsidP="00323B19">
      <w:pPr>
        <w:spacing w:after="0" w:line="36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t>The respondents contend the true nature and implementation of the cession</w:t>
      </w:r>
      <w:r w:rsidR="009A610E">
        <w:rPr>
          <w:rFonts w:ascii="Arial" w:hAnsi="Arial" w:cs="Arial"/>
          <w:sz w:val="24"/>
          <w:szCs w:val="24"/>
        </w:rPr>
        <w:t xml:space="preserve"> to be inconsistent</w:t>
      </w:r>
      <w:r w:rsidR="00674885">
        <w:rPr>
          <w:rFonts w:ascii="Arial" w:hAnsi="Arial" w:cs="Arial"/>
          <w:sz w:val="24"/>
          <w:szCs w:val="24"/>
        </w:rPr>
        <w:t xml:space="preserve"> with its ostensible form and to be</w:t>
      </w:r>
      <w:r w:rsidR="009A610E">
        <w:rPr>
          <w:rFonts w:ascii="Arial" w:hAnsi="Arial" w:cs="Arial"/>
          <w:sz w:val="24"/>
          <w:szCs w:val="24"/>
        </w:rPr>
        <w:t>, on a purposeful and contextual interpretation thereof</w:t>
      </w:r>
      <w:r w:rsidR="00674885">
        <w:rPr>
          <w:rFonts w:ascii="Arial" w:hAnsi="Arial" w:cs="Arial"/>
          <w:sz w:val="24"/>
          <w:szCs w:val="24"/>
        </w:rPr>
        <w:t>,</w:t>
      </w:r>
      <w:r w:rsidR="009A610E">
        <w:rPr>
          <w:rFonts w:ascii="Arial" w:hAnsi="Arial" w:cs="Arial"/>
          <w:sz w:val="24"/>
          <w:szCs w:val="24"/>
        </w:rPr>
        <w:t xml:space="preserve"> not a true cession in </w:t>
      </w:r>
      <w:r w:rsidR="009A610E" w:rsidRPr="00674885">
        <w:rPr>
          <w:rFonts w:ascii="Arial" w:hAnsi="Arial" w:cs="Arial"/>
          <w:i/>
          <w:sz w:val="24"/>
          <w:szCs w:val="24"/>
        </w:rPr>
        <w:t>securitatem debiti</w:t>
      </w:r>
      <w:r w:rsidR="009A610E">
        <w:rPr>
          <w:rFonts w:ascii="Arial" w:hAnsi="Arial" w:cs="Arial"/>
          <w:sz w:val="24"/>
          <w:szCs w:val="24"/>
        </w:rPr>
        <w:t xml:space="preserve">, but rather an out-and-out cession. Relying on </w:t>
      </w:r>
      <w:r w:rsidR="009A610E" w:rsidRPr="00674885">
        <w:rPr>
          <w:rFonts w:ascii="Arial" w:hAnsi="Arial" w:cs="Arial"/>
          <w:b/>
          <w:i/>
          <w:sz w:val="24"/>
          <w:szCs w:val="24"/>
        </w:rPr>
        <w:t>Engen Petroleum L</w:t>
      </w:r>
      <w:r w:rsidR="00051E43">
        <w:rPr>
          <w:rFonts w:ascii="Arial" w:hAnsi="Arial" w:cs="Arial"/>
          <w:b/>
          <w:i/>
          <w:sz w:val="24"/>
          <w:szCs w:val="24"/>
        </w:rPr>
        <w:t>td v Flotank Transport (Pty) Ltd</w:t>
      </w:r>
      <w:r w:rsidR="00051E43">
        <w:rPr>
          <w:rStyle w:val="FootnoteReference"/>
          <w:rFonts w:ascii="Arial" w:hAnsi="Arial" w:cs="Arial"/>
          <w:sz w:val="24"/>
          <w:szCs w:val="24"/>
        </w:rPr>
        <w:t xml:space="preserve"> </w:t>
      </w:r>
      <w:r w:rsidR="00051E43">
        <w:rPr>
          <w:rFonts w:ascii="Arial" w:hAnsi="Arial" w:cs="Arial"/>
          <w:sz w:val="24"/>
          <w:szCs w:val="24"/>
        </w:rPr>
        <w:t>(</w:t>
      </w:r>
      <w:r w:rsidR="00051E43">
        <w:rPr>
          <w:rFonts w:ascii="Arial" w:hAnsi="Arial" w:cs="Arial"/>
          <w:i/>
          <w:sz w:val="24"/>
          <w:szCs w:val="24"/>
        </w:rPr>
        <w:t xml:space="preserve">876/20) [2022] ZASCA 98 (21 June 2022) </w:t>
      </w:r>
      <w:r w:rsidR="009A610E">
        <w:rPr>
          <w:rFonts w:ascii="Arial" w:hAnsi="Arial" w:cs="Arial"/>
          <w:sz w:val="24"/>
          <w:szCs w:val="24"/>
        </w:rPr>
        <w:t xml:space="preserve">for the distinction between </w:t>
      </w:r>
      <w:r w:rsidR="00FC2E54">
        <w:rPr>
          <w:rFonts w:ascii="Arial" w:hAnsi="Arial" w:cs="Arial"/>
          <w:sz w:val="24"/>
          <w:szCs w:val="24"/>
        </w:rPr>
        <w:t>the two aforementioned cessions</w:t>
      </w:r>
      <w:r w:rsidR="00674885">
        <w:rPr>
          <w:rFonts w:ascii="Arial" w:hAnsi="Arial" w:cs="Arial"/>
          <w:sz w:val="24"/>
          <w:szCs w:val="24"/>
        </w:rPr>
        <w:t xml:space="preserve">, </w:t>
      </w:r>
      <w:r w:rsidR="001B1154">
        <w:rPr>
          <w:rFonts w:ascii="Arial" w:hAnsi="Arial" w:cs="Arial"/>
          <w:sz w:val="24"/>
          <w:szCs w:val="24"/>
        </w:rPr>
        <w:t xml:space="preserve">it was submitted by counsel for the respondents that the cession </w:t>
      </w:r>
      <w:r w:rsidR="00FC2E54">
        <w:rPr>
          <w:rFonts w:ascii="Arial" w:hAnsi="Arial" w:cs="Arial"/>
          <w:sz w:val="24"/>
          <w:szCs w:val="24"/>
        </w:rPr>
        <w:t>catered for in the deed</w:t>
      </w:r>
      <w:r w:rsidR="00E62CE6">
        <w:rPr>
          <w:rFonts w:ascii="Arial" w:hAnsi="Arial" w:cs="Arial"/>
          <w:sz w:val="24"/>
          <w:szCs w:val="24"/>
        </w:rPr>
        <w:t>,</w:t>
      </w:r>
      <w:r w:rsidR="00FC2E54">
        <w:rPr>
          <w:rFonts w:ascii="Arial" w:hAnsi="Arial" w:cs="Arial"/>
          <w:sz w:val="24"/>
          <w:szCs w:val="24"/>
        </w:rPr>
        <w:t xml:space="preserve"> </w:t>
      </w:r>
      <w:r w:rsidR="00E62CE6">
        <w:rPr>
          <w:rFonts w:ascii="Arial" w:hAnsi="Arial" w:cs="Arial"/>
          <w:sz w:val="24"/>
          <w:szCs w:val="24"/>
        </w:rPr>
        <w:t>constitutes an act of transfer</w:t>
      </w:r>
      <w:r w:rsidR="001B1154">
        <w:rPr>
          <w:rFonts w:ascii="Arial" w:hAnsi="Arial" w:cs="Arial"/>
          <w:sz w:val="24"/>
          <w:szCs w:val="24"/>
        </w:rPr>
        <w:t xml:space="preserve"> rendering the claim which is ceded </w:t>
      </w:r>
      <w:r w:rsidR="008168A1">
        <w:rPr>
          <w:rFonts w:ascii="Arial" w:hAnsi="Arial" w:cs="Arial"/>
          <w:sz w:val="24"/>
          <w:szCs w:val="24"/>
        </w:rPr>
        <w:t>to not fall</w:t>
      </w:r>
      <w:r w:rsidR="001B1154">
        <w:rPr>
          <w:rFonts w:ascii="Arial" w:hAnsi="Arial" w:cs="Arial"/>
          <w:sz w:val="24"/>
          <w:szCs w:val="24"/>
        </w:rPr>
        <w:t xml:space="preserve"> within the insolvent estate.</w:t>
      </w:r>
    </w:p>
    <w:p w:rsidR="001B1154" w:rsidRDefault="001B1154" w:rsidP="00323B19">
      <w:pPr>
        <w:spacing w:after="0" w:line="360" w:lineRule="auto"/>
        <w:ind w:left="851" w:hanging="851"/>
        <w:jc w:val="both"/>
        <w:rPr>
          <w:rFonts w:ascii="Arial" w:hAnsi="Arial" w:cs="Arial"/>
          <w:sz w:val="24"/>
          <w:szCs w:val="24"/>
        </w:rPr>
      </w:pPr>
    </w:p>
    <w:p w:rsidR="008B6E42" w:rsidRDefault="001B1154" w:rsidP="008B6E42">
      <w:pPr>
        <w:pStyle w:val="BodyText"/>
        <w:spacing w:line="360" w:lineRule="auto"/>
        <w:ind w:left="720" w:hanging="720"/>
        <w:jc w:val="both"/>
        <w:rPr>
          <w:rFonts w:ascii="Arial" w:hAnsi="Arial" w:cs="Arial"/>
          <w:sz w:val="24"/>
          <w:szCs w:val="24"/>
        </w:rPr>
      </w:pPr>
      <w:r>
        <w:rPr>
          <w:rFonts w:ascii="Arial" w:hAnsi="Arial" w:cs="Arial"/>
          <w:sz w:val="24"/>
          <w:szCs w:val="24"/>
        </w:rPr>
        <w:t>[7]</w:t>
      </w:r>
      <w:r w:rsidR="00FC2E54">
        <w:rPr>
          <w:rFonts w:ascii="Arial" w:hAnsi="Arial" w:cs="Arial"/>
          <w:sz w:val="24"/>
          <w:szCs w:val="24"/>
        </w:rPr>
        <w:tab/>
        <w:t xml:space="preserve">Counsel for applicants </w:t>
      </w:r>
      <w:r w:rsidR="008B6E42">
        <w:rPr>
          <w:rFonts w:ascii="Arial" w:hAnsi="Arial" w:cs="Arial"/>
          <w:sz w:val="24"/>
          <w:szCs w:val="24"/>
        </w:rPr>
        <w:t xml:space="preserve">placed specific reliance on clause 6 pertaining to </w:t>
      </w:r>
      <w:r w:rsidR="008B6E42" w:rsidRPr="008B6E42">
        <w:rPr>
          <w:rFonts w:ascii="Arial" w:hAnsi="Arial" w:cs="Arial"/>
          <w:sz w:val="24"/>
          <w:szCs w:val="24"/>
        </w:rPr>
        <w:t>the collection of ceded amounts</w:t>
      </w:r>
      <w:r w:rsidR="008B6E42">
        <w:rPr>
          <w:rFonts w:ascii="Arial" w:hAnsi="Arial" w:cs="Arial"/>
          <w:sz w:val="24"/>
          <w:szCs w:val="24"/>
        </w:rPr>
        <w:t xml:space="preserve"> in terms whereof the parties agreed that </w:t>
      </w:r>
      <w:r w:rsidR="00FA613B">
        <w:rPr>
          <w:rFonts w:ascii="Arial" w:hAnsi="Arial" w:cs="Arial"/>
          <w:sz w:val="24"/>
          <w:szCs w:val="24"/>
        </w:rPr>
        <w:t xml:space="preserve">Agri-Com </w:t>
      </w:r>
      <w:r w:rsidR="008B6E42">
        <w:rPr>
          <w:rFonts w:ascii="Arial" w:hAnsi="Arial" w:cs="Arial"/>
          <w:sz w:val="24"/>
          <w:szCs w:val="24"/>
        </w:rPr>
        <w:t xml:space="preserve">is authorized to </w:t>
      </w:r>
      <w:r w:rsidR="00DC1D09">
        <w:rPr>
          <w:rFonts w:ascii="Arial" w:hAnsi="Arial" w:cs="Arial"/>
          <w:sz w:val="24"/>
          <w:szCs w:val="24"/>
        </w:rPr>
        <w:t>collect.</w:t>
      </w:r>
      <w:r w:rsidR="008B6E42">
        <w:rPr>
          <w:rFonts w:ascii="Arial" w:hAnsi="Arial" w:cs="Arial"/>
          <w:sz w:val="24"/>
          <w:szCs w:val="24"/>
        </w:rPr>
        <w:t xml:space="preserve"> </w:t>
      </w:r>
      <w:r w:rsidR="008B6E42" w:rsidRPr="007D4F05">
        <w:rPr>
          <w:rFonts w:ascii="Arial" w:hAnsi="Arial" w:cs="Arial"/>
          <w:i/>
        </w:rPr>
        <w:t xml:space="preserve"> </w:t>
      </w:r>
      <w:r w:rsidR="00AE31AC">
        <w:rPr>
          <w:rFonts w:ascii="Arial" w:hAnsi="Arial" w:cs="Arial"/>
        </w:rPr>
        <w:t xml:space="preserve">It was submitted that, </w:t>
      </w:r>
      <w:r w:rsidR="00AE31AC">
        <w:rPr>
          <w:rFonts w:ascii="Arial" w:hAnsi="Arial" w:cs="Arial"/>
          <w:sz w:val="24"/>
          <w:szCs w:val="24"/>
        </w:rPr>
        <w:t>a</w:t>
      </w:r>
      <w:r w:rsidR="008B6E42" w:rsidRPr="008B6E42">
        <w:rPr>
          <w:rFonts w:ascii="Arial" w:hAnsi="Arial" w:cs="Arial"/>
          <w:sz w:val="24"/>
          <w:szCs w:val="24"/>
        </w:rPr>
        <w:t xml:space="preserve">s the </w:t>
      </w:r>
      <w:r w:rsidR="00AE31AC">
        <w:rPr>
          <w:rFonts w:ascii="Arial" w:hAnsi="Arial" w:cs="Arial"/>
          <w:sz w:val="24"/>
          <w:szCs w:val="24"/>
        </w:rPr>
        <w:t xml:space="preserve">liquidators </w:t>
      </w:r>
      <w:r w:rsidR="008B6E42" w:rsidRPr="008B6E42">
        <w:rPr>
          <w:rFonts w:ascii="Arial" w:hAnsi="Arial" w:cs="Arial"/>
          <w:sz w:val="24"/>
          <w:szCs w:val="24"/>
        </w:rPr>
        <w:t>are the</w:t>
      </w:r>
      <w:r w:rsidR="008B6E42">
        <w:rPr>
          <w:rFonts w:ascii="Arial" w:hAnsi="Arial" w:cs="Arial"/>
          <w:sz w:val="24"/>
          <w:szCs w:val="24"/>
        </w:rPr>
        <w:t xml:space="preserve">refore entitled to recover and </w:t>
      </w:r>
      <w:r w:rsidR="008B6E42" w:rsidRPr="008B6E42">
        <w:rPr>
          <w:rFonts w:ascii="Arial" w:hAnsi="Arial" w:cs="Arial"/>
          <w:sz w:val="24"/>
          <w:szCs w:val="24"/>
        </w:rPr>
        <w:t xml:space="preserve">administer the claims </w:t>
      </w:r>
      <w:r w:rsidR="00AE31AC">
        <w:rPr>
          <w:rFonts w:ascii="Arial" w:hAnsi="Arial" w:cs="Arial"/>
          <w:sz w:val="24"/>
          <w:szCs w:val="24"/>
        </w:rPr>
        <w:t>of the third applicant</w:t>
      </w:r>
      <w:r w:rsidR="008B6E42" w:rsidRPr="008B6E42">
        <w:rPr>
          <w:rFonts w:ascii="Arial" w:hAnsi="Arial" w:cs="Arial"/>
          <w:sz w:val="24"/>
          <w:szCs w:val="24"/>
        </w:rPr>
        <w:t xml:space="preserve"> when it w</w:t>
      </w:r>
      <w:r w:rsidR="00FA613B">
        <w:rPr>
          <w:rFonts w:ascii="Arial" w:hAnsi="Arial" w:cs="Arial"/>
          <w:sz w:val="24"/>
          <w:szCs w:val="24"/>
        </w:rPr>
        <w:t xml:space="preserve">as placed in liquidation, they </w:t>
      </w:r>
      <w:r w:rsidR="008B6E42" w:rsidRPr="008B6E42">
        <w:rPr>
          <w:rFonts w:ascii="Arial" w:hAnsi="Arial" w:cs="Arial"/>
          <w:sz w:val="24"/>
          <w:szCs w:val="24"/>
        </w:rPr>
        <w:t xml:space="preserve">have the necessary </w:t>
      </w:r>
      <w:r w:rsidR="008B6E42" w:rsidRPr="008B6E42">
        <w:rPr>
          <w:rFonts w:ascii="Arial" w:hAnsi="Arial" w:cs="Arial"/>
          <w:i/>
          <w:sz w:val="24"/>
          <w:szCs w:val="24"/>
        </w:rPr>
        <w:t>locus standi</w:t>
      </w:r>
      <w:r w:rsidR="008B6E42" w:rsidRPr="008B6E42">
        <w:rPr>
          <w:rFonts w:ascii="Arial" w:hAnsi="Arial" w:cs="Arial"/>
          <w:sz w:val="24"/>
          <w:szCs w:val="24"/>
        </w:rPr>
        <w:t xml:space="preserve"> to bring the application.</w:t>
      </w:r>
    </w:p>
    <w:p w:rsidR="00E62CE6" w:rsidRDefault="00E62CE6" w:rsidP="008B6E42">
      <w:pPr>
        <w:pStyle w:val="BodyText"/>
        <w:spacing w:line="360" w:lineRule="auto"/>
        <w:ind w:left="720" w:hanging="720"/>
        <w:jc w:val="both"/>
        <w:rPr>
          <w:rFonts w:ascii="Arial" w:hAnsi="Arial" w:cs="Arial"/>
          <w:sz w:val="24"/>
          <w:szCs w:val="24"/>
        </w:rPr>
      </w:pPr>
    </w:p>
    <w:p w:rsidR="008D517E" w:rsidRPr="00533122" w:rsidRDefault="00E62CE6" w:rsidP="008168A1">
      <w:pPr>
        <w:pStyle w:val="ListParagraph"/>
        <w:adjustRightInd w:val="0"/>
        <w:snapToGrid w:val="0"/>
        <w:spacing w:line="360" w:lineRule="auto"/>
        <w:ind w:hanging="720"/>
        <w:jc w:val="both"/>
        <w:rPr>
          <w:rFonts w:ascii="Arial" w:hAnsi="Arial" w:cs="Arial"/>
          <w:sz w:val="24"/>
          <w:szCs w:val="24"/>
        </w:rPr>
      </w:pPr>
      <w:r>
        <w:rPr>
          <w:rFonts w:ascii="Arial" w:hAnsi="Arial" w:cs="Arial"/>
          <w:sz w:val="24"/>
          <w:szCs w:val="24"/>
        </w:rPr>
        <w:t>[8]</w:t>
      </w:r>
      <w:r w:rsidR="008D517E">
        <w:rPr>
          <w:rFonts w:ascii="Arial" w:hAnsi="Arial" w:cs="Arial"/>
          <w:sz w:val="24"/>
          <w:szCs w:val="24"/>
        </w:rPr>
        <w:tab/>
        <w:t xml:space="preserve">In </w:t>
      </w:r>
      <w:r w:rsidR="008D517E" w:rsidRPr="008D517E">
        <w:rPr>
          <w:rFonts w:ascii="Arial" w:hAnsi="Arial" w:cs="Arial"/>
          <w:b/>
          <w:i/>
          <w:sz w:val="24"/>
          <w:szCs w:val="24"/>
        </w:rPr>
        <w:t>Engen</w:t>
      </w:r>
      <w:r w:rsidR="008D517E">
        <w:rPr>
          <w:rFonts w:ascii="Arial" w:hAnsi="Arial" w:cs="Arial"/>
          <w:b/>
          <w:i/>
          <w:sz w:val="24"/>
          <w:szCs w:val="24"/>
        </w:rPr>
        <w:t xml:space="preserve"> </w:t>
      </w:r>
      <w:r w:rsidR="008D517E">
        <w:rPr>
          <w:rFonts w:ascii="Arial" w:hAnsi="Arial" w:cs="Arial"/>
          <w:i/>
          <w:sz w:val="24"/>
          <w:szCs w:val="24"/>
        </w:rPr>
        <w:t>supra</w:t>
      </w:r>
      <w:r w:rsidR="00F53A0F">
        <w:rPr>
          <w:rFonts w:ascii="Arial" w:hAnsi="Arial" w:cs="Arial"/>
          <w:i/>
          <w:sz w:val="24"/>
          <w:szCs w:val="24"/>
        </w:rPr>
        <w:t xml:space="preserve"> </w:t>
      </w:r>
      <w:r w:rsidR="00533122">
        <w:rPr>
          <w:rFonts w:ascii="Arial" w:hAnsi="Arial" w:cs="Arial"/>
          <w:sz w:val="24"/>
          <w:szCs w:val="24"/>
        </w:rPr>
        <w:t>Savage AJA writing on behalf of the full bench held as follow</w:t>
      </w:r>
      <w:r w:rsidR="008168A1">
        <w:rPr>
          <w:rFonts w:ascii="Arial" w:hAnsi="Arial" w:cs="Arial"/>
          <w:sz w:val="24"/>
          <w:szCs w:val="24"/>
        </w:rPr>
        <w:t xml:space="preserve"> </w:t>
      </w:r>
      <w:r w:rsidR="00051E43">
        <w:rPr>
          <w:rFonts w:ascii="Arial" w:hAnsi="Arial" w:cs="Arial"/>
        </w:rPr>
        <w:t>(referencing in</w:t>
      </w:r>
      <w:r w:rsidR="008168A1" w:rsidRPr="008168A1">
        <w:rPr>
          <w:rFonts w:ascii="Arial" w:hAnsi="Arial" w:cs="Arial"/>
        </w:rPr>
        <w:t xml:space="preserve"> accordance with the judgment</w:t>
      </w:r>
      <w:r w:rsidR="008168A1">
        <w:rPr>
          <w:rFonts w:ascii="Arial" w:hAnsi="Arial" w:cs="Arial"/>
          <w:sz w:val="24"/>
          <w:szCs w:val="24"/>
        </w:rPr>
        <w:t>):</w:t>
      </w:r>
    </w:p>
    <w:p w:rsidR="008D517E" w:rsidRPr="008D517E" w:rsidRDefault="008D517E" w:rsidP="008D517E">
      <w:pPr>
        <w:pStyle w:val="ListParagraph"/>
        <w:adjustRightInd w:val="0"/>
        <w:snapToGrid w:val="0"/>
        <w:spacing w:line="360" w:lineRule="auto"/>
        <w:ind w:left="0"/>
        <w:jc w:val="both"/>
        <w:rPr>
          <w:rFonts w:ascii="Arial" w:hAnsi="Arial" w:cs="Arial"/>
          <w:bCs/>
          <w:color w:val="000000" w:themeColor="text1"/>
          <w:lang w:eastAsia="en-GB"/>
        </w:rPr>
      </w:pPr>
    </w:p>
    <w:p w:rsidR="008D517E" w:rsidRDefault="00051E43" w:rsidP="00051E43">
      <w:pPr>
        <w:adjustRightInd w:val="0"/>
        <w:snapToGrid w:val="0"/>
        <w:spacing w:after="0" w:line="360" w:lineRule="auto"/>
        <w:ind w:left="2160"/>
        <w:jc w:val="both"/>
        <w:rPr>
          <w:rFonts w:ascii="Arial" w:hAnsi="Arial" w:cs="Arial"/>
          <w:color w:val="000000" w:themeColor="text1"/>
        </w:rPr>
      </w:pPr>
      <w:r>
        <w:rPr>
          <w:rFonts w:ascii="Arial" w:hAnsi="Arial" w:cs="Arial"/>
          <w:color w:val="000000" w:themeColor="text1"/>
        </w:rPr>
        <w:t>“ [12] …</w:t>
      </w:r>
      <w:r w:rsidR="008D517E" w:rsidRPr="008168A1">
        <w:rPr>
          <w:rFonts w:ascii="Arial" w:hAnsi="Arial" w:cs="Arial"/>
          <w:color w:val="000000" w:themeColor="text1"/>
        </w:rPr>
        <w:t xml:space="preserve">The true </w:t>
      </w:r>
      <w:r w:rsidR="008D517E" w:rsidRPr="008168A1">
        <w:rPr>
          <w:rFonts w:ascii="Arial" w:hAnsi="Arial" w:cs="Arial"/>
          <w:color w:val="000000" w:themeColor="text1"/>
          <w:shd w:val="clear" w:color="auto" w:fill="FFFFFF"/>
        </w:rPr>
        <w:t xml:space="preserve">character of a cession </w:t>
      </w:r>
      <w:r w:rsidR="008D517E" w:rsidRPr="008168A1">
        <w:rPr>
          <w:rFonts w:ascii="Arial" w:hAnsi="Arial" w:cs="Arial"/>
          <w:i/>
          <w:iCs/>
          <w:color w:val="000000" w:themeColor="text1"/>
        </w:rPr>
        <w:t>in securitatem debiti</w:t>
      </w:r>
      <w:r w:rsidR="008D517E" w:rsidRPr="008168A1">
        <w:rPr>
          <w:rFonts w:ascii="Arial" w:hAnsi="Arial" w:cs="Arial"/>
          <w:color w:val="000000" w:themeColor="text1"/>
        </w:rPr>
        <w:t xml:space="preserve"> </w:t>
      </w:r>
      <w:r w:rsidR="008D517E" w:rsidRPr="008168A1">
        <w:rPr>
          <w:rFonts w:ascii="Arial" w:hAnsi="Arial" w:cs="Arial"/>
          <w:color w:val="000000" w:themeColor="text1"/>
          <w:shd w:val="clear" w:color="auto" w:fill="FFFFFF"/>
        </w:rPr>
        <w:t>depends on the intention of the parties,</w:t>
      </w:r>
      <w:r w:rsidR="008D517E">
        <w:rPr>
          <w:rStyle w:val="FootnoteReference"/>
          <w:rFonts w:ascii="Arial" w:hAnsi="Arial" w:cs="Arial"/>
          <w:color w:val="000000" w:themeColor="text1"/>
          <w:shd w:val="clear" w:color="auto" w:fill="FFFFFF"/>
        </w:rPr>
        <w:footnoteReference w:id="1"/>
      </w:r>
      <w:r w:rsidR="008D517E" w:rsidRPr="008168A1">
        <w:rPr>
          <w:rFonts w:ascii="Arial" w:hAnsi="Arial" w:cs="Arial"/>
          <w:color w:val="000000" w:themeColor="text1"/>
          <w:shd w:val="clear" w:color="auto" w:fill="FFFFFF"/>
        </w:rPr>
        <w:t xml:space="preserve"> with the wording of the cession being the appropriate point of departure to determine such intention.</w:t>
      </w:r>
      <w:r w:rsidR="008D517E">
        <w:rPr>
          <w:rStyle w:val="FootnoteReference"/>
          <w:rFonts w:ascii="Arial" w:hAnsi="Arial" w:cs="Arial"/>
          <w:color w:val="000000" w:themeColor="text1"/>
          <w:shd w:val="clear" w:color="auto" w:fill="FFFFFF"/>
        </w:rPr>
        <w:footnoteReference w:id="2"/>
      </w:r>
      <w:r w:rsidR="008D517E" w:rsidRPr="008168A1">
        <w:rPr>
          <w:rFonts w:ascii="Arial" w:hAnsi="Arial" w:cs="Arial"/>
          <w:color w:val="000000" w:themeColor="text1"/>
          <w:shd w:val="clear" w:color="auto" w:fill="FFFFFF"/>
        </w:rPr>
        <w:t xml:space="preserve"> </w:t>
      </w:r>
      <w:r w:rsidR="008D517E" w:rsidRPr="008168A1">
        <w:rPr>
          <w:rFonts w:ascii="Arial" w:hAnsi="Arial" w:cs="Arial"/>
          <w:color w:val="000000" w:themeColor="text1"/>
        </w:rPr>
        <w:t xml:space="preserve">In </w:t>
      </w:r>
      <w:r w:rsidR="008D517E" w:rsidRPr="008168A1">
        <w:rPr>
          <w:rFonts w:ascii="Arial" w:hAnsi="Arial" w:cs="Arial"/>
          <w:i/>
          <w:iCs/>
          <w:color w:val="000000" w:themeColor="text1"/>
        </w:rPr>
        <w:t xml:space="preserve">Grobler v Oosthuizen </w:t>
      </w:r>
      <w:r w:rsidR="008D517E" w:rsidRPr="008168A1">
        <w:rPr>
          <w:rFonts w:ascii="Arial" w:hAnsi="Arial" w:cs="Arial"/>
          <w:color w:val="000000" w:themeColor="text1"/>
        </w:rPr>
        <w:t>(</w:t>
      </w:r>
      <w:r w:rsidR="008D517E" w:rsidRPr="008168A1">
        <w:rPr>
          <w:rFonts w:ascii="Arial" w:hAnsi="Arial" w:cs="Arial"/>
          <w:i/>
          <w:iCs/>
          <w:color w:val="000000" w:themeColor="text1"/>
        </w:rPr>
        <w:t>Grobler</w:t>
      </w:r>
      <w:r w:rsidR="008D517E" w:rsidRPr="008168A1">
        <w:rPr>
          <w:rFonts w:ascii="Arial" w:hAnsi="Arial" w:cs="Arial"/>
          <w:color w:val="000000" w:themeColor="text1"/>
        </w:rPr>
        <w:t>)</w:t>
      </w:r>
      <w:r w:rsidR="008D517E">
        <w:rPr>
          <w:rStyle w:val="FootnoteReference"/>
          <w:rFonts w:ascii="Arial" w:hAnsi="Arial" w:cs="Arial"/>
          <w:color w:val="000000" w:themeColor="text1"/>
        </w:rPr>
        <w:footnoteReference w:id="3"/>
      </w:r>
      <w:r w:rsidR="008D517E" w:rsidRPr="008168A1">
        <w:rPr>
          <w:rFonts w:ascii="Arial" w:hAnsi="Arial" w:cs="Arial"/>
          <w:color w:val="000000" w:themeColor="text1"/>
        </w:rPr>
        <w:t xml:space="preserve"> this Court, recognised the existence of opposing theories in our law regarding cessions </w:t>
      </w:r>
      <w:r w:rsidR="008D517E" w:rsidRPr="008168A1">
        <w:rPr>
          <w:rFonts w:ascii="Arial" w:hAnsi="Arial" w:cs="Arial"/>
          <w:i/>
          <w:iCs/>
          <w:color w:val="000000" w:themeColor="text1"/>
        </w:rPr>
        <w:t>in securitatem debiti</w:t>
      </w:r>
      <w:r w:rsidR="008D517E" w:rsidRPr="008168A1">
        <w:rPr>
          <w:rFonts w:ascii="Arial" w:hAnsi="Arial" w:cs="Arial"/>
          <w:color w:val="000000" w:themeColor="text1"/>
        </w:rPr>
        <w:t xml:space="preserve">, </w:t>
      </w:r>
      <w:r w:rsidR="008D517E" w:rsidRPr="008168A1">
        <w:rPr>
          <w:rFonts w:ascii="Arial" w:hAnsi="Arial" w:cs="Arial"/>
          <w:color w:val="000000" w:themeColor="text1"/>
        </w:rPr>
        <w:lastRenderedPageBreak/>
        <w:t>namely the ‘pledge theory’ and the ‘outright cession theory’. However, it</w:t>
      </w:r>
      <w:r w:rsidR="008D517E" w:rsidRPr="008168A1">
        <w:rPr>
          <w:rFonts w:ascii="Arial" w:hAnsi="Arial" w:cs="Arial"/>
          <w:i/>
          <w:iCs/>
          <w:color w:val="000000" w:themeColor="text1"/>
        </w:rPr>
        <w:t xml:space="preserve"> </w:t>
      </w:r>
      <w:r w:rsidR="008D517E" w:rsidRPr="008168A1">
        <w:rPr>
          <w:rFonts w:ascii="Arial" w:hAnsi="Arial" w:cs="Arial"/>
          <w:color w:val="000000" w:themeColor="text1"/>
        </w:rPr>
        <w:t>found it unnecessary to resolve the debate between these theories one way or another.</w:t>
      </w:r>
      <w:r w:rsidR="008D517E">
        <w:rPr>
          <w:rStyle w:val="FootnoteReference"/>
          <w:rFonts w:ascii="Arial" w:hAnsi="Arial" w:cs="Arial"/>
          <w:color w:val="000000" w:themeColor="text1"/>
        </w:rPr>
        <w:footnoteReference w:id="4"/>
      </w:r>
      <w:r w:rsidR="008D517E" w:rsidRPr="008168A1">
        <w:rPr>
          <w:rFonts w:ascii="Arial" w:hAnsi="Arial" w:cs="Arial"/>
          <w:color w:val="000000" w:themeColor="text1"/>
        </w:rPr>
        <w:t xml:space="preserve"> </w:t>
      </w:r>
    </w:p>
    <w:p w:rsidR="00051E43" w:rsidRPr="008168A1" w:rsidRDefault="00051E43" w:rsidP="00051E43">
      <w:pPr>
        <w:adjustRightInd w:val="0"/>
        <w:snapToGrid w:val="0"/>
        <w:spacing w:after="0" w:line="360" w:lineRule="auto"/>
        <w:ind w:left="1440"/>
        <w:jc w:val="both"/>
        <w:rPr>
          <w:rFonts w:ascii="Arial" w:hAnsi="Arial" w:cs="Arial"/>
          <w:color w:val="000000" w:themeColor="text1"/>
          <w:lang w:val="en-GB"/>
        </w:rPr>
      </w:pPr>
    </w:p>
    <w:p w:rsidR="008D517E" w:rsidRDefault="00051E43" w:rsidP="00051E43">
      <w:pPr>
        <w:pStyle w:val="ListParagraph"/>
        <w:adjustRightInd w:val="0"/>
        <w:snapToGrid w:val="0"/>
        <w:spacing w:after="0" w:line="360" w:lineRule="auto"/>
        <w:ind w:left="2160"/>
        <w:jc w:val="both"/>
        <w:rPr>
          <w:rStyle w:val="apple-converted-space"/>
          <w:rFonts w:ascii="Arial" w:hAnsi="Arial" w:cs="Arial"/>
        </w:rPr>
      </w:pPr>
      <w:r>
        <w:rPr>
          <w:rFonts w:ascii="Arial" w:hAnsi="Arial" w:cs="Arial"/>
          <w:color w:val="000000" w:themeColor="text1"/>
        </w:rPr>
        <w:t xml:space="preserve">[13] </w:t>
      </w:r>
      <w:r w:rsidR="008D517E">
        <w:rPr>
          <w:rFonts w:ascii="Arial" w:hAnsi="Arial" w:cs="Arial"/>
          <w:color w:val="000000" w:themeColor="text1"/>
        </w:rPr>
        <w:t>On ‘the pledge theory’ the principal debt is ‘pledged’ to the cessionary on the basis that the cedent retains ‘bare dominium’ or a ‘reversionary interest’ in the claim against the principal debtor.</w:t>
      </w:r>
      <w:r w:rsidR="008D517E">
        <w:rPr>
          <w:rStyle w:val="FootnoteReference"/>
          <w:rFonts w:ascii="Arial" w:hAnsi="Arial" w:cs="Arial"/>
          <w:color w:val="000000" w:themeColor="text1"/>
        </w:rPr>
        <w:footnoteReference w:id="5"/>
      </w:r>
      <w:r w:rsidR="008D517E">
        <w:rPr>
          <w:rFonts w:ascii="Arial" w:hAnsi="Arial" w:cs="Arial"/>
          <w:color w:val="000000" w:themeColor="text1"/>
        </w:rPr>
        <w:t xml:space="preserve"> On such construction, only the right to enforce the right upon non-payment is ceded</w:t>
      </w:r>
      <w:r w:rsidR="008D517E">
        <w:rPr>
          <w:rStyle w:val="apple-converted-space"/>
          <w:rFonts w:ascii="Arial" w:hAnsi="Arial" w:cs="Arial"/>
          <w:color w:val="000000" w:themeColor="text1"/>
        </w:rPr>
        <w:t>.</w:t>
      </w:r>
      <w:r w:rsidR="008D517E">
        <w:rPr>
          <w:rStyle w:val="FootnoteReference"/>
          <w:rFonts w:ascii="Arial" w:hAnsi="Arial" w:cs="Arial"/>
          <w:color w:val="000000" w:themeColor="text1"/>
        </w:rPr>
        <w:footnoteReference w:id="6"/>
      </w:r>
      <w:r w:rsidR="008D517E">
        <w:rPr>
          <w:rStyle w:val="apple-converted-space"/>
          <w:rFonts w:ascii="Arial" w:hAnsi="Arial" w:cs="Arial"/>
          <w:color w:val="000000" w:themeColor="text1"/>
        </w:rPr>
        <w:t xml:space="preserve"> </w:t>
      </w:r>
      <w:r w:rsidR="008D517E">
        <w:rPr>
          <w:rFonts w:ascii="Arial" w:hAnsi="Arial" w:cs="Arial"/>
          <w:color w:val="000000" w:themeColor="text1"/>
        </w:rPr>
        <w:t xml:space="preserve">Since </w:t>
      </w:r>
      <w:r w:rsidR="008D517E">
        <w:rPr>
          <w:rFonts w:ascii="Arial" w:hAnsi="Arial" w:cs="Arial"/>
          <w:iCs/>
          <w:color w:val="000000" w:themeColor="text1"/>
        </w:rPr>
        <w:t xml:space="preserve">a </w:t>
      </w:r>
      <w:r w:rsidR="008D517E">
        <w:rPr>
          <w:rFonts w:ascii="Arial" w:hAnsi="Arial" w:cs="Arial"/>
          <w:color w:val="000000" w:themeColor="text1"/>
        </w:rPr>
        <w:t xml:space="preserve">cession ordinarily entails a transfer of a right, it is the retention by the cedent of the very substance of the right around which the doctrinal debate regarding the pledge theory has centred. This Court, in </w:t>
      </w:r>
      <w:r w:rsidR="008D517E">
        <w:rPr>
          <w:rFonts w:ascii="Arial" w:hAnsi="Arial" w:cs="Arial"/>
          <w:i/>
          <w:iCs/>
          <w:color w:val="000000" w:themeColor="text1"/>
        </w:rPr>
        <w:t>Grobler</w:t>
      </w:r>
      <w:r w:rsidR="008D517E">
        <w:rPr>
          <w:rFonts w:ascii="Arial" w:hAnsi="Arial" w:cs="Arial"/>
          <w:color w:val="000000" w:themeColor="text1"/>
        </w:rPr>
        <w:t>,</w:t>
      </w:r>
      <w:r w:rsidR="008D517E">
        <w:rPr>
          <w:rFonts w:ascii="Arial" w:hAnsi="Arial" w:cs="Arial"/>
          <w:i/>
          <w:iCs/>
          <w:color w:val="000000" w:themeColor="text1"/>
        </w:rPr>
        <w:t xml:space="preserve"> </w:t>
      </w:r>
      <w:r w:rsidR="008D517E">
        <w:rPr>
          <w:rFonts w:ascii="Arial" w:hAnsi="Arial" w:cs="Arial"/>
          <w:color w:val="000000" w:themeColor="text1"/>
        </w:rPr>
        <w:t>recognised however that such</w:t>
      </w:r>
      <w:r w:rsidR="008D517E">
        <w:rPr>
          <w:rFonts w:ascii="Arial" w:hAnsi="Arial" w:cs="Arial"/>
          <w:iCs/>
          <w:color w:val="000000" w:themeColor="text1"/>
        </w:rPr>
        <w:t xml:space="preserve"> debate had been resolved, primarily for pragmatic reasons, with the pledge theory accepted as the default position.</w:t>
      </w:r>
      <w:r w:rsidR="008D517E">
        <w:rPr>
          <w:rStyle w:val="FootnoteReference"/>
          <w:rFonts w:ascii="Arial" w:hAnsi="Arial" w:cs="Arial"/>
          <w:iCs/>
          <w:color w:val="000000" w:themeColor="text1"/>
        </w:rPr>
        <w:footnoteReference w:id="7"/>
      </w:r>
      <w:r w:rsidR="008D517E">
        <w:rPr>
          <w:rFonts w:ascii="Arial" w:hAnsi="Arial" w:cs="Arial"/>
          <w:iCs/>
          <w:color w:val="000000" w:themeColor="text1"/>
        </w:rPr>
        <w:t xml:space="preserve"> On this basis a cession </w:t>
      </w:r>
      <w:r w:rsidR="008D517E">
        <w:rPr>
          <w:rFonts w:ascii="Arial" w:hAnsi="Arial" w:cs="Arial"/>
          <w:i/>
          <w:color w:val="000000" w:themeColor="text1"/>
        </w:rPr>
        <w:t>in securitatem debiti</w:t>
      </w:r>
      <w:r w:rsidR="008D517E">
        <w:rPr>
          <w:rFonts w:ascii="Arial" w:hAnsi="Arial" w:cs="Arial"/>
          <w:iCs/>
          <w:color w:val="000000" w:themeColor="text1"/>
        </w:rPr>
        <w:t xml:space="preserve"> is now taken to resemble a pledge, unless the intention of the parties is different.</w:t>
      </w:r>
      <w:r w:rsidR="008D517E">
        <w:rPr>
          <w:rStyle w:val="FootnoteReference"/>
          <w:rFonts w:ascii="Arial" w:hAnsi="Arial" w:cs="Arial"/>
          <w:iCs/>
          <w:color w:val="000000" w:themeColor="text1"/>
        </w:rPr>
        <w:footnoteReference w:id="8"/>
      </w:r>
    </w:p>
    <w:p w:rsidR="00FA613B" w:rsidRDefault="00FA613B" w:rsidP="00FA613B">
      <w:pPr>
        <w:pStyle w:val="ListParagraph"/>
        <w:adjustRightInd w:val="0"/>
        <w:snapToGrid w:val="0"/>
        <w:spacing w:after="0" w:line="360" w:lineRule="auto"/>
        <w:ind w:left="1440"/>
        <w:jc w:val="both"/>
        <w:rPr>
          <w:rStyle w:val="apple-converted-space"/>
          <w:rFonts w:ascii="Arial" w:hAnsi="Arial" w:cs="Arial"/>
          <w:color w:val="000000" w:themeColor="text1"/>
        </w:rPr>
      </w:pPr>
    </w:p>
    <w:p w:rsidR="00051E43" w:rsidRDefault="00051E43" w:rsidP="00051E43">
      <w:pPr>
        <w:pStyle w:val="ListParagraph"/>
        <w:adjustRightInd w:val="0"/>
        <w:snapToGrid w:val="0"/>
        <w:spacing w:after="0" w:line="360" w:lineRule="auto"/>
        <w:ind w:left="1440" w:firstLine="720"/>
        <w:jc w:val="both"/>
        <w:rPr>
          <w:rFonts w:ascii="Arial" w:hAnsi="Arial" w:cs="Arial"/>
          <w:color w:val="000000" w:themeColor="text1"/>
        </w:rPr>
      </w:pPr>
      <w:r>
        <w:rPr>
          <w:rStyle w:val="apple-converted-space"/>
          <w:rFonts w:ascii="Arial" w:hAnsi="Arial" w:cs="Arial"/>
          <w:color w:val="000000" w:themeColor="text1"/>
        </w:rPr>
        <w:t xml:space="preserve">[14] </w:t>
      </w:r>
      <w:r w:rsidR="008D517E">
        <w:rPr>
          <w:rStyle w:val="apple-converted-space"/>
          <w:rFonts w:ascii="Arial" w:hAnsi="Arial" w:cs="Arial"/>
          <w:color w:val="000000" w:themeColor="text1"/>
        </w:rPr>
        <w:t xml:space="preserve">On the alternative </w:t>
      </w:r>
      <w:r>
        <w:rPr>
          <w:rFonts w:ascii="Arial" w:hAnsi="Arial" w:cs="Arial"/>
          <w:color w:val="000000" w:themeColor="text1"/>
        </w:rPr>
        <w:t>theory –</w:t>
      </w:r>
    </w:p>
    <w:p w:rsidR="008D517E" w:rsidRPr="00FA613B" w:rsidRDefault="00051E43" w:rsidP="00051E43">
      <w:pPr>
        <w:pStyle w:val="ListParagraph"/>
        <w:adjustRightInd w:val="0"/>
        <w:snapToGrid w:val="0"/>
        <w:spacing w:after="0" w:line="360" w:lineRule="auto"/>
        <w:ind w:left="2160"/>
        <w:jc w:val="both"/>
      </w:pPr>
      <w:r>
        <w:rPr>
          <w:rFonts w:ascii="Arial" w:hAnsi="Arial" w:cs="Arial"/>
          <w:color w:val="000000" w:themeColor="text1"/>
        </w:rPr>
        <w:t>‘</w:t>
      </w:r>
      <w:r w:rsidR="008D517E">
        <w:rPr>
          <w:rFonts w:ascii="Arial" w:hAnsi="Arial" w:cs="Arial"/>
          <w:color w:val="000000" w:themeColor="text1"/>
        </w:rPr>
        <w:t>. . . a cession</w:t>
      </w:r>
      <w:r w:rsidR="008D517E">
        <w:rPr>
          <w:rStyle w:val="apple-converted-space"/>
          <w:rFonts w:ascii="Arial" w:hAnsi="Arial" w:cs="Arial"/>
          <w:color w:val="000000" w:themeColor="text1"/>
        </w:rPr>
        <w:t> </w:t>
      </w:r>
      <w:r w:rsidR="008D517E">
        <w:rPr>
          <w:rFonts w:ascii="Arial" w:hAnsi="Arial" w:cs="Arial"/>
          <w:i/>
          <w:iCs/>
          <w:color w:val="000000" w:themeColor="text1"/>
        </w:rPr>
        <w:t>in securitatem debiti</w:t>
      </w:r>
      <w:r w:rsidR="008D517E">
        <w:rPr>
          <w:rStyle w:val="apple-converted-space"/>
          <w:rFonts w:ascii="Arial" w:hAnsi="Arial" w:cs="Arial"/>
          <w:i/>
          <w:iCs/>
          <w:color w:val="000000" w:themeColor="text1"/>
        </w:rPr>
        <w:t> </w:t>
      </w:r>
      <w:r w:rsidR="008D517E">
        <w:rPr>
          <w:rFonts w:ascii="Arial" w:hAnsi="Arial" w:cs="Arial"/>
          <w:color w:val="000000" w:themeColor="text1"/>
        </w:rPr>
        <w:t>is in effect an outright or out-and-out cession on which an undertaking or</w:t>
      </w:r>
      <w:r w:rsidR="008D517E">
        <w:rPr>
          <w:rStyle w:val="apple-converted-space"/>
          <w:rFonts w:ascii="Arial" w:hAnsi="Arial" w:cs="Arial"/>
          <w:color w:val="000000" w:themeColor="text1"/>
        </w:rPr>
        <w:t> </w:t>
      </w:r>
      <w:r w:rsidR="008D517E">
        <w:rPr>
          <w:rFonts w:ascii="Arial" w:hAnsi="Arial" w:cs="Arial"/>
          <w:i/>
          <w:iCs/>
          <w:color w:val="000000" w:themeColor="text1"/>
        </w:rPr>
        <w:t>pactum fiduciae</w:t>
      </w:r>
      <w:r w:rsidR="008D517E">
        <w:rPr>
          <w:rStyle w:val="apple-converted-space"/>
          <w:rFonts w:ascii="Arial" w:hAnsi="Arial" w:cs="Arial"/>
          <w:i/>
          <w:iCs/>
          <w:color w:val="000000" w:themeColor="text1"/>
        </w:rPr>
        <w:t> </w:t>
      </w:r>
      <w:r w:rsidR="008D517E">
        <w:rPr>
          <w:rFonts w:ascii="Arial" w:hAnsi="Arial" w:cs="Arial"/>
          <w:color w:val="000000" w:themeColor="text1"/>
        </w:rPr>
        <w:t>is superimposed that the cessionary will re-cede the principal debt to the cedent on satisfaction of the secured debt. In consequence, the ceded right in all its aspects is vested in the cessionary. After the cession</w:t>
      </w:r>
      <w:r w:rsidR="008D517E">
        <w:rPr>
          <w:rStyle w:val="apple-converted-space"/>
          <w:rFonts w:ascii="Arial" w:hAnsi="Arial" w:cs="Arial"/>
          <w:color w:val="000000" w:themeColor="text1"/>
        </w:rPr>
        <w:t> </w:t>
      </w:r>
      <w:r w:rsidR="008D517E">
        <w:rPr>
          <w:rFonts w:ascii="Arial" w:hAnsi="Arial" w:cs="Arial"/>
          <w:i/>
          <w:iCs/>
          <w:color w:val="000000" w:themeColor="text1"/>
        </w:rPr>
        <w:t>in securitatem debiti</w:t>
      </w:r>
      <w:r w:rsidR="008D517E">
        <w:rPr>
          <w:rStyle w:val="apple-converted-space"/>
          <w:rFonts w:ascii="Arial" w:hAnsi="Arial" w:cs="Arial"/>
          <w:i/>
          <w:iCs/>
          <w:color w:val="000000" w:themeColor="text1"/>
        </w:rPr>
        <w:t> </w:t>
      </w:r>
      <w:r w:rsidR="008D517E">
        <w:rPr>
          <w:rFonts w:ascii="Arial" w:hAnsi="Arial" w:cs="Arial"/>
          <w:color w:val="000000" w:themeColor="text1"/>
        </w:rPr>
        <w:t>the cedent has no direct interest in the principal debt and is left only with a personal right against the cessionary, by virtue of the</w:t>
      </w:r>
      <w:r w:rsidR="008D517E">
        <w:rPr>
          <w:rStyle w:val="apple-converted-space"/>
          <w:rFonts w:ascii="Arial" w:hAnsi="Arial" w:cs="Arial"/>
          <w:color w:val="000000" w:themeColor="text1"/>
        </w:rPr>
        <w:t> </w:t>
      </w:r>
      <w:r w:rsidR="008D517E">
        <w:rPr>
          <w:rFonts w:ascii="Arial" w:hAnsi="Arial" w:cs="Arial"/>
          <w:i/>
          <w:iCs/>
          <w:color w:val="000000" w:themeColor="text1"/>
        </w:rPr>
        <w:t>pactum fiduciae,</w:t>
      </w:r>
      <w:r w:rsidR="008D517E">
        <w:rPr>
          <w:rStyle w:val="apple-converted-space"/>
          <w:rFonts w:ascii="Arial" w:hAnsi="Arial" w:cs="Arial"/>
          <w:color w:val="000000" w:themeColor="text1"/>
        </w:rPr>
        <w:t> </w:t>
      </w:r>
      <w:r w:rsidR="008D517E">
        <w:rPr>
          <w:rFonts w:ascii="Arial" w:hAnsi="Arial" w:cs="Arial"/>
          <w:color w:val="000000" w:themeColor="text1"/>
        </w:rPr>
        <w:t>to claim re-cession after the secured debt has been discharged.’</w:t>
      </w:r>
      <w:r w:rsidR="008D517E">
        <w:rPr>
          <w:rStyle w:val="FootnoteReference"/>
          <w:rFonts w:ascii="Arial" w:hAnsi="Arial" w:cs="Arial"/>
          <w:color w:val="000000" w:themeColor="text1"/>
        </w:rPr>
        <w:footnoteReference w:id="9"/>
      </w:r>
    </w:p>
    <w:p w:rsidR="00FA613B" w:rsidRDefault="00FA613B" w:rsidP="00FA613B">
      <w:pPr>
        <w:pStyle w:val="ListParagraph"/>
        <w:adjustRightInd w:val="0"/>
        <w:snapToGrid w:val="0"/>
        <w:spacing w:after="0" w:line="360" w:lineRule="auto"/>
        <w:ind w:left="1440"/>
        <w:jc w:val="both"/>
        <w:rPr>
          <w:rStyle w:val="apple-converted-space"/>
          <w:rFonts w:ascii="Arial" w:hAnsi="Arial" w:cs="Arial"/>
          <w:color w:val="000000" w:themeColor="text1"/>
        </w:rPr>
      </w:pPr>
    </w:p>
    <w:p w:rsidR="008D517E" w:rsidRDefault="00051E43" w:rsidP="00051E43">
      <w:pPr>
        <w:pStyle w:val="ListParagraph"/>
        <w:adjustRightInd w:val="0"/>
        <w:snapToGrid w:val="0"/>
        <w:spacing w:after="0" w:line="360" w:lineRule="auto"/>
        <w:ind w:left="2160" w:hanging="720"/>
        <w:jc w:val="both"/>
        <w:rPr>
          <w:rStyle w:val="apple-converted-space"/>
          <w:rFonts w:ascii="Arial" w:hAnsi="Arial" w:cs="Arial"/>
        </w:rPr>
      </w:pPr>
      <w:r>
        <w:rPr>
          <w:rStyle w:val="apple-converted-space"/>
          <w:rFonts w:ascii="Arial" w:hAnsi="Arial" w:cs="Arial"/>
          <w:color w:val="000000" w:themeColor="text1"/>
        </w:rPr>
        <w:lastRenderedPageBreak/>
        <w:t>[15]</w:t>
      </w:r>
      <w:r>
        <w:rPr>
          <w:rStyle w:val="apple-converted-space"/>
          <w:rFonts w:ascii="Arial" w:hAnsi="Arial" w:cs="Arial"/>
          <w:color w:val="000000" w:themeColor="text1"/>
        </w:rPr>
        <w:tab/>
      </w:r>
      <w:r w:rsidR="008D517E">
        <w:rPr>
          <w:rStyle w:val="apple-converted-space"/>
          <w:rFonts w:ascii="Arial" w:hAnsi="Arial" w:cs="Arial"/>
          <w:color w:val="000000" w:themeColor="text1"/>
        </w:rPr>
        <w:t>Although the pledge construction has been recognised as the default form of security cession, there is no support for a conclusion that it has subsumed the field of security cessions.</w:t>
      </w:r>
      <w:r w:rsidR="008D517E">
        <w:rPr>
          <w:rStyle w:val="FootnoteReference"/>
          <w:rFonts w:ascii="Arial" w:hAnsi="Arial" w:cs="Arial"/>
          <w:color w:val="000000" w:themeColor="text1"/>
        </w:rPr>
        <w:footnoteReference w:id="10"/>
      </w:r>
      <w:r w:rsidR="008D517E">
        <w:rPr>
          <w:rStyle w:val="apple-converted-space"/>
          <w:rFonts w:ascii="Arial" w:hAnsi="Arial" w:cs="Arial"/>
          <w:color w:val="000000" w:themeColor="text1"/>
        </w:rPr>
        <w:t xml:space="preserve"> This is so since our law favours a recognition of both constructions of security cession.</w:t>
      </w:r>
      <w:r w:rsidR="008D517E">
        <w:rPr>
          <w:rStyle w:val="FootnoteReference"/>
          <w:rFonts w:ascii="Arial" w:hAnsi="Arial" w:cs="Arial"/>
          <w:color w:val="000000" w:themeColor="text1"/>
        </w:rPr>
        <w:footnoteReference w:id="11"/>
      </w:r>
      <w:r w:rsidR="008D517E">
        <w:rPr>
          <w:rStyle w:val="apple-converted-space"/>
          <w:rFonts w:ascii="Arial" w:hAnsi="Arial" w:cs="Arial"/>
          <w:color w:val="000000" w:themeColor="text1"/>
        </w:rPr>
        <w:t xml:space="preserve"> It therefore remains open to the parties to structure a cession either as a pledge or as an out-and-out cession, upon which a </w:t>
      </w:r>
      <w:r w:rsidR="008D517E">
        <w:rPr>
          <w:rStyle w:val="apple-converted-space"/>
          <w:rFonts w:ascii="Arial" w:hAnsi="Arial" w:cs="Arial"/>
          <w:i/>
          <w:iCs/>
          <w:color w:val="000000" w:themeColor="text1"/>
        </w:rPr>
        <w:t>pactum fiduciae</w:t>
      </w:r>
      <w:r w:rsidR="008D517E">
        <w:rPr>
          <w:rStyle w:val="apple-converted-space"/>
          <w:rFonts w:ascii="Arial" w:hAnsi="Arial" w:cs="Arial"/>
          <w:color w:val="000000" w:themeColor="text1"/>
        </w:rPr>
        <w:t xml:space="preserve"> is superimposed. This is to be determined by reference to the clear intention of the parties.</w:t>
      </w:r>
      <w:r w:rsidR="008D517E">
        <w:rPr>
          <w:rStyle w:val="FootnoteReference"/>
          <w:rFonts w:ascii="Arial" w:hAnsi="Arial" w:cs="Arial"/>
          <w:color w:val="000000" w:themeColor="text1"/>
        </w:rPr>
        <w:footnoteReference w:id="12"/>
      </w:r>
      <w:r w:rsidR="008D517E">
        <w:rPr>
          <w:rStyle w:val="apple-converted-space"/>
          <w:rFonts w:ascii="Arial" w:hAnsi="Arial" w:cs="Arial"/>
          <w:color w:val="000000" w:themeColor="text1"/>
        </w:rPr>
        <w:t xml:space="preserve"> </w:t>
      </w:r>
      <w:r>
        <w:rPr>
          <w:rStyle w:val="apple-converted-space"/>
          <w:rFonts w:ascii="Arial" w:hAnsi="Arial" w:cs="Arial"/>
          <w:color w:val="000000" w:themeColor="text1"/>
        </w:rPr>
        <w:t>”</w:t>
      </w:r>
    </w:p>
    <w:p w:rsidR="008B6E42" w:rsidRDefault="00E62CE6" w:rsidP="008303E0">
      <w:pPr>
        <w:pStyle w:val="BodyText"/>
        <w:spacing w:line="360" w:lineRule="auto"/>
        <w:ind w:left="720" w:hanging="720"/>
        <w:jc w:val="both"/>
        <w:rPr>
          <w:rFonts w:ascii="Arial" w:hAnsi="Arial" w:cs="Arial"/>
        </w:rPr>
      </w:pPr>
      <w:r>
        <w:rPr>
          <w:rFonts w:ascii="Arial" w:hAnsi="Arial" w:cs="Arial"/>
          <w:sz w:val="24"/>
          <w:szCs w:val="24"/>
        </w:rPr>
        <w:tab/>
      </w:r>
    </w:p>
    <w:p w:rsidR="00323B19" w:rsidRDefault="00323B19" w:rsidP="00E75694">
      <w:pPr>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E75694">
        <w:rPr>
          <w:rFonts w:ascii="Arial" w:hAnsi="Arial" w:cs="Arial"/>
          <w:sz w:val="24"/>
          <w:szCs w:val="24"/>
        </w:rPr>
        <w:t xml:space="preserve">I have carefully considered the submissions and </w:t>
      </w:r>
      <w:r w:rsidR="000B7D6B">
        <w:rPr>
          <w:rFonts w:ascii="Arial" w:hAnsi="Arial" w:cs="Arial"/>
          <w:sz w:val="24"/>
          <w:szCs w:val="24"/>
        </w:rPr>
        <w:t xml:space="preserve">relevant clauses and </w:t>
      </w:r>
      <w:r w:rsidR="00E75694">
        <w:rPr>
          <w:rFonts w:ascii="Arial" w:hAnsi="Arial" w:cs="Arial"/>
          <w:sz w:val="24"/>
          <w:szCs w:val="24"/>
        </w:rPr>
        <w:t>find myself in agreement with t</w:t>
      </w:r>
      <w:r w:rsidR="00FA613B">
        <w:rPr>
          <w:rFonts w:ascii="Arial" w:hAnsi="Arial" w:cs="Arial"/>
          <w:sz w:val="24"/>
          <w:szCs w:val="24"/>
        </w:rPr>
        <w:t>he contentions by the applicants.</w:t>
      </w:r>
      <w:r w:rsidR="00E75694">
        <w:rPr>
          <w:rFonts w:ascii="Arial" w:hAnsi="Arial" w:cs="Arial"/>
          <w:sz w:val="24"/>
          <w:szCs w:val="24"/>
        </w:rPr>
        <w:t xml:space="preserve"> Ostensibly the same view was taken</w:t>
      </w:r>
      <w:r w:rsidR="00051E43">
        <w:rPr>
          <w:rFonts w:ascii="Arial" w:hAnsi="Arial" w:cs="Arial"/>
          <w:sz w:val="24"/>
          <w:szCs w:val="24"/>
        </w:rPr>
        <w:t xml:space="preserve"> by my learned sister Van Rhyn,</w:t>
      </w:r>
      <w:r w:rsidR="00E75694">
        <w:rPr>
          <w:rFonts w:ascii="Arial" w:hAnsi="Arial" w:cs="Arial"/>
          <w:sz w:val="24"/>
          <w:szCs w:val="24"/>
        </w:rPr>
        <w:t xml:space="preserve">J on granting the provisional order. </w:t>
      </w:r>
      <w:r w:rsidR="00097268">
        <w:rPr>
          <w:rFonts w:ascii="Arial" w:hAnsi="Arial" w:cs="Arial"/>
          <w:sz w:val="24"/>
          <w:szCs w:val="24"/>
        </w:rPr>
        <w:t xml:space="preserve">Measured against the principles enunciated in </w:t>
      </w:r>
      <w:r w:rsidR="00097268" w:rsidRPr="00AE31AC">
        <w:rPr>
          <w:rFonts w:ascii="Arial" w:hAnsi="Arial" w:cs="Arial"/>
          <w:b/>
          <w:i/>
          <w:sz w:val="24"/>
          <w:szCs w:val="24"/>
        </w:rPr>
        <w:t>Engen supra</w:t>
      </w:r>
      <w:r w:rsidR="00097268">
        <w:rPr>
          <w:rFonts w:ascii="Arial" w:hAnsi="Arial" w:cs="Arial"/>
          <w:sz w:val="24"/>
          <w:szCs w:val="24"/>
        </w:rPr>
        <w:t xml:space="preserve"> I am </w:t>
      </w:r>
      <w:r w:rsidR="00AE31AC">
        <w:rPr>
          <w:rFonts w:ascii="Arial" w:hAnsi="Arial" w:cs="Arial"/>
          <w:sz w:val="24"/>
          <w:szCs w:val="24"/>
        </w:rPr>
        <w:t xml:space="preserve">of the view </w:t>
      </w:r>
      <w:r w:rsidR="00097268">
        <w:rPr>
          <w:rFonts w:ascii="Arial" w:hAnsi="Arial" w:cs="Arial"/>
          <w:sz w:val="24"/>
          <w:szCs w:val="24"/>
        </w:rPr>
        <w:t>that t</w:t>
      </w:r>
      <w:r w:rsidR="000B7D6B">
        <w:rPr>
          <w:rFonts w:ascii="Arial" w:hAnsi="Arial" w:cs="Arial"/>
          <w:sz w:val="24"/>
          <w:szCs w:val="24"/>
        </w:rPr>
        <w:t xml:space="preserve">he whole tenure of the cession agreement </w:t>
      </w:r>
      <w:r w:rsidR="00097268">
        <w:rPr>
          <w:rFonts w:ascii="Arial" w:hAnsi="Arial" w:cs="Arial"/>
          <w:sz w:val="24"/>
          <w:szCs w:val="24"/>
        </w:rPr>
        <w:t xml:space="preserve">points towards </w:t>
      </w:r>
      <w:r w:rsidR="00051E43">
        <w:rPr>
          <w:rFonts w:ascii="Arial" w:hAnsi="Arial" w:cs="Arial"/>
          <w:sz w:val="24"/>
          <w:szCs w:val="24"/>
        </w:rPr>
        <w:t xml:space="preserve">a cession </w:t>
      </w:r>
      <w:r w:rsidR="00051E43" w:rsidRPr="00097268">
        <w:rPr>
          <w:rFonts w:ascii="Arial" w:hAnsi="Arial" w:cs="Arial"/>
          <w:i/>
          <w:sz w:val="24"/>
          <w:szCs w:val="24"/>
        </w:rPr>
        <w:t xml:space="preserve">in securitatem </w:t>
      </w:r>
      <w:r w:rsidR="00097268">
        <w:rPr>
          <w:rFonts w:ascii="Arial" w:hAnsi="Arial" w:cs="Arial"/>
          <w:i/>
          <w:sz w:val="24"/>
          <w:szCs w:val="24"/>
        </w:rPr>
        <w:t>debiti</w:t>
      </w:r>
      <w:r w:rsidR="000A21F9">
        <w:rPr>
          <w:rFonts w:ascii="Arial" w:hAnsi="Arial" w:cs="Arial"/>
          <w:i/>
          <w:sz w:val="24"/>
          <w:szCs w:val="24"/>
        </w:rPr>
        <w:t>.</w:t>
      </w:r>
      <w:r w:rsidR="000A21F9" w:rsidRPr="000A21F9">
        <w:rPr>
          <w:rFonts w:ascii="Arial" w:hAnsi="Arial" w:cs="Arial"/>
          <w:sz w:val="24"/>
          <w:szCs w:val="24"/>
        </w:rPr>
        <w:t xml:space="preserve"> </w:t>
      </w:r>
      <w:r w:rsidR="000A21F9">
        <w:rPr>
          <w:rFonts w:ascii="Arial" w:hAnsi="Arial" w:cs="Arial"/>
          <w:sz w:val="24"/>
          <w:szCs w:val="24"/>
        </w:rPr>
        <w:t>In my view clause 6 makes it abundantly clear that the cession is not an out-and-out cession.</w:t>
      </w:r>
      <w:r w:rsidR="00097268">
        <w:rPr>
          <w:rFonts w:ascii="Arial" w:hAnsi="Arial" w:cs="Arial"/>
          <w:i/>
          <w:sz w:val="24"/>
          <w:szCs w:val="24"/>
        </w:rPr>
        <w:t xml:space="preserve"> </w:t>
      </w:r>
      <w:r w:rsidR="00704171">
        <w:rPr>
          <w:rFonts w:ascii="Arial" w:hAnsi="Arial" w:cs="Arial"/>
          <w:sz w:val="24"/>
          <w:szCs w:val="24"/>
        </w:rPr>
        <w:t xml:space="preserve">I therefore find that the applicants </w:t>
      </w:r>
      <w:r w:rsidR="00E723A8">
        <w:rPr>
          <w:rFonts w:ascii="Arial" w:hAnsi="Arial" w:cs="Arial"/>
          <w:sz w:val="24"/>
          <w:szCs w:val="24"/>
        </w:rPr>
        <w:t xml:space="preserve">have the </w:t>
      </w:r>
      <w:r w:rsidR="000A21F9">
        <w:rPr>
          <w:rFonts w:ascii="Arial" w:hAnsi="Arial" w:cs="Arial"/>
          <w:sz w:val="24"/>
          <w:szCs w:val="24"/>
        </w:rPr>
        <w:t xml:space="preserve">necessary </w:t>
      </w:r>
      <w:r w:rsidR="000A21F9" w:rsidRPr="00BB0B50">
        <w:rPr>
          <w:rFonts w:ascii="Arial" w:hAnsi="Arial" w:cs="Arial"/>
          <w:i/>
          <w:sz w:val="24"/>
          <w:szCs w:val="24"/>
        </w:rPr>
        <w:t>locus standi</w:t>
      </w:r>
      <w:r w:rsidR="000A21F9">
        <w:rPr>
          <w:rFonts w:ascii="Arial" w:hAnsi="Arial" w:cs="Arial"/>
          <w:sz w:val="24"/>
          <w:szCs w:val="24"/>
        </w:rPr>
        <w:t xml:space="preserve"> in respect of </w:t>
      </w:r>
      <w:r w:rsidR="00E723A8">
        <w:rPr>
          <w:rFonts w:ascii="Arial" w:hAnsi="Arial" w:cs="Arial"/>
          <w:sz w:val="24"/>
          <w:szCs w:val="24"/>
        </w:rPr>
        <w:t>the cession point that was taken.</w:t>
      </w:r>
      <w:r w:rsidR="000A21F9">
        <w:rPr>
          <w:rStyle w:val="FootnoteReference"/>
          <w:rFonts w:ascii="Arial" w:hAnsi="Arial" w:cs="Arial"/>
          <w:sz w:val="24"/>
          <w:szCs w:val="24"/>
        </w:rPr>
        <w:footnoteReference w:id="13"/>
      </w:r>
    </w:p>
    <w:p w:rsidR="00323B19" w:rsidRDefault="00323B19" w:rsidP="00323B19">
      <w:pPr>
        <w:spacing w:after="0" w:line="360" w:lineRule="auto"/>
        <w:ind w:left="851" w:hanging="851"/>
        <w:jc w:val="both"/>
        <w:rPr>
          <w:rFonts w:ascii="Arial" w:hAnsi="Arial" w:cs="Arial"/>
          <w:sz w:val="24"/>
          <w:szCs w:val="24"/>
        </w:rPr>
      </w:pPr>
    </w:p>
    <w:p w:rsidR="003625D5" w:rsidRDefault="00323B19" w:rsidP="00323B19">
      <w:pPr>
        <w:spacing w:after="0" w:line="36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723A8">
        <w:rPr>
          <w:rFonts w:ascii="Arial" w:hAnsi="Arial" w:cs="Arial"/>
          <w:sz w:val="24"/>
          <w:szCs w:val="24"/>
        </w:rPr>
        <w:t>In proving the respondents’</w:t>
      </w:r>
      <w:r w:rsidR="00A504EB">
        <w:rPr>
          <w:rFonts w:ascii="Arial" w:hAnsi="Arial" w:cs="Arial"/>
          <w:sz w:val="24"/>
          <w:szCs w:val="24"/>
        </w:rPr>
        <w:t xml:space="preserve"> indebtedness in the amount of R 2 717 854,90 the applicants relied on five loan agreements and a certificate of balance.</w:t>
      </w:r>
      <w:r w:rsidR="00C50B61">
        <w:rPr>
          <w:rFonts w:ascii="Arial" w:hAnsi="Arial" w:cs="Arial"/>
          <w:sz w:val="24"/>
          <w:szCs w:val="24"/>
        </w:rPr>
        <w:t xml:space="preserve"> </w:t>
      </w:r>
      <w:r w:rsidR="00925A7C">
        <w:rPr>
          <w:rFonts w:ascii="Arial" w:hAnsi="Arial" w:cs="Arial"/>
          <w:sz w:val="24"/>
          <w:szCs w:val="24"/>
        </w:rPr>
        <w:t>T</w:t>
      </w:r>
      <w:r w:rsidR="00A504EB">
        <w:rPr>
          <w:rFonts w:ascii="Arial" w:hAnsi="Arial" w:cs="Arial"/>
          <w:sz w:val="24"/>
          <w:szCs w:val="24"/>
        </w:rPr>
        <w:t>he terms of the agreements may be summarised as follows:</w:t>
      </w:r>
    </w:p>
    <w:p w:rsidR="00925A7C" w:rsidRDefault="00925A7C" w:rsidP="00925A7C">
      <w:pPr>
        <w:pStyle w:val="BodyText"/>
        <w:spacing w:after="0" w:line="360" w:lineRule="auto"/>
        <w:ind w:left="714" w:hanging="856"/>
        <w:rPr>
          <w:rFonts w:ascii="Arial" w:hAnsi="Arial" w:cs="Arial"/>
          <w:b/>
          <w:u w:val="single"/>
        </w:rPr>
      </w:pPr>
    </w:p>
    <w:p w:rsidR="00925A7C" w:rsidRDefault="00925A7C" w:rsidP="00925A7C">
      <w:pPr>
        <w:pStyle w:val="BodyText"/>
        <w:spacing w:after="0" w:line="360" w:lineRule="auto"/>
        <w:ind w:left="714" w:hanging="856"/>
        <w:rPr>
          <w:rFonts w:ascii="Arial" w:hAnsi="Arial" w:cs="Arial"/>
          <w:b/>
          <w:u w:val="single"/>
        </w:rPr>
      </w:pPr>
    </w:p>
    <w:p w:rsidR="00925A7C" w:rsidRPr="00097268" w:rsidRDefault="00597C7C" w:rsidP="00097268">
      <w:pPr>
        <w:pStyle w:val="BodyText"/>
        <w:spacing w:after="0" w:line="360" w:lineRule="auto"/>
        <w:ind w:left="720" w:hanging="720"/>
        <w:jc w:val="both"/>
        <w:rPr>
          <w:rFonts w:ascii="Arial" w:hAnsi="Arial" w:cs="Arial"/>
          <w:b/>
          <w:sz w:val="24"/>
          <w:szCs w:val="24"/>
          <w:u w:val="single"/>
        </w:rPr>
      </w:pPr>
      <w:r>
        <w:rPr>
          <w:rFonts w:ascii="Arial" w:hAnsi="Arial" w:cs="Arial"/>
        </w:rPr>
        <w:t>10.1</w:t>
      </w:r>
      <w:r>
        <w:rPr>
          <w:rFonts w:ascii="Arial" w:hAnsi="Arial" w:cs="Arial"/>
        </w:rPr>
        <w:tab/>
      </w:r>
      <w:r w:rsidR="00BA2860" w:rsidRPr="00A3121A">
        <w:rPr>
          <w:rFonts w:ascii="Arial" w:hAnsi="Arial" w:cs="Arial"/>
          <w:sz w:val="24"/>
          <w:szCs w:val="24"/>
        </w:rPr>
        <w:t>The first agreement was a summer production credit agreement and</w:t>
      </w:r>
      <w:r w:rsidR="00A504EB" w:rsidRPr="00A3121A">
        <w:rPr>
          <w:rFonts w:ascii="Arial" w:hAnsi="Arial" w:cs="Arial"/>
          <w:sz w:val="24"/>
          <w:szCs w:val="24"/>
        </w:rPr>
        <w:t xml:space="preserve"> term loan </w:t>
      </w:r>
      <w:r w:rsidR="00925A7C" w:rsidRPr="00A3121A">
        <w:rPr>
          <w:rFonts w:ascii="Arial" w:hAnsi="Arial" w:cs="Arial"/>
          <w:sz w:val="24"/>
          <w:szCs w:val="24"/>
        </w:rPr>
        <w:t>agreement entered into between the parties on or about 14 November 2013.</w:t>
      </w:r>
      <w:r w:rsidR="006305DC">
        <w:rPr>
          <w:rFonts w:ascii="Arial" w:hAnsi="Arial" w:cs="Arial"/>
          <w:sz w:val="24"/>
          <w:szCs w:val="24"/>
        </w:rPr>
        <w:t xml:space="preserve"> </w:t>
      </w:r>
      <w:r w:rsidR="00925A7C" w:rsidRPr="00A3121A">
        <w:rPr>
          <w:rFonts w:ascii="Arial" w:hAnsi="Arial" w:cs="Arial"/>
          <w:sz w:val="24"/>
          <w:szCs w:val="24"/>
        </w:rPr>
        <w:t>A quotation was incorporated into the said agreement in terms of which the calculation of the amount of the loan advanced and financing costs incurred over the</w:t>
      </w:r>
      <w:r w:rsidR="00A57EAA">
        <w:rPr>
          <w:rFonts w:ascii="Arial" w:hAnsi="Arial" w:cs="Arial"/>
          <w:sz w:val="24"/>
          <w:szCs w:val="24"/>
        </w:rPr>
        <w:t xml:space="preserve"> term of the agreement were set</w:t>
      </w:r>
      <w:r w:rsidR="003A0301">
        <w:rPr>
          <w:rFonts w:ascii="Arial" w:hAnsi="Arial" w:cs="Arial"/>
          <w:sz w:val="24"/>
          <w:szCs w:val="24"/>
        </w:rPr>
        <w:t>.</w:t>
      </w:r>
      <w:r w:rsidR="00A57EAA">
        <w:rPr>
          <w:rFonts w:ascii="Arial" w:hAnsi="Arial" w:cs="Arial"/>
          <w:sz w:val="24"/>
          <w:szCs w:val="24"/>
        </w:rPr>
        <w:t xml:space="preserve"> </w:t>
      </w:r>
      <w:r w:rsidR="00925A7C" w:rsidRPr="00A3121A">
        <w:rPr>
          <w:rFonts w:ascii="Arial" w:hAnsi="Arial" w:cs="Arial"/>
          <w:sz w:val="24"/>
          <w:szCs w:val="24"/>
        </w:rPr>
        <w:t xml:space="preserve">The agreement was for a credit facility </w:t>
      </w:r>
      <w:r w:rsidR="00925A7C" w:rsidRPr="00A3121A">
        <w:rPr>
          <w:rFonts w:ascii="Arial" w:hAnsi="Arial" w:cs="Arial"/>
          <w:sz w:val="24"/>
          <w:szCs w:val="24"/>
        </w:rPr>
        <w:lastRenderedPageBreak/>
        <w:t xml:space="preserve">made available to the first </w:t>
      </w:r>
      <w:r w:rsidR="00925A7C" w:rsidRPr="00A3121A">
        <w:rPr>
          <w:rFonts w:ascii="Arial" w:hAnsi="Arial" w:cs="Arial"/>
          <w:sz w:val="24"/>
          <w:szCs w:val="24"/>
        </w:rPr>
        <w:tab/>
        <w:t xml:space="preserve">respondent totaling R815 987.25 fully repayable on or before 31 </w:t>
      </w:r>
      <w:r w:rsidR="00925A7C" w:rsidRPr="00A3121A">
        <w:rPr>
          <w:rFonts w:ascii="Arial" w:hAnsi="Arial" w:cs="Arial"/>
          <w:sz w:val="24"/>
          <w:szCs w:val="24"/>
        </w:rPr>
        <w:tab/>
      </w:r>
      <w:r w:rsidR="003A0301">
        <w:rPr>
          <w:rFonts w:ascii="Arial" w:hAnsi="Arial" w:cs="Arial"/>
          <w:sz w:val="24"/>
          <w:szCs w:val="24"/>
        </w:rPr>
        <w:t>August 2014.</w:t>
      </w:r>
      <w:r w:rsidR="00A57EAA">
        <w:rPr>
          <w:rFonts w:ascii="Arial" w:hAnsi="Arial" w:cs="Arial"/>
          <w:sz w:val="24"/>
          <w:szCs w:val="24"/>
        </w:rPr>
        <w:t xml:space="preserve"> </w:t>
      </w:r>
      <w:r w:rsidR="00925A7C" w:rsidRPr="00A3121A">
        <w:rPr>
          <w:rFonts w:ascii="Arial" w:hAnsi="Arial" w:cs="Arial"/>
          <w:sz w:val="24"/>
          <w:szCs w:val="24"/>
        </w:rPr>
        <w:t>The parties agreed that any outstanding amount due under the agreement would form part of the principal d</w:t>
      </w:r>
      <w:r w:rsidR="00A57EAA">
        <w:rPr>
          <w:rFonts w:ascii="Arial" w:hAnsi="Arial" w:cs="Arial"/>
          <w:sz w:val="24"/>
          <w:szCs w:val="24"/>
        </w:rPr>
        <w:t xml:space="preserve">ebt owed to the third applicant and the security required </w:t>
      </w:r>
      <w:r w:rsidR="00925A7C" w:rsidRPr="00A3121A">
        <w:rPr>
          <w:rFonts w:ascii="Arial" w:hAnsi="Arial" w:cs="Arial"/>
          <w:sz w:val="24"/>
          <w:szCs w:val="24"/>
        </w:rPr>
        <w:t>was a general and special notariaI bo</w:t>
      </w:r>
      <w:r w:rsidR="003A0301">
        <w:rPr>
          <w:rFonts w:ascii="Arial" w:hAnsi="Arial" w:cs="Arial"/>
          <w:sz w:val="24"/>
          <w:szCs w:val="24"/>
        </w:rPr>
        <w:t>nd to the amount of</w:t>
      </w:r>
      <w:r w:rsidR="00A57EAA">
        <w:rPr>
          <w:rFonts w:ascii="Arial" w:hAnsi="Arial" w:cs="Arial"/>
          <w:sz w:val="24"/>
          <w:szCs w:val="24"/>
        </w:rPr>
        <w:t xml:space="preserve"> R750 000.00.</w:t>
      </w:r>
      <w:r w:rsidR="00925A7C" w:rsidRPr="00A3121A">
        <w:rPr>
          <w:rFonts w:ascii="Arial" w:hAnsi="Arial" w:cs="Arial"/>
          <w:sz w:val="24"/>
          <w:szCs w:val="24"/>
        </w:rPr>
        <w:t xml:space="preserve"> </w:t>
      </w:r>
    </w:p>
    <w:p w:rsidR="00925A7C" w:rsidRPr="00A3121A" w:rsidRDefault="00925A7C" w:rsidP="00A3121A">
      <w:pPr>
        <w:pStyle w:val="BodyText"/>
        <w:spacing w:line="360" w:lineRule="auto"/>
        <w:rPr>
          <w:rFonts w:ascii="Arial" w:hAnsi="Arial" w:cs="Arial"/>
          <w:sz w:val="24"/>
          <w:szCs w:val="24"/>
        </w:rPr>
      </w:pPr>
    </w:p>
    <w:p w:rsidR="00925A7C" w:rsidRPr="000971F6" w:rsidRDefault="00597C7C" w:rsidP="000971F6">
      <w:pPr>
        <w:pStyle w:val="BodyText"/>
        <w:spacing w:line="360" w:lineRule="auto"/>
        <w:ind w:left="720" w:hanging="720"/>
        <w:jc w:val="both"/>
        <w:rPr>
          <w:rFonts w:ascii="Arial" w:hAnsi="Arial" w:cs="Arial"/>
          <w:sz w:val="24"/>
          <w:szCs w:val="24"/>
          <w:u w:val="single"/>
        </w:rPr>
      </w:pPr>
      <w:r w:rsidRPr="00A3121A">
        <w:rPr>
          <w:rFonts w:ascii="Arial" w:hAnsi="Arial" w:cs="Arial"/>
          <w:sz w:val="24"/>
          <w:szCs w:val="24"/>
        </w:rPr>
        <w:t>10.2</w:t>
      </w:r>
      <w:r w:rsidRPr="00A3121A">
        <w:rPr>
          <w:rFonts w:ascii="Arial" w:hAnsi="Arial" w:cs="Arial"/>
          <w:sz w:val="24"/>
          <w:szCs w:val="24"/>
        </w:rPr>
        <w:tab/>
      </w:r>
      <w:r w:rsidR="00925A7C" w:rsidRPr="00A3121A">
        <w:rPr>
          <w:rFonts w:ascii="Arial" w:hAnsi="Arial" w:cs="Arial"/>
          <w:sz w:val="24"/>
          <w:szCs w:val="24"/>
        </w:rPr>
        <w:t>The second agreement was a summer pro</w:t>
      </w:r>
      <w:r w:rsidR="00E520C7" w:rsidRPr="00A3121A">
        <w:rPr>
          <w:rFonts w:ascii="Arial" w:hAnsi="Arial" w:cs="Arial"/>
          <w:sz w:val="24"/>
          <w:szCs w:val="24"/>
        </w:rPr>
        <w:t xml:space="preserve">duction credit agreement and </w:t>
      </w:r>
      <w:r w:rsidR="00925A7C" w:rsidRPr="00A3121A">
        <w:rPr>
          <w:rFonts w:ascii="Arial" w:hAnsi="Arial" w:cs="Arial"/>
          <w:sz w:val="24"/>
          <w:szCs w:val="24"/>
        </w:rPr>
        <w:t xml:space="preserve">term loan agreement entered into between the parties </w:t>
      </w:r>
      <w:r w:rsidR="00E520C7" w:rsidRPr="00A3121A">
        <w:rPr>
          <w:rFonts w:ascii="Arial" w:hAnsi="Arial" w:cs="Arial"/>
          <w:sz w:val="24"/>
          <w:szCs w:val="24"/>
        </w:rPr>
        <w:t xml:space="preserve">on or about 11 </w:t>
      </w:r>
      <w:r w:rsidR="00452F0D" w:rsidRPr="00A3121A">
        <w:rPr>
          <w:rFonts w:ascii="Arial" w:hAnsi="Arial" w:cs="Arial"/>
          <w:sz w:val="24"/>
          <w:szCs w:val="24"/>
        </w:rPr>
        <w:t>November 2014</w:t>
      </w:r>
      <w:r w:rsidR="00A57EAA">
        <w:rPr>
          <w:rFonts w:ascii="Arial" w:hAnsi="Arial" w:cs="Arial"/>
          <w:sz w:val="24"/>
          <w:szCs w:val="24"/>
        </w:rPr>
        <w:t xml:space="preserve">. It </w:t>
      </w:r>
      <w:r w:rsidR="00925A7C" w:rsidRPr="00A3121A">
        <w:rPr>
          <w:rFonts w:ascii="Arial" w:hAnsi="Arial" w:cs="Arial"/>
          <w:sz w:val="24"/>
          <w:szCs w:val="24"/>
        </w:rPr>
        <w:t>caused the</w:t>
      </w:r>
      <w:r w:rsidR="00813F8B" w:rsidRPr="00A3121A">
        <w:rPr>
          <w:rFonts w:ascii="Arial" w:hAnsi="Arial" w:cs="Arial"/>
          <w:sz w:val="24"/>
          <w:szCs w:val="24"/>
        </w:rPr>
        <w:t xml:space="preserve"> reconciliation of previous </w:t>
      </w:r>
      <w:r w:rsidR="00925A7C" w:rsidRPr="00A3121A">
        <w:rPr>
          <w:rFonts w:ascii="Arial" w:hAnsi="Arial" w:cs="Arial"/>
          <w:sz w:val="24"/>
          <w:szCs w:val="24"/>
        </w:rPr>
        <w:t>credit agreements and facilities a</w:t>
      </w:r>
      <w:r w:rsidR="00813F8B" w:rsidRPr="00A3121A">
        <w:rPr>
          <w:rFonts w:ascii="Arial" w:hAnsi="Arial" w:cs="Arial"/>
          <w:sz w:val="24"/>
          <w:szCs w:val="24"/>
        </w:rPr>
        <w:t>nd exte</w:t>
      </w:r>
      <w:r w:rsidR="00A57EAA">
        <w:rPr>
          <w:rFonts w:ascii="Arial" w:hAnsi="Arial" w:cs="Arial"/>
          <w:sz w:val="24"/>
          <w:szCs w:val="24"/>
        </w:rPr>
        <w:t xml:space="preserve">nded further credit </w:t>
      </w:r>
      <w:r w:rsidR="00925A7C" w:rsidRPr="00A3121A">
        <w:rPr>
          <w:rFonts w:ascii="Arial" w:hAnsi="Arial" w:cs="Arial"/>
          <w:sz w:val="24"/>
          <w:szCs w:val="24"/>
        </w:rPr>
        <w:t>facilities</w:t>
      </w:r>
      <w:r w:rsidR="003A0301">
        <w:rPr>
          <w:rFonts w:ascii="Arial" w:hAnsi="Arial" w:cs="Arial"/>
          <w:sz w:val="24"/>
          <w:szCs w:val="24"/>
        </w:rPr>
        <w:t xml:space="preserve"> to the amount of R1 464 571.34. </w:t>
      </w:r>
      <w:r w:rsidR="00925A7C" w:rsidRPr="00A3121A">
        <w:rPr>
          <w:rFonts w:ascii="Arial" w:hAnsi="Arial" w:cs="Arial"/>
          <w:sz w:val="24"/>
          <w:szCs w:val="24"/>
        </w:rPr>
        <w:t xml:space="preserve">A quotation was incorporated into the said agreement in terms of which the calculation of the amount of the loan advanced and the financing costs incurred over the term of the agreement was set </w:t>
      </w:r>
      <w:r w:rsidR="00A57EAA">
        <w:rPr>
          <w:rFonts w:ascii="Arial" w:hAnsi="Arial" w:cs="Arial"/>
          <w:sz w:val="24"/>
          <w:szCs w:val="24"/>
        </w:rPr>
        <w:t>out and</w:t>
      </w:r>
      <w:r w:rsidR="00925A7C" w:rsidRPr="00A3121A">
        <w:rPr>
          <w:rFonts w:ascii="Arial" w:hAnsi="Arial" w:cs="Arial"/>
          <w:sz w:val="24"/>
          <w:szCs w:val="24"/>
        </w:rPr>
        <w:t xml:space="preserve"> forms the writt</w:t>
      </w:r>
      <w:r w:rsidR="00A57EAA">
        <w:rPr>
          <w:rFonts w:ascii="Arial" w:hAnsi="Arial" w:cs="Arial"/>
          <w:sz w:val="24"/>
          <w:szCs w:val="24"/>
        </w:rPr>
        <w:t xml:space="preserve">en part of the agreement which was </w:t>
      </w:r>
      <w:r w:rsidR="00925A7C" w:rsidRPr="00A3121A">
        <w:rPr>
          <w:rFonts w:ascii="Arial" w:hAnsi="Arial" w:cs="Arial"/>
          <w:sz w:val="24"/>
          <w:szCs w:val="24"/>
        </w:rPr>
        <w:t>a</w:t>
      </w:r>
      <w:r w:rsidR="003A0301">
        <w:rPr>
          <w:rFonts w:ascii="Arial" w:hAnsi="Arial" w:cs="Arial"/>
          <w:sz w:val="24"/>
          <w:szCs w:val="24"/>
        </w:rPr>
        <w:t xml:space="preserve">ccepted by the first respondent. </w:t>
      </w:r>
      <w:r w:rsidR="00925A7C" w:rsidRPr="00A3121A">
        <w:rPr>
          <w:rFonts w:ascii="Arial" w:hAnsi="Arial" w:cs="Arial"/>
          <w:sz w:val="24"/>
          <w:szCs w:val="24"/>
        </w:rPr>
        <w:t xml:space="preserve">The credit facility was made available to the first respondent totaling R1 464 571.34 and which was fully repayable on or before </w:t>
      </w:r>
      <w:r w:rsidR="003A0301">
        <w:rPr>
          <w:rFonts w:ascii="Arial" w:hAnsi="Arial" w:cs="Arial"/>
          <w:sz w:val="24"/>
          <w:szCs w:val="24"/>
        </w:rPr>
        <w:t xml:space="preserve">31 August 2015. </w:t>
      </w:r>
      <w:r w:rsidR="00925A7C" w:rsidRPr="00A3121A">
        <w:rPr>
          <w:rFonts w:ascii="Arial" w:hAnsi="Arial" w:cs="Arial"/>
          <w:sz w:val="24"/>
          <w:szCs w:val="24"/>
        </w:rPr>
        <w:t>The previous securities already</w:t>
      </w:r>
      <w:r w:rsidR="00DC1D09" w:rsidRPr="00A3121A">
        <w:rPr>
          <w:rFonts w:ascii="Arial" w:hAnsi="Arial" w:cs="Arial"/>
          <w:sz w:val="24"/>
          <w:szCs w:val="24"/>
        </w:rPr>
        <w:t xml:space="preserve"> provided was a general and </w:t>
      </w:r>
      <w:r w:rsidR="00925A7C" w:rsidRPr="00A3121A">
        <w:rPr>
          <w:rFonts w:ascii="Arial" w:hAnsi="Arial" w:cs="Arial"/>
          <w:sz w:val="24"/>
          <w:szCs w:val="24"/>
        </w:rPr>
        <w:t>special notarial bond in the amount o</w:t>
      </w:r>
      <w:r w:rsidR="00DC1D09" w:rsidRPr="00A3121A">
        <w:rPr>
          <w:rFonts w:ascii="Arial" w:hAnsi="Arial" w:cs="Arial"/>
          <w:sz w:val="24"/>
          <w:szCs w:val="24"/>
        </w:rPr>
        <w:t>f R750</w:t>
      </w:r>
      <w:r w:rsidR="000971F6">
        <w:rPr>
          <w:rFonts w:ascii="Arial" w:hAnsi="Arial" w:cs="Arial"/>
          <w:sz w:val="24"/>
          <w:szCs w:val="24"/>
        </w:rPr>
        <w:t xml:space="preserve"> </w:t>
      </w:r>
      <w:r w:rsidR="00DC1D09" w:rsidRPr="00A3121A">
        <w:rPr>
          <w:rFonts w:ascii="Arial" w:hAnsi="Arial" w:cs="Arial"/>
          <w:sz w:val="24"/>
          <w:szCs w:val="24"/>
        </w:rPr>
        <w:t xml:space="preserve">000.00 and additional </w:t>
      </w:r>
      <w:r w:rsidR="00925A7C" w:rsidRPr="00A3121A">
        <w:rPr>
          <w:rFonts w:ascii="Arial" w:hAnsi="Arial" w:cs="Arial"/>
          <w:sz w:val="24"/>
          <w:szCs w:val="24"/>
        </w:rPr>
        <w:t>security of a general and special not</w:t>
      </w:r>
      <w:r w:rsidR="00DC1D09" w:rsidRPr="00A3121A">
        <w:rPr>
          <w:rFonts w:ascii="Arial" w:hAnsi="Arial" w:cs="Arial"/>
          <w:sz w:val="24"/>
          <w:szCs w:val="24"/>
        </w:rPr>
        <w:t xml:space="preserve">arial bond in the </w:t>
      </w:r>
      <w:r w:rsidR="00DC1D09" w:rsidRPr="00A3121A">
        <w:rPr>
          <w:rFonts w:ascii="Arial" w:hAnsi="Arial" w:cs="Arial"/>
          <w:sz w:val="24"/>
          <w:szCs w:val="24"/>
        </w:rPr>
        <w:tab/>
        <w:t xml:space="preserve">amount of </w:t>
      </w:r>
      <w:r w:rsidR="000971F6">
        <w:rPr>
          <w:rFonts w:ascii="Arial" w:hAnsi="Arial" w:cs="Arial"/>
          <w:sz w:val="24"/>
          <w:szCs w:val="24"/>
        </w:rPr>
        <w:t>R1</w:t>
      </w:r>
      <w:r w:rsidR="007D1E9A">
        <w:rPr>
          <w:rFonts w:ascii="Arial" w:hAnsi="Arial" w:cs="Arial"/>
          <w:sz w:val="24"/>
          <w:szCs w:val="24"/>
        </w:rPr>
        <w:t xml:space="preserve"> </w:t>
      </w:r>
      <w:r w:rsidR="000971F6">
        <w:rPr>
          <w:rFonts w:ascii="Arial" w:hAnsi="Arial" w:cs="Arial"/>
          <w:sz w:val="24"/>
          <w:szCs w:val="24"/>
        </w:rPr>
        <w:t xml:space="preserve">000 000.00. </w:t>
      </w:r>
    </w:p>
    <w:p w:rsidR="00E520C7" w:rsidRPr="00A3121A" w:rsidRDefault="00E520C7" w:rsidP="00A3121A">
      <w:pPr>
        <w:pStyle w:val="BodyText"/>
        <w:spacing w:line="360" w:lineRule="auto"/>
        <w:rPr>
          <w:rFonts w:ascii="Arial" w:hAnsi="Arial" w:cs="Arial"/>
          <w:sz w:val="24"/>
          <w:szCs w:val="24"/>
        </w:rPr>
      </w:pPr>
    </w:p>
    <w:p w:rsidR="00925A7C" w:rsidRPr="00A3121A" w:rsidRDefault="00E520C7" w:rsidP="00A3121A">
      <w:pPr>
        <w:pStyle w:val="BodyText"/>
        <w:spacing w:line="360" w:lineRule="auto"/>
        <w:ind w:left="720" w:hanging="720"/>
        <w:jc w:val="both"/>
        <w:rPr>
          <w:rFonts w:ascii="Arial" w:hAnsi="Arial" w:cs="Arial"/>
          <w:sz w:val="24"/>
          <w:szCs w:val="24"/>
        </w:rPr>
      </w:pPr>
      <w:r w:rsidRPr="00A3121A">
        <w:rPr>
          <w:rFonts w:ascii="Arial" w:hAnsi="Arial" w:cs="Arial"/>
          <w:sz w:val="24"/>
          <w:szCs w:val="24"/>
        </w:rPr>
        <w:t>10.3</w:t>
      </w:r>
      <w:r w:rsidRPr="00A3121A">
        <w:rPr>
          <w:rFonts w:ascii="Arial" w:hAnsi="Arial" w:cs="Arial"/>
          <w:sz w:val="24"/>
          <w:szCs w:val="24"/>
        </w:rPr>
        <w:tab/>
      </w:r>
      <w:r w:rsidR="00925A7C" w:rsidRPr="00A3121A">
        <w:rPr>
          <w:rFonts w:ascii="Arial" w:hAnsi="Arial" w:cs="Arial"/>
          <w:sz w:val="24"/>
          <w:szCs w:val="24"/>
        </w:rPr>
        <w:t>The third agreement was a credit agre</w:t>
      </w:r>
      <w:r w:rsidR="00DB0BE5" w:rsidRPr="00A3121A">
        <w:rPr>
          <w:rFonts w:ascii="Arial" w:hAnsi="Arial" w:cs="Arial"/>
          <w:sz w:val="24"/>
          <w:szCs w:val="24"/>
        </w:rPr>
        <w:t xml:space="preserve">ement advanced to the first </w:t>
      </w:r>
      <w:r w:rsidR="00925A7C" w:rsidRPr="00A3121A">
        <w:rPr>
          <w:rFonts w:ascii="Arial" w:hAnsi="Arial" w:cs="Arial"/>
          <w:sz w:val="24"/>
          <w:szCs w:val="24"/>
        </w:rPr>
        <w:t>respondent for liming and entered into bet</w:t>
      </w:r>
      <w:r w:rsidR="00880F84" w:rsidRPr="00A3121A">
        <w:rPr>
          <w:rFonts w:ascii="Arial" w:hAnsi="Arial" w:cs="Arial"/>
          <w:sz w:val="24"/>
          <w:szCs w:val="24"/>
        </w:rPr>
        <w:t xml:space="preserve">ween the parties on 11 March </w:t>
      </w:r>
      <w:r w:rsidR="00BA2860" w:rsidRPr="00A3121A">
        <w:rPr>
          <w:rFonts w:ascii="Arial" w:hAnsi="Arial" w:cs="Arial"/>
          <w:sz w:val="24"/>
          <w:szCs w:val="24"/>
        </w:rPr>
        <w:t>2016. It c</w:t>
      </w:r>
      <w:r w:rsidR="00925A7C" w:rsidRPr="00A3121A">
        <w:rPr>
          <w:rFonts w:ascii="Arial" w:hAnsi="Arial" w:cs="Arial"/>
          <w:sz w:val="24"/>
          <w:szCs w:val="24"/>
        </w:rPr>
        <w:t xml:space="preserve">aused additional credit facilities to </w:t>
      </w:r>
      <w:r w:rsidR="00BA2860" w:rsidRPr="00A3121A">
        <w:rPr>
          <w:rFonts w:ascii="Arial" w:hAnsi="Arial" w:cs="Arial"/>
          <w:sz w:val="24"/>
          <w:szCs w:val="24"/>
        </w:rPr>
        <w:t xml:space="preserve">be added </w:t>
      </w:r>
      <w:r w:rsidR="00925A7C" w:rsidRPr="00A3121A">
        <w:rPr>
          <w:rFonts w:ascii="Arial" w:hAnsi="Arial" w:cs="Arial"/>
          <w:sz w:val="24"/>
          <w:szCs w:val="24"/>
        </w:rPr>
        <w:t>to the already extended credit facilities</w:t>
      </w:r>
      <w:r w:rsidR="00DB0BE5" w:rsidRPr="00A3121A">
        <w:rPr>
          <w:rFonts w:ascii="Arial" w:hAnsi="Arial" w:cs="Arial"/>
          <w:sz w:val="24"/>
          <w:szCs w:val="24"/>
        </w:rPr>
        <w:t xml:space="preserve"> by an additional amount of </w:t>
      </w:r>
      <w:r w:rsidR="00880F84" w:rsidRPr="00A3121A">
        <w:rPr>
          <w:rFonts w:ascii="Arial" w:hAnsi="Arial" w:cs="Arial"/>
          <w:sz w:val="24"/>
          <w:szCs w:val="24"/>
        </w:rPr>
        <w:t xml:space="preserve">R370 567.55. </w:t>
      </w:r>
      <w:r w:rsidR="00925A7C" w:rsidRPr="00A3121A">
        <w:rPr>
          <w:rFonts w:ascii="Arial" w:hAnsi="Arial" w:cs="Arial"/>
          <w:sz w:val="24"/>
          <w:szCs w:val="24"/>
        </w:rPr>
        <w:t>For as long as the summer production facility remained outstanding, the thir</w:t>
      </w:r>
      <w:r w:rsidR="00B47A96" w:rsidRPr="00A3121A">
        <w:rPr>
          <w:rFonts w:ascii="Arial" w:hAnsi="Arial" w:cs="Arial"/>
          <w:sz w:val="24"/>
          <w:szCs w:val="24"/>
        </w:rPr>
        <w:t xml:space="preserve">d </w:t>
      </w:r>
      <w:r w:rsidR="00925A7C" w:rsidRPr="00A3121A">
        <w:rPr>
          <w:rFonts w:ascii="Arial" w:hAnsi="Arial" w:cs="Arial"/>
          <w:sz w:val="24"/>
          <w:szCs w:val="24"/>
        </w:rPr>
        <w:t>agreement were repayable within 3 years in eq</w:t>
      </w:r>
      <w:r w:rsidR="00DB0BE5" w:rsidRPr="00A3121A">
        <w:rPr>
          <w:rFonts w:ascii="Arial" w:hAnsi="Arial" w:cs="Arial"/>
          <w:sz w:val="24"/>
          <w:szCs w:val="24"/>
        </w:rPr>
        <w:t xml:space="preserve">ual </w:t>
      </w:r>
      <w:r w:rsidR="00880F84" w:rsidRPr="00A3121A">
        <w:rPr>
          <w:rFonts w:ascii="Arial" w:hAnsi="Arial" w:cs="Arial"/>
          <w:sz w:val="24"/>
          <w:szCs w:val="24"/>
        </w:rPr>
        <w:t xml:space="preserve">instalments. </w:t>
      </w:r>
      <w:r w:rsidR="00925A7C" w:rsidRPr="00A3121A">
        <w:rPr>
          <w:rFonts w:ascii="Arial" w:hAnsi="Arial" w:cs="Arial"/>
          <w:sz w:val="24"/>
          <w:szCs w:val="24"/>
        </w:rPr>
        <w:t>The previous security already p</w:t>
      </w:r>
      <w:r w:rsidR="00DB0BE5" w:rsidRPr="00A3121A">
        <w:rPr>
          <w:rFonts w:ascii="Arial" w:hAnsi="Arial" w:cs="Arial"/>
          <w:sz w:val="24"/>
          <w:szCs w:val="24"/>
        </w:rPr>
        <w:t>rovided being a general and</w:t>
      </w:r>
      <w:r w:rsidR="00880F84" w:rsidRPr="00A3121A">
        <w:rPr>
          <w:rFonts w:ascii="Arial" w:hAnsi="Arial" w:cs="Arial"/>
          <w:sz w:val="24"/>
          <w:szCs w:val="24"/>
        </w:rPr>
        <w:t xml:space="preserve"> notarial bond </w:t>
      </w:r>
      <w:r w:rsidR="00880F84" w:rsidRPr="00A3121A">
        <w:rPr>
          <w:rFonts w:ascii="Arial" w:hAnsi="Arial" w:cs="Arial"/>
          <w:sz w:val="24"/>
          <w:szCs w:val="24"/>
        </w:rPr>
        <w:tab/>
        <w:t xml:space="preserve">in </w:t>
      </w:r>
      <w:r w:rsidR="00925A7C" w:rsidRPr="00A3121A">
        <w:rPr>
          <w:rFonts w:ascii="Arial" w:hAnsi="Arial" w:cs="Arial"/>
          <w:sz w:val="24"/>
          <w:szCs w:val="24"/>
        </w:rPr>
        <w:t>the amount of R7</w:t>
      </w:r>
      <w:r w:rsidR="00DB0BE5" w:rsidRPr="00A3121A">
        <w:rPr>
          <w:rFonts w:ascii="Arial" w:hAnsi="Arial" w:cs="Arial"/>
          <w:sz w:val="24"/>
          <w:szCs w:val="24"/>
        </w:rPr>
        <w:t xml:space="preserve">50 000.00 and a general and </w:t>
      </w:r>
      <w:r w:rsidR="00925A7C" w:rsidRPr="00A3121A">
        <w:rPr>
          <w:rFonts w:ascii="Arial" w:hAnsi="Arial" w:cs="Arial"/>
          <w:sz w:val="24"/>
          <w:szCs w:val="24"/>
        </w:rPr>
        <w:t xml:space="preserve">special notarial </w:t>
      </w:r>
      <w:r w:rsidR="00EA3BAA">
        <w:rPr>
          <w:rFonts w:ascii="Arial" w:hAnsi="Arial" w:cs="Arial"/>
          <w:sz w:val="24"/>
          <w:szCs w:val="24"/>
        </w:rPr>
        <w:t>bond in amount of R1 000 000.00, were required.</w:t>
      </w:r>
    </w:p>
    <w:p w:rsidR="00E520C7" w:rsidRPr="00A3121A" w:rsidRDefault="00E520C7" w:rsidP="00A3121A">
      <w:pPr>
        <w:pStyle w:val="BodyText"/>
        <w:spacing w:line="360" w:lineRule="auto"/>
        <w:jc w:val="both"/>
        <w:rPr>
          <w:rFonts w:ascii="Arial" w:hAnsi="Arial" w:cs="Arial"/>
          <w:sz w:val="24"/>
          <w:szCs w:val="24"/>
        </w:rPr>
      </w:pPr>
    </w:p>
    <w:p w:rsidR="00925A7C" w:rsidRPr="00A3121A" w:rsidRDefault="00E520C7" w:rsidP="00A3121A">
      <w:pPr>
        <w:pStyle w:val="BodyText"/>
        <w:spacing w:line="360" w:lineRule="auto"/>
        <w:ind w:left="720" w:hanging="720"/>
        <w:jc w:val="both"/>
        <w:rPr>
          <w:rFonts w:ascii="Arial" w:hAnsi="Arial" w:cs="Arial"/>
          <w:sz w:val="24"/>
          <w:szCs w:val="24"/>
          <w:u w:val="single"/>
        </w:rPr>
      </w:pPr>
      <w:r w:rsidRPr="00A3121A">
        <w:rPr>
          <w:rFonts w:ascii="Arial" w:hAnsi="Arial" w:cs="Arial"/>
          <w:sz w:val="24"/>
          <w:szCs w:val="24"/>
        </w:rPr>
        <w:t>10.4</w:t>
      </w:r>
      <w:r w:rsidRPr="00A3121A">
        <w:rPr>
          <w:rFonts w:ascii="Arial" w:hAnsi="Arial" w:cs="Arial"/>
          <w:sz w:val="24"/>
          <w:szCs w:val="24"/>
        </w:rPr>
        <w:tab/>
      </w:r>
      <w:r w:rsidR="00925A7C" w:rsidRPr="00A3121A">
        <w:rPr>
          <w:rFonts w:ascii="Arial" w:hAnsi="Arial" w:cs="Arial"/>
          <w:sz w:val="24"/>
          <w:szCs w:val="24"/>
        </w:rPr>
        <w:t>The fourth agreement was a summer production credit agreement and term loan agreement entered into between the parties on or about 10 October 2016.</w:t>
      </w:r>
      <w:r w:rsidR="00880F84" w:rsidRPr="00A3121A">
        <w:rPr>
          <w:rFonts w:ascii="Arial" w:hAnsi="Arial" w:cs="Arial"/>
          <w:sz w:val="24"/>
          <w:szCs w:val="24"/>
        </w:rPr>
        <w:t xml:space="preserve"> It </w:t>
      </w:r>
      <w:r w:rsidR="00925A7C" w:rsidRPr="00A3121A">
        <w:rPr>
          <w:rFonts w:ascii="Arial" w:hAnsi="Arial" w:cs="Arial"/>
          <w:sz w:val="24"/>
          <w:szCs w:val="24"/>
        </w:rPr>
        <w:t xml:space="preserve">caused the reconciliation of previous credit agreements and facilities and </w:t>
      </w:r>
      <w:r w:rsidR="00925A7C" w:rsidRPr="00A3121A">
        <w:rPr>
          <w:rFonts w:ascii="Arial" w:hAnsi="Arial" w:cs="Arial"/>
          <w:sz w:val="24"/>
          <w:szCs w:val="24"/>
        </w:rPr>
        <w:lastRenderedPageBreak/>
        <w:t>extended further credit facilities to the a</w:t>
      </w:r>
      <w:r w:rsidR="00880F84" w:rsidRPr="00A3121A">
        <w:rPr>
          <w:rFonts w:ascii="Arial" w:hAnsi="Arial" w:cs="Arial"/>
          <w:sz w:val="24"/>
          <w:szCs w:val="24"/>
        </w:rPr>
        <w:t xml:space="preserve">mount of R3 255 591.00. </w:t>
      </w:r>
      <w:r w:rsidR="00925A7C" w:rsidRPr="00A3121A">
        <w:rPr>
          <w:rFonts w:ascii="Arial" w:hAnsi="Arial" w:cs="Arial"/>
          <w:sz w:val="24"/>
          <w:szCs w:val="24"/>
        </w:rPr>
        <w:t xml:space="preserve">The agreement was for a credit facility made available to the first respondent totaling R3 255 591.00 fully repayable on or before 31 </w:t>
      </w:r>
      <w:r w:rsidR="00B47A96" w:rsidRPr="00A3121A">
        <w:rPr>
          <w:rFonts w:ascii="Arial" w:hAnsi="Arial" w:cs="Arial"/>
          <w:sz w:val="24"/>
          <w:szCs w:val="24"/>
        </w:rPr>
        <w:t xml:space="preserve">August </w:t>
      </w:r>
      <w:r w:rsidR="00880F84" w:rsidRPr="00A3121A">
        <w:rPr>
          <w:rFonts w:ascii="Arial" w:hAnsi="Arial" w:cs="Arial"/>
          <w:sz w:val="24"/>
          <w:szCs w:val="24"/>
        </w:rPr>
        <w:t>2017.</w:t>
      </w:r>
      <w:r w:rsidR="00EA3BAA">
        <w:rPr>
          <w:rFonts w:ascii="Arial" w:hAnsi="Arial" w:cs="Arial"/>
          <w:sz w:val="24"/>
          <w:szCs w:val="24"/>
        </w:rPr>
        <w:t xml:space="preserve"> Security entailed t</w:t>
      </w:r>
      <w:r w:rsidR="00925A7C" w:rsidRPr="00A3121A">
        <w:rPr>
          <w:rFonts w:ascii="Arial" w:hAnsi="Arial" w:cs="Arial"/>
          <w:sz w:val="24"/>
          <w:szCs w:val="24"/>
        </w:rPr>
        <w:t xml:space="preserve">he previous securities already </w:t>
      </w:r>
      <w:r w:rsidR="00B47A96" w:rsidRPr="00A3121A">
        <w:rPr>
          <w:rFonts w:ascii="Arial" w:hAnsi="Arial" w:cs="Arial"/>
          <w:sz w:val="24"/>
          <w:szCs w:val="24"/>
        </w:rPr>
        <w:t xml:space="preserve">provided and the additional </w:t>
      </w:r>
      <w:r w:rsidR="00925A7C" w:rsidRPr="00A3121A">
        <w:rPr>
          <w:rFonts w:ascii="Arial" w:hAnsi="Arial" w:cs="Arial"/>
          <w:sz w:val="24"/>
          <w:szCs w:val="24"/>
        </w:rPr>
        <w:t>security of a notarial bond in the amount of R580</w:t>
      </w:r>
      <w:r w:rsidR="000971F6">
        <w:rPr>
          <w:rFonts w:ascii="Arial" w:hAnsi="Arial" w:cs="Arial"/>
          <w:sz w:val="24"/>
          <w:szCs w:val="24"/>
        </w:rPr>
        <w:t xml:space="preserve"> </w:t>
      </w:r>
      <w:r w:rsidR="00925A7C" w:rsidRPr="00A3121A">
        <w:rPr>
          <w:rFonts w:ascii="Arial" w:hAnsi="Arial" w:cs="Arial"/>
          <w:sz w:val="24"/>
          <w:szCs w:val="24"/>
        </w:rPr>
        <w:t xml:space="preserve">000.00 over </w:t>
      </w:r>
      <w:r w:rsidR="00EA3BAA">
        <w:rPr>
          <w:rFonts w:ascii="Arial" w:hAnsi="Arial" w:cs="Arial"/>
          <w:sz w:val="24"/>
          <w:szCs w:val="24"/>
        </w:rPr>
        <w:t xml:space="preserve">a </w:t>
      </w:r>
      <w:r w:rsidR="00925A7C" w:rsidRPr="00A3121A">
        <w:rPr>
          <w:rFonts w:ascii="Arial" w:hAnsi="Arial" w:cs="Arial"/>
          <w:sz w:val="24"/>
          <w:szCs w:val="24"/>
        </w:rPr>
        <w:t>MC Cormick 135 (2012) tractor</w:t>
      </w:r>
      <w:r w:rsidR="00EA3BAA">
        <w:rPr>
          <w:rFonts w:ascii="Arial" w:hAnsi="Arial" w:cs="Arial"/>
          <w:sz w:val="24"/>
          <w:szCs w:val="24"/>
        </w:rPr>
        <w:t>,</w:t>
      </w:r>
      <w:r w:rsidR="00925A7C" w:rsidRPr="00A3121A">
        <w:rPr>
          <w:rFonts w:ascii="Arial" w:hAnsi="Arial" w:cs="Arial"/>
          <w:sz w:val="24"/>
          <w:szCs w:val="24"/>
        </w:rPr>
        <w:t xml:space="preserve"> and a notarial bond in </w:t>
      </w:r>
      <w:r w:rsidR="00880F84" w:rsidRPr="00A3121A">
        <w:rPr>
          <w:rFonts w:ascii="Arial" w:hAnsi="Arial" w:cs="Arial"/>
          <w:sz w:val="24"/>
          <w:szCs w:val="24"/>
        </w:rPr>
        <w:t xml:space="preserve">the amount of </w:t>
      </w:r>
      <w:r w:rsidR="00925A7C" w:rsidRPr="00A3121A">
        <w:rPr>
          <w:rFonts w:ascii="Arial" w:hAnsi="Arial" w:cs="Arial"/>
          <w:sz w:val="24"/>
          <w:szCs w:val="24"/>
        </w:rPr>
        <w:t>R5</w:t>
      </w:r>
      <w:r w:rsidR="00880F84" w:rsidRPr="00A3121A">
        <w:rPr>
          <w:rFonts w:ascii="Arial" w:hAnsi="Arial" w:cs="Arial"/>
          <w:sz w:val="24"/>
          <w:szCs w:val="24"/>
        </w:rPr>
        <w:t xml:space="preserve">50 000.00 over a JD1750 planter. </w:t>
      </w:r>
      <w:r w:rsidR="00925A7C" w:rsidRPr="00A3121A">
        <w:rPr>
          <w:rFonts w:ascii="Arial" w:hAnsi="Arial" w:cs="Arial"/>
          <w:sz w:val="24"/>
          <w:szCs w:val="24"/>
        </w:rPr>
        <w:t>The gener</w:t>
      </w:r>
      <w:r w:rsidR="00EA3BAA">
        <w:rPr>
          <w:rFonts w:ascii="Arial" w:hAnsi="Arial" w:cs="Arial"/>
          <w:sz w:val="24"/>
          <w:szCs w:val="24"/>
        </w:rPr>
        <w:t xml:space="preserve">al and special notarial bond </w:t>
      </w:r>
      <w:r w:rsidR="00925A7C" w:rsidRPr="00A3121A">
        <w:rPr>
          <w:rFonts w:ascii="Arial" w:hAnsi="Arial" w:cs="Arial"/>
          <w:sz w:val="24"/>
          <w:szCs w:val="24"/>
        </w:rPr>
        <w:t>for an amount of R1</w:t>
      </w:r>
      <w:r w:rsidR="007D1E9A">
        <w:rPr>
          <w:rFonts w:ascii="Arial" w:hAnsi="Arial" w:cs="Arial"/>
          <w:sz w:val="24"/>
          <w:szCs w:val="24"/>
        </w:rPr>
        <w:t xml:space="preserve"> </w:t>
      </w:r>
      <w:r w:rsidR="00925A7C" w:rsidRPr="00A3121A">
        <w:rPr>
          <w:rFonts w:ascii="Arial" w:hAnsi="Arial" w:cs="Arial"/>
          <w:sz w:val="24"/>
          <w:szCs w:val="24"/>
        </w:rPr>
        <w:t xml:space="preserve">130 000.00 and an additional </w:t>
      </w:r>
      <w:r w:rsidR="00EA3BAA">
        <w:rPr>
          <w:rFonts w:ascii="Arial" w:hAnsi="Arial" w:cs="Arial"/>
          <w:sz w:val="24"/>
          <w:szCs w:val="24"/>
        </w:rPr>
        <w:t>amount of R226 000.00 was duly registered.</w:t>
      </w:r>
      <w:r w:rsidR="00925A7C" w:rsidRPr="00A3121A">
        <w:rPr>
          <w:rFonts w:ascii="Arial" w:hAnsi="Arial" w:cs="Arial"/>
          <w:sz w:val="24"/>
          <w:szCs w:val="24"/>
        </w:rPr>
        <w:t xml:space="preserve"> </w:t>
      </w:r>
    </w:p>
    <w:p w:rsidR="00925A7C" w:rsidRPr="00A3121A" w:rsidRDefault="00925A7C" w:rsidP="00A3121A">
      <w:pPr>
        <w:pStyle w:val="BodyText"/>
        <w:spacing w:line="360" w:lineRule="auto"/>
        <w:jc w:val="both"/>
        <w:rPr>
          <w:rFonts w:ascii="Arial" w:hAnsi="Arial" w:cs="Arial"/>
          <w:sz w:val="24"/>
          <w:szCs w:val="24"/>
        </w:rPr>
      </w:pPr>
    </w:p>
    <w:p w:rsidR="00925A7C" w:rsidRDefault="00E520C7" w:rsidP="00AE13AA">
      <w:pPr>
        <w:pStyle w:val="BodyText"/>
        <w:spacing w:line="360" w:lineRule="auto"/>
        <w:ind w:left="720" w:hanging="720"/>
        <w:jc w:val="both"/>
        <w:rPr>
          <w:rFonts w:ascii="Arial" w:hAnsi="Arial" w:cs="Arial"/>
          <w:sz w:val="24"/>
          <w:szCs w:val="24"/>
        </w:rPr>
      </w:pPr>
      <w:r w:rsidRPr="00A3121A">
        <w:rPr>
          <w:rFonts w:ascii="Arial" w:hAnsi="Arial" w:cs="Arial"/>
          <w:sz w:val="24"/>
          <w:szCs w:val="24"/>
        </w:rPr>
        <w:t>10.5</w:t>
      </w:r>
      <w:r w:rsidRPr="00A3121A">
        <w:rPr>
          <w:rFonts w:ascii="Arial" w:hAnsi="Arial" w:cs="Arial"/>
          <w:sz w:val="24"/>
          <w:szCs w:val="24"/>
        </w:rPr>
        <w:tab/>
      </w:r>
      <w:r w:rsidR="00925A7C" w:rsidRPr="00A3121A">
        <w:rPr>
          <w:rFonts w:ascii="Arial" w:hAnsi="Arial" w:cs="Arial"/>
          <w:sz w:val="24"/>
          <w:szCs w:val="24"/>
        </w:rPr>
        <w:t xml:space="preserve">The fifth agreement </w:t>
      </w:r>
      <w:r w:rsidR="00AE13AA">
        <w:rPr>
          <w:rFonts w:ascii="Arial" w:hAnsi="Arial" w:cs="Arial"/>
          <w:sz w:val="24"/>
          <w:szCs w:val="24"/>
        </w:rPr>
        <w:t>(annexed to the founding affidavit as annexure “DB20”</w:t>
      </w:r>
      <w:r w:rsidR="00EA3BAA">
        <w:rPr>
          <w:rFonts w:ascii="Arial" w:hAnsi="Arial" w:cs="Arial"/>
          <w:sz w:val="24"/>
          <w:szCs w:val="24"/>
        </w:rPr>
        <w:t xml:space="preserve">) </w:t>
      </w:r>
      <w:r w:rsidR="00925A7C" w:rsidRPr="00A3121A">
        <w:rPr>
          <w:rFonts w:ascii="Arial" w:hAnsi="Arial" w:cs="Arial"/>
          <w:sz w:val="24"/>
          <w:szCs w:val="24"/>
        </w:rPr>
        <w:t>was a summer producti</w:t>
      </w:r>
      <w:r w:rsidRPr="00A3121A">
        <w:rPr>
          <w:rFonts w:ascii="Arial" w:hAnsi="Arial" w:cs="Arial"/>
          <w:sz w:val="24"/>
          <w:szCs w:val="24"/>
        </w:rPr>
        <w:t xml:space="preserve">on credit agreement </w:t>
      </w:r>
      <w:r w:rsidR="00B47A96" w:rsidRPr="00A3121A">
        <w:rPr>
          <w:rFonts w:ascii="Arial" w:hAnsi="Arial" w:cs="Arial"/>
          <w:sz w:val="24"/>
          <w:szCs w:val="24"/>
        </w:rPr>
        <w:t xml:space="preserve">and term </w:t>
      </w:r>
      <w:r w:rsidR="00925A7C" w:rsidRPr="00A3121A">
        <w:rPr>
          <w:rFonts w:ascii="Arial" w:hAnsi="Arial" w:cs="Arial"/>
          <w:sz w:val="24"/>
          <w:szCs w:val="24"/>
        </w:rPr>
        <w:t>loan agreement entered into between</w:t>
      </w:r>
      <w:r w:rsidR="000338FC" w:rsidRPr="00A3121A">
        <w:rPr>
          <w:rFonts w:ascii="Arial" w:hAnsi="Arial" w:cs="Arial"/>
          <w:sz w:val="24"/>
          <w:szCs w:val="24"/>
        </w:rPr>
        <w:t xml:space="preserve"> the parties on 15 </w:t>
      </w:r>
      <w:r w:rsidR="00B47A96" w:rsidRPr="00A3121A">
        <w:rPr>
          <w:rFonts w:ascii="Arial" w:hAnsi="Arial" w:cs="Arial"/>
          <w:sz w:val="24"/>
          <w:szCs w:val="24"/>
        </w:rPr>
        <w:t xml:space="preserve">February </w:t>
      </w:r>
      <w:r w:rsidR="00925A7C" w:rsidRPr="00A3121A">
        <w:rPr>
          <w:rFonts w:ascii="Arial" w:hAnsi="Arial" w:cs="Arial"/>
          <w:sz w:val="24"/>
          <w:szCs w:val="24"/>
        </w:rPr>
        <w:t>2018</w:t>
      </w:r>
      <w:r w:rsidR="00AE13AA">
        <w:rPr>
          <w:rFonts w:ascii="Arial" w:hAnsi="Arial" w:cs="Arial"/>
          <w:sz w:val="24"/>
          <w:szCs w:val="24"/>
        </w:rPr>
        <w:t xml:space="preserve">. </w:t>
      </w:r>
      <w:r w:rsidR="00925A7C" w:rsidRPr="00A3121A">
        <w:rPr>
          <w:rFonts w:ascii="Arial" w:hAnsi="Arial" w:cs="Arial"/>
          <w:sz w:val="24"/>
          <w:szCs w:val="24"/>
        </w:rPr>
        <w:t xml:space="preserve">The fifth agreement caused the </w:t>
      </w:r>
      <w:r w:rsidR="00925A7C" w:rsidRPr="00AE13AA">
        <w:rPr>
          <w:rFonts w:ascii="Arial" w:hAnsi="Arial" w:cs="Arial"/>
          <w:sz w:val="24"/>
          <w:szCs w:val="24"/>
        </w:rPr>
        <w:t>reconc</w:t>
      </w:r>
      <w:r w:rsidR="000338FC" w:rsidRPr="00AE13AA">
        <w:rPr>
          <w:rFonts w:ascii="Arial" w:hAnsi="Arial" w:cs="Arial"/>
          <w:sz w:val="24"/>
          <w:szCs w:val="24"/>
        </w:rPr>
        <w:t xml:space="preserve">iliation of previous credit </w:t>
      </w:r>
      <w:r w:rsidR="00925A7C" w:rsidRPr="00AE13AA">
        <w:rPr>
          <w:rFonts w:ascii="Arial" w:hAnsi="Arial" w:cs="Arial"/>
          <w:sz w:val="24"/>
          <w:szCs w:val="24"/>
        </w:rPr>
        <w:t>agreements and facilities and extended f</w:t>
      </w:r>
      <w:r w:rsidR="000338FC" w:rsidRPr="00AE13AA">
        <w:rPr>
          <w:rFonts w:ascii="Arial" w:hAnsi="Arial" w:cs="Arial"/>
          <w:sz w:val="24"/>
          <w:szCs w:val="24"/>
        </w:rPr>
        <w:t xml:space="preserve">urther credit facilities to </w:t>
      </w:r>
      <w:r w:rsidR="00880F84" w:rsidRPr="00AE13AA">
        <w:rPr>
          <w:rFonts w:ascii="Arial" w:hAnsi="Arial" w:cs="Arial"/>
          <w:sz w:val="24"/>
          <w:szCs w:val="24"/>
        </w:rPr>
        <w:t>the amount of R2 084 188.34.</w:t>
      </w:r>
      <w:r w:rsidR="00AE13AA">
        <w:rPr>
          <w:rFonts w:ascii="Arial" w:hAnsi="Arial" w:cs="Arial"/>
          <w:sz w:val="24"/>
          <w:szCs w:val="24"/>
        </w:rPr>
        <w:t xml:space="preserve"> </w:t>
      </w:r>
      <w:r w:rsidR="00925A7C" w:rsidRPr="00A3121A">
        <w:rPr>
          <w:rFonts w:ascii="Arial" w:hAnsi="Arial" w:cs="Arial"/>
          <w:sz w:val="24"/>
          <w:szCs w:val="24"/>
        </w:rPr>
        <w:t>A quotation was incorporated into the</w:t>
      </w:r>
      <w:r w:rsidR="000338FC" w:rsidRPr="00A3121A">
        <w:rPr>
          <w:rFonts w:ascii="Arial" w:hAnsi="Arial" w:cs="Arial"/>
          <w:sz w:val="24"/>
          <w:szCs w:val="24"/>
        </w:rPr>
        <w:t xml:space="preserve"> said agreement in terms of </w:t>
      </w:r>
      <w:r w:rsidR="00925A7C" w:rsidRPr="00A3121A">
        <w:rPr>
          <w:rFonts w:ascii="Arial" w:hAnsi="Arial" w:cs="Arial"/>
          <w:sz w:val="24"/>
          <w:szCs w:val="24"/>
        </w:rPr>
        <w:t>which the calculation of the amou</w:t>
      </w:r>
      <w:r w:rsidR="000338FC" w:rsidRPr="00A3121A">
        <w:rPr>
          <w:rFonts w:ascii="Arial" w:hAnsi="Arial" w:cs="Arial"/>
          <w:sz w:val="24"/>
          <w:szCs w:val="24"/>
        </w:rPr>
        <w:t xml:space="preserve">nt of the loan advanced and </w:t>
      </w:r>
      <w:r w:rsidR="00925A7C" w:rsidRPr="00A3121A">
        <w:rPr>
          <w:rFonts w:ascii="Arial" w:hAnsi="Arial" w:cs="Arial"/>
          <w:sz w:val="24"/>
          <w:szCs w:val="24"/>
        </w:rPr>
        <w:t>financing costs occurred over the</w:t>
      </w:r>
      <w:r w:rsidRPr="00A3121A">
        <w:rPr>
          <w:rFonts w:ascii="Arial" w:hAnsi="Arial" w:cs="Arial"/>
          <w:sz w:val="24"/>
          <w:szCs w:val="24"/>
        </w:rPr>
        <w:t xml:space="preserve"> term of the agreem</w:t>
      </w:r>
      <w:r w:rsidR="000338FC" w:rsidRPr="00A3121A">
        <w:rPr>
          <w:rFonts w:ascii="Arial" w:hAnsi="Arial" w:cs="Arial"/>
          <w:sz w:val="24"/>
          <w:szCs w:val="24"/>
        </w:rPr>
        <w:t xml:space="preserve">ent were </w:t>
      </w:r>
      <w:r w:rsidR="00880F84" w:rsidRPr="00A3121A">
        <w:rPr>
          <w:rFonts w:ascii="Arial" w:hAnsi="Arial" w:cs="Arial"/>
          <w:sz w:val="24"/>
          <w:szCs w:val="24"/>
        </w:rPr>
        <w:t xml:space="preserve">set. </w:t>
      </w:r>
      <w:r w:rsidR="00925A7C" w:rsidRPr="00A3121A">
        <w:rPr>
          <w:rFonts w:ascii="Arial" w:hAnsi="Arial" w:cs="Arial"/>
          <w:sz w:val="24"/>
          <w:szCs w:val="24"/>
        </w:rPr>
        <w:t xml:space="preserve">The agreement was for a credit facility </w:t>
      </w:r>
      <w:r w:rsidR="000338FC" w:rsidRPr="00A3121A">
        <w:rPr>
          <w:rFonts w:ascii="Arial" w:hAnsi="Arial" w:cs="Arial"/>
          <w:sz w:val="24"/>
          <w:szCs w:val="24"/>
        </w:rPr>
        <w:t xml:space="preserve">made available to the first </w:t>
      </w:r>
      <w:r w:rsidR="00925A7C" w:rsidRPr="00A3121A">
        <w:rPr>
          <w:rFonts w:ascii="Arial" w:hAnsi="Arial" w:cs="Arial"/>
          <w:sz w:val="24"/>
          <w:szCs w:val="24"/>
        </w:rPr>
        <w:t>respondent totaling the amount of R2</w:t>
      </w:r>
      <w:r w:rsidR="000338FC" w:rsidRPr="00A3121A">
        <w:rPr>
          <w:rFonts w:ascii="Arial" w:hAnsi="Arial" w:cs="Arial"/>
          <w:sz w:val="24"/>
          <w:szCs w:val="24"/>
        </w:rPr>
        <w:t xml:space="preserve"> 084 188.34, fully repayable </w:t>
      </w:r>
      <w:r w:rsidR="00880F84" w:rsidRPr="00A3121A">
        <w:rPr>
          <w:rFonts w:ascii="Arial" w:hAnsi="Arial" w:cs="Arial"/>
          <w:sz w:val="24"/>
          <w:szCs w:val="24"/>
        </w:rPr>
        <w:t xml:space="preserve">on or before 31 August 2018. As security the </w:t>
      </w:r>
      <w:r w:rsidR="00925A7C" w:rsidRPr="00A3121A">
        <w:rPr>
          <w:rFonts w:ascii="Arial" w:hAnsi="Arial" w:cs="Arial"/>
          <w:sz w:val="24"/>
          <w:szCs w:val="24"/>
        </w:rPr>
        <w:t xml:space="preserve">previous securities </w:t>
      </w:r>
      <w:r w:rsidR="000338FC" w:rsidRPr="00A3121A">
        <w:rPr>
          <w:rFonts w:ascii="Arial" w:hAnsi="Arial" w:cs="Arial"/>
          <w:sz w:val="24"/>
          <w:szCs w:val="24"/>
        </w:rPr>
        <w:t xml:space="preserve">already provided and the </w:t>
      </w:r>
      <w:r w:rsidR="00925A7C" w:rsidRPr="00A3121A">
        <w:rPr>
          <w:rFonts w:ascii="Arial" w:hAnsi="Arial" w:cs="Arial"/>
          <w:sz w:val="24"/>
          <w:szCs w:val="24"/>
        </w:rPr>
        <w:t xml:space="preserve">additional </w:t>
      </w:r>
      <w:r w:rsidR="000338FC" w:rsidRPr="00A3121A">
        <w:rPr>
          <w:rFonts w:ascii="Arial" w:hAnsi="Arial" w:cs="Arial"/>
          <w:sz w:val="24"/>
          <w:szCs w:val="24"/>
        </w:rPr>
        <w:t>security</w:t>
      </w:r>
      <w:r w:rsidR="00925A7C" w:rsidRPr="00A3121A">
        <w:rPr>
          <w:rFonts w:ascii="Arial" w:hAnsi="Arial" w:cs="Arial"/>
          <w:sz w:val="24"/>
          <w:szCs w:val="24"/>
        </w:rPr>
        <w:t xml:space="preserve"> of a notarial bond. </w:t>
      </w:r>
    </w:p>
    <w:p w:rsidR="006A4AEB" w:rsidRDefault="006A4AEB" w:rsidP="00AE13AA">
      <w:pPr>
        <w:pStyle w:val="BodyText"/>
        <w:spacing w:line="360" w:lineRule="auto"/>
        <w:ind w:left="720" w:hanging="720"/>
        <w:jc w:val="both"/>
        <w:rPr>
          <w:rFonts w:ascii="Arial" w:hAnsi="Arial" w:cs="Arial"/>
          <w:sz w:val="24"/>
          <w:szCs w:val="24"/>
        </w:rPr>
      </w:pPr>
    </w:p>
    <w:p w:rsidR="006A4AEB" w:rsidRPr="00A3121A" w:rsidRDefault="006A4AEB" w:rsidP="00AE13AA">
      <w:pPr>
        <w:pStyle w:val="BodyText"/>
        <w:spacing w:line="360" w:lineRule="auto"/>
        <w:ind w:left="720" w:hanging="720"/>
        <w:jc w:val="both"/>
        <w:rPr>
          <w:rFonts w:ascii="Arial" w:hAnsi="Arial" w:cs="Arial"/>
          <w:sz w:val="24"/>
          <w:szCs w:val="24"/>
        </w:rPr>
      </w:pPr>
      <w:r>
        <w:rPr>
          <w:rFonts w:ascii="Arial" w:hAnsi="Arial" w:cs="Arial"/>
          <w:sz w:val="24"/>
          <w:szCs w:val="24"/>
        </w:rPr>
        <w:t xml:space="preserve">10.6 </w:t>
      </w:r>
      <w:r>
        <w:rPr>
          <w:rFonts w:ascii="Arial" w:hAnsi="Arial" w:cs="Arial"/>
          <w:sz w:val="24"/>
          <w:szCs w:val="24"/>
        </w:rPr>
        <w:tab/>
        <w:t>It is common cause that t</w:t>
      </w:r>
      <w:r w:rsidRPr="00A3121A">
        <w:rPr>
          <w:rFonts w:ascii="Arial" w:hAnsi="Arial" w:cs="Arial"/>
          <w:sz w:val="24"/>
          <w:szCs w:val="24"/>
        </w:rPr>
        <w:t xml:space="preserve">he second respondent bound himself as surety and co-principal debtor, jointly and severally with the first respondent, </w:t>
      </w:r>
      <w:r w:rsidRPr="00A3121A">
        <w:rPr>
          <w:rFonts w:ascii="Arial" w:hAnsi="Arial" w:cs="Arial"/>
          <w:i/>
          <w:sz w:val="24"/>
          <w:szCs w:val="24"/>
        </w:rPr>
        <w:t>in solidum</w:t>
      </w:r>
      <w:r w:rsidRPr="00A3121A">
        <w:rPr>
          <w:rFonts w:ascii="Arial" w:hAnsi="Arial" w:cs="Arial"/>
          <w:sz w:val="24"/>
          <w:szCs w:val="24"/>
        </w:rPr>
        <w:t xml:space="preserve"> for the due performance by the first respondent of its obligations under the agreement, to the third applicant.</w:t>
      </w:r>
    </w:p>
    <w:p w:rsidR="00925A7C" w:rsidRPr="00A3121A" w:rsidRDefault="00925A7C" w:rsidP="00AE13AA">
      <w:pPr>
        <w:pStyle w:val="BodyText"/>
        <w:spacing w:line="360" w:lineRule="auto"/>
        <w:jc w:val="both"/>
        <w:rPr>
          <w:rFonts w:ascii="Arial" w:hAnsi="Arial" w:cs="Arial"/>
          <w:sz w:val="24"/>
          <w:szCs w:val="24"/>
        </w:rPr>
      </w:pPr>
    </w:p>
    <w:p w:rsidR="007309E4" w:rsidRDefault="00C50B61" w:rsidP="006A4AEB">
      <w:pPr>
        <w:spacing w:after="0" w:line="360" w:lineRule="auto"/>
        <w:ind w:left="851" w:hanging="851"/>
        <w:jc w:val="both"/>
        <w:rPr>
          <w:rFonts w:ascii="Arial" w:hAnsi="Arial" w:cs="Arial"/>
          <w:sz w:val="24"/>
          <w:szCs w:val="24"/>
        </w:rPr>
      </w:pPr>
      <w:r w:rsidRPr="00A3121A">
        <w:rPr>
          <w:rFonts w:ascii="Arial" w:hAnsi="Arial" w:cs="Arial"/>
          <w:sz w:val="24"/>
          <w:szCs w:val="24"/>
        </w:rPr>
        <w:t xml:space="preserve">   </w:t>
      </w:r>
      <w:r w:rsidR="00A504EB">
        <w:rPr>
          <w:rFonts w:ascii="Arial" w:hAnsi="Arial" w:cs="Arial"/>
          <w:sz w:val="24"/>
          <w:szCs w:val="24"/>
        </w:rPr>
        <w:t>[11]</w:t>
      </w:r>
      <w:r w:rsidR="00A504EB">
        <w:rPr>
          <w:rFonts w:ascii="Arial" w:hAnsi="Arial" w:cs="Arial"/>
          <w:sz w:val="24"/>
          <w:szCs w:val="24"/>
        </w:rPr>
        <w:tab/>
        <w:t>Relying ostensibly on clause 16.4 of the fifth agreement a certificate of balance was issued by the liquidators on 8 November 2022.</w:t>
      </w:r>
      <w:r w:rsidR="00FB0C08">
        <w:rPr>
          <w:rFonts w:ascii="Arial" w:hAnsi="Arial" w:cs="Arial"/>
          <w:sz w:val="24"/>
          <w:szCs w:val="24"/>
        </w:rPr>
        <w:t xml:space="preserve"> In terms thereof </w:t>
      </w:r>
      <w:r w:rsidR="00BA2860">
        <w:rPr>
          <w:rFonts w:ascii="Arial" w:hAnsi="Arial" w:cs="Arial"/>
          <w:sz w:val="24"/>
          <w:szCs w:val="24"/>
        </w:rPr>
        <w:t xml:space="preserve">they say that they have </w:t>
      </w:r>
      <w:r w:rsidR="00FB0C08">
        <w:rPr>
          <w:rFonts w:ascii="Arial" w:hAnsi="Arial" w:cs="Arial"/>
          <w:sz w:val="24"/>
          <w:szCs w:val="24"/>
        </w:rPr>
        <w:t>personal knowledge of the amount of debt and the outstanding balance on 27</w:t>
      </w:r>
      <w:r w:rsidR="00BA2860">
        <w:rPr>
          <w:rFonts w:ascii="Arial" w:hAnsi="Arial" w:cs="Arial"/>
          <w:sz w:val="24"/>
          <w:szCs w:val="24"/>
        </w:rPr>
        <w:t xml:space="preserve"> October 2021 to be R 2 717 854.</w:t>
      </w:r>
      <w:r w:rsidR="00FB0C08">
        <w:rPr>
          <w:rFonts w:ascii="Arial" w:hAnsi="Arial" w:cs="Arial"/>
          <w:sz w:val="24"/>
          <w:szCs w:val="24"/>
        </w:rPr>
        <w:t>90.</w:t>
      </w:r>
      <w:r w:rsidR="007309E4" w:rsidRPr="007309E4">
        <w:rPr>
          <w:rFonts w:ascii="Arial" w:hAnsi="Arial" w:cs="Arial"/>
          <w:sz w:val="24"/>
          <w:szCs w:val="24"/>
        </w:rPr>
        <w:tab/>
      </w:r>
    </w:p>
    <w:p w:rsidR="00FB0C08" w:rsidRDefault="00FB0C08" w:rsidP="00FB0C08">
      <w:pPr>
        <w:pStyle w:val="BodyText"/>
        <w:spacing w:line="360" w:lineRule="auto"/>
        <w:ind w:left="720" w:hanging="720"/>
        <w:jc w:val="both"/>
        <w:rPr>
          <w:rFonts w:ascii="Arial" w:hAnsi="Arial" w:cs="Arial"/>
          <w:sz w:val="24"/>
          <w:szCs w:val="24"/>
        </w:rPr>
      </w:pPr>
    </w:p>
    <w:p w:rsidR="008168A1" w:rsidRDefault="00FB0C08" w:rsidP="00FB0C08">
      <w:pPr>
        <w:pStyle w:val="BodyText"/>
        <w:spacing w:line="360" w:lineRule="auto"/>
        <w:ind w:left="720" w:hanging="720"/>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The respondents served a notice in terms of </w:t>
      </w:r>
      <w:r w:rsidR="00AE31AC">
        <w:rPr>
          <w:rFonts w:ascii="Arial" w:hAnsi="Arial" w:cs="Arial"/>
          <w:sz w:val="24"/>
          <w:szCs w:val="24"/>
        </w:rPr>
        <w:t>U</w:t>
      </w:r>
      <w:r w:rsidR="00C3616E">
        <w:rPr>
          <w:rFonts w:ascii="Arial" w:hAnsi="Arial" w:cs="Arial"/>
          <w:sz w:val="24"/>
          <w:szCs w:val="24"/>
        </w:rPr>
        <w:t xml:space="preserve">niform </w:t>
      </w:r>
      <w:r>
        <w:rPr>
          <w:rFonts w:ascii="Arial" w:hAnsi="Arial" w:cs="Arial"/>
          <w:sz w:val="24"/>
          <w:szCs w:val="24"/>
        </w:rPr>
        <w:t xml:space="preserve">Rule 35(12) on the liquidators. It is the same liquidators who attested to the certificate of balance on 8 November 2022. </w:t>
      </w:r>
      <w:r w:rsidR="002D5081">
        <w:rPr>
          <w:rFonts w:ascii="Arial" w:hAnsi="Arial" w:cs="Arial"/>
          <w:sz w:val="24"/>
          <w:szCs w:val="24"/>
        </w:rPr>
        <w:t xml:space="preserve">In the </w:t>
      </w:r>
      <w:r w:rsidR="008168A1">
        <w:rPr>
          <w:rFonts w:ascii="Arial" w:hAnsi="Arial" w:cs="Arial"/>
          <w:sz w:val="24"/>
          <w:szCs w:val="24"/>
        </w:rPr>
        <w:t xml:space="preserve">Rule </w:t>
      </w:r>
      <w:r w:rsidR="002D5081">
        <w:rPr>
          <w:rFonts w:ascii="Arial" w:hAnsi="Arial" w:cs="Arial"/>
          <w:sz w:val="24"/>
          <w:szCs w:val="24"/>
        </w:rPr>
        <w:t>35(12) notice</w:t>
      </w:r>
      <w:r w:rsidR="00C3616E">
        <w:rPr>
          <w:rFonts w:ascii="Arial" w:hAnsi="Arial" w:cs="Arial"/>
          <w:sz w:val="24"/>
          <w:szCs w:val="24"/>
        </w:rPr>
        <w:t>,</w:t>
      </w:r>
      <w:r w:rsidR="00B07844">
        <w:rPr>
          <w:rFonts w:ascii="Arial" w:hAnsi="Arial" w:cs="Arial"/>
          <w:sz w:val="24"/>
          <w:szCs w:val="24"/>
        </w:rPr>
        <w:t xml:space="preserve"> </w:t>
      </w:r>
      <w:r w:rsidR="008168A1">
        <w:rPr>
          <w:rFonts w:ascii="Arial" w:hAnsi="Arial" w:cs="Arial"/>
          <w:sz w:val="24"/>
          <w:szCs w:val="24"/>
        </w:rPr>
        <w:t>served on 29 M</w:t>
      </w:r>
      <w:r w:rsidR="004452C8">
        <w:rPr>
          <w:rFonts w:ascii="Arial" w:hAnsi="Arial" w:cs="Arial"/>
          <w:sz w:val="24"/>
          <w:szCs w:val="24"/>
        </w:rPr>
        <w:t>arch 2023</w:t>
      </w:r>
      <w:r w:rsidR="00C3616E">
        <w:rPr>
          <w:rFonts w:ascii="Arial" w:hAnsi="Arial" w:cs="Arial"/>
          <w:sz w:val="24"/>
          <w:szCs w:val="24"/>
        </w:rPr>
        <w:t>,</w:t>
      </w:r>
      <w:r w:rsidR="004452C8">
        <w:rPr>
          <w:rFonts w:ascii="Arial" w:hAnsi="Arial" w:cs="Arial"/>
          <w:sz w:val="24"/>
          <w:szCs w:val="24"/>
        </w:rPr>
        <w:t xml:space="preserve"> the respondents requested copies of all statements of account held with Agri-C</w:t>
      </w:r>
      <w:r w:rsidR="00C42BA8">
        <w:rPr>
          <w:rFonts w:ascii="Arial" w:hAnsi="Arial" w:cs="Arial"/>
          <w:sz w:val="24"/>
          <w:szCs w:val="24"/>
        </w:rPr>
        <w:t xml:space="preserve">om for the </w:t>
      </w:r>
      <w:r w:rsidR="004452C8">
        <w:rPr>
          <w:rFonts w:ascii="Arial" w:hAnsi="Arial" w:cs="Arial"/>
          <w:sz w:val="24"/>
          <w:szCs w:val="24"/>
        </w:rPr>
        <w:t>duration of the contractual relat</w:t>
      </w:r>
      <w:r w:rsidR="00C3616E">
        <w:rPr>
          <w:rFonts w:ascii="Arial" w:hAnsi="Arial" w:cs="Arial"/>
          <w:sz w:val="24"/>
          <w:szCs w:val="24"/>
        </w:rPr>
        <w:t>ionship between Lego Boerdery</w:t>
      </w:r>
      <w:r w:rsidR="004452C8">
        <w:rPr>
          <w:rFonts w:ascii="Arial" w:hAnsi="Arial" w:cs="Arial"/>
          <w:sz w:val="24"/>
          <w:szCs w:val="24"/>
        </w:rPr>
        <w:t xml:space="preserve"> and Agri-Com. </w:t>
      </w:r>
      <w:r w:rsidR="00C42BA8">
        <w:rPr>
          <w:rFonts w:ascii="Arial" w:hAnsi="Arial" w:cs="Arial"/>
          <w:sz w:val="24"/>
          <w:szCs w:val="24"/>
        </w:rPr>
        <w:t>In response applicants did not provide any such statements of account. The respondents in filing their opposing affidavit attached six statements of account</w:t>
      </w:r>
      <w:r w:rsidR="008168A1">
        <w:rPr>
          <w:rFonts w:ascii="Arial" w:hAnsi="Arial" w:cs="Arial"/>
          <w:sz w:val="24"/>
          <w:szCs w:val="24"/>
        </w:rPr>
        <w:t xml:space="preserve"> (OA 1-6)</w:t>
      </w:r>
      <w:r w:rsidR="00C42BA8">
        <w:rPr>
          <w:rFonts w:ascii="Arial" w:hAnsi="Arial" w:cs="Arial"/>
          <w:sz w:val="24"/>
          <w:szCs w:val="24"/>
        </w:rPr>
        <w:t xml:space="preserve"> indicating balances owed by the respondents to the applicants as at 28 February 2018. The respondents aver that from February 2018 the then Agri-Com failed to supply any monthly account statements to first respondents. </w:t>
      </w:r>
      <w:r w:rsidR="00241FBD">
        <w:rPr>
          <w:rFonts w:ascii="Arial" w:hAnsi="Arial" w:cs="Arial"/>
          <w:sz w:val="24"/>
          <w:szCs w:val="24"/>
        </w:rPr>
        <w:t>Respondents aver that during or about May and J</w:t>
      </w:r>
      <w:r w:rsidR="007D1E9A">
        <w:rPr>
          <w:rFonts w:ascii="Arial" w:hAnsi="Arial" w:cs="Arial"/>
          <w:sz w:val="24"/>
          <w:szCs w:val="24"/>
        </w:rPr>
        <w:t>une 2018 first r</w:t>
      </w:r>
      <w:r w:rsidR="00241FBD">
        <w:rPr>
          <w:rFonts w:ascii="Arial" w:hAnsi="Arial" w:cs="Arial"/>
          <w:sz w:val="24"/>
          <w:szCs w:val="24"/>
        </w:rPr>
        <w:t>espondent delivered to Agri-Com the yield of first respondents’ sugar bean harvest and that Agri-Com were to sell same at the market related price and allocate the proceeds of such sale against first respondent’s outstanding indebtedness. The total value of the sugar beans so delivered amounted to R 2 389 904.00. It is further averred that first respon</w:t>
      </w:r>
      <w:r w:rsidR="00AA783C">
        <w:rPr>
          <w:rFonts w:ascii="Arial" w:hAnsi="Arial" w:cs="Arial"/>
          <w:sz w:val="24"/>
          <w:szCs w:val="24"/>
        </w:rPr>
        <w:t xml:space="preserve">dent also delivered soya beans </w:t>
      </w:r>
      <w:r w:rsidR="00241FBD">
        <w:rPr>
          <w:rFonts w:ascii="Arial" w:hAnsi="Arial" w:cs="Arial"/>
          <w:sz w:val="24"/>
          <w:szCs w:val="24"/>
        </w:rPr>
        <w:t>and maize to A</w:t>
      </w:r>
      <w:r w:rsidR="00AA783C">
        <w:rPr>
          <w:rFonts w:ascii="Arial" w:hAnsi="Arial" w:cs="Arial"/>
          <w:sz w:val="24"/>
          <w:szCs w:val="24"/>
        </w:rPr>
        <w:t xml:space="preserve">gri-Com’s </w:t>
      </w:r>
      <w:r w:rsidR="00241FBD">
        <w:rPr>
          <w:rFonts w:ascii="Arial" w:hAnsi="Arial" w:cs="Arial"/>
          <w:sz w:val="24"/>
          <w:szCs w:val="24"/>
        </w:rPr>
        <w:t>silos in Harrismith and that payment thereof was made by the purchasers (N</w:t>
      </w:r>
      <w:r w:rsidR="00545346">
        <w:rPr>
          <w:rFonts w:ascii="Arial" w:hAnsi="Arial" w:cs="Arial"/>
          <w:sz w:val="24"/>
          <w:szCs w:val="24"/>
        </w:rPr>
        <w:t>u-Pr</w:t>
      </w:r>
      <w:r w:rsidR="00241FBD">
        <w:rPr>
          <w:rFonts w:ascii="Arial" w:hAnsi="Arial" w:cs="Arial"/>
          <w:sz w:val="24"/>
          <w:szCs w:val="24"/>
        </w:rPr>
        <w:t>o)</w:t>
      </w:r>
      <w:r w:rsidR="00AA783C">
        <w:rPr>
          <w:rFonts w:ascii="Arial" w:hAnsi="Arial" w:cs="Arial"/>
          <w:sz w:val="24"/>
          <w:szCs w:val="24"/>
        </w:rPr>
        <w:t xml:space="preserve"> directly to A</w:t>
      </w:r>
      <w:r w:rsidR="00241FBD">
        <w:rPr>
          <w:rFonts w:ascii="Arial" w:hAnsi="Arial" w:cs="Arial"/>
          <w:sz w:val="24"/>
          <w:szCs w:val="24"/>
        </w:rPr>
        <w:t>gri-Com</w:t>
      </w:r>
      <w:r w:rsidR="00BA2860">
        <w:rPr>
          <w:rFonts w:ascii="Arial" w:hAnsi="Arial" w:cs="Arial"/>
          <w:sz w:val="24"/>
          <w:szCs w:val="24"/>
        </w:rPr>
        <w:t xml:space="preserve"> in the amount of R</w:t>
      </w:r>
      <w:r w:rsidR="000971F6">
        <w:rPr>
          <w:rFonts w:ascii="Arial" w:hAnsi="Arial" w:cs="Arial"/>
          <w:sz w:val="24"/>
          <w:szCs w:val="24"/>
        </w:rPr>
        <w:t xml:space="preserve"> </w:t>
      </w:r>
      <w:r w:rsidR="00C64F9C">
        <w:rPr>
          <w:rFonts w:ascii="Arial" w:hAnsi="Arial" w:cs="Arial"/>
          <w:sz w:val="24"/>
          <w:szCs w:val="24"/>
        </w:rPr>
        <w:t>379 838.38</w:t>
      </w:r>
      <w:r w:rsidR="00241FBD">
        <w:rPr>
          <w:rFonts w:ascii="Arial" w:hAnsi="Arial" w:cs="Arial"/>
          <w:sz w:val="24"/>
          <w:szCs w:val="24"/>
        </w:rPr>
        <w:t>. First respondent avers that these amou</w:t>
      </w:r>
      <w:r w:rsidR="00BA2860">
        <w:rPr>
          <w:rFonts w:ascii="Arial" w:hAnsi="Arial" w:cs="Arial"/>
          <w:sz w:val="24"/>
          <w:szCs w:val="24"/>
        </w:rPr>
        <w:t xml:space="preserve">nts were not reflected in </w:t>
      </w:r>
      <w:r w:rsidR="00241FBD">
        <w:rPr>
          <w:rFonts w:ascii="Arial" w:hAnsi="Arial" w:cs="Arial"/>
          <w:sz w:val="24"/>
          <w:szCs w:val="24"/>
        </w:rPr>
        <w:t>accounts and aver that first respondent’</w:t>
      </w:r>
      <w:r w:rsidR="00545346">
        <w:rPr>
          <w:rFonts w:ascii="Arial" w:hAnsi="Arial" w:cs="Arial"/>
          <w:sz w:val="24"/>
          <w:szCs w:val="24"/>
        </w:rPr>
        <w:t>s indebtedness to Agri-C</w:t>
      </w:r>
      <w:r w:rsidR="00241FBD">
        <w:rPr>
          <w:rFonts w:ascii="Arial" w:hAnsi="Arial" w:cs="Arial"/>
          <w:sz w:val="24"/>
          <w:szCs w:val="24"/>
        </w:rPr>
        <w:t>om was extinguished. It is common cause</w:t>
      </w:r>
      <w:r w:rsidR="00AA783C">
        <w:rPr>
          <w:rFonts w:ascii="Arial" w:hAnsi="Arial" w:cs="Arial"/>
          <w:sz w:val="24"/>
          <w:szCs w:val="24"/>
        </w:rPr>
        <w:t xml:space="preserve"> that first respondent did not </w:t>
      </w:r>
      <w:r w:rsidR="00241FBD">
        <w:rPr>
          <w:rFonts w:ascii="Arial" w:hAnsi="Arial" w:cs="Arial"/>
          <w:sz w:val="24"/>
          <w:szCs w:val="24"/>
        </w:rPr>
        <w:t>incur further indebtedness towards Agr-Com after 28 February 2018.</w:t>
      </w:r>
      <w:r w:rsidR="00545346">
        <w:rPr>
          <w:rFonts w:ascii="Arial" w:hAnsi="Arial" w:cs="Arial"/>
          <w:sz w:val="24"/>
          <w:szCs w:val="24"/>
        </w:rPr>
        <w:t xml:space="preserve"> </w:t>
      </w:r>
    </w:p>
    <w:p w:rsidR="008168A1" w:rsidRDefault="008168A1" w:rsidP="00BA2860">
      <w:pPr>
        <w:pStyle w:val="BodyText"/>
        <w:spacing w:line="360" w:lineRule="auto"/>
        <w:jc w:val="both"/>
        <w:rPr>
          <w:rFonts w:ascii="Arial" w:hAnsi="Arial" w:cs="Arial"/>
          <w:sz w:val="24"/>
          <w:szCs w:val="24"/>
        </w:rPr>
      </w:pPr>
    </w:p>
    <w:p w:rsidR="00545346" w:rsidRDefault="008168A1" w:rsidP="00C64F9C">
      <w:pPr>
        <w:pStyle w:val="BodyText"/>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45346">
        <w:rPr>
          <w:rFonts w:ascii="Arial" w:hAnsi="Arial" w:cs="Arial"/>
          <w:sz w:val="24"/>
          <w:szCs w:val="24"/>
        </w:rPr>
        <w:t>In the</w:t>
      </w:r>
      <w:r w:rsidR="00BA2860">
        <w:rPr>
          <w:rFonts w:ascii="Arial" w:hAnsi="Arial" w:cs="Arial"/>
          <w:sz w:val="24"/>
          <w:szCs w:val="24"/>
        </w:rPr>
        <w:t>ir</w:t>
      </w:r>
      <w:r w:rsidR="00545346">
        <w:rPr>
          <w:rFonts w:ascii="Arial" w:hAnsi="Arial" w:cs="Arial"/>
          <w:sz w:val="24"/>
          <w:szCs w:val="24"/>
        </w:rPr>
        <w:t xml:space="preserve"> replying affidavit the applicants contend that as a result of the answering affidavit the liquidators had to inspect “further records” of third applicant pertaining to its dealings with the respondents – such documents comprising in excess of three lever arch files. The liquidators aver that a detailed analysis of the documentation by the respondents should lead to the conclusion that these statements cannot refer to the debt owed in respect of the summer production loan as that loan was only entered into between the parties on 15 February 2018 and that the respondents couldn’t have performed by 28 February 2018. They state, amongst others, that the sugar beans allegedly delivered “can never be said to be delivered in payment” of the debt owed on the summer production </w:t>
      </w:r>
      <w:r w:rsidR="00545346">
        <w:rPr>
          <w:rFonts w:ascii="Arial" w:hAnsi="Arial" w:cs="Arial"/>
          <w:sz w:val="24"/>
          <w:szCs w:val="24"/>
        </w:rPr>
        <w:lastRenderedPageBreak/>
        <w:t xml:space="preserve">loan </w:t>
      </w:r>
      <w:r w:rsidR="00035342">
        <w:rPr>
          <w:rFonts w:ascii="Arial" w:hAnsi="Arial" w:cs="Arial"/>
          <w:sz w:val="24"/>
          <w:szCs w:val="24"/>
        </w:rPr>
        <w:t>“</w:t>
      </w:r>
      <w:r w:rsidR="00545346">
        <w:rPr>
          <w:rFonts w:ascii="Arial" w:hAnsi="Arial" w:cs="Arial"/>
          <w:sz w:val="24"/>
          <w:szCs w:val="24"/>
        </w:rPr>
        <w:t>as it has already been delivered in May 2018</w:t>
      </w:r>
      <w:r w:rsidR="003A0301">
        <w:rPr>
          <w:rFonts w:ascii="Arial" w:hAnsi="Arial" w:cs="Arial"/>
          <w:sz w:val="24"/>
          <w:szCs w:val="24"/>
        </w:rPr>
        <w:t>.”</w:t>
      </w:r>
      <w:r w:rsidR="00C64F9C">
        <w:rPr>
          <w:rFonts w:ascii="Arial" w:hAnsi="Arial" w:cs="Arial"/>
          <w:sz w:val="24"/>
          <w:szCs w:val="24"/>
        </w:rPr>
        <w:t xml:space="preserve"> Belatedly in its replying affidavit the applicants annexed a statement (</w:t>
      </w:r>
      <w:r w:rsidR="004D6C34">
        <w:rPr>
          <w:rFonts w:ascii="Arial" w:hAnsi="Arial" w:cs="Arial"/>
          <w:sz w:val="24"/>
          <w:szCs w:val="24"/>
        </w:rPr>
        <w:t>annexed as “</w:t>
      </w:r>
      <w:r w:rsidR="00C64F9C">
        <w:rPr>
          <w:rFonts w:ascii="Arial" w:hAnsi="Arial" w:cs="Arial"/>
          <w:sz w:val="24"/>
          <w:szCs w:val="24"/>
        </w:rPr>
        <w:t>RA</w:t>
      </w:r>
      <w:r w:rsidR="00035342">
        <w:rPr>
          <w:rFonts w:ascii="Arial" w:hAnsi="Arial" w:cs="Arial"/>
          <w:sz w:val="24"/>
          <w:szCs w:val="24"/>
        </w:rPr>
        <w:t>2</w:t>
      </w:r>
      <w:r w:rsidR="004D6C34">
        <w:rPr>
          <w:rFonts w:ascii="Arial" w:hAnsi="Arial" w:cs="Arial"/>
          <w:sz w:val="24"/>
          <w:szCs w:val="24"/>
        </w:rPr>
        <w:t>”</w:t>
      </w:r>
      <w:r w:rsidR="00035342">
        <w:rPr>
          <w:rFonts w:ascii="Arial" w:hAnsi="Arial" w:cs="Arial"/>
          <w:sz w:val="24"/>
          <w:szCs w:val="24"/>
        </w:rPr>
        <w:t xml:space="preserve">) indicating </w:t>
      </w:r>
      <w:r w:rsidR="007E092C">
        <w:rPr>
          <w:rFonts w:ascii="Arial" w:hAnsi="Arial" w:cs="Arial"/>
          <w:sz w:val="24"/>
          <w:szCs w:val="24"/>
        </w:rPr>
        <w:t xml:space="preserve">merely </w:t>
      </w:r>
      <w:r w:rsidR="00035342">
        <w:rPr>
          <w:rFonts w:ascii="Arial" w:hAnsi="Arial" w:cs="Arial"/>
          <w:sz w:val="24"/>
          <w:szCs w:val="24"/>
        </w:rPr>
        <w:t xml:space="preserve">the Nu-Pro amount to have </w:t>
      </w:r>
      <w:r w:rsidR="007E092C">
        <w:rPr>
          <w:rFonts w:ascii="Arial" w:hAnsi="Arial" w:cs="Arial"/>
          <w:sz w:val="24"/>
          <w:szCs w:val="24"/>
        </w:rPr>
        <w:t xml:space="preserve">ostensibly </w:t>
      </w:r>
      <w:r w:rsidR="00035342">
        <w:rPr>
          <w:rFonts w:ascii="Arial" w:hAnsi="Arial" w:cs="Arial"/>
          <w:sz w:val="24"/>
          <w:szCs w:val="24"/>
        </w:rPr>
        <w:t>been deducted from the respondents’ indebtedness.</w:t>
      </w:r>
    </w:p>
    <w:p w:rsidR="00C64F9C" w:rsidRDefault="00C64F9C" w:rsidP="00C64F9C">
      <w:pPr>
        <w:pStyle w:val="BodyText"/>
        <w:spacing w:line="360" w:lineRule="auto"/>
        <w:ind w:left="720" w:hanging="720"/>
        <w:jc w:val="both"/>
        <w:rPr>
          <w:rFonts w:ascii="Arial" w:hAnsi="Arial" w:cs="Arial"/>
          <w:sz w:val="24"/>
          <w:szCs w:val="24"/>
        </w:rPr>
      </w:pPr>
    </w:p>
    <w:p w:rsidR="00545346" w:rsidRDefault="00BA2860" w:rsidP="00FB0C08">
      <w:pPr>
        <w:pStyle w:val="BodyText"/>
        <w:spacing w:line="360" w:lineRule="auto"/>
        <w:ind w:left="720" w:hanging="720"/>
        <w:jc w:val="both"/>
        <w:rPr>
          <w:rFonts w:ascii="Arial" w:hAnsi="Arial" w:cs="Arial"/>
          <w:sz w:val="24"/>
          <w:szCs w:val="24"/>
        </w:rPr>
      </w:pPr>
      <w:r>
        <w:rPr>
          <w:rFonts w:ascii="Arial" w:hAnsi="Arial" w:cs="Arial"/>
          <w:sz w:val="24"/>
          <w:szCs w:val="24"/>
        </w:rPr>
        <w:t>[14</w:t>
      </w:r>
      <w:r w:rsidR="00545346">
        <w:rPr>
          <w:rFonts w:ascii="Arial" w:hAnsi="Arial" w:cs="Arial"/>
          <w:sz w:val="24"/>
          <w:szCs w:val="24"/>
        </w:rPr>
        <w:t>]</w:t>
      </w:r>
      <w:r w:rsidR="00545346">
        <w:rPr>
          <w:rFonts w:ascii="Arial" w:hAnsi="Arial" w:cs="Arial"/>
          <w:sz w:val="24"/>
          <w:szCs w:val="24"/>
        </w:rPr>
        <w:tab/>
        <w:t xml:space="preserve">What the applicants move for is final relief in the form of a judgment in the claimed amount. They appear to have been appointed as liquidators only after 27 October 2021. As such they personally did not have any personal dealings with the respondents in 2018. The certificate issued by them was therefore based on the documentation that they ostensibly have acquired </w:t>
      </w:r>
      <w:r w:rsidR="00385666">
        <w:rPr>
          <w:rFonts w:ascii="Arial" w:hAnsi="Arial" w:cs="Arial"/>
          <w:sz w:val="24"/>
          <w:szCs w:val="24"/>
        </w:rPr>
        <w:t xml:space="preserve">as liquidators and the certificate therefore is an aid to prima facie prove the respondents’ indebtedness. Should I find that the respondents’ version unsettles the certificate or has the effect that the amount as stated in the certificate becomes uncertain, the applicants cannot succeed in their quest for final relief. </w:t>
      </w:r>
    </w:p>
    <w:p w:rsidR="00385666" w:rsidRDefault="00385666" w:rsidP="00FB0C08">
      <w:pPr>
        <w:pStyle w:val="BodyText"/>
        <w:spacing w:line="360" w:lineRule="auto"/>
        <w:ind w:left="720" w:hanging="720"/>
        <w:jc w:val="both"/>
        <w:rPr>
          <w:rFonts w:ascii="Arial" w:hAnsi="Arial" w:cs="Arial"/>
          <w:sz w:val="24"/>
          <w:szCs w:val="24"/>
        </w:rPr>
      </w:pPr>
    </w:p>
    <w:p w:rsidR="00385666" w:rsidRDefault="00BA2860" w:rsidP="00FB0C08">
      <w:pPr>
        <w:pStyle w:val="BodyText"/>
        <w:spacing w:line="360" w:lineRule="auto"/>
        <w:ind w:left="720" w:hanging="720"/>
        <w:jc w:val="both"/>
        <w:rPr>
          <w:rFonts w:ascii="Arial" w:hAnsi="Arial" w:cs="Arial"/>
          <w:sz w:val="24"/>
          <w:szCs w:val="24"/>
        </w:rPr>
      </w:pPr>
      <w:r>
        <w:rPr>
          <w:rFonts w:ascii="Arial" w:hAnsi="Arial" w:cs="Arial"/>
          <w:sz w:val="24"/>
          <w:szCs w:val="24"/>
        </w:rPr>
        <w:t>[15</w:t>
      </w:r>
      <w:r w:rsidR="004D6C34">
        <w:rPr>
          <w:rFonts w:ascii="Arial" w:hAnsi="Arial" w:cs="Arial"/>
          <w:sz w:val="24"/>
          <w:szCs w:val="24"/>
        </w:rPr>
        <w:t>]</w:t>
      </w:r>
      <w:r w:rsidR="004D6C34">
        <w:rPr>
          <w:rFonts w:ascii="Arial" w:hAnsi="Arial" w:cs="Arial"/>
          <w:sz w:val="24"/>
          <w:szCs w:val="24"/>
        </w:rPr>
        <w:tab/>
        <w:t xml:space="preserve">It is now settled law that when </w:t>
      </w:r>
      <w:r w:rsidR="007E092C">
        <w:rPr>
          <w:rFonts w:ascii="Arial" w:hAnsi="Arial" w:cs="Arial"/>
          <w:sz w:val="24"/>
          <w:szCs w:val="24"/>
        </w:rPr>
        <w:t xml:space="preserve">in motion proceedings </w:t>
      </w:r>
      <w:r w:rsidR="004D6C34">
        <w:rPr>
          <w:rFonts w:ascii="Arial" w:hAnsi="Arial" w:cs="Arial"/>
          <w:sz w:val="24"/>
          <w:szCs w:val="24"/>
        </w:rPr>
        <w:t>a dispute of fact arises on the affidavits, a final order can be granted only if the facts averred by the applicant, which have been admitted by the respondent, together with the facts alleged by the latter justify such an order (known as the</w:t>
      </w:r>
      <w:r w:rsidR="004D6C34" w:rsidRPr="007E092C">
        <w:rPr>
          <w:rFonts w:ascii="Arial" w:hAnsi="Arial" w:cs="Arial"/>
          <w:b/>
          <w:sz w:val="24"/>
          <w:szCs w:val="24"/>
        </w:rPr>
        <w:t xml:space="preserve"> </w:t>
      </w:r>
      <w:r w:rsidR="004D6C34" w:rsidRPr="007E092C">
        <w:rPr>
          <w:rFonts w:ascii="Arial" w:hAnsi="Arial" w:cs="Arial"/>
          <w:b/>
          <w:i/>
          <w:sz w:val="24"/>
          <w:szCs w:val="24"/>
        </w:rPr>
        <w:t xml:space="preserve">Plascon-Evans </w:t>
      </w:r>
      <w:r w:rsidR="004D6C34">
        <w:rPr>
          <w:rFonts w:ascii="Arial" w:hAnsi="Arial" w:cs="Arial"/>
          <w:sz w:val="24"/>
          <w:szCs w:val="24"/>
        </w:rPr>
        <w:t>rule</w:t>
      </w:r>
      <w:r w:rsidR="00E42525">
        <w:rPr>
          <w:rStyle w:val="FootnoteReference"/>
          <w:rFonts w:ascii="Arial" w:hAnsi="Arial" w:cs="Arial"/>
          <w:sz w:val="24"/>
          <w:szCs w:val="24"/>
        </w:rPr>
        <w:footnoteReference w:id="14"/>
      </w:r>
      <w:r w:rsidR="004D6C34">
        <w:rPr>
          <w:rFonts w:ascii="Arial" w:hAnsi="Arial" w:cs="Arial"/>
          <w:sz w:val="24"/>
          <w:szCs w:val="24"/>
        </w:rPr>
        <w:t xml:space="preserve">). </w:t>
      </w:r>
      <w:r w:rsidR="007E092C">
        <w:rPr>
          <w:rFonts w:ascii="Arial" w:hAnsi="Arial" w:cs="Arial"/>
          <w:sz w:val="24"/>
          <w:szCs w:val="24"/>
        </w:rPr>
        <w:t>In</w:t>
      </w:r>
      <w:r w:rsidR="004D6C34" w:rsidRPr="00E42525">
        <w:rPr>
          <w:rFonts w:ascii="Arial" w:hAnsi="Arial" w:cs="Arial"/>
          <w:i/>
          <w:sz w:val="24"/>
          <w:szCs w:val="24"/>
        </w:rPr>
        <w:t xml:space="preserve"> </w:t>
      </w:r>
      <w:r w:rsidR="004D6C34" w:rsidRPr="007E092C">
        <w:rPr>
          <w:rFonts w:ascii="Arial" w:hAnsi="Arial" w:cs="Arial"/>
          <w:b/>
          <w:i/>
          <w:sz w:val="24"/>
          <w:szCs w:val="24"/>
        </w:rPr>
        <w:t>National Director of Public Prosecutions v Zuma</w:t>
      </w:r>
      <w:r w:rsidR="00E42525">
        <w:rPr>
          <w:rStyle w:val="FootnoteReference"/>
          <w:rFonts w:ascii="Arial" w:hAnsi="Arial" w:cs="Arial"/>
          <w:sz w:val="24"/>
          <w:szCs w:val="24"/>
        </w:rPr>
        <w:footnoteReference w:id="15"/>
      </w:r>
      <w:r w:rsidR="00E42525">
        <w:rPr>
          <w:rFonts w:ascii="Arial" w:hAnsi="Arial" w:cs="Arial"/>
          <w:sz w:val="24"/>
          <w:szCs w:val="24"/>
        </w:rPr>
        <w:t xml:space="preserve"> these principles were restated by the Supreme Court of A</w:t>
      </w:r>
      <w:r w:rsidR="007E092C">
        <w:rPr>
          <w:rFonts w:ascii="Arial" w:hAnsi="Arial" w:cs="Arial"/>
          <w:sz w:val="24"/>
          <w:szCs w:val="24"/>
        </w:rPr>
        <w:t>ppeal, with the addition that the position</w:t>
      </w:r>
      <w:r w:rsidR="00E42525">
        <w:rPr>
          <w:rFonts w:ascii="Arial" w:hAnsi="Arial" w:cs="Arial"/>
          <w:sz w:val="24"/>
          <w:szCs w:val="24"/>
        </w:rPr>
        <w:t xml:space="preserve"> may be different in the event where the respondent’s version consist of bald or unworthy denials, raises fictitious disputes of facts, is palpably implausible, farfetched or clearly untenable that the court can reject such version merely on the papers.</w:t>
      </w:r>
    </w:p>
    <w:p w:rsidR="00FA613B" w:rsidRDefault="00FA613B" w:rsidP="00FB0C08">
      <w:pPr>
        <w:pStyle w:val="BodyText"/>
        <w:spacing w:line="360" w:lineRule="auto"/>
        <w:ind w:left="720" w:hanging="720"/>
        <w:jc w:val="both"/>
        <w:rPr>
          <w:rFonts w:ascii="Arial" w:hAnsi="Arial" w:cs="Arial"/>
          <w:sz w:val="24"/>
          <w:szCs w:val="24"/>
        </w:rPr>
      </w:pPr>
    </w:p>
    <w:p w:rsidR="007E092C" w:rsidRDefault="00BA2860" w:rsidP="007E092C">
      <w:pPr>
        <w:pStyle w:val="BodyText"/>
        <w:spacing w:line="360" w:lineRule="auto"/>
        <w:ind w:left="720" w:hanging="720"/>
        <w:jc w:val="both"/>
        <w:rPr>
          <w:rFonts w:ascii="Arial" w:hAnsi="Arial" w:cs="Arial"/>
          <w:sz w:val="24"/>
          <w:szCs w:val="24"/>
        </w:rPr>
      </w:pPr>
      <w:r>
        <w:rPr>
          <w:rFonts w:ascii="Arial" w:hAnsi="Arial" w:cs="Arial"/>
          <w:sz w:val="24"/>
          <w:szCs w:val="24"/>
        </w:rPr>
        <w:t>[16</w:t>
      </w:r>
      <w:r w:rsidR="00385666">
        <w:rPr>
          <w:rFonts w:ascii="Arial" w:hAnsi="Arial" w:cs="Arial"/>
          <w:sz w:val="24"/>
          <w:szCs w:val="24"/>
        </w:rPr>
        <w:t>]</w:t>
      </w:r>
      <w:r w:rsidR="00385666">
        <w:rPr>
          <w:rFonts w:ascii="Arial" w:hAnsi="Arial" w:cs="Arial"/>
          <w:sz w:val="24"/>
          <w:szCs w:val="24"/>
        </w:rPr>
        <w:tab/>
        <w:t xml:space="preserve">I have come to the conclusion that I cannot reject the respondents’ version as to the alleged payments made by first respondent as being so far-fetched or untenable that I can reject it outright as being false. On the contrary, it would seem in all the circumstances whether there might be good merit in those </w:t>
      </w:r>
      <w:r w:rsidR="00385666">
        <w:rPr>
          <w:rFonts w:ascii="Arial" w:hAnsi="Arial" w:cs="Arial"/>
          <w:sz w:val="24"/>
          <w:szCs w:val="24"/>
        </w:rPr>
        <w:lastRenderedPageBreak/>
        <w:t xml:space="preserve">allegations. In this respect I find the answers by the applicants in </w:t>
      </w:r>
      <w:r w:rsidR="007E092C">
        <w:rPr>
          <w:rFonts w:ascii="Arial" w:hAnsi="Arial" w:cs="Arial"/>
          <w:sz w:val="24"/>
          <w:szCs w:val="24"/>
        </w:rPr>
        <w:t xml:space="preserve">response to </w:t>
      </w:r>
      <w:r w:rsidR="00385666">
        <w:rPr>
          <w:rFonts w:ascii="Arial" w:hAnsi="Arial" w:cs="Arial"/>
          <w:sz w:val="24"/>
          <w:szCs w:val="24"/>
        </w:rPr>
        <w:t>the Rule 35(12) notices</w:t>
      </w:r>
      <w:r w:rsidR="007E092C">
        <w:rPr>
          <w:rFonts w:ascii="Arial" w:hAnsi="Arial" w:cs="Arial"/>
          <w:sz w:val="24"/>
          <w:szCs w:val="24"/>
        </w:rPr>
        <w:t>,</w:t>
      </w:r>
      <w:r w:rsidR="00385666">
        <w:rPr>
          <w:rFonts w:ascii="Arial" w:hAnsi="Arial" w:cs="Arial"/>
          <w:sz w:val="24"/>
          <w:szCs w:val="24"/>
        </w:rPr>
        <w:t xml:space="preserve"> to be significant. One gets the impression from the allegations that the applicants simply do not have the full statements of accounts and supporting papers available. I am in any event of the view that the disputes raised cannot be resolved on the papers </w:t>
      </w:r>
      <w:r w:rsidR="004E6132">
        <w:rPr>
          <w:rFonts w:ascii="Arial" w:hAnsi="Arial" w:cs="Arial"/>
          <w:sz w:val="24"/>
          <w:szCs w:val="24"/>
        </w:rPr>
        <w:t xml:space="preserve">and that the application cannot succeed on that score as well. </w:t>
      </w:r>
    </w:p>
    <w:p w:rsidR="007E092C" w:rsidRDefault="007E092C" w:rsidP="007E092C">
      <w:pPr>
        <w:pStyle w:val="BodyText"/>
        <w:spacing w:line="360" w:lineRule="auto"/>
        <w:ind w:left="720" w:hanging="720"/>
        <w:jc w:val="both"/>
        <w:rPr>
          <w:rFonts w:ascii="Arial" w:hAnsi="Arial" w:cs="Arial"/>
          <w:sz w:val="24"/>
          <w:szCs w:val="24"/>
        </w:rPr>
      </w:pPr>
    </w:p>
    <w:p w:rsidR="00385666" w:rsidRDefault="007E092C" w:rsidP="007E092C">
      <w:pPr>
        <w:pStyle w:val="BodyText"/>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E6132">
        <w:rPr>
          <w:rFonts w:ascii="Arial" w:hAnsi="Arial" w:cs="Arial"/>
          <w:sz w:val="24"/>
          <w:szCs w:val="24"/>
        </w:rPr>
        <w:t>I therefore make the following order.</w:t>
      </w:r>
    </w:p>
    <w:p w:rsidR="004E6132" w:rsidRDefault="004E6132" w:rsidP="00FB0C08">
      <w:pPr>
        <w:pStyle w:val="BodyText"/>
        <w:spacing w:line="360" w:lineRule="auto"/>
        <w:ind w:left="720" w:hanging="720"/>
        <w:jc w:val="both"/>
        <w:rPr>
          <w:rFonts w:ascii="Arial" w:hAnsi="Arial" w:cs="Arial"/>
          <w:sz w:val="24"/>
          <w:szCs w:val="24"/>
        </w:rPr>
      </w:pPr>
    </w:p>
    <w:p w:rsidR="004E6132" w:rsidRDefault="0086340C" w:rsidP="007E092C">
      <w:pPr>
        <w:pStyle w:val="BodyText"/>
        <w:numPr>
          <w:ilvl w:val="1"/>
          <w:numId w:val="13"/>
        </w:numPr>
        <w:spacing w:line="360" w:lineRule="auto"/>
        <w:jc w:val="both"/>
        <w:rPr>
          <w:rFonts w:ascii="Arial" w:hAnsi="Arial" w:cs="Arial"/>
          <w:sz w:val="24"/>
          <w:szCs w:val="24"/>
        </w:rPr>
      </w:pPr>
      <w:r>
        <w:rPr>
          <w:rFonts w:ascii="Arial" w:hAnsi="Arial" w:cs="Arial"/>
          <w:sz w:val="24"/>
          <w:szCs w:val="24"/>
        </w:rPr>
        <w:t xml:space="preserve">The extended </w:t>
      </w:r>
      <w:r w:rsidRPr="004C3C19">
        <w:rPr>
          <w:rFonts w:ascii="Arial" w:hAnsi="Arial" w:cs="Arial"/>
          <w:i/>
          <w:sz w:val="24"/>
          <w:szCs w:val="24"/>
        </w:rPr>
        <w:t>rule nisi</w:t>
      </w:r>
      <w:r>
        <w:rPr>
          <w:rFonts w:ascii="Arial" w:hAnsi="Arial" w:cs="Arial"/>
          <w:sz w:val="24"/>
          <w:szCs w:val="24"/>
        </w:rPr>
        <w:t xml:space="preserve"> dated 9 February 2023 </w:t>
      </w:r>
      <w:r w:rsidR="004E6132">
        <w:rPr>
          <w:rFonts w:ascii="Arial" w:hAnsi="Arial" w:cs="Arial"/>
          <w:sz w:val="24"/>
          <w:szCs w:val="24"/>
        </w:rPr>
        <w:t>is uplifted.</w:t>
      </w:r>
    </w:p>
    <w:p w:rsidR="004E6132" w:rsidRDefault="004E6132" w:rsidP="007E092C">
      <w:pPr>
        <w:pStyle w:val="BodyText"/>
        <w:numPr>
          <w:ilvl w:val="1"/>
          <w:numId w:val="13"/>
        </w:numPr>
        <w:spacing w:line="360" w:lineRule="auto"/>
        <w:jc w:val="both"/>
        <w:rPr>
          <w:rFonts w:ascii="Arial" w:hAnsi="Arial" w:cs="Arial"/>
          <w:sz w:val="24"/>
          <w:szCs w:val="24"/>
        </w:rPr>
      </w:pPr>
      <w:r>
        <w:rPr>
          <w:rFonts w:ascii="Arial" w:hAnsi="Arial" w:cs="Arial"/>
          <w:sz w:val="24"/>
          <w:szCs w:val="24"/>
        </w:rPr>
        <w:t>The application is dismissed with costs.</w:t>
      </w:r>
    </w:p>
    <w:p w:rsidR="00B963A3" w:rsidRPr="00B963A3" w:rsidRDefault="00B963A3" w:rsidP="007E092C">
      <w:pPr>
        <w:spacing w:after="0" w:line="360" w:lineRule="auto"/>
        <w:jc w:val="both"/>
        <w:rPr>
          <w:rFonts w:ascii="Arial" w:hAnsi="Arial" w:cs="Arial"/>
          <w:sz w:val="24"/>
          <w:szCs w:val="24"/>
        </w:rPr>
      </w:pPr>
    </w:p>
    <w:p w:rsidR="00220CCF" w:rsidRDefault="00220CCF" w:rsidP="00FB48B7">
      <w:pPr>
        <w:spacing w:after="0" w:line="360" w:lineRule="auto"/>
        <w:ind w:left="851" w:hanging="851"/>
        <w:jc w:val="right"/>
        <w:rPr>
          <w:rFonts w:ascii="Arial" w:hAnsi="Arial" w:cs="Arial"/>
          <w:b/>
          <w:sz w:val="24"/>
          <w:szCs w:val="24"/>
        </w:rPr>
      </w:pPr>
    </w:p>
    <w:p w:rsidR="00220CCF" w:rsidRPr="00220CCF" w:rsidRDefault="00220CCF" w:rsidP="00220CCF">
      <w:pPr>
        <w:spacing w:after="0" w:line="240" w:lineRule="auto"/>
        <w:ind w:left="851" w:hanging="851"/>
        <w:jc w:val="right"/>
        <w:rPr>
          <w:rFonts w:ascii="Arial" w:hAnsi="Arial" w:cs="Arial"/>
          <w:b/>
          <w:sz w:val="24"/>
          <w:szCs w:val="24"/>
        </w:rPr>
      </w:pPr>
      <w:r w:rsidRPr="00220CCF">
        <w:rPr>
          <w:rFonts w:ascii="Arial" w:hAnsi="Arial" w:cs="Arial"/>
          <w:b/>
          <w:sz w:val="24"/>
          <w:szCs w:val="24"/>
        </w:rPr>
        <w:t>___________________</w:t>
      </w:r>
    </w:p>
    <w:p w:rsidR="00220CCF" w:rsidRPr="00220CCF" w:rsidRDefault="00220CCF" w:rsidP="00220CCF">
      <w:pPr>
        <w:spacing w:after="0" w:line="240" w:lineRule="auto"/>
        <w:ind w:left="851" w:hanging="851"/>
        <w:jc w:val="right"/>
        <w:rPr>
          <w:rFonts w:ascii="Arial" w:hAnsi="Arial" w:cs="Arial"/>
          <w:b/>
          <w:sz w:val="24"/>
          <w:szCs w:val="24"/>
        </w:rPr>
      </w:pPr>
      <w:r w:rsidRPr="00220CCF">
        <w:rPr>
          <w:rFonts w:ascii="Arial" w:hAnsi="Arial" w:cs="Arial"/>
          <w:b/>
          <w:sz w:val="24"/>
          <w:szCs w:val="24"/>
        </w:rPr>
        <w:t>C REINDERS, J</w:t>
      </w:r>
    </w:p>
    <w:p w:rsidR="00D30EE9" w:rsidRDefault="00D30EE9" w:rsidP="00FB48B7">
      <w:pPr>
        <w:spacing w:after="0" w:line="360" w:lineRule="auto"/>
        <w:ind w:left="851" w:hanging="851"/>
        <w:jc w:val="right"/>
        <w:rPr>
          <w:rFonts w:ascii="Arial" w:hAnsi="Arial" w:cs="Arial"/>
          <w:b/>
          <w:sz w:val="24"/>
          <w:szCs w:val="24"/>
        </w:rPr>
      </w:pPr>
    </w:p>
    <w:p w:rsidR="00D30EE9" w:rsidRDefault="00D30EE9" w:rsidP="00FB48B7">
      <w:pPr>
        <w:spacing w:after="0" w:line="360" w:lineRule="auto"/>
        <w:ind w:left="851" w:hanging="851"/>
        <w:jc w:val="right"/>
        <w:rPr>
          <w:rFonts w:ascii="Arial" w:hAnsi="Arial" w:cs="Arial"/>
          <w:b/>
          <w:sz w:val="24"/>
          <w:szCs w:val="24"/>
        </w:rPr>
      </w:pPr>
    </w:p>
    <w:p w:rsidR="00D30EE9" w:rsidRDefault="00D30EE9" w:rsidP="00FB48B7">
      <w:pPr>
        <w:spacing w:after="0" w:line="360" w:lineRule="auto"/>
        <w:ind w:left="851" w:hanging="851"/>
        <w:jc w:val="right"/>
        <w:rPr>
          <w:rFonts w:ascii="Arial" w:hAnsi="Arial" w:cs="Arial"/>
          <w:b/>
          <w:sz w:val="24"/>
          <w:szCs w:val="24"/>
        </w:rPr>
      </w:pPr>
    </w:p>
    <w:p w:rsidR="007E092C" w:rsidRDefault="007E092C" w:rsidP="00CE05DA">
      <w:pPr>
        <w:spacing w:line="360" w:lineRule="auto"/>
        <w:jc w:val="both"/>
        <w:rPr>
          <w:rFonts w:ascii="Arial" w:hAnsi="Arial" w:cs="Arial"/>
          <w:sz w:val="24"/>
          <w:szCs w:val="24"/>
        </w:rPr>
      </w:pPr>
    </w:p>
    <w:p w:rsidR="00CE05DA" w:rsidRPr="00220CCF" w:rsidRDefault="00CE05DA" w:rsidP="00CE05DA">
      <w:pPr>
        <w:spacing w:line="360" w:lineRule="auto"/>
        <w:jc w:val="both"/>
        <w:rPr>
          <w:rFonts w:ascii="Arial" w:hAnsi="Arial" w:cs="Arial"/>
          <w:sz w:val="24"/>
          <w:szCs w:val="24"/>
        </w:rPr>
      </w:pPr>
      <w:r w:rsidRPr="00220CCF">
        <w:rPr>
          <w:rFonts w:ascii="Arial" w:hAnsi="Arial" w:cs="Arial"/>
          <w:sz w:val="24"/>
          <w:szCs w:val="24"/>
        </w:rPr>
        <w:t>On behalf of the applican</w:t>
      </w:r>
      <w:r w:rsidR="00220CCF">
        <w:rPr>
          <w:rFonts w:ascii="Arial" w:hAnsi="Arial" w:cs="Arial"/>
          <w:sz w:val="24"/>
          <w:szCs w:val="24"/>
        </w:rPr>
        <w:t>ts:</w:t>
      </w:r>
      <w:r w:rsidR="00220CCF">
        <w:rPr>
          <w:rFonts w:ascii="Arial" w:hAnsi="Arial" w:cs="Arial"/>
          <w:sz w:val="24"/>
          <w:szCs w:val="24"/>
        </w:rPr>
        <w:tab/>
      </w:r>
      <w:r w:rsidR="00220CCF">
        <w:rPr>
          <w:rFonts w:ascii="Arial" w:hAnsi="Arial" w:cs="Arial"/>
          <w:sz w:val="24"/>
          <w:szCs w:val="24"/>
        </w:rPr>
        <w:tab/>
        <w:t>Adv A van der Merwe</w:t>
      </w:r>
    </w:p>
    <w:p w:rsidR="00CE05DA" w:rsidRPr="00220CCF" w:rsidRDefault="00CE05DA" w:rsidP="00CE05DA">
      <w:pPr>
        <w:spacing w:line="360" w:lineRule="auto"/>
        <w:jc w:val="both"/>
        <w:rPr>
          <w:rFonts w:ascii="Arial" w:hAnsi="Arial" w:cs="Arial"/>
          <w:sz w:val="24"/>
          <w:szCs w:val="24"/>
        </w:rPr>
      </w:pP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t>Instructed by:</w:t>
      </w:r>
    </w:p>
    <w:p w:rsidR="00CE05DA" w:rsidRDefault="00C3550F" w:rsidP="00CE05DA">
      <w:pPr>
        <w:spacing w:line="360" w:lineRule="auto"/>
        <w:ind w:left="3600" w:firstLine="720"/>
        <w:jc w:val="both"/>
        <w:rPr>
          <w:rFonts w:ascii="Arial" w:hAnsi="Arial" w:cs="Arial"/>
          <w:sz w:val="24"/>
          <w:szCs w:val="24"/>
        </w:rPr>
      </w:pPr>
      <w:r>
        <w:rPr>
          <w:rFonts w:ascii="Arial" w:hAnsi="Arial" w:cs="Arial"/>
          <w:sz w:val="24"/>
          <w:szCs w:val="24"/>
        </w:rPr>
        <w:t>Leahy</w:t>
      </w:r>
      <w:r w:rsidR="00CE05DA" w:rsidRPr="00220CCF">
        <w:rPr>
          <w:rFonts w:ascii="Arial" w:hAnsi="Arial" w:cs="Arial"/>
          <w:sz w:val="24"/>
          <w:szCs w:val="24"/>
        </w:rPr>
        <w:t xml:space="preserve"> Attorneys</w:t>
      </w:r>
      <w:r>
        <w:rPr>
          <w:rFonts w:ascii="Arial" w:hAnsi="Arial" w:cs="Arial"/>
          <w:sz w:val="24"/>
          <w:szCs w:val="24"/>
        </w:rPr>
        <w:t xml:space="preserve"> Inc.</w:t>
      </w:r>
    </w:p>
    <w:p w:rsidR="00C3550F" w:rsidRPr="00220CCF" w:rsidRDefault="00C3550F" w:rsidP="00CE05DA">
      <w:pPr>
        <w:spacing w:line="360" w:lineRule="auto"/>
        <w:ind w:left="3600" w:firstLine="720"/>
        <w:jc w:val="both"/>
        <w:rPr>
          <w:rFonts w:ascii="Arial" w:hAnsi="Arial" w:cs="Arial"/>
          <w:sz w:val="24"/>
          <w:szCs w:val="24"/>
        </w:rPr>
      </w:pPr>
      <w:r>
        <w:rPr>
          <w:rFonts w:ascii="Arial" w:hAnsi="Arial" w:cs="Arial"/>
          <w:sz w:val="24"/>
          <w:szCs w:val="24"/>
        </w:rPr>
        <w:t>c/o McIntyre Van der Post Inc.</w:t>
      </w:r>
    </w:p>
    <w:p w:rsidR="00CE05DA" w:rsidRPr="00220CCF" w:rsidRDefault="00CE05DA" w:rsidP="00CE05DA">
      <w:pPr>
        <w:spacing w:line="360" w:lineRule="auto"/>
        <w:ind w:left="3600" w:firstLine="720"/>
        <w:jc w:val="both"/>
        <w:rPr>
          <w:rFonts w:ascii="Arial" w:hAnsi="Arial" w:cs="Arial"/>
          <w:sz w:val="24"/>
          <w:szCs w:val="24"/>
        </w:rPr>
      </w:pPr>
      <w:r w:rsidRPr="00220CCF">
        <w:rPr>
          <w:rFonts w:ascii="Arial" w:hAnsi="Arial" w:cs="Arial"/>
          <w:sz w:val="24"/>
          <w:szCs w:val="24"/>
        </w:rPr>
        <w:t>BLOEMFONTEIN</w:t>
      </w:r>
    </w:p>
    <w:p w:rsidR="005E1864" w:rsidRDefault="005E1864" w:rsidP="00CE05DA">
      <w:pPr>
        <w:spacing w:line="360" w:lineRule="auto"/>
        <w:jc w:val="both"/>
        <w:rPr>
          <w:rFonts w:ascii="Arial" w:hAnsi="Arial" w:cs="Arial"/>
          <w:sz w:val="24"/>
          <w:szCs w:val="24"/>
        </w:rPr>
      </w:pPr>
    </w:p>
    <w:p w:rsidR="00CE05DA" w:rsidRPr="00220CCF" w:rsidRDefault="00CE05DA" w:rsidP="00CE05DA">
      <w:pPr>
        <w:spacing w:line="360" w:lineRule="auto"/>
        <w:jc w:val="both"/>
        <w:rPr>
          <w:rFonts w:ascii="Arial" w:hAnsi="Arial" w:cs="Arial"/>
          <w:sz w:val="24"/>
          <w:szCs w:val="24"/>
        </w:rPr>
      </w:pPr>
      <w:r w:rsidRPr="00220CCF">
        <w:rPr>
          <w:rFonts w:ascii="Arial" w:hAnsi="Arial" w:cs="Arial"/>
          <w:sz w:val="24"/>
          <w:szCs w:val="24"/>
        </w:rPr>
        <w:t xml:space="preserve">On behalf of </w:t>
      </w:r>
      <w:r w:rsidR="00220CCF">
        <w:rPr>
          <w:rFonts w:ascii="Arial" w:hAnsi="Arial" w:cs="Arial"/>
          <w:sz w:val="24"/>
          <w:szCs w:val="24"/>
        </w:rPr>
        <w:t>the respondents:</w:t>
      </w:r>
      <w:r w:rsidR="00220CCF">
        <w:rPr>
          <w:rFonts w:ascii="Arial" w:hAnsi="Arial" w:cs="Arial"/>
          <w:sz w:val="24"/>
          <w:szCs w:val="24"/>
        </w:rPr>
        <w:tab/>
      </w:r>
      <w:r w:rsidR="00220CCF">
        <w:rPr>
          <w:rFonts w:ascii="Arial" w:hAnsi="Arial" w:cs="Arial"/>
          <w:sz w:val="24"/>
          <w:szCs w:val="24"/>
        </w:rPr>
        <w:tab/>
        <w:t>Adv JMC Johnson</w:t>
      </w:r>
    </w:p>
    <w:p w:rsidR="00CE05DA" w:rsidRPr="00220CCF" w:rsidRDefault="00CE05DA" w:rsidP="00CE05DA">
      <w:pPr>
        <w:spacing w:line="360" w:lineRule="auto"/>
        <w:jc w:val="both"/>
        <w:rPr>
          <w:rFonts w:ascii="Arial" w:hAnsi="Arial" w:cs="Arial"/>
          <w:sz w:val="24"/>
          <w:szCs w:val="24"/>
        </w:rPr>
      </w:pP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t>Instructed by:</w:t>
      </w:r>
    </w:p>
    <w:p w:rsidR="00CE05DA" w:rsidRPr="00220CCF" w:rsidRDefault="00CE05DA" w:rsidP="00CE05DA">
      <w:pPr>
        <w:spacing w:line="360" w:lineRule="auto"/>
        <w:jc w:val="both"/>
        <w:rPr>
          <w:rFonts w:ascii="Arial" w:hAnsi="Arial" w:cs="Arial"/>
          <w:sz w:val="24"/>
          <w:szCs w:val="24"/>
        </w:rPr>
      </w:pPr>
      <w:r w:rsidRPr="00220CCF">
        <w:rPr>
          <w:rFonts w:ascii="Arial" w:hAnsi="Arial" w:cs="Arial"/>
          <w:sz w:val="24"/>
          <w:szCs w:val="24"/>
        </w:rPr>
        <w:tab/>
      </w:r>
      <w:r w:rsidRPr="00220CCF">
        <w:rPr>
          <w:rFonts w:ascii="Arial" w:hAnsi="Arial" w:cs="Arial"/>
          <w:sz w:val="24"/>
          <w:szCs w:val="24"/>
        </w:rPr>
        <w:tab/>
      </w:r>
      <w:r w:rsidR="00220CCF">
        <w:rPr>
          <w:rFonts w:ascii="Arial" w:hAnsi="Arial" w:cs="Arial"/>
          <w:sz w:val="24"/>
          <w:szCs w:val="24"/>
        </w:rPr>
        <w:tab/>
      </w:r>
      <w:r w:rsidR="00220CCF">
        <w:rPr>
          <w:rFonts w:ascii="Arial" w:hAnsi="Arial" w:cs="Arial"/>
          <w:sz w:val="24"/>
          <w:szCs w:val="24"/>
        </w:rPr>
        <w:tab/>
      </w:r>
      <w:r w:rsidR="00220CCF">
        <w:rPr>
          <w:rFonts w:ascii="Arial" w:hAnsi="Arial" w:cs="Arial"/>
          <w:sz w:val="24"/>
          <w:szCs w:val="24"/>
        </w:rPr>
        <w:tab/>
      </w:r>
      <w:r w:rsidR="00220CCF">
        <w:rPr>
          <w:rFonts w:ascii="Arial" w:hAnsi="Arial" w:cs="Arial"/>
          <w:sz w:val="24"/>
          <w:szCs w:val="24"/>
        </w:rPr>
        <w:tab/>
      </w:r>
      <w:r w:rsidR="00C3550F">
        <w:rPr>
          <w:rFonts w:ascii="Arial" w:hAnsi="Arial" w:cs="Arial"/>
          <w:sz w:val="24"/>
          <w:szCs w:val="24"/>
        </w:rPr>
        <w:t>EG Cooper Majiedt Inc.</w:t>
      </w:r>
    </w:p>
    <w:p w:rsidR="00EE16BA" w:rsidRDefault="00CE05DA" w:rsidP="007E092C">
      <w:pPr>
        <w:spacing w:line="360" w:lineRule="auto"/>
        <w:jc w:val="both"/>
        <w:rPr>
          <w:rFonts w:ascii="Arial" w:hAnsi="Arial" w:cs="Arial"/>
          <w:sz w:val="24"/>
          <w:szCs w:val="24"/>
        </w:rPr>
      </w:pP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r>
      <w:r w:rsidRPr="00220CCF">
        <w:rPr>
          <w:rFonts w:ascii="Arial" w:hAnsi="Arial" w:cs="Arial"/>
          <w:sz w:val="24"/>
          <w:szCs w:val="24"/>
        </w:rPr>
        <w:tab/>
        <w:t>BLOEMFONTEIN</w:t>
      </w:r>
    </w:p>
    <w:sectPr w:rsidR="00EE16BA" w:rsidSect="001D505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54" w:rsidRDefault="00564154" w:rsidP="00FB48B7">
      <w:pPr>
        <w:spacing w:after="0" w:line="240" w:lineRule="auto"/>
      </w:pPr>
      <w:r>
        <w:separator/>
      </w:r>
    </w:p>
  </w:endnote>
  <w:endnote w:type="continuationSeparator" w:id="0">
    <w:p w:rsidR="00564154" w:rsidRDefault="00564154" w:rsidP="00FB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54" w:rsidRDefault="00564154" w:rsidP="00FB48B7">
      <w:pPr>
        <w:spacing w:after="0" w:line="240" w:lineRule="auto"/>
      </w:pPr>
      <w:r>
        <w:separator/>
      </w:r>
    </w:p>
  </w:footnote>
  <w:footnote w:type="continuationSeparator" w:id="0">
    <w:p w:rsidR="00564154" w:rsidRDefault="00564154" w:rsidP="00FB48B7">
      <w:pPr>
        <w:spacing w:after="0" w:line="240" w:lineRule="auto"/>
      </w:pPr>
      <w:r>
        <w:continuationSeparator/>
      </w:r>
    </w:p>
  </w:footnote>
  <w:footnote w:id="1">
    <w:p w:rsidR="008D517E" w:rsidRDefault="008D517E" w:rsidP="008D517E">
      <w:pPr>
        <w:pStyle w:val="FootnoteText"/>
        <w:adjustRightInd w:val="0"/>
        <w:snapToGrid w:val="0"/>
        <w:jc w:val="both"/>
        <w:rPr>
          <w:rFonts w:ascii="Times New Roman" w:hAnsi="Times New Roman" w:cs="Times New Roman"/>
        </w:rPr>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rPr>
        <w:t>Grobler v Oosthuizen</w:t>
      </w:r>
      <w:r>
        <w:rPr>
          <w:rFonts w:ascii="Arial" w:hAnsi="Arial" w:cs="Arial"/>
          <w:color w:val="000000" w:themeColor="text1"/>
          <w:lang w:val="en-US"/>
        </w:rPr>
        <w:t xml:space="preserve"> [2009] ZASCA 51; 2009 (5) SA 500 (SCA) (</w:t>
      </w:r>
      <w:r>
        <w:rPr>
          <w:rFonts w:ascii="Arial" w:hAnsi="Arial" w:cs="Arial"/>
          <w:i/>
          <w:iCs/>
          <w:color w:val="000000" w:themeColor="text1"/>
          <w:lang w:val="en-US"/>
        </w:rPr>
        <w:t>Grobler</w:t>
      </w:r>
      <w:r>
        <w:rPr>
          <w:rFonts w:ascii="Arial" w:hAnsi="Arial" w:cs="Arial"/>
          <w:color w:val="000000" w:themeColor="text1"/>
          <w:lang w:val="en-US"/>
        </w:rPr>
        <w:t xml:space="preserve">) para 11; </w:t>
      </w:r>
      <w:r>
        <w:rPr>
          <w:rFonts w:ascii="Arial" w:hAnsi="Arial" w:cs="Arial"/>
          <w:i/>
          <w:color w:val="000000" w:themeColor="text1"/>
        </w:rPr>
        <w:t>Thorogood v Hoare</w:t>
      </w:r>
      <w:r>
        <w:rPr>
          <w:rFonts w:ascii="Arial" w:hAnsi="Arial" w:cs="Arial"/>
          <w:color w:val="000000" w:themeColor="text1"/>
        </w:rPr>
        <w:t xml:space="preserve"> 1930 EDL 354; </w:t>
      </w:r>
      <w:r>
        <w:rPr>
          <w:rFonts w:ascii="Arial" w:hAnsi="Arial" w:cs="Arial"/>
          <w:i/>
          <w:color w:val="000000" w:themeColor="text1"/>
        </w:rPr>
        <w:t>Fisher v Schlemmer</w:t>
      </w:r>
      <w:r>
        <w:rPr>
          <w:rFonts w:ascii="Arial" w:hAnsi="Arial" w:cs="Arial"/>
          <w:color w:val="000000" w:themeColor="text1"/>
        </w:rPr>
        <w:t xml:space="preserve"> 1962 4 SA 651 (T); </w:t>
      </w:r>
      <w:r>
        <w:rPr>
          <w:rFonts w:ascii="Arial" w:hAnsi="Arial" w:cs="Arial"/>
          <w:i/>
          <w:color w:val="000000" w:themeColor="text1"/>
        </w:rPr>
        <w:t>Nahrungsmittel GmbH v Otto</w:t>
      </w:r>
      <w:r>
        <w:rPr>
          <w:rFonts w:ascii="Arial" w:hAnsi="Arial" w:cs="Arial"/>
          <w:color w:val="000000" w:themeColor="text1"/>
        </w:rPr>
        <w:t xml:space="preserve"> [1992] ZASCA 228; 1993 1 SA 639 (A); </w:t>
      </w:r>
      <w:r>
        <w:rPr>
          <w:rFonts w:ascii="Arial" w:hAnsi="Arial" w:cs="Arial"/>
          <w:i/>
          <w:color w:val="000000" w:themeColor="text1"/>
        </w:rPr>
        <w:t>African Consolidated Agencies (Pty) Ltd v Siemens Nixdorf Information Systems (Pty) Ltd</w:t>
      </w:r>
      <w:r>
        <w:rPr>
          <w:rFonts w:ascii="Arial" w:hAnsi="Arial" w:cs="Arial"/>
          <w:color w:val="000000" w:themeColor="text1"/>
        </w:rPr>
        <w:t xml:space="preserve"> 1992 (2) SA 739 (C) at 744.</w:t>
      </w:r>
    </w:p>
  </w:footnote>
  <w:footnote w:id="2">
    <w:p w:rsidR="008D517E" w:rsidRDefault="008D517E" w:rsidP="008D517E">
      <w:pPr>
        <w:pStyle w:val="FootnoteText"/>
        <w:adjustRightInd w:val="0"/>
        <w:snapToGrid w:val="0"/>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rPr>
        <w:t>Grobler</w:t>
      </w:r>
      <w:r>
        <w:rPr>
          <w:rFonts w:ascii="Arial" w:hAnsi="Arial" w:cs="Arial"/>
          <w:color w:val="000000" w:themeColor="text1"/>
        </w:rPr>
        <w:t xml:space="preserve"> p</w:t>
      </w:r>
      <w:r>
        <w:rPr>
          <w:rFonts w:ascii="Arial" w:hAnsi="Arial" w:cs="Arial"/>
          <w:color w:val="000000" w:themeColor="text1"/>
          <w:lang w:val="en-US"/>
        </w:rPr>
        <w:t xml:space="preserve">ara 11. </w:t>
      </w:r>
    </w:p>
  </w:footnote>
  <w:footnote w:id="3">
    <w:p w:rsidR="008D517E" w:rsidRDefault="008D517E" w:rsidP="008D517E">
      <w:pPr>
        <w:pStyle w:val="FootnoteText"/>
        <w:adjustRightInd w:val="0"/>
        <w:snapToGrid w:val="0"/>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rPr>
        <w:t xml:space="preserve">Grobler </w:t>
      </w:r>
      <w:r>
        <w:rPr>
          <w:rFonts w:ascii="Arial" w:hAnsi="Arial" w:cs="Arial"/>
          <w:color w:val="000000" w:themeColor="text1"/>
        </w:rPr>
        <w:t>paras 11-15.</w:t>
      </w:r>
    </w:p>
  </w:footnote>
  <w:footnote w:id="4">
    <w:p w:rsidR="008D517E" w:rsidRDefault="008D517E" w:rsidP="008D517E">
      <w:pPr>
        <w:pStyle w:val="FootnoteText"/>
        <w:adjustRightInd w:val="0"/>
        <w:snapToGrid w:val="0"/>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lang w:val="en-US"/>
        </w:rPr>
        <w:t>Grobler</w:t>
      </w:r>
      <w:r>
        <w:rPr>
          <w:rFonts w:ascii="Arial" w:hAnsi="Arial" w:cs="Arial"/>
          <w:color w:val="000000" w:themeColor="text1"/>
          <w:lang w:val="en-US"/>
        </w:rPr>
        <w:t xml:space="preserve"> para 15. </w:t>
      </w:r>
      <w:r>
        <w:rPr>
          <w:rFonts w:ascii="Arial" w:hAnsi="Arial" w:cs="Arial"/>
          <w:i/>
          <w:iCs/>
          <w:color w:val="000000" w:themeColor="text1"/>
          <w:lang w:val="en-US"/>
        </w:rPr>
        <w:t>National Bank of South Africa Ltd v Cohen’s Trustee</w:t>
      </w:r>
      <w:r>
        <w:rPr>
          <w:rFonts w:ascii="Arial" w:hAnsi="Arial" w:cs="Arial"/>
          <w:color w:val="000000" w:themeColor="text1"/>
          <w:lang w:val="en-US"/>
        </w:rPr>
        <w:t xml:space="preserve"> 1911 AD 235.</w:t>
      </w:r>
    </w:p>
  </w:footnote>
  <w:footnote w:id="5">
    <w:p w:rsidR="008D517E" w:rsidRDefault="008D517E" w:rsidP="008D517E">
      <w:pPr>
        <w:pStyle w:val="FootnoteText"/>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rPr>
        <w:t>Grobler</w:t>
      </w:r>
      <w:r>
        <w:rPr>
          <w:rFonts w:ascii="Arial" w:hAnsi="Arial" w:cs="Arial"/>
          <w:color w:val="000000" w:themeColor="text1"/>
        </w:rPr>
        <w:t xml:space="preserve"> para 15 with reference to </w:t>
      </w:r>
      <w:r>
        <w:rPr>
          <w:rFonts w:ascii="Arial" w:hAnsi="Arial" w:cs="Arial"/>
          <w:i/>
          <w:iCs/>
          <w:color w:val="000000" w:themeColor="text1"/>
        </w:rPr>
        <w:t>Picardi Hotels Ltd v Thekweni Properties (Pty) Ltd</w:t>
      </w:r>
      <w:r>
        <w:rPr>
          <w:rFonts w:ascii="Arial" w:hAnsi="Arial" w:cs="Arial"/>
          <w:color w:val="000000" w:themeColor="text1"/>
        </w:rPr>
        <w:t xml:space="preserve"> [2008] ZASCA 128; 2009 (1) SA 493 (SCA) para 3 and other authorities.</w:t>
      </w:r>
    </w:p>
  </w:footnote>
  <w:footnote w:id="6">
    <w:p w:rsidR="008D517E" w:rsidRDefault="008D517E" w:rsidP="008D517E">
      <w:pPr>
        <w:pStyle w:val="FootnoteText"/>
        <w:adjustRightInd w:val="0"/>
        <w:snapToGrid w:val="0"/>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lang w:val="en-US"/>
        </w:rPr>
        <w:t xml:space="preserve">Ibid para 16 with reference to </w:t>
      </w:r>
      <w:r>
        <w:rPr>
          <w:rFonts w:ascii="Arial" w:hAnsi="Arial" w:cs="Arial"/>
          <w:i/>
          <w:iCs/>
          <w:color w:val="000000" w:themeColor="text1"/>
        </w:rPr>
        <w:t>Land- en Landboubank van Suid-Afrika v Die Meester</w:t>
      </w:r>
      <w:r>
        <w:rPr>
          <w:rStyle w:val="apple-converted-space"/>
          <w:rFonts w:ascii="Arial" w:hAnsi="Arial" w:cs="Arial"/>
          <w:i/>
          <w:iCs/>
          <w:color w:val="000000" w:themeColor="text1"/>
        </w:rPr>
        <w:t> </w:t>
      </w:r>
      <w:hyperlink r:id="rId1" w:tooltip="View LawCiteRecord" w:history="1">
        <w:r>
          <w:rPr>
            <w:rStyle w:val="Hyperlink"/>
            <w:rFonts w:cs="Arial"/>
            <w:color w:val="000000" w:themeColor="text1"/>
          </w:rPr>
          <w:t>1991 (2) SA 761</w:t>
        </w:r>
      </w:hyperlink>
      <w:r>
        <w:rPr>
          <w:rStyle w:val="apple-converted-space"/>
          <w:rFonts w:ascii="Arial" w:hAnsi="Arial" w:cs="Arial"/>
          <w:color w:val="000000" w:themeColor="text1"/>
        </w:rPr>
        <w:t> </w:t>
      </w:r>
      <w:r>
        <w:rPr>
          <w:rFonts w:ascii="Arial" w:hAnsi="Arial" w:cs="Arial"/>
          <w:color w:val="000000" w:themeColor="text1"/>
        </w:rPr>
        <w:t>(A) 771C-G;</w:t>
      </w:r>
      <w:r>
        <w:rPr>
          <w:rStyle w:val="apple-converted-space"/>
          <w:rFonts w:ascii="Arial" w:hAnsi="Arial" w:cs="Arial"/>
          <w:color w:val="000000" w:themeColor="text1"/>
        </w:rPr>
        <w:t> </w:t>
      </w:r>
      <w:r>
        <w:rPr>
          <w:rFonts w:ascii="Arial" w:hAnsi="Arial" w:cs="Arial"/>
          <w:i/>
          <w:iCs/>
          <w:color w:val="000000" w:themeColor="text1"/>
        </w:rPr>
        <w:t>Development Bank of Southern Africa Ltd v Van Rensburg</w:t>
      </w:r>
      <w:r>
        <w:rPr>
          <w:rStyle w:val="apple-converted-space"/>
          <w:rFonts w:ascii="Arial" w:hAnsi="Arial" w:cs="Arial"/>
          <w:i/>
          <w:iCs/>
          <w:color w:val="000000" w:themeColor="text1"/>
        </w:rPr>
        <w:t> </w:t>
      </w:r>
      <w:hyperlink r:id="rId2" w:tooltip="View LawCiteRecord" w:history="1">
        <w:r>
          <w:rPr>
            <w:rStyle w:val="Hyperlink"/>
            <w:rFonts w:cs="Arial"/>
            <w:color w:val="000000" w:themeColor="text1"/>
          </w:rPr>
          <w:t>2002 (5) SA 425</w:t>
        </w:r>
      </w:hyperlink>
      <w:r>
        <w:rPr>
          <w:rStyle w:val="apple-converted-space"/>
          <w:rFonts w:ascii="Arial" w:hAnsi="Arial" w:cs="Arial"/>
          <w:color w:val="000000" w:themeColor="text1"/>
        </w:rPr>
        <w:t> </w:t>
      </w:r>
      <w:r>
        <w:rPr>
          <w:rFonts w:ascii="Arial" w:hAnsi="Arial" w:cs="Arial"/>
          <w:color w:val="000000" w:themeColor="text1"/>
        </w:rPr>
        <w:t>(SCA) para 50.</w:t>
      </w:r>
    </w:p>
  </w:footnote>
  <w:footnote w:id="7">
    <w:p w:rsidR="008D517E" w:rsidRDefault="008D517E" w:rsidP="008D517E">
      <w:pPr>
        <w:pStyle w:val="FootnoteText"/>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rPr>
        <w:t>Grobler</w:t>
      </w:r>
      <w:r>
        <w:rPr>
          <w:rFonts w:ascii="Arial" w:hAnsi="Arial" w:cs="Arial"/>
          <w:color w:val="000000" w:themeColor="text1"/>
        </w:rPr>
        <w:t xml:space="preserve"> para 17 with reference to </w:t>
      </w:r>
      <w:r>
        <w:rPr>
          <w:rFonts w:ascii="Arial" w:hAnsi="Arial" w:cs="Arial"/>
          <w:i/>
          <w:iCs/>
          <w:color w:val="000000" w:themeColor="text1"/>
        </w:rPr>
        <w:t>Leyds N O v Noord-Westelike Koöperatiewe Landboumaatskappy Bpk</w:t>
      </w:r>
      <w:r>
        <w:rPr>
          <w:rFonts w:ascii="Arial" w:hAnsi="Arial" w:cs="Arial"/>
          <w:color w:val="000000" w:themeColor="text1"/>
        </w:rPr>
        <w:t xml:space="preserve"> 1985 (2) SA 769 (A) at 780E-G; </w:t>
      </w:r>
      <w:r>
        <w:rPr>
          <w:rFonts w:ascii="Arial" w:hAnsi="Arial" w:cs="Arial"/>
          <w:i/>
          <w:iCs/>
          <w:color w:val="000000" w:themeColor="text1"/>
        </w:rPr>
        <w:t>Bank of Lisbon and South Africa Ltd v The Master</w:t>
      </w:r>
      <w:r>
        <w:rPr>
          <w:rFonts w:ascii="Arial" w:hAnsi="Arial" w:cs="Arial"/>
          <w:color w:val="000000" w:themeColor="text1"/>
        </w:rPr>
        <w:t xml:space="preserve"> </w:t>
      </w:r>
      <w:r>
        <w:rPr>
          <w:rFonts w:ascii="Arial" w:hAnsi="Arial" w:cs="Arial"/>
          <w:i/>
          <w:iCs/>
          <w:color w:val="000000" w:themeColor="text1"/>
        </w:rPr>
        <w:t>and Others</w:t>
      </w:r>
      <w:r>
        <w:rPr>
          <w:rFonts w:ascii="Arial" w:hAnsi="Arial" w:cs="Arial"/>
          <w:color w:val="000000" w:themeColor="text1"/>
        </w:rPr>
        <w:t xml:space="preserve"> 1987 (1) SA 276 (A) at 291H-294H; </w:t>
      </w:r>
      <w:r>
        <w:rPr>
          <w:rFonts w:ascii="Arial" w:hAnsi="Arial" w:cs="Arial"/>
          <w:i/>
          <w:iCs/>
          <w:color w:val="000000" w:themeColor="text1"/>
        </w:rPr>
        <w:t>Incledon (Welkom) (Pty) Ltd v Qwa Qwa Development Corporation Ltd</w:t>
      </w:r>
      <w:r>
        <w:rPr>
          <w:rFonts w:ascii="Arial" w:hAnsi="Arial" w:cs="Arial"/>
          <w:color w:val="000000" w:themeColor="text1"/>
        </w:rPr>
        <w:t xml:space="preserve"> [1990] ZASCA 85; 1990 (4) SA 798 (A) at 804F-J; </w:t>
      </w:r>
      <w:r>
        <w:rPr>
          <w:rFonts w:ascii="Arial" w:hAnsi="Arial" w:cs="Arial"/>
          <w:i/>
          <w:iCs/>
          <w:color w:val="000000" w:themeColor="text1"/>
        </w:rPr>
        <w:t>Millman N O v Twiggs</w:t>
      </w:r>
      <w:r>
        <w:rPr>
          <w:rFonts w:ascii="Arial" w:hAnsi="Arial" w:cs="Arial"/>
          <w:color w:val="000000" w:themeColor="text1"/>
        </w:rPr>
        <w:t xml:space="preserve"> [1995] ZASCA 62; 1995 (3) SA 674 (A) at 676H; </w:t>
      </w:r>
      <w:r>
        <w:rPr>
          <w:rFonts w:ascii="Arial" w:hAnsi="Arial" w:cs="Arial"/>
          <w:i/>
          <w:iCs/>
          <w:color w:val="000000" w:themeColor="text1"/>
        </w:rPr>
        <w:t xml:space="preserve">Development Bank of Southern Africa Ltd v Van Rensburg </w:t>
      </w:r>
      <w:r>
        <w:rPr>
          <w:rFonts w:ascii="Arial" w:hAnsi="Arial" w:cs="Arial"/>
          <w:color w:val="000000" w:themeColor="text1"/>
        </w:rPr>
        <w:t xml:space="preserve">fn 6 para 50. </w:t>
      </w:r>
    </w:p>
  </w:footnote>
  <w:footnote w:id="8">
    <w:p w:rsidR="008D517E" w:rsidRDefault="008D517E" w:rsidP="008D517E">
      <w:pPr>
        <w:jc w:val="both"/>
      </w:pPr>
      <w:r>
        <w:rPr>
          <w:rStyle w:val="FootnoteReference"/>
          <w:rFonts w:ascii="Arial" w:hAnsi="Arial" w:cs="Arial"/>
          <w:color w:val="000000" w:themeColor="text1"/>
          <w:sz w:val="20"/>
          <w:szCs w:val="20"/>
        </w:rPr>
        <w:footnoteRef/>
      </w:r>
      <w:r>
        <w:rPr>
          <w:rFonts w:ascii="Arial" w:hAnsi="Arial" w:cs="Arial"/>
          <w:color w:val="000000" w:themeColor="text1"/>
          <w:sz w:val="20"/>
          <w:szCs w:val="20"/>
        </w:rPr>
        <w:t xml:space="preserve"> </w:t>
      </w:r>
      <w:r>
        <w:rPr>
          <w:rFonts w:ascii="Arial" w:hAnsi="Arial" w:cs="Arial"/>
          <w:i/>
          <w:color w:val="000000" w:themeColor="text1"/>
          <w:sz w:val="20"/>
          <w:szCs w:val="20"/>
        </w:rPr>
        <w:t>Grobler</w:t>
      </w:r>
      <w:r>
        <w:rPr>
          <w:rFonts w:ascii="Arial" w:hAnsi="Arial" w:cs="Arial"/>
          <w:color w:val="000000" w:themeColor="text1"/>
          <w:sz w:val="20"/>
          <w:szCs w:val="20"/>
        </w:rPr>
        <w:t xml:space="preserve"> para 17. </w:t>
      </w:r>
    </w:p>
  </w:footnote>
  <w:footnote w:id="9">
    <w:p w:rsidR="008D517E" w:rsidRDefault="008D517E" w:rsidP="008D517E">
      <w:pPr>
        <w:pStyle w:val="FootnoteText"/>
        <w:jc w:val="both"/>
      </w:pPr>
      <w:r>
        <w:rPr>
          <w:rStyle w:val="FootnoteReference"/>
          <w:rFonts w:ascii="Arial" w:hAnsi="Arial" w:cs="Arial"/>
        </w:rPr>
        <w:footnoteRef/>
      </w:r>
      <w:r>
        <w:rPr>
          <w:rFonts w:ascii="Arial" w:hAnsi="Arial" w:cs="Arial"/>
        </w:rPr>
        <w:t xml:space="preserve"> </w:t>
      </w:r>
      <w:r>
        <w:rPr>
          <w:rFonts w:ascii="Arial" w:hAnsi="Arial" w:cs="Arial"/>
          <w:i/>
          <w:iCs/>
        </w:rPr>
        <w:t>Grobler</w:t>
      </w:r>
      <w:r>
        <w:rPr>
          <w:rFonts w:ascii="Arial" w:hAnsi="Arial" w:cs="Arial"/>
        </w:rPr>
        <w:t xml:space="preserve"> para 17. </w:t>
      </w:r>
    </w:p>
  </w:footnote>
  <w:footnote w:id="10">
    <w:p w:rsidR="008D517E" w:rsidRDefault="008D517E" w:rsidP="008D517E">
      <w:pPr>
        <w:pStyle w:val="FootnoteText"/>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lang w:val="en-US"/>
        </w:rPr>
        <w:t xml:space="preserve">3 </w:t>
      </w:r>
      <w:r>
        <w:rPr>
          <w:rFonts w:ascii="Arial" w:hAnsi="Arial" w:cs="Arial"/>
          <w:i/>
          <w:iCs/>
          <w:color w:val="000000" w:themeColor="text1"/>
          <w:lang w:val="en-US"/>
        </w:rPr>
        <w:t>Lawsa</w:t>
      </w:r>
      <w:r>
        <w:rPr>
          <w:rFonts w:ascii="Arial" w:hAnsi="Arial" w:cs="Arial"/>
          <w:color w:val="000000" w:themeColor="text1"/>
          <w:lang w:val="en-US"/>
        </w:rPr>
        <w:t xml:space="preserve"> 3 ed para 180. </w:t>
      </w:r>
    </w:p>
  </w:footnote>
  <w:footnote w:id="11">
    <w:p w:rsidR="008D517E" w:rsidRDefault="008D517E" w:rsidP="008D517E">
      <w:pPr>
        <w:pStyle w:val="FootnoteText"/>
        <w:jc w:val="both"/>
      </w:pPr>
      <w:r>
        <w:rPr>
          <w:rStyle w:val="FootnoteReference"/>
          <w:rFonts w:ascii="Arial" w:hAnsi="Arial" w:cs="Arial"/>
          <w:color w:val="000000" w:themeColor="text1"/>
        </w:rPr>
        <w:footnoteRef/>
      </w:r>
      <w:r>
        <w:rPr>
          <w:rFonts w:ascii="Arial" w:hAnsi="Arial" w:cs="Arial"/>
          <w:color w:val="000000" w:themeColor="text1"/>
        </w:rPr>
        <w:t xml:space="preserve"> 2 </w:t>
      </w:r>
      <w:r>
        <w:rPr>
          <w:rFonts w:ascii="Arial" w:hAnsi="Arial" w:cs="Arial"/>
          <w:i/>
          <w:iCs/>
          <w:color w:val="000000" w:themeColor="text1"/>
          <w:lang w:val="en-US"/>
        </w:rPr>
        <w:t>Lawsa</w:t>
      </w:r>
      <w:r>
        <w:rPr>
          <w:rFonts w:ascii="Arial" w:hAnsi="Arial" w:cs="Arial"/>
          <w:color w:val="000000" w:themeColor="text1"/>
          <w:lang w:val="en-US"/>
        </w:rPr>
        <w:t xml:space="preserve"> 2 ed para 53; Van der Merwe </w:t>
      </w:r>
      <w:r>
        <w:rPr>
          <w:rFonts w:ascii="Arial" w:hAnsi="Arial" w:cs="Arial"/>
          <w:i/>
          <w:iCs/>
          <w:color w:val="000000" w:themeColor="text1"/>
          <w:lang w:val="en-US"/>
        </w:rPr>
        <w:t>Kontraktereg</w:t>
      </w:r>
      <w:r>
        <w:rPr>
          <w:rFonts w:ascii="Arial" w:hAnsi="Arial" w:cs="Arial"/>
          <w:color w:val="000000" w:themeColor="text1"/>
          <w:lang w:val="en-US"/>
        </w:rPr>
        <w:t xml:space="preserve"> 4</w:t>
      </w:r>
      <w:r>
        <w:rPr>
          <w:rFonts w:ascii="Arial" w:hAnsi="Arial" w:cs="Arial"/>
          <w:color w:val="000000" w:themeColor="text1"/>
          <w:vertAlign w:val="superscript"/>
          <w:lang w:val="en-US"/>
        </w:rPr>
        <w:t>th</w:t>
      </w:r>
      <w:r>
        <w:rPr>
          <w:rFonts w:ascii="Arial" w:hAnsi="Arial" w:cs="Arial"/>
          <w:color w:val="000000" w:themeColor="text1"/>
          <w:lang w:val="en-US"/>
        </w:rPr>
        <w:t xml:space="preserve"> ed (2012) at 427.</w:t>
      </w:r>
    </w:p>
  </w:footnote>
  <w:footnote w:id="12">
    <w:p w:rsidR="008D517E" w:rsidRDefault="008D517E" w:rsidP="008D517E">
      <w:pPr>
        <w:pStyle w:val="FootnoteText"/>
        <w:jc w:val="both"/>
      </w:pPr>
      <w:r>
        <w:rPr>
          <w:rStyle w:val="FootnoteReferenc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lang w:val="en-US"/>
        </w:rPr>
        <w:t>Grobler</w:t>
      </w:r>
      <w:r>
        <w:rPr>
          <w:rFonts w:ascii="Arial" w:hAnsi="Arial" w:cs="Arial"/>
          <w:color w:val="000000" w:themeColor="text1"/>
          <w:lang w:val="en-US"/>
        </w:rPr>
        <w:t xml:space="preserve"> paras 11-14; </w:t>
      </w:r>
      <w:r>
        <w:rPr>
          <w:rFonts w:ascii="Arial" w:hAnsi="Arial" w:cs="Arial"/>
          <w:i/>
          <w:color w:val="000000" w:themeColor="text1"/>
        </w:rPr>
        <w:t>Worman v Hughes and Others</w:t>
      </w:r>
      <w:r>
        <w:rPr>
          <w:rFonts w:ascii="Arial" w:hAnsi="Arial" w:cs="Arial"/>
          <w:color w:val="000000" w:themeColor="text1"/>
        </w:rPr>
        <w:t xml:space="preserve"> 1948 (3) SA 495 (A) at 505; </w:t>
      </w:r>
      <w:r>
        <w:rPr>
          <w:rFonts w:ascii="Arial" w:hAnsi="Arial" w:cs="Arial"/>
          <w:i/>
          <w:iCs/>
          <w:color w:val="000000" w:themeColor="text1"/>
          <w:lang w:val="en-US"/>
        </w:rPr>
        <w:t>Byron v Duke Inc</w:t>
      </w:r>
      <w:r>
        <w:rPr>
          <w:rFonts w:ascii="Arial" w:hAnsi="Arial" w:cs="Arial"/>
          <w:color w:val="000000" w:themeColor="text1"/>
          <w:lang w:val="en-US"/>
        </w:rPr>
        <w:t xml:space="preserve"> [2002] ZASCA 58; 2002 (5) SA 483 (SCA).</w:t>
      </w:r>
      <w:r>
        <w:rPr>
          <w:rFonts w:ascii="Arial" w:hAnsi="Arial" w:cs="Arial"/>
          <w:color w:val="000000" w:themeColor="text1"/>
        </w:rPr>
        <w:t xml:space="preserve"> This was also applied by this Court in</w:t>
      </w:r>
      <w:r>
        <w:rPr>
          <w:rFonts w:ascii="Arial" w:hAnsi="Arial" w:cs="Arial"/>
          <w:i/>
          <w:color w:val="000000" w:themeColor="text1"/>
        </w:rPr>
        <w:t xml:space="preserve"> Freddy Hirsch Group (Pty) Ltd v Chickenland (Pty) Ltd</w:t>
      </w:r>
      <w:r>
        <w:rPr>
          <w:rFonts w:ascii="Arial" w:hAnsi="Arial" w:cs="Arial"/>
          <w:color w:val="000000" w:themeColor="text1"/>
        </w:rPr>
        <w:t xml:space="preserve"> [2011] ZASCA 22; 2011 (4) SA 276 (SCA) para 15.</w:t>
      </w:r>
    </w:p>
  </w:footnote>
  <w:footnote w:id="13">
    <w:p w:rsidR="000A21F9" w:rsidRPr="000A21F9" w:rsidRDefault="000A21F9">
      <w:pPr>
        <w:pStyle w:val="FootnoteText"/>
        <w:rPr>
          <w:rFonts w:ascii="Arial" w:hAnsi="Arial" w:cs="Arial"/>
          <w:lang w:val="en-US"/>
        </w:rPr>
      </w:pPr>
      <w:r>
        <w:rPr>
          <w:rStyle w:val="FootnoteReference"/>
        </w:rPr>
        <w:footnoteRef/>
      </w:r>
      <w:r>
        <w:t xml:space="preserve"> </w:t>
      </w:r>
      <w:r>
        <w:rPr>
          <w:rFonts w:ascii="Arial" w:hAnsi="Arial" w:cs="Arial"/>
          <w:lang w:val="en-US"/>
        </w:rPr>
        <w:t xml:space="preserve">See </w:t>
      </w:r>
      <w:r w:rsidRPr="000A21F9">
        <w:rPr>
          <w:rFonts w:ascii="Arial" w:hAnsi="Arial" w:cs="Arial"/>
          <w:i/>
          <w:lang w:val="en-US"/>
        </w:rPr>
        <w:t>Van Zyl NO v Good Clothing CC</w:t>
      </w:r>
      <w:r>
        <w:rPr>
          <w:rFonts w:ascii="Arial" w:hAnsi="Arial" w:cs="Arial"/>
          <w:lang w:val="en-US"/>
        </w:rPr>
        <w:t xml:space="preserve"> [1997] JOL 18 SE for the liquidators’ entitlement to administer and claim same.</w:t>
      </w:r>
    </w:p>
  </w:footnote>
  <w:footnote w:id="14">
    <w:p w:rsidR="00E42525" w:rsidRPr="00E42525" w:rsidRDefault="00E42525">
      <w:pPr>
        <w:pStyle w:val="FootnoteText"/>
        <w:rPr>
          <w:rFonts w:ascii="Arial" w:hAnsi="Arial" w:cs="Arial"/>
          <w:lang w:val="en-US"/>
        </w:rPr>
      </w:pPr>
      <w:r>
        <w:rPr>
          <w:rStyle w:val="FootnoteReference"/>
        </w:rPr>
        <w:footnoteRef/>
      </w:r>
      <w:r>
        <w:t xml:space="preserve"> </w:t>
      </w:r>
      <w:r w:rsidRPr="00F13EFF">
        <w:rPr>
          <w:rFonts w:ascii="Arial" w:hAnsi="Arial" w:cs="Arial"/>
          <w:i/>
        </w:rPr>
        <w:t>Plascon-Evans Paints Ltd v Van Riebeeck Paints (Pty)Ltd</w:t>
      </w:r>
      <w:r>
        <w:rPr>
          <w:rFonts w:ascii="Arial" w:hAnsi="Arial" w:cs="Arial"/>
        </w:rPr>
        <w:t xml:space="preserve"> 1984(3)</w:t>
      </w:r>
      <w:r w:rsidR="00F13EFF">
        <w:rPr>
          <w:rFonts w:ascii="Arial" w:hAnsi="Arial" w:cs="Arial"/>
        </w:rPr>
        <w:t>SA 623 (A)</w:t>
      </w:r>
    </w:p>
  </w:footnote>
  <w:footnote w:id="15">
    <w:p w:rsidR="00E42525" w:rsidRPr="00E42525" w:rsidRDefault="00E42525">
      <w:pPr>
        <w:pStyle w:val="FootnoteText"/>
        <w:rPr>
          <w:rFonts w:ascii="Arial" w:hAnsi="Arial" w:cs="Arial"/>
          <w:lang w:val="en-US"/>
        </w:rPr>
      </w:pPr>
      <w:r>
        <w:rPr>
          <w:rStyle w:val="FootnoteReference"/>
        </w:rPr>
        <w:footnoteRef/>
      </w:r>
      <w:r>
        <w:t xml:space="preserve"> </w:t>
      </w:r>
      <w:r>
        <w:rPr>
          <w:rFonts w:ascii="Arial" w:hAnsi="Arial" w:cs="Arial"/>
        </w:rPr>
        <w:t>2009 (2) SA 277(SCA).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063356"/>
      <w:docPartObj>
        <w:docPartGallery w:val="Page Numbers (Top of Page)"/>
        <w:docPartUnique/>
      </w:docPartObj>
    </w:sdtPr>
    <w:sdtEndPr>
      <w:rPr>
        <w:noProof/>
      </w:rPr>
    </w:sdtEndPr>
    <w:sdtContent>
      <w:p w:rsidR="00782E4B" w:rsidRDefault="00782E4B">
        <w:pPr>
          <w:pStyle w:val="Header"/>
          <w:jc w:val="right"/>
        </w:pPr>
        <w:r>
          <w:fldChar w:fldCharType="begin"/>
        </w:r>
        <w:r>
          <w:instrText xml:space="preserve"> PAGE   \* MERGEFORMAT </w:instrText>
        </w:r>
        <w:r>
          <w:fldChar w:fldCharType="separate"/>
        </w:r>
        <w:r w:rsidR="00E50A4E">
          <w:rPr>
            <w:noProof/>
          </w:rPr>
          <w:t>2</w:t>
        </w:r>
        <w:r>
          <w:rPr>
            <w:noProof/>
          </w:rPr>
          <w:fldChar w:fldCharType="end"/>
        </w:r>
      </w:p>
    </w:sdtContent>
  </w:sdt>
  <w:p w:rsidR="00782E4B" w:rsidRDefault="0078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3A2"/>
    <w:multiLevelType w:val="hybridMultilevel"/>
    <w:tmpl w:val="0B44A9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44984"/>
    <w:multiLevelType w:val="multilevel"/>
    <w:tmpl w:val="962463D0"/>
    <w:lvl w:ilvl="0">
      <w:start w:val="13"/>
      <w:numFmt w:val="decimal"/>
      <w:lvlText w:val="%1"/>
      <w:lvlJc w:val="left"/>
      <w:pPr>
        <w:ind w:left="468" w:hanging="468"/>
      </w:pPr>
      <w:rPr>
        <w:rFonts w:hint="default"/>
      </w:rPr>
    </w:lvl>
    <w:lvl w:ilvl="1">
      <w:start w:val="7"/>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9FE7929"/>
    <w:multiLevelType w:val="hybridMultilevel"/>
    <w:tmpl w:val="04EAC108"/>
    <w:lvl w:ilvl="0" w:tplc="E4B0E136">
      <w:start w:val="1"/>
      <w:numFmt w:val="decimal"/>
      <w:lvlText w:val="[%1]"/>
      <w:lvlJc w:val="left"/>
      <w:pPr>
        <w:ind w:left="1440" w:firstLine="0"/>
      </w:pPr>
      <w:rPr>
        <w:rFonts w:ascii="Arial" w:hAnsi="Arial" w:cs="Arial" w:hint="default"/>
        <w:b w:val="0"/>
        <w:bCs w:val="0"/>
        <w:i w:val="0"/>
        <w:iCs w:val="0"/>
        <w:sz w:val="24"/>
        <w:szCs w:val="24"/>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0AF6254E"/>
    <w:multiLevelType w:val="multilevel"/>
    <w:tmpl w:val="B54CB31C"/>
    <w:lvl w:ilvl="0">
      <w:start w:val="13"/>
      <w:numFmt w:val="decimal"/>
      <w:lvlText w:val="%1"/>
      <w:lvlJc w:val="left"/>
      <w:pPr>
        <w:ind w:left="468" w:hanging="468"/>
      </w:pPr>
      <w:rPr>
        <w:rFonts w:hint="default"/>
      </w:rPr>
    </w:lvl>
    <w:lvl w:ilvl="1">
      <w:start w:val="8"/>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6D7B07"/>
    <w:multiLevelType w:val="multilevel"/>
    <w:tmpl w:val="40F0B6B6"/>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202204"/>
    <w:multiLevelType w:val="hybridMultilevel"/>
    <w:tmpl w:val="4CF6E21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85D419D"/>
    <w:multiLevelType w:val="multilevel"/>
    <w:tmpl w:val="C49E7D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EE525D"/>
    <w:multiLevelType w:val="multilevel"/>
    <w:tmpl w:val="1A4AD9D8"/>
    <w:lvl w:ilvl="0">
      <w:start w:val="13"/>
      <w:numFmt w:val="decimal"/>
      <w:lvlText w:val="%1"/>
      <w:lvlJc w:val="left"/>
      <w:pPr>
        <w:ind w:left="468" w:hanging="468"/>
      </w:pPr>
      <w:rPr>
        <w:rFonts w:hint="default"/>
      </w:rPr>
    </w:lvl>
    <w:lvl w:ilvl="1">
      <w:start w:val="8"/>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91F6D38"/>
    <w:multiLevelType w:val="multilevel"/>
    <w:tmpl w:val="9D8EB864"/>
    <w:lvl w:ilvl="0">
      <w:start w:val="13"/>
      <w:numFmt w:val="decimal"/>
      <w:lvlText w:val="%1"/>
      <w:lvlJc w:val="left"/>
      <w:pPr>
        <w:ind w:left="468" w:hanging="468"/>
      </w:pPr>
      <w:rPr>
        <w:rFonts w:hint="default"/>
      </w:rPr>
    </w:lvl>
    <w:lvl w:ilvl="1">
      <w:start w:val="6"/>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AA12C80"/>
    <w:multiLevelType w:val="multilevel"/>
    <w:tmpl w:val="CB58A77E"/>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D0962C9"/>
    <w:multiLevelType w:val="hybridMultilevel"/>
    <w:tmpl w:val="4D0088BC"/>
    <w:lvl w:ilvl="0" w:tplc="362A39C6">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5E220BB4"/>
    <w:multiLevelType w:val="hybridMultilevel"/>
    <w:tmpl w:val="724402B2"/>
    <w:lvl w:ilvl="0" w:tplc="1C090017">
      <w:start w:val="1"/>
      <w:numFmt w:val="lowerLetter"/>
      <w:lvlText w:val="%1)"/>
      <w:lvlJc w:val="left"/>
      <w:pPr>
        <w:ind w:left="1060" w:hanging="360"/>
      </w:pPr>
      <w:rPr>
        <w:rFonts w:cs="Times New Roman"/>
      </w:rPr>
    </w:lvl>
    <w:lvl w:ilvl="1" w:tplc="1C090019">
      <w:start w:val="1"/>
      <w:numFmt w:val="lowerLetter"/>
      <w:lvlText w:val="%2."/>
      <w:lvlJc w:val="left"/>
      <w:pPr>
        <w:ind w:left="1780" w:hanging="360"/>
      </w:pPr>
      <w:rPr>
        <w:rFonts w:cs="Times New Roman"/>
      </w:rPr>
    </w:lvl>
    <w:lvl w:ilvl="2" w:tplc="1C09001B">
      <w:start w:val="1"/>
      <w:numFmt w:val="lowerRoman"/>
      <w:lvlText w:val="%3."/>
      <w:lvlJc w:val="right"/>
      <w:pPr>
        <w:ind w:left="2500" w:hanging="180"/>
      </w:pPr>
      <w:rPr>
        <w:rFonts w:cs="Times New Roman"/>
      </w:rPr>
    </w:lvl>
    <w:lvl w:ilvl="3" w:tplc="1C09000F">
      <w:start w:val="1"/>
      <w:numFmt w:val="decimal"/>
      <w:lvlText w:val="%4."/>
      <w:lvlJc w:val="left"/>
      <w:pPr>
        <w:ind w:left="3220" w:hanging="360"/>
      </w:pPr>
      <w:rPr>
        <w:rFonts w:cs="Times New Roman"/>
      </w:rPr>
    </w:lvl>
    <w:lvl w:ilvl="4" w:tplc="1C090019">
      <w:start w:val="1"/>
      <w:numFmt w:val="lowerLetter"/>
      <w:lvlText w:val="%5."/>
      <w:lvlJc w:val="left"/>
      <w:pPr>
        <w:ind w:left="3940" w:hanging="360"/>
      </w:pPr>
      <w:rPr>
        <w:rFonts w:cs="Times New Roman"/>
      </w:rPr>
    </w:lvl>
    <w:lvl w:ilvl="5" w:tplc="1C09001B">
      <w:start w:val="1"/>
      <w:numFmt w:val="lowerRoman"/>
      <w:lvlText w:val="%6."/>
      <w:lvlJc w:val="right"/>
      <w:pPr>
        <w:ind w:left="4660" w:hanging="180"/>
      </w:pPr>
      <w:rPr>
        <w:rFonts w:cs="Times New Roman"/>
      </w:rPr>
    </w:lvl>
    <w:lvl w:ilvl="6" w:tplc="1C09000F">
      <w:start w:val="1"/>
      <w:numFmt w:val="decimal"/>
      <w:lvlText w:val="%7."/>
      <w:lvlJc w:val="left"/>
      <w:pPr>
        <w:ind w:left="5380" w:hanging="360"/>
      </w:pPr>
      <w:rPr>
        <w:rFonts w:cs="Times New Roman"/>
      </w:rPr>
    </w:lvl>
    <w:lvl w:ilvl="7" w:tplc="1C090019">
      <w:start w:val="1"/>
      <w:numFmt w:val="lowerLetter"/>
      <w:lvlText w:val="%8."/>
      <w:lvlJc w:val="left"/>
      <w:pPr>
        <w:ind w:left="6100" w:hanging="360"/>
      </w:pPr>
      <w:rPr>
        <w:rFonts w:cs="Times New Roman"/>
      </w:rPr>
    </w:lvl>
    <w:lvl w:ilvl="8" w:tplc="1C09001B">
      <w:start w:val="1"/>
      <w:numFmt w:val="lowerRoman"/>
      <w:lvlText w:val="%9."/>
      <w:lvlJc w:val="right"/>
      <w:pPr>
        <w:ind w:left="6820" w:hanging="180"/>
      </w:pPr>
      <w:rPr>
        <w:rFonts w:cs="Times New Roman"/>
      </w:rPr>
    </w:lvl>
  </w:abstractNum>
  <w:abstractNum w:abstractNumId="12">
    <w:nsid w:val="66BE4443"/>
    <w:multiLevelType w:val="multilevel"/>
    <w:tmpl w:val="CB308AA0"/>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3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69"/>
    <w:rsid w:val="0000162E"/>
    <w:rsid w:val="000030B7"/>
    <w:rsid w:val="00013FF7"/>
    <w:rsid w:val="00026D31"/>
    <w:rsid w:val="00027350"/>
    <w:rsid w:val="000338FC"/>
    <w:rsid w:val="000341D0"/>
    <w:rsid w:val="00035342"/>
    <w:rsid w:val="000451C0"/>
    <w:rsid w:val="00050F91"/>
    <w:rsid w:val="00051E43"/>
    <w:rsid w:val="00051F67"/>
    <w:rsid w:val="00054049"/>
    <w:rsid w:val="00060F91"/>
    <w:rsid w:val="000677D0"/>
    <w:rsid w:val="0008079C"/>
    <w:rsid w:val="00082B91"/>
    <w:rsid w:val="0008465A"/>
    <w:rsid w:val="00086CF2"/>
    <w:rsid w:val="00086E3A"/>
    <w:rsid w:val="0008724E"/>
    <w:rsid w:val="000875E6"/>
    <w:rsid w:val="00093204"/>
    <w:rsid w:val="00095F2B"/>
    <w:rsid w:val="000971F6"/>
    <w:rsid w:val="00097268"/>
    <w:rsid w:val="000A21F9"/>
    <w:rsid w:val="000B04EA"/>
    <w:rsid w:val="000B5DAE"/>
    <w:rsid w:val="000B7248"/>
    <w:rsid w:val="000B7D6B"/>
    <w:rsid w:val="000C0201"/>
    <w:rsid w:val="000C2275"/>
    <w:rsid w:val="000C42D6"/>
    <w:rsid w:val="000D158F"/>
    <w:rsid w:val="000D3EE2"/>
    <w:rsid w:val="000D4525"/>
    <w:rsid w:val="000E1299"/>
    <w:rsid w:val="000E1A02"/>
    <w:rsid w:val="000E1E4B"/>
    <w:rsid w:val="000E33C3"/>
    <w:rsid w:val="000E33F3"/>
    <w:rsid w:val="000E359D"/>
    <w:rsid w:val="000E6012"/>
    <w:rsid w:val="000E60C0"/>
    <w:rsid w:val="000E6BE2"/>
    <w:rsid w:val="000F5669"/>
    <w:rsid w:val="0010270D"/>
    <w:rsid w:val="00104C64"/>
    <w:rsid w:val="0011416A"/>
    <w:rsid w:val="00123E9E"/>
    <w:rsid w:val="00124EF7"/>
    <w:rsid w:val="0014360D"/>
    <w:rsid w:val="00143A91"/>
    <w:rsid w:val="00143E1B"/>
    <w:rsid w:val="00147DEF"/>
    <w:rsid w:val="00154F7D"/>
    <w:rsid w:val="00155A73"/>
    <w:rsid w:val="00163CA4"/>
    <w:rsid w:val="00166BC6"/>
    <w:rsid w:val="001752C6"/>
    <w:rsid w:val="00180448"/>
    <w:rsid w:val="001851FB"/>
    <w:rsid w:val="0019194D"/>
    <w:rsid w:val="00197A68"/>
    <w:rsid w:val="001A45B2"/>
    <w:rsid w:val="001A4B88"/>
    <w:rsid w:val="001A52BB"/>
    <w:rsid w:val="001B1154"/>
    <w:rsid w:val="001B3806"/>
    <w:rsid w:val="001B410D"/>
    <w:rsid w:val="001B5933"/>
    <w:rsid w:val="001B7124"/>
    <w:rsid w:val="001B727E"/>
    <w:rsid w:val="001C0FBE"/>
    <w:rsid w:val="001C190D"/>
    <w:rsid w:val="001C1D97"/>
    <w:rsid w:val="001C5777"/>
    <w:rsid w:val="001D371F"/>
    <w:rsid w:val="001D505C"/>
    <w:rsid w:val="001D6997"/>
    <w:rsid w:val="00202503"/>
    <w:rsid w:val="00210745"/>
    <w:rsid w:val="00216832"/>
    <w:rsid w:val="00220CCF"/>
    <w:rsid w:val="0022534D"/>
    <w:rsid w:val="00234CC2"/>
    <w:rsid w:val="00241FBD"/>
    <w:rsid w:val="00252FFD"/>
    <w:rsid w:val="0025382A"/>
    <w:rsid w:val="0025529D"/>
    <w:rsid w:val="00265210"/>
    <w:rsid w:val="002753BA"/>
    <w:rsid w:val="0028290E"/>
    <w:rsid w:val="002838D7"/>
    <w:rsid w:val="00292719"/>
    <w:rsid w:val="00294222"/>
    <w:rsid w:val="002A0834"/>
    <w:rsid w:val="002A34B3"/>
    <w:rsid w:val="002A3EF7"/>
    <w:rsid w:val="002B0FA8"/>
    <w:rsid w:val="002B16A9"/>
    <w:rsid w:val="002B5669"/>
    <w:rsid w:val="002C4F47"/>
    <w:rsid w:val="002D2745"/>
    <w:rsid w:val="002D5081"/>
    <w:rsid w:val="002E17FB"/>
    <w:rsid w:val="002E49F8"/>
    <w:rsid w:val="002E7C2A"/>
    <w:rsid w:val="002F64A2"/>
    <w:rsid w:val="002F677B"/>
    <w:rsid w:val="00305803"/>
    <w:rsid w:val="00305E36"/>
    <w:rsid w:val="00311FD8"/>
    <w:rsid w:val="0031238C"/>
    <w:rsid w:val="00314AA7"/>
    <w:rsid w:val="00323B19"/>
    <w:rsid w:val="003267D4"/>
    <w:rsid w:val="00347752"/>
    <w:rsid w:val="00356D8F"/>
    <w:rsid w:val="003615D5"/>
    <w:rsid w:val="003625D5"/>
    <w:rsid w:val="0036725A"/>
    <w:rsid w:val="003675CD"/>
    <w:rsid w:val="0037195D"/>
    <w:rsid w:val="00373BF0"/>
    <w:rsid w:val="0037680E"/>
    <w:rsid w:val="003815FF"/>
    <w:rsid w:val="00384640"/>
    <w:rsid w:val="00385044"/>
    <w:rsid w:val="003850AE"/>
    <w:rsid w:val="00385666"/>
    <w:rsid w:val="003859F2"/>
    <w:rsid w:val="00393292"/>
    <w:rsid w:val="00395833"/>
    <w:rsid w:val="00397B56"/>
    <w:rsid w:val="003A0301"/>
    <w:rsid w:val="003A49A1"/>
    <w:rsid w:val="003A7B83"/>
    <w:rsid w:val="003B024B"/>
    <w:rsid w:val="003B5423"/>
    <w:rsid w:val="003C5023"/>
    <w:rsid w:val="003C7324"/>
    <w:rsid w:val="003D1F79"/>
    <w:rsid w:val="003D4453"/>
    <w:rsid w:val="003E08FA"/>
    <w:rsid w:val="003E5F53"/>
    <w:rsid w:val="003F08CD"/>
    <w:rsid w:val="003F1480"/>
    <w:rsid w:val="003F1B55"/>
    <w:rsid w:val="003F6467"/>
    <w:rsid w:val="00410A7C"/>
    <w:rsid w:val="00412EC4"/>
    <w:rsid w:val="004136EE"/>
    <w:rsid w:val="00414282"/>
    <w:rsid w:val="004165D2"/>
    <w:rsid w:val="00433D16"/>
    <w:rsid w:val="004452C8"/>
    <w:rsid w:val="00445808"/>
    <w:rsid w:val="004478E5"/>
    <w:rsid w:val="00450651"/>
    <w:rsid w:val="00452F0D"/>
    <w:rsid w:val="00456737"/>
    <w:rsid w:val="00457479"/>
    <w:rsid w:val="00461D19"/>
    <w:rsid w:val="004653F0"/>
    <w:rsid w:val="004735BB"/>
    <w:rsid w:val="00477ED0"/>
    <w:rsid w:val="00494331"/>
    <w:rsid w:val="004A61EB"/>
    <w:rsid w:val="004B2ECA"/>
    <w:rsid w:val="004B68F7"/>
    <w:rsid w:val="004C3A55"/>
    <w:rsid w:val="004C3C19"/>
    <w:rsid w:val="004C77E0"/>
    <w:rsid w:val="004C7FC7"/>
    <w:rsid w:val="004D0614"/>
    <w:rsid w:val="004D6C34"/>
    <w:rsid w:val="004D6FB8"/>
    <w:rsid w:val="004E4674"/>
    <w:rsid w:val="004E6132"/>
    <w:rsid w:val="004F1384"/>
    <w:rsid w:val="004F47B7"/>
    <w:rsid w:val="004F6416"/>
    <w:rsid w:val="004F6CF5"/>
    <w:rsid w:val="00502611"/>
    <w:rsid w:val="00507F8A"/>
    <w:rsid w:val="005124D8"/>
    <w:rsid w:val="005126E8"/>
    <w:rsid w:val="00513480"/>
    <w:rsid w:val="005158F5"/>
    <w:rsid w:val="005179DB"/>
    <w:rsid w:val="00530DC5"/>
    <w:rsid w:val="00533122"/>
    <w:rsid w:val="00535381"/>
    <w:rsid w:val="00537AD1"/>
    <w:rsid w:val="005403E6"/>
    <w:rsid w:val="00541942"/>
    <w:rsid w:val="00544288"/>
    <w:rsid w:val="00545346"/>
    <w:rsid w:val="00554742"/>
    <w:rsid w:val="00564154"/>
    <w:rsid w:val="00564566"/>
    <w:rsid w:val="00564B95"/>
    <w:rsid w:val="00565635"/>
    <w:rsid w:val="00565860"/>
    <w:rsid w:val="005664A5"/>
    <w:rsid w:val="00567C1A"/>
    <w:rsid w:val="0057670D"/>
    <w:rsid w:val="005769B6"/>
    <w:rsid w:val="00593D83"/>
    <w:rsid w:val="00597C7C"/>
    <w:rsid w:val="005A3E95"/>
    <w:rsid w:val="005A4E76"/>
    <w:rsid w:val="005B0A0F"/>
    <w:rsid w:val="005B6C0A"/>
    <w:rsid w:val="005C28BD"/>
    <w:rsid w:val="005D42C9"/>
    <w:rsid w:val="005D497C"/>
    <w:rsid w:val="005E1864"/>
    <w:rsid w:val="005E421D"/>
    <w:rsid w:val="005F26FD"/>
    <w:rsid w:val="005F4E2F"/>
    <w:rsid w:val="005F7E3A"/>
    <w:rsid w:val="006007D5"/>
    <w:rsid w:val="0060193F"/>
    <w:rsid w:val="00602061"/>
    <w:rsid w:val="0060351F"/>
    <w:rsid w:val="00612B8F"/>
    <w:rsid w:val="00612BEA"/>
    <w:rsid w:val="0062267D"/>
    <w:rsid w:val="006305DC"/>
    <w:rsid w:val="00641B7A"/>
    <w:rsid w:val="00642E63"/>
    <w:rsid w:val="00655190"/>
    <w:rsid w:val="00660630"/>
    <w:rsid w:val="00662F53"/>
    <w:rsid w:val="00665484"/>
    <w:rsid w:val="00674885"/>
    <w:rsid w:val="006763BF"/>
    <w:rsid w:val="006866E6"/>
    <w:rsid w:val="00693DCC"/>
    <w:rsid w:val="006A3ACB"/>
    <w:rsid w:val="006A4AEB"/>
    <w:rsid w:val="006B121E"/>
    <w:rsid w:val="006B17BA"/>
    <w:rsid w:val="006D5B5C"/>
    <w:rsid w:val="006D6325"/>
    <w:rsid w:val="006D763D"/>
    <w:rsid w:val="00704171"/>
    <w:rsid w:val="00715205"/>
    <w:rsid w:val="00716BB6"/>
    <w:rsid w:val="00721584"/>
    <w:rsid w:val="00727505"/>
    <w:rsid w:val="007309E4"/>
    <w:rsid w:val="00735797"/>
    <w:rsid w:val="007511D5"/>
    <w:rsid w:val="00751C91"/>
    <w:rsid w:val="00757F5F"/>
    <w:rsid w:val="00764112"/>
    <w:rsid w:val="007659A1"/>
    <w:rsid w:val="007818A7"/>
    <w:rsid w:val="00782E4B"/>
    <w:rsid w:val="00784F7E"/>
    <w:rsid w:val="00787B97"/>
    <w:rsid w:val="0079763A"/>
    <w:rsid w:val="00797B63"/>
    <w:rsid w:val="007A2235"/>
    <w:rsid w:val="007A2475"/>
    <w:rsid w:val="007B7022"/>
    <w:rsid w:val="007B7F42"/>
    <w:rsid w:val="007C010D"/>
    <w:rsid w:val="007C2F12"/>
    <w:rsid w:val="007C5047"/>
    <w:rsid w:val="007C6898"/>
    <w:rsid w:val="007D0C1A"/>
    <w:rsid w:val="007D1E9A"/>
    <w:rsid w:val="007D2DF5"/>
    <w:rsid w:val="007D4F05"/>
    <w:rsid w:val="007E092C"/>
    <w:rsid w:val="007E7E61"/>
    <w:rsid w:val="007F3119"/>
    <w:rsid w:val="007F78F2"/>
    <w:rsid w:val="00811D6D"/>
    <w:rsid w:val="00812E5F"/>
    <w:rsid w:val="008139F8"/>
    <w:rsid w:val="00813F8B"/>
    <w:rsid w:val="008140D2"/>
    <w:rsid w:val="00814DB8"/>
    <w:rsid w:val="008168A1"/>
    <w:rsid w:val="008226AE"/>
    <w:rsid w:val="00823AFB"/>
    <w:rsid w:val="008243F0"/>
    <w:rsid w:val="00825C47"/>
    <w:rsid w:val="0083022E"/>
    <w:rsid w:val="008303E0"/>
    <w:rsid w:val="00833422"/>
    <w:rsid w:val="00833BC2"/>
    <w:rsid w:val="00846AF9"/>
    <w:rsid w:val="00846E50"/>
    <w:rsid w:val="00847876"/>
    <w:rsid w:val="00851CD9"/>
    <w:rsid w:val="008602CC"/>
    <w:rsid w:val="0086340C"/>
    <w:rsid w:val="00864F4E"/>
    <w:rsid w:val="008664ED"/>
    <w:rsid w:val="008677ED"/>
    <w:rsid w:val="00880F84"/>
    <w:rsid w:val="00884ABC"/>
    <w:rsid w:val="008853E9"/>
    <w:rsid w:val="008865F7"/>
    <w:rsid w:val="0089068A"/>
    <w:rsid w:val="008A4BFA"/>
    <w:rsid w:val="008A4D35"/>
    <w:rsid w:val="008B3679"/>
    <w:rsid w:val="008B524F"/>
    <w:rsid w:val="008B694E"/>
    <w:rsid w:val="008B6E42"/>
    <w:rsid w:val="008C65C6"/>
    <w:rsid w:val="008D517E"/>
    <w:rsid w:val="008E2C09"/>
    <w:rsid w:val="008F6D6C"/>
    <w:rsid w:val="009038A6"/>
    <w:rsid w:val="00903D08"/>
    <w:rsid w:val="009062F3"/>
    <w:rsid w:val="00924116"/>
    <w:rsid w:val="00925A7C"/>
    <w:rsid w:val="00927971"/>
    <w:rsid w:val="009408C5"/>
    <w:rsid w:val="009414F2"/>
    <w:rsid w:val="00942CD2"/>
    <w:rsid w:val="00942EC8"/>
    <w:rsid w:val="00945D19"/>
    <w:rsid w:val="00950FB4"/>
    <w:rsid w:val="00954245"/>
    <w:rsid w:val="00960177"/>
    <w:rsid w:val="0096621B"/>
    <w:rsid w:val="009865A9"/>
    <w:rsid w:val="00990669"/>
    <w:rsid w:val="00992240"/>
    <w:rsid w:val="009958C5"/>
    <w:rsid w:val="00996088"/>
    <w:rsid w:val="00997403"/>
    <w:rsid w:val="009A610E"/>
    <w:rsid w:val="009A7C85"/>
    <w:rsid w:val="009B2A42"/>
    <w:rsid w:val="009B31D9"/>
    <w:rsid w:val="009B54CA"/>
    <w:rsid w:val="009C1E4A"/>
    <w:rsid w:val="009C3A3A"/>
    <w:rsid w:val="009C6C35"/>
    <w:rsid w:val="009C7742"/>
    <w:rsid w:val="009D0FFD"/>
    <w:rsid w:val="009D5113"/>
    <w:rsid w:val="009E7D4F"/>
    <w:rsid w:val="00A01035"/>
    <w:rsid w:val="00A06619"/>
    <w:rsid w:val="00A27010"/>
    <w:rsid w:val="00A3121A"/>
    <w:rsid w:val="00A34237"/>
    <w:rsid w:val="00A37BEF"/>
    <w:rsid w:val="00A41C6F"/>
    <w:rsid w:val="00A44A7E"/>
    <w:rsid w:val="00A504EB"/>
    <w:rsid w:val="00A563F9"/>
    <w:rsid w:val="00A57EAA"/>
    <w:rsid w:val="00A73072"/>
    <w:rsid w:val="00A82928"/>
    <w:rsid w:val="00A944A9"/>
    <w:rsid w:val="00A95BC5"/>
    <w:rsid w:val="00AA2B75"/>
    <w:rsid w:val="00AA783C"/>
    <w:rsid w:val="00AB52FD"/>
    <w:rsid w:val="00AB7D5F"/>
    <w:rsid w:val="00AC0DB0"/>
    <w:rsid w:val="00AE13AA"/>
    <w:rsid w:val="00AE267E"/>
    <w:rsid w:val="00AE31AC"/>
    <w:rsid w:val="00AF4CAB"/>
    <w:rsid w:val="00AF559D"/>
    <w:rsid w:val="00AF5AFF"/>
    <w:rsid w:val="00B07844"/>
    <w:rsid w:val="00B11CEA"/>
    <w:rsid w:val="00B209E9"/>
    <w:rsid w:val="00B31C42"/>
    <w:rsid w:val="00B33CCF"/>
    <w:rsid w:val="00B37DF9"/>
    <w:rsid w:val="00B429FA"/>
    <w:rsid w:val="00B42D76"/>
    <w:rsid w:val="00B47A96"/>
    <w:rsid w:val="00B50FC8"/>
    <w:rsid w:val="00B60D7D"/>
    <w:rsid w:val="00B67C25"/>
    <w:rsid w:val="00B75522"/>
    <w:rsid w:val="00B75CEC"/>
    <w:rsid w:val="00B83DC5"/>
    <w:rsid w:val="00B8507F"/>
    <w:rsid w:val="00B909C3"/>
    <w:rsid w:val="00B91EE6"/>
    <w:rsid w:val="00B933C6"/>
    <w:rsid w:val="00B93D54"/>
    <w:rsid w:val="00B95408"/>
    <w:rsid w:val="00B9635C"/>
    <w:rsid w:val="00B963A3"/>
    <w:rsid w:val="00BA2860"/>
    <w:rsid w:val="00BB0B50"/>
    <w:rsid w:val="00BB5F6D"/>
    <w:rsid w:val="00BB5FBB"/>
    <w:rsid w:val="00BD45F7"/>
    <w:rsid w:val="00BD653A"/>
    <w:rsid w:val="00BD72DE"/>
    <w:rsid w:val="00BE2BF8"/>
    <w:rsid w:val="00BE4206"/>
    <w:rsid w:val="00BE6882"/>
    <w:rsid w:val="00BE7722"/>
    <w:rsid w:val="00BF04BB"/>
    <w:rsid w:val="00BF24D7"/>
    <w:rsid w:val="00BF272F"/>
    <w:rsid w:val="00C20A49"/>
    <w:rsid w:val="00C26E33"/>
    <w:rsid w:val="00C32BE7"/>
    <w:rsid w:val="00C3550F"/>
    <w:rsid w:val="00C3616E"/>
    <w:rsid w:val="00C42BA8"/>
    <w:rsid w:val="00C50B61"/>
    <w:rsid w:val="00C53F40"/>
    <w:rsid w:val="00C53FD5"/>
    <w:rsid w:val="00C635D4"/>
    <w:rsid w:val="00C64F9C"/>
    <w:rsid w:val="00C700D7"/>
    <w:rsid w:val="00C739B3"/>
    <w:rsid w:val="00C77E7B"/>
    <w:rsid w:val="00C91AAD"/>
    <w:rsid w:val="00CA2938"/>
    <w:rsid w:val="00CB15A9"/>
    <w:rsid w:val="00CB34CA"/>
    <w:rsid w:val="00CB4151"/>
    <w:rsid w:val="00CC58F5"/>
    <w:rsid w:val="00CC6472"/>
    <w:rsid w:val="00CC6C0C"/>
    <w:rsid w:val="00CE05DA"/>
    <w:rsid w:val="00CE3F8D"/>
    <w:rsid w:val="00CE6E09"/>
    <w:rsid w:val="00CE751B"/>
    <w:rsid w:val="00D01613"/>
    <w:rsid w:val="00D108CA"/>
    <w:rsid w:val="00D23945"/>
    <w:rsid w:val="00D300A7"/>
    <w:rsid w:val="00D30EE9"/>
    <w:rsid w:val="00D34E06"/>
    <w:rsid w:val="00D46847"/>
    <w:rsid w:val="00D47816"/>
    <w:rsid w:val="00D54310"/>
    <w:rsid w:val="00D55BA7"/>
    <w:rsid w:val="00D5786E"/>
    <w:rsid w:val="00D60F95"/>
    <w:rsid w:val="00D71A6B"/>
    <w:rsid w:val="00D75BAD"/>
    <w:rsid w:val="00D763DC"/>
    <w:rsid w:val="00D84C05"/>
    <w:rsid w:val="00D85B3E"/>
    <w:rsid w:val="00D85EBA"/>
    <w:rsid w:val="00D90516"/>
    <w:rsid w:val="00D9419C"/>
    <w:rsid w:val="00D95C06"/>
    <w:rsid w:val="00DB0BE5"/>
    <w:rsid w:val="00DB1756"/>
    <w:rsid w:val="00DB3CCD"/>
    <w:rsid w:val="00DC1D09"/>
    <w:rsid w:val="00DD5CA5"/>
    <w:rsid w:val="00DE1B4B"/>
    <w:rsid w:val="00DE2954"/>
    <w:rsid w:val="00DE5923"/>
    <w:rsid w:val="00DF38C5"/>
    <w:rsid w:val="00DF54FB"/>
    <w:rsid w:val="00DF5DAA"/>
    <w:rsid w:val="00E04084"/>
    <w:rsid w:val="00E10A72"/>
    <w:rsid w:val="00E1389F"/>
    <w:rsid w:val="00E23082"/>
    <w:rsid w:val="00E25C11"/>
    <w:rsid w:val="00E30669"/>
    <w:rsid w:val="00E4073F"/>
    <w:rsid w:val="00E42525"/>
    <w:rsid w:val="00E43B30"/>
    <w:rsid w:val="00E47ACA"/>
    <w:rsid w:val="00E50A4E"/>
    <w:rsid w:val="00E520C7"/>
    <w:rsid w:val="00E5700B"/>
    <w:rsid w:val="00E57BF1"/>
    <w:rsid w:val="00E61DD6"/>
    <w:rsid w:val="00E6212B"/>
    <w:rsid w:val="00E62CE6"/>
    <w:rsid w:val="00E63393"/>
    <w:rsid w:val="00E723A8"/>
    <w:rsid w:val="00E72A95"/>
    <w:rsid w:val="00E75694"/>
    <w:rsid w:val="00E777A0"/>
    <w:rsid w:val="00E83CCB"/>
    <w:rsid w:val="00E83E74"/>
    <w:rsid w:val="00E842F1"/>
    <w:rsid w:val="00E84A36"/>
    <w:rsid w:val="00E86279"/>
    <w:rsid w:val="00E86ECC"/>
    <w:rsid w:val="00EA3BAA"/>
    <w:rsid w:val="00EA3D65"/>
    <w:rsid w:val="00EB43B6"/>
    <w:rsid w:val="00EC5030"/>
    <w:rsid w:val="00ED47E9"/>
    <w:rsid w:val="00ED503C"/>
    <w:rsid w:val="00ED5288"/>
    <w:rsid w:val="00ED6FCA"/>
    <w:rsid w:val="00ED753F"/>
    <w:rsid w:val="00ED7A7E"/>
    <w:rsid w:val="00EE16BA"/>
    <w:rsid w:val="00EF0AEC"/>
    <w:rsid w:val="00EF72F7"/>
    <w:rsid w:val="00F01015"/>
    <w:rsid w:val="00F03945"/>
    <w:rsid w:val="00F10765"/>
    <w:rsid w:val="00F107DE"/>
    <w:rsid w:val="00F13EFF"/>
    <w:rsid w:val="00F16E8A"/>
    <w:rsid w:val="00F2686E"/>
    <w:rsid w:val="00F44D54"/>
    <w:rsid w:val="00F45ED8"/>
    <w:rsid w:val="00F53A0F"/>
    <w:rsid w:val="00F54168"/>
    <w:rsid w:val="00F743F8"/>
    <w:rsid w:val="00F87A6A"/>
    <w:rsid w:val="00F93CDA"/>
    <w:rsid w:val="00F97352"/>
    <w:rsid w:val="00FA1533"/>
    <w:rsid w:val="00FA613B"/>
    <w:rsid w:val="00FB0C08"/>
    <w:rsid w:val="00FB48B7"/>
    <w:rsid w:val="00FB7C72"/>
    <w:rsid w:val="00FC003D"/>
    <w:rsid w:val="00FC2E54"/>
    <w:rsid w:val="00FC6D2C"/>
    <w:rsid w:val="00FF3F98"/>
    <w:rsid w:val="00FF41A2"/>
    <w:rsid w:val="00FF42E7"/>
    <w:rsid w:val="00FF61AD"/>
    <w:rsid w:val="00FF7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0558E-792D-4033-9102-8F5517A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FB"/>
    <w:pPr>
      <w:spacing w:line="252" w:lineRule="auto"/>
    </w:pPr>
  </w:style>
  <w:style w:type="paragraph" w:styleId="Heading1">
    <w:name w:val="heading 1"/>
    <w:basedOn w:val="Normal"/>
    <w:next w:val="Normal"/>
    <w:link w:val="Heading1Char"/>
    <w:qFormat/>
    <w:rsid w:val="002E17FB"/>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7FB"/>
    <w:rPr>
      <w:rFonts w:ascii="Times New Roman" w:eastAsia="Times New Roman" w:hAnsi="Times New Roman" w:cs="Times New Roman"/>
      <w:sz w:val="24"/>
      <w:szCs w:val="20"/>
      <w:u w:val="single"/>
      <w:lang w:val="en-AU"/>
    </w:rPr>
  </w:style>
  <w:style w:type="table" w:styleId="TableGrid">
    <w:name w:val="Table Grid"/>
    <w:basedOn w:val="TableNormal"/>
    <w:uiPriority w:val="59"/>
    <w:rsid w:val="002E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48B7"/>
    <w:pPr>
      <w:spacing w:before="144" w:after="288"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FB4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8B7"/>
    <w:rPr>
      <w:sz w:val="20"/>
      <w:szCs w:val="20"/>
    </w:rPr>
  </w:style>
  <w:style w:type="paragraph" w:styleId="ListParagraph">
    <w:name w:val="List Paragraph"/>
    <w:basedOn w:val="Normal"/>
    <w:uiPriority w:val="1"/>
    <w:qFormat/>
    <w:rsid w:val="00FB48B7"/>
    <w:pPr>
      <w:spacing w:line="254" w:lineRule="auto"/>
      <w:ind w:left="720"/>
      <w:contextualSpacing/>
    </w:pPr>
  </w:style>
  <w:style w:type="character" w:styleId="FootnoteReference">
    <w:name w:val="footnote reference"/>
    <w:basedOn w:val="DefaultParagraphFont"/>
    <w:uiPriority w:val="99"/>
    <w:semiHidden/>
    <w:unhideWhenUsed/>
    <w:rsid w:val="00FB48B7"/>
    <w:rPr>
      <w:vertAlign w:val="superscript"/>
    </w:rPr>
  </w:style>
  <w:style w:type="paragraph" w:styleId="Header">
    <w:name w:val="header"/>
    <w:basedOn w:val="Normal"/>
    <w:link w:val="HeaderChar"/>
    <w:uiPriority w:val="99"/>
    <w:unhideWhenUsed/>
    <w:rsid w:val="00F0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15"/>
  </w:style>
  <w:style w:type="paragraph" w:styleId="Footer">
    <w:name w:val="footer"/>
    <w:basedOn w:val="Normal"/>
    <w:link w:val="FooterChar"/>
    <w:uiPriority w:val="99"/>
    <w:unhideWhenUsed/>
    <w:rsid w:val="00F0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15"/>
  </w:style>
  <w:style w:type="paragraph" w:styleId="BalloonText">
    <w:name w:val="Balloon Text"/>
    <w:basedOn w:val="Normal"/>
    <w:link w:val="BalloonTextChar"/>
    <w:uiPriority w:val="99"/>
    <w:semiHidden/>
    <w:unhideWhenUsed/>
    <w:rsid w:val="001D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1F"/>
    <w:rPr>
      <w:rFonts w:ascii="Segoe UI" w:hAnsi="Segoe UI" w:cs="Segoe UI"/>
      <w:sz w:val="18"/>
      <w:szCs w:val="18"/>
    </w:rPr>
  </w:style>
  <w:style w:type="character" w:customStyle="1" w:styleId="mc">
    <w:name w:val="mc"/>
    <w:basedOn w:val="DefaultParagraphFont"/>
    <w:rsid w:val="009414F2"/>
  </w:style>
  <w:style w:type="paragraph" w:styleId="Revision">
    <w:name w:val="Revision"/>
    <w:hidden/>
    <w:uiPriority w:val="99"/>
    <w:semiHidden/>
    <w:rsid w:val="00E86279"/>
    <w:pPr>
      <w:spacing w:after="0" w:line="240" w:lineRule="auto"/>
    </w:pPr>
  </w:style>
  <w:style w:type="character" w:customStyle="1" w:styleId="g1">
    <w:name w:val="g1"/>
    <w:basedOn w:val="DefaultParagraphFont"/>
    <w:rsid w:val="003615D5"/>
  </w:style>
  <w:style w:type="character" w:styleId="Hyperlink">
    <w:name w:val="Hyperlink"/>
    <w:basedOn w:val="DefaultParagraphFont"/>
    <w:uiPriority w:val="99"/>
    <w:semiHidden/>
    <w:unhideWhenUsed/>
    <w:rsid w:val="003615D5"/>
    <w:rPr>
      <w:color w:val="0000FF"/>
      <w:u w:val="single"/>
    </w:rPr>
  </w:style>
  <w:style w:type="paragraph" w:styleId="BodyText">
    <w:name w:val="Body Text"/>
    <w:basedOn w:val="Normal"/>
    <w:link w:val="BodyTextChar"/>
    <w:uiPriority w:val="99"/>
    <w:unhideWhenUsed/>
    <w:rsid w:val="005A4E76"/>
    <w:pPr>
      <w:spacing w:after="120" w:line="276" w:lineRule="auto"/>
    </w:pPr>
    <w:rPr>
      <w:rFonts w:ascii="Microsoft YaHei" w:eastAsia="Microsoft YaHei" w:hAnsi="Microsoft YaHei"/>
      <w:lang w:val="en-US"/>
    </w:rPr>
  </w:style>
  <w:style w:type="character" w:customStyle="1" w:styleId="BodyTextChar">
    <w:name w:val="Body Text Char"/>
    <w:basedOn w:val="DefaultParagraphFont"/>
    <w:link w:val="BodyText"/>
    <w:uiPriority w:val="99"/>
    <w:rsid w:val="005A4E76"/>
    <w:rPr>
      <w:rFonts w:ascii="Microsoft YaHei" w:eastAsia="Microsoft YaHei" w:hAnsi="Microsoft YaHei"/>
      <w:lang w:val="en-US"/>
    </w:rPr>
  </w:style>
  <w:style w:type="paragraph" w:styleId="NoSpacing">
    <w:name w:val="No Spacing"/>
    <w:uiPriority w:val="1"/>
    <w:qFormat/>
    <w:rsid w:val="00050F91"/>
    <w:pPr>
      <w:spacing w:after="0" w:line="240" w:lineRule="auto"/>
    </w:pPr>
    <w:rPr>
      <w:rFonts w:eastAsia="Times New Roman" w:cs="Times New Roman"/>
    </w:rPr>
  </w:style>
  <w:style w:type="character" w:customStyle="1" w:styleId="apple-converted-space">
    <w:name w:val="apple-converted-space"/>
    <w:basedOn w:val="DefaultParagraphFont"/>
    <w:rsid w:val="008D517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34">
      <w:bodyDiv w:val="1"/>
      <w:marLeft w:val="0"/>
      <w:marRight w:val="0"/>
      <w:marTop w:val="0"/>
      <w:marBottom w:val="0"/>
      <w:divBdr>
        <w:top w:val="none" w:sz="0" w:space="0" w:color="auto"/>
        <w:left w:val="none" w:sz="0" w:space="0" w:color="auto"/>
        <w:bottom w:val="none" w:sz="0" w:space="0" w:color="auto"/>
        <w:right w:val="none" w:sz="0" w:space="0" w:color="auto"/>
      </w:divBdr>
    </w:div>
    <w:div w:id="111218025">
      <w:bodyDiv w:val="1"/>
      <w:marLeft w:val="0"/>
      <w:marRight w:val="0"/>
      <w:marTop w:val="0"/>
      <w:marBottom w:val="0"/>
      <w:divBdr>
        <w:top w:val="none" w:sz="0" w:space="0" w:color="auto"/>
        <w:left w:val="none" w:sz="0" w:space="0" w:color="auto"/>
        <w:bottom w:val="none" w:sz="0" w:space="0" w:color="auto"/>
        <w:right w:val="none" w:sz="0" w:space="0" w:color="auto"/>
      </w:divBdr>
    </w:div>
    <w:div w:id="144048397">
      <w:bodyDiv w:val="1"/>
      <w:marLeft w:val="0"/>
      <w:marRight w:val="0"/>
      <w:marTop w:val="0"/>
      <w:marBottom w:val="0"/>
      <w:divBdr>
        <w:top w:val="none" w:sz="0" w:space="0" w:color="auto"/>
        <w:left w:val="none" w:sz="0" w:space="0" w:color="auto"/>
        <w:bottom w:val="none" w:sz="0" w:space="0" w:color="auto"/>
        <w:right w:val="none" w:sz="0" w:space="0" w:color="auto"/>
      </w:divBdr>
    </w:div>
    <w:div w:id="297346623">
      <w:bodyDiv w:val="1"/>
      <w:marLeft w:val="0"/>
      <w:marRight w:val="0"/>
      <w:marTop w:val="0"/>
      <w:marBottom w:val="0"/>
      <w:divBdr>
        <w:top w:val="none" w:sz="0" w:space="0" w:color="auto"/>
        <w:left w:val="none" w:sz="0" w:space="0" w:color="auto"/>
        <w:bottom w:val="none" w:sz="0" w:space="0" w:color="auto"/>
        <w:right w:val="none" w:sz="0" w:space="0" w:color="auto"/>
      </w:divBdr>
    </w:div>
    <w:div w:id="413283415">
      <w:bodyDiv w:val="1"/>
      <w:marLeft w:val="0"/>
      <w:marRight w:val="0"/>
      <w:marTop w:val="0"/>
      <w:marBottom w:val="0"/>
      <w:divBdr>
        <w:top w:val="none" w:sz="0" w:space="0" w:color="auto"/>
        <w:left w:val="none" w:sz="0" w:space="0" w:color="auto"/>
        <w:bottom w:val="none" w:sz="0" w:space="0" w:color="auto"/>
        <w:right w:val="none" w:sz="0" w:space="0" w:color="auto"/>
      </w:divBdr>
    </w:div>
    <w:div w:id="466581542">
      <w:bodyDiv w:val="1"/>
      <w:marLeft w:val="0"/>
      <w:marRight w:val="0"/>
      <w:marTop w:val="0"/>
      <w:marBottom w:val="0"/>
      <w:divBdr>
        <w:top w:val="none" w:sz="0" w:space="0" w:color="auto"/>
        <w:left w:val="none" w:sz="0" w:space="0" w:color="auto"/>
        <w:bottom w:val="none" w:sz="0" w:space="0" w:color="auto"/>
        <w:right w:val="none" w:sz="0" w:space="0" w:color="auto"/>
      </w:divBdr>
    </w:div>
    <w:div w:id="706413973">
      <w:bodyDiv w:val="1"/>
      <w:marLeft w:val="0"/>
      <w:marRight w:val="0"/>
      <w:marTop w:val="0"/>
      <w:marBottom w:val="0"/>
      <w:divBdr>
        <w:top w:val="none" w:sz="0" w:space="0" w:color="auto"/>
        <w:left w:val="none" w:sz="0" w:space="0" w:color="auto"/>
        <w:bottom w:val="none" w:sz="0" w:space="0" w:color="auto"/>
        <w:right w:val="none" w:sz="0" w:space="0" w:color="auto"/>
      </w:divBdr>
    </w:div>
    <w:div w:id="811991124">
      <w:bodyDiv w:val="1"/>
      <w:marLeft w:val="0"/>
      <w:marRight w:val="0"/>
      <w:marTop w:val="0"/>
      <w:marBottom w:val="0"/>
      <w:divBdr>
        <w:top w:val="none" w:sz="0" w:space="0" w:color="auto"/>
        <w:left w:val="none" w:sz="0" w:space="0" w:color="auto"/>
        <w:bottom w:val="none" w:sz="0" w:space="0" w:color="auto"/>
        <w:right w:val="none" w:sz="0" w:space="0" w:color="auto"/>
      </w:divBdr>
    </w:div>
    <w:div w:id="903686519">
      <w:bodyDiv w:val="1"/>
      <w:marLeft w:val="0"/>
      <w:marRight w:val="0"/>
      <w:marTop w:val="0"/>
      <w:marBottom w:val="0"/>
      <w:divBdr>
        <w:top w:val="none" w:sz="0" w:space="0" w:color="auto"/>
        <w:left w:val="none" w:sz="0" w:space="0" w:color="auto"/>
        <w:bottom w:val="none" w:sz="0" w:space="0" w:color="auto"/>
        <w:right w:val="none" w:sz="0" w:space="0" w:color="auto"/>
      </w:divBdr>
    </w:div>
    <w:div w:id="922225758">
      <w:bodyDiv w:val="1"/>
      <w:marLeft w:val="0"/>
      <w:marRight w:val="0"/>
      <w:marTop w:val="0"/>
      <w:marBottom w:val="0"/>
      <w:divBdr>
        <w:top w:val="none" w:sz="0" w:space="0" w:color="auto"/>
        <w:left w:val="none" w:sz="0" w:space="0" w:color="auto"/>
        <w:bottom w:val="none" w:sz="0" w:space="0" w:color="auto"/>
        <w:right w:val="none" w:sz="0" w:space="0" w:color="auto"/>
      </w:divBdr>
    </w:div>
    <w:div w:id="1200358693">
      <w:bodyDiv w:val="1"/>
      <w:marLeft w:val="0"/>
      <w:marRight w:val="0"/>
      <w:marTop w:val="0"/>
      <w:marBottom w:val="0"/>
      <w:divBdr>
        <w:top w:val="none" w:sz="0" w:space="0" w:color="auto"/>
        <w:left w:val="none" w:sz="0" w:space="0" w:color="auto"/>
        <w:bottom w:val="none" w:sz="0" w:space="0" w:color="auto"/>
        <w:right w:val="none" w:sz="0" w:space="0" w:color="auto"/>
      </w:divBdr>
    </w:div>
    <w:div w:id="1268195442">
      <w:bodyDiv w:val="1"/>
      <w:marLeft w:val="0"/>
      <w:marRight w:val="0"/>
      <w:marTop w:val="0"/>
      <w:marBottom w:val="0"/>
      <w:divBdr>
        <w:top w:val="none" w:sz="0" w:space="0" w:color="auto"/>
        <w:left w:val="none" w:sz="0" w:space="0" w:color="auto"/>
        <w:bottom w:val="none" w:sz="0" w:space="0" w:color="auto"/>
        <w:right w:val="none" w:sz="0" w:space="0" w:color="auto"/>
      </w:divBdr>
    </w:div>
    <w:div w:id="1456556421">
      <w:bodyDiv w:val="1"/>
      <w:marLeft w:val="0"/>
      <w:marRight w:val="0"/>
      <w:marTop w:val="0"/>
      <w:marBottom w:val="0"/>
      <w:divBdr>
        <w:top w:val="none" w:sz="0" w:space="0" w:color="auto"/>
        <w:left w:val="none" w:sz="0" w:space="0" w:color="auto"/>
        <w:bottom w:val="none" w:sz="0" w:space="0" w:color="auto"/>
        <w:right w:val="none" w:sz="0" w:space="0" w:color="auto"/>
      </w:divBdr>
    </w:div>
    <w:div w:id="1514953690">
      <w:bodyDiv w:val="1"/>
      <w:marLeft w:val="0"/>
      <w:marRight w:val="0"/>
      <w:marTop w:val="0"/>
      <w:marBottom w:val="0"/>
      <w:divBdr>
        <w:top w:val="none" w:sz="0" w:space="0" w:color="auto"/>
        <w:left w:val="none" w:sz="0" w:space="0" w:color="auto"/>
        <w:bottom w:val="none" w:sz="0" w:space="0" w:color="auto"/>
        <w:right w:val="none" w:sz="0" w:space="0" w:color="auto"/>
      </w:divBdr>
    </w:div>
    <w:div w:id="1543399070">
      <w:bodyDiv w:val="1"/>
      <w:marLeft w:val="0"/>
      <w:marRight w:val="0"/>
      <w:marTop w:val="0"/>
      <w:marBottom w:val="0"/>
      <w:divBdr>
        <w:top w:val="none" w:sz="0" w:space="0" w:color="auto"/>
        <w:left w:val="none" w:sz="0" w:space="0" w:color="auto"/>
        <w:bottom w:val="none" w:sz="0" w:space="0" w:color="auto"/>
        <w:right w:val="none" w:sz="0" w:space="0" w:color="auto"/>
      </w:divBdr>
    </w:div>
    <w:div w:id="1723556961">
      <w:bodyDiv w:val="1"/>
      <w:marLeft w:val="0"/>
      <w:marRight w:val="0"/>
      <w:marTop w:val="0"/>
      <w:marBottom w:val="0"/>
      <w:divBdr>
        <w:top w:val="none" w:sz="0" w:space="0" w:color="auto"/>
        <w:left w:val="none" w:sz="0" w:space="0" w:color="auto"/>
        <w:bottom w:val="none" w:sz="0" w:space="0" w:color="auto"/>
        <w:right w:val="none" w:sz="0" w:space="0" w:color="auto"/>
      </w:divBdr>
    </w:div>
    <w:div w:id="1724450439">
      <w:bodyDiv w:val="1"/>
      <w:marLeft w:val="0"/>
      <w:marRight w:val="0"/>
      <w:marTop w:val="0"/>
      <w:marBottom w:val="0"/>
      <w:divBdr>
        <w:top w:val="none" w:sz="0" w:space="0" w:color="auto"/>
        <w:left w:val="none" w:sz="0" w:space="0" w:color="auto"/>
        <w:bottom w:val="none" w:sz="0" w:space="0" w:color="auto"/>
        <w:right w:val="none" w:sz="0" w:space="0" w:color="auto"/>
      </w:divBdr>
    </w:div>
    <w:div w:id="1783839649">
      <w:bodyDiv w:val="1"/>
      <w:marLeft w:val="0"/>
      <w:marRight w:val="0"/>
      <w:marTop w:val="0"/>
      <w:marBottom w:val="0"/>
      <w:divBdr>
        <w:top w:val="none" w:sz="0" w:space="0" w:color="auto"/>
        <w:left w:val="none" w:sz="0" w:space="0" w:color="auto"/>
        <w:bottom w:val="none" w:sz="0" w:space="0" w:color="auto"/>
        <w:right w:val="none" w:sz="0" w:space="0" w:color="auto"/>
      </w:divBdr>
    </w:div>
    <w:div w:id="1890338043">
      <w:bodyDiv w:val="1"/>
      <w:marLeft w:val="0"/>
      <w:marRight w:val="0"/>
      <w:marTop w:val="0"/>
      <w:marBottom w:val="0"/>
      <w:divBdr>
        <w:top w:val="none" w:sz="0" w:space="0" w:color="auto"/>
        <w:left w:val="none" w:sz="0" w:space="0" w:color="auto"/>
        <w:bottom w:val="none" w:sz="0" w:space="0" w:color="auto"/>
        <w:right w:val="none" w:sz="0" w:space="0" w:color="auto"/>
      </w:divBdr>
    </w:div>
    <w:div w:id="1941641168">
      <w:bodyDiv w:val="1"/>
      <w:marLeft w:val="0"/>
      <w:marRight w:val="0"/>
      <w:marTop w:val="0"/>
      <w:marBottom w:val="0"/>
      <w:divBdr>
        <w:top w:val="none" w:sz="0" w:space="0" w:color="auto"/>
        <w:left w:val="none" w:sz="0" w:space="0" w:color="auto"/>
        <w:bottom w:val="none" w:sz="0" w:space="0" w:color="auto"/>
        <w:right w:val="none" w:sz="0" w:space="0" w:color="auto"/>
      </w:divBdr>
      <w:divsChild>
        <w:div w:id="704522875">
          <w:marLeft w:val="0"/>
          <w:marRight w:val="0"/>
          <w:marTop w:val="120"/>
          <w:marBottom w:val="0"/>
          <w:divBdr>
            <w:top w:val="none" w:sz="0" w:space="0" w:color="auto"/>
            <w:left w:val="none" w:sz="0" w:space="0" w:color="auto"/>
            <w:bottom w:val="none" w:sz="0" w:space="0" w:color="auto"/>
            <w:right w:val="none" w:sz="0" w:space="0" w:color="auto"/>
          </w:divBdr>
        </w:div>
        <w:div w:id="1385058249">
          <w:marLeft w:val="1191"/>
          <w:marRight w:val="0"/>
          <w:marTop w:val="60"/>
          <w:marBottom w:val="0"/>
          <w:divBdr>
            <w:top w:val="none" w:sz="0" w:space="0" w:color="auto"/>
            <w:left w:val="none" w:sz="0" w:space="0" w:color="auto"/>
            <w:bottom w:val="none" w:sz="0" w:space="0" w:color="auto"/>
            <w:right w:val="none" w:sz="0" w:space="0" w:color="auto"/>
          </w:divBdr>
        </w:div>
        <w:div w:id="2115326493">
          <w:marLeft w:val="1191"/>
          <w:marRight w:val="0"/>
          <w:marTop w:val="60"/>
          <w:marBottom w:val="0"/>
          <w:divBdr>
            <w:top w:val="none" w:sz="0" w:space="0" w:color="auto"/>
            <w:left w:val="none" w:sz="0" w:space="0" w:color="auto"/>
            <w:bottom w:val="none" w:sz="0" w:space="0" w:color="auto"/>
            <w:right w:val="none" w:sz="0" w:space="0" w:color="auto"/>
          </w:divBdr>
        </w:div>
        <w:div w:id="1200164409">
          <w:marLeft w:val="1191"/>
          <w:marRight w:val="0"/>
          <w:marTop w:val="60"/>
          <w:marBottom w:val="0"/>
          <w:divBdr>
            <w:top w:val="none" w:sz="0" w:space="0" w:color="auto"/>
            <w:left w:val="none" w:sz="0" w:space="0" w:color="auto"/>
            <w:bottom w:val="none" w:sz="0" w:space="0" w:color="auto"/>
            <w:right w:val="none" w:sz="0" w:space="0" w:color="auto"/>
          </w:divBdr>
        </w:div>
        <w:div w:id="709762156">
          <w:marLeft w:val="119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2%20%285%29%20SA%20425" TargetMode="External"/><Relationship Id="rId1" Type="http://schemas.openxmlformats.org/officeDocument/2006/relationships/hyperlink" Target="http://www.saflii.org/cgi-bin/LawCite?cit=1991%20%282%29%20SA%2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C57A-2816-46B7-9272-DBFF4E08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Mokone</cp:lastModifiedBy>
  <cp:revision>2</cp:revision>
  <cp:lastPrinted>2023-09-04T13:58:00Z</cp:lastPrinted>
  <dcterms:created xsi:type="dcterms:W3CDTF">2023-09-12T14:29:00Z</dcterms:created>
  <dcterms:modified xsi:type="dcterms:W3CDTF">2023-09-12T14:29:00Z</dcterms:modified>
</cp:coreProperties>
</file>