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A8" w:rsidRDefault="00EF11A8" w:rsidP="00EF11A8">
      <w:pPr>
        <w:ind w:left="2160" w:firstLine="720"/>
        <w:rPr>
          <w:rFonts w:ascii="Arial" w:hAnsi="Arial" w:cs="Arial"/>
          <w:b/>
          <w:u w:val="single"/>
        </w:rPr>
      </w:pPr>
      <w:bookmarkStart w:id="0" w:name="_GoBack"/>
      <w:bookmarkEnd w:id="0"/>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1D2D324E" wp14:editId="69EF984D">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267F9C"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F11A8">
        <w:rPr>
          <w:rFonts w:ascii="Arial" w:hAnsi="Arial" w:cs="Arial"/>
          <w:b/>
          <w:sz w:val="28"/>
          <w:szCs w:val="28"/>
        </w:rPr>
        <w:tab/>
      </w:r>
      <w:r w:rsidR="00EF11A8">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CASE NO</w:t>
      </w:r>
      <w:r w:rsidR="00781F07" w:rsidRPr="005D6CBF">
        <w:rPr>
          <w:rFonts w:ascii="Arial" w:hAnsi="Arial" w:cs="Arial"/>
          <w:b/>
        </w:rPr>
        <w:t xml:space="preserve">: </w:t>
      </w:r>
      <w:r w:rsidR="007C261B">
        <w:rPr>
          <w:rFonts w:ascii="Arial" w:hAnsi="Arial" w:cs="Arial"/>
          <w:b/>
        </w:rPr>
        <w:t>1602</w:t>
      </w:r>
      <w:r w:rsidR="003A49EC">
        <w:rPr>
          <w:rFonts w:ascii="Arial" w:hAnsi="Arial" w:cs="Arial"/>
          <w:b/>
        </w:rPr>
        <w:t>/</w:t>
      </w:r>
      <w:r w:rsidR="00E279F0">
        <w:rPr>
          <w:rFonts w:ascii="Arial" w:hAnsi="Arial" w:cs="Arial"/>
          <w:b/>
        </w:rPr>
        <w:t>20</w:t>
      </w:r>
      <w:r w:rsidR="001A3DAC">
        <w:rPr>
          <w:rFonts w:ascii="Arial" w:hAnsi="Arial" w:cs="Arial"/>
          <w:b/>
        </w:rPr>
        <w:t>22</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2063B" w:rsidRPr="0072063B" w:rsidRDefault="0072063B" w:rsidP="0072063B">
      <w:pPr>
        <w:jc w:val="both"/>
        <w:rPr>
          <w:rFonts w:ascii="Arial" w:hAnsi="Arial" w:cs="Arial"/>
          <w:lang w:val="en-ZA"/>
        </w:rPr>
      </w:pPr>
      <w:r w:rsidRPr="0072063B">
        <w:rPr>
          <w:rFonts w:ascii="Arial" w:hAnsi="Arial" w:cs="Arial"/>
          <w:lang w:val="en-ZA"/>
        </w:rPr>
        <w:t xml:space="preserve">In the matter between: </w:t>
      </w:r>
    </w:p>
    <w:p w:rsidR="0072063B" w:rsidRPr="005D6CBF" w:rsidRDefault="0072063B" w:rsidP="00EF11A8">
      <w:pPr>
        <w:jc w:val="both"/>
        <w:rPr>
          <w:rFonts w:ascii="Arial" w:hAnsi="Arial" w:cs="Arial"/>
        </w:rPr>
      </w:pPr>
    </w:p>
    <w:p w:rsidR="00EF11A8" w:rsidRPr="001A3DAC"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LEFU JOSEPH MODUPE</w:t>
      </w:r>
      <w:r w:rsidR="00781F07" w:rsidRPr="005D6CBF">
        <w:rPr>
          <w:rFonts w:ascii="Arial" w:hAnsi="Arial" w:cs="Arial"/>
          <w:b/>
        </w:rPr>
        <w:t xml:space="preserve">       </w:t>
      </w:r>
      <w:r w:rsidR="005D6CBF" w:rsidRPr="005D6CBF">
        <w:rPr>
          <w:rFonts w:ascii="Arial" w:hAnsi="Arial" w:cs="Arial"/>
          <w:b/>
        </w:rPr>
        <w:t xml:space="preserve">     </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sidR="00E279F0">
        <w:rPr>
          <w:rFonts w:ascii="Arial" w:hAnsi="Arial" w:cs="Arial"/>
          <w:b/>
        </w:rPr>
        <w:t xml:space="preserve"> </w:t>
      </w:r>
      <w:r w:rsidR="003A49EC">
        <w:rPr>
          <w:rFonts w:ascii="Arial" w:hAnsi="Arial" w:cs="Arial"/>
        </w:rPr>
        <w:t xml:space="preserve"> </w:t>
      </w:r>
      <w:r w:rsidR="00E279F0">
        <w:rPr>
          <w:rFonts w:ascii="Arial" w:hAnsi="Arial" w:cs="Arial"/>
        </w:rPr>
        <w:t xml:space="preserve">     </w:t>
      </w:r>
      <w:r w:rsidR="009C4E97">
        <w:rPr>
          <w:rFonts w:ascii="Arial" w:hAnsi="Arial" w:cs="Arial"/>
          <w:color w:val="C00000"/>
        </w:rPr>
        <w:t xml:space="preserve">         </w:t>
      </w:r>
      <w:r w:rsidR="00D4396A">
        <w:rPr>
          <w:rFonts w:ascii="Arial" w:hAnsi="Arial" w:cs="Arial"/>
          <w:color w:val="C00000"/>
        </w:rPr>
        <w:t xml:space="preserve">  </w:t>
      </w:r>
      <w:r w:rsidR="001A3DAC">
        <w:rPr>
          <w:rFonts w:ascii="Arial" w:hAnsi="Arial" w:cs="Arial"/>
          <w:color w:val="C00000"/>
        </w:rPr>
        <w:t xml:space="preserve">          </w:t>
      </w:r>
      <w:r w:rsidR="001A3DAC" w:rsidRPr="001A3DAC">
        <w:rPr>
          <w:rFonts w:ascii="Arial" w:hAnsi="Arial" w:cs="Arial"/>
        </w:rPr>
        <w:t xml:space="preserve">Applicant </w:t>
      </w:r>
      <w:r w:rsidR="001E7784" w:rsidRPr="001A3DAC">
        <w:rPr>
          <w:rFonts w:ascii="Arial" w:hAnsi="Arial" w:cs="Arial"/>
        </w:rPr>
        <w:t xml:space="preserve"> </w:t>
      </w:r>
    </w:p>
    <w:p w:rsidR="0072063B" w:rsidRPr="001A3DAC" w:rsidRDefault="0072063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72063B" w:rsidRDefault="0072063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rPr>
        <w:t>And</w:t>
      </w:r>
    </w:p>
    <w:p w:rsidR="0072063B" w:rsidRDefault="0072063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1A3DAC"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THE MASTER OF THE HIGH COURT, FREE STATE</w:t>
      </w:r>
      <w:r w:rsidR="0072063B">
        <w:rPr>
          <w:rFonts w:ascii="Arial" w:hAnsi="Arial" w:cs="Arial"/>
          <w:b/>
        </w:rPr>
        <w:tab/>
      </w:r>
      <w:r w:rsidR="001A3DAC">
        <w:rPr>
          <w:rFonts w:ascii="Arial" w:hAnsi="Arial" w:cs="Arial"/>
        </w:rPr>
        <w:t xml:space="preserve">                        1</w:t>
      </w:r>
      <w:r w:rsidR="001A3DAC" w:rsidRPr="001A3DAC">
        <w:rPr>
          <w:rFonts w:ascii="Arial" w:hAnsi="Arial" w:cs="Arial"/>
          <w:vertAlign w:val="superscript"/>
        </w:rPr>
        <w:t>st</w:t>
      </w:r>
      <w:r w:rsidR="001E7784">
        <w:rPr>
          <w:rFonts w:ascii="Arial" w:hAnsi="Arial" w:cs="Arial"/>
          <w:b/>
        </w:rPr>
        <w:t xml:space="preserve"> </w:t>
      </w:r>
      <w:r w:rsidR="001A3DAC">
        <w:rPr>
          <w:rFonts w:ascii="Arial" w:hAnsi="Arial" w:cs="Arial"/>
        </w:rPr>
        <w:t>Respondent</w:t>
      </w:r>
    </w:p>
    <w:p w:rsidR="007C261B"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7C261B" w:rsidRPr="007C261B"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r w:rsidRPr="007C261B">
        <w:rPr>
          <w:rFonts w:ascii="Arial" w:hAnsi="Arial" w:cs="Arial"/>
          <w:b/>
        </w:rPr>
        <w:t>PROVINCE</w:t>
      </w:r>
      <w:r>
        <w:rPr>
          <w:rFonts w:ascii="Arial" w:hAnsi="Arial" w:cs="Arial"/>
          <w:b/>
        </w:rPr>
        <w:t xml:space="preserve"> BLOEMFONTEIN</w:t>
      </w:r>
    </w:p>
    <w:p w:rsidR="001A3DAC" w:rsidRDefault="001A3DA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7C261B"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LESEDI LABOPHELO TRUST</w:t>
      </w:r>
      <w:r w:rsidR="001A3DAC">
        <w:rPr>
          <w:rFonts w:ascii="Arial" w:hAnsi="Arial" w:cs="Arial"/>
          <w:b/>
        </w:rPr>
        <w:tab/>
      </w:r>
      <w:r w:rsidR="001A3DAC">
        <w:rPr>
          <w:rFonts w:ascii="Arial" w:hAnsi="Arial" w:cs="Arial"/>
          <w:b/>
        </w:rPr>
        <w:tab/>
      </w:r>
      <w:r w:rsidR="001A3DAC">
        <w:rPr>
          <w:rFonts w:ascii="Arial" w:hAnsi="Arial" w:cs="Arial"/>
          <w:b/>
        </w:rPr>
        <w:tab/>
      </w:r>
      <w:r w:rsidR="001A3DAC">
        <w:rPr>
          <w:rFonts w:ascii="Arial" w:hAnsi="Arial" w:cs="Arial"/>
          <w:b/>
        </w:rPr>
        <w:tab/>
        <w:t xml:space="preserve">             </w:t>
      </w:r>
      <w:r>
        <w:rPr>
          <w:rFonts w:ascii="Arial" w:hAnsi="Arial" w:cs="Arial"/>
          <w:b/>
        </w:rPr>
        <w:tab/>
      </w:r>
      <w:r w:rsidR="001A3DAC">
        <w:rPr>
          <w:rFonts w:ascii="Arial" w:hAnsi="Arial" w:cs="Arial"/>
        </w:rPr>
        <w:t>2</w:t>
      </w:r>
      <w:r w:rsidR="001A3DAC" w:rsidRPr="001A3DAC">
        <w:rPr>
          <w:rFonts w:ascii="Arial" w:hAnsi="Arial" w:cs="Arial"/>
          <w:vertAlign w:val="superscript"/>
        </w:rPr>
        <w:t>nd</w:t>
      </w:r>
      <w:r w:rsidR="001A3DAC">
        <w:rPr>
          <w:rFonts w:ascii="Arial" w:hAnsi="Arial" w:cs="Arial"/>
        </w:rPr>
        <w:t xml:space="preserve"> Respondent</w:t>
      </w:r>
    </w:p>
    <w:p w:rsidR="007C261B"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7C261B" w:rsidRPr="0072063B" w:rsidRDefault="007C261B" w:rsidP="007C261B">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 xml:space="preserve">MOSALA ALBERT SERUE TRUSTEE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rPr>
        <w:t>3</w:t>
      </w:r>
      <w:r w:rsidRPr="007C261B">
        <w:rPr>
          <w:rFonts w:ascii="Arial" w:hAnsi="Arial" w:cs="Arial"/>
          <w:vertAlign w:val="superscript"/>
        </w:rPr>
        <w:t>r</w:t>
      </w:r>
      <w:r w:rsidRPr="001A3DAC">
        <w:rPr>
          <w:rFonts w:ascii="Arial" w:hAnsi="Arial" w:cs="Arial"/>
          <w:vertAlign w:val="superscript"/>
        </w:rPr>
        <w:t>d</w:t>
      </w:r>
      <w:r>
        <w:rPr>
          <w:rFonts w:ascii="Arial" w:hAnsi="Arial" w:cs="Arial"/>
        </w:rPr>
        <w:t xml:space="preserve"> Respondent </w:t>
      </w:r>
    </w:p>
    <w:p w:rsidR="007C261B" w:rsidRDefault="007C261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7C261B" w:rsidRPr="0072063B" w:rsidRDefault="007C261B" w:rsidP="007C261B">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LUCKYBOY SERUE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Pr="007C261B">
        <w:rPr>
          <w:rFonts w:ascii="Arial" w:hAnsi="Arial" w:cs="Arial"/>
        </w:rPr>
        <w:t>4</w:t>
      </w:r>
      <w:r w:rsidRPr="007C261B">
        <w:rPr>
          <w:rFonts w:ascii="Arial" w:hAnsi="Arial" w:cs="Arial"/>
          <w:vertAlign w:val="superscript"/>
        </w:rPr>
        <w:t>th</w:t>
      </w:r>
      <w:r>
        <w:rPr>
          <w:rFonts w:ascii="Arial" w:hAnsi="Arial" w:cs="Arial"/>
        </w:rPr>
        <w:t xml:space="preserve"> Respondent </w:t>
      </w:r>
    </w:p>
    <w:p w:rsidR="0072063B" w:rsidRPr="0072063B" w:rsidRDefault="0072063B"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rPr>
        <w:t xml:space="preserve"> </w:t>
      </w:r>
    </w:p>
    <w:p w:rsidR="00A7152C" w:rsidRDefault="00A7152C"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A7152C" w:rsidRDefault="00A7152C" w:rsidP="00EF11A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FB69E0" w:rsidRDefault="00FB69E0"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1F2DA7" w:rsidRPr="001F2DA7" w:rsidRDefault="00EF11A8" w:rsidP="00EF11A8">
      <w:pPr>
        <w:ind w:left="2835" w:hanging="2835"/>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CB62E6" w:rsidRPr="004A1754">
        <w:rPr>
          <w:rFonts w:ascii="Arial" w:hAnsi="Arial" w:cs="Arial"/>
        </w:rPr>
        <w:t>17 July 2023</w:t>
      </w:r>
      <w:r w:rsidR="001F2DA7">
        <w:rPr>
          <w:rFonts w:ascii="Arial" w:hAnsi="Arial" w:cs="Arial"/>
        </w:rPr>
        <w:tab/>
      </w:r>
    </w:p>
    <w:p w:rsidR="00A7152C" w:rsidRPr="00FC67BC" w:rsidRDefault="00A7152C" w:rsidP="00EF11A8">
      <w:pPr>
        <w:ind w:left="2835" w:hanging="2835"/>
        <w:contextualSpacing/>
        <w:jc w:val="both"/>
        <w:rPr>
          <w:rFonts w:ascii="Arial" w:hAnsi="Arial" w:cs="Arial"/>
          <w:b/>
        </w:rPr>
      </w:pPr>
      <w:r w:rsidRPr="00FC67BC">
        <w:rPr>
          <w:rFonts w:ascii="Arial" w:hAnsi="Arial" w:cs="Arial"/>
          <w:b/>
        </w:rPr>
        <w:t>___________________________________________________________________</w:t>
      </w:r>
      <w:r w:rsidR="00EF11A8" w:rsidRPr="00FC67BC">
        <w:rPr>
          <w:rFonts w:ascii="Arial" w:hAnsi="Arial" w:cs="Arial"/>
          <w:b/>
        </w:rPr>
        <w:t xml:space="preserve"> </w:t>
      </w:r>
    </w:p>
    <w:p w:rsidR="00FC67BC" w:rsidRDefault="00FC67BC" w:rsidP="00EF11A8">
      <w:pPr>
        <w:ind w:left="2835" w:hanging="2835"/>
        <w:contextualSpacing/>
        <w:jc w:val="both"/>
        <w:rPr>
          <w:rFonts w:ascii="Arial" w:hAnsi="Arial" w:cs="Arial"/>
        </w:rPr>
      </w:pPr>
    </w:p>
    <w:p w:rsidR="00FC67BC" w:rsidRDefault="00FC67BC" w:rsidP="00EF11A8">
      <w:pPr>
        <w:pBdr>
          <w:bottom w:val="single" w:sz="12" w:space="1" w:color="auto"/>
        </w:pBdr>
        <w:ind w:left="2835" w:hanging="2835"/>
        <w:contextualSpacing/>
        <w:jc w:val="both"/>
        <w:rPr>
          <w:rFonts w:ascii="Arial" w:hAnsi="Arial" w:cs="Arial"/>
        </w:rPr>
      </w:pPr>
      <w:r>
        <w:rPr>
          <w:rFonts w:ascii="Arial" w:hAnsi="Arial" w:cs="Arial"/>
          <w:b/>
          <w:u w:val="single"/>
        </w:rPr>
        <w:t>CORAM:</w:t>
      </w:r>
      <w:r>
        <w:rPr>
          <w:rFonts w:ascii="Arial" w:hAnsi="Arial" w:cs="Arial"/>
        </w:rPr>
        <w:tab/>
        <w:t xml:space="preserve">MHLAMBI, J </w:t>
      </w:r>
      <w:r>
        <w:rPr>
          <w:rFonts w:ascii="Arial" w:hAnsi="Arial" w:cs="Arial"/>
          <w:i/>
        </w:rPr>
        <w:t xml:space="preserve">et </w:t>
      </w:r>
      <w:r>
        <w:rPr>
          <w:rFonts w:ascii="Arial" w:hAnsi="Arial" w:cs="Arial"/>
        </w:rPr>
        <w:t>DANISO, J</w:t>
      </w:r>
    </w:p>
    <w:p w:rsidR="00FC67BC" w:rsidRDefault="00FC67BC" w:rsidP="00EF11A8">
      <w:pPr>
        <w:pBdr>
          <w:bottom w:val="single" w:sz="12" w:space="1" w:color="auto"/>
        </w:pBdr>
        <w:ind w:left="2835" w:hanging="2835"/>
        <w:contextualSpacing/>
        <w:jc w:val="both"/>
        <w:rPr>
          <w:rFonts w:ascii="Arial" w:hAnsi="Arial" w:cs="Arial"/>
        </w:rPr>
      </w:pPr>
    </w:p>
    <w:p w:rsidR="00FC67BC" w:rsidRPr="00FC67BC" w:rsidRDefault="00FC67BC" w:rsidP="00EF11A8">
      <w:pPr>
        <w:ind w:left="2835" w:hanging="2835"/>
        <w:contextualSpacing/>
        <w:jc w:val="both"/>
        <w:rPr>
          <w:rFonts w:ascii="Arial" w:hAnsi="Arial" w:cs="Arial"/>
        </w:rPr>
      </w:pPr>
    </w:p>
    <w:p w:rsidR="00A7152C" w:rsidRDefault="00A7152C" w:rsidP="00EF11A8">
      <w:pPr>
        <w:ind w:left="2835" w:hanging="2835"/>
        <w:contextualSpacing/>
        <w:jc w:val="both"/>
        <w:rPr>
          <w:rFonts w:ascii="Arial" w:hAnsi="Arial" w:cs="Arial"/>
        </w:rPr>
      </w:pPr>
    </w:p>
    <w:p w:rsidR="00A7152C" w:rsidRDefault="00EF11A8" w:rsidP="00EF11A8">
      <w:pPr>
        <w:contextualSpacing/>
        <w:jc w:val="both"/>
        <w:rPr>
          <w:rFonts w:ascii="Arial" w:hAnsi="Arial" w:cs="Arial"/>
        </w:rPr>
      </w:pPr>
      <w:r w:rsidRPr="005D6CBF">
        <w:rPr>
          <w:rFonts w:ascii="Arial" w:hAnsi="Arial" w:cs="Arial"/>
          <w:b/>
          <w:u w:val="single"/>
        </w:rPr>
        <w:t>JUDGMENT BY:</w:t>
      </w:r>
      <w:r w:rsidRPr="005D6CBF">
        <w:rPr>
          <w:rFonts w:ascii="Arial" w:hAnsi="Arial" w:cs="Arial"/>
          <w:b/>
        </w:rPr>
        <w:tab/>
      </w:r>
      <w:r w:rsidR="00077E52" w:rsidRPr="005D6CBF">
        <w:rPr>
          <w:rFonts w:ascii="Arial" w:hAnsi="Arial" w:cs="Arial"/>
          <w:b/>
        </w:rPr>
        <w:t xml:space="preserve">        </w:t>
      </w:r>
      <w:r w:rsidR="003F410D" w:rsidRPr="005D6CBF">
        <w:rPr>
          <w:rFonts w:ascii="Arial" w:hAnsi="Arial" w:cs="Arial"/>
          <w:b/>
        </w:rPr>
        <w:t xml:space="preserve"> </w:t>
      </w:r>
      <w:r w:rsidR="005D6CBF">
        <w:rPr>
          <w:rFonts w:ascii="Arial" w:hAnsi="Arial" w:cs="Arial"/>
          <w:b/>
        </w:rPr>
        <w:t xml:space="preserve">  </w:t>
      </w:r>
      <w:r w:rsidR="00C104C3" w:rsidRPr="00F940D0">
        <w:rPr>
          <w:rFonts w:ascii="Arial" w:hAnsi="Arial" w:cs="Arial"/>
        </w:rPr>
        <w:t>M</w:t>
      </w:r>
      <w:r w:rsidR="002A631E" w:rsidRPr="00F940D0">
        <w:rPr>
          <w:rFonts w:ascii="Arial" w:hAnsi="Arial" w:cs="Arial"/>
        </w:rPr>
        <w:t>HLAMBI</w:t>
      </w:r>
      <w:r w:rsidR="00781F07" w:rsidRPr="00F940D0">
        <w:rPr>
          <w:rFonts w:ascii="Arial" w:hAnsi="Arial" w:cs="Arial"/>
        </w:rPr>
        <w:t>, J</w:t>
      </w:r>
      <w:r w:rsidR="001A2D23">
        <w:rPr>
          <w:rFonts w:ascii="Arial" w:hAnsi="Arial" w:cs="Arial"/>
        </w:rPr>
        <w:t xml:space="preserve"> </w:t>
      </w:r>
      <w:r w:rsidR="00527FBF">
        <w:rPr>
          <w:rFonts w:ascii="Arial" w:hAnsi="Arial" w:cs="Arial"/>
        </w:rPr>
        <w:t xml:space="preserve">    </w:t>
      </w:r>
    </w:p>
    <w:p w:rsidR="00527FBF" w:rsidRDefault="00527FBF" w:rsidP="00EF11A8">
      <w:pPr>
        <w:contextualSpacing/>
        <w:jc w:val="both"/>
        <w:rPr>
          <w:rFonts w:ascii="Arial" w:hAnsi="Arial" w:cs="Arial"/>
        </w:rPr>
      </w:pPr>
    </w:p>
    <w:p w:rsidR="00EF11A8" w:rsidRPr="00FC67BC" w:rsidRDefault="005D6CBF" w:rsidP="00EF11A8">
      <w:pPr>
        <w:contextualSpacing/>
        <w:jc w:val="both"/>
        <w:rPr>
          <w:rFonts w:ascii="Arial" w:hAnsi="Arial" w:cs="Arial"/>
          <w:b/>
        </w:rPr>
      </w:pPr>
      <w:r w:rsidRPr="00F940D0">
        <w:rPr>
          <w:rFonts w:ascii="Arial" w:hAnsi="Arial" w:cs="Arial"/>
        </w:rPr>
        <w:t xml:space="preserve"> </w:t>
      </w:r>
      <w:r w:rsidR="009C4E97" w:rsidRPr="00FC67BC">
        <w:rPr>
          <w:rFonts w:ascii="Arial" w:hAnsi="Arial" w:cs="Arial"/>
          <w:b/>
        </w:rPr>
        <w:t>___________________________________________________________________</w:t>
      </w:r>
    </w:p>
    <w:p w:rsidR="009C4E97" w:rsidRPr="00FC67BC" w:rsidRDefault="009C4E97" w:rsidP="002B686D">
      <w:pPr>
        <w:tabs>
          <w:tab w:val="left" w:pos="2940"/>
        </w:tabs>
        <w:ind w:left="2880" w:hanging="2880"/>
        <w:contextualSpacing/>
        <w:jc w:val="both"/>
        <w:rPr>
          <w:rFonts w:ascii="Arial" w:hAnsi="Arial" w:cs="Arial"/>
          <w:b/>
          <w:u w:val="single"/>
        </w:rPr>
      </w:pPr>
    </w:p>
    <w:p w:rsidR="007C348D" w:rsidRPr="005D6CBF" w:rsidRDefault="00EF11A8" w:rsidP="001A3DAC">
      <w:pPr>
        <w:ind w:left="1985" w:hanging="1985"/>
        <w:contextualSpacing/>
        <w:jc w:val="both"/>
        <w:rPr>
          <w:rFonts w:ascii="Arial" w:hAnsi="Arial" w:cs="Arial"/>
          <w:b/>
          <w:bCs/>
        </w:rPr>
      </w:pPr>
      <w:r w:rsidRPr="005D6CBF">
        <w:rPr>
          <w:rFonts w:ascii="Arial" w:hAnsi="Arial" w:cs="Arial"/>
          <w:b/>
          <w:u w:val="single"/>
        </w:rPr>
        <w:t>DELIVERED ON:</w:t>
      </w:r>
      <w:r w:rsidR="004A4E37">
        <w:rPr>
          <w:rFonts w:ascii="Arial" w:hAnsi="Arial" w:cs="Arial"/>
          <w:b/>
        </w:rPr>
        <w:t xml:space="preserve"> </w:t>
      </w:r>
      <w:r w:rsidR="003E504E">
        <w:rPr>
          <w:rFonts w:ascii="Arial" w:hAnsi="Arial" w:cs="Arial"/>
          <w:b/>
        </w:rPr>
        <w:t xml:space="preserve">              </w:t>
      </w:r>
      <w:r w:rsidR="00527FBF">
        <w:rPr>
          <w:rFonts w:ascii="Arial" w:hAnsi="Arial" w:cs="Arial"/>
          <w:b/>
        </w:rPr>
        <w:t xml:space="preserve"> </w:t>
      </w:r>
      <w:r w:rsidR="00D3479A" w:rsidRPr="00D3479A">
        <w:rPr>
          <w:rFonts w:ascii="Arial" w:hAnsi="Arial" w:cs="Arial"/>
        </w:rPr>
        <w:t>21</w:t>
      </w:r>
      <w:r w:rsidR="00D3479A">
        <w:rPr>
          <w:rFonts w:ascii="Arial" w:hAnsi="Arial" w:cs="Arial"/>
        </w:rPr>
        <w:t xml:space="preserve"> </w:t>
      </w:r>
      <w:r w:rsidR="004A1754" w:rsidRPr="004A1754">
        <w:rPr>
          <w:rFonts w:ascii="Arial" w:hAnsi="Arial" w:cs="Arial"/>
        </w:rPr>
        <w:t>SEPTEMBER</w:t>
      </w:r>
      <w:r w:rsidR="00527FBF" w:rsidRPr="004A1754">
        <w:rPr>
          <w:rFonts w:ascii="Arial" w:hAnsi="Arial" w:cs="Arial"/>
        </w:rPr>
        <w:t xml:space="preserve"> 2023</w:t>
      </w:r>
      <w:r w:rsidR="00527FBF">
        <w:rPr>
          <w:rFonts w:ascii="Arial" w:hAnsi="Arial" w:cs="Arial"/>
          <w:b/>
        </w:rPr>
        <w:t xml:space="preserve">       </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1A3DAC" w:rsidRDefault="001A3DAC" w:rsidP="007C348D">
      <w:pPr>
        <w:spacing w:line="360" w:lineRule="auto"/>
        <w:ind w:left="709" w:hanging="709"/>
        <w:jc w:val="both"/>
        <w:rPr>
          <w:rFonts w:ascii="Arial" w:hAnsi="Arial" w:cs="Arial"/>
          <w:sz w:val="28"/>
          <w:szCs w:val="28"/>
          <w:u w:val="single"/>
        </w:rPr>
      </w:pPr>
    </w:p>
    <w:p w:rsidR="00906319" w:rsidRDefault="003B4761" w:rsidP="007C261B">
      <w:pPr>
        <w:spacing w:after="240" w:line="360" w:lineRule="auto"/>
        <w:ind w:left="567" w:hanging="567"/>
        <w:jc w:val="both"/>
        <w:rPr>
          <w:rFonts w:ascii="Arial" w:hAnsi="Arial" w:cs="Arial"/>
        </w:rPr>
      </w:pPr>
      <w:r>
        <w:rPr>
          <w:rFonts w:ascii="Arial" w:hAnsi="Arial" w:cs="Arial"/>
        </w:rPr>
        <w:lastRenderedPageBreak/>
        <w:t xml:space="preserve"> </w:t>
      </w:r>
      <w:r w:rsidR="002A631E">
        <w:rPr>
          <w:rFonts w:ascii="Arial" w:hAnsi="Arial" w:cs="Arial"/>
        </w:rPr>
        <w:t>[1]</w:t>
      </w:r>
      <w:r w:rsidR="00906319">
        <w:rPr>
          <w:rFonts w:ascii="Arial" w:hAnsi="Arial" w:cs="Arial"/>
        </w:rPr>
        <w:tab/>
        <w:t>The applicant approached this court seeking the following relief on an unopposed basis:</w:t>
      </w:r>
      <w:r w:rsidR="00730DB1">
        <w:rPr>
          <w:rFonts w:ascii="Arial" w:hAnsi="Arial" w:cs="Arial"/>
        </w:rPr>
        <w:t>”</w:t>
      </w:r>
    </w:p>
    <w:p w:rsidR="000D431E" w:rsidRPr="00FF6D84" w:rsidRDefault="00FF6D84" w:rsidP="00FF6D84">
      <w:pPr>
        <w:spacing w:after="240" w:line="360" w:lineRule="auto"/>
        <w:ind w:left="993" w:hanging="426"/>
        <w:jc w:val="both"/>
        <w:rPr>
          <w:rFonts w:ascii="Arial" w:hAnsi="Arial" w:cs="Arial"/>
          <w:i/>
        </w:rPr>
      </w:pPr>
      <w:r w:rsidRPr="00730DB1">
        <w:rPr>
          <w:rFonts w:ascii="Arial" w:hAnsi="Arial" w:cs="Arial"/>
          <w:i/>
        </w:rPr>
        <w:t>1.</w:t>
      </w:r>
      <w:r w:rsidRPr="00730DB1">
        <w:rPr>
          <w:rFonts w:ascii="Arial" w:hAnsi="Arial" w:cs="Arial"/>
          <w:i/>
        </w:rPr>
        <w:tab/>
      </w:r>
      <w:r w:rsidR="00906319" w:rsidRPr="00FF6D84">
        <w:rPr>
          <w:rFonts w:ascii="Arial" w:hAnsi="Arial" w:cs="Arial"/>
          <w:i/>
        </w:rPr>
        <w:t xml:space="preserve">Condoning, extending the 180 </w:t>
      </w:r>
      <w:r w:rsidR="00A44003" w:rsidRPr="00FF6D84">
        <w:rPr>
          <w:rFonts w:ascii="Arial" w:hAnsi="Arial" w:cs="Arial"/>
          <w:i/>
        </w:rPr>
        <w:t>days’</w:t>
      </w:r>
      <w:r w:rsidR="00906319" w:rsidRPr="00FF6D84">
        <w:rPr>
          <w:rFonts w:ascii="Arial" w:hAnsi="Arial" w:cs="Arial"/>
          <w:i/>
        </w:rPr>
        <w:t xml:space="preserve"> time period for the instruction</w:t>
      </w:r>
      <w:r w:rsidR="00A44003" w:rsidRPr="00FF6D84">
        <w:rPr>
          <w:rFonts w:ascii="Arial" w:hAnsi="Arial" w:cs="Arial"/>
          <w:i/>
        </w:rPr>
        <w:t xml:space="preserve"> (sic)</w:t>
      </w:r>
      <w:r w:rsidR="00906319" w:rsidRPr="00FF6D84">
        <w:rPr>
          <w:rFonts w:ascii="Arial" w:hAnsi="Arial" w:cs="Arial"/>
          <w:i/>
        </w:rPr>
        <w:t xml:space="preserve"> of this application for the judicial review of the decision taken by the first respondent as per its letter dated 14</w:t>
      </w:r>
      <w:r w:rsidR="00A44003" w:rsidRPr="00FF6D84">
        <w:rPr>
          <w:rFonts w:ascii="Arial" w:hAnsi="Arial" w:cs="Arial"/>
          <w:i/>
        </w:rPr>
        <w:t>th</w:t>
      </w:r>
      <w:r w:rsidR="00906319" w:rsidRPr="00FF6D84">
        <w:rPr>
          <w:rFonts w:ascii="Arial" w:hAnsi="Arial" w:cs="Arial"/>
          <w:i/>
        </w:rPr>
        <w:t xml:space="preserve"> February 2019 as more referred to</w:t>
      </w:r>
      <w:r w:rsidR="00A44003" w:rsidRPr="00FF6D84">
        <w:rPr>
          <w:rFonts w:ascii="Arial" w:hAnsi="Arial" w:cs="Arial"/>
          <w:i/>
        </w:rPr>
        <w:t xml:space="preserve"> (sic) the F</w:t>
      </w:r>
      <w:r w:rsidR="00906319" w:rsidRPr="00FF6D84">
        <w:rPr>
          <w:rFonts w:ascii="Arial" w:hAnsi="Arial" w:cs="Arial"/>
          <w:i/>
        </w:rPr>
        <w:t>irst</w:t>
      </w:r>
      <w:r w:rsidR="00A44003" w:rsidRPr="00FF6D84">
        <w:rPr>
          <w:rFonts w:ascii="Arial" w:hAnsi="Arial" w:cs="Arial"/>
          <w:i/>
        </w:rPr>
        <w:t xml:space="preserve"> R</w:t>
      </w:r>
      <w:r w:rsidR="00906319" w:rsidRPr="00FF6D84">
        <w:rPr>
          <w:rFonts w:ascii="Arial" w:hAnsi="Arial" w:cs="Arial"/>
          <w:i/>
        </w:rPr>
        <w:t>espondent’s letter marked annexure “A” in the fo</w:t>
      </w:r>
      <w:r w:rsidR="00A44003" w:rsidRPr="00FF6D84">
        <w:rPr>
          <w:rFonts w:ascii="Arial" w:hAnsi="Arial" w:cs="Arial"/>
          <w:i/>
        </w:rPr>
        <w:t>unding affidavit informing the A</w:t>
      </w:r>
      <w:r w:rsidR="00906319" w:rsidRPr="00FF6D84">
        <w:rPr>
          <w:rFonts w:ascii="Arial" w:hAnsi="Arial" w:cs="Arial"/>
          <w:i/>
        </w:rPr>
        <w:t>pplicant that he had been removed as</w:t>
      </w:r>
      <w:r w:rsidR="006C72F0" w:rsidRPr="00FF6D84">
        <w:rPr>
          <w:rFonts w:ascii="Arial" w:hAnsi="Arial" w:cs="Arial"/>
          <w:i/>
        </w:rPr>
        <w:t xml:space="preserve"> one of the trustees of Lesedi Lab</w:t>
      </w:r>
      <w:r w:rsidR="00906319" w:rsidRPr="00FF6D84">
        <w:rPr>
          <w:rFonts w:ascii="Arial" w:hAnsi="Arial" w:cs="Arial"/>
          <w:i/>
        </w:rPr>
        <w:t xml:space="preserve">ophelo Trust, </w:t>
      </w:r>
      <w:r w:rsidR="000D431E" w:rsidRPr="00FF6D84">
        <w:rPr>
          <w:rFonts w:ascii="Arial" w:hAnsi="Arial" w:cs="Arial"/>
          <w:i/>
        </w:rPr>
        <w:t>the second respondent;</w:t>
      </w:r>
    </w:p>
    <w:p w:rsidR="000D431E" w:rsidRPr="00FF6D84" w:rsidRDefault="00FF6D84" w:rsidP="00FF6D84">
      <w:pPr>
        <w:spacing w:after="240" w:line="360" w:lineRule="auto"/>
        <w:ind w:left="993" w:hanging="426"/>
        <w:jc w:val="both"/>
        <w:rPr>
          <w:rFonts w:ascii="Arial" w:hAnsi="Arial" w:cs="Arial"/>
          <w:i/>
        </w:rPr>
      </w:pPr>
      <w:r w:rsidRPr="00730DB1">
        <w:rPr>
          <w:rFonts w:ascii="Arial" w:hAnsi="Arial" w:cs="Arial"/>
          <w:i/>
        </w:rPr>
        <w:t>2.</w:t>
      </w:r>
      <w:r w:rsidRPr="00730DB1">
        <w:rPr>
          <w:rFonts w:ascii="Arial" w:hAnsi="Arial" w:cs="Arial"/>
          <w:i/>
        </w:rPr>
        <w:tab/>
      </w:r>
      <w:r w:rsidR="000D431E" w:rsidRPr="00FF6D84">
        <w:rPr>
          <w:rFonts w:ascii="Arial" w:hAnsi="Arial" w:cs="Arial"/>
          <w:i/>
        </w:rPr>
        <w:t>Reviewing and setting aside alternatively declaring that the decis</w:t>
      </w:r>
      <w:r w:rsidR="00ED326A" w:rsidRPr="00FF6D84">
        <w:rPr>
          <w:rFonts w:ascii="Arial" w:hAnsi="Arial" w:cs="Arial"/>
          <w:i/>
        </w:rPr>
        <w:t>ion of the First Respondent in removing the Applicant as Trustee of the Second R</w:t>
      </w:r>
      <w:r w:rsidR="000D431E" w:rsidRPr="00FF6D84">
        <w:rPr>
          <w:rFonts w:ascii="Arial" w:hAnsi="Arial" w:cs="Arial"/>
          <w:i/>
        </w:rPr>
        <w:t xml:space="preserve">espondent is unlawful. </w:t>
      </w:r>
    </w:p>
    <w:p w:rsidR="000D431E" w:rsidRPr="00FF6D84" w:rsidRDefault="00FF6D84" w:rsidP="00FF6D84">
      <w:pPr>
        <w:spacing w:after="240" w:line="360" w:lineRule="auto"/>
        <w:ind w:left="993" w:hanging="426"/>
        <w:jc w:val="both"/>
        <w:rPr>
          <w:rFonts w:ascii="Arial" w:hAnsi="Arial" w:cs="Arial"/>
          <w:i/>
        </w:rPr>
      </w:pPr>
      <w:r w:rsidRPr="00730DB1">
        <w:rPr>
          <w:rFonts w:ascii="Arial" w:hAnsi="Arial" w:cs="Arial"/>
          <w:i/>
        </w:rPr>
        <w:t>3.</w:t>
      </w:r>
      <w:r w:rsidRPr="00730DB1">
        <w:rPr>
          <w:rFonts w:ascii="Arial" w:hAnsi="Arial" w:cs="Arial"/>
          <w:i/>
        </w:rPr>
        <w:tab/>
      </w:r>
      <w:r w:rsidR="00ED326A" w:rsidRPr="00FF6D84">
        <w:rPr>
          <w:rFonts w:ascii="Arial" w:hAnsi="Arial" w:cs="Arial"/>
          <w:i/>
        </w:rPr>
        <w:t>Declaring that the A</w:t>
      </w:r>
      <w:r w:rsidR="000D431E" w:rsidRPr="00FF6D84">
        <w:rPr>
          <w:rFonts w:ascii="Arial" w:hAnsi="Arial" w:cs="Arial"/>
          <w:i/>
        </w:rPr>
        <w:t>pplicant is and hereby reinstated</w:t>
      </w:r>
      <w:r w:rsidR="00ED326A" w:rsidRPr="00FF6D84">
        <w:rPr>
          <w:rFonts w:ascii="Arial" w:hAnsi="Arial" w:cs="Arial"/>
          <w:i/>
        </w:rPr>
        <w:t xml:space="preserve"> as a lawful trustee of Lesedi Lab</w:t>
      </w:r>
      <w:r w:rsidR="00EA2437" w:rsidRPr="00FF6D84">
        <w:rPr>
          <w:rFonts w:ascii="Arial" w:hAnsi="Arial" w:cs="Arial"/>
          <w:i/>
        </w:rPr>
        <w:t>ophelo T</w:t>
      </w:r>
      <w:r w:rsidR="000D431E" w:rsidRPr="00FF6D84">
        <w:rPr>
          <w:rFonts w:ascii="Arial" w:hAnsi="Arial" w:cs="Arial"/>
          <w:i/>
        </w:rPr>
        <w:t>rust with immediate effect.</w:t>
      </w:r>
    </w:p>
    <w:p w:rsidR="00CC710B" w:rsidRPr="00FF6D84" w:rsidRDefault="00FF6D84" w:rsidP="00FF6D84">
      <w:pPr>
        <w:spacing w:after="240" w:line="360" w:lineRule="auto"/>
        <w:ind w:left="993" w:hanging="426"/>
        <w:jc w:val="both"/>
        <w:rPr>
          <w:rFonts w:ascii="Arial" w:hAnsi="Arial" w:cs="Arial"/>
          <w:i/>
        </w:rPr>
      </w:pPr>
      <w:r w:rsidRPr="00730DB1">
        <w:rPr>
          <w:rFonts w:ascii="Arial" w:hAnsi="Arial" w:cs="Arial"/>
          <w:i/>
        </w:rPr>
        <w:t>4.</w:t>
      </w:r>
      <w:r w:rsidRPr="00730DB1">
        <w:rPr>
          <w:rFonts w:ascii="Arial" w:hAnsi="Arial" w:cs="Arial"/>
          <w:i/>
        </w:rPr>
        <w:tab/>
      </w:r>
      <w:r w:rsidR="00EA2437" w:rsidRPr="00FF6D84">
        <w:rPr>
          <w:rFonts w:ascii="Arial" w:hAnsi="Arial" w:cs="Arial"/>
          <w:i/>
        </w:rPr>
        <w:t>Directing the First R</w:t>
      </w:r>
      <w:r w:rsidR="00CB62E6" w:rsidRPr="00FF6D84">
        <w:rPr>
          <w:rFonts w:ascii="Arial" w:hAnsi="Arial" w:cs="Arial"/>
          <w:i/>
        </w:rPr>
        <w:t>espondent to issue L</w:t>
      </w:r>
      <w:r w:rsidR="000D431E" w:rsidRPr="00FF6D84">
        <w:rPr>
          <w:rFonts w:ascii="Arial" w:hAnsi="Arial" w:cs="Arial"/>
          <w:i/>
        </w:rPr>
        <w:t>etter</w:t>
      </w:r>
      <w:r w:rsidR="00CB62E6" w:rsidRPr="00FF6D84">
        <w:rPr>
          <w:rFonts w:ascii="Arial" w:hAnsi="Arial" w:cs="Arial"/>
          <w:i/>
        </w:rPr>
        <w:t>s of A</w:t>
      </w:r>
      <w:r w:rsidR="000D431E" w:rsidRPr="00FF6D84">
        <w:rPr>
          <w:rFonts w:ascii="Arial" w:hAnsi="Arial" w:cs="Arial"/>
          <w:i/>
        </w:rPr>
        <w:t xml:space="preserve">uthority </w:t>
      </w:r>
      <w:r w:rsidR="00EA2437" w:rsidRPr="00FF6D84">
        <w:rPr>
          <w:rFonts w:ascii="Arial" w:hAnsi="Arial" w:cs="Arial"/>
          <w:i/>
        </w:rPr>
        <w:t>appointing the Applicant as the Trustee of Lesedi Labophelo Trust under Trust Deed No.</w:t>
      </w:r>
      <w:r w:rsidR="00CC710B" w:rsidRPr="00FF6D84">
        <w:rPr>
          <w:rFonts w:ascii="Arial" w:hAnsi="Arial" w:cs="Arial"/>
          <w:i/>
        </w:rPr>
        <w:t xml:space="preserve"> IT69/2002. </w:t>
      </w:r>
    </w:p>
    <w:p w:rsidR="00CC710B" w:rsidRPr="00FF6D84" w:rsidRDefault="00FF6D84" w:rsidP="00FF6D84">
      <w:pPr>
        <w:spacing w:after="240" w:line="360" w:lineRule="auto"/>
        <w:ind w:left="993" w:hanging="426"/>
        <w:jc w:val="both"/>
        <w:rPr>
          <w:rFonts w:ascii="Arial" w:hAnsi="Arial" w:cs="Arial"/>
        </w:rPr>
      </w:pPr>
      <w:r>
        <w:rPr>
          <w:rFonts w:ascii="Arial" w:hAnsi="Arial" w:cs="Arial"/>
        </w:rPr>
        <w:t>5.</w:t>
      </w:r>
      <w:r>
        <w:rPr>
          <w:rFonts w:ascii="Arial" w:hAnsi="Arial" w:cs="Arial"/>
        </w:rPr>
        <w:tab/>
      </w:r>
      <w:r w:rsidR="00CC710B" w:rsidRPr="00FF6D84">
        <w:rPr>
          <w:rFonts w:ascii="Arial" w:hAnsi="Arial" w:cs="Arial"/>
          <w:i/>
        </w:rPr>
        <w:t>Granting further and</w:t>
      </w:r>
      <w:r w:rsidR="00730DB1" w:rsidRPr="00FF6D84">
        <w:rPr>
          <w:rFonts w:ascii="Arial" w:hAnsi="Arial" w:cs="Arial"/>
          <w:i/>
        </w:rPr>
        <w:t>/</w:t>
      </w:r>
      <w:r w:rsidR="00CC710B" w:rsidRPr="00FF6D84">
        <w:rPr>
          <w:rFonts w:ascii="Arial" w:hAnsi="Arial" w:cs="Arial"/>
          <w:i/>
        </w:rPr>
        <w:t>or alternative relief, costs</w:t>
      </w:r>
      <w:r w:rsidR="00730DB1" w:rsidRPr="00FF6D84">
        <w:rPr>
          <w:rFonts w:ascii="Arial" w:hAnsi="Arial" w:cs="Arial"/>
          <w:i/>
        </w:rPr>
        <w:t xml:space="preserve"> of suit in the event of those R</w:t>
      </w:r>
      <w:r w:rsidR="00CC710B" w:rsidRPr="00FF6D84">
        <w:rPr>
          <w:rFonts w:ascii="Arial" w:hAnsi="Arial" w:cs="Arial"/>
          <w:i/>
        </w:rPr>
        <w:t>espondents opposing this application</w:t>
      </w:r>
      <w:r w:rsidR="00CC710B" w:rsidRPr="00FF6D84">
        <w:rPr>
          <w:rFonts w:ascii="Arial" w:hAnsi="Arial" w:cs="Arial"/>
        </w:rPr>
        <w:t>.</w:t>
      </w:r>
      <w:r w:rsidR="00730DB1" w:rsidRPr="00FF6D84">
        <w:rPr>
          <w:rFonts w:ascii="Arial" w:hAnsi="Arial" w:cs="Arial"/>
        </w:rPr>
        <w:t>”</w:t>
      </w:r>
    </w:p>
    <w:p w:rsidR="00BB160C" w:rsidRDefault="00CC710B" w:rsidP="00CC710B">
      <w:pPr>
        <w:spacing w:after="240" w:line="360" w:lineRule="auto"/>
        <w:ind w:left="567" w:hanging="567"/>
        <w:jc w:val="both"/>
        <w:rPr>
          <w:rFonts w:ascii="Arial" w:hAnsi="Arial" w:cs="Arial"/>
        </w:rPr>
      </w:pPr>
      <w:r>
        <w:rPr>
          <w:rFonts w:ascii="Arial" w:hAnsi="Arial" w:cs="Arial"/>
        </w:rPr>
        <w:t>[2]</w:t>
      </w:r>
      <w:r>
        <w:rPr>
          <w:rFonts w:ascii="Arial" w:hAnsi="Arial" w:cs="Arial"/>
        </w:rPr>
        <w:tab/>
      </w:r>
      <w:r w:rsidR="008345FE">
        <w:rPr>
          <w:rFonts w:ascii="Arial" w:hAnsi="Arial" w:cs="Arial"/>
        </w:rPr>
        <w:t>Annexure “A”</w:t>
      </w:r>
      <w:r w:rsidR="00BB160C">
        <w:rPr>
          <w:rFonts w:ascii="Arial" w:hAnsi="Arial" w:cs="Arial"/>
        </w:rPr>
        <w:t xml:space="preserve"> referred to in the notice of motion should read “B1”</w:t>
      </w:r>
      <w:r w:rsidR="00730DB1">
        <w:rPr>
          <w:rFonts w:ascii="Arial" w:hAnsi="Arial" w:cs="Arial"/>
        </w:rPr>
        <w:t>,</w:t>
      </w:r>
      <w:r w:rsidR="00BB160C">
        <w:rPr>
          <w:rFonts w:ascii="Arial" w:hAnsi="Arial" w:cs="Arial"/>
        </w:rPr>
        <w:t xml:space="preserve"> which </w:t>
      </w:r>
      <w:r w:rsidR="00730DB1">
        <w:rPr>
          <w:rFonts w:ascii="Arial" w:hAnsi="Arial" w:cs="Arial"/>
        </w:rPr>
        <w:t xml:space="preserve">is the first respondent’s letter dated 11 February 2019 addressed </w:t>
      </w:r>
      <w:r w:rsidR="00BB160C">
        <w:rPr>
          <w:rFonts w:ascii="Arial" w:hAnsi="Arial" w:cs="Arial"/>
        </w:rPr>
        <w:t>to</w:t>
      </w:r>
      <w:r w:rsidR="00730DB1">
        <w:rPr>
          <w:rFonts w:ascii="Arial" w:hAnsi="Arial" w:cs="Arial"/>
        </w:rPr>
        <w:t xml:space="preserve"> the applicant’s attorneys informing</w:t>
      </w:r>
      <w:r w:rsidR="00BB160C">
        <w:rPr>
          <w:rFonts w:ascii="Arial" w:hAnsi="Arial" w:cs="Arial"/>
        </w:rPr>
        <w:t xml:space="preserve"> the latter that the applicant was removed from office in terms of section 20(2)(e) of the Trust Property Control Act</w:t>
      </w:r>
      <w:r w:rsidR="00D02B40">
        <w:rPr>
          <w:rFonts w:ascii="Arial" w:hAnsi="Arial" w:cs="Arial"/>
        </w:rPr>
        <w:t>,</w:t>
      </w:r>
      <w:r w:rsidR="00BB160C">
        <w:rPr>
          <w:rFonts w:ascii="Arial" w:hAnsi="Arial" w:cs="Arial"/>
        </w:rPr>
        <w:t xml:space="preserve"> as he failed to comply with the first respondent’s lawful request to respond to allegations against him. </w:t>
      </w:r>
      <w:r w:rsidR="00730DB1">
        <w:rPr>
          <w:rFonts w:ascii="Arial" w:hAnsi="Arial" w:cs="Arial"/>
        </w:rPr>
        <w:t>This</w:t>
      </w:r>
      <w:r w:rsidR="00D02B40">
        <w:rPr>
          <w:rFonts w:ascii="Arial" w:hAnsi="Arial" w:cs="Arial"/>
        </w:rPr>
        <w:t xml:space="preserve"> letter was in response to one</w:t>
      </w:r>
      <w:r w:rsidR="00730DB1">
        <w:rPr>
          <w:rFonts w:ascii="Arial" w:hAnsi="Arial" w:cs="Arial"/>
        </w:rPr>
        <w:t xml:space="preserve"> dated 22 January 2019</w:t>
      </w:r>
      <w:r w:rsidR="006E7155">
        <w:rPr>
          <w:rFonts w:ascii="Arial" w:hAnsi="Arial" w:cs="Arial"/>
        </w:rPr>
        <w:t xml:space="preserve"> from</w:t>
      </w:r>
      <w:r w:rsidR="00730DB1">
        <w:rPr>
          <w:rFonts w:ascii="Arial" w:hAnsi="Arial" w:cs="Arial"/>
        </w:rPr>
        <w:t xml:space="preserve"> </w:t>
      </w:r>
      <w:r w:rsidR="006E7155">
        <w:rPr>
          <w:rFonts w:ascii="Arial" w:hAnsi="Arial" w:cs="Arial"/>
        </w:rPr>
        <w:t>t</w:t>
      </w:r>
      <w:r w:rsidR="00BB160C">
        <w:rPr>
          <w:rFonts w:ascii="Arial" w:hAnsi="Arial" w:cs="Arial"/>
        </w:rPr>
        <w:t>he applicant’s attorneys</w:t>
      </w:r>
      <w:r w:rsidR="006E7155">
        <w:rPr>
          <w:rFonts w:ascii="Arial" w:hAnsi="Arial" w:cs="Arial"/>
        </w:rPr>
        <w:t xml:space="preserve"> who</w:t>
      </w:r>
      <w:r w:rsidR="00BB160C">
        <w:rPr>
          <w:rFonts w:ascii="Arial" w:hAnsi="Arial" w:cs="Arial"/>
        </w:rPr>
        <w:t xml:space="preserve"> sought reasons from the first respondent</w:t>
      </w:r>
      <w:r w:rsidR="006E7155">
        <w:rPr>
          <w:rFonts w:ascii="Arial" w:hAnsi="Arial" w:cs="Arial"/>
        </w:rPr>
        <w:t xml:space="preserve"> </w:t>
      </w:r>
      <w:r w:rsidR="003D53E7">
        <w:rPr>
          <w:rFonts w:ascii="Arial" w:hAnsi="Arial" w:cs="Arial"/>
        </w:rPr>
        <w:t>for</w:t>
      </w:r>
      <w:r w:rsidR="00BB160C">
        <w:rPr>
          <w:rFonts w:ascii="Arial" w:hAnsi="Arial" w:cs="Arial"/>
        </w:rPr>
        <w:t xml:space="preserve"> its decision of 13 </w:t>
      </w:r>
      <w:r w:rsidR="006E7155">
        <w:rPr>
          <w:rFonts w:ascii="Arial" w:hAnsi="Arial" w:cs="Arial"/>
        </w:rPr>
        <w:t>March 2018</w:t>
      </w:r>
      <w:r w:rsidR="00BB160C">
        <w:rPr>
          <w:rFonts w:ascii="Arial" w:hAnsi="Arial" w:cs="Arial"/>
        </w:rPr>
        <w:t xml:space="preserve"> </w:t>
      </w:r>
      <w:r w:rsidR="003D53E7">
        <w:rPr>
          <w:rFonts w:ascii="Arial" w:hAnsi="Arial" w:cs="Arial"/>
        </w:rPr>
        <w:t>to remove</w:t>
      </w:r>
      <w:r w:rsidR="00BB160C">
        <w:rPr>
          <w:rFonts w:ascii="Arial" w:hAnsi="Arial" w:cs="Arial"/>
        </w:rPr>
        <w:t xml:space="preserve"> the applicant as a trustee of the second respondent. </w:t>
      </w:r>
    </w:p>
    <w:p w:rsidR="00BB160C" w:rsidRDefault="00BB160C" w:rsidP="00CC710B">
      <w:pPr>
        <w:spacing w:after="240" w:line="360" w:lineRule="auto"/>
        <w:ind w:left="567" w:hanging="567"/>
        <w:jc w:val="both"/>
        <w:rPr>
          <w:rFonts w:ascii="Arial" w:hAnsi="Arial" w:cs="Arial"/>
        </w:rPr>
      </w:pPr>
      <w:r>
        <w:rPr>
          <w:rFonts w:ascii="Arial" w:hAnsi="Arial" w:cs="Arial"/>
        </w:rPr>
        <w:t>[3]</w:t>
      </w:r>
      <w:r>
        <w:rPr>
          <w:rFonts w:ascii="Arial" w:hAnsi="Arial" w:cs="Arial"/>
        </w:rPr>
        <w:tab/>
        <w:t xml:space="preserve">In </w:t>
      </w:r>
      <w:r w:rsidR="00D50B9E">
        <w:rPr>
          <w:rFonts w:ascii="Arial" w:hAnsi="Arial" w:cs="Arial"/>
        </w:rPr>
        <w:t>his explanation for the delay in</w:t>
      </w:r>
      <w:r>
        <w:rPr>
          <w:rFonts w:ascii="Arial" w:hAnsi="Arial" w:cs="Arial"/>
        </w:rPr>
        <w:t xml:space="preserve"> filing the ap</w:t>
      </w:r>
      <w:r w:rsidR="00E80AED">
        <w:rPr>
          <w:rFonts w:ascii="Arial" w:hAnsi="Arial" w:cs="Arial"/>
        </w:rPr>
        <w:t>plication within 180 days of</w:t>
      </w:r>
      <w:r>
        <w:rPr>
          <w:rFonts w:ascii="Arial" w:hAnsi="Arial" w:cs="Arial"/>
        </w:rPr>
        <w:t xml:space="preserve"> the date of</w:t>
      </w:r>
      <w:r w:rsidR="00E80AED">
        <w:rPr>
          <w:rFonts w:ascii="Arial" w:hAnsi="Arial" w:cs="Arial"/>
        </w:rPr>
        <w:t xml:space="preserve"> the first respondent’s</w:t>
      </w:r>
      <w:r>
        <w:rPr>
          <w:rFonts w:ascii="Arial" w:hAnsi="Arial" w:cs="Arial"/>
        </w:rPr>
        <w:t xml:space="preserve"> decision, the applicant stated that he learned</w:t>
      </w:r>
      <w:r w:rsidR="00E80AED">
        <w:rPr>
          <w:rFonts w:ascii="Arial" w:hAnsi="Arial" w:cs="Arial"/>
        </w:rPr>
        <w:t xml:space="preserve"> for the very </w:t>
      </w:r>
      <w:r w:rsidR="00E80AED">
        <w:rPr>
          <w:rFonts w:ascii="Arial" w:hAnsi="Arial" w:cs="Arial"/>
        </w:rPr>
        <w:lastRenderedPageBreak/>
        <w:t>first time</w:t>
      </w:r>
      <w:r>
        <w:rPr>
          <w:rFonts w:ascii="Arial" w:hAnsi="Arial" w:cs="Arial"/>
        </w:rPr>
        <w:t xml:space="preserve"> </w:t>
      </w:r>
      <w:r w:rsidR="00B90FB3">
        <w:rPr>
          <w:rFonts w:ascii="Arial" w:hAnsi="Arial" w:cs="Arial"/>
        </w:rPr>
        <w:t>of his removal as trustee in</w:t>
      </w:r>
      <w:r>
        <w:rPr>
          <w:rFonts w:ascii="Arial" w:hAnsi="Arial" w:cs="Arial"/>
        </w:rPr>
        <w:t xml:space="preserve"> February 2019 through his attorneys.</w:t>
      </w:r>
      <w:r w:rsidR="00B90FB3">
        <w:rPr>
          <w:rStyle w:val="FootnoteReference"/>
          <w:rFonts w:ascii="Arial" w:hAnsi="Arial" w:cs="Arial"/>
        </w:rPr>
        <w:footnoteReference w:id="2"/>
      </w:r>
      <w:r>
        <w:rPr>
          <w:rFonts w:ascii="Arial" w:hAnsi="Arial" w:cs="Arial"/>
        </w:rPr>
        <w:t xml:space="preserve"> He never received the letter from the first respondent dated 16 November 2017</w:t>
      </w:r>
      <w:r w:rsidR="00D50B9E">
        <w:rPr>
          <w:rFonts w:ascii="Arial" w:hAnsi="Arial" w:cs="Arial"/>
        </w:rPr>
        <w:t>,</w:t>
      </w:r>
      <w:r>
        <w:rPr>
          <w:rFonts w:ascii="Arial" w:hAnsi="Arial" w:cs="Arial"/>
        </w:rPr>
        <w:t xml:space="preserve"> directing him to furnish reasons why he should n</w:t>
      </w:r>
      <w:r w:rsidR="00D50B9E">
        <w:rPr>
          <w:rFonts w:ascii="Arial" w:hAnsi="Arial" w:cs="Arial"/>
        </w:rPr>
        <w:t>ot be removed from the trust. H</w:t>
      </w:r>
      <w:r>
        <w:rPr>
          <w:rFonts w:ascii="Arial" w:hAnsi="Arial" w:cs="Arial"/>
        </w:rPr>
        <w:t>e</w:t>
      </w:r>
      <w:r w:rsidR="00D50B9E">
        <w:rPr>
          <w:rFonts w:ascii="Arial" w:hAnsi="Arial" w:cs="Arial"/>
        </w:rPr>
        <w:t xml:space="preserve"> had written</w:t>
      </w:r>
      <w:r w:rsidR="009C54F0">
        <w:rPr>
          <w:rFonts w:ascii="Arial" w:hAnsi="Arial" w:cs="Arial"/>
        </w:rPr>
        <w:t xml:space="preserve"> to the M</w:t>
      </w:r>
      <w:r>
        <w:rPr>
          <w:rFonts w:ascii="Arial" w:hAnsi="Arial" w:cs="Arial"/>
        </w:rPr>
        <w:t xml:space="preserve">aster </w:t>
      </w:r>
      <w:r w:rsidR="00D50B9E">
        <w:rPr>
          <w:rFonts w:ascii="Arial" w:hAnsi="Arial" w:cs="Arial"/>
        </w:rPr>
        <w:t>in the years 2018, 2019 and 2021</w:t>
      </w:r>
      <w:r w:rsidR="00B158E4">
        <w:rPr>
          <w:rFonts w:ascii="Arial" w:hAnsi="Arial" w:cs="Arial"/>
        </w:rPr>
        <w:t xml:space="preserve"> requesting</w:t>
      </w:r>
      <w:r>
        <w:rPr>
          <w:rFonts w:ascii="Arial" w:hAnsi="Arial" w:cs="Arial"/>
        </w:rPr>
        <w:t xml:space="preserve"> the</w:t>
      </w:r>
      <w:r w:rsidR="00B158E4">
        <w:rPr>
          <w:rFonts w:ascii="Arial" w:hAnsi="Arial" w:cs="Arial"/>
        </w:rPr>
        <w:t xml:space="preserve"> reconsideration of the decision for his removal from office.</w:t>
      </w:r>
      <w:r w:rsidR="00B158E4">
        <w:rPr>
          <w:rStyle w:val="FootnoteReference"/>
          <w:rFonts w:ascii="Arial" w:hAnsi="Arial" w:cs="Arial"/>
        </w:rPr>
        <w:footnoteReference w:id="3"/>
      </w:r>
      <w:r>
        <w:rPr>
          <w:rFonts w:ascii="Arial" w:hAnsi="Arial" w:cs="Arial"/>
        </w:rPr>
        <w:t xml:space="preserve"> He struggled financially since his removal from office and could not obtain </w:t>
      </w:r>
      <w:r w:rsidR="00A30E8F">
        <w:rPr>
          <w:rFonts w:ascii="Arial" w:hAnsi="Arial" w:cs="Arial"/>
        </w:rPr>
        <w:t>competent legal representation.</w:t>
      </w:r>
      <w:r w:rsidR="00A30E8F">
        <w:rPr>
          <w:rStyle w:val="FootnoteReference"/>
          <w:rFonts w:ascii="Arial" w:hAnsi="Arial" w:cs="Arial"/>
        </w:rPr>
        <w:footnoteReference w:id="4"/>
      </w:r>
      <w:r w:rsidR="00716C3D">
        <w:rPr>
          <w:rFonts w:ascii="Arial" w:hAnsi="Arial" w:cs="Arial"/>
        </w:rPr>
        <w:t xml:space="preserve"> </w:t>
      </w:r>
      <w:r w:rsidR="00716C3D" w:rsidRPr="00716C3D">
        <w:rPr>
          <w:rFonts w:ascii="Arial" w:hAnsi="Arial" w:cs="Arial"/>
        </w:rPr>
        <w:t>Covid-19 had a role to play in his not bringing the application within the prescribed time, as he was unable to trav</w:t>
      </w:r>
      <w:r w:rsidR="00E42DC0">
        <w:rPr>
          <w:rFonts w:ascii="Arial" w:hAnsi="Arial" w:cs="Arial"/>
        </w:rPr>
        <w:t>el to his attorney’s offices for</w:t>
      </w:r>
      <w:r w:rsidR="00716C3D" w:rsidRPr="00716C3D">
        <w:rPr>
          <w:rFonts w:ascii="Arial" w:hAnsi="Arial" w:cs="Arial"/>
        </w:rPr>
        <w:t xml:space="preserve"> proper consultation due to travel restrictions impose</w:t>
      </w:r>
      <w:r w:rsidR="00E42DC0">
        <w:rPr>
          <w:rFonts w:ascii="Arial" w:hAnsi="Arial" w:cs="Arial"/>
        </w:rPr>
        <w:t>d</w:t>
      </w:r>
      <w:r w:rsidR="00716C3D" w:rsidRPr="00716C3D">
        <w:rPr>
          <w:rFonts w:ascii="Arial" w:hAnsi="Arial" w:cs="Arial"/>
        </w:rPr>
        <w:t xml:space="preserve"> at the time.</w:t>
      </w:r>
      <w:r w:rsidR="00716C3D">
        <w:rPr>
          <w:rStyle w:val="FootnoteReference"/>
          <w:rFonts w:ascii="Arial" w:hAnsi="Arial" w:cs="Arial"/>
        </w:rPr>
        <w:footnoteReference w:id="5"/>
      </w:r>
      <w:r w:rsidR="00716C3D" w:rsidRPr="00716C3D">
        <w:rPr>
          <w:rFonts w:ascii="Arial" w:hAnsi="Arial" w:cs="Arial"/>
        </w:rPr>
        <w:t xml:space="preserve">  </w:t>
      </w:r>
    </w:p>
    <w:p w:rsidR="00867C5D" w:rsidRDefault="00BB160C" w:rsidP="00CC710B">
      <w:pPr>
        <w:spacing w:after="240" w:line="360" w:lineRule="auto"/>
        <w:ind w:left="567" w:hanging="567"/>
        <w:jc w:val="both"/>
        <w:rPr>
          <w:rFonts w:ascii="Arial" w:hAnsi="Arial" w:cs="Arial"/>
        </w:rPr>
      </w:pPr>
      <w:r>
        <w:rPr>
          <w:rFonts w:ascii="Arial" w:hAnsi="Arial" w:cs="Arial"/>
        </w:rPr>
        <w:t>[4]</w:t>
      </w:r>
      <w:r>
        <w:rPr>
          <w:rFonts w:ascii="Arial" w:hAnsi="Arial" w:cs="Arial"/>
        </w:rPr>
        <w:tab/>
      </w:r>
      <w:r w:rsidR="00040725">
        <w:rPr>
          <w:rFonts w:ascii="Arial" w:hAnsi="Arial" w:cs="Arial"/>
        </w:rPr>
        <w:t>O</w:t>
      </w:r>
      <w:r w:rsidR="00867C5D">
        <w:rPr>
          <w:rFonts w:ascii="Arial" w:hAnsi="Arial" w:cs="Arial"/>
        </w:rPr>
        <w:t>n 4 May 2018</w:t>
      </w:r>
      <w:r w:rsidR="002A7D05">
        <w:rPr>
          <w:rFonts w:ascii="Arial" w:hAnsi="Arial" w:cs="Arial"/>
        </w:rPr>
        <w:t>, he informed the first respondent that he did not receive the letter dated</w:t>
      </w:r>
      <w:r w:rsidR="00867C5D">
        <w:rPr>
          <w:rFonts w:ascii="Arial" w:hAnsi="Arial" w:cs="Arial"/>
        </w:rPr>
        <w:t xml:space="preserve"> 16 November 2017</w:t>
      </w:r>
      <w:r w:rsidR="002A7D05">
        <w:rPr>
          <w:rFonts w:ascii="Arial" w:hAnsi="Arial" w:cs="Arial"/>
        </w:rPr>
        <w:t>. T</w:t>
      </w:r>
      <w:r w:rsidR="00867C5D">
        <w:rPr>
          <w:rFonts w:ascii="Arial" w:hAnsi="Arial" w:cs="Arial"/>
        </w:rPr>
        <w:t>he first respondent</w:t>
      </w:r>
      <w:r w:rsidR="002A7D05">
        <w:rPr>
          <w:rFonts w:ascii="Arial" w:hAnsi="Arial" w:cs="Arial"/>
        </w:rPr>
        <w:t>, on receipt of such letter,</w:t>
      </w:r>
      <w:r w:rsidR="00867C5D">
        <w:rPr>
          <w:rFonts w:ascii="Arial" w:hAnsi="Arial" w:cs="Arial"/>
        </w:rPr>
        <w:t xml:space="preserve"> should have considered his submissio</w:t>
      </w:r>
      <w:r w:rsidR="002A7D05">
        <w:rPr>
          <w:rFonts w:ascii="Arial" w:hAnsi="Arial" w:cs="Arial"/>
        </w:rPr>
        <w:t>n and reinstated him</w:t>
      </w:r>
      <w:r w:rsidR="00867C5D">
        <w:rPr>
          <w:rFonts w:ascii="Arial" w:hAnsi="Arial" w:cs="Arial"/>
        </w:rPr>
        <w:t xml:space="preserve"> as a trustee.</w:t>
      </w:r>
      <w:r w:rsidR="00867C5D">
        <w:rPr>
          <w:rStyle w:val="FootnoteReference"/>
          <w:rFonts w:ascii="Arial" w:hAnsi="Arial" w:cs="Arial"/>
        </w:rPr>
        <w:footnoteReference w:id="6"/>
      </w:r>
      <w:r w:rsidR="00867C5D">
        <w:rPr>
          <w:rFonts w:ascii="Arial" w:hAnsi="Arial" w:cs="Arial"/>
        </w:rPr>
        <w:t xml:space="preserve"> He was</w:t>
      </w:r>
      <w:r w:rsidR="002A7D05">
        <w:rPr>
          <w:rFonts w:ascii="Arial" w:hAnsi="Arial" w:cs="Arial"/>
        </w:rPr>
        <w:t>,</w:t>
      </w:r>
      <w:r w:rsidR="00867C5D">
        <w:rPr>
          <w:rFonts w:ascii="Arial" w:hAnsi="Arial" w:cs="Arial"/>
        </w:rPr>
        <w:t xml:space="preserve"> in terms of section 6 of the Deeds Registry Act</w:t>
      </w:r>
      <w:r w:rsidR="002A7D05">
        <w:rPr>
          <w:rFonts w:ascii="Arial" w:hAnsi="Arial" w:cs="Arial"/>
        </w:rPr>
        <w:t>, the registered owner of</w:t>
      </w:r>
      <w:r w:rsidR="00867C5D">
        <w:rPr>
          <w:rFonts w:ascii="Arial" w:hAnsi="Arial" w:cs="Arial"/>
        </w:rPr>
        <w:t xml:space="preserve"> the trust prope</w:t>
      </w:r>
      <w:r w:rsidR="002A7D05">
        <w:rPr>
          <w:rFonts w:ascii="Arial" w:hAnsi="Arial" w:cs="Arial"/>
        </w:rPr>
        <w:t>rty with his successor in title. H</w:t>
      </w:r>
      <w:r w:rsidR="00867C5D">
        <w:rPr>
          <w:rFonts w:ascii="Arial" w:hAnsi="Arial" w:cs="Arial"/>
        </w:rPr>
        <w:t xml:space="preserve">is removal from office </w:t>
      </w:r>
      <w:r w:rsidR="002A7D05">
        <w:rPr>
          <w:rFonts w:ascii="Arial" w:hAnsi="Arial" w:cs="Arial"/>
        </w:rPr>
        <w:t>d</w:t>
      </w:r>
      <w:r w:rsidR="00867C5D">
        <w:rPr>
          <w:rFonts w:ascii="Arial" w:hAnsi="Arial" w:cs="Arial"/>
        </w:rPr>
        <w:t xml:space="preserve">eprived him of his legal right to enjoy the title </w:t>
      </w:r>
      <w:r w:rsidR="00A0781D">
        <w:rPr>
          <w:rFonts w:ascii="Arial" w:hAnsi="Arial" w:cs="Arial"/>
        </w:rPr>
        <w:t>to</w:t>
      </w:r>
      <w:r w:rsidR="00867C5D">
        <w:rPr>
          <w:rFonts w:ascii="Arial" w:hAnsi="Arial" w:cs="Arial"/>
        </w:rPr>
        <w:t xml:space="preserve"> the said property.</w:t>
      </w:r>
      <w:r w:rsidR="00867C5D">
        <w:rPr>
          <w:rStyle w:val="FootnoteReference"/>
          <w:rFonts w:ascii="Arial" w:hAnsi="Arial" w:cs="Arial"/>
        </w:rPr>
        <w:footnoteReference w:id="7"/>
      </w:r>
      <w:r w:rsidR="00384113">
        <w:rPr>
          <w:rFonts w:ascii="Arial" w:hAnsi="Arial" w:cs="Arial"/>
        </w:rPr>
        <w:t xml:space="preserve"> It wa</w:t>
      </w:r>
      <w:r w:rsidR="002A7D05">
        <w:rPr>
          <w:rFonts w:ascii="Arial" w:hAnsi="Arial" w:cs="Arial"/>
        </w:rPr>
        <w:t>s</w:t>
      </w:r>
      <w:r w:rsidR="00384113">
        <w:rPr>
          <w:rFonts w:ascii="Arial" w:hAnsi="Arial" w:cs="Arial"/>
        </w:rPr>
        <w:t xml:space="preserve"> contended that his</w:t>
      </w:r>
      <w:r w:rsidR="002A7D05">
        <w:rPr>
          <w:rFonts w:ascii="Arial" w:hAnsi="Arial" w:cs="Arial"/>
        </w:rPr>
        <w:t xml:space="preserve"> prospects of success we</w:t>
      </w:r>
      <w:r w:rsidR="00867C5D">
        <w:rPr>
          <w:rFonts w:ascii="Arial" w:hAnsi="Arial" w:cs="Arial"/>
        </w:rPr>
        <w:t xml:space="preserve">re fairly good. </w:t>
      </w:r>
    </w:p>
    <w:p w:rsidR="00ED7A87" w:rsidRDefault="00867C5D" w:rsidP="00CC710B">
      <w:pPr>
        <w:spacing w:after="240" w:line="360" w:lineRule="auto"/>
        <w:ind w:left="567" w:hanging="567"/>
        <w:jc w:val="both"/>
        <w:rPr>
          <w:rFonts w:ascii="Arial" w:hAnsi="Arial" w:cs="Arial"/>
        </w:rPr>
      </w:pPr>
      <w:r>
        <w:rPr>
          <w:rFonts w:ascii="Arial" w:hAnsi="Arial" w:cs="Arial"/>
        </w:rPr>
        <w:t>[5]</w:t>
      </w:r>
      <w:r>
        <w:rPr>
          <w:rFonts w:ascii="Arial" w:hAnsi="Arial" w:cs="Arial"/>
        </w:rPr>
        <w:tab/>
        <w:t>The first respondent filed a notice to abide by the decision of the court and briefly</w:t>
      </w:r>
      <w:r w:rsidR="00A87205">
        <w:rPr>
          <w:rFonts w:ascii="Arial" w:hAnsi="Arial" w:cs="Arial"/>
        </w:rPr>
        <w:t xml:space="preserve"> stated that the applicant was removed from office for his failure</w:t>
      </w:r>
      <w:r>
        <w:rPr>
          <w:rFonts w:ascii="Arial" w:hAnsi="Arial" w:cs="Arial"/>
        </w:rPr>
        <w:t xml:space="preserve"> to comply with a lawful request</w:t>
      </w:r>
      <w:r w:rsidR="00A87205">
        <w:rPr>
          <w:rFonts w:ascii="Arial" w:hAnsi="Arial" w:cs="Arial"/>
        </w:rPr>
        <w:t xml:space="preserve"> to</w:t>
      </w:r>
      <w:r>
        <w:rPr>
          <w:rFonts w:ascii="Arial" w:hAnsi="Arial" w:cs="Arial"/>
        </w:rPr>
        <w:t xml:space="preserve"> respond to</w:t>
      </w:r>
      <w:r w:rsidR="00A87205">
        <w:rPr>
          <w:rFonts w:ascii="Arial" w:hAnsi="Arial" w:cs="Arial"/>
        </w:rPr>
        <w:t xml:space="preserve"> the</w:t>
      </w:r>
      <w:r>
        <w:rPr>
          <w:rFonts w:ascii="Arial" w:hAnsi="Arial" w:cs="Arial"/>
        </w:rPr>
        <w:t xml:space="preserve"> allegation</w:t>
      </w:r>
      <w:r w:rsidR="00A87205">
        <w:rPr>
          <w:rFonts w:ascii="Arial" w:hAnsi="Arial" w:cs="Arial"/>
        </w:rPr>
        <w:t>s against him</w:t>
      </w:r>
      <w:r w:rsidR="00C23AD3">
        <w:rPr>
          <w:rFonts w:ascii="Arial" w:hAnsi="Arial" w:cs="Arial"/>
        </w:rPr>
        <w:t>; and t</w:t>
      </w:r>
      <w:r>
        <w:rPr>
          <w:rFonts w:ascii="Arial" w:hAnsi="Arial" w:cs="Arial"/>
        </w:rPr>
        <w:t>he</w:t>
      </w:r>
      <w:r w:rsidR="00A87205">
        <w:rPr>
          <w:rFonts w:ascii="Arial" w:hAnsi="Arial" w:cs="Arial"/>
        </w:rPr>
        <w:t xml:space="preserve"> matter could not be held in abeyance </w:t>
      </w:r>
      <w:r>
        <w:rPr>
          <w:rFonts w:ascii="Arial" w:hAnsi="Arial" w:cs="Arial"/>
        </w:rPr>
        <w:t>indefinitely. This was contained in the letter dated 13 March 2018 and</w:t>
      </w:r>
      <w:r w:rsidR="00A87205">
        <w:rPr>
          <w:rFonts w:ascii="Arial" w:hAnsi="Arial" w:cs="Arial"/>
        </w:rPr>
        <w:t>,</w:t>
      </w:r>
      <w:r>
        <w:rPr>
          <w:rFonts w:ascii="Arial" w:hAnsi="Arial" w:cs="Arial"/>
        </w:rPr>
        <w:t xml:space="preserve"> ever since</w:t>
      </w:r>
      <w:r w:rsidR="00A87205">
        <w:rPr>
          <w:rFonts w:ascii="Arial" w:hAnsi="Arial" w:cs="Arial"/>
        </w:rPr>
        <w:t>,</w:t>
      </w:r>
      <w:r>
        <w:rPr>
          <w:rFonts w:ascii="Arial" w:hAnsi="Arial" w:cs="Arial"/>
        </w:rPr>
        <w:t xml:space="preserve"> he has no</w:t>
      </w:r>
      <w:r w:rsidR="00A87205">
        <w:rPr>
          <w:rFonts w:ascii="Arial" w:hAnsi="Arial" w:cs="Arial"/>
        </w:rPr>
        <w:t>t received any formal complaint</w:t>
      </w:r>
      <w:r>
        <w:rPr>
          <w:rFonts w:ascii="Arial" w:hAnsi="Arial" w:cs="Arial"/>
        </w:rPr>
        <w:t xml:space="preserve"> from </w:t>
      </w:r>
      <w:r w:rsidR="00A87205">
        <w:rPr>
          <w:rFonts w:ascii="Arial" w:hAnsi="Arial" w:cs="Arial"/>
        </w:rPr>
        <w:t>the beneficiaries about the incompetency of</w:t>
      </w:r>
      <w:r>
        <w:rPr>
          <w:rFonts w:ascii="Arial" w:hAnsi="Arial" w:cs="Arial"/>
        </w:rPr>
        <w:t xml:space="preserve"> the serving trustees.</w:t>
      </w:r>
      <w:r>
        <w:rPr>
          <w:rStyle w:val="FootnoteReference"/>
          <w:rFonts w:ascii="Arial" w:hAnsi="Arial" w:cs="Arial"/>
        </w:rPr>
        <w:footnoteReference w:id="8"/>
      </w:r>
      <w:r>
        <w:rPr>
          <w:rFonts w:ascii="Arial" w:hAnsi="Arial" w:cs="Arial"/>
        </w:rPr>
        <w:t xml:space="preserve"> </w:t>
      </w:r>
    </w:p>
    <w:p w:rsidR="00ED7A87" w:rsidRDefault="00ED7A87" w:rsidP="00CC710B">
      <w:pPr>
        <w:spacing w:after="240" w:line="360" w:lineRule="auto"/>
        <w:ind w:left="567" w:hanging="567"/>
        <w:jc w:val="both"/>
        <w:rPr>
          <w:rFonts w:ascii="Arial" w:hAnsi="Arial" w:cs="Arial"/>
        </w:rPr>
      </w:pPr>
      <w:r>
        <w:rPr>
          <w:rFonts w:ascii="Arial" w:hAnsi="Arial" w:cs="Arial"/>
        </w:rPr>
        <w:t>[6</w:t>
      </w:r>
      <w:r w:rsidR="005360B8">
        <w:rPr>
          <w:rFonts w:ascii="Arial" w:hAnsi="Arial" w:cs="Arial"/>
        </w:rPr>
        <w:t>]</w:t>
      </w:r>
      <w:r w:rsidR="005360B8">
        <w:rPr>
          <w:rFonts w:ascii="Arial" w:hAnsi="Arial" w:cs="Arial"/>
        </w:rPr>
        <w:tab/>
        <w:t>On 29 March 2021, t</w:t>
      </w:r>
      <w:r>
        <w:rPr>
          <w:rFonts w:ascii="Arial" w:hAnsi="Arial" w:cs="Arial"/>
        </w:rPr>
        <w:t>he applicant’s attorneys informed the first respondent that it was clear from its letter dated 14 February 2019</w:t>
      </w:r>
      <w:r w:rsidR="005360B8">
        <w:rPr>
          <w:rFonts w:ascii="Arial" w:hAnsi="Arial" w:cs="Arial"/>
        </w:rPr>
        <w:t>,</w:t>
      </w:r>
      <w:r>
        <w:rPr>
          <w:rFonts w:ascii="Arial" w:hAnsi="Arial" w:cs="Arial"/>
        </w:rPr>
        <w:t xml:space="preserve"> that the appl</w:t>
      </w:r>
      <w:r w:rsidR="005360B8">
        <w:rPr>
          <w:rFonts w:ascii="Arial" w:hAnsi="Arial" w:cs="Arial"/>
        </w:rPr>
        <w:t>icant’s removal was based solely</w:t>
      </w:r>
      <w:r>
        <w:rPr>
          <w:rFonts w:ascii="Arial" w:hAnsi="Arial" w:cs="Arial"/>
        </w:rPr>
        <w:t xml:space="preserve"> on the fact that he did not respond to the first respondent’s letter of 16 November 2017</w:t>
      </w:r>
      <w:r w:rsidR="005360B8">
        <w:rPr>
          <w:rFonts w:ascii="Arial" w:hAnsi="Arial" w:cs="Arial"/>
        </w:rPr>
        <w:t>; despite the applicant</w:t>
      </w:r>
      <w:r>
        <w:rPr>
          <w:rFonts w:ascii="Arial" w:hAnsi="Arial" w:cs="Arial"/>
        </w:rPr>
        <w:t xml:space="preserve"> having furnished reasons as </w:t>
      </w:r>
      <w:r>
        <w:rPr>
          <w:rFonts w:ascii="Arial" w:hAnsi="Arial" w:cs="Arial"/>
        </w:rPr>
        <w:lastRenderedPageBreak/>
        <w:t>per his letter dated 4 May 2018</w:t>
      </w:r>
      <w:r w:rsidR="005360B8">
        <w:rPr>
          <w:rFonts w:ascii="Arial" w:hAnsi="Arial" w:cs="Arial"/>
        </w:rPr>
        <w:t>.</w:t>
      </w:r>
      <w:r w:rsidR="005B5C46">
        <w:rPr>
          <w:rFonts w:ascii="Arial" w:hAnsi="Arial" w:cs="Arial"/>
        </w:rPr>
        <w:t xml:space="preserve"> Furthermore,</w:t>
      </w:r>
      <w:r>
        <w:rPr>
          <w:rFonts w:ascii="Arial" w:hAnsi="Arial" w:cs="Arial"/>
        </w:rPr>
        <w:t xml:space="preserve"> the applicant was the co-owner of the</w:t>
      </w:r>
      <w:r w:rsidR="005360B8">
        <w:rPr>
          <w:rFonts w:ascii="Arial" w:hAnsi="Arial" w:cs="Arial"/>
        </w:rPr>
        <w:t xml:space="preserve"> first respondent’s</w:t>
      </w:r>
      <w:r>
        <w:rPr>
          <w:rFonts w:ascii="Arial" w:hAnsi="Arial" w:cs="Arial"/>
        </w:rPr>
        <w:t xml:space="preserve"> tr</w:t>
      </w:r>
      <w:r w:rsidR="005360B8">
        <w:rPr>
          <w:rFonts w:ascii="Arial" w:hAnsi="Arial" w:cs="Arial"/>
        </w:rPr>
        <w:t>ust property registered at the Deeds O</w:t>
      </w:r>
      <w:r>
        <w:rPr>
          <w:rFonts w:ascii="Arial" w:hAnsi="Arial" w:cs="Arial"/>
        </w:rPr>
        <w:t xml:space="preserve">ffice under </w:t>
      </w:r>
      <w:r w:rsidR="00A0781D">
        <w:rPr>
          <w:rFonts w:ascii="Arial" w:hAnsi="Arial" w:cs="Arial"/>
        </w:rPr>
        <w:t xml:space="preserve">the </w:t>
      </w:r>
      <w:r>
        <w:rPr>
          <w:rFonts w:ascii="Arial" w:hAnsi="Arial" w:cs="Arial"/>
        </w:rPr>
        <w:t>deed of transfer T11251/2002. The first respondent</w:t>
      </w:r>
      <w:r w:rsidR="000923F4">
        <w:rPr>
          <w:rFonts w:ascii="Arial" w:hAnsi="Arial" w:cs="Arial"/>
        </w:rPr>
        <w:t>’s decision to remove the applicant as trustee,</w:t>
      </w:r>
      <w:r>
        <w:rPr>
          <w:rFonts w:ascii="Arial" w:hAnsi="Arial" w:cs="Arial"/>
        </w:rPr>
        <w:t xml:space="preserve"> </w:t>
      </w:r>
      <w:r w:rsidR="00CC2AA7">
        <w:rPr>
          <w:rFonts w:ascii="Arial" w:hAnsi="Arial" w:cs="Arial"/>
        </w:rPr>
        <w:t xml:space="preserve">it was contended, </w:t>
      </w:r>
      <w:r>
        <w:rPr>
          <w:rFonts w:ascii="Arial" w:hAnsi="Arial" w:cs="Arial"/>
        </w:rPr>
        <w:t>infri</w:t>
      </w:r>
      <w:r w:rsidR="000923F4">
        <w:rPr>
          <w:rFonts w:ascii="Arial" w:hAnsi="Arial" w:cs="Arial"/>
        </w:rPr>
        <w:t>nged his</w:t>
      </w:r>
      <w:r>
        <w:rPr>
          <w:rFonts w:ascii="Arial" w:hAnsi="Arial" w:cs="Arial"/>
        </w:rPr>
        <w:t xml:space="preserve"> constitutional right as a co-owner of the property assets of </w:t>
      </w:r>
      <w:r w:rsidR="00A0781D">
        <w:rPr>
          <w:rFonts w:ascii="Arial" w:hAnsi="Arial" w:cs="Arial"/>
        </w:rPr>
        <w:t xml:space="preserve">the </w:t>
      </w:r>
      <w:r w:rsidR="003D2069" w:rsidRPr="003D2069">
        <w:rPr>
          <w:rFonts w:ascii="Arial" w:hAnsi="Arial" w:cs="Arial"/>
        </w:rPr>
        <w:t>Lesedi Lab</w:t>
      </w:r>
      <w:r w:rsidRPr="003D2069">
        <w:rPr>
          <w:rFonts w:ascii="Arial" w:hAnsi="Arial" w:cs="Arial"/>
        </w:rPr>
        <w:t>ophelo</w:t>
      </w:r>
      <w:r w:rsidR="003D2069" w:rsidRPr="003D2069">
        <w:rPr>
          <w:rFonts w:ascii="Arial" w:hAnsi="Arial" w:cs="Arial"/>
        </w:rPr>
        <w:t>T</w:t>
      </w:r>
      <w:r w:rsidRPr="003D2069">
        <w:rPr>
          <w:rFonts w:ascii="Arial" w:hAnsi="Arial" w:cs="Arial"/>
        </w:rPr>
        <w:t>rust</w:t>
      </w:r>
      <w:r>
        <w:rPr>
          <w:rFonts w:ascii="Arial" w:hAnsi="Arial" w:cs="Arial"/>
        </w:rPr>
        <w:t xml:space="preserve"> deed.</w:t>
      </w:r>
      <w:r>
        <w:rPr>
          <w:rStyle w:val="FootnoteReference"/>
          <w:rFonts w:ascii="Arial" w:hAnsi="Arial" w:cs="Arial"/>
        </w:rPr>
        <w:footnoteReference w:id="9"/>
      </w:r>
      <w:r>
        <w:rPr>
          <w:rFonts w:ascii="Arial" w:hAnsi="Arial" w:cs="Arial"/>
        </w:rPr>
        <w:t xml:space="preserve"> </w:t>
      </w:r>
    </w:p>
    <w:p w:rsidR="00A47457" w:rsidRDefault="00ED7A87" w:rsidP="00CC710B">
      <w:pPr>
        <w:spacing w:after="240" w:line="360" w:lineRule="auto"/>
        <w:ind w:left="567" w:hanging="567"/>
        <w:jc w:val="both"/>
        <w:rPr>
          <w:rFonts w:ascii="Arial" w:hAnsi="Arial" w:cs="Arial"/>
        </w:rPr>
      </w:pPr>
      <w:r>
        <w:rPr>
          <w:rFonts w:ascii="Arial" w:hAnsi="Arial" w:cs="Arial"/>
        </w:rPr>
        <w:t>[7]</w:t>
      </w:r>
      <w:r>
        <w:rPr>
          <w:rFonts w:ascii="Arial" w:hAnsi="Arial" w:cs="Arial"/>
        </w:rPr>
        <w:tab/>
        <w:t>On 7 May 2018, the first respondent forwarded the applicant’s letter of 4 May 2018 to the</w:t>
      </w:r>
      <w:r w:rsidR="001B2DF3">
        <w:rPr>
          <w:rFonts w:ascii="Arial" w:hAnsi="Arial" w:cs="Arial"/>
        </w:rPr>
        <w:t xml:space="preserve"> first respondent’s</w:t>
      </w:r>
      <w:r>
        <w:rPr>
          <w:rFonts w:ascii="Arial" w:hAnsi="Arial" w:cs="Arial"/>
        </w:rPr>
        <w:t xml:space="preserve"> other trustees for their comment</w:t>
      </w:r>
      <w:r w:rsidR="001B2DF3">
        <w:rPr>
          <w:rFonts w:ascii="Arial" w:hAnsi="Arial" w:cs="Arial"/>
        </w:rPr>
        <w:t>s</w:t>
      </w:r>
      <w:r w:rsidR="002519C5">
        <w:rPr>
          <w:rStyle w:val="FootnoteReference"/>
          <w:rFonts w:ascii="Arial" w:hAnsi="Arial" w:cs="Arial"/>
        </w:rPr>
        <w:footnoteReference w:id="10"/>
      </w:r>
      <w:r w:rsidR="001B2DF3">
        <w:rPr>
          <w:rFonts w:ascii="Arial" w:hAnsi="Arial" w:cs="Arial"/>
        </w:rPr>
        <w:t xml:space="preserve"> which were</w:t>
      </w:r>
      <w:r w:rsidR="00CC2AA7">
        <w:rPr>
          <w:rFonts w:ascii="Arial" w:hAnsi="Arial" w:cs="Arial"/>
        </w:rPr>
        <w:t xml:space="preserve"> furnished by</w:t>
      </w:r>
      <w:r w:rsidR="00A0781D">
        <w:rPr>
          <w:rFonts w:ascii="Arial" w:hAnsi="Arial" w:cs="Arial"/>
        </w:rPr>
        <w:t xml:space="preserve"> the third respondent in his</w:t>
      </w:r>
      <w:r w:rsidR="001B2DF3">
        <w:rPr>
          <w:rFonts w:ascii="Arial" w:hAnsi="Arial" w:cs="Arial"/>
        </w:rPr>
        <w:t xml:space="preserve"> </w:t>
      </w:r>
      <w:r>
        <w:rPr>
          <w:rFonts w:ascii="Arial" w:hAnsi="Arial" w:cs="Arial"/>
        </w:rPr>
        <w:t>letter dated 15 June 2018.</w:t>
      </w:r>
      <w:r>
        <w:rPr>
          <w:rStyle w:val="FootnoteReference"/>
          <w:rFonts w:ascii="Arial" w:hAnsi="Arial" w:cs="Arial"/>
        </w:rPr>
        <w:footnoteReference w:id="11"/>
      </w:r>
      <w:r>
        <w:rPr>
          <w:rFonts w:ascii="Arial" w:hAnsi="Arial" w:cs="Arial"/>
        </w:rPr>
        <w:t xml:space="preserve"> </w:t>
      </w:r>
      <w:r w:rsidR="00973C38">
        <w:rPr>
          <w:rFonts w:ascii="Arial" w:hAnsi="Arial" w:cs="Arial"/>
        </w:rPr>
        <w:t>This</w:t>
      </w:r>
      <w:r w:rsidR="001B2DF3">
        <w:rPr>
          <w:rFonts w:ascii="Arial" w:hAnsi="Arial" w:cs="Arial"/>
        </w:rPr>
        <w:t xml:space="preserve"> letter is attached to the applicant’s founding affidavit and marked annexures “H1” and “H2”.</w:t>
      </w:r>
      <w:r w:rsidR="00EE4809">
        <w:rPr>
          <w:rStyle w:val="FootnoteReference"/>
          <w:rFonts w:ascii="Arial" w:hAnsi="Arial" w:cs="Arial"/>
        </w:rPr>
        <w:footnoteReference w:id="12"/>
      </w:r>
      <w:r w:rsidR="00EE4809">
        <w:rPr>
          <w:rFonts w:ascii="Arial" w:hAnsi="Arial" w:cs="Arial"/>
        </w:rPr>
        <w:t xml:space="preserve"> T</w:t>
      </w:r>
      <w:r w:rsidR="00973C38">
        <w:rPr>
          <w:rFonts w:ascii="Arial" w:hAnsi="Arial" w:cs="Arial"/>
        </w:rPr>
        <w:t>he third respondent</w:t>
      </w:r>
      <w:r w:rsidR="00EE4809">
        <w:rPr>
          <w:rFonts w:ascii="Arial" w:hAnsi="Arial" w:cs="Arial"/>
        </w:rPr>
        <w:t>’s reply to the applicant’s complaint</w:t>
      </w:r>
      <w:r w:rsidR="00973C38">
        <w:rPr>
          <w:rFonts w:ascii="Arial" w:hAnsi="Arial" w:cs="Arial"/>
        </w:rPr>
        <w:t xml:space="preserve"> was brought to</w:t>
      </w:r>
      <w:r w:rsidR="00A0781D">
        <w:rPr>
          <w:rFonts w:ascii="Arial" w:hAnsi="Arial" w:cs="Arial"/>
        </w:rPr>
        <w:t xml:space="preserve"> the applicant’s</w:t>
      </w:r>
      <w:r w:rsidR="00EE4809">
        <w:rPr>
          <w:rFonts w:ascii="Arial" w:hAnsi="Arial" w:cs="Arial"/>
        </w:rPr>
        <w:t xml:space="preserve"> attention</w:t>
      </w:r>
      <w:r w:rsidR="005A678D">
        <w:rPr>
          <w:rFonts w:ascii="Arial" w:hAnsi="Arial" w:cs="Arial"/>
        </w:rPr>
        <w:t xml:space="preserve"> but</w:t>
      </w:r>
      <w:r w:rsidR="00EE4809">
        <w:rPr>
          <w:rFonts w:ascii="Arial" w:hAnsi="Arial" w:cs="Arial"/>
        </w:rPr>
        <w:t>,</w:t>
      </w:r>
      <w:r w:rsidR="00973C38">
        <w:rPr>
          <w:rFonts w:ascii="Arial" w:hAnsi="Arial" w:cs="Arial"/>
        </w:rPr>
        <w:t xml:space="preserve"> to date</w:t>
      </w:r>
      <w:r w:rsidR="00EE4809">
        <w:rPr>
          <w:rFonts w:ascii="Arial" w:hAnsi="Arial" w:cs="Arial"/>
        </w:rPr>
        <w:t>,</w:t>
      </w:r>
      <w:r w:rsidR="005A678D">
        <w:rPr>
          <w:rFonts w:ascii="Arial" w:hAnsi="Arial" w:cs="Arial"/>
        </w:rPr>
        <w:t xml:space="preserve"> </w:t>
      </w:r>
      <w:r w:rsidR="00F47A52">
        <w:rPr>
          <w:rFonts w:ascii="Arial" w:hAnsi="Arial" w:cs="Arial"/>
        </w:rPr>
        <w:t>t</w:t>
      </w:r>
      <w:r w:rsidR="005A678D">
        <w:rPr>
          <w:rFonts w:ascii="Arial" w:hAnsi="Arial" w:cs="Arial"/>
        </w:rPr>
        <w:t>he</w:t>
      </w:r>
      <w:r w:rsidR="00F47A52">
        <w:rPr>
          <w:rFonts w:ascii="Arial" w:hAnsi="Arial" w:cs="Arial"/>
        </w:rPr>
        <w:t xml:space="preserve"> latter</w:t>
      </w:r>
      <w:r w:rsidR="00973C38">
        <w:rPr>
          <w:rFonts w:ascii="Arial" w:hAnsi="Arial" w:cs="Arial"/>
        </w:rPr>
        <w:t xml:space="preserve"> failed to </w:t>
      </w:r>
      <w:r w:rsidR="005D2694">
        <w:rPr>
          <w:rFonts w:ascii="Arial" w:hAnsi="Arial" w:cs="Arial"/>
        </w:rPr>
        <w:t>respond to the damning allegations contained therein.</w:t>
      </w:r>
    </w:p>
    <w:p w:rsidR="005D2694" w:rsidRDefault="00A47457" w:rsidP="00CC710B">
      <w:pPr>
        <w:spacing w:after="240" w:line="360" w:lineRule="auto"/>
        <w:ind w:left="567" w:hanging="567"/>
        <w:jc w:val="both"/>
        <w:rPr>
          <w:rFonts w:ascii="Arial" w:hAnsi="Arial" w:cs="Arial"/>
        </w:rPr>
      </w:pPr>
      <w:r>
        <w:rPr>
          <w:rFonts w:ascii="Arial" w:hAnsi="Arial" w:cs="Arial"/>
        </w:rPr>
        <w:t xml:space="preserve">[8] </w:t>
      </w:r>
      <w:r w:rsidR="004A1754">
        <w:rPr>
          <w:rFonts w:ascii="Arial" w:hAnsi="Arial" w:cs="Arial"/>
        </w:rPr>
        <w:tab/>
      </w:r>
      <w:r>
        <w:rPr>
          <w:rFonts w:ascii="Arial" w:hAnsi="Arial" w:cs="Arial"/>
        </w:rPr>
        <w:t>It is common cause that both the applicant and the third respondent were the second respondent’s trustees since the inception of the trust in 2002.</w:t>
      </w:r>
      <w:r w:rsidR="00552FBE">
        <w:rPr>
          <w:rFonts w:ascii="Arial" w:hAnsi="Arial" w:cs="Arial"/>
        </w:rPr>
        <w:t xml:space="preserve"> Both are </w:t>
      </w:r>
      <w:r w:rsidR="00552FBE" w:rsidRPr="0007342F">
        <w:rPr>
          <w:rFonts w:ascii="Arial" w:hAnsi="Arial" w:cs="Arial"/>
          <w:i/>
        </w:rPr>
        <w:t>ad idem</w:t>
      </w:r>
      <w:r w:rsidR="00552FBE">
        <w:rPr>
          <w:rFonts w:ascii="Arial" w:hAnsi="Arial" w:cs="Arial"/>
        </w:rPr>
        <w:t xml:space="preserve"> that their relationship was not good from the start. The essence of the third respondent's response to the app</w:t>
      </w:r>
      <w:r w:rsidR="00460DAD">
        <w:rPr>
          <w:rFonts w:ascii="Arial" w:hAnsi="Arial" w:cs="Arial"/>
        </w:rPr>
        <w:t>licant’s complaint to the first respondent</w:t>
      </w:r>
      <w:r w:rsidR="00552FBE">
        <w:rPr>
          <w:rFonts w:ascii="Arial" w:hAnsi="Arial" w:cs="Arial"/>
        </w:rPr>
        <w:t xml:space="preserve"> is not far different from </w:t>
      </w:r>
      <w:r w:rsidR="00460DAD">
        <w:rPr>
          <w:rFonts w:ascii="Arial" w:hAnsi="Arial" w:cs="Arial"/>
        </w:rPr>
        <w:t>the allegations contained in the third respondent’s</w:t>
      </w:r>
      <w:r w:rsidR="00552FBE">
        <w:rPr>
          <w:rFonts w:ascii="Arial" w:hAnsi="Arial" w:cs="Arial"/>
        </w:rPr>
        <w:t xml:space="preserve"> letter of</w:t>
      </w:r>
      <w:r>
        <w:rPr>
          <w:rFonts w:ascii="Arial" w:hAnsi="Arial" w:cs="Arial"/>
        </w:rPr>
        <w:t xml:space="preserve"> </w:t>
      </w:r>
      <w:r w:rsidR="00552FBE">
        <w:rPr>
          <w:rFonts w:ascii="Arial" w:hAnsi="Arial" w:cs="Arial"/>
        </w:rPr>
        <w:t>16 November 2017 to the latter.</w:t>
      </w:r>
      <w:r w:rsidR="00D2152E">
        <w:rPr>
          <w:rStyle w:val="FootnoteReference"/>
          <w:rFonts w:ascii="Arial" w:hAnsi="Arial" w:cs="Arial"/>
        </w:rPr>
        <w:footnoteReference w:id="13"/>
      </w:r>
      <w:r w:rsidR="005D2694">
        <w:rPr>
          <w:rFonts w:ascii="Arial" w:hAnsi="Arial" w:cs="Arial"/>
        </w:rPr>
        <w:t xml:space="preserve"> </w:t>
      </w:r>
      <w:r w:rsidR="00D62767">
        <w:rPr>
          <w:rFonts w:ascii="Arial" w:hAnsi="Arial" w:cs="Arial"/>
        </w:rPr>
        <w:t>The third respondent stated in his letter of 15 June 2018 that the applicant disappeared without a trace for a number of years and on his return he subdivided the farm without consultation. A number of things needed repairs on the side occupied by the applicant who failed to contribute financially or otherwise to</w:t>
      </w:r>
      <w:r w:rsidR="0007342F">
        <w:rPr>
          <w:rFonts w:ascii="Arial" w:hAnsi="Arial" w:cs="Arial"/>
        </w:rPr>
        <w:t xml:space="preserve"> the development of the trust. The applicant</w:t>
      </w:r>
      <w:r w:rsidR="00D62767">
        <w:rPr>
          <w:rFonts w:ascii="Arial" w:hAnsi="Arial" w:cs="Arial"/>
        </w:rPr>
        <w:t xml:space="preserve"> did not have the interests of </w:t>
      </w:r>
      <w:r w:rsidR="0007342F">
        <w:rPr>
          <w:rFonts w:ascii="Arial" w:hAnsi="Arial" w:cs="Arial"/>
        </w:rPr>
        <w:t>the trust at heart and</w:t>
      </w:r>
      <w:r w:rsidR="00D62767">
        <w:rPr>
          <w:rFonts w:ascii="Arial" w:hAnsi="Arial" w:cs="Arial"/>
        </w:rPr>
        <w:t xml:space="preserve"> failed to attend its meetings</w:t>
      </w:r>
      <w:r w:rsidR="0007342F">
        <w:rPr>
          <w:rFonts w:ascii="Arial" w:hAnsi="Arial" w:cs="Arial"/>
        </w:rPr>
        <w:t xml:space="preserve"> for years</w:t>
      </w:r>
      <w:r w:rsidR="00D62767">
        <w:rPr>
          <w:rFonts w:ascii="Arial" w:hAnsi="Arial" w:cs="Arial"/>
        </w:rPr>
        <w:t>.</w:t>
      </w:r>
    </w:p>
    <w:p w:rsidR="00D62767" w:rsidRDefault="00D62767" w:rsidP="00CC710B">
      <w:pPr>
        <w:spacing w:after="240" w:line="360" w:lineRule="auto"/>
        <w:ind w:left="567" w:hanging="567"/>
        <w:jc w:val="both"/>
        <w:rPr>
          <w:rFonts w:ascii="Arial" w:hAnsi="Arial" w:cs="Arial"/>
        </w:rPr>
      </w:pPr>
      <w:r>
        <w:rPr>
          <w:rFonts w:ascii="Arial" w:hAnsi="Arial" w:cs="Arial"/>
        </w:rPr>
        <w:t xml:space="preserve">[9] </w:t>
      </w:r>
      <w:r w:rsidR="004A1754">
        <w:rPr>
          <w:rFonts w:ascii="Arial" w:hAnsi="Arial" w:cs="Arial"/>
        </w:rPr>
        <w:tab/>
      </w:r>
      <w:r>
        <w:rPr>
          <w:rFonts w:ascii="Arial" w:hAnsi="Arial" w:cs="Arial"/>
        </w:rPr>
        <w:t xml:space="preserve">The applicant stated in his letter to the first respondent that in 2013 he </w:t>
      </w:r>
      <w:r w:rsidR="00717682">
        <w:rPr>
          <w:rFonts w:ascii="Arial" w:hAnsi="Arial" w:cs="Arial"/>
        </w:rPr>
        <w:t>moved</w:t>
      </w:r>
      <w:r>
        <w:rPr>
          <w:rFonts w:ascii="Arial" w:hAnsi="Arial" w:cs="Arial"/>
        </w:rPr>
        <w:t xml:space="preserve"> to the other side of the farm</w:t>
      </w:r>
      <w:r w:rsidR="00C1000B">
        <w:rPr>
          <w:rFonts w:ascii="Arial" w:hAnsi="Arial" w:cs="Arial"/>
        </w:rPr>
        <w:t xml:space="preserve"> and it is evident from the contents of the said letter that</w:t>
      </w:r>
      <w:r w:rsidR="00717682">
        <w:rPr>
          <w:rFonts w:ascii="Arial" w:hAnsi="Arial" w:cs="Arial"/>
        </w:rPr>
        <w:t>, for a considerable period,</w:t>
      </w:r>
      <w:r w:rsidR="00C1000B">
        <w:rPr>
          <w:rFonts w:ascii="Arial" w:hAnsi="Arial" w:cs="Arial"/>
        </w:rPr>
        <w:t xml:space="preserve"> he did</w:t>
      </w:r>
      <w:r w:rsidR="00025E3A">
        <w:rPr>
          <w:rFonts w:ascii="Arial" w:hAnsi="Arial" w:cs="Arial"/>
        </w:rPr>
        <w:t xml:space="preserve"> not have much information about</w:t>
      </w:r>
      <w:r w:rsidR="00C1000B">
        <w:rPr>
          <w:rFonts w:ascii="Arial" w:hAnsi="Arial" w:cs="Arial"/>
        </w:rPr>
        <w:t xml:space="preserve"> the </w:t>
      </w:r>
      <w:r w:rsidR="00025E3A">
        <w:rPr>
          <w:rFonts w:ascii="Arial" w:hAnsi="Arial" w:cs="Arial"/>
        </w:rPr>
        <w:t xml:space="preserve">activities </w:t>
      </w:r>
      <w:r w:rsidR="00025E3A">
        <w:rPr>
          <w:rFonts w:ascii="Arial" w:hAnsi="Arial" w:cs="Arial"/>
        </w:rPr>
        <w:lastRenderedPageBreak/>
        <w:t xml:space="preserve">taking place </w:t>
      </w:r>
      <w:r w:rsidR="00C1000B">
        <w:rPr>
          <w:rFonts w:ascii="Arial" w:hAnsi="Arial" w:cs="Arial"/>
        </w:rPr>
        <w:t>on the farm.</w:t>
      </w:r>
      <w:r w:rsidR="00C1000B">
        <w:rPr>
          <w:rStyle w:val="FootnoteReference"/>
          <w:rFonts w:ascii="Arial" w:hAnsi="Arial" w:cs="Arial"/>
        </w:rPr>
        <w:footnoteReference w:id="14"/>
      </w:r>
      <w:r w:rsidR="009571C3">
        <w:rPr>
          <w:rFonts w:ascii="Arial" w:hAnsi="Arial" w:cs="Arial"/>
        </w:rPr>
        <w:t xml:space="preserve"> He failed</w:t>
      </w:r>
      <w:r w:rsidR="00025E3A">
        <w:rPr>
          <w:rFonts w:ascii="Arial" w:hAnsi="Arial" w:cs="Arial"/>
        </w:rPr>
        <w:t xml:space="preserve"> to refute the</w:t>
      </w:r>
      <w:r w:rsidR="009571C3">
        <w:rPr>
          <w:rFonts w:ascii="Arial" w:hAnsi="Arial" w:cs="Arial"/>
        </w:rPr>
        <w:t xml:space="preserve"> allegations</w:t>
      </w:r>
      <w:r w:rsidR="00025E3A">
        <w:rPr>
          <w:rFonts w:ascii="Arial" w:hAnsi="Arial" w:cs="Arial"/>
        </w:rPr>
        <w:t xml:space="preserve"> against him contained in the third respondent’s letter of 15 June 2018.</w:t>
      </w:r>
    </w:p>
    <w:p w:rsidR="00491579" w:rsidRDefault="00491579" w:rsidP="00DE03EC">
      <w:pPr>
        <w:spacing w:after="240" w:line="360" w:lineRule="auto"/>
        <w:ind w:left="567" w:hanging="567"/>
        <w:jc w:val="both"/>
        <w:rPr>
          <w:rFonts w:ascii="Arial" w:hAnsi="Arial" w:cs="Arial"/>
        </w:rPr>
      </w:pPr>
      <w:r>
        <w:rPr>
          <w:rFonts w:ascii="Arial" w:hAnsi="Arial" w:cs="Arial"/>
        </w:rPr>
        <w:t>[10</w:t>
      </w:r>
      <w:r w:rsidR="005D2694">
        <w:rPr>
          <w:rFonts w:ascii="Arial" w:hAnsi="Arial" w:cs="Arial"/>
        </w:rPr>
        <w:t>]</w:t>
      </w:r>
      <w:r>
        <w:rPr>
          <w:rFonts w:ascii="Arial" w:hAnsi="Arial" w:cs="Arial"/>
        </w:rPr>
        <w:t xml:space="preserve"> </w:t>
      </w:r>
      <w:r w:rsidR="004A1754">
        <w:rPr>
          <w:rFonts w:ascii="Arial" w:hAnsi="Arial" w:cs="Arial"/>
        </w:rPr>
        <w:tab/>
      </w:r>
      <w:r>
        <w:rPr>
          <w:rFonts w:ascii="Arial" w:hAnsi="Arial" w:cs="Arial"/>
        </w:rPr>
        <w:t>In the applicant’s heads of argument, it is stated that a trustee may at any time be removed from hi</w:t>
      </w:r>
      <w:r w:rsidR="002B693C">
        <w:rPr>
          <w:rFonts w:ascii="Arial" w:hAnsi="Arial" w:cs="Arial"/>
        </w:rPr>
        <w:t>s office by the Master</w:t>
      </w:r>
      <w:r>
        <w:rPr>
          <w:rFonts w:ascii="Arial" w:hAnsi="Arial" w:cs="Arial"/>
        </w:rPr>
        <w:t xml:space="preserve"> if he fails to perform satisfactorily any </w:t>
      </w:r>
      <w:r w:rsidR="002B693C">
        <w:rPr>
          <w:rFonts w:ascii="Arial" w:hAnsi="Arial" w:cs="Arial"/>
        </w:rPr>
        <w:t>duty imposed upon him by the Act or comply with any lawful request of the Master.</w:t>
      </w:r>
      <w:r w:rsidR="00E0687A">
        <w:rPr>
          <w:rStyle w:val="FootnoteReference"/>
          <w:rFonts w:ascii="Arial" w:hAnsi="Arial" w:cs="Arial"/>
        </w:rPr>
        <w:footnoteReference w:id="15"/>
      </w:r>
      <w:r w:rsidR="00E0687A">
        <w:rPr>
          <w:rFonts w:ascii="Arial" w:hAnsi="Arial" w:cs="Arial"/>
        </w:rPr>
        <w:t xml:space="preserve"> The applicant learnt of his removal as trustee by the first respondent on/or about October 2018.</w:t>
      </w:r>
      <w:r w:rsidR="00E0687A">
        <w:rPr>
          <w:rStyle w:val="FootnoteReference"/>
          <w:rFonts w:ascii="Arial" w:hAnsi="Arial" w:cs="Arial"/>
        </w:rPr>
        <w:footnoteReference w:id="16"/>
      </w:r>
      <w:r w:rsidR="006D6B41">
        <w:rPr>
          <w:rFonts w:ascii="Arial" w:hAnsi="Arial" w:cs="Arial"/>
        </w:rPr>
        <w:t xml:space="preserve"> This application was lodged without unreasonable delay as the applicant had to exhaust the internal remedies.</w:t>
      </w:r>
      <w:r w:rsidR="006D6B41">
        <w:rPr>
          <w:rStyle w:val="FootnoteReference"/>
          <w:rFonts w:ascii="Arial" w:hAnsi="Arial" w:cs="Arial"/>
        </w:rPr>
        <w:footnoteReference w:id="17"/>
      </w:r>
      <w:r w:rsidR="005D2694">
        <w:rPr>
          <w:rFonts w:ascii="Arial" w:hAnsi="Arial" w:cs="Arial"/>
        </w:rPr>
        <w:tab/>
      </w:r>
      <w:r w:rsidR="00554C48">
        <w:rPr>
          <w:rFonts w:ascii="Arial" w:hAnsi="Arial" w:cs="Arial"/>
        </w:rPr>
        <w:t>The decision sought to be reviewed is an administrative</w:t>
      </w:r>
      <w:r w:rsidR="0034449A">
        <w:rPr>
          <w:rFonts w:ascii="Arial" w:hAnsi="Arial" w:cs="Arial"/>
        </w:rPr>
        <w:t xml:space="preserve"> act</w:t>
      </w:r>
      <w:r w:rsidR="00554C48">
        <w:rPr>
          <w:rFonts w:ascii="Arial" w:hAnsi="Arial" w:cs="Arial"/>
        </w:rPr>
        <w:t xml:space="preserve"> under the Promotion of Administrative Justice Act 3 of 2000 (“PAJA”).</w:t>
      </w:r>
      <w:r w:rsidR="000B67C0">
        <w:rPr>
          <w:rStyle w:val="FootnoteReference"/>
          <w:rFonts w:ascii="Arial" w:hAnsi="Arial" w:cs="Arial"/>
        </w:rPr>
        <w:footnoteReference w:id="18"/>
      </w:r>
    </w:p>
    <w:p w:rsidR="00241933" w:rsidRDefault="00241933" w:rsidP="00DE03EC">
      <w:pPr>
        <w:spacing w:after="240" w:line="360" w:lineRule="auto"/>
        <w:ind w:left="567" w:hanging="567"/>
        <w:jc w:val="both"/>
        <w:rPr>
          <w:rFonts w:ascii="Arial" w:hAnsi="Arial" w:cs="Arial"/>
        </w:rPr>
      </w:pPr>
      <w:r>
        <w:rPr>
          <w:rFonts w:ascii="Arial" w:hAnsi="Arial" w:cs="Arial"/>
        </w:rPr>
        <w:t xml:space="preserve">[11] </w:t>
      </w:r>
      <w:r w:rsidR="004A1754">
        <w:rPr>
          <w:rFonts w:ascii="Arial" w:hAnsi="Arial" w:cs="Arial"/>
        </w:rPr>
        <w:tab/>
      </w:r>
      <w:r>
        <w:rPr>
          <w:rFonts w:ascii="Arial" w:hAnsi="Arial" w:cs="Arial"/>
        </w:rPr>
        <w:t>The main thrust of the applicant’s argument is that the first respondent’s request to the applicant to comply with his request was not properly dispatched to the applicant.</w:t>
      </w:r>
      <w:r w:rsidR="00440F99">
        <w:rPr>
          <w:rStyle w:val="FootnoteReference"/>
          <w:rFonts w:ascii="Arial" w:hAnsi="Arial" w:cs="Arial"/>
        </w:rPr>
        <w:footnoteReference w:id="19"/>
      </w:r>
      <w:r w:rsidR="00340C8A">
        <w:rPr>
          <w:rFonts w:ascii="Arial" w:hAnsi="Arial" w:cs="Arial"/>
        </w:rPr>
        <w:t xml:space="preserve"> The first respondent did not afford the applicant an opportunity to be heard and took a decision unilaterally without considering the </w:t>
      </w:r>
      <w:r w:rsidR="00340C8A" w:rsidRPr="00340C8A">
        <w:rPr>
          <w:rFonts w:ascii="Arial" w:hAnsi="Arial" w:cs="Arial"/>
          <w:i/>
        </w:rPr>
        <w:t>audi alteram partem</w:t>
      </w:r>
      <w:r w:rsidR="00340C8A">
        <w:rPr>
          <w:rFonts w:ascii="Arial" w:hAnsi="Arial" w:cs="Arial"/>
        </w:rPr>
        <w:t xml:space="preserve"> rule.</w:t>
      </w:r>
      <w:r w:rsidR="005F3356">
        <w:rPr>
          <w:rStyle w:val="FootnoteReference"/>
          <w:rFonts w:ascii="Arial" w:hAnsi="Arial" w:cs="Arial"/>
        </w:rPr>
        <w:footnoteReference w:id="20"/>
      </w:r>
      <w:r w:rsidR="00A320D7">
        <w:rPr>
          <w:rFonts w:ascii="Arial" w:hAnsi="Arial" w:cs="Arial"/>
        </w:rPr>
        <w:t xml:space="preserve"> It was contended that </w:t>
      </w:r>
      <w:r w:rsidR="004F0C60">
        <w:rPr>
          <w:rFonts w:ascii="Arial" w:hAnsi="Arial" w:cs="Arial"/>
        </w:rPr>
        <w:t>the</w:t>
      </w:r>
      <w:r w:rsidR="00A320D7">
        <w:rPr>
          <w:rFonts w:ascii="Arial" w:hAnsi="Arial" w:cs="Arial"/>
        </w:rPr>
        <w:t xml:space="preserve"> removal of the applicant was not in the interests of the trust or its beneficiaries.</w:t>
      </w:r>
      <w:r w:rsidR="00A320D7">
        <w:rPr>
          <w:rStyle w:val="FootnoteReference"/>
          <w:rFonts w:ascii="Arial" w:hAnsi="Arial" w:cs="Arial"/>
        </w:rPr>
        <w:footnoteReference w:id="21"/>
      </w:r>
    </w:p>
    <w:p w:rsidR="00D0135A" w:rsidRDefault="0034449A" w:rsidP="00337D0D">
      <w:pPr>
        <w:spacing w:after="240" w:line="360" w:lineRule="auto"/>
        <w:ind w:left="567" w:hanging="567"/>
        <w:jc w:val="both"/>
        <w:rPr>
          <w:rFonts w:ascii="Arial" w:hAnsi="Arial" w:cs="Arial"/>
          <w:i/>
        </w:rPr>
      </w:pPr>
      <w:r>
        <w:rPr>
          <w:rFonts w:ascii="Arial" w:hAnsi="Arial" w:cs="Arial"/>
        </w:rPr>
        <w:t xml:space="preserve">[12] </w:t>
      </w:r>
      <w:r w:rsidR="00A914D6" w:rsidRPr="00A914D6">
        <w:rPr>
          <w:rFonts w:ascii="Arial" w:hAnsi="Arial" w:cs="Arial"/>
        </w:rPr>
        <w:t>Under PAJA</w:t>
      </w:r>
      <w:r w:rsidR="00A914D6">
        <w:rPr>
          <w:rFonts w:ascii="Arial" w:hAnsi="Arial" w:cs="Arial"/>
        </w:rPr>
        <w:t>,</w:t>
      </w:r>
      <w:r w:rsidR="00A914D6" w:rsidRPr="00A914D6">
        <w:rPr>
          <w:rFonts w:ascii="Arial" w:hAnsi="Arial" w:cs="Arial"/>
        </w:rPr>
        <w:t xml:space="preserve"> proceedings for judicial review must be instituted without unreasonable delay and not later </w:t>
      </w:r>
      <w:r w:rsidR="00A914D6">
        <w:rPr>
          <w:rFonts w:ascii="Arial" w:hAnsi="Arial" w:cs="Arial"/>
        </w:rPr>
        <w:t xml:space="preserve">than 180 days after the date on </w:t>
      </w:r>
      <w:r w:rsidR="00A914D6" w:rsidRPr="00A914D6">
        <w:rPr>
          <w:rFonts w:ascii="Arial" w:hAnsi="Arial" w:cs="Arial"/>
        </w:rPr>
        <w:t>which the person concerned was informed of the administrative action</w:t>
      </w:r>
      <w:r w:rsidR="00A914D6">
        <w:rPr>
          <w:rFonts w:ascii="Arial" w:hAnsi="Arial" w:cs="Arial"/>
        </w:rPr>
        <w:t>.</w:t>
      </w:r>
      <w:r w:rsidR="00A914D6">
        <w:rPr>
          <w:rStyle w:val="FootnoteReference"/>
          <w:rFonts w:ascii="Arial" w:hAnsi="Arial" w:cs="Arial"/>
        </w:rPr>
        <w:footnoteReference w:id="22"/>
      </w:r>
      <w:r w:rsidR="00D0135A">
        <w:rPr>
          <w:rFonts w:ascii="Arial" w:hAnsi="Arial" w:cs="Arial"/>
        </w:rPr>
        <w:t xml:space="preserve"> </w:t>
      </w:r>
      <w:r w:rsidR="00337D0D">
        <w:rPr>
          <w:rFonts w:ascii="Arial" w:hAnsi="Arial" w:cs="Arial"/>
        </w:rPr>
        <w:t>I</w:t>
      </w:r>
      <w:r w:rsidR="00D0135A" w:rsidRPr="00D0135A">
        <w:rPr>
          <w:rFonts w:ascii="Arial" w:hAnsi="Arial" w:cs="Arial"/>
        </w:rPr>
        <w:t xml:space="preserve">n </w:t>
      </w:r>
      <w:r w:rsidR="00D0135A" w:rsidRPr="00337D0D">
        <w:rPr>
          <w:rFonts w:ascii="Arial" w:hAnsi="Arial" w:cs="Arial"/>
          <w:i/>
        </w:rPr>
        <w:t>Opposition to Urban Tolling Alliance v The South African National Roads Agency Ltd</w:t>
      </w:r>
      <w:r w:rsidR="00851FD0">
        <w:rPr>
          <w:rFonts w:ascii="Arial" w:hAnsi="Arial" w:cs="Arial"/>
          <w:i/>
        </w:rPr>
        <w:t>,</w:t>
      </w:r>
      <w:r w:rsidR="00337D0D">
        <w:rPr>
          <w:rStyle w:val="FootnoteReference"/>
          <w:rFonts w:ascii="Arial" w:hAnsi="Arial" w:cs="Arial"/>
          <w:i/>
        </w:rPr>
        <w:footnoteReference w:id="23"/>
      </w:r>
      <w:r w:rsidR="00851FD0">
        <w:rPr>
          <w:rFonts w:ascii="Arial" w:hAnsi="Arial" w:cs="Arial"/>
        </w:rPr>
        <w:t xml:space="preserve"> it was stated that</w:t>
      </w:r>
      <w:r w:rsidR="00D0135A" w:rsidRPr="00D0135A">
        <w:rPr>
          <w:rFonts w:ascii="Arial" w:hAnsi="Arial" w:cs="Arial"/>
        </w:rPr>
        <w:t>:</w:t>
      </w:r>
      <w:r w:rsidR="00851FD0">
        <w:rPr>
          <w:rFonts w:ascii="Arial" w:hAnsi="Arial" w:cs="Arial"/>
        </w:rPr>
        <w:t xml:space="preserve"> “</w:t>
      </w:r>
      <w:r w:rsidR="005C4C97" w:rsidRPr="00851FD0">
        <w:rPr>
          <w:rFonts w:ascii="Arial" w:hAnsi="Arial" w:cs="Arial"/>
          <w:i/>
        </w:rPr>
        <w:t xml:space="preserve">At common law application of the undue delay rule required a </w:t>
      </w:r>
      <w:r w:rsidR="00074E5C">
        <w:rPr>
          <w:rFonts w:ascii="Arial" w:hAnsi="Arial" w:cs="Arial"/>
          <w:i/>
        </w:rPr>
        <w:t>two-stage</w:t>
      </w:r>
      <w:r w:rsidR="005C4C97" w:rsidRPr="00851FD0">
        <w:rPr>
          <w:rFonts w:ascii="Arial" w:hAnsi="Arial" w:cs="Arial"/>
          <w:i/>
        </w:rPr>
        <w:t xml:space="preserve"> enquiry. First, whether there was an unreasonable delay and, second, if so, whether the delay should in all the circumstances be condoned. Up to a point, I think, s 7(1) of PAJA requires the same </w:t>
      </w:r>
      <w:r w:rsidR="0008500E" w:rsidRPr="00851FD0">
        <w:rPr>
          <w:rFonts w:ascii="Arial" w:hAnsi="Arial" w:cs="Arial"/>
          <w:i/>
        </w:rPr>
        <w:t>two-stage</w:t>
      </w:r>
      <w:r w:rsidR="005C4C97" w:rsidRPr="00851FD0">
        <w:rPr>
          <w:rFonts w:ascii="Arial" w:hAnsi="Arial" w:cs="Arial"/>
          <w:i/>
        </w:rPr>
        <w:t xml:space="preserve"> approach. The difference lies, as I see it, in the legislature’s determination of a delay exceeding 180 days </w:t>
      </w:r>
      <w:r w:rsidR="005C4C97" w:rsidRPr="00851FD0">
        <w:rPr>
          <w:rFonts w:ascii="Arial" w:hAnsi="Arial" w:cs="Arial"/>
          <w:i/>
        </w:rPr>
        <w:lastRenderedPageBreak/>
        <w:t xml:space="preserve">as per se unreasonable. Before the effluxion of 180 days, the first enquiry in applying s 7(1) is still whether the delay (if any) was unreasonable. But after the </w:t>
      </w:r>
      <w:r w:rsidR="00851FD0">
        <w:rPr>
          <w:rFonts w:ascii="Arial" w:hAnsi="Arial" w:cs="Arial"/>
          <w:i/>
        </w:rPr>
        <w:t>180-day</w:t>
      </w:r>
      <w:r w:rsidR="005C4C97" w:rsidRPr="00851FD0">
        <w:rPr>
          <w:rFonts w:ascii="Arial" w:hAnsi="Arial" w:cs="Arial"/>
          <w:i/>
        </w:rPr>
        <w:t xml:space="preserve"> period</w:t>
      </w:r>
      <w:r w:rsidR="00851FD0">
        <w:rPr>
          <w:rFonts w:ascii="Arial" w:hAnsi="Arial" w:cs="Arial"/>
          <w:i/>
        </w:rPr>
        <w:t>,</w:t>
      </w:r>
      <w:r w:rsidR="005C4C97" w:rsidRPr="00851FD0">
        <w:rPr>
          <w:rFonts w:ascii="Arial" w:hAnsi="Arial" w:cs="Arial"/>
          <w:i/>
        </w:rPr>
        <w:t xml:space="preserve"> the issue of unreasonableness is pre-determined by the legislature; it is unreasonable per se. It follows that the court is only empowered to entertain the review application if the interest of justice dictates an extension in terms of s 9. Absent such extension the court has no authority to entertain the review application at all. Whether or not the decision was unlawful no longer matters. The decision has been ‘validated’ by the delay. That of course does not mean that, after the </w:t>
      </w:r>
      <w:r w:rsidR="00851FD0" w:rsidRPr="00851FD0">
        <w:rPr>
          <w:rFonts w:ascii="Arial" w:hAnsi="Arial" w:cs="Arial"/>
          <w:i/>
        </w:rPr>
        <w:t>180-day</w:t>
      </w:r>
      <w:r w:rsidR="005C4C97" w:rsidRPr="00851FD0">
        <w:rPr>
          <w:rFonts w:ascii="Arial" w:hAnsi="Arial" w:cs="Arial"/>
          <w:i/>
        </w:rPr>
        <w:t xml:space="preserve"> period, an enquiry into the reasonableness of the applicant’s conduct becomes entirely irrelevant. Whether or not the delay was unreasonable and, if so, the extent of that unreasonableness is still a factor to be taken into account in determining whether an extension should be granted or not.</w:t>
      </w:r>
      <w:r w:rsidR="00851FD0">
        <w:rPr>
          <w:rFonts w:ascii="Arial" w:hAnsi="Arial" w:cs="Arial"/>
          <w:i/>
        </w:rPr>
        <w:t>”</w:t>
      </w:r>
    </w:p>
    <w:p w:rsidR="001218ED" w:rsidRPr="00C23AD3" w:rsidRDefault="001218ED" w:rsidP="001218ED">
      <w:pPr>
        <w:spacing w:after="240" w:line="360" w:lineRule="auto"/>
        <w:ind w:left="567" w:hanging="567"/>
        <w:jc w:val="both"/>
        <w:rPr>
          <w:rFonts w:ascii="Arial" w:hAnsi="Arial" w:cs="Arial"/>
        </w:rPr>
      </w:pPr>
      <w:r>
        <w:rPr>
          <w:rFonts w:ascii="Arial" w:hAnsi="Arial" w:cs="Arial"/>
        </w:rPr>
        <w:t xml:space="preserve">[13] </w:t>
      </w:r>
      <w:r w:rsidR="004A1754">
        <w:rPr>
          <w:rFonts w:ascii="Arial" w:hAnsi="Arial" w:cs="Arial"/>
        </w:rPr>
        <w:tab/>
      </w:r>
      <w:r w:rsidRPr="001218ED">
        <w:rPr>
          <w:rFonts w:ascii="Arial" w:hAnsi="Arial" w:cs="Arial"/>
        </w:rPr>
        <w:t xml:space="preserve">In considering a delay under the provisions of PAJA, the interests of justice </w:t>
      </w:r>
      <w:r w:rsidR="007B4C6A" w:rsidRPr="001218ED">
        <w:rPr>
          <w:rFonts w:ascii="Arial" w:hAnsi="Arial" w:cs="Arial"/>
        </w:rPr>
        <w:t>are</w:t>
      </w:r>
      <w:r w:rsidRPr="001218ED">
        <w:rPr>
          <w:rFonts w:ascii="Arial" w:hAnsi="Arial" w:cs="Arial"/>
        </w:rPr>
        <w:t xml:space="preserve"> the</w:t>
      </w:r>
      <w:r>
        <w:rPr>
          <w:rFonts w:ascii="Arial" w:hAnsi="Arial" w:cs="Arial"/>
        </w:rPr>
        <w:t xml:space="preserve"> decisive criterion. A </w:t>
      </w:r>
      <w:r w:rsidR="00074E5C">
        <w:rPr>
          <w:rFonts w:ascii="Arial" w:hAnsi="Arial" w:cs="Arial"/>
        </w:rPr>
        <w:t>two-stage</w:t>
      </w:r>
      <w:r>
        <w:rPr>
          <w:rFonts w:ascii="Arial" w:hAnsi="Arial" w:cs="Arial"/>
        </w:rPr>
        <w:t xml:space="preserve"> approach should be </w:t>
      </w:r>
      <w:r w:rsidRPr="001218ED">
        <w:rPr>
          <w:rFonts w:ascii="Arial" w:hAnsi="Arial" w:cs="Arial"/>
        </w:rPr>
        <w:t>followed. The first question to be answered is whether the application was launched more than 180 days a</w:t>
      </w:r>
      <w:r w:rsidR="007B4C6A">
        <w:rPr>
          <w:rFonts w:ascii="Arial" w:hAnsi="Arial" w:cs="Arial"/>
        </w:rPr>
        <w:t>fter internal remedies were</w:t>
      </w:r>
      <w:r>
        <w:rPr>
          <w:rFonts w:ascii="Arial" w:hAnsi="Arial" w:cs="Arial"/>
        </w:rPr>
        <w:t xml:space="preserve"> </w:t>
      </w:r>
      <w:r w:rsidRPr="001218ED">
        <w:rPr>
          <w:rFonts w:ascii="Arial" w:hAnsi="Arial" w:cs="Arial"/>
        </w:rPr>
        <w:t xml:space="preserve">exhausted </w:t>
      </w:r>
      <w:r w:rsidRPr="00C23AD3">
        <w:rPr>
          <w:rFonts w:ascii="Arial" w:hAnsi="Arial" w:cs="Arial"/>
        </w:rPr>
        <w:t>or the applicant had been informed of, had knowledge of or ought to have had knowledge of the administrative action under challenge. The second question, if the first is answered in the affirmative, is whether it is in the interests of justice to condone the delay.</w:t>
      </w:r>
      <w:r w:rsidR="00074E5C" w:rsidRPr="00C23AD3">
        <w:rPr>
          <w:rFonts w:ascii="Arial" w:hAnsi="Arial" w:cs="Arial"/>
        </w:rPr>
        <w:t xml:space="preserve"> </w:t>
      </w:r>
    </w:p>
    <w:p w:rsidR="001218ED" w:rsidRDefault="007B4C6A" w:rsidP="001218ED">
      <w:pPr>
        <w:spacing w:after="240" w:line="360" w:lineRule="auto"/>
        <w:ind w:left="567" w:hanging="567"/>
        <w:jc w:val="both"/>
        <w:rPr>
          <w:rFonts w:ascii="Arial" w:hAnsi="Arial" w:cs="Arial"/>
        </w:rPr>
      </w:pPr>
      <w:r w:rsidRPr="00C23AD3">
        <w:rPr>
          <w:rFonts w:ascii="Arial" w:hAnsi="Arial" w:cs="Arial"/>
        </w:rPr>
        <w:t xml:space="preserve">[14] </w:t>
      </w:r>
      <w:r w:rsidR="004A1754">
        <w:rPr>
          <w:rFonts w:ascii="Arial" w:hAnsi="Arial" w:cs="Arial"/>
        </w:rPr>
        <w:tab/>
      </w:r>
      <w:r w:rsidR="001218ED" w:rsidRPr="00C23AD3">
        <w:rPr>
          <w:rFonts w:ascii="Arial" w:hAnsi="Arial" w:cs="Arial"/>
        </w:rPr>
        <w:t xml:space="preserve">The question </w:t>
      </w:r>
      <w:r w:rsidRPr="00C23AD3">
        <w:rPr>
          <w:rFonts w:ascii="Arial" w:hAnsi="Arial" w:cs="Arial"/>
        </w:rPr>
        <w:t xml:space="preserve">of </w:t>
      </w:r>
      <w:r w:rsidR="001218ED" w:rsidRPr="00C23AD3">
        <w:rPr>
          <w:rFonts w:ascii="Arial" w:hAnsi="Arial" w:cs="Arial"/>
        </w:rPr>
        <w:t>whether the interests of justice require the grant of an extension depends 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administration of justice and other litigants, the importance of the issue to be raised in the intended proceedings and the prospects of success. Although a consideration of the prospects of success of the application for review requires an examination of its merits, this does not encompass their determination.</w:t>
      </w:r>
      <w:r w:rsidR="005F5031">
        <w:rPr>
          <w:rStyle w:val="FootnoteReference"/>
          <w:rFonts w:ascii="Arial" w:hAnsi="Arial" w:cs="Arial"/>
        </w:rPr>
        <w:footnoteReference w:id="24"/>
      </w:r>
      <w:r w:rsidR="001218ED" w:rsidRPr="00C23AD3">
        <w:rPr>
          <w:rFonts w:ascii="Arial" w:hAnsi="Arial" w:cs="Arial"/>
        </w:rPr>
        <w:t xml:space="preserve"> </w:t>
      </w:r>
    </w:p>
    <w:p w:rsidR="00121B8E" w:rsidRDefault="00057142" w:rsidP="003A5F0B">
      <w:pPr>
        <w:spacing w:after="240" w:line="360" w:lineRule="auto"/>
        <w:ind w:left="567" w:hanging="567"/>
        <w:jc w:val="both"/>
        <w:rPr>
          <w:rFonts w:ascii="Arial" w:hAnsi="Arial" w:cs="Arial"/>
        </w:rPr>
      </w:pPr>
      <w:r>
        <w:rPr>
          <w:rFonts w:ascii="Arial" w:hAnsi="Arial" w:cs="Arial"/>
        </w:rPr>
        <w:lastRenderedPageBreak/>
        <w:t>[15]</w:t>
      </w:r>
      <w:r w:rsidR="00646CF1">
        <w:rPr>
          <w:rFonts w:ascii="Arial" w:hAnsi="Arial" w:cs="Arial"/>
        </w:rPr>
        <w:t xml:space="preserve"> </w:t>
      </w:r>
      <w:r w:rsidR="004A1754">
        <w:rPr>
          <w:rFonts w:ascii="Arial" w:hAnsi="Arial" w:cs="Arial"/>
        </w:rPr>
        <w:tab/>
      </w:r>
      <w:r w:rsidR="00646CF1">
        <w:rPr>
          <w:rFonts w:ascii="Arial" w:hAnsi="Arial" w:cs="Arial"/>
        </w:rPr>
        <w:t>This application was launched on 7 April 2022. The applicant stated in his letter of 4 May 2018 to the first respondent that he knew on 2 May 2018 of his removal as trustee. Though the applicant is shifty about the date he had knowledge of the first respondent’s decision, it is clear that a period of approximately four years elapsed since the impugned decision was taken and the applicant came to the knowledge thereof.</w:t>
      </w:r>
      <w:r w:rsidR="00A01373">
        <w:rPr>
          <w:rFonts w:ascii="Arial" w:hAnsi="Arial" w:cs="Arial"/>
        </w:rPr>
        <w:t xml:space="preserve"> He failed to give a full and reasonable explanation for the delay which covers the entire period. His explanation is scanty as to the work done by the first set of lawyers he employed after he allegedly learnt for the first time in October 2018 of the first respondent’s decision.</w:t>
      </w:r>
      <w:r w:rsidR="00D129F5">
        <w:rPr>
          <w:rStyle w:val="FootnoteReference"/>
          <w:rFonts w:ascii="Arial" w:hAnsi="Arial" w:cs="Arial"/>
        </w:rPr>
        <w:footnoteReference w:id="25"/>
      </w:r>
      <w:r w:rsidR="00437D20">
        <w:rPr>
          <w:rFonts w:ascii="Arial" w:hAnsi="Arial" w:cs="Arial"/>
        </w:rPr>
        <w:t xml:space="preserve"> This version contradicts his earlier version</w:t>
      </w:r>
      <w:r w:rsidR="00C74135">
        <w:rPr>
          <w:rFonts w:ascii="Arial" w:hAnsi="Arial" w:cs="Arial"/>
        </w:rPr>
        <w:t>s</w:t>
      </w:r>
      <w:r w:rsidR="00437D20">
        <w:rPr>
          <w:rFonts w:ascii="Arial" w:hAnsi="Arial" w:cs="Arial"/>
        </w:rPr>
        <w:t xml:space="preserve"> that </w:t>
      </w:r>
      <w:r w:rsidR="00C74135">
        <w:rPr>
          <w:rFonts w:ascii="Arial" w:hAnsi="Arial" w:cs="Arial"/>
        </w:rPr>
        <w:t>he had learnt of his removal through his current attorneys in February 2019 pursuant to a letter he had received</w:t>
      </w:r>
      <w:r w:rsidR="00247757">
        <w:rPr>
          <w:rFonts w:ascii="Arial" w:hAnsi="Arial" w:cs="Arial"/>
        </w:rPr>
        <w:t xml:space="preserve"> in his post box</w:t>
      </w:r>
      <w:r w:rsidR="00C74135">
        <w:rPr>
          <w:rFonts w:ascii="Arial" w:hAnsi="Arial" w:cs="Arial"/>
        </w:rPr>
        <w:t xml:space="preserve"> from the first respondent in March 2018</w:t>
      </w:r>
      <w:r w:rsidR="00247757">
        <w:rPr>
          <w:rFonts w:ascii="Arial" w:hAnsi="Arial" w:cs="Arial"/>
        </w:rPr>
        <w:t xml:space="preserve"> informing him of his removal</w:t>
      </w:r>
      <w:r w:rsidR="00C74135">
        <w:rPr>
          <w:rFonts w:ascii="Arial" w:hAnsi="Arial" w:cs="Arial"/>
        </w:rPr>
        <w:t>.</w:t>
      </w:r>
    </w:p>
    <w:p w:rsidR="00A64804" w:rsidRDefault="00121B8E" w:rsidP="003A5F0B">
      <w:pPr>
        <w:spacing w:after="240" w:line="360" w:lineRule="auto"/>
        <w:ind w:left="567" w:hanging="567"/>
        <w:jc w:val="both"/>
        <w:rPr>
          <w:rFonts w:ascii="Arial" w:hAnsi="Arial" w:cs="Arial"/>
        </w:rPr>
      </w:pPr>
      <w:r>
        <w:rPr>
          <w:rFonts w:ascii="Arial" w:hAnsi="Arial" w:cs="Arial"/>
        </w:rPr>
        <w:t xml:space="preserve">[16] </w:t>
      </w:r>
      <w:r w:rsidR="004A1754">
        <w:rPr>
          <w:rFonts w:ascii="Arial" w:hAnsi="Arial" w:cs="Arial"/>
        </w:rPr>
        <w:tab/>
      </w:r>
      <w:r>
        <w:rPr>
          <w:rFonts w:ascii="Arial" w:hAnsi="Arial" w:cs="Arial"/>
        </w:rPr>
        <w:t>The relief sought is his reinstatement as the trustee of the second respondent.</w:t>
      </w:r>
      <w:r w:rsidR="00EC0BDD">
        <w:rPr>
          <w:rFonts w:ascii="Arial" w:hAnsi="Arial" w:cs="Arial"/>
        </w:rPr>
        <w:t xml:space="preserve"> Despite his awareness of the third respondent’s comments to</w:t>
      </w:r>
      <w:r w:rsidR="00247757">
        <w:rPr>
          <w:rFonts w:ascii="Arial" w:hAnsi="Arial" w:cs="Arial"/>
        </w:rPr>
        <w:t xml:space="preserve"> his complaint which were forwarded to</w:t>
      </w:r>
      <w:r w:rsidR="00EC0BDD">
        <w:rPr>
          <w:rFonts w:ascii="Arial" w:hAnsi="Arial" w:cs="Arial"/>
        </w:rPr>
        <w:t xml:space="preserve"> the first respondent</w:t>
      </w:r>
      <w:r w:rsidR="00247757">
        <w:rPr>
          <w:rFonts w:ascii="Arial" w:hAnsi="Arial" w:cs="Arial"/>
        </w:rPr>
        <w:t>,</w:t>
      </w:r>
      <w:r w:rsidR="00EC0BDD">
        <w:rPr>
          <w:rFonts w:ascii="Arial" w:hAnsi="Arial" w:cs="Arial"/>
        </w:rPr>
        <w:t xml:space="preserve"> he failed to respond thereto.</w:t>
      </w:r>
      <w:r w:rsidR="00790F18">
        <w:rPr>
          <w:rFonts w:ascii="Arial" w:hAnsi="Arial" w:cs="Arial"/>
        </w:rPr>
        <w:t xml:space="preserve"> The granting of the relief sought would have a negative effect on the administration of justice.</w:t>
      </w:r>
      <w:r w:rsidR="00A64804">
        <w:rPr>
          <w:rFonts w:ascii="Arial" w:hAnsi="Arial" w:cs="Arial"/>
        </w:rPr>
        <w:t xml:space="preserve"> In the</w:t>
      </w:r>
      <w:r w:rsidR="00D3479A">
        <w:rPr>
          <w:rFonts w:ascii="Arial" w:hAnsi="Arial" w:cs="Arial"/>
        </w:rPr>
        <w:t>se</w:t>
      </w:r>
      <w:r w:rsidR="00A64804">
        <w:rPr>
          <w:rFonts w:ascii="Arial" w:hAnsi="Arial" w:cs="Arial"/>
        </w:rPr>
        <w:t xml:space="preserve"> circumst</w:t>
      </w:r>
      <w:r w:rsidR="00C23AD3">
        <w:rPr>
          <w:rFonts w:ascii="Arial" w:hAnsi="Arial" w:cs="Arial"/>
        </w:rPr>
        <w:t>ances, the application should</w:t>
      </w:r>
      <w:r w:rsidR="00A64804">
        <w:rPr>
          <w:rFonts w:ascii="Arial" w:hAnsi="Arial" w:cs="Arial"/>
        </w:rPr>
        <w:t xml:space="preserve"> fail.</w:t>
      </w:r>
      <w:r w:rsidR="00EC0BDD">
        <w:rPr>
          <w:rFonts w:ascii="Arial" w:hAnsi="Arial" w:cs="Arial"/>
        </w:rPr>
        <w:t xml:space="preserve"> </w:t>
      </w:r>
    </w:p>
    <w:p w:rsidR="00A64804" w:rsidRDefault="00A64804" w:rsidP="003A5F0B">
      <w:pPr>
        <w:spacing w:after="240" w:line="360" w:lineRule="auto"/>
        <w:ind w:left="567" w:hanging="567"/>
        <w:jc w:val="both"/>
        <w:rPr>
          <w:rFonts w:ascii="Arial" w:hAnsi="Arial" w:cs="Arial"/>
        </w:rPr>
      </w:pPr>
      <w:r>
        <w:rPr>
          <w:rFonts w:ascii="Arial" w:hAnsi="Arial" w:cs="Arial"/>
        </w:rPr>
        <w:t>[1</w:t>
      </w:r>
      <w:r w:rsidR="004A1754">
        <w:rPr>
          <w:rFonts w:ascii="Arial" w:hAnsi="Arial" w:cs="Arial"/>
        </w:rPr>
        <w:t>7</w:t>
      </w:r>
      <w:r>
        <w:rPr>
          <w:rFonts w:ascii="Arial" w:hAnsi="Arial" w:cs="Arial"/>
        </w:rPr>
        <w:t xml:space="preserve">] </w:t>
      </w:r>
      <w:r w:rsidR="004A1754">
        <w:rPr>
          <w:rFonts w:ascii="Arial" w:hAnsi="Arial" w:cs="Arial"/>
        </w:rPr>
        <w:tab/>
      </w:r>
      <w:r>
        <w:rPr>
          <w:rFonts w:ascii="Arial" w:hAnsi="Arial" w:cs="Arial"/>
        </w:rPr>
        <w:t>The following order is made:</w:t>
      </w:r>
    </w:p>
    <w:p w:rsidR="00D3479A" w:rsidRPr="00D3479A" w:rsidRDefault="00D3479A" w:rsidP="003A5F0B">
      <w:pPr>
        <w:spacing w:after="240" w:line="360" w:lineRule="auto"/>
        <w:ind w:left="567" w:hanging="567"/>
        <w:jc w:val="both"/>
        <w:rPr>
          <w:rFonts w:ascii="Arial" w:hAnsi="Arial" w:cs="Arial"/>
          <w:b/>
          <w:u w:val="single"/>
        </w:rPr>
      </w:pPr>
      <w:r>
        <w:rPr>
          <w:rFonts w:ascii="Arial" w:hAnsi="Arial" w:cs="Arial"/>
          <w:b/>
          <w:u w:val="single"/>
        </w:rPr>
        <w:t>Order:</w:t>
      </w:r>
    </w:p>
    <w:p w:rsidR="000E5FF1" w:rsidRPr="00CB516A" w:rsidRDefault="00A64804" w:rsidP="00BE71E7">
      <w:pPr>
        <w:spacing w:after="240" w:line="360" w:lineRule="auto"/>
        <w:ind w:left="567" w:hanging="567"/>
        <w:jc w:val="both"/>
        <w:rPr>
          <w:rFonts w:ascii="Arial" w:hAnsi="Arial" w:cs="Arial"/>
        </w:rPr>
      </w:pPr>
      <w:r>
        <w:rPr>
          <w:rFonts w:ascii="Arial" w:hAnsi="Arial" w:cs="Arial"/>
        </w:rPr>
        <w:t>The application is dismissed.</w:t>
      </w:r>
      <w:r w:rsidR="00646CF1">
        <w:rPr>
          <w:rFonts w:ascii="Arial" w:hAnsi="Arial" w:cs="Arial"/>
        </w:rPr>
        <w:t xml:space="preserve"> </w:t>
      </w:r>
    </w:p>
    <w:p w:rsidR="00C86035" w:rsidRPr="00ED0239" w:rsidRDefault="003B4761" w:rsidP="00ED0239">
      <w:pPr>
        <w:spacing w:after="240" w:line="360" w:lineRule="auto"/>
        <w:ind w:left="993" w:hanging="426"/>
        <w:jc w:val="both"/>
        <w:rPr>
          <w:rFonts w:ascii="Arial" w:hAnsi="Arial" w:cs="Arial"/>
          <w:u w:val="single"/>
        </w:rPr>
      </w:pPr>
      <w:r>
        <w:rPr>
          <w:rFonts w:ascii="Arial" w:hAnsi="Arial" w:cs="Arial"/>
          <w:i/>
          <w:sz w:val="20"/>
          <w:szCs w:val="20"/>
        </w:rPr>
        <w:t xml:space="preserve"> </w:t>
      </w:r>
      <w:r w:rsidR="00CF29B4">
        <w:rPr>
          <w:rFonts w:ascii="Arial" w:hAnsi="Arial" w:cs="Arial"/>
        </w:rPr>
        <w:tab/>
      </w: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FC67BC" w:rsidRDefault="00FC67BC" w:rsidP="0035047C">
      <w:pPr>
        <w:jc w:val="right"/>
        <w:rPr>
          <w:rFonts w:ascii="Arial" w:hAnsi="Arial" w:cs="Arial"/>
          <w:b/>
          <w:bCs/>
        </w:rPr>
      </w:pPr>
    </w:p>
    <w:p w:rsidR="00FC67BC" w:rsidRDefault="00FC67BC" w:rsidP="0035047C">
      <w:pPr>
        <w:jc w:val="right"/>
        <w:rPr>
          <w:rFonts w:ascii="Arial" w:hAnsi="Arial" w:cs="Arial"/>
          <w:b/>
          <w:bCs/>
        </w:rPr>
      </w:pPr>
    </w:p>
    <w:p w:rsidR="00FC67BC" w:rsidRDefault="00FC67BC" w:rsidP="0035047C">
      <w:pPr>
        <w:jc w:val="right"/>
        <w:rPr>
          <w:rFonts w:ascii="Arial" w:hAnsi="Arial" w:cs="Arial"/>
          <w:b/>
          <w:bCs/>
        </w:rPr>
      </w:pPr>
    </w:p>
    <w:p w:rsidR="00FC67BC" w:rsidRDefault="00FC67BC" w:rsidP="00FC67BC">
      <w:pPr>
        <w:rPr>
          <w:rFonts w:ascii="Arial" w:hAnsi="Arial" w:cs="Arial"/>
          <w:b/>
          <w:bCs/>
        </w:rPr>
      </w:pPr>
      <w:r w:rsidRPr="00FC67BC">
        <w:rPr>
          <w:rFonts w:ascii="Arial" w:hAnsi="Arial" w:cs="Arial"/>
          <w:bCs/>
        </w:rPr>
        <w:t>I concur</w:t>
      </w:r>
      <w:r>
        <w:rPr>
          <w:rFonts w:ascii="Arial" w:hAnsi="Arial" w:cs="Arial"/>
          <w:b/>
          <w:bCs/>
        </w:rPr>
        <w:t xml:space="preserve">, </w:t>
      </w:r>
    </w:p>
    <w:p w:rsidR="00FC67BC" w:rsidRDefault="00FC67BC" w:rsidP="0035047C">
      <w:pPr>
        <w:jc w:val="right"/>
        <w:rPr>
          <w:rFonts w:ascii="Arial" w:hAnsi="Arial" w:cs="Arial"/>
          <w:b/>
          <w:bCs/>
        </w:rPr>
      </w:pPr>
    </w:p>
    <w:p w:rsidR="00FC67BC" w:rsidRDefault="00FC67BC" w:rsidP="0035047C">
      <w:pPr>
        <w:jc w:val="right"/>
        <w:rPr>
          <w:rFonts w:ascii="Arial" w:hAnsi="Arial" w:cs="Arial"/>
          <w:b/>
          <w:bCs/>
        </w:rPr>
      </w:pPr>
    </w:p>
    <w:p w:rsidR="00FC67BC" w:rsidRDefault="00FC67BC" w:rsidP="00FC67BC">
      <w:pPr>
        <w:pStyle w:val="ListParagraph"/>
        <w:ind w:left="5761"/>
        <w:jc w:val="right"/>
        <w:rPr>
          <w:rFonts w:ascii="Arial" w:hAnsi="Arial" w:cs="Arial"/>
          <w:sz w:val="28"/>
          <w:szCs w:val="28"/>
        </w:rPr>
      </w:pPr>
      <w:r>
        <w:rPr>
          <w:rFonts w:ascii="Arial" w:hAnsi="Arial" w:cs="Arial"/>
          <w:sz w:val="28"/>
          <w:szCs w:val="28"/>
        </w:rPr>
        <w:t>_________________</w:t>
      </w:r>
    </w:p>
    <w:p w:rsidR="00FC67BC" w:rsidRPr="002B369A" w:rsidRDefault="00FC67BC" w:rsidP="00FC67B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DANISO</w:t>
      </w:r>
      <w:r>
        <w:rPr>
          <w:rFonts w:ascii="Arial" w:hAnsi="Arial" w:cs="Arial"/>
          <w:b/>
          <w:bCs/>
        </w:rPr>
        <w:t>,</w:t>
      </w:r>
      <w:r w:rsidRPr="002B369A">
        <w:rPr>
          <w:rFonts w:ascii="Arial" w:hAnsi="Arial" w:cs="Arial"/>
          <w:b/>
          <w:bCs/>
        </w:rPr>
        <w:t xml:space="preserve"> J</w:t>
      </w:r>
    </w:p>
    <w:p w:rsidR="00FC67BC" w:rsidRPr="002B369A" w:rsidRDefault="00FC67BC" w:rsidP="0035047C">
      <w:pPr>
        <w:jc w:val="right"/>
        <w:rPr>
          <w:rFonts w:ascii="Arial" w:hAnsi="Arial" w:cs="Arial"/>
          <w:b/>
          <w:bCs/>
        </w:rPr>
      </w:pPr>
    </w:p>
    <w:p w:rsidR="005835FE" w:rsidRPr="00C20DEE" w:rsidRDefault="005835FE" w:rsidP="0035047C">
      <w:pPr>
        <w:jc w:val="right"/>
        <w:rPr>
          <w:rFonts w:ascii="Arial" w:hAnsi="Arial" w:cs="Arial"/>
        </w:rPr>
      </w:pPr>
    </w:p>
    <w:p w:rsidR="00E5481E" w:rsidRPr="00C20DEE" w:rsidRDefault="005B56EE" w:rsidP="005B56EE">
      <w:pPr>
        <w:spacing w:line="360" w:lineRule="auto"/>
        <w:jc w:val="right"/>
        <w:rPr>
          <w:rFonts w:ascii="Arial" w:hAnsi="Arial" w:cs="Arial"/>
          <w:color w:val="000000" w:themeColor="text1"/>
        </w:rPr>
      </w:pPr>
      <w:r>
        <w:rPr>
          <w:rFonts w:ascii="Arial" w:hAnsi="Arial" w:cs="Arial"/>
        </w:rPr>
        <w:tab/>
      </w:r>
    </w:p>
    <w:p w:rsidR="002D3664" w:rsidRPr="00C20DEE" w:rsidRDefault="002D3664" w:rsidP="002F71C5">
      <w:pPr>
        <w:spacing w:line="360" w:lineRule="auto"/>
        <w:ind w:left="851" w:hanging="851"/>
        <w:rPr>
          <w:rFonts w:ascii="Arial" w:hAnsi="Arial" w:cs="Arial"/>
          <w:color w:val="000000" w:themeColor="text1"/>
        </w:rPr>
      </w:pPr>
    </w:p>
    <w:p w:rsidR="00A931AF" w:rsidRDefault="00A931AF" w:rsidP="00E5549C">
      <w:pPr>
        <w:spacing w:line="360" w:lineRule="auto"/>
        <w:ind w:left="851" w:hanging="851"/>
        <w:rPr>
          <w:rFonts w:ascii="Arial" w:hAnsi="Arial" w:cs="Arial"/>
          <w:color w:val="000000" w:themeColor="text1"/>
        </w:rPr>
      </w:pPr>
    </w:p>
    <w:p w:rsidR="004A1754" w:rsidRDefault="004A1754" w:rsidP="00E5549C">
      <w:pPr>
        <w:spacing w:line="360" w:lineRule="auto"/>
        <w:ind w:left="851" w:hanging="851"/>
        <w:rPr>
          <w:rFonts w:ascii="Arial" w:hAnsi="Arial" w:cs="Arial"/>
          <w:color w:val="000000" w:themeColor="text1"/>
        </w:rPr>
      </w:pPr>
    </w:p>
    <w:p w:rsidR="004A2E84" w:rsidRDefault="00ED0239" w:rsidP="00E5549C">
      <w:pPr>
        <w:spacing w:line="360" w:lineRule="auto"/>
        <w:ind w:left="851" w:hanging="851"/>
        <w:rPr>
          <w:rFonts w:ascii="Arial" w:hAnsi="Arial" w:cs="Arial"/>
          <w:color w:val="000000" w:themeColor="text1"/>
        </w:rPr>
      </w:pPr>
      <w:r>
        <w:rPr>
          <w:rFonts w:ascii="Arial" w:hAnsi="Arial" w:cs="Arial"/>
          <w:color w:val="000000" w:themeColor="text1"/>
        </w:rPr>
        <w:t>On behalf of applic</w:t>
      </w:r>
      <w:r w:rsidR="005960F0" w:rsidRPr="00C20DEE">
        <w:rPr>
          <w:rFonts w:ascii="Arial" w:hAnsi="Arial" w:cs="Arial"/>
          <w:color w:val="000000" w:themeColor="text1"/>
        </w:rPr>
        <w:t>ant:</w:t>
      </w:r>
      <w:r w:rsidR="0077363D">
        <w:rPr>
          <w:rFonts w:ascii="Arial" w:hAnsi="Arial" w:cs="Arial"/>
          <w:color w:val="000000" w:themeColor="text1"/>
        </w:rPr>
        <w:t xml:space="preserve"> </w:t>
      </w:r>
      <w:r w:rsidR="00CB516A">
        <w:rPr>
          <w:rFonts w:ascii="Arial" w:hAnsi="Arial" w:cs="Arial"/>
          <w:color w:val="000000" w:themeColor="text1"/>
        </w:rPr>
        <w:t xml:space="preserve"> </w:t>
      </w:r>
      <w:r w:rsidR="004A1754">
        <w:rPr>
          <w:rFonts w:ascii="Arial" w:hAnsi="Arial" w:cs="Arial"/>
          <w:color w:val="000000" w:themeColor="text1"/>
        </w:rPr>
        <w:t xml:space="preserve"> </w:t>
      </w:r>
      <w:r w:rsidR="004A2E84">
        <w:rPr>
          <w:rFonts w:ascii="Arial" w:hAnsi="Arial" w:cs="Arial"/>
          <w:color w:val="000000" w:themeColor="text1"/>
        </w:rPr>
        <w:t xml:space="preserve">Adv. </w:t>
      </w:r>
      <w:r w:rsidR="00757B16">
        <w:rPr>
          <w:rFonts w:ascii="Arial" w:hAnsi="Arial" w:cs="Arial"/>
          <w:color w:val="000000" w:themeColor="text1"/>
        </w:rPr>
        <w:t xml:space="preserve">P.S. </w:t>
      </w:r>
      <w:r w:rsidR="004A2E84">
        <w:rPr>
          <w:rFonts w:ascii="Arial" w:hAnsi="Arial" w:cs="Arial"/>
          <w:color w:val="000000" w:themeColor="text1"/>
        </w:rPr>
        <w:t>Mphulwane</w:t>
      </w:r>
    </w:p>
    <w:p w:rsidR="00E5549C" w:rsidRPr="00C20DEE" w:rsidRDefault="005B56EE" w:rsidP="00E5549C">
      <w:pPr>
        <w:spacing w:line="360" w:lineRule="auto"/>
        <w:ind w:left="851" w:hanging="851"/>
        <w:rPr>
          <w:rFonts w:ascii="Arial" w:hAnsi="Arial" w:cs="Arial"/>
          <w:color w:val="000000" w:themeColor="text1"/>
        </w:rPr>
      </w:pPr>
      <w:r>
        <w:rPr>
          <w:rFonts w:ascii="Arial" w:hAnsi="Arial" w:cs="Arial"/>
          <w:color w:val="000000" w:themeColor="text1"/>
        </w:rPr>
        <w:t xml:space="preserve"> </w:t>
      </w:r>
      <w:r w:rsidR="00757B16">
        <w:rPr>
          <w:rFonts w:ascii="Arial" w:hAnsi="Arial" w:cs="Arial"/>
          <w:color w:val="000000" w:themeColor="text1"/>
        </w:rPr>
        <w:t xml:space="preserve">          </w:t>
      </w:r>
    </w:p>
    <w:p w:rsidR="004A2E84" w:rsidRDefault="005960F0" w:rsidP="004A2E84">
      <w:pPr>
        <w:tabs>
          <w:tab w:val="left" w:pos="2977"/>
        </w:tabs>
        <w:ind w:left="851" w:hanging="851"/>
        <w:rPr>
          <w:rFonts w:ascii="Arial" w:hAnsi="Arial" w:cs="Arial"/>
          <w:color w:val="000000" w:themeColor="text1"/>
        </w:rPr>
      </w:pPr>
      <w:r w:rsidRPr="00C20DEE">
        <w:rPr>
          <w:rFonts w:ascii="Arial" w:hAnsi="Arial" w:cs="Arial"/>
          <w:color w:val="000000" w:themeColor="text1"/>
        </w:rPr>
        <w:t>Instructed by:</w:t>
      </w:r>
      <w:r w:rsidR="00C86035">
        <w:rPr>
          <w:rFonts w:ascii="Arial" w:hAnsi="Arial" w:cs="Arial"/>
          <w:color w:val="000000" w:themeColor="text1"/>
        </w:rPr>
        <w:t xml:space="preserve">                </w:t>
      </w:r>
      <w:r w:rsidR="004A1754">
        <w:rPr>
          <w:rFonts w:ascii="Arial" w:hAnsi="Arial" w:cs="Arial"/>
          <w:color w:val="000000" w:themeColor="text1"/>
        </w:rPr>
        <w:t xml:space="preserve">  </w:t>
      </w:r>
      <w:r w:rsidR="00757B16">
        <w:rPr>
          <w:rFonts w:ascii="Arial" w:hAnsi="Arial" w:cs="Arial"/>
          <w:color w:val="000000" w:themeColor="text1"/>
        </w:rPr>
        <w:t>Ponoane Attorneys</w:t>
      </w:r>
    </w:p>
    <w:p w:rsidR="00757B16" w:rsidRDefault="00757B16" w:rsidP="004A2E84">
      <w:pPr>
        <w:tabs>
          <w:tab w:val="left" w:pos="2977"/>
        </w:tabs>
        <w:ind w:left="851" w:hanging="851"/>
        <w:rPr>
          <w:rFonts w:ascii="Arial" w:hAnsi="Arial" w:cs="Arial"/>
          <w:color w:val="000000" w:themeColor="text1"/>
        </w:rPr>
      </w:pPr>
      <w:r>
        <w:rPr>
          <w:rFonts w:ascii="Arial" w:hAnsi="Arial" w:cs="Arial"/>
          <w:color w:val="000000" w:themeColor="text1"/>
        </w:rPr>
        <w:t xml:space="preserve">                                       </w:t>
      </w:r>
      <w:r w:rsidR="004A1754">
        <w:rPr>
          <w:rFonts w:ascii="Arial" w:hAnsi="Arial" w:cs="Arial"/>
          <w:color w:val="000000" w:themeColor="text1"/>
        </w:rPr>
        <w:t xml:space="preserve"> </w:t>
      </w:r>
      <w:r>
        <w:rPr>
          <w:rFonts w:ascii="Arial" w:hAnsi="Arial" w:cs="Arial"/>
          <w:color w:val="000000" w:themeColor="text1"/>
        </w:rPr>
        <w:t>44 West Burger Street</w:t>
      </w:r>
    </w:p>
    <w:p w:rsidR="00757B16" w:rsidRDefault="00757B16" w:rsidP="004A2E84">
      <w:pPr>
        <w:tabs>
          <w:tab w:val="left" w:pos="2977"/>
        </w:tabs>
        <w:ind w:left="851" w:hanging="851"/>
        <w:rPr>
          <w:rFonts w:ascii="Arial" w:hAnsi="Arial" w:cs="Arial"/>
          <w:color w:val="000000" w:themeColor="text1"/>
        </w:rPr>
      </w:pPr>
      <w:r>
        <w:rPr>
          <w:rFonts w:ascii="Arial" w:hAnsi="Arial" w:cs="Arial"/>
          <w:color w:val="000000" w:themeColor="text1"/>
        </w:rPr>
        <w:t xml:space="preserve">                                       </w:t>
      </w:r>
      <w:r w:rsidR="004A1754">
        <w:rPr>
          <w:rFonts w:ascii="Arial" w:hAnsi="Arial" w:cs="Arial"/>
          <w:color w:val="000000" w:themeColor="text1"/>
        </w:rPr>
        <w:t xml:space="preserve"> </w:t>
      </w:r>
      <w:r>
        <w:rPr>
          <w:rFonts w:ascii="Arial" w:hAnsi="Arial" w:cs="Arial"/>
          <w:color w:val="000000" w:themeColor="text1"/>
        </w:rPr>
        <w:t>Library House, Suite 110</w:t>
      </w:r>
    </w:p>
    <w:p w:rsidR="00757B16" w:rsidRPr="004A2E84" w:rsidRDefault="00757B16" w:rsidP="004A2E84">
      <w:pPr>
        <w:tabs>
          <w:tab w:val="left" w:pos="2977"/>
        </w:tabs>
        <w:ind w:left="851" w:hanging="851"/>
        <w:rPr>
          <w:rFonts w:ascii="Arial" w:hAnsi="Arial" w:cs="Arial"/>
          <w:color w:val="000000" w:themeColor="text1"/>
        </w:rPr>
      </w:pPr>
      <w:r>
        <w:rPr>
          <w:rFonts w:ascii="Arial" w:hAnsi="Arial" w:cs="Arial"/>
          <w:color w:val="000000" w:themeColor="text1"/>
        </w:rPr>
        <w:t xml:space="preserve">                                        Bloemfontein</w:t>
      </w:r>
    </w:p>
    <w:p w:rsidR="005960F0" w:rsidRPr="00C20DEE" w:rsidRDefault="004A2E84" w:rsidP="004A2E84">
      <w:pPr>
        <w:tabs>
          <w:tab w:val="left" w:pos="2977"/>
        </w:tabs>
        <w:ind w:left="851" w:hanging="851"/>
        <w:rPr>
          <w:rFonts w:ascii="Arial" w:hAnsi="Arial" w:cs="Arial"/>
          <w:color w:val="000000" w:themeColor="text1"/>
        </w:rPr>
      </w:pPr>
      <w:r w:rsidRPr="004A2E84">
        <w:rPr>
          <w:rFonts w:ascii="Arial" w:hAnsi="Arial" w:cs="Arial"/>
          <w:color w:val="000000" w:themeColor="text1"/>
        </w:rPr>
        <w:tab/>
      </w:r>
      <w:r w:rsidRPr="004A2E84">
        <w:rPr>
          <w:rFonts w:ascii="Arial" w:hAnsi="Arial" w:cs="Arial"/>
          <w:color w:val="000000" w:themeColor="text1"/>
        </w:rPr>
        <w:tab/>
      </w:r>
      <w:r w:rsidRPr="004A2E84">
        <w:rPr>
          <w:rFonts w:ascii="Arial" w:hAnsi="Arial" w:cs="Arial"/>
          <w:color w:val="000000" w:themeColor="text1"/>
        </w:rPr>
        <w:tab/>
      </w:r>
      <w:r w:rsidRPr="004A2E84">
        <w:rPr>
          <w:rFonts w:ascii="Arial" w:hAnsi="Arial" w:cs="Arial"/>
          <w:color w:val="000000" w:themeColor="text1"/>
        </w:rPr>
        <w:tab/>
      </w:r>
      <w:r w:rsidRPr="004A2E84">
        <w:rPr>
          <w:rFonts w:ascii="Arial" w:hAnsi="Arial" w:cs="Arial"/>
          <w:color w:val="000000" w:themeColor="text1"/>
        </w:rPr>
        <w:tab/>
      </w:r>
    </w:p>
    <w:p w:rsidR="005960F0" w:rsidRPr="00C20DEE" w:rsidRDefault="005960F0" w:rsidP="007C2356">
      <w:pPr>
        <w:ind w:left="851" w:hanging="851"/>
        <w:rPr>
          <w:rFonts w:ascii="Arial" w:hAnsi="Arial" w:cs="Arial"/>
          <w:color w:val="000000" w:themeColor="text1"/>
        </w:rPr>
      </w:pPr>
    </w:p>
    <w:p w:rsidR="00E5481E" w:rsidRPr="00C20DEE" w:rsidRDefault="00EE3334" w:rsidP="00EE3334">
      <w:pPr>
        <w:tabs>
          <w:tab w:val="left" w:pos="3118"/>
        </w:tabs>
        <w:ind w:left="851" w:hanging="851"/>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sectPr w:rsidR="00E5481E" w:rsidRPr="00C20DEE" w:rsidSect="004C7FB7">
      <w:headerReference w:type="default" r:id="rId10"/>
      <w:pgSz w:w="11906" w:h="16838"/>
      <w:pgMar w:top="1440"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61" w:rsidRDefault="00486A61" w:rsidP="00DA5395">
      <w:r>
        <w:separator/>
      </w:r>
    </w:p>
  </w:endnote>
  <w:endnote w:type="continuationSeparator" w:id="0">
    <w:p w:rsidR="00486A61" w:rsidRDefault="00486A61" w:rsidP="00DA5395">
      <w:r>
        <w:continuationSeparator/>
      </w:r>
    </w:p>
  </w:endnote>
  <w:endnote w:type="continuationNotice" w:id="1">
    <w:p w:rsidR="00486A61" w:rsidRDefault="00486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61" w:rsidRDefault="00486A61" w:rsidP="00DA5395">
      <w:r>
        <w:separator/>
      </w:r>
    </w:p>
  </w:footnote>
  <w:footnote w:type="continuationSeparator" w:id="0">
    <w:p w:rsidR="00486A61" w:rsidRDefault="00486A61" w:rsidP="00DA5395">
      <w:r>
        <w:continuationSeparator/>
      </w:r>
    </w:p>
  </w:footnote>
  <w:footnote w:type="continuationNotice" w:id="1">
    <w:p w:rsidR="00486A61" w:rsidRDefault="00486A61"/>
  </w:footnote>
  <w:footnote w:id="2">
    <w:p w:rsidR="00790F18" w:rsidRPr="00B90FB3" w:rsidRDefault="00790F18">
      <w:pPr>
        <w:pStyle w:val="FootnoteText"/>
        <w:rPr>
          <w:lang w:val="en-ZA"/>
        </w:rPr>
      </w:pPr>
      <w:r>
        <w:rPr>
          <w:rStyle w:val="FootnoteReference"/>
        </w:rPr>
        <w:footnoteRef/>
      </w:r>
      <w:r w:rsidRPr="00B90FB3">
        <w:rPr>
          <w:rFonts w:ascii="Arial" w:hAnsi="Arial" w:cs="Arial"/>
        </w:rPr>
        <w:t xml:space="preserve"> </w:t>
      </w:r>
      <w:r>
        <w:rPr>
          <w:rFonts w:ascii="Arial" w:hAnsi="Arial" w:cs="Arial"/>
        </w:rPr>
        <w:t>P</w:t>
      </w:r>
      <w:r w:rsidRPr="00B90FB3">
        <w:rPr>
          <w:rFonts w:ascii="Arial" w:hAnsi="Arial" w:cs="Arial"/>
        </w:rPr>
        <w:t>ara</w:t>
      </w:r>
      <w:r>
        <w:rPr>
          <w:rFonts w:ascii="Arial" w:hAnsi="Arial" w:cs="Arial"/>
        </w:rPr>
        <w:t xml:space="preserve"> 6.6 of the FA.</w:t>
      </w:r>
    </w:p>
  </w:footnote>
  <w:footnote w:id="3">
    <w:p w:rsidR="00790F18" w:rsidRPr="00B158E4" w:rsidRDefault="00790F18">
      <w:pPr>
        <w:pStyle w:val="FootnoteText"/>
        <w:rPr>
          <w:lang w:val="en-ZA"/>
        </w:rPr>
      </w:pPr>
      <w:r>
        <w:rPr>
          <w:rStyle w:val="FootnoteReference"/>
        </w:rPr>
        <w:footnoteRef/>
      </w:r>
      <w:r>
        <w:t xml:space="preserve"> </w:t>
      </w:r>
      <w:r>
        <w:rPr>
          <w:lang w:val="en-ZA"/>
        </w:rPr>
        <w:t>Para 3.4 of the FA (condonation application on page 50).</w:t>
      </w:r>
    </w:p>
  </w:footnote>
  <w:footnote w:id="4">
    <w:p w:rsidR="00790F18" w:rsidRPr="00A30E8F" w:rsidRDefault="00790F18">
      <w:pPr>
        <w:pStyle w:val="FootnoteText"/>
        <w:rPr>
          <w:lang w:val="en-ZA"/>
        </w:rPr>
      </w:pPr>
      <w:r>
        <w:rPr>
          <w:rStyle w:val="FootnoteReference"/>
        </w:rPr>
        <w:footnoteRef/>
      </w:r>
      <w:r>
        <w:t xml:space="preserve"> </w:t>
      </w:r>
      <w:r>
        <w:rPr>
          <w:lang w:val="en-ZA"/>
        </w:rPr>
        <w:t>Para 3.6 of the FA (condonation application).</w:t>
      </w:r>
    </w:p>
  </w:footnote>
  <w:footnote w:id="5">
    <w:p w:rsidR="00790F18" w:rsidRPr="00716C3D" w:rsidRDefault="00790F18">
      <w:pPr>
        <w:pStyle w:val="FootnoteText"/>
        <w:rPr>
          <w:lang w:val="en-ZA"/>
        </w:rPr>
      </w:pPr>
      <w:r>
        <w:rPr>
          <w:rStyle w:val="FootnoteReference"/>
        </w:rPr>
        <w:footnoteRef/>
      </w:r>
      <w:r>
        <w:t xml:space="preserve"> </w:t>
      </w:r>
      <w:r>
        <w:rPr>
          <w:lang w:val="en-ZA"/>
        </w:rPr>
        <w:t>Para 3.7 of the FA (condonation application).</w:t>
      </w:r>
    </w:p>
  </w:footnote>
  <w:footnote w:id="6">
    <w:p w:rsidR="00790F18" w:rsidRPr="00867C5D" w:rsidRDefault="00790F18">
      <w:pPr>
        <w:pStyle w:val="FootnoteText"/>
        <w:rPr>
          <w:lang w:val="en-ZA"/>
        </w:rPr>
      </w:pPr>
      <w:r>
        <w:rPr>
          <w:rStyle w:val="FootnoteReference"/>
        </w:rPr>
        <w:footnoteRef/>
      </w:r>
      <w:r>
        <w:t xml:space="preserve"> </w:t>
      </w:r>
      <w:r>
        <w:rPr>
          <w:lang w:val="en-ZA"/>
        </w:rPr>
        <w:t>Paragraphs 4.1 of the FA (condonation application).</w:t>
      </w:r>
    </w:p>
  </w:footnote>
  <w:footnote w:id="7">
    <w:p w:rsidR="00790F18" w:rsidRPr="00867C5D" w:rsidRDefault="00790F18">
      <w:pPr>
        <w:pStyle w:val="FootnoteText"/>
        <w:rPr>
          <w:lang w:val="en-ZA"/>
        </w:rPr>
      </w:pPr>
      <w:r>
        <w:rPr>
          <w:rStyle w:val="FootnoteReference"/>
        </w:rPr>
        <w:footnoteRef/>
      </w:r>
      <w:r>
        <w:t xml:space="preserve"> </w:t>
      </w:r>
      <w:r>
        <w:rPr>
          <w:lang w:val="en-ZA"/>
        </w:rPr>
        <w:t>Paragraphs 4.3 and 4.4 of the</w:t>
      </w:r>
      <w:r w:rsidR="002D6277">
        <w:rPr>
          <w:lang w:val="en-ZA"/>
        </w:rPr>
        <w:t xml:space="preserve"> FA (condonation application).</w:t>
      </w:r>
      <w:r>
        <w:rPr>
          <w:lang w:val="en-ZA"/>
        </w:rPr>
        <w:t xml:space="preserve"> </w:t>
      </w:r>
    </w:p>
  </w:footnote>
  <w:footnote w:id="8">
    <w:p w:rsidR="00790F18" w:rsidRPr="00867C5D" w:rsidRDefault="00790F18">
      <w:pPr>
        <w:pStyle w:val="FootnoteText"/>
        <w:rPr>
          <w:lang w:val="en-ZA"/>
        </w:rPr>
      </w:pPr>
      <w:r>
        <w:rPr>
          <w:rStyle w:val="FootnoteReference"/>
        </w:rPr>
        <w:footnoteRef/>
      </w:r>
      <w:r>
        <w:t xml:space="preserve"> </w:t>
      </w:r>
      <w:r>
        <w:rPr>
          <w:lang w:val="en-ZA"/>
        </w:rPr>
        <w:t xml:space="preserve">Paragraphs 2.3 and 2.4 of the notice to abide on page 66 of the bundle.  </w:t>
      </w:r>
    </w:p>
  </w:footnote>
  <w:footnote w:id="9">
    <w:p w:rsidR="00790F18" w:rsidRPr="00ED7A87" w:rsidRDefault="00790F18">
      <w:pPr>
        <w:pStyle w:val="FootnoteText"/>
        <w:rPr>
          <w:lang w:val="en-ZA"/>
        </w:rPr>
      </w:pPr>
      <w:r>
        <w:rPr>
          <w:rStyle w:val="FootnoteReference"/>
        </w:rPr>
        <w:footnoteRef/>
      </w:r>
      <w:r>
        <w:t xml:space="preserve"> </w:t>
      </w:r>
      <w:r>
        <w:rPr>
          <w:lang w:val="en-ZA"/>
        </w:rPr>
        <w:t xml:space="preserve">Paragraph 8, 10, 12 and 13 of annexure “D2” and “D3” on page 30 and 31 of the index. </w:t>
      </w:r>
    </w:p>
  </w:footnote>
  <w:footnote w:id="10">
    <w:p w:rsidR="00790F18" w:rsidRPr="002519C5" w:rsidRDefault="00790F18">
      <w:pPr>
        <w:pStyle w:val="FootnoteText"/>
        <w:rPr>
          <w:lang w:val="en-ZA"/>
        </w:rPr>
      </w:pPr>
      <w:r>
        <w:rPr>
          <w:rStyle w:val="FootnoteReference"/>
        </w:rPr>
        <w:footnoteRef/>
      </w:r>
      <w:r>
        <w:t xml:space="preserve"> </w:t>
      </w:r>
      <w:r>
        <w:rPr>
          <w:lang w:val="en-ZA"/>
        </w:rPr>
        <w:t>Paras 6.2/6 and 6.27 of the FA.</w:t>
      </w:r>
    </w:p>
  </w:footnote>
  <w:footnote w:id="11">
    <w:p w:rsidR="00790F18" w:rsidRPr="00ED7A87" w:rsidRDefault="00790F18">
      <w:pPr>
        <w:pStyle w:val="FootnoteText"/>
        <w:rPr>
          <w:lang w:val="en-ZA"/>
        </w:rPr>
      </w:pPr>
      <w:r>
        <w:rPr>
          <w:rStyle w:val="FootnoteReference"/>
        </w:rPr>
        <w:footnoteRef/>
      </w:r>
      <w:r>
        <w:t xml:space="preserve"> </w:t>
      </w:r>
      <w:r>
        <w:rPr>
          <w:lang w:val="en-ZA"/>
        </w:rPr>
        <w:t xml:space="preserve">Annexures “H1” and “H2” to the applicants FA. </w:t>
      </w:r>
    </w:p>
  </w:footnote>
  <w:footnote w:id="12">
    <w:p w:rsidR="00790F18" w:rsidRPr="00EE4809" w:rsidRDefault="00790F18">
      <w:pPr>
        <w:pStyle w:val="FootnoteText"/>
        <w:rPr>
          <w:lang w:val="en-ZA"/>
        </w:rPr>
      </w:pPr>
      <w:r>
        <w:rPr>
          <w:rStyle w:val="FootnoteReference"/>
        </w:rPr>
        <w:footnoteRef/>
      </w:r>
      <w:r>
        <w:t xml:space="preserve"> </w:t>
      </w:r>
      <w:r>
        <w:rPr>
          <w:lang w:val="en-ZA"/>
        </w:rPr>
        <w:t>Paras 6.28 and 6.29 of the FA.</w:t>
      </w:r>
    </w:p>
  </w:footnote>
  <w:footnote w:id="13">
    <w:p w:rsidR="00790F18" w:rsidRPr="00D2152E" w:rsidRDefault="00790F18">
      <w:pPr>
        <w:pStyle w:val="FootnoteText"/>
        <w:rPr>
          <w:lang w:val="en-ZA"/>
        </w:rPr>
      </w:pPr>
      <w:r>
        <w:rPr>
          <w:rStyle w:val="FootnoteReference"/>
        </w:rPr>
        <w:footnoteRef/>
      </w:r>
      <w:r>
        <w:t xml:space="preserve"> </w:t>
      </w:r>
      <w:r>
        <w:rPr>
          <w:lang w:val="en-ZA"/>
        </w:rPr>
        <w:t>Pages 60-62 of the Record.</w:t>
      </w:r>
    </w:p>
  </w:footnote>
  <w:footnote w:id="14">
    <w:p w:rsidR="00790F18" w:rsidRPr="00C1000B" w:rsidRDefault="00790F18">
      <w:pPr>
        <w:pStyle w:val="FootnoteText"/>
        <w:rPr>
          <w:lang w:val="en-ZA"/>
        </w:rPr>
      </w:pPr>
      <w:r>
        <w:rPr>
          <w:rStyle w:val="FootnoteReference"/>
        </w:rPr>
        <w:footnoteRef/>
      </w:r>
      <w:r>
        <w:t xml:space="preserve"> Annexure “F1” on</w:t>
      </w:r>
      <w:r>
        <w:rPr>
          <w:lang w:val="en-ZA"/>
        </w:rPr>
        <w:t xml:space="preserve"> pages 35 and 36 of the Index. </w:t>
      </w:r>
    </w:p>
  </w:footnote>
  <w:footnote w:id="15">
    <w:p w:rsidR="00790F18" w:rsidRPr="00E0687A" w:rsidRDefault="00790F18">
      <w:pPr>
        <w:pStyle w:val="FootnoteText"/>
        <w:rPr>
          <w:lang w:val="en-ZA"/>
        </w:rPr>
      </w:pPr>
      <w:r>
        <w:rPr>
          <w:rStyle w:val="FootnoteReference"/>
        </w:rPr>
        <w:footnoteRef/>
      </w:r>
      <w:r>
        <w:t xml:space="preserve"> </w:t>
      </w:r>
      <w:r>
        <w:rPr>
          <w:lang w:val="en-ZA"/>
        </w:rPr>
        <w:t>Para2.3 of the heads of argument.</w:t>
      </w:r>
    </w:p>
  </w:footnote>
  <w:footnote w:id="16">
    <w:p w:rsidR="00790F18" w:rsidRPr="00E0687A" w:rsidRDefault="00790F18">
      <w:pPr>
        <w:pStyle w:val="FootnoteText"/>
        <w:rPr>
          <w:lang w:val="en-ZA"/>
        </w:rPr>
      </w:pPr>
      <w:r>
        <w:rPr>
          <w:rStyle w:val="FootnoteReference"/>
        </w:rPr>
        <w:footnoteRef/>
      </w:r>
      <w:r>
        <w:t xml:space="preserve"> </w:t>
      </w:r>
      <w:r>
        <w:rPr>
          <w:lang w:val="en-ZA"/>
        </w:rPr>
        <w:t>Para 3.1 of the heads of argument.</w:t>
      </w:r>
    </w:p>
  </w:footnote>
  <w:footnote w:id="17">
    <w:p w:rsidR="00790F18" w:rsidRPr="006D6B41" w:rsidRDefault="00790F18">
      <w:pPr>
        <w:pStyle w:val="FootnoteText"/>
        <w:rPr>
          <w:lang w:val="en-ZA"/>
        </w:rPr>
      </w:pPr>
      <w:r>
        <w:rPr>
          <w:rStyle w:val="FootnoteReference"/>
        </w:rPr>
        <w:footnoteRef/>
      </w:r>
      <w:r>
        <w:t xml:space="preserve"> </w:t>
      </w:r>
      <w:r>
        <w:rPr>
          <w:lang w:val="en-ZA"/>
        </w:rPr>
        <w:t>Para 3.4 of the heads of argument.</w:t>
      </w:r>
    </w:p>
  </w:footnote>
  <w:footnote w:id="18">
    <w:p w:rsidR="00790F18" w:rsidRPr="000B67C0" w:rsidRDefault="00790F18">
      <w:pPr>
        <w:pStyle w:val="FootnoteText"/>
        <w:rPr>
          <w:lang w:val="en-ZA"/>
        </w:rPr>
      </w:pPr>
      <w:r>
        <w:rPr>
          <w:rStyle w:val="FootnoteReference"/>
        </w:rPr>
        <w:footnoteRef/>
      </w:r>
      <w:r>
        <w:t xml:space="preserve"> </w:t>
      </w:r>
      <w:r>
        <w:rPr>
          <w:lang w:val="en-ZA"/>
        </w:rPr>
        <w:t>Para 3.5 of the heads of argument.</w:t>
      </w:r>
    </w:p>
  </w:footnote>
  <w:footnote w:id="19">
    <w:p w:rsidR="00790F18" w:rsidRPr="00440F99" w:rsidRDefault="00790F18">
      <w:pPr>
        <w:pStyle w:val="FootnoteText"/>
        <w:rPr>
          <w:lang w:val="en-ZA"/>
        </w:rPr>
      </w:pPr>
      <w:r>
        <w:rPr>
          <w:rStyle w:val="FootnoteReference"/>
        </w:rPr>
        <w:footnoteRef/>
      </w:r>
      <w:r>
        <w:t xml:space="preserve"> </w:t>
      </w:r>
      <w:r>
        <w:rPr>
          <w:lang w:val="en-ZA"/>
        </w:rPr>
        <w:t>Para 3.7 of the heads of argument.</w:t>
      </w:r>
    </w:p>
  </w:footnote>
  <w:footnote w:id="20">
    <w:p w:rsidR="00790F18" w:rsidRPr="005F3356" w:rsidRDefault="00790F18">
      <w:pPr>
        <w:pStyle w:val="FootnoteText"/>
        <w:rPr>
          <w:lang w:val="en-ZA"/>
        </w:rPr>
      </w:pPr>
      <w:r>
        <w:rPr>
          <w:rStyle w:val="FootnoteReference"/>
        </w:rPr>
        <w:footnoteRef/>
      </w:r>
      <w:r>
        <w:t xml:space="preserve"> </w:t>
      </w:r>
      <w:r>
        <w:rPr>
          <w:lang w:val="en-ZA"/>
        </w:rPr>
        <w:t>Para 3.8 of the heads of argument.</w:t>
      </w:r>
    </w:p>
  </w:footnote>
  <w:footnote w:id="21">
    <w:p w:rsidR="00790F18" w:rsidRPr="00A320D7" w:rsidRDefault="00790F18">
      <w:pPr>
        <w:pStyle w:val="FootnoteText"/>
        <w:rPr>
          <w:lang w:val="en-ZA"/>
        </w:rPr>
      </w:pPr>
      <w:r>
        <w:rPr>
          <w:rStyle w:val="FootnoteReference"/>
        </w:rPr>
        <w:footnoteRef/>
      </w:r>
      <w:r>
        <w:t xml:space="preserve"> </w:t>
      </w:r>
      <w:r>
        <w:rPr>
          <w:lang w:val="en-ZA"/>
        </w:rPr>
        <w:t>Para 3.9 of the heads of argument.</w:t>
      </w:r>
    </w:p>
  </w:footnote>
  <w:footnote w:id="22">
    <w:p w:rsidR="00790F18" w:rsidRPr="00A914D6" w:rsidRDefault="00790F18">
      <w:pPr>
        <w:pStyle w:val="FootnoteText"/>
        <w:rPr>
          <w:rFonts w:ascii="Arial" w:hAnsi="Arial" w:cs="Arial"/>
          <w:lang w:val="en-ZA"/>
        </w:rPr>
      </w:pPr>
      <w:r>
        <w:rPr>
          <w:rStyle w:val="FootnoteReference"/>
        </w:rPr>
        <w:footnoteRef/>
      </w:r>
      <w:r>
        <w:t xml:space="preserve"> </w:t>
      </w:r>
      <w:r w:rsidRPr="00A914D6">
        <w:rPr>
          <w:rFonts w:ascii="Arial" w:hAnsi="Arial" w:cs="Arial"/>
        </w:rPr>
        <w:t>RS 21, 2023, D1704A.</w:t>
      </w:r>
    </w:p>
  </w:footnote>
  <w:footnote w:id="23">
    <w:p w:rsidR="00790F18" w:rsidRPr="00337D0D" w:rsidRDefault="00790F18" w:rsidP="00337D0D">
      <w:pPr>
        <w:pStyle w:val="FootnoteText"/>
      </w:pPr>
      <w:r>
        <w:rPr>
          <w:rStyle w:val="FootnoteReference"/>
        </w:rPr>
        <w:footnoteRef/>
      </w:r>
      <w:r>
        <w:t xml:space="preserve"> </w:t>
      </w:r>
      <w:r w:rsidRPr="00337D0D">
        <w:t>[2013] 4 All SA 639 (SCA) (9 October 2013)</w:t>
      </w:r>
      <w:r>
        <w:t>.</w:t>
      </w:r>
    </w:p>
  </w:footnote>
  <w:footnote w:id="24">
    <w:p w:rsidR="005F5031" w:rsidRPr="005F5031" w:rsidRDefault="005F5031">
      <w:pPr>
        <w:pStyle w:val="FootnoteText"/>
        <w:rPr>
          <w:lang w:val="en-US"/>
        </w:rPr>
      </w:pPr>
      <w:r>
        <w:rPr>
          <w:rStyle w:val="FootnoteReference"/>
        </w:rPr>
        <w:footnoteRef/>
      </w:r>
      <w:r>
        <w:t xml:space="preserve"> </w:t>
      </w:r>
      <w:r>
        <w:rPr>
          <w:lang w:val="en-US"/>
        </w:rPr>
        <w:t>Erasmus: RS 20, 2022, D1-706.</w:t>
      </w:r>
    </w:p>
  </w:footnote>
  <w:footnote w:id="25">
    <w:p w:rsidR="00790F18" w:rsidRPr="00D129F5" w:rsidRDefault="00790F18">
      <w:pPr>
        <w:pStyle w:val="FootnoteText"/>
        <w:rPr>
          <w:lang w:val="en-ZA"/>
        </w:rPr>
      </w:pPr>
      <w:r>
        <w:rPr>
          <w:rStyle w:val="FootnoteReference"/>
        </w:rPr>
        <w:footnoteRef/>
      </w:r>
      <w:r>
        <w:t xml:space="preserve"> </w:t>
      </w:r>
      <w:r>
        <w:rPr>
          <w:lang w:val="en-ZA"/>
        </w:rPr>
        <w:t>Para6.13 of the FA.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2710"/>
      <w:docPartObj>
        <w:docPartGallery w:val="Page Numbers (Top of Page)"/>
        <w:docPartUnique/>
      </w:docPartObj>
    </w:sdtPr>
    <w:sdtEndPr>
      <w:rPr>
        <w:noProof/>
      </w:rPr>
    </w:sdtEndPr>
    <w:sdtContent>
      <w:p w:rsidR="00790F18" w:rsidRDefault="00790F18">
        <w:pPr>
          <w:pStyle w:val="Header"/>
          <w:jc w:val="right"/>
        </w:pPr>
        <w:r>
          <w:fldChar w:fldCharType="begin"/>
        </w:r>
        <w:r>
          <w:instrText xml:space="preserve"> PAGE   \* MERGEFORMAT </w:instrText>
        </w:r>
        <w:r>
          <w:fldChar w:fldCharType="separate"/>
        </w:r>
        <w:r w:rsidR="00FF6D84">
          <w:rPr>
            <w:noProof/>
          </w:rPr>
          <w:t>8</w:t>
        </w:r>
        <w:r>
          <w:rPr>
            <w:noProof/>
          </w:rPr>
          <w:fldChar w:fldCharType="end"/>
        </w:r>
      </w:p>
    </w:sdtContent>
  </w:sdt>
  <w:p w:rsidR="00790F18" w:rsidRDefault="00790F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CF483C"/>
    <w:multiLevelType w:val="multilevel"/>
    <w:tmpl w:val="DE8C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149A6"/>
    <w:multiLevelType w:val="hybridMultilevel"/>
    <w:tmpl w:val="A9BAF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5078C3"/>
    <w:multiLevelType w:val="hybridMultilevel"/>
    <w:tmpl w:val="21807B5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56C5811"/>
    <w:multiLevelType w:val="hybridMultilevel"/>
    <w:tmpl w:val="83EA0D4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575E7D70"/>
    <w:multiLevelType w:val="hybridMultilevel"/>
    <w:tmpl w:val="03C4E9BC"/>
    <w:lvl w:ilvl="0" w:tplc="1C09000F">
      <w:start w:val="1"/>
      <w:numFmt w:val="decimal"/>
      <w:lvlText w:val="%1."/>
      <w:lvlJc w:val="left"/>
      <w:pPr>
        <w:ind w:left="782" w:hanging="360"/>
      </w:p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13" w15:restartNumberingAfterBreak="0">
    <w:nsid w:val="5900255C"/>
    <w:multiLevelType w:val="hybridMultilevel"/>
    <w:tmpl w:val="F03019A8"/>
    <w:lvl w:ilvl="0" w:tplc="A61040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15" w15:restartNumberingAfterBreak="0">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6"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A54CBA"/>
    <w:multiLevelType w:val="hybridMultilevel"/>
    <w:tmpl w:val="9B360184"/>
    <w:lvl w:ilvl="0" w:tplc="21A622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79994282"/>
    <w:multiLevelType w:val="multilevel"/>
    <w:tmpl w:val="716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4"/>
  </w:num>
  <w:num w:numId="4">
    <w:abstractNumId w:val="0"/>
  </w:num>
  <w:num w:numId="5">
    <w:abstractNumId w:val="1"/>
  </w:num>
  <w:num w:numId="6">
    <w:abstractNumId w:val="17"/>
  </w:num>
  <w:num w:numId="7">
    <w:abstractNumId w:val="8"/>
  </w:num>
  <w:num w:numId="8">
    <w:abstractNumId w:val="15"/>
  </w:num>
  <w:num w:numId="9">
    <w:abstractNumId w:val="2"/>
  </w:num>
  <w:num w:numId="10">
    <w:abstractNumId w:val="3"/>
  </w:num>
  <w:num w:numId="11">
    <w:abstractNumId w:val="9"/>
  </w:num>
  <w:num w:numId="12">
    <w:abstractNumId w:val="6"/>
  </w:num>
  <w:num w:numId="13">
    <w:abstractNumId w:val="4"/>
  </w:num>
  <w:num w:numId="14">
    <w:abstractNumId w:val="19"/>
  </w:num>
  <w:num w:numId="15">
    <w:abstractNumId w:val="10"/>
  </w:num>
  <w:num w:numId="16">
    <w:abstractNumId w:val="5"/>
  </w:num>
  <w:num w:numId="17">
    <w:abstractNumId w:val="18"/>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WxNDA3NTM3tjA2NzRT0lEKTi0uzszPAykwNKwFAOOZ+RAtAAAA"/>
  </w:docVars>
  <w:rsids>
    <w:rsidRoot w:val="007C348D"/>
    <w:rsid w:val="0002065A"/>
    <w:rsid w:val="00022C55"/>
    <w:rsid w:val="00025E3A"/>
    <w:rsid w:val="00027FA2"/>
    <w:rsid w:val="00037520"/>
    <w:rsid w:val="00040725"/>
    <w:rsid w:val="00041CD0"/>
    <w:rsid w:val="00043FDE"/>
    <w:rsid w:val="000454BF"/>
    <w:rsid w:val="0004600C"/>
    <w:rsid w:val="00047074"/>
    <w:rsid w:val="00050E4E"/>
    <w:rsid w:val="0005172B"/>
    <w:rsid w:val="00056043"/>
    <w:rsid w:val="00056E59"/>
    <w:rsid w:val="00056F05"/>
    <w:rsid w:val="00057142"/>
    <w:rsid w:val="00060321"/>
    <w:rsid w:val="00061A4E"/>
    <w:rsid w:val="00061B9A"/>
    <w:rsid w:val="00061FE6"/>
    <w:rsid w:val="0006491A"/>
    <w:rsid w:val="00064BA2"/>
    <w:rsid w:val="00071BBE"/>
    <w:rsid w:val="0007342F"/>
    <w:rsid w:val="00074E5C"/>
    <w:rsid w:val="00076CB8"/>
    <w:rsid w:val="00077E52"/>
    <w:rsid w:val="00081A67"/>
    <w:rsid w:val="00083E7A"/>
    <w:rsid w:val="0008500E"/>
    <w:rsid w:val="000867C9"/>
    <w:rsid w:val="000921D1"/>
    <w:rsid w:val="000923F4"/>
    <w:rsid w:val="00093926"/>
    <w:rsid w:val="00097B2F"/>
    <w:rsid w:val="000A016A"/>
    <w:rsid w:val="000A4558"/>
    <w:rsid w:val="000A52BA"/>
    <w:rsid w:val="000A647C"/>
    <w:rsid w:val="000B35EF"/>
    <w:rsid w:val="000B4B1F"/>
    <w:rsid w:val="000B67C0"/>
    <w:rsid w:val="000B72D8"/>
    <w:rsid w:val="000C304A"/>
    <w:rsid w:val="000C3229"/>
    <w:rsid w:val="000C72FC"/>
    <w:rsid w:val="000C77F8"/>
    <w:rsid w:val="000C7CAF"/>
    <w:rsid w:val="000D254C"/>
    <w:rsid w:val="000D431E"/>
    <w:rsid w:val="000D68EE"/>
    <w:rsid w:val="000D7A53"/>
    <w:rsid w:val="000D7D0F"/>
    <w:rsid w:val="000E0BEF"/>
    <w:rsid w:val="000E22C3"/>
    <w:rsid w:val="000E40F9"/>
    <w:rsid w:val="000E5025"/>
    <w:rsid w:val="000E5FF1"/>
    <w:rsid w:val="000F0D5A"/>
    <w:rsid w:val="000F0D78"/>
    <w:rsid w:val="000F4836"/>
    <w:rsid w:val="000F4A30"/>
    <w:rsid w:val="000F549A"/>
    <w:rsid w:val="00100A32"/>
    <w:rsid w:val="00101B7F"/>
    <w:rsid w:val="00101D4A"/>
    <w:rsid w:val="00101FFF"/>
    <w:rsid w:val="0010369D"/>
    <w:rsid w:val="001052CF"/>
    <w:rsid w:val="0011408D"/>
    <w:rsid w:val="001218ED"/>
    <w:rsid w:val="00121B8E"/>
    <w:rsid w:val="00122559"/>
    <w:rsid w:val="00125474"/>
    <w:rsid w:val="00131CF1"/>
    <w:rsid w:val="0013396E"/>
    <w:rsid w:val="00134B44"/>
    <w:rsid w:val="00136331"/>
    <w:rsid w:val="00136A1F"/>
    <w:rsid w:val="00137C67"/>
    <w:rsid w:val="00141DCC"/>
    <w:rsid w:val="00143AAA"/>
    <w:rsid w:val="00144D80"/>
    <w:rsid w:val="001522C0"/>
    <w:rsid w:val="00153971"/>
    <w:rsid w:val="001575AF"/>
    <w:rsid w:val="001705E0"/>
    <w:rsid w:val="001707CE"/>
    <w:rsid w:val="00170EBC"/>
    <w:rsid w:val="00171479"/>
    <w:rsid w:val="00182703"/>
    <w:rsid w:val="0018528C"/>
    <w:rsid w:val="00185605"/>
    <w:rsid w:val="00192FE9"/>
    <w:rsid w:val="00196B60"/>
    <w:rsid w:val="00197089"/>
    <w:rsid w:val="001975BD"/>
    <w:rsid w:val="001A2D23"/>
    <w:rsid w:val="001A3917"/>
    <w:rsid w:val="001A3DAC"/>
    <w:rsid w:val="001A65D3"/>
    <w:rsid w:val="001A6800"/>
    <w:rsid w:val="001B2DF3"/>
    <w:rsid w:val="001B34F4"/>
    <w:rsid w:val="001B39C7"/>
    <w:rsid w:val="001B3DE6"/>
    <w:rsid w:val="001B4FF2"/>
    <w:rsid w:val="001B7DC9"/>
    <w:rsid w:val="001D0A19"/>
    <w:rsid w:val="001D4C1A"/>
    <w:rsid w:val="001D54AE"/>
    <w:rsid w:val="001E1AC7"/>
    <w:rsid w:val="001E76CB"/>
    <w:rsid w:val="001E7784"/>
    <w:rsid w:val="001F1E05"/>
    <w:rsid w:val="001F2DA7"/>
    <w:rsid w:val="001F7967"/>
    <w:rsid w:val="00200508"/>
    <w:rsid w:val="00202671"/>
    <w:rsid w:val="00207972"/>
    <w:rsid w:val="00216B86"/>
    <w:rsid w:val="00217700"/>
    <w:rsid w:val="00234018"/>
    <w:rsid w:val="00240AC1"/>
    <w:rsid w:val="00240D77"/>
    <w:rsid w:val="00241933"/>
    <w:rsid w:val="002448A4"/>
    <w:rsid w:val="00247757"/>
    <w:rsid w:val="002519C5"/>
    <w:rsid w:val="002521EC"/>
    <w:rsid w:val="00261FF7"/>
    <w:rsid w:val="00267DF8"/>
    <w:rsid w:val="00267F9C"/>
    <w:rsid w:val="00271216"/>
    <w:rsid w:val="00275BD8"/>
    <w:rsid w:val="0027740D"/>
    <w:rsid w:val="00277577"/>
    <w:rsid w:val="0027763B"/>
    <w:rsid w:val="002815AD"/>
    <w:rsid w:val="00282F16"/>
    <w:rsid w:val="00284D4F"/>
    <w:rsid w:val="00285485"/>
    <w:rsid w:val="00286EB0"/>
    <w:rsid w:val="0029022F"/>
    <w:rsid w:val="002938AA"/>
    <w:rsid w:val="002A46BB"/>
    <w:rsid w:val="002A60B8"/>
    <w:rsid w:val="002A61D2"/>
    <w:rsid w:val="002A62A7"/>
    <w:rsid w:val="002A631E"/>
    <w:rsid w:val="002A7CB0"/>
    <w:rsid w:val="002A7D05"/>
    <w:rsid w:val="002B0CD6"/>
    <w:rsid w:val="002B369A"/>
    <w:rsid w:val="002B48A4"/>
    <w:rsid w:val="002B686D"/>
    <w:rsid w:val="002B693C"/>
    <w:rsid w:val="002B72EE"/>
    <w:rsid w:val="002C0225"/>
    <w:rsid w:val="002C5414"/>
    <w:rsid w:val="002D3664"/>
    <w:rsid w:val="002D4A25"/>
    <w:rsid w:val="002D6277"/>
    <w:rsid w:val="002E15CB"/>
    <w:rsid w:val="002E2CF5"/>
    <w:rsid w:val="002F4685"/>
    <w:rsid w:val="002F71C5"/>
    <w:rsid w:val="002F770C"/>
    <w:rsid w:val="00300A03"/>
    <w:rsid w:val="00302455"/>
    <w:rsid w:val="00302D2B"/>
    <w:rsid w:val="0030603E"/>
    <w:rsid w:val="00311914"/>
    <w:rsid w:val="0031391C"/>
    <w:rsid w:val="00316479"/>
    <w:rsid w:val="003220ED"/>
    <w:rsid w:val="00326787"/>
    <w:rsid w:val="00327340"/>
    <w:rsid w:val="0032768D"/>
    <w:rsid w:val="00330B54"/>
    <w:rsid w:val="00331CAF"/>
    <w:rsid w:val="00332C78"/>
    <w:rsid w:val="00337D0D"/>
    <w:rsid w:val="003405B0"/>
    <w:rsid w:val="00340C8A"/>
    <w:rsid w:val="00343972"/>
    <w:rsid w:val="0034449A"/>
    <w:rsid w:val="003448E3"/>
    <w:rsid w:val="00344972"/>
    <w:rsid w:val="003474F4"/>
    <w:rsid w:val="0035047C"/>
    <w:rsid w:val="00352763"/>
    <w:rsid w:val="003557C4"/>
    <w:rsid w:val="00356771"/>
    <w:rsid w:val="00357442"/>
    <w:rsid w:val="00357E53"/>
    <w:rsid w:val="003602AD"/>
    <w:rsid w:val="003615B8"/>
    <w:rsid w:val="003640AB"/>
    <w:rsid w:val="00366E58"/>
    <w:rsid w:val="00374D49"/>
    <w:rsid w:val="003805E1"/>
    <w:rsid w:val="003823D0"/>
    <w:rsid w:val="00384113"/>
    <w:rsid w:val="003934E6"/>
    <w:rsid w:val="003962BC"/>
    <w:rsid w:val="003A49EC"/>
    <w:rsid w:val="003A5F0B"/>
    <w:rsid w:val="003B1CBE"/>
    <w:rsid w:val="003B4761"/>
    <w:rsid w:val="003B4BB1"/>
    <w:rsid w:val="003B6300"/>
    <w:rsid w:val="003D2069"/>
    <w:rsid w:val="003D53E7"/>
    <w:rsid w:val="003E07F9"/>
    <w:rsid w:val="003E0F5F"/>
    <w:rsid w:val="003E504E"/>
    <w:rsid w:val="003E702B"/>
    <w:rsid w:val="003E79A7"/>
    <w:rsid w:val="003E7FE1"/>
    <w:rsid w:val="003F2617"/>
    <w:rsid w:val="003F410D"/>
    <w:rsid w:val="003F5099"/>
    <w:rsid w:val="003F7859"/>
    <w:rsid w:val="00400E45"/>
    <w:rsid w:val="004041CC"/>
    <w:rsid w:val="0040454F"/>
    <w:rsid w:val="00407088"/>
    <w:rsid w:val="00416341"/>
    <w:rsid w:val="0041714C"/>
    <w:rsid w:val="0042055E"/>
    <w:rsid w:val="0042280C"/>
    <w:rsid w:val="00426430"/>
    <w:rsid w:val="00427A66"/>
    <w:rsid w:val="00435620"/>
    <w:rsid w:val="0043720B"/>
    <w:rsid w:val="00437D20"/>
    <w:rsid w:val="00440F99"/>
    <w:rsid w:val="00441D7B"/>
    <w:rsid w:val="0044562F"/>
    <w:rsid w:val="00447818"/>
    <w:rsid w:val="00447C28"/>
    <w:rsid w:val="004537CD"/>
    <w:rsid w:val="004569F2"/>
    <w:rsid w:val="00456AED"/>
    <w:rsid w:val="00460DAD"/>
    <w:rsid w:val="00467EC0"/>
    <w:rsid w:val="00471411"/>
    <w:rsid w:val="004749DA"/>
    <w:rsid w:val="00474A8F"/>
    <w:rsid w:val="00480136"/>
    <w:rsid w:val="00481955"/>
    <w:rsid w:val="00482AAD"/>
    <w:rsid w:val="00486A61"/>
    <w:rsid w:val="004912C9"/>
    <w:rsid w:val="00491579"/>
    <w:rsid w:val="004919CD"/>
    <w:rsid w:val="0049217F"/>
    <w:rsid w:val="0049233A"/>
    <w:rsid w:val="00492C0D"/>
    <w:rsid w:val="0049477D"/>
    <w:rsid w:val="00495D3C"/>
    <w:rsid w:val="00497540"/>
    <w:rsid w:val="004A1754"/>
    <w:rsid w:val="004A2E84"/>
    <w:rsid w:val="004A4E37"/>
    <w:rsid w:val="004A56AE"/>
    <w:rsid w:val="004A5FA5"/>
    <w:rsid w:val="004B2A43"/>
    <w:rsid w:val="004C21B4"/>
    <w:rsid w:val="004C368F"/>
    <w:rsid w:val="004C7FB7"/>
    <w:rsid w:val="004D0915"/>
    <w:rsid w:val="004D328C"/>
    <w:rsid w:val="004D56FF"/>
    <w:rsid w:val="004E2339"/>
    <w:rsid w:val="004E54EB"/>
    <w:rsid w:val="004F0C60"/>
    <w:rsid w:val="004F4176"/>
    <w:rsid w:val="004F5E70"/>
    <w:rsid w:val="004F605D"/>
    <w:rsid w:val="004F7D99"/>
    <w:rsid w:val="0050073B"/>
    <w:rsid w:val="00500E56"/>
    <w:rsid w:val="005013E3"/>
    <w:rsid w:val="00506339"/>
    <w:rsid w:val="00513F9C"/>
    <w:rsid w:val="00514C77"/>
    <w:rsid w:val="00516239"/>
    <w:rsid w:val="00516EF6"/>
    <w:rsid w:val="0051732A"/>
    <w:rsid w:val="00525A0A"/>
    <w:rsid w:val="00527FBF"/>
    <w:rsid w:val="005323F5"/>
    <w:rsid w:val="00533AEB"/>
    <w:rsid w:val="005360B8"/>
    <w:rsid w:val="0054196B"/>
    <w:rsid w:val="005459C8"/>
    <w:rsid w:val="0054759C"/>
    <w:rsid w:val="00552FBE"/>
    <w:rsid w:val="00554B8B"/>
    <w:rsid w:val="00554C48"/>
    <w:rsid w:val="00555BED"/>
    <w:rsid w:val="00560E19"/>
    <w:rsid w:val="005615DF"/>
    <w:rsid w:val="005664C9"/>
    <w:rsid w:val="00576201"/>
    <w:rsid w:val="00581E08"/>
    <w:rsid w:val="005835FE"/>
    <w:rsid w:val="00583AF1"/>
    <w:rsid w:val="00583CA0"/>
    <w:rsid w:val="005851C9"/>
    <w:rsid w:val="0058539F"/>
    <w:rsid w:val="00586239"/>
    <w:rsid w:val="00586501"/>
    <w:rsid w:val="0059404A"/>
    <w:rsid w:val="005960F0"/>
    <w:rsid w:val="00597EFA"/>
    <w:rsid w:val="005A50F5"/>
    <w:rsid w:val="005A591C"/>
    <w:rsid w:val="005A5AEB"/>
    <w:rsid w:val="005A6150"/>
    <w:rsid w:val="005A678D"/>
    <w:rsid w:val="005B10BB"/>
    <w:rsid w:val="005B1277"/>
    <w:rsid w:val="005B271F"/>
    <w:rsid w:val="005B3E3B"/>
    <w:rsid w:val="005B56EE"/>
    <w:rsid w:val="005B5C14"/>
    <w:rsid w:val="005B5C46"/>
    <w:rsid w:val="005B7F5E"/>
    <w:rsid w:val="005C046F"/>
    <w:rsid w:val="005C1D87"/>
    <w:rsid w:val="005C4C97"/>
    <w:rsid w:val="005D0070"/>
    <w:rsid w:val="005D0D19"/>
    <w:rsid w:val="005D2694"/>
    <w:rsid w:val="005D6CBF"/>
    <w:rsid w:val="005E0068"/>
    <w:rsid w:val="005E18AD"/>
    <w:rsid w:val="005E2202"/>
    <w:rsid w:val="005E3172"/>
    <w:rsid w:val="005E61AB"/>
    <w:rsid w:val="005F3356"/>
    <w:rsid w:val="005F5031"/>
    <w:rsid w:val="005F5EC5"/>
    <w:rsid w:val="005F65D4"/>
    <w:rsid w:val="00600720"/>
    <w:rsid w:val="006057B5"/>
    <w:rsid w:val="00606A0C"/>
    <w:rsid w:val="00612658"/>
    <w:rsid w:val="00614ABC"/>
    <w:rsid w:val="00620D08"/>
    <w:rsid w:val="00620FCC"/>
    <w:rsid w:val="0062222E"/>
    <w:rsid w:val="00625250"/>
    <w:rsid w:val="0062552F"/>
    <w:rsid w:val="00626844"/>
    <w:rsid w:val="00626E98"/>
    <w:rsid w:val="00643867"/>
    <w:rsid w:val="00645452"/>
    <w:rsid w:val="006455C6"/>
    <w:rsid w:val="00646CF1"/>
    <w:rsid w:val="0065457B"/>
    <w:rsid w:val="0065472D"/>
    <w:rsid w:val="0065643B"/>
    <w:rsid w:val="00661469"/>
    <w:rsid w:val="00666EAC"/>
    <w:rsid w:val="00667449"/>
    <w:rsid w:val="006734FB"/>
    <w:rsid w:val="00676EA9"/>
    <w:rsid w:val="00677BFA"/>
    <w:rsid w:val="00682AD5"/>
    <w:rsid w:val="00684F83"/>
    <w:rsid w:val="00687BE2"/>
    <w:rsid w:val="006915DD"/>
    <w:rsid w:val="006957EA"/>
    <w:rsid w:val="00697E84"/>
    <w:rsid w:val="006A033D"/>
    <w:rsid w:val="006A145E"/>
    <w:rsid w:val="006A15F8"/>
    <w:rsid w:val="006A1F93"/>
    <w:rsid w:val="006A2E7F"/>
    <w:rsid w:val="006A47FB"/>
    <w:rsid w:val="006A6CA6"/>
    <w:rsid w:val="006B2225"/>
    <w:rsid w:val="006B7CB5"/>
    <w:rsid w:val="006C0F71"/>
    <w:rsid w:val="006C2DC2"/>
    <w:rsid w:val="006C3953"/>
    <w:rsid w:val="006C72F0"/>
    <w:rsid w:val="006D6B41"/>
    <w:rsid w:val="006D6CC4"/>
    <w:rsid w:val="006E01E3"/>
    <w:rsid w:val="006E0CE0"/>
    <w:rsid w:val="006E2B62"/>
    <w:rsid w:val="006E47FE"/>
    <w:rsid w:val="006E533E"/>
    <w:rsid w:val="006E53A0"/>
    <w:rsid w:val="006E698A"/>
    <w:rsid w:val="006E7155"/>
    <w:rsid w:val="006E76D8"/>
    <w:rsid w:val="006F10D0"/>
    <w:rsid w:val="006F3811"/>
    <w:rsid w:val="006F7D7D"/>
    <w:rsid w:val="007013A6"/>
    <w:rsid w:val="007033AB"/>
    <w:rsid w:val="00703A81"/>
    <w:rsid w:val="00705244"/>
    <w:rsid w:val="00705F6E"/>
    <w:rsid w:val="00707BA7"/>
    <w:rsid w:val="00716C3D"/>
    <w:rsid w:val="00717682"/>
    <w:rsid w:val="0072063B"/>
    <w:rsid w:val="00722A90"/>
    <w:rsid w:val="00724EA2"/>
    <w:rsid w:val="007257BF"/>
    <w:rsid w:val="00725BCF"/>
    <w:rsid w:val="0073023A"/>
    <w:rsid w:val="00730DB1"/>
    <w:rsid w:val="0074371E"/>
    <w:rsid w:val="00744550"/>
    <w:rsid w:val="00750200"/>
    <w:rsid w:val="00752379"/>
    <w:rsid w:val="007547CD"/>
    <w:rsid w:val="00754E32"/>
    <w:rsid w:val="00757B16"/>
    <w:rsid w:val="00762EDE"/>
    <w:rsid w:val="007635FC"/>
    <w:rsid w:val="0077094C"/>
    <w:rsid w:val="00772537"/>
    <w:rsid w:val="0077363D"/>
    <w:rsid w:val="00781F07"/>
    <w:rsid w:val="00783789"/>
    <w:rsid w:val="00783F48"/>
    <w:rsid w:val="007848A5"/>
    <w:rsid w:val="00786C0C"/>
    <w:rsid w:val="00790F18"/>
    <w:rsid w:val="007915C3"/>
    <w:rsid w:val="0079280F"/>
    <w:rsid w:val="0079284C"/>
    <w:rsid w:val="007943E8"/>
    <w:rsid w:val="00795D69"/>
    <w:rsid w:val="0079726B"/>
    <w:rsid w:val="007A7C43"/>
    <w:rsid w:val="007B13A8"/>
    <w:rsid w:val="007B35FA"/>
    <w:rsid w:val="007B4C6A"/>
    <w:rsid w:val="007C0CE1"/>
    <w:rsid w:val="007C18FE"/>
    <w:rsid w:val="007C2356"/>
    <w:rsid w:val="007C261B"/>
    <w:rsid w:val="007C348D"/>
    <w:rsid w:val="007C5519"/>
    <w:rsid w:val="007C686B"/>
    <w:rsid w:val="007D0705"/>
    <w:rsid w:val="007D1CFA"/>
    <w:rsid w:val="007D44A5"/>
    <w:rsid w:val="007E0880"/>
    <w:rsid w:val="007E14F4"/>
    <w:rsid w:val="007E3399"/>
    <w:rsid w:val="007E61BB"/>
    <w:rsid w:val="007F31A3"/>
    <w:rsid w:val="007F4F13"/>
    <w:rsid w:val="007F6337"/>
    <w:rsid w:val="007F66A3"/>
    <w:rsid w:val="00800C08"/>
    <w:rsid w:val="008014A3"/>
    <w:rsid w:val="00804AA4"/>
    <w:rsid w:val="00811F2A"/>
    <w:rsid w:val="00812151"/>
    <w:rsid w:val="00812E65"/>
    <w:rsid w:val="00815386"/>
    <w:rsid w:val="008164E2"/>
    <w:rsid w:val="00816F15"/>
    <w:rsid w:val="00817A55"/>
    <w:rsid w:val="00820441"/>
    <w:rsid w:val="00832B19"/>
    <w:rsid w:val="008345FE"/>
    <w:rsid w:val="00840867"/>
    <w:rsid w:val="0084163D"/>
    <w:rsid w:val="00843543"/>
    <w:rsid w:val="00843764"/>
    <w:rsid w:val="00844E36"/>
    <w:rsid w:val="0084509E"/>
    <w:rsid w:val="00846576"/>
    <w:rsid w:val="00847907"/>
    <w:rsid w:val="00851FD0"/>
    <w:rsid w:val="00867C5D"/>
    <w:rsid w:val="00867CC0"/>
    <w:rsid w:val="00871688"/>
    <w:rsid w:val="00873B81"/>
    <w:rsid w:val="00875729"/>
    <w:rsid w:val="00876CD8"/>
    <w:rsid w:val="008803C0"/>
    <w:rsid w:val="00880BB3"/>
    <w:rsid w:val="00882721"/>
    <w:rsid w:val="008861B3"/>
    <w:rsid w:val="00891F14"/>
    <w:rsid w:val="008936F2"/>
    <w:rsid w:val="00894524"/>
    <w:rsid w:val="00894EEF"/>
    <w:rsid w:val="008957B5"/>
    <w:rsid w:val="008A0BD1"/>
    <w:rsid w:val="008A2D4D"/>
    <w:rsid w:val="008A5D23"/>
    <w:rsid w:val="008B0A1B"/>
    <w:rsid w:val="008B1E9D"/>
    <w:rsid w:val="008B42E3"/>
    <w:rsid w:val="008B6B38"/>
    <w:rsid w:val="008B7782"/>
    <w:rsid w:val="008C0F83"/>
    <w:rsid w:val="008C48CE"/>
    <w:rsid w:val="008C7684"/>
    <w:rsid w:val="008D09E3"/>
    <w:rsid w:val="008D11BE"/>
    <w:rsid w:val="008D7112"/>
    <w:rsid w:val="008E3772"/>
    <w:rsid w:val="008E49D7"/>
    <w:rsid w:val="008E5209"/>
    <w:rsid w:val="008E57BF"/>
    <w:rsid w:val="008F7A05"/>
    <w:rsid w:val="00902E43"/>
    <w:rsid w:val="00906319"/>
    <w:rsid w:val="0090632C"/>
    <w:rsid w:val="00914772"/>
    <w:rsid w:val="00920087"/>
    <w:rsid w:val="0092152E"/>
    <w:rsid w:val="00931298"/>
    <w:rsid w:val="009346A8"/>
    <w:rsid w:val="0093584A"/>
    <w:rsid w:val="00935CE2"/>
    <w:rsid w:val="00936404"/>
    <w:rsid w:val="0094409C"/>
    <w:rsid w:val="00945945"/>
    <w:rsid w:val="0094642F"/>
    <w:rsid w:val="00947956"/>
    <w:rsid w:val="00947981"/>
    <w:rsid w:val="00951E22"/>
    <w:rsid w:val="00955766"/>
    <w:rsid w:val="009561EF"/>
    <w:rsid w:val="009571C3"/>
    <w:rsid w:val="009674B3"/>
    <w:rsid w:val="00973C38"/>
    <w:rsid w:val="00975DEC"/>
    <w:rsid w:val="0097658B"/>
    <w:rsid w:val="0098040F"/>
    <w:rsid w:val="0098082D"/>
    <w:rsid w:val="009853B4"/>
    <w:rsid w:val="009858FF"/>
    <w:rsid w:val="00994B47"/>
    <w:rsid w:val="009966E5"/>
    <w:rsid w:val="009A10BF"/>
    <w:rsid w:val="009A2520"/>
    <w:rsid w:val="009A4CAC"/>
    <w:rsid w:val="009A525C"/>
    <w:rsid w:val="009B06B2"/>
    <w:rsid w:val="009B2058"/>
    <w:rsid w:val="009B3CCA"/>
    <w:rsid w:val="009B6BA8"/>
    <w:rsid w:val="009C4E97"/>
    <w:rsid w:val="009C54F0"/>
    <w:rsid w:val="009E0C62"/>
    <w:rsid w:val="009E3FA8"/>
    <w:rsid w:val="009E40F8"/>
    <w:rsid w:val="009E469A"/>
    <w:rsid w:val="009E47FD"/>
    <w:rsid w:val="009F3BCE"/>
    <w:rsid w:val="009F5BAB"/>
    <w:rsid w:val="009F6077"/>
    <w:rsid w:val="009F7142"/>
    <w:rsid w:val="009F7F4D"/>
    <w:rsid w:val="00A00820"/>
    <w:rsid w:val="00A01373"/>
    <w:rsid w:val="00A01419"/>
    <w:rsid w:val="00A0504C"/>
    <w:rsid w:val="00A07075"/>
    <w:rsid w:val="00A0781D"/>
    <w:rsid w:val="00A103A2"/>
    <w:rsid w:val="00A11E34"/>
    <w:rsid w:val="00A129AD"/>
    <w:rsid w:val="00A20108"/>
    <w:rsid w:val="00A20978"/>
    <w:rsid w:val="00A21100"/>
    <w:rsid w:val="00A2266C"/>
    <w:rsid w:val="00A22960"/>
    <w:rsid w:val="00A23389"/>
    <w:rsid w:val="00A30E8F"/>
    <w:rsid w:val="00A314D3"/>
    <w:rsid w:val="00A320D7"/>
    <w:rsid w:val="00A34CB6"/>
    <w:rsid w:val="00A353EF"/>
    <w:rsid w:val="00A35B69"/>
    <w:rsid w:val="00A375E4"/>
    <w:rsid w:val="00A44003"/>
    <w:rsid w:val="00A47457"/>
    <w:rsid w:val="00A5133D"/>
    <w:rsid w:val="00A556CC"/>
    <w:rsid w:val="00A57F1D"/>
    <w:rsid w:val="00A60C70"/>
    <w:rsid w:val="00A62E8E"/>
    <w:rsid w:val="00A64804"/>
    <w:rsid w:val="00A709C6"/>
    <w:rsid w:val="00A7152C"/>
    <w:rsid w:val="00A74B52"/>
    <w:rsid w:val="00A76028"/>
    <w:rsid w:val="00A769EB"/>
    <w:rsid w:val="00A77BE9"/>
    <w:rsid w:val="00A80708"/>
    <w:rsid w:val="00A80DF7"/>
    <w:rsid w:val="00A80E5C"/>
    <w:rsid w:val="00A81C7A"/>
    <w:rsid w:val="00A82827"/>
    <w:rsid w:val="00A830D1"/>
    <w:rsid w:val="00A84618"/>
    <w:rsid w:val="00A848CD"/>
    <w:rsid w:val="00A8690C"/>
    <w:rsid w:val="00A87205"/>
    <w:rsid w:val="00A90D5C"/>
    <w:rsid w:val="00A914D6"/>
    <w:rsid w:val="00A931AF"/>
    <w:rsid w:val="00A96D6D"/>
    <w:rsid w:val="00A9771A"/>
    <w:rsid w:val="00AA22AB"/>
    <w:rsid w:val="00AA2682"/>
    <w:rsid w:val="00AA2EE2"/>
    <w:rsid w:val="00AA3DFF"/>
    <w:rsid w:val="00AA5449"/>
    <w:rsid w:val="00AB0076"/>
    <w:rsid w:val="00AB2BE5"/>
    <w:rsid w:val="00AB5DDF"/>
    <w:rsid w:val="00AC0A50"/>
    <w:rsid w:val="00AC208E"/>
    <w:rsid w:val="00AC3413"/>
    <w:rsid w:val="00AC3D2E"/>
    <w:rsid w:val="00AC5040"/>
    <w:rsid w:val="00AC5AA4"/>
    <w:rsid w:val="00AC79CE"/>
    <w:rsid w:val="00AD2266"/>
    <w:rsid w:val="00AD43EB"/>
    <w:rsid w:val="00AD43F1"/>
    <w:rsid w:val="00AD516D"/>
    <w:rsid w:val="00AD5191"/>
    <w:rsid w:val="00AD6579"/>
    <w:rsid w:val="00AE0369"/>
    <w:rsid w:val="00AE31F1"/>
    <w:rsid w:val="00AE3AEB"/>
    <w:rsid w:val="00AE6710"/>
    <w:rsid w:val="00AF2EBA"/>
    <w:rsid w:val="00AF6B10"/>
    <w:rsid w:val="00B0296B"/>
    <w:rsid w:val="00B11417"/>
    <w:rsid w:val="00B11A24"/>
    <w:rsid w:val="00B158E4"/>
    <w:rsid w:val="00B225BE"/>
    <w:rsid w:val="00B258F1"/>
    <w:rsid w:val="00B30B07"/>
    <w:rsid w:val="00B317A9"/>
    <w:rsid w:val="00B31BC8"/>
    <w:rsid w:val="00B32C75"/>
    <w:rsid w:val="00B370EE"/>
    <w:rsid w:val="00B418E9"/>
    <w:rsid w:val="00B41993"/>
    <w:rsid w:val="00B47359"/>
    <w:rsid w:val="00B50934"/>
    <w:rsid w:val="00B50972"/>
    <w:rsid w:val="00B6793A"/>
    <w:rsid w:val="00B706B5"/>
    <w:rsid w:val="00B72F0E"/>
    <w:rsid w:val="00B8118F"/>
    <w:rsid w:val="00B8387F"/>
    <w:rsid w:val="00B85859"/>
    <w:rsid w:val="00B90FB3"/>
    <w:rsid w:val="00B917EE"/>
    <w:rsid w:val="00BA0445"/>
    <w:rsid w:val="00BA1D13"/>
    <w:rsid w:val="00BB0503"/>
    <w:rsid w:val="00BB160C"/>
    <w:rsid w:val="00BB3128"/>
    <w:rsid w:val="00BB4627"/>
    <w:rsid w:val="00BB4F02"/>
    <w:rsid w:val="00BC07EE"/>
    <w:rsid w:val="00BC1AD5"/>
    <w:rsid w:val="00BD03DD"/>
    <w:rsid w:val="00BD2D79"/>
    <w:rsid w:val="00BD4155"/>
    <w:rsid w:val="00BD5996"/>
    <w:rsid w:val="00BD6072"/>
    <w:rsid w:val="00BD667B"/>
    <w:rsid w:val="00BD67B1"/>
    <w:rsid w:val="00BD6800"/>
    <w:rsid w:val="00BE036F"/>
    <w:rsid w:val="00BE1A6F"/>
    <w:rsid w:val="00BE1B9D"/>
    <w:rsid w:val="00BE71E7"/>
    <w:rsid w:val="00BF18DF"/>
    <w:rsid w:val="00BF19BB"/>
    <w:rsid w:val="00BF2C8F"/>
    <w:rsid w:val="00C018D6"/>
    <w:rsid w:val="00C01D44"/>
    <w:rsid w:val="00C063A3"/>
    <w:rsid w:val="00C0778C"/>
    <w:rsid w:val="00C1000B"/>
    <w:rsid w:val="00C104C3"/>
    <w:rsid w:val="00C140A6"/>
    <w:rsid w:val="00C15C47"/>
    <w:rsid w:val="00C16854"/>
    <w:rsid w:val="00C17F67"/>
    <w:rsid w:val="00C20DEE"/>
    <w:rsid w:val="00C222D8"/>
    <w:rsid w:val="00C23AD3"/>
    <w:rsid w:val="00C24FAE"/>
    <w:rsid w:val="00C25FF9"/>
    <w:rsid w:val="00C268C9"/>
    <w:rsid w:val="00C30CAC"/>
    <w:rsid w:val="00C31C9E"/>
    <w:rsid w:val="00C348C9"/>
    <w:rsid w:val="00C37C0E"/>
    <w:rsid w:val="00C43B41"/>
    <w:rsid w:val="00C502FE"/>
    <w:rsid w:val="00C50575"/>
    <w:rsid w:val="00C530E4"/>
    <w:rsid w:val="00C563B8"/>
    <w:rsid w:val="00C56B62"/>
    <w:rsid w:val="00C63315"/>
    <w:rsid w:val="00C63BF6"/>
    <w:rsid w:val="00C6681F"/>
    <w:rsid w:val="00C67A82"/>
    <w:rsid w:val="00C74135"/>
    <w:rsid w:val="00C75799"/>
    <w:rsid w:val="00C76ECF"/>
    <w:rsid w:val="00C82DA1"/>
    <w:rsid w:val="00C835A3"/>
    <w:rsid w:val="00C86035"/>
    <w:rsid w:val="00CA3518"/>
    <w:rsid w:val="00CA3616"/>
    <w:rsid w:val="00CA46FA"/>
    <w:rsid w:val="00CA703A"/>
    <w:rsid w:val="00CB4AE7"/>
    <w:rsid w:val="00CB516A"/>
    <w:rsid w:val="00CB5751"/>
    <w:rsid w:val="00CB62E6"/>
    <w:rsid w:val="00CC2AA7"/>
    <w:rsid w:val="00CC556F"/>
    <w:rsid w:val="00CC710B"/>
    <w:rsid w:val="00CD08C4"/>
    <w:rsid w:val="00CD1065"/>
    <w:rsid w:val="00CD152C"/>
    <w:rsid w:val="00CE04B1"/>
    <w:rsid w:val="00CE0B31"/>
    <w:rsid w:val="00CE39C4"/>
    <w:rsid w:val="00CE73E0"/>
    <w:rsid w:val="00CF1002"/>
    <w:rsid w:val="00CF29B4"/>
    <w:rsid w:val="00CF3D71"/>
    <w:rsid w:val="00CF433D"/>
    <w:rsid w:val="00D0135A"/>
    <w:rsid w:val="00D02B40"/>
    <w:rsid w:val="00D03452"/>
    <w:rsid w:val="00D040DC"/>
    <w:rsid w:val="00D04556"/>
    <w:rsid w:val="00D05F4C"/>
    <w:rsid w:val="00D065D1"/>
    <w:rsid w:val="00D07643"/>
    <w:rsid w:val="00D07E14"/>
    <w:rsid w:val="00D129F5"/>
    <w:rsid w:val="00D15916"/>
    <w:rsid w:val="00D2152E"/>
    <w:rsid w:val="00D26E04"/>
    <w:rsid w:val="00D320F8"/>
    <w:rsid w:val="00D3479A"/>
    <w:rsid w:val="00D351C0"/>
    <w:rsid w:val="00D40694"/>
    <w:rsid w:val="00D41365"/>
    <w:rsid w:val="00D41D5B"/>
    <w:rsid w:val="00D4396A"/>
    <w:rsid w:val="00D46707"/>
    <w:rsid w:val="00D50B9E"/>
    <w:rsid w:val="00D54A16"/>
    <w:rsid w:val="00D55F80"/>
    <w:rsid w:val="00D57429"/>
    <w:rsid w:val="00D62767"/>
    <w:rsid w:val="00D63F82"/>
    <w:rsid w:val="00D67472"/>
    <w:rsid w:val="00D71B9B"/>
    <w:rsid w:val="00D74600"/>
    <w:rsid w:val="00D763F7"/>
    <w:rsid w:val="00D766F0"/>
    <w:rsid w:val="00D77370"/>
    <w:rsid w:val="00D77923"/>
    <w:rsid w:val="00D77E26"/>
    <w:rsid w:val="00D80B96"/>
    <w:rsid w:val="00D82ED1"/>
    <w:rsid w:val="00D8419D"/>
    <w:rsid w:val="00D918E8"/>
    <w:rsid w:val="00D9526F"/>
    <w:rsid w:val="00DA0DF6"/>
    <w:rsid w:val="00DA5395"/>
    <w:rsid w:val="00DA61A4"/>
    <w:rsid w:val="00DB3C16"/>
    <w:rsid w:val="00DB5D24"/>
    <w:rsid w:val="00DB7619"/>
    <w:rsid w:val="00DC1032"/>
    <w:rsid w:val="00DC5A12"/>
    <w:rsid w:val="00DC6873"/>
    <w:rsid w:val="00DD2750"/>
    <w:rsid w:val="00DD2D3E"/>
    <w:rsid w:val="00DD430B"/>
    <w:rsid w:val="00DD4850"/>
    <w:rsid w:val="00DE03EC"/>
    <w:rsid w:val="00DE5AA8"/>
    <w:rsid w:val="00E011A2"/>
    <w:rsid w:val="00E050C1"/>
    <w:rsid w:val="00E0687A"/>
    <w:rsid w:val="00E12422"/>
    <w:rsid w:val="00E13F80"/>
    <w:rsid w:val="00E23295"/>
    <w:rsid w:val="00E25A71"/>
    <w:rsid w:val="00E262E4"/>
    <w:rsid w:val="00E26FC9"/>
    <w:rsid w:val="00E279F0"/>
    <w:rsid w:val="00E27A9A"/>
    <w:rsid w:val="00E31B13"/>
    <w:rsid w:val="00E3784E"/>
    <w:rsid w:val="00E40927"/>
    <w:rsid w:val="00E410B7"/>
    <w:rsid w:val="00E42996"/>
    <w:rsid w:val="00E42DC0"/>
    <w:rsid w:val="00E46434"/>
    <w:rsid w:val="00E4712E"/>
    <w:rsid w:val="00E51FE8"/>
    <w:rsid w:val="00E5481E"/>
    <w:rsid w:val="00E5549C"/>
    <w:rsid w:val="00E61255"/>
    <w:rsid w:val="00E6375B"/>
    <w:rsid w:val="00E64F07"/>
    <w:rsid w:val="00E6513F"/>
    <w:rsid w:val="00E661CA"/>
    <w:rsid w:val="00E71D96"/>
    <w:rsid w:val="00E72866"/>
    <w:rsid w:val="00E74E84"/>
    <w:rsid w:val="00E75816"/>
    <w:rsid w:val="00E80AED"/>
    <w:rsid w:val="00E83311"/>
    <w:rsid w:val="00E83D7C"/>
    <w:rsid w:val="00E84977"/>
    <w:rsid w:val="00E84DE3"/>
    <w:rsid w:val="00E90D8E"/>
    <w:rsid w:val="00E91A4F"/>
    <w:rsid w:val="00E934FB"/>
    <w:rsid w:val="00E9554F"/>
    <w:rsid w:val="00E97B54"/>
    <w:rsid w:val="00EA0BBA"/>
    <w:rsid w:val="00EA100B"/>
    <w:rsid w:val="00EA2437"/>
    <w:rsid w:val="00EA5959"/>
    <w:rsid w:val="00EB1600"/>
    <w:rsid w:val="00EB181B"/>
    <w:rsid w:val="00EB4853"/>
    <w:rsid w:val="00EB56DE"/>
    <w:rsid w:val="00EB72AB"/>
    <w:rsid w:val="00EC0BDD"/>
    <w:rsid w:val="00EC40DB"/>
    <w:rsid w:val="00EC41C6"/>
    <w:rsid w:val="00ED0239"/>
    <w:rsid w:val="00ED326A"/>
    <w:rsid w:val="00ED3F87"/>
    <w:rsid w:val="00ED5BEE"/>
    <w:rsid w:val="00ED7A87"/>
    <w:rsid w:val="00EE1127"/>
    <w:rsid w:val="00EE3334"/>
    <w:rsid w:val="00EE4809"/>
    <w:rsid w:val="00EF11A8"/>
    <w:rsid w:val="00EF29AD"/>
    <w:rsid w:val="00EF412E"/>
    <w:rsid w:val="00EF5325"/>
    <w:rsid w:val="00EF5A67"/>
    <w:rsid w:val="00F00701"/>
    <w:rsid w:val="00F0291B"/>
    <w:rsid w:val="00F02DD4"/>
    <w:rsid w:val="00F0675C"/>
    <w:rsid w:val="00F07107"/>
    <w:rsid w:val="00F14654"/>
    <w:rsid w:val="00F15DB4"/>
    <w:rsid w:val="00F24BE3"/>
    <w:rsid w:val="00F332A8"/>
    <w:rsid w:val="00F349C9"/>
    <w:rsid w:val="00F34DB5"/>
    <w:rsid w:val="00F3703A"/>
    <w:rsid w:val="00F414F5"/>
    <w:rsid w:val="00F41727"/>
    <w:rsid w:val="00F41FDE"/>
    <w:rsid w:val="00F479DC"/>
    <w:rsid w:val="00F47A52"/>
    <w:rsid w:val="00F527A2"/>
    <w:rsid w:val="00F53D4E"/>
    <w:rsid w:val="00F543EB"/>
    <w:rsid w:val="00F60B31"/>
    <w:rsid w:val="00F615A3"/>
    <w:rsid w:val="00F62A42"/>
    <w:rsid w:val="00F664DB"/>
    <w:rsid w:val="00F67F48"/>
    <w:rsid w:val="00F7034E"/>
    <w:rsid w:val="00F711F5"/>
    <w:rsid w:val="00F7253E"/>
    <w:rsid w:val="00F75FBA"/>
    <w:rsid w:val="00F80F0B"/>
    <w:rsid w:val="00F81D8B"/>
    <w:rsid w:val="00F86A05"/>
    <w:rsid w:val="00F871F0"/>
    <w:rsid w:val="00F90B4F"/>
    <w:rsid w:val="00F940D0"/>
    <w:rsid w:val="00FA64FF"/>
    <w:rsid w:val="00FA70CA"/>
    <w:rsid w:val="00FB69E0"/>
    <w:rsid w:val="00FB7BB4"/>
    <w:rsid w:val="00FC2DB4"/>
    <w:rsid w:val="00FC31FB"/>
    <w:rsid w:val="00FC44D1"/>
    <w:rsid w:val="00FC5A7D"/>
    <w:rsid w:val="00FC67BC"/>
    <w:rsid w:val="00FD19ED"/>
    <w:rsid w:val="00FD1DE7"/>
    <w:rsid w:val="00FE0ECF"/>
    <w:rsid w:val="00FE4E83"/>
    <w:rsid w:val="00FE4FCF"/>
    <w:rsid w:val="00FF2F3D"/>
    <w:rsid w:val="00FF4BD5"/>
    <w:rsid w:val="00FF6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styleId="NormalWeb">
    <w:name w:val="Normal (Web)"/>
    <w:basedOn w:val="Normal"/>
    <w:uiPriority w:val="99"/>
    <w:unhideWhenUsed/>
    <w:rsid w:val="00BF18DF"/>
    <w:pPr>
      <w:spacing w:before="100" w:beforeAutospacing="1" w:after="100" w:afterAutospacing="1"/>
    </w:pPr>
    <w:rPr>
      <w:lang w:val="en-ZA" w:eastAsia="en-ZA"/>
    </w:rPr>
  </w:style>
  <w:style w:type="paragraph" w:customStyle="1" w:styleId="western">
    <w:name w:val="western"/>
    <w:basedOn w:val="Normal"/>
    <w:rsid w:val="00A129AD"/>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735">
      <w:bodyDiv w:val="1"/>
      <w:marLeft w:val="0"/>
      <w:marRight w:val="0"/>
      <w:marTop w:val="0"/>
      <w:marBottom w:val="0"/>
      <w:divBdr>
        <w:top w:val="none" w:sz="0" w:space="0" w:color="auto"/>
        <w:left w:val="none" w:sz="0" w:space="0" w:color="auto"/>
        <w:bottom w:val="none" w:sz="0" w:space="0" w:color="auto"/>
        <w:right w:val="none" w:sz="0" w:space="0" w:color="auto"/>
      </w:divBdr>
    </w:div>
    <w:div w:id="151024528">
      <w:bodyDiv w:val="1"/>
      <w:marLeft w:val="0"/>
      <w:marRight w:val="0"/>
      <w:marTop w:val="0"/>
      <w:marBottom w:val="0"/>
      <w:divBdr>
        <w:top w:val="none" w:sz="0" w:space="0" w:color="auto"/>
        <w:left w:val="none" w:sz="0" w:space="0" w:color="auto"/>
        <w:bottom w:val="none" w:sz="0" w:space="0" w:color="auto"/>
        <w:right w:val="none" w:sz="0" w:space="0" w:color="auto"/>
      </w:divBdr>
    </w:div>
    <w:div w:id="211233578">
      <w:bodyDiv w:val="1"/>
      <w:marLeft w:val="0"/>
      <w:marRight w:val="0"/>
      <w:marTop w:val="0"/>
      <w:marBottom w:val="0"/>
      <w:divBdr>
        <w:top w:val="none" w:sz="0" w:space="0" w:color="auto"/>
        <w:left w:val="none" w:sz="0" w:space="0" w:color="auto"/>
        <w:bottom w:val="none" w:sz="0" w:space="0" w:color="auto"/>
        <w:right w:val="none" w:sz="0" w:space="0" w:color="auto"/>
      </w:divBdr>
      <w:divsChild>
        <w:div w:id="1235579861">
          <w:marLeft w:val="0"/>
          <w:marRight w:val="0"/>
          <w:marTop w:val="120"/>
          <w:marBottom w:val="0"/>
          <w:divBdr>
            <w:top w:val="none" w:sz="0" w:space="0" w:color="auto"/>
            <w:left w:val="none" w:sz="0" w:space="0" w:color="auto"/>
            <w:bottom w:val="none" w:sz="0" w:space="0" w:color="auto"/>
            <w:right w:val="none" w:sz="0" w:space="0" w:color="auto"/>
          </w:divBdr>
        </w:div>
        <w:div w:id="1408531784">
          <w:marLeft w:val="567"/>
          <w:marRight w:val="0"/>
          <w:marTop w:val="60"/>
          <w:marBottom w:val="0"/>
          <w:divBdr>
            <w:top w:val="none" w:sz="0" w:space="0" w:color="auto"/>
            <w:left w:val="none" w:sz="0" w:space="0" w:color="auto"/>
            <w:bottom w:val="none" w:sz="0" w:space="0" w:color="auto"/>
            <w:right w:val="none" w:sz="0" w:space="0" w:color="auto"/>
          </w:divBdr>
        </w:div>
        <w:div w:id="1414737485">
          <w:marLeft w:val="0"/>
          <w:marRight w:val="0"/>
          <w:marTop w:val="120"/>
          <w:marBottom w:val="0"/>
          <w:divBdr>
            <w:top w:val="none" w:sz="0" w:space="0" w:color="auto"/>
            <w:left w:val="none" w:sz="0" w:space="0" w:color="auto"/>
            <w:bottom w:val="none" w:sz="0" w:space="0" w:color="auto"/>
            <w:right w:val="none" w:sz="0" w:space="0" w:color="auto"/>
          </w:divBdr>
        </w:div>
        <w:div w:id="1482430779">
          <w:marLeft w:val="0"/>
          <w:marRight w:val="0"/>
          <w:marTop w:val="120"/>
          <w:marBottom w:val="0"/>
          <w:divBdr>
            <w:top w:val="none" w:sz="0" w:space="0" w:color="auto"/>
            <w:left w:val="none" w:sz="0" w:space="0" w:color="auto"/>
            <w:bottom w:val="none" w:sz="0" w:space="0" w:color="auto"/>
            <w:right w:val="none" w:sz="0" w:space="0" w:color="auto"/>
          </w:divBdr>
        </w:div>
      </w:divsChild>
    </w:div>
    <w:div w:id="572593761">
      <w:bodyDiv w:val="1"/>
      <w:marLeft w:val="0"/>
      <w:marRight w:val="0"/>
      <w:marTop w:val="0"/>
      <w:marBottom w:val="0"/>
      <w:divBdr>
        <w:top w:val="none" w:sz="0" w:space="0" w:color="auto"/>
        <w:left w:val="none" w:sz="0" w:space="0" w:color="auto"/>
        <w:bottom w:val="none" w:sz="0" w:space="0" w:color="auto"/>
        <w:right w:val="none" w:sz="0" w:space="0" w:color="auto"/>
      </w:divBdr>
      <w:divsChild>
        <w:div w:id="62994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31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986829">
      <w:bodyDiv w:val="1"/>
      <w:marLeft w:val="0"/>
      <w:marRight w:val="0"/>
      <w:marTop w:val="0"/>
      <w:marBottom w:val="0"/>
      <w:divBdr>
        <w:top w:val="none" w:sz="0" w:space="0" w:color="auto"/>
        <w:left w:val="none" w:sz="0" w:space="0" w:color="auto"/>
        <w:bottom w:val="none" w:sz="0" w:space="0" w:color="auto"/>
        <w:right w:val="none" w:sz="0" w:space="0" w:color="auto"/>
      </w:divBdr>
    </w:div>
    <w:div w:id="866256264">
      <w:bodyDiv w:val="1"/>
      <w:marLeft w:val="0"/>
      <w:marRight w:val="0"/>
      <w:marTop w:val="0"/>
      <w:marBottom w:val="0"/>
      <w:divBdr>
        <w:top w:val="none" w:sz="0" w:space="0" w:color="auto"/>
        <w:left w:val="none" w:sz="0" w:space="0" w:color="auto"/>
        <w:bottom w:val="none" w:sz="0" w:space="0" w:color="auto"/>
        <w:right w:val="none" w:sz="0" w:space="0" w:color="auto"/>
      </w:divBdr>
      <w:divsChild>
        <w:div w:id="1777553563">
          <w:marLeft w:val="0"/>
          <w:marRight w:val="0"/>
          <w:marTop w:val="240"/>
          <w:marBottom w:val="0"/>
          <w:divBdr>
            <w:top w:val="none" w:sz="0" w:space="0" w:color="auto"/>
            <w:left w:val="none" w:sz="0" w:space="0" w:color="auto"/>
            <w:bottom w:val="none" w:sz="0" w:space="0" w:color="auto"/>
            <w:right w:val="none" w:sz="0" w:space="0" w:color="auto"/>
          </w:divBdr>
        </w:div>
        <w:div w:id="2055888530">
          <w:marLeft w:val="0"/>
          <w:marRight w:val="0"/>
          <w:marTop w:val="120"/>
          <w:marBottom w:val="0"/>
          <w:divBdr>
            <w:top w:val="none" w:sz="0" w:space="0" w:color="auto"/>
            <w:left w:val="none" w:sz="0" w:space="0" w:color="auto"/>
            <w:bottom w:val="none" w:sz="0" w:space="0" w:color="auto"/>
            <w:right w:val="none" w:sz="0" w:space="0" w:color="auto"/>
          </w:divBdr>
        </w:div>
        <w:div w:id="883710200">
          <w:marLeft w:val="0"/>
          <w:marRight w:val="0"/>
          <w:marTop w:val="120"/>
          <w:marBottom w:val="0"/>
          <w:divBdr>
            <w:top w:val="none" w:sz="0" w:space="0" w:color="auto"/>
            <w:left w:val="none" w:sz="0" w:space="0" w:color="auto"/>
            <w:bottom w:val="none" w:sz="0" w:space="0" w:color="auto"/>
            <w:right w:val="none" w:sz="0" w:space="0" w:color="auto"/>
          </w:divBdr>
        </w:div>
        <w:div w:id="1140881753">
          <w:marLeft w:val="1134"/>
          <w:marRight w:val="0"/>
          <w:marTop w:val="60"/>
          <w:marBottom w:val="0"/>
          <w:divBdr>
            <w:top w:val="none" w:sz="0" w:space="0" w:color="auto"/>
            <w:left w:val="none" w:sz="0" w:space="0" w:color="auto"/>
            <w:bottom w:val="none" w:sz="0" w:space="0" w:color="auto"/>
            <w:right w:val="none" w:sz="0" w:space="0" w:color="auto"/>
          </w:divBdr>
        </w:div>
        <w:div w:id="1935240011">
          <w:marLeft w:val="1134"/>
          <w:marRight w:val="0"/>
          <w:marTop w:val="60"/>
          <w:marBottom w:val="0"/>
          <w:divBdr>
            <w:top w:val="none" w:sz="0" w:space="0" w:color="auto"/>
            <w:left w:val="none" w:sz="0" w:space="0" w:color="auto"/>
            <w:bottom w:val="none" w:sz="0" w:space="0" w:color="auto"/>
            <w:right w:val="none" w:sz="0" w:space="0" w:color="auto"/>
          </w:divBdr>
        </w:div>
        <w:div w:id="1084842013">
          <w:marLeft w:val="1985"/>
          <w:marRight w:val="0"/>
          <w:marTop w:val="60"/>
          <w:marBottom w:val="0"/>
          <w:divBdr>
            <w:top w:val="none" w:sz="0" w:space="0" w:color="auto"/>
            <w:left w:val="none" w:sz="0" w:space="0" w:color="auto"/>
            <w:bottom w:val="none" w:sz="0" w:space="0" w:color="auto"/>
            <w:right w:val="none" w:sz="0" w:space="0" w:color="auto"/>
          </w:divBdr>
        </w:div>
        <w:div w:id="1832020243">
          <w:marLeft w:val="1985"/>
          <w:marRight w:val="0"/>
          <w:marTop w:val="60"/>
          <w:marBottom w:val="0"/>
          <w:divBdr>
            <w:top w:val="none" w:sz="0" w:space="0" w:color="auto"/>
            <w:left w:val="none" w:sz="0" w:space="0" w:color="auto"/>
            <w:bottom w:val="none" w:sz="0" w:space="0" w:color="auto"/>
            <w:right w:val="none" w:sz="0" w:space="0" w:color="auto"/>
          </w:divBdr>
        </w:div>
        <w:div w:id="511536094">
          <w:marLeft w:val="1134"/>
          <w:marRight w:val="0"/>
          <w:marTop w:val="60"/>
          <w:marBottom w:val="0"/>
          <w:divBdr>
            <w:top w:val="none" w:sz="0" w:space="0" w:color="auto"/>
            <w:left w:val="none" w:sz="0" w:space="0" w:color="auto"/>
            <w:bottom w:val="none" w:sz="0" w:space="0" w:color="auto"/>
            <w:right w:val="none" w:sz="0" w:space="0" w:color="auto"/>
          </w:divBdr>
        </w:div>
        <w:div w:id="1048453684">
          <w:marLeft w:val="1134"/>
          <w:marRight w:val="0"/>
          <w:marTop w:val="60"/>
          <w:marBottom w:val="0"/>
          <w:divBdr>
            <w:top w:val="none" w:sz="0" w:space="0" w:color="auto"/>
            <w:left w:val="none" w:sz="0" w:space="0" w:color="auto"/>
            <w:bottom w:val="none" w:sz="0" w:space="0" w:color="auto"/>
            <w:right w:val="none" w:sz="0" w:space="0" w:color="auto"/>
          </w:divBdr>
        </w:div>
      </w:divsChild>
    </w:div>
    <w:div w:id="924344026">
      <w:bodyDiv w:val="1"/>
      <w:marLeft w:val="0"/>
      <w:marRight w:val="0"/>
      <w:marTop w:val="0"/>
      <w:marBottom w:val="0"/>
      <w:divBdr>
        <w:top w:val="none" w:sz="0" w:space="0" w:color="auto"/>
        <w:left w:val="none" w:sz="0" w:space="0" w:color="auto"/>
        <w:bottom w:val="none" w:sz="0" w:space="0" w:color="auto"/>
        <w:right w:val="none" w:sz="0" w:space="0" w:color="auto"/>
      </w:divBdr>
      <w:divsChild>
        <w:div w:id="20092106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430351563">
      <w:bodyDiv w:val="1"/>
      <w:marLeft w:val="0"/>
      <w:marRight w:val="0"/>
      <w:marTop w:val="0"/>
      <w:marBottom w:val="0"/>
      <w:divBdr>
        <w:top w:val="none" w:sz="0" w:space="0" w:color="auto"/>
        <w:left w:val="none" w:sz="0" w:space="0" w:color="auto"/>
        <w:bottom w:val="none" w:sz="0" w:space="0" w:color="auto"/>
        <w:right w:val="none" w:sz="0" w:space="0" w:color="auto"/>
      </w:divBdr>
    </w:div>
    <w:div w:id="1539929379">
      <w:bodyDiv w:val="1"/>
      <w:marLeft w:val="0"/>
      <w:marRight w:val="0"/>
      <w:marTop w:val="0"/>
      <w:marBottom w:val="0"/>
      <w:divBdr>
        <w:top w:val="none" w:sz="0" w:space="0" w:color="auto"/>
        <w:left w:val="none" w:sz="0" w:space="0" w:color="auto"/>
        <w:bottom w:val="none" w:sz="0" w:space="0" w:color="auto"/>
        <w:right w:val="none" w:sz="0" w:space="0" w:color="auto"/>
      </w:divBdr>
      <w:divsChild>
        <w:div w:id="133734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787639">
      <w:bodyDiv w:val="1"/>
      <w:marLeft w:val="0"/>
      <w:marRight w:val="0"/>
      <w:marTop w:val="0"/>
      <w:marBottom w:val="0"/>
      <w:divBdr>
        <w:top w:val="none" w:sz="0" w:space="0" w:color="auto"/>
        <w:left w:val="none" w:sz="0" w:space="0" w:color="auto"/>
        <w:bottom w:val="none" w:sz="0" w:space="0" w:color="auto"/>
        <w:right w:val="none" w:sz="0" w:space="0" w:color="auto"/>
      </w:divBdr>
    </w:div>
    <w:div w:id="1762676467">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32411393">
      <w:bodyDiv w:val="1"/>
      <w:marLeft w:val="0"/>
      <w:marRight w:val="0"/>
      <w:marTop w:val="0"/>
      <w:marBottom w:val="0"/>
      <w:divBdr>
        <w:top w:val="none" w:sz="0" w:space="0" w:color="auto"/>
        <w:left w:val="none" w:sz="0" w:space="0" w:color="auto"/>
        <w:bottom w:val="none" w:sz="0" w:space="0" w:color="auto"/>
        <w:right w:val="none" w:sz="0" w:space="0" w:color="auto"/>
      </w:divBdr>
      <w:divsChild>
        <w:div w:id="1610774027">
          <w:marLeft w:val="0"/>
          <w:marRight w:val="0"/>
          <w:marTop w:val="120"/>
          <w:marBottom w:val="0"/>
          <w:divBdr>
            <w:top w:val="none" w:sz="0" w:space="0" w:color="auto"/>
            <w:left w:val="none" w:sz="0" w:space="0" w:color="auto"/>
            <w:bottom w:val="none" w:sz="0" w:space="0" w:color="auto"/>
            <w:right w:val="none" w:sz="0" w:space="0" w:color="auto"/>
          </w:divBdr>
        </w:div>
        <w:div w:id="863328956">
          <w:marLeft w:val="0"/>
          <w:marRight w:val="0"/>
          <w:marTop w:val="120"/>
          <w:marBottom w:val="0"/>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46A3-5555-411B-81F5-EB44C48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Mary Bruce</cp:lastModifiedBy>
  <cp:revision>4</cp:revision>
  <cp:lastPrinted>2023-09-18T07:07:00Z</cp:lastPrinted>
  <dcterms:created xsi:type="dcterms:W3CDTF">2023-09-18T08:45:00Z</dcterms:created>
  <dcterms:modified xsi:type="dcterms:W3CDTF">2023-09-22T13:10:00Z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7b22e597da3a3f1d133247ba6d23ff318e675ea1085e67d13b255d4871ad0d65</vt:lpwstr>
  </property>
</Properties>
</file>