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B3" w:rsidRPr="00DB2A06" w:rsidRDefault="00131EB3" w:rsidP="00131EB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8F7F70" w:rsidRPr="003F0945" w:rsidRDefault="00131EB3" w:rsidP="000973CA">
      <w:pPr>
        <w:rPr>
          <w:rFonts w:asciiTheme="majorHAnsi" w:hAnsiTheme="majorHAnsi" w:cstheme="majorHAnsi"/>
          <w:u w:val="single"/>
        </w:rPr>
      </w:pPr>
      <w:r w:rsidRPr="003F0945">
        <w:rPr>
          <w:rFonts w:asciiTheme="majorHAnsi" w:hAnsiTheme="majorHAnsi" w:cstheme="majorHAnsi"/>
          <w:noProof/>
          <w:lang w:val="en-US"/>
        </w:rPr>
        <w:drawing>
          <wp:anchor distT="0" distB="0" distL="0" distR="0" simplePos="0" relativeHeight="251660288" behindDoc="1" locked="0" layoutInCell="1" allowOverlap="1" wp14:anchorId="4EE31458" wp14:editId="78905513">
            <wp:simplePos x="0" y="0"/>
            <wp:positionH relativeFrom="margin">
              <wp:posOffset>2152650</wp:posOffset>
            </wp:positionH>
            <wp:positionV relativeFrom="margin">
              <wp:posOffset>255270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3F0945" w:rsidRDefault="008F7F70" w:rsidP="00A231F0">
      <w:pPr>
        <w:autoSpaceDE w:val="0"/>
        <w:autoSpaceDN w:val="0"/>
        <w:adjustRightInd w:val="0"/>
        <w:spacing w:before="100"/>
        <w:jc w:val="center"/>
        <w:rPr>
          <w:rFonts w:asciiTheme="majorHAnsi" w:hAnsiTheme="majorHAnsi" w:cstheme="majorHAnsi"/>
          <w:b/>
          <w:bCs/>
          <w:sz w:val="28"/>
          <w:szCs w:val="28"/>
          <w:u w:val="single"/>
        </w:rPr>
      </w:pPr>
    </w:p>
    <w:p w:rsidR="00212E9C" w:rsidRPr="003F0945" w:rsidRDefault="00212E9C" w:rsidP="00A231F0">
      <w:pPr>
        <w:autoSpaceDE w:val="0"/>
        <w:autoSpaceDN w:val="0"/>
        <w:adjustRightInd w:val="0"/>
        <w:spacing w:before="100"/>
        <w:jc w:val="center"/>
        <w:rPr>
          <w:rFonts w:asciiTheme="majorHAnsi" w:hAnsiTheme="majorHAnsi" w:cstheme="majorHAnsi"/>
          <w:b/>
          <w:bCs/>
          <w:sz w:val="28"/>
          <w:szCs w:val="28"/>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131EB3" w:rsidRDefault="00131EB3" w:rsidP="00E57E73">
      <w:pPr>
        <w:autoSpaceDE w:val="0"/>
        <w:autoSpaceDN w:val="0"/>
        <w:adjustRightInd w:val="0"/>
        <w:spacing w:before="100" w:after="100" w:line="276" w:lineRule="auto"/>
        <w:jc w:val="center"/>
        <w:rPr>
          <w:rFonts w:asciiTheme="majorHAnsi" w:hAnsiTheme="majorHAnsi" w:cstheme="majorHAnsi"/>
          <w:b/>
          <w:bCs/>
          <w:u w:val="single"/>
        </w:rPr>
      </w:pPr>
    </w:p>
    <w:p w:rsidR="00131EB3" w:rsidRDefault="00131EB3" w:rsidP="00E57E73">
      <w:pPr>
        <w:autoSpaceDE w:val="0"/>
        <w:autoSpaceDN w:val="0"/>
        <w:adjustRightInd w:val="0"/>
        <w:spacing w:before="100" w:after="100" w:line="276" w:lineRule="auto"/>
        <w:jc w:val="center"/>
        <w:rPr>
          <w:rFonts w:asciiTheme="majorHAnsi" w:hAnsiTheme="majorHAnsi" w:cstheme="majorHAnsi"/>
          <w:b/>
          <w:bCs/>
          <w:u w:val="single"/>
        </w:rPr>
      </w:pPr>
    </w:p>
    <w:p w:rsidR="00131EB3" w:rsidRDefault="00131EB3" w:rsidP="00E57E73">
      <w:pPr>
        <w:autoSpaceDE w:val="0"/>
        <w:autoSpaceDN w:val="0"/>
        <w:adjustRightInd w:val="0"/>
        <w:spacing w:before="100" w:after="100" w:line="276" w:lineRule="auto"/>
        <w:jc w:val="center"/>
        <w:rPr>
          <w:rFonts w:asciiTheme="majorHAnsi" w:hAnsiTheme="majorHAnsi" w:cstheme="majorHAnsi"/>
          <w:b/>
          <w:bCs/>
          <w:u w:val="single"/>
        </w:rPr>
      </w:pPr>
    </w:p>
    <w:p w:rsidR="001E4E2C" w:rsidRPr="003F0945"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3F0945">
        <w:rPr>
          <w:rFonts w:asciiTheme="majorHAnsi" w:hAnsiTheme="majorHAnsi" w:cstheme="majorHAnsi"/>
          <w:b/>
          <w:bCs/>
          <w:u w:val="single"/>
        </w:rPr>
        <w:t>IN THE HIGH COURT OF SOUTH AFRICA</w:t>
      </w:r>
    </w:p>
    <w:p w:rsidR="00EF5FF3" w:rsidRPr="003F0945"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3F0945">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F0945"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Reportable: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Of Interest to other Judges: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YES/NO</w:t>
            </w:r>
          </w:p>
        </w:tc>
      </w:tr>
    </w:tbl>
    <w:p w:rsidR="001E4E2C" w:rsidRPr="003F0945" w:rsidRDefault="001E4E2C" w:rsidP="00BE63E4">
      <w:pPr>
        <w:spacing w:line="276" w:lineRule="auto"/>
        <w:jc w:val="center"/>
        <w:rPr>
          <w:rFonts w:asciiTheme="majorHAnsi" w:hAnsiTheme="majorHAnsi" w:cstheme="majorHAnsi"/>
          <w:sz w:val="26"/>
          <w:szCs w:val="26"/>
        </w:rPr>
      </w:pPr>
    </w:p>
    <w:p w:rsidR="00031136" w:rsidRDefault="00031136" w:rsidP="00BE63E4">
      <w:pPr>
        <w:spacing w:line="276" w:lineRule="auto"/>
        <w:jc w:val="right"/>
        <w:rPr>
          <w:rFonts w:asciiTheme="majorHAnsi" w:hAnsiTheme="majorHAnsi" w:cstheme="majorHAnsi"/>
          <w:b/>
        </w:rPr>
      </w:pPr>
      <w:r w:rsidRPr="003F0945">
        <w:rPr>
          <w:rFonts w:asciiTheme="majorHAnsi" w:hAnsiTheme="majorHAnsi" w:cstheme="majorHAnsi"/>
          <w:sz w:val="28"/>
          <w:szCs w:val="28"/>
        </w:rPr>
        <w:t xml:space="preserve"> </w:t>
      </w:r>
      <w:r w:rsidR="0027405B" w:rsidRPr="0027405B">
        <w:rPr>
          <w:rFonts w:asciiTheme="majorHAnsi" w:hAnsiTheme="majorHAnsi" w:cstheme="majorHAnsi"/>
        </w:rPr>
        <w:t>C</w:t>
      </w:r>
      <w:r w:rsidR="00B91039" w:rsidRPr="0027405B">
        <w:rPr>
          <w:rFonts w:asciiTheme="majorHAnsi" w:hAnsiTheme="majorHAnsi" w:cstheme="majorHAnsi"/>
        </w:rPr>
        <w:t>ase</w:t>
      </w:r>
      <w:r w:rsidRPr="0027405B">
        <w:rPr>
          <w:rFonts w:asciiTheme="majorHAnsi" w:hAnsiTheme="majorHAnsi" w:cstheme="majorHAnsi"/>
        </w:rPr>
        <w:t xml:space="preserve"> no:</w:t>
      </w:r>
      <w:r w:rsidRPr="003F0945">
        <w:rPr>
          <w:rFonts w:asciiTheme="majorHAnsi" w:hAnsiTheme="majorHAnsi" w:cstheme="majorHAnsi"/>
        </w:rPr>
        <w:t xml:space="preserve"> </w:t>
      </w:r>
      <w:r w:rsidR="009A578B">
        <w:rPr>
          <w:rFonts w:asciiTheme="majorHAnsi" w:hAnsiTheme="majorHAnsi" w:cstheme="majorHAnsi"/>
          <w:b/>
        </w:rPr>
        <w:t>394</w:t>
      </w:r>
      <w:r w:rsidR="00B344C2">
        <w:rPr>
          <w:rFonts w:asciiTheme="majorHAnsi" w:hAnsiTheme="majorHAnsi" w:cstheme="majorHAnsi"/>
          <w:b/>
        </w:rPr>
        <w:t>/2021</w:t>
      </w:r>
    </w:p>
    <w:p w:rsidR="0027405B" w:rsidRPr="003F0945" w:rsidRDefault="0027405B" w:rsidP="00BE63E4">
      <w:pPr>
        <w:spacing w:line="276" w:lineRule="auto"/>
        <w:jc w:val="right"/>
        <w:rPr>
          <w:rFonts w:asciiTheme="majorHAnsi" w:hAnsiTheme="majorHAnsi" w:cstheme="majorHAnsi"/>
          <w:b/>
        </w:rPr>
      </w:pPr>
    </w:p>
    <w:p w:rsidR="00031136" w:rsidRPr="003F0945" w:rsidRDefault="0027405B" w:rsidP="00BE63E4">
      <w:pPr>
        <w:spacing w:line="276" w:lineRule="auto"/>
        <w:rPr>
          <w:rFonts w:asciiTheme="majorHAnsi" w:hAnsiTheme="majorHAnsi" w:cstheme="majorHAnsi"/>
        </w:rPr>
      </w:pPr>
      <w:r>
        <w:rPr>
          <w:rFonts w:asciiTheme="majorHAnsi" w:hAnsiTheme="majorHAnsi" w:cstheme="majorHAnsi"/>
        </w:rPr>
        <w:t xml:space="preserve">  </w:t>
      </w:r>
      <w:r w:rsidR="00031136" w:rsidRPr="003F0945">
        <w:rPr>
          <w:rFonts w:asciiTheme="majorHAnsi" w:hAnsiTheme="majorHAnsi" w:cstheme="majorHAnsi"/>
        </w:rPr>
        <w:t xml:space="preserve">In the </w:t>
      </w:r>
      <w:r>
        <w:rPr>
          <w:rFonts w:asciiTheme="majorHAnsi" w:hAnsiTheme="majorHAnsi" w:cstheme="majorHAnsi"/>
        </w:rPr>
        <w:t>matter between:</w:t>
      </w:r>
    </w:p>
    <w:p w:rsidR="00EF5FF3" w:rsidRPr="003F0945" w:rsidRDefault="00EF5FF3" w:rsidP="00BE63E4">
      <w:pPr>
        <w:spacing w:line="276" w:lineRule="auto"/>
        <w:rPr>
          <w:rFonts w:asciiTheme="majorHAnsi" w:hAnsiTheme="majorHAnsi" w:cstheme="majorHAnsi"/>
          <w:b/>
        </w:rPr>
      </w:pPr>
      <w:r w:rsidRPr="003F0945">
        <w:rPr>
          <w:rFonts w:asciiTheme="majorHAnsi" w:hAnsiTheme="majorHAnsi" w:cstheme="majorHAnsi"/>
          <w:b/>
        </w:rPr>
        <w:tab/>
      </w:r>
      <w:r w:rsidRPr="003F0945">
        <w:rPr>
          <w:rFonts w:asciiTheme="majorHAnsi" w:hAnsiTheme="majorHAnsi" w:cstheme="majorHAnsi"/>
          <w:b/>
        </w:rPr>
        <w:tab/>
      </w:r>
      <w:r w:rsidRPr="003F0945">
        <w:rPr>
          <w:rFonts w:asciiTheme="majorHAnsi" w:hAnsiTheme="majorHAnsi" w:cstheme="maj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tblGrid>
      <w:tr w:rsidR="00111AFA" w:rsidRPr="003F0945" w:rsidTr="00B91039">
        <w:tc>
          <w:tcPr>
            <w:tcW w:w="5807" w:type="dxa"/>
          </w:tcPr>
          <w:p w:rsidR="00111AFA" w:rsidRDefault="009A578B"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DIEKETSENG AGNES RAMOLAHLOANE</w:t>
            </w:r>
          </w:p>
          <w:p w:rsidR="009A578B" w:rsidRPr="003F0945" w:rsidRDefault="00131EB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Obo B R</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sz w:val="24"/>
                <w:szCs w:val="24"/>
              </w:rPr>
              <w:t>and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p>
          <w:p w:rsidR="00B91039" w:rsidRPr="003F0945" w:rsidRDefault="0027405B"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ROAD ACCIDENT FUND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tc>
        <w:tc>
          <w:tcPr>
            <w:tcW w:w="3210" w:type="dxa"/>
          </w:tcPr>
          <w:p w:rsidR="00111AFA" w:rsidRPr="003F0945" w:rsidRDefault="0027405B" w:rsidP="00A46AF0">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Theme="majorHAnsi" w:hAnsiTheme="majorHAnsi" w:cstheme="majorHAnsi"/>
                <w:sz w:val="24"/>
                <w:szCs w:val="24"/>
              </w:rPr>
            </w:pPr>
            <w:r>
              <w:rPr>
                <w:rFonts w:asciiTheme="majorHAnsi" w:hAnsiTheme="majorHAnsi" w:cstheme="majorHAnsi"/>
                <w:sz w:val="24"/>
                <w:szCs w:val="24"/>
              </w:rPr>
              <w:t xml:space="preserve">                   PLAINTIFF</w:t>
            </w: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27405B"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r>
              <w:rPr>
                <w:rFonts w:asciiTheme="majorHAnsi" w:hAnsiTheme="majorHAnsi" w:cstheme="majorHAnsi"/>
                <w:sz w:val="24"/>
                <w:szCs w:val="24"/>
              </w:rPr>
              <w:t>DEFENDANT</w:t>
            </w:r>
          </w:p>
        </w:tc>
      </w:tr>
    </w:tbl>
    <w:p w:rsidR="00A231F0" w:rsidRPr="003F0945"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3DA6F1F"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620CB2" w:rsidP="006321D9">
      <w:pPr>
        <w:spacing w:before="240" w:line="360" w:lineRule="auto"/>
        <w:jc w:val="both"/>
        <w:rPr>
          <w:rFonts w:asciiTheme="majorHAnsi" w:hAnsiTheme="majorHAnsi" w:cstheme="majorHAnsi"/>
          <w:b/>
          <w:color w:val="000000" w:themeColor="text1"/>
        </w:rPr>
      </w:pPr>
      <w:r>
        <w:rPr>
          <w:rFonts w:asciiTheme="majorHAnsi" w:hAnsiTheme="majorHAnsi" w:cstheme="majorHAnsi"/>
          <w:b/>
          <w:color w:val="000000" w:themeColor="text1"/>
          <w:u w:val="single"/>
        </w:rPr>
        <w:t>JUDGMENT BY</w:t>
      </w:r>
      <w:r w:rsidR="00031136" w:rsidRPr="003F0945">
        <w:rPr>
          <w:rFonts w:asciiTheme="majorHAnsi" w:hAnsiTheme="majorHAnsi" w:cstheme="majorHAnsi"/>
          <w:b/>
          <w:color w:val="000000" w:themeColor="text1"/>
          <w:u w:val="single"/>
        </w:rPr>
        <w:t>:</w:t>
      </w:r>
      <w:r w:rsidR="00306913" w:rsidRPr="003F0945">
        <w:rPr>
          <w:rFonts w:asciiTheme="majorHAnsi" w:hAnsiTheme="majorHAnsi" w:cstheme="majorHAnsi"/>
          <w:color w:val="000000" w:themeColor="text1"/>
        </w:rPr>
        <w:tab/>
      </w:r>
      <w:r w:rsidR="00306913" w:rsidRPr="003F0945">
        <w:rPr>
          <w:rFonts w:asciiTheme="majorHAnsi" w:hAnsiTheme="majorHAnsi" w:cstheme="majorHAnsi"/>
          <w:color w:val="000000" w:themeColor="text1"/>
        </w:rPr>
        <w:tab/>
      </w:r>
      <w:r w:rsidR="00B344C2">
        <w:rPr>
          <w:rFonts w:asciiTheme="majorHAnsi" w:hAnsiTheme="majorHAnsi" w:cstheme="majorHAnsi"/>
          <w:color w:val="000000" w:themeColor="text1"/>
        </w:rPr>
        <w:t xml:space="preserve">       </w:t>
      </w:r>
      <w:r>
        <w:rPr>
          <w:rFonts w:asciiTheme="majorHAnsi" w:hAnsiTheme="majorHAnsi" w:cstheme="majorHAnsi"/>
          <w:b/>
          <w:color w:val="000000" w:themeColor="text1"/>
        </w:rPr>
        <w:t xml:space="preserve">MOLITSOANE, J </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439D1F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031136" w:rsidP="006321D9">
      <w:pPr>
        <w:spacing w:before="240" w:line="360" w:lineRule="auto"/>
        <w:jc w:val="both"/>
        <w:rPr>
          <w:rFonts w:asciiTheme="majorHAnsi" w:hAnsiTheme="majorHAnsi" w:cstheme="majorHAnsi"/>
          <w:color w:val="000000" w:themeColor="text1"/>
        </w:rPr>
      </w:pPr>
      <w:r w:rsidRPr="003F0945">
        <w:rPr>
          <w:rFonts w:asciiTheme="majorHAnsi" w:hAnsiTheme="majorHAnsi" w:cstheme="majorHAnsi"/>
          <w:b/>
          <w:color w:val="000000" w:themeColor="text1"/>
          <w:u w:val="single"/>
        </w:rPr>
        <w:t>HEARD ON:</w:t>
      </w:r>
      <w:r w:rsidR="00B91039" w:rsidRPr="003F0945">
        <w:rPr>
          <w:rFonts w:asciiTheme="majorHAnsi" w:hAnsiTheme="majorHAnsi" w:cstheme="majorHAnsi"/>
          <w:color w:val="000000" w:themeColor="text1"/>
        </w:rPr>
        <w:tab/>
      </w:r>
      <w:r w:rsidR="00B91039"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620CB2">
        <w:rPr>
          <w:rFonts w:asciiTheme="majorHAnsi" w:hAnsiTheme="majorHAnsi" w:cstheme="majorHAnsi"/>
          <w:color w:val="000000" w:themeColor="text1"/>
        </w:rPr>
        <w:t xml:space="preserve">          </w:t>
      </w:r>
      <w:r w:rsidR="008640AF">
        <w:rPr>
          <w:rFonts w:asciiTheme="majorHAnsi" w:hAnsiTheme="majorHAnsi" w:cstheme="majorHAnsi"/>
          <w:b/>
          <w:color w:val="000000" w:themeColor="text1"/>
        </w:rPr>
        <w:t>31 MAY</w:t>
      </w:r>
      <w:r w:rsidR="00B91039" w:rsidRPr="003F0945">
        <w:rPr>
          <w:rFonts w:asciiTheme="majorHAnsi" w:hAnsiTheme="majorHAnsi" w:cstheme="majorHAnsi"/>
          <w:b/>
          <w:color w:val="000000" w:themeColor="text1"/>
        </w:rPr>
        <w:t xml:space="preserve"> 2023</w:t>
      </w:r>
      <w:r w:rsidRPr="003F0945">
        <w:rPr>
          <w:rFonts w:asciiTheme="majorHAnsi" w:hAnsiTheme="majorHAnsi" w:cstheme="majorHAnsi"/>
          <w:color w:val="000000" w:themeColor="text1"/>
        </w:rPr>
        <w:tab/>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51F0AAA"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E1814" w:rsidRPr="00620CB2" w:rsidRDefault="00031136" w:rsidP="00620CB2">
      <w:pPr>
        <w:spacing w:before="240" w:line="360" w:lineRule="auto"/>
        <w:jc w:val="both"/>
        <w:rPr>
          <w:rFonts w:asciiTheme="majorHAnsi" w:hAnsiTheme="majorHAnsi" w:cstheme="majorHAnsi"/>
          <w:b/>
          <w:color w:val="000000" w:themeColor="text1"/>
        </w:rPr>
      </w:pPr>
      <w:r w:rsidRPr="003F0945">
        <w:rPr>
          <w:rFonts w:asciiTheme="majorHAnsi" w:hAnsiTheme="majorHAnsi" w:cstheme="majorHAnsi"/>
          <w:b/>
          <w:color w:val="000000" w:themeColor="text1"/>
          <w:u w:val="single"/>
        </w:rPr>
        <w:t>DELIVERED ON:</w:t>
      </w:r>
      <w:r w:rsidR="00E706E4" w:rsidRPr="003F0945">
        <w:rPr>
          <w:rFonts w:asciiTheme="majorHAnsi" w:hAnsiTheme="majorHAnsi" w:cstheme="majorHAnsi"/>
          <w:b/>
          <w:color w:val="000000" w:themeColor="text1"/>
        </w:rPr>
        <w:tab/>
      </w:r>
      <w:r w:rsidR="00DF753B">
        <w:rPr>
          <w:rFonts w:asciiTheme="majorHAnsi" w:hAnsiTheme="majorHAnsi" w:cstheme="majorHAnsi"/>
          <w:b/>
          <w:color w:val="000000" w:themeColor="text1"/>
        </w:rPr>
        <w:t xml:space="preserve">                  26 SEPTEMBER 2023</w:t>
      </w:r>
      <w:r w:rsidR="00A46AF0">
        <w:rPr>
          <w:rFonts w:asciiTheme="majorHAnsi" w:hAnsiTheme="majorHAnsi" w:cstheme="majorHAnsi"/>
          <w:b/>
          <w:color w:val="000000" w:themeColor="text1"/>
        </w:rPr>
        <w:t xml:space="preserve">        </w:t>
      </w:r>
      <w:r w:rsidR="00B91039" w:rsidRPr="003F0945">
        <w:rPr>
          <w:rFonts w:asciiTheme="majorHAnsi" w:hAnsiTheme="majorHAnsi" w:cstheme="majorHAnsi"/>
          <w:b/>
          <w:color w:val="000000" w:themeColor="text1"/>
        </w:rPr>
        <w:t xml:space="preserve"> </w:t>
      </w:r>
      <w:r w:rsidR="00620CB2">
        <w:rPr>
          <w:rFonts w:asciiTheme="majorHAnsi" w:hAnsiTheme="majorHAnsi" w:cstheme="majorHAnsi"/>
          <w:b/>
          <w:color w:val="000000" w:themeColor="text1"/>
        </w:rPr>
        <w:t xml:space="preserve">         </w:t>
      </w:r>
    </w:p>
    <w:p w:rsidR="00FE1814" w:rsidRPr="008C0139" w:rsidRDefault="00FE1814" w:rsidP="002E2F8D">
      <w:pPr>
        <w:spacing w:line="360" w:lineRule="auto"/>
        <w:ind w:left="720" w:hanging="720"/>
        <w:jc w:val="both"/>
        <w:rPr>
          <w:rFonts w:ascii="Arial" w:hAnsi="Arial" w:cs="Arial"/>
          <w:color w:val="000000" w:themeColor="text1"/>
          <w:u w:val="single"/>
        </w:rPr>
      </w:pPr>
      <w:r w:rsidRPr="008C0139">
        <w:rPr>
          <w:rFonts w:ascii="Arial" w:hAnsi="Arial" w:cs="Arial"/>
          <w:color w:val="000000" w:themeColor="text1"/>
        </w:rPr>
        <w:t>___________________________________________________________________</w:t>
      </w:r>
    </w:p>
    <w:p w:rsidR="00457549" w:rsidRPr="008C0139" w:rsidRDefault="00457549" w:rsidP="00C87109">
      <w:pPr>
        <w:spacing w:line="360" w:lineRule="auto"/>
        <w:ind w:left="720" w:hanging="720"/>
        <w:jc w:val="both"/>
        <w:rPr>
          <w:rFonts w:ascii="Arial" w:hAnsi="Arial" w:cs="Arial"/>
          <w:color w:val="000000" w:themeColor="text1"/>
        </w:rPr>
      </w:pPr>
    </w:p>
    <w:p w:rsidR="00370C90" w:rsidRPr="0049579E" w:rsidRDefault="0049579E" w:rsidP="0049579E">
      <w:pPr>
        <w:spacing w:line="360" w:lineRule="auto"/>
        <w:ind w:left="810" w:hanging="810"/>
        <w:jc w:val="both"/>
        <w:rPr>
          <w:rFonts w:ascii="Arial" w:hAnsi="Arial" w:cs="Arial"/>
          <w:color w:val="0070C0"/>
        </w:rPr>
      </w:pPr>
      <w:r w:rsidRPr="00E8507B">
        <w:rPr>
          <w:rFonts w:ascii="Arial" w:hAnsi="Arial" w:cs="Arial"/>
        </w:rPr>
        <w:t>[1</w:t>
      </w:r>
      <w:bookmarkStart w:id="0" w:name="_GoBack"/>
      <w:bookmarkEnd w:id="0"/>
      <w:r w:rsidRPr="00E8507B">
        <w:rPr>
          <w:rFonts w:ascii="Arial" w:hAnsi="Arial" w:cs="Arial"/>
        </w:rPr>
        <w:t>]</w:t>
      </w:r>
      <w:r w:rsidRPr="00E8507B">
        <w:rPr>
          <w:rFonts w:ascii="Arial" w:hAnsi="Arial" w:cs="Arial"/>
        </w:rPr>
        <w:tab/>
      </w:r>
      <w:r w:rsidR="009A578B" w:rsidRPr="0049579E">
        <w:rPr>
          <w:rFonts w:ascii="Arial" w:hAnsi="Arial" w:cs="Arial"/>
          <w:color w:val="000000" w:themeColor="text1"/>
        </w:rPr>
        <w:t>A 12-year-old minor child (the minor) was injured in a motor vehicle accident. Her mother and guardian instituted</w:t>
      </w:r>
      <w:r w:rsidR="00B344C2" w:rsidRPr="0049579E">
        <w:rPr>
          <w:rFonts w:ascii="Arial" w:hAnsi="Arial" w:cs="Arial"/>
          <w:color w:val="000000" w:themeColor="text1"/>
        </w:rPr>
        <w:t xml:space="preserve"> a claim for damages arising out </w:t>
      </w:r>
      <w:r w:rsidR="00A46A78" w:rsidRPr="0049579E">
        <w:rPr>
          <w:rFonts w:ascii="Arial" w:hAnsi="Arial" w:cs="Arial"/>
          <w:color w:val="000000" w:themeColor="text1"/>
        </w:rPr>
        <w:t>of injuries sustained</w:t>
      </w:r>
      <w:r w:rsidR="009A578B" w:rsidRPr="0049579E">
        <w:rPr>
          <w:rFonts w:ascii="Arial" w:hAnsi="Arial" w:cs="Arial"/>
          <w:color w:val="000000" w:themeColor="text1"/>
        </w:rPr>
        <w:t xml:space="preserve"> by the minor</w:t>
      </w:r>
      <w:r w:rsidR="009A5A91" w:rsidRPr="0049579E">
        <w:rPr>
          <w:rFonts w:ascii="Arial" w:hAnsi="Arial" w:cs="Arial"/>
          <w:color w:val="000000" w:themeColor="text1"/>
        </w:rPr>
        <w:t>.</w:t>
      </w:r>
      <w:r w:rsidR="00A46A78" w:rsidRPr="0049579E">
        <w:rPr>
          <w:rFonts w:ascii="Arial" w:hAnsi="Arial" w:cs="Arial"/>
          <w:color w:val="000000" w:themeColor="text1"/>
        </w:rPr>
        <w:t xml:space="preserve"> The defendant conceded liability on the basis that it </w:t>
      </w:r>
      <w:r w:rsidR="00A46A78" w:rsidRPr="0049579E">
        <w:rPr>
          <w:rFonts w:ascii="Arial" w:hAnsi="Arial" w:cs="Arial"/>
          <w:color w:val="000000" w:themeColor="text1"/>
        </w:rPr>
        <w:lastRenderedPageBreak/>
        <w:t>shall pay 100% of the plaintiff’s proven</w:t>
      </w:r>
      <w:r w:rsidR="0035647D" w:rsidRPr="0049579E">
        <w:rPr>
          <w:rFonts w:ascii="Arial" w:hAnsi="Arial" w:cs="Arial"/>
          <w:color w:val="000000" w:themeColor="text1"/>
        </w:rPr>
        <w:t xml:space="preserve"> or ag</w:t>
      </w:r>
      <w:r w:rsidR="009A578B" w:rsidRPr="0049579E">
        <w:rPr>
          <w:rFonts w:ascii="Arial" w:hAnsi="Arial" w:cs="Arial"/>
          <w:color w:val="000000" w:themeColor="text1"/>
        </w:rPr>
        <w:t xml:space="preserve">reed damages. Prior to the hearing before me, the Court had granted an order to the effect that the Defendant is to pay the amount of R800 000 </w:t>
      </w:r>
      <w:r w:rsidR="004D0DA5" w:rsidRPr="0049579E">
        <w:rPr>
          <w:rFonts w:ascii="Arial" w:hAnsi="Arial" w:cs="Arial"/>
          <w:color w:val="000000" w:themeColor="text1"/>
        </w:rPr>
        <w:t>in respect of the Plaintiff’s claim for general damages. The Court also ordered the defendant to furnish the Plaintiff with an undertaking in accordance with section 17(4) of the Road Accident Fund.</w:t>
      </w:r>
      <w:r w:rsidR="00A46A78" w:rsidRPr="0049579E">
        <w:rPr>
          <w:rFonts w:ascii="Arial" w:hAnsi="Arial" w:cs="Arial"/>
          <w:color w:val="000000" w:themeColor="text1"/>
        </w:rPr>
        <w:t xml:space="preserve">    </w:t>
      </w:r>
    </w:p>
    <w:p w:rsidR="004D0DA5" w:rsidRPr="00E8507B" w:rsidRDefault="004D0DA5" w:rsidP="00C87109">
      <w:pPr>
        <w:spacing w:line="360" w:lineRule="auto"/>
        <w:jc w:val="both"/>
        <w:rPr>
          <w:rFonts w:ascii="Arial" w:hAnsi="Arial" w:cs="Arial"/>
          <w:b/>
          <w:color w:val="000000" w:themeColor="text1"/>
        </w:rPr>
      </w:pPr>
    </w:p>
    <w:p w:rsidR="004D0DA5" w:rsidRDefault="00370C90" w:rsidP="00C87109">
      <w:pPr>
        <w:pStyle w:val="BodyTextIndent"/>
        <w:spacing w:line="360" w:lineRule="auto"/>
        <w:rPr>
          <w:color w:val="000000" w:themeColor="text1"/>
        </w:rPr>
      </w:pPr>
      <w:r w:rsidRPr="008C0139">
        <w:rPr>
          <w:color w:val="000000" w:themeColor="text1"/>
        </w:rPr>
        <w:t>[2]</w:t>
      </w:r>
      <w:r w:rsidRPr="008C0139">
        <w:rPr>
          <w:color w:val="000000" w:themeColor="text1"/>
        </w:rPr>
        <w:tab/>
      </w:r>
      <w:r w:rsidR="004D0DA5">
        <w:rPr>
          <w:color w:val="000000" w:themeColor="text1"/>
        </w:rPr>
        <w:t>On the date of the hearing, the Plaintiff brought an interlocutory</w:t>
      </w:r>
      <w:r w:rsidR="00DC08A5">
        <w:rPr>
          <w:color w:val="000000" w:themeColor="text1"/>
        </w:rPr>
        <w:t xml:space="preserve"> application</w:t>
      </w:r>
      <w:r w:rsidR="004D0DA5">
        <w:rPr>
          <w:color w:val="000000" w:themeColor="text1"/>
        </w:rPr>
        <w:t xml:space="preserve"> on an unopposed basis in</w:t>
      </w:r>
      <w:r w:rsidR="00DC08A5">
        <w:rPr>
          <w:color w:val="000000" w:themeColor="text1"/>
        </w:rPr>
        <w:t xml:space="preserve"> terms of</w:t>
      </w:r>
      <w:r w:rsidR="004D0DA5">
        <w:rPr>
          <w:color w:val="000000" w:themeColor="text1"/>
        </w:rPr>
        <w:t xml:space="preserve"> which this Court granted the following relief:</w:t>
      </w:r>
    </w:p>
    <w:p w:rsidR="009144C3" w:rsidRDefault="009144C3" w:rsidP="00C87109">
      <w:pPr>
        <w:pStyle w:val="BodyTextIndent"/>
        <w:spacing w:line="360" w:lineRule="auto"/>
        <w:rPr>
          <w:color w:val="000000" w:themeColor="text1"/>
        </w:rPr>
      </w:pPr>
    </w:p>
    <w:p w:rsidR="00AD5F85" w:rsidRDefault="0049579E" w:rsidP="0049579E">
      <w:pPr>
        <w:pStyle w:val="BodyTextIndent"/>
        <w:spacing w:line="360" w:lineRule="auto"/>
        <w:ind w:left="1650" w:hanging="360"/>
        <w:rPr>
          <w:color w:val="000000" w:themeColor="text1"/>
        </w:rPr>
      </w:pPr>
      <w:r>
        <w:rPr>
          <w:color w:val="000000" w:themeColor="text1"/>
        </w:rPr>
        <w:t>a)</w:t>
      </w:r>
      <w:r>
        <w:rPr>
          <w:color w:val="000000" w:themeColor="text1"/>
        </w:rPr>
        <w:tab/>
      </w:r>
      <w:r w:rsidR="00DC08A5">
        <w:rPr>
          <w:color w:val="000000" w:themeColor="text1"/>
        </w:rPr>
        <w:t>That the Plaintiff is</w:t>
      </w:r>
      <w:r w:rsidR="004D0DA5">
        <w:rPr>
          <w:color w:val="000000" w:themeColor="text1"/>
        </w:rPr>
        <w:t xml:space="preserve"> granted leave to present her evidence and that of her expert witnesses by way of affidavit</w:t>
      </w:r>
      <w:r w:rsidR="00DC08A5">
        <w:rPr>
          <w:color w:val="000000" w:themeColor="text1"/>
        </w:rPr>
        <w:t>s</w:t>
      </w:r>
      <w:r w:rsidR="004D0DA5">
        <w:rPr>
          <w:color w:val="000000" w:themeColor="text1"/>
        </w:rPr>
        <w:t xml:space="preserve"> in terms of Rule 38(2);</w:t>
      </w:r>
    </w:p>
    <w:p w:rsidR="004D0DA5" w:rsidRDefault="0049579E" w:rsidP="0049579E">
      <w:pPr>
        <w:pStyle w:val="BodyTextIndent"/>
        <w:spacing w:line="360" w:lineRule="auto"/>
        <w:ind w:left="1650" w:hanging="360"/>
        <w:rPr>
          <w:color w:val="000000" w:themeColor="text1"/>
        </w:rPr>
      </w:pPr>
      <w:r>
        <w:rPr>
          <w:color w:val="000000" w:themeColor="text1"/>
        </w:rPr>
        <w:t>b)</w:t>
      </w:r>
      <w:r>
        <w:rPr>
          <w:color w:val="000000" w:themeColor="text1"/>
        </w:rPr>
        <w:tab/>
      </w:r>
      <w:r w:rsidR="00DC08A5">
        <w:rPr>
          <w:color w:val="000000" w:themeColor="text1"/>
        </w:rPr>
        <w:t>That this</w:t>
      </w:r>
      <w:r w:rsidR="004D0DA5">
        <w:rPr>
          <w:color w:val="000000" w:themeColor="text1"/>
        </w:rPr>
        <w:t xml:space="preserve"> Court admits into evidence in terms of section 3(</w:t>
      </w:r>
      <w:r w:rsidR="001A7B1E">
        <w:rPr>
          <w:color w:val="000000" w:themeColor="text1"/>
        </w:rPr>
        <w:t>1</w:t>
      </w:r>
      <w:r w:rsidR="00AC71D3">
        <w:rPr>
          <w:color w:val="000000" w:themeColor="text1"/>
        </w:rPr>
        <w:t>) of</w:t>
      </w:r>
      <w:r w:rsidR="004D0DA5">
        <w:rPr>
          <w:color w:val="000000" w:themeColor="text1"/>
        </w:rPr>
        <w:t xml:space="preserve"> the Law of Evidence Amendment Act 45 of 1988 the following:</w:t>
      </w:r>
    </w:p>
    <w:p w:rsidR="004D0DA5" w:rsidRDefault="004D0DA5" w:rsidP="004D0DA5">
      <w:pPr>
        <w:pStyle w:val="BodyTextIndent"/>
        <w:spacing w:line="360" w:lineRule="auto"/>
        <w:ind w:left="1650" w:firstLine="0"/>
        <w:rPr>
          <w:color w:val="000000" w:themeColor="text1"/>
        </w:rPr>
      </w:pPr>
      <w:r>
        <w:rPr>
          <w:color w:val="000000" w:themeColor="text1"/>
        </w:rPr>
        <w:t>b.a) The Applicant’s hospital and clinical records;</w:t>
      </w:r>
    </w:p>
    <w:p w:rsidR="004D0DA5" w:rsidRDefault="004D0DA5" w:rsidP="004D0DA5">
      <w:pPr>
        <w:pStyle w:val="BodyTextIndent"/>
        <w:spacing w:line="360" w:lineRule="auto"/>
        <w:ind w:left="1650" w:firstLine="0"/>
        <w:rPr>
          <w:color w:val="000000" w:themeColor="text1"/>
        </w:rPr>
      </w:pPr>
      <w:r>
        <w:rPr>
          <w:color w:val="000000" w:themeColor="text1"/>
        </w:rPr>
        <w:t>b.b) the collateral evidence provided to the applicant’s expert witnesses.</w:t>
      </w:r>
    </w:p>
    <w:p w:rsidR="00AD5F85" w:rsidRPr="008C0139" w:rsidRDefault="00AD5F85" w:rsidP="00AD5F85">
      <w:pPr>
        <w:spacing w:line="360" w:lineRule="auto"/>
        <w:ind w:hanging="720"/>
        <w:jc w:val="both"/>
        <w:rPr>
          <w:rFonts w:ascii="Arial" w:hAnsi="Arial" w:cs="Arial"/>
          <w:color w:val="000000" w:themeColor="text1"/>
        </w:rPr>
      </w:pPr>
    </w:p>
    <w:p w:rsidR="00AD5F85" w:rsidRDefault="00831057" w:rsidP="009144C3">
      <w:pPr>
        <w:pStyle w:val="BodyTextIndent"/>
        <w:spacing w:line="360" w:lineRule="auto"/>
        <w:rPr>
          <w:color w:val="000000" w:themeColor="text1"/>
        </w:rPr>
      </w:pPr>
      <w:r>
        <w:rPr>
          <w:color w:val="000000" w:themeColor="text1"/>
        </w:rPr>
        <w:t>[3</w:t>
      </w:r>
      <w:r w:rsidR="00AD5F85" w:rsidRPr="008C0139">
        <w:rPr>
          <w:color w:val="000000" w:themeColor="text1"/>
        </w:rPr>
        <w:t>]</w:t>
      </w:r>
      <w:r w:rsidR="00AD5F85" w:rsidRPr="008C0139">
        <w:rPr>
          <w:color w:val="000000" w:themeColor="text1"/>
        </w:rPr>
        <w:tab/>
      </w:r>
      <w:r w:rsidR="001116CE">
        <w:rPr>
          <w:color w:val="000000" w:themeColor="text1"/>
        </w:rPr>
        <w:t xml:space="preserve">The effect of this order is that the defendant waived its right to challenge the evidence of the Plaintiff’s expert </w:t>
      </w:r>
      <w:r w:rsidR="00E770F1">
        <w:rPr>
          <w:color w:val="000000" w:themeColor="text1"/>
        </w:rPr>
        <w:t>witnesses and</w:t>
      </w:r>
      <w:r w:rsidR="001116CE">
        <w:rPr>
          <w:color w:val="000000" w:themeColor="text1"/>
        </w:rPr>
        <w:t xml:space="preserve"> thus accepted it. The parties are further in agreement that the minor child does not have </w:t>
      </w:r>
      <w:r w:rsidR="009144C3">
        <w:rPr>
          <w:color w:val="000000" w:themeColor="text1"/>
        </w:rPr>
        <w:t xml:space="preserve">a </w:t>
      </w:r>
      <w:r w:rsidR="001116CE">
        <w:rPr>
          <w:color w:val="000000" w:themeColor="text1"/>
        </w:rPr>
        <w:t>loss of income/ earning capacity.</w:t>
      </w:r>
      <w:r w:rsidR="00DC08A5">
        <w:rPr>
          <w:color w:val="000000" w:themeColor="text1"/>
        </w:rPr>
        <w:t xml:space="preserve"> </w:t>
      </w:r>
    </w:p>
    <w:p w:rsidR="0032295C" w:rsidRPr="008C0139" w:rsidRDefault="00AD5F85" w:rsidP="00DC08A5">
      <w:pPr>
        <w:pStyle w:val="BodyTextIndent"/>
        <w:spacing w:line="360" w:lineRule="auto"/>
        <w:rPr>
          <w:color w:val="000000" w:themeColor="text1"/>
        </w:rPr>
      </w:pPr>
      <w:r>
        <w:rPr>
          <w:color w:val="000000" w:themeColor="text1"/>
        </w:rPr>
        <w:t xml:space="preserve"> </w:t>
      </w:r>
      <w:r w:rsidR="00C03EAF">
        <w:rPr>
          <w:color w:val="000000" w:themeColor="text1"/>
        </w:rPr>
        <w:t xml:space="preserve"> </w:t>
      </w:r>
      <w:r w:rsidR="00DA0442">
        <w:rPr>
          <w:color w:val="000000" w:themeColor="text1"/>
        </w:rPr>
        <w:t xml:space="preserve"> </w:t>
      </w:r>
    </w:p>
    <w:p w:rsidR="00E9540E" w:rsidRDefault="00576EFC" w:rsidP="00E9540E">
      <w:pPr>
        <w:pStyle w:val="BodyTextIndent"/>
        <w:spacing w:line="360" w:lineRule="auto"/>
        <w:rPr>
          <w:color w:val="000000" w:themeColor="text1"/>
        </w:rPr>
      </w:pPr>
      <w:r>
        <w:rPr>
          <w:color w:val="000000" w:themeColor="text1"/>
        </w:rPr>
        <w:t xml:space="preserve"> </w:t>
      </w:r>
      <w:r w:rsidR="00831057">
        <w:rPr>
          <w:color w:val="000000" w:themeColor="text1"/>
        </w:rPr>
        <w:t>[4</w:t>
      </w:r>
      <w:r w:rsidR="0032295C" w:rsidRPr="008C0139">
        <w:rPr>
          <w:color w:val="000000" w:themeColor="text1"/>
        </w:rPr>
        <w:t>]</w:t>
      </w:r>
      <w:r w:rsidR="0032295C" w:rsidRPr="008C0139">
        <w:rPr>
          <w:color w:val="000000" w:themeColor="text1"/>
        </w:rPr>
        <w:tab/>
      </w:r>
      <w:r w:rsidR="00151D8A">
        <w:rPr>
          <w:color w:val="000000" w:themeColor="text1"/>
        </w:rPr>
        <w:t xml:space="preserve">Dr Sher, an orthopaedic surgeon also confirmed the injuries as noted by Dr Makua. </w:t>
      </w:r>
      <w:r w:rsidR="0002276E">
        <w:rPr>
          <w:color w:val="000000" w:themeColor="text1"/>
        </w:rPr>
        <w:t>He confirmed th</w:t>
      </w:r>
      <w:r w:rsidR="00DC08A5">
        <w:rPr>
          <w:color w:val="000000" w:themeColor="text1"/>
        </w:rPr>
        <w:t>at the head injury was treated</w:t>
      </w:r>
      <w:r w:rsidR="0002276E">
        <w:rPr>
          <w:color w:val="000000" w:themeColor="text1"/>
        </w:rPr>
        <w:t xml:space="preserve"> conservatively. Dr Townsend, a neurologist indicated that from the available medical records, the minor child had evidence of an injury to her head and </w:t>
      </w:r>
      <w:r w:rsidR="008120C2">
        <w:rPr>
          <w:color w:val="000000" w:themeColor="text1"/>
        </w:rPr>
        <w:t>her Glasgow Coma Scale Score(GCS) was 15/15. A brain CT scan revealed a comminuted parieto occipital skull fracture and a punctate intracerebral haemorrage. According to Dr T</w:t>
      </w:r>
      <w:r w:rsidR="00AF1CE0">
        <w:rPr>
          <w:color w:val="000000" w:themeColor="text1"/>
        </w:rPr>
        <w:t>own</w:t>
      </w:r>
      <w:r w:rsidR="008120C2">
        <w:rPr>
          <w:color w:val="000000" w:themeColor="text1"/>
        </w:rPr>
        <w:t>sen</w:t>
      </w:r>
      <w:r w:rsidR="00AF1CE0">
        <w:rPr>
          <w:color w:val="000000" w:themeColor="text1"/>
        </w:rPr>
        <w:t>d</w:t>
      </w:r>
      <w:r w:rsidR="008120C2">
        <w:rPr>
          <w:color w:val="000000" w:themeColor="text1"/>
        </w:rPr>
        <w:t>, after the accident</w:t>
      </w:r>
      <w:r w:rsidR="009144C3">
        <w:rPr>
          <w:color w:val="000000" w:themeColor="text1"/>
        </w:rPr>
        <w:t>,</w:t>
      </w:r>
      <w:r w:rsidR="008120C2">
        <w:rPr>
          <w:color w:val="000000" w:themeColor="text1"/>
        </w:rPr>
        <w:t xml:space="preserve"> the minor child </w:t>
      </w:r>
      <w:r w:rsidR="009144C3">
        <w:rPr>
          <w:color w:val="000000" w:themeColor="text1"/>
        </w:rPr>
        <w:t>complained</w:t>
      </w:r>
      <w:r w:rsidR="008120C2">
        <w:rPr>
          <w:color w:val="000000" w:themeColor="text1"/>
        </w:rPr>
        <w:t xml:space="preserve"> of posttraumatic headaches</w:t>
      </w:r>
      <w:r w:rsidR="00EC07E6">
        <w:rPr>
          <w:color w:val="000000" w:themeColor="text1"/>
        </w:rPr>
        <w:t>, a deterioration in her academic performance at school</w:t>
      </w:r>
      <w:r w:rsidR="009144C3">
        <w:rPr>
          <w:color w:val="000000" w:themeColor="text1"/>
        </w:rPr>
        <w:t>,</w:t>
      </w:r>
      <w:r w:rsidR="00EC07E6">
        <w:rPr>
          <w:color w:val="000000" w:themeColor="text1"/>
        </w:rPr>
        <w:t xml:space="preserve"> and occasional </w:t>
      </w:r>
      <w:r w:rsidR="003401E7">
        <w:rPr>
          <w:color w:val="000000" w:themeColor="text1"/>
        </w:rPr>
        <w:t>pain in her genital area. Dr Townsend, ultimately concluded that the minor child sustained moderate primary diffuse brain injury.</w:t>
      </w:r>
    </w:p>
    <w:p w:rsidR="00E9540E" w:rsidRDefault="00E9540E" w:rsidP="0077280B">
      <w:pPr>
        <w:pStyle w:val="BodyTextIndent"/>
        <w:spacing w:line="360" w:lineRule="auto"/>
        <w:rPr>
          <w:color w:val="000000" w:themeColor="text1"/>
        </w:rPr>
      </w:pPr>
      <w:r>
        <w:rPr>
          <w:color w:val="000000" w:themeColor="text1"/>
        </w:rPr>
        <w:lastRenderedPageBreak/>
        <w:t xml:space="preserve"> </w:t>
      </w:r>
    </w:p>
    <w:p w:rsidR="0077280B" w:rsidRPr="008C0139" w:rsidRDefault="0077280B" w:rsidP="0077280B">
      <w:pPr>
        <w:pStyle w:val="BodyTextIndent"/>
        <w:spacing w:line="360" w:lineRule="auto"/>
        <w:rPr>
          <w:color w:val="000000" w:themeColor="text1"/>
        </w:rPr>
      </w:pPr>
    </w:p>
    <w:p w:rsidR="006F6254" w:rsidRDefault="00831057" w:rsidP="00E8507B">
      <w:pPr>
        <w:pStyle w:val="BodyTextIndent"/>
        <w:spacing w:line="360" w:lineRule="auto"/>
        <w:rPr>
          <w:color w:val="000000" w:themeColor="text1"/>
        </w:rPr>
      </w:pPr>
      <w:r>
        <w:rPr>
          <w:color w:val="000000" w:themeColor="text1"/>
        </w:rPr>
        <w:t>[5</w:t>
      </w:r>
      <w:r w:rsidR="00E8507B" w:rsidRPr="008C0139">
        <w:rPr>
          <w:color w:val="000000" w:themeColor="text1"/>
        </w:rPr>
        <w:t>]</w:t>
      </w:r>
      <w:r w:rsidR="00E8507B" w:rsidRPr="008C0139">
        <w:rPr>
          <w:color w:val="000000" w:themeColor="text1"/>
        </w:rPr>
        <w:tab/>
      </w:r>
      <w:r w:rsidR="003401E7">
        <w:rPr>
          <w:color w:val="000000" w:themeColor="text1"/>
        </w:rPr>
        <w:t>Ms Talito Costa, a clinical psychologist opin</w:t>
      </w:r>
      <w:r w:rsidR="00DC08A5">
        <w:rPr>
          <w:color w:val="000000" w:themeColor="text1"/>
        </w:rPr>
        <w:t>es that the minor child was lef</w:t>
      </w:r>
      <w:r w:rsidR="003401E7">
        <w:rPr>
          <w:color w:val="000000" w:themeColor="text1"/>
        </w:rPr>
        <w:t xml:space="preserve">t with significant neuropsychological impairments that negatively </w:t>
      </w:r>
      <w:r w:rsidR="009144C3">
        <w:rPr>
          <w:color w:val="000000" w:themeColor="text1"/>
        </w:rPr>
        <w:t>impacted</w:t>
      </w:r>
      <w:r w:rsidR="003401E7">
        <w:rPr>
          <w:color w:val="000000" w:themeColor="text1"/>
        </w:rPr>
        <w:t xml:space="preserve"> on her cognitive, emotional</w:t>
      </w:r>
      <w:r w:rsidR="009144C3">
        <w:rPr>
          <w:color w:val="000000" w:themeColor="text1"/>
        </w:rPr>
        <w:t>,</w:t>
      </w:r>
      <w:r w:rsidR="003401E7">
        <w:rPr>
          <w:color w:val="000000" w:themeColor="text1"/>
        </w:rPr>
        <w:t xml:space="preserve"> and </w:t>
      </w:r>
      <w:r w:rsidR="009144C3">
        <w:rPr>
          <w:color w:val="000000" w:themeColor="text1"/>
        </w:rPr>
        <w:t>behavioural</w:t>
      </w:r>
      <w:r w:rsidR="003401E7">
        <w:rPr>
          <w:color w:val="000000" w:themeColor="text1"/>
        </w:rPr>
        <w:t xml:space="preserve"> functions. She further opines that the minor child was left with moderate traumatic brain injury resulting in neurocognitive deficits as a result of the accident.</w:t>
      </w:r>
      <w:r w:rsidR="00A33EBB">
        <w:rPr>
          <w:color w:val="000000" w:themeColor="text1"/>
        </w:rPr>
        <w:t xml:space="preserve"> When dealing with the prognosis going forward, she opines that the minor child will</w:t>
      </w:r>
      <w:r w:rsidR="00D74B1C">
        <w:rPr>
          <w:color w:val="000000" w:themeColor="text1"/>
        </w:rPr>
        <w:t xml:space="preserve"> not</w:t>
      </w:r>
      <w:r w:rsidR="00A33EBB">
        <w:rPr>
          <w:color w:val="000000" w:themeColor="text1"/>
        </w:rPr>
        <w:t xml:space="preserve"> likely be able to return to pre-accident levels of mental functioning due to cognitive deficits and physical pain. She also opines that the minor will struggle to maintain employment in the open labour market in her adult years due to neuropsychological, neurocognitive, neurophysical</w:t>
      </w:r>
      <w:r w:rsidR="009144C3">
        <w:rPr>
          <w:color w:val="000000" w:themeColor="text1"/>
        </w:rPr>
        <w:t>,</w:t>
      </w:r>
      <w:r w:rsidR="00A33EBB">
        <w:rPr>
          <w:color w:val="000000" w:themeColor="text1"/>
        </w:rPr>
        <w:t xml:space="preserve"> and neurophysiological deficits. </w:t>
      </w:r>
    </w:p>
    <w:p w:rsidR="0015464F" w:rsidRPr="007D79F6" w:rsidRDefault="0015464F" w:rsidP="009144C3">
      <w:pPr>
        <w:spacing w:line="360" w:lineRule="auto"/>
        <w:ind w:left="851"/>
        <w:jc w:val="both"/>
        <w:rPr>
          <w:rFonts w:ascii="Arial" w:hAnsi="Arial" w:cs="Arial"/>
          <w:color w:val="000000" w:themeColor="text1"/>
        </w:rPr>
      </w:pPr>
    </w:p>
    <w:p w:rsidR="0015464F" w:rsidRDefault="0015464F" w:rsidP="0015464F">
      <w:pPr>
        <w:pStyle w:val="BodyTextIndent"/>
        <w:spacing w:line="360" w:lineRule="auto"/>
        <w:rPr>
          <w:color w:val="000000" w:themeColor="text1"/>
        </w:rPr>
      </w:pPr>
      <w:r>
        <w:rPr>
          <w:color w:val="000000" w:themeColor="text1"/>
        </w:rPr>
        <w:t xml:space="preserve"> </w:t>
      </w:r>
      <w:r w:rsidR="00831057">
        <w:rPr>
          <w:color w:val="000000" w:themeColor="text1"/>
        </w:rPr>
        <w:t>[6</w:t>
      </w:r>
      <w:r w:rsidRPr="008C0139">
        <w:rPr>
          <w:color w:val="000000" w:themeColor="text1"/>
        </w:rPr>
        <w:t>]</w:t>
      </w:r>
      <w:r w:rsidRPr="008C0139">
        <w:rPr>
          <w:color w:val="000000" w:themeColor="text1"/>
        </w:rPr>
        <w:tab/>
      </w:r>
      <w:r w:rsidR="00AE35EC">
        <w:rPr>
          <w:color w:val="000000" w:themeColor="text1"/>
        </w:rPr>
        <w:t xml:space="preserve"> Alet Mattheus, an educational psychologist also consulted with the minor child and compiled a report. According to her, the pre accident school reports reflect that she experienced some difficulties with mathematics. She opines that she would probably hav</w:t>
      </w:r>
      <w:r w:rsidR="00DF753B">
        <w:rPr>
          <w:color w:val="000000" w:themeColor="text1"/>
        </w:rPr>
        <w:t>e been able to comple</w:t>
      </w:r>
      <w:r w:rsidR="00AE35EC">
        <w:rPr>
          <w:color w:val="000000" w:themeColor="text1"/>
        </w:rPr>
        <w:t xml:space="preserve">te a Grade 12 level of education with an endorsement and would then have had the capacity to complete a Higher </w:t>
      </w:r>
      <w:r w:rsidR="00D74B1C">
        <w:rPr>
          <w:color w:val="000000" w:themeColor="text1"/>
        </w:rPr>
        <w:t>Certificate (</w:t>
      </w:r>
      <w:r w:rsidR="00AE35EC">
        <w:rPr>
          <w:color w:val="000000" w:themeColor="text1"/>
        </w:rPr>
        <w:t xml:space="preserve">NQF Level 5). On the </w:t>
      </w:r>
      <w:r w:rsidR="00DF753B">
        <w:rPr>
          <w:color w:val="000000" w:themeColor="text1"/>
        </w:rPr>
        <w:t>post-accident</w:t>
      </w:r>
      <w:r w:rsidR="00AE35EC">
        <w:rPr>
          <w:color w:val="000000" w:themeColor="text1"/>
        </w:rPr>
        <w:t xml:space="preserve"> scenario, she indicates that the educational assessment results reveal that the minor child presents with severe cognitive difficulties that most probably can be ascribed to a combination of the sequelae of the injuries sustained. </w:t>
      </w:r>
      <w:r w:rsidR="00EA110D">
        <w:rPr>
          <w:color w:val="000000" w:themeColor="text1"/>
        </w:rPr>
        <w:t xml:space="preserve"> </w:t>
      </w:r>
    </w:p>
    <w:p w:rsidR="00CA17A9" w:rsidRPr="008C0139" w:rsidRDefault="0015464F" w:rsidP="00CA17A9">
      <w:pPr>
        <w:pStyle w:val="BodyTextIndent"/>
        <w:spacing w:line="360" w:lineRule="auto"/>
        <w:rPr>
          <w:color w:val="000000" w:themeColor="text1"/>
        </w:rPr>
      </w:pPr>
      <w:r>
        <w:rPr>
          <w:i/>
          <w:color w:val="000000" w:themeColor="text1"/>
        </w:rPr>
        <w:t xml:space="preserve"> </w:t>
      </w:r>
    </w:p>
    <w:p w:rsidR="00CA17A9" w:rsidRDefault="00845F8E" w:rsidP="00CA17A9">
      <w:pPr>
        <w:pStyle w:val="BodyTextIndent"/>
        <w:spacing w:line="360" w:lineRule="auto"/>
        <w:rPr>
          <w:color w:val="000000" w:themeColor="text1"/>
        </w:rPr>
      </w:pPr>
      <w:r>
        <w:rPr>
          <w:color w:val="000000" w:themeColor="text1"/>
        </w:rPr>
        <w:t xml:space="preserve"> </w:t>
      </w:r>
      <w:r w:rsidR="00831057">
        <w:rPr>
          <w:color w:val="000000" w:themeColor="text1"/>
        </w:rPr>
        <w:t>[7</w:t>
      </w:r>
      <w:r w:rsidR="009144C3">
        <w:rPr>
          <w:color w:val="000000" w:themeColor="text1"/>
        </w:rPr>
        <w:t xml:space="preserve">]     </w:t>
      </w:r>
      <w:r w:rsidR="00AE35EC">
        <w:rPr>
          <w:color w:val="000000" w:themeColor="text1"/>
        </w:rPr>
        <w:t xml:space="preserve">Ms Fletcher, an </w:t>
      </w:r>
      <w:r w:rsidR="005A67C3">
        <w:rPr>
          <w:color w:val="000000" w:themeColor="text1"/>
        </w:rPr>
        <w:t>occupational</w:t>
      </w:r>
      <w:r w:rsidR="00AE35EC">
        <w:rPr>
          <w:color w:val="000000" w:themeColor="text1"/>
        </w:rPr>
        <w:t xml:space="preserve"> therapist opines that the minor child needs p</w:t>
      </w:r>
      <w:r w:rsidR="005A67C3">
        <w:rPr>
          <w:color w:val="000000" w:themeColor="text1"/>
        </w:rPr>
        <w:t>lacement in a vocational skill</w:t>
      </w:r>
      <w:r w:rsidR="00D74B1C">
        <w:rPr>
          <w:color w:val="000000" w:themeColor="text1"/>
        </w:rPr>
        <w:t xml:space="preserve"> </w:t>
      </w:r>
      <w:r w:rsidR="005A67C3">
        <w:rPr>
          <w:color w:val="000000" w:themeColor="text1"/>
        </w:rPr>
        <w:t xml:space="preserve">(NQF level 2) which would assist her in seeking sheltered employment. She further opines that the minor would be disadvantaged when competing against individuals without cognitive, visual perceptual or cognitive difficulties in a competitive open labour market. </w:t>
      </w:r>
    </w:p>
    <w:p w:rsidR="00EB4B0D" w:rsidRPr="008C0139" w:rsidRDefault="00EB4B0D" w:rsidP="00C87109">
      <w:pPr>
        <w:pStyle w:val="BodyTextIndent"/>
        <w:spacing w:line="360" w:lineRule="auto"/>
        <w:rPr>
          <w:b/>
          <w:bCs/>
          <w:color w:val="000000" w:themeColor="text1"/>
        </w:rPr>
      </w:pPr>
    </w:p>
    <w:p w:rsidR="00A2776F" w:rsidRPr="001C4D1B" w:rsidRDefault="00831057" w:rsidP="005A67C3">
      <w:pPr>
        <w:pStyle w:val="BodyTextIndent"/>
        <w:spacing w:line="360" w:lineRule="auto"/>
      </w:pPr>
      <w:r>
        <w:rPr>
          <w:color w:val="000000" w:themeColor="text1"/>
        </w:rPr>
        <w:t>[8</w:t>
      </w:r>
      <w:r w:rsidR="005A67C3">
        <w:rPr>
          <w:color w:val="000000" w:themeColor="text1"/>
        </w:rPr>
        <w:t>]</w:t>
      </w:r>
      <w:r w:rsidR="005A67C3">
        <w:rPr>
          <w:color w:val="000000" w:themeColor="text1"/>
        </w:rPr>
        <w:tab/>
        <w:t xml:space="preserve">Mr Lee Leibowitz, an industrial psychologist evaluated the minor child in order to determine the effect and impact of the accident related injuries to predict </w:t>
      </w:r>
      <w:r w:rsidR="005A67C3">
        <w:rPr>
          <w:color w:val="000000" w:themeColor="text1"/>
        </w:rPr>
        <w:lastRenderedPageBreak/>
        <w:t xml:space="preserve">the employability of the minor </w:t>
      </w:r>
      <w:r w:rsidR="000149E3" w:rsidRPr="00D74B1C">
        <w:rPr>
          <w:color w:val="000000" w:themeColor="text1"/>
        </w:rPr>
        <w:t>child.</w:t>
      </w:r>
      <w:r w:rsidR="000149E3">
        <w:rPr>
          <w:color w:val="000000" w:themeColor="text1"/>
        </w:rPr>
        <w:t xml:space="preserve"> He alludes to the fact that when postulating the caree</w:t>
      </w:r>
      <w:r w:rsidR="00D74B1C">
        <w:rPr>
          <w:color w:val="000000" w:themeColor="text1"/>
        </w:rPr>
        <w:t>r paths of minor children, the i</w:t>
      </w:r>
      <w:r w:rsidR="000149E3">
        <w:rPr>
          <w:color w:val="000000" w:themeColor="text1"/>
        </w:rPr>
        <w:t>ndust</w:t>
      </w:r>
      <w:r w:rsidR="00D74B1C">
        <w:rPr>
          <w:color w:val="000000" w:themeColor="text1"/>
        </w:rPr>
        <w:t>rial p</w:t>
      </w:r>
      <w:r w:rsidR="00A0602A">
        <w:rPr>
          <w:color w:val="000000" w:themeColor="text1"/>
        </w:rPr>
        <w:t>sychologists are guided by</w:t>
      </w:r>
      <w:r w:rsidR="000149E3">
        <w:rPr>
          <w:color w:val="000000" w:themeColor="text1"/>
        </w:rPr>
        <w:t xml:space="preserve"> the indication of learning poten</w:t>
      </w:r>
      <w:r w:rsidR="00D74B1C">
        <w:rPr>
          <w:color w:val="000000" w:themeColor="text1"/>
        </w:rPr>
        <w:t>tial as per the opinion of the educational p</w:t>
      </w:r>
      <w:r w:rsidR="000149E3">
        <w:rPr>
          <w:color w:val="000000" w:themeColor="text1"/>
        </w:rPr>
        <w:t xml:space="preserve">sychologist. In this case he refers to the opinion of Ms Mattheus where she </w:t>
      </w:r>
      <w:r w:rsidR="00D74B1C">
        <w:rPr>
          <w:color w:val="000000" w:themeColor="text1"/>
        </w:rPr>
        <w:t>opines</w:t>
      </w:r>
      <w:r w:rsidR="00A0602A">
        <w:rPr>
          <w:color w:val="000000" w:themeColor="text1"/>
        </w:rPr>
        <w:t xml:space="preserve"> that the child would probably be able to complete a Grade 12 level education with an endorsement and would then </w:t>
      </w:r>
      <w:r w:rsidR="00A0602A" w:rsidRPr="001C4D1B">
        <w:t>have had the capacity to complete a Higher Certificate (NQF level 5), if given the opportunity to do so before attempting to enter the open labour market. Mr Leibowitz confirms that there are many uncertainties when dealing with minors, and thus pre-morbid contingencies must be applied.</w:t>
      </w:r>
      <w:r w:rsidR="000149E3" w:rsidRPr="001C4D1B">
        <w:t xml:space="preserve"> </w:t>
      </w:r>
    </w:p>
    <w:p w:rsidR="005A67C3" w:rsidRPr="001C4D1B" w:rsidRDefault="005A67C3" w:rsidP="00D74B1C">
      <w:pPr>
        <w:pStyle w:val="BodyTextIndent"/>
        <w:spacing w:line="360" w:lineRule="auto"/>
        <w:ind w:left="0" w:firstLine="0"/>
      </w:pPr>
    </w:p>
    <w:p w:rsidR="00B80E0C" w:rsidRPr="001C4D1B" w:rsidRDefault="00D66F2C" w:rsidP="00B80E0C">
      <w:pPr>
        <w:pStyle w:val="BodyTextIndent"/>
        <w:spacing w:line="360" w:lineRule="auto"/>
        <w:ind w:hanging="720"/>
      </w:pPr>
      <w:r w:rsidRPr="001C4D1B">
        <w:t>[</w:t>
      </w:r>
      <w:r w:rsidR="00831057">
        <w:t>9</w:t>
      </w:r>
      <w:r w:rsidRPr="001C4D1B">
        <w:t>]</w:t>
      </w:r>
      <w:r w:rsidRPr="001C4D1B">
        <w:tab/>
      </w:r>
      <w:r w:rsidR="00A0602A" w:rsidRPr="001C4D1B">
        <w:t xml:space="preserve">With reference to the post morbid scenario, Mr </w:t>
      </w:r>
      <w:r w:rsidR="00C87727" w:rsidRPr="001C4D1B">
        <w:t>Leibowitz</w:t>
      </w:r>
      <w:r w:rsidR="00A0602A" w:rsidRPr="001C4D1B">
        <w:t xml:space="preserve"> opines that the minor child has been negatively affected and that her educability as well as her employment prospects have been </w:t>
      </w:r>
      <w:r w:rsidR="00C87727" w:rsidRPr="001C4D1B">
        <w:t>negatively affected. According to him it would appear that the accident and related sequelae have rendered the minor child vulne</w:t>
      </w:r>
      <w:r w:rsidR="00D74B1C">
        <w:t>rable and as postulated by the educational p</w:t>
      </w:r>
      <w:r w:rsidR="00C87727" w:rsidRPr="001C4D1B">
        <w:t>sychologist</w:t>
      </w:r>
      <w:r w:rsidR="00D74B1C">
        <w:t>,</w:t>
      </w:r>
      <w:r w:rsidR="00C87727" w:rsidRPr="001C4D1B">
        <w:t xml:space="preserve"> will not attain the ultimate level of education provided for in the pre-morbid postulation, i.e. a Higher Certificate/ NQF 5 level. He further opines that the child would remain limited to basic unskilled work (Paterson A level), however her ability to function effectively in any work environment has been undermined given the cumulative impact of her injuries.</w:t>
      </w:r>
      <w:r w:rsidR="00D74B1C">
        <w:t xml:space="preserve"> Of further importance the i</w:t>
      </w:r>
      <w:r w:rsidR="00914ECE" w:rsidRPr="001C4D1B">
        <w:t>ndust</w:t>
      </w:r>
      <w:r w:rsidR="00B80E0C" w:rsidRPr="001C4D1B">
        <w:t>r</w:t>
      </w:r>
      <w:r w:rsidR="00D74B1C">
        <w:t>ial p</w:t>
      </w:r>
      <w:r w:rsidR="00914ECE" w:rsidRPr="001C4D1B">
        <w:t>sychologist is of the view that ‘realistically speaking, the minor child would likely rema</w:t>
      </w:r>
      <w:r w:rsidR="00B80E0C" w:rsidRPr="001C4D1B">
        <w:t xml:space="preserve">in unemployed and would thus be not attain her pre-accident earning level. </w:t>
      </w:r>
      <w:r w:rsidR="00C87727" w:rsidRPr="001C4D1B">
        <w:t xml:space="preserve"> </w:t>
      </w:r>
    </w:p>
    <w:p w:rsidR="00B80E0C" w:rsidRPr="001C4D1B" w:rsidRDefault="00B80E0C" w:rsidP="00B80E0C">
      <w:pPr>
        <w:pStyle w:val="BodyTextIndent"/>
        <w:spacing w:line="360" w:lineRule="auto"/>
      </w:pPr>
    </w:p>
    <w:p w:rsidR="00B80E0C" w:rsidRPr="001C4D1B" w:rsidRDefault="00831057" w:rsidP="00B80E0C">
      <w:pPr>
        <w:pStyle w:val="BodyTextIndent"/>
        <w:spacing w:line="360" w:lineRule="auto"/>
      </w:pPr>
      <w:r>
        <w:t>[10</w:t>
      </w:r>
      <w:r w:rsidR="00B80E0C" w:rsidRPr="001C4D1B">
        <w:t>]</w:t>
      </w:r>
      <w:r w:rsidR="00B80E0C" w:rsidRPr="001C4D1B">
        <w:tab/>
      </w:r>
      <w:r w:rsidR="00781B6C" w:rsidRPr="001C4D1B">
        <w:t>Wim Loots, an actuary was instructed to perform actuarial calculations</w:t>
      </w:r>
      <w:r w:rsidR="00692D5B">
        <w:t>, in the pre-morbid scenario,</w:t>
      </w:r>
      <w:r w:rsidR="00781B6C" w:rsidRPr="001C4D1B">
        <w:t xml:space="preserve"> on the assumption, inter alia, that the minor injured child was to complete Grade 12 and</w:t>
      </w:r>
      <w:r w:rsidR="00692D5B">
        <w:t xml:space="preserve"> a tertiary qualification with</w:t>
      </w:r>
      <w:r w:rsidR="00781B6C" w:rsidRPr="001C4D1B">
        <w:t xml:space="preserve"> retirement age being 65 years. The actuary was instructed to apply the contingency deduction of 20% on the pre accident scenario. It is submitted on behalf of the minor child that a 20% contingency deduction will be just, fair and reasonable in the circumstances. </w:t>
      </w:r>
      <w:r w:rsidR="00692D5B">
        <w:t xml:space="preserve">In the post-morbid scenario, he was instructed that the child </w:t>
      </w:r>
      <w:r w:rsidR="00692D5B">
        <w:lastRenderedPageBreak/>
        <w:t>was unemployable and he therefore assumed that the child would have nil earnings.</w:t>
      </w:r>
      <w:r w:rsidR="00781B6C" w:rsidRPr="001C4D1B">
        <w:t xml:space="preserve"> </w:t>
      </w:r>
    </w:p>
    <w:p w:rsidR="00B80E0C" w:rsidRPr="001C4D1B" w:rsidRDefault="00B80E0C" w:rsidP="00B80E0C">
      <w:pPr>
        <w:spacing w:after="360" w:line="360" w:lineRule="auto"/>
        <w:ind w:left="851"/>
        <w:jc w:val="both"/>
        <w:rPr>
          <w:rFonts w:ascii="Arial" w:hAnsi="Arial" w:cs="Arial"/>
        </w:rPr>
      </w:pPr>
    </w:p>
    <w:p w:rsidR="00C96C4B" w:rsidRPr="001C4D1B" w:rsidRDefault="00B80E0C" w:rsidP="00B80E0C">
      <w:pPr>
        <w:pStyle w:val="BodyTextIndent"/>
        <w:spacing w:line="360" w:lineRule="auto"/>
      </w:pPr>
      <w:r w:rsidRPr="001C4D1B">
        <w:t xml:space="preserve"> </w:t>
      </w:r>
      <w:r w:rsidR="00831057">
        <w:t>[11</w:t>
      </w:r>
      <w:r w:rsidRPr="001C4D1B">
        <w:t>]</w:t>
      </w:r>
      <w:r w:rsidRPr="001C4D1B">
        <w:tab/>
      </w:r>
      <w:r w:rsidR="00C96C4B" w:rsidRPr="001C4D1B">
        <w:t xml:space="preserve"> It is submitted on behalf of the defendant that the evidence does not support the notion that the minor child was unemployable rather that she might struggle to find employment. The defendant attacks the findings and conclusions of the plaintiff’s experts in the Heads of Argument. By way of illustration, the following is submitted:</w:t>
      </w:r>
    </w:p>
    <w:p w:rsidR="00B80E0C" w:rsidRPr="001C4D1B" w:rsidRDefault="0049579E" w:rsidP="0049579E">
      <w:pPr>
        <w:pStyle w:val="BodyTextIndent"/>
        <w:spacing w:line="360" w:lineRule="auto"/>
        <w:ind w:left="1590" w:hanging="360"/>
      </w:pPr>
      <w:r w:rsidRPr="001C4D1B">
        <w:rPr>
          <w:rFonts w:eastAsia="Arial"/>
          <w:color w:val="242121"/>
          <w:u w:color="000000"/>
        </w:rPr>
        <w:t>i</w:t>
      </w:r>
      <w:r w:rsidRPr="001C4D1B">
        <w:rPr>
          <w:rFonts w:eastAsia="Arial"/>
          <w:color w:val="242121"/>
          <w:u w:color="000000"/>
        </w:rPr>
        <w:tab/>
      </w:r>
      <w:r w:rsidR="00C96C4B" w:rsidRPr="001C4D1B">
        <w:t>That no EEG’s were done to present evidence to the effect that the minor has already developed post-traumatic epilepsy;</w:t>
      </w:r>
    </w:p>
    <w:p w:rsidR="00C96C4B" w:rsidRPr="001C4D1B" w:rsidRDefault="0049579E" w:rsidP="0049579E">
      <w:pPr>
        <w:pStyle w:val="BodyTextIndent"/>
        <w:spacing w:line="360" w:lineRule="auto"/>
        <w:ind w:left="1590" w:hanging="360"/>
      </w:pPr>
      <w:r w:rsidRPr="001C4D1B">
        <w:rPr>
          <w:rFonts w:eastAsia="Arial"/>
          <w:color w:val="242121"/>
          <w:u w:color="000000"/>
        </w:rPr>
        <w:t>ii</w:t>
      </w:r>
      <w:r w:rsidRPr="001C4D1B">
        <w:rPr>
          <w:rFonts w:eastAsia="Arial"/>
          <w:color w:val="242121"/>
          <w:u w:color="000000"/>
        </w:rPr>
        <w:tab/>
      </w:r>
      <w:r w:rsidR="005E0EDA" w:rsidRPr="001C4D1B">
        <w:t>“There’s</w:t>
      </w:r>
      <w:r w:rsidR="001C4D1B" w:rsidRPr="001C4D1B">
        <w:t xml:space="preserve"> no evidence that the minor was sent to be assessed by an Optometrist to monitor her visual acuity, as well as her visual tracking, which may be influencing her overall visual perception skill”</w:t>
      </w:r>
    </w:p>
    <w:p w:rsidR="00B80E0C" w:rsidRPr="00B80E0C" w:rsidRDefault="00B80E0C" w:rsidP="00D74B1C">
      <w:pPr>
        <w:pStyle w:val="BodyTextIndent"/>
        <w:spacing w:line="360" w:lineRule="auto"/>
        <w:ind w:left="0" w:firstLine="0"/>
        <w:rPr>
          <w:b/>
          <w:bCs/>
          <w:color w:val="FF0000"/>
        </w:rPr>
      </w:pPr>
    </w:p>
    <w:p w:rsidR="00B80E0C" w:rsidRPr="00DF753B" w:rsidRDefault="00831057" w:rsidP="00B80E0C">
      <w:pPr>
        <w:pStyle w:val="BodyTextIndent"/>
        <w:spacing w:line="360" w:lineRule="auto"/>
      </w:pPr>
      <w:r w:rsidRPr="00DF753B">
        <w:t>[12</w:t>
      </w:r>
      <w:r w:rsidR="001C4D1B" w:rsidRPr="00DF753B">
        <w:t>]</w:t>
      </w:r>
      <w:r w:rsidR="001C4D1B" w:rsidRPr="00DF753B">
        <w:tab/>
        <w:t>The defendant further attached to the Heads of Arguments the statistics in the 2021</w:t>
      </w:r>
      <w:r w:rsidR="00692D5B" w:rsidRPr="00DF753B">
        <w:t xml:space="preserve"> </w:t>
      </w:r>
      <w:r w:rsidR="001C4D1B" w:rsidRPr="00DF753B">
        <w:t>report of the Department of Higher Education. The approach sought to be followed by the defendant does not assist it as I illustrate below.</w:t>
      </w:r>
    </w:p>
    <w:p w:rsidR="00B80E0C" w:rsidRPr="00DF753B" w:rsidRDefault="00B80E0C" w:rsidP="00B80E0C">
      <w:pPr>
        <w:pStyle w:val="BodyTextIndent"/>
        <w:spacing w:line="360" w:lineRule="auto"/>
      </w:pPr>
    </w:p>
    <w:p w:rsidR="0024510F" w:rsidRPr="00DF753B" w:rsidRDefault="00831057" w:rsidP="00B80E0C">
      <w:pPr>
        <w:pStyle w:val="BodyTextIndent"/>
        <w:spacing w:line="360" w:lineRule="auto"/>
      </w:pPr>
      <w:r w:rsidRPr="00DF753B">
        <w:t>[13</w:t>
      </w:r>
      <w:r w:rsidR="00B80E0C" w:rsidRPr="00DF753B">
        <w:t>]</w:t>
      </w:r>
      <w:r w:rsidR="00B80E0C" w:rsidRPr="00DF753B">
        <w:tab/>
      </w:r>
      <w:r w:rsidR="0024510F" w:rsidRPr="00DF753B">
        <w:t xml:space="preserve">In </w:t>
      </w:r>
      <w:r w:rsidR="0024510F" w:rsidRPr="00DF753B">
        <w:rPr>
          <w:i/>
        </w:rPr>
        <w:t>M.P.L obo RIM v Road Accident Fund</w:t>
      </w:r>
      <w:r w:rsidR="0024510F" w:rsidRPr="00DF753B">
        <w:rPr>
          <w:rStyle w:val="FootnoteReference"/>
        </w:rPr>
        <w:footnoteReference w:id="1"/>
      </w:r>
      <w:r w:rsidR="0024510F" w:rsidRPr="00DF753B">
        <w:t xml:space="preserve"> this court had the opportunity to deal with the status and</w:t>
      </w:r>
      <w:r w:rsidR="00D74B1C">
        <w:t>/</w:t>
      </w:r>
      <w:r w:rsidR="0024510F" w:rsidRPr="00DF753B">
        <w:t xml:space="preserve"> or evidential value of the expert reports accepted into evidence by agreement in terms of Rule 38(2).This Court said the following:</w:t>
      </w:r>
    </w:p>
    <w:p w:rsidR="0032721D" w:rsidRPr="00DF753B" w:rsidRDefault="0032721D" w:rsidP="0032721D">
      <w:pPr>
        <w:spacing w:line="360" w:lineRule="auto"/>
        <w:ind w:left="851" w:hanging="720"/>
        <w:jc w:val="both"/>
        <w:rPr>
          <w:rFonts w:ascii="Arial" w:hAnsi="Arial" w:cs="Arial"/>
        </w:rPr>
      </w:pPr>
    </w:p>
    <w:p w:rsidR="0032721D" w:rsidRPr="00831057" w:rsidRDefault="005E0EDA" w:rsidP="00F11127">
      <w:pPr>
        <w:spacing w:line="360" w:lineRule="auto"/>
        <w:ind w:left="851" w:hanging="851"/>
        <w:jc w:val="both"/>
        <w:rPr>
          <w:rFonts w:ascii="Arial" w:hAnsi="Arial" w:cs="Arial"/>
          <w:i/>
          <w:color w:val="000000" w:themeColor="text1"/>
        </w:rPr>
      </w:pPr>
      <w:r w:rsidRPr="00831057">
        <w:rPr>
          <w:rFonts w:ascii="Arial" w:hAnsi="Arial" w:cs="Arial"/>
          <w:i/>
          <w:color w:val="000000" w:themeColor="text1"/>
        </w:rPr>
        <w:t>“[</w:t>
      </w:r>
      <w:r w:rsidR="0032721D" w:rsidRPr="00831057">
        <w:rPr>
          <w:rFonts w:ascii="Arial" w:hAnsi="Arial" w:cs="Arial"/>
          <w:i/>
          <w:color w:val="000000" w:themeColor="text1"/>
        </w:rPr>
        <w:t>16</w:t>
      </w:r>
      <w:r w:rsidRPr="00831057">
        <w:rPr>
          <w:rFonts w:ascii="Arial" w:hAnsi="Arial" w:cs="Arial"/>
          <w:i/>
          <w:color w:val="000000" w:themeColor="text1"/>
        </w:rPr>
        <w:t xml:space="preserve">] </w:t>
      </w:r>
      <w:r w:rsidR="00F11127">
        <w:rPr>
          <w:rFonts w:ascii="Arial" w:hAnsi="Arial" w:cs="Arial"/>
          <w:i/>
          <w:color w:val="000000" w:themeColor="text1"/>
        </w:rPr>
        <w:tab/>
      </w:r>
      <w:r w:rsidRPr="00831057">
        <w:rPr>
          <w:rFonts w:ascii="Arial" w:hAnsi="Arial" w:cs="Arial"/>
          <w:i/>
          <w:color w:val="000000" w:themeColor="text1"/>
        </w:rPr>
        <w:t>As</w:t>
      </w:r>
      <w:r w:rsidR="0032721D" w:rsidRPr="00831057">
        <w:rPr>
          <w:rFonts w:ascii="Arial" w:hAnsi="Arial" w:cs="Arial"/>
          <w:i/>
          <w:color w:val="000000" w:themeColor="text1"/>
        </w:rPr>
        <w:t xml:space="preserve"> a starting point, the first issue to deal with would be the status of the reports of the plaintiff as accepted by agreement into evidence. Rule 38(2) is instructive in this regard and provides as follows:</w:t>
      </w:r>
    </w:p>
    <w:p w:rsidR="0032721D" w:rsidRPr="00831057" w:rsidRDefault="0032721D" w:rsidP="0032721D">
      <w:pPr>
        <w:spacing w:line="360" w:lineRule="auto"/>
        <w:ind w:left="851" w:hanging="851"/>
        <w:jc w:val="both"/>
        <w:rPr>
          <w:rFonts w:ascii="Arial" w:hAnsi="Arial" w:cs="Arial"/>
          <w:i/>
          <w:color w:val="000000" w:themeColor="text1"/>
        </w:rPr>
      </w:pPr>
    </w:p>
    <w:p w:rsidR="0032721D" w:rsidRPr="00831057" w:rsidRDefault="0032721D" w:rsidP="0032721D">
      <w:pPr>
        <w:kinsoku w:val="0"/>
        <w:overflowPunct w:val="0"/>
        <w:spacing w:line="360" w:lineRule="auto"/>
        <w:ind w:left="720"/>
        <w:jc w:val="both"/>
        <w:rPr>
          <w:i/>
          <w:spacing w:val="-2"/>
        </w:rPr>
      </w:pPr>
      <w:r w:rsidRPr="00831057">
        <w:rPr>
          <w:i/>
          <w:color w:val="000000" w:themeColor="text1"/>
          <w:sz w:val="21"/>
          <w:szCs w:val="21"/>
        </w:rPr>
        <w:t xml:space="preserve"> </w:t>
      </w:r>
      <w:r w:rsidRPr="00831057">
        <w:rPr>
          <w:i/>
        </w:rPr>
        <w:t>"38(2)</w:t>
      </w:r>
      <w:r w:rsidRPr="00831057">
        <w:rPr>
          <w:i/>
          <w:spacing w:val="23"/>
        </w:rPr>
        <w:t xml:space="preserve"> </w:t>
      </w:r>
      <w:r w:rsidRPr="00831057">
        <w:rPr>
          <w:i/>
        </w:rPr>
        <w:t>The witnesses</w:t>
      </w:r>
      <w:r w:rsidRPr="00831057">
        <w:rPr>
          <w:i/>
          <w:spacing w:val="24"/>
        </w:rPr>
        <w:t xml:space="preserve"> </w:t>
      </w:r>
      <w:r w:rsidRPr="00831057">
        <w:rPr>
          <w:i/>
        </w:rPr>
        <w:t>at</w:t>
      </w:r>
      <w:r w:rsidRPr="00831057">
        <w:rPr>
          <w:i/>
          <w:spacing w:val="-1"/>
        </w:rPr>
        <w:t xml:space="preserve"> </w:t>
      </w:r>
      <w:r w:rsidRPr="00831057">
        <w:rPr>
          <w:i/>
        </w:rPr>
        <w:t>the trial of</w:t>
      </w:r>
      <w:r w:rsidRPr="00831057">
        <w:rPr>
          <w:i/>
          <w:spacing w:val="-1"/>
        </w:rPr>
        <w:t xml:space="preserve"> </w:t>
      </w:r>
      <w:r w:rsidRPr="00831057">
        <w:rPr>
          <w:i/>
        </w:rPr>
        <w:t>any action shall be orally examined, but a</w:t>
      </w:r>
      <w:r w:rsidRPr="00831057">
        <w:rPr>
          <w:i/>
          <w:spacing w:val="-2"/>
        </w:rPr>
        <w:t xml:space="preserve"> </w:t>
      </w:r>
      <w:r w:rsidRPr="00831057">
        <w:rPr>
          <w:i/>
        </w:rPr>
        <w:t>court may at any time, for</w:t>
      </w:r>
      <w:r w:rsidRPr="00831057">
        <w:rPr>
          <w:i/>
          <w:spacing w:val="-2"/>
        </w:rPr>
        <w:t xml:space="preserve"> </w:t>
      </w:r>
      <w:r w:rsidRPr="00831057">
        <w:rPr>
          <w:i/>
        </w:rPr>
        <w:t>sufficient reason, order that all or any of the evidence to be adduced at any trial be given on affidavit or that the</w:t>
      </w:r>
      <w:r w:rsidRPr="00831057">
        <w:rPr>
          <w:i/>
          <w:spacing w:val="38"/>
        </w:rPr>
        <w:t xml:space="preserve"> </w:t>
      </w:r>
      <w:r w:rsidRPr="00831057">
        <w:rPr>
          <w:i/>
        </w:rPr>
        <w:t>affidavit</w:t>
      </w:r>
      <w:r w:rsidRPr="00831057">
        <w:rPr>
          <w:i/>
          <w:spacing w:val="40"/>
        </w:rPr>
        <w:t xml:space="preserve"> </w:t>
      </w:r>
      <w:r w:rsidRPr="00831057">
        <w:rPr>
          <w:i/>
        </w:rPr>
        <w:t>of any</w:t>
      </w:r>
      <w:r w:rsidRPr="00831057">
        <w:rPr>
          <w:i/>
          <w:spacing w:val="40"/>
        </w:rPr>
        <w:t xml:space="preserve"> </w:t>
      </w:r>
      <w:r w:rsidRPr="00831057">
        <w:rPr>
          <w:i/>
        </w:rPr>
        <w:t>witness be read at the hearing,</w:t>
      </w:r>
      <w:r w:rsidRPr="00831057">
        <w:rPr>
          <w:i/>
          <w:spacing w:val="40"/>
        </w:rPr>
        <w:t xml:space="preserve"> </w:t>
      </w:r>
      <w:r w:rsidRPr="00831057">
        <w:rPr>
          <w:i/>
        </w:rPr>
        <w:t>on such terms and conditions</w:t>
      </w:r>
      <w:r w:rsidRPr="00831057">
        <w:rPr>
          <w:i/>
          <w:spacing w:val="40"/>
        </w:rPr>
        <w:t xml:space="preserve"> </w:t>
      </w:r>
      <w:r w:rsidRPr="00831057">
        <w:rPr>
          <w:i/>
        </w:rPr>
        <w:t>as to it may seem meet:</w:t>
      </w:r>
      <w:r w:rsidRPr="00831057">
        <w:rPr>
          <w:i/>
          <w:spacing w:val="40"/>
        </w:rPr>
        <w:t xml:space="preserve"> </w:t>
      </w:r>
      <w:r w:rsidRPr="00831057">
        <w:rPr>
          <w:i/>
        </w:rPr>
        <w:t xml:space="preserve">provided that </w:t>
      </w:r>
      <w:r w:rsidRPr="00831057">
        <w:rPr>
          <w:i/>
        </w:rPr>
        <w:lastRenderedPageBreak/>
        <w:t>where it</w:t>
      </w:r>
      <w:r w:rsidRPr="00831057">
        <w:rPr>
          <w:i/>
          <w:spacing w:val="40"/>
        </w:rPr>
        <w:t xml:space="preserve"> </w:t>
      </w:r>
      <w:r w:rsidRPr="00831057">
        <w:rPr>
          <w:i/>
        </w:rPr>
        <w:t>appears to the court that any other party reasonably requires the attendance of</w:t>
      </w:r>
      <w:r w:rsidRPr="00831057">
        <w:rPr>
          <w:i/>
          <w:spacing w:val="-10"/>
        </w:rPr>
        <w:t xml:space="preserve"> </w:t>
      </w:r>
      <w:r w:rsidRPr="00831057">
        <w:rPr>
          <w:i/>
        </w:rPr>
        <w:t>a</w:t>
      </w:r>
      <w:r w:rsidRPr="00831057">
        <w:rPr>
          <w:i/>
          <w:spacing w:val="-6"/>
        </w:rPr>
        <w:t xml:space="preserve"> </w:t>
      </w:r>
      <w:r w:rsidRPr="00831057">
        <w:rPr>
          <w:i/>
        </w:rPr>
        <w:t>witness for</w:t>
      </w:r>
      <w:r w:rsidRPr="00831057">
        <w:rPr>
          <w:i/>
          <w:spacing w:val="-1"/>
        </w:rPr>
        <w:t xml:space="preserve"> </w:t>
      </w:r>
      <w:r w:rsidRPr="00831057">
        <w:rPr>
          <w:i/>
        </w:rPr>
        <w:t>cross-examination,</w:t>
      </w:r>
      <w:r w:rsidRPr="00831057">
        <w:rPr>
          <w:i/>
          <w:spacing w:val="-15"/>
        </w:rPr>
        <w:t xml:space="preserve"> </w:t>
      </w:r>
      <w:r w:rsidRPr="00831057">
        <w:rPr>
          <w:i/>
        </w:rPr>
        <w:t>and</w:t>
      </w:r>
      <w:r w:rsidRPr="00831057">
        <w:rPr>
          <w:i/>
          <w:spacing w:val="-3"/>
        </w:rPr>
        <w:t xml:space="preserve"> </w:t>
      </w:r>
      <w:r w:rsidRPr="00831057">
        <w:rPr>
          <w:i/>
        </w:rPr>
        <w:t xml:space="preserve">such witness can be produced, the evidence of such witness shall not be given on </w:t>
      </w:r>
      <w:r w:rsidRPr="00831057">
        <w:rPr>
          <w:i/>
          <w:spacing w:val="-2"/>
        </w:rPr>
        <w:t>affidavit."</w:t>
      </w:r>
    </w:p>
    <w:p w:rsidR="0032721D" w:rsidRPr="00831057" w:rsidRDefault="0032721D" w:rsidP="0032721D">
      <w:pPr>
        <w:spacing w:line="360" w:lineRule="auto"/>
        <w:ind w:left="851" w:hanging="851"/>
        <w:jc w:val="both"/>
        <w:rPr>
          <w:rFonts w:ascii="Arial" w:hAnsi="Arial" w:cs="Arial"/>
          <w:i/>
          <w:color w:val="000000" w:themeColor="text1"/>
        </w:rPr>
      </w:pPr>
      <w:r w:rsidRPr="00831057">
        <w:rPr>
          <w:rFonts w:ascii="Arial" w:hAnsi="Arial" w:cs="Arial"/>
          <w:i/>
          <w:color w:val="000000" w:themeColor="text1"/>
        </w:rPr>
        <w:t xml:space="preserve"> </w:t>
      </w:r>
    </w:p>
    <w:p w:rsidR="0032721D" w:rsidRPr="00831057" w:rsidRDefault="00F11127" w:rsidP="009144C3">
      <w:pPr>
        <w:spacing w:line="360" w:lineRule="auto"/>
        <w:ind w:left="851" w:hanging="851"/>
        <w:jc w:val="both"/>
        <w:rPr>
          <w:i/>
        </w:rPr>
      </w:pPr>
      <w:r>
        <w:rPr>
          <w:rFonts w:ascii="Arial" w:hAnsi="Arial" w:cs="Arial"/>
          <w:i/>
          <w:color w:val="000000" w:themeColor="text1"/>
        </w:rPr>
        <w:t xml:space="preserve">         </w:t>
      </w:r>
      <w:r w:rsidR="009144C3">
        <w:rPr>
          <w:rFonts w:ascii="Arial" w:hAnsi="Arial" w:cs="Arial"/>
          <w:i/>
          <w:color w:val="000000" w:themeColor="text1"/>
        </w:rPr>
        <w:t xml:space="preserve">[17] </w:t>
      </w:r>
      <w:r w:rsidR="0032721D" w:rsidRPr="00831057">
        <w:rPr>
          <w:rFonts w:ascii="Arial" w:hAnsi="Arial" w:cs="Arial"/>
          <w:i/>
          <w:color w:val="000000" w:themeColor="text1"/>
        </w:rPr>
        <w:t>Mr Pohl SC referred this court to the unreported judgment of this court in ZVS obo SRM v Road Accident Fund</w:t>
      </w:r>
      <w:r w:rsidR="0032721D" w:rsidRPr="00831057">
        <w:rPr>
          <w:rFonts w:ascii="Arial" w:hAnsi="Arial" w:cs="Arial"/>
          <w:i/>
          <w:color w:val="000000" w:themeColor="text1"/>
          <w:vertAlign w:val="superscript"/>
        </w:rPr>
        <w:footnoteReference w:id="2"/>
      </w:r>
      <w:r w:rsidR="0032721D" w:rsidRPr="00831057">
        <w:rPr>
          <w:rFonts w:ascii="Arial" w:hAnsi="Arial" w:cs="Arial"/>
          <w:i/>
          <w:color w:val="000000" w:themeColor="text1"/>
        </w:rPr>
        <w:t>. In my view that case is on all fours with the case before me. I align myself with the reasoning in that case and I refer liberally to Van Zyl, J where she says:</w:t>
      </w:r>
      <w:r w:rsidR="0032721D" w:rsidRPr="00831057">
        <w:rPr>
          <w:i/>
        </w:rPr>
        <w:t xml:space="preserve"> </w:t>
      </w:r>
    </w:p>
    <w:p w:rsidR="0032721D" w:rsidRPr="00831057" w:rsidRDefault="0032721D" w:rsidP="0032721D">
      <w:pPr>
        <w:widowControl w:val="0"/>
        <w:tabs>
          <w:tab w:val="left" w:pos="0"/>
        </w:tabs>
        <w:kinsoku w:val="0"/>
        <w:overflowPunct w:val="0"/>
        <w:autoSpaceDE w:val="0"/>
        <w:autoSpaceDN w:val="0"/>
        <w:adjustRightInd w:val="0"/>
        <w:spacing w:before="188" w:line="360" w:lineRule="auto"/>
        <w:ind w:left="720"/>
        <w:jc w:val="both"/>
        <w:rPr>
          <w:i/>
        </w:rPr>
      </w:pPr>
      <w:r w:rsidRPr="00831057">
        <w:rPr>
          <w:i/>
        </w:rPr>
        <w:t>What is of utmost importance is</w:t>
      </w:r>
      <w:r w:rsidRPr="00831057">
        <w:rPr>
          <w:i/>
          <w:spacing w:val="-3"/>
        </w:rPr>
        <w:t xml:space="preserve"> </w:t>
      </w:r>
      <w:r w:rsidRPr="00831057">
        <w:rPr>
          <w:i/>
        </w:rPr>
        <w:t>that if</w:t>
      </w:r>
      <w:r w:rsidRPr="00831057">
        <w:rPr>
          <w:i/>
          <w:spacing w:val="-3"/>
        </w:rPr>
        <w:t xml:space="preserve"> </w:t>
      </w:r>
      <w:r w:rsidRPr="00831057">
        <w:rPr>
          <w:i/>
        </w:rPr>
        <w:t xml:space="preserve">the parties agree that the deponent to the affidavit will not be cross-examined, like the parties did </w:t>
      </w:r>
      <w:r w:rsidRPr="00831057">
        <w:rPr>
          <w:i/>
          <w:iCs/>
        </w:rPr>
        <w:t xml:space="preserve">in casu, </w:t>
      </w:r>
      <w:r w:rsidRPr="00831057">
        <w:rPr>
          <w:i/>
        </w:rPr>
        <w:t>the factual allegations in the affidavit stand unchallenged and, accordingly, no dispute of fact in respect thereof, arises.</w:t>
      </w:r>
      <w:r w:rsidRPr="00831057">
        <w:rPr>
          <w:i/>
          <w:spacing w:val="40"/>
        </w:rPr>
        <w:t xml:space="preserve"> </w:t>
      </w:r>
      <w:r w:rsidRPr="00831057">
        <w:rPr>
          <w:i/>
        </w:rPr>
        <w:t xml:space="preserve">In </w:t>
      </w:r>
      <w:r w:rsidRPr="00831057">
        <w:rPr>
          <w:b/>
          <w:bCs/>
          <w:i/>
          <w:u w:val="thick"/>
        </w:rPr>
        <w:t>Esorfranki (Pty) Ltd v Mopani District</w:t>
      </w:r>
      <w:r w:rsidRPr="00831057">
        <w:rPr>
          <w:b/>
          <w:bCs/>
          <w:i/>
        </w:rPr>
        <w:t xml:space="preserve"> </w:t>
      </w:r>
      <w:r w:rsidRPr="00831057">
        <w:rPr>
          <w:b/>
          <w:bCs/>
          <w:i/>
          <w:u w:val="thick"/>
        </w:rPr>
        <w:t>Municipality</w:t>
      </w:r>
      <w:r w:rsidRPr="00831057">
        <w:rPr>
          <w:b/>
          <w:bCs/>
          <w:i/>
        </w:rPr>
        <w:t xml:space="preserve"> </w:t>
      </w:r>
      <w:r w:rsidRPr="00831057">
        <w:rPr>
          <w:i/>
        </w:rPr>
        <w:t>2022 (2)</w:t>
      </w:r>
      <w:r w:rsidRPr="00831057">
        <w:rPr>
          <w:i/>
          <w:spacing w:val="40"/>
        </w:rPr>
        <w:t xml:space="preserve"> </w:t>
      </w:r>
      <w:r w:rsidRPr="00831057">
        <w:rPr>
          <w:i/>
        </w:rPr>
        <w:t>SA 355 (SCA) the Supreme Court of Appeal pronounced on this issue at paras [23], [27] and [28] of the judgment, the crux of which is contained at para [27]:</w:t>
      </w:r>
    </w:p>
    <w:p w:rsidR="0032721D" w:rsidRPr="00831057" w:rsidRDefault="0032721D" w:rsidP="0032721D">
      <w:pPr>
        <w:kinsoku w:val="0"/>
        <w:overflowPunct w:val="0"/>
        <w:spacing w:before="8" w:line="360" w:lineRule="auto"/>
        <w:jc w:val="both"/>
        <w:rPr>
          <w:i/>
        </w:rPr>
      </w:pPr>
    </w:p>
    <w:p w:rsidR="0032721D" w:rsidRPr="00831057" w:rsidRDefault="0032721D" w:rsidP="0032721D">
      <w:pPr>
        <w:kinsoku w:val="0"/>
        <w:overflowPunct w:val="0"/>
        <w:spacing w:line="360" w:lineRule="auto"/>
        <w:ind w:left="720"/>
        <w:outlineLvl w:val="0"/>
        <w:rPr>
          <w:i/>
          <w:spacing w:val="-2"/>
        </w:rPr>
      </w:pPr>
      <w:r w:rsidRPr="00831057">
        <w:rPr>
          <w:i/>
        </w:rPr>
        <w:t>"The</w:t>
      </w:r>
      <w:r w:rsidRPr="00831057">
        <w:rPr>
          <w:i/>
          <w:spacing w:val="1"/>
        </w:rPr>
        <w:t xml:space="preserve"> </w:t>
      </w:r>
      <w:r w:rsidRPr="00831057">
        <w:rPr>
          <w:i/>
        </w:rPr>
        <w:t>status</w:t>
      </w:r>
      <w:r w:rsidRPr="00831057">
        <w:rPr>
          <w:i/>
          <w:spacing w:val="11"/>
        </w:rPr>
        <w:t xml:space="preserve"> </w:t>
      </w:r>
      <w:r w:rsidRPr="00831057">
        <w:rPr>
          <w:i/>
        </w:rPr>
        <w:t>of</w:t>
      </w:r>
      <w:r w:rsidRPr="00831057">
        <w:rPr>
          <w:i/>
          <w:spacing w:val="2"/>
        </w:rPr>
        <w:t xml:space="preserve"> </w:t>
      </w:r>
      <w:r w:rsidRPr="00831057">
        <w:rPr>
          <w:i/>
        </w:rPr>
        <w:t>the</w:t>
      </w:r>
      <w:r w:rsidRPr="00831057">
        <w:rPr>
          <w:i/>
          <w:spacing w:val="2"/>
        </w:rPr>
        <w:t xml:space="preserve"> </w:t>
      </w:r>
      <w:r w:rsidRPr="00831057">
        <w:rPr>
          <w:i/>
        </w:rPr>
        <w:t>affidavits</w:t>
      </w:r>
      <w:r w:rsidRPr="00831057">
        <w:rPr>
          <w:i/>
          <w:spacing w:val="22"/>
        </w:rPr>
        <w:t xml:space="preserve"> </w:t>
      </w:r>
      <w:r w:rsidRPr="00831057">
        <w:rPr>
          <w:i/>
        </w:rPr>
        <w:t>before</w:t>
      </w:r>
      <w:r w:rsidRPr="00831057">
        <w:rPr>
          <w:i/>
          <w:spacing w:val="8"/>
        </w:rPr>
        <w:t xml:space="preserve"> </w:t>
      </w:r>
      <w:r w:rsidRPr="00831057">
        <w:rPr>
          <w:i/>
        </w:rPr>
        <w:t>the High</w:t>
      </w:r>
      <w:r w:rsidRPr="00831057">
        <w:rPr>
          <w:i/>
          <w:spacing w:val="5"/>
        </w:rPr>
        <w:t xml:space="preserve"> </w:t>
      </w:r>
      <w:r w:rsidRPr="00831057">
        <w:rPr>
          <w:i/>
          <w:spacing w:val="-2"/>
        </w:rPr>
        <w:t>Court</w:t>
      </w:r>
    </w:p>
    <w:p w:rsidR="0032721D" w:rsidRPr="00831057" w:rsidRDefault="0049579E" w:rsidP="0049579E">
      <w:pPr>
        <w:widowControl w:val="0"/>
        <w:tabs>
          <w:tab w:val="left" w:pos="0"/>
        </w:tabs>
        <w:kinsoku w:val="0"/>
        <w:overflowPunct w:val="0"/>
        <w:autoSpaceDE w:val="0"/>
        <w:autoSpaceDN w:val="0"/>
        <w:adjustRightInd w:val="0"/>
        <w:spacing w:before="131" w:line="360" w:lineRule="auto"/>
        <w:ind w:left="720"/>
        <w:jc w:val="both"/>
        <w:rPr>
          <w:i/>
        </w:rPr>
      </w:pPr>
      <w:r w:rsidRPr="00831057">
        <w:rPr>
          <w:i/>
          <w:spacing w:val="-1"/>
          <w:w w:val="103"/>
        </w:rPr>
        <w:t>[23]</w:t>
      </w:r>
      <w:r w:rsidRPr="00831057">
        <w:rPr>
          <w:i/>
          <w:spacing w:val="-1"/>
          <w:w w:val="103"/>
        </w:rPr>
        <w:tab/>
      </w:r>
      <w:r w:rsidR="0032721D" w:rsidRPr="00831057">
        <w:rPr>
          <w:i/>
        </w:rPr>
        <w:t>... To the contrary, it is clearly recorded that the affidavits were received as evidence before the trial court. It was accepted by Mopani that the deponents need not be called since there was to be no cross­ examination of</w:t>
      </w:r>
      <w:r w:rsidR="0032721D" w:rsidRPr="00831057">
        <w:rPr>
          <w:i/>
          <w:spacing w:val="-1"/>
        </w:rPr>
        <w:t xml:space="preserve"> </w:t>
      </w:r>
      <w:r w:rsidR="0032721D" w:rsidRPr="00831057">
        <w:rPr>
          <w:i/>
        </w:rPr>
        <w:t>them. It was on this basis that Esorfranki closed its case. It was accordingly simply wrong to suggest that Esorfranki did not present evidence</w:t>
      </w:r>
      <w:r w:rsidR="0032721D" w:rsidRPr="00831057">
        <w:rPr>
          <w:i/>
          <w:spacing w:val="25"/>
        </w:rPr>
        <w:t xml:space="preserve"> </w:t>
      </w:r>
      <w:r w:rsidR="0032721D" w:rsidRPr="00831057">
        <w:rPr>
          <w:i/>
        </w:rPr>
        <w:t>to support its pleaded case. The evidence it presented</w:t>
      </w:r>
      <w:r w:rsidR="0032721D" w:rsidRPr="00831057">
        <w:rPr>
          <w:i/>
          <w:spacing w:val="22"/>
        </w:rPr>
        <w:t xml:space="preserve"> </w:t>
      </w:r>
      <w:r w:rsidR="0032721D" w:rsidRPr="00831057">
        <w:rPr>
          <w:i/>
        </w:rPr>
        <w:t>in</w:t>
      </w:r>
      <w:r w:rsidR="0032721D" w:rsidRPr="00831057">
        <w:rPr>
          <w:i/>
          <w:spacing w:val="-6"/>
        </w:rPr>
        <w:t xml:space="preserve"> </w:t>
      </w:r>
      <w:r w:rsidR="0032721D" w:rsidRPr="00831057">
        <w:rPr>
          <w:i/>
        </w:rPr>
        <w:t>the</w:t>
      </w:r>
      <w:r w:rsidR="0032721D" w:rsidRPr="00831057">
        <w:rPr>
          <w:i/>
          <w:spacing w:val="-4"/>
        </w:rPr>
        <w:t xml:space="preserve"> </w:t>
      </w:r>
      <w:r w:rsidR="0032721D" w:rsidRPr="00831057">
        <w:rPr>
          <w:i/>
        </w:rPr>
        <w:t>trial was,</w:t>
      </w:r>
      <w:r w:rsidR="0032721D" w:rsidRPr="00831057">
        <w:rPr>
          <w:i/>
          <w:spacing w:val="51"/>
          <w:w w:val="150"/>
        </w:rPr>
        <w:t xml:space="preserve"> </w:t>
      </w:r>
      <w:r w:rsidR="0032721D" w:rsidRPr="00831057">
        <w:rPr>
          <w:i/>
        </w:rPr>
        <w:t>by</w:t>
      </w:r>
      <w:r w:rsidR="0032721D" w:rsidRPr="00831057">
        <w:rPr>
          <w:i/>
          <w:spacing w:val="76"/>
        </w:rPr>
        <w:t xml:space="preserve"> </w:t>
      </w:r>
      <w:r w:rsidR="0032721D" w:rsidRPr="00831057">
        <w:rPr>
          <w:i/>
        </w:rPr>
        <w:t>reason</w:t>
      </w:r>
      <w:r w:rsidR="0032721D" w:rsidRPr="00831057">
        <w:rPr>
          <w:i/>
          <w:spacing w:val="53"/>
          <w:w w:val="150"/>
        </w:rPr>
        <w:t xml:space="preserve"> </w:t>
      </w:r>
      <w:r w:rsidR="0032721D" w:rsidRPr="00831057">
        <w:rPr>
          <w:i/>
        </w:rPr>
        <w:t>of</w:t>
      </w:r>
      <w:r w:rsidR="0032721D" w:rsidRPr="00831057">
        <w:rPr>
          <w:i/>
          <w:spacing w:val="70"/>
        </w:rPr>
        <w:t xml:space="preserve"> </w:t>
      </w:r>
      <w:r w:rsidR="0032721D" w:rsidRPr="00831057">
        <w:rPr>
          <w:i/>
        </w:rPr>
        <w:t>the</w:t>
      </w:r>
      <w:r w:rsidR="0032721D" w:rsidRPr="00831057">
        <w:rPr>
          <w:i/>
          <w:spacing w:val="67"/>
        </w:rPr>
        <w:t xml:space="preserve"> </w:t>
      </w:r>
      <w:r w:rsidR="0032721D" w:rsidRPr="00831057">
        <w:rPr>
          <w:i/>
        </w:rPr>
        <w:t>failure</w:t>
      </w:r>
      <w:r w:rsidR="0032721D" w:rsidRPr="00831057">
        <w:rPr>
          <w:i/>
          <w:spacing w:val="76"/>
        </w:rPr>
        <w:t xml:space="preserve"> </w:t>
      </w:r>
      <w:r w:rsidR="0032721D" w:rsidRPr="00831057">
        <w:rPr>
          <w:i/>
        </w:rPr>
        <w:t>to</w:t>
      </w:r>
      <w:r w:rsidR="0032721D" w:rsidRPr="00831057">
        <w:rPr>
          <w:i/>
          <w:spacing w:val="69"/>
        </w:rPr>
        <w:t xml:space="preserve"> </w:t>
      </w:r>
      <w:r w:rsidR="0032721D" w:rsidRPr="00831057">
        <w:rPr>
          <w:i/>
        </w:rPr>
        <w:t>cross-examine</w:t>
      </w:r>
      <w:r w:rsidR="0032721D" w:rsidRPr="00831057">
        <w:rPr>
          <w:i/>
          <w:spacing w:val="56"/>
          <w:w w:val="150"/>
        </w:rPr>
        <w:t xml:space="preserve"> </w:t>
      </w:r>
      <w:r w:rsidR="0032721D" w:rsidRPr="00831057">
        <w:rPr>
          <w:i/>
        </w:rPr>
        <w:t>witnesses</w:t>
      </w:r>
      <w:r w:rsidR="0032721D" w:rsidRPr="00831057">
        <w:rPr>
          <w:i/>
          <w:spacing w:val="64"/>
          <w:w w:val="150"/>
        </w:rPr>
        <w:t xml:space="preserve"> </w:t>
      </w:r>
      <w:r w:rsidR="0032721D" w:rsidRPr="00831057">
        <w:rPr>
          <w:i/>
        </w:rPr>
        <w:t>or</w:t>
      </w:r>
      <w:r w:rsidR="0032721D" w:rsidRPr="00831057">
        <w:rPr>
          <w:i/>
          <w:spacing w:val="77"/>
        </w:rPr>
        <w:t xml:space="preserve"> </w:t>
      </w:r>
      <w:r w:rsidR="0032721D" w:rsidRPr="00831057">
        <w:rPr>
          <w:i/>
        </w:rPr>
        <w:t>to</w:t>
      </w:r>
      <w:r w:rsidR="0032721D" w:rsidRPr="00831057">
        <w:rPr>
          <w:i/>
          <w:spacing w:val="69"/>
        </w:rPr>
        <w:t xml:space="preserve"> </w:t>
      </w:r>
      <w:r w:rsidR="0032721D" w:rsidRPr="00831057">
        <w:rPr>
          <w:i/>
          <w:spacing w:val="-4"/>
        </w:rPr>
        <w:t xml:space="preserve">lead </w:t>
      </w:r>
      <w:r w:rsidR="0032721D" w:rsidRPr="00831057">
        <w:rPr>
          <w:i/>
        </w:rPr>
        <w:t xml:space="preserve">evidence in rebuttal, uncontested. As </w:t>
      </w:r>
      <w:r w:rsidR="0032721D" w:rsidRPr="00831057">
        <w:rPr>
          <w:i/>
          <w:w w:val="95"/>
        </w:rPr>
        <w:t>will</w:t>
      </w:r>
      <w:r w:rsidR="0032721D" w:rsidRPr="00831057">
        <w:rPr>
          <w:i/>
          <w:spacing w:val="-6"/>
          <w:w w:val="95"/>
        </w:rPr>
        <w:t xml:space="preserve"> </w:t>
      </w:r>
      <w:r w:rsidR="0032721D" w:rsidRPr="00831057">
        <w:rPr>
          <w:i/>
        </w:rPr>
        <w:t>be seen hereunder, this is of considerable</w:t>
      </w:r>
      <w:r w:rsidR="0032721D" w:rsidRPr="00831057">
        <w:rPr>
          <w:i/>
          <w:spacing w:val="40"/>
        </w:rPr>
        <w:t xml:space="preserve"> </w:t>
      </w:r>
      <w:r w:rsidR="0032721D" w:rsidRPr="00831057">
        <w:rPr>
          <w:i/>
        </w:rPr>
        <w:t>significance in the outcome of the appeal.</w:t>
      </w:r>
    </w:p>
    <w:p w:rsidR="0032721D" w:rsidRPr="00831057" w:rsidRDefault="0032721D" w:rsidP="0032721D">
      <w:pPr>
        <w:kinsoku w:val="0"/>
        <w:overflowPunct w:val="0"/>
        <w:spacing w:line="360" w:lineRule="auto"/>
        <w:ind w:left="720"/>
        <w:jc w:val="both"/>
        <w:rPr>
          <w:i/>
        </w:rPr>
      </w:pPr>
    </w:p>
    <w:p w:rsidR="0032721D" w:rsidRPr="00831057" w:rsidRDefault="0049579E" w:rsidP="0049579E">
      <w:pPr>
        <w:widowControl w:val="0"/>
        <w:tabs>
          <w:tab w:val="left" w:pos="2791"/>
        </w:tabs>
        <w:kinsoku w:val="0"/>
        <w:overflowPunct w:val="0"/>
        <w:autoSpaceDE w:val="0"/>
        <w:autoSpaceDN w:val="0"/>
        <w:adjustRightInd w:val="0"/>
        <w:spacing w:before="93" w:line="360" w:lineRule="auto"/>
        <w:ind w:left="720"/>
        <w:jc w:val="both"/>
        <w:rPr>
          <w:i/>
          <w:spacing w:val="-5"/>
          <w:w w:val="115"/>
        </w:rPr>
      </w:pPr>
      <w:r w:rsidRPr="00831057">
        <w:rPr>
          <w:i/>
          <w:spacing w:val="-1"/>
          <w:w w:val="103"/>
        </w:rPr>
        <w:t>[24]</w:t>
      </w:r>
      <w:r w:rsidRPr="00831057">
        <w:rPr>
          <w:i/>
          <w:spacing w:val="-1"/>
          <w:w w:val="103"/>
        </w:rPr>
        <w:tab/>
      </w:r>
      <w:r w:rsidR="0032721D" w:rsidRPr="00831057">
        <w:rPr>
          <w:i/>
          <w:spacing w:val="-5"/>
          <w:w w:val="115"/>
        </w:rPr>
        <w:t>...</w:t>
      </w:r>
    </w:p>
    <w:p w:rsidR="0032721D" w:rsidRPr="00831057" w:rsidRDefault="0049579E" w:rsidP="0049579E">
      <w:pPr>
        <w:widowControl w:val="0"/>
        <w:tabs>
          <w:tab w:val="left" w:pos="2781"/>
        </w:tabs>
        <w:kinsoku w:val="0"/>
        <w:overflowPunct w:val="0"/>
        <w:autoSpaceDE w:val="0"/>
        <w:autoSpaceDN w:val="0"/>
        <w:adjustRightInd w:val="0"/>
        <w:spacing w:before="153" w:line="360" w:lineRule="auto"/>
        <w:ind w:left="720"/>
        <w:jc w:val="both"/>
        <w:rPr>
          <w:i/>
          <w:spacing w:val="-5"/>
          <w:w w:val="105"/>
        </w:rPr>
      </w:pPr>
      <w:r w:rsidRPr="00831057">
        <w:rPr>
          <w:i/>
          <w:spacing w:val="-1"/>
          <w:w w:val="103"/>
        </w:rPr>
        <w:t>[25]</w:t>
      </w:r>
      <w:r w:rsidRPr="00831057">
        <w:rPr>
          <w:i/>
          <w:spacing w:val="-1"/>
          <w:w w:val="103"/>
        </w:rPr>
        <w:tab/>
      </w:r>
      <w:r w:rsidR="0032721D" w:rsidRPr="00831057">
        <w:rPr>
          <w:i/>
          <w:spacing w:val="-5"/>
          <w:w w:val="105"/>
        </w:rPr>
        <w:t>...</w:t>
      </w:r>
    </w:p>
    <w:p w:rsidR="0032721D" w:rsidRPr="00831057" w:rsidRDefault="0049579E" w:rsidP="0049579E">
      <w:pPr>
        <w:widowControl w:val="0"/>
        <w:tabs>
          <w:tab w:val="left" w:pos="2675"/>
        </w:tabs>
        <w:kinsoku w:val="0"/>
        <w:overflowPunct w:val="0"/>
        <w:autoSpaceDE w:val="0"/>
        <w:autoSpaceDN w:val="0"/>
        <w:adjustRightInd w:val="0"/>
        <w:spacing w:before="147" w:line="360" w:lineRule="auto"/>
        <w:ind w:left="720"/>
        <w:jc w:val="both"/>
        <w:rPr>
          <w:i/>
          <w:spacing w:val="-5"/>
          <w:w w:val="105"/>
        </w:rPr>
      </w:pPr>
      <w:r w:rsidRPr="00831057">
        <w:rPr>
          <w:i/>
          <w:spacing w:val="-1"/>
          <w:w w:val="103"/>
        </w:rPr>
        <w:t>[26]</w:t>
      </w:r>
      <w:r w:rsidRPr="00831057">
        <w:rPr>
          <w:i/>
          <w:spacing w:val="-1"/>
          <w:w w:val="103"/>
        </w:rPr>
        <w:tab/>
      </w:r>
      <w:r w:rsidR="0032721D" w:rsidRPr="00831057">
        <w:rPr>
          <w:i/>
          <w:spacing w:val="-5"/>
          <w:w w:val="105"/>
        </w:rPr>
        <w:t xml:space="preserve">  ...</w:t>
      </w:r>
    </w:p>
    <w:p w:rsidR="0032721D" w:rsidRPr="00831057" w:rsidRDefault="0032721D" w:rsidP="0032721D">
      <w:pPr>
        <w:kinsoku w:val="0"/>
        <w:overflowPunct w:val="0"/>
        <w:spacing w:line="360" w:lineRule="auto"/>
        <w:ind w:left="720"/>
        <w:jc w:val="both"/>
        <w:rPr>
          <w:i/>
        </w:rPr>
      </w:pPr>
    </w:p>
    <w:p w:rsidR="0032721D" w:rsidRPr="00831057" w:rsidRDefault="0049579E" w:rsidP="0049579E">
      <w:pPr>
        <w:widowControl w:val="0"/>
        <w:tabs>
          <w:tab w:val="left" w:pos="0"/>
        </w:tabs>
        <w:kinsoku w:val="0"/>
        <w:overflowPunct w:val="0"/>
        <w:autoSpaceDE w:val="0"/>
        <w:autoSpaceDN w:val="0"/>
        <w:adjustRightInd w:val="0"/>
        <w:spacing w:before="94" w:line="360" w:lineRule="auto"/>
        <w:ind w:left="720"/>
        <w:jc w:val="both"/>
        <w:rPr>
          <w:i/>
          <w:w w:val="105"/>
        </w:rPr>
      </w:pPr>
      <w:r w:rsidRPr="00831057">
        <w:rPr>
          <w:i/>
          <w:spacing w:val="-1"/>
          <w:w w:val="103"/>
        </w:rPr>
        <w:lastRenderedPageBreak/>
        <w:t>[27]</w:t>
      </w:r>
      <w:r w:rsidRPr="00831057">
        <w:rPr>
          <w:i/>
          <w:spacing w:val="-1"/>
          <w:w w:val="103"/>
        </w:rPr>
        <w:tab/>
      </w:r>
      <w:r w:rsidR="0032721D" w:rsidRPr="00831057">
        <w:rPr>
          <w:i/>
          <w:w w:val="105"/>
          <w:u w:val="thick"/>
        </w:rPr>
        <w:t>There is no procedural impediment to the reception of evidence,</w:t>
      </w:r>
      <w:r w:rsidR="0032721D" w:rsidRPr="00831057">
        <w:rPr>
          <w:i/>
          <w:spacing w:val="-3"/>
          <w:w w:val="105"/>
          <w:u w:val="thick"/>
        </w:rPr>
        <w:t xml:space="preserve"> </w:t>
      </w:r>
      <w:r w:rsidR="0032721D" w:rsidRPr="00831057">
        <w:rPr>
          <w:i/>
          <w:w w:val="105"/>
          <w:u w:val="thick"/>
        </w:rPr>
        <w:t>by a</w:t>
      </w:r>
      <w:r w:rsidR="0032721D" w:rsidRPr="00831057">
        <w:rPr>
          <w:i/>
          <w:w w:val="105"/>
        </w:rPr>
        <w:t xml:space="preserve"> </w:t>
      </w:r>
      <w:r w:rsidR="0032721D" w:rsidRPr="00831057">
        <w:rPr>
          <w:i/>
          <w:w w:val="105"/>
          <w:u w:val="thick"/>
        </w:rPr>
        <w:t>trial court. by way of affidavit. If the parties agree that facts may be placed</w:t>
      </w:r>
      <w:r w:rsidR="0032721D" w:rsidRPr="00831057">
        <w:rPr>
          <w:i/>
          <w:w w:val="105"/>
        </w:rPr>
        <w:t xml:space="preserve"> </w:t>
      </w:r>
      <w:r w:rsidR="0032721D" w:rsidRPr="00831057">
        <w:rPr>
          <w:i/>
          <w:w w:val="105"/>
          <w:u w:val="thick"/>
        </w:rPr>
        <w:t>before a court by way of affidavit and agree that the deponent will not be</w:t>
      </w:r>
      <w:r w:rsidR="0032721D" w:rsidRPr="00831057">
        <w:rPr>
          <w:i/>
          <w:w w:val="105"/>
        </w:rPr>
        <w:t xml:space="preserve"> </w:t>
      </w:r>
      <w:r w:rsidR="0032721D" w:rsidRPr="00831057">
        <w:rPr>
          <w:i/>
          <w:w w:val="105"/>
          <w:u w:val="thick"/>
        </w:rPr>
        <w:t>cross-examined,</w:t>
      </w:r>
      <w:r w:rsidR="0032721D" w:rsidRPr="00831057">
        <w:rPr>
          <w:i/>
          <w:spacing w:val="-14"/>
          <w:w w:val="105"/>
          <w:u w:val="thick"/>
        </w:rPr>
        <w:t xml:space="preserve"> </w:t>
      </w:r>
      <w:r w:rsidR="0032721D" w:rsidRPr="00831057">
        <w:rPr>
          <w:i/>
          <w:w w:val="105"/>
          <w:u w:val="thick"/>
        </w:rPr>
        <w:t>then</w:t>
      </w:r>
      <w:r w:rsidR="0032721D" w:rsidRPr="00831057">
        <w:rPr>
          <w:i/>
          <w:spacing w:val="-3"/>
          <w:w w:val="105"/>
          <w:u w:val="thick"/>
        </w:rPr>
        <w:t xml:space="preserve"> </w:t>
      </w:r>
      <w:r w:rsidR="0032721D" w:rsidRPr="00831057">
        <w:rPr>
          <w:i/>
          <w:w w:val="105"/>
          <w:u w:val="thick"/>
        </w:rPr>
        <w:t>the</w:t>
      </w:r>
      <w:r w:rsidR="0032721D" w:rsidRPr="00831057">
        <w:rPr>
          <w:i/>
          <w:spacing w:val="-1"/>
          <w:w w:val="105"/>
          <w:u w:val="thick"/>
        </w:rPr>
        <w:t xml:space="preserve"> </w:t>
      </w:r>
      <w:r w:rsidR="0032721D" w:rsidRPr="00831057">
        <w:rPr>
          <w:i/>
          <w:w w:val="105"/>
          <w:u w:val="thick"/>
        </w:rPr>
        <w:t>factual allegations</w:t>
      </w:r>
      <w:r w:rsidR="0032721D" w:rsidRPr="00831057">
        <w:rPr>
          <w:i/>
          <w:spacing w:val="-2"/>
          <w:w w:val="105"/>
          <w:u w:val="thick"/>
        </w:rPr>
        <w:t xml:space="preserve"> </w:t>
      </w:r>
      <w:r w:rsidR="0032721D" w:rsidRPr="00831057">
        <w:rPr>
          <w:i/>
          <w:w w:val="105"/>
          <w:u w:val="thick"/>
        </w:rPr>
        <w:t>contained</w:t>
      </w:r>
      <w:r w:rsidR="0032721D" w:rsidRPr="00831057">
        <w:rPr>
          <w:i/>
          <w:spacing w:val="-1"/>
          <w:w w:val="105"/>
          <w:u w:val="thick"/>
        </w:rPr>
        <w:t xml:space="preserve"> </w:t>
      </w:r>
      <w:r w:rsidR="0032721D" w:rsidRPr="00831057">
        <w:rPr>
          <w:i/>
          <w:w w:val="105"/>
          <w:u w:val="thick"/>
        </w:rPr>
        <w:t>in the affidavit stand</w:t>
      </w:r>
      <w:r w:rsidR="0032721D" w:rsidRPr="00831057">
        <w:rPr>
          <w:i/>
          <w:w w:val="105"/>
        </w:rPr>
        <w:t xml:space="preserve"> </w:t>
      </w:r>
      <w:r w:rsidR="0032721D" w:rsidRPr="00831057">
        <w:rPr>
          <w:i/>
          <w:w w:val="105"/>
          <w:u w:val="thick"/>
        </w:rPr>
        <w:t>unchallenged. Where that occurs, no dispute of fact arises.</w:t>
      </w:r>
    </w:p>
    <w:p w:rsidR="0032721D" w:rsidRPr="00831057" w:rsidRDefault="0032721D" w:rsidP="0032721D">
      <w:pPr>
        <w:tabs>
          <w:tab w:val="left" w:pos="0"/>
        </w:tabs>
        <w:kinsoku w:val="0"/>
        <w:overflowPunct w:val="0"/>
        <w:spacing w:line="360" w:lineRule="auto"/>
        <w:ind w:left="720"/>
        <w:jc w:val="both"/>
        <w:rPr>
          <w:i/>
        </w:rPr>
      </w:pPr>
    </w:p>
    <w:p w:rsidR="0032721D" w:rsidRPr="00831057" w:rsidRDefault="0049579E" w:rsidP="0049579E">
      <w:pPr>
        <w:widowControl w:val="0"/>
        <w:tabs>
          <w:tab w:val="left" w:pos="0"/>
        </w:tabs>
        <w:kinsoku w:val="0"/>
        <w:overflowPunct w:val="0"/>
        <w:autoSpaceDE w:val="0"/>
        <w:autoSpaceDN w:val="0"/>
        <w:adjustRightInd w:val="0"/>
        <w:spacing w:before="145" w:line="360" w:lineRule="auto"/>
        <w:ind w:left="720"/>
        <w:jc w:val="both"/>
        <w:rPr>
          <w:i/>
          <w:w w:val="105"/>
        </w:rPr>
      </w:pPr>
      <w:r w:rsidRPr="00831057">
        <w:rPr>
          <w:i/>
          <w:spacing w:val="-1"/>
          <w:w w:val="103"/>
        </w:rPr>
        <w:t>[28]</w:t>
      </w:r>
      <w:r w:rsidRPr="00831057">
        <w:rPr>
          <w:i/>
          <w:spacing w:val="-1"/>
          <w:w w:val="103"/>
        </w:rPr>
        <w:tab/>
      </w:r>
      <w:r w:rsidR="0032721D" w:rsidRPr="00831057">
        <w:rPr>
          <w:i/>
          <w:w w:val="105"/>
        </w:rPr>
        <w:t>It must be emphasised that Mopani was not obliged to accept the manner in which the evidence was placed before the trial court. It was entitled to challenge the evidence by subjecting the witnesses to cross­ examination. Not only did it not do so, it also elected not to present any evidence at all, despite being possessed of affidavits which had been presented in the review application and in the numerous interlocutory applications. The upshot of this was that the only evidence before the trial court was the extensive allegations of fact presented by Esorfranki's witnesses." (Own emphasis)</w:t>
      </w:r>
    </w:p>
    <w:p w:rsidR="0032721D" w:rsidRPr="00831057" w:rsidRDefault="0032721D" w:rsidP="005402AD">
      <w:pPr>
        <w:keepNext/>
        <w:keepLines/>
        <w:shd w:val="clear" w:color="auto" w:fill="FFFFFF"/>
        <w:spacing w:line="360" w:lineRule="auto"/>
        <w:ind w:left="851" w:hanging="851"/>
        <w:jc w:val="both"/>
        <w:outlineLvl w:val="1"/>
        <w:rPr>
          <w:i/>
        </w:rPr>
      </w:pPr>
      <w:r w:rsidRPr="00831057">
        <w:rPr>
          <w:rFonts w:ascii="Arial" w:eastAsiaTheme="majorEastAsia" w:hAnsi="Arial" w:cs="Arial"/>
          <w:i/>
          <w:color w:val="000000" w:themeColor="text1"/>
        </w:rPr>
        <w:t xml:space="preserve"> </w:t>
      </w:r>
      <w:r w:rsidRPr="00831057">
        <w:rPr>
          <w:i/>
        </w:rPr>
        <w:t xml:space="preserve">              </w:t>
      </w:r>
    </w:p>
    <w:p w:rsidR="0032721D" w:rsidRPr="00831057" w:rsidRDefault="0032721D" w:rsidP="0032721D">
      <w:pPr>
        <w:shd w:val="clear" w:color="auto" w:fill="FFFFFF"/>
        <w:spacing w:line="360" w:lineRule="auto"/>
        <w:ind w:left="720" w:hanging="720"/>
        <w:jc w:val="both"/>
        <w:rPr>
          <w:rFonts w:ascii="Arial" w:hAnsi="Arial" w:cs="Arial"/>
          <w:i/>
          <w:color w:val="000000" w:themeColor="text1"/>
        </w:rPr>
      </w:pPr>
    </w:p>
    <w:p w:rsidR="0032721D" w:rsidRPr="00831057" w:rsidRDefault="0032721D" w:rsidP="009144C3">
      <w:pPr>
        <w:shd w:val="clear" w:color="auto" w:fill="FFFFFF"/>
        <w:spacing w:line="360" w:lineRule="auto"/>
        <w:ind w:left="851" w:hanging="851"/>
        <w:jc w:val="both"/>
        <w:rPr>
          <w:rFonts w:ascii="Arial" w:hAnsi="Arial" w:cs="Arial"/>
          <w:i/>
          <w:color w:val="000000" w:themeColor="text1"/>
        </w:rPr>
      </w:pPr>
      <w:r w:rsidRPr="00831057">
        <w:rPr>
          <w:rFonts w:ascii="Arial" w:hAnsi="Arial" w:cs="Arial"/>
          <w:i/>
          <w:color w:val="000000" w:themeColor="text1"/>
        </w:rPr>
        <w:t>[18]</w:t>
      </w:r>
      <w:r w:rsidRPr="00831057">
        <w:rPr>
          <w:rFonts w:ascii="Arial" w:hAnsi="Arial" w:cs="Arial"/>
          <w:i/>
          <w:color w:val="000000" w:themeColor="text1"/>
        </w:rPr>
        <w:tab/>
        <w:t xml:space="preserve">What is palpably clear in my view is that the defendant chose not to put in issue or cross-examine the experts on whose affidavits the plaintiff relied upon. The affidavits and the evidence contained therein were handed by agreement. Rule 38(2) does not oblige a party to accept the evidence by way of an affidavit. In this case, not only did the defendant allow for the admission of the expert reports in terms of Rule 38(2), but the correctness of the said reports was pertinently accepted. </w:t>
      </w:r>
    </w:p>
    <w:p w:rsidR="0032721D" w:rsidRPr="00831057" w:rsidRDefault="0032721D" w:rsidP="009144C3">
      <w:pPr>
        <w:spacing w:line="360" w:lineRule="auto"/>
        <w:ind w:left="851" w:hanging="851"/>
        <w:jc w:val="both"/>
        <w:rPr>
          <w:rFonts w:ascii="Arial" w:hAnsi="Arial" w:cs="Arial"/>
          <w:i/>
          <w:color w:val="000000" w:themeColor="text1"/>
        </w:rPr>
      </w:pPr>
    </w:p>
    <w:p w:rsidR="0032721D" w:rsidRPr="009144C3" w:rsidRDefault="0032721D" w:rsidP="009144C3">
      <w:pPr>
        <w:spacing w:line="360" w:lineRule="auto"/>
        <w:ind w:left="851" w:hanging="851"/>
        <w:jc w:val="both"/>
        <w:rPr>
          <w:rFonts w:ascii="Arial" w:hAnsi="Arial" w:cs="Arial"/>
          <w:i/>
          <w:color w:val="0070C0"/>
        </w:rPr>
      </w:pPr>
      <w:r w:rsidRPr="009144C3">
        <w:rPr>
          <w:rFonts w:ascii="Arial" w:hAnsi="Arial" w:cs="Arial"/>
          <w:i/>
          <w:color w:val="000000" w:themeColor="text1"/>
        </w:rPr>
        <w:t>[19]</w:t>
      </w:r>
      <w:r w:rsidRPr="009144C3">
        <w:rPr>
          <w:rFonts w:ascii="Arial" w:hAnsi="Arial" w:cs="Arial"/>
          <w:i/>
          <w:color w:val="000000" w:themeColor="text1"/>
        </w:rPr>
        <w:tab/>
        <w:t>The only evidence before the court about the issue in dispute is the evidence as led by the plaintiff. Having this in mind, one has to remind oneself that once evidence has been led, it calls for a reply. If no evidence in rebuttal is adduced, such evidence becomes conclusive proof and the party giving it discharges the onus</w:t>
      </w:r>
      <w:r w:rsidRPr="00831057">
        <w:rPr>
          <w:vertAlign w:val="superscript"/>
        </w:rPr>
        <w:footnoteReference w:id="3"/>
      </w:r>
      <w:r w:rsidRPr="009144C3">
        <w:rPr>
          <w:rFonts w:ascii="Arial" w:hAnsi="Arial" w:cs="Arial"/>
          <w:i/>
          <w:color w:val="000000" w:themeColor="text1"/>
        </w:rPr>
        <w:t xml:space="preserve">.” </w:t>
      </w:r>
    </w:p>
    <w:p w:rsidR="0032721D" w:rsidRPr="0032721D" w:rsidRDefault="0032721D" w:rsidP="009144C3">
      <w:pPr>
        <w:pStyle w:val="ListParagraph"/>
        <w:spacing w:line="360" w:lineRule="auto"/>
        <w:ind w:left="851" w:hanging="851"/>
        <w:jc w:val="both"/>
        <w:rPr>
          <w:rFonts w:ascii="Arial" w:hAnsi="Arial" w:cs="Arial"/>
          <w:color w:val="0070C0"/>
        </w:rPr>
      </w:pPr>
    </w:p>
    <w:p w:rsidR="0032721D" w:rsidRPr="00831057" w:rsidRDefault="00831057" w:rsidP="009144C3">
      <w:pPr>
        <w:spacing w:line="360" w:lineRule="auto"/>
        <w:ind w:left="851" w:hanging="851"/>
        <w:jc w:val="both"/>
        <w:rPr>
          <w:rFonts w:ascii="Arial" w:hAnsi="Arial" w:cs="Arial"/>
        </w:rPr>
      </w:pPr>
      <w:r>
        <w:rPr>
          <w:rFonts w:ascii="Arial" w:hAnsi="Arial" w:cs="Arial"/>
        </w:rPr>
        <w:lastRenderedPageBreak/>
        <w:t>[14</w:t>
      </w:r>
      <w:r w:rsidR="005E0EDA">
        <w:rPr>
          <w:rFonts w:ascii="Arial" w:hAnsi="Arial" w:cs="Arial"/>
        </w:rPr>
        <w:t xml:space="preserve">] </w:t>
      </w:r>
      <w:r w:rsidR="009144C3">
        <w:rPr>
          <w:rFonts w:ascii="Arial" w:hAnsi="Arial" w:cs="Arial"/>
        </w:rPr>
        <w:tab/>
      </w:r>
      <w:r w:rsidR="005E0EDA">
        <w:rPr>
          <w:rFonts w:ascii="Arial" w:hAnsi="Arial" w:cs="Arial"/>
        </w:rPr>
        <w:t>In</w:t>
      </w:r>
      <w:r w:rsidR="0032721D" w:rsidRPr="00831057">
        <w:rPr>
          <w:rFonts w:ascii="Arial" w:hAnsi="Arial" w:cs="Arial"/>
        </w:rPr>
        <w:t xml:space="preserve"> my view, the remarks as quoted above hold true in the matter before me. The defendant chose to allow the plaintiff to adduce evidence by invoking the procedure as laid out in Rule 38(2</w:t>
      </w:r>
      <w:r w:rsidR="00AE66CD" w:rsidRPr="00831057">
        <w:rPr>
          <w:rFonts w:ascii="Arial" w:hAnsi="Arial" w:cs="Arial"/>
        </w:rPr>
        <w:t xml:space="preserve">). This can clearly be seen when the defendant chose not to oppose the interlocutory application in this regard. </w:t>
      </w:r>
      <w:r w:rsidR="0032721D" w:rsidRPr="00831057">
        <w:rPr>
          <w:rFonts w:ascii="Arial" w:hAnsi="Arial" w:cs="Arial"/>
        </w:rPr>
        <w:t xml:space="preserve"> There was no obligation on the part of the defendant to accede to this procedure. It is impermissible to accept the evidence to go through only to attack same in the Heads of Argument when the other party can no longer </w:t>
      </w:r>
      <w:r w:rsidR="00D74B1C">
        <w:rPr>
          <w:rFonts w:ascii="Arial" w:hAnsi="Arial" w:cs="Arial"/>
        </w:rPr>
        <w:t xml:space="preserve">such </w:t>
      </w:r>
      <w:r w:rsidR="00D74B1C" w:rsidRPr="00831057">
        <w:rPr>
          <w:rFonts w:ascii="Arial" w:hAnsi="Arial" w:cs="Arial"/>
        </w:rPr>
        <w:t>attacks</w:t>
      </w:r>
      <w:r w:rsidR="0032721D" w:rsidRPr="00831057">
        <w:rPr>
          <w:rFonts w:ascii="Arial" w:hAnsi="Arial" w:cs="Arial"/>
        </w:rPr>
        <w:t>. Such conduct goes to the heart o</w:t>
      </w:r>
      <w:r w:rsidR="00692D5B">
        <w:rPr>
          <w:rFonts w:ascii="Arial" w:hAnsi="Arial" w:cs="Arial"/>
        </w:rPr>
        <w:t>f the fairness of the procedure</w:t>
      </w:r>
      <w:r w:rsidR="0032721D" w:rsidRPr="00831057">
        <w:rPr>
          <w:rFonts w:ascii="Arial" w:hAnsi="Arial" w:cs="Arial"/>
        </w:rPr>
        <w:t xml:space="preserve"> in litigation. The </w:t>
      </w:r>
      <w:r w:rsidR="00AE66CD" w:rsidRPr="00831057">
        <w:rPr>
          <w:rFonts w:ascii="Arial" w:hAnsi="Arial" w:cs="Arial"/>
        </w:rPr>
        <w:t>defendant had the right and opportunity to dispute the findings of the plaintiff’s exper</w:t>
      </w:r>
      <w:r w:rsidR="00520E19">
        <w:rPr>
          <w:rFonts w:ascii="Arial" w:hAnsi="Arial" w:cs="Arial"/>
        </w:rPr>
        <w:t>ts but chose not to do so</w:t>
      </w:r>
      <w:r w:rsidR="00AE66CD" w:rsidRPr="00831057">
        <w:rPr>
          <w:rFonts w:ascii="Arial" w:hAnsi="Arial" w:cs="Arial"/>
        </w:rPr>
        <w:t>. At the end of the day, the expert reports as well as the collateral information</w:t>
      </w:r>
      <w:r w:rsidR="00520E19">
        <w:rPr>
          <w:rFonts w:ascii="Arial" w:hAnsi="Arial" w:cs="Arial"/>
        </w:rPr>
        <w:t xml:space="preserve"> as accepted by the defendant</w:t>
      </w:r>
      <w:r w:rsidR="00AE66CD" w:rsidRPr="00831057">
        <w:rPr>
          <w:rFonts w:ascii="Arial" w:hAnsi="Arial" w:cs="Arial"/>
        </w:rPr>
        <w:t xml:space="preserve"> is the only evidence before court. </w:t>
      </w:r>
      <w:r w:rsidR="0032721D" w:rsidRPr="00831057">
        <w:rPr>
          <w:rFonts w:ascii="Arial" w:hAnsi="Arial" w:cs="Arial"/>
        </w:rPr>
        <w:t xml:space="preserve">   </w:t>
      </w:r>
    </w:p>
    <w:p w:rsidR="0032721D" w:rsidRPr="0032721D" w:rsidRDefault="0032721D" w:rsidP="009144C3">
      <w:pPr>
        <w:spacing w:line="360" w:lineRule="auto"/>
        <w:ind w:left="851" w:hanging="851"/>
        <w:jc w:val="both"/>
        <w:rPr>
          <w:rFonts w:ascii="Arial" w:hAnsi="Arial" w:cs="Arial"/>
          <w:b/>
          <w:color w:val="FF0000"/>
        </w:rPr>
      </w:pPr>
    </w:p>
    <w:p w:rsidR="0032721D" w:rsidRPr="00831057" w:rsidRDefault="00831057" w:rsidP="009144C3">
      <w:pPr>
        <w:pStyle w:val="BodyTextIndent"/>
        <w:spacing w:line="360" w:lineRule="auto"/>
      </w:pPr>
      <w:r w:rsidRPr="00831057">
        <w:t>[15</w:t>
      </w:r>
      <w:r w:rsidR="0032721D" w:rsidRPr="00831057">
        <w:t>]</w:t>
      </w:r>
      <w:r w:rsidR="0032721D" w:rsidRPr="00831057">
        <w:tab/>
      </w:r>
      <w:r w:rsidR="00AE66CD" w:rsidRPr="00831057">
        <w:t xml:space="preserve">The defendant also attached evidential material in the form of Annexures A and B to the Heads of Argument. It should become clear to the defendant that such approach would clearly be prejudicial to the plaintiff. Firstly, it is introduced only during </w:t>
      </w:r>
      <w:r w:rsidR="00DF67EA" w:rsidRPr="00831057">
        <w:t>the address or the filing of the Heads of Argument, the stage at which it cannot be interrogated</w:t>
      </w:r>
      <w:r w:rsidR="00692D5B">
        <w:t xml:space="preserve"> or disputed by the Plaintiff by way of evidence</w:t>
      </w:r>
      <w:r w:rsidR="00DF67EA" w:rsidRPr="00831057">
        <w:t xml:space="preserve">. Secondly, </w:t>
      </w:r>
      <w:r w:rsidR="005E0EDA" w:rsidRPr="00831057">
        <w:t>it</w:t>
      </w:r>
      <w:r w:rsidR="00DF67EA" w:rsidRPr="00831057">
        <w:t xml:space="preserve"> should also be clear that while the Heads of Argument deal in a summary manner with the evidence adduced</w:t>
      </w:r>
      <w:r w:rsidR="00520E19">
        <w:t xml:space="preserve"> and the applicable law, </w:t>
      </w:r>
      <w:r w:rsidR="00DF67EA" w:rsidRPr="00831057">
        <w:t xml:space="preserve">they (the Heads of Argument) themselves, do not constitute evidence. I agree with the sentiments expressed in </w:t>
      </w:r>
      <w:r w:rsidR="00DF67EA" w:rsidRPr="00692D5B">
        <w:rPr>
          <w:i/>
        </w:rPr>
        <w:t>Maboho v Minister of Home Affairs</w:t>
      </w:r>
      <w:r w:rsidR="00DF67EA" w:rsidRPr="00831057">
        <w:rPr>
          <w:rStyle w:val="FootnoteReference"/>
        </w:rPr>
        <w:footnoteReference w:id="4"/>
      </w:r>
      <w:r w:rsidR="00520E19">
        <w:t xml:space="preserve">  as referred by Counsel for the Plaintiff in the</w:t>
      </w:r>
      <w:r w:rsidR="00DF67EA" w:rsidRPr="00831057">
        <w:t xml:space="preserve"> reply to the defendants Heads of Argument. The court in </w:t>
      </w:r>
      <w:r w:rsidR="00DF67EA" w:rsidRPr="00692D5B">
        <w:rPr>
          <w:i/>
        </w:rPr>
        <w:t>Maboho</w:t>
      </w:r>
      <w:r w:rsidR="00DF67EA" w:rsidRPr="00831057">
        <w:t xml:space="preserve"> said the following:</w:t>
      </w:r>
    </w:p>
    <w:p w:rsidR="00A16CA5" w:rsidRDefault="00A16CA5" w:rsidP="009144C3">
      <w:pPr>
        <w:pStyle w:val="BodyTextIndent"/>
        <w:spacing w:line="360" w:lineRule="auto"/>
        <w:rPr>
          <w:color w:val="FF0000"/>
        </w:rPr>
      </w:pPr>
    </w:p>
    <w:p w:rsidR="00DF67EA" w:rsidRPr="00831057" w:rsidRDefault="00DF67EA" w:rsidP="00AE66CD">
      <w:pPr>
        <w:pStyle w:val="BodyTextIndent"/>
        <w:spacing w:line="360" w:lineRule="auto"/>
        <w:rPr>
          <w:sz w:val="20"/>
          <w:szCs w:val="20"/>
        </w:rPr>
      </w:pPr>
      <w:r w:rsidRPr="00831057">
        <w:rPr>
          <w:color w:val="FF0000"/>
          <w:sz w:val="20"/>
          <w:szCs w:val="20"/>
        </w:rPr>
        <w:t xml:space="preserve">             </w:t>
      </w:r>
      <w:r w:rsidRPr="00831057">
        <w:rPr>
          <w:sz w:val="20"/>
          <w:szCs w:val="20"/>
        </w:rPr>
        <w:t>“</w:t>
      </w:r>
      <w:r w:rsidR="00A16CA5" w:rsidRPr="00831057">
        <w:rPr>
          <w:sz w:val="20"/>
          <w:szCs w:val="20"/>
        </w:rPr>
        <w:t>Argument</w:t>
      </w:r>
      <w:r w:rsidRPr="00831057">
        <w:rPr>
          <w:sz w:val="20"/>
          <w:szCs w:val="20"/>
        </w:rPr>
        <w:t xml:space="preserve"> is not evidence and it is not given under oath. It is merely persuasive comment by the parties or legal representative</w:t>
      </w:r>
      <w:r w:rsidR="00A16CA5" w:rsidRPr="00831057">
        <w:rPr>
          <w:sz w:val="20"/>
          <w:szCs w:val="20"/>
        </w:rPr>
        <w:t xml:space="preserve">s with regard to questions of fact or law. Argument does not constitute evidence, and cannot replace evidence.” </w:t>
      </w:r>
    </w:p>
    <w:p w:rsidR="0032721D" w:rsidRPr="00DF753B" w:rsidRDefault="0032721D" w:rsidP="0032721D">
      <w:pPr>
        <w:spacing w:line="360" w:lineRule="auto"/>
        <w:ind w:hanging="720"/>
        <w:jc w:val="both"/>
        <w:rPr>
          <w:rFonts w:ascii="Arial" w:hAnsi="Arial" w:cs="Arial"/>
        </w:rPr>
      </w:pPr>
    </w:p>
    <w:p w:rsidR="0032721D" w:rsidRPr="00DF753B" w:rsidRDefault="00831057" w:rsidP="009144C3">
      <w:pPr>
        <w:pStyle w:val="BodyTextIndent"/>
        <w:spacing w:line="360" w:lineRule="auto"/>
      </w:pPr>
      <w:r w:rsidRPr="00DF753B">
        <w:t>[16</w:t>
      </w:r>
      <w:r w:rsidR="0032721D" w:rsidRPr="00DF753B">
        <w:t>]</w:t>
      </w:r>
      <w:r w:rsidR="0032721D" w:rsidRPr="00DF753B">
        <w:tab/>
      </w:r>
      <w:r w:rsidR="00A16CA5" w:rsidRPr="00DF753B">
        <w:t xml:space="preserve">The defendant cannot thus impermissibly </w:t>
      </w:r>
      <w:r w:rsidR="00A16CA5" w:rsidRPr="00520E19">
        <w:rPr>
          <w:i/>
        </w:rPr>
        <w:t>‘adduce evidence’</w:t>
      </w:r>
      <w:r w:rsidR="00A16CA5" w:rsidRPr="00DF753B">
        <w:t xml:space="preserve"> in the Heads of Argument to the prejudice of the plaintiff. Absent any evidence to rebut the </w:t>
      </w:r>
      <w:r w:rsidR="00A16CA5" w:rsidRPr="00DF753B">
        <w:lastRenderedPageBreak/>
        <w:t>evidence of the plaintiff, the only evidence this Court has to gr</w:t>
      </w:r>
      <w:r w:rsidR="00692D5B" w:rsidRPr="00DF753B">
        <w:t>apple with</w:t>
      </w:r>
      <w:r w:rsidR="00520E19">
        <w:t>,</w:t>
      </w:r>
      <w:r w:rsidR="00692D5B" w:rsidRPr="00DF753B">
        <w:t xml:space="preserve"> is that of the </w:t>
      </w:r>
      <w:r w:rsidR="00DF753B" w:rsidRPr="00DF753B">
        <w:t>plaintiff.</w:t>
      </w:r>
      <w:r w:rsidR="00A16CA5" w:rsidRPr="00DF753B">
        <w:t xml:space="preserve"> Seemingly based on the attack in the Heads of Argument, the defendant is of the view that a contingency </w:t>
      </w:r>
      <w:r w:rsidR="0060223D" w:rsidRPr="00DF753B">
        <w:t>of 50% in ‘</w:t>
      </w:r>
      <w:r w:rsidR="0060223D" w:rsidRPr="00DF753B">
        <w:rPr>
          <w:b/>
        </w:rPr>
        <w:t>the but for’</w:t>
      </w:r>
      <w:r w:rsidR="0060223D" w:rsidRPr="00DF753B">
        <w:t xml:space="preserve"> scenario should be applied and 75% in </w:t>
      </w:r>
      <w:r w:rsidR="0060223D" w:rsidRPr="00DF753B">
        <w:rPr>
          <w:b/>
        </w:rPr>
        <w:t>‘the having regard to’</w:t>
      </w:r>
      <w:r w:rsidR="0060223D" w:rsidRPr="00DF753B">
        <w:t xml:space="preserve"> scenario. </w:t>
      </w:r>
    </w:p>
    <w:p w:rsidR="0060223D" w:rsidRDefault="0060223D" w:rsidP="009144C3">
      <w:pPr>
        <w:pStyle w:val="BodyTextIndent"/>
        <w:spacing w:line="360" w:lineRule="auto"/>
        <w:rPr>
          <w:color w:val="FF0000"/>
        </w:rPr>
      </w:pPr>
    </w:p>
    <w:p w:rsidR="0060223D" w:rsidRDefault="0060223D" w:rsidP="009144C3">
      <w:pPr>
        <w:pStyle w:val="BodyTextIndent"/>
        <w:spacing w:line="360" w:lineRule="auto"/>
      </w:pPr>
      <w:r w:rsidRPr="001C4D1B">
        <w:t xml:space="preserve">   </w:t>
      </w:r>
      <w:r w:rsidR="00831057">
        <w:t>[17</w:t>
      </w:r>
      <w:r w:rsidR="00692D5B">
        <w:t>]</w:t>
      </w:r>
      <w:r w:rsidR="00692D5B">
        <w:tab/>
        <w:t>It is</w:t>
      </w:r>
      <w:r w:rsidRPr="001C4D1B">
        <w:t xml:space="preserve"> settled that a trial Court has a wide discretion to award what it considers fair and adequate compensation to an injured claimant. </w:t>
      </w:r>
      <w:r>
        <w:t xml:space="preserve"> </w:t>
      </w:r>
    </w:p>
    <w:p w:rsidR="0060223D" w:rsidRPr="001C4D1B" w:rsidRDefault="0060223D" w:rsidP="009144C3">
      <w:pPr>
        <w:pStyle w:val="BodyTextIndent"/>
        <w:spacing w:line="360" w:lineRule="auto"/>
      </w:pPr>
      <w:r w:rsidRPr="001C4D1B">
        <w:t xml:space="preserve">   </w:t>
      </w:r>
    </w:p>
    <w:p w:rsidR="00520E19" w:rsidRDefault="00831057" w:rsidP="009144C3">
      <w:pPr>
        <w:pStyle w:val="BodyTextIndent"/>
        <w:spacing w:line="360" w:lineRule="auto"/>
      </w:pPr>
      <w:r>
        <w:t>[18</w:t>
      </w:r>
      <w:r w:rsidR="0060223D" w:rsidRPr="001C4D1B">
        <w:t>]</w:t>
      </w:r>
      <w:r w:rsidR="0060223D" w:rsidRPr="001C4D1B">
        <w:tab/>
      </w:r>
      <w:r w:rsidR="0060223D">
        <w:t>The difficulty a Judge has in the application for the proper contingency to be applied cannot be over-emphasised. The simple reason is that the future is uncertain and a J</w:t>
      </w:r>
      <w:r w:rsidR="00F46170">
        <w:t xml:space="preserve">udge has no benefit of a </w:t>
      </w:r>
      <w:r w:rsidR="00F46170" w:rsidRPr="00F46170">
        <w:rPr>
          <w:i/>
        </w:rPr>
        <w:t>‘crystal ball</w:t>
      </w:r>
      <w:r w:rsidR="00520E19">
        <w:rPr>
          <w:i/>
        </w:rPr>
        <w:t xml:space="preserve"> to look</w:t>
      </w:r>
      <w:r w:rsidR="00692D5B">
        <w:rPr>
          <w:i/>
        </w:rPr>
        <w:t xml:space="preserve"> into the future</w:t>
      </w:r>
      <w:r w:rsidR="00F46170" w:rsidRPr="00F46170">
        <w:rPr>
          <w:i/>
        </w:rPr>
        <w:t>’</w:t>
      </w:r>
      <w:r w:rsidR="00692D5B">
        <w:t xml:space="preserve"> and come to a decision</w:t>
      </w:r>
      <w:r w:rsidR="00F46170">
        <w:t>.</w:t>
      </w:r>
      <w:r w:rsidR="00520E19">
        <w:t xml:space="preserve"> The contingencies to be applied is not merely a matter of mathematical calculation.</w:t>
      </w:r>
      <w:r w:rsidR="00F46170">
        <w:t xml:space="preserve"> The uncontested evidence is that according to Dr Townsend, the child has an increased risk of developing late post traumatic epilepsy. The attack on this finding by t</w:t>
      </w:r>
      <w:r w:rsidR="00520E19">
        <w:t>he defendant holds no water where</w:t>
      </w:r>
      <w:r w:rsidR="00F46170">
        <w:t xml:space="preserve"> it is said the</w:t>
      </w:r>
      <w:r w:rsidR="003124E6">
        <w:t xml:space="preserve"> Plaintiff led</w:t>
      </w:r>
      <w:r w:rsidR="00F46170">
        <w:t xml:space="preserve"> no evidence of EEG’s performed. Had the defendant not allowed this kind of evidence, the</w:t>
      </w:r>
      <w:r w:rsidR="003124E6">
        <w:t>n</w:t>
      </w:r>
      <w:r w:rsidR="00F46170">
        <w:t xml:space="preserve"> such questions would have been put to the </w:t>
      </w:r>
      <w:r w:rsidR="00520E19">
        <w:t>witness and I suppose the bases</w:t>
      </w:r>
      <w:r w:rsidR="00F46170">
        <w:t xml:space="preserve"> of the finding</w:t>
      </w:r>
      <w:r w:rsidR="003124E6">
        <w:t xml:space="preserve"> properly explained</w:t>
      </w:r>
      <w:r w:rsidR="00F46170">
        <w:t xml:space="preserve">. </w:t>
      </w:r>
      <w:r w:rsidR="003124E6">
        <w:t>The attack on the finding of the neurologist is unfair and has no merit.</w:t>
      </w:r>
      <w:r w:rsidR="00F46170">
        <w:t xml:space="preserve"> </w:t>
      </w:r>
      <w:r w:rsidR="00F46170" w:rsidRPr="001C4D1B">
        <w:t xml:space="preserve">  </w:t>
      </w:r>
    </w:p>
    <w:p w:rsidR="00F46170" w:rsidRPr="001C4D1B" w:rsidRDefault="00F46170" w:rsidP="009144C3">
      <w:pPr>
        <w:pStyle w:val="BodyTextIndent"/>
        <w:spacing w:line="360" w:lineRule="auto"/>
      </w:pPr>
      <w:r w:rsidRPr="001C4D1B">
        <w:t xml:space="preserve"> </w:t>
      </w:r>
    </w:p>
    <w:p w:rsidR="00C654E6" w:rsidRDefault="00831057" w:rsidP="009144C3">
      <w:pPr>
        <w:pStyle w:val="BodyTextIndent"/>
        <w:spacing w:line="360" w:lineRule="auto"/>
      </w:pPr>
      <w:r>
        <w:t>[19</w:t>
      </w:r>
      <w:r w:rsidR="00F46170" w:rsidRPr="001C4D1B">
        <w:t>]</w:t>
      </w:r>
      <w:r w:rsidR="00F46170" w:rsidRPr="001C4D1B">
        <w:tab/>
        <w:t>I</w:t>
      </w:r>
      <w:r w:rsidR="00F46170">
        <w:t xml:space="preserve"> take note of the evidence that the minor child struggled with mathematics and English. This</w:t>
      </w:r>
      <w:r w:rsidR="003124E6">
        <w:t>,</w:t>
      </w:r>
      <w:r w:rsidR="00F46170">
        <w:t xml:space="preserve"> in my view cannot be an indicator that she will not attain Grade 12 or even a </w:t>
      </w:r>
      <w:r w:rsidR="003124E6">
        <w:t>tertiary education. The converse may</w:t>
      </w:r>
      <w:r w:rsidR="00520E19">
        <w:t xml:space="preserve"> on the other hand </w:t>
      </w:r>
      <w:r w:rsidR="003124E6">
        <w:t>hold</w:t>
      </w:r>
      <w:r w:rsidR="00F46170">
        <w:t xml:space="preserve"> true</w:t>
      </w:r>
      <w:r w:rsidR="003124E6">
        <w:t xml:space="preserve"> if we accept the assumption aforementioned, namely, the</w:t>
      </w:r>
      <w:r w:rsidR="00F46170">
        <w:t xml:space="preserve"> mere</w:t>
      </w:r>
      <w:r w:rsidR="005654C4">
        <w:t xml:space="preserve"> fact that a child passes mathe</w:t>
      </w:r>
      <w:r w:rsidR="00F46170">
        <w:t>matics and English well does not necessarily mean that</w:t>
      </w:r>
      <w:r w:rsidR="003124E6">
        <w:t>,</w:t>
      </w:r>
      <w:r w:rsidR="00F46170">
        <w:t xml:space="preserve"> such a child will pass Grade 12 or even </w:t>
      </w:r>
      <w:r w:rsidR="005654C4">
        <w:t>obtain a tertiary qualification. The uncontested e</w:t>
      </w:r>
      <w:r w:rsidR="003124E6">
        <w:t>vidence by Ms Mattheus regarding the minor is that “the educational</w:t>
      </w:r>
      <w:r w:rsidR="005654C4">
        <w:t xml:space="preserve"> results reveal that she presents with sever</w:t>
      </w:r>
      <w:r w:rsidR="003124E6">
        <w:t>e</w:t>
      </w:r>
      <w:r w:rsidR="005654C4">
        <w:t xml:space="preserve"> cognitive difficulties that most probably can be ascribed to the combination of the sequelae of the injur</w:t>
      </w:r>
      <w:r w:rsidR="00C654E6">
        <w:t xml:space="preserve">ies sustained.” It is common cause that the minor child suffered no loss of earnings. </w:t>
      </w:r>
      <w:r w:rsidR="003124E6">
        <w:t>The Industrial P</w:t>
      </w:r>
      <w:r w:rsidR="005654C4">
        <w:t xml:space="preserve">sychologist, after having </w:t>
      </w:r>
      <w:r>
        <w:t>considered the</w:t>
      </w:r>
      <w:r w:rsidR="005654C4">
        <w:t xml:space="preserve"> reports of </w:t>
      </w:r>
      <w:r w:rsidR="005654C4">
        <w:lastRenderedPageBreak/>
        <w:t>other experts,</w:t>
      </w:r>
      <w:r w:rsidR="00677457">
        <w:t xml:space="preserve"> </w:t>
      </w:r>
      <w:r w:rsidR="00C654E6">
        <w:t>opines that the minor child will not meet her pre- accident earning level.</w:t>
      </w:r>
    </w:p>
    <w:p w:rsidR="00C654E6" w:rsidRDefault="00C654E6" w:rsidP="009144C3">
      <w:pPr>
        <w:pStyle w:val="BodyTextIndent"/>
        <w:spacing w:line="360" w:lineRule="auto"/>
      </w:pPr>
    </w:p>
    <w:p w:rsidR="00C654E6" w:rsidRDefault="00C654E6" w:rsidP="009144C3">
      <w:pPr>
        <w:pStyle w:val="BodyTextIndent"/>
        <w:spacing w:line="360" w:lineRule="auto"/>
      </w:pPr>
      <w:r>
        <w:t xml:space="preserve">  </w:t>
      </w:r>
      <w:r w:rsidR="001A1A98">
        <w:t xml:space="preserve">[20]    </w:t>
      </w:r>
      <w:r w:rsidR="005654C4">
        <w:t>I how</w:t>
      </w:r>
      <w:r w:rsidR="00831057">
        <w:t>e</w:t>
      </w:r>
      <w:r w:rsidR="005654C4">
        <w:t>ver agree with the submissions on behalf the defendant that</w:t>
      </w:r>
      <w:r w:rsidR="00831057">
        <w:t xml:space="preserve"> the evidence does not suggest that</w:t>
      </w:r>
      <w:r w:rsidR="005654C4">
        <w:t xml:space="preserve"> the minor child is not employable. In my view, the exper</w:t>
      </w:r>
      <w:r w:rsidR="00217D08">
        <w:t>ts hold the view that but for the accident,</w:t>
      </w:r>
      <w:r w:rsidR="005654C4">
        <w:t xml:space="preserve"> a possibility existed that the child could get employment having passed</w:t>
      </w:r>
      <w:r>
        <w:t xml:space="preserve"> grade 12 with a possibility of gaining a Higher Certificate at tertiary level,</w:t>
      </w:r>
      <w:r w:rsidR="005654C4">
        <w:t xml:space="preserve"> but that has been rendered an illusion due to the injuries sustained and their sequelae.</w:t>
      </w:r>
    </w:p>
    <w:p w:rsidR="00217D08" w:rsidRDefault="00217D08" w:rsidP="009144C3">
      <w:pPr>
        <w:pStyle w:val="BodyTextIndent"/>
        <w:spacing w:line="360" w:lineRule="auto"/>
      </w:pPr>
    </w:p>
    <w:p w:rsidR="001C798F" w:rsidRDefault="00DC08A5" w:rsidP="009144C3">
      <w:pPr>
        <w:pStyle w:val="BodyTextIndent"/>
        <w:spacing w:line="360" w:lineRule="auto"/>
      </w:pPr>
      <w:r>
        <w:t>[21</w:t>
      </w:r>
      <w:r w:rsidR="00C654E6">
        <w:t xml:space="preserve">]   I am unable to comprehend why the actuary </w:t>
      </w:r>
      <w:r w:rsidR="00C31483">
        <w:t>was instructed</w:t>
      </w:r>
      <w:r w:rsidR="00C654E6">
        <w:t xml:space="preserve"> to perform calculations</w:t>
      </w:r>
      <w:r w:rsidR="00217D08">
        <w:t xml:space="preserve"> only</w:t>
      </w:r>
      <w:r w:rsidR="00C654E6">
        <w:t xml:space="preserve"> on the basis that the minor child was unemployable.</w:t>
      </w:r>
      <w:r w:rsidR="00C31483">
        <w:t xml:space="preserve"> The opinions of the Plaintiff’s</w:t>
      </w:r>
      <w:r w:rsidR="00217D08">
        <w:t xml:space="preserve"> own</w:t>
      </w:r>
      <w:r w:rsidR="00C31483">
        <w:t xml:space="preserve"> experts hold otherwise.</w:t>
      </w:r>
      <w:r w:rsidR="00C654E6">
        <w:t xml:space="preserve"> The Plaintiff’s educational psychologist, on whose opinion, the other experts rely upon </w:t>
      </w:r>
      <w:r w:rsidR="00C31483">
        <w:t xml:space="preserve">is </w:t>
      </w:r>
      <w:r w:rsidR="0076743B">
        <w:t xml:space="preserve">that the minor child “needs placement in a Vocational School where she will be able to attain a vocational </w:t>
      </w:r>
      <w:r w:rsidR="00C31483">
        <w:t>skill (NQF</w:t>
      </w:r>
      <w:r w:rsidR="0076743B">
        <w:t xml:space="preserve"> level 2)</w:t>
      </w:r>
      <w:r w:rsidR="00C31483">
        <w:t xml:space="preserve"> which would assist her in seeking sheltered employment. Her </w:t>
      </w:r>
      <w:r w:rsidR="001C798F">
        <w:t>Occupational therapist</w:t>
      </w:r>
      <w:r w:rsidR="00C31483">
        <w:t xml:space="preserve"> opines that should the minor child be placed at the Vocational school she would be able to obtain </w:t>
      </w:r>
      <w:r w:rsidR="005E0EDA">
        <w:t>a (</w:t>
      </w:r>
      <w:r w:rsidR="00C31483">
        <w:t xml:space="preserve">NQF 2). </w:t>
      </w:r>
      <w:r w:rsidR="001C798F">
        <w:t>She</w:t>
      </w:r>
      <w:r w:rsidR="00C31483">
        <w:t xml:space="preserve"> further agrees with the educational psychologist </w:t>
      </w:r>
      <w:r w:rsidR="001C798F">
        <w:t xml:space="preserve">that this would assist her in seeking sheltered employment. </w:t>
      </w:r>
    </w:p>
    <w:p w:rsidR="00217D08" w:rsidRDefault="00217D08" w:rsidP="009144C3">
      <w:pPr>
        <w:pStyle w:val="BodyTextIndent"/>
        <w:spacing w:line="360" w:lineRule="auto"/>
      </w:pPr>
    </w:p>
    <w:p w:rsidR="00121773" w:rsidRDefault="00DC08A5" w:rsidP="009144C3">
      <w:pPr>
        <w:pStyle w:val="BodyTextIndent"/>
        <w:spacing w:line="360" w:lineRule="auto"/>
      </w:pPr>
      <w:r>
        <w:t>[22</w:t>
      </w:r>
      <w:r w:rsidR="001C798F">
        <w:t xml:space="preserve">]       With reference to the future loss of earnings, the Industrial </w:t>
      </w:r>
      <w:r w:rsidR="00217D08">
        <w:t>p</w:t>
      </w:r>
      <w:r w:rsidR="001C798F">
        <w:t xml:space="preserve">sychologist holds the view that the minor child will not meet her pre-accident level. He goes on to say that should this Court accept the opinions of the educational </w:t>
      </w:r>
      <w:r w:rsidR="00217D08">
        <w:t>p</w:t>
      </w:r>
      <w:r w:rsidR="001C798F">
        <w:t xml:space="preserve">sychologist and </w:t>
      </w:r>
      <w:r w:rsidR="00217D08">
        <w:t>o</w:t>
      </w:r>
      <w:r w:rsidR="001C798F">
        <w:t xml:space="preserve">ccupational </w:t>
      </w:r>
      <w:r w:rsidR="00217D08">
        <w:t>p</w:t>
      </w:r>
      <w:r w:rsidR="001C798F">
        <w:t xml:space="preserve">sychologist, then in that event he also opines that the minor child would be dependent on sheltered employment. He goes on to say that it is </w:t>
      </w:r>
      <w:r w:rsidR="00121773">
        <w:t>‘accepted</w:t>
      </w:r>
      <w:r w:rsidR="001C798F">
        <w:t xml:space="preserve"> that there are very limited opportunities for gaining entry in a sheltered </w:t>
      </w:r>
      <w:r w:rsidR="00121773">
        <w:t xml:space="preserve">work environment. Without any inkling of the evidence to back up his opinion he holds the view that realistically speaking the child would likely remain largely unemployed. In my view, that opinion runs against the opinions of the educational psychologist and the occupational therapist on whose opinion he relies upon. If the opinion is based on the fact that there are </w:t>
      </w:r>
      <w:r w:rsidR="00121773">
        <w:lastRenderedPageBreak/>
        <w:t xml:space="preserve">limited opportunities for gaining entry on sheltered work, then in that case, there is no evidence to back up the opinion.  The end result is that, the supposition that the minor child is unemployable stands to be rejected. I hold the view that but for the accident the </w:t>
      </w:r>
      <w:r w:rsidR="00217D08">
        <w:t>child is</w:t>
      </w:r>
      <w:r w:rsidR="00121773">
        <w:t xml:space="preserve"> employable, albeit as a vulnerable individual w</w:t>
      </w:r>
      <w:r w:rsidR="00217D08">
        <w:t>ho cannot compete equally in her</w:t>
      </w:r>
      <w:r w:rsidR="00121773">
        <w:t xml:space="preserve"> level of employment. </w:t>
      </w:r>
    </w:p>
    <w:p w:rsidR="00121773" w:rsidRDefault="00121773" w:rsidP="009144C3">
      <w:pPr>
        <w:pStyle w:val="BodyTextIndent"/>
        <w:spacing w:line="360" w:lineRule="auto"/>
      </w:pPr>
    </w:p>
    <w:p w:rsidR="007A7D9D" w:rsidRDefault="001C798F" w:rsidP="009144C3">
      <w:pPr>
        <w:pStyle w:val="BodyTextIndent"/>
        <w:spacing w:line="360" w:lineRule="auto"/>
      </w:pPr>
      <w:r>
        <w:t xml:space="preserve"> </w:t>
      </w:r>
      <w:r w:rsidR="00DC08A5">
        <w:t>[23</w:t>
      </w:r>
      <w:r w:rsidR="00121773">
        <w:t xml:space="preserve">]    During the preparation of this judgment I requested the Plaintiff to request </w:t>
      </w:r>
      <w:r w:rsidR="00FF7A30">
        <w:t>her actuary to perform other calculations, based on the assumption that the Plaintiff was employable and could be accommodated on the sheltered environment. In the first calculations</w:t>
      </w:r>
      <w:r w:rsidR="00217D08">
        <w:t xml:space="preserve"> </w:t>
      </w:r>
      <w:r w:rsidR="005E0EDA">
        <w:t>(where</w:t>
      </w:r>
      <w:r w:rsidR="00217D08">
        <w:t xml:space="preserve"> it is assumed that the child would be unemployable)</w:t>
      </w:r>
      <w:r w:rsidR="00FF7A30">
        <w:t>, the loss of earnings had the accident not occurred, was calculated as of 1 August 2022 and it amounted to R5 902 080.00. T</w:t>
      </w:r>
      <w:r w:rsidR="007A7D9D">
        <w:t>he actuary applied 20</w:t>
      </w:r>
      <w:r w:rsidR="00FF7A30">
        <w:t xml:space="preserve"> percent contingencies on the pre-accident scenario and nil percentage on the post-accident scenario. </w:t>
      </w:r>
      <w:r w:rsidR="007A7D9D">
        <w:t>In the second calculations</w:t>
      </w:r>
      <w:r w:rsidR="00217D08">
        <w:t xml:space="preserve"> </w:t>
      </w:r>
      <w:r w:rsidR="005E0EDA">
        <w:t>(where</w:t>
      </w:r>
      <w:r w:rsidR="00217D08">
        <w:t xml:space="preserve"> it is assumed the minor child will find employment in the sheltered environment)</w:t>
      </w:r>
      <w:r w:rsidR="007A7D9D">
        <w:t xml:space="preserve"> the loss of earnings had the accident not occurred was of 1 November 2023. It was calculated at R 6 637 539.00 with 20% contingencies to be applied on the pre-morbid scenario and 40% on the post morbid scenario</w:t>
      </w:r>
    </w:p>
    <w:p w:rsidR="00677457" w:rsidRPr="001C4D1B" w:rsidRDefault="00677457" w:rsidP="009144C3">
      <w:pPr>
        <w:pStyle w:val="BodyTextIndent"/>
        <w:spacing w:line="360" w:lineRule="auto"/>
        <w:ind w:left="0"/>
      </w:pPr>
      <w:r w:rsidRPr="001C4D1B">
        <w:t xml:space="preserve">  </w:t>
      </w:r>
    </w:p>
    <w:p w:rsidR="00677457" w:rsidRDefault="00DC08A5" w:rsidP="009144C3">
      <w:pPr>
        <w:pStyle w:val="BodyTextIndent"/>
        <w:spacing w:line="360" w:lineRule="auto"/>
      </w:pPr>
      <w:r>
        <w:t>[24</w:t>
      </w:r>
      <w:r w:rsidR="00677457" w:rsidRPr="001C4D1B">
        <w:t>]</w:t>
      </w:r>
      <w:r w:rsidR="00677457" w:rsidRPr="001C4D1B">
        <w:tab/>
        <w:t>I</w:t>
      </w:r>
      <w:r w:rsidR="00677457">
        <w:t xml:space="preserve"> am of the view that the 20% contingency to be applied as s</w:t>
      </w:r>
      <w:r w:rsidR="007A7D9D">
        <w:t>uggested by the plaintiff is appropriate</w:t>
      </w:r>
      <w:r w:rsidR="00677457">
        <w:t>.</w:t>
      </w:r>
      <w:r w:rsidR="007A7D9D">
        <w:t xml:space="preserve"> I </w:t>
      </w:r>
      <w:r w:rsidR="00217D08">
        <w:t>also</w:t>
      </w:r>
      <w:r w:rsidR="007A7D9D">
        <w:t xml:space="preserve"> agree that the 40 % contingencies applied on the post-morbid scenario is appropriate.</w:t>
      </w:r>
      <w:r w:rsidR="00677457">
        <w:t xml:space="preserve"> The evidence led does not suggest that the minor child is not employable. It is also clear that she also had issues with schooling, like language barriers even before the accident. On the other hand, the contingencies s</w:t>
      </w:r>
      <w:r w:rsidR="00724300">
        <w:t>uggested by the defendant are extremely</w:t>
      </w:r>
      <w:r w:rsidR="00677457">
        <w:t xml:space="preserve"> high</w:t>
      </w:r>
      <w:r w:rsidR="00724300">
        <w:t xml:space="preserve"> and </w:t>
      </w:r>
      <w:r w:rsidR="007A7D9D">
        <w:t>suggested without any basis</w:t>
      </w:r>
      <w:r w:rsidR="00724300">
        <w:t xml:space="preserve"> having regard to the remarks I made above. </w:t>
      </w:r>
      <w:r w:rsidR="00677457">
        <w:t>Accordingly, the damages aw</w:t>
      </w:r>
      <w:r w:rsidR="00AB0289">
        <w:t xml:space="preserve">arded to the minor </w:t>
      </w:r>
      <w:r w:rsidR="00724300">
        <w:t>child are</w:t>
      </w:r>
      <w:r w:rsidR="00677457">
        <w:t xml:space="preserve"> computed as follows:</w:t>
      </w:r>
    </w:p>
    <w:p w:rsidR="009144C3" w:rsidRDefault="009144C3" w:rsidP="009144C3">
      <w:pPr>
        <w:pStyle w:val="BodyTextIndent"/>
        <w:spacing w:line="360" w:lineRule="auto"/>
      </w:pPr>
    </w:p>
    <w:tbl>
      <w:tblPr>
        <w:tblStyle w:val="TableGrid"/>
        <w:tblW w:w="0" w:type="auto"/>
        <w:tblInd w:w="851" w:type="dxa"/>
        <w:tblLook w:val="04A0" w:firstRow="1" w:lastRow="0" w:firstColumn="1" w:lastColumn="0" w:noHBand="0" w:noVBand="1"/>
      </w:tblPr>
      <w:tblGrid>
        <w:gridCol w:w="4956"/>
        <w:gridCol w:w="3210"/>
      </w:tblGrid>
      <w:tr w:rsidR="00677457" w:rsidTr="00677457">
        <w:tc>
          <w:tcPr>
            <w:tcW w:w="4956" w:type="dxa"/>
          </w:tcPr>
          <w:p w:rsidR="00677457" w:rsidRDefault="00677457" w:rsidP="00677457">
            <w:pPr>
              <w:pStyle w:val="BodyTextIndent"/>
              <w:spacing w:line="360" w:lineRule="auto"/>
              <w:ind w:left="0" w:firstLine="0"/>
            </w:pPr>
          </w:p>
        </w:tc>
        <w:tc>
          <w:tcPr>
            <w:tcW w:w="3210" w:type="dxa"/>
          </w:tcPr>
          <w:p w:rsidR="00677457" w:rsidRDefault="00677457" w:rsidP="00677457">
            <w:pPr>
              <w:pStyle w:val="BodyTextIndent"/>
              <w:spacing w:line="360" w:lineRule="auto"/>
              <w:ind w:left="0" w:firstLine="0"/>
            </w:pPr>
            <w:r>
              <w:t xml:space="preserve">               FUTURE</w:t>
            </w:r>
          </w:p>
        </w:tc>
      </w:tr>
      <w:tr w:rsidR="00677457" w:rsidTr="00677457">
        <w:tc>
          <w:tcPr>
            <w:tcW w:w="4956" w:type="dxa"/>
          </w:tcPr>
          <w:p w:rsidR="00677457" w:rsidRDefault="00677457" w:rsidP="00677457">
            <w:pPr>
              <w:pStyle w:val="BodyTextIndent"/>
              <w:spacing w:line="360" w:lineRule="auto"/>
              <w:ind w:left="0" w:firstLine="0"/>
            </w:pPr>
            <w:r>
              <w:t>Earnings had accident not happened</w:t>
            </w:r>
          </w:p>
        </w:tc>
        <w:tc>
          <w:tcPr>
            <w:tcW w:w="3210" w:type="dxa"/>
          </w:tcPr>
          <w:p w:rsidR="00677457" w:rsidRDefault="007A7D9D" w:rsidP="00677457">
            <w:pPr>
              <w:pStyle w:val="BodyTextIndent"/>
              <w:spacing w:line="360" w:lineRule="auto"/>
              <w:ind w:left="0" w:firstLine="0"/>
            </w:pPr>
            <w:r>
              <w:t xml:space="preserve">R </w:t>
            </w:r>
            <w:r w:rsidR="00402488">
              <w:t xml:space="preserve"> </w:t>
            </w:r>
            <w:r>
              <w:t>6 637 539.00</w:t>
            </w:r>
          </w:p>
        </w:tc>
      </w:tr>
      <w:tr w:rsidR="00677457" w:rsidTr="00677457">
        <w:tc>
          <w:tcPr>
            <w:tcW w:w="4956" w:type="dxa"/>
          </w:tcPr>
          <w:p w:rsidR="00677457" w:rsidRDefault="007A7D9D" w:rsidP="00677457">
            <w:pPr>
              <w:pStyle w:val="BodyTextIndent"/>
              <w:spacing w:line="360" w:lineRule="auto"/>
              <w:ind w:left="0" w:firstLine="0"/>
            </w:pPr>
            <w:r>
              <w:t>Less: Contingencies( 20%</w:t>
            </w:r>
            <w:r w:rsidR="00572D14">
              <w:t xml:space="preserve">) </w:t>
            </w:r>
          </w:p>
        </w:tc>
        <w:tc>
          <w:tcPr>
            <w:tcW w:w="3210" w:type="dxa"/>
          </w:tcPr>
          <w:p w:rsidR="00677457" w:rsidRDefault="00402488" w:rsidP="00677457">
            <w:pPr>
              <w:pStyle w:val="BodyTextIndent"/>
              <w:spacing w:line="360" w:lineRule="auto"/>
              <w:ind w:left="0" w:firstLine="0"/>
            </w:pPr>
            <w:r>
              <w:t xml:space="preserve">R  1 </w:t>
            </w:r>
            <w:r w:rsidR="007A7D9D">
              <w:t>327 508.00</w:t>
            </w:r>
          </w:p>
        </w:tc>
      </w:tr>
      <w:tr w:rsidR="00677457" w:rsidTr="00677457">
        <w:tc>
          <w:tcPr>
            <w:tcW w:w="4956" w:type="dxa"/>
          </w:tcPr>
          <w:p w:rsidR="00677457" w:rsidRDefault="00572D14" w:rsidP="00677457">
            <w:pPr>
              <w:pStyle w:val="BodyTextIndent"/>
              <w:spacing w:line="360" w:lineRule="auto"/>
              <w:ind w:left="0" w:firstLine="0"/>
            </w:pPr>
            <w:r>
              <w:lastRenderedPageBreak/>
              <w:t>Subtotal</w:t>
            </w:r>
          </w:p>
        </w:tc>
        <w:tc>
          <w:tcPr>
            <w:tcW w:w="3210" w:type="dxa"/>
          </w:tcPr>
          <w:p w:rsidR="00677457" w:rsidRDefault="00402488" w:rsidP="00677457">
            <w:pPr>
              <w:pStyle w:val="BodyTextIndent"/>
              <w:spacing w:line="360" w:lineRule="auto"/>
              <w:ind w:left="0" w:firstLine="0"/>
            </w:pPr>
            <w:r>
              <w:t>R  5 310 </w:t>
            </w:r>
            <w:r w:rsidR="002A1487">
              <w:t>031</w:t>
            </w:r>
            <w:r>
              <w:t>.00</w:t>
            </w:r>
          </w:p>
        </w:tc>
      </w:tr>
      <w:tr w:rsidR="00677457" w:rsidTr="00677457">
        <w:tc>
          <w:tcPr>
            <w:tcW w:w="4956" w:type="dxa"/>
          </w:tcPr>
          <w:p w:rsidR="00677457" w:rsidRDefault="00572D14" w:rsidP="00677457">
            <w:pPr>
              <w:pStyle w:val="BodyTextIndent"/>
              <w:spacing w:line="360" w:lineRule="auto"/>
              <w:ind w:left="0" w:firstLine="0"/>
            </w:pPr>
            <w:r>
              <w:t>Earnings having regard to accident</w:t>
            </w:r>
          </w:p>
        </w:tc>
        <w:tc>
          <w:tcPr>
            <w:tcW w:w="3210" w:type="dxa"/>
          </w:tcPr>
          <w:p w:rsidR="00677457" w:rsidRDefault="00402488" w:rsidP="00677457">
            <w:pPr>
              <w:pStyle w:val="BodyTextIndent"/>
              <w:spacing w:line="360" w:lineRule="auto"/>
              <w:ind w:left="0" w:firstLine="0"/>
            </w:pPr>
            <w:r>
              <w:t>R 2  463 826.00</w:t>
            </w:r>
          </w:p>
        </w:tc>
      </w:tr>
      <w:tr w:rsidR="00677457" w:rsidTr="00677457">
        <w:tc>
          <w:tcPr>
            <w:tcW w:w="4956" w:type="dxa"/>
          </w:tcPr>
          <w:p w:rsidR="00677457" w:rsidRDefault="00402488" w:rsidP="00677457">
            <w:pPr>
              <w:pStyle w:val="BodyTextIndent"/>
              <w:spacing w:line="360" w:lineRule="auto"/>
              <w:ind w:left="0" w:firstLine="0"/>
            </w:pPr>
            <w:r>
              <w:t>Less Contingencies(</w:t>
            </w:r>
            <w:r w:rsidR="002A1487">
              <w:t xml:space="preserve"> 45</w:t>
            </w:r>
            <w:r>
              <w:t>%)</w:t>
            </w:r>
          </w:p>
        </w:tc>
        <w:tc>
          <w:tcPr>
            <w:tcW w:w="3210" w:type="dxa"/>
          </w:tcPr>
          <w:p w:rsidR="00677457" w:rsidRDefault="00AB0289" w:rsidP="00677457">
            <w:pPr>
              <w:pStyle w:val="BodyTextIndent"/>
              <w:spacing w:line="360" w:lineRule="auto"/>
              <w:ind w:left="0" w:firstLine="0"/>
            </w:pPr>
            <w:r>
              <w:t xml:space="preserve">R  </w:t>
            </w:r>
            <w:r w:rsidR="002A1487">
              <w:t>1 108 721.70</w:t>
            </w:r>
          </w:p>
        </w:tc>
      </w:tr>
      <w:tr w:rsidR="00677457" w:rsidTr="00677457">
        <w:tc>
          <w:tcPr>
            <w:tcW w:w="4956" w:type="dxa"/>
          </w:tcPr>
          <w:p w:rsidR="00677457" w:rsidRDefault="00402488" w:rsidP="00677457">
            <w:pPr>
              <w:pStyle w:val="BodyTextIndent"/>
              <w:spacing w:line="360" w:lineRule="auto"/>
              <w:ind w:left="0" w:firstLine="0"/>
            </w:pPr>
            <w:r>
              <w:t xml:space="preserve">Subtotal  </w:t>
            </w:r>
          </w:p>
        </w:tc>
        <w:tc>
          <w:tcPr>
            <w:tcW w:w="3210" w:type="dxa"/>
          </w:tcPr>
          <w:p w:rsidR="00677457" w:rsidRDefault="00402488" w:rsidP="00677457">
            <w:pPr>
              <w:pStyle w:val="BodyTextIndent"/>
              <w:spacing w:line="360" w:lineRule="auto"/>
              <w:ind w:left="0" w:firstLine="0"/>
            </w:pPr>
            <w:r>
              <w:t xml:space="preserve">R   </w:t>
            </w:r>
            <w:r w:rsidR="002A1487">
              <w:t xml:space="preserve">   985 530</w:t>
            </w:r>
          </w:p>
        </w:tc>
      </w:tr>
      <w:tr w:rsidR="00402488" w:rsidTr="00677457">
        <w:tc>
          <w:tcPr>
            <w:tcW w:w="4956" w:type="dxa"/>
          </w:tcPr>
          <w:p w:rsidR="00402488" w:rsidRDefault="00AB0289" w:rsidP="00677457">
            <w:pPr>
              <w:pStyle w:val="BodyTextIndent"/>
              <w:spacing w:line="360" w:lineRule="auto"/>
              <w:ind w:left="0" w:firstLine="0"/>
            </w:pPr>
            <w:r>
              <w:t>LOSS OF EARNINGS</w:t>
            </w:r>
          </w:p>
        </w:tc>
        <w:tc>
          <w:tcPr>
            <w:tcW w:w="3210" w:type="dxa"/>
          </w:tcPr>
          <w:p w:rsidR="00402488" w:rsidRDefault="00AB0289" w:rsidP="00677457">
            <w:pPr>
              <w:pStyle w:val="BodyTextIndent"/>
              <w:spacing w:line="360" w:lineRule="auto"/>
              <w:ind w:left="0" w:firstLine="0"/>
            </w:pPr>
            <w:r>
              <w:t>R    3 831 735.00</w:t>
            </w:r>
          </w:p>
        </w:tc>
      </w:tr>
    </w:tbl>
    <w:p w:rsidR="00677457" w:rsidRDefault="00677457" w:rsidP="00677457">
      <w:pPr>
        <w:pStyle w:val="BodyTextIndent"/>
        <w:spacing w:line="360" w:lineRule="auto"/>
      </w:pPr>
    </w:p>
    <w:p w:rsidR="00677457" w:rsidRPr="001C4D1B" w:rsidRDefault="00677457" w:rsidP="00677457">
      <w:pPr>
        <w:pStyle w:val="BodyTextIndent"/>
        <w:spacing w:line="360" w:lineRule="auto"/>
      </w:pPr>
      <w:r>
        <w:t xml:space="preserve">     </w:t>
      </w:r>
    </w:p>
    <w:p w:rsidR="00FE660D" w:rsidRPr="008C0139" w:rsidRDefault="00FE660D" w:rsidP="00C87109">
      <w:pPr>
        <w:pStyle w:val="BodyTextIndent"/>
        <w:spacing w:line="360" w:lineRule="auto"/>
        <w:rPr>
          <w:color w:val="000000" w:themeColor="text1"/>
        </w:rPr>
      </w:pPr>
    </w:p>
    <w:p w:rsidR="00CF3BC1" w:rsidRDefault="00CF3BC1" w:rsidP="00C87109">
      <w:pPr>
        <w:pStyle w:val="BodyTextIndent"/>
        <w:spacing w:line="360" w:lineRule="auto"/>
        <w:rPr>
          <w:b/>
          <w:bCs/>
          <w:color w:val="000000" w:themeColor="text1"/>
        </w:rPr>
      </w:pPr>
      <w:r w:rsidRPr="008C0139">
        <w:rPr>
          <w:b/>
          <w:bCs/>
          <w:color w:val="000000" w:themeColor="text1"/>
        </w:rPr>
        <w:t>ORDER</w:t>
      </w:r>
    </w:p>
    <w:p w:rsidR="00AD235A" w:rsidRDefault="00AD235A" w:rsidP="00C87109">
      <w:pPr>
        <w:pStyle w:val="BodyTextIndent"/>
        <w:spacing w:line="360" w:lineRule="auto"/>
        <w:rPr>
          <w:b/>
          <w:bCs/>
          <w:color w:val="000000" w:themeColor="text1"/>
        </w:rPr>
      </w:pPr>
    </w:p>
    <w:p w:rsidR="00AD235A" w:rsidRPr="005C5CA7" w:rsidRDefault="00AD235A" w:rsidP="005C5CA7">
      <w:pPr>
        <w:autoSpaceDE w:val="0"/>
        <w:autoSpaceDN w:val="0"/>
        <w:adjustRightInd w:val="0"/>
        <w:spacing w:line="360" w:lineRule="auto"/>
        <w:ind w:right="-46"/>
        <w:jc w:val="both"/>
        <w:rPr>
          <w:rFonts w:asciiTheme="minorHAnsi" w:hAnsiTheme="minorHAnsi" w:cstheme="minorHAnsi"/>
          <w:lang w:val="en-GB"/>
        </w:rPr>
      </w:pPr>
    </w:p>
    <w:p w:rsidR="00752418" w:rsidRPr="005C5CA7" w:rsidRDefault="0049579E" w:rsidP="0049579E">
      <w:pPr>
        <w:tabs>
          <w:tab w:val="left" w:pos="851"/>
        </w:tabs>
        <w:spacing w:line="360" w:lineRule="auto"/>
        <w:ind w:left="851" w:hanging="851"/>
        <w:jc w:val="both"/>
        <w:rPr>
          <w:rFonts w:asciiTheme="minorHAnsi" w:hAnsiTheme="minorHAnsi" w:cstheme="minorHAnsi"/>
          <w:lang w:val="en-US"/>
        </w:rPr>
      </w:pPr>
      <w:r w:rsidRPr="005C5CA7">
        <w:rPr>
          <w:lang w:val="en-US"/>
        </w:rPr>
        <w:t>1.</w:t>
      </w:r>
      <w:r w:rsidRPr="005C5CA7">
        <w:rPr>
          <w:lang w:val="en-US"/>
        </w:rPr>
        <w:tab/>
      </w:r>
      <w:r w:rsidR="00752418" w:rsidRPr="005C5CA7">
        <w:rPr>
          <w:rFonts w:asciiTheme="minorHAnsi" w:hAnsiTheme="minorHAnsi" w:cstheme="minorHAnsi"/>
          <w:lang w:val="en-US"/>
        </w:rPr>
        <w:t xml:space="preserve">The Defendant is to pay the Plaintiff the sum of </w:t>
      </w:r>
      <w:r w:rsidR="001A1A98">
        <w:rPr>
          <w:rFonts w:asciiTheme="minorHAnsi" w:hAnsiTheme="minorHAnsi" w:cstheme="minorHAnsi"/>
          <w:b/>
          <w:lang w:val="en-US"/>
        </w:rPr>
        <w:t>R3 831 735.00( Three million eight hundred and thirty –one thousand seven hundred and thirty-five Rands)</w:t>
      </w:r>
      <w:r w:rsidR="00752418" w:rsidRPr="005C5CA7">
        <w:rPr>
          <w:rFonts w:asciiTheme="minorHAnsi" w:hAnsiTheme="minorHAnsi" w:cstheme="minorHAnsi"/>
          <w:lang w:val="en-US"/>
        </w:rPr>
        <w:t xml:space="preserve"> in respect of the Plaintiff’s claim for loss of income.</w:t>
      </w:r>
    </w:p>
    <w:p w:rsidR="00752418" w:rsidRPr="005C5CA7" w:rsidRDefault="00752418" w:rsidP="005C5CA7">
      <w:pPr>
        <w:tabs>
          <w:tab w:val="left" w:pos="851"/>
        </w:tabs>
        <w:spacing w:line="360" w:lineRule="auto"/>
        <w:ind w:left="851" w:hanging="851"/>
        <w:jc w:val="both"/>
        <w:rPr>
          <w:rFonts w:asciiTheme="minorHAnsi" w:hAnsiTheme="minorHAnsi" w:cstheme="minorHAnsi"/>
          <w:lang w:val="en-US"/>
        </w:rPr>
      </w:pPr>
    </w:p>
    <w:p w:rsidR="00752418" w:rsidRPr="0049579E" w:rsidRDefault="0049579E" w:rsidP="0049579E">
      <w:pPr>
        <w:widowControl w:val="0"/>
        <w:tabs>
          <w:tab w:val="left" w:pos="851"/>
        </w:tabs>
        <w:autoSpaceDN w:val="0"/>
        <w:spacing w:line="360" w:lineRule="auto"/>
        <w:ind w:left="851" w:hanging="851"/>
        <w:contextualSpacing/>
        <w:jc w:val="both"/>
        <w:rPr>
          <w:rFonts w:asciiTheme="minorHAnsi" w:hAnsiTheme="minorHAnsi" w:cstheme="minorHAnsi"/>
          <w:color w:val="000000"/>
        </w:rPr>
      </w:pPr>
      <w:r w:rsidRPr="005C5CA7">
        <w:rPr>
          <w:color w:val="000000"/>
        </w:rPr>
        <w:t>2.</w:t>
      </w:r>
      <w:r w:rsidRPr="005C5CA7">
        <w:rPr>
          <w:color w:val="000000"/>
        </w:rPr>
        <w:tab/>
      </w:r>
      <w:r w:rsidR="00752418" w:rsidRPr="0049579E">
        <w:rPr>
          <w:rFonts w:asciiTheme="minorHAnsi" w:eastAsia="Arial" w:hAnsiTheme="minorHAnsi" w:cstheme="minorHAnsi"/>
          <w:color w:val="000000"/>
        </w:rPr>
        <w:t>Payment of t</w:t>
      </w:r>
      <w:r w:rsidR="00752418" w:rsidRPr="0049579E">
        <w:rPr>
          <w:rFonts w:asciiTheme="minorHAnsi" w:hAnsiTheme="minorHAnsi" w:cstheme="minorHAnsi"/>
          <w:color w:val="000000"/>
          <w:lang w:val="en-US"/>
        </w:rPr>
        <w:t xml:space="preserve">he capital amount referred to in paragraph 1 above, will be paid by the Defendant directly into the trust account of the Plaintiff’s Attorneys of record, Mokoduo, Erasmus, </w:t>
      </w:r>
      <w:r w:rsidR="005C5CA7" w:rsidRPr="0049579E">
        <w:rPr>
          <w:rFonts w:asciiTheme="minorHAnsi" w:hAnsiTheme="minorHAnsi" w:cstheme="minorHAnsi"/>
          <w:color w:val="000000"/>
          <w:lang w:val="en-US"/>
        </w:rPr>
        <w:t xml:space="preserve">and </w:t>
      </w:r>
      <w:r w:rsidR="00752418" w:rsidRPr="0049579E">
        <w:rPr>
          <w:rFonts w:asciiTheme="minorHAnsi" w:hAnsiTheme="minorHAnsi" w:cstheme="minorHAnsi"/>
          <w:color w:val="000000"/>
          <w:lang w:val="en-US"/>
        </w:rPr>
        <w:t>Davidson Attorneys, for the benefit of the Minor</w:t>
      </w:r>
      <w:r w:rsidR="00752418" w:rsidRPr="0049579E">
        <w:rPr>
          <w:rFonts w:asciiTheme="minorHAnsi" w:eastAsia="Arial" w:hAnsiTheme="minorHAnsi" w:cstheme="minorHAnsi"/>
          <w:color w:val="000000"/>
        </w:rPr>
        <w:t>, within 180 days from the date of this order, the details are as follows:</w:t>
      </w:r>
    </w:p>
    <w:p w:rsidR="00752418" w:rsidRPr="005C5CA7" w:rsidRDefault="00752418" w:rsidP="005C5CA7">
      <w:pPr>
        <w:tabs>
          <w:tab w:val="left" w:pos="851"/>
        </w:tabs>
        <w:spacing w:line="360" w:lineRule="auto"/>
        <w:jc w:val="both"/>
        <w:rPr>
          <w:rFonts w:asciiTheme="minorHAnsi" w:hAnsiTheme="minorHAnsi" w:cstheme="minorHAnsi"/>
          <w:lang w:val="en-US"/>
        </w:rPr>
      </w:pPr>
    </w:p>
    <w:tbl>
      <w:tblPr>
        <w:tblStyle w:val="TableGrid"/>
        <w:tblW w:w="0" w:type="auto"/>
        <w:tblInd w:w="833" w:type="dxa"/>
        <w:tblLook w:val="04A0" w:firstRow="1" w:lastRow="0" w:firstColumn="1" w:lastColumn="0" w:noHBand="0" w:noVBand="1"/>
      </w:tblPr>
      <w:tblGrid>
        <w:gridCol w:w="2659"/>
        <w:gridCol w:w="5525"/>
      </w:tblGrid>
      <w:tr w:rsidR="00752418" w:rsidRPr="005C5CA7" w:rsidTr="00D15E4D">
        <w:tc>
          <w:tcPr>
            <w:tcW w:w="2677"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Holder:</w:t>
            </w:r>
          </w:p>
        </w:tc>
        <w:tc>
          <w:tcPr>
            <w:tcW w:w="5619" w:type="dxa"/>
            <w:vAlign w:val="center"/>
          </w:tcPr>
          <w:p w:rsidR="00752418" w:rsidRPr="005C5CA7" w:rsidRDefault="00752418" w:rsidP="005C5CA7">
            <w:pPr>
              <w:framePr w:hSpace="180" w:wrap="around" w:vAnchor="text" w:hAnchor="margin" w:xAlign="center" w:y="110"/>
              <w:tabs>
                <w:tab w:val="left" w:pos="851"/>
              </w:tabs>
              <w:spacing w:line="360" w:lineRule="auto"/>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Mokoduo Erasmus Davidson Attorneys Trust Account</w:t>
            </w:r>
          </w:p>
        </w:tc>
      </w:tr>
      <w:tr w:rsidR="00752418" w:rsidRPr="005C5CA7" w:rsidTr="00D15E4D">
        <w:tc>
          <w:tcPr>
            <w:tcW w:w="2677"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Bank and Branch:</w:t>
            </w:r>
          </w:p>
        </w:tc>
        <w:tc>
          <w:tcPr>
            <w:tcW w:w="5619"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First National Bank (FNB), Rosebank</w:t>
            </w:r>
          </w:p>
        </w:tc>
      </w:tr>
      <w:tr w:rsidR="00752418" w:rsidRPr="005C5CA7" w:rsidTr="00D15E4D">
        <w:tc>
          <w:tcPr>
            <w:tcW w:w="2677"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Account number:</w:t>
            </w:r>
          </w:p>
        </w:tc>
        <w:tc>
          <w:tcPr>
            <w:tcW w:w="5619"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62222488290</w:t>
            </w:r>
          </w:p>
        </w:tc>
      </w:tr>
      <w:tr w:rsidR="00752418" w:rsidRPr="005C5CA7" w:rsidTr="00D15E4D">
        <w:tc>
          <w:tcPr>
            <w:tcW w:w="2677"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Code:</w:t>
            </w:r>
          </w:p>
        </w:tc>
        <w:tc>
          <w:tcPr>
            <w:tcW w:w="5619"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253305</w:t>
            </w:r>
          </w:p>
        </w:tc>
      </w:tr>
      <w:tr w:rsidR="00752418" w:rsidRPr="005C5CA7" w:rsidTr="00D15E4D">
        <w:tc>
          <w:tcPr>
            <w:tcW w:w="2677"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Ref:</w:t>
            </w:r>
          </w:p>
        </w:tc>
        <w:tc>
          <w:tcPr>
            <w:tcW w:w="5619" w:type="dxa"/>
            <w:vAlign w:val="center"/>
          </w:tcPr>
          <w:p w:rsidR="00752418" w:rsidRPr="005C5CA7" w:rsidRDefault="00752418" w:rsidP="005C5CA7">
            <w:pPr>
              <w:framePr w:hSpace="180" w:wrap="around" w:vAnchor="text" w:hAnchor="margin" w:xAlign="center" w:y="110"/>
              <w:tabs>
                <w:tab w:val="left" w:pos="851"/>
              </w:tabs>
              <w:spacing w:line="360" w:lineRule="auto"/>
              <w:ind w:left="851" w:hanging="851"/>
              <w:jc w:val="both"/>
              <w:rPr>
                <w:rFonts w:asciiTheme="minorHAnsi" w:eastAsia="Calibri" w:hAnsiTheme="minorHAnsi" w:cstheme="minorHAnsi"/>
                <w:b/>
                <w:bCs/>
                <w:color w:val="000000"/>
                <w:lang w:val="en-US" w:eastAsia="en-ZA"/>
              </w:rPr>
            </w:pPr>
            <w:r w:rsidRPr="005C5CA7">
              <w:rPr>
                <w:rFonts w:asciiTheme="minorHAnsi" w:eastAsia="Calibri" w:hAnsiTheme="minorHAnsi" w:cstheme="minorHAnsi"/>
                <w:b/>
                <w:bCs/>
                <w:color w:val="000000"/>
                <w:lang w:val="en-US" w:eastAsia="en-ZA"/>
              </w:rPr>
              <w:t>R80</w:t>
            </w:r>
          </w:p>
        </w:tc>
      </w:tr>
    </w:tbl>
    <w:p w:rsidR="00752418" w:rsidRPr="005C5CA7" w:rsidRDefault="00752418" w:rsidP="005C5CA7">
      <w:pPr>
        <w:tabs>
          <w:tab w:val="left" w:pos="851"/>
        </w:tabs>
        <w:spacing w:line="360" w:lineRule="auto"/>
        <w:ind w:left="851" w:hanging="851"/>
        <w:jc w:val="both"/>
        <w:rPr>
          <w:rFonts w:asciiTheme="minorHAnsi" w:hAnsiTheme="minorHAnsi" w:cstheme="minorHAnsi"/>
          <w:color w:val="000000"/>
        </w:rPr>
      </w:pPr>
    </w:p>
    <w:p w:rsidR="00752418" w:rsidRPr="005C5CA7" w:rsidRDefault="00752418" w:rsidP="005C5CA7">
      <w:pPr>
        <w:tabs>
          <w:tab w:val="left" w:pos="851"/>
        </w:tabs>
        <w:spacing w:line="360" w:lineRule="auto"/>
        <w:ind w:left="851" w:hanging="851"/>
        <w:jc w:val="both"/>
        <w:rPr>
          <w:rFonts w:asciiTheme="minorHAnsi" w:eastAsia="Arial" w:hAnsiTheme="minorHAnsi" w:cstheme="minorHAnsi"/>
          <w:color w:val="000000"/>
        </w:rPr>
      </w:pPr>
      <w:r w:rsidRPr="005C5CA7">
        <w:rPr>
          <w:rFonts w:asciiTheme="minorHAnsi" w:eastAsia="Arial" w:hAnsiTheme="minorHAnsi" w:cstheme="minorHAnsi"/>
          <w:color w:val="000000"/>
        </w:rPr>
        <w:t xml:space="preserve"> </w:t>
      </w:r>
    </w:p>
    <w:p w:rsidR="00752418" w:rsidRPr="005C5CA7" w:rsidRDefault="0049579E" w:rsidP="0049579E">
      <w:pPr>
        <w:widowControl w:val="0"/>
        <w:tabs>
          <w:tab w:val="left" w:pos="851"/>
        </w:tabs>
        <w:autoSpaceDN w:val="0"/>
        <w:spacing w:line="360" w:lineRule="auto"/>
        <w:ind w:left="851" w:hanging="851"/>
        <w:jc w:val="both"/>
        <w:rPr>
          <w:rFonts w:asciiTheme="minorHAnsi" w:hAnsiTheme="minorHAnsi" w:cstheme="minorHAnsi"/>
          <w:b/>
          <w:bCs/>
          <w:color w:val="000000"/>
        </w:rPr>
      </w:pPr>
      <w:r w:rsidRPr="005C5CA7">
        <w:rPr>
          <w:color w:val="000000"/>
        </w:rPr>
        <w:t>3.</w:t>
      </w:r>
      <w:r w:rsidRPr="005C5CA7">
        <w:rPr>
          <w:color w:val="000000"/>
        </w:rPr>
        <w:tab/>
      </w:r>
      <w:r w:rsidR="00752418" w:rsidRPr="005C5CA7">
        <w:rPr>
          <w:rFonts w:asciiTheme="minorHAnsi" w:eastAsia="Arial" w:hAnsiTheme="minorHAnsi" w:cstheme="minorHAnsi"/>
          <w:color w:val="000000"/>
        </w:rPr>
        <w:t xml:space="preserve">Interest </w:t>
      </w:r>
      <w:r w:rsidR="00752418" w:rsidRPr="005C5CA7">
        <w:rPr>
          <w:rFonts w:asciiTheme="minorHAnsi" w:eastAsia="Arial" w:hAnsiTheme="minorHAnsi" w:cstheme="minorHAnsi"/>
          <w:i/>
          <w:color w:val="000000"/>
        </w:rPr>
        <w:t>a tempore-morae</w:t>
      </w:r>
      <w:r w:rsidR="00752418" w:rsidRPr="005C5CA7">
        <w:rPr>
          <w:rFonts w:asciiTheme="minorHAnsi" w:eastAsia="Arial" w:hAnsiTheme="minorHAnsi" w:cstheme="minorHAnsi"/>
          <w:color w:val="000000"/>
        </w:rPr>
        <w:t xml:space="preserve"> shall be calculated in accordance with the Prescribed Rate of interest Act 55 of 1975, read with section 17(3)(a) of the Road Accident Fund Act 56 of 1996, one hundred and eighty (180) days </w:t>
      </w:r>
      <w:r w:rsidR="00752418" w:rsidRPr="005C5CA7">
        <w:rPr>
          <w:rFonts w:asciiTheme="minorHAnsi" w:eastAsia="Arial" w:hAnsiTheme="minorHAnsi" w:cstheme="minorHAnsi"/>
          <w:b/>
          <w:bCs/>
          <w:color w:val="000000"/>
        </w:rPr>
        <w:t>from the date of this order.</w:t>
      </w:r>
    </w:p>
    <w:p w:rsidR="00752418" w:rsidRPr="005C5CA7" w:rsidRDefault="00752418" w:rsidP="005C5CA7">
      <w:pPr>
        <w:widowControl w:val="0"/>
        <w:tabs>
          <w:tab w:val="left" w:pos="851"/>
        </w:tabs>
        <w:autoSpaceDN w:val="0"/>
        <w:spacing w:line="360" w:lineRule="auto"/>
        <w:jc w:val="both"/>
        <w:rPr>
          <w:rFonts w:asciiTheme="minorHAnsi" w:hAnsiTheme="minorHAnsi" w:cstheme="minorHAnsi"/>
          <w:b/>
          <w:bCs/>
          <w:color w:val="000000"/>
        </w:rPr>
      </w:pPr>
    </w:p>
    <w:p w:rsidR="00752418" w:rsidRPr="005C5CA7" w:rsidRDefault="0049579E" w:rsidP="0049579E">
      <w:pPr>
        <w:widowControl w:val="0"/>
        <w:tabs>
          <w:tab w:val="left" w:pos="851"/>
        </w:tabs>
        <w:autoSpaceDE w:val="0"/>
        <w:autoSpaceDN w:val="0"/>
        <w:adjustRightInd w:val="0"/>
        <w:spacing w:line="360" w:lineRule="auto"/>
        <w:ind w:left="851" w:hanging="851"/>
        <w:jc w:val="both"/>
        <w:rPr>
          <w:rFonts w:asciiTheme="minorHAnsi" w:hAnsiTheme="minorHAnsi" w:cstheme="minorHAnsi"/>
        </w:rPr>
      </w:pPr>
      <w:r w:rsidRPr="005C5CA7">
        <w:t>4.</w:t>
      </w:r>
      <w:r w:rsidRPr="005C5CA7">
        <w:tab/>
      </w:r>
      <w:r w:rsidR="00752418" w:rsidRPr="005C5CA7">
        <w:rPr>
          <w:rFonts w:asciiTheme="minorHAnsi" w:eastAsia="Arial" w:hAnsiTheme="minorHAnsi" w:cstheme="minorHAnsi"/>
          <w:color w:val="000000"/>
        </w:rPr>
        <w:t>The Defendant is to pay the Plaintiff’s agreed or taxed High Court costs as between party and party of the action, trial costs and any further costs incurred up until and including the date on which this order is made, such costs to include inter alia:</w:t>
      </w:r>
    </w:p>
    <w:p w:rsidR="00752418" w:rsidRPr="005C5CA7" w:rsidRDefault="00752418" w:rsidP="005C5CA7">
      <w:pPr>
        <w:widowControl w:val="0"/>
        <w:tabs>
          <w:tab w:val="left" w:pos="851"/>
        </w:tabs>
        <w:autoSpaceDE w:val="0"/>
        <w:autoSpaceDN w:val="0"/>
        <w:adjustRightInd w:val="0"/>
        <w:spacing w:line="360" w:lineRule="auto"/>
        <w:jc w:val="both"/>
        <w:rPr>
          <w:rFonts w:asciiTheme="minorHAnsi" w:hAnsiTheme="minorHAnsi" w:cstheme="minorHAnsi"/>
        </w:rPr>
      </w:pPr>
    </w:p>
    <w:p w:rsidR="00752418" w:rsidRPr="005C5CA7" w:rsidRDefault="0049579E" w:rsidP="0049579E">
      <w:pPr>
        <w:widowControl w:val="0"/>
        <w:tabs>
          <w:tab w:val="left" w:pos="1701"/>
        </w:tabs>
        <w:autoSpaceDE w:val="0"/>
        <w:autoSpaceDN w:val="0"/>
        <w:adjustRightInd w:val="0"/>
        <w:spacing w:line="360" w:lineRule="auto"/>
        <w:ind w:left="1701" w:hanging="850"/>
        <w:jc w:val="both"/>
        <w:rPr>
          <w:rFonts w:asciiTheme="minorHAnsi" w:hAnsiTheme="minorHAnsi" w:cstheme="minorHAnsi"/>
        </w:rPr>
      </w:pPr>
      <w:r w:rsidRPr="005C5CA7">
        <w:rPr>
          <w:rFonts w:asciiTheme="minorHAnsi" w:hAnsiTheme="minorHAnsi" w:cstheme="minorHAnsi"/>
        </w:rPr>
        <w:t>4.1.</w:t>
      </w:r>
      <w:r w:rsidRPr="005C5CA7">
        <w:rPr>
          <w:rFonts w:asciiTheme="minorHAnsi" w:hAnsiTheme="minorHAnsi" w:cstheme="minorHAnsi"/>
        </w:rPr>
        <w:tab/>
      </w:r>
      <w:r w:rsidR="00752418" w:rsidRPr="005C5CA7">
        <w:rPr>
          <w:rFonts w:asciiTheme="minorHAnsi" w:hAnsiTheme="minorHAnsi" w:cstheme="minorHAnsi"/>
        </w:rPr>
        <w:t xml:space="preserve">The costs attendant upon the obtaining of payment of the capital amount referred to in paragraph 1 above; </w:t>
      </w:r>
    </w:p>
    <w:p w:rsidR="00752418" w:rsidRPr="005C5CA7" w:rsidRDefault="00752418" w:rsidP="005C5CA7">
      <w:pPr>
        <w:widowControl w:val="0"/>
        <w:tabs>
          <w:tab w:val="left" w:pos="1701"/>
        </w:tabs>
        <w:autoSpaceDE w:val="0"/>
        <w:autoSpaceDN w:val="0"/>
        <w:adjustRightInd w:val="0"/>
        <w:spacing w:line="360" w:lineRule="auto"/>
        <w:ind w:left="1701"/>
        <w:jc w:val="both"/>
        <w:rPr>
          <w:rFonts w:asciiTheme="minorHAnsi" w:hAnsiTheme="minorHAnsi" w:cstheme="minorHAnsi"/>
        </w:rPr>
      </w:pPr>
    </w:p>
    <w:p w:rsidR="00752418" w:rsidRPr="0049579E" w:rsidRDefault="0049579E" w:rsidP="0049579E">
      <w:pPr>
        <w:widowControl w:val="0"/>
        <w:tabs>
          <w:tab w:val="left" w:pos="1701"/>
        </w:tabs>
        <w:autoSpaceDN w:val="0"/>
        <w:spacing w:line="360" w:lineRule="auto"/>
        <w:ind w:left="1701" w:hanging="850"/>
        <w:contextualSpacing/>
        <w:jc w:val="both"/>
        <w:rPr>
          <w:rFonts w:asciiTheme="minorHAnsi" w:hAnsiTheme="minorHAnsi" w:cstheme="minorHAnsi"/>
          <w:color w:val="000000"/>
        </w:rPr>
      </w:pPr>
      <w:r w:rsidRPr="005C5CA7">
        <w:rPr>
          <w:rFonts w:asciiTheme="minorHAnsi" w:hAnsiTheme="minorHAnsi" w:cstheme="minorHAnsi"/>
          <w:color w:val="000000"/>
        </w:rPr>
        <w:t>4.2.</w:t>
      </w:r>
      <w:r w:rsidRPr="005C5CA7">
        <w:rPr>
          <w:rFonts w:asciiTheme="minorHAnsi" w:hAnsiTheme="minorHAnsi" w:cstheme="minorHAnsi"/>
          <w:color w:val="000000"/>
        </w:rPr>
        <w:tab/>
      </w:r>
      <w:r w:rsidR="00752418" w:rsidRPr="0049579E">
        <w:rPr>
          <w:rFonts w:asciiTheme="minorHAnsi" w:eastAsia="Arial" w:hAnsiTheme="minorHAnsi" w:cstheme="minorHAnsi"/>
          <w:color w:val="000000"/>
        </w:rPr>
        <w:t>The preparation, reservation</w:t>
      </w:r>
      <w:r w:rsidR="005C5CA7" w:rsidRPr="0049579E">
        <w:rPr>
          <w:rFonts w:asciiTheme="minorHAnsi" w:eastAsia="Arial" w:hAnsiTheme="minorHAnsi" w:cstheme="minorHAnsi"/>
          <w:color w:val="000000"/>
        </w:rPr>
        <w:t>,</w:t>
      </w:r>
      <w:r w:rsidR="00752418" w:rsidRPr="0049579E">
        <w:rPr>
          <w:rFonts w:asciiTheme="minorHAnsi" w:eastAsia="Arial" w:hAnsiTheme="minorHAnsi" w:cstheme="minorHAnsi"/>
          <w:color w:val="000000"/>
        </w:rPr>
        <w:t xml:space="preserve"> and attendance fees of counsel, up until 31 May 2023</w:t>
      </w:r>
      <w:r w:rsidR="005C5CA7" w:rsidRPr="0049579E">
        <w:rPr>
          <w:rFonts w:asciiTheme="minorHAnsi" w:eastAsia="Arial" w:hAnsiTheme="minorHAnsi" w:cstheme="minorHAnsi"/>
          <w:color w:val="000000"/>
        </w:rPr>
        <w:t>,</w:t>
      </w:r>
      <w:r w:rsidR="00752418" w:rsidRPr="0049579E">
        <w:rPr>
          <w:rFonts w:asciiTheme="minorHAnsi" w:eastAsia="Arial" w:hAnsiTheme="minorHAnsi" w:cstheme="minorHAnsi"/>
          <w:color w:val="000000"/>
        </w:rPr>
        <w:t xml:space="preserve"> and including fees of counsel for written heads of argument. </w:t>
      </w:r>
    </w:p>
    <w:p w:rsidR="00752418" w:rsidRPr="005C5CA7" w:rsidRDefault="00752418" w:rsidP="005C5CA7">
      <w:pPr>
        <w:pStyle w:val="ListParagraph"/>
        <w:widowControl w:val="0"/>
        <w:tabs>
          <w:tab w:val="left" w:pos="1701"/>
        </w:tabs>
        <w:autoSpaceDN w:val="0"/>
        <w:spacing w:line="360" w:lineRule="auto"/>
        <w:contextualSpacing/>
        <w:jc w:val="both"/>
        <w:rPr>
          <w:rFonts w:asciiTheme="minorHAnsi" w:hAnsiTheme="minorHAnsi" w:cstheme="minorHAnsi"/>
          <w:color w:val="000000"/>
        </w:rPr>
      </w:pPr>
    </w:p>
    <w:p w:rsidR="00752418" w:rsidRPr="005C5CA7" w:rsidRDefault="0049579E" w:rsidP="0049579E">
      <w:pPr>
        <w:widowControl w:val="0"/>
        <w:tabs>
          <w:tab w:val="left" w:pos="1701"/>
        </w:tabs>
        <w:autoSpaceDE w:val="0"/>
        <w:autoSpaceDN w:val="0"/>
        <w:adjustRightInd w:val="0"/>
        <w:spacing w:line="360" w:lineRule="auto"/>
        <w:ind w:left="1701" w:hanging="850"/>
        <w:jc w:val="both"/>
        <w:rPr>
          <w:rFonts w:asciiTheme="minorHAnsi" w:hAnsiTheme="minorHAnsi" w:cstheme="minorHAnsi"/>
        </w:rPr>
      </w:pPr>
      <w:r w:rsidRPr="005C5CA7">
        <w:rPr>
          <w:rFonts w:asciiTheme="minorHAnsi" w:hAnsiTheme="minorHAnsi" w:cstheme="minorHAnsi"/>
        </w:rPr>
        <w:t>4.3.</w:t>
      </w:r>
      <w:r w:rsidRPr="005C5CA7">
        <w:rPr>
          <w:rFonts w:asciiTheme="minorHAnsi" w:hAnsiTheme="minorHAnsi" w:cstheme="minorHAnsi"/>
        </w:rPr>
        <w:tab/>
      </w:r>
      <w:r w:rsidR="00752418" w:rsidRPr="005C5CA7">
        <w:rPr>
          <w:rFonts w:asciiTheme="minorHAnsi" w:hAnsiTheme="minorHAnsi" w:cstheme="minorHAnsi"/>
        </w:rPr>
        <w:t>T</w:t>
      </w:r>
      <w:r w:rsidR="00752418" w:rsidRPr="005C5CA7">
        <w:rPr>
          <w:rFonts w:asciiTheme="minorHAnsi" w:eastAsia="Arial" w:hAnsiTheme="minorHAnsi" w:cstheme="minorHAnsi"/>
          <w:color w:val="000000"/>
        </w:rPr>
        <w:t xml:space="preserve">he qualifying fees, </w:t>
      </w:r>
      <w:r w:rsidR="00752418" w:rsidRPr="005C5CA7">
        <w:rPr>
          <w:rFonts w:asciiTheme="minorHAnsi" w:hAnsiTheme="minorHAnsi" w:cstheme="minorHAnsi"/>
          <w:color w:val="000000"/>
        </w:rPr>
        <w:t xml:space="preserve">if any, as may be agreed or allowed by the Taxing Master </w:t>
      </w:r>
      <w:r w:rsidR="00752418" w:rsidRPr="005C5CA7">
        <w:rPr>
          <w:rFonts w:asciiTheme="minorHAnsi" w:eastAsia="Arial" w:hAnsiTheme="minorHAnsi" w:cstheme="minorHAnsi"/>
          <w:color w:val="000000"/>
        </w:rPr>
        <w:t xml:space="preserve">of the plaintiff’s experts, including but not limited to the Plaintiff’s reports and addendum reports inter alia </w:t>
      </w:r>
      <w:r w:rsidR="005C5CA7" w:rsidRPr="005C5CA7">
        <w:rPr>
          <w:rFonts w:asciiTheme="minorHAnsi" w:eastAsia="Arial" w:hAnsiTheme="minorHAnsi" w:cstheme="minorHAnsi"/>
          <w:color w:val="000000"/>
        </w:rPr>
        <w:t>by: -</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4.3.1.</w:t>
      </w:r>
      <w:r w:rsidRPr="005C5CA7">
        <w:rPr>
          <w:rFonts w:asciiTheme="minorHAnsi" w:hAnsiTheme="minorHAnsi" w:cstheme="minorHAnsi"/>
          <w:color w:val="000000"/>
        </w:rPr>
        <w:tab/>
      </w:r>
      <w:r w:rsidR="00752418" w:rsidRPr="0049579E">
        <w:rPr>
          <w:rFonts w:asciiTheme="minorHAnsi" w:hAnsiTheme="minorHAnsi" w:cstheme="minorHAnsi"/>
          <w:color w:val="000000"/>
        </w:rPr>
        <w:t xml:space="preserve">Dr Makua (General Practitioner); </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4.3.2.</w:t>
      </w:r>
      <w:r w:rsidRPr="005C5CA7">
        <w:rPr>
          <w:rFonts w:asciiTheme="minorHAnsi" w:hAnsiTheme="minorHAnsi" w:cstheme="minorHAnsi"/>
          <w:color w:val="000000"/>
        </w:rPr>
        <w:tab/>
      </w:r>
      <w:r w:rsidR="00752418" w:rsidRPr="0049579E">
        <w:rPr>
          <w:rFonts w:asciiTheme="minorHAnsi" w:hAnsiTheme="minorHAnsi" w:cstheme="minorHAnsi"/>
          <w:color w:val="000000"/>
        </w:rPr>
        <w:t xml:space="preserve">Dr Scher (Orthopaedic Surgeon); </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4.3.3.</w:t>
      </w:r>
      <w:r w:rsidRPr="005C5CA7">
        <w:rPr>
          <w:rFonts w:asciiTheme="minorHAnsi" w:hAnsiTheme="minorHAnsi" w:cstheme="minorHAnsi"/>
          <w:color w:val="000000"/>
        </w:rPr>
        <w:tab/>
      </w:r>
      <w:r w:rsidR="00752418" w:rsidRPr="0049579E">
        <w:rPr>
          <w:rFonts w:asciiTheme="minorHAnsi" w:hAnsiTheme="minorHAnsi" w:cstheme="minorHAnsi"/>
          <w:color w:val="000000"/>
        </w:rPr>
        <w:t xml:space="preserve">Dr Taniel Townsend (Neurologist); </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4.3.4.</w:t>
      </w:r>
      <w:r w:rsidRPr="005C5CA7">
        <w:rPr>
          <w:rFonts w:asciiTheme="minorHAnsi" w:hAnsiTheme="minorHAnsi" w:cstheme="minorHAnsi"/>
          <w:color w:val="000000"/>
        </w:rPr>
        <w:tab/>
      </w:r>
      <w:r w:rsidR="00752418" w:rsidRPr="0049579E">
        <w:rPr>
          <w:rFonts w:asciiTheme="minorHAnsi" w:hAnsiTheme="minorHAnsi" w:cstheme="minorHAnsi"/>
          <w:color w:val="000000"/>
        </w:rPr>
        <w:t xml:space="preserve">Talita da Costa (Clinical Psychologist); </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4.3.5.</w:t>
      </w:r>
      <w:r w:rsidRPr="005C5CA7">
        <w:rPr>
          <w:rFonts w:asciiTheme="minorHAnsi" w:hAnsiTheme="minorHAnsi" w:cstheme="minorHAnsi"/>
          <w:color w:val="000000"/>
        </w:rPr>
        <w:tab/>
      </w:r>
      <w:r w:rsidR="00752418" w:rsidRPr="0049579E">
        <w:rPr>
          <w:rFonts w:asciiTheme="minorHAnsi" w:hAnsiTheme="minorHAnsi" w:cstheme="minorHAnsi"/>
          <w:color w:val="000000"/>
        </w:rPr>
        <w:t xml:space="preserve">Alet Mattheus (Educational Psychologist); </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4.3.6.</w:t>
      </w:r>
      <w:r w:rsidRPr="005C5CA7">
        <w:rPr>
          <w:rFonts w:asciiTheme="minorHAnsi" w:hAnsiTheme="minorHAnsi" w:cstheme="minorHAnsi"/>
          <w:color w:val="000000"/>
        </w:rPr>
        <w:tab/>
      </w:r>
      <w:r w:rsidR="00752418" w:rsidRPr="0049579E">
        <w:rPr>
          <w:rFonts w:asciiTheme="minorHAnsi" w:hAnsiTheme="minorHAnsi" w:cstheme="minorHAnsi"/>
          <w:color w:val="000000"/>
        </w:rPr>
        <w:t xml:space="preserve">Sharilee Fletcher (Occupational Therapist); </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4.3.7.</w:t>
      </w:r>
      <w:r w:rsidRPr="005C5CA7">
        <w:rPr>
          <w:rFonts w:asciiTheme="minorHAnsi" w:hAnsiTheme="minorHAnsi" w:cstheme="minorHAnsi"/>
          <w:color w:val="000000"/>
        </w:rPr>
        <w:tab/>
      </w:r>
      <w:r w:rsidR="00752418" w:rsidRPr="0049579E">
        <w:rPr>
          <w:rFonts w:asciiTheme="minorHAnsi" w:hAnsiTheme="minorHAnsi" w:cstheme="minorHAnsi"/>
          <w:color w:val="000000"/>
        </w:rPr>
        <w:t>Lee Leibowitz (Industrial Psychologist);</w:t>
      </w:r>
    </w:p>
    <w:p w:rsidR="00752418" w:rsidRPr="0049579E" w:rsidRDefault="0049579E" w:rsidP="0049579E">
      <w:pPr>
        <w:widowControl w:val="0"/>
        <w:autoSpaceDN w:val="0"/>
        <w:spacing w:line="360" w:lineRule="auto"/>
        <w:ind w:left="2835" w:hanging="1134"/>
        <w:contextualSpacing/>
        <w:jc w:val="both"/>
        <w:rPr>
          <w:rFonts w:asciiTheme="minorHAnsi" w:hAnsiTheme="minorHAnsi" w:cstheme="minorHAnsi"/>
          <w:color w:val="000000"/>
        </w:rPr>
      </w:pPr>
      <w:r w:rsidRPr="005C5CA7">
        <w:rPr>
          <w:rFonts w:asciiTheme="minorHAnsi" w:hAnsiTheme="minorHAnsi" w:cstheme="minorHAnsi"/>
          <w:color w:val="000000"/>
        </w:rPr>
        <w:t>4.3.8.</w:t>
      </w:r>
      <w:r w:rsidRPr="005C5CA7">
        <w:rPr>
          <w:rFonts w:asciiTheme="minorHAnsi" w:hAnsiTheme="minorHAnsi" w:cstheme="minorHAnsi"/>
          <w:color w:val="000000"/>
        </w:rPr>
        <w:tab/>
      </w:r>
      <w:r w:rsidR="00752418" w:rsidRPr="0049579E">
        <w:rPr>
          <w:rFonts w:asciiTheme="minorHAnsi" w:hAnsiTheme="minorHAnsi" w:cstheme="minorHAnsi"/>
          <w:color w:val="000000"/>
        </w:rPr>
        <w:t>Wim Loots (Actuary).</w:t>
      </w:r>
    </w:p>
    <w:p w:rsidR="00752418" w:rsidRPr="005C5CA7" w:rsidRDefault="00752418" w:rsidP="005C5CA7">
      <w:pPr>
        <w:pStyle w:val="ListParagraph"/>
        <w:widowControl w:val="0"/>
        <w:autoSpaceDN w:val="0"/>
        <w:spacing w:line="360" w:lineRule="auto"/>
        <w:ind w:left="2835"/>
        <w:contextualSpacing/>
        <w:jc w:val="both"/>
        <w:rPr>
          <w:rFonts w:asciiTheme="minorHAnsi" w:hAnsiTheme="minorHAnsi" w:cstheme="minorHAnsi"/>
          <w:color w:val="000000"/>
        </w:rPr>
      </w:pPr>
    </w:p>
    <w:p w:rsidR="00752418" w:rsidRPr="0049579E" w:rsidRDefault="0049579E" w:rsidP="0049579E">
      <w:pPr>
        <w:widowControl w:val="0"/>
        <w:tabs>
          <w:tab w:val="left" w:pos="851"/>
        </w:tabs>
        <w:autoSpaceDN w:val="0"/>
        <w:spacing w:line="360" w:lineRule="auto"/>
        <w:ind w:left="851" w:hanging="851"/>
        <w:contextualSpacing/>
        <w:jc w:val="both"/>
        <w:rPr>
          <w:rFonts w:asciiTheme="minorHAnsi" w:hAnsiTheme="minorHAnsi" w:cstheme="minorHAnsi"/>
          <w:color w:val="000000"/>
        </w:rPr>
      </w:pPr>
      <w:r w:rsidRPr="005C5CA7">
        <w:rPr>
          <w:color w:val="000000"/>
        </w:rPr>
        <w:t>5.</w:t>
      </w:r>
      <w:r w:rsidRPr="005C5CA7">
        <w:rPr>
          <w:color w:val="000000"/>
        </w:rPr>
        <w:tab/>
      </w:r>
      <w:r w:rsidR="00752418" w:rsidRPr="0049579E">
        <w:rPr>
          <w:rFonts w:asciiTheme="minorHAnsi" w:hAnsiTheme="minorHAnsi" w:cstheme="minorHAnsi"/>
        </w:rPr>
        <w:t>The Plaintiff’s attorneys shall serve the notice of taxation on the Defendant’s attorneys and shall allow the Defendant 180 (one hundred</w:t>
      </w:r>
      <w:r w:rsidR="00E43627" w:rsidRPr="0049579E">
        <w:rPr>
          <w:rFonts w:asciiTheme="minorHAnsi" w:hAnsiTheme="minorHAnsi" w:cstheme="minorHAnsi"/>
        </w:rPr>
        <w:t xml:space="preserve"> and eighty</w:t>
      </w:r>
      <w:r w:rsidR="00752418" w:rsidRPr="0049579E">
        <w:rPr>
          <w:rFonts w:asciiTheme="minorHAnsi" w:hAnsiTheme="minorHAnsi" w:cstheme="minorHAnsi"/>
        </w:rPr>
        <w:t xml:space="preserve">) days within which to make payment of such costs. </w:t>
      </w:r>
    </w:p>
    <w:p w:rsidR="00752418" w:rsidRPr="005C5CA7" w:rsidRDefault="00752418" w:rsidP="005C5CA7">
      <w:pPr>
        <w:pStyle w:val="ListParagraph"/>
        <w:widowControl w:val="0"/>
        <w:tabs>
          <w:tab w:val="left" w:pos="851"/>
        </w:tabs>
        <w:autoSpaceDN w:val="0"/>
        <w:spacing w:line="360" w:lineRule="auto"/>
        <w:ind w:left="851"/>
        <w:contextualSpacing/>
        <w:jc w:val="both"/>
        <w:rPr>
          <w:rFonts w:asciiTheme="minorHAnsi" w:hAnsiTheme="minorHAnsi" w:cstheme="minorHAnsi"/>
          <w:color w:val="000000"/>
        </w:rPr>
      </w:pPr>
    </w:p>
    <w:p w:rsidR="00752418" w:rsidRPr="0049579E" w:rsidRDefault="0049579E" w:rsidP="0049579E">
      <w:pPr>
        <w:widowControl w:val="0"/>
        <w:tabs>
          <w:tab w:val="left" w:pos="851"/>
        </w:tabs>
        <w:autoSpaceDN w:val="0"/>
        <w:spacing w:line="360" w:lineRule="auto"/>
        <w:ind w:left="851" w:hanging="851"/>
        <w:contextualSpacing/>
        <w:jc w:val="both"/>
        <w:rPr>
          <w:rFonts w:asciiTheme="minorHAnsi" w:hAnsiTheme="minorHAnsi" w:cstheme="minorHAnsi"/>
          <w:color w:val="000000"/>
        </w:rPr>
      </w:pPr>
      <w:r w:rsidRPr="005C5CA7">
        <w:rPr>
          <w:color w:val="000000"/>
        </w:rPr>
        <w:t>6.</w:t>
      </w:r>
      <w:r w:rsidRPr="005C5CA7">
        <w:rPr>
          <w:color w:val="000000"/>
        </w:rPr>
        <w:tab/>
      </w:r>
      <w:r w:rsidR="00752418" w:rsidRPr="0049579E">
        <w:rPr>
          <w:rFonts w:asciiTheme="minorHAnsi" w:eastAsia="Arial" w:hAnsiTheme="minorHAnsi" w:cstheme="minorHAnsi"/>
        </w:rPr>
        <w:t>The party and party costs, as agreed or taxed referred to in par. 4 above, shall be paid by the Defendant directly into the trust account of Mokoduo, Erasmus, Davidson Attorneys for the benefit of the Minor / Plaintiff.</w:t>
      </w:r>
    </w:p>
    <w:p w:rsidR="00752418" w:rsidRPr="005C5CA7" w:rsidRDefault="00752418" w:rsidP="005C5CA7">
      <w:pPr>
        <w:pStyle w:val="ListParagraph"/>
        <w:widowControl w:val="0"/>
        <w:tabs>
          <w:tab w:val="left" w:pos="851"/>
        </w:tabs>
        <w:autoSpaceDN w:val="0"/>
        <w:spacing w:line="360" w:lineRule="auto"/>
        <w:contextualSpacing/>
        <w:jc w:val="both"/>
        <w:rPr>
          <w:rFonts w:asciiTheme="minorHAnsi" w:hAnsiTheme="minorHAnsi" w:cstheme="minorHAnsi"/>
          <w:color w:val="000000"/>
        </w:rPr>
      </w:pPr>
    </w:p>
    <w:p w:rsidR="00752418" w:rsidRPr="0049579E" w:rsidRDefault="0049579E" w:rsidP="0049579E">
      <w:pPr>
        <w:widowControl w:val="0"/>
        <w:tabs>
          <w:tab w:val="left" w:pos="851"/>
        </w:tabs>
        <w:autoSpaceDN w:val="0"/>
        <w:spacing w:line="360" w:lineRule="auto"/>
        <w:ind w:left="851" w:hanging="851"/>
        <w:contextualSpacing/>
        <w:jc w:val="both"/>
        <w:rPr>
          <w:rFonts w:asciiTheme="minorHAnsi" w:hAnsiTheme="minorHAnsi" w:cstheme="minorHAnsi"/>
          <w:color w:val="000000"/>
        </w:rPr>
      </w:pPr>
      <w:r w:rsidRPr="005C5CA7">
        <w:rPr>
          <w:color w:val="000000"/>
        </w:rPr>
        <w:t>7.</w:t>
      </w:r>
      <w:r w:rsidRPr="005C5CA7">
        <w:rPr>
          <w:color w:val="000000"/>
        </w:rPr>
        <w:tab/>
      </w:r>
      <w:r w:rsidR="00752418" w:rsidRPr="0049579E">
        <w:rPr>
          <w:rFonts w:asciiTheme="minorHAnsi" w:hAnsiTheme="minorHAnsi" w:cstheme="minorHAnsi"/>
          <w:color w:val="000000"/>
          <w:lang w:val="en-US"/>
        </w:rPr>
        <w:t>It is recorded that in the order dated 23</w:t>
      </w:r>
      <w:r w:rsidR="00752418" w:rsidRPr="0049579E">
        <w:rPr>
          <w:rFonts w:asciiTheme="minorHAnsi" w:hAnsiTheme="minorHAnsi" w:cstheme="minorHAnsi"/>
          <w:color w:val="000000"/>
          <w:vertAlign w:val="superscript"/>
          <w:lang w:val="en-US"/>
        </w:rPr>
        <w:t>rd</w:t>
      </w:r>
      <w:r w:rsidR="00752418" w:rsidRPr="0049579E">
        <w:rPr>
          <w:rFonts w:asciiTheme="minorHAnsi" w:hAnsiTheme="minorHAnsi" w:cstheme="minorHAnsi"/>
          <w:color w:val="000000"/>
          <w:lang w:val="en-US"/>
        </w:rPr>
        <w:t xml:space="preserve"> of November 2022 by this Court</w:t>
      </w:r>
      <w:r w:rsidR="005C5CA7" w:rsidRPr="0049579E">
        <w:rPr>
          <w:rFonts w:asciiTheme="minorHAnsi" w:hAnsiTheme="minorHAnsi" w:cstheme="minorHAnsi"/>
          <w:color w:val="000000"/>
          <w:lang w:val="en-US"/>
        </w:rPr>
        <w:t>,</w:t>
      </w:r>
      <w:r w:rsidR="00752418" w:rsidRPr="0049579E">
        <w:rPr>
          <w:rFonts w:asciiTheme="minorHAnsi" w:hAnsiTheme="minorHAnsi" w:cstheme="minorHAnsi"/>
          <w:color w:val="000000"/>
          <w:lang w:val="en-US"/>
        </w:rPr>
        <w:t xml:space="preserve"> it was provided that a trust be established for the benefit for the minor child, Bokang Ramolahloane.  </w:t>
      </w:r>
    </w:p>
    <w:p w:rsidR="00752418" w:rsidRPr="005C5CA7" w:rsidRDefault="00752418" w:rsidP="005C5CA7">
      <w:pPr>
        <w:pStyle w:val="ListParagraph"/>
        <w:spacing w:line="360" w:lineRule="auto"/>
        <w:rPr>
          <w:rFonts w:asciiTheme="minorHAnsi" w:hAnsiTheme="minorHAnsi" w:cstheme="minorHAnsi"/>
          <w:color w:val="000000"/>
          <w:lang w:val="en-US"/>
        </w:rPr>
      </w:pPr>
    </w:p>
    <w:p w:rsidR="00752418" w:rsidRPr="0049579E" w:rsidRDefault="0049579E" w:rsidP="0049579E">
      <w:pPr>
        <w:widowControl w:val="0"/>
        <w:tabs>
          <w:tab w:val="left" w:pos="851"/>
        </w:tabs>
        <w:autoSpaceDN w:val="0"/>
        <w:spacing w:line="360" w:lineRule="auto"/>
        <w:ind w:left="851" w:hanging="851"/>
        <w:contextualSpacing/>
        <w:jc w:val="both"/>
        <w:rPr>
          <w:rFonts w:asciiTheme="minorHAnsi" w:hAnsiTheme="minorHAnsi" w:cstheme="minorHAnsi"/>
          <w:color w:val="000000"/>
        </w:rPr>
      </w:pPr>
      <w:r w:rsidRPr="005C5CA7">
        <w:rPr>
          <w:color w:val="000000"/>
        </w:rPr>
        <w:t>8.</w:t>
      </w:r>
      <w:r w:rsidRPr="005C5CA7">
        <w:rPr>
          <w:color w:val="000000"/>
        </w:rPr>
        <w:tab/>
      </w:r>
      <w:r w:rsidR="00752418" w:rsidRPr="0049579E">
        <w:rPr>
          <w:rFonts w:asciiTheme="minorHAnsi" w:hAnsiTheme="minorHAnsi" w:cstheme="minorHAnsi"/>
          <w:color w:val="000000"/>
          <w:lang w:val="en-US"/>
        </w:rPr>
        <w:t>Mokoduo, Erasmus, Davidson Attorneys will invest the capital amount less the reasonable attorney and client fees and disbursements in terms of Section 86(4) of the Legal Practice Act 28 of 2014, with First National Bank, Rosebank, for the benefit of the Minor, the interest thereon, likewise accruing for the benefit of the Minor which investment shall be utilized as may be directed by the trustee of the Trust.</w:t>
      </w:r>
    </w:p>
    <w:p w:rsidR="00752418" w:rsidRPr="005C5CA7" w:rsidRDefault="00752418" w:rsidP="005C5CA7">
      <w:pPr>
        <w:pStyle w:val="ListParagraph"/>
        <w:widowControl w:val="0"/>
        <w:tabs>
          <w:tab w:val="left" w:pos="851"/>
        </w:tabs>
        <w:autoSpaceDN w:val="0"/>
        <w:spacing w:line="360" w:lineRule="auto"/>
        <w:ind w:left="851"/>
        <w:contextualSpacing/>
        <w:jc w:val="both"/>
        <w:rPr>
          <w:rFonts w:asciiTheme="minorHAnsi" w:hAnsiTheme="minorHAnsi" w:cstheme="minorHAnsi"/>
          <w:color w:val="000000"/>
        </w:rPr>
      </w:pPr>
    </w:p>
    <w:p w:rsidR="00752418" w:rsidRPr="0049579E" w:rsidRDefault="0049579E" w:rsidP="0049579E">
      <w:pPr>
        <w:widowControl w:val="0"/>
        <w:tabs>
          <w:tab w:val="left" w:pos="851"/>
        </w:tabs>
        <w:autoSpaceDN w:val="0"/>
        <w:spacing w:line="360" w:lineRule="auto"/>
        <w:ind w:left="851" w:hanging="851"/>
        <w:contextualSpacing/>
        <w:jc w:val="both"/>
        <w:rPr>
          <w:rFonts w:asciiTheme="minorHAnsi" w:hAnsiTheme="minorHAnsi" w:cstheme="minorHAnsi"/>
          <w:color w:val="000000"/>
        </w:rPr>
      </w:pPr>
      <w:r w:rsidRPr="005C5CA7">
        <w:rPr>
          <w:color w:val="000000"/>
        </w:rPr>
        <w:t>9.</w:t>
      </w:r>
      <w:r w:rsidRPr="005C5CA7">
        <w:rPr>
          <w:color w:val="000000"/>
        </w:rPr>
        <w:tab/>
      </w:r>
      <w:r w:rsidR="00752418" w:rsidRPr="0049579E">
        <w:rPr>
          <w:rFonts w:asciiTheme="minorHAnsi" w:hAnsiTheme="minorHAnsi" w:cstheme="minorHAnsi"/>
          <w:color w:val="000000"/>
          <w:lang w:val="en-US"/>
        </w:rPr>
        <w:t xml:space="preserve">The Plaintiff has entered a Contingency Fee Agreement with her Attorneys. </w:t>
      </w:r>
    </w:p>
    <w:p w:rsidR="00AD235A" w:rsidRDefault="00AD235A" w:rsidP="00AD235A">
      <w:pPr>
        <w:pStyle w:val="ListParagraph"/>
        <w:ind w:right="-46"/>
        <w:rPr>
          <w:lang w:val="en-GB"/>
        </w:rPr>
      </w:pPr>
    </w:p>
    <w:p w:rsidR="00553176" w:rsidRDefault="00553176"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DE77F1" w:rsidRPr="008C0139" w:rsidRDefault="00DE77F1" w:rsidP="00DE77F1">
      <w:pPr>
        <w:pStyle w:val="BodyTextIndent"/>
        <w:spacing w:line="360" w:lineRule="auto"/>
        <w:jc w:val="right"/>
        <w:rPr>
          <w:b/>
          <w:color w:val="000000" w:themeColor="text1"/>
        </w:rPr>
      </w:pPr>
      <w:r w:rsidRPr="008C0139">
        <w:rPr>
          <w:b/>
          <w:color w:val="000000" w:themeColor="text1"/>
        </w:rPr>
        <w:t>___________________________</w:t>
      </w:r>
    </w:p>
    <w:p w:rsidR="00DE77F1" w:rsidRPr="008C0139" w:rsidRDefault="00DE77F1" w:rsidP="00DE77F1">
      <w:pPr>
        <w:pStyle w:val="BodyTextIndent"/>
        <w:spacing w:line="360" w:lineRule="auto"/>
        <w:jc w:val="center"/>
        <w:rPr>
          <w:b/>
          <w:color w:val="000000" w:themeColor="text1"/>
        </w:rPr>
      </w:pPr>
      <w:r>
        <w:rPr>
          <w:b/>
          <w:color w:val="000000" w:themeColor="text1"/>
        </w:rPr>
        <w:t xml:space="preserve">                                                                          P. E MOLITSOANE,</w:t>
      </w:r>
      <w:r w:rsidRPr="008C0139">
        <w:rPr>
          <w:b/>
          <w:color w:val="000000" w:themeColor="text1"/>
        </w:rPr>
        <w:t xml:space="preserve"> J</w:t>
      </w: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Pr="008C0139" w:rsidRDefault="00876FC7" w:rsidP="00876FC7">
      <w:pPr>
        <w:pStyle w:val="BodyTextIndent"/>
        <w:spacing w:line="360" w:lineRule="auto"/>
        <w:rPr>
          <w:color w:val="000000" w:themeColor="text1"/>
        </w:rPr>
      </w:pPr>
      <w:r>
        <w:rPr>
          <w:color w:val="000000" w:themeColor="text1"/>
        </w:rPr>
        <w:t>On behalf of the Plaintiff</w:t>
      </w:r>
      <w:r w:rsidRPr="008C0139">
        <w:rPr>
          <w:color w:val="000000" w:themeColor="text1"/>
        </w:rPr>
        <w:t>:</w:t>
      </w:r>
      <w:r w:rsidRPr="008C0139">
        <w:rPr>
          <w:color w:val="000000" w:themeColor="text1"/>
        </w:rPr>
        <w:tab/>
      </w:r>
      <w:r w:rsidRPr="008C0139">
        <w:rPr>
          <w:color w:val="000000" w:themeColor="text1"/>
        </w:rPr>
        <w:tab/>
      </w:r>
      <w:r>
        <w:rPr>
          <w:color w:val="000000" w:themeColor="text1"/>
        </w:rPr>
        <w:t xml:space="preserve">Adv. Ilze Sander </w:t>
      </w:r>
    </w:p>
    <w:p w:rsidR="00876FC7" w:rsidRPr="008C0139" w:rsidRDefault="00876FC7" w:rsidP="00876FC7">
      <w:pPr>
        <w:pStyle w:val="BodyTextIndent"/>
        <w:spacing w:line="360" w:lineRule="auto"/>
        <w:rPr>
          <w:color w:val="000000" w:themeColor="text1"/>
        </w:rPr>
      </w:pPr>
      <w:r>
        <w:rPr>
          <w:color w:val="000000" w:themeColor="text1"/>
        </w:rPr>
        <w:t xml:space="preserve">Instructed by:  </w:t>
      </w:r>
      <w:r>
        <w:rPr>
          <w:color w:val="000000" w:themeColor="text1"/>
        </w:rPr>
        <w:tab/>
        <w:t xml:space="preserve">                      MED Attorneys</w:t>
      </w:r>
    </w:p>
    <w:p w:rsidR="00876FC7" w:rsidRPr="008C0139" w:rsidRDefault="00876FC7" w:rsidP="00876FC7">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BLOEMFONTEIN</w:t>
      </w:r>
    </w:p>
    <w:p w:rsidR="00876FC7" w:rsidRPr="008C0139" w:rsidRDefault="00876FC7" w:rsidP="00876FC7">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876FC7" w:rsidRPr="008C0139" w:rsidRDefault="00876FC7" w:rsidP="00876FC7">
      <w:pPr>
        <w:pStyle w:val="BodyTextIndent"/>
        <w:spacing w:line="360" w:lineRule="auto"/>
        <w:rPr>
          <w:color w:val="000000" w:themeColor="text1"/>
        </w:rPr>
      </w:pPr>
    </w:p>
    <w:p w:rsidR="00876FC7" w:rsidRPr="008C0139" w:rsidRDefault="00876FC7" w:rsidP="00876FC7">
      <w:pPr>
        <w:pStyle w:val="BodyTextIndent"/>
        <w:spacing w:line="360" w:lineRule="auto"/>
        <w:ind w:left="3686" w:hanging="3686"/>
        <w:rPr>
          <w:color w:val="000000" w:themeColor="text1"/>
        </w:rPr>
      </w:pPr>
      <w:r>
        <w:rPr>
          <w:color w:val="000000" w:themeColor="text1"/>
        </w:rPr>
        <w:t>On behalf of the Defendant</w:t>
      </w:r>
      <w:r w:rsidRPr="008C0139">
        <w:rPr>
          <w:color w:val="000000" w:themeColor="text1"/>
        </w:rPr>
        <w:t xml:space="preserve">: </w:t>
      </w:r>
      <w:r>
        <w:rPr>
          <w:color w:val="000000" w:themeColor="text1"/>
        </w:rPr>
        <w:tab/>
        <w:t xml:space="preserve">Ms Johandi Gouws </w:t>
      </w:r>
    </w:p>
    <w:p w:rsidR="00876FC7" w:rsidRPr="008C0139" w:rsidRDefault="00876FC7" w:rsidP="00876FC7">
      <w:pPr>
        <w:pStyle w:val="BodyTextIndent"/>
        <w:spacing w:line="360" w:lineRule="auto"/>
        <w:ind w:left="3686" w:hanging="3686"/>
        <w:rPr>
          <w:color w:val="000000" w:themeColor="text1"/>
        </w:rPr>
      </w:pPr>
      <w:r>
        <w:rPr>
          <w:color w:val="000000" w:themeColor="text1"/>
        </w:rPr>
        <w:t>Instructed by:</w:t>
      </w:r>
      <w:r>
        <w:rPr>
          <w:color w:val="000000" w:themeColor="text1"/>
        </w:rPr>
        <w:tab/>
        <w:t xml:space="preserve">Road Accident Fund </w:t>
      </w:r>
    </w:p>
    <w:p w:rsidR="00876FC7" w:rsidRPr="008C0139" w:rsidRDefault="00876FC7" w:rsidP="00876FC7">
      <w:pPr>
        <w:pStyle w:val="BodyTextIndent"/>
        <w:spacing w:line="360" w:lineRule="auto"/>
        <w:ind w:left="3686" w:hanging="3686"/>
        <w:rPr>
          <w:color w:val="000000" w:themeColor="text1"/>
        </w:rPr>
      </w:pPr>
      <w:r w:rsidRPr="008C0139">
        <w:rPr>
          <w:color w:val="000000" w:themeColor="text1"/>
        </w:rPr>
        <w:tab/>
        <w:t xml:space="preserve">BLOEMFONTEIN </w:t>
      </w:r>
      <w:r w:rsidRPr="008C0139">
        <w:rPr>
          <w:color w:val="000000" w:themeColor="text1"/>
        </w:rPr>
        <w:tab/>
      </w:r>
    </w:p>
    <w:p w:rsidR="00876FC7" w:rsidRPr="008C0139" w:rsidRDefault="00876FC7" w:rsidP="009A5A91">
      <w:pPr>
        <w:pStyle w:val="BodyTextIndent"/>
        <w:spacing w:line="360" w:lineRule="auto"/>
        <w:ind w:left="3686" w:hanging="3686"/>
        <w:rPr>
          <w:color w:val="000000" w:themeColor="text1"/>
        </w:rPr>
      </w:pPr>
    </w:p>
    <w:sectPr w:rsidR="00876FC7" w:rsidRPr="008C0139"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95" w:rsidRDefault="00B53995" w:rsidP="00F404A4">
      <w:r>
        <w:separator/>
      </w:r>
    </w:p>
  </w:endnote>
  <w:endnote w:type="continuationSeparator" w:id="0">
    <w:p w:rsidR="00B53995" w:rsidRDefault="00B53995"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rsidR="00F46170" w:rsidRDefault="00F46170">
        <w:pPr>
          <w:pStyle w:val="Footer"/>
          <w:jc w:val="right"/>
        </w:pPr>
        <w:r>
          <w:fldChar w:fldCharType="begin"/>
        </w:r>
        <w:r>
          <w:instrText xml:space="preserve"> PAGE   \* MERGEFORMAT </w:instrText>
        </w:r>
        <w:r>
          <w:fldChar w:fldCharType="separate"/>
        </w:r>
        <w:r w:rsidR="0049579E">
          <w:rPr>
            <w:noProof/>
          </w:rPr>
          <w:t>2</w:t>
        </w:r>
        <w:r>
          <w:rPr>
            <w:noProof/>
          </w:rPr>
          <w:fldChar w:fldCharType="end"/>
        </w:r>
      </w:p>
    </w:sdtContent>
  </w:sdt>
  <w:p w:rsidR="00F46170" w:rsidRDefault="00F4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95" w:rsidRDefault="00B53995" w:rsidP="00F404A4">
      <w:r>
        <w:separator/>
      </w:r>
    </w:p>
  </w:footnote>
  <w:footnote w:type="continuationSeparator" w:id="0">
    <w:p w:rsidR="00B53995" w:rsidRDefault="00B53995" w:rsidP="00F404A4">
      <w:r>
        <w:continuationSeparator/>
      </w:r>
    </w:p>
  </w:footnote>
  <w:footnote w:id="1">
    <w:p w:rsidR="00F46170" w:rsidRDefault="00F46170">
      <w:pPr>
        <w:pStyle w:val="FootnoteText"/>
      </w:pPr>
      <w:r>
        <w:rPr>
          <w:rStyle w:val="FootnoteReference"/>
        </w:rPr>
        <w:footnoteRef/>
      </w:r>
      <w:r>
        <w:rPr>
          <w:rStyle w:val="FootnoteReference"/>
        </w:rPr>
        <w:footnoteRef/>
      </w:r>
      <w:r>
        <w:t xml:space="preserve"> (1371/2019[2023] ZAFSHC (2 August 2023).</w:t>
      </w:r>
    </w:p>
  </w:footnote>
  <w:footnote w:id="2">
    <w:p w:rsidR="00F46170" w:rsidRDefault="00F46170" w:rsidP="0032721D">
      <w:pPr>
        <w:pStyle w:val="FootnoteText"/>
      </w:pPr>
      <w:r>
        <w:rPr>
          <w:rStyle w:val="FootnoteReference"/>
        </w:rPr>
        <w:footnoteRef/>
      </w:r>
      <w:r>
        <w:t xml:space="preserve"> (5489/2019) [2023] ZAFSHC 99(31 March 2023).</w:t>
      </w:r>
    </w:p>
  </w:footnote>
  <w:footnote w:id="3">
    <w:p w:rsidR="00F46170" w:rsidRDefault="00F46170" w:rsidP="0032721D">
      <w:pPr>
        <w:pStyle w:val="FootnoteText"/>
      </w:pPr>
      <w:r>
        <w:rPr>
          <w:rStyle w:val="FootnoteReference"/>
        </w:rPr>
        <w:footnoteRef/>
      </w:r>
      <w:r>
        <w:t xml:space="preserve"> Ex parte Minister of Justice: In re R v Jacobson and Levy 1931 AD 466 at 478.</w:t>
      </w:r>
    </w:p>
  </w:footnote>
  <w:footnote w:id="4">
    <w:p w:rsidR="00F46170" w:rsidRDefault="00F46170">
      <w:pPr>
        <w:pStyle w:val="FootnoteText"/>
      </w:pPr>
      <w:r>
        <w:rPr>
          <w:rStyle w:val="FootnoteReference"/>
        </w:rPr>
        <w:footnoteRef/>
      </w:r>
      <w:r>
        <w:t xml:space="preserve"> 2011 JDR 104 (LT) at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70" w:rsidRPr="00F404A4" w:rsidRDefault="00F46170" w:rsidP="007A1120">
    <w:pPr>
      <w:pStyle w:val="Header"/>
      <w:spacing w:line="276" w:lineRule="auto"/>
      <w:jc w:val="right"/>
      <w:rPr>
        <w:rFonts w:asciiTheme="minorHAnsi" w:hAnsiTheme="minorHAnsi" w:cstheme="minorHAnsi"/>
      </w:rPr>
    </w:pPr>
    <w:r>
      <w:rPr>
        <w:rFonts w:asciiTheme="minorHAnsi" w:hAnsiTheme="minorHAnsi" w:cstheme="minorHAnsi"/>
      </w:rPr>
      <w:t xml:space="preserve"> </w:t>
    </w:r>
  </w:p>
  <w:p w:rsidR="00F46170" w:rsidRDefault="00F4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70" w:rsidRPr="008F7F70" w:rsidRDefault="00F46170"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B"/>
    <w:multiLevelType w:val="multilevel"/>
    <w:tmpl w:val="FFFFFFFF"/>
    <w:lvl w:ilvl="0">
      <w:start w:val="23"/>
      <w:numFmt w:val="decimal"/>
      <w:lvlText w:val="[%1]"/>
      <w:lvlJc w:val="left"/>
      <w:pPr>
        <w:ind w:left="2161" w:hanging="510"/>
      </w:pPr>
      <w:rPr>
        <w:rFonts w:cs="Times New Roman"/>
        <w:spacing w:val="-1"/>
        <w:w w:val="103"/>
      </w:rPr>
    </w:lvl>
    <w:lvl w:ilvl="1">
      <w:numFmt w:val="bullet"/>
      <w:lvlText w:val="•"/>
      <w:lvlJc w:val="left"/>
      <w:pPr>
        <w:ind w:left="2924" w:hanging="510"/>
      </w:pPr>
    </w:lvl>
    <w:lvl w:ilvl="2">
      <w:numFmt w:val="bullet"/>
      <w:lvlText w:val="•"/>
      <w:lvlJc w:val="left"/>
      <w:pPr>
        <w:ind w:left="3688" w:hanging="510"/>
      </w:pPr>
    </w:lvl>
    <w:lvl w:ilvl="3">
      <w:numFmt w:val="bullet"/>
      <w:lvlText w:val="•"/>
      <w:lvlJc w:val="left"/>
      <w:pPr>
        <w:ind w:left="4453" w:hanging="510"/>
      </w:pPr>
    </w:lvl>
    <w:lvl w:ilvl="4">
      <w:numFmt w:val="bullet"/>
      <w:lvlText w:val="•"/>
      <w:lvlJc w:val="left"/>
      <w:pPr>
        <w:ind w:left="5217" w:hanging="510"/>
      </w:pPr>
    </w:lvl>
    <w:lvl w:ilvl="5">
      <w:numFmt w:val="bullet"/>
      <w:lvlText w:val="•"/>
      <w:lvlJc w:val="left"/>
      <w:pPr>
        <w:ind w:left="5982" w:hanging="510"/>
      </w:pPr>
    </w:lvl>
    <w:lvl w:ilvl="6">
      <w:numFmt w:val="bullet"/>
      <w:lvlText w:val="•"/>
      <w:lvlJc w:val="left"/>
      <w:pPr>
        <w:ind w:left="6746" w:hanging="510"/>
      </w:pPr>
    </w:lvl>
    <w:lvl w:ilvl="7">
      <w:numFmt w:val="bullet"/>
      <w:lvlText w:val="•"/>
      <w:lvlJc w:val="left"/>
      <w:pPr>
        <w:ind w:left="7510" w:hanging="510"/>
      </w:pPr>
    </w:lvl>
    <w:lvl w:ilvl="8">
      <w:numFmt w:val="bullet"/>
      <w:lvlText w:val="•"/>
      <w:lvlJc w:val="left"/>
      <w:pPr>
        <w:ind w:left="8275" w:hanging="510"/>
      </w:pPr>
    </w:lvl>
  </w:abstractNum>
  <w:abstractNum w:abstractNumId="1">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nsid w:val="18B3437A"/>
    <w:multiLevelType w:val="multilevel"/>
    <w:tmpl w:val="FFFFFFFF"/>
    <w:lvl w:ilvl="0">
      <w:start w:val="1"/>
      <w:numFmt w:val="decimal"/>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6A7D53"/>
    <w:multiLevelType w:val="singleLevel"/>
    <w:tmpl w:val="59846F68"/>
    <w:lvl w:ilvl="0">
      <w:start w:val="1"/>
      <w:numFmt w:val="decimal"/>
      <w:lvlText w:val="[%1]"/>
      <w:lvlJc w:val="left"/>
      <w:pPr>
        <w:ind w:left="360" w:hanging="360"/>
      </w:pPr>
      <w:rPr>
        <w:rFonts w:cs="Times New Roman" w:hint="default"/>
        <w:i w:val="0"/>
      </w:rPr>
    </w:lvl>
  </w:abstractNum>
  <w:abstractNum w:abstractNumId="1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nsid w:val="3289561F"/>
    <w:multiLevelType w:val="multilevel"/>
    <w:tmpl w:val="FFFFFFFF"/>
    <w:lvl w:ilvl="0">
      <w:start w:val="1"/>
      <w:numFmt w:val="decimal"/>
      <w:lvlText w:val="%1."/>
      <w:lvlJc w:val="left"/>
      <w:pPr>
        <w:ind w:left="720" w:hanging="360"/>
      </w:pPr>
    </w:lvl>
    <w:lvl w:ilvl="1">
      <w:start w:val="1"/>
      <w:numFmt w:val="decimal"/>
      <w:lvlText w:val="%1.%2"/>
      <w:lvlJc w:val="left"/>
      <w:pPr>
        <w:ind w:left="1275" w:hanging="55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5">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0">
    <w:nsid w:val="40250DC9"/>
    <w:multiLevelType w:val="hybridMultilevel"/>
    <w:tmpl w:val="F662B3BE"/>
    <w:lvl w:ilvl="0" w:tplc="1C090017">
      <w:start w:val="1"/>
      <w:numFmt w:val="lowerLetter"/>
      <w:lvlText w:val="%1)"/>
      <w:lvlJc w:val="left"/>
      <w:pPr>
        <w:ind w:left="1650" w:hanging="360"/>
      </w:p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21">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4">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5515537B"/>
    <w:multiLevelType w:val="hybridMultilevel"/>
    <w:tmpl w:val="BA7A5EC4"/>
    <w:lvl w:ilvl="0" w:tplc="8CA2BC54">
      <w:start w:val="1"/>
      <w:numFmt w:val="lowerRoman"/>
      <w:lvlText w:val="%1"/>
      <w:lvlJc w:val="left"/>
      <w:pPr>
        <w:ind w:left="1590" w:hanging="360"/>
      </w:pPr>
      <w:rPr>
        <w:rFonts w:ascii="Arial" w:eastAsia="Arial" w:hAnsi="Arial" w:cs="Arial"/>
        <w:b w:val="0"/>
        <w:i w:val="0"/>
        <w:strike w:val="0"/>
        <w:dstrike w:val="0"/>
        <w:color w:val="242121"/>
        <w:sz w:val="24"/>
        <w:szCs w:val="24"/>
        <w:u w:val="none" w:color="000000"/>
        <w:bdr w:val="none" w:sz="0" w:space="0" w:color="auto"/>
        <w:shd w:val="clear" w:color="auto" w:fill="auto"/>
        <w:vertAlign w:val="baseline"/>
      </w:r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abstractNum w:abstractNumId="32">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4">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7">
    <w:nsid w:val="6C6108D6"/>
    <w:multiLevelType w:val="multilevel"/>
    <w:tmpl w:val="290891C8"/>
    <w:lvl w:ilvl="0">
      <w:start w:val="1"/>
      <w:numFmt w:val="decimal"/>
      <w:lvlText w:val="%1."/>
      <w:lvlJc w:val="left"/>
      <w:pPr>
        <w:ind w:left="400" w:hanging="400"/>
      </w:pPr>
      <w:rPr>
        <w:rFonts w:ascii="Times New Roman" w:eastAsia="Times New Roman" w:hAnsi="Times New Roman" w:cs="Times New Roman"/>
        <w:b w:val="0"/>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1">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8"/>
  </w:num>
  <w:num w:numId="2">
    <w:abstractNumId w:val="8"/>
  </w:num>
  <w:num w:numId="3">
    <w:abstractNumId w:val="39"/>
  </w:num>
  <w:num w:numId="4">
    <w:abstractNumId w:val="16"/>
  </w:num>
  <w:num w:numId="5">
    <w:abstractNumId w:val="25"/>
  </w:num>
  <w:num w:numId="6">
    <w:abstractNumId w:val="40"/>
  </w:num>
  <w:num w:numId="7">
    <w:abstractNumId w:val="32"/>
  </w:num>
  <w:num w:numId="8">
    <w:abstractNumId w:val="22"/>
  </w:num>
  <w:num w:numId="9">
    <w:abstractNumId w:val="2"/>
  </w:num>
  <w:num w:numId="10">
    <w:abstractNumId w:val="24"/>
  </w:num>
  <w:num w:numId="11">
    <w:abstractNumId w:val="26"/>
  </w:num>
  <w:num w:numId="12">
    <w:abstractNumId w:val="41"/>
  </w:num>
  <w:num w:numId="13">
    <w:abstractNumId w:val="28"/>
  </w:num>
  <w:num w:numId="14">
    <w:abstractNumId w:val="17"/>
  </w:num>
  <w:num w:numId="15">
    <w:abstractNumId w:val="4"/>
  </w:num>
  <w:num w:numId="16">
    <w:abstractNumId w:val="11"/>
  </w:num>
  <w:num w:numId="17">
    <w:abstractNumId w:val="15"/>
  </w:num>
  <w:num w:numId="18">
    <w:abstractNumId w:val="21"/>
  </w:num>
  <w:num w:numId="19">
    <w:abstractNumId w:val="33"/>
  </w:num>
  <w:num w:numId="20">
    <w:abstractNumId w:val="6"/>
  </w:num>
  <w:num w:numId="21">
    <w:abstractNumId w:val="27"/>
  </w:num>
  <w:num w:numId="22">
    <w:abstractNumId w:val="5"/>
  </w:num>
  <w:num w:numId="23">
    <w:abstractNumId w:val="34"/>
  </w:num>
  <w:num w:numId="24">
    <w:abstractNumId w:val="35"/>
  </w:num>
  <w:num w:numId="25">
    <w:abstractNumId w:val="19"/>
  </w:num>
  <w:num w:numId="26">
    <w:abstractNumId w:val="18"/>
  </w:num>
  <w:num w:numId="27">
    <w:abstractNumId w:val="1"/>
  </w:num>
  <w:num w:numId="28">
    <w:abstractNumId w:val="29"/>
  </w:num>
  <w:num w:numId="29">
    <w:abstractNumId w:val="12"/>
  </w:num>
  <w:num w:numId="30">
    <w:abstractNumId w:val="23"/>
  </w:num>
  <w:num w:numId="31">
    <w:abstractNumId w:val="13"/>
  </w:num>
  <w:num w:numId="32">
    <w:abstractNumId w:val="10"/>
  </w:num>
  <w:num w:numId="33">
    <w:abstractNumId w:val="3"/>
  </w:num>
  <w:num w:numId="34">
    <w:abstractNumId w:val="30"/>
  </w:num>
  <w:num w:numId="35">
    <w:abstractNumId w:val="36"/>
  </w:num>
  <w:num w:numId="36">
    <w:abstractNumId w:val="9"/>
  </w:num>
  <w:num w:numId="37">
    <w:abstractNumId w:val="14"/>
  </w:num>
  <w:num w:numId="38">
    <w:abstractNumId w:val="20"/>
  </w:num>
  <w:num w:numId="39">
    <w:abstractNumId w:val="7"/>
  </w:num>
  <w:num w:numId="40">
    <w:abstractNumId w:val="31"/>
  </w:num>
  <w:num w:numId="41">
    <w:abstractNumId w:val="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068DC"/>
    <w:rsid w:val="00006996"/>
    <w:rsid w:val="0000762E"/>
    <w:rsid w:val="00011BF3"/>
    <w:rsid w:val="00012084"/>
    <w:rsid w:val="00013D39"/>
    <w:rsid w:val="000149BB"/>
    <w:rsid w:val="000149E3"/>
    <w:rsid w:val="00016235"/>
    <w:rsid w:val="00017A7A"/>
    <w:rsid w:val="00020179"/>
    <w:rsid w:val="0002276E"/>
    <w:rsid w:val="000236F0"/>
    <w:rsid w:val="00023A2D"/>
    <w:rsid w:val="00023FE7"/>
    <w:rsid w:val="0002438A"/>
    <w:rsid w:val="00025645"/>
    <w:rsid w:val="00025A35"/>
    <w:rsid w:val="00025B02"/>
    <w:rsid w:val="000308B2"/>
    <w:rsid w:val="00030CAE"/>
    <w:rsid w:val="00031136"/>
    <w:rsid w:val="000328E2"/>
    <w:rsid w:val="0003472D"/>
    <w:rsid w:val="00035926"/>
    <w:rsid w:val="00036CCF"/>
    <w:rsid w:val="00040D44"/>
    <w:rsid w:val="00041E66"/>
    <w:rsid w:val="0004688A"/>
    <w:rsid w:val="00046B92"/>
    <w:rsid w:val="00047818"/>
    <w:rsid w:val="00047D25"/>
    <w:rsid w:val="0005094D"/>
    <w:rsid w:val="0005118C"/>
    <w:rsid w:val="00052B4B"/>
    <w:rsid w:val="000542D2"/>
    <w:rsid w:val="000560C5"/>
    <w:rsid w:val="00057FB8"/>
    <w:rsid w:val="00061B16"/>
    <w:rsid w:val="00062F6E"/>
    <w:rsid w:val="000637B7"/>
    <w:rsid w:val="00064CEB"/>
    <w:rsid w:val="00064EE2"/>
    <w:rsid w:val="00066208"/>
    <w:rsid w:val="00066D9E"/>
    <w:rsid w:val="000712B5"/>
    <w:rsid w:val="00071593"/>
    <w:rsid w:val="00072798"/>
    <w:rsid w:val="00073053"/>
    <w:rsid w:val="00073B0E"/>
    <w:rsid w:val="00074BAE"/>
    <w:rsid w:val="00077342"/>
    <w:rsid w:val="000808B1"/>
    <w:rsid w:val="000819C7"/>
    <w:rsid w:val="00083707"/>
    <w:rsid w:val="000838EE"/>
    <w:rsid w:val="00083BCC"/>
    <w:rsid w:val="00084CBF"/>
    <w:rsid w:val="00086D6B"/>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29A7"/>
    <w:rsid w:val="000A466F"/>
    <w:rsid w:val="000A6F1A"/>
    <w:rsid w:val="000A70F0"/>
    <w:rsid w:val="000A71F9"/>
    <w:rsid w:val="000B2AD6"/>
    <w:rsid w:val="000B60B3"/>
    <w:rsid w:val="000B61CB"/>
    <w:rsid w:val="000B7211"/>
    <w:rsid w:val="000C24DB"/>
    <w:rsid w:val="000C3559"/>
    <w:rsid w:val="000C3ADE"/>
    <w:rsid w:val="000C4AAB"/>
    <w:rsid w:val="000C6B6B"/>
    <w:rsid w:val="000C6CBE"/>
    <w:rsid w:val="000D04A8"/>
    <w:rsid w:val="000D0A3F"/>
    <w:rsid w:val="000D6D0A"/>
    <w:rsid w:val="000D7E35"/>
    <w:rsid w:val="000E06CE"/>
    <w:rsid w:val="000E1CD6"/>
    <w:rsid w:val="000E27A8"/>
    <w:rsid w:val="000E5700"/>
    <w:rsid w:val="000F02C3"/>
    <w:rsid w:val="000F0D81"/>
    <w:rsid w:val="000F1149"/>
    <w:rsid w:val="000F1952"/>
    <w:rsid w:val="000F5C7C"/>
    <w:rsid w:val="000F5F92"/>
    <w:rsid w:val="000F733A"/>
    <w:rsid w:val="000F73DC"/>
    <w:rsid w:val="00100DA0"/>
    <w:rsid w:val="00101370"/>
    <w:rsid w:val="00101C27"/>
    <w:rsid w:val="00103246"/>
    <w:rsid w:val="00103AB6"/>
    <w:rsid w:val="001047A8"/>
    <w:rsid w:val="00104C6E"/>
    <w:rsid w:val="001053D7"/>
    <w:rsid w:val="001076E7"/>
    <w:rsid w:val="00110A38"/>
    <w:rsid w:val="0011112A"/>
    <w:rsid w:val="001116CE"/>
    <w:rsid w:val="00111AFA"/>
    <w:rsid w:val="00113D4D"/>
    <w:rsid w:val="001140B9"/>
    <w:rsid w:val="00114451"/>
    <w:rsid w:val="00114B2D"/>
    <w:rsid w:val="0011591D"/>
    <w:rsid w:val="00115A43"/>
    <w:rsid w:val="00115E94"/>
    <w:rsid w:val="0011680C"/>
    <w:rsid w:val="00117F55"/>
    <w:rsid w:val="0012089E"/>
    <w:rsid w:val="00120954"/>
    <w:rsid w:val="00121773"/>
    <w:rsid w:val="00122B48"/>
    <w:rsid w:val="001233C4"/>
    <w:rsid w:val="001248CA"/>
    <w:rsid w:val="00124C43"/>
    <w:rsid w:val="00124CB9"/>
    <w:rsid w:val="0012620D"/>
    <w:rsid w:val="0012677E"/>
    <w:rsid w:val="00126E15"/>
    <w:rsid w:val="00130020"/>
    <w:rsid w:val="00131EB3"/>
    <w:rsid w:val="001325AF"/>
    <w:rsid w:val="00132B6B"/>
    <w:rsid w:val="00133585"/>
    <w:rsid w:val="0013776B"/>
    <w:rsid w:val="001378E8"/>
    <w:rsid w:val="00137D2D"/>
    <w:rsid w:val="00140743"/>
    <w:rsid w:val="00141B0B"/>
    <w:rsid w:val="00142A1E"/>
    <w:rsid w:val="00143DF7"/>
    <w:rsid w:val="00145169"/>
    <w:rsid w:val="00145CB3"/>
    <w:rsid w:val="00147CC7"/>
    <w:rsid w:val="00151428"/>
    <w:rsid w:val="00151D8A"/>
    <w:rsid w:val="001522EA"/>
    <w:rsid w:val="0015464F"/>
    <w:rsid w:val="00157442"/>
    <w:rsid w:val="0015762F"/>
    <w:rsid w:val="001608B2"/>
    <w:rsid w:val="00161483"/>
    <w:rsid w:val="00161AA3"/>
    <w:rsid w:val="00161E31"/>
    <w:rsid w:val="0016222C"/>
    <w:rsid w:val="00162C9A"/>
    <w:rsid w:val="001658F6"/>
    <w:rsid w:val="00165EA1"/>
    <w:rsid w:val="0017008D"/>
    <w:rsid w:val="00170AD4"/>
    <w:rsid w:val="001733F9"/>
    <w:rsid w:val="00175354"/>
    <w:rsid w:val="001759DF"/>
    <w:rsid w:val="001760D1"/>
    <w:rsid w:val="00180723"/>
    <w:rsid w:val="00180B03"/>
    <w:rsid w:val="00181D6B"/>
    <w:rsid w:val="00182308"/>
    <w:rsid w:val="001824A3"/>
    <w:rsid w:val="00183A6D"/>
    <w:rsid w:val="00184101"/>
    <w:rsid w:val="001846DC"/>
    <w:rsid w:val="00185062"/>
    <w:rsid w:val="001859E7"/>
    <w:rsid w:val="0018667E"/>
    <w:rsid w:val="00187FD6"/>
    <w:rsid w:val="001901A4"/>
    <w:rsid w:val="00192485"/>
    <w:rsid w:val="001937D9"/>
    <w:rsid w:val="001965A6"/>
    <w:rsid w:val="001A01B5"/>
    <w:rsid w:val="001A05D4"/>
    <w:rsid w:val="001A1A98"/>
    <w:rsid w:val="001A2471"/>
    <w:rsid w:val="001A268E"/>
    <w:rsid w:val="001A2AFE"/>
    <w:rsid w:val="001A318B"/>
    <w:rsid w:val="001A3417"/>
    <w:rsid w:val="001A3DC3"/>
    <w:rsid w:val="001A4397"/>
    <w:rsid w:val="001A5B4A"/>
    <w:rsid w:val="001A6345"/>
    <w:rsid w:val="001A63D4"/>
    <w:rsid w:val="001A6412"/>
    <w:rsid w:val="001A70E8"/>
    <w:rsid w:val="001A7B1E"/>
    <w:rsid w:val="001B04CD"/>
    <w:rsid w:val="001B055C"/>
    <w:rsid w:val="001B0C0C"/>
    <w:rsid w:val="001B0C58"/>
    <w:rsid w:val="001B1108"/>
    <w:rsid w:val="001B258D"/>
    <w:rsid w:val="001B323F"/>
    <w:rsid w:val="001B3982"/>
    <w:rsid w:val="001B41C9"/>
    <w:rsid w:val="001B58CC"/>
    <w:rsid w:val="001B59AE"/>
    <w:rsid w:val="001B6282"/>
    <w:rsid w:val="001B72D4"/>
    <w:rsid w:val="001C0B3C"/>
    <w:rsid w:val="001C2ECD"/>
    <w:rsid w:val="001C33FE"/>
    <w:rsid w:val="001C421A"/>
    <w:rsid w:val="001C4D1B"/>
    <w:rsid w:val="001C6183"/>
    <w:rsid w:val="001C798F"/>
    <w:rsid w:val="001C7D27"/>
    <w:rsid w:val="001D05AC"/>
    <w:rsid w:val="001D24A8"/>
    <w:rsid w:val="001D5BFF"/>
    <w:rsid w:val="001D6381"/>
    <w:rsid w:val="001E23C9"/>
    <w:rsid w:val="001E421C"/>
    <w:rsid w:val="001E4E2C"/>
    <w:rsid w:val="001E53D5"/>
    <w:rsid w:val="001E548E"/>
    <w:rsid w:val="001E615D"/>
    <w:rsid w:val="001F3E80"/>
    <w:rsid w:val="001F5EA0"/>
    <w:rsid w:val="001F62C4"/>
    <w:rsid w:val="001F6A64"/>
    <w:rsid w:val="001F6F85"/>
    <w:rsid w:val="0020309C"/>
    <w:rsid w:val="00204507"/>
    <w:rsid w:val="00204DD8"/>
    <w:rsid w:val="00206695"/>
    <w:rsid w:val="00210583"/>
    <w:rsid w:val="00210E66"/>
    <w:rsid w:val="00211B3E"/>
    <w:rsid w:val="00212E9C"/>
    <w:rsid w:val="00213AE3"/>
    <w:rsid w:val="00215DC6"/>
    <w:rsid w:val="0021755D"/>
    <w:rsid w:val="00217D08"/>
    <w:rsid w:val="00221B1E"/>
    <w:rsid w:val="00223066"/>
    <w:rsid w:val="002234F9"/>
    <w:rsid w:val="00224456"/>
    <w:rsid w:val="00224B0E"/>
    <w:rsid w:val="002256CC"/>
    <w:rsid w:val="00226327"/>
    <w:rsid w:val="0022731D"/>
    <w:rsid w:val="00231388"/>
    <w:rsid w:val="0023218D"/>
    <w:rsid w:val="00232C26"/>
    <w:rsid w:val="002431D0"/>
    <w:rsid w:val="00243A06"/>
    <w:rsid w:val="0024510F"/>
    <w:rsid w:val="00247337"/>
    <w:rsid w:val="002521AE"/>
    <w:rsid w:val="00253CB4"/>
    <w:rsid w:val="002541D4"/>
    <w:rsid w:val="00254AF7"/>
    <w:rsid w:val="00256562"/>
    <w:rsid w:val="0025669D"/>
    <w:rsid w:val="00257826"/>
    <w:rsid w:val="00257E2A"/>
    <w:rsid w:val="0026128E"/>
    <w:rsid w:val="00262034"/>
    <w:rsid w:val="0026527F"/>
    <w:rsid w:val="0026647F"/>
    <w:rsid w:val="00266F19"/>
    <w:rsid w:val="00267271"/>
    <w:rsid w:val="0027044A"/>
    <w:rsid w:val="0027076F"/>
    <w:rsid w:val="002714C1"/>
    <w:rsid w:val="0027405B"/>
    <w:rsid w:val="002775D4"/>
    <w:rsid w:val="00282D5B"/>
    <w:rsid w:val="00283FC8"/>
    <w:rsid w:val="00285613"/>
    <w:rsid w:val="00286FD5"/>
    <w:rsid w:val="0029061C"/>
    <w:rsid w:val="00292E44"/>
    <w:rsid w:val="002958B9"/>
    <w:rsid w:val="002A018D"/>
    <w:rsid w:val="002A0A20"/>
    <w:rsid w:val="002A1487"/>
    <w:rsid w:val="002A2120"/>
    <w:rsid w:val="002A69A0"/>
    <w:rsid w:val="002A7F8C"/>
    <w:rsid w:val="002B02C9"/>
    <w:rsid w:val="002B1112"/>
    <w:rsid w:val="002B1436"/>
    <w:rsid w:val="002B1C03"/>
    <w:rsid w:val="002B3073"/>
    <w:rsid w:val="002B35F9"/>
    <w:rsid w:val="002B36DF"/>
    <w:rsid w:val="002B40F2"/>
    <w:rsid w:val="002B461E"/>
    <w:rsid w:val="002B781D"/>
    <w:rsid w:val="002B7D3C"/>
    <w:rsid w:val="002C0334"/>
    <w:rsid w:val="002C0832"/>
    <w:rsid w:val="002C0E9A"/>
    <w:rsid w:val="002C1F2F"/>
    <w:rsid w:val="002C25CD"/>
    <w:rsid w:val="002D06A4"/>
    <w:rsid w:val="002D273B"/>
    <w:rsid w:val="002D273F"/>
    <w:rsid w:val="002D3EF2"/>
    <w:rsid w:val="002D4FC6"/>
    <w:rsid w:val="002D7106"/>
    <w:rsid w:val="002E1854"/>
    <w:rsid w:val="002E22A9"/>
    <w:rsid w:val="002E2F8D"/>
    <w:rsid w:val="002E32CD"/>
    <w:rsid w:val="002F173C"/>
    <w:rsid w:val="002F3BE0"/>
    <w:rsid w:val="002F4423"/>
    <w:rsid w:val="002F4629"/>
    <w:rsid w:val="002F468D"/>
    <w:rsid w:val="002F54C5"/>
    <w:rsid w:val="002F66DA"/>
    <w:rsid w:val="003001FD"/>
    <w:rsid w:val="003004DF"/>
    <w:rsid w:val="0030683C"/>
    <w:rsid w:val="00306913"/>
    <w:rsid w:val="00307F51"/>
    <w:rsid w:val="003119D2"/>
    <w:rsid w:val="00311E48"/>
    <w:rsid w:val="003120A9"/>
    <w:rsid w:val="003124E6"/>
    <w:rsid w:val="00314254"/>
    <w:rsid w:val="003158B4"/>
    <w:rsid w:val="00317977"/>
    <w:rsid w:val="003179AA"/>
    <w:rsid w:val="00317D53"/>
    <w:rsid w:val="0032172A"/>
    <w:rsid w:val="0032217A"/>
    <w:rsid w:val="00322847"/>
    <w:rsid w:val="0032295C"/>
    <w:rsid w:val="00323633"/>
    <w:rsid w:val="00324F1A"/>
    <w:rsid w:val="0032721D"/>
    <w:rsid w:val="00330237"/>
    <w:rsid w:val="0033032C"/>
    <w:rsid w:val="00333ACC"/>
    <w:rsid w:val="00336A67"/>
    <w:rsid w:val="003401E7"/>
    <w:rsid w:val="00340FF0"/>
    <w:rsid w:val="003412FB"/>
    <w:rsid w:val="00345291"/>
    <w:rsid w:val="0035018F"/>
    <w:rsid w:val="0035252B"/>
    <w:rsid w:val="00352767"/>
    <w:rsid w:val="0035280D"/>
    <w:rsid w:val="00352DB2"/>
    <w:rsid w:val="00353DEA"/>
    <w:rsid w:val="0035471C"/>
    <w:rsid w:val="00356313"/>
    <w:rsid w:val="0035647D"/>
    <w:rsid w:val="00356BD9"/>
    <w:rsid w:val="003611E1"/>
    <w:rsid w:val="00363601"/>
    <w:rsid w:val="00370118"/>
    <w:rsid w:val="00370C90"/>
    <w:rsid w:val="0037149E"/>
    <w:rsid w:val="003759D4"/>
    <w:rsid w:val="003767C2"/>
    <w:rsid w:val="0037712C"/>
    <w:rsid w:val="00381277"/>
    <w:rsid w:val="003833EB"/>
    <w:rsid w:val="003861ED"/>
    <w:rsid w:val="00386D44"/>
    <w:rsid w:val="00387A55"/>
    <w:rsid w:val="003904D3"/>
    <w:rsid w:val="003932B5"/>
    <w:rsid w:val="0039357D"/>
    <w:rsid w:val="00393F3D"/>
    <w:rsid w:val="003971A9"/>
    <w:rsid w:val="00397270"/>
    <w:rsid w:val="003A0F34"/>
    <w:rsid w:val="003A206F"/>
    <w:rsid w:val="003A2BF8"/>
    <w:rsid w:val="003A3F33"/>
    <w:rsid w:val="003A5FC8"/>
    <w:rsid w:val="003B0917"/>
    <w:rsid w:val="003B0DCA"/>
    <w:rsid w:val="003B2053"/>
    <w:rsid w:val="003B22BF"/>
    <w:rsid w:val="003B2379"/>
    <w:rsid w:val="003C5761"/>
    <w:rsid w:val="003C769F"/>
    <w:rsid w:val="003C7A2E"/>
    <w:rsid w:val="003D12DC"/>
    <w:rsid w:val="003D3ADF"/>
    <w:rsid w:val="003D3B8E"/>
    <w:rsid w:val="003D51B5"/>
    <w:rsid w:val="003D59F3"/>
    <w:rsid w:val="003E261A"/>
    <w:rsid w:val="003E317D"/>
    <w:rsid w:val="003E35B6"/>
    <w:rsid w:val="003E362A"/>
    <w:rsid w:val="003E49F7"/>
    <w:rsid w:val="003E4A24"/>
    <w:rsid w:val="003E5514"/>
    <w:rsid w:val="003E7283"/>
    <w:rsid w:val="003F0838"/>
    <w:rsid w:val="003F0945"/>
    <w:rsid w:val="003F0A0F"/>
    <w:rsid w:val="003F1155"/>
    <w:rsid w:val="003F3CEC"/>
    <w:rsid w:val="003F6125"/>
    <w:rsid w:val="003F6BDB"/>
    <w:rsid w:val="00402488"/>
    <w:rsid w:val="004035D0"/>
    <w:rsid w:val="00403A48"/>
    <w:rsid w:val="00404521"/>
    <w:rsid w:val="00405FA5"/>
    <w:rsid w:val="00407CAA"/>
    <w:rsid w:val="00407E0A"/>
    <w:rsid w:val="00411C62"/>
    <w:rsid w:val="00413D48"/>
    <w:rsid w:val="004144B8"/>
    <w:rsid w:val="00417B0A"/>
    <w:rsid w:val="004205D1"/>
    <w:rsid w:val="00421660"/>
    <w:rsid w:val="00421AB5"/>
    <w:rsid w:val="004222C9"/>
    <w:rsid w:val="004225C4"/>
    <w:rsid w:val="00423F8D"/>
    <w:rsid w:val="004248BD"/>
    <w:rsid w:val="004255F1"/>
    <w:rsid w:val="004269E6"/>
    <w:rsid w:val="00426DAF"/>
    <w:rsid w:val="004300FE"/>
    <w:rsid w:val="00430345"/>
    <w:rsid w:val="0043144F"/>
    <w:rsid w:val="004318F8"/>
    <w:rsid w:val="00431948"/>
    <w:rsid w:val="00431EF7"/>
    <w:rsid w:val="00432358"/>
    <w:rsid w:val="004342F7"/>
    <w:rsid w:val="00434D82"/>
    <w:rsid w:val="004359A9"/>
    <w:rsid w:val="004400D6"/>
    <w:rsid w:val="00441CA3"/>
    <w:rsid w:val="00442D54"/>
    <w:rsid w:val="0044310B"/>
    <w:rsid w:val="00445961"/>
    <w:rsid w:val="00446E3D"/>
    <w:rsid w:val="00447473"/>
    <w:rsid w:val="00450B62"/>
    <w:rsid w:val="00450D64"/>
    <w:rsid w:val="0045183B"/>
    <w:rsid w:val="004560E7"/>
    <w:rsid w:val="00456E4A"/>
    <w:rsid w:val="00457549"/>
    <w:rsid w:val="00462D98"/>
    <w:rsid w:val="00464A80"/>
    <w:rsid w:val="00465563"/>
    <w:rsid w:val="0046607E"/>
    <w:rsid w:val="004700BE"/>
    <w:rsid w:val="004700FD"/>
    <w:rsid w:val="0047127B"/>
    <w:rsid w:val="004715D5"/>
    <w:rsid w:val="00472FCE"/>
    <w:rsid w:val="0047361E"/>
    <w:rsid w:val="004744C4"/>
    <w:rsid w:val="00475EDC"/>
    <w:rsid w:val="0047606B"/>
    <w:rsid w:val="0048080E"/>
    <w:rsid w:val="00480944"/>
    <w:rsid w:val="00481806"/>
    <w:rsid w:val="004819DC"/>
    <w:rsid w:val="00483460"/>
    <w:rsid w:val="00483DC9"/>
    <w:rsid w:val="004857ED"/>
    <w:rsid w:val="00487BFD"/>
    <w:rsid w:val="004907CE"/>
    <w:rsid w:val="00490ABA"/>
    <w:rsid w:val="00490C3D"/>
    <w:rsid w:val="0049127F"/>
    <w:rsid w:val="0049213C"/>
    <w:rsid w:val="00494A5A"/>
    <w:rsid w:val="00494EE4"/>
    <w:rsid w:val="00495067"/>
    <w:rsid w:val="0049579E"/>
    <w:rsid w:val="004958CE"/>
    <w:rsid w:val="00495B40"/>
    <w:rsid w:val="00495D66"/>
    <w:rsid w:val="00496A64"/>
    <w:rsid w:val="004A3213"/>
    <w:rsid w:val="004A3F74"/>
    <w:rsid w:val="004A4715"/>
    <w:rsid w:val="004B1191"/>
    <w:rsid w:val="004B1CA6"/>
    <w:rsid w:val="004B1D34"/>
    <w:rsid w:val="004B347C"/>
    <w:rsid w:val="004B51D2"/>
    <w:rsid w:val="004B651F"/>
    <w:rsid w:val="004B7272"/>
    <w:rsid w:val="004C4DA0"/>
    <w:rsid w:val="004C556D"/>
    <w:rsid w:val="004C5CDC"/>
    <w:rsid w:val="004C5DA1"/>
    <w:rsid w:val="004C5F92"/>
    <w:rsid w:val="004C69D6"/>
    <w:rsid w:val="004C7100"/>
    <w:rsid w:val="004C7B08"/>
    <w:rsid w:val="004C7B91"/>
    <w:rsid w:val="004D0DA5"/>
    <w:rsid w:val="004D0E48"/>
    <w:rsid w:val="004D1BD0"/>
    <w:rsid w:val="004D23EF"/>
    <w:rsid w:val="004D2601"/>
    <w:rsid w:val="004D4651"/>
    <w:rsid w:val="004D4E41"/>
    <w:rsid w:val="004D628C"/>
    <w:rsid w:val="004D756D"/>
    <w:rsid w:val="004E0B9D"/>
    <w:rsid w:val="004E339D"/>
    <w:rsid w:val="004E33ED"/>
    <w:rsid w:val="004E5E03"/>
    <w:rsid w:val="004E7243"/>
    <w:rsid w:val="004E7F79"/>
    <w:rsid w:val="004F12CF"/>
    <w:rsid w:val="004F2B3F"/>
    <w:rsid w:val="004F430A"/>
    <w:rsid w:val="004F49D2"/>
    <w:rsid w:val="004F53D2"/>
    <w:rsid w:val="004F6697"/>
    <w:rsid w:val="004F77C1"/>
    <w:rsid w:val="004F78DB"/>
    <w:rsid w:val="005004CD"/>
    <w:rsid w:val="0050076A"/>
    <w:rsid w:val="005015A5"/>
    <w:rsid w:val="00502685"/>
    <w:rsid w:val="00502AF6"/>
    <w:rsid w:val="005049FB"/>
    <w:rsid w:val="00506EEE"/>
    <w:rsid w:val="00507018"/>
    <w:rsid w:val="00507177"/>
    <w:rsid w:val="00512C3C"/>
    <w:rsid w:val="00513BB2"/>
    <w:rsid w:val="005141A9"/>
    <w:rsid w:val="00514D3B"/>
    <w:rsid w:val="00515C1B"/>
    <w:rsid w:val="00515FBB"/>
    <w:rsid w:val="00520166"/>
    <w:rsid w:val="00520E19"/>
    <w:rsid w:val="00520FD8"/>
    <w:rsid w:val="00521DD4"/>
    <w:rsid w:val="00522FCD"/>
    <w:rsid w:val="005243C4"/>
    <w:rsid w:val="00524828"/>
    <w:rsid w:val="00525570"/>
    <w:rsid w:val="00525E4E"/>
    <w:rsid w:val="00526B0C"/>
    <w:rsid w:val="0053022A"/>
    <w:rsid w:val="00531283"/>
    <w:rsid w:val="00531601"/>
    <w:rsid w:val="00531D68"/>
    <w:rsid w:val="00532C14"/>
    <w:rsid w:val="0053572D"/>
    <w:rsid w:val="00535B06"/>
    <w:rsid w:val="00535BE8"/>
    <w:rsid w:val="00535ED7"/>
    <w:rsid w:val="005402AD"/>
    <w:rsid w:val="005410A4"/>
    <w:rsid w:val="005419C6"/>
    <w:rsid w:val="0054243D"/>
    <w:rsid w:val="00542479"/>
    <w:rsid w:val="005426BC"/>
    <w:rsid w:val="00546FBB"/>
    <w:rsid w:val="0054793A"/>
    <w:rsid w:val="0055075C"/>
    <w:rsid w:val="00551B5E"/>
    <w:rsid w:val="00553176"/>
    <w:rsid w:val="00555F27"/>
    <w:rsid w:val="00555FE0"/>
    <w:rsid w:val="0055720F"/>
    <w:rsid w:val="005602B9"/>
    <w:rsid w:val="005603CB"/>
    <w:rsid w:val="00560D54"/>
    <w:rsid w:val="00561188"/>
    <w:rsid w:val="00563129"/>
    <w:rsid w:val="005633BB"/>
    <w:rsid w:val="005650C5"/>
    <w:rsid w:val="005654C4"/>
    <w:rsid w:val="005666F5"/>
    <w:rsid w:val="00566B2E"/>
    <w:rsid w:val="0057016F"/>
    <w:rsid w:val="00572D14"/>
    <w:rsid w:val="00573812"/>
    <w:rsid w:val="00573BE8"/>
    <w:rsid w:val="00575AA6"/>
    <w:rsid w:val="005764E6"/>
    <w:rsid w:val="005766EA"/>
    <w:rsid w:val="00576D5B"/>
    <w:rsid w:val="00576EFC"/>
    <w:rsid w:val="00577E3F"/>
    <w:rsid w:val="0058108D"/>
    <w:rsid w:val="00582569"/>
    <w:rsid w:val="005845D0"/>
    <w:rsid w:val="0058541B"/>
    <w:rsid w:val="00585ABB"/>
    <w:rsid w:val="00586175"/>
    <w:rsid w:val="00590011"/>
    <w:rsid w:val="00590297"/>
    <w:rsid w:val="00592BF8"/>
    <w:rsid w:val="00592F85"/>
    <w:rsid w:val="0059310B"/>
    <w:rsid w:val="00593C53"/>
    <w:rsid w:val="00594369"/>
    <w:rsid w:val="00595B0E"/>
    <w:rsid w:val="0059679F"/>
    <w:rsid w:val="00596B05"/>
    <w:rsid w:val="00597462"/>
    <w:rsid w:val="00597E96"/>
    <w:rsid w:val="005A16A5"/>
    <w:rsid w:val="005A1770"/>
    <w:rsid w:val="005A27F9"/>
    <w:rsid w:val="005A445E"/>
    <w:rsid w:val="005A4D8C"/>
    <w:rsid w:val="005A4D8E"/>
    <w:rsid w:val="005A67C3"/>
    <w:rsid w:val="005A70D0"/>
    <w:rsid w:val="005B00EC"/>
    <w:rsid w:val="005B326F"/>
    <w:rsid w:val="005B3E0D"/>
    <w:rsid w:val="005B4EED"/>
    <w:rsid w:val="005B5A19"/>
    <w:rsid w:val="005C07F6"/>
    <w:rsid w:val="005C150C"/>
    <w:rsid w:val="005C1B39"/>
    <w:rsid w:val="005C218E"/>
    <w:rsid w:val="005C234A"/>
    <w:rsid w:val="005C3230"/>
    <w:rsid w:val="005C3305"/>
    <w:rsid w:val="005C3E49"/>
    <w:rsid w:val="005C49DB"/>
    <w:rsid w:val="005C5CA7"/>
    <w:rsid w:val="005C6C95"/>
    <w:rsid w:val="005C73FB"/>
    <w:rsid w:val="005C755D"/>
    <w:rsid w:val="005D0642"/>
    <w:rsid w:val="005D180E"/>
    <w:rsid w:val="005D21E8"/>
    <w:rsid w:val="005D6163"/>
    <w:rsid w:val="005E0298"/>
    <w:rsid w:val="005E0EDA"/>
    <w:rsid w:val="005E1731"/>
    <w:rsid w:val="005E379F"/>
    <w:rsid w:val="005E3892"/>
    <w:rsid w:val="005E4D17"/>
    <w:rsid w:val="005F254D"/>
    <w:rsid w:val="005F45F3"/>
    <w:rsid w:val="005F6D08"/>
    <w:rsid w:val="005F6D9E"/>
    <w:rsid w:val="005F76A0"/>
    <w:rsid w:val="005F7CF9"/>
    <w:rsid w:val="00601A10"/>
    <w:rsid w:val="0060223D"/>
    <w:rsid w:val="006037B1"/>
    <w:rsid w:val="00605C02"/>
    <w:rsid w:val="006061AE"/>
    <w:rsid w:val="00606FA5"/>
    <w:rsid w:val="006071F8"/>
    <w:rsid w:val="006079DF"/>
    <w:rsid w:val="0061066A"/>
    <w:rsid w:val="00612593"/>
    <w:rsid w:val="00613B3A"/>
    <w:rsid w:val="00614D9A"/>
    <w:rsid w:val="00616525"/>
    <w:rsid w:val="00616F54"/>
    <w:rsid w:val="00620B45"/>
    <w:rsid w:val="00620CB2"/>
    <w:rsid w:val="006214C8"/>
    <w:rsid w:val="00624137"/>
    <w:rsid w:val="0062488B"/>
    <w:rsid w:val="00624CF5"/>
    <w:rsid w:val="0062520D"/>
    <w:rsid w:val="00625CE9"/>
    <w:rsid w:val="00626ADF"/>
    <w:rsid w:val="00627280"/>
    <w:rsid w:val="00627AD3"/>
    <w:rsid w:val="00627B79"/>
    <w:rsid w:val="006321D9"/>
    <w:rsid w:val="0063348B"/>
    <w:rsid w:val="0063441B"/>
    <w:rsid w:val="0063501F"/>
    <w:rsid w:val="00635569"/>
    <w:rsid w:val="0063742C"/>
    <w:rsid w:val="00637FE5"/>
    <w:rsid w:val="006406AC"/>
    <w:rsid w:val="006434F0"/>
    <w:rsid w:val="00644235"/>
    <w:rsid w:val="00644D68"/>
    <w:rsid w:val="00650C06"/>
    <w:rsid w:val="00653DB7"/>
    <w:rsid w:val="00657BE9"/>
    <w:rsid w:val="00662CF2"/>
    <w:rsid w:val="006637DE"/>
    <w:rsid w:val="00664309"/>
    <w:rsid w:val="00665A74"/>
    <w:rsid w:val="00666668"/>
    <w:rsid w:val="006671F0"/>
    <w:rsid w:val="00667B83"/>
    <w:rsid w:val="00671558"/>
    <w:rsid w:val="0067312A"/>
    <w:rsid w:val="006743C8"/>
    <w:rsid w:val="006746B8"/>
    <w:rsid w:val="00674D45"/>
    <w:rsid w:val="0067544A"/>
    <w:rsid w:val="006761F0"/>
    <w:rsid w:val="00677457"/>
    <w:rsid w:val="0068189F"/>
    <w:rsid w:val="00683E19"/>
    <w:rsid w:val="00684A18"/>
    <w:rsid w:val="00684B40"/>
    <w:rsid w:val="006861EF"/>
    <w:rsid w:val="0068666D"/>
    <w:rsid w:val="006906BA"/>
    <w:rsid w:val="0069241C"/>
    <w:rsid w:val="00692824"/>
    <w:rsid w:val="00692D5B"/>
    <w:rsid w:val="00694023"/>
    <w:rsid w:val="006941A2"/>
    <w:rsid w:val="0069661A"/>
    <w:rsid w:val="00697448"/>
    <w:rsid w:val="0069782A"/>
    <w:rsid w:val="006A06C4"/>
    <w:rsid w:val="006A12E3"/>
    <w:rsid w:val="006A1A6A"/>
    <w:rsid w:val="006A2573"/>
    <w:rsid w:val="006A32BE"/>
    <w:rsid w:val="006A414F"/>
    <w:rsid w:val="006A49B9"/>
    <w:rsid w:val="006A6285"/>
    <w:rsid w:val="006A64A8"/>
    <w:rsid w:val="006A749C"/>
    <w:rsid w:val="006B234C"/>
    <w:rsid w:val="006B2F94"/>
    <w:rsid w:val="006B6341"/>
    <w:rsid w:val="006B6635"/>
    <w:rsid w:val="006B7332"/>
    <w:rsid w:val="006B76D8"/>
    <w:rsid w:val="006C3944"/>
    <w:rsid w:val="006C3A94"/>
    <w:rsid w:val="006C53E0"/>
    <w:rsid w:val="006C60DD"/>
    <w:rsid w:val="006C7CB3"/>
    <w:rsid w:val="006D1FCE"/>
    <w:rsid w:val="006D3A88"/>
    <w:rsid w:val="006D6EFD"/>
    <w:rsid w:val="006D7318"/>
    <w:rsid w:val="006D755E"/>
    <w:rsid w:val="006D7BD1"/>
    <w:rsid w:val="006E0C57"/>
    <w:rsid w:val="006E204D"/>
    <w:rsid w:val="006E5231"/>
    <w:rsid w:val="006E5867"/>
    <w:rsid w:val="006E70EC"/>
    <w:rsid w:val="006E71E6"/>
    <w:rsid w:val="006E7F74"/>
    <w:rsid w:val="006F1FF0"/>
    <w:rsid w:val="006F2C4B"/>
    <w:rsid w:val="006F2EAB"/>
    <w:rsid w:val="006F4D90"/>
    <w:rsid w:val="006F52B6"/>
    <w:rsid w:val="006F5811"/>
    <w:rsid w:val="006F5A61"/>
    <w:rsid w:val="006F6254"/>
    <w:rsid w:val="006F7E58"/>
    <w:rsid w:val="0070048A"/>
    <w:rsid w:val="0070315B"/>
    <w:rsid w:val="00703C1B"/>
    <w:rsid w:val="0070408F"/>
    <w:rsid w:val="00706A70"/>
    <w:rsid w:val="00711401"/>
    <w:rsid w:val="00712290"/>
    <w:rsid w:val="00714ECA"/>
    <w:rsid w:val="007160FC"/>
    <w:rsid w:val="00720ABA"/>
    <w:rsid w:val="00720D92"/>
    <w:rsid w:val="00720DD1"/>
    <w:rsid w:val="0072182A"/>
    <w:rsid w:val="00721BD4"/>
    <w:rsid w:val="0072390C"/>
    <w:rsid w:val="00723936"/>
    <w:rsid w:val="00724300"/>
    <w:rsid w:val="00724EDB"/>
    <w:rsid w:val="0072605C"/>
    <w:rsid w:val="007267FA"/>
    <w:rsid w:val="00726810"/>
    <w:rsid w:val="0072747A"/>
    <w:rsid w:val="007277F5"/>
    <w:rsid w:val="00730C7C"/>
    <w:rsid w:val="00737FF9"/>
    <w:rsid w:val="00740FB3"/>
    <w:rsid w:val="007410D7"/>
    <w:rsid w:val="00741342"/>
    <w:rsid w:val="007416C7"/>
    <w:rsid w:val="00741E11"/>
    <w:rsid w:val="00744D86"/>
    <w:rsid w:val="00746A3B"/>
    <w:rsid w:val="00752418"/>
    <w:rsid w:val="00753530"/>
    <w:rsid w:val="0075364D"/>
    <w:rsid w:val="007537BC"/>
    <w:rsid w:val="00754ACC"/>
    <w:rsid w:val="00754D57"/>
    <w:rsid w:val="00757D8D"/>
    <w:rsid w:val="00760A35"/>
    <w:rsid w:val="00761E0A"/>
    <w:rsid w:val="00764C93"/>
    <w:rsid w:val="0076572E"/>
    <w:rsid w:val="00766689"/>
    <w:rsid w:val="007672B6"/>
    <w:rsid w:val="0076743B"/>
    <w:rsid w:val="00770A95"/>
    <w:rsid w:val="0077280B"/>
    <w:rsid w:val="00775449"/>
    <w:rsid w:val="0078014F"/>
    <w:rsid w:val="00780568"/>
    <w:rsid w:val="007812C0"/>
    <w:rsid w:val="00781327"/>
    <w:rsid w:val="00781794"/>
    <w:rsid w:val="00781B6C"/>
    <w:rsid w:val="00784F42"/>
    <w:rsid w:val="00787888"/>
    <w:rsid w:val="00790CA6"/>
    <w:rsid w:val="007940CE"/>
    <w:rsid w:val="00794135"/>
    <w:rsid w:val="007944D7"/>
    <w:rsid w:val="0079573F"/>
    <w:rsid w:val="00795ACF"/>
    <w:rsid w:val="007964B6"/>
    <w:rsid w:val="00797428"/>
    <w:rsid w:val="00797E34"/>
    <w:rsid w:val="007A08A4"/>
    <w:rsid w:val="007A1120"/>
    <w:rsid w:val="007A45EC"/>
    <w:rsid w:val="007A595C"/>
    <w:rsid w:val="007A68BF"/>
    <w:rsid w:val="007A710F"/>
    <w:rsid w:val="007A7853"/>
    <w:rsid w:val="007A78EF"/>
    <w:rsid w:val="007A7C23"/>
    <w:rsid w:val="007A7D9D"/>
    <w:rsid w:val="007B143E"/>
    <w:rsid w:val="007B18FB"/>
    <w:rsid w:val="007B25A8"/>
    <w:rsid w:val="007B2DAE"/>
    <w:rsid w:val="007B3407"/>
    <w:rsid w:val="007B35DA"/>
    <w:rsid w:val="007B4D68"/>
    <w:rsid w:val="007B5EB0"/>
    <w:rsid w:val="007B6397"/>
    <w:rsid w:val="007B6B8D"/>
    <w:rsid w:val="007B6F07"/>
    <w:rsid w:val="007C2576"/>
    <w:rsid w:val="007C576F"/>
    <w:rsid w:val="007C6831"/>
    <w:rsid w:val="007C6BF1"/>
    <w:rsid w:val="007C786E"/>
    <w:rsid w:val="007D16B4"/>
    <w:rsid w:val="007D1712"/>
    <w:rsid w:val="007D1928"/>
    <w:rsid w:val="007D363E"/>
    <w:rsid w:val="007D79F6"/>
    <w:rsid w:val="007D7D96"/>
    <w:rsid w:val="007E1978"/>
    <w:rsid w:val="007E407E"/>
    <w:rsid w:val="007E611F"/>
    <w:rsid w:val="007F0032"/>
    <w:rsid w:val="007F0C1B"/>
    <w:rsid w:val="007F0F59"/>
    <w:rsid w:val="007F1493"/>
    <w:rsid w:val="007F25BA"/>
    <w:rsid w:val="007F3A08"/>
    <w:rsid w:val="007F70BC"/>
    <w:rsid w:val="00801123"/>
    <w:rsid w:val="008016E2"/>
    <w:rsid w:val="0080295C"/>
    <w:rsid w:val="008029D1"/>
    <w:rsid w:val="0080422A"/>
    <w:rsid w:val="008048A7"/>
    <w:rsid w:val="008048F1"/>
    <w:rsid w:val="0080499B"/>
    <w:rsid w:val="008049AB"/>
    <w:rsid w:val="00804D6A"/>
    <w:rsid w:val="00805052"/>
    <w:rsid w:val="00805AF1"/>
    <w:rsid w:val="00805B3F"/>
    <w:rsid w:val="00807433"/>
    <w:rsid w:val="00807862"/>
    <w:rsid w:val="00811C37"/>
    <w:rsid w:val="008120C2"/>
    <w:rsid w:val="00813454"/>
    <w:rsid w:val="0081724A"/>
    <w:rsid w:val="00820AFE"/>
    <w:rsid w:val="00820BA3"/>
    <w:rsid w:val="00821CB1"/>
    <w:rsid w:val="00822A69"/>
    <w:rsid w:val="00824768"/>
    <w:rsid w:val="00825820"/>
    <w:rsid w:val="008274BD"/>
    <w:rsid w:val="00827786"/>
    <w:rsid w:val="00830127"/>
    <w:rsid w:val="00830BB2"/>
    <w:rsid w:val="00831057"/>
    <w:rsid w:val="0083202B"/>
    <w:rsid w:val="00833953"/>
    <w:rsid w:val="00835A2E"/>
    <w:rsid w:val="00840658"/>
    <w:rsid w:val="00843E5A"/>
    <w:rsid w:val="00845308"/>
    <w:rsid w:val="00845F8E"/>
    <w:rsid w:val="0084620B"/>
    <w:rsid w:val="00846E2D"/>
    <w:rsid w:val="00847B27"/>
    <w:rsid w:val="00853AAF"/>
    <w:rsid w:val="00853CEB"/>
    <w:rsid w:val="008555AC"/>
    <w:rsid w:val="00860F1C"/>
    <w:rsid w:val="008616C7"/>
    <w:rsid w:val="008622F3"/>
    <w:rsid w:val="00862B69"/>
    <w:rsid w:val="008635CE"/>
    <w:rsid w:val="008640AF"/>
    <w:rsid w:val="008658B0"/>
    <w:rsid w:val="00866559"/>
    <w:rsid w:val="00867968"/>
    <w:rsid w:val="00870617"/>
    <w:rsid w:val="008719B9"/>
    <w:rsid w:val="008739FA"/>
    <w:rsid w:val="00875736"/>
    <w:rsid w:val="00876EE3"/>
    <w:rsid w:val="00876FC7"/>
    <w:rsid w:val="00877C8B"/>
    <w:rsid w:val="00877F07"/>
    <w:rsid w:val="008808D4"/>
    <w:rsid w:val="00882EE1"/>
    <w:rsid w:val="0088397E"/>
    <w:rsid w:val="00884E37"/>
    <w:rsid w:val="008853B0"/>
    <w:rsid w:val="00885DD4"/>
    <w:rsid w:val="0088641F"/>
    <w:rsid w:val="00886CD7"/>
    <w:rsid w:val="00887E7B"/>
    <w:rsid w:val="00892AB9"/>
    <w:rsid w:val="00892C54"/>
    <w:rsid w:val="00892DCC"/>
    <w:rsid w:val="0089446B"/>
    <w:rsid w:val="00896A4F"/>
    <w:rsid w:val="008A09C2"/>
    <w:rsid w:val="008A3002"/>
    <w:rsid w:val="008A411A"/>
    <w:rsid w:val="008A4A72"/>
    <w:rsid w:val="008A4FFF"/>
    <w:rsid w:val="008A5914"/>
    <w:rsid w:val="008A5A07"/>
    <w:rsid w:val="008B01D2"/>
    <w:rsid w:val="008B2034"/>
    <w:rsid w:val="008B3AB9"/>
    <w:rsid w:val="008B47B2"/>
    <w:rsid w:val="008B64EE"/>
    <w:rsid w:val="008C0139"/>
    <w:rsid w:val="008C2293"/>
    <w:rsid w:val="008C3306"/>
    <w:rsid w:val="008C756B"/>
    <w:rsid w:val="008D03BE"/>
    <w:rsid w:val="008D3F67"/>
    <w:rsid w:val="008D56F9"/>
    <w:rsid w:val="008D594E"/>
    <w:rsid w:val="008D6198"/>
    <w:rsid w:val="008E02BD"/>
    <w:rsid w:val="008E09E1"/>
    <w:rsid w:val="008E34D4"/>
    <w:rsid w:val="008E496F"/>
    <w:rsid w:val="008E6C85"/>
    <w:rsid w:val="008E7104"/>
    <w:rsid w:val="008E741A"/>
    <w:rsid w:val="008F0F18"/>
    <w:rsid w:val="008F1F1F"/>
    <w:rsid w:val="008F342B"/>
    <w:rsid w:val="008F37AB"/>
    <w:rsid w:val="008F4617"/>
    <w:rsid w:val="008F65FF"/>
    <w:rsid w:val="008F7F70"/>
    <w:rsid w:val="009001A9"/>
    <w:rsid w:val="009030E6"/>
    <w:rsid w:val="00904511"/>
    <w:rsid w:val="009046C0"/>
    <w:rsid w:val="00910F74"/>
    <w:rsid w:val="00911F94"/>
    <w:rsid w:val="0091442F"/>
    <w:rsid w:val="009144C3"/>
    <w:rsid w:val="00914ECE"/>
    <w:rsid w:val="00915402"/>
    <w:rsid w:val="00915522"/>
    <w:rsid w:val="00915C10"/>
    <w:rsid w:val="00916590"/>
    <w:rsid w:val="009204B3"/>
    <w:rsid w:val="00920B5C"/>
    <w:rsid w:val="009220AD"/>
    <w:rsid w:val="009229B9"/>
    <w:rsid w:val="00923114"/>
    <w:rsid w:val="009236D9"/>
    <w:rsid w:val="00923A52"/>
    <w:rsid w:val="00924A19"/>
    <w:rsid w:val="009263C8"/>
    <w:rsid w:val="00926F9F"/>
    <w:rsid w:val="009274F1"/>
    <w:rsid w:val="00930C74"/>
    <w:rsid w:val="00932777"/>
    <w:rsid w:val="00932C3E"/>
    <w:rsid w:val="00934472"/>
    <w:rsid w:val="0093457D"/>
    <w:rsid w:val="009438BF"/>
    <w:rsid w:val="00945092"/>
    <w:rsid w:val="0094595D"/>
    <w:rsid w:val="00946630"/>
    <w:rsid w:val="00947787"/>
    <w:rsid w:val="00950778"/>
    <w:rsid w:val="009508B4"/>
    <w:rsid w:val="0095192D"/>
    <w:rsid w:val="00951F55"/>
    <w:rsid w:val="00953DB9"/>
    <w:rsid w:val="00954995"/>
    <w:rsid w:val="009574A8"/>
    <w:rsid w:val="00957718"/>
    <w:rsid w:val="00960745"/>
    <w:rsid w:val="0096086A"/>
    <w:rsid w:val="0096602E"/>
    <w:rsid w:val="00966E51"/>
    <w:rsid w:val="00972E1E"/>
    <w:rsid w:val="00972EF3"/>
    <w:rsid w:val="00973BA7"/>
    <w:rsid w:val="009747E3"/>
    <w:rsid w:val="00976671"/>
    <w:rsid w:val="00977489"/>
    <w:rsid w:val="0098046B"/>
    <w:rsid w:val="009807E4"/>
    <w:rsid w:val="009813AE"/>
    <w:rsid w:val="009824A7"/>
    <w:rsid w:val="00984092"/>
    <w:rsid w:val="00984100"/>
    <w:rsid w:val="00984E6C"/>
    <w:rsid w:val="009861D8"/>
    <w:rsid w:val="00986483"/>
    <w:rsid w:val="0099148C"/>
    <w:rsid w:val="0099327D"/>
    <w:rsid w:val="00993E99"/>
    <w:rsid w:val="00995C2E"/>
    <w:rsid w:val="0099618C"/>
    <w:rsid w:val="009A2907"/>
    <w:rsid w:val="009A3BA6"/>
    <w:rsid w:val="009A4257"/>
    <w:rsid w:val="009A4857"/>
    <w:rsid w:val="009A4985"/>
    <w:rsid w:val="009A578B"/>
    <w:rsid w:val="009A5A91"/>
    <w:rsid w:val="009A61F7"/>
    <w:rsid w:val="009A655A"/>
    <w:rsid w:val="009A79EA"/>
    <w:rsid w:val="009B0D62"/>
    <w:rsid w:val="009B1C6C"/>
    <w:rsid w:val="009B2B54"/>
    <w:rsid w:val="009B3E21"/>
    <w:rsid w:val="009B5A30"/>
    <w:rsid w:val="009B640B"/>
    <w:rsid w:val="009B7C2C"/>
    <w:rsid w:val="009C2A1D"/>
    <w:rsid w:val="009C4CD3"/>
    <w:rsid w:val="009C4EDA"/>
    <w:rsid w:val="009C5204"/>
    <w:rsid w:val="009C5F49"/>
    <w:rsid w:val="009C5F91"/>
    <w:rsid w:val="009C6E95"/>
    <w:rsid w:val="009D07B1"/>
    <w:rsid w:val="009D263A"/>
    <w:rsid w:val="009D2A32"/>
    <w:rsid w:val="009D30A8"/>
    <w:rsid w:val="009D36E9"/>
    <w:rsid w:val="009D5F92"/>
    <w:rsid w:val="009D7527"/>
    <w:rsid w:val="009D7EE0"/>
    <w:rsid w:val="009E0584"/>
    <w:rsid w:val="009E0E4F"/>
    <w:rsid w:val="009E2B00"/>
    <w:rsid w:val="009E5F93"/>
    <w:rsid w:val="009E6A72"/>
    <w:rsid w:val="009E7976"/>
    <w:rsid w:val="009F1140"/>
    <w:rsid w:val="009F1B48"/>
    <w:rsid w:val="009F1F15"/>
    <w:rsid w:val="009F3A6D"/>
    <w:rsid w:val="009F4365"/>
    <w:rsid w:val="009F4942"/>
    <w:rsid w:val="009F6E29"/>
    <w:rsid w:val="00A00EC0"/>
    <w:rsid w:val="00A02A3B"/>
    <w:rsid w:val="00A054E9"/>
    <w:rsid w:val="00A0602A"/>
    <w:rsid w:val="00A06C40"/>
    <w:rsid w:val="00A1102B"/>
    <w:rsid w:val="00A11122"/>
    <w:rsid w:val="00A12059"/>
    <w:rsid w:val="00A126D5"/>
    <w:rsid w:val="00A1300F"/>
    <w:rsid w:val="00A14253"/>
    <w:rsid w:val="00A1461C"/>
    <w:rsid w:val="00A14EA1"/>
    <w:rsid w:val="00A154DC"/>
    <w:rsid w:val="00A15B53"/>
    <w:rsid w:val="00A16CA5"/>
    <w:rsid w:val="00A2087E"/>
    <w:rsid w:val="00A22E04"/>
    <w:rsid w:val="00A231F0"/>
    <w:rsid w:val="00A248F6"/>
    <w:rsid w:val="00A26557"/>
    <w:rsid w:val="00A2717F"/>
    <w:rsid w:val="00A2776F"/>
    <w:rsid w:val="00A27997"/>
    <w:rsid w:val="00A27AE6"/>
    <w:rsid w:val="00A27B86"/>
    <w:rsid w:val="00A31E79"/>
    <w:rsid w:val="00A33EBB"/>
    <w:rsid w:val="00A34860"/>
    <w:rsid w:val="00A4093E"/>
    <w:rsid w:val="00A41399"/>
    <w:rsid w:val="00A43238"/>
    <w:rsid w:val="00A4629C"/>
    <w:rsid w:val="00A46A78"/>
    <w:rsid w:val="00A46AF0"/>
    <w:rsid w:val="00A506D8"/>
    <w:rsid w:val="00A52569"/>
    <w:rsid w:val="00A5493F"/>
    <w:rsid w:val="00A56FE6"/>
    <w:rsid w:val="00A600B7"/>
    <w:rsid w:val="00A62F8C"/>
    <w:rsid w:val="00A6577C"/>
    <w:rsid w:val="00A65BAE"/>
    <w:rsid w:val="00A67452"/>
    <w:rsid w:val="00A70623"/>
    <w:rsid w:val="00A73584"/>
    <w:rsid w:val="00A73D76"/>
    <w:rsid w:val="00A752DF"/>
    <w:rsid w:val="00A76720"/>
    <w:rsid w:val="00A76762"/>
    <w:rsid w:val="00A77C6A"/>
    <w:rsid w:val="00A80436"/>
    <w:rsid w:val="00A809FF"/>
    <w:rsid w:val="00A815B9"/>
    <w:rsid w:val="00A817E6"/>
    <w:rsid w:val="00A843A7"/>
    <w:rsid w:val="00A865B8"/>
    <w:rsid w:val="00A87682"/>
    <w:rsid w:val="00A900A5"/>
    <w:rsid w:val="00A92C34"/>
    <w:rsid w:val="00A935D7"/>
    <w:rsid w:val="00A978DF"/>
    <w:rsid w:val="00A97A3A"/>
    <w:rsid w:val="00AA14D8"/>
    <w:rsid w:val="00AA3937"/>
    <w:rsid w:val="00AA3DBB"/>
    <w:rsid w:val="00AA510D"/>
    <w:rsid w:val="00AA7E16"/>
    <w:rsid w:val="00AB0289"/>
    <w:rsid w:val="00AB15CE"/>
    <w:rsid w:val="00AB1EA4"/>
    <w:rsid w:val="00AB32E6"/>
    <w:rsid w:val="00AB3F28"/>
    <w:rsid w:val="00AB5E83"/>
    <w:rsid w:val="00AC3BE5"/>
    <w:rsid w:val="00AC435F"/>
    <w:rsid w:val="00AC71D3"/>
    <w:rsid w:val="00AD1EA5"/>
    <w:rsid w:val="00AD235A"/>
    <w:rsid w:val="00AD3AA0"/>
    <w:rsid w:val="00AD5F85"/>
    <w:rsid w:val="00AD7C06"/>
    <w:rsid w:val="00AE1F1C"/>
    <w:rsid w:val="00AE35EC"/>
    <w:rsid w:val="00AE429C"/>
    <w:rsid w:val="00AE4997"/>
    <w:rsid w:val="00AE64D3"/>
    <w:rsid w:val="00AE66CD"/>
    <w:rsid w:val="00AF0675"/>
    <w:rsid w:val="00AF1608"/>
    <w:rsid w:val="00AF1CE0"/>
    <w:rsid w:val="00AF24C9"/>
    <w:rsid w:val="00AF54FF"/>
    <w:rsid w:val="00AF6C66"/>
    <w:rsid w:val="00AF7DE5"/>
    <w:rsid w:val="00B02DF9"/>
    <w:rsid w:val="00B0322D"/>
    <w:rsid w:val="00B03A08"/>
    <w:rsid w:val="00B03CB5"/>
    <w:rsid w:val="00B04607"/>
    <w:rsid w:val="00B0482A"/>
    <w:rsid w:val="00B066D2"/>
    <w:rsid w:val="00B06F2E"/>
    <w:rsid w:val="00B07996"/>
    <w:rsid w:val="00B114F5"/>
    <w:rsid w:val="00B11934"/>
    <w:rsid w:val="00B11B50"/>
    <w:rsid w:val="00B11D40"/>
    <w:rsid w:val="00B127FC"/>
    <w:rsid w:val="00B12B16"/>
    <w:rsid w:val="00B13241"/>
    <w:rsid w:val="00B13C67"/>
    <w:rsid w:val="00B14BFC"/>
    <w:rsid w:val="00B16BC6"/>
    <w:rsid w:val="00B216BC"/>
    <w:rsid w:val="00B22974"/>
    <w:rsid w:val="00B23BCE"/>
    <w:rsid w:val="00B2451F"/>
    <w:rsid w:val="00B25036"/>
    <w:rsid w:val="00B25498"/>
    <w:rsid w:val="00B306D5"/>
    <w:rsid w:val="00B3325B"/>
    <w:rsid w:val="00B344C2"/>
    <w:rsid w:val="00B40CD1"/>
    <w:rsid w:val="00B424CE"/>
    <w:rsid w:val="00B43735"/>
    <w:rsid w:val="00B46D4C"/>
    <w:rsid w:val="00B5104D"/>
    <w:rsid w:val="00B53995"/>
    <w:rsid w:val="00B53E44"/>
    <w:rsid w:val="00B550E1"/>
    <w:rsid w:val="00B55177"/>
    <w:rsid w:val="00B55404"/>
    <w:rsid w:val="00B56163"/>
    <w:rsid w:val="00B56689"/>
    <w:rsid w:val="00B571F4"/>
    <w:rsid w:val="00B5748F"/>
    <w:rsid w:val="00B57750"/>
    <w:rsid w:val="00B604D9"/>
    <w:rsid w:val="00B6064E"/>
    <w:rsid w:val="00B617B4"/>
    <w:rsid w:val="00B62CFF"/>
    <w:rsid w:val="00B637F8"/>
    <w:rsid w:val="00B63A98"/>
    <w:rsid w:val="00B65B08"/>
    <w:rsid w:val="00B66297"/>
    <w:rsid w:val="00B66C52"/>
    <w:rsid w:val="00B67001"/>
    <w:rsid w:val="00B67738"/>
    <w:rsid w:val="00B714F8"/>
    <w:rsid w:val="00B737BE"/>
    <w:rsid w:val="00B80AA3"/>
    <w:rsid w:val="00B80E0C"/>
    <w:rsid w:val="00B80FD6"/>
    <w:rsid w:val="00B8325F"/>
    <w:rsid w:val="00B83499"/>
    <w:rsid w:val="00B83D63"/>
    <w:rsid w:val="00B8465F"/>
    <w:rsid w:val="00B84A42"/>
    <w:rsid w:val="00B858E1"/>
    <w:rsid w:val="00B867E3"/>
    <w:rsid w:val="00B87E02"/>
    <w:rsid w:val="00B90EAF"/>
    <w:rsid w:val="00B91039"/>
    <w:rsid w:val="00B9358C"/>
    <w:rsid w:val="00B941D0"/>
    <w:rsid w:val="00B9445F"/>
    <w:rsid w:val="00B96422"/>
    <w:rsid w:val="00B97403"/>
    <w:rsid w:val="00BA27E6"/>
    <w:rsid w:val="00BA27FF"/>
    <w:rsid w:val="00BA2910"/>
    <w:rsid w:val="00BA3ABA"/>
    <w:rsid w:val="00BA40E5"/>
    <w:rsid w:val="00BA4CBD"/>
    <w:rsid w:val="00BA4D64"/>
    <w:rsid w:val="00BA593A"/>
    <w:rsid w:val="00BA59F0"/>
    <w:rsid w:val="00BA7B58"/>
    <w:rsid w:val="00BB2082"/>
    <w:rsid w:val="00BB2253"/>
    <w:rsid w:val="00BB2E89"/>
    <w:rsid w:val="00BB606F"/>
    <w:rsid w:val="00BC06A1"/>
    <w:rsid w:val="00BC1633"/>
    <w:rsid w:val="00BC1B68"/>
    <w:rsid w:val="00BC2526"/>
    <w:rsid w:val="00BC3772"/>
    <w:rsid w:val="00BC60D6"/>
    <w:rsid w:val="00BC6EC8"/>
    <w:rsid w:val="00BD0128"/>
    <w:rsid w:val="00BD0C37"/>
    <w:rsid w:val="00BD1A63"/>
    <w:rsid w:val="00BD5B40"/>
    <w:rsid w:val="00BD77FC"/>
    <w:rsid w:val="00BD7A55"/>
    <w:rsid w:val="00BE01B4"/>
    <w:rsid w:val="00BE0A90"/>
    <w:rsid w:val="00BE0B7B"/>
    <w:rsid w:val="00BE2A7F"/>
    <w:rsid w:val="00BE39A9"/>
    <w:rsid w:val="00BE4585"/>
    <w:rsid w:val="00BE4770"/>
    <w:rsid w:val="00BE4DBB"/>
    <w:rsid w:val="00BE5223"/>
    <w:rsid w:val="00BE63E4"/>
    <w:rsid w:val="00BF0C7E"/>
    <w:rsid w:val="00BF1B40"/>
    <w:rsid w:val="00BF49C4"/>
    <w:rsid w:val="00BF4A72"/>
    <w:rsid w:val="00BF4C6C"/>
    <w:rsid w:val="00BF5376"/>
    <w:rsid w:val="00BF5698"/>
    <w:rsid w:val="00BF57CF"/>
    <w:rsid w:val="00BF6655"/>
    <w:rsid w:val="00BF686E"/>
    <w:rsid w:val="00BF6C46"/>
    <w:rsid w:val="00C00367"/>
    <w:rsid w:val="00C00743"/>
    <w:rsid w:val="00C00F35"/>
    <w:rsid w:val="00C0395C"/>
    <w:rsid w:val="00C03DDB"/>
    <w:rsid w:val="00C03EAF"/>
    <w:rsid w:val="00C04279"/>
    <w:rsid w:val="00C04ADF"/>
    <w:rsid w:val="00C07F1D"/>
    <w:rsid w:val="00C10517"/>
    <w:rsid w:val="00C1076C"/>
    <w:rsid w:val="00C12D52"/>
    <w:rsid w:val="00C146D7"/>
    <w:rsid w:val="00C15487"/>
    <w:rsid w:val="00C15AFE"/>
    <w:rsid w:val="00C217FA"/>
    <w:rsid w:val="00C219D6"/>
    <w:rsid w:val="00C21CD3"/>
    <w:rsid w:val="00C22E6B"/>
    <w:rsid w:val="00C24072"/>
    <w:rsid w:val="00C24CA1"/>
    <w:rsid w:val="00C25977"/>
    <w:rsid w:val="00C25B97"/>
    <w:rsid w:val="00C304AB"/>
    <w:rsid w:val="00C307D6"/>
    <w:rsid w:val="00C31035"/>
    <w:rsid w:val="00C31483"/>
    <w:rsid w:val="00C32A97"/>
    <w:rsid w:val="00C33D68"/>
    <w:rsid w:val="00C34FEA"/>
    <w:rsid w:val="00C35E68"/>
    <w:rsid w:val="00C40F08"/>
    <w:rsid w:val="00C413F9"/>
    <w:rsid w:val="00C436A6"/>
    <w:rsid w:val="00C461DD"/>
    <w:rsid w:val="00C47192"/>
    <w:rsid w:val="00C50D61"/>
    <w:rsid w:val="00C53D8F"/>
    <w:rsid w:val="00C633B5"/>
    <w:rsid w:val="00C63443"/>
    <w:rsid w:val="00C63FF5"/>
    <w:rsid w:val="00C64040"/>
    <w:rsid w:val="00C6502F"/>
    <w:rsid w:val="00C654E6"/>
    <w:rsid w:val="00C668CE"/>
    <w:rsid w:val="00C66A1B"/>
    <w:rsid w:val="00C6799A"/>
    <w:rsid w:val="00C67EEB"/>
    <w:rsid w:val="00C70585"/>
    <w:rsid w:val="00C707A7"/>
    <w:rsid w:val="00C7184F"/>
    <w:rsid w:val="00C74985"/>
    <w:rsid w:val="00C759AF"/>
    <w:rsid w:val="00C75ED2"/>
    <w:rsid w:val="00C81C72"/>
    <w:rsid w:val="00C81EC5"/>
    <w:rsid w:val="00C82E14"/>
    <w:rsid w:val="00C83C2E"/>
    <w:rsid w:val="00C85321"/>
    <w:rsid w:val="00C856E0"/>
    <w:rsid w:val="00C87109"/>
    <w:rsid w:val="00C87727"/>
    <w:rsid w:val="00C90E19"/>
    <w:rsid w:val="00C91858"/>
    <w:rsid w:val="00C918E2"/>
    <w:rsid w:val="00C9251E"/>
    <w:rsid w:val="00C95877"/>
    <w:rsid w:val="00C95E64"/>
    <w:rsid w:val="00C96B23"/>
    <w:rsid w:val="00C96C4B"/>
    <w:rsid w:val="00C973AE"/>
    <w:rsid w:val="00CA081C"/>
    <w:rsid w:val="00CA0C00"/>
    <w:rsid w:val="00CA17A9"/>
    <w:rsid w:val="00CA19D0"/>
    <w:rsid w:val="00CA1C1D"/>
    <w:rsid w:val="00CA29E8"/>
    <w:rsid w:val="00CA3C02"/>
    <w:rsid w:val="00CA42CA"/>
    <w:rsid w:val="00CA56AA"/>
    <w:rsid w:val="00CA56F3"/>
    <w:rsid w:val="00CA607F"/>
    <w:rsid w:val="00CA64BB"/>
    <w:rsid w:val="00CA6832"/>
    <w:rsid w:val="00CA6CC3"/>
    <w:rsid w:val="00CB00E8"/>
    <w:rsid w:val="00CB0136"/>
    <w:rsid w:val="00CB07D6"/>
    <w:rsid w:val="00CB0FE0"/>
    <w:rsid w:val="00CB1675"/>
    <w:rsid w:val="00CB2AD9"/>
    <w:rsid w:val="00CB38BD"/>
    <w:rsid w:val="00CB4B24"/>
    <w:rsid w:val="00CB57BE"/>
    <w:rsid w:val="00CB580D"/>
    <w:rsid w:val="00CB6720"/>
    <w:rsid w:val="00CB672D"/>
    <w:rsid w:val="00CB6D6E"/>
    <w:rsid w:val="00CB7841"/>
    <w:rsid w:val="00CC3337"/>
    <w:rsid w:val="00CC5B42"/>
    <w:rsid w:val="00CC7DF1"/>
    <w:rsid w:val="00CC7FA3"/>
    <w:rsid w:val="00CD124F"/>
    <w:rsid w:val="00CD2993"/>
    <w:rsid w:val="00CE0AC8"/>
    <w:rsid w:val="00CE3604"/>
    <w:rsid w:val="00CE566B"/>
    <w:rsid w:val="00CE60B7"/>
    <w:rsid w:val="00CE7471"/>
    <w:rsid w:val="00CE7A0E"/>
    <w:rsid w:val="00CF0018"/>
    <w:rsid w:val="00CF1CEC"/>
    <w:rsid w:val="00CF2E23"/>
    <w:rsid w:val="00CF335B"/>
    <w:rsid w:val="00CF3BC1"/>
    <w:rsid w:val="00CF507B"/>
    <w:rsid w:val="00CF5827"/>
    <w:rsid w:val="00D0183F"/>
    <w:rsid w:val="00D02647"/>
    <w:rsid w:val="00D02BF3"/>
    <w:rsid w:val="00D03B3C"/>
    <w:rsid w:val="00D03FB8"/>
    <w:rsid w:val="00D1017C"/>
    <w:rsid w:val="00D101BE"/>
    <w:rsid w:val="00D10A13"/>
    <w:rsid w:val="00D11CEE"/>
    <w:rsid w:val="00D1538E"/>
    <w:rsid w:val="00D15637"/>
    <w:rsid w:val="00D15F07"/>
    <w:rsid w:val="00D21018"/>
    <w:rsid w:val="00D220FA"/>
    <w:rsid w:val="00D223A9"/>
    <w:rsid w:val="00D22FA7"/>
    <w:rsid w:val="00D23BD8"/>
    <w:rsid w:val="00D2462A"/>
    <w:rsid w:val="00D252FE"/>
    <w:rsid w:val="00D259D2"/>
    <w:rsid w:val="00D30D5A"/>
    <w:rsid w:val="00D3144F"/>
    <w:rsid w:val="00D316A8"/>
    <w:rsid w:val="00D33E2E"/>
    <w:rsid w:val="00D34BD1"/>
    <w:rsid w:val="00D35F9B"/>
    <w:rsid w:val="00D365FE"/>
    <w:rsid w:val="00D36700"/>
    <w:rsid w:val="00D40575"/>
    <w:rsid w:val="00D42691"/>
    <w:rsid w:val="00D455B4"/>
    <w:rsid w:val="00D45937"/>
    <w:rsid w:val="00D47117"/>
    <w:rsid w:val="00D47D4E"/>
    <w:rsid w:val="00D50C49"/>
    <w:rsid w:val="00D516C3"/>
    <w:rsid w:val="00D52005"/>
    <w:rsid w:val="00D5655E"/>
    <w:rsid w:val="00D57545"/>
    <w:rsid w:val="00D57D57"/>
    <w:rsid w:val="00D600CD"/>
    <w:rsid w:val="00D601A4"/>
    <w:rsid w:val="00D6042C"/>
    <w:rsid w:val="00D60E47"/>
    <w:rsid w:val="00D6183F"/>
    <w:rsid w:val="00D6209F"/>
    <w:rsid w:val="00D63830"/>
    <w:rsid w:val="00D66E14"/>
    <w:rsid w:val="00D66F2C"/>
    <w:rsid w:val="00D67962"/>
    <w:rsid w:val="00D70CD4"/>
    <w:rsid w:val="00D71D97"/>
    <w:rsid w:val="00D74B1C"/>
    <w:rsid w:val="00D75F8B"/>
    <w:rsid w:val="00D806CB"/>
    <w:rsid w:val="00D843D1"/>
    <w:rsid w:val="00D85CF6"/>
    <w:rsid w:val="00D86170"/>
    <w:rsid w:val="00D8693E"/>
    <w:rsid w:val="00D9038A"/>
    <w:rsid w:val="00D934DB"/>
    <w:rsid w:val="00D938D5"/>
    <w:rsid w:val="00D94BDD"/>
    <w:rsid w:val="00DA0442"/>
    <w:rsid w:val="00DA159B"/>
    <w:rsid w:val="00DA231E"/>
    <w:rsid w:val="00DB2C9A"/>
    <w:rsid w:val="00DB3045"/>
    <w:rsid w:val="00DB4707"/>
    <w:rsid w:val="00DB67BB"/>
    <w:rsid w:val="00DC08A5"/>
    <w:rsid w:val="00DC1C60"/>
    <w:rsid w:val="00DC2385"/>
    <w:rsid w:val="00DC3FCB"/>
    <w:rsid w:val="00DC5DB1"/>
    <w:rsid w:val="00DD14C8"/>
    <w:rsid w:val="00DD2BA6"/>
    <w:rsid w:val="00DD4DE1"/>
    <w:rsid w:val="00DD69D6"/>
    <w:rsid w:val="00DD6D1E"/>
    <w:rsid w:val="00DE042E"/>
    <w:rsid w:val="00DE153F"/>
    <w:rsid w:val="00DE1BFB"/>
    <w:rsid w:val="00DE221B"/>
    <w:rsid w:val="00DE4C84"/>
    <w:rsid w:val="00DE60F2"/>
    <w:rsid w:val="00DE7680"/>
    <w:rsid w:val="00DE77F1"/>
    <w:rsid w:val="00DF2185"/>
    <w:rsid w:val="00DF4C11"/>
    <w:rsid w:val="00DF5CBA"/>
    <w:rsid w:val="00DF5D25"/>
    <w:rsid w:val="00DF67EA"/>
    <w:rsid w:val="00DF690E"/>
    <w:rsid w:val="00DF702D"/>
    <w:rsid w:val="00DF753B"/>
    <w:rsid w:val="00E04A17"/>
    <w:rsid w:val="00E04F84"/>
    <w:rsid w:val="00E05A53"/>
    <w:rsid w:val="00E07B11"/>
    <w:rsid w:val="00E10074"/>
    <w:rsid w:val="00E10756"/>
    <w:rsid w:val="00E10FAF"/>
    <w:rsid w:val="00E1264B"/>
    <w:rsid w:val="00E14A8D"/>
    <w:rsid w:val="00E17BCD"/>
    <w:rsid w:val="00E201F4"/>
    <w:rsid w:val="00E219BB"/>
    <w:rsid w:val="00E21BC4"/>
    <w:rsid w:val="00E21E92"/>
    <w:rsid w:val="00E24DF0"/>
    <w:rsid w:val="00E26988"/>
    <w:rsid w:val="00E26D59"/>
    <w:rsid w:val="00E27D90"/>
    <w:rsid w:val="00E3179F"/>
    <w:rsid w:val="00E32EE1"/>
    <w:rsid w:val="00E3344A"/>
    <w:rsid w:val="00E340DB"/>
    <w:rsid w:val="00E34BCA"/>
    <w:rsid w:val="00E36F39"/>
    <w:rsid w:val="00E377BD"/>
    <w:rsid w:val="00E37C5A"/>
    <w:rsid w:val="00E4035A"/>
    <w:rsid w:val="00E41870"/>
    <w:rsid w:val="00E42702"/>
    <w:rsid w:val="00E43627"/>
    <w:rsid w:val="00E447B6"/>
    <w:rsid w:val="00E45351"/>
    <w:rsid w:val="00E53072"/>
    <w:rsid w:val="00E532E4"/>
    <w:rsid w:val="00E54B0B"/>
    <w:rsid w:val="00E57E73"/>
    <w:rsid w:val="00E6018C"/>
    <w:rsid w:val="00E657FE"/>
    <w:rsid w:val="00E662DE"/>
    <w:rsid w:val="00E668D4"/>
    <w:rsid w:val="00E67F57"/>
    <w:rsid w:val="00E706E4"/>
    <w:rsid w:val="00E708E9"/>
    <w:rsid w:val="00E719DF"/>
    <w:rsid w:val="00E738CC"/>
    <w:rsid w:val="00E74765"/>
    <w:rsid w:val="00E75F80"/>
    <w:rsid w:val="00E760BD"/>
    <w:rsid w:val="00E768C5"/>
    <w:rsid w:val="00E770F1"/>
    <w:rsid w:val="00E81269"/>
    <w:rsid w:val="00E8264D"/>
    <w:rsid w:val="00E83DE4"/>
    <w:rsid w:val="00E83EB8"/>
    <w:rsid w:val="00E84024"/>
    <w:rsid w:val="00E8507B"/>
    <w:rsid w:val="00E86DAD"/>
    <w:rsid w:val="00E91515"/>
    <w:rsid w:val="00E91847"/>
    <w:rsid w:val="00E94210"/>
    <w:rsid w:val="00E95110"/>
    <w:rsid w:val="00E9540E"/>
    <w:rsid w:val="00E963A1"/>
    <w:rsid w:val="00E97415"/>
    <w:rsid w:val="00EA051D"/>
    <w:rsid w:val="00EA110D"/>
    <w:rsid w:val="00EA3ACD"/>
    <w:rsid w:val="00EA3D0B"/>
    <w:rsid w:val="00EA5554"/>
    <w:rsid w:val="00EA6FAA"/>
    <w:rsid w:val="00EA7EEA"/>
    <w:rsid w:val="00EB11B1"/>
    <w:rsid w:val="00EB15B3"/>
    <w:rsid w:val="00EB1FC1"/>
    <w:rsid w:val="00EB34C0"/>
    <w:rsid w:val="00EB3A00"/>
    <w:rsid w:val="00EB4B0D"/>
    <w:rsid w:val="00EB4EF9"/>
    <w:rsid w:val="00EB5029"/>
    <w:rsid w:val="00EB556B"/>
    <w:rsid w:val="00EB5C47"/>
    <w:rsid w:val="00EB78FA"/>
    <w:rsid w:val="00EC0527"/>
    <w:rsid w:val="00EC07E6"/>
    <w:rsid w:val="00EC1FB3"/>
    <w:rsid w:val="00EC388D"/>
    <w:rsid w:val="00EC43FD"/>
    <w:rsid w:val="00EC4719"/>
    <w:rsid w:val="00EC4F04"/>
    <w:rsid w:val="00EC5047"/>
    <w:rsid w:val="00EC5BEA"/>
    <w:rsid w:val="00EC650E"/>
    <w:rsid w:val="00ED2269"/>
    <w:rsid w:val="00ED2CEC"/>
    <w:rsid w:val="00ED329F"/>
    <w:rsid w:val="00ED3836"/>
    <w:rsid w:val="00ED45B9"/>
    <w:rsid w:val="00ED7C20"/>
    <w:rsid w:val="00EE0F63"/>
    <w:rsid w:val="00EE254C"/>
    <w:rsid w:val="00EE3C4B"/>
    <w:rsid w:val="00EE459C"/>
    <w:rsid w:val="00EE65C7"/>
    <w:rsid w:val="00EE74FB"/>
    <w:rsid w:val="00EE7A15"/>
    <w:rsid w:val="00EF0EDF"/>
    <w:rsid w:val="00EF0F0B"/>
    <w:rsid w:val="00EF102C"/>
    <w:rsid w:val="00EF2413"/>
    <w:rsid w:val="00EF2448"/>
    <w:rsid w:val="00EF5DD7"/>
    <w:rsid w:val="00EF5FF3"/>
    <w:rsid w:val="00EF665C"/>
    <w:rsid w:val="00EF7503"/>
    <w:rsid w:val="00F02466"/>
    <w:rsid w:val="00F03A74"/>
    <w:rsid w:val="00F04A44"/>
    <w:rsid w:val="00F0509C"/>
    <w:rsid w:val="00F11127"/>
    <w:rsid w:val="00F1131C"/>
    <w:rsid w:val="00F11734"/>
    <w:rsid w:val="00F11BCA"/>
    <w:rsid w:val="00F15672"/>
    <w:rsid w:val="00F17864"/>
    <w:rsid w:val="00F2074E"/>
    <w:rsid w:val="00F2541A"/>
    <w:rsid w:val="00F25469"/>
    <w:rsid w:val="00F2745B"/>
    <w:rsid w:val="00F33A2A"/>
    <w:rsid w:val="00F37D80"/>
    <w:rsid w:val="00F404A4"/>
    <w:rsid w:val="00F40CB3"/>
    <w:rsid w:val="00F428A4"/>
    <w:rsid w:val="00F44323"/>
    <w:rsid w:val="00F46170"/>
    <w:rsid w:val="00F46AC3"/>
    <w:rsid w:val="00F51AEB"/>
    <w:rsid w:val="00F527B2"/>
    <w:rsid w:val="00F5288D"/>
    <w:rsid w:val="00F53C01"/>
    <w:rsid w:val="00F57249"/>
    <w:rsid w:val="00F57328"/>
    <w:rsid w:val="00F60CFE"/>
    <w:rsid w:val="00F63D6F"/>
    <w:rsid w:val="00F64225"/>
    <w:rsid w:val="00F67C0E"/>
    <w:rsid w:val="00F74460"/>
    <w:rsid w:val="00F74ECB"/>
    <w:rsid w:val="00F75CD3"/>
    <w:rsid w:val="00F80BD6"/>
    <w:rsid w:val="00F82486"/>
    <w:rsid w:val="00F83636"/>
    <w:rsid w:val="00F83861"/>
    <w:rsid w:val="00F84AEB"/>
    <w:rsid w:val="00F851C7"/>
    <w:rsid w:val="00F8786C"/>
    <w:rsid w:val="00F927F0"/>
    <w:rsid w:val="00F94B09"/>
    <w:rsid w:val="00F94C51"/>
    <w:rsid w:val="00F94D14"/>
    <w:rsid w:val="00FA1262"/>
    <w:rsid w:val="00FA4EDF"/>
    <w:rsid w:val="00FB2E8B"/>
    <w:rsid w:val="00FB451F"/>
    <w:rsid w:val="00FB54F5"/>
    <w:rsid w:val="00FB5B13"/>
    <w:rsid w:val="00FB6E5D"/>
    <w:rsid w:val="00FB6FC7"/>
    <w:rsid w:val="00FB7DCF"/>
    <w:rsid w:val="00FC29B3"/>
    <w:rsid w:val="00FC3E1F"/>
    <w:rsid w:val="00FC42F6"/>
    <w:rsid w:val="00FC4BF3"/>
    <w:rsid w:val="00FC5858"/>
    <w:rsid w:val="00FC64E9"/>
    <w:rsid w:val="00FC7CC2"/>
    <w:rsid w:val="00FD2047"/>
    <w:rsid w:val="00FD26CE"/>
    <w:rsid w:val="00FD27B0"/>
    <w:rsid w:val="00FD2AD3"/>
    <w:rsid w:val="00FD6B33"/>
    <w:rsid w:val="00FD6CA1"/>
    <w:rsid w:val="00FD6CF9"/>
    <w:rsid w:val="00FD783B"/>
    <w:rsid w:val="00FE0F94"/>
    <w:rsid w:val="00FE16FD"/>
    <w:rsid w:val="00FE1814"/>
    <w:rsid w:val="00FE2886"/>
    <w:rsid w:val="00FE2DD4"/>
    <w:rsid w:val="00FE37F2"/>
    <w:rsid w:val="00FE3AEE"/>
    <w:rsid w:val="00FE3BE4"/>
    <w:rsid w:val="00FE43A1"/>
    <w:rsid w:val="00FE660D"/>
    <w:rsid w:val="00FE6B14"/>
    <w:rsid w:val="00FE6C0E"/>
    <w:rsid w:val="00FF0E52"/>
    <w:rsid w:val="00FF2208"/>
    <w:rsid w:val="00FF43E3"/>
    <w:rsid w:val="00FF4F59"/>
    <w:rsid w:val="00FF5BDB"/>
    <w:rsid w:val="00FF6040"/>
    <w:rsid w:val="00FF7568"/>
    <w:rsid w:val="00FF7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3EFEA-1225-48AF-B33D-6B0DFCC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39"/>
    <w:rsid w:val="00662C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 w:type="character" w:customStyle="1" w:styleId="ListParagraphChar">
    <w:name w:val="List Paragraph Char"/>
    <w:link w:val="ListParagraph"/>
    <w:uiPriority w:val="34"/>
    <w:locked/>
    <w:rsid w:val="007524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8D87596-2113-4D37-811F-5820D7D5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Mokone</cp:lastModifiedBy>
  <cp:revision>3</cp:revision>
  <cp:lastPrinted>2023-09-26T10:07:00Z</cp:lastPrinted>
  <dcterms:created xsi:type="dcterms:W3CDTF">2023-09-27T13:13:00Z</dcterms:created>
  <dcterms:modified xsi:type="dcterms:W3CDTF">2023-09-27T13:13:00Z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126d2833f18fd5298040cb1f3077418bc801e955fc31fa95c9ecf084855c1bba</vt:lpwstr>
  </property>
</Properties>
</file>