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3A" w:rsidRDefault="00DA7F3A" w:rsidP="00DA7F3A">
      <w:pPr>
        <w:jc w:val="right"/>
        <w:rPr>
          <w:rFonts w:ascii="Arial" w:hAnsi="Arial" w:cs="Arial"/>
          <w:sz w:val="28"/>
          <w:szCs w:val="28"/>
        </w:rPr>
      </w:pPr>
      <w:r>
        <w:rPr>
          <w:noProof/>
          <w:lang w:val="en-US"/>
        </w:rPr>
        <w:drawing>
          <wp:anchor distT="0" distB="0" distL="0" distR="0" simplePos="0" relativeHeight="251659264" behindDoc="0" locked="0" layoutInCell="1" allowOverlap="1" wp14:anchorId="45FBAE9A" wp14:editId="63662954">
            <wp:simplePos x="0" y="0"/>
            <wp:positionH relativeFrom="column">
              <wp:posOffset>2424430</wp:posOffset>
            </wp:positionH>
            <wp:positionV relativeFrom="page">
              <wp:posOffset>504825</wp:posOffset>
            </wp:positionV>
            <wp:extent cx="1371600" cy="1220400"/>
            <wp:effectExtent l="0" t="0" r="0" b="0"/>
            <wp:wrapNone/>
            <wp:docPr id="1" name="officeArt object" descr="cid:image003.png@01D32573.78E90440"/>
            <wp:cNvGraphicFramePr/>
            <a:graphic xmlns:a="http://schemas.openxmlformats.org/drawingml/2006/main">
              <a:graphicData uri="http://schemas.openxmlformats.org/drawingml/2006/picture">
                <pic:pic xmlns:pic="http://schemas.openxmlformats.org/drawingml/2006/picture">
                  <pic:nvPicPr>
                    <pic:cNvPr id="1073741825" name="cid:image003.png@01D32573.78E90440" descr="cid:image003.png@01D32573.78E90440"/>
                    <pic:cNvPicPr>
                      <a:picLocks noChangeAspect="1"/>
                    </pic:cNvPicPr>
                  </pic:nvPicPr>
                  <pic:blipFill>
                    <a:blip r:embed="rId8"/>
                    <a:stretch>
                      <a:fillRect/>
                    </a:stretch>
                  </pic:blipFill>
                  <pic:spPr>
                    <a:xfrm>
                      <a:off x="0" y="0"/>
                      <a:ext cx="1371600" cy="1220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DA7F3A" w:rsidRDefault="00DA7F3A" w:rsidP="00DA7F3A">
      <w:pPr>
        <w:pStyle w:val="Body"/>
        <w:spacing w:after="0" w:line="360" w:lineRule="auto"/>
        <w:jc w:val="center"/>
        <w:rPr>
          <w:rFonts w:ascii="Arial" w:hAnsi="Arial"/>
          <w:b/>
          <w:bCs/>
          <w:u w:val="single"/>
        </w:rPr>
      </w:pPr>
    </w:p>
    <w:p w:rsidR="00DA7F3A" w:rsidRPr="00EE3B37" w:rsidRDefault="00DA7F3A" w:rsidP="00DA7F3A">
      <w:pPr>
        <w:pStyle w:val="Body"/>
        <w:spacing w:after="0" w:line="360" w:lineRule="auto"/>
        <w:jc w:val="center"/>
        <w:rPr>
          <w:rFonts w:ascii="Arial" w:hAnsi="Arial"/>
          <w:b/>
          <w:bCs/>
          <w:u w:val="single"/>
        </w:rPr>
      </w:pPr>
    </w:p>
    <w:p w:rsidR="00C66515" w:rsidRDefault="00C66515" w:rsidP="00DA7F3A">
      <w:pPr>
        <w:pStyle w:val="Body"/>
        <w:spacing w:after="0" w:line="480" w:lineRule="auto"/>
        <w:jc w:val="center"/>
        <w:rPr>
          <w:rFonts w:ascii="Arial" w:hAnsi="Arial"/>
          <w:b/>
          <w:bCs/>
          <w:sz w:val="24"/>
          <w:szCs w:val="24"/>
          <w:u w:val="single"/>
          <w:lang w:val="de-DE"/>
        </w:rPr>
      </w:pPr>
    </w:p>
    <w:p w:rsidR="00DA7F3A" w:rsidRPr="00395DEF" w:rsidRDefault="00DA7F3A" w:rsidP="00DA7F3A">
      <w:pPr>
        <w:pStyle w:val="Body"/>
        <w:spacing w:after="0" w:line="480" w:lineRule="auto"/>
        <w:jc w:val="center"/>
        <w:rPr>
          <w:rFonts w:ascii="Arial" w:eastAsia="Arial" w:hAnsi="Arial" w:cs="Arial"/>
          <w:b/>
          <w:bCs/>
          <w:sz w:val="24"/>
          <w:szCs w:val="24"/>
          <w:u w:val="single"/>
        </w:rPr>
      </w:pPr>
      <w:r w:rsidRPr="00395DEF">
        <w:rPr>
          <w:rFonts w:ascii="Arial" w:hAnsi="Arial"/>
          <w:b/>
          <w:bCs/>
          <w:sz w:val="24"/>
          <w:szCs w:val="24"/>
          <w:u w:val="single"/>
          <w:lang w:val="de-DE"/>
        </w:rPr>
        <w:t>IN THE HIGH COURT OF SOUTH AFRICA</w:t>
      </w:r>
    </w:p>
    <w:p w:rsidR="00DA7F3A" w:rsidRPr="002F6623" w:rsidRDefault="00DA7F3A" w:rsidP="00DA7F3A">
      <w:pPr>
        <w:pStyle w:val="Body"/>
        <w:spacing w:after="0" w:line="480" w:lineRule="auto"/>
        <w:jc w:val="center"/>
        <w:rPr>
          <w:rFonts w:ascii="Arial" w:hAnsi="Arial"/>
          <w:b/>
          <w:bCs/>
          <w:sz w:val="24"/>
          <w:szCs w:val="24"/>
          <w:u w:val="single"/>
          <w:lang w:val="en-US"/>
        </w:rPr>
      </w:pPr>
      <w:r w:rsidRPr="00395DEF">
        <w:rPr>
          <w:rFonts w:ascii="Arial" w:hAnsi="Arial"/>
          <w:b/>
          <w:bCs/>
          <w:sz w:val="24"/>
          <w:szCs w:val="24"/>
          <w:u w:val="single"/>
          <w:lang w:val="en-US"/>
        </w:rPr>
        <w:t>FREE STATE DIVISION, BLOEMFONTEIN</w:t>
      </w:r>
    </w:p>
    <w:tbl>
      <w:tblPr>
        <w:tblW w:w="332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27"/>
      </w:tblGrid>
      <w:tr w:rsidR="00DA7F3A" w:rsidTr="003A224B">
        <w:trPr>
          <w:trHeight w:val="545"/>
          <w:jc w:val="right"/>
        </w:trPr>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A7F3A" w:rsidRDefault="00DA7F3A" w:rsidP="003A224B">
            <w:pPr>
              <w:pStyle w:val="Body"/>
              <w:spacing w:after="0" w:line="240" w:lineRule="auto"/>
              <w:rPr>
                <w:rFonts w:ascii="Arial" w:eastAsia="Arial" w:hAnsi="Arial" w:cs="Arial"/>
                <w:b/>
                <w:bCs/>
                <w:sz w:val="16"/>
                <w:szCs w:val="16"/>
              </w:rPr>
            </w:pPr>
            <w:r>
              <w:rPr>
                <w:rFonts w:ascii="Arial" w:hAnsi="Arial"/>
                <w:b/>
                <w:bCs/>
                <w:sz w:val="16"/>
                <w:szCs w:val="16"/>
                <w:lang w:val="en-US"/>
              </w:rPr>
              <w:t>Reportable:                                    YES/NO</w:t>
            </w:r>
          </w:p>
          <w:p w:rsidR="00DA7F3A" w:rsidRDefault="00DA7F3A" w:rsidP="003A224B">
            <w:pPr>
              <w:pStyle w:val="Body"/>
              <w:spacing w:after="0" w:line="240" w:lineRule="auto"/>
              <w:rPr>
                <w:rFonts w:ascii="Arial" w:eastAsia="Arial" w:hAnsi="Arial" w:cs="Arial"/>
                <w:b/>
                <w:bCs/>
                <w:sz w:val="16"/>
                <w:szCs w:val="16"/>
              </w:rPr>
            </w:pPr>
            <w:r>
              <w:rPr>
                <w:rFonts w:ascii="Arial" w:hAnsi="Arial"/>
                <w:b/>
                <w:bCs/>
                <w:sz w:val="16"/>
                <w:szCs w:val="16"/>
                <w:lang w:val="en-US"/>
              </w:rPr>
              <w:t>Of Interest to other Judges:         YES/NO</w:t>
            </w:r>
          </w:p>
          <w:p w:rsidR="00DA7F3A" w:rsidRDefault="00DA7F3A" w:rsidP="003A224B">
            <w:pPr>
              <w:pStyle w:val="Body"/>
              <w:spacing w:after="0" w:line="240" w:lineRule="auto"/>
            </w:pPr>
            <w:r>
              <w:rPr>
                <w:rFonts w:ascii="Arial" w:hAnsi="Arial"/>
                <w:b/>
                <w:bCs/>
                <w:sz w:val="16"/>
                <w:szCs w:val="16"/>
                <w:lang w:val="en-US"/>
              </w:rPr>
              <w:t>Circulate to Magistrates:              YES/NO</w:t>
            </w:r>
          </w:p>
        </w:tc>
      </w:tr>
    </w:tbl>
    <w:p w:rsidR="00DA7F3A" w:rsidRDefault="00DA7F3A" w:rsidP="00DA7F3A">
      <w:pPr>
        <w:pStyle w:val="Body"/>
        <w:spacing w:after="0" w:line="240" w:lineRule="auto"/>
        <w:jc w:val="right"/>
        <w:rPr>
          <w:rFonts w:ascii="Arial" w:hAnsi="Arial"/>
          <w:sz w:val="24"/>
          <w:szCs w:val="24"/>
        </w:rPr>
      </w:pPr>
    </w:p>
    <w:p w:rsidR="00DA7F3A" w:rsidRDefault="00DA7F3A" w:rsidP="00DA7F3A">
      <w:pPr>
        <w:jc w:val="right"/>
        <w:rPr>
          <w:rFonts w:ascii="Arial" w:hAnsi="Arial" w:cs="Arial"/>
          <w:sz w:val="28"/>
          <w:szCs w:val="28"/>
        </w:rPr>
      </w:pPr>
      <w:r w:rsidRPr="00395DEF">
        <w:rPr>
          <w:rFonts w:ascii="Arial" w:hAnsi="Arial"/>
          <w:sz w:val="24"/>
          <w:szCs w:val="24"/>
        </w:rPr>
        <w:t xml:space="preserve"> </w:t>
      </w:r>
      <w:r>
        <w:rPr>
          <w:rFonts w:ascii="Arial" w:hAnsi="Arial"/>
          <w:sz w:val="24"/>
          <w:szCs w:val="24"/>
        </w:rPr>
        <w:t xml:space="preserve">CASE </w:t>
      </w:r>
      <w:r w:rsidRPr="000A1B52">
        <w:rPr>
          <w:rFonts w:ascii="Arial" w:hAnsi="Arial"/>
          <w:sz w:val="24"/>
          <w:szCs w:val="24"/>
        </w:rPr>
        <w:t xml:space="preserve">No.: </w:t>
      </w:r>
      <w:r>
        <w:rPr>
          <w:rFonts w:ascii="Arial" w:hAnsi="Arial" w:cs="Arial"/>
          <w:b/>
          <w:sz w:val="24"/>
          <w:szCs w:val="24"/>
        </w:rPr>
        <w:t>5526</w:t>
      </w:r>
      <w:r w:rsidRPr="00EE3B37">
        <w:rPr>
          <w:rFonts w:ascii="Arial" w:hAnsi="Arial" w:cs="Arial"/>
          <w:b/>
          <w:sz w:val="24"/>
          <w:szCs w:val="24"/>
        </w:rPr>
        <w:t>/202</w:t>
      </w:r>
      <w:r>
        <w:rPr>
          <w:rFonts w:ascii="Arial" w:hAnsi="Arial" w:cs="Arial"/>
          <w:b/>
          <w:sz w:val="24"/>
          <w:szCs w:val="24"/>
        </w:rPr>
        <w:t>2</w:t>
      </w:r>
    </w:p>
    <w:p w:rsidR="00DA7F3A" w:rsidRPr="00395DEF" w:rsidRDefault="00DA7F3A" w:rsidP="00DA7F3A">
      <w:pPr>
        <w:pStyle w:val="Body"/>
        <w:spacing w:after="0" w:line="240" w:lineRule="auto"/>
        <w:jc w:val="right"/>
        <w:rPr>
          <w:rFonts w:ascii="Arial" w:eastAsia="Arial" w:hAnsi="Arial" w:cs="Arial"/>
          <w:sz w:val="24"/>
          <w:szCs w:val="24"/>
        </w:rPr>
      </w:pPr>
    </w:p>
    <w:p w:rsidR="00DA7F3A" w:rsidRDefault="00DA7F3A" w:rsidP="00DA7F3A">
      <w:pPr>
        <w:pStyle w:val="Body"/>
        <w:tabs>
          <w:tab w:val="right" w:pos="8789"/>
        </w:tabs>
        <w:spacing w:after="0" w:line="240" w:lineRule="auto"/>
        <w:rPr>
          <w:rFonts w:ascii="Arial" w:hAnsi="Arial"/>
          <w:sz w:val="24"/>
          <w:szCs w:val="24"/>
          <w:lang w:val="en-US"/>
        </w:rPr>
      </w:pPr>
      <w:r w:rsidRPr="00395DEF">
        <w:rPr>
          <w:rFonts w:ascii="Arial" w:hAnsi="Arial"/>
          <w:sz w:val="24"/>
          <w:szCs w:val="24"/>
          <w:lang w:val="en-US"/>
        </w:rPr>
        <w:t xml:space="preserve">In the </w:t>
      </w:r>
      <w:r>
        <w:rPr>
          <w:rFonts w:ascii="Arial" w:hAnsi="Arial"/>
          <w:sz w:val="24"/>
          <w:szCs w:val="24"/>
          <w:lang w:val="en-US"/>
        </w:rPr>
        <w:t>matter</w:t>
      </w:r>
      <w:r w:rsidRPr="00395DEF">
        <w:rPr>
          <w:rFonts w:ascii="Arial" w:hAnsi="Arial"/>
          <w:sz w:val="24"/>
          <w:szCs w:val="24"/>
          <w:lang w:val="en-US"/>
        </w:rPr>
        <w:t xml:space="preserve"> between:</w:t>
      </w:r>
    </w:p>
    <w:p w:rsidR="00DA7F3A" w:rsidRPr="00395DEF" w:rsidRDefault="00DA7F3A" w:rsidP="00DA7F3A">
      <w:pPr>
        <w:pStyle w:val="Body"/>
        <w:tabs>
          <w:tab w:val="right" w:pos="8789"/>
        </w:tabs>
        <w:spacing w:after="0" w:line="240" w:lineRule="auto"/>
        <w:rPr>
          <w:rFonts w:ascii="Arial" w:eastAsia="Arial" w:hAnsi="Arial" w:cs="Arial"/>
          <w:sz w:val="24"/>
          <w:szCs w:val="24"/>
        </w:rPr>
      </w:pPr>
    </w:p>
    <w:p w:rsidR="00DA7F3A" w:rsidRPr="00395DEF" w:rsidRDefault="00DA7F3A" w:rsidP="00DA7F3A">
      <w:pPr>
        <w:pStyle w:val="Body"/>
        <w:tabs>
          <w:tab w:val="right" w:pos="8789"/>
        </w:tabs>
        <w:spacing w:after="0" w:line="240" w:lineRule="auto"/>
        <w:jc w:val="both"/>
        <w:rPr>
          <w:rFonts w:ascii="Arial" w:eastAsia="Arial" w:hAnsi="Arial" w:cs="Arial"/>
          <w:sz w:val="24"/>
          <w:szCs w:val="24"/>
        </w:rPr>
      </w:pPr>
    </w:p>
    <w:p w:rsidR="00DA7F3A" w:rsidRDefault="00DA7F3A" w:rsidP="00C66515">
      <w:pPr>
        <w:pStyle w:val="Body"/>
        <w:tabs>
          <w:tab w:val="right" w:pos="9781"/>
        </w:tabs>
        <w:spacing w:after="0" w:line="360" w:lineRule="auto"/>
        <w:rPr>
          <w:rFonts w:ascii="Arial" w:hAnsi="Arial" w:cs="Arial"/>
          <w:b/>
          <w:sz w:val="24"/>
          <w:szCs w:val="24"/>
        </w:rPr>
      </w:pPr>
      <w:r>
        <w:rPr>
          <w:rFonts w:ascii="Arial" w:hAnsi="Arial" w:cs="Arial"/>
          <w:b/>
          <w:sz w:val="24"/>
          <w:szCs w:val="24"/>
        </w:rPr>
        <w:t xml:space="preserve">JACOBUS JOHANNES HERCULES STASSEN N.O.                                      </w:t>
      </w:r>
      <w:r w:rsidRPr="00DA7F3A">
        <w:rPr>
          <w:rFonts w:ascii="Arial" w:hAnsi="Arial" w:cs="Arial"/>
          <w:sz w:val="24"/>
          <w:szCs w:val="24"/>
        </w:rPr>
        <w:t xml:space="preserve">First </w:t>
      </w:r>
      <w:r w:rsidRPr="00395DEF">
        <w:rPr>
          <w:rFonts w:ascii="Arial" w:eastAsia="Arial" w:hAnsi="Arial" w:cs="Arial"/>
          <w:bCs/>
          <w:sz w:val="24"/>
          <w:szCs w:val="24"/>
          <w:lang w:val="en-ZA"/>
        </w:rPr>
        <w:t>App</w:t>
      </w:r>
      <w:r>
        <w:rPr>
          <w:rFonts w:ascii="Arial" w:eastAsia="Arial" w:hAnsi="Arial" w:cs="Arial"/>
          <w:bCs/>
          <w:sz w:val="24"/>
          <w:szCs w:val="24"/>
          <w:lang w:val="en-ZA"/>
        </w:rPr>
        <w:t>licant</w:t>
      </w:r>
    </w:p>
    <w:p w:rsidR="00DA7F3A" w:rsidRDefault="00DA7F3A" w:rsidP="00C66515">
      <w:pPr>
        <w:pStyle w:val="Body"/>
        <w:tabs>
          <w:tab w:val="right" w:pos="9781"/>
        </w:tabs>
        <w:spacing w:after="0" w:line="360" w:lineRule="auto"/>
        <w:rPr>
          <w:rFonts w:ascii="Arial" w:eastAsia="Arial" w:hAnsi="Arial" w:cs="Arial"/>
          <w:b/>
          <w:sz w:val="24"/>
          <w:szCs w:val="24"/>
          <w:lang w:val="fr-FR"/>
        </w:rPr>
      </w:pPr>
      <w:r>
        <w:rPr>
          <w:rFonts w:ascii="Arial" w:eastAsia="Arial" w:hAnsi="Arial" w:cs="Arial"/>
          <w:b/>
          <w:sz w:val="24"/>
          <w:szCs w:val="24"/>
          <w:lang w:val="fr-FR"/>
        </w:rPr>
        <w:t xml:space="preserve">DONALD LAAS N.O.                                                                                    </w:t>
      </w:r>
      <w:r>
        <w:rPr>
          <w:rFonts w:ascii="Arial" w:eastAsia="Arial" w:hAnsi="Arial" w:cs="Arial"/>
          <w:sz w:val="24"/>
          <w:szCs w:val="24"/>
          <w:lang w:val="fr-FR"/>
        </w:rPr>
        <w:t>Second Applicant</w:t>
      </w:r>
      <w:r w:rsidRPr="00395DEF">
        <w:rPr>
          <w:rFonts w:ascii="Arial" w:eastAsia="Arial" w:hAnsi="Arial" w:cs="Arial"/>
          <w:b/>
          <w:sz w:val="24"/>
          <w:szCs w:val="24"/>
          <w:lang w:val="fr-FR"/>
        </w:rPr>
        <w:t xml:space="preserve">    </w:t>
      </w:r>
    </w:p>
    <w:p w:rsidR="00DA7F3A" w:rsidRDefault="00DA7F3A" w:rsidP="00C66515">
      <w:pPr>
        <w:pStyle w:val="Body"/>
        <w:tabs>
          <w:tab w:val="right" w:pos="9781"/>
        </w:tabs>
        <w:spacing w:after="0" w:line="360" w:lineRule="auto"/>
        <w:rPr>
          <w:rFonts w:ascii="Arial" w:eastAsia="Arial" w:hAnsi="Arial" w:cs="Arial"/>
          <w:b/>
          <w:sz w:val="24"/>
          <w:szCs w:val="24"/>
          <w:lang w:val="fr-FR"/>
        </w:rPr>
      </w:pPr>
      <w:r>
        <w:rPr>
          <w:rFonts w:ascii="Arial" w:eastAsia="Arial" w:hAnsi="Arial" w:cs="Arial"/>
          <w:b/>
          <w:sz w:val="24"/>
          <w:szCs w:val="24"/>
          <w:lang w:val="fr-FR"/>
        </w:rPr>
        <w:t xml:space="preserve">ADRIAAN JOHANNES VAN JAARSVELDT N.O.                                           </w:t>
      </w:r>
      <w:r>
        <w:rPr>
          <w:rFonts w:ascii="Arial" w:eastAsia="Arial" w:hAnsi="Arial" w:cs="Arial"/>
          <w:sz w:val="24"/>
          <w:szCs w:val="24"/>
          <w:lang w:val="fr-FR"/>
        </w:rPr>
        <w:t>Third Applicant</w:t>
      </w:r>
      <w:r w:rsidRPr="00395DEF">
        <w:rPr>
          <w:rFonts w:ascii="Arial" w:eastAsia="Arial" w:hAnsi="Arial" w:cs="Arial"/>
          <w:b/>
          <w:sz w:val="24"/>
          <w:szCs w:val="24"/>
          <w:lang w:val="fr-FR"/>
        </w:rPr>
        <w:t xml:space="preserve">  </w:t>
      </w:r>
    </w:p>
    <w:p w:rsidR="00DA7F3A" w:rsidRDefault="00DA7F3A" w:rsidP="00C66515">
      <w:pPr>
        <w:pStyle w:val="Body"/>
        <w:tabs>
          <w:tab w:val="right" w:pos="9781"/>
        </w:tabs>
        <w:spacing w:after="0" w:line="360" w:lineRule="auto"/>
        <w:rPr>
          <w:rFonts w:ascii="Arial" w:eastAsia="Arial" w:hAnsi="Arial" w:cs="Arial"/>
          <w:b/>
          <w:sz w:val="24"/>
          <w:szCs w:val="24"/>
          <w:lang w:val="fr-FR"/>
        </w:rPr>
      </w:pPr>
      <w:r>
        <w:rPr>
          <w:rFonts w:ascii="Arial" w:eastAsia="Arial" w:hAnsi="Arial" w:cs="Arial"/>
          <w:b/>
          <w:sz w:val="24"/>
          <w:szCs w:val="24"/>
          <w:lang w:val="fr-FR"/>
        </w:rPr>
        <w:t xml:space="preserve">ELIZE BERNADETTE DAVIDS N.O.                                                             </w:t>
      </w:r>
      <w:r>
        <w:rPr>
          <w:rFonts w:ascii="Arial" w:eastAsia="Arial" w:hAnsi="Arial" w:cs="Arial"/>
          <w:sz w:val="24"/>
          <w:szCs w:val="24"/>
          <w:lang w:val="fr-FR"/>
        </w:rPr>
        <w:t>Fourth Applicant</w:t>
      </w:r>
      <w:r w:rsidRPr="00395DEF">
        <w:rPr>
          <w:rFonts w:ascii="Arial" w:eastAsia="Arial" w:hAnsi="Arial" w:cs="Arial"/>
          <w:b/>
          <w:sz w:val="24"/>
          <w:szCs w:val="24"/>
          <w:lang w:val="fr-FR"/>
        </w:rPr>
        <w:t xml:space="preserve">    </w:t>
      </w:r>
    </w:p>
    <w:p w:rsidR="00DA7F3A" w:rsidRDefault="00DA7F3A" w:rsidP="00C66515">
      <w:pPr>
        <w:pStyle w:val="Body"/>
        <w:tabs>
          <w:tab w:val="right" w:pos="9781"/>
        </w:tabs>
        <w:spacing w:after="0" w:line="360" w:lineRule="auto"/>
        <w:rPr>
          <w:rFonts w:ascii="Arial" w:eastAsia="Arial" w:hAnsi="Arial" w:cs="Arial"/>
          <w:b/>
          <w:sz w:val="24"/>
          <w:szCs w:val="24"/>
          <w:lang w:val="fr-FR"/>
        </w:rPr>
      </w:pPr>
      <w:r>
        <w:rPr>
          <w:rFonts w:ascii="Arial" w:eastAsia="Arial" w:hAnsi="Arial" w:cs="Arial"/>
          <w:b/>
          <w:sz w:val="24"/>
          <w:szCs w:val="24"/>
          <w:lang w:val="fr-FR"/>
        </w:rPr>
        <w:t xml:space="preserve">ABRAHAM HERMANUS LEACH </w:t>
      </w:r>
      <w:bookmarkStart w:id="0" w:name="_GoBack"/>
      <w:bookmarkEnd w:id="0"/>
      <w:r>
        <w:rPr>
          <w:rFonts w:ascii="Arial" w:eastAsia="Arial" w:hAnsi="Arial" w:cs="Arial"/>
          <w:b/>
          <w:sz w:val="24"/>
          <w:szCs w:val="24"/>
          <w:lang w:val="fr-FR"/>
        </w:rPr>
        <w:t xml:space="preserve">N.O.                                                             </w:t>
      </w:r>
      <w:r>
        <w:rPr>
          <w:rFonts w:ascii="Arial" w:eastAsia="Arial" w:hAnsi="Arial" w:cs="Arial"/>
          <w:sz w:val="24"/>
          <w:szCs w:val="24"/>
          <w:lang w:val="fr-FR"/>
        </w:rPr>
        <w:t>Fifth Applicant</w:t>
      </w:r>
      <w:r w:rsidRPr="00395DEF">
        <w:rPr>
          <w:rFonts w:ascii="Arial" w:eastAsia="Arial" w:hAnsi="Arial" w:cs="Arial"/>
          <w:b/>
          <w:sz w:val="24"/>
          <w:szCs w:val="24"/>
          <w:lang w:val="fr-FR"/>
        </w:rPr>
        <w:t xml:space="preserve">      </w:t>
      </w:r>
    </w:p>
    <w:p w:rsidR="00DA7F3A" w:rsidRDefault="00DA7F3A" w:rsidP="00C66515">
      <w:pPr>
        <w:pStyle w:val="Body"/>
        <w:tabs>
          <w:tab w:val="right" w:pos="9781"/>
        </w:tabs>
        <w:spacing w:after="0" w:line="360" w:lineRule="auto"/>
        <w:rPr>
          <w:rFonts w:ascii="Arial" w:eastAsia="Arial" w:hAnsi="Arial" w:cs="Arial"/>
          <w:b/>
          <w:sz w:val="24"/>
          <w:szCs w:val="24"/>
          <w:lang w:val="fr-FR"/>
        </w:rPr>
      </w:pPr>
      <w:r>
        <w:rPr>
          <w:rFonts w:ascii="Arial" w:eastAsia="Arial" w:hAnsi="Arial" w:cs="Arial"/>
          <w:b/>
          <w:sz w:val="24"/>
          <w:szCs w:val="24"/>
          <w:lang w:val="fr-FR"/>
        </w:rPr>
        <w:t xml:space="preserve">MARTHINUS THEUNISSEN KRIEL N.O.                                                         </w:t>
      </w:r>
      <w:r>
        <w:rPr>
          <w:rFonts w:ascii="Arial" w:eastAsia="Arial" w:hAnsi="Arial" w:cs="Arial"/>
          <w:sz w:val="24"/>
          <w:szCs w:val="24"/>
          <w:lang w:val="fr-FR"/>
        </w:rPr>
        <w:t>Sixth Applicant</w:t>
      </w:r>
      <w:r w:rsidRPr="00395DEF">
        <w:rPr>
          <w:rFonts w:ascii="Arial" w:eastAsia="Arial" w:hAnsi="Arial" w:cs="Arial"/>
          <w:b/>
          <w:sz w:val="24"/>
          <w:szCs w:val="24"/>
          <w:lang w:val="fr-FR"/>
        </w:rPr>
        <w:t xml:space="preserve">  </w:t>
      </w:r>
      <w:r>
        <w:rPr>
          <w:rFonts w:ascii="Arial" w:eastAsia="Arial" w:hAnsi="Arial" w:cs="Arial"/>
          <w:b/>
          <w:sz w:val="24"/>
          <w:szCs w:val="24"/>
          <w:lang w:val="fr-FR"/>
        </w:rPr>
        <w:t xml:space="preserve">  </w:t>
      </w:r>
    </w:p>
    <w:p w:rsidR="00DA7F3A" w:rsidRPr="00395DEF" w:rsidRDefault="00DA7F3A" w:rsidP="00C66515">
      <w:pPr>
        <w:pStyle w:val="Body"/>
        <w:tabs>
          <w:tab w:val="right" w:pos="9781"/>
        </w:tabs>
        <w:spacing w:after="0" w:line="360" w:lineRule="auto"/>
        <w:rPr>
          <w:rFonts w:ascii="Arial" w:eastAsia="Arial" w:hAnsi="Arial" w:cs="Arial"/>
          <w:bCs/>
          <w:sz w:val="24"/>
          <w:szCs w:val="24"/>
          <w:lang w:val="fr-FR"/>
        </w:rPr>
      </w:pPr>
      <w:r>
        <w:rPr>
          <w:rFonts w:ascii="Arial" w:eastAsia="Arial" w:hAnsi="Arial" w:cs="Arial"/>
          <w:b/>
          <w:sz w:val="24"/>
          <w:szCs w:val="24"/>
          <w:lang w:val="fr-FR"/>
        </w:rPr>
        <w:t xml:space="preserve">LEHANDRI VAN JAARSVELDT N.O.                                                         </w:t>
      </w:r>
      <w:r>
        <w:rPr>
          <w:rFonts w:ascii="Arial" w:eastAsia="Arial" w:hAnsi="Arial" w:cs="Arial"/>
          <w:sz w:val="24"/>
          <w:szCs w:val="24"/>
          <w:lang w:val="fr-FR"/>
        </w:rPr>
        <w:t>Seventh Applicant</w:t>
      </w:r>
      <w:r>
        <w:rPr>
          <w:rFonts w:ascii="Arial" w:eastAsia="Arial" w:hAnsi="Arial" w:cs="Arial"/>
          <w:b/>
          <w:sz w:val="24"/>
          <w:szCs w:val="24"/>
          <w:lang w:val="fr-FR"/>
        </w:rPr>
        <w:t xml:space="preserve">                                            </w:t>
      </w:r>
      <w:r w:rsidRPr="000A1B52">
        <w:rPr>
          <w:rFonts w:ascii="Arial" w:eastAsia="Arial" w:hAnsi="Arial" w:cs="Arial"/>
          <w:sz w:val="24"/>
          <w:szCs w:val="24"/>
          <w:lang w:val="fr-FR"/>
        </w:rPr>
        <w:t xml:space="preserve"> </w:t>
      </w:r>
      <w:r>
        <w:rPr>
          <w:rFonts w:ascii="Arial" w:eastAsia="Arial" w:hAnsi="Arial" w:cs="Arial"/>
          <w:b/>
          <w:sz w:val="24"/>
          <w:szCs w:val="24"/>
          <w:lang w:val="fr-FR"/>
        </w:rPr>
        <w:t xml:space="preserve"> </w:t>
      </w:r>
    </w:p>
    <w:p w:rsidR="00DA7F3A" w:rsidRDefault="00DA7F3A" w:rsidP="00DA7F3A">
      <w:pPr>
        <w:pStyle w:val="Body"/>
        <w:tabs>
          <w:tab w:val="right" w:pos="9000"/>
        </w:tabs>
        <w:spacing w:after="0"/>
        <w:jc w:val="both"/>
        <w:rPr>
          <w:rFonts w:ascii="Arial" w:eastAsia="Arial" w:hAnsi="Arial" w:cs="Arial"/>
          <w:sz w:val="24"/>
          <w:szCs w:val="24"/>
          <w:lang w:val="fr-FR"/>
        </w:rPr>
      </w:pPr>
      <w:r w:rsidRPr="00395DEF">
        <w:rPr>
          <w:rFonts w:ascii="Arial" w:eastAsia="Arial" w:hAnsi="Arial" w:cs="Arial"/>
          <w:b/>
          <w:sz w:val="24"/>
          <w:szCs w:val="24"/>
          <w:lang w:val="fr-FR"/>
        </w:rPr>
        <w:t xml:space="preserve"> </w:t>
      </w:r>
      <w:r>
        <w:rPr>
          <w:rFonts w:ascii="Arial" w:eastAsia="Arial" w:hAnsi="Arial" w:cs="Arial"/>
          <w:sz w:val="24"/>
          <w:szCs w:val="24"/>
          <w:lang w:val="fr-FR"/>
        </w:rPr>
        <w:t>[In their capacity as trustees for the time being of the</w:t>
      </w:r>
    </w:p>
    <w:p w:rsidR="00DA7F3A" w:rsidRPr="00B3775E" w:rsidRDefault="00DA7F3A" w:rsidP="00DA7F3A">
      <w:pPr>
        <w:pStyle w:val="Body"/>
        <w:tabs>
          <w:tab w:val="right" w:pos="9000"/>
        </w:tabs>
        <w:spacing w:after="0"/>
        <w:jc w:val="both"/>
        <w:rPr>
          <w:rFonts w:ascii="Arial" w:eastAsia="Arial" w:hAnsi="Arial" w:cs="Arial"/>
          <w:b/>
          <w:sz w:val="24"/>
          <w:szCs w:val="24"/>
          <w:lang w:val="fr-FR"/>
        </w:rPr>
      </w:pPr>
      <w:r w:rsidRPr="00B3775E">
        <w:rPr>
          <w:rFonts w:ascii="Arial" w:eastAsia="Arial" w:hAnsi="Arial" w:cs="Arial"/>
          <w:b/>
          <w:sz w:val="24"/>
          <w:szCs w:val="24"/>
          <w:lang w:val="fr-FR"/>
        </w:rPr>
        <w:t xml:space="preserve">SKOUGRONDE ONTWIKKELINGS TRUST TMP 2799(B)]        </w:t>
      </w:r>
    </w:p>
    <w:p w:rsidR="00DA7F3A" w:rsidRPr="00BD73B3" w:rsidRDefault="00DA7F3A" w:rsidP="00DA7F3A">
      <w:pPr>
        <w:pStyle w:val="Body"/>
        <w:tabs>
          <w:tab w:val="right" w:pos="9000"/>
        </w:tabs>
        <w:spacing w:after="0"/>
        <w:jc w:val="both"/>
        <w:rPr>
          <w:rFonts w:ascii="Arial" w:eastAsia="Arial" w:hAnsi="Arial" w:cs="Arial"/>
          <w:b/>
          <w:sz w:val="24"/>
          <w:szCs w:val="24"/>
          <w:lang w:val="fr-FR"/>
        </w:rPr>
      </w:pPr>
      <w:r w:rsidRPr="00395DEF">
        <w:rPr>
          <w:rFonts w:ascii="Arial" w:eastAsia="Arial" w:hAnsi="Arial" w:cs="Arial"/>
          <w:b/>
          <w:sz w:val="24"/>
          <w:szCs w:val="24"/>
          <w:lang w:val="fr-FR"/>
        </w:rPr>
        <w:t xml:space="preserve">                                                                            </w:t>
      </w:r>
      <w:r w:rsidRPr="00395DEF">
        <w:rPr>
          <w:rFonts w:ascii="Arial" w:eastAsia="Arial" w:hAnsi="Arial" w:cs="Arial"/>
          <w:bCs/>
          <w:sz w:val="24"/>
          <w:szCs w:val="24"/>
          <w:lang w:val="fr-FR"/>
        </w:rPr>
        <w:t xml:space="preserve"> </w:t>
      </w:r>
    </w:p>
    <w:p w:rsidR="00DA7F3A" w:rsidRPr="00395DEF" w:rsidRDefault="00DA7F3A" w:rsidP="00DA7F3A">
      <w:pPr>
        <w:pStyle w:val="Body"/>
        <w:tabs>
          <w:tab w:val="right" w:pos="8789"/>
          <w:tab w:val="right" w:pos="9000"/>
        </w:tabs>
        <w:spacing w:after="0" w:line="240" w:lineRule="auto"/>
        <w:jc w:val="both"/>
        <w:rPr>
          <w:rFonts w:ascii="Arial" w:hAnsi="Arial"/>
          <w:sz w:val="24"/>
          <w:szCs w:val="24"/>
        </w:rPr>
      </w:pPr>
      <w:r w:rsidRPr="00395DEF">
        <w:rPr>
          <w:rFonts w:ascii="Arial" w:hAnsi="Arial"/>
          <w:sz w:val="24"/>
          <w:szCs w:val="24"/>
        </w:rPr>
        <w:t>and</w:t>
      </w:r>
    </w:p>
    <w:p w:rsidR="00DA7F3A" w:rsidRPr="00395DEF" w:rsidRDefault="00DA7F3A" w:rsidP="00DA7F3A">
      <w:pPr>
        <w:pStyle w:val="Body"/>
        <w:tabs>
          <w:tab w:val="right" w:pos="8789"/>
          <w:tab w:val="right" w:pos="9000"/>
        </w:tabs>
        <w:spacing w:after="0" w:line="240" w:lineRule="auto"/>
        <w:jc w:val="both"/>
        <w:rPr>
          <w:rFonts w:ascii="Arial" w:eastAsia="Arial" w:hAnsi="Arial" w:cs="Arial"/>
          <w:sz w:val="24"/>
          <w:szCs w:val="24"/>
        </w:rPr>
      </w:pPr>
    </w:p>
    <w:p w:rsidR="00DA7F3A" w:rsidRPr="00395DEF" w:rsidRDefault="00DA7F3A" w:rsidP="00DA7F3A">
      <w:pPr>
        <w:pStyle w:val="Body"/>
        <w:tabs>
          <w:tab w:val="right" w:pos="8789"/>
          <w:tab w:val="right" w:pos="9000"/>
        </w:tabs>
        <w:spacing w:after="0" w:line="240" w:lineRule="auto"/>
        <w:jc w:val="both"/>
        <w:rPr>
          <w:rFonts w:ascii="Arial" w:eastAsia="Arial" w:hAnsi="Arial" w:cs="Arial"/>
          <w:sz w:val="24"/>
          <w:szCs w:val="24"/>
        </w:rPr>
      </w:pPr>
    </w:p>
    <w:p w:rsidR="00DA7F3A" w:rsidRDefault="00DA7F3A" w:rsidP="00DA7F3A">
      <w:pPr>
        <w:pStyle w:val="Body"/>
        <w:tabs>
          <w:tab w:val="right" w:pos="9000"/>
        </w:tabs>
        <w:spacing w:after="0" w:line="360" w:lineRule="auto"/>
        <w:rPr>
          <w:rFonts w:ascii="Arial" w:hAnsi="Arial"/>
          <w:bCs/>
          <w:sz w:val="24"/>
          <w:szCs w:val="24"/>
          <w:lang w:val="de-DE"/>
        </w:rPr>
      </w:pPr>
      <w:r>
        <w:rPr>
          <w:rFonts w:ascii="Arial" w:hAnsi="Arial" w:cs="Arial"/>
          <w:b/>
          <w:sz w:val="24"/>
          <w:szCs w:val="24"/>
        </w:rPr>
        <w:t>JOSEPH REYNOLDS CHEMALY N.O.</w:t>
      </w:r>
      <w:r>
        <w:rPr>
          <w:rFonts w:ascii="Arial" w:hAnsi="Arial"/>
          <w:b/>
          <w:sz w:val="24"/>
          <w:szCs w:val="24"/>
          <w:lang w:val="de-DE"/>
        </w:rPr>
        <w:t xml:space="preserve">              </w:t>
      </w:r>
      <w:r w:rsidRPr="00395DEF">
        <w:rPr>
          <w:rFonts w:ascii="Arial" w:hAnsi="Arial"/>
          <w:b/>
          <w:sz w:val="24"/>
          <w:szCs w:val="24"/>
          <w:lang w:val="de-DE"/>
        </w:rPr>
        <w:t xml:space="preserve">   </w:t>
      </w:r>
      <w:r w:rsidRPr="00395DEF">
        <w:rPr>
          <w:rFonts w:ascii="Arial" w:hAnsi="Arial"/>
          <w:bCs/>
          <w:sz w:val="24"/>
          <w:szCs w:val="24"/>
          <w:lang w:val="de-DE"/>
        </w:rPr>
        <w:t xml:space="preserve">                  </w:t>
      </w:r>
      <w:r>
        <w:rPr>
          <w:rFonts w:ascii="Arial" w:hAnsi="Arial"/>
          <w:bCs/>
          <w:sz w:val="24"/>
          <w:szCs w:val="24"/>
          <w:lang w:val="de-DE"/>
        </w:rPr>
        <w:t xml:space="preserve">                   </w:t>
      </w:r>
      <w:r w:rsidRPr="00395DEF">
        <w:rPr>
          <w:rFonts w:ascii="Arial" w:hAnsi="Arial"/>
          <w:bCs/>
          <w:sz w:val="24"/>
          <w:szCs w:val="24"/>
          <w:lang w:val="de-DE"/>
        </w:rPr>
        <w:t xml:space="preserve">  </w:t>
      </w:r>
      <w:r>
        <w:rPr>
          <w:rFonts w:ascii="Arial" w:hAnsi="Arial"/>
          <w:bCs/>
          <w:sz w:val="24"/>
          <w:szCs w:val="24"/>
          <w:lang w:val="de-DE"/>
        </w:rPr>
        <w:t xml:space="preserve">First </w:t>
      </w:r>
      <w:r w:rsidRPr="00395DEF">
        <w:rPr>
          <w:rFonts w:ascii="Arial" w:hAnsi="Arial"/>
          <w:bCs/>
          <w:sz w:val="24"/>
          <w:szCs w:val="24"/>
          <w:lang w:val="de-DE"/>
        </w:rPr>
        <w:t>Respondent</w:t>
      </w:r>
    </w:p>
    <w:p w:rsidR="00DA7F3A" w:rsidRDefault="00C66515" w:rsidP="00DA7F3A">
      <w:pPr>
        <w:pStyle w:val="Body"/>
        <w:tabs>
          <w:tab w:val="right" w:pos="9000"/>
        </w:tabs>
        <w:spacing w:after="0" w:line="360" w:lineRule="auto"/>
        <w:rPr>
          <w:rFonts w:ascii="Arial" w:hAnsi="Arial"/>
          <w:bCs/>
          <w:sz w:val="24"/>
          <w:szCs w:val="24"/>
          <w:lang w:val="de-DE"/>
        </w:rPr>
      </w:pPr>
      <w:r>
        <w:rPr>
          <w:rFonts w:ascii="Arial" w:hAnsi="Arial"/>
          <w:b/>
          <w:bCs/>
          <w:sz w:val="24"/>
          <w:szCs w:val="24"/>
          <w:lang w:val="de-DE"/>
        </w:rPr>
        <w:t xml:space="preserve">MICHAEL NICOLAS GEORGIOU N.O.                                                   </w:t>
      </w:r>
      <w:r w:rsidRPr="00C66515">
        <w:rPr>
          <w:rFonts w:ascii="Arial" w:hAnsi="Arial"/>
          <w:bCs/>
          <w:sz w:val="24"/>
          <w:szCs w:val="24"/>
          <w:lang w:val="de-DE"/>
        </w:rPr>
        <w:t>Second Respondent</w:t>
      </w:r>
    </w:p>
    <w:p w:rsidR="00C66515" w:rsidRDefault="00C66515" w:rsidP="00DA7F3A">
      <w:pPr>
        <w:pStyle w:val="Body"/>
        <w:tabs>
          <w:tab w:val="right" w:pos="9000"/>
        </w:tabs>
        <w:spacing w:after="0" w:line="360" w:lineRule="auto"/>
        <w:rPr>
          <w:rFonts w:ascii="Arial" w:hAnsi="Arial"/>
          <w:bCs/>
          <w:sz w:val="24"/>
          <w:szCs w:val="24"/>
          <w:lang w:val="de-DE"/>
        </w:rPr>
      </w:pPr>
      <w:r>
        <w:rPr>
          <w:rFonts w:ascii="Arial" w:hAnsi="Arial"/>
          <w:b/>
          <w:bCs/>
          <w:sz w:val="24"/>
          <w:szCs w:val="24"/>
          <w:lang w:val="de-DE"/>
        </w:rPr>
        <w:t xml:space="preserve">ADRIANA GEORGIOU N.O.                                                                        </w:t>
      </w:r>
      <w:r>
        <w:rPr>
          <w:rFonts w:ascii="Arial" w:hAnsi="Arial"/>
          <w:bCs/>
          <w:sz w:val="24"/>
          <w:szCs w:val="24"/>
          <w:lang w:val="de-DE"/>
        </w:rPr>
        <w:t>Third Respondent</w:t>
      </w:r>
    </w:p>
    <w:p w:rsidR="00C66515" w:rsidRDefault="00C66515" w:rsidP="00DA7F3A">
      <w:pPr>
        <w:pStyle w:val="Body"/>
        <w:tabs>
          <w:tab w:val="right" w:pos="9000"/>
        </w:tabs>
        <w:spacing w:after="0" w:line="360" w:lineRule="auto"/>
        <w:rPr>
          <w:rFonts w:ascii="Arial" w:hAnsi="Arial"/>
          <w:bCs/>
          <w:sz w:val="24"/>
          <w:szCs w:val="24"/>
          <w:lang w:val="de-DE"/>
        </w:rPr>
      </w:pPr>
      <w:r>
        <w:rPr>
          <w:rFonts w:ascii="Arial" w:hAnsi="Arial"/>
          <w:bCs/>
          <w:sz w:val="24"/>
          <w:szCs w:val="24"/>
          <w:lang w:val="de-DE"/>
        </w:rPr>
        <w:t xml:space="preserve">[In their capacity as trustees for the time being of the </w:t>
      </w:r>
    </w:p>
    <w:p w:rsidR="00C66515" w:rsidRDefault="00C66515" w:rsidP="00DA7F3A">
      <w:pPr>
        <w:pStyle w:val="Body"/>
        <w:tabs>
          <w:tab w:val="right" w:pos="9000"/>
        </w:tabs>
        <w:spacing w:after="0" w:line="360" w:lineRule="auto"/>
        <w:rPr>
          <w:rFonts w:ascii="Arial" w:hAnsi="Arial"/>
          <w:bCs/>
          <w:sz w:val="24"/>
          <w:szCs w:val="24"/>
          <w:lang w:val="de-DE"/>
        </w:rPr>
      </w:pPr>
      <w:r>
        <w:rPr>
          <w:rFonts w:ascii="Arial" w:hAnsi="Arial"/>
          <w:b/>
          <w:bCs/>
          <w:sz w:val="24"/>
          <w:szCs w:val="24"/>
          <w:lang w:val="de-DE"/>
        </w:rPr>
        <w:t>MICHAEL FAMILY TRUST TMP 2502</w:t>
      </w:r>
      <w:r>
        <w:rPr>
          <w:rFonts w:ascii="Arial" w:hAnsi="Arial"/>
          <w:bCs/>
          <w:sz w:val="24"/>
          <w:szCs w:val="24"/>
          <w:lang w:val="de-DE"/>
        </w:rPr>
        <w:t>]</w:t>
      </w:r>
    </w:p>
    <w:p w:rsidR="00C66515" w:rsidRDefault="00C66515" w:rsidP="00DA7F3A">
      <w:pPr>
        <w:pStyle w:val="Body"/>
        <w:tabs>
          <w:tab w:val="right" w:pos="9000"/>
        </w:tabs>
        <w:spacing w:after="0" w:line="360" w:lineRule="auto"/>
        <w:rPr>
          <w:rFonts w:ascii="Arial" w:hAnsi="Arial"/>
          <w:bCs/>
          <w:sz w:val="24"/>
          <w:szCs w:val="24"/>
          <w:lang w:val="de-DE"/>
        </w:rPr>
      </w:pPr>
      <w:r w:rsidRPr="00C66515">
        <w:rPr>
          <w:rFonts w:ascii="Arial" w:hAnsi="Arial"/>
          <w:b/>
          <w:bCs/>
          <w:sz w:val="24"/>
          <w:szCs w:val="24"/>
          <w:lang w:val="de-DE"/>
        </w:rPr>
        <w:t>MANGAUNG METROPOLITAN MUNICIPALITY</w:t>
      </w:r>
      <w:r>
        <w:rPr>
          <w:rFonts w:ascii="Arial" w:hAnsi="Arial"/>
          <w:bCs/>
          <w:sz w:val="24"/>
          <w:szCs w:val="24"/>
          <w:lang w:val="de-DE"/>
        </w:rPr>
        <w:t xml:space="preserve">                                      Fourth Respondent</w:t>
      </w:r>
    </w:p>
    <w:p w:rsidR="00C66515" w:rsidRDefault="00C66515" w:rsidP="00DA7F3A">
      <w:pPr>
        <w:pStyle w:val="Body"/>
        <w:tabs>
          <w:tab w:val="right" w:pos="9000"/>
        </w:tabs>
        <w:spacing w:after="0" w:line="360" w:lineRule="auto"/>
        <w:rPr>
          <w:rFonts w:ascii="Arial" w:hAnsi="Arial"/>
          <w:bCs/>
          <w:sz w:val="24"/>
          <w:szCs w:val="24"/>
          <w:lang w:val="de-DE"/>
        </w:rPr>
      </w:pPr>
      <w:r>
        <w:rPr>
          <w:rFonts w:ascii="Arial" w:hAnsi="Arial"/>
          <w:b/>
          <w:bCs/>
          <w:sz w:val="24"/>
          <w:szCs w:val="24"/>
          <w:lang w:val="de-DE"/>
        </w:rPr>
        <w:t xml:space="preserve">FIRSTRAND BANK LIMITED                                                                       </w:t>
      </w:r>
      <w:r>
        <w:rPr>
          <w:rFonts w:ascii="Arial" w:hAnsi="Arial"/>
          <w:bCs/>
          <w:sz w:val="24"/>
          <w:szCs w:val="24"/>
          <w:lang w:val="de-DE"/>
        </w:rPr>
        <w:t>Fifth Respondent</w:t>
      </w:r>
    </w:p>
    <w:p w:rsidR="00C66515" w:rsidRDefault="00C66515" w:rsidP="00DA7F3A">
      <w:pPr>
        <w:pStyle w:val="Body"/>
        <w:tabs>
          <w:tab w:val="right" w:pos="9000"/>
        </w:tabs>
        <w:spacing w:after="0" w:line="360" w:lineRule="auto"/>
        <w:rPr>
          <w:rFonts w:ascii="Arial" w:hAnsi="Arial"/>
          <w:bCs/>
          <w:sz w:val="24"/>
          <w:szCs w:val="24"/>
          <w:lang w:val="de-DE"/>
        </w:rPr>
      </w:pPr>
    </w:p>
    <w:p w:rsidR="00C66515" w:rsidRPr="00C66515" w:rsidRDefault="00C66515" w:rsidP="00DA7F3A">
      <w:pPr>
        <w:pStyle w:val="Body"/>
        <w:tabs>
          <w:tab w:val="right" w:pos="9000"/>
        </w:tabs>
        <w:spacing w:after="0" w:line="360" w:lineRule="auto"/>
        <w:rPr>
          <w:rFonts w:ascii="Arial" w:hAnsi="Arial"/>
          <w:bCs/>
          <w:sz w:val="24"/>
          <w:szCs w:val="24"/>
          <w:lang w:val="de-DE"/>
        </w:rPr>
      </w:pPr>
    </w:p>
    <w:p w:rsidR="00DA7F3A" w:rsidRPr="00BD73B3" w:rsidRDefault="00DA7F3A" w:rsidP="00DA7F3A">
      <w:pPr>
        <w:pStyle w:val="Body"/>
        <w:tabs>
          <w:tab w:val="right" w:pos="9781"/>
        </w:tabs>
        <w:spacing w:after="0" w:line="240" w:lineRule="auto"/>
        <w:rPr>
          <w:rFonts w:ascii="Arial" w:hAnsi="Arial"/>
          <w:bCs/>
          <w:sz w:val="24"/>
          <w:szCs w:val="24"/>
          <w:lang w:val="de-DE"/>
        </w:rPr>
      </w:pPr>
      <w:r w:rsidRPr="00395DEF">
        <w:rPr>
          <w:rFonts w:ascii="Arial" w:hAnsi="Arial"/>
          <w:b/>
          <w:bCs/>
          <w:sz w:val="24"/>
          <w:szCs w:val="24"/>
          <w:lang w:val="de-DE"/>
        </w:rPr>
        <w:lastRenderedPageBreak/>
        <w:t>___________________________________________________________________</w:t>
      </w:r>
      <w:r>
        <w:rPr>
          <w:rFonts w:ascii="Arial" w:hAnsi="Arial"/>
          <w:b/>
          <w:bCs/>
          <w:sz w:val="24"/>
          <w:szCs w:val="24"/>
          <w:lang w:val="de-DE"/>
        </w:rPr>
        <w:t>______</w:t>
      </w:r>
    </w:p>
    <w:p w:rsidR="00DA7F3A" w:rsidRDefault="00DA7F3A" w:rsidP="00DA7F3A">
      <w:pPr>
        <w:pStyle w:val="Body"/>
        <w:tabs>
          <w:tab w:val="left" w:pos="3119"/>
        </w:tabs>
        <w:spacing w:after="0" w:line="240" w:lineRule="auto"/>
        <w:jc w:val="both"/>
        <w:rPr>
          <w:rFonts w:ascii="Arial" w:hAnsi="Arial"/>
          <w:b/>
          <w:bCs/>
          <w:sz w:val="24"/>
          <w:szCs w:val="24"/>
          <w:u w:val="single"/>
          <w:lang w:val="de-DE"/>
        </w:rPr>
      </w:pPr>
    </w:p>
    <w:p w:rsidR="00DA7F3A" w:rsidRPr="00F84086" w:rsidRDefault="00DA7F3A" w:rsidP="00DA7F3A">
      <w:pPr>
        <w:pStyle w:val="Body"/>
        <w:tabs>
          <w:tab w:val="left" w:pos="3119"/>
        </w:tabs>
        <w:spacing w:after="0" w:line="240" w:lineRule="auto"/>
        <w:jc w:val="both"/>
        <w:rPr>
          <w:rFonts w:ascii="Arial" w:hAnsi="Arial"/>
          <w:b/>
          <w:bCs/>
          <w:sz w:val="24"/>
          <w:szCs w:val="24"/>
          <w:lang w:val="de-DE"/>
        </w:rPr>
      </w:pPr>
      <w:r>
        <w:rPr>
          <w:rFonts w:ascii="Arial" w:hAnsi="Arial"/>
          <w:b/>
          <w:bCs/>
          <w:sz w:val="24"/>
          <w:szCs w:val="24"/>
          <w:u w:val="single"/>
          <w:lang w:val="de-DE"/>
        </w:rPr>
        <w:t>JUDGMENT BY:</w:t>
      </w:r>
      <w:r w:rsidRPr="00F84086">
        <w:rPr>
          <w:rFonts w:ascii="Arial" w:hAnsi="Arial"/>
          <w:b/>
          <w:bCs/>
          <w:sz w:val="24"/>
          <w:szCs w:val="24"/>
          <w:lang w:val="de-DE"/>
        </w:rPr>
        <w:t xml:space="preserve">                </w:t>
      </w:r>
      <w:r w:rsidRPr="00404368">
        <w:rPr>
          <w:rFonts w:ascii="Arial" w:hAnsi="Arial"/>
          <w:bCs/>
          <w:sz w:val="24"/>
          <w:szCs w:val="24"/>
          <w:lang w:val="de-DE"/>
        </w:rPr>
        <w:t>VAN RHYN</w:t>
      </w:r>
      <w:r>
        <w:rPr>
          <w:rFonts w:ascii="Arial" w:hAnsi="Arial"/>
          <w:bCs/>
          <w:sz w:val="24"/>
          <w:szCs w:val="24"/>
          <w:lang w:val="de-DE"/>
        </w:rPr>
        <w:t>,</w:t>
      </w:r>
      <w:r w:rsidRPr="00404368">
        <w:rPr>
          <w:rFonts w:ascii="Arial" w:hAnsi="Arial"/>
          <w:bCs/>
          <w:sz w:val="24"/>
          <w:szCs w:val="24"/>
          <w:lang w:val="de-DE"/>
        </w:rPr>
        <w:t xml:space="preserve"> J</w:t>
      </w:r>
    </w:p>
    <w:p w:rsidR="00DA7F3A" w:rsidRPr="00F06B40" w:rsidRDefault="00DA7F3A" w:rsidP="00DA7F3A">
      <w:pPr>
        <w:pStyle w:val="Body"/>
        <w:tabs>
          <w:tab w:val="right" w:pos="3119"/>
          <w:tab w:val="right" w:pos="9781"/>
        </w:tabs>
        <w:spacing w:after="0" w:line="240" w:lineRule="auto"/>
        <w:jc w:val="both"/>
        <w:rPr>
          <w:rFonts w:ascii="Arial" w:eastAsia="Arial" w:hAnsi="Arial" w:cs="Arial"/>
          <w:b/>
          <w:bCs/>
          <w:sz w:val="24"/>
          <w:szCs w:val="24"/>
          <w:u w:val="single"/>
        </w:rPr>
      </w:pPr>
      <w:r w:rsidRPr="00F84086">
        <w:rPr>
          <w:rFonts w:ascii="Arial" w:hAnsi="Arial"/>
          <w:b/>
          <w:bCs/>
          <w:sz w:val="24"/>
          <w:szCs w:val="24"/>
          <w:lang w:val="en-US"/>
        </w:rPr>
        <w:t>_</w:t>
      </w:r>
      <w:r>
        <w:rPr>
          <w:rFonts w:ascii="Arial" w:hAnsi="Arial"/>
          <w:b/>
          <w:bCs/>
          <w:sz w:val="24"/>
          <w:szCs w:val="24"/>
          <w:u w:val="single"/>
          <w:lang w:val="en-US"/>
        </w:rPr>
        <w:t>________________________________________________________________________</w:t>
      </w:r>
    </w:p>
    <w:p w:rsidR="00DA7F3A" w:rsidRPr="00395DEF" w:rsidRDefault="00DA7F3A" w:rsidP="00DA7F3A">
      <w:pPr>
        <w:pStyle w:val="Body"/>
        <w:tabs>
          <w:tab w:val="right" w:pos="3119"/>
        </w:tabs>
        <w:spacing w:after="0" w:line="240" w:lineRule="auto"/>
        <w:ind w:left="720" w:hanging="720"/>
        <w:rPr>
          <w:rFonts w:ascii="Arial" w:eastAsia="Arial" w:hAnsi="Arial" w:cs="Arial"/>
          <w:b/>
          <w:bCs/>
          <w:sz w:val="24"/>
          <w:szCs w:val="24"/>
          <w:u w:val="single"/>
        </w:rPr>
      </w:pPr>
    </w:p>
    <w:p w:rsidR="00DA7F3A" w:rsidRPr="00395DEF" w:rsidRDefault="00DA7F3A" w:rsidP="00DA7F3A">
      <w:pPr>
        <w:pStyle w:val="Body"/>
        <w:tabs>
          <w:tab w:val="right" w:pos="3119"/>
        </w:tabs>
        <w:spacing w:after="0" w:line="240" w:lineRule="auto"/>
        <w:ind w:left="720" w:hanging="720"/>
        <w:rPr>
          <w:rFonts w:ascii="Arial" w:eastAsia="Arial" w:hAnsi="Arial" w:cs="Arial"/>
          <w:sz w:val="24"/>
          <w:szCs w:val="24"/>
        </w:rPr>
      </w:pPr>
      <w:r w:rsidRPr="00395DEF">
        <w:rPr>
          <w:rFonts w:ascii="Arial" w:hAnsi="Arial"/>
          <w:b/>
          <w:bCs/>
          <w:sz w:val="24"/>
          <w:szCs w:val="24"/>
          <w:u w:val="single"/>
          <w:lang w:val="de-DE"/>
        </w:rPr>
        <w:t>HEARD ON:</w:t>
      </w:r>
      <w:r>
        <w:rPr>
          <w:rFonts w:ascii="Arial" w:eastAsia="Arial" w:hAnsi="Arial" w:cs="Arial"/>
          <w:sz w:val="24"/>
          <w:szCs w:val="24"/>
          <w:lang w:val="de-DE"/>
        </w:rPr>
        <w:t xml:space="preserve">                       </w:t>
      </w:r>
      <w:r w:rsidRPr="00395DEF">
        <w:rPr>
          <w:rFonts w:ascii="Arial" w:eastAsia="Arial" w:hAnsi="Arial" w:cs="Arial"/>
          <w:sz w:val="24"/>
          <w:szCs w:val="24"/>
          <w:lang w:val="de-DE"/>
        </w:rPr>
        <w:tab/>
      </w:r>
      <w:r w:rsidR="00BC1710">
        <w:rPr>
          <w:rFonts w:ascii="Arial" w:eastAsia="Arial" w:hAnsi="Arial" w:cs="Arial"/>
          <w:sz w:val="24"/>
          <w:szCs w:val="24"/>
          <w:lang w:val="de-DE"/>
        </w:rPr>
        <w:t>10</w:t>
      </w:r>
      <w:r>
        <w:rPr>
          <w:rFonts w:ascii="Arial" w:eastAsia="Arial" w:hAnsi="Arial" w:cs="Arial"/>
          <w:sz w:val="24"/>
          <w:szCs w:val="24"/>
          <w:lang w:val="de-DE"/>
        </w:rPr>
        <w:t xml:space="preserve"> AUGUST 2023</w:t>
      </w:r>
    </w:p>
    <w:p w:rsidR="00DA7F3A" w:rsidRPr="00395DEF" w:rsidRDefault="00DA7F3A" w:rsidP="00DA7F3A">
      <w:pPr>
        <w:pStyle w:val="Body"/>
        <w:tabs>
          <w:tab w:val="right" w:pos="3119"/>
        </w:tabs>
        <w:spacing w:after="0" w:line="240" w:lineRule="auto"/>
        <w:rPr>
          <w:rFonts w:ascii="Arial" w:eastAsia="Arial" w:hAnsi="Arial" w:cs="Arial"/>
          <w:b/>
          <w:bCs/>
          <w:sz w:val="24"/>
          <w:szCs w:val="24"/>
        </w:rPr>
      </w:pPr>
      <w:r w:rsidRPr="00395DEF">
        <w:rPr>
          <w:rFonts w:ascii="Arial" w:hAnsi="Arial"/>
          <w:b/>
          <w:bCs/>
          <w:sz w:val="24"/>
          <w:szCs w:val="24"/>
          <w:lang w:val="en-US"/>
        </w:rPr>
        <w:t>________________________________________________________</w:t>
      </w:r>
      <w:r>
        <w:rPr>
          <w:rFonts w:ascii="Arial" w:hAnsi="Arial"/>
          <w:b/>
          <w:bCs/>
          <w:sz w:val="24"/>
          <w:szCs w:val="24"/>
          <w:u w:val="single"/>
          <w:lang w:val="en-US"/>
        </w:rPr>
        <w:t>__________</w:t>
      </w:r>
      <w:r w:rsidRPr="00395DEF">
        <w:rPr>
          <w:rFonts w:ascii="Arial" w:hAnsi="Arial"/>
          <w:b/>
          <w:bCs/>
          <w:sz w:val="24"/>
          <w:szCs w:val="24"/>
          <w:lang w:val="en-US"/>
        </w:rPr>
        <w:t>_</w:t>
      </w:r>
      <w:r>
        <w:rPr>
          <w:rFonts w:ascii="Arial" w:hAnsi="Arial"/>
          <w:b/>
          <w:bCs/>
          <w:sz w:val="24"/>
          <w:szCs w:val="24"/>
          <w:lang w:val="en-US"/>
        </w:rPr>
        <w:t>______</w:t>
      </w:r>
    </w:p>
    <w:p w:rsidR="00DA7F3A" w:rsidRPr="00395DEF" w:rsidRDefault="00DA7F3A" w:rsidP="00DA7F3A">
      <w:pPr>
        <w:pStyle w:val="Body"/>
        <w:tabs>
          <w:tab w:val="right" w:pos="3119"/>
        </w:tabs>
        <w:spacing w:after="0" w:line="240" w:lineRule="auto"/>
        <w:ind w:left="720" w:hanging="720"/>
        <w:rPr>
          <w:rFonts w:ascii="Arial" w:eastAsia="Arial" w:hAnsi="Arial" w:cs="Arial"/>
          <w:b/>
          <w:bCs/>
          <w:sz w:val="24"/>
          <w:szCs w:val="24"/>
          <w:u w:val="single"/>
        </w:rPr>
      </w:pPr>
    </w:p>
    <w:p w:rsidR="00DA7F3A" w:rsidRDefault="00DA7F3A" w:rsidP="00DA7F3A">
      <w:pPr>
        <w:pStyle w:val="Body"/>
        <w:tabs>
          <w:tab w:val="right" w:pos="3119"/>
        </w:tabs>
        <w:spacing w:after="0" w:line="240" w:lineRule="auto"/>
        <w:jc w:val="both"/>
        <w:rPr>
          <w:rFonts w:ascii="Arial" w:hAnsi="Arial"/>
          <w:bCs/>
          <w:sz w:val="24"/>
          <w:szCs w:val="24"/>
          <w:lang w:val="de-DE"/>
        </w:rPr>
      </w:pPr>
      <w:r>
        <w:rPr>
          <w:rFonts w:ascii="Arial" w:hAnsi="Arial"/>
          <w:b/>
          <w:bCs/>
          <w:sz w:val="24"/>
          <w:szCs w:val="24"/>
          <w:u w:val="single"/>
          <w:lang w:val="de-DE"/>
        </w:rPr>
        <w:t xml:space="preserve">DELIVERED ON: </w:t>
      </w:r>
      <w:r w:rsidRPr="00FE1FA7">
        <w:rPr>
          <w:rFonts w:ascii="Arial" w:hAnsi="Arial"/>
          <w:bCs/>
          <w:sz w:val="24"/>
          <w:szCs w:val="24"/>
          <w:lang w:val="de-DE"/>
        </w:rPr>
        <w:t xml:space="preserve">              </w:t>
      </w:r>
      <w:r>
        <w:rPr>
          <w:rFonts w:ascii="Arial" w:hAnsi="Arial"/>
          <w:bCs/>
          <w:sz w:val="24"/>
          <w:szCs w:val="24"/>
          <w:lang w:val="de-DE"/>
        </w:rPr>
        <w:t xml:space="preserve"> </w:t>
      </w:r>
      <w:r w:rsidR="00855E8D">
        <w:rPr>
          <w:rFonts w:ascii="Arial" w:hAnsi="Arial"/>
          <w:bCs/>
          <w:sz w:val="24"/>
          <w:szCs w:val="24"/>
          <w:lang w:val="de-DE"/>
        </w:rPr>
        <w:t>6</w:t>
      </w:r>
      <w:r w:rsidR="00103989">
        <w:rPr>
          <w:rFonts w:ascii="Arial" w:hAnsi="Arial"/>
          <w:bCs/>
          <w:sz w:val="24"/>
          <w:szCs w:val="24"/>
          <w:lang w:val="de-DE"/>
        </w:rPr>
        <w:t xml:space="preserve"> OCTOBE</w:t>
      </w:r>
      <w:r w:rsidR="00C66515">
        <w:rPr>
          <w:rFonts w:ascii="Arial" w:hAnsi="Arial"/>
          <w:bCs/>
          <w:sz w:val="24"/>
          <w:szCs w:val="24"/>
          <w:lang w:val="de-DE"/>
        </w:rPr>
        <w:t xml:space="preserve">R </w:t>
      </w:r>
      <w:r w:rsidRPr="00FE1FA7">
        <w:rPr>
          <w:rFonts w:ascii="Arial" w:hAnsi="Arial"/>
          <w:bCs/>
          <w:sz w:val="24"/>
          <w:szCs w:val="24"/>
          <w:lang w:val="de-DE"/>
        </w:rPr>
        <w:t>2023</w:t>
      </w:r>
    </w:p>
    <w:p w:rsidR="00DA7F3A" w:rsidRPr="00FE1FA7" w:rsidRDefault="00DA7F3A" w:rsidP="00DA7F3A">
      <w:pPr>
        <w:pStyle w:val="Body"/>
        <w:tabs>
          <w:tab w:val="right" w:pos="3119"/>
        </w:tabs>
        <w:spacing w:after="0" w:line="240" w:lineRule="auto"/>
        <w:jc w:val="both"/>
        <w:rPr>
          <w:rFonts w:ascii="Arial" w:hAnsi="Arial"/>
          <w:b/>
          <w:bCs/>
          <w:sz w:val="24"/>
          <w:szCs w:val="24"/>
          <w:lang w:val="de-DE"/>
        </w:rPr>
      </w:pPr>
      <w:r>
        <w:rPr>
          <w:rFonts w:ascii="Arial" w:hAnsi="Arial"/>
          <w:b/>
          <w:bCs/>
          <w:sz w:val="24"/>
          <w:szCs w:val="24"/>
          <w:lang w:val="de-DE"/>
        </w:rPr>
        <w:t>_________________________________________________________________________</w:t>
      </w:r>
    </w:p>
    <w:p w:rsidR="00DA7F3A" w:rsidRPr="00BC1710" w:rsidRDefault="00DA7F3A" w:rsidP="00DA7F3A">
      <w:pPr>
        <w:rPr>
          <w:rFonts w:ascii="Arial" w:hAnsi="Arial" w:cs="Arial"/>
          <w:sz w:val="24"/>
          <w:szCs w:val="24"/>
        </w:rPr>
      </w:pPr>
    </w:p>
    <w:p w:rsidR="00BC1710" w:rsidRPr="0032342D" w:rsidRDefault="0032342D" w:rsidP="00DA7F3A">
      <w:pPr>
        <w:rPr>
          <w:rFonts w:ascii="Arial" w:hAnsi="Arial" w:cs="Arial"/>
          <w:sz w:val="24"/>
          <w:szCs w:val="24"/>
          <w:u w:val="single"/>
        </w:rPr>
      </w:pPr>
      <w:r>
        <w:rPr>
          <w:rFonts w:ascii="Arial" w:hAnsi="Arial" w:cs="Arial"/>
          <w:sz w:val="24"/>
          <w:szCs w:val="24"/>
        </w:rPr>
        <w:tab/>
      </w:r>
      <w:r w:rsidR="00BC1710" w:rsidRPr="0032342D">
        <w:rPr>
          <w:rFonts w:ascii="Arial" w:hAnsi="Arial" w:cs="Arial"/>
          <w:sz w:val="24"/>
          <w:szCs w:val="24"/>
          <w:u w:val="single"/>
        </w:rPr>
        <w:t>INTRODUCTION.</w:t>
      </w:r>
    </w:p>
    <w:p w:rsidR="00EE0E26" w:rsidRDefault="00BC1710" w:rsidP="00BC1710">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sidRPr="00BC1710">
        <w:rPr>
          <w:rFonts w:ascii="Arial" w:eastAsiaTheme="minorEastAsia" w:hAnsi="Arial" w:cs="Arial"/>
          <w:color w:val="000000" w:themeColor="text1"/>
          <w:sz w:val="24"/>
          <w:szCs w:val="24"/>
          <w:lang w:eastAsia="en-ZA"/>
        </w:rPr>
        <w:t>[1]</w:t>
      </w:r>
      <w:r>
        <w:rPr>
          <w:rFonts w:ascii="Arial" w:eastAsiaTheme="minorEastAsia" w:hAnsi="Arial" w:cs="Arial"/>
          <w:color w:val="000000" w:themeColor="text1"/>
          <w:sz w:val="24"/>
          <w:szCs w:val="24"/>
          <w:lang w:eastAsia="en-ZA"/>
        </w:rPr>
        <w:tab/>
      </w:r>
      <w:r w:rsidR="001B20D8">
        <w:rPr>
          <w:rFonts w:ascii="Arial" w:eastAsiaTheme="minorEastAsia" w:hAnsi="Arial" w:cs="Arial"/>
          <w:color w:val="000000" w:themeColor="text1"/>
          <w:sz w:val="24"/>
          <w:szCs w:val="24"/>
          <w:lang w:eastAsia="en-ZA"/>
        </w:rPr>
        <w:t xml:space="preserve">The </w:t>
      </w:r>
      <w:r w:rsidR="0046004C">
        <w:rPr>
          <w:rFonts w:ascii="Arial" w:eastAsiaTheme="minorEastAsia" w:hAnsi="Arial" w:cs="Arial"/>
          <w:color w:val="000000" w:themeColor="text1"/>
          <w:sz w:val="24"/>
          <w:szCs w:val="24"/>
          <w:lang w:eastAsia="en-ZA"/>
        </w:rPr>
        <w:t xml:space="preserve">first to seventh </w:t>
      </w:r>
      <w:r w:rsidR="001B20D8">
        <w:rPr>
          <w:rFonts w:ascii="Arial" w:eastAsiaTheme="minorEastAsia" w:hAnsi="Arial" w:cs="Arial"/>
          <w:color w:val="000000" w:themeColor="text1"/>
          <w:sz w:val="24"/>
          <w:szCs w:val="24"/>
          <w:lang w:eastAsia="en-ZA"/>
        </w:rPr>
        <w:t>applicants</w:t>
      </w:r>
      <w:r w:rsidR="0046004C">
        <w:rPr>
          <w:rFonts w:ascii="Arial" w:eastAsiaTheme="minorEastAsia" w:hAnsi="Arial" w:cs="Arial"/>
          <w:color w:val="000000" w:themeColor="text1"/>
          <w:sz w:val="24"/>
          <w:szCs w:val="24"/>
          <w:lang w:eastAsia="en-ZA"/>
        </w:rPr>
        <w:t xml:space="preserve"> are the trustees of the Skougronde Ontwikkelings Trust, Number TMP 2799(B) (the “</w:t>
      </w:r>
      <w:r w:rsidR="00103989">
        <w:rPr>
          <w:rFonts w:ascii="Arial" w:eastAsiaTheme="minorEastAsia" w:hAnsi="Arial" w:cs="Arial"/>
          <w:color w:val="000000" w:themeColor="text1"/>
          <w:sz w:val="24"/>
          <w:szCs w:val="24"/>
          <w:lang w:eastAsia="en-ZA"/>
        </w:rPr>
        <w:t>Applicant Trust</w:t>
      </w:r>
      <w:r w:rsidR="0046004C">
        <w:rPr>
          <w:rFonts w:ascii="Arial" w:eastAsiaTheme="minorEastAsia" w:hAnsi="Arial" w:cs="Arial"/>
          <w:color w:val="000000" w:themeColor="text1"/>
          <w:sz w:val="24"/>
          <w:szCs w:val="24"/>
          <w:lang w:eastAsia="en-ZA"/>
        </w:rPr>
        <w:t>”).</w:t>
      </w:r>
      <w:r w:rsidR="00EE0E26">
        <w:rPr>
          <w:rFonts w:ascii="Arial" w:eastAsiaTheme="minorEastAsia" w:hAnsi="Arial" w:cs="Arial"/>
          <w:color w:val="000000" w:themeColor="text1"/>
          <w:sz w:val="24"/>
          <w:szCs w:val="24"/>
          <w:lang w:eastAsia="en-ZA"/>
        </w:rPr>
        <w:t xml:space="preserve"> Mangaung Metropolitan Municipality</w:t>
      </w:r>
      <w:r w:rsidR="00103989">
        <w:rPr>
          <w:rFonts w:ascii="Arial" w:eastAsiaTheme="minorEastAsia" w:hAnsi="Arial" w:cs="Arial"/>
          <w:color w:val="000000" w:themeColor="text1"/>
          <w:sz w:val="24"/>
          <w:szCs w:val="24"/>
          <w:lang w:eastAsia="en-ZA"/>
        </w:rPr>
        <w:t>,</w:t>
      </w:r>
      <w:r w:rsidR="00EE0E26">
        <w:rPr>
          <w:rFonts w:ascii="Arial" w:eastAsiaTheme="minorEastAsia" w:hAnsi="Arial" w:cs="Arial"/>
          <w:color w:val="000000" w:themeColor="text1"/>
          <w:sz w:val="24"/>
          <w:szCs w:val="24"/>
          <w:lang w:eastAsia="en-ZA"/>
        </w:rPr>
        <w:t xml:space="preserve"> is the owner of the immovable property known as the Bloemfontein Showgrounds. During 1998 the </w:t>
      </w:r>
      <w:r w:rsidR="00103989">
        <w:rPr>
          <w:rFonts w:ascii="Arial" w:eastAsiaTheme="minorEastAsia" w:hAnsi="Arial" w:cs="Arial"/>
          <w:color w:val="000000" w:themeColor="text1"/>
          <w:sz w:val="24"/>
          <w:szCs w:val="24"/>
          <w:lang w:eastAsia="en-ZA"/>
        </w:rPr>
        <w:t>Applicant Trust</w:t>
      </w:r>
      <w:r w:rsidR="00EE0E26">
        <w:rPr>
          <w:rFonts w:ascii="Arial" w:eastAsiaTheme="minorEastAsia" w:hAnsi="Arial" w:cs="Arial"/>
          <w:color w:val="000000" w:themeColor="text1"/>
          <w:sz w:val="24"/>
          <w:szCs w:val="24"/>
          <w:lang w:eastAsia="en-ZA"/>
        </w:rPr>
        <w:t xml:space="preserve"> obtained a cession of a notarial lease of the</w:t>
      </w:r>
      <w:r w:rsidR="005C0036">
        <w:rPr>
          <w:rFonts w:ascii="Arial" w:eastAsiaTheme="minorEastAsia" w:hAnsi="Arial" w:cs="Arial"/>
          <w:color w:val="000000" w:themeColor="text1"/>
          <w:sz w:val="24"/>
          <w:szCs w:val="24"/>
          <w:lang w:eastAsia="en-ZA"/>
        </w:rPr>
        <w:t xml:space="preserve"> said</w:t>
      </w:r>
      <w:r w:rsidR="00EE0E26">
        <w:rPr>
          <w:rFonts w:ascii="Arial" w:eastAsiaTheme="minorEastAsia" w:hAnsi="Arial" w:cs="Arial"/>
          <w:color w:val="000000" w:themeColor="text1"/>
          <w:sz w:val="24"/>
          <w:szCs w:val="24"/>
          <w:lang w:eastAsia="en-ZA"/>
        </w:rPr>
        <w:t xml:space="preserve"> property</w:t>
      </w:r>
      <w:r w:rsidR="00D75212">
        <w:rPr>
          <w:rFonts w:ascii="Arial" w:eastAsiaTheme="minorEastAsia" w:hAnsi="Arial" w:cs="Arial"/>
          <w:color w:val="000000" w:themeColor="text1"/>
          <w:sz w:val="24"/>
          <w:szCs w:val="24"/>
          <w:lang w:eastAsia="en-ZA"/>
        </w:rPr>
        <w:t>. A certain section of the property undergone commercial development</w:t>
      </w:r>
      <w:r w:rsidR="000A11D6">
        <w:rPr>
          <w:rFonts w:ascii="Arial" w:eastAsiaTheme="minorEastAsia" w:hAnsi="Arial" w:cs="Arial"/>
          <w:color w:val="000000" w:themeColor="text1"/>
          <w:sz w:val="24"/>
          <w:szCs w:val="24"/>
          <w:lang w:eastAsia="en-ZA"/>
        </w:rPr>
        <w:t>. This section</w:t>
      </w:r>
      <w:r w:rsidR="00013331">
        <w:rPr>
          <w:rFonts w:ascii="Arial" w:eastAsiaTheme="minorEastAsia" w:hAnsi="Arial" w:cs="Arial"/>
          <w:color w:val="000000" w:themeColor="text1"/>
          <w:sz w:val="24"/>
          <w:szCs w:val="24"/>
          <w:lang w:eastAsia="en-ZA"/>
        </w:rPr>
        <w:t xml:space="preserve"> of the Bloemfontein </w:t>
      </w:r>
      <w:r w:rsidR="00521CD9">
        <w:rPr>
          <w:rFonts w:ascii="Arial" w:eastAsiaTheme="minorEastAsia" w:hAnsi="Arial" w:cs="Arial"/>
          <w:color w:val="000000" w:themeColor="text1"/>
          <w:sz w:val="24"/>
          <w:szCs w:val="24"/>
          <w:lang w:eastAsia="en-ZA"/>
        </w:rPr>
        <w:t>S</w:t>
      </w:r>
      <w:r w:rsidR="00013331">
        <w:rPr>
          <w:rFonts w:ascii="Arial" w:eastAsiaTheme="minorEastAsia" w:hAnsi="Arial" w:cs="Arial"/>
          <w:color w:val="000000" w:themeColor="text1"/>
          <w:sz w:val="24"/>
          <w:szCs w:val="24"/>
          <w:lang w:eastAsia="en-ZA"/>
        </w:rPr>
        <w:t>howgrounds</w:t>
      </w:r>
      <w:r w:rsidR="000A11D6">
        <w:rPr>
          <w:rFonts w:ascii="Arial" w:eastAsiaTheme="minorEastAsia" w:hAnsi="Arial" w:cs="Arial"/>
          <w:color w:val="000000" w:themeColor="text1"/>
          <w:sz w:val="24"/>
          <w:szCs w:val="24"/>
          <w:lang w:eastAsia="en-ZA"/>
        </w:rPr>
        <w:t xml:space="preserve"> is</w:t>
      </w:r>
      <w:r w:rsidR="00D75212">
        <w:rPr>
          <w:rFonts w:ascii="Arial" w:eastAsiaTheme="minorEastAsia" w:hAnsi="Arial" w:cs="Arial"/>
          <w:color w:val="000000" w:themeColor="text1"/>
          <w:sz w:val="24"/>
          <w:szCs w:val="24"/>
          <w:lang w:eastAsia="en-ZA"/>
        </w:rPr>
        <w:t xml:space="preserve"> known as the Showgate Shopping Centre. The </w:t>
      </w:r>
      <w:r w:rsidR="00103989">
        <w:rPr>
          <w:rFonts w:ascii="Arial" w:eastAsiaTheme="minorEastAsia" w:hAnsi="Arial" w:cs="Arial"/>
          <w:color w:val="000000" w:themeColor="text1"/>
          <w:sz w:val="24"/>
          <w:szCs w:val="24"/>
          <w:lang w:eastAsia="en-ZA"/>
        </w:rPr>
        <w:t>Applicant Trust</w:t>
      </w:r>
      <w:r w:rsidR="00D75212">
        <w:rPr>
          <w:rFonts w:ascii="Arial" w:eastAsiaTheme="minorEastAsia" w:hAnsi="Arial" w:cs="Arial"/>
          <w:color w:val="000000" w:themeColor="text1"/>
          <w:sz w:val="24"/>
          <w:szCs w:val="24"/>
          <w:lang w:eastAsia="en-ZA"/>
        </w:rPr>
        <w:t xml:space="preserve"> concluded a</w:t>
      </w:r>
      <w:r w:rsidR="00EE0E26">
        <w:rPr>
          <w:rFonts w:ascii="Arial" w:eastAsiaTheme="minorEastAsia" w:hAnsi="Arial" w:cs="Arial"/>
          <w:color w:val="000000" w:themeColor="text1"/>
          <w:sz w:val="24"/>
          <w:szCs w:val="24"/>
          <w:lang w:eastAsia="en-ZA"/>
        </w:rPr>
        <w:t xml:space="preserve"> notarial sub-lease</w:t>
      </w:r>
      <w:r w:rsidR="00A40FA7">
        <w:rPr>
          <w:rFonts w:ascii="Arial" w:eastAsiaTheme="minorEastAsia" w:hAnsi="Arial" w:cs="Arial"/>
          <w:color w:val="000000" w:themeColor="text1"/>
          <w:sz w:val="24"/>
          <w:szCs w:val="24"/>
          <w:lang w:eastAsia="en-ZA"/>
        </w:rPr>
        <w:t xml:space="preserve"> (the “Sub-Lease”)</w:t>
      </w:r>
      <w:r w:rsidR="005C0036">
        <w:rPr>
          <w:rFonts w:ascii="Arial" w:eastAsiaTheme="minorEastAsia" w:hAnsi="Arial" w:cs="Arial"/>
          <w:color w:val="000000" w:themeColor="text1"/>
          <w:sz w:val="24"/>
          <w:szCs w:val="24"/>
          <w:lang w:eastAsia="en-ZA"/>
        </w:rPr>
        <w:t>,</w:t>
      </w:r>
      <w:r w:rsidR="00EE0E26">
        <w:rPr>
          <w:rFonts w:ascii="Arial" w:eastAsiaTheme="minorEastAsia" w:hAnsi="Arial" w:cs="Arial"/>
          <w:color w:val="000000" w:themeColor="text1"/>
          <w:sz w:val="24"/>
          <w:szCs w:val="24"/>
          <w:lang w:eastAsia="en-ZA"/>
        </w:rPr>
        <w:t xml:space="preserve"> ending in 2049</w:t>
      </w:r>
      <w:r w:rsidR="005C0036">
        <w:rPr>
          <w:rFonts w:ascii="Arial" w:eastAsiaTheme="minorEastAsia" w:hAnsi="Arial" w:cs="Arial"/>
          <w:color w:val="000000" w:themeColor="text1"/>
          <w:sz w:val="24"/>
          <w:szCs w:val="24"/>
          <w:lang w:eastAsia="en-ZA"/>
        </w:rPr>
        <w:t>,</w:t>
      </w:r>
      <w:r w:rsidR="00EE0E26">
        <w:rPr>
          <w:rFonts w:ascii="Arial" w:eastAsiaTheme="minorEastAsia" w:hAnsi="Arial" w:cs="Arial"/>
          <w:color w:val="000000" w:themeColor="text1"/>
          <w:sz w:val="24"/>
          <w:szCs w:val="24"/>
          <w:lang w:eastAsia="en-ZA"/>
        </w:rPr>
        <w:t xml:space="preserve"> with Monema Properties CC</w:t>
      </w:r>
      <w:r w:rsidR="00D75212">
        <w:rPr>
          <w:rFonts w:ascii="Arial" w:eastAsiaTheme="minorEastAsia" w:hAnsi="Arial" w:cs="Arial"/>
          <w:color w:val="000000" w:themeColor="text1"/>
          <w:sz w:val="24"/>
          <w:szCs w:val="24"/>
          <w:lang w:eastAsia="en-ZA"/>
        </w:rPr>
        <w:t xml:space="preserve"> pertaining to the Showgate Shopping Centre</w:t>
      </w:r>
      <w:r w:rsidR="00EE0E26">
        <w:rPr>
          <w:rFonts w:ascii="Arial" w:eastAsiaTheme="minorEastAsia" w:hAnsi="Arial" w:cs="Arial"/>
          <w:color w:val="000000" w:themeColor="text1"/>
          <w:sz w:val="24"/>
          <w:szCs w:val="24"/>
          <w:lang w:eastAsia="en-ZA"/>
        </w:rPr>
        <w:t xml:space="preserve">. </w:t>
      </w:r>
      <w:r w:rsidR="00D75212">
        <w:rPr>
          <w:rFonts w:ascii="Arial" w:eastAsiaTheme="minorEastAsia" w:hAnsi="Arial" w:cs="Arial"/>
          <w:color w:val="000000" w:themeColor="text1"/>
          <w:sz w:val="24"/>
          <w:szCs w:val="24"/>
          <w:lang w:eastAsia="en-ZA"/>
        </w:rPr>
        <w:t xml:space="preserve"> It is this specific section of the property that forms the subject of this application.</w:t>
      </w:r>
      <w:r w:rsidR="00EE0E26">
        <w:rPr>
          <w:rFonts w:ascii="Arial" w:eastAsiaTheme="minorEastAsia" w:hAnsi="Arial" w:cs="Arial"/>
          <w:color w:val="000000" w:themeColor="text1"/>
          <w:sz w:val="24"/>
          <w:szCs w:val="24"/>
          <w:lang w:eastAsia="en-ZA"/>
        </w:rPr>
        <w:t xml:space="preserve"> </w:t>
      </w:r>
    </w:p>
    <w:p w:rsidR="00857C00" w:rsidRDefault="00857C00" w:rsidP="00BC1710">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EE0E26" w:rsidRDefault="00EE0E26" w:rsidP="00BC1710">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[2]</w:t>
      </w:r>
      <w:r>
        <w:rPr>
          <w:rFonts w:ascii="Arial" w:eastAsiaTheme="minorEastAsia" w:hAnsi="Arial" w:cs="Arial"/>
          <w:color w:val="000000" w:themeColor="text1"/>
          <w:sz w:val="24"/>
          <w:szCs w:val="24"/>
          <w:lang w:eastAsia="en-ZA"/>
        </w:rPr>
        <w:tab/>
        <w:t xml:space="preserve">The </w:t>
      </w:r>
      <w:r w:rsidR="00A40FA7">
        <w:rPr>
          <w:rFonts w:ascii="Arial" w:eastAsiaTheme="minorEastAsia" w:hAnsi="Arial" w:cs="Arial"/>
          <w:color w:val="000000" w:themeColor="text1"/>
          <w:sz w:val="24"/>
          <w:szCs w:val="24"/>
          <w:lang w:eastAsia="en-ZA"/>
        </w:rPr>
        <w:t>S</w:t>
      </w:r>
      <w:r>
        <w:rPr>
          <w:rFonts w:ascii="Arial" w:eastAsiaTheme="minorEastAsia" w:hAnsi="Arial" w:cs="Arial"/>
          <w:color w:val="000000" w:themeColor="text1"/>
          <w:sz w:val="24"/>
          <w:szCs w:val="24"/>
          <w:lang w:eastAsia="en-ZA"/>
        </w:rPr>
        <w:t>ub-</w:t>
      </w:r>
      <w:r w:rsidR="00A40FA7">
        <w:rPr>
          <w:rFonts w:ascii="Arial" w:eastAsiaTheme="minorEastAsia" w:hAnsi="Arial" w:cs="Arial"/>
          <w:color w:val="000000" w:themeColor="text1"/>
          <w:sz w:val="24"/>
          <w:szCs w:val="24"/>
          <w:lang w:eastAsia="en-ZA"/>
        </w:rPr>
        <w:t>L</w:t>
      </w:r>
      <w:r>
        <w:rPr>
          <w:rFonts w:ascii="Arial" w:eastAsiaTheme="minorEastAsia" w:hAnsi="Arial" w:cs="Arial"/>
          <w:color w:val="000000" w:themeColor="text1"/>
          <w:sz w:val="24"/>
          <w:szCs w:val="24"/>
          <w:lang w:eastAsia="en-ZA"/>
        </w:rPr>
        <w:t xml:space="preserve">ease </w:t>
      </w:r>
      <w:r w:rsidR="00D75212">
        <w:rPr>
          <w:rFonts w:ascii="Arial" w:eastAsiaTheme="minorEastAsia" w:hAnsi="Arial" w:cs="Arial"/>
          <w:color w:val="000000" w:themeColor="text1"/>
          <w:sz w:val="24"/>
          <w:szCs w:val="24"/>
          <w:lang w:eastAsia="en-ZA"/>
        </w:rPr>
        <w:t xml:space="preserve">of the Showgate Shopping Centre </w:t>
      </w:r>
      <w:r>
        <w:rPr>
          <w:rFonts w:ascii="Arial" w:eastAsiaTheme="minorEastAsia" w:hAnsi="Arial" w:cs="Arial"/>
          <w:color w:val="000000" w:themeColor="text1"/>
          <w:sz w:val="24"/>
          <w:szCs w:val="24"/>
          <w:lang w:eastAsia="en-ZA"/>
        </w:rPr>
        <w:t xml:space="preserve">was registered </w:t>
      </w:r>
      <w:r w:rsidR="00103989">
        <w:rPr>
          <w:rFonts w:ascii="Arial" w:eastAsiaTheme="minorEastAsia" w:hAnsi="Arial" w:cs="Arial"/>
          <w:color w:val="000000" w:themeColor="text1"/>
          <w:sz w:val="24"/>
          <w:szCs w:val="24"/>
          <w:lang w:eastAsia="en-ZA"/>
        </w:rPr>
        <w:t>i</w:t>
      </w:r>
      <w:r>
        <w:rPr>
          <w:rFonts w:ascii="Arial" w:eastAsiaTheme="minorEastAsia" w:hAnsi="Arial" w:cs="Arial"/>
          <w:color w:val="000000" w:themeColor="text1"/>
          <w:sz w:val="24"/>
          <w:szCs w:val="24"/>
          <w:lang w:eastAsia="en-ZA"/>
        </w:rPr>
        <w:t>n the Deeds Office</w:t>
      </w:r>
      <w:r w:rsidR="00103989">
        <w:rPr>
          <w:rFonts w:ascii="Arial" w:eastAsiaTheme="minorEastAsia" w:hAnsi="Arial" w:cs="Arial"/>
          <w:color w:val="000000" w:themeColor="text1"/>
          <w:sz w:val="24"/>
          <w:szCs w:val="24"/>
          <w:lang w:eastAsia="en-ZA"/>
        </w:rPr>
        <w:t xml:space="preserve">, Bloemfontein, as </w:t>
      </w:r>
      <w:r w:rsidR="00013331">
        <w:rPr>
          <w:rFonts w:ascii="Arial" w:eastAsiaTheme="minorEastAsia" w:hAnsi="Arial" w:cs="Arial"/>
          <w:color w:val="000000" w:themeColor="text1"/>
          <w:sz w:val="24"/>
          <w:szCs w:val="24"/>
          <w:lang w:eastAsia="en-ZA"/>
        </w:rPr>
        <w:t>a Notarial Deed of Cession of a Sub-Lease</w:t>
      </w:r>
      <w:r>
        <w:rPr>
          <w:rFonts w:ascii="Arial" w:eastAsiaTheme="minorEastAsia" w:hAnsi="Arial" w:cs="Arial"/>
          <w:color w:val="000000" w:themeColor="text1"/>
          <w:sz w:val="24"/>
          <w:szCs w:val="24"/>
          <w:lang w:eastAsia="en-ZA"/>
        </w:rPr>
        <w:t xml:space="preserve"> under registration number K 138/1999L on 22 February 1999. </w:t>
      </w:r>
      <w:r w:rsidR="005C0036">
        <w:rPr>
          <w:rFonts w:ascii="Arial" w:eastAsiaTheme="minorEastAsia" w:hAnsi="Arial" w:cs="Arial"/>
          <w:color w:val="000000" w:themeColor="text1"/>
          <w:sz w:val="24"/>
          <w:szCs w:val="24"/>
          <w:lang w:eastAsia="en-ZA"/>
        </w:rPr>
        <w:t xml:space="preserve">On 22 August 2006 Monema Properties CC ceded its right, title and interest in terms of the </w:t>
      </w:r>
      <w:r w:rsidR="00A40FA7">
        <w:rPr>
          <w:rFonts w:ascii="Arial" w:eastAsiaTheme="minorEastAsia" w:hAnsi="Arial" w:cs="Arial"/>
          <w:color w:val="000000" w:themeColor="text1"/>
          <w:sz w:val="24"/>
          <w:szCs w:val="24"/>
          <w:lang w:eastAsia="en-ZA"/>
        </w:rPr>
        <w:t>S</w:t>
      </w:r>
      <w:r w:rsidR="005C0036">
        <w:rPr>
          <w:rFonts w:ascii="Arial" w:eastAsiaTheme="minorEastAsia" w:hAnsi="Arial" w:cs="Arial"/>
          <w:color w:val="000000" w:themeColor="text1"/>
          <w:sz w:val="24"/>
          <w:szCs w:val="24"/>
          <w:lang w:eastAsia="en-ZA"/>
        </w:rPr>
        <w:t>ub-</w:t>
      </w:r>
      <w:r w:rsidR="00A40FA7">
        <w:rPr>
          <w:rFonts w:ascii="Arial" w:eastAsiaTheme="minorEastAsia" w:hAnsi="Arial" w:cs="Arial"/>
          <w:color w:val="000000" w:themeColor="text1"/>
          <w:sz w:val="24"/>
          <w:szCs w:val="24"/>
          <w:lang w:eastAsia="en-ZA"/>
        </w:rPr>
        <w:t>L</w:t>
      </w:r>
      <w:r w:rsidR="005C0036">
        <w:rPr>
          <w:rFonts w:ascii="Arial" w:eastAsiaTheme="minorEastAsia" w:hAnsi="Arial" w:cs="Arial"/>
          <w:color w:val="000000" w:themeColor="text1"/>
          <w:sz w:val="24"/>
          <w:szCs w:val="24"/>
          <w:lang w:eastAsia="en-ZA"/>
        </w:rPr>
        <w:t>ease to the Michael Family Trust, Number TMP2502 (the</w:t>
      </w:r>
      <w:r w:rsidR="00013331">
        <w:rPr>
          <w:rFonts w:ascii="Arial" w:eastAsiaTheme="minorEastAsia" w:hAnsi="Arial" w:cs="Arial"/>
          <w:color w:val="000000" w:themeColor="text1"/>
          <w:sz w:val="24"/>
          <w:szCs w:val="24"/>
          <w:lang w:eastAsia="en-ZA"/>
        </w:rPr>
        <w:t xml:space="preserve"> </w:t>
      </w:r>
      <w:r w:rsidR="005C0036">
        <w:rPr>
          <w:rFonts w:ascii="Arial" w:eastAsiaTheme="minorEastAsia" w:hAnsi="Arial" w:cs="Arial"/>
          <w:color w:val="000000" w:themeColor="text1"/>
          <w:sz w:val="24"/>
          <w:szCs w:val="24"/>
          <w:lang w:eastAsia="en-ZA"/>
        </w:rPr>
        <w:t>“</w:t>
      </w:r>
      <w:r w:rsidR="00013331">
        <w:rPr>
          <w:rFonts w:ascii="Arial" w:eastAsiaTheme="minorEastAsia" w:hAnsi="Arial" w:cs="Arial"/>
          <w:color w:val="000000" w:themeColor="text1"/>
          <w:sz w:val="24"/>
          <w:szCs w:val="24"/>
          <w:lang w:eastAsia="en-ZA"/>
        </w:rPr>
        <w:t>Respondent Trust</w:t>
      </w:r>
      <w:r w:rsidR="005C0036">
        <w:rPr>
          <w:rFonts w:ascii="Arial" w:eastAsiaTheme="minorEastAsia" w:hAnsi="Arial" w:cs="Arial"/>
          <w:color w:val="000000" w:themeColor="text1"/>
          <w:sz w:val="24"/>
          <w:szCs w:val="24"/>
          <w:lang w:eastAsia="en-ZA"/>
        </w:rPr>
        <w:t xml:space="preserve">”). The first, second and third respondents are cited in their capacity as the trustees of the </w:t>
      </w:r>
      <w:r w:rsidR="00013331">
        <w:rPr>
          <w:rFonts w:ascii="Arial" w:eastAsiaTheme="minorEastAsia" w:hAnsi="Arial" w:cs="Arial"/>
          <w:color w:val="000000" w:themeColor="text1"/>
          <w:sz w:val="24"/>
          <w:szCs w:val="24"/>
          <w:lang w:eastAsia="en-ZA"/>
        </w:rPr>
        <w:t>Respondent Trust</w:t>
      </w:r>
      <w:r w:rsidR="005C0036">
        <w:rPr>
          <w:rFonts w:ascii="Arial" w:eastAsiaTheme="minorEastAsia" w:hAnsi="Arial" w:cs="Arial"/>
          <w:color w:val="000000" w:themeColor="text1"/>
          <w:sz w:val="24"/>
          <w:szCs w:val="24"/>
          <w:lang w:eastAsia="en-ZA"/>
        </w:rPr>
        <w:t xml:space="preserve">. </w:t>
      </w:r>
    </w:p>
    <w:p w:rsidR="00857C00" w:rsidRDefault="00857C00" w:rsidP="00BC1710">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5C0036" w:rsidRDefault="005C0036" w:rsidP="00BC1710">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[3]</w:t>
      </w:r>
      <w:r>
        <w:rPr>
          <w:rFonts w:ascii="Arial" w:eastAsiaTheme="minorEastAsia" w:hAnsi="Arial" w:cs="Arial"/>
          <w:color w:val="000000" w:themeColor="text1"/>
          <w:sz w:val="24"/>
          <w:szCs w:val="24"/>
          <w:lang w:eastAsia="en-ZA"/>
        </w:rPr>
        <w:tab/>
        <w:t>The fourth respondent is the Mangaung Metropolitan Municipa</w:t>
      </w:r>
      <w:r w:rsidR="00D75212">
        <w:rPr>
          <w:rFonts w:ascii="Arial" w:eastAsiaTheme="minorEastAsia" w:hAnsi="Arial" w:cs="Arial"/>
          <w:color w:val="000000" w:themeColor="text1"/>
          <w:sz w:val="24"/>
          <w:szCs w:val="24"/>
          <w:lang w:eastAsia="en-ZA"/>
        </w:rPr>
        <w:t>l</w:t>
      </w:r>
      <w:r>
        <w:rPr>
          <w:rFonts w:ascii="Arial" w:eastAsiaTheme="minorEastAsia" w:hAnsi="Arial" w:cs="Arial"/>
          <w:color w:val="000000" w:themeColor="text1"/>
          <w:sz w:val="24"/>
          <w:szCs w:val="24"/>
          <w:lang w:eastAsia="en-ZA"/>
        </w:rPr>
        <w:t>ity,</w:t>
      </w:r>
      <w:r w:rsidR="00D76F68">
        <w:rPr>
          <w:rFonts w:ascii="Arial" w:eastAsiaTheme="minorEastAsia" w:hAnsi="Arial" w:cs="Arial"/>
          <w:color w:val="000000" w:themeColor="text1"/>
          <w:sz w:val="24"/>
          <w:szCs w:val="24"/>
          <w:lang w:eastAsia="en-ZA"/>
        </w:rPr>
        <w:t xml:space="preserve"> </w:t>
      </w:r>
      <w:r>
        <w:rPr>
          <w:rFonts w:ascii="Arial" w:eastAsiaTheme="minorEastAsia" w:hAnsi="Arial" w:cs="Arial"/>
          <w:color w:val="000000" w:themeColor="text1"/>
          <w:sz w:val="24"/>
          <w:szCs w:val="24"/>
          <w:lang w:eastAsia="en-ZA"/>
        </w:rPr>
        <w:t xml:space="preserve">against whom no relief is sought. The fourth respondent did not partake in this application. </w:t>
      </w:r>
    </w:p>
    <w:p w:rsidR="00857C00" w:rsidRDefault="00857C00" w:rsidP="00BC1710">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5C0036" w:rsidRDefault="005C0036" w:rsidP="00BC1710">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[4]</w:t>
      </w:r>
      <w:r>
        <w:rPr>
          <w:rFonts w:ascii="Arial" w:eastAsiaTheme="minorEastAsia" w:hAnsi="Arial" w:cs="Arial"/>
          <w:color w:val="000000" w:themeColor="text1"/>
          <w:sz w:val="24"/>
          <w:szCs w:val="24"/>
          <w:lang w:eastAsia="en-ZA"/>
        </w:rPr>
        <w:tab/>
      </w:r>
      <w:r w:rsidR="00D75212">
        <w:rPr>
          <w:rFonts w:ascii="Arial" w:eastAsiaTheme="minorEastAsia" w:hAnsi="Arial" w:cs="Arial"/>
          <w:color w:val="000000" w:themeColor="text1"/>
          <w:sz w:val="24"/>
          <w:szCs w:val="24"/>
          <w:lang w:eastAsia="en-ZA"/>
        </w:rPr>
        <w:t>T</w:t>
      </w:r>
      <w:r>
        <w:rPr>
          <w:rFonts w:ascii="Arial" w:eastAsiaTheme="minorEastAsia" w:hAnsi="Arial" w:cs="Arial"/>
          <w:color w:val="000000" w:themeColor="text1"/>
          <w:sz w:val="24"/>
          <w:szCs w:val="24"/>
          <w:lang w:eastAsia="en-ZA"/>
        </w:rPr>
        <w:t>he fifth respondent is First</w:t>
      </w:r>
      <w:r w:rsidR="00857C00">
        <w:rPr>
          <w:rFonts w:ascii="Arial" w:eastAsiaTheme="minorEastAsia" w:hAnsi="Arial" w:cs="Arial"/>
          <w:color w:val="000000" w:themeColor="text1"/>
          <w:sz w:val="24"/>
          <w:szCs w:val="24"/>
          <w:lang w:eastAsia="en-ZA"/>
        </w:rPr>
        <w:t>R</w:t>
      </w:r>
      <w:r>
        <w:rPr>
          <w:rFonts w:ascii="Arial" w:eastAsiaTheme="minorEastAsia" w:hAnsi="Arial" w:cs="Arial"/>
          <w:color w:val="000000" w:themeColor="text1"/>
          <w:sz w:val="24"/>
          <w:szCs w:val="24"/>
          <w:lang w:eastAsia="en-ZA"/>
        </w:rPr>
        <w:t xml:space="preserve">and Bank Limited </w:t>
      </w:r>
      <w:r w:rsidR="00D76F68">
        <w:rPr>
          <w:rFonts w:ascii="Arial" w:eastAsiaTheme="minorEastAsia" w:hAnsi="Arial" w:cs="Arial"/>
          <w:color w:val="000000" w:themeColor="text1"/>
          <w:sz w:val="24"/>
          <w:szCs w:val="24"/>
          <w:lang w:eastAsia="en-ZA"/>
        </w:rPr>
        <w:t xml:space="preserve">with </w:t>
      </w:r>
      <w:r>
        <w:rPr>
          <w:rFonts w:ascii="Arial" w:eastAsiaTheme="minorEastAsia" w:hAnsi="Arial" w:cs="Arial"/>
          <w:color w:val="000000" w:themeColor="text1"/>
          <w:sz w:val="24"/>
          <w:szCs w:val="24"/>
          <w:lang w:eastAsia="en-ZA"/>
        </w:rPr>
        <w:t>registration number 1929/001225/06</w:t>
      </w:r>
      <w:r w:rsidR="00D75212">
        <w:rPr>
          <w:rFonts w:ascii="Arial" w:eastAsiaTheme="minorEastAsia" w:hAnsi="Arial" w:cs="Arial"/>
          <w:color w:val="000000" w:themeColor="text1"/>
          <w:sz w:val="24"/>
          <w:szCs w:val="24"/>
          <w:lang w:eastAsia="en-ZA"/>
        </w:rPr>
        <w:t xml:space="preserve"> (“FirstRand Bank”)</w:t>
      </w:r>
      <w:r>
        <w:rPr>
          <w:rFonts w:ascii="Arial" w:eastAsiaTheme="minorEastAsia" w:hAnsi="Arial" w:cs="Arial"/>
          <w:color w:val="000000" w:themeColor="text1"/>
          <w:sz w:val="24"/>
          <w:szCs w:val="24"/>
          <w:lang w:eastAsia="en-ZA"/>
        </w:rPr>
        <w:t xml:space="preserve"> </w:t>
      </w:r>
      <w:r w:rsidR="000C1A93">
        <w:rPr>
          <w:rFonts w:ascii="Arial" w:eastAsiaTheme="minorEastAsia" w:hAnsi="Arial" w:cs="Arial"/>
          <w:color w:val="000000" w:themeColor="text1"/>
          <w:sz w:val="24"/>
          <w:szCs w:val="24"/>
          <w:lang w:eastAsia="en-ZA"/>
        </w:rPr>
        <w:t xml:space="preserve">On 28 June 2018 the </w:t>
      </w:r>
      <w:r w:rsidR="00013331">
        <w:rPr>
          <w:rFonts w:ascii="Arial" w:eastAsiaTheme="minorEastAsia" w:hAnsi="Arial" w:cs="Arial"/>
          <w:color w:val="000000" w:themeColor="text1"/>
          <w:sz w:val="24"/>
          <w:szCs w:val="24"/>
          <w:lang w:eastAsia="en-ZA"/>
        </w:rPr>
        <w:t>Respondent Trust</w:t>
      </w:r>
      <w:r w:rsidR="000C1A93">
        <w:rPr>
          <w:rFonts w:ascii="Arial" w:eastAsiaTheme="minorEastAsia" w:hAnsi="Arial" w:cs="Arial"/>
          <w:color w:val="000000" w:themeColor="text1"/>
          <w:sz w:val="24"/>
          <w:szCs w:val="24"/>
          <w:lang w:eastAsia="en-ZA"/>
        </w:rPr>
        <w:t xml:space="preserve"> and </w:t>
      </w:r>
      <w:r w:rsidR="00857C00">
        <w:rPr>
          <w:rFonts w:ascii="Arial" w:eastAsiaTheme="minorEastAsia" w:hAnsi="Arial" w:cs="Arial"/>
          <w:color w:val="000000" w:themeColor="text1"/>
          <w:sz w:val="24"/>
          <w:szCs w:val="24"/>
          <w:lang w:eastAsia="en-ZA"/>
        </w:rPr>
        <w:t>F</w:t>
      </w:r>
      <w:r w:rsidR="000C1A93">
        <w:rPr>
          <w:rFonts w:ascii="Arial" w:eastAsiaTheme="minorEastAsia" w:hAnsi="Arial" w:cs="Arial"/>
          <w:color w:val="000000" w:themeColor="text1"/>
          <w:sz w:val="24"/>
          <w:szCs w:val="24"/>
          <w:lang w:eastAsia="en-ZA"/>
        </w:rPr>
        <w:t>irst</w:t>
      </w:r>
      <w:r w:rsidR="00857C00">
        <w:rPr>
          <w:rFonts w:ascii="Arial" w:eastAsiaTheme="minorEastAsia" w:hAnsi="Arial" w:cs="Arial"/>
          <w:color w:val="000000" w:themeColor="text1"/>
          <w:sz w:val="24"/>
          <w:szCs w:val="24"/>
          <w:lang w:eastAsia="en-ZA"/>
        </w:rPr>
        <w:t>R</w:t>
      </w:r>
      <w:r w:rsidR="000C1A93">
        <w:rPr>
          <w:rFonts w:ascii="Arial" w:eastAsiaTheme="minorEastAsia" w:hAnsi="Arial" w:cs="Arial"/>
          <w:color w:val="000000" w:themeColor="text1"/>
          <w:sz w:val="24"/>
          <w:szCs w:val="24"/>
          <w:lang w:eastAsia="en-ZA"/>
        </w:rPr>
        <w:t xml:space="preserve">and Bank </w:t>
      </w:r>
      <w:r w:rsidR="00857C00">
        <w:rPr>
          <w:rFonts w:ascii="Arial" w:eastAsiaTheme="minorEastAsia" w:hAnsi="Arial" w:cs="Arial"/>
          <w:color w:val="000000" w:themeColor="text1"/>
          <w:sz w:val="24"/>
          <w:szCs w:val="24"/>
          <w:lang w:eastAsia="en-ZA"/>
        </w:rPr>
        <w:t xml:space="preserve">conclude a facility agreement (“the facility agreement”) in terms </w:t>
      </w:r>
      <w:r w:rsidR="008C6515">
        <w:rPr>
          <w:rFonts w:ascii="Arial" w:eastAsiaTheme="minorEastAsia" w:hAnsi="Arial" w:cs="Arial"/>
          <w:color w:val="000000" w:themeColor="text1"/>
          <w:sz w:val="24"/>
          <w:szCs w:val="24"/>
          <w:lang w:eastAsia="en-ZA"/>
        </w:rPr>
        <w:t>where</w:t>
      </w:r>
      <w:r w:rsidR="00857C00">
        <w:rPr>
          <w:rFonts w:ascii="Arial" w:eastAsiaTheme="minorEastAsia" w:hAnsi="Arial" w:cs="Arial"/>
          <w:color w:val="000000" w:themeColor="text1"/>
          <w:sz w:val="24"/>
          <w:szCs w:val="24"/>
          <w:lang w:eastAsia="en-ZA"/>
        </w:rPr>
        <w:t xml:space="preserve">of FirstRand Bank </w:t>
      </w:r>
      <w:r w:rsidR="0007676C">
        <w:rPr>
          <w:rFonts w:ascii="Arial" w:eastAsiaTheme="minorEastAsia" w:hAnsi="Arial" w:cs="Arial"/>
          <w:color w:val="000000" w:themeColor="text1"/>
          <w:sz w:val="24"/>
          <w:szCs w:val="24"/>
          <w:lang w:eastAsia="en-ZA"/>
        </w:rPr>
        <w:t xml:space="preserve">undertook to make a loan facility available to </w:t>
      </w:r>
      <w:r w:rsidR="00D76F68">
        <w:rPr>
          <w:rFonts w:ascii="Arial" w:eastAsiaTheme="minorEastAsia" w:hAnsi="Arial" w:cs="Arial"/>
          <w:color w:val="000000" w:themeColor="text1"/>
          <w:sz w:val="24"/>
          <w:szCs w:val="24"/>
          <w:lang w:eastAsia="en-ZA"/>
        </w:rPr>
        <w:t xml:space="preserve">the Respondent </w:t>
      </w:r>
      <w:r w:rsidR="00D76F68">
        <w:rPr>
          <w:rFonts w:ascii="Arial" w:eastAsiaTheme="minorEastAsia" w:hAnsi="Arial" w:cs="Arial"/>
          <w:color w:val="000000" w:themeColor="text1"/>
          <w:sz w:val="24"/>
          <w:szCs w:val="24"/>
          <w:lang w:eastAsia="en-ZA"/>
        </w:rPr>
        <w:lastRenderedPageBreak/>
        <w:t>Trust</w:t>
      </w:r>
      <w:r w:rsidR="0007676C">
        <w:rPr>
          <w:rFonts w:ascii="Arial" w:eastAsiaTheme="minorEastAsia" w:hAnsi="Arial" w:cs="Arial"/>
          <w:color w:val="000000" w:themeColor="text1"/>
          <w:sz w:val="24"/>
          <w:szCs w:val="24"/>
          <w:lang w:eastAsia="en-ZA"/>
        </w:rPr>
        <w:t>, subject to the fulfilment of various conditions precedent.</w:t>
      </w:r>
      <w:r w:rsidR="008C765E">
        <w:rPr>
          <w:rFonts w:ascii="Arial" w:eastAsiaTheme="minorEastAsia" w:hAnsi="Arial" w:cs="Arial"/>
          <w:color w:val="000000" w:themeColor="text1"/>
          <w:sz w:val="24"/>
          <w:szCs w:val="24"/>
          <w:lang w:eastAsia="en-ZA"/>
        </w:rPr>
        <w:t xml:space="preserve"> </w:t>
      </w:r>
      <w:r w:rsidR="00A40FA7">
        <w:rPr>
          <w:rFonts w:ascii="Arial" w:eastAsiaTheme="minorEastAsia" w:hAnsi="Arial" w:cs="Arial"/>
          <w:color w:val="000000" w:themeColor="text1"/>
          <w:sz w:val="24"/>
          <w:szCs w:val="24"/>
          <w:lang w:eastAsia="en-ZA"/>
        </w:rPr>
        <w:t xml:space="preserve"> It was a condition precedent of the facility agreement, that the </w:t>
      </w:r>
      <w:r w:rsidR="00521CD9">
        <w:rPr>
          <w:rFonts w:ascii="Arial" w:eastAsiaTheme="minorEastAsia" w:hAnsi="Arial" w:cs="Arial"/>
          <w:color w:val="000000" w:themeColor="text1"/>
          <w:sz w:val="24"/>
          <w:szCs w:val="24"/>
          <w:lang w:eastAsia="en-ZA"/>
        </w:rPr>
        <w:t>A</w:t>
      </w:r>
      <w:r w:rsidR="00A40FA7">
        <w:rPr>
          <w:rFonts w:ascii="Arial" w:eastAsiaTheme="minorEastAsia" w:hAnsi="Arial" w:cs="Arial"/>
          <w:color w:val="000000" w:themeColor="text1"/>
          <w:sz w:val="24"/>
          <w:szCs w:val="24"/>
          <w:lang w:eastAsia="en-ZA"/>
        </w:rPr>
        <w:t xml:space="preserve">pplicant Trust needed to consent, </w:t>
      </w:r>
      <w:r w:rsidR="00A40FA7" w:rsidRPr="00A40FA7">
        <w:rPr>
          <w:rFonts w:ascii="Arial" w:eastAsiaTheme="minorEastAsia" w:hAnsi="Arial" w:cs="Arial"/>
          <w:i/>
          <w:color w:val="000000" w:themeColor="text1"/>
          <w:sz w:val="24"/>
          <w:szCs w:val="24"/>
          <w:lang w:eastAsia="en-ZA"/>
        </w:rPr>
        <w:t>inter alia</w:t>
      </w:r>
      <w:r w:rsidR="00A40FA7">
        <w:rPr>
          <w:rFonts w:ascii="Arial" w:eastAsiaTheme="minorEastAsia" w:hAnsi="Arial" w:cs="Arial"/>
          <w:color w:val="000000" w:themeColor="text1"/>
          <w:sz w:val="24"/>
          <w:szCs w:val="24"/>
          <w:lang w:eastAsia="en-ZA"/>
        </w:rPr>
        <w:t>, to the registration of a mortgage bond and a security cession over the Sub-Lease</w:t>
      </w:r>
      <w:r w:rsidR="00BF033D">
        <w:rPr>
          <w:rFonts w:ascii="Arial" w:eastAsiaTheme="minorEastAsia" w:hAnsi="Arial" w:cs="Arial"/>
          <w:color w:val="000000" w:themeColor="text1"/>
          <w:sz w:val="24"/>
          <w:szCs w:val="24"/>
          <w:lang w:eastAsia="en-ZA"/>
        </w:rPr>
        <w:t>.</w:t>
      </w:r>
      <w:r w:rsidR="00A40FA7">
        <w:rPr>
          <w:rFonts w:ascii="Arial" w:eastAsiaTheme="minorEastAsia" w:hAnsi="Arial" w:cs="Arial"/>
          <w:color w:val="000000" w:themeColor="text1"/>
          <w:sz w:val="24"/>
          <w:szCs w:val="24"/>
          <w:lang w:eastAsia="en-ZA"/>
        </w:rPr>
        <w:t xml:space="preserve"> </w:t>
      </w:r>
      <w:r w:rsidR="008C765E">
        <w:rPr>
          <w:rFonts w:ascii="Arial" w:eastAsiaTheme="minorEastAsia" w:hAnsi="Arial" w:cs="Arial"/>
          <w:color w:val="000000" w:themeColor="text1"/>
          <w:sz w:val="24"/>
          <w:szCs w:val="24"/>
          <w:lang w:eastAsia="en-ZA"/>
        </w:rPr>
        <w:t xml:space="preserve">The </w:t>
      </w:r>
      <w:r w:rsidR="00013331">
        <w:rPr>
          <w:rFonts w:ascii="Arial" w:eastAsiaTheme="minorEastAsia" w:hAnsi="Arial" w:cs="Arial"/>
          <w:color w:val="000000" w:themeColor="text1"/>
          <w:sz w:val="24"/>
          <w:szCs w:val="24"/>
          <w:lang w:eastAsia="en-ZA"/>
        </w:rPr>
        <w:t>Respondent Trust</w:t>
      </w:r>
      <w:r w:rsidR="008C765E">
        <w:rPr>
          <w:rFonts w:ascii="Arial" w:eastAsiaTheme="minorEastAsia" w:hAnsi="Arial" w:cs="Arial"/>
          <w:color w:val="000000" w:themeColor="text1"/>
          <w:sz w:val="24"/>
          <w:szCs w:val="24"/>
          <w:lang w:eastAsia="en-ZA"/>
        </w:rPr>
        <w:t xml:space="preserve"> and FirstRand Bank opposes the relief sought by the </w:t>
      </w:r>
      <w:r w:rsidR="00103989">
        <w:rPr>
          <w:rFonts w:ascii="Arial" w:eastAsiaTheme="minorEastAsia" w:hAnsi="Arial" w:cs="Arial"/>
          <w:color w:val="000000" w:themeColor="text1"/>
          <w:sz w:val="24"/>
          <w:szCs w:val="24"/>
          <w:lang w:eastAsia="en-ZA"/>
        </w:rPr>
        <w:t>Applicant Trust</w:t>
      </w:r>
      <w:r w:rsidR="008C765E">
        <w:rPr>
          <w:rFonts w:ascii="Arial" w:eastAsiaTheme="minorEastAsia" w:hAnsi="Arial" w:cs="Arial"/>
          <w:color w:val="000000" w:themeColor="text1"/>
          <w:sz w:val="24"/>
          <w:szCs w:val="24"/>
          <w:lang w:eastAsia="en-ZA"/>
        </w:rPr>
        <w:t xml:space="preserve">. </w:t>
      </w:r>
    </w:p>
    <w:p w:rsidR="0032342D" w:rsidRDefault="0032342D" w:rsidP="00BC1710">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8C765E" w:rsidRPr="0032342D" w:rsidRDefault="0032342D" w:rsidP="00BC1710">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u w:val="single"/>
          <w:lang w:eastAsia="en-ZA"/>
        </w:rPr>
      </w:pPr>
      <w:r>
        <w:rPr>
          <w:rFonts w:ascii="Arial" w:eastAsiaTheme="minorEastAsia" w:hAnsi="Arial" w:cs="Arial"/>
          <w:color w:val="000000" w:themeColor="text1"/>
          <w:sz w:val="24"/>
          <w:szCs w:val="24"/>
          <w:lang w:eastAsia="en-ZA"/>
        </w:rPr>
        <w:tab/>
      </w:r>
      <w:r w:rsidRPr="0032342D">
        <w:rPr>
          <w:rFonts w:ascii="Arial" w:eastAsiaTheme="minorEastAsia" w:hAnsi="Arial" w:cs="Arial"/>
          <w:color w:val="000000" w:themeColor="text1"/>
          <w:sz w:val="24"/>
          <w:szCs w:val="24"/>
          <w:u w:val="single"/>
          <w:lang w:eastAsia="en-ZA"/>
        </w:rPr>
        <w:t>THE CONTRACTUAL RELATIONSHIP.</w:t>
      </w:r>
    </w:p>
    <w:p w:rsidR="004D0088" w:rsidRDefault="0007676C" w:rsidP="004D0088">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[5]</w:t>
      </w:r>
      <w:r>
        <w:rPr>
          <w:rFonts w:ascii="Arial" w:eastAsiaTheme="minorEastAsia" w:hAnsi="Arial" w:cs="Arial"/>
          <w:color w:val="000000" w:themeColor="text1"/>
          <w:sz w:val="24"/>
          <w:szCs w:val="24"/>
          <w:lang w:eastAsia="en-ZA"/>
        </w:rPr>
        <w:tab/>
        <w:t xml:space="preserve">It is the </w:t>
      </w:r>
      <w:r w:rsidR="00103989">
        <w:rPr>
          <w:rFonts w:ascii="Arial" w:eastAsiaTheme="minorEastAsia" w:hAnsi="Arial" w:cs="Arial"/>
          <w:color w:val="000000" w:themeColor="text1"/>
          <w:sz w:val="24"/>
          <w:szCs w:val="24"/>
          <w:lang w:eastAsia="en-ZA"/>
        </w:rPr>
        <w:t>Applicant Trust</w:t>
      </w:r>
      <w:r>
        <w:rPr>
          <w:rFonts w:ascii="Arial" w:eastAsiaTheme="minorEastAsia" w:hAnsi="Arial" w:cs="Arial"/>
          <w:color w:val="000000" w:themeColor="text1"/>
          <w:sz w:val="24"/>
          <w:szCs w:val="24"/>
          <w:lang w:eastAsia="en-ZA"/>
        </w:rPr>
        <w:t xml:space="preserve">’s case that it was entitled to cancel the Sub-Lease agreement concluded between </w:t>
      </w:r>
      <w:r w:rsidR="00521CD9">
        <w:rPr>
          <w:rFonts w:ascii="Arial" w:eastAsiaTheme="minorEastAsia" w:hAnsi="Arial" w:cs="Arial"/>
          <w:color w:val="000000" w:themeColor="text1"/>
          <w:sz w:val="24"/>
          <w:szCs w:val="24"/>
          <w:lang w:eastAsia="en-ZA"/>
        </w:rPr>
        <w:t>i</w:t>
      </w:r>
      <w:r w:rsidR="00AC3B07">
        <w:rPr>
          <w:rFonts w:ascii="Arial" w:eastAsiaTheme="minorEastAsia" w:hAnsi="Arial" w:cs="Arial"/>
          <w:color w:val="000000" w:themeColor="text1"/>
          <w:sz w:val="24"/>
          <w:szCs w:val="24"/>
          <w:lang w:eastAsia="en-ZA"/>
        </w:rPr>
        <w:t>t and the Respondent Trust</w:t>
      </w:r>
      <w:r>
        <w:rPr>
          <w:rFonts w:ascii="Arial" w:eastAsiaTheme="minorEastAsia" w:hAnsi="Arial" w:cs="Arial"/>
          <w:color w:val="000000" w:themeColor="text1"/>
          <w:sz w:val="24"/>
          <w:szCs w:val="24"/>
          <w:lang w:eastAsia="en-ZA"/>
        </w:rPr>
        <w:t xml:space="preserve"> on seven days’ written notice and that it, in fact, afforded the </w:t>
      </w:r>
      <w:r w:rsidR="00013331">
        <w:rPr>
          <w:rFonts w:ascii="Arial" w:eastAsiaTheme="minorEastAsia" w:hAnsi="Arial" w:cs="Arial"/>
          <w:color w:val="000000" w:themeColor="text1"/>
          <w:sz w:val="24"/>
          <w:szCs w:val="24"/>
          <w:lang w:eastAsia="en-ZA"/>
        </w:rPr>
        <w:t>Respondent Trust</w:t>
      </w:r>
      <w:r>
        <w:rPr>
          <w:rFonts w:ascii="Arial" w:eastAsiaTheme="minorEastAsia" w:hAnsi="Arial" w:cs="Arial"/>
          <w:color w:val="000000" w:themeColor="text1"/>
          <w:sz w:val="24"/>
          <w:szCs w:val="24"/>
          <w:lang w:eastAsia="en-ZA"/>
        </w:rPr>
        <w:t xml:space="preserve"> </w:t>
      </w:r>
      <w:r w:rsidR="00AC3B07">
        <w:rPr>
          <w:rFonts w:ascii="Arial" w:eastAsiaTheme="minorEastAsia" w:hAnsi="Arial" w:cs="Arial"/>
          <w:color w:val="000000" w:themeColor="text1"/>
          <w:sz w:val="24"/>
          <w:szCs w:val="24"/>
          <w:lang w:eastAsia="en-ZA"/>
        </w:rPr>
        <w:t>more than 30</w:t>
      </w:r>
      <w:r>
        <w:rPr>
          <w:rFonts w:ascii="Arial" w:eastAsiaTheme="minorEastAsia" w:hAnsi="Arial" w:cs="Arial"/>
          <w:color w:val="000000" w:themeColor="text1"/>
          <w:sz w:val="24"/>
          <w:szCs w:val="24"/>
          <w:lang w:eastAsia="en-ZA"/>
        </w:rPr>
        <w:t xml:space="preserve"> days’ notice to remedy its default thereof.</w:t>
      </w:r>
      <w:r w:rsidR="004D0088">
        <w:rPr>
          <w:rFonts w:ascii="Arial" w:eastAsiaTheme="minorEastAsia" w:hAnsi="Arial" w:cs="Arial"/>
          <w:color w:val="000000" w:themeColor="text1"/>
          <w:sz w:val="24"/>
          <w:szCs w:val="24"/>
          <w:lang w:eastAsia="en-ZA"/>
        </w:rPr>
        <w:t xml:space="preserve">  The </w:t>
      </w:r>
      <w:r w:rsidR="00103989">
        <w:rPr>
          <w:rFonts w:ascii="Arial" w:eastAsiaTheme="minorEastAsia" w:hAnsi="Arial" w:cs="Arial"/>
          <w:color w:val="000000" w:themeColor="text1"/>
          <w:sz w:val="24"/>
          <w:szCs w:val="24"/>
          <w:lang w:eastAsia="en-ZA"/>
        </w:rPr>
        <w:t>Applicant Trust</w:t>
      </w:r>
      <w:r w:rsidR="004D0088">
        <w:rPr>
          <w:rFonts w:ascii="Arial" w:eastAsiaTheme="minorEastAsia" w:hAnsi="Arial" w:cs="Arial"/>
          <w:color w:val="000000" w:themeColor="text1"/>
          <w:sz w:val="24"/>
          <w:szCs w:val="24"/>
          <w:lang w:eastAsia="en-ZA"/>
        </w:rPr>
        <w:t xml:space="preserve"> moves for a declaratory order in the following terms:</w:t>
      </w:r>
    </w:p>
    <w:p w:rsidR="008C765E" w:rsidRDefault="008C765E" w:rsidP="004D0088">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4D0088" w:rsidRDefault="004D0088" w:rsidP="004D0088">
      <w:pPr>
        <w:widowControl w:val="0"/>
        <w:kinsoku w:val="0"/>
        <w:overflowPunct w:val="0"/>
        <w:autoSpaceDE w:val="0"/>
        <w:autoSpaceDN w:val="0"/>
        <w:adjustRightInd w:val="0"/>
        <w:spacing w:after="0" w:line="360" w:lineRule="auto"/>
        <w:ind w:left="1418" w:hanging="567"/>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 xml:space="preserve">“5.1  </w:t>
      </w:r>
      <w:r>
        <w:rPr>
          <w:rFonts w:ascii="Arial" w:eastAsiaTheme="minorEastAsia" w:hAnsi="Arial" w:cs="Arial"/>
          <w:color w:val="000000" w:themeColor="text1"/>
          <w:sz w:val="24"/>
          <w:szCs w:val="24"/>
          <w:lang w:eastAsia="en-ZA"/>
        </w:rPr>
        <w:tab/>
        <w:t>It be declared that the Notarial Sub-Lease under registration numberK138/199</w:t>
      </w:r>
      <w:r w:rsidR="00AC3B07">
        <w:rPr>
          <w:rFonts w:ascii="Arial" w:eastAsiaTheme="minorEastAsia" w:hAnsi="Arial" w:cs="Arial"/>
          <w:color w:val="000000" w:themeColor="text1"/>
          <w:sz w:val="24"/>
          <w:szCs w:val="24"/>
          <w:lang w:eastAsia="en-ZA"/>
        </w:rPr>
        <w:t>9</w:t>
      </w:r>
      <w:r w:rsidR="00BF033D">
        <w:rPr>
          <w:rFonts w:ascii="Arial" w:eastAsiaTheme="minorEastAsia" w:hAnsi="Arial" w:cs="Arial"/>
          <w:color w:val="000000" w:themeColor="text1"/>
          <w:sz w:val="24"/>
          <w:szCs w:val="24"/>
          <w:lang w:eastAsia="en-ZA"/>
        </w:rPr>
        <w:t xml:space="preserve">L, as amended by </w:t>
      </w:r>
      <w:r w:rsidR="00521CD9">
        <w:rPr>
          <w:rFonts w:ascii="Arial" w:eastAsiaTheme="minorEastAsia" w:hAnsi="Arial" w:cs="Arial"/>
          <w:color w:val="000000" w:themeColor="text1"/>
          <w:sz w:val="24"/>
          <w:szCs w:val="24"/>
          <w:lang w:eastAsia="en-ZA"/>
        </w:rPr>
        <w:t>the</w:t>
      </w:r>
      <w:r>
        <w:rPr>
          <w:rFonts w:ascii="Arial" w:eastAsiaTheme="minorEastAsia" w:hAnsi="Arial" w:cs="Arial"/>
          <w:color w:val="000000" w:themeColor="text1"/>
          <w:sz w:val="24"/>
          <w:szCs w:val="24"/>
          <w:lang w:eastAsia="en-ZA"/>
        </w:rPr>
        <w:t xml:space="preserve"> Notarial Addendum thereto dated 17 August 2006 under registration number K968/2006S and the Agreement of Sub-Lease dated 21 February 2008 with its addendum dated 18 August 2014 between the </w:t>
      </w:r>
      <w:r w:rsidR="008C765E">
        <w:rPr>
          <w:rFonts w:ascii="Arial" w:eastAsiaTheme="minorEastAsia" w:hAnsi="Arial" w:cs="Arial"/>
          <w:color w:val="000000" w:themeColor="text1"/>
          <w:sz w:val="24"/>
          <w:szCs w:val="24"/>
          <w:lang w:eastAsia="en-ZA"/>
        </w:rPr>
        <w:t>S</w:t>
      </w:r>
      <w:r>
        <w:rPr>
          <w:rFonts w:ascii="Arial" w:eastAsiaTheme="minorEastAsia" w:hAnsi="Arial" w:cs="Arial"/>
          <w:color w:val="000000" w:themeColor="text1"/>
          <w:sz w:val="24"/>
          <w:szCs w:val="24"/>
          <w:lang w:eastAsia="en-ZA"/>
        </w:rPr>
        <w:t>kougronde Ontwikkelings Trust, number TMP2799(B) and the Michael Family Trust, number TMP2502, are cancelled.</w:t>
      </w:r>
    </w:p>
    <w:p w:rsidR="008C765E" w:rsidRDefault="008C765E" w:rsidP="004D0088">
      <w:pPr>
        <w:widowControl w:val="0"/>
        <w:kinsoku w:val="0"/>
        <w:overflowPunct w:val="0"/>
        <w:autoSpaceDE w:val="0"/>
        <w:autoSpaceDN w:val="0"/>
        <w:adjustRightInd w:val="0"/>
        <w:spacing w:after="0" w:line="360" w:lineRule="auto"/>
        <w:ind w:left="1418" w:hanging="567"/>
        <w:jc w:val="both"/>
        <w:rPr>
          <w:rFonts w:ascii="Arial" w:eastAsiaTheme="minorEastAsia" w:hAnsi="Arial" w:cs="Arial"/>
          <w:color w:val="000000" w:themeColor="text1"/>
          <w:sz w:val="24"/>
          <w:szCs w:val="24"/>
          <w:lang w:eastAsia="en-ZA"/>
        </w:rPr>
      </w:pPr>
    </w:p>
    <w:p w:rsidR="004D0088" w:rsidRDefault="004D0088" w:rsidP="004D0088">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ab/>
        <w:t>5.2</w:t>
      </w:r>
      <w:r>
        <w:rPr>
          <w:rFonts w:ascii="Arial" w:eastAsiaTheme="minorEastAsia" w:hAnsi="Arial" w:cs="Arial"/>
          <w:color w:val="000000" w:themeColor="text1"/>
          <w:sz w:val="24"/>
          <w:szCs w:val="24"/>
          <w:lang w:eastAsia="en-ZA"/>
        </w:rPr>
        <w:tab/>
        <w:t>The First- to Third Respondents (The Micha</w:t>
      </w:r>
      <w:r w:rsidR="008C765E">
        <w:rPr>
          <w:rFonts w:ascii="Arial" w:eastAsiaTheme="minorEastAsia" w:hAnsi="Arial" w:cs="Arial"/>
          <w:color w:val="000000" w:themeColor="text1"/>
          <w:sz w:val="24"/>
          <w:szCs w:val="24"/>
          <w:lang w:eastAsia="en-ZA"/>
        </w:rPr>
        <w:t>e</w:t>
      </w:r>
      <w:r>
        <w:rPr>
          <w:rFonts w:ascii="Arial" w:eastAsiaTheme="minorEastAsia" w:hAnsi="Arial" w:cs="Arial"/>
          <w:color w:val="000000" w:themeColor="text1"/>
          <w:sz w:val="24"/>
          <w:szCs w:val="24"/>
          <w:lang w:eastAsia="en-ZA"/>
        </w:rPr>
        <w:t xml:space="preserve">l Family Trust) be ordered to </w:t>
      </w:r>
      <w:r>
        <w:rPr>
          <w:rFonts w:ascii="Arial" w:eastAsiaTheme="minorEastAsia" w:hAnsi="Arial" w:cs="Arial"/>
          <w:color w:val="000000" w:themeColor="text1"/>
          <w:sz w:val="24"/>
          <w:szCs w:val="24"/>
          <w:lang w:eastAsia="en-ZA"/>
        </w:rPr>
        <w:tab/>
        <w:t>fort</w:t>
      </w:r>
      <w:r w:rsidR="008C765E">
        <w:rPr>
          <w:rFonts w:ascii="Arial" w:eastAsiaTheme="minorEastAsia" w:hAnsi="Arial" w:cs="Arial"/>
          <w:color w:val="000000" w:themeColor="text1"/>
          <w:sz w:val="24"/>
          <w:szCs w:val="24"/>
          <w:lang w:eastAsia="en-ZA"/>
        </w:rPr>
        <w:t>h</w:t>
      </w:r>
      <w:r>
        <w:rPr>
          <w:rFonts w:ascii="Arial" w:eastAsiaTheme="minorEastAsia" w:hAnsi="Arial" w:cs="Arial"/>
          <w:color w:val="000000" w:themeColor="text1"/>
          <w:sz w:val="24"/>
          <w:szCs w:val="24"/>
          <w:lang w:eastAsia="en-ZA"/>
        </w:rPr>
        <w:t>with vacate, which shall include the performance of all actions germane to</w:t>
      </w:r>
      <w:r w:rsidR="008C765E">
        <w:rPr>
          <w:rFonts w:ascii="Arial" w:eastAsiaTheme="minorEastAsia" w:hAnsi="Arial" w:cs="Arial"/>
          <w:color w:val="000000" w:themeColor="text1"/>
          <w:sz w:val="24"/>
          <w:szCs w:val="24"/>
          <w:lang w:eastAsia="en-ZA"/>
        </w:rPr>
        <w:t xml:space="preserve"> </w:t>
      </w:r>
      <w:r w:rsidR="008C765E">
        <w:rPr>
          <w:rFonts w:ascii="Arial" w:eastAsiaTheme="minorEastAsia" w:hAnsi="Arial" w:cs="Arial"/>
          <w:color w:val="000000" w:themeColor="text1"/>
          <w:sz w:val="24"/>
          <w:szCs w:val="24"/>
          <w:lang w:eastAsia="en-ZA"/>
        </w:rPr>
        <w:tab/>
        <w:t>relinquishing effective control over the property, whether as sub-le</w:t>
      </w:r>
      <w:r w:rsidR="00521CD9">
        <w:rPr>
          <w:rFonts w:ascii="Arial" w:eastAsiaTheme="minorEastAsia" w:hAnsi="Arial" w:cs="Arial"/>
          <w:color w:val="000000" w:themeColor="text1"/>
          <w:sz w:val="24"/>
          <w:szCs w:val="24"/>
          <w:lang w:eastAsia="en-ZA"/>
        </w:rPr>
        <w:t>ssee</w:t>
      </w:r>
      <w:r w:rsidR="008C765E">
        <w:rPr>
          <w:rFonts w:ascii="Arial" w:eastAsiaTheme="minorEastAsia" w:hAnsi="Arial" w:cs="Arial"/>
          <w:color w:val="000000" w:themeColor="text1"/>
          <w:sz w:val="24"/>
          <w:szCs w:val="24"/>
          <w:lang w:eastAsia="en-ZA"/>
        </w:rPr>
        <w:t>, sub-</w:t>
      </w:r>
      <w:r w:rsidR="00EA14FC">
        <w:rPr>
          <w:rFonts w:ascii="Arial" w:eastAsiaTheme="minorEastAsia" w:hAnsi="Arial" w:cs="Arial"/>
          <w:color w:val="000000" w:themeColor="text1"/>
          <w:sz w:val="24"/>
          <w:szCs w:val="24"/>
          <w:lang w:eastAsia="en-ZA"/>
        </w:rPr>
        <w:tab/>
      </w:r>
      <w:r w:rsidR="008C765E">
        <w:rPr>
          <w:rFonts w:ascii="Arial" w:eastAsiaTheme="minorEastAsia" w:hAnsi="Arial" w:cs="Arial"/>
          <w:color w:val="000000" w:themeColor="text1"/>
          <w:sz w:val="24"/>
          <w:szCs w:val="24"/>
          <w:lang w:eastAsia="en-ZA"/>
        </w:rPr>
        <w:t>sub-</w:t>
      </w:r>
      <w:r w:rsidR="008C765E">
        <w:rPr>
          <w:rFonts w:ascii="Arial" w:eastAsiaTheme="minorEastAsia" w:hAnsi="Arial" w:cs="Arial"/>
          <w:color w:val="000000" w:themeColor="text1"/>
          <w:sz w:val="24"/>
          <w:szCs w:val="24"/>
          <w:lang w:eastAsia="en-ZA"/>
        </w:rPr>
        <w:tab/>
        <w:t>lessor, lessor, beneficial occupier or account</w:t>
      </w:r>
      <w:r w:rsidR="00AC3B07">
        <w:rPr>
          <w:rFonts w:ascii="Arial" w:eastAsiaTheme="minorEastAsia" w:hAnsi="Arial" w:cs="Arial"/>
          <w:color w:val="000000" w:themeColor="text1"/>
          <w:sz w:val="24"/>
          <w:szCs w:val="24"/>
          <w:lang w:eastAsia="en-ZA"/>
        </w:rPr>
        <w:t xml:space="preserve"> </w:t>
      </w:r>
      <w:r w:rsidR="008C765E">
        <w:rPr>
          <w:rFonts w:ascii="Arial" w:eastAsiaTheme="minorEastAsia" w:hAnsi="Arial" w:cs="Arial"/>
          <w:color w:val="000000" w:themeColor="text1"/>
          <w:sz w:val="24"/>
          <w:szCs w:val="24"/>
          <w:lang w:eastAsia="en-ZA"/>
        </w:rPr>
        <w:t xml:space="preserve">holder </w:t>
      </w:r>
      <w:r w:rsidR="008C765E" w:rsidRPr="00AC3B07">
        <w:rPr>
          <w:rFonts w:ascii="Arial" w:eastAsiaTheme="minorEastAsia" w:hAnsi="Arial" w:cs="Arial"/>
          <w:i/>
          <w:color w:val="000000" w:themeColor="text1"/>
          <w:sz w:val="24"/>
          <w:szCs w:val="24"/>
          <w:lang w:eastAsia="en-ZA"/>
        </w:rPr>
        <w:t>vis a vis</w:t>
      </w:r>
      <w:r w:rsidR="008C765E">
        <w:rPr>
          <w:rFonts w:ascii="Arial" w:eastAsiaTheme="minorEastAsia" w:hAnsi="Arial" w:cs="Arial"/>
          <w:color w:val="000000" w:themeColor="text1"/>
          <w:sz w:val="24"/>
          <w:szCs w:val="24"/>
          <w:lang w:eastAsia="en-ZA"/>
        </w:rPr>
        <w:t xml:space="preserve"> the Fourth </w:t>
      </w:r>
      <w:r w:rsidR="008C765E">
        <w:rPr>
          <w:rFonts w:ascii="Arial" w:eastAsiaTheme="minorEastAsia" w:hAnsi="Arial" w:cs="Arial"/>
          <w:color w:val="000000" w:themeColor="text1"/>
          <w:sz w:val="24"/>
          <w:szCs w:val="24"/>
          <w:lang w:eastAsia="en-ZA"/>
        </w:rPr>
        <w:tab/>
        <w:t xml:space="preserve">Respondent, and including taking any and all necessary steps to cause the </w:t>
      </w:r>
      <w:r w:rsidR="008C765E">
        <w:rPr>
          <w:rFonts w:ascii="Arial" w:eastAsiaTheme="minorEastAsia" w:hAnsi="Arial" w:cs="Arial"/>
          <w:color w:val="000000" w:themeColor="text1"/>
          <w:sz w:val="24"/>
          <w:szCs w:val="24"/>
          <w:lang w:eastAsia="en-ZA"/>
        </w:rPr>
        <w:tab/>
        <w:t xml:space="preserve">cancellation of the </w:t>
      </w:r>
      <w:r w:rsidR="00377025">
        <w:rPr>
          <w:rFonts w:ascii="Arial" w:eastAsiaTheme="minorEastAsia" w:hAnsi="Arial" w:cs="Arial"/>
          <w:color w:val="000000" w:themeColor="text1"/>
          <w:sz w:val="24"/>
          <w:szCs w:val="24"/>
          <w:lang w:eastAsia="en-ZA"/>
        </w:rPr>
        <w:t>s</w:t>
      </w:r>
      <w:r w:rsidR="008C765E">
        <w:rPr>
          <w:rFonts w:ascii="Arial" w:eastAsiaTheme="minorEastAsia" w:hAnsi="Arial" w:cs="Arial"/>
          <w:color w:val="000000" w:themeColor="text1"/>
          <w:sz w:val="24"/>
          <w:szCs w:val="24"/>
          <w:lang w:eastAsia="en-ZA"/>
        </w:rPr>
        <w:t xml:space="preserve">ub-sub lease agreements they have concluded with any </w:t>
      </w:r>
      <w:r w:rsidR="008C765E">
        <w:rPr>
          <w:rFonts w:ascii="Arial" w:eastAsiaTheme="minorEastAsia" w:hAnsi="Arial" w:cs="Arial"/>
          <w:color w:val="000000" w:themeColor="text1"/>
          <w:sz w:val="24"/>
          <w:szCs w:val="24"/>
          <w:lang w:eastAsia="en-ZA"/>
        </w:rPr>
        <w:tab/>
        <w:t xml:space="preserve">third party, in respect of the property defined as the “Premises” in the Notarial </w:t>
      </w:r>
      <w:r w:rsidR="008C765E">
        <w:rPr>
          <w:rFonts w:ascii="Arial" w:eastAsiaTheme="minorEastAsia" w:hAnsi="Arial" w:cs="Arial"/>
          <w:color w:val="000000" w:themeColor="text1"/>
          <w:sz w:val="24"/>
          <w:szCs w:val="24"/>
          <w:lang w:eastAsia="en-ZA"/>
        </w:rPr>
        <w:tab/>
        <w:t xml:space="preserve">Sub-Lease under a registration number K138/1999L and the subsequent </w:t>
      </w:r>
      <w:r w:rsidR="008C765E">
        <w:rPr>
          <w:rFonts w:ascii="Arial" w:eastAsiaTheme="minorEastAsia" w:hAnsi="Arial" w:cs="Arial"/>
          <w:color w:val="000000" w:themeColor="text1"/>
          <w:sz w:val="24"/>
          <w:szCs w:val="24"/>
          <w:lang w:eastAsia="en-ZA"/>
        </w:rPr>
        <w:tab/>
        <w:t xml:space="preserve">Agreement of Sub-Lease dated 21 February 2008 and defined as “additional </w:t>
      </w:r>
      <w:r w:rsidR="008C765E">
        <w:rPr>
          <w:rFonts w:ascii="Arial" w:eastAsiaTheme="minorEastAsia" w:hAnsi="Arial" w:cs="Arial"/>
          <w:color w:val="000000" w:themeColor="text1"/>
          <w:sz w:val="24"/>
          <w:szCs w:val="24"/>
          <w:lang w:eastAsia="en-ZA"/>
        </w:rPr>
        <w:tab/>
        <w:t>premises” in the addendum dated 18 August 2014 to the latter to agreement.</w:t>
      </w:r>
    </w:p>
    <w:p w:rsidR="008C765E" w:rsidRDefault="008C765E" w:rsidP="004D0088">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8C765E" w:rsidRDefault="008C765E" w:rsidP="004D0088">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ab/>
        <w:t>5.3</w:t>
      </w:r>
      <w:r>
        <w:rPr>
          <w:rFonts w:ascii="Arial" w:eastAsiaTheme="minorEastAsia" w:hAnsi="Arial" w:cs="Arial"/>
          <w:color w:val="000000" w:themeColor="text1"/>
          <w:sz w:val="24"/>
          <w:szCs w:val="24"/>
          <w:lang w:eastAsia="en-ZA"/>
        </w:rPr>
        <w:tab/>
        <w:t xml:space="preserve">The First- to Third Respondents (The Michael Family Trust), be ordered to pay </w:t>
      </w:r>
      <w:r>
        <w:rPr>
          <w:rFonts w:ascii="Arial" w:eastAsiaTheme="minorEastAsia" w:hAnsi="Arial" w:cs="Arial"/>
          <w:color w:val="000000" w:themeColor="text1"/>
          <w:sz w:val="24"/>
          <w:szCs w:val="24"/>
          <w:lang w:eastAsia="en-ZA"/>
        </w:rPr>
        <w:tab/>
        <w:t>the costs of this application on attorney and client scale.”</w:t>
      </w:r>
    </w:p>
    <w:p w:rsidR="008C765E" w:rsidRDefault="008C765E" w:rsidP="004D0088">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8C765E" w:rsidRDefault="008C765E" w:rsidP="004D0088">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lastRenderedPageBreak/>
        <w:t>[6]</w:t>
      </w:r>
      <w:r w:rsidR="000A11D6">
        <w:rPr>
          <w:rFonts w:ascii="Arial" w:eastAsiaTheme="minorEastAsia" w:hAnsi="Arial" w:cs="Arial"/>
          <w:color w:val="000000" w:themeColor="text1"/>
          <w:sz w:val="24"/>
          <w:szCs w:val="24"/>
          <w:lang w:eastAsia="en-ZA"/>
        </w:rPr>
        <w:tab/>
        <w:t xml:space="preserve">The </w:t>
      </w:r>
      <w:r w:rsidR="00103989">
        <w:rPr>
          <w:rFonts w:ascii="Arial" w:eastAsiaTheme="minorEastAsia" w:hAnsi="Arial" w:cs="Arial"/>
          <w:color w:val="000000" w:themeColor="text1"/>
          <w:sz w:val="24"/>
          <w:szCs w:val="24"/>
          <w:lang w:eastAsia="en-ZA"/>
        </w:rPr>
        <w:t>Applicant Trust</w:t>
      </w:r>
      <w:r w:rsidR="000A11D6">
        <w:rPr>
          <w:rFonts w:ascii="Arial" w:eastAsiaTheme="minorEastAsia" w:hAnsi="Arial" w:cs="Arial"/>
          <w:color w:val="000000" w:themeColor="text1"/>
          <w:sz w:val="24"/>
          <w:szCs w:val="24"/>
          <w:lang w:eastAsia="en-ZA"/>
        </w:rPr>
        <w:t xml:space="preserve"> and the </w:t>
      </w:r>
      <w:r w:rsidR="00013331">
        <w:rPr>
          <w:rFonts w:ascii="Arial" w:eastAsiaTheme="minorEastAsia" w:hAnsi="Arial" w:cs="Arial"/>
          <w:color w:val="000000" w:themeColor="text1"/>
          <w:sz w:val="24"/>
          <w:szCs w:val="24"/>
          <w:lang w:eastAsia="en-ZA"/>
        </w:rPr>
        <w:t>Respondent Trust</w:t>
      </w:r>
      <w:r w:rsidR="000A11D6">
        <w:rPr>
          <w:rFonts w:ascii="Arial" w:eastAsiaTheme="minorEastAsia" w:hAnsi="Arial" w:cs="Arial"/>
          <w:color w:val="000000" w:themeColor="text1"/>
          <w:sz w:val="24"/>
          <w:szCs w:val="24"/>
          <w:lang w:eastAsia="en-ZA"/>
        </w:rPr>
        <w:t xml:space="preserve"> were, from 5 September 2006, </w:t>
      </w:r>
      <w:r w:rsidR="00AC3B07">
        <w:rPr>
          <w:rFonts w:ascii="Arial" w:eastAsiaTheme="minorEastAsia" w:hAnsi="Arial" w:cs="Arial"/>
          <w:color w:val="000000" w:themeColor="text1"/>
          <w:sz w:val="24"/>
          <w:szCs w:val="24"/>
          <w:lang w:eastAsia="en-ZA"/>
        </w:rPr>
        <w:t>c</w:t>
      </w:r>
      <w:r w:rsidR="000A11D6">
        <w:rPr>
          <w:rFonts w:ascii="Arial" w:eastAsiaTheme="minorEastAsia" w:hAnsi="Arial" w:cs="Arial"/>
          <w:color w:val="000000" w:themeColor="text1"/>
          <w:sz w:val="24"/>
          <w:szCs w:val="24"/>
          <w:lang w:eastAsia="en-ZA"/>
        </w:rPr>
        <w:t>ontractual counterparts in terms of the Sub-Lease</w:t>
      </w:r>
      <w:r w:rsidR="00ED6E0B">
        <w:rPr>
          <w:rFonts w:ascii="Arial" w:eastAsiaTheme="minorEastAsia" w:hAnsi="Arial" w:cs="Arial"/>
          <w:color w:val="000000" w:themeColor="text1"/>
          <w:sz w:val="24"/>
          <w:szCs w:val="24"/>
          <w:lang w:eastAsia="en-ZA"/>
        </w:rPr>
        <w:t>.   The lease period would endure until the date, one day prior to the date of commencement of the lease in the year 2049, on which date the Sub-</w:t>
      </w:r>
      <w:r w:rsidR="00377025">
        <w:rPr>
          <w:rFonts w:ascii="Arial" w:eastAsiaTheme="minorEastAsia" w:hAnsi="Arial" w:cs="Arial"/>
          <w:color w:val="000000" w:themeColor="text1"/>
          <w:sz w:val="24"/>
          <w:szCs w:val="24"/>
          <w:lang w:eastAsia="en-ZA"/>
        </w:rPr>
        <w:t>L</w:t>
      </w:r>
      <w:r w:rsidR="00ED6E0B">
        <w:rPr>
          <w:rFonts w:ascii="Arial" w:eastAsiaTheme="minorEastAsia" w:hAnsi="Arial" w:cs="Arial"/>
          <w:color w:val="000000" w:themeColor="text1"/>
          <w:sz w:val="24"/>
          <w:szCs w:val="24"/>
          <w:lang w:eastAsia="en-ZA"/>
        </w:rPr>
        <w:t>essee undertakes to vacate the premises and hand undisturbed occupation and possession thereof to the Sub-Lessor</w:t>
      </w:r>
      <w:r w:rsidR="00AC3B07">
        <w:rPr>
          <w:rFonts w:ascii="Arial" w:eastAsiaTheme="minorEastAsia" w:hAnsi="Arial" w:cs="Arial"/>
          <w:color w:val="000000" w:themeColor="text1"/>
          <w:sz w:val="24"/>
          <w:szCs w:val="24"/>
          <w:lang w:eastAsia="en-ZA"/>
        </w:rPr>
        <w:t xml:space="preserve">, the </w:t>
      </w:r>
      <w:r w:rsidR="00076D64">
        <w:rPr>
          <w:rFonts w:ascii="Arial" w:eastAsiaTheme="minorEastAsia" w:hAnsi="Arial" w:cs="Arial"/>
          <w:color w:val="000000" w:themeColor="text1"/>
          <w:sz w:val="24"/>
          <w:szCs w:val="24"/>
          <w:lang w:eastAsia="en-ZA"/>
        </w:rPr>
        <w:t>Applicant Trust</w:t>
      </w:r>
      <w:r w:rsidR="00ED6E0B">
        <w:rPr>
          <w:rFonts w:ascii="Arial" w:eastAsiaTheme="minorEastAsia" w:hAnsi="Arial" w:cs="Arial"/>
          <w:color w:val="000000" w:themeColor="text1"/>
          <w:sz w:val="24"/>
          <w:szCs w:val="24"/>
          <w:lang w:eastAsia="en-ZA"/>
        </w:rPr>
        <w:t>.</w:t>
      </w:r>
      <w:r w:rsidR="0032342D">
        <w:rPr>
          <w:rFonts w:ascii="Arial" w:eastAsiaTheme="minorEastAsia" w:hAnsi="Arial" w:cs="Arial"/>
          <w:color w:val="000000" w:themeColor="text1"/>
          <w:sz w:val="24"/>
          <w:szCs w:val="24"/>
          <w:lang w:eastAsia="en-ZA"/>
        </w:rPr>
        <w:t xml:space="preserve"> </w:t>
      </w:r>
      <w:r w:rsidR="00076D64">
        <w:rPr>
          <w:rFonts w:ascii="Arial" w:eastAsiaTheme="minorEastAsia" w:hAnsi="Arial" w:cs="Arial"/>
          <w:color w:val="000000" w:themeColor="text1"/>
          <w:sz w:val="24"/>
          <w:szCs w:val="24"/>
          <w:lang w:eastAsia="en-ZA"/>
        </w:rPr>
        <w:t xml:space="preserve"> The Sub-Lease was amended</w:t>
      </w:r>
      <w:r w:rsidR="00A8190B">
        <w:rPr>
          <w:rFonts w:ascii="Arial" w:eastAsiaTheme="minorEastAsia" w:hAnsi="Arial" w:cs="Arial"/>
          <w:color w:val="000000" w:themeColor="text1"/>
          <w:sz w:val="24"/>
          <w:szCs w:val="24"/>
          <w:lang w:eastAsia="en-ZA"/>
        </w:rPr>
        <w:t>,</w:t>
      </w:r>
      <w:r w:rsidR="00076D64">
        <w:rPr>
          <w:rFonts w:ascii="Arial" w:eastAsiaTheme="minorEastAsia" w:hAnsi="Arial" w:cs="Arial"/>
          <w:color w:val="000000" w:themeColor="text1"/>
          <w:sz w:val="24"/>
          <w:szCs w:val="24"/>
          <w:lang w:eastAsia="en-ZA"/>
        </w:rPr>
        <w:t xml:space="preserve"> to include an extension of the parking areas.</w:t>
      </w:r>
      <w:r w:rsidR="00C91E75">
        <w:rPr>
          <w:rFonts w:ascii="Arial" w:eastAsiaTheme="minorEastAsia" w:hAnsi="Arial" w:cs="Arial"/>
          <w:color w:val="000000" w:themeColor="text1"/>
          <w:sz w:val="24"/>
          <w:szCs w:val="24"/>
          <w:lang w:eastAsia="en-ZA"/>
        </w:rPr>
        <w:t xml:space="preserve">    The amendments to the Sub-Lease are not material to the present application.</w:t>
      </w:r>
    </w:p>
    <w:p w:rsidR="00A8190B" w:rsidRDefault="00A8190B" w:rsidP="00BC1710">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855E7D" w:rsidRDefault="00855E7D" w:rsidP="00BC1710">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[7]</w:t>
      </w:r>
      <w:r>
        <w:rPr>
          <w:rFonts w:ascii="Arial" w:eastAsiaTheme="minorEastAsia" w:hAnsi="Arial" w:cs="Arial"/>
          <w:color w:val="000000" w:themeColor="text1"/>
          <w:sz w:val="24"/>
          <w:szCs w:val="24"/>
          <w:lang w:eastAsia="en-ZA"/>
        </w:rPr>
        <w:tab/>
        <w:t xml:space="preserve">The monthly rental was agreed to be the sum of R17 000.00 plus Value Added Tax thereon for the first period of 12 months where after the monthly rental shall increasing by 10% for the first </w:t>
      </w:r>
      <w:r w:rsidR="00623DC3">
        <w:rPr>
          <w:rFonts w:ascii="Arial" w:eastAsiaTheme="minorEastAsia" w:hAnsi="Arial" w:cs="Arial"/>
          <w:color w:val="000000" w:themeColor="text1"/>
          <w:sz w:val="24"/>
          <w:szCs w:val="24"/>
          <w:lang w:eastAsia="en-ZA"/>
        </w:rPr>
        <w:t>ten-year</w:t>
      </w:r>
      <w:r>
        <w:rPr>
          <w:rFonts w:ascii="Arial" w:eastAsiaTheme="minorEastAsia" w:hAnsi="Arial" w:cs="Arial"/>
          <w:color w:val="000000" w:themeColor="text1"/>
          <w:sz w:val="24"/>
          <w:szCs w:val="24"/>
          <w:lang w:eastAsia="en-ZA"/>
        </w:rPr>
        <w:t xml:space="preserve"> period of the lease.  The rate of escalation after the expiry of the first </w:t>
      </w:r>
      <w:r w:rsidR="00623DC3">
        <w:rPr>
          <w:rFonts w:ascii="Arial" w:eastAsiaTheme="minorEastAsia" w:hAnsi="Arial" w:cs="Arial"/>
          <w:color w:val="000000" w:themeColor="text1"/>
          <w:sz w:val="24"/>
          <w:szCs w:val="24"/>
          <w:lang w:eastAsia="en-ZA"/>
        </w:rPr>
        <w:t>ten-year</w:t>
      </w:r>
      <w:r>
        <w:rPr>
          <w:rFonts w:ascii="Arial" w:eastAsiaTheme="minorEastAsia" w:hAnsi="Arial" w:cs="Arial"/>
          <w:color w:val="000000" w:themeColor="text1"/>
          <w:sz w:val="24"/>
          <w:szCs w:val="24"/>
          <w:lang w:eastAsia="en-ZA"/>
        </w:rPr>
        <w:t xml:space="preserve"> period, was to be agreed upon between the parties. </w:t>
      </w:r>
      <w:r w:rsidR="00623DC3">
        <w:rPr>
          <w:rFonts w:ascii="Arial" w:eastAsiaTheme="minorEastAsia" w:hAnsi="Arial" w:cs="Arial"/>
          <w:color w:val="000000" w:themeColor="text1"/>
          <w:sz w:val="24"/>
          <w:szCs w:val="24"/>
          <w:lang w:eastAsia="en-ZA"/>
        </w:rPr>
        <w:t xml:space="preserve">From the </w:t>
      </w:r>
      <w:r w:rsidR="00521CD9">
        <w:rPr>
          <w:rFonts w:ascii="Arial" w:eastAsiaTheme="minorEastAsia" w:hAnsi="Arial" w:cs="Arial"/>
          <w:color w:val="000000" w:themeColor="text1"/>
          <w:sz w:val="24"/>
          <w:szCs w:val="24"/>
          <w:lang w:eastAsia="en-ZA"/>
        </w:rPr>
        <w:t xml:space="preserve">numerous </w:t>
      </w:r>
      <w:r w:rsidR="00623DC3">
        <w:rPr>
          <w:rFonts w:ascii="Arial" w:eastAsiaTheme="minorEastAsia" w:hAnsi="Arial" w:cs="Arial"/>
          <w:color w:val="000000" w:themeColor="text1"/>
          <w:sz w:val="24"/>
          <w:szCs w:val="24"/>
          <w:lang w:eastAsia="en-ZA"/>
        </w:rPr>
        <w:t>statements appended to the founding affidavit it is evident that</w:t>
      </w:r>
      <w:r w:rsidR="00377025">
        <w:rPr>
          <w:rFonts w:ascii="Arial" w:eastAsiaTheme="minorEastAsia" w:hAnsi="Arial" w:cs="Arial"/>
          <w:color w:val="000000" w:themeColor="text1"/>
          <w:sz w:val="24"/>
          <w:szCs w:val="24"/>
          <w:lang w:eastAsia="en-ZA"/>
        </w:rPr>
        <w:t>, at the relevant time,</w:t>
      </w:r>
      <w:r w:rsidR="00623DC3">
        <w:rPr>
          <w:rFonts w:ascii="Arial" w:eastAsiaTheme="minorEastAsia" w:hAnsi="Arial" w:cs="Arial"/>
          <w:color w:val="000000" w:themeColor="text1"/>
          <w:sz w:val="24"/>
          <w:szCs w:val="24"/>
          <w:lang w:eastAsia="en-ZA"/>
        </w:rPr>
        <w:t xml:space="preserve"> the monthly rental amounted to R 131 491.00 and rent for parking to </w:t>
      </w:r>
      <w:r w:rsidR="00521CD9">
        <w:rPr>
          <w:rFonts w:ascii="Arial" w:eastAsiaTheme="minorEastAsia" w:hAnsi="Arial" w:cs="Arial"/>
          <w:color w:val="000000" w:themeColor="text1"/>
          <w:sz w:val="24"/>
          <w:szCs w:val="24"/>
          <w:lang w:eastAsia="en-ZA"/>
        </w:rPr>
        <w:t xml:space="preserve">the sum of </w:t>
      </w:r>
      <w:r w:rsidR="00623DC3">
        <w:rPr>
          <w:rFonts w:ascii="Arial" w:eastAsiaTheme="minorEastAsia" w:hAnsi="Arial" w:cs="Arial"/>
          <w:color w:val="000000" w:themeColor="text1"/>
          <w:sz w:val="24"/>
          <w:szCs w:val="24"/>
          <w:lang w:eastAsia="en-ZA"/>
        </w:rPr>
        <w:t>R 23 394.35</w:t>
      </w:r>
      <w:r w:rsidR="00521CD9">
        <w:rPr>
          <w:rFonts w:ascii="Arial" w:eastAsiaTheme="minorEastAsia" w:hAnsi="Arial" w:cs="Arial"/>
          <w:color w:val="000000" w:themeColor="text1"/>
          <w:sz w:val="24"/>
          <w:szCs w:val="24"/>
          <w:lang w:eastAsia="en-ZA"/>
        </w:rPr>
        <w:t>.</w:t>
      </w:r>
      <w:r w:rsidR="00623DC3">
        <w:rPr>
          <w:rFonts w:ascii="Arial" w:eastAsiaTheme="minorEastAsia" w:hAnsi="Arial" w:cs="Arial"/>
          <w:color w:val="000000" w:themeColor="text1"/>
          <w:sz w:val="24"/>
          <w:szCs w:val="24"/>
          <w:lang w:eastAsia="en-ZA"/>
        </w:rPr>
        <w:t xml:space="preserve"> </w:t>
      </w:r>
    </w:p>
    <w:p w:rsidR="00046ED6" w:rsidRDefault="00046ED6" w:rsidP="00BC1710">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DA7F3A" w:rsidRDefault="00855E7D" w:rsidP="00BC1710">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[8]</w:t>
      </w:r>
      <w:r>
        <w:rPr>
          <w:rFonts w:ascii="Arial" w:eastAsiaTheme="minorEastAsia" w:hAnsi="Arial" w:cs="Arial"/>
          <w:color w:val="000000" w:themeColor="text1"/>
          <w:sz w:val="24"/>
          <w:szCs w:val="24"/>
          <w:lang w:eastAsia="en-ZA"/>
        </w:rPr>
        <w:tab/>
      </w:r>
      <w:r w:rsidR="00046ED6">
        <w:rPr>
          <w:rFonts w:ascii="Arial" w:eastAsiaTheme="minorEastAsia" w:hAnsi="Arial" w:cs="Arial"/>
          <w:color w:val="000000" w:themeColor="text1"/>
          <w:sz w:val="24"/>
          <w:szCs w:val="24"/>
          <w:lang w:eastAsia="en-ZA"/>
        </w:rPr>
        <w:t>T</w:t>
      </w:r>
      <w:r>
        <w:rPr>
          <w:rFonts w:ascii="Arial" w:eastAsiaTheme="minorEastAsia" w:hAnsi="Arial" w:cs="Arial"/>
          <w:color w:val="000000" w:themeColor="text1"/>
          <w:sz w:val="24"/>
          <w:szCs w:val="24"/>
          <w:lang w:eastAsia="en-ZA"/>
        </w:rPr>
        <w:t xml:space="preserve">he rental was payable monthly in advance, the first payment to be made on the date of commencement of the lease and all subsequent payments were to be made on or before the same day of each of every subsequent month.  The </w:t>
      </w:r>
      <w:r w:rsidR="00A8190B">
        <w:rPr>
          <w:rFonts w:ascii="Arial" w:eastAsiaTheme="minorEastAsia" w:hAnsi="Arial" w:cs="Arial"/>
          <w:color w:val="000000" w:themeColor="text1"/>
          <w:sz w:val="24"/>
          <w:szCs w:val="24"/>
          <w:lang w:eastAsia="en-ZA"/>
        </w:rPr>
        <w:t>Respondent Trust</w:t>
      </w:r>
      <w:r>
        <w:rPr>
          <w:rFonts w:ascii="Arial" w:eastAsiaTheme="minorEastAsia" w:hAnsi="Arial" w:cs="Arial"/>
          <w:color w:val="000000" w:themeColor="text1"/>
          <w:sz w:val="24"/>
          <w:szCs w:val="24"/>
          <w:lang w:eastAsia="en-ZA"/>
        </w:rPr>
        <w:t xml:space="preserve"> was required to pay all rates, taxes, charges and levies payable by the </w:t>
      </w:r>
      <w:r w:rsidR="00103989">
        <w:rPr>
          <w:rFonts w:ascii="Arial" w:eastAsiaTheme="minorEastAsia" w:hAnsi="Arial" w:cs="Arial"/>
          <w:color w:val="000000" w:themeColor="text1"/>
          <w:sz w:val="24"/>
          <w:szCs w:val="24"/>
          <w:lang w:eastAsia="en-ZA"/>
        </w:rPr>
        <w:t>Applicant Trust</w:t>
      </w:r>
      <w:r>
        <w:rPr>
          <w:rFonts w:ascii="Arial" w:eastAsiaTheme="minorEastAsia" w:hAnsi="Arial" w:cs="Arial"/>
          <w:color w:val="000000" w:themeColor="text1"/>
          <w:sz w:val="24"/>
          <w:szCs w:val="24"/>
          <w:lang w:eastAsia="en-ZA"/>
        </w:rPr>
        <w:t xml:space="preserve"> to the lessor</w:t>
      </w:r>
      <w:r w:rsidR="00623DC3">
        <w:rPr>
          <w:rFonts w:ascii="Arial" w:eastAsiaTheme="minorEastAsia" w:hAnsi="Arial" w:cs="Arial"/>
          <w:color w:val="000000" w:themeColor="text1"/>
          <w:sz w:val="24"/>
          <w:szCs w:val="24"/>
          <w:lang w:eastAsia="en-ZA"/>
        </w:rPr>
        <w:t xml:space="preserve"> </w:t>
      </w:r>
      <w:r>
        <w:rPr>
          <w:rFonts w:ascii="Arial" w:eastAsiaTheme="minorEastAsia" w:hAnsi="Arial" w:cs="Arial"/>
          <w:color w:val="000000" w:themeColor="text1"/>
          <w:sz w:val="24"/>
          <w:szCs w:val="24"/>
          <w:lang w:eastAsia="en-ZA"/>
        </w:rPr>
        <w:t xml:space="preserve">in respect of the premises.  The </w:t>
      </w:r>
      <w:r w:rsidR="00A8190B">
        <w:rPr>
          <w:rFonts w:ascii="Arial" w:eastAsiaTheme="minorEastAsia" w:hAnsi="Arial" w:cs="Arial"/>
          <w:color w:val="000000" w:themeColor="text1"/>
          <w:sz w:val="24"/>
          <w:szCs w:val="24"/>
          <w:lang w:eastAsia="en-ZA"/>
        </w:rPr>
        <w:t>Respondent Trust</w:t>
      </w:r>
      <w:r w:rsidR="00585568">
        <w:rPr>
          <w:rFonts w:ascii="Arial" w:eastAsiaTheme="minorEastAsia" w:hAnsi="Arial" w:cs="Arial"/>
          <w:color w:val="000000" w:themeColor="text1"/>
          <w:sz w:val="24"/>
          <w:szCs w:val="24"/>
          <w:lang w:eastAsia="en-ZA"/>
        </w:rPr>
        <w:t xml:space="preserve"> </w:t>
      </w:r>
      <w:r>
        <w:rPr>
          <w:rFonts w:ascii="Arial" w:eastAsiaTheme="minorEastAsia" w:hAnsi="Arial" w:cs="Arial"/>
          <w:color w:val="000000" w:themeColor="text1"/>
          <w:sz w:val="24"/>
          <w:szCs w:val="24"/>
          <w:lang w:eastAsia="en-ZA"/>
        </w:rPr>
        <w:t>would be required to pay all municipal charges, including any deposits, in respect of water and/or electricity and/or sewerage and/or</w:t>
      </w:r>
      <w:r w:rsidR="00503DD3">
        <w:rPr>
          <w:rFonts w:ascii="Arial" w:eastAsiaTheme="minorEastAsia" w:hAnsi="Arial" w:cs="Arial"/>
          <w:color w:val="000000" w:themeColor="text1"/>
          <w:sz w:val="24"/>
          <w:szCs w:val="24"/>
          <w:lang w:eastAsia="en-ZA"/>
        </w:rPr>
        <w:t xml:space="preserve"> storm water and/or refuse removal in respect of the premises and will, upon demand, refund to the sub-lessor any amounts paid</w:t>
      </w:r>
      <w:r w:rsidR="0046004C">
        <w:rPr>
          <w:rFonts w:ascii="Arial" w:eastAsiaTheme="minorEastAsia" w:hAnsi="Arial" w:cs="Arial"/>
          <w:color w:val="000000" w:themeColor="text1"/>
          <w:sz w:val="24"/>
          <w:szCs w:val="24"/>
          <w:lang w:eastAsia="en-ZA"/>
        </w:rPr>
        <w:t xml:space="preserve"> </w:t>
      </w:r>
      <w:r w:rsidR="00503DD3">
        <w:rPr>
          <w:rFonts w:ascii="Arial" w:eastAsiaTheme="minorEastAsia" w:hAnsi="Arial" w:cs="Arial"/>
          <w:color w:val="000000" w:themeColor="text1"/>
          <w:sz w:val="24"/>
          <w:szCs w:val="24"/>
          <w:lang w:eastAsia="en-ZA"/>
        </w:rPr>
        <w:t xml:space="preserve">by the </w:t>
      </w:r>
      <w:r w:rsidR="00623DC3">
        <w:rPr>
          <w:rFonts w:ascii="Arial" w:eastAsiaTheme="minorEastAsia" w:hAnsi="Arial" w:cs="Arial"/>
          <w:color w:val="000000" w:themeColor="text1"/>
          <w:sz w:val="24"/>
          <w:szCs w:val="24"/>
          <w:lang w:eastAsia="en-ZA"/>
        </w:rPr>
        <w:t>s</w:t>
      </w:r>
      <w:r w:rsidR="00503DD3">
        <w:rPr>
          <w:rFonts w:ascii="Arial" w:eastAsiaTheme="minorEastAsia" w:hAnsi="Arial" w:cs="Arial"/>
          <w:color w:val="000000" w:themeColor="text1"/>
          <w:sz w:val="24"/>
          <w:szCs w:val="24"/>
          <w:lang w:eastAsia="en-ZA"/>
        </w:rPr>
        <w:t>ub-</w:t>
      </w:r>
      <w:r w:rsidR="00623DC3">
        <w:rPr>
          <w:rFonts w:ascii="Arial" w:eastAsiaTheme="minorEastAsia" w:hAnsi="Arial" w:cs="Arial"/>
          <w:color w:val="000000" w:themeColor="text1"/>
          <w:sz w:val="24"/>
          <w:szCs w:val="24"/>
          <w:lang w:eastAsia="en-ZA"/>
        </w:rPr>
        <w:t>l</w:t>
      </w:r>
      <w:r w:rsidR="00503DD3">
        <w:rPr>
          <w:rFonts w:ascii="Arial" w:eastAsiaTheme="minorEastAsia" w:hAnsi="Arial" w:cs="Arial"/>
          <w:color w:val="000000" w:themeColor="text1"/>
          <w:sz w:val="24"/>
          <w:szCs w:val="24"/>
          <w:lang w:eastAsia="en-ZA"/>
        </w:rPr>
        <w:t xml:space="preserve">essor in advance of the date of commencement of the </w:t>
      </w:r>
      <w:r w:rsidR="00623DC3">
        <w:rPr>
          <w:rFonts w:ascii="Arial" w:eastAsiaTheme="minorEastAsia" w:hAnsi="Arial" w:cs="Arial"/>
          <w:color w:val="000000" w:themeColor="text1"/>
          <w:sz w:val="24"/>
          <w:szCs w:val="24"/>
          <w:lang w:eastAsia="en-ZA"/>
        </w:rPr>
        <w:t>S</w:t>
      </w:r>
      <w:r w:rsidR="00503DD3">
        <w:rPr>
          <w:rFonts w:ascii="Arial" w:eastAsiaTheme="minorEastAsia" w:hAnsi="Arial" w:cs="Arial"/>
          <w:color w:val="000000" w:themeColor="text1"/>
          <w:sz w:val="24"/>
          <w:szCs w:val="24"/>
          <w:lang w:eastAsia="en-ZA"/>
        </w:rPr>
        <w:t>ub-</w:t>
      </w:r>
      <w:r w:rsidR="00623DC3">
        <w:rPr>
          <w:rFonts w:ascii="Arial" w:eastAsiaTheme="minorEastAsia" w:hAnsi="Arial" w:cs="Arial"/>
          <w:color w:val="000000" w:themeColor="text1"/>
          <w:sz w:val="24"/>
          <w:szCs w:val="24"/>
          <w:lang w:eastAsia="en-ZA"/>
        </w:rPr>
        <w:t>L</w:t>
      </w:r>
      <w:r w:rsidR="00503DD3">
        <w:rPr>
          <w:rFonts w:ascii="Arial" w:eastAsiaTheme="minorEastAsia" w:hAnsi="Arial" w:cs="Arial"/>
          <w:color w:val="000000" w:themeColor="text1"/>
          <w:sz w:val="24"/>
          <w:szCs w:val="24"/>
          <w:lang w:eastAsia="en-ZA"/>
        </w:rPr>
        <w:t>ease in respect of such items.</w:t>
      </w:r>
    </w:p>
    <w:p w:rsidR="00046ED6" w:rsidRDefault="00046ED6" w:rsidP="00BC1710">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CB0320" w:rsidRDefault="00503DD3" w:rsidP="00BC1710">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[9]</w:t>
      </w:r>
      <w:r>
        <w:rPr>
          <w:rFonts w:ascii="Arial" w:eastAsiaTheme="minorEastAsia" w:hAnsi="Arial" w:cs="Arial"/>
          <w:color w:val="000000" w:themeColor="text1"/>
          <w:sz w:val="24"/>
          <w:szCs w:val="24"/>
          <w:lang w:eastAsia="en-ZA"/>
        </w:rPr>
        <w:tab/>
      </w:r>
      <w:r w:rsidR="00046ED6">
        <w:rPr>
          <w:rFonts w:ascii="Arial" w:eastAsiaTheme="minorEastAsia" w:hAnsi="Arial" w:cs="Arial"/>
          <w:color w:val="000000" w:themeColor="text1"/>
          <w:sz w:val="24"/>
          <w:szCs w:val="24"/>
          <w:lang w:eastAsia="en-ZA"/>
        </w:rPr>
        <w:t>In the event of breach,</w:t>
      </w:r>
      <w:r w:rsidR="00521CD9">
        <w:rPr>
          <w:rFonts w:ascii="Arial" w:eastAsiaTheme="minorEastAsia" w:hAnsi="Arial" w:cs="Arial"/>
          <w:color w:val="000000" w:themeColor="text1"/>
          <w:sz w:val="24"/>
          <w:szCs w:val="24"/>
          <w:lang w:eastAsia="en-ZA"/>
        </w:rPr>
        <w:t xml:space="preserve"> clause 12.1.1 of </w:t>
      </w:r>
      <w:r w:rsidR="00046ED6">
        <w:rPr>
          <w:rFonts w:ascii="Arial" w:eastAsiaTheme="minorEastAsia" w:hAnsi="Arial" w:cs="Arial"/>
          <w:color w:val="000000" w:themeColor="text1"/>
          <w:sz w:val="24"/>
          <w:szCs w:val="24"/>
          <w:lang w:eastAsia="en-ZA"/>
        </w:rPr>
        <w:t xml:space="preserve">the </w:t>
      </w:r>
      <w:r w:rsidR="00623DC3">
        <w:rPr>
          <w:rFonts w:ascii="Arial" w:eastAsiaTheme="minorEastAsia" w:hAnsi="Arial" w:cs="Arial"/>
          <w:color w:val="000000" w:themeColor="text1"/>
          <w:sz w:val="24"/>
          <w:szCs w:val="24"/>
          <w:lang w:eastAsia="en-ZA"/>
        </w:rPr>
        <w:t>S</w:t>
      </w:r>
      <w:r w:rsidR="00046ED6">
        <w:rPr>
          <w:rFonts w:ascii="Arial" w:eastAsiaTheme="minorEastAsia" w:hAnsi="Arial" w:cs="Arial"/>
          <w:color w:val="000000" w:themeColor="text1"/>
          <w:sz w:val="24"/>
          <w:szCs w:val="24"/>
          <w:lang w:eastAsia="en-ZA"/>
        </w:rPr>
        <w:t>ub-</w:t>
      </w:r>
      <w:r w:rsidR="00623DC3">
        <w:rPr>
          <w:rFonts w:ascii="Arial" w:eastAsiaTheme="minorEastAsia" w:hAnsi="Arial" w:cs="Arial"/>
          <w:color w:val="000000" w:themeColor="text1"/>
          <w:sz w:val="24"/>
          <w:szCs w:val="24"/>
          <w:lang w:eastAsia="en-ZA"/>
        </w:rPr>
        <w:t>L</w:t>
      </w:r>
      <w:r w:rsidR="00046ED6">
        <w:rPr>
          <w:rFonts w:ascii="Arial" w:eastAsiaTheme="minorEastAsia" w:hAnsi="Arial" w:cs="Arial"/>
          <w:color w:val="000000" w:themeColor="text1"/>
          <w:sz w:val="24"/>
          <w:szCs w:val="24"/>
          <w:lang w:eastAsia="en-ZA"/>
        </w:rPr>
        <w:t xml:space="preserve">ease agreement provided that in the event that the </w:t>
      </w:r>
      <w:r w:rsidR="00013331">
        <w:rPr>
          <w:rFonts w:ascii="Arial" w:eastAsiaTheme="minorEastAsia" w:hAnsi="Arial" w:cs="Arial"/>
          <w:color w:val="000000" w:themeColor="text1"/>
          <w:sz w:val="24"/>
          <w:szCs w:val="24"/>
          <w:lang w:eastAsia="en-ZA"/>
        </w:rPr>
        <w:t>Respondent Trust</w:t>
      </w:r>
      <w:r w:rsidR="00046ED6">
        <w:rPr>
          <w:rFonts w:ascii="Arial" w:eastAsiaTheme="minorEastAsia" w:hAnsi="Arial" w:cs="Arial"/>
          <w:color w:val="000000" w:themeColor="text1"/>
          <w:sz w:val="24"/>
          <w:szCs w:val="24"/>
          <w:lang w:eastAsia="en-ZA"/>
        </w:rPr>
        <w:t xml:space="preserve"> fails to carry out or comply with any of the terms or conditions of the </w:t>
      </w:r>
      <w:r w:rsidR="00623DC3">
        <w:rPr>
          <w:rFonts w:ascii="Arial" w:eastAsiaTheme="minorEastAsia" w:hAnsi="Arial" w:cs="Arial"/>
          <w:color w:val="000000" w:themeColor="text1"/>
          <w:sz w:val="24"/>
          <w:szCs w:val="24"/>
          <w:lang w:eastAsia="en-ZA"/>
        </w:rPr>
        <w:t>S</w:t>
      </w:r>
      <w:r w:rsidR="00046ED6">
        <w:rPr>
          <w:rFonts w:ascii="Arial" w:eastAsiaTheme="minorEastAsia" w:hAnsi="Arial" w:cs="Arial"/>
          <w:color w:val="000000" w:themeColor="text1"/>
          <w:sz w:val="24"/>
          <w:szCs w:val="24"/>
          <w:lang w:eastAsia="en-ZA"/>
        </w:rPr>
        <w:t>ub-</w:t>
      </w:r>
      <w:r w:rsidR="00623DC3">
        <w:rPr>
          <w:rFonts w:ascii="Arial" w:eastAsiaTheme="minorEastAsia" w:hAnsi="Arial" w:cs="Arial"/>
          <w:color w:val="000000" w:themeColor="text1"/>
          <w:sz w:val="24"/>
          <w:szCs w:val="24"/>
          <w:lang w:eastAsia="en-ZA"/>
        </w:rPr>
        <w:t>L</w:t>
      </w:r>
      <w:r w:rsidR="00046ED6">
        <w:rPr>
          <w:rFonts w:ascii="Arial" w:eastAsiaTheme="minorEastAsia" w:hAnsi="Arial" w:cs="Arial"/>
          <w:color w:val="000000" w:themeColor="text1"/>
          <w:sz w:val="24"/>
          <w:szCs w:val="24"/>
          <w:lang w:eastAsia="en-ZA"/>
        </w:rPr>
        <w:t>ease and persists with such failure for thirty (30) days after written notice requiring such default to be remedied;</w:t>
      </w:r>
      <w:r w:rsidR="00CB0320">
        <w:rPr>
          <w:rFonts w:ascii="Arial" w:eastAsiaTheme="minorEastAsia" w:hAnsi="Arial" w:cs="Arial"/>
          <w:color w:val="000000" w:themeColor="text1"/>
          <w:sz w:val="24"/>
          <w:szCs w:val="24"/>
          <w:lang w:eastAsia="en-ZA"/>
        </w:rPr>
        <w:t xml:space="preserve"> </w:t>
      </w:r>
      <w:r w:rsidR="00046ED6">
        <w:rPr>
          <w:rFonts w:ascii="Arial" w:eastAsiaTheme="minorEastAsia" w:hAnsi="Arial" w:cs="Arial"/>
          <w:color w:val="000000" w:themeColor="text1"/>
          <w:sz w:val="24"/>
          <w:szCs w:val="24"/>
          <w:lang w:eastAsia="en-ZA"/>
        </w:rPr>
        <w:t>or</w:t>
      </w:r>
      <w:r w:rsidR="00521CD9">
        <w:rPr>
          <w:rFonts w:ascii="Arial" w:eastAsiaTheme="minorEastAsia" w:hAnsi="Arial" w:cs="Arial"/>
          <w:color w:val="000000" w:themeColor="text1"/>
          <w:sz w:val="24"/>
          <w:szCs w:val="24"/>
          <w:lang w:eastAsia="en-ZA"/>
        </w:rPr>
        <w:t>, in terms of the provisions of clause 12.1.2,</w:t>
      </w:r>
      <w:r w:rsidR="00CB0320">
        <w:rPr>
          <w:rFonts w:ascii="Arial" w:eastAsiaTheme="minorEastAsia" w:hAnsi="Arial" w:cs="Arial"/>
          <w:color w:val="000000" w:themeColor="text1"/>
          <w:sz w:val="24"/>
          <w:szCs w:val="24"/>
          <w:lang w:eastAsia="en-ZA"/>
        </w:rPr>
        <w:t xml:space="preserve"> the </w:t>
      </w:r>
      <w:r w:rsidR="00585568">
        <w:rPr>
          <w:rFonts w:ascii="Arial" w:eastAsiaTheme="minorEastAsia" w:hAnsi="Arial" w:cs="Arial"/>
          <w:color w:val="000000" w:themeColor="text1"/>
          <w:sz w:val="24"/>
          <w:szCs w:val="24"/>
          <w:lang w:eastAsia="en-ZA"/>
        </w:rPr>
        <w:t>Respondent Trust</w:t>
      </w:r>
      <w:r w:rsidR="00CB0320">
        <w:rPr>
          <w:rFonts w:ascii="Arial" w:eastAsiaTheme="minorEastAsia" w:hAnsi="Arial" w:cs="Arial"/>
          <w:color w:val="000000" w:themeColor="text1"/>
          <w:sz w:val="24"/>
          <w:szCs w:val="24"/>
          <w:lang w:eastAsia="en-ZA"/>
        </w:rPr>
        <w:t xml:space="preserve"> fails to make any of the payments required, including payment in full of the rental and persists with such failure for seven (7) days after written notice requiring such default to be remedied, then and in such event the</w:t>
      </w:r>
      <w:r w:rsidR="00377025">
        <w:rPr>
          <w:rFonts w:ascii="Arial" w:eastAsiaTheme="minorEastAsia" w:hAnsi="Arial" w:cs="Arial"/>
          <w:color w:val="000000" w:themeColor="text1"/>
          <w:sz w:val="24"/>
          <w:szCs w:val="24"/>
          <w:lang w:eastAsia="en-ZA"/>
        </w:rPr>
        <w:t xml:space="preserve"> </w:t>
      </w:r>
      <w:r w:rsidR="00585568">
        <w:rPr>
          <w:rFonts w:ascii="Arial" w:eastAsiaTheme="minorEastAsia" w:hAnsi="Arial" w:cs="Arial"/>
          <w:color w:val="000000" w:themeColor="text1"/>
          <w:sz w:val="24"/>
          <w:szCs w:val="24"/>
          <w:lang w:eastAsia="en-ZA"/>
        </w:rPr>
        <w:t>A</w:t>
      </w:r>
      <w:r w:rsidR="00377025">
        <w:rPr>
          <w:rFonts w:ascii="Arial" w:eastAsiaTheme="minorEastAsia" w:hAnsi="Arial" w:cs="Arial"/>
          <w:color w:val="000000" w:themeColor="text1"/>
          <w:sz w:val="24"/>
          <w:szCs w:val="24"/>
          <w:lang w:eastAsia="en-ZA"/>
        </w:rPr>
        <w:t>pplicant Trust</w:t>
      </w:r>
      <w:r w:rsidR="00CB0320">
        <w:rPr>
          <w:rFonts w:ascii="Arial" w:eastAsiaTheme="minorEastAsia" w:hAnsi="Arial" w:cs="Arial"/>
          <w:color w:val="000000" w:themeColor="text1"/>
          <w:sz w:val="24"/>
          <w:szCs w:val="24"/>
          <w:lang w:eastAsia="en-ZA"/>
        </w:rPr>
        <w:t xml:space="preserve">  will be entitled forthwith and without any prior notice to terminate the </w:t>
      </w:r>
      <w:r w:rsidR="00377025">
        <w:rPr>
          <w:rFonts w:ascii="Arial" w:eastAsiaTheme="minorEastAsia" w:hAnsi="Arial" w:cs="Arial"/>
          <w:color w:val="000000" w:themeColor="text1"/>
          <w:sz w:val="24"/>
          <w:szCs w:val="24"/>
          <w:lang w:eastAsia="en-ZA"/>
        </w:rPr>
        <w:lastRenderedPageBreak/>
        <w:t>S</w:t>
      </w:r>
      <w:r w:rsidR="00CB0320">
        <w:rPr>
          <w:rFonts w:ascii="Arial" w:eastAsiaTheme="minorEastAsia" w:hAnsi="Arial" w:cs="Arial"/>
          <w:color w:val="000000" w:themeColor="text1"/>
          <w:sz w:val="24"/>
          <w:szCs w:val="24"/>
          <w:lang w:eastAsia="en-ZA"/>
        </w:rPr>
        <w:t>ub-</w:t>
      </w:r>
      <w:r w:rsidR="008D0320">
        <w:rPr>
          <w:rFonts w:ascii="Arial" w:eastAsiaTheme="minorEastAsia" w:hAnsi="Arial" w:cs="Arial"/>
          <w:color w:val="000000" w:themeColor="text1"/>
          <w:sz w:val="24"/>
          <w:szCs w:val="24"/>
          <w:lang w:eastAsia="en-ZA"/>
        </w:rPr>
        <w:t>L</w:t>
      </w:r>
      <w:r w:rsidR="00CB0320">
        <w:rPr>
          <w:rFonts w:ascii="Arial" w:eastAsiaTheme="minorEastAsia" w:hAnsi="Arial" w:cs="Arial"/>
          <w:color w:val="000000" w:themeColor="text1"/>
          <w:sz w:val="24"/>
          <w:szCs w:val="24"/>
          <w:lang w:eastAsia="en-ZA"/>
        </w:rPr>
        <w:t xml:space="preserve">ease by a written notice to the </w:t>
      </w:r>
      <w:r w:rsidR="00585568">
        <w:rPr>
          <w:rFonts w:ascii="Arial" w:eastAsiaTheme="minorEastAsia" w:hAnsi="Arial" w:cs="Arial"/>
          <w:color w:val="000000" w:themeColor="text1"/>
          <w:sz w:val="24"/>
          <w:szCs w:val="24"/>
          <w:lang w:eastAsia="en-ZA"/>
        </w:rPr>
        <w:t>Respondent Trust</w:t>
      </w:r>
      <w:r w:rsidR="00CB0320">
        <w:rPr>
          <w:rFonts w:ascii="Arial" w:eastAsiaTheme="minorEastAsia" w:hAnsi="Arial" w:cs="Arial"/>
          <w:color w:val="000000" w:themeColor="text1"/>
          <w:sz w:val="24"/>
          <w:szCs w:val="24"/>
          <w:lang w:eastAsia="en-ZA"/>
        </w:rPr>
        <w:t xml:space="preserve"> without prejudice to all rights of the </w:t>
      </w:r>
      <w:r w:rsidR="00585568">
        <w:rPr>
          <w:rFonts w:ascii="Arial" w:eastAsiaTheme="minorEastAsia" w:hAnsi="Arial" w:cs="Arial"/>
          <w:color w:val="000000" w:themeColor="text1"/>
          <w:sz w:val="24"/>
          <w:szCs w:val="24"/>
          <w:lang w:eastAsia="en-ZA"/>
        </w:rPr>
        <w:t>Applicant Trust</w:t>
      </w:r>
      <w:r w:rsidR="00CB0320">
        <w:rPr>
          <w:rFonts w:ascii="Arial" w:eastAsiaTheme="minorEastAsia" w:hAnsi="Arial" w:cs="Arial"/>
          <w:color w:val="000000" w:themeColor="text1"/>
          <w:sz w:val="24"/>
          <w:szCs w:val="24"/>
          <w:lang w:eastAsia="en-ZA"/>
        </w:rPr>
        <w:t xml:space="preserve"> or to sue for and recover any payment of monies due or damage for breach of contract or otherwise howsoever.</w:t>
      </w:r>
    </w:p>
    <w:p w:rsidR="00CB0320" w:rsidRDefault="00CB0320" w:rsidP="00BC1710">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BC1710" w:rsidRDefault="00CB0320" w:rsidP="00CA1E92">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[10]</w:t>
      </w:r>
      <w:r>
        <w:rPr>
          <w:rFonts w:ascii="Arial" w:eastAsiaTheme="minorEastAsia" w:hAnsi="Arial" w:cs="Arial"/>
          <w:color w:val="000000" w:themeColor="text1"/>
          <w:sz w:val="24"/>
          <w:szCs w:val="24"/>
          <w:lang w:eastAsia="en-ZA"/>
        </w:rPr>
        <w:tab/>
        <w:t xml:space="preserve">The </w:t>
      </w:r>
      <w:r w:rsidR="00377025">
        <w:rPr>
          <w:rFonts w:ascii="Arial" w:eastAsiaTheme="minorEastAsia" w:hAnsi="Arial" w:cs="Arial"/>
          <w:color w:val="000000" w:themeColor="text1"/>
          <w:sz w:val="24"/>
          <w:szCs w:val="24"/>
          <w:lang w:eastAsia="en-ZA"/>
        </w:rPr>
        <w:t>S</w:t>
      </w:r>
      <w:r>
        <w:rPr>
          <w:rFonts w:ascii="Arial" w:eastAsiaTheme="minorEastAsia" w:hAnsi="Arial" w:cs="Arial"/>
          <w:color w:val="000000" w:themeColor="text1"/>
          <w:sz w:val="24"/>
          <w:szCs w:val="24"/>
          <w:lang w:eastAsia="en-ZA"/>
        </w:rPr>
        <w:t>ub-</w:t>
      </w:r>
      <w:r w:rsidR="00377025">
        <w:rPr>
          <w:rFonts w:ascii="Arial" w:eastAsiaTheme="minorEastAsia" w:hAnsi="Arial" w:cs="Arial"/>
          <w:color w:val="000000" w:themeColor="text1"/>
          <w:sz w:val="24"/>
          <w:szCs w:val="24"/>
          <w:lang w:eastAsia="en-ZA"/>
        </w:rPr>
        <w:t>L</w:t>
      </w:r>
      <w:r>
        <w:rPr>
          <w:rFonts w:ascii="Arial" w:eastAsiaTheme="minorEastAsia" w:hAnsi="Arial" w:cs="Arial"/>
          <w:color w:val="000000" w:themeColor="text1"/>
          <w:sz w:val="24"/>
          <w:szCs w:val="24"/>
          <w:lang w:eastAsia="en-ZA"/>
        </w:rPr>
        <w:t xml:space="preserve">ease also contains the following entrenched formalities clauses: </w:t>
      </w:r>
      <w:r w:rsidR="00CA1E92">
        <w:rPr>
          <w:rFonts w:ascii="Arial" w:eastAsiaTheme="minorEastAsia" w:hAnsi="Arial" w:cs="Arial"/>
          <w:color w:val="000000" w:themeColor="text1"/>
          <w:sz w:val="24"/>
          <w:szCs w:val="24"/>
          <w:lang w:eastAsia="en-ZA"/>
        </w:rPr>
        <w:t>The provisions of the Sub-lease will continue to be of full force and effect and binding on both parties notwithstanding any indulgence, extension of time, relaxation of latitude shown, which may be shown or given by one party to the other party, and no such indulgence will constitute a waiver of any of the rights of neither of the parties</w:t>
      </w:r>
      <w:r w:rsidR="00521CD9">
        <w:rPr>
          <w:rFonts w:ascii="Arial" w:eastAsiaTheme="minorEastAsia" w:hAnsi="Arial" w:cs="Arial"/>
          <w:color w:val="000000" w:themeColor="text1"/>
          <w:sz w:val="24"/>
          <w:szCs w:val="24"/>
          <w:lang w:eastAsia="en-ZA"/>
        </w:rPr>
        <w:t xml:space="preserve"> (as per clause 14)</w:t>
      </w:r>
      <w:r w:rsidR="00CA1E92">
        <w:rPr>
          <w:rFonts w:ascii="Arial" w:eastAsiaTheme="minorEastAsia" w:hAnsi="Arial" w:cs="Arial"/>
          <w:color w:val="000000" w:themeColor="text1"/>
          <w:sz w:val="24"/>
          <w:szCs w:val="24"/>
          <w:lang w:eastAsia="en-ZA"/>
        </w:rPr>
        <w:t xml:space="preserve">.  No variation or amendment of the Sub-Lease or addition thereto or consensual cancellation thereof will have any force or effect unless reduced to writing and signed by the </w:t>
      </w:r>
      <w:r w:rsidR="00103989">
        <w:rPr>
          <w:rFonts w:ascii="Arial" w:eastAsiaTheme="minorEastAsia" w:hAnsi="Arial" w:cs="Arial"/>
          <w:color w:val="000000" w:themeColor="text1"/>
          <w:sz w:val="24"/>
          <w:szCs w:val="24"/>
          <w:lang w:eastAsia="en-ZA"/>
        </w:rPr>
        <w:t>Applicant Trust</w:t>
      </w:r>
      <w:r w:rsidR="00CA1E92">
        <w:rPr>
          <w:rFonts w:ascii="Arial" w:eastAsiaTheme="minorEastAsia" w:hAnsi="Arial" w:cs="Arial"/>
          <w:color w:val="000000" w:themeColor="text1"/>
          <w:sz w:val="24"/>
          <w:szCs w:val="24"/>
          <w:lang w:eastAsia="en-ZA"/>
        </w:rPr>
        <w:t xml:space="preserve"> and the </w:t>
      </w:r>
      <w:r w:rsidR="00013331">
        <w:rPr>
          <w:rFonts w:ascii="Arial" w:eastAsiaTheme="minorEastAsia" w:hAnsi="Arial" w:cs="Arial"/>
          <w:color w:val="000000" w:themeColor="text1"/>
          <w:sz w:val="24"/>
          <w:szCs w:val="24"/>
          <w:lang w:eastAsia="en-ZA"/>
        </w:rPr>
        <w:t>Respondent Trust</w:t>
      </w:r>
      <w:r w:rsidR="00CA1E92">
        <w:rPr>
          <w:rFonts w:ascii="Arial" w:eastAsiaTheme="minorEastAsia" w:hAnsi="Arial" w:cs="Arial"/>
          <w:color w:val="000000" w:themeColor="text1"/>
          <w:sz w:val="24"/>
          <w:szCs w:val="24"/>
          <w:lang w:eastAsia="en-ZA"/>
        </w:rPr>
        <w:t xml:space="preserve"> or the agents acting under written authority</w:t>
      </w:r>
      <w:r w:rsidR="00521CD9">
        <w:rPr>
          <w:rFonts w:ascii="Arial" w:eastAsiaTheme="minorEastAsia" w:hAnsi="Arial" w:cs="Arial"/>
          <w:color w:val="000000" w:themeColor="text1"/>
          <w:sz w:val="24"/>
          <w:szCs w:val="24"/>
          <w:lang w:eastAsia="en-ZA"/>
        </w:rPr>
        <w:t xml:space="preserve"> (as per clause 15)</w:t>
      </w:r>
      <w:r w:rsidR="00CA1E92">
        <w:rPr>
          <w:rFonts w:ascii="Arial" w:eastAsiaTheme="minorEastAsia" w:hAnsi="Arial" w:cs="Arial"/>
          <w:color w:val="000000" w:themeColor="text1"/>
          <w:sz w:val="24"/>
          <w:szCs w:val="24"/>
          <w:lang w:eastAsia="en-ZA"/>
        </w:rPr>
        <w:t>.</w:t>
      </w:r>
    </w:p>
    <w:p w:rsidR="00CA1E92" w:rsidRDefault="00CA1E92" w:rsidP="00CA1E92">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CA1E92" w:rsidRDefault="00CA1E92" w:rsidP="00CA1E92">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[11]</w:t>
      </w:r>
      <w:r>
        <w:rPr>
          <w:rFonts w:ascii="Arial" w:eastAsiaTheme="minorEastAsia" w:hAnsi="Arial" w:cs="Arial"/>
          <w:color w:val="000000" w:themeColor="text1"/>
          <w:sz w:val="24"/>
          <w:szCs w:val="24"/>
          <w:lang w:eastAsia="en-ZA"/>
        </w:rPr>
        <w:tab/>
        <w:t>Clause 16 provide</w:t>
      </w:r>
      <w:r w:rsidR="00566971">
        <w:rPr>
          <w:rFonts w:ascii="Arial" w:eastAsiaTheme="minorEastAsia" w:hAnsi="Arial" w:cs="Arial"/>
          <w:color w:val="000000" w:themeColor="text1"/>
          <w:sz w:val="24"/>
          <w:szCs w:val="24"/>
          <w:lang w:eastAsia="en-ZA"/>
        </w:rPr>
        <w:t>s</w:t>
      </w:r>
      <w:r>
        <w:rPr>
          <w:rFonts w:ascii="Arial" w:eastAsiaTheme="minorEastAsia" w:hAnsi="Arial" w:cs="Arial"/>
          <w:color w:val="000000" w:themeColor="text1"/>
          <w:sz w:val="24"/>
          <w:szCs w:val="24"/>
          <w:lang w:eastAsia="en-ZA"/>
        </w:rPr>
        <w:t xml:space="preserve"> that no waiver of any of the terms and conditions of the </w:t>
      </w:r>
      <w:r w:rsidR="00585568">
        <w:rPr>
          <w:rFonts w:ascii="Arial" w:eastAsiaTheme="minorEastAsia" w:hAnsi="Arial" w:cs="Arial"/>
          <w:color w:val="000000" w:themeColor="text1"/>
          <w:sz w:val="24"/>
          <w:szCs w:val="24"/>
          <w:lang w:eastAsia="en-ZA"/>
        </w:rPr>
        <w:t>S</w:t>
      </w:r>
      <w:r>
        <w:rPr>
          <w:rFonts w:ascii="Arial" w:eastAsiaTheme="minorEastAsia" w:hAnsi="Arial" w:cs="Arial"/>
          <w:color w:val="000000" w:themeColor="text1"/>
          <w:sz w:val="24"/>
          <w:szCs w:val="24"/>
          <w:lang w:eastAsia="en-ZA"/>
        </w:rPr>
        <w:t>ub-</w:t>
      </w:r>
      <w:r w:rsidR="00585568">
        <w:rPr>
          <w:rFonts w:ascii="Arial" w:eastAsiaTheme="minorEastAsia" w:hAnsi="Arial" w:cs="Arial"/>
          <w:color w:val="000000" w:themeColor="text1"/>
          <w:sz w:val="24"/>
          <w:szCs w:val="24"/>
          <w:lang w:eastAsia="en-ZA"/>
        </w:rPr>
        <w:t>L</w:t>
      </w:r>
      <w:r>
        <w:rPr>
          <w:rFonts w:ascii="Arial" w:eastAsiaTheme="minorEastAsia" w:hAnsi="Arial" w:cs="Arial"/>
          <w:color w:val="000000" w:themeColor="text1"/>
          <w:sz w:val="24"/>
          <w:szCs w:val="24"/>
          <w:lang w:eastAsia="en-ZA"/>
        </w:rPr>
        <w:t>ease will be binding for any purpose unless expressed in writing and signed by the parties, and any such waiver will be effective only in the specific instance and for the purpose given.  No failure or delay on the part of either party in exercising any right, power or privilege will operate as a waiver, nor will any single or partial exercise</w:t>
      </w:r>
      <w:r w:rsidR="00566971">
        <w:rPr>
          <w:rFonts w:ascii="Arial" w:eastAsiaTheme="minorEastAsia" w:hAnsi="Arial" w:cs="Arial"/>
          <w:color w:val="000000" w:themeColor="text1"/>
          <w:sz w:val="24"/>
          <w:szCs w:val="24"/>
          <w:lang w:eastAsia="en-ZA"/>
        </w:rPr>
        <w:t xml:space="preserve"> of any right, power or privilege preclude any other or further exercise thereof or the exercise of any other right, power or privilege.</w:t>
      </w:r>
    </w:p>
    <w:p w:rsidR="00566971" w:rsidRDefault="00566971" w:rsidP="00CA1E92">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32342D" w:rsidRDefault="00566971" w:rsidP="00CA1E92">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[12]</w:t>
      </w:r>
      <w:r>
        <w:rPr>
          <w:rFonts w:ascii="Arial" w:eastAsiaTheme="minorEastAsia" w:hAnsi="Arial" w:cs="Arial"/>
          <w:color w:val="000000" w:themeColor="text1"/>
          <w:sz w:val="24"/>
          <w:szCs w:val="24"/>
          <w:lang w:eastAsia="en-ZA"/>
        </w:rPr>
        <w:tab/>
        <w:t xml:space="preserve">The </w:t>
      </w:r>
      <w:r w:rsidR="00585568">
        <w:rPr>
          <w:rFonts w:ascii="Arial" w:eastAsiaTheme="minorEastAsia" w:hAnsi="Arial" w:cs="Arial"/>
          <w:color w:val="000000" w:themeColor="text1"/>
          <w:sz w:val="24"/>
          <w:szCs w:val="24"/>
          <w:lang w:eastAsia="en-ZA"/>
        </w:rPr>
        <w:t>S</w:t>
      </w:r>
      <w:r>
        <w:rPr>
          <w:rFonts w:ascii="Arial" w:eastAsiaTheme="minorEastAsia" w:hAnsi="Arial" w:cs="Arial"/>
          <w:color w:val="000000" w:themeColor="text1"/>
          <w:sz w:val="24"/>
          <w:szCs w:val="24"/>
          <w:lang w:eastAsia="en-ZA"/>
        </w:rPr>
        <w:t>ub-</w:t>
      </w:r>
      <w:r w:rsidR="00585568">
        <w:rPr>
          <w:rFonts w:ascii="Arial" w:eastAsiaTheme="minorEastAsia" w:hAnsi="Arial" w:cs="Arial"/>
          <w:color w:val="000000" w:themeColor="text1"/>
          <w:sz w:val="24"/>
          <w:szCs w:val="24"/>
          <w:lang w:eastAsia="en-ZA"/>
        </w:rPr>
        <w:t>L</w:t>
      </w:r>
      <w:r>
        <w:rPr>
          <w:rFonts w:ascii="Arial" w:eastAsiaTheme="minorEastAsia" w:hAnsi="Arial" w:cs="Arial"/>
          <w:color w:val="000000" w:themeColor="text1"/>
          <w:sz w:val="24"/>
          <w:szCs w:val="24"/>
          <w:lang w:eastAsia="en-ZA"/>
        </w:rPr>
        <w:t xml:space="preserve">ease also provided that any dispute arising from or in connection with the </w:t>
      </w:r>
      <w:r w:rsidR="00585568">
        <w:rPr>
          <w:rFonts w:ascii="Arial" w:eastAsiaTheme="minorEastAsia" w:hAnsi="Arial" w:cs="Arial"/>
          <w:color w:val="000000" w:themeColor="text1"/>
          <w:sz w:val="24"/>
          <w:szCs w:val="24"/>
          <w:lang w:eastAsia="en-ZA"/>
        </w:rPr>
        <w:t>S</w:t>
      </w:r>
      <w:r>
        <w:rPr>
          <w:rFonts w:ascii="Arial" w:eastAsiaTheme="minorEastAsia" w:hAnsi="Arial" w:cs="Arial"/>
          <w:color w:val="000000" w:themeColor="text1"/>
          <w:sz w:val="24"/>
          <w:szCs w:val="24"/>
          <w:lang w:eastAsia="en-ZA"/>
        </w:rPr>
        <w:t>ub-</w:t>
      </w:r>
      <w:r w:rsidR="00585568">
        <w:rPr>
          <w:rFonts w:ascii="Arial" w:eastAsiaTheme="minorEastAsia" w:hAnsi="Arial" w:cs="Arial"/>
          <w:color w:val="000000" w:themeColor="text1"/>
          <w:sz w:val="24"/>
          <w:szCs w:val="24"/>
          <w:lang w:eastAsia="en-ZA"/>
        </w:rPr>
        <w:t>L</w:t>
      </w:r>
      <w:r>
        <w:rPr>
          <w:rFonts w:ascii="Arial" w:eastAsiaTheme="minorEastAsia" w:hAnsi="Arial" w:cs="Arial"/>
          <w:color w:val="000000" w:themeColor="text1"/>
          <w:sz w:val="24"/>
          <w:szCs w:val="24"/>
          <w:lang w:eastAsia="en-ZA"/>
        </w:rPr>
        <w:t xml:space="preserve">ease shall be finally resolved in accordance with the rules of the Arbitration Foundation of Southern Africa.  Even though the </w:t>
      </w:r>
      <w:r w:rsidR="00013331">
        <w:rPr>
          <w:rFonts w:ascii="Arial" w:eastAsiaTheme="minorEastAsia" w:hAnsi="Arial" w:cs="Arial"/>
          <w:color w:val="000000" w:themeColor="text1"/>
          <w:sz w:val="24"/>
          <w:szCs w:val="24"/>
          <w:lang w:eastAsia="en-ZA"/>
        </w:rPr>
        <w:t>Respondent Trust</w:t>
      </w:r>
      <w:r>
        <w:rPr>
          <w:rFonts w:ascii="Arial" w:eastAsiaTheme="minorEastAsia" w:hAnsi="Arial" w:cs="Arial"/>
          <w:color w:val="000000" w:themeColor="text1"/>
          <w:sz w:val="24"/>
          <w:szCs w:val="24"/>
          <w:lang w:eastAsia="en-ZA"/>
        </w:rPr>
        <w:t>, in their answering affidavit, sought to stay this application in terms of the provisions of section 6</w:t>
      </w:r>
      <w:r w:rsidR="00B07144">
        <w:rPr>
          <w:rFonts w:ascii="Arial" w:eastAsiaTheme="minorEastAsia" w:hAnsi="Arial" w:cs="Arial"/>
          <w:color w:val="000000" w:themeColor="text1"/>
          <w:sz w:val="24"/>
          <w:szCs w:val="24"/>
          <w:lang w:eastAsia="en-ZA"/>
        </w:rPr>
        <w:t>(2) of the Arbitration Act</w:t>
      </w:r>
      <w:r w:rsidR="00B07144">
        <w:rPr>
          <w:rStyle w:val="FootnoteReference"/>
          <w:rFonts w:ascii="Arial" w:eastAsiaTheme="minorEastAsia" w:hAnsi="Arial" w:cs="Arial"/>
          <w:color w:val="000000" w:themeColor="text1"/>
          <w:sz w:val="24"/>
          <w:szCs w:val="24"/>
          <w:lang w:eastAsia="en-ZA"/>
        </w:rPr>
        <w:footnoteReference w:id="1"/>
      </w:r>
      <w:r w:rsidR="00B07144">
        <w:rPr>
          <w:rFonts w:ascii="Arial" w:eastAsiaTheme="minorEastAsia" w:hAnsi="Arial" w:cs="Arial"/>
          <w:color w:val="000000" w:themeColor="text1"/>
          <w:sz w:val="24"/>
          <w:szCs w:val="24"/>
          <w:lang w:eastAsia="en-ZA"/>
        </w:rPr>
        <w:t xml:space="preserve"> pending the outcome of arbitration proceedings, the </w:t>
      </w:r>
      <w:r w:rsidR="00013331">
        <w:rPr>
          <w:rFonts w:ascii="Arial" w:eastAsiaTheme="minorEastAsia" w:hAnsi="Arial" w:cs="Arial"/>
          <w:color w:val="000000" w:themeColor="text1"/>
          <w:sz w:val="24"/>
          <w:szCs w:val="24"/>
          <w:lang w:eastAsia="en-ZA"/>
        </w:rPr>
        <w:t>Respondent Trust</w:t>
      </w:r>
      <w:r w:rsidR="00B07144">
        <w:rPr>
          <w:rFonts w:ascii="Arial" w:eastAsiaTheme="minorEastAsia" w:hAnsi="Arial" w:cs="Arial"/>
          <w:color w:val="000000" w:themeColor="text1"/>
          <w:sz w:val="24"/>
          <w:szCs w:val="24"/>
          <w:lang w:eastAsia="en-ZA"/>
        </w:rPr>
        <w:t xml:space="preserve">  abandoned any reliance upon the provisions of the arbitration clause.</w:t>
      </w:r>
      <w:r w:rsidR="0032342D">
        <w:rPr>
          <w:rFonts w:ascii="Arial" w:eastAsiaTheme="minorEastAsia" w:hAnsi="Arial" w:cs="Arial"/>
          <w:color w:val="000000" w:themeColor="text1"/>
          <w:sz w:val="24"/>
          <w:szCs w:val="24"/>
          <w:lang w:eastAsia="en-ZA"/>
        </w:rPr>
        <w:tab/>
      </w:r>
    </w:p>
    <w:p w:rsidR="00C91E75" w:rsidRDefault="00C91E75" w:rsidP="00CA1E92">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BC1710" w:rsidRDefault="00B07144" w:rsidP="00B4600C">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[13]</w:t>
      </w:r>
      <w:r>
        <w:rPr>
          <w:rFonts w:ascii="Arial" w:eastAsiaTheme="minorEastAsia" w:hAnsi="Arial" w:cs="Arial"/>
          <w:color w:val="000000" w:themeColor="text1"/>
          <w:sz w:val="24"/>
          <w:szCs w:val="24"/>
          <w:lang w:eastAsia="en-ZA"/>
        </w:rPr>
        <w:tab/>
      </w:r>
      <w:r w:rsidR="00C91E75">
        <w:rPr>
          <w:rFonts w:ascii="Arial" w:eastAsiaTheme="minorEastAsia" w:hAnsi="Arial" w:cs="Arial"/>
          <w:color w:val="000000" w:themeColor="text1"/>
          <w:sz w:val="24"/>
          <w:szCs w:val="24"/>
          <w:lang w:eastAsia="en-ZA"/>
        </w:rPr>
        <w:t xml:space="preserve">On 29 June 2018 the </w:t>
      </w:r>
      <w:r w:rsidR="00013331">
        <w:rPr>
          <w:rFonts w:ascii="Arial" w:eastAsiaTheme="minorEastAsia" w:hAnsi="Arial" w:cs="Arial"/>
          <w:color w:val="000000" w:themeColor="text1"/>
          <w:sz w:val="24"/>
          <w:szCs w:val="24"/>
          <w:lang w:eastAsia="en-ZA"/>
        </w:rPr>
        <w:t>Respondent Trust</w:t>
      </w:r>
      <w:r w:rsidR="00C91E75">
        <w:rPr>
          <w:rFonts w:ascii="Arial" w:eastAsiaTheme="minorEastAsia" w:hAnsi="Arial" w:cs="Arial"/>
          <w:color w:val="000000" w:themeColor="text1"/>
          <w:sz w:val="24"/>
          <w:szCs w:val="24"/>
          <w:lang w:eastAsia="en-ZA"/>
        </w:rPr>
        <w:t xml:space="preserve"> and FirstRand Bank conclude</w:t>
      </w:r>
      <w:r w:rsidR="002C5E86">
        <w:rPr>
          <w:rFonts w:ascii="Arial" w:eastAsiaTheme="minorEastAsia" w:hAnsi="Arial" w:cs="Arial"/>
          <w:color w:val="000000" w:themeColor="text1"/>
          <w:sz w:val="24"/>
          <w:szCs w:val="24"/>
          <w:lang w:eastAsia="en-ZA"/>
        </w:rPr>
        <w:t>d</w:t>
      </w:r>
      <w:r w:rsidR="00C91E75">
        <w:rPr>
          <w:rFonts w:ascii="Arial" w:eastAsiaTheme="minorEastAsia" w:hAnsi="Arial" w:cs="Arial"/>
          <w:color w:val="000000" w:themeColor="text1"/>
          <w:sz w:val="24"/>
          <w:szCs w:val="24"/>
          <w:lang w:eastAsia="en-ZA"/>
        </w:rPr>
        <w:t xml:space="preserve"> a facility agreement (‘the facility agreement”) in terms of which</w:t>
      </w:r>
      <w:r w:rsidR="00B4600C">
        <w:rPr>
          <w:rFonts w:ascii="Arial" w:eastAsiaTheme="minorEastAsia" w:hAnsi="Arial" w:cs="Arial"/>
          <w:color w:val="000000" w:themeColor="text1"/>
          <w:sz w:val="24"/>
          <w:szCs w:val="24"/>
          <w:lang w:eastAsia="en-ZA"/>
        </w:rPr>
        <w:t xml:space="preserve"> FirstRand Bank undertook to make a loan facility available to the </w:t>
      </w:r>
      <w:r w:rsidR="00013331">
        <w:rPr>
          <w:rFonts w:ascii="Arial" w:eastAsiaTheme="minorEastAsia" w:hAnsi="Arial" w:cs="Arial"/>
          <w:color w:val="000000" w:themeColor="text1"/>
          <w:sz w:val="24"/>
          <w:szCs w:val="24"/>
          <w:lang w:eastAsia="en-ZA"/>
        </w:rPr>
        <w:t>Respondent Trust</w:t>
      </w:r>
      <w:r w:rsidR="00B4600C">
        <w:rPr>
          <w:rFonts w:ascii="Arial" w:eastAsiaTheme="minorEastAsia" w:hAnsi="Arial" w:cs="Arial"/>
          <w:color w:val="000000" w:themeColor="text1"/>
          <w:sz w:val="24"/>
          <w:szCs w:val="24"/>
          <w:lang w:eastAsia="en-ZA"/>
        </w:rPr>
        <w:t xml:space="preserve">.  The </w:t>
      </w:r>
      <w:r w:rsidR="00103989">
        <w:rPr>
          <w:rFonts w:ascii="Arial" w:eastAsiaTheme="minorEastAsia" w:hAnsi="Arial" w:cs="Arial"/>
          <w:color w:val="000000" w:themeColor="text1"/>
          <w:sz w:val="24"/>
          <w:szCs w:val="24"/>
          <w:lang w:eastAsia="en-ZA"/>
        </w:rPr>
        <w:t>Applicant Trust</w:t>
      </w:r>
      <w:r w:rsidR="00B4600C">
        <w:rPr>
          <w:rFonts w:ascii="Arial" w:eastAsiaTheme="minorEastAsia" w:hAnsi="Arial" w:cs="Arial"/>
          <w:color w:val="000000" w:themeColor="text1"/>
          <w:sz w:val="24"/>
          <w:szCs w:val="24"/>
          <w:lang w:eastAsia="en-ZA"/>
        </w:rPr>
        <w:t xml:space="preserve"> consented </w:t>
      </w:r>
      <w:r w:rsidR="00B4600C">
        <w:rPr>
          <w:rFonts w:ascii="Arial" w:eastAsiaTheme="minorEastAsia" w:hAnsi="Arial" w:cs="Arial"/>
          <w:color w:val="000000" w:themeColor="text1"/>
          <w:sz w:val="24"/>
          <w:szCs w:val="24"/>
          <w:lang w:eastAsia="en-ZA"/>
        </w:rPr>
        <w:lastRenderedPageBreak/>
        <w:t xml:space="preserve">to the registration of a first covering mortgage bond and to the conclusion of a deed of cession </w:t>
      </w:r>
      <w:r w:rsidR="00B4600C" w:rsidRPr="00B4600C">
        <w:rPr>
          <w:rFonts w:ascii="Arial" w:eastAsiaTheme="minorEastAsia" w:hAnsi="Arial" w:cs="Arial"/>
          <w:i/>
          <w:color w:val="000000" w:themeColor="text1"/>
          <w:sz w:val="24"/>
          <w:szCs w:val="24"/>
          <w:lang w:eastAsia="en-ZA"/>
        </w:rPr>
        <w:t>in securitatem debitii</w:t>
      </w:r>
      <w:r w:rsidR="00B4600C">
        <w:rPr>
          <w:rFonts w:ascii="Arial" w:eastAsiaTheme="minorEastAsia" w:hAnsi="Arial" w:cs="Arial"/>
          <w:color w:val="000000" w:themeColor="text1"/>
          <w:sz w:val="24"/>
          <w:szCs w:val="24"/>
          <w:lang w:eastAsia="en-ZA"/>
        </w:rPr>
        <w:t xml:space="preserve"> over the Sub-Lease in favour of FirstRand Bank.  It was in the </w:t>
      </w:r>
      <w:r w:rsidR="00013331">
        <w:rPr>
          <w:rFonts w:ascii="Arial" w:eastAsiaTheme="minorEastAsia" w:hAnsi="Arial" w:cs="Arial"/>
          <w:color w:val="000000" w:themeColor="text1"/>
          <w:sz w:val="24"/>
          <w:szCs w:val="24"/>
          <w:lang w:eastAsia="en-ZA"/>
        </w:rPr>
        <w:t>Respondent Trust</w:t>
      </w:r>
      <w:r w:rsidR="00B4600C">
        <w:rPr>
          <w:rFonts w:ascii="Arial" w:eastAsiaTheme="minorEastAsia" w:hAnsi="Arial" w:cs="Arial"/>
          <w:color w:val="000000" w:themeColor="text1"/>
          <w:sz w:val="24"/>
          <w:szCs w:val="24"/>
          <w:lang w:eastAsia="en-ZA"/>
        </w:rPr>
        <w:t>’s interests and benefit that it secures this loan and to achieve this to ensure that the conditions precedent to the facility agreement were all fulfilled.</w:t>
      </w:r>
    </w:p>
    <w:p w:rsidR="003A224B" w:rsidRDefault="003A224B" w:rsidP="00B4600C">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3A224B" w:rsidRDefault="00B4600C" w:rsidP="00B4600C">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[14]</w:t>
      </w:r>
      <w:r>
        <w:rPr>
          <w:rFonts w:ascii="Arial" w:eastAsiaTheme="minorEastAsia" w:hAnsi="Arial" w:cs="Arial"/>
          <w:color w:val="000000" w:themeColor="text1"/>
          <w:sz w:val="24"/>
          <w:szCs w:val="24"/>
          <w:lang w:eastAsia="en-ZA"/>
        </w:rPr>
        <w:tab/>
        <w:t xml:space="preserve">In order to secure appropriate undertakings from the </w:t>
      </w:r>
      <w:r w:rsidR="00103989">
        <w:rPr>
          <w:rFonts w:ascii="Arial" w:eastAsiaTheme="minorEastAsia" w:hAnsi="Arial" w:cs="Arial"/>
          <w:color w:val="000000" w:themeColor="text1"/>
          <w:sz w:val="24"/>
          <w:szCs w:val="24"/>
          <w:lang w:eastAsia="en-ZA"/>
        </w:rPr>
        <w:t>Applicant Trust</w:t>
      </w:r>
      <w:r>
        <w:rPr>
          <w:rFonts w:ascii="Arial" w:eastAsiaTheme="minorEastAsia" w:hAnsi="Arial" w:cs="Arial"/>
          <w:color w:val="000000" w:themeColor="text1"/>
          <w:sz w:val="24"/>
          <w:szCs w:val="24"/>
          <w:lang w:eastAsia="en-ZA"/>
        </w:rPr>
        <w:t>, FirstRand Bank</w:t>
      </w:r>
      <w:r w:rsidR="006D51B4">
        <w:rPr>
          <w:rFonts w:ascii="Arial" w:eastAsiaTheme="minorEastAsia" w:hAnsi="Arial" w:cs="Arial"/>
          <w:color w:val="000000" w:themeColor="text1"/>
          <w:sz w:val="24"/>
          <w:szCs w:val="24"/>
          <w:lang w:eastAsia="en-ZA"/>
        </w:rPr>
        <w:t xml:space="preserve"> furnished the </w:t>
      </w:r>
      <w:r w:rsidR="00013331">
        <w:rPr>
          <w:rFonts w:ascii="Arial" w:eastAsiaTheme="minorEastAsia" w:hAnsi="Arial" w:cs="Arial"/>
          <w:color w:val="000000" w:themeColor="text1"/>
          <w:sz w:val="24"/>
          <w:szCs w:val="24"/>
          <w:lang w:eastAsia="en-ZA"/>
        </w:rPr>
        <w:t>Respondent Trust</w:t>
      </w:r>
      <w:r w:rsidR="006D51B4">
        <w:rPr>
          <w:rFonts w:ascii="Arial" w:eastAsiaTheme="minorEastAsia" w:hAnsi="Arial" w:cs="Arial"/>
          <w:color w:val="000000" w:themeColor="text1"/>
          <w:sz w:val="24"/>
          <w:szCs w:val="24"/>
          <w:lang w:eastAsia="en-ZA"/>
        </w:rPr>
        <w:t xml:space="preserve"> with a draft letter of undertaking.  The second respondent, Mr. Michael Georgiou instructed Ms Lindie Koupis of E G Cooper Majiedt Attorneys to assist the </w:t>
      </w:r>
      <w:r w:rsidR="00013331">
        <w:rPr>
          <w:rFonts w:ascii="Arial" w:eastAsiaTheme="minorEastAsia" w:hAnsi="Arial" w:cs="Arial"/>
          <w:color w:val="000000" w:themeColor="text1"/>
          <w:sz w:val="24"/>
          <w:szCs w:val="24"/>
          <w:lang w:eastAsia="en-ZA"/>
        </w:rPr>
        <w:t>Respondent Trust</w:t>
      </w:r>
      <w:r w:rsidR="006D51B4">
        <w:rPr>
          <w:rFonts w:ascii="Arial" w:eastAsiaTheme="minorEastAsia" w:hAnsi="Arial" w:cs="Arial"/>
          <w:color w:val="000000" w:themeColor="text1"/>
          <w:sz w:val="24"/>
          <w:szCs w:val="24"/>
          <w:lang w:eastAsia="en-ZA"/>
        </w:rPr>
        <w:t xml:space="preserve"> </w:t>
      </w:r>
      <w:r w:rsidR="00494D6E">
        <w:rPr>
          <w:rFonts w:ascii="Arial" w:eastAsiaTheme="minorEastAsia" w:hAnsi="Arial" w:cs="Arial"/>
          <w:color w:val="000000" w:themeColor="text1"/>
          <w:sz w:val="24"/>
          <w:szCs w:val="24"/>
          <w:lang w:eastAsia="en-ZA"/>
        </w:rPr>
        <w:t>in</w:t>
      </w:r>
      <w:r w:rsidR="006D51B4">
        <w:rPr>
          <w:rFonts w:ascii="Arial" w:eastAsiaTheme="minorEastAsia" w:hAnsi="Arial" w:cs="Arial"/>
          <w:color w:val="000000" w:themeColor="text1"/>
          <w:sz w:val="24"/>
          <w:szCs w:val="24"/>
          <w:lang w:eastAsia="en-ZA"/>
        </w:rPr>
        <w:t xml:space="preserve"> obtaining the undertakings from the </w:t>
      </w:r>
      <w:r w:rsidR="00103989">
        <w:rPr>
          <w:rFonts w:ascii="Arial" w:eastAsiaTheme="minorEastAsia" w:hAnsi="Arial" w:cs="Arial"/>
          <w:color w:val="000000" w:themeColor="text1"/>
          <w:sz w:val="24"/>
          <w:szCs w:val="24"/>
          <w:lang w:eastAsia="en-ZA"/>
        </w:rPr>
        <w:t>Applicant Trust</w:t>
      </w:r>
      <w:r w:rsidR="006D51B4">
        <w:rPr>
          <w:rFonts w:ascii="Arial" w:eastAsiaTheme="minorEastAsia" w:hAnsi="Arial" w:cs="Arial"/>
          <w:color w:val="000000" w:themeColor="text1"/>
          <w:sz w:val="24"/>
          <w:szCs w:val="24"/>
          <w:lang w:eastAsia="en-ZA"/>
        </w:rPr>
        <w:t xml:space="preserve">.  In an endeavour to negotiate an acceptable notice period Ms Koupis addressed an email to Mr Emile Els, the </w:t>
      </w:r>
      <w:r w:rsidR="00103989">
        <w:rPr>
          <w:rFonts w:ascii="Arial" w:eastAsiaTheme="minorEastAsia" w:hAnsi="Arial" w:cs="Arial"/>
          <w:color w:val="000000" w:themeColor="text1"/>
          <w:sz w:val="24"/>
          <w:szCs w:val="24"/>
          <w:lang w:eastAsia="en-ZA"/>
        </w:rPr>
        <w:t>Applicant Trust</w:t>
      </w:r>
      <w:r w:rsidR="006D51B4">
        <w:rPr>
          <w:rFonts w:ascii="Arial" w:eastAsiaTheme="minorEastAsia" w:hAnsi="Arial" w:cs="Arial"/>
          <w:color w:val="000000" w:themeColor="text1"/>
          <w:sz w:val="24"/>
          <w:szCs w:val="24"/>
          <w:lang w:eastAsia="en-ZA"/>
        </w:rPr>
        <w:t>’s attorney of record</w:t>
      </w:r>
      <w:r w:rsidR="002C5E86">
        <w:rPr>
          <w:rFonts w:ascii="Arial" w:eastAsiaTheme="minorEastAsia" w:hAnsi="Arial" w:cs="Arial"/>
          <w:color w:val="000000" w:themeColor="text1"/>
          <w:sz w:val="24"/>
          <w:szCs w:val="24"/>
          <w:lang w:eastAsia="en-ZA"/>
        </w:rPr>
        <w:t xml:space="preserve"> at </w:t>
      </w:r>
      <w:r w:rsidR="00BF033D">
        <w:rPr>
          <w:rFonts w:ascii="Arial" w:eastAsiaTheme="minorEastAsia" w:hAnsi="Arial" w:cs="Arial"/>
          <w:color w:val="000000" w:themeColor="text1"/>
          <w:sz w:val="24"/>
          <w:szCs w:val="24"/>
          <w:lang w:eastAsia="en-ZA"/>
        </w:rPr>
        <w:t>McIntyre</w:t>
      </w:r>
      <w:r w:rsidR="002C5E86">
        <w:rPr>
          <w:rFonts w:ascii="Arial" w:eastAsiaTheme="minorEastAsia" w:hAnsi="Arial" w:cs="Arial"/>
          <w:color w:val="000000" w:themeColor="text1"/>
          <w:sz w:val="24"/>
          <w:szCs w:val="24"/>
          <w:lang w:eastAsia="en-ZA"/>
        </w:rPr>
        <w:t xml:space="preserve"> Van der Post Incorporated</w:t>
      </w:r>
      <w:r w:rsidR="006D51B4">
        <w:rPr>
          <w:rFonts w:ascii="Arial" w:eastAsiaTheme="minorEastAsia" w:hAnsi="Arial" w:cs="Arial"/>
          <w:color w:val="000000" w:themeColor="text1"/>
          <w:sz w:val="24"/>
          <w:szCs w:val="24"/>
          <w:lang w:eastAsia="en-ZA"/>
        </w:rPr>
        <w:t xml:space="preserve">, proposing that the </w:t>
      </w:r>
      <w:r w:rsidR="00013331">
        <w:rPr>
          <w:rFonts w:ascii="Arial" w:eastAsiaTheme="minorEastAsia" w:hAnsi="Arial" w:cs="Arial"/>
          <w:color w:val="000000" w:themeColor="text1"/>
          <w:sz w:val="24"/>
          <w:szCs w:val="24"/>
          <w:lang w:eastAsia="en-ZA"/>
        </w:rPr>
        <w:t>Respondent Trust</w:t>
      </w:r>
      <w:r w:rsidR="006D51B4">
        <w:rPr>
          <w:rFonts w:ascii="Arial" w:eastAsiaTheme="minorEastAsia" w:hAnsi="Arial" w:cs="Arial"/>
          <w:color w:val="000000" w:themeColor="text1"/>
          <w:sz w:val="24"/>
          <w:szCs w:val="24"/>
          <w:lang w:eastAsia="en-ZA"/>
        </w:rPr>
        <w:t xml:space="preserve"> would be afforded a further period of 45 days to remedy a breach of the Sub-Lease after the expiry of </w:t>
      </w:r>
      <w:r w:rsidR="002C5E86">
        <w:rPr>
          <w:rFonts w:ascii="Arial" w:eastAsiaTheme="minorEastAsia" w:hAnsi="Arial" w:cs="Arial"/>
          <w:color w:val="000000" w:themeColor="text1"/>
          <w:sz w:val="24"/>
          <w:szCs w:val="24"/>
          <w:lang w:eastAsia="en-ZA"/>
        </w:rPr>
        <w:t>the</w:t>
      </w:r>
      <w:r w:rsidR="006D51B4">
        <w:rPr>
          <w:rFonts w:ascii="Arial" w:eastAsiaTheme="minorEastAsia" w:hAnsi="Arial" w:cs="Arial"/>
          <w:color w:val="000000" w:themeColor="text1"/>
          <w:sz w:val="24"/>
          <w:szCs w:val="24"/>
          <w:lang w:eastAsia="en-ZA"/>
        </w:rPr>
        <w:t xml:space="preserve"> initial notice period. </w:t>
      </w:r>
    </w:p>
    <w:p w:rsidR="003A224B" w:rsidRDefault="003A224B" w:rsidP="00B4600C">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C66515" w:rsidRDefault="003A224B" w:rsidP="00B4600C">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[15]</w:t>
      </w:r>
      <w:r>
        <w:rPr>
          <w:rFonts w:ascii="Arial" w:eastAsiaTheme="minorEastAsia" w:hAnsi="Arial" w:cs="Arial"/>
          <w:color w:val="000000" w:themeColor="text1"/>
          <w:sz w:val="24"/>
          <w:szCs w:val="24"/>
          <w:lang w:eastAsia="en-ZA"/>
        </w:rPr>
        <w:tab/>
      </w:r>
      <w:r w:rsidR="006D51B4">
        <w:rPr>
          <w:rFonts w:ascii="Arial" w:eastAsiaTheme="minorEastAsia" w:hAnsi="Arial" w:cs="Arial"/>
          <w:color w:val="000000" w:themeColor="text1"/>
          <w:sz w:val="24"/>
          <w:szCs w:val="24"/>
          <w:lang w:eastAsia="en-ZA"/>
        </w:rPr>
        <w:t>This additional notice period of 45 days was not acceptable to</w:t>
      </w:r>
      <w:r w:rsidR="00155F5C">
        <w:rPr>
          <w:rFonts w:ascii="Arial" w:eastAsiaTheme="minorEastAsia" w:hAnsi="Arial" w:cs="Arial"/>
          <w:color w:val="000000" w:themeColor="text1"/>
          <w:sz w:val="24"/>
          <w:szCs w:val="24"/>
          <w:lang w:eastAsia="en-ZA"/>
        </w:rPr>
        <w:t xml:space="preserve"> the Chief Executive Officer</w:t>
      </w:r>
      <w:r w:rsidR="00D25D50" w:rsidRPr="00D25D50">
        <w:rPr>
          <w:rFonts w:ascii="Arial" w:eastAsiaTheme="minorEastAsia" w:hAnsi="Arial" w:cs="Arial"/>
          <w:color w:val="000000" w:themeColor="text1"/>
          <w:sz w:val="24"/>
          <w:szCs w:val="24"/>
          <w:lang w:eastAsia="en-ZA"/>
        </w:rPr>
        <w:t xml:space="preserve"> </w:t>
      </w:r>
      <w:r w:rsidR="00D25D50">
        <w:rPr>
          <w:rFonts w:ascii="Arial" w:eastAsiaTheme="minorEastAsia" w:hAnsi="Arial" w:cs="Arial"/>
          <w:color w:val="000000" w:themeColor="text1"/>
          <w:sz w:val="24"/>
          <w:szCs w:val="24"/>
          <w:lang w:eastAsia="en-ZA"/>
        </w:rPr>
        <w:t xml:space="preserve">of the </w:t>
      </w:r>
      <w:r w:rsidR="00103989">
        <w:rPr>
          <w:rFonts w:ascii="Arial" w:eastAsiaTheme="minorEastAsia" w:hAnsi="Arial" w:cs="Arial"/>
          <w:color w:val="000000" w:themeColor="text1"/>
          <w:sz w:val="24"/>
          <w:szCs w:val="24"/>
          <w:lang w:eastAsia="en-ZA"/>
        </w:rPr>
        <w:t>Applicant Trust</w:t>
      </w:r>
      <w:r w:rsidR="00155F5C">
        <w:rPr>
          <w:rFonts w:ascii="Arial" w:eastAsiaTheme="minorEastAsia" w:hAnsi="Arial" w:cs="Arial"/>
          <w:color w:val="000000" w:themeColor="text1"/>
          <w:sz w:val="24"/>
          <w:szCs w:val="24"/>
          <w:lang w:eastAsia="en-ZA"/>
        </w:rPr>
        <w:t>, Ms Elsje Prinsloo</w:t>
      </w:r>
      <w:r>
        <w:rPr>
          <w:rFonts w:ascii="Arial" w:eastAsiaTheme="minorEastAsia" w:hAnsi="Arial" w:cs="Arial"/>
          <w:color w:val="000000" w:themeColor="text1"/>
          <w:sz w:val="24"/>
          <w:szCs w:val="24"/>
          <w:lang w:eastAsia="en-ZA"/>
        </w:rPr>
        <w:t>.  Mr. Michael Giorgio</w:t>
      </w:r>
      <w:r w:rsidR="008C6515">
        <w:rPr>
          <w:rFonts w:ascii="Arial" w:eastAsiaTheme="minorEastAsia" w:hAnsi="Arial" w:cs="Arial"/>
          <w:color w:val="000000" w:themeColor="text1"/>
          <w:sz w:val="24"/>
          <w:szCs w:val="24"/>
          <w:lang w:eastAsia="en-ZA"/>
        </w:rPr>
        <w:t>u</w:t>
      </w:r>
      <w:r>
        <w:rPr>
          <w:rFonts w:ascii="Arial" w:eastAsiaTheme="minorEastAsia" w:hAnsi="Arial" w:cs="Arial"/>
          <w:color w:val="000000" w:themeColor="text1"/>
          <w:sz w:val="24"/>
          <w:szCs w:val="24"/>
          <w:lang w:eastAsia="en-ZA"/>
        </w:rPr>
        <w:t xml:space="preserve">, with the assistance of Ms Lindie Koupis, negotiated an acceptable notice period with Ms Elsje Prinsloo </w:t>
      </w:r>
      <w:r w:rsidR="00D25D50">
        <w:rPr>
          <w:rFonts w:ascii="Arial" w:eastAsiaTheme="minorEastAsia" w:hAnsi="Arial" w:cs="Arial"/>
          <w:color w:val="000000" w:themeColor="text1"/>
          <w:sz w:val="24"/>
          <w:szCs w:val="24"/>
          <w:lang w:eastAsia="en-ZA"/>
        </w:rPr>
        <w:t xml:space="preserve">and subsequent to confirmation from FirstRand Bank’s representative, Ms Ruth Boake, the </w:t>
      </w:r>
      <w:r w:rsidR="00103989">
        <w:rPr>
          <w:rFonts w:ascii="Arial" w:eastAsiaTheme="minorEastAsia" w:hAnsi="Arial" w:cs="Arial"/>
          <w:color w:val="000000" w:themeColor="text1"/>
          <w:sz w:val="24"/>
          <w:szCs w:val="24"/>
          <w:lang w:eastAsia="en-ZA"/>
        </w:rPr>
        <w:t>Applicant Trust</w:t>
      </w:r>
      <w:r w:rsidR="00D25D50">
        <w:rPr>
          <w:rFonts w:ascii="Arial" w:eastAsiaTheme="minorEastAsia" w:hAnsi="Arial" w:cs="Arial"/>
          <w:color w:val="000000" w:themeColor="text1"/>
          <w:sz w:val="24"/>
          <w:szCs w:val="24"/>
          <w:lang w:eastAsia="en-ZA"/>
        </w:rPr>
        <w:t xml:space="preserve"> furnished an undertaking in terms whereof the curtailed further notice period was agreed upon.  The undertaking is recorded in annexure “FA10” to the founding affidavit. The relevant provisions of the undertaking </w:t>
      </w:r>
      <w:r w:rsidR="001234F7">
        <w:rPr>
          <w:rFonts w:ascii="Arial" w:eastAsiaTheme="minorEastAsia" w:hAnsi="Arial" w:cs="Arial"/>
          <w:color w:val="000000" w:themeColor="text1"/>
          <w:sz w:val="24"/>
          <w:szCs w:val="24"/>
          <w:lang w:eastAsia="en-ZA"/>
        </w:rPr>
        <w:t xml:space="preserve">(“FA10)”) </w:t>
      </w:r>
      <w:r w:rsidR="00D25D50">
        <w:rPr>
          <w:rFonts w:ascii="Arial" w:eastAsiaTheme="minorEastAsia" w:hAnsi="Arial" w:cs="Arial"/>
          <w:color w:val="000000" w:themeColor="text1"/>
          <w:sz w:val="24"/>
          <w:szCs w:val="24"/>
          <w:lang w:eastAsia="en-ZA"/>
        </w:rPr>
        <w:t>provide as follows:</w:t>
      </w:r>
    </w:p>
    <w:p w:rsidR="00D25D50" w:rsidRDefault="00D25D50" w:rsidP="00565C1E">
      <w:pPr>
        <w:widowControl w:val="0"/>
        <w:kinsoku w:val="0"/>
        <w:overflowPunct w:val="0"/>
        <w:autoSpaceDE w:val="0"/>
        <w:autoSpaceDN w:val="0"/>
        <w:adjustRightInd w:val="0"/>
        <w:spacing w:after="0" w:line="360" w:lineRule="auto"/>
        <w:ind w:left="1843" w:hanging="567"/>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 2.  We hereby consent, to the extent required in terms of the Sub</w:t>
      </w:r>
      <w:r w:rsidR="002C5E86">
        <w:rPr>
          <w:rFonts w:ascii="Arial" w:eastAsiaTheme="minorEastAsia" w:hAnsi="Arial" w:cs="Arial"/>
          <w:color w:val="000000" w:themeColor="text1"/>
          <w:sz w:val="24"/>
          <w:szCs w:val="24"/>
          <w:lang w:eastAsia="en-ZA"/>
        </w:rPr>
        <w:t>L</w:t>
      </w:r>
      <w:r>
        <w:rPr>
          <w:rFonts w:ascii="Arial" w:eastAsiaTheme="minorEastAsia" w:hAnsi="Arial" w:cs="Arial"/>
          <w:color w:val="000000" w:themeColor="text1"/>
          <w:sz w:val="24"/>
          <w:szCs w:val="24"/>
          <w:lang w:eastAsia="en-ZA"/>
        </w:rPr>
        <w:t>ease, to:</w:t>
      </w:r>
    </w:p>
    <w:p w:rsidR="00D25D50" w:rsidRDefault="00D25D50" w:rsidP="00B4600C">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ab/>
        <w:t>2.1</w:t>
      </w:r>
      <w:r>
        <w:rPr>
          <w:rFonts w:ascii="Arial" w:eastAsiaTheme="minorEastAsia" w:hAnsi="Arial" w:cs="Arial"/>
          <w:color w:val="000000" w:themeColor="text1"/>
          <w:sz w:val="24"/>
          <w:szCs w:val="24"/>
          <w:lang w:eastAsia="en-ZA"/>
        </w:rPr>
        <w:tab/>
        <w:t>the conclusion of the Cession by the Sub</w:t>
      </w:r>
      <w:r w:rsidR="002E5C7C">
        <w:rPr>
          <w:rFonts w:ascii="Arial" w:eastAsiaTheme="minorEastAsia" w:hAnsi="Arial" w:cs="Arial"/>
          <w:color w:val="000000" w:themeColor="text1"/>
          <w:sz w:val="24"/>
          <w:szCs w:val="24"/>
          <w:lang w:eastAsia="en-ZA"/>
        </w:rPr>
        <w:t>L</w:t>
      </w:r>
      <w:r>
        <w:rPr>
          <w:rFonts w:ascii="Arial" w:eastAsiaTheme="minorEastAsia" w:hAnsi="Arial" w:cs="Arial"/>
          <w:color w:val="000000" w:themeColor="text1"/>
          <w:sz w:val="24"/>
          <w:szCs w:val="24"/>
          <w:lang w:eastAsia="en-ZA"/>
        </w:rPr>
        <w:t>essee;</w:t>
      </w:r>
    </w:p>
    <w:p w:rsidR="002E5C7C" w:rsidRDefault="002E5C7C" w:rsidP="00B4600C">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ab/>
        <w:t>2.2</w:t>
      </w:r>
      <w:r>
        <w:rPr>
          <w:rFonts w:ascii="Arial" w:eastAsiaTheme="minorEastAsia" w:hAnsi="Arial" w:cs="Arial"/>
          <w:color w:val="000000" w:themeColor="text1"/>
          <w:sz w:val="24"/>
          <w:szCs w:val="24"/>
          <w:lang w:eastAsia="en-ZA"/>
        </w:rPr>
        <w:tab/>
        <w:t xml:space="preserve">the registration of the Mortgage Bond by the SubLessee over the </w:t>
      </w:r>
      <w:r>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ab/>
        <w:t>SubLease</w:t>
      </w:r>
      <w:r w:rsidR="002C5E86">
        <w:rPr>
          <w:rFonts w:ascii="Arial" w:eastAsiaTheme="minorEastAsia" w:hAnsi="Arial" w:cs="Arial"/>
          <w:color w:val="000000" w:themeColor="text1"/>
          <w:sz w:val="24"/>
          <w:szCs w:val="24"/>
          <w:lang w:eastAsia="en-ZA"/>
        </w:rPr>
        <w:t xml:space="preserve"> </w:t>
      </w:r>
      <w:r>
        <w:rPr>
          <w:rFonts w:ascii="Arial" w:eastAsiaTheme="minorEastAsia" w:hAnsi="Arial" w:cs="Arial"/>
          <w:color w:val="000000" w:themeColor="text1"/>
          <w:sz w:val="24"/>
          <w:szCs w:val="24"/>
          <w:lang w:eastAsia="en-ZA"/>
        </w:rPr>
        <w:t xml:space="preserve">(and undertake, if applicable, to sign any documentation or </w:t>
      </w:r>
      <w:r>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ab/>
        <w:t xml:space="preserve">consents required by the applicable Deeds Registry to procure such </w:t>
      </w:r>
      <w:r>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ab/>
        <w:t>registration).</w:t>
      </w:r>
    </w:p>
    <w:p w:rsidR="002E5C7C" w:rsidRDefault="002E5C7C" w:rsidP="00565C1E">
      <w:pPr>
        <w:widowControl w:val="0"/>
        <w:kinsoku w:val="0"/>
        <w:overflowPunct w:val="0"/>
        <w:autoSpaceDE w:val="0"/>
        <w:autoSpaceDN w:val="0"/>
        <w:adjustRightInd w:val="0"/>
        <w:spacing w:after="0" w:line="360" w:lineRule="auto"/>
        <w:ind w:left="1701" w:hanging="425"/>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3. We further undertake, in favour of the Lender, that:</w:t>
      </w:r>
    </w:p>
    <w:p w:rsidR="002E5C7C" w:rsidRDefault="002E5C7C" w:rsidP="00565C1E">
      <w:pPr>
        <w:widowControl w:val="0"/>
        <w:kinsoku w:val="0"/>
        <w:overflowPunct w:val="0"/>
        <w:autoSpaceDE w:val="0"/>
        <w:autoSpaceDN w:val="0"/>
        <w:adjustRightInd w:val="0"/>
        <w:spacing w:after="0" w:line="360" w:lineRule="auto"/>
        <w:ind w:left="851" w:firstLine="567"/>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ab/>
        <w:t>3.1</w:t>
      </w:r>
      <w:r>
        <w:rPr>
          <w:rFonts w:ascii="Arial" w:eastAsiaTheme="minorEastAsia" w:hAnsi="Arial" w:cs="Arial"/>
          <w:color w:val="000000" w:themeColor="text1"/>
          <w:sz w:val="24"/>
          <w:szCs w:val="24"/>
          <w:lang w:eastAsia="en-ZA"/>
        </w:rPr>
        <w:tab/>
        <w:t xml:space="preserve">for as long as the SubLessee is indebted to the Lender under and in </w:t>
      </w:r>
      <w:r w:rsidR="00565C1E">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 xml:space="preserve">terms of the Mortgage Bond, the SubLessor shall not be entitled to cancel </w:t>
      </w:r>
      <w:r w:rsidR="00565C1E">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the SubLease in consequence of default by the SubLessee unless:</w:t>
      </w:r>
    </w:p>
    <w:p w:rsidR="002E5C7C" w:rsidRDefault="002E5C7C" w:rsidP="00B4600C">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lastRenderedPageBreak/>
        <w:tab/>
      </w:r>
      <w:r w:rsidR="00565C1E">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3.1.1</w:t>
      </w:r>
      <w:r>
        <w:rPr>
          <w:rFonts w:ascii="Arial" w:eastAsiaTheme="minorEastAsia" w:hAnsi="Arial" w:cs="Arial"/>
          <w:color w:val="000000" w:themeColor="text1"/>
          <w:sz w:val="24"/>
          <w:szCs w:val="24"/>
          <w:lang w:eastAsia="en-ZA"/>
        </w:rPr>
        <w:tab/>
        <w:t xml:space="preserve">the SubLessor has given the Lender notice of the default in question and </w:t>
      </w:r>
      <w:r w:rsidR="00565C1E">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its intention to cancel the SubLease as a consequence thereof;</w:t>
      </w:r>
    </w:p>
    <w:p w:rsidR="002E5C7C" w:rsidRDefault="002E5C7C" w:rsidP="00B4600C">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3.1.2</w:t>
      </w:r>
      <w:r>
        <w:rPr>
          <w:rFonts w:ascii="Arial" w:eastAsiaTheme="minorEastAsia" w:hAnsi="Arial" w:cs="Arial"/>
          <w:color w:val="000000" w:themeColor="text1"/>
          <w:sz w:val="24"/>
          <w:szCs w:val="24"/>
          <w:lang w:eastAsia="en-ZA"/>
        </w:rPr>
        <w:tab/>
        <w:t xml:space="preserve">a reasonable period of time, being not less than twenty (20) days, has </w:t>
      </w:r>
      <w:r w:rsidR="00565C1E">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passed subsequent to:</w:t>
      </w:r>
    </w:p>
    <w:p w:rsidR="002E5C7C" w:rsidRDefault="002E5C7C" w:rsidP="00B4600C">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3.1.2.1</w:t>
      </w:r>
      <w:r w:rsidR="00565C1E">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the date of delivery at the ab</w:t>
      </w:r>
      <w:r w:rsidR="00565C1E">
        <w:rPr>
          <w:rFonts w:ascii="Arial" w:eastAsiaTheme="minorEastAsia" w:hAnsi="Arial" w:cs="Arial"/>
          <w:color w:val="000000" w:themeColor="text1"/>
          <w:sz w:val="24"/>
          <w:szCs w:val="24"/>
          <w:lang w:eastAsia="en-ZA"/>
        </w:rPr>
        <w:t xml:space="preserve">ovementioned address (being the </w:t>
      </w:r>
      <w:r w:rsidR="00565C1E">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Lende</w:t>
      </w:r>
      <w:r w:rsidR="000608BE">
        <w:rPr>
          <w:rFonts w:ascii="Arial" w:eastAsiaTheme="minorEastAsia" w:hAnsi="Arial" w:cs="Arial"/>
          <w:color w:val="000000" w:themeColor="text1"/>
          <w:sz w:val="24"/>
          <w:szCs w:val="24"/>
          <w:lang w:eastAsia="en-ZA"/>
        </w:rPr>
        <w:t>r</w:t>
      </w:r>
      <w:r>
        <w:rPr>
          <w:rFonts w:ascii="Arial" w:eastAsiaTheme="minorEastAsia" w:hAnsi="Arial" w:cs="Arial"/>
          <w:color w:val="000000" w:themeColor="text1"/>
          <w:sz w:val="24"/>
          <w:szCs w:val="24"/>
          <w:lang w:eastAsia="en-ZA"/>
        </w:rPr>
        <w:t>’s chosen domicilium citandi et executan</w:t>
      </w:r>
      <w:r w:rsidR="000608BE">
        <w:rPr>
          <w:rFonts w:ascii="Arial" w:eastAsiaTheme="minorEastAsia" w:hAnsi="Arial" w:cs="Arial"/>
          <w:color w:val="000000" w:themeColor="text1"/>
          <w:sz w:val="24"/>
          <w:szCs w:val="24"/>
          <w:lang w:eastAsia="en-ZA"/>
        </w:rPr>
        <w:t>d</w:t>
      </w:r>
      <w:r>
        <w:rPr>
          <w:rFonts w:ascii="Arial" w:eastAsiaTheme="minorEastAsia" w:hAnsi="Arial" w:cs="Arial"/>
          <w:color w:val="000000" w:themeColor="text1"/>
          <w:sz w:val="24"/>
          <w:szCs w:val="24"/>
          <w:lang w:eastAsia="en-ZA"/>
        </w:rPr>
        <w:t>i</w:t>
      </w:r>
      <w:r w:rsidR="000608BE">
        <w:rPr>
          <w:rFonts w:ascii="Arial" w:eastAsiaTheme="minorEastAsia" w:hAnsi="Arial" w:cs="Arial"/>
          <w:color w:val="000000" w:themeColor="text1"/>
          <w:sz w:val="24"/>
          <w:szCs w:val="24"/>
          <w:lang w:eastAsia="en-ZA"/>
        </w:rPr>
        <w:t xml:space="preserve"> for purposes </w:t>
      </w:r>
      <w:r w:rsidR="00565C1E">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sidR="000608BE">
        <w:rPr>
          <w:rFonts w:ascii="Arial" w:eastAsiaTheme="minorEastAsia" w:hAnsi="Arial" w:cs="Arial"/>
          <w:color w:val="000000" w:themeColor="text1"/>
          <w:sz w:val="24"/>
          <w:szCs w:val="24"/>
          <w:lang w:eastAsia="en-ZA"/>
        </w:rPr>
        <w:t>hereof) by the Lender of such notice; or</w:t>
      </w:r>
    </w:p>
    <w:p w:rsidR="00C66515" w:rsidRDefault="000608BE" w:rsidP="000608BE">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3.1.2.2</w:t>
      </w:r>
      <w:r w:rsidR="00565C1E">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 xml:space="preserve">the expiry of the period stated in any notice to the Lessee, a copy </w:t>
      </w:r>
      <w:r w:rsidR="00565C1E">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 xml:space="preserve">of which shall be simultaneously provided (as stipulated in 3.1.2.1) </w:t>
      </w:r>
      <w:r w:rsidR="00565C1E">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 xml:space="preserve">to the Lender, within which the SubLessee is required to remedy </w:t>
      </w:r>
      <w:r w:rsidR="00565C1E">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the default;</w:t>
      </w:r>
    </w:p>
    <w:p w:rsidR="000608BE" w:rsidRDefault="000608BE" w:rsidP="000608BE">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 xml:space="preserve">whichever is the later date, within which to procure that such default is a </w:t>
      </w:r>
      <w:r>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remedied:</w:t>
      </w:r>
    </w:p>
    <w:p w:rsidR="000608BE" w:rsidRDefault="000608BE" w:rsidP="000608BE">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3.2</w:t>
      </w:r>
      <w:r>
        <w:rPr>
          <w:rFonts w:ascii="Arial" w:eastAsiaTheme="minorEastAsia" w:hAnsi="Arial" w:cs="Arial"/>
          <w:color w:val="000000" w:themeColor="text1"/>
          <w:sz w:val="24"/>
          <w:szCs w:val="24"/>
          <w:lang w:eastAsia="en-ZA"/>
        </w:rPr>
        <w:tab/>
        <w:t xml:space="preserve">for as long as the SubLessee is indebted to the Lender under and in </w:t>
      </w:r>
      <w:r w:rsidR="00565C1E">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 xml:space="preserve">terms of the Mortgage Bond, any purported cancellation or termination of </w:t>
      </w:r>
      <w:r w:rsidR="00565C1E">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the SubLease by either party the</w:t>
      </w:r>
      <w:r w:rsidR="00565C1E">
        <w:rPr>
          <w:rFonts w:ascii="Arial" w:eastAsiaTheme="minorEastAsia" w:hAnsi="Arial" w:cs="Arial"/>
          <w:color w:val="000000" w:themeColor="text1"/>
          <w:sz w:val="24"/>
          <w:szCs w:val="24"/>
          <w:lang w:eastAsia="en-ZA"/>
        </w:rPr>
        <w:t>re</w:t>
      </w:r>
      <w:r>
        <w:rPr>
          <w:rFonts w:ascii="Arial" w:eastAsiaTheme="minorEastAsia" w:hAnsi="Arial" w:cs="Arial"/>
          <w:color w:val="000000" w:themeColor="text1"/>
          <w:sz w:val="24"/>
          <w:szCs w:val="24"/>
          <w:lang w:eastAsia="en-ZA"/>
        </w:rPr>
        <w:t xml:space="preserve">to which is contrary to the provisions </w:t>
      </w:r>
      <w:r w:rsidR="00565C1E">
        <w:rPr>
          <w:rFonts w:ascii="Arial" w:eastAsiaTheme="minorEastAsia" w:hAnsi="Arial" w:cs="Arial"/>
          <w:color w:val="000000" w:themeColor="text1"/>
          <w:sz w:val="24"/>
          <w:szCs w:val="24"/>
          <w:lang w:eastAsia="en-ZA"/>
        </w:rPr>
        <w:tab/>
      </w:r>
      <w:r w:rsidR="00565C1E">
        <w:rPr>
          <w:rFonts w:ascii="Arial" w:eastAsiaTheme="minorEastAsia" w:hAnsi="Arial" w:cs="Arial"/>
          <w:color w:val="000000" w:themeColor="text1"/>
          <w:sz w:val="24"/>
          <w:szCs w:val="24"/>
          <w:lang w:eastAsia="en-ZA"/>
        </w:rPr>
        <w:tab/>
      </w:r>
      <w:r>
        <w:rPr>
          <w:rFonts w:ascii="Arial" w:eastAsiaTheme="minorEastAsia" w:hAnsi="Arial" w:cs="Arial"/>
          <w:color w:val="000000" w:themeColor="text1"/>
          <w:sz w:val="24"/>
          <w:szCs w:val="24"/>
          <w:lang w:eastAsia="en-ZA"/>
        </w:rPr>
        <w:t>of this clause will be invalid and of no force or effect whatsoever.”</w:t>
      </w:r>
    </w:p>
    <w:p w:rsidR="00D36C49" w:rsidRDefault="00D36C49" w:rsidP="000608BE">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D36C49" w:rsidRDefault="00D36C49" w:rsidP="000608BE">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[16]</w:t>
      </w:r>
      <w:r>
        <w:rPr>
          <w:rFonts w:ascii="Arial" w:eastAsiaTheme="minorEastAsia" w:hAnsi="Arial" w:cs="Arial"/>
          <w:color w:val="000000" w:themeColor="text1"/>
          <w:sz w:val="24"/>
          <w:szCs w:val="24"/>
          <w:lang w:eastAsia="en-ZA"/>
        </w:rPr>
        <w:tab/>
        <w:t xml:space="preserve">It is common cause that it routinely occurred that the </w:t>
      </w:r>
      <w:r w:rsidR="00013331">
        <w:rPr>
          <w:rFonts w:ascii="Arial" w:eastAsiaTheme="minorEastAsia" w:hAnsi="Arial" w:cs="Arial"/>
          <w:color w:val="000000" w:themeColor="text1"/>
          <w:sz w:val="24"/>
          <w:szCs w:val="24"/>
          <w:lang w:eastAsia="en-ZA"/>
        </w:rPr>
        <w:t>Respondent Trust</w:t>
      </w:r>
      <w:r>
        <w:rPr>
          <w:rFonts w:ascii="Arial" w:eastAsiaTheme="minorEastAsia" w:hAnsi="Arial" w:cs="Arial"/>
          <w:color w:val="000000" w:themeColor="text1"/>
          <w:sz w:val="24"/>
          <w:szCs w:val="24"/>
          <w:lang w:eastAsia="en-ZA"/>
        </w:rPr>
        <w:t xml:space="preserve"> </w:t>
      </w:r>
      <w:r w:rsidR="008C6515">
        <w:rPr>
          <w:rFonts w:ascii="Arial" w:eastAsiaTheme="minorEastAsia" w:hAnsi="Arial" w:cs="Arial"/>
          <w:color w:val="000000" w:themeColor="text1"/>
          <w:sz w:val="24"/>
          <w:szCs w:val="24"/>
          <w:lang w:eastAsia="en-ZA"/>
        </w:rPr>
        <w:t>failed to</w:t>
      </w:r>
      <w:r>
        <w:rPr>
          <w:rFonts w:ascii="Arial" w:eastAsiaTheme="minorEastAsia" w:hAnsi="Arial" w:cs="Arial"/>
          <w:color w:val="000000" w:themeColor="text1"/>
          <w:sz w:val="24"/>
          <w:szCs w:val="24"/>
          <w:lang w:eastAsia="en-ZA"/>
        </w:rPr>
        <w:t xml:space="preserve"> pay the rental due to the </w:t>
      </w:r>
      <w:r w:rsidR="00103989">
        <w:rPr>
          <w:rFonts w:ascii="Arial" w:eastAsiaTheme="minorEastAsia" w:hAnsi="Arial" w:cs="Arial"/>
          <w:color w:val="000000" w:themeColor="text1"/>
          <w:sz w:val="24"/>
          <w:szCs w:val="24"/>
          <w:lang w:eastAsia="en-ZA"/>
        </w:rPr>
        <w:t>Applicant Trust</w:t>
      </w:r>
      <w:r>
        <w:rPr>
          <w:rFonts w:ascii="Arial" w:eastAsiaTheme="minorEastAsia" w:hAnsi="Arial" w:cs="Arial"/>
          <w:color w:val="000000" w:themeColor="text1"/>
          <w:sz w:val="24"/>
          <w:szCs w:val="24"/>
          <w:lang w:eastAsia="en-ZA"/>
        </w:rPr>
        <w:t xml:space="preserve"> in terms of the Sub-Lease on the first day of each month.  The </w:t>
      </w:r>
      <w:r w:rsidR="00013331">
        <w:rPr>
          <w:rFonts w:ascii="Arial" w:eastAsiaTheme="minorEastAsia" w:hAnsi="Arial" w:cs="Arial"/>
          <w:color w:val="000000" w:themeColor="text1"/>
          <w:sz w:val="24"/>
          <w:szCs w:val="24"/>
          <w:lang w:eastAsia="en-ZA"/>
        </w:rPr>
        <w:t>Respondent Trust</w:t>
      </w:r>
      <w:r>
        <w:rPr>
          <w:rFonts w:ascii="Arial" w:eastAsiaTheme="minorEastAsia" w:hAnsi="Arial" w:cs="Arial"/>
          <w:color w:val="000000" w:themeColor="text1"/>
          <w:sz w:val="24"/>
          <w:szCs w:val="24"/>
          <w:lang w:eastAsia="en-ZA"/>
        </w:rPr>
        <w:t xml:space="preserve">’s continual failure to pay the rental amounts timeously, resulted in the </w:t>
      </w:r>
      <w:r w:rsidR="00103989">
        <w:rPr>
          <w:rFonts w:ascii="Arial" w:eastAsiaTheme="minorEastAsia" w:hAnsi="Arial" w:cs="Arial"/>
          <w:color w:val="000000" w:themeColor="text1"/>
          <w:sz w:val="24"/>
          <w:szCs w:val="24"/>
          <w:lang w:eastAsia="en-ZA"/>
        </w:rPr>
        <w:t>Applicant Trust</w:t>
      </w:r>
      <w:r>
        <w:rPr>
          <w:rFonts w:ascii="Arial" w:eastAsiaTheme="minorEastAsia" w:hAnsi="Arial" w:cs="Arial"/>
          <w:color w:val="000000" w:themeColor="text1"/>
          <w:sz w:val="24"/>
          <w:szCs w:val="24"/>
          <w:lang w:eastAsia="en-ZA"/>
        </w:rPr>
        <w:t xml:space="preserve">’s attorneys having to, almost on a monthly basis, address a letter of demand where after the </w:t>
      </w:r>
      <w:r w:rsidR="00013331">
        <w:rPr>
          <w:rFonts w:ascii="Arial" w:eastAsiaTheme="minorEastAsia" w:hAnsi="Arial" w:cs="Arial"/>
          <w:color w:val="000000" w:themeColor="text1"/>
          <w:sz w:val="24"/>
          <w:szCs w:val="24"/>
          <w:lang w:eastAsia="en-ZA"/>
        </w:rPr>
        <w:t>Respondent Trust</w:t>
      </w:r>
      <w:r>
        <w:rPr>
          <w:rFonts w:ascii="Arial" w:eastAsiaTheme="minorEastAsia" w:hAnsi="Arial" w:cs="Arial"/>
          <w:color w:val="000000" w:themeColor="text1"/>
          <w:sz w:val="24"/>
          <w:szCs w:val="24"/>
          <w:lang w:eastAsia="en-ZA"/>
        </w:rPr>
        <w:t xml:space="preserve"> would then either rectify its breach or request an extension of time, to which the </w:t>
      </w:r>
      <w:r w:rsidR="00103989">
        <w:rPr>
          <w:rFonts w:ascii="Arial" w:eastAsiaTheme="minorEastAsia" w:hAnsi="Arial" w:cs="Arial"/>
          <w:color w:val="000000" w:themeColor="text1"/>
          <w:sz w:val="24"/>
          <w:szCs w:val="24"/>
          <w:lang w:eastAsia="en-ZA"/>
        </w:rPr>
        <w:t>Applicant Trust</w:t>
      </w:r>
      <w:r>
        <w:rPr>
          <w:rFonts w:ascii="Arial" w:eastAsiaTheme="minorEastAsia" w:hAnsi="Arial" w:cs="Arial"/>
          <w:color w:val="000000" w:themeColor="text1"/>
          <w:sz w:val="24"/>
          <w:szCs w:val="24"/>
          <w:lang w:eastAsia="en-ZA"/>
        </w:rPr>
        <w:t xml:space="preserve"> had </w:t>
      </w:r>
      <w:r w:rsidR="00631E9B">
        <w:rPr>
          <w:rFonts w:ascii="Arial" w:eastAsiaTheme="minorEastAsia" w:hAnsi="Arial" w:cs="Arial"/>
          <w:color w:val="000000" w:themeColor="text1"/>
          <w:sz w:val="24"/>
          <w:szCs w:val="24"/>
          <w:lang w:eastAsia="en-ZA"/>
        </w:rPr>
        <w:t>a</w:t>
      </w:r>
      <w:r>
        <w:rPr>
          <w:rFonts w:ascii="Arial" w:eastAsiaTheme="minorEastAsia" w:hAnsi="Arial" w:cs="Arial"/>
          <w:color w:val="000000" w:themeColor="text1"/>
          <w:sz w:val="24"/>
          <w:szCs w:val="24"/>
          <w:lang w:eastAsia="en-ZA"/>
        </w:rPr>
        <w:t>cceded on numerous occasions.</w:t>
      </w:r>
    </w:p>
    <w:p w:rsidR="00631E9B" w:rsidRDefault="00631E9B" w:rsidP="000608BE">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0608BE" w:rsidRDefault="00631E9B" w:rsidP="000608BE">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[17]</w:t>
      </w:r>
      <w:r>
        <w:rPr>
          <w:rFonts w:ascii="Arial" w:eastAsiaTheme="minorEastAsia" w:hAnsi="Arial" w:cs="Arial"/>
          <w:color w:val="000000" w:themeColor="text1"/>
          <w:sz w:val="24"/>
          <w:szCs w:val="24"/>
          <w:lang w:eastAsia="en-ZA"/>
        </w:rPr>
        <w:tab/>
        <w:t xml:space="preserve">Each of the invoices issued to the </w:t>
      </w:r>
      <w:r w:rsidR="00013331">
        <w:rPr>
          <w:rFonts w:ascii="Arial" w:eastAsiaTheme="minorEastAsia" w:hAnsi="Arial" w:cs="Arial"/>
          <w:color w:val="000000" w:themeColor="text1"/>
          <w:sz w:val="24"/>
          <w:szCs w:val="24"/>
          <w:lang w:eastAsia="en-ZA"/>
        </w:rPr>
        <w:t>Respondent Trust</w:t>
      </w:r>
      <w:r>
        <w:rPr>
          <w:rFonts w:ascii="Arial" w:eastAsiaTheme="minorEastAsia" w:hAnsi="Arial" w:cs="Arial"/>
          <w:color w:val="000000" w:themeColor="text1"/>
          <w:sz w:val="24"/>
          <w:szCs w:val="24"/>
          <w:lang w:eastAsia="en-ZA"/>
        </w:rPr>
        <w:t xml:space="preserve"> for payment of rental recorded that payment thereof was due on the seventh day of the month and interest would be charged from the fifteenth day of the month.  Notwithstanding the terms of the Sub-Lease, the </w:t>
      </w:r>
      <w:r w:rsidR="00013331">
        <w:rPr>
          <w:rFonts w:ascii="Arial" w:eastAsiaTheme="minorEastAsia" w:hAnsi="Arial" w:cs="Arial"/>
          <w:color w:val="000000" w:themeColor="text1"/>
          <w:sz w:val="24"/>
          <w:szCs w:val="24"/>
          <w:lang w:eastAsia="en-ZA"/>
        </w:rPr>
        <w:t>Respondent Trust</w:t>
      </w:r>
      <w:r>
        <w:rPr>
          <w:rFonts w:ascii="Arial" w:eastAsiaTheme="minorEastAsia" w:hAnsi="Arial" w:cs="Arial"/>
          <w:color w:val="000000" w:themeColor="text1"/>
          <w:sz w:val="24"/>
          <w:szCs w:val="24"/>
          <w:lang w:eastAsia="en-ZA"/>
        </w:rPr>
        <w:t xml:space="preserve"> accordingly did not pay the rental on the first day of the month.  The </w:t>
      </w:r>
      <w:r w:rsidR="00013331">
        <w:rPr>
          <w:rFonts w:ascii="Arial" w:eastAsiaTheme="minorEastAsia" w:hAnsi="Arial" w:cs="Arial"/>
          <w:color w:val="000000" w:themeColor="text1"/>
          <w:sz w:val="24"/>
          <w:szCs w:val="24"/>
          <w:lang w:eastAsia="en-ZA"/>
        </w:rPr>
        <w:t>Respondent Trust</w:t>
      </w:r>
      <w:r>
        <w:rPr>
          <w:rFonts w:ascii="Arial" w:eastAsiaTheme="minorEastAsia" w:hAnsi="Arial" w:cs="Arial"/>
          <w:color w:val="000000" w:themeColor="text1"/>
          <w:sz w:val="24"/>
          <w:szCs w:val="24"/>
          <w:lang w:eastAsia="en-ZA"/>
        </w:rPr>
        <w:t xml:space="preserve"> </w:t>
      </w:r>
      <w:r w:rsidR="00CA5DA1">
        <w:rPr>
          <w:rFonts w:ascii="Arial" w:eastAsiaTheme="minorEastAsia" w:hAnsi="Arial" w:cs="Arial"/>
          <w:color w:val="000000" w:themeColor="text1"/>
          <w:sz w:val="24"/>
          <w:szCs w:val="24"/>
          <w:lang w:eastAsia="en-ZA"/>
        </w:rPr>
        <w:t xml:space="preserve">contends that it </w:t>
      </w:r>
      <w:r>
        <w:rPr>
          <w:rFonts w:ascii="Arial" w:eastAsiaTheme="minorEastAsia" w:hAnsi="Arial" w:cs="Arial"/>
          <w:color w:val="000000" w:themeColor="text1"/>
          <w:sz w:val="24"/>
          <w:szCs w:val="24"/>
          <w:lang w:eastAsia="en-ZA"/>
        </w:rPr>
        <w:t xml:space="preserve">applied the payment terms recorded in the invoices rendered </w:t>
      </w:r>
      <w:r w:rsidR="008C6515">
        <w:rPr>
          <w:rFonts w:ascii="Arial" w:eastAsiaTheme="minorEastAsia" w:hAnsi="Arial" w:cs="Arial"/>
          <w:color w:val="000000" w:themeColor="text1"/>
          <w:sz w:val="24"/>
          <w:szCs w:val="24"/>
          <w:lang w:eastAsia="en-ZA"/>
        </w:rPr>
        <w:t xml:space="preserve">to it </w:t>
      </w:r>
      <w:r>
        <w:rPr>
          <w:rFonts w:ascii="Arial" w:eastAsiaTheme="minorEastAsia" w:hAnsi="Arial" w:cs="Arial"/>
          <w:color w:val="000000" w:themeColor="text1"/>
          <w:sz w:val="24"/>
          <w:szCs w:val="24"/>
          <w:lang w:eastAsia="en-ZA"/>
        </w:rPr>
        <w:t xml:space="preserve">by the </w:t>
      </w:r>
      <w:r w:rsidR="00103989">
        <w:rPr>
          <w:rFonts w:ascii="Arial" w:eastAsiaTheme="minorEastAsia" w:hAnsi="Arial" w:cs="Arial"/>
          <w:color w:val="000000" w:themeColor="text1"/>
          <w:sz w:val="24"/>
          <w:szCs w:val="24"/>
          <w:lang w:eastAsia="en-ZA"/>
        </w:rPr>
        <w:t>Applicant Trust</w:t>
      </w:r>
      <w:r>
        <w:rPr>
          <w:rFonts w:ascii="Arial" w:eastAsiaTheme="minorEastAsia" w:hAnsi="Arial" w:cs="Arial"/>
          <w:color w:val="000000" w:themeColor="text1"/>
          <w:sz w:val="24"/>
          <w:szCs w:val="24"/>
          <w:lang w:eastAsia="en-ZA"/>
        </w:rPr>
        <w:t>.</w:t>
      </w:r>
    </w:p>
    <w:p w:rsidR="006A653E" w:rsidRDefault="006A653E" w:rsidP="000608BE">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B91964" w:rsidRDefault="00631E9B" w:rsidP="000608BE">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[18]</w:t>
      </w:r>
      <w:r>
        <w:rPr>
          <w:rFonts w:ascii="Arial" w:eastAsiaTheme="minorEastAsia" w:hAnsi="Arial" w:cs="Arial"/>
          <w:color w:val="000000" w:themeColor="text1"/>
          <w:sz w:val="24"/>
          <w:szCs w:val="24"/>
          <w:lang w:eastAsia="en-ZA"/>
        </w:rPr>
        <w:tab/>
        <w:t xml:space="preserve">During October 2020 the </w:t>
      </w:r>
      <w:r w:rsidR="00103989">
        <w:rPr>
          <w:rFonts w:ascii="Arial" w:eastAsiaTheme="minorEastAsia" w:hAnsi="Arial" w:cs="Arial"/>
          <w:color w:val="000000" w:themeColor="text1"/>
          <w:sz w:val="24"/>
          <w:szCs w:val="24"/>
          <w:lang w:eastAsia="en-ZA"/>
        </w:rPr>
        <w:t>Applicant Trust</w:t>
      </w:r>
      <w:r>
        <w:rPr>
          <w:rFonts w:ascii="Arial" w:eastAsiaTheme="minorEastAsia" w:hAnsi="Arial" w:cs="Arial"/>
          <w:color w:val="000000" w:themeColor="text1"/>
          <w:sz w:val="24"/>
          <w:szCs w:val="24"/>
          <w:lang w:eastAsia="en-ZA"/>
        </w:rPr>
        <w:t xml:space="preserve"> appointed McIntyre Van der Post Inc</w:t>
      </w:r>
      <w:r w:rsidR="00CA5DA1">
        <w:rPr>
          <w:rFonts w:ascii="Arial" w:eastAsiaTheme="minorEastAsia" w:hAnsi="Arial" w:cs="Arial"/>
          <w:color w:val="000000" w:themeColor="text1"/>
          <w:sz w:val="24"/>
          <w:szCs w:val="24"/>
          <w:lang w:eastAsia="en-ZA"/>
        </w:rPr>
        <w:t>.</w:t>
      </w:r>
      <w:r w:rsidR="008C6515">
        <w:rPr>
          <w:rFonts w:ascii="Arial" w:eastAsiaTheme="minorEastAsia" w:hAnsi="Arial" w:cs="Arial"/>
          <w:color w:val="000000" w:themeColor="text1"/>
          <w:sz w:val="24"/>
          <w:szCs w:val="24"/>
          <w:lang w:eastAsia="en-ZA"/>
        </w:rPr>
        <w:t xml:space="preserve"> </w:t>
      </w:r>
      <w:r w:rsidR="008C6515">
        <w:rPr>
          <w:rFonts w:ascii="Arial" w:eastAsiaTheme="minorEastAsia" w:hAnsi="Arial" w:cs="Arial"/>
          <w:color w:val="000000" w:themeColor="text1"/>
          <w:sz w:val="24"/>
          <w:szCs w:val="24"/>
          <w:lang w:eastAsia="en-ZA"/>
        </w:rPr>
        <w:lastRenderedPageBreak/>
        <w:t>attorneys</w:t>
      </w:r>
      <w:r>
        <w:rPr>
          <w:rFonts w:ascii="Arial" w:eastAsiaTheme="minorEastAsia" w:hAnsi="Arial" w:cs="Arial"/>
          <w:color w:val="000000" w:themeColor="text1"/>
          <w:sz w:val="24"/>
          <w:szCs w:val="24"/>
          <w:lang w:eastAsia="en-ZA"/>
        </w:rPr>
        <w:t xml:space="preserve"> to assist with the collection of rentals from the </w:t>
      </w:r>
      <w:r w:rsidR="00013331">
        <w:rPr>
          <w:rFonts w:ascii="Arial" w:eastAsiaTheme="minorEastAsia" w:hAnsi="Arial" w:cs="Arial"/>
          <w:color w:val="000000" w:themeColor="text1"/>
          <w:sz w:val="24"/>
          <w:szCs w:val="24"/>
          <w:lang w:eastAsia="en-ZA"/>
        </w:rPr>
        <w:t>Respondent Trust</w:t>
      </w:r>
      <w:r>
        <w:rPr>
          <w:rFonts w:ascii="Arial" w:eastAsiaTheme="minorEastAsia" w:hAnsi="Arial" w:cs="Arial"/>
          <w:color w:val="000000" w:themeColor="text1"/>
          <w:sz w:val="24"/>
          <w:szCs w:val="24"/>
          <w:lang w:eastAsia="en-ZA"/>
        </w:rPr>
        <w:t>.  Several letters of demand</w:t>
      </w:r>
      <w:r w:rsidR="006A653E">
        <w:rPr>
          <w:rFonts w:ascii="Arial" w:eastAsiaTheme="minorEastAsia" w:hAnsi="Arial" w:cs="Arial"/>
          <w:color w:val="000000" w:themeColor="text1"/>
          <w:sz w:val="24"/>
          <w:szCs w:val="24"/>
          <w:lang w:eastAsia="en-ZA"/>
        </w:rPr>
        <w:t xml:space="preserve"> by McIntyre van der </w:t>
      </w:r>
      <w:r w:rsidR="00BF033D">
        <w:rPr>
          <w:rFonts w:ascii="Arial" w:eastAsiaTheme="minorEastAsia" w:hAnsi="Arial" w:cs="Arial"/>
          <w:color w:val="000000" w:themeColor="text1"/>
          <w:sz w:val="24"/>
          <w:szCs w:val="24"/>
          <w:lang w:eastAsia="en-ZA"/>
        </w:rPr>
        <w:t>Post Inc.</w:t>
      </w:r>
      <w:r w:rsidR="006A653E">
        <w:rPr>
          <w:rFonts w:ascii="Arial" w:eastAsiaTheme="minorEastAsia" w:hAnsi="Arial" w:cs="Arial"/>
          <w:color w:val="000000" w:themeColor="text1"/>
          <w:sz w:val="24"/>
          <w:szCs w:val="24"/>
          <w:lang w:eastAsia="en-ZA"/>
        </w:rPr>
        <w:t xml:space="preserve"> </w:t>
      </w:r>
      <w:r>
        <w:rPr>
          <w:rFonts w:ascii="Arial" w:eastAsiaTheme="minorEastAsia" w:hAnsi="Arial" w:cs="Arial"/>
          <w:color w:val="000000" w:themeColor="text1"/>
          <w:sz w:val="24"/>
          <w:szCs w:val="24"/>
          <w:lang w:eastAsia="en-ZA"/>
        </w:rPr>
        <w:t xml:space="preserve">were addressed to the </w:t>
      </w:r>
      <w:r w:rsidR="00013331">
        <w:rPr>
          <w:rFonts w:ascii="Arial" w:eastAsiaTheme="minorEastAsia" w:hAnsi="Arial" w:cs="Arial"/>
          <w:color w:val="000000" w:themeColor="text1"/>
          <w:sz w:val="24"/>
          <w:szCs w:val="24"/>
          <w:lang w:eastAsia="en-ZA"/>
        </w:rPr>
        <w:t>Respondent Trust</w:t>
      </w:r>
      <w:r>
        <w:rPr>
          <w:rFonts w:ascii="Arial" w:eastAsiaTheme="minorEastAsia" w:hAnsi="Arial" w:cs="Arial"/>
          <w:color w:val="000000" w:themeColor="text1"/>
          <w:sz w:val="24"/>
          <w:szCs w:val="24"/>
          <w:lang w:eastAsia="en-ZA"/>
        </w:rPr>
        <w:t xml:space="preserve"> to demand payment of arrear </w:t>
      </w:r>
      <w:r w:rsidR="00BF033D">
        <w:rPr>
          <w:rFonts w:ascii="Arial" w:eastAsiaTheme="minorEastAsia" w:hAnsi="Arial" w:cs="Arial"/>
          <w:color w:val="000000" w:themeColor="text1"/>
          <w:sz w:val="24"/>
          <w:szCs w:val="24"/>
          <w:lang w:eastAsia="en-ZA"/>
        </w:rPr>
        <w:t>rental and</w:t>
      </w:r>
      <w:r>
        <w:rPr>
          <w:rFonts w:ascii="Arial" w:eastAsiaTheme="minorEastAsia" w:hAnsi="Arial" w:cs="Arial"/>
          <w:color w:val="000000" w:themeColor="text1"/>
          <w:sz w:val="24"/>
          <w:szCs w:val="24"/>
          <w:lang w:eastAsia="en-ZA"/>
        </w:rPr>
        <w:t xml:space="preserve"> other charges</w:t>
      </w:r>
      <w:r w:rsidR="006A653E">
        <w:rPr>
          <w:rFonts w:ascii="Arial" w:eastAsiaTheme="minorEastAsia" w:hAnsi="Arial" w:cs="Arial"/>
          <w:color w:val="000000" w:themeColor="text1"/>
          <w:sz w:val="24"/>
          <w:szCs w:val="24"/>
          <w:lang w:eastAsia="en-ZA"/>
        </w:rPr>
        <w:t xml:space="preserve">. On 7 June 2022 a letter of demand was addressed to the </w:t>
      </w:r>
      <w:r w:rsidR="00013331">
        <w:rPr>
          <w:rFonts w:ascii="Arial" w:eastAsiaTheme="minorEastAsia" w:hAnsi="Arial" w:cs="Arial"/>
          <w:color w:val="000000" w:themeColor="text1"/>
          <w:sz w:val="24"/>
          <w:szCs w:val="24"/>
          <w:lang w:eastAsia="en-ZA"/>
        </w:rPr>
        <w:t>Respondent Trust</w:t>
      </w:r>
      <w:r w:rsidR="006A653E">
        <w:rPr>
          <w:rFonts w:ascii="Arial" w:eastAsiaTheme="minorEastAsia" w:hAnsi="Arial" w:cs="Arial"/>
          <w:color w:val="000000" w:themeColor="text1"/>
          <w:sz w:val="24"/>
          <w:szCs w:val="24"/>
          <w:lang w:eastAsia="en-ZA"/>
        </w:rPr>
        <w:t>.  On 24 June 2022</w:t>
      </w:r>
      <w:r w:rsidR="002475F4">
        <w:rPr>
          <w:rFonts w:ascii="Arial" w:eastAsiaTheme="minorEastAsia" w:hAnsi="Arial" w:cs="Arial"/>
          <w:color w:val="000000" w:themeColor="text1"/>
          <w:sz w:val="24"/>
          <w:szCs w:val="24"/>
          <w:lang w:eastAsia="en-ZA"/>
        </w:rPr>
        <w:t>,</w:t>
      </w:r>
      <w:r w:rsidR="006A653E">
        <w:rPr>
          <w:rFonts w:ascii="Arial" w:eastAsiaTheme="minorEastAsia" w:hAnsi="Arial" w:cs="Arial"/>
          <w:color w:val="000000" w:themeColor="text1"/>
          <w:sz w:val="24"/>
          <w:szCs w:val="24"/>
          <w:lang w:eastAsia="en-ZA"/>
        </w:rPr>
        <w:t xml:space="preserve"> E G Cooper Majiedt</w:t>
      </w:r>
      <w:r w:rsidR="008C6515">
        <w:rPr>
          <w:rFonts w:ascii="Arial" w:eastAsiaTheme="minorEastAsia" w:hAnsi="Arial" w:cs="Arial"/>
          <w:color w:val="000000" w:themeColor="text1"/>
          <w:sz w:val="24"/>
          <w:szCs w:val="24"/>
          <w:lang w:eastAsia="en-ZA"/>
        </w:rPr>
        <w:t xml:space="preserve"> Inc.</w:t>
      </w:r>
      <w:r w:rsidR="006A653E">
        <w:rPr>
          <w:rFonts w:ascii="Arial" w:eastAsiaTheme="minorEastAsia" w:hAnsi="Arial" w:cs="Arial"/>
          <w:color w:val="000000" w:themeColor="text1"/>
          <w:sz w:val="24"/>
          <w:szCs w:val="24"/>
          <w:lang w:eastAsia="en-ZA"/>
        </w:rPr>
        <w:t>,</w:t>
      </w:r>
      <w:r w:rsidR="008C6515">
        <w:rPr>
          <w:rFonts w:ascii="Arial" w:eastAsiaTheme="minorEastAsia" w:hAnsi="Arial" w:cs="Arial"/>
          <w:color w:val="000000" w:themeColor="text1"/>
          <w:sz w:val="24"/>
          <w:szCs w:val="24"/>
          <w:lang w:eastAsia="en-ZA"/>
        </w:rPr>
        <w:t xml:space="preserve"> the attorneys </w:t>
      </w:r>
      <w:r w:rsidR="006A653E">
        <w:rPr>
          <w:rFonts w:ascii="Arial" w:eastAsiaTheme="minorEastAsia" w:hAnsi="Arial" w:cs="Arial"/>
          <w:color w:val="000000" w:themeColor="text1"/>
          <w:sz w:val="24"/>
          <w:szCs w:val="24"/>
          <w:lang w:eastAsia="en-ZA"/>
        </w:rPr>
        <w:t xml:space="preserve">on behalf of the </w:t>
      </w:r>
      <w:r w:rsidR="00013331">
        <w:rPr>
          <w:rFonts w:ascii="Arial" w:eastAsiaTheme="minorEastAsia" w:hAnsi="Arial" w:cs="Arial"/>
          <w:color w:val="000000" w:themeColor="text1"/>
          <w:sz w:val="24"/>
          <w:szCs w:val="24"/>
          <w:lang w:eastAsia="en-ZA"/>
        </w:rPr>
        <w:t>Respondent Trust</w:t>
      </w:r>
      <w:r w:rsidR="006A653E">
        <w:rPr>
          <w:rFonts w:ascii="Arial" w:eastAsiaTheme="minorEastAsia" w:hAnsi="Arial" w:cs="Arial"/>
          <w:color w:val="000000" w:themeColor="text1"/>
          <w:sz w:val="24"/>
          <w:szCs w:val="24"/>
          <w:lang w:eastAsia="en-ZA"/>
        </w:rPr>
        <w:t xml:space="preserve">, formally requested and indulgence. </w:t>
      </w:r>
      <w:r w:rsidR="002475F4">
        <w:rPr>
          <w:rFonts w:ascii="Arial" w:eastAsiaTheme="minorEastAsia" w:hAnsi="Arial" w:cs="Arial"/>
          <w:color w:val="000000" w:themeColor="text1"/>
          <w:sz w:val="24"/>
          <w:szCs w:val="24"/>
          <w:lang w:eastAsia="en-ZA"/>
        </w:rPr>
        <w:t>The request for an indulgence</w:t>
      </w:r>
      <w:r w:rsidR="006A653E">
        <w:rPr>
          <w:rFonts w:ascii="Arial" w:eastAsiaTheme="minorEastAsia" w:hAnsi="Arial" w:cs="Arial"/>
          <w:color w:val="000000" w:themeColor="text1"/>
          <w:sz w:val="24"/>
          <w:szCs w:val="24"/>
          <w:lang w:eastAsia="en-ZA"/>
        </w:rPr>
        <w:t xml:space="preserve"> </w:t>
      </w:r>
      <w:r w:rsidR="00B91964">
        <w:rPr>
          <w:rFonts w:ascii="Arial" w:eastAsiaTheme="minorEastAsia" w:hAnsi="Arial" w:cs="Arial"/>
          <w:color w:val="000000" w:themeColor="text1"/>
          <w:sz w:val="24"/>
          <w:szCs w:val="24"/>
          <w:lang w:eastAsia="en-ZA"/>
        </w:rPr>
        <w:t xml:space="preserve">was met on 27 June 2022 by an email in reply that the </w:t>
      </w:r>
      <w:r w:rsidR="00103989">
        <w:rPr>
          <w:rFonts w:ascii="Arial" w:eastAsiaTheme="minorEastAsia" w:hAnsi="Arial" w:cs="Arial"/>
          <w:color w:val="000000" w:themeColor="text1"/>
          <w:sz w:val="24"/>
          <w:szCs w:val="24"/>
          <w:lang w:eastAsia="en-ZA"/>
        </w:rPr>
        <w:t>Applicant Trust</w:t>
      </w:r>
      <w:r w:rsidR="00B91964">
        <w:rPr>
          <w:rFonts w:ascii="Arial" w:eastAsiaTheme="minorEastAsia" w:hAnsi="Arial" w:cs="Arial"/>
          <w:color w:val="000000" w:themeColor="text1"/>
          <w:sz w:val="24"/>
          <w:szCs w:val="24"/>
          <w:lang w:eastAsia="en-ZA"/>
        </w:rPr>
        <w:t xml:space="preserve"> was not prepared to grant the </w:t>
      </w:r>
      <w:r w:rsidR="00013331">
        <w:rPr>
          <w:rFonts w:ascii="Arial" w:eastAsiaTheme="minorEastAsia" w:hAnsi="Arial" w:cs="Arial"/>
          <w:color w:val="000000" w:themeColor="text1"/>
          <w:sz w:val="24"/>
          <w:szCs w:val="24"/>
          <w:lang w:eastAsia="en-ZA"/>
        </w:rPr>
        <w:t>Respondent Trust</w:t>
      </w:r>
      <w:r w:rsidR="00B91964">
        <w:rPr>
          <w:rFonts w:ascii="Arial" w:eastAsiaTheme="minorEastAsia" w:hAnsi="Arial" w:cs="Arial"/>
          <w:color w:val="000000" w:themeColor="text1"/>
          <w:sz w:val="24"/>
          <w:szCs w:val="24"/>
          <w:lang w:eastAsia="en-ZA"/>
        </w:rPr>
        <w:t xml:space="preserve"> an extension.</w:t>
      </w:r>
      <w:r w:rsidR="00F53DBE">
        <w:rPr>
          <w:rFonts w:ascii="Arial" w:eastAsiaTheme="minorEastAsia" w:hAnsi="Arial" w:cs="Arial"/>
          <w:color w:val="000000" w:themeColor="text1"/>
          <w:sz w:val="24"/>
          <w:szCs w:val="24"/>
          <w:lang w:eastAsia="en-ZA"/>
        </w:rPr>
        <w:t xml:space="preserve"> On behalf of the </w:t>
      </w:r>
      <w:r w:rsidR="00013331">
        <w:rPr>
          <w:rFonts w:ascii="Arial" w:eastAsiaTheme="minorEastAsia" w:hAnsi="Arial" w:cs="Arial"/>
          <w:color w:val="000000" w:themeColor="text1"/>
          <w:sz w:val="24"/>
          <w:szCs w:val="24"/>
          <w:lang w:eastAsia="en-ZA"/>
        </w:rPr>
        <w:t>Respondent Trust</w:t>
      </w:r>
      <w:r w:rsidR="00F53DBE">
        <w:rPr>
          <w:rFonts w:ascii="Arial" w:eastAsiaTheme="minorEastAsia" w:hAnsi="Arial" w:cs="Arial"/>
          <w:color w:val="000000" w:themeColor="text1"/>
          <w:sz w:val="24"/>
          <w:szCs w:val="24"/>
          <w:lang w:eastAsia="en-ZA"/>
        </w:rPr>
        <w:t xml:space="preserve"> reliance is placed on the fact that, for the first time since the inception of the parties’ business relationship, the request for an indulgence was denied.</w:t>
      </w:r>
    </w:p>
    <w:p w:rsidR="00F53DBE" w:rsidRDefault="00F53DBE" w:rsidP="000608BE">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B91964" w:rsidRDefault="00F53DBE" w:rsidP="000608BE">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[19]</w:t>
      </w:r>
      <w:r>
        <w:rPr>
          <w:rFonts w:ascii="Arial" w:eastAsiaTheme="minorEastAsia" w:hAnsi="Arial" w:cs="Arial"/>
          <w:color w:val="000000" w:themeColor="text1"/>
          <w:sz w:val="24"/>
          <w:szCs w:val="24"/>
          <w:lang w:eastAsia="en-ZA"/>
        </w:rPr>
        <w:tab/>
        <w:t xml:space="preserve">On 26 July 2022 a demand for payment of the rental and other amounts due for July 2022 was addressed to the </w:t>
      </w:r>
      <w:r w:rsidR="00013331">
        <w:rPr>
          <w:rFonts w:ascii="Arial" w:eastAsiaTheme="minorEastAsia" w:hAnsi="Arial" w:cs="Arial"/>
          <w:color w:val="000000" w:themeColor="text1"/>
          <w:sz w:val="24"/>
          <w:szCs w:val="24"/>
          <w:lang w:eastAsia="en-ZA"/>
        </w:rPr>
        <w:t>Respondent Trust</w:t>
      </w:r>
      <w:r>
        <w:rPr>
          <w:rFonts w:ascii="Arial" w:eastAsiaTheme="minorEastAsia" w:hAnsi="Arial" w:cs="Arial"/>
          <w:color w:val="000000" w:themeColor="text1"/>
          <w:sz w:val="24"/>
          <w:szCs w:val="24"/>
          <w:lang w:eastAsia="en-ZA"/>
        </w:rPr>
        <w:t xml:space="preserve">.  Notwithstanding the terms of the Sub-Lease, that the period of seven days was applicable to remedy a breach, the </w:t>
      </w:r>
      <w:r w:rsidR="00103989">
        <w:rPr>
          <w:rFonts w:ascii="Arial" w:eastAsiaTheme="minorEastAsia" w:hAnsi="Arial" w:cs="Arial"/>
          <w:color w:val="000000" w:themeColor="text1"/>
          <w:sz w:val="24"/>
          <w:szCs w:val="24"/>
          <w:lang w:eastAsia="en-ZA"/>
        </w:rPr>
        <w:t>Applicant Trust</w:t>
      </w:r>
      <w:r>
        <w:rPr>
          <w:rFonts w:ascii="Arial" w:eastAsiaTheme="minorEastAsia" w:hAnsi="Arial" w:cs="Arial"/>
          <w:color w:val="000000" w:themeColor="text1"/>
          <w:sz w:val="24"/>
          <w:szCs w:val="24"/>
          <w:lang w:eastAsia="en-ZA"/>
        </w:rPr>
        <w:t xml:space="preserve"> afforded the </w:t>
      </w:r>
      <w:r w:rsidR="00013331">
        <w:rPr>
          <w:rFonts w:ascii="Arial" w:eastAsiaTheme="minorEastAsia" w:hAnsi="Arial" w:cs="Arial"/>
          <w:color w:val="000000" w:themeColor="text1"/>
          <w:sz w:val="24"/>
          <w:szCs w:val="24"/>
          <w:lang w:eastAsia="en-ZA"/>
        </w:rPr>
        <w:t>Respondent Trust</w:t>
      </w:r>
      <w:r>
        <w:rPr>
          <w:rFonts w:ascii="Arial" w:eastAsiaTheme="minorEastAsia" w:hAnsi="Arial" w:cs="Arial"/>
          <w:color w:val="000000" w:themeColor="text1"/>
          <w:sz w:val="24"/>
          <w:szCs w:val="24"/>
          <w:lang w:eastAsia="en-ZA"/>
        </w:rPr>
        <w:t xml:space="preserve"> a period of 20 days to pay the arrear amounts.  On 11 August 2022 Mr Els of McIntyre van der Post addressed an email to E G Cooper Majiedt </w:t>
      </w:r>
      <w:r w:rsidR="0048348E">
        <w:rPr>
          <w:rFonts w:ascii="Arial" w:eastAsiaTheme="minorEastAsia" w:hAnsi="Arial" w:cs="Arial"/>
          <w:color w:val="000000" w:themeColor="text1"/>
          <w:sz w:val="24"/>
          <w:szCs w:val="24"/>
          <w:lang w:eastAsia="en-ZA"/>
        </w:rPr>
        <w:t xml:space="preserve">to remind the </w:t>
      </w:r>
      <w:r w:rsidR="00013331">
        <w:rPr>
          <w:rFonts w:ascii="Arial" w:eastAsiaTheme="minorEastAsia" w:hAnsi="Arial" w:cs="Arial"/>
          <w:color w:val="000000" w:themeColor="text1"/>
          <w:sz w:val="24"/>
          <w:szCs w:val="24"/>
          <w:lang w:eastAsia="en-ZA"/>
        </w:rPr>
        <w:t>Respondent Trust</w:t>
      </w:r>
      <w:r w:rsidR="0048348E">
        <w:rPr>
          <w:rFonts w:ascii="Arial" w:eastAsiaTheme="minorEastAsia" w:hAnsi="Arial" w:cs="Arial"/>
          <w:color w:val="000000" w:themeColor="text1"/>
          <w:sz w:val="24"/>
          <w:szCs w:val="24"/>
          <w:lang w:eastAsia="en-ZA"/>
        </w:rPr>
        <w:t xml:space="preserve"> that payment of the July rental and other amounts was due on or before 15 August 2022 in terms of the demand dated 26 July 2022.</w:t>
      </w:r>
    </w:p>
    <w:p w:rsidR="0048348E" w:rsidRDefault="0048348E" w:rsidP="000608BE">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6A653E" w:rsidRDefault="00B91964" w:rsidP="000608BE">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 xml:space="preserve"> </w:t>
      </w:r>
      <w:r w:rsidR="006A653E">
        <w:rPr>
          <w:rFonts w:ascii="Arial" w:eastAsiaTheme="minorEastAsia" w:hAnsi="Arial" w:cs="Arial"/>
          <w:color w:val="000000" w:themeColor="text1"/>
          <w:sz w:val="24"/>
          <w:szCs w:val="24"/>
          <w:lang w:eastAsia="en-ZA"/>
        </w:rPr>
        <w:t>[</w:t>
      </w:r>
      <w:r w:rsidR="00E33B3D">
        <w:rPr>
          <w:rFonts w:ascii="Arial" w:eastAsiaTheme="minorEastAsia" w:hAnsi="Arial" w:cs="Arial"/>
          <w:color w:val="000000" w:themeColor="text1"/>
          <w:sz w:val="24"/>
          <w:szCs w:val="24"/>
          <w:lang w:eastAsia="en-ZA"/>
        </w:rPr>
        <w:t>20</w:t>
      </w:r>
      <w:r w:rsidR="006A653E">
        <w:rPr>
          <w:rFonts w:ascii="Arial" w:eastAsiaTheme="minorEastAsia" w:hAnsi="Arial" w:cs="Arial"/>
          <w:color w:val="000000" w:themeColor="text1"/>
          <w:sz w:val="24"/>
          <w:szCs w:val="24"/>
          <w:lang w:eastAsia="en-ZA"/>
        </w:rPr>
        <w:t>]</w:t>
      </w:r>
      <w:r w:rsidR="006A653E">
        <w:rPr>
          <w:rFonts w:ascii="Arial" w:eastAsiaTheme="minorEastAsia" w:hAnsi="Arial" w:cs="Arial"/>
          <w:color w:val="000000" w:themeColor="text1"/>
          <w:sz w:val="24"/>
          <w:szCs w:val="24"/>
          <w:lang w:eastAsia="en-ZA"/>
        </w:rPr>
        <w:tab/>
      </w:r>
      <w:r w:rsidR="0048348E">
        <w:rPr>
          <w:rFonts w:ascii="Arial" w:eastAsiaTheme="minorEastAsia" w:hAnsi="Arial" w:cs="Arial"/>
          <w:color w:val="000000" w:themeColor="text1"/>
          <w:sz w:val="24"/>
          <w:szCs w:val="24"/>
          <w:lang w:eastAsia="en-ZA"/>
        </w:rPr>
        <w:t>On 15 August 2022, E G Cooper Majiedt requested an extension to pay the July amounts by 2 September 2022.  The following day, 16 August 2022 Mc</w:t>
      </w:r>
      <w:r w:rsidR="00CA5DA1">
        <w:rPr>
          <w:rFonts w:ascii="Arial" w:eastAsiaTheme="minorEastAsia" w:hAnsi="Arial" w:cs="Arial"/>
          <w:color w:val="000000" w:themeColor="text1"/>
          <w:sz w:val="24"/>
          <w:szCs w:val="24"/>
          <w:lang w:eastAsia="en-ZA"/>
        </w:rPr>
        <w:t>I</w:t>
      </w:r>
      <w:r w:rsidR="0048348E">
        <w:rPr>
          <w:rFonts w:ascii="Arial" w:eastAsiaTheme="minorEastAsia" w:hAnsi="Arial" w:cs="Arial"/>
          <w:color w:val="000000" w:themeColor="text1"/>
          <w:sz w:val="24"/>
          <w:szCs w:val="24"/>
          <w:lang w:eastAsia="en-ZA"/>
        </w:rPr>
        <w:t xml:space="preserve">ntyre van der Post granted the requested extension subject to the </w:t>
      </w:r>
      <w:r w:rsidR="00013331">
        <w:rPr>
          <w:rFonts w:ascii="Arial" w:eastAsiaTheme="minorEastAsia" w:hAnsi="Arial" w:cs="Arial"/>
          <w:color w:val="000000" w:themeColor="text1"/>
          <w:sz w:val="24"/>
          <w:szCs w:val="24"/>
          <w:lang w:eastAsia="en-ZA"/>
        </w:rPr>
        <w:t>Respondent Trust</w:t>
      </w:r>
      <w:r w:rsidR="0048348E">
        <w:rPr>
          <w:rFonts w:ascii="Arial" w:eastAsiaTheme="minorEastAsia" w:hAnsi="Arial" w:cs="Arial"/>
          <w:color w:val="000000" w:themeColor="text1"/>
          <w:sz w:val="24"/>
          <w:szCs w:val="24"/>
          <w:lang w:eastAsia="en-ZA"/>
        </w:rPr>
        <w:t xml:space="preserve"> also paying legal costs in the amount of R20 297.50.  On 24 August 2022 McIntyre van der Post addressed a letter of demand to the </w:t>
      </w:r>
      <w:r w:rsidR="00013331">
        <w:rPr>
          <w:rFonts w:ascii="Arial" w:eastAsiaTheme="minorEastAsia" w:hAnsi="Arial" w:cs="Arial"/>
          <w:color w:val="000000" w:themeColor="text1"/>
          <w:sz w:val="24"/>
          <w:szCs w:val="24"/>
          <w:lang w:eastAsia="en-ZA"/>
        </w:rPr>
        <w:t>Respondent Trust</w:t>
      </w:r>
      <w:r w:rsidR="0048348E">
        <w:rPr>
          <w:rFonts w:ascii="Arial" w:eastAsiaTheme="minorEastAsia" w:hAnsi="Arial" w:cs="Arial"/>
          <w:color w:val="000000" w:themeColor="text1"/>
          <w:sz w:val="24"/>
          <w:szCs w:val="24"/>
          <w:lang w:eastAsia="en-ZA"/>
        </w:rPr>
        <w:t xml:space="preserve"> for payment of the rental amount, electricity consumption,</w:t>
      </w:r>
      <w:r w:rsidR="003D03D0">
        <w:rPr>
          <w:rFonts w:ascii="Arial" w:eastAsiaTheme="minorEastAsia" w:hAnsi="Arial" w:cs="Arial"/>
          <w:color w:val="000000" w:themeColor="text1"/>
          <w:sz w:val="24"/>
          <w:szCs w:val="24"/>
          <w:lang w:eastAsia="en-ZA"/>
        </w:rPr>
        <w:t xml:space="preserve"> </w:t>
      </w:r>
      <w:r w:rsidR="0048348E">
        <w:rPr>
          <w:rFonts w:ascii="Arial" w:eastAsiaTheme="minorEastAsia" w:hAnsi="Arial" w:cs="Arial"/>
          <w:color w:val="000000" w:themeColor="text1"/>
          <w:sz w:val="24"/>
          <w:szCs w:val="24"/>
          <w:lang w:eastAsia="en-ZA"/>
        </w:rPr>
        <w:t>municipal rental</w:t>
      </w:r>
      <w:r w:rsidR="003D03D0">
        <w:rPr>
          <w:rFonts w:ascii="Arial" w:eastAsiaTheme="minorEastAsia" w:hAnsi="Arial" w:cs="Arial"/>
          <w:color w:val="000000" w:themeColor="text1"/>
          <w:sz w:val="24"/>
          <w:szCs w:val="24"/>
          <w:lang w:eastAsia="en-ZA"/>
        </w:rPr>
        <w:t xml:space="preserve"> and water consumption within 20 days from the date thereof, failing which the </w:t>
      </w:r>
      <w:r w:rsidR="00103989">
        <w:rPr>
          <w:rFonts w:ascii="Arial" w:eastAsiaTheme="minorEastAsia" w:hAnsi="Arial" w:cs="Arial"/>
          <w:color w:val="000000" w:themeColor="text1"/>
          <w:sz w:val="24"/>
          <w:szCs w:val="24"/>
          <w:lang w:eastAsia="en-ZA"/>
        </w:rPr>
        <w:t>Applicant Trust</w:t>
      </w:r>
      <w:r w:rsidR="003D03D0">
        <w:rPr>
          <w:rFonts w:ascii="Arial" w:eastAsiaTheme="minorEastAsia" w:hAnsi="Arial" w:cs="Arial"/>
          <w:color w:val="000000" w:themeColor="text1"/>
          <w:sz w:val="24"/>
          <w:szCs w:val="24"/>
          <w:lang w:eastAsia="en-ZA"/>
        </w:rPr>
        <w:t xml:space="preserve"> intended to cancel the Sub-lease.</w:t>
      </w:r>
    </w:p>
    <w:p w:rsidR="003D03D0" w:rsidRDefault="003D03D0" w:rsidP="000608BE">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6436F7" w:rsidRDefault="003D03D0" w:rsidP="006436F7">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[2</w:t>
      </w:r>
      <w:r w:rsidR="00E33B3D">
        <w:rPr>
          <w:rFonts w:ascii="Arial" w:eastAsiaTheme="minorEastAsia" w:hAnsi="Arial" w:cs="Arial"/>
          <w:color w:val="000000" w:themeColor="text1"/>
          <w:sz w:val="24"/>
          <w:szCs w:val="24"/>
          <w:lang w:eastAsia="en-ZA"/>
        </w:rPr>
        <w:t>1</w:t>
      </w:r>
      <w:r>
        <w:rPr>
          <w:rFonts w:ascii="Arial" w:eastAsiaTheme="minorEastAsia" w:hAnsi="Arial" w:cs="Arial"/>
          <w:color w:val="000000" w:themeColor="text1"/>
          <w:sz w:val="24"/>
          <w:szCs w:val="24"/>
          <w:lang w:eastAsia="en-ZA"/>
        </w:rPr>
        <w:t>]</w:t>
      </w:r>
      <w:r>
        <w:rPr>
          <w:rFonts w:ascii="Arial" w:eastAsiaTheme="minorEastAsia" w:hAnsi="Arial" w:cs="Arial"/>
          <w:color w:val="000000" w:themeColor="text1"/>
          <w:sz w:val="24"/>
          <w:szCs w:val="24"/>
          <w:lang w:eastAsia="en-ZA"/>
        </w:rPr>
        <w:tab/>
        <w:t xml:space="preserve">On 13 September 2022 the time period afforded to the </w:t>
      </w:r>
      <w:r w:rsidR="00013331">
        <w:rPr>
          <w:rFonts w:ascii="Arial" w:eastAsiaTheme="minorEastAsia" w:hAnsi="Arial" w:cs="Arial"/>
          <w:color w:val="000000" w:themeColor="text1"/>
          <w:sz w:val="24"/>
          <w:szCs w:val="24"/>
          <w:lang w:eastAsia="en-ZA"/>
        </w:rPr>
        <w:t>Respondent Trust</w:t>
      </w:r>
      <w:r>
        <w:rPr>
          <w:rFonts w:ascii="Arial" w:eastAsiaTheme="minorEastAsia" w:hAnsi="Arial" w:cs="Arial"/>
          <w:color w:val="000000" w:themeColor="text1"/>
          <w:sz w:val="24"/>
          <w:szCs w:val="24"/>
          <w:lang w:eastAsia="en-ZA"/>
        </w:rPr>
        <w:t xml:space="preserve"> in terms of the letter of demand dated 24 August 2022 expired.  The </w:t>
      </w:r>
      <w:r w:rsidR="00013331">
        <w:rPr>
          <w:rFonts w:ascii="Arial" w:eastAsiaTheme="minorEastAsia" w:hAnsi="Arial" w:cs="Arial"/>
          <w:color w:val="000000" w:themeColor="text1"/>
          <w:sz w:val="24"/>
          <w:szCs w:val="24"/>
          <w:lang w:eastAsia="en-ZA"/>
        </w:rPr>
        <w:t>Respondent Trust</w:t>
      </w:r>
      <w:r>
        <w:rPr>
          <w:rFonts w:ascii="Arial" w:eastAsiaTheme="minorEastAsia" w:hAnsi="Arial" w:cs="Arial"/>
          <w:color w:val="000000" w:themeColor="text1"/>
          <w:sz w:val="24"/>
          <w:szCs w:val="24"/>
          <w:lang w:eastAsia="en-ZA"/>
        </w:rPr>
        <w:t xml:space="preserve"> failed to pay the August 2022 rental amount that was due on or before 1 August 2022.  On 15 September 2022 the </w:t>
      </w:r>
      <w:r w:rsidR="00013331">
        <w:rPr>
          <w:rFonts w:ascii="Arial" w:eastAsiaTheme="minorEastAsia" w:hAnsi="Arial" w:cs="Arial"/>
          <w:color w:val="000000" w:themeColor="text1"/>
          <w:sz w:val="24"/>
          <w:szCs w:val="24"/>
          <w:lang w:eastAsia="en-ZA"/>
        </w:rPr>
        <w:t>Respondent Trust</w:t>
      </w:r>
      <w:r>
        <w:rPr>
          <w:rFonts w:ascii="Arial" w:eastAsiaTheme="minorEastAsia" w:hAnsi="Arial" w:cs="Arial"/>
          <w:color w:val="000000" w:themeColor="text1"/>
          <w:sz w:val="24"/>
          <w:szCs w:val="24"/>
          <w:lang w:eastAsia="en-ZA"/>
        </w:rPr>
        <w:t xml:space="preserve"> queried the municipal rental amounts where</w:t>
      </w:r>
      <w:r w:rsidR="00B11854">
        <w:rPr>
          <w:rFonts w:ascii="Arial" w:eastAsiaTheme="minorEastAsia" w:hAnsi="Arial" w:cs="Arial"/>
          <w:color w:val="000000" w:themeColor="text1"/>
          <w:sz w:val="24"/>
          <w:szCs w:val="24"/>
          <w:lang w:eastAsia="en-ZA"/>
        </w:rPr>
        <w:t xml:space="preserve"> </w:t>
      </w:r>
      <w:r>
        <w:rPr>
          <w:rFonts w:ascii="Arial" w:eastAsiaTheme="minorEastAsia" w:hAnsi="Arial" w:cs="Arial"/>
          <w:color w:val="000000" w:themeColor="text1"/>
          <w:sz w:val="24"/>
          <w:szCs w:val="24"/>
          <w:lang w:eastAsia="en-ZA"/>
        </w:rPr>
        <w:t xml:space="preserve">after Mr Els responded that such queries should be addressed to the municipality </w:t>
      </w:r>
      <w:r>
        <w:rPr>
          <w:rFonts w:ascii="Arial" w:eastAsiaTheme="minorEastAsia" w:hAnsi="Arial" w:cs="Arial"/>
          <w:color w:val="000000" w:themeColor="text1"/>
          <w:sz w:val="24"/>
          <w:szCs w:val="24"/>
          <w:lang w:eastAsia="en-ZA"/>
        </w:rPr>
        <w:lastRenderedPageBreak/>
        <w:t>directly.  On 27 September 202</w:t>
      </w:r>
      <w:r w:rsidR="006436F7">
        <w:rPr>
          <w:rFonts w:ascii="Arial" w:eastAsiaTheme="minorEastAsia" w:hAnsi="Arial" w:cs="Arial"/>
          <w:color w:val="000000" w:themeColor="text1"/>
          <w:sz w:val="24"/>
          <w:szCs w:val="24"/>
          <w:lang w:eastAsia="en-ZA"/>
        </w:rPr>
        <w:t>2</w:t>
      </w:r>
      <w:r>
        <w:rPr>
          <w:rFonts w:ascii="Arial" w:eastAsiaTheme="minorEastAsia" w:hAnsi="Arial" w:cs="Arial"/>
          <w:color w:val="000000" w:themeColor="text1"/>
          <w:sz w:val="24"/>
          <w:szCs w:val="24"/>
          <w:lang w:eastAsia="en-ZA"/>
        </w:rPr>
        <w:t xml:space="preserve"> the </w:t>
      </w:r>
      <w:r w:rsidR="00103989">
        <w:rPr>
          <w:rFonts w:ascii="Arial" w:eastAsiaTheme="minorEastAsia" w:hAnsi="Arial" w:cs="Arial"/>
          <w:color w:val="000000" w:themeColor="text1"/>
          <w:sz w:val="24"/>
          <w:szCs w:val="24"/>
          <w:lang w:eastAsia="en-ZA"/>
        </w:rPr>
        <w:t>Applicant Trust</w:t>
      </w:r>
      <w:r>
        <w:rPr>
          <w:rFonts w:ascii="Arial" w:eastAsiaTheme="minorEastAsia" w:hAnsi="Arial" w:cs="Arial"/>
          <w:color w:val="000000" w:themeColor="text1"/>
          <w:sz w:val="24"/>
          <w:szCs w:val="24"/>
          <w:lang w:eastAsia="en-ZA"/>
        </w:rPr>
        <w:t>s</w:t>
      </w:r>
      <w:r w:rsidR="006436F7">
        <w:rPr>
          <w:rFonts w:ascii="Arial" w:eastAsiaTheme="minorEastAsia" w:hAnsi="Arial" w:cs="Arial"/>
          <w:color w:val="000000" w:themeColor="text1"/>
          <w:sz w:val="24"/>
          <w:szCs w:val="24"/>
          <w:lang w:eastAsia="en-ZA"/>
        </w:rPr>
        <w:t xml:space="preserve">, through </w:t>
      </w:r>
      <w:r w:rsidR="00B11854">
        <w:rPr>
          <w:rFonts w:ascii="Arial" w:eastAsiaTheme="minorEastAsia" w:hAnsi="Arial" w:cs="Arial"/>
          <w:color w:val="000000" w:themeColor="text1"/>
          <w:sz w:val="24"/>
          <w:szCs w:val="24"/>
          <w:lang w:eastAsia="en-ZA"/>
        </w:rPr>
        <w:t>M</w:t>
      </w:r>
      <w:r w:rsidR="006436F7">
        <w:rPr>
          <w:rFonts w:ascii="Arial" w:eastAsiaTheme="minorEastAsia" w:hAnsi="Arial" w:cs="Arial"/>
          <w:color w:val="000000" w:themeColor="text1"/>
          <w:sz w:val="24"/>
          <w:szCs w:val="24"/>
          <w:lang w:eastAsia="en-ZA"/>
        </w:rPr>
        <w:t>c</w:t>
      </w:r>
      <w:r w:rsidR="00B11854">
        <w:rPr>
          <w:rFonts w:ascii="Arial" w:eastAsiaTheme="minorEastAsia" w:hAnsi="Arial" w:cs="Arial"/>
          <w:color w:val="000000" w:themeColor="text1"/>
          <w:sz w:val="24"/>
          <w:szCs w:val="24"/>
          <w:lang w:eastAsia="en-ZA"/>
        </w:rPr>
        <w:t>I</w:t>
      </w:r>
      <w:r w:rsidR="006436F7">
        <w:rPr>
          <w:rFonts w:ascii="Arial" w:eastAsiaTheme="minorEastAsia" w:hAnsi="Arial" w:cs="Arial"/>
          <w:color w:val="000000" w:themeColor="text1"/>
          <w:sz w:val="24"/>
          <w:szCs w:val="24"/>
          <w:lang w:eastAsia="en-ZA"/>
        </w:rPr>
        <w:t xml:space="preserve">ntyre van der </w:t>
      </w:r>
      <w:r w:rsidR="00BF033D">
        <w:rPr>
          <w:rFonts w:ascii="Arial" w:eastAsiaTheme="minorEastAsia" w:hAnsi="Arial" w:cs="Arial"/>
          <w:color w:val="000000" w:themeColor="text1"/>
          <w:sz w:val="24"/>
          <w:szCs w:val="24"/>
          <w:lang w:eastAsia="en-ZA"/>
        </w:rPr>
        <w:t>Post, addressed</w:t>
      </w:r>
      <w:r>
        <w:rPr>
          <w:rFonts w:ascii="Arial" w:eastAsiaTheme="minorEastAsia" w:hAnsi="Arial" w:cs="Arial"/>
          <w:color w:val="000000" w:themeColor="text1"/>
          <w:sz w:val="24"/>
          <w:szCs w:val="24"/>
          <w:lang w:eastAsia="en-ZA"/>
        </w:rPr>
        <w:t xml:space="preserve"> a letter to the </w:t>
      </w:r>
      <w:r w:rsidR="00013331">
        <w:rPr>
          <w:rFonts w:ascii="Arial" w:eastAsiaTheme="minorEastAsia" w:hAnsi="Arial" w:cs="Arial"/>
          <w:color w:val="000000" w:themeColor="text1"/>
          <w:sz w:val="24"/>
          <w:szCs w:val="24"/>
          <w:lang w:eastAsia="en-ZA"/>
        </w:rPr>
        <w:t>Respondent Trust</w:t>
      </w:r>
      <w:r>
        <w:rPr>
          <w:rFonts w:ascii="Arial" w:eastAsiaTheme="minorEastAsia" w:hAnsi="Arial" w:cs="Arial"/>
          <w:color w:val="000000" w:themeColor="text1"/>
          <w:sz w:val="24"/>
          <w:szCs w:val="24"/>
          <w:lang w:eastAsia="en-ZA"/>
        </w:rPr>
        <w:t xml:space="preserve"> cancelling the Sub-lease</w:t>
      </w:r>
      <w:r w:rsidR="006436F7">
        <w:rPr>
          <w:rFonts w:ascii="Arial" w:eastAsiaTheme="minorEastAsia" w:hAnsi="Arial" w:cs="Arial"/>
          <w:color w:val="000000" w:themeColor="text1"/>
          <w:sz w:val="24"/>
          <w:szCs w:val="24"/>
          <w:lang w:eastAsia="en-ZA"/>
        </w:rPr>
        <w:t xml:space="preserve">.  On 30 September 2022 the </w:t>
      </w:r>
      <w:r w:rsidR="00013331">
        <w:rPr>
          <w:rFonts w:ascii="Arial" w:eastAsiaTheme="minorEastAsia" w:hAnsi="Arial" w:cs="Arial"/>
          <w:color w:val="000000" w:themeColor="text1"/>
          <w:sz w:val="24"/>
          <w:szCs w:val="24"/>
          <w:lang w:eastAsia="en-ZA"/>
        </w:rPr>
        <w:t>Respondent Trust</w:t>
      </w:r>
      <w:r w:rsidR="006436F7">
        <w:rPr>
          <w:rFonts w:ascii="Arial" w:eastAsiaTheme="minorEastAsia" w:hAnsi="Arial" w:cs="Arial"/>
          <w:color w:val="000000" w:themeColor="text1"/>
          <w:sz w:val="24"/>
          <w:szCs w:val="24"/>
          <w:lang w:eastAsia="en-ZA"/>
        </w:rPr>
        <w:t xml:space="preserve"> paid the arrear amounts and was</w:t>
      </w:r>
      <w:r w:rsidR="008C6515">
        <w:rPr>
          <w:rFonts w:ascii="Arial" w:eastAsiaTheme="minorEastAsia" w:hAnsi="Arial" w:cs="Arial"/>
          <w:color w:val="000000" w:themeColor="text1"/>
          <w:sz w:val="24"/>
          <w:szCs w:val="24"/>
          <w:lang w:eastAsia="en-ZA"/>
        </w:rPr>
        <w:t>, according to its contention,</w:t>
      </w:r>
      <w:r w:rsidR="006436F7">
        <w:rPr>
          <w:rFonts w:ascii="Arial" w:eastAsiaTheme="minorEastAsia" w:hAnsi="Arial" w:cs="Arial"/>
          <w:color w:val="000000" w:themeColor="text1"/>
          <w:sz w:val="24"/>
          <w:szCs w:val="24"/>
          <w:lang w:eastAsia="en-ZA"/>
        </w:rPr>
        <w:t xml:space="preserve"> no longer in breach of the Sub-lease.</w:t>
      </w:r>
    </w:p>
    <w:p w:rsidR="00B11854" w:rsidRDefault="00B11854" w:rsidP="006436F7">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6436F7" w:rsidRPr="00EA14FC" w:rsidRDefault="006436F7" w:rsidP="006436F7">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u w:val="single"/>
          <w:lang w:eastAsia="en-ZA"/>
        </w:rPr>
      </w:pPr>
      <w:r>
        <w:rPr>
          <w:rFonts w:ascii="Arial" w:eastAsiaTheme="minorEastAsia" w:hAnsi="Arial" w:cs="Arial"/>
          <w:color w:val="000000" w:themeColor="text1"/>
          <w:sz w:val="24"/>
          <w:szCs w:val="24"/>
          <w:lang w:eastAsia="en-ZA"/>
        </w:rPr>
        <w:tab/>
      </w:r>
      <w:r w:rsidRPr="00E33B3D">
        <w:rPr>
          <w:rFonts w:ascii="Arial" w:eastAsiaTheme="minorEastAsia" w:hAnsi="Arial" w:cs="Arial"/>
          <w:color w:val="000000" w:themeColor="text1"/>
          <w:sz w:val="24"/>
          <w:szCs w:val="24"/>
          <w:u w:val="single"/>
          <w:lang w:eastAsia="en-ZA"/>
        </w:rPr>
        <w:t xml:space="preserve">ARGUMENTS ON BEHALF OF THE </w:t>
      </w:r>
      <w:r w:rsidR="00103989" w:rsidRPr="00E33B3D">
        <w:rPr>
          <w:rFonts w:ascii="Arial" w:eastAsiaTheme="minorEastAsia" w:hAnsi="Arial" w:cs="Arial"/>
          <w:color w:val="000000" w:themeColor="text1"/>
          <w:sz w:val="24"/>
          <w:szCs w:val="24"/>
          <w:u w:val="single"/>
          <w:lang w:eastAsia="en-ZA"/>
        </w:rPr>
        <w:t>APPLICANT TRUST</w:t>
      </w:r>
      <w:r w:rsidRPr="00E33B3D">
        <w:rPr>
          <w:rFonts w:ascii="Arial" w:eastAsiaTheme="minorEastAsia" w:hAnsi="Arial" w:cs="Arial"/>
          <w:color w:val="000000" w:themeColor="text1"/>
          <w:sz w:val="24"/>
          <w:szCs w:val="24"/>
          <w:u w:val="single"/>
          <w:lang w:eastAsia="en-ZA"/>
        </w:rPr>
        <w:t>.</w:t>
      </w:r>
    </w:p>
    <w:p w:rsidR="00C66515" w:rsidRDefault="006436F7" w:rsidP="003A5FEB">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[2</w:t>
      </w:r>
      <w:r w:rsidR="00E33B3D">
        <w:rPr>
          <w:rFonts w:ascii="Arial" w:eastAsiaTheme="minorEastAsia" w:hAnsi="Arial" w:cs="Arial"/>
          <w:color w:val="000000" w:themeColor="text1"/>
          <w:sz w:val="24"/>
          <w:szCs w:val="24"/>
          <w:lang w:eastAsia="en-ZA"/>
        </w:rPr>
        <w:t>2</w:t>
      </w:r>
      <w:r>
        <w:rPr>
          <w:rFonts w:ascii="Arial" w:eastAsiaTheme="minorEastAsia" w:hAnsi="Arial" w:cs="Arial"/>
          <w:color w:val="000000" w:themeColor="text1"/>
          <w:sz w:val="24"/>
          <w:szCs w:val="24"/>
          <w:lang w:eastAsia="en-ZA"/>
        </w:rPr>
        <w:t>]</w:t>
      </w:r>
      <w:r>
        <w:rPr>
          <w:rFonts w:ascii="Arial" w:eastAsiaTheme="minorEastAsia" w:hAnsi="Arial" w:cs="Arial"/>
          <w:color w:val="000000" w:themeColor="text1"/>
          <w:sz w:val="24"/>
          <w:szCs w:val="24"/>
          <w:lang w:eastAsia="en-ZA"/>
        </w:rPr>
        <w:tab/>
        <w:t xml:space="preserve">Counsel on behalf of the </w:t>
      </w:r>
      <w:r w:rsidR="00103989">
        <w:rPr>
          <w:rFonts w:ascii="Arial" w:eastAsiaTheme="minorEastAsia" w:hAnsi="Arial" w:cs="Arial"/>
          <w:color w:val="000000" w:themeColor="text1"/>
          <w:sz w:val="24"/>
          <w:szCs w:val="24"/>
          <w:lang w:eastAsia="en-ZA"/>
        </w:rPr>
        <w:t>Applicant Trust</w:t>
      </w:r>
      <w:r>
        <w:rPr>
          <w:rFonts w:ascii="Arial" w:eastAsiaTheme="minorEastAsia" w:hAnsi="Arial" w:cs="Arial"/>
          <w:color w:val="000000" w:themeColor="text1"/>
          <w:sz w:val="24"/>
          <w:szCs w:val="24"/>
          <w:lang w:eastAsia="en-ZA"/>
        </w:rPr>
        <w:t>, Mr Grobler SC (appearing with Mr Van der Merwe) argued that the only true question in this application</w:t>
      </w:r>
      <w:r w:rsidR="003A5FEB">
        <w:rPr>
          <w:rFonts w:ascii="Arial" w:eastAsiaTheme="minorEastAsia" w:hAnsi="Arial" w:cs="Arial"/>
          <w:color w:val="000000" w:themeColor="text1"/>
          <w:sz w:val="24"/>
          <w:szCs w:val="24"/>
          <w:lang w:eastAsia="en-ZA"/>
        </w:rPr>
        <w:t xml:space="preserve">, having regard to the </w:t>
      </w:r>
      <w:r>
        <w:rPr>
          <w:rFonts w:ascii="Arial" w:eastAsiaTheme="minorEastAsia" w:hAnsi="Arial" w:cs="Arial"/>
          <w:color w:val="000000" w:themeColor="text1"/>
          <w:sz w:val="24"/>
          <w:szCs w:val="24"/>
          <w:lang w:eastAsia="en-ZA"/>
        </w:rPr>
        <w:t xml:space="preserve">constitutional imperatives of </w:t>
      </w:r>
      <w:r w:rsidR="00BF033D">
        <w:rPr>
          <w:rFonts w:ascii="Arial" w:eastAsiaTheme="minorEastAsia" w:hAnsi="Arial" w:cs="Arial"/>
          <w:color w:val="000000" w:themeColor="text1"/>
          <w:sz w:val="24"/>
          <w:szCs w:val="24"/>
          <w:lang w:eastAsia="en-ZA"/>
        </w:rPr>
        <w:t>Ubuntu</w:t>
      </w:r>
      <w:r w:rsidR="00BA4CB2">
        <w:rPr>
          <w:rFonts w:ascii="Arial" w:eastAsiaTheme="minorEastAsia" w:hAnsi="Arial" w:cs="Arial"/>
          <w:color w:val="000000" w:themeColor="text1"/>
          <w:sz w:val="24"/>
          <w:szCs w:val="24"/>
          <w:lang w:eastAsia="en-ZA"/>
        </w:rPr>
        <w:t>,</w:t>
      </w:r>
      <w:r w:rsidR="003A5FEB">
        <w:rPr>
          <w:rFonts w:ascii="Arial" w:eastAsiaTheme="minorEastAsia" w:hAnsi="Arial" w:cs="Arial"/>
          <w:color w:val="000000" w:themeColor="text1"/>
          <w:sz w:val="24"/>
          <w:szCs w:val="24"/>
          <w:lang w:eastAsia="en-ZA"/>
        </w:rPr>
        <w:t xml:space="preserve"> </w:t>
      </w:r>
      <w:r>
        <w:rPr>
          <w:rFonts w:ascii="Arial" w:eastAsiaTheme="minorEastAsia" w:hAnsi="Arial" w:cs="Arial"/>
          <w:color w:val="000000" w:themeColor="text1"/>
          <w:sz w:val="24"/>
          <w:szCs w:val="24"/>
          <w:lang w:eastAsia="en-ZA"/>
        </w:rPr>
        <w:t>fairness</w:t>
      </w:r>
      <w:r w:rsidR="003A5FEB">
        <w:rPr>
          <w:rFonts w:ascii="Arial" w:eastAsiaTheme="minorEastAsia" w:hAnsi="Arial" w:cs="Arial"/>
          <w:color w:val="000000" w:themeColor="text1"/>
          <w:sz w:val="24"/>
          <w:szCs w:val="24"/>
          <w:lang w:eastAsia="en-ZA"/>
        </w:rPr>
        <w:t xml:space="preserve"> and reasonableness infused into the common law, under the circumstances of this matter and the defence advanced by the </w:t>
      </w:r>
      <w:r w:rsidR="00013331">
        <w:rPr>
          <w:rFonts w:ascii="Arial" w:eastAsiaTheme="minorEastAsia" w:hAnsi="Arial" w:cs="Arial"/>
          <w:color w:val="000000" w:themeColor="text1"/>
          <w:sz w:val="24"/>
          <w:szCs w:val="24"/>
          <w:lang w:eastAsia="en-ZA"/>
        </w:rPr>
        <w:t>Respondent Trust</w:t>
      </w:r>
      <w:r w:rsidR="003A5FEB">
        <w:rPr>
          <w:rFonts w:ascii="Arial" w:eastAsiaTheme="minorEastAsia" w:hAnsi="Arial" w:cs="Arial"/>
          <w:color w:val="000000" w:themeColor="text1"/>
          <w:sz w:val="24"/>
          <w:szCs w:val="24"/>
          <w:lang w:eastAsia="en-ZA"/>
        </w:rPr>
        <w:t xml:space="preserve">, </w:t>
      </w:r>
      <w:r w:rsidR="00CA5DA1">
        <w:rPr>
          <w:rFonts w:ascii="Arial" w:eastAsiaTheme="minorEastAsia" w:hAnsi="Arial" w:cs="Arial"/>
          <w:color w:val="000000" w:themeColor="text1"/>
          <w:sz w:val="24"/>
          <w:szCs w:val="24"/>
          <w:lang w:eastAsia="en-ZA"/>
        </w:rPr>
        <w:t xml:space="preserve">is </w:t>
      </w:r>
      <w:r w:rsidR="003A5FEB">
        <w:rPr>
          <w:rFonts w:ascii="Arial" w:eastAsiaTheme="minorEastAsia" w:hAnsi="Arial" w:cs="Arial"/>
          <w:color w:val="000000" w:themeColor="text1"/>
          <w:sz w:val="24"/>
          <w:szCs w:val="24"/>
          <w:lang w:eastAsia="en-ZA"/>
        </w:rPr>
        <w:t>whether or not the enforcement of the contractual terms of the Sub-lease will be against public policy.</w:t>
      </w:r>
      <w:r w:rsidR="00BA4CB2">
        <w:rPr>
          <w:rFonts w:ascii="Arial" w:eastAsiaTheme="minorEastAsia" w:hAnsi="Arial" w:cs="Arial"/>
          <w:color w:val="000000" w:themeColor="text1"/>
          <w:sz w:val="24"/>
          <w:szCs w:val="24"/>
          <w:lang w:eastAsia="en-ZA"/>
        </w:rPr>
        <w:t xml:space="preserve"> </w:t>
      </w:r>
      <w:r w:rsidR="00076FF4">
        <w:rPr>
          <w:rFonts w:ascii="Arial" w:eastAsiaTheme="minorEastAsia" w:hAnsi="Arial" w:cs="Arial"/>
          <w:color w:val="000000" w:themeColor="text1"/>
          <w:sz w:val="24"/>
          <w:szCs w:val="24"/>
          <w:lang w:eastAsia="en-ZA"/>
        </w:rPr>
        <w:t xml:space="preserve"> In essence the </w:t>
      </w:r>
      <w:r w:rsidR="00103989">
        <w:rPr>
          <w:rFonts w:ascii="Arial" w:eastAsiaTheme="minorEastAsia" w:hAnsi="Arial" w:cs="Arial"/>
          <w:color w:val="000000" w:themeColor="text1"/>
          <w:sz w:val="24"/>
          <w:szCs w:val="24"/>
          <w:lang w:eastAsia="en-ZA"/>
        </w:rPr>
        <w:t>Applicant Trust</w:t>
      </w:r>
      <w:r w:rsidR="00076FF4">
        <w:rPr>
          <w:rFonts w:ascii="Arial" w:eastAsiaTheme="minorEastAsia" w:hAnsi="Arial" w:cs="Arial"/>
          <w:color w:val="000000" w:themeColor="text1"/>
          <w:sz w:val="24"/>
          <w:szCs w:val="24"/>
          <w:lang w:eastAsia="en-ZA"/>
        </w:rPr>
        <w:t>’s case is that it lawfully and validly cancelled the Sub-</w:t>
      </w:r>
      <w:r w:rsidR="00E33B3D">
        <w:rPr>
          <w:rFonts w:ascii="Arial" w:eastAsiaTheme="minorEastAsia" w:hAnsi="Arial" w:cs="Arial"/>
          <w:color w:val="000000" w:themeColor="text1"/>
          <w:sz w:val="24"/>
          <w:szCs w:val="24"/>
          <w:lang w:eastAsia="en-ZA"/>
        </w:rPr>
        <w:t>L</w:t>
      </w:r>
      <w:r w:rsidR="00076FF4">
        <w:rPr>
          <w:rFonts w:ascii="Arial" w:eastAsiaTheme="minorEastAsia" w:hAnsi="Arial" w:cs="Arial"/>
          <w:color w:val="000000" w:themeColor="text1"/>
          <w:sz w:val="24"/>
          <w:szCs w:val="24"/>
          <w:lang w:eastAsia="en-ZA"/>
        </w:rPr>
        <w:t>ease agreement and that the application concern questions of law and the interpretation of the provisions of the agreement(s) concluded between the parties.</w:t>
      </w:r>
    </w:p>
    <w:p w:rsidR="00076FF4" w:rsidRDefault="00076FF4" w:rsidP="003A5FEB">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C66515" w:rsidRDefault="00B11854"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[2</w:t>
      </w:r>
      <w:r w:rsidR="00E33B3D">
        <w:rPr>
          <w:rFonts w:ascii="Arial" w:eastAsiaTheme="minorEastAsia" w:hAnsi="Arial" w:cs="Arial"/>
          <w:color w:val="000000" w:themeColor="text1"/>
          <w:sz w:val="24"/>
          <w:szCs w:val="24"/>
          <w:lang w:eastAsia="en-ZA"/>
        </w:rPr>
        <w:t>3</w:t>
      </w:r>
      <w:r>
        <w:rPr>
          <w:rFonts w:ascii="Arial" w:eastAsiaTheme="minorEastAsia" w:hAnsi="Arial" w:cs="Arial"/>
          <w:color w:val="000000" w:themeColor="text1"/>
          <w:sz w:val="24"/>
          <w:szCs w:val="24"/>
          <w:lang w:eastAsia="en-ZA"/>
        </w:rPr>
        <w:t>]</w:t>
      </w:r>
      <w:r>
        <w:rPr>
          <w:rFonts w:ascii="Arial" w:eastAsiaTheme="minorEastAsia" w:hAnsi="Arial" w:cs="Arial"/>
          <w:color w:val="000000" w:themeColor="text1"/>
          <w:sz w:val="24"/>
          <w:szCs w:val="24"/>
          <w:lang w:eastAsia="en-ZA"/>
        </w:rPr>
        <w:tab/>
      </w:r>
      <w:r w:rsidR="00076FF4">
        <w:rPr>
          <w:rFonts w:ascii="Arial" w:eastAsiaTheme="minorEastAsia" w:hAnsi="Arial" w:cs="Arial"/>
          <w:color w:val="000000" w:themeColor="text1"/>
          <w:sz w:val="24"/>
          <w:szCs w:val="24"/>
          <w:lang w:eastAsia="en-ZA"/>
        </w:rPr>
        <w:t>Mr Grobler SC argued that</w:t>
      </w:r>
      <w:r w:rsidR="003E7203">
        <w:rPr>
          <w:rFonts w:ascii="Arial" w:eastAsiaTheme="minorEastAsia" w:hAnsi="Arial" w:cs="Arial"/>
          <w:color w:val="000000" w:themeColor="text1"/>
          <w:sz w:val="24"/>
          <w:szCs w:val="24"/>
          <w:lang w:eastAsia="en-ZA"/>
        </w:rPr>
        <w:t>,</w:t>
      </w:r>
      <w:r w:rsidR="00076FF4">
        <w:rPr>
          <w:rFonts w:ascii="Arial" w:eastAsiaTheme="minorEastAsia" w:hAnsi="Arial" w:cs="Arial"/>
          <w:color w:val="000000" w:themeColor="text1"/>
          <w:sz w:val="24"/>
          <w:szCs w:val="24"/>
          <w:lang w:eastAsia="en-ZA"/>
        </w:rPr>
        <w:t xml:space="preserve"> on the basis that the </w:t>
      </w:r>
      <w:r w:rsidR="00013331">
        <w:rPr>
          <w:rFonts w:ascii="Arial" w:eastAsiaTheme="minorEastAsia" w:hAnsi="Arial" w:cs="Arial"/>
          <w:color w:val="000000" w:themeColor="text1"/>
          <w:sz w:val="24"/>
          <w:szCs w:val="24"/>
          <w:lang w:eastAsia="en-ZA"/>
        </w:rPr>
        <w:t>Respondent Trust</w:t>
      </w:r>
      <w:r w:rsidR="00076FF4">
        <w:rPr>
          <w:rFonts w:ascii="Arial" w:eastAsiaTheme="minorEastAsia" w:hAnsi="Arial" w:cs="Arial"/>
          <w:color w:val="000000" w:themeColor="text1"/>
          <w:sz w:val="24"/>
          <w:szCs w:val="24"/>
          <w:lang w:eastAsia="en-ZA"/>
        </w:rPr>
        <w:t xml:space="preserve"> and FirstRand Bank rely upon </w:t>
      </w:r>
      <w:r w:rsidR="001234F7">
        <w:rPr>
          <w:rFonts w:ascii="Arial" w:eastAsiaTheme="minorEastAsia" w:hAnsi="Arial" w:cs="Arial"/>
          <w:color w:val="000000" w:themeColor="text1"/>
          <w:sz w:val="24"/>
          <w:szCs w:val="24"/>
          <w:lang w:eastAsia="en-ZA"/>
        </w:rPr>
        <w:t>FA10</w:t>
      </w:r>
      <w:r w:rsidR="00076FF4">
        <w:rPr>
          <w:rFonts w:ascii="Arial" w:eastAsiaTheme="minorEastAsia" w:hAnsi="Arial" w:cs="Arial"/>
          <w:color w:val="000000" w:themeColor="text1"/>
          <w:sz w:val="24"/>
          <w:szCs w:val="24"/>
          <w:lang w:eastAsia="en-ZA"/>
        </w:rPr>
        <w:t xml:space="preserve"> given by the </w:t>
      </w:r>
      <w:r w:rsidR="00103989">
        <w:rPr>
          <w:rFonts w:ascii="Arial" w:eastAsiaTheme="minorEastAsia" w:hAnsi="Arial" w:cs="Arial"/>
          <w:color w:val="000000" w:themeColor="text1"/>
          <w:sz w:val="24"/>
          <w:szCs w:val="24"/>
          <w:lang w:eastAsia="en-ZA"/>
        </w:rPr>
        <w:t>Applicant Trust</w:t>
      </w:r>
      <w:r w:rsidR="00076FF4">
        <w:rPr>
          <w:rFonts w:ascii="Arial" w:eastAsiaTheme="minorEastAsia" w:hAnsi="Arial" w:cs="Arial"/>
          <w:color w:val="000000" w:themeColor="text1"/>
          <w:sz w:val="24"/>
          <w:szCs w:val="24"/>
          <w:lang w:eastAsia="en-ZA"/>
        </w:rPr>
        <w:t xml:space="preserve"> to FirstRand Bank as the basis for the contention that the Sub-lease was not lawfully cancelled, it will be imperative for the court to find that </w:t>
      </w:r>
      <w:r w:rsidR="001234F7">
        <w:rPr>
          <w:rFonts w:ascii="Arial" w:eastAsiaTheme="minorEastAsia" w:hAnsi="Arial" w:cs="Arial"/>
          <w:color w:val="000000" w:themeColor="text1"/>
          <w:sz w:val="24"/>
          <w:szCs w:val="24"/>
          <w:lang w:eastAsia="en-ZA"/>
        </w:rPr>
        <w:t>FA10</w:t>
      </w:r>
      <w:r w:rsidR="00076FF4">
        <w:rPr>
          <w:rFonts w:ascii="Arial" w:eastAsiaTheme="minorEastAsia" w:hAnsi="Arial" w:cs="Arial"/>
          <w:color w:val="000000" w:themeColor="text1"/>
          <w:sz w:val="24"/>
          <w:szCs w:val="24"/>
          <w:lang w:eastAsia="en-ZA"/>
        </w:rPr>
        <w:t xml:space="preserve"> amounted to a valid amendment of the Sub-</w:t>
      </w:r>
      <w:r w:rsidR="001234F7">
        <w:rPr>
          <w:rFonts w:ascii="Arial" w:eastAsiaTheme="minorEastAsia" w:hAnsi="Arial" w:cs="Arial"/>
          <w:color w:val="000000" w:themeColor="text1"/>
          <w:sz w:val="24"/>
          <w:szCs w:val="24"/>
          <w:lang w:eastAsia="en-ZA"/>
        </w:rPr>
        <w:t>Lease</w:t>
      </w:r>
      <w:r w:rsidR="00076FF4">
        <w:rPr>
          <w:rFonts w:ascii="Arial" w:eastAsiaTheme="minorEastAsia" w:hAnsi="Arial" w:cs="Arial"/>
          <w:color w:val="000000" w:themeColor="text1"/>
          <w:sz w:val="24"/>
          <w:szCs w:val="24"/>
          <w:lang w:eastAsia="en-ZA"/>
        </w:rPr>
        <w:t xml:space="preserve">. </w:t>
      </w:r>
      <w:r w:rsidR="003E7203">
        <w:rPr>
          <w:rFonts w:ascii="Arial" w:eastAsiaTheme="minorEastAsia" w:hAnsi="Arial" w:cs="Arial"/>
          <w:color w:val="000000" w:themeColor="text1"/>
          <w:sz w:val="24"/>
          <w:szCs w:val="24"/>
          <w:lang w:eastAsia="en-ZA"/>
        </w:rPr>
        <w:t xml:space="preserve"> It is however the </w:t>
      </w:r>
      <w:r w:rsidR="00103989">
        <w:rPr>
          <w:rFonts w:ascii="Arial" w:eastAsiaTheme="minorEastAsia" w:hAnsi="Arial" w:cs="Arial"/>
          <w:color w:val="000000" w:themeColor="text1"/>
          <w:sz w:val="24"/>
          <w:szCs w:val="24"/>
          <w:lang w:eastAsia="en-ZA"/>
        </w:rPr>
        <w:t>Applicant Trust</w:t>
      </w:r>
      <w:r w:rsidR="001234F7">
        <w:rPr>
          <w:rFonts w:ascii="Arial" w:eastAsiaTheme="minorEastAsia" w:hAnsi="Arial" w:cs="Arial"/>
          <w:color w:val="000000" w:themeColor="text1"/>
          <w:sz w:val="24"/>
          <w:szCs w:val="24"/>
          <w:lang w:eastAsia="en-ZA"/>
        </w:rPr>
        <w:t>’</w:t>
      </w:r>
      <w:r w:rsidR="003E7203">
        <w:rPr>
          <w:rFonts w:ascii="Arial" w:eastAsiaTheme="minorEastAsia" w:hAnsi="Arial" w:cs="Arial"/>
          <w:color w:val="000000" w:themeColor="text1"/>
          <w:sz w:val="24"/>
          <w:szCs w:val="24"/>
          <w:lang w:eastAsia="en-ZA"/>
        </w:rPr>
        <w:t xml:space="preserve">s case that </w:t>
      </w:r>
      <w:r w:rsidR="001234F7">
        <w:rPr>
          <w:rFonts w:ascii="Arial" w:eastAsiaTheme="minorEastAsia" w:hAnsi="Arial" w:cs="Arial"/>
          <w:color w:val="000000" w:themeColor="text1"/>
          <w:sz w:val="24"/>
          <w:szCs w:val="24"/>
          <w:lang w:eastAsia="en-ZA"/>
        </w:rPr>
        <w:t>FA10</w:t>
      </w:r>
      <w:r w:rsidR="003E7203">
        <w:rPr>
          <w:rFonts w:ascii="Arial" w:eastAsiaTheme="minorEastAsia" w:hAnsi="Arial" w:cs="Arial"/>
          <w:color w:val="000000" w:themeColor="text1"/>
          <w:sz w:val="24"/>
          <w:szCs w:val="24"/>
          <w:lang w:eastAsia="en-ZA"/>
        </w:rPr>
        <w:t xml:space="preserve"> does not constitute an agreement nor do the provisions contained therein amount to a variation of the terms of the Sub-Lease. </w:t>
      </w:r>
    </w:p>
    <w:p w:rsidR="003E7203" w:rsidRDefault="003E7203"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3E7203" w:rsidRDefault="003E7203"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[2</w:t>
      </w:r>
      <w:r w:rsidR="00E33B3D">
        <w:rPr>
          <w:rFonts w:ascii="Arial" w:eastAsiaTheme="minorEastAsia" w:hAnsi="Arial" w:cs="Arial"/>
          <w:color w:val="000000" w:themeColor="text1"/>
          <w:sz w:val="24"/>
          <w:szCs w:val="24"/>
          <w:lang w:eastAsia="en-ZA"/>
        </w:rPr>
        <w:t>4</w:t>
      </w:r>
      <w:r>
        <w:rPr>
          <w:rFonts w:ascii="Arial" w:eastAsiaTheme="minorEastAsia" w:hAnsi="Arial" w:cs="Arial"/>
          <w:color w:val="000000" w:themeColor="text1"/>
          <w:sz w:val="24"/>
          <w:szCs w:val="24"/>
          <w:lang w:eastAsia="en-ZA"/>
        </w:rPr>
        <w:t>]</w:t>
      </w:r>
      <w:r>
        <w:rPr>
          <w:rFonts w:ascii="Arial" w:eastAsiaTheme="minorEastAsia" w:hAnsi="Arial" w:cs="Arial"/>
          <w:color w:val="000000" w:themeColor="text1"/>
          <w:sz w:val="24"/>
          <w:szCs w:val="24"/>
          <w:lang w:eastAsia="en-ZA"/>
        </w:rPr>
        <w:tab/>
        <w:t xml:space="preserve">The </w:t>
      </w:r>
      <w:r w:rsidR="00103989">
        <w:rPr>
          <w:rFonts w:ascii="Arial" w:eastAsiaTheme="minorEastAsia" w:hAnsi="Arial" w:cs="Arial"/>
          <w:color w:val="000000" w:themeColor="text1"/>
          <w:sz w:val="24"/>
          <w:szCs w:val="24"/>
          <w:lang w:eastAsia="en-ZA"/>
        </w:rPr>
        <w:t>Applicant Trust</w:t>
      </w:r>
      <w:r>
        <w:rPr>
          <w:rFonts w:ascii="Arial" w:eastAsiaTheme="minorEastAsia" w:hAnsi="Arial" w:cs="Arial"/>
          <w:color w:val="000000" w:themeColor="text1"/>
          <w:sz w:val="24"/>
          <w:szCs w:val="24"/>
          <w:lang w:eastAsia="en-ZA"/>
        </w:rPr>
        <w:t xml:space="preserve"> provided its consent to the </w:t>
      </w:r>
      <w:r w:rsidR="00013331">
        <w:rPr>
          <w:rFonts w:ascii="Arial" w:eastAsiaTheme="minorEastAsia" w:hAnsi="Arial" w:cs="Arial"/>
          <w:color w:val="000000" w:themeColor="text1"/>
          <w:sz w:val="24"/>
          <w:szCs w:val="24"/>
          <w:lang w:eastAsia="en-ZA"/>
        </w:rPr>
        <w:t>Respondent Trust</w:t>
      </w:r>
      <w:r>
        <w:rPr>
          <w:rFonts w:ascii="Arial" w:eastAsiaTheme="minorEastAsia" w:hAnsi="Arial" w:cs="Arial"/>
          <w:color w:val="000000" w:themeColor="text1"/>
          <w:sz w:val="24"/>
          <w:szCs w:val="24"/>
          <w:lang w:eastAsia="en-ZA"/>
        </w:rPr>
        <w:t xml:space="preserve"> to ceded its rights, title and interest in and to the Sub-Lease to FirstRand Bank as security for the </w:t>
      </w:r>
      <w:r w:rsidR="00013331">
        <w:rPr>
          <w:rFonts w:ascii="Arial" w:eastAsiaTheme="minorEastAsia" w:hAnsi="Arial" w:cs="Arial"/>
          <w:color w:val="000000" w:themeColor="text1"/>
          <w:sz w:val="24"/>
          <w:szCs w:val="24"/>
          <w:lang w:eastAsia="en-ZA"/>
        </w:rPr>
        <w:t>Respondent Trust</w:t>
      </w:r>
      <w:r w:rsidR="008C6515">
        <w:rPr>
          <w:rFonts w:ascii="Arial" w:eastAsiaTheme="minorEastAsia" w:hAnsi="Arial" w:cs="Arial"/>
          <w:color w:val="000000" w:themeColor="text1"/>
          <w:sz w:val="24"/>
          <w:szCs w:val="24"/>
          <w:lang w:eastAsia="en-ZA"/>
        </w:rPr>
        <w:t>’s</w:t>
      </w:r>
      <w:r>
        <w:rPr>
          <w:rFonts w:ascii="Arial" w:eastAsiaTheme="minorEastAsia" w:hAnsi="Arial" w:cs="Arial"/>
          <w:color w:val="000000" w:themeColor="text1"/>
          <w:sz w:val="24"/>
          <w:szCs w:val="24"/>
          <w:lang w:eastAsia="en-ZA"/>
        </w:rPr>
        <w:t xml:space="preserve"> obligations </w:t>
      </w:r>
      <w:r w:rsidRPr="003E7203">
        <w:rPr>
          <w:rFonts w:ascii="Arial" w:eastAsiaTheme="minorEastAsia" w:hAnsi="Arial" w:cs="Arial"/>
          <w:i/>
          <w:color w:val="000000" w:themeColor="text1"/>
          <w:sz w:val="24"/>
          <w:szCs w:val="24"/>
          <w:lang w:eastAsia="en-ZA"/>
        </w:rPr>
        <w:t>vis-à-vis</w:t>
      </w:r>
      <w:r>
        <w:rPr>
          <w:rFonts w:ascii="Arial" w:eastAsiaTheme="minorEastAsia" w:hAnsi="Arial" w:cs="Arial"/>
          <w:i/>
          <w:color w:val="000000" w:themeColor="text1"/>
          <w:sz w:val="24"/>
          <w:szCs w:val="24"/>
          <w:lang w:eastAsia="en-ZA"/>
        </w:rPr>
        <w:t xml:space="preserve"> </w:t>
      </w:r>
      <w:r>
        <w:rPr>
          <w:rFonts w:ascii="Arial" w:eastAsiaTheme="minorEastAsia" w:hAnsi="Arial" w:cs="Arial"/>
          <w:color w:val="000000" w:themeColor="text1"/>
          <w:sz w:val="24"/>
          <w:szCs w:val="24"/>
          <w:lang w:eastAsia="en-ZA"/>
        </w:rPr>
        <w:t>FirstRand Bank and to register a bond over the Sub-Lease.</w:t>
      </w:r>
      <w:r w:rsidR="00261529">
        <w:rPr>
          <w:rFonts w:ascii="Arial" w:eastAsiaTheme="minorEastAsia" w:hAnsi="Arial" w:cs="Arial"/>
          <w:color w:val="000000" w:themeColor="text1"/>
          <w:sz w:val="24"/>
          <w:szCs w:val="24"/>
          <w:lang w:eastAsia="en-ZA"/>
        </w:rPr>
        <w:t xml:space="preserve">  Furthermore, the </w:t>
      </w:r>
      <w:r w:rsidR="00103989">
        <w:rPr>
          <w:rFonts w:ascii="Arial" w:eastAsiaTheme="minorEastAsia" w:hAnsi="Arial" w:cs="Arial"/>
          <w:color w:val="000000" w:themeColor="text1"/>
          <w:sz w:val="24"/>
          <w:szCs w:val="24"/>
          <w:lang w:eastAsia="en-ZA"/>
        </w:rPr>
        <w:t>Applicant Trust</w:t>
      </w:r>
      <w:r w:rsidR="00261529">
        <w:rPr>
          <w:rFonts w:ascii="Arial" w:eastAsiaTheme="minorEastAsia" w:hAnsi="Arial" w:cs="Arial"/>
          <w:color w:val="000000" w:themeColor="text1"/>
          <w:sz w:val="24"/>
          <w:szCs w:val="24"/>
          <w:lang w:eastAsia="en-ZA"/>
        </w:rPr>
        <w:t xml:space="preserve"> undertook, in favour of FirstRand Bank, for as long as the </w:t>
      </w:r>
      <w:r w:rsidR="00013331">
        <w:rPr>
          <w:rFonts w:ascii="Arial" w:eastAsiaTheme="minorEastAsia" w:hAnsi="Arial" w:cs="Arial"/>
          <w:color w:val="000000" w:themeColor="text1"/>
          <w:sz w:val="24"/>
          <w:szCs w:val="24"/>
          <w:lang w:eastAsia="en-ZA"/>
        </w:rPr>
        <w:t>Respondent Trust</w:t>
      </w:r>
      <w:r w:rsidR="00261529">
        <w:rPr>
          <w:rFonts w:ascii="Arial" w:eastAsiaTheme="minorEastAsia" w:hAnsi="Arial" w:cs="Arial"/>
          <w:color w:val="000000" w:themeColor="text1"/>
          <w:sz w:val="24"/>
          <w:szCs w:val="24"/>
          <w:lang w:eastAsia="en-ZA"/>
        </w:rPr>
        <w:t xml:space="preserve"> is indebted to FirstRand Bank in terms of the said mortgage bond, not to cancel the Sub-lease unless it has given reasonable notice of at least 20 days of the </w:t>
      </w:r>
      <w:r w:rsidR="00013331">
        <w:rPr>
          <w:rFonts w:ascii="Arial" w:eastAsiaTheme="minorEastAsia" w:hAnsi="Arial" w:cs="Arial"/>
          <w:color w:val="000000" w:themeColor="text1"/>
          <w:sz w:val="24"/>
          <w:szCs w:val="24"/>
          <w:lang w:eastAsia="en-ZA"/>
        </w:rPr>
        <w:t>Respondent Trust</w:t>
      </w:r>
      <w:r w:rsidR="007403F6">
        <w:rPr>
          <w:rFonts w:ascii="Arial" w:eastAsiaTheme="minorEastAsia" w:hAnsi="Arial" w:cs="Arial"/>
          <w:color w:val="000000" w:themeColor="text1"/>
          <w:sz w:val="24"/>
          <w:szCs w:val="24"/>
          <w:lang w:eastAsia="en-ZA"/>
        </w:rPr>
        <w:t>’</w:t>
      </w:r>
      <w:r w:rsidR="00261529">
        <w:rPr>
          <w:rFonts w:ascii="Arial" w:eastAsiaTheme="minorEastAsia" w:hAnsi="Arial" w:cs="Arial"/>
          <w:color w:val="000000" w:themeColor="text1"/>
          <w:sz w:val="24"/>
          <w:szCs w:val="24"/>
          <w:lang w:eastAsia="en-ZA"/>
        </w:rPr>
        <w:t xml:space="preserve">s default and the </w:t>
      </w:r>
      <w:r w:rsidR="00103989">
        <w:rPr>
          <w:rFonts w:ascii="Arial" w:eastAsiaTheme="minorEastAsia" w:hAnsi="Arial" w:cs="Arial"/>
          <w:color w:val="000000" w:themeColor="text1"/>
          <w:sz w:val="24"/>
          <w:szCs w:val="24"/>
          <w:lang w:eastAsia="en-ZA"/>
        </w:rPr>
        <w:t>Applicant Trust</w:t>
      </w:r>
      <w:r w:rsidR="00261529">
        <w:rPr>
          <w:rFonts w:ascii="Arial" w:eastAsiaTheme="minorEastAsia" w:hAnsi="Arial" w:cs="Arial"/>
          <w:color w:val="000000" w:themeColor="text1"/>
          <w:sz w:val="24"/>
          <w:szCs w:val="24"/>
          <w:lang w:eastAsia="en-ZA"/>
        </w:rPr>
        <w:t xml:space="preserve">’s intention to cancel the </w:t>
      </w:r>
      <w:r w:rsidR="001234F7">
        <w:rPr>
          <w:rFonts w:ascii="Arial" w:eastAsiaTheme="minorEastAsia" w:hAnsi="Arial" w:cs="Arial"/>
          <w:color w:val="000000" w:themeColor="text1"/>
          <w:sz w:val="24"/>
          <w:szCs w:val="24"/>
          <w:lang w:eastAsia="en-ZA"/>
        </w:rPr>
        <w:t>S</w:t>
      </w:r>
      <w:r w:rsidR="00261529">
        <w:rPr>
          <w:rFonts w:ascii="Arial" w:eastAsiaTheme="minorEastAsia" w:hAnsi="Arial" w:cs="Arial"/>
          <w:color w:val="000000" w:themeColor="text1"/>
          <w:sz w:val="24"/>
          <w:szCs w:val="24"/>
          <w:lang w:eastAsia="en-ZA"/>
        </w:rPr>
        <w:t>ub-</w:t>
      </w:r>
      <w:r w:rsidR="001234F7">
        <w:rPr>
          <w:rFonts w:ascii="Arial" w:eastAsiaTheme="minorEastAsia" w:hAnsi="Arial" w:cs="Arial"/>
          <w:color w:val="000000" w:themeColor="text1"/>
          <w:sz w:val="24"/>
          <w:szCs w:val="24"/>
          <w:lang w:eastAsia="en-ZA"/>
        </w:rPr>
        <w:t>L</w:t>
      </w:r>
      <w:r w:rsidR="00261529">
        <w:rPr>
          <w:rFonts w:ascii="Arial" w:eastAsiaTheme="minorEastAsia" w:hAnsi="Arial" w:cs="Arial"/>
          <w:color w:val="000000" w:themeColor="text1"/>
          <w:sz w:val="24"/>
          <w:szCs w:val="24"/>
          <w:lang w:eastAsia="en-ZA"/>
        </w:rPr>
        <w:t xml:space="preserve">ease. </w:t>
      </w:r>
    </w:p>
    <w:p w:rsidR="00261529" w:rsidRDefault="00261529"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261529" w:rsidRDefault="00261529"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[2</w:t>
      </w:r>
      <w:r w:rsidR="00E33B3D">
        <w:rPr>
          <w:rFonts w:ascii="Arial" w:eastAsiaTheme="minorEastAsia" w:hAnsi="Arial" w:cs="Arial"/>
          <w:color w:val="000000" w:themeColor="text1"/>
          <w:sz w:val="24"/>
          <w:szCs w:val="24"/>
          <w:lang w:eastAsia="en-ZA"/>
        </w:rPr>
        <w:t>5</w:t>
      </w:r>
      <w:r>
        <w:rPr>
          <w:rFonts w:ascii="Arial" w:eastAsiaTheme="minorEastAsia" w:hAnsi="Arial" w:cs="Arial"/>
          <w:color w:val="000000" w:themeColor="text1"/>
          <w:sz w:val="24"/>
          <w:szCs w:val="24"/>
          <w:lang w:eastAsia="en-ZA"/>
        </w:rPr>
        <w:t>]</w:t>
      </w:r>
      <w:r>
        <w:rPr>
          <w:rFonts w:ascii="Arial" w:eastAsiaTheme="minorEastAsia" w:hAnsi="Arial" w:cs="Arial"/>
          <w:color w:val="000000" w:themeColor="text1"/>
          <w:sz w:val="24"/>
          <w:szCs w:val="24"/>
          <w:lang w:eastAsia="en-ZA"/>
        </w:rPr>
        <w:tab/>
      </w:r>
      <w:r w:rsidR="001234F7">
        <w:rPr>
          <w:rFonts w:ascii="Arial" w:eastAsiaTheme="minorEastAsia" w:hAnsi="Arial" w:cs="Arial"/>
          <w:color w:val="000000" w:themeColor="text1"/>
          <w:sz w:val="24"/>
          <w:szCs w:val="24"/>
          <w:lang w:eastAsia="en-ZA"/>
        </w:rPr>
        <w:t>However, t</w:t>
      </w:r>
      <w:r w:rsidR="00192060">
        <w:rPr>
          <w:rFonts w:ascii="Arial" w:eastAsiaTheme="minorEastAsia" w:hAnsi="Arial" w:cs="Arial"/>
          <w:color w:val="000000" w:themeColor="text1"/>
          <w:sz w:val="24"/>
          <w:szCs w:val="24"/>
          <w:lang w:eastAsia="en-ZA"/>
        </w:rPr>
        <w:t xml:space="preserve">he </w:t>
      </w:r>
      <w:r w:rsidR="00103989">
        <w:rPr>
          <w:rFonts w:ascii="Arial" w:eastAsiaTheme="minorEastAsia" w:hAnsi="Arial" w:cs="Arial"/>
          <w:color w:val="000000" w:themeColor="text1"/>
          <w:sz w:val="24"/>
          <w:szCs w:val="24"/>
          <w:lang w:eastAsia="en-ZA"/>
        </w:rPr>
        <w:t>Applicant Trust</w:t>
      </w:r>
      <w:r w:rsidR="00192060">
        <w:rPr>
          <w:rFonts w:ascii="Arial" w:eastAsiaTheme="minorEastAsia" w:hAnsi="Arial" w:cs="Arial"/>
          <w:color w:val="000000" w:themeColor="text1"/>
          <w:sz w:val="24"/>
          <w:szCs w:val="24"/>
          <w:lang w:eastAsia="en-ZA"/>
        </w:rPr>
        <w:t xml:space="preserve"> is not a party to the mortgage bond and in as far as </w:t>
      </w:r>
      <w:r w:rsidR="00C04CA5">
        <w:rPr>
          <w:rFonts w:ascii="Arial" w:eastAsiaTheme="minorEastAsia" w:hAnsi="Arial" w:cs="Arial"/>
          <w:color w:val="000000" w:themeColor="text1"/>
          <w:sz w:val="24"/>
          <w:szCs w:val="24"/>
          <w:lang w:eastAsia="en-ZA"/>
        </w:rPr>
        <w:lastRenderedPageBreak/>
        <w:t>Fi</w:t>
      </w:r>
      <w:r w:rsidR="00192060">
        <w:rPr>
          <w:rFonts w:ascii="Arial" w:eastAsiaTheme="minorEastAsia" w:hAnsi="Arial" w:cs="Arial"/>
          <w:color w:val="000000" w:themeColor="text1"/>
          <w:sz w:val="24"/>
          <w:szCs w:val="24"/>
          <w:lang w:eastAsia="en-ZA"/>
        </w:rPr>
        <w:t xml:space="preserve">rstRand </w:t>
      </w:r>
      <w:r w:rsidR="00C04CA5">
        <w:rPr>
          <w:rFonts w:ascii="Arial" w:eastAsiaTheme="minorEastAsia" w:hAnsi="Arial" w:cs="Arial"/>
          <w:color w:val="000000" w:themeColor="text1"/>
          <w:sz w:val="24"/>
          <w:szCs w:val="24"/>
          <w:lang w:eastAsia="en-ZA"/>
        </w:rPr>
        <w:t>B</w:t>
      </w:r>
      <w:r w:rsidR="00192060">
        <w:rPr>
          <w:rFonts w:ascii="Arial" w:eastAsiaTheme="minorEastAsia" w:hAnsi="Arial" w:cs="Arial"/>
          <w:color w:val="000000" w:themeColor="text1"/>
          <w:sz w:val="24"/>
          <w:szCs w:val="24"/>
          <w:lang w:eastAsia="en-ZA"/>
        </w:rPr>
        <w:t xml:space="preserve">ank has acquired real rights under the mortgage bond, such rights, </w:t>
      </w:r>
      <w:r w:rsidR="00192060" w:rsidRPr="00192060">
        <w:rPr>
          <w:rFonts w:ascii="Arial" w:eastAsiaTheme="minorEastAsia" w:hAnsi="Arial" w:cs="Arial"/>
          <w:i/>
          <w:color w:val="000000" w:themeColor="text1"/>
          <w:sz w:val="24"/>
          <w:szCs w:val="24"/>
          <w:lang w:eastAsia="en-ZA"/>
        </w:rPr>
        <w:t>ex facie</w:t>
      </w:r>
      <w:r w:rsidR="00192060">
        <w:rPr>
          <w:rFonts w:ascii="Arial" w:eastAsiaTheme="minorEastAsia" w:hAnsi="Arial" w:cs="Arial"/>
          <w:color w:val="000000" w:themeColor="text1"/>
          <w:sz w:val="24"/>
          <w:szCs w:val="24"/>
          <w:lang w:eastAsia="en-ZA"/>
        </w:rPr>
        <w:t xml:space="preserve"> </w:t>
      </w:r>
      <w:r w:rsidR="00C04CA5">
        <w:rPr>
          <w:rFonts w:ascii="Arial" w:eastAsiaTheme="minorEastAsia" w:hAnsi="Arial" w:cs="Arial"/>
          <w:color w:val="000000" w:themeColor="text1"/>
          <w:sz w:val="24"/>
          <w:szCs w:val="24"/>
          <w:lang w:eastAsia="en-ZA"/>
        </w:rPr>
        <w:t>the mortgage bond</w:t>
      </w:r>
      <w:r w:rsidR="007403F6">
        <w:rPr>
          <w:rFonts w:ascii="Arial" w:eastAsiaTheme="minorEastAsia" w:hAnsi="Arial" w:cs="Arial"/>
          <w:color w:val="000000" w:themeColor="text1"/>
          <w:sz w:val="24"/>
          <w:szCs w:val="24"/>
          <w:lang w:eastAsia="en-ZA"/>
        </w:rPr>
        <w:t>,</w:t>
      </w:r>
      <w:r w:rsidR="00C04CA5">
        <w:rPr>
          <w:rFonts w:ascii="Arial" w:eastAsiaTheme="minorEastAsia" w:hAnsi="Arial" w:cs="Arial"/>
          <w:color w:val="000000" w:themeColor="text1"/>
          <w:sz w:val="24"/>
          <w:szCs w:val="24"/>
          <w:lang w:eastAsia="en-ZA"/>
        </w:rPr>
        <w:t xml:space="preserve"> do not include any right to notice as a pre-requisite for cancellation of the Sub-Lease. The mortgage bond was registered without the </w:t>
      </w:r>
      <w:r w:rsidR="00103989">
        <w:rPr>
          <w:rFonts w:ascii="Arial" w:eastAsiaTheme="minorEastAsia" w:hAnsi="Arial" w:cs="Arial"/>
          <w:color w:val="000000" w:themeColor="text1"/>
          <w:sz w:val="24"/>
          <w:szCs w:val="24"/>
          <w:lang w:eastAsia="en-ZA"/>
        </w:rPr>
        <w:t>Applicant Trust</w:t>
      </w:r>
      <w:r w:rsidR="00C04CA5">
        <w:rPr>
          <w:rFonts w:ascii="Arial" w:eastAsiaTheme="minorEastAsia" w:hAnsi="Arial" w:cs="Arial"/>
          <w:color w:val="000000" w:themeColor="text1"/>
          <w:sz w:val="24"/>
          <w:szCs w:val="24"/>
          <w:lang w:eastAsia="en-ZA"/>
        </w:rPr>
        <w:t xml:space="preserve"> being a party thereto. </w:t>
      </w:r>
      <w:r w:rsidR="00E33B3D">
        <w:rPr>
          <w:rFonts w:ascii="Arial" w:eastAsiaTheme="minorEastAsia" w:hAnsi="Arial" w:cs="Arial"/>
          <w:color w:val="000000" w:themeColor="text1"/>
          <w:sz w:val="24"/>
          <w:szCs w:val="24"/>
          <w:lang w:eastAsia="en-ZA"/>
        </w:rPr>
        <w:t>T</w:t>
      </w:r>
      <w:r w:rsidR="00C04CA5">
        <w:rPr>
          <w:rFonts w:ascii="Arial" w:eastAsiaTheme="minorEastAsia" w:hAnsi="Arial" w:cs="Arial"/>
          <w:color w:val="000000" w:themeColor="text1"/>
          <w:sz w:val="24"/>
          <w:szCs w:val="24"/>
          <w:lang w:eastAsia="en-ZA"/>
        </w:rPr>
        <w:t xml:space="preserve">he mortgage bond specifically does not provide for a right to enforce or impose upon the </w:t>
      </w:r>
      <w:r w:rsidR="00103989">
        <w:rPr>
          <w:rFonts w:ascii="Arial" w:eastAsiaTheme="minorEastAsia" w:hAnsi="Arial" w:cs="Arial"/>
          <w:color w:val="000000" w:themeColor="text1"/>
          <w:sz w:val="24"/>
          <w:szCs w:val="24"/>
          <w:lang w:eastAsia="en-ZA"/>
        </w:rPr>
        <w:t>Applicant Trust</w:t>
      </w:r>
      <w:r w:rsidR="00C04CA5">
        <w:rPr>
          <w:rFonts w:ascii="Arial" w:eastAsiaTheme="minorEastAsia" w:hAnsi="Arial" w:cs="Arial"/>
          <w:color w:val="000000" w:themeColor="text1"/>
          <w:sz w:val="24"/>
          <w:szCs w:val="24"/>
          <w:lang w:eastAsia="en-ZA"/>
        </w:rPr>
        <w:t xml:space="preserve"> a specific notice period which must be complied with </w:t>
      </w:r>
      <w:r w:rsidR="005D0645" w:rsidRPr="005D0645">
        <w:rPr>
          <w:rFonts w:ascii="Arial" w:eastAsiaTheme="minorEastAsia" w:hAnsi="Arial" w:cs="Arial"/>
          <w:i/>
          <w:color w:val="000000" w:themeColor="text1"/>
          <w:sz w:val="24"/>
          <w:szCs w:val="24"/>
          <w:lang w:eastAsia="en-ZA"/>
        </w:rPr>
        <w:t>vis a vis</w:t>
      </w:r>
      <w:r w:rsidR="005D0645">
        <w:rPr>
          <w:rFonts w:ascii="Arial" w:eastAsiaTheme="minorEastAsia" w:hAnsi="Arial" w:cs="Arial"/>
          <w:color w:val="000000" w:themeColor="text1"/>
          <w:sz w:val="24"/>
          <w:szCs w:val="24"/>
          <w:lang w:eastAsia="en-ZA"/>
        </w:rPr>
        <w:t xml:space="preserve"> the </w:t>
      </w:r>
      <w:r w:rsidR="00013331">
        <w:rPr>
          <w:rFonts w:ascii="Arial" w:eastAsiaTheme="minorEastAsia" w:hAnsi="Arial" w:cs="Arial"/>
          <w:color w:val="000000" w:themeColor="text1"/>
          <w:sz w:val="24"/>
          <w:szCs w:val="24"/>
          <w:lang w:eastAsia="en-ZA"/>
        </w:rPr>
        <w:t>Respondent Trust</w:t>
      </w:r>
      <w:r w:rsidR="005D0645">
        <w:rPr>
          <w:rFonts w:ascii="Arial" w:eastAsiaTheme="minorEastAsia" w:hAnsi="Arial" w:cs="Arial"/>
          <w:color w:val="000000" w:themeColor="text1"/>
          <w:sz w:val="24"/>
          <w:szCs w:val="24"/>
          <w:lang w:eastAsia="en-ZA"/>
        </w:rPr>
        <w:t xml:space="preserve"> as a pre-requisite </w:t>
      </w:r>
      <w:r w:rsidR="00C04CA5">
        <w:rPr>
          <w:rFonts w:ascii="Arial" w:eastAsiaTheme="minorEastAsia" w:hAnsi="Arial" w:cs="Arial"/>
          <w:color w:val="000000" w:themeColor="text1"/>
          <w:sz w:val="24"/>
          <w:szCs w:val="24"/>
          <w:lang w:eastAsia="en-ZA"/>
        </w:rPr>
        <w:t>to cancellation of the Sub-lease</w:t>
      </w:r>
      <w:r w:rsidR="005D0645">
        <w:rPr>
          <w:rFonts w:ascii="Arial" w:eastAsiaTheme="minorEastAsia" w:hAnsi="Arial" w:cs="Arial"/>
          <w:color w:val="000000" w:themeColor="text1"/>
          <w:sz w:val="24"/>
          <w:szCs w:val="24"/>
          <w:lang w:eastAsia="en-ZA"/>
        </w:rPr>
        <w:t>.</w:t>
      </w:r>
    </w:p>
    <w:p w:rsidR="005D0645" w:rsidRDefault="005D0645"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E0168F" w:rsidRDefault="005D0645"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[2</w:t>
      </w:r>
      <w:r w:rsidR="00E33B3D">
        <w:rPr>
          <w:rFonts w:ascii="Arial" w:eastAsiaTheme="minorEastAsia" w:hAnsi="Arial" w:cs="Arial"/>
          <w:color w:val="000000" w:themeColor="text1"/>
          <w:sz w:val="24"/>
          <w:szCs w:val="24"/>
          <w:lang w:eastAsia="en-ZA"/>
        </w:rPr>
        <w:t>6</w:t>
      </w:r>
      <w:r>
        <w:rPr>
          <w:rFonts w:ascii="Arial" w:eastAsiaTheme="minorEastAsia" w:hAnsi="Arial" w:cs="Arial"/>
          <w:color w:val="000000" w:themeColor="text1"/>
          <w:sz w:val="24"/>
          <w:szCs w:val="24"/>
          <w:lang w:eastAsia="en-ZA"/>
        </w:rPr>
        <w:t>]</w:t>
      </w:r>
      <w:r>
        <w:rPr>
          <w:rFonts w:ascii="Arial" w:eastAsiaTheme="minorEastAsia" w:hAnsi="Arial" w:cs="Arial"/>
          <w:color w:val="000000" w:themeColor="text1"/>
          <w:sz w:val="24"/>
          <w:szCs w:val="24"/>
          <w:lang w:eastAsia="en-ZA"/>
        </w:rPr>
        <w:tab/>
        <w:t xml:space="preserve">The </w:t>
      </w:r>
      <w:r w:rsidR="00013331">
        <w:rPr>
          <w:rFonts w:ascii="Arial" w:eastAsiaTheme="minorEastAsia" w:hAnsi="Arial" w:cs="Arial"/>
          <w:color w:val="000000" w:themeColor="text1"/>
          <w:sz w:val="24"/>
          <w:szCs w:val="24"/>
          <w:lang w:eastAsia="en-ZA"/>
        </w:rPr>
        <w:t>Respondent Trust</w:t>
      </w:r>
      <w:r>
        <w:rPr>
          <w:rFonts w:ascii="Arial" w:eastAsiaTheme="minorEastAsia" w:hAnsi="Arial" w:cs="Arial"/>
          <w:color w:val="000000" w:themeColor="text1"/>
          <w:sz w:val="24"/>
          <w:szCs w:val="24"/>
          <w:lang w:eastAsia="en-ZA"/>
        </w:rPr>
        <w:t xml:space="preserve"> is not a party to </w:t>
      </w:r>
      <w:r w:rsidR="00087E20">
        <w:rPr>
          <w:rFonts w:ascii="Arial" w:eastAsiaTheme="minorEastAsia" w:hAnsi="Arial" w:cs="Arial"/>
          <w:color w:val="000000" w:themeColor="text1"/>
          <w:sz w:val="24"/>
          <w:szCs w:val="24"/>
          <w:lang w:eastAsia="en-ZA"/>
        </w:rPr>
        <w:t>FA10</w:t>
      </w:r>
      <w:r>
        <w:rPr>
          <w:rFonts w:ascii="Arial" w:eastAsiaTheme="minorEastAsia" w:hAnsi="Arial" w:cs="Arial"/>
          <w:color w:val="000000" w:themeColor="text1"/>
          <w:sz w:val="24"/>
          <w:szCs w:val="24"/>
          <w:lang w:eastAsia="en-ZA"/>
        </w:rPr>
        <w:t xml:space="preserve">, nor was the undertaking </w:t>
      </w:r>
      <w:r w:rsidR="001234F7">
        <w:rPr>
          <w:rFonts w:ascii="Arial" w:eastAsiaTheme="minorEastAsia" w:hAnsi="Arial" w:cs="Arial"/>
          <w:color w:val="000000" w:themeColor="text1"/>
          <w:sz w:val="24"/>
          <w:szCs w:val="24"/>
          <w:lang w:eastAsia="en-ZA"/>
        </w:rPr>
        <w:t xml:space="preserve">as per FA10 </w:t>
      </w:r>
      <w:r>
        <w:rPr>
          <w:rFonts w:ascii="Arial" w:eastAsiaTheme="minorEastAsia" w:hAnsi="Arial" w:cs="Arial"/>
          <w:color w:val="000000" w:themeColor="text1"/>
          <w:sz w:val="24"/>
          <w:szCs w:val="24"/>
          <w:lang w:eastAsia="en-ZA"/>
        </w:rPr>
        <w:t xml:space="preserve">directed to the </w:t>
      </w:r>
      <w:r w:rsidR="00013331">
        <w:rPr>
          <w:rFonts w:ascii="Arial" w:eastAsiaTheme="minorEastAsia" w:hAnsi="Arial" w:cs="Arial"/>
          <w:color w:val="000000" w:themeColor="text1"/>
          <w:sz w:val="24"/>
          <w:szCs w:val="24"/>
          <w:lang w:eastAsia="en-ZA"/>
        </w:rPr>
        <w:t>Respondent Trust</w:t>
      </w:r>
      <w:r>
        <w:rPr>
          <w:rFonts w:ascii="Arial" w:eastAsiaTheme="minorEastAsia" w:hAnsi="Arial" w:cs="Arial"/>
          <w:color w:val="000000" w:themeColor="text1"/>
          <w:sz w:val="24"/>
          <w:szCs w:val="24"/>
          <w:lang w:eastAsia="en-ZA"/>
        </w:rPr>
        <w:t xml:space="preserve">. </w:t>
      </w:r>
      <w:r w:rsidR="00C806F8">
        <w:rPr>
          <w:rFonts w:ascii="Arial" w:eastAsiaTheme="minorEastAsia" w:hAnsi="Arial" w:cs="Arial"/>
          <w:color w:val="000000" w:themeColor="text1"/>
          <w:sz w:val="24"/>
          <w:szCs w:val="24"/>
          <w:lang w:eastAsia="en-ZA"/>
        </w:rPr>
        <w:t xml:space="preserve">Neither the </w:t>
      </w:r>
      <w:r w:rsidR="00013331">
        <w:rPr>
          <w:rFonts w:ascii="Arial" w:eastAsiaTheme="minorEastAsia" w:hAnsi="Arial" w:cs="Arial"/>
          <w:color w:val="000000" w:themeColor="text1"/>
          <w:sz w:val="24"/>
          <w:szCs w:val="24"/>
          <w:lang w:eastAsia="en-ZA"/>
        </w:rPr>
        <w:t>Respondent Trust</w:t>
      </w:r>
      <w:r w:rsidR="00C806F8">
        <w:rPr>
          <w:rFonts w:ascii="Arial" w:eastAsiaTheme="minorEastAsia" w:hAnsi="Arial" w:cs="Arial"/>
          <w:color w:val="000000" w:themeColor="text1"/>
          <w:sz w:val="24"/>
          <w:szCs w:val="24"/>
          <w:lang w:eastAsia="en-ZA"/>
        </w:rPr>
        <w:t xml:space="preserve"> nor First</w:t>
      </w:r>
      <w:r w:rsidR="005C6302">
        <w:rPr>
          <w:rFonts w:ascii="Arial" w:eastAsiaTheme="minorEastAsia" w:hAnsi="Arial" w:cs="Arial"/>
          <w:color w:val="000000" w:themeColor="text1"/>
          <w:sz w:val="24"/>
          <w:szCs w:val="24"/>
          <w:lang w:eastAsia="en-ZA"/>
        </w:rPr>
        <w:t>R</w:t>
      </w:r>
      <w:r w:rsidR="00C806F8">
        <w:rPr>
          <w:rFonts w:ascii="Arial" w:eastAsiaTheme="minorEastAsia" w:hAnsi="Arial" w:cs="Arial"/>
          <w:color w:val="000000" w:themeColor="text1"/>
          <w:sz w:val="24"/>
          <w:szCs w:val="24"/>
          <w:lang w:eastAsia="en-ZA"/>
        </w:rPr>
        <w:t xml:space="preserve">and Bank signed </w:t>
      </w:r>
      <w:r w:rsidR="001234F7">
        <w:rPr>
          <w:rFonts w:ascii="Arial" w:eastAsiaTheme="minorEastAsia" w:hAnsi="Arial" w:cs="Arial"/>
          <w:color w:val="000000" w:themeColor="text1"/>
          <w:sz w:val="24"/>
          <w:szCs w:val="24"/>
          <w:lang w:eastAsia="en-ZA"/>
        </w:rPr>
        <w:t>FA10</w:t>
      </w:r>
      <w:r w:rsidR="00C806F8">
        <w:rPr>
          <w:rFonts w:ascii="Arial" w:eastAsiaTheme="minorEastAsia" w:hAnsi="Arial" w:cs="Arial"/>
          <w:color w:val="000000" w:themeColor="text1"/>
          <w:sz w:val="24"/>
          <w:szCs w:val="24"/>
          <w:lang w:eastAsia="en-ZA"/>
        </w:rPr>
        <w:t xml:space="preserve">. The </w:t>
      </w:r>
      <w:r w:rsidR="00013331">
        <w:rPr>
          <w:rFonts w:ascii="Arial" w:eastAsiaTheme="minorEastAsia" w:hAnsi="Arial" w:cs="Arial"/>
          <w:color w:val="000000" w:themeColor="text1"/>
          <w:sz w:val="24"/>
          <w:szCs w:val="24"/>
          <w:lang w:eastAsia="en-ZA"/>
        </w:rPr>
        <w:t>Respondent Trust</w:t>
      </w:r>
      <w:r w:rsidR="00C806F8">
        <w:rPr>
          <w:rFonts w:ascii="Arial" w:eastAsiaTheme="minorEastAsia" w:hAnsi="Arial" w:cs="Arial"/>
          <w:color w:val="000000" w:themeColor="text1"/>
          <w:sz w:val="24"/>
          <w:szCs w:val="24"/>
          <w:lang w:eastAsia="en-ZA"/>
        </w:rPr>
        <w:t xml:space="preserve"> has not required any rights in terms of </w:t>
      </w:r>
      <w:r w:rsidR="001234F7">
        <w:rPr>
          <w:rFonts w:ascii="Arial" w:eastAsiaTheme="minorEastAsia" w:hAnsi="Arial" w:cs="Arial"/>
          <w:color w:val="000000" w:themeColor="text1"/>
          <w:sz w:val="24"/>
          <w:szCs w:val="24"/>
          <w:lang w:eastAsia="en-ZA"/>
        </w:rPr>
        <w:t>FA10</w:t>
      </w:r>
      <w:r w:rsidR="00C806F8">
        <w:rPr>
          <w:rFonts w:ascii="Arial" w:eastAsiaTheme="minorEastAsia" w:hAnsi="Arial" w:cs="Arial"/>
          <w:color w:val="000000" w:themeColor="text1"/>
          <w:sz w:val="24"/>
          <w:szCs w:val="24"/>
          <w:lang w:eastAsia="en-ZA"/>
        </w:rPr>
        <w:t>. During argument Mr Grobler SC, with reference to appendix 8, appendix 9 and appendix 10 to the facility agreement</w:t>
      </w:r>
      <w:r w:rsidR="005C6302">
        <w:rPr>
          <w:rFonts w:ascii="Arial" w:eastAsiaTheme="minorEastAsia" w:hAnsi="Arial" w:cs="Arial"/>
          <w:color w:val="000000" w:themeColor="text1"/>
          <w:sz w:val="24"/>
          <w:szCs w:val="24"/>
          <w:lang w:eastAsia="en-ZA"/>
        </w:rPr>
        <w:t xml:space="preserve"> </w:t>
      </w:r>
      <w:r w:rsidR="001234F7">
        <w:rPr>
          <w:rFonts w:ascii="Arial" w:eastAsiaTheme="minorEastAsia" w:hAnsi="Arial" w:cs="Arial"/>
          <w:color w:val="000000" w:themeColor="text1"/>
          <w:sz w:val="24"/>
          <w:szCs w:val="24"/>
          <w:lang w:eastAsia="en-ZA"/>
        </w:rPr>
        <w:t>(</w:t>
      </w:r>
      <w:r w:rsidR="005C6302">
        <w:rPr>
          <w:rFonts w:ascii="Arial" w:eastAsiaTheme="minorEastAsia" w:hAnsi="Arial" w:cs="Arial"/>
          <w:color w:val="000000" w:themeColor="text1"/>
          <w:sz w:val="24"/>
          <w:szCs w:val="24"/>
          <w:lang w:eastAsia="en-ZA"/>
        </w:rPr>
        <w:t>appended to the answering affidavit</w:t>
      </w:r>
      <w:r w:rsidR="001234F7">
        <w:rPr>
          <w:rFonts w:ascii="Arial" w:eastAsiaTheme="minorEastAsia" w:hAnsi="Arial" w:cs="Arial"/>
          <w:color w:val="000000" w:themeColor="text1"/>
          <w:sz w:val="24"/>
          <w:szCs w:val="24"/>
          <w:lang w:eastAsia="en-ZA"/>
        </w:rPr>
        <w:t>)</w:t>
      </w:r>
      <w:r w:rsidR="00C806F8">
        <w:rPr>
          <w:rFonts w:ascii="Arial" w:eastAsiaTheme="minorEastAsia" w:hAnsi="Arial" w:cs="Arial"/>
          <w:color w:val="000000" w:themeColor="text1"/>
          <w:sz w:val="24"/>
          <w:szCs w:val="24"/>
          <w:lang w:eastAsia="en-ZA"/>
        </w:rPr>
        <w:t xml:space="preserve">, </w:t>
      </w:r>
      <w:r w:rsidR="005C6302">
        <w:rPr>
          <w:rFonts w:ascii="Arial" w:eastAsiaTheme="minorEastAsia" w:hAnsi="Arial" w:cs="Arial"/>
          <w:color w:val="000000" w:themeColor="text1"/>
          <w:sz w:val="24"/>
          <w:szCs w:val="24"/>
          <w:lang w:eastAsia="en-ZA"/>
        </w:rPr>
        <w:t xml:space="preserve">contended that the capital repayment schedule indicate that the first repayment </w:t>
      </w:r>
      <w:r w:rsidR="00EC3073">
        <w:rPr>
          <w:rFonts w:ascii="Arial" w:eastAsiaTheme="minorEastAsia" w:hAnsi="Arial" w:cs="Arial"/>
          <w:color w:val="000000" w:themeColor="text1"/>
          <w:sz w:val="24"/>
          <w:szCs w:val="24"/>
          <w:lang w:eastAsia="en-ZA"/>
        </w:rPr>
        <w:t xml:space="preserve">by the </w:t>
      </w:r>
      <w:r w:rsidR="00013331">
        <w:rPr>
          <w:rFonts w:ascii="Arial" w:eastAsiaTheme="minorEastAsia" w:hAnsi="Arial" w:cs="Arial"/>
          <w:color w:val="000000" w:themeColor="text1"/>
          <w:sz w:val="24"/>
          <w:szCs w:val="24"/>
          <w:lang w:eastAsia="en-ZA"/>
        </w:rPr>
        <w:t>Respondent Trust</w:t>
      </w:r>
      <w:r w:rsidR="00EC3073">
        <w:rPr>
          <w:rFonts w:ascii="Arial" w:eastAsiaTheme="minorEastAsia" w:hAnsi="Arial" w:cs="Arial"/>
          <w:color w:val="000000" w:themeColor="text1"/>
          <w:sz w:val="24"/>
          <w:szCs w:val="24"/>
          <w:lang w:eastAsia="en-ZA"/>
        </w:rPr>
        <w:t xml:space="preserve"> </w:t>
      </w:r>
      <w:r w:rsidR="005C6302">
        <w:rPr>
          <w:rFonts w:ascii="Arial" w:eastAsiaTheme="minorEastAsia" w:hAnsi="Arial" w:cs="Arial"/>
          <w:color w:val="000000" w:themeColor="text1"/>
          <w:sz w:val="24"/>
          <w:szCs w:val="24"/>
          <w:lang w:eastAsia="en-ZA"/>
        </w:rPr>
        <w:t xml:space="preserve">was scheduled to commence on 1 November 2018 with the final repayment to be effected on 1 October 2021. </w:t>
      </w:r>
    </w:p>
    <w:p w:rsidR="00E0168F" w:rsidRDefault="00E0168F"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5D0645" w:rsidRDefault="00E0168F"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[2</w:t>
      </w:r>
      <w:r w:rsidR="00E33B3D">
        <w:rPr>
          <w:rFonts w:ascii="Arial" w:eastAsiaTheme="minorEastAsia" w:hAnsi="Arial" w:cs="Arial"/>
          <w:color w:val="000000" w:themeColor="text1"/>
          <w:sz w:val="24"/>
          <w:szCs w:val="24"/>
          <w:lang w:eastAsia="en-ZA"/>
        </w:rPr>
        <w:t>7</w:t>
      </w:r>
      <w:r>
        <w:rPr>
          <w:rFonts w:ascii="Arial" w:eastAsiaTheme="minorEastAsia" w:hAnsi="Arial" w:cs="Arial"/>
          <w:color w:val="000000" w:themeColor="text1"/>
          <w:sz w:val="24"/>
          <w:szCs w:val="24"/>
          <w:lang w:eastAsia="en-ZA"/>
        </w:rPr>
        <w:t>]</w:t>
      </w:r>
      <w:r>
        <w:rPr>
          <w:rFonts w:ascii="Arial" w:eastAsiaTheme="minorEastAsia" w:hAnsi="Arial" w:cs="Arial"/>
          <w:color w:val="000000" w:themeColor="text1"/>
          <w:sz w:val="24"/>
          <w:szCs w:val="24"/>
          <w:lang w:eastAsia="en-ZA"/>
        </w:rPr>
        <w:tab/>
      </w:r>
      <w:r w:rsidR="001234F7">
        <w:rPr>
          <w:rFonts w:ascii="Arial" w:eastAsiaTheme="minorEastAsia" w:hAnsi="Arial" w:cs="Arial"/>
          <w:color w:val="000000" w:themeColor="text1"/>
          <w:sz w:val="24"/>
          <w:szCs w:val="24"/>
          <w:lang w:eastAsia="en-ZA"/>
        </w:rPr>
        <w:t>FA10</w:t>
      </w:r>
      <w:r w:rsidR="005C6302">
        <w:rPr>
          <w:rFonts w:ascii="Arial" w:eastAsiaTheme="minorEastAsia" w:hAnsi="Arial" w:cs="Arial"/>
          <w:color w:val="000000" w:themeColor="text1"/>
          <w:sz w:val="24"/>
          <w:szCs w:val="24"/>
          <w:lang w:eastAsia="en-ZA"/>
        </w:rPr>
        <w:t xml:space="preserve"> provided that any purported cancellation or termination of the </w:t>
      </w:r>
      <w:r w:rsidR="00087E20">
        <w:rPr>
          <w:rFonts w:ascii="Arial" w:eastAsiaTheme="minorEastAsia" w:hAnsi="Arial" w:cs="Arial"/>
          <w:color w:val="000000" w:themeColor="text1"/>
          <w:sz w:val="24"/>
          <w:szCs w:val="24"/>
          <w:lang w:eastAsia="en-ZA"/>
        </w:rPr>
        <w:t>S</w:t>
      </w:r>
      <w:r w:rsidR="005C6302">
        <w:rPr>
          <w:rFonts w:ascii="Arial" w:eastAsiaTheme="minorEastAsia" w:hAnsi="Arial" w:cs="Arial"/>
          <w:color w:val="000000" w:themeColor="text1"/>
          <w:sz w:val="24"/>
          <w:szCs w:val="24"/>
          <w:lang w:eastAsia="en-ZA"/>
        </w:rPr>
        <w:t>ub-</w:t>
      </w:r>
      <w:r w:rsidR="00087E20">
        <w:rPr>
          <w:rFonts w:ascii="Arial" w:eastAsiaTheme="minorEastAsia" w:hAnsi="Arial" w:cs="Arial"/>
          <w:color w:val="000000" w:themeColor="text1"/>
          <w:sz w:val="24"/>
          <w:szCs w:val="24"/>
          <w:lang w:eastAsia="en-ZA"/>
        </w:rPr>
        <w:t>L</w:t>
      </w:r>
      <w:r w:rsidR="005C6302">
        <w:rPr>
          <w:rFonts w:ascii="Arial" w:eastAsiaTheme="minorEastAsia" w:hAnsi="Arial" w:cs="Arial"/>
          <w:color w:val="000000" w:themeColor="text1"/>
          <w:sz w:val="24"/>
          <w:szCs w:val="24"/>
          <w:lang w:eastAsia="en-ZA"/>
        </w:rPr>
        <w:t xml:space="preserve">ease by either party which is contrary to the provisions of </w:t>
      </w:r>
      <w:r w:rsidR="001234F7">
        <w:rPr>
          <w:rFonts w:ascii="Arial" w:eastAsiaTheme="minorEastAsia" w:hAnsi="Arial" w:cs="Arial"/>
          <w:color w:val="000000" w:themeColor="text1"/>
          <w:sz w:val="24"/>
          <w:szCs w:val="24"/>
          <w:lang w:eastAsia="en-ZA"/>
        </w:rPr>
        <w:t>FA10</w:t>
      </w:r>
      <w:r w:rsidR="005C6302">
        <w:rPr>
          <w:rFonts w:ascii="Arial" w:eastAsiaTheme="minorEastAsia" w:hAnsi="Arial" w:cs="Arial"/>
          <w:color w:val="000000" w:themeColor="text1"/>
          <w:sz w:val="24"/>
          <w:szCs w:val="24"/>
          <w:lang w:eastAsia="en-ZA"/>
        </w:rPr>
        <w:t xml:space="preserve"> will be of no force or effect for as long as the </w:t>
      </w:r>
      <w:r w:rsidR="00013331">
        <w:rPr>
          <w:rFonts w:ascii="Arial" w:eastAsiaTheme="minorEastAsia" w:hAnsi="Arial" w:cs="Arial"/>
          <w:color w:val="000000" w:themeColor="text1"/>
          <w:sz w:val="24"/>
          <w:szCs w:val="24"/>
          <w:lang w:eastAsia="en-ZA"/>
        </w:rPr>
        <w:t>Respondent Trust</w:t>
      </w:r>
      <w:r w:rsidR="005C6302">
        <w:rPr>
          <w:rFonts w:ascii="Arial" w:eastAsiaTheme="minorEastAsia" w:hAnsi="Arial" w:cs="Arial"/>
          <w:color w:val="000000" w:themeColor="text1"/>
          <w:sz w:val="24"/>
          <w:szCs w:val="24"/>
          <w:lang w:eastAsia="en-ZA"/>
        </w:rPr>
        <w:t xml:space="preserve"> is indebted to FirstRand Bank under and in terms of the mortgage bond. </w:t>
      </w:r>
      <w:r w:rsidR="00EC3073">
        <w:rPr>
          <w:rFonts w:ascii="Arial" w:eastAsiaTheme="minorEastAsia" w:hAnsi="Arial" w:cs="Arial"/>
          <w:color w:val="000000" w:themeColor="text1"/>
          <w:sz w:val="24"/>
          <w:szCs w:val="24"/>
          <w:lang w:eastAsia="en-ZA"/>
        </w:rPr>
        <w:t xml:space="preserve">The cancellation of the </w:t>
      </w:r>
      <w:r w:rsidR="00087E20">
        <w:rPr>
          <w:rFonts w:ascii="Arial" w:eastAsiaTheme="minorEastAsia" w:hAnsi="Arial" w:cs="Arial"/>
          <w:color w:val="000000" w:themeColor="text1"/>
          <w:sz w:val="24"/>
          <w:szCs w:val="24"/>
          <w:lang w:eastAsia="en-ZA"/>
        </w:rPr>
        <w:t>S</w:t>
      </w:r>
      <w:r w:rsidR="00EC3073">
        <w:rPr>
          <w:rFonts w:ascii="Arial" w:eastAsiaTheme="minorEastAsia" w:hAnsi="Arial" w:cs="Arial"/>
          <w:color w:val="000000" w:themeColor="text1"/>
          <w:sz w:val="24"/>
          <w:szCs w:val="24"/>
          <w:lang w:eastAsia="en-ZA"/>
        </w:rPr>
        <w:t>ub</w:t>
      </w:r>
      <w:r w:rsidR="00087E20">
        <w:rPr>
          <w:rFonts w:ascii="Arial" w:eastAsiaTheme="minorEastAsia" w:hAnsi="Arial" w:cs="Arial"/>
          <w:color w:val="000000" w:themeColor="text1"/>
          <w:sz w:val="24"/>
          <w:szCs w:val="24"/>
          <w:lang w:eastAsia="en-ZA"/>
        </w:rPr>
        <w:t>-L</w:t>
      </w:r>
      <w:r w:rsidR="00EC3073">
        <w:rPr>
          <w:rFonts w:ascii="Arial" w:eastAsiaTheme="minorEastAsia" w:hAnsi="Arial" w:cs="Arial"/>
          <w:color w:val="000000" w:themeColor="text1"/>
          <w:sz w:val="24"/>
          <w:szCs w:val="24"/>
          <w:lang w:eastAsia="en-ZA"/>
        </w:rPr>
        <w:t xml:space="preserve">ease occurred </w:t>
      </w:r>
      <w:r>
        <w:rPr>
          <w:rFonts w:ascii="Arial" w:eastAsiaTheme="minorEastAsia" w:hAnsi="Arial" w:cs="Arial"/>
          <w:color w:val="000000" w:themeColor="text1"/>
          <w:sz w:val="24"/>
          <w:szCs w:val="24"/>
          <w:lang w:eastAsia="en-ZA"/>
        </w:rPr>
        <w:t>on 2</w:t>
      </w:r>
      <w:r w:rsidR="009E23A4">
        <w:rPr>
          <w:rFonts w:ascii="Arial" w:eastAsiaTheme="minorEastAsia" w:hAnsi="Arial" w:cs="Arial"/>
          <w:color w:val="000000" w:themeColor="text1"/>
          <w:sz w:val="24"/>
          <w:szCs w:val="24"/>
          <w:lang w:eastAsia="en-ZA"/>
        </w:rPr>
        <w:t>6</w:t>
      </w:r>
      <w:r>
        <w:rPr>
          <w:rFonts w:ascii="Arial" w:eastAsiaTheme="minorEastAsia" w:hAnsi="Arial" w:cs="Arial"/>
          <w:color w:val="000000" w:themeColor="text1"/>
          <w:sz w:val="24"/>
          <w:szCs w:val="24"/>
          <w:lang w:eastAsia="en-ZA"/>
        </w:rPr>
        <w:t xml:space="preserve"> September 2022, a date </w:t>
      </w:r>
      <w:r w:rsidR="00EC3073">
        <w:rPr>
          <w:rFonts w:ascii="Arial" w:eastAsiaTheme="minorEastAsia" w:hAnsi="Arial" w:cs="Arial"/>
          <w:color w:val="000000" w:themeColor="text1"/>
          <w:sz w:val="24"/>
          <w:szCs w:val="24"/>
          <w:lang w:eastAsia="en-ZA"/>
        </w:rPr>
        <w:t xml:space="preserve">subsequent to the final repayment date, namely 1 October 2021, with the result that FirstRand Bank’s </w:t>
      </w:r>
      <w:r w:rsidR="00C93998">
        <w:rPr>
          <w:rFonts w:ascii="Arial" w:eastAsiaTheme="minorEastAsia" w:hAnsi="Arial" w:cs="Arial"/>
          <w:color w:val="000000" w:themeColor="text1"/>
          <w:sz w:val="24"/>
          <w:szCs w:val="24"/>
          <w:lang w:eastAsia="en-ZA"/>
        </w:rPr>
        <w:t xml:space="preserve">and the </w:t>
      </w:r>
      <w:r w:rsidR="00013331">
        <w:rPr>
          <w:rFonts w:ascii="Arial" w:eastAsiaTheme="minorEastAsia" w:hAnsi="Arial" w:cs="Arial"/>
          <w:color w:val="000000" w:themeColor="text1"/>
          <w:sz w:val="24"/>
          <w:szCs w:val="24"/>
          <w:lang w:eastAsia="en-ZA"/>
        </w:rPr>
        <w:t>Respondent Trust</w:t>
      </w:r>
      <w:r w:rsidR="00C93998">
        <w:rPr>
          <w:rFonts w:ascii="Arial" w:eastAsiaTheme="minorEastAsia" w:hAnsi="Arial" w:cs="Arial"/>
          <w:color w:val="000000" w:themeColor="text1"/>
          <w:sz w:val="24"/>
          <w:szCs w:val="24"/>
          <w:lang w:eastAsia="en-ZA"/>
        </w:rPr>
        <w:t xml:space="preserve">’s reliance upon the provisions of clause 3.2 of </w:t>
      </w:r>
      <w:r w:rsidR="001234F7">
        <w:rPr>
          <w:rFonts w:ascii="Arial" w:eastAsiaTheme="minorEastAsia" w:hAnsi="Arial" w:cs="Arial"/>
          <w:color w:val="000000" w:themeColor="text1"/>
          <w:sz w:val="24"/>
          <w:szCs w:val="24"/>
          <w:lang w:eastAsia="en-ZA"/>
        </w:rPr>
        <w:t xml:space="preserve">FA10 </w:t>
      </w:r>
      <w:r w:rsidR="00C93998">
        <w:rPr>
          <w:rFonts w:ascii="Arial" w:eastAsiaTheme="minorEastAsia" w:hAnsi="Arial" w:cs="Arial"/>
          <w:color w:val="000000" w:themeColor="text1"/>
          <w:sz w:val="24"/>
          <w:szCs w:val="24"/>
          <w:lang w:eastAsia="en-ZA"/>
        </w:rPr>
        <w:t>do no</w:t>
      </w:r>
      <w:r w:rsidR="007403F6">
        <w:rPr>
          <w:rFonts w:ascii="Arial" w:eastAsiaTheme="minorEastAsia" w:hAnsi="Arial" w:cs="Arial"/>
          <w:color w:val="000000" w:themeColor="text1"/>
          <w:sz w:val="24"/>
          <w:szCs w:val="24"/>
          <w:lang w:eastAsia="en-ZA"/>
        </w:rPr>
        <w:t>t</w:t>
      </w:r>
      <w:r w:rsidR="00C93998">
        <w:rPr>
          <w:rFonts w:ascii="Arial" w:eastAsiaTheme="minorEastAsia" w:hAnsi="Arial" w:cs="Arial"/>
          <w:color w:val="000000" w:themeColor="text1"/>
          <w:sz w:val="24"/>
          <w:szCs w:val="24"/>
          <w:lang w:eastAsia="en-ZA"/>
        </w:rPr>
        <w:t xml:space="preserve"> hold water.</w:t>
      </w:r>
    </w:p>
    <w:p w:rsidR="00C93998" w:rsidRDefault="00C93998"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5A13BA" w:rsidRDefault="00C93998"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[2</w:t>
      </w:r>
      <w:r w:rsidR="00E33B3D">
        <w:rPr>
          <w:rFonts w:ascii="Arial" w:eastAsiaTheme="minorEastAsia" w:hAnsi="Arial" w:cs="Arial"/>
          <w:color w:val="000000" w:themeColor="text1"/>
          <w:sz w:val="24"/>
          <w:szCs w:val="24"/>
          <w:lang w:eastAsia="en-ZA"/>
        </w:rPr>
        <w:t>8</w:t>
      </w:r>
      <w:r>
        <w:rPr>
          <w:rFonts w:ascii="Arial" w:eastAsiaTheme="minorEastAsia" w:hAnsi="Arial" w:cs="Arial"/>
          <w:color w:val="000000" w:themeColor="text1"/>
          <w:sz w:val="24"/>
          <w:szCs w:val="24"/>
          <w:lang w:eastAsia="en-ZA"/>
        </w:rPr>
        <w:t>]</w:t>
      </w:r>
      <w:r>
        <w:rPr>
          <w:rFonts w:ascii="Arial" w:eastAsiaTheme="minorEastAsia" w:hAnsi="Arial" w:cs="Arial"/>
          <w:color w:val="000000" w:themeColor="text1"/>
          <w:sz w:val="24"/>
          <w:szCs w:val="24"/>
          <w:lang w:eastAsia="en-ZA"/>
        </w:rPr>
        <w:tab/>
      </w:r>
      <w:r w:rsidR="005A13BA">
        <w:rPr>
          <w:rFonts w:ascii="Arial" w:eastAsiaTheme="minorEastAsia" w:hAnsi="Arial" w:cs="Arial"/>
          <w:color w:val="000000" w:themeColor="text1"/>
          <w:sz w:val="24"/>
          <w:szCs w:val="24"/>
          <w:lang w:eastAsia="en-ZA"/>
        </w:rPr>
        <w:t xml:space="preserve">On behalf of the </w:t>
      </w:r>
      <w:r w:rsidR="00103989">
        <w:rPr>
          <w:rFonts w:ascii="Arial" w:eastAsiaTheme="minorEastAsia" w:hAnsi="Arial" w:cs="Arial"/>
          <w:color w:val="000000" w:themeColor="text1"/>
          <w:sz w:val="24"/>
          <w:szCs w:val="24"/>
          <w:lang w:eastAsia="en-ZA"/>
        </w:rPr>
        <w:t>Applicant Trust</w:t>
      </w:r>
      <w:r w:rsidR="005A13BA">
        <w:rPr>
          <w:rFonts w:ascii="Arial" w:eastAsiaTheme="minorEastAsia" w:hAnsi="Arial" w:cs="Arial"/>
          <w:color w:val="000000" w:themeColor="text1"/>
          <w:sz w:val="24"/>
          <w:szCs w:val="24"/>
          <w:lang w:eastAsia="en-ZA"/>
        </w:rPr>
        <w:t xml:space="preserve"> it is contended that neither </w:t>
      </w:r>
      <w:r w:rsidR="009E23A4">
        <w:rPr>
          <w:rFonts w:ascii="Arial" w:eastAsiaTheme="minorEastAsia" w:hAnsi="Arial" w:cs="Arial"/>
          <w:color w:val="000000" w:themeColor="text1"/>
          <w:sz w:val="24"/>
          <w:szCs w:val="24"/>
          <w:lang w:eastAsia="en-ZA"/>
        </w:rPr>
        <w:t>FirstRand Bank</w:t>
      </w:r>
      <w:r w:rsidR="005A13BA">
        <w:rPr>
          <w:rFonts w:ascii="Arial" w:eastAsiaTheme="minorEastAsia" w:hAnsi="Arial" w:cs="Arial"/>
          <w:color w:val="000000" w:themeColor="text1"/>
          <w:sz w:val="24"/>
          <w:szCs w:val="24"/>
          <w:lang w:eastAsia="en-ZA"/>
        </w:rPr>
        <w:t xml:space="preserve"> nor the </w:t>
      </w:r>
      <w:r w:rsidR="00013331">
        <w:rPr>
          <w:rFonts w:ascii="Arial" w:eastAsiaTheme="minorEastAsia" w:hAnsi="Arial" w:cs="Arial"/>
          <w:color w:val="000000" w:themeColor="text1"/>
          <w:sz w:val="24"/>
          <w:szCs w:val="24"/>
          <w:lang w:eastAsia="en-ZA"/>
        </w:rPr>
        <w:t>Respondent Trust</w:t>
      </w:r>
      <w:r w:rsidR="005A13BA">
        <w:rPr>
          <w:rFonts w:ascii="Arial" w:eastAsiaTheme="minorEastAsia" w:hAnsi="Arial" w:cs="Arial"/>
          <w:color w:val="000000" w:themeColor="text1"/>
          <w:sz w:val="24"/>
          <w:szCs w:val="24"/>
          <w:lang w:eastAsia="en-ZA"/>
        </w:rPr>
        <w:t xml:space="preserve"> addressed the issue whether the provisions of the facility agreement have been complied with or not. The </w:t>
      </w:r>
      <w:r w:rsidR="00103989">
        <w:rPr>
          <w:rFonts w:ascii="Arial" w:eastAsiaTheme="minorEastAsia" w:hAnsi="Arial" w:cs="Arial"/>
          <w:color w:val="000000" w:themeColor="text1"/>
          <w:sz w:val="24"/>
          <w:szCs w:val="24"/>
          <w:lang w:eastAsia="en-ZA"/>
        </w:rPr>
        <w:t>Applicant Trust</w:t>
      </w:r>
      <w:r w:rsidR="005A13BA">
        <w:rPr>
          <w:rFonts w:ascii="Arial" w:eastAsiaTheme="minorEastAsia" w:hAnsi="Arial" w:cs="Arial"/>
          <w:color w:val="000000" w:themeColor="text1"/>
          <w:sz w:val="24"/>
          <w:szCs w:val="24"/>
          <w:lang w:eastAsia="en-ZA"/>
        </w:rPr>
        <w:t xml:space="preserve"> is not privy to the information and a</w:t>
      </w:r>
      <w:r w:rsidR="009E23A4">
        <w:rPr>
          <w:rFonts w:ascii="Arial" w:eastAsiaTheme="minorEastAsia" w:hAnsi="Arial" w:cs="Arial"/>
          <w:color w:val="000000" w:themeColor="text1"/>
          <w:sz w:val="24"/>
          <w:szCs w:val="24"/>
          <w:lang w:eastAsia="en-ZA"/>
        </w:rPr>
        <w:t xml:space="preserve">s a result of the </w:t>
      </w:r>
      <w:r w:rsidR="00013331">
        <w:rPr>
          <w:rFonts w:ascii="Arial" w:eastAsiaTheme="minorEastAsia" w:hAnsi="Arial" w:cs="Arial"/>
          <w:color w:val="000000" w:themeColor="text1"/>
          <w:sz w:val="24"/>
          <w:szCs w:val="24"/>
          <w:lang w:eastAsia="en-ZA"/>
        </w:rPr>
        <w:t>Respondent Trust</w:t>
      </w:r>
      <w:r w:rsidR="009E23A4">
        <w:rPr>
          <w:rFonts w:ascii="Arial" w:eastAsiaTheme="minorEastAsia" w:hAnsi="Arial" w:cs="Arial"/>
          <w:color w:val="000000" w:themeColor="text1"/>
          <w:sz w:val="24"/>
          <w:szCs w:val="24"/>
          <w:lang w:eastAsia="en-ZA"/>
        </w:rPr>
        <w:t>’s</w:t>
      </w:r>
      <w:r>
        <w:rPr>
          <w:rFonts w:ascii="Arial" w:eastAsiaTheme="minorEastAsia" w:hAnsi="Arial" w:cs="Arial"/>
          <w:color w:val="000000" w:themeColor="text1"/>
          <w:sz w:val="24"/>
          <w:szCs w:val="24"/>
          <w:lang w:eastAsia="en-ZA"/>
        </w:rPr>
        <w:t xml:space="preserve"> fai</w:t>
      </w:r>
      <w:r w:rsidR="009E23A4">
        <w:rPr>
          <w:rFonts w:ascii="Arial" w:eastAsiaTheme="minorEastAsia" w:hAnsi="Arial" w:cs="Arial"/>
          <w:color w:val="000000" w:themeColor="text1"/>
          <w:sz w:val="24"/>
          <w:szCs w:val="24"/>
          <w:lang w:eastAsia="en-ZA"/>
        </w:rPr>
        <w:t xml:space="preserve">lure </w:t>
      </w:r>
      <w:r>
        <w:rPr>
          <w:rFonts w:ascii="Arial" w:eastAsiaTheme="minorEastAsia" w:hAnsi="Arial" w:cs="Arial"/>
          <w:color w:val="000000" w:themeColor="text1"/>
          <w:sz w:val="24"/>
          <w:szCs w:val="24"/>
          <w:lang w:eastAsia="en-ZA"/>
        </w:rPr>
        <w:t>to</w:t>
      </w:r>
      <w:r w:rsidR="009E23A4">
        <w:rPr>
          <w:rFonts w:ascii="Arial" w:eastAsiaTheme="minorEastAsia" w:hAnsi="Arial" w:cs="Arial"/>
          <w:color w:val="000000" w:themeColor="text1"/>
          <w:sz w:val="24"/>
          <w:szCs w:val="24"/>
          <w:lang w:eastAsia="en-ZA"/>
        </w:rPr>
        <w:t xml:space="preserve"> </w:t>
      </w:r>
      <w:r>
        <w:rPr>
          <w:rFonts w:ascii="Arial" w:eastAsiaTheme="minorEastAsia" w:hAnsi="Arial" w:cs="Arial"/>
          <w:color w:val="000000" w:themeColor="text1"/>
          <w:sz w:val="24"/>
          <w:szCs w:val="24"/>
          <w:lang w:eastAsia="en-ZA"/>
        </w:rPr>
        <w:t>grapple with the amount due</w:t>
      </w:r>
      <w:r w:rsidR="009E23A4">
        <w:rPr>
          <w:rFonts w:ascii="Arial" w:eastAsiaTheme="minorEastAsia" w:hAnsi="Arial" w:cs="Arial"/>
          <w:color w:val="000000" w:themeColor="text1"/>
          <w:sz w:val="24"/>
          <w:szCs w:val="24"/>
          <w:lang w:eastAsia="en-ZA"/>
        </w:rPr>
        <w:t>, if any,</w:t>
      </w:r>
      <w:r>
        <w:rPr>
          <w:rFonts w:ascii="Arial" w:eastAsiaTheme="minorEastAsia" w:hAnsi="Arial" w:cs="Arial"/>
          <w:color w:val="000000" w:themeColor="text1"/>
          <w:sz w:val="24"/>
          <w:szCs w:val="24"/>
          <w:lang w:eastAsia="en-ZA"/>
        </w:rPr>
        <w:t xml:space="preserve"> in terms of the mortgage bond</w:t>
      </w:r>
      <w:r w:rsidR="00107EDD">
        <w:rPr>
          <w:rFonts w:ascii="Arial" w:eastAsiaTheme="minorEastAsia" w:hAnsi="Arial" w:cs="Arial"/>
          <w:color w:val="000000" w:themeColor="text1"/>
          <w:sz w:val="24"/>
          <w:szCs w:val="24"/>
          <w:lang w:eastAsia="en-ZA"/>
        </w:rPr>
        <w:t xml:space="preserve">, so the argument goes, </w:t>
      </w:r>
      <w:r w:rsidR="005A13BA">
        <w:rPr>
          <w:rFonts w:ascii="Arial" w:eastAsiaTheme="minorEastAsia" w:hAnsi="Arial" w:cs="Arial"/>
          <w:color w:val="000000" w:themeColor="text1"/>
          <w:sz w:val="24"/>
          <w:szCs w:val="24"/>
          <w:lang w:eastAsia="en-ZA"/>
        </w:rPr>
        <w:t xml:space="preserve">the contention that the </w:t>
      </w:r>
      <w:r w:rsidR="00103989">
        <w:rPr>
          <w:rFonts w:ascii="Arial" w:eastAsiaTheme="minorEastAsia" w:hAnsi="Arial" w:cs="Arial"/>
          <w:color w:val="000000" w:themeColor="text1"/>
          <w:sz w:val="24"/>
          <w:szCs w:val="24"/>
          <w:lang w:eastAsia="en-ZA"/>
        </w:rPr>
        <w:t>Applicant Trust</w:t>
      </w:r>
      <w:r w:rsidR="005A13BA">
        <w:rPr>
          <w:rFonts w:ascii="Arial" w:eastAsiaTheme="minorEastAsia" w:hAnsi="Arial" w:cs="Arial"/>
          <w:color w:val="000000" w:themeColor="text1"/>
          <w:sz w:val="24"/>
          <w:szCs w:val="24"/>
          <w:lang w:eastAsia="en-ZA"/>
        </w:rPr>
        <w:t xml:space="preserve"> was obliged to adhere to the time period as per </w:t>
      </w:r>
      <w:r w:rsidR="001234F7">
        <w:rPr>
          <w:rFonts w:ascii="Arial" w:eastAsiaTheme="minorEastAsia" w:hAnsi="Arial" w:cs="Arial"/>
          <w:color w:val="000000" w:themeColor="text1"/>
          <w:sz w:val="24"/>
          <w:szCs w:val="24"/>
          <w:lang w:eastAsia="en-ZA"/>
        </w:rPr>
        <w:t>FA10</w:t>
      </w:r>
      <w:r w:rsidR="005A13BA">
        <w:rPr>
          <w:rFonts w:ascii="Arial" w:eastAsiaTheme="minorEastAsia" w:hAnsi="Arial" w:cs="Arial"/>
          <w:color w:val="000000" w:themeColor="text1"/>
          <w:sz w:val="24"/>
          <w:szCs w:val="24"/>
          <w:lang w:eastAsia="en-ZA"/>
        </w:rPr>
        <w:t xml:space="preserve"> </w:t>
      </w:r>
      <w:r w:rsidR="00107EDD">
        <w:rPr>
          <w:rFonts w:ascii="Arial" w:eastAsiaTheme="minorEastAsia" w:hAnsi="Arial" w:cs="Arial"/>
          <w:color w:val="000000" w:themeColor="text1"/>
          <w:sz w:val="24"/>
          <w:szCs w:val="24"/>
          <w:lang w:eastAsia="en-ZA"/>
        </w:rPr>
        <w:t>did not come out of the starting blocks</w:t>
      </w:r>
      <w:r w:rsidR="00D16DC1">
        <w:rPr>
          <w:rFonts w:ascii="Arial" w:eastAsiaTheme="minorEastAsia" w:hAnsi="Arial" w:cs="Arial"/>
          <w:color w:val="000000" w:themeColor="text1"/>
          <w:sz w:val="24"/>
          <w:szCs w:val="24"/>
          <w:lang w:eastAsia="en-ZA"/>
        </w:rPr>
        <w:t>.</w:t>
      </w:r>
    </w:p>
    <w:p w:rsidR="00D16DC1" w:rsidRDefault="00D16DC1"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564177" w:rsidRDefault="005A13BA"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[2</w:t>
      </w:r>
      <w:r w:rsidR="00E33B3D">
        <w:rPr>
          <w:rFonts w:ascii="Arial" w:eastAsiaTheme="minorEastAsia" w:hAnsi="Arial" w:cs="Arial"/>
          <w:color w:val="000000" w:themeColor="text1"/>
          <w:sz w:val="24"/>
          <w:szCs w:val="24"/>
          <w:lang w:eastAsia="en-ZA"/>
        </w:rPr>
        <w:t>9</w:t>
      </w:r>
      <w:r>
        <w:rPr>
          <w:rFonts w:ascii="Arial" w:eastAsiaTheme="minorEastAsia" w:hAnsi="Arial" w:cs="Arial"/>
          <w:color w:val="000000" w:themeColor="text1"/>
          <w:sz w:val="24"/>
          <w:szCs w:val="24"/>
          <w:lang w:eastAsia="en-ZA"/>
        </w:rPr>
        <w:t>]</w:t>
      </w:r>
      <w:r>
        <w:rPr>
          <w:rFonts w:ascii="Arial" w:eastAsiaTheme="minorEastAsia" w:hAnsi="Arial" w:cs="Arial"/>
          <w:color w:val="000000" w:themeColor="text1"/>
          <w:sz w:val="24"/>
          <w:szCs w:val="24"/>
          <w:lang w:eastAsia="en-ZA"/>
        </w:rPr>
        <w:tab/>
      </w:r>
      <w:r w:rsidR="007C458D">
        <w:rPr>
          <w:rFonts w:ascii="Arial" w:eastAsiaTheme="minorEastAsia" w:hAnsi="Arial" w:cs="Arial"/>
          <w:color w:val="000000" w:themeColor="text1"/>
          <w:sz w:val="24"/>
          <w:szCs w:val="24"/>
          <w:lang w:eastAsia="en-ZA"/>
        </w:rPr>
        <w:t xml:space="preserve">The </w:t>
      </w:r>
      <w:r w:rsidR="00103989">
        <w:rPr>
          <w:rFonts w:ascii="Arial" w:eastAsiaTheme="minorEastAsia" w:hAnsi="Arial" w:cs="Arial"/>
          <w:color w:val="000000" w:themeColor="text1"/>
          <w:sz w:val="24"/>
          <w:szCs w:val="24"/>
          <w:lang w:eastAsia="en-ZA"/>
        </w:rPr>
        <w:t>Applicant Trust</w:t>
      </w:r>
      <w:r w:rsidR="007C458D">
        <w:rPr>
          <w:rFonts w:ascii="Arial" w:eastAsiaTheme="minorEastAsia" w:hAnsi="Arial" w:cs="Arial"/>
          <w:color w:val="000000" w:themeColor="text1"/>
          <w:sz w:val="24"/>
          <w:szCs w:val="24"/>
          <w:lang w:eastAsia="en-ZA"/>
        </w:rPr>
        <w:t xml:space="preserve"> provided the </w:t>
      </w:r>
      <w:r w:rsidR="00013331">
        <w:rPr>
          <w:rFonts w:ascii="Arial" w:eastAsiaTheme="minorEastAsia" w:hAnsi="Arial" w:cs="Arial"/>
          <w:color w:val="000000" w:themeColor="text1"/>
          <w:sz w:val="24"/>
          <w:szCs w:val="24"/>
          <w:lang w:eastAsia="en-ZA"/>
        </w:rPr>
        <w:t>Respondent Trust</w:t>
      </w:r>
      <w:r w:rsidR="007C458D">
        <w:rPr>
          <w:rFonts w:ascii="Arial" w:eastAsiaTheme="minorEastAsia" w:hAnsi="Arial" w:cs="Arial"/>
          <w:color w:val="000000" w:themeColor="text1"/>
          <w:sz w:val="24"/>
          <w:szCs w:val="24"/>
          <w:lang w:eastAsia="en-ZA"/>
        </w:rPr>
        <w:t xml:space="preserve">, in a show of good faith, with a </w:t>
      </w:r>
      <w:r w:rsidR="007C458D">
        <w:rPr>
          <w:rFonts w:ascii="Arial" w:eastAsiaTheme="minorEastAsia" w:hAnsi="Arial" w:cs="Arial"/>
          <w:color w:val="000000" w:themeColor="text1"/>
          <w:sz w:val="24"/>
          <w:szCs w:val="24"/>
          <w:lang w:eastAsia="en-ZA"/>
        </w:rPr>
        <w:lastRenderedPageBreak/>
        <w:t xml:space="preserve">period of 27 days to rectify its failure to pay the rental and other amounts whereas only a period of 7 days as agreed upon in terms of the </w:t>
      </w:r>
      <w:r w:rsidR="001234F7">
        <w:rPr>
          <w:rFonts w:ascii="Arial" w:eastAsiaTheme="minorEastAsia" w:hAnsi="Arial" w:cs="Arial"/>
          <w:color w:val="000000" w:themeColor="text1"/>
          <w:sz w:val="24"/>
          <w:szCs w:val="24"/>
          <w:lang w:eastAsia="en-ZA"/>
        </w:rPr>
        <w:t>S</w:t>
      </w:r>
      <w:r w:rsidR="007C458D">
        <w:rPr>
          <w:rFonts w:ascii="Arial" w:eastAsiaTheme="minorEastAsia" w:hAnsi="Arial" w:cs="Arial"/>
          <w:color w:val="000000" w:themeColor="text1"/>
          <w:sz w:val="24"/>
          <w:szCs w:val="24"/>
          <w:lang w:eastAsia="en-ZA"/>
        </w:rPr>
        <w:t>ub</w:t>
      </w:r>
      <w:r w:rsidR="001234F7">
        <w:rPr>
          <w:rFonts w:ascii="Arial" w:eastAsiaTheme="minorEastAsia" w:hAnsi="Arial" w:cs="Arial"/>
          <w:color w:val="000000" w:themeColor="text1"/>
          <w:sz w:val="24"/>
          <w:szCs w:val="24"/>
          <w:lang w:eastAsia="en-ZA"/>
        </w:rPr>
        <w:t>-L</w:t>
      </w:r>
      <w:r w:rsidR="007C458D">
        <w:rPr>
          <w:rFonts w:ascii="Arial" w:eastAsiaTheme="minorEastAsia" w:hAnsi="Arial" w:cs="Arial"/>
          <w:color w:val="000000" w:themeColor="text1"/>
          <w:sz w:val="24"/>
          <w:szCs w:val="24"/>
          <w:lang w:eastAsia="en-ZA"/>
        </w:rPr>
        <w:t>ease would ha</w:t>
      </w:r>
      <w:r w:rsidR="007403F6">
        <w:rPr>
          <w:rFonts w:ascii="Arial" w:eastAsiaTheme="minorEastAsia" w:hAnsi="Arial" w:cs="Arial"/>
          <w:color w:val="000000" w:themeColor="text1"/>
          <w:sz w:val="24"/>
          <w:szCs w:val="24"/>
          <w:lang w:eastAsia="en-ZA"/>
        </w:rPr>
        <w:t>ve</w:t>
      </w:r>
      <w:r w:rsidR="007C458D">
        <w:rPr>
          <w:rFonts w:ascii="Arial" w:eastAsiaTheme="minorEastAsia" w:hAnsi="Arial" w:cs="Arial"/>
          <w:color w:val="000000" w:themeColor="text1"/>
          <w:sz w:val="24"/>
          <w:szCs w:val="24"/>
          <w:lang w:eastAsia="en-ZA"/>
        </w:rPr>
        <w:t xml:space="preserve"> been sufficient. </w:t>
      </w:r>
      <w:r w:rsidR="00564177">
        <w:rPr>
          <w:rFonts w:ascii="Arial" w:eastAsiaTheme="minorEastAsia" w:hAnsi="Arial" w:cs="Arial"/>
          <w:color w:val="000000" w:themeColor="text1"/>
          <w:sz w:val="24"/>
          <w:szCs w:val="24"/>
          <w:lang w:eastAsia="en-ZA"/>
        </w:rPr>
        <w:t xml:space="preserve">No variation, by way of an addendum of the </w:t>
      </w:r>
      <w:r w:rsidR="00087E20">
        <w:rPr>
          <w:rFonts w:ascii="Arial" w:eastAsiaTheme="minorEastAsia" w:hAnsi="Arial" w:cs="Arial"/>
          <w:color w:val="000000" w:themeColor="text1"/>
          <w:sz w:val="24"/>
          <w:szCs w:val="24"/>
          <w:lang w:eastAsia="en-ZA"/>
        </w:rPr>
        <w:t>S</w:t>
      </w:r>
      <w:r w:rsidR="00564177">
        <w:rPr>
          <w:rFonts w:ascii="Arial" w:eastAsiaTheme="minorEastAsia" w:hAnsi="Arial" w:cs="Arial"/>
          <w:color w:val="000000" w:themeColor="text1"/>
          <w:sz w:val="24"/>
          <w:szCs w:val="24"/>
          <w:lang w:eastAsia="en-ZA"/>
        </w:rPr>
        <w:t>ub</w:t>
      </w:r>
      <w:r w:rsidR="00087E20">
        <w:rPr>
          <w:rFonts w:ascii="Arial" w:eastAsiaTheme="minorEastAsia" w:hAnsi="Arial" w:cs="Arial"/>
          <w:color w:val="000000" w:themeColor="text1"/>
          <w:sz w:val="24"/>
          <w:szCs w:val="24"/>
          <w:lang w:eastAsia="en-ZA"/>
        </w:rPr>
        <w:t>-L</w:t>
      </w:r>
      <w:r w:rsidR="00564177">
        <w:rPr>
          <w:rFonts w:ascii="Arial" w:eastAsiaTheme="minorEastAsia" w:hAnsi="Arial" w:cs="Arial"/>
          <w:color w:val="000000" w:themeColor="text1"/>
          <w:sz w:val="24"/>
          <w:szCs w:val="24"/>
          <w:lang w:eastAsia="en-ZA"/>
        </w:rPr>
        <w:t xml:space="preserve">ease agreement occurred. </w:t>
      </w:r>
      <w:r w:rsidR="00E33B3D">
        <w:rPr>
          <w:rFonts w:ascii="Arial" w:eastAsiaTheme="minorEastAsia" w:hAnsi="Arial" w:cs="Arial"/>
          <w:color w:val="000000" w:themeColor="text1"/>
          <w:sz w:val="24"/>
          <w:szCs w:val="24"/>
          <w:lang w:eastAsia="en-ZA"/>
        </w:rPr>
        <w:t>The Respondent Trust and FirstRand Bank have therefore failed to advance a defence valid in law. The application thus stands to be granted with costs.</w:t>
      </w:r>
    </w:p>
    <w:p w:rsidR="00564177" w:rsidRDefault="00564177"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564177" w:rsidRPr="00E33B3D" w:rsidRDefault="00564177"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u w:val="single"/>
          <w:lang w:eastAsia="en-ZA"/>
        </w:rPr>
      </w:pPr>
      <w:r>
        <w:rPr>
          <w:rFonts w:ascii="Arial" w:eastAsiaTheme="minorEastAsia" w:hAnsi="Arial" w:cs="Arial"/>
          <w:color w:val="000000" w:themeColor="text1"/>
          <w:sz w:val="24"/>
          <w:szCs w:val="24"/>
          <w:lang w:eastAsia="en-ZA"/>
        </w:rPr>
        <w:tab/>
      </w:r>
      <w:r w:rsidRPr="00E33B3D">
        <w:rPr>
          <w:rFonts w:ascii="Arial" w:eastAsiaTheme="minorEastAsia" w:hAnsi="Arial" w:cs="Arial"/>
          <w:color w:val="000000" w:themeColor="text1"/>
          <w:sz w:val="24"/>
          <w:szCs w:val="24"/>
          <w:u w:val="single"/>
          <w:lang w:eastAsia="en-ZA"/>
        </w:rPr>
        <w:t xml:space="preserve">THE ARGUMENTS ON BEHALF OF THE </w:t>
      </w:r>
      <w:r w:rsidR="00013331" w:rsidRPr="00E33B3D">
        <w:rPr>
          <w:rFonts w:ascii="Arial" w:eastAsiaTheme="minorEastAsia" w:hAnsi="Arial" w:cs="Arial"/>
          <w:color w:val="000000" w:themeColor="text1"/>
          <w:sz w:val="24"/>
          <w:szCs w:val="24"/>
          <w:u w:val="single"/>
          <w:lang w:eastAsia="en-ZA"/>
        </w:rPr>
        <w:t>RESPONDENT TRUST</w:t>
      </w:r>
      <w:r w:rsidRPr="00E33B3D">
        <w:rPr>
          <w:rFonts w:ascii="Arial" w:eastAsiaTheme="minorEastAsia" w:hAnsi="Arial" w:cs="Arial"/>
          <w:color w:val="000000" w:themeColor="text1"/>
          <w:sz w:val="24"/>
          <w:szCs w:val="24"/>
          <w:u w:val="single"/>
          <w:lang w:eastAsia="en-ZA"/>
        </w:rPr>
        <w:t xml:space="preserve"> AND FIRST RAND BANK.</w:t>
      </w:r>
    </w:p>
    <w:p w:rsidR="003409EA" w:rsidRDefault="00564177"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w:t>
      </w:r>
      <w:r w:rsidR="00E33B3D">
        <w:rPr>
          <w:rFonts w:ascii="Arial" w:eastAsiaTheme="minorEastAsia" w:hAnsi="Arial" w:cs="Arial"/>
          <w:color w:val="000000" w:themeColor="text1"/>
          <w:sz w:val="24"/>
          <w:szCs w:val="24"/>
          <w:lang w:eastAsia="en-ZA"/>
        </w:rPr>
        <w:t>30</w:t>
      </w:r>
      <w:r>
        <w:rPr>
          <w:rFonts w:ascii="Arial" w:eastAsiaTheme="minorEastAsia" w:hAnsi="Arial" w:cs="Arial"/>
          <w:color w:val="000000" w:themeColor="text1"/>
          <w:sz w:val="24"/>
          <w:szCs w:val="24"/>
          <w:lang w:eastAsia="en-ZA"/>
        </w:rPr>
        <w:t>]</w:t>
      </w:r>
      <w:r>
        <w:rPr>
          <w:rFonts w:ascii="Arial" w:eastAsiaTheme="minorEastAsia" w:hAnsi="Arial" w:cs="Arial"/>
          <w:color w:val="000000" w:themeColor="text1"/>
          <w:sz w:val="24"/>
          <w:szCs w:val="24"/>
          <w:lang w:eastAsia="en-ZA"/>
        </w:rPr>
        <w:tab/>
      </w:r>
      <w:r w:rsidR="003409EA">
        <w:rPr>
          <w:rFonts w:ascii="Arial" w:eastAsiaTheme="minorEastAsia" w:hAnsi="Arial" w:cs="Arial"/>
          <w:color w:val="000000" w:themeColor="text1"/>
          <w:sz w:val="24"/>
          <w:szCs w:val="24"/>
          <w:lang w:eastAsia="en-ZA"/>
        </w:rPr>
        <w:t>Mr Symon SC, counsel on behalf of the respondents</w:t>
      </w:r>
      <w:r w:rsidR="00087E20">
        <w:rPr>
          <w:rFonts w:ascii="Arial" w:eastAsiaTheme="minorEastAsia" w:hAnsi="Arial" w:cs="Arial"/>
          <w:color w:val="000000" w:themeColor="text1"/>
          <w:sz w:val="24"/>
          <w:szCs w:val="24"/>
          <w:lang w:eastAsia="en-ZA"/>
        </w:rPr>
        <w:t>,</w:t>
      </w:r>
      <w:r w:rsidR="003409EA">
        <w:rPr>
          <w:rFonts w:ascii="Arial" w:eastAsiaTheme="minorEastAsia" w:hAnsi="Arial" w:cs="Arial"/>
          <w:color w:val="000000" w:themeColor="text1"/>
          <w:sz w:val="24"/>
          <w:szCs w:val="24"/>
          <w:lang w:eastAsia="en-ZA"/>
        </w:rPr>
        <w:t xml:space="preserve"> </w:t>
      </w:r>
      <w:r w:rsidR="007403F6">
        <w:rPr>
          <w:rFonts w:ascii="Arial" w:eastAsiaTheme="minorEastAsia" w:hAnsi="Arial" w:cs="Arial"/>
          <w:color w:val="000000" w:themeColor="text1"/>
          <w:sz w:val="24"/>
          <w:szCs w:val="24"/>
          <w:lang w:eastAsia="en-ZA"/>
        </w:rPr>
        <w:t>argue</w:t>
      </w:r>
      <w:r w:rsidR="003409EA">
        <w:rPr>
          <w:rFonts w:ascii="Arial" w:eastAsiaTheme="minorEastAsia" w:hAnsi="Arial" w:cs="Arial"/>
          <w:color w:val="000000" w:themeColor="text1"/>
          <w:sz w:val="24"/>
          <w:szCs w:val="24"/>
          <w:lang w:eastAsia="en-ZA"/>
        </w:rPr>
        <w:t xml:space="preserve">d that the </w:t>
      </w:r>
      <w:r w:rsidR="00103989">
        <w:rPr>
          <w:rFonts w:ascii="Arial" w:eastAsiaTheme="minorEastAsia" w:hAnsi="Arial" w:cs="Arial"/>
          <w:color w:val="000000" w:themeColor="text1"/>
          <w:sz w:val="24"/>
          <w:szCs w:val="24"/>
          <w:lang w:eastAsia="en-ZA"/>
        </w:rPr>
        <w:t>Applicant Trust</w:t>
      </w:r>
      <w:r w:rsidR="007C458D">
        <w:rPr>
          <w:rFonts w:ascii="Arial" w:eastAsiaTheme="minorEastAsia" w:hAnsi="Arial" w:cs="Arial"/>
          <w:color w:val="000000" w:themeColor="text1"/>
          <w:sz w:val="24"/>
          <w:szCs w:val="24"/>
          <w:lang w:eastAsia="en-ZA"/>
        </w:rPr>
        <w:t xml:space="preserve"> </w:t>
      </w:r>
      <w:r w:rsidR="003409EA">
        <w:rPr>
          <w:rFonts w:ascii="Arial" w:eastAsiaTheme="minorEastAsia" w:hAnsi="Arial" w:cs="Arial"/>
          <w:color w:val="000000" w:themeColor="text1"/>
          <w:sz w:val="24"/>
          <w:szCs w:val="24"/>
          <w:lang w:eastAsia="en-ZA"/>
        </w:rPr>
        <w:t>furnished express undertakings recorded in annexure FA10 that it would not cancel the Sub-</w:t>
      </w:r>
      <w:r w:rsidR="00087E20">
        <w:rPr>
          <w:rFonts w:ascii="Arial" w:eastAsiaTheme="minorEastAsia" w:hAnsi="Arial" w:cs="Arial"/>
          <w:color w:val="000000" w:themeColor="text1"/>
          <w:sz w:val="24"/>
          <w:szCs w:val="24"/>
          <w:lang w:eastAsia="en-ZA"/>
        </w:rPr>
        <w:t>L</w:t>
      </w:r>
      <w:r w:rsidR="003409EA">
        <w:rPr>
          <w:rFonts w:ascii="Arial" w:eastAsiaTheme="minorEastAsia" w:hAnsi="Arial" w:cs="Arial"/>
          <w:color w:val="000000" w:themeColor="text1"/>
          <w:sz w:val="24"/>
          <w:szCs w:val="24"/>
          <w:lang w:eastAsia="en-ZA"/>
        </w:rPr>
        <w:t xml:space="preserve">ease unless it afforded the </w:t>
      </w:r>
      <w:r w:rsidR="00013331">
        <w:rPr>
          <w:rFonts w:ascii="Arial" w:eastAsiaTheme="minorEastAsia" w:hAnsi="Arial" w:cs="Arial"/>
          <w:color w:val="000000" w:themeColor="text1"/>
          <w:sz w:val="24"/>
          <w:szCs w:val="24"/>
          <w:lang w:eastAsia="en-ZA"/>
        </w:rPr>
        <w:t>Respondent Trust</w:t>
      </w:r>
      <w:r w:rsidR="003409EA">
        <w:rPr>
          <w:rFonts w:ascii="Arial" w:eastAsiaTheme="minorEastAsia" w:hAnsi="Arial" w:cs="Arial"/>
          <w:color w:val="000000" w:themeColor="text1"/>
          <w:sz w:val="24"/>
          <w:szCs w:val="24"/>
          <w:lang w:eastAsia="en-ZA"/>
        </w:rPr>
        <w:t xml:space="preserve"> an additional notice period of 20 days after the expiry of the initial notice</w:t>
      </w:r>
      <w:r w:rsidR="00E33B3D">
        <w:rPr>
          <w:rFonts w:ascii="Arial" w:eastAsiaTheme="minorEastAsia" w:hAnsi="Arial" w:cs="Arial"/>
          <w:color w:val="000000" w:themeColor="text1"/>
          <w:sz w:val="24"/>
          <w:szCs w:val="24"/>
          <w:lang w:eastAsia="en-ZA"/>
        </w:rPr>
        <w:t>.</w:t>
      </w:r>
      <w:r w:rsidR="003409EA">
        <w:rPr>
          <w:rFonts w:ascii="Arial" w:eastAsiaTheme="minorEastAsia" w:hAnsi="Arial" w:cs="Arial"/>
          <w:color w:val="000000" w:themeColor="text1"/>
          <w:sz w:val="24"/>
          <w:szCs w:val="24"/>
          <w:lang w:eastAsia="en-ZA"/>
        </w:rPr>
        <w:t xml:space="preserve"> The </w:t>
      </w:r>
      <w:r w:rsidR="00103989">
        <w:rPr>
          <w:rFonts w:ascii="Arial" w:eastAsiaTheme="minorEastAsia" w:hAnsi="Arial" w:cs="Arial"/>
          <w:color w:val="000000" w:themeColor="text1"/>
          <w:sz w:val="24"/>
          <w:szCs w:val="24"/>
          <w:lang w:eastAsia="en-ZA"/>
        </w:rPr>
        <w:t>Applicant Trust</w:t>
      </w:r>
      <w:r w:rsidR="003409EA">
        <w:rPr>
          <w:rFonts w:ascii="Arial" w:eastAsiaTheme="minorEastAsia" w:hAnsi="Arial" w:cs="Arial"/>
          <w:color w:val="000000" w:themeColor="text1"/>
          <w:sz w:val="24"/>
          <w:szCs w:val="24"/>
          <w:lang w:eastAsia="en-ZA"/>
        </w:rPr>
        <w:t xml:space="preserve"> did not comply with the undertaking</w:t>
      </w:r>
      <w:r w:rsidR="00087E20">
        <w:rPr>
          <w:rFonts w:ascii="Arial" w:eastAsiaTheme="minorEastAsia" w:hAnsi="Arial" w:cs="Arial"/>
          <w:color w:val="000000" w:themeColor="text1"/>
          <w:sz w:val="24"/>
          <w:szCs w:val="24"/>
          <w:lang w:eastAsia="en-ZA"/>
        </w:rPr>
        <w:t xml:space="preserve"> as set out in FA10</w:t>
      </w:r>
      <w:r w:rsidR="003409EA">
        <w:rPr>
          <w:rFonts w:ascii="Arial" w:eastAsiaTheme="minorEastAsia" w:hAnsi="Arial" w:cs="Arial"/>
          <w:color w:val="000000" w:themeColor="text1"/>
          <w:sz w:val="24"/>
          <w:szCs w:val="24"/>
          <w:lang w:eastAsia="en-ZA"/>
        </w:rPr>
        <w:t xml:space="preserve"> and its cancellation of the Sub-Lease is accordingly of no force and effect. The </w:t>
      </w:r>
      <w:r w:rsidR="00103989">
        <w:rPr>
          <w:rFonts w:ascii="Arial" w:eastAsiaTheme="minorEastAsia" w:hAnsi="Arial" w:cs="Arial"/>
          <w:color w:val="000000" w:themeColor="text1"/>
          <w:sz w:val="24"/>
          <w:szCs w:val="24"/>
          <w:lang w:eastAsia="en-ZA"/>
        </w:rPr>
        <w:t>Applicant Trust</w:t>
      </w:r>
      <w:r w:rsidR="003409EA">
        <w:rPr>
          <w:rFonts w:ascii="Arial" w:eastAsiaTheme="minorEastAsia" w:hAnsi="Arial" w:cs="Arial"/>
          <w:color w:val="000000" w:themeColor="text1"/>
          <w:sz w:val="24"/>
          <w:szCs w:val="24"/>
          <w:lang w:eastAsia="en-ZA"/>
        </w:rPr>
        <w:t xml:space="preserve"> attempts to avoid the undertaking on the basis of a technical argument that the </w:t>
      </w:r>
      <w:r w:rsidR="00087E20">
        <w:rPr>
          <w:rFonts w:ascii="Arial" w:eastAsiaTheme="minorEastAsia" w:hAnsi="Arial" w:cs="Arial"/>
          <w:color w:val="000000" w:themeColor="text1"/>
          <w:sz w:val="24"/>
          <w:szCs w:val="24"/>
          <w:lang w:eastAsia="en-ZA"/>
        </w:rPr>
        <w:t>S</w:t>
      </w:r>
      <w:r w:rsidR="003409EA">
        <w:rPr>
          <w:rFonts w:ascii="Arial" w:eastAsiaTheme="minorEastAsia" w:hAnsi="Arial" w:cs="Arial"/>
          <w:color w:val="000000" w:themeColor="text1"/>
          <w:sz w:val="24"/>
          <w:szCs w:val="24"/>
          <w:lang w:eastAsia="en-ZA"/>
        </w:rPr>
        <w:t>ub</w:t>
      </w:r>
      <w:r w:rsidR="00087E20">
        <w:rPr>
          <w:rFonts w:ascii="Arial" w:eastAsiaTheme="minorEastAsia" w:hAnsi="Arial" w:cs="Arial"/>
          <w:color w:val="000000" w:themeColor="text1"/>
          <w:sz w:val="24"/>
          <w:szCs w:val="24"/>
          <w:lang w:eastAsia="en-ZA"/>
        </w:rPr>
        <w:t>-L</w:t>
      </w:r>
      <w:r w:rsidR="003409EA">
        <w:rPr>
          <w:rFonts w:ascii="Arial" w:eastAsiaTheme="minorEastAsia" w:hAnsi="Arial" w:cs="Arial"/>
          <w:color w:val="000000" w:themeColor="text1"/>
          <w:sz w:val="24"/>
          <w:szCs w:val="24"/>
          <w:lang w:eastAsia="en-ZA"/>
        </w:rPr>
        <w:t xml:space="preserve">ease includes a non-variation clause requiring that any amendment thereto must be reduced to writing and signed by both parties.  </w:t>
      </w:r>
    </w:p>
    <w:p w:rsidR="00087E20" w:rsidRDefault="00087E20"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3409EA" w:rsidRDefault="003409EA"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[3</w:t>
      </w:r>
      <w:r w:rsidR="00E33B3D">
        <w:rPr>
          <w:rFonts w:ascii="Arial" w:eastAsiaTheme="minorEastAsia" w:hAnsi="Arial" w:cs="Arial"/>
          <w:color w:val="000000" w:themeColor="text1"/>
          <w:sz w:val="24"/>
          <w:szCs w:val="24"/>
          <w:lang w:eastAsia="en-ZA"/>
        </w:rPr>
        <w:t>1</w:t>
      </w:r>
      <w:r>
        <w:rPr>
          <w:rFonts w:ascii="Arial" w:eastAsiaTheme="minorEastAsia" w:hAnsi="Arial" w:cs="Arial"/>
          <w:color w:val="000000" w:themeColor="text1"/>
          <w:sz w:val="24"/>
          <w:szCs w:val="24"/>
          <w:lang w:eastAsia="en-ZA"/>
        </w:rPr>
        <w:t>]</w:t>
      </w:r>
      <w:r>
        <w:rPr>
          <w:rFonts w:ascii="Arial" w:eastAsiaTheme="minorEastAsia" w:hAnsi="Arial" w:cs="Arial"/>
          <w:color w:val="000000" w:themeColor="text1"/>
          <w:sz w:val="24"/>
          <w:szCs w:val="24"/>
          <w:lang w:eastAsia="en-ZA"/>
        </w:rPr>
        <w:tab/>
        <w:t xml:space="preserve">Mr. Symon SC argued that the </w:t>
      </w:r>
      <w:r w:rsidR="00103989">
        <w:rPr>
          <w:rFonts w:ascii="Arial" w:eastAsiaTheme="minorEastAsia" w:hAnsi="Arial" w:cs="Arial"/>
          <w:color w:val="000000" w:themeColor="text1"/>
          <w:sz w:val="24"/>
          <w:szCs w:val="24"/>
          <w:lang w:eastAsia="en-ZA"/>
        </w:rPr>
        <w:t>Applicant Trust</w:t>
      </w:r>
      <w:r w:rsidR="004502E0">
        <w:rPr>
          <w:rFonts w:ascii="Arial" w:eastAsiaTheme="minorEastAsia" w:hAnsi="Arial" w:cs="Arial"/>
          <w:color w:val="000000" w:themeColor="text1"/>
          <w:sz w:val="24"/>
          <w:szCs w:val="24"/>
          <w:lang w:eastAsia="en-ZA"/>
        </w:rPr>
        <w:t xml:space="preserve">’s reliance on the non-variation clause embodied in the Sub-Lease is untenable. On a proper construction of the undertaking, it is a </w:t>
      </w:r>
      <w:r w:rsidR="004502E0" w:rsidRPr="004502E0">
        <w:rPr>
          <w:rFonts w:ascii="Arial" w:eastAsiaTheme="minorEastAsia" w:hAnsi="Arial" w:cs="Arial"/>
          <w:i/>
          <w:color w:val="000000" w:themeColor="text1"/>
          <w:sz w:val="24"/>
          <w:szCs w:val="24"/>
          <w:lang w:eastAsia="en-ZA"/>
        </w:rPr>
        <w:t>stipulatio alteri</w:t>
      </w:r>
      <w:r w:rsidR="00BF033D">
        <w:rPr>
          <w:rFonts w:ascii="Arial" w:eastAsiaTheme="minorEastAsia" w:hAnsi="Arial" w:cs="Arial"/>
          <w:color w:val="000000" w:themeColor="text1"/>
          <w:sz w:val="24"/>
          <w:szCs w:val="24"/>
          <w:lang w:eastAsia="en-ZA"/>
        </w:rPr>
        <w:t xml:space="preserve"> </w:t>
      </w:r>
      <w:r w:rsidR="004502E0">
        <w:rPr>
          <w:rFonts w:ascii="Arial" w:eastAsiaTheme="minorEastAsia" w:hAnsi="Arial" w:cs="Arial"/>
          <w:color w:val="000000" w:themeColor="text1"/>
          <w:sz w:val="24"/>
          <w:szCs w:val="24"/>
          <w:lang w:eastAsia="en-ZA"/>
        </w:rPr>
        <w:t xml:space="preserve">and the non-variation clause does not apply thereto.  In any event, and with reference to </w:t>
      </w:r>
      <w:r w:rsidR="004502E0" w:rsidRPr="004502E0">
        <w:rPr>
          <w:rFonts w:ascii="Arial" w:eastAsiaTheme="minorEastAsia" w:hAnsi="Arial" w:cs="Arial"/>
          <w:b/>
          <w:color w:val="000000" w:themeColor="text1"/>
          <w:sz w:val="24"/>
          <w:szCs w:val="24"/>
          <w:lang w:eastAsia="en-ZA"/>
        </w:rPr>
        <w:t>Gray v Waterfront Auctioneers (Pty) Ltd</w:t>
      </w:r>
      <w:r w:rsidR="004502E0">
        <w:rPr>
          <w:rStyle w:val="FootnoteReference"/>
          <w:rFonts w:ascii="Arial" w:eastAsiaTheme="minorEastAsia" w:hAnsi="Arial" w:cs="Arial"/>
          <w:color w:val="000000" w:themeColor="text1"/>
          <w:sz w:val="24"/>
          <w:szCs w:val="24"/>
          <w:lang w:eastAsia="en-ZA"/>
        </w:rPr>
        <w:footnoteReference w:id="2"/>
      </w:r>
      <w:r w:rsidR="004502E0">
        <w:rPr>
          <w:rFonts w:ascii="Arial" w:eastAsiaTheme="minorEastAsia" w:hAnsi="Arial" w:cs="Arial"/>
          <w:color w:val="000000" w:themeColor="text1"/>
          <w:sz w:val="24"/>
          <w:szCs w:val="24"/>
          <w:lang w:eastAsia="en-ZA"/>
        </w:rPr>
        <w:t xml:space="preserve"> a contracting party may not rely on a non-variation clause in bad faith. </w:t>
      </w:r>
    </w:p>
    <w:p w:rsidR="004502E0" w:rsidRDefault="004502E0"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4502E0" w:rsidRDefault="004502E0"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[3</w:t>
      </w:r>
      <w:r w:rsidR="00E33B3D">
        <w:rPr>
          <w:rFonts w:ascii="Arial" w:eastAsiaTheme="minorEastAsia" w:hAnsi="Arial" w:cs="Arial"/>
          <w:color w:val="000000" w:themeColor="text1"/>
          <w:sz w:val="24"/>
          <w:szCs w:val="24"/>
          <w:lang w:eastAsia="en-ZA"/>
        </w:rPr>
        <w:t>2</w:t>
      </w:r>
      <w:r>
        <w:rPr>
          <w:rFonts w:ascii="Arial" w:eastAsiaTheme="minorEastAsia" w:hAnsi="Arial" w:cs="Arial"/>
          <w:color w:val="000000" w:themeColor="text1"/>
          <w:sz w:val="24"/>
          <w:szCs w:val="24"/>
          <w:lang w:eastAsia="en-ZA"/>
        </w:rPr>
        <w:t>]</w:t>
      </w:r>
      <w:r>
        <w:rPr>
          <w:rFonts w:ascii="Arial" w:eastAsiaTheme="minorEastAsia" w:hAnsi="Arial" w:cs="Arial"/>
          <w:color w:val="000000" w:themeColor="text1"/>
          <w:sz w:val="24"/>
          <w:szCs w:val="24"/>
          <w:lang w:eastAsia="en-ZA"/>
        </w:rPr>
        <w:tab/>
      </w:r>
      <w:r w:rsidR="003734A5">
        <w:rPr>
          <w:rFonts w:ascii="Arial" w:eastAsiaTheme="minorEastAsia" w:hAnsi="Arial" w:cs="Arial"/>
          <w:color w:val="000000" w:themeColor="text1"/>
          <w:sz w:val="24"/>
          <w:szCs w:val="24"/>
          <w:lang w:eastAsia="en-ZA"/>
        </w:rPr>
        <w:t>Ev</w:t>
      </w:r>
      <w:r>
        <w:rPr>
          <w:rFonts w:ascii="Arial" w:eastAsiaTheme="minorEastAsia" w:hAnsi="Arial" w:cs="Arial"/>
          <w:color w:val="000000" w:themeColor="text1"/>
          <w:sz w:val="24"/>
          <w:szCs w:val="24"/>
          <w:lang w:eastAsia="en-ZA"/>
        </w:rPr>
        <w:t xml:space="preserve">en if the undertaking is not a </w:t>
      </w:r>
      <w:r w:rsidRPr="004502E0">
        <w:rPr>
          <w:rFonts w:ascii="Arial" w:eastAsiaTheme="minorEastAsia" w:hAnsi="Arial" w:cs="Arial"/>
          <w:i/>
          <w:color w:val="000000" w:themeColor="text1"/>
          <w:sz w:val="24"/>
          <w:szCs w:val="24"/>
          <w:lang w:eastAsia="en-ZA"/>
        </w:rPr>
        <w:t>stipulatio alteri</w:t>
      </w:r>
      <w:r>
        <w:rPr>
          <w:rFonts w:ascii="Arial" w:eastAsiaTheme="minorEastAsia" w:hAnsi="Arial" w:cs="Arial"/>
          <w:color w:val="000000" w:themeColor="text1"/>
          <w:sz w:val="24"/>
          <w:szCs w:val="24"/>
          <w:lang w:eastAsia="en-ZA"/>
        </w:rPr>
        <w:t xml:space="preserve"> or the Sub-</w:t>
      </w:r>
      <w:r w:rsidR="00087E20">
        <w:rPr>
          <w:rFonts w:ascii="Arial" w:eastAsiaTheme="minorEastAsia" w:hAnsi="Arial" w:cs="Arial"/>
          <w:color w:val="000000" w:themeColor="text1"/>
          <w:sz w:val="24"/>
          <w:szCs w:val="24"/>
          <w:lang w:eastAsia="en-ZA"/>
        </w:rPr>
        <w:t>L</w:t>
      </w:r>
      <w:r>
        <w:rPr>
          <w:rFonts w:ascii="Arial" w:eastAsiaTheme="minorEastAsia" w:hAnsi="Arial" w:cs="Arial"/>
          <w:color w:val="000000" w:themeColor="text1"/>
          <w:sz w:val="24"/>
          <w:szCs w:val="24"/>
          <w:lang w:eastAsia="en-ZA"/>
        </w:rPr>
        <w:t xml:space="preserve">ease was not varied to include the terms of </w:t>
      </w:r>
      <w:r w:rsidR="00087E20">
        <w:rPr>
          <w:rFonts w:ascii="Arial" w:eastAsiaTheme="minorEastAsia" w:hAnsi="Arial" w:cs="Arial"/>
          <w:color w:val="000000" w:themeColor="text1"/>
          <w:sz w:val="24"/>
          <w:szCs w:val="24"/>
          <w:lang w:eastAsia="en-ZA"/>
        </w:rPr>
        <w:t>FA10</w:t>
      </w:r>
      <w:r>
        <w:rPr>
          <w:rFonts w:ascii="Arial" w:eastAsiaTheme="minorEastAsia" w:hAnsi="Arial" w:cs="Arial"/>
          <w:color w:val="000000" w:themeColor="text1"/>
          <w:sz w:val="24"/>
          <w:szCs w:val="24"/>
          <w:lang w:eastAsia="en-ZA"/>
        </w:rPr>
        <w:t xml:space="preserve">, the </w:t>
      </w:r>
      <w:r w:rsidR="00103989">
        <w:rPr>
          <w:rFonts w:ascii="Arial" w:eastAsiaTheme="minorEastAsia" w:hAnsi="Arial" w:cs="Arial"/>
          <w:color w:val="000000" w:themeColor="text1"/>
          <w:sz w:val="24"/>
          <w:szCs w:val="24"/>
          <w:lang w:eastAsia="en-ZA"/>
        </w:rPr>
        <w:t>Applicant Trust</w:t>
      </w:r>
      <w:r w:rsidR="003734A5">
        <w:rPr>
          <w:rFonts w:ascii="Arial" w:eastAsiaTheme="minorEastAsia" w:hAnsi="Arial" w:cs="Arial"/>
          <w:color w:val="000000" w:themeColor="text1"/>
          <w:sz w:val="24"/>
          <w:szCs w:val="24"/>
          <w:lang w:eastAsia="en-ZA"/>
        </w:rPr>
        <w:t>’s</w:t>
      </w:r>
      <w:r w:rsidR="004A121C">
        <w:rPr>
          <w:rFonts w:ascii="Arial" w:eastAsiaTheme="minorEastAsia" w:hAnsi="Arial" w:cs="Arial"/>
          <w:color w:val="000000" w:themeColor="text1"/>
          <w:sz w:val="24"/>
          <w:szCs w:val="24"/>
          <w:lang w:eastAsia="en-ZA"/>
        </w:rPr>
        <w:t xml:space="preserve"> </w:t>
      </w:r>
      <w:r>
        <w:rPr>
          <w:rFonts w:ascii="Arial" w:eastAsiaTheme="minorEastAsia" w:hAnsi="Arial" w:cs="Arial"/>
          <w:color w:val="000000" w:themeColor="text1"/>
          <w:sz w:val="24"/>
          <w:szCs w:val="24"/>
          <w:lang w:eastAsia="en-ZA"/>
        </w:rPr>
        <w:t>reliance upon strict terms of the Sub-</w:t>
      </w:r>
      <w:r w:rsidR="00087E20">
        <w:rPr>
          <w:rFonts w:ascii="Arial" w:eastAsiaTheme="minorEastAsia" w:hAnsi="Arial" w:cs="Arial"/>
          <w:color w:val="000000" w:themeColor="text1"/>
          <w:sz w:val="24"/>
          <w:szCs w:val="24"/>
          <w:lang w:eastAsia="en-ZA"/>
        </w:rPr>
        <w:t>L</w:t>
      </w:r>
      <w:r>
        <w:rPr>
          <w:rFonts w:ascii="Arial" w:eastAsiaTheme="minorEastAsia" w:hAnsi="Arial" w:cs="Arial"/>
          <w:color w:val="000000" w:themeColor="text1"/>
          <w:sz w:val="24"/>
          <w:szCs w:val="24"/>
          <w:lang w:eastAsia="en-ZA"/>
        </w:rPr>
        <w:t xml:space="preserve">ease, contrary to the provisions of </w:t>
      </w:r>
      <w:r w:rsidR="00087E20">
        <w:rPr>
          <w:rFonts w:ascii="Arial" w:eastAsiaTheme="minorEastAsia" w:hAnsi="Arial" w:cs="Arial"/>
          <w:color w:val="000000" w:themeColor="text1"/>
          <w:sz w:val="24"/>
          <w:szCs w:val="24"/>
          <w:lang w:eastAsia="en-ZA"/>
        </w:rPr>
        <w:t>FA10</w:t>
      </w:r>
      <w:r>
        <w:rPr>
          <w:rFonts w:ascii="Arial" w:eastAsiaTheme="minorEastAsia" w:hAnsi="Arial" w:cs="Arial"/>
          <w:color w:val="000000" w:themeColor="text1"/>
          <w:sz w:val="24"/>
          <w:szCs w:val="24"/>
          <w:lang w:eastAsia="en-ZA"/>
        </w:rPr>
        <w:t xml:space="preserve"> to justify its cancellation of the Sub-</w:t>
      </w:r>
      <w:r w:rsidR="00087E20">
        <w:rPr>
          <w:rFonts w:ascii="Arial" w:eastAsiaTheme="minorEastAsia" w:hAnsi="Arial" w:cs="Arial"/>
          <w:color w:val="000000" w:themeColor="text1"/>
          <w:sz w:val="24"/>
          <w:szCs w:val="24"/>
          <w:lang w:eastAsia="en-ZA"/>
        </w:rPr>
        <w:t>L</w:t>
      </w:r>
      <w:r>
        <w:rPr>
          <w:rFonts w:ascii="Arial" w:eastAsiaTheme="minorEastAsia" w:hAnsi="Arial" w:cs="Arial"/>
          <w:color w:val="000000" w:themeColor="text1"/>
          <w:sz w:val="24"/>
          <w:szCs w:val="24"/>
          <w:lang w:eastAsia="en-ZA"/>
        </w:rPr>
        <w:t>ease cannot be countenanced</w:t>
      </w:r>
      <w:r w:rsidR="003734A5">
        <w:rPr>
          <w:rFonts w:ascii="Arial" w:eastAsiaTheme="minorEastAsia" w:hAnsi="Arial" w:cs="Arial"/>
          <w:color w:val="000000" w:themeColor="text1"/>
          <w:sz w:val="24"/>
          <w:szCs w:val="24"/>
          <w:lang w:eastAsia="en-ZA"/>
        </w:rPr>
        <w:t xml:space="preserve"> on the grounds of public policy.  The </w:t>
      </w:r>
      <w:r w:rsidR="00103989">
        <w:rPr>
          <w:rFonts w:ascii="Arial" w:eastAsiaTheme="minorEastAsia" w:hAnsi="Arial" w:cs="Arial"/>
          <w:color w:val="000000" w:themeColor="text1"/>
          <w:sz w:val="24"/>
          <w:szCs w:val="24"/>
          <w:lang w:eastAsia="en-ZA"/>
        </w:rPr>
        <w:t>Applicant Trust</w:t>
      </w:r>
      <w:r w:rsidR="003734A5">
        <w:rPr>
          <w:rFonts w:ascii="Arial" w:eastAsiaTheme="minorEastAsia" w:hAnsi="Arial" w:cs="Arial"/>
          <w:color w:val="000000" w:themeColor="text1"/>
          <w:sz w:val="24"/>
          <w:szCs w:val="24"/>
          <w:lang w:eastAsia="en-ZA"/>
        </w:rPr>
        <w:t xml:space="preserve"> never previously insisted that the </w:t>
      </w:r>
      <w:r w:rsidR="00013331">
        <w:rPr>
          <w:rFonts w:ascii="Arial" w:eastAsiaTheme="minorEastAsia" w:hAnsi="Arial" w:cs="Arial"/>
          <w:color w:val="000000" w:themeColor="text1"/>
          <w:sz w:val="24"/>
          <w:szCs w:val="24"/>
          <w:lang w:eastAsia="en-ZA"/>
        </w:rPr>
        <w:t>Respondent Trust</w:t>
      </w:r>
      <w:r w:rsidR="003734A5">
        <w:rPr>
          <w:rFonts w:ascii="Arial" w:eastAsiaTheme="minorEastAsia" w:hAnsi="Arial" w:cs="Arial"/>
          <w:color w:val="000000" w:themeColor="text1"/>
          <w:sz w:val="24"/>
          <w:szCs w:val="24"/>
          <w:lang w:eastAsia="en-ZA"/>
        </w:rPr>
        <w:t xml:space="preserve"> must strictly comply with the terms of the Sub-Lease and it granted the </w:t>
      </w:r>
      <w:r w:rsidR="00013331">
        <w:rPr>
          <w:rFonts w:ascii="Arial" w:eastAsiaTheme="minorEastAsia" w:hAnsi="Arial" w:cs="Arial"/>
          <w:color w:val="000000" w:themeColor="text1"/>
          <w:sz w:val="24"/>
          <w:szCs w:val="24"/>
          <w:lang w:eastAsia="en-ZA"/>
        </w:rPr>
        <w:t>Respondent Trust</w:t>
      </w:r>
      <w:r w:rsidR="003734A5">
        <w:rPr>
          <w:rFonts w:ascii="Arial" w:eastAsiaTheme="minorEastAsia" w:hAnsi="Arial" w:cs="Arial"/>
          <w:color w:val="000000" w:themeColor="text1"/>
          <w:sz w:val="24"/>
          <w:szCs w:val="24"/>
          <w:lang w:eastAsia="en-ZA"/>
        </w:rPr>
        <w:t xml:space="preserve"> indulgences on numerous occasions regarding non-compliance with th</w:t>
      </w:r>
      <w:r w:rsidR="008113FD">
        <w:rPr>
          <w:rFonts w:ascii="Arial" w:eastAsiaTheme="minorEastAsia" w:hAnsi="Arial" w:cs="Arial"/>
          <w:color w:val="000000" w:themeColor="text1"/>
          <w:sz w:val="24"/>
          <w:szCs w:val="24"/>
          <w:lang w:eastAsia="en-ZA"/>
        </w:rPr>
        <w:t>e</w:t>
      </w:r>
      <w:r w:rsidR="003734A5">
        <w:rPr>
          <w:rFonts w:ascii="Arial" w:eastAsiaTheme="minorEastAsia" w:hAnsi="Arial" w:cs="Arial"/>
          <w:color w:val="000000" w:themeColor="text1"/>
          <w:sz w:val="24"/>
          <w:szCs w:val="24"/>
          <w:lang w:eastAsia="en-ZA"/>
        </w:rPr>
        <w:t xml:space="preserve"> provisions of the Sub-Lease.  Furthermore, the correspondence addressed on behalf of the </w:t>
      </w:r>
      <w:r w:rsidR="00103989">
        <w:rPr>
          <w:rFonts w:ascii="Arial" w:eastAsiaTheme="minorEastAsia" w:hAnsi="Arial" w:cs="Arial"/>
          <w:color w:val="000000" w:themeColor="text1"/>
          <w:sz w:val="24"/>
          <w:szCs w:val="24"/>
          <w:lang w:eastAsia="en-ZA"/>
        </w:rPr>
        <w:t>Applicant Trust</w:t>
      </w:r>
      <w:r w:rsidR="003734A5">
        <w:rPr>
          <w:rFonts w:ascii="Arial" w:eastAsiaTheme="minorEastAsia" w:hAnsi="Arial" w:cs="Arial"/>
          <w:color w:val="000000" w:themeColor="text1"/>
          <w:sz w:val="24"/>
          <w:szCs w:val="24"/>
          <w:lang w:eastAsia="en-ZA"/>
        </w:rPr>
        <w:t xml:space="preserve"> prior to </w:t>
      </w:r>
      <w:r w:rsidR="003734A5">
        <w:rPr>
          <w:rFonts w:ascii="Arial" w:eastAsiaTheme="minorEastAsia" w:hAnsi="Arial" w:cs="Arial"/>
          <w:color w:val="000000" w:themeColor="text1"/>
          <w:sz w:val="24"/>
          <w:szCs w:val="24"/>
          <w:lang w:eastAsia="en-ZA"/>
        </w:rPr>
        <w:lastRenderedPageBreak/>
        <w:t>cancellation of the Sub-</w:t>
      </w:r>
      <w:r w:rsidR="008113FD">
        <w:rPr>
          <w:rFonts w:ascii="Arial" w:eastAsiaTheme="minorEastAsia" w:hAnsi="Arial" w:cs="Arial"/>
          <w:color w:val="000000" w:themeColor="text1"/>
          <w:sz w:val="24"/>
          <w:szCs w:val="24"/>
          <w:lang w:eastAsia="en-ZA"/>
        </w:rPr>
        <w:t>L</w:t>
      </w:r>
      <w:r w:rsidR="003734A5">
        <w:rPr>
          <w:rFonts w:ascii="Arial" w:eastAsiaTheme="minorEastAsia" w:hAnsi="Arial" w:cs="Arial"/>
          <w:color w:val="000000" w:themeColor="text1"/>
          <w:sz w:val="24"/>
          <w:szCs w:val="24"/>
          <w:lang w:eastAsia="en-ZA"/>
        </w:rPr>
        <w:t xml:space="preserve">ease, created the impression that the </w:t>
      </w:r>
      <w:r w:rsidR="00103989">
        <w:rPr>
          <w:rFonts w:ascii="Arial" w:eastAsiaTheme="minorEastAsia" w:hAnsi="Arial" w:cs="Arial"/>
          <w:color w:val="000000" w:themeColor="text1"/>
          <w:sz w:val="24"/>
          <w:szCs w:val="24"/>
          <w:lang w:eastAsia="en-ZA"/>
        </w:rPr>
        <w:t>Applicant Trust</w:t>
      </w:r>
      <w:r w:rsidR="003734A5">
        <w:rPr>
          <w:rFonts w:ascii="Arial" w:eastAsiaTheme="minorEastAsia" w:hAnsi="Arial" w:cs="Arial"/>
          <w:color w:val="000000" w:themeColor="text1"/>
          <w:sz w:val="24"/>
          <w:szCs w:val="24"/>
          <w:lang w:eastAsia="en-ZA"/>
        </w:rPr>
        <w:t xml:space="preserve"> did not seriously intend to cancel the Sub-Lease. </w:t>
      </w:r>
      <w:r w:rsidR="007A23D3">
        <w:rPr>
          <w:rFonts w:ascii="Arial" w:eastAsiaTheme="minorEastAsia" w:hAnsi="Arial" w:cs="Arial"/>
          <w:color w:val="000000" w:themeColor="text1"/>
          <w:sz w:val="24"/>
          <w:szCs w:val="24"/>
          <w:lang w:eastAsia="en-ZA"/>
        </w:rPr>
        <w:t>As a result,</w:t>
      </w:r>
      <w:r w:rsidR="00E33B3D">
        <w:rPr>
          <w:rFonts w:ascii="Arial" w:eastAsiaTheme="minorEastAsia" w:hAnsi="Arial" w:cs="Arial"/>
          <w:color w:val="000000" w:themeColor="text1"/>
          <w:sz w:val="24"/>
          <w:szCs w:val="24"/>
          <w:lang w:eastAsia="en-ZA"/>
        </w:rPr>
        <w:t xml:space="preserve"> the application stands to be dismissed with costs.</w:t>
      </w:r>
    </w:p>
    <w:p w:rsidR="00AC6116" w:rsidRDefault="00AC6116"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AC6116" w:rsidRPr="00EA14FC" w:rsidRDefault="00AC6116"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u w:val="single"/>
          <w:lang w:eastAsia="en-ZA"/>
        </w:rPr>
      </w:pPr>
      <w:r>
        <w:rPr>
          <w:rFonts w:ascii="Arial" w:eastAsiaTheme="minorEastAsia" w:hAnsi="Arial" w:cs="Arial"/>
          <w:color w:val="000000" w:themeColor="text1"/>
          <w:sz w:val="24"/>
          <w:szCs w:val="24"/>
          <w:lang w:eastAsia="en-ZA"/>
        </w:rPr>
        <w:tab/>
        <w:t xml:space="preserve"> </w:t>
      </w:r>
      <w:r w:rsidR="00C94D47" w:rsidRPr="00BF033D">
        <w:rPr>
          <w:rFonts w:ascii="Arial" w:eastAsiaTheme="minorEastAsia" w:hAnsi="Arial" w:cs="Arial"/>
          <w:color w:val="000000" w:themeColor="text1"/>
          <w:sz w:val="24"/>
          <w:szCs w:val="24"/>
          <w:u w:val="single"/>
          <w:lang w:eastAsia="en-ZA"/>
        </w:rPr>
        <w:t>APPLICABLE LEGAL PRINCIPLES</w:t>
      </w:r>
      <w:r w:rsidR="008F7AA6" w:rsidRPr="00BF033D">
        <w:rPr>
          <w:rFonts w:ascii="Arial" w:eastAsiaTheme="minorEastAsia" w:hAnsi="Arial" w:cs="Arial"/>
          <w:color w:val="000000" w:themeColor="text1"/>
          <w:sz w:val="24"/>
          <w:szCs w:val="24"/>
          <w:u w:val="single"/>
          <w:lang w:eastAsia="en-ZA"/>
        </w:rPr>
        <w:t xml:space="preserve"> </w:t>
      </w:r>
      <w:r w:rsidR="00E33B3D">
        <w:rPr>
          <w:rFonts w:ascii="Arial" w:eastAsiaTheme="minorEastAsia" w:hAnsi="Arial" w:cs="Arial"/>
          <w:color w:val="000000" w:themeColor="text1"/>
          <w:sz w:val="24"/>
          <w:szCs w:val="24"/>
          <w:u w:val="single"/>
          <w:lang w:eastAsia="en-ZA"/>
        </w:rPr>
        <w:t xml:space="preserve">AND THE </w:t>
      </w:r>
      <w:r w:rsidR="008F7AA6" w:rsidRPr="00BF033D">
        <w:rPr>
          <w:rFonts w:ascii="Arial" w:eastAsiaTheme="minorEastAsia" w:hAnsi="Arial" w:cs="Arial"/>
          <w:color w:val="000000" w:themeColor="text1"/>
          <w:sz w:val="24"/>
          <w:szCs w:val="24"/>
          <w:u w:val="single"/>
          <w:lang w:eastAsia="en-ZA"/>
        </w:rPr>
        <w:t xml:space="preserve">APPLICATION THEREOF TO THE </w:t>
      </w:r>
      <w:r w:rsidR="00BF033D" w:rsidRPr="00BF033D">
        <w:rPr>
          <w:rFonts w:ascii="Arial" w:eastAsiaTheme="minorEastAsia" w:hAnsi="Arial" w:cs="Arial"/>
          <w:color w:val="000000" w:themeColor="text1"/>
          <w:sz w:val="24"/>
          <w:szCs w:val="24"/>
          <w:u w:val="single"/>
          <w:lang w:eastAsia="en-ZA"/>
        </w:rPr>
        <w:t>FACTS.</w:t>
      </w:r>
    </w:p>
    <w:p w:rsidR="00F00975" w:rsidRDefault="003734A5"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[3</w:t>
      </w:r>
      <w:r w:rsidR="00E33B3D">
        <w:rPr>
          <w:rFonts w:ascii="Arial" w:eastAsiaTheme="minorEastAsia" w:hAnsi="Arial" w:cs="Arial"/>
          <w:color w:val="000000" w:themeColor="text1"/>
          <w:sz w:val="24"/>
          <w:szCs w:val="24"/>
          <w:lang w:eastAsia="en-ZA"/>
        </w:rPr>
        <w:t>3</w:t>
      </w:r>
      <w:r>
        <w:rPr>
          <w:rFonts w:ascii="Arial" w:eastAsiaTheme="minorEastAsia" w:hAnsi="Arial" w:cs="Arial"/>
          <w:color w:val="000000" w:themeColor="text1"/>
          <w:sz w:val="24"/>
          <w:szCs w:val="24"/>
          <w:lang w:eastAsia="en-ZA"/>
        </w:rPr>
        <w:t>]</w:t>
      </w:r>
      <w:r>
        <w:rPr>
          <w:rFonts w:ascii="Arial" w:eastAsiaTheme="minorEastAsia" w:hAnsi="Arial" w:cs="Arial"/>
          <w:color w:val="000000" w:themeColor="text1"/>
          <w:sz w:val="24"/>
          <w:szCs w:val="24"/>
          <w:lang w:eastAsia="en-ZA"/>
        </w:rPr>
        <w:tab/>
      </w:r>
      <w:r w:rsidR="00452DE4">
        <w:rPr>
          <w:rFonts w:ascii="Arial" w:eastAsiaTheme="minorEastAsia" w:hAnsi="Arial" w:cs="Arial"/>
          <w:color w:val="000000" w:themeColor="text1"/>
          <w:sz w:val="24"/>
          <w:szCs w:val="24"/>
          <w:lang w:eastAsia="en-ZA"/>
        </w:rPr>
        <w:t xml:space="preserve">The principle that the courts will enforce contracts, expressed as </w:t>
      </w:r>
      <w:r w:rsidR="00452DE4" w:rsidRPr="00452DE4">
        <w:rPr>
          <w:rFonts w:ascii="Arial" w:eastAsiaTheme="minorEastAsia" w:hAnsi="Arial" w:cs="Arial"/>
          <w:i/>
          <w:color w:val="000000" w:themeColor="text1"/>
          <w:sz w:val="24"/>
          <w:szCs w:val="24"/>
          <w:lang w:eastAsia="en-ZA"/>
        </w:rPr>
        <w:t>pacta sunt servanda</w:t>
      </w:r>
      <w:r w:rsidR="00452DE4">
        <w:rPr>
          <w:rFonts w:ascii="Arial" w:eastAsiaTheme="minorEastAsia" w:hAnsi="Arial" w:cs="Arial"/>
          <w:color w:val="000000" w:themeColor="text1"/>
          <w:sz w:val="24"/>
          <w:szCs w:val="24"/>
          <w:lang w:eastAsia="en-ZA"/>
        </w:rPr>
        <w:t xml:space="preserve">, is obviously necessary as a general principle. </w:t>
      </w:r>
      <w:r w:rsidR="00F00975">
        <w:rPr>
          <w:rFonts w:ascii="Arial" w:eastAsiaTheme="minorEastAsia" w:hAnsi="Arial" w:cs="Arial"/>
          <w:color w:val="000000" w:themeColor="text1"/>
          <w:sz w:val="24"/>
          <w:szCs w:val="24"/>
          <w:lang w:eastAsia="en-ZA"/>
        </w:rPr>
        <w:t>The general rule that parties to an agreement are as free to vary or discharge the contract as they were to make it, is subject to limitations.  When the parties impose restrictions on their own power of subsequent variation or cancellation of their contract they will incorporate a non-variation clause</w:t>
      </w:r>
      <w:r w:rsidR="007A23D3" w:rsidRPr="007A23D3">
        <w:rPr>
          <w:rFonts w:ascii="Arial" w:eastAsiaTheme="minorEastAsia" w:hAnsi="Arial" w:cs="Arial"/>
          <w:color w:val="000000" w:themeColor="text1"/>
          <w:sz w:val="24"/>
          <w:szCs w:val="24"/>
          <w:lang w:eastAsia="en-ZA"/>
        </w:rPr>
        <w:t xml:space="preserve"> </w:t>
      </w:r>
      <w:r w:rsidR="007A23D3">
        <w:rPr>
          <w:rFonts w:ascii="Arial" w:eastAsiaTheme="minorEastAsia" w:hAnsi="Arial" w:cs="Arial"/>
          <w:color w:val="000000" w:themeColor="text1"/>
          <w:sz w:val="24"/>
          <w:szCs w:val="24"/>
          <w:lang w:eastAsia="en-ZA"/>
        </w:rPr>
        <w:t>in their contract</w:t>
      </w:r>
      <w:r w:rsidR="00F00975">
        <w:rPr>
          <w:rFonts w:ascii="Arial" w:eastAsiaTheme="minorEastAsia" w:hAnsi="Arial" w:cs="Arial"/>
          <w:color w:val="000000" w:themeColor="text1"/>
          <w:sz w:val="24"/>
          <w:szCs w:val="24"/>
          <w:lang w:eastAsia="en-ZA"/>
        </w:rPr>
        <w:t xml:space="preserve">. </w:t>
      </w:r>
    </w:p>
    <w:p w:rsidR="00F00975" w:rsidRDefault="00F00975"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F00975" w:rsidRDefault="00F00975"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[3</w:t>
      </w:r>
      <w:r w:rsidR="00E33B3D">
        <w:rPr>
          <w:rFonts w:ascii="Arial" w:eastAsiaTheme="minorEastAsia" w:hAnsi="Arial" w:cs="Arial"/>
          <w:color w:val="000000" w:themeColor="text1"/>
          <w:sz w:val="24"/>
          <w:szCs w:val="24"/>
          <w:lang w:eastAsia="en-ZA"/>
        </w:rPr>
        <w:t>4</w:t>
      </w:r>
      <w:r>
        <w:rPr>
          <w:rFonts w:ascii="Arial" w:eastAsiaTheme="minorEastAsia" w:hAnsi="Arial" w:cs="Arial"/>
          <w:color w:val="000000" w:themeColor="text1"/>
          <w:sz w:val="24"/>
          <w:szCs w:val="24"/>
          <w:lang w:eastAsia="en-ZA"/>
        </w:rPr>
        <w:t>]</w:t>
      </w:r>
      <w:r>
        <w:rPr>
          <w:rFonts w:ascii="Arial" w:eastAsiaTheme="minorEastAsia" w:hAnsi="Arial" w:cs="Arial"/>
          <w:color w:val="000000" w:themeColor="text1"/>
          <w:sz w:val="24"/>
          <w:szCs w:val="24"/>
          <w:lang w:eastAsia="en-ZA"/>
        </w:rPr>
        <w:tab/>
        <w:t>On the one hand it limits contractual freedom by curtailing the parties’ ability to change their minds and alter the contract, but on the other hand, this limitation is</w:t>
      </w:r>
      <w:r w:rsidR="007A23D3">
        <w:rPr>
          <w:rFonts w:ascii="Arial" w:eastAsiaTheme="minorEastAsia" w:hAnsi="Arial" w:cs="Arial"/>
          <w:color w:val="000000" w:themeColor="text1"/>
          <w:sz w:val="24"/>
          <w:szCs w:val="24"/>
          <w:lang w:eastAsia="en-ZA"/>
        </w:rPr>
        <w:t xml:space="preserve"> in</w:t>
      </w:r>
      <w:r>
        <w:rPr>
          <w:rFonts w:ascii="Arial" w:eastAsiaTheme="minorEastAsia" w:hAnsi="Arial" w:cs="Arial"/>
          <w:color w:val="000000" w:themeColor="text1"/>
          <w:sz w:val="24"/>
          <w:szCs w:val="24"/>
          <w:lang w:eastAsia="en-ZA"/>
        </w:rPr>
        <w:t xml:space="preserve"> itself a manifestation of the parties’ contractual freedom pursuant to which they, by prior agreement, agreed to this limitation in order “</w:t>
      </w:r>
      <w:r w:rsidR="007A23D3">
        <w:rPr>
          <w:rFonts w:ascii="Arial" w:eastAsiaTheme="minorEastAsia" w:hAnsi="Arial" w:cs="Arial"/>
          <w:color w:val="000000" w:themeColor="text1"/>
          <w:sz w:val="24"/>
          <w:szCs w:val="24"/>
          <w:lang w:eastAsia="en-ZA"/>
        </w:rPr>
        <w:t>…</w:t>
      </w:r>
      <w:r w:rsidRPr="007A23D3">
        <w:rPr>
          <w:rFonts w:ascii="Arial" w:eastAsiaTheme="minorEastAsia" w:hAnsi="Arial" w:cs="Arial"/>
          <w:color w:val="000000" w:themeColor="text1"/>
          <w:sz w:val="20"/>
          <w:szCs w:val="20"/>
          <w:lang w:eastAsia="en-ZA"/>
        </w:rPr>
        <w:t>to enhance certainty in their future dealings and to minimise disputes between them</w:t>
      </w:r>
      <w:r w:rsidR="007A23D3">
        <w:rPr>
          <w:rFonts w:ascii="Arial" w:eastAsiaTheme="minorEastAsia" w:hAnsi="Arial" w:cs="Arial"/>
          <w:color w:val="000000" w:themeColor="text1"/>
          <w:sz w:val="20"/>
          <w:szCs w:val="20"/>
          <w:lang w:eastAsia="en-ZA"/>
        </w:rPr>
        <w:t>”</w:t>
      </w:r>
      <w:r w:rsidR="007A23D3">
        <w:rPr>
          <w:rStyle w:val="FootnoteReference"/>
          <w:rFonts w:ascii="Arial" w:eastAsiaTheme="minorEastAsia" w:hAnsi="Arial" w:cs="Arial"/>
          <w:color w:val="000000" w:themeColor="text1"/>
          <w:sz w:val="24"/>
          <w:szCs w:val="24"/>
          <w:lang w:eastAsia="en-ZA"/>
        </w:rPr>
        <w:footnoteReference w:id="3"/>
      </w:r>
      <w:r>
        <w:rPr>
          <w:rFonts w:ascii="Arial" w:eastAsiaTheme="minorEastAsia" w:hAnsi="Arial" w:cs="Arial"/>
          <w:color w:val="000000" w:themeColor="text1"/>
          <w:sz w:val="24"/>
          <w:szCs w:val="24"/>
          <w:lang w:eastAsia="en-ZA"/>
        </w:rPr>
        <w:t>.</w:t>
      </w:r>
      <w:r w:rsidRPr="00F00975">
        <w:rPr>
          <w:rFonts w:ascii="Arial" w:eastAsiaTheme="minorEastAsia" w:hAnsi="Arial" w:cs="Arial"/>
          <w:color w:val="000000" w:themeColor="text1"/>
          <w:sz w:val="24"/>
          <w:szCs w:val="24"/>
          <w:lang w:eastAsia="en-ZA"/>
        </w:rPr>
        <w:t xml:space="preserve"> </w:t>
      </w:r>
      <w:r>
        <w:rPr>
          <w:rFonts w:ascii="Arial" w:eastAsiaTheme="minorEastAsia" w:hAnsi="Arial" w:cs="Arial"/>
          <w:color w:val="000000" w:themeColor="text1"/>
          <w:sz w:val="24"/>
          <w:szCs w:val="24"/>
          <w:lang w:eastAsia="en-ZA"/>
        </w:rPr>
        <w:t xml:space="preserve">A situation in which the same argument of freedom of contract or </w:t>
      </w:r>
      <w:r w:rsidRPr="00AB6B21">
        <w:rPr>
          <w:rFonts w:ascii="Arial" w:eastAsiaTheme="minorEastAsia" w:hAnsi="Arial" w:cs="Arial"/>
          <w:i/>
          <w:color w:val="000000" w:themeColor="text1"/>
          <w:sz w:val="24"/>
          <w:szCs w:val="24"/>
          <w:lang w:eastAsia="en-ZA"/>
        </w:rPr>
        <w:t>pacta sunt servanda</w:t>
      </w:r>
      <w:r>
        <w:rPr>
          <w:rFonts w:ascii="Arial" w:eastAsiaTheme="minorEastAsia" w:hAnsi="Arial" w:cs="Arial"/>
          <w:color w:val="000000" w:themeColor="text1"/>
          <w:sz w:val="24"/>
          <w:szCs w:val="24"/>
          <w:lang w:eastAsia="en-ZA"/>
        </w:rPr>
        <w:t xml:space="preserve"> </w:t>
      </w:r>
      <w:r w:rsidR="007A23D3">
        <w:rPr>
          <w:rFonts w:ascii="Arial" w:eastAsiaTheme="minorEastAsia" w:hAnsi="Arial" w:cs="Arial"/>
          <w:color w:val="000000" w:themeColor="text1"/>
          <w:sz w:val="24"/>
          <w:szCs w:val="24"/>
          <w:lang w:eastAsia="en-ZA"/>
        </w:rPr>
        <w:t>may</w:t>
      </w:r>
      <w:r>
        <w:rPr>
          <w:rFonts w:ascii="Arial" w:eastAsiaTheme="minorEastAsia" w:hAnsi="Arial" w:cs="Arial"/>
          <w:color w:val="000000" w:themeColor="text1"/>
          <w:sz w:val="24"/>
          <w:szCs w:val="24"/>
          <w:lang w:eastAsia="en-ZA"/>
        </w:rPr>
        <w:t xml:space="preserve"> lead to two opposite conclusions is possible when a non-variation clause appears in a contract.</w:t>
      </w:r>
    </w:p>
    <w:p w:rsidR="00F00975" w:rsidRDefault="00F00975"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F00975" w:rsidRDefault="00F00975" w:rsidP="00F00975">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[3</w:t>
      </w:r>
      <w:r w:rsidR="00E33B3D">
        <w:rPr>
          <w:rFonts w:ascii="Arial" w:eastAsiaTheme="minorEastAsia" w:hAnsi="Arial" w:cs="Arial"/>
          <w:color w:val="000000" w:themeColor="text1"/>
          <w:sz w:val="24"/>
          <w:szCs w:val="24"/>
          <w:lang w:eastAsia="en-ZA"/>
        </w:rPr>
        <w:t>5</w:t>
      </w:r>
      <w:r>
        <w:rPr>
          <w:rFonts w:ascii="Arial" w:eastAsiaTheme="minorEastAsia" w:hAnsi="Arial" w:cs="Arial"/>
          <w:color w:val="000000" w:themeColor="text1"/>
          <w:sz w:val="24"/>
          <w:szCs w:val="24"/>
          <w:lang w:eastAsia="en-ZA"/>
        </w:rPr>
        <w:t>]</w:t>
      </w:r>
      <w:r>
        <w:rPr>
          <w:rFonts w:ascii="Arial" w:eastAsiaTheme="minorEastAsia" w:hAnsi="Arial" w:cs="Arial"/>
          <w:color w:val="000000" w:themeColor="text1"/>
          <w:sz w:val="24"/>
          <w:szCs w:val="24"/>
          <w:lang w:eastAsia="en-ZA"/>
        </w:rPr>
        <w:tab/>
        <w:t xml:space="preserve">The Appellate Division, in the judgment of </w:t>
      </w:r>
      <w:r w:rsidRPr="00491A9E">
        <w:rPr>
          <w:rFonts w:ascii="Arial" w:eastAsiaTheme="minorEastAsia" w:hAnsi="Arial" w:cs="Arial"/>
          <w:b/>
          <w:color w:val="000000" w:themeColor="text1"/>
          <w:sz w:val="24"/>
          <w:szCs w:val="24"/>
          <w:lang w:eastAsia="en-ZA"/>
        </w:rPr>
        <w:t>SA Sentrale Ko-op Graanmaatskappy Bpk v Shifren en Andere</w:t>
      </w:r>
      <w:r w:rsidRPr="00AB6B21">
        <w:rPr>
          <w:rStyle w:val="FootnoteReference"/>
          <w:rFonts w:ascii="Arial" w:eastAsiaTheme="minorEastAsia" w:hAnsi="Arial" w:cs="Arial"/>
          <w:color w:val="000000" w:themeColor="text1"/>
          <w:sz w:val="24"/>
          <w:szCs w:val="24"/>
          <w:lang w:eastAsia="en-ZA"/>
        </w:rPr>
        <w:footnoteReference w:id="4"/>
      </w:r>
      <w:r>
        <w:rPr>
          <w:rFonts w:ascii="Arial" w:eastAsiaTheme="minorEastAsia" w:hAnsi="Arial" w:cs="Arial"/>
          <w:b/>
          <w:color w:val="000000" w:themeColor="text1"/>
          <w:sz w:val="24"/>
          <w:szCs w:val="24"/>
          <w:lang w:eastAsia="en-ZA"/>
        </w:rPr>
        <w:t xml:space="preserve"> </w:t>
      </w:r>
      <w:r w:rsidR="007A23D3">
        <w:rPr>
          <w:rFonts w:ascii="Arial" w:eastAsiaTheme="minorEastAsia" w:hAnsi="Arial" w:cs="Arial"/>
          <w:color w:val="000000" w:themeColor="text1"/>
          <w:sz w:val="24"/>
          <w:szCs w:val="24"/>
          <w:lang w:eastAsia="en-ZA"/>
        </w:rPr>
        <w:t>favoured</w:t>
      </w:r>
      <w:r>
        <w:rPr>
          <w:rFonts w:ascii="Arial" w:eastAsiaTheme="minorEastAsia" w:hAnsi="Arial" w:cs="Arial"/>
          <w:color w:val="000000" w:themeColor="text1"/>
          <w:sz w:val="24"/>
          <w:szCs w:val="24"/>
          <w:lang w:eastAsia="en-ZA"/>
        </w:rPr>
        <w:t xml:space="preserve"> the </w:t>
      </w:r>
      <w:r w:rsidR="007A23D3">
        <w:rPr>
          <w:rFonts w:ascii="Arial" w:eastAsiaTheme="minorEastAsia" w:hAnsi="Arial" w:cs="Arial"/>
          <w:color w:val="000000" w:themeColor="text1"/>
          <w:sz w:val="24"/>
          <w:szCs w:val="24"/>
          <w:lang w:eastAsia="en-ZA"/>
        </w:rPr>
        <w:t>position</w:t>
      </w:r>
      <w:r>
        <w:rPr>
          <w:rFonts w:ascii="Arial" w:eastAsiaTheme="minorEastAsia" w:hAnsi="Arial" w:cs="Arial"/>
          <w:color w:val="000000" w:themeColor="text1"/>
          <w:sz w:val="24"/>
          <w:szCs w:val="24"/>
          <w:lang w:eastAsia="en-ZA"/>
        </w:rPr>
        <w:t xml:space="preserve"> where  the original contract must be respected and a subsequent agreement</w:t>
      </w:r>
      <w:r w:rsidR="007A23D3">
        <w:rPr>
          <w:rFonts w:ascii="Arial" w:eastAsiaTheme="minorEastAsia" w:hAnsi="Arial" w:cs="Arial"/>
          <w:color w:val="000000" w:themeColor="text1"/>
          <w:sz w:val="24"/>
          <w:szCs w:val="24"/>
          <w:lang w:eastAsia="en-ZA"/>
        </w:rPr>
        <w:t>,</w:t>
      </w:r>
      <w:r>
        <w:rPr>
          <w:rFonts w:ascii="Arial" w:eastAsiaTheme="minorEastAsia" w:hAnsi="Arial" w:cs="Arial"/>
          <w:color w:val="000000" w:themeColor="text1"/>
          <w:sz w:val="24"/>
          <w:szCs w:val="24"/>
          <w:lang w:eastAsia="en-ZA"/>
        </w:rPr>
        <w:t xml:space="preserve"> that is not in writing</w:t>
      </w:r>
      <w:r w:rsidR="007A23D3">
        <w:rPr>
          <w:rFonts w:ascii="Arial" w:eastAsiaTheme="minorEastAsia" w:hAnsi="Arial" w:cs="Arial"/>
          <w:color w:val="000000" w:themeColor="text1"/>
          <w:sz w:val="24"/>
          <w:szCs w:val="24"/>
          <w:lang w:eastAsia="en-ZA"/>
        </w:rPr>
        <w:t>,</w:t>
      </w:r>
      <w:r>
        <w:rPr>
          <w:rFonts w:ascii="Arial" w:eastAsiaTheme="minorEastAsia" w:hAnsi="Arial" w:cs="Arial"/>
          <w:color w:val="000000" w:themeColor="text1"/>
          <w:sz w:val="24"/>
          <w:szCs w:val="24"/>
          <w:lang w:eastAsia="en-ZA"/>
        </w:rPr>
        <w:t xml:space="preserve"> must be ignored. An attempt to agree informally on a topic covered by a non-variation clause, including cancellation and an extension of time for payment, or to vary informally a contract containing a non-variation clause must therefore fail.</w:t>
      </w:r>
    </w:p>
    <w:p w:rsidR="00C94D47" w:rsidRDefault="00C94D47" w:rsidP="00F00975">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521CD9" w:rsidRDefault="00C94D47" w:rsidP="00C94D47">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eastAsiaTheme="minorEastAsia" w:hAnsi="Arial" w:cs="Arial"/>
          <w:color w:val="000000" w:themeColor="text1"/>
          <w:sz w:val="24"/>
          <w:szCs w:val="24"/>
          <w:lang w:eastAsia="en-ZA"/>
        </w:rPr>
        <w:t>[3</w:t>
      </w:r>
      <w:r w:rsidR="00E33B3D">
        <w:rPr>
          <w:rFonts w:ascii="Arial" w:eastAsiaTheme="minorEastAsia" w:hAnsi="Arial" w:cs="Arial"/>
          <w:color w:val="000000" w:themeColor="text1"/>
          <w:sz w:val="24"/>
          <w:szCs w:val="24"/>
          <w:lang w:eastAsia="en-ZA"/>
        </w:rPr>
        <w:t>6</w:t>
      </w:r>
      <w:r>
        <w:rPr>
          <w:rFonts w:ascii="Arial" w:eastAsiaTheme="minorEastAsia" w:hAnsi="Arial" w:cs="Arial"/>
          <w:color w:val="000000" w:themeColor="text1"/>
          <w:sz w:val="24"/>
          <w:szCs w:val="24"/>
          <w:lang w:eastAsia="en-ZA"/>
        </w:rPr>
        <w:t>]</w:t>
      </w:r>
      <w:r>
        <w:rPr>
          <w:rFonts w:ascii="Arial" w:eastAsiaTheme="minorEastAsia" w:hAnsi="Arial" w:cs="Arial"/>
          <w:color w:val="000000" w:themeColor="text1"/>
          <w:sz w:val="24"/>
          <w:szCs w:val="24"/>
          <w:lang w:eastAsia="en-ZA"/>
        </w:rPr>
        <w:tab/>
        <w:t xml:space="preserve">The Shifren principle certainly has its worth. It has thus been consistently reaffirmed by </w:t>
      </w:r>
      <w:r w:rsidR="007A23D3">
        <w:rPr>
          <w:rFonts w:ascii="Arial" w:eastAsiaTheme="minorEastAsia" w:hAnsi="Arial" w:cs="Arial"/>
          <w:color w:val="000000" w:themeColor="text1"/>
          <w:sz w:val="24"/>
          <w:szCs w:val="24"/>
          <w:lang w:eastAsia="en-ZA"/>
        </w:rPr>
        <w:t>the</w:t>
      </w:r>
      <w:r>
        <w:rPr>
          <w:rFonts w:ascii="Arial" w:eastAsiaTheme="minorEastAsia" w:hAnsi="Arial" w:cs="Arial"/>
          <w:color w:val="000000" w:themeColor="text1"/>
          <w:sz w:val="24"/>
          <w:szCs w:val="24"/>
          <w:lang w:eastAsia="en-ZA"/>
        </w:rPr>
        <w:t xml:space="preserve"> courts.</w:t>
      </w:r>
      <w:r w:rsidR="00521CD9">
        <w:rPr>
          <w:rFonts w:ascii="Arial" w:eastAsiaTheme="minorEastAsia" w:hAnsi="Arial" w:cs="Arial"/>
          <w:color w:val="000000" w:themeColor="text1"/>
          <w:sz w:val="24"/>
          <w:szCs w:val="24"/>
          <w:lang w:eastAsia="en-ZA"/>
        </w:rPr>
        <w:t xml:space="preserve"> However, the Shifren principle remains controversial. This is because in practice, its application frequently leads to harsh and </w:t>
      </w:r>
      <w:r w:rsidR="002C0F0F">
        <w:rPr>
          <w:rFonts w:ascii="Arial" w:eastAsiaTheme="minorEastAsia" w:hAnsi="Arial" w:cs="Arial"/>
          <w:color w:val="000000" w:themeColor="text1"/>
          <w:sz w:val="24"/>
          <w:szCs w:val="24"/>
          <w:lang w:eastAsia="en-ZA"/>
        </w:rPr>
        <w:t>unfair</w:t>
      </w:r>
      <w:r w:rsidR="00521CD9">
        <w:rPr>
          <w:rFonts w:ascii="Arial" w:eastAsiaTheme="minorEastAsia" w:hAnsi="Arial" w:cs="Arial"/>
          <w:color w:val="000000" w:themeColor="text1"/>
          <w:sz w:val="24"/>
          <w:szCs w:val="24"/>
          <w:lang w:eastAsia="en-ZA"/>
        </w:rPr>
        <w:t xml:space="preserve"> results as it allows a </w:t>
      </w:r>
      <w:r w:rsidR="00521CD9">
        <w:rPr>
          <w:rFonts w:ascii="Arial" w:eastAsiaTheme="minorEastAsia" w:hAnsi="Arial" w:cs="Arial"/>
          <w:color w:val="000000" w:themeColor="text1"/>
          <w:sz w:val="24"/>
          <w:szCs w:val="24"/>
          <w:lang w:eastAsia="en-ZA"/>
        </w:rPr>
        <w:lastRenderedPageBreak/>
        <w:t xml:space="preserve">party to go back on his or her word, notwithstanding the other party’s good faith reliance upon it. </w:t>
      </w:r>
      <w:r w:rsidR="00330126">
        <w:rPr>
          <w:rFonts w:ascii="Arial" w:eastAsiaTheme="minorEastAsia" w:hAnsi="Arial" w:cs="Arial"/>
          <w:color w:val="000000" w:themeColor="text1"/>
          <w:sz w:val="24"/>
          <w:szCs w:val="24"/>
          <w:lang w:eastAsia="en-ZA"/>
        </w:rPr>
        <w:t>The Supreme Court of Appeal introduced a proviso that</w:t>
      </w:r>
      <w:r w:rsidR="00FF581B">
        <w:rPr>
          <w:rFonts w:ascii="Arial" w:eastAsiaTheme="minorEastAsia" w:hAnsi="Arial" w:cs="Arial"/>
          <w:color w:val="000000" w:themeColor="text1"/>
          <w:sz w:val="24"/>
          <w:szCs w:val="24"/>
          <w:lang w:eastAsia="en-ZA"/>
        </w:rPr>
        <w:t>,</w:t>
      </w:r>
      <w:r w:rsidR="00330126">
        <w:rPr>
          <w:rFonts w:ascii="Arial" w:eastAsiaTheme="minorEastAsia" w:hAnsi="Arial" w:cs="Arial"/>
          <w:color w:val="000000" w:themeColor="text1"/>
          <w:sz w:val="24"/>
          <w:szCs w:val="24"/>
          <w:lang w:eastAsia="en-ZA"/>
        </w:rPr>
        <w:t xml:space="preserve"> b</w:t>
      </w:r>
      <w:r>
        <w:rPr>
          <w:rFonts w:ascii="Arial" w:eastAsiaTheme="minorEastAsia" w:hAnsi="Arial" w:cs="Arial"/>
          <w:color w:val="000000" w:themeColor="text1"/>
          <w:sz w:val="24"/>
          <w:szCs w:val="24"/>
          <w:lang w:eastAsia="en-ZA"/>
        </w:rPr>
        <w:t>ecause a non-variation clause curtails common law freedom to contract</w:t>
      </w:r>
      <w:r w:rsidR="00FF581B">
        <w:rPr>
          <w:rFonts w:ascii="Arial" w:eastAsiaTheme="minorEastAsia" w:hAnsi="Arial" w:cs="Arial"/>
          <w:color w:val="000000" w:themeColor="text1"/>
          <w:sz w:val="24"/>
          <w:szCs w:val="24"/>
          <w:lang w:eastAsia="en-ZA"/>
        </w:rPr>
        <w:t>,</w:t>
      </w:r>
      <w:r>
        <w:rPr>
          <w:rFonts w:ascii="Arial" w:eastAsiaTheme="minorEastAsia" w:hAnsi="Arial" w:cs="Arial"/>
          <w:color w:val="000000" w:themeColor="text1"/>
          <w:sz w:val="24"/>
          <w:szCs w:val="24"/>
          <w:lang w:eastAsia="en-ZA"/>
        </w:rPr>
        <w:t xml:space="preserve"> it must be restrictively interpreted.</w:t>
      </w:r>
      <w:r>
        <w:rPr>
          <w:rStyle w:val="FootnoteReference"/>
          <w:rFonts w:ascii="Arial" w:eastAsiaTheme="minorEastAsia" w:hAnsi="Arial" w:cs="Arial"/>
          <w:color w:val="000000" w:themeColor="text1"/>
          <w:sz w:val="24"/>
          <w:szCs w:val="24"/>
          <w:lang w:eastAsia="en-ZA"/>
        </w:rPr>
        <w:footnoteReference w:id="5"/>
      </w:r>
      <w:r>
        <w:rPr>
          <w:rFonts w:ascii="Arial" w:eastAsiaTheme="minorEastAsia" w:hAnsi="Arial" w:cs="Arial"/>
          <w:color w:val="000000" w:themeColor="text1"/>
          <w:sz w:val="24"/>
          <w:szCs w:val="24"/>
          <w:lang w:eastAsia="en-ZA"/>
        </w:rPr>
        <w:t xml:space="preserve"> </w:t>
      </w:r>
    </w:p>
    <w:p w:rsidR="00330126" w:rsidRDefault="00330126" w:rsidP="00C94D47">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C82DBA" w:rsidRDefault="00521CD9" w:rsidP="00C94D47">
      <w:pPr>
        <w:widowControl w:val="0"/>
        <w:kinsoku w:val="0"/>
        <w:overflowPunct w:val="0"/>
        <w:autoSpaceDE w:val="0"/>
        <w:autoSpaceDN w:val="0"/>
        <w:adjustRightInd w:val="0"/>
        <w:spacing w:after="0" w:line="360" w:lineRule="auto"/>
        <w:ind w:left="851" w:hanging="851"/>
        <w:jc w:val="both"/>
        <w:rPr>
          <w:rFonts w:ascii="Arial" w:hAnsi="Arial" w:cs="Arial"/>
          <w:sz w:val="24"/>
          <w:szCs w:val="24"/>
          <w:lang w:val="en-GB"/>
        </w:rPr>
      </w:pPr>
      <w:r>
        <w:rPr>
          <w:rFonts w:ascii="Arial" w:eastAsiaTheme="minorEastAsia" w:hAnsi="Arial" w:cs="Arial"/>
          <w:color w:val="000000" w:themeColor="text1"/>
          <w:sz w:val="24"/>
          <w:szCs w:val="24"/>
          <w:lang w:eastAsia="en-ZA"/>
        </w:rPr>
        <w:t>[</w:t>
      </w:r>
      <w:r w:rsidR="00330126">
        <w:rPr>
          <w:rFonts w:ascii="Arial" w:eastAsiaTheme="minorEastAsia" w:hAnsi="Arial" w:cs="Arial"/>
          <w:color w:val="000000" w:themeColor="text1"/>
          <w:sz w:val="24"/>
          <w:szCs w:val="24"/>
          <w:lang w:eastAsia="en-ZA"/>
        </w:rPr>
        <w:t>37]</w:t>
      </w:r>
      <w:r w:rsidR="00330126">
        <w:rPr>
          <w:rFonts w:ascii="Arial" w:eastAsiaTheme="minorEastAsia" w:hAnsi="Arial" w:cs="Arial"/>
          <w:color w:val="000000" w:themeColor="text1"/>
          <w:sz w:val="24"/>
          <w:szCs w:val="24"/>
          <w:lang w:eastAsia="en-ZA"/>
        </w:rPr>
        <w:tab/>
      </w:r>
      <w:r w:rsidR="00C94D47" w:rsidRPr="00E3098E">
        <w:rPr>
          <w:rFonts w:ascii="Arial" w:hAnsi="Arial" w:cs="Arial"/>
          <w:sz w:val="24"/>
          <w:szCs w:val="24"/>
          <w:lang w:val="en-GB"/>
        </w:rPr>
        <w:t xml:space="preserve">In </w:t>
      </w:r>
      <w:r w:rsidR="00C94D47" w:rsidRPr="00E3098E">
        <w:rPr>
          <w:rFonts w:ascii="Arial" w:hAnsi="Arial" w:cs="Arial"/>
          <w:b/>
          <w:iCs/>
          <w:sz w:val="24"/>
          <w:szCs w:val="24"/>
          <w:lang w:val="en-GB"/>
        </w:rPr>
        <w:t>Brisley v Drotsky</w:t>
      </w:r>
      <w:r w:rsidR="00C94D47">
        <w:rPr>
          <w:rStyle w:val="FootnoteReference"/>
          <w:rFonts w:ascii="Arial" w:hAnsi="Arial" w:cs="Arial"/>
          <w:b/>
          <w:iCs/>
          <w:sz w:val="24"/>
          <w:szCs w:val="24"/>
          <w:lang w:val="en-GB"/>
        </w:rPr>
        <w:footnoteReference w:id="6"/>
      </w:r>
      <w:r w:rsidR="00C94D47" w:rsidRPr="00E3098E">
        <w:rPr>
          <w:rFonts w:ascii="Arial" w:hAnsi="Arial" w:cs="Arial"/>
          <w:sz w:val="24"/>
          <w:szCs w:val="24"/>
          <w:lang w:val="en-GB"/>
        </w:rPr>
        <w:t>,</w:t>
      </w:r>
      <w:r w:rsidR="00C94D47">
        <w:rPr>
          <w:rFonts w:ascii="Arial" w:hAnsi="Arial" w:cs="Arial"/>
          <w:sz w:val="24"/>
          <w:szCs w:val="24"/>
          <w:lang w:val="en-GB"/>
        </w:rPr>
        <w:t xml:space="preserve">  the </w:t>
      </w:r>
      <w:r w:rsidR="007E452E">
        <w:rPr>
          <w:rFonts w:ascii="Arial" w:hAnsi="Arial" w:cs="Arial"/>
          <w:sz w:val="24"/>
          <w:szCs w:val="24"/>
          <w:lang w:val="en-GB"/>
        </w:rPr>
        <w:t>Supreme Court of Appeal</w:t>
      </w:r>
      <w:r w:rsidR="00C94D47" w:rsidRPr="00E3098E">
        <w:rPr>
          <w:rFonts w:ascii="Arial" w:hAnsi="Arial" w:cs="Arial"/>
          <w:sz w:val="24"/>
          <w:szCs w:val="24"/>
          <w:lang w:val="en-GB"/>
        </w:rPr>
        <w:t xml:space="preserve"> </w:t>
      </w:r>
      <w:r w:rsidR="00330126">
        <w:rPr>
          <w:rFonts w:ascii="Arial" w:hAnsi="Arial" w:cs="Arial"/>
          <w:sz w:val="24"/>
          <w:szCs w:val="24"/>
          <w:lang w:val="en-GB"/>
        </w:rPr>
        <w:t>had to consider the question how the courts ought best to mitigate the Shifren principle’s frequently inequitable effects.</w:t>
      </w:r>
      <w:r w:rsidR="002C0F0F">
        <w:rPr>
          <w:rFonts w:ascii="Arial" w:hAnsi="Arial" w:cs="Arial"/>
          <w:sz w:val="24"/>
          <w:szCs w:val="24"/>
          <w:lang w:val="en-GB"/>
        </w:rPr>
        <w:t xml:space="preserve"> </w:t>
      </w:r>
      <w:r w:rsidR="00330126">
        <w:rPr>
          <w:rFonts w:ascii="Arial" w:hAnsi="Arial" w:cs="Arial"/>
          <w:sz w:val="24"/>
          <w:szCs w:val="24"/>
          <w:lang w:val="en-GB"/>
        </w:rPr>
        <w:t xml:space="preserve"> </w:t>
      </w:r>
      <w:r w:rsidR="00F80567">
        <w:rPr>
          <w:rFonts w:ascii="Arial" w:hAnsi="Arial" w:cs="Arial"/>
          <w:sz w:val="24"/>
          <w:szCs w:val="24"/>
          <w:lang w:val="en-GB"/>
        </w:rPr>
        <w:t>T</w:t>
      </w:r>
      <w:r w:rsidR="00330126">
        <w:rPr>
          <w:rFonts w:ascii="Arial" w:hAnsi="Arial" w:cs="Arial"/>
          <w:sz w:val="24"/>
          <w:szCs w:val="24"/>
          <w:lang w:val="en-GB"/>
        </w:rPr>
        <w:t xml:space="preserve">he majority dismissed the view of Olivier JA in </w:t>
      </w:r>
      <w:r w:rsidR="00330126" w:rsidRPr="007E452E">
        <w:rPr>
          <w:rFonts w:ascii="Arial" w:hAnsi="Arial" w:cs="Arial"/>
          <w:b/>
          <w:sz w:val="24"/>
          <w:szCs w:val="24"/>
          <w:lang w:val="en-GB"/>
        </w:rPr>
        <w:t>Eerste Nasionale Bank van Suidelike Afrika Bpk v Saayman</w:t>
      </w:r>
      <w:r w:rsidR="00330126">
        <w:rPr>
          <w:rStyle w:val="FootnoteReference"/>
          <w:rFonts w:ascii="Arial" w:hAnsi="Arial" w:cs="Arial"/>
          <w:b/>
          <w:sz w:val="24"/>
          <w:szCs w:val="24"/>
          <w:lang w:val="en-GB"/>
        </w:rPr>
        <w:footnoteReference w:id="7"/>
      </w:r>
      <w:r w:rsidR="00330126" w:rsidRPr="00E3098E">
        <w:rPr>
          <w:rFonts w:ascii="Arial" w:hAnsi="Arial" w:cs="Arial"/>
          <w:sz w:val="24"/>
          <w:szCs w:val="24"/>
          <w:lang w:val="en-GB"/>
        </w:rPr>
        <w:t xml:space="preserve"> </w:t>
      </w:r>
      <w:r w:rsidR="00330126">
        <w:rPr>
          <w:rFonts w:ascii="Arial" w:hAnsi="Arial" w:cs="Arial"/>
          <w:sz w:val="24"/>
          <w:szCs w:val="24"/>
          <w:lang w:val="en-GB"/>
        </w:rPr>
        <w:t xml:space="preserve"> to develop the concept of good faith in the law of contract and held that the lack of good faith could not be accepted as an independent basis for setting aside or not enforcing contractual provisions. However, through the separate concurring judgment of Cameron JA</w:t>
      </w:r>
      <w:r w:rsidR="00F80567">
        <w:rPr>
          <w:rFonts w:ascii="Arial" w:hAnsi="Arial" w:cs="Arial"/>
          <w:sz w:val="24"/>
          <w:szCs w:val="24"/>
          <w:lang w:val="en-GB"/>
        </w:rPr>
        <w:t xml:space="preserve"> (as he then was)</w:t>
      </w:r>
      <w:r w:rsidR="00330126">
        <w:rPr>
          <w:rFonts w:ascii="Arial" w:hAnsi="Arial" w:cs="Arial"/>
          <w:sz w:val="24"/>
          <w:szCs w:val="24"/>
          <w:lang w:val="en-GB"/>
        </w:rPr>
        <w:t>, the door was opened to the possibility of loosening the “Shifren shackle”</w:t>
      </w:r>
      <w:r w:rsidR="00330126">
        <w:rPr>
          <w:rStyle w:val="FootnoteReference"/>
          <w:rFonts w:ascii="Arial" w:hAnsi="Arial" w:cs="Arial"/>
          <w:sz w:val="24"/>
          <w:szCs w:val="24"/>
          <w:lang w:val="en-GB"/>
        </w:rPr>
        <w:footnoteReference w:id="8"/>
      </w:r>
      <w:r w:rsidR="00330126">
        <w:rPr>
          <w:rFonts w:ascii="Arial" w:hAnsi="Arial" w:cs="Arial"/>
          <w:sz w:val="24"/>
          <w:szCs w:val="24"/>
          <w:lang w:val="en-GB"/>
        </w:rPr>
        <w:t>.</w:t>
      </w:r>
    </w:p>
    <w:p w:rsidR="00330126" w:rsidRDefault="00330126" w:rsidP="00C94D47">
      <w:pPr>
        <w:widowControl w:val="0"/>
        <w:kinsoku w:val="0"/>
        <w:overflowPunct w:val="0"/>
        <w:autoSpaceDE w:val="0"/>
        <w:autoSpaceDN w:val="0"/>
        <w:adjustRightInd w:val="0"/>
        <w:spacing w:after="0" w:line="360" w:lineRule="auto"/>
        <w:ind w:left="851" w:hanging="851"/>
        <w:jc w:val="both"/>
        <w:rPr>
          <w:rFonts w:ascii="Arial" w:hAnsi="Arial" w:cs="Arial"/>
          <w:sz w:val="24"/>
          <w:szCs w:val="24"/>
          <w:lang w:val="en-GB"/>
        </w:rPr>
      </w:pPr>
    </w:p>
    <w:p w:rsidR="00C82DBA" w:rsidRDefault="00C82DBA" w:rsidP="00C94D47">
      <w:pPr>
        <w:widowControl w:val="0"/>
        <w:kinsoku w:val="0"/>
        <w:overflowPunct w:val="0"/>
        <w:autoSpaceDE w:val="0"/>
        <w:autoSpaceDN w:val="0"/>
        <w:adjustRightInd w:val="0"/>
        <w:spacing w:after="0" w:line="360" w:lineRule="auto"/>
        <w:ind w:left="851" w:hanging="851"/>
        <w:jc w:val="both"/>
        <w:rPr>
          <w:rFonts w:ascii="Arial" w:hAnsi="Arial" w:cs="Arial"/>
          <w:sz w:val="24"/>
          <w:szCs w:val="24"/>
          <w:lang w:val="en-GB"/>
        </w:rPr>
      </w:pPr>
      <w:r>
        <w:rPr>
          <w:rFonts w:ascii="Arial" w:hAnsi="Arial" w:cs="Arial"/>
          <w:sz w:val="24"/>
          <w:szCs w:val="24"/>
          <w:lang w:val="en-GB"/>
        </w:rPr>
        <w:t>[3</w:t>
      </w:r>
      <w:r w:rsidR="00330126">
        <w:rPr>
          <w:rFonts w:ascii="Arial" w:hAnsi="Arial" w:cs="Arial"/>
          <w:sz w:val="24"/>
          <w:szCs w:val="24"/>
          <w:lang w:val="en-GB"/>
        </w:rPr>
        <w:t>8</w:t>
      </w:r>
      <w:r>
        <w:rPr>
          <w:rFonts w:ascii="Arial" w:hAnsi="Arial" w:cs="Arial"/>
          <w:sz w:val="24"/>
          <w:szCs w:val="24"/>
          <w:lang w:val="en-GB"/>
        </w:rPr>
        <w:t>]</w:t>
      </w:r>
      <w:r>
        <w:rPr>
          <w:rFonts w:ascii="Arial" w:hAnsi="Arial" w:cs="Arial"/>
          <w:sz w:val="24"/>
          <w:szCs w:val="24"/>
          <w:lang w:val="en-GB"/>
        </w:rPr>
        <w:tab/>
        <w:t xml:space="preserve">In </w:t>
      </w:r>
      <w:r w:rsidRPr="00FD4BFA">
        <w:rPr>
          <w:rFonts w:ascii="Arial" w:hAnsi="Arial" w:cs="Arial"/>
          <w:b/>
          <w:sz w:val="24"/>
          <w:szCs w:val="24"/>
          <w:lang w:val="en-GB"/>
        </w:rPr>
        <w:t>South African Forestry Co Ltd v York Timbers Ltd</w:t>
      </w:r>
      <w:r>
        <w:rPr>
          <w:rStyle w:val="FootnoteReference"/>
          <w:rFonts w:ascii="Arial" w:hAnsi="Arial" w:cs="Arial"/>
          <w:sz w:val="24"/>
          <w:szCs w:val="24"/>
          <w:lang w:val="en-GB"/>
        </w:rPr>
        <w:footnoteReference w:id="9"/>
      </w:r>
      <w:r w:rsidR="00FD4BFA">
        <w:rPr>
          <w:rFonts w:ascii="Arial" w:hAnsi="Arial" w:cs="Arial"/>
          <w:b/>
          <w:sz w:val="24"/>
          <w:szCs w:val="24"/>
          <w:lang w:val="en-GB"/>
        </w:rPr>
        <w:t xml:space="preserve"> </w:t>
      </w:r>
      <w:r w:rsidR="00FD4BFA" w:rsidRPr="00FD4BFA">
        <w:rPr>
          <w:rFonts w:ascii="Arial" w:hAnsi="Arial" w:cs="Arial"/>
          <w:sz w:val="24"/>
          <w:szCs w:val="24"/>
          <w:lang w:val="en-GB"/>
        </w:rPr>
        <w:t>Brand JA,</w:t>
      </w:r>
      <w:r w:rsidR="00FD4BFA">
        <w:rPr>
          <w:rFonts w:ascii="Arial" w:hAnsi="Arial" w:cs="Arial"/>
          <w:sz w:val="24"/>
          <w:szCs w:val="24"/>
          <w:lang w:val="en-GB"/>
        </w:rPr>
        <w:t xml:space="preserve"> with reference to </w:t>
      </w:r>
      <w:r w:rsidR="00FD4BFA" w:rsidRPr="00FD4BFA">
        <w:rPr>
          <w:rFonts w:ascii="Arial" w:hAnsi="Arial" w:cs="Arial"/>
          <w:b/>
          <w:sz w:val="24"/>
          <w:szCs w:val="24"/>
          <w:lang w:val="en-GB"/>
        </w:rPr>
        <w:t>Brisley v Drotsky</w:t>
      </w:r>
      <w:r w:rsidR="00FD4BFA">
        <w:rPr>
          <w:rFonts w:ascii="Arial" w:hAnsi="Arial" w:cs="Arial"/>
          <w:sz w:val="24"/>
          <w:szCs w:val="24"/>
          <w:lang w:val="en-GB"/>
        </w:rPr>
        <w:t xml:space="preserve"> and </w:t>
      </w:r>
      <w:r w:rsidR="00FD4BFA" w:rsidRPr="00FD4BFA">
        <w:rPr>
          <w:rFonts w:ascii="Arial" w:hAnsi="Arial" w:cs="Arial"/>
          <w:b/>
          <w:sz w:val="24"/>
          <w:szCs w:val="24"/>
          <w:lang w:val="en-GB"/>
        </w:rPr>
        <w:t>Afrox Healthcare Bpk v Strydom</w:t>
      </w:r>
      <w:r w:rsidR="00FD4BFA">
        <w:rPr>
          <w:rStyle w:val="FootnoteReference"/>
          <w:rFonts w:ascii="Arial" w:hAnsi="Arial" w:cs="Arial"/>
          <w:sz w:val="24"/>
          <w:szCs w:val="24"/>
          <w:lang w:val="en-GB"/>
        </w:rPr>
        <w:footnoteReference w:id="10"/>
      </w:r>
      <w:r w:rsidR="00FD4BFA">
        <w:rPr>
          <w:rFonts w:ascii="Arial" w:hAnsi="Arial" w:cs="Arial"/>
          <w:sz w:val="24"/>
          <w:szCs w:val="24"/>
          <w:lang w:val="en-GB"/>
        </w:rPr>
        <w:t xml:space="preserve"> held as follows:</w:t>
      </w:r>
    </w:p>
    <w:p w:rsidR="00FD4BFA" w:rsidRDefault="00FD4BFA" w:rsidP="00FD4BFA">
      <w:pPr>
        <w:widowControl w:val="0"/>
        <w:kinsoku w:val="0"/>
        <w:overflowPunct w:val="0"/>
        <w:autoSpaceDE w:val="0"/>
        <w:autoSpaceDN w:val="0"/>
        <w:adjustRightInd w:val="0"/>
        <w:spacing w:after="0" w:line="360" w:lineRule="auto"/>
        <w:ind w:left="1418" w:right="582" w:hanging="1418"/>
        <w:jc w:val="both"/>
        <w:rPr>
          <w:rFonts w:ascii="Arial" w:hAnsi="Arial" w:cs="Arial"/>
          <w:sz w:val="24"/>
          <w:szCs w:val="24"/>
          <w:lang w:val="en-GB"/>
        </w:rPr>
      </w:pPr>
      <w:r>
        <w:rPr>
          <w:rFonts w:ascii="Arial" w:hAnsi="Arial" w:cs="Arial"/>
          <w:sz w:val="24"/>
          <w:szCs w:val="24"/>
          <w:lang w:val="en-GB"/>
        </w:rPr>
        <w:tab/>
        <w:t>“</w:t>
      </w:r>
      <w:r w:rsidRPr="00FD4BFA">
        <w:rPr>
          <w:rFonts w:ascii="Arial" w:hAnsi="Arial" w:cs="Arial"/>
          <w:sz w:val="20"/>
          <w:szCs w:val="20"/>
          <w:lang w:val="en-GB"/>
        </w:rPr>
        <w:t xml:space="preserve">In addition, it was held in </w:t>
      </w:r>
      <w:r w:rsidRPr="00FD4BFA">
        <w:rPr>
          <w:rFonts w:ascii="Arial" w:hAnsi="Arial" w:cs="Arial"/>
          <w:i/>
          <w:sz w:val="20"/>
          <w:szCs w:val="20"/>
          <w:lang w:val="en-GB"/>
        </w:rPr>
        <w:t>Brisley</w:t>
      </w:r>
      <w:r w:rsidRPr="00FD4BFA">
        <w:rPr>
          <w:rFonts w:ascii="Arial" w:hAnsi="Arial" w:cs="Arial"/>
          <w:sz w:val="20"/>
          <w:szCs w:val="20"/>
          <w:lang w:val="en-GB"/>
        </w:rPr>
        <w:t xml:space="preserve"> and </w:t>
      </w:r>
      <w:r w:rsidRPr="00FD4BFA">
        <w:rPr>
          <w:rFonts w:ascii="Arial" w:hAnsi="Arial" w:cs="Arial"/>
          <w:i/>
          <w:sz w:val="20"/>
          <w:szCs w:val="20"/>
          <w:lang w:val="en-GB"/>
        </w:rPr>
        <w:t>Afrox Healthcare</w:t>
      </w:r>
      <w:r w:rsidRPr="00FD4BFA">
        <w:rPr>
          <w:rFonts w:ascii="Arial" w:hAnsi="Arial" w:cs="Arial"/>
          <w:sz w:val="20"/>
          <w:szCs w:val="20"/>
          <w:lang w:val="en-GB"/>
        </w:rPr>
        <w:t xml:space="preserve"> that – within the protective limit of public policy that the courts have carefully developed, and consequent judicial control of contractual performance and enforcement – constitutional values such as dignity, equality and freedom require that courts approach their task of striking down or declining to enforce contracts that parties have freely concluded, with perceptive restraint</w:t>
      </w:r>
      <w:r>
        <w:rPr>
          <w:rFonts w:ascii="Arial" w:hAnsi="Arial" w:cs="Arial"/>
          <w:sz w:val="24"/>
          <w:szCs w:val="24"/>
          <w:lang w:val="en-GB"/>
        </w:rPr>
        <w:t>”</w:t>
      </w:r>
      <w:r w:rsidR="00EF6862">
        <w:rPr>
          <w:rFonts w:ascii="Arial" w:hAnsi="Arial" w:cs="Arial"/>
          <w:sz w:val="24"/>
          <w:szCs w:val="24"/>
          <w:lang w:val="en-GB"/>
        </w:rPr>
        <w:t>.</w:t>
      </w:r>
      <w:r w:rsidR="00D524D9">
        <w:rPr>
          <w:rStyle w:val="FootnoteReference"/>
          <w:rFonts w:ascii="Arial" w:hAnsi="Arial" w:cs="Arial"/>
          <w:sz w:val="24"/>
          <w:szCs w:val="24"/>
          <w:lang w:val="en-GB"/>
        </w:rPr>
        <w:footnoteReference w:id="11"/>
      </w:r>
    </w:p>
    <w:p w:rsidR="00EF6862" w:rsidRDefault="00EF6862" w:rsidP="00EF6862">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lang w:val="en-GB"/>
        </w:rPr>
      </w:pPr>
      <w:r>
        <w:rPr>
          <w:rFonts w:ascii="Arial" w:hAnsi="Arial" w:cs="Arial"/>
          <w:sz w:val="24"/>
          <w:szCs w:val="24"/>
          <w:lang w:val="en-GB"/>
        </w:rPr>
        <w:tab/>
        <w:t xml:space="preserve">Cameron JA predicted that the appropriate tool to mitigate potential hardship caused by the Shifren principle would be the age-old doctrine of public policy. He formulated this prediction as follows in </w:t>
      </w:r>
      <w:r w:rsidRPr="00EF6862">
        <w:rPr>
          <w:rFonts w:ascii="Arial" w:hAnsi="Arial" w:cs="Arial"/>
          <w:b/>
          <w:sz w:val="24"/>
          <w:szCs w:val="24"/>
          <w:lang w:val="en-GB"/>
        </w:rPr>
        <w:t>Brisley v Drotsky</w:t>
      </w:r>
      <w:r>
        <w:rPr>
          <w:rFonts w:ascii="Arial" w:hAnsi="Arial" w:cs="Arial"/>
          <w:sz w:val="24"/>
          <w:szCs w:val="24"/>
          <w:lang w:val="en-GB"/>
        </w:rPr>
        <w:t>:</w:t>
      </w:r>
    </w:p>
    <w:p w:rsidR="00EF6862" w:rsidRDefault="00EF6862" w:rsidP="00F80567">
      <w:pPr>
        <w:widowControl w:val="0"/>
        <w:kinsoku w:val="0"/>
        <w:overflowPunct w:val="0"/>
        <w:autoSpaceDE w:val="0"/>
        <w:autoSpaceDN w:val="0"/>
        <w:adjustRightInd w:val="0"/>
        <w:spacing w:after="0" w:line="360" w:lineRule="auto"/>
        <w:ind w:left="851" w:right="582" w:hanging="851"/>
        <w:jc w:val="both"/>
        <w:rPr>
          <w:rFonts w:ascii="Arial" w:hAnsi="Arial" w:cs="Arial"/>
          <w:sz w:val="20"/>
          <w:szCs w:val="20"/>
          <w:lang w:val="en-GB"/>
        </w:rPr>
      </w:pPr>
      <w:r>
        <w:rPr>
          <w:rFonts w:ascii="Arial" w:hAnsi="Arial" w:cs="Arial"/>
          <w:sz w:val="24"/>
          <w:szCs w:val="24"/>
          <w:lang w:val="en-GB"/>
        </w:rPr>
        <w:tab/>
      </w:r>
      <w:r>
        <w:rPr>
          <w:rFonts w:ascii="Arial" w:hAnsi="Arial" w:cs="Arial"/>
          <w:sz w:val="24"/>
          <w:szCs w:val="24"/>
          <w:lang w:val="en-GB"/>
        </w:rPr>
        <w:tab/>
        <w:t>“</w:t>
      </w:r>
      <w:r>
        <w:rPr>
          <w:rFonts w:ascii="Arial" w:hAnsi="Arial" w:cs="Arial"/>
          <w:sz w:val="20"/>
          <w:szCs w:val="20"/>
          <w:lang w:val="en-GB"/>
        </w:rPr>
        <w:t xml:space="preserve">It is not difficult to envisage situations in which contracts that offend these fundamentals </w:t>
      </w:r>
      <w:r w:rsidR="00F80567">
        <w:rPr>
          <w:rFonts w:ascii="Arial" w:hAnsi="Arial" w:cs="Arial"/>
          <w:sz w:val="20"/>
          <w:szCs w:val="20"/>
          <w:lang w:val="en-GB"/>
        </w:rPr>
        <w:tab/>
      </w:r>
      <w:r>
        <w:rPr>
          <w:rFonts w:ascii="Arial" w:hAnsi="Arial" w:cs="Arial"/>
          <w:sz w:val="20"/>
          <w:szCs w:val="20"/>
          <w:lang w:val="en-GB"/>
        </w:rPr>
        <w:t xml:space="preserve">of our </w:t>
      </w:r>
      <w:r w:rsidR="00D524D9">
        <w:rPr>
          <w:rFonts w:ascii="Arial" w:hAnsi="Arial" w:cs="Arial"/>
          <w:sz w:val="20"/>
          <w:szCs w:val="20"/>
          <w:lang w:val="en-GB"/>
        </w:rPr>
        <w:tab/>
      </w:r>
      <w:r>
        <w:rPr>
          <w:rFonts w:ascii="Arial" w:hAnsi="Arial" w:cs="Arial"/>
          <w:sz w:val="20"/>
          <w:szCs w:val="20"/>
          <w:lang w:val="en-GB"/>
        </w:rPr>
        <w:t xml:space="preserve">new social compact will be struck down as offensive to public policy. They will be </w:t>
      </w:r>
      <w:r w:rsidR="00F80567">
        <w:rPr>
          <w:rFonts w:ascii="Arial" w:hAnsi="Arial" w:cs="Arial"/>
          <w:sz w:val="20"/>
          <w:szCs w:val="20"/>
          <w:lang w:val="en-GB"/>
        </w:rPr>
        <w:tab/>
      </w:r>
      <w:r>
        <w:rPr>
          <w:rFonts w:ascii="Arial" w:hAnsi="Arial" w:cs="Arial"/>
          <w:sz w:val="20"/>
          <w:szCs w:val="20"/>
          <w:lang w:val="en-GB"/>
        </w:rPr>
        <w:t xml:space="preserve">struck down </w:t>
      </w:r>
      <w:r w:rsidR="00FF581B">
        <w:rPr>
          <w:rFonts w:ascii="Arial" w:hAnsi="Arial" w:cs="Arial"/>
          <w:sz w:val="20"/>
          <w:szCs w:val="20"/>
          <w:lang w:val="en-GB"/>
        </w:rPr>
        <w:t xml:space="preserve"> </w:t>
      </w:r>
      <w:r>
        <w:rPr>
          <w:rFonts w:ascii="Arial" w:hAnsi="Arial" w:cs="Arial"/>
          <w:sz w:val="20"/>
          <w:szCs w:val="20"/>
          <w:lang w:val="en-GB"/>
        </w:rPr>
        <w:t xml:space="preserve">because the Constitution requires it, and the values it enshrines will guide </w:t>
      </w:r>
      <w:r w:rsidR="000237A8">
        <w:rPr>
          <w:rFonts w:ascii="Arial" w:hAnsi="Arial" w:cs="Arial"/>
          <w:sz w:val="20"/>
          <w:szCs w:val="20"/>
          <w:lang w:val="en-GB"/>
        </w:rPr>
        <w:tab/>
      </w:r>
      <w:r>
        <w:rPr>
          <w:rFonts w:ascii="Arial" w:hAnsi="Arial" w:cs="Arial"/>
          <w:sz w:val="20"/>
          <w:szCs w:val="20"/>
          <w:lang w:val="en-GB"/>
        </w:rPr>
        <w:t>the courts in doing so.”</w:t>
      </w:r>
      <w:r>
        <w:rPr>
          <w:rStyle w:val="FootnoteReference"/>
          <w:rFonts w:ascii="Arial" w:hAnsi="Arial" w:cs="Arial"/>
          <w:sz w:val="20"/>
          <w:szCs w:val="20"/>
          <w:lang w:val="en-GB"/>
        </w:rPr>
        <w:footnoteReference w:id="12"/>
      </w:r>
    </w:p>
    <w:p w:rsidR="008E4B25" w:rsidRPr="00EF6862" w:rsidRDefault="008E4B25" w:rsidP="00EF6862">
      <w:pPr>
        <w:widowControl w:val="0"/>
        <w:kinsoku w:val="0"/>
        <w:overflowPunct w:val="0"/>
        <w:autoSpaceDE w:val="0"/>
        <w:autoSpaceDN w:val="0"/>
        <w:adjustRightInd w:val="0"/>
        <w:spacing w:after="0" w:line="360" w:lineRule="auto"/>
        <w:ind w:left="851" w:right="15" w:hanging="851"/>
        <w:jc w:val="both"/>
        <w:rPr>
          <w:rFonts w:ascii="Arial" w:hAnsi="Arial" w:cs="Arial"/>
          <w:sz w:val="20"/>
          <w:szCs w:val="20"/>
          <w:lang w:val="en-GB"/>
        </w:rPr>
      </w:pPr>
    </w:p>
    <w:p w:rsidR="00976631" w:rsidRDefault="00D524D9" w:rsidP="00D524D9">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hAnsi="Arial" w:cs="Arial"/>
          <w:sz w:val="24"/>
          <w:szCs w:val="24"/>
          <w:lang w:val="en-GB"/>
        </w:rPr>
        <w:lastRenderedPageBreak/>
        <w:t>[3</w:t>
      </w:r>
      <w:r w:rsidR="008E4B25">
        <w:rPr>
          <w:rFonts w:ascii="Arial" w:hAnsi="Arial" w:cs="Arial"/>
          <w:sz w:val="24"/>
          <w:szCs w:val="24"/>
          <w:lang w:val="en-GB"/>
        </w:rPr>
        <w:t>9</w:t>
      </w:r>
      <w:r>
        <w:rPr>
          <w:rFonts w:ascii="Arial" w:hAnsi="Arial" w:cs="Arial"/>
          <w:sz w:val="24"/>
          <w:szCs w:val="24"/>
          <w:lang w:val="en-GB"/>
        </w:rPr>
        <w:t>]</w:t>
      </w:r>
      <w:r>
        <w:rPr>
          <w:rFonts w:ascii="Arial" w:hAnsi="Arial" w:cs="Arial"/>
          <w:sz w:val="24"/>
          <w:szCs w:val="24"/>
          <w:lang w:val="en-GB"/>
        </w:rPr>
        <w:tab/>
      </w:r>
      <w:r w:rsidR="00FF581B">
        <w:rPr>
          <w:rFonts w:ascii="Arial" w:eastAsiaTheme="minorEastAsia" w:hAnsi="Arial" w:cs="Arial"/>
          <w:color w:val="000000" w:themeColor="text1"/>
          <w:sz w:val="24"/>
          <w:szCs w:val="24"/>
          <w:lang w:eastAsia="en-ZA"/>
        </w:rPr>
        <w:t xml:space="preserve">In </w:t>
      </w:r>
      <w:r w:rsidR="00FF581B" w:rsidRPr="00037CB6">
        <w:rPr>
          <w:rFonts w:ascii="Arial" w:eastAsiaTheme="minorEastAsia" w:hAnsi="Arial" w:cs="Arial"/>
          <w:b/>
          <w:color w:val="000000" w:themeColor="text1"/>
          <w:sz w:val="24"/>
          <w:szCs w:val="24"/>
          <w:lang w:eastAsia="en-ZA"/>
        </w:rPr>
        <w:t>Barkhuizen v Napier</w:t>
      </w:r>
      <w:r w:rsidR="00FF581B">
        <w:rPr>
          <w:rStyle w:val="FootnoteReference"/>
          <w:rFonts w:ascii="Arial" w:eastAsiaTheme="minorEastAsia" w:hAnsi="Arial" w:cs="Arial"/>
          <w:color w:val="000000" w:themeColor="text1"/>
          <w:sz w:val="24"/>
          <w:szCs w:val="24"/>
          <w:lang w:eastAsia="en-ZA"/>
        </w:rPr>
        <w:footnoteReference w:id="13"/>
      </w:r>
      <w:r w:rsidR="00FF581B">
        <w:rPr>
          <w:rFonts w:ascii="Arial" w:eastAsiaTheme="minorEastAsia" w:hAnsi="Arial" w:cs="Arial"/>
          <w:b/>
          <w:color w:val="000000" w:themeColor="text1"/>
          <w:sz w:val="24"/>
          <w:szCs w:val="24"/>
          <w:lang w:eastAsia="en-ZA"/>
        </w:rPr>
        <w:t xml:space="preserve"> </w:t>
      </w:r>
      <w:r w:rsidR="00FF581B" w:rsidRPr="00037CB6">
        <w:rPr>
          <w:rFonts w:ascii="Arial" w:eastAsiaTheme="minorEastAsia" w:hAnsi="Arial" w:cs="Arial"/>
          <w:color w:val="000000" w:themeColor="text1"/>
          <w:sz w:val="24"/>
          <w:szCs w:val="24"/>
          <w:lang w:eastAsia="en-ZA"/>
        </w:rPr>
        <w:t>the foundations were laid as to the approach with regard to constitutional challenges to contractual terms  and to ensure that</w:t>
      </w:r>
      <w:r w:rsidR="00FF581B">
        <w:rPr>
          <w:rFonts w:ascii="Arial" w:eastAsiaTheme="minorEastAsia" w:hAnsi="Arial" w:cs="Arial"/>
          <w:color w:val="000000" w:themeColor="text1"/>
          <w:sz w:val="24"/>
          <w:szCs w:val="24"/>
          <w:lang w:eastAsia="en-ZA"/>
        </w:rPr>
        <w:t xml:space="preserve"> “</w:t>
      </w:r>
      <w:r w:rsidR="00FF581B" w:rsidRPr="00037CB6">
        <w:rPr>
          <w:rFonts w:ascii="Arial" w:eastAsiaTheme="minorEastAsia" w:hAnsi="Arial" w:cs="Arial"/>
          <w:color w:val="000000" w:themeColor="text1"/>
          <w:sz w:val="20"/>
          <w:szCs w:val="20"/>
          <w:lang w:eastAsia="en-ZA"/>
        </w:rPr>
        <w:t xml:space="preserve">… the common law, under the impulse of the values of our new constitutional order </w:t>
      </w:r>
      <w:r w:rsidR="00FF581B">
        <w:rPr>
          <w:rFonts w:ascii="Arial" w:eastAsiaTheme="minorEastAsia" w:hAnsi="Arial" w:cs="Arial"/>
          <w:color w:val="000000" w:themeColor="text1"/>
          <w:sz w:val="20"/>
          <w:szCs w:val="20"/>
          <w:lang w:eastAsia="en-ZA"/>
        </w:rPr>
        <w:t>is called upon to s</w:t>
      </w:r>
      <w:r w:rsidR="00FF581B" w:rsidRPr="00037CB6">
        <w:rPr>
          <w:rFonts w:ascii="Arial" w:eastAsiaTheme="minorEastAsia" w:hAnsi="Arial" w:cs="Arial"/>
          <w:color w:val="000000" w:themeColor="text1"/>
          <w:sz w:val="20"/>
          <w:szCs w:val="20"/>
          <w:lang w:eastAsia="en-ZA"/>
        </w:rPr>
        <w:t>houlder the burden of grappling in its own quiet and incremental manner with appropriate legal regulation to ensure basic equity in the daily dealings of ordinary people</w:t>
      </w:r>
      <w:r w:rsidR="00FF581B">
        <w:rPr>
          <w:rFonts w:ascii="Arial" w:eastAsiaTheme="minorEastAsia" w:hAnsi="Arial" w:cs="Arial"/>
          <w:color w:val="000000" w:themeColor="text1"/>
          <w:sz w:val="24"/>
          <w:szCs w:val="24"/>
          <w:lang w:eastAsia="en-ZA"/>
        </w:rPr>
        <w:t>.</w:t>
      </w:r>
      <w:r w:rsidR="00FF581B">
        <w:rPr>
          <w:rStyle w:val="FootnoteReference"/>
          <w:rFonts w:ascii="Arial" w:eastAsiaTheme="minorEastAsia" w:hAnsi="Arial" w:cs="Arial"/>
          <w:color w:val="000000" w:themeColor="text1"/>
          <w:sz w:val="24"/>
          <w:szCs w:val="24"/>
          <w:lang w:eastAsia="en-ZA"/>
        </w:rPr>
        <w:footnoteReference w:id="14"/>
      </w:r>
      <w:r w:rsidR="00FF581B">
        <w:rPr>
          <w:rFonts w:ascii="Arial" w:eastAsiaTheme="minorEastAsia" w:hAnsi="Arial" w:cs="Arial"/>
          <w:color w:val="000000" w:themeColor="text1"/>
          <w:sz w:val="24"/>
          <w:szCs w:val="24"/>
          <w:lang w:eastAsia="en-ZA"/>
        </w:rPr>
        <w:t xml:space="preserve"> Since then the courts have refused</w:t>
      </w:r>
      <w:r w:rsidR="00F80567">
        <w:rPr>
          <w:rFonts w:ascii="Arial" w:eastAsiaTheme="minorEastAsia" w:hAnsi="Arial" w:cs="Arial"/>
          <w:color w:val="000000" w:themeColor="text1"/>
          <w:sz w:val="24"/>
          <w:szCs w:val="24"/>
          <w:lang w:eastAsia="en-ZA"/>
        </w:rPr>
        <w:t xml:space="preserve"> </w:t>
      </w:r>
      <w:r w:rsidR="00FF581B">
        <w:rPr>
          <w:rFonts w:ascii="Arial" w:eastAsiaTheme="minorEastAsia" w:hAnsi="Arial" w:cs="Arial"/>
          <w:color w:val="000000" w:themeColor="text1"/>
          <w:sz w:val="24"/>
          <w:szCs w:val="24"/>
          <w:lang w:eastAsia="en-ZA"/>
        </w:rPr>
        <w:t>to enforce a non-variation clause on the basis that</w:t>
      </w:r>
      <w:r w:rsidR="009C5535">
        <w:rPr>
          <w:rFonts w:ascii="Arial" w:eastAsiaTheme="minorEastAsia" w:hAnsi="Arial" w:cs="Arial"/>
          <w:color w:val="000000" w:themeColor="text1"/>
          <w:sz w:val="24"/>
          <w:szCs w:val="24"/>
          <w:lang w:eastAsia="en-ZA"/>
        </w:rPr>
        <w:t xml:space="preserve"> enforcement of the Shifren principle  would offend public policy</w:t>
      </w:r>
      <w:r w:rsidR="000237A8">
        <w:rPr>
          <w:rFonts w:ascii="Arial" w:eastAsiaTheme="minorEastAsia" w:hAnsi="Arial" w:cs="Arial"/>
          <w:color w:val="000000" w:themeColor="text1"/>
          <w:sz w:val="24"/>
          <w:szCs w:val="24"/>
          <w:lang w:eastAsia="en-ZA"/>
        </w:rPr>
        <w:t>.</w:t>
      </w:r>
      <w:r w:rsidR="00130672">
        <w:rPr>
          <w:rStyle w:val="FootnoteReference"/>
          <w:rFonts w:ascii="Arial" w:eastAsiaTheme="minorEastAsia" w:hAnsi="Arial" w:cs="Arial"/>
          <w:color w:val="000000" w:themeColor="text1"/>
          <w:sz w:val="24"/>
          <w:szCs w:val="24"/>
          <w:lang w:eastAsia="en-ZA"/>
        </w:rPr>
        <w:footnoteReference w:id="15"/>
      </w:r>
      <w:r w:rsidR="00F80567">
        <w:rPr>
          <w:rFonts w:ascii="Arial" w:eastAsiaTheme="minorEastAsia" w:hAnsi="Arial" w:cs="Arial"/>
          <w:color w:val="000000" w:themeColor="text1"/>
          <w:sz w:val="24"/>
          <w:szCs w:val="24"/>
          <w:lang w:eastAsia="en-ZA"/>
        </w:rPr>
        <w:t xml:space="preserve"> </w:t>
      </w:r>
    </w:p>
    <w:p w:rsidR="00D40E3B" w:rsidRPr="00037CB6" w:rsidRDefault="00D40E3B" w:rsidP="00D524D9">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p>
    <w:p w:rsidR="003A7853" w:rsidRDefault="00976631" w:rsidP="003E7203">
      <w:pPr>
        <w:widowControl w:val="0"/>
        <w:kinsoku w:val="0"/>
        <w:overflowPunct w:val="0"/>
        <w:autoSpaceDE w:val="0"/>
        <w:autoSpaceDN w:val="0"/>
        <w:adjustRightInd w:val="0"/>
        <w:spacing w:after="0" w:line="360" w:lineRule="auto"/>
        <w:ind w:left="851" w:hanging="851"/>
        <w:jc w:val="both"/>
        <w:rPr>
          <w:rFonts w:ascii="Arial" w:eastAsiaTheme="minorEastAsia" w:hAnsi="Arial" w:cs="Arial"/>
          <w:color w:val="000000" w:themeColor="text1"/>
          <w:sz w:val="24"/>
          <w:szCs w:val="24"/>
          <w:lang w:eastAsia="en-ZA"/>
        </w:rPr>
      </w:pPr>
      <w:r>
        <w:rPr>
          <w:rFonts w:ascii="Arial" w:hAnsi="Arial" w:cs="Arial"/>
          <w:sz w:val="24"/>
          <w:szCs w:val="24"/>
          <w:lang w:val="en-GB"/>
        </w:rPr>
        <w:t>[</w:t>
      </w:r>
      <w:r w:rsidR="00D40E3B">
        <w:rPr>
          <w:rFonts w:ascii="Arial" w:hAnsi="Arial" w:cs="Arial"/>
          <w:sz w:val="24"/>
          <w:szCs w:val="24"/>
          <w:lang w:val="en-GB"/>
        </w:rPr>
        <w:t>40</w:t>
      </w:r>
      <w:r>
        <w:rPr>
          <w:rFonts w:ascii="Arial" w:hAnsi="Arial" w:cs="Arial"/>
          <w:sz w:val="24"/>
          <w:szCs w:val="24"/>
          <w:lang w:val="en-GB"/>
        </w:rPr>
        <w:t>]</w:t>
      </w:r>
      <w:r>
        <w:rPr>
          <w:rFonts w:ascii="Arial" w:hAnsi="Arial" w:cs="Arial"/>
          <w:sz w:val="24"/>
          <w:szCs w:val="24"/>
          <w:lang w:val="en-GB"/>
        </w:rPr>
        <w:tab/>
      </w:r>
      <w:r w:rsidR="00491A9E">
        <w:rPr>
          <w:rFonts w:ascii="Arial" w:eastAsiaTheme="minorEastAsia" w:hAnsi="Arial" w:cs="Arial"/>
          <w:color w:val="000000" w:themeColor="text1"/>
          <w:sz w:val="24"/>
          <w:szCs w:val="24"/>
          <w:lang w:eastAsia="en-ZA"/>
        </w:rPr>
        <w:t>In the matter at hand, it routinely</w:t>
      </w:r>
      <w:r w:rsidR="003A7853">
        <w:rPr>
          <w:rFonts w:ascii="Arial" w:eastAsiaTheme="minorEastAsia" w:hAnsi="Arial" w:cs="Arial"/>
          <w:color w:val="000000" w:themeColor="text1"/>
          <w:sz w:val="24"/>
          <w:szCs w:val="24"/>
          <w:lang w:eastAsia="en-ZA"/>
        </w:rPr>
        <w:t>, since 2011,</w:t>
      </w:r>
      <w:r w:rsidR="00491A9E">
        <w:rPr>
          <w:rFonts w:ascii="Arial" w:eastAsiaTheme="minorEastAsia" w:hAnsi="Arial" w:cs="Arial"/>
          <w:color w:val="000000" w:themeColor="text1"/>
          <w:sz w:val="24"/>
          <w:szCs w:val="24"/>
          <w:lang w:eastAsia="en-ZA"/>
        </w:rPr>
        <w:t xml:space="preserve"> occurred that the </w:t>
      </w:r>
      <w:r w:rsidR="00013331">
        <w:rPr>
          <w:rFonts w:ascii="Arial" w:eastAsiaTheme="minorEastAsia" w:hAnsi="Arial" w:cs="Arial"/>
          <w:color w:val="000000" w:themeColor="text1"/>
          <w:sz w:val="24"/>
          <w:szCs w:val="24"/>
          <w:lang w:eastAsia="en-ZA"/>
        </w:rPr>
        <w:t>Respondent Trust</w:t>
      </w:r>
      <w:r w:rsidR="00491A9E">
        <w:rPr>
          <w:rFonts w:ascii="Arial" w:eastAsiaTheme="minorEastAsia" w:hAnsi="Arial" w:cs="Arial"/>
          <w:color w:val="000000" w:themeColor="text1"/>
          <w:sz w:val="24"/>
          <w:szCs w:val="24"/>
          <w:lang w:eastAsia="en-ZA"/>
        </w:rPr>
        <w:t xml:space="preserve"> did not pay the rentals due to the </w:t>
      </w:r>
      <w:r w:rsidR="00103989">
        <w:rPr>
          <w:rFonts w:ascii="Arial" w:eastAsiaTheme="minorEastAsia" w:hAnsi="Arial" w:cs="Arial"/>
          <w:color w:val="000000" w:themeColor="text1"/>
          <w:sz w:val="24"/>
          <w:szCs w:val="24"/>
          <w:lang w:eastAsia="en-ZA"/>
        </w:rPr>
        <w:t>Applicant Trust</w:t>
      </w:r>
      <w:r w:rsidR="00491A9E">
        <w:rPr>
          <w:rFonts w:ascii="Arial" w:eastAsiaTheme="minorEastAsia" w:hAnsi="Arial" w:cs="Arial"/>
          <w:color w:val="000000" w:themeColor="text1"/>
          <w:sz w:val="24"/>
          <w:szCs w:val="24"/>
          <w:lang w:eastAsia="en-ZA"/>
        </w:rPr>
        <w:t xml:space="preserve"> in terms of the Sub-</w:t>
      </w:r>
      <w:r w:rsidR="0094017E">
        <w:rPr>
          <w:rFonts w:ascii="Arial" w:eastAsiaTheme="minorEastAsia" w:hAnsi="Arial" w:cs="Arial"/>
          <w:color w:val="000000" w:themeColor="text1"/>
          <w:sz w:val="24"/>
          <w:szCs w:val="24"/>
          <w:lang w:eastAsia="en-ZA"/>
        </w:rPr>
        <w:t>L</w:t>
      </w:r>
      <w:r w:rsidR="00491A9E">
        <w:rPr>
          <w:rFonts w:ascii="Arial" w:eastAsiaTheme="minorEastAsia" w:hAnsi="Arial" w:cs="Arial"/>
          <w:color w:val="000000" w:themeColor="text1"/>
          <w:sz w:val="24"/>
          <w:szCs w:val="24"/>
          <w:lang w:eastAsia="en-ZA"/>
        </w:rPr>
        <w:t>ease on the first day of each month</w:t>
      </w:r>
      <w:r w:rsidR="00353BDE">
        <w:rPr>
          <w:rFonts w:ascii="Arial" w:eastAsiaTheme="minorEastAsia" w:hAnsi="Arial" w:cs="Arial"/>
          <w:color w:val="000000" w:themeColor="text1"/>
          <w:sz w:val="24"/>
          <w:szCs w:val="24"/>
          <w:lang w:eastAsia="en-ZA"/>
        </w:rPr>
        <w:t>, a</w:t>
      </w:r>
      <w:r w:rsidR="0094017E">
        <w:rPr>
          <w:rFonts w:ascii="Arial" w:eastAsiaTheme="minorEastAsia" w:hAnsi="Arial" w:cs="Arial"/>
          <w:color w:val="000000" w:themeColor="text1"/>
          <w:sz w:val="24"/>
          <w:szCs w:val="24"/>
          <w:lang w:eastAsia="en-ZA"/>
        </w:rPr>
        <w:t>nd most often not even on the seventh day of each month</w:t>
      </w:r>
      <w:r w:rsidR="00D40E3B">
        <w:rPr>
          <w:rFonts w:ascii="Arial" w:eastAsiaTheme="minorEastAsia" w:hAnsi="Arial" w:cs="Arial"/>
          <w:color w:val="000000" w:themeColor="text1"/>
          <w:sz w:val="24"/>
          <w:szCs w:val="24"/>
          <w:lang w:eastAsia="en-ZA"/>
        </w:rPr>
        <w:t xml:space="preserve"> as per the invoices submitted by the Applicant Trust to the Respondent Trust</w:t>
      </w:r>
      <w:r w:rsidR="0094017E">
        <w:rPr>
          <w:rFonts w:ascii="Arial" w:eastAsiaTheme="minorEastAsia" w:hAnsi="Arial" w:cs="Arial"/>
          <w:color w:val="000000" w:themeColor="text1"/>
          <w:sz w:val="24"/>
          <w:szCs w:val="24"/>
          <w:lang w:eastAsia="en-ZA"/>
        </w:rPr>
        <w:t xml:space="preserve">. </w:t>
      </w:r>
      <w:r w:rsidR="00491A9E">
        <w:rPr>
          <w:rFonts w:ascii="Arial" w:eastAsiaTheme="minorEastAsia" w:hAnsi="Arial" w:cs="Arial"/>
          <w:color w:val="000000" w:themeColor="text1"/>
          <w:sz w:val="24"/>
          <w:szCs w:val="24"/>
          <w:lang w:eastAsia="en-ZA"/>
        </w:rPr>
        <w:t xml:space="preserve"> Mr Grobler SC</w:t>
      </w:r>
      <w:r w:rsidR="0094017E">
        <w:rPr>
          <w:rFonts w:ascii="Arial" w:eastAsiaTheme="minorEastAsia" w:hAnsi="Arial" w:cs="Arial"/>
          <w:color w:val="000000" w:themeColor="text1"/>
          <w:sz w:val="24"/>
          <w:szCs w:val="24"/>
          <w:lang w:eastAsia="en-ZA"/>
        </w:rPr>
        <w:t xml:space="preserve"> </w:t>
      </w:r>
      <w:r w:rsidR="00491A9E">
        <w:rPr>
          <w:rFonts w:ascii="Arial" w:eastAsiaTheme="minorEastAsia" w:hAnsi="Arial" w:cs="Arial"/>
          <w:color w:val="000000" w:themeColor="text1"/>
          <w:sz w:val="24"/>
          <w:szCs w:val="24"/>
          <w:lang w:eastAsia="en-ZA"/>
        </w:rPr>
        <w:t>mentioned that</w:t>
      </w:r>
      <w:r w:rsidR="00F80567">
        <w:rPr>
          <w:rFonts w:ascii="Arial" w:eastAsiaTheme="minorEastAsia" w:hAnsi="Arial" w:cs="Arial"/>
          <w:color w:val="000000" w:themeColor="text1"/>
          <w:sz w:val="24"/>
          <w:szCs w:val="24"/>
          <w:lang w:eastAsia="en-ZA"/>
        </w:rPr>
        <w:t>,</w:t>
      </w:r>
      <w:r w:rsidR="00491A9E">
        <w:rPr>
          <w:rFonts w:ascii="Arial" w:eastAsiaTheme="minorEastAsia" w:hAnsi="Arial" w:cs="Arial"/>
          <w:color w:val="000000" w:themeColor="text1"/>
          <w:sz w:val="24"/>
          <w:szCs w:val="24"/>
          <w:lang w:eastAsia="en-ZA"/>
        </w:rPr>
        <w:t xml:space="preserve"> as a result of the continued habitual breach</w:t>
      </w:r>
      <w:r w:rsidR="00F80567">
        <w:rPr>
          <w:rFonts w:ascii="Arial" w:eastAsiaTheme="minorEastAsia" w:hAnsi="Arial" w:cs="Arial"/>
          <w:color w:val="000000" w:themeColor="text1"/>
          <w:sz w:val="24"/>
          <w:szCs w:val="24"/>
          <w:lang w:eastAsia="en-ZA"/>
        </w:rPr>
        <w:t>,</w:t>
      </w:r>
      <w:r w:rsidR="00491A9E">
        <w:rPr>
          <w:rFonts w:ascii="Arial" w:eastAsiaTheme="minorEastAsia" w:hAnsi="Arial" w:cs="Arial"/>
          <w:color w:val="000000" w:themeColor="text1"/>
          <w:sz w:val="24"/>
          <w:szCs w:val="24"/>
          <w:lang w:eastAsia="en-ZA"/>
        </w:rPr>
        <w:t xml:space="preserve"> </w:t>
      </w:r>
      <w:r w:rsidR="000237A8">
        <w:rPr>
          <w:rFonts w:ascii="Arial" w:eastAsiaTheme="minorEastAsia" w:hAnsi="Arial" w:cs="Arial"/>
          <w:color w:val="000000" w:themeColor="text1"/>
          <w:sz w:val="24"/>
          <w:szCs w:val="24"/>
          <w:lang w:eastAsia="en-ZA"/>
        </w:rPr>
        <w:t>“</w:t>
      </w:r>
      <w:r w:rsidR="00491A9E">
        <w:rPr>
          <w:rFonts w:ascii="Arial" w:eastAsiaTheme="minorEastAsia" w:hAnsi="Arial" w:cs="Arial"/>
          <w:color w:val="000000" w:themeColor="text1"/>
          <w:sz w:val="24"/>
          <w:szCs w:val="24"/>
          <w:lang w:eastAsia="en-ZA"/>
        </w:rPr>
        <w:t>an automatic repeat function</w:t>
      </w:r>
      <w:r w:rsidR="00F80567">
        <w:rPr>
          <w:rFonts w:ascii="Arial" w:eastAsiaTheme="minorEastAsia" w:hAnsi="Arial" w:cs="Arial"/>
          <w:color w:val="000000" w:themeColor="text1"/>
          <w:sz w:val="24"/>
          <w:szCs w:val="24"/>
          <w:lang w:eastAsia="en-ZA"/>
        </w:rPr>
        <w:t>”</w:t>
      </w:r>
      <w:r w:rsidR="00491A9E">
        <w:rPr>
          <w:rFonts w:ascii="Arial" w:eastAsiaTheme="minorEastAsia" w:hAnsi="Arial" w:cs="Arial"/>
          <w:color w:val="000000" w:themeColor="text1"/>
          <w:sz w:val="24"/>
          <w:szCs w:val="24"/>
          <w:lang w:eastAsia="en-ZA"/>
        </w:rPr>
        <w:t xml:space="preserve"> of the breach letter issued by the attorney’s acting on behalf of the </w:t>
      </w:r>
      <w:r w:rsidR="00103989">
        <w:rPr>
          <w:rFonts w:ascii="Arial" w:eastAsiaTheme="minorEastAsia" w:hAnsi="Arial" w:cs="Arial"/>
          <w:color w:val="000000" w:themeColor="text1"/>
          <w:sz w:val="24"/>
          <w:szCs w:val="24"/>
          <w:lang w:eastAsia="en-ZA"/>
        </w:rPr>
        <w:t>Applicant Trust</w:t>
      </w:r>
      <w:r w:rsidR="00491A9E">
        <w:rPr>
          <w:rFonts w:ascii="Arial" w:eastAsiaTheme="minorEastAsia" w:hAnsi="Arial" w:cs="Arial"/>
          <w:color w:val="000000" w:themeColor="text1"/>
          <w:sz w:val="24"/>
          <w:szCs w:val="24"/>
          <w:lang w:eastAsia="en-ZA"/>
        </w:rPr>
        <w:t>,</w:t>
      </w:r>
      <w:r w:rsidR="00F80567">
        <w:rPr>
          <w:rFonts w:ascii="Arial" w:eastAsiaTheme="minorEastAsia" w:hAnsi="Arial" w:cs="Arial"/>
          <w:color w:val="000000" w:themeColor="text1"/>
          <w:sz w:val="24"/>
          <w:szCs w:val="24"/>
          <w:lang w:eastAsia="en-ZA"/>
        </w:rPr>
        <w:t xml:space="preserve"> “</w:t>
      </w:r>
      <w:r w:rsidR="00491A9E">
        <w:rPr>
          <w:rFonts w:ascii="Arial" w:eastAsiaTheme="minorEastAsia" w:hAnsi="Arial" w:cs="Arial"/>
          <w:color w:val="000000" w:themeColor="text1"/>
          <w:sz w:val="24"/>
          <w:szCs w:val="24"/>
          <w:lang w:eastAsia="en-ZA"/>
        </w:rPr>
        <w:t>would have come in handy</w:t>
      </w:r>
      <w:r w:rsidR="00F80567">
        <w:rPr>
          <w:rFonts w:ascii="Arial" w:eastAsiaTheme="minorEastAsia" w:hAnsi="Arial" w:cs="Arial"/>
          <w:color w:val="000000" w:themeColor="text1"/>
          <w:sz w:val="24"/>
          <w:szCs w:val="24"/>
          <w:lang w:eastAsia="en-ZA"/>
        </w:rPr>
        <w:t>”</w:t>
      </w:r>
      <w:r w:rsidR="00491A9E">
        <w:rPr>
          <w:rFonts w:ascii="Arial" w:eastAsiaTheme="minorEastAsia" w:hAnsi="Arial" w:cs="Arial"/>
          <w:color w:val="000000" w:themeColor="text1"/>
          <w:sz w:val="24"/>
          <w:szCs w:val="24"/>
          <w:lang w:eastAsia="en-ZA"/>
        </w:rPr>
        <w:t xml:space="preserve">. </w:t>
      </w:r>
      <w:r w:rsidR="00491A9E">
        <w:rPr>
          <w:rFonts w:ascii="Arial" w:eastAsiaTheme="minorEastAsia" w:hAnsi="Arial" w:cs="Arial"/>
          <w:color w:val="000000" w:themeColor="text1"/>
          <w:sz w:val="24"/>
          <w:szCs w:val="24"/>
          <w:lang w:eastAsia="en-ZA"/>
        </w:rPr>
        <w:tab/>
      </w:r>
      <w:r w:rsidR="00AB6B21">
        <w:rPr>
          <w:rFonts w:ascii="Arial" w:eastAsiaTheme="minorEastAsia" w:hAnsi="Arial" w:cs="Arial"/>
          <w:color w:val="000000" w:themeColor="text1"/>
          <w:sz w:val="24"/>
          <w:szCs w:val="24"/>
          <w:lang w:eastAsia="en-ZA"/>
        </w:rPr>
        <w:t xml:space="preserve"> </w:t>
      </w:r>
    </w:p>
    <w:p w:rsidR="00C63C68" w:rsidRDefault="00C63C68" w:rsidP="00E3098E">
      <w:pPr>
        <w:widowControl w:val="0"/>
        <w:kinsoku w:val="0"/>
        <w:overflowPunct w:val="0"/>
        <w:autoSpaceDE w:val="0"/>
        <w:autoSpaceDN w:val="0"/>
        <w:adjustRightInd w:val="0"/>
        <w:spacing w:after="0" w:line="360" w:lineRule="auto"/>
        <w:ind w:left="851" w:hanging="851"/>
        <w:jc w:val="both"/>
        <w:rPr>
          <w:rFonts w:ascii="Arial" w:hAnsi="Arial" w:cs="Arial"/>
          <w:sz w:val="24"/>
          <w:szCs w:val="24"/>
          <w:lang w:val="en-GB"/>
        </w:rPr>
      </w:pPr>
    </w:p>
    <w:p w:rsidR="00C63C68" w:rsidRDefault="00C63C68" w:rsidP="00C63C68">
      <w:pPr>
        <w:widowControl w:val="0"/>
        <w:kinsoku w:val="0"/>
        <w:overflowPunct w:val="0"/>
        <w:autoSpaceDE w:val="0"/>
        <w:autoSpaceDN w:val="0"/>
        <w:adjustRightInd w:val="0"/>
        <w:spacing w:after="0" w:line="360" w:lineRule="auto"/>
        <w:ind w:left="851" w:hanging="851"/>
        <w:jc w:val="both"/>
        <w:rPr>
          <w:rFonts w:ascii="Arial" w:hAnsi="Arial" w:cs="Arial"/>
          <w:sz w:val="24"/>
          <w:szCs w:val="24"/>
        </w:rPr>
      </w:pPr>
      <w:r>
        <w:rPr>
          <w:rFonts w:ascii="Arial" w:hAnsi="Arial" w:cs="Arial"/>
          <w:sz w:val="24"/>
          <w:szCs w:val="24"/>
          <w:lang w:val="en-GB"/>
        </w:rPr>
        <w:t>[</w:t>
      </w:r>
      <w:r w:rsidR="00D40E3B">
        <w:rPr>
          <w:rFonts w:ascii="Arial" w:hAnsi="Arial" w:cs="Arial"/>
          <w:sz w:val="24"/>
          <w:szCs w:val="24"/>
          <w:lang w:val="en-GB"/>
        </w:rPr>
        <w:t>41</w:t>
      </w:r>
      <w:r>
        <w:rPr>
          <w:rFonts w:ascii="Arial" w:hAnsi="Arial" w:cs="Arial"/>
          <w:sz w:val="24"/>
          <w:szCs w:val="24"/>
          <w:lang w:val="en-GB"/>
        </w:rPr>
        <w:t>]</w:t>
      </w:r>
      <w:r>
        <w:rPr>
          <w:rFonts w:ascii="Arial" w:hAnsi="Arial" w:cs="Arial"/>
          <w:sz w:val="24"/>
          <w:szCs w:val="24"/>
          <w:lang w:val="en-GB"/>
        </w:rPr>
        <w:tab/>
        <w:t>A</w:t>
      </w:r>
      <w:r>
        <w:rPr>
          <w:rFonts w:ascii="Arial" w:hAnsi="Arial" w:cs="Arial"/>
          <w:sz w:val="24"/>
          <w:szCs w:val="24"/>
        </w:rPr>
        <w:t xml:space="preserve"> fundamental point of departure in this matter is the undertaking </w:t>
      </w:r>
      <w:r w:rsidR="004A121C">
        <w:rPr>
          <w:rFonts w:ascii="Arial" w:hAnsi="Arial" w:cs="Arial"/>
          <w:sz w:val="24"/>
          <w:szCs w:val="24"/>
        </w:rPr>
        <w:t xml:space="preserve">contained in FA10 </w:t>
      </w:r>
      <w:r>
        <w:rPr>
          <w:rFonts w:ascii="Arial" w:hAnsi="Arial" w:cs="Arial"/>
          <w:sz w:val="24"/>
          <w:szCs w:val="24"/>
        </w:rPr>
        <w:t xml:space="preserve">and its interpretation.  The approach to interpretation is succinctly summarised in   </w:t>
      </w:r>
      <w:r w:rsidRPr="00C63C68">
        <w:rPr>
          <w:rFonts w:ascii="Arial" w:hAnsi="Arial" w:cs="Arial"/>
          <w:b/>
          <w:sz w:val="24"/>
          <w:szCs w:val="24"/>
        </w:rPr>
        <w:t>Natal  Joint Municipal Pension Fund v Edumeni Municipality</w:t>
      </w:r>
      <w:r>
        <w:rPr>
          <w:rStyle w:val="FootnoteReference"/>
          <w:rFonts w:ascii="Arial" w:hAnsi="Arial" w:cs="Arial"/>
          <w:sz w:val="24"/>
          <w:szCs w:val="24"/>
        </w:rPr>
        <w:footnoteReference w:id="16"/>
      </w:r>
      <w:r>
        <w:rPr>
          <w:rFonts w:ascii="Arial" w:hAnsi="Arial" w:cs="Arial"/>
          <w:b/>
          <w:sz w:val="24"/>
          <w:szCs w:val="24"/>
        </w:rPr>
        <w:t xml:space="preserve"> </w:t>
      </w:r>
      <w:r>
        <w:rPr>
          <w:rFonts w:ascii="Arial" w:hAnsi="Arial" w:cs="Arial"/>
          <w:sz w:val="24"/>
          <w:szCs w:val="24"/>
        </w:rPr>
        <w:t>w</w:t>
      </w:r>
      <w:r w:rsidRPr="00C63C68">
        <w:rPr>
          <w:rFonts w:ascii="Arial" w:hAnsi="Arial" w:cs="Arial"/>
          <w:sz w:val="24"/>
          <w:szCs w:val="24"/>
        </w:rPr>
        <w:t>hich held as follows</w:t>
      </w:r>
      <w:r>
        <w:rPr>
          <w:rFonts w:ascii="Arial" w:hAnsi="Arial" w:cs="Arial"/>
          <w:sz w:val="24"/>
          <w:szCs w:val="24"/>
        </w:rPr>
        <w:t>:</w:t>
      </w:r>
    </w:p>
    <w:p w:rsidR="00C63C68" w:rsidRDefault="00C63C68" w:rsidP="00B052B2">
      <w:pPr>
        <w:widowControl w:val="0"/>
        <w:kinsoku w:val="0"/>
        <w:overflowPunct w:val="0"/>
        <w:autoSpaceDE w:val="0"/>
        <w:autoSpaceDN w:val="0"/>
        <w:adjustRightInd w:val="0"/>
        <w:spacing w:after="0" w:line="360" w:lineRule="auto"/>
        <w:ind w:left="1276" w:right="440" w:hanging="851"/>
        <w:jc w:val="both"/>
        <w:rPr>
          <w:rFonts w:ascii="Arial" w:hAnsi="Arial" w:cs="Arial"/>
          <w:sz w:val="20"/>
          <w:szCs w:val="20"/>
        </w:rPr>
      </w:pPr>
      <w:r>
        <w:rPr>
          <w:rFonts w:ascii="Arial" w:hAnsi="Arial" w:cs="Arial"/>
          <w:sz w:val="24"/>
          <w:szCs w:val="24"/>
        </w:rPr>
        <w:tab/>
      </w:r>
      <w:r w:rsidRPr="00B052B2">
        <w:rPr>
          <w:rFonts w:ascii="Arial" w:hAnsi="Arial" w:cs="Arial"/>
          <w:sz w:val="20"/>
          <w:szCs w:val="20"/>
        </w:rPr>
        <w:t xml:space="preserve">“The present state of the law can be expressed as follows: Interpretation is the process of attributing meaning to the words used in a document, </w:t>
      </w:r>
      <w:r w:rsidR="00D90824" w:rsidRPr="00B052B2">
        <w:rPr>
          <w:rFonts w:ascii="Arial" w:hAnsi="Arial" w:cs="Arial"/>
          <w:sz w:val="20"/>
          <w:szCs w:val="20"/>
        </w:rPr>
        <w:t>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unbusiness</w:t>
      </w:r>
      <w:r w:rsidR="00B2387F">
        <w:rPr>
          <w:rFonts w:ascii="Arial" w:hAnsi="Arial" w:cs="Arial"/>
          <w:sz w:val="20"/>
          <w:szCs w:val="20"/>
        </w:rPr>
        <w:t>-</w:t>
      </w:r>
      <w:r w:rsidR="00D90824" w:rsidRPr="00B052B2">
        <w:rPr>
          <w:rFonts w:ascii="Arial" w:hAnsi="Arial" w:cs="Arial"/>
          <w:sz w:val="20"/>
          <w:szCs w:val="20"/>
        </w:rPr>
        <w:t xml:space="preserve">like results or undermines the apparent purpose of the document.   Judges must be alert to and guard against, the temptation to substitute what </w:t>
      </w:r>
      <w:r w:rsidR="00D90824" w:rsidRPr="00B052B2">
        <w:rPr>
          <w:rFonts w:ascii="Arial" w:hAnsi="Arial" w:cs="Arial"/>
          <w:sz w:val="20"/>
          <w:szCs w:val="20"/>
        </w:rPr>
        <w:lastRenderedPageBreak/>
        <w:t xml:space="preserve">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w:t>
      </w:r>
      <w:r w:rsidR="00B052B2" w:rsidRPr="00B052B2">
        <w:rPr>
          <w:rFonts w:ascii="Arial" w:hAnsi="Arial" w:cs="Arial"/>
          <w:sz w:val="20"/>
          <w:szCs w:val="20"/>
        </w:rPr>
        <w:t xml:space="preserve"> The </w:t>
      </w:r>
      <w:r w:rsidR="00B2387F">
        <w:rPr>
          <w:rFonts w:ascii="Arial" w:hAnsi="Arial" w:cs="Arial"/>
          <w:sz w:val="20"/>
          <w:szCs w:val="20"/>
        </w:rPr>
        <w:t>‘</w:t>
      </w:r>
      <w:r w:rsidR="00B052B2" w:rsidRPr="00B052B2">
        <w:rPr>
          <w:rFonts w:ascii="Arial" w:hAnsi="Arial" w:cs="Arial"/>
          <w:sz w:val="20"/>
          <w:szCs w:val="20"/>
        </w:rPr>
        <w:t>inevitable point of departure is the language of the provision itself</w:t>
      </w:r>
      <w:r w:rsidR="00B2387F">
        <w:rPr>
          <w:rFonts w:ascii="Arial" w:hAnsi="Arial" w:cs="Arial"/>
          <w:sz w:val="20"/>
          <w:szCs w:val="20"/>
        </w:rPr>
        <w:t>’</w:t>
      </w:r>
      <w:r w:rsidR="00B052B2" w:rsidRPr="00B052B2">
        <w:rPr>
          <w:rFonts w:ascii="Arial" w:hAnsi="Arial" w:cs="Arial"/>
          <w:sz w:val="20"/>
          <w:szCs w:val="20"/>
        </w:rPr>
        <w:t>, read in context and having regard to the purpose of the provision and the background to the preparation and production of the document…”</w:t>
      </w:r>
      <w:r w:rsidR="00B052B2" w:rsidRPr="00B052B2">
        <w:rPr>
          <w:rStyle w:val="FootnoteReference"/>
          <w:rFonts w:ascii="Arial" w:hAnsi="Arial" w:cs="Arial"/>
          <w:sz w:val="20"/>
          <w:szCs w:val="20"/>
        </w:rPr>
        <w:footnoteReference w:id="17"/>
      </w:r>
    </w:p>
    <w:p w:rsidR="00A67661" w:rsidRDefault="00A67661" w:rsidP="00B052B2">
      <w:pPr>
        <w:widowControl w:val="0"/>
        <w:kinsoku w:val="0"/>
        <w:overflowPunct w:val="0"/>
        <w:autoSpaceDE w:val="0"/>
        <w:autoSpaceDN w:val="0"/>
        <w:adjustRightInd w:val="0"/>
        <w:spacing w:after="0" w:line="360" w:lineRule="auto"/>
        <w:ind w:left="1276" w:right="440" w:hanging="851"/>
        <w:jc w:val="both"/>
        <w:rPr>
          <w:rFonts w:ascii="Arial" w:hAnsi="Arial" w:cs="Arial"/>
          <w:sz w:val="20"/>
          <w:szCs w:val="20"/>
        </w:rPr>
      </w:pPr>
    </w:p>
    <w:p w:rsidR="00B052B2" w:rsidRDefault="00B052B2" w:rsidP="00337DFB">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B2387F">
        <w:rPr>
          <w:rFonts w:ascii="Arial" w:hAnsi="Arial" w:cs="Arial"/>
          <w:sz w:val="24"/>
          <w:szCs w:val="24"/>
        </w:rPr>
        <w:t>4</w:t>
      </w:r>
      <w:r w:rsidR="00D40E3B">
        <w:rPr>
          <w:rFonts w:ascii="Arial" w:hAnsi="Arial" w:cs="Arial"/>
          <w:sz w:val="24"/>
          <w:szCs w:val="24"/>
        </w:rPr>
        <w:t>2</w:t>
      </w:r>
      <w:r>
        <w:rPr>
          <w:rFonts w:ascii="Arial" w:hAnsi="Arial" w:cs="Arial"/>
          <w:sz w:val="24"/>
          <w:szCs w:val="24"/>
        </w:rPr>
        <w:t>]</w:t>
      </w:r>
      <w:r>
        <w:rPr>
          <w:rFonts w:ascii="Arial" w:hAnsi="Arial" w:cs="Arial"/>
          <w:sz w:val="24"/>
          <w:szCs w:val="24"/>
        </w:rPr>
        <w:tab/>
        <w:t xml:space="preserve">It is evident that the </w:t>
      </w:r>
      <w:r w:rsidR="00103989">
        <w:rPr>
          <w:rFonts w:ascii="Arial" w:hAnsi="Arial" w:cs="Arial"/>
          <w:sz w:val="24"/>
          <w:szCs w:val="24"/>
        </w:rPr>
        <w:t>Applicant Trust</w:t>
      </w:r>
      <w:r>
        <w:rPr>
          <w:rFonts w:ascii="Arial" w:hAnsi="Arial" w:cs="Arial"/>
          <w:sz w:val="24"/>
          <w:szCs w:val="24"/>
        </w:rPr>
        <w:t xml:space="preserve"> accepted the terms of </w:t>
      </w:r>
      <w:r w:rsidR="00B2387F">
        <w:rPr>
          <w:rFonts w:ascii="Arial" w:hAnsi="Arial" w:cs="Arial"/>
          <w:sz w:val="24"/>
          <w:szCs w:val="24"/>
        </w:rPr>
        <w:t>FA10</w:t>
      </w:r>
      <w:r>
        <w:rPr>
          <w:rFonts w:ascii="Arial" w:hAnsi="Arial" w:cs="Arial"/>
          <w:sz w:val="24"/>
          <w:szCs w:val="24"/>
        </w:rPr>
        <w:t xml:space="preserve"> as legally binding on it. </w:t>
      </w:r>
      <w:r w:rsidR="004C2E35">
        <w:rPr>
          <w:rFonts w:ascii="Arial" w:hAnsi="Arial" w:cs="Arial"/>
          <w:sz w:val="24"/>
          <w:szCs w:val="24"/>
        </w:rPr>
        <w:t xml:space="preserve">The </w:t>
      </w:r>
      <w:r w:rsidR="00103989">
        <w:rPr>
          <w:rFonts w:ascii="Arial" w:hAnsi="Arial" w:cs="Arial"/>
          <w:sz w:val="24"/>
          <w:szCs w:val="24"/>
        </w:rPr>
        <w:t>Applicant Trust</w:t>
      </w:r>
      <w:r w:rsidR="004C2E35">
        <w:rPr>
          <w:rFonts w:ascii="Arial" w:hAnsi="Arial" w:cs="Arial"/>
          <w:sz w:val="24"/>
          <w:szCs w:val="24"/>
        </w:rPr>
        <w:t xml:space="preserve"> was assisted by its attorney</w:t>
      </w:r>
      <w:r w:rsidR="0065374B">
        <w:rPr>
          <w:rFonts w:ascii="Arial" w:hAnsi="Arial" w:cs="Arial"/>
          <w:sz w:val="24"/>
          <w:szCs w:val="24"/>
        </w:rPr>
        <w:t xml:space="preserve"> </w:t>
      </w:r>
      <w:r w:rsidR="004C2E35">
        <w:rPr>
          <w:rFonts w:ascii="Arial" w:hAnsi="Arial" w:cs="Arial"/>
          <w:sz w:val="24"/>
          <w:szCs w:val="24"/>
        </w:rPr>
        <w:t xml:space="preserve">to finalise the terms thereof.  Furthermore, the </w:t>
      </w:r>
      <w:r w:rsidR="00103989">
        <w:rPr>
          <w:rFonts w:ascii="Arial" w:hAnsi="Arial" w:cs="Arial"/>
          <w:sz w:val="24"/>
          <w:szCs w:val="24"/>
        </w:rPr>
        <w:t>Applicant Trust</w:t>
      </w:r>
      <w:r w:rsidR="004C2E35">
        <w:rPr>
          <w:rFonts w:ascii="Arial" w:hAnsi="Arial" w:cs="Arial"/>
          <w:sz w:val="24"/>
          <w:szCs w:val="24"/>
        </w:rPr>
        <w:t xml:space="preserve"> knew that FirstRand Bank would rely on the undertaking sought to advance a loan facility to the </w:t>
      </w:r>
      <w:r w:rsidR="00013331">
        <w:rPr>
          <w:rFonts w:ascii="Arial" w:hAnsi="Arial" w:cs="Arial"/>
          <w:sz w:val="24"/>
          <w:szCs w:val="24"/>
        </w:rPr>
        <w:t>Respondent Trust</w:t>
      </w:r>
      <w:r w:rsidR="004C2E35">
        <w:rPr>
          <w:rFonts w:ascii="Arial" w:hAnsi="Arial" w:cs="Arial"/>
          <w:sz w:val="24"/>
          <w:szCs w:val="24"/>
        </w:rPr>
        <w:t xml:space="preserve"> and consented to the registration of the mortgage bond over the Sub-</w:t>
      </w:r>
      <w:r w:rsidR="00B2387F">
        <w:rPr>
          <w:rFonts w:ascii="Arial" w:hAnsi="Arial" w:cs="Arial"/>
          <w:sz w:val="24"/>
          <w:szCs w:val="24"/>
        </w:rPr>
        <w:t>L</w:t>
      </w:r>
      <w:r w:rsidR="004C2E35">
        <w:rPr>
          <w:rFonts w:ascii="Arial" w:hAnsi="Arial" w:cs="Arial"/>
          <w:sz w:val="24"/>
          <w:szCs w:val="24"/>
        </w:rPr>
        <w:t xml:space="preserve">ease in favour of FirstRand Bank. </w:t>
      </w:r>
    </w:p>
    <w:p w:rsidR="004C2E35" w:rsidRDefault="004C2E35" w:rsidP="00B052B2">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4C2E35" w:rsidRDefault="004C2E35" w:rsidP="00337DFB">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B2387F">
        <w:rPr>
          <w:rFonts w:ascii="Arial" w:hAnsi="Arial" w:cs="Arial"/>
          <w:sz w:val="24"/>
          <w:szCs w:val="24"/>
        </w:rPr>
        <w:t>4</w:t>
      </w:r>
      <w:r w:rsidR="00D40E3B">
        <w:rPr>
          <w:rFonts w:ascii="Arial" w:hAnsi="Arial" w:cs="Arial"/>
          <w:sz w:val="24"/>
          <w:szCs w:val="24"/>
        </w:rPr>
        <w:t>3</w:t>
      </w:r>
      <w:r>
        <w:rPr>
          <w:rFonts w:ascii="Arial" w:hAnsi="Arial" w:cs="Arial"/>
          <w:sz w:val="24"/>
          <w:szCs w:val="24"/>
        </w:rPr>
        <w:t>]</w:t>
      </w:r>
      <w:r>
        <w:rPr>
          <w:rFonts w:ascii="Arial" w:hAnsi="Arial" w:cs="Arial"/>
          <w:sz w:val="24"/>
          <w:szCs w:val="24"/>
        </w:rPr>
        <w:tab/>
      </w:r>
      <w:r w:rsidR="00B2387F">
        <w:rPr>
          <w:rFonts w:ascii="Arial" w:hAnsi="Arial" w:cs="Arial"/>
          <w:sz w:val="24"/>
          <w:szCs w:val="24"/>
        </w:rPr>
        <w:t>FA10</w:t>
      </w:r>
      <w:r>
        <w:rPr>
          <w:rFonts w:ascii="Arial" w:hAnsi="Arial" w:cs="Arial"/>
          <w:sz w:val="24"/>
          <w:szCs w:val="24"/>
        </w:rPr>
        <w:t xml:space="preserve"> was furnished to First Rand Bank almost five years prior to the hearing of this matter.  During this period, the </w:t>
      </w:r>
      <w:r w:rsidR="00103989">
        <w:rPr>
          <w:rFonts w:ascii="Arial" w:hAnsi="Arial" w:cs="Arial"/>
          <w:sz w:val="24"/>
          <w:szCs w:val="24"/>
        </w:rPr>
        <w:t>Applicant Trust</w:t>
      </w:r>
      <w:r>
        <w:rPr>
          <w:rFonts w:ascii="Arial" w:hAnsi="Arial" w:cs="Arial"/>
          <w:sz w:val="24"/>
          <w:szCs w:val="24"/>
        </w:rPr>
        <w:t xml:space="preserve"> </w:t>
      </w:r>
      <w:r w:rsidR="0065374B">
        <w:rPr>
          <w:rFonts w:ascii="Arial" w:hAnsi="Arial" w:cs="Arial"/>
          <w:sz w:val="24"/>
          <w:szCs w:val="24"/>
        </w:rPr>
        <w:t>did not raise</w:t>
      </w:r>
      <w:r>
        <w:rPr>
          <w:rFonts w:ascii="Arial" w:hAnsi="Arial" w:cs="Arial"/>
          <w:sz w:val="24"/>
          <w:szCs w:val="24"/>
        </w:rPr>
        <w:t xml:space="preserve"> a dispute or concern that the terms of </w:t>
      </w:r>
      <w:r w:rsidR="00D40E3B">
        <w:rPr>
          <w:rFonts w:ascii="Arial" w:hAnsi="Arial" w:cs="Arial"/>
          <w:sz w:val="24"/>
          <w:szCs w:val="24"/>
        </w:rPr>
        <w:t xml:space="preserve">FA10 </w:t>
      </w:r>
      <w:r>
        <w:rPr>
          <w:rFonts w:ascii="Arial" w:hAnsi="Arial" w:cs="Arial"/>
          <w:sz w:val="24"/>
          <w:szCs w:val="24"/>
        </w:rPr>
        <w:t xml:space="preserve">were nugatory and effectively serve no purpose.  The stance that the terms of </w:t>
      </w:r>
      <w:r w:rsidR="00B2387F">
        <w:rPr>
          <w:rFonts w:ascii="Arial" w:hAnsi="Arial" w:cs="Arial"/>
          <w:sz w:val="24"/>
          <w:szCs w:val="24"/>
        </w:rPr>
        <w:t>FA10</w:t>
      </w:r>
      <w:r>
        <w:rPr>
          <w:rFonts w:ascii="Arial" w:hAnsi="Arial" w:cs="Arial"/>
          <w:sz w:val="24"/>
          <w:szCs w:val="24"/>
        </w:rPr>
        <w:t xml:space="preserve"> are effectively meaningless was adopted for the first time in this application.  </w:t>
      </w:r>
      <w:r w:rsidR="00D40E3B">
        <w:rPr>
          <w:rFonts w:ascii="Arial" w:hAnsi="Arial" w:cs="Arial"/>
          <w:sz w:val="24"/>
          <w:szCs w:val="24"/>
        </w:rPr>
        <w:t>Notwithstanding the Applicant Trust’s contentions</w:t>
      </w:r>
      <w:r>
        <w:rPr>
          <w:rFonts w:ascii="Arial" w:hAnsi="Arial" w:cs="Arial"/>
          <w:sz w:val="24"/>
          <w:szCs w:val="24"/>
        </w:rPr>
        <w:t xml:space="preserve">, </w:t>
      </w:r>
      <w:r w:rsidR="00D40E3B">
        <w:rPr>
          <w:rFonts w:ascii="Arial" w:hAnsi="Arial" w:cs="Arial"/>
          <w:sz w:val="24"/>
          <w:szCs w:val="24"/>
        </w:rPr>
        <w:t>it not only agreed with the terms of FA10 but also</w:t>
      </w:r>
      <w:r>
        <w:rPr>
          <w:rFonts w:ascii="Arial" w:hAnsi="Arial" w:cs="Arial"/>
          <w:sz w:val="24"/>
          <w:szCs w:val="24"/>
        </w:rPr>
        <w:t xml:space="preserve"> complied with the contents thereof</w:t>
      </w:r>
      <w:r w:rsidR="00AB6A54">
        <w:rPr>
          <w:rFonts w:ascii="Arial" w:hAnsi="Arial" w:cs="Arial"/>
          <w:sz w:val="24"/>
          <w:szCs w:val="24"/>
        </w:rPr>
        <w:t xml:space="preserve"> by notifying FirstRand Bank that the </w:t>
      </w:r>
      <w:r w:rsidR="00013331">
        <w:rPr>
          <w:rFonts w:ascii="Arial" w:hAnsi="Arial" w:cs="Arial"/>
          <w:sz w:val="24"/>
          <w:szCs w:val="24"/>
        </w:rPr>
        <w:t>Respondent Trust</w:t>
      </w:r>
      <w:r w:rsidR="00AB6A54">
        <w:rPr>
          <w:rFonts w:ascii="Arial" w:hAnsi="Arial" w:cs="Arial"/>
          <w:sz w:val="24"/>
          <w:szCs w:val="24"/>
        </w:rPr>
        <w:t xml:space="preserve"> had breached the provisions of the Sub-Lease and were afforded 20 days (instead of seven days as per the Sub-</w:t>
      </w:r>
      <w:r w:rsidR="00353BDE">
        <w:rPr>
          <w:rFonts w:ascii="Arial" w:hAnsi="Arial" w:cs="Arial"/>
          <w:sz w:val="24"/>
          <w:szCs w:val="24"/>
        </w:rPr>
        <w:t>L</w:t>
      </w:r>
      <w:r w:rsidR="00AB6A54">
        <w:rPr>
          <w:rFonts w:ascii="Arial" w:hAnsi="Arial" w:cs="Arial"/>
          <w:sz w:val="24"/>
          <w:szCs w:val="24"/>
        </w:rPr>
        <w:t>ease) to remedy its beaches of the Sub-Lease.</w:t>
      </w:r>
    </w:p>
    <w:p w:rsidR="00964C54" w:rsidRDefault="00964C54" w:rsidP="00B052B2">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494D6E" w:rsidRDefault="00AB6A54" w:rsidP="00282386">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B2387F">
        <w:rPr>
          <w:rFonts w:ascii="Arial" w:hAnsi="Arial" w:cs="Arial"/>
          <w:sz w:val="24"/>
          <w:szCs w:val="24"/>
        </w:rPr>
        <w:t>4</w:t>
      </w:r>
      <w:r w:rsidR="00D40E3B">
        <w:rPr>
          <w:rFonts w:ascii="Arial" w:hAnsi="Arial" w:cs="Arial"/>
          <w:sz w:val="24"/>
          <w:szCs w:val="24"/>
        </w:rPr>
        <w:t>4</w:t>
      </w:r>
      <w:r>
        <w:rPr>
          <w:rFonts w:ascii="Arial" w:hAnsi="Arial" w:cs="Arial"/>
          <w:sz w:val="24"/>
          <w:szCs w:val="24"/>
        </w:rPr>
        <w:t>]</w:t>
      </w:r>
      <w:r>
        <w:rPr>
          <w:rFonts w:ascii="Arial" w:hAnsi="Arial" w:cs="Arial"/>
          <w:sz w:val="24"/>
          <w:szCs w:val="24"/>
        </w:rPr>
        <w:tab/>
      </w:r>
      <w:r w:rsidR="00494D6E">
        <w:rPr>
          <w:rFonts w:ascii="Arial" w:hAnsi="Arial" w:cs="Arial"/>
          <w:sz w:val="24"/>
          <w:szCs w:val="24"/>
        </w:rPr>
        <w:t>However, from the contents of the founding affidavit deposed to</w:t>
      </w:r>
      <w:r w:rsidR="0065374B">
        <w:rPr>
          <w:rFonts w:ascii="Arial" w:hAnsi="Arial" w:cs="Arial"/>
          <w:sz w:val="24"/>
          <w:szCs w:val="24"/>
        </w:rPr>
        <w:t xml:space="preserve"> by</w:t>
      </w:r>
      <w:r w:rsidR="00494D6E">
        <w:rPr>
          <w:rFonts w:ascii="Arial" w:hAnsi="Arial" w:cs="Arial"/>
          <w:sz w:val="24"/>
          <w:szCs w:val="24"/>
        </w:rPr>
        <w:t xml:space="preserve"> Ms Elsje Prinsloo on behalf of the </w:t>
      </w:r>
      <w:r w:rsidR="00103989">
        <w:rPr>
          <w:rFonts w:ascii="Arial" w:hAnsi="Arial" w:cs="Arial"/>
          <w:sz w:val="24"/>
          <w:szCs w:val="24"/>
        </w:rPr>
        <w:t>Applicant Trust</w:t>
      </w:r>
      <w:r w:rsidR="00494D6E">
        <w:rPr>
          <w:rFonts w:ascii="Arial" w:hAnsi="Arial" w:cs="Arial"/>
          <w:sz w:val="24"/>
          <w:szCs w:val="24"/>
        </w:rPr>
        <w:t>, it is evident that a</w:t>
      </w:r>
      <w:r w:rsidR="00D40E3B">
        <w:rPr>
          <w:rFonts w:ascii="Arial" w:hAnsi="Arial" w:cs="Arial"/>
          <w:sz w:val="24"/>
          <w:szCs w:val="24"/>
        </w:rPr>
        <w:t>n</w:t>
      </w:r>
      <w:r w:rsidR="00494D6E">
        <w:rPr>
          <w:rFonts w:ascii="Arial" w:hAnsi="Arial" w:cs="Arial"/>
          <w:sz w:val="24"/>
          <w:szCs w:val="24"/>
        </w:rPr>
        <w:t xml:space="preserve"> </w:t>
      </w:r>
      <w:r w:rsidR="00D40E3B">
        <w:rPr>
          <w:rFonts w:ascii="Arial" w:hAnsi="Arial" w:cs="Arial"/>
          <w:sz w:val="24"/>
          <w:szCs w:val="24"/>
        </w:rPr>
        <w:t>error or misunderstanding r</w:t>
      </w:r>
      <w:r w:rsidR="00494D6E">
        <w:rPr>
          <w:rFonts w:ascii="Arial" w:hAnsi="Arial" w:cs="Arial"/>
          <w:sz w:val="24"/>
          <w:szCs w:val="24"/>
        </w:rPr>
        <w:t>egarding the interpretation of FA10</w:t>
      </w:r>
      <w:r w:rsidR="00D40E3B">
        <w:rPr>
          <w:rFonts w:ascii="Arial" w:hAnsi="Arial" w:cs="Arial"/>
          <w:sz w:val="24"/>
          <w:szCs w:val="24"/>
        </w:rPr>
        <w:t xml:space="preserve"> occurred</w:t>
      </w:r>
      <w:r w:rsidR="00494D6E">
        <w:rPr>
          <w:rFonts w:ascii="Arial" w:hAnsi="Arial" w:cs="Arial"/>
          <w:sz w:val="24"/>
          <w:szCs w:val="24"/>
        </w:rPr>
        <w:t xml:space="preserve">. </w:t>
      </w:r>
      <w:r w:rsidR="00B2387F">
        <w:rPr>
          <w:rFonts w:ascii="Arial" w:hAnsi="Arial" w:cs="Arial"/>
          <w:sz w:val="24"/>
          <w:szCs w:val="24"/>
        </w:rPr>
        <w:t>In the founding affidavit i</w:t>
      </w:r>
      <w:r w:rsidR="00494D6E">
        <w:rPr>
          <w:rFonts w:ascii="Arial" w:hAnsi="Arial" w:cs="Arial"/>
          <w:sz w:val="24"/>
          <w:szCs w:val="24"/>
        </w:rPr>
        <w:t xml:space="preserve">t is stated that on request of FirstRand Bank, the </w:t>
      </w:r>
      <w:r w:rsidR="00103989">
        <w:rPr>
          <w:rFonts w:ascii="Arial" w:hAnsi="Arial" w:cs="Arial"/>
          <w:sz w:val="24"/>
          <w:szCs w:val="24"/>
        </w:rPr>
        <w:t>Applicant Trust</w:t>
      </w:r>
      <w:r w:rsidR="00494D6E">
        <w:rPr>
          <w:rFonts w:ascii="Arial" w:hAnsi="Arial" w:cs="Arial"/>
          <w:sz w:val="24"/>
          <w:szCs w:val="24"/>
        </w:rPr>
        <w:t xml:space="preserve"> provided consent to the </w:t>
      </w:r>
      <w:r w:rsidR="00013331">
        <w:rPr>
          <w:rFonts w:ascii="Arial" w:hAnsi="Arial" w:cs="Arial"/>
          <w:sz w:val="24"/>
          <w:szCs w:val="24"/>
        </w:rPr>
        <w:t>Respondent Trust</w:t>
      </w:r>
      <w:r w:rsidR="00494D6E">
        <w:rPr>
          <w:rFonts w:ascii="Arial" w:hAnsi="Arial" w:cs="Arial"/>
          <w:sz w:val="24"/>
          <w:szCs w:val="24"/>
        </w:rPr>
        <w:t xml:space="preserve"> to cede its rights, title and interest in and to the </w:t>
      </w:r>
      <w:r w:rsidR="00B2387F">
        <w:rPr>
          <w:rFonts w:ascii="Arial" w:hAnsi="Arial" w:cs="Arial"/>
          <w:sz w:val="24"/>
          <w:szCs w:val="24"/>
        </w:rPr>
        <w:t>S</w:t>
      </w:r>
      <w:r w:rsidR="00494D6E">
        <w:rPr>
          <w:rFonts w:ascii="Arial" w:hAnsi="Arial" w:cs="Arial"/>
          <w:sz w:val="24"/>
          <w:szCs w:val="24"/>
        </w:rPr>
        <w:t>ub-</w:t>
      </w:r>
      <w:r w:rsidR="00B2387F">
        <w:rPr>
          <w:rFonts w:ascii="Arial" w:hAnsi="Arial" w:cs="Arial"/>
          <w:sz w:val="24"/>
          <w:szCs w:val="24"/>
        </w:rPr>
        <w:t>L</w:t>
      </w:r>
      <w:r w:rsidR="00494D6E">
        <w:rPr>
          <w:rFonts w:ascii="Arial" w:hAnsi="Arial" w:cs="Arial"/>
          <w:sz w:val="24"/>
          <w:szCs w:val="24"/>
        </w:rPr>
        <w:t>ease to FirstRand Bank</w:t>
      </w:r>
      <w:r w:rsidR="00353BDE">
        <w:rPr>
          <w:rFonts w:ascii="Arial" w:hAnsi="Arial" w:cs="Arial"/>
          <w:sz w:val="24"/>
          <w:szCs w:val="24"/>
        </w:rPr>
        <w:t>,</w:t>
      </w:r>
      <w:r w:rsidR="00494D6E">
        <w:rPr>
          <w:rFonts w:ascii="Arial" w:hAnsi="Arial" w:cs="Arial"/>
          <w:sz w:val="24"/>
          <w:szCs w:val="24"/>
        </w:rPr>
        <w:t xml:space="preserve"> provided consent to register a mortgage bond and undertook in favour of FirstRand Bank that:</w:t>
      </w:r>
    </w:p>
    <w:p w:rsidR="00494D6E" w:rsidRDefault="00494D6E" w:rsidP="005A17D1">
      <w:pPr>
        <w:widowControl w:val="0"/>
        <w:tabs>
          <w:tab w:val="left" w:pos="8931"/>
        </w:tabs>
        <w:kinsoku w:val="0"/>
        <w:overflowPunct w:val="0"/>
        <w:autoSpaceDE w:val="0"/>
        <w:autoSpaceDN w:val="0"/>
        <w:adjustRightInd w:val="0"/>
        <w:spacing w:after="0" w:line="360" w:lineRule="auto"/>
        <w:ind w:left="1418" w:right="440" w:hanging="851"/>
        <w:jc w:val="both"/>
        <w:rPr>
          <w:rFonts w:ascii="Arial" w:hAnsi="Arial" w:cs="Arial"/>
          <w:sz w:val="20"/>
          <w:szCs w:val="20"/>
        </w:rPr>
      </w:pPr>
      <w:r>
        <w:rPr>
          <w:rFonts w:ascii="Arial" w:hAnsi="Arial" w:cs="Arial"/>
          <w:sz w:val="24"/>
          <w:szCs w:val="24"/>
        </w:rPr>
        <w:tab/>
      </w:r>
      <w:r w:rsidRPr="005A17D1">
        <w:rPr>
          <w:rFonts w:ascii="Arial" w:hAnsi="Arial" w:cs="Arial"/>
          <w:sz w:val="20"/>
          <w:szCs w:val="20"/>
        </w:rPr>
        <w:t>“</w:t>
      </w:r>
      <w:r w:rsidR="00B2387F">
        <w:rPr>
          <w:rFonts w:ascii="Arial" w:hAnsi="Arial" w:cs="Arial"/>
          <w:sz w:val="20"/>
          <w:szCs w:val="20"/>
        </w:rPr>
        <w:t>…</w:t>
      </w:r>
      <w:r w:rsidRPr="005A17D1">
        <w:rPr>
          <w:rFonts w:ascii="Arial" w:hAnsi="Arial" w:cs="Arial"/>
          <w:sz w:val="20"/>
          <w:szCs w:val="20"/>
        </w:rPr>
        <w:t xml:space="preserve"> for as long as the </w:t>
      </w:r>
      <w:r w:rsidR="00013331">
        <w:rPr>
          <w:rFonts w:ascii="Arial" w:hAnsi="Arial" w:cs="Arial"/>
          <w:sz w:val="20"/>
          <w:szCs w:val="20"/>
        </w:rPr>
        <w:t>Respondent Trust</w:t>
      </w:r>
      <w:r w:rsidRPr="005A17D1">
        <w:rPr>
          <w:rFonts w:ascii="Arial" w:hAnsi="Arial" w:cs="Arial"/>
          <w:sz w:val="20"/>
          <w:szCs w:val="20"/>
        </w:rPr>
        <w:t xml:space="preserve"> is indebted to FNB </w:t>
      </w:r>
      <w:r w:rsidR="005A17D1" w:rsidRPr="005A17D1">
        <w:rPr>
          <w:rFonts w:ascii="Arial" w:hAnsi="Arial" w:cs="Arial"/>
          <w:sz w:val="20"/>
          <w:szCs w:val="20"/>
        </w:rPr>
        <w:t xml:space="preserve">in terms of the said bond, that the Trust would not cancel the sub-lease, unless it has given reasonable notice of at least twenty (20) days of the </w:t>
      </w:r>
      <w:r w:rsidR="00013331">
        <w:rPr>
          <w:rFonts w:ascii="Arial" w:hAnsi="Arial" w:cs="Arial"/>
          <w:sz w:val="20"/>
          <w:szCs w:val="20"/>
        </w:rPr>
        <w:t>Respondent Trust</w:t>
      </w:r>
      <w:r w:rsidR="005A17D1" w:rsidRPr="005A17D1">
        <w:rPr>
          <w:rFonts w:ascii="Arial" w:hAnsi="Arial" w:cs="Arial"/>
          <w:sz w:val="20"/>
          <w:szCs w:val="20"/>
        </w:rPr>
        <w:t xml:space="preserve">’s default and the </w:t>
      </w:r>
      <w:r w:rsidR="00103989">
        <w:rPr>
          <w:rFonts w:ascii="Arial" w:hAnsi="Arial" w:cs="Arial"/>
          <w:sz w:val="20"/>
          <w:szCs w:val="20"/>
        </w:rPr>
        <w:t>Applicant Trust</w:t>
      </w:r>
      <w:r w:rsidR="005A17D1" w:rsidRPr="005A17D1">
        <w:rPr>
          <w:rFonts w:ascii="Arial" w:hAnsi="Arial" w:cs="Arial"/>
          <w:sz w:val="20"/>
          <w:szCs w:val="20"/>
        </w:rPr>
        <w:t xml:space="preserve">’s intention to </w:t>
      </w:r>
      <w:r w:rsidR="005A17D1" w:rsidRPr="005A17D1">
        <w:rPr>
          <w:rFonts w:ascii="Arial" w:hAnsi="Arial" w:cs="Arial"/>
          <w:sz w:val="20"/>
          <w:szCs w:val="20"/>
        </w:rPr>
        <w:lastRenderedPageBreak/>
        <w:t xml:space="preserve">cancel at FNB’s chosen </w:t>
      </w:r>
      <w:r w:rsidR="005A17D1" w:rsidRPr="00B2387F">
        <w:rPr>
          <w:rFonts w:ascii="Arial" w:hAnsi="Arial" w:cs="Arial"/>
          <w:i/>
          <w:sz w:val="20"/>
          <w:szCs w:val="20"/>
        </w:rPr>
        <w:t>domicilium</w:t>
      </w:r>
      <w:r w:rsidR="005A17D1" w:rsidRPr="005A17D1">
        <w:rPr>
          <w:rFonts w:ascii="Arial" w:hAnsi="Arial" w:cs="Arial"/>
          <w:sz w:val="20"/>
          <w:szCs w:val="20"/>
        </w:rPr>
        <w:t xml:space="preserve"> address, being 1 Merchant Place, 1 Friedman Drive, Sandton.”</w:t>
      </w:r>
    </w:p>
    <w:p w:rsidR="00B2387F" w:rsidRDefault="00B2387F" w:rsidP="005A17D1">
      <w:pPr>
        <w:widowControl w:val="0"/>
        <w:tabs>
          <w:tab w:val="left" w:pos="8931"/>
        </w:tabs>
        <w:kinsoku w:val="0"/>
        <w:overflowPunct w:val="0"/>
        <w:autoSpaceDE w:val="0"/>
        <w:autoSpaceDN w:val="0"/>
        <w:adjustRightInd w:val="0"/>
        <w:spacing w:after="0" w:line="360" w:lineRule="auto"/>
        <w:ind w:left="1418" w:right="440" w:hanging="851"/>
        <w:jc w:val="both"/>
        <w:rPr>
          <w:rFonts w:ascii="Arial" w:hAnsi="Arial" w:cs="Arial"/>
          <w:sz w:val="20"/>
          <w:szCs w:val="20"/>
        </w:rPr>
      </w:pPr>
    </w:p>
    <w:p w:rsidR="00477618" w:rsidRDefault="005A17D1" w:rsidP="00282386">
      <w:pPr>
        <w:widowControl w:val="0"/>
        <w:tabs>
          <w:tab w:val="left" w:pos="8931"/>
        </w:tabs>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[4</w:t>
      </w:r>
      <w:r w:rsidR="00EA4926">
        <w:rPr>
          <w:rFonts w:ascii="Arial" w:hAnsi="Arial" w:cs="Arial"/>
          <w:sz w:val="24"/>
          <w:szCs w:val="24"/>
        </w:rPr>
        <w:t>5</w:t>
      </w:r>
      <w:r>
        <w:rPr>
          <w:rFonts w:ascii="Arial" w:hAnsi="Arial" w:cs="Arial"/>
          <w:sz w:val="24"/>
          <w:szCs w:val="24"/>
        </w:rPr>
        <w:t>]</w:t>
      </w:r>
      <w:r>
        <w:rPr>
          <w:rFonts w:ascii="Arial" w:hAnsi="Arial" w:cs="Arial"/>
          <w:sz w:val="24"/>
          <w:szCs w:val="24"/>
        </w:rPr>
        <w:tab/>
      </w:r>
      <w:r w:rsidR="000237A8">
        <w:rPr>
          <w:rFonts w:ascii="Arial" w:hAnsi="Arial" w:cs="Arial"/>
          <w:sz w:val="24"/>
          <w:szCs w:val="24"/>
        </w:rPr>
        <w:t>W</w:t>
      </w:r>
      <w:r>
        <w:rPr>
          <w:rFonts w:ascii="Arial" w:hAnsi="Arial" w:cs="Arial"/>
          <w:sz w:val="24"/>
          <w:szCs w:val="24"/>
        </w:rPr>
        <w:t xml:space="preserve">hat is quoted above is not a true reflection of </w:t>
      </w:r>
      <w:r w:rsidR="00B2387F">
        <w:rPr>
          <w:rFonts w:ascii="Arial" w:hAnsi="Arial" w:cs="Arial"/>
          <w:sz w:val="24"/>
          <w:szCs w:val="24"/>
        </w:rPr>
        <w:t>the contents of</w:t>
      </w:r>
      <w:r>
        <w:rPr>
          <w:rFonts w:ascii="Arial" w:hAnsi="Arial" w:cs="Arial"/>
          <w:sz w:val="24"/>
          <w:szCs w:val="24"/>
        </w:rPr>
        <w:t xml:space="preserve"> FA10</w:t>
      </w:r>
      <w:r w:rsidR="00477618">
        <w:rPr>
          <w:rFonts w:ascii="Arial" w:hAnsi="Arial" w:cs="Arial"/>
          <w:sz w:val="24"/>
          <w:szCs w:val="24"/>
        </w:rPr>
        <w:t>.</w:t>
      </w:r>
      <w:r w:rsidR="00353BDE">
        <w:rPr>
          <w:rFonts w:ascii="Arial" w:hAnsi="Arial" w:cs="Arial"/>
          <w:sz w:val="24"/>
          <w:szCs w:val="24"/>
        </w:rPr>
        <w:t xml:space="preserve"> </w:t>
      </w:r>
      <w:r w:rsidR="00477618">
        <w:rPr>
          <w:rFonts w:ascii="Arial" w:hAnsi="Arial" w:cs="Arial"/>
          <w:sz w:val="24"/>
          <w:szCs w:val="24"/>
        </w:rPr>
        <w:t>FA10</w:t>
      </w:r>
      <w:r w:rsidR="00AC0EE4">
        <w:rPr>
          <w:rFonts w:ascii="Arial" w:hAnsi="Arial" w:cs="Arial"/>
          <w:sz w:val="24"/>
          <w:szCs w:val="24"/>
        </w:rPr>
        <w:t xml:space="preserve">, </w:t>
      </w:r>
      <w:r w:rsidR="00AC0EE4" w:rsidRPr="008F7AA6">
        <w:rPr>
          <w:rFonts w:ascii="Arial" w:hAnsi="Arial" w:cs="Arial"/>
          <w:sz w:val="24"/>
          <w:szCs w:val="24"/>
        </w:rPr>
        <w:t>in simple</w:t>
      </w:r>
      <w:r w:rsidR="008F7AA6">
        <w:rPr>
          <w:rFonts w:ascii="Arial" w:hAnsi="Arial" w:cs="Arial"/>
          <w:sz w:val="24"/>
          <w:szCs w:val="24"/>
        </w:rPr>
        <w:t xml:space="preserve"> terms,</w:t>
      </w:r>
      <w:r w:rsidR="00477618">
        <w:rPr>
          <w:rFonts w:ascii="Arial" w:hAnsi="Arial" w:cs="Arial"/>
          <w:sz w:val="24"/>
          <w:szCs w:val="24"/>
        </w:rPr>
        <w:t xml:space="preserve"> recorded the undertaking by the </w:t>
      </w:r>
      <w:r w:rsidR="00103989">
        <w:rPr>
          <w:rFonts w:ascii="Arial" w:hAnsi="Arial" w:cs="Arial"/>
          <w:sz w:val="24"/>
          <w:szCs w:val="24"/>
        </w:rPr>
        <w:t>Applicant Trust</w:t>
      </w:r>
      <w:r w:rsidR="00477618">
        <w:rPr>
          <w:rFonts w:ascii="Arial" w:hAnsi="Arial" w:cs="Arial"/>
          <w:sz w:val="24"/>
          <w:szCs w:val="24"/>
        </w:rPr>
        <w:t xml:space="preserve"> in favour of FirstRand Bank as follows: for as long as the </w:t>
      </w:r>
      <w:r w:rsidR="00013331">
        <w:rPr>
          <w:rFonts w:ascii="Arial" w:hAnsi="Arial" w:cs="Arial"/>
          <w:sz w:val="24"/>
          <w:szCs w:val="24"/>
        </w:rPr>
        <w:t>Respondent Trust</w:t>
      </w:r>
      <w:r w:rsidR="00477618">
        <w:rPr>
          <w:rFonts w:ascii="Arial" w:hAnsi="Arial" w:cs="Arial"/>
          <w:sz w:val="24"/>
          <w:szCs w:val="24"/>
        </w:rPr>
        <w:t xml:space="preserve"> is indebted to the Lender (FirstRand Bank) in terms of the mortgage bond</w:t>
      </w:r>
      <w:r w:rsidR="00AC0EE4">
        <w:rPr>
          <w:rFonts w:ascii="Arial" w:hAnsi="Arial" w:cs="Arial"/>
          <w:sz w:val="24"/>
          <w:szCs w:val="24"/>
        </w:rPr>
        <w:t>,</w:t>
      </w:r>
      <w:r w:rsidR="00477618">
        <w:rPr>
          <w:rFonts w:ascii="Arial" w:hAnsi="Arial" w:cs="Arial"/>
          <w:sz w:val="24"/>
          <w:szCs w:val="24"/>
        </w:rPr>
        <w:t xml:space="preserve"> the </w:t>
      </w:r>
      <w:r w:rsidR="00103989">
        <w:rPr>
          <w:rFonts w:ascii="Arial" w:hAnsi="Arial" w:cs="Arial"/>
          <w:sz w:val="24"/>
          <w:szCs w:val="24"/>
        </w:rPr>
        <w:t>Applicant Trust</w:t>
      </w:r>
      <w:r w:rsidR="00477618">
        <w:rPr>
          <w:rFonts w:ascii="Arial" w:hAnsi="Arial" w:cs="Arial"/>
          <w:sz w:val="24"/>
          <w:szCs w:val="24"/>
        </w:rPr>
        <w:t xml:space="preserve"> shall not be entitled to cancel the Sub-</w:t>
      </w:r>
      <w:r w:rsidR="008F7AA6">
        <w:rPr>
          <w:rFonts w:ascii="Arial" w:hAnsi="Arial" w:cs="Arial"/>
          <w:sz w:val="24"/>
          <w:szCs w:val="24"/>
        </w:rPr>
        <w:t>L</w:t>
      </w:r>
      <w:r w:rsidR="00477618">
        <w:rPr>
          <w:rFonts w:ascii="Arial" w:hAnsi="Arial" w:cs="Arial"/>
          <w:sz w:val="24"/>
          <w:szCs w:val="24"/>
        </w:rPr>
        <w:t xml:space="preserve">ease in consequence of default by the </w:t>
      </w:r>
      <w:r w:rsidR="00013331">
        <w:rPr>
          <w:rFonts w:ascii="Arial" w:hAnsi="Arial" w:cs="Arial"/>
          <w:sz w:val="24"/>
          <w:szCs w:val="24"/>
        </w:rPr>
        <w:t>Respondent Trust</w:t>
      </w:r>
      <w:r w:rsidR="00477618">
        <w:rPr>
          <w:rFonts w:ascii="Arial" w:hAnsi="Arial" w:cs="Arial"/>
          <w:sz w:val="24"/>
          <w:szCs w:val="24"/>
        </w:rPr>
        <w:t xml:space="preserve"> unless- </w:t>
      </w:r>
    </w:p>
    <w:p w:rsidR="00477618" w:rsidRDefault="00477618" w:rsidP="00477618">
      <w:pPr>
        <w:pStyle w:val="ListParagraph"/>
        <w:widowControl w:val="0"/>
        <w:numPr>
          <w:ilvl w:val="0"/>
          <w:numId w:val="2"/>
        </w:numPr>
        <w:tabs>
          <w:tab w:val="left" w:pos="8931"/>
        </w:tabs>
        <w:kinsoku w:val="0"/>
        <w:overflowPunct w:val="0"/>
        <w:autoSpaceDE w:val="0"/>
        <w:autoSpaceDN w:val="0"/>
        <w:adjustRightInd w:val="0"/>
        <w:spacing w:after="0" w:line="360" w:lineRule="auto"/>
        <w:ind w:right="440"/>
        <w:jc w:val="both"/>
        <w:rPr>
          <w:rFonts w:ascii="Arial" w:hAnsi="Arial" w:cs="Arial"/>
          <w:sz w:val="24"/>
          <w:szCs w:val="24"/>
        </w:rPr>
      </w:pPr>
      <w:r>
        <w:rPr>
          <w:rFonts w:ascii="Arial" w:hAnsi="Arial" w:cs="Arial"/>
          <w:sz w:val="24"/>
          <w:szCs w:val="24"/>
        </w:rPr>
        <w:t xml:space="preserve">the </w:t>
      </w:r>
      <w:r w:rsidR="00103989">
        <w:rPr>
          <w:rFonts w:ascii="Arial" w:hAnsi="Arial" w:cs="Arial"/>
          <w:sz w:val="24"/>
          <w:szCs w:val="24"/>
        </w:rPr>
        <w:t>Applicant Trust</w:t>
      </w:r>
      <w:r>
        <w:rPr>
          <w:rFonts w:ascii="Arial" w:hAnsi="Arial" w:cs="Arial"/>
          <w:sz w:val="24"/>
          <w:szCs w:val="24"/>
        </w:rPr>
        <w:t xml:space="preserve"> has given FirstRand Bank notice of the default</w:t>
      </w:r>
      <w:r w:rsidR="000237A8">
        <w:rPr>
          <w:rFonts w:ascii="Arial" w:hAnsi="Arial" w:cs="Arial"/>
          <w:sz w:val="24"/>
          <w:szCs w:val="24"/>
        </w:rPr>
        <w:t xml:space="preserve"> (by the Respondent Trust)</w:t>
      </w:r>
      <w:r>
        <w:rPr>
          <w:rFonts w:ascii="Arial" w:hAnsi="Arial" w:cs="Arial"/>
          <w:sz w:val="24"/>
          <w:szCs w:val="24"/>
        </w:rPr>
        <w:t xml:space="preserve"> and its intention to cancel the Sub-lease; and</w:t>
      </w:r>
    </w:p>
    <w:p w:rsidR="00477618" w:rsidRDefault="00477618" w:rsidP="00477618">
      <w:pPr>
        <w:pStyle w:val="ListParagraph"/>
        <w:widowControl w:val="0"/>
        <w:numPr>
          <w:ilvl w:val="0"/>
          <w:numId w:val="2"/>
        </w:numPr>
        <w:tabs>
          <w:tab w:val="left" w:pos="8931"/>
        </w:tabs>
        <w:kinsoku w:val="0"/>
        <w:overflowPunct w:val="0"/>
        <w:autoSpaceDE w:val="0"/>
        <w:autoSpaceDN w:val="0"/>
        <w:adjustRightInd w:val="0"/>
        <w:spacing w:after="0" w:line="360" w:lineRule="auto"/>
        <w:ind w:right="440"/>
        <w:jc w:val="both"/>
        <w:rPr>
          <w:rFonts w:ascii="Arial" w:hAnsi="Arial" w:cs="Arial"/>
          <w:sz w:val="24"/>
          <w:szCs w:val="24"/>
        </w:rPr>
      </w:pPr>
      <w:r>
        <w:rPr>
          <w:rFonts w:ascii="Arial" w:hAnsi="Arial" w:cs="Arial"/>
          <w:sz w:val="24"/>
          <w:szCs w:val="24"/>
        </w:rPr>
        <w:t xml:space="preserve">a reasonable period of time, being not less than </w:t>
      </w:r>
      <w:r w:rsidRPr="00353BDE">
        <w:rPr>
          <w:rFonts w:ascii="Arial" w:hAnsi="Arial" w:cs="Arial"/>
          <w:sz w:val="24"/>
          <w:szCs w:val="24"/>
          <w:u w:val="single"/>
        </w:rPr>
        <w:t>20 days has passed subsequent to:</w:t>
      </w:r>
    </w:p>
    <w:p w:rsidR="00477618" w:rsidRDefault="00477618" w:rsidP="00477618">
      <w:pPr>
        <w:pStyle w:val="ListParagraph"/>
        <w:widowControl w:val="0"/>
        <w:numPr>
          <w:ilvl w:val="1"/>
          <w:numId w:val="2"/>
        </w:numPr>
        <w:tabs>
          <w:tab w:val="left" w:pos="8931"/>
        </w:tabs>
        <w:kinsoku w:val="0"/>
        <w:overflowPunct w:val="0"/>
        <w:autoSpaceDE w:val="0"/>
        <w:autoSpaceDN w:val="0"/>
        <w:adjustRightInd w:val="0"/>
        <w:spacing w:after="0" w:line="360" w:lineRule="auto"/>
        <w:ind w:right="440"/>
        <w:jc w:val="both"/>
        <w:rPr>
          <w:rFonts w:ascii="Arial" w:hAnsi="Arial" w:cs="Arial"/>
          <w:sz w:val="24"/>
          <w:szCs w:val="24"/>
        </w:rPr>
      </w:pPr>
      <w:r>
        <w:rPr>
          <w:rFonts w:ascii="Arial" w:hAnsi="Arial" w:cs="Arial"/>
          <w:sz w:val="24"/>
          <w:szCs w:val="24"/>
        </w:rPr>
        <w:t xml:space="preserve">the date of delivery to FirstRand Bank at its </w:t>
      </w:r>
      <w:r w:rsidRPr="008F7AA6">
        <w:rPr>
          <w:rFonts w:ascii="Arial" w:hAnsi="Arial" w:cs="Arial"/>
          <w:i/>
          <w:sz w:val="24"/>
          <w:szCs w:val="24"/>
        </w:rPr>
        <w:t>domiciluim</w:t>
      </w:r>
      <w:r>
        <w:rPr>
          <w:rFonts w:ascii="Arial" w:hAnsi="Arial" w:cs="Arial"/>
          <w:sz w:val="24"/>
          <w:szCs w:val="24"/>
        </w:rPr>
        <w:t xml:space="preserve"> address </w:t>
      </w:r>
      <w:r w:rsidR="0034250D">
        <w:rPr>
          <w:rFonts w:ascii="Arial" w:hAnsi="Arial" w:cs="Arial"/>
          <w:sz w:val="24"/>
          <w:szCs w:val="24"/>
        </w:rPr>
        <w:t xml:space="preserve">of </w:t>
      </w:r>
      <w:r>
        <w:rPr>
          <w:rFonts w:ascii="Arial" w:hAnsi="Arial" w:cs="Arial"/>
          <w:sz w:val="24"/>
          <w:szCs w:val="24"/>
        </w:rPr>
        <w:t xml:space="preserve">such   </w:t>
      </w:r>
    </w:p>
    <w:p w:rsidR="00477618" w:rsidRDefault="00477618" w:rsidP="00477618">
      <w:pPr>
        <w:pStyle w:val="ListParagraph"/>
        <w:widowControl w:val="0"/>
        <w:tabs>
          <w:tab w:val="left" w:pos="8931"/>
        </w:tabs>
        <w:kinsoku w:val="0"/>
        <w:overflowPunct w:val="0"/>
        <w:autoSpaceDE w:val="0"/>
        <w:autoSpaceDN w:val="0"/>
        <w:adjustRightInd w:val="0"/>
        <w:spacing w:after="0" w:line="360" w:lineRule="auto"/>
        <w:ind w:left="1755" w:right="440"/>
        <w:jc w:val="both"/>
        <w:rPr>
          <w:rFonts w:ascii="Arial" w:hAnsi="Arial" w:cs="Arial"/>
          <w:sz w:val="24"/>
          <w:szCs w:val="24"/>
        </w:rPr>
      </w:pPr>
      <w:r>
        <w:rPr>
          <w:rFonts w:ascii="Arial" w:hAnsi="Arial" w:cs="Arial"/>
          <w:sz w:val="24"/>
          <w:szCs w:val="24"/>
        </w:rPr>
        <w:t>notice; or</w:t>
      </w:r>
    </w:p>
    <w:p w:rsidR="00477618" w:rsidRDefault="00477618" w:rsidP="0034250D">
      <w:pPr>
        <w:pStyle w:val="ListParagraph"/>
        <w:widowControl w:val="0"/>
        <w:numPr>
          <w:ilvl w:val="1"/>
          <w:numId w:val="2"/>
        </w:numPr>
        <w:tabs>
          <w:tab w:val="left" w:pos="8931"/>
        </w:tabs>
        <w:kinsoku w:val="0"/>
        <w:overflowPunct w:val="0"/>
        <w:autoSpaceDE w:val="0"/>
        <w:autoSpaceDN w:val="0"/>
        <w:adjustRightInd w:val="0"/>
        <w:spacing w:after="0" w:line="360" w:lineRule="auto"/>
        <w:ind w:right="440"/>
        <w:jc w:val="both"/>
        <w:rPr>
          <w:rFonts w:ascii="Arial" w:hAnsi="Arial" w:cs="Arial"/>
          <w:sz w:val="24"/>
          <w:szCs w:val="24"/>
        </w:rPr>
      </w:pPr>
      <w:r>
        <w:rPr>
          <w:rFonts w:ascii="Arial" w:hAnsi="Arial" w:cs="Arial"/>
          <w:sz w:val="24"/>
          <w:szCs w:val="24"/>
        </w:rPr>
        <w:t xml:space="preserve">the </w:t>
      </w:r>
      <w:r w:rsidRPr="00353BDE">
        <w:rPr>
          <w:rFonts w:ascii="Arial" w:hAnsi="Arial" w:cs="Arial"/>
          <w:sz w:val="24"/>
          <w:szCs w:val="24"/>
          <w:u w:val="single"/>
        </w:rPr>
        <w:t xml:space="preserve">expiry of the period stated </w:t>
      </w:r>
      <w:r w:rsidR="0034250D" w:rsidRPr="00353BDE">
        <w:rPr>
          <w:rFonts w:ascii="Arial" w:hAnsi="Arial" w:cs="Arial"/>
          <w:sz w:val="24"/>
          <w:szCs w:val="24"/>
          <w:u w:val="single"/>
        </w:rPr>
        <w:t xml:space="preserve">in </w:t>
      </w:r>
      <w:r w:rsidRPr="00353BDE">
        <w:rPr>
          <w:rFonts w:ascii="Arial" w:hAnsi="Arial" w:cs="Arial"/>
          <w:sz w:val="24"/>
          <w:szCs w:val="24"/>
          <w:u w:val="single"/>
        </w:rPr>
        <w:t>a notice</w:t>
      </w:r>
      <w:r w:rsidR="000237A8">
        <w:rPr>
          <w:rFonts w:ascii="Arial" w:hAnsi="Arial" w:cs="Arial"/>
          <w:sz w:val="24"/>
          <w:szCs w:val="24"/>
          <w:u w:val="single"/>
        </w:rPr>
        <w:t xml:space="preserve"> (letter of demand)</w:t>
      </w:r>
      <w:r w:rsidRPr="00353BDE">
        <w:rPr>
          <w:rFonts w:ascii="Arial" w:hAnsi="Arial" w:cs="Arial"/>
          <w:sz w:val="24"/>
          <w:szCs w:val="24"/>
          <w:u w:val="single"/>
        </w:rPr>
        <w:t xml:space="preserve"> to the </w:t>
      </w:r>
      <w:r w:rsidR="00013331">
        <w:rPr>
          <w:rFonts w:ascii="Arial" w:hAnsi="Arial" w:cs="Arial"/>
          <w:sz w:val="24"/>
          <w:szCs w:val="24"/>
          <w:u w:val="single"/>
        </w:rPr>
        <w:t>Respondent Trust</w:t>
      </w:r>
      <w:r w:rsidR="0034250D">
        <w:rPr>
          <w:rFonts w:ascii="Arial" w:hAnsi="Arial" w:cs="Arial"/>
          <w:sz w:val="24"/>
          <w:szCs w:val="24"/>
        </w:rPr>
        <w:t xml:space="preserve">, a copy of which notice shall simultaneously be provided to FirstRand Bank, within which the </w:t>
      </w:r>
      <w:r w:rsidR="00013331">
        <w:rPr>
          <w:rFonts w:ascii="Arial" w:hAnsi="Arial" w:cs="Arial"/>
          <w:sz w:val="24"/>
          <w:szCs w:val="24"/>
        </w:rPr>
        <w:t>Respondent Trust</w:t>
      </w:r>
      <w:r w:rsidR="0034250D">
        <w:rPr>
          <w:rFonts w:ascii="Arial" w:hAnsi="Arial" w:cs="Arial"/>
          <w:sz w:val="24"/>
          <w:szCs w:val="24"/>
        </w:rPr>
        <w:t xml:space="preserve"> is required to remedy the default;</w:t>
      </w:r>
    </w:p>
    <w:p w:rsidR="0034250D" w:rsidRDefault="0034250D" w:rsidP="0034250D">
      <w:pPr>
        <w:pStyle w:val="ListParagraph"/>
        <w:widowControl w:val="0"/>
        <w:tabs>
          <w:tab w:val="left" w:pos="8931"/>
        </w:tabs>
        <w:kinsoku w:val="0"/>
        <w:overflowPunct w:val="0"/>
        <w:autoSpaceDE w:val="0"/>
        <w:autoSpaceDN w:val="0"/>
        <w:adjustRightInd w:val="0"/>
        <w:spacing w:after="0" w:line="360" w:lineRule="auto"/>
        <w:ind w:left="1755" w:right="440"/>
        <w:jc w:val="both"/>
        <w:rPr>
          <w:rFonts w:ascii="Arial" w:hAnsi="Arial" w:cs="Arial"/>
          <w:sz w:val="24"/>
          <w:szCs w:val="24"/>
        </w:rPr>
      </w:pPr>
    </w:p>
    <w:p w:rsidR="0034250D" w:rsidRDefault="0034250D" w:rsidP="0034250D">
      <w:pPr>
        <w:pStyle w:val="ListParagraph"/>
        <w:widowControl w:val="0"/>
        <w:tabs>
          <w:tab w:val="left" w:pos="8931"/>
        </w:tabs>
        <w:kinsoku w:val="0"/>
        <w:overflowPunct w:val="0"/>
        <w:autoSpaceDE w:val="0"/>
        <w:autoSpaceDN w:val="0"/>
        <w:adjustRightInd w:val="0"/>
        <w:spacing w:after="0" w:line="360" w:lineRule="auto"/>
        <w:ind w:left="1755" w:right="440"/>
        <w:jc w:val="both"/>
        <w:rPr>
          <w:rFonts w:ascii="Arial" w:hAnsi="Arial" w:cs="Arial"/>
          <w:sz w:val="24"/>
          <w:szCs w:val="24"/>
        </w:rPr>
      </w:pPr>
      <w:r>
        <w:rPr>
          <w:rFonts w:ascii="Arial" w:hAnsi="Arial" w:cs="Arial"/>
          <w:sz w:val="24"/>
          <w:szCs w:val="24"/>
        </w:rPr>
        <w:t>-</w:t>
      </w:r>
      <w:r w:rsidRPr="008F7AA6">
        <w:rPr>
          <w:rFonts w:ascii="Arial" w:hAnsi="Arial" w:cs="Arial"/>
          <w:sz w:val="24"/>
          <w:szCs w:val="24"/>
          <w:u w:val="single"/>
        </w:rPr>
        <w:t>whichever is the later date</w:t>
      </w:r>
      <w:r>
        <w:rPr>
          <w:rFonts w:ascii="Arial" w:hAnsi="Arial" w:cs="Arial"/>
          <w:sz w:val="24"/>
          <w:szCs w:val="24"/>
        </w:rPr>
        <w:t xml:space="preserve">, within which to procure that such default is remedied. </w:t>
      </w:r>
      <w:r w:rsidR="00353BDE">
        <w:rPr>
          <w:rFonts w:ascii="Arial" w:hAnsi="Arial" w:cs="Arial"/>
          <w:sz w:val="24"/>
          <w:szCs w:val="24"/>
        </w:rPr>
        <w:t>(emphasis added)</w:t>
      </w:r>
    </w:p>
    <w:p w:rsidR="00AC0EE4" w:rsidRDefault="00AC0EE4" w:rsidP="0034250D">
      <w:pPr>
        <w:pStyle w:val="ListParagraph"/>
        <w:widowControl w:val="0"/>
        <w:tabs>
          <w:tab w:val="left" w:pos="8931"/>
        </w:tabs>
        <w:kinsoku w:val="0"/>
        <w:overflowPunct w:val="0"/>
        <w:autoSpaceDE w:val="0"/>
        <w:autoSpaceDN w:val="0"/>
        <w:adjustRightInd w:val="0"/>
        <w:spacing w:after="0" w:line="360" w:lineRule="auto"/>
        <w:ind w:left="1755" w:right="440"/>
        <w:jc w:val="both"/>
        <w:rPr>
          <w:rFonts w:ascii="Arial" w:hAnsi="Arial" w:cs="Arial"/>
          <w:sz w:val="24"/>
          <w:szCs w:val="24"/>
        </w:rPr>
      </w:pPr>
    </w:p>
    <w:p w:rsidR="00A87CA6" w:rsidRDefault="0034250D" w:rsidP="00337DFB">
      <w:pPr>
        <w:pStyle w:val="ListParagraph"/>
        <w:widowControl w:val="0"/>
        <w:tabs>
          <w:tab w:val="left" w:pos="8931"/>
        </w:tabs>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[4</w:t>
      </w:r>
      <w:r w:rsidR="00EA4926">
        <w:rPr>
          <w:rFonts w:ascii="Arial" w:hAnsi="Arial" w:cs="Arial"/>
          <w:sz w:val="24"/>
          <w:szCs w:val="24"/>
        </w:rPr>
        <w:t>6</w:t>
      </w:r>
      <w:r>
        <w:rPr>
          <w:rFonts w:ascii="Arial" w:hAnsi="Arial" w:cs="Arial"/>
          <w:sz w:val="24"/>
          <w:szCs w:val="24"/>
        </w:rPr>
        <w:t>]</w:t>
      </w:r>
      <w:r>
        <w:rPr>
          <w:rFonts w:ascii="Arial" w:hAnsi="Arial" w:cs="Arial"/>
          <w:sz w:val="24"/>
          <w:szCs w:val="24"/>
        </w:rPr>
        <w:tab/>
        <w:t xml:space="preserve">On 24 August 2022 the </w:t>
      </w:r>
      <w:r w:rsidR="00013331">
        <w:rPr>
          <w:rFonts w:ascii="Arial" w:hAnsi="Arial" w:cs="Arial"/>
          <w:sz w:val="24"/>
          <w:szCs w:val="24"/>
        </w:rPr>
        <w:t>Respondent Trust</w:t>
      </w:r>
      <w:r>
        <w:rPr>
          <w:rFonts w:ascii="Arial" w:hAnsi="Arial" w:cs="Arial"/>
          <w:sz w:val="24"/>
          <w:szCs w:val="24"/>
        </w:rPr>
        <w:t xml:space="preserve"> was afforded 20 days</w:t>
      </w:r>
      <w:r w:rsidR="00AC0EE4">
        <w:rPr>
          <w:rFonts w:ascii="Arial" w:hAnsi="Arial" w:cs="Arial"/>
          <w:sz w:val="24"/>
          <w:szCs w:val="24"/>
        </w:rPr>
        <w:t>,</w:t>
      </w:r>
      <w:r>
        <w:rPr>
          <w:rFonts w:ascii="Arial" w:hAnsi="Arial" w:cs="Arial"/>
          <w:sz w:val="24"/>
          <w:szCs w:val="24"/>
        </w:rPr>
        <w:t xml:space="preserve"> in terms of the demand, to remedy its breach of the sub-Lease. </w:t>
      </w:r>
      <w:r w:rsidR="00A87CA6">
        <w:rPr>
          <w:rFonts w:ascii="Arial" w:hAnsi="Arial" w:cs="Arial"/>
          <w:sz w:val="24"/>
          <w:szCs w:val="24"/>
        </w:rPr>
        <w:t xml:space="preserve">On 27 September 2022 the </w:t>
      </w:r>
      <w:r w:rsidR="00103989">
        <w:rPr>
          <w:rFonts w:ascii="Arial" w:hAnsi="Arial" w:cs="Arial"/>
          <w:sz w:val="24"/>
          <w:szCs w:val="24"/>
        </w:rPr>
        <w:t>Applicant Trust</w:t>
      </w:r>
      <w:r w:rsidR="00A87CA6">
        <w:rPr>
          <w:rFonts w:ascii="Arial" w:hAnsi="Arial" w:cs="Arial"/>
          <w:sz w:val="24"/>
          <w:szCs w:val="24"/>
        </w:rPr>
        <w:t xml:space="preserve">’s attorneys addressed a letter to the </w:t>
      </w:r>
      <w:r w:rsidR="00013331">
        <w:rPr>
          <w:rFonts w:ascii="Arial" w:hAnsi="Arial" w:cs="Arial"/>
          <w:sz w:val="24"/>
          <w:szCs w:val="24"/>
        </w:rPr>
        <w:t>Respondent Trust</w:t>
      </w:r>
      <w:r w:rsidR="00A87CA6">
        <w:rPr>
          <w:rFonts w:ascii="Arial" w:hAnsi="Arial" w:cs="Arial"/>
          <w:sz w:val="24"/>
          <w:szCs w:val="24"/>
        </w:rPr>
        <w:t xml:space="preserve"> cancelling the Sub-Lease. On a proper reading of FA10, the </w:t>
      </w:r>
      <w:r w:rsidR="00103989">
        <w:rPr>
          <w:rFonts w:ascii="Arial" w:hAnsi="Arial" w:cs="Arial"/>
          <w:sz w:val="24"/>
          <w:szCs w:val="24"/>
        </w:rPr>
        <w:t>Applicant Trust</w:t>
      </w:r>
      <w:r w:rsidR="00A87CA6">
        <w:rPr>
          <w:rFonts w:ascii="Arial" w:hAnsi="Arial" w:cs="Arial"/>
          <w:sz w:val="24"/>
          <w:szCs w:val="24"/>
        </w:rPr>
        <w:t xml:space="preserve"> furnished an express undertaking that it would not cancel the Sub-Lease unless it afforded the </w:t>
      </w:r>
      <w:r w:rsidR="00013331">
        <w:rPr>
          <w:rFonts w:ascii="Arial" w:hAnsi="Arial" w:cs="Arial"/>
          <w:sz w:val="24"/>
          <w:szCs w:val="24"/>
        </w:rPr>
        <w:t>Respondent Trust</w:t>
      </w:r>
      <w:r w:rsidR="00A87CA6">
        <w:rPr>
          <w:rFonts w:ascii="Arial" w:hAnsi="Arial" w:cs="Arial"/>
          <w:sz w:val="24"/>
          <w:szCs w:val="24"/>
        </w:rPr>
        <w:t xml:space="preserve"> an additional period of 20 days after the expiry of the period stated in the notice. In the notice of demand, the period is not stated as 7 days as per the Sub-Lease, but 20 days. Therefore, the </w:t>
      </w:r>
      <w:r w:rsidR="00103989">
        <w:rPr>
          <w:rFonts w:ascii="Arial" w:hAnsi="Arial" w:cs="Arial"/>
          <w:sz w:val="24"/>
          <w:szCs w:val="24"/>
        </w:rPr>
        <w:t>Applicant Trust</w:t>
      </w:r>
      <w:r w:rsidR="00A87CA6">
        <w:rPr>
          <w:rFonts w:ascii="Arial" w:hAnsi="Arial" w:cs="Arial"/>
          <w:sz w:val="24"/>
          <w:szCs w:val="24"/>
        </w:rPr>
        <w:t xml:space="preserve"> was</w:t>
      </w:r>
      <w:r w:rsidR="0065374B">
        <w:rPr>
          <w:rFonts w:ascii="Arial" w:hAnsi="Arial" w:cs="Arial"/>
          <w:sz w:val="24"/>
          <w:szCs w:val="24"/>
        </w:rPr>
        <w:t xml:space="preserve"> only</w:t>
      </w:r>
      <w:r w:rsidR="00A87CA6">
        <w:rPr>
          <w:rFonts w:ascii="Arial" w:hAnsi="Arial" w:cs="Arial"/>
          <w:sz w:val="24"/>
          <w:szCs w:val="24"/>
        </w:rPr>
        <w:t xml:space="preserve"> entitled to cancel the Sub-Lease in consequence of default of the </w:t>
      </w:r>
      <w:r w:rsidR="00013331">
        <w:rPr>
          <w:rFonts w:ascii="Arial" w:hAnsi="Arial" w:cs="Arial"/>
          <w:sz w:val="24"/>
          <w:szCs w:val="24"/>
        </w:rPr>
        <w:t>Respondent Trust</w:t>
      </w:r>
      <w:r w:rsidR="00A87CA6">
        <w:rPr>
          <w:rFonts w:ascii="Arial" w:hAnsi="Arial" w:cs="Arial"/>
          <w:sz w:val="24"/>
          <w:szCs w:val="24"/>
        </w:rPr>
        <w:t xml:space="preserve"> </w:t>
      </w:r>
      <w:r w:rsidR="00AC0EE4">
        <w:rPr>
          <w:rFonts w:ascii="Arial" w:hAnsi="Arial" w:cs="Arial"/>
          <w:sz w:val="24"/>
          <w:szCs w:val="24"/>
        </w:rPr>
        <w:t xml:space="preserve">subsequent to the expiry of </w:t>
      </w:r>
      <w:r w:rsidR="00A87CA6">
        <w:rPr>
          <w:rFonts w:ascii="Arial" w:hAnsi="Arial" w:cs="Arial"/>
          <w:sz w:val="24"/>
          <w:szCs w:val="24"/>
        </w:rPr>
        <w:t>20 day</w:t>
      </w:r>
      <w:r w:rsidR="00AC0EE4">
        <w:rPr>
          <w:rFonts w:ascii="Arial" w:hAnsi="Arial" w:cs="Arial"/>
          <w:sz w:val="24"/>
          <w:szCs w:val="24"/>
        </w:rPr>
        <w:t xml:space="preserve">s (in accordance with FA10) after the </w:t>
      </w:r>
      <w:r w:rsidR="007518A1">
        <w:rPr>
          <w:rFonts w:ascii="Arial" w:hAnsi="Arial" w:cs="Arial"/>
          <w:sz w:val="24"/>
          <w:szCs w:val="24"/>
        </w:rPr>
        <w:t xml:space="preserve">lapse of the </w:t>
      </w:r>
      <w:r w:rsidR="00AC0EE4">
        <w:rPr>
          <w:rFonts w:ascii="Arial" w:hAnsi="Arial" w:cs="Arial"/>
          <w:sz w:val="24"/>
          <w:szCs w:val="24"/>
        </w:rPr>
        <w:t>20- day</w:t>
      </w:r>
      <w:r w:rsidR="00A87CA6">
        <w:rPr>
          <w:rFonts w:ascii="Arial" w:hAnsi="Arial" w:cs="Arial"/>
          <w:sz w:val="24"/>
          <w:szCs w:val="24"/>
        </w:rPr>
        <w:t xml:space="preserve"> period stated in the notice </w:t>
      </w:r>
      <w:r w:rsidR="00AC0EE4">
        <w:rPr>
          <w:rFonts w:ascii="Arial" w:hAnsi="Arial" w:cs="Arial"/>
          <w:sz w:val="24"/>
          <w:szCs w:val="24"/>
        </w:rPr>
        <w:t xml:space="preserve">dated 24 August 2022.  The initial 20-day period expired on 13 September 2022. The additional 20-day period expired on 3 October 2022. </w:t>
      </w:r>
    </w:p>
    <w:p w:rsidR="00AC0EE4" w:rsidRDefault="00AC0EE4" w:rsidP="00A87CA6">
      <w:pPr>
        <w:pStyle w:val="ListParagraph"/>
        <w:widowControl w:val="0"/>
        <w:tabs>
          <w:tab w:val="left" w:pos="8931"/>
        </w:tabs>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EA4926" w:rsidRDefault="00AC0EE4" w:rsidP="00337DFB">
      <w:pPr>
        <w:pStyle w:val="ListParagraph"/>
        <w:widowControl w:val="0"/>
        <w:tabs>
          <w:tab w:val="left" w:pos="8931"/>
        </w:tabs>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[4</w:t>
      </w:r>
      <w:r w:rsidR="00EA4926">
        <w:rPr>
          <w:rFonts w:ascii="Arial" w:hAnsi="Arial" w:cs="Arial"/>
          <w:sz w:val="24"/>
          <w:szCs w:val="24"/>
        </w:rPr>
        <w:t>7</w:t>
      </w:r>
      <w:r>
        <w:rPr>
          <w:rFonts w:ascii="Arial" w:hAnsi="Arial" w:cs="Arial"/>
          <w:sz w:val="24"/>
          <w:szCs w:val="24"/>
        </w:rPr>
        <w:t>]</w:t>
      </w:r>
      <w:r>
        <w:rPr>
          <w:rFonts w:ascii="Arial" w:hAnsi="Arial" w:cs="Arial"/>
          <w:sz w:val="24"/>
          <w:szCs w:val="24"/>
        </w:rPr>
        <w:tab/>
      </w:r>
      <w:r w:rsidR="00B01CDC">
        <w:rPr>
          <w:rFonts w:ascii="Arial" w:hAnsi="Arial" w:cs="Arial"/>
          <w:sz w:val="24"/>
          <w:szCs w:val="24"/>
        </w:rPr>
        <w:t>On its own version</w:t>
      </w:r>
      <w:r w:rsidR="00FC72EC">
        <w:rPr>
          <w:rFonts w:ascii="Arial" w:hAnsi="Arial" w:cs="Arial"/>
          <w:sz w:val="24"/>
          <w:szCs w:val="24"/>
        </w:rPr>
        <w:t xml:space="preserve">, and as Mr Grobler </w:t>
      </w:r>
      <w:r w:rsidR="00BF033D">
        <w:rPr>
          <w:rFonts w:ascii="Arial" w:hAnsi="Arial" w:cs="Arial"/>
          <w:sz w:val="24"/>
          <w:szCs w:val="24"/>
        </w:rPr>
        <w:t>SC</w:t>
      </w:r>
      <w:r w:rsidR="00FC72EC">
        <w:rPr>
          <w:rFonts w:ascii="Arial" w:hAnsi="Arial" w:cs="Arial"/>
          <w:sz w:val="24"/>
          <w:szCs w:val="24"/>
        </w:rPr>
        <w:t xml:space="preserve"> contended, in a show of good faith,</w:t>
      </w:r>
      <w:r w:rsidR="00B01CDC">
        <w:rPr>
          <w:rFonts w:ascii="Arial" w:hAnsi="Arial" w:cs="Arial"/>
          <w:sz w:val="24"/>
          <w:szCs w:val="24"/>
        </w:rPr>
        <w:t xml:space="preserve"> the </w:t>
      </w:r>
      <w:r w:rsidR="00103989">
        <w:rPr>
          <w:rFonts w:ascii="Arial" w:hAnsi="Arial" w:cs="Arial"/>
          <w:sz w:val="24"/>
          <w:szCs w:val="24"/>
        </w:rPr>
        <w:t>Applicant Trust</w:t>
      </w:r>
      <w:r w:rsidR="00B01CDC">
        <w:rPr>
          <w:rFonts w:ascii="Arial" w:hAnsi="Arial" w:cs="Arial"/>
          <w:sz w:val="24"/>
          <w:szCs w:val="24"/>
        </w:rPr>
        <w:t xml:space="preserve"> afforded the </w:t>
      </w:r>
      <w:r w:rsidR="00013331">
        <w:rPr>
          <w:rFonts w:ascii="Arial" w:hAnsi="Arial" w:cs="Arial"/>
          <w:sz w:val="24"/>
          <w:szCs w:val="24"/>
        </w:rPr>
        <w:t>Respondent Trust</w:t>
      </w:r>
      <w:r w:rsidR="00B01CDC">
        <w:rPr>
          <w:rFonts w:ascii="Arial" w:hAnsi="Arial" w:cs="Arial"/>
          <w:sz w:val="24"/>
          <w:szCs w:val="24"/>
        </w:rPr>
        <w:t xml:space="preserve"> 13 days more tha</w:t>
      </w:r>
      <w:r w:rsidR="00FC72EC">
        <w:rPr>
          <w:rFonts w:ascii="Arial" w:hAnsi="Arial" w:cs="Arial"/>
          <w:sz w:val="24"/>
          <w:szCs w:val="24"/>
        </w:rPr>
        <w:t>n</w:t>
      </w:r>
      <w:r w:rsidR="00B01CDC">
        <w:rPr>
          <w:rFonts w:ascii="Arial" w:hAnsi="Arial" w:cs="Arial"/>
          <w:sz w:val="24"/>
          <w:szCs w:val="24"/>
        </w:rPr>
        <w:t xml:space="preserve"> it could have done to remedy its breach of the Sub-Lease.</w:t>
      </w:r>
      <w:r w:rsidR="00046B3F">
        <w:rPr>
          <w:rFonts w:ascii="Arial" w:hAnsi="Arial" w:cs="Arial"/>
          <w:sz w:val="24"/>
          <w:szCs w:val="24"/>
        </w:rPr>
        <w:t xml:space="preserve"> The </w:t>
      </w:r>
      <w:r w:rsidR="00013331">
        <w:rPr>
          <w:rFonts w:ascii="Arial" w:hAnsi="Arial" w:cs="Arial"/>
          <w:sz w:val="24"/>
          <w:szCs w:val="24"/>
        </w:rPr>
        <w:t>Respondent Trust</w:t>
      </w:r>
      <w:r w:rsidR="00046B3F">
        <w:rPr>
          <w:rFonts w:ascii="Arial" w:hAnsi="Arial" w:cs="Arial"/>
          <w:sz w:val="24"/>
          <w:szCs w:val="24"/>
        </w:rPr>
        <w:t xml:space="preserve"> contends</w:t>
      </w:r>
      <w:r w:rsidR="00CB0B43">
        <w:rPr>
          <w:rFonts w:ascii="Arial" w:hAnsi="Arial" w:cs="Arial"/>
          <w:sz w:val="24"/>
          <w:szCs w:val="24"/>
        </w:rPr>
        <w:t>,</w:t>
      </w:r>
      <w:r w:rsidR="00046B3F">
        <w:rPr>
          <w:rFonts w:ascii="Arial" w:hAnsi="Arial" w:cs="Arial"/>
          <w:sz w:val="24"/>
          <w:szCs w:val="24"/>
        </w:rPr>
        <w:t xml:space="preserve"> on various grounds</w:t>
      </w:r>
      <w:r w:rsidR="00CB0B43">
        <w:rPr>
          <w:rFonts w:ascii="Arial" w:hAnsi="Arial" w:cs="Arial"/>
          <w:sz w:val="24"/>
          <w:szCs w:val="24"/>
        </w:rPr>
        <w:t>,</w:t>
      </w:r>
      <w:r w:rsidR="00046B3F">
        <w:rPr>
          <w:rFonts w:ascii="Arial" w:hAnsi="Arial" w:cs="Arial"/>
          <w:sz w:val="24"/>
          <w:szCs w:val="24"/>
        </w:rPr>
        <w:t xml:space="preserve"> that the purported cancellation is not valid</w:t>
      </w:r>
      <w:r w:rsidR="00FC72EC">
        <w:rPr>
          <w:rFonts w:ascii="Arial" w:hAnsi="Arial" w:cs="Arial"/>
          <w:sz w:val="24"/>
          <w:szCs w:val="24"/>
        </w:rPr>
        <w:t>. O</w:t>
      </w:r>
      <w:r w:rsidR="00046B3F">
        <w:rPr>
          <w:rFonts w:ascii="Arial" w:hAnsi="Arial" w:cs="Arial"/>
          <w:sz w:val="24"/>
          <w:szCs w:val="24"/>
        </w:rPr>
        <w:t xml:space="preserve">ne </w:t>
      </w:r>
      <w:r w:rsidR="00FC72EC">
        <w:rPr>
          <w:rFonts w:ascii="Arial" w:hAnsi="Arial" w:cs="Arial"/>
          <w:sz w:val="24"/>
          <w:szCs w:val="24"/>
        </w:rPr>
        <w:t xml:space="preserve">reason </w:t>
      </w:r>
      <w:r w:rsidR="00046B3F">
        <w:rPr>
          <w:rFonts w:ascii="Arial" w:hAnsi="Arial" w:cs="Arial"/>
          <w:sz w:val="24"/>
          <w:szCs w:val="24"/>
        </w:rPr>
        <w:t>being</w:t>
      </w:r>
      <w:r w:rsidR="00D81553">
        <w:rPr>
          <w:rFonts w:ascii="Arial" w:hAnsi="Arial" w:cs="Arial"/>
          <w:sz w:val="24"/>
          <w:szCs w:val="24"/>
        </w:rPr>
        <w:t xml:space="preserve"> that the cancellation is premature. T</w:t>
      </w:r>
      <w:r w:rsidR="00046B3F">
        <w:rPr>
          <w:rFonts w:ascii="Arial" w:hAnsi="Arial" w:cs="Arial"/>
          <w:sz w:val="24"/>
          <w:szCs w:val="24"/>
        </w:rPr>
        <w:t xml:space="preserve">he day for payment of the monthly rental and other amounts was </w:t>
      </w:r>
      <w:r w:rsidR="00CB0B43">
        <w:rPr>
          <w:rFonts w:ascii="Arial" w:hAnsi="Arial" w:cs="Arial"/>
          <w:sz w:val="24"/>
          <w:szCs w:val="24"/>
        </w:rPr>
        <w:t xml:space="preserve">concluded to be the first day of every month. However, the invoices issued by the </w:t>
      </w:r>
      <w:r w:rsidR="00103989">
        <w:rPr>
          <w:rFonts w:ascii="Arial" w:hAnsi="Arial" w:cs="Arial"/>
          <w:sz w:val="24"/>
          <w:szCs w:val="24"/>
        </w:rPr>
        <w:t>Applicant Trust</w:t>
      </w:r>
      <w:r w:rsidR="00CB0B43">
        <w:rPr>
          <w:rFonts w:ascii="Arial" w:hAnsi="Arial" w:cs="Arial"/>
          <w:sz w:val="24"/>
          <w:szCs w:val="24"/>
        </w:rPr>
        <w:t xml:space="preserve"> indicated the date for payment to be the 7</w:t>
      </w:r>
      <w:r w:rsidR="00CB0B43" w:rsidRPr="00CB0B43">
        <w:rPr>
          <w:rFonts w:ascii="Arial" w:hAnsi="Arial" w:cs="Arial"/>
          <w:sz w:val="24"/>
          <w:szCs w:val="24"/>
          <w:vertAlign w:val="superscript"/>
        </w:rPr>
        <w:t>th</w:t>
      </w:r>
      <w:r w:rsidR="00CB0B43">
        <w:rPr>
          <w:rFonts w:ascii="Arial" w:hAnsi="Arial" w:cs="Arial"/>
          <w:sz w:val="24"/>
          <w:szCs w:val="24"/>
        </w:rPr>
        <w:t xml:space="preserve"> day of each month.</w:t>
      </w:r>
    </w:p>
    <w:p w:rsidR="00EA4926" w:rsidRDefault="00EA4926" w:rsidP="00A87CA6">
      <w:pPr>
        <w:pStyle w:val="ListParagraph"/>
        <w:widowControl w:val="0"/>
        <w:tabs>
          <w:tab w:val="left" w:pos="8931"/>
        </w:tabs>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A87CA6" w:rsidRDefault="00EA4926" w:rsidP="00337DFB">
      <w:pPr>
        <w:pStyle w:val="ListParagraph"/>
        <w:widowControl w:val="0"/>
        <w:tabs>
          <w:tab w:val="left" w:pos="8931"/>
        </w:tabs>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[48]</w:t>
      </w:r>
      <w:r>
        <w:rPr>
          <w:rFonts w:ascii="Arial" w:hAnsi="Arial" w:cs="Arial"/>
          <w:sz w:val="24"/>
          <w:szCs w:val="24"/>
        </w:rPr>
        <w:tab/>
      </w:r>
      <w:r w:rsidR="005B34D1">
        <w:rPr>
          <w:rFonts w:ascii="Arial" w:hAnsi="Arial" w:cs="Arial"/>
          <w:sz w:val="24"/>
          <w:szCs w:val="24"/>
        </w:rPr>
        <w:t xml:space="preserve">The Sub-Lease lays down a procedure for </w:t>
      </w:r>
      <w:r w:rsidR="00C84F73">
        <w:rPr>
          <w:rFonts w:ascii="Arial" w:hAnsi="Arial" w:cs="Arial"/>
          <w:sz w:val="24"/>
          <w:szCs w:val="24"/>
        </w:rPr>
        <w:t xml:space="preserve">the </w:t>
      </w:r>
      <w:r w:rsidR="005B34D1">
        <w:rPr>
          <w:rFonts w:ascii="Arial" w:hAnsi="Arial" w:cs="Arial"/>
          <w:sz w:val="24"/>
          <w:szCs w:val="24"/>
        </w:rPr>
        <w:t>cancellation</w:t>
      </w:r>
      <w:r w:rsidR="00C84F73">
        <w:rPr>
          <w:rFonts w:ascii="Arial" w:hAnsi="Arial" w:cs="Arial"/>
          <w:sz w:val="24"/>
          <w:szCs w:val="24"/>
        </w:rPr>
        <w:t xml:space="preserve"> hereof</w:t>
      </w:r>
      <w:r w:rsidR="005B34D1">
        <w:rPr>
          <w:rFonts w:ascii="Arial" w:hAnsi="Arial" w:cs="Arial"/>
          <w:sz w:val="24"/>
          <w:szCs w:val="24"/>
        </w:rPr>
        <w:t>. The Applicant Trust did not follow the procedure in respect of the time period within which the Respondent Trust had to be afforded to comply with the Sub-Lease. The letters of demand appended to the founding affidavit all provide for 20 days to rectify the breach, not 7 days as per the Sub-Lease. In my view the Applicant Trust cannot rely solely on this fact to validly cancel the Sub-Lease. In order for the Applicant Trust to succeed in this regard it had to show that it complied strictly with the peremptory provisions of the Sub-Lease. On its own version, the Applicant Trust did not comply with the time period to be afforded to the Respondent Trust</w:t>
      </w:r>
      <w:r w:rsidR="00C84F73">
        <w:rPr>
          <w:rFonts w:ascii="Arial" w:hAnsi="Arial" w:cs="Arial"/>
          <w:sz w:val="24"/>
          <w:szCs w:val="24"/>
        </w:rPr>
        <w:t>.</w:t>
      </w:r>
      <w:r w:rsidR="005B34D1">
        <w:rPr>
          <w:rFonts w:ascii="Arial" w:hAnsi="Arial" w:cs="Arial"/>
          <w:sz w:val="24"/>
          <w:szCs w:val="24"/>
        </w:rPr>
        <w:t xml:space="preserve"> </w:t>
      </w:r>
      <w:r w:rsidR="00C84F73">
        <w:rPr>
          <w:rFonts w:ascii="Arial" w:hAnsi="Arial" w:cs="Arial"/>
          <w:sz w:val="24"/>
          <w:szCs w:val="24"/>
        </w:rPr>
        <w:t xml:space="preserve">The Applicant Trust </w:t>
      </w:r>
      <w:r w:rsidR="005B34D1">
        <w:rPr>
          <w:rFonts w:ascii="Arial" w:hAnsi="Arial" w:cs="Arial"/>
          <w:sz w:val="24"/>
          <w:szCs w:val="24"/>
        </w:rPr>
        <w:t xml:space="preserve">now falls back on the non-variation clause. </w:t>
      </w:r>
      <w:r w:rsidR="00B01CDC">
        <w:rPr>
          <w:rFonts w:ascii="Arial" w:hAnsi="Arial" w:cs="Arial"/>
          <w:sz w:val="24"/>
          <w:szCs w:val="24"/>
        </w:rPr>
        <w:t xml:space="preserve"> The </w:t>
      </w:r>
      <w:r w:rsidR="00103989">
        <w:rPr>
          <w:rFonts w:ascii="Arial" w:hAnsi="Arial" w:cs="Arial"/>
          <w:sz w:val="24"/>
          <w:szCs w:val="24"/>
        </w:rPr>
        <w:t>Applicant Trust</w:t>
      </w:r>
      <w:r w:rsidR="006B2357">
        <w:rPr>
          <w:rFonts w:ascii="Arial" w:hAnsi="Arial" w:cs="Arial"/>
          <w:sz w:val="24"/>
          <w:szCs w:val="24"/>
        </w:rPr>
        <w:t>’</w:t>
      </w:r>
      <w:r w:rsidR="00B01CDC">
        <w:rPr>
          <w:rFonts w:ascii="Arial" w:hAnsi="Arial" w:cs="Arial"/>
          <w:sz w:val="24"/>
          <w:szCs w:val="24"/>
        </w:rPr>
        <w:t xml:space="preserve">s conduct </w:t>
      </w:r>
      <w:r>
        <w:rPr>
          <w:rFonts w:ascii="Arial" w:hAnsi="Arial" w:cs="Arial"/>
          <w:sz w:val="24"/>
          <w:szCs w:val="24"/>
        </w:rPr>
        <w:t xml:space="preserve">prior to its purported cancellation of the Sub-Lease </w:t>
      </w:r>
      <w:r w:rsidR="00B01CDC">
        <w:rPr>
          <w:rFonts w:ascii="Arial" w:hAnsi="Arial" w:cs="Arial"/>
          <w:sz w:val="24"/>
          <w:szCs w:val="24"/>
        </w:rPr>
        <w:t xml:space="preserve">contradicted its demand for strict compliance with the terms of the Sub-Lease. </w:t>
      </w:r>
    </w:p>
    <w:p w:rsidR="00BA6478" w:rsidRDefault="00BA6478" w:rsidP="00A87CA6">
      <w:pPr>
        <w:pStyle w:val="ListParagraph"/>
        <w:widowControl w:val="0"/>
        <w:tabs>
          <w:tab w:val="left" w:pos="8931"/>
        </w:tabs>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1C72B2" w:rsidRDefault="00BA6478" w:rsidP="00337DFB">
      <w:pPr>
        <w:pStyle w:val="ListParagraph"/>
        <w:widowControl w:val="0"/>
        <w:tabs>
          <w:tab w:val="left" w:pos="8931"/>
        </w:tabs>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[4</w:t>
      </w:r>
      <w:r w:rsidR="00EA4926">
        <w:rPr>
          <w:rFonts w:ascii="Arial" w:hAnsi="Arial" w:cs="Arial"/>
          <w:sz w:val="24"/>
          <w:szCs w:val="24"/>
        </w:rPr>
        <w:t>9</w:t>
      </w:r>
      <w:r>
        <w:rPr>
          <w:rFonts w:ascii="Arial" w:hAnsi="Arial" w:cs="Arial"/>
          <w:sz w:val="24"/>
          <w:szCs w:val="24"/>
        </w:rPr>
        <w:t>]</w:t>
      </w:r>
      <w:r>
        <w:rPr>
          <w:rFonts w:ascii="Arial" w:hAnsi="Arial" w:cs="Arial"/>
          <w:sz w:val="24"/>
          <w:szCs w:val="24"/>
        </w:rPr>
        <w:tab/>
      </w:r>
      <w:r w:rsidR="005B34D1">
        <w:rPr>
          <w:rFonts w:ascii="Arial" w:hAnsi="Arial" w:cs="Arial"/>
          <w:sz w:val="24"/>
          <w:szCs w:val="24"/>
        </w:rPr>
        <w:t>The Applicant Trust contends that the Respondent Trust and FirstRand Bank have not made the point clear in their answering affidavits that enforcement of the right to cancel the Sub-Lease would be against public policy. I do not agree with this contention. Under the heading “Public Policy” the point that the Applicant Trust’s belated reliance on the strict terms of the Sub-Lease on only 7 days’ notice in an atte</w:t>
      </w:r>
      <w:r w:rsidR="00337DFB">
        <w:rPr>
          <w:rFonts w:ascii="Arial" w:hAnsi="Arial" w:cs="Arial"/>
          <w:sz w:val="24"/>
          <w:szCs w:val="24"/>
        </w:rPr>
        <w:t>m</w:t>
      </w:r>
      <w:r w:rsidR="005B34D1">
        <w:rPr>
          <w:rFonts w:ascii="Arial" w:hAnsi="Arial" w:cs="Arial"/>
          <w:sz w:val="24"/>
          <w:szCs w:val="24"/>
        </w:rPr>
        <w:t>pt to cancel it</w:t>
      </w:r>
      <w:r w:rsidR="00337DFB">
        <w:rPr>
          <w:rFonts w:ascii="Arial" w:hAnsi="Arial" w:cs="Arial"/>
          <w:sz w:val="24"/>
          <w:szCs w:val="24"/>
        </w:rPr>
        <w:t>, is contrary to public policy</w:t>
      </w:r>
      <w:r w:rsidR="00C84F73">
        <w:rPr>
          <w:rFonts w:ascii="Arial" w:hAnsi="Arial" w:cs="Arial"/>
          <w:sz w:val="24"/>
          <w:szCs w:val="24"/>
        </w:rPr>
        <w:t>.</w:t>
      </w:r>
      <w:r w:rsidR="00337DFB">
        <w:rPr>
          <w:rFonts w:ascii="Arial" w:hAnsi="Arial" w:cs="Arial"/>
          <w:sz w:val="24"/>
          <w:szCs w:val="24"/>
        </w:rPr>
        <w:t xml:space="preserve"> </w:t>
      </w:r>
      <w:r w:rsidR="00C84F73">
        <w:rPr>
          <w:rFonts w:ascii="Arial" w:hAnsi="Arial" w:cs="Arial"/>
          <w:sz w:val="24"/>
          <w:szCs w:val="24"/>
        </w:rPr>
        <w:t>The</w:t>
      </w:r>
      <w:r w:rsidR="00337DFB">
        <w:rPr>
          <w:rFonts w:ascii="Arial" w:hAnsi="Arial" w:cs="Arial"/>
          <w:sz w:val="24"/>
          <w:szCs w:val="24"/>
        </w:rPr>
        <w:t xml:space="preserve"> reasons for this contention is addressed in not less than 3 pages. On behalf of the Respondent Trust and First Rand Bank it is therefore argued that the facts and circumstances of this </w:t>
      </w:r>
      <w:r w:rsidR="00C84F73">
        <w:rPr>
          <w:rFonts w:ascii="Arial" w:hAnsi="Arial" w:cs="Arial"/>
          <w:sz w:val="24"/>
          <w:szCs w:val="24"/>
        </w:rPr>
        <w:t>matter</w:t>
      </w:r>
      <w:r w:rsidR="00337DFB">
        <w:rPr>
          <w:rFonts w:ascii="Arial" w:hAnsi="Arial" w:cs="Arial"/>
          <w:sz w:val="24"/>
          <w:szCs w:val="24"/>
        </w:rPr>
        <w:t xml:space="preserve"> justify a departure from the Shifren principle. </w:t>
      </w:r>
    </w:p>
    <w:p w:rsidR="001C72B2" w:rsidRDefault="001C72B2" w:rsidP="00A87CA6">
      <w:pPr>
        <w:pStyle w:val="ListParagraph"/>
        <w:widowControl w:val="0"/>
        <w:tabs>
          <w:tab w:val="left" w:pos="8931"/>
        </w:tabs>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AB6A54" w:rsidRDefault="001C72B2" w:rsidP="00337DFB">
      <w:pPr>
        <w:pStyle w:val="ListParagraph"/>
        <w:widowControl w:val="0"/>
        <w:tabs>
          <w:tab w:val="left" w:pos="8931"/>
        </w:tabs>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337DFB">
        <w:rPr>
          <w:rFonts w:ascii="Arial" w:hAnsi="Arial" w:cs="Arial"/>
          <w:sz w:val="24"/>
          <w:szCs w:val="24"/>
        </w:rPr>
        <w:t>50</w:t>
      </w:r>
      <w:r>
        <w:rPr>
          <w:rFonts w:ascii="Arial" w:hAnsi="Arial" w:cs="Arial"/>
          <w:sz w:val="24"/>
          <w:szCs w:val="24"/>
        </w:rPr>
        <w:t>]</w:t>
      </w:r>
      <w:r>
        <w:rPr>
          <w:rFonts w:ascii="Arial" w:hAnsi="Arial" w:cs="Arial"/>
          <w:sz w:val="24"/>
          <w:szCs w:val="24"/>
        </w:rPr>
        <w:tab/>
      </w:r>
      <w:r w:rsidR="00AB6A54">
        <w:rPr>
          <w:rFonts w:ascii="Arial" w:hAnsi="Arial" w:cs="Arial"/>
          <w:sz w:val="24"/>
          <w:szCs w:val="24"/>
        </w:rPr>
        <w:t xml:space="preserve">The </w:t>
      </w:r>
      <w:r w:rsidR="00103989">
        <w:rPr>
          <w:rFonts w:ascii="Arial" w:hAnsi="Arial" w:cs="Arial"/>
          <w:sz w:val="24"/>
          <w:szCs w:val="24"/>
        </w:rPr>
        <w:t>Applicant Trust</w:t>
      </w:r>
      <w:r w:rsidR="00AB6A54">
        <w:rPr>
          <w:rFonts w:ascii="Arial" w:hAnsi="Arial" w:cs="Arial"/>
          <w:sz w:val="24"/>
          <w:szCs w:val="24"/>
        </w:rPr>
        <w:t xml:space="preserve">’s reliance on the non-variation clause to defeat the undertaking </w:t>
      </w:r>
      <w:r>
        <w:rPr>
          <w:rFonts w:ascii="Arial" w:hAnsi="Arial" w:cs="Arial"/>
          <w:sz w:val="24"/>
          <w:szCs w:val="24"/>
        </w:rPr>
        <w:lastRenderedPageBreak/>
        <w:t xml:space="preserve">contained in FA10 </w:t>
      </w:r>
      <w:r w:rsidR="00AB6A54">
        <w:rPr>
          <w:rFonts w:ascii="Arial" w:hAnsi="Arial" w:cs="Arial"/>
          <w:sz w:val="24"/>
          <w:szCs w:val="24"/>
        </w:rPr>
        <w:t xml:space="preserve">is misplaced as it does not accord with the proper interpretation </w:t>
      </w:r>
      <w:r w:rsidR="00C84F73">
        <w:rPr>
          <w:rFonts w:ascii="Arial" w:hAnsi="Arial" w:cs="Arial"/>
          <w:sz w:val="24"/>
          <w:szCs w:val="24"/>
        </w:rPr>
        <w:t>there</w:t>
      </w:r>
      <w:r w:rsidR="00AB6A54">
        <w:rPr>
          <w:rFonts w:ascii="Arial" w:hAnsi="Arial" w:cs="Arial"/>
          <w:sz w:val="24"/>
          <w:szCs w:val="24"/>
        </w:rPr>
        <w:t>of</w:t>
      </w:r>
      <w:r w:rsidR="00C84F73">
        <w:rPr>
          <w:rFonts w:ascii="Arial" w:hAnsi="Arial" w:cs="Arial"/>
          <w:sz w:val="24"/>
          <w:szCs w:val="24"/>
        </w:rPr>
        <w:t>.</w:t>
      </w:r>
      <w:r w:rsidR="00AB6A54">
        <w:rPr>
          <w:rFonts w:ascii="Arial" w:hAnsi="Arial" w:cs="Arial"/>
          <w:sz w:val="24"/>
          <w:szCs w:val="24"/>
        </w:rPr>
        <w:t xml:space="preserve"> </w:t>
      </w:r>
      <w:r w:rsidR="00AC6116">
        <w:rPr>
          <w:rFonts w:ascii="Arial" w:hAnsi="Arial" w:cs="Arial"/>
          <w:sz w:val="24"/>
          <w:szCs w:val="24"/>
        </w:rPr>
        <w:t xml:space="preserve"> In </w:t>
      </w:r>
      <w:r w:rsidR="00AC6116" w:rsidRPr="009C5C0D">
        <w:rPr>
          <w:rFonts w:ascii="Arial" w:hAnsi="Arial" w:cs="Arial"/>
          <w:b/>
          <w:sz w:val="24"/>
          <w:szCs w:val="24"/>
        </w:rPr>
        <w:t>Grey v Waterfront</w:t>
      </w:r>
      <w:r w:rsidR="009C5C0D">
        <w:rPr>
          <w:rStyle w:val="FootnoteReference"/>
          <w:rFonts w:ascii="Arial" w:hAnsi="Arial" w:cs="Arial"/>
          <w:b/>
          <w:sz w:val="24"/>
          <w:szCs w:val="24"/>
        </w:rPr>
        <w:footnoteReference w:id="18"/>
      </w:r>
      <w:r w:rsidR="00AC6116">
        <w:rPr>
          <w:rFonts w:ascii="Arial" w:hAnsi="Arial" w:cs="Arial"/>
          <w:sz w:val="24"/>
          <w:szCs w:val="24"/>
        </w:rPr>
        <w:t xml:space="preserve"> </w:t>
      </w:r>
      <w:r w:rsidR="00AB6A54">
        <w:rPr>
          <w:rFonts w:ascii="Arial" w:hAnsi="Arial" w:cs="Arial"/>
          <w:sz w:val="24"/>
          <w:szCs w:val="24"/>
        </w:rPr>
        <w:t xml:space="preserve"> </w:t>
      </w:r>
      <w:r w:rsidR="00AC6116">
        <w:rPr>
          <w:rFonts w:ascii="Arial" w:hAnsi="Arial" w:cs="Arial"/>
          <w:sz w:val="24"/>
          <w:szCs w:val="24"/>
        </w:rPr>
        <w:t>the court summarised the limitations to the Shifren principle as follows:</w:t>
      </w:r>
    </w:p>
    <w:p w:rsidR="00AC6116" w:rsidRPr="00337DFB" w:rsidRDefault="00337DFB" w:rsidP="00337DFB">
      <w:pPr>
        <w:widowControl w:val="0"/>
        <w:kinsoku w:val="0"/>
        <w:overflowPunct w:val="0"/>
        <w:autoSpaceDE w:val="0"/>
        <w:autoSpaceDN w:val="0"/>
        <w:adjustRightInd w:val="0"/>
        <w:spacing w:after="0" w:line="360" w:lineRule="auto"/>
        <w:ind w:left="1560" w:right="440" w:hanging="142"/>
        <w:jc w:val="both"/>
        <w:rPr>
          <w:rFonts w:ascii="Arial" w:hAnsi="Arial" w:cs="Arial"/>
          <w:sz w:val="20"/>
          <w:szCs w:val="20"/>
        </w:rPr>
      </w:pPr>
      <w:r>
        <w:rPr>
          <w:rFonts w:ascii="Arial" w:hAnsi="Arial" w:cs="Arial"/>
          <w:sz w:val="24"/>
          <w:szCs w:val="24"/>
        </w:rPr>
        <w:tab/>
      </w:r>
      <w:r w:rsidR="00964C54" w:rsidRPr="00337DFB">
        <w:rPr>
          <w:rFonts w:ascii="Arial" w:hAnsi="Arial" w:cs="Arial"/>
          <w:sz w:val="20"/>
          <w:szCs w:val="20"/>
        </w:rPr>
        <w:t>E</w:t>
      </w:r>
      <w:r w:rsidR="00AC6116" w:rsidRPr="00337DFB">
        <w:rPr>
          <w:rFonts w:ascii="Arial" w:hAnsi="Arial" w:cs="Arial"/>
          <w:sz w:val="20"/>
          <w:szCs w:val="20"/>
        </w:rPr>
        <w:t>ven if the non-variation clause had been relevant because the parties’ conduct amounted to a variation of the lease, the applicant may well have been precluded from praying it</w:t>
      </w:r>
      <w:r w:rsidR="002141A8" w:rsidRPr="00337DFB">
        <w:rPr>
          <w:rFonts w:ascii="Arial" w:hAnsi="Arial" w:cs="Arial"/>
          <w:sz w:val="20"/>
          <w:szCs w:val="20"/>
        </w:rPr>
        <w:t xml:space="preserve"> in aid because, as it is put by Christie in </w:t>
      </w:r>
      <w:r w:rsidR="00964C54" w:rsidRPr="00337DFB">
        <w:rPr>
          <w:rFonts w:ascii="Arial" w:hAnsi="Arial" w:cs="Arial"/>
          <w:sz w:val="20"/>
          <w:szCs w:val="20"/>
        </w:rPr>
        <w:t>T</w:t>
      </w:r>
      <w:r w:rsidR="002141A8" w:rsidRPr="00337DFB">
        <w:rPr>
          <w:rFonts w:ascii="Arial" w:hAnsi="Arial" w:cs="Arial"/>
          <w:sz w:val="20"/>
          <w:szCs w:val="20"/>
        </w:rPr>
        <w:t>he Law of Contract in South Africa 2</w:t>
      </w:r>
      <w:r w:rsidR="002141A8" w:rsidRPr="00337DFB">
        <w:rPr>
          <w:rFonts w:ascii="Arial" w:hAnsi="Arial" w:cs="Arial"/>
          <w:sz w:val="20"/>
          <w:szCs w:val="20"/>
          <w:vertAlign w:val="superscript"/>
        </w:rPr>
        <w:t>nd</w:t>
      </w:r>
      <w:r w:rsidR="002141A8" w:rsidRPr="00337DFB">
        <w:rPr>
          <w:rFonts w:ascii="Arial" w:hAnsi="Arial" w:cs="Arial"/>
          <w:sz w:val="20"/>
          <w:szCs w:val="20"/>
        </w:rPr>
        <w:t xml:space="preserve"> ed at 535, ‘a party w</w:t>
      </w:r>
      <w:r w:rsidR="00964C54" w:rsidRPr="00337DFB">
        <w:rPr>
          <w:rFonts w:ascii="Arial" w:hAnsi="Arial" w:cs="Arial"/>
          <w:sz w:val="20"/>
          <w:szCs w:val="20"/>
        </w:rPr>
        <w:t>hose</w:t>
      </w:r>
      <w:r w:rsidR="002141A8" w:rsidRPr="00337DFB">
        <w:rPr>
          <w:rFonts w:ascii="Arial" w:hAnsi="Arial" w:cs="Arial"/>
          <w:sz w:val="20"/>
          <w:szCs w:val="20"/>
        </w:rPr>
        <w:t xml:space="preserve"> conduct is “fraudulent, or unconscionable, or a manifestation of bad faith”(referring to Resisto Dairy (Pty) Ltd</w:t>
      </w:r>
      <w:r w:rsidR="00BF033D" w:rsidRPr="00337DFB">
        <w:rPr>
          <w:rFonts w:ascii="Arial" w:hAnsi="Arial" w:cs="Arial"/>
          <w:sz w:val="20"/>
          <w:szCs w:val="20"/>
        </w:rPr>
        <w:t xml:space="preserve"> </w:t>
      </w:r>
      <w:r w:rsidR="002141A8" w:rsidRPr="00337DFB">
        <w:rPr>
          <w:rFonts w:ascii="Arial" w:hAnsi="Arial" w:cs="Arial"/>
          <w:sz w:val="20"/>
          <w:szCs w:val="20"/>
        </w:rPr>
        <w:t>v Auto Protection Insurance Co Ltd 1962 (3) SA 565 (C)  at 571 F</w:t>
      </w:r>
      <w:r w:rsidR="00964C54" w:rsidRPr="00337DFB">
        <w:rPr>
          <w:rFonts w:ascii="Arial" w:hAnsi="Arial" w:cs="Arial"/>
          <w:sz w:val="20"/>
          <w:szCs w:val="20"/>
        </w:rPr>
        <w:t xml:space="preserve"> per Rose-now J) ‘will not be permitted to rely on a non-variation clause (referring to Leyland (SA (Pty) Ltd v J Rex Evans Motors (Pty) Ltd 1980 (4) SA 271 (W) at 272H-273A).</w:t>
      </w:r>
    </w:p>
    <w:p w:rsidR="00AB6A54" w:rsidRDefault="00AB6A54" w:rsidP="00B052B2">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AB6A54" w:rsidRDefault="00AB6A54" w:rsidP="00282386">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282386">
        <w:rPr>
          <w:rFonts w:ascii="Arial" w:hAnsi="Arial" w:cs="Arial"/>
          <w:sz w:val="24"/>
          <w:szCs w:val="24"/>
        </w:rPr>
        <w:t>51</w:t>
      </w:r>
      <w:r>
        <w:rPr>
          <w:rFonts w:ascii="Arial" w:hAnsi="Arial" w:cs="Arial"/>
          <w:sz w:val="24"/>
          <w:szCs w:val="24"/>
        </w:rPr>
        <w:t>]</w:t>
      </w:r>
      <w:r>
        <w:rPr>
          <w:rFonts w:ascii="Arial" w:hAnsi="Arial" w:cs="Arial"/>
          <w:sz w:val="24"/>
          <w:szCs w:val="24"/>
        </w:rPr>
        <w:tab/>
      </w:r>
      <w:r w:rsidR="005236B3">
        <w:rPr>
          <w:rFonts w:ascii="Arial" w:hAnsi="Arial" w:cs="Arial"/>
          <w:sz w:val="24"/>
          <w:szCs w:val="24"/>
        </w:rPr>
        <w:t xml:space="preserve">The basic idea is that parties must be bound by the contracts they </w:t>
      </w:r>
      <w:r w:rsidR="00074523">
        <w:rPr>
          <w:rFonts w:ascii="Arial" w:hAnsi="Arial" w:cs="Arial"/>
          <w:sz w:val="24"/>
          <w:szCs w:val="24"/>
        </w:rPr>
        <w:t>enter into.</w:t>
      </w:r>
      <w:r w:rsidR="005236B3">
        <w:rPr>
          <w:rFonts w:ascii="Arial" w:hAnsi="Arial" w:cs="Arial"/>
          <w:sz w:val="24"/>
          <w:szCs w:val="24"/>
        </w:rPr>
        <w:t xml:space="preserve">  This concept results in the principal that non-contracting parties, in no way connected to the contract, are not bound by the terms thereof.  The doctrine of privity of contract means that parties who are not privy to a contract cannot sue or be sued on it.  It is against the background of privity of contract that the value of a contract for the benefit of a third party,</w:t>
      </w:r>
      <w:r w:rsidR="009C5C0D">
        <w:rPr>
          <w:rFonts w:ascii="Arial" w:hAnsi="Arial" w:cs="Arial"/>
          <w:sz w:val="24"/>
          <w:szCs w:val="24"/>
        </w:rPr>
        <w:t xml:space="preserve"> </w:t>
      </w:r>
      <w:r w:rsidR="005236B3">
        <w:rPr>
          <w:rFonts w:ascii="Arial" w:hAnsi="Arial" w:cs="Arial"/>
          <w:sz w:val="24"/>
          <w:szCs w:val="24"/>
        </w:rPr>
        <w:t>or</w:t>
      </w:r>
      <w:r>
        <w:rPr>
          <w:rFonts w:ascii="Arial" w:hAnsi="Arial" w:cs="Arial"/>
          <w:sz w:val="24"/>
          <w:szCs w:val="24"/>
        </w:rPr>
        <w:t xml:space="preserve"> </w:t>
      </w:r>
      <w:r w:rsidRPr="00AB6A54">
        <w:rPr>
          <w:rFonts w:ascii="Arial" w:hAnsi="Arial" w:cs="Arial"/>
          <w:i/>
          <w:sz w:val="24"/>
          <w:szCs w:val="24"/>
        </w:rPr>
        <w:t>stipulatio alteri</w:t>
      </w:r>
      <w:r w:rsidR="00182C6B">
        <w:rPr>
          <w:rFonts w:ascii="Arial" w:hAnsi="Arial" w:cs="Arial"/>
          <w:i/>
          <w:sz w:val="24"/>
          <w:szCs w:val="24"/>
        </w:rPr>
        <w:t xml:space="preserve"> </w:t>
      </w:r>
      <w:r w:rsidR="00182C6B">
        <w:rPr>
          <w:rFonts w:ascii="Arial" w:hAnsi="Arial" w:cs="Arial"/>
          <w:sz w:val="24"/>
          <w:szCs w:val="24"/>
        </w:rPr>
        <w:t>(</w:t>
      </w:r>
      <w:r w:rsidR="00182C6B">
        <w:rPr>
          <w:rFonts w:ascii="Arial" w:hAnsi="Arial" w:cs="Arial"/>
          <w:i/>
          <w:sz w:val="24"/>
          <w:szCs w:val="24"/>
        </w:rPr>
        <w:t>or ius quaesitum tertio)</w:t>
      </w:r>
      <w:r w:rsidR="005236B3">
        <w:rPr>
          <w:rFonts w:ascii="Arial" w:hAnsi="Arial" w:cs="Arial"/>
          <w:sz w:val="24"/>
          <w:szCs w:val="24"/>
        </w:rPr>
        <w:t xml:space="preserve"> can be appreciated.  </w:t>
      </w:r>
    </w:p>
    <w:p w:rsidR="008E2FCC" w:rsidRDefault="008E2FCC" w:rsidP="00B052B2">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780597" w:rsidRDefault="00780597" w:rsidP="00282386">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282386">
        <w:rPr>
          <w:rFonts w:ascii="Arial" w:hAnsi="Arial" w:cs="Arial"/>
          <w:sz w:val="24"/>
          <w:szCs w:val="24"/>
        </w:rPr>
        <w:t>52</w:t>
      </w:r>
      <w:r>
        <w:rPr>
          <w:rFonts w:ascii="Arial" w:hAnsi="Arial" w:cs="Arial"/>
          <w:sz w:val="24"/>
          <w:szCs w:val="24"/>
        </w:rPr>
        <w:t>]</w:t>
      </w:r>
      <w:r>
        <w:rPr>
          <w:rFonts w:ascii="Arial" w:hAnsi="Arial" w:cs="Arial"/>
          <w:sz w:val="24"/>
          <w:szCs w:val="24"/>
        </w:rPr>
        <w:tab/>
        <w:t xml:space="preserve">A </w:t>
      </w:r>
      <w:r w:rsidRPr="00780597">
        <w:rPr>
          <w:rFonts w:ascii="Arial" w:hAnsi="Arial" w:cs="Arial"/>
          <w:i/>
          <w:sz w:val="24"/>
          <w:szCs w:val="24"/>
        </w:rPr>
        <w:t>stip</w:t>
      </w:r>
      <w:r>
        <w:rPr>
          <w:rFonts w:ascii="Arial" w:hAnsi="Arial" w:cs="Arial"/>
          <w:i/>
          <w:sz w:val="24"/>
          <w:szCs w:val="24"/>
        </w:rPr>
        <w:t>u</w:t>
      </w:r>
      <w:r w:rsidRPr="00780597">
        <w:rPr>
          <w:rFonts w:ascii="Arial" w:hAnsi="Arial" w:cs="Arial"/>
          <w:i/>
          <w:sz w:val="24"/>
          <w:szCs w:val="24"/>
        </w:rPr>
        <w:t>latio alteri</w:t>
      </w:r>
      <w:r>
        <w:rPr>
          <w:rFonts w:ascii="Arial" w:hAnsi="Arial" w:cs="Arial"/>
          <w:sz w:val="24"/>
          <w:szCs w:val="24"/>
        </w:rPr>
        <w:t xml:space="preserve"> has various constructions depending on the circumstances in which it is concluded and the intention of the parties.  The conclusion that a contract for the benefit of a third party is really a misnomer was drawn by Schreiner JA in his dissenting judgment in </w:t>
      </w:r>
      <w:r w:rsidRPr="000B5671">
        <w:rPr>
          <w:rFonts w:ascii="Arial" w:hAnsi="Arial" w:cs="Arial"/>
          <w:b/>
          <w:sz w:val="24"/>
          <w:szCs w:val="24"/>
        </w:rPr>
        <w:t>Crookes v Watson</w:t>
      </w:r>
      <w:r w:rsidR="000B5671" w:rsidRPr="009C5C0D">
        <w:rPr>
          <w:rStyle w:val="FootnoteReference"/>
          <w:rFonts w:ascii="Arial" w:hAnsi="Arial" w:cs="Arial"/>
          <w:sz w:val="24"/>
          <w:szCs w:val="24"/>
        </w:rPr>
        <w:footnoteReference w:id="19"/>
      </w:r>
      <w:r>
        <w:rPr>
          <w:rFonts w:ascii="Arial" w:hAnsi="Arial" w:cs="Arial"/>
          <w:sz w:val="24"/>
          <w:szCs w:val="24"/>
        </w:rPr>
        <w:t xml:space="preserve"> </w:t>
      </w:r>
      <w:r w:rsidR="000B5671">
        <w:rPr>
          <w:rFonts w:ascii="Arial" w:hAnsi="Arial" w:cs="Arial"/>
          <w:sz w:val="24"/>
          <w:szCs w:val="24"/>
        </w:rPr>
        <w:t>where it was held as follows:</w:t>
      </w:r>
    </w:p>
    <w:p w:rsidR="000B5671" w:rsidRDefault="000B5671" w:rsidP="004A121C">
      <w:pPr>
        <w:widowControl w:val="0"/>
        <w:kinsoku w:val="0"/>
        <w:overflowPunct w:val="0"/>
        <w:autoSpaceDE w:val="0"/>
        <w:autoSpaceDN w:val="0"/>
        <w:adjustRightInd w:val="0"/>
        <w:spacing w:after="0" w:line="360" w:lineRule="auto"/>
        <w:ind w:left="1418" w:right="724" w:hanging="851"/>
        <w:jc w:val="both"/>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0"/>
          <w:szCs w:val="20"/>
        </w:rPr>
        <w:t>“</w:t>
      </w:r>
      <w:r w:rsidR="008E2FCC">
        <w:rPr>
          <w:rFonts w:ascii="Arial" w:hAnsi="Arial" w:cs="Arial"/>
          <w:sz w:val="20"/>
          <w:szCs w:val="20"/>
        </w:rPr>
        <w:t>…wha</w:t>
      </w:r>
      <w:r>
        <w:rPr>
          <w:rFonts w:ascii="Arial" w:hAnsi="Arial" w:cs="Arial"/>
          <w:sz w:val="20"/>
          <w:szCs w:val="20"/>
        </w:rPr>
        <w:t>t is not very appropriately styled a contract for the benefit of a third party is not simply a contract designed to benefit a third person; it is a contract between two persons that is designed to enable a third person to come in as a party to a contract with one of the other two.”</w:t>
      </w:r>
    </w:p>
    <w:p w:rsidR="008E2FCC" w:rsidRDefault="008E2FCC" w:rsidP="00B052B2">
      <w:pPr>
        <w:widowControl w:val="0"/>
        <w:kinsoku w:val="0"/>
        <w:overflowPunct w:val="0"/>
        <w:autoSpaceDE w:val="0"/>
        <w:autoSpaceDN w:val="0"/>
        <w:adjustRightInd w:val="0"/>
        <w:spacing w:after="0" w:line="360" w:lineRule="auto"/>
        <w:ind w:left="851" w:right="440" w:hanging="851"/>
        <w:jc w:val="both"/>
        <w:rPr>
          <w:rFonts w:ascii="Arial" w:hAnsi="Arial" w:cs="Arial"/>
          <w:sz w:val="20"/>
          <w:szCs w:val="20"/>
        </w:rPr>
      </w:pPr>
    </w:p>
    <w:p w:rsidR="004A121C" w:rsidRPr="004A121C" w:rsidRDefault="000B5671" w:rsidP="009C5C0D">
      <w:pPr>
        <w:pStyle w:val="NormalWeb"/>
        <w:shd w:val="clear" w:color="auto" w:fill="FFFFFF"/>
        <w:tabs>
          <w:tab w:val="left" w:pos="567"/>
        </w:tabs>
        <w:spacing w:after="0" w:line="360" w:lineRule="auto"/>
        <w:ind w:left="851" w:hanging="851"/>
        <w:jc w:val="both"/>
        <w:rPr>
          <w:rFonts w:ascii="Arial" w:eastAsia="Times New Roman" w:hAnsi="Arial" w:cs="Arial"/>
          <w:color w:val="242121"/>
          <w:lang w:eastAsia="en-ZA"/>
        </w:rPr>
      </w:pPr>
      <w:r>
        <w:rPr>
          <w:rFonts w:ascii="Arial" w:hAnsi="Arial" w:cs="Arial"/>
        </w:rPr>
        <w:t>[</w:t>
      </w:r>
      <w:r w:rsidR="009C5C0D">
        <w:rPr>
          <w:rFonts w:ascii="Arial" w:hAnsi="Arial" w:cs="Arial"/>
        </w:rPr>
        <w:t>5</w:t>
      </w:r>
      <w:r w:rsidR="00282386">
        <w:rPr>
          <w:rFonts w:ascii="Arial" w:hAnsi="Arial" w:cs="Arial"/>
        </w:rPr>
        <w:t>3</w:t>
      </w:r>
      <w:r>
        <w:rPr>
          <w:rFonts w:ascii="Arial" w:hAnsi="Arial" w:cs="Arial"/>
        </w:rPr>
        <w:t>]</w:t>
      </w:r>
      <w:r>
        <w:rPr>
          <w:rFonts w:ascii="Arial" w:hAnsi="Arial" w:cs="Arial"/>
        </w:rPr>
        <w:tab/>
      </w:r>
      <w:r w:rsidR="009C5C0D">
        <w:rPr>
          <w:rFonts w:ascii="Arial" w:hAnsi="Arial" w:cs="Arial"/>
        </w:rPr>
        <w:tab/>
      </w:r>
      <w:r w:rsidR="0039158E">
        <w:rPr>
          <w:rFonts w:ascii="Arial" w:hAnsi="Arial" w:cs="Arial"/>
        </w:rPr>
        <w:t>W</w:t>
      </w:r>
      <w:r>
        <w:rPr>
          <w:rFonts w:ascii="Arial" w:hAnsi="Arial" w:cs="Arial"/>
        </w:rPr>
        <w:t xml:space="preserve">hat is referred to as the intention to benefit a third party is not actually an intention to enrich the third party, but an intention to empower the third party to adopt and become a party to the contract </w:t>
      </w:r>
      <w:r w:rsidR="0039158E">
        <w:rPr>
          <w:rFonts w:ascii="Arial" w:hAnsi="Arial" w:cs="Arial"/>
        </w:rPr>
        <w:t>if</w:t>
      </w:r>
      <w:r>
        <w:rPr>
          <w:rFonts w:ascii="Arial" w:hAnsi="Arial" w:cs="Arial"/>
        </w:rPr>
        <w:t xml:space="preserve"> he so wishes.</w:t>
      </w:r>
      <w:r>
        <w:rPr>
          <w:rStyle w:val="FootnoteReference"/>
          <w:rFonts w:ascii="Arial" w:hAnsi="Arial" w:cs="Arial"/>
        </w:rPr>
        <w:footnoteReference w:id="20"/>
      </w:r>
      <w:r>
        <w:rPr>
          <w:rFonts w:ascii="Arial" w:hAnsi="Arial" w:cs="Arial"/>
        </w:rPr>
        <w:t xml:space="preserve"> </w:t>
      </w:r>
      <w:r w:rsidR="004A121C" w:rsidRPr="004A121C">
        <w:rPr>
          <w:rFonts w:ascii="Arial" w:eastAsia="Times New Roman" w:hAnsi="Arial" w:cs="Arial"/>
          <w:color w:val="242121"/>
          <w:lang w:eastAsia="en-ZA"/>
        </w:rPr>
        <w:t>In </w:t>
      </w:r>
      <w:r w:rsidR="004A121C" w:rsidRPr="004A121C">
        <w:rPr>
          <w:rFonts w:ascii="Arial" w:eastAsia="Times New Roman" w:hAnsi="Arial" w:cs="Arial"/>
          <w:b/>
          <w:iCs/>
          <w:color w:val="242121"/>
          <w:lang w:eastAsia="en-ZA"/>
        </w:rPr>
        <w:t>McCullough v Fernwood Estate Ltd</w:t>
      </w:r>
      <w:r w:rsidR="004A121C">
        <w:rPr>
          <w:rStyle w:val="FootnoteReference"/>
          <w:rFonts w:ascii="Arial" w:eastAsia="Times New Roman" w:hAnsi="Arial" w:cs="Arial"/>
          <w:b/>
          <w:iCs/>
          <w:color w:val="242121"/>
          <w:lang w:eastAsia="en-ZA"/>
        </w:rPr>
        <w:footnoteReference w:id="21"/>
      </w:r>
      <w:r w:rsidR="004A121C" w:rsidRPr="004A121C">
        <w:rPr>
          <w:rFonts w:ascii="Arial" w:eastAsia="Times New Roman" w:hAnsi="Arial" w:cs="Arial"/>
          <w:b/>
          <w:bCs/>
          <w:color w:val="242121"/>
          <w:lang w:eastAsia="en-ZA"/>
        </w:rPr>
        <w:t xml:space="preserve"> </w:t>
      </w:r>
      <w:r w:rsidR="004A121C">
        <w:rPr>
          <w:rFonts w:ascii="Arial" w:eastAsia="Times New Roman" w:hAnsi="Arial" w:cs="Arial"/>
          <w:b/>
          <w:bCs/>
          <w:color w:val="242121"/>
          <w:lang w:eastAsia="en-ZA"/>
        </w:rPr>
        <w:t xml:space="preserve"> </w:t>
      </w:r>
      <w:r w:rsidR="004A121C" w:rsidRPr="004A121C">
        <w:rPr>
          <w:rFonts w:ascii="Arial" w:eastAsia="Times New Roman" w:hAnsi="Arial" w:cs="Arial"/>
          <w:color w:val="242121"/>
          <w:lang w:eastAsia="en-ZA"/>
        </w:rPr>
        <w:t>Innes CJ described a </w:t>
      </w:r>
      <w:r w:rsidR="004A121C" w:rsidRPr="004A121C">
        <w:rPr>
          <w:rFonts w:ascii="Arial" w:eastAsia="Times New Roman" w:hAnsi="Arial" w:cs="Arial"/>
          <w:i/>
          <w:iCs/>
          <w:color w:val="242121"/>
          <w:lang w:eastAsia="en-ZA"/>
        </w:rPr>
        <w:t>stipulatio alteri</w:t>
      </w:r>
      <w:r w:rsidR="004A121C" w:rsidRPr="004A121C">
        <w:rPr>
          <w:rFonts w:ascii="Arial" w:eastAsia="Times New Roman" w:hAnsi="Arial" w:cs="Arial"/>
          <w:color w:val="242121"/>
          <w:lang w:eastAsia="en-ZA"/>
        </w:rPr>
        <w:t> in the following terms:</w:t>
      </w:r>
    </w:p>
    <w:p w:rsidR="004A121C" w:rsidRPr="004A121C" w:rsidRDefault="004A121C" w:rsidP="004A121C">
      <w:pPr>
        <w:shd w:val="clear" w:color="auto" w:fill="FFFFFF"/>
        <w:tabs>
          <w:tab w:val="left" w:pos="567"/>
        </w:tabs>
        <w:spacing w:after="0" w:line="360" w:lineRule="auto"/>
        <w:jc w:val="both"/>
        <w:rPr>
          <w:rFonts w:ascii="Arial" w:eastAsia="Times New Roman" w:hAnsi="Arial" w:cs="Arial"/>
          <w:color w:val="242121"/>
          <w:sz w:val="24"/>
          <w:szCs w:val="24"/>
          <w:lang w:eastAsia="en-ZA"/>
        </w:rPr>
      </w:pPr>
    </w:p>
    <w:p w:rsidR="004A121C" w:rsidRPr="004A121C" w:rsidRDefault="004A121C" w:rsidP="004A121C">
      <w:pPr>
        <w:shd w:val="clear" w:color="auto" w:fill="FFFFFF"/>
        <w:tabs>
          <w:tab w:val="left" w:pos="851"/>
        </w:tabs>
        <w:spacing w:after="0" w:line="360" w:lineRule="auto"/>
        <w:ind w:left="1418" w:right="582"/>
        <w:jc w:val="both"/>
        <w:rPr>
          <w:rFonts w:ascii="Arial" w:eastAsia="Times New Roman" w:hAnsi="Arial" w:cs="Arial"/>
          <w:color w:val="242121"/>
          <w:sz w:val="20"/>
          <w:szCs w:val="20"/>
          <w:lang w:eastAsia="en-ZA"/>
        </w:rPr>
      </w:pPr>
      <w:r w:rsidRPr="004A121C">
        <w:rPr>
          <w:rFonts w:ascii="Arial" w:eastAsia="Times New Roman" w:hAnsi="Arial" w:cs="Arial"/>
          <w:color w:val="242121"/>
          <w:sz w:val="20"/>
          <w:szCs w:val="20"/>
          <w:lang w:eastAsia="en-ZA"/>
        </w:rPr>
        <w:lastRenderedPageBreak/>
        <w:t>“</w:t>
      </w:r>
      <w:r w:rsidRPr="004A121C">
        <w:rPr>
          <w:rFonts w:ascii="Arial" w:eastAsia="Times New Roman" w:hAnsi="Arial" w:cs="Arial"/>
          <w:iCs/>
          <w:color w:val="242121"/>
          <w:sz w:val="20"/>
          <w:szCs w:val="20"/>
          <w:lang w:eastAsia="en-ZA"/>
        </w:rPr>
        <w:t>An agreement for the benefit of a third person is often referred to in the books as a stipulation. This must not be taken, however, in the narrow meaning of the Civil law, for in that sense the </w:t>
      </w:r>
      <w:r w:rsidRPr="004A121C">
        <w:rPr>
          <w:rFonts w:ascii="Arial" w:eastAsia="Times New Roman" w:hAnsi="Arial" w:cs="Arial"/>
          <w:color w:val="242121"/>
          <w:sz w:val="20"/>
          <w:szCs w:val="20"/>
          <w:lang w:eastAsia="en-ZA"/>
        </w:rPr>
        <w:t>stipulatio </w:t>
      </w:r>
      <w:r w:rsidRPr="004A121C">
        <w:rPr>
          <w:rFonts w:ascii="Arial" w:eastAsia="Times New Roman" w:hAnsi="Arial" w:cs="Arial"/>
          <w:iCs/>
          <w:color w:val="242121"/>
          <w:sz w:val="20"/>
          <w:szCs w:val="20"/>
          <w:lang w:eastAsia="en-ZA"/>
        </w:rPr>
        <w:t>did not exist in Holland. It is merely a convenient expression to denote that the object of the agreement is to secure some advantage for the third person. It may happen that the benefit carries with it a corresponding obligation. And in such a case it follows that the two would go together. The third person could not take advantage of one term of the contract and reject the other. The acceptance of the benefit would involve the undertaking of the consequent obligation. The third person having once notified his acceptance and thus established a</w:t>
      </w:r>
      <w:r w:rsidR="009C5C0D">
        <w:rPr>
          <w:rFonts w:ascii="Arial" w:eastAsia="Times New Roman" w:hAnsi="Arial" w:cs="Arial"/>
          <w:iCs/>
          <w:color w:val="242121"/>
          <w:sz w:val="20"/>
          <w:szCs w:val="20"/>
          <w:lang w:eastAsia="en-ZA"/>
        </w:rPr>
        <w:t xml:space="preserve"> </w:t>
      </w:r>
      <w:r w:rsidRPr="009C5C0D">
        <w:rPr>
          <w:rFonts w:ascii="Arial" w:eastAsia="Times New Roman" w:hAnsi="Arial" w:cs="Arial"/>
          <w:i/>
          <w:color w:val="242121"/>
          <w:sz w:val="20"/>
          <w:szCs w:val="20"/>
          <w:lang w:eastAsia="en-ZA"/>
        </w:rPr>
        <w:t>vinculum juris</w:t>
      </w:r>
      <w:r w:rsidRPr="004A121C">
        <w:rPr>
          <w:rFonts w:ascii="Arial" w:eastAsia="Times New Roman" w:hAnsi="Arial" w:cs="Arial"/>
          <w:color w:val="242121"/>
          <w:sz w:val="20"/>
          <w:szCs w:val="20"/>
          <w:lang w:eastAsia="en-ZA"/>
        </w:rPr>
        <w:t> </w:t>
      </w:r>
      <w:r w:rsidRPr="004A121C">
        <w:rPr>
          <w:rFonts w:ascii="Arial" w:eastAsia="Times New Roman" w:hAnsi="Arial" w:cs="Arial"/>
          <w:iCs/>
          <w:color w:val="242121"/>
          <w:sz w:val="20"/>
          <w:szCs w:val="20"/>
          <w:lang w:eastAsia="en-ZA"/>
        </w:rPr>
        <w:t>between himself and the promisor would be liable to be sued, as well as entitled to sue. If, for instance, the stipulated benefit took the form of an option to purchase specified property at a certain price, the acceptance of the offer would involve a liability to pay the price which could be legally enforced. Otherwise the third person would be in the position of being able to sue upon a contract involving reciprocal obligations without being liable to an action if he refused to discharge his part of them.</w:t>
      </w:r>
      <w:r w:rsidRPr="004A121C">
        <w:rPr>
          <w:rFonts w:ascii="Arial" w:eastAsia="Times New Roman" w:hAnsi="Arial" w:cs="Arial"/>
          <w:color w:val="242121"/>
          <w:sz w:val="20"/>
          <w:szCs w:val="20"/>
          <w:lang w:eastAsia="en-ZA"/>
        </w:rPr>
        <w:t xml:space="preserve">” </w:t>
      </w:r>
    </w:p>
    <w:p w:rsidR="004A121C" w:rsidRPr="004A121C" w:rsidRDefault="004A121C" w:rsidP="004A121C">
      <w:pPr>
        <w:tabs>
          <w:tab w:val="left" w:pos="567"/>
        </w:tabs>
        <w:spacing w:after="0" w:line="360" w:lineRule="auto"/>
        <w:jc w:val="both"/>
        <w:rPr>
          <w:rFonts w:ascii="Arial" w:eastAsia="Times New Roman" w:hAnsi="Arial" w:cs="Arial"/>
          <w:sz w:val="20"/>
          <w:szCs w:val="20"/>
          <w:lang w:val="en-US"/>
        </w:rPr>
      </w:pPr>
    </w:p>
    <w:p w:rsidR="000B5671" w:rsidRPr="004A121C" w:rsidRDefault="004A121C" w:rsidP="004A331C">
      <w:pPr>
        <w:tabs>
          <w:tab w:val="left" w:pos="851"/>
        </w:tabs>
        <w:spacing w:after="0" w:line="360" w:lineRule="auto"/>
        <w:ind w:left="851" w:hanging="851"/>
        <w:jc w:val="both"/>
        <w:rPr>
          <w:rFonts w:ascii="Arial" w:eastAsia="Times New Roman" w:hAnsi="Arial" w:cs="Arial"/>
          <w:sz w:val="24"/>
          <w:szCs w:val="24"/>
          <w:lang w:val="en-US"/>
        </w:rPr>
      </w:pPr>
      <w:r w:rsidRPr="004A121C">
        <w:rPr>
          <w:rFonts w:ascii="Arial" w:eastAsia="Times New Roman" w:hAnsi="Arial" w:cs="Arial"/>
          <w:color w:val="111111"/>
          <w:sz w:val="24"/>
          <w:szCs w:val="24"/>
          <w:shd w:val="clear" w:color="auto" w:fill="FFFFFF"/>
        </w:rPr>
        <w:t>[</w:t>
      </w:r>
      <w:r w:rsidR="009C5C0D">
        <w:rPr>
          <w:rFonts w:ascii="Arial" w:eastAsia="Times New Roman" w:hAnsi="Arial" w:cs="Arial"/>
          <w:color w:val="111111"/>
          <w:sz w:val="24"/>
          <w:szCs w:val="24"/>
          <w:shd w:val="clear" w:color="auto" w:fill="FFFFFF"/>
        </w:rPr>
        <w:t>5</w:t>
      </w:r>
      <w:r w:rsidR="00282386">
        <w:rPr>
          <w:rFonts w:ascii="Arial" w:eastAsia="Times New Roman" w:hAnsi="Arial" w:cs="Arial"/>
          <w:color w:val="111111"/>
          <w:sz w:val="24"/>
          <w:szCs w:val="24"/>
          <w:shd w:val="clear" w:color="auto" w:fill="FFFFFF"/>
        </w:rPr>
        <w:t>4</w:t>
      </w:r>
      <w:r w:rsidRPr="004A121C">
        <w:rPr>
          <w:rFonts w:ascii="Arial" w:eastAsia="Times New Roman" w:hAnsi="Arial" w:cs="Arial"/>
          <w:color w:val="111111"/>
          <w:sz w:val="24"/>
          <w:szCs w:val="24"/>
          <w:shd w:val="clear" w:color="auto" w:fill="FFFFFF"/>
        </w:rPr>
        <w:t>]</w:t>
      </w:r>
      <w:r>
        <w:rPr>
          <w:rFonts w:ascii="Arial" w:eastAsia="Times New Roman" w:hAnsi="Arial" w:cs="Arial"/>
          <w:color w:val="111111"/>
          <w:sz w:val="24"/>
          <w:szCs w:val="24"/>
          <w:shd w:val="clear" w:color="auto" w:fill="FFFFFF"/>
        </w:rPr>
        <w:tab/>
      </w:r>
      <w:r w:rsidRPr="004A121C">
        <w:rPr>
          <w:rFonts w:ascii="Arial" w:eastAsia="Times New Roman" w:hAnsi="Arial" w:cs="Arial"/>
          <w:sz w:val="24"/>
          <w:szCs w:val="24"/>
          <w:lang w:val="en-US"/>
        </w:rPr>
        <w:t>Acceptance by the third party may be express or implied and, where the contract is a beneficial one, will not require strong evidence to support it.</w:t>
      </w:r>
      <w:r w:rsidRPr="004A121C">
        <w:rPr>
          <w:rFonts w:ascii="Arial" w:eastAsia="Times New Roman" w:hAnsi="Arial" w:cs="Arial"/>
          <w:sz w:val="24"/>
          <w:szCs w:val="24"/>
          <w:vertAlign w:val="superscript"/>
          <w:lang w:val="en-US"/>
        </w:rPr>
        <w:footnoteReference w:id="22"/>
      </w:r>
      <w:r w:rsidRPr="004A121C">
        <w:rPr>
          <w:rFonts w:ascii="Arial" w:eastAsia="Times New Roman" w:hAnsi="Arial" w:cs="Arial"/>
          <w:sz w:val="24"/>
          <w:szCs w:val="24"/>
          <w:lang w:val="en-US"/>
        </w:rPr>
        <w:t xml:space="preserve"> </w:t>
      </w:r>
      <w:r w:rsidR="00E71925">
        <w:rPr>
          <w:rFonts w:ascii="Arial" w:hAnsi="Arial" w:cs="Arial"/>
          <w:sz w:val="24"/>
          <w:szCs w:val="24"/>
        </w:rPr>
        <w:t xml:space="preserve">In the matter at hand, the </w:t>
      </w:r>
      <w:r w:rsidR="00013331">
        <w:rPr>
          <w:rFonts w:ascii="Arial" w:hAnsi="Arial" w:cs="Arial"/>
          <w:sz w:val="24"/>
          <w:szCs w:val="24"/>
        </w:rPr>
        <w:t>Respondent Trust</w:t>
      </w:r>
      <w:r w:rsidR="00E71925">
        <w:rPr>
          <w:rFonts w:ascii="Arial" w:hAnsi="Arial" w:cs="Arial"/>
          <w:sz w:val="24"/>
          <w:szCs w:val="24"/>
        </w:rPr>
        <w:t xml:space="preserve"> (stipulator) negotiated the terms of FA10 with the </w:t>
      </w:r>
      <w:r w:rsidR="00103989">
        <w:rPr>
          <w:rFonts w:ascii="Arial" w:hAnsi="Arial" w:cs="Arial"/>
          <w:sz w:val="24"/>
          <w:szCs w:val="24"/>
        </w:rPr>
        <w:t>Applicant Trust</w:t>
      </w:r>
      <w:r w:rsidR="00E71925">
        <w:rPr>
          <w:rFonts w:ascii="Arial" w:hAnsi="Arial" w:cs="Arial"/>
          <w:sz w:val="24"/>
          <w:szCs w:val="24"/>
        </w:rPr>
        <w:t xml:space="preserve"> (promisor) for the benefit of FirstRand Bank, which benefit FirstRand Bank accepted.  No further formalities were prescribed for the conclusion of the </w:t>
      </w:r>
      <w:r w:rsidR="00E71925" w:rsidRPr="00E71925">
        <w:rPr>
          <w:rFonts w:ascii="Arial" w:hAnsi="Arial" w:cs="Arial"/>
          <w:i/>
          <w:sz w:val="24"/>
          <w:szCs w:val="24"/>
        </w:rPr>
        <w:t>stipulatio alteri</w:t>
      </w:r>
      <w:r w:rsidR="00E71925">
        <w:rPr>
          <w:rFonts w:ascii="Arial" w:hAnsi="Arial" w:cs="Arial"/>
          <w:i/>
          <w:sz w:val="24"/>
          <w:szCs w:val="24"/>
        </w:rPr>
        <w:t xml:space="preserve">. </w:t>
      </w:r>
      <w:r w:rsidR="00E71925">
        <w:rPr>
          <w:rFonts w:ascii="Arial" w:hAnsi="Arial" w:cs="Arial"/>
          <w:sz w:val="24"/>
          <w:szCs w:val="24"/>
        </w:rPr>
        <w:t xml:space="preserve"> </w:t>
      </w:r>
    </w:p>
    <w:p w:rsidR="00E71925" w:rsidRDefault="00E71925" w:rsidP="00B052B2">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E71925" w:rsidRDefault="00E71925" w:rsidP="004A331C">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9C5C0D">
        <w:rPr>
          <w:rFonts w:ascii="Arial" w:hAnsi="Arial" w:cs="Arial"/>
          <w:sz w:val="24"/>
          <w:szCs w:val="24"/>
        </w:rPr>
        <w:t>5</w:t>
      </w:r>
      <w:r w:rsidR="00282386">
        <w:rPr>
          <w:rFonts w:ascii="Arial" w:hAnsi="Arial" w:cs="Arial"/>
          <w:sz w:val="24"/>
          <w:szCs w:val="24"/>
        </w:rPr>
        <w:t>5</w:t>
      </w:r>
      <w:r>
        <w:rPr>
          <w:rFonts w:ascii="Arial" w:hAnsi="Arial" w:cs="Arial"/>
          <w:sz w:val="24"/>
          <w:szCs w:val="24"/>
        </w:rPr>
        <w:t>]</w:t>
      </w:r>
      <w:r w:rsidR="009C5C0D">
        <w:rPr>
          <w:rFonts w:ascii="Arial" w:hAnsi="Arial" w:cs="Arial"/>
          <w:sz w:val="24"/>
          <w:szCs w:val="24"/>
        </w:rPr>
        <w:tab/>
      </w:r>
      <w:r w:rsidR="00FD79DE">
        <w:rPr>
          <w:rFonts w:ascii="Arial" w:hAnsi="Arial" w:cs="Arial"/>
          <w:sz w:val="24"/>
          <w:szCs w:val="24"/>
        </w:rPr>
        <w:t>The Sub-Lease</w:t>
      </w:r>
      <w:r w:rsidR="004A331C">
        <w:rPr>
          <w:rFonts w:ascii="Arial" w:hAnsi="Arial" w:cs="Arial"/>
          <w:sz w:val="24"/>
          <w:szCs w:val="24"/>
        </w:rPr>
        <w:t xml:space="preserve"> </w:t>
      </w:r>
      <w:r w:rsidR="00FD79DE">
        <w:rPr>
          <w:rFonts w:ascii="Arial" w:hAnsi="Arial" w:cs="Arial"/>
          <w:sz w:val="24"/>
          <w:szCs w:val="24"/>
        </w:rPr>
        <w:t xml:space="preserve">itself does not disclose any intention to include FirstRand Bank as a party thereto. FA10 however complies with the basic requirements of a </w:t>
      </w:r>
      <w:r w:rsidR="00FD79DE" w:rsidRPr="00FD79DE">
        <w:rPr>
          <w:rFonts w:ascii="Arial" w:hAnsi="Arial" w:cs="Arial"/>
          <w:i/>
          <w:sz w:val="24"/>
          <w:szCs w:val="24"/>
        </w:rPr>
        <w:t xml:space="preserve">stipulatio </w:t>
      </w:r>
      <w:r w:rsidR="00BF033D" w:rsidRPr="00FD79DE">
        <w:rPr>
          <w:rFonts w:ascii="Arial" w:hAnsi="Arial" w:cs="Arial"/>
          <w:i/>
          <w:sz w:val="24"/>
          <w:szCs w:val="24"/>
        </w:rPr>
        <w:t xml:space="preserve">alteri </w:t>
      </w:r>
      <w:r w:rsidR="00BF033D">
        <w:rPr>
          <w:rFonts w:ascii="Arial" w:hAnsi="Arial" w:cs="Arial"/>
          <w:sz w:val="24"/>
          <w:szCs w:val="24"/>
        </w:rPr>
        <w:t>in</w:t>
      </w:r>
      <w:r w:rsidR="00FD79DE">
        <w:rPr>
          <w:rFonts w:ascii="Arial" w:hAnsi="Arial" w:cs="Arial"/>
          <w:sz w:val="24"/>
          <w:szCs w:val="24"/>
        </w:rPr>
        <w:t xml:space="preserve"> favour of FirstRand Bank and that, as a result thereof, a contractual right to comply with the notice period </w:t>
      </w:r>
      <w:r w:rsidR="008E1E7B">
        <w:rPr>
          <w:rFonts w:ascii="Arial" w:hAnsi="Arial" w:cs="Arial"/>
          <w:sz w:val="24"/>
          <w:szCs w:val="24"/>
        </w:rPr>
        <w:t>ensued.  Consequently, FirstRand Bank became a party</w:t>
      </w:r>
      <w:r w:rsidR="008E1E7B">
        <w:rPr>
          <w:rStyle w:val="FootnoteReference"/>
          <w:rFonts w:ascii="Arial" w:hAnsi="Arial" w:cs="Arial"/>
          <w:sz w:val="24"/>
          <w:szCs w:val="24"/>
        </w:rPr>
        <w:footnoteReference w:id="23"/>
      </w:r>
      <w:r w:rsidR="008E1E7B">
        <w:rPr>
          <w:rFonts w:ascii="Arial" w:hAnsi="Arial" w:cs="Arial"/>
          <w:sz w:val="24"/>
          <w:szCs w:val="24"/>
        </w:rPr>
        <w:t xml:space="preserve"> to the Sub-Lease with the result that the </w:t>
      </w:r>
      <w:r w:rsidR="00103989">
        <w:rPr>
          <w:rFonts w:ascii="Arial" w:hAnsi="Arial" w:cs="Arial"/>
          <w:sz w:val="24"/>
          <w:szCs w:val="24"/>
        </w:rPr>
        <w:t>Applicant Trust</w:t>
      </w:r>
      <w:r w:rsidR="008E1E7B">
        <w:rPr>
          <w:rFonts w:ascii="Arial" w:hAnsi="Arial" w:cs="Arial"/>
          <w:sz w:val="24"/>
          <w:szCs w:val="24"/>
        </w:rPr>
        <w:t xml:space="preserve"> was obliged to comply with the terms of FA10 as between it and FirstRand Bank before it could cancel the Sub-Lease. The </w:t>
      </w:r>
      <w:r w:rsidR="008E1E7B" w:rsidRPr="007518A1">
        <w:rPr>
          <w:rFonts w:ascii="Arial" w:hAnsi="Arial" w:cs="Arial"/>
          <w:i/>
          <w:sz w:val="24"/>
          <w:szCs w:val="24"/>
        </w:rPr>
        <w:t>vinculum iuris</w:t>
      </w:r>
      <w:r w:rsidR="008E1E7B">
        <w:rPr>
          <w:rFonts w:ascii="Arial" w:hAnsi="Arial" w:cs="Arial"/>
          <w:sz w:val="24"/>
          <w:szCs w:val="24"/>
        </w:rPr>
        <w:t xml:space="preserve"> or legal bond created upon acceptance of the benefit by FirstRand Bank is between the third party and the promisor.</w:t>
      </w:r>
      <w:r w:rsidR="008E1E7B">
        <w:rPr>
          <w:rStyle w:val="FootnoteReference"/>
          <w:rFonts w:ascii="Arial" w:hAnsi="Arial" w:cs="Arial"/>
          <w:sz w:val="24"/>
          <w:szCs w:val="24"/>
        </w:rPr>
        <w:footnoteReference w:id="24"/>
      </w:r>
    </w:p>
    <w:p w:rsidR="008E1E7B" w:rsidRDefault="008E1E7B" w:rsidP="00B052B2">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110E75" w:rsidRDefault="008E1E7B" w:rsidP="004A331C">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4A331C">
        <w:rPr>
          <w:rFonts w:ascii="Arial" w:hAnsi="Arial" w:cs="Arial"/>
          <w:sz w:val="24"/>
          <w:szCs w:val="24"/>
        </w:rPr>
        <w:t>5</w:t>
      </w:r>
      <w:r w:rsidR="00282386">
        <w:rPr>
          <w:rFonts w:ascii="Arial" w:hAnsi="Arial" w:cs="Arial"/>
          <w:sz w:val="24"/>
          <w:szCs w:val="24"/>
        </w:rPr>
        <w:t>6</w:t>
      </w:r>
      <w:r>
        <w:rPr>
          <w:rFonts w:ascii="Arial" w:hAnsi="Arial" w:cs="Arial"/>
          <w:sz w:val="24"/>
          <w:szCs w:val="24"/>
        </w:rPr>
        <w:t>]</w:t>
      </w:r>
      <w:r>
        <w:rPr>
          <w:rFonts w:ascii="Arial" w:hAnsi="Arial" w:cs="Arial"/>
          <w:sz w:val="24"/>
          <w:szCs w:val="24"/>
        </w:rPr>
        <w:tab/>
      </w:r>
      <w:r w:rsidR="00E61269">
        <w:rPr>
          <w:rFonts w:ascii="Arial" w:hAnsi="Arial" w:cs="Arial"/>
          <w:sz w:val="24"/>
          <w:szCs w:val="24"/>
        </w:rPr>
        <w:t>In amplification of FA10, a mortgage bond was registered over the Sub-</w:t>
      </w:r>
      <w:r w:rsidR="004A331C">
        <w:rPr>
          <w:rFonts w:ascii="Arial" w:hAnsi="Arial" w:cs="Arial"/>
          <w:sz w:val="24"/>
          <w:szCs w:val="24"/>
        </w:rPr>
        <w:t>L</w:t>
      </w:r>
      <w:r w:rsidR="00E61269">
        <w:rPr>
          <w:rFonts w:ascii="Arial" w:hAnsi="Arial" w:cs="Arial"/>
          <w:sz w:val="24"/>
          <w:szCs w:val="24"/>
        </w:rPr>
        <w:t xml:space="preserve">ease in </w:t>
      </w:r>
      <w:r w:rsidR="00E61269">
        <w:rPr>
          <w:rFonts w:ascii="Arial" w:hAnsi="Arial" w:cs="Arial"/>
          <w:sz w:val="24"/>
          <w:szCs w:val="24"/>
        </w:rPr>
        <w:lastRenderedPageBreak/>
        <w:t xml:space="preserve">favour of FirstRand Bank. FirstRand Bank’s rights in terms of the mortgage bond accordingly became fused with </w:t>
      </w:r>
      <w:r w:rsidR="00074523">
        <w:rPr>
          <w:rFonts w:ascii="Arial" w:hAnsi="Arial" w:cs="Arial"/>
          <w:sz w:val="24"/>
          <w:szCs w:val="24"/>
        </w:rPr>
        <w:t xml:space="preserve">the terms of </w:t>
      </w:r>
      <w:r w:rsidR="00E61269">
        <w:rPr>
          <w:rFonts w:ascii="Arial" w:hAnsi="Arial" w:cs="Arial"/>
          <w:sz w:val="24"/>
          <w:szCs w:val="24"/>
        </w:rPr>
        <w:t>the Sub-Lease.</w:t>
      </w:r>
      <w:r w:rsidR="00E61269">
        <w:rPr>
          <w:rStyle w:val="FootnoteReference"/>
          <w:rFonts w:ascii="Arial" w:hAnsi="Arial" w:cs="Arial"/>
          <w:sz w:val="24"/>
          <w:szCs w:val="24"/>
        </w:rPr>
        <w:footnoteReference w:id="25"/>
      </w:r>
      <w:r w:rsidR="00074523">
        <w:rPr>
          <w:rFonts w:ascii="Arial" w:hAnsi="Arial" w:cs="Arial"/>
          <w:sz w:val="24"/>
          <w:szCs w:val="24"/>
        </w:rPr>
        <w:t xml:space="preserve"> </w:t>
      </w:r>
      <w:r w:rsidR="006A5253">
        <w:rPr>
          <w:rFonts w:ascii="Arial" w:hAnsi="Arial" w:cs="Arial"/>
          <w:sz w:val="24"/>
          <w:szCs w:val="24"/>
        </w:rPr>
        <w:t>For the registration of a notarial bond</w:t>
      </w:r>
      <w:r w:rsidR="00074523">
        <w:rPr>
          <w:rFonts w:ascii="Arial" w:hAnsi="Arial" w:cs="Arial"/>
          <w:sz w:val="24"/>
          <w:szCs w:val="24"/>
        </w:rPr>
        <w:t>,</w:t>
      </w:r>
      <w:r w:rsidR="006A5253">
        <w:rPr>
          <w:rFonts w:ascii="Arial" w:hAnsi="Arial" w:cs="Arial"/>
          <w:sz w:val="24"/>
          <w:szCs w:val="24"/>
        </w:rPr>
        <w:t xml:space="preserve"> specially hypothecating a registered lease or sublease</w:t>
      </w:r>
      <w:r w:rsidR="00074523">
        <w:rPr>
          <w:rFonts w:ascii="Arial" w:hAnsi="Arial" w:cs="Arial"/>
          <w:sz w:val="24"/>
          <w:szCs w:val="24"/>
        </w:rPr>
        <w:t>,</w:t>
      </w:r>
      <w:r w:rsidR="006A5253">
        <w:rPr>
          <w:rFonts w:ascii="Arial" w:hAnsi="Arial" w:cs="Arial"/>
          <w:sz w:val="24"/>
          <w:szCs w:val="24"/>
        </w:rPr>
        <w:t xml:space="preserve"> the deed of lease or sublease shall be endorsed by the </w:t>
      </w:r>
      <w:r w:rsidR="007518A1">
        <w:rPr>
          <w:rFonts w:ascii="Arial" w:hAnsi="Arial" w:cs="Arial"/>
          <w:sz w:val="24"/>
          <w:szCs w:val="24"/>
        </w:rPr>
        <w:t>R</w:t>
      </w:r>
      <w:r w:rsidR="006A5253">
        <w:rPr>
          <w:rFonts w:ascii="Arial" w:hAnsi="Arial" w:cs="Arial"/>
          <w:sz w:val="24"/>
          <w:szCs w:val="24"/>
        </w:rPr>
        <w:t xml:space="preserve">egistrar </w:t>
      </w:r>
      <w:r w:rsidR="007518A1">
        <w:rPr>
          <w:rFonts w:ascii="Arial" w:hAnsi="Arial" w:cs="Arial"/>
          <w:sz w:val="24"/>
          <w:szCs w:val="24"/>
        </w:rPr>
        <w:t xml:space="preserve"> of the Deeds Office </w:t>
      </w:r>
      <w:r w:rsidR="006A5253">
        <w:rPr>
          <w:rFonts w:ascii="Arial" w:hAnsi="Arial" w:cs="Arial"/>
          <w:sz w:val="24"/>
          <w:szCs w:val="24"/>
        </w:rPr>
        <w:t xml:space="preserve">in terms of the provisions of section 82 of </w:t>
      </w:r>
      <w:r w:rsidR="00E61269">
        <w:rPr>
          <w:rFonts w:ascii="Arial" w:hAnsi="Arial" w:cs="Arial"/>
          <w:sz w:val="24"/>
          <w:szCs w:val="24"/>
        </w:rPr>
        <w:t>the Deeds’ Registries Act</w:t>
      </w:r>
      <w:r w:rsidR="00E61269">
        <w:rPr>
          <w:rStyle w:val="FootnoteReference"/>
          <w:rFonts w:ascii="Arial" w:hAnsi="Arial" w:cs="Arial"/>
          <w:sz w:val="24"/>
          <w:szCs w:val="24"/>
        </w:rPr>
        <w:footnoteReference w:id="26"/>
      </w:r>
      <w:r w:rsidR="00E61269">
        <w:rPr>
          <w:rFonts w:ascii="Arial" w:hAnsi="Arial" w:cs="Arial"/>
          <w:sz w:val="24"/>
          <w:szCs w:val="24"/>
        </w:rPr>
        <w:t xml:space="preserve"> </w:t>
      </w:r>
      <w:r w:rsidR="00156FAF">
        <w:rPr>
          <w:rFonts w:ascii="Arial" w:hAnsi="Arial" w:cs="Arial"/>
          <w:sz w:val="24"/>
          <w:szCs w:val="24"/>
        </w:rPr>
        <w:t>(the “ Deeds Act”)</w:t>
      </w:r>
    </w:p>
    <w:p w:rsidR="00812472" w:rsidRDefault="00812472" w:rsidP="00B052B2">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110E75" w:rsidRDefault="00110E75" w:rsidP="00BC170E">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4A331C">
        <w:rPr>
          <w:rFonts w:ascii="Arial" w:hAnsi="Arial" w:cs="Arial"/>
          <w:sz w:val="24"/>
          <w:szCs w:val="24"/>
        </w:rPr>
        <w:t>5</w:t>
      </w:r>
      <w:r w:rsidR="00282386">
        <w:rPr>
          <w:rFonts w:ascii="Arial" w:hAnsi="Arial" w:cs="Arial"/>
          <w:sz w:val="24"/>
          <w:szCs w:val="24"/>
        </w:rPr>
        <w:t>7</w:t>
      </w:r>
      <w:r>
        <w:rPr>
          <w:rFonts w:ascii="Arial" w:hAnsi="Arial" w:cs="Arial"/>
          <w:sz w:val="24"/>
          <w:szCs w:val="24"/>
        </w:rPr>
        <w:t>]</w:t>
      </w:r>
      <w:r>
        <w:rPr>
          <w:rFonts w:ascii="Arial" w:hAnsi="Arial" w:cs="Arial"/>
          <w:sz w:val="24"/>
          <w:szCs w:val="24"/>
        </w:rPr>
        <w:tab/>
        <w:t xml:space="preserve">The </w:t>
      </w:r>
      <w:r w:rsidR="00013331">
        <w:rPr>
          <w:rFonts w:ascii="Arial" w:hAnsi="Arial" w:cs="Arial"/>
          <w:sz w:val="24"/>
          <w:szCs w:val="24"/>
        </w:rPr>
        <w:t>Respondent Trust</w:t>
      </w:r>
      <w:r>
        <w:rPr>
          <w:rFonts w:ascii="Arial" w:hAnsi="Arial" w:cs="Arial"/>
          <w:sz w:val="24"/>
          <w:szCs w:val="24"/>
        </w:rPr>
        <w:t xml:space="preserve"> and FirstRand Bank as well as the </w:t>
      </w:r>
      <w:r w:rsidR="00103989">
        <w:rPr>
          <w:rFonts w:ascii="Arial" w:hAnsi="Arial" w:cs="Arial"/>
          <w:sz w:val="24"/>
          <w:szCs w:val="24"/>
        </w:rPr>
        <w:t>Applicant Trust</w:t>
      </w:r>
      <w:r>
        <w:rPr>
          <w:rFonts w:ascii="Arial" w:hAnsi="Arial" w:cs="Arial"/>
          <w:sz w:val="24"/>
          <w:szCs w:val="24"/>
        </w:rPr>
        <w:t xml:space="preserve"> approved of the additional notice period as per FA10.  It is a preclusion from acting contrary to a firm written commitment which was accepted by all the parties.  The attack by the </w:t>
      </w:r>
      <w:r w:rsidR="00103989">
        <w:rPr>
          <w:rFonts w:ascii="Arial" w:hAnsi="Arial" w:cs="Arial"/>
          <w:sz w:val="24"/>
          <w:szCs w:val="24"/>
        </w:rPr>
        <w:t>Applicant Trust</w:t>
      </w:r>
      <w:r>
        <w:rPr>
          <w:rFonts w:ascii="Arial" w:hAnsi="Arial" w:cs="Arial"/>
          <w:sz w:val="24"/>
          <w:szCs w:val="24"/>
        </w:rPr>
        <w:t xml:space="preserve"> on the basis that the schedule of payments, appended to the answering affidavit, indicates that the loan amount should have been settled by the time of the purported cancellation, cannot be sustained in the face of the unequivocal allegation by Ms Boa</w:t>
      </w:r>
      <w:r w:rsidR="00812472">
        <w:rPr>
          <w:rFonts w:ascii="Arial" w:hAnsi="Arial" w:cs="Arial"/>
          <w:sz w:val="24"/>
          <w:szCs w:val="24"/>
        </w:rPr>
        <w:t>ke</w:t>
      </w:r>
      <w:r>
        <w:rPr>
          <w:rFonts w:ascii="Arial" w:hAnsi="Arial" w:cs="Arial"/>
          <w:sz w:val="24"/>
          <w:szCs w:val="24"/>
        </w:rPr>
        <w:t xml:space="preserve"> of FirstRand Bank confirming an ongoing debt</w:t>
      </w:r>
      <w:r w:rsidR="00282386">
        <w:rPr>
          <w:rFonts w:ascii="Arial" w:hAnsi="Arial" w:cs="Arial"/>
          <w:sz w:val="24"/>
          <w:szCs w:val="24"/>
        </w:rPr>
        <w:t>,</w:t>
      </w:r>
      <w:r>
        <w:rPr>
          <w:rFonts w:ascii="Arial" w:hAnsi="Arial" w:cs="Arial"/>
          <w:sz w:val="24"/>
          <w:szCs w:val="24"/>
        </w:rPr>
        <w:t xml:space="preserve"> at all material times</w:t>
      </w:r>
      <w:r w:rsidR="00282386">
        <w:rPr>
          <w:rFonts w:ascii="Arial" w:hAnsi="Arial" w:cs="Arial"/>
          <w:sz w:val="24"/>
          <w:szCs w:val="24"/>
        </w:rPr>
        <w:t>,</w:t>
      </w:r>
      <w:r>
        <w:rPr>
          <w:rFonts w:ascii="Arial" w:hAnsi="Arial" w:cs="Arial"/>
          <w:sz w:val="24"/>
          <w:szCs w:val="24"/>
        </w:rPr>
        <w:t xml:space="preserve"> which is substantial. </w:t>
      </w:r>
    </w:p>
    <w:p w:rsidR="00156FAF" w:rsidRDefault="00156FAF" w:rsidP="00B052B2">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110E75" w:rsidRDefault="00110E75" w:rsidP="00BC170E">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156FAF">
        <w:rPr>
          <w:rFonts w:ascii="Arial" w:hAnsi="Arial" w:cs="Arial"/>
          <w:sz w:val="24"/>
          <w:szCs w:val="24"/>
        </w:rPr>
        <w:t>5</w:t>
      </w:r>
      <w:r w:rsidR="00282386">
        <w:rPr>
          <w:rFonts w:ascii="Arial" w:hAnsi="Arial" w:cs="Arial"/>
          <w:sz w:val="24"/>
          <w:szCs w:val="24"/>
        </w:rPr>
        <w:t>8</w:t>
      </w:r>
      <w:r>
        <w:rPr>
          <w:rFonts w:ascii="Arial" w:hAnsi="Arial" w:cs="Arial"/>
          <w:sz w:val="24"/>
          <w:szCs w:val="24"/>
        </w:rPr>
        <w:t>]</w:t>
      </w:r>
      <w:r w:rsidR="00156FAF">
        <w:rPr>
          <w:rFonts w:ascii="Arial" w:hAnsi="Arial" w:cs="Arial"/>
          <w:sz w:val="24"/>
          <w:szCs w:val="24"/>
        </w:rPr>
        <w:tab/>
      </w:r>
      <w:r w:rsidR="00812472">
        <w:rPr>
          <w:rFonts w:ascii="Arial" w:hAnsi="Arial" w:cs="Arial"/>
          <w:sz w:val="24"/>
          <w:szCs w:val="24"/>
        </w:rPr>
        <w:t>This application is opposed by FirstRand Bank on the grounds that it is the holder of both the mortgage bond and the security cession over the Sub-Lease.  The security cession agreement was signed on 29 June 2018 and the mortgage bond was registered during November 2018.  From the answering affidavit deposed to by Ms Boake it is evident that “</w:t>
      </w:r>
      <w:r w:rsidR="00812472" w:rsidRPr="00282386">
        <w:rPr>
          <w:rFonts w:ascii="Arial" w:hAnsi="Arial" w:cs="Arial"/>
          <w:sz w:val="20"/>
          <w:szCs w:val="20"/>
        </w:rPr>
        <w:t>…the indebtedness at present, is well in excess of the amounts secured in respect of the mortgage bond.</w:t>
      </w:r>
      <w:r w:rsidR="00812472">
        <w:rPr>
          <w:rFonts w:ascii="Arial" w:hAnsi="Arial" w:cs="Arial"/>
          <w:sz w:val="24"/>
          <w:szCs w:val="24"/>
        </w:rPr>
        <w:t>” The argument raised on behalf of FirstRand Bank</w:t>
      </w:r>
      <w:r w:rsidR="00ED6727">
        <w:rPr>
          <w:rFonts w:ascii="Arial" w:hAnsi="Arial" w:cs="Arial"/>
          <w:sz w:val="24"/>
          <w:szCs w:val="24"/>
        </w:rPr>
        <w:t xml:space="preserve"> is that the registration of the mortgage bond affords FirstRand Bank real rights over the Sub-lease in terms of, </w:t>
      </w:r>
      <w:r w:rsidR="00ED6727" w:rsidRPr="00ED6727">
        <w:rPr>
          <w:rFonts w:ascii="Arial" w:hAnsi="Arial" w:cs="Arial"/>
          <w:i/>
          <w:sz w:val="24"/>
          <w:szCs w:val="24"/>
        </w:rPr>
        <w:t>inter alia</w:t>
      </w:r>
      <w:r w:rsidR="00ED6727">
        <w:rPr>
          <w:rFonts w:ascii="Arial" w:hAnsi="Arial" w:cs="Arial"/>
          <w:sz w:val="24"/>
          <w:szCs w:val="24"/>
        </w:rPr>
        <w:t>, the provisions of the Deeds Act.</w:t>
      </w:r>
      <w:r w:rsidR="002C70BC">
        <w:rPr>
          <w:rFonts w:ascii="Arial" w:hAnsi="Arial" w:cs="Arial"/>
          <w:sz w:val="24"/>
          <w:szCs w:val="24"/>
        </w:rPr>
        <w:t xml:space="preserve"> </w:t>
      </w:r>
    </w:p>
    <w:p w:rsidR="00ED6727" w:rsidRDefault="00ED6727" w:rsidP="00B052B2">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ED6727" w:rsidRDefault="00ED6727" w:rsidP="00BC170E">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156FAF">
        <w:rPr>
          <w:rFonts w:ascii="Arial" w:hAnsi="Arial" w:cs="Arial"/>
          <w:sz w:val="24"/>
          <w:szCs w:val="24"/>
        </w:rPr>
        <w:t>5</w:t>
      </w:r>
      <w:r w:rsidR="00282386">
        <w:rPr>
          <w:rFonts w:ascii="Arial" w:hAnsi="Arial" w:cs="Arial"/>
          <w:sz w:val="24"/>
          <w:szCs w:val="24"/>
        </w:rPr>
        <w:t>9</w:t>
      </w:r>
      <w:r>
        <w:rPr>
          <w:rFonts w:ascii="Arial" w:hAnsi="Arial" w:cs="Arial"/>
          <w:sz w:val="24"/>
          <w:szCs w:val="24"/>
        </w:rPr>
        <w:t>]</w:t>
      </w:r>
      <w:r>
        <w:rPr>
          <w:rFonts w:ascii="Arial" w:hAnsi="Arial" w:cs="Arial"/>
          <w:sz w:val="24"/>
          <w:szCs w:val="24"/>
        </w:rPr>
        <w:tab/>
        <w:t xml:space="preserve">Mr </w:t>
      </w:r>
      <w:r w:rsidR="00BF033D">
        <w:rPr>
          <w:rFonts w:ascii="Arial" w:hAnsi="Arial" w:cs="Arial"/>
          <w:sz w:val="24"/>
          <w:szCs w:val="24"/>
        </w:rPr>
        <w:t>Rudolph</w:t>
      </w:r>
      <w:r>
        <w:rPr>
          <w:rFonts w:ascii="Arial" w:hAnsi="Arial" w:cs="Arial"/>
          <w:sz w:val="24"/>
          <w:szCs w:val="24"/>
        </w:rPr>
        <w:t xml:space="preserve"> (appearing with Mr Symon SC) argued that the </w:t>
      </w:r>
      <w:r w:rsidR="00103989">
        <w:rPr>
          <w:rFonts w:ascii="Arial" w:hAnsi="Arial" w:cs="Arial"/>
          <w:sz w:val="24"/>
          <w:szCs w:val="24"/>
        </w:rPr>
        <w:t>Applicant Trust</w:t>
      </w:r>
      <w:r>
        <w:rPr>
          <w:rFonts w:ascii="Arial" w:hAnsi="Arial" w:cs="Arial"/>
          <w:sz w:val="24"/>
          <w:szCs w:val="24"/>
        </w:rPr>
        <w:t xml:space="preserve"> is obliged to comply</w:t>
      </w:r>
      <w:r w:rsidR="0064009F">
        <w:rPr>
          <w:rFonts w:ascii="Arial" w:hAnsi="Arial" w:cs="Arial"/>
          <w:sz w:val="24"/>
          <w:szCs w:val="24"/>
        </w:rPr>
        <w:t xml:space="preserve"> with the provisions of the Deeds Act before it may cancel the </w:t>
      </w:r>
      <w:r w:rsidR="009801DC">
        <w:rPr>
          <w:rFonts w:ascii="Arial" w:hAnsi="Arial" w:cs="Arial"/>
          <w:sz w:val="24"/>
          <w:szCs w:val="24"/>
        </w:rPr>
        <w:t>S</w:t>
      </w:r>
      <w:r w:rsidR="0064009F">
        <w:rPr>
          <w:rFonts w:ascii="Arial" w:hAnsi="Arial" w:cs="Arial"/>
          <w:sz w:val="24"/>
          <w:szCs w:val="24"/>
        </w:rPr>
        <w:t>ub-Lease. In terms of the provisions of section 82(3) of the</w:t>
      </w:r>
      <w:r w:rsidR="00156FAF">
        <w:rPr>
          <w:rFonts w:ascii="Arial" w:hAnsi="Arial" w:cs="Arial"/>
          <w:sz w:val="24"/>
          <w:szCs w:val="24"/>
        </w:rPr>
        <w:t xml:space="preserve"> Deeds</w:t>
      </w:r>
      <w:r w:rsidR="0064009F">
        <w:rPr>
          <w:rFonts w:ascii="Arial" w:hAnsi="Arial" w:cs="Arial"/>
          <w:sz w:val="24"/>
          <w:szCs w:val="24"/>
        </w:rPr>
        <w:t xml:space="preserve"> Act the provisions of section 56</w:t>
      </w:r>
      <w:r w:rsidR="00077B4D">
        <w:rPr>
          <w:rFonts w:ascii="Arial" w:hAnsi="Arial" w:cs="Arial"/>
          <w:sz w:val="24"/>
          <w:szCs w:val="24"/>
        </w:rPr>
        <w:t>(1)</w:t>
      </w:r>
      <w:r w:rsidR="0064009F">
        <w:rPr>
          <w:rFonts w:ascii="Arial" w:hAnsi="Arial" w:cs="Arial"/>
          <w:sz w:val="24"/>
          <w:szCs w:val="24"/>
        </w:rPr>
        <w:t xml:space="preserve"> s</w:t>
      </w:r>
      <w:r w:rsidR="000C2B7F">
        <w:rPr>
          <w:rFonts w:ascii="Arial" w:hAnsi="Arial" w:cs="Arial"/>
          <w:sz w:val="24"/>
          <w:szCs w:val="24"/>
        </w:rPr>
        <w:t>h</w:t>
      </w:r>
      <w:r w:rsidR="0064009F">
        <w:rPr>
          <w:rFonts w:ascii="Arial" w:hAnsi="Arial" w:cs="Arial"/>
          <w:sz w:val="24"/>
          <w:szCs w:val="24"/>
        </w:rPr>
        <w:t xml:space="preserve">all apply </w:t>
      </w:r>
      <w:r w:rsidR="0064009F" w:rsidRPr="00077B4D">
        <w:rPr>
          <w:rFonts w:ascii="Arial" w:hAnsi="Arial" w:cs="Arial"/>
          <w:i/>
          <w:sz w:val="24"/>
          <w:szCs w:val="24"/>
        </w:rPr>
        <w:t xml:space="preserve">mutatis mutandis </w:t>
      </w:r>
      <w:r w:rsidR="0064009F">
        <w:rPr>
          <w:rFonts w:ascii="Arial" w:hAnsi="Arial" w:cs="Arial"/>
          <w:sz w:val="24"/>
          <w:szCs w:val="24"/>
        </w:rPr>
        <w:t xml:space="preserve">in respect of any </w:t>
      </w:r>
      <w:r w:rsidR="000C2B7F">
        <w:rPr>
          <w:rFonts w:ascii="Arial" w:hAnsi="Arial" w:cs="Arial"/>
          <w:sz w:val="24"/>
          <w:szCs w:val="24"/>
        </w:rPr>
        <w:t xml:space="preserve">mortgage bond registered over a lease as opposed to a mortgage bond registered over immovable property.  In turn, section 56(1) provides that no transfer of mortgaged land shall be attested or executed by the Registrar and no cession of a mortgaged lease of the immovable </w:t>
      </w:r>
      <w:r w:rsidR="000C2B7F">
        <w:rPr>
          <w:rFonts w:ascii="Arial" w:hAnsi="Arial" w:cs="Arial"/>
          <w:sz w:val="24"/>
          <w:szCs w:val="24"/>
        </w:rPr>
        <w:lastRenderedPageBreak/>
        <w:t>property, or of any mortgaged real right in land, shall be registered until the bond has been cancelled or the land, lease, or right has been released from the operation of the bond with the consent in writing of the holder thereof</w:t>
      </w:r>
      <w:r w:rsidR="00077B4D">
        <w:rPr>
          <w:rFonts w:ascii="Arial" w:hAnsi="Arial" w:cs="Arial"/>
          <w:sz w:val="24"/>
          <w:szCs w:val="24"/>
        </w:rPr>
        <w:t>.</w:t>
      </w:r>
    </w:p>
    <w:p w:rsidR="00077B4D" w:rsidRDefault="00077B4D" w:rsidP="00ED6727">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0A18D3" w:rsidRDefault="00077B4D" w:rsidP="00BC170E">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943D9D">
        <w:rPr>
          <w:rFonts w:ascii="Arial" w:hAnsi="Arial" w:cs="Arial"/>
          <w:sz w:val="24"/>
          <w:szCs w:val="24"/>
        </w:rPr>
        <w:t>60</w:t>
      </w:r>
      <w:r>
        <w:rPr>
          <w:rFonts w:ascii="Arial" w:hAnsi="Arial" w:cs="Arial"/>
          <w:sz w:val="24"/>
          <w:szCs w:val="24"/>
        </w:rPr>
        <w:t>]</w:t>
      </w:r>
      <w:r>
        <w:rPr>
          <w:rFonts w:ascii="Arial" w:hAnsi="Arial" w:cs="Arial"/>
          <w:sz w:val="24"/>
          <w:szCs w:val="24"/>
        </w:rPr>
        <w:tab/>
      </w:r>
      <w:r w:rsidR="009801DC">
        <w:rPr>
          <w:rFonts w:ascii="Arial" w:hAnsi="Arial" w:cs="Arial"/>
          <w:sz w:val="24"/>
          <w:szCs w:val="24"/>
        </w:rPr>
        <w:t xml:space="preserve">Section 78(1) of the </w:t>
      </w:r>
      <w:r w:rsidR="00156FAF">
        <w:rPr>
          <w:rFonts w:ascii="Arial" w:hAnsi="Arial" w:cs="Arial"/>
          <w:sz w:val="24"/>
          <w:szCs w:val="24"/>
        </w:rPr>
        <w:t xml:space="preserve">Deeds </w:t>
      </w:r>
      <w:r w:rsidR="009801DC">
        <w:rPr>
          <w:rFonts w:ascii="Arial" w:hAnsi="Arial" w:cs="Arial"/>
          <w:sz w:val="24"/>
          <w:szCs w:val="24"/>
        </w:rPr>
        <w:t xml:space="preserve">Act provides, </w:t>
      </w:r>
      <w:r w:rsidR="009801DC" w:rsidRPr="009801DC">
        <w:rPr>
          <w:rFonts w:ascii="Arial" w:hAnsi="Arial" w:cs="Arial"/>
          <w:i/>
          <w:sz w:val="24"/>
          <w:szCs w:val="24"/>
        </w:rPr>
        <w:t>inter alia</w:t>
      </w:r>
      <w:r w:rsidR="009801DC">
        <w:rPr>
          <w:rFonts w:ascii="Arial" w:hAnsi="Arial" w:cs="Arial"/>
          <w:sz w:val="24"/>
          <w:szCs w:val="24"/>
        </w:rPr>
        <w:t xml:space="preserve">, for the cancellation of a lease or sub-lease </w:t>
      </w:r>
      <w:r w:rsidR="00BA6623">
        <w:rPr>
          <w:rFonts w:ascii="Arial" w:hAnsi="Arial" w:cs="Arial"/>
          <w:sz w:val="24"/>
          <w:szCs w:val="24"/>
        </w:rPr>
        <w:t>up</w:t>
      </w:r>
      <w:r w:rsidR="009801DC">
        <w:rPr>
          <w:rFonts w:ascii="Arial" w:hAnsi="Arial" w:cs="Arial"/>
          <w:sz w:val="24"/>
          <w:szCs w:val="24"/>
        </w:rPr>
        <w:t>on termination.  This section is silent on the situation where a mortgage bond has also been registered over the sub-</w:t>
      </w:r>
      <w:r w:rsidR="00993265">
        <w:rPr>
          <w:rFonts w:ascii="Arial" w:hAnsi="Arial" w:cs="Arial"/>
          <w:sz w:val="24"/>
          <w:szCs w:val="24"/>
        </w:rPr>
        <w:t>l</w:t>
      </w:r>
      <w:r w:rsidR="009801DC">
        <w:rPr>
          <w:rFonts w:ascii="Arial" w:hAnsi="Arial" w:cs="Arial"/>
          <w:sz w:val="24"/>
          <w:szCs w:val="24"/>
        </w:rPr>
        <w:t>ease that is the subject matter of an application in terms of section 78 for the cancellation of the lease or sub</w:t>
      </w:r>
      <w:r w:rsidR="00993265">
        <w:rPr>
          <w:rFonts w:ascii="Arial" w:hAnsi="Arial" w:cs="Arial"/>
          <w:sz w:val="24"/>
          <w:szCs w:val="24"/>
        </w:rPr>
        <w:t>-</w:t>
      </w:r>
      <w:r w:rsidR="009801DC">
        <w:rPr>
          <w:rFonts w:ascii="Arial" w:hAnsi="Arial" w:cs="Arial"/>
          <w:sz w:val="24"/>
          <w:szCs w:val="24"/>
        </w:rPr>
        <w:t xml:space="preserve">lease.  On behalf of the </w:t>
      </w:r>
      <w:r w:rsidR="00013331">
        <w:rPr>
          <w:rFonts w:ascii="Arial" w:hAnsi="Arial" w:cs="Arial"/>
          <w:sz w:val="24"/>
          <w:szCs w:val="24"/>
        </w:rPr>
        <w:t>Respondent Trust</w:t>
      </w:r>
      <w:r w:rsidR="009801DC">
        <w:rPr>
          <w:rFonts w:ascii="Arial" w:hAnsi="Arial" w:cs="Arial"/>
          <w:sz w:val="24"/>
          <w:szCs w:val="24"/>
        </w:rPr>
        <w:t xml:space="preserve"> and FirstRand Bank it is submitted that before a party may make application in terms of the provisions of section 78 of </w:t>
      </w:r>
      <w:r w:rsidR="00BF033D">
        <w:rPr>
          <w:rFonts w:ascii="Arial" w:hAnsi="Arial" w:cs="Arial"/>
          <w:sz w:val="24"/>
          <w:szCs w:val="24"/>
        </w:rPr>
        <w:t>the Deeds</w:t>
      </w:r>
      <w:r w:rsidR="00156FAF">
        <w:rPr>
          <w:rFonts w:ascii="Arial" w:hAnsi="Arial" w:cs="Arial"/>
          <w:sz w:val="24"/>
          <w:szCs w:val="24"/>
        </w:rPr>
        <w:t xml:space="preserve"> </w:t>
      </w:r>
      <w:r w:rsidR="009801DC">
        <w:rPr>
          <w:rFonts w:ascii="Arial" w:hAnsi="Arial" w:cs="Arial"/>
          <w:sz w:val="24"/>
          <w:szCs w:val="24"/>
        </w:rPr>
        <w:t>Act</w:t>
      </w:r>
      <w:r w:rsidR="000A18D3">
        <w:rPr>
          <w:rFonts w:ascii="Arial" w:hAnsi="Arial" w:cs="Arial"/>
          <w:sz w:val="24"/>
          <w:szCs w:val="24"/>
        </w:rPr>
        <w:t>, the mortgage bond must first be cancelled or the lease or sub</w:t>
      </w:r>
      <w:r w:rsidR="00993265">
        <w:rPr>
          <w:rFonts w:ascii="Arial" w:hAnsi="Arial" w:cs="Arial"/>
          <w:sz w:val="24"/>
          <w:szCs w:val="24"/>
        </w:rPr>
        <w:t>-</w:t>
      </w:r>
      <w:r w:rsidR="000A18D3">
        <w:rPr>
          <w:rFonts w:ascii="Arial" w:hAnsi="Arial" w:cs="Arial"/>
          <w:sz w:val="24"/>
          <w:szCs w:val="24"/>
        </w:rPr>
        <w:t xml:space="preserve">lease, as the case may be, must first be released from the operation of the mortgage bond. </w:t>
      </w:r>
    </w:p>
    <w:p w:rsidR="000A18D3" w:rsidRDefault="000A18D3" w:rsidP="00ED6727">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993265" w:rsidRDefault="000A18D3" w:rsidP="00BC170E">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943D9D">
        <w:rPr>
          <w:rFonts w:ascii="Arial" w:hAnsi="Arial" w:cs="Arial"/>
          <w:sz w:val="24"/>
          <w:szCs w:val="24"/>
        </w:rPr>
        <w:t>61</w:t>
      </w:r>
      <w:r>
        <w:rPr>
          <w:rFonts w:ascii="Arial" w:hAnsi="Arial" w:cs="Arial"/>
          <w:sz w:val="24"/>
          <w:szCs w:val="24"/>
        </w:rPr>
        <w:t xml:space="preserve">] </w:t>
      </w:r>
      <w:r w:rsidR="00993265">
        <w:rPr>
          <w:rFonts w:ascii="Arial" w:hAnsi="Arial" w:cs="Arial"/>
          <w:sz w:val="24"/>
          <w:szCs w:val="24"/>
        </w:rPr>
        <w:tab/>
      </w:r>
      <w:r w:rsidR="006D34E4">
        <w:rPr>
          <w:rFonts w:ascii="Arial" w:hAnsi="Arial" w:cs="Arial"/>
          <w:sz w:val="24"/>
          <w:szCs w:val="24"/>
        </w:rPr>
        <w:t>This</w:t>
      </w:r>
      <w:r w:rsidR="00993265">
        <w:rPr>
          <w:rFonts w:ascii="Arial" w:hAnsi="Arial" w:cs="Arial"/>
          <w:sz w:val="24"/>
          <w:szCs w:val="24"/>
        </w:rPr>
        <w:t>, Mr Rudo</w:t>
      </w:r>
      <w:r w:rsidR="00156FAF">
        <w:rPr>
          <w:rFonts w:ascii="Arial" w:hAnsi="Arial" w:cs="Arial"/>
          <w:sz w:val="24"/>
          <w:szCs w:val="24"/>
        </w:rPr>
        <w:t>l</w:t>
      </w:r>
      <w:r w:rsidR="00993265">
        <w:rPr>
          <w:rFonts w:ascii="Arial" w:hAnsi="Arial" w:cs="Arial"/>
          <w:sz w:val="24"/>
          <w:szCs w:val="24"/>
        </w:rPr>
        <w:t>ph argued,</w:t>
      </w:r>
      <w:r w:rsidR="006D34E4">
        <w:rPr>
          <w:rFonts w:ascii="Arial" w:hAnsi="Arial" w:cs="Arial"/>
          <w:sz w:val="24"/>
          <w:szCs w:val="24"/>
        </w:rPr>
        <w:t xml:space="preserve"> creates tension between the rights of a lessor (or sub-lessor) as opposed to a bondholder as to whose rights should take precedence. Normally, if a registered lease or sub</w:t>
      </w:r>
      <w:r w:rsidR="00993265">
        <w:rPr>
          <w:rFonts w:ascii="Arial" w:hAnsi="Arial" w:cs="Arial"/>
          <w:sz w:val="24"/>
          <w:szCs w:val="24"/>
        </w:rPr>
        <w:t>-</w:t>
      </w:r>
      <w:r w:rsidR="006D34E4">
        <w:rPr>
          <w:rFonts w:ascii="Arial" w:hAnsi="Arial" w:cs="Arial"/>
          <w:sz w:val="24"/>
          <w:szCs w:val="24"/>
        </w:rPr>
        <w:t>lease terminates by the effluxion of time, it would be uncontroversial for the land owner or leaseholder to obtain the consent of the bondholder to release the registered lease from the operation of the mortgage bond.  However, if a party wishes to terminate a registered lease due to a breach thereof</w:t>
      </w:r>
      <w:r w:rsidR="00F925D3">
        <w:rPr>
          <w:rFonts w:ascii="Arial" w:hAnsi="Arial" w:cs="Arial"/>
          <w:sz w:val="24"/>
          <w:szCs w:val="24"/>
        </w:rPr>
        <w:t>, that party would have to obtain the written consent of the bondholder to release it from the operation of the bond.</w:t>
      </w:r>
    </w:p>
    <w:p w:rsidR="00993265" w:rsidRDefault="00993265" w:rsidP="00ED6727">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2C70BC" w:rsidRDefault="00993265" w:rsidP="00BC170E">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943D9D">
        <w:rPr>
          <w:rFonts w:ascii="Arial" w:hAnsi="Arial" w:cs="Arial"/>
          <w:sz w:val="24"/>
          <w:szCs w:val="24"/>
        </w:rPr>
        <w:t>62</w:t>
      </w:r>
      <w:r>
        <w:rPr>
          <w:rFonts w:ascii="Arial" w:hAnsi="Arial" w:cs="Arial"/>
          <w:sz w:val="24"/>
          <w:szCs w:val="24"/>
        </w:rPr>
        <w:t>]</w:t>
      </w:r>
      <w:r>
        <w:rPr>
          <w:rFonts w:ascii="Arial" w:hAnsi="Arial" w:cs="Arial"/>
          <w:sz w:val="24"/>
          <w:szCs w:val="24"/>
        </w:rPr>
        <w:tab/>
        <w:t xml:space="preserve">FirstRand Bank opposes the relief claimed by the </w:t>
      </w:r>
      <w:r w:rsidR="00103989">
        <w:rPr>
          <w:rFonts w:ascii="Arial" w:hAnsi="Arial" w:cs="Arial"/>
          <w:sz w:val="24"/>
          <w:szCs w:val="24"/>
        </w:rPr>
        <w:t>Applicant Trust</w:t>
      </w:r>
      <w:r>
        <w:rPr>
          <w:rFonts w:ascii="Arial" w:hAnsi="Arial" w:cs="Arial"/>
          <w:sz w:val="24"/>
          <w:szCs w:val="24"/>
        </w:rPr>
        <w:t xml:space="preserve"> and is not prepared to consent to the cancellation of the Sub-Lease, the mortgage bond and the security cession, and will only do so after the full balance owed to it by the </w:t>
      </w:r>
      <w:r w:rsidR="00013331">
        <w:rPr>
          <w:rFonts w:ascii="Arial" w:hAnsi="Arial" w:cs="Arial"/>
          <w:sz w:val="24"/>
          <w:szCs w:val="24"/>
        </w:rPr>
        <w:t>Respondent Trust</w:t>
      </w:r>
      <w:r>
        <w:rPr>
          <w:rFonts w:ascii="Arial" w:hAnsi="Arial" w:cs="Arial"/>
          <w:sz w:val="24"/>
          <w:szCs w:val="24"/>
        </w:rPr>
        <w:t xml:space="preserve"> is settled</w:t>
      </w:r>
      <w:r w:rsidR="001E589C">
        <w:rPr>
          <w:rFonts w:ascii="Arial" w:hAnsi="Arial" w:cs="Arial"/>
          <w:sz w:val="24"/>
          <w:szCs w:val="24"/>
        </w:rPr>
        <w:t>.</w:t>
      </w:r>
      <w:r>
        <w:rPr>
          <w:rFonts w:ascii="Arial" w:hAnsi="Arial" w:cs="Arial"/>
          <w:sz w:val="24"/>
          <w:szCs w:val="24"/>
        </w:rPr>
        <w:t xml:space="preserve"> Even if the </w:t>
      </w:r>
      <w:r w:rsidR="00103989">
        <w:rPr>
          <w:rFonts w:ascii="Arial" w:hAnsi="Arial" w:cs="Arial"/>
          <w:sz w:val="24"/>
          <w:szCs w:val="24"/>
        </w:rPr>
        <w:t>Applicant Trust</w:t>
      </w:r>
      <w:r>
        <w:rPr>
          <w:rFonts w:ascii="Arial" w:hAnsi="Arial" w:cs="Arial"/>
          <w:sz w:val="24"/>
          <w:szCs w:val="24"/>
        </w:rPr>
        <w:t xml:space="preserve"> was entitled to cancel the Sub-Leas</w:t>
      </w:r>
      <w:r w:rsidR="002C70BC">
        <w:rPr>
          <w:rFonts w:ascii="Arial" w:hAnsi="Arial" w:cs="Arial"/>
          <w:sz w:val="24"/>
          <w:szCs w:val="24"/>
        </w:rPr>
        <w:t>e</w:t>
      </w:r>
      <w:r>
        <w:rPr>
          <w:rFonts w:ascii="Arial" w:hAnsi="Arial" w:cs="Arial"/>
          <w:sz w:val="24"/>
          <w:szCs w:val="24"/>
        </w:rPr>
        <w:t>, its purported cancellation thereof would only be effective once the Sub-Lease, together with the mortgage bond</w:t>
      </w:r>
      <w:r w:rsidR="002C70BC">
        <w:rPr>
          <w:rFonts w:ascii="Arial" w:hAnsi="Arial" w:cs="Arial"/>
          <w:sz w:val="24"/>
          <w:szCs w:val="24"/>
        </w:rPr>
        <w:t xml:space="preserve"> is lawfully and validly cancelled in accordance with the provisions of the said Deeds Act.  FirstRand Bank is therefore still vested with its rights and is thus entitled to exercise all of those rights in terms of the mortgage bond and/or the cession including</w:t>
      </w:r>
      <w:r w:rsidR="007C2708">
        <w:rPr>
          <w:rFonts w:ascii="Arial" w:hAnsi="Arial" w:cs="Arial"/>
          <w:sz w:val="24"/>
          <w:szCs w:val="24"/>
        </w:rPr>
        <w:t>,</w:t>
      </w:r>
      <w:r w:rsidR="002C70BC">
        <w:rPr>
          <w:rFonts w:ascii="Arial" w:hAnsi="Arial" w:cs="Arial"/>
          <w:sz w:val="24"/>
          <w:szCs w:val="24"/>
        </w:rPr>
        <w:t xml:space="preserve"> but not limited to</w:t>
      </w:r>
      <w:r w:rsidR="007C2708">
        <w:rPr>
          <w:rFonts w:ascii="Arial" w:hAnsi="Arial" w:cs="Arial"/>
          <w:sz w:val="24"/>
          <w:szCs w:val="24"/>
        </w:rPr>
        <w:t>,</w:t>
      </w:r>
      <w:r w:rsidR="002C70BC">
        <w:rPr>
          <w:rFonts w:ascii="Arial" w:hAnsi="Arial" w:cs="Arial"/>
          <w:sz w:val="24"/>
          <w:szCs w:val="24"/>
        </w:rPr>
        <w:t xml:space="preserve"> the right to sell its rights in execution, purchase, realise or transfer the Sub-Lease.</w:t>
      </w:r>
    </w:p>
    <w:p w:rsidR="007C2708" w:rsidRDefault="007C2708" w:rsidP="00ED6727">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6807AC" w:rsidRDefault="006807AC" w:rsidP="00BC170E">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BC170E">
        <w:rPr>
          <w:rFonts w:ascii="Arial" w:hAnsi="Arial" w:cs="Arial"/>
          <w:sz w:val="24"/>
          <w:szCs w:val="24"/>
        </w:rPr>
        <w:t>6</w:t>
      </w:r>
      <w:r w:rsidR="00943D9D">
        <w:rPr>
          <w:rFonts w:ascii="Arial" w:hAnsi="Arial" w:cs="Arial"/>
          <w:sz w:val="24"/>
          <w:szCs w:val="24"/>
        </w:rPr>
        <w:t>3</w:t>
      </w:r>
      <w:r>
        <w:rPr>
          <w:rFonts w:ascii="Arial" w:hAnsi="Arial" w:cs="Arial"/>
          <w:sz w:val="24"/>
          <w:szCs w:val="24"/>
        </w:rPr>
        <w:t>]</w:t>
      </w:r>
      <w:r>
        <w:rPr>
          <w:rFonts w:ascii="Arial" w:hAnsi="Arial" w:cs="Arial"/>
          <w:sz w:val="24"/>
          <w:szCs w:val="24"/>
        </w:rPr>
        <w:tab/>
        <w:t xml:space="preserve">On behalf of the </w:t>
      </w:r>
      <w:r w:rsidR="00103989">
        <w:rPr>
          <w:rFonts w:ascii="Arial" w:hAnsi="Arial" w:cs="Arial"/>
          <w:sz w:val="24"/>
          <w:szCs w:val="24"/>
        </w:rPr>
        <w:t>Applicant Trust</w:t>
      </w:r>
      <w:r>
        <w:rPr>
          <w:rFonts w:ascii="Arial" w:hAnsi="Arial" w:cs="Arial"/>
          <w:sz w:val="24"/>
          <w:szCs w:val="24"/>
        </w:rPr>
        <w:t xml:space="preserve"> is was submitted that there is no provision in the </w:t>
      </w:r>
      <w:r>
        <w:rPr>
          <w:rFonts w:ascii="Arial" w:hAnsi="Arial" w:cs="Arial"/>
          <w:sz w:val="24"/>
          <w:szCs w:val="24"/>
        </w:rPr>
        <w:lastRenderedPageBreak/>
        <w:t xml:space="preserve">mortgage bond </w:t>
      </w:r>
      <w:r w:rsidR="00447DE9">
        <w:rPr>
          <w:rFonts w:ascii="Arial" w:hAnsi="Arial" w:cs="Arial"/>
          <w:sz w:val="24"/>
          <w:szCs w:val="24"/>
        </w:rPr>
        <w:t>provid</w:t>
      </w:r>
      <w:r w:rsidR="001E589C">
        <w:rPr>
          <w:rFonts w:ascii="Arial" w:hAnsi="Arial" w:cs="Arial"/>
          <w:sz w:val="24"/>
          <w:szCs w:val="24"/>
        </w:rPr>
        <w:t>ing</w:t>
      </w:r>
      <w:r w:rsidR="00447DE9">
        <w:rPr>
          <w:rFonts w:ascii="Arial" w:hAnsi="Arial" w:cs="Arial"/>
          <w:sz w:val="24"/>
          <w:szCs w:val="24"/>
        </w:rPr>
        <w:t xml:space="preserve"> for any notice period pertaining to the cancellation of the Sub-lease. FA10, approved to by all the parties, cannot be seen as an alteration of the terms of the mortgage bond</w:t>
      </w:r>
      <w:r w:rsidR="00447DE9" w:rsidRPr="00BC170E">
        <w:rPr>
          <w:rFonts w:ascii="Arial" w:hAnsi="Arial" w:cs="Arial"/>
          <w:sz w:val="24"/>
          <w:szCs w:val="24"/>
        </w:rPr>
        <w:t>.</w:t>
      </w:r>
      <w:r w:rsidR="00943D9D">
        <w:rPr>
          <w:rFonts w:ascii="Arial" w:hAnsi="Arial" w:cs="Arial"/>
          <w:sz w:val="24"/>
          <w:szCs w:val="24"/>
        </w:rPr>
        <w:t xml:space="preserve"> Cancellation of the Sub-Lease is an indivisible and unitary act. If it is accepted that FA10 precludes a cancellation of the Sub-Lease in respect of FirstRand Bank, it also precludes a cancellation against the Respondent Trust. The cancellation of the Sub-Lease cannot simultaneously be ineffective against FirstR</w:t>
      </w:r>
      <w:r w:rsidR="00EC2066">
        <w:rPr>
          <w:rFonts w:ascii="Arial" w:hAnsi="Arial" w:cs="Arial"/>
          <w:sz w:val="24"/>
          <w:szCs w:val="24"/>
        </w:rPr>
        <w:t>a</w:t>
      </w:r>
      <w:r w:rsidR="00943D9D">
        <w:rPr>
          <w:rFonts w:ascii="Arial" w:hAnsi="Arial" w:cs="Arial"/>
          <w:sz w:val="24"/>
          <w:szCs w:val="24"/>
        </w:rPr>
        <w:t>nd Bank but effective against the Respondent Trust.</w:t>
      </w:r>
      <w:r w:rsidR="007C2708">
        <w:rPr>
          <w:rFonts w:ascii="Arial" w:hAnsi="Arial" w:cs="Arial"/>
          <w:sz w:val="24"/>
          <w:szCs w:val="24"/>
        </w:rPr>
        <w:t xml:space="preserve"> </w:t>
      </w:r>
      <w:r w:rsidR="00447DE9">
        <w:rPr>
          <w:rFonts w:ascii="Arial" w:hAnsi="Arial" w:cs="Arial"/>
          <w:sz w:val="24"/>
          <w:szCs w:val="24"/>
        </w:rPr>
        <w:t xml:space="preserve"> </w:t>
      </w:r>
    </w:p>
    <w:p w:rsidR="007C2708" w:rsidRDefault="007C2708" w:rsidP="00ED6727">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536BA4" w:rsidRDefault="007C2708" w:rsidP="00BC170E">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BC170E">
        <w:rPr>
          <w:rFonts w:ascii="Arial" w:hAnsi="Arial" w:cs="Arial"/>
          <w:sz w:val="24"/>
          <w:szCs w:val="24"/>
        </w:rPr>
        <w:t>6</w:t>
      </w:r>
      <w:r w:rsidR="00943D9D">
        <w:rPr>
          <w:rFonts w:ascii="Arial" w:hAnsi="Arial" w:cs="Arial"/>
          <w:sz w:val="24"/>
          <w:szCs w:val="24"/>
        </w:rPr>
        <w:t>4</w:t>
      </w:r>
      <w:r>
        <w:rPr>
          <w:rFonts w:ascii="Arial" w:hAnsi="Arial" w:cs="Arial"/>
          <w:sz w:val="24"/>
          <w:szCs w:val="24"/>
        </w:rPr>
        <w:t>]</w:t>
      </w:r>
      <w:r>
        <w:rPr>
          <w:rFonts w:ascii="Arial" w:hAnsi="Arial" w:cs="Arial"/>
          <w:sz w:val="24"/>
          <w:szCs w:val="24"/>
        </w:rPr>
        <w:tab/>
      </w:r>
      <w:r w:rsidR="00CA20DC">
        <w:rPr>
          <w:rFonts w:ascii="Arial" w:hAnsi="Arial" w:cs="Arial"/>
          <w:sz w:val="24"/>
          <w:szCs w:val="24"/>
        </w:rPr>
        <w:t xml:space="preserve">The </w:t>
      </w:r>
      <w:r w:rsidR="00103989">
        <w:rPr>
          <w:rFonts w:ascii="Arial" w:hAnsi="Arial" w:cs="Arial"/>
          <w:sz w:val="24"/>
          <w:szCs w:val="24"/>
        </w:rPr>
        <w:t>Applicant Trust</w:t>
      </w:r>
      <w:r>
        <w:rPr>
          <w:rFonts w:ascii="Arial" w:hAnsi="Arial" w:cs="Arial"/>
          <w:sz w:val="24"/>
          <w:szCs w:val="24"/>
        </w:rPr>
        <w:t>, by seeking to cancel the Sub-Lease, is acting contrary to and thus in breach of FA10. FirstRand Bank, in opposition</w:t>
      </w:r>
      <w:r w:rsidR="00CA20DC">
        <w:rPr>
          <w:rFonts w:ascii="Arial" w:hAnsi="Arial" w:cs="Arial"/>
          <w:sz w:val="24"/>
          <w:szCs w:val="24"/>
        </w:rPr>
        <w:t>,</w:t>
      </w:r>
      <w:r>
        <w:rPr>
          <w:rFonts w:ascii="Arial" w:hAnsi="Arial" w:cs="Arial"/>
          <w:sz w:val="24"/>
          <w:szCs w:val="24"/>
        </w:rPr>
        <w:t xml:space="preserve"> has set out </w:t>
      </w:r>
      <w:r w:rsidR="00CA20DC">
        <w:rPr>
          <w:rFonts w:ascii="Arial" w:hAnsi="Arial" w:cs="Arial"/>
          <w:sz w:val="24"/>
          <w:szCs w:val="24"/>
        </w:rPr>
        <w:t xml:space="preserve">how its security would be endangered. In </w:t>
      </w:r>
      <w:r w:rsidR="00562E0B" w:rsidRPr="00562E0B">
        <w:rPr>
          <w:rFonts w:ascii="Arial" w:hAnsi="Arial" w:cs="Arial"/>
          <w:b/>
          <w:sz w:val="24"/>
          <w:szCs w:val="24"/>
        </w:rPr>
        <w:t>Beadica 231 CC and Others v Trustees, Oregon Trust</w:t>
      </w:r>
      <w:r w:rsidR="00CA20DC">
        <w:rPr>
          <w:rFonts w:ascii="Arial" w:hAnsi="Arial" w:cs="Arial"/>
          <w:sz w:val="24"/>
          <w:szCs w:val="24"/>
        </w:rPr>
        <w:t xml:space="preserve"> </w:t>
      </w:r>
      <w:r w:rsidR="00562E0B">
        <w:rPr>
          <w:rStyle w:val="FootnoteReference"/>
          <w:rFonts w:ascii="Arial" w:hAnsi="Arial" w:cs="Arial"/>
          <w:sz w:val="24"/>
          <w:szCs w:val="24"/>
        </w:rPr>
        <w:footnoteReference w:id="27"/>
      </w:r>
      <w:r w:rsidR="00536BA4">
        <w:rPr>
          <w:rFonts w:ascii="Arial" w:hAnsi="Arial" w:cs="Arial"/>
          <w:sz w:val="24"/>
          <w:szCs w:val="24"/>
        </w:rPr>
        <w:t xml:space="preserve"> it was held that:</w:t>
      </w:r>
    </w:p>
    <w:p w:rsidR="00536BA4" w:rsidRDefault="00536BA4" w:rsidP="00536BA4">
      <w:pPr>
        <w:widowControl w:val="0"/>
        <w:kinsoku w:val="0"/>
        <w:overflowPunct w:val="0"/>
        <w:autoSpaceDE w:val="0"/>
        <w:autoSpaceDN w:val="0"/>
        <w:adjustRightInd w:val="0"/>
        <w:spacing w:after="0" w:line="360" w:lineRule="auto"/>
        <w:ind w:left="1276" w:right="440" w:hanging="851"/>
        <w:jc w:val="both"/>
        <w:rPr>
          <w:rFonts w:ascii="Arial" w:hAnsi="Arial" w:cs="Arial"/>
          <w:sz w:val="20"/>
          <w:szCs w:val="20"/>
        </w:rPr>
      </w:pPr>
      <w:r>
        <w:rPr>
          <w:rFonts w:ascii="Arial" w:hAnsi="Arial" w:cs="Arial"/>
          <w:sz w:val="24"/>
          <w:szCs w:val="24"/>
        </w:rPr>
        <w:tab/>
      </w:r>
      <w:r w:rsidR="00562E0B" w:rsidRPr="00562E0B">
        <w:rPr>
          <w:rFonts w:ascii="Arial" w:hAnsi="Arial" w:cs="Arial"/>
          <w:sz w:val="20"/>
          <w:szCs w:val="20"/>
        </w:rPr>
        <w:t>“ …  contractual relations are the bedrock of economic activity and our economic development is dependent, to a large extent, on the willingness of parties to enter into contractual relationships.  If parties are confident that contracts that they enter into will be upheld, then they will be incentivised to contract with other parties for the</w:t>
      </w:r>
      <w:r w:rsidR="00745F0E">
        <w:rPr>
          <w:rFonts w:ascii="Arial" w:hAnsi="Arial" w:cs="Arial"/>
          <w:sz w:val="20"/>
          <w:szCs w:val="20"/>
        </w:rPr>
        <w:t>ir</w:t>
      </w:r>
      <w:r w:rsidR="00562E0B" w:rsidRPr="00562E0B">
        <w:rPr>
          <w:rFonts w:ascii="Arial" w:hAnsi="Arial" w:cs="Arial"/>
          <w:sz w:val="20"/>
          <w:szCs w:val="20"/>
        </w:rPr>
        <w:t xml:space="preserve"> mutual gain.  Without this confidence, the v</w:t>
      </w:r>
      <w:r w:rsidR="00745F0E">
        <w:rPr>
          <w:rFonts w:ascii="Arial" w:hAnsi="Arial" w:cs="Arial"/>
          <w:sz w:val="20"/>
          <w:szCs w:val="20"/>
        </w:rPr>
        <w:t>e</w:t>
      </w:r>
      <w:r w:rsidR="00562E0B" w:rsidRPr="00562E0B">
        <w:rPr>
          <w:rFonts w:ascii="Arial" w:hAnsi="Arial" w:cs="Arial"/>
          <w:sz w:val="20"/>
          <w:szCs w:val="20"/>
        </w:rPr>
        <w:t>ry motivation for social coordination is diminished.  It is indeed crucial to economic development that individuals should be able to trust that all contracting parties will be bound by obligations willingly assumed.”</w:t>
      </w:r>
      <w:r w:rsidR="00562E0B">
        <w:rPr>
          <w:rStyle w:val="FootnoteReference"/>
          <w:rFonts w:ascii="Arial" w:hAnsi="Arial" w:cs="Arial"/>
          <w:sz w:val="20"/>
          <w:szCs w:val="20"/>
        </w:rPr>
        <w:footnoteReference w:id="28"/>
      </w:r>
      <w:r w:rsidR="00562E0B">
        <w:rPr>
          <w:rFonts w:ascii="Arial" w:hAnsi="Arial" w:cs="Arial"/>
          <w:sz w:val="20"/>
          <w:szCs w:val="20"/>
        </w:rPr>
        <w:t xml:space="preserve"> </w:t>
      </w:r>
    </w:p>
    <w:p w:rsidR="00562E0B" w:rsidRPr="00562E0B" w:rsidRDefault="00536BA4" w:rsidP="008E0F9A">
      <w:pPr>
        <w:widowControl w:val="0"/>
        <w:kinsoku w:val="0"/>
        <w:overflowPunct w:val="0"/>
        <w:autoSpaceDE w:val="0"/>
        <w:autoSpaceDN w:val="0"/>
        <w:adjustRightInd w:val="0"/>
        <w:spacing w:after="0" w:line="360" w:lineRule="auto"/>
        <w:ind w:left="851" w:right="15" w:hanging="1276"/>
        <w:jc w:val="both"/>
        <w:rPr>
          <w:rFonts w:ascii="Arial" w:hAnsi="Arial" w:cs="Arial"/>
          <w:sz w:val="24"/>
          <w:szCs w:val="24"/>
        </w:rPr>
      </w:pPr>
      <w:r>
        <w:rPr>
          <w:rFonts w:ascii="Arial" w:hAnsi="Arial" w:cs="Arial"/>
          <w:sz w:val="24"/>
          <w:szCs w:val="24"/>
        </w:rPr>
        <w:tab/>
      </w:r>
      <w:r w:rsidR="00745F0E">
        <w:rPr>
          <w:rFonts w:ascii="Arial" w:hAnsi="Arial" w:cs="Arial"/>
          <w:sz w:val="24"/>
          <w:szCs w:val="24"/>
        </w:rPr>
        <w:t xml:space="preserve">In </w:t>
      </w:r>
      <w:r w:rsidR="00745F0E" w:rsidRPr="00BC170E">
        <w:rPr>
          <w:rFonts w:ascii="Arial" w:hAnsi="Arial" w:cs="Arial"/>
          <w:b/>
          <w:sz w:val="24"/>
          <w:szCs w:val="24"/>
        </w:rPr>
        <w:t>Beadica</w:t>
      </w:r>
      <w:r w:rsidR="00745F0E">
        <w:rPr>
          <w:rFonts w:ascii="Arial" w:hAnsi="Arial" w:cs="Arial"/>
          <w:sz w:val="24"/>
          <w:szCs w:val="24"/>
        </w:rPr>
        <w:t>, the Constitutional Court</w:t>
      </w:r>
      <w:r w:rsidR="001E589C">
        <w:rPr>
          <w:rFonts w:ascii="Arial" w:hAnsi="Arial" w:cs="Arial"/>
          <w:sz w:val="24"/>
          <w:szCs w:val="24"/>
        </w:rPr>
        <w:t xml:space="preserve"> </w:t>
      </w:r>
      <w:r>
        <w:rPr>
          <w:rFonts w:ascii="Arial" w:hAnsi="Arial" w:cs="Arial"/>
          <w:sz w:val="24"/>
          <w:szCs w:val="24"/>
        </w:rPr>
        <w:t>further</w:t>
      </w:r>
      <w:r w:rsidR="001E589C">
        <w:rPr>
          <w:rFonts w:ascii="Arial" w:hAnsi="Arial" w:cs="Arial"/>
          <w:sz w:val="24"/>
          <w:szCs w:val="24"/>
        </w:rPr>
        <w:t>more</w:t>
      </w:r>
      <w:r>
        <w:rPr>
          <w:rFonts w:ascii="Arial" w:hAnsi="Arial" w:cs="Arial"/>
          <w:sz w:val="24"/>
          <w:szCs w:val="24"/>
        </w:rPr>
        <w:t xml:space="preserve"> </w:t>
      </w:r>
      <w:r w:rsidR="00745F0E">
        <w:rPr>
          <w:rFonts w:ascii="Arial" w:hAnsi="Arial" w:cs="Arial"/>
          <w:sz w:val="24"/>
          <w:szCs w:val="24"/>
        </w:rPr>
        <w:t xml:space="preserve"> held that “</w:t>
      </w:r>
      <w:r w:rsidR="00745F0E" w:rsidRPr="00C51F49">
        <w:rPr>
          <w:rFonts w:ascii="Arial" w:hAnsi="Arial" w:cs="Arial"/>
          <w:sz w:val="20"/>
          <w:szCs w:val="20"/>
        </w:rPr>
        <w:t>… our constituti</w:t>
      </w:r>
      <w:r>
        <w:rPr>
          <w:rFonts w:ascii="Arial" w:hAnsi="Arial" w:cs="Arial"/>
          <w:sz w:val="20"/>
          <w:szCs w:val="20"/>
        </w:rPr>
        <w:t xml:space="preserve">onal project will be imperilled </w:t>
      </w:r>
      <w:r w:rsidR="00745F0E" w:rsidRPr="00C51F49">
        <w:rPr>
          <w:rFonts w:ascii="Arial" w:hAnsi="Arial" w:cs="Arial"/>
          <w:sz w:val="20"/>
          <w:szCs w:val="20"/>
        </w:rPr>
        <w:t xml:space="preserve">if courts denude the principle of </w:t>
      </w:r>
      <w:r w:rsidR="00745F0E" w:rsidRPr="00C51F49">
        <w:rPr>
          <w:rFonts w:ascii="Arial" w:hAnsi="Arial" w:cs="Arial"/>
          <w:i/>
          <w:sz w:val="20"/>
          <w:szCs w:val="20"/>
        </w:rPr>
        <w:t>pacta sunt servanda</w:t>
      </w:r>
      <w:r w:rsidR="00745F0E" w:rsidRPr="00C51F49">
        <w:rPr>
          <w:rFonts w:ascii="Arial" w:hAnsi="Arial" w:cs="Arial"/>
          <w:sz w:val="20"/>
          <w:szCs w:val="20"/>
        </w:rPr>
        <w:t>.</w:t>
      </w:r>
      <w:r w:rsidR="00745F0E">
        <w:rPr>
          <w:rStyle w:val="FootnoteReference"/>
          <w:rFonts w:ascii="Arial" w:hAnsi="Arial" w:cs="Arial"/>
          <w:sz w:val="24"/>
          <w:szCs w:val="24"/>
        </w:rPr>
        <w:footnoteReference w:id="29"/>
      </w:r>
      <w:r w:rsidR="00745F0E">
        <w:rPr>
          <w:rFonts w:ascii="Arial" w:hAnsi="Arial" w:cs="Arial"/>
          <w:sz w:val="24"/>
          <w:szCs w:val="24"/>
        </w:rPr>
        <w:t xml:space="preserve"> </w:t>
      </w:r>
      <w:r w:rsidR="00745F0E" w:rsidRPr="00C51F49">
        <w:rPr>
          <w:rFonts w:ascii="Arial" w:hAnsi="Arial" w:cs="Arial"/>
          <w:i/>
          <w:sz w:val="24"/>
          <w:szCs w:val="24"/>
        </w:rPr>
        <w:t>Pacta sunt servanda</w:t>
      </w:r>
      <w:r w:rsidR="00745F0E">
        <w:rPr>
          <w:rFonts w:ascii="Arial" w:hAnsi="Arial" w:cs="Arial"/>
          <w:sz w:val="24"/>
          <w:szCs w:val="24"/>
        </w:rPr>
        <w:t xml:space="preserve"> therefore continues to play a crucial role in the judicial control of contracts.</w:t>
      </w:r>
    </w:p>
    <w:p w:rsidR="00562E0B" w:rsidRDefault="00562E0B" w:rsidP="00ED6727">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0B2151" w:rsidRDefault="00745F0E" w:rsidP="00BC170E">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BC170E">
        <w:rPr>
          <w:rFonts w:ascii="Arial" w:hAnsi="Arial" w:cs="Arial"/>
          <w:sz w:val="24"/>
          <w:szCs w:val="24"/>
        </w:rPr>
        <w:t>6</w:t>
      </w:r>
      <w:r w:rsidR="00536BA4">
        <w:rPr>
          <w:rFonts w:ascii="Arial" w:hAnsi="Arial" w:cs="Arial"/>
          <w:sz w:val="24"/>
          <w:szCs w:val="24"/>
        </w:rPr>
        <w:t>5</w:t>
      </w:r>
      <w:r>
        <w:rPr>
          <w:rFonts w:ascii="Arial" w:hAnsi="Arial" w:cs="Arial"/>
          <w:sz w:val="24"/>
          <w:szCs w:val="24"/>
        </w:rPr>
        <w:t>]</w:t>
      </w:r>
      <w:r>
        <w:rPr>
          <w:rFonts w:ascii="Arial" w:hAnsi="Arial" w:cs="Arial"/>
          <w:sz w:val="24"/>
          <w:szCs w:val="24"/>
        </w:rPr>
        <w:tab/>
      </w:r>
      <w:r w:rsidR="000569DD">
        <w:rPr>
          <w:rFonts w:ascii="Arial" w:hAnsi="Arial" w:cs="Arial"/>
          <w:sz w:val="24"/>
          <w:szCs w:val="24"/>
        </w:rPr>
        <w:t xml:space="preserve">It was accordingly reasonable for FirstRand Bank to have expected that the </w:t>
      </w:r>
      <w:r w:rsidR="00103989">
        <w:rPr>
          <w:rFonts w:ascii="Arial" w:hAnsi="Arial" w:cs="Arial"/>
          <w:sz w:val="24"/>
          <w:szCs w:val="24"/>
        </w:rPr>
        <w:t>Applicant Trust</w:t>
      </w:r>
      <w:r w:rsidR="000569DD">
        <w:rPr>
          <w:rFonts w:ascii="Arial" w:hAnsi="Arial" w:cs="Arial"/>
          <w:sz w:val="24"/>
          <w:szCs w:val="24"/>
        </w:rPr>
        <w:t xml:space="preserve">, and the </w:t>
      </w:r>
      <w:r w:rsidR="00013331">
        <w:rPr>
          <w:rFonts w:ascii="Arial" w:hAnsi="Arial" w:cs="Arial"/>
          <w:sz w:val="24"/>
          <w:szCs w:val="24"/>
        </w:rPr>
        <w:t>Respondent Trust</w:t>
      </w:r>
      <w:r w:rsidR="00C51F49">
        <w:rPr>
          <w:rFonts w:ascii="Arial" w:hAnsi="Arial" w:cs="Arial"/>
          <w:sz w:val="24"/>
          <w:szCs w:val="24"/>
        </w:rPr>
        <w:t>,</w:t>
      </w:r>
      <w:r w:rsidR="000569DD">
        <w:rPr>
          <w:rFonts w:ascii="Arial" w:hAnsi="Arial" w:cs="Arial"/>
          <w:sz w:val="24"/>
          <w:szCs w:val="24"/>
        </w:rPr>
        <w:t xml:space="preserve"> would comply with the terms of FA10. Apparently the </w:t>
      </w:r>
      <w:r w:rsidR="00103989">
        <w:rPr>
          <w:rFonts w:ascii="Arial" w:hAnsi="Arial" w:cs="Arial"/>
          <w:sz w:val="24"/>
          <w:szCs w:val="24"/>
        </w:rPr>
        <w:t>Applicant Trust</w:t>
      </w:r>
      <w:r w:rsidR="000569DD">
        <w:rPr>
          <w:rFonts w:ascii="Arial" w:hAnsi="Arial" w:cs="Arial"/>
          <w:sz w:val="24"/>
          <w:szCs w:val="24"/>
        </w:rPr>
        <w:t xml:space="preserve"> endeavoured to comply with the terms of FA10. It afforded the </w:t>
      </w:r>
      <w:r w:rsidR="00013331">
        <w:rPr>
          <w:rFonts w:ascii="Arial" w:hAnsi="Arial" w:cs="Arial"/>
          <w:sz w:val="24"/>
          <w:szCs w:val="24"/>
        </w:rPr>
        <w:t>Respondent Trust</w:t>
      </w:r>
      <w:r w:rsidR="000569DD">
        <w:rPr>
          <w:rFonts w:ascii="Arial" w:hAnsi="Arial" w:cs="Arial"/>
          <w:sz w:val="24"/>
          <w:szCs w:val="24"/>
        </w:rPr>
        <w:t xml:space="preserve"> a period of twenty days to remedy its breaches of the Sub-Lease and every notice furnished to the </w:t>
      </w:r>
      <w:r w:rsidR="00013331">
        <w:rPr>
          <w:rFonts w:ascii="Arial" w:hAnsi="Arial" w:cs="Arial"/>
          <w:sz w:val="24"/>
          <w:szCs w:val="24"/>
        </w:rPr>
        <w:t>Respondent Trust</w:t>
      </w:r>
      <w:r w:rsidR="000569DD">
        <w:rPr>
          <w:rFonts w:ascii="Arial" w:hAnsi="Arial" w:cs="Arial"/>
          <w:sz w:val="24"/>
          <w:szCs w:val="24"/>
        </w:rPr>
        <w:t xml:space="preserve"> was also furnished to FirstRand Bank.</w:t>
      </w:r>
      <w:r w:rsidR="005400AC">
        <w:rPr>
          <w:rFonts w:ascii="Arial" w:hAnsi="Arial" w:cs="Arial"/>
          <w:sz w:val="24"/>
          <w:szCs w:val="24"/>
        </w:rPr>
        <w:t xml:space="preserve"> However, a misinterpretation of </w:t>
      </w:r>
      <w:r w:rsidR="001E589C">
        <w:rPr>
          <w:rFonts w:ascii="Arial" w:hAnsi="Arial" w:cs="Arial"/>
          <w:sz w:val="24"/>
          <w:szCs w:val="24"/>
        </w:rPr>
        <w:t xml:space="preserve">the terms </w:t>
      </w:r>
      <w:r w:rsidR="005400AC">
        <w:rPr>
          <w:rFonts w:ascii="Arial" w:hAnsi="Arial" w:cs="Arial"/>
          <w:sz w:val="24"/>
          <w:szCs w:val="24"/>
        </w:rPr>
        <w:t>provi</w:t>
      </w:r>
      <w:r w:rsidR="001E589C">
        <w:rPr>
          <w:rFonts w:ascii="Arial" w:hAnsi="Arial" w:cs="Arial"/>
          <w:sz w:val="24"/>
          <w:szCs w:val="24"/>
        </w:rPr>
        <w:t>ded in</w:t>
      </w:r>
      <w:r w:rsidR="005400AC">
        <w:rPr>
          <w:rFonts w:ascii="Arial" w:hAnsi="Arial" w:cs="Arial"/>
          <w:sz w:val="24"/>
          <w:szCs w:val="24"/>
        </w:rPr>
        <w:t xml:space="preserve"> FA10 led to the understanding that the </w:t>
      </w:r>
      <w:r w:rsidR="00103989">
        <w:rPr>
          <w:rFonts w:ascii="Arial" w:hAnsi="Arial" w:cs="Arial"/>
          <w:sz w:val="24"/>
          <w:szCs w:val="24"/>
        </w:rPr>
        <w:t>Applicant Trust</w:t>
      </w:r>
      <w:r w:rsidR="005400AC">
        <w:rPr>
          <w:rFonts w:ascii="Arial" w:hAnsi="Arial" w:cs="Arial"/>
          <w:sz w:val="24"/>
          <w:szCs w:val="24"/>
        </w:rPr>
        <w:t xml:space="preserve"> afforded the </w:t>
      </w:r>
      <w:r w:rsidR="00013331">
        <w:rPr>
          <w:rFonts w:ascii="Arial" w:hAnsi="Arial" w:cs="Arial"/>
          <w:sz w:val="24"/>
          <w:szCs w:val="24"/>
        </w:rPr>
        <w:t>Respondent Trust</w:t>
      </w:r>
      <w:r w:rsidR="005400AC">
        <w:rPr>
          <w:rFonts w:ascii="Arial" w:hAnsi="Arial" w:cs="Arial"/>
          <w:sz w:val="24"/>
          <w:szCs w:val="24"/>
        </w:rPr>
        <w:t xml:space="preserve"> a period of more than 27 days to rectify its breach, whereas on a proper construction of the period as per clause 12.1.2 of the Sub-Lease read with the terms of FA10</w:t>
      </w:r>
      <w:r w:rsidR="00D94F5B">
        <w:rPr>
          <w:rFonts w:ascii="Arial" w:hAnsi="Arial" w:cs="Arial"/>
          <w:sz w:val="24"/>
          <w:szCs w:val="24"/>
        </w:rPr>
        <w:t>,</w:t>
      </w:r>
      <w:r w:rsidR="00C51F49">
        <w:rPr>
          <w:rFonts w:ascii="Arial" w:hAnsi="Arial" w:cs="Arial"/>
          <w:sz w:val="24"/>
          <w:szCs w:val="24"/>
        </w:rPr>
        <w:t xml:space="preserve"> the </w:t>
      </w:r>
      <w:r w:rsidR="00013331">
        <w:rPr>
          <w:rFonts w:ascii="Arial" w:hAnsi="Arial" w:cs="Arial"/>
          <w:sz w:val="24"/>
          <w:szCs w:val="24"/>
        </w:rPr>
        <w:t xml:space="preserve">Respondent </w:t>
      </w:r>
      <w:r w:rsidR="00013331">
        <w:rPr>
          <w:rFonts w:ascii="Arial" w:hAnsi="Arial" w:cs="Arial"/>
          <w:sz w:val="24"/>
          <w:szCs w:val="24"/>
        </w:rPr>
        <w:lastRenderedPageBreak/>
        <w:t>Trust</w:t>
      </w:r>
      <w:r w:rsidR="00C51F49">
        <w:rPr>
          <w:rFonts w:ascii="Arial" w:hAnsi="Arial" w:cs="Arial"/>
          <w:sz w:val="24"/>
          <w:szCs w:val="24"/>
        </w:rPr>
        <w:t xml:space="preserve"> should have been afforded a period of 40 days to rectify its breach</w:t>
      </w:r>
      <w:r w:rsidR="001E589C">
        <w:rPr>
          <w:rFonts w:ascii="Arial" w:hAnsi="Arial" w:cs="Arial"/>
          <w:sz w:val="24"/>
          <w:szCs w:val="24"/>
        </w:rPr>
        <w:t>(</w:t>
      </w:r>
      <w:r w:rsidR="00C51F49">
        <w:rPr>
          <w:rFonts w:ascii="Arial" w:hAnsi="Arial" w:cs="Arial"/>
          <w:sz w:val="24"/>
          <w:szCs w:val="24"/>
        </w:rPr>
        <w:t>s</w:t>
      </w:r>
      <w:r w:rsidR="001E589C">
        <w:rPr>
          <w:rFonts w:ascii="Arial" w:hAnsi="Arial" w:cs="Arial"/>
          <w:sz w:val="24"/>
          <w:szCs w:val="24"/>
        </w:rPr>
        <w:t>)</w:t>
      </w:r>
      <w:r w:rsidR="00C51F49">
        <w:rPr>
          <w:rFonts w:ascii="Arial" w:hAnsi="Arial" w:cs="Arial"/>
          <w:sz w:val="24"/>
          <w:szCs w:val="24"/>
        </w:rPr>
        <w:t>. This is as a result of</w:t>
      </w:r>
      <w:r w:rsidR="00BC170E">
        <w:rPr>
          <w:rFonts w:ascii="Arial" w:hAnsi="Arial" w:cs="Arial"/>
          <w:sz w:val="24"/>
          <w:szCs w:val="24"/>
        </w:rPr>
        <w:t xml:space="preserve"> a </w:t>
      </w:r>
      <w:r w:rsidR="00C51F49">
        <w:rPr>
          <w:rFonts w:ascii="Arial" w:hAnsi="Arial" w:cs="Arial"/>
          <w:sz w:val="24"/>
          <w:szCs w:val="24"/>
        </w:rPr>
        <w:t xml:space="preserve">period of 20 days and not 7 days </w:t>
      </w:r>
      <w:r w:rsidR="00BC170E">
        <w:rPr>
          <w:rFonts w:ascii="Arial" w:hAnsi="Arial" w:cs="Arial"/>
          <w:sz w:val="24"/>
          <w:szCs w:val="24"/>
        </w:rPr>
        <w:t>afforded</w:t>
      </w:r>
      <w:r w:rsidR="00C51F49">
        <w:rPr>
          <w:rFonts w:ascii="Arial" w:hAnsi="Arial" w:cs="Arial"/>
          <w:sz w:val="24"/>
          <w:szCs w:val="24"/>
        </w:rPr>
        <w:t xml:space="preserve"> </w:t>
      </w:r>
      <w:r w:rsidR="000B2151">
        <w:rPr>
          <w:rFonts w:ascii="Arial" w:hAnsi="Arial" w:cs="Arial"/>
          <w:sz w:val="24"/>
          <w:szCs w:val="24"/>
        </w:rPr>
        <w:t>in the letter of demand.</w:t>
      </w:r>
      <w:r w:rsidR="005400AC">
        <w:rPr>
          <w:rFonts w:ascii="Arial" w:hAnsi="Arial" w:cs="Arial"/>
          <w:sz w:val="24"/>
          <w:szCs w:val="24"/>
        </w:rPr>
        <w:t xml:space="preserve"> </w:t>
      </w:r>
    </w:p>
    <w:p w:rsidR="000B2151" w:rsidRDefault="000B2151" w:rsidP="00ED6727">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CF33B8" w:rsidRDefault="000B2151" w:rsidP="00BC170E">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BC170E">
        <w:rPr>
          <w:rFonts w:ascii="Arial" w:hAnsi="Arial" w:cs="Arial"/>
          <w:sz w:val="24"/>
          <w:szCs w:val="24"/>
        </w:rPr>
        <w:t>6</w:t>
      </w:r>
      <w:r w:rsidR="00536BA4">
        <w:rPr>
          <w:rFonts w:ascii="Arial" w:hAnsi="Arial" w:cs="Arial"/>
          <w:sz w:val="24"/>
          <w:szCs w:val="24"/>
        </w:rPr>
        <w:t>6</w:t>
      </w:r>
      <w:r>
        <w:rPr>
          <w:rFonts w:ascii="Arial" w:hAnsi="Arial" w:cs="Arial"/>
          <w:sz w:val="24"/>
          <w:szCs w:val="24"/>
        </w:rPr>
        <w:t>]</w:t>
      </w:r>
      <w:r>
        <w:rPr>
          <w:rFonts w:ascii="Arial" w:hAnsi="Arial" w:cs="Arial"/>
          <w:sz w:val="24"/>
          <w:szCs w:val="24"/>
        </w:rPr>
        <w:tab/>
      </w:r>
      <w:r w:rsidR="000569DD">
        <w:rPr>
          <w:rFonts w:ascii="Arial" w:hAnsi="Arial" w:cs="Arial"/>
          <w:sz w:val="24"/>
          <w:szCs w:val="24"/>
        </w:rPr>
        <w:t>On behalf of the respondents it is therefore argued that it would</w:t>
      </w:r>
      <w:r w:rsidR="00536BA4">
        <w:rPr>
          <w:rFonts w:ascii="Arial" w:hAnsi="Arial" w:cs="Arial"/>
          <w:sz w:val="24"/>
          <w:szCs w:val="24"/>
        </w:rPr>
        <w:t xml:space="preserve"> be</w:t>
      </w:r>
      <w:r w:rsidR="000569DD">
        <w:rPr>
          <w:rFonts w:ascii="Arial" w:hAnsi="Arial" w:cs="Arial"/>
          <w:sz w:val="24"/>
          <w:szCs w:val="24"/>
        </w:rPr>
        <w:t xml:space="preserve"> </w:t>
      </w:r>
      <w:r>
        <w:rPr>
          <w:rFonts w:ascii="Arial" w:hAnsi="Arial" w:cs="Arial"/>
          <w:sz w:val="24"/>
          <w:szCs w:val="24"/>
        </w:rPr>
        <w:t>untenable to disregard the facts underlying this application. It is trite law that the factual issues (to the extent that they are disputed) must be determined on the respondents’ version.</w:t>
      </w:r>
      <w:r>
        <w:rPr>
          <w:rStyle w:val="FootnoteReference"/>
          <w:rFonts w:ascii="Arial" w:hAnsi="Arial" w:cs="Arial"/>
          <w:sz w:val="24"/>
          <w:szCs w:val="24"/>
        </w:rPr>
        <w:footnoteReference w:id="30"/>
      </w:r>
      <w:r w:rsidR="00D94F5B">
        <w:rPr>
          <w:rFonts w:ascii="Arial" w:hAnsi="Arial" w:cs="Arial"/>
          <w:sz w:val="24"/>
          <w:szCs w:val="24"/>
        </w:rPr>
        <w:t xml:space="preserve"> The question therefore is: would public policy countenance </w:t>
      </w:r>
      <w:r w:rsidR="00CF33B8">
        <w:rPr>
          <w:rFonts w:ascii="Arial" w:hAnsi="Arial" w:cs="Arial"/>
          <w:sz w:val="24"/>
          <w:szCs w:val="24"/>
        </w:rPr>
        <w:t>an arrangement to give an additional notice period to effect an indivisible cancellation of the Sub-Lease and then fall back on the Shirfen</w:t>
      </w:r>
      <w:r w:rsidR="002E42AB">
        <w:rPr>
          <w:rFonts w:ascii="Arial" w:hAnsi="Arial" w:cs="Arial"/>
          <w:sz w:val="24"/>
          <w:szCs w:val="24"/>
        </w:rPr>
        <w:t>-</w:t>
      </w:r>
      <w:r w:rsidR="00CF33B8">
        <w:rPr>
          <w:rFonts w:ascii="Arial" w:hAnsi="Arial" w:cs="Arial"/>
          <w:sz w:val="24"/>
          <w:szCs w:val="24"/>
        </w:rPr>
        <w:t>principle to deny it?</w:t>
      </w:r>
      <w:r w:rsidR="00536BA4">
        <w:rPr>
          <w:rFonts w:ascii="Arial" w:hAnsi="Arial" w:cs="Arial"/>
          <w:sz w:val="24"/>
          <w:szCs w:val="24"/>
        </w:rPr>
        <w:t xml:space="preserve"> </w:t>
      </w:r>
    </w:p>
    <w:p w:rsidR="002E42AB" w:rsidRDefault="002E42AB" w:rsidP="00D94F5B">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CF33B8" w:rsidRDefault="00CF33B8" w:rsidP="00592659">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[6</w:t>
      </w:r>
      <w:r w:rsidR="00536BA4">
        <w:rPr>
          <w:rFonts w:ascii="Arial" w:hAnsi="Arial" w:cs="Arial"/>
          <w:sz w:val="24"/>
          <w:szCs w:val="24"/>
        </w:rPr>
        <w:t>7</w:t>
      </w:r>
      <w:r>
        <w:rPr>
          <w:rFonts w:ascii="Arial" w:hAnsi="Arial" w:cs="Arial"/>
          <w:sz w:val="24"/>
          <w:szCs w:val="24"/>
        </w:rPr>
        <w:t>]</w:t>
      </w:r>
      <w:r>
        <w:rPr>
          <w:rFonts w:ascii="Arial" w:hAnsi="Arial" w:cs="Arial"/>
          <w:sz w:val="24"/>
          <w:szCs w:val="24"/>
        </w:rPr>
        <w:tab/>
        <w:t xml:space="preserve">A further argument advanced on behalf of the </w:t>
      </w:r>
      <w:r w:rsidR="00013331">
        <w:rPr>
          <w:rFonts w:ascii="Arial" w:hAnsi="Arial" w:cs="Arial"/>
          <w:sz w:val="24"/>
          <w:szCs w:val="24"/>
        </w:rPr>
        <w:t>Respondent Trust</w:t>
      </w:r>
      <w:r>
        <w:rPr>
          <w:rFonts w:ascii="Arial" w:hAnsi="Arial" w:cs="Arial"/>
          <w:sz w:val="24"/>
          <w:szCs w:val="24"/>
        </w:rPr>
        <w:t xml:space="preserve"> is the </w:t>
      </w:r>
      <w:r w:rsidR="00103989">
        <w:rPr>
          <w:rFonts w:ascii="Arial" w:hAnsi="Arial" w:cs="Arial"/>
          <w:sz w:val="24"/>
          <w:szCs w:val="24"/>
        </w:rPr>
        <w:t>Applicant Trust</w:t>
      </w:r>
      <w:r>
        <w:rPr>
          <w:rFonts w:ascii="Arial" w:hAnsi="Arial" w:cs="Arial"/>
          <w:sz w:val="24"/>
          <w:szCs w:val="24"/>
        </w:rPr>
        <w:t>’s failure to demand strict compliance with the terms of the Sub-Leas</w:t>
      </w:r>
      <w:r w:rsidR="002E42AB">
        <w:rPr>
          <w:rFonts w:ascii="Arial" w:hAnsi="Arial" w:cs="Arial"/>
          <w:sz w:val="24"/>
          <w:szCs w:val="24"/>
        </w:rPr>
        <w:t>e</w:t>
      </w:r>
      <w:r>
        <w:rPr>
          <w:rFonts w:ascii="Arial" w:hAnsi="Arial" w:cs="Arial"/>
          <w:sz w:val="24"/>
          <w:szCs w:val="24"/>
        </w:rPr>
        <w:t xml:space="preserve"> and to indulge the late performance by the </w:t>
      </w:r>
      <w:r w:rsidR="00013331">
        <w:rPr>
          <w:rFonts w:ascii="Arial" w:hAnsi="Arial" w:cs="Arial"/>
          <w:sz w:val="24"/>
          <w:szCs w:val="24"/>
        </w:rPr>
        <w:t>Respondent Trust</w:t>
      </w:r>
      <w:r w:rsidR="002E42AB">
        <w:rPr>
          <w:rFonts w:ascii="Arial" w:hAnsi="Arial" w:cs="Arial"/>
          <w:sz w:val="24"/>
          <w:szCs w:val="24"/>
        </w:rPr>
        <w:t xml:space="preserve"> </w:t>
      </w:r>
      <w:r>
        <w:rPr>
          <w:rFonts w:ascii="Arial" w:hAnsi="Arial" w:cs="Arial"/>
          <w:sz w:val="24"/>
          <w:szCs w:val="24"/>
        </w:rPr>
        <w:t xml:space="preserve">for more than a decade. </w:t>
      </w:r>
      <w:r w:rsidR="002E42AB">
        <w:rPr>
          <w:rFonts w:ascii="Arial" w:hAnsi="Arial" w:cs="Arial"/>
          <w:sz w:val="24"/>
          <w:szCs w:val="24"/>
        </w:rPr>
        <w:t xml:space="preserve">On 24 June 2022 the </w:t>
      </w:r>
      <w:r w:rsidR="00013331">
        <w:rPr>
          <w:rFonts w:ascii="Arial" w:hAnsi="Arial" w:cs="Arial"/>
          <w:sz w:val="24"/>
          <w:szCs w:val="24"/>
        </w:rPr>
        <w:t>Respondent Trust</w:t>
      </w:r>
      <w:r w:rsidR="002E42AB">
        <w:rPr>
          <w:rFonts w:ascii="Arial" w:hAnsi="Arial" w:cs="Arial"/>
          <w:sz w:val="24"/>
          <w:szCs w:val="24"/>
        </w:rPr>
        <w:t xml:space="preserve"> requested a further indulgence, which on 27 June 2022 was refused. The </w:t>
      </w:r>
      <w:r w:rsidR="00103989">
        <w:rPr>
          <w:rFonts w:ascii="Arial" w:hAnsi="Arial" w:cs="Arial"/>
          <w:sz w:val="24"/>
          <w:szCs w:val="24"/>
        </w:rPr>
        <w:t>Applicant Trust</w:t>
      </w:r>
      <w:r w:rsidR="002E42AB">
        <w:rPr>
          <w:rFonts w:ascii="Arial" w:hAnsi="Arial" w:cs="Arial"/>
          <w:sz w:val="24"/>
          <w:szCs w:val="24"/>
        </w:rPr>
        <w:t xml:space="preserve">, however already by that time, was indulging late performance. On 26 July 2022 a demand to comply with the terms of the Sub-Lease on threat of cancellation was issued. In this demand 20 days to comply, contrary to the 7 days of the Sub-Lease, was afforded. This period is an indication that the </w:t>
      </w:r>
      <w:r w:rsidR="00103989">
        <w:rPr>
          <w:rFonts w:ascii="Arial" w:hAnsi="Arial" w:cs="Arial"/>
          <w:sz w:val="24"/>
          <w:szCs w:val="24"/>
        </w:rPr>
        <w:t>Applicant Trust</w:t>
      </w:r>
      <w:r w:rsidR="002E42AB">
        <w:rPr>
          <w:rFonts w:ascii="Arial" w:hAnsi="Arial" w:cs="Arial"/>
          <w:sz w:val="24"/>
          <w:szCs w:val="24"/>
        </w:rPr>
        <w:t xml:space="preserve"> was </w:t>
      </w:r>
      <w:r w:rsidR="001E589C">
        <w:rPr>
          <w:rFonts w:ascii="Arial" w:hAnsi="Arial" w:cs="Arial"/>
          <w:sz w:val="24"/>
          <w:szCs w:val="24"/>
        </w:rPr>
        <w:t xml:space="preserve">once </w:t>
      </w:r>
      <w:r w:rsidR="002E42AB">
        <w:rPr>
          <w:rFonts w:ascii="Arial" w:hAnsi="Arial" w:cs="Arial"/>
          <w:sz w:val="24"/>
          <w:szCs w:val="24"/>
        </w:rPr>
        <w:t xml:space="preserve">again prepared to indulge the </w:t>
      </w:r>
      <w:r w:rsidR="00013331">
        <w:rPr>
          <w:rFonts w:ascii="Arial" w:hAnsi="Arial" w:cs="Arial"/>
          <w:sz w:val="24"/>
          <w:szCs w:val="24"/>
        </w:rPr>
        <w:t>Respondent Trust</w:t>
      </w:r>
      <w:r w:rsidR="002E42AB">
        <w:rPr>
          <w:rFonts w:ascii="Arial" w:hAnsi="Arial" w:cs="Arial"/>
          <w:sz w:val="24"/>
          <w:szCs w:val="24"/>
        </w:rPr>
        <w:t xml:space="preserve">’s defective performance. </w:t>
      </w:r>
    </w:p>
    <w:p w:rsidR="002E42AB" w:rsidRDefault="002E42AB" w:rsidP="00D94F5B">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2E42AB" w:rsidRDefault="002E42AB" w:rsidP="00592659">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592659">
        <w:rPr>
          <w:rFonts w:ascii="Arial" w:hAnsi="Arial" w:cs="Arial"/>
          <w:sz w:val="24"/>
          <w:szCs w:val="24"/>
        </w:rPr>
        <w:t>6</w:t>
      </w:r>
      <w:r w:rsidR="00536BA4">
        <w:rPr>
          <w:rFonts w:ascii="Arial" w:hAnsi="Arial" w:cs="Arial"/>
          <w:sz w:val="24"/>
          <w:szCs w:val="24"/>
        </w:rPr>
        <w:t>8</w:t>
      </w:r>
      <w:r>
        <w:rPr>
          <w:rFonts w:ascii="Arial" w:hAnsi="Arial" w:cs="Arial"/>
          <w:sz w:val="24"/>
          <w:szCs w:val="24"/>
        </w:rPr>
        <w:t>]</w:t>
      </w:r>
      <w:r>
        <w:rPr>
          <w:rFonts w:ascii="Arial" w:hAnsi="Arial" w:cs="Arial"/>
          <w:sz w:val="24"/>
          <w:szCs w:val="24"/>
        </w:rPr>
        <w:tab/>
        <w:t>On 11 August</w:t>
      </w:r>
      <w:r w:rsidR="00536BA4">
        <w:rPr>
          <w:rFonts w:ascii="Arial" w:hAnsi="Arial" w:cs="Arial"/>
          <w:sz w:val="24"/>
          <w:szCs w:val="24"/>
        </w:rPr>
        <w:t xml:space="preserve"> 2022</w:t>
      </w:r>
      <w:r>
        <w:rPr>
          <w:rFonts w:ascii="Arial" w:hAnsi="Arial" w:cs="Arial"/>
          <w:sz w:val="24"/>
          <w:szCs w:val="24"/>
        </w:rPr>
        <w:t xml:space="preserve"> the </w:t>
      </w:r>
      <w:r w:rsidR="00013331">
        <w:rPr>
          <w:rFonts w:ascii="Arial" w:hAnsi="Arial" w:cs="Arial"/>
          <w:sz w:val="24"/>
          <w:szCs w:val="24"/>
        </w:rPr>
        <w:t>Respondent Trust</w:t>
      </w:r>
      <w:r>
        <w:rPr>
          <w:rFonts w:ascii="Arial" w:hAnsi="Arial" w:cs="Arial"/>
          <w:sz w:val="24"/>
          <w:szCs w:val="24"/>
        </w:rPr>
        <w:t xml:space="preserve"> sought a further indulgence to comply with the demand of 26 July 2022. Contrary to the stance adopted by the </w:t>
      </w:r>
      <w:r w:rsidR="00103989">
        <w:rPr>
          <w:rFonts w:ascii="Arial" w:hAnsi="Arial" w:cs="Arial"/>
          <w:sz w:val="24"/>
          <w:szCs w:val="24"/>
        </w:rPr>
        <w:t>Applicant Trust</w:t>
      </w:r>
      <w:r>
        <w:rPr>
          <w:rFonts w:ascii="Arial" w:hAnsi="Arial" w:cs="Arial"/>
          <w:sz w:val="24"/>
          <w:szCs w:val="24"/>
        </w:rPr>
        <w:t xml:space="preserve"> during </w:t>
      </w:r>
      <w:r w:rsidR="00B1133D">
        <w:rPr>
          <w:rFonts w:ascii="Arial" w:hAnsi="Arial" w:cs="Arial"/>
          <w:sz w:val="24"/>
          <w:szCs w:val="24"/>
        </w:rPr>
        <w:t>J</w:t>
      </w:r>
      <w:r>
        <w:rPr>
          <w:rFonts w:ascii="Arial" w:hAnsi="Arial" w:cs="Arial"/>
          <w:sz w:val="24"/>
          <w:szCs w:val="24"/>
        </w:rPr>
        <w:t xml:space="preserve">une 2022, a further indulgence was granted. </w:t>
      </w:r>
      <w:r w:rsidR="00B1133D">
        <w:rPr>
          <w:rFonts w:ascii="Arial" w:hAnsi="Arial" w:cs="Arial"/>
          <w:sz w:val="24"/>
          <w:szCs w:val="24"/>
        </w:rPr>
        <w:t xml:space="preserve">This, as contended by the </w:t>
      </w:r>
      <w:r w:rsidR="00013331">
        <w:rPr>
          <w:rFonts w:ascii="Arial" w:hAnsi="Arial" w:cs="Arial"/>
          <w:sz w:val="24"/>
          <w:szCs w:val="24"/>
        </w:rPr>
        <w:t>Respondent Trust</w:t>
      </w:r>
      <w:r w:rsidR="00B1133D">
        <w:rPr>
          <w:rFonts w:ascii="Arial" w:hAnsi="Arial" w:cs="Arial"/>
          <w:sz w:val="24"/>
          <w:szCs w:val="24"/>
        </w:rPr>
        <w:t>, is an indication that the threat of cancellation was not serious</w:t>
      </w:r>
      <w:r w:rsidR="001E589C">
        <w:rPr>
          <w:rFonts w:ascii="Arial" w:hAnsi="Arial" w:cs="Arial"/>
          <w:sz w:val="24"/>
          <w:szCs w:val="24"/>
        </w:rPr>
        <w:t>ly intended. O</w:t>
      </w:r>
      <w:r w:rsidR="00B1133D">
        <w:rPr>
          <w:rFonts w:ascii="Arial" w:hAnsi="Arial" w:cs="Arial"/>
          <w:sz w:val="24"/>
          <w:szCs w:val="24"/>
        </w:rPr>
        <w:t>n 15 August</w:t>
      </w:r>
      <w:r w:rsidR="001E589C">
        <w:rPr>
          <w:rFonts w:ascii="Arial" w:hAnsi="Arial" w:cs="Arial"/>
          <w:sz w:val="24"/>
          <w:szCs w:val="24"/>
        </w:rPr>
        <w:t xml:space="preserve"> 2022</w:t>
      </w:r>
      <w:r w:rsidR="00B1133D">
        <w:rPr>
          <w:rFonts w:ascii="Arial" w:hAnsi="Arial" w:cs="Arial"/>
          <w:sz w:val="24"/>
          <w:szCs w:val="24"/>
        </w:rPr>
        <w:t xml:space="preserve"> the </w:t>
      </w:r>
      <w:r w:rsidR="00013331">
        <w:rPr>
          <w:rFonts w:ascii="Arial" w:hAnsi="Arial" w:cs="Arial"/>
          <w:sz w:val="24"/>
          <w:szCs w:val="24"/>
        </w:rPr>
        <w:t>Respondent Trust</w:t>
      </w:r>
      <w:r w:rsidR="00B1133D">
        <w:rPr>
          <w:rFonts w:ascii="Arial" w:hAnsi="Arial" w:cs="Arial"/>
          <w:sz w:val="24"/>
          <w:szCs w:val="24"/>
        </w:rPr>
        <w:t xml:space="preserve"> sought a further indulgence to pay the amounts demanded on 26 July 2022. The following day (16 August 2022) the request for a further indulgence was granted. </w:t>
      </w:r>
    </w:p>
    <w:p w:rsidR="00B1133D" w:rsidRDefault="00B1133D" w:rsidP="00D94F5B">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B1133D" w:rsidRDefault="00B1133D" w:rsidP="00592659">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592659">
        <w:rPr>
          <w:rFonts w:ascii="Arial" w:hAnsi="Arial" w:cs="Arial"/>
          <w:sz w:val="24"/>
          <w:szCs w:val="24"/>
        </w:rPr>
        <w:t>6</w:t>
      </w:r>
      <w:r w:rsidR="00536BA4">
        <w:rPr>
          <w:rFonts w:ascii="Arial" w:hAnsi="Arial" w:cs="Arial"/>
          <w:sz w:val="24"/>
          <w:szCs w:val="24"/>
        </w:rPr>
        <w:t>9</w:t>
      </w:r>
      <w:r>
        <w:rPr>
          <w:rFonts w:ascii="Arial" w:hAnsi="Arial" w:cs="Arial"/>
          <w:sz w:val="24"/>
          <w:szCs w:val="24"/>
        </w:rPr>
        <w:t>]</w:t>
      </w:r>
      <w:r>
        <w:rPr>
          <w:rFonts w:ascii="Arial" w:hAnsi="Arial" w:cs="Arial"/>
          <w:sz w:val="24"/>
          <w:szCs w:val="24"/>
        </w:rPr>
        <w:tab/>
        <w:t xml:space="preserve">On 24 August 2022 a demand, reserving the right to cancel the Sub-Lease in the event of non-compliance, in terms of which the </w:t>
      </w:r>
      <w:r w:rsidR="00013331">
        <w:rPr>
          <w:rFonts w:ascii="Arial" w:hAnsi="Arial" w:cs="Arial"/>
          <w:sz w:val="24"/>
          <w:szCs w:val="24"/>
        </w:rPr>
        <w:t>Respondent Trust</w:t>
      </w:r>
      <w:r>
        <w:rPr>
          <w:rFonts w:ascii="Arial" w:hAnsi="Arial" w:cs="Arial"/>
          <w:sz w:val="24"/>
          <w:szCs w:val="24"/>
        </w:rPr>
        <w:t xml:space="preserve"> was again afforded 20 days (not 7 days in terms of the Sub-Lease) to rectify its breaches was issued. </w:t>
      </w:r>
      <w:r>
        <w:rPr>
          <w:rFonts w:ascii="Arial" w:hAnsi="Arial" w:cs="Arial"/>
          <w:sz w:val="24"/>
          <w:szCs w:val="24"/>
        </w:rPr>
        <w:lastRenderedPageBreak/>
        <w:t xml:space="preserve">The 20- day period expired on 13 September 2022. In an email dated 20 September, the attorneys on behalf of the </w:t>
      </w:r>
      <w:r w:rsidR="00103989">
        <w:rPr>
          <w:rFonts w:ascii="Arial" w:hAnsi="Arial" w:cs="Arial"/>
          <w:sz w:val="24"/>
          <w:szCs w:val="24"/>
        </w:rPr>
        <w:t>Applicant Trust</w:t>
      </w:r>
      <w:r>
        <w:rPr>
          <w:rFonts w:ascii="Arial" w:hAnsi="Arial" w:cs="Arial"/>
          <w:sz w:val="24"/>
          <w:szCs w:val="24"/>
        </w:rPr>
        <w:t xml:space="preserve"> did not refer to any intention to cancel the Sub-Lease. The </w:t>
      </w:r>
      <w:r w:rsidR="00013331">
        <w:rPr>
          <w:rFonts w:ascii="Arial" w:hAnsi="Arial" w:cs="Arial"/>
          <w:sz w:val="24"/>
          <w:szCs w:val="24"/>
        </w:rPr>
        <w:t>Respondent Trust</w:t>
      </w:r>
      <w:r>
        <w:rPr>
          <w:rFonts w:ascii="Arial" w:hAnsi="Arial" w:cs="Arial"/>
          <w:sz w:val="24"/>
          <w:szCs w:val="24"/>
        </w:rPr>
        <w:t xml:space="preserve"> therefore finds </w:t>
      </w:r>
      <w:r w:rsidR="00B45C68">
        <w:rPr>
          <w:rFonts w:ascii="Arial" w:hAnsi="Arial" w:cs="Arial"/>
          <w:sz w:val="24"/>
          <w:szCs w:val="24"/>
        </w:rPr>
        <w:t xml:space="preserve">further </w:t>
      </w:r>
      <w:r>
        <w:rPr>
          <w:rFonts w:ascii="Arial" w:hAnsi="Arial" w:cs="Arial"/>
          <w:sz w:val="24"/>
          <w:szCs w:val="24"/>
        </w:rPr>
        <w:t xml:space="preserve">support for its argument that the </w:t>
      </w:r>
      <w:r w:rsidR="00103989">
        <w:rPr>
          <w:rFonts w:ascii="Arial" w:hAnsi="Arial" w:cs="Arial"/>
          <w:sz w:val="24"/>
          <w:szCs w:val="24"/>
        </w:rPr>
        <w:t>Applicant Trust</w:t>
      </w:r>
      <w:r>
        <w:rPr>
          <w:rFonts w:ascii="Arial" w:hAnsi="Arial" w:cs="Arial"/>
          <w:sz w:val="24"/>
          <w:szCs w:val="24"/>
        </w:rPr>
        <w:t xml:space="preserve"> lulled </w:t>
      </w:r>
      <w:r w:rsidR="00B45C68">
        <w:rPr>
          <w:rFonts w:ascii="Arial" w:hAnsi="Arial" w:cs="Arial"/>
          <w:sz w:val="24"/>
          <w:szCs w:val="24"/>
        </w:rPr>
        <w:t xml:space="preserve">the </w:t>
      </w:r>
      <w:r w:rsidR="00013331">
        <w:rPr>
          <w:rFonts w:ascii="Arial" w:hAnsi="Arial" w:cs="Arial"/>
          <w:sz w:val="24"/>
          <w:szCs w:val="24"/>
        </w:rPr>
        <w:t>Respondent Trust</w:t>
      </w:r>
      <w:r w:rsidR="00B45C68">
        <w:rPr>
          <w:rFonts w:ascii="Arial" w:hAnsi="Arial" w:cs="Arial"/>
          <w:sz w:val="24"/>
          <w:szCs w:val="24"/>
        </w:rPr>
        <w:t xml:space="preserve"> into a sense of false security, in the </w:t>
      </w:r>
      <w:r w:rsidR="00103989">
        <w:rPr>
          <w:rFonts w:ascii="Arial" w:hAnsi="Arial" w:cs="Arial"/>
          <w:sz w:val="24"/>
          <w:szCs w:val="24"/>
        </w:rPr>
        <w:t>Applicant Trust</w:t>
      </w:r>
      <w:r w:rsidR="00B45C68">
        <w:rPr>
          <w:rFonts w:ascii="Arial" w:hAnsi="Arial" w:cs="Arial"/>
          <w:sz w:val="24"/>
          <w:szCs w:val="24"/>
        </w:rPr>
        <w:t xml:space="preserve">’s continued indulgences and failure to take a firm stance regarding the </w:t>
      </w:r>
      <w:r w:rsidR="00013331">
        <w:rPr>
          <w:rFonts w:ascii="Arial" w:hAnsi="Arial" w:cs="Arial"/>
          <w:sz w:val="24"/>
          <w:szCs w:val="24"/>
        </w:rPr>
        <w:t>Respondent Trust</w:t>
      </w:r>
      <w:r w:rsidR="00B45C68">
        <w:rPr>
          <w:rFonts w:ascii="Arial" w:hAnsi="Arial" w:cs="Arial"/>
          <w:sz w:val="24"/>
          <w:szCs w:val="24"/>
        </w:rPr>
        <w:t>’s non-</w:t>
      </w:r>
      <w:r w:rsidR="00592659">
        <w:rPr>
          <w:rFonts w:ascii="Arial" w:hAnsi="Arial" w:cs="Arial"/>
          <w:sz w:val="24"/>
          <w:szCs w:val="24"/>
        </w:rPr>
        <w:t>compliances</w:t>
      </w:r>
      <w:r w:rsidR="00B45C68">
        <w:rPr>
          <w:rFonts w:ascii="Arial" w:hAnsi="Arial" w:cs="Arial"/>
          <w:sz w:val="24"/>
          <w:szCs w:val="24"/>
        </w:rPr>
        <w:t xml:space="preserve"> with the terms of the Sub-Lease. </w:t>
      </w:r>
    </w:p>
    <w:p w:rsidR="00B45C68" w:rsidRDefault="00B45C68" w:rsidP="00D94F5B">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E56610" w:rsidRDefault="00B45C68" w:rsidP="00592659">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592659">
        <w:rPr>
          <w:rFonts w:ascii="Arial" w:hAnsi="Arial" w:cs="Arial"/>
          <w:sz w:val="24"/>
          <w:szCs w:val="24"/>
        </w:rPr>
        <w:t>7</w:t>
      </w:r>
      <w:r w:rsidR="00536BA4">
        <w:rPr>
          <w:rFonts w:ascii="Arial" w:hAnsi="Arial" w:cs="Arial"/>
          <w:sz w:val="24"/>
          <w:szCs w:val="24"/>
        </w:rPr>
        <w:t>0</w:t>
      </w:r>
      <w:r>
        <w:rPr>
          <w:rFonts w:ascii="Arial" w:hAnsi="Arial" w:cs="Arial"/>
          <w:sz w:val="24"/>
          <w:szCs w:val="24"/>
        </w:rPr>
        <w:t>]</w:t>
      </w:r>
      <w:r>
        <w:rPr>
          <w:rFonts w:ascii="Arial" w:hAnsi="Arial" w:cs="Arial"/>
          <w:sz w:val="24"/>
          <w:szCs w:val="24"/>
        </w:rPr>
        <w:tab/>
        <w:t xml:space="preserve">On 27 September 2022 the cancellation letter to the </w:t>
      </w:r>
      <w:r w:rsidR="00013331">
        <w:rPr>
          <w:rFonts w:ascii="Arial" w:hAnsi="Arial" w:cs="Arial"/>
          <w:sz w:val="24"/>
          <w:szCs w:val="24"/>
        </w:rPr>
        <w:t>Respondent Trust</w:t>
      </w:r>
      <w:r>
        <w:rPr>
          <w:rFonts w:ascii="Arial" w:hAnsi="Arial" w:cs="Arial"/>
          <w:sz w:val="24"/>
          <w:szCs w:val="24"/>
        </w:rPr>
        <w:t xml:space="preserve"> was issued. In </w:t>
      </w:r>
      <w:r w:rsidRPr="00B45C68">
        <w:rPr>
          <w:rFonts w:ascii="Arial" w:hAnsi="Arial" w:cs="Arial"/>
          <w:b/>
          <w:sz w:val="24"/>
          <w:szCs w:val="24"/>
        </w:rPr>
        <w:t>Edward L Bateman Ltd v Combined Metal and Wire</w:t>
      </w:r>
      <w:r>
        <w:rPr>
          <w:rFonts w:ascii="Arial" w:hAnsi="Arial" w:cs="Arial"/>
          <w:b/>
          <w:sz w:val="24"/>
          <w:szCs w:val="24"/>
        </w:rPr>
        <w:t xml:space="preserve"> Works (Pty) Ltd</w:t>
      </w:r>
      <w:r>
        <w:rPr>
          <w:rStyle w:val="FootnoteReference"/>
          <w:rFonts w:ascii="Arial" w:hAnsi="Arial" w:cs="Arial"/>
          <w:b/>
          <w:sz w:val="24"/>
          <w:szCs w:val="24"/>
        </w:rPr>
        <w:footnoteReference w:id="31"/>
      </w:r>
      <w:r>
        <w:rPr>
          <w:rFonts w:ascii="Arial" w:hAnsi="Arial" w:cs="Arial"/>
          <w:b/>
          <w:sz w:val="24"/>
          <w:szCs w:val="24"/>
        </w:rPr>
        <w:t xml:space="preserve"> </w:t>
      </w:r>
      <w:r w:rsidR="00583A98" w:rsidRPr="00583A98">
        <w:rPr>
          <w:rFonts w:ascii="Arial" w:hAnsi="Arial" w:cs="Arial"/>
          <w:sz w:val="24"/>
          <w:szCs w:val="24"/>
        </w:rPr>
        <w:t xml:space="preserve">the question </w:t>
      </w:r>
      <w:r w:rsidR="00583A98">
        <w:rPr>
          <w:rFonts w:ascii="Arial" w:hAnsi="Arial" w:cs="Arial"/>
          <w:sz w:val="24"/>
          <w:szCs w:val="24"/>
        </w:rPr>
        <w:t>whether a creditor who has acquiesced, expressly o</w:t>
      </w:r>
      <w:r w:rsidR="00353FCC">
        <w:rPr>
          <w:rFonts w:ascii="Arial" w:hAnsi="Arial" w:cs="Arial"/>
          <w:sz w:val="24"/>
          <w:szCs w:val="24"/>
        </w:rPr>
        <w:t>r</w:t>
      </w:r>
      <w:r w:rsidR="00583A98">
        <w:rPr>
          <w:rFonts w:ascii="Arial" w:hAnsi="Arial" w:cs="Arial"/>
          <w:sz w:val="24"/>
          <w:szCs w:val="24"/>
        </w:rPr>
        <w:t xml:space="preserve"> by implication and without complaint, to a long series of defective performances by his debtor, was to be </w:t>
      </w:r>
      <w:r w:rsidR="00353FCC">
        <w:rPr>
          <w:rFonts w:ascii="Arial" w:hAnsi="Arial" w:cs="Arial"/>
          <w:sz w:val="24"/>
          <w:szCs w:val="24"/>
        </w:rPr>
        <w:t>precluded from invoking the late payments as a ground for cancellation of  the agreement between them</w:t>
      </w:r>
      <w:r w:rsidR="00E56610">
        <w:rPr>
          <w:rFonts w:ascii="Arial" w:hAnsi="Arial" w:cs="Arial"/>
          <w:sz w:val="24"/>
          <w:szCs w:val="24"/>
        </w:rPr>
        <w:t xml:space="preserve"> was adjudicated</w:t>
      </w:r>
      <w:r w:rsidR="00353FCC">
        <w:rPr>
          <w:rFonts w:ascii="Arial" w:hAnsi="Arial" w:cs="Arial"/>
          <w:sz w:val="24"/>
          <w:szCs w:val="24"/>
        </w:rPr>
        <w:t xml:space="preserve">. </w:t>
      </w:r>
      <w:r w:rsidR="002E0C56">
        <w:rPr>
          <w:rFonts w:ascii="Arial" w:hAnsi="Arial" w:cs="Arial"/>
          <w:sz w:val="24"/>
          <w:szCs w:val="24"/>
        </w:rPr>
        <w:t>Colman J held that</w:t>
      </w:r>
      <w:r w:rsidR="0025322B">
        <w:rPr>
          <w:rFonts w:ascii="Arial" w:hAnsi="Arial" w:cs="Arial"/>
          <w:sz w:val="24"/>
          <w:szCs w:val="24"/>
        </w:rPr>
        <w:t>,</w:t>
      </w:r>
      <w:r w:rsidR="002E0C56">
        <w:rPr>
          <w:rFonts w:ascii="Arial" w:hAnsi="Arial" w:cs="Arial"/>
          <w:sz w:val="24"/>
          <w:szCs w:val="24"/>
        </w:rPr>
        <w:t xml:space="preserve"> having </w:t>
      </w:r>
      <w:r w:rsidR="00EC6A07">
        <w:rPr>
          <w:rFonts w:ascii="Arial" w:hAnsi="Arial" w:cs="Arial"/>
          <w:sz w:val="24"/>
          <w:szCs w:val="24"/>
        </w:rPr>
        <w:t>regard</w:t>
      </w:r>
      <w:r w:rsidR="002E0C56">
        <w:rPr>
          <w:rFonts w:ascii="Arial" w:hAnsi="Arial" w:cs="Arial"/>
          <w:sz w:val="24"/>
          <w:szCs w:val="24"/>
        </w:rPr>
        <w:t xml:space="preserve"> of the particular fact</w:t>
      </w:r>
      <w:r w:rsidR="0025322B">
        <w:rPr>
          <w:rFonts w:ascii="Arial" w:hAnsi="Arial" w:cs="Arial"/>
          <w:sz w:val="24"/>
          <w:szCs w:val="24"/>
        </w:rPr>
        <w:t>s</w:t>
      </w:r>
      <w:r w:rsidR="002E0C56">
        <w:rPr>
          <w:rFonts w:ascii="Arial" w:hAnsi="Arial" w:cs="Arial"/>
          <w:sz w:val="24"/>
          <w:szCs w:val="24"/>
        </w:rPr>
        <w:t xml:space="preserve"> and circumstances</w:t>
      </w:r>
      <w:r w:rsidR="0025322B">
        <w:rPr>
          <w:rFonts w:ascii="Arial" w:hAnsi="Arial" w:cs="Arial"/>
          <w:sz w:val="24"/>
          <w:szCs w:val="24"/>
        </w:rPr>
        <w:t xml:space="preserve"> of</w:t>
      </w:r>
      <w:r w:rsidR="00EC6A07">
        <w:rPr>
          <w:rFonts w:ascii="Arial" w:hAnsi="Arial" w:cs="Arial"/>
          <w:sz w:val="24"/>
          <w:szCs w:val="24"/>
        </w:rPr>
        <w:t xml:space="preserve"> the case,</w:t>
      </w:r>
      <w:r w:rsidR="0025322B">
        <w:rPr>
          <w:rFonts w:ascii="Arial" w:hAnsi="Arial" w:cs="Arial"/>
          <w:sz w:val="24"/>
          <w:szCs w:val="24"/>
        </w:rPr>
        <w:t xml:space="preserve"> </w:t>
      </w:r>
      <w:r w:rsidR="002E0C56">
        <w:rPr>
          <w:rFonts w:ascii="Arial" w:hAnsi="Arial" w:cs="Arial"/>
          <w:sz w:val="24"/>
          <w:szCs w:val="24"/>
        </w:rPr>
        <w:t xml:space="preserve"> it was clear that the period of indulgences had come to an end, as had the cordial or sympathetic or co-operative relationship, which had given rise to the indulgences.</w:t>
      </w:r>
      <w:r w:rsidR="002E0C56">
        <w:rPr>
          <w:rStyle w:val="FootnoteReference"/>
          <w:rFonts w:ascii="Arial" w:hAnsi="Arial" w:cs="Arial"/>
          <w:sz w:val="24"/>
          <w:szCs w:val="24"/>
        </w:rPr>
        <w:footnoteReference w:id="32"/>
      </w:r>
      <w:r w:rsidR="002E0C56">
        <w:rPr>
          <w:rFonts w:ascii="Arial" w:hAnsi="Arial" w:cs="Arial"/>
          <w:sz w:val="24"/>
          <w:szCs w:val="24"/>
        </w:rPr>
        <w:t xml:space="preserve"> </w:t>
      </w:r>
    </w:p>
    <w:p w:rsidR="00592659" w:rsidRDefault="00592659" w:rsidP="00592659">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p>
    <w:p w:rsidR="00B45C68" w:rsidRDefault="00E56610" w:rsidP="00592659">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536BA4">
        <w:rPr>
          <w:rFonts w:ascii="Arial" w:hAnsi="Arial" w:cs="Arial"/>
          <w:sz w:val="24"/>
          <w:szCs w:val="24"/>
        </w:rPr>
        <w:t>71</w:t>
      </w:r>
      <w:r w:rsidR="00B01F57">
        <w:rPr>
          <w:rFonts w:ascii="Arial" w:hAnsi="Arial" w:cs="Arial"/>
          <w:sz w:val="24"/>
          <w:szCs w:val="24"/>
        </w:rPr>
        <w:t>]</w:t>
      </w:r>
      <w:r>
        <w:rPr>
          <w:rFonts w:ascii="Arial" w:hAnsi="Arial" w:cs="Arial"/>
          <w:sz w:val="24"/>
          <w:szCs w:val="24"/>
        </w:rPr>
        <w:tab/>
      </w:r>
      <w:r w:rsidR="00EC6A07">
        <w:rPr>
          <w:rFonts w:ascii="Arial" w:hAnsi="Arial" w:cs="Arial"/>
          <w:sz w:val="24"/>
          <w:szCs w:val="24"/>
        </w:rPr>
        <w:t>C</w:t>
      </w:r>
      <w:r w:rsidR="002E0C56">
        <w:rPr>
          <w:rFonts w:ascii="Arial" w:hAnsi="Arial" w:cs="Arial"/>
          <w:sz w:val="24"/>
          <w:szCs w:val="24"/>
        </w:rPr>
        <w:t xml:space="preserve">olman J, with reference to </w:t>
      </w:r>
      <w:r w:rsidR="002E0C56" w:rsidRPr="002E0C56">
        <w:rPr>
          <w:rFonts w:ascii="Arial" w:hAnsi="Arial" w:cs="Arial"/>
          <w:b/>
          <w:sz w:val="24"/>
          <w:szCs w:val="24"/>
        </w:rPr>
        <w:t>Garlick Ltd v Phillips</w:t>
      </w:r>
      <w:r w:rsidR="002E0C56">
        <w:rPr>
          <w:rStyle w:val="FootnoteReference"/>
          <w:rFonts w:ascii="Arial" w:hAnsi="Arial" w:cs="Arial"/>
          <w:sz w:val="24"/>
          <w:szCs w:val="24"/>
        </w:rPr>
        <w:footnoteReference w:id="33"/>
      </w:r>
      <w:r w:rsidR="00EC6A07">
        <w:rPr>
          <w:rFonts w:ascii="Arial" w:hAnsi="Arial" w:cs="Arial"/>
          <w:b/>
          <w:sz w:val="24"/>
          <w:szCs w:val="24"/>
        </w:rPr>
        <w:t xml:space="preserve"> </w:t>
      </w:r>
      <w:r w:rsidR="00EC6A07" w:rsidRPr="00EC6A07">
        <w:rPr>
          <w:rFonts w:ascii="Arial" w:hAnsi="Arial" w:cs="Arial"/>
          <w:sz w:val="24"/>
          <w:szCs w:val="24"/>
        </w:rPr>
        <w:t xml:space="preserve">concluded that it is not every prior indulgence by a creditor which will be recognised </w:t>
      </w:r>
      <w:r w:rsidR="00EC6A07">
        <w:rPr>
          <w:rFonts w:ascii="Arial" w:hAnsi="Arial" w:cs="Arial"/>
          <w:sz w:val="24"/>
          <w:szCs w:val="24"/>
        </w:rPr>
        <w:t xml:space="preserve">as a basis for the application of the principle </w:t>
      </w:r>
      <w:r>
        <w:rPr>
          <w:rFonts w:ascii="Arial" w:hAnsi="Arial" w:cs="Arial"/>
          <w:sz w:val="24"/>
          <w:szCs w:val="24"/>
        </w:rPr>
        <w:t xml:space="preserve">applied in the </w:t>
      </w:r>
      <w:r w:rsidRPr="00E56610">
        <w:rPr>
          <w:rFonts w:ascii="Arial" w:hAnsi="Arial" w:cs="Arial"/>
          <w:b/>
          <w:sz w:val="24"/>
          <w:szCs w:val="24"/>
        </w:rPr>
        <w:t>Garlick</w:t>
      </w:r>
      <w:r>
        <w:rPr>
          <w:rFonts w:ascii="Arial" w:hAnsi="Arial" w:cs="Arial"/>
          <w:b/>
          <w:sz w:val="24"/>
          <w:szCs w:val="24"/>
        </w:rPr>
        <w:t>-</w:t>
      </w:r>
      <w:r>
        <w:rPr>
          <w:rFonts w:ascii="Arial" w:hAnsi="Arial" w:cs="Arial"/>
          <w:sz w:val="24"/>
          <w:szCs w:val="24"/>
        </w:rPr>
        <w:t xml:space="preserve"> matter. What is required is  “… </w:t>
      </w:r>
      <w:r w:rsidRPr="00E56610">
        <w:rPr>
          <w:rFonts w:ascii="Arial" w:hAnsi="Arial" w:cs="Arial"/>
          <w:sz w:val="20"/>
          <w:szCs w:val="20"/>
        </w:rPr>
        <w:t>a long continued course of conduct consisting of the defective performance by one party acquiesced in by the other</w:t>
      </w:r>
      <w:r>
        <w:rPr>
          <w:rFonts w:ascii="Arial" w:hAnsi="Arial" w:cs="Arial"/>
          <w:sz w:val="24"/>
          <w:szCs w:val="24"/>
        </w:rPr>
        <w:t>.”</w:t>
      </w:r>
      <w:r>
        <w:rPr>
          <w:rStyle w:val="FootnoteReference"/>
          <w:rFonts w:ascii="Arial" w:hAnsi="Arial" w:cs="Arial"/>
          <w:sz w:val="24"/>
          <w:szCs w:val="24"/>
        </w:rPr>
        <w:footnoteReference w:id="34"/>
      </w:r>
      <w:r w:rsidR="009E594C">
        <w:rPr>
          <w:rFonts w:ascii="Arial" w:hAnsi="Arial" w:cs="Arial"/>
          <w:sz w:val="24"/>
          <w:szCs w:val="24"/>
        </w:rPr>
        <w:t xml:space="preserve"> A single defective performance by a debtor will not suffice.  Nor will the mere acceptance of two defective performances suffice.  The surrounding circumstances, including the relationship between the parties, are often to be relevant.  An indulgence or series of indulgences granted during a period of cordiality will not support and entitlement to expect similar indulgences. </w:t>
      </w:r>
    </w:p>
    <w:p w:rsidR="009E594C" w:rsidRDefault="009E594C" w:rsidP="00D94F5B">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9E594C" w:rsidRDefault="009E594C" w:rsidP="00A2268E">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B01F57">
        <w:rPr>
          <w:rFonts w:ascii="Arial" w:hAnsi="Arial" w:cs="Arial"/>
          <w:sz w:val="24"/>
          <w:szCs w:val="24"/>
        </w:rPr>
        <w:t>72</w:t>
      </w:r>
      <w:r>
        <w:rPr>
          <w:rFonts w:ascii="Arial" w:hAnsi="Arial" w:cs="Arial"/>
          <w:sz w:val="24"/>
          <w:szCs w:val="24"/>
        </w:rPr>
        <w:t>]</w:t>
      </w:r>
      <w:r>
        <w:rPr>
          <w:rFonts w:ascii="Arial" w:hAnsi="Arial" w:cs="Arial"/>
          <w:sz w:val="24"/>
          <w:szCs w:val="24"/>
        </w:rPr>
        <w:tab/>
      </w:r>
      <w:r w:rsidR="00EA7352">
        <w:rPr>
          <w:rFonts w:ascii="Arial" w:hAnsi="Arial" w:cs="Arial"/>
          <w:sz w:val="24"/>
          <w:szCs w:val="24"/>
        </w:rPr>
        <w:t xml:space="preserve"> The rule in </w:t>
      </w:r>
      <w:r w:rsidR="00EA7352" w:rsidRPr="00EA7352">
        <w:rPr>
          <w:rFonts w:ascii="Arial" w:hAnsi="Arial" w:cs="Arial"/>
          <w:b/>
          <w:sz w:val="24"/>
          <w:szCs w:val="24"/>
        </w:rPr>
        <w:t>Garlick</w:t>
      </w:r>
      <w:r w:rsidR="00EA7352">
        <w:rPr>
          <w:rFonts w:ascii="Arial" w:hAnsi="Arial" w:cs="Arial"/>
          <w:sz w:val="24"/>
          <w:szCs w:val="24"/>
        </w:rPr>
        <w:t xml:space="preserve"> </w:t>
      </w:r>
      <w:r>
        <w:rPr>
          <w:rFonts w:ascii="Arial" w:hAnsi="Arial" w:cs="Arial"/>
          <w:sz w:val="24"/>
          <w:szCs w:val="24"/>
        </w:rPr>
        <w:t xml:space="preserve">is an equitable principle resting upon the injustice of the consequences that </w:t>
      </w:r>
      <w:r w:rsidR="00830132">
        <w:rPr>
          <w:rFonts w:ascii="Arial" w:hAnsi="Arial" w:cs="Arial"/>
          <w:sz w:val="24"/>
          <w:szCs w:val="24"/>
        </w:rPr>
        <w:t>may</w:t>
      </w:r>
      <w:r>
        <w:rPr>
          <w:rFonts w:ascii="Arial" w:hAnsi="Arial" w:cs="Arial"/>
          <w:sz w:val="24"/>
          <w:szCs w:val="24"/>
        </w:rPr>
        <w:t xml:space="preserve"> follow if a creditor were allowed to lull his debtor into the belief that strict performance was not required and then, without warning, to </w:t>
      </w:r>
      <w:r w:rsidR="00830132">
        <w:rPr>
          <w:rFonts w:ascii="Arial" w:hAnsi="Arial" w:cs="Arial"/>
          <w:sz w:val="24"/>
          <w:szCs w:val="24"/>
        </w:rPr>
        <w:t>demand</w:t>
      </w:r>
      <w:r>
        <w:rPr>
          <w:rFonts w:ascii="Arial" w:hAnsi="Arial" w:cs="Arial"/>
          <w:sz w:val="24"/>
          <w:szCs w:val="24"/>
        </w:rPr>
        <w:t xml:space="preserve"> </w:t>
      </w:r>
      <w:r>
        <w:rPr>
          <w:rFonts w:ascii="Arial" w:hAnsi="Arial" w:cs="Arial"/>
          <w:sz w:val="24"/>
          <w:szCs w:val="24"/>
        </w:rPr>
        <w:lastRenderedPageBreak/>
        <w:t xml:space="preserve">the full contractual relief provided for as a consequence of defective performances. </w:t>
      </w:r>
      <w:r w:rsidR="00EA7352">
        <w:rPr>
          <w:rFonts w:ascii="Arial" w:hAnsi="Arial" w:cs="Arial"/>
          <w:sz w:val="24"/>
          <w:szCs w:val="24"/>
        </w:rPr>
        <w:t xml:space="preserve"> From the facts in the matter at hand it is clear that the </w:t>
      </w:r>
      <w:r w:rsidR="00103989">
        <w:rPr>
          <w:rFonts w:ascii="Arial" w:hAnsi="Arial" w:cs="Arial"/>
          <w:sz w:val="24"/>
          <w:szCs w:val="24"/>
        </w:rPr>
        <w:t>Applicant Trust</w:t>
      </w:r>
      <w:r w:rsidR="00EA7352">
        <w:rPr>
          <w:rFonts w:ascii="Arial" w:hAnsi="Arial" w:cs="Arial"/>
          <w:sz w:val="24"/>
          <w:szCs w:val="24"/>
        </w:rPr>
        <w:t xml:space="preserve"> acquiesced to the defective performance</w:t>
      </w:r>
      <w:r w:rsidR="00830132">
        <w:rPr>
          <w:rFonts w:ascii="Arial" w:hAnsi="Arial" w:cs="Arial"/>
          <w:sz w:val="24"/>
          <w:szCs w:val="24"/>
        </w:rPr>
        <w:t>s</w:t>
      </w:r>
      <w:r w:rsidR="00EA7352">
        <w:rPr>
          <w:rFonts w:ascii="Arial" w:hAnsi="Arial" w:cs="Arial"/>
          <w:sz w:val="24"/>
          <w:szCs w:val="24"/>
        </w:rPr>
        <w:t xml:space="preserve"> of the </w:t>
      </w:r>
      <w:r w:rsidR="00013331">
        <w:rPr>
          <w:rFonts w:ascii="Arial" w:hAnsi="Arial" w:cs="Arial"/>
          <w:sz w:val="24"/>
          <w:szCs w:val="24"/>
        </w:rPr>
        <w:t>Respondent Trust</w:t>
      </w:r>
      <w:r w:rsidR="00EA7352">
        <w:rPr>
          <w:rFonts w:ascii="Arial" w:hAnsi="Arial" w:cs="Arial"/>
          <w:sz w:val="24"/>
          <w:szCs w:val="24"/>
        </w:rPr>
        <w:t xml:space="preserve"> for more than a decade. As Mr Grobler </w:t>
      </w:r>
      <w:r w:rsidR="00592659">
        <w:rPr>
          <w:rFonts w:ascii="Arial" w:hAnsi="Arial" w:cs="Arial"/>
          <w:sz w:val="24"/>
          <w:szCs w:val="24"/>
        </w:rPr>
        <w:t xml:space="preserve">SC </w:t>
      </w:r>
      <w:r w:rsidR="00EA7352">
        <w:rPr>
          <w:rFonts w:ascii="Arial" w:hAnsi="Arial" w:cs="Arial"/>
          <w:sz w:val="24"/>
          <w:szCs w:val="24"/>
        </w:rPr>
        <w:t xml:space="preserve">mentioned, a repeat function of the demand letter would have come in handy.  </w:t>
      </w:r>
      <w:r w:rsidR="00592659">
        <w:rPr>
          <w:rFonts w:ascii="Arial" w:hAnsi="Arial" w:cs="Arial"/>
          <w:sz w:val="24"/>
          <w:szCs w:val="24"/>
        </w:rPr>
        <w:t xml:space="preserve"> For an extended period of time t</w:t>
      </w:r>
      <w:r w:rsidR="00EA7352">
        <w:rPr>
          <w:rFonts w:ascii="Arial" w:hAnsi="Arial" w:cs="Arial"/>
          <w:sz w:val="24"/>
          <w:szCs w:val="24"/>
        </w:rPr>
        <w:t xml:space="preserve">he </w:t>
      </w:r>
      <w:r w:rsidR="00103989">
        <w:rPr>
          <w:rFonts w:ascii="Arial" w:hAnsi="Arial" w:cs="Arial"/>
          <w:sz w:val="24"/>
          <w:szCs w:val="24"/>
        </w:rPr>
        <w:t>Applicant Trust</w:t>
      </w:r>
      <w:r w:rsidR="00EA7352">
        <w:rPr>
          <w:rFonts w:ascii="Arial" w:hAnsi="Arial" w:cs="Arial"/>
          <w:sz w:val="24"/>
          <w:szCs w:val="24"/>
        </w:rPr>
        <w:t xml:space="preserve"> did not demand strict compliance with the terms of the Sub-</w:t>
      </w:r>
      <w:r w:rsidR="00B01F57">
        <w:rPr>
          <w:rFonts w:ascii="Arial" w:hAnsi="Arial" w:cs="Arial"/>
          <w:sz w:val="24"/>
          <w:szCs w:val="24"/>
        </w:rPr>
        <w:t>L</w:t>
      </w:r>
      <w:r w:rsidR="00EA7352">
        <w:rPr>
          <w:rFonts w:ascii="Arial" w:hAnsi="Arial" w:cs="Arial"/>
          <w:sz w:val="24"/>
          <w:szCs w:val="24"/>
        </w:rPr>
        <w:t xml:space="preserve">ease.  The </w:t>
      </w:r>
      <w:r w:rsidR="00103989">
        <w:rPr>
          <w:rFonts w:ascii="Arial" w:hAnsi="Arial" w:cs="Arial"/>
          <w:sz w:val="24"/>
          <w:szCs w:val="24"/>
        </w:rPr>
        <w:t>Applicant Trust</w:t>
      </w:r>
      <w:r w:rsidR="00EA7352">
        <w:rPr>
          <w:rFonts w:ascii="Arial" w:hAnsi="Arial" w:cs="Arial"/>
          <w:sz w:val="24"/>
          <w:szCs w:val="24"/>
        </w:rPr>
        <w:t xml:space="preserve"> created the impression that it was prepared to accept the </w:t>
      </w:r>
      <w:r w:rsidR="00013331">
        <w:rPr>
          <w:rFonts w:ascii="Arial" w:hAnsi="Arial" w:cs="Arial"/>
          <w:sz w:val="24"/>
          <w:szCs w:val="24"/>
        </w:rPr>
        <w:t>Respondent Trust</w:t>
      </w:r>
      <w:r w:rsidR="00EA7352">
        <w:rPr>
          <w:rFonts w:ascii="Arial" w:hAnsi="Arial" w:cs="Arial"/>
          <w:sz w:val="24"/>
          <w:szCs w:val="24"/>
        </w:rPr>
        <w:t>’s late performance and lulled t</w:t>
      </w:r>
      <w:r w:rsidR="00830132">
        <w:rPr>
          <w:rFonts w:ascii="Arial" w:hAnsi="Arial" w:cs="Arial"/>
          <w:sz w:val="24"/>
          <w:szCs w:val="24"/>
        </w:rPr>
        <w:t>he</w:t>
      </w:r>
      <w:r w:rsidR="00EA7352">
        <w:rPr>
          <w:rFonts w:ascii="Arial" w:hAnsi="Arial" w:cs="Arial"/>
          <w:sz w:val="24"/>
          <w:szCs w:val="24"/>
        </w:rPr>
        <w:t xml:space="preserve"> </w:t>
      </w:r>
      <w:r w:rsidR="00013331">
        <w:rPr>
          <w:rFonts w:ascii="Arial" w:hAnsi="Arial" w:cs="Arial"/>
          <w:sz w:val="24"/>
          <w:szCs w:val="24"/>
        </w:rPr>
        <w:t>Respondent Trust</w:t>
      </w:r>
      <w:r w:rsidR="00EA7352">
        <w:rPr>
          <w:rFonts w:ascii="Arial" w:hAnsi="Arial" w:cs="Arial"/>
          <w:sz w:val="24"/>
          <w:szCs w:val="24"/>
        </w:rPr>
        <w:t xml:space="preserve"> into a sense of security </w:t>
      </w:r>
      <w:r w:rsidR="004F45CB">
        <w:rPr>
          <w:rFonts w:ascii="Arial" w:hAnsi="Arial" w:cs="Arial"/>
          <w:sz w:val="24"/>
          <w:szCs w:val="24"/>
        </w:rPr>
        <w:t xml:space="preserve">that such performance remains acceptable. </w:t>
      </w:r>
    </w:p>
    <w:p w:rsidR="00592659" w:rsidRDefault="00592659" w:rsidP="00A2268E">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p>
    <w:p w:rsidR="007949A2" w:rsidRDefault="00592659" w:rsidP="00A2268E">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[7</w:t>
      </w:r>
      <w:r w:rsidR="00B01F57">
        <w:rPr>
          <w:rFonts w:ascii="Arial" w:hAnsi="Arial" w:cs="Arial"/>
          <w:sz w:val="24"/>
          <w:szCs w:val="24"/>
        </w:rPr>
        <w:t>3</w:t>
      </w:r>
      <w:r>
        <w:rPr>
          <w:rFonts w:ascii="Arial" w:hAnsi="Arial" w:cs="Arial"/>
          <w:sz w:val="24"/>
          <w:szCs w:val="24"/>
        </w:rPr>
        <w:t>]</w:t>
      </w:r>
      <w:r>
        <w:rPr>
          <w:rFonts w:ascii="Arial" w:hAnsi="Arial" w:cs="Arial"/>
          <w:sz w:val="24"/>
          <w:szCs w:val="24"/>
        </w:rPr>
        <w:tab/>
        <w:t xml:space="preserve">Furthermore, for a considerable time, not only once or twice, but </w:t>
      </w:r>
      <w:r w:rsidR="00830132">
        <w:rPr>
          <w:rFonts w:ascii="Arial" w:hAnsi="Arial" w:cs="Arial"/>
          <w:sz w:val="24"/>
          <w:szCs w:val="24"/>
        </w:rPr>
        <w:t xml:space="preserve">for </w:t>
      </w:r>
      <w:r>
        <w:rPr>
          <w:rFonts w:ascii="Arial" w:hAnsi="Arial" w:cs="Arial"/>
          <w:sz w:val="24"/>
          <w:szCs w:val="24"/>
        </w:rPr>
        <w:t xml:space="preserve">many months, the Applicant Trust created the impression by representations made in the letters of demand that it accepted the terms of FA10 by providing the additional time period of twenty days within which the Respondent Trust had to comply with </w:t>
      </w:r>
      <w:r w:rsidR="00830132">
        <w:rPr>
          <w:rFonts w:ascii="Arial" w:hAnsi="Arial" w:cs="Arial"/>
          <w:sz w:val="24"/>
          <w:szCs w:val="24"/>
        </w:rPr>
        <w:t xml:space="preserve">the </w:t>
      </w:r>
      <w:r w:rsidR="007949A2">
        <w:rPr>
          <w:rFonts w:ascii="Arial" w:hAnsi="Arial" w:cs="Arial"/>
          <w:sz w:val="24"/>
          <w:szCs w:val="24"/>
        </w:rPr>
        <w:t>terms of the Sub-Lease. A clear and unambiguous representation was made through the letters of demand and the subsequent conduct of the Applicant Trust, by accepting late payment of rentals and other amounts. Obviously, the Respondent Trust relied upon the representations and conduct of the Applicant Trust, which now appears to have been to their detriment</w:t>
      </w:r>
      <w:r w:rsidR="00830132">
        <w:rPr>
          <w:rFonts w:ascii="Arial" w:hAnsi="Arial" w:cs="Arial"/>
          <w:sz w:val="24"/>
          <w:szCs w:val="24"/>
        </w:rPr>
        <w:t>.</w:t>
      </w:r>
      <w:r w:rsidR="007949A2">
        <w:rPr>
          <w:rFonts w:ascii="Arial" w:hAnsi="Arial" w:cs="Arial"/>
          <w:sz w:val="24"/>
          <w:szCs w:val="24"/>
        </w:rPr>
        <w:t xml:space="preserve"> </w:t>
      </w:r>
    </w:p>
    <w:p w:rsidR="004F45CB" w:rsidRDefault="004F45CB" w:rsidP="00D94F5B">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4F45CB" w:rsidRDefault="004F45CB" w:rsidP="00D94F5B">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r>
        <w:rPr>
          <w:rFonts w:ascii="Arial" w:hAnsi="Arial" w:cs="Arial"/>
          <w:sz w:val="24"/>
          <w:szCs w:val="24"/>
        </w:rPr>
        <w:tab/>
        <w:t>CONCLUSION.</w:t>
      </w:r>
    </w:p>
    <w:p w:rsidR="007949A2" w:rsidRDefault="007949A2" w:rsidP="00D94F5B">
      <w:pPr>
        <w:widowControl w:val="0"/>
        <w:kinsoku w:val="0"/>
        <w:overflowPunct w:val="0"/>
        <w:autoSpaceDE w:val="0"/>
        <w:autoSpaceDN w:val="0"/>
        <w:adjustRightInd w:val="0"/>
        <w:spacing w:after="0" w:line="360" w:lineRule="auto"/>
        <w:ind w:left="851" w:right="440" w:hanging="851"/>
        <w:jc w:val="both"/>
        <w:rPr>
          <w:rFonts w:ascii="Arial" w:hAnsi="Arial" w:cs="Arial"/>
          <w:sz w:val="24"/>
          <w:szCs w:val="24"/>
        </w:rPr>
      </w:pPr>
    </w:p>
    <w:p w:rsidR="004F45CB" w:rsidRDefault="004F45CB" w:rsidP="00A2268E">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7949A2">
        <w:rPr>
          <w:rFonts w:ascii="Arial" w:hAnsi="Arial" w:cs="Arial"/>
          <w:sz w:val="24"/>
          <w:szCs w:val="24"/>
        </w:rPr>
        <w:t>7</w:t>
      </w:r>
      <w:r w:rsidR="00B01F57">
        <w:rPr>
          <w:rFonts w:ascii="Arial" w:hAnsi="Arial" w:cs="Arial"/>
          <w:sz w:val="24"/>
          <w:szCs w:val="24"/>
        </w:rPr>
        <w:t>4</w:t>
      </w:r>
      <w:r>
        <w:rPr>
          <w:rFonts w:ascii="Arial" w:hAnsi="Arial" w:cs="Arial"/>
          <w:sz w:val="24"/>
          <w:szCs w:val="24"/>
        </w:rPr>
        <w:t>]</w:t>
      </w:r>
      <w:r>
        <w:rPr>
          <w:rFonts w:ascii="Arial" w:hAnsi="Arial" w:cs="Arial"/>
          <w:sz w:val="24"/>
          <w:szCs w:val="24"/>
        </w:rPr>
        <w:tab/>
        <w:t xml:space="preserve">In </w:t>
      </w:r>
      <w:r w:rsidRPr="004F45CB">
        <w:rPr>
          <w:rFonts w:ascii="Arial" w:hAnsi="Arial" w:cs="Arial"/>
          <w:b/>
          <w:sz w:val="24"/>
          <w:szCs w:val="24"/>
        </w:rPr>
        <w:t>Barkhuizen v Napier</w:t>
      </w:r>
      <w:r>
        <w:rPr>
          <w:rFonts w:ascii="Arial" w:hAnsi="Arial" w:cs="Arial"/>
          <w:b/>
          <w:sz w:val="24"/>
          <w:szCs w:val="24"/>
        </w:rPr>
        <w:t xml:space="preserve"> </w:t>
      </w:r>
      <w:r>
        <w:rPr>
          <w:rFonts w:ascii="Arial" w:hAnsi="Arial" w:cs="Arial"/>
          <w:sz w:val="24"/>
          <w:szCs w:val="24"/>
        </w:rPr>
        <w:t>it was held that a party who seeks to avoid the enforcement of a contractual term is required to demonstrate good reason for failing to comply with the term. The rational for this is:</w:t>
      </w:r>
    </w:p>
    <w:p w:rsidR="004F45CB" w:rsidRDefault="004F45CB" w:rsidP="00A2268E">
      <w:pPr>
        <w:widowControl w:val="0"/>
        <w:kinsoku w:val="0"/>
        <w:overflowPunct w:val="0"/>
        <w:autoSpaceDE w:val="0"/>
        <w:autoSpaceDN w:val="0"/>
        <w:adjustRightInd w:val="0"/>
        <w:spacing w:after="0" w:line="360" w:lineRule="auto"/>
        <w:ind w:left="851" w:right="724" w:hanging="851"/>
        <w:jc w:val="both"/>
        <w:rPr>
          <w:rFonts w:ascii="Arial" w:hAnsi="Arial" w:cs="Arial"/>
          <w:sz w:val="20"/>
          <w:szCs w:val="20"/>
        </w:rPr>
      </w:pPr>
      <w:r>
        <w:rPr>
          <w:rFonts w:ascii="Arial" w:hAnsi="Arial" w:cs="Arial"/>
          <w:sz w:val="24"/>
          <w:szCs w:val="24"/>
        </w:rPr>
        <w:tab/>
      </w:r>
      <w:r>
        <w:rPr>
          <w:rFonts w:ascii="Arial" w:hAnsi="Arial" w:cs="Arial"/>
          <w:sz w:val="24"/>
          <w:szCs w:val="24"/>
        </w:rPr>
        <w:tab/>
        <w:t>“F</w:t>
      </w:r>
      <w:r w:rsidRPr="004F45CB">
        <w:rPr>
          <w:rFonts w:ascii="Arial" w:hAnsi="Arial" w:cs="Arial"/>
          <w:sz w:val="20"/>
          <w:szCs w:val="20"/>
        </w:rPr>
        <w:t xml:space="preserve">or all </w:t>
      </w:r>
      <w:r>
        <w:rPr>
          <w:rFonts w:ascii="Arial" w:hAnsi="Arial" w:cs="Arial"/>
          <w:sz w:val="20"/>
          <w:szCs w:val="20"/>
        </w:rPr>
        <w:t>w</w:t>
      </w:r>
      <w:r w:rsidRPr="004F45CB">
        <w:rPr>
          <w:rFonts w:ascii="Arial" w:hAnsi="Arial" w:cs="Arial"/>
          <w:sz w:val="20"/>
          <w:szCs w:val="20"/>
        </w:rPr>
        <w:t xml:space="preserve">e </w:t>
      </w:r>
      <w:r>
        <w:rPr>
          <w:rFonts w:ascii="Arial" w:hAnsi="Arial" w:cs="Arial"/>
          <w:sz w:val="20"/>
          <w:szCs w:val="20"/>
        </w:rPr>
        <w:t>k</w:t>
      </w:r>
      <w:r w:rsidRPr="004F45CB">
        <w:rPr>
          <w:rFonts w:ascii="Arial" w:hAnsi="Arial" w:cs="Arial"/>
          <w:sz w:val="20"/>
          <w:szCs w:val="20"/>
        </w:rPr>
        <w:t>no</w:t>
      </w:r>
      <w:r>
        <w:rPr>
          <w:rFonts w:ascii="Arial" w:hAnsi="Arial" w:cs="Arial"/>
          <w:sz w:val="20"/>
          <w:szCs w:val="20"/>
        </w:rPr>
        <w:t>w</w:t>
      </w:r>
      <w:r w:rsidRPr="004F45CB">
        <w:rPr>
          <w:rFonts w:ascii="Arial" w:hAnsi="Arial" w:cs="Arial"/>
          <w:sz w:val="20"/>
          <w:szCs w:val="20"/>
        </w:rPr>
        <w:t xml:space="preserve"> he may have </w:t>
      </w:r>
      <w:r>
        <w:rPr>
          <w:rFonts w:ascii="Arial" w:hAnsi="Arial" w:cs="Arial"/>
          <w:sz w:val="20"/>
          <w:szCs w:val="20"/>
        </w:rPr>
        <w:t xml:space="preserve">neglected to comply with the clause in circumstances </w:t>
      </w:r>
      <w:r w:rsidR="00A2268E">
        <w:rPr>
          <w:rFonts w:ascii="Arial" w:hAnsi="Arial" w:cs="Arial"/>
          <w:sz w:val="20"/>
          <w:szCs w:val="20"/>
        </w:rPr>
        <w:tab/>
      </w:r>
      <w:r>
        <w:rPr>
          <w:rFonts w:ascii="Arial" w:hAnsi="Arial" w:cs="Arial"/>
          <w:sz w:val="20"/>
          <w:szCs w:val="20"/>
        </w:rPr>
        <w:t xml:space="preserve">where he could have complied with it.  And to allow him to avoid its consequences in </w:t>
      </w:r>
      <w:r w:rsidR="00A2268E">
        <w:rPr>
          <w:rFonts w:ascii="Arial" w:hAnsi="Arial" w:cs="Arial"/>
          <w:sz w:val="20"/>
          <w:szCs w:val="20"/>
        </w:rPr>
        <w:tab/>
      </w:r>
      <w:r>
        <w:rPr>
          <w:rFonts w:ascii="Arial" w:hAnsi="Arial" w:cs="Arial"/>
          <w:sz w:val="20"/>
          <w:szCs w:val="20"/>
        </w:rPr>
        <w:t xml:space="preserve">these </w:t>
      </w:r>
      <w:r w:rsidR="00A2268E">
        <w:rPr>
          <w:rFonts w:ascii="Arial" w:hAnsi="Arial" w:cs="Arial"/>
          <w:sz w:val="20"/>
          <w:szCs w:val="20"/>
        </w:rPr>
        <w:tab/>
      </w:r>
      <w:r>
        <w:rPr>
          <w:rFonts w:ascii="Arial" w:hAnsi="Arial" w:cs="Arial"/>
          <w:sz w:val="20"/>
          <w:szCs w:val="20"/>
        </w:rPr>
        <w:t xml:space="preserve">circumstances would be contrary to the doctrine of </w:t>
      </w:r>
      <w:r w:rsidRPr="004F45CB">
        <w:rPr>
          <w:rFonts w:ascii="Arial" w:hAnsi="Arial" w:cs="Arial"/>
          <w:i/>
          <w:sz w:val="20"/>
          <w:szCs w:val="20"/>
        </w:rPr>
        <w:t>pacta sunt servanda</w:t>
      </w:r>
      <w:r>
        <w:rPr>
          <w:rFonts w:ascii="Arial" w:hAnsi="Arial" w:cs="Arial"/>
          <w:sz w:val="20"/>
          <w:szCs w:val="20"/>
        </w:rPr>
        <w:t xml:space="preserve">.  This </w:t>
      </w:r>
      <w:r w:rsidR="00A2268E">
        <w:rPr>
          <w:rFonts w:ascii="Arial" w:hAnsi="Arial" w:cs="Arial"/>
          <w:sz w:val="20"/>
          <w:szCs w:val="20"/>
        </w:rPr>
        <w:tab/>
      </w:r>
      <w:r>
        <w:rPr>
          <w:rFonts w:ascii="Arial" w:hAnsi="Arial" w:cs="Arial"/>
          <w:sz w:val="20"/>
          <w:szCs w:val="20"/>
        </w:rPr>
        <w:t>would indeed be unfair  to the respondent</w:t>
      </w:r>
      <w:r w:rsidR="00A2268E">
        <w:rPr>
          <w:rFonts w:ascii="Arial" w:hAnsi="Arial" w:cs="Arial"/>
          <w:sz w:val="20"/>
          <w:szCs w:val="20"/>
        </w:rPr>
        <w:t>.”</w:t>
      </w:r>
      <w:r w:rsidR="00A2268E">
        <w:rPr>
          <w:rStyle w:val="FootnoteReference"/>
          <w:rFonts w:ascii="Arial" w:hAnsi="Arial" w:cs="Arial"/>
          <w:sz w:val="20"/>
          <w:szCs w:val="20"/>
        </w:rPr>
        <w:footnoteReference w:id="35"/>
      </w:r>
    </w:p>
    <w:p w:rsidR="00A2268E" w:rsidRDefault="00A2268E" w:rsidP="007949A2">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0"/>
          <w:szCs w:val="20"/>
        </w:rPr>
        <w:tab/>
      </w:r>
      <w:r>
        <w:rPr>
          <w:rFonts w:ascii="Arial" w:hAnsi="Arial" w:cs="Arial"/>
          <w:sz w:val="24"/>
          <w:szCs w:val="24"/>
        </w:rPr>
        <w:t xml:space="preserve">The Constitutional Court resolved the role of public policy in the enforcement of contract in </w:t>
      </w:r>
      <w:r w:rsidRPr="00A2268E">
        <w:rPr>
          <w:rFonts w:ascii="Arial" w:hAnsi="Arial" w:cs="Arial"/>
          <w:b/>
          <w:sz w:val="24"/>
          <w:szCs w:val="24"/>
        </w:rPr>
        <w:t>Beadica</w:t>
      </w:r>
      <w:r>
        <w:rPr>
          <w:rFonts w:ascii="Arial" w:hAnsi="Arial" w:cs="Arial"/>
          <w:sz w:val="24"/>
          <w:szCs w:val="24"/>
        </w:rPr>
        <w:t xml:space="preserve"> and held that </w:t>
      </w:r>
      <w:r w:rsidRPr="00A2268E">
        <w:rPr>
          <w:rFonts w:ascii="Arial" w:hAnsi="Arial" w:cs="Arial"/>
          <w:b/>
          <w:sz w:val="24"/>
          <w:szCs w:val="24"/>
        </w:rPr>
        <w:t>Barkhuizen</w:t>
      </w:r>
      <w:r>
        <w:rPr>
          <w:rFonts w:ascii="Arial" w:hAnsi="Arial" w:cs="Arial"/>
          <w:sz w:val="24"/>
          <w:szCs w:val="24"/>
        </w:rPr>
        <w:t xml:space="preserve"> remains the leading authority regarding the role of public policy in contracts. </w:t>
      </w:r>
      <w:r w:rsidRPr="00346865">
        <w:rPr>
          <w:rFonts w:ascii="Arial" w:hAnsi="Arial" w:cs="Arial"/>
          <w:b/>
          <w:sz w:val="24"/>
          <w:szCs w:val="24"/>
        </w:rPr>
        <w:t>Barkhuizen</w:t>
      </w:r>
      <w:r>
        <w:rPr>
          <w:rFonts w:ascii="Arial" w:hAnsi="Arial" w:cs="Arial"/>
          <w:sz w:val="24"/>
          <w:szCs w:val="24"/>
        </w:rPr>
        <w:t xml:space="preserve"> enunciated a two</w:t>
      </w:r>
      <w:r w:rsidR="00346865">
        <w:rPr>
          <w:rFonts w:ascii="Arial" w:hAnsi="Arial" w:cs="Arial"/>
          <w:sz w:val="24"/>
          <w:szCs w:val="24"/>
        </w:rPr>
        <w:t>-</w:t>
      </w:r>
      <w:r>
        <w:rPr>
          <w:rFonts w:ascii="Arial" w:hAnsi="Arial" w:cs="Arial"/>
          <w:sz w:val="24"/>
          <w:szCs w:val="24"/>
        </w:rPr>
        <w:t xml:space="preserve"> stage approach in determining whether a contractual provision is contrary to public policy. </w:t>
      </w:r>
      <w:r>
        <w:rPr>
          <w:rFonts w:ascii="Arial" w:hAnsi="Arial" w:cs="Arial"/>
          <w:sz w:val="24"/>
          <w:szCs w:val="24"/>
        </w:rPr>
        <w:lastRenderedPageBreak/>
        <w:t xml:space="preserve">In the first stage it is determined whether the provision </w:t>
      </w:r>
      <w:r w:rsidR="00346865">
        <w:rPr>
          <w:rFonts w:ascii="Arial" w:hAnsi="Arial" w:cs="Arial"/>
          <w:sz w:val="24"/>
          <w:szCs w:val="24"/>
        </w:rPr>
        <w:t>i</w:t>
      </w:r>
      <w:r>
        <w:rPr>
          <w:rFonts w:ascii="Arial" w:hAnsi="Arial" w:cs="Arial"/>
          <w:sz w:val="24"/>
          <w:szCs w:val="24"/>
        </w:rPr>
        <w:t xml:space="preserve">s </w:t>
      </w:r>
      <w:r w:rsidRPr="00346865">
        <w:rPr>
          <w:rFonts w:ascii="Arial" w:hAnsi="Arial" w:cs="Arial"/>
          <w:i/>
          <w:sz w:val="24"/>
          <w:szCs w:val="24"/>
        </w:rPr>
        <w:t>p</w:t>
      </w:r>
      <w:r w:rsidR="00346865" w:rsidRPr="00346865">
        <w:rPr>
          <w:rFonts w:ascii="Arial" w:hAnsi="Arial" w:cs="Arial"/>
          <w:i/>
          <w:sz w:val="24"/>
          <w:szCs w:val="24"/>
        </w:rPr>
        <w:t>er</w:t>
      </w:r>
      <w:r w:rsidRPr="00346865">
        <w:rPr>
          <w:rFonts w:ascii="Arial" w:hAnsi="Arial" w:cs="Arial"/>
          <w:i/>
          <w:sz w:val="24"/>
          <w:szCs w:val="24"/>
        </w:rPr>
        <w:t xml:space="preserve"> s</w:t>
      </w:r>
      <w:r w:rsidR="00346865" w:rsidRPr="00346865">
        <w:rPr>
          <w:rFonts w:ascii="Arial" w:hAnsi="Arial" w:cs="Arial"/>
          <w:i/>
          <w:sz w:val="24"/>
          <w:szCs w:val="24"/>
        </w:rPr>
        <w:t>e</w:t>
      </w:r>
      <w:r>
        <w:rPr>
          <w:rFonts w:ascii="Arial" w:hAnsi="Arial" w:cs="Arial"/>
          <w:sz w:val="24"/>
          <w:szCs w:val="24"/>
        </w:rPr>
        <w:t xml:space="preserve"> contrary to public policy</w:t>
      </w:r>
      <w:r w:rsidR="00346865">
        <w:rPr>
          <w:rFonts w:ascii="Arial" w:hAnsi="Arial" w:cs="Arial"/>
          <w:sz w:val="24"/>
          <w:szCs w:val="24"/>
        </w:rPr>
        <w:t xml:space="preserve">.  The </w:t>
      </w:r>
      <w:r w:rsidR="00013331">
        <w:rPr>
          <w:rFonts w:ascii="Arial" w:hAnsi="Arial" w:cs="Arial"/>
          <w:sz w:val="24"/>
          <w:szCs w:val="24"/>
        </w:rPr>
        <w:t>Respondent Trust</w:t>
      </w:r>
      <w:r w:rsidR="00346865">
        <w:rPr>
          <w:rFonts w:ascii="Arial" w:hAnsi="Arial" w:cs="Arial"/>
          <w:sz w:val="24"/>
          <w:szCs w:val="24"/>
        </w:rPr>
        <w:t xml:space="preserve"> does not challenge clause 12.1.2 of the Sub-Lease on the basis that it is </w:t>
      </w:r>
      <w:r w:rsidR="00346865" w:rsidRPr="00346865">
        <w:rPr>
          <w:rFonts w:ascii="Arial" w:hAnsi="Arial" w:cs="Arial"/>
          <w:i/>
          <w:sz w:val="24"/>
          <w:szCs w:val="24"/>
        </w:rPr>
        <w:t>per se</w:t>
      </w:r>
      <w:r w:rsidR="00346865">
        <w:rPr>
          <w:rFonts w:ascii="Arial" w:hAnsi="Arial" w:cs="Arial"/>
          <w:sz w:val="24"/>
          <w:szCs w:val="24"/>
        </w:rPr>
        <w:t xml:space="preserve"> contrary to public policy. The </w:t>
      </w:r>
      <w:r w:rsidR="00013331">
        <w:rPr>
          <w:rFonts w:ascii="Arial" w:hAnsi="Arial" w:cs="Arial"/>
          <w:sz w:val="24"/>
          <w:szCs w:val="24"/>
        </w:rPr>
        <w:t>Respondent Trust</w:t>
      </w:r>
      <w:r w:rsidR="00346865">
        <w:rPr>
          <w:rFonts w:ascii="Arial" w:hAnsi="Arial" w:cs="Arial"/>
          <w:sz w:val="24"/>
          <w:szCs w:val="24"/>
        </w:rPr>
        <w:t xml:space="preserve">’s challenge is focussed on the second stage of the </w:t>
      </w:r>
      <w:r w:rsidR="00346865" w:rsidRPr="00346865">
        <w:rPr>
          <w:rFonts w:ascii="Arial" w:hAnsi="Arial" w:cs="Arial"/>
          <w:b/>
          <w:sz w:val="24"/>
          <w:szCs w:val="24"/>
        </w:rPr>
        <w:t>Barkhuizen</w:t>
      </w:r>
      <w:r w:rsidR="00346865">
        <w:rPr>
          <w:rFonts w:ascii="Arial" w:hAnsi="Arial" w:cs="Arial"/>
          <w:sz w:val="24"/>
          <w:szCs w:val="24"/>
        </w:rPr>
        <w:t xml:space="preserve"> inquiry,</w:t>
      </w:r>
      <w:r w:rsidR="00830132">
        <w:rPr>
          <w:rFonts w:ascii="Arial" w:hAnsi="Arial" w:cs="Arial"/>
          <w:sz w:val="24"/>
          <w:szCs w:val="24"/>
        </w:rPr>
        <w:t xml:space="preserve"> </w:t>
      </w:r>
      <w:r w:rsidR="00346865">
        <w:rPr>
          <w:rFonts w:ascii="Arial" w:hAnsi="Arial" w:cs="Arial"/>
          <w:sz w:val="24"/>
          <w:szCs w:val="24"/>
        </w:rPr>
        <w:t xml:space="preserve">that if the clause is consistent with public policy, whether it should be enforced </w:t>
      </w:r>
      <w:r w:rsidR="00830132">
        <w:rPr>
          <w:rFonts w:ascii="Arial" w:hAnsi="Arial" w:cs="Arial"/>
          <w:sz w:val="24"/>
          <w:szCs w:val="24"/>
        </w:rPr>
        <w:t>taking into consideration</w:t>
      </w:r>
      <w:r w:rsidR="00346865">
        <w:rPr>
          <w:rFonts w:ascii="Arial" w:hAnsi="Arial" w:cs="Arial"/>
          <w:sz w:val="24"/>
          <w:szCs w:val="24"/>
        </w:rPr>
        <w:t xml:space="preserve"> the relevant circumstances. </w:t>
      </w:r>
    </w:p>
    <w:p w:rsidR="00346865" w:rsidRDefault="00346865" w:rsidP="00A2268E">
      <w:pPr>
        <w:widowControl w:val="0"/>
        <w:kinsoku w:val="0"/>
        <w:overflowPunct w:val="0"/>
        <w:autoSpaceDE w:val="0"/>
        <w:autoSpaceDN w:val="0"/>
        <w:adjustRightInd w:val="0"/>
        <w:spacing w:after="0" w:line="360" w:lineRule="auto"/>
        <w:ind w:left="851" w:right="724" w:hanging="851"/>
        <w:jc w:val="both"/>
        <w:rPr>
          <w:rFonts w:ascii="Arial" w:hAnsi="Arial" w:cs="Arial"/>
          <w:sz w:val="24"/>
          <w:szCs w:val="24"/>
        </w:rPr>
      </w:pPr>
    </w:p>
    <w:p w:rsidR="00346865" w:rsidRDefault="00346865" w:rsidP="007949A2">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7949A2">
        <w:rPr>
          <w:rFonts w:ascii="Arial" w:hAnsi="Arial" w:cs="Arial"/>
          <w:sz w:val="24"/>
          <w:szCs w:val="24"/>
        </w:rPr>
        <w:t>7</w:t>
      </w:r>
      <w:r w:rsidR="00B01F57">
        <w:rPr>
          <w:rFonts w:ascii="Arial" w:hAnsi="Arial" w:cs="Arial"/>
          <w:sz w:val="24"/>
          <w:szCs w:val="24"/>
        </w:rPr>
        <w:t>5</w:t>
      </w:r>
      <w:r>
        <w:rPr>
          <w:rFonts w:ascii="Arial" w:hAnsi="Arial" w:cs="Arial"/>
          <w:sz w:val="24"/>
          <w:szCs w:val="24"/>
        </w:rPr>
        <w:t>]</w:t>
      </w:r>
      <w:r>
        <w:rPr>
          <w:rFonts w:ascii="Arial" w:hAnsi="Arial" w:cs="Arial"/>
          <w:sz w:val="24"/>
          <w:szCs w:val="24"/>
        </w:rPr>
        <w:tab/>
      </w:r>
      <w:r w:rsidR="006B2357">
        <w:rPr>
          <w:rFonts w:ascii="Arial" w:hAnsi="Arial" w:cs="Arial"/>
          <w:sz w:val="24"/>
          <w:szCs w:val="24"/>
        </w:rPr>
        <w:t xml:space="preserve">Having regard to the circumstances of the matter at hand the </w:t>
      </w:r>
      <w:r w:rsidR="00103989">
        <w:rPr>
          <w:rFonts w:ascii="Arial" w:hAnsi="Arial" w:cs="Arial"/>
          <w:sz w:val="24"/>
          <w:szCs w:val="24"/>
        </w:rPr>
        <w:t>Applicant Trust</w:t>
      </w:r>
      <w:r w:rsidR="006B2357">
        <w:rPr>
          <w:rFonts w:ascii="Arial" w:hAnsi="Arial" w:cs="Arial"/>
          <w:sz w:val="24"/>
          <w:szCs w:val="24"/>
        </w:rPr>
        <w:t xml:space="preserve">’s conduct is wholly inconsistent with an intention to carry out the strict terms of the Sub-Lease and reflects a clear indication of a commitment to comply with the provisions of FA10. The </w:t>
      </w:r>
      <w:r w:rsidR="00103989">
        <w:rPr>
          <w:rFonts w:ascii="Arial" w:hAnsi="Arial" w:cs="Arial"/>
          <w:sz w:val="24"/>
          <w:szCs w:val="24"/>
        </w:rPr>
        <w:t>Applicant Trust</w:t>
      </w:r>
      <w:r w:rsidR="006B2357">
        <w:rPr>
          <w:rFonts w:ascii="Arial" w:hAnsi="Arial" w:cs="Arial"/>
          <w:sz w:val="24"/>
          <w:szCs w:val="24"/>
        </w:rPr>
        <w:t xml:space="preserve"> a</w:t>
      </w:r>
      <w:r w:rsidR="00830132">
        <w:rPr>
          <w:rFonts w:ascii="Arial" w:hAnsi="Arial" w:cs="Arial"/>
          <w:sz w:val="24"/>
          <w:szCs w:val="24"/>
        </w:rPr>
        <w:t>llowed</w:t>
      </w:r>
      <w:r w:rsidR="006B2357">
        <w:rPr>
          <w:rFonts w:ascii="Arial" w:hAnsi="Arial" w:cs="Arial"/>
          <w:sz w:val="24"/>
          <w:szCs w:val="24"/>
        </w:rPr>
        <w:t xml:space="preserve"> the extended period of 20 days, albeit not as the parties intended per FA10, </w:t>
      </w:r>
      <w:r w:rsidR="00494834">
        <w:rPr>
          <w:rFonts w:ascii="Arial" w:hAnsi="Arial" w:cs="Arial"/>
          <w:sz w:val="24"/>
          <w:szCs w:val="24"/>
        </w:rPr>
        <w:t xml:space="preserve">but by providing an additional period within which the </w:t>
      </w:r>
      <w:r w:rsidR="00013331">
        <w:rPr>
          <w:rFonts w:ascii="Arial" w:hAnsi="Arial" w:cs="Arial"/>
          <w:sz w:val="24"/>
          <w:szCs w:val="24"/>
        </w:rPr>
        <w:t>Respondent Trust</w:t>
      </w:r>
      <w:r w:rsidR="00494834">
        <w:rPr>
          <w:rFonts w:ascii="Arial" w:hAnsi="Arial" w:cs="Arial"/>
          <w:sz w:val="24"/>
          <w:szCs w:val="24"/>
        </w:rPr>
        <w:t xml:space="preserve"> is to rectify its breaches of the Sub-Lease. I am of the view that the application should be dismissed, firstly on the basis that the computation of the period provided to the </w:t>
      </w:r>
      <w:r w:rsidR="00013331">
        <w:rPr>
          <w:rFonts w:ascii="Arial" w:hAnsi="Arial" w:cs="Arial"/>
          <w:sz w:val="24"/>
          <w:szCs w:val="24"/>
        </w:rPr>
        <w:t>Respondent Trust</w:t>
      </w:r>
      <w:r w:rsidR="00494834">
        <w:rPr>
          <w:rFonts w:ascii="Arial" w:hAnsi="Arial" w:cs="Arial"/>
          <w:sz w:val="24"/>
          <w:szCs w:val="24"/>
        </w:rPr>
        <w:t xml:space="preserve"> and also to FirstRand Bank, namely 32 days, does not comply with the time period provided to the </w:t>
      </w:r>
      <w:r w:rsidR="00013331">
        <w:rPr>
          <w:rFonts w:ascii="Arial" w:hAnsi="Arial" w:cs="Arial"/>
          <w:sz w:val="24"/>
          <w:szCs w:val="24"/>
        </w:rPr>
        <w:t>Respondent Trust</w:t>
      </w:r>
      <w:r w:rsidR="00494834">
        <w:rPr>
          <w:rFonts w:ascii="Arial" w:hAnsi="Arial" w:cs="Arial"/>
          <w:sz w:val="24"/>
          <w:szCs w:val="24"/>
        </w:rPr>
        <w:t xml:space="preserve"> as per the letter of demand read with the additional time per FA10.</w:t>
      </w:r>
      <w:r w:rsidR="00BE50C8">
        <w:rPr>
          <w:rFonts w:ascii="Arial" w:hAnsi="Arial" w:cs="Arial"/>
          <w:sz w:val="24"/>
          <w:szCs w:val="24"/>
        </w:rPr>
        <w:t xml:space="preserve"> On a correct interpretation of the letter of demand and FA10, the </w:t>
      </w:r>
      <w:r w:rsidR="00013331">
        <w:rPr>
          <w:rFonts w:ascii="Arial" w:hAnsi="Arial" w:cs="Arial"/>
          <w:sz w:val="24"/>
          <w:szCs w:val="24"/>
        </w:rPr>
        <w:t>Respondent Trust</w:t>
      </w:r>
      <w:r w:rsidR="00BE50C8">
        <w:rPr>
          <w:rFonts w:ascii="Arial" w:hAnsi="Arial" w:cs="Arial"/>
          <w:sz w:val="24"/>
          <w:szCs w:val="24"/>
        </w:rPr>
        <w:t xml:space="preserve"> was afforded 40 days to rectify its breaches. </w:t>
      </w:r>
      <w:r w:rsidR="00F05A32">
        <w:rPr>
          <w:rFonts w:ascii="Arial" w:hAnsi="Arial" w:cs="Arial"/>
          <w:sz w:val="24"/>
          <w:szCs w:val="24"/>
        </w:rPr>
        <w:t>On this basis alone, t</w:t>
      </w:r>
      <w:r w:rsidR="00494834">
        <w:rPr>
          <w:rFonts w:ascii="Arial" w:hAnsi="Arial" w:cs="Arial"/>
          <w:sz w:val="24"/>
          <w:szCs w:val="24"/>
        </w:rPr>
        <w:t>he cancellation is premature</w:t>
      </w:r>
      <w:r w:rsidR="00BE50C8">
        <w:rPr>
          <w:rFonts w:ascii="Arial" w:hAnsi="Arial" w:cs="Arial"/>
          <w:sz w:val="24"/>
          <w:szCs w:val="24"/>
        </w:rPr>
        <w:t xml:space="preserve"> and of no force and effect.</w:t>
      </w:r>
      <w:r w:rsidR="00494834">
        <w:rPr>
          <w:rFonts w:ascii="Arial" w:hAnsi="Arial" w:cs="Arial"/>
          <w:sz w:val="24"/>
          <w:szCs w:val="24"/>
        </w:rPr>
        <w:t xml:space="preserve"> </w:t>
      </w:r>
    </w:p>
    <w:p w:rsidR="00494834" w:rsidRDefault="00494834" w:rsidP="00A2268E">
      <w:pPr>
        <w:widowControl w:val="0"/>
        <w:kinsoku w:val="0"/>
        <w:overflowPunct w:val="0"/>
        <w:autoSpaceDE w:val="0"/>
        <w:autoSpaceDN w:val="0"/>
        <w:adjustRightInd w:val="0"/>
        <w:spacing w:after="0" w:line="360" w:lineRule="auto"/>
        <w:ind w:left="851" w:right="724" w:hanging="851"/>
        <w:jc w:val="both"/>
        <w:rPr>
          <w:rFonts w:ascii="Arial" w:hAnsi="Arial" w:cs="Arial"/>
          <w:sz w:val="24"/>
          <w:szCs w:val="24"/>
        </w:rPr>
      </w:pPr>
    </w:p>
    <w:p w:rsidR="00DE31F0" w:rsidRDefault="00494834" w:rsidP="00F05A32">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F05A32">
        <w:rPr>
          <w:rFonts w:ascii="Arial" w:hAnsi="Arial" w:cs="Arial"/>
          <w:sz w:val="24"/>
          <w:szCs w:val="24"/>
        </w:rPr>
        <w:t>7</w:t>
      </w:r>
      <w:r w:rsidR="00B01F57">
        <w:rPr>
          <w:rFonts w:ascii="Arial" w:hAnsi="Arial" w:cs="Arial"/>
          <w:sz w:val="24"/>
          <w:szCs w:val="24"/>
        </w:rPr>
        <w:t>6</w:t>
      </w:r>
      <w:r>
        <w:rPr>
          <w:rFonts w:ascii="Arial" w:hAnsi="Arial" w:cs="Arial"/>
          <w:sz w:val="24"/>
          <w:szCs w:val="24"/>
        </w:rPr>
        <w:t>]</w:t>
      </w:r>
      <w:r w:rsidR="00BE50C8">
        <w:rPr>
          <w:rFonts w:ascii="Arial" w:hAnsi="Arial" w:cs="Arial"/>
          <w:sz w:val="24"/>
          <w:szCs w:val="24"/>
        </w:rPr>
        <w:tab/>
        <w:t xml:space="preserve">Secondly, the </w:t>
      </w:r>
      <w:r w:rsidR="00103989">
        <w:rPr>
          <w:rFonts w:ascii="Arial" w:hAnsi="Arial" w:cs="Arial"/>
          <w:sz w:val="24"/>
          <w:szCs w:val="24"/>
        </w:rPr>
        <w:t>Applicant Trust</w:t>
      </w:r>
      <w:r w:rsidR="00BE50C8">
        <w:rPr>
          <w:rFonts w:ascii="Arial" w:hAnsi="Arial" w:cs="Arial"/>
          <w:sz w:val="24"/>
          <w:szCs w:val="24"/>
        </w:rPr>
        <w:t xml:space="preserve">’s reliance on the non-variation clause embodied in the Sub-Lease is untenable on the basis that FA10 complies with the basic requirement of a </w:t>
      </w:r>
      <w:r w:rsidR="00BE50C8" w:rsidRPr="00BE50C8">
        <w:rPr>
          <w:rFonts w:ascii="Arial" w:hAnsi="Arial" w:cs="Arial"/>
          <w:i/>
          <w:sz w:val="24"/>
          <w:szCs w:val="24"/>
        </w:rPr>
        <w:t>stipulation alteri</w:t>
      </w:r>
      <w:r w:rsidR="00BE50C8">
        <w:rPr>
          <w:rFonts w:ascii="Arial" w:hAnsi="Arial" w:cs="Arial"/>
          <w:i/>
          <w:sz w:val="24"/>
          <w:szCs w:val="24"/>
        </w:rPr>
        <w:t xml:space="preserve">. </w:t>
      </w:r>
      <w:r w:rsidR="00BE50C8">
        <w:rPr>
          <w:rFonts w:ascii="Arial" w:hAnsi="Arial" w:cs="Arial"/>
          <w:sz w:val="24"/>
          <w:szCs w:val="24"/>
        </w:rPr>
        <w:t xml:space="preserve">The </w:t>
      </w:r>
      <w:r w:rsidR="00103989">
        <w:rPr>
          <w:rFonts w:ascii="Arial" w:hAnsi="Arial" w:cs="Arial"/>
          <w:sz w:val="24"/>
          <w:szCs w:val="24"/>
        </w:rPr>
        <w:t>Applicant Trust</w:t>
      </w:r>
      <w:r w:rsidR="00BE50C8">
        <w:rPr>
          <w:rFonts w:ascii="Arial" w:hAnsi="Arial" w:cs="Arial"/>
          <w:sz w:val="24"/>
          <w:szCs w:val="24"/>
        </w:rPr>
        <w:t xml:space="preserve"> expressly affirmed therein that it would not attempt to cancel the Sub-Lease contrary to the terms of FA10. The Shifren clause contained in the Sub-Lease does not apply to FA10.</w:t>
      </w:r>
      <w:r w:rsidR="00DE31F0">
        <w:rPr>
          <w:rFonts w:ascii="Arial" w:hAnsi="Arial" w:cs="Arial"/>
          <w:sz w:val="24"/>
          <w:szCs w:val="24"/>
        </w:rPr>
        <w:t xml:space="preserve"> In any event the principle of </w:t>
      </w:r>
      <w:r w:rsidR="00DE31F0" w:rsidRPr="00DE31F0">
        <w:rPr>
          <w:rFonts w:ascii="Arial" w:hAnsi="Arial" w:cs="Arial"/>
          <w:i/>
          <w:sz w:val="24"/>
          <w:szCs w:val="24"/>
        </w:rPr>
        <w:t>pacta sunt servanda</w:t>
      </w:r>
      <w:r w:rsidR="00DE31F0">
        <w:rPr>
          <w:rFonts w:ascii="Arial" w:hAnsi="Arial" w:cs="Arial"/>
          <w:sz w:val="24"/>
          <w:szCs w:val="24"/>
        </w:rPr>
        <w:t xml:space="preserve"> equally applies to FA10. </w:t>
      </w:r>
    </w:p>
    <w:p w:rsidR="00DE31F0" w:rsidRDefault="00DE31F0" w:rsidP="00A2268E">
      <w:pPr>
        <w:widowControl w:val="0"/>
        <w:kinsoku w:val="0"/>
        <w:overflowPunct w:val="0"/>
        <w:autoSpaceDE w:val="0"/>
        <w:autoSpaceDN w:val="0"/>
        <w:adjustRightInd w:val="0"/>
        <w:spacing w:after="0" w:line="360" w:lineRule="auto"/>
        <w:ind w:left="851" w:right="724" w:hanging="851"/>
        <w:jc w:val="both"/>
        <w:rPr>
          <w:rFonts w:ascii="Arial" w:hAnsi="Arial" w:cs="Arial"/>
          <w:sz w:val="24"/>
          <w:szCs w:val="24"/>
        </w:rPr>
      </w:pPr>
    </w:p>
    <w:p w:rsidR="007174BF" w:rsidRDefault="00DE31F0" w:rsidP="00F05A32">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F05A32">
        <w:rPr>
          <w:rFonts w:ascii="Arial" w:hAnsi="Arial" w:cs="Arial"/>
          <w:sz w:val="24"/>
          <w:szCs w:val="24"/>
        </w:rPr>
        <w:t>7</w:t>
      </w:r>
      <w:r w:rsidR="00B01F57">
        <w:rPr>
          <w:rFonts w:ascii="Arial" w:hAnsi="Arial" w:cs="Arial"/>
          <w:sz w:val="24"/>
          <w:szCs w:val="24"/>
        </w:rPr>
        <w:t>7</w:t>
      </w:r>
      <w:r>
        <w:rPr>
          <w:rFonts w:ascii="Arial" w:hAnsi="Arial" w:cs="Arial"/>
          <w:sz w:val="24"/>
          <w:szCs w:val="24"/>
        </w:rPr>
        <w:t>]</w:t>
      </w:r>
      <w:r>
        <w:rPr>
          <w:rFonts w:ascii="Arial" w:hAnsi="Arial" w:cs="Arial"/>
          <w:sz w:val="24"/>
          <w:szCs w:val="24"/>
        </w:rPr>
        <w:tab/>
      </w:r>
      <w:r w:rsidR="00BE50C8">
        <w:rPr>
          <w:rFonts w:ascii="Arial" w:hAnsi="Arial" w:cs="Arial"/>
          <w:sz w:val="24"/>
          <w:szCs w:val="24"/>
        </w:rPr>
        <w:t xml:space="preserve"> Furthermore, if the </w:t>
      </w:r>
      <w:r w:rsidR="00103989">
        <w:rPr>
          <w:rFonts w:ascii="Arial" w:hAnsi="Arial" w:cs="Arial"/>
          <w:sz w:val="24"/>
          <w:szCs w:val="24"/>
        </w:rPr>
        <w:t>Applicant Trust</w:t>
      </w:r>
      <w:r w:rsidR="00BE50C8">
        <w:rPr>
          <w:rFonts w:ascii="Arial" w:hAnsi="Arial" w:cs="Arial"/>
          <w:sz w:val="24"/>
          <w:szCs w:val="24"/>
        </w:rPr>
        <w:t xml:space="preserve">’s cancellation of the Sub-Lease </w:t>
      </w:r>
      <w:r w:rsidR="00E7497A">
        <w:rPr>
          <w:rFonts w:ascii="Arial" w:hAnsi="Arial" w:cs="Arial"/>
          <w:sz w:val="24"/>
          <w:szCs w:val="24"/>
        </w:rPr>
        <w:t xml:space="preserve">is allowed contrary to FA10, it would negate FirstRand Bank’s real rights registered over the Sub-Lease. FirstRand Bank </w:t>
      </w:r>
      <w:r>
        <w:rPr>
          <w:rFonts w:ascii="Arial" w:hAnsi="Arial" w:cs="Arial"/>
          <w:sz w:val="24"/>
          <w:szCs w:val="24"/>
        </w:rPr>
        <w:t xml:space="preserve">did not provide its written consent for the release of the Sub-lease from the operation of the mortgage bond in terms of the provisions of section 56(1) of the Deeds Act. The </w:t>
      </w:r>
      <w:r w:rsidR="00103989">
        <w:rPr>
          <w:rFonts w:ascii="Arial" w:hAnsi="Arial" w:cs="Arial"/>
          <w:sz w:val="24"/>
          <w:szCs w:val="24"/>
        </w:rPr>
        <w:t>Applicant Trust</w:t>
      </w:r>
      <w:r>
        <w:rPr>
          <w:rFonts w:ascii="Arial" w:hAnsi="Arial" w:cs="Arial"/>
          <w:sz w:val="24"/>
          <w:szCs w:val="24"/>
        </w:rPr>
        <w:t xml:space="preserve"> did not seek any relief in this regard in its notice of motion. </w:t>
      </w:r>
    </w:p>
    <w:p w:rsidR="007174BF" w:rsidRDefault="007174BF" w:rsidP="00F05A32">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p>
    <w:p w:rsidR="00494834" w:rsidRDefault="007174BF" w:rsidP="00F05A32">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[7</w:t>
      </w:r>
      <w:r w:rsidR="00B01F57">
        <w:rPr>
          <w:rFonts w:ascii="Arial" w:hAnsi="Arial" w:cs="Arial"/>
          <w:sz w:val="24"/>
          <w:szCs w:val="24"/>
        </w:rPr>
        <w:t>8</w:t>
      </w:r>
      <w:r>
        <w:rPr>
          <w:rFonts w:ascii="Arial" w:hAnsi="Arial" w:cs="Arial"/>
          <w:sz w:val="24"/>
          <w:szCs w:val="24"/>
        </w:rPr>
        <w:t>]</w:t>
      </w:r>
      <w:r>
        <w:rPr>
          <w:rFonts w:ascii="Arial" w:hAnsi="Arial" w:cs="Arial"/>
          <w:sz w:val="24"/>
          <w:szCs w:val="24"/>
        </w:rPr>
        <w:tab/>
      </w:r>
      <w:r w:rsidR="009D22B8">
        <w:rPr>
          <w:rFonts w:ascii="Arial" w:hAnsi="Arial" w:cs="Arial"/>
          <w:sz w:val="24"/>
          <w:szCs w:val="24"/>
        </w:rPr>
        <w:t xml:space="preserve">In the event that </w:t>
      </w:r>
      <w:r w:rsidR="00861734">
        <w:rPr>
          <w:rFonts w:ascii="Arial" w:hAnsi="Arial" w:cs="Arial"/>
          <w:sz w:val="24"/>
          <w:szCs w:val="24"/>
        </w:rPr>
        <w:t xml:space="preserve">this court is </w:t>
      </w:r>
      <w:r w:rsidR="009D22B8">
        <w:rPr>
          <w:rFonts w:ascii="Arial" w:hAnsi="Arial" w:cs="Arial"/>
          <w:sz w:val="24"/>
          <w:szCs w:val="24"/>
        </w:rPr>
        <w:t xml:space="preserve">wrong in finding that FA10 amounts to a </w:t>
      </w:r>
      <w:r w:rsidR="009D22B8" w:rsidRPr="009D22B8">
        <w:rPr>
          <w:rFonts w:ascii="Arial" w:hAnsi="Arial" w:cs="Arial"/>
          <w:i/>
          <w:sz w:val="24"/>
          <w:szCs w:val="24"/>
        </w:rPr>
        <w:t>stipulatio alteri</w:t>
      </w:r>
      <w:r w:rsidR="009D22B8">
        <w:rPr>
          <w:rFonts w:ascii="Arial" w:hAnsi="Arial" w:cs="Arial"/>
          <w:sz w:val="24"/>
          <w:szCs w:val="24"/>
        </w:rPr>
        <w:t>, it amounts to a recording of the terms that supplement</w:t>
      </w:r>
      <w:r w:rsidR="00F05A32">
        <w:rPr>
          <w:rFonts w:ascii="Arial" w:hAnsi="Arial" w:cs="Arial"/>
          <w:sz w:val="24"/>
          <w:szCs w:val="24"/>
        </w:rPr>
        <w:t>ed</w:t>
      </w:r>
      <w:r w:rsidR="009D22B8">
        <w:rPr>
          <w:rFonts w:ascii="Arial" w:hAnsi="Arial" w:cs="Arial"/>
          <w:sz w:val="24"/>
          <w:szCs w:val="24"/>
        </w:rPr>
        <w:t xml:space="preserve"> or add</w:t>
      </w:r>
      <w:r w:rsidR="00F05A32">
        <w:rPr>
          <w:rFonts w:ascii="Arial" w:hAnsi="Arial" w:cs="Arial"/>
          <w:sz w:val="24"/>
          <w:szCs w:val="24"/>
        </w:rPr>
        <w:t>ed</w:t>
      </w:r>
      <w:r w:rsidR="009D22B8">
        <w:rPr>
          <w:rFonts w:ascii="Arial" w:hAnsi="Arial" w:cs="Arial"/>
          <w:sz w:val="24"/>
          <w:szCs w:val="24"/>
        </w:rPr>
        <w:t xml:space="preserve"> to the provisions of the Sub-Lease governing the procedure for cancellation thereof. </w:t>
      </w:r>
      <w:r w:rsidR="002659AE">
        <w:rPr>
          <w:rFonts w:ascii="Arial" w:hAnsi="Arial" w:cs="Arial"/>
          <w:sz w:val="24"/>
          <w:szCs w:val="24"/>
        </w:rPr>
        <w:t>To enforce the contractual terms of the Sub-Lease would, having regard to all the facts and circumstances of this matter, be unfair, unreasonable or unduly harsh upon the Respondent Trust and FirstRand Bank. In all the circumstances of this matter, it would be contrary to public</w:t>
      </w:r>
      <w:r>
        <w:rPr>
          <w:rFonts w:ascii="Arial" w:hAnsi="Arial" w:cs="Arial"/>
          <w:sz w:val="24"/>
          <w:szCs w:val="24"/>
        </w:rPr>
        <w:t xml:space="preserve"> policy to cancel the Sub-Lease and to enforce the cancellation clause in that it would be unreasonable, unfair and untenable to disregard FA10 under circumstances where the Applicant Trust agreed to FA10 and implemented the </w:t>
      </w:r>
      <w:r w:rsidR="00861734">
        <w:rPr>
          <w:rFonts w:ascii="Arial" w:hAnsi="Arial" w:cs="Arial"/>
          <w:sz w:val="24"/>
          <w:szCs w:val="24"/>
        </w:rPr>
        <w:t>terms</w:t>
      </w:r>
      <w:r>
        <w:rPr>
          <w:rFonts w:ascii="Arial" w:hAnsi="Arial" w:cs="Arial"/>
          <w:sz w:val="24"/>
          <w:szCs w:val="24"/>
        </w:rPr>
        <w:t xml:space="preserve"> thereof.</w:t>
      </w:r>
    </w:p>
    <w:p w:rsidR="009D22B8" w:rsidRDefault="009D22B8" w:rsidP="00A2268E">
      <w:pPr>
        <w:widowControl w:val="0"/>
        <w:kinsoku w:val="0"/>
        <w:overflowPunct w:val="0"/>
        <w:autoSpaceDE w:val="0"/>
        <w:autoSpaceDN w:val="0"/>
        <w:adjustRightInd w:val="0"/>
        <w:spacing w:after="0" w:line="360" w:lineRule="auto"/>
        <w:ind w:left="851" w:right="724" w:hanging="851"/>
        <w:jc w:val="both"/>
        <w:rPr>
          <w:rFonts w:ascii="Arial" w:hAnsi="Arial" w:cs="Arial"/>
          <w:sz w:val="24"/>
          <w:szCs w:val="24"/>
        </w:rPr>
      </w:pPr>
    </w:p>
    <w:p w:rsidR="009D22B8" w:rsidRDefault="009D22B8" w:rsidP="000070C1">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F05A32">
        <w:rPr>
          <w:rFonts w:ascii="Arial" w:hAnsi="Arial" w:cs="Arial"/>
          <w:sz w:val="24"/>
          <w:szCs w:val="24"/>
        </w:rPr>
        <w:t>7</w:t>
      </w:r>
      <w:r w:rsidR="00B01F57">
        <w:rPr>
          <w:rFonts w:ascii="Arial" w:hAnsi="Arial" w:cs="Arial"/>
          <w:sz w:val="24"/>
          <w:szCs w:val="24"/>
        </w:rPr>
        <w:t>9</w:t>
      </w:r>
      <w:r>
        <w:rPr>
          <w:rFonts w:ascii="Arial" w:hAnsi="Arial" w:cs="Arial"/>
          <w:sz w:val="24"/>
          <w:szCs w:val="24"/>
        </w:rPr>
        <w:t>]</w:t>
      </w:r>
      <w:r>
        <w:rPr>
          <w:rFonts w:ascii="Arial" w:hAnsi="Arial" w:cs="Arial"/>
          <w:sz w:val="24"/>
          <w:szCs w:val="24"/>
        </w:rPr>
        <w:tab/>
        <w:t xml:space="preserve">The Constitutional Court held that </w:t>
      </w:r>
      <w:r w:rsidR="007174BF">
        <w:rPr>
          <w:rFonts w:ascii="Arial" w:hAnsi="Arial" w:cs="Arial"/>
          <w:sz w:val="24"/>
          <w:szCs w:val="24"/>
        </w:rPr>
        <w:t>the impact of the Constitution on the enforcement of contractual terms through</w:t>
      </w:r>
      <w:r w:rsidR="005A631E">
        <w:rPr>
          <w:rFonts w:ascii="Arial" w:hAnsi="Arial" w:cs="Arial"/>
          <w:sz w:val="24"/>
          <w:szCs w:val="24"/>
        </w:rPr>
        <w:t xml:space="preserve"> the determination of public policy</w:t>
      </w:r>
      <w:r w:rsidR="00861734">
        <w:rPr>
          <w:rFonts w:ascii="Arial" w:hAnsi="Arial" w:cs="Arial"/>
          <w:sz w:val="24"/>
          <w:szCs w:val="24"/>
        </w:rPr>
        <w:t>,</w:t>
      </w:r>
      <w:r w:rsidR="005A631E">
        <w:rPr>
          <w:rFonts w:ascii="Arial" w:hAnsi="Arial" w:cs="Arial"/>
          <w:sz w:val="24"/>
          <w:szCs w:val="24"/>
        </w:rPr>
        <w:t xml:space="preserve"> is profound.</w:t>
      </w:r>
      <w:r w:rsidR="005A631E">
        <w:rPr>
          <w:rStyle w:val="FootnoteReference"/>
          <w:rFonts w:ascii="Arial" w:hAnsi="Arial" w:cs="Arial"/>
          <w:sz w:val="24"/>
          <w:szCs w:val="24"/>
        </w:rPr>
        <w:footnoteReference w:id="36"/>
      </w:r>
      <w:r>
        <w:rPr>
          <w:rFonts w:ascii="Arial" w:hAnsi="Arial" w:cs="Arial"/>
          <w:sz w:val="24"/>
          <w:szCs w:val="24"/>
        </w:rPr>
        <w:t xml:space="preserve"> </w:t>
      </w:r>
      <w:r w:rsidR="005A631E">
        <w:rPr>
          <w:rFonts w:ascii="Arial" w:hAnsi="Arial" w:cs="Arial"/>
          <w:sz w:val="24"/>
          <w:szCs w:val="24"/>
        </w:rPr>
        <w:t xml:space="preserve"> The </w:t>
      </w:r>
      <w:r>
        <w:rPr>
          <w:rFonts w:ascii="Arial" w:hAnsi="Arial" w:cs="Arial"/>
          <w:sz w:val="24"/>
          <w:szCs w:val="24"/>
        </w:rPr>
        <w:t>public policy</w:t>
      </w:r>
      <w:r w:rsidR="007174BF">
        <w:rPr>
          <w:rFonts w:ascii="Arial" w:hAnsi="Arial" w:cs="Arial"/>
          <w:sz w:val="24"/>
          <w:szCs w:val="24"/>
        </w:rPr>
        <w:t xml:space="preserve"> </w:t>
      </w:r>
      <w:r>
        <w:rPr>
          <w:rFonts w:ascii="Arial" w:hAnsi="Arial" w:cs="Arial"/>
          <w:sz w:val="24"/>
          <w:szCs w:val="24"/>
        </w:rPr>
        <w:t xml:space="preserve"> imperative to enforce contractual obligations that have been undertaken on a voluntarily basis recognises the autonomy of contracting parties</w:t>
      </w:r>
      <w:r w:rsidR="005A631E">
        <w:rPr>
          <w:rFonts w:ascii="Arial" w:hAnsi="Arial" w:cs="Arial"/>
          <w:sz w:val="24"/>
          <w:szCs w:val="24"/>
        </w:rPr>
        <w:t xml:space="preserve">. In </w:t>
      </w:r>
      <w:r w:rsidR="005A631E" w:rsidRPr="005A631E">
        <w:rPr>
          <w:rFonts w:ascii="Arial" w:hAnsi="Arial" w:cs="Arial"/>
          <w:b/>
          <w:sz w:val="24"/>
          <w:szCs w:val="24"/>
        </w:rPr>
        <w:t>Beadica</w:t>
      </w:r>
      <w:r w:rsidR="005A631E">
        <w:rPr>
          <w:rFonts w:ascii="Arial" w:hAnsi="Arial" w:cs="Arial"/>
          <w:sz w:val="24"/>
          <w:szCs w:val="24"/>
        </w:rPr>
        <w:t xml:space="preserve"> the public policy imperative was explained as follows:</w:t>
      </w:r>
    </w:p>
    <w:p w:rsidR="009D22B8" w:rsidRDefault="009D22B8" w:rsidP="00B01F57">
      <w:pPr>
        <w:widowControl w:val="0"/>
        <w:kinsoku w:val="0"/>
        <w:overflowPunct w:val="0"/>
        <w:autoSpaceDE w:val="0"/>
        <w:autoSpaceDN w:val="0"/>
        <w:adjustRightInd w:val="0"/>
        <w:spacing w:after="0" w:line="360" w:lineRule="auto"/>
        <w:ind w:left="1276" w:right="582" w:hanging="1276"/>
        <w:jc w:val="both"/>
        <w:rPr>
          <w:rFonts w:ascii="Arial" w:hAnsi="Arial" w:cs="Arial"/>
          <w:sz w:val="24"/>
          <w:szCs w:val="24"/>
        </w:rPr>
      </w:pPr>
      <w:r>
        <w:rPr>
          <w:rFonts w:ascii="Arial" w:hAnsi="Arial" w:cs="Arial"/>
          <w:sz w:val="24"/>
          <w:szCs w:val="24"/>
        </w:rPr>
        <w:tab/>
        <w:t>“</w:t>
      </w:r>
      <w:r>
        <w:rPr>
          <w:rFonts w:ascii="Arial" w:hAnsi="Arial" w:cs="Arial"/>
          <w:sz w:val="20"/>
          <w:szCs w:val="20"/>
        </w:rPr>
        <w:t>This imperative provides the requisite legal certainty to allow persons to arrange their affairs in reliance on the undertakings of the other parties to a contract, and</w:t>
      </w:r>
      <w:r w:rsidR="000070C1">
        <w:rPr>
          <w:rFonts w:ascii="Arial" w:hAnsi="Arial" w:cs="Arial"/>
          <w:sz w:val="20"/>
          <w:szCs w:val="20"/>
        </w:rPr>
        <w:t xml:space="preserve"> </w:t>
      </w:r>
      <w:r>
        <w:rPr>
          <w:rFonts w:ascii="Arial" w:hAnsi="Arial" w:cs="Arial"/>
          <w:sz w:val="20"/>
          <w:szCs w:val="20"/>
        </w:rPr>
        <w:t xml:space="preserve">to coordinate their conduct </w:t>
      </w:r>
      <w:r w:rsidR="000070C1">
        <w:rPr>
          <w:rFonts w:ascii="Arial" w:hAnsi="Arial" w:cs="Arial"/>
          <w:sz w:val="20"/>
          <w:szCs w:val="20"/>
        </w:rPr>
        <w:t>for their mutual benefit. While the explanation provided is not the only relevant consideration, it is critical in the overall assessment of whether enforcement would be contrary to public policy in all the particular facts and circumstances of a case.”</w:t>
      </w:r>
      <w:r w:rsidR="000070C1" w:rsidRPr="000070C1">
        <w:rPr>
          <w:rStyle w:val="FootnoteReference"/>
          <w:rFonts w:ascii="Arial" w:hAnsi="Arial" w:cs="Arial"/>
          <w:sz w:val="24"/>
          <w:szCs w:val="24"/>
        </w:rPr>
        <w:t xml:space="preserve"> </w:t>
      </w:r>
      <w:r w:rsidR="005A631E">
        <w:rPr>
          <w:rStyle w:val="FootnoteReference"/>
          <w:rFonts w:ascii="Arial" w:hAnsi="Arial" w:cs="Arial"/>
          <w:sz w:val="24"/>
          <w:szCs w:val="24"/>
        </w:rPr>
        <w:footnoteReference w:id="37"/>
      </w:r>
    </w:p>
    <w:p w:rsidR="000070C1" w:rsidRDefault="000070C1" w:rsidP="000070C1">
      <w:pPr>
        <w:widowControl w:val="0"/>
        <w:tabs>
          <w:tab w:val="left" w:pos="8931"/>
        </w:tabs>
        <w:kinsoku w:val="0"/>
        <w:overflowPunct w:val="0"/>
        <w:autoSpaceDE w:val="0"/>
        <w:autoSpaceDN w:val="0"/>
        <w:adjustRightInd w:val="0"/>
        <w:spacing w:after="0" w:line="360" w:lineRule="auto"/>
        <w:ind w:left="1276" w:right="865" w:hanging="1276"/>
        <w:jc w:val="both"/>
        <w:rPr>
          <w:rFonts w:ascii="Arial" w:hAnsi="Arial" w:cs="Arial"/>
          <w:sz w:val="24"/>
          <w:szCs w:val="24"/>
        </w:rPr>
      </w:pPr>
    </w:p>
    <w:p w:rsidR="004D68F8" w:rsidRDefault="000070C1" w:rsidP="000070C1">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B01F57">
        <w:rPr>
          <w:rFonts w:ascii="Arial" w:hAnsi="Arial" w:cs="Arial"/>
          <w:sz w:val="24"/>
          <w:szCs w:val="24"/>
        </w:rPr>
        <w:t>80</w:t>
      </w:r>
      <w:r>
        <w:rPr>
          <w:rFonts w:ascii="Arial" w:hAnsi="Arial" w:cs="Arial"/>
          <w:sz w:val="24"/>
          <w:szCs w:val="24"/>
        </w:rPr>
        <w:t>]</w:t>
      </w:r>
      <w:r>
        <w:rPr>
          <w:rFonts w:ascii="Arial" w:hAnsi="Arial" w:cs="Arial"/>
          <w:sz w:val="24"/>
          <w:szCs w:val="24"/>
        </w:rPr>
        <w:tab/>
        <w:t xml:space="preserve">The facts of this matter indicate that the </w:t>
      </w:r>
      <w:r w:rsidR="00103989">
        <w:rPr>
          <w:rFonts w:ascii="Arial" w:hAnsi="Arial" w:cs="Arial"/>
          <w:sz w:val="24"/>
          <w:szCs w:val="24"/>
        </w:rPr>
        <w:t>Applicant Trust</w:t>
      </w:r>
      <w:r>
        <w:rPr>
          <w:rFonts w:ascii="Arial" w:hAnsi="Arial" w:cs="Arial"/>
          <w:sz w:val="24"/>
          <w:szCs w:val="24"/>
        </w:rPr>
        <w:t xml:space="preserve"> did not strictly comply with the terms and provisions of the Sub-Lease. Numerous indulgences were afforded to the </w:t>
      </w:r>
      <w:r w:rsidR="00013331">
        <w:rPr>
          <w:rFonts w:ascii="Arial" w:hAnsi="Arial" w:cs="Arial"/>
          <w:sz w:val="24"/>
          <w:szCs w:val="24"/>
        </w:rPr>
        <w:t>Respondent Trust</w:t>
      </w:r>
      <w:r>
        <w:rPr>
          <w:rFonts w:ascii="Arial" w:hAnsi="Arial" w:cs="Arial"/>
          <w:sz w:val="24"/>
          <w:szCs w:val="24"/>
        </w:rPr>
        <w:t xml:space="preserve"> over an extended period of time</w:t>
      </w:r>
      <w:r w:rsidR="004D68F8">
        <w:rPr>
          <w:rFonts w:ascii="Arial" w:hAnsi="Arial" w:cs="Arial"/>
          <w:sz w:val="24"/>
          <w:szCs w:val="24"/>
        </w:rPr>
        <w:t>, regarding non-compliance with the Sub-Lease</w:t>
      </w:r>
      <w:r>
        <w:rPr>
          <w:rFonts w:ascii="Arial" w:hAnsi="Arial" w:cs="Arial"/>
          <w:sz w:val="24"/>
          <w:szCs w:val="24"/>
        </w:rPr>
        <w:t>.</w:t>
      </w:r>
      <w:r w:rsidR="00855E8D">
        <w:rPr>
          <w:rFonts w:ascii="Arial" w:hAnsi="Arial" w:cs="Arial"/>
          <w:sz w:val="24"/>
          <w:szCs w:val="24"/>
        </w:rPr>
        <w:t xml:space="preserve"> The Respondent Trust displayed a long continued course of conduct consistent of defective performance of the Sub-Lease acquiesced </w:t>
      </w:r>
      <w:r w:rsidR="00861734">
        <w:rPr>
          <w:rFonts w:ascii="Arial" w:hAnsi="Arial" w:cs="Arial"/>
          <w:sz w:val="24"/>
          <w:szCs w:val="24"/>
        </w:rPr>
        <w:t>in</w:t>
      </w:r>
      <w:r w:rsidR="00855E8D">
        <w:rPr>
          <w:rFonts w:ascii="Arial" w:hAnsi="Arial" w:cs="Arial"/>
          <w:sz w:val="24"/>
          <w:szCs w:val="24"/>
        </w:rPr>
        <w:t xml:space="preserve"> by the Applicant Trust. </w:t>
      </w:r>
      <w:r w:rsidR="004D68F8">
        <w:rPr>
          <w:rFonts w:ascii="Arial" w:hAnsi="Arial" w:cs="Arial"/>
          <w:sz w:val="24"/>
          <w:szCs w:val="24"/>
        </w:rPr>
        <w:t xml:space="preserve"> The </w:t>
      </w:r>
      <w:r w:rsidR="00103989">
        <w:rPr>
          <w:rFonts w:ascii="Arial" w:hAnsi="Arial" w:cs="Arial"/>
          <w:sz w:val="24"/>
          <w:szCs w:val="24"/>
        </w:rPr>
        <w:t>Applicant Trust</w:t>
      </w:r>
      <w:r w:rsidR="004D68F8">
        <w:rPr>
          <w:rFonts w:ascii="Arial" w:hAnsi="Arial" w:cs="Arial"/>
          <w:sz w:val="24"/>
          <w:szCs w:val="24"/>
        </w:rPr>
        <w:t xml:space="preserve">’s reliance upon the cancellation clause in the Sub-Lease, alternatively upon the </w:t>
      </w:r>
      <w:r w:rsidR="00103989">
        <w:rPr>
          <w:rFonts w:ascii="Arial" w:hAnsi="Arial" w:cs="Arial"/>
          <w:sz w:val="24"/>
          <w:szCs w:val="24"/>
        </w:rPr>
        <w:t>Applicant Trust</w:t>
      </w:r>
      <w:r w:rsidR="004D68F8">
        <w:rPr>
          <w:rFonts w:ascii="Arial" w:hAnsi="Arial" w:cs="Arial"/>
          <w:sz w:val="24"/>
          <w:szCs w:val="24"/>
        </w:rPr>
        <w:t>’s interpretation of how the extended time period should be calculated as per</w:t>
      </w:r>
      <w:r w:rsidR="00861734">
        <w:rPr>
          <w:rFonts w:ascii="Arial" w:hAnsi="Arial" w:cs="Arial"/>
          <w:sz w:val="24"/>
          <w:szCs w:val="24"/>
        </w:rPr>
        <w:t xml:space="preserve"> the terms of</w:t>
      </w:r>
      <w:r w:rsidR="004D68F8">
        <w:rPr>
          <w:rFonts w:ascii="Arial" w:hAnsi="Arial" w:cs="Arial"/>
          <w:sz w:val="24"/>
          <w:szCs w:val="24"/>
        </w:rPr>
        <w:t xml:space="preserve"> FA10 and the letter of demand, is unconscionable having regard to all the circumstances of this matter. </w:t>
      </w:r>
      <w:r>
        <w:rPr>
          <w:rFonts w:ascii="Arial" w:hAnsi="Arial" w:cs="Arial"/>
          <w:sz w:val="24"/>
          <w:szCs w:val="24"/>
        </w:rPr>
        <w:t xml:space="preserve"> </w:t>
      </w:r>
    </w:p>
    <w:p w:rsidR="005A631E" w:rsidRDefault="005A631E" w:rsidP="000070C1">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p>
    <w:p w:rsidR="000070C1" w:rsidRDefault="004D68F8" w:rsidP="000070C1">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855E8D">
        <w:rPr>
          <w:rFonts w:ascii="Arial" w:hAnsi="Arial" w:cs="Arial"/>
          <w:sz w:val="24"/>
          <w:szCs w:val="24"/>
        </w:rPr>
        <w:t>81</w:t>
      </w:r>
      <w:r>
        <w:rPr>
          <w:rFonts w:ascii="Arial" w:hAnsi="Arial" w:cs="Arial"/>
          <w:sz w:val="24"/>
          <w:szCs w:val="24"/>
        </w:rPr>
        <w:t>]</w:t>
      </w:r>
      <w:r>
        <w:rPr>
          <w:rFonts w:ascii="Arial" w:hAnsi="Arial" w:cs="Arial"/>
          <w:sz w:val="24"/>
          <w:szCs w:val="24"/>
        </w:rPr>
        <w:tab/>
        <w:t xml:space="preserve">The </w:t>
      </w:r>
      <w:r w:rsidR="00013331">
        <w:rPr>
          <w:rFonts w:ascii="Arial" w:hAnsi="Arial" w:cs="Arial"/>
          <w:sz w:val="24"/>
          <w:szCs w:val="24"/>
        </w:rPr>
        <w:t>Respondent Trust</w:t>
      </w:r>
      <w:r>
        <w:rPr>
          <w:rFonts w:ascii="Arial" w:hAnsi="Arial" w:cs="Arial"/>
          <w:sz w:val="24"/>
          <w:szCs w:val="24"/>
        </w:rPr>
        <w:t xml:space="preserve"> and FirstRand Bank submit that the enforcement of the </w:t>
      </w:r>
      <w:r w:rsidR="00472271">
        <w:rPr>
          <w:rFonts w:ascii="Arial" w:hAnsi="Arial" w:cs="Arial"/>
          <w:sz w:val="24"/>
          <w:szCs w:val="24"/>
        </w:rPr>
        <w:t xml:space="preserve">strict </w:t>
      </w:r>
      <w:r>
        <w:rPr>
          <w:rFonts w:ascii="Arial" w:hAnsi="Arial" w:cs="Arial"/>
          <w:sz w:val="24"/>
          <w:szCs w:val="24"/>
        </w:rPr>
        <w:t>terms of the Sub-Lease</w:t>
      </w:r>
      <w:r w:rsidR="005A631E">
        <w:rPr>
          <w:rFonts w:ascii="Arial" w:hAnsi="Arial" w:cs="Arial"/>
          <w:sz w:val="24"/>
          <w:szCs w:val="24"/>
        </w:rPr>
        <w:t xml:space="preserve"> </w:t>
      </w:r>
      <w:r>
        <w:rPr>
          <w:rFonts w:ascii="Arial" w:hAnsi="Arial" w:cs="Arial"/>
          <w:sz w:val="24"/>
          <w:szCs w:val="24"/>
        </w:rPr>
        <w:t xml:space="preserve">in respect of the cancellation thereof, would be contrary to public policy. I am satisfied that the respondents provided </w:t>
      </w:r>
      <w:r w:rsidR="005A631E">
        <w:rPr>
          <w:rFonts w:ascii="Arial" w:hAnsi="Arial" w:cs="Arial"/>
          <w:sz w:val="24"/>
          <w:szCs w:val="24"/>
        </w:rPr>
        <w:t>a</w:t>
      </w:r>
      <w:r>
        <w:rPr>
          <w:rFonts w:ascii="Arial" w:hAnsi="Arial" w:cs="Arial"/>
          <w:sz w:val="24"/>
          <w:szCs w:val="24"/>
        </w:rPr>
        <w:t xml:space="preserve"> sufficient</w:t>
      </w:r>
      <w:r w:rsidR="00472271">
        <w:rPr>
          <w:rFonts w:ascii="Arial" w:hAnsi="Arial" w:cs="Arial"/>
          <w:sz w:val="24"/>
          <w:szCs w:val="24"/>
        </w:rPr>
        <w:t xml:space="preserve"> and </w:t>
      </w:r>
      <w:r w:rsidR="00BF033D">
        <w:rPr>
          <w:rFonts w:ascii="Arial" w:hAnsi="Arial" w:cs="Arial"/>
          <w:sz w:val="24"/>
          <w:szCs w:val="24"/>
        </w:rPr>
        <w:t>adequate explanation</w:t>
      </w:r>
      <w:r>
        <w:rPr>
          <w:rFonts w:ascii="Arial" w:hAnsi="Arial" w:cs="Arial"/>
          <w:sz w:val="24"/>
          <w:szCs w:val="24"/>
        </w:rPr>
        <w:t xml:space="preserve"> </w:t>
      </w:r>
      <w:r w:rsidR="00472271">
        <w:rPr>
          <w:rFonts w:ascii="Arial" w:hAnsi="Arial" w:cs="Arial"/>
          <w:sz w:val="24"/>
          <w:szCs w:val="24"/>
        </w:rPr>
        <w:t>how the enforcement of the terms of the Sub-Lease</w:t>
      </w:r>
      <w:r w:rsidR="00855E8D">
        <w:rPr>
          <w:rFonts w:ascii="Arial" w:hAnsi="Arial" w:cs="Arial"/>
          <w:sz w:val="24"/>
          <w:szCs w:val="24"/>
        </w:rPr>
        <w:t xml:space="preserve"> and the Applicant Trust’s reliance upon the non-variation clause,</w:t>
      </w:r>
      <w:r w:rsidR="00472271">
        <w:rPr>
          <w:rFonts w:ascii="Arial" w:hAnsi="Arial" w:cs="Arial"/>
          <w:sz w:val="24"/>
          <w:szCs w:val="24"/>
        </w:rPr>
        <w:t xml:space="preserve"> would be contrary to public policy. </w:t>
      </w:r>
      <w:r w:rsidR="005A631E">
        <w:rPr>
          <w:rFonts w:ascii="Arial" w:hAnsi="Arial" w:cs="Arial"/>
          <w:sz w:val="24"/>
          <w:szCs w:val="24"/>
        </w:rPr>
        <w:t xml:space="preserve">The respondents have succeeded </w:t>
      </w:r>
      <w:r w:rsidR="00DC6113">
        <w:rPr>
          <w:rFonts w:ascii="Arial" w:hAnsi="Arial" w:cs="Arial"/>
          <w:sz w:val="24"/>
          <w:szCs w:val="24"/>
        </w:rPr>
        <w:t>in discharging the onus resting on them to demonstrate that</w:t>
      </w:r>
      <w:r w:rsidR="00861734">
        <w:rPr>
          <w:rFonts w:ascii="Arial" w:hAnsi="Arial" w:cs="Arial"/>
          <w:sz w:val="24"/>
          <w:szCs w:val="24"/>
        </w:rPr>
        <w:t>,</w:t>
      </w:r>
      <w:r w:rsidR="00DC6113">
        <w:rPr>
          <w:rFonts w:ascii="Arial" w:hAnsi="Arial" w:cs="Arial"/>
          <w:sz w:val="24"/>
          <w:szCs w:val="24"/>
        </w:rPr>
        <w:t xml:space="preserve"> in the circumstances of this case, the enforcement of the cancellation of the Sub-Lease would be contrary to public policy.  There is no reason that cost should not follow the result. </w:t>
      </w:r>
    </w:p>
    <w:p w:rsidR="00472271" w:rsidRDefault="00472271" w:rsidP="000070C1">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p>
    <w:p w:rsidR="00855E8D" w:rsidRDefault="00855E8D" w:rsidP="000070C1">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p>
    <w:p w:rsidR="00472271" w:rsidRDefault="00472271" w:rsidP="000070C1">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w:t>
      </w:r>
      <w:r w:rsidR="00855E8D">
        <w:rPr>
          <w:rFonts w:ascii="Arial" w:hAnsi="Arial" w:cs="Arial"/>
          <w:sz w:val="24"/>
          <w:szCs w:val="24"/>
        </w:rPr>
        <w:t>82</w:t>
      </w:r>
      <w:r>
        <w:rPr>
          <w:rFonts w:ascii="Arial" w:hAnsi="Arial" w:cs="Arial"/>
          <w:sz w:val="24"/>
          <w:szCs w:val="24"/>
        </w:rPr>
        <w:t>]</w:t>
      </w:r>
      <w:r>
        <w:rPr>
          <w:rFonts w:ascii="Arial" w:hAnsi="Arial" w:cs="Arial"/>
          <w:sz w:val="24"/>
          <w:szCs w:val="24"/>
        </w:rPr>
        <w:tab/>
      </w:r>
      <w:r w:rsidRPr="00855E8D">
        <w:rPr>
          <w:rFonts w:ascii="Arial" w:hAnsi="Arial" w:cs="Arial"/>
          <w:sz w:val="24"/>
          <w:szCs w:val="24"/>
          <w:u w:val="single"/>
        </w:rPr>
        <w:t>ORDER</w:t>
      </w:r>
      <w:r>
        <w:rPr>
          <w:rFonts w:ascii="Arial" w:hAnsi="Arial" w:cs="Arial"/>
          <w:sz w:val="24"/>
          <w:szCs w:val="24"/>
        </w:rPr>
        <w:t>:</w:t>
      </w:r>
    </w:p>
    <w:p w:rsidR="00855E8D" w:rsidRDefault="00855E8D" w:rsidP="000070C1">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p>
    <w:p w:rsidR="00472271" w:rsidRDefault="00472271" w:rsidP="000070C1">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r>
        <w:rPr>
          <w:rFonts w:ascii="Arial" w:hAnsi="Arial" w:cs="Arial"/>
          <w:sz w:val="24"/>
          <w:szCs w:val="24"/>
        </w:rPr>
        <w:tab/>
      </w:r>
    </w:p>
    <w:p w:rsidR="00472271" w:rsidRPr="00472271" w:rsidRDefault="00472271" w:rsidP="00472271">
      <w:pPr>
        <w:pStyle w:val="ListParagraph"/>
        <w:widowControl w:val="0"/>
        <w:numPr>
          <w:ilvl w:val="0"/>
          <w:numId w:val="3"/>
        </w:numPr>
        <w:kinsoku w:val="0"/>
        <w:overflowPunct w:val="0"/>
        <w:autoSpaceDE w:val="0"/>
        <w:autoSpaceDN w:val="0"/>
        <w:adjustRightInd w:val="0"/>
        <w:spacing w:after="0" w:line="360" w:lineRule="auto"/>
        <w:ind w:right="15"/>
        <w:jc w:val="both"/>
        <w:rPr>
          <w:rFonts w:ascii="Arial" w:hAnsi="Arial" w:cs="Arial"/>
          <w:sz w:val="24"/>
          <w:szCs w:val="24"/>
        </w:rPr>
      </w:pPr>
      <w:r>
        <w:rPr>
          <w:rFonts w:ascii="Arial" w:hAnsi="Arial" w:cs="Arial"/>
          <w:sz w:val="24"/>
          <w:szCs w:val="24"/>
        </w:rPr>
        <w:t xml:space="preserve">The application is dismissed with costs, including the costs of two counsel. </w:t>
      </w:r>
    </w:p>
    <w:p w:rsidR="00472271" w:rsidRDefault="00472271" w:rsidP="000070C1">
      <w:pPr>
        <w:widowControl w:val="0"/>
        <w:kinsoku w:val="0"/>
        <w:overflowPunct w:val="0"/>
        <w:autoSpaceDE w:val="0"/>
        <w:autoSpaceDN w:val="0"/>
        <w:adjustRightInd w:val="0"/>
        <w:spacing w:after="0" w:line="360" w:lineRule="auto"/>
        <w:ind w:left="851" w:right="15" w:hanging="851"/>
        <w:jc w:val="both"/>
        <w:rPr>
          <w:rFonts w:ascii="Arial" w:hAnsi="Arial" w:cs="Arial"/>
          <w:sz w:val="24"/>
          <w:szCs w:val="24"/>
        </w:rPr>
      </w:pPr>
    </w:p>
    <w:p w:rsidR="00C66515" w:rsidRDefault="00C66515" w:rsidP="00DC6113">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eastAsia="en-ZA"/>
        </w:rPr>
      </w:pPr>
    </w:p>
    <w:p w:rsidR="00DC6113" w:rsidRDefault="00DC6113" w:rsidP="00DC6113">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eastAsia="en-ZA"/>
        </w:rPr>
      </w:pPr>
    </w:p>
    <w:p w:rsidR="00DC6113" w:rsidRPr="00E3098E" w:rsidRDefault="00DC6113" w:rsidP="00DC6113">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eastAsia="en-ZA"/>
        </w:rPr>
      </w:pPr>
    </w:p>
    <w:p w:rsidR="00DA7F3A" w:rsidRPr="00E3098E" w:rsidRDefault="00DA7F3A" w:rsidP="00DC6113">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eastAsia="en-ZA"/>
        </w:rPr>
      </w:pPr>
      <w:r w:rsidRPr="00E3098E">
        <w:rPr>
          <w:rFonts w:ascii="Arial" w:eastAsiaTheme="minorEastAsia" w:hAnsi="Arial" w:cs="Arial"/>
          <w:color w:val="000000" w:themeColor="text1"/>
          <w:sz w:val="24"/>
          <w:szCs w:val="24"/>
          <w:lang w:eastAsia="en-ZA"/>
        </w:rPr>
        <w:t>______________________</w:t>
      </w:r>
    </w:p>
    <w:p w:rsidR="00DA7F3A" w:rsidRPr="00E3098E" w:rsidRDefault="00DA7F3A" w:rsidP="00DC6113">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eastAsia="en-ZA"/>
        </w:rPr>
      </w:pPr>
      <w:r w:rsidRPr="00E3098E">
        <w:rPr>
          <w:rFonts w:ascii="Arial" w:eastAsiaTheme="minorEastAsia" w:hAnsi="Arial" w:cs="Arial"/>
          <w:color w:val="000000" w:themeColor="text1"/>
          <w:sz w:val="24"/>
          <w:szCs w:val="24"/>
          <w:lang w:eastAsia="en-ZA"/>
        </w:rPr>
        <w:t xml:space="preserve">I VAN RHYN </w:t>
      </w:r>
    </w:p>
    <w:p w:rsidR="00DA7F3A" w:rsidRPr="00E3098E" w:rsidRDefault="00DA7F3A" w:rsidP="00DC6113">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eastAsia="en-ZA"/>
        </w:rPr>
      </w:pPr>
      <w:r w:rsidRPr="00E3098E">
        <w:rPr>
          <w:rFonts w:ascii="Arial" w:eastAsiaTheme="minorEastAsia" w:hAnsi="Arial" w:cs="Arial"/>
          <w:color w:val="000000" w:themeColor="text1"/>
          <w:sz w:val="24"/>
          <w:szCs w:val="24"/>
          <w:lang w:eastAsia="en-ZA"/>
        </w:rPr>
        <w:t>JUDGE OF THE HIGH COURT,</w:t>
      </w:r>
    </w:p>
    <w:p w:rsidR="00DA7F3A" w:rsidRPr="00E3098E" w:rsidRDefault="00DA7F3A" w:rsidP="00DC6113">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eastAsia="en-ZA"/>
        </w:rPr>
      </w:pPr>
      <w:r w:rsidRPr="00E3098E">
        <w:rPr>
          <w:rFonts w:ascii="Arial" w:eastAsiaTheme="minorEastAsia" w:hAnsi="Arial" w:cs="Arial"/>
          <w:color w:val="000000" w:themeColor="text1"/>
          <w:sz w:val="24"/>
          <w:szCs w:val="24"/>
          <w:lang w:eastAsia="en-ZA"/>
        </w:rPr>
        <w:t xml:space="preserve"> FREE STATE DIVISION, BLOEMFONTEIN</w:t>
      </w:r>
    </w:p>
    <w:p w:rsidR="00DA7F3A" w:rsidRPr="00E3098E" w:rsidRDefault="00DA7F3A" w:rsidP="00DC6113">
      <w:pPr>
        <w:widowControl w:val="0"/>
        <w:kinsoku w:val="0"/>
        <w:overflowPunct w:val="0"/>
        <w:autoSpaceDE w:val="0"/>
        <w:autoSpaceDN w:val="0"/>
        <w:adjustRightInd w:val="0"/>
        <w:spacing w:after="0" w:line="360" w:lineRule="auto"/>
        <w:ind w:left="1418" w:hanging="567"/>
        <w:jc w:val="right"/>
        <w:rPr>
          <w:rFonts w:ascii="Arial" w:eastAsiaTheme="minorEastAsia" w:hAnsi="Arial" w:cs="Arial"/>
          <w:color w:val="000000" w:themeColor="text1"/>
          <w:sz w:val="24"/>
          <w:szCs w:val="24"/>
          <w:lang w:eastAsia="en-ZA"/>
        </w:rPr>
      </w:pPr>
    </w:p>
    <w:p w:rsidR="00DA7F3A" w:rsidRPr="00E3098E" w:rsidRDefault="00DA7F3A" w:rsidP="00E3098E">
      <w:pPr>
        <w:widowControl w:val="0"/>
        <w:kinsoku w:val="0"/>
        <w:overflowPunct w:val="0"/>
        <w:autoSpaceDE w:val="0"/>
        <w:autoSpaceDN w:val="0"/>
        <w:adjustRightInd w:val="0"/>
        <w:spacing w:after="0" w:line="360" w:lineRule="auto"/>
        <w:ind w:left="1418" w:hanging="567"/>
        <w:jc w:val="both"/>
        <w:rPr>
          <w:rFonts w:ascii="Arial" w:eastAsiaTheme="minorEastAsia" w:hAnsi="Arial" w:cs="Arial"/>
          <w:color w:val="000000" w:themeColor="text1"/>
          <w:sz w:val="24"/>
          <w:szCs w:val="24"/>
          <w:lang w:eastAsia="en-ZA"/>
        </w:rPr>
      </w:pPr>
    </w:p>
    <w:p w:rsidR="00DA7F3A" w:rsidRPr="00E3098E" w:rsidRDefault="00DA7F3A" w:rsidP="00E3098E">
      <w:pPr>
        <w:widowControl w:val="0"/>
        <w:kinsoku w:val="0"/>
        <w:overflowPunct w:val="0"/>
        <w:autoSpaceDE w:val="0"/>
        <w:autoSpaceDN w:val="0"/>
        <w:adjustRightInd w:val="0"/>
        <w:spacing w:after="0" w:line="360" w:lineRule="auto"/>
        <w:ind w:left="1418" w:hanging="567"/>
        <w:jc w:val="both"/>
        <w:rPr>
          <w:rFonts w:ascii="Arial" w:eastAsiaTheme="minorEastAsia" w:hAnsi="Arial" w:cs="Arial"/>
          <w:color w:val="000000" w:themeColor="text1"/>
          <w:sz w:val="24"/>
          <w:szCs w:val="24"/>
          <w:lang w:eastAsia="en-ZA"/>
        </w:rPr>
      </w:pPr>
    </w:p>
    <w:p w:rsidR="00DA7F3A" w:rsidRPr="00E3098E" w:rsidRDefault="00DA7F3A" w:rsidP="00E3098E">
      <w:pPr>
        <w:widowControl w:val="0"/>
        <w:kinsoku w:val="0"/>
        <w:overflowPunct w:val="0"/>
        <w:autoSpaceDE w:val="0"/>
        <w:autoSpaceDN w:val="0"/>
        <w:adjustRightInd w:val="0"/>
        <w:spacing w:after="0" w:line="360" w:lineRule="auto"/>
        <w:ind w:left="1418" w:hanging="567"/>
        <w:jc w:val="both"/>
        <w:rPr>
          <w:rFonts w:ascii="Arial" w:eastAsiaTheme="minorEastAsia" w:hAnsi="Arial" w:cs="Arial"/>
          <w:color w:val="000000" w:themeColor="text1"/>
          <w:sz w:val="24"/>
          <w:szCs w:val="24"/>
          <w:lang w:eastAsia="en-ZA"/>
        </w:rPr>
      </w:pPr>
    </w:p>
    <w:p w:rsidR="00DA7F3A" w:rsidRDefault="00DA7F3A" w:rsidP="00855E8D">
      <w:pPr>
        <w:widowControl w:val="0"/>
        <w:kinsoku w:val="0"/>
        <w:overflowPunct w:val="0"/>
        <w:autoSpaceDE w:val="0"/>
        <w:autoSpaceDN w:val="0"/>
        <w:adjustRightInd w:val="0"/>
        <w:spacing w:after="0" w:line="240" w:lineRule="auto"/>
        <w:jc w:val="both"/>
        <w:rPr>
          <w:rFonts w:ascii="Arial" w:hAnsi="Arial" w:cs="Arial"/>
          <w:b/>
          <w:sz w:val="24"/>
          <w:szCs w:val="24"/>
        </w:rPr>
      </w:pPr>
      <w:r w:rsidRPr="00E3098E">
        <w:rPr>
          <w:rFonts w:ascii="Arial" w:hAnsi="Arial" w:cs="Arial"/>
          <w:sz w:val="24"/>
          <w:szCs w:val="24"/>
        </w:rPr>
        <w:t>On behalf of the Applicant:</w:t>
      </w:r>
      <w:r w:rsidRPr="00E3098E">
        <w:rPr>
          <w:rFonts w:ascii="Arial" w:hAnsi="Arial" w:cs="Arial"/>
          <w:b/>
          <w:sz w:val="24"/>
          <w:szCs w:val="24"/>
        </w:rPr>
        <w:t xml:space="preserve">                                                                     ADV. </w:t>
      </w:r>
      <w:r w:rsidR="00DC6113">
        <w:rPr>
          <w:rFonts w:ascii="Arial" w:hAnsi="Arial" w:cs="Arial"/>
          <w:b/>
          <w:sz w:val="24"/>
          <w:szCs w:val="24"/>
        </w:rPr>
        <w:t>S GROBLER SC</w:t>
      </w:r>
    </w:p>
    <w:p w:rsidR="00DC6113" w:rsidRPr="00E3098E" w:rsidRDefault="00DC6113" w:rsidP="00855E8D">
      <w:pPr>
        <w:widowControl w:val="0"/>
        <w:kinsoku w:val="0"/>
        <w:overflowPunct w:val="0"/>
        <w:autoSpaceDE w:val="0"/>
        <w:autoSpaceDN w:val="0"/>
        <w:adjustRightInd w:val="0"/>
        <w:spacing w:after="0" w:line="240" w:lineRule="auto"/>
        <w:jc w:val="right"/>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ADV. R VAN DER MERWE</w:t>
      </w:r>
    </w:p>
    <w:p w:rsidR="00DC6113" w:rsidRDefault="00DC6113" w:rsidP="00855E8D">
      <w:pPr>
        <w:widowControl w:val="0"/>
        <w:kinsoku w:val="0"/>
        <w:overflowPunct w:val="0"/>
        <w:autoSpaceDE w:val="0"/>
        <w:autoSpaceDN w:val="0"/>
        <w:adjustRightInd w:val="0"/>
        <w:spacing w:after="0" w:line="240" w:lineRule="auto"/>
        <w:jc w:val="both"/>
        <w:rPr>
          <w:rFonts w:ascii="Arial" w:hAnsi="Arial" w:cs="Arial"/>
          <w:sz w:val="24"/>
          <w:szCs w:val="24"/>
        </w:rPr>
      </w:pPr>
    </w:p>
    <w:p w:rsidR="00DA7F3A" w:rsidRPr="00E3098E" w:rsidRDefault="00DA7F3A" w:rsidP="00E3098E">
      <w:pPr>
        <w:widowControl w:val="0"/>
        <w:kinsoku w:val="0"/>
        <w:overflowPunct w:val="0"/>
        <w:autoSpaceDE w:val="0"/>
        <w:autoSpaceDN w:val="0"/>
        <w:adjustRightInd w:val="0"/>
        <w:spacing w:after="0" w:line="360" w:lineRule="auto"/>
        <w:jc w:val="both"/>
        <w:rPr>
          <w:rFonts w:ascii="Arial" w:hAnsi="Arial" w:cs="Arial"/>
          <w:sz w:val="24"/>
          <w:szCs w:val="24"/>
        </w:rPr>
      </w:pPr>
      <w:r w:rsidRPr="00E3098E">
        <w:rPr>
          <w:rFonts w:ascii="Arial" w:hAnsi="Arial" w:cs="Arial"/>
          <w:sz w:val="24"/>
          <w:szCs w:val="24"/>
        </w:rPr>
        <w:t xml:space="preserve"> Instructed by:                               </w:t>
      </w:r>
      <w:r w:rsidRPr="00E3098E">
        <w:rPr>
          <w:rFonts w:ascii="Arial" w:hAnsi="Arial" w:cs="Arial"/>
          <w:sz w:val="24"/>
          <w:szCs w:val="24"/>
        </w:rPr>
        <w:tab/>
      </w:r>
      <w:r w:rsidRPr="00E3098E">
        <w:rPr>
          <w:rFonts w:ascii="Arial" w:hAnsi="Arial" w:cs="Arial"/>
          <w:sz w:val="24"/>
          <w:szCs w:val="24"/>
        </w:rPr>
        <w:tab/>
        <w:t xml:space="preserve"> </w:t>
      </w:r>
      <w:r w:rsidR="00DC6113">
        <w:rPr>
          <w:rFonts w:ascii="Arial" w:hAnsi="Arial" w:cs="Arial"/>
          <w:sz w:val="24"/>
          <w:szCs w:val="24"/>
        </w:rPr>
        <w:t xml:space="preserve">                      </w:t>
      </w:r>
      <w:r w:rsidRPr="00E3098E">
        <w:rPr>
          <w:rFonts w:ascii="Arial" w:hAnsi="Arial" w:cs="Arial"/>
          <w:sz w:val="24"/>
          <w:szCs w:val="24"/>
        </w:rPr>
        <w:t xml:space="preserve">      </w:t>
      </w:r>
      <w:r w:rsidR="00DC6113">
        <w:rPr>
          <w:rFonts w:ascii="Arial" w:hAnsi="Arial" w:cs="Arial"/>
          <w:sz w:val="24"/>
          <w:szCs w:val="24"/>
        </w:rPr>
        <w:t>McINTYRE VAN DER POST</w:t>
      </w:r>
      <w:r w:rsidRPr="00E3098E">
        <w:rPr>
          <w:rFonts w:ascii="Arial" w:hAnsi="Arial" w:cs="Arial"/>
          <w:sz w:val="24"/>
          <w:szCs w:val="24"/>
        </w:rPr>
        <w:t xml:space="preserve"> INC          </w:t>
      </w:r>
    </w:p>
    <w:p w:rsidR="00DA7F3A" w:rsidRPr="00FA4806" w:rsidRDefault="00DA7F3A" w:rsidP="00DC6113">
      <w:pPr>
        <w:widowControl w:val="0"/>
        <w:kinsoku w:val="0"/>
        <w:overflowPunct w:val="0"/>
        <w:autoSpaceDE w:val="0"/>
        <w:autoSpaceDN w:val="0"/>
        <w:adjustRightInd w:val="0"/>
        <w:spacing w:after="0" w:line="360" w:lineRule="auto"/>
        <w:jc w:val="right"/>
        <w:rPr>
          <w:rFonts w:ascii="Arial" w:hAnsi="Arial" w:cs="Arial"/>
          <w:b/>
          <w:sz w:val="24"/>
          <w:szCs w:val="24"/>
        </w:rPr>
      </w:pPr>
      <w:r w:rsidRPr="00E3098E">
        <w:rPr>
          <w:rFonts w:ascii="Arial" w:hAnsi="Arial" w:cs="Arial"/>
          <w:sz w:val="24"/>
          <w:szCs w:val="24"/>
        </w:rPr>
        <w:t xml:space="preserve">                                                                    </w:t>
      </w:r>
      <w:r w:rsidR="00DC6113">
        <w:rPr>
          <w:rFonts w:ascii="Arial" w:hAnsi="Arial" w:cs="Arial"/>
          <w:sz w:val="24"/>
          <w:szCs w:val="24"/>
        </w:rPr>
        <w:t xml:space="preserve">                                       </w:t>
      </w:r>
      <w:r>
        <w:rPr>
          <w:rFonts w:ascii="Arial" w:hAnsi="Arial" w:cs="Arial"/>
          <w:sz w:val="24"/>
          <w:szCs w:val="24"/>
        </w:rPr>
        <w:tab/>
        <w:t>BLOEMFONTEIN</w:t>
      </w:r>
    </w:p>
    <w:p w:rsidR="00DA7F3A" w:rsidRPr="00FA4806" w:rsidRDefault="00DA7F3A" w:rsidP="00DA7F3A">
      <w:pPr>
        <w:keepNext/>
        <w:spacing w:line="240" w:lineRule="auto"/>
        <w:jc w:val="right"/>
        <w:outlineLvl w:val="6"/>
        <w:rPr>
          <w:rFonts w:ascii="Arial" w:hAnsi="Arial" w:cs="Arial"/>
          <w:sz w:val="24"/>
          <w:szCs w:val="24"/>
        </w:rPr>
      </w:pPr>
      <w:r w:rsidRPr="00FA4806">
        <w:rPr>
          <w:rFonts w:ascii="Arial" w:hAnsi="Arial" w:cs="Arial"/>
          <w:sz w:val="24"/>
          <w:szCs w:val="24"/>
        </w:rPr>
        <w:lastRenderedPageBreak/>
        <w:t xml:space="preserve"> </w:t>
      </w:r>
    </w:p>
    <w:p w:rsidR="00DC6113" w:rsidRDefault="00DA7F3A" w:rsidP="00DA7F3A">
      <w:pPr>
        <w:spacing w:line="240" w:lineRule="auto"/>
        <w:jc w:val="both"/>
        <w:rPr>
          <w:rFonts w:ascii="Arial" w:hAnsi="Arial" w:cs="Arial"/>
          <w:b/>
          <w:sz w:val="24"/>
          <w:szCs w:val="24"/>
        </w:rPr>
      </w:pPr>
      <w:r w:rsidRPr="00FA4806">
        <w:rPr>
          <w:rFonts w:ascii="Arial" w:hAnsi="Arial" w:cs="Arial"/>
          <w:sz w:val="24"/>
          <w:szCs w:val="24"/>
        </w:rPr>
        <w:t>On behalf of the Respondent</w:t>
      </w:r>
      <w:r w:rsidR="00DC6113">
        <w:rPr>
          <w:rFonts w:ascii="Arial" w:hAnsi="Arial" w:cs="Arial"/>
          <w:sz w:val="24"/>
          <w:szCs w:val="24"/>
        </w:rPr>
        <w:t>s</w:t>
      </w:r>
      <w:r w:rsidRPr="00FA4806">
        <w:rPr>
          <w:rFonts w:ascii="Arial" w:hAnsi="Arial" w:cs="Arial"/>
          <w:sz w:val="24"/>
          <w:szCs w:val="24"/>
        </w:rPr>
        <w:t xml:space="preserve">:                                                   </w:t>
      </w:r>
      <w:r w:rsidR="00DC6113">
        <w:rPr>
          <w:rFonts w:ascii="Arial" w:hAnsi="Arial" w:cs="Arial"/>
          <w:sz w:val="24"/>
          <w:szCs w:val="24"/>
        </w:rPr>
        <w:t xml:space="preserve">               </w:t>
      </w:r>
      <w:r>
        <w:rPr>
          <w:rFonts w:ascii="Arial" w:hAnsi="Arial" w:cs="Arial"/>
          <w:sz w:val="24"/>
          <w:szCs w:val="24"/>
        </w:rPr>
        <w:t xml:space="preserve">  </w:t>
      </w:r>
      <w:r w:rsidRPr="00FA4806">
        <w:rPr>
          <w:rFonts w:ascii="Arial" w:hAnsi="Arial" w:cs="Arial"/>
          <w:sz w:val="24"/>
          <w:szCs w:val="24"/>
        </w:rPr>
        <w:t xml:space="preserve">  </w:t>
      </w:r>
      <w:r w:rsidRPr="00FA4806">
        <w:rPr>
          <w:rFonts w:ascii="Arial" w:hAnsi="Arial" w:cs="Arial"/>
          <w:b/>
          <w:sz w:val="24"/>
          <w:szCs w:val="24"/>
        </w:rPr>
        <w:t>ADV.</w:t>
      </w:r>
      <w:r>
        <w:rPr>
          <w:rFonts w:ascii="Arial" w:hAnsi="Arial" w:cs="Arial"/>
          <w:b/>
          <w:sz w:val="24"/>
          <w:szCs w:val="24"/>
        </w:rPr>
        <w:t xml:space="preserve"> </w:t>
      </w:r>
      <w:r w:rsidR="00DC6113">
        <w:rPr>
          <w:rFonts w:ascii="Arial" w:hAnsi="Arial" w:cs="Arial"/>
          <w:b/>
          <w:sz w:val="24"/>
          <w:szCs w:val="24"/>
        </w:rPr>
        <w:t xml:space="preserve">SYMON SC                     </w:t>
      </w:r>
    </w:p>
    <w:p w:rsidR="00DA7F3A" w:rsidRPr="00FA4806" w:rsidRDefault="00DC6113" w:rsidP="00DA7F3A">
      <w:pPr>
        <w:spacing w:line="240" w:lineRule="auto"/>
        <w:jc w:val="both"/>
        <w:rPr>
          <w:rFonts w:ascii="Arial" w:hAnsi="Arial" w:cs="Arial"/>
          <w:sz w:val="24"/>
          <w:szCs w:val="24"/>
        </w:rPr>
      </w:pPr>
      <w:r>
        <w:rPr>
          <w:rFonts w:ascii="Arial" w:hAnsi="Arial" w:cs="Arial"/>
          <w:b/>
          <w:sz w:val="24"/>
          <w:szCs w:val="24"/>
        </w:rPr>
        <w:t xml:space="preserve">                                                                                                                    ADV. E RUDOLPH </w:t>
      </w:r>
      <w:r w:rsidR="00DA7F3A">
        <w:rPr>
          <w:rFonts w:ascii="Arial" w:hAnsi="Arial" w:cs="Arial"/>
          <w:b/>
          <w:sz w:val="24"/>
          <w:szCs w:val="24"/>
        </w:rPr>
        <w:t xml:space="preserve"> </w:t>
      </w:r>
    </w:p>
    <w:p w:rsidR="00DA7F3A" w:rsidRPr="00FA4806" w:rsidRDefault="00DA7F3A" w:rsidP="00DA7F3A">
      <w:pPr>
        <w:keepNext/>
        <w:spacing w:after="0" w:line="240" w:lineRule="auto"/>
        <w:outlineLvl w:val="6"/>
        <w:rPr>
          <w:rFonts w:ascii="Arial" w:hAnsi="Arial" w:cs="Arial"/>
          <w:sz w:val="24"/>
          <w:szCs w:val="24"/>
        </w:rPr>
      </w:pPr>
      <w:r w:rsidRPr="00FA4806">
        <w:rPr>
          <w:rFonts w:ascii="Arial" w:hAnsi="Arial" w:cs="Arial"/>
          <w:sz w:val="24"/>
          <w:szCs w:val="24"/>
        </w:rPr>
        <w:t xml:space="preserve">Instructed by:                                       </w:t>
      </w:r>
      <w:r w:rsidR="007C3FE0">
        <w:rPr>
          <w:rFonts w:ascii="Arial" w:hAnsi="Arial" w:cs="Arial"/>
          <w:sz w:val="24"/>
          <w:szCs w:val="24"/>
        </w:rPr>
        <w:t xml:space="preserve">            </w:t>
      </w:r>
      <w:r w:rsidRPr="00FA4806">
        <w:rPr>
          <w:rFonts w:ascii="Arial" w:hAnsi="Arial" w:cs="Arial"/>
          <w:sz w:val="24"/>
          <w:szCs w:val="24"/>
        </w:rPr>
        <w:t xml:space="preserve">   </w:t>
      </w:r>
      <w:r>
        <w:rPr>
          <w:rFonts w:ascii="Arial" w:hAnsi="Arial" w:cs="Arial"/>
          <w:sz w:val="24"/>
          <w:szCs w:val="24"/>
        </w:rPr>
        <w:t xml:space="preserve"> </w:t>
      </w:r>
      <w:r w:rsidRPr="00FA4806">
        <w:rPr>
          <w:rFonts w:ascii="Arial" w:hAnsi="Arial" w:cs="Arial"/>
          <w:sz w:val="24"/>
          <w:szCs w:val="24"/>
        </w:rPr>
        <w:t xml:space="preserve"> </w:t>
      </w:r>
      <w:r w:rsidR="00DC6113">
        <w:rPr>
          <w:rFonts w:ascii="Arial" w:hAnsi="Arial" w:cs="Arial"/>
          <w:sz w:val="24"/>
          <w:szCs w:val="24"/>
        </w:rPr>
        <w:t>EG COOPER MAJIEDT</w:t>
      </w:r>
      <w:r w:rsidR="007C3FE0">
        <w:rPr>
          <w:rFonts w:ascii="Arial" w:hAnsi="Arial" w:cs="Arial"/>
          <w:sz w:val="24"/>
          <w:szCs w:val="24"/>
        </w:rPr>
        <w:t xml:space="preserve"> INC</w:t>
      </w:r>
      <w:r>
        <w:rPr>
          <w:rFonts w:ascii="Arial" w:hAnsi="Arial" w:cs="Arial"/>
          <w:sz w:val="24"/>
          <w:szCs w:val="24"/>
        </w:rPr>
        <w:t xml:space="preserve"> </w:t>
      </w:r>
      <w:r w:rsidRPr="00FA4806">
        <w:rPr>
          <w:rFonts w:ascii="Arial" w:hAnsi="Arial" w:cs="Arial"/>
          <w:sz w:val="24"/>
          <w:szCs w:val="24"/>
        </w:rPr>
        <w:t>ATTORNEYS</w:t>
      </w:r>
    </w:p>
    <w:p w:rsidR="00DA7F3A" w:rsidRPr="00FA4806" w:rsidRDefault="00DA7F3A" w:rsidP="00DA7F3A">
      <w:pPr>
        <w:spacing w:after="0" w:line="240" w:lineRule="auto"/>
        <w:jc w:val="right"/>
        <w:rPr>
          <w:rFonts w:ascii="Arial" w:hAnsi="Arial" w:cs="Arial"/>
          <w:sz w:val="24"/>
          <w:szCs w:val="24"/>
        </w:rPr>
      </w:pPr>
      <w:r>
        <w:rPr>
          <w:rFonts w:ascii="Arial" w:hAnsi="Arial" w:cs="Arial"/>
          <w:sz w:val="24"/>
          <w:szCs w:val="24"/>
        </w:rPr>
        <w:t>BLOEMFONTEIN</w:t>
      </w:r>
    </w:p>
    <w:p w:rsidR="00DA7F3A" w:rsidRDefault="00DA7F3A" w:rsidP="00DA7F3A"/>
    <w:p w:rsidR="003A224B" w:rsidRDefault="003A224B"/>
    <w:sectPr w:rsidR="003A224B" w:rsidSect="00F73C8C">
      <w:headerReference w:type="default" r:id="rId9"/>
      <w:type w:val="continuous"/>
      <w:pgSz w:w="12290" w:h="16840"/>
      <w:pgMar w:top="1440" w:right="1247" w:bottom="1440" w:left="1247" w:header="692"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884" w:rsidRDefault="00A46884" w:rsidP="0007676C">
      <w:pPr>
        <w:spacing w:after="0" w:line="240" w:lineRule="auto"/>
      </w:pPr>
      <w:r>
        <w:separator/>
      </w:r>
    </w:p>
  </w:endnote>
  <w:endnote w:type="continuationSeparator" w:id="0">
    <w:p w:rsidR="00A46884" w:rsidRDefault="00A46884" w:rsidP="0007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884" w:rsidRDefault="00A46884" w:rsidP="0007676C">
      <w:pPr>
        <w:spacing w:after="0" w:line="240" w:lineRule="auto"/>
      </w:pPr>
      <w:r>
        <w:separator/>
      </w:r>
    </w:p>
  </w:footnote>
  <w:footnote w:type="continuationSeparator" w:id="0">
    <w:p w:rsidR="00A46884" w:rsidRDefault="00A46884" w:rsidP="0007676C">
      <w:pPr>
        <w:spacing w:after="0" w:line="240" w:lineRule="auto"/>
      </w:pPr>
      <w:r>
        <w:continuationSeparator/>
      </w:r>
    </w:p>
  </w:footnote>
  <w:footnote w:id="1">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Act 42 of 1965.</w:t>
      </w:r>
    </w:p>
  </w:footnote>
  <w:footnote w:id="2">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1996 (2) SA 662 (W) at 668.</w:t>
      </w:r>
    </w:p>
  </w:footnote>
  <w:footnote w:id="3">
    <w:p w:rsidR="007A23D3" w:rsidRPr="00855E8D" w:rsidRDefault="007A23D3" w:rsidP="007A23D3">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Brisley v Drotsky 2002 (4) SA 1 (SCA) para 89. </w:t>
      </w:r>
    </w:p>
  </w:footnote>
  <w:footnote w:id="4">
    <w:p w:rsidR="00EA4926" w:rsidRPr="00855E8D" w:rsidRDefault="00EA4926" w:rsidP="00F00975">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1964 (4) SA 769 (A).</w:t>
      </w:r>
    </w:p>
  </w:footnote>
  <w:footnote w:id="5">
    <w:p w:rsidR="00EA4926" w:rsidRPr="00855E8D" w:rsidRDefault="00EA4926" w:rsidP="00C94D47">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Randcoal Services Ltd v Randgold and Exploration Co Ltd 1998 (4) SA 825 (SCA) at 841E- 842D.</w:t>
      </w:r>
    </w:p>
  </w:footnote>
  <w:footnote w:id="6">
    <w:p w:rsidR="00EA4926" w:rsidRPr="00855E8D" w:rsidRDefault="00EA4926" w:rsidP="00C94D47">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w:t>
      </w:r>
      <w:r w:rsidRPr="00855E8D">
        <w:rPr>
          <w:rFonts w:ascii="Times New Roman" w:hAnsi="Times New Roman" w:cs="Times New Roman"/>
          <w:lang w:val="en-GB"/>
        </w:rPr>
        <w:t>2002 (4) SA 1 (SCA) paras 88-95</w:t>
      </w:r>
      <w:r w:rsidR="00F80567">
        <w:rPr>
          <w:rFonts w:ascii="Times New Roman" w:hAnsi="Times New Roman" w:cs="Times New Roman"/>
          <w:lang w:val="en-GB"/>
        </w:rPr>
        <w:t>.</w:t>
      </w:r>
    </w:p>
  </w:footnote>
  <w:footnote w:id="7">
    <w:p w:rsidR="00EA4926" w:rsidRPr="00855E8D" w:rsidRDefault="00EA4926" w:rsidP="003301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1997 (4) SA 302 (A) 318</w:t>
      </w:r>
      <w:r w:rsidR="00F80567">
        <w:rPr>
          <w:rFonts w:ascii="Times New Roman" w:hAnsi="Times New Roman" w:cs="Times New Roman"/>
        </w:rPr>
        <w:t>.</w:t>
      </w:r>
    </w:p>
  </w:footnote>
  <w:footnote w:id="8">
    <w:p w:rsidR="00EA4926" w:rsidRPr="00855E8D" w:rsidRDefault="00EA4926" w:rsidP="003301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Nyandeni Local Municipality v Hlazo 2010 (4) SA 261 (ECM) para1.</w:t>
      </w:r>
    </w:p>
  </w:footnote>
  <w:footnote w:id="9">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2005 (3) SA 323 (SCA).</w:t>
      </w:r>
    </w:p>
  </w:footnote>
  <w:footnote w:id="10">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2002 (6) SA 21 (SCA).</w:t>
      </w:r>
    </w:p>
  </w:footnote>
  <w:footnote w:id="11">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At [27].</w:t>
      </w:r>
    </w:p>
  </w:footnote>
  <w:footnote w:id="12">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At [92]</w:t>
      </w:r>
      <w:r w:rsidR="0065374B">
        <w:rPr>
          <w:rFonts w:ascii="Times New Roman" w:hAnsi="Times New Roman" w:cs="Times New Roman"/>
        </w:rPr>
        <w:t>.</w:t>
      </w:r>
      <w:r w:rsidRPr="00855E8D">
        <w:rPr>
          <w:rFonts w:ascii="Times New Roman" w:hAnsi="Times New Roman" w:cs="Times New Roman"/>
        </w:rPr>
        <w:tab/>
      </w:r>
    </w:p>
  </w:footnote>
  <w:footnote w:id="13">
    <w:p w:rsidR="00EA4926" w:rsidRPr="00855E8D" w:rsidRDefault="00EA4926" w:rsidP="00FF581B">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2007 (5) SA 323 (CC).</w:t>
      </w:r>
    </w:p>
  </w:footnote>
  <w:footnote w:id="14">
    <w:p w:rsidR="00EA4926" w:rsidRPr="00855E8D" w:rsidRDefault="00EA4926" w:rsidP="00FF581B">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At [184]. </w:t>
      </w:r>
    </w:p>
  </w:footnote>
  <w:footnote w:id="15">
    <w:p w:rsidR="0065374B"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Nyandeni Local Municipality v Hlazo 2010 (4) SA 261; Steyn v Karee Kloof Melkery (Pty) Ltd unreported case no </w:t>
      </w:r>
      <w:r w:rsidR="0065374B">
        <w:rPr>
          <w:rFonts w:ascii="Times New Roman" w:hAnsi="Times New Roman" w:cs="Times New Roman"/>
        </w:rPr>
        <w:t xml:space="preserve">   </w:t>
      </w:r>
    </w:p>
    <w:p w:rsidR="00EA4926" w:rsidRPr="00855E8D" w:rsidRDefault="0065374B">
      <w:pPr>
        <w:pStyle w:val="FootnoteText"/>
        <w:rPr>
          <w:rFonts w:ascii="Times New Roman" w:hAnsi="Times New Roman" w:cs="Times New Roman"/>
        </w:rPr>
      </w:pPr>
      <w:r>
        <w:rPr>
          <w:rFonts w:ascii="Times New Roman" w:hAnsi="Times New Roman" w:cs="Times New Roman"/>
        </w:rPr>
        <w:t xml:space="preserve">    </w:t>
      </w:r>
      <w:r w:rsidR="00EA4926" w:rsidRPr="00855E8D">
        <w:rPr>
          <w:rFonts w:ascii="Times New Roman" w:hAnsi="Times New Roman" w:cs="Times New Roman"/>
        </w:rPr>
        <w:t>2009/45448 [2011] ZAGPJHC 228 (30 November 2011)</w:t>
      </w:r>
      <w:r>
        <w:rPr>
          <w:rFonts w:ascii="Times New Roman" w:hAnsi="Times New Roman" w:cs="Times New Roman"/>
        </w:rPr>
        <w:t xml:space="preserve">. </w:t>
      </w:r>
    </w:p>
  </w:footnote>
  <w:footnote w:id="16">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2012 (4) SA 593 (SCA).</w:t>
      </w:r>
    </w:p>
  </w:footnote>
  <w:footnote w:id="17">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At [18].</w:t>
      </w:r>
    </w:p>
  </w:footnote>
  <w:footnote w:id="18">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(supra) at 668H</w:t>
      </w:r>
      <w:r w:rsidR="00EC2066">
        <w:rPr>
          <w:rFonts w:ascii="Times New Roman" w:hAnsi="Times New Roman" w:cs="Times New Roman"/>
        </w:rPr>
        <w:t>.</w:t>
      </w:r>
    </w:p>
  </w:footnote>
  <w:footnote w:id="19">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1956 (1) SA 277 (A) at 291C.</w:t>
      </w:r>
    </w:p>
  </w:footnote>
  <w:footnote w:id="20">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Bursey v Bursey [1997] 4 All SA 580 (E) 592F.</w:t>
      </w:r>
    </w:p>
  </w:footnote>
  <w:footnote w:id="21">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w:t>
      </w:r>
      <w:r w:rsidRPr="00855E8D">
        <w:rPr>
          <w:rFonts w:ascii="Times New Roman" w:eastAsia="Times New Roman" w:hAnsi="Times New Roman" w:cs="Times New Roman"/>
          <w:color w:val="242121"/>
          <w:shd w:val="clear" w:color="auto" w:fill="FFFFFF"/>
          <w:lang w:eastAsia="en-ZA"/>
        </w:rPr>
        <w:t xml:space="preserve">1920 AD 204 </w:t>
      </w:r>
      <w:r w:rsidRPr="00855E8D">
        <w:rPr>
          <w:rFonts w:ascii="Times New Roman" w:eastAsia="Times New Roman" w:hAnsi="Times New Roman" w:cs="Times New Roman"/>
          <w:bCs/>
          <w:color w:val="242121"/>
          <w:lang w:eastAsia="en-ZA"/>
        </w:rPr>
        <w:t>at</w:t>
      </w:r>
      <w:r w:rsidRPr="00855E8D">
        <w:rPr>
          <w:rFonts w:ascii="Times New Roman" w:eastAsia="Times New Roman" w:hAnsi="Times New Roman" w:cs="Times New Roman"/>
          <w:color w:val="242121"/>
          <w:shd w:val="clear" w:color="auto" w:fill="FFFFFF"/>
          <w:lang w:eastAsia="en-ZA"/>
        </w:rPr>
        <w:t xml:space="preserve"> page 205 – 206.</w:t>
      </w:r>
    </w:p>
  </w:footnote>
  <w:footnote w:id="22">
    <w:p w:rsidR="00EA4926" w:rsidRPr="00855E8D" w:rsidRDefault="00EA4926" w:rsidP="004A121C">
      <w:pPr>
        <w:pStyle w:val="FootnoteText"/>
        <w:jc w:val="both"/>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w:t>
      </w:r>
      <w:r w:rsidRPr="00855E8D">
        <w:rPr>
          <w:rFonts w:ascii="Times New Roman" w:hAnsi="Times New Roman" w:cs="Times New Roman"/>
          <w:i/>
          <w:iCs/>
        </w:rPr>
        <w:t>Estate Greenberg v Rosenberg and Greenberg</w:t>
      </w:r>
      <w:r w:rsidRPr="00855E8D">
        <w:rPr>
          <w:rFonts w:ascii="Times New Roman" w:hAnsi="Times New Roman" w:cs="Times New Roman"/>
        </w:rPr>
        <w:t xml:space="preserve"> 1925 TPD 924 930.</w:t>
      </w:r>
    </w:p>
  </w:footnote>
  <w:footnote w:id="23">
    <w:p w:rsidR="00EA4926" w:rsidRPr="00855E8D" w:rsidRDefault="00EA4926" w:rsidP="008E1E7B">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Joel Melamed &amp; Hurwitz v Cleveland Estates; Melamed &amp; Hurwitz v Vorner Investments (Pty) Ltd 1984 (3) SA 155 (A) at 172A</w:t>
      </w:r>
    </w:p>
  </w:footnote>
  <w:footnote w:id="24">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Eldacc (Pty) Ltd v Bidvest Properties (Pty) Ltd 682/10) [2011] ZASCA144 (26 September 2011).</w:t>
      </w:r>
    </w:p>
  </w:footnote>
  <w:footnote w:id="25">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Standard Bank of </w:t>
      </w:r>
      <w:r w:rsidR="00282386" w:rsidRPr="00855E8D">
        <w:rPr>
          <w:rFonts w:ascii="Times New Roman" w:hAnsi="Times New Roman" w:cs="Times New Roman"/>
        </w:rPr>
        <w:t>S</w:t>
      </w:r>
      <w:r w:rsidRPr="00855E8D">
        <w:rPr>
          <w:rFonts w:ascii="Times New Roman" w:hAnsi="Times New Roman" w:cs="Times New Roman"/>
        </w:rPr>
        <w:t>outh Africa Ltd v Saunderson and Others 2006 (2) SA 264 (SCA) at [2].</w:t>
      </w:r>
    </w:p>
  </w:footnote>
  <w:footnote w:id="26">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Act 47 of 1937.</w:t>
      </w:r>
    </w:p>
  </w:footnote>
  <w:footnote w:id="27">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2020 (5) SA 247 (CC).</w:t>
      </w:r>
    </w:p>
  </w:footnote>
  <w:footnote w:id="28">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Beadica at [84].</w:t>
      </w:r>
    </w:p>
  </w:footnote>
  <w:footnote w:id="29">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Beadica at [85].</w:t>
      </w:r>
    </w:p>
  </w:footnote>
  <w:footnote w:id="30">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Plascon-Evans Paints (TVL) Ltd v Van Riebeeck Paints (Pty) Ltd 1984 (3) SA 623 (A). </w:t>
      </w:r>
    </w:p>
  </w:footnote>
  <w:footnote w:id="31">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1975 (3) SA 497 (W). </w:t>
      </w:r>
    </w:p>
  </w:footnote>
  <w:footnote w:id="32">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Bateman (supra) at 501H.</w:t>
      </w:r>
    </w:p>
  </w:footnote>
  <w:footnote w:id="33">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1949 (1) SA 121 AD </w:t>
      </w:r>
    </w:p>
  </w:footnote>
  <w:footnote w:id="34">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Garlick (supra) p131.</w:t>
      </w:r>
    </w:p>
  </w:footnote>
  <w:footnote w:id="35">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Barkhuizen</w:t>
      </w:r>
      <w:r w:rsidR="00B01F57" w:rsidRPr="00855E8D">
        <w:rPr>
          <w:rFonts w:ascii="Times New Roman" w:hAnsi="Times New Roman" w:cs="Times New Roman"/>
        </w:rPr>
        <w:t xml:space="preserve"> (</w:t>
      </w:r>
      <w:r w:rsidRPr="00855E8D">
        <w:rPr>
          <w:rFonts w:ascii="Times New Roman" w:hAnsi="Times New Roman" w:cs="Times New Roman"/>
        </w:rPr>
        <w:t>supra</w:t>
      </w:r>
      <w:r w:rsidR="00B01F57" w:rsidRPr="00855E8D">
        <w:rPr>
          <w:rFonts w:ascii="Times New Roman" w:hAnsi="Times New Roman" w:cs="Times New Roman"/>
        </w:rPr>
        <w:t>)</w:t>
      </w:r>
      <w:r w:rsidRPr="00855E8D">
        <w:rPr>
          <w:rFonts w:ascii="Times New Roman" w:hAnsi="Times New Roman" w:cs="Times New Roman"/>
        </w:rPr>
        <w:t xml:space="preserve"> at para 85.</w:t>
      </w:r>
    </w:p>
  </w:footnote>
  <w:footnote w:id="36">
    <w:p w:rsidR="00EA4926" w:rsidRPr="00855E8D" w:rsidRDefault="00EA4926">
      <w:pPr>
        <w:pStyle w:val="FootnoteText"/>
        <w:rPr>
          <w:rFonts w:ascii="Times New Roman" w:hAnsi="Times New Roman" w:cs="Times New Roman"/>
        </w:rPr>
      </w:pPr>
      <w:r w:rsidRPr="00855E8D">
        <w:rPr>
          <w:rStyle w:val="FootnoteReference"/>
          <w:rFonts w:ascii="Times New Roman" w:hAnsi="Times New Roman" w:cs="Times New Roman"/>
        </w:rPr>
        <w:footnoteRef/>
      </w:r>
      <w:r w:rsidRPr="00855E8D">
        <w:rPr>
          <w:rFonts w:ascii="Times New Roman" w:hAnsi="Times New Roman" w:cs="Times New Roman"/>
        </w:rPr>
        <w:t xml:space="preserve"> Beadica (supra) at [71].</w:t>
      </w:r>
    </w:p>
  </w:footnote>
  <w:footnote w:id="37">
    <w:p w:rsidR="00EA4926" w:rsidRDefault="00EA4926">
      <w:pPr>
        <w:pStyle w:val="FootnoteText"/>
      </w:pPr>
      <w:r w:rsidRPr="00855E8D">
        <w:rPr>
          <w:rStyle w:val="FootnoteReference"/>
          <w:rFonts w:ascii="Times New Roman" w:hAnsi="Times New Roman" w:cs="Times New Roman"/>
        </w:rPr>
        <w:footnoteRef/>
      </w:r>
      <w:r w:rsidRPr="00855E8D">
        <w:rPr>
          <w:rFonts w:ascii="Times New Roman" w:hAnsi="Times New Roman" w:cs="Times New Roman"/>
        </w:rPr>
        <w:t xml:space="preserve"> Beadica (supra) at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338110"/>
      <w:docPartObj>
        <w:docPartGallery w:val="Page Numbers (Top of Page)"/>
        <w:docPartUnique/>
      </w:docPartObj>
    </w:sdtPr>
    <w:sdtEndPr>
      <w:rPr>
        <w:noProof/>
      </w:rPr>
    </w:sdtEndPr>
    <w:sdtContent>
      <w:p w:rsidR="00EA4926" w:rsidRDefault="00EA4926">
        <w:pPr>
          <w:pStyle w:val="Header"/>
          <w:jc w:val="right"/>
        </w:pPr>
        <w:r>
          <w:fldChar w:fldCharType="begin"/>
        </w:r>
        <w:r>
          <w:instrText xml:space="preserve"> PAGE   \* MERGEFORMAT </w:instrText>
        </w:r>
        <w:r>
          <w:fldChar w:fldCharType="separate"/>
        </w:r>
        <w:r w:rsidR="000451AF">
          <w:rPr>
            <w:noProof/>
          </w:rPr>
          <w:t>21</w:t>
        </w:r>
        <w:r>
          <w:rPr>
            <w:noProof/>
          </w:rPr>
          <w:fldChar w:fldCharType="end"/>
        </w:r>
      </w:p>
    </w:sdtContent>
  </w:sdt>
  <w:p w:rsidR="00EA4926" w:rsidRDefault="00EA4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52065"/>
    <w:multiLevelType w:val="multilevel"/>
    <w:tmpl w:val="3FD67338"/>
    <w:lvl w:ilvl="0">
      <w:start w:val="1"/>
      <w:numFmt w:val="decimal"/>
      <w:lvlText w:val="[%1]"/>
      <w:lvlJc w:val="left"/>
      <w:pPr>
        <w:tabs>
          <w:tab w:val="num" w:pos="432"/>
        </w:tabs>
        <w:ind w:left="432" w:hanging="432"/>
      </w:pPr>
      <w:rPr>
        <w:rFonts w:ascii="Arial" w:hAnsi="Arial" w:cs="Arial" w:hint="default"/>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5A8032BC"/>
    <w:multiLevelType w:val="multilevel"/>
    <w:tmpl w:val="D0166FEC"/>
    <w:lvl w:ilvl="0">
      <w:start w:val="1"/>
      <w:numFmt w:val="decimal"/>
      <w:lvlText w:val="%1."/>
      <w:lvlJc w:val="left"/>
      <w:pPr>
        <w:ind w:left="1215" w:hanging="360"/>
      </w:pPr>
      <w:rPr>
        <w:rFonts w:hint="default"/>
      </w:rPr>
    </w:lvl>
    <w:lvl w:ilvl="1">
      <w:start w:val="1"/>
      <w:numFmt w:val="decimal"/>
      <w:isLgl/>
      <w:lvlText w:val="%1.%2"/>
      <w:lvlJc w:val="left"/>
      <w:pPr>
        <w:ind w:left="1755" w:hanging="540"/>
      </w:pPr>
      <w:rPr>
        <w:rFonts w:hint="default"/>
      </w:rPr>
    </w:lvl>
    <w:lvl w:ilvl="2">
      <w:start w:val="1"/>
      <w:numFmt w:val="decimal"/>
      <w:isLgl/>
      <w:lvlText w:val="%1.%2.%3"/>
      <w:lvlJc w:val="left"/>
      <w:pPr>
        <w:ind w:left="2295"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375" w:hanging="1080"/>
      </w:pPr>
      <w:rPr>
        <w:rFonts w:hint="default"/>
      </w:rPr>
    </w:lvl>
    <w:lvl w:ilvl="5">
      <w:start w:val="1"/>
      <w:numFmt w:val="decimal"/>
      <w:isLgl/>
      <w:lvlText w:val="%1.%2.%3.%4.%5.%6"/>
      <w:lvlJc w:val="left"/>
      <w:pPr>
        <w:ind w:left="4095" w:hanging="1440"/>
      </w:pPr>
      <w:rPr>
        <w:rFonts w:hint="default"/>
      </w:rPr>
    </w:lvl>
    <w:lvl w:ilvl="6">
      <w:start w:val="1"/>
      <w:numFmt w:val="decimal"/>
      <w:isLgl/>
      <w:lvlText w:val="%1.%2.%3.%4.%5.%6.%7"/>
      <w:lvlJc w:val="left"/>
      <w:pPr>
        <w:ind w:left="4455" w:hanging="1440"/>
      </w:pPr>
      <w:rPr>
        <w:rFonts w:hint="default"/>
      </w:rPr>
    </w:lvl>
    <w:lvl w:ilvl="7">
      <w:start w:val="1"/>
      <w:numFmt w:val="decimal"/>
      <w:isLgl/>
      <w:lvlText w:val="%1.%2.%3.%4.%5.%6.%7.%8"/>
      <w:lvlJc w:val="left"/>
      <w:pPr>
        <w:ind w:left="5175" w:hanging="1800"/>
      </w:pPr>
      <w:rPr>
        <w:rFonts w:hint="default"/>
      </w:rPr>
    </w:lvl>
    <w:lvl w:ilvl="8">
      <w:start w:val="1"/>
      <w:numFmt w:val="decimal"/>
      <w:isLgl/>
      <w:lvlText w:val="%1.%2.%3.%4.%5.%6.%7.%8.%9"/>
      <w:lvlJc w:val="left"/>
      <w:pPr>
        <w:ind w:left="5535" w:hanging="1800"/>
      </w:pPr>
      <w:rPr>
        <w:rFonts w:hint="default"/>
      </w:rPr>
    </w:lvl>
  </w:abstractNum>
  <w:abstractNum w:abstractNumId="2">
    <w:nsid w:val="74390308"/>
    <w:multiLevelType w:val="hybridMultilevel"/>
    <w:tmpl w:val="944E0EF2"/>
    <w:lvl w:ilvl="0" w:tplc="8DBABDAA">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C3"/>
    <w:rsid w:val="000070C1"/>
    <w:rsid w:val="00013331"/>
    <w:rsid w:val="000237A8"/>
    <w:rsid w:val="000238E0"/>
    <w:rsid w:val="000252AA"/>
    <w:rsid w:val="00037CB6"/>
    <w:rsid w:val="000451AF"/>
    <w:rsid w:val="00046B3F"/>
    <w:rsid w:val="00046ED6"/>
    <w:rsid w:val="000569DD"/>
    <w:rsid w:val="000608BE"/>
    <w:rsid w:val="00074523"/>
    <w:rsid w:val="0007676C"/>
    <w:rsid w:val="00076D64"/>
    <w:rsid w:val="00076FF4"/>
    <w:rsid w:val="00077B4D"/>
    <w:rsid w:val="00087E20"/>
    <w:rsid w:val="00097EC4"/>
    <w:rsid w:val="000A11D6"/>
    <w:rsid w:val="000A18D3"/>
    <w:rsid w:val="000B2151"/>
    <w:rsid w:val="000B5671"/>
    <w:rsid w:val="000C1A93"/>
    <w:rsid w:val="000C2B7F"/>
    <w:rsid w:val="00103989"/>
    <w:rsid w:val="00107EDD"/>
    <w:rsid w:val="00110E75"/>
    <w:rsid w:val="001234F7"/>
    <w:rsid w:val="0012436E"/>
    <w:rsid w:val="00130672"/>
    <w:rsid w:val="0015338B"/>
    <w:rsid w:val="00155F5C"/>
    <w:rsid w:val="00156FAF"/>
    <w:rsid w:val="00182C6B"/>
    <w:rsid w:val="00192060"/>
    <w:rsid w:val="00196693"/>
    <w:rsid w:val="001B20D8"/>
    <w:rsid w:val="001B4320"/>
    <w:rsid w:val="001C7045"/>
    <w:rsid w:val="001C72B2"/>
    <w:rsid w:val="001E589C"/>
    <w:rsid w:val="002141A8"/>
    <w:rsid w:val="002236C0"/>
    <w:rsid w:val="002475F4"/>
    <w:rsid w:val="0025322B"/>
    <w:rsid w:val="00256000"/>
    <w:rsid w:val="00256EAB"/>
    <w:rsid w:val="00261529"/>
    <w:rsid w:val="002659AE"/>
    <w:rsid w:val="00282386"/>
    <w:rsid w:val="002C0F0F"/>
    <w:rsid w:val="002C5E86"/>
    <w:rsid w:val="002C70BC"/>
    <w:rsid w:val="002E0C56"/>
    <w:rsid w:val="002E42AB"/>
    <w:rsid w:val="002E5C7C"/>
    <w:rsid w:val="003054CE"/>
    <w:rsid w:val="00312954"/>
    <w:rsid w:val="0032342D"/>
    <w:rsid w:val="00330126"/>
    <w:rsid w:val="00337DFB"/>
    <w:rsid w:val="003409EA"/>
    <w:rsid w:val="0034250D"/>
    <w:rsid w:val="003428D0"/>
    <w:rsid w:val="00346865"/>
    <w:rsid w:val="0035330E"/>
    <w:rsid w:val="00353BDE"/>
    <w:rsid w:val="00353FCC"/>
    <w:rsid w:val="003734A5"/>
    <w:rsid w:val="00377025"/>
    <w:rsid w:val="0039158E"/>
    <w:rsid w:val="003A1C0C"/>
    <w:rsid w:val="003A224B"/>
    <w:rsid w:val="003A5FEB"/>
    <w:rsid w:val="003A7853"/>
    <w:rsid w:val="003D03D0"/>
    <w:rsid w:val="003E7203"/>
    <w:rsid w:val="003F3C38"/>
    <w:rsid w:val="00447DE9"/>
    <w:rsid w:val="004502E0"/>
    <w:rsid w:val="00452DE4"/>
    <w:rsid w:val="0046004C"/>
    <w:rsid w:val="00472271"/>
    <w:rsid w:val="00477618"/>
    <w:rsid w:val="0048348E"/>
    <w:rsid w:val="00491A9E"/>
    <w:rsid w:val="00494834"/>
    <w:rsid w:val="00494D6E"/>
    <w:rsid w:val="004A121C"/>
    <w:rsid w:val="004A331C"/>
    <w:rsid w:val="004B49C3"/>
    <w:rsid w:val="004C2E35"/>
    <w:rsid w:val="004D0088"/>
    <w:rsid w:val="004D68F8"/>
    <w:rsid w:val="004F45CB"/>
    <w:rsid w:val="00503DD3"/>
    <w:rsid w:val="00505847"/>
    <w:rsid w:val="00515ED8"/>
    <w:rsid w:val="00521CD9"/>
    <w:rsid w:val="005236B3"/>
    <w:rsid w:val="00536BA4"/>
    <w:rsid w:val="005400AC"/>
    <w:rsid w:val="00561D32"/>
    <w:rsid w:val="00562E0B"/>
    <w:rsid w:val="00564177"/>
    <w:rsid w:val="00565C1E"/>
    <w:rsid w:val="00566971"/>
    <w:rsid w:val="00583A98"/>
    <w:rsid w:val="00585568"/>
    <w:rsid w:val="00592659"/>
    <w:rsid w:val="005A13BA"/>
    <w:rsid w:val="005A17D1"/>
    <w:rsid w:val="005A631E"/>
    <w:rsid w:val="005A7410"/>
    <w:rsid w:val="005B250D"/>
    <w:rsid w:val="005B34D1"/>
    <w:rsid w:val="005C0036"/>
    <w:rsid w:val="005C56B9"/>
    <w:rsid w:val="005C6302"/>
    <w:rsid w:val="005D0645"/>
    <w:rsid w:val="00623DC3"/>
    <w:rsid w:val="006253AA"/>
    <w:rsid w:val="00631E9B"/>
    <w:rsid w:val="0064009F"/>
    <w:rsid w:val="006436F7"/>
    <w:rsid w:val="006525BF"/>
    <w:rsid w:val="0065374B"/>
    <w:rsid w:val="006807AC"/>
    <w:rsid w:val="006A5253"/>
    <w:rsid w:val="006A653E"/>
    <w:rsid w:val="006B2357"/>
    <w:rsid w:val="006D34E4"/>
    <w:rsid w:val="006D51B4"/>
    <w:rsid w:val="006E6C24"/>
    <w:rsid w:val="007160C4"/>
    <w:rsid w:val="007174BF"/>
    <w:rsid w:val="00724125"/>
    <w:rsid w:val="007403F6"/>
    <w:rsid w:val="00745F0E"/>
    <w:rsid w:val="007518A1"/>
    <w:rsid w:val="007577A2"/>
    <w:rsid w:val="007726B4"/>
    <w:rsid w:val="00780597"/>
    <w:rsid w:val="0078234C"/>
    <w:rsid w:val="007949A2"/>
    <w:rsid w:val="007A23D3"/>
    <w:rsid w:val="007C2708"/>
    <w:rsid w:val="007C3FE0"/>
    <w:rsid w:val="007C458D"/>
    <w:rsid w:val="007E452E"/>
    <w:rsid w:val="008113FD"/>
    <w:rsid w:val="00812472"/>
    <w:rsid w:val="00830132"/>
    <w:rsid w:val="00855C4E"/>
    <w:rsid w:val="00855E7D"/>
    <w:rsid w:val="00855E8D"/>
    <w:rsid w:val="00857C00"/>
    <w:rsid w:val="00861734"/>
    <w:rsid w:val="00884178"/>
    <w:rsid w:val="008857DE"/>
    <w:rsid w:val="008C6515"/>
    <w:rsid w:val="008C765E"/>
    <w:rsid w:val="008D0320"/>
    <w:rsid w:val="008E0F9A"/>
    <w:rsid w:val="008E1E7B"/>
    <w:rsid w:val="008E2FCC"/>
    <w:rsid w:val="008E4B25"/>
    <w:rsid w:val="008E7C02"/>
    <w:rsid w:val="008F7AA6"/>
    <w:rsid w:val="0091363F"/>
    <w:rsid w:val="0094017E"/>
    <w:rsid w:val="00943D9D"/>
    <w:rsid w:val="00964C54"/>
    <w:rsid w:val="00976631"/>
    <w:rsid w:val="009801DC"/>
    <w:rsid w:val="00993265"/>
    <w:rsid w:val="009B18CD"/>
    <w:rsid w:val="009C5535"/>
    <w:rsid w:val="009C5C0D"/>
    <w:rsid w:val="009D22B8"/>
    <w:rsid w:val="009E23A4"/>
    <w:rsid w:val="009E594C"/>
    <w:rsid w:val="00A2268E"/>
    <w:rsid w:val="00A40FA7"/>
    <w:rsid w:val="00A46884"/>
    <w:rsid w:val="00A67661"/>
    <w:rsid w:val="00A8190B"/>
    <w:rsid w:val="00A86FEC"/>
    <w:rsid w:val="00A87CA6"/>
    <w:rsid w:val="00AA6FA1"/>
    <w:rsid w:val="00AB6A54"/>
    <w:rsid w:val="00AB6B21"/>
    <w:rsid w:val="00AC0EE4"/>
    <w:rsid w:val="00AC3B07"/>
    <w:rsid w:val="00AC6116"/>
    <w:rsid w:val="00AC709E"/>
    <w:rsid w:val="00B01CDC"/>
    <w:rsid w:val="00B01F57"/>
    <w:rsid w:val="00B052B2"/>
    <w:rsid w:val="00B07144"/>
    <w:rsid w:val="00B1133D"/>
    <w:rsid w:val="00B11854"/>
    <w:rsid w:val="00B2387F"/>
    <w:rsid w:val="00B3775E"/>
    <w:rsid w:val="00B45C68"/>
    <w:rsid w:val="00B4600C"/>
    <w:rsid w:val="00B91964"/>
    <w:rsid w:val="00BA4CB2"/>
    <w:rsid w:val="00BA6478"/>
    <w:rsid w:val="00BA6623"/>
    <w:rsid w:val="00BC170E"/>
    <w:rsid w:val="00BC1710"/>
    <w:rsid w:val="00BC2625"/>
    <w:rsid w:val="00BD3FEF"/>
    <w:rsid w:val="00BE50C8"/>
    <w:rsid w:val="00BF033D"/>
    <w:rsid w:val="00BF6AB8"/>
    <w:rsid w:val="00C04CA5"/>
    <w:rsid w:val="00C51F49"/>
    <w:rsid w:val="00C63C68"/>
    <w:rsid w:val="00C66515"/>
    <w:rsid w:val="00C806F8"/>
    <w:rsid w:val="00C82DBA"/>
    <w:rsid w:val="00C84F73"/>
    <w:rsid w:val="00C91E75"/>
    <w:rsid w:val="00C93998"/>
    <w:rsid w:val="00C94D47"/>
    <w:rsid w:val="00CA1E92"/>
    <w:rsid w:val="00CA20DC"/>
    <w:rsid w:val="00CA5DA1"/>
    <w:rsid w:val="00CA67CE"/>
    <w:rsid w:val="00CB0320"/>
    <w:rsid w:val="00CB0B43"/>
    <w:rsid w:val="00CB0D24"/>
    <w:rsid w:val="00CE6EC4"/>
    <w:rsid w:val="00CF1D34"/>
    <w:rsid w:val="00CF33B8"/>
    <w:rsid w:val="00D16DC1"/>
    <w:rsid w:val="00D25D50"/>
    <w:rsid w:val="00D26DF5"/>
    <w:rsid w:val="00D36C49"/>
    <w:rsid w:val="00D40E3B"/>
    <w:rsid w:val="00D524D9"/>
    <w:rsid w:val="00D75212"/>
    <w:rsid w:val="00D76F68"/>
    <w:rsid w:val="00D81553"/>
    <w:rsid w:val="00D90824"/>
    <w:rsid w:val="00D94F5B"/>
    <w:rsid w:val="00DA0169"/>
    <w:rsid w:val="00DA7F3A"/>
    <w:rsid w:val="00DC6113"/>
    <w:rsid w:val="00DD3BE3"/>
    <w:rsid w:val="00DE1266"/>
    <w:rsid w:val="00DE31F0"/>
    <w:rsid w:val="00DF7CF3"/>
    <w:rsid w:val="00E0168F"/>
    <w:rsid w:val="00E3098E"/>
    <w:rsid w:val="00E33B3D"/>
    <w:rsid w:val="00E516F8"/>
    <w:rsid w:val="00E56610"/>
    <w:rsid w:val="00E61269"/>
    <w:rsid w:val="00E71925"/>
    <w:rsid w:val="00E7497A"/>
    <w:rsid w:val="00EA14FC"/>
    <w:rsid w:val="00EA4926"/>
    <w:rsid w:val="00EA7352"/>
    <w:rsid w:val="00EC2066"/>
    <w:rsid w:val="00EC270B"/>
    <w:rsid w:val="00EC3073"/>
    <w:rsid w:val="00EC6A07"/>
    <w:rsid w:val="00ED6727"/>
    <w:rsid w:val="00ED6E0B"/>
    <w:rsid w:val="00EE0E26"/>
    <w:rsid w:val="00EF5160"/>
    <w:rsid w:val="00EF6862"/>
    <w:rsid w:val="00F00975"/>
    <w:rsid w:val="00F05A32"/>
    <w:rsid w:val="00F142CA"/>
    <w:rsid w:val="00F45135"/>
    <w:rsid w:val="00F52DD0"/>
    <w:rsid w:val="00F53DBE"/>
    <w:rsid w:val="00F73C8C"/>
    <w:rsid w:val="00F80567"/>
    <w:rsid w:val="00F925D3"/>
    <w:rsid w:val="00FC72EC"/>
    <w:rsid w:val="00FD4BFA"/>
    <w:rsid w:val="00FD79DE"/>
    <w:rsid w:val="00FF4033"/>
    <w:rsid w:val="00FF58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0C40F-7FA7-4CDF-8602-4FC5F345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A7F3A"/>
    <w:pPr>
      <w:pBdr>
        <w:top w:val="nil"/>
        <w:left w:val="nil"/>
        <w:bottom w:val="nil"/>
        <w:right w:val="nil"/>
        <w:between w:val="nil"/>
        <w:bar w:val="nil"/>
      </w:pBdr>
      <w:spacing w:after="200" w:line="276" w:lineRule="auto"/>
    </w:pPr>
    <w:rPr>
      <w:rFonts w:ascii="Calibri" w:eastAsia="Calibri" w:hAnsi="Calibri" w:cs="Calibri"/>
      <w:color w:val="000000"/>
      <w:u w:color="000000"/>
      <w:bdr w:val="nil"/>
      <w:lang w:val="af-ZA" w:eastAsia="af-ZA"/>
    </w:rPr>
  </w:style>
  <w:style w:type="paragraph" w:styleId="Header">
    <w:name w:val="header"/>
    <w:basedOn w:val="Normal"/>
    <w:link w:val="HeaderChar"/>
    <w:uiPriority w:val="99"/>
    <w:unhideWhenUsed/>
    <w:rsid w:val="00076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76C"/>
  </w:style>
  <w:style w:type="paragraph" w:styleId="Footer">
    <w:name w:val="footer"/>
    <w:basedOn w:val="Normal"/>
    <w:link w:val="FooterChar"/>
    <w:uiPriority w:val="99"/>
    <w:unhideWhenUsed/>
    <w:rsid w:val="00076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76C"/>
  </w:style>
  <w:style w:type="paragraph" w:styleId="FootnoteText">
    <w:name w:val="footnote text"/>
    <w:basedOn w:val="Normal"/>
    <w:link w:val="FootnoteTextChar"/>
    <w:uiPriority w:val="99"/>
    <w:semiHidden/>
    <w:unhideWhenUsed/>
    <w:rsid w:val="00B071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144"/>
    <w:rPr>
      <w:sz w:val="20"/>
      <w:szCs w:val="20"/>
    </w:rPr>
  </w:style>
  <w:style w:type="character" w:styleId="FootnoteReference">
    <w:name w:val="footnote reference"/>
    <w:basedOn w:val="DefaultParagraphFont"/>
    <w:uiPriority w:val="99"/>
    <w:semiHidden/>
    <w:unhideWhenUsed/>
    <w:rsid w:val="00B07144"/>
    <w:rPr>
      <w:vertAlign w:val="superscript"/>
    </w:rPr>
  </w:style>
  <w:style w:type="paragraph" w:styleId="NormalWeb">
    <w:name w:val="Normal (Web)"/>
    <w:basedOn w:val="Normal"/>
    <w:uiPriority w:val="99"/>
    <w:semiHidden/>
    <w:unhideWhenUsed/>
    <w:rsid w:val="004A121C"/>
    <w:rPr>
      <w:rFonts w:ascii="Times New Roman" w:hAnsi="Times New Roman" w:cs="Times New Roman"/>
      <w:sz w:val="24"/>
      <w:szCs w:val="24"/>
    </w:rPr>
  </w:style>
  <w:style w:type="paragraph" w:styleId="ListParagraph">
    <w:name w:val="List Paragraph"/>
    <w:basedOn w:val="Normal"/>
    <w:uiPriority w:val="34"/>
    <w:qFormat/>
    <w:rsid w:val="00477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BB31D-8D60-4882-B227-48E8F496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9422</Words>
  <Characters>53712</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2</cp:revision>
  <cp:lastPrinted>2023-10-06T12:29:00Z</cp:lastPrinted>
  <dcterms:created xsi:type="dcterms:W3CDTF">2023-10-10T07:00:00Z</dcterms:created>
  <dcterms:modified xsi:type="dcterms:W3CDTF">2023-10-10T07:00:00Z</dcterms:modified>
</cp:coreProperties>
</file>