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52" w:rsidRPr="00DB2A06" w:rsidRDefault="004A3952" w:rsidP="004A395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FD20A1" w:rsidRPr="00CD1263" w:rsidRDefault="00FD20A1" w:rsidP="00FD20A1">
      <w:pPr>
        <w:jc w:val="center"/>
        <w:rPr>
          <w:szCs w:val="24"/>
        </w:rPr>
      </w:pPr>
    </w:p>
    <w:p w:rsidR="004A3952" w:rsidRPr="004A3952" w:rsidRDefault="004A3952" w:rsidP="004A3952">
      <w:pPr>
        <w:rPr>
          <w:lang w:val="en-AU"/>
        </w:rPr>
      </w:pPr>
      <w:r w:rsidRPr="00CD1263">
        <w:rPr>
          <w:noProof/>
          <w:lang w:val="en-US"/>
        </w:rPr>
        <w:drawing>
          <wp:anchor distT="0" distB="0" distL="114300" distR="114300" simplePos="0" relativeHeight="251660288" behindDoc="1" locked="0" layoutInCell="1" allowOverlap="1" wp14:anchorId="6703CF8F" wp14:editId="183E8A3A">
            <wp:simplePos x="0" y="0"/>
            <wp:positionH relativeFrom="margin">
              <wp:align>center</wp:align>
            </wp:positionH>
            <wp:positionV relativeFrom="paragraph">
              <wp:posOffset>16510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CD1263" w:rsidRDefault="00FD20A1" w:rsidP="00FD20A1">
      <w:pPr>
        <w:pStyle w:val="Heading1"/>
        <w:rPr>
          <w:szCs w:val="24"/>
        </w:rPr>
      </w:pPr>
    </w:p>
    <w:p w:rsidR="00FD20A1" w:rsidRPr="00CD1263" w:rsidRDefault="00FD20A1" w:rsidP="00FD20A1">
      <w:pPr>
        <w:pStyle w:val="Heading1"/>
        <w:rPr>
          <w:szCs w:val="24"/>
        </w:rPr>
      </w:pPr>
    </w:p>
    <w:p w:rsidR="00FA7222" w:rsidRPr="00CD1263" w:rsidRDefault="00FA7222" w:rsidP="008E5CD1">
      <w:pPr>
        <w:spacing w:line="360" w:lineRule="auto"/>
        <w:jc w:val="center"/>
        <w:rPr>
          <w:rFonts w:ascii="Arial" w:hAnsi="Arial" w:cs="Arial"/>
          <w:b/>
          <w:sz w:val="28"/>
          <w:szCs w:val="28"/>
          <w:u w:val="single"/>
        </w:rPr>
      </w:pPr>
    </w:p>
    <w:p w:rsidR="004A3952" w:rsidRDefault="004A3952" w:rsidP="00A0334D">
      <w:pPr>
        <w:jc w:val="center"/>
        <w:rPr>
          <w:rFonts w:ascii="Arial" w:hAnsi="Arial" w:cs="Arial"/>
          <w:b/>
          <w:u w:val="single"/>
        </w:rPr>
      </w:pPr>
    </w:p>
    <w:p w:rsidR="004A3952" w:rsidRDefault="004A3952" w:rsidP="00A0334D">
      <w:pPr>
        <w:jc w:val="center"/>
        <w:rPr>
          <w:rFonts w:ascii="Arial" w:hAnsi="Arial" w:cs="Arial"/>
          <w:b/>
          <w:u w:val="single"/>
        </w:rPr>
      </w:pPr>
    </w:p>
    <w:p w:rsidR="004A3952" w:rsidRDefault="004A3952" w:rsidP="00A0334D">
      <w:pPr>
        <w:jc w:val="center"/>
        <w:rPr>
          <w:rFonts w:ascii="Arial" w:hAnsi="Arial" w:cs="Arial"/>
          <w:b/>
          <w:u w:val="single"/>
        </w:rPr>
      </w:pPr>
    </w:p>
    <w:p w:rsidR="004A3952" w:rsidRDefault="004A3952" w:rsidP="00A0334D">
      <w:pPr>
        <w:jc w:val="center"/>
        <w:rPr>
          <w:rFonts w:ascii="Arial" w:hAnsi="Arial" w:cs="Arial"/>
          <w:b/>
          <w:u w:val="single"/>
        </w:rPr>
      </w:pPr>
    </w:p>
    <w:p w:rsidR="00A0334D" w:rsidRPr="001769FC" w:rsidRDefault="00A0334D" w:rsidP="00A0334D">
      <w:pPr>
        <w:jc w:val="center"/>
        <w:rPr>
          <w:rFonts w:ascii="Arial" w:hAnsi="Arial" w:cs="Arial"/>
          <w:b/>
          <w:u w:val="single"/>
        </w:rPr>
      </w:pPr>
      <w:r w:rsidRPr="001769FC">
        <w:rPr>
          <w:rFonts w:ascii="Arial" w:hAnsi="Arial" w:cs="Arial"/>
          <w:b/>
          <w:u w:val="single"/>
        </w:rPr>
        <w:t>IN THE HIGH COURT OF SOUTH AFRICA,</w:t>
      </w:r>
    </w:p>
    <w:p w:rsidR="00A0334D" w:rsidRPr="001769FC" w:rsidRDefault="00A0334D" w:rsidP="00A0334D">
      <w:pPr>
        <w:jc w:val="center"/>
        <w:rPr>
          <w:rFonts w:ascii="Arial" w:hAnsi="Arial" w:cs="Arial"/>
          <w:b/>
          <w:u w:val="single"/>
        </w:rPr>
      </w:pPr>
      <w:r w:rsidRPr="001769FC">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1769FC" w:rsidRPr="001769FC"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1769FC" w:rsidRDefault="00A0334D" w:rsidP="00DC2AD4">
            <w:pPr>
              <w:spacing w:after="0"/>
              <w:rPr>
                <w:rFonts w:ascii="Arial" w:eastAsia="Times New Roman" w:hAnsi="Arial" w:cs="Arial"/>
                <w:b/>
                <w:sz w:val="16"/>
                <w:szCs w:val="16"/>
                <w:lang w:eastAsia="en-GB"/>
              </w:rPr>
            </w:pPr>
            <w:r w:rsidRPr="001769FC">
              <w:rPr>
                <w:rFonts w:ascii="Arial" w:hAnsi="Arial" w:cs="Arial"/>
                <w:b/>
                <w:sz w:val="16"/>
                <w:szCs w:val="16"/>
              </w:rPr>
              <w:t>Reportable:                              YES/NO</w:t>
            </w:r>
          </w:p>
          <w:p w:rsidR="00A0334D" w:rsidRPr="001769FC" w:rsidRDefault="00A0334D" w:rsidP="00DC2AD4">
            <w:pPr>
              <w:spacing w:after="0"/>
              <w:rPr>
                <w:rFonts w:ascii="Arial" w:hAnsi="Arial" w:cs="Arial"/>
                <w:b/>
                <w:sz w:val="16"/>
                <w:szCs w:val="16"/>
              </w:rPr>
            </w:pPr>
            <w:r w:rsidRPr="001769FC">
              <w:rPr>
                <w:rFonts w:ascii="Arial" w:hAnsi="Arial" w:cs="Arial"/>
                <w:b/>
                <w:sz w:val="16"/>
                <w:szCs w:val="16"/>
              </w:rPr>
              <w:t>Of Interest to other Judges:   YES/NO</w:t>
            </w:r>
          </w:p>
          <w:p w:rsidR="00A0334D" w:rsidRPr="001769FC" w:rsidRDefault="00A0334D" w:rsidP="00DC2AD4">
            <w:pPr>
              <w:spacing w:after="0"/>
              <w:rPr>
                <w:rFonts w:ascii="Arial" w:eastAsia="Times New Roman" w:hAnsi="Arial" w:cs="Arial"/>
                <w:b/>
                <w:sz w:val="16"/>
                <w:szCs w:val="16"/>
                <w:u w:val="single"/>
                <w:lang w:eastAsia="en-GB"/>
              </w:rPr>
            </w:pPr>
            <w:r w:rsidRPr="001769FC">
              <w:rPr>
                <w:rFonts w:ascii="Arial" w:hAnsi="Arial" w:cs="Arial"/>
                <w:b/>
                <w:sz w:val="16"/>
                <w:szCs w:val="16"/>
              </w:rPr>
              <w:t>Circulate to Magistrates:        YES/NO</w:t>
            </w:r>
          </w:p>
        </w:tc>
      </w:tr>
    </w:tbl>
    <w:p w:rsidR="00A0334D" w:rsidRPr="001769FC" w:rsidRDefault="00A0334D" w:rsidP="00A0334D">
      <w:pPr>
        <w:jc w:val="both"/>
        <w:rPr>
          <w:rFonts w:ascii="Arial" w:eastAsia="Times New Roman" w:hAnsi="Arial" w:cs="Arial"/>
          <w:b/>
          <w:sz w:val="28"/>
          <w:szCs w:val="28"/>
          <w:lang w:val="af-ZA" w:eastAsia="en-GB"/>
        </w:rPr>
      </w:pPr>
      <w:r w:rsidRPr="001769FC">
        <w:rPr>
          <w:rFonts w:ascii="Arial" w:hAnsi="Arial" w:cs="Arial"/>
          <w:b/>
          <w:sz w:val="28"/>
          <w:szCs w:val="28"/>
        </w:rPr>
        <w:tab/>
      </w:r>
      <w:r w:rsidRPr="001769FC">
        <w:rPr>
          <w:rFonts w:ascii="Arial" w:hAnsi="Arial" w:cs="Arial"/>
          <w:b/>
          <w:sz w:val="28"/>
          <w:szCs w:val="28"/>
        </w:rPr>
        <w:tab/>
      </w:r>
      <w:r w:rsidRPr="001769FC">
        <w:rPr>
          <w:rFonts w:ascii="Arial" w:hAnsi="Arial" w:cs="Arial"/>
          <w:b/>
          <w:sz w:val="28"/>
          <w:szCs w:val="28"/>
        </w:rPr>
        <w:tab/>
      </w:r>
      <w:r w:rsidRPr="001769FC">
        <w:rPr>
          <w:rFonts w:ascii="Arial" w:hAnsi="Arial" w:cs="Arial"/>
          <w:b/>
          <w:sz w:val="28"/>
          <w:szCs w:val="28"/>
        </w:rPr>
        <w:tab/>
      </w:r>
      <w:r w:rsidRPr="001769FC">
        <w:rPr>
          <w:rFonts w:ascii="Arial" w:hAnsi="Arial" w:cs="Arial"/>
          <w:b/>
          <w:sz w:val="28"/>
          <w:szCs w:val="28"/>
        </w:rPr>
        <w:tab/>
      </w:r>
      <w:r w:rsidRPr="001769FC">
        <w:rPr>
          <w:rFonts w:ascii="Arial" w:hAnsi="Arial" w:cs="Arial"/>
          <w:b/>
          <w:sz w:val="28"/>
          <w:szCs w:val="28"/>
        </w:rPr>
        <w:tab/>
      </w:r>
    </w:p>
    <w:p w:rsidR="00A0334D" w:rsidRPr="001769FC" w:rsidRDefault="00A0334D" w:rsidP="00E3522D">
      <w:pPr>
        <w:spacing w:after="0" w:line="240" w:lineRule="auto"/>
        <w:jc w:val="both"/>
        <w:rPr>
          <w:rFonts w:ascii="Arial" w:hAnsi="Arial" w:cs="Arial"/>
          <w:sz w:val="24"/>
          <w:szCs w:val="24"/>
        </w:rPr>
      </w:pPr>
      <w:r w:rsidRPr="001769FC">
        <w:rPr>
          <w:rFonts w:ascii="Arial" w:hAnsi="Arial" w:cs="Arial"/>
          <w:b/>
          <w:sz w:val="28"/>
          <w:szCs w:val="28"/>
        </w:rPr>
        <w:tab/>
      </w:r>
      <w:r w:rsidRPr="001769FC">
        <w:rPr>
          <w:rFonts w:ascii="Arial" w:hAnsi="Arial" w:cs="Arial"/>
          <w:b/>
          <w:sz w:val="28"/>
          <w:szCs w:val="28"/>
        </w:rPr>
        <w:tab/>
      </w:r>
      <w:r w:rsidRPr="001769FC">
        <w:rPr>
          <w:rFonts w:ascii="Arial" w:hAnsi="Arial" w:cs="Arial"/>
          <w:b/>
          <w:sz w:val="28"/>
          <w:szCs w:val="28"/>
        </w:rPr>
        <w:tab/>
      </w:r>
      <w:r w:rsidRPr="001769FC">
        <w:rPr>
          <w:rFonts w:ascii="Arial" w:hAnsi="Arial" w:cs="Arial"/>
          <w:b/>
          <w:sz w:val="28"/>
          <w:szCs w:val="28"/>
        </w:rPr>
        <w:tab/>
      </w:r>
      <w:r w:rsidR="00C52BE2" w:rsidRPr="001769FC">
        <w:rPr>
          <w:rFonts w:ascii="Arial" w:hAnsi="Arial" w:cs="Arial"/>
          <w:sz w:val="24"/>
          <w:szCs w:val="24"/>
        </w:rPr>
        <w:tab/>
      </w:r>
      <w:r w:rsidR="00C52BE2" w:rsidRPr="001769FC">
        <w:rPr>
          <w:rFonts w:ascii="Arial" w:hAnsi="Arial" w:cs="Arial"/>
          <w:sz w:val="24"/>
          <w:szCs w:val="24"/>
        </w:rPr>
        <w:tab/>
      </w:r>
      <w:r w:rsidR="00C52BE2" w:rsidRPr="001769FC">
        <w:rPr>
          <w:rFonts w:ascii="Arial" w:hAnsi="Arial" w:cs="Arial"/>
          <w:sz w:val="24"/>
          <w:szCs w:val="24"/>
        </w:rPr>
        <w:tab/>
      </w:r>
      <w:r w:rsidR="00C52BE2" w:rsidRPr="001769FC">
        <w:rPr>
          <w:rFonts w:ascii="Arial" w:hAnsi="Arial" w:cs="Arial"/>
          <w:sz w:val="24"/>
          <w:szCs w:val="24"/>
        </w:rPr>
        <w:tab/>
        <w:t>Ca</w:t>
      </w:r>
      <w:r w:rsidRPr="001769FC">
        <w:rPr>
          <w:rFonts w:ascii="Arial" w:hAnsi="Arial" w:cs="Arial"/>
          <w:sz w:val="24"/>
          <w:szCs w:val="24"/>
        </w:rPr>
        <w:t>se</w:t>
      </w:r>
      <w:r w:rsidR="00C52BE2" w:rsidRPr="001769FC">
        <w:rPr>
          <w:rFonts w:ascii="Arial" w:hAnsi="Arial" w:cs="Arial"/>
          <w:sz w:val="24"/>
          <w:szCs w:val="24"/>
        </w:rPr>
        <w:t xml:space="preserve"> </w:t>
      </w:r>
      <w:r w:rsidRPr="001769FC">
        <w:rPr>
          <w:rFonts w:ascii="Arial" w:hAnsi="Arial" w:cs="Arial"/>
          <w:sz w:val="24"/>
          <w:szCs w:val="24"/>
        </w:rPr>
        <w:t>number:</w:t>
      </w:r>
      <w:r w:rsidR="002A5285" w:rsidRPr="001769FC">
        <w:rPr>
          <w:rFonts w:ascii="Arial" w:hAnsi="Arial" w:cs="Arial"/>
          <w:sz w:val="24"/>
          <w:szCs w:val="24"/>
        </w:rPr>
        <w:t xml:space="preserve"> </w:t>
      </w:r>
      <w:r w:rsidR="0065552E" w:rsidRPr="001769FC">
        <w:rPr>
          <w:rFonts w:ascii="Arial" w:hAnsi="Arial" w:cs="Arial"/>
          <w:sz w:val="24"/>
          <w:szCs w:val="24"/>
        </w:rPr>
        <w:t>4</w:t>
      </w:r>
      <w:r w:rsidR="002A5285" w:rsidRPr="001769FC">
        <w:rPr>
          <w:rFonts w:ascii="Arial" w:hAnsi="Arial" w:cs="Arial"/>
          <w:sz w:val="24"/>
          <w:szCs w:val="24"/>
        </w:rPr>
        <w:t>150/2021</w:t>
      </w:r>
    </w:p>
    <w:p w:rsidR="0014277B" w:rsidRPr="001769FC" w:rsidRDefault="0014277B" w:rsidP="00A0334D">
      <w:pPr>
        <w:spacing w:after="0" w:line="240" w:lineRule="auto"/>
        <w:jc w:val="both"/>
        <w:rPr>
          <w:rFonts w:ascii="Arial" w:hAnsi="Arial" w:cs="Arial"/>
          <w:sz w:val="24"/>
          <w:szCs w:val="24"/>
        </w:rPr>
      </w:pPr>
    </w:p>
    <w:p w:rsidR="00A0334D" w:rsidRPr="001769FC" w:rsidRDefault="00A0334D" w:rsidP="00A0334D">
      <w:pPr>
        <w:spacing w:after="0" w:line="240" w:lineRule="auto"/>
        <w:jc w:val="both"/>
        <w:rPr>
          <w:rFonts w:ascii="Arial" w:hAnsi="Arial" w:cs="Arial"/>
          <w:sz w:val="24"/>
          <w:szCs w:val="24"/>
        </w:rPr>
      </w:pPr>
      <w:r w:rsidRPr="001769FC">
        <w:rPr>
          <w:rFonts w:ascii="Arial" w:hAnsi="Arial" w:cs="Arial"/>
          <w:sz w:val="24"/>
          <w:szCs w:val="24"/>
        </w:rPr>
        <w:t xml:space="preserve">In the matter between: </w:t>
      </w:r>
    </w:p>
    <w:p w:rsidR="00C52BE2" w:rsidRPr="001769FC" w:rsidRDefault="00C52BE2" w:rsidP="00A0334D">
      <w:pPr>
        <w:spacing w:after="0" w:line="240" w:lineRule="auto"/>
        <w:jc w:val="both"/>
        <w:rPr>
          <w:rFonts w:ascii="Arial" w:hAnsi="Arial" w:cs="Arial"/>
          <w:sz w:val="24"/>
          <w:szCs w:val="24"/>
        </w:rPr>
      </w:pPr>
    </w:p>
    <w:p w:rsidR="0014277B" w:rsidRPr="001769FC" w:rsidRDefault="002A5285" w:rsidP="0065552E">
      <w:pPr>
        <w:spacing w:after="0" w:line="360" w:lineRule="auto"/>
        <w:rPr>
          <w:rFonts w:ascii="Arial" w:hAnsi="Arial" w:cs="Arial"/>
          <w:sz w:val="24"/>
          <w:szCs w:val="24"/>
        </w:rPr>
      </w:pPr>
      <w:r w:rsidRPr="001769FC">
        <w:rPr>
          <w:rFonts w:ascii="Arial" w:hAnsi="Arial" w:cs="Arial"/>
          <w:b/>
          <w:sz w:val="24"/>
          <w:szCs w:val="24"/>
          <w:u w:val="single"/>
        </w:rPr>
        <w:t>THE STANDARD BANK OF SOUTH AFRICA</w:t>
      </w:r>
      <w:r w:rsidRPr="001769FC">
        <w:rPr>
          <w:rFonts w:ascii="Arial" w:hAnsi="Arial" w:cs="Arial"/>
          <w:b/>
          <w:sz w:val="24"/>
          <w:szCs w:val="24"/>
        </w:rPr>
        <w:tab/>
      </w:r>
      <w:r w:rsidR="0014277B" w:rsidRPr="001769FC">
        <w:rPr>
          <w:rFonts w:ascii="Arial" w:hAnsi="Arial" w:cs="Arial"/>
          <w:b/>
          <w:sz w:val="24"/>
          <w:szCs w:val="24"/>
        </w:rPr>
        <w:tab/>
      </w:r>
      <w:r w:rsidR="001620A3" w:rsidRPr="001769FC">
        <w:rPr>
          <w:rFonts w:ascii="Arial" w:hAnsi="Arial" w:cs="Arial"/>
          <w:sz w:val="24"/>
          <w:szCs w:val="24"/>
        </w:rPr>
        <w:t>Applicant</w:t>
      </w:r>
      <w:r w:rsidR="0065552E" w:rsidRPr="001769FC">
        <w:rPr>
          <w:rFonts w:ascii="Arial" w:hAnsi="Arial" w:cs="Arial"/>
          <w:sz w:val="24"/>
          <w:szCs w:val="24"/>
        </w:rPr>
        <w:t xml:space="preserve"> / Plaintiff</w:t>
      </w:r>
    </w:p>
    <w:p w:rsidR="0065552E" w:rsidRPr="001769FC" w:rsidRDefault="0065552E" w:rsidP="0065552E">
      <w:pPr>
        <w:spacing w:after="0" w:line="360" w:lineRule="auto"/>
        <w:rPr>
          <w:rFonts w:ascii="Arial" w:hAnsi="Arial" w:cs="Arial"/>
          <w:sz w:val="24"/>
          <w:szCs w:val="24"/>
        </w:rPr>
      </w:pPr>
      <w:r w:rsidRPr="001769FC">
        <w:rPr>
          <w:rFonts w:ascii="Arial" w:hAnsi="Arial" w:cs="Arial"/>
          <w:sz w:val="24"/>
          <w:szCs w:val="24"/>
        </w:rPr>
        <w:t xml:space="preserve">[Registration Number: </w:t>
      </w:r>
      <w:r w:rsidR="002A5285" w:rsidRPr="001769FC">
        <w:rPr>
          <w:rFonts w:ascii="Arial" w:hAnsi="Arial" w:cs="Arial"/>
          <w:sz w:val="24"/>
          <w:szCs w:val="24"/>
        </w:rPr>
        <w:t>1962/000738/06</w:t>
      </w:r>
      <w:r w:rsidRPr="001769FC">
        <w:rPr>
          <w:rFonts w:ascii="Arial" w:hAnsi="Arial" w:cs="Arial"/>
          <w:sz w:val="24"/>
          <w:szCs w:val="24"/>
        </w:rPr>
        <w:t>]</w:t>
      </w:r>
    </w:p>
    <w:p w:rsidR="00BE3374" w:rsidRPr="001769FC" w:rsidRDefault="00BE3374" w:rsidP="00BE3374">
      <w:pPr>
        <w:spacing w:line="360" w:lineRule="auto"/>
        <w:rPr>
          <w:rFonts w:ascii="Arial" w:hAnsi="Arial" w:cs="Arial"/>
          <w:sz w:val="24"/>
          <w:szCs w:val="24"/>
        </w:rPr>
      </w:pPr>
      <w:r w:rsidRPr="001769FC">
        <w:rPr>
          <w:rFonts w:ascii="Arial" w:hAnsi="Arial" w:cs="Arial"/>
          <w:sz w:val="24"/>
          <w:szCs w:val="24"/>
        </w:rPr>
        <w:t>And</w:t>
      </w:r>
    </w:p>
    <w:p w:rsidR="009B2A7C" w:rsidRPr="001769FC" w:rsidRDefault="002A5285" w:rsidP="004A23DC">
      <w:pPr>
        <w:spacing w:after="0" w:line="360" w:lineRule="auto"/>
        <w:rPr>
          <w:rFonts w:ascii="Arial" w:hAnsi="Arial" w:cs="Arial"/>
          <w:sz w:val="24"/>
          <w:szCs w:val="24"/>
        </w:rPr>
      </w:pPr>
      <w:r w:rsidRPr="001769FC">
        <w:rPr>
          <w:rFonts w:ascii="Arial" w:hAnsi="Arial" w:cs="Arial"/>
          <w:b/>
          <w:sz w:val="24"/>
          <w:szCs w:val="24"/>
          <w:u w:val="single"/>
        </w:rPr>
        <w:t>ALETTA MALESELA MOKOENA</w:t>
      </w:r>
      <w:r w:rsidR="004A23DC" w:rsidRPr="001769FC">
        <w:rPr>
          <w:rFonts w:ascii="Arial" w:hAnsi="Arial" w:cs="Arial"/>
          <w:b/>
          <w:sz w:val="24"/>
          <w:szCs w:val="24"/>
        </w:rPr>
        <w:tab/>
      </w:r>
      <w:r w:rsidR="004A23DC" w:rsidRPr="001769FC">
        <w:rPr>
          <w:rFonts w:ascii="Arial" w:hAnsi="Arial" w:cs="Arial"/>
          <w:b/>
          <w:sz w:val="24"/>
          <w:szCs w:val="24"/>
        </w:rPr>
        <w:tab/>
      </w:r>
      <w:r w:rsidR="004A23DC" w:rsidRPr="001769FC">
        <w:rPr>
          <w:rFonts w:ascii="Arial" w:hAnsi="Arial" w:cs="Arial"/>
          <w:b/>
          <w:sz w:val="24"/>
          <w:szCs w:val="24"/>
        </w:rPr>
        <w:tab/>
      </w:r>
      <w:r w:rsidR="00BE3374" w:rsidRPr="001769FC">
        <w:rPr>
          <w:rFonts w:ascii="Arial" w:hAnsi="Arial" w:cs="Arial"/>
          <w:sz w:val="24"/>
          <w:szCs w:val="24"/>
        </w:rPr>
        <w:t>Respondent</w:t>
      </w:r>
      <w:r w:rsidR="004A23DC" w:rsidRPr="001769FC">
        <w:rPr>
          <w:rFonts w:ascii="Arial" w:hAnsi="Arial" w:cs="Arial"/>
          <w:sz w:val="24"/>
          <w:szCs w:val="24"/>
        </w:rPr>
        <w:t xml:space="preserve">/ Defendant </w:t>
      </w:r>
    </w:p>
    <w:p w:rsidR="004A23DC" w:rsidRPr="001769FC" w:rsidRDefault="004A23DC" w:rsidP="004A23DC">
      <w:pPr>
        <w:spacing w:after="0" w:line="360" w:lineRule="auto"/>
        <w:rPr>
          <w:rFonts w:ascii="Arial" w:hAnsi="Arial" w:cs="Arial"/>
          <w:sz w:val="24"/>
          <w:szCs w:val="24"/>
        </w:rPr>
      </w:pPr>
      <w:r w:rsidRPr="001769FC">
        <w:rPr>
          <w:rFonts w:ascii="Arial" w:hAnsi="Arial" w:cs="Arial"/>
          <w:sz w:val="24"/>
          <w:szCs w:val="24"/>
        </w:rPr>
        <w:t xml:space="preserve">[Identity number: </w:t>
      </w:r>
      <w:r w:rsidR="004A3952">
        <w:rPr>
          <w:rFonts w:ascii="Arial" w:hAnsi="Arial" w:cs="Arial"/>
          <w:sz w:val="24"/>
          <w:szCs w:val="24"/>
        </w:rPr>
        <w:t xml:space="preserve">[…] </w:t>
      </w:r>
      <w:bookmarkStart w:id="0" w:name="_GoBack"/>
      <w:bookmarkEnd w:id="0"/>
      <w:r w:rsidRPr="001769FC">
        <w:rPr>
          <w:rFonts w:ascii="Arial" w:hAnsi="Arial" w:cs="Arial"/>
          <w:sz w:val="24"/>
          <w:szCs w:val="24"/>
        </w:rPr>
        <w:t>]</w:t>
      </w:r>
    </w:p>
    <w:p w:rsidR="00A0334D" w:rsidRPr="001769FC" w:rsidRDefault="00A0334D" w:rsidP="004F7657">
      <w:pPr>
        <w:pBdr>
          <w:bottom w:val="single" w:sz="12" w:space="1" w:color="auto"/>
        </w:pBdr>
        <w:spacing w:after="0" w:line="240" w:lineRule="auto"/>
        <w:rPr>
          <w:rFonts w:ascii="Arial" w:hAnsi="Arial" w:cs="Arial"/>
          <w:b/>
          <w:sz w:val="28"/>
          <w:szCs w:val="28"/>
        </w:rPr>
      </w:pPr>
      <w:r w:rsidRPr="001769FC">
        <w:rPr>
          <w:rFonts w:ascii="Arial" w:hAnsi="Arial" w:cs="Arial"/>
          <w:b/>
          <w:sz w:val="28"/>
          <w:szCs w:val="28"/>
        </w:rPr>
        <w:tab/>
      </w:r>
      <w:r w:rsidRPr="001769FC">
        <w:rPr>
          <w:rFonts w:ascii="Arial" w:hAnsi="Arial" w:cs="Arial"/>
          <w:b/>
          <w:sz w:val="28"/>
          <w:szCs w:val="28"/>
        </w:rPr>
        <w:tab/>
      </w:r>
    </w:p>
    <w:p w:rsidR="00A0334D" w:rsidRPr="001769FC" w:rsidRDefault="00A0334D" w:rsidP="00AD2EBF">
      <w:pPr>
        <w:tabs>
          <w:tab w:val="left" w:pos="2835"/>
        </w:tabs>
        <w:spacing w:after="0" w:line="240" w:lineRule="auto"/>
        <w:contextualSpacing/>
        <w:jc w:val="both"/>
        <w:rPr>
          <w:rFonts w:ascii="Arial" w:hAnsi="Arial" w:cs="Arial"/>
          <w:b/>
          <w:sz w:val="28"/>
          <w:szCs w:val="28"/>
          <w:u w:val="single"/>
        </w:rPr>
      </w:pPr>
    </w:p>
    <w:p w:rsidR="00A0334D" w:rsidRPr="001769FC" w:rsidRDefault="00A0334D" w:rsidP="00506EB4">
      <w:pPr>
        <w:tabs>
          <w:tab w:val="left" w:pos="3544"/>
          <w:tab w:val="left" w:pos="3686"/>
        </w:tabs>
        <w:spacing w:after="0" w:line="240" w:lineRule="auto"/>
        <w:contextualSpacing/>
        <w:jc w:val="both"/>
        <w:rPr>
          <w:rFonts w:ascii="Arial" w:hAnsi="Arial" w:cs="Arial"/>
          <w:sz w:val="24"/>
          <w:szCs w:val="24"/>
          <w:u w:val="single"/>
        </w:rPr>
      </w:pPr>
      <w:r w:rsidRPr="001769FC">
        <w:rPr>
          <w:rFonts w:ascii="Arial" w:hAnsi="Arial" w:cs="Arial"/>
          <w:b/>
          <w:sz w:val="24"/>
          <w:szCs w:val="24"/>
          <w:u w:val="single"/>
        </w:rPr>
        <w:t>HEARD ON:</w:t>
      </w:r>
      <w:r w:rsidR="00506EB4" w:rsidRPr="001769FC">
        <w:rPr>
          <w:rFonts w:ascii="Arial" w:hAnsi="Arial" w:cs="Arial"/>
          <w:b/>
          <w:sz w:val="24"/>
          <w:szCs w:val="24"/>
        </w:rPr>
        <w:tab/>
      </w:r>
      <w:r w:rsidR="00BE3374" w:rsidRPr="001769FC">
        <w:rPr>
          <w:rFonts w:ascii="Arial" w:hAnsi="Arial" w:cs="Arial"/>
          <w:sz w:val="24"/>
          <w:szCs w:val="24"/>
        </w:rPr>
        <w:t>1</w:t>
      </w:r>
      <w:r w:rsidR="002A5285" w:rsidRPr="001769FC">
        <w:rPr>
          <w:rFonts w:ascii="Arial" w:hAnsi="Arial" w:cs="Arial"/>
          <w:sz w:val="24"/>
          <w:szCs w:val="24"/>
        </w:rPr>
        <w:t>5 SEPTEMBER 2022</w:t>
      </w:r>
    </w:p>
    <w:p w:rsidR="00A0334D" w:rsidRPr="001769FC"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1769FC" w:rsidRDefault="00A0334D" w:rsidP="00A0334D">
      <w:pPr>
        <w:spacing w:after="0" w:line="240" w:lineRule="auto"/>
        <w:contextualSpacing/>
        <w:jc w:val="both"/>
        <w:rPr>
          <w:rFonts w:ascii="Arial" w:hAnsi="Arial" w:cs="Arial"/>
          <w:b/>
          <w:sz w:val="24"/>
          <w:szCs w:val="24"/>
        </w:rPr>
      </w:pPr>
    </w:p>
    <w:p w:rsidR="0014277B" w:rsidRPr="001769FC" w:rsidRDefault="00A0334D" w:rsidP="00506EB4">
      <w:pPr>
        <w:rPr>
          <w:rFonts w:ascii="Arial" w:hAnsi="Arial" w:cs="Arial"/>
          <w:b/>
          <w:sz w:val="24"/>
          <w:szCs w:val="24"/>
        </w:rPr>
      </w:pPr>
      <w:r w:rsidRPr="001769FC">
        <w:rPr>
          <w:rFonts w:ascii="Arial" w:hAnsi="Arial" w:cs="Arial"/>
          <w:b/>
          <w:sz w:val="24"/>
          <w:szCs w:val="24"/>
          <w:u w:val="single"/>
        </w:rPr>
        <w:t>JUDGMENT BY:</w:t>
      </w:r>
      <w:r w:rsidR="00506EB4" w:rsidRPr="001769FC">
        <w:rPr>
          <w:rFonts w:ascii="Arial" w:hAnsi="Arial" w:cs="Arial"/>
          <w:b/>
          <w:sz w:val="24"/>
          <w:szCs w:val="24"/>
        </w:rPr>
        <w:tab/>
      </w:r>
      <w:r w:rsidR="00506EB4" w:rsidRPr="001769FC">
        <w:rPr>
          <w:rFonts w:ascii="Arial" w:hAnsi="Arial" w:cs="Arial"/>
          <w:b/>
          <w:sz w:val="24"/>
          <w:szCs w:val="24"/>
        </w:rPr>
        <w:tab/>
      </w:r>
      <w:r w:rsidR="00506EB4" w:rsidRPr="001769FC">
        <w:rPr>
          <w:rFonts w:ascii="Arial" w:hAnsi="Arial" w:cs="Arial"/>
          <w:b/>
          <w:sz w:val="24"/>
          <w:szCs w:val="24"/>
        </w:rPr>
        <w:tab/>
      </w:r>
      <w:r w:rsidR="000A451E" w:rsidRPr="001769FC">
        <w:rPr>
          <w:rFonts w:ascii="Arial" w:hAnsi="Arial" w:cs="Arial"/>
          <w:sz w:val="24"/>
          <w:szCs w:val="24"/>
        </w:rPr>
        <w:t xml:space="preserve">DANISO, </w:t>
      </w:r>
      <w:r w:rsidR="0014277B" w:rsidRPr="001769FC">
        <w:rPr>
          <w:rFonts w:ascii="Arial" w:hAnsi="Arial" w:cs="Arial"/>
          <w:sz w:val="24"/>
          <w:szCs w:val="24"/>
        </w:rPr>
        <w:t>J</w:t>
      </w:r>
    </w:p>
    <w:p w:rsidR="00A0334D" w:rsidRPr="001769FC"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1769FC" w:rsidRDefault="00A0334D" w:rsidP="00A0334D">
      <w:pPr>
        <w:spacing w:after="0" w:line="240" w:lineRule="auto"/>
        <w:contextualSpacing/>
        <w:jc w:val="both"/>
        <w:rPr>
          <w:rFonts w:ascii="Arial" w:hAnsi="Arial" w:cs="Arial"/>
          <w:b/>
          <w:sz w:val="24"/>
          <w:szCs w:val="24"/>
        </w:rPr>
      </w:pPr>
    </w:p>
    <w:p w:rsidR="000A451E" w:rsidRPr="001769FC" w:rsidRDefault="00A0334D" w:rsidP="000D217D">
      <w:pPr>
        <w:spacing w:after="0" w:line="360" w:lineRule="auto"/>
        <w:jc w:val="both"/>
        <w:rPr>
          <w:rFonts w:ascii="Arial" w:hAnsi="Arial" w:cs="Arial"/>
          <w:sz w:val="24"/>
          <w:szCs w:val="24"/>
        </w:rPr>
      </w:pPr>
      <w:r w:rsidRPr="001769FC">
        <w:rPr>
          <w:rFonts w:ascii="Arial" w:hAnsi="Arial" w:cs="Arial"/>
          <w:b/>
          <w:sz w:val="24"/>
          <w:szCs w:val="24"/>
          <w:u w:val="single"/>
        </w:rPr>
        <w:t>DELIVERED ON:</w:t>
      </w:r>
      <w:r w:rsidR="00AD2EBF" w:rsidRPr="001769FC">
        <w:rPr>
          <w:rFonts w:ascii="Arial" w:hAnsi="Arial" w:cs="Arial"/>
          <w:b/>
          <w:sz w:val="24"/>
          <w:szCs w:val="24"/>
        </w:rPr>
        <w:tab/>
      </w:r>
      <w:r w:rsidR="00506EB4" w:rsidRPr="001769FC">
        <w:rPr>
          <w:rFonts w:ascii="Arial" w:hAnsi="Arial" w:cs="Arial"/>
          <w:b/>
          <w:sz w:val="24"/>
          <w:szCs w:val="24"/>
        </w:rPr>
        <w:tab/>
      </w:r>
      <w:r w:rsidR="00506EB4" w:rsidRPr="001769FC">
        <w:rPr>
          <w:rFonts w:ascii="Arial" w:hAnsi="Arial" w:cs="Arial"/>
          <w:b/>
          <w:sz w:val="24"/>
          <w:szCs w:val="24"/>
        </w:rPr>
        <w:tab/>
      </w:r>
      <w:r w:rsidR="0059246D" w:rsidRPr="001769FC">
        <w:rPr>
          <w:rFonts w:ascii="Arial" w:hAnsi="Arial" w:cs="Arial"/>
          <w:sz w:val="24"/>
          <w:szCs w:val="24"/>
          <w:shd w:val="clear" w:color="auto" w:fill="FFFFFF"/>
        </w:rPr>
        <w:t xml:space="preserve">This judgment was handed down electronically by circulation to the parties' representatives by email and by release to SAFLII. The date and time for hand-down is deemed to be </w:t>
      </w:r>
      <w:r w:rsidR="00FC697E">
        <w:rPr>
          <w:rFonts w:ascii="Arial" w:hAnsi="Arial" w:cs="Arial"/>
          <w:sz w:val="24"/>
          <w:szCs w:val="24"/>
          <w:shd w:val="clear" w:color="auto" w:fill="FFFFFF"/>
        </w:rPr>
        <w:t>11</w:t>
      </w:r>
      <w:r w:rsidR="00E46DD9" w:rsidRPr="001769FC">
        <w:rPr>
          <w:rFonts w:ascii="Arial" w:hAnsi="Arial" w:cs="Arial"/>
          <w:sz w:val="24"/>
          <w:szCs w:val="24"/>
          <w:shd w:val="clear" w:color="auto" w:fill="FFFFFF"/>
        </w:rPr>
        <w:t xml:space="preserve">h00 on </w:t>
      </w:r>
      <w:r w:rsidR="00F756D7" w:rsidRPr="001769FC">
        <w:rPr>
          <w:rFonts w:ascii="Arial" w:hAnsi="Arial" w:cs="Arial"/>
          <w:sz w:val="24"/>
          <w:szCs w:val="24"/>
          <w:shd w:val="clear" w:color="auto" w:fill="FFFFFF"/>
        </w:rPr>
        <w:t>0</w:t>
      </w:r>
      <w:r w:rsidR="00C84A90">
        <w:rPr>
          <w:rFonts w:ascii="Arial" w:hAnsi="Arial" w:cs="Arial"/>
          <w:sz w:val="24"/>
          <w:szCs w:val="24"/>
          <w:shd w:val="clear" w:color="auto" w:fill="FFFFFF"/>
        </w:rPr>
        <w:t>3</w:t>
      </w:r>
      <w:r w:rsidR="00F756D7" w:rsidRPr="001769FC">
        <w:rPr>
          <w:rFonts w:ascii="Arial" w:hAnsi="Arial" w:cs="Arial"/>
          <w:sz w:val="24"/>
          <w:szCs w:val="24"/>
          <w:shd w:val="clear" w:color="auto" w:fill="FFFFFF"/>
        </w:rPr>
        <w:t xml:space="preserve"> February 2023</w:t>
      </w:r>
    </w:p>
    <w:p w:rsidR="00A0334D" w:rsidRPr="001769FC" w:rsidRDefault="00A0334D" w:rsidP="000D217D">
      <w:pPr>
        <w:pBdr>
          <w:bottom w:val="single" w:sz="12" w:space="1" w:color="auto"/>
        </w:pBdr>
        <w:spacing w:after="0" w:line="360" w:lineRule="auto"/>
        <w:ind w:left="851" w:hanging="851"/>
        <w:jc w:val="both"/>
        <w:rPr>
          <w:rFonts w:ascii="Arial" w:hAnsi="Arial" w:cs="Arial"/>
          <w:sz w:val="28"/>
          <w:szCs w:val="28"/>
        </w:rPr>
      </w:pPr>
    </w:p>
    <w:p w:rsidR="009017EF" w:rsidRPr="001769FC" w:rsidRDefault="009017EF" w:rsidP="00A0334D">
      <w:pPr>
        <w:spacing w:after="0" w:line="360" w:lineRule="auto"/>
        <w:ind w:left="851" w:hanging="851"/>
        <w:jc w:val="both"/>
        <w:rPr>
          <w:rFonts w:ascii="Arial" w:hAnsi="Arial" w:cs="Arial"/>
          <w:sz w:val="28"/>
          <w:szCs w:val="28"/>
        </w:rPr>
      </w:pPr>
    </w:p>
    <w:p w:rsidR="00851F59" w:rsidRPr="001769FC" w:rsidRDefault="00676241" w:rsidP="00BF3BEC">
      <w:pPr>
        <w:shd w:val="clear" w:color="auto" w:fill="FFFFFF"/>
        <w:spacing w:after="0" w:line="360" w:lineRule="auto"/>
        <w:ind w:left="720" w:hanging="720"/>
        <w:jc w:val="both"/>
        <w:rPr>
          <w:rFonts w:ascii="Arial" w:hAnsi="Arial" w:cs="Arial"/>
          <w:sz w:val="24"/>
          <w:szCs w:val="24"/>
        </w:rPr>
      </w:pPr>
      <w:r w:rsidRPr="001769FC">
        <w:rPr>
          <w:rFonts w:ascii="Arial" w:hAnsi="Arial" w:cs="Arial"/>
          <w:sz w:val="24"/>
          <w:szCs w:val="24"/>
        </w:rPr>
        <w:t>[1]</w:t>
      </w:r>
      <w:r w:rsidRPr="001769FC">
        <w:rPr>
          <w:rFonts w:ascii="Arial" w:hAnsi="Arial" w:cs="Arial"/>
          <w:sz w:val="24"/>
          <w:szCs w:val="24"/>
        </w:rPr>
        <w:tab/>
      </w:r>
      <w:r w:rsidR="00851F59" w:rsidRPr="001769FC">
        <w:rPr>
          <w:rFonts w:ascii="Arial" w:hAnsi="Arial" w:cs="Arial"/>
          <w:sz w:val="24"/>
          <w:szCs w:val="24"/>
        </w:rPr>
        <w:t xml:space="preserve">This opposed summary judgment application arises from a summons issued by the applicant (“plaintiff”) against the respondent “(defendant”) as surety for payment of R1 238 634.83 together with interest and costs. </w:t>
      </w:r>
    </w:p>
    <w:p w:rsidR="005E2EC1" w:rsidRDefault="00851F59" w:rsidP="00BF3BEC">
      <w:pPr>
        <w:shd w:val="clear" w:color="auto" w:fill="FFFFFF"/>
        <w:spacing w:after="0" w:line="360" w:lineRule="auto"/>
        <w:ind w:left="720" w:hanging="720"/>
        <w:jc w:val="both"/>
        <w:rPr>
          <w:rFonts w:ascii="Arial" w:hAnsi="Arial" w:cs="Arial"/>
          <w:sz w:val="24"/>
          <w:szCs w:val="24"/>
        </w:rPr>
      </w:pPr>
      <w:r w:rsidRPr="001769FC">
        <w:rPr>
          <w:rFonts w:ascii="Arial" w:hAnsi="Arial" w:cs="Arial"/>
          <w:sz w:val="24"/>
          <w:szCs w:val="24"/>
        </w:rPr>
        <w:t>[</w:t>
      </w:r>
      <w:r w:rsidR="00C84A90">
        <w:rPr>
          <w:rFonts w:ascii="Arial" w:hAnsi="Arial" w:cs="Arial"/>
          <w:sz w:val="24"/>
          <w:szCs w:val="24"/>
        </w:rPr>
        <w:t>2</w:t>
      </w:r>
      <w:r w:rsidRPr="001769FC">
        <w:rPr>
          <w:rFonts w:ascii="Arial" w:hAnsi="Arial" w:cs="Arial"/>
          <w:sz w:val="24"/>
          <w:szCs w:val="24"/>
        </w:rPr>
        <w:t>]</w:t>
      </w:r>
      <w:r w:rsidR="00E41E98" w:rsidRPr="001769FC">
        <w:rPr>
          <w:rFonts w:ascii="Arial" w:hAnsi="Arial" w:cs="Arial"/>
          <w:sz w:val="24"/>
          <w:szCs w:val="24"/>
        </w:rPr>
        <w:tab/>
      </w:r>
      <w:r w:rsidR="00F36D81" w:rsidRPr="001769FC">
        <w:rPr>
          <w:rFonts w:ascii="Arial" w:hAnsi="Arial" w:cs="Arial"/>
          <w:sz w:val="24"/>
          <w:szCs w:val="24"/>
        </w:rPr>
        <w:t xml:space="preserve">The opposing affidavit raises points </w:t>
      </w:r>
      <w:r w:rsidR="00F36D81" w:rsidRPr="001769FC">
        <w:rPr>
          <w:rFonts w:ascii="Arial" w:hAnsi="Arial" w:cs="Arial"/>
          <w:i/>
          <w:sz w:val="24"/>
          <w:szCs w:val="24"/>
        </w:rPr>
        <w:t>in limine</w:t>
      </w:r>
      <w:r w:rsidR="00F36D81" w:rsidRPr="001769FC">
        <w:rPr>
          <w:rFonts w:ascii="Arial" w:hAnsi="Arial" w:cs="Arial"/>
          <w:sz w:val="24"/>
          <w:szCs w:val="24"/>
        </w:rPr>
        <w:t xml:space="preserve"> </w:t>
      </w:r>
      <w:r w:rsidR="00902109" w:rsidRPr="001769FC">
        <w:rPr>
          <w:rFonts w:ascii="Arial" w:hAnsi="Arial" w:cs="Arial"/>
          <w:sz w:val="24"/>
          <w:szCs w:val="24"/>
        </w:rPr>
        <w:t xml:space="preserve">in terms of which the defendant </w:t>
      </w:r>
      <w:r w:rsidR="00FC697E">
        <w:rPr>
          <w:rFonts w:ascii="Arial" w:hAnsi="Arial" w:cs="Arial"/>
          <w:sz w:val="24"/>
          <w:szCs w:val="24"/>
        </w:rPr>
        <w:t xml:space="preserve">essentially </w:t>
      </w:r>
      <w:r w:rsidR="00902109" w:rsidRPr="001769FC">
        <w:rPr>
          <w:rFonts w:ascii="Arial" w:hAnsi="Arial" w:cs="Arial"/>
          <w:sz w:val="24"/>
          <w:szCs w:val="24"/>
        </w:rPr>
        <w:t xml:space="preserve">complains about </w:t>
      </w:r>
      <w:r w:rsidR="00FC697E">
        <w:rPr>
          <w:rFonts w:ascii="Arial" w:hAnsi="Arial" w:cs="Arial"/>
          <w:sz w:val="24"/>
          <w:szCs w:val="24"/>
        </w:rPr>
        <w:t xml:space="preserve">the plaintiff’s </w:t>
      </w:r>
      <w:r w:rsidR="00902109" w:rsidRPr="001769FC">
        <w:rPr>
          <w:rFonts w:ascii="Arial" w:hAnsi="Arial" w:cs="Arial"/>
          <w:sz w:val="24"/>
          <w:szCs w:val="24"/>
        </w:rPr>
        <w:t xml:space="preserve">lack of compliance with Uniform Rule 32. </w:t>
      </w:r>
    </w:p>
    <w:p w:rsidR="00BF3BEC" w:rsidRPr="001769FC" w:rsidRDefault="00BF3BEC" w:rsidP="00BF3BEC">
      <w:pPr>
        <w:shd w:val="clear" w:color="auto" w:fill="FFFFFF"/>
        <w:spacing w:after="0" w:line="360" w:lineRule="auto"/>
        <w:ind w:left="720" w:hanging="720"/>
        <w:jc w:val="both"/>
        <w:rPr>
          <w:rFonts w:ascii="Arial" w:hAnsi="Arial" w:cs="Arial"/>
          <w:sz w:val="24"/>
          <w:szCs w:val="24"/>
        </w:rPr>
      </w:pPr>
    </w:p>
    <w:p w:rsidR="00FC697E" w:rsidRDefault="00745DC0" w:rsidP="00BF3BEC">
      <w:pPr>
        <w:shd w:val="clear" w:color="auto" w:fill="FFFFFF"/>
        <w:spacing w:after="0" w:line="360" w:lineRule="auto"/>
        <w:ind w:left="720" w:hanging="720"/>
        <w:jc w:val="both"/>
        <w:rPr>
          <w:rFonts w:ascii="Arial" w:hAnsi="Arial" w:cs="Arial"/>
          <w:sz w:val="24"/>
          <w:szCs w:val="24"/>
        </w:rPr>
      </w:pPr>
      <w:r w:rsidRPr="001769FC">
        <w:rPr>
          <w:rFonts w:ascii="Arial" w:hAnsi="Arial" w:cs="Arial"/>
          <w:sz w:val="24"/>
          <w:szCs w:val="24"/>
        </w:rPr>
        <w:t>[</w:t>
      </w:r>
      <w:r w:rsidR="00C84A90">
        <w:rPr>
          <w:rFonts w:ascii="Arial" w:hAnsi="Arial" w:cs="Arial"/>
          <w:sz w:val="24"/>
          <w:szCs w:val="24"/>
        </w:rPr>
        <w:t>3</w:t>
      </w:r>
      <w:r w:rsidRPr="001769FC">
        <w:rPr>
          <w:rFonts w:ascii="Arial" w:hAnsi="Arial" w:cs="Arial"/>
          <w:sz w:val="24"/>
          <w:szCs w:val="24"/>
        </w:rPr>
        <w:t>]</w:t>
      </w:r>
      <w:r w:rsidRPr="001769FC">
        <w:rPr>
          <w:rFonts w:ascii="Arial" w:hAnsi="Arial" w:cs="Arial"/>
          <w:sz w:val="24"/>
          <w:szCs w:val="24"/>
        </w:rPr>
        <w:tab/>
      </w:r>
      <w:r w:rsidR="00902109" w:rsidRPr="001769FC">
        <w:rPr>
          <w:rFonts w:ascii="Arial" w:hAnsi="Arial" w:cs="Arial"/>
          <w:sz w:val="24"/>
          <w:szCs w:val="24"/>
        </w:rPr>
        <w:t xml:space="preserve">According to the </w:t>
      </w:r>
      <w:r w:rsidR="00F756D7" w:rsidRPr="001769FC">
        <w:rPr>
          <w:rFonts w:ascii="Arial" w:hAnsi="Arial" w:cs="Arial"/>
          <w:sz w:val="24"/>
          <w:szCs w:val="24"/>
        </w:rPr>
        <w:t>defendant</w:t>
      </w:r>
      <w:r w:rsidR="00902109" w:rsidRPr="001769FC">
        <w:rPr>
          <w:rFonts w:ascii="Arial" w:hAnsi="Arial" w:cs="Arial"/>
          <w:sz w:val="24"/>
          <w:szCs w:val="24"/>
        </w:rPr>
        <w:t xml:space="preserve">, the plaintiff’s </w:t>
      </w:r>
      <w:r w:rsidR="00E062C2" w:rsidRPr="001769FC">
        <w:rPr>
          <w:rFonts w:ascii="Arial" w:hAnsi="Arial" w:cs="Arial"/>
          <w:sz w:val="24"/>
          <w:szCs w:val="24"/>
        </w:rPr>
        <w:t xml:space="preserve">supporting </w:t>
      </w:r>
      <w:r w:rsidR="00902109" w:rsidRPr="001769FC">
        <w:rPr>
          <w:rFonts w:ascii="Arial" w:hAnsi="Arial" w:cs="Arial"/>
          <w:sz w:val="24"/>
          <w:szCs w:val="24"/>
        </w:rPr>
        <w:t xml:space="preserve">affidavit is fatally defective for want of compliance with </w:t>
      </w:r>
      <w:r w:rsidR="00FC697E">
        <w:rPr>
          <w:rFonts w:ascii="Arial" w:hAnsi="Arial" w:cs="Arial"/>
          <w:sz w:val="24"/>
          <w:szCs w:val="24"/>
        </w:rPr>
        <w:t xml:space="preserve">subrule </w:t>
      </w:r>
      <w:r w:rsidR="00FC697E" w:rsidRPr="001769FC">
        <w:rPr>
          <w:rFonts w:ascii="Arial" w:hAnsi="Arial" w:cs="Arial"/>
          <w:sz w:val="24"/>
          <w:szCs w:val="24"/>
        </w:rPr>
        <w:t>(2)</w:t>
      </w:r>
      <w:r w:rsidR="00FC697E">
        <w:rPr>
          <w:rFonts w:ascii="Arial" w:hAnsi="Arial" w:cs="Arial"/>
          <w:sz w:val="24"/>
          <w:szCs w:val="24"/>
        </w:rPr>
        <w:t xml:space="preserve"> </w:t>
      </w:r>
      <w:r w:rsidR="00FC697E" w:rsidRPr="001769FC">
        <w:rPr>
          <w:rFonts w:ascii="Arial" w:hAnsi="Arial" w:cs="Arial"/>
          <w:sz w:val="24"/>
          <w:szCs w:val="24"/>
        </w:rPr>
        <w:t>(a) and (b)</w:t>
      </w:r>
      <w:r w:rsidR="00FC697E">
        <w:rPr>
          <w:rFonts w:ascii="Arial" w:hAnsi="Arial" w:cs="Arial"/>
          <w:sz w:val="24"/>
          <w:szCs w:val="24"/>
        </w:rPr>
        <w:t xml:space="preserve"> and </w:t>
      </w:r>
      <w:r w:rsidR="00902109" w:rsidRPr="001769FC">
        <w:rPr>
          <w:rFonts w:ascii="Arial" w:hAnsi="Arial" w:cs="Arial"/>
          <w:sz w:val="24"/>
          <w:szCs w:val="24"/>
        </w:rPr>
        <w:t>regulations 2(1), 3(1) and 4(1) of the regulations governing the administering of oath or affirmation</w:t>
      </w:r>
      <w:r w:rsidR="00902109" w:rsidRPr="001769FC">
        <w:rPr>
          <w:rStyle w:val="FootnoteReference"/>
          <w:rFonts w:ascii="Arial" w:hAnsi="Arial" w:cs="Arial"/>
          <w:sz w:val="24"/>
          <w:szCs w:val="24"/>
        </w:rPr>
        <w:footnoteReference w:id="1"/>
      </w:r>
      <w:r w:rsidR="00902109" w:rsidRPr="001769FC">
        <w:rPr>
          <w:rFonts w:ascii="Arial" w:hAnsi="Arial" w:cs="Arial"/>
          <w:sz w:val="24"/>
          <w:szCs w:val="24"/>
        </w:rPr>
        <w:t xml:space="preserve">. </w:t>
      </w:r>
    </w:p>
    <w:p w:rsidR="00FC697E" w:rsidRDefault="00FC697E" w:rsidP="00BF3BEC">
      <w:pPr>
        <w:shd w:val="clear" w:color="auto" w:fill="FFFFFF"/>
        <w:spacing w:after="0" w:line="360" w:lineRule="auto"/>
        <w:ind w:left="720" w:hanging="720"/>
        <w:jc w:val="both"/>
        <w:rPr>
          <w:rFonts w:ascii="Arial" w:hAnsi="Arial" w:cs="Arial"/>
          <w:sz w:val="24"/>
          <w:szCs w:val="24"/>
        </w:rPr>
      </w:pPr>
    </w:p>
    <w:p w:rsidR="00167016" w:rsidRPr="001769FC" w:rsidRDefault="00FC697E" w:rsidP="00BF3BEC">
      <w:pPr>
        <w:shd w:val="clear" w:color="auto" w:fill="FFFFFF"/>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02109" w:rsidRPr="001769FC">
        <w:rPr>
          <w:rFonts w:ascii="Arial" w:hAnsi="Arial" w:cs="Arial"/>
          <w:sz w:val="24"/>
          <w:szCs w:val="24"/>
        </w:rPr>
        <w:t>It is the defendant’s case that in the affidavit, the d</w:t>
      </w:r>
      <w:r w:rsidR="00F36D81" w:rsidRPr="001769FC">
        <w:rPr>
          <w:rFonts w:ascii="Arial" w:hAnsi="Arial" w:cs="Arial"/>
          <w:sz w:val="24"/>
          <w:szCs w:val="24"/>
        </w:rPr>
        <w:t>eponent, Farhana Essop has declared that she is “…</w:t>
      </w:r>
      <w:r w:rsidR="00F36D81" w:rsidRPr="001769FC">
        <w:rPr>
          <w:rFonts w:ascii="Arial" w:hAnsi="Arial" w:cs="Arial"/>
          <w:i/>
          <w:sz w:val="24"/>
          <w:szCs w:val="24"/>
        </w:rPr>
        <w:t>an adult female</w:t>
      </w:r>
      <w:r w:rsidR="00F36D81" w:rsidRPr="001769FC">
        <w:rPr>
          <w:rFonts w:ascii="Arial" w:hAnsi="Arial" w:cs="Arial"/>
          <w:sz w:val="24"/>
          <w:szCs w:val="24"/>
        </w:rPr>
        <w:t xml:space="preserve">” whereas the commissioner of oaths’ certificate refers to the deponent as a “he”. </w:t>
      </w:r>
      <w:r w:rsidR="005E2EC1" w:rsidRPr="001769FC">
        <w:rPr>
          <w:rFonts w:ascii="Arial" w:hAnsi="Arial" w:cs="Arial"/>
          <w:sz w:val="24"/>
          <w:szCs w:val="24"/>
        </w:rPr>
        <w:t>A</w:t>
      </w:r>
      <w:r w:rsidR="00F36D81" w:rsidRPr="001769FC">
        <w:rPr>
          <w:rFonts w:ascii="Arial" w:hAnsi="Arial" w:cs="Arial"/>
          <w:sz w:val="24"/>
          <w:szCs w:val="24"/>
        </w:rPr>
        <w:t>ccordingly</w:t>
      </w:r>
      <w:r w:rsidR="00F756D7" w:rsidRPr="001769FC">
        <w:rPr>
          <w:rFonts w:ascii="Arial" w:hAnsi="Arial" w:cs="Arial"/>
          <w:sz w:val="24"/>
          <w:szCs w:val="24"/>
        </w:rPr>
        <w:t xml:space="preserve">, no reliance can be placed on the commissioner of oaths certification. It cannot be confirmed whether the deponent was in fact the female Farhana Essop in whose name the affidavit was made and/or the affidavit was signed and sworn to in the presence of the commissioner of oaths. </w:t>
      </w:r>
      <w:r w:rsidR="00167016" w:rsidRPr="001769FC">
        <w:rPr>
          <w:rFonts w:ascii="Arial" w:hAnsi="Arial" w:cs="Arial"/>
          <w:sz w:val="24"/>
          <w:szCs w:val="24"/>
        </w:rPr>
        <w:t>The defendant further states that the deponent was not party to the negotiations and/or conclusion of the alleged agreements between any of the parties therefore she has no personal knowledge of the facts contained in the said affidavit</w:t>
      </w:r>
      <w:r>
        <w:rPr>
          <w:rFonts w:ascii="Arial" w:hAnsi="Arial" w:cs="Arial"/>
          <w:sz w:val="24"/>
          <w:szCs w:val="24"/>
        </w:rPr>
        <w:t xml:space="preserve"> and </w:t>
      </w:r>
      <w:r w:rsidR="00167016" w:rsidRPr="001769FC">
        <w:rPr>
          <w:rFonts w:ascii="Arial" w:hAnsi="Arial" w:cs="Arial"/>
          <w:sz w:val="24"/>
          <w:szCs w:val="24"/>
        </w:rPr>
        <w:t xml:space="preserve">the facts that the plaintiff will have to establish against the defendant to verily deny that the respondent has no bona fide defence to the plaintiff’s claim. Lastly, the </w:t>
      </w:r>
      <w:r w:rsidR="00E062C2" w:rsidRPr="001769FC">
        <w:rPr>
          <w:rFonts w:ascii="Arial" w:hAnsi="Arial" w:cs="Arial"/>
          <w:sz w:val="24"/>
          <w:szCs w:val="24"/>
        </w:rPr>
        <w:t xml:space="preserve">supporting affidavit does not </w:t>
      </w:r>
      <w:r w:rsidR="00167016" w:rsidRPr="001769FC">
        <w:rPr>
          <w:rFonts w:ascii="Arial" w:hAnsi="Arial" w:cs="Arial"/>
          <w:sz w:val="24"/>
          <w:szCs w:val="24"/>
        </w:rPr>
        <w:t>identify any point of law relied upon and the basis upon which the plaintiff contends the defence raised by the defendant does not raise any issue for trial.</w:t>
      </w:r>
    </w:p>
    <w:p w:rsidR="00324573" w:rsidRPr="001769FC" w:rsidRDefault="00324573" w:rsidP="00F756D7">
      <w:pPr>
        <w:shd w:val="clear" w:color="auto" w:fill="FFFFFF"/>
        <w:spacing w:before="144" w:after="0" w:line="360" w:lineRule="auto"/>
        <w:ind w:left="720" w:hanging="720"/>
        <w:jc w:val="both"/>
        <w:rPr>
          <w:rFonts w:ascii="Arial" w:hAnsi="Arial" w:cs="Arial"/>
          <w:sz w:val="24"/>
          <w:szCs w:val="24"/>
        </w:rPr>
      </w:pPr>
    </w:p>
    <w:p w:rsidR="00167016" w:rsidRPr="001769FC" w:rsidRDefault="00324573" w:rsidP="00167016">
      <w:pPr>
        <w:spacing w:after="0" w:line="360" w:lineRule="auto"/>
        <w:ind w:left="720" w:hanging="720"/>
        <w:jc w:val="both"/>
        <w:rPr>
          <w:rFonts w:ascii="Arial" w:hAnsi="Arial" w:cs="Arial"/>
          <w:sz w:val="24"/>
          <w:szCs w:val="24"/>
        </w:rPr>
      </w:pPr>
      <w:r w:rsidRPr="001769FC">
        <w:rPr>
          <w:rFonts w:ascii="Arial" w:hAnsi="Arial" w:cs="Arial"/>
          <w:sz w:val="24"/>
          <w:szCs w:val="24"/>
        </w:rPr>
        <w:t>[</w:t>
      </w:r>
      <w:r w:rsidR="00C84A90">
        <w:rPr>
          <w:rFonts w:ascii="Arial" w:hAnsi="Arial" w:cs="Arial"/>
          <w:sz w:val="24"/>
          <w:szCs w:val="24"/>
        </w:rPr>
        <w:t>4</w:t>
      </w:r>
      <w:r w:rsidRPr="001769FC">
        <w:rPr>
          <w:rFonts w:ascii="Arial" w:hAnsi="Arial" w:cs="Arial"/>
          <w:sz w:val="24"/>
          <w:szCs w:val="24"/>
        </w:rPr>
        <w:t>]</w:t>
      </w:r>
      <w:r w:rsidRPr="001769FC">
        <w:rPr>
          <w:rFonts w:ascii="Arial" w:hAnsi="Arial" w:cs="Arial"/>
          <w:sz w:val="24"/>
          <w:szCs w:val="24"/>
        </w:rPr>
        <w:tab/>
      </w:r>
      <w:r w:rsidR="00167016" w:rsidRPr="001769FC">
        <w:rPr>
          <w:rFonts w:ascii="Arial" w:hAnsi="Arial" w:cs="Arial"/>
          <w:sz w:val="24"/>
          <w:szCs w:val="24"/>
        </w:rPr>
        <w:t xml:space="preserve">Regulation 4 (1) provides that: </w:t>
      </w:r>
    </w:p>
    <w:p w:rsidR="00167016" w:rsidRPr="001769FC" w:rsidRDefault="00167016" w:rsidP="00167016">
      <w:pPr>
        <w:spacing w:after="0" w:line="360" w:lineRule="auto"/>
        <w:ind w:left="720" w:hanging="720"/>
        <w:jc w:val="both"/>
        <w:rPr>
          <w:rFonts w:ascii="Arial" w:hAnsi="Arial" w:cs="Arial"/>
          <w:sz w:val="24"/>
          <w:szCs w:val="24"/>
        </w:rPr>
      </w:pPr>
    </w:p>
    <w:p w:rsidR="00167016" w:rsidRPr="001769FC" w:rsidRDefault="00167016" w:rsidP="00167016">
      <w:pPr>
        <w:spacing w:after="0" w:line="360" w:lineRule="auto"/>
        <w:ind w:left="1440"/>
        <w:jc w:val="both"/>
        <w:rPr>
          <w:rFonts w:ascii="Arial" w:hAnsi="Arial" w:cs="Arial"/>
          <w:sz w:val="24"/>
          <w:szCs w:val="24"/>
        </w:rPr>
      </w:pPr>
      <w:r w:rsidRPr="001769FC">
        <w:rPr>
          <w:rFonts w:ascii="Arial" w:hAnsi="Arial" w:cs="Arial"/>
          <w:sz w:val="24"/>
          <w:szCs w:val="24"/>
        </w:rPr>
        <w:lastRenderedPageBreak/>
        <w:t>“</w:t>
      </w:r>
      <w:r w:rsidRPr="001769FC">
        <w:rPr>
          <w:rFonts w:ascii="Arial" w:hAnsi="Arial" w:cs="Arial"/>
          <w:i/>
          <w:sz w:val="20"/>
          <w:szCs w:val="20"/>
        </w:rPr>
        <w:t>Below the deponent's signature or mark the commissioner of oaths shall certify that the deponent has acknowledged that he knows and understands the contents of the declaration and he shall state the manner, place and date of taking the declaration</w:t>
      </w:r>
      <w:r w:rsidRPr="001769FC">
        <w:rPr>
          <w:rFonts w:ascii="Verdana" w:hAnsi="Verdana"/>
          <w:sz w:val="20"/>
          <w:szCs w:val="20"/>
        </w:rPr>
        <w:t xml:space="preserve">.” </w:t>
      </w:r>
    </w:p>
    <w:p w:rsidR="00167016" w:rsidRPr="001769FC" w:rsidRDefault="00167016" w:rsidP="00BF3BEC">
      <w:pPr>
        <w:shd w:val="clear" w:color="auto" w:fill="FFFFFF"/>
        <w:spacing w:after="0" w:line="360" w:lineRule="auto"/>
        <w:ind w:left="720" w:hanging="720"/>
        <w:jc w:val="both"/>
        <w:rPr>
          <w:rFonts w:ascii="Arial" w:hAnsi="Arial" w:cs="Arial"/>
          <w:sz w:val="24"/>
          <w:szCs w:val="24"/>
        </w:rPr>
      </w:pPr>
    </w:p>
    <w:p w:rsidR="00167016" w:rsidRPr="001769FC" w:rsidRDefault="00C84A90" w:rsidP="00167016">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167016" w:rsidRPr="001769FC">
        <w:rPr>
          <w:rFonts w:ascii="Arial" w:hAnsi="Arial" w:cs="Arial"/>
          <w:sz w:val="24"/>
          <w:szCs w:val="24"/>
        </w:rPr>
        <w:t>The commissioner of oaths certified the affidavit as follows:</w:t>
      </w:r>
    </w:p>
    <w:p w:rsidR="00167016" w:rsidRPr="001769FC" w:rsidRDefault="00167016" w:rsidP="00167016">
      <w:pPr>
        <w:spacing w:after="0" w:line="360" w:lineRule="auto"/>
        <w:ind w:left="720" w:hanging="720"/>
        <w:jc w:val="both"/>
        <w:rPr>
          <w:rFonts w:ascii="Arial" w:hAnsi="Arial" w:cs="Arial"/>
          <w:sz w:val="24"/>
          <w:szCs w:val="24"/>
        </w:rPr>
      </w:pPr>
    </w:p>
    <w:p w:rsidR="00167016" w:rsidRPr="001769FC" w:rsidRDefault="00167016" w:rsidP="00167016">
      <w:pPr>
        <w:spacing w:after="0" w:line="360" w:lineRule="auto"/>
        <w:ind w:left="1440"/>
        <w:jc w:val="both"/>
        <w:rPr>
          <w:rFonts w:ascii="Arial" w:hAnsi="Arial" w:cs="Arial"/>
          <w:sz w:val="20"/>
          <w:szCs w:val="20"/>
        </w:rPr>
      </w:pPr>
      <w:r w:rsidRPr="001769FC">
        <w:rPr>
          <w:rFonts w:ascii="Arial" w:hAnsi="Arial" w:cs="Arial"/>
          <w:sz w:val="20"/>
          <w:szCs w:val="20"/>
        </w:rPr>
        <w:t>“</w:t>
      </w:r>
      <w:r w:rsidRPr="001769FC">
        <w:rPr>
          <w:rFonts w:ascii="Arial" w:hAnsi="Arial" w:cs="Arial"/>
          <w:i/>
          <w:sz w:val="20"/>
          <w:szCs w:val="20"/>
        </w:rPr>
        <w:t xml:space="preserve">I certify that the above signature is the true signature of </w:t>
      </w:r>
      <w:r w:rsidRPr="001769FC">
        <w:rPr>
          <w:rFonts w:ascii="Arial" w:hAnsi="Arial" w:cs="Arial"/>
          <w:b/>
          <w:i/>
          <w:sz w:val="20"/>
          <w:szCs w:val="20"/>
        </w:rPr>
        <w:t>FARHAN</w:t>
      </w:r>
      <w:r w:rsidR="00345816" w:rsidRPr="001769FC">
        <w:rPr>
          <w:rFonts w:ascii="Arial" w:hAnsi="Arial" w:cs="Arial"/>
          <w:b/>
          <w:i/>
          <w:sz w:val="20"/>
          <w:szCs w:val="20"/>
        </w:rPr>
        <w:t xml:space="preserve">A ESSOP </w:t>
      </w:r>
      <w:r w:rsidR="00345816" w:rsidRPr="001769FC">
        <w:rPr>
          <w:rFonts w:ascii="Arial" w:hAnsi="Arial" w:cs="Arial"/>
          <w:i/>
          <w:sz w:val="20"/>
          <w:szCs w:val="20"/>
        </w:rPr>
        <w:t>and that he acknowledged that he knows and un</w:t>
      </w:r>
      <w:r w:rsidRPr="001769FC">
        <w:rPr>
          <w:rFonts w:ascii="Arial" w:hAnsi="Arial" w:cs="Arial"/>
          <w:i/>
          <w:sz w:val="20"/>
          <w:szCs w:val="20"/>
        </w:rPr>
        <w:t xml:space="preserve">derstands the contents of this affidavit, which was signed and sworn to before me at </w:t>
      </w:r>
      <w:r w:rsidR="00345816" w:rsidRPr="001769FC">
        <w:rPr>
          <w:rFonts w:ascii="Arial" w:hAnsi="Arial" w:cs="Arial"/>
          <w:i/>
          <w:sz w:val="20"/>
          <w:szCs w:val="20"/>
        </w:rPr>
        <w:t>my office at ALBERTON on this 12</w:t>
      </w:r>
      <w:r w:rsidR="00345816" w:rsidRPr="001769FC">
        <w:rPr>
          <w:rFonts w:ascii="Arial" w:hAnsi="Arial" w:cs="Arial"/>
          <w:i/>
          <w:sz w:val="20"/>
          <w:szCs w:val="20"/>
          <w:vertAlign w:val="superscript"/>
        </w:rPr>
        <w:t>th</w:t>
      </w:r>
      <w:r w:rsidR="00345816" w:rsidRPr="001769FC">
        <w:rPr>
          <w:rFonts w:ascii="Arial" w:hAnsi="Arial" w:cs="Arial"/>
          <w:i/>
          <w:sz w:val="20"/>
          <w:szCs w:val="20"/>
        </w:rPr>
        <w:t xml:space="preserve"> day of </w:t>
      </w:r>
      <w:r w:rsidR="00345816" w:rsidRPr="001769FC">
        <w:rPr>
          <w:rFonts w:ascii="Arial" w:hAnsi="Arial" w:cs="Arial"/>
          <w:b/>
          <w:i/>
          <w:sz w:val="20"/>
          <w:szCs w:val="20"/>
        </w:rPr>
        <w:t xml:space="preserve">APRIL 2022 </w:t>
      </w:r>
      <w:r w:rsidR="00345816" w:rsidRPr="001769FC">
        <w:rPr>
          <w:rFonts w:ascii="Arial" w:hAnsi="Arial" w:cs="Arial"/>
          <w:i/>
          <w:sz w:val="20"/>
          <w:szCs w:val="20"/>
        </w:rPr>
        <w:t xml:space="preserve">in accordance with the provisions of Regulation No. </w:t>
      </w:r>
      <w:r w:rsidRPr="001769FC">
        <w:rPr>
          <w:rFonts w:ascii="Arial" w:hAnsi="Arial" w:cs="Arial"/>
          <w:i/>
          <w:sz w:val="20"/>
          <w:szCs w:val="20"/>
        </w:rPr>
        <w:t>1258 dated 21 July 1972 (as amended) and Government Notice Number R1648 dated 19</w:t>
      </w:r>
      <w:r w:rsidRPr="001769FC">
        <w:rPr>
          <w:rFonts w:ascii="Arial" w:hAnsi="Arial" w:cs="Arial"/>
          <w:i/>
          <w:sz w:val="20"/>
          <w:szCs w:val="20"/>
          <w:vertAlign w:val="superscript"/>
        </w:rPr>
        <w:t>th</w:t>
      </w:r>
      <w:r w:rsidRPr="001769FC">
        <w:rPr>
          <w:rFonts w:ascii="Arial" w:hAnsi="Arial" w:cs="Arial"/>
          <w:i/>
          <w:sz w:val="20"/>
          <w:szCs w:val="20"/>
        </w:rPr>
        <w:t xml:space="preserve"> August 1977 as amended</w:t>
      </w:r>
      <w:r w:rsidR="00345816" w:rsidRPr="001769FC">
        <w:rPr>
          <w:rFonts w:ascii="Arial" w:hAnsi="Arial" w:cs="Arial"/>
          <w:i/>
          <w:sz w:val="20"/>
          <w:szCs w:val="20"/>
        </w:rPr>
        <w:t>.</w:t>
      </w:r>
      <w:r w:rsidRPr="001769FC">
        <w:rPr>
          <w:rFonts w:ascii="Arial" w:hAnsi="Arial" w:cs="Arial"/>
          <w:sz w:val="20"/>
          <w:szCs w:val="20"/>
        </w:rPr>
        <w:t>”</w:t>
      </w:r>
    </w:p>
    <w:p w:rsidR="00167016" w:rsidRPr="001769FC" w:rsidRDefault="00167016" w:rsidP="00BF3BEC">
      <w:pPr>
        <w:shd w:val="clear" w:color="auto" w:fill="FFFFFF"/>
        <w:spacing w:after="0" w:line="360" w:lineRule="auto"/>
        <w:ind w:left="720" w:hanging="720"/>
        <w:jc w:val="both"/>
        <w:rPr>
          <w:rFonts w:ascii="Arial" w:hAnsi="Arial" w:cs="Arial"/>
          <w:sz w:val="24"/>
          <w:szCs w:val="24"/>
        </w:rPr>
      </w:pPr>
    </w:p>
    <w:p w:rsidR="00C8402E" w:rsidRPr="001769FC" w:rsidRDefault="00167016" w:rsidP="00BF3BEC">
      <w:pPr>
        <w:shd w:val="clear" w:color="auto" w:fill="FFFFFF"/>
        <w:spacing w:after="0" w:line="360" w:lineRule="auto"/>
        <w:ind w:left="720" w:hanging="720"/>
        <w:jc w:val="both"/>
        <w:rPr>
          <w:rFonts w:ascii="Arial" w:hAnsi="Arial" w:cs="Arial"/>
          <w:sz w:val="24"/>
          <w:szCs w:val="24"/>
        </w:rPr>
      </w:pPr>
      <w:r w:rsidRPr="001769FC">
        <w:rPr>
          <w:rFonts w:ascii="Arial" w:hAnsi="Arial" w:cs="Arial"/>
          <w:sz w:val="24"/>
          <w:szCs w:val="24"/>
        </w:rPr>
        <w:t>[</w:t>
      </w:r>
      <w:r w:rsidR="00C84A90">
        <w:rPr>
          <w:rFonts w:ascii="Arial" w:hAnsi="Arial" w:cs="Arial"/>
          <w:sz w:val="24"/>
          <w:szCs w:val="24"/>
        </w:rPr>
        <w:t>6</w:t>
      </w:r>
      <w:r w:rsidRPr="001769FC">
        <w:rPr>
          <w:rFonts w:ascii="Arial" w:hAnsi="Arial" w:cs="Arial"/>
          <w:sz w:val="24"/>
          <w:szCs w:val="24"/>
        </w:rPr>
        <w:t>]</w:t>
      </w:r>
      <w:r w:rsidRPr="001769FC">
        <w:rPr>
          <w:rFonts w:ascii="Arial" w:hAnsi="Arial" w:cs="Arial"/>
          <w:sz w:val="24"/>
          <w:szCs w:val="24"/>
        </w:rPr>
        <w:tab/>
      </w:r>
      <w:r w:rsidR="00C8402E" w:rsidRPr="001769FC">
        <w:rPr>
          <w:rFonts w:ascii="Arial" w:hAnsi="Arial" w:cs="Arial"/>
          <w:sz w:val="24"/>
          <w:szCs w:val="24"/>
        </w:rPr>
        <w:t>The provisions of regulation 4(1) are directory not peremptory in that, failure to comply can be condoned at the discretion of the court where it is clear from other indications in and on the document that an oath was in fact administered.</w:t>
      </w:r>
      <w:r w:rsidR="00C8402E" w:rsidRPr="001769FC">
        <w:rPr>
          <w:rStyle w:val="FootnoteReference"/>
          <w:rFonts w:ascii="Arial" w:hAnsi="Arial" w:cs="Arial"/>
          <w:sz w:val="24"/>
          <w:szCs w:val="24"/>
        </w:rPr>
        <w:footnoteReference w:id="2"/>
      </w:r>
      <w:r w:rsidR="00C8402E" w:rsidRPr="001769FC">
        <w:rPr>
          <w:rFonts w:ascii="Arial" w:hAnsi="Arial" w:cs="Arial"/>
          <w:sz w:val="24"/>
          <w:szCs w:val="24"/>
        </w:rPr>
        <w:t xml:space="preserve"> </w:t>
      </w:r>
    </w:p>
    <w:p w:rsidR="00C8402E" w:rsidRPr="001769FC" w:rsidRDefault="00C8402E" w:rsidP="00BF3BEC">
      <w:pPr>
        <w:shd w:val="clear" w:color="auto" w:fill="FFFFFF"/>
        <w:spacing w:after="0" w:line="360" w:lineRule="auto"/>
        <w:ind w:left="720" w:hanging="720"/>
        <w:jc w:val="both"/>
        <w:rPr>
          <w:rFonts w:ascii="Arial" w:hAnsi="Arial" w:cs="Arial"/>
          <w:sz w:val="24"/>
          <w:szCs w:val="24"/>
        </w:rPr>
      </w:pPr>
    </w:p>
    <w:p w:rsidR="00817D91" w:rsidRPr="001769FC" w:rsidRDefault="00C8402E" w:rsidP="00BF3BEC">
      <w:pPr>
        <w:shd w:val="clear" w:color="auto" w:fill="FFFFFF"/>
        <w:spacing w:after="0" w:line="360" w:lineRule="auto"/>
        <w:ind w:left="720" w:hanging="720"/>
        <w:jc w:val="both"/>
        <w:rPr>
          <w:rFonts w:ascii="Arial" w:hAnsi="Arial" w:cs="Arial"/>
          <w:sz w:val="24"/>
          <w:szCs w:val="24"/>
        </w:rPr>
      </w:pPr>
      <w:r w:rsidRPr="001769FC">
        <w:rPr>
          <w:rFonts w:ascii="Arial" w:hAnsi="Arial" w:cs="Arial"/>
          <w:sz w:val="24"/>
          <w:szCs w:val="24"/>
        </w:rPr>
        <w:t>[</w:t>
      </w:r>
      <w:r w:rsidR="00C84A90">
        <w:rPr>
          <w:rFonts w:ascii="Arial" w:hAnsi="Arial" w:cs="Arial"/>
          <w:sz w:val="24"/>
          <w:szCs w:val="24"/>
        </w:rPr>
        <w:t>7</w:t>
      </w:r>
      <w:r w:rsidRPr="001769FC">
        <w:rPr>
          <w:rFonts w:ascii="Arial" w:hAnsi="Arial" w:cs="Arial"/>
          <w:sz w:val="24"/>
          <w:szCs w:val="24"/>
        </w:rPr>
        <w:t>]</w:t>
      </w:r>
      <w:r w:rsidRPr="001769FC">
        <w:rPr>
          <w:rFonts w:ascii="Arial" w:hAnsi="Arial" w:cs="Arial"/>
          <w:sz w:val="24"/>
          <w:szCs w:val="24"/>
        </w:rPr>
        <w:tab/>
      </w:r>
      <w:r w:rsidRPr="001769FC">
        <w:rPr>
          <w:rFonts w:ascii="Arial" w:hAnsi="Arial" w:cs="Arial"/>
          <w:i/>
          <w:sz w:val="24"/>
          <w:szCs w:val="24"/>
        </w:rPr>
        <w:t xml:space="preserve">Ex facie </w:t>
      </w:r>
      <w:r w:rsidRPr="001769FC">
        <w:rPr>
          <w:rFonts w:ascii="Arial" w:hAnsi="Arial" w:cs="Arial"/>
          <w:sz w:val="24"/>
          <w:szCs w:val="24"/>
        </w:rPr>
        <w:t>the affidavit it is evident that the deponent is a female.</w:t>
      </w:r>
      <w:r w:rsidRPr="001769FC">
        <w:rPr>
          <w:rStyle w:val="FootnoteReference"/>
          <w:rFonts w:ascii="Arial" w:hAnsi="Arial" w:cs="Arial"/>
          <w:sz w:val="24"/>
          <w:szCs w:val="24"/>
        </w:rPr>
        <w:footnoteReference w:id="3"/>
      </w:r>
      <w:r w:rsidRPr="001769FC">
        <w:rPr>
          <w:rFonts w:ascii="Arial" w:hAnsi="Arial" w:cs="Arial"/>
          <w:sz w:val="24"/>
          <w:szCs w:val="24"/>
        </w:rPr>
        <w:t xml:space="preserve"> Ex</w:t>
      </w:r>
      <w:r w:rsidR="00167016" w:rsidRPr="001769FC">
        <w:rPr>
          <w:rFonts w:ascii="Arial" w:hAnsi="Arial" w:cs="Arial"/>
          <w:sz w:val="24"/>
          <w:szCs w:val="24"/>
        </w:rPr>
        <w:t xml:space="preserve">cept </w:t>
      </w:r>
      <w:r w:rsidRPr="001769FC">
        <w:rPr>
          <w:rFonts w:ascii="Arial" w:hAnsi="Arial" w:cs="Arial"/>
          <w:sz w:val="24"/>
          <w:szCs w:val="24"/>
        </w:rPr>
        <w:t xml:space="preserve">for the </w:t>
      </w:r>
      <w:r w:rsidR="00167016" w:rsidRPr="001769FC">
        <w:rPr>
          <w:rFonts w:ascii="Arial" w:hAnsi="Arial" w:cs="Arial"/>
          <w:sz w:val="24"/>
          <w:szCs w:val="24"/>
        </w:rPr>
        <w:t xml:space="preserve">erroneous use of the pronoun “he” instead of “she” </w:t>
      </w:r>
      <w:r w:rsidR="00345816" w:rsidRPr="001769FC">
        <w:rPr>
          <w:rFonts w:ascii="Arial" w:hAnsi="Arial" w:cs="Arial"/>
          <w:sz w:val="24"/>
          <w:szCs w:val="24"/>
        </w:rPr>
        <w:t xml:space="preserve">by the commissioner of oaths, </w:t>
      </w:r>
      <w:r w:rsidR="00FC697E">
        <w:rPr>
          <w:rFonts w:ascii="Arial" w:hAnsi="Arial" w:cs="Arial"/>
          <w:sz w:val="24"/>
          <w:szCs w:val="24"/>
        </w:rPr>
        <w:t xml:space="preserve">the circumstances under which the affidavit was commissioned are clear namely, the </w:t>
      </w:r>
      <w:r w:rsidR="00167016" w:rsidRPr="001769FC">
        <w:rPr>
          <w:rFonts w:ascii="Arial" w:hAnsi="Arial" w:cs="Arial"/>
          <w:sz w:val="24"/>
          <w:szCs w:val="24"/>
        </w:rPr>
        <w:t>date</w:t>
      </w:r>
      <w:r w:rsidR="00FC697E">
        <w:rPr>
          <w:rFonts w:ascii="Arial" w:hAnsi="Arial" w:cs="Arial"/>
          <w:sz w:val="24"/>
          <w:szCs w:val="24"/>
        </w:rPr>
        <w:t xml:space="preserve">, place and also the details of the commissioner of oaths.  </w:t>
      </w:r>
      <w:r w:rsidRPr="001769FC">
        <w:rPr>
          <w:rFonts w:ascii="Arial" w:hAnsi="Arial" w:cs="Arial"/>
          <w:sz w:val="24"/>
          <w:szCs w:val="24"/>
        </w:rPr>
        <w:t xml:space="preserve">I am satisfied that the error does not render the plaintiff’s affidavit fatally defective in the sense that the court would be unable to give effect to the presumption of regularity for the purposes of assuming that the oath was sworn to and signed in the presence of the commissioner of oaths.  </w:t>
      </w:r>
      <w:r w:rsidR="000F14F0" w:rsidRPr="001769FC">
        <w:rPr>
          <w:rFonts w:ascii="Arial" w:hAnsi="Arial" w:cs="Arial"/>
          <w:sz w:val="24"/>
          <w:szCs w:val="24"/>
        </w:rPr>
        <w:t>The defect is accordingly condoned</w:t>
      </w:r>
      <w:r w:rsidR="000C2A9C">
        <w:rPr>
          <w:rFonts w:ascii="Arial" w:hAnsi="Arial" w:cs="Arial"/>
          <w:sz w:val="24"/>
          <w:szCs w:val="24"/>
        </w:rPr>
        <w:t>.</w:t>
      </w:r>
      <w:r w:rsidR="008A7EA4" w:rsidRPr="001769FC">
        <w:rPr>
          <w:rFonts w:ascii="Arial" w:hAnsi="Arial" w:cs="Arial"/>
          <w:sz w:val="24"/>
          <w:szCs w:val="24"/>
        </w:rPr>
        <w:t xml:space="preserve"> </w:t>
      </w:r>
    </w:p>
    <w:p w:rsidR="000F14F0" w:rsidRPr="001769FC" w:rsidRDefault="000F14F0" w:rsidP="000F14F0">
      <w:pPr>
        <w:spacing w:after="0" w:line="360" w:lineRule="auto"/>
        <w:jc w:val="both"/>
        <w:rPr>
          <w:rFonts w:ascii="Arial" w:hAnsi="Arial" w:cs="Arial"/>
          <w:sz w:val="24"/>
          <w:szCs w:val="24"/>
        </w:rPr>
      </w:pPr>
    </w:p>
    <w:p w:rsidR="00806DFF" w:rsidRPr="001769FC" w:rsidRDefault="002132AC" w:rsidP="00BF3BEC">
      <w:pPr>
        <w:shd w:val="clear" w:color="auto" w:fill="FFFFFF"/>
        <w:spacing w:after="0" w:line="360" w:lineRule="auto"/>
        <w:ind w:left="720" w:hanging="720"/>
        <w:jc w:val="both"/>
        <w:rPr>
          <w:rFonts w:ascii="Arial" w:hAnsi="Arial" w:cs="Arial"/>
          <w:sz w:val="24"/>
          <w:szCs w:val="24"/>
        </w:rPr>
      </w:pPr>
      <w:r w:rsidRPr="001769FC">
        <w:rPr>
          <w:rFonts w:ascii="Arial" w:hAnsi="Arial" w:cs="Arial"/>
          <w:sz w:val="24"/>
          <w:szCs w:val="24"/>
        </w:rPr>
        <w:t>[</w:t>
      </w:r>
      <w:r w:rsidR="00C84A90">
        <w:rPr>
          <w:rFonts w:ascii="Arial" w:hAnsi="Arial" w:cs="Arial"/>
          <w:sz w:val="24"/>
          <w:szCs w:val="24"/>
        </w:rPr>
        <w:t>8</w:t>
      </w:r>
      <w:r w:rsidRPr="001769FC">
        <w:rPr>
          <w:rFonts w:ascii="Arial" w:hAnsi="Arial" w:cs="Arial"/>
          <w:sz w:val="24"/>
          <w:szCs w:val="24"/>
        </w:rPr>
        <w:t>]</w:t>
      </w:r>
      <w:r w:rsidRPr="001769FC">
        <w:rPr>
          <w:rFonts w:ascii="Arial" w:hAnsi="Arial" w:cs="Arial"/>
          <w:sz w:val="24"/>
          <w:szCs w:val="24"/>
        </w:rPr>
        <w:tab/>
      </w:r>
      <w:r w:rsidR="00806DFF" w:rsidRPr="001769FC">
        <w:rPr>
          <w:rFonts w:ascii="Arial" w:hAnsi="Arial" w:cs="Arial"/>
          <w:sz w:val="24"/>
          <w:szCs w:val="24"/>
        </w:rPr>
        <w:t xml:space="preserve">On </w:t>
      </w:r>
      <w:r w:rsidR="004D0B6B" w:rsidRPr="001769FC">
        <w:rPr>
          <w:rFonts w:ascii="Arial" w:hAnsi="Arial" w:cs="Arial"/>
          <w:sz w:val="24"/>
          <w:szCs w:val="24"/>
        </w:rPr>
        <w:t xml:space="preserve">the </w:t>
      </w:r>
      <w:r w:rsidR="00FC697E">
        <w:rPr>
          <w:rFonts w:ascii="Arial" w:hAnsi="Arial" w:cs="Arial"/>
          <w:sz w:val="24"/>
          <w:szCs w:val="24"/>
        </w:rPr>
        <w:t>available facts</w:t>
      </w:r>
      <w:r w:rsidR="004D0B6B" w:rsidRPr="001769FC">
        <w:rPr>
          <w:rFonts w:ascii="Arial" w:hAnsi="Arial" w:cs="Arial"/>
          <w:sz w:val="24"/>
          <w:szCs w:val="24"/>
        </w:rPr>
        <w:t xml:space="preserve">, the </w:t>
      </w:r>
      <w:r w:rsidR="00E062C2" w:rsidRPr="001769FC">
        <w:rPr>
          <w:rFonts w:ascii="Arial" w:hAnsi="Arial" w:cs="Arial"/>
          <w:sz w:val="24"/>
          <w:szCs w:val="24"/>
        </w:rPr>
        <w:t>plaintiff is a legal entity hence the supporting affidavit was deposed to by its authorised employee Ms Essop</w:t>
      </w:r>
      <w:r w:rsidR="00F571EB" w:rsidRPr="001769FC">
        <w:rPr>
          <w:rFonts w:ascii="Arial" w:hAnsi="Arial" w:cs="Arial"/>
          <w:sz w:val="24"/>
          <w:szCs w:val="24"/>
        </w:rPr>
        <w:t>.</w:t>
      </w:r>
      <w:r w:rsidR="00E062C2" w:rsidRPr="001769FC">
        <w:rPr>
          <w:rFonts w:ascii="Arial" w:hAnsi="Arial" w:cs="Arial"/>
          <w:sz w:val="24"/>
          <w:szCs w:val="24"/>
        </w:rPr>
        <w:t xml:space="preserve"> </w:t>
      </w:r>
      <w:r w:rsidR="00F571EB" w:rsidRPr="001769FC">
        <w:rPr>
          <w:rFonts w:ascii="Arial" w:hAnsi="Arial" w:cs="Arial"/>
          <w:sz w:val="24"/>
          <w:szCs w:val="24"/>
        </w:rPr>
        <w:t>E</w:t>
      </w:r>
      <w:r w:rsidR="00E062C2" w:rsidRPr="001769FC">
        <w:rPr>
          <w:rFonts w:ascii="Arial" w:hAnsi="Arial" w:cs="Arial"/>
          <w:sz w:val="24"/>
          <w:szCs w:val="24"/>
        </w:rPr>
        <w:t>xpectedly</w:t>
      </w:r>
      <w:r w:rsidR="00F571EB" w:rsidRPr="001769FC">
        <w:rPr>
          <w:rFonts w:ascii="Arial" w:hAnsi="Arial" w:cs="Arial"/>
          <w:sz w:val="24"/>
          <w:szCs w:val="24"/>
        </w:rPr>
        <w:t>, Ms Essop would not possess first-hand knowledge of every fact relied upon by the plaintiff</w:t>
      </w:r>
      <w:r w:rsidR="004D0B6B" w:rsidRPr="001769FC">
        <w:rPr>
          <w:rFonts w:ascii="Arial" w:hAnsi="Arial" w:cs="Arial"/>
          <w:sz w:val="24"/>
          <w:szCs w:val="24"/>
        </w:rPr>
        <w:t xml:space="preserve"> and having regard to the averments in her affidavit, </w:t>
      </w:r>
      <w:r w:rsidR="00806DFF" w:rsidRPr="001769FC">
        <w:rPr>
          <w:rFonts w:ascii="Arial" w:hAnsi="Arial" w:cs="Arial"/>
          <w:sz w:val="24"/>
          <w:szCs w:val="24"/>
        </w:rPr>
        <w:t xml:space="preserve">Ms Essop </w:t>
      </w:r>
      <w:r w:rsidR="00C43086" w:rsidRPr="001769FC">
        <w:rPr>
          <w:rFonts w:ascii="Arial" w:hAnsi="Arial" w:cs="Arial"/>
          <w:sz w:val="24"/>
          <w:szCs w:val="24"/>
        </w:rPr>
        <w:t xml:space="preserve">has relied </w:t>
      </w:r>
      <w:r w:rsidR="00806DFF" w:rsidRPr="001769FC">
        <w:rPr>
          <w:rFonts w:ascii="Arial" w:hAnsi="Arial" w:cs="Arial"/>
          <w:sz w:val="24"/>
          <w:szCs w:val="24"/>
        </w:rPr>
        <w:t xml:space="preserve">on the records in the </w:t>
      </w:r>
      <w:r w:rsidR="00FC697E">
        <w:rPr>
          <w:rFonts w:ascii="Arial" w:hAnsi="Arial" w:cs="Arial"/>
          <w:sz w:val="24"/>
          <w:szCs w:val="24"/>
        </w:rPr>
        <w:t>plaintiff</w:t>
      </w:r>
      <w:r w:rsidR="00806DFF" w:rsidRPr="001769FC">
        <w:rPr>
          <w:rFonts w:ascii="Arial" w:hAnsi="Arial" w:cs="Arial"/>
          <w:sz w:val="24"/>
          <w:szCs w:val="24"/>
        </w:rPr>
        <w:t>’s possession for the personal knowledge of the relevant facts</w:t>
      </w:r>
      <w:r w:rsidR="00FC697E">
        <w:rPr>
          <w:rFonts w:ascii="Arial" w:hAnsi="Arial" w:cs="Arial"/>
          <w:sz w:val="24"/>
          <w:szCs w:val="24"/>
        </w:rPr>
        <w:t xml:space="preserve">. In her affidavit </w:t>
      </w:r>
      <w:r w:rsidR="00806DFF" w:rsidRPr="001769FC">
        <w:rPr>
          <w:rFonts w:ascii="Arial" w:hAnsi="Arial" w:cs="Arial"/>
          <w:sz w:val="24"/>
          <w:szCs w:val="24"/>
        </w:rPr>
        <w:t>she states that:</w:t>
      </w:r>
    </w:p>
    <w:p w:rsidR="004D0B6B" w:rsidRPr="001769FC" w:rsidRDefault="00806DFF" w:rsidP="004D0B6B">
      <w:pPr>
        <w:shd w:val="clear" w:color="auto" w:fill="FFFFFF"/>
        <w:spacing w:before="144" w:after="0" w:line="360" w:lineRule="auto"/>
        <w:ind w:left="1440" w:hanging="720"/>
        <w:jc w:val="both"/>
        <w:rPr>
          <w:rFonts w:ascii="Arial" w:hAnsi="Arial" w:cs="Arial"/>
          <w:sz w:val="24"/>
          <w:szCs w:val="24"/>
        </w:rPr>
      </w:pPr>
      <w:r w:rsidRPr="001769FC">
        <w:rPr>
          <w:rFonts w:ascii="Arial" w:hAnsi="Arial" w:cs="Arial"/>
          <w:i/>
          <w:sz w:val="20"/>
          <w:szCs w:val="20"/>
        </w:rPr>
        <w:lastRenderedPageBreak/>
        <w:t xml:space="preserve"> </w:t>
      </w:r>
      <w:r w:rsidR="004D0B6B" w:rsidRPr="001769FC">
        <w:rPr>
          <w:rFonts w:ascii="Arial" w:hAnsi="Arial" w:cs="Arial"/>
          <w:i/>
          <w:sz w:val="20"/>
          <w:szCs w:val="20"/>
        </w:rPr>
        <w:t>“1.1.</w:t>
      </w:r>
      <w:r w:rsidR="004D0B6B" w:rsidRPr="001769FC">
        <w:rPr>
          <w:rFonts w:ascii="Arial" w:hAnsi="Arial" w:cs="Arial"/>
          <w:i/>
          <w:sz w:val="20"/>
          <w:szCs w:val="20"/>
        </w:rPr>
        <w:tab/>
        <w:t>I am an adult female Head, Defended Legal, Credit Operations, Personal and Business Banking Credit, The Standard Bank of South Africa Limited (“the Plaintiff”) and employed as such at the Plaintiff’s offices situated at 7</w:t>
      </w:r>
      <w:r w:rsidR="004D0B6B" w:rsidRPr="001769FC">
        <w:rPr>
          <w:rFonts w:ascii="Arial" w:hAnsi="Arial" w:cs="Arial"/>
          <w:i/>
          <w:sz w:val="20"/>
          <w:szCs w:val="20"/>
          <w:vertAlign w:val="superscript"/>
        </w:rPr>
        <w:t>th</w:t>
      </w:r>
      <w:r w:rsidR="004D0B6B" w:rsidRPr="001769FC">
        <w:rPr>
          <w:rFonts w:ascii="Arial" w:hAnsi="Arial" w:cs="Arial"/>
          <w:i/>
          <w:sz w:val="20"/>
          <w:szCs w:val="20"/>
        </w:rPr>
        <w:t xml:space="preserve"> Floor, 3 Simmonds Street, Johannesburg.</w:t>
      </w:r>
    </w:p>
    <w:p w:rsidR="004D0B6B" w:rsidRPr="001769FC" w:rsidRDefault="004D0B6B" w:rsidP="000659A1">
      <w:pPr>
        <w:shd w:val="clear" w:color="auto" w:fill="FFFFFF"/>
        <w:spacing w:after="0" w:line="360" w:lineRule="auto"/>
        <w:ind w:left="1440" w:hanging="720"/>
        <w:jc w:val="both"/>
        <w:rPr>
          <w:rFonts w:ascii="Arial" w:hAnsi="Arial" w:cs="Arial"/>
          <w:b/>
          <w:i/>
          <w:sz w:val="20"/>
          <w:szCs w:val="20"/>
        </w:rPr>
      </w:pPr>
      <w:r w:rsidRPr="001769FC">
        <w:rPr>
          <w:rFonts w:ascii="Arial" w:hAnsi="Arial" w:cs="Arial"/>
          <w:i/>
          <w:sz w:val="20"/>
          <w:szCs w:val="20"/>
        </w:rPr>
        <w:t>1.2.</w:t>
      </w:r>
      <w:r w:rsidRPr="001769FC">
        <w:rPr>
          <w:rFonts w:ascii="Arial" w:hAnsi="Arial" w:cs="Arial"/>
          <w:i/>
          <w:sz w:val="20"/>
          <w:szCs w:val="20"/>
        </w:rPr>
        <w:tab/>
        <w:t xml:space="preserve">I have been duly authorised on behalf of the Plaintiff and represent the Plaintiff in these proceedings. My authority is derived from the letter of authority attached hereto marked </w:t>
      </w:r>
      <w:r w:rsidRPr="001769FC">
        <w:rPr>
          <w:rFonts w:ascii="Arial" w:hAnsi="Arial" w:cs="Arial"/>
          <w:b/>
          <w:i/>
          <w:sz w:val="20"/>
          <w:szCs w:val="20"/>
        </w:rPr>
        <w:t>Annexure “SD1</w:t>
      </w:r>
      <w:r w:rsidRPr="001769FC">
        <w:rPr>
          <w:rFonts w:ascii="Arial" w:hAnsi="Arial" w:cs="Arial"/>
          <w:i/>
          <w:sz w:val="20"/>
          <w:szCs w:val="20"/>
        </w:rPr>
        <w:t>.”</w:t>
      </w:r>
    </w:p>
    <w:p w:rsidR="004D0B6B" w:rsidRDefault="004D0B6B" w:rsidP="004D0B6B">
      <w:pPr>
        <w:shd w:val="clear" w:color="auto" w:fill="FFFFFF"/>
        <w:spacing w:before="144" w:after="0" w:line="360" w:lineRule="auto"/>
        <w:ind w:left="1440" w:hanging="720"/>
        <w:jc w:val="both"/>
        <w:rPr>
          <w:rFonts w:ascii="Arial" w:hAnsi="Arial" w:cs="Arial"/>
          <w:i/>
          <w:sz w:val="20"/>
          <w:szCs w:val="20"/>
        </w:rPr>
      </w:pPr>
      <w:r w:rsidRPr="001769FC">
        <w:rPr>
          <w:rFonts w:ascii="Arial" w:hAnsi="Arial" w:cs="Arial"/>
          <w:i/>
          <w:sz w:val="20"/>
          <w:szCs w:val="20"/>
        </w:rPr>
        <w:t>1.3.</w:t>
      </w:r>
      <w:r w:rsidRPr="001769FC">
        <w:rPr>
          <w:rFonts w:ascii="Arial" w:hAnsi="Arial" w:cs="Arial"/>
          <w:i/>
          <w:sz w:val="20"/>
          <w:szCs w:val="20"/>
        </w:rPr>
        <w:tab/>
        <w:t>The facts contained are, unless indicated to the contrary, within my own direct knowledge, and are to the best of my belief true and correct.</w:t>
      </w:r>
    </w:p>
    <w:p w:rsidR="00BF3BEC" w:rsidRPr="001769FC" w:rsidRDefault="00BF3BEC" w:rsidP="00BF3BEC">
      <w:pPr>
        <w:shd w:val="clear" w:color="auto" w:fill="FFFFFF"/>
        <w:spacing w:after="0" w:line="360" w:lineRule="auto"/>
        <w:ind w:left="1440" w:hanging="720"/>
        <w:jc w:val="both"/>
        <w:rPr>
          <w:rFonts w:ascii="Arial" w:hAnsi="Arial" w:cs="Arial"/>
          <w:i/>
          <w:sz w:val="20"/>
          <w:szCs w:val="20"/>
        </w:rPr>
      </w:pPr>
    </w:p>
    <w:p w:rsidR="004D0B6B" w:rsidRPr="001769FC" w:rsidRDefault="004D0B6B" w:rsidP="00BF3BEC">
      <w:pPr>
        <w:shd w:val="clear" w:color="auto" w:fill="FFFFFF"/>
        <w:spacing w:after="0" w:line="360" w:lineRule="auto"/>
        <w:ind w:left="1440" w:hanging="720"/>
        <w:jc w:val="both"/>
        <w:rPr>
          <w:rFonts w:ascii="Arial" w:hAnsi="Arial" w:cs="Arial"/>
          <w:i/>
          <w:sz w:val="20"/>
          <w:szCs w:val="20"/>
        </w:rPr>
      </w:pPr>
      <w:r w:rsidRPr="001769FC">
        <w:rPr>
          <w:rFonts w:ascii="Arial" w:hAnsi="Arial" w:cs="Arial"/>
          <w:i/>
          <w:sz w:val="20"/>
          <w:szCs w:val="20"/>
        </w:rPr>
        <w:t>1.4</w:t>
      </w:r>
      <w:r w:rsidRPr="001769FC">
        <w:rPr>
          <w:rFonts w:ascii="Arial" w:hAnsi="Arial" w:cs="Arial"/>
          <w:i/>
          <w:sz w:val="20"/>
          <w:szCs w:val="20"/>
        </w:rPr>
        <w:tab/>
        <w:t>Where such facts do not, strictly speaking, fall within my own direct knowledge, they appear from files, documents, statements or account, contemporaneous notes, records of transactions and/or communications of the Plaintiff staff members. I submit that these transactions are electronically stored upon the Plaintiff’s computer system which are data messages as defined in the Electronic Communications and Transactions Act no.25 of 2002 (“the ECT Act’). In the circumstances, I confirm that I am an officer of the Plaintiff in terms of the ECT Act.</w:t>
      </w:r>
    </w:p>
    <w:p w:rsidR="004D0B6B" w:rsidRPr="001769FC" w:rsidRDefault="004D0B6B" w:rsidP="004D0B6B">
      <w:pPr>
        <w:shd w:val="clear" w:color="auto" w:fill="FFFFFF"/>
        <w:spacing w:before="144" w:after="0" w:line="360" w:lineRule="auto"/>
        <w:ind w:left="1440" w:hanging="720"/>
        <w:jc w:val="both"/>
        <w:rPr>
          <w:rFonts w:ascii="Arial" w:hAnsi="Arial" w:cs="Arial"/>
          <w:i/>
          <w:sz w:val="20"/>
          <w:szCs w:val="20"/>
        </w:rPr>
      </w:pPr>
      <w:r w:rsidRPr="001769FC">
        <w:rPr>
          <w:rFonts w:ascii="Arial" w:hAnsi="Arial" w:cs="Arial"/>
          <w:i/>
          <w:sz w:val="20"/>
          <w:szCs w:val="20"/>
        </w:rPr>
        <w:t>1.5</w:t>
      </w:r>
      <w:r w:rsidRPr="001769FC">
        <w:rPr>
          <w:rFonts w:ascii="Arial" w:hAnsi="Arial" w:cs="Arial"/>
          <w:i/>
          <w:sz w:val="20"/>
          <w:szCs w:val="20"/>
        </w:rPr>
        <w:tab/>
        <w:t>Where records are relied upon below and have been stored electronically and constitute “data” or “data messages” within the meaning of the ECT Act, I certify such records in accordance with section 15 (4) thereof as being true and correct representations of such records, which have been stored by electronic means.</w:t>
      </w:r>
    </w:p>
    <w:p w:rsidR="004D0B6B" w:rsidRPr="001769FC" w:rsidRDefault="004D0B6B" w:rsidP="004D0B6B">
      <w:pPr>
        <w:shd w:val="clear" w:color="auto" w:fill="FFFFFF"/>
        <w:spacing w:before="144" w:after="0" w:line="360" w:lineRule="auto"/>
        <w:ind w:left="1440" w:hanging="720"/>
        <w:jc w:val="both"/>
        <w:rPr>
          <w:rFonts w:ascii="Arial" w:hAnsi="Arial" w:cs="Arial"/>
          <w:i/>
          <w:sz w:val="20"/>
          <w:szCs w:val="20"/>
        </w:rPr>
      </w:pPr>
      <w:r w:rsidRPr="001769FC">
        <w:rPr>
          <w:rFonts w:ascii="Arial" w:hAnsi="Arial" w:cs="Arial"/>
          <w:i/>
          <w:sz w:val="20"/>
          <w:szCs w:val="20"/>
        </w:rPr>
        <w:t xml:space="preserve">1.6 </w:t>
      </w:r>
      <w:r w:rsidRPr="001769FC">
        <w:rPr>
          <w:rFonts w:ascii="Arial" w:hAnsi="Arial" w:cs="Arial"/>
          <w:i/>
          <w:sz w:val="20"/>
          <w:szCs w:val="20"/>
        </w:rPr>
        <w:tab/>
        <w:t>I have control over and have personal knowledge of the transactions relevant to the Plaintiff’s dealings with the Defendant and I have familiarised myself with the content thereof during the normal course and scope of my duties with the Plaintiff.</w:t>
      </w:r>
    </w:p>
    <w:p w:rsidR="004D0B6B" w:rsidRPr="001769FC" w:rsidRDefault="004D0B6B" w:rsidP="004D0B6B">
      <w:pPr>
        <w:shd w:val="clear" w:color="auto" w:fill="FFFFFF"/>
        <w:spacing w:before="144" w:after="0" w:line="360" w:lineRule="auto"/>
        <w:ind w:left="1440" w:hanging="720"/>
        <w:jc w:val="both"/>
        <w:rPr>
          <w:rFonts w:ascii="Arial" w:hAnsi="Arial" w:cs="Arial"/>
          <w:i/>
          <w:sz w:val="20"/>
          <w:szCs w:val="20"/>
        </w:rPr>
      </w:pPr>
      <w:r w:rsidRPr="001769FC">
        <w:rPr>
          <w:rFonts w:ascii="Arial" w:hAnsi="Arial" w:cs="Arial"/>
          <w:i/>
          <w:sz w:val="20"/>
          <w:szCs w:val="20"/>
        </w:rPr>
        <w:t>1.7.</w:t>
      </w:r>
      <w:r w:rsidRPr="001769FC">
        <w:rPr>
          <w:rFonts w:ascii="Arial" w:hAnsi="Arial" w:cs="Arial"/>
          <w:i/>
          <w:sz w:val="20"/>
          <w:szCs w:val="20"/>
        </w:rPr>
        <w:tab/>
        <w:t>I have also acquainted myself with the documents relating to the litigation between the Plaintiff and the Defendant.</w:t>
      </w:r>
    </w:p>
    <w:p w:rsidR="004D0B6B" w:rsidRPr="001769FC" w:rsidRDefault="004D0B6B" w:rsidP="004D0B6B">
      <w:pPr>
        <w:shd w:val="clear" w:color="auto" w:fill="FFFFFF"/>
        <w:spacing w:before="144" w:after="0" w:line="360" w:lineRule="auto"/>
        <w:ind w:left="1440" w:hanging="720"/>
        <w:jc w:val="both"/>
        <w:rPr>
          <w:rFonts w:ascii="Arial" w:hAnsi="Arial" w:cs="Arial"/>
          <w:i/>
          <w:sz w:val="20"/>
          <w:szCs w:val="20"/>
        </w:rPr>
      </w:pPr>
      <w:r w:rsidRPr="001769FC">
        <w:rPr>
          <w:rFonts w:ascii="Arial" w:hAnsi="Arial" w:cs="Arial"/>
          <w:i/>
          <w:sz w:val="20"/>
          <w:szCs w:val="20"/>
        </w:rPr>
        <w:t>1.8.</w:t>
      </w:r>
      <w:r w:rsidRPr="001769FC">
        <w:rPr>
          <w:rFonts w:ascii="Arial" w:hAnsi="Arial" w:cs="Arial"/>
          <w:i/>
          <w:sz w:val="20"/>
          <w:szCs w:val="20"/>
        </w:rPr>
        <w:tab/>
        <w:t>I therefore positively verify the cause of action as set out in the particulars of claim. I thus verify the facts and allegations surrounding the cause of action, the documents relied upon by the Plaintiff, the cause of action itself and the amount claimed (relief sought) by the Plaintiff.”</w:t>
      </w:r>
    </w:p>
    <w:p w:rsidR="004D0B6B" w:rsidRPr="001769FC" w:rsidRDefault="004D0B6B" w:rsidP="00BF3BEC">
      <w:pPr>
        <w:widowControl w:val="0"/>
        <w:spacing w:after="0" w:line="360" w:lineRule="auto"/>
        <w:ind w:left="720" w:hanging="720"/>
        <w:jc w:val="both"/>
        <w:rPr>
          <w:rFonts w:ascii="Arial" w:hAnsi="Arial" w:cs="Arial"/>
          <w:sz w:val="26"/>
          <w:szCs w:val="26"/>
        </w:rPr>
      </w:pPr>
    </w:p>
    <w:p w:rsidR="004D0B6B" w:rsidRPr="001769FC" w:rsidRDefault="00806DFF" w:rsidP="000659A1">
      <w:pPr>
        <w:shd w:val="clear" w:color="auto" w:fill="FFFFFF"/>
        <w:spacing w:after="0" w:line="360" w:lineRule="auto"/>
        <w:ind w:left="720" w:hanging="720"/>
        <w:jc w:val="both"/>
        <w:rPr>
          <w:rFonts w:ascii="Arial" w:hAnsi="Arial" w:cs="Arial"/>
          <w:sz w:val="24"/>
          <w:szCs w:val="24"/>
        </w:rPr>
      </w:pPr>
      <w:r w:rsidRPr="001769FC">
        <w:rPr>
          <w:rFonts w:ascii="Arial" w:hAnsi="Arial" w:cs="Arial"/>
          <w:sz w:val="24"/>
          <w:szCs w:val="24"/>
        </w:rPr>
        <w:t>[</w:t>
      </w:r>
      <w:r w:rsidR="00C84A90">
        <w:rPr>
          <w:rFonts w:ascii="Arial" w:hAnsi="Arial" w:cs="Arial"/>
          <w:sz w:val="24"/>
          <w:szCs w:val="24"/>
        </w:rPr>
        <w:t>9</w:t>
      </w:r>
      <w:r w:rsidRPr="001769FC">
        <w:rPr>
          <w:rFonts w:ascii="Arial" w:hAnsi="Arial" w:cs="Arial"/>
          <w:sz w:val="24"/>
          <w:szCs w:val="24"/>
        </w:rPr>
        <w:t>]</w:t>
      </w:r>
      <w:r w:rsidRPr="001769FC">
        <w:rPr>
          <w:rFonts w:ascii="Arial" w:hAnsi="Arial" w:cs="Arial"/>
          <w:sz w:val="24"/>
          <w:szCs w:val="24"/>
        </w:rPr>
        <w:tab/>
      </w:r>
      <w:r w:rsidR="00C84A90">
        <w:rPr>
          <w:rFonts w:ascii="Arial" w:hAnsi="Arial" w:cs="Arial"/>
          <w:sz w:val="24"/>
          <w:szCs w:val="24"/>
        </w:rPr>
        <w:t xml:space="preserve">In </w:t>
      </w:r>
      <w:r w:rsidRPr="001769FC">
        <w:rPr>
          <w:rFonts w:ascii="Arial" w:hAnsi="Arial" w:cs="Arial"/>
          <w:i/>
          <w:sz w:val="24"/>
          <w:szCs w:val="24"/>
        </w:rPr>
        <w:t>Shackleton Credit Management (Pty) Ltd Microzone Trading 88 CC and Another</w:t>
      </w:r>
      <w:r w:rsidRPr="001769FC">
        <w:rPr>
          <w:rStyle w:val="FootnoteReference"/>
          <w:rFonts w:ascii="Arial" w:hAnsi="Arial" w:cs="Arial"/>
          <w:i/>
          <w:sz w:val="24"/>
          <w:szCs w:val="24"/>
        </w:rPr>
        <w:footnoteReference w:id="4"/>
      </w:r>
      <w:r w:rsidRPr="001769FC">
        <w:rPr>
          <w:rFonts w:ascii="Arial" w:hAnsi="Arial" w:cs="Arial"/>
          <w:b/>
          <w:i/>
          <w:sz w:val="24"/>
          <w:szCs w:val="24"/>
        </w:rPr>
        <w:t xml:space="preserve"> </w:t>
      </w:r>
      <w:r w:rsidR="00C84A90">
        <w:rPr>
          <w:rFonts w:ascii="Arial" w:hAnsi="Arial" w:cs="Arial"/>
          <w:sz w:val="24"/>
          <w:szCs w:val="24"/>
        </w:rPr>
        <w:t xml:space="preserve">it was held that </w:t>
      </w:r>
      <w:r w:rsidR="00052262">
        <w:rPr>
          <w:rFonts w:ascii="Arial" w:hAnsi="Arial" w:cs="Arial"/>
          <w:sz w:val="24"/>
          <w:szCs w:val="24"/>
        </w:rPr>
        <w:t>“</w:t>
      </w:r>
      <w:r w:rsidR="00835D86" w:rsidRPr="00052262">
        <w:rPr>
          <w:rFonts w:ascii="Arial" w:hAnsi="Arial" w:cs="Arial"/>
          <w:i/>
          <w:sz w:val="24"/>
          <w:szCs w:val="24"/>
        </w:rPr>
        <w:t>f</w:t>
      </w:r>
      <w:r w:rsidRPr="00052262">
        <w:rPr>
          <w:rFonts w:ascii="Arial" w:hAnsi="Arial" w:cs="Arial"/>
          <w:i/>
          <w:sz w:val="24"/>
          <w:szCs w:val="24"/>
        </w:rPr>
        <w:t xml:space="preserve">irst-hand knowledge of every fact relied upon by the plaintiff in its claim is not required and that it is not peculiar for the deponent to </w:t>
      </w:r>
      <w:r w:rsidRPr="00052262">
        <w:rPr>
          <w:rFonts w:ascii="Arial" w:hAnsi="Arial" w:cs="Arial"/>
          <w:i/>
          <w:sz w:val="24"/>
          <w:szCs w:val="24"/>
        </w:rPr>
        <w:lastRenderedPageBreak/>
        <w:t>rely on the records in the company’s possession for the personal knowledge of the relevant facts and actual ability to swear positively to such facts</w:t>
      </w:r>
      <w:r w:rsidRPr="001769FC">
        <w:rPr>
          <w:rFonts w:ascii="Arial" w:hAnsi="Arial" w:cs="Arial"/>
          <w:sz w:val="24"/>
          <w:szCs w:val="24"/>
        </w:rPr>
        <w:t>.</w:t>
      </w:r>
      <w:r w:rsidR="00052262">
        <w:rPr>
          <w:rFonts w:ascii="Arial" w:hAnsi="Arial" w:cs="Arial"/>
          <w:sz w:val="24"/>
          <w:szCs w:val="24"/>
        </w:rPr>
        <w:t>”</w:t>
      </w:r>
    </w:p>
    <w:p w:rsidR="004D0B6B" w:rsidRPr="001769FC" w:rsidRDefault="004D0B6B" w:rsidP="004D0B6B">
      <w:pPr>
        <w:shd w:val="clear" w:color="auto" w:fill="FFFFFF"/>
        <w:spacing w:before="144" w:after="0" w:line="360" w:lineRule="auto"/>
        <w:ind w:left="720" w:hanging="720"/>
        <w:jc w:val="both"/>
        <w:rPr>
          <w:rFonts w:ascii="Arial" w:hAnsi="Arial" w:cs="Arial"/>
          <w:sz w:val="24"/>
          <w:szCs w:val="24"/>
        </w:rPr>
      </w:pPr>
    </w:p>
    <w:p w:rsidR="007B471B" w:rsidRPr="001769FC" w:rsidRDefault="004D0B6B" w:rsidP="000659A1">
      <w:pPr>
        <w:shd w:val="clear" w:color="auto" w:fill="FFFFFF"/>
        <w:spacing w:after="0" w:line="360" w:lineRule="auto"/>
        <w:ind w:left="720" w:hanging="720"/>
        <w:jc w:val="both"/>
        <w:rPr>
          <w:rFonts w:ascii="Arial" w:hAnsi="Arial" w:cs="Arial"/>
          <w:sz w:val="24"/>
          <w:szCs w:val="24"/>
        </w:rPr>
      </w:pPr>
      <w:r w:rsidRPr="001769FC">
        <w:rPr>
          <w:rFonts w:ascii="Arial" w:hAnsi="Arial" w:cs="Arial"/>
          <w:sz w:val="24"/>
          <w:szCs w:val="24"/>
        </w:rPr>
        <w:t xml:space="preserve"> </w:t>
      </w:r>
      <w:r w:rsidR="00806DFF" w:rsidRPr="001769FC">
        <w:rPr>
          <w:rFonts w:ascii="Arial" w:hAnsi="Arial" w:cs="Arial"/>
          <w:sz w:val="24"/>
          <w:szCs w:val="24"/>
        </w:rPr>
        <w:t>[</w:t>
      </w:r>
      <w:r w:rsidR="00C84A90">
        <w:rPr>
          <w:rFonts w:ascii="Arial" w:hAnsi="Arial" w:cs="Arial"/>
          <w:sz w:val="24"/>
          <w:szCs w:val="24"/>
        </w:rPr>
        <w:t>10</w:t>
      </w:r>
      <w:r w:rsidR="00806DFF" w:rsidRPr="001769FC">
        <w:rPr>
          <w:rFonts w:ascii="Arial" w:hAnsi="Arial" w:cs="Arial"/>
          <w:sz w:val="24"/>
          <w:szCs w:val="24"/>
        </w:rPr>
        <w:t>]</w:t>
      </w:r>
      <w:r w:rsidR="00806DFF" w:rsidRPr="001769FC">
        <w:rPr>
          <w:rFonts w:ascii="Arial" w:hAnsi="Arial" w:cs="Arial"/>
          <w:sz w:val="24"/>
          <w:szCs w:val="24"/>
        </w:rPr>
        <w:tab/>
      </w:r>
      <w:r w:rsidR="00883060" w:rsidRPr="001769FC">
        <w:rPr>
          <w:rFonts w:ascii="Arial" w:hAnsi="Arial" w:cs="Arial"/>
          <w:sz w:val="24"/>
          <w:szCs w:val="24"/>
        </w:rPr>
        <w:t xml:space="preserve">Similarly, I do not agree with the </w:t>
      </w:r>
      <w:r w:rsidR="00E57DBC" w:rsidRPr="001769FC">
        <w:rPr>
          <w:rFonts w:ascii="Arial" w:hAnsi="Arial" w:cs="Arial"/>
          <w:sz w:val="24"/>
          <w:szCs w:val="24"/>
        </w:rPr>
        <w:t xml:space="preserve">defendant’s </w:t>
      </w:r>
      <w:r w:rsidR="006C558B" w:rsidRPr="001769FC">
        <w:rPr>
          <w:rFonts w:ascii="Arial" w:hAnsi="Arial" w:cs="Arial"/>
          <w:sz w:val="24"/>
          <w:szCs w:val="24"/>
        </w:rPr>
        <w:t xml:space="preserve">contention that </w:t>
      </w:r>
      <w:r w:rsidR="00806DFF" w:rsidRPr="001769FC">
        <w:rPr>
          <w:rFonts w:ascii="Arial" w:hAnsi="Arial" w:cs="Arial"/>
          <w:sz w:val="24"/>
          <w:szCs w:val="24"/>
        </w:rPr>
        <w:t xml:space="preserve">the </w:t>
      </w:r>
      <w:r w:rsidR="00E062C2" w:rsidRPr="001769FC">
        <w:rPr>
          <w:rFonts w:ascii="Arial" w:hAnsi="Arial" w:cs="Arial"/>
          <w:sz w:val="24"/>
          <w:szCs w:val="24"/>
        </w:rPr>
        <w:t xml:space="preserve">supporting affidavit </w:t>
      </w:r>
      <w:r w:rsidR="00E57DBC" w:rsidRPr="001769FC">
        <w:rPr>
          <w:rFonts w:ascii="Arial" w:hAnsi="Arial" w:cs="Arial"/>
          <w:sz w:val="24"/>
          <w:szCs w:val="24"/>
        </w:rPr>
        <w:t xml:space="preserve">must </w:t>
      </w:r>
      <w:r w:rsidR="00E062C2" w:rsidRPr="001769FC">
        <w:rPr>
          <w:rFonts w:ascii="Arial" w:hAnsi="Arial" w:cs="Arial"/>
          <w:sz w:val="24"/>
          <w:szCs w:val="24"/>
        </w:rPr>
        <w:t xml:space="preserve">identify </w:t>
      </w:r>
      <w:r w:rsidR="00E57DBC" w:rsidRPr="001769FC">
        <w:rPr>
          <w:rFonts w:ascii="Arial" w:hAnsi="Arial" w:cs="Arial"/>
          <w:sz w:val="24"/>
          <w:szCs w:val="24"/>
        </w:rPr>
        <w:t>the</w:t>
      </w:r>
      <w:r w:rsidR="00E062C2" w:rsidRPr="001769FC">
        <w:rPr>
          <w:rFonts w:ascii="Arial" w:hAnsi="Arial" w:cs="Arial"/>
          <w:sz w:val="24"/>
          <w:szCs w:val="24"/>
        </w:rPr>
        <w:t xml:space="preserve"> point of law relied upon and the basis upon which the plaintiff contends the defence raised by the defendant does not raise any issue for trial</w:t>
      </w:r>
      <w:r w:rsidR="00E57DBC" w:rsidRPr="001769FC">
        <w:rPr>
          <w:rFonts w:ascii="Arial" w:hAnsi="Arial" w:cs="Arial"/>
          <w:sz w:val="24"/>
          <w:szCs w:val="24"/>
        </w:rPr>
        <w:t xml:space="preserve">. The </w:t>
      </w:r>
      <w:r w:rsidR="00E57DBC" w:rsidRPr="001769FC">
        <w:rPr>
          <w:rFonts w:ascii="Arial" w:hAnsi="Arial" w:cs="Arial"/>
          <w:iCs/>
          <w:sz w:val="24"/>
          <w:szCs w:val="24"/>
        </w:rPr>
        <w:t xml:space="preserve">grounds upon which the plaintiff contends that the defendant’s defences are bogus are succinctly set out at paras 9 to 14 of the plaintiff’s affidavit. The </w:t>
      </w:r>
      <w:r w:rsidR="006C558B" w:rsidRPr="001769FC">
        <w:rPr>
          <w:rFonts w:ascii="Arial" w:hAnsi="Arial" w:cs="Arial"/>
          <w:sz w:val="24"/>
          <w:szCs w:val="24"/>
        </w:rPr>
        <w:t>law is rite on this aspect</w:t>
      </w:r>
      <w:r w:rsidR="00E062C2" w:rsidRPr="001769FC">
        <w:rPr>
          <w:rFonts w:ascii="Arial" w:hAnsi="Arial" w:cs="Arial"/>
          <w:sz w:val="24"/>
          <w:szCs w:val="24"/>
        </w:rPr>
        <w:t>.</w:t>
      </w:r>
      <w:r w:rsidR="00C84A90">
        <w:rPr>
          <w:rFonts w:ascii="Arial" w:hAnsi="Arial" w:cs="Arial"/>
          <w:sz w:val="24"/>
          <w:szCs w:val="24"/>
        </w:rPr>
        <w:t xml:space="preserve"> </w:t>
      </w:r>
      <w:r w:rsidR="006C558B" w:rsidRPr="001769FC">
        <w:rPr>
          <w:rFonts w:ascii="Arial" w:hAnsi="Arial" w:cs="Arial"/>
          <w:iCs/>
          <w:sz w:val="24"/>
          <w:szCs w:val="24"/>
        </w:rPr>
        <w:t>In</w:t>
      </w:r>
      <w:r w:rsidR="006C558B" w:rsidRPr="001769FC">
        <w:rPr>
          <w:rFonts w:ascii="Arial" w:hAnsi="Arial" w:cs="Arial"/>
          <w:i/>
          <w:iCs/>
          <w:sz w:val="24"/>
          <w:szCs w:val="24"/>
        </w:rPr>
        <w:t xml:space="preserve"> </w:t>
      </w:r>
      <w:r w:rsidR="007B471B" w:rsidRPr="001769FC">
        <w:rPr>
          <w:rFonts w:ascii="Arial" w:hAnsi="Arial" w:cs="Arial"/>
          <w:i/>
          <w:iCs/>
          <w:sz w:val="24"/>
          <w:szCs w:val="24"/>
        </w:rPr>
        <w:t>Tumileng Trading CC v National Security and Fire (Pty) Ltd; E and D Security Systems CC v National Security and Fire (Pty) Ltd</w:t>
      </w:r>
      <w:r w:rsidR="006C558B" w:rsidRPr="001769FC">
        <w:rPr>
          <w:rFonts w:ascii="Arial" w:hAnsi="Arial" w:cs="Arial"/>
          <w:i/>
          <w:iCs/>
          <w:sz w:val="24"/>
          <w:szCs w:val="24"/>
        </w:rPr>
        <w:t xml:space="preserve">, </w:t>
      </w:r>
      <w:r w:rsidR="007B471B" w:rsidRPr="001769FC">
        <w:rPr>
          <w:rStyle w:val="FootnoteReference"/>
          <w:rFonts w:ascii="Arial" w:hAnsi="Arial" w:cs="Arial"/>
          <w:i/>
          <w:iCs/>
          <w:sz w:val="24"/>
          <w:szCs w:val="24"/>
        </w:rPr>
        <w:footnoteReference w:id="5"/>
      </w:r>
      <w:r w:rsidR="007B471B" w:rsidRPr="001769FC">
        <w:rPr>
          <w:rFonts w:ascii="Arial" w:hAnsi="Arial" w:cs="Arial"/>
          <w:sz w:val="24"/>
          <w:szCs w:val="24"/>
        </w:rPr>
        <w:t xml:space="preserve"> </w:t>
      </w:r>
      <w:r w:rsidR="006C558B" w:rsidRPr="001769FC">
        <w:rPr>
          <w:rFonts w:ascii="Arial" w:hAnsi="Arial" w:cs="Arial"/>
          <w:sz w:val="24"/>
          <w:szCs w:val="24"/>
        </w:rPr>
        <w:t xml:space="preserve">it was held that these words </w:t>
      </w:r>
      <w:r w:rsidR="007B471B" w:rsidRPr="001769FC">
        <w:rPr>
          <w:rFonts w:ascii="Arial" w:hAnsi="Arial" w:cs="Arial"/>
          <w:sz w:val="24"/>
          <w:szCs w:val="24"/>
        </w:rPr>
        <w:t>cannot be taken literally</w:t>
      </w:r>
      <w:r w:rsidR="006C558B" w:rsidRPr="001769FC">
        <w:rPr>
          <w:rFonts w:ascii="Arial" w:hAnsi="Arial" w:cs="Arial"/>
          <w:sz w:val="24"/>
          <w:szCs w:val="24"/>
        </w:rPr>
        <w:t xml:space="preserve"> because</w:t>
      </w:r>
      <w:r w:rsidR="007B471B" w:rsidRPr="001769FC">
        <w:rPr>
          <w:rFonts w:ascii="Arial" w:hAnsi="Arial" w:cs="Arial"/>
          <w:sz w:val="24"/>
          <w:szCs w:val="24"/>
        </w:rPr>
        <w:t xml:space="preserve">: </w:t>
      </w:r>
    </w:p>
    <w:p w:rsidR="007B471B" w:rsidRPr="001769FC" w:rsidRDefault="007B471B" w:rsidP="007B471B">
      <w:pPr>
        <w:spacing w:line="360" w:lineRule="auto"/>
        <w:jc w:val="both"/>
        <w:outlineLvl w:val="1"/>
        <w:rPr>
          <w:rFonts w:ascii="Arial" w:hAnsi="Arial" w:cs="Arial"/>
        </w:rPr>
      </w:pPr>
    </w:p>
    <w:p w:rsidR="007B471B" w:rsidRPr="001769FC" w:rsidRDefault="007B471B" w:rsidP="00E57DBC">
      <w:pPr>
        <w:spacing w:line="360" w:lineRule="auto"/>
        <w:ind w:left="1440"/>
        <w:jc w:val="both"/>
        <w:rPr>
          <w:rFonts w:ascii="Arial" w:hAnsi="Arial" w:cs="Arial"/>
          <w:sz w:val="20"/>
          <w:szCs w:val="20"/>
          <w:lang w:val="en-GB"/>
        </w:rPr>
      </w:pPr>
      <w:r w:rsidRPr="001769FC">
        <w:rPr>
          <w:rFonts w:ascii="Arial" w:hAnsi="Arial" w:cs="Arial"/>
          <w:i/>
          <w:iCs/>
          <w:sz w:val="20"/>
          <w:szCs w:val="20"/>
        </w:rPr>
        <w:t>“</w:t>
      </w:r>
      <w:r w:rsidRPr="001769FC">
        <w:rPr>
          <w:rFonts w:ascii="Arial" w:hAnsi="Arial" w:cs="Arial"/>
          <w:i/>
          <w:iCs/>
          <w:sz w:val="20"/>
          <w:szCs w:val="20"/>
          <w:lang w:val="en-GB"/>
        </w:rPr>
        <w:t>[21] The requirement that the plaintiff’s supporting affidavit should explain briefly why the pleaded defence ‘does not raise an issue for trial’ is of more interest.  It cannot be taken literally, for a plea that did that would be excipiable, and there is no indication that the amended summary judgment procedure is intended as an alternative to the exception procedure.  For the reasons given later with regard to the cases before me, I consider that the amended rule 32(2)(b) makes sense only if the word ‘genuinely’ is read in before the word ‘raise’ so that the pertinent phrase reads ‘explain briefly why the defence as pleaded does not genuinely raise any issue for trial’.  In other words, the plaintiff is not required to explain that the plea is excipiable.  It is required to explain why it is contended that the pleaded defence is a sham.  That much is implicit in what the Task Team said in para. 8.3 of its Memorandum. The position would have been made clearer had the words ‘does not make out a bona fide defence’ been used.  That would have made for a more clearly discernible connection between the respective requirements of subrules (2)(b) and (3)(b).  That there be such a connection is necessary if the amended rule as a whole is to be workable</w:t>
      </w:r>
      <w:r w:rsidRPr="001769FC">
        <w:rPr>
          <w:rFonts w:ascii="Arial" w:hAnsi="Arial" w:cs="Arial"/>
          <w:sz w:val="20"/>
          <w:szCs w:val="20"/>
          <w:lang w:val="en-GB"/>
        </w:rPr>
        <w:t xml:space="preserve">.” </w:t>
      </w:r>
    </w:p>
    <w:p w:rsidR="007B471B" w:rsidRPr="001769FC" w:rsidRDefault="007B471B" w:rsidP="00E57DBC">
      <w:pPr>
        <w:spacing w:line="360" w:lineRule="auto"/>
        <w:ind w:left="1440"/>
        <w:jc w:val="both"/>
        <w:rPr>
          <w:rFonts w:ascii="Arial" w:hAnsi="Arial" w:cs="Arial"/>
          <w:i/>
          <w:iCs/>
          <w:sz w:val="20"/>
          <w:szCs w:val="20"/>
        </w:rPr>
      </w:pPr>
      <w:r w:rsidRPr="001769FC">
        <w:rPr>
          <w:rFonts w:ascii="Arial" w:hAnsi="Arial" w:cs="Arial"/>
          <w:i/>
          <w:iCs/>
          <w:sz w:val="20"/>
          <w:szCs w:val="20"/>
        </w:rPr>
        <w:t>“</w:t>
      </w:r>
      <w:r w:rsidRPr="001769FC">
        <w:rPr>
          <w:rFonts w:ascii="Arial" w:hAnsi="Arial" w:cs="Arial"/>
          <w:i/>
          <w:iCs/>
          <w:sz w:val="20"/>
          <w:szCs w:val="20"/>
          <w:lang w:val="en-GB"/>
        </w:rPr>
        <w:t xml:space="preserve">[23] It seems to me, however, that the exercise is likely to be futile in all cases other than those in which the pleaded defence is a bald denial.  This is because a court seized of a summary judgment application is not charged with determining the substantive merit of a defence, nor with determining its prospects of success.  It is concerned only with an assessment of whether the pleaded defence is genuinely advanced, as opposed to a sham put up for purposes of obtaining delay.  A court engaged in that exercise is not going to be willing to become involved in determining </w:t>
      </w:r>
      <w:r w:rsidRPr="001769FC">
        <w:rPr>
          <w:rFonts w:ascii="Arial" w:hAnsi="Arial" w:cs="Arial"/>
          <w:i/>
          <w:iCs/>
          <w:sz w:val="20"/>
          <w:szCs w:val="20"/>
          <w:lang w:val="en-GB"/>
        </w:rPr>
        <w:lastRenderedPageBreak/>
        <w:t>disputes of fact on the merits of the principal case.  As the current applications illustrate, the exercise is likely therefore to conduce to argumentative affidavits, setting forth as averments assertions that could more appropriately be addressed as submissions by counsel from the bar.  In other words, it is likely to lead to unnecessarily lengthy supporting affidavits, dealing more with matters for argument than matters of fact.”</w:t>
      </w:r>
    </w:p>
    <w:p w:rsidR="007B471B" w:rsidRPr="001769FC" w:rsidRDefault="007B471B" w:rsidP="002132AC">
      <w:pPr>
        <w:shd w:val="clear" w:color="auto" w:fill="FFFFFF"/>
        <w:spacing w:before="144" w:after="0" w:line="360" w:lineRule="auto"/>
        <w:ind w:left="720" w:hanging="720"/>
        <w:jc w:val="both"/>
        <w:rPr>
          <w:rFonts w:ascii="Arial" w:hAnsi="Arial" w:cs="Arial"/>
          <w:sz w:val="24"/>
          <w:szCs w:val="24"/>
        </w:rPr>
      </w:pPr>
    </w:p>
    <w:p w:rsidR="000C2A9C" w:rsidRDefault="002132AC" w:rsidP="000659A1">
      <w:pPr>
        <w:shd w:val="clear" w:color="auto" w:fill="FFFFFF"/>
        <w:spacing w:after="0" w:line="360" w:lineRule="auto"/>
        <w:ind w:left="720" w:hanging="720"/>
        <w:jc w:val="both"/>
        <w:rPr>
          <w:rFonts w:ascii="Arial" w:hAnsi="Arial" w:cs="Arial"/>
          <w:sz w:val="24"/>
          <w:szCs w:val="24"/>
        </w:rPr>
      </w:pPr>
      <w:r w:rsidRPr="00DA2E73">
        <w:rPr>
          <w:rFonts w:ascii="Arial" w:hAnsi="Arial" w:cs="Arial"/>
          <w:sz w:val="24"/>
          <w:szCs w:val="24"/>
        </w:rPr>
        <w:t>[</w:t>
      </w:r>
      <w:r w:rsidR="00BF3BEC">
        <w:rPr>
          <w:rFonts w:ascii="Arial" w:hAnsi="Arial" w:cs="Arial"/>
          <w:sz w:val="24"/>
          <w:szCs w:val="24"/>
        </w:rPr>
        <w:t>11</w:t>
      </w:r>
      <w:r w:rsidRPr="00DA2E73">
        <w:rPr>
          <w:rFonts w:ascii="Arial" w:hAnsi="Arial" w:cs="Arial"/>
          <w:sz w:val="24"/>
          <w:szCs w:val="24"/>
        </w:rPr>
        <w:t>]</w:t>
      </w:r>
      <w:r w:rsidRPr="00DA2E73">
        <w:rPr>
          <w:rFonts w:ascii="Arial" w:hAnsi="Arial" w:cs="Arial"/>
          <w:sz w:val="24"/>
          <w:szCs w:val="24"/>
        </w:rPr>
        <w:tab/>
      </w:r>
      <w:r w:rsidR="000C2A9C">
        <w:rPr>
          <w:rFonts w:ascii="Arial" w:hAnsi="Arial" w:cs="Arial"/>
          <w:sz w:val="24"/>
          <w:szCs w:val="24"/>
        </w:rPr>
        <w:t xml:space="preserve">Based on these reasons above, I am inclined to dismiss the defendant’s points </w:t>
      </w:r>
      <w:r w:rsidR="000C2A9C" w:rsidRPr="000C2A9C">
        <w:rPr>
          <w:rFonts w:ascii="Arial" w:hAnsi="Arial" w:cs="Arial"/>
          <w:i/>
          <w:sz w:val="24"/>
          <w:szCs w:val="24"/>
        </w:rPr>
        <w:t>in limine</w:t>
      </w:r>
      <w:r w:rsidR="000C2A9C">
        <w:rPr>
          <w:rFonts w:ascii="Arial" w:hAnsi="Arial" w:cs="Arial"/>
          <w:sz w:val="24"/>
          <w:szCs w:val="24"/>
        </w:rPr>
        <w:t xml:space="preserve"> in </w:t>
      </w:r>
      <w:r w:rsidR="000C2A9C" w:rsidRPr="000C2A9C">
        <w:rPr>
          <w:rFonts w:ascii="Arial" w:hAnsi="Arial" w:cs="Arial"/>
          <w:i/>
          <w:sz w:val="24"/>
          <w:szCs w:val="24"/>
        </w:rPr>
        <w:t>toto</w:t>
      </w:r>
      <w:r w:rsidR="000C2A9C">
        <w:rPr>
          <w:rFonts w:ascii="Arial" w:hAnsi="Arial" w:cs="Arial"/>
          <w:sz w:val="24"/>
          <w:szCs w:val="24"/>
        </w:rPr>
        <w:t>.</w:t>
      </w:r>
    </w:p>
    <w:p w:rsidR="000C2A9C" w:rsidRDefault="000C2A9C" w:rsidP="000659A1">
      <w:pPr>
        <w:shd w:val="clear" w:color="auto" w:fill="FFFFFF"/>
        <w:spacing w:after="0" w:line="360" w:lineRule="auto"/>
        <w:ind w:left="720" w:hanging="720"/>
        <w:jc w:val="both"/>
        <w:rPr>
          <w:rFonts w:ascii="Arial" w:hAnsi="Arial" w:cs="Arial"/>
          <w:sz w:val="24"/>
          <w:szCs w:val="24"/>
        </w:rPr>
      </w:pPr>
    </w:p>
    <w:p w:rsidR="00052262" w:rsidRDefault="00BF3BEC" w:rsidP="000659A1">
      <w:pPr>
        <w:shd w:val="clear" w:color="auto" w:fill="FFFFFF"/>
        <w:spacing w:after="0" w:line="360" w:lineRule="auto"/>
        <w:ind w:left="720" w:hanging="720"/>
        <w:jc w:val="both"/>
        <w:rPr>
          <w:rFonts w:ascii="Arial" w:hAnsi="Arial" w:cs="Arial"/>
          <w:sz w:val="24"/>
          <w:szCs w:val="24"/>
        </w:rPr>
      </w:pPr>
      <w:r>
        <w:rPr>
          <w:rFonts w:ascii="Arial" w:hAnsi="Arial" w:cs="Arial"/>
          <w:sz w:val="24"/>
          <w:szCs w:val="24"/>
        </w:rPr>
        <w:t>[12</w:t>
      </w:r>
      <w:r w:rsidR="000C2A9C">
        <w:rPr>
          <w:rFonts w:ascii="Arial" w:hAnsi="Arial" w:cs="Arial"/>
          <w:sz w:val="24"/>
          <w:szCs w:val="24"/>
        </w:rPr>
        <w:t>]</w:t>
      </w:r>
      <w:r w:rsidR="000C2A9C">
        <w:rPr>
          <w:rFonts w:ascii="Arial" w:hAnsi="Arial" w:cs="Arial"/>
          <w:sz w:val="24"/>
          <w:szCs w:val="24"/>
        </w:rPr>
        <w:tab/>
      </w:r>
      <w:r w:rsidR="00052262">
        <w:rPr>
          <w:rFonts w:ascii="Arial" w:hAnsi="Arial" w:cs="Arial"/>
          <w:sz w:val="24"/>
          <w:szCs w:val="24"/>
        </w:rPr>
        <w:t>I now turn to consider whether the defences raised by the defendant raise issues deserving to be entertained at trial.</w:t>
      </w:r>
    </w:p>
    <w:p w:rsidR="00052262" w:rsidRDefault="00052262" w:rsidP="000659A1">
      <w:pPr>
        <w:shd w:val="clear" w:color="auto" w:fill="FFFFFF"/>
        <w:spacing w:after="0" w:line="360" w:lineRule="auto"/>
        <w:ind w:left="720" w:hanging="720"/>
        <w:jc w:val="both"/>
        <w:rPr>
          <w:rFonts w:ascii="Arial" w:hAnsi="Arial" w:cs="Arial"/>
          <w:sz w:val="24"/>
          <w:szCs w:val="24"/>
        </w:rPr>
      </w:pPr>
    </w:p>
    <w:p w:rsidR="0096079D" w:rsidRPr="00DA2E73" w:rsidRDefault="00052262" w:rsidP="000659A1">
      <w:pPr>
        <w:shd w:val="clear" w:color="auto" w:fill="FFFFFF"/>
        <w:spacing w:after="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6079D" w:rsidRPr="00DA2E73">
        <w:rPr>
          <w:rFonts w:ascii="Arial" w:hAnsi="Arial" w:cs="Arial"/>
          <w:sz w:val="24"/>
          <w:szCs w:val="24"/>
        </w:rPr>
        <w:t xml:space="preserve">The </w:t>
      </w:r>
      <w:r w:rsidR="00835D86" w:rsidRPr="00DA2E73">
        <w:rPr>
          <w:rFonts w:ascii="Arial" w:hAnsi="Arial" w:cs="Arial"/>
          <w:sz w:val="24"/>
          <w:szCs w:val="24"/>
        </w:rPr>
        <w:t xml:space="preserve">plaintiff’s </w:t>
      </w:r>
      <w:r w:rsidR="0096079D" w:rsidRPr="00DA2E73">
        <w:rPr>
          <w:rFonts w:ascii="Arial" w:hAnsi="Arial" w:cs="Arial"/>
          <w:sz w:val="24"/>
          <w:szCs w:val="24"/>
        </w:rPr>
        <w:t xml:space="preserve">claim is premised on a breach of a home loan agreement concluded between the plaintiff and Seriso 203 CC (“Seriso”) </w:t>
      </w:r>
      <w:r w:rsidR="00620670" w:rsidRPr="00DA2E73">
        <w:rPr>
          <w:rFonts w:ascii="Arial" w:hAnsi="Arial" w:cs="Arial"/>
          <w:sz w:val="24"/>
          <w:szCs w:val="24"/>
        </w:rPr>
        <w:t xml:space="preserve">as the principal debtor </w:t>
      </w:r>
      <w:r w:rsidR="0096079D" w:rsidRPr="00DA2E73">
        <w:rPr>
          <w:rFonts w:ascii="Arial" w:hAnsi="Arial" w:cs="Arial"/>
          <w:sz w:val="24"/>
          <w:szCs w:val="24"/>
        </w:rPr>
        <w:t>on 4 June 2007</w:t>
      </w:r>
      <w:r w:rsidR="00620670" w:rsidRPr="00DA2E73">
        <w:rPr>
          <w:rFonts w:ascii="Arial" w:hAnsi="Arial" w:cs="Arial"/>
          <w:sz w:val="24"/>
          <w:szCs w:val="24"/>
        </w:rPr>
        <w:t xml:space="preserve">. </w:t>
      </w:r>
      <w:r>
        <w:rPr>
          <w:rFonts w:ascii="Arial" w:hAnsi="Arial" w:cs="Arial"/>
          <w:sz w:val="24"/>
          <w:szCs w:val="24"/>
        </w:rPr>
        <w:t xml:space="preserve">It is the plaintiff’s case that the </w:t>
      </w:r>
      <w:r w:rsidR="00620670" w:rsidRPr="00DA2E73">
        <w:rPr>
          <w:rFonts w:ascii="Arial" w:hAnsi="Arial" w:cs="Arial"/>
          <w:sz w:val="24"/>
          <w:szCs w:val="24"/>
        </w:rPr>
        <w:t>agreement incorporated a suretyship agreement in terms of which the defendant and the deceased bound themselves as sureties and co-principal debtors for Ser</w:t>
      </w:r>
      <w:r>
        <w:rPr>
          <w:rFonts w:ascii="Arial" w:hAnsi="Arial" w:cs="Arial"/>
          <w:sz w:val="24"/>
          <w:szCs w:val="24"/>
        </w:rPr>
        <w:t>i</w:t>
      </w:r>
      <w:r w:rsidR="00620670" w:rsidRPr="00DA2E73">
        <w:rPr>
          <w:rFonts w:ascii="Arial" w:hAnsi="Arial" w:cs="Arial"/>
          <w:sz w:val="24"/>
          <w:szCs w:val="24"/>
        </w:rPr>
        <w:t>so’s unpaid debts</w:t>
      </w:r>
      <w:r w:rsidR="0096079D" w:rsidRPr="00DA2E73">
        <w:rPr>
          <w:rFonts w:ascii="Arial" w:hAnsi="Arial" w:cs="Arial"/>
          <w:sz w:val="24"/>
          <w:szCs w:val="24"/>
        </w:rPr>
        <w:t xml:space="preserve">. </w:t>
      </w:r>
      <w:r w:rsidR="00955E37" w:rsidRPr="00DA2E73">
        <w:rPr>
          <w:rFonts w:ascii="Arial" w:hAnsi="Arial" w:cs="Arial"/>
          <w:sz w:val="24"/>
          <w:szCs w:val="24"/>
        </w:rPr>
        <w:t>Annexure “F” of the particulars of claim is a copy of the said suretyship</w:t>
      </w:r>
      <w:r w:rsidR="00620670" w:rsidRPr="00DA2E73">
        <w:rPr>
          <w:rFonts w:ascii="Arial" w:hAnsi="Arial" w:cs="Arial"/>
          <w:sz w:val="24"/>
          <w:szCs w:val="24"/>
        </w:rPr>
        <w:t xml:space="preserve"> agreement</w:t>
      </w:r>
      <w:r w:rsidR="00DA2E73" w:rsidRPr="00DA2E73">
        <w:rPr>
          <w:rFonts w:ascii="Arial" w:hAnsi="Arial" w:cs="Arial"/>
          <w:sz w:val="24"/>
          <w:szCs w:val="24"/>
        </w:rPr>
        <w:t xml:space="preserve"> and Annexure </w:t>
      </w:r>
      <w:r w:rsidR="00B37034">
        <w:rPr>
          <w:rFonts w:ascii="Arial" w:hAnsi="Arial" w:cs="Arial"/>
          <w:sz w:val="24"/>
          <w:szCs w:val="24"/>
        </w:rPr>
        <w:t xml:space="preserve">“E” </w:t>
      </w:r>
      <w:r w:rsidR="00DA2E73" w:rsidRPr="00DA2E73">
        <w:rPr>
          <w:rFonts w:ascii="Arial" w:hAnsi="Arial" w:cs="Arial"/>
          <w:sz w:val="24"/>
          <w:szCs w:val="24"/>
        </w:rPr>
        <w:t xml:space="preserve">is the certificate of balance evidencing the computation of the capital amount due and the interest </w:t>
      </w:r>
      <w:r w:rsidR="00B37034">
        <w:rPr>
          <w:rFonts w:ascii="Arial" w:hAnsi="Arial" w:cs="Arial"/>
          <w:sz w:val="24"/>
          <w:szCs w:val="24"/>
        </w:rPr>
        <w:t>rate applicable</w:t>
      </w:r>
      <w:r w:rsidR="00DA2E73" w:rsidRPr="00DA2E73">
        <w:rPr>
          <w:rFonts w:ascii="Arial" w:hAnsi="Arial" w:cs="Arial"/>
          <w:sz w:val="24"/>
          <w:szCs w:val="24"/>
        </w:rPr>
        <w:t>.</w:t>
      </w:r>
      <w:r w:rsidR="00955E37" w:rsidRPr="00DA2E73">
        <w:rPr>
          <w:rFonts w:ascii="Arial" w:hAnsi="Arial" w:cs="Arial"/>
          <w:sz w:val="24"/>
          <w:szCs w:val="24"/>
        </w:rPr>
        <w:t xml:space="preserve"> </w:t>
      </w:r>
    </w:p>
    <w:p w:rsidR="00922F86" w:rsidRPr="00DA2E73" w:rsidRDefault="00922F86" w:rsidP="000659A1">
      <w:pPr>
        <w:shd w:val="clear" w:color="auto" w:fill="FFFFFF"/>
        <w:spacing w:after="0" w:line="360" w:lineRule="auto"/>
        <w:ind w:left="720" w:hanging="720"/>
        <w:jc w:val="both"/>
        <w:rPr>
          <w:rFonts w:ascii="Arial" w:hAnsi="Arial" w:cs="Arial"/>
          <w:sz w:val="24"/>
          <w:szCs w:val="24"/>
        </w:rPr>
      </w:pPr>
    </w:p>
    <w:p w:rsidR="00CC5434" w:rsidRPr="00DA2E73" w:rsidRDefault="00955E37" w:rsidP="000659A1">
      <w:pPr>
        <w:shd w:val="clear" w:color="auto" w:fill="FFFFFF"/>
        <w:spacing w:after="0" w:line="360" w:lineRule="auto"/>
        <w:ind w:left="720" w:hanging="720"/>
        <w:jc w:val="both"/>
        <w:rPr>
          <w:rFonts w:ascii="Arial" w:hAnsi="Arial" w:cs="Arial"/>
          <w:sz w:val="24"/>
          <w:szCs w:val="24"/>
        </w:rPr>
      </w:pPr>
      <w:r w:rsidRPr="00DA2E73">
        <w:rPr>
          <w:rFonts w:ascii="Arial" w:hAnsi="Arial" w:cs="Arial"/>
          <w:sz w:val="24"/>
          <w:szCs w:val="24"/>
        </w:rPr>
        <w:t>[</w:t>
      </w:r>
      <w:r w:rsidR="00DA2E73" w:rsidRPr="00DA2E73">
        <w:rPr>
          <w:rFonts w:ascii="Arial" w:hAnsi="Arial" w:cs="Arial"/>
          <w:sz w:val="24"/>
          <w:szCs w:val="24"/>
        </w:rPr>
        <w:t>1</w:t>
      </w:r>
      <w:r w:rsidR="00B37034">
        <w:rPr>
          <w:rFonts w:ascii="Arial" w:hAnsi="Arial" w:cs="Arial"/>
          <w:sz w:val="24"/>
          <w:szCs w:val="24"/>
        </w:rPr>
        <w:t>4</w:t>
      </w:r>
      <w:r w:rsidRPr="00DA2E73">
        <w:rPr>
          <w:rFonts w:ascii="Arial" w:hAnsi="Arial" w:cs="Arial"/>
          <w:sz w:val="24"/>
          <w:szCs w:val="24"/>
        </w:rPr>
        <w:t>]</w:t>
      </w:r>
      <w:r w:rsidRPr="00DA2E73">
        <w:rPr>
          <w:rFonts w:ascii="Arial" w:hAnsi="Arial" w:cs="Arial"/>
          <w:sz w:val="24"/>
          <w:szCs w:val="24"/>
        </w:rPr>
        <w:tab/>
      </w:r>
      <w:r w:rsidR="00CC5434" w:rsidRPr="00DA2E73">
        <w:rPr>
          <w:rFonts w:ascii="Arial" w:hAnsi="Arial" w:cs="Arial"/>
          <w:sz w:val="24"/>
          <w:szCs w:val="24"/>
        </w:rPr>
        <w:t xml:space="preserve">It </w:t>
      </w:r>
      <w:r w:rsidR="00922F86" w:rsidRPr="00DA2E73">
        <w:rPr>
          <w:rFonts w:ascii="Arial" w:hAnsi="Arial" w:cs="Arial"/>
          <w:sz w:val="24"/>
          <w:szCs w:val="24"/>
        </w:rPr>
        <w:t xml:space="preserve">is </w:t>
      </w:r>
      <w:r w:rsidR="00CC5434" w:rsidRPr="00DA2E73">
        <w:rPr>
          <w:rFonts w:ascii="Arial" w:hAnsi="Arial" w:cs="Arial"/>
          <w:sz w:val="24"/>
          <w:szCs w:val="24"/>
        </w:rPr>
        <w:t xml:space="preserve">the plaintiff’s </w:t>
      </w:r>
      <w:r w:rsidR="00052262">
        <w:rPr>
          <w:rFonts w:ascii="Arial" w:hAnsi="Arial" w:cs="Arial"/>
          <w:sz w:val="24"/>
          <w:szCs w:val="24"/>
        </w:rPr>
        <w:t xml:space="preserve">submission </w:t>
      </w:r>
      <w:r w:rsidR="00CC5434" w:rsidRPr="00DA2E73">
        <w:rPr>
          <w:rFonts w:ascii="Arial" w:hAnsi="Arial" w:cs="Arial"/>
          <w:sz w:val="24"/>
          <w:szCs w:val="24"/>
        </w:rPr>
        <w:t xml:space="preserve">that the defendant’s opposing affidavit does not raise triable issues it merely alludes to unmeritorious technical defences and a bare denial of the plaintiff’s claim. </w:t>
      </w:r>
    </w:p>
    <w:p w:rsidR="00CC5434" w:rsidRPr="00DA2E73" w:rsidRDefault="00CC5434" w:rsidP="000659A1">
      <w:pPr>
        <w:shd w:val="clear" w:color="auto" w:fill="FFFFFF"/>
        <w:spacing w:after="0" w:line="360" w:lineRule="auto"/>
        <w:ind w:left="720" w:hanging="720"/>
        <w:jc w:val="both"/>
        <w:rPr>
          <w:rFonts w:ascii="Arial" w:hAnsi="Arial" w:cs="Arial"/>
          <w:sz w:val="24"/>
          <w:szCs w:val="24"/>
        </w:rPr>
      </w:pPr>
    </w:p>
    <w:p w:rsidR="00CC5434" w:rsidRPr="00DA2E73" w:rsidRDefault="00CC5434" w:rsidP="000659A1">
      <w:pPr>
        <w:shd w:val="clear" w:color="auto" w:fill="FFFFFF"/>
        <w:spacing w:after="0" w:line="360" w:lineRule="auto"/>
        <w:ind w:left="720" w:hanging="720"/>
        <w:jc w:val="both"/>
        <w:rPr>
          <w:rFonts w:ascii="Arial" w:hAnsi="Arial" w:cs="Arial"/>
          <w:sz w:val="24"/>
          <w:szCs w:val="24"/>
        </w:rPr>
      </w:pPr>
      <w:r w:rsidRPr="00DA2E73">
        <w:rPr>
          <w:rFonts w:ascii="Arial" w:hAnsi="Arial" w:cs="Arial"/>
          <w:sz w:val="24"/>
          <w:szCs w:val="24"/>
        </w:rPr>
        <w:t>[</w:t>
      </w:r>
      <w:r w:rsidR="00DA2E73" w:rsidRPr="00DA2E73">
        <w:rPr>
          <w:rFonts w:ascii="Arial" w:hAnsi="Arial" w:cs="Arial"/>
          <w:sz w:val="24"/>
          <w:szCs w:val="24"/>
        </w:rPr>
        <w:t>1</w:t>
      </w:r>
      <w:r w:rsidR="00B37034">
        <w:rPr>
          <w:rFonts w:ascii="Arial" w:hAnsi="Arial" w:cs="Arial"/>
          <w:sz w:val="24"/>
          <w:szCs w:val="24"/>
        </w:rPr>
        <w:t>5</w:t>
      </w:r>
      <w:r w:rsidRPr="00DA2E73">
        <w:rPr>
          <w:rFonts w:ascii="Arial" w:hAnsi="Arial" w:cs="Arial"/>
          <w:sz w:val="24"/>
          <w:szCs w:val="24"/>
        </w:rPr>
        <w:t>]</w:t>
      </w:r>
      <w:r w:rsidRPr="00DA2E73">
        <w:rPr>
          <w:rFonts w:ascii="Arial" w:hAnsi="Arial" w:cs="Arial"/>
          <w:sz w:val="24"/>
          <w:szCs w:val="24"/>
        </w:rPr>
        <w:tab/>
      </w:r>
      <w:r w:rsidR="00052262">
        <w:rPr>
          <w:rFonts w:ascii="Arial" w:hAnsi="Arial" w:cs="Arial"/>
          <w:sz w:val="24"/>
          <w:szCs w:val="24"/>
        </w:rPr>
        <w:t>On the other side, t</w:t>
      </w:r>
      <w:r w:rsidR="00DA2E73" w:rsidRPr="00DA2E73">
        <w:rPr>
          <w:rFonts w:ascii="Arial" w:hAnsi="Arial" w:cs="Arial"/>
          <w:sz w:val="24"/>
          <w:szCs w:val="24"/>
        </w:rPr>
        <w:t xml:space="preserve">he </w:t>
      </w:r>
      <w:r w:rsidR="006557E5" w:rsidRPr="00DA2E73">
        <w:rPr>
          <w:rFonts w:ascii="Arial" w:hAnsi="Arial" w:cs="Arial"/>
          <w:sz w:val="24"/>
          <w:szCs w:val="24"/>
        </w:rPr>
        <w:t xml:space="preserve">plaintiff’s claim is disputed on the basis that the plaintiff’s </w:t>
      </w:r>
      <w:r w:rsidR="006557E5" w:rsidRPr="00DA2E73">
        <w:rPr>
          <w:rFonts w:ascii="Arial" w:hAnsi="Arial" w:cs="Arial"/>
          <w:i/>
          <w:sz w:val="24"/>
          <w:szCs w:val="24"/>
        </w:rPr>
        <w:t>locus standi</w:t>
      </w:r>
      <w:r w:rsidR="006557E5" w:rsidRPr="00DA2E73">
        <w:rPr>
          <w:rFonts w:ascii="Arial" w:hAnsi="Arial" w:cs="Arial"/>
          <w:sz w:val="24"/>
          <w:szCs w:val="24"/>
        </w:rPr>
        <w:t xml:space="preserve"> to institute these proceedings against the defendant has not been established</w:t>
      </w:r>
      <w:r w:rsidRPr="00DA2E73">
        <w:rPr>
          <w:rFonts w:ascii="Arial" w:hAnsi="Arial" w:cs="Arial"/>
          <w:sz w:val="24"/>
          <w:szCs w:val="24"/>
        </w:rPr>
        <w:t xml:space="preserve"> in that, in the particulars of claim it is alleged that the plaintiff is “</w:t>
      </w:r>
      <w:r w:rsidRPr="00DA2E73">
        <w:rPr>
          <w:rFonts w:ascii="Arial" w:hAnsi="Arial" w:cs="Arial"/>
          <w:i/>
          <w:sz w:val="24"/>
          <w:szCs w:val="24"/>
        </w:rPr>
        <w:t>a company duly incorporated according to the Company Laws of the Republic of South Africa</w:t>
      </w:r>
      <w:r w:rsidRPr="00DA2E73">
        <w:rPr>
          <w:rFonts w:ascii="Arial" w:hAnsi="Arial" w:cs="Arial"/>
          <w:sz w:val="24"/>
          <w:szCs w:val="24"/>
        </w:rPr>
        <w:t xml:space="preserve">” whereas the plaintiff is a bank </w:t>
      </w:r>
      <w:r w:rsidR="00052262">
        <w:rPr>
          <w:rFonts w:ascii="Arial" w:hAnsi="Arial" w:cs="Arial"/>
          <w:sz w:val="24"/>
          <w:szCs w:val="24"/>
        </w:rPr>
        <w:t xml:space="preserve">and </w:t>
      </w:r>
      <w:r w:rsidRPr="00DA2E73">
        <w:rPr>
          <w:rFonts w:ascii="Arial" w:hAnsi="Arial" w:cs="Arial"/>
          <w:sz w:val="24"/>
          <w:szCs w:val="24"/>
        </w:rPr>
        <w:t>it can only be “</w:t>
      </w:r>
      <w:r w:rsidRPr="00DA2E73">
        <w:rPr>
          <w:rFonts w:ascii="Arial" w:hAnsi="Arial" w:cs="Arial"/>
          <w:i/>
          <w:sz w:val="24"/>
          <w:szCs w:val="24"/>
        </w:rPr>
        <w:t>registered in terms of the Banks Act, 94 of 1990 as amended.</w:t>
      </w:r>
      <w:r w:rsidRPr="00DA2E73">
        <w:rPr>
          <w:rFonts w:ascii="Arial" w:hAnsi="Arial" w:cs="Arial"/>
          <w:sz w:val="24"/>
          <w:szCs w:val="24"/>
        </w:rPr>
        <w:t>” The defendant also denies having signed the suretyship agreement</w:t>
      </w:r>
      <w:r w:rsidR="006557E5" w:rsidRPr="00DA2E73">
        <w:rPr>
          <w:rFonts w:ascii="Arial" w:hAnsi="Arial" w:cs="Arial"/>
          <w:sz w:val="24"/>
          <w:szCs w:val="24"/>
        </w:rPr>
        <w:t xml:space="preserve"> </w:t>
      </w:r>
      <w:r w:rsidRPr="00DA2E73">
        <w:rPr>
          <w:rFonts w:ascii="Arial" w:hAnsi="Arial" w:cs="Arial"/>
          <w:sz w:val="24"/>
          <w:szCs w:val="24"/>
        </w:rPr>
        <w:t xml:space="preserve">and that the plaintiff is entitled to the interest claimed </w:t>
      </w:r>
      <w:r w:rsidRPr="00052262">
        <w:rPr>
          <w:rFonts w:ascii="Arial" w:hAnsi="Arial" w:cs="Arial"/>
          <w:i/>
          <w:sz w:val="24"/>
          <w:szCs w:val="24"/>
        </w:rPr>
        <w:t>viz</w:t>
      </w:r>
      <w:r w:rsidRPr="00DA2E73">
        <w:rPr>
          <w:rFonts w:ascii="Arial" w:hAnsi="Arial" w:cs="Arial"/>
          <w:sz w:val="24"/>
          <w:szCs w:val="24"/>
        </w:rPr>
        <w:t xml:space="preserve">: 8.5% per annum. </w:t>
      </w:r>
    </w:p>
    <w:p w:rsidR="00CC5434" w:rsidRPr="00DA2E73" w:rsidRDefault="00CC5434" w:rsidP="000659A1">
      <w:pPr>
        <w:shd w:val="clear" w:color="auto" w:fill="FFFFFF"/>
        <w:spacing w:after="0" w:line="360" w:lineRule="auto"/>
        <w:ind w:left="720" w:hanging="720"/>
        <w:jc w:val="both"/>
        <w:rPr>
          <w:rFonts w:ascii="Arial" w:hAnsi="Arial" w:cs="Arial"/>
          <w:sz w:val="24"/>
          <w:szCs w:val="24"/>
        </w:rPr>
      </w:pPr>
    </w:p>
    <w:p w:rsidR="002737EF" w:rsidRPr="00DA2E73" w:rsidRDefault="00955E37" w:rsidP="000659A1">
      <w:pPr>
        <w:shd w:val="clear" w:color="auto" w:fill="FFFFFF"/>
        <w:spacing w:after="0" w:line="360" w:lineRule="auto"/>
        <w:ind w:left="720" w:hanging="720"/>
        <w:jc w:val="both"/>
        <w:rPr>
          <w:rFonts w:ascii="Arial" w:hAnsi="Arial" w:cs="Arial"/>
          <w:sz w:val="24"/>
          <w:szCs w:val="24"/>
        </w:rPr>
      </w:pPr>
      <w:r w:rsidRPr="00DA2E73">
        <w:rPr>
          <w:rFonts w:ascii="Arial" w:hAnsi="Arial" w:cs="Arial"/>
          <w:sz w:val="24"/>
          <w:szCs w:val="24"/>
        </w:rPr>
        <w:lastRenderedPageBreak/>
        <w:t>[</w:t>
      </w:r>
      <w:r w:rsidR="00DA2E73" w:rsidRPr="00DA2E73">
        <w:rPr>
          <w:rFonts w:ascii="Arial" w:hAnsi="Arial" w:cs="Arial"/>
          <w:sz w:val="24"/>
          <w:szCs w:val="24"/>
        </w:rPr>
        <w:t>1</w:t>
      </w:r>
      <w:r w:rsidR="00B37034">
        <w:rPr>
          <w:rFonts w:ascii="Arial" w:hAnsi="Arial" w:cs="Arial"/>
          <w:sz w:val="24"/>
          <w:szCs w:val="24"/>
        </w:rPr>
        <w:t>6</w:t>
      </w:r>
      <w:r w:rsidRPr="00DA2E73">
        <w:rPr>
          <w:rFonts w:ascii="Arial" w:hAnsi="Arial" w:cs="Arial"/>
          <w:sz w:val="24"/>
          <w:szCs w:val="24"/>
        </w:rPr>
        <w:t>]</w:t>
      </w:r>
      <w:r w:rsidRPr="00DA2E73">
        <w:rPr>
          <w:rFonts w:ascii="Arial" w:hAnsi="Arial" w:cs="Arial"/>
          <w:sz w:val="24"/>
          <w:szCs w:val="24"/>
        </w:rPr>
        <w:tab/>
      </w:r>
      <w:r w:rsidR="00052262">
        <w:rPr>
          <w:rFonts w:ascii="Arial" w:hAnsi="Arial" w:cs="Arial"/>
          <w:sz w:val="24"/>
          <w:szCs w:val="24"/>
        </w:rPr>
        <w:t>On the facts germane to this matter i</w:t>
      </w:r>
      <w:r w:rsidR="008220FA" w:rsidRPr="00DA2E73">
        <w:rPr>
          <w:rFonts w:ascii="Arial" w:hAnsi="Arial" w:cs="Arial"/>
          <w:sz w:val="24"/>
          <w:szCs w:val="24"/>
        </w:rPr>
        <w:t xml:space="preserve">t is not </w:t>
      </w:r>
      <w:r w:rsidR="00052262">
        <w:rPr>
          <w:rFonts w:ascii="Arial" w:hAnsi="Arial" w:cs="Arial"/>
          <w:sz w:val="24"/>
          <w:szCs w:val="24"/>
        </w:rPr>
        <w:t xml:space="preserve">in </w:t>
      </w:r>
      <w:r w:rsidR="008220FA" w:rsidRPr="00DA2E73">
        <w:rPr>
          <w:rFonts w:ascii="Arial" w:hAnsi="Arial" w:cs="Arial"/>
          <w:sz w:val="24"/>
          <w:szCs w:val="24"/>
        </w:rPr>
        <w:t xml:space="preserve">dispute that the plaintiff’s citation is erroneous. </w:t>
      </w:r>
      <w:r w:rsidR="00052262">
        <w:rPr>
          <w:rFonts w:ascii="Arial" w:hAnsi="Arial" w:cs="Arial"/>
          <w:sz w:val="24"/>
          <w:szCs w:val="24"/>
        </w:rPr>
        <w:t xml:space="preserve">According to the plaintiff </w:t>
      </w:r>
      <w:r w:rsidRPr="00DA2E73">
        <w:rPr>
          <w:rFonts w:ascii="Arial" w:hAnsi="Arial" w:cs="Arial"/>
          <w:i/>
          <w:sz w:val="24"/>
          <w:szCs w:val="24"/>
        </w:rPr>
        <w:t>locus standi</w:t>
      </w:r>
      <w:r w:rsidRPr="00DA2E73">
        <w:rPr>
          <w:rFonts w:ascii="Arial" w:hAnsi="Arial" w:cs="Arial"/>
          <w:sz w:val="24"/>
          <w:szCs w:val="24"/>
        </w:rPr>
        <w:t xml:space="preserve"> has nothing to do with a party’s valid claim against another it </w:t>
      </w:r>
      <w:r w:rsidR="00052262">
        <w:rPr>
          <w:rFonts w:ascii="Arial" w:hAnsi="Arial" w:cs="Arial"/>
          <w:sz w:val="24"/>
          <w:szCs w:val="24"/>
        </w:rPr>
        <w:t xml:space="preserve">merely </w:t>
      </w:r>
      <w:r w:rsidRPr="00DA2E73">
        <w:rPr>
          <w:rFonts w:ascii="Arial" w:hAnsi="Arial" w:cs="Arial"/>
          <w:sz w:val="24"/>
          <w:szCs w:val="24"/>
        </w:rPr>
        <w:t xml:space="preserve">refers to </w:t>
      </w:r>
      <w:r w:rsidR="00052262">
        <w:rPr>
          <w:rFonts w:ascii="Arial" w:hAnsi="Arial" w:cs="Arial"/>
          <w:sz w:val="24"/>
          <w:szCs w:val="24"/>
        </w:rPr>
        <w:t xml:space="preserve">a </w:t>
      </w:r>
      <w:r w:rsidRPr="00DA2E73">
        <w:rPr>
          <w:rFonts w:ascii="Arial" w:hAnsi="Arial" w:cs="Arial"/>
          <w:sz w:val="24"/>
          <w:szCs w:val="24"/>
        </w:rPr>
        <w:t>party’s capacity to litigate</w:t>
      </w:r>
      <w:r w:rsidR="00052262">
        <w:rPr>
          <w:rFonts w:ascii="Arial" w:hAnsi="Arial" w:cs="Arial"/>
          <w:sz w:val="24"/>
          <w:szCs w:val="24"/>
        </w:rPr>
        <w:t xml:space="preserve"> and the </w:t>
      </w:r>
      <w:r w:rsidRPr="00DA2E73">
        <w:rPr>
          <w:rFonts w:ascii="Arial" w:hAnsi="Arial" w:cs="Arial"/>
          <w:sz w:val="24"/>
          <w:szCs w:val="24"/>
        </w:rPr>
        <w:t xml:space="preserve">fact that the applicant has </w:t>
      </w:r>
      <w:r w:rsidR="00052262">
        <w:rPr>
          <w:rFonts w:ascii="Arial" w:hAnsi="Arial" w:cs="Arial"/>
          <w:sz w:val="24"/>
          <w:szCs w:val="24"/>
        </w:rPr>
        <w:t xml:space="preserve">omitted to aver that it </w:t>
      </w:r>
      <w:r w:rsidRPr="00DA2E73">
        <w:rPr>
          <w:rFonts w:ascii="Arial" w:hAnsi="Arial" w:cs="Arial"/>
          <w:sz w:val="24"/>
          <w:szCs w:val="24"/>
        </w:rPr>
        <w:t xml:space="preserve">is a </w:t>
      </w:r>
      <w:r w:rsidR="00052262">
        <w:rPr>
          <w:rFonts w:ascii="Arial" w:hAnsi="Arial" w:cs="Arial"/>
          <w:sz w:val="24"/>
          <w:szCs w:val="24"/>
        </w:rPr>
        <w:t>‘</w:t>
      </w:r>
      <w:r w:rsidRPr="00DA2E73">
        <w:rPr>
          <w:rFonts w:ascii="Arial" w:hAnsi="Arial" w:cs="Arial"/>
          <w:sz w:val="24"/>
          <w:szCs w:val="24"/>
        </w:rPr>
        <w:t>bank</w:t>
      </w:r>
      <w:r w:rsidR="00052262">
        <w:rPr>
          <w:rFonts w:ascii="Arial" w:hAnsi="Arial" w:cs="Arial"/>
          <w:sz w:val="24"/>
          <w:szCs w:val="24"/>
        </w:rPr>
        <w:t xml:space="preserve"> </w:t>
      </w:r>
      <w:r w:rsidRPr="00DA2E73">
        <w:rPr>
          <w:rFonts w:ascii="Arial" w:hAnsi="Arial" w:cs="Arial"/>
          <w:sz w:val="24"/>
          <w:szCs w:val="24"/>
        </w:rPr>
        <w:t>registered in terms of the Banking Act</w:t>
      </w:r>
      <w:r w:rsidR="00052262">
        <w:rPr>
          <w:rFonts w:ascii="Arial" w:hAnsi="Arial" w:cs="Arial"/>
          <w:sz w:val="24"/>
          <w:szCs w:val="24"/>
        </w:rPr>
        <w:t xml:space="preserve">’ can be rectified with an </w:t>
      </w:r>
      <w:r w:rsidRPr="00DA2E73">
        <w:rPr>
          <w:rFonts w:ascii="Arial" w:hAnsi="Arial" w:cs="Arial"/>
          <w:sz w:val="24"/>
          <w:szCs w:val="24"/>
        </w:rPr>
        <w:t>amend</w:t>
      </w:r>
      <w:r w:rsidR="00052262">
        <w:rPr>
          <w:rFonts w:ascii="Arial" w:hAnsi="Arial" w:cs="Arial"/>
          <w:sz w:val="24"/>
          <w:szCs w:val="24"/>
        </w:rPr>
        <w:t>ment of the particulars of claim.</w:t>
      </w:r>
      <w:r w:rsidR="006557E5" w:rsidRPr="00DA2E73">
        <w:rPr>
          <w:rFonts w:ascii="Arial" w:hAnsi="Arial" w:cs="Arial"/>
          <w:sz w:val="24"/>
          <w:szCs w:val="24"/>
        </w:rPr>
        <w:t xml:space="preserve"> </w:t>
      </w:r>
      <w:r w:rsidR="008220FA" w:rsidRPr="00DA2E73">
        <w:rPr>
          <w:rFonts w:ascii="Arial" w:hAnsi="Arial" w:cs="Arial"/>
          <w:sz w:val="24"/>
          <w:szCs w:val="24"/>
        </w:rPr>
        <w:t xml:space="preserve">The amounts due including the </w:t>
      </w:r>
      <w:r w:rsidR="006557E5" w:rsidRPr="00DA2E73">
        <w:rPr>
          <w:rFonts w:ascii="Arial" w:hAnsi="Arial" w:cs="Arial"/>
          <w:sz w:val="24"/>
          <w:szCs w:val="24"/>
        </w:rPr>
        <w:t xml:space="preserve">interest rate </w:t>
      </w:r>
      <w:r w:rsidR="00460387" w:rsidRPr="00DA2E73">
        <w:rPr>
          <w:rFonts w:ascii="Arial" w:hAnsi="Arial" w:cs="Arial"/>
          <w:sz w:val="24"/>
          <w:szCs w:val="24"/>
        </w:rPr>
        <w:t xml:space="preserve">have been </w:t>
      </w:r>
      <w:r w:rsidR="00052262">
        <w:rPr>
          <w:rFonts w:ascii="Arial" w:hAnsi="Arial" w:cs="Arial"/>
          <w:sz w:val="24"/>
          <w:szCs w:val="24"/>
        </w:rPr>
        <w:t xml:space="preserve">set out in </w:t>
      </w:r>
      <w:r w:rsidR="00460387" w:rsidRPr="00DA2E73">
        <w:rPr>
          <w:rFonts w:ascii="Arial" w:hAnsi="Arial" w:cs="Arial"/>
          <w:sz w:val="24"/>
          <w:szCs w:val="24"/>
        </w:rPr>
        <w:t>the c</w:t>
      </w:r>
      <w:r w:rsidR="006557E5" w:rsidRPr="00DA2E73">
        <w:rPr>
          <w:rFonts w:ascii="Arial" w:hAnsi="Arial" w:cs="Arial"/>
          <w:sz w:val="24"/>
          <w:szCs w:val="24"/>
        </w:rPr>
        <w:t>ertificate of balance</w:t>
      </w:r>
      <w:r w:rsidR="00052262">
        <w:rPr>
          <w:rFonts w:ascii="Arial" w:hAnsi="Arial" w:cs="Arial"/>
          <w:sz w:val="24"/>
          <w:szCs w:val="24"/>
        </w:rPr>
        <w:t xml:space="preserve"> which constitutes prima facie proof of the debt. There </w:t>
      </w:r>
      <w:r w:rsidR="008220FA" w:rsidRPr="00DA2E73">
        <w:rPr>
          <w:rFonts w:ascii="Arial" w:hAnsi="Arial" w:cs="Arial"/>
          <w:sz w:val="24"/>
          <w:szCs w:val="24"/>
        </w:rPr>
        <w:t xml:space="preserve">is </w:t>
      </w:r>
      <w:r w:rsidR="00052262">
        <w:rPr>
          <w:rFonts w:ascii="Arial" w:hAnsi="Arial" w:cs="Arial"/>
          <w:sz w:val="24"/>
          <w:szCs w:val="24"/>
        </w:rPr>
        <w:t xml:space="preserve">also </w:t>
      </w:r>
      <w:r w:rsidR="008220FA" w:rsidRPr="00DA2E73">
        <w:rPr>
          <w:rFonts w:ascii="Arial" w:hAnsi="Arial" w:cs="Arial"/>
          <w:sz w:val="24"/>
          <w:szCs w:val="24"/>
        </w:rPr>
        <w:t xml:space="preserve">no merit to the defendant’s contention that she was not party to the </w:t>
      </w:r>
      <w:r w:rsidR="00620670" w:rsidRPr="00DA2E73">
        <w:rPr>
          <w:rFonts w:ascii="Arial" w:hAnsi="Arial" w:cs="Arial"/>
          <w:sz w:val="24"/>
          <w:szCs w:val="24"/>
        </w:rPr>
        <w:t>suretyship agreement</w:t>
      </w:r>
      <w:r w:rsidR="008220FA" w:rsidRPr="00DA2E73">
        <w:rPr>
          <w:rFonts w:ascii="Arial" w:hAnsi="Arial" w:cs="Arial"/>
          <w:sz w:val="24"/>
          <w:szCs w:val="24"/>
        </w:rPr>
        <w:t xml:space="preserve">, her signature </w:t>
      </w:r>
      <w:r w:rsidR="00460387" w:rsidRPr="00DA2E73">
        <w:rPr>
          <w:rFonts w:ascii="Arial" w:hAnsi="Arial" w:cs="Arial"/>
          <w:sz w:val="24"/>
          <w:szCs w:val="24"/>
        </w:rPr>
        <w:t>appears above her personal details in</w:t>
      </w:r>
      <w:r w:rsidR="008220FA" w:rsidRPr="00DA2E73">
        <w:rPr>
          <w:rFonts w:ascii="Arial" w:hAnsi="Arial" w:cs="Arial"/>
          <w:sz w:val="24"/>
          <w:szCs w:val="24"/>
        </w:rPr>
        <w:t xml:space="preserve"> </w:t>
      </w:r>
      <w:r w:rsidR="00460387" w:rsidRPr="00DA2E73">
        <w:rPr>
          <w:rFonts w:ascii="Arial" w:hAnsi="Arial" w:cs="Arial"/>
          <w:sz w:val="24"/>
          <w:szCs w:val="24"/>
        </w:rPr>
        <w:t xml:space="preserve">the </w:t>
      </w:r>
      <w:r w:rsidR="00620670" w:rsidRPr="00DA2E73">
        <w:rPr>
          <w:rFonts w:ascii="Arial" w:hAnsi="Arial" w:cs="Arial"/>
          <w:sz w:val="24"/>
          <w:szCs w:val="24"/>
        </w:rPr>
        <w:t>suretyship agreement</w:t>
      </w:r>
      <w:r w:rsidR="00460387" w:rsidRPr="00DA2E73">
        <w:rPr>
          <w:rFonts w:ascii="Arial" w:hAnsi="Arial" w:cs="Arial"/>
          <w:sz w:val="24"/>
          <w:szCs w:val="24"/>
        </w:rPr>
        <w:t xml:space="preserve">. </w:t>
      </w:r>
    </w:p>
    <w:p w:rsidR="002737EF" w:rsidRPr="00DA2E73" w:rsidRDefault="002737EF" w:rsidP="000659A1">
      <w:pPr>
        <w:shd w:val="clear" w:color="auto" w:fill="FFFFFF"/>
        <w:spacing w:after="0" w:line="360" w:lineRule="auto"/>
        <w:ind w:left="720" w:hanging="720"/>
        <w:jc w:val="both"/>
        <w:rPr>
          <w:rFonts w:ascii="Arial" w:hAnsi="Arial" w:cs="Arial"/>
          <w:sz w:val="24"/>
          <w:szCs w:val="24"/>
        </w:rPr>
      </w:pPr>
    </w:p>
    <w:p w:rsidR="00AC0DFE" w:rsidRPr="00DA2E73" w:rsidRDefault="007068AA" w:rsidP="00922F86">
      <w:pPr>
        <w:shd w:val="clear" w:color="auto" w:fill="FFFFFF"/>
        <w:spacing w:before="144" w:after="0" w:line="360" w:lineRule="auto"/>
        <w:ind w:left="720" w:hanging="720"/>
        <w:jc w:val="both"/>
        <w:rPr>
          <w:rFonts w:ascii="Arial" w:hAnsi="Arial" w:cs="Arial"/>
          <w:sz w:val="24"/>
          <w:szCs w:val="24"/>
          <w:lang w:val="en-US"/>
        </w:rPr>
      </w:pPr>
      <w:r w:rsidRPr="00DA2E73">
        <w:rPr>
          <w:rFonts w:ascii="Arial" w:hAnsi="Arial" w:cs="Arial"/>
          <w:sz w:val="24"/>
          <w:szCs w:val="24"/>
        </w:rPr>
        <w:t>[</w:t>
      </w:r>
      <w:r w:rsidR="00DA2E73" w:rsidRPr="00DA2E73">
        <w:rPr>
          <w:rFonts w:ascii="Arial" w:hAnsi="Arial" w:cs="Arial"/>
          <w:sz w:val="24"/>
          <w:szCs w:val="24"/>
        </w:rPr>
        <w:t>1</w:t>
      </w:r>
      <w:r w:rsidR="00B37034">
        <w:rPr>
          <w:rFonts w:ascii="Arial" w:hAnsi="Arial" w:cs="Arial"/>
          <w:sz w:val="24"/>
          <w:szCs w:val="24"/>
        </w:rPr>
        <w:t>7</w:t>
      </w:r>
      <w:r w:rsidRPr="00DA2E73">
        <w:rPr>
          <w:rFonts w:ascii="Arial" w:hAnsi="Arial" w:cs="Arial"/>
          <w:sz w:val="24"/>
          <w:szCs w:val="24"/>
        </w:rPr>
        <w:t>]</w:t>
      </w:r>
      <w:r w:rsidRPr="00DA2E73">
        <w:rPr>
          <w:rFonts w:ascii="Arial" w:hAnsi="Arial" w:cs="Arial"/>
          <w:sz w:val="24"/>
          <w:szCs w:val="24"/>
        </w:rPr>
        <w:tab/>
      </w:r>
      <w:r w:rsidR="0072138A" w:rsidRPr="00DA2E73">
        <w:rPr>
          <w:rFonts w:ascii="Arial" w:hAnsi="Arial" w:cs="Arial"/>
          <w:sz w:val="24"/>
          <w:szCs w:val="24"/>
        </w:rPr>
        <w:t>I do not agree with the defendant’s contentions</w:t>
      </w:r>
      <w:r w:rsidR="00AC0DFE" w:rsidRPr="00DA2E73">
        <w:rPr>
          <w:rFonts w:ascii="Arial" w:hAnsi="Arial" w:cs="Arial"/>
          <w:sz w:val="24"/>
          <w:szCs w:val="24"/>
        </w:rPr>
        <w:t xml:space="preserve">. </w:t>
      </w:r>
      <w:r w:rsidR="00922F86" w:rsidRPr="00DA2E73">
        <w:rPr>
          <w:rFonts w:ascii="Arial" w:hAnsi="Arial" w:cs="Arial"/>
          <w:sz w:val="24"/>
          <w:szCs w:val="24"/>
        </w:rPr>
        <w:t>Having regard to the defendants’ plea and the opposing affidavit</w:t>
      </w:r>
      <w:r w:rsidR="00A422DA">
        <w:rPr>
          <w:rFonts w:ascii="Arial" w:hAnsi="Arial" w:cs="Arial"/>
          <w:sz w:val="24"/>
          <w:szCs w:val="24"/>
        </w:rPr>
        <w:t xml:space="preserve">, </w:t>
      </w:r>
      <w:r w:rsidR="00922F86" w:rsidRPr="00DA2E73">
        <w:rPr>
          <w:rFonts w:ascii="Arial" w:hAnsi="Arial" w:cs="Arial"/>
          <w:sz w:val="24"/>
          <w:szCs w:val="24"/>
        </w:rPr>
        <w:t xml:space="preserve">the home loan and the suretyship agreements </w:t>
      </w:r>
      <w:r w:rsidR="00A422DA">
        <w:rPr>
          <w:rFonts w:ascii="Arial" w:hAnsi="Arial" w:cs="Arial"/>
          <w:sz w:val="24"/>
          <w:szCs w:val="24"/>
        </w:rPr>
        <w:t xml:space="preserve">(except in relation to the defendant) </w:t>
      </w:r>
      <w:r w:rsidR="00922F86" w:rsidRPr="00DA2E73">
        <w:rPr>
          <w:rFonts w:ascii="Arial" w:hAnsi="Arial" w:cs="Arial"/>
          <w:sz w:val="24"/>
          <w:szCs w:val="24"/>
        </w:rPr>
        <w:t>including</w:t>
      </w:r>
      <w:r w:rsidR="00052262">
        <w:rPr>
          <w:rFonts w:ascii="Arial" w:hAnsi="Arial" w:cs="Arial"/>
          <w:sz w:val="24"/>
          <w:szCs w:val="24"/>
        </w:rPr>
        <w:t xml:space="preserve"> their essential terms are not </w:t>
      </w:r>
      <w:r w:rsidR="00922F86" w:rsidRPr="00DA2E73">
        <w:rPr>
          <w:rFonts w:ascii="Arial" w:hAnsi="Arial" w:cs="Arial"/>
          <w:sz w:val="24"/>
          <w:szCs w:val="24"/>
        </w:rPr>
        <w:t>dispute</w:t>
      </w:r>
      <w:r w:rsidR="00052262">
        <w:rPr>
          <w:rFonts w:ascii="Arial" w:hAnsi="Arial" w:cs="Arial"/>
          <w:sz w:val="24"/>
          <w:szCs w:val="24"/>
        </w:rPr>
        <w:t>d</w:t>
      </w:r>
      <w:r w:rsidR="00A422DA">
        <w:rPr>
          <w:rFonts w:ascii="Arial" w:hAnsi="Arial" w:cs="Arial"/>
          <w:sz w:val="24"/>
          <w:szCs w:val="24"/>
        </w:rPr>
        <w:t xml:space="preserve"> which means the plaintiff exists</w:t>
      </w:r>
      <w:r w:rsidR="00922F86" w:rsidRPr="00DA2E73">
        <w:rPr>
          <w:rFonts w:ascii="Arial" w:hAnsi="Arial" w:cs="Arial"/>
          <w:sz w:val="24"/>
          <w:szCs w:val="24"/>
        </w:rPr>
        <w:t xml:space="preserve">. </w:t>
      </w:r>
      <w:r w:rsidR="00AC0DFE" w:rsidRPr="00DA2E73">
        <w:rPr>
          <w:rFonts w:ascii="Arial" w:hAnsi="Arial" w:cs="Arial"/>
          <w:sz w:val="24"/>
          <w:szCs w:val="24"/>
        </w:rPr>
        <w:t>A</w:t>
      </w:r>
      <w:r w:rsidR="00C971E1" w:rsidRPr="00DA2E73">
        <w:rPr>
          <w:rFonts w:ascii="Arial" w:hAnsi="Arial" w:cs="Arial"/>
          <w:sz w:val="24"/>
          <w:szCs w:val="24"/>
          <w:lang w:val="en-US"/>
        </w:rPr>
        <w:t xml:space="preserve"> </w:t>
      </w:r>
      <w:r w:rsidR="00C971E1" w:rsidRPr="00DA2E73">
        <w:rPr>
          <w:rFonts w:ascii="Arial" w:hAnsi="Arial" w:cs="Arial"/>
          <w:sz w:val="24"/>
          <w:szCs w:val="24"/>
          <w:shd w:val="clear" w:color="auto" w:fill="FFFFFF"/>
        </w:rPr>
        <w:t xml:space="preserve">misdescription which </w:t>
      </w:r>
      <w:r w:rsidR="00C971E1" w:rsidRPr="00DA2E73">
        <w:rPr>
          <w:rFonts w:ascii="Arial" w:hAnsi="Arial" w:cs="Arial"/>
          <w:sz w:val="24"/>
          <w:szCs w:val="24"/>
          <w:lang w:val="en-US"/>
        </w:rPr>
        <w:t>involves the citation of a party is not an impediment to instituting legal proceedings</w:t>
      </w:r>
      <w:r w:rsidR="00AC0DFE" w:rsidRPr="00DA2E73">
        <w:rPr>
          <w:rFonts w:ascii="Arial" w:hAnsi="Arial" w:cs="Arial"/>
          <w:sz w:val="24"/>
          <w:szCs w:val="24"/>
          <w:lang w:val="en-US"/>
        </w:rPr>
        <w:t xml:space="preserve">. It </w:t>
      </w:r>
      <w:r w:rsidR="00C971E1" w:rsidRPr="00DA2E73">
        <w:rPr>
          <w:rFonts w:ascii="Arial" w:hAnsi="Arial" w:cs="Arial"/>
          <w:sz w:val="24"/>
          <w:szCs w:val="24"/>
          <w:lang w:val="en-US"/>
        </w:rPr>
        <w:t xml:space="preserve"> can be cured with an amendment at any stage of the proceedings including after judgment.</w:t>
      </w:r>
      <w:r w:rsidR="00C971E1" w:rsidRPr="00DA2E73">
        <w:rPr>
          <w:rStyle w:val="FootnoteReference"/>
          <w:rFonts w:ascii="Arial" w:hAnsi="Arial" w:cs="Arial"/>
          <w:sz w:val="24"/>
          <w:szCs w:val="24"/>
          <w:lang w:val="en-US"/>
        </w:rPr>
        <w:footnoteReference w:id="6"/>
      </w:r>
      <w:r w:rsidR="00C971E1" w:rsidRPr="00DA2E73">
        <w:rPr>
          <w:rFonts w:ascii="Arial" w:hAnsi="Arial" w:cs="Arial"/>
          <w:sz w:val="24"/>
          <w:szCs w:val="24"/>
          <w:lang w:val="en-US"/>
        </w:rPr>
        <w:t xml:space="preserve"> </w:t>
      </w:r>
    </w:p>
    <w:p w:rsidR="00AC0DFE" w:rsidRPr="00DA2E73" w:rsidRDefault="00AC0DFE" w:rsidP="000659A1">
      <w:pPr>
        <w:spacing w:after="0" w:line="360" w:lineRule="auto"/>
        <w:ind w:left="720" w:hanging="720"/>
        <w:jc w:val="both"/>
        <w:rPr>
          <w:rFonts w:ascii="Arial" w:hAnsi="Arial" w:cs="Arial"/>
          <w:sz w:val="24"/>
          <w:szCs w:val="24"/>
          <w:lang w:val="en-US"/>
        </w:rPr>
      </w:pPr>
    </w:p>
    <w:p w:rsidR="005578C0" w:rsidRPr="00DA2E73" w:rsidRDefault="00AC0DFE" w:rsidP="000659A1">
      <w:pPr>
        <w:spacing w:after="0" w:line="360" w:lineRule="auto"/>
        <w:ind w:left="720" w:hanging="720"/>
        <w:jc w:val="both"/>
        <w:rPr>
          <w:rFonts w:ascii="Arial" w:hAnsi="Arial" w:cs="Arial"/>
          <w:sz w:val="24"/>
          <w:szCs w:val="24"/>
        </w:rPr>
      </w:pPr>
      <w:r w:rsidRPr="00DA2E73">
        <w:rPr>
          <w:rFonts w:ascii="Arial" w:hAnsi="Arial" w:cs="Arial"/>
          <w:sz w:val="24"/>
          <w:szCs w:val="24"/>
          <w:lang w:val="en-US"/>
        </w:rPr>
        <w:t>[1</w:t>
      </w:r>
      <w:r w:rsidR="00B37034">
        <w:rPr>
          <w:rFonts w:ascii="Arial" w:hAnsi="Arial" w:cs="Arial"/>
          <w:sz w:val="24"/>
          <w:szCs w:val="24"/>
          <w:lang w:val="en-US"/>
        </w:rPr>
        <w:t>8</w:t>
      </w:r>
      <w:r w:rsidRPr="00DA2E73">
        <w:rPr>
          <w:rFonts w:ascii="Arial" w:hAnsi="Arial" w:cs="Arial"/>
          <w:sz w:val="24"/>
          <w:szCs w:val="24"/>
          <w:lang w:val="en-US"/>
        </w:rPr>
        <w:t>]</w:t>
      </w:r>
      <w:r w:rsidRPr="00DA2E73">
        <w:rPr>
          <w:rFonts w:ascii="Arial" w:hAnsi="Arial" w:cs="Arial"/>
          <w:sz w:val="24"/>
          <w:szCs w:val="24"/>
          <w:lang w:val="en-US"/>
        </w:rPr>
        <w:tab/>
        <w:t xml:space="preserve">With regard to the </w:t>
      </w:r>
      <w:r w:rsidR="00531D2B" w:rsidRPr="00DA2E73">
        <w:rPr>
          <w:rFonts w:ascii="Arial" w:hAnsi="Arial" w:cs="Arial"/>
          <w:sz w:val="24"/>
          <w:szCs w:val="24"/>
        </w:rPr>
        <w:t xml:space="preserve">disputed signature, </w:t>
      </w:r>
      <w:r w:rsidR="005578C0" w:rsidRPr="00DA2E73">
        <w:rPr>
          <w:rFonts w:ascii="Arial" w:hAnsi="Arial" w:cs="Arial"/>
          <w:sz w:val="24"/>
          <w:szCs w:val="24"/>
        </w:rPr>
        <w:t>as much as the defendant is not expected to deal exhaustively with the facts and the evidence she relies upon to substantiate her defence she must at least disclose the grounds for her defence and the material facts upon which the defence is based with sufficient particularity and completeness to enable the court to decide whether a bona fide defence which raises a triable issue has been disclosed.</w:t>
      </w:r>
    </w:p>
    <w:p w:rsidR="00DA2E73" w:rsidRDefault="00DA2E73" w:rsidP="000659A1">
      <w:pPr>
        <w:spacing w:after="0" w:line="360" w:lineRule="auto"/>
        <w:jc w:val="both"/>
        <w:rPr>
          <w:rFonts w:ascii="Arial" w:hAnsi="Arial" w:cs="Arial"/>
        </w:rPr>
      </w:pPr>
    </w:p>
    <w:p w:rsidR="00022AF5" w:rsidRDefault="00DA2E73" w:rsidP="000659A1">
      <w:pPr>
        <w:spacing w:after="0" w:line="360" w:lineRule="auto"/>
        <w:ind w:left="720" w:hanging="720"/>
        <w:jc w:val="both"/>
        <w:rPr>
          <w:rFonts w:ascii="Arial" w:hAnsi="Arial" w:cs="Arial"/>
        </w:rPr>
      </w:pPr>
      <w:r w:rsidRPr="00DA2E73">
        <w:rPr>
          <w:rFonts w:ascii="Arial" w:hAnsi="Arial" w:cs="Arial"/>
          <w:sz w:val="24"/>
          <w:szCs w:val="24"/>
        </w:rPr>
        <w:t>[1</w:t>
      </w:r>
      <w:r w:rsidR="00B37034">
        <w:rPr>
          <w:rFonts w:ascii="Arial" w:hAnsi="Arial" w:cs="Arial"/>
          <w:sz w:val="24"/>
          <w:szCs w:val="24"/>
        </w:rPr>
        <w:t>9</w:t>
      </w:r>
      <w:r w:rsidRPr="00DA2E73">
        <w:rPr>
          <w:rFonts w:ascii="Arial" w:hAnsi="Arial" w:cs="Arial"/>
          <w:sz w:val="24"/>
          <w:szCs w:val="24"/>
        </w:rPr>
        <w:t>]</w:t>
      </w:r>
      <w:r w:rsidRPr="00DA2E73">
        <w:rPr>
          <w:rFonts w:ascii="Arial" w:hAnsi="Arial" w:cs="Arial"/>
          <w:sz w:val="24"/>
          <w:szCs w:val="24"/>
        </w:rPr>
        <w:tab/>
      </w:r>
      <w:r w:rsidR="00641BFC" w:rsidRPr="00DA2E73">
        <w:rPr>
          <w:rFonts w:ascii="Arial" w:hAnsi="Arial" w:cs="Arial"/>
          <w:sz w:val="24"/>
          <w:szCs w:val="24"/>
        </w:rPr>
        <w:t xml:space="preserve">In </w:t>
      </w:r>
      <w:r w:rsidR="00641BFC" w:rsidRPr="00DA2E73">
        <w:rPr>
          <w:rFonts w:ascii="Arial" w:hAnsi="Arial" w:cs="Arial"/>
          <w:i/>
          <w:sz w:val="24"/>
          <w:szCs w:val="24"/>
        </w:rPr>
        <w:t>Breytenbach v Fiat SA (Edms) Bpk</w:t>
      </w:r>
      <w:r w:rsidR="00641BFC" w:rsidRPr="00DA2E73">
        <w:rPr>
          <w:rStyle w:val="FootnoteReference"/>
          <w:rFonts w:ascii="Arial" w:hAnsi="Arial" w:cs="Arial"/>
          <w:sz w:val="24"/>
          <w:szCs w:val="24"/>
        </w:rPr>
        <w:footnoteReference w:id="7"/>
      </w:r>
      <w:r w:rsidR="00641BFC" w:rsidRPr="00DA2E73">
        <w:rPr>
          <w:rFonts w:ascii="Arial" w:hAnsi="Arial" w:cs="Arial"/>
          <w:sz w:val="24"/>
          <w:szCs w:val="24"/>
        </w:rPr>
        <w:t xml:space="preserve"> it was held that a defendant “cannot approach the court with bold, vague and sketchy defences.” This was reiterated </w:t>
      </w:r>
      <w:r w:rsidR="00641BFC" w:rsidRPr="00DA2E73">
        <w:rPr>
          <w:rFonts w:ascii="Arial" w:hAnsi="Arial" w:cs="Arial"/>
          <w:i/>
          <w:sz w:val="24"/>
          <w:szCs w:val="24"/>
        </w:rPr>
        <w:lastRenderedPageBreak/>
        <w:t>in NPGS Protection &amp; Services CC v First Rand Bank Ltd</w:t>
      </w:r>
      <w:r w:rsidR="00641BFC" w:rsidRPr="00DA2E73">
        <w:rPr>
          <w:rStyle w:val="FootnoteReference"/>
          <w:rFonts w:ascii="Arial" w:hAnsi="Arial" w:cs="Arial"/>
          <w:sz w:val="24"/>
          <w:szCs w:val="24"/>
        </w:rPr>
        <w:footnoteReference w:id="8"/>
      </w:r>
      <w:r w:rsidR="00022AF5" w:rsidRPr="00DA2E73">
        <w:rPr>
          <w:rFonts w:ascii="Arial" w:hAnsi="Arial" w:cs="Arial"/>
          <w:i/>
          <w:sz w:val="24"/>
          <w:szCs w:val="24"/>
        </w:rPr>
        <w:t xml:space="preserve"> </w:t>
      </w:r>
      <w:r w:rsidR="00022AF5" w:rsidRPr="00DA2E73">
        <w:rPr>
          <w:rFonts w:ascii="Arial" w:hAnsi="Arial" w:cs="Arial"/>
          <w:sz w:val="24"/>
          <w:szCs w:val="24"/>
        </w:rPr>
        <w:t>where the Supreme Court of Appeal said</w:t>
      </w:r>
      <w:r w:rsidR="00022AF5" w:rsidRPr="001769FC">
        <w:rPr>
          <w:rFonts w:ascii="Arial" w:hAnsi="Arial" w:cs="Arial"/>
        </w:rPr>
        <w:t xml:space="preserve">: </w:t>
      </w:r>
    </w:p>
    <w:p w:rsidR="000659A1" w:rsidRPr="00DA2E73" w:rsidRDefault="000659A1" w:rsidP="000659A1">
      <w:pPr>
        <w:spacing w:after="0" w:line="360" w:lineRule="auto"/>
        <w:ind w:left="720" w:hanging="720"/>
        <w:jc w:val="both"/>
        <w:rPr>
          <w:rFonts w:ascii="Arial" w:hAnsi="Arial" w:cs="Arial"/>
          <w:sz w:val="20"/>
          <w:szCs w:val="20"/>
        </w:rPr>
      </w:pPr>
    </w:p>
    <w:p w:rsidR="00022AF5" w:rsidRPr="00DA2E73" w:rsidRDefault="00022AF5" w:rsidP="000659A1">
      <w:pPr>
        <w:spacing w:after="0" w:line="360" w:lineRule="auto"/>
        <w:ind w:left="1440"/>
        <w:jc w:val="both"/>
        <w:rPr>
          <w:rFonts w:ascii="Arial" w:hAnsi="Arial" w:cs="Arial"/>
          <w:i/>
          <w:sz w:val="20"/>
          <w:szCs w:val="20"/>
        </w:rPr>
      </w:pPr>
      <w:r w:rsidRPr="00DA2E73">
        <w:rPr>
          <w:rFonts w:ascii="Arial" w:hAnsi="Arial" w:cs="Arial"/>
          <w:i/>
          <w:sz w:val="20"/>
          <w:szCs w:val="20"/>
        </w:rPr>
        <w:t>“The ever increasing perception that bald averments and sketchy propositions are sufficient to stave off summary judgment is misplaced and not supported by the trite general principles developed over many decades by our courts. See for example, the well-known judgment of this court in Maharaj v Barclays National Bank Ltd 1976 (1) SA 418 (A) where the proper approach to application of summary judgments are stated.”</w:t>
      </w:r>
    </w:p>
    <w:p w:rsidR="002566B9" w:rsidRPr="001769FC" w:rsidRDefault="002566B9" w:rsidP="00AC0DFE">
      <w:pPr>
        <w:ind w:left="720" w:hanging="720"/>
        <w:jc w:val="both"/>
        <w:rPr>
          <w:rFonts w:ascii="Arial" w:hAnsi="Arial" w:cs="Arial"/>
          <w:sz w:val="24"/>
          <w:szCs w:val="24"/>
        </w:rPr>
      </w:pPr>
    </w:p>
    <w:p w:rsidR="00022AF5" w:rsidRPr="00DA2E73" w:rsidRDefault="00022AF5" w:rsidP="000659A1">
      <w:pPr>
        <w:spacing w:after="0" w:line="360" w:lineRule="auto"/>
        <w:ind w:left="720" w:hanging="720"/>
        <w:jc w:val="both"/>
        <w:rPr>
          <w:rFonts w:ascii="Arial" w:hAnsi="Arial" w:cs="Arial"/>
          <w:sz w:val="24"/>
          <w:szCs w:val="24"/>
        </w:rPr>
      </w:pPr>
      <w:r w:rsidRPr="00DA2E73">
        <w:rPr>
          <w:rFonts w:ascii="Arial" w:hAnsi="Arial" w:cs="Arial"/>
          <w:sz w:val="24"/>
          <w:szCs w:val="24"/>
        </w:rPr>
        <w:t>[</w:t>
      </w:r>
      <w:r w:rsidR="00B37034">
        <w:rPr>
          <w:rFonts w:ascii="Arial" w:hAnsi="Arial" w:cs="Arial"/>
          <w:sz w:val="24"/>
          <w:szCs w:val="24"/>
        </w:rPr>
        <w:t>20</w:t>
      </w:r>
      <w:r w:rsidRPr="00DA2E73">
        <w:rPr>
          <w:rFonts w:ascii="Arial" w:hAnsi="Arial" w:cs="Arial"/>
          <w:sz w:val="24"/>
          <w:szCs w:val="24"/>
        </w:rPr>
        <w:t>]</w:t>
      </w:r>
      <w:r w:rsidRPr="00DA2E73">
        <w:rPr>
          <w:rFonts w:ascii="Arial" w:hAnsi="Arial" w:cs="Arial"/>
          <w:sz w:val="24"/>
          <w:szCs w:val="24"/>
        </w:rPr>
        <w:tab/>
        <w:t xml:space="preserve">A Summary judgment procedure is intended to </w:t>
      </w:r>
      <w:r w:rsidR="005578C0" w:rsidRPr="00DA2E73">
        <w:rPr>
          <w:rFonts w:ascii="Arial" w:hAnsi="Arial" w:cs="Arial"/>
          <w:sz w:val="24"/>
          <w:szCs w:val="24"/>
        </w:rPr>
        <w:t xml:space="preserve">ensure that </w:t>
      </w:r>
      <w:r w:rsidRPr="00DA2E73">
        <w:rPr>
          <w:rFonts w:ascii="Arial" w:hAnsi="Arial" w:cs="Arial"/>
          <w:sz w:val="24"/>
          <w:szCs w:val="24"/>
        </w:rPr>
        <w:t xml:space="preserve">a defendant with a triable issue or a sustainable defence </w:t>
      </w:r>
      <w:r w:rsidR="005578C0" w:rsidRPr="00DA2E73">
        <w:rPr>
          <w:rFonts w:ascii="Arial" w:hAnsi="Arial" w:cs="Arial"/>
          <w:sz w:val="24"/>
          <w:szCs w:val="24"/>
        </w:rPr>
        <w:t xml:space="preserve">has </w:t>
      </w:r>
      <w:r w:rsidRPr="00DA2E73">
        <w:rPr>
          <w:rFonts w:ascii="Arial" w:hAnsi="Arial" w:cs="Arial"/>
          <w:sz w:val="24"/>
          <w:szCs w:val="24"/>
        </w:rPr>
        <w:t xml:space="preserve">her day in court </w:t>
      </w:r>
      <w:r w:rsidR="005578C0" w:rsidRPr="00DA2E73">
        <w:rPr>
          <w:rFonts w:ascii="Arial" w:hAnsi="Arial" w:cs="Arial"/>
          <w:sz w:val="24"/>
          <w:szCs w:val="24"/>
        </w:rPr>
        <w:t xml:space="preserve">and </w:t>
      </w:r>
      <w:r w:rsidRPr="00DA2E73">
        <w:rPr>
          <w:rFonts w:ascii="Arial" w:hAnsi="Arial" w:cs="Arial"/>
          <w:sz w:val="24"/>
          <w:szCs w:val="24"/>
        </w:rPr>
        <w:t xml:space="preserve">that recalcitrant debtors pay what is due to </w:t>
      </w:r>
      <w:r w:rsidR="00A422DA">
        <w:rPr>
          <w:rFonts w:ascii="Arial" w:hAnsi="Arial" w:cs="Arial"/>
          <w:sz w:val="24"/>
          <w:szCs w:val="24"/>
        </w:rPr>
        <w:t xml:space="preserve">their </w:t>
      </w:r>
      <w:r w:rsidRPr="00DA2E73">
        <w:rPr>
          <w:rFonts w:ascii="Arial" w:hAnsi="Arial" w:cs="Arial"/>
          <w:sz w:val="24"/>
          <w:szCs w:val="24"/>
        </w:rPr>
        <w:t>creditor</w:t>
      </w:r>
      <w:r w:rsidR="00A422DA">
        <w:rPr>
          <w:rFonts w:ascii="Arial" w:hAnsi="Arial" w:cs="Arial"/>
          <w:sz w:val="24"/>
          <w:szCs w:val="24"/>
        </w:rPr>
        <w:t>s</w:t>
      </w:r>
      <w:r w:rsidRPr="00DA2E73">
        <w:rPr>
          <w:rFonts w:ascii="Arial" w:hAnsi="Arial" w:cs="Arial"/>
          <w:sz w:val="24"/>
          <w:szCs w:val="24"/>
        </w:rPr>
        <w:t>.</w:t>
      </w:r>
      <w:r w:rsidR="005578C0" w:rsidRPr="00DA2E73">
        <w:rPr>
          <w:rStyle w:val="FootnoteReference"/>
          <w:rFonts w:ascii="Arial" w:hAnsi="Arial" w:cs="Arial"/>
          <w:sz w:val="24"/>
          <w:szCs w:val="24"/>
        </w:rPr>
        <w:footnoteReference w:id="9"/>
      </w:r>
      <w:r w:rsidR="005578C0" w:rsidRPr="00DA2E73">
        <w:rPr>
          <w:rFonts w:ascii="Arial" w:hAnsi="Arial" w:cs="Arial"/>
          <w:sz w:val="24"/>
          <w:szCs w:val="24"/>
        </w:rPr>
        <w:t xml:space="preserve"> The scant averment</w:t>
      </w:r>
      <w:r w:rsidR="00A422DA">
        <w:rPr>
          <w:rFonts w:ascii="Arial" w:hAnsi="Arial" w:cs="Arial"/>
          <w:sz w:val="24"/>
          <w:szCs w:val="24"/>
        </w:rPr>
        <w:t>s</w:t>
      </w:r>
      <w:r w:rsidR="005578C0" w:rsidRPr="00DA2E73">
        <w:rPr>
          <w:rFonts w:ascii="Arial" w:hAnsi="Arial" w:cs="Arial"/>
          <w:sz w:val="24"/>
          <w:szCs w:val="24"/>
        </w:rPr>
        <w:t xml:space="preserve"> proffered by the defendant in this regard </w:t>
      </w:r>
      <w:r w:rsidR="00A422DA">
        <w:rPr>
          <w:rFonts w:ascii="Arial" w:hAnsi="Arial" w:cs="Arial"/>
          <w:sz w:val="24"/>
          <w:szCs w:val="24"/>
        </w:rPr>
        <w:t>are</w:t>
      </w:r>
      <w:r w:rsidR="005578C0" w:rsidRPr="00DA2E73">
        <w:rPr>
          <w:rFonts w:ascii="Arial" w:hAnsi="Arial" w:cs="Arial"/>
          <w:sz w:val="24"/>
          <w:szCs w:val="24"/>
        </w:rPr>
        <w:t xml:space="preserve"> nothing more than a bare denial. </w:t>
      </w:r>
      <w:r w:rsidR="00A422DA">
        <w:rPr>
          <w:rFonts w:ascii="Arial" w:hAnsi="Arial" w:cs="Arial"/>
          <w:sz w:val="24"/>
          <w:szCs w:val="24"/>
        </w:rPr>
        <w:t xml:space="preserve">They essentially </w:t>
      </w:r>
      <w:r w:rsidR="005578C0" w:rsidRPr="00DA2E73">
        <w:rPr>
          <w:rFonts w:ascii="Arial" w:hAnsi="Arial" w:cs="Arial"/>
          <w:sz w:val="24"/>
          <w:szCs w:val="24"/>
        </w:rPr>
        <w:t>cast</w:t>
      </w:r>
      <w:r w:rsidR="00A422DA">
        <w:rPr>
          <w:rFonts w:ascii="Arial" w:hAnsi="Arial" w:cs="Arial"/>
          <w:sz w:val="24"/>
          <w:szCs w:val="24"/>
        </w:rPr>
        <w:t xml:space="preserve"> </w:t>
      </w:r>
      <w:r w:rsidR="005578C0" w:rsidRPr="00DA2E73">
        <w:rPr>
          <w:rFonts w:ascii="Arial" w:hAnsi="Arial" w:cs="Arial"/>
          <w:sz w:val="24"/>
          <w:szCs w:val="24"/>
        </w:rPr>
        <w:t>doubt on the defendants’ bona fides.</w:t>
      </w:r>
    </w:p>
    <w:p w:rsidR="0083536A" w:rsidRPr="00DA2E73" w:rsidRDefault="0083536A" w:rsidP="000659A1">
      <w:pPr>
        <w:shd w:val="clear" w:color="auto" w:fill="FFFFFF"/>
        <w:spacing w:after="0" w:line="360" w:lineRule="auto"/>
        <w:ind w:left="720" w:hanging="720"/>
        <w:jc w:val="both"/>
        <w:rPr>
          <w:rFonts w:ascii="Arial" w:hAnsi="Arial" w:cs="Arial"/>
          <w:sz w:val="24"/>
          <w:szCs w:val="24"/>
        </w:rPr>
      </w:pPr>
    </w:p>
    <w:p w:rsidR="002F2AD5" w:rsidRPr="00DA2E73" w:rsidRDefault="002F2AD5" w:rsidP="00E46DD9">
      <w:pPr>
        <w:shd w:val="clear" w:color="auto" w:fill="FFFFFF"/>
        <w:spacing w:before="144" w:after="0" w:line="360" w:lineRule="auto"/>
        <w:ind w:left="720" w:hanging="720"/>
        <w:jc w:val="both"/>
        <w:rPr>
          <w:rFonts w:ascii="Arial" w:hAnsi="Arial" w:cs="Arial"/>
          <w:sz w:val="24"/>
          <w:szCs w:val="24"/>
        </w:rPr>
      </w:pPr>
      <w:r w:rsidRPr="00DA2E73">
        <w:rPr>
          <w:rFonts w:ascii="Arial" w:hAnsi="Arial" w:cs="Arial"/>
          <w:sz w:val="24"/>
          <w:szCs w:val="24"/>
        </w:rPr>
        <w:t>[</w:t>
      </w:r>
      <w:r w:rsidR="00DA2E73" w:rsidRPr="00DA2E73">
        <w:rPr>
          <w:rFonts w:ascii="Arial" w:hAnsi="Arial" w:cs="Arial"/>
          <w:sz w:val="24"/>
          <w:szCs w:val="24"/>
        </w:rPr>
        <w:t>2</w:t>
      </w:r>
      <w:r w:rsidR="00B37034">
        <w:rPr>
          <w:rFonts w:ascii="Arial" w:hAnsi="Arial" w:cs="Arial"/>
          <w:sz w:val="24"/>
          <w:szCs w:val="24"/>
        </w:rPr>
        <w:t>1</w:t>
      </w:r>
      <w:r w:rsidRPr="00DA2E73">
        <w:rPr>
          <w:rFonts w:ascii="Arial" w:hAnsi="Arial" w:cs="Arial"/>
          <w:sz w:val="24"/>
          <w:szCs w:val="24"/>
        </w:rPr>
        <w:t>]</w:t>
      </w:r>
      <w:r w:rsidRPr="00DA2E73">
        <w:rPr>
          <w:rFonts w:ascii="Arial" w:hAnsi="Arial" w:cs="Arial"/>
          <w:sz w:val="24"/>
          <w:szCs w:val="24"/>
        </w:rPr>
        <w:tab/>
      </w:r>
      <w:r w:rsidR="00A422DA">
        <w:rPr>
          <w:rFonts w:ascii="Arial" w:hAnsi="Arial" w:cs="Arial"/>
          <w:sz w:val="24"/>
          <w:szCs w:val="24"/>
        </w:rPr>
        <w:t xml:space="preserve">Taking into consideration the facts of this </w:t>
      </w:r>
      <w:r w:rsidR="00061454" w:rsidRPr="00DA2E73">
        <w:rPr>
          <w:rFonts w:ascii="Arial" w:hAnsi="Arial" w:cs="Arial"/>
          <w:sz w:val="24"/>
          <w:szCs w:val="24"/>
        </w:rPr>
        <w:t>matter</w:t>
      </w:r>
      <w:r w:rsidR="00A422DA">
        <w:rPr>
          <w:rFonts w:ascii="Arial" w:hAnsi="Arial" w:cs="Arial"/>
          <w:sz w:val="24"/>
          <w:szCs w:val="24"/>
        </w:rPr>
        <w:t>, I a</w:t>
      </w:r>
      <w:r w:rsidR="00061454" w:rsidRPr="00DA2E73">
        <w:rPr>
          <w:rFonts w:ascii="Arial" w:hAnsi="Arial" w:cs="Arial"/>
          <w:sz w:val="24"/>
          <w:szCs w:val="24"/>
        </w:rPr>
        <w:t xml:space="preserve">m </w:t>
      </w:r>
      <w:r w:rsidR="003A5C70" w:rsidRPr="00DA2E73">
        <w:rPr>
          <w:rFonts w:ascii="Arial" w:hAnsi="Arial" w:cs="Arial"/>
          <w:sz w:val="24"/>
          <w:szCs w:val="24"/>
        </w:rPr>
        <w:t>satisfied</w:t>
      </w:r>
      <w:r w:rsidR="00061454" w:rsidRPr="00DA2E73">
        <w:rPr>
          <w:rFonts w:ascii="Arial" w:hAnsi="Arial" w:cs="Arial"/>
          <w:sz w:val="24"/>
          <w:szCs w:val="24"/>
        </w:rPr>
        <w:t xml:space="preserve"> that the </w:t>
      </w:r>
      <w:r w:rsidRPr="00DA2E73">
        <w:rPr>
          <w:rFonts w:ascii="Arial" w:hAnsi="Arial" w:cs="Arial"/>
          <w:sz w:val="24"/>
          <w:szCs w:val="24"/>
        </w:rPr>
        <w:t>plaintiff’s claim</w:t>
      </w:r>
      <w:r w:rsidR="001769FC" w:rsidRPr="00DA2E73">
        <w:rPr>
          <w:rFonts w:ascii="Arial" w:hAnsi="Arial" w:cs="Arial"/>
          <w:sz w:val="24"/>
          <w:szCs w:val="24"/>
        </w:rPr>
        <w:t xml:space="preserve"> </w:t>
      </w:r>
      <w:r w:rsidR="003A5C70" w:rsidRPr="00DA2E73">
        <w:rPr>
          <w:rFonts w:ascii="Arial" w:hAnsi="Arial" w:cs="Arial"/>
          <w:sz w:val="24"/>
          <w:szCs w:val="24"/>
        </w:rPr>
        <w:t xml:space="preserve">against the defendant </w:t>
      </w:r>
      <w:r w:rsidRPr="00DA2E73">
        <w:rPr>
          <w:rFonts w:ascii="Arial" w:hAnsi="Arial" w:cs="Arial"/>
          <w:sz w:val="24"/>
          <w:szCs w:val="24"/>
        </w:rPr>
        <w:t>ha</w:t>
      </w:r>
      <w:r w:rsidR="001769FC" w:rsidRPr="00DA2E73">
        <w:rPr>
          <w:rFonts w:ascii="Arial" w:hAnsi="Arial" w:cs="Arial"/>
          <w:sz w:val="24"/>
          <w:szCs w:val="24"/>
        </w:rPr>
        <w:t>s</w:t>
      </w:r>
      <w:r w:rsidRPr="00DA2E73">
        <w:rPr>
          <w:rFonts w:ascii="Arial" w:hAnsi="Arial" w:cs="Arial"/>
          <w:sz w:val="24"/>
          <w:szCs w:val="24"/>
        </w:rPr>
        <w:t xml:space="preserve"> been c</w:t>
      </w:r>
      <w:r w:rsidR="004A260E" w:rsidRPr="00DA2E73">
        <w:rPr>
          <w:rFonts w:ascii="Arial" w:hAnsi="Arial" w:cs="Arial"/>
          <w:sz w:val="24"/>
          <w:szCs w:val="24"/>
        </w:rPr>
        <w:t>l</w:t>
      </w:r>
      <w:r w:rsidRPr="00DA2E73">
        <w:rPr>
          <w:rFonts w:ascii="Arial" w:hAnsi="Arial" w:cs="Arial"/>
          <w:sz w:val="24"/>
          <w:szCs w:val="24"/>
        </w:rPr>
        <w:t>early established</w:t>
      </w:r>
      <w:r w:rsidR="003A5C70" w:rsidRPr="00DA2E73">
        <w:rPr>
          <w:rFonts w:ascii="Arial" w:hAnsi="Arial" w:cs="Arial"/>
          <w:sz w:val="24"/>
          <w:szCs w:val="24"/>
        </w:rPr>
        <w:t xml:space="preserve">. </w:t>
      </w:r>
      <w:r w:rsidRPr="00DA2E73">
        <w:rPr>
          <w:rFonts w:ascii="Arial" w:hAnsi="Arial" w:cs="Arial"/>
          <w:sz w:val="24"/>
          <w:szCs w:val="24"/>
        </w:rPr>
        <w:t xml:space="preserve"> </w:t>
      </w:r>
      <w:r w:rsidR="00A422DA">
        <w:rPr>
          <w:rFonts w:ascii="Arial" w:hAnsi="Arial" w:cs="Arial"/>
          <w:sz w:val="24"/>
          <w:szCs w:val="24"/>
        </w:rPr>
        <w:t>I a</w:t>
      </w:r>
      <w:r w:rsidR="003A5C70" w:rsidRPr="00DA2E73">
        <w:rPr>
          <w:rFonts w:ascii="Arial" w:hAnsi="Arial" w:cs="Arial"/>
          <w:sz w:val="24"/>
          <w:szCs w:val="24"/>
        </w:rPr>
        <w:t xml:space="preserve">m not persuaded that the defendants’ </w:t>
      </w:r>
      <w:r w:rsidR="004E65A1" w:rsidRPr="00DA2E73">
        <w:rPr>
          <w:rFonts w:ascii="Arial" w:hAnsi="Arial" w:cs="Arial"/>
          <w:sz w:val="24"/>
          <w:szCs w:val="24"/>
        </w:rPr>
        <w:t xml:space="preserve">defence as pleaded and </w:t>
      </w:r>
      <w:r w:rsidR="00FC1C6A" w:rsidRPr="00DA2E73">
        <w:rPr>
          <w:rFonts w:ascii="Arial" w:hAnsi="Arial" w:cs="Arial"/>
          <w:sz w:val="24"/>
          <w:szCs w:val="24"/>
        </w:rPr>
        <w:t xml:space="preserve">also </w:t>
      </w:r>
      <w:r w:rsidR="004E65A1" w:rsidRPr="00DA2E73">
        <w:rPr>
          <w:rFonts w:ascii="Arial" w:hAnsi="Arial" w:cs="Arial"/>
          <w:sz w:val="24"/>
          <w:szCs w:val="24"/>
        </w:rPr>
        <w:t xml:space="preserve">set out in the opposing </w:t>
      </w:r>
      <w:r w:rsidR="003A5C70" w:rsidRPr="00DA2E73">
        <w:rPr>
          <w:rFonts w:ascii="Arial" w:hAnsi="Arial" w:cs="Arial"/>
          <w:sz w:val="24"/>
          <w:szCs w:val="24"/>
        </w:rPr>
        <w:t>affidavit discloses a bona fide defence</w:t>
      </w:r>
      <w:r w:rsidR="00C30DF5" w:rsidRPr="00DA2E73">
        <w:rPr>
          <w:rFonts w:ascii="Arial" w:hAnsi="Arial" w:cs="Arial"/>
          <w:sz w:val="24"/>
          <w:szCs w:val="24"/>
        </w:rPr>
        <w:t xml:space="preserve"> that is good in law to result in a triable issue. </w:t>
      </w:r>
    </w:p>
    <w:p w:rsidR="00E51AEA" w:rsidRPr="00DA2E73" w:rsidRDefault="00E51AEA" w:rsidP="00E46DD9">
      <w:pPr>
        <w:spacing w:after="0" w:line="360" w:lineRule="auto"/>
        <w:ind w:left="720" w:hanging="720"/>
        <w:jc w:val="both"/>
        <w:rPr>
          <w:rFonts w:ascii="Arial" w:hAnsi="Arial" w:cs="Arial"/>
          <w:sz w:val="24"/>
          <w:szCs w:val="24"/>
        </w:rPr>
      </w:pPr>
    </w:p>
    <w:p w:rsidR="00923BCF" w:rsidRPr="00DA2E73" w:rsidRDefault="00601A93" w:rsidP="00E46DD9">
      <w:pPr>
        <w:shd w:val="clear" w:color="auto" w:fill="FFFFFF"/>
        <w:spacing w:before="144" w:after="0" w:line="360" w:lineRule="auto"/>
        <w:ind w:left="720" w:hanging="720"/>
        <w:jc w:val="both"/>
        <w:rPr>
          <w:rFonts w:ascii="Arial" w:hAnsi="Arial" w:cs="Arial"/>
          <w:sz w:val="24"/>
          <w:szCs w:val="24"/>
        </w:rPr>
      </w:pPr>
      <w:r w:rsidRPr="00DA2E73">
        <w:rPr>
          <w:rFonts w:ascii="Arial" w:hAnsi="Arial" w:cs="Arial"/>
          <w:sz w:val="24"/>
          <w:szCs w:val="24"/>
        </w:rPr>
        <w:t>[</w:t>
      </w:r>
      <w:r w:rsidR="00DA2E73" w:rsidRPr="00DA2E73">
        <w:rPr>
          <w:rFonts w:ascii="Arial" w:hAnsi="Arial" w:cs="Arial"/>
          <w:sz w:val="24"/>
          <w:szCs w:val="24"/>
        </w:rPr>
        <w:t>2</w:t>
      </w:r>
      <w:r w:rsidR="00B37034">
        <w:rPr>
          <w:rFonts w:ascii="Arial" w:hAnsi="Arial" w:cs="Arial"/>
          <w:sz w:val="24"/>
          <w:szCs w:val="24"/>
        </w:rPr>
        <w:t>2</w:t>
      </w:r>
      <w:r w:rsidRPr="00DA2E73">
        <w:rPr>
          <w:rFonts w:ascii="Arial" w:hAnsi="Arial" w:cs="Arial"/>
          <w:sz w:val="24"/>
          <w:szCs w:val="24"/>
        </w:rPr>
        <w:t xml:space="preserve">] </w:t>
      </w:r>
      <w:r w:rsidRPr="00DA2E73">
        <w:rPr>
          <w:rFonts w:ascii="Arial" w:hAnsi="Arial" w:cs="Arial"/>
          <w:sz w:val="24"/>
          <w:szCs w:val="24"/>
        </w:rPr>
        <w:tab/>
      </w:r>
      <w:r w:rsidR="00FE3E8C" w:rsidRPr="00DA2E73">
        <w:rPr>
          <w:rFonts w:ascii="Arial" w:eastAsia="Times New Roman" w:hAnsi="Arial" w:cs="Arial"/>
          <w:sz w:val="24"/>
          <w:szCs w:val="24"/>
          <w:lang w:eastAsia="en-ZA"/>
        </w:rPr>
        <w:t xml:space="preserve">In the circumstances, </w:t>
      </w:r>
      <w:r w:rsidR="00FE3E8C" w:rsidRPr="00DA2E73">
        <w:rPr>
          <w:rFonts w:ascii="Arial" w:hAnsi="Arial" w:cs="Arial"/>
          <w:sz w:val="24"/>
          <w:szCs w:val="24"/>
          <w:lang w:val="en-GB"/>
        </w:rPr>
        <w:t>following order is granted:</w:t>
      </w:r>
    </w:p>
    <w:p w:rsidR="00E46DD9" w:rsidRPr="00DA2E73" w:rsidRDefault="00E46DD9" w:rsidP="000659A1">
      <w:pPr>
        <w:pStyle w:val="ListParagraph"/>
        <w:shd w:val="clear" w:color="auto" w:fill="FFFFFF"/>
        <w:spacing w:after="0" w:line="360" w:lineRule="auto"/>
        <w:jc w:val="both"/>
        <w:rPr>
          <w:rFonts w:ascii="Arial" w:hAnsi="Arial" w:cs="Arial"/>
          <w:sz w:val="24"/>
          <w:szCs w:val="24"/>
          <w:lang w:val="en-GB"/>
        </w:rPr>
      </w:pPr>
    </w:p>
    <w:p w:rsidR="00C30DF5" w:rsidRPr="00DA2E73" w:rsidRDefault="001769FC" w:rsidP="00E46DD9">
      <w:pPr>
        <w:pStyle w:val="ListParagraph"/>
        <w:numPr>
          <w:ilvl w:val="0"/>
          <w:numId w:val="23"/>
        </w:numPr>
        <w:shd w:val="clear" w:color="auto" w:fill="FFFFFF"/>
        <w:spacing w:before="144" w:after="0" w:line="360" w:lineRule="auto"/>
        <w:jc w:val="both"/>
        <w:rPr>
          <w:rFonts w:ascii="Arial" w:eastAsia="Times New Roman" w:hAnsi="Arial" w:cs="Arial"/>
          <w:sz w:val="24"/>
          <w:szCs w:val="24"/>
          <w:lang w:eastAsia="en-ZA"/>
        </w:rPr>
      </w:pPr>
      <w:r w:rsidRPr="00DA2E73">
        <w:rPr>
          <w:rFonts w:ascii="Arial" w:hAnsi="Arial" w:cs="Arial"/>
          <w:sz w:val="24"/>
          <w:szCs w:val="24"/>
          <w:lang w:val="en-GB"/>
        </w:rPr>
        <w:t xml:space="preserve">Summary </w:t>
      </w:r>
      <w:r w:rsidR="00FE3E8C" w:rsidRPr="00DA2E73">
        <w:rPr>
          <w:rFonts w:ascii="Arial" w:hAnsi="Arial" w:cs="Arial"/>
          <w:sz w:val="24"/>
          <w:szCs w:val="24"/>
          <w:lang w:val="en-GB"/>
        </w:rPr>
        <w:t>Judgment is granted against the defendant</w:t>
      </w:r>
      <w:r w:rsidRPr="00DA2E73">
        <w:rPr>
          <w:rFonts w:ascii="Arial" w:hAnsi="Arial" w:cs="Arial"/>
          <w:sz w:val="24"/>
          <w:szCs w:val="24"/>
          <w:lang w:val="en-GB"/>
        </w:rPr>
        <w:t xml:space="preserve"> for</w:t>
      </w:r>
      <w:r w:rsidR="00C30DF5" w:rsidRPr="00DA2E73">
        <w:rPr>
          <w:rFonts w:ascii="Arial" w:eastAsia="Times New Roman" w:hAnsi="Arial" w:cs="Arial"/>
          <w:sz w:val="24"/>
          <w:szCs w:val="24"/>
          <w:lang w:eastAsia="en-ZA"/>
        </w:rPr>
        <w:t>;</w:t>
      </w:r>
    </w:p>
    <w:p w:rsidR="00FC1C6A" w:rsidRPr="00DA2E73" w:rsidRDefault="00C30DF5" w:rsidP="00E46DD9">
      <w:pPr>
        <w:spacing w:line="240" w:lineRule="auto"/>
        <w:ind w:hanging="1190"/>
        <w:jc w:val="both"/>
        <w:rPr>
          <w:rFonts w:ascii="Arial" w:eastAsia="Times New Roman" w:hAnsi="Arial" w:cs="Arial"/>
          <w:sz w:val="24"/>
          <w:szCs w:val="24"/>
          <w:lang w:eastAsia="en-ZA"/>
        </w:rPr>
      </w:pPr>
      <w:r w:rsidRPr="00DA2E73">
        <w:rPr>
          <w:rFonts w:ascii="Arial" w:eastAsia="Times New Roman" w:hAnsi="Arial" w:cs="Arial"/>
          <w:sz w:val="24"/>
          <w:szCs w:val="24"/>
          <w:lang w:eastAsia="en-ZA"/>
        </w:rPr>
        <w:t>     </w:t>
      </w:r>
    </w:p>
    <w:p w:rsidR="00FC1C6A" w:rsidRPr="00DA2E73" w:rsidRDefault="00C30DF5" w:rsidP="000659A1">
      <w:pPr>
        <w:pStyle w:val="ListParagraph"/>
        <w:numPr>
          <w:ilvl w:val="1"/>
          <w:numId w:val="23"/>
        </w:numPr>
        <w:spacing w:after="0" w:line="360" w:lineRule="auto"/>
        <w:jc w:val="both"/>
        <w:rPr>
          <w:rFonts w:ascii="Arial" w:eastAsia="Times New Roman" w:hAnsi="Arial" w:cs="Arial"/>
          <w:sz w:val="24"/>
          <w:szCs w:val="24"/>
          <w:lang w:eastAsia="en-ZA"/>
        </w:rPr>
      </w:pPr>
      <w:r w:rsidRPr="00DA2E73">
        <w:rPr>
          <w:rFonts w:ascii="Arial" w:eastAsia="Times New Roman" w:hAnsi="Arial" w:cs="Arial"/>
          <w:sz w:val="24"/>
          <w:szCs w:val="24"/>
          <w:lang w:eastAsia="en-ZA"/>
        </w:rPr>
        <w:t>Payment of the sum of R</w:t>
      </w:r>
      <w:r w:rsidR="001769FC" w:rsidRPr="00DA2E73">
        <w:rPr>
          <w:rFonts w:ascii="Arial" w:eastAsia="Times New Roman" w:hAnsi="Arial" w:cs="Arial"/>
          <w:sz w:val="24"/>
          <w:szCs w:val="24"/>
          <w:lang w:eastAsia="en-ZA"/>
        </w:rPr>
        <w:t>1 238 634.83;</w:t>
      </w:r>
    </w:p>
    <w:p w:rsidR="00E46DD9" w:rsidRPr="00DA2E73" w:rsidRDefault="00E46DD9" w:rsidP="00E46DD9">
      <w:pPr>
        <w:pStyle w:val="ListParagraph"/>
        <w:spacing w:line="240" w:lineRule="auto"/>
        <w:ind w:left="1080"/>
        <w:jc w:val="both"/>
        <w:rPr>
          <w:rFonts w:ascii="Arial" w:eastAsia="Times New Roman" w:hAnsi="Arial" w:cs="Arial"/>
          <w:sz w:val="24"/>
          <w:szCs w:val="24"/>
          <w:lang w:eastAsia="en-ZA"/>
        </w:rPr>
      </w:pPr>
    </w:p>
    <w:p w:rsidR="00E46DD9" w:rsidRPr="00DA2E73" w:rsidRDefault="00FC1C6A" w:rsidP="001769FC">
      <w:pPr>
        <w:pStyle w:val="ListParagraph"/>
        <w:numPr>
          <w:ilvl w:val="1"/>
          <w:numId w:val="23"/>
        </w:numPr>
        <w:spacing w:line="360" w:lineRule="auto"/>
        <w:jc w:val="both"/>
        <w:rPr>
          <w:rFonts w:ascii="Arial" w:eastAsia="Times New Roman" w:hAnsi="Arial" w:cs="Arial"/>
          <w:sz w:val="24"/>
          <w:szCs w:val="24"/>
          <w:lang w:eastAsia="en-ZA"/>
        </w:rPr>
      </w:pPr>
      <w:r w:rsidRPr="00DA2E73">
        <w:rPr>
          <w:rFonts w:ascii="Arial" w:eastAsia="Times New Roman" w:hAnsi="Arial" w:cs="Arial"/>
          <w:sz w:val="24"/>
          <w:szCs w:val="24"/>
          <w:lang w:eastAsia="en-ZA"/>
        </w:rPr>
        <w:t xml:space="preserve">Interest </w:t>
      </w:r>
      <w:r w:rsidR="00C30DF5" w:rsidRPr="00DA2E73">
        <w:rPr>
          <w:rFonts w:ascii="Arial" w:eastAsia="Times New Roman" w:hAnsi="Arial" w:cs="Arial"/>
          <w:sz w:val="24"/>
          <w:szCs w:val="24"/>
          <w:lang w:eastAsia="en-ZA"/>
        </w:rPr>
        <w:t xml:space="preserve">on the said amount, at the </w:t>
      </w:r>
      <w:r w:rsidR="001769FC" w:rsidRPr="00DA2E73">
        <w:rPr>
          <w:rFonts w:ascii="Arial" w:eastAsia="Times New Roman" w:hAnsi="Arial" w:cs="Arial"/>
          <w:sz w:val="24"/>
          <w:szCs w:val="24"/>
          <w:lang w:eastAsia="en-ZA"/>
        </w:rPr>
        <w:t>rate of 8.5% per annum calculated from</w:t>
      </w:r>
      <w:r w:rsidR="00A422DA">
        <w:rPr>
          <w:rFonts w:ascii="Arial" w:eastAsia="Times New Roman" w:hAnsi="Arial" w:cs="Arial"/>
          <w:sz w:val="24"/>
          <w:szCs w:val="24"/>
          <w:lang w:eastAsia="en-ZA"/>
        </w:rPr>
        <w:t xml:space="preserve"> 27 June 2021 to date of final payment</w:t>
      </w:r>
      <w:r w:rsidR="001769FC" w:rsidRPr="00DA2E73">
        <w:rPr>
          <w:rFonts w:ascii="Arial" w:eastAsia="Times New Roman" w:hAnsi="Arial" w:cs="Arial"/>
          <w:sz w:val="24"/>
          <w:szCs w:val="24"/>
          <w:lang w:eastAsia="en-ZA"/>
        </w:rPr>
        <w:t xml:space="preserve">. </w:t>
      </w:r>
    </w:p>
    <w:p w:rsidR="00DA2E73" w:rsidRPr="00DA2E73" w:rsidRDefault="00DA2E73" w:rsidP="00DA2E73">
      <w:pPr>
        <w:pStyle w:val="ListParagraph"/>
        <w:rPr>
          <w:rFonts w:ascii="Arial" w:eastAsia="Times New Roman" w:hAnsi="Arial" w:cs="Arial"/>
          <w:sz w:val="24"/>
          <w:szCs w:val="24"/>
          <w:lang w:eastAsia="en-ZA"/>
        </w:rPr>
      </w:pPr>
    </w:p>
    <w:p w:rsidR="00E46DD9" w:rsidRPr="00DA2E73" w:rsidRDefault="001769FC" w:rsidP="00E46DD9">
      <w:pPr>
        <w:pStyle w:val="ListParagraph"/>
        <w:numPr>
          <w:ilvl w:val="1"/>
          <w:numId w:val="23"/>
        </w:numPr>
        <w:spacing w:line="240" w:lineRule="auto"/>
        <w:jc w:val="both"/>
        <w:rPr>
          <w:rFonts w:ascii="Arial" w:eastAsia="Times New Roman" w:hAnsi="Arial" w:cs="Arial"/>
          <w:sz w:val="24"/>
          <w:szCs w:val="24"/>
          <w:lang w:eastAsia="en-ZA"/>
        </w:rPr>
      </w:pPr>
      <w:r w:rsidRPr="00DA2E73">
        <w:rPr>
          <w:rFonts w:ascii="Arial" w:eastAsia="Times New Roman" w:hAnsi="Arial" w:cs="Arial"/>
          <w:sz w:val="24"/>
          <w:szCs w:val="24"/>
          <w:lang w:eastAsia="en-ZA"/>
        </w:rPr>
        <w:t xml:space="preserve">The defendant shall pay the costs </w:t>
      </w:r>
      <w:r w:rsidR="00E46DD9" w:rsidRPr="00DA2E73">
        <w:rPr>
          <w:rFonts w:ascii="Arial" w:eastAsia="Times New Roman" w:hAnsi="Arial" w:cs="Arial"/>
          <w:sz w:val="24"/>
          <w:szCs w:val="24"/>
          <w:lang w:eastAsia="en-ZA"/>
        </w:rPr>
        <w:t>on an attorney and client scale.</w:t>
      </w:r>
    </w:p>
    <w:p w:rsidR="000659A1" w:rsidRPr="00B37034" w:rsidRDefault="000659A1" w:rsidP="005E273F">
      <w:pPr>
        <w:shd w:val="clear" w:color="auto" w:fill="FFFFFF"/>
        <w:spacing w:before="144" w:after="0" w:line="480" w:lineRule="atLeast"/>
        <w:ind w:left="720" w:hanging="720"/>
        <w:rPr>
          <w:rFonts w:ascii="Arial" w:eastAsia="Times New Roman" w:hAnsi="Arial" w:cs="Arial"/>
          <w:sz w:val="24"/>
          <w:szCs w:val="24"/>
          <w:lang w:val="en-GB" w:eastAsia="en-ZA"/>
        </w:rPr>
      </w:pPr>
    </w:p>
    <w:p w:rsidR="0014277B" w:rsidRPr="00B37034" w:rsidRDefault="0014277B" w:rsidP="001A3AF4">
      <w:pPr>
        <w:autoSpaceDE w:val="0"/>
        <w:autoSpaceDN w:val="0"/>
        <w:adjustRightInd w:val="0"/>
        <w:spacing w:after="0" w:line="360" w:lineRule="auto"/>
        <w:ind w:left="720"/>
        <w:jc w:val="right"/>
        <w:rPr>
          <w:rFonts w:ascii="Arial" w:hAnsi="Arial" w:cs="Arial"/>
          <w:b/>
          <w:sz w:val="24"/>
          <w:szCs w:val="24"/>
        </w:rPr>
      </w:pPr>
      <w:r w:rsidRPr="00B37034">
        <w:rPr>
          <w:rFonts w:ascii="Arial" w:hAnsi="Arial" w:cs="Arial"/>
          <w:b/>
          <w:sz w:val="24"/>
          <w:szCs w:val="24"/>
        </w:rPr>
        <w:t>_____________</w:t>
      </w:r>
    </w:p>
    <w:p w:rsidR="0014277B" w:rsidRPr="00B37034" w:rsidRDefault="009D0A41" w:rsidP="001A3AF4">
      <w:pPr>
        <w:autoSpaceDE w:val="0"/>
        <w:autoSpaceDN w:val="0"/>
        <w:adjustRightInd w:val="0"/>
        <w:spacing w:after="0" w:line="360" w:lineRule="auto"/>
        <w:ind w:left="720"/>
        <w:jc w:val="right"/>
        <w:rPr>
          <w:rFonts w:ascii="Arial" w:hAnsi="Arial" w:cs="Arial"/>
          <w:b/>
          <w:sz w:val="24"/>
          <w:szCs w:val="24"/>
        </w:rPr>
      </w:pPr>
      <w:r w:rsidRPr="00B37034">
        <w:rPr>
          <w:rFonts w:ascii="Arial" w:hAnsi="Arial" w:cs="Arial"/>
          <w:b/>
          <w:sz w:val="24"/>
          <w:szCs w:val="24"/>
        </w:rPr>
        <w:t>N</w:t>
      </w:r>
      <w:r w:rsidR="00AC2020" w:rsidRPr="00B37034">
        <w:rPr>
          <w:rFonts w:ascii="Arial" w:hAnsi="Arial" w:cs="Arial"/>
          <w:b/>
          <w:sz w:val="24"/>
          <w:szCs w:val="24"/>
        </w:rPr>
        <w:t>.</w:t>
      </w:r>
      <w:r w:rsidRPr="00B37034">
        <w:rPr>
          <w:rFonts w:ascii="Arial" w:hAnsi="Arial" w:cs="Arial"/>
          <w:b/>
          <w:sz w:val="24"/>
          <w:szCs w:val="24"/>
        </w:rPr>
        <w:t>S</w:t>
      </w:r>
      <w:r w:rsidR="00AC2020" w:rsidRPr="00B37034">
        <w:rPr>
          <w:rFonts w:ascii="Arial" w:hAnsi="Arial" w:cs="Arial"/>
          <w:b/>
          <w:sz w:val="24"/>
          <w:szCs w:val="24"/>
        </w:rPr>
        <w:t>.</w:t>
      </w:r>
      <w:r w:rsidRPr="00B37034">
        <w:rPr>
          <w:rFonts w:ascii="Arial" w:hAnsi="Arial" w:cs="Arial"/>
          <w:b/>
          <w:sz w:val="24"/>
          <w:szCs w:val="24"/>
        </w:rPr>
        <w:t xml:space="preserve"> </w:t>
      </w:r>
      <w:r w:rsidR="0014277B" w:rsidRPr="00B37034">
        <w:rPr>
          <w:rFonts w:ascii="Arial" w:hAnsi="Arial" w:cs="Arial"/>
          <w:b/>
          <w:sz w:val="24"/>
          <w:szCs w:val="24"/>
        </w:rPr>
        <w:t xml:space="preserve">DANISO, J </w:t>
      </w:r>
    </w:p>
    <w:p w:rsidR="0014277B" w:rsidRPr="00B37034" w:rsidRDefault="0014277B" w:rsidP="009D0A41">
      <w:pPr>
        <w:autoSpaceDE w:val="0"/>
        <w:autoSpaceDN w:val="0"/>
        <w:adjustRightInd w:val="0"/>
        <w:spacing w:line="360" w:lineRule="auto"/>
        <w:rPr>
          <w:rFonts w:ascii="Arial" w:hAnsi="Arial" w:cs="Arial"/>
          <w:sz w:val="24"/>
          <w:szCs w:val="24"/>
        </w:rPr>
      </w:pPr>
      <w:r w:rsidRPr="00B37034">
        <w:rPr>
          <w:rFonts w:ascii="Arial" w:hAnsi="Arial" w:cs="Arial"/>
          <w:sz w:val="24"/>
          <w:szCs w:val="24"/>
        </w:rPr>
        <w:t xml:space="preserve">APPEARANCES: </w:t>
      </w:r>
      <w:r w:rsidRPr="00B37034">
        <w:rPr>
          <w:rFonts w:ascii="Arial" w:hAnsi="Arial" w:cs="Arial"/>
          <w:sz w:val="24"/>
          <w:szCs w:val="24"/>
        </w:rPr>
        <w:tab/>
      </w:r>
    </w:p>
    <w:p w:rsidR="001769FC" w:rsidRPr="00B37034" w:rsidRDefault="0014277B" w:rsidP="00EE26DA">
      <w:pPr>
        <w:autoSpaceDE w:val="0"/>
        <w:autoSpaceDN w:val="0"/>
        <w:adjustRightInd w:val="0"/>
        <w:spacing w:after="0" w:line="360" w:lineRule="auto"/>
        <w:rPr>
          <w:rFonts w:ascii="Arial" w:hAnsi="Arial" w:cs="Arial"/>
          <w:sz w:val="24"/>
          <w:szCs w:val="24"/>
        </w:rPr>
      </w:pPr>
      <w:r w:rsidRPr="00B37034">
        <w:rPr>
          <w:rFonts w:ascii="Arial" w:hAnsi="Arial" w:cs="Arial"/>
          <w:sz w:val="24"/>
          <w:szCs w:val="24"/>
        </w:rPr>
        <w:t xml:space="preserve">Counsel on behalf of </w:t>
      </w:r>
      <w:r w:rsidR="003A7BC9" w:rsidRPr="00B37034">
        <w:rPr>
          <w:rFonts w:ascii="Arial" w:hAnsi="Arial" w:cs="Arial"/>
          <w:sz w:val="24"/>
          <w:szCs w:val="24"/>
        </w:rPr>
        <w:t xml:space="preserve">the </w:t>
      </w:r>
      <w:r w:rsidR="002A330B" w:rsidRPr="00B37034">
        <w:rPr>
          <w:rFonts w:ascii="Arial" w:hAnsi="Arial" w:cs="Arial"/>
          <w:sz w:val="24"/>
          <w:szCs w:val="24"/>
        </w:rPr>
        <w:t>applicant:</w:t>
      </w:r>
      <w:r w:rsidRPr="00B37034">
        <w:rPr>
          <w:rFonts w:ascii="Arial" w:hAnsi="Arial" w:cs="Arial"/>
          <w:sz w:val="24"/>
          <w:szCs w:val="24"/>
        </w:rPr>
        <w:tab/>
      </w:r>
      <w:r w:rsidR="000D217D" w:rsidRPr="00B37034">
        <w:rPr>
          <w:rFonts w:ascii="Arial" w:hAnsi="Arial" w:cs="Arial"/>
          <w:sz w:val="24"/>
          <w:szCs w:val="24"/>
        </w:rPr>
        <w:tab/>
      </w:r>
      <w:r w:rsidR="00B37034" w:rsidRPr="00B37034">
        <w:rPr>
          <w:rFonts w:ascii="Arial" w:hAnsi="Arial" w:cs="Arial"/>
          <w:sz w:val="24"/>
          <w:szCs w:val="24"/>
        </w:rPr>
        <w:tab/>
      </w:r>
      <w:r w:rsidR="00A422DA" w:rsidRPr="00B37034">
        <w:rPr>
          <w:rFonts w:ascii="Arial" w:hAnsi="Arial" w:cs="Arial"/>
          <w:sz w:val="24"/>
          <w:szCs w:val="24"/>
        </w:rPr>
        <w:t xml:space="preserve">Adv </w:t>
      </w:r>
      <w:r w:rsidR="00B37034" w:rsidRPr="00B37034">
        <w:rPr>
          <w:rFonts w:ascii="Arial" w:hAnsi="Arial" w:cs="Arial"/>
          <w:sz w:val="24"/>
          <w:szCs w:val="24"/>
        </w:rPr>
        <w:t>K.N Petersen</w:t>
      </w:r>
      <w:r w:rsidR="001769FC" w:rsidRPr="00B37034">
        <w:rPr>
          <w:rFonts w:ascii="Arial" w:hAnsi="Arial" w:cs="Arial"/>
          <w:sz w:val="24"/>
          <w:szCs w:val="24"/>
        </w:rPr>
        <w:t>.</w:t>
      </w:r>
    </w:p>
    <w:p w:rsidR="0014277B" w:rsidRPr="00B37034" w:rsidRDefault="0014277B" w:rsidP="00EE26DA">
      <w:pPr>
        <w:autoSpaceDE w:val="0"/>
        <w:autoSpaceDN w:val="0"/>
        <w:adjustRightInd w:val="0"/>
        <w:spacing w:after="0" w:line="360" w:lineRule="auto"/>
        <w:rPr>
          <w:rFonts w:ascii="Arial" w:hAnsi="Arial" w:cs="Arial"/>
          <w:sz w:val="24"/>
          <w:szCs w:val="24"/>
        </w:rPr>
      </w:pPr>
      <w:r w:rsidRPr="00B37034">
        <w:rPr>
          <w:rFonts w:ascii="Arial" w:hAnsi="Arial" w:cs="Arial"/>
          <w:sz w:val="24"/>
          <w:szCs w:val="24"/>
        </w:rPr>
        <w:t>Instructed by:</w:t>
      </w:r>
      <w:r w:rsidRPr="00B37034">
        <w:rPr>
          <w:rFonts w:ascii="Arial" w:hAnsi="Arial" w:cs="Arial"/>
          <w:sz w:val="24"/>
          <w:szCs w:val="24"/>
        </w:rPr>
        <w:tab/>
      </w:r>
      <w:r w:rsidRPr="00B37034">
        <w:rPr>
          <w:rFonts w:ascii="Arial" w:hAnsi="Arial" w:cs="Arial"/>
          <w:sz w:val="24"/>
          <w:szCs w:val="24"/>
        </w:rPr>
        <w:tab/>
      </w:r>
      <w:r w:rsidRPr="00B37034">
        <w:rPr>
          <w:rFonts w:ascii="Arial" w:hAnsi="Arial" w:cs="Arial"/>
          <w:sz w:val="24"/>
          <w:szCs w:val="24"/>
        </w:rPr>
        <w:tab/>
      </w:r>
      <w:r w:rsidRPr="00B37034">
        <w:rPr>
          <w:rFonts w:ascii="Arial" w:hAnsi="Arial" w:cs="Arial"/>
          <w:sz w:val="24"/>
          <w:szCs w:val="24"/>
        </w:rPr>
        <w:tab/>
      </w:r>
      <w:r w:rsidR="00695CBA" w:rsidRPr="00B37034">
        <w:rPr>
          <w:rFonts w:ascii="Arial" w:hAnsi="Arial" w:cs="Arial"/>
          <w:sz w:val="24"/>
          <w:szCs w:val="24"/>
        </w:rPr>
        <w:tab/>
      </w:r>
      <w:r w:rsidR="00B37034" w:rsidRPr="00B37034">
        <w:rPr>
          <w:rFonts w:ascii="Arial" w:hAnsi="Arial" w:cs="Arial"/>
          <w:sz w:val="24"/>
          <w:szCs w:val="24"/>
        </w:rPr>
        <w:tab/>
        <w:t>NOORDMANS ATTORNEYS</w:t>
      </w:r>
    </w:p>
    <w:p w:rsidR="00340DAF" w:rsidRPr="00B37034" w:rsidRDefault="003A7BC9" w:rsidP="00EE26DA">
      <w:pPr>
        <w:autoSpaceDE w:val="0"/>
        <w:autoSpaceDN w:val="0"/>
        <w:adjustRightInd w:val="0"/>
        <w:spacing w:after="0" w:line="360" w:lineRule="auto"/>
        <w:ind w:left="720"/>
        <w:rPr>
          <w:rFonts w:ascii="Arial" w:hAnsi="Arial" w:cs="Arial"/>
          <w:b/>
          <w:sz w:val="24"/>
          <w:szCs w:val="24"/>
        </w:rPr>
      </w:pPr>
      <w:r w:rsidRPr="00B37034">
        <w:rPr>
          <w:rFonts w:ascii="Arial" w:hAnsi="Arial" w:cs="Arial"/>
          <w:sz w:val="24"/>
          <w:szCs w:val="24"/>
        </w:rPr>
        <w:tab/>
      </w:r>
      <w:r w:rsidRPr="00B37034">
        <w:rPr>
          <w:rFonts w:ascii="Arial" w:hAnsi="Arial" w:cs="Arial"/>
          <w:sz w:val="24"/>
          <w:szCs w:val="24"/>
        </w:rPr>
        <w:tab/>
      </w:r>
      <w:r w:rsidRPr="00B37034">
        <w:rPr>
          <w:rFonts w:ascii="Arial" w:hAnsi="Arial" w:cs="Arial"/>
          <w:sz w:val="24"/>
          <w:szCs w:val="24"/>
        </w:rPr>
        <w:tab/>
      </w:r>
      <w:r w:rsidRPr="00B37034">
        <w:rPr>
          <w:rFonts w:ascii="Arial" w:hAnsi="Arial" w:cs="Arial"/>
          <w:sz w:val="24"/>
          <w:szCs w:val="24"/>
        </w:rPr>
        <w:tab/>
      </w:r>
      <w:r w:rsidRPr="00B37034">
        <w:rPr>
          <w:rFonts w:ascii="Arial" w:hAnsi="Arial" w:cs="Arial"/>
          <w:sz w:val="24"/>
          <w:szCs w:val="24"/>
        </w:rPr>
        <w:tab/>
      </w:r>
      <w:r w:rsidR="00695CBA" w:rsidRPr="00B37034">
        <w:rPr>
          <w:rFonts w:ascii="Arial" w:hAnsi="Arial" w:cs="Arial"/>
          <w:sz w:val="24"/>
          <w:szCs w:val="24"/>
        </w:rPr>
        <w:tab/>
      </w:r>
      <w:r w:rsidR="00B37034" w:rsidRPr="00B37034">
        <w:rPr>
          <w:rFonts w:ascii="Arial" w:hAnsi="Arial" w:cs="Arial"/>
          <w:sz w:val="24"/>
          <w:szCs w:val="24"/>
        </w:rPr>
        <w:tab/>
      </w:r>
      <w:r w:rsidR="00F92955" w:rsidRPr="00B37034">
        <w:rPr>
          <w:rFonts w:ascii="Arial" w:hAnsi="Arial" w:cs="Arial"/>
          <w:b/>
          <w:sz w:val="24"/>
          <w:szCs w:val="24"/>
        </w:rPr>
        <w:t>BLOEMFONTEIN</w:t>
      </w:r>
    </w:p>
    <w:p w:rsidR="003A7BC9" w:rsidRPr="00B37034" w:rsidRDefault="003A7BC9" w:rsidP="00C4098F">
      <w:pPr>
        <w:autoSpaceDE w:val="0"/>
        <w:autoSpaceDN w:val="0"/>
        <w:adjustRightInd w:val="0"/>
        <w:spacing w:line="360" w:lineRule="auto"/>
        <w:ind w:left="720"/>
        <w:rPr>
          <w:rFonts w:ascii="Arial" w:hAnsi="Arial" w:cs="Arial"/>
          <w:sz w:val="24"/>
          <w:szCs w:val="24"/>
        </w:rPr>
      </w:pPr>
    </w:p>
    <w:p w:rsidR="002A330B" w:rsidRPr="00B37034" w:rsidRDefault="003A7BC9" w:rsidP="005E273F">
      <w:pPr>
        <w:autoSpaceDE w:val="0"/>
        <w:autoSpaceDN w:val="0"/>
        <w:adjustRightInd w:val="0"/>
        <w:spacing w:after="0" w:line="360" w:lineRule="auto"/>
        <w:rPr>
          <w:rFonts w:ascii="Arial" w:hAnsi="Arial" w:cs="Arial"/>
          <w:sz w:val="24"/>
          <w:szCs w:val="24"/>
        </w:rPr>
      </w:pPr>
      <w:r w:rsidRPr="00B37034">
        <w:rPr>
          <w:rFonts w:ascii="Arial" w:hAnsi="Arial" w:cs="Arial"/>
          <w:sz w:val="24"/>
          <w:szCs w:val="24"/>
        </w:rPr>
        <w:t xml:space="preserve">Counsel </w:t>
      </w:r>
      <w:r w:rsidR="0014277B" w:rsidRPr="00B37034">
        <w:rPr>
          <w:rFonts w:ascii="Arial" w:hAnsi="Arial" w:cs="Arial"/>
          <w:sz w:val="24"/>
          <w:szCs w:val="24"/>
        </w:rPr>
        <w:t xml:space="preserve">on behalf of </w:t>
      </w:r>
      <w:r w:rsidR="005173BD" w:rsidRPr="00B37034">
        <w:rPr>
          <w:rFonts w:ascii="Arial" w:hAnsi="Arial" w:cs="Arial"/>
          <w:sz w:val="24"/>
          <w:szCs w:val="24"/>
        </w:rPr>
        <w:t xml:space="preserve">the </w:t>
      </w:r>
      <w:r w:rsidR="005E273F" w:rsidRPr="00B37034">
        <w:rPr>
          <w:rFonts w:ascii="Arial" w:hAnsi="Arial" w:cs="Arial"/>
          <w:sz w:val="24"/>
          <w:szCs w:val="24"/>
        </w:rPr>
        <w:t>respondent</w:t>
      </w:r>
      <w:r w:rsidR="002A330B" w:rsidRPr="00B37034">
        <w:rPr>
          <w:rFonts w:ascii="Arial" w:hAnsi="Arial" w:cs="Arial"/>
          <w:sz w:val="24"/>
          <w:szCs w:val="24"/>
        </w:rPr>
        <w:t>:</w:t>
      </w:r>
      <w:r w:rsidR="002A330B" w:rsidRPr="00B37034">
        <w:rPr>
          <w:rFonts w:ascii="Arial" w:hAnsi="Arial" w:cs="Arial"/>
          <w:sz w:val="24"/>
          <w:szCs w:val="24"/>
        </w:rPr>
        <w:tab/>
      </w:r>
      <w:r w:rsidR="000D217D" w:rsidRPr="00B37034">
        <w:rPr>
          <w:rFonts w:ascii="Arial" w:hAnsi="Arial" w:cs="Arial"/>
          <w:sz w:val="24"/>
          <w:szCs w:val="24"/>
        </w:rPr>
        <w:tab/>
      </w:r>
      <w:r w:rsidR="001769FC" w:rsidRPr="00B37034">
        <w:rPr>
          <w:rFonts w:ascii="Arial" w:hAnsi="Arial" w:cs="Arial"/>
          <w:sz w:val="24"/>
          <w:szCs w:val="24"/>
        </w:rPr>
        <w:t xml:space="preserve">    </w:t>
      </w:r>
      <w:r w:rsidR="00B37034" w:rsidRPr="00B37034">
        <w:rPr>
          <w:rFonts w:ascii="Arial" w:hAnsi="Arial" w:cs="Arial"/>
          <w:sz w:val="24"/>
          <w:szCs w:val="24"/>
        </w:rPr>
        <w:tab/>
        <w:t>Adv R. KRIEK</w:t>
      </w:r>
      <w:r w:rsidR="001769FC" w:rsidRPr="00B37034">
        <w:rPr>
          <w:rFonts w:ascii="Arial" w:hAnsi="Arial" w:cs="Arial"/>
          <w:sz w:val="24"/>
          <w:szCs w:val="24"/>
        </w:rPr>
        <w:t xml:space="preserve">             </w:t>
      </w:r>
    </w:p>
    <w:p w:rsidR="003A7BC9" w:rsidRPr="00B37034" w:rsidRDefault="00C4098F" w:rsidP="005E273F">
      <w:pPr>
        <w:autoSpaceDE w:val="0"/>
        <w:autoSpaceDN w:val="0"/>
        <w:adjustRightInd w:val="0"/>
        <w:spacing w:after="0" w:line="360" w:lineRule="auto"/>
        <w:rPr>
          <w:rFonts w:ascii="Arial" w:hAnsi="Arial" w:cs="Arial"/>
          <w:b/>
          <w:sz w:val="24"/>
          <w:szCs w:val="24"/>
        </w:rPr>
      </w:pPr>
      <w:r w:rsidRPr="00B37034">
        <w:rPr>
          <w:rFonts w:ascii="Arial" w:hAnsi="Arial" w:cs="Arial"/>
          <w:sz w:val="24"/>
          <w:szCs w:val="24"/>
        </w:rPr>
        <w:t>Instructed by</w:t>
      </w:r>
      <w:r w:rsidR="0014277B" w:rsidRPr="00B37034">
        <w:rPr>
          <w:rFonts w:ascii="Arial" w:hAnsi="Arial" w:cs="Arial"/>
          <w:sz w:val="24"/>
          <w:szCs w:val="24"/>
        </w:rPr>
        <w:t>:</w:t>
      </w:r>
      <w:r w:rsidR="0014277B" w:rsidRPr="00B37034">
        <w:rPr>
          <w:rFonts w:ascii="Arial" w:hAnsi="Arial" w:cs="Arial"/>
          <w:sz w:val="24"/>
          <w:szCs w:val="24"/>
        </w:rPr>
        <w:tab/>
      </w:r>
      <w:r w:rsidR="0014277B" w:rsidRPr="00B37034">
        <w:rPr>
          <w:rFonts w:ascii="Arial" w:hAnsi="Arial" w:cs="Arial"/>
          <w:sz w:val="24"/>
          <w:szCs w:val="24"/>
        </w:rPr>
        <w:tab/>
      </w:r>
      <w:r w:rsidR="0014277B" w:rsidRPr="00B37034">
        <w:rPr>
          <w:rFonts w:ascii="Arial" w:hAnsi="Arial" w:cs="Arial"/>
          <w:sz w:val="24"/>
          <w:szCs w:val="24"/>
        </w:rPr>
        <w:tab/>
      </w:r>
      <w:r w:rsidR="003A7BC9" w:rsidRPr="00B37034">
        <w:rPr>
          <w:rFonts w:ascii="Arial" w:hAnsi="Arial" w:cs="Arial"/>
          <w:sz w:val="24"/>
          <w:szCs w:val="24"/>
        </w:rPr>
        <w:tab/>
      </w:r>
      <w:r w:rsidR="003A7BC9" w:rsidRPr="00B37034">
        <w:rPr>
          <w:rFonts w:ascii="Arial" w:hAnsi="Arial" w:cs="Arial"/>
          <w:sz w:val="24"/>
          <w:szCs w:val="24"/>
        </w:rPr>
        <w:tab/>
      </w:r>
      <w:r w:rsidR="001769FC" w:rsidRPr="00B37034">
        <w:rPr>
          <w:rFonts w:ascii="Arial" w:hAnsi="Arial" w:cs="Arial"/>
          <w:sz w:val="24"/>
          <w:szCs w:val="24"/>
        </w:rPr>
        <w:t xml:space="preserve">           </w:t>
      </w:r>
      <w:r w:rsidR="00B37034" w:rsidRPr="00B37034">
        <w:rPr>
          <w:rFonts w:ascii="Arial" w:hAnsi="Arial" w:cs="Arial"/>
          <w:sz w:val="24"/>
          <w:szCs w:val="24"/>
        </w:rPr>
        <w:t xml:space="preserve">HILL MCHARDY HERBST </w:t>
      </w:r>
    </w:p>
    <w:p w:rsidR="0083613C" w:rsidRPr="00B37034" w:rsidRDefault="0014277B" w:rsidP="00CD1263">
      <w:pPr>
        <w:autoSpaceDE w:val="0"/>
        <w:autoSpaceDN w:val="0"/>
        <w:adjustRightInd w:val="0"/>
        <w:spacing w:after="0" w:line="360" w:lineRule="auto"/>
        <w:ind w:left="720"/>
        <w:rPr>
          <w:rFonts w:ascii="Arial" w:hAnsi="Arial" w:cs="Arial"/>
          <w:b/>
          <w:sz w:val="24"/>
          <w:szCs w:val="24"/>
        </w:rPr>
      </w:pPr>
      <w:r w:rsidRPr="00B37034">
        <w:rPr>
          <w:rFonts w:ascii="Arial" w:hAnsi="Arial" w:cs="Arial"/>
          <w:sz w:val="24"/>
          <w:szCs w:val="24"/>
        </w:rPr>
        <w:tab/>
      </w:r>
      <w:r w:rsidRPr="00B37034">
        <w:rPr>
          <w:rFonts w:ascii="Arial" w:hAnsi="Arial" w:cs="Arial"/>
          <w:sz w:val="24"/>
          <w:szCs w:val="24"/>
        </w:rPr>
        <w:tab/>
      </w:r>
      <w:r w:rsidR="006B5F37" w:rsidRPr="00B37034">
        <w:rPr>
          <w:rFonts w:ascii="Arial" w:hAnsi="Arial" w:cs="Arial"/>
          <w:sz w:val="24"/>
          <w:szCs w:val="24"/>
        </w:rPr>
        <w:tab/>
      </w:r>
      <w:r w:rsidR="006B5F37" w:rsidRPr="00B37034">
        <w:rPr>
          <w:rFonts w:ascii="Arial" w:hAnsi="Arial" w:cs="Arial"/>
          <w:sz w:val="24"/>
          <w:szCs w:val="24"/>
        </w:rPr>
        <w:tab/>
      </w:r>
      <w:r w:rsidR="006B5F37" w:rsidRPr="00B37034">
        <w:rPr>
          <w:rFonts w:ascii="Arial" w:hAnsi="Arial" w:cs="Arial"/>
          <w:sz w:val="24"/>
          <w:szCs w:val="24"/>
        </w:rPr>
        <w:tab/>
      </w:r>
      <w:r w:rsidR="006B5F37" w:rsidRPr="00B37034">
        <w:rPr>
          <w:rFonts w:ascii="Arial" w:hAnsi="Arial" w:cs="Arial"/>
          <w:sz w:val="24"/>
          <w:szCs w:val="24"/>
        </w:rPr>
        <w:tab/>
      </w:r>
      <w:r w:rsidR="00B37034" w:rsidRPr="00B37034">
        <w:rPr>
          <w:rFonts w:ascii="Arial" w:hAnsi="Arial" w:cs="Arial"/>
          <w:sz w:val="24"/>
          <w:szCs w:val="24"/>
        </w:rPr>
        <w:tab/>
      </w:r>
      <w:r w:rsidR="006B5F37" w:rsidRPr="00B37034">
        <w:rPr>
          <w:rFonts w:ascii="Arial" w:hAnsi="Arial" w:cs="Arial"/>
          <w:b/>
          <w:sz w:val="24"/>
          <w:szCs w:val="24"/>
        </w:rPr>
        <w:t>BLOEMFONTEIN</w:t>
      </w:r>
    </w:p>
    <w:p w:rsidR="000D217D" w:rsidRPr="001769FC" w:rsidRDefault="000D217D" w:rsidP="005E273F">
      <w:pPr>
        <w:autoSpaceDE w:val="0"/>
        <w:autoSpaceDN w:val="0"/>
        <w:adjustRightInd w:val="0"/>
        <w:spacing w:after="0" w:line="360" w:lineRule="auto"/>
        <w:rPr>
          <w:rFonts w:ascii="Arial" w:hAnsi="Arial" w:cs="Arial"/>
          <w:sz w:val="24"/>
          <w:szCs w:val="24"/>
        </w:rPr>
      </w:pPr>
    </w:p>
    <w:sectPr w:rsidR="000D217D" w:rsidRPr="001769FC"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39" w:rsidRDefault="00E87339" w:rsidP="003A2C84">
      <w:pPr>
        <w:spacing w:after="0" w:line="240" w:lineRule="auto"/>
      </w:pPr>
      <w:r>
        <w:separator/>
      </w:r>
    </w:p>
  </w:endnote>
  <w:endnote w:type="continuationSeparator" w:id="0">
    <w:p w:rsidR="00E87339" w:rsidRDefault="00E87339"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39" w:rsidRDefault="00E87339" w:rsidP="003A2C84">
      <w:pPr>
        <w:spacing w:after="0" w:line="240" w:lineRule="auto"/>
      </w:pPr>
      <w:r>
        <w:separator/>
      </w:r>
    </w:p>
  </w:footnote>
  <w:footnote w:type="continuationSeparator" w:id="0">
    <w:p w:rsidR="00E87339" w:rsidRDefault="00E87339" w:rsidP="003A2C84">
      <w:pPr>
        <w:spacing w:after="0" w:line="240" w:lineRule="auto"/>
      </w:pPr>
      <w:r>
        <w:continuationSeparator/>
      </w:r>
    </w:p>
  </w:footnote>
  <w:footnote w:id="1">
    <w:p w:rsidR="00563867" w:rsidRPr="000C2A9C" w:rsidRDefault="00563867" w:rsidP="00902109">
      <w:pPr>
        <w:pStyle w:val="FootnoteText"/>
        <w:rPr>
          <w:rFonts w:cs="Calibri"/>
          <w:lang w:val="en-US"/>
        </w:rPr>
      </w:pPr>
      <w:r w:rsidRPr="000C2A9C">
        <w:rPr>
          <w:rStyle w:val="FootnoteReference"/>
          <w:rFonts w:cs="Calibri"/>
        </w:rPr>
        <w:footnoteRef/>
      </w:r>
      <w:r w:rsidRPr="000C2A9C">
        <w:rPr>
          <w:rFonts w:cs="Calibri"/>
        </w:rPr>
        <w:t xml:space="preserve"> </w:t>
      </w:r>
      <w:r w:rsidRPr="000C2A9C">
        <w:rPr>
          <w:rFonts w:cs="Calibri"/>
          <w:lang w:val="en-US"/>
        </w:rPr>
        <w:t>Government Notice R1258 dated 21 of July 1972 (as amended) promulgated in terms of the Justices of the Peace and Commissioners of Oaths Act No, 16 of 1963.</w:t>
      </w:r>
    </w:p>
  </w:footnote>
  <w:footnote w:id="2">
    <w:p w:rsidR="00563867" w:rsidRPr="000C2A9C" w:rsidRDefault="00563867">
      <w:pPr>
        <w:pStyle w:val="FootnoteText"/>
        <w:rPr>
          <w:rFonts w:cs="Calibri"/>
        </w:rPr>
      </w:pPr>
      <w:r w:rsidRPr="000C2A9C">
        <w:rPr>
          <w:rStyle w:val="FootnoteReference"/>
          <w:rFonts w:cs="Calibri"/>
        </w:rPr>
        <w:footnoteRef/>
      </w:r>
      <w:r w:rsidRPr="000C2A9C">
        <w:rPr>
          <w:rFonts w:cs="Calibri"/>
        </w:rPr>
        <w:t xml:space="preserve"> </w:t>
      </w:r>
      <w:r w:rsidRPr="000C2A9C">
        <w:rPr>
          <w:rFonts w:cs="Calibri"/>
          <w:bCs/>
          <w:i/>
          <w:color w:val="000000"/>
        </w:rPr>
        <w:t>Nkondo</w:t>
      </w:r>
      <w:r w:rsidRPr="000C2A9C">
        <w:rPr>
          <w:rFonts w:cs="Calibri"/>
          <w:bCs/>
          <w:color w:val="000000"/>
        </w:rPr>
        <w:t xml:space="preserve"> v </w:t>
      </w:r>
      <w:r w:rsidRPr="000C2A9C">
        <w:rPr>
          <w:rFonts w:cs="Calibri"/>
          <w:bCs/>
          <w:i/>
          <w:color w:val="000000"/>
        </w:rPr>
        <w:t>Minister of Police and Another</w:t>
      </w:r>
      <w:r w:rsidRPr="000C2A9C">
        <w:rPr>
          <w:rFonts w:cs="Calibri"/>
          <w:bCs/>
          <w:color w:val="000000"/>
        </w:rPr>
        <w:t xml:space="preserve"> 1980 (2) SA 362 (O) at 365C</w:t>
      </w:r>
    </w:p>
  </w:footnote>
  <w:footnote w:id="3">
    <w:p w:rsidR="00563867" w:rsidRDefault="00563867">
      <w:pPr>
        <w:pStyle w:val="FootnoteText"/>
      </w:pPr>
      <w:r w:rsidRPr="000C2A9C">
        <w:rPr>
          <w:rStyle w:val="FootnoteReference"/>
          <w:rFonts w:cs="Calibri"/>
        </w:rPr>
        <w:footnoteRef/>
      </w:r>
      <w:r w:rsidRPr="000C2A9C">
        <w:rPr>
          <w:rFonts w:cs="Calibri"/>
        </w:rPr>
        <w:t xml:space="preserve"> In para 1.1. of the affidavit, the deponent states that: “</w:t>
      </w:r>
      <w:r w:rsidRPr="000C2A9C">
        <w:rPr>
          <w:rFonts w:cs="Calibri"/>
          <w:i/>
        </w:rPr>
        <w:t>I am an adult female</w:t>
      </w:r>
      <w:r w:rsidRPr="000C2A9C">
        <w:rPr>
          <w:rFonts w:cs="Calibri"/>
        </w:rPr>
        <w:t>.”</w:t>
      </w:r>
    </w:p>
  </w:footnote>
  <w:footnote w:id="4">
    <w:p w:rsidR="00563867" w:rsidRPr="000C2A9C" w:rsidRDefault="00563867" w:rsidP="00806DFF">
      <w:pPr>
        <w:pStyle w:val="FootnoteText"/>
        <w:rPr>
          <w:rFonts w:cs="Calibri"/>
        </w:rPr>
      </w:pPr>
      <w:r w:rsidRPr="000C2A9C">
        <w:rPr>
          <w:rStyle w:val="FootnoteReference"/>
          <w:rFonts w:cs="Calibri"/>
        </w:rPr>
        <w:footnoteRef/>
      </w:r>
      <w:r w:rsidRPr="000C2A9C">
        <w:rPr>
          <w:rFonts w:cs="Calibri"/>
        </w:rPr>
        <w:t xml:space="preserve"> 2010 (5) SA 112 (KZP), para 7.</w:t>
      </w:r>
    </w:p>
  </w:footnote>
  <w:footnote w:id="5">
    <w:p w:rsidR="00563867" w:rsidRPr="000C2A9C" w:rsidRDefault="00563867" w:rsidP="007B471B">
      <w:pPr>
        <w:pStyle w:val="FootnoteText"/>
        <w:rPr>
          <w:rFonts w:cs="Calibri"/>
        </w:rPr>
      </w:pPr>
      <w:r w:rsidRPr="000C2A9C">
        <w:rPr>
          <w:rStyle w:val="FootnoteReference"/>
          <w:rFonts w:eastAsiaTheme="majorEastAsia" w:cs="Calibri"/>
        </w:rPr>
        <w:footnoteRef/>
      </w:r>
      <w:r w:rsidRPr="000C2A9C">
        <w:rPr>
          <w:rFonts w:cs="Calibri"/>
        </w:rPr>
        <w:t xml:space="preserve"> (3670/2019) [2020] ZAWCHC 28; 2020 (6) SA 624 (WCC) (30 April 2020).</w:t>
      </w:r>
    </w:p>
  </w:footnote>
  <w:footnote w:id="6">
    <w:p w:rsidR="00531D2B" w:rsidRPr="00B37034" w:rsidRDefault="00C971E1" w:rsidP="00531D2B">
      <w:pPr>
        <w:spacing w:after="0"/>
        <w:ind w:left="720" w:hanging="720"/>
        <w:jc w:val="both"/>
        <w:rPr>
          <w:rStyle w:val="Emphasis"/>
          <w:rFonts w:ascii="Calibri" w:hAnsi="Calibri" w:cs="Calibri"/>
          <w:sz w:val="20"/>
          <w:szCs w:val="20"/>
          <w:shd w:val="clear" w:color="auto" w:fill="FFFFFF"/>
        </w:rPr>
      </w:pPr>
      <w:r w:rsidRPr="00B37034">
        <w:rPr>
          <w:rStyle w:val="FootnoteReference"/>
          <w:rFonts w:ascii="Calibri" w:hAnsi="Calibri" w:cs="Calibri"/>
          <w:sz w:val="20"/>
          <w:szCs w:val="20"/>
        </w:rPr>
        <w:footnoteRef/>
      </w:r>
      <w:r w:rsidRPr="00B37034">
        <w:rPr>
          <w:rFonts w:ascii="Calibri" w:hAnsi="Calibri" w:cs="Calibri"/>
          <w:sz w:val="20"/>
          <w:szCs w:val="20"/>
        </w:rPr>
        <w:t xml:space="preserve"> </w:t>
      </w:r>
      <w:r w:rsidR="00531D2B" w:rsidRPr="00B37034">
        <w:rPr>
          <w:rStyle w:val="Emphasis"/>
          <w:rFonts w:ascii="Calibri" w:hAnsi="Calibri" w:cs="Calibri"/>
          <w:sz w:val="20"/>
          <w:szCs w:val="20"/>
          <w:shd w:val="clear" w:color="auto" w:fill="FFFFFF"/>
        </w:rPr>
        <w:t>Mutsi v Santam Versekeringsmaatskappy Bpk en ’n Ander</w:t>
      </w:r>
      <w:r w:rsidR="00531D2B" w:rsidRPr="00B37034">
        <w:rPr>
          <w:rFonts w:ascii="Calibri" w:hAnsi="Calibri" w:cs="Calibri"/>
          <w:sz w:val="20"/>
          <w:szCs w:val="20"/>
          <w:shd w:val="clear" w:color="auto" w:fill="FFFFFF"/>
        </w:rPr>
        <w:t> 1963 (3) SA 11 (O); </w:t>
      </w:r>
      <w:r w:rsidR="00531D2B" w:rsidRPr="00B37034">
        <w:rPr>
          <w:rStyle w:val="Emphasis"/>
          <w:rFonts w:ascii="Calibri" w:hAnsi="Calibri" w:cs="Calibri"/>
          <w:sz w:val="20"/>
          <w:szCs w:val="20"/>
          <w:shd w:val="clear" w:color="auto" w:fill="FFFFFF"/>
        </w:rPr>
        <w:t>Golden Harvest (Pty) Ltd v Zen-</w:t>
      </w:r>
    </w:p>
    <w:p w:rsidR="00531D2B" w:rsidRPr="00B37034" w:rsidRDefault="00531D2B" w:rsidP="00531D2B">
      <w:pPr>
        <w:spacing w:after="0"/>
        <w:ind w:left="720" w:hanging="720"/>
        <w:jc w:val="both"/>
        <w:rPr>
          <w:rFonts w:ascii="Calibri" w:hAnsi="Calibri" w:cs="Calibri"/>
          <w:i/>
          <w:sz w:val="20"/>
          <w:szCs w:val="20"/>
        </w:rPr>
      </w:pPr>
      <w:r w:rsidRPr="00B37034">
        <w:rPr>
          <w:rStyle w:val="Emphasis"/>
          <w:rFonts w:ascii="Calibri" w:hAnsi="Calibri" w:cs="Calibri"/>
          <w:sz w:val="20"/>
          <w:szCs w:val="20"/>
          <w:shd w:val="clear" w:color="auto" w:fill="FFFFFF"/>
        </w:rPr>
        <w:t>Don CC</w:t>
      </w:r>
      <w:r w:rsidRPr="00B37034">
        <w:rPr>
          <w:rFonts w:ascii="Calibri" w:hAnsi="Calibri" w:cs="Calibri"/>
          <w:sz w:val="20"/>
          <w:szCs w:val="20"/>
          <w:shd w:val="clear" w:color="auto" w:fill="FFFFFF"/>
        </w:rPr>
        <w:t> 2002 (2) SA 653 (O); </w:t>
      </w:r>
      <w:r w:rsidRPr="00B37034">
        <w:rPr>
          <w:rStyle w:val="Emphasis"/>
          <w:rFonts w:ascii="Calibri" w:hAnsi="Calibri" w:cs="Calibri"/>
          <w:sz w:val="20"/>
          <w:szCs w:val="20"/>
          <w:shd w:val="clear" w:color="auto" w:fill="FFFFFF"/>
        </w:rPr>
        <w:t>Luxavia (Pty) Ltd v Gray Security Services (Pty) Ltd</w:t>
      </w:r>
      <w:r w:rsidRPr="00B37034">
        <w:rPr>
          <w:rFonts w:ascii="Calibri" w:hAnsi="Calibri" w:cs="Calibri"/>
          <w:sz w:val="20"/>
          <w:szCs w:val="20"/>
          <w:shd w:val="clear" w:color="auto" w:fill="FFFFFF"/>
        </w:rPr>
        <w:t xml:space="preserve"> 2001 (4) SA 211 (W); </w:t>
      </w:r>
      <w:r w:rsidR="00C971E1" w:rsidRPr="00B37034">
        <w:rPr>
          <w:rFonts w:ascii="Calibri" w:hAnsi="Calibri" w:cs="Calibri"/>
          <w:i/>
          <w:sz w:val="20"/>
          <w:szCs w:val="20"/>
        </w:rPr>
        <w:t xml:space="preserve">Four Tower </w:t>
      </w:r>
    </w:p>
    <w:p w:rsidR="00C971E1" w:rsidRPr="00B37034" w:rsidRDefault="00C971E1" w:rsidP="00531D2B">
      <w:pPr>
        <w:spacing w:after="0"/>
        <w:ind w:left="720" w:hanging="720"/>
        <w:jc w:val="both"/>
        <w:rPr>
          <w:rFonts w:ascii="Calibri" w:hAnsi="Calibri" w:cs="Calibri"/>
          <w:sz w:val="20"/>
          <w:szCs w:val="20"/>
        </w:rPr>
      </w:pPr>
      <w:r w:rsidRPr="00B37034">
        <w:rPr>
          <w:rFonts w:ascii="Calibri" w:hAnsi="Calibri" w:cs="Calibri"/>
          <w:i/>
          <w:sz w:val="20"/>
          <w:szCs w:val="20"/>
        </w:rPr>
        <w:t>Investments (Pty) Ltd v Andre’s Motors</w:t>
      </w:r>
      <w:r w:rsidRPr="00B37034">
        <w:rPr>
          <w:rFonts w:ascii="Calibri" w:hAnsi="Calibri" w:cs="Calibri"/>
          <w:sz w:val="20"/>
          <w:szCs w:val="20"/>
        </w:rPr>
        <w:t xml:space="preserve"> 2005 (3) SA 39 (NPD).</w:t>
      </w:r>
    </w:p>
  </w:footnote>
  <w:footnote w:id="7">
    <w:p w:rsidR="00641BFC" w:rsidRPr="00B37034" w:rsidRDefault="00641BFC" w:rsidP="00641BFC">
      <w:pPr>
        <w:pStyle w:val="FootnoteText"/>
        <w:rPr>
          <w:rFonts w:cs="Calibri"/>
        </w:rPr>
      </w:pPr>
      <w:r w:rsidRPr="00B37034">
        <w:rPr>
          <w:rStyle w:val="FootnoteReference"/>
          <w:rFonts w:cs="Calibri"/>
        </w:rPr>
        <w:footnoteRef/>
      </w:r>
      <w:r w:rsidRPr="00B37034">
        <w:rPr>
          <w:rFonts w:cs="Calibri"/>
        </w:rPr>
        <w:t xml:space="preserve"> 1976(2) SA 226 (T) at 229 F-H.</w:t>
      </w:r>
    </w:p>
  </w:footnote>
  <w:footnote w:id="8">
    <w:p w:rsidR="00641BFC" w:rsidRDefault="00641BFC">
      <w:pPr>
        <w:pStyle w:val="FootnoteText"/>
      </w:pPr>
      <w:r w:rsidRPr="00B37034">
        <w:rPr>
          <w:rStyle w:val="FootnoteReference"/>
          <w:rFonts w:cs="Calibri"/>
        </w:rPr>
        <w:footnoteRef/>
      </w:r>
      <w:r w:rsidRPr="00B37034">
        <w:rPr>
          <w:rFonts w:cs="Calibri"/>
        </w:rPr>
        <w:t xml:space="preserve"> 2020 (1) SA 494 (SCA) AT 498I -499A.</w:t>
      </w:r>
    </w:p>
  </w:footnote>
  <w:footnote w:id="9">
    <w:p w:rsidR="005578C0" w:rsidRPr="000C2A9C" w:rsidRDefault="005578C0">
      <w:pPr>
        <w:pStyle w:val="FootnoteText"/>
        <w:rPr>
          <w:rFonts w:cs="Calibri"/>
        </w:rPr>
      </w:pPr>
      <w:r w:rsidRPr="00B37034">
        <w:rPr>
          <w:rStyle w:val="FootnoteReference"/>
          <w:rFonts w:cs="Calibri"/>
        </w:rPr>
        <w:footnoteRef/>
      </w:r>
      <w:r w:rsidRPr="00B37034">
        <w:rPr>
          <w:rFonts w:cs="Calibri"/>
        </w:rPr>
        <w:t xml:space="preserve"> </w:t>
      </w:r>
      <w:r w:rsidRPr="00B37034">
        <w:rPr>
          <w:rFonts w:cs="Calibri"/>
          <w:i/>
        </w:rPr>
        <w:t xml:space="preserve">Maharaj </w:t>
      </w:r>
      <w:r w:rsidR="000C2A9C" w:rsidRPr="00B37034">
        <w:rPr>
          <w:rFonts w:cs="Calibri"/>
          <w:i/>
          <w:iCs/>
        </w:rPr>
        <w:t>v Barclays National Bank Ltd</w:t>
      </w:r>
      <w:r w:rsidR="000C2A9C" w:rsidRPr="00B37034">
        <w:rPr>
          <w:rFonts w:cs="Calibri"/>
        </w:rPr>
        <w:t xml:space="preserve"> 1976 (1) SA 418 (A) at </w:t>
      </w:r>
      <w:r w:rsidRPr="00B37034">
        <w:rPr>
          <w:rFonts w:cs="Calibri"/>
        </w:rPr>
        <w:t xml:space="preserve">425G-426E; </w:t>
      </w:r>
      <w:r w:rsidRPr="00B37034">
        <w:rPr>
          <w:rFonts w:cs="Calibri"/>
          <w:i/>
        </w:rPr>
        <w:t xml:space="preserve">Joob Joob Investments v Stocks Mavundla Zek Joint Venture </w:t>
      </w:r>
      <w:r w:rsidRPr="00B37034">
        <w:rPr>
          <w:rFonts w:cs="Calibri"/>
        </w:rPr>
        <w:t xml:space="preserve">[2009] All SA 407(SCA);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563867" w:rsidRDefault="00563867">
        <w:pPr>
          <w:pStyle w:val="Header"/>
          <w:jc w:val="right"/>
        </w:pPr>
        <w:r>
          <w:fldChar w:fldCharType="begin"/>
        </w:r>
        <w:r>
          <w:instrText xml:space="preserve"> PAGE   \* MERGEFORMAT </w:instrText>
        </w:r>
        <w:r>
          <w:fldChar w:fldCharType="separate"/>
        </w:r>
        <w:r w:rsidR="004A3952">
          <w:rPr>
            <w:noProof/>
          </w:rPr>
          <w:t>2</w:t>
        </w:r>
        <w:r>
          <w:rPr>
            <w:noProof/>
          </w:rPr>
          <w:fldChar w:fldCharType="end"/>
        </w:r>
      </w:p>
    </w:sdtContent>
  </w:sdt>
  <w:p w:rsidR="00563867" w:rsidRDefault="00563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97177"/>
    <w:multiLevelType w:val="multilevel"/>
    <w:tmpl w:val="EA5C5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640801"/>
    <w:multiLevelType w:val="multilevel"/>
    <w:tmpl w:val="90487CAE"/>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8">
    <w:nsid w:val="205C33A6"/>
    <w:multiLevelType w:val="multilevel"/>
    <w:tmpl w:val="EA5C5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41E2DF8"/>
    <w:multiLevelType w:val="multilevel"/>
    <w:tmpl w:val="E232173A"/>
    <w:lvl w:ilvl="0">
      <w:start w:val="1"/>
      <w:numFmt w:val="decimal"/>
      <w:lvlText w:val="%1"/>
      <w:lvlJc w:val="left"/>
      <w:pPr>
        <w:ind w:left="390" w:hanging="390"/>
      </w:pPr>
      <w:rPr>
        <w:rFonts w:cs="Times New Roman" w:hint="default"/>
      </w:rPr>
    </w:lvl>
    <w:lvl w:ilvl="1">
      <w:start w:val="1"/>
      <w:numFmt w:val="lowerRoman"/>
      <w:lvlText w:val="(%2)"/>
      <w:lvlJc w:val="left"/>
      <w:pPr>
        <w:ind w:left="1440" w:hanging="720"/>
      </w:pPr>
      <w:rPr>
        <w:rFonts w:ascii="Verdana" w:eastAsia="Times New Roman" w:hAnsi="Verdana" w:cs="Times New Roman"/>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2">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BD5C93"/>
    <w:multiLevelType w:val="hybridMultilevel"/>
    <w:tmpl w:val="138A05A8"/>
    <w:lvl w:ilvl="0" w:tplc="45E6E2B8">
      <w:start w:val="1"/>
      <w:numFmt w:val="decimal"/>
      <w:lvlText w:val="[%1]"/>
      <w:lvlJc w:val="left"/>
      <w:pPr>
        <w:tabs>
          <w:tab w:val="num" w:pos="0"/>
        </w:tabs>
      </w:pPr>
      <w:rPr>
        <w:rFonts w:cs="Times New Roman" w:hint="default"/>
        <w:b w:val="0"/>
        <w:bCs/>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0">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DFE1E4C"/>
    <w:multiLevelType w:val="hybridMultilevel"/>
    <w:tmpl w:val="DD68705A"/>
    <w:lvl w:ilvl="0" w:tplc="48B6E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13"/>
  </w:num>
  <w:num w:numId="10">
    <w:abstractNumId w:val="16"/>
  </w:num>
  <w:num w:numId="11">
    <w:abstractNumId w:val="0"/>
  </w:num>
  <w:num w:numId="12">
    <w:abstractNumId w:val="24"/>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22"/>
  </w:num>
  <w:num w:numId="21">
    <w:abstractNumId w:val="8"/>
  </w:num>
  <w:num w:numId="22">
    <w:abstractNumId w:val="3"/>
  </w:num>
  <w:num w:numId="23">
    <w:abstractNumId w:val="7"/>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850"/>
    <w:rsid w:val="0000303C"/>
    <w:rsid w:val="00004742"/>
    <w:rsid w:val="000051EA"/>
    <w:rsid w:val="00006B63"/>
    <w:rsid w:val="00011A8A"/>
    <w:rsid w:val="000167D1"/>
    <w:rsid w:val="00016ABD"/>
    <w:rsid w:val="00017411"/>
    <w:rsid w:val="000179D0"/>
    <w:rsid w:val="00021C6A"/>
    <w:rsid w:val="000225F7"/>
    <w:rsid w:val="00022AF5"/>
    <w:rsid w:val="00024A54"/>
    <w:rsid w:val="000250B5"/>
    <w:rsid w:val="000278D1"/>
    <w:rsid w:val="00027D6E"/>
    <w:rsid w:val="000303AC"/>
    <w:rsid w:val="000325EF"/>
    <w:rsid w:val="000361B2"/>
    <w:rsid w:val="000370FA"/>
    <w:rsid w:val="0003710A"/>
    <w:rsid w:val="0004224C"/>
    <w:rsid w:val="000427F0"/>
    <w:rsid w:val="00042DE7"/>
    <w:rsid w:val="00043FD9"/>
    <w:rsid w:val="000440DC"/>
    <w:rsid w:val="00044AA1"/>
    <w:rsid w:val="000452D6"/>
    <w:rsid w:val="00046F37"/>
    <w:rsid w:val="00052262"/>
    <w:rsid w:val="00054CC3"/>
    <w:rsid w:val="00054D78"/>
    <w:rsid w:val="00056A5E"/>
    <w:rsid w:val="00060B26"/>
    <w:rsid w:val="00061454"/>
    <w:rsid w:val="000615D3"/>
    <w:rsid w:val="00062EB4"/>
    <w:rsid w:val="00063B34"/>
    <w:rsid w:val="00063BCC"/>
    <w:rsid w:val="00063BFC"/>
    <w:rsid w:val="000654D8"/>
    <w:rsid w:val="000659A1"/>
    <w:rsid w:val="00065F0A"/>
    <w:rsid w:val="00066F64"/>
    <w:rsid w:val="00067FC1"/>
    <w:rsid w:val="00067FDE"/>
    <w:rsid w:val="000746FB"/>
    <w:rsid w:val="00075CF4"/>
    <w:rsid w:val="00075E3E"/>
    <w:rsid w:val="000760B0"/>
    <w:rsid w:val="000800DE"/>
    <w:rsid w:val="000803F4"/>
    <w:rsid w:val="000811F5"/>
    <w:rsid w:val="00081988"/>
    <w:rsid w:val="000828DC"/>
    <w:rsid w:val="0008324E"/>
    <w:rsid w:val="00084193"/>
    <w:rsid w:val="0008454F"/>
    <w:rsid w:val="0008475B"/>
    <w:rsid w:val="00084D4C"/>
    <w:rsid w:val="00085662"/>
    <w:rsid w:val="00085C72"/>
    <w:rsid w:val="00086AD3"/>
    <w:rsid w:val="000878A1"/>
    <w:rsid w:val="00087E57"/>
    <w:rsid w:val="00092305"/>
    <w:rsid w:val="00093C8D"/>
    <w:rsid w:val="000943B6"/>
    <w:rsid w:val="00094B9F"/>
    <w:rsid w:val="000956E1"/>
    <w:rsid w:val="00096E9A"/>
    <w:rsid w:val="000970DB"/>
    <w:rsid w:val="000977F7"/>
    <w:rsid w:val="000A1244"/>
    <w:rsid w:val="000A2F22"/>
    <w:rsid w:val="000A3D47"/>
    <w:rsid w:val="000A451E"/>
    <w:rsid w:val="000A5384"/>
    <w:rsid w:val="000A6F7B"/>
    <w:rsid w:val="000A7223"/>
    <w:rsid w:val="000B0C23"/>
    <w:rsid w:val="000B0DA0"/>
    <w:rsid w:val="000B1325"/>
    <w:rsid w:val="000B24FE"/>
    <w:rsid w:val="000B35BE"/>
    <w:rsid w:val="000B510F"/>
    <w:rsid w:val="000B577E"/>
    <w:rsid w:val="000B5D90"/>
    <w:rsid w:val="000B66F4"/>
    <w:rsid w:val="000B69C9"/>
    <w:rsid w:val="000C0049"/>
    <w:rsid w:val="000C16CB"/>
    <w:rsid w:val="000C20F6"/>
    <w:rsid w:val="000C2A9C"/>
    <w:rsid w:val="000C2DAF"/>
    <w:rsid w:val="000C30E8"/>
    <w:rsid w:val="000C3808"/>
    <w:rsid w:val="000C44CF"/>
    <w:rsid w:val="000C5E47"/>
    <w:rsid w:val="000C62CC"/>
    <w:rsid w:val="000D1FD5"/>
    <w:rsid w:val="000D217D"/>
    <w:rsid w:val="000D289F"/>
    <w:rsid w:val="000D3C8E"/>
    <w:rsid w:val="000D75F5"/>
    <w:rsid w:val="000E04D2"/>
    <w:rsid w:val="000E4241"/>
    <w:rsid w:val="000E7221"/>
    <w:rsid w:val="000F11FA"/>
    <w:rsid w:val="000F14F0"/>
    <w:rsid w:val="000F2248"/>
    <w:rsid w:val="000F30A7"/>
    <w:rsid w:val="000F4E31"/>
    <w:rsid w:val="000F7B24"/>
    <w:rsid w:val="0010252E"/>
    <w:rsid w:val="00103B50"/>
    <w:rsid w:val="00107105"/>
    <w:rsid w:val="0011030D"/>
    <w:rsid w:val="001105DF"/>
    <w:rsid w:val="0011272A"/>
    <w:rsid w:val="00113015"/>
    <w:rsid w:val="00114385"/>
    <w:rsid w:val="001200E3"/>
    <w:rsid w:val="001207EA"/>
    <w:rsid w:val="00122E96"/>
    <w:rsid w:val="001235F9"/>
    <w:rsid w:val="00126829"/>
    <w:rsid w:val="00130482"/>
    <w:rsid w:val="00130FEF"/>
    <w:rsid w:val="00133CCB"/>
    <w:rsid w:val="00134946"/>
    <w:rsid w:val="0013605B"/>
    <w:rsid w:val="00136B9A"/>
    <w:rsid w:val="0014244C"/>
    <w:rsid w:val="001425BC"/>
    <w:rsid w:val="0014277B"/>
    <w:rsid w:val="001456BD"/>
    <w:rsid w:val="0015636B"/>
    <w:rsid w:val="00156583"/>
    <w:rsid w:val="001620A3"/>
    <w:rsid w:val="0016241A"/>
    <w:rsid w:val="00162C8C"/>
    <w:rsid w:val="00163E1A"/>
    <w:rsid w:val="001647C0"/>
    <w:rsid w:val="00165731"/>
    <w:rsid w:val="00166E97"/>
    <w:rsid w:val="00167016"/>
    <w:rsid w:val="001707D5"/>
    <w:rsid w:val="00174D7B"/>
    <w:rsid w:val="001769FC"/>
    <w:rsid w:val="00177408"/>
    <w:rsid w:val="00182730"/>
    <w:rsid w:val="001861D7"/>
    <w:rsid w:val="001865A0"/>
    <w:rsid w:val="00186FEC"/>
    <w:rsid w:val="001876D1"/>
    <w:rsid w:val="00192437"/>
    <w:rsid w:val="00192D6F"/>
    <w:rsid w:val="00193C05"/>
    <w:rsid w:val="001948F4"/>
    <w:rsid w:val="00197399"/>
    <w:rsid w:val="00197831"/>
    <w:rsid w:val="001A3AF4"/>
    <w:rsid w:val="001A7254"/>
    <w:rsid w:val="001B1831"/>
    <w:rsid w:val="001B1B55"/>
    <w:rsid w:val="001B2DBD"/>
    <w:rsid w:val="001B4F8B"/>
    <w:rsid w:val="001B78F1"/>
    <w:rsid w:val="001C148B"/>
    <w:rsid w:val="001C196C"/>
    <w:rsid w:val="001C2335"/>
    <w:rsid w:val="001C2A1F"/>
    <w:rsid w:val="001D0EB5"/>
    <w:rsid w:val="001D57FD"/>
    <w:rsid w:val="001D6678"/>
    <w:rsid w:val="001D7275"/>
    <w:rsid w:val="001E29BA"/>
    <w:rsid w:val="001E3691"/>
    <w:rsid w:val="001F23E6"/>
    <w:rsid w:val="001F3A8A"/>
    <w:rsid w:val="001F41E3"/>
    <w:rsid w:val="001F6527"/>
    <w:rsid w:val="001F677C"/>
    <w:rsid w:val="002004BC"/>
    <w:rsid w:val="00203EDF"/>
    <w:rsid w:val="0020482A"/>
    <w:rsid w:val="00204A0F"/>
    <w:rsid w:val="00206ECC"/>
    <w:rsid w:val="00211A70"/>
    <w:rsid w:val="00211DBE"/>
    <w:rsid w:val="00212A5D"/>
    <w:rsid w:val="002132AC"/>
    <w:rsid w:val="00214DA6"/>
    <w:rsid w:val="00216973"/>
    <w:rsid w:val="00217A6E"/>
    <w:rsid w:val="002200FF"/>
    <w:rsid w:val="00221B76"/>
    <w:rsid w:val="00225F4F"/>
    <w:rsid w:val="002263E8"/>
    <w:rsid w:val="00230677"/>
    <w:rsid w:val="00230BB5"/>
    <w:rsid w:val="0023212D"/>
    <w:rsid w:val="00232800"/>
    <w:rsid w:val="00232E52"/>
    <w:rsid w:val="00233AD7"/>
    <w:rsid w:val="00233D90"/>
    <w:rsid w:val="00234C34"/>
    <w:rsid w:val="00236919"/>
    <w:rsid w:val="00236A04"/>
    <w:rsid w:val="00237403"/>
    <w:rsid w:val="00237D4E"/>
    <w:rsid w:val="00243D06"/>
    <w:rsid w:val="0024500F"/>
    <w:rsid w:val="0024513F"/>
    <w:rsid w:val="00247362"/>
    <w:rsid w:val="00250C40"/>
    <w:rsid w:val="00251DFD"/>
    <w:rsid w:val="002524F3"/>
    <w:rsid w:val="0025415C"/>
    <w:rsid w:val="002546A9"/>
    <w:rsid w:val="002566B9"/>
    <w:rsid w:val="00257780"/>
    <w:rsid w:val="002616F9"/>
    <w:rsid w:val="0026508B"/>
    <w:rsid w:val="00270209"/>
    <w:rsid w:val="0027073F"/>
    <w:rsid w:val="0027182A"/>
    <w:rsid w:val="00272AB7"/>
    <w:rsid w:val="00273124"/>
    <w:rsid w:val="002737EF"/>
    <w:rsid w:val="00276041"/>
    <w:rsid w:val="00276F42"/>
    <w:rsid w:val="002807E7"/>
    <w:rsid w:val="002844D5"/>
    <w:rsid w:val="002849B9"/>
    <w:rsid w:val="00286909"/>
    <w:rsid w:val="00287DF4"/>
    <w:rsid w:val="00292472"/>
    <w:rsid w:val="00292A86"/>
    <w:rsid w:val="00292C73"/>
    <w:rsid w:val="00295024"/>
    <w:rsid w:val="00295034"/>
    <w:rsid w:val="00295B1D"/>
    <w:rsid w:val="002961CD"/>
    <w:rsid w:val="002A1F36"/>
    <w:rsid w:val="002A2132"/>
    <w:rsid w:val="002A330B"/>
    <w:rsid w:val="002A5285"/>
    <w:rsid w:val="002A723D"/>
    <w:rsid w:val="002B096F"/>
    <w:rsid w:val="002B1279"/>
    <w:rsid w:val="002B46F2"/>
    <w:rsid w:val="002B46F3"/>
    <w:rsid w:val="002B6911"/>
    <w:rsid w:val="002C2B22"/>
    <w:rsid w:val="002C2CCC"/>
    <w:rsid w:val="002C3B79"/>
    <w:rsid w:val="002C75ED"/>
    <w:rsid w:val="002D0404"/>
    <w:rsid w:val="002D2B11"/>
    <w:rsid w:val="002D7BDF"/>
    <w:rsid w:val="002E3881"/>
    <w:rsid w:val="002E4F5B"/>
    <w:rsid w:val="002E6039"/>
    <w:rsid w:val="002F23A8"/>
    <w:rsid w:val="002F2AD5"/>
    <w:rsid w:val="0030283F"/>
    <w:rsid w:val="00302BBA"/>
    <w:rsid w:val="003043AB"/>
    <w:rsid w:val="00305D4C"/>
    <w:rsid w:val="00306B77"/>
    <w:rsid w:val="00307932"/>
    <w:rsid w:val="00311514"/>
    <w:rsid w:val="003134AC"/>
    <w:rsid w:val="003149E8"/>
    <w:rsid w:val="00315264"/>
    <w:rsid w:val="003162F4"/>
    <w:rsid w:val="00316745"/>
    <w:rsid w:val="00317E80"/>
    <w:rsid w:val="00320D2E"/>
    <w:rsid w:val="00320F22"/>
    <w:rsid w:val="003214E0"/>
    <w:rsid w:val="00321D38"/>
    <w:rsid w:val="00324573"/>
    <w:rsid w:val="003253F4"/>
    <w:rsid w:val="00325F09"/>
    <w:rsid w:val="00327786"/>
    <w:rsid w:val="00334E0E"/>
    <w:rsid w:val="00335879"/>
    <w:rsid w:val="00336352"/>
    <w:rsid w:val="003378D3"/>
    <w:rsid w:val="00340DAF"/>
    <w:rsid w:val="0034212C"/>
    <w:rsid w:val="00342A10"/>
    <w:rsid w:val="0034488C"/>
    <w:rsid w:val="00345816"/>
    <w:rsid w:val="0035095D"/>
    <w:rsid w:val="003514C7"/>
    <w:rsid w:val="00351E3A"/>
    <w:rsid w:val="00354634"/>
    <w:rsid w:val="003607E8"/>
    <w:rsid w:val="003624ED"/>
    <w:rsid w:val="00362A10"/>
    <w:rsid w:val="003644A1"/>
    <w:rsid w:val="003704BC"/>
    <w:rsid w:val="00371849"/>
    <w:rsid w:val="003721B7"/>
    <w:rsid w:val="003722BD"/>
    <w:rsid w:val="00372D3A"/>
    <w:rsid w:val="00373139"/>
    <w:rsid w:val="00373408"/>
    <w:rsid w:val="00374FFC"/>
    <w:rsid w:val="00376FE6"/>
    <w:rsid w:val="00377057"/>
    <w:rsid w:val="00380B8E"/>
    <w:rsid w:val="0038346A"/>
    <w:rsid w:val="00383A99"/>
    <w:rsid w:val="00383C13"/>
    <w:rsid w:val="003842C8"/>
    <w:rsid w:val="00384D77"/>
    <w:rsid w:val="003873AA"/>
    <w:rsid w:val="0039088E"/>
    <w:rsid w:val="00390A54"/>
    <w:rsid w:val="00390CFF"/>
    <w:rsid w:val="003913C4"/>
    <w:rsid w:val="00391A99"/>
    <w:rsid w:val="00391EE5"/>
    <w:rsid w:val="00394C18"/>
    <w:rsid w:val="003A1803"/>
    <w:rsid w:val="003A2C84"/>
    <w:rsid w:val="003A4319"/>
    <w:rsid w:val="003A43D8"/>
    <w:rsid w:val="003A5C70"/>
    <w:rsid w:val="003A7BC9"/>
    <w:rsid w:val="003B0141"/>
    <w:rsid w:val="003B3E02"/>
    <w:rsid w:val="003B4B2F"/>
    <w:rsid w:val="003B58E3"/>
    <w:rsid w:val="003B69E5"/>
    <w:rsid w:val="003B76D7"/>
    <w:rsid w:val="003C08E4"/>
    <w:rsid w:val="003C16E1"/>
    <w:rsid w:val="003C23E4"/>
    <w:rsid w:val="003C2A13"/>
    <w:rsid w:val="003D3DD0"/>
    <w:rsid w:val="003D6B8E"/>
    <w:rsid w:val="003D704F"/>
    <w:rsid w:val="003E16E3"/>
    <w:rsid w:val="003E2965"/>
    <w:rsid w:val="003E35D9"/>
    <w:rsid w:val="003E5057"/>
    <w:rsid w:val="003E533D"/>
    <w:rsid w:val="003E7E86"/>
    <w:rsid w:val="003F0D0C"/>
    <w:rsid w:val="003F67F4"/>
    <w:rsid w:val="003F6DA0"/>
    <w:rsid w:val="003F7F2C"/>
    <w:rsid w:val="00400DF9"/>
    <w:rsid w:val="004072EF"/>
    <w:rsid w:val="00407D9A"/>
    <w:rsid w:val="0041023B"/>
    <w:rsid w:val="00413837"/>
    <w:rsid w:val="00414654"/>
    <w:rsid w:val="0041495B"/>
    <w:rsid w:val="004149F0"/>
    <w:rsid w:val="004175E8"/>
    <w:rsid w:val="00417B0A"/>
    <w:rsid w:val="004209D5"/>
    <w:rsid w:val="00420BEA"/>
    <w:rsid w:val="0042148F"/>
    <w:rsid w:val="00425640"/>
    <w:rsid w:val="0042695A"/>
    <w:rsid w:val="00426B0D"/>
    <w:rsid w:val="00430BBE"/>
    <w:rsid w:val="004323CC"/>
    <w:rsid w:val="00435D1B"/>
    <w:rsid w:val="004366FB"/>
    <w:rsid w:val="00436CC6"/>
    <w:rsid w:val="00437338"/>
    <w:rsid w:val="00441C51"/>
    <w:rsid w:val="00444D4D"/>
    <w:rsid w:val="00445598"/>
    <w:rsid w:val="00445B60"/>
    <w:rsid w:val="0045007E"/>
    <w:rsid w:val="00450091"/>
    <w:rsid w:val="00450B74"/>
    <w:rsid w:val="00451AC5"/>
    <w:rsid w:val="0045672A"/>
    <w:rsid w:val="00457B7C"/>
    <w:rsid w:val="00460387"/>
    <w:rsid w:val="00461DC9"/>
    <w:rsid w:val="00462B73"/>
    <w:rsid w:val="00463647"/>
    <w:rsid w:val="00463F69"/>
    <w:rsid w:val="004646ED"/>
    <w:rsid w:val="00465497"/>
    <w:rsid w:val="00466428"/>
    <w:rsid w:val="0046772B"/>
    <w:rsid w:val="00473253"/>
    <w:rsid w:val="0047745E"/>
    <w:rsid w:val="00477884"/>
    <w:rsid w:val="00480AF9"/>
    <w:rsid w:val="00483CC5"/>
    <w:rsid w:val="004854BC"/>
    <w:rsid w:val="0048554F"/>
    <w:rsid w:val="00485BB5"/>
    <w:rsid w:val="00486E4E"/>
    <w:rsid w:val="00491046"/>
    <w:rsid w:val="0049244A"/>
    <w:rsid w:val="0049328E"/>
    <w:rsid w:val="004937F2"/>
    <w:rsid w:val="004940AD"/>
    <w:rsid w:val="004953EE"/>
    <w:rsid w:val="00495777"/>
    <w:rsid w:val="00495AC6"/>
    <w:rsid w:val="0049784F"/>
    <w:rsid w:val="004A0048"/>
    <w:rsid w:val="004A23DC"/>
    <w:rsid w:val="004A260E"/>
    <w:rsid w:val="004A3952"/>
    <w:rsid w:val="004A54AC"/>
    <w:rsid w:val="004B3F92"/>
    <w:rsid w:val="004B6CA2"/>
    <w:rsid w:val="004B747E"/>
    <w:rsid w:val="004C07EE"/>
    <w:rsid w:val="004C0F53"/>
    <w:rsid w:val="004C1DF2"/>
    <w:rsid w:val="004C33EE"/>
    <w:rsid w:val="004C79D6"/>
    <w:rsid w:val="004D028C"/>
    <w:rsid w:val="004D071B"/>
    <w:rsid w:val="004D07B0"/>
    <w:rsid w:val="004D0996"/>
    <w:rsid w:val="004D0B6B"/>
    <w:rsid w:val="004D0EBB"/>
    <w:rsid w:val="004D1E35"/>
    <w:rsid w:val="004D275E"/>
    <w:rsid w:val="004D3A33"/>
    <w:rsid w:val="004D3AF8"/>
    <w:rsid w:val="004D41A0"/>
    <w:rsid w:val="004D4608"/>
    <w:rsid w:val="004D4F36"/>
    <w:rsid w:val="004D598C"/>
    <w:rsid w:val="004D5FB4"/>
    <w:rsid w:val="004D7BA4"/>
    <w:rsid w:val="004E00F5"/>
    <w:rsid w:val="004E0BB6"/>
    <w:rsid w:val="004E138C"/>
    <w:rsid w:val="004E2B35"/>
    <w:rsid w:val="004E3A2C"/>
    <w:rsid w:val="004E460E"/>
    <w:rsid w:val="004E4C30"/>
    <w:rsid w:val="004E50FE"/>
    <w:rsid w:val="004E65A1"/>
    <w:rsid w:val="004E78F2"/>
    <w:rsid w:val="004F2E41"/>
    <w:rsid w:val="004F3D08"/>
    <w:rsid w:val="004F3F05"/>
    <w:rsid w:val="004F400D"/>
    <w:rsid w:val="004F4049"/>
    <w:rsid w:val="004F4935"/>
    <w:rsid w:val="004F4E2E"/>
    <w:rsid w:val="004F7657"/>
    <w:rsid w:val="00500979"/>
    <w:rsid w:val="00500F2A"/>
    <w:rsid w:val="00502A83"/>
    <w:rsid w:val="00503748"/>
    <w:rsid w:val="00504EBF"/>
    <w:rsid w:val="00505FD0"/>
    <w:rsid w:val="00506EB4"/>
    <w:rsid w:val="00513356"/>
    <w:rsid w:val="005137B5"/>
    <w:rsid w:val="0051395C"/>
    <w:rsid w:val="00514C20"/>
    <w:rsid w:val="00515043"/>
    <w:rsid w:val="005155A1"/>
    <w:rsid w:val="005173BD"/>
    <w:rsid w:val="005215AD"/>
    <w:rsid w:val="005222E2"/>
    <w:rsid w:val="005249A3"/>
    <w:rsid w:val="005263D6"/>
    <w:rsid w:val="00530530"/>
    <w:rsid w:val="00530BE7"/>
    <w:rsid w:val="00531890"/>
    <w:rsid w:val="00531C7F"/>
    <w:rsid w:val="00531D2B"/>
    <w:rsid w:val="00532F3E"/>
    <w:rsid w:val="0053423F"/>
    <w:rsid w:val="00534C77"/>
    <w:rsid w:val="0053519E"/>
    <w:rsid w:val="0053557C"/>
    <w:rsid w:val="005365ED"/>
    <w:rsid w:val="00543FAD"/>
    <w:rsid w:val="0054575C"/>
    <w:rsid w:val="00545C09"/>
    <w:rsid w:val="00546819"/>
    <w:rsid w:val="005468D4"/>
    <w:rsid w:val="00546D0D"/>
    <w:rsid w:val="00546EF4"/>
    <w:rsid w:val="0054758C"/>
    <w:rsid w:val="00550E1C"/>
    <w:rsid w:val="00551DEF"/>
    <w:rsid w:val="00552F6C"/>
    <w:rsid w:val="00554521"/>
    <w:rsid w:val="00554D49"/>
    <w:rsid w:val="005556AD"/>
    <w:rsid w:val="005557C2"/>
    <w:rsid w:val="005563BF"/>
    <w:rsid w:val="00557163"/>
    <w:rsid w:val="005578C0"/>
    <w:rsid w:val="005634BB"/>
    <w:rsid w:val="00563867"/>
    <w:rsid w:val="0056423C"/>
    <w:rsid w:val="005650D3"/>
    <w:rsid w:val="00566A3D"/>
    <w:rsid w:val="005671C1"/>
    <w:rsid w:val="00567272"/>
    <w:rsid w:val="005707D9"/>
    <w:rsid w:val="005730A8"/>
    <w:rsid w:val="005734EA"/>
    <w:rsid w:val="00574711"/>
    <w:rsid w:val="005772E9"/>
    <w:rsid w:val="00582552"/>
    <w:rsid w:val="00582646"/>
    <w:rsid w:val="0058629A"/>
    <w:rsid w:val="00590564"/>
    <w:rsid w:val="00592023"/>
    <w:rsid w:val="0059246D"/>
    <w:rsid w:val="00594838"/>
    <w:rsid w:val="005969A1"/>
    <w:rsid w:val="00597A23"/>
    <w:rsid w:val="00597BAA"/>
    <w:rsid w:val="005A15C5"/>
    <w:rsid w:val="005A32DB"/>
    <w:rsid w:val="005A4899"/>
    <w:rsid w:val="005A60BF"/>
    <w:rsid w:val="005A6BE9"/>
    <w:rsid w:val="005A6E55"/>
    <w:rsid w:val="005B0FB1"/>
    <w:rsid w:val="005B1927"/>
    <w:rsid w:val="005B1C24"/>
    <w:rsid w:val="005B4CF7"/>
    <w:rsid w:val="005B5953"/>
    <w:rsid w:val="005C043A"/>
    <w:rsid w:val="005C0E2B"/>
    <w:rsid w:val="005C527B"/>
    <w:rsid w:val="005C71CD"/>
    <w:rsid w:val="005C7491"/>
    <w:rsid w:val="005C74CB"/>
    <w:rsid w:val="005C763A"/>
    <w:rsid w:val="005C79DB"/>
    <w:rsid w:val="005D1F76"/>
    <w:rsid w:val="005D2CD5"/>
    <w:rsid w:val="005D6395"/>
    <w:rsid w:val="005D69A6"/>
    <w:rsid w:val="005E062B"/>
    <w:rsid w:val="005E1478"/>
    <w:rsid w:val="005E1615"/>
    <w:rsid w:val="005E273F"/>
    <w:rsid w:val="005E2EC1"/>
    <w:rsid w:val="005E61D1"/>
    <w:rsid w:val="005F0242"/>
    <w:rsid w:val="005F14D2"/>
    <w:rsid w:val="005F3ECF"/>
    <w:rsid w:val="005F4258"/>
    <w:rsid w:val="005F4478"/>
    <w:rsid w:val="005F607C"/>
    <w:rsid w:val="005F7D96"/>
    <w:rsid w:val="00601A93"/>
    <w:rsid w:val="00602742"/>
    <w:rsid w:val="00602EC4"/>
    <w:rsid w:val="00605D22"/>
    <w:rsid w:val="00606D50"/>
    <w:rsid w:val="00611849"/>
    <w:rsid w:val="00613079"/>
    <w:rsid w:val="00615D97"/>
    <w:rsid w:val="00620670"/>
    <w:rsid w:val="00620EF1"/>
    <w:rsid w:val="00621C9B"/>
    <w:rsid w:val="00623B31"/>
    <w:rsid w:val="0062737B"/>
    <w:rsid w:val="00627AFC"/>
    <w:rsid w:val="00631013"/>
    <w:rsid w:val="00631689"/>
    <w:rsid w:val="0063378F"/>
    <w:rsid w:val="00634E3B"/>
    <w:rsid w:val="00640169"/>
    <w:rsid w:val="006404F1"/>
    <w:rsid w:val="00640D8F"/>
    <w:rsid w:val="00641BFC"/>
    <w:rsid w:val="006424AB"/>
    <w:rsid w:val="00646454"/>
    <w:rsid w:val="0065277F"/>
    <w:rsid w:val="0065348F"/>
    <w:rsid w:val="00653A63"/>
    <w:rsid w:val="00653F26"/>
    <w:rsid w:val="0065552E"/>
    <w:rsid w:val="006557E5"/>
    <w:rsid w:val="00656CF4"/>
    <w:rsid w:val="006612A4"/>
    <w:rsid w:val="006621FA"/>
    <w:rsid w:val="006622A6"/>
    <w:rsid w:val="00663052"/>
    <w:rsid w:val="00664A6E"/>
    <w:rsid w:val="00667792"/>
    <w:rsid w:val="00667C8A"/>
    <w:rsid w:val="00672C56"/>
    <w:rsid w:val="00674F37"/>
    <w:rsid w:val="00676241"/>
    <w:rsid w:val="00676D6D"/>
    <w:rsid w:val="0068033A"/>
    <w:rsid w:val="00681DBB"/>
    <w:rsid w:val="006838E9"/>
    <w:rsid w:val="00683EC8"/>
    <w:rsid w:val="006847FE"/>
    <w:rsid w:val="006864EB"/>
    <w:rsid w:val="00686A8F"/>
    <w:rsid w:val="0069021C"/>
    <w:rsid w:val="006928E5"/>
    <w:rsid w:val="00693732"/>
    <w:rsid w:val="006943C4"/>
    <w:rsid w:val="006943C6"/>
    <w:rsid w:val="00695CBA"/>
    <w:rsid w:val="00696534"/>
    <w:rsid w:val="006A0395"/>
    <w:rsid w:val="006A19C9"/>
    <w:rsid w:val="006A214B"/>
    <w:rsid w:val="006A2A43"/>
    <w:rsid w:val="006A5DD6"/>
    <w:rsid w:val="006B080D"/>
    <w:rsid w:val="006B0DF0"/>
    <w:rsid w:val="006B48F9"/>
    <w:rsid w:val="006B526C"/>
    <w:rsid w:val="006B5CBF"/>
    <w:rsid w:val="006B5F37"/>
    <w:rsid w:val="006B5F67"/>
    <w:rsid w:val="006B76D1"/>
    <w:rsid w:val="006C15E8"/>
    <w:rsid w:val="006C3C83"/>
    <w:rsid w:val="006C558B"/>
    <w:rsid w:val="006C59F4"/>
    <w:rsid w:val="006D0609"/>
    <w:rsid w:val="006D12F0"/>
    <w:rsid w:val="006D2E03"/>
    <w:rsid w:val="006D3000"/>
    <w:rsid w:val="006D4204"/>
    <w:rsid w:val="006D529A"/>
    <w:rsid w:val="006D6007"/>
    <w:rsid w:val="006D7650"/>
    <w:rsid w:val="006E1188"/>
    <w:rsid w:val="006E1BFF"/>
    <w:rsid w:val="006E26B2"/>
    <w:rsid w:val="006E4EDF"/>
    <w:rsid w:val="006E4F53"/>
    <w:rsid w:val="006E6C6D"/>
    <w:rsid w:val="006E6CE8"/>
    <w:rsid w:val="006F1336"/>
    <w:rsid w:val="006F2D2E"/>
    <w:rsid w:val="006F3712"/>
    <w:rsid w:val="0070109A"/>
    <w:rsid w:val="00702DB9"/>
    <w:rsid w:val="00703A22"/>
    <w:rsid w:val="0070653C"/>
    <w:rsid w:val="007068AA"/>
    <w:rsid w:val="00713EE3"/>
    <w:rsid w:val="007148BB"/>
    <w:rsid w:val="00714D6E"/>
    <w:rsid w:val="0072138A"/>
    <w:rsid w:val="00721894"/>
    <w:rsid w:val="007259A3"/>
    <w:rsid w:val="007269AB"/>
    <w:rsid w:val="00736C6E"/>
    <w:rsid w:val="0073764F"/>
    <w:rsid w:val="00741187"/>
    <w:rsid w:val="007421C6"/>
    <w:rsid w:val="007424B5"/>
    <w:rsid w:val="007427FD"/>
    <w:rsid w:val="007438D0"/>
    <w:rsid w:val="007442EF"/>
    <w:rsid w:val="0074479F"/>
    <w:rsid w:val="00745DC0"/>
    <w:rsid w:val="00746E2D"/>
    <w:rsid w:val="007500EC"/>
    <w:rsid w:val="007501BC"/>
    <w:rsid w:val="00750424"/>
    <w:rsid w:val="00750D22"/>
    <w:rsid w:val="00751475"/>
    <w:rsid w:val="00752813"/>
    <w:rsid w:val="007545F0"/>
    <w:rsid w:val="00760212"/>
    <w:rsid w:val="00761BF6"/>
    <w:rsid w:val="007650B6"/>
    <w:rsid w:val="007659DD"/>
    <w:rsid w:val="00765BA5"/>
    <w:rsid w:val="00765CCA"/>
    <w:rsid w:val="007668F5"/>
    <w:rsid w:val="0077208A"/>
    <w:rsid w:val="00772748"/>
    <w:rsid w:val="00772917"/>
    <w:rsid w:val="00773518"/>
    <w:rsid w:val="00773FA7"/>
    <w:rsid w:val="00775980"/>
    <w:rsid w:val="007803EA"/>
    <w:rsid w:val="00780B87"/>
    <w:rsid w:val="00782D8B"/>
    <w:rsid w:val="00785A3C"/>
    <w:rsid w:val="00786F44"/>
    <w:rsid w:val="0079132A"/>
    <w:rsid w:val="00792122"/>
    <w:rsid w:val="00793E1A"/>
    <w:rsid w:val="00794440"/>
    <w:rsid w:val="00795501"/>
    <w:rsid w:val="00796ACC"/>
    <w:rsid w:val="007974E6"/>
    <w:rsid w:val="007A1673"/>
    <w:rsid w:val="007A1FDB"/>
    <w:rsid w:val="007A52EF"/>
    <w:rsid w:val="007A54A8"/>
    <w:rsid w:val="007A5516"/>
    <w:rsid w:val="007A5E1D"/>
    <w:rsid w:val="007A7334"/>
    <w:rsid w:val="007A7730"/>
    <w:rsid w:val="007B1142"/>
    <w:rsid w:val="007B3933"/>
    <w:rsid w:val="007B4571"/>
    <w:rsid w:val="007B471B"/>
    <w:rsid w:val="007B5F3D"/>
    <w:rsid w:val="007C0B48"/>
    <w:rsid w:val="007C252C"/>
    <w:rsid w:val="007C3D6A"/>
    <w:rsid w:val="007C5FFB"/>
    <w:rsid w:val="007D103A"/>
    <w:rsid w:val="007D1465"/>
    <w:rsid w:val="007D1E47"/>
    <w:rsid w:val="007D491A"/>
    <w:rsid w:val="007D57AB"/>
    <w:rsid w:val="007D67A4"/>
    <w:rsid w:val="007E08F4"/>
    <w:rsid w:val="007E1C41"/>
    <w:rsid w:val="007E2A20"/>
    <w:rsid w:val="007E52DC"/>
    <w:rsid w:val="007E5397"/>
    <w:rsid w:val="007E68EA"/>
    <w:rsid w:val="007E788B"/>
    <w:rsid w:val="007F1406"/>
    <w:rsid w:val="007F2E2C"/>
    <w:rsid w:val="007F30FE"/>
    <w:rsid w:val="007F6A72"/>
    <w:rsid w:val="007F7A78"/>
    <w:rsid w:val="008040D6"/>
    <w:rsid w:val="00805117"/>
    <w:rsid w:val="00805436"/>
    <w:rsid w:val="00806DFF"/>
    <w:rsid w:val="00807748"/>
    <w:rsid w:val="00807FB3"/>
    <w:rsid w:val="008118D8"/>
    <w:rsid w:val="00811F00"/>
    <w:rsid w:val="008120E3"/>
    <w:rsid w:val="00812A77"/>
    <w:rsid w:val="00812C6D"/>
    <w:rsid w:val="008160BE"/>
    <w:rsid w:val="00817261"/>
    <w:rsid w:val="00817D91"/>
    <w:rsid w:val="008220FA"/>
    <w:rsid w:val="00822B23"/>
    <w:rsid w:val="00822EA5"/>
    <w:rsid w:val="008232B8"/>
    <w:rsid w:val="00823823"/>
    <w:rsid w:val="0082391A"/>
    <w:rsid w:val="00824C86"/>
    <w:rsid w:val="008310A0"/>
    <w:rsid w:val="0083138A"/>
    <w:rsid w:val="0083188B"/>
    <w:rsid w:val="00834799"/>
    <w:rsid w:val="0083536A"/>
    <w:rsid w:val="0083579B"/>
    <w:rsid w:val="00835D86"/>
    <w:rsid w:val="0083613C"/>
    <w:rsid w:val="00836DD5"/>
    <w:rsid w:val="0083784A"/>
    <w:rsid w:val="0084009C"/>
    <w:rsid w:val="008401DB"/>
    <w:rsid w:val="00841EAD"/>
    <w:rsid w:val="00844A78"/>
    <w:rsid w:val="0085029A"/>
    <w:rsid w:val="008507E0"/>
    <w:rsid w:val="00851F59"/>
    <w:rsid w:val="00854F88"/>
    <w:rsid w:val="00861489"/>
    <w:rsid w:val="00862127"/>
    <w:rsid w:val="00863172"/>
    <w:rsid w:val="00864859"/>
    <w:rsid w:val="00864BE8"/>
    <w:rsid w:val="00864D9E"/>
    <w:rsid w:val="00864E9F"/>
    <w:rsid w:val="008653F4"/>
    <w:rsid w:val="00865A69"/>
    <w:rsid w:val="008707C3"/>
    <w:rsid w:val="00871CBB"/>
    <w:rsid w:val="008722CF"/>
    <w:rsid w:val="0087304C"/>
    <w:rsid w:val="0088158B"/>
    <w:rsid w:val="00882953"/>
    <w:rsid w:val="00883060"/>
    <w:rsid w:val="00883811"/>
    <w:rsid w:val="0088414C"/>
    <w:rsid w:val="0088419B"/>
    <w:rsid w:val="00890FB6"/>
    <w:rsid w:val="00891708"/>
    <w:rsid w:val="00891F57"/>
    <w:rsid w:val="008921C7"/>
    <w:rsid w:val="008922C0"/>
    <w:rsid w:val="0089357C"/>
    <w:rsid w:val="008A17F3"/>
    <w:rsid w:val="008A297C"/>
    <w:rsid w:val="008A6666"/>
    <w:rsid w:val="008A7EA4"/>
    <w:rsid w:val="008B02D9"/>
    <w:rsid w:val="008B1ECF"/>
    <w:rsid w:val="008B22DF"/>
    <w:rsid w:val="008B2445"/>
    <w:rsid w:val="008B580F"/>
    <w:rsid w:val="008B6BD4"/>
    <w:rsid w:val="008C1A78"/>
    <w:rsid w:val="008C2102"/>
    <w:rsid w:val="008C476F"/>
    <w:rsid w:val="008C4E65"/>
    <w:rsid w:val="008D57C7"/>
    <w:rsid w:val="008D5D68"/>
    <w:rsid w:val="008E3CF6"/>
    <w:rsid w:val="008E5CD1"/>
    <w:rsid w:val="008F19BA"/>
    <w:rsid w:val="008F1B10"/>
    <w:rsid w:val="008F4808"/>
    <w:rsid w:val="00900267"/>
    <w:rsid w:val="009017EF"/>
    <w:rsid w:val="00901A9D"/>
    <w:rsid w:val="00901AF3"/>
    <w:rsid w:val="00902109"/>
    <w:rsid w:val="009025B3"/>
    <w:rsid w:val="00905905"/>
    <w:rsid w:val="00905932"/>
    <w:rsid w:val="00911D71"/>
    <w:rsid w:val="009134A7"/>
    <w:rsid w:val="00915AD7"/>
    <w:rsid w:val="00917832"/>
    <w:rsid w:val="009202A7"/>
    <w:rsid w:val="00922F86"/>
    <w:rsid w:val="00923BCF"/>
    <w:rsid w:val="009252AD"/>
    <w:rsid w:val="00925866"/>
    <w:rsid w:val="00926629"/>
    <w:rsid w:val="00926D1B"/>
    <w:rsid w:val="0093346B"/>
    <w:rsid w:val="00934785"/>
    <w:rsid w:val="00934FCD"/>
    <w:rsid w:val="00935AA5"/>
    <w:rsid w:val="0093666A"/>
    <w:rsid w:val="009370FD"/>
    <w:rsid w:val="00937881"/>
    <w:rsid w:val="00940781"/>
    <w:rsid w:val="00940FDB"/>
    <w:rsid w:val="00943793"/>
    <w:rsid w:val="00955D0A"/>
    <w:rsid w:val="00955E37"/>
    <w:rsid w:val="0096079D"/>
    <w:rsid w:val="0096371E"/>
    <w:rsid w:val="00964BC9"/>
    <w:rsid w:val="00965E53"/>
    <w:rsid w:val="009660FA"/>
    <w:rsid w:val="00966701"/>
    <w:rsid w:val="00966AFF"/>
    <w:rsid w:val="00971C24"/>
    <w:rsid w:val="00971DC9"/>
    <w:rsid w:val="009723AF"/>
    <w:rsid w:val="00973120"/>
    <w:rsid w:val="009735AE"/>
    <w:rsid w:val="00973A23"/>
    <w:rsid w:val="00973EA2"/>
    <w:rsid w:val="0097434A"/>
    <w:rsid w:val="00975070"/>
    <w:rsid w:val="0098029A"/>
    <w:rsid w:val="00983125"/>
    <w:rsid w:val="009844B5"/>
    <w:rsid w:val="00985BBF"/>
    <w:rsid w:val="009861DF"/>
    <w:rsid w:val="009870B2"/>
    <w:rsid w:val="00990407"/>
    <w:rsid w:val="00990E00"/>
    <w:rsid w:val="00994310"/>
    <w:rsid w:val="009943E1"/>
    <w:rsid w:val="009951C3"/>
    <w:rsid w:val="009952BB"/>
    <w:rsid w:val="009956DF"/>
    <w:rsid w:val="00995FFC"/>
    <w:rsid w:val="00996182"/>
    <w:rsid w:val="009A5003"/>
    <w:rsid w:val="009B2735"/>
    <w:rsid w:val="009B2A7C"/>
    <w:rsid w:val="009B6F5D"/>
    <w:rsid w:val="009C26A4"/>
    <w:rsid w:val="009C2E50"/>
    <w:rsid w:val="009C2FD7"/>
    <w:rsid w:val="009C436C"/>
    <w:rsid w:val="009C4F08"/>
    <w:rsid w:val="009C5CD3"/>
    <w:rsid w:val="009C681F"/>
    <w:rsid w:val="009D01FF"/>
    <w:rsid w:val="009D0A41"/>
    <w:rsid w:val="009D3176"/>
    <w:rsid w:val="009D3AB1"/>
    <w:rsid w:val="009D4026"/>
    <w:rsid w:val="009D4D06"/>
    <w:rsid w:val="009D6468"/>
    <w:rsid w:val="009D69E1"/>
    <w:rsid w:val="009D77FF"/>
    <w:rsid w:val="009E2359"/>
    <w:rsid w:val="009E28F9"/>
    <w:rsid w:val="009E33BC"/>
    <w:rsid w:val="009E478C"/>
    <w:rsid w:val="009E72FF"/>
    <w:rsid w:val="009E756E"/>
    <w:rsid w:val="009F06EA"/>
    <w:rsid w:val="009F1988"/>
    <w:rsid w:val="009F2B67"/>
    <w:rsid w:val="009F4961"/>
    <w:rsid w:val="009F59E0"/>
    <w:rsid w:val="009F6BE4"/>
    <w:rsid w:val="00A0186A"/>
    <w:rsid w:val="00A0334D"/>
    <w:rsid w:val="00A03E94"/>
    <w:rsid w:val="00A05678"/>
    <w:rsid w:val="00A059D7"/>
    <w:rsid w:val="00A05AB1"/>
    <w:rsid w:val="00A07196"/>
    <w:rsid w:val="00A13230"/>
    <w:rsid w:val="00A1445E"/>
    <w:rsid w:val="00A2101F"/>
    <w:rsid w:val="00A215C4"/>
    <w:rsid w:val="00A23C8A"/>
    <w:rsid w:val="00A240B4"/>
    <w:rsid w:val="00A24802"/>
    <w:rsid w:val="00A31326"/>
    <w:rsid w:val="00A33F68"/>
    <w:rsid w:val="00A35FB3"/>
    <w:rsid w:val="00A37456"/>
    <w:rsid w:val="00A422DA"/>
    <w:rsid w:val="00A460A9"/>
    <w:rsid w:val="00A46176"/>
    <w:rsid w:val="00A46730"/>
    <w:rsid w:val="00A47FF0"/>
    <w:rsid w:val="00A50259"/>
    <w:rsid w:val="00A503A9"/>
    <w:rsid w:val="00A51079"/>
    <w:rsid w:val="00A52558"/>
    <w:rsid w:val="00A5345D"/>
    <w:rsid w:val="00A54BD3"/>
    <w:rsid w:val="00A5588B"/>
    <w:rsid w:val="00A567AD"/>
    <w:rsid w:val="00A60881"/>
    <w:rsid w:val="00A6167A"/>
    <w:rsid w:val="00A62A27"/>
    <w:rsid w:val="00A64D42"/>
    <w:rsid w:val="00A658F9"/>
    <w:rsid w:val="00A664BC"/>
    <w:rsid w:val="00A6655E"/>
    <w:rsid w:val="00A67840"/>
    <w:rsid w:val="00A719A1"/>
    <w:rsid w:val="00A721AD"/>
    <w:rsid w:val="00A74FB9"/>
    <w:rsid w:val="00A809CD"/>
    <w:rsid w:val="00A82FBA"/>
    <w:rsid w:val="00A84C41"/>
    <w:rsid w:val="00A84FA9"/>
    <w:rsid w:val="00A85736"/>
    <w:rsid w:val="00A87EF7"/>
    <w:rsid w:val="00A9033F"/>
    <w:rsid w:val="00A90550"/>
    <w:rsid w:val="00A92EED"/>
    <w:rsid w:val="00A941F4"/>
    <w:rsid w:val="00A95331"/>
    <w:rsid w:val="00A95EBC"/>
    <w:rsid w:val="00A964C7"/>
    <w:rsid w:val="00A96615"/>
    <w:rsid w:val="00A97ABC"/>
    <w:rsid w:val="00A97C14"/>
    <w:rsid w:val="00A97D63"/>
    <w:rsid w:val="00AA76A7"/>
    <w:rsid w:val="00AB0E5C"/>
    <w:rsid w:val="00AB1620"/>
    <w:rsid w:val="00AB2CBF"/>
    <w:rsid w:val="00AB6349"/>
    <w:rsid w:val="00AB63D9"/>
    <w:rsid w:val="00AC0DFE"/>
    <w:rsid w:val="00AC2020"/>
    <w:rsid w:val="00AC4DD4"/>
    <w:rsid w:val="00AC776B"/>
    <w:rsid w:val="00AC7A6D"/>
    <w:rsid w:val="00AD0172"/>
    <w:rsid w:val="00AD294F"/>
    <w:rsid w:val="00AD2B19"/>
    <w:rsid w:val="00AD2EBF"/>
    <w:rsid w:val="00AD4040"/>
    <w:rsid w:val="00AD4F0C"/>
    <w:rsid w:val="00AE26DF"/>
    <w:rsid w:val="00AE31DE"/>
    <w:rsid w:val="00AE49DC"/>
    <w:rsid w:val="00AE4FE3"/>
    <w:rsid w:val="00AE56A2"/>
    <w:rsid w:val="00AE5C7C"/>
    <w:rsid w:val="00AE6E80"/>
    <w:rsid w:val="00AF10B0"/>
    <w:rsid w:val="00AF5209"/>
    <w:rsid w:val="00AF5FC4"/>
    <w:rsid w:val="00AF6DFB"/>
    <w:rsid w:val="00B00213"/>
    <w:rsid w:val="00B01801"/>
    <w:rsid w:val="00B01D5F"/>
    <w:rsid w:val="00B045F1"/>
    <w:rsid w:val="00B05341"/>
    <w:rsid w:val="00B07935"/>
    <w:rsid w:val="00B107F7"/>
    <w:rsid w:val="00B12CAE"/>
    <w:rsid w:val="00B12FC3"/>
    <w:rsid w:val="00B15858"/>
    <w:rsid w:val="00B16942"/>
    <w:rsid w:val="00B21176"/>
    <w:rsid w:val="00B21BF0"/>
    <w:rsid w:val="00B21C1D"/>
    <w:rsid w:val="00B23C6A"/>
    <w:rsid w:val="00B248E4"/>
    <w:rsid w:val="00B24C9C"/>
    <w:rsid w:val="00B255EE"/>
    <w:rsid w:val="00B275D4"/>
    <w:rsid w:val="00B30F9A"/>
    <w:rsid w:val="00B332C5"/>
    <w:rsid w:val="00B3495A"/>
    <w:rsid w:val="00B349C2"/>
    <w:rsid w:val="00B34B6C"/>
    <w:rsid w:val="00B37034"/>
    <w:rsid w:val="00B4107D"/>
    <w:rsid w:val="00B41990"/>
    <w:rsid w:val="00B43895"/>
    <w:rsid w:val="00B44729"/>
    <w:rsid w:val="00B50408"/>
    <w:rsid w:val="00B50429"/>
    <w:rsid w:val="00B50703"/>
    <w:rsid w:val="00B519B4"/>
    <w:rsid w:val="00B5419E"/>
    <w:rsid w:val="00B557A3"/>
    <w:rsid w:val="00B603BE"/>
    <w:rsid w:val="00B63104"/>
    <w:rsid w:val="00B63296"/>
    <w:rsid w:val="00B64750"/>
    <w:rsid w:val="00B64CA3"/>
    <w:rsid w:val="00B66F1E"/>
    <w:rsid w:val="00B70EEE"/>
    <w:rsid w:val="00B75478"/>
    <w:rsid w:val="00B764DC"/>
    <w:rsid w:val="00B765CC"/>
    <w:rsid w:val="00B77982"/>
    <w:rsid w:val="00B818B6"/>
    <w:rsid w:val="00B84D5A"/>
    <w:rsid w:val="00B8743B"/>
    <w:rsid w:val="00B90332"/>
    <w:rsid w:val="00B90A87"/>
    <w:rsid w:val="00B90F38"/>
    <w:rsid w:val="00B9269D"/>
    <w:rsid w:val="00B938DD"/>
    <w:rsid w:val="00B94CD1"/>
    <w:rsid w:val="00B9593B"/>
    <w:rsid w:val="00B96806"/>
    <w:rsid w:val="00B979CB"/>
    <w:rsid w:val="00B97E4D"/>
    <w:rsid w:val="00BA0189"/>
    <w:rsid w:val="00BA0748"/>
    <w:rsid w:val="00BA07FB"/>
    <w:rsid w:val="00BA2244"/>
    <w:rsid w:val="00BA51E0"/>
    <w:rsid w:val="00BA53B4"/>
    <w:rsid w:val="00BA7484"/>
    <w:rsid w:val="00BB1388"/>
    <w:rsid w:val="00BB15CB"/>
    <w:rsid w:val="00BB1814"/>
    <w:rsid w:val="00BB2A83"/>
    <w:rsid w:val="00BB638B"/>
    <w:rsid w:val="00BB6438"/>
    <w:rsid w:val="00BB7844"/>
    <w:rsid w:val="00BB7D8E"/>
    <w:rsid w:val="00BC0E1D"/>
    <w:rsid w:val="00BC1038"/>
    <w:rsid w:val="00BC1667"/>
    <w:rsid w:val="00BC2BC5"/>
    <w:rsid w:val="00BC2CF7"/>
    <w:rsid w:val="00BD0196"/>
    <w:rsid w:val="00BD1955"/>
    <w:rsid w:val="00BD3B71"/>
    <w:rsid w:val="00BD41BD"/>
    <w:rsid w:val="00BD45B4"/>
    <w:rsid w:val="00BD4F9D"/>
    <w:rsid w:val="00BD5AC6"/>
    <w:rsid w:val="00BD673F"/>
    <w:rsid w:val="00BD7EE5"/>
    <w:rsid w:val="00BE17B4"/>
    <w:rsid w:val="00BE3374"/>
    <w:rsid w:val="00BE3C30"/>
    <w:rsid w:val="00BE3CBE"/>
    <w:rsid w:val="00BE4AA1"/>
    <w:rsid w:val="00BE7F33"/>
    <w:rsid w:val="00BF0287"/>
    <w:rsid w:val="00BF0480"/>
    <w:rsid w:val="00BF0CEE"/>
    <w:rsid w:val="00BF11F3"/>
    <w:rsid w:val="00BF295B"/>
    <w:rsid w:val="00BF2F80"/>
    <w:rsid w:val="00BF3BEC"/>
    <w:rsid w:val="00BF45B3"/>
    <w:rsid w:val="00BF62FC"/>
    <w:rsid w:val="00C005AE"/>
    <w:rsid w:val="00C045EA"/>
    <w:rsid w:val="00C078CE"/>
    <w:rsid w:val="00C12BFF"/>
    <w:rsid w:val="00C13A25"/>
    <w:rsid w:val="00C15C13"/>
    <w:rsid w:val="00C1799E"/>
    <w:rsid w:val="00C21F9F"/>
    <w:rsid w:val="00C221DE"/>
    <w:rsid w:val="00C22745"/>
    <w:rsid w:val="00C229B2"/>
    <w:rsid w:val="00C22CDF"/>
    <w:rsid w:val="00C25CFA"/>
    <w:rsid w:val="00C26CC3"/>
    <w:rsid w:val="00C26F55"/>
    <w:rsid w:val="00C30A4A"/>
    <w:rsid w:val="00C30DF5"/>
    <w:rsid w:val="00C377AE"/>
    <w:rsid w:val="00C4098F"/>
    <w:rsid w:val="00C415F2"/>
    <w:rsid w:val="00C420C5"/>
    <w:rsid w:val="00C43086"/>
    <w:rsid w:val="00C441F7"/>
    <w:rsid w:val="00C45283"/>
    <w:rsid w:val="00C46A8B"/>
    <w:rsid w:val="00C51068"/>
    <w:rsid w:val="00C5114A"/>
    <w:rsid w:val="00C52021"/>
    <w:rsid w:val="00C52A09"/>
    <w:rsid w:val="00C52BE2"/>
    <w:rsid w:val="00C556C3"/>
    <w:rsid w:val="00C557CB"/>
    <w:rsid w:val="00C55D11"/>
    <w:rsid w:val="00C62A8A"/>
    <w:rsid w:val="00C62B4A"/>
    <w:rsid w:val="00C63496"/>
    <w:rsid w:val="00C638D2"/>
    <w:rsid w:val="00C65160"/>
    <w:rsid w:val="00C65580"/>
    <w:rsid w:val="00C72A68"/>
    <w:rsid w:val="00C74436"/>
    <w:rsid w:val="00C77149"/>
    <w:rsid w:val="00C7760E"/>
    <w:rsid w:val="00C80D32"/>
    <w:rsid w:val="00C81096"/>
    <w:rsid w:val="00C819F6"/>
    <w:rsid w:val="00C8276C"/>
    <w:rsid w:val="00C8402E"/>
    <w:rsid w:val="00C84A90"/>
    <w:rsid w:val="00C85CF3"/>
    <w:rsid w:val="00C86182"/>
    <w:rsid w:val="00C86F47"/>
    <w:rsid w:val="00C912F7"/>
    <w:rsid w:val="00C92BFD"/>
    <w:rsid w:val="00C93846"/>
    <w:rsid w:val="00C93E10"/>
    <w:rsid w:val="00C95390"/>
    <w:rsid w:val="00C95CE8"/>
    <w:rsid w:val="00C971E1"/>
    <w:rsid w:val="00CA3B5D"/>
    <w:rsid w:val="00CA72F7"/>
    <w:rsid w:val="00CB187B"/>
    <w:rsid w:val="00CB19E3"/>
    <w:rsid w:val="00CB4DA4"/>
    <w:rsid w:val="00CB74AC"/>
    <w:rsid w:val="00CC02A0"/>
    <w:rsid w:val="00CC29D6"/>
    <w:rsid w:val="00CC43C8"/>
    <w:rsid w:val="00CC4E3B"/>
    <w:rsid w:val="00CC5434"/>
    <w:rsid w:val="00CC5F75"/>
    <w:rsid w:val="00CC5F9C"/>
    <w:rsid w:val="00CC75DE"/>
    <w:rsid w:val="00CC77AE"/>
    <w:rsid w:val="00CD1263"/>
    <w:rsid w:val="00CD26D3"/>
    <w:rsid w:val="00CD297F"/>
    <w:rsid w:val="00CD3D8B"/>
    <w:rsid w:val="00CD4B3E"/>
    <w:rsid w:val="00CD7213"/>
    <w:rsid w:val="00CD731F"/>
    <w:rsid w:val="00CE01A1"/>
    <w:rsid w:val="00CE106C"/>
    <w:rsid w:val="00CE3713"/>
    <w:rsid w:val="00CE3A6C"/>
    <w:rsid w:val="00CE40D7"/>
    <w:rsid w:val="00CE5990"/>
    <w:rsid w:val="00CE5E58"/>
    <w:rsid w:val="00CF1853"/>
    <w:rsid w:val="00CF57E4"/>
    <w:rsid w:val="00D00144"/>
    <w:rsid w:val="00D0046A"/>
    <w:rsid w:val="00D0133E"/>
    <w:rsid w:val="00D029EE"/>
    <w:rsid w:val="00D040F1"/>
    <w:rsid w:val="00D117BB"/>
    <w:rsid w:val="00D119C8"/>
    <w:rsid w:val="00D157B3"/>
    <w:rsid w:val="00D2230B"/>
    <w:rsid w:val="00D223BF"/>
    <w:rsid w:val="00D239E5"/>
    <w:rsid w:val="00D24135"/>
    <w:rsid w:val="00D26960"/>
    <w:rsid w:val="00D26C6A"/>
    <w:rsid w:val="00D277C9"/>
    <w:rsid w:val="00D323EC"/>
    <w:rsid w:val="00D32898"/>
    <w:rsid w:val="00D34959"/>
    <w:rsid w:val="00D34FC8"/>
    <w:rsid w:val="00D358AE"/>
    <w:rsid w:val="00D35E3E"/>
    <w:rsid w:val="00D36900"/>
    <w:rsid w:val="00D41450"/>
    <w:rsid w:val="00D4207B"/>
    <w:rsid w:val="00D44634"/>
    <w:rsid w:val="00D45588"/>
    <w:rsid w:val="00D46CB3"/>
    <w:rsid w:val="00D47A80"/>
    <w:rsid w:val="00D47A95"/>
    <w:rsid w:val="00D525C9"/>
    <w:rsid w:val="00D54408"/>
    <w:rsid w:val="00D555E8"/>
    <w:rsid w:val="00D5577A"/>
    <w:rsid w:val="00D56972"/>
    <w:rsid w:val="00D609B4"/>
    <w:rsid w:val="00D61771"/>
    <w:rsid w:val="00D62541"/>
    <w:rsid w:val="00D6389B"/>
    <w:rsid w:val="00D63C2A"/>
    <w:rsid w:val="00D64691"/>
    <w:rsid w:val="00D65216"/>
    <w:rsid w:val="00D71163"/>
    <w:rsid w:val="00D71453"/>
    <w:rsid w:val="00D73208"/>
    <w:rsid w:val="00D74922"/>
    <w:rsid w:val="00D76D08"/>
    <w:rsid w:val="00D819C2"/>
    <w:rsid w:val="00D81F4B"/>
    <w:rsid w:val="00D867D1"/>
    <w:rsid w:val="00D924EC"/>
    <w:rsid w:val="00D936F9"/>
    <w:rsid w:val="00D95FD9"/>
    <w:rsid w:val="00D96A92"/>
    <w:rsid w:val="00DA2E73"/>
    <w:rsid w:val="00DA3D5F"/>
    <w:rsid w:val="00DA436B"/>
    <w:rsid w:val="00DA4C8A"/>
    <w:rsid w:val="00DA6619"/>
    <w:rsid w:val="00DB04CB"/>
    <w:rsid w:val="00DB1C2B"/>
    <w:rsid w:val="00DB2EBE"/>
    <w:rsid w:val="00DB3AFB"/>
    <w:rsid w:val="00DB5F8B"/>
    <w:rsid w:val="00DB6262"/>
    <w:rsid w:val="00DC06FF"/>
    <w:rsid w:val="00DC0AC3"/>
    <w:rsid w:val="00DC10DE"/>
    <w:rsid w:val="00DC2AD4"/>
    <w:rsid w:val="00DC3E22"/>
    <w:rsid w:val="00DC51B8"/>
    <w:rsid w:val="00DC5611"/>
    <w:rsid w:val="00DD16C4"/>
    <w:rsid w:val="00DD2CA6"/>
    <w:rsid w:val="00DD7351"/>
    <w:rsid w:val="00DE0307"/>
    <w:rsid w:val="00DE176E"/>
    <w:rsid w:val="00DE1A6A"/>
    <w:rsid w:val="00DE2044"/>
    <w:rsid w:val="00DE36E1"/>
    <w:rsid w:val="00DE5527"/>
    <w:rsid w:val="00DE5DED"/>
    <w:rsid w:val="00DE795C"/>
    <w:rsid w:val="00DF0856"/>
    <w:rsid w:val="00DF1BC3"/>
    <w:rsid w:val="00DF412B"/>
    <w:rsid w:val="00E0627F"/>
    <w:rsid w:val="00E062C2"/>
    <w:rsid w:val="00E063B8"/>
    <w:rsid w:val="00E06742"/>
    <w:rsid w:val="00E06EFB"/>
    <w:rsid w:val="00E14716"/>
    <w:rsid w:val="00E15AE4"/>
    <w:rsid w:val="00E172FA"/>
    <w:rsid w:val="00E23136"/>
    <w:rsid w:val="00E241DF"/>
    <w:rsid w:val="00E24A72"/>
    <w:rsid w:val="00E26973"/>
    <w:rsid w:val="00E2743B"/>
    <w:rsid w:val="00E318A9"/>
    <w:rsid w:val="00E31C10"/>
    <w:rsid w:val="00E3274F"/>
    <w:rsid w:val="00E35134"/>
    <w:rsid w:val="00E3522D"/>
    <w:rsid w:val="00E41B7B"/>
    <w:rsid w:val="00E41C3D"/>
    <w:rsid w:val="00E41E98"/>
    <w:rsid w:val="00E42461"/>
    <w:rsid w:val="00E43132"/>
    <w:rsid w:val="00E440D1"/>
    <w:rsid w:val="00E44A28"/>
    <w:rsid w:val="00E45B48"/>
    <w:rsid w:val="00E46DD9"/>
    <w:rsid w:val="00E47604"/>
    <w:rsid w:val="00E47B53"/>
    <w:rsid w:val="00E5142E"/>
    <w:rsid w:val="00E5171A"/>
    <w:rsid w:val="00E51AEA"/>
    <w:rsid w:val="00E543E0"/>
    <w:rsid w:val="00E55045"/>
    <w:rsid w:val="00E5538F"/>
    <w:rsid w:val="00E55B4B"/>
    <w:rsid w:val="00E55C8A"/>
    <w:rsid w:val="00E56F48"/>
    <w:rsid w:val="00E57DBC"/>
    <w:rsid w:val="00E7039E"/>
    <w:rsid w:val="00E72519"/>
    <w:rsid w:val="00E72878"/>
    <w:rsid w:val="00E7358D"/>
    <w:rsid w:val="00E747B2"/>
    <w:rsid w:val="00E77B82"/>
    <w:rsid w:val="00E803BC"/>
    <w:rsid w:val="00E81B1A"/>
    <w:rsid w:val="00E835CD"/>
    <w:rsid w:val="00E85DE3"/>
    <w:rsid w:val="00E87339"/>
    <w:rsid w:val="00E876FD"/>
    <w:rsid w:val="00E90CB1"/>
    <w:rsid w:val="00E90DF9"/>
    <w:rsid w:val="00E92453"/>
    <w:rsid w:val="00E94554"/>
    <w:rsid w:val="00E95AA0"/>
    <w:rsid w:val="00E964CE"/>
    <w:rsid w:val="00E96546"/>
    <w:rsid w:val="00E96862"/>
    <w:rsid w:val="00EA08DF"/>
    <w:rsid w:val="00EA0971"/>
    <w:rsid w:val="00EA3682"/>
    <w:rsid w:val="00EA5E03"/>
    <w:rsid w:val="00EA77E0"/>
    <w:rsid w:val="00EB059E"/>
    <w:rsid w:val="00EB13F9"/>
    <w:rsid w:val="00EB1F57"/>
    <w:rsid w:val="00EB2027"/>
    <w:rsid w:val="00EB2256"/>
    <w:rsid w:val="00EB25BD"/>
    <w:rsid w:val="00EB2BC1"/>
    <w:rsid w:val="00EB6F8F"/>
    <w:rsid w:val="00EC14EC"/>
    <w:rsid w:val="00EC4775"/>
    <w:rsid w:val="00EC57C1"/>
    <w:rsid w:val="00EC5D6E"/>
    <w:rsid w:val="00EC6578"/>
    <w:rsid w:val="00ED0588"/>
    <w:rsid w:val="00ED1A7F"/>
    <w:rsid w:val="00ED3BDB"/>
    <w:rsid w:val="00ED77AD"/>
    <w:rsid w:val="00EE168C"/>
    <w:rsid w:val="00EE2328"/>
    <w:rsid w:val="00EE26DA"/>
    <w:rsid w:val="00EE55DC"/>
    <w:rsid w:val="00EF2DB7"/>
    <w:rsid w:val="00EF317A"/>
    <w:rsid w:val="00EF4045"/>
    <w:rsid w:val="00EF6AFE"/>
    <w:rsid w:val="00F00523"/>
    <w:rsid w:val="00F01393"/>
    <w:rsid w:val="00F019AE"/>
    <w:rsid w:val="00F0389B"/>
    <w:rsid w:val="00F113AB"/>
    <w:rsid w:val="00F11410"/>
    <w:rsid w:val="00F116F0"/>
    <w:rsid w:val="00F122E1"/>
    <w:rsid w:val="00F14176"/>
    <w:rsid w:val="00F142A9"/>
    <w:rsid w:val="00F14DB0"/>
    <w:rsid w:val="00F151B3"/>
    <w:rsid w:val="00F179A0"/>
    <w:rsid w:val="00F17EB3"/>
    <w:rsid w:val="00F20860"/>
    <w:rsid w:val="00F22909"/>
    <w:rsid w:val="00F240AA"/>
    <w:rsid w:val="00F2554F"/>
    <w:rsid w:val="00F26147"/>
    <w:rsid w:val="00F27CE6"/>
    <w:rsid w:val="00F3043D"/>
    <w:rsid w:val="00F31199"/>
    <w:rsid w:val="00F31A1B"/>
    <w:rsid w:val="00F34168"/>
    <w:rsid w:val="00F356FE"/>
    <w:rsid w:val="00F36D81"/>
    <w:rsid w:val="00F37374"/>
    <w:rsid w:val="00F425F2"/>
    <w:rsid w:val="00F42E5D"/>
    <w:rsid w:val="00F44C5F"/>
    <w:rsid w:val="00F4728B"/>
    <w:rsid w:val="00F502D6"/>
    <w:rsid w:val="00F50950"/>
    <w:rsid w:val="00F51398"/>
    <w:rsid w:val="00F51CEF"/>
    <w:rsid w:val="00F52893"/>
    <w:rsid w:val="00F52E80"/>
    <w:rsid w:val="00F5368B"/>
    <w:rsid w:val="00F5423C"/>
    <w:rsid w:val="00F55D0D"/>
    <w:rsid w:val="00F571EB"/>
    <w:rsid w:val="00F61957"/>
    <w:rsid w:val="00F62FD8"/>
    <w:rsid w:val="00F64361"/>
    <w:rsid w:val="00F64F1F"/>
    <w:rsid w:val="00F65F49"/>
    <w:rsid w:val="00F6601D"/>
    <w:rsid w:val="00F6628B"/>
    <w:rsid w:val="00F67B3F"/>
    <w:rsid w:val="00F756CE"/>
    <w:rsid w:val="00F756D7"/>
    <w:rsid w:val="00F758FB"/>
    <w:rsid w:val="00F90E83"/>
    <w:rsid w:val="00F91BFC"/>
    <w:rsid w:val="00F92955"/>
    <w:rsid w:val="00F94227"/>
    <w:rsid w:val="00F95096"/>
    <w:rsid w:val="00F951F2"/>
    <w:rsid w:val="00F957A0"/>
    <w:rsid w:val="00F96B7B"/>
    <w:rsid w:val="00F97B49"/>
    <w:rsid w:val="00FA0489"/>
    <w:rsid w:val="00FA142A"/>
    <w:rsid w:val="00FA20EA"/>
    <w:rsid w:val="00FA404A"/>
    <w:rsid w:val="00FA447E"/>
    <w:rsid w:val="00FA6F19"/>
    <w:rsid w:val="00FA7222"/>
    <w:rsid w:val="00FA7559"/>
    <w:rsid w:val="00FB1BDF"/>
    <w:rsid w:val="00FB368A"/>
    <w:rsid w:val="00FB48A8"/>
    <w:rsid w:val="00FB63C0"/>
    <w:rsid w:val="00FC0815"/>
    <w:rsid w:val="00FC1068"/>
    <w:rsid w:val="00FC12B3"/>
    <w:rsid w:val="00FC1C6A"/>
    <w:rsid w:val="00FC1CBF"/>
    <w:rsid w:val="00FC38A8"/>
    <w:rsid w:val="00FC488A"/>
    <w:rsid w:val="00FC61C6"/>
    <w:rsid w:val="00FC6461"/>
    <w:rsid w:val="00FC690C"/>
    <w:rsid w:val="00FC697E"/>
    <w:rsid w:val="00FC7386"/>
    <w:rsid w:val="00FC769D"/>
    <w:rsid w:val="00FD20A1"/>
    <w:rsid w:val="00FD4395"/>
    <w:rsid w:val="00FD5D67"/>
    <w:rsid w:val="00FD65A4"/>
    <w:rsid w:val="00FE06DE"/>
    <w:rsid w:val="00FE085C"/>
    <w:rsid w:val="00FE1B66"/>
    <w:rsid w:val="00FE1D6A"/>
    <w:rsid w:val="00FE3E8C"/>
    <w:rsid w:val="00FE5A7E"/>
    <w:rsid w:val="00FE6FF8"/>
    <w:rsid w:val="00FE7B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BDFA9-CF36-4D1C-AA8E-E8ECDA05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C2"/>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D936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 w:type="character" w:customStyle="1" w:styleId="Heading2Char">
    <w:name w:val="Heading 2 Char"/>
    <w:basedOn w:val="DefaultParagraphFont"/>
    <w:link w:val="Heading2"/>
    <w:uiPriority w:val="9"/>
    <w:semiHidden/>
    <w:rsid w:val="00D936F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378D3"/>
    <w:rPr>
      <w:sz w:val="16"/>
      <w:szCs w:val="16"/>
    </w:rPr>
  </w:style>
  <w:style w:type="paragraph" w:styleId="CommentText">
    <w:name w:val="annotation text"/>
    <w:basedOn w:val="Normal"/>
    <w:link w:val="CommentTextChar"/>
    <w:uiPriority w:val="99"/>
    <w:semiHidden/>
    <w:unhideWhenUsed/>
    <w:rsid w:val="003378D3"/>
    <w:pPr>
      <w:spacing w:line="240" w:lineRule="auto"/>
    </w:pPr>
    <w:rPr>
      <w:sz w:val="20"/>
      <w:szCs w:val="20"/>
    </w:rPr>
  </w:style>
  <w:style w:type="character" w:customStyle="1" w:styleId="CommentTextChar">
    <w:name w:val="Comment Text Char"/>
    <w:basedOn w:val="DefaultParagraphFont"/>
    <w:link w:val="CommentText"/>
    <w:uiPriority w:val="99"/>
    <w:semiHidden/>
    <w:rsid w:val="003378D3"/>
    <w:rPr>
      <w:sz w:val="20"/>
      <w:szCs w:val="20"/>
    </w:rPr>
  </w:style>
  <w:style w:type="paragraph" w:styleId="CommentSubject">
    <w:name w:val="annotation subject"/>
    <w:basedOn w:val="CommentText"/>
    <w:next w:val="CommentText"/>
    <w:link w:val="CommentSubjectChar"/>
    <w:uiPriority w:val="99"/>
    <w:semiHidden/>
    <w:unhideWhenUsed/>
    <w:rsid w:val="003378D3"/>
    <w:rPr>
      <w:b/>
      <w:bCs/>
    </w:rPr>
  </w:style>
  <w:style w:type="character" w:customStyle="1" w:styleId="CommentSubjectChar">
    <w:name w:val="Comment Subject Char"/>
    <w:basedOn w:val="CommentTextChar"/>
    <w:link w:val="CommentSubject"/>
    <w:uiPriority w:val="99"/>
    <w:semiHidden/>
    <w:rsid w:val="003378D3"/>
    <w:rPr>
      <w:b/>
      <w:bCs/>
      <w:sz w:val="20"/>
      <w:szCs w:val="20"/>
    </w:rPr>
  </w:style>
  <w:style w:type="character" w:customStyle="1" w:styleId="ltkoo">
    <w:name w:val="ltkoo"/>
    <w:basedOn w:val="DefaultParagraphFont"/>
    <w:rsid w:val="009B6F5D"/>
  </w:style>
  <w:style w:type="character" w:customStyle="1" w:styleId="fe69if">
    <w:name w:val="fe69if"/>
    <w:basedOn w:val="DefaultParagraphFont"/>
    <w:rsid w:val="009B6F5D"/>
  </w:style>
  <w:style w:type="character" w:styleId="Emphasis">
    <w:name w:val="Emphasis"/>
    <w:basedOn w:val="DefaultParagraphFont"/>
    <w:uiPriority w:val="20"/>
    <w:qFormat/>
    <w:rsid w:val="00563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206990166">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81699298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916943190">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195966643">
      <w:bodyDiv w:val="1"/>
      <w:marLeft w:val="0"/>
      <w:marRight w:val="0"/>
      <w:marTop w:val="0"/>
      <w:marBottom w:val="0"/>
      <w:divBdr>
        <w:top w:val="none" w:sz="0" w:space="0" w:color="auto"/>
        <w:left w:val="none" w:sz="0" w:space="0" w:color="auto"/>
        <w:bottom w:val="none" w:sz="0" w:space="0" w:color="auto"/>
        <w:right w:val="none" w:sz="0" w:space="0" w:color="auto"/>
      </w:divBdr>
      <w:divsChild>
        <w:div w:id="437678988">
          <w:marLeft w:val="1293"/>
          <w:marRight w:val="0"/>
          <w:marTop w:val="0"/>
          <w:marBottom w:val="180"/>
          <w:divBdr>
            <w:top w:val="none" w:sz="0" w:space="0" w:color="auto"/>
            <w:left w:val="none" w:sz="0" w:space="0" w:color="auto"/>
            <w:bottom w:val="none" w:sz="0" w:space="0" w:color="auto"/>
            <w:right w:val="none" w:sz="0" w:space="0" w:color="auto"/>
          </w:divBdr>
        </w:div>
        <w:div w:id="1642803544">
          <w:marLeft w:val="1984"/>
          <w:marRight w:val="0"/>
          <w:marTop w:val="0"/>
          <w:marBottom w:val="180"/>
          <w:divBdr>
            <w:top w:val="none" w:sz="0" w:space="0" w:color="auto"/>
            <w:left w:val="none" w:sz="0" w:space="0" w:color="auto"/>
            <w:bottom w:val="none" w:sz="0" w:space="0" w:color="auto"/>
            <w:right w:val="none" w:sz="0" w:space="0" w:color="auto"/>
          </w:divBdr>
        </w:div>
        <w:div w:id="313528540">
          <w:marLeft w:val="1984"/>
          <w:marRight w:val="0"/>
          <w:marTop w:val="0"/>
          <w:marBottom w:val="180"/>
          <w:divBdr>
            <w:top w:val="none" w:sz="0" w:space="0" w:color="auto"/>
            <w:left w:val="none" w:sz="0" w:space="0" w:color="auto"/>
            <w:bottom w:val="none" w:sz="0" w:space="0" w:color="auto"/>
            <w:right w:val="none" w:sz="0" w:space="0" w:color="auto"/>
          </w:divBdr>
        </w:div>
        <w:div w:id="1459227994">
          <w:marLeft w:val="1984"/>
          <w:marRight w:val="0"/>
          <w:marTop w:val="0"/>
          <w:marBottom w:val="180"/>
          <w:divBdr>
            <w:top w:val="none" w:sz="0" w:space="0" w:color="auto"/>
            <w:left w:val="none" w:sz="0" w:space="0" w:color="auto"/>
            <w:bottom w:val="none" w:sz="0" w:space="0" w:color="auto"/>
            <w:right w:val="none" w:sz="0" w:space="0" w:color="auto"/>
          </w:divBdr>
        </w:div>
      </w:divsChild>
    </w:div>
    <w:div w:id="124079745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00328606">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58186521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795099315">
      <w:bodyDiv w:val="1"/>
      <w:marLeft w:val="0"/>
      <w:marRight w:val="0"/>
      <w:marTop w:val="0"/>
      <w:marBottom w:val="0"/>
      <w:divBdr>
        <w:top w:val="none" w:sz="0" w:space="0" w:color="auto"/>
        <w:left w:val="none" w:sz="0" w:space="0" w:color="auto"/>
        <w:bottom w:val="none" w:sz="0" w:space="0" w:color="auto"/>
        <w:right w:val="none" w:sz="0" w:space="0" w:color="auto"/>
      </w:divBdr>
      <w:divsChild>
        <w:div w:id="496918468">
          <w:marLeft w:val="0"/>
          <w:marRight w:val="0"/>
          <w:marTop w:val="0"/>
          <w:marBottom w:val="0"/>
          <w:divBdr>
            <w:top w:val="none" w:sz="0" w:space="0" w:color="auto"/>
            <w:left w:val="none" w:sz="0" w:space="0" w:color="auto"/>
            <w:bottom w:val="none" w:sz="0" w:space="0" w:color="auto"/>
            <w:right w:val="none" w:sz="0" w:space="0" w:color="auto"/>
          </w:divBdr>
        </w:div>
        <w:div w:id="1352301759">
          <w:marLeft w:val="0"/>
          <w:marRight w:val="0"/>
          <w:marTop w:val="0"/>
          <w:marBottom w:val="0"/>
          <w:divBdr>
            <w:top w:val="none" w:sz="0" w:space="0" w:color="auto"/>
            <w:left w:val="none" w:sz="0" w:space="0" w:color="auto"/>
            <w:bottom w:val="none" w:sz="0" w:space="0" w:color="auto"/>
            <w:right w:val="none" w:sz="0" w:space="0" w:color="auto"/>
          </w:divBdr>
          <w:divsChild>
            <w:div w:id="1160921408">
              <w:marLeft w:val="0"/>
              <w:marRight w:val="0"/>
              <w:marTop w:val="0"/>
              <w:marBottom w:val="0"/>
              <w:divBdr>
                <w:top w:val="none" w:sz="0" w:space="0" w:color="auto"/>
                <w:left w:val="none" w:sz="0" w:space="0" w:color="auto"/>
                <w:bottom w:val="none" w:sz="0" w:space="0" w:color="auto"/>
                <w:right w:val="none" w:sz="0" w:space="0" w:color="auto"/>
              </w:divBdr>
              <w:divsChild>
                <w:div w:id="1175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47">
          <w:marLeft w:val="0"/>
          <w:marRight w:val="0"/>
          <w:marTop w:val="0"/>
          <w:marBottom w:val="0"/>
          <w:divBdr>
            <w:top w:val="none" w:sz="0" w:space="0" w:color="auto"/>
            <w:left w:val="none" w:sz="0" w:space="0" w:color="auto"/>
            <w:bottom w:val="none" w:sz="0" w:space="0" w:color="auto"/>
            <w:right w:val="none" w:sz="0" w:space="0" w:color="auto"/>
          </w:divBdr>
          <w:divsChild>
            <w:div w:id="15923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24179801">
      <w:bodyDiv w:val="1"/>
      <w:marLeft w:val="0"/>
      <w:marRight w:val="0"/>
      <w:marTop w:val="0"/>
      <w:marBottom w:val="0"/>
      <w:divBdr>
        <w:top w:val="none" w:sz="0" w:space="0" w:color="auto"/>
        <w:left w:val="none" w:sz="0" w:space="0" w:color="auto"/>
        <w:bottom w:val="none" w:sz="0" w:space="0" w:color="auto"/>
        <w:right w:val="none" w:sz="0" w:space="0" w:color="auto"/>
      </w:divBdr>
      <w:divsChild>
        <w:div w:id="494104155">
          <w:marLeft w:val="0"/>
          <w:marRight w:val="0"/>
          <w:marTop w:val="0"/>
          <w:marBottom w:val="0"/>
          <w:divBdr>
            <w:top w:val="none" w:sz="0" w:space="0" w:color="auto"/>
            <w:left w:val="none" w:sz="0" w:space="0" w:color="auto"/>
            <w:bottom w:val="none" w:sz="0" w:space="0" w:color="auto"/>
            <w:right w:val="none" w:sz="0" w:space="0" w:color="auto"/>
          </w:divBdr>
          <w:divsChild>
            <w:div w:id="2004704033">
              <w:marLeft w:val="0"/>
              <w:marRight w:val="0"/>
              <w:marTop w:val="0"/>
              <w:marBottom w:val="0"/>
              <w:divBdr>
                <w:top w:val="none" w:sz="0" w:space="0" w:color="auto"/>
                <w:left w:val="none" w:sz="0" w:space="0" w:color="auto"/>
                <w:bottom w:val="none" w:sz="0" w:space="0" w:color="auto"/>
                <w:right w:val="none" w:sz="0" w:space="0" w:color="auto"/>
              </w:divBdr>
            </w:div>
          </w:divsChild>
        </w:div>
        <w:div w:id="904755392">
          <w:marLeft w:val="0"/>
          <w:marRight w:val="0"/>
          <w:marTop w:val="0"/>
          <w:marBottom w:val="0"/>
          <w:divBdr>
            <w:top w:val="none" w:sz="0" w:space="0" w:color="auto"/>
            <w:left w:val="none" w:sz="0" w:space="0" w:color="auto"/>
            <w:bottom w:val="none" w:sz="0" w:space="0" w:color="auto"/>
            <w:right w:val="none" w:sz="0" w:space="0" w:color="auto"/>
          </w:divBdr>
          <w:divsChild>
            <w:div w:id="1927377225">
              <w:marLeft w:val="0"/>
              <w:marRight w:val="0"/>
              <w:marTop w:val="0"/>
              <w:marBottom w:val="0"/>
              <w:divBdr>
                <w:top w:val="none" w:sz="0" w:space="0" w:color="auto"/>
                <w:left w:val="none" w:sz="0" w:space="0" w:color="auto"/>
                <w:bottom w:val="none" w:sz="0" w:space="0" w:color="auto"/>
                <w:right w:val="none" w:sz="0" w:space="0" w:color="auto"/>
              </w:divBdr>
              <w:divsChild>
                <w:div w:id="454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9796">
          <w:marLeft w:val="0"/>
          <w:marRight w:val="0"/>
          <w:marTop w:val="0"/>
          <w:marBottom w:val="0"/>
          <w:divBdr>
            <w:top w:val="none" w:sz="0" w:space="0" w:color="auto"/>
            <w:left w:val="none" w:sz="0" w:space="0" w:color="auto"/>
            <w:bottom w:val="none" w:sz="0" w:space="0" w:color="auto"/>
            <w:right w:val="none" w:sz="0" w:space="0" w:color="auto"/>
          </w:divBdr>
        </w:div>
      </w:divsChild>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0AF8-47FE-4E4C-A2F2-B5B85539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Daniso Nokuthula</dc:creator>
  <cp:keywords/>
  <dc:description/>
  <cp:lastModifiedBy>Mokone</cp:lastModifiedBy>
  <cp:revision>2</cp:revision>
  <cp:lastPrinted>2023-02-03T10:38:00Z</cp:lastPrinted>
  <dcterms:created xsi:type="dcterms:W3CDTF">2023-02-10T07:11:00Z</dcterms:created>
  <dcterms:modified xsi:type="dcterms:W3CDTF">2023-02-10T07:11:00Z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5c989a70c30e931e1ee1ccf7aa932b579b09fe6b9038df22bb3895569a867180</vt:lpwstr>
  </property>
</Properties>
</file>