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8" w:rsidRDefault="00302938" w:rsidP="00302938">
      <w:pPr>
        <w:spacing w:after="0" w:line="240" w:lineRule="auto"/>
        <w:jc w:val="center"/>
        <w:rPr>
          <w:rFonts w:ascii="Arial" w:hAnsi="Arial" w:cs="Arial"/>
          <w:b/>
          <w:sz w:val="24"/>
          <w:szCs w:val="24"/>
          <w:u w:val="single"/>
        </w:rPr>
      </w:pPr>
      <w:bookmarkStart w:id="0" w:name="_GoBack"/>
      <w:bookmarkEnd w:id="0"/>
      <w:r>
        <w:rPr>
          <w:noProof/>
          <w:lang w:val="en-US"/>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3539B9"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         </w:t>
      </w:r>
      <w:r w:rsidR="00B76A17">
        <w:rPr>
          <w:rFonts w:ascii="Arial" w:hAnsi="Arial"/>
          <w:sz w:val="24"/>
          <w:szCs w:val="24"/>
        </w:rPr>
        <w:t xml:space="preserve"> Case Number: </w:t>
      </w:r>
      <w:r w:rsidR="00561E71">
        <w:rPr>
          <w:rFonts w:ascii="Arial" w:hAnsi="Arial"/>
          <w:sz w:val="24"/>
          <w:szCs w:val="24"/>
        </w:rPr>
        <w:t>1094/2023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Default="00561E71"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r>
        <w:rPr>
          <w:rFonts w:ascii="Arial" w:hAnsi="Arial"/>
          <w:b/>
          <w:bCs/>
          <w:sz w:val="24"/>
          <w:szCs w:val="24"/>
        </w:rPr>
        <w:t>ZESTIBEX CC</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3539B9">
        <w:rPr>
          <w:rFonts w:ascii="Arial" w:hAnsi="Arial"/>
          <w:b/>
          <w:bCs/>
          <w:sz w:val="24"/>
          <w:szCs w:val="24"/>
        </w:rPr>
        <w:tab/>
      </w:r>
      <w:r w:rsidR="003539B9">
        <w:rPr>
          <w:rFonts w:ascii="Arial" w:hAnsi="Arial"/>
          <w:b/>
          <w:bCs/>
          <w:sz w:val="24"/>
          <w:szCs w:val="24"/>
        </w:rPr>
        <w:tab/>
      </w:r>
      <w:r w:rsidR="00C40F73">
        <w:rPr>
          <w:rFonts w:ascii="Arial" w:hAnsi="Arial"/>
          <w:b/>
          <w:bCs/>
          <w:sz w:val="24"/>
          <w:szCs w:val="24"/>
        </w:rPr>
        <w:tab/>
      </w:r>
      <w:r>
        <w:rPr>
          <w:rFonts w:ascii="Arial" w:hAnsi="Arial"/>
          <w:b/>
          <w:bCs/>
          <w:sz w:val="24"/>
          <w:szCs w:val="24"/>
        </w:rPr>
        <w:tab/>
      </w:r>
      <w:r w:rsidR="00C40F73">
        <w:rPr>
          <w:rFonts w:ascii="Arial" w:hAnsi="Arial"/>
          <w:b/>
          <w:sz w:val="24"/>
          <w:szCs w:val="24"/>
        </w:rPr>
        <w:t>APPLICANT</w:t>
      </w:r>
    </w:p>
    <w:p w:rsidR="00302938" w:rsidRDefault="00561E71"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sz w:val="24"/>
          <w:szCs w:val="24"/>
        </w:rPr>
      </w:pPr>
      <w:r>
        <w:rPr>
          <w:rFonts w:ascii="Arial" w:hAnsi="Arial" w:cs="Arial"/>
          <w:b/>
          <w:bCs/>
          <w:sz w:val="24"/>
          <w:szCs w:val="24"/>
        </w:rPr>
        <w:t>t/a SILENT ALARMS</w:t>
      </w:r>
    </w:p>
    <w:p w:rsidR="00561E71" w:rsidRPr="008B13F6" w:rsidRDefault="00561E71"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sz w:val="24"/>
          <w:szCs w:val="24"/>
        </w:rPr>
      </w:pPr>
      <w:r>
        <w:rPr>
          <w:rFonts w:ascii="Arial" w:hAnsi="Arial" w:cs="Arial"/>
          <w:b/>
          <w:bCs/>
          <w:sz w:val="24"/>
          <w:szCs w:val="24"/>
        </w:rPr>
        <w:t>[Registration number: 2011/048206/23]</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561E71" w:rsidRDefault="00561E71"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cs="Arial"/>
          <w:sz w:val="24"/>
          <w:szCs w:val="24"/>
        </w:rPr>
      </w:pPr>
    </w:p>
    <w:p w:rsidR="003539B9" w:rsidRDefault="00561E71"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cs="Arial"/>
          <w:b/>
          <w:sz w:val="24"/>
          <w:szCs w:val="24"/>
        </w:rPr>
        <w:t>MARIA MAGDALENA WILLEMSE</w:t>
      </w:r>
      <w:r w:rsidR="00843EE5">
        <w:rPr>
          <w:rFonts w:ascii="Arial" w:hAnsi="Arial"/>
          <w:b/>
          <w:sz w:val="24"/>
          <w:szCs w:val="24"/>
        </w:rPr>
        <w:t xml:space="preserve">       </w:t>
      </w:r>
      <w:r w:rsidR="003C6C83">
        <w:rPr>
          <w:rFonts w:ascii="Arial" w:hAnsi="Arial"/>
          <w:b/>
          <w:bCs/>
          <w:sz w:val="24"/>
          <w:szCs w:val="24"/>
        </w:rPr>
        <w:t xml:space="preserve">        </w:t>
      </w:r>
      <w:r w:rsidR="00302938">
        <w:rPr>
          <w:rFonts w:ascii="Arial" w:hAnsi="Arial"/>
          <w:b/>
          <w:bCs/>
          <w:sz w:val="24"/>
          <w:szCs w:val="24"/>
        </w:rPr>
        <w:tab/>
      </w:r>
      <w:r w:rsidR="00302938">
        <w:rPr>
          <w:rFonts w:ascii="Arial" w:hAnsi="Arial"/>
          <w:b/>
          <w:bCs/>
          <w:sz w:val="24"/>
          <w:szCs w:val="24"/>
        </w:rPr>
        <w:tab/>
      </w:r>
      <w:r w:rsidR="00302938" w:rsidRPr="008B13F6">
        <w:rPr>
          <w:rFonts w:ascii="Arial" w:hAnsi="Arial"/>
          <w:b/>
          <w:bCs/>
          <w:sz w:val="24"/>
          <w:szCs w:val="24"/>
        </w:rPr>
        <w:tab/>
      </w:r>
      <w:r w:rsidR="00C40F73">
        <w:rPr>
          <w:rFonts w:ascii="Arial" w:hAnsi="Arial"/>
          <w:b/>
          <w:bCs/>
          <w:sz w:val="24"/>
          <w:szCs w:val="24"/>
        </w:rPr>
        <w:t>1</w:t>
      </w:r>
      <w:r w:rsidR="00C40F73" w:rsidRPr="00C40F73">
        <w:rPr>
          <w:rFonts w:ascii="Arial" w:hAnsi="Arial"/>
          <w:b/>
          <w:bCs/>
          <w:sz w:val="24"/>
          <w:szCs w:val="24"/>
          <w:vertAlign w:val="superscript"/>
        </w:rPr>
        <w:t>ST</w:t>
      </w:r>
      <w:r w:rsidR="00C40F73">
        <w:rPr>
          <w:rFonts w:ascii="Arial" w:hAnsi="Arial"/>
          <w:b/>
          <w:bCs/>
          <w:sz w:val="24"/>
          <w:szCs w:val="24"/>
        </w:rPr>
        <w:t xml:space="preserve"> RESPONDENT</w:t>
      </w:r>
    </w:p>
    <w:p w:rsidR="00C40F73" w:rsidRDefault="00C40F7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rsidR="00C40F73" w:rsidRDefault="00561E71"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BETHNET SECURITY</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C40F73">
        <w:rPr>
          <w:rFonts w:ascii="Arial" w:hAnsi="Arial"/>
          <w:b/>
          <w:bCs/>
          <w:sz w:val="24"/>
          <w:szCs w:val="24"/>
        </w:rPr>
        <w:tab/>
      </w:r>
      <w:r w:rsidR="00C40F73">
        <w:rPr>
          <w:rFonts w:ascii="Arial" w:hAnsi="Arial"/>
          <w:b/>
          <w:bCs/>
          <w:sz w:val="24"/>
          <w:szCs w:val="24"/>
        </w:rPr>
        <w:tab/>
        <w:t>2</w:t>
      </w:r>
      <w:r w:rsidR="00C40F73" w:rsidRPr="00C40F73">
        <w:rPr>
          <w:rFonts w:ascii="Arial" w:hAnsi="Arial"/>
          <w:b/>
          <w:bCs/>
          <w:sz w:val="24"/>
          <w:szCs w:val="24"/>
          <w:vertAlign w:val="superscript"/>
        </w:rPr>
        <w:t>ND</w:t>
      </w:r>
      <w:r w:rsidR="00C40F73">
        <w:rPr>
          <w:rFonts w:ascii="Arial" w:hAnsi="Arial"/>
          <w:b/>
          <w:bCs/>
          <w:sz w:val="24"/>
          <w:szCs w:val="24"/>
        </w:rPr>
        <w:t xml:space="preserve"> RESPONDENT</w:t>
      </w:r>
    </w:p>
    <w:p w:rsidR="00561E71" w:rsidRDefault="00561E71"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t/a BETHSEC</w:t>
      </w:r>
    </w:p>
    <w:p w:rsidR="003539B9" w:rsidRDefault="003539B9"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5A20A9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0166D">
        <w:rPr>
          <w:rFonts w:ascii="Arial" w:hAnsi="Arial"/>
          <w:b/>
          <w:sz w:val="24"/>
          <w:szCs w:val="24"/>
        </w:rPr>
        <w:t>M</w:t>
      </w:r>
      <w:r w:rsidR="00D34925" w:rsidRPr="00C0166D">
        <w:rPr>
          <w:rFonts w:ascii="Arial" w:hAnsi="Arial"/>
          <w:b/>
          <w:sz w:val="24"/>
          <w:szCs w:val="24"/>
        </w:rPr>
        <w:t>BHELE</w:t>
      </w:r>
      <w:r w:rsidRPr="00C0166D">
        <w:rPr>
          <w:rFonts w:ascii="Arial" w:hAnsi="Arial"/>
          <w:b/>
          <w:sz w:val="24"/>
          <w:szCs w:val="24"/>
        </w:rPr>
        <w:t xml:space="preserve">, </w:t>
      </w:r>
      <w:r w:rsidR="003C6C83" w:rsidRPr="00C0166D">
        <w:rPr>
          <w:rFonts w:ascii="Arial" w:hAnsi="Arial"/>
          <w:b/>
          <w:sz w:val="24"/>
          <w:szCs w:val="24"/>
        </w:rPr>
        <w:t>D</w:t>
      </w:r>
      <w:r w:rsidRPr="00C0166D">
        <w:rPr>
          <w:rFonts w:ascii="Arial" w:hAnsi="Arial"/>
          <w:b/>
          <w:sz w:val="24"/>
          <w:szCs w:val="24"/>
        </w:rPr>
        <w:t>JP</w:t>
      </w:r>
      <w:r w:rsidR="00561E71">
        <w:rPr>
          <w:rFonts w:ascii="Arial" w:hAnsi="Arial"/>
          <w:b/>
          <w:sz w:val="24"/>
          <w:szCs w:val="24"/>
        </w:rPr>
        <w:t xml:space="preserve">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6BE9782"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sidR="00891DEF">
        <w:rPr>
          <w:rFonts w:ascii="Arial" w:hAnsi="Arial" w:cs="Arial"/>
          <w:sz w:val="24"/>
          <w:szCs w:val="24"/>
        </w:rPr>
        <w:tab/>
      </w:r>
      <w:r w:rsidR="007C3B56">
        <w:rPr>
          <w:rFonts w:ascii="Arial" w:hAnsi="Arial" w:cs="Arial"/>
          <w:sz w:val="24"/>
          <w:szCs w:val="24"/>
        </w:rPr>
        <w:t>15 JUNE 2023</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7455FD7"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7C3B56">
        <w:rPr>
          <w:rFonts w:ascii="Arial" w:hAnsi="Arial" w:cs="Arial"/>
          <w:sz w:val="24"/>
          <w:szCs w:val="24"/>
        </w:rPr>
        <w:t>26 SEPTEMBER 2023</w:t>
      </w:r>
    </w:p>
    <w:p w:rsidR="00302938" w:rsidRDefault="00302938" w:rsidP="00C0166D">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7201AA9"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B97CA3" w:rsidRDefault="00B97CA3" w:rsidP="00F76B55">
      <w:pPr>
        <w:pStyle w:val="Default"/>
        <w:spacing w:line="360" w:lineRule="auto"/>
        <w:ind w:left="709" w:hanging="709"/>
        <w:jc w:val="both"/>
      </w:pPr>
    </w:p>
    <w:p w:rsidR="00C0166D" w:rsidRDefault="001913D9" w:rsidP="00F76B55">
      <w:pPr>
        <w:pStyle w:val="Default"/>
        <w:spacing w:line="360" w:lineRule="auto"/>
        <w:ind w:left="709" w:hanging="709"/>
        <w:jc w:val="both"/>
      </w:pPr>
      <w:r>
        <w:t>[1]</w:t>
      </w:r>
      <w:r w:rsidR="00B97CA3">
        <w:t xml:space="preserve"> </w:t>
      </w:r>
      <w:r>
        <w:tab/>
      </w:r>
      <w:r w:rsidR="005E3665">
        <w:t>Th</w:t>
      </w:r>
      <w:r w:rsidR="00E41F3A">
        <w:t xml:space="preserve">e applicant, </w:t>
      </w:r>
      <w:r w:rsidR="005E3665">
        <w:t>an erstwhile employer of the 1</w:t>
      </w:r>
      <w:r w:rsidR="005E3665" w:rsidRPr="005E3665">
        <w:rPr>
          <w:vertAlign w:val="superscript"/>
        </w:rPr>
        <w:t>st</w:t>
      </w:r>
      <w:r w:rsidR="005E3665">
        <w:t xml:space="preserve"> respondent</w:t>
      </w:r>
      <w:r w:rsidR="00E41F3A">
        <w:t>, approached this court seeking a relief enforcing a restraint of trade</w:t>
      </w:r>
      <w:r w:rsidR="005E3665">
        <w:t xml:space="preserve">. </w:t>
      </w:r>
      <w:r w:rsidR="005C0AF2">
        <w:t xml:space="preserve">The relief </w:t>
      </w:r>
      <w:r w:rsidR="0091559A">
        <w:t xml:space="preserve">is </w:t>
      </w:r>
      <w:r w:rsidR="005C0AF2">
        <w:t>sought in the following terms:</w:t>
      </w:r>
    </w:p>
    <w:p w:rsidR="005C0AF2" w:rsidRDefault="005C0AF2" w:rsidP="005C0AF2">
      <w:pPr>
        <w:pStyle w:val="Default"/>
        <w:spacing w:line="360" w:lineRule="auto"/>
        <w:ind w:left="1440" w:hanging="759"/>
        <w:jc w:val="both"/>
      </w:pPr>
    </w:p>
    <w:p w:rsidR="005C0AF2" w:rsidRDefault="005C0AF2" w:rsidP="005C0AF2">
      <w:pPr>
        <w:pStyle w:val="Default"/>
        <w:spacing w:line="360" w:lineRule="auto"/>
        <w:ind w:left="1440" w:hanging="759"/>
        <w:jc w:val="both"/>
      </w:pPr>
      <w:r>
        <w:lastRenderedPageBreak/>
        <w:t>1.1</w:t>
      </w:r>
      <w:r>
        <w:tab/>
        <w:t>The first respondent is interdicted until 28 Fe</w:t>
      </w:r>
      <w:r w:rsidR="009B7512">
        <w:t xml:space="preserve">bruary 2024, from either herself or as an agent, employee or partner of anyone else, persuade, solicit, encourage or provide any other employee of the </w:t>
      </w:r>
      <w:r w:rsidR="00084538">
        <w:t>applicant t</w:t>
      </w:r>
      <w:r w:rsidR="008B0BCE">
        <w:t xml:space="preserve">o become employee by, or </w:t>
      </w:r>
      <w:r w:rsidR="007C3B56">
        <w:t>interest in</w:t>
      </w:r>
      <w:r w:rsidR="00084538">
        <w:t xml:space="preserve"> any matter whatsoever in any other business, firm or undertaking which is in direct or indirect competition with the business carried out </w:t>
      </w:r>
      <w:r w:rsidR="007C3B56">
        <w:t>by the</w:t>
      </w:r>
      <w:r w:rsidR="00084538">
        <w:t xml:space="preserve"> applicant.</w:t>
      </w:r>
      <w:r w:rsidR="002D4581">
        <w:t xml:space="preserve"> (</w:t>
      </w:r>
      <w:r w:rsidR="007C3B56">
        <w:t>sic.</w:t>
      </w:r>
      <w:r w:rsidR="002D4581">
        <w:t>)</w:t>
      </w:r>
    </w:p>
    <w:p w:rsidR="005C0AF2" w:rsidRDefault="005C0AF2" w:rsidP="000C4D8E">
      <w:pPr>
        <w:pStyle w:val="Default"/>
        <w:spacing w:line="360" w:lineRule="auto"/>
        <w:jc w:val="both"/>
      </w:pPr>
    </w:p>
    <w:p w:rsidR="005C0AF2" w:rsidRDefault="005C0AF2" w:rsidP="005C0AF2">
      <w:pPr>
        <w:pStyle w:val="Default"/>
        <w:spacing w:line="360" w:lineRule="auto"/>
        <w:ind w:left="1440" w:hanging="759"/>
        <w:jc w:val="both"/>
      </w:pPr>
      <w:r>
        <w:t xml:space="preserve">1.2 </w:t>
      </w:r>
      <w:r>
        <w:tab/>
        <w:t xml:space="preserve">The first respondent is interdicted and shall not until 28 February </w:t>
      </w:r>
      <w:r w:rsidR="007C3B56">
        <w:t>2024, solicit, interfere</w:t>
      </w:r>
      <w:r>
        <w:t xml:space="preserve">, with or entice or endeavour to entice away from the applicant any person, firm or company who or which was a customer of the applicant or was accustomed to deal with the applicant. </w:t>
      </w:r>
    </w:p>
    <w:p w:rsidR="00084538" w:rsidRDefault="00084538" w:rsidP="005C0AF2">
      <w:pPr>
        <w:pStyle w:val="Default"/>
        <w:spacing w:line="360" w:lineRule="auto"/>
        <w:ind w:left="1440" w:hanging="759"/>
        <w:jc w:val="both"/>
      </w:pPr>
    </w:p>
    <w:p w:rsidR="00084538" w:rsidRDefault="00084538" w:rsidP="005C0AF2">
      <w:pPr>
        <w:pStyle w:val="Default"/>
        <w:spacing w:line="360" w:lineRule="auto"/>
        <w:ind w:left="1440" w:hanging="759"/>
        <w:jc w:val="both"/>
      </w:pPr>
      <w:r>
        <w:t>1.3</w:t>
      </w:r>
      <w:r>
        <w:tab/>
        <w:t xml:space="preserve">The interdicts in paragraphs 1 and 2 of this order shall operate in respect of a 50 kilometre radius of Bethlehem until 28 February 2024. </w:t>
      </w:r>
    </w:p>
    <w:p w:rsidR="00C0166D" w:rsidRDefault="00C0166D" w:rsidP="00F76B55">
      <w:pPr>
        <w:pStyle w:val="Default"/>
        <w:spacing w:line="360" w:lineRule="auto"/>
        <w:ind w:left="709" w:hanging="709"/>
        <w:jc w:val="both"/>
      </w:pPr>
    </w:p>
    <w:p w:rsidR="00426454" w:rsidRDefault="00C0166D" w:rsidP="00C40F73">
      <w:pPr>
        <w:pStyle w:val="Default"/>
        <w:spacing w:line="360" w:lineRule="auto"/>
        <w:ind w:left="709" w:hanging="709"/>
        <w:jc w:val="both"/>
      </w:pPr>
      <w:r>
        <w:t>[2]</w:t>
      </w:r>
      <w:r w:rsidR="00C40F73">
        <w:tab/>
      </w:r>
      <w:r w:rsidR="00426454">
        <w:t xml:space="preserve">The following are </w:t>
      </w:r>
      <w:r w:rsidR="00542A47">
        <w:t>common cause</w:t>
      </w:r>
      <w:r w:rsidR="00426454">
        <w:t xml:space="preserve">: </w:t>
      </w:r>
    </w:p>
    <w:p w:rsidR="00426454" w:rsidRDefault="00426454" w:rsidP="00C40F73">
      <w:pPr>
        <w:pStyle w:val="Default"/>
        <w:spacing w:line="360" w:lineRule="auto"/>
        <w:ind w:left="709" w:hanging="709"/>
        <w:jc w:val="both"/>
      </w:pPr>
      <w:r>
        <w:t xml:space="preserve">             That: </w:t>
      </w:r>
    </w:p>
    <w:p w:rsidR="00426454" w:rsidRDefault="00426454" w:rsidP="00426454">
      <w:pPr>
        <w:pStyle w:val="Default"/>
        <w:spacing w:line="360" w:lineRule="auto"/>
        <w:ind w:left="1440" w:hanging="759"/>
        <w:jc w:val="both"/>
      </w:pPr>
      <w:r>
        <w:t xml:space="preserve">2.1 </w:t>
      </w:r>
      <w:r>
        <w:tab/>
        <w:t xml:space="preserve">The applicant is a provider of security services in the Bethlehem area which include the installation of CCTV cameras, off-site monitoring, armed response reaction and associated services. </w:t>
      </w:r>
    </w:p>
    <w:p w:rsidR="000E3702" w:rsidRDefault="00426454" w:rsidP="00426454">
      <w:pPr>
        <w:pStyle w:val="Default"/>
        <w:spacing w:line="360" w:lineRule="auto"/>
        <w:ind w:left="1440" w:hanging="759"/>
        <w:jc w:val="both"/>
      </w:pPr>
      <w:r>
        <w:t>2.2</w:t>
      </w:r>
      <w:r>
        <w:tab/>
        <w:t xml:space="preserve">The applicant buys its security products from Spectrum Security Services (Pty) Ltd </w:t>
      </w:r>
      <w:r w:rsidR="007C3B56">
        <w:t>(Spectrum</w:t>
      </w:r>
      <w:r>
        <w:t>)</w:t>
      </w:r>
    </w:p>
    <w:p w:rsidR="00BD12A2" w:rsidRDefault="00BD12A2" w:rsidP="00426454">
      <w:pPr>
        <w:pStyle w:val="Default"/>
        <w:spacing w:line="360" w:lineRule="auto"/>
        <w:ind w:left="1440" w:hanging="759"/>
        <w:jc w:val="both"/>
      </w:pPr>
      <w:r>
        <w:t xml:space="preserve">2.3 </w:t>
      </w:r>
      <w:r>
        <w:tab/>
        <w:t>The first respondent left the applicant’s employment on 22 October 2022. During September 2022 the first respondent served a resignation letter on the applicant indicating that she would serve her notice until 22 October 2022. The applicant informed her on 14 October 2022 that it was no longer necessary fo</w:t>
      </w:r>
      <w:r w:rsidR="007830F2">
        <w:t>r her to serve her notice</w:t>
      </w:r>
      <w:r w:rsidR="001A18E9">
        <w:t xml:space="preserve"> period</w:t>
      </w:r>
      <w:r w:rsidR="007830F2">
        <w:t xml:space="preserve"> until 22 October 2022</w:t>
      </w:r>
      <w:r>
        <w:t xml:space="preserve"> and that she would be paid her full </w:t>
      </w:r>
      <w:r w:rsidR="007830F2">
        <w:t xml:space="preserve">salary. </w:t>
      </w:r>
    </w:p>
    <w:p w:rsidR="008B0BCE" w:rsidRDefault="008B0BCE" w:rsidP="00426454">
      <w:pPr>
        <w:pStyle w:val="Default"/>
        <w:spacing w:line="360" w:lineRule="auto"/>
        <w:ind w:left="1440" w:hanging="759"/>
        <w:jc w:val="both"/>
      </w:pPr>
      <w:r>
        <w:t xml:space="preserve">2.4 </w:t>
      </w:r>
      <w:r>
        <w:tab/>
        <w:t xml:space="preserve">The first respondent signed an employment contract containing confidentiality clause and restrained of trade clause with the </w:t>
      </w:r>
      <w:r w:rsidR="007C3B56">
        <w:t>applicant during</w:t>
      </w:r>
      <w:r>
        <w:t xml:space="preserve"> January 2019.</w:t>
      </w:r>
      <w:r w:rsidR="00A837C3">
        <w:t xml:space="preserve"> This contract imposed a restrained of</w:t>
      </w:r>
      <w:r w:rsidR="001A18E9">
        <w:t xml:space="preserve"> </w:t>
      </w:r>
      <w:r w:rsidR="00713ED6">
        <w:t xml:space="preserve">trade for 12 months. </w:t>
      </w:r>
    </w:p>
    <w:p w:rsidR="00713ED6" w:rsidRDefault="00713ED6" w:rsidP="00426454">
      <w:pPr>
        <w:pStyle w:val="Default"/>
        <w:spacing w:line="360" w:lineRule="auto"/>
        <w:ind w:left="1440" w:hanging="759"/>
        <w:jc w:val="both"/>
      </w:pPr>
      <w:r>
        <w:t>2.5</w:t>
      </w:r>
      <w:r>
        <w:tab/>
        <w:t xml:space="preserve">In terms of </w:t>
      </w:r>
      <w:r w:rsidR="00124F78">
        <w:t>this</w:t>
      </w:r>
      <w:r>
        <w:t xml:space="preserve"> contract the first respondent </w:t>
      </w:r>
      <w:r w:rsidR="00124F78">
        <w:t xml:space="preserve">agreed to, within a period of one year after termination of her service with the applicant not be </w:t>
      </w:r>
      <w:r w:rsidR="00124F78">
        <w:lastRenderedPageBreak/>
        <w:t xml:space="preserve">involved in a business that competes with the applicant within the Bethelem area. </w:t>
      </w:r>
    </w:p>
    <w:p w:rsidR="008B0BCE" w:rsidRDefault="008B0BCE" w:rsidP="00426454">
      <w:pPr>
        <w:pStyle w:val="Default"/>
        <w:spacing w:line="360" w:lineRule="auto"/>
        <w:ind w:left="1440" w:hanging="759"/>
        <w:jc w:val="both"/>
      </w:pPr>
      <w:r>
        <w:t xml:space="preserve">2.5 </w:t>
      </w:r>
      <w:r>
        <w:tab/>
        <w:t>The first respondent became an employee of the second respondent (Bethnet) on 22 October. Bethnet</w:t>
      </w:r>
      <w:r w:rsidR="001A18E9">
        <w:t xml:space="preserve"> does to a large </w:t>
      </w:r>
      <w:r w:rsidR="007C3B56">
        <w:t>extent render</w:t>
      </w:r>
      <w:r>
        <w:t xml:space="preserve"> the same type of security services </w:t>
      </w:r>
      <w:r w:rsidR="007C3B56">
        <w:t>as the</w:t>
      </w:r>
      <w:r>
        <w:t xml:space="preserve"> applicant. </w:t>
      </w:r>
    </w:p>
    <w:p w:rsidR="0094154F" w:rsidRDefault="007C3B56" w:rsidP="00426454">
      <w:pPr>
        <w:pStyle w:val="Default"/>
        <w:spacing w:line="360" w:lineRule="auto"/>
        <w:ind w:left="1440" w:hanging="759"/>
        <w:jc w:val="both"/>
      </w:pPr>
      <w:r>
        <w:t xml:space="preserve">2.6 </w:t>
      </w:r>
      <w:r>
        <w:tab/>
        <w:t>The</w:t>
      </w:r>
      <w:r w:rsidR="0094154F">
        <w:t xml:space="preserve"> applicant does not take issue with the first respondent’s employment at Bethnet but however insists that the first respondent should refrain from persuading, inducing, soliciting, encouraging or perocuring other employees or customers of the applicant to become employed by or contracted with Bethnet. </w:t>
      </w:r>
    </w:p>
    <w:p w:rsidR="008B0BCE" w:rsidRDefault="008B0BCE" w:rsidP="00426454">
      <w:pPr>
        <w:pStyle w:val="Default"/>
        <w:spacing w:line="360" w:lineRule="auto"/>
        <w:ind w:left="1440" w:hanging="759"/>
        <w:jc w:val="both"/>
      </w:pPr>
      <w:r>
        <w:t>2.6</w:t>
      </w:r>
      <w:r>
        <w:tab/>
        <w:t>The first respondent advertised on her facebook page and invited membe</w:t>
      </w:r>
      <w:r w:rsidR="001A18E9">
        <w:t>rs of the public to contact her</w:t>
      </w:r>
      <w:r w:rsidR="001D3EDA">
        <w:t xml:space="preserve"> </w:t>
      </w:r>
      <w:r>
        <w:t>for a free assessment of the</w:t>
      </w:r>
      <w:r w:rsidR="001D3EDA">
        <w:t xml:space="preserve">ir security needs. </w:t>
      </w:r>
      <w:r>
        <w:t xml:space="preserve">  </w:t>
      </w:r>
    </w:p>
    <w:p w:rsidR="00A837C3" w:rsidRDefault="00A837C3" w:rsidP="00426454">
      <w:pPr>
        <w:pStyle w:val="Default"/>
        <w:spacing w:line="360" w:lineRule="auto"/>
        <w:ind w:left="1440" w:hanging="759"/>
        <w:jc w:val="both"/>
      </w:pPr>
      <w:r>
        <w:t xml:space="preserve">2.7 </w:t>
      </w:r>
      <w:r>
        <w:tab/>
        <w:t>The first respondent was, over and above the employment</w:t>
      </w:r>
      <w:r w:rsidR="00E45BC3">
        <w:t xml:space="preserve"> contract signe</w:t>
      </w:r>
      <w:r w:rsidR="001A18E9">
        <w:t>d</w:t>
      </w:r>
      <w:r w:rsidR="00E45BC3">
        <w:t xml:space="preserve"> in 2019</w:t>
      </w:r>
      <w:r>
        <w:t xml:space="preserve">, made to sign a restraint of trade contract in July 2021 which imposed 18 </w:t>
      </w:r>
      <w:r w:rsidR="007C3B56">
        <w:t>months’</w:t>
      </w:r>
      <w:r>
        <w:t xml:space="preserve"> restraint of trade. </w:t>
      </w:r>
    </w:p>
    <w:p w:rsidR="00971223" w:rsidRDefault="00971223" w:rsidP="00426454">
      <w:pPr>
        <w:pStyle w:val="Default"/>
        <w:spacing w:line="360" w:lineRule="auto"/>
        <w:ind w:left="1440" w:hanging="759"/>
        <w:jc w:val="both"/>
      </w:pPr>
      <w:r>
        <w:t>2.8</w:t>
      </w:r>
      <w:r>
        <w:tab/>
        <w:t xml:space="preserve">At the end of March 2022 the applicant presented the first respondent with another employment contract which was only signed by the applicant. This contract imposed 12 months restraint of trade period. </w:t>
      </w:r>
    </w:p>
    <w:p w:rsidR="002C3611" w:rsidRDefault="002C3611" w:rsidP="00426454">
      <w:pPr>
        <w:pStyle w:val="Default"/>
        <w:spacing w:line="360" w:lineRule="auto"/>
        <w:ind w:left="1440" w:hanging="759"/>
        <w:jc w:val="both"/>
      </w:pPr>
      <w:r>
        <w:t>2.8</w:t>
      </w:r>
      <w:r w:rsidR="001A18E9">
        <w:t xml:space="preserve"> </w:t>
      </w:r>
      <w:r w:rsidR="001A18E9">
        <w:tab/>
        <w:t>The Bethnet received its PSIRA</w:t>
      </w:r>
      <w:r>
        <w:t xml:space="preserve"> certificate on 16 February 2023 and started operating on 1 March 2023. </w:t>
      </w:r>
    </w:p>
    <w:p w:rsidR="00C40F73" w:rsidRPr="00C40F73" w:rsidRDefault="00C40F73" w:rsidP="00C40F73">
      <w:pPr>
        <w:pStyle w:val="Default"/>
        <w:spacing w:line="360" w:lineRule="auto"/>
        <w:ind w:left="709" w:hanging="709"/>
        <w:jc w:val="both"/>
        <w:rPr>
          <w:sz w:val="20"/>
          <w:szCs w:val="20"/>
        </w:rPr>
      </w:pPr>
    </w:p>
    <w:p w:rsidR="007C3B56" w:rsidRDefault="00891DEF" w:rsidP="00077257">
      <w:pPr>
        <w:spacing w:line="360" w:lineRule="auto"/>
        <w:ind w:left="709" w:hanging="709"/>
        <w:jc w:val="both"/>
        <w:rPr>
          <w:rFonts w:ascii="Arial" w:hAnsi="Arial" w:cs="Arial"/>
          <w:color w:val="242121"/>
          <w:sz w:val="24"/>
          <w:szCs w:val="24"/>
          <w:shd w:val="clear" w:color="auto" w:fill="FFFFFF"/>
        </w:rPr>
      </w:pPr>
      <w:r>
        <w:rPr>
          <w:rFonts w:ascii="Arial" w:hAnsi="Arial" w:cs="Arial"/>
          <w:sz w:val="24"/>
          <w:szCs w:val="24"/>
        </w:rPr>
        <w:t>[3</w:t>
      </w:r>
      <w:r w:rsidR="00D34925">
        <w:rPr>
          <w:rFonts w:ascii="Arial" w:hAnsi="Arial" w:cs="Arial"/>
          <w:sz w:val="24"/>
          <w:szCs w:val="24"/>
        </w:rPr>
        <w:t>]</w:t>
      </w:r>
      <w:r w:rsidR="00D34925">
        <w:rPr>
          <w:rFonts w:ascii="Arial" w:hAnsi="Arial" w:cs="Arial"/>
          <w:sz w:val="24"/>
          <w:szCs w:val="24"/>
        </w:rPr>
        <w:tab/>
      </w:r>
      <w:r w:rsidR="00A837C3">
        <w:rPr>
          <w:rFonts w:ascii="Arial" w:hAnsi="Arial" w:cs="Arial"/>
          <w:color w:val="242121"/>
          <w:sz w:val="24"/>
          <w:szCs w:val="24"/>
          <w:shd w:val="clear" w:color="auto" w:fill="FFFFFF"/>
        </w:rPr>
        <w:t>The applicant submits that the first respondent voluntarily signed another restraint of trade contract in July 2021 which increased the per</w:t>
      </w:r>
      <w:r w:rsidR="005D1B42">
        <w:rPr>
          <w:rFonts w:ascii="Arial" w:hAnsi="Arial" w:cs="Arial"/>
          <w:color w:val="242121"/>
          <w:sz w:val="24"/>
          <w:szCs w:val="24"/>
          <w:shd w:val="clear" w:color="auto" w:fill="FFFFFF"/>
        </w:rPr>
        <w:t xml:space="preserve">iod of restraint from 12 to </w:t>
      </w:r>
      <w:r w:rsidR="00A837C3">
        <w:rPr>
          <w:rFonts w:ascii="Arial" w:hAnsi="Arial" w:cs="Arial"/>
          <w:color w:val="242121"/>
          <w:sz w:val="24"/>
          <w:szCs w:val="24"/>
          <w:shd w:val="clear" w:color="auto" w:fill="FFFFFF"/>
        </w:rPr>
        <w:t xml:space="preserve">18 </w:t>
      </w:r>
      <w:r w:rsidR="007C3B56">
        <w:rPr>
          <w:rFonts w:ascii="Arial" w:hAnsi="Arial" w:cs="Arial"/>
          <w:color w:val="242121"/>
          <w:sz w:val="24"/>
          <w:szCs w:val="24"/>
          <w:shd w:val="clear" w:color="auto" w:fill="FFFFFF"/>
        </w:rPr>
        <w:t>months.</w:t>
      </w:r>
      <w:r w:rsidR="00A837C3">
        <w:rPr>
          <w:rFonts w:ascii="Arial" w:hAnsi="Arial" w:cs="Arial"/>
          <w:color w:val="242121"/>
          <w:sz w:val="24"/>
          <w:szCs w:val="24"/>
          <w:shd w:val="clear" w:color="auto" w:fill="FFFFFF"/>
        </w:rPr>
        <w:t xml:space="preserve"> </w:t>
      </w:r>
      <w:r w:rsidR="00713ED6">
        <w:rPr>
          <w:rFonts w:ascii="Arial" w:hAnsi="Arial" w:cs="Arial"/>
          <w:color w:val="242121"/>
          <w:sz w:val="24"/>
          <w:szCs w:val="24"/>
          <w:shd w:val="clear" w:color="auto" w:fill="FFFFFF"/>
        </w:rPr>
        <w:t xml:space="preserve"> The gravamen of the applicant’s complaint is that after the departure of the respondent most of its clients left and three of its employees joined the second respondent.  </w:t>
      </w:r>
      <w:r w:rsidR="00A837C3">
        <w:rPr>
          <w:rFonts w:ascii="Arial" w:hAnsi="Arial" w:cs="Arial"/>
          <w:color w:val="242121"/>
          <w:sz w:val="24"/>
          <w:szCs w:val="24"/>
          <w:shd w:val="clear" w:color="auto" w:fill="FFFFFF"/>
        </w:rPr>
        <w:t xml:space="preserve"> </w:t>
      </w:r>
      <w:r w:rsidR="00D059D0">
        <w:rPr>
          <w:rFonts w:ascii="Arial" w:hAnsi="Arial" w:cs="Arial"/>
          <w:color w:val="242121"/>
          <w:sz w:val="24"/>
          <w:szCs w:val="24"/>
          <w:shd w:val="clear" w:color="auto" w:fill="FFFFFF"/>
        </w:rPr>
        <w:t xml:space="preserve">The applicant alleges that one of its clients, </w:t>
      </w:r>
      <w:r w:rsidR="005D1B42">
        <w:rPr>
          <w:rFonts w:ascii="Arial" w:hAnsi="Arial" w:cs="Arial"/>
          <w:color w:val="242121"/>
          <w:sz w:val="24"/>
          <w:szCs w:val="24"/>
          <w:shd w:val="clear" w:color="auto" w:fill="FFFFFF"/>
        </w:rPr>
        <w:t xml:space="preserve">a certain </w:t>
      </w:r>
      <w:r w:rsidR="00713ED6">
        <w:rPr>
          <w:rFonts w:ascii="Arial" w:hAnsi="Arial" w:cs="Arial"/>
          <w:color w:val="242121"/>
          <w:sz w:val="24"/>
          <w:szCs w:val="24"/>
          <w:shd w:val="clear" w:color="auto" w:fill="FFFFFF"/>
        </w:rPr>
        <w:t xml:space="preserve">Mr. </w:t>
      </w:r>
      <w:r w:rsidR="007C3B56">
        <w:rPr>
          <w:rFonts w:ascii="Arial" w:hAnsi="Arial" w:cs="Arial"/>
          <w:color w:val="242121"/>
          <w:sz w:val="24"/>
          <w:szCs w:val="24"/>
          <w:shd w:val="clear" w:color="auto" w:fill="FFFFFF"/>
        </w:rPr>
        <w:t>Visser, informed</w:t>
      </w:r>
      <w:r w:rsidR="00D059D0">
        <w:rPr>
          <w:rFonts w:ascii="Arial" w:hAnsi="Arial" w:cs="Arial"/>
          <w:color w:val="242121"/>
          <w:sz w:val="24"/>
          <w:szCs w:val="24"/>
          <w:shd w:val="clear" w:color="auto" w:fill="FFFFFF"/>
        </w:rPr>
        <w:t xml:space="preserve"> the deponent to the founding affidavit </w:t>
      </w:r>
      <w:r w:rsidR="007C3B56">
        <w:rPr>
          <w:rFonts w:ascii="Arial" w:hAnsi="Arial" w:cs="Arial"/>
          <w:color w:val="242121"/>
          <w:sz w:val="24"/>
          <w:szCs w:val="24"/>
          <w:shd w:val="clear" w:color="auto" w:fill="FFFFFF"/>
        </w:rPr>
        <w:t>(Mr.</w:t>
      </w:r>
      <w:r w:rsidR="00D059D0">
        <w:rPr>
          <w:rFonts w:ascii="Arial" w:hAnsi="Arial" w:cs="Arial"/>
          <w:color w:val="242121"/>
          <w:sz w:val="24"/>
          <w:szCs w:val="24"/>
          <w:shd w:val="clear" w:color="auto" w:fill="FFFFFF"/>
        </w:rPr>
        <w:t xml:space="preserve"> </w:t>
      </w:r>
      <w:r w:rsidR="007C3B56">
        <w:rPr>
          <w:rFonts w:ascii="Arial" w:hAnsi="Arial" w:cs="Arial"/>
          <w:color w:val="242121"/>
          <w:sz w:val="24"/>
          <w:szCs w:val="24"/>
          <w:shd w:val="clear" w:color="auto" w:fill="FFFFFF"/>
        </w:rPr>
        <w:t>Raimondo) that</w:t>
      </w:r>
      <w:r w:rsidR="00D059D0">
        <w:rPr>
          <w:rFonts w:ascii="Arial" w:hAnsi="Arial" w:cs="Arial"/>
          <w:color w:val="242121"/>
          <w:sz w:val="24"/>
          <w:szCs w:val="24"/>
          <w:shd w:val="clear" w:color="auto" w:fill="FFFFFF"/>
        </w:rPr>
        <w:t xml:space="preserve"> the</w:t>
      </w:r>
      <w:r w:rsidR="00713ED6">
        <w:rPr>
          <w:rFonts w:ascii="Arial" w:hAnsi="Arial" w:cs="Arial"/>
          <w:color w:val="242121"/>
          <w:sz w:val="24"/>
          <w:szCs w:val="24"/>
          <w:shd w:val="clear" w:color="auto" w:fill="FFFFFF"/>
        </w:rPr>
        <w:t xml:space="preserve"> first</w:t>
      </w:r>
      <w:r w:rsidR="00D059D0">
        <w:rPr>
          <w:rFonts w:ascii="Arial" w:hAnsi="Arial" w:cs="Arial"/>
          <w:color w:val="242121"/>
          <w:sz w:val="24"/>
          <w:szCs w:val="24"/>
          <w:shd w:val="clear" w:color="auto" w:fill="FFFFFF"/>
        </w:rPr>
        <w:t xml:space="preserve"> respondent contacted him enquiring whether he would not consider appointing Bethnet to provide his business with security services.  Raimondo suspects that three o</w:t>
      </w:r>
      <w:r w:rsidR="007F7241">
        <w:rPr>
          <w:rFonts w:ascii="Arial" w:hAnsi="Arial" w:cs="Arial"/>
          <w:color w:val="242121"/>
          <w:sz w:val="24"/>
          <w:szCs w:val="24"/>
          <w:shd w:val="clear" w:color="auto" w:fill="FFFFFF"/>
        </w:rPr>
        <w:t>f the applicant’s employees who</w:t>
      </w:r>
      <w:r w:rsidR="00D059D0">
        <w:rPr>
          <w:rFonts w:ascii="Arial" w:hAnsi="Arial" w:cs="Arial"/>
          <w:color w:val="242121"/>
          <w:sz w:val="24"/>
          <w:szCs w:val="24"/>
          <w:shd w:val="clear" w:color="auto" w:fill="FFFFFF"/>
        </w:rPr>
        <w:t xml:space="preserve"> resigned from the applicant to join Bethnet were </w:t>
      </w:r>
      <w:r w:rsidR="00661C26">
        <w:rPr>
          <w:rFonts w:ascii="Arial" w:hAnsi="Arial" w:cs="Arial"/>
          <w:color w:val="242121"/>
          <w:sz w:val="24"/>
          <w:szCs w:val="24"/>
          <w:shd w:val="clear" w:color="auto" w:fill="FFFFFF"/>
        </w:rPr>
        <w:t xml:space="preserve">enticed by the first respondent to join Bethnet. </w:t>
      </w:r>
      <w:r w:rsidR="007F7241">
        <w:rPr>
          <w:rFonts w:ascii="Arial" w:hAnsi="Arial" w:cs="Arial"/>
          <w:color w:val="242121"/>
          <w:sz w:val="24"/>
          <w:szCs w:val="24"/>
          <w:shd w:val="clear" w:color="auto" w:fill="FFFFFF"/>
        </w:rPr>
        <w:t xml:space="preserve">The </w:t>
      </w:r>
      <w:r w:rsidR="0019032B">
        <w:rPr>
          <w:rFonts w:ascii="Arial" w:hAnsi="Arial" w:cs="Arial"/>
          <w:color w:val="242121"/>
          <w:sz w:val="24"/>
          <w:szCs w:val="24"/>
          <w:shd w:val="clear" w:color="auto" w:fill="FFFFFF"/>
        </w:rPr>
        <w:t>applicant, further, contends</w:t>
      </w:r>
      <w:r w:rsidR="007F7241">
        <w:rPr>
          <w:rFonts w:ascii="Arial" w:hAnsi="Arial" w:cs="Arial"/>
          <w:color w:val="242121"/>
          <w:sz w:val="24"/>
          <w:szCs w:val="24"/>
          <w:shd w:val="clear" w:color="auto" w:fill="FFFFFF"/>
        </w:rPr>
        <w:t xml:space="preserve"> that the first respondent invited the head of applicant’s reaction unit, Mr. Anton Dreyer, to join Bethnet</w:t>
      </w:r>
      <w:r w:rsidR="005D1B42">
        <w:rPr>
          <w:rFonts w:ascii="Arial" w:hAnsi="Arial" w:cs="Arial"/>
          <w:color w:val="242121"/>
          <w:sz w:val="24"/>
          <w:szCs w:val="24"/>
          <w:shd w:val="clear" w:color="auto" w:fill="FFFFFF"/>
        </w:rPr>
        <w:t xml:space="preserve"> and he turned down </w:t>
      </w:r>
      <w:r w:rsidR="005D1B42">
        <w:rPr>
          <w:rFonts w:ascii="Arial" w:hAnsi="Arial" w:cs="Arial"/>
          <w:color w:val="242121"/>
          <w:sz w:val="24"/>
          <w:szCs w:val="24"/>
          <w:shd w:val="clear" w:color="auto" w:fill="FFFFFF"/>
        </w:rPr>
        <w:lastRenderedPageBreak/>
        <w:t xml:space="preserve">the </w:t>
      </w:r>
      <w:r w:rsidR="007C3B56">
        <w:rPr>
          <w:rFonts w:ascii="Arial" w:hAnsi="Arial" w:cs="Arial"/>
          <w:color w:val="242121"/>
          <w:sz w:val="24"/>
          <w:szCs w:val="24"/>
          <w:shd w:val="clear" w:color="auto" w:fill="FFFFFF"/>
        </w:rPr>
        <w:t>offer.</w:t>
      </w:r>
      <w:r w:rsidR="007F7241">
        <w:rPr>
          <w:rFonts w:ascii="Arial" w:hAnsi="Arial" w:cs="Arial"/>
          <w:color w:val="242121"/>
          <w:sz w:val="24"/>
          <w:szCs w:val="24"/>
          <w:shd w:val="clear" w:color="auto" w:fill="FFFFFF"/>
        </w:rPr>
        <w:t xml:space="preserve"> </w:t>
      </w:r>
      <w:r w:rsidR="00D056C9">
        <w:rPr>
          <w:rFonts w:ascii="Arial" w:hAnsi="Arial" w:cs="Arial"/>
          <w:color w:val="242121"/>
          <w:sz w:val="24"/>
          <w:szCs w:val="24"/>
          <w:shd w:val="clear" w:color="auto" w:fill="FFFFFF"/>
        </w:rPr>
        <w:t xml:space="preserve">The applicant submits that the first respondent’s knowledge of confidential information relating </w:t>
      </w:r>
      <w:r w:rsidR="007C3B56">
        <w:rPr>
          <w:rFonts w:ascii="Arial" w:hAnsi="Arial" w:cs="Arial"/>
          <w:color w:val="242121"/>
          <w:sz w:val="24"/>
          <w:szCs w:val="24"/>
          <w:shd w:val="clear" w:color="auto" w:fill="FFFFFF"/>
        </w:rPr>
        <w:t>to tariffs</w:t>
      </w:r>
      <w:r w:rsidR="00713ED6">
        <w:rPr>
          <w:rFonts w:ascii="Arial" w:hAnsi="Arial" w:cs="Arial"/>
          <w:color w:val="242121"/>
          <w:sz w:val="24"/>
          <w:szCs w:val="24"/>
          <w:shd w:val="clear" w:color="auto" w:fill="FFFFFF"/>
        </w:rPr>
        <w:t xml:space="preserve"> and </w:t>
      </w:r>
      <w:r w:rsidR="00D056C9">
        <w:rPr>
          <w:rFonts w:ascii="Arial" w:hAnsi="Arial" w:cs="Arial"/>
          <w:color w:val="242121"/>
          <w:sz w:val="24"/>
          <w:szCs w:val="24"/>
          <w:shd w:val="clear" w:color="auto" w:fill="FFFFFF"/>
        </w:rPr>
        <w:t xml:space="preserve">prices that the applicant pays at Spectrum enables her to provide more competitive pricing which would drive the applicant out of business. </w:t>
      </w:r>
      <w:r w:rsidR="001654FD">
        <w:rPr>
          <w:rFonts w:ascii="Arial" w:hAnsi="Arial" w:cs="Arial"/>
          <w:color w:val="242121"/>
          <w:sz w:val="24"/>
          <w:szCs w:val="24"/>
          <w:shd w:val="clear" w:color="auto" w:fill="FFFFFF"/>
        </w:rPr>
        <w:t>It is the applicant’s view that the first respondent’s use of the information violates her restraint of trade</w:t>
      </w:r>
      <w:r w:rsidR="00713ED6">
        <w:rPr>
          <w:rFonts w:ascii="Arial" w:hAnsi="Arial" w:cs="Arial"/>
          <w:color w:val="242121"/>
          <w:sz w:val="24"/>
          <w:szCs w:val="24"/>
          <w:shd w:val="clear" w:color="auto" w:fill="FFFFFF"/>
        </w:rPr>
        <w:t xml:space="preserve"> agreement</w:t>
      </w:r>
      <w:r w:rsidR="001654FD">
        <w:rPr>
          <w:rFonts w:ascii="Arial" w:hAnsi="Arial" w:cs="Arial"/>
          <w:color w:val="242121"/>
          <w:sz w:val="24"/>
          <w:szCs w:val="24"/>
          <w:shd w:val="clear" w:color="auto" w:fill="FFFFFF"/>
        </w:rPr>
        <w:t xml:space="preserve"> and has injured the applicant’s business.</w:t>
      </w:r>
    </w:p>
    <w:p w:rsidR="00C0166D" w:rsidRPr="006B2FE5" w:rsidRDefault="00C0166D" w:rsidP="006B2FE5">
      <w:pPr>
        <w:spacing w:line="360" w:lineRule="auto"/>
        <w:ind w:left="709" w:hanging="709"/>
        <w:jc w:val="both"/>
        <w:rPr>
          <w:rFonts w:ascii="Arial" w:hAnsi="Arial" w:cs="Arial"/>
          <w:color w:val="242121"/>
          <w:sz w:val="24"/>
          <w:szCs w:val="24"/>
          <w:shd w:val="clear" w:color="auto" w:fill="FFFFFF"/>
        </w:rPr>
      </w:pPr>
    </w:p>
    <w:p w:rsidR="007C3B56" w:rsidRDefault="00B479DB" w:rsidP="00077257">
      <w:pPr>
        <w:spacing w:before="120" w:after="0" w:line="360" w:lineRule="auto"/>
        <w:ind w:left="709" w:hanging="709"/>
        <w:jc w:val="both"/>
        <w:rPr>
          <w:rFonts w:ascii="Arial" w:hAnsi="Arial" w:cs="Arial"/>
          <w:sz w:val="24"/>
          <w:szCs w:val="24"/>
        </w:rPr>
      </w:pPr>
      <w:r w:rsidRPr="000E3702">
        <w:rPr>
          <w:rFonts w:ascii="Arial" w:hAnsi="Arial" w:cs="Arial"/>
          <w:sz w:val="24"/>
          <w:szCs w:val="24"/>
        </w:rPr>
        <w:t>[</w:t>
      </w:r>
      <w:r w:rsidR="00891DEF" w:rsidRPr="000E3702">
        <w:rPr>
          <w:rFonts w:ascii="Arial" w:hAnsi="Arial" w:cs="Arial"/>
          <w:sz w:val="24"/>
          <w:szCs w:val="24"/>
        </w:rPr>
        <w:t>4</w:t>
      </w:r>
      <w:r w:rsidR="0019032B">
        <w:rPr>
          <w:rFonts w:ascii="Arial" w:hAnsi="Arial" w:cs="Arial"/>
          <w:sz w:val="24"/>
          <w:szCs w:val="24"/>
        </w:rPr>
        <w:t xml:space="preserve">] </w:t>
      </w:r>
      <w:r w:rsidR="001034C1">
        <w:rPr>
          <w:rFonts w:ascii="Arial" w:hAnsi="Arial" w:cs="Arial"/>
          <w:sz w:val="24"/>
          <w:szCs w:val="24"/>
        </w:rPr>
        <w:tab/>
      </w:r>
      <w:r w:rsidR="001654FD">
        <w:rPr>
          <w:rFonts w:ascii="Arial" w:hAnsi="Arial" w:cs="Arial"/>
          <w:sz w:val="24"/>
          <w:szCs w:val="24"/>
        </w:rPr>
        <w:t xml:space="preserve">The first respondent </w:t>
      </w:r>
      <w:r w:rsidR="002C3611">
        <w:rPr>
          <w:rFonts w:ascii="Arial" w:hAnsi="Arial" w:cs="Arial"/>
          <w:sz w:val="24"/>
          <w:szCs w:val="24"/>
        </w:rPr>
        <w:t>denies that the informa</w:t>
      </w:r>
      <w:r w:rsidR="009009F8">
        <w:rPr>
          <w:rFonts w:ascii="Arial" w:hAnsi="Arial" w:cs="Arial"/>
          <w:sz w:val="24"/>
          <w:szCs w:val="24"/>
        </w:rPr>
        <w:t>tion about the pricing tariffs and models received by the applicant from Spectrum is confidential informatio</w:t>
      </w:r>
      <w:r w:rsidR="002A7399">
        <w:rPr>
          <w:rFonts w:ascii="Arial" w:hAnsi="Arial" w:cs="Arial"/>
          <w:sz w:val="24"/>
          <w:szCs w:val="24"/>
        </w:rPr>
        <w:t xml:space="preserve">n that is worthy of protection because the tariffs </w:t>
      </w:r>
      <w:r w:rsidR="009009F8">
        <w:rPr>
          <w:rFonts w:ascii="Arial" w:hAnsi="Arial" w:cs="Arial"/>
          <w:sz w:val="24"/>
          <w:szCs w:val="24"/>
        </w:rPr>
        <w:t>are standard and</w:t>
      </w:r>
      <w:r w:rsidR="003B7C41">
        <w:rPr>
          <w:rFonts w:ascii="Arial" w:hAnsi="Arial" w:cs="Arial"/>
          <w:sz w:val="24"/>
          <w:szCs w:val="24"/>
        </w:rPr>
        <w:t xml:space="preserve"> acce</w:t>
      </w:r>
      <w:r w:rsidR="002A7399">
        <w:rPr>
          <w:rFonts w:ascii="Arial" w:hAnsi="Arial" w:cs="Arial"/>
          <w:sz w:val="24"/>
          <w:szCs w:val="24"/>
        </w:rPr>
        <w:t xml:space="preserve">ssible to all Spectrum clients. </w:t>
      </w:r>
      <w:r w:rsidR="003B7C41">
        <w:rPr>
          <w:rFonts w:ascii="Arial" w:hAnsi="Arial" w:cs="Arial"/>
          <w:sz w:val="24"/>
          <w:szCs w:val="24"/>
        </w:rPr>
        <w:t>The first respondent submits that she did not sign page 1 of Annexure FA 14 to the founding affidavit and is not familiar with the contents thereof and the confidentiality agreement that is referred to in that document.</w:t>
      </w:r>
    </w:p>
    <w:p w:rsidR="004B196D" w:rsidRDefault="007C3B56" w:rsidP="007C3B56">
      <w:pPr>
        <w:tabs>
          <w:tab w:val="left" w:pos="567"/>
        </w:tabs>
        <w:spacing w:before="120" w:after="0" w:line="360" w:lineRule="auto"/>
        <w:ind w:left="567" w:hanging="567"/>
        <w:jc w:val="both"/>
        <w:rPr>
          <w:rFonts w:ascii="Arial" w:hAnsi="Arial" w:cs="Arial"/>
          <w:sz w:val="24"/>
          <w:szCs w:val="24"/>
        </w:rPr>
      </w:pPr>
      <w:r>
        <w:rPr>
          <w:rFonts w:ascii="Arial" w:hAnsi="Arial" w:cs="Arial"/>
          <w:sz w:val="24"/>
          <w:szCs w:val="24"/>
        </w:rPr>
        <w:t xml:space="preserve"> </w:t>
      </w:r>
    </w:p>
    <w:p w:rsidR="00555FDF" w:rsidRDefault="007C3B56" w:rsidP="00077257">
      <w:pPr>
        <w:tabs>
          <w:tab w:val="left" w:pos="709"/>
        </w:tabs>
        <w:spacing w:before="120" w:after="0" w:line="360" w:lineRule="auto"/>
        <w:ind w:left="709" w:hanging="709"/>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3B7C41">
        <w:rPr>
          <w:rFonts w:ascii="Arial" w:hAnsi="Arial" w:cs="Arial"/>
          <w:sz w:val="24"/>
          <w:szCs w:val="24"/>
        </w:rPr>
        <w:t>She in essence</w:t>
      </w:r>
      <w:r w:rsidR="000E21DC">
        <w:rPr>
          <w:rFonts w:ascii="Arial" w:hAnsi="Arial" w:cs="Arial"/>
          <w:sz w:val="24"/>
          <w:szCs w:val="24"/>
        </w:rPr>
        <w:t xml:space="preserve"> denies </w:t>
      </w:r>
      <w:r w:rsidR="003B7C41">
        <w:rPr>
          <w:rFonts w:ascii="Arial" w:hAnsi="Arial" w:cs="Arial"/>
          <w:sz w:val="24"/>
          <w:szCs w:val="24"/>
        </w:rPr>
        <w:t>that she entered into a</w:t>
      </w:r>
      <w:r w:rsidR="000E21DC">
        <w:rPr>
          <w:rFonts w:ascii="Arial" w:hAnsi="Arial" w:cs="Arial"/>
          <w:sz w:val="24"/>
          <w:szCs w:val="24"/>
        </w:rPr>
        <w:t xml:space="preserve"> further restraint of trade agreement. She denies ever enticing the applicant’s employees to join Bethnet. </w:t>
      </w:r>
      <w:r w:rsidR="001A18E9">
        <w:rPr>
          <w:rFonts w:ascii="Arial" w:hAnsi="Arial" w:cs="Arial"/>
          <w:sz w:val="24"/>
          <w:szCs w:val="24"/>
        </w:rPr>
        <w:t xml:space="preserve">The deponent in the founding affidavit </w:t>
      </w:r>
      <w:r w:rsidR="0091559A">
        <w:rPr>
          <w:rFonts w:ascii="Arial" w:hAnsi="Arial" w:cs="Arial"/>
          <w:sz w:val="24"/>
          <w:szCs w:val="24"/>
        </w:rPr>
        <w:t xml:space="preserve">Messrs Vino Ferendale, Ivan Dicks, Jackie Windt and Schalk </w:t>
      </w:r>
      <w:r>
        <w:rPr>
          <w:rFonts w:ascii="Arial" w:hAnsi="Arial" w:cs="Arial"/>
          <w:sz w:val="24"/>
          <w:szCs w:val="24"/>
        </w:rPr>
        <w:t>Koekemoer that the</w:t>
      </w:r>
      <w:r w:rsidR="0091559A">
        <w:rPr>
          <w:rFonts w:ascii="Arial" w:hAnsi="Arial" w:cs="Arial"/>
          <w:sz w:val="24"/>
          <w:szCs w:val="24"/>
        </w:rPr>
        <w:t xml:space="preserve"> deponent in the founding affidavit, Mr. R</w:t>
      </w:r>
      <w:r w:rsidR="000D614B">
        <w:rPr>
          <w:rFonts w:ascii="Arial" w:hAnsi="Arial" w:cs="Arial"/>
          <w:sz w:val="24"/>
          <w:szCs w:val="24"/>
        </w:rPr>
        <w:t>aimondo,</w:t>
      </w:r>
      <w:r w:rsidR="0091559A">
        <w:rPr>
          <w:rFonts w:ascii="Arial" w:hAnsi="Arial" w:cs="Arial"/>
          <w:sz w:val="24"/>
          <w:szCs w:val="24"/>
        </w:rPr>
        <w:t xml:space="preserve"> </w:t>
      </w:r>
      <w:r w:rsidR="00302A76">
        <w:rPr>
          <w:rFonts w:ascii="Arial" w:hAnsi="Arial" w:cs="Arial"/>
          <w:sz w:val="24"/>
          <w:szCs w:val="24"/>
        </w:rPr>
        <w:t xml:space="preserve">suspects </w:t>
      </w:r>
      <w:r w:rsidR="00500080">
        <w:rPr>
          <w:rFonts w:ascii="Arial" w:hAnsi="Arial" w:cs="Arial"/>
          <w:sz w:val="24"/>
          <w:szCs w:val="24"/>
        </w:rPr>
        <w:t>t</w:t>
      </w:r>
      <w:r w:rsidR="00302A76">
        <w:rPr>
          <w:rFonts w:ascii="Arial" w:hAnsi="Arial" w:cs="Arial"/>
          <w:sz w:val="24"/>
          <w:szCs w:val="24"/>
        </w:rPr>
        <w:t xml:space="preserve">he </w:t>
      </w:r>
      <w:r w:rsidR="00500080">
        <w:rPr>
          <w:rFonts w:ascii="Arial" w:hAnsi="Arial" w:cs="Arial"/>
          <w:sz w:val="24"/>
          <w:szCs w:val="24"/>
        </w:rPr>
        <w:t xml:space="preserve">respondent </w:t>
      </w:r>
      <w:r>
        <w:rPr>
          <w:rFonts w:ascii="Arial" w:hAnsi="Arial" w:cs="Arial"/>
          <w:sz w:val="24"/>
          <w:szCs w:val="24"/>
        </w:rPr>
        <w:t>enticed, confirmed</w:t>
      </w:r>
      <w:r w:rsidR="00302A76">
        <w:rPr>
          <w:rFonts w:ascii="Arial" w:hAnsi="Arial" w:cs="Arial"/>
          <w:sz w:val="24"/>
          <w:szCs w:val="24"/>
        </w:rPr>
        <w:t xml:space="preserve"> in their affidavits that they were never approached by the first respondent. Mr. Dreyer whom the applicant alleges that the first respondent approached could not confirm that.</w:t>
      </w:r>
      <w:r w:rsidR="002A7399">
        <w:rPr>
          <w:rFonts w:ascii="Arial" w:hAnsi="Arial" w:cs="Arial"/>
          <w:sz w:val="24"/>
          <w:szCs w:val="24"/>
        </w:rPr>
        <w:t xml:space="preserve"> </w:t>
      </w:r>
    </w:p>
    <w:p w:rsidR="00401FF8" w:rsidRDefault="00401FF8" w:rsidP="00077257">
      <w:pPr>
        <w:tabs>
          <w:tab w:val="left" w:pos="709"/>
        </w:tabs>
        <w:spacing w:after="0" w:line="360" w:lineRule="auto"/>
        <w:ind w:left="709" w:hanging="709"/>
        <w:jc w:val="both"/>
        <w:rPr>
          <w:rFonts w:ascii="Arial" w:hAnsi="Arial" w:cs="Arial"/>
          <w:sz w:val="24"/>
          <w:szCs w:val="24"/>
        </w:rPr>
      </w:pPr>
    </w:p>
    <w:p w:rsidR="006306FB" w:rsidRPr="00EE648D" w:rsidRDefault="007C3B56" w:rsidP="00077257">
      <w:pPr>
        <w:spacing w:before="120" w:after="0" w:line="360" w:lineRule="auto"/>
        <w:ind w:left="709" w:hanging="709"/>
        <w:jc w:val="both"/>
        <w:rPr>
          <w:rFonts w:ascii="Arial" w:hAnsi="Arial" w:cs="Arial"/>
          <w:color w:val="242121"/>
          <w:sz w:val="24"/>
          <w:szCs w:val="24"/>
          <w:shd w:val="clear" w:color="auto" w:fill="FFFFFF"/>
        </w:rPr>
      </w:pPr>
      <w:r>
        <w:rPr>
          <w:rFonts w:ascii="Arial" w:hAnsi="Arial" w:cs="Arial"/>
          <w:sz w:val="24"/>
          <w:szCs w:val="24"/>
        </w:rPr>
        <w:t>[6</w:t>
      </w:r>
      <w:r w:rsidR="00401FF8">
        <w:rPr>
          <w:rFonts w:ascii="Arial" w:hAnsi="Arial" w:cs="Arial"/>
          <w:sz w:val="24"/>
          <w:szCs w:val="24"/>
        </w:rPr>
        <w:t xml:space="preserve">] </w:t>
      </w:r>
      <w:r w:rsidR="00F82EBC">
        <w:rPr>
          <w:rFonts w:ascii="Arial" w:hAnsi="Arial" w:cs="Arial"/>
          <w:sz w:val="24"/>
          <w:szCs w:val="24"/>
        </w:rPr>
        <w:t xml:space="preserve"> </w:t>
      </w:r>
      <w:r w:rsidR="00B80E21">
        <w:rPr>
          <w:rFonts w:ascii="Arial" w:hAnsi="Arial" w:cs="Arial"/>
          <w:sz w:val="24"/>
          <w:szCs w:val="24"/>
        </w:rPr>
        <w:t xml:space="preserve"> </w:t>
      </w:r>
      <w:r w:rsidR="00077257">
        <w:rPr>
          <w:rFonts w:ascii="Arial" w:hAnsi="Arial" w:cs="Arial"/>
          <w:sz w:val="24"/>
          <w:szCs w:val="24"/>
        </w:rPr>
        <w:tab/>
      </w:r>
      <w:r w:rsidR="0052790B">
        <w:rPr>
          <w:rFonts w:ascii="Arial" w:hAnsi="Arial" w:cs="Arial"/>
          <w:sz w:val="24"/>
          <w:szCs w:val="24"/>
        </w:rPr>
        <w:t xml:space="preserve">The only reason she interacted with one Mr. Visser, </w:t>
      </w:r>
      <w:r>
        <w:rPr>
          <w:rFonts w:ascii="Arial" w:hAnsi="Arial" w:cs="Arial"/>
          <w:sz w:val="24"/>
          <w:szCs w:val="24"/>
        </w:rPr>
        <w:t>an applicant’s</w:t>
      </w:r>
      <w:r w:rsidR="0052790B">
        <w:rPr>
          <w:rFonts w:ascii="Arial" w:hAnsi="Arial" w:cs="Arial"/>
          <w:sz w:val="24"/>
          <w:szCs w:val="24"/>
        </w:rPr>
        <w:t xml:space="preserve"> </w:t>
      </w:r>
      <w:r>
        <w:rPr>
          <w:rFonts w:ascii="Arial" w:hAnsi="Arial" w:cs="Arial"/>
          <w:sz w:val="24"/>
          <w:szCs w:val="24"/>
        </w:rPr>
        <w:t>client, was</w:t>
      </w:r>
      <w:r w:rsidR="0052790B">
        <w:rPr>
          <w:rFonts w:ascii="Arial" w:hAnsi="Arial" w:cs="Arial"/>
          <w:sz w:val="24"/>
          <w:szCs w:val="24"/>
        </w:rPr>
        <w:t xml:space="preserve"> because he had concerns with his internet and wanted fibre which the applicant was not in the position to provide him with because he stays too remote from town. </w:t>
      </w:r>
      <w:r w:rsidR="002A7399">
        <w:rPr>
          <w:rFonts w:ascii="Arial" w:hAnsi="Arial" w:cs="Arial"/>
          <w:color w:val="242121"/>
          <w:sz w:val="24"/>
          <w:szCs w:val="24"/>
          <w:shd w:val="clear" w:color="auto" w:fill="FFFFFF"/>
        </w:rPr>
        <w:t xml:space="preserve">The first respondent, further, contends that the applicant’s pricing strategy </w:t>
      </w:r>
      <w:r w:rsidR="00F55431">
        <w:rPr>
          <w:rFonts w:ascii="Arial" w:hAnsi="Arial" w:cs="Arial"/>
          <w:color w:val="242121"/>
          <w:sz w:val="24"/>
          <w:szCs w:val="24"/>
          <w:shd w:val="clear" w:color="auto" w:fill="FFFFFF"/>
        </w:rPr>
        <w:t>and profit margins are of no use to Bethnet because the applicant’s profit margins on</w:t>
      </w:r>
      <w:r w:rsidR="00EE648D">
        <w:rPr>
          <w:rFonts w:ascii="Arial" w:hAnsi="Arial" w:cs="Arial"/>
          <w:color w:val="242121"/>
          <w:sz w:val="24"/>
          <w:szCs w:val="24"/>
          <w:shd w:val="clear" w:color="auto" w:fill="FFFFFF"/>
        </w:rPr>
        <w:t xml:space="preserve"> certain products are so high that the applicant priced itself out of the market. </w:t>
      </w:r>
    </w:p>
    <w:p w:rsidR="00C0166D" w:rsidRDefault="00C0166D" w:rsidP="00077257">
      <w:pPr>
        <w:tabs>
          <w:tab w:val="left" w:pos="567"/>
        </w:tabs>
        <w:spacing w:after="0" w:line="360" w:lineRule="auto"/>
        <w:ind w:left="709" w:hanging="709"/>
        <w:jc w:val="both"/>
        <w:rPr>
          <w:rFonts w:ascii="Arial" w:hAnsi="Arial" w:cs="Arial"/>
          <w:sz w:val="24"/>
          <w:szCs w:val="24"/>
        </w:rPr>
      </w:pPr>
    </w:p>
    <w:p w:rsidR="007C3B56" w:rsidRDefault="007C3B56" w:rsidP="00077257">
      <w:pPr>
        <w:tabs>
          <w:tab w:val="left" w:pos="567"/>
        </w:tabs>
        <w:autoSpaceDE w:val="0"/>
        <w:autoSpaceDN w:val="0"/>
        <w:adjustRightInd w:val="0"/>
        <w:spacing w:after="0" w:line="360" w:lineRule="auto"/>
        <w:ind w:left="709" w:hanging="567"/>
        <w:jc w:val="both"/>
        <w:rPr>
          <w:rFonts w:ascii="Arial" w:hAnsi="Arial" w:cs="Arial"/>
          <w:b/>
          <w:iCs/>
          <w:sz w:val="24"/>
          <w:szCs w:val="24"/>
        </w:rPr>
      </w:pPr>
      <w:r>
        <w:rPr>
          <w:rFonts w:ascii="Arial" w:hAnsi="Arial" w:cs="Arial"/>
          <w:sz w:val="24"/>
          <w:szCs w:val="24"/>
        </w:rPr>
        <w:lastRenderedPageBreak/>
        <w:t>[7</w:t>
      </w:r>
      <w:r w:rsidR="00F96B5D" w:rsidRPr="002A6D12">
        <w:rPr>
          <w:rFonts w:ascii="Arial" w:hAnsi="Arial" w:cs="Arial"/>
          <w:sz w:val="24"/>
          <w:szCs w:val="24"/>
        </w:rPr>
        <w:t>]</w:t>
      </w:r>
      <w:r w:rsidR="004C77BC" w:rsidRPr="002A6D12">
        <w:rPr>
          <w:rFonts w:ascii="Arial" w:hAnsi="Arial" w:cs="Arial"/>
          <w:sz w:val="24"/>
          <w:szCs w:val="24"/>
        </w:rPr>
        <w:t xml:space="preserve"> </w:t>
      </w:r>
      <w:r w:rsidR="00EC1B8A">
        <w:rPr>
          <w:rFonts w:ascii="Arial" w:hAnsi="Arial" w:cs="Arial"/>
          <w:sz w:val="24"/>
          <w:szCs w:val="24"/>
        </w:rPr>
        <w:t xml:space="preserve">  </w:t>
      </w:r>
      <w:r w:rsidR="00953E54">
        <w:rPr>
          <w:rFonts w:ascii="Arial" w:hAnsi="Arial" w:cs="Arial"/>
          <w:sz w:val="24"/>
          <w:szCs w:val="24"/>
        </w:rPr>
        <w:t xml:space="preserve"> </w:t>
      </w:r>
      <w:r w:rsidR="00825973" w:rsidRPr="00713ED6">
        <w:rPr>
          <w:rFonts w:ascii="Arial" w:hAnsi="Arial" w:cs="Arial"/>
          <w:sz w:val="24"/>
          <w:szCs w:val="24"/>
        </w:rPr>
        <w:t xml:space="preserve">These are motion proceedings which have to be adjudicated on the principles set out in </w:t>
      </w:r>
      <w:r w:rsidR="00825973" w:rsidRPr="00713ED6">
        <w:rPr>
          <w:rFonts w:ascii="Arial" w:hAnsi="Arial" w:cs="Arial"/>
          <w:b/>
          <w:bCs/>
          <w:sz w:val="24"/>
          <w:szCs w:val="24"/>
        </w:rPr>
        <w:t>Plascon Evans Paints Ltd v van Riebeeck Paints (Pty) Ltd</w:t>
      </w:r>
      <w:r w:rsidR="008D22E2" w:rsidRPr="00713ED6">
        <w:rPr>
          <w:rStyle w:val="FootnoteReference"/>
          <w:rFonts w:ascii="Arial" w:hAnsi="Arial" w:cs="Arial"/>
          <w:b/>
          <w:bCs/>
          <w:sz w:val="24"/>
          <w:szCs w:val="24"/>
        </w:rPr>
        <w:footnoteReference w:id="1"/>
      </w:r>
      <w:r w:rsidR="00825973" w:rsidRPr="00713ED6">
        <w:rPr>
          <w:rFonts w:ascii="Arial" w:hAnsi="Arial" w:cs="Arial"/>
          <w:b/>
          <w:bCs/>
          <w:sz w:val="24"/>
          <w:szCs w:val="24"/>
        </w:rPr>
        <w:t xml:space="preserve"> 1984 (3) SA 623 (A)</w:t>
      </w:r>
      <w:r w:rsidR="008D22E2" w:rsidRPr="00713ED6">
        <w:rPr>
          <w:rFonts w:ascii="Arial" w:hAnsi="Arial" w:cs="Arial"/>
          <w:bCs/>
          <w:sz w:val="24"/>
          <w:szCs w:val="24"/>
        </w:rPr>
        <w:t xml:space="preserve">. It is a </w:t>
      </w:r>
      <w:r w:rsidRPr="00713ED6">
        <w:rPr>
          <w:rFonts w:ascii="Arial" w:hAnsi="Arial" w:cs="Arial"/>
          <w:bCs/>
          <w:sz w:val="24"/>
          <w:szCs w:val="24"/>
        </w:rPr>
        <w:t>well-established</w:t>
      </w:r>
      <w:r w:rsidR="00825973" w:rsidRPr="00713ED6">
        <w:rPr>
          <w:rFonts w:ascii="Arial" w:hAnsi="Arial" w:cs="Arial"/>
          <w:bCs/>
          <w:sz w:val="24"/>
          <w:szCs w:val="24"/>
        </w:rPr>
        <w:t xml:space="preserve"> pr</w:t>
      </w:r>
      <w:r w:rsidR="008D22E2" w:rsidRPr="00713ED6">
        <w:rPr>
          <w:rFonts w:ascii="Arial" w:hAnsi="Arial" w:cs="Arial"/>
          <w:bCs/>
          <w:sz w:val="24"/>
          <w:szCs w:val="24"/>
        </w:rPr>
        <w:t>inciple</w:t>
      </w:r>
      <w:r w:rsidR="00825973" w:rsidRPr="00713ED6">
        <w:rPr>
          <w:rFonts w:ascii="Arial" w:hAnsi="Arial" w:cs="Arial"/>
          <w:bCs/>
          <w:sz w:val="24"/>
          <w:szCs w:val="24"/>
        </w:rPr>
        <w:t xml:space="preserve"> that where a bona fide dispute of f</w:t>
      </w:r>
      <w:r w:rsidR="008D22E2" w:rsidRPr="00713ED6">
        <w:rPr>
          <w:rFonts w:ascii="Arial" w:hAnsi="Arial" w:cs="Arial"/>
          <w:bCs/>
          <w:sz w:val="24"/>
          <w:szCs w:val="24"/>
        </w:rPr>
        <w:t xml:space="preserve">acts exists, the matter has to be </w:t>
      </w:r>
      <w:r w:rsidRPr="00713ED6">
        <w:rPr>
          <w:rFonts w:ascii="Arial" w:hAnsi="Arial" w:cs="Arial"/>
          <w:bCs/>
          <w:sz w:val="24"/>
          <w:szCs w:val="24"/>
        </w:rPr>
        <w:t>decide on</w:t>
      </w:r>
      <w:r w:rsidR="00825973" w:rsidRPr="00713ED6">
        <w:rPr>
          <w:rFonts w:ascii="Arial" w:hAnsi="Arial" w:cs="Arial"/>
          <w:bCs/>
          <w:sz w:val="24"/>
          <w:szCs w:val="24"/>
        </w:rPr>
        <w:t xml:space="preserve"> the respondent’s versio</w:t>
      </w:r>
      <w:r w:rsidR="008D22E2" w:rsidRPr="00713ED6">
        <w:rPr>
          <w:rFonts w:ascii="Arial" w:hAnsi="Arial" w:cs="Arial"/>
          <w:bCs/>
          <w:sz w:val="24"/>
          <w:szCs w:val="24"/>
        </w:rPr>
        <w:t xml:space="preserve">n </w:t>
      </w:r>
      <w:r w:rsidR="008D22E2" w:rsidRPr="00713ED6">
        <w:rPr>
          <w:rFonts w:ascii="Arial" w:hAnsi="Arial" w:cs="Arial"/>
          <w:color w:val="242121"/>
          <w:sz w:val="24"/>
          <w:szCs w:val="24"/>
          <w:shd w:val="clear" w:color="auto" w:fill="FFFFFF"/>
        </w:rPr>
        <w:t xml:space="preserve">together with the admitted or undenied facts in the applicants’ founding affidavit which provide the factual basis for the </w:t>
      </w:r>
      <w:r w:rsidRPr="00713ED6">
        <w:rPr>
          <w:rFonts w:ascii="Arial" w:hAnsi="Arial" w:cs="Arial"/>
          <w:color w:val="242121"/>
          <w:sz w:val="24"/>
          <w:szCs w:val="24"/>
          <w:shd w:val="clear" w:color="auto" w:fill="FFFFFF"/>
        </w:rPr>
        <w:t>determination</w:t>
      </w:r>
      <w:r w:rsidRPr="00713ED6">
        <w:rPr>
          <w:rFonts w:ascii="Arial" w:hAnsi="Arial" w:cs="Arial"/>
          <w:bCs/>
          <w:sz w:val="24"/>
          <w:szCs w:val="24"/>
        </w:rPr>
        <w:t xml:space="preserve"> unless</w:t>
      </w:r>
      <w:r w:rsidR="008D22E2" w:rsidRPr="00713ED6">
        <w:rPr>
          <w:rFonts w:ascii="Arial" w:hAnsi="Arial" w:cs="Arial"/>
          <w:bCs/>
          <w:sz w:val="24"/>
          <w:szCs w:val="24"/>
        </w:rPr>
        <w:t xml:space="preserve"> the dispute is not real or genuine and the version of the respondent</w:t>
      </w:r>
      <w:r w:rsidR="00825973" w:rsidRPr="00713ED6">
        <w:rPr>
          <w:rFonts w:ascii="Arial" w:hAnsi="Arial" w:cs="Arial"/>
          <w:bCs/>
          <w:sz w:val="24"/>
          <w:szCs w:val="24"/>
        </w:rPr>
        <w:t xml:space="preserve"> is untenable and farfetched</w:t>
      </w:r>
      <w:r w:rsidR="008D22E2" w:rsidRPr="00713ED6">
        <w:rPr>
          <w:rFonts w:ascii="Arial" w:hAnsi="Arial" w:cs="Arial"/>
          <w:bCs/>
          <w:sz w:val="24"/>
          <w:szCs w:val="24"/>
        </w:rPr>
        <w:t xml:space="preserve">. See </w:t>
      </w:r>
      <w:r w:rsidR="008D22E2" w:rsidRPr="00713ED6">
        <w:rPr>
          <w:rFonts w:ascii="Arial" w:hAnsi="Arial" w:cs="Arial"/>
          <w:b/>
          <w:iCs/>
          <w:sz w:val="24"/>
          <w:szCs w:val="24"/>
        </w:rPr>
        <w:t>Thebe Ya Bophelo Healthcare</w:t>
      </w:r>
      <w:r w:rsidR="005E4040" w:rsidRPr="00713ED6">
        <w:rPr>
          <w:rFonts w:ascii="Arial" w:hAnsi="Arial" w:cs="Arial"/>
          <w:b/>
          <w:iCs/>
          <w:sz w:val="24"/>
          <w:szCs w:val="24"/>
        </w:rPr>
        <w:t xml:space="preserve"> </w:t>
      </w:r>
      <w:r w:rsidR="008D22E2" w:rsidRPr="00713ED6">
        <w:rPr>
          <w:rFonts w:ascii="Arial" w:hAnsi="Arial" w:cs="Arial"/>
          <w:b/>
          <w:iCs/>
          <w:sz w:val="24"/>
          <w:szCs w:val="24"/>
        </w:rPr>
        <w:t>Administrators (Pty) Ltd and Others v National Bargaining Council for the Road</w:t>
      </w:r>
      <w:r w:rsidR="00884DEA" w:rsidRPr="00713ED6">
        <w:rPr>
          <w:rFonts w:ascii="Arial" w:hAnsi="Arial" w:cs="Arial"/>
          <w:b/>
          <w:iCs/>
          <w:sz w:val="24"/>
          <w:szCs w:val="24"/>
        </w:rPr>
        <w:t xml:space="preserve"> </w:t>
      </w:r>
      <w:r w:rsidR="008D22E2" w:rsidRPr="00713ED6">
        <w:rPr>
          <w:rFonts w:ascii="Arial" w:hAnsi="Arial" w:cs="Arial"/>
          <w:b/>
          <w:iCs/>
          <w:sz w:val="24"/>
          <w:szCs w:val="24"/>
        </w:rPr>
        <w:t>Freight Industry and Another</w:t>
      </w:r>
      <w:r w:rsidR="008D22E2" w:rsidRPr="00713ED6">
        <w:rPr>
          <w:rStyle w:val="FootnoteReference"/>
          <w:rFonts w:ascii="Arial" w:hAnsi="Arial" w:cs="Arial"/>
          <w:iCs/>
          <w:sz w:val="24"/>
          <w:szCs w:val="24"/>
        </w:rPr>
        <w:footnoteReference w:id="2"/>
      </w:r>
    </w:p>
    <w:p w:rsidR="00077257" w:rsidRPr="00077257" w:rsidRDefault="00077257" w:rsidP="00077257">
      <w:pPr>
        <w:tabs>
          <w:tab w:val="left" w:pos="567"/>
        </w:tabs>
        <w:autoSpaceDE w:val="0"/>
        <w:autoSpaceDN w:val="0"/>
        <w:adjustRightInd w:val="0"/>
        <w:spacing w:after="0" w:line="240" w:lineRule="auto"/>
        <w:ind w:left="567" w:hanging="567"/>
        <w:jc w:val="both"/>
        <w:rPr>
          <w:rFonts w:ascii="Arial" w:hAnsi="Arial" w:cs="Arial"/>
          <w:b/>
          <w:iCs/>
          <w:sz w:val="24"/>
          <w:szCs w:val="24"/>
        </w:rPr>
      </w:pPr>
    </w:p>
    <w:p w:rsidR="00D93284" w:rsidRDefault="00077257" w:rsidP="00077257">
      <w:pPr>
        <w:pStyle w:val="BodyAAA"/>
        <w:pBdr>
          <w:top w:val="none" w:sz="0" w:space="0" w:color="auto"/>
          <w:left w:val="none" w:sz="0" w:space="0" w:color="auto"/>
          <w:bottom w:val="none" w:sz="0" w:space="0" w:color="auto"/>
          <w:right w:val="none" w:sz="0" w:space="0" w:color="auto"/>
          <w:bar w:val="none" w:sz="0" w:color="auto"/>
        </w:pBdr>
        <w:tabs>
          <w:tab w:val="left" w:pos="567"/>
        </w:tabs>
        <w:spacing w:line="360" w:lineRule="auto"/>
        <w:ind w:left="709" w:hanging="709"/>
        <w:jc w:val="both"/>
        <w:rPr>
          <w:rFonts w:ascii="Arial" w:hAnsi="Arial" w:cs="Arial"/>
          <w:sz w:val="24"/>
          <w:szCs w:val="24"/>
        </w:rPr>
      </w:pPr>
      <w:r>
        <w:rPr>
          <w:rFonts w:ascii="Arial" w:hAnsi="Arial" w:cs="Arial"/>
          <w:sz w:val="24"/>
          <w:szCs w:val="24"/>
        </w:rPr>
        <w:t>[8</w:t>
      </w:r>
      <w:r w:rsidR="007C3B56">
        <w:rPr>
          <w:rFonts w:ascii="Arial" w:hAnsi="Arial" w:cs="Arial"/>
          <w:sz w:val="24"/>
          <w:szCs w:val="24"/>
        </w:rPr>
        <w:t>]</w:t>
      </w:r>
      <w:r w:rsidR="007C3B56">
        <w:rPr>
          <w:rFonts w:ascii="Arial" w:hAnsi="Arial" w:cs="Arial"/>
          <w:sz w:val="24"/>
          <w:szCs w:val="24"/>
        </w:rPr>
        <w:tab/>
      </w:r>
      <w:r w:rsidR="0052438F">
        <w:rPr>
          <w:rFonts w:ascii="Arial" w:hAnsi="Arial" w:cs="Arial"/>
          <w:sz w:val="24"/>
          <w:szCs w:val="24"/>
        </w:rPr>
        <w:t xml:space="preserve">Although </w:t>
      </w:r>
      <w:r w:rsidR="007C3B56">
        <w:rPr>
          <w:rFonts w:ascii="Arial" w:hAnsi="Arial" w:cs="Arial"/>
          <w:sz w:val="24"/>
          <w:szCs w:val="24"/>
        </w:rPr>
        <w:t>the first</w:t>
      </w:r>
      <w:r w:rsidR="00D93284">
        <w:rPr>
          <w:rFonts w:ascii="Arial" w:hAnsi="Arial" w:cs="Arial"/>
          <w:sz w:val="24"/>
          <w:szCs w:val="24"/>
        </w:rPr>
        <w:t xml:space="preserve"> respondent</w:t>
      </w:r>
      <w:r w:rsidR="0052438F">
        <w:rPr>
          <w:rFonts w:ascii="Arial" w:hAnsi="Arial" w:cs="Arial"/>
          <w:sz w:val="24"/>
          <w:szCs w:val="24"/>
        </w:rPr>
        <w:t xml:space="preserve"> acknowledges the existence of the restraint of trade signed in January 2019 </w:t>
      </w:r>
      <w:r w:rsidR="007C3B56">
        <w:rPr>
          <w:rFonts w:ascii="Arial" w:hAnsi="Arial" w:cs="Arial"/>
          <w:sz w:val="24"/>
          <w:szCs w:val="24"/>
        </w:rPr>
        <w:t>she denies</w:t>
      </w:r>
      <w:r w:rsidR="00D93284">
        <w:rPr>
          <w:rFonts w:ascii="Arial" w:hAnsi="Arial" w:cs="Arial"/>
          <w:sz w:val="24"/>
          <w:szCs w:val="24"/>
        </w:rPr>
        <w:t xml:space="preserve"> knowledge of the contents of the second restraint of trade agreement</w:t>
      </w:r>
      <w:r w:rsidR="00FA41FC">
        <w:rPr>
          <w:rFonts w:ascii="Arial" w:hAnsi="Arial" w:cs="Arial"/>
          <w:sz w:val="24"/>
          <w:szCs w:val="24"/>
        </w:rPr>
        <w:t xml:space="preserve"> </w:t>
      </w:r>
      <w:r w:rsidR="007C3B56">
        <w:rPr>
          <w:rFonts w:ascii="Arial" w:hAnsi="Arial" w:cs="Arial"/>
          <w:sz w:val="24"/>
          <w:szCs w:val="24"/>
        </w:rPr>
        <w:t>(Annexure</w:t>
      </w:r>
      <w:r w:rsidR="00FA41FC">
        <w:rPr>
          <w:rFonts w:ascii="Arial" w:hAnsi="Arial" w:cs="Arial"/>
          <w:sz w:val="24"/>
          <w:szCs w:val="24"/>
        </w:rPr>
        <w:t xml:space="preserve"> FA14</w:t>
      </w:r>
      <w:r w:rsidR="007C3B56">
        <w:rPr>
          <w:rFonts w:ascii="Arial" w:hAnsi="Arial" w:cs="Arial"/>
          <w:sz w:val="24"/>
          <w:szCs w:val="24"/>
        </w:rPr>
        <w:t>).</w:t>
      </w:r>
      <w:r w:rsidR="00D93284">
        <w:rPr>
          <w:rFonts w:ascii="Arial" w:hAnsi="Arial" w:cs="Arial"/>
          <w:sz w:val="24"/>
          <w:szCs w:val="24"/>
        </w:rPr>
        <w:t xml:space="preserve"> </w:t>
      </w:r>
      <w:r w:rsidR="00FA41FC">
        <w:rPr>
          <w:rFonts w:ascii="Arial" w:hAnsi="Arial" w:cs="Arial"/>
          <w:sz w:val="24"/>
          <w:szCs w:val="24"/>
        </w:rPr>
        <w:t xml:space="preserve">She also denies knowledge of the confidentiality agreement that is referred to in Annexure FA 14. The applicant was unable to shed light on why the first page of this contract was not signed by the respondent although it was signed on behalf of the applicant on both pages. I am unable to find that the respondent’s </w:t>
      </w:r>
      <w:r w:rsidR="007C3B56">
        <w:rPr>
          <w:rFonts w:ascii="Arial" w:hAnsi="Arial" w:cs="Arial"/>
          <w:sz w:val="24"/>
          <w:szCs w:val="24"/>
        </w:rPr>
        <w:t>version, on</w:t>
      </w:r>
      <w:r w:rsidR="00FA41FC">
        <w:rPr>
          <w:rFonts w:ascii="Arial" w:hAnsi="Arial" w:cs="Arial"/>
          <w:sz w:val="24"/>
          <w:szCs w:val="24"/>
        </w:rPr>
        <w:t xml:space="preserve"> whether or not she knew what the first page of FA </w:t>
      </w:r>
      <w:r w:rsidR="007C3B56">
        <w:rPr>
          <w:rFonts w:ascii="Arial" w:hAnsi="Arial" w:cs="Arial"/>
          <w:sz w:val="24"/>
          <w:szCs w:val="24"/>
        </w:rPr>
        <w:t>14 contained</w:t>
      </w:r>
      <w:r w:rsidR="00042737">
        <w:rPr>
          <w:rFonts w:ascii="Arial" w:hAnsi="Arial" w:cs="Arial"/>
          <w:sz w:val="24"/>
          <w:szCs w:val="24"/>
        </w:rPr>
        <w:t xml:space="preserve">, is farfetched and untenable. This point has to be decided in favour of the first respondent.  </w:t>
      </w:r>
    </w:p>
    <w:p w:rsidR="00D93284" w:rsidRDefault="00D93284" w:rsidP="00077257">
      <w:pPr>
        <w:pStyle w:val="BodyAAA"/>
        <w:pBdr>
          <w:top w:val="none" w:sz="0" w:space="0" w:color="auto"/>
          <w:left w:val="none" w:sz="0" w:space="0" w:color="auto"/>
          <w:bottom w:val="none" w:sz="0" w:space="0" w:color="auto"/>
          <w:right w:val="none" w:sz="0" w:space="0" w:color="auto"/>
          <w:bar w:val="none" w:sz="0" w:color="auto"/>
        </w:pBdr>
        <w:tabs>
          <w:tab w:val="left" w:pos="567"/>
        </w:tabs>
        <w:spacing w:line="360" w:lineRule="auto"/>
        <w:ind w:left="709" w:hanging="709"/>
        <w:jc w:val="both"/>
        <w:rPr>
          <w:rFonts w:ascii="Arial" w:hAnsi="Arial" w:cs="Arial"/>
          <w:sz w:val="24"/>
          <w:szCs w:val="24"/>
        </w:rPr>
      </w:pPr>
    </w:p>
    <w:p w:rsidR="009115AA" w:rsidRPr="006C67E5" w:rsidRDefault="00077257" w:rsidP="00077257">
      <w:pPr>
        <w:pStyle w:val="BodyAAA"/>
        <w:pBdr>
          <w:top w:val="none" w:sz="0" w:space="0" w:color="auto"/>
          <w:left w:val="none" w:sz="0" w:space="0" w:color="auto"/>
          <w:bottom w:val="none" w:sz="0" w:space="0" w:color="auto"/>
          <w:right w:val="none" w:sz="0" w:space="0" w:color="auto"/>
          <w:bar w:val="none" w:sz="0" w:color="auto"/>
        </w:pBdr>
        <w:tabs>
          <w:tab w:val="left" w:pos="567"/>
        </w:tabs>
        <w:spacing w:line="360" w:lineRule="auto"/>
        <w:ind w:left="709" w:hanging="709"/>
        <w:jc w:val="both"/>
        <w:rPr>
          <w:rFonts w:ascii="Arial" w:eastAsia="Times New Roman" w:hAnsi="Arial" w:cs="Arial"/>
          <w:b/>
          <w:color w:val="auto"/>
          <w:sz w:val="24"/>
          <w:szCs w:val="24"/>
        </w:rPr>
      </w:pPr>
      <w:r>
        <w:rPr>
          <w:rFonts w:ascii="Arial" w:hAnsi="Arial" w:cs="Arial"/>
          <w:sz w:val="24"/>
          <w:szCs w:val="24"/>
        </w:rPr>
        <w:t>[9</w:t>
      </w:r>
      <w:r w:rsidR="00CF4505" w:rsidRPr="00CE5457">
        <w:rPr>
          <w:rFonts w:ascii="Arial" w:hAnsi="Arial" w:cs="Arial"/>
          <w:sz w:val="24"/>
          <w:szCs w:val="24"/>
        </w:rPr>
        <w:t xml:space="preserve">] </w:t>
      </w:r>
      <w:r w:rsidR="00792CD6" w:rsidRPr="00CE5457">
        <w:rPr>
          <w:rFonts w:ascii="Arial" w:hAnsi="Arial" w:cs="Arial"/>
          <w:sz w:val="24"/>
          <w:szCs w:val="24"/>
        </w:rPr>
        <w:t xml:space="preserve">  </w:t>
      </w:r>
      <w:r w:rsidR="00CD77DD" w:rsidRPr="00CE5457">
        <w:rPr>
          <w:rFonts w:ascii="Arial" w:hAnsi="Arial" w:cs="Arial"/>
          <w:sz w:val="24"/>
          <w:szCs w:val="24"/>
        </w:rPr>
        <w:t xml:space="preserve"> </w:t>
      </w:r>
      <w:r w:rsidR="003D48C4">
        <w:rPr>
          <w:rFonts w:ascii="Arial" w:hAnsi="Arial" w:cs="Arial"/>
          <w:sz w:val="24"/>
          <w:szCs w:val="24"/>
        </w:rPr>
        <w:t xml:space="preserve"> </w:t>
      </w:r>
      <w:r w:rsidR="003D48C4" w:rsidRPr="003D48C4">
        <w:rPr>
          <w:rFonts w:ascii="Arial" w:eastAsia="Times New Roman" w:hAnsi="Arial" w:cs="Arial"/>
          <w:color w:val="262626"/>
          <w:sz w:val="24"/>
          <w:szCs w:val="24"/>
        </w:rPr>
        <w:t>Our c</w:t>
      </w:r>
      <w:r w:rsidR="0052438F">
        <w:rPr>
          <w:rFonts w:ascii="Arial" w:eastAsia="Times New Roman" w:hAnsi="Arial" w:cs="Arial"/>
          <w:color w:val="262626"/>
          <w:sz w:val="24"/>
          <w:szCs w:val="24"/>
        </w:rPr>
        <w:t>onstitution protects every citizen’s right</w:t>
      </w:r>
      <w:r w:rsidR="003D48C4" w:rsidRPr="003D48C4">
        <w:rPr>
          <w:rFonts w:ascii="Arial" w:eastAsia="Times New Roman" w:hAnsi="Arial" w:cs="Arial"/>
          <w:color w:val="262626"/>
          <w:sz w:val="24"/>
          <w:szCs w:val="24"/>
        </w:rPr>
        <w:t xml:space="preserve"> to practice their trade to earn a living and to freely sell </w:t>
      </w:r>
      <w:r w:rsidR="006C67E5">
        <w:rPr>
          <w:rFonts w:ascii="Arial" w:eastAsia="Times New Roman" w:hAnsi="Arial" w:cs="Arial"/>
          <w:color w:val="262626"/>
          <w:sz w:val="24"/>
          <w:szCs w:val="24"/>
        </w:rPr>
        <w:t xml:space="preserve">their skills. It further protects their </w:t>
      </w:r>
      <w:r w:rsidR="007C3B56">
        <w:rPr>
          <w:rFonts w:ascii="Arial" w:eastAsia="Times New Roman" w:hAnsi="Arial" w:cs="Arial"/>
          <w:color w:val="262626"/>
          <w:sz w:val="24"/>
          <w:szCs w:val="24"/>
        </w:rPr>
        <w:t xml:space="preserve">right </w:t>
      </w:r>
      <w:r w:rsidR="007C3B56" w:rsidRPr="003D48C4">
        <w:rPr>
          <w:rFonts w:ascii="Arial" w:eastAsia="Times New Roman" w:hAnsi="Arial" w:cs="Arial"/>
          <w:color w:val="262626"/>
          <w:sz w:val="24"/>
          <w:szCs w:val="24"/>
        </w:rPr>
        <w:t>to</w:t>
      </w:r>
      <w:r w:rsidR="003D48C4" w:rsidRPr="003D48C4">
        <w:rPr>
          <w:rFonts w:ascii="Arial" w:eastAsia="Times New Roman" w:hAnsi="Arial" w:cs="Arial"/>
          <w:color w:val="262626"/>
          <w:sz w:val="24"/>
          <w:szCs w:val="24"/>
        </w:rPr>
        <w:t xml:space="preserve"> enter into legally binding contracts and once they have concluded such contracts they are expected to respect them and keep their end of the bargain. </w:t>
      </w:r>
      <w:r w:rsidR="003D48C4">
        <w:rPr>
          <w:rFonts w:ascii="Arial" w:hAnsi="Arial" w:cs="Arial"/>
          <w:sz w:val="24"/>
        </w:rPr>
        <w:t xml:space="preserve">It </w:t>
      </w:r>
      <w:r w:rsidR="007C3B56">
        <w:rPr>
          <w:rFonts w:ascii="Arial" w:hAnsi="Arial" w:cs="Arial"/>
          <w:sz w:val="24"/>
        </w:rPr>
        <w:t xml:space="preserve">is </w:t>
      </w:r>
      <w:r w:rsidR="007C3B56" w:rsidRPr="00CE5457">
        <w:rPr>
          <w:rFonts w:ascii="Arial" w:hAnsi="Arial" w:cs="Arial"/>
          <w:sz w:val="24"/>
        </w:rPr>
        <w:t>trite</w:t>
      </w:r>
      <w:r w:rsidR="00884DEA" w:rsidRPr="00CE5457">
        <w:rPr>
          <w:rFonts w:ascii="Arial" w:hAnsi="Arial" w:cs="Arial"/>
          <w:sz w:val="24"/>
        </w:rPr>
        <w:t xml:space="preserve"> that restraints of trade </w:t>
      </w:r>
      <w:r w:rsidR="007C3B56" w:rsidRPr="00CE5457">
        <w:rPr>
          <w:rFonts w:ascii="Arial" w:hAnsi="Arial" w:cs="Arial"/>
          <w:sz w:val="24"/>
        </w:rPr>
        <w:t>agreements are</w:t>
      </w:r>
      <w:r w:rsidR="00884DEA" w:rsidRPr="00CE5457">
        <w:rPr>
          <w:rFonts w:ascii="Arial" w:hAnsi="Arial" w:cs="Arial"/>
          <w:sz w:val="24"/>
        </w:rPr>
        <w:t xml:space="preserve"> valid and </w:t>
      </w:r>
      <w:r w:rsidR="007C3B56" w:rsidRPr="00CE5457">
        <w:rPr>
          <w:rFonts w:ascii="Arial" w:hAnsi="Arial" w:cs="Arial"/>
          <w:sz w:val="24"/>
        </w:rPr>
        <w:t>binding, as</w:t>
      </w:r>
      <w:r w:rsidR="00884DEA" w:rsidRPr="00CE5457">
        <w:rPr>
          <w:rFonts w:ascii="Arial" w:hAnsi="Arial" w:cs="Arial"/>
          <w:sz w:val="24"/>
        </w:rPr>
        <w:t xml:space="preserve"> well as enforceable, provided the enfor</w:t>
      </w:r>
      <w:r w:rsidR="0094154F">
        <w:rPr>
          <w:rFonts w:ascii="Arial" w:hAnsi="Arial" w:cs="Arial"/>
          <w:sz w:val="24"/>
        </w:rPr>
        <w:t xml:space="preserve">cement thereof </w:t>
      </w:r>
      <w:r w:rsidR="003D48C4">
        <w:rPr>
          <w:rFonts w:ascii="Arial" w:hAnsi="Arial" w:cs="Arial"/>
          <w:sz w:val="24"/>
        </w:rPr>
        <w:t xml:space="preserve"> </w:t>
      </w:r>
      <w:r w:rsidR="00884DEA" w:rsidRPr="00CE5457">
        <w:rPr>
          <w:rFonts w:ascii="Arial" w:hAnsi="Arial" w:cs="Arial"/>
          <w:sz w:val="24"/>
        </w:rPr>
        <w:t xml:space="preserve"> is reasonable. </w:t>
      </w:r>
      <w:r w:rsidR="006C67E5">
        <w:rPr>
          <w:rFonts w:ascii="Arial" w:hAnsi="Arial" w:cs="Arial"/>
          <w:sz w:val="24"/>
        </w:rPr>
        <w:t xml:space="preserve"> See </w:t>
      </w:r>
      <w:r w:rsidR="006C67E5" w:rsidRPr="006C67E5">
        <w:rPr>
          <w:rFonts w:ascii="Arial" w:hAnsi="Arial" w:cs="Arial"/>
          <w:b/>
          <w:sz w:val="24"/>
          <w:szCs w:val="24"/>
        </w:rPr>
        <w:t>Magna Alloys &amp; Research (</w:t>
      </w:r>
      <w:r w:rsidR="007C3B56" w:rsidRPr="006C67E5">
        <w:rPr>
          <w:rFonts w:ascii="Arial" w:hAnsi="Arial" w:cs="Arial"/>
          <w:b/>
          <w:sz w:val="24"/>
          <w:szCs w:val="24"/>
        </w:rPr>
        <w:t>S.A)</w:t>
      </w:r>
      <w:r w:rsidR="006C67E5" w:rsidRPr="006C67E5">
        <w:rPr>
          <w:rFonts w:ascii="Arial" w:hAnsi="Arial" w:cs="Arial"/>
          <w:b/>
          <w:sz w:val="24"/>
          <w:szCs w:val="24"/>
        </w:rPr>
        <w:t xml:space="preserve"> (Pty) </w:t>
      </w:r>
      <w:r w:rsidR="007C3B56" w:rsidRPr="006C67E5">
        <w:rPr>
          <w:rFonts w:ascii="Arial" w:hAnsi="Arial" w:cs="Arial"/>
          <w:b/>
          <w:sz w:val="24"/>
          <w:szCs w:val="24"/>
        </w:rPr>
        <w:t>Ltd.</w:t>
      </w:r>
      <w:r w:rsidR="006C67E5" w:rsidRPr="006C67E5">
        <w:rPr>
          <w:rFonts w:ascii="Arial" w:hAnsi="Arial" w:cs="Arial"/>
          <w:b/>
          <w:sz w:val="24"/>
          <w:szCs w:val="24"/>
        </w:rPr>
        <w:t xml:space="preserve"> v Ellis</w:t>
      </w:r>
      <w:r w:rsidR="006C67E5">
        <w:rPr>
          <w:rStyle w:val="FootnoteReference"/>
          <w:rFonts w:ascii="Arial" w:hAnsi="Arial" w:cs="Arial"/>
          <w:b/>
          <w:sz w:val="24"/>
          <w:szCs w:val="24"/>
        </w:rPr>
        <w:footnoteReference w:id="3"/>
      </w:r>
    </w:p>
    <w:p w:rsidR="003D48C4" w:rsidRDefault="003D48C4" w:rsidP="00077257">
      <w:pPr>
        <w:tabs>
          <w:tab w:val="left" w:pos="567"/>
        </w:tabs>
        <w:spacing w:after="0" w:line="240" w:lineRule="auto"/>
        <w:ind w:left="720" w:hanging="720"/>
        <w:textAlignment w:val="baseline"/>
        <w:rPr>
          <w:rFonts w:ascii="Arial" w:hAnsi="Arial" w:cs="Arial"/>
          <w:sz w:val="24"/>
        </w:rPr>
      </w:pPr>
    </w:p>
    <w:p w:rsidR="00674D11" w:rsidRPr="00674D11" w:rsidRDefault="00077257" w:rsidP="00077257">
      <w:pPr>
        <w:tabs>
          <w:tab w:val="left" w:pos="567"/>
        </w:tabs>
        <w:spacing w:after="0" w:line="360" w:lineRule="auto"/>
        <w:ind w:left="720" w:hanging="720"/>
        <w:jc w:val="both"/>
        <w:textAlignment w:val="baseline"/>
        <w:rPr>
          <w:rFonts w:ascii="Arial" w:eastAsia="Times New Roman" w:hAnsi="Arial" w:cs="Arial"/>
          <w:sz w:val="24"/>
          <w:szCs w:val="24"/>
          <w:lang w:eastAsia="en-ZA"/>
        </w:rPr>
      </w:pPr>
      <w:r>
        <w:rPr>
          <w:rFonts w:ascii="Arial" w:hAnsi="Arial" w:cs="Arial"/>
          <w:sz w:val="24"/>
        </w:rPr>
        <w:t xml:space="preserve">[10]   </w:t>
      </w:r>
      <w:r>
        <w:rPr>
          <w:rFonts w:ascii="Arial" w:hAnsi="Arial" w:cs="Arial"/>
          <w:sz w:val="24"/>
        </w:rPr>
        <w:tab/>
      </w:r>
      <w:r w:rsidR="00884DEA" w:rsidRPr="00CE5457">
        <w:rPr>
          <w:rFonts w:ascii="Arial" w:hAnsi="Arial" w:cs="Arial"/>
          <w:sz w:val="24"/>
        </w:rPr>
        <w:t xml:space="preserve">The test to determine the reasonableness of a restraint of trade agreement was set out in </w:t>
      </w:r>
      <w:r w:rsidR="00884DEA" w:rsidRPr="00CE5457">
        <w:rPr>
          <w:rFonts w:ascii="Arial" w:hAnsi="Arial" w:cs="Arial"/>
          <w:b/>
          <w:sz w:val="24"/>
        </w:rPr>
        <w:t>Basson v Chilwan and Others</w:t>
      </w:r>
      <w:r w:rsidR="00884DEA">
        <w:rPr>
          <w:rStyle w:val="FootnoteReference"/>
          <w:rFonts w:ascii="Arial" w:hAnsi="Arial" w:cs="Arial"/>
          <w:sz w:val="24"/>
        </w:rPr>
        <w:footnoteReference w:id="4"/>
      </w:r>
      <w:r w:rsidR="00884DEA" w:rsidRPr="00CE5457">
        <w:rPr>
          <w:rFonts w:ascii="Arial" w:hAnsi="Arial" w:cs="Arial"/>
          <w:sz w:val="24"/>
        </w:rPr>
        <w:t xml:space="preserve"> </w:t>
      </w:r>
      <w:r w:rsidR="000655ED" w:rsidRPr="00CE5457">
        <w:rPr>
          <w:rFonts w:ascii="Arial" w:hAnsi="Arial" w:cs="Arial"/>
          <w:sz w:val="24"/>
        </w:rPr>
        <w:t>. Th</w:t>
      </w:r>
      <w:r w:rsidR="00674D11" w:rsidRPr="00CE5457">
        <w:rPr>
          <w:rFonts w:ascii="Arial" w:hAnsi="Arial" w:cs="Arial"/>
          <w:sz w:val="24"/>
        </w:rPr>
        <w:t xml:space="preserve">e test requires </w:t>
      </w:r>
      <w:r w:rsidR="007C3B56" w:rsidRPr="00CE5457">
        <w:rPr>
          <w:rFonts w:ascii="Arial" w:hAnsi="Arial" w:cs="Arial"/>
          <w:sz w:val="24"/>
        </w:rPr>
        <w:t>that the</w:t>
      </w:r>
      <w:r w:rsidR="000655ED" w:rsidRPr="00CE5457">
        <w:rPr>
          <w:rFonts w:ascii="Arial" w:hAnsi="Arial" w:cs="Arial"/>
          <w:sz w:val="24"/>
        </w:rPr>
        <w:t xml:space="preserve"> following must be assessed to determine the reasonableness of the </w:t>
      </w:r>
      <w:r w:rsidR="003039E9">
        <w:rPr>
          <w:rFonts w:ascii="Arial" w:hAnsi="Arial" w:cs="Arial"/>
          <w:sz w:val="24"/>
        </w:rPr>
        <w:t xml:space="preserve">restraint of trade </w:t>
      </w:r>
      <w:r w:rsidR="003039E9">
        <w:rPr>
          <w:rFonts w:ascii="Arial" w:hAnsi="Arial" w:cs="Arial"/>
          <w:sz w:val="24"/>
        </w:rPr>
        <w:lastRenderedPageBreak/>
        <w:t xml:space="preserve">agreement. </w:t>
      </w:r>
      <w:r w:rsidR="00674D11" w:rsidRPr="00CE5457">
        <w:rPr>
          <w:rFonts w:ascii="Arial" w:hAnsi="Arial" w:cs="Arial"/>
          <w:sz w:val="24"/>
        </w:rPr>
        <w:t xml:space="preserve">(a) </w:t>
      </w:r>
      <w:r w:rsidR="00674D11" w:rsidRPr="003D48C4">
        <w:rPr>
          <w:rFonts w:ascii="Arial" w:eastAsia="Times New Roman" w:hAnsi="Arial" w:cs="Arial"/>
          <w:sz w:val="24"/>
          <w:szCs w:val="24"/>
          <w:lang w:eastAsia="en-ZA"/>
        </w:rPr>
        <w:t>Is there an interest of the one party, which is deserving of protection at the termination of the agreement?</w:t>
      </w:r>
      <w:r w:rsidR="00CE5457" w:rsidRPr="003D48C4">
        <w:rPr>
          <w:rFonts w:ascii="Arial" w:eastAsia="Times New Roman" w:hAnsi="Arial" w:cs="Arial"/>
          <w:sz w:val="24"/>
          <w:szCs w:val="24"/>
          <w:lang w:eastAsia="en-ZA"/>
        </w:rPr>
        <w:t xml:space="preserve"> (b) </w:t>
      </w:r>
      <w:r w:rsidR="00674D11" w:rsidRPr="00674D11">
        <w:rPr>
          <w:rFonts w:ascii="Arial" w:eastAsia="Times New Roman" w:hAnsi="Arial" w:cs="Arial"/>
          <w:sz w:val="24"/>
          <w:szCs w:val="24"/>
          <w:lang w:eastAsia="en-ZA"/>
        </w:rPr>
        <w:t>Is that interest being prejudiced by the other party?</w:t>
      </w:r>
      <w:r w:rsidR="00CE5457" w:rsidRPr="003D48C4">
        <w:rPr>
          <w:rFonts w:ascii="Arial" w:eastAsia="Times New Roman" w:hAnsi="Arial" w:cs="Arial"/>
          <w:sz w:val="24"/>
          <w:szCs w:val="24"/>
          <w:lang w:eastAsia="en-ZA"/>
        </w:rPr>
        <w:t xml:space="preserve"> (c) </w:t>
      </w:r>
      <w:r w:rsidR="00674D11" w:rsidRPr="00674D11">
        <w:rPr>
          <w:rFonts w:ascii="Arial" w:eastAsia="Times New Roman" w:hAnsi="Arial" w:cs="Arial"/>
          <w:sz w:val="24"/>
          <w:szCs w:val="24"/>
          <w:lang w:eastAsia="en-ZA"/>
        </w:rPr>
        <w:t>If so, does the interest weigh up qualitatively and quantitatively against the interest of the latter party, that the latter should not be economically inactive and unproductive?</w:t>
      </w:r>
      <w:r w:rsidR="00CE5457" w:rsidRPr="003D48C4">
        <w:rPr>
          <w:rFonts w:ascii="Arial" w:eastAsia="Times New Roman" w:hAnsi="Arial" w:cs="Arial"/>
          <w:sz w:val="24"/>
          <w:szCs w:val="24"/>
          <w:lang w:eastAsia="en-ZA"/>
        </w:rPr>
        <w:t xml:space="preserve"> (d) </w:t>
      </w:r>
      <w:r w:rsidR="00674D11" w:rsidRPr="00674D11">
        <w:rPr>
          <w:rFonts w:ascii="Arial" w:eastAsia="Times New Roman" w:hAnsi="Arial" w:cs="Arial"/>
          <w:sz w:val="24"/>
          <w:szCs w:val="24"/>
          <w:lang w:eastAsia="en-ZA"/>
        </w:rPr>
        <w:t>Is there another facet of public policy having nothing</w:t>
      </w:r>
      <w:r w:rsidR="00CE5457" w:rsidRPr="003D48C4">
        <w:rPr>
          <w:rFonts w:ascii="Arial" w:eastAsia="Times New Roman" w:hAnsi="Arial" w:cs="Arial"/>
          <w:sz w:val="24"/>
          <w:szCs w:val="24"/>
          <w:lang w:eastAsia="en-ZA"/>
        </w:rPr>
        <w:t xml:space="preserve"> </w:t>
      </w:r>
      <w:r w:rsidR="00674D11" w:rsidRPr="00674D11">
        <w:rPr>
          <w:rFonts w:ascii="Arial" w:eastAsia="Times New Roman" w:hAnsi="Arial" w:cs="Arial"/>
          <w:sz w:val="24"/>
          <w:szCs w:val="24"/>
          <w:lang w:eastAsia="en-ZA"/>
        </w:rPr>
        <w:t>to do with the relationship between the parties, but which requires that the restraint should either be maintained or rejected?</w:t>
      </w:r>
    </w:p>
    <w:p w:rsidR="00C40F73" w:rsidRPr="006E1CD5" w:rsidRDefault="00C40F73" w:rsidP="00077257">
      <w:pPr>
        <w:spacing w:after="0" w:line="360" w:lineRule="auto"/>
        <w:ind w:left="709" w:hanging="709"/>
        <w:jc w:val="both"/>
        <w:rPr>
          <w:rFonts w:ascii="Arial" w:hAnsi="Arial" w:cs="Arial"/>
          <w:sz w:val="24"/>
          <w:szCs w:val="24"/>
        </w:rPr>
      </w:pPr>
    </w:p>
    <w:p w:rsidR="0044210B" w:rsidRPr="0044210B" w:rsidRDefault="00077257" w:rsidP="00077257">
      <w:pPr>
        <w:shd w:val="clear" w:color="auto" w:fill="FFFFFF"/>
        <w:spacing w:before="144" w:after="0" w:line="360" w:lineRule="auto"/>
        <w:ind w:left="720" w:hanging="720"/>
        <w:rPr>
          <w:rFonts w:ascii="Arial" w:hAnsi="Arial" w:cs="Arial"/>
          <w:sz w:val="24"/>
          <w:szCs w:val="24"/>
        </w:rPr>
      </w:pPr>
      <w:r>
        <w:rPr>
          <w:rFonts w:ascii="Arial" w:hAnsi="Arial" w:cs="Arial"/>
          <w:sz w:val="24"/>
          <w:szCs w:val="24"/>
        </w:rPr>
        <w:t>[11</w:t>
      </w:r>
      <w:r w:rsidR="00EF1358" w:rsidRPr="006E1CD5">
        <w:rPr>
          <w:rFonts w:ascii="Arial" w:hAnsi="Arial" w:cs="Arial"/>
          <w:sz w:val="24"/>
          <w:szCs w:val="24"/>
        </w:rPr>
        <w:t xml:space="preserve">] </w:t>
      </w:r>
      <w:r w:rsidR="0044210B">
        <w:rPr>
          <w:rFonts w:ascii="Arial" w:hAnsi="Arial" w:cs="Arial"/>
          <w:sz w:val="24"/>
          <w:szCs w:val="24"/>
        </w:rPr>
        <w:tab/>
        <w:t xml:space="preserve">In </w:t>
      </w:r>
      <w:r w:rsidR="0044210B" w:rsidRPr="0044210B">
        <w:rPr>
          <w:rFonts w:ascii="Arial" w:eastAsia="Times New Roman" w:hAnsi="Arial" w:cs="Arial"/>
          <w:b/>
          <w:color w:val="242121"/>
          <w:sz w:val="24"/>
          <w:szCs w:val="24"/>
          <w:lang w:val="en-GB" w:eastAsia="en-ZA"/>
        </w:rPr>
        <w:t>Reddy v Siemens Telecommunications (Pty) Ltd</w:t>
      </w:r>
      <w:r w:rsidR="0044210B">
        <w:rPr>
          <w:rFonts w:ascii="Arial" w:eastAsia="Times New Roman" w:hAnsi="Arial" w:cs="Arial"/>
          <w:b/>
          <w:color w:val="242121"/>
          <w:sz w:val="24"/>
          <w:szCs w:val="24"/>
          <w:lang w:val="en-GB" w:eastAsia="en-ZA"/>
        </w:rPr>
        <w:t xml:space="preserve"> </w:t>
      </w:r>
      <w:r w:rsidR="002C5DAE">
        <w:rPr>
          <w:rStyle w:val="FootnoteReference"/>
          <w:rFonts w:ascii="Arial" w:eastAsia="Times New Roman" w:hAnsi="Arial" w:cs="Arial"/>
          <w:b/>
          <w:color w:val="242121"/>
          <w:sz w:val="24"/>
          <w:szCs w:val="24"/>
          <w:lang w:val="en-GB" w:eastAsia="en-ZA"/>
        </w:rPr>
        <w:footnoteReference w:id="5"/>
      </w:r>
      <w:r w:rsidR="002C5DAE">
        <w:rPr>
          <w:rFonts w:ascii="Arial" w:eastAsia="Times New Roman" w:hAnsi="Arial" w:cs="Arial"/>
          <w:b/>
          <w:color w:val="242121"/>
          <w:sz w:val="24"/>
          <w:szCs w:val="24"/>
          <w:lang w:val="en-GB" w:eastAsia="en-ZA"/>
        </w:rPr>
        <w:t xml:space="preserve"> </w:t>
      </w:r>
      <w:r w:rsidR="0044210B">
        <w:rPr>
          <w:rFonts w:ascii="Arial" w:eastAsia="Times New Roman" w:hAnsi="Arial" w:cs="Arial"/>
          <w:color w:val="242121"/>
          <w:sz w:val="24"/>
          <w:szCs w:val="24"/>
          <w:lang w:val="en-GB" w:eastAsia="en-ZA"/>
        </w:rPr>
        <w:t xml:space="preserve">Malan </w:t>
      </w:r>
      <w:r w:rsidR="002C5DAE">
        <w:rPr>
          <w:rFonts w:ascii="Arial" w:eastAsia="Times New Roman" w:hAnsi="Arial" w:cs="Arial"/>
          <w:color w:val="242121"/>
          <w:sz w:val="24"/>
          <w:szCs w:val="24"/>
          <w:lang w:val="en-GB" w:eastAsia="en-ZA"/>
        </w:rPr>
        <w:t>AJA remarked as follows when dealing with the reasonableness of the agreement in restraint of trade</w:t>
      </w:r>
      <w:r w:rsidR="00D93284">
        <w:rPr>
          <w:rFonts w:ascii="Arial" w:eastAsia="Times New Roman" w:hAnsi="Arial" w:cs="Arial"/>
          <w:color w:val="242121"/>
          <w:sz w:val="24"/>
          <w:szCs w:val="24"/>
          <w:lang w:val="en-GB" w:eastAsia="en-ZA"/>
        </w:rPr>
        <w:t xml:space="preserve">: </w:t>
      </w:r>
    </w:p>
    <w:p w:rsidR="0044210B" w:rsidRPr="004B6991" w:rsidRDefault="002C5DAE" w:rsidP="00077257">
      <w:pPr>
        <w:shd w:val="clear" w:color="auto" w:fill="FFFFFF"/>
        <w:spacing w:before="144" w:after="0" w:line="240" w:lineRule="auto"/>
        <w:ind w:left="1276"/>
        <w:jc w:val="both"/>
        <w:rPr>
          <w:rFonts w:ascii="Arial" w:eastAsia="Times New Roman" w:hAnsi="Arial" w:cs="Arial"/>
          <w:color w:val="242121"/>
          <w:sz w:val="20"/>
          <w:szCs w:val="20"/>
          <w:lang w:val="en-GB" w:eastAsia="en-ZA"/>
        </w:rPr>
      </w:pPr>
      <w:r>
        <w:rPr>
          <w:rFonts w:ascii="Arial" w:eastAsia="Times New Roman" w:hAnsi="Arial" w:cs="Arial"/>
          <w:color w:val="242121"/>
          <w:sz w:val="20"/>
          <w:szCs w:val="20"/>
          <w:lang w:val="en-GB" w:eastAsia="en-ZA"/>
        </w:rPr>
        <w:t>‘</w:t>
      </w:r>
      <w:r w:rsidR="0044210B" w:rsidRPr="004B6991">
        <w:rPr>
          <w:rFonts w:ascii="Arial" w:eastAsia="Times New Roman" w:hAnsi="Arial" w:cs="Arial"/>
          <w:color w:val="242121"/>
          <w:sz w:val="20"/>
          <w:szCs w:val="20"/>
          <w:lang w:val="en-GB" w:eastAsia="en-ZA"/>
        </w:rPr>
        <w:t>[15] A court must make a value judgment with two principal policy considerations in mind in determining the reasonableness of a restraint. The first is that the public interest</w:t>
      </w:r>
      <w:r w:rsidR="0044210B" w:rsidRPr="002C5DAE">
        <w:rPr>
          <w:rFonts w:ascii="Arial" w:eastAsia="Times New Roman" w:hAnsi="Arial" w:cs="Arial"/>
          <w:color w:val="242121"/>
          <w:sz w:val="20"/>
          <w:szCs w:val="20"/>
          <w:lang w:val="en-GB" w:eastAsia="en-ZA"/>
        </w:rPr>
        <w:t xml:space="preserve"> </w:t>
      </w:r>
      <w:r w:rsidR="0044210B" w:rsidRPr="004B6991">
        <w:rPr>
          <w:rFonts w:ascii="Arial" w:eastAsia="Times New Roman" w:hAnsi="Arial" w:cs="Arial"/>
          <w:color w:val="242121"/>
          <w:sz w:val="20"/>
          <w:szCs w:val="20"/>
          <w:lang w:val="en-GB" w:eastAsia="en-ZA"/>
        </w:rPr>
        <w:t>requires that parties should comply with their contractual obligations, a notion expressed by the maxim </w:t>
      </w:r>
      <w:r w:rsidR="0044210B" w:rsidRPr="004B6991">
        <w:rPr>
          <w:rFonts w:ascii="Arial" w:eastAsia="Times New Roman" w:hAnsi="Arial" w:cs="Arial"/>
          <w:i/>
          <w:iCs/>
          <w:color w:val="242121"/>
          <w:sz w:val="20"/>
          <w:szCs w:val="20"/>
          <w:lang w:val="en-GB" w:eastAsia="en-ZA"/>
        </w:rPr>
        <w:t>pacta servanda sunt</w:t>
      </w:r>
      <w:r w:rsidR="0044210B" w:rsidRPr="004B6991">
        <w:rPr>
          <w:rFonts w:ascii="Arial" w:eastAsia="Times New Roman" w:hAnsi="Arial" w:cs="Arial"/>
          <w:color w:val="242121"/>
          <w:sz w:val="20"/>
          <w:szCs w:val="20"/>
          <w:lang w:val="en-GB" w:eastAsia="en-ZA"/>
        </w:rPr>
        <w:t>.</w:t>
      </w:r>
      <w:r w:rsidR="0044210B" w:rsidRPr="004B6991">
        <w:rPr>
          <w:rFonts w:ascii="Arial" w:eastAsia="Times New Roman" w:hAnsi="Arial" w:cs="Arial"/>
          <w:i/>
          <w:iCs/>
          <w:color w:val="242121"/>
          <w:sz w:val="20"/>
          <w:szCs w:val="20"/>
          <w:lang w:val="en-GB" w:eastAsia="en-ZA"/>
        </w:rPr>
        <w:t> </w:t>
      </w:r>
      <w:r w:rsidR="0044210B" w:rsidRPr="004B6991">
        <w:rPr>
          <w:rFonts w:ascii="Arial" w:eastAsia="Times New Roman" w:hAnsi="Arial" w:cs="Arial"/>
          <w:color w:val="242121"/>
          <w:sz w:val="20"/>
          <w:szCs w:val="20"/>
          <w:lang w:val="en-GB" w:eastAsia="en-ZA"/>
        </w:rPr>
        <w:t>The second is that all persons should in the interests of society be productive and be permitted to engage in trade and commerce or the professions. Both considerations reflect not only common-law but also constitutional values. Contractual autonomy is part of freedom informing the constitutional value of dignity, and it is by entering into contracts that an individual takes part in economic life. In this sense freedom to contract is an integral part of the fundamental right referred to in s 22. Section 22 of the Constitution guarantees ‘[e]very citizen … the right to choose their trade, occupation or profession freely’ reflecting the closeness of the relationship between the freedom to choose a vocation and the nature of a society based on human dignity as contemplated by the Constitution. It is also an incident of the right to property to the extent that s 25 protects the acquisition, use, enjoyment and exploitation of property, and of the fundamental rights in respect of freedom of association (s 18), labour relations (s 23) and cultural, religious and linguistic communities (s 31).</w:t>
      </w:r>
    </w:p>
    <w:p w:rsidR="0044210B" w:rsidRPr="004B6991" w:rsidRDefault="0044210B" w:rsidP="00077257">
      <w:pPr>
        <w:shd w:val="clear" w:color="auto" w:fill="FFFFFF"/>
        <w:spacing w:before="144" w:after="0" w:line="240" w:lineRule="auto"/>
        <w:ind w:firstLine="414"/>
        <w:jc w:val="both"/>
        <w:rPr>
          <w:rFonts w:ascii="Arial" w:eastAsia="Times New Roman" w:hAnsi="Arial" w:cs="Arial"/>
          <w:color w:val="242121"/>
          <w:sz w:val="24"/>
          <w:szCs w:val="24"/>
          <w:lang w:val="en-GB" w:eastAsia="en-ZA"/>
        </w:rPr>
      </w:pPr>
    </w:p>
    <w:p w:rsidR="0044210B" w:rsidRPr="004B6991" w:rsidRDefault="0044210B" w:rsidP="00077257">
      <w:pPr>
        <w:shd w:val="clear" w:color="auto" w:fill="FFFFFF"/>
        <w:spacing w:before="144" w:after="0" w:line="240" w:lineRule="auto"/>
        <w:ind w:left="1276"/>
        <w:jc w:val="both"/>
        <w:rPr>
          <w:rFonts w:ascii="Arial" w:eastAsia="Times New Roman" w:hAnsi="Arial" w:cs="Arial"/>
          <w:color w:val="242121"/>
          <w:sz w:val="20"/>
          <w:szCs w:val="20"/>
          <w:lang w:val="en-GB" w:eastAsia="en-ZA"/>
        </w:rPr>
      </w:pPr>
      <w:r w:rsidRPr="004B6991">
        <w:rPr>
          <w:rFonts w:ascii="Arial" w:eastAsia="Times New Roman" w:hAnsi="Arial" w:cs="Arial"/>
          <w:color w:val="242121"/>
          <w:sz w:val="20"/>
          <w:szCs w:val="20"/>
          <w:lang w:val="en-GB" w:eastAsia="en-ZA"/>
        </w:rPr>
        <w:t>[16] In applying these two principal considerations the particular interests must be examined. A restraint would be unenforceable if it prevents a party after termination of his or her employment from partaking in trade or commerce without a corresponding interest of the other party deserving of protection. Such a restraint is not in the public interest. Moreover, a restraint which is reasonable as between the parties may for some other reason be contrary to the public interest</w:t>
      </w:r>
      <w:r w:rsidR="007C3B56" w:rsidRPr="004B6991">
        <w:rPr>
          <w:rFonts w:ascii="Arial" w:eastAsia="Times New Roman" w:hAnsi="Arial" w:cs="Arial"/>
          <w:color w:val="242121"/>
          <w:sz w:val="20"/>
          <w:szCs w:val="20"/>
          <w:lang w:val="en-GB" w:eastAsia="en-ZA"/>
        </w:rPr>
        <w:t>.’</w:t>
      </w:r>
    </w:p>
    <w:p w:rsidR="002D5BA0" w:rsidRDefault="002D5BA0" w:rsidP="003D48C4">
      <w:pPr>
        <w:tabs>
          <w:tab w:val="left" w:pos="720"/>
          <w:tab w:val="center" w:pos="4513"/>
        </w:tabs>
        <w:spacing w:after="0" w:line="360" w:lineRule="auto"/>
        <w:ind w:left="720" w:hanging="720"/>
        <w:jc w:val="both"/>
        <w:rPr>
          <w:rFonts w:ascii="Arial" w:hAnsi="Arial" w:cs="Arial"/>
          <w:sz w:val="24"/>
          <w:szCs w:val="24"/>
        </w:rPr>
      </w:pPr>
    </w:p>
    <w:p w:rsidR="00C0166D" w:rsidRDefault="00077257" w:rsidP="006B2FE5">
      <w:pPr>
        <w:spacing w:after="0" w:line="360" w:lineRule="auto"/>
        <w:ind w:left="720" w:hanging="720"/>
        <w:jc w:val="both"/>
        <w:rPr>
          <w:rFonts w:ascii="Arial" w:hAnsi="Arial" w:cs="Arial"/>
          <w:sz w:val="24"/>
          <w:szCs w:val="24"/>
        </w:rPr>
      </w:pPr>
      <w:r>
        <w:rPr>
          <w:rFonts w:ascii="Arial" w:hAnsi="Arial" w:cs="Arial"/>
          <w:sz w:val="24"/>
          <w:szCs w:val="24"/>
        </w:rPr>
        <w:t>[12</w:t>
      </w:r>
      <w:r w:rsidR="002D5BA0">
        <w:rPr>
          <w:rFonts w:ascii="Arial" w:hAnsi="Arial" w:cs="Arial"/>
          <w:sz w:val="24"/>
          <w:szCs w:val="24"/>
        </w:rPr>
        <w:t xml:space="preserve">]    </w:t>
      </w:r>
      <w:r w:rsidR="0052438F">
        <w:rPr>
          <w:rFonts w:ascii="Arial" w:hAnsi="Arial" w:cs="Arial"/>
          <w:sz w:val="24"/>
          <w:szCs w:val="24"/>
        </w:rPr>
        <w:t xml:space="preserve">Does the applicant have protectable interests. Is the information that the first respondent had access to while in the employ of the applicant </w:t>
      </w:r>
      <w:r w:rsidR="005D1B42">
        <w:rPr>
          <w:rFonts w:ascii="Arial" w:hAnsi="Arial" w:cs="Arial"/>
          <w:sz w:val="24"/>
          <w:szCs w:val="24"/>
        </w:rPr>
        <w:t xml:space="preserve">that is </w:t>
      </w:r>
      <w:r w:rsidR="0052438F">
        <w:rPr>
          <w:rFonts w:ascii="Arial" w:hAnsi="Arial" w:cs="Arial"/>
          <w:sz w:val="24"/>
          <w:szCs w:val="24"/>
        </w:rPr>
        <w:t xml:space="preserve">worthy of protection. </w:t>
      </w:r>
      <w:r w:rsidR="0002660A">
        <w:rPr>
          <w:rFonts w:ascii="Arial" w:hAnsi="Arial" w:cs="Arial"/>
          <w:sz w:val="24"/>
          <w:szCs w:val="24"/>
        </w:rPr>
        <w:t xml:space="preserve">The applicant argued that the first respondent enticed its clients and employees to leave the applicant and join second respondent. These allegations are not supported by the available evidence. </w:t>
      </w:r>
    </w:p>
    <w:p w:rsidR="00B4397A" w:rsidRPr="007C4462" w:rsidRDefault="00B4397A" w:rsidP="00D74391">
      <w:pPr>
        <w:shd w:val="clear" w:color="auto" w:fill="FFFFFF"/>
        <w:spacing w:after="0" w:line="240" w:lineRule="auto"/>
        <w:rPr>
          <w:rFonts w:ascii="Verdana" w:eastAsia="Times New Roman" w:hAnsi="Verdana" w:cs="Times New Roman"/>
          <w:b/>
          <w:bCs/>
          <w:sz w:val="24"/>
          <w:szCs w:val="24"/>
          <w:lang w:eastAsia="en-ZA"/>
        </w:rPr>
      </w:pPr>
    </w:p>
    <w:p w:rsidR="00D74391" w:rsidRDefault="00D74391" w:rsidP="00D74391">
      <w:pPr>
        <w:shd w:val="clear" w:color="auto" w:fill="FFFFFF"/>
        <w:spacing w:after="0" w:line="240" w:lineRule="auto"/>
        <w:jc w:val="center"/>
        <w:rPr>
          <w:rFonts w:ascii="Arial" w:eastAsia="Times New Roman" w:hAnsi="Arial" w:cs="Arial"/>
          <w:sz w:val="24"/>
          <w:szCs w:val="24"/>
          <w:lang w:eastAsia="en-ZA"/>
        </w:rPr>
      </w:pPr>
    </w:p>
    <w:p w:rsidR="0089702C" w:rsidRPr="00D74391" w:rsidRDefault="00077257" w:rsidP="00D74391">
      <w:pPr>
        <w:shd w:val="clear" w:color="auto" w:fill="FFFFFF"/>
        <w:spacing w:after="0" w:line="240" w:lineRule="auto"/>
        <w:ind w:left="720" w:hanging="720"/>
        <w:rPr>
          <w:rFonts w:ascii="Verdana" w:eastAsia="Times New Roman" w:hAnsi="Verdana" w:cs="Times New Roman"/>
          <w:b/>
          <w:bCs/>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r>
      <w:r w:rsidR="00D74391">
        <w:rPr>
          <w:rFonts w:ascii="Arial" w:eastAsia="Times New Roman" w:hAnsi="Arial" w:cs="Arial"/>
          <w:sz w:val="24"/>
          <w:szCs w:val="24"/>
          <w:lang w:eastAsia="en-ZA"/>
        </w:rPr>
        <w:t xml:space="preserve">In   </w:t>
      </w:r>
      <w:r w:rsidR="00D74391" w:rsidRPr="007C4462">
        <w:rPr>
          <w:rFonts w:ascii="Arial" w:eastAsia="Times New Roman" w:hAnsi="Arial" w:cs="Arial"/>
          <w:b/>
          <w:sz w:val="24"/>
          <w:szCs w:val="24"/>
          <w:lang w:eastAsia="en-ZA"/>
        </w:rPr>
        <w:t>Pinnacle Technology Shared Management Servi</w:t>
      </w:r>
      <w:r w:rsidR="00D74391" w:rsidRPr="00D74391">
        <w:rPr>
          <w:rFonts w:ascii="Arial" w:eastAsia="Times New Roman" w:hAnsi="Arial" w:cs="Arial"/>
          <w:b/>
          <w:sz w:val="24"/>
          <w:szCs w:val="24"/>
          <w:lang w:eastAsia="en-ZA"/>
        </w:rPr>
        <w:t xml:space="preserve">ces (Pty) Limited and Another </w:t>
      </w:r>
      <w:r w:rsidR="00D74391" w:rsidRPr="007C4462">
        <w:rPr>
          <w:rFonts w:ascii="Arial" w:eastAsia="Times New Roman" w:hAnsi="Arial" w:cs="Arial"/>
          <w:b/>
          <w:sz w:val="24"/>
          <w:szCs w:val="24"/>
          <w:lang w:eastAsia="en-ZA"/>
        </w:rPr>
        <w:t>Venter and Another</w:t>
      </w:r>
      <w:r w:rsidR="00D74391">
        <w:rPr>
          <w:rFonts w:ascii="Arial" w:eastAsia="Times New Roman" w:hAnsi="Arial" w:cs="Arial"/>
          <w:b/>
          <w:sz w:val="24"/>
          <w:szCs w:val="24"/>
          <w:lang w:eastAsia="en-ZA"/>
        </w:rPr>
        <w:t xml:space="preserve"> </w:t>
      </w:r>
      <w:r w:rsidR="00D74391">
        <w:rPr>
          <w:rStyle w:val="FootnoteReference"/>
          <w:rFonts w:ascii="Arial" w:eastAsia="Times New Roman" w:hAnsi="Arial" w:cs="Arial"/>
          <w:b/>
          <w:sz w:val="24"/>
          <w:szCs w:val="24"/>
          <w:lang w:eastAsia="en-ZA"/>
        </w:rPr>
        <w:footnoteReference w:id="6"/>
      </w:r>
      <w:r w:rsidR="00D74391" w:rsidRPr="007C4462">
        <w:rPr>
          <w:rFonts w:ascii="Arial" w:eastAsia="Times New Roman" w:hAnsi="Arial" w:cs="Arial"/>
          <w:sz w:val="24"/>
          <w:szCs w:val="24"/>
          <w:lang w:eastAsia="en-ZA"/>
        </w:rPr>
        <w:t xml:space="preserve"> </w:t>
      </w:r>
    </w:p>
    <w:p w:rsidR="0089702C" w:rsidRPr="0002660A" w:rsidRDefault="0089702C" w:rsidP="00077257">
      <w:pPr>
        <w:pStyle w:val="NormalWeb"/>
        <w:shd w:val="clear" w:color="auto" w:fill="FFFFFF"/>
        <w:spacing w:before="245" w:beforeAutospacing="0" w:after="0" w:afterAutospacing="0" w:line="360" w:lineRule="atLeast"/>
        <w:ind w:left="1276"/>
        <w:rPr>
          <w:rFonts w:ascii="Arial" w:hAnsi="Arial" w:cs="Arial"/>
          <w:color w:val="242121"/>
          <w:sz w:val="20"/>
          <w:szCs w:val="20"/>
        </w:rPr>
      </w:pPr>
      <w:r w:rsidRPr="0002660A">
        <w:rPr>
          <w:rFonts w:ascii="Arial" w:hAnsi="Arial" w:cs="Arial"/>
          <w:color w:val="242121"/>
          <w:sz w:val="20"/>
          <w:szCs w:val="20"/>
        </w:rPr>
        <w:t xml:space="preserve">[57] It seems to me that, where a company has competitors, adjustments to its profit margins and discount packages will be made fairly often. Unlike a ‘secret recipe’, the exact amount of profit a company sets out to make or gives up by way of discount to attract business on any given deal is not an immutable piece </w:t>
      </w:r>
      <w:r w:rsidR="007C3B56" w:rsidRPr="0002660A">
        <w:rPr>
          <w:rFonts w:ascii="Arial" w:hAnsi="Arial" w:cs="Arial"/>
          <w:color w:val="242121"/>
          <w:sz w:val="20"/>
          <w:szCs w:val="20"/>
        </w:rPr>
        <w:t>of information</w:t>
      </w:r>
      <w:r w:rsidRPr="0002660A">
        <w:rPr>
          <w:rFonts w:ascii="Arial" w:hAnsi="Arial" w:cs="Arial"/>
          <w:color w:val="242121"/>
          <w:sz w:val="20"/>
          <w:szCs w:val="20"/>
        </w:rPr>
        <w:t>.  Likewise, knowing this information does not give a competitor a permanent advantage.</w:t>
      </w:r>
    </w:p>
    <w:p w:rsidR="0089702C" w:rsidRPr="00D74391" w:rsidRDefault="0089702C" w:rsidP="00077257">
      <w:pPr>
        <w:pStyle w:val="NormalWeb"/>
        <w:shd w:val="clear" w:color="auto" w:fill="FFFFFF"/>
        <w:spacing w:before="245" w:beforeAutospacing="0" w:after="0" w:afterAutospacing="0" w:line="360" w:lineRule="atLeast"/>
        <w:ind w:left="1276"/>
        <w:rPr>
          <w:rFonts w:ascii="Arial" w:hAnsi="Arial" w:cs="Arial"/>
          <w:color w:val="242121"/>
          <w:sz w:val="20"/>
          <w:szCs w:val="20"/>
        </w:rPr>
      </w:pPr>
      <w:r w:rsidRPr="0002660A">
        <w:rPr>
          <w:rFonts w:ascii="Arial" w:hAnsi="Arial" w:cs="Arial"/>
          <w:color w:val="242121"/>
          <w:sz w:val="20"/>
          <w:szCs w:val="20"/>
        </w:rPr>
        <w:t>[58] If the second respondent were to come to know this information, there is nothing to suggest that it would be able to better the prices the applicants already offer their customers.  While it is not ideal that a competitor knows the applicant’s exact mark-up, it strikes me that undercutting, itself, is a routine business threat.</w:t>
      </w:r>
      <w:r>
        <w:rPr>
          <w:rFonts w:ascii="Arial" w:hAnsi="Arial" w:cs="Arial"/>
        </w:rPr>
        <w:t xml:space="preserve">           </w:t>
      </w:r>
    </w:p>
    <w:p w:rsidR="00E70A55" w:rsidRDefault="00E70A55" w:rsidP="006B2FE5">
      <w:pPr>
        <w:spacing w:after="0" w:line="360" w:lineRule="auto"/>
        <w:ind w:left="720" w:hanging="720"/>
        <w:jc w:val="both"/>
        <w:rPr>
          <w:rFonts w:ascii="Arial" w:hAnsi="Arial" w:cs="Arial"/>
          <w:sz w:val="24"/>
          <w:szCs w:val="24"/>
        </w:rPr>
      </w:pPr>
    </w:p>
    <w:p w:rsidR="00A41190" w:rsidRPr="00A41190" w:rsidRDefault="00BC7096" w:rsidP="00A41190">
      <w:pPr>
        <w:spacing w:line="360" w:lineRule="auto"/>
        <w:ind w:left="720" w:hanging="720"/>
        <w:jc w:val="both"/>
        <w:rPr>
          <w:rFonts w:ascii="Arial" w:hAnsi="Arial" w:cs="Arial"/>
          <w:sz w:val="24"/>
          <w:szCs w:val="24"/>
        </w:rPr>
      </w:pPr>
      <w:r>
        <w:rPr>
          <w:rFonts w:ascii="Arial" w:hAnsi="Arial" w:cs="Arial"/>
          <w:sz w:val="24"/>
          <w:szCs w:val="24"/>
        </w:rPr>
        <w:t>[</w:t>
      </w:r>
      <w:r w:rsidR="00077257">
        <w:rPr>
          <w:rFonts w:ascii="Arial" w:hAnsi="Arial" w:cs="Arial"/>
          <w:sz w:val="24"/>
          <w:szCs w:val="24"/>
        </w:rPr>
        <w:t>14</w:t>
      </w:r>
      <w:r w:rsidR="00C0166D">
        <w:rPr>
          <w:rFonts w:ascii="Arial" w:hAnsi="Arial" w:cs="Arial"/>
          <w:sz w:val="24"/>
          <w:szCs w:val="24"/>
        </w:rPr>
        <w:t>]</w:t>
      </w:r>
      <w:r w:rsidR="00E70A55">
        <w:rPr>
          <w:rFonts w:ascii="Arial" w:hAnsi="Arial" w:cs="Arial"/>
          <w:sz w:val="24"/>
          <w:szCs w:val="24"/>
        </w:rPr>
        <w:t xml:space="preserve">   </w:t>
      </w:r>
      <w:r w:rsidR="007B04D1">
        <w:rPr>
          <w:rFonts w:ascii="Arial" w:hAnsi="Arial" w:cs="Arial"/>
          <w:sz w:val="24"/>
          <w:szCs w:val="24"/>
        </w:rPr>
        <w:tab/>
        <w:t>The applicant</w:t>
      </w:r>
      <w:r w:rsidR="0094154F">
        <w:rPr>
          <w:rFonts w:ascii="Arial" w:hAnsi="Arial" w:cs="Arial"/>
          <w:sz w:val="24"/>
          <w:szCs w:val="24"/>
        </w:rPr>
        <w:t>’</w:t>
      </w:r>
      <w:r w:rsidR="00EF2B39">
        <w:rPr>
          <w:rFonts w:ascii="Arial" w:hAnsi="Arial" w:cs="Arial"/>
          <w:sz w:val="24"/>
          <w:szCs w:val="24"/>
        </w:rPr>
        <w:t xml:space="preserve">s own version shows that on Spectrum’s website potential clients are invited to contact spectrum for </w:t>
      </w:r>
      <w:r w:rsidR="005D1B42">
        <w:rPr>
          <w:rFonts w:ascii="Arial" w:hAnsi="Arial" w:cs="Arial"/>
          <w:sz w:val="24"/>
          <w:szCs w:val="24"/>
        </w:rPr>
        <w:t>more information on pricing. This shows that the tariffs paid by the applicant to Spectrum are not ex</w:t>
      </w:r>
      <w:r w:rsidR="00A373E7">
        <w:rPr>
          <w:rFonts w:ascii="Arial" w:hAnsi="Arial" w:cs="Arial"/>
          <w:sz w:val="24"/>
          <w:szCs w:val="24"/>
        </w:rPr>
        <w:t xml:space="preserve">clusive to the applicant and as such </w:t>
      </w:r>
      <w:r w:rsidR="005D1B42">
        <w:rPr>
          <w:rFonts w:ascii="Arial" w:hAnsi="Arial" w:cs="Arial"/>
          <w:sz w:val="24"/>
          <w:szCs w:val="24"/>
        </w:rPr>
        <w:t>not so confidential that no other client may have access to.</w:t>
      </w:r>
      <w:r w:rsidR="002D4581">
        <w:rPr>
          <w:rFonts w:ascii="Arial" w:hAnsi="Arial" w:cs="Arial"/>
          <w:sz w:val="24"/>
          <w:szCs w:val="24"/>
        </w:rPr>
        <w:t xml:space="preserve"> </w:t>
      </w:r>
      <w:r w:rsidR="001870D1">
        <w:rPr>
          <w:rFonts w:ascii="Arial" w:hAnsi="Arial" w:cs="Arial"/>
          <w:sz w:val="24"/>
          <w:szCs w:val="24"/>
        </w:rPr>
        <w:t xml:space="preserve">What makes it more difficult to comprehend is that the applicant did not shed light on how its </w:t>
      </w:r>
      <w:r w:rsidR="006E19F0">
        <w:rPr>
          <w:rFonts w:ascii="Arial" w:hAnsi="Arial" w:cs="Arial"/>
          <w:sz w:val="24"/>
          <w:szCs w:val="24"/>
        </w:rPr>
        <w:t>specialised</w:t>
      </w:r>
      <w:r w:rsidR="001870D1">
        <w:rPr>
          <w:rFonts w:ascii="Arial" w:hAnsi="Arial" w:cs="Arial"/>
          <w:sz w:val="24"/>
          <w:szCs w:val="24"/>
        </w:rPr>
        <w:t xml:space="preserve"> tariffs</w:t>
      </w:r>
      <w:r w:rsidR="00A41190">
        <w:rPr>
          <w:rFonts w:ascii="Arial" w:hAnsi="Arial" w:cs="Arial"/>
          <w:sz w:val="24"/>
          <w:szCs w:val="24"/>
        </w:rPr>
        <w:t xml:space="preserve">, discounts from Spectrum </w:t>
      </w:r>
      <w:r w:rsidR="001870D1">
        <w:rPr>
          <w:rFonts w:ascii="Arial" w:hAnsi="Arial" w:cs="Arial"/>
          <w:sz w:val="24"/>
          <w:szCs w:val="24"/>
        </w:rPr>
        <w:t xml:space="preserve">and </w:t>
      </w:r>
      <w:r w:rsidR="00A41190">
        <w:rPr>
          <w:rFonts w:ascii="Arial" w:hAnsi="Arial" w:cs="Arial"/>
          <w:sz w:val="24"/>
          <w:szCs w:val="24"/>
        </w:rPr>
        <w:t xml:space="preserve">pricing strategy are </w:t>
      </w:r>
      <w:r w:rsidR="00A373E7">
        <w:rPr>
          <w:rFonts w:ascii="Arial" w:hAnsi="Arial" w:cs="Arial"/>
          <w:sz w:val="24"/>
          <w:szCs w:val="24"/>
        </w:rPr>
        <w:t xml:space="preserve">structured and how unique are they from all other clients of Spectrum. </w:t>
      </w:r>
    </w:p>
    <w:p w:rsidR="00C0166D" w:rsidRDefault="00C0166D" w:rsidP="006B2FE5">
      <w:pPr>
        <w:spacing w:after="0" w:line="360" w:lineRule="auto"/>
        <w:jc w:val="both"/>
        <w:rPr>
          <w:rFonts w:ascii="Arial" w:hAnsi="Arial" w:cs="Arial"/>
          <w:sz w:val="24"/>
          <w:szCs w:val="24"/>
          <w:lang w:val="en-US"/>
        </w:rPr>
      </w:pPr>
    </w:p>
    <w:p w:rsidR="00077257" w:rsidRDefault="00077257" w:rsidP="006B2FE5">
      <w:pPr>
        <w:spacing w:line="360" w:lineRule="auto"/>
        <w:ind w:left="709" w:hanging="709"/>
        <w:jc w:val="both"/>
        <w:rPr>
          <w:rFonts w:ascii="Arial" w:hAnsi="Arial" w:cs="Arial"/>
          <w:sz w:val="24"/>
          <w:szCs w:val="24"/>
          <w:lang w:val="en-US"/>
        </w:rPr>
      </w:pPr>
      <w:r>
        <w:rPr>
          <w:rFonts w:ascii="Arial" w:hAnsi="Arial" w:cs="Arial"/>
          <w:sz w:val="24"/>
          <w:szCs w:val="24"/>
          <w:lang w:val="en-US"/>
        </w:rPr>
        <w:t>[15</w:t>
      </w:r>
      <w:r w:rsidR="00CE53BD">
        <w:rPr>
          <w:rFonts w:ascii="Arial" w:hAnsi="Arial" w:cs="Arial"/>
          <w:sz w:val="24"/>
          <w:szCs w:val="24"/>
          <w:lang w:val="en-US"/>
        </w:rPr>
        <w:t>]</w:t>
      </w:r>
      <w:r w:rsidR="00210A0A">
        <w:rPr>
          <w:rFonts w:ascii="Arial" w:hAnsi="Arial" w:cs="Arial"/>
          <w:sz w:val="24"/>
          <w:szCs w:val="24"/>
          <w:lang w:val="en-US"/>
        </w:rPr>
        <w:tab/>
      </w:r>
      <w:r w:rsidR="002D4581">
        <w:rPr>
          <w:rFonts w:ascii="Arial" w:hAnsi="Arial" w:cs="Arial"/>
          <w:sz w:val="24"/>
          <w:szCs w:val="24"/>
          <w:lang w:val="en-US"/>
        </w:rPr>
        <w:t xml:space="preserve">The </w:t>
      </w:r>
      <w:r w:rsidR="00A41190">
        <w:rPr>
          <w:rFonts w:ascii="Arial" w:hAnsi="Arial" w:cs="Arial"/>
          <w:sz w:val="24"/>
          <w:szCs w:val="24"/>
          <w:lang w:val="en-US"/>
        </w:rPr>
        <w:t>applicant takes</w:t>
      </w:r>
      <w:r w:rsidR="001870D1">
        <w:rPr>
          <w:rFonts w:ascii="Arial" w:hAnsi="Arial" w:cs="Arial"/>
          <w:sz w:val="24"/>
          <w:szCs w:val="24"/>
          <w:lang w:val="en-US"/>
        </w:rPr>
        <w:t xml:space="preserve"> no issue with the first respondent’s employment</w:t>
      </w:r>
      <w:r w:rsidR="006E19F0">
        <w:rPr>
          <w:rFonts w:ascii="Arial" w:hAnsi="Arial" w:cs="Arial"/>
          <w:sz w:val="24"/>
          <w:szCs w:val="24"/>
          <w:lang w:val="en-US"/>
        </w:rPr>
        <w:t xml:space="preserve"> at B</w:t>
      </w:r>
      <w:r w:rsidR="002C012C">
        <w:rPr>
          <w:rFonts w:ascii="Arial" w:hAnsi="Arial" w:cs="Arial"/>
          <w:sz w:val="24"/>
          <w:szCs w:val="24"/>
          <w:lang w:val="en-US"/>
        </w:rPr>
        <w:t>eth</w:t>
      </w:r>
      <w:r w:rsidR="006E19F0">
        <w:rPr>
          <w:rFonts w:ascii="Arial" w:hAnsi="Arial" w:cs="Arial"/>
          <w:sz w:val="24"/>
          <w:szCs w:val="24"/>
          <w:lang w:val="en-US"/>
        </w:rPr>
        <w:t>net</w:t>
      </w:r>
      <w:r w:rsidR="001870D1">
        <w:rPr>
          <w:rFonts w:ascii="Arial" w:hAnsi="Arial" w:cs="Arial"/>
          <w:sz w:val="24"/>
          <w:szCs w:val="24"/>
          <w:lang w:val="en-US"/>
        </w:rPr>
        <w:t>. Th</w:t>
      </w:r>
      <w:r w:rsidR="006E19F0">
        <w:rPr>
          <w:rFonts w:ascii="Arial" w:hAnsi="Arial" w:cs="Arial"/>
          <w:sz w:val="24"/>
          <w:szCs w:val="24"/>
          <w:lang w:val="en-US"/>
        </w:rPr>
        <w:t>e</w:t>
      </w:r>
      <w:r w:rsidR="001870D1">
        <w:rPr>
          <w:rFonts w:ascii="Arial" w:hAnsi="Arial" w:cs="Arial"/>
          <w:sz w:val="24"/>
          <w:szCs w:val="24"/>
          <w:lang w:val="en-US"/>
        </w:rPr>
        <w:t xml:space="preserve"> </w:t>
      </w:r>
      <w:r w:rsidR="002D4581">
        <w:rPr>
          <w:rFonts w:ascii="Arial" w:hAnsi="Arial" w:cs="Arial"/>
          <w:sz w:val="24"/>
          <w:szCs w:val="24"/>
          <w:lang w:val="en-US"/>
        </w:rPr>
        <w:t>gravamen of the applicant’s complaint</w:t>
      </w:r>
      <w:r w:rsidR="002C012C">
        <w:rPr>
          <w:rFonts w:ascii="Arial" w:hAnsi="Arial" w:cs="Arial"/>
          <w:sz w:val="24"/>
          <w:szCs w:val="24"/>
          <w:lang w:val="en-US"/>
        </w:rPr>
        <w:t xml:space="preserve"> is </w:t>
      </w:r>
      <w:r w:rsidR="002D4581">
        <w:rPr>
          <w:rFonts w:ascii="Arial" w:hAnsi="Arial" w:cs="Arial"/>
          <w:sz w:val="24"/>
          <w:szCs w:val="24"/>
          <w:lang w:val="en-US"/>
        </w:rPr>
        <w:t xml:space="preserve">a </w:t>
      </w:r>
      <w:r w:rsidR="002D4581" w:rsidRPr="002C012C">
        <w:rPr>
          <w:rFonts w:ascii="Arial" w:hAnsi="Arial" w:cs="Arial"/>
          <w:i/>
          <w:sz w:val="24"/>
          <w:szCs w:val="24"/>
          <w:lang w:val="en-US"/>
        </w:rPr>
        <w:t>facebook</w:t>
      </w:r>
      <w:r w:rsidR="002D4581">
        <w:rPr>
          <w:rFonts w:ascii="Arial" w:hAnsi="Arial" w:cs="Arial"/>
          <w:sz w:val="24"/>
          <w:szCs w:val="24"/>
          <w:lang w:val="en-US"/>
        </w:rPr>
        <w:t xml:space="preserve"> post by the first respondent</w:t>
      </w:r>
      <w:r w:rsidR="00A41190">
        <w:rPr>
          <w:rFonts w:ascii="Arial" w:hAnsi="Arial" w:cs="Arial"/>
          <w:sz w:val="24"/>
          <w:szCs w:val="24"/>
          <w:lang w:val="en-US"/>
        </w:rPr>
        <w:t xml:space="preserve"> wherein she invited members of</w:t>
      </w:r>
      <w:r w:rsidR="001870D1">
        <w:rPr>
          <w:rFonts w:ascii="Arial" w:hAnsi="Arial" w:cs="Arial"/>
          <w:sz w:val="24"/>
          <w:szCs w:val="24"/>
          <w:lang w:val="en-US"/>
        </w:rPr>
        <w:t xml:space="preserve"> public (potential c</w:t>
      </w:r>
      <w:r w:rsidR="006E19F0">
        <w:rPr>
          <w:rFonts w:ascii="Arial" w:hAnsi="Arial" w:cs="Arial"/>
          <w:sz w:val="24"/>
          <w:szCs w:val="24"/>
          <w:lang w:val="en-US"/>
        </w:rPr>
        <w:t>l</w:t>
      </w:r>
      <w:r w:rsidR="001870D1">
        <w:rPr>
          <w:rFonts w:ascii="Arial" w:hAnsi="Arial" w:cs="Arial"/>
          <w:sz w:val="24"/>
          <w:szCs w:val="24"/>
          <w:lang w:val="en-US"/>
        </w:rPr>
        <w:t>ients)</w:t>
      </w:r>
      <w:r w:rsidR="002C012C">
        <w:rPr>
          <w:rFonts w:ascii="Arial" w:hAnsi="Arial" w:cs="Arial"/>
          <w:sz w:val="24"/>
          <w:szCs w:val="24"/>
          <w:lang w:val="en-US"/>
        </w:rPr>
        <w:t xml:space="preserve"> to contact her</w:t>
      </w:r>
      <w:r w:rsidR="00A41190">
        <w:rPr>
          <w:rFonts w:ascii="Arial" w:hAnsi="Arial" w:cs="Arial"/>
          <w:sz w:val="24"/>
          <w:szCs w:val="24"/>
          <w:lang w:val="en-US"/>
        </w:rPr>
        <w:t xml:space="preserve"> at Bethnet</w:t>
      </w:r>
      <w:r w:rsidR="002D4581">
        <w:rPr>
          <w:rFonts w:ascii="Arial" w:hAnsi="Arial" w:cs="Arial"/>
          <w:sz w:val="24"/>
          <w:szCs w:val="24"/>
          <w:lang w:val="en-US"/>
        </w:rPr>
        <w:t xml:space="preserve"> for</w:t>
      </w:r>
      <w:r w:rsidR="001870D1">
        <w:rPr>
          <w:rFonts w:ascii="Arial" w:hAnsi="Arial" w:cs="Arial"/>
          <w:sz w:val="24"/>
          <w:szCs w:val="24"/>
          <w:lang w:val="en-US"/>
        </w:rPr>
        <w:t xml:space="preserve"> assessment </w:t>
      </w:r>
      <w:r w:rsidR="00A41190">
        <w:rPr>
          <w:rFonts w:ascii="Arial" w:hAnsi="Arial" w:cs="Arial"/>
          <w:sz w:val="24"/>
          <w:szCs w:val="24"/>
          <w:lang w:val="en-US"/>
        </w:rPr>
        <w:t>of</w:t>
      </w:r>
      <w:r w:rsidR="002D4581">
        <w:rPr>
          <w:rFonts w:ascii="Arial" w:hAnsi="Arial" w:cs="Arial"/>
          <w:sz w:val="24"/>
          <w:szCs w:val="24"/>
          <w:lang w:val="en-US"/>
        </w:rPr>
        <w:t xml:space="preserve"> their security needs. </w:t>
      </w:r>
      <w:r w:rsidR="002C012C">
        <w:rPr>
          <w:rFonts w:ascii="Arial" w:hAnsi="Arial" w:cs="Arial"/>
          <w:sz w:val="24"/>
          <w:szCs w:val="24"/>
          <w:lang w:val="en-US"/>
        </w:rPr>
        <w:t>Th</w:t>
      </w:r>
      <w:r w:rsidR="00A41190">
        <w:rPr>
          <w:rFonts w:ascii="Arial" w:hAnsi="Arial" w:cs="Arial"/>
          <w:sz w:val="24"/>
          <w:szCs w:val="24"/>
          <w:lang w:val="en-US"/>
        </w:rPr>
        <w:t xml:space="preserve">e post was not intended for </w:t>
      </w:r>
      <w:r w:rsidR="002C012C">
        <w:rPr>
          <w:rFonts w:ascii="Arial" w:hAnsi="Arial" w:cs="Arial"/>
          <w:sz w:val="24"/>
          <w:szCs w:val="24"/>
          <w:lang w:val="en-US"/>
        </w:rPr>
        <w:t xml:space="preserve">the applicant’s clients. </w:t>
      </w:r>
      <w:r w:rsidR="00A41190">
        <w:rPr>
          <w:rFonts w:ascii="Arial" w:hAnsi="Arial" w:cs="Arial"/>
          <w:sz w:val="24"/>
          <w:szCs w:val="24"/>
          <w:lang w:val="en-US"/>
        </w:rPr>
        <w:t xml:space="preserve">The fear by the applicant that the first respondent is poaching its employees and clients is not supported by facts, it remains a suspicion which cannot be given credence to. There is, further, no evidence that the first respondent used the applicant’s pricing strategy and </w:t>
      </w:r>
      <w:r w:rsidR="00A373E7">
        <w:rPr>
          <w:rFonts w:ascii="Arial" w:hAnsi="Arial" w:cs="Arial"/>
          <w:sz w:val="24"/>
          <w:szCs w:val="24"/>
          <w:lang w:val="en-US"/>
        </w:rPr>
        <w:t>profit margins to advance Bethnet’s business. The application cannot succeed.</w:t>
      </w:r>
    </w:p>
    <w:p w:rsidR="00C0166D" w:rsidRDefault="00C0166D" w:rsidP="006B2FE5">
      <w:pPr>
        <w:spacing w:line="360" w:lineRule="auto"/>
        <w:ind w:left="709" w:hanging="709"/>
        <w:jc w:val="both"/>
        <w:rPr>
          <w:rFonts w:ascii="Arial" w:hAnsi="Arial" w:cs="Arial"/>
          <w:sz w:val="24"/>
          <w:szCs w:val="24"/>
          <w:lang w:val="en-US"/>
        </w:rPr>
      </w:pPr>
    </w:p>
    <w:p w:rsidR="00A373E7" w:rsidRDefault="00077257" w:rsidP="00A373E7">
      <w:pPr>
        <w:spacing w:line="360" w:lineRule="auto"/>
        <w:ind w:left="709" w:hanging="709"/>
        <w:jc w:val="both"/>
        <w:rPr>
          <w:rFonts w:ascii="Arial" w:hAnsi="Arial" w:cs="Arial"/>
          <w:sz w:val="24"/>
          <w:szCs w:val="24"/>
          <w:lang w:val="en-US"/>
        </w:rPr>
      </w:pPr>
      <w:r>
        <w:rPr>
          <w:rFonts w:ascii="Arial" w:hAnsi="Arial" w:cs="Arial"/>
          <w:sz w:val="24"/>
          <w:szCs w:val="24"/>
          <w:lang w:val="en-US"/>
        </w:rPr>
        <w:t>[16</w:t>
      </w:r>
      <w:r w:rsidR="004D1BF3">
        <w:rPr>
          <w:rFonts w:ascii="Arial" w:hAnsi="Arial" w:cs="Arial"/>
          <w:sz w:val="24"/>
          <w:szCs w:val="24"/>
          <w:lang w:val="en-US"/>
        </w:rPr>
        <w:t>]</w:t>
      </w:r>
      <w:r w:rsidR="00114E06">
        <w:rPr>
          <w:rFonts w:ascii="Arial" w:hAnsi="Arial" w:cs="Arial"/>
          <w:sz w:val="24"/>
          <w:szCs w:val="24"/>
          <w:lang w:val="en-US"/>
        </w:rPr>
        <w:tab/>
      </w:r>
      <w:r w:rsidR="00A373E7">
        <w:rPr>
          <w:rFonts w:ascii="Arial" w:hAnsi="Arial" w:cs="Arial"/>
          <w:sz w:val="24"/>
          <w:szCs w:val="24"/>
          <w:lang w:val="en-US"/>
        </w:rPr>
        <w:tab/>
        <w:t>Costs are in the discretion of the court. The applicant approached court in a belief that it has a protectable interest that has been breached based on the existence of the agreement between i</w:t>
      </w:r>
      <w:r>
        <w:rPr>
          <w:rFonts w:ascii="Arial" w:hAnsi="Arial" w:cs="Arial"/>
          <w:sz w:val="24"/>
          <w:szCs w:val="24"/>
          <w:lang w:val="en-US"/>
        </w:rPr>
        <w:t>tself and the first respondent.</w:t>
      </w:r>
      <w:r w:rsidR="00A373E7">
        <w:rPr>
          <w:rFonts w:ascii="Arial" w:hAnsi="Arial" w:cs="Arial"/>
          <w:sz w:val="24"/>
          <w:szCs w:val="24"/>
          <w:lang w:val="en-US"/>
        </w:rPr>
        <w:t xml:space="preserve"> I am unable to find that it was unreasonable in doing so. </w:t>
      </w:r>
      <w:r w:rsidR="008D0FCE">
        <w:rPr>
          <w:rFonts w:ascii="Arial" w:hAnsi="Arial" w:cs="Arial"/>
          <w:sz w:val="24"/>
          <w:szCs w:val="24"/>
          <w:lang w:val="en-US"/>
        </w:rPr>
        <w:t xml:space="preserve">This is the type of matter where each party must pay its own costs. </w:t>
      </w:r>
    </w:p>
    <w:p w:rsidR="00A373E7" w:rsidRDefault="00A373E7" w:rsidP="00C40F73">
      <w:pPr>
        <w:spacing w:after="0" w:line="360" w:lineRule="auto"/>
        <w:ind w:left="709" w:hanging="709"/>
        <w:jc w:val="both"/>
        <w:rPr>
          <w:rFonts w:ascii="Arial" w:hAnsi="Arial" w:cs="Arial"/>
          <w:sz w:val="24"/>
          <w:szCs w:val="24"/>
          <w:lang w:val="en-US"/>
        </w:rPr>
      </w:pPr>
    </w:p>
    <w:p w:rsidR="00C0166D" w:rsidRDefault="00077257" w:rsidP="00C40F73">
      <w:pPr>
        <w:spacing w:after="0" w:line="360" w:lineRule="auto"/>
        <w:ind w:left="709" w:hanging="709"/>
        <w:jc w:val="both"/>
        <w:rPr>
          <w:rFonts w:ascii="Arial" w:hAnsi="Arial" w:cs="Arial"/>
          <w:sz w:val="24"/>
          <w:szCs w:val="24"/>
          <w:lang w:val="en-US"/>
        </w:rPr>
      </w:pPr>
      <w:r>
        <w:rPr>
          <w:rFonts w:ascii="Arial" w:hAnsi="Arial" w:cs="Arial"/>
          <w:sz w:val="24"/>
          <w:szCs w:val="24"/>
          <w:lang w:val="en-US"/>
        </w:rPr>
        <w:t>[17</w:t>
      </w:r>
      <w:r w:rsidR="00A373E7">
        <w:rPr>
          <w:rFonts w:ascii="Arial" w:hAnsi="Arial" w:cs="Arial"/>
          <w:sz w:val="24"/>
          <w:szCs w:val="24"/>
          <w:lang w:val="en-US"/>
        </w:rPr>
        <w:t xml:space="preserve">] I therefore make the following order: </w:t>
      </w:r>
    </w:p>
    <w:p w:rsidR="00A373E7" w:rsidRDefault="00A373E7" w:rsidP="00C40F73">
      <w:pPr>
        <w:spacing w:after="0" w:line="360" w:lineRule="auto"/>
        <w:ind w:left="709" w:hanging="709"/>
        <w:jc w:val="both"/>
        <w:rPr>
          <w:rFonts w:ascii="Arial" w:hAnsi="Arial" w:cs="Arial"/>
          <w:sz w:val="24"/>
          <w:szCs w:val="24"/>
          <w:lang w:val="en-US"/>
        </w:rPr>
      </w:pPr>
    </w:p>
    <w:p w:rsidR="00A373E7" w:rsidRDefault="00A373E7" w:rsidP="00A373E7">
      <w:pPr>
        <w:spacing w:after="0" w:line="360" w:lineRule="auto"/>
        <w:ind w:left="709"/>
        <w:jc w:val="both"/>
        <w:rPr>
          <w:rFonts w:ascii="Arial" w:hAnsi="Arial" w:cs="Arial"/>
          <w:sz w:val="24"/>
          <w:szCs w:val="24"/>
          <w:lang w:val="en-US"/>
        </w:rPr>
      </w:pPr>
      <w:r>
        <w:rPr>
          <w:rFonts w:ascii="Arial" w:hAnsi="Arial" w:cs="Arial"/>
          <w:sz w:val="24"/>
          <w:szCs w:val="24"/>
          <w:lang w:val="en-US"/>
        </w:rPr>
        <w:t xml:space="preserve">ORDER: </w:t>
      </w:r>
    </w:p>
    <w:p w:rsidR="00A373E7" w:rsidRPr="00A373E7" w:rsidRDefault="00A373E7" w:rsidP="00A373E7">
      <w:pPr>
        <w:pStyle w:val="ListParagraph"/>
        <w:numPr>
          <w:ilvl w:val="0"/>
          <w:numId w:val="10"/>
        </w:numPr>
        <w:spacing w:line="360" w:lineRule="auto"/>
        <w:jc w:val="both"/>
        <w:rPr>
          <w:rFonts w:ascii="Arial" w:hAnsi="Arial" w:cs="Arial"/>
          <w:color w:val="000000" w:themeColor="text1"/>
          <w:sz w:val="24"/>
          <w:szCs w:val="24"/>
        </w:rPr>
      </w:pPr>
      <w:r w:rsidRPr="00A373E7">
        <w:rPr>
          <w:rFonts w:ascii="Arial" w:hAnsi="Arial" w:cs="Arial"/>
          <w:color w:val="000000" w:themeColor="text1"/>
          <w:sz w:val="24"/>
          <w:szCs w:val="24"/>
        </w:rPr>
        <w:t xml:space="preserve">   The application is dismissed </w:t>
      </w:r>
    </w:p>
    <w:p w:rsidR="00A373E7" w:rsidRPr="00A373E7" w:rsidRDefault="00A373E7" w:rsidP="00A373E7">
      <w:pPr>
        <w:pStyle w:val="ListParagraph"/>
        <w:numPr>
          <w:ilvl w:val="0"/>
          <w:numId w:val="10"/>
        </w:numPr>
        <w:spacing w:after="0" w:line="360" w:lineRule="auto"/>
        <w:jc w:val="both"/>
        <w:rPr>
          <w:rFonts w:ascii="Arial" w:hAnsi="Arial" w:cs="Arial"/>
          <w:sz w:val="20"/>
          <w:szCs w:val="20"/>
        </w:rPr>
      </w:pPr>
      <w:r w:rsidRPr="00A373E7">
        <w:rPr>
          <w:rFonts w:ascii="Arial" w:hAnsi="Arial" w:cs="Arial"/>
          <w:color w:val="000000" w:themeColor="text1"/>
          <w:sz w:val="24"/>
          <w:szCs w:val="24"/>
        </w:rPr>
        <w:t xml:space="preserve">   </w:t>
      </w:r>
      <w:r w:rsidR="008D0FCE">
        <w:rPr>
          <w:rFonts w:ascii="Arial" w:hAnsi="Arial" w:cs="Arial"/>
          <w:color w:val="000000" w:themeColor="text1"/>
          <w:sz w:val="24"/>
          <w:szCs w:val="24"/>
        </w:rPr>
        <w:t xml:space="preserve">Each party to pay its own costs. </w:t>
      </w:r>
    </w:p>
    <w:p w:rsidR="00C0166D" w:rsidRPr="00090068" w:rsidRDefault="00C0166D" w:rsidP="006B2FE5">
      <w:pPr>
        <w:spacing w:after="0" w:line="360" w:lineRule="auto"/>
        <w:ind w:left="709" w:hanging="709"/>
        <w:jc w:val="both"/>
        <w:rPr>
          <w:rFonts w:ascii="Arial" w:hAnsi="Arial" w:cs="Arial"/>
          <w:sz w:val="24"/>
          <w:szCs w:val="24"/>
          <w:lang w:val="en-US"/>
        </w:rPr>
      </w:pPr>
    </w:p>
    <w:p w:rsidR="00C40F73" w:rsidRDefault="00C40F73" w:rsidP="00C40F73">
      <w:pPr>
        <w:spacing w:after="0" w:line="360" w:lineRule="auto"/>
        <w:ind w:left="709" w:hanging="709"/>
        <w:jc w:val="both"/>
        <w:rPr>
          <w:rFonts w:ascii="Arial" w:hAnsi="Arial" w:cs="Arial"/>
          <w:b/>
          <w:sz w:val="24"/>
          <w:szCs w:val="24"/>
        </w:rPr>
      </w:pPr>
    </w:p>
    <w:p w:rsidR="00C40F73" w:rsidRPr="00C40F73" w:rsidRDefault="00C40F73" w:rsidP="00C40F73">
      <w:pPr>
        <w:spacing w:after="0" w:line="360" w:lineRule="auto"/>
        <w:ind w:left="709" w:hanging="709"/>
        <w:jc w:val="both"/>
        <w:rPr>
          <w:rFonts w:ascii="Arial" w:hAnsi="Arial" w:cs="Arial"/>
          <w:b/>
          <w:sz w:val="24"/>
          <w:szCs w:val="24"/>
        </w:rPr>
      </w:pPr>
    </w:p>
    <w:p w:rsidR="00D30D55"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D30D55" w:rsidRDefault="00D34925"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N</w:t>
      </w:r>
      <w:r w:rsidR="00D30D55">
        <w:rPr>
          <w:rFonts w:ascii="Arial" w:hAnsi="Arial"/>
          <w:b/>
          <w:bCs/>
          <w:sz w:val="24"/>
          <w:szCs w:val="24"/>
        </w:rPr>
        <w:t>.</w:t>
      </w:r>
      <w:r>
        <w:rPr>
          <w:rFonts w:ascii="Arial" w:hAnsi="Arial"/>
          <w:b/>
          <w:bCs/>
          <w:sz w:val="24"/>
          <w:szCs w:val="24"/>
        </w:rPr>
        <w:t>M</w:t>
      </w:r>
      <w:r w:rsidR="00D30D55">
        <w:rPr>
          <w:rFonts w:ascii="Arial" w:hAnsi="Arial"/>
          <w:b/>
          <w:bCs/>
          <w:sz w:val="24"/>
          <w:szCs w:val="24"/>
        </w:rPr>
        <w:t>. M</w:t>
      </w:r>
      <w:r>
        <w:rPr>
          <w:rFonts w:ascii="Arial" w:hAnsi="Arial"/>
          <w:b/>
          <w:bCs/>
          <w:sz w:val="24"/>
          <w:szCs w:val="24"/>
        </w:rPr>
        <w:t>BHELE</w:t>
      </w:r>
      <w:r w:rsidR="00D30D55">
        <w:rPr>
          <w:rFonts w:ascii="Arial" w:hAnsi="Arial"/>
          <w:b/>
          <w:bCs/>
          <w:sz w:val="24"/>
          <w:szCs w:val="24"/>
        </w:rPr>
        <w:t xml:space="preserve">, </w:t>
      </w:r>
      <w:r w:rsidR="001F01C0">
        <w:rPr>
          <w:rFonts w:ascii="Arial" w:hAnsi="Arial"/>
          <w:b/>
          <w:bCs/>
          <w:sz w:val="24"/>
          <w:szCs w:val="24"/>
        </w:rPr>
        <w:t>D</w:t>
      </w:r>
      <w:r w:rsidR="00D30D55">
        <w:rPr>
          <w:rFonts w:ascii="Arial" w:hAnsi="Arial"/>
          <w:b/>
          <w:bCs/>
          <w:sz w:val="24"/>
          <w:szCs w:val="24"/>
        </w:rPr>
        <w:t>JP</w:t>
      </w:r>
    </w:p>
    <w:p w:rsidR="00D30D55" w:rsidRDefault="00D30D55" w:rsidP="00D30D55">
      <w:pPr>
        <w:rPr>
          <w:rFonts w:ascii="Arial" w:hAnsi="Arial" w:cs="Arial"/>
          <w:sz w:val="24"/>
          <w:szCs w:val="24"/>
        </w:rPr>
      </w:pPr>
    </w:p>
    <w:p w:rsidR="001913D9" w:rsidRDefault="001913D9" w:rsidP="001913D9">
      <w:pPr>
        <w:spacing w:after="0" w:line="360" w:lineRule="auto"/>
        <w:ind w:left="709" w:hanging="709"/>
        <w:jc w:val="both"/>
        <w:rPr>
          <w:rFonts w:ascii="Arial" w:hAnsi="Arial" w:cs="Arial"/>
          <w:sz w:val="24"/>
          <w:szCs w:val="24"/>
        </w:rPr>
      </w:pPr>
    </w:p>
    <w:p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EC0D35">
        <w:rPr>
          <w:rFonts w:ascii="Arial" w:hAnsi="Arial" w:cs="Arial"/>
          <w:b/>
          <w:bCs/>
          <w:sz w:val="24"/>
          <w:szCs w:val="24"/>
        </w:rPr>
        <w:t>Appearances:</w:t>
      </w:r>
    </w:p>
    <w:p w:rsidR="00966EA0" w:rsidRPr="00EC0D35" w:rsidRDefault="00966E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p>
    <w:p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077257">
        <w:rPr>
          <w:rFonts w:ascii="Arial" w:hAnsi="Arial" w:cs="Arial"/>
          <w:sz w:val="24"/>
          <w:szCs w:val="24"/>
        </w:rPr>
        <w:t>Applicant</w:t>
      </w:r>
      <w:r w:rsidRPr="00EC0D35">
        <w:rPr>
          <w:rFonts w:ascii="Arial" w:hAnsi="Arial" w:cs="Arial"/>
          <w:sz w:val="24"/>
          <w:szCs w:val="24"/>
        </w:rPr>
        <w:t>:</w:t>
      </w:r>
      <w:r w:rsidRPr="00EC0D35">
        <w:rPr>
          <w:rFonts w:ascii="Arial" w:hAnsi="Arial" w:cs="Arial"/>
          <w:sz w:val="24"/>
          <w:szCs w:val="24"/>
        </w:rPr>
        <w:tab/>
      </w:r>
      <w:r w:rsidR="00C152C3">
        <w:rPr>
          <w:rFonts w:ascii="Arial" w:hAnsi="Arial" w:cs="Arial"/>
          <w:sz w:val="24"/>
          <w:szCs w:val="24"/>
        </w:rPr>
        <w:t>Adv</w:t>
      </w:r>
      <w:r w:rsidR="00077257">
        <w:rPr>
          <w:rFonts w:ascii="Arial" w:hAnsi="Arial" w:cs="Arial"/>
          <w:sz w:val="24"/>
          <w:szCs w:val="24"/>
        </w:rPr>
        <w:t xml:space="preserve"> </w:t>
      </w:r>
      <w:r w:rsidR="00564A3F">
        <w:rPr>
          <w:rFonts w:ascii="Arial" w:hAnsi="Arial" w:cs="Arial"/>
          <w:sz w:val="24"/>
          <w:szCs w:val="24"/>
        </w:rPr>
        <w:t>J.S Rautenbach</w:t>
      </w:r>
    </w:p>
    <w:p w:rsidR="00BC7096" w:rsidRDefault="00C461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 xml:space="preserve">Instructed by </w:t>
      </w:r>
    </w:p>
    <w:p w:rsidR="001F01C0" w:rsidRDefault="00564A3F"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SYMINGTON &amp; DE KOK</w:t>
      </w:r>
    </w:p>
    <w:p w:rsidR="00C461A0" w:rsidRPr="00EC0D35" w:rsidRDefault="00C461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Bloemfontein</w:t>
      </w:r>
    </w:p>
    <w:p w:rsidR="00D30D55" w:rsidRPr="00EC0D35" w:rsidRDefault="00D30D55" w:rsidP="00D30D55">
      <w:pPr>
        <w:pStyle w:val="BodyA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966EA0" w:rsidRDefault="00D30D55"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966EA0">
        <w:rPr>
          <w:rFonts w:ascii="Arial" w:hAnsi="Arial" w:cs="Arial"/>
          <w:sz w:val="24"/>
          <w:szCs w:val="24"/>
        </w:rPr>
        <w:t xml:space="preserve">Respondents: </w:t>
      </w:r>
      <w:r w:rsidR="00FD119E" w:rsidRPr="00EC0D35">
        <w:rPr>
          <w:rFonts w:ascii="Arial" w:hAnsi="Arial" w:cs="Arial"/>
          <w:sz w:val="24"/>
          <w:szCs w:val="24"/>
        </w:rPr>
        <w:t>Adv.</w:t>
      </w:r>
      <w:r w:rsidR="00564A3F">
        <w:rPr>
          <w:rFonts w:ascii="Arial" w:hAnsi="Arial" w:cs="Arial"/>
          <w:sz w:val="24"/>
          <w:szCs w:val="24"/>
        </w:rPr>
        <w:t xml:space="preserve"> M.D Steenkamp</w:t>
      </w:r>
    </w:p>
    <w:p w:rsidR="00BC7096" w:rsidRDefault="00C461A0"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p>
    <w:p w:rsidR="00C40F73" w:rsidRDefault="00077257" w:rsidP="00C461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VOSLOO ATTORNEYS</w:t>
      </w:r>
    </w:p>
    <w:p w:rsidR="005A4C6A" w:rsidRPr="00077257" w:rsidRDefault="00C461A0" w:rsidP="00077257">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Bloemfontein</w:t>
      </w:r>
    </w:p>
    <w:sectPr w:rsidR="005A4C6A" w:rsidRPr="00077257"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B8" w:rsidRDefault="00206BB8" w:rsidP="00454B2B">
      <w:pPr>
        <w:spacing w:after="0" w:line="240" w:lineRule="auto"/>
      </w:pPr>
      <w:r>
        <w:separator/>
      </w:r>
    </w:p>
  </w:endnote>
  <w:endnote w:type="continuationSeparator" w:id="0">
    <w:p w:rsidR="00206BB8" w:rsidRDefault="00206BB8"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B8" w:rsidRDefault="00206BB8" w:rsidP="00454B2B">
      <w:pPr>
        <w:spacing w:after="0" w:line="240" w:lineRule="auto"/>
      </w:pPr>
      <w:r>
        <w:separator/>
      </w:r>
    </w:p>
  </w:footnote>
  <w:footnote w:type="continuationSeparator" w:id="0">
    <w:p w:rsidR="00206BB8" w:rsidRDefault="00206BB8" w:rsidP="00454B2B">
      <w:pPr>
        <w:spacing w:after="0" w:line="240" w:lineRule="auto"/>
      </w:pPr>
      <w:r>
        <w:continuationSeparator/>
      </w:r>
    </w:p>
  </w:footnote>
  <w:footnote w:id="1">
    <w:p w:rsidR="008D22E2" w:rsidRDefault="008D22E2">
      <w:pPr>
        <w:pStyle w:val="FootnoteText"/>
      </w:pPr>
      <w:r>
        <w:rPr>
          <w:rStyle w:val="FootnoteReference"/>
        </w:rPr>
        <w:footnoteRef/>
      </w:r>
      <w:r>
        <w:t xml:space="preserve"> 1984 (3) SA 623 (A)</w:t>
      </w:r>
    </w:p>
  </w:footnote>
  <w:footnote w:id="2">
    <w:p w:rsidR="008D22E2" w:rsidRDefault="008D22E2">
      <w:pPr>
        <w:pStyle w:val="FootnoteText"/>
      </w:pPr>
      <w:r>
        <w:rPr>
          <w:rStyle w:val="FootnoteReference"/>
        </w:rPr>
        <w:footnoteRef/>
      </w:r>
      <w:r>
        <w:t xml:space="preserve"> </w:t>
      </w:r>
      <w:r w:rsidR="00884DEA">
        <w:t>(2009) 30 ILJ 1031(W)25</w:t>
      </w:r>
    </w:p>
  </w:footnote>
  <w:footnote w:id="3">
    <w:p w:rsidR="006C67E5" w:rsidRPr="006C67E5" w:rsidRDefault="006C67E5">
      <w:pPr>
        <w:pStyle w:val="FootnoteText"/>
        <w:rPr>
          <w:lang w:val="en-US"/>
        </w:rPr>
      </w:pPr>
      <w:r>
        <w:rPr>
          <w:rStyle w:val="FootnoteReference"/>
        </w:rPr>
        <w:footnoteRef/>
      </w:r>
      <w:r>
        <w:t xml:space="preserve"> </w:t>
      </w:r>
      <w:r w:rsidR="007C3B56" w:rsidRPr="006C67E5">
        <w:rPr>
          <w:rFonts w:cstheme="minorHAnsi"/>
        </w:rPr>
        <w:t>(1984</w:t>
      </w:r>
      <w:r w:rsidRPr="006C67E5">
        <w:rPr>
          <w:rFonts w:cstheme="minorHAnsi"/>
        </w:rPr>
        <w:t>) 2 All SA 583 (A); 1984 (4) SA 874 (A</w:t>
      </w:r>
      <w:r>
        <w:rPr>
          <w:rFonts w:cstheme="minorHAnsi"/>
        </w:rPr>
        <w:t>)</w:t>
      </w:r>
    </w:p>
  </w:footnote>
  <w:footnote w:id="4">
    <w:p w:rsidR="00884DEA" w:rsidRDefault="00884DEA">
      <w:pPr>
        <w:pStyle w:val="FootnoteText"/>
      </w:pPr>
      <w:r>
        <w:rPr>
          <w:rStyle w:val="FootnoteReference"/>
        </w:rPr>
        <w:footnoteRef/>
      </w:r>
      <w:r>
        <w:t xml:space="preserve"> 1993 (2) SA 742 (A)</w:t>
      </w:r>
    </w:p>
  </w:footnote>
  <w:footnote w:id="5">
    <w:p w:rsidR="002C5DAE" w:rsidRPr="002C5DAE" w:rsidRDefault="002C5DAE" w:rsidP="002C5DAE">
      <w:pPr>
        <w:shd w:val="clear" w:color="auto" w:fill="FFFFFF"/>
        <w:spacing w:before="144" w:after="0" w:line="240" w:lineRule="auto"/>
        <w:rPr>
          <w:rFonts w:eastAsia="Times New Roman" w:cstheme="minorHAnsi"/>
          <w:color w:val="242121"/>
          <w:sz w:val="20"/>
          <w:szCs w:val="20"/>
          <w:lang w:val="en-GB" w:eastAsia="en-ZA"/>
        </w:rPr>
      </w:pPr>
      <w:r>
        <w:rPr>
          <w:rStyle w:val="FootnoteReference"/>
        </w:rPr>
        <w:footnoteRef/>
      </w:r>
      <w:r>
        <w:t xml:space="preserve"> </w:t>
      </w:r>
      <w:r w:rsidRPr="002C5DAE">
        <w:rPr>
          <w:rFonts w:eastAsia="Times New Roman" w:cstheme="minorHAnsi"/>
          <w:color w:val="242121"/>
          <w:sz w:val="20"/>
          <w:szCs w:val="20"/>
          <w:lang w:val="en-GB" w:eastAsia="en-ZA"/>
        </w:rPr>
        <w:t>2007 (2) SA 486 (SCA)</w:t>
      </w:r>
    </w:p>
    <w:p w:rsidR="002C5DAE" w:rsidRPr="002C5DAE" w:rsidRDefault="002C5DAE">
      <w:pPr>
        <w:pStyle w:val="FootnoteText"/>
        <w:rPr>
          <w:lang w:val="en-US"/>
        </w:rPr>
      </w:pPr>
    </w:p>
  </w:footnote>
  <w:footnote w:id="6">
    <w:p w:rsidR="00D74391" w:rsidRPr="00D74391" w:rsidRDefault="00D74391" w:rsidP="00D74391">
      <w:pPr>
        <w:shd w:val="clear" w:color="auto" w:fill="FFFFFF"/>
        <w:spacing w:after="0" w:line="240" w:lineRule="auto"/>
        <w:ind w:left="720" w:hanging="720"/>
        <w:rPr>
          <w:rFonts w:ascii="Calibri" w:eastAsia="Times New Roman" w:hAnsi="Calibri" w:cs="Calibri"/>
          <w:b/>
          <w:bCs/>
          <w:sz w:val="20"/>
          <w:szCs w:val="20"/>
          <w:lang w:eastAsia="en-ZA"/>
        </w:rPr>
      </w:pPr>
      <w:r>
        <w:rPr>
          <w:rStyle w:val="FootnoteReference"/>
        </w:rPr>
        <w:footnoteRef/>
      </w:r>
      <w:r>
        <w:t xml:space="preserve"> </w:t>
      </w:r>
      <w:r w:rsidRPr="007C4462">
        <w:rPr>
          <w:rFonts w:ascii="Calibri" w:eastAsia="Times New Roman" w:hAnsi="Calibri" w:cs="Calibri"/>
          <w:sz w:val="20"/>
          <w:szCs w:val="20"/>
          <w:lang w:eastAsia="en-ZA"/>
        </w:rPr>
        <w:t>(J1095/15) [2015] ZALCJHB 199 (14 July 2015)</w:t>
      </w:r>
    </w:p>
    <w:p w:rsidR="00D74391" w:rsidRPr="00D74391" w:rsidRDefault="00D74391">
      <w:pPr>
        <w:pStyle w:val="FootnoteText"/>
        <w:rPr>
          <w:rFonts w:ascii="Calibri" w:hAnsi="Calibri" w:cs="Calibr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rsidR="00533CFF" w:rsidRDefault="00533CFF">
        <w:pPr>
          <w:pStyle w:val="Header"/>
          <w:jc w:val="right"/>
        </w:pPr>
        <w:r>
          <w:fldChar w:fldCharType="begin"/>
        </w:r>
        <w:r>
          <w:instrText xml:space="preserve"> PAGE   \* MERGEFORMAT </w:instrText>
        </w:r>
        <w:r>
          <w:fldChar w:fldCharType="separate"/>
        </w:r>
        <w:r w:rsidR="00E176AC">
          <w:rPr>
            <w:noProof/>
          </w:rPr>
          <w:t>8</w:t>
        </w:r>
        <w:r>
          <w:rPr>
            <w:noProof/>
          </w:rPr>
          <w:fldChar w:fldCharType="end"/>
        </w:r>
      </w:p>
    </w:sdtContent>
  </w:sdt>
  <w:p w:rsidR="00533CFF" w:rsidRDefault="0053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69F"/>
    <w:multiLevelType w:val="hybridMultilevel"/>
    <w:tmpl w:val="2F50A084"/>
    <w:lvl w:ilvl="0" w:tplc="9280C38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85DF3"/>
    <w:multiLevelType w:val="multilevel"/>
    <w:tmpl w:val="B2201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nsid w:val="0C925DFB"/>
    <w:multiLevelType w:val="multilevel"/>
    <w:tmpl w:val="6AA6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nsid w:val="1EB4143C"/>
    <w:multiLevelType w:val="hybridMultilevel"/>
    <w:tmpl w:val="5AA4C9C6"/>
    <w:lvl w:ilvl="0" w:tplc="43DC9E88">
      <w:start w:val="1"/>
      <w:numFmt w:val="decimal"/>
      <w:lvlText w:val="%1."/>
      <w:lvlJc w:val="left"/>
      <w:pPr>
        <w:ind w:left="1030" w:hanging="36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8">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9">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8"/>
  </w:num>
  <w:num w:numId="5">
    <w:abstractNumId w:val="5"/>
  </w:num>
  <w:num w:numId="6">
    <w:abstractNumId w:val="1"/>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24EF"/>
    <w:rsid w:val="00016365"/>
    <w:rsid w:val="000168D9"/>
    <w:rsid w:val="00020F19"/>
    <w:rsid w:val="00022631"/>
    <w:rsid w:val="00026292"/>
    <w:rsid w:val="0002660A"/>
    <w:rsid w:val="0002736F"/>
    <w:rsid w:val="000366F4"/>
    <w:rsid w:val="00042737"/>
    <w:rsid w:val="00043010"/>
    <w:rsid w:val="00050978"/>
    <w:rsid w:val="00052114"/>
    <w:rsid w:val="00056D7F"/>
    <w:rsid w:val="00057432"/>
    <w:rsid w:val="00057A92"/>
    <w:rsid w:val="00062CB6"/>
    <w:rsid w:val="000635CA"/>
    <w:rsid w:val="000655ED"/>
    <w:rsid w:val="00066021"/>
    <w:rsid w:val="00070794"/>
    <w:rsid w:val="0007199B"/>
    <w:rsid w:val="00076FE5"/>
    <w:rsid w:val="00077257"/>
    <w:rsid w:val="000775C8"/>
    <w:rsid w:val="00084538"/>
    <w:rsid w:val="00084DDD"/>
    <w:rsid w:val="00087882"/>
    <w:rsid w:val="00090068"/>
    <w:rsid w:val="000A0FCE"/>
    <w:rsid w:val="000B06B1"/>
    <w:rsid w:val="000B1178"/>
    <w:rsid w:val="000B3297"/>
    <w:rsid w:val="000B4408"/>
    <w:rsid w:val="000B6EFA"/>
    <w:rsid w:val="000B749D"/>
    <w:rsid w:val="000C1787"/>
    <w:rsid w:val="000C4D8E"/>
    <w:rsid w:val="000D135A"/>
    <w:rsid w:val="000D1B53"/>
    <w:rsid w:val="000D31D9"/>
    <w:rsid w:val="000D4EA6"/>
    <w:rsid w:val="000D614B"/>
    <w:rsid w:val="000E21DC"/>
    <w:rsid w:val="000E3702"/>
    <w:rsid w:val="000E495D"/>
    <w:rsid w:val="000F364C"/>
    <w:rsid w:val="00101DEC"/>
    <w:rsid w:val="001034C1"/>
    <w:rsid w:val="00114E06"/>
    <w:rsid w:val="0012219D"/>
    <w:rsid w:val="00123AC7"/>
    <w:rsid w:val="00123C70"/>
    <w:rsid w:val="00124F78"/>
    <w:rsid w:val="00126688"/>
    <w:rsid w:val="001334FA"/>
    <w:rsid w:val="00141EC9"/>
    <w:rsid w:val="00150F7D"/>
    <w:rsid w:val="001524EE"/>
    <w:rsid w:val="0016252A"/>
    <w:rsid w:val="001654FD"/>
    <w:rsid w:val="001671AA"/>
    <w:rsid w:val="001709E8"/>
    <w:rsid w:val="00172290"/>
    <w:rsid w:val="00177AF4"/>
    <w:rsid w:val="0018181C"/>
    <w:rsid w:val="00187091"/>
    <w:rsid w:val="001870D1"/>
    <w:rsid w:val="00187BD0"/>
    <w:rsid w:val="00187C50"/>
    <w:rsid w:val="0019032B"/>
    <w:rsid w:val="001913D9"/>
    <w:rsid w:val="00196A3F"/>
    <w:rsid w:val="00197CEB"/>
    <w:rsid w:val="001A18E9"/>
    <w:rsid w:val="001A2EF3"/>
    <w:rsid w:val="001A4F6E"/>
    <w:rsid w:val="001A6A56"/>
    <w:rsid w:val="001B1C7C"/>
    <w:rsid w:val="001B5A59"/>
    <w:rsid w:val="001D1107"/>
    <w:rsid w:val="001D291B"/>
    <w:rsid w:val="001D3EDA"/>
    <w:rsid w:val="001D529C"/>
    <w:rsid w:val="001E11D4"/>
    <w:rsid w:val="001E2B48"/>
    <w:rsid w:val="001E6CEE"/>
    <w:rsid w:val="001E7429"/>
    <w:rsid w:val="001F01C0"/>
    <w:rsid w:val="001F1F29"/>
    <w:rsid w:val="001F45E9"/>
    <w:rsid w:val="00205856"/>
    <w:rsid w:val="00206BB8"/>
    <w:rsid w:val="002073E0"/>
    <w:rsid w:val="00210A0A"/>
    <w:rsid w:val="002135ED"/>
    <w:rsid w:val="00217668"/>
    <w:rsid w:val="002260BD"/>
    <w:rsid w:val="00234ACC"/>
    <w:rsid w:val="00240EE1"/>
    <w:rsid w:val="00243D04"/>
    <w:rsid w:val="00250961"/>
    <w:rsid w:val="002601FC"/>
    <w:rsid w:val="00262ED6"/>
    <w:rsid w:val="002651AE"/>
    <w:rsid w:val="0026558C"/>
    <w:rsid w:val="002703CD"/>
    <w:rsid w:val="00270545"/>
    <w:rsid w:val="0027334D"/>
    <w:rsid w:val="002816D1"/>
    <w:rsid w:val="002958E1"/>
    <w:rsid w:val="002A10F9"/>
    <w:rsid w:val="002A6D12"/>
    <w:rsid w:val="002A7399"/>
    <w:rsid w:val="002B1E2E"/>
    <w:rsid w:val="002B267C"/>
    <w:rsid w:val="002C012C"/>
    <w:rsid w:val="002C1F79"/>
    <w:rsid w:val="002C3611"/>
    <w:rsid w:val="002C4F76"/>
    <w:rsid w:val="002C5DAE"/>
    <w:rsid w:val="002D0D12"/>
    <w:rsid w:val="002D0D1C"/>
    <w:rsid w:val="002D4581"/>
    <w:rsid w:val="002D5BA0"/>
    <w:rsid w:val="002D7AA6"/>
    <w:rsid w:val="002E1EE9"/>
    <w:rsid w:val="002E7133"/>
    <w:rsid w:val="002E74BE"/>
    <w:rsid w:val="002F097A"/>
    <w:rsid w:val="002F1FD8"/>
    <w:rsid w:val="002F52BD"/>
    <w:rsid w:val="00301212"/>
    <w:rsid w:val="00302938"/>
    <w:rsid w:val="00302A76"/>
    <w:rsid w:val="003039E9"/>
    <w:rsid w:val="00305A6A"/>
    <w:rsid w:val="00306EE6"/>
    <w:rsid w:val="00316502"/>
    <w:rsid w:val="00317E12"/>
    <w:rsid w:val="0032204A"/>
    <w:rsid w:val="00330F06"/>
    <w:rsid w:val="00333856"/>
    <w:rsid w:val="00340F19"/>
    <w:rsid w:val="00343F62"/>
    <w:rsid w:val="00345F5C"/>
    <w:rsid w:val="00350645"/>
    <w:rsid w:val="00351937"/>
    <w:rsid w:val="00352251"/>
    <w:rsid w:val="003539B9"/>
    <w:rsid w:val="00353CEF"/>
    <w:rsid w:val="003556D5"/>
    <w:rsid w:val="00360A6C"/>
    <w:rsid w:val="003705DC"/>
    <w:rsid w:val="0037331D"/>
    <w:rsid w:val="00374376"/>
    <w:rsid w:val="003802F2"/>
    <w:rsid w:val="00384934"/>
    <w:rsid w:val="003907D7"/>
    <w:rsid w:val="0039516A"/>
    <w:rsid w:val="003A3878"/>
    <w:rsid w:val="003A76FB"/>
    <w:rsid w:val="003B0433"/>
    <w:rsid w:val="003B0A43"/>
    <w:rsid w:val="003B5C96"/>
    <w:rsid w:val="003B73BD"/>
    <w:rsid w:val="003B7C41"/>
    <w:rsid w:val="003C1ED2"/>
    <w:rsid w:val="003C25EF"/>
    <w:rsid w:val="003C37BF"/>
    <w:rsid w:val="003C649C"/>
    <w:rsid w:val="003C6C83"/>
    <w:rsid w:val="003D039E"/>
    <w:rsid w:val="003D1E6A"/>
    <w:rsid w:val="003D48C4"/>
    <w:rsid w:val="003F1413"/>
    <w:rsid w:val="003F1542"/>
    <w:rsid w:val="00401FF8"/>
    <w:rsid w:val="004020C7"/>
    <w:rsid w:val="00405E57"/>
    <w:rsid w:val="00411FE2"/>
    <w:rsid w:val="00412F39"/>
    <w:rsid w:val="00414E96"/>
    <w:rsid w:val="004157B6"/>
    <w:rsid w:val="00417CD8"/>
    <w:rsid w:val="00426454"/>
    <w:rsid w:val="00426AE3"/>
    <w:rsid w:val="00440AE3"/>
    <w:rsid w:val="0044210B"/>
    <w:rsid w:val="00447101"/>
    <w:rsid w:val="00453853"/>
    <w:rsid w:val="00454B2B"/>
    <w:rsid w:val="00457916"/>
    <w:rsid w:val="00461961"/>
    <w:rsid w:val="00462023"/>
    <w:rsid w:val="0046346C"/>
    <w:rsid w:val="004701AC"/>
    <w:rsid w:val="00471E65"/>
    <w:rsid w:val="00473CD1"/>
    <w:rsid w:val="004811A4"/>
    <w:rsid w:val="00481F89"/>
    <w:rsid w:val="00494E32"/>
    <w:rsid w:val="004A091E"/>
    <w:rsid w:val="004A346D"/>
    <w:rsid w:val="004B17F5"/>
    <w:rsid w:val="004B196D"/>
    <w:rsid w:val="004B6991"/>
    <w:rsid w:val="004B6A86"/>
    <w:rsid w:val="004B71E7"/>
    <w:rsid w:val="004C204C"/>
    <w:rsid w:val="004C3290"/>
    <w:rsid w:val="004C691D"/>
    <w:rsid w:val="004C7462"/>
    <w:rsid w:val="004C7528"/>
    <w:rsid w:val="004C77BC"/>
    <w:rsid w:val="004D1BF3"/>
    <w:rsid w:val="004D2DEB"/>
    <w:rsid w:val="004D5731"/>
    <w:rsid w:val="004D5ABC"/>
    <w:rsid w:val="004D7A02"/>
    <w:rsid w:val="004E25B5"/>
    <w:rsid w:val="004E37CA"/>
    <w:rsid w:val="004E5157"/>
    <w:rsid w:val="004E5437"/>
    <w:rsid w:val="004E5E82"/>
    <w:rsid w:val="004F0D36"/>
    <w:rsid w:val="00500080"/>
    <w:rsid w:val="00506E6C"/>
    <w:rsid w:val="0052438F"/>
    <w:rsid w:val="00526F18"/>
    <w:rsid w:val="0052790B"/>
    <w:rsid w:val="005305F6"/>
    <w:rsid w:val="00533CFF"/>
    <w:rsid w:val="00535881"/>
    <w:rsid w:val="00540070"/>
    <w:rsid w:val="00540D72"/>
    <w:rsid w:val="00542A47"/>
    <w:rsid w:val="00546C2B"/>
    <w:rsid w:val="00551618"/>
    <w:rsid w:val="005556B6"/>
    <w:rsid w:val="00555FDF"/>
    <w:rsid w:val="00557230"/>
    <w:rsid w:val="00561E71"/>
    <w:rsid w:val="00564A3F"/>
    <w:rsid w:val="005664CD"/>
    <w:rsid w:val="005830C1"/>
    <w:rsid w:val="00591434"/>
    <w:rsid w:val="00592EE1"/>
    <w:rsid w:val="00596D2B"/>
    <w:rsid w:val="005A0C6B"/>
    <w:rsid w:val="005A4C6A"/>
    <w:rsid w:val="005B01B0"/>
    <w:rsid w:val="005B4098"/>
    <w:rsid w:val="005C0AF2"/>
    <w:rsid w:val="005C11CE"/>
    <w:rsid w:val="005C1A73"/>
    <w:rsid w:val="005D135F"/>
    <w:rsid w:val="005D1B42"/>
    <w:rsid w:val="005E3665"/>
    <w:rsid w:val="005E4040"/>
    <w:rsid w:val="005E6285"/>
    <w:rsid w:val="005E64A4"/>
    <w:rsid w:val="005F4502"/>
    <w:rsid w:val="005F4EA5"/>
    <w:rsid w:val="00615CD1"/>
    <w:rsid w:val="00621181"/>
    <w:rsid w:val="0062573A"/>
    <w:rsid w:val="00630002"/>
    <w:rsid w:val="006306FB"/>
    <w:rsid w:val="00631447"/>
    <w:rsid w:val="00636828"/>
    <w:rsid w:val="0064001D"/>
    <w:rsid w:val="00642843"/>
    <w:rsid w:val="006435A8"/>
    <w:rsid w:val="00644B41"/>
    <w:rsid w:val="0065162A"/>
    <w:rsid w:val="00654050"/>
    <w:rsid w:val="00661C26"/>
    <w:rsid w:val="006653DC"/>
    <w:rsid w:val="0067091C"/>
    <w:rsid w:val="00673BD3"/>
    <w:rsid w:val="00674D11"/>
    <w:rsid w:val="006843C0"/>
    <w:rsid w:val="006A796E"/>
    <w:rsid w:val="006B1D3A"/>
    <w:rsid w:val="006B2C68"/>
    <w:rsid w:val="006B2FE5"/>
    <w:rsid w:val="006C05E2"/>
    <w:rsid w:val="006C4B16"/>
    <w:rsid w:val="006C6282"/>
    <w:rsid w:val="006C62B5"/>
    <w:rsid w:val="006C67E5"/>
    <w:rsid w:val="006D49B2"/>
    <w:rsid w:val="006D784E"/>
    <w:rsid w:val="006E19F0"/>
    <w:rsid w:val="006E1CD5"/>
    <w:rsid w:val="006F0B95"/>
    <w:rsid w:val="006F10FB"/>
    <w:rsid w:val="006F622C"/>
    <w:rsid w:val="0070109A"/>
    <w:rsid w:val="00701F1C"/>
    <w:rsid w:val="007056BE"/>
    <w:rsid w:val="00712A8C"/>
    <w:rsid w:val="00713ED6"/>
    <w:rsid w:val="007155CA"/>
    <w:rsid w:val="007160DB"/>
    <w:rsid w:val="007165E7"/>
    <w:rsid w:val="007171B3"/>
    <w:rsid w:val="00717CA7"/>
    <w:rsid w:val="00724163"/>
    <w:rsid w:val="007244E7"/>
    <w:rsid w:val="007258F0"/>
    <w:rsid w:val="00726CE0"/>
    <w:rsid w:val="00731F99"/>
    <w:rsid w:val="00734D83"/>
    <w:rsid w:val="00736483"/>
    <w:rsid w:val="00741389"/>
    <w:rsid w:val="00746C55"/>
    <w:rsid w:val="0075084C"/>
    <w:rsid w:val="007601E6"/>
    <w:rsid w:val="00763182"/>
    <w:rsid w:val="00772F95"/>
    <w:rsid w:val="00774564"/>
    <w:rsid w:val="0077767C"/>
    <w:rsid w:val="00782001"/>
    <w:rsid w:val="007830F2"/>
    <w:rsid w:val="007849EE"/>
    <w:rsid w:val="00785C93"/>
    <w:rsid w:val="00786996"/>
    <w:rsid w:val="00787884"/>
    <w:rsid w:val="00792CD6"/>
    <w:rsid w:val="00793375"/>
    <w:rsid w:val="00794951"/>
    <w:rsid w:val="007A1CD9"/>
    <w:rsid w:val="007A34FC"/>
    <w:rsid w:val="007B04D1"/>
    <w:rsid w:val="007B2199"/>
    <w:rsid w:val="007B4A64"/>
    <w:rsid w:val="007B746A"/>
    <w:rsid w:val="007C1E7C"/>
    <w:rsid w:val="007C3B56"/>
    <w:rsid w:val="007C4CF4"/>
    <w:rsid w:val="007C5F91"/>
    <w:rsid w:val="007D1155"/>
    <w:rsid w:val="007D2B5F"/>
    <w:rsid w:val="007D4DF9"/>
    <w:rsid w:val="007D6047"/>
    <w:rsid w:val="007D7BDE"/>
    <w:rsid w:val="007E4DB6"/>
    <w:rsid w:val="007E73D1"/>
    <w:rsid w:val="007F0602"/>
    <w:rsid w:val="007F20F1"/>
    <w:rsid w:val="007F22BF"/>
    <w:rsid w:val="007F4D36"/>
    <w:rsid w:val="007F6227"/>
    <w:rsid w:val="007F681E"/>
    <w:rsid w:val="007F7241"/>
    <w:rsid w:val="007F7EF1"/>
    <w:rsid w:val="00803009"/>
    <w:rsid w:val="00804A5A"/>
    <w:rsid w:val="008077B3"/>
    <w:rsid w:val="0081717F"/>
    <w:rsid w:val="00821CB7"/>
    <w:rsid w:val="00822763"/>
    <w:rsid w:val="00824E42"/>
    <w:rsid w:val="00825973"/>
    <w:rsid w:val="00827BD1"/>
    <w:rsid w:val="00830DF5"/>
    <w:rsid w:val="008310A4"/>
    <w:rsid w:val="008327F3"/>
    <w:rsid w:val="00834828"/>
    <w:rsid w:val="00842334"/>
    <w:rsid w:val="00843EE5"/>
    <w:rsid w:val="0084465D"/>
    <w:rsid w:val="00846045"/>
    <w:rsid w:val="00847EF6"/>
    <w:rsid w:val="00850AFA"/>
    <w:rsid w:val="00853436"/>
    <w:rsid w:val="00854672"/>
    <w:rsid w:val="00855243"/>
    <w:rsid w:val="0085744B"/>
    <w:rsid w:val="00857E16"/>
    <w:rsid w:val="008601D9"/>
    <w:rsid w:val="00872E1C"/>
    <w:rsid w:val="00874860"/>
    <w:rsid w:val="0088098E"/>
    <w:rsid w:val="008818E9"/>
    <w:rsid w:val="00882214"/>
    <w:rsid w:val="008841FB"/>
    <w:rsid w:val="00884DEA"/>
    <w:rsid w:val="008904E7"/>
    <w:rsid w:val="00891DEF"/>
    <w:rsid w:val="00893F0A"/>
    <w:rsid w:val="00895342"/>
    <w:rsid w:val="00895729"/>
    <w:rsid w:val="0089702C"/>
    <w:rsid w:val="00897E47"/>
    <w:rsid w:val="008A50D0"/>
    <w:rsid w:val="008B0BCE"/>
    <w:rsid w:val="008B4BCB"/>
    <w:rsid w:val="008C1765"/>
    <w:rsid w:val="008C491A"/>
    <w:rsid w:val="008D0FCE"/>
    <w:rsid w:val="008D22E2"/>
    <w:rsid w:val="008D51FE"/>
    <w:rsid w:val="008D632F"/>
    <w:rsid w:val="008E39C0"/>
    <w:rsid w:val="008E4B45"/>
    <w:rsid w:val="008E5224"/>
    <w:rsid w:val="008E5973"/>
    <w:rsid w:val="008F4729"/>
    <w:rsid w:val="008F5372"/>
    <w:rsid w:val="008F7E48"/>
    <w:rsid w:val="009009F8"/>
    <w:rsid w:val="009115AA"/>
    <w:rsid w:val="0091559A"/>
    <w:rsid w:val="00916986"/>
    <w:rsid w:val="0091744A"/>
    <w:rsid w:val="00920218"/>
    <w:rsid w:val="009233C9"/>
    <w:rsid w:val="00927BD7"/>
    <w:rsid w:val="00934369"/>
    <w:rsid w:val="00940006"/>
    <w:rsid w:val="0094154F"/>
    <w:rsid w:val="009417EC"/>
    <w:rsid w:val="00942A74"/>
    <w:rsid w:val="00953E54"/>
    <w:rsid w:val="009557E3"/>
    <w:rsid w:val="009641F1"/>
    <w:rsid w:val="009652BC"/>
    <w:rsid w:val="00966EA0"/>
    <w:rsid w:val="00970B0F"/>
    <w:rsid w:val="00971223"/>
    <w:rsid w:val="00972A77"/>
    <w:rsid w:val="009756BD"/>
    <w:rsid w:val="009826F1"/>
    <w:rsid w:val="00990950"/>
    <w:rsid w:val="009941E1"/>
    <w:rsid w:val="009A1E5F"/>
    <w:rsid w:val="009A475C"/>
    <w:rsid w:val="009B44AC"/>
    <w:rsid w:val="009B64AE"/>
    <w:rsid w:val="009B7512"/>
    <w:rsid w:val="009C7C33"/>
    <w:rsid w:val="009D541F"/>
    <w:rsid w:val="009D641A"/>
    <w:rsid w:val="009D6C52"/>
    <w:rsid w:val="009D7534"/>
    <w:rsid w:val="009E05EC"/>
    <w:rsid w:val="009E13C8"/>
    <w:rsid w:val="009F4A13"/>
    <w:rsid w:val="00A00903"/>
    <w:rsid w:val="00A07039"/>
    <w:rsid w:val="00A12D19"/>
    <w:rsid w:val="00A17B2E"/>
    <w:rsid w:val="00A24713"/>
    <w:rsid w:val="00A248C3"/>
    <w:rsid w:val="00A318B8"/>
    <w:rsid w:val="00A3550F"/>
    <w:rsid w:val="00A373E7"/>
    <w:rsid w:val="00A408F5"/>
    <w:rsid w:val="00A4099D"/>
    <w:rsid w:val="00A41190"/>
    <w:rsid w:val="00A416F0"/>
    <w:rsid w:val="00A45C5B"/>
    <w:rsid w:val="00A45EC3"/>
    <w:rsid w:val="00A460A2"/>
    <w:rsid w:val="00A569DC"/>
    <w:rsid w:val="00A60D9E"/>
    <w:rsid w:val="00A66EF9"/>
    <w:rsid w:val="00A67B79"/>
    <w:rsid w:val="00A67EAA"/>
    <w:rsid w:val="00A700A5"/>
    <w:rsid w:val="00A7205F"/>
    <w:rsid w:val="00A747CE"/>
    <w:rsid w:val="00A77E2F"/>
    <w:rsid w:val="00A80481"/>
    <w:rsid w:val="00A81789"/>
    <w:rsid w:val="00A837C3"/>
    <w:rsid w:val="00A86130"/>
    <w:rsid w:val="00A875F9"/>
    <w:rsid w:val="00A91982"/>
    <w:rsid w:val="00A926E6"/>
    <w:rsid w:val="00A974CF"/>
    <w:rsid w:val="00AA05B3"/>
    <w:rsid w:val="00AA106B"/>
    <w:rsid w:val="00AA537A"/>
    <w:rsid w:val="00AA7263"/>
    <w:rsid w:val="00AA7AAC"/>
    <w:rsid w:val="00AB37F5"/>
    <w:rsid w:val="00AB410C"/>
    <w:rsid w:val="00AC4156"/>
    <w:rsid w:val="00AD6DAB"/>
    <w:rsid w:val="00AE339E"/>
    <w:rsid w:val="00AE56FC"/>
    <w:rsid w:val="00AE5F1A"/>
    <w:rsid w:val="00AE77B7"/>
    <w:rsid w:val="00AF11CA"/>
    <w:rsid w:val="00AF21CB"/>
    <w:rsid w:val="00AF5820"/>
    <w:rsid w:val="00B0110F"/>
    <w:rsid w:val="00B03AD0"/>
    <w:rsid w:val="00B1027C"/>
    <w:rsid w:val="00B12231"/>
    <w:rsid w:val="00B123EF"/>
    <w:rsid w:val="00B131FE"/>
    <w:rsid w:val="00B13B90"/>
    <w:rsid w:val="00B148A3"/>
    <w:rsid w:val="00B14D8D"/>
    <w:rsid w:val="00B17037"/>
    <w:rsid w:val="00B171E9"/>
    <w:rsid w:val="00B22807"/>
    <w:rsid w:val="00B35897"/>
    <w:rsid w:val="00B4397A"/>
    <w:rsid w:val="00B4673C"/>
    <w:rsid w:val="00B479DB"/>
    <w:rsid w:val="00B50156"/>
    <w:rsid w:val="00B50273"/>
    <w:rsid w:val="00B50B36"/>
    <w:rsid w:val="00B52D81"/>
    <w:rsid w:val="00B627B4"/>
    <w:rsid w:val="00B63B0E"/>
    <w:rsid w:val="00B76A17"/>
    <w:rsid w:val="00B779A4"/>
    <w:rsid w:val="00B80E21"/>
    <w:rsid w:val="00B81270"/>
    <w:rsid w:val="00B8354A"/>
    <w:rsid w:val="00B845E6"/>
    <w:rsid w:val="00B84B62"/>
    <w:rsid w:val="00B9076E"/>
    <w:rsid w:val="00B92962"/>
    <w:rsid w:val="00B92AC3"/>
    <w:rsid w:val="00B93651"/>
    <w:rsid w:val="00B93973"/>
    <w:rsid w:val="00B93B81"/>
    <w:rsid w:val="00B95AF1"/>
    <w:rsid w:val="00B97CA3"/>
    <w:rsid w:val="00BA4E45"/>
    <w:rsid w:val="00BA6C76"/>
    <w:rsid w:val="00BB17CC"/>
    <w:rsid w:val="00BB4952"/>
    <w:rsid w:val="00BC0E0D"/>
    <w:rsid w:val="00BC2B09"/>
    <w:rsid w:val="00BC3CF4"/>
    <w:rsid w:val="00BC7096"/>
    <w:rsid w:val="00BD12A2"/>
    <w:rsid w:val="00BD1CE7"/>
    <w:rsid w:val="00BD28B1"/>
    <w:rsid w:val="00BD2B8F"/>
    <w:rsid w:val="00BD66D3"/>
    <w:rsid w:val="00BE469E"/>
    <w:rsid w:val="00BE6049"/>
    <w:rsid w:val="00BF2C4D"/>
    <w:rsid w:val="00BF52A9"/>
    <w:rsid w:val="00C01150"/>
    <w:rsid w:val="00C0166D"/>
    <w:rsid w:val="00C0724F"/>
    <w:rsid w:val="00C1271B"/>
    <w:rsid w:val="00C152C3"/>
    <w:rsid w:val="00C167BB"/>
    <w:rsid w:val="00C2315C"/>
    <w:rsid w:val="00C25EA8"/>
    <w:rsid w:val="00C31FE8"/>
    <w:rsid w:val="00C3221F"/>
    <w:rsid w:val="00C334C6"/>
    <w:rsid w:val="00C351C2"/>
    <w:rsid w:val="00C369A1"/>
    <w:rsid w:val="00C40F73"/>
    <w:rsid w:val="00C461A0"/>
    <w:rsid w:val="00C53D1C"/>
    <w:rsid w:val="00C540E3"/>
    <w:rsid w:val="00C54B05"/>
    <w:rsid w:val="00C56BD4"/>
    <w:rsid w:val="00C5708F"/>
    <w:rsid w:val="00C61DF1"/>
    <w:rsid w:val="00C624F9"/>
    <w:rsid w:val="00C62F99"/>
    <w:rsid w:val="00C64D95"/>
    <w:rsid w:val="00C66113"/>
    <w:rsid w:val="00C709B0"/>
    <w:rsid w:val="00C7608B"/>
    <w:rsid w:val="00C83A17"/>
    <w:rsid w:val="00C90918"/>
    <w:rsid w:val="00C90F38"/>
    <w:rsid w:val="00C95F9D"/>
    <w:rsid w:val="00CA4F25"/>
    <w:rsid w:val="00CA7ED2"/>
    <w:rsid w:val="00CB756B"/>
    <w:rsid w:val="00CC0E33"/>
    <w:rsid w:val="00CC3AA8"/>
    <w:rsid w:val="00CC59B1"/>
    <w:rsid w:val="00CC66B9"/>
    <w:rsid w:val="00CD3303"/>
    <w:rsid w:val="00CD77DD"/>
    <w:rsid w:val="00CE1132"/>
    <w:rsid w:val="00CE4DAF"/>
    <w:rsid w:val="00CE5064"/>
    <w:rsid w:val="00CE53BD"/>
    <w:rsid w:val="00CE5457"/>
    <w:rsid w:val="00CE5CA3"/>
    <w:rsid w:val="00CF281F"/>
    <w:rsid w:val="00CF4505"/>
    <w:rsid w:val="00D00584"/>
    <w:rsid w:val="00D056C9"/>
    <w:rsid w:val="00D059D0"/>
    <w:rsid w:val="00D0741A"/>
    <w:rsid w:val="00D15324"/>
    <w:rsid w:val="00D15F30"/>
    <w:rsid w:val="00D245ED"/>
    <w:rsid w:val="00D30D55"/>
    <w:rsid w:val="00D34925"/>
    <w:rsid w:val="00D349AB"/>
    <w:rsid w:val="00D40A33"/>
    <w:rsid w:val="00D41D43"/>
    <w:rsid w:val="00D4704C"/>
    <w:rsid w:val="00D60EAD"/>
    <w:rsid w:val="00D6303D"/>
    <w:rsid w:val="00D631E7"/>
    <w:rsid w:val="00D63B84"/>
    <w:rsid w:val="00D66343"/>
    <w:rsid w:val="00D6692F"/>
    <w:rsid w:val="00D741A2"/>
    <w:rsid w:val="00D74391"/>
    <w:rsid w:val="00D77A53"/>
    <w:rsid w:val="00D815F2"/>
    <w:rsid w:val="00D86ABB"/>
    <w:rsid w:val="00D93284"/>
    <w:rsid w:val="00D9512C"/>
    <w:rsid w:val="00D97A9F"/>
    <w:rsid w:val="00DA34CC"/>
    <w:rsid w:val="00DA7380"/>
    <w:rsid w:val="00DA755B"/>
    <w:rsid w:val="00DB39D5"/>
    <w:rsid w:val="00DB3C6B"/>
    <w:rsid w:val="00DC4EAE"/>
    <w:rsid w:val="00DC544A"/>
    <w:rsid w:val="00DC79DC"/>
    <w:rsid w:val="00DD114B"/>
    <w:rsid w:val="00DD1F7B"/>
    <w:rsid w:val="00DD3ECC"/>
    <w:rsid w:val="00DD6268"/>
    <w:rsid w:val="00DE56E9"/>
    <w:rsid w:val="00DF037B"/>
    <w:rsid w:val="00DF3D9F"/>
    <w:rsid w:val="00DF5F38"/>
    <w:rsid w:val="00DF6796"/>
    <w:rsid w:val="00E054AE"/>
    <w:rsid w:val="00E06175"/>
    <w:rsid w:val="00E10218"/>
    <w:rsid w:val="00E103A9"/>
    <w:rsid w:val="00E123E3"/>
    <w:rsid w:val="00E163EA"/>
    <w:rsid w:val="00E16D2D"/>
    <w:rsid w:val="00E176AC"/>
    <w:rsid w:val="00E41F3A"/>
    <w:rsid w:val="00E441D0"/>
    <w:rsid w:val="00E45707"/>
    <w:rsid w:val="00E45BC3"/>
    <w:rsid w:val="00E52442"/>
    <w:rsid w:val="00E55735"/>
    <w:rsid w:val="00E55FC1"/>
    <w:rsid w:val="00E57EC3"/>
    <w:rsid w:val="00E605D7"/>
    <w:rsid w:val="00E63A7F"/>
    <w:rsid w:val="00E651C0"/>
    <w:rsid w:val="00E675B9"/>
    <w:rsid w:val="00E70A55"/>
    <w:rsid w:val="00E74D4A"/>
    <w:rsid w:val="00E77FEF"/>
    <w:rsid w:val="00E943BC"/>
    <w:rsid w:val="00E94FAD"/>
    <w:rsid w:val="00EA22C7"/>
    <w:rsid w:val="00EA2ADD"/>
    <w:rsid w:val="00EA3BC0"/>
    <w:rsid w:val="00EA5091"/>
    <w:rsid w:val="00EB0CA9"/>
    <w:rsid w:val="00EB4F05"/>
    <w:rsid w:val="00EC1B8A"/>
    <w:rsid w:val="00EC336C"/>
    <w:rsid w:val="00EC4BD1"/>
    <w:rsid w:val="00ED7570"/>
    <w:rsid w:val="00EE1C1D"/>
    <w:rsid w:val="00EE4907"/>
    <w:rsid w:val="00EE51B9"/>
    <w:rsid w:val="00EE648D"/>
    <w:rsid w:val="00EE7830"/>
    <w:rsid w:val="00EF1358"/>
    <w:rsid w:val="00EF2B39"/>
    <w:rsid w:val="00EF30E3"/>
    <w:rsid w:val="00EF5C62"/>
    <w:rsid w:val="00EF5F87"/>
    <w:rsid w:val="00EF6861"/>
    <w:rsid w:val="00F04D00"/>
    <w:rsid w:val="00F13744"/>
    <w:rsid w:val="00F15A6B"/>
    <w:rsid w:val="00F174F0"/>
    <w:rsid w:val="00F213EC"/>
    <w:rsid w:val="00F33E80"/>
    <w:rsid w:val="00F34ED5"/>
    <w:rsid w:val="00F37735"/>
    <w:rsid w:val="00F42E45"/>
    <w:rsid w:val="00F52878"/>
    <w:rsid w:val="00F53EEB"/>
    <w:rsid w:val="00F54231"/>
    <w:rsid w:val="00F55431"/>
    <w:rsid w:val="00F60D56"/>
    <w:rsid w:val="00F6380F"/>
    <w:rsid w:val="00F72EE8"/>
    <w:rsid w:val="00F761D5"/>
    <w:rsid w:val="00F76B55"/>
    <w:rsid w:val="00F76E1F"/>
    <w:rsid w:val="00F80BAD"/>
    <w:rsid w:val="00F81293"/>
    <w:rsid w:val="00F82EBC"/>
    <w:rsid w:val="00F837D9"/>
    <w:rsid w:val="00F84517"/>
    <w:rsid w:val="00F84AFE"/>
    <w:rsid w:val="00F912D4"/>
    <w:rsid w:val="00F92AE9"/>
    <w:rsid w:val="00F96B5D"/>
    <w:rsid w:val="00FA2493"/>
    <w:rsid w:val="00FA33DD"/>
    <w:rsid w:val="00FA41FC"/>
    <w:rsid w:val="00FA6FF4"/>
    <w:rsid w:val="00FB0A86"/>
    <w:rsid w:val="00FC0A01"/>
    <w:rsid w:val="00FC10C8"/>
    <w:rsid w:val="00FC1746"/>
    <w:rsid w:val="00FC5552"/>
    <w:rsid w:val="00FD1173"/>
    <w:rsid w:val="00FD119E"/>
    <w:rsid w:val="00FD2FFC"/>
    <w:rsid w:val="00FE271C"/>
    <w:rsid w:val="00FF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9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eastAsia="Times New Roman" w:hAnsi="Times New Roman" w:cs="Times New Roman"/>
      <w:sz w:val="26"/>
    </w:rPr>
  </w:style>
  <w:style w:type="character" w:customStyle="1" w:styleId="Heading1Char">
    <w:name w:val="Heading 1 Char"/>
    <w:basedOn w:val="DefaultParagraphFont"/>
    <w:link w:val="Heading1"/>
    <w:uiPriority w:val="9"/>
    <w:rsid w:val="004B699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2660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514">
      <w:bodyDiv w:val="1"/>
      <w:marLeft w:val="0"/>
      <w:marRight w:val="0"/>
      <w:marTop w:val="0"/>
      <w:marBottom w:val="0"/>
      <w:divBdr>
        <w:top w:val="none" w:sz="0" w:space="0" w:color="auto"/>
        <w:left w:val="none" w:sz="0" w:space="0" w:color="auto"/>
        <w:bottom w:val="none" w:sz="0" w:space="0" w:color="auto"/>
        <w:right w:val="none" w:sz="0" w:space="0" w:color="auto"/>
      </w:divBdr>
    </w:div>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476260175">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072436127">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361930759">
      <w:bodyDiv w:val="1"/>
      <w:marLeft w:val="0"/>
      <w:marRight w:val="0"/>
      <w:marTop w:val="0"/>
      <w:marBottom w:val="0"/>
      <w:divBdr>
        <w:top w:val="none" w:sz="0" w:space="0" w:color="auto"/>
        <w:left w:val="none" w:sz="0" w:space="0" w:color="auto"/>
        <w:bottom w:val="none" w:sz="0" w:space="0" w:color="auto"/>
        <w:right w:val="none" w:sz="0" w:space="0" w:color="auto"/>
      </w:divBdr>
    </w:div>
    <w:div w:id="1419256375">
      <w:bodyDiv w:val="1"/>
      <w:marLeft w:val="0"/>
      <w:marRight w:val="0"/>
      <w:marTop w:val="0"/>
      <w:marBottom w:val="0"/>
      <w:divBdr>
        <w:top w:val="none" w:sz="0" w:space="0" w:color="auto"/>
        <w:left w:val="none" w:sz="0" w:space="0" w:color="auto"/>
        <w:bottom w:val="none" w:sz="0" w:space="0" w:color="auto"/>
        <w:right w:val="none" w:sz="0" w:space="0" w:color="auto"/>
      </w:divBdr>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736514437">
      <w:bodyDiv w:val="1"/>
      <w:marLeft w:val="0"/>
      <w:marRight w:val="0"/>
      <w:marTop w:val="0"/>
      <w:marBottom w:val="0"/>
      <w:divBdr>
        <w:top w:val="none" w:sz="0" w:space="0" w:color="auto"/>
        <w:left w:val="none" w:sz="0" w:space="0" w:color="auto"/>
        <w:bottom w:val="none" w:sz="0" w:space="0" w:color="auto"/>
        <w:right w:val="none" w:sz="0" w:space="0" w:color="auto"/>
      </w:divBdr>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 w:id="2059432115">
      <w:bodyDiv w:val="1"/>
      <w:marLeft w:val="0"/>
      <w:marRight w:val="0"/>
      <w:marTop w:val="0"/>
      <w:marBottom w:val="0"/>
      <w:divBdr>
        <w:top w:val="none" w:sz="0" w:space="0" w:color="auto"/>
        <w:left w:val="none" w:sz="0" w:space="0" w:color="auto"/>
        <w:bottom w:val="none" w:sz="0" w:space="0" w:color="auto"/>
        <w:right w:val="none" w:sz="0" w:space="0" w:color="auto"/>
      </w:divBdr>
      <w:divsChild>
        <w:div w:id="1137604423">
          <w:marLeft w:val="0"/>
          <w:marRight w:val="0"/>
          <w:marTop w:val="0"/>
          <w:marBottom w:val="225"/>
          <w:divBdr>
            <w:top w:val="single" w:sz="24" w:space="0" w:color="auto"/>
            <w:left w:val="single" w:sz="24" w:space="0" w:color="auto"/>
            <w:bottom w:val="single" w:sz="36" w:space="0" w:color="003300"/>
            <w:right w:val="single" w:sz="24" w:space="0" w:color="auto"/>
          </w:divBdr>
          <w:divsChild>
            <w:div w:id="1006634451">
              <w:marLeft w:val="0"/>
              <w:marRight w:val="0"/>
              <w:marTop w:val="0"/>
              <w:marBottom w:val="0"/>
              <w:divBdr>
                <w:top w:val="none" w:sz="0" w:space="0" w:color="auto"/>
                <w:left w:val="none" w:sz="0" w:space="0" w:color="auto"/>
                <w:bottom w:val="none" w:sz="0" w:space="0" w:color="auto"/>
                <w:right w:val="none" w:sz="0" w:space="0" w:color="auto"/>
              </w:divBdr>
            </w:div>
          </w:divsChild>
        </w:div>
        <w:div w:id="31078047">
          <w:marLeft w:val="0"/>
          <w:marRight w:val="0"/>
          <w:marTop w:val="0"/>
          <w:marBottom w:val="0"/>
          <w:divBdr>
            <w:top w:val="none" w:sz="0" w:space="0" w:color="auto"/>
            <w:left w:val="none" w:sz="0" w:space="0" w:color="auto"/>
            <w:bottom w:val="none" w:sz="0" w:space="0" w:color="auto"/>
            <w:right w:val="none" w:sz="0" w:space="0" w:color="auto"/>
          </w:divBdr>
          <w:divsChild>
            <w:div w:id="80487883">
              <w:marLeft w:val="0"/>
              <w:marRight w:val="0"/>
              <w:marTop w:val="0"/>
              <w:marBottom w:val="0"/>
              <w:divBdr>
                <w:top w:val="none" w:sz="0" w:space="0" w:color="auto"/>
                <w:left w:val="none" w:sz="0" w:space="0" w:color="auto"/>
                <w:bottom w:val="none" w:sz="0" w:space="0" w:color="auto"/>
                <w:right w:val="none" w:sz="0" w:space="0" w:color="auto"/>
              </w:divBdr>
              <w:divsChild>
                <w:div w:id="368648982">
                  <w:marLeft w:val="0"/>
                  <w:marRight w:val="0"/>
                  <w:marTop w:val="0"/>
                  <w:marBottom w:val="0"/>
                  <w:divBdr>
                    <w:top w:val="none" w:sz="0" w:space="0" w:color="auto"/>
                    <w:left w:val="none" w:sz="0" w:space="0" w:color="auto"/>
                    <w:bottom w:val="none" w:sz="0" w:space="0" w:color="auto"/>
                    <w:right w:val="none" w:sz="0" w:space="0" w:color="auto"/>
                  </w:divBdr>
                  <w:divsChild>
                    <w:div w:id="232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E280-2B32-4983-9FD7-EA880956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2023-09-26T14:08:00Z</cp:lastPrinted>
  <dcterms:created xsi:type="dcterms:W3CDTF">2023-10-10T07:33:00Z</dcterms:created>
  <dcterms:modified xsi:type="dcterms:W3CDTF">2023-10-10T07:33:00Z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67f4ebc07316d948b32f943100c658c0b061b5a47522c286baa014305d178e90</vt:lpwstr>
  </property>
</Properties>
</file>