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B0" w:rsidRPr="00BD77FC" w:rsidRDefault="009243B0" w:rsidP="009243B0">
      <w:pPr>
        <w:rPr>
          <w:rFonts w:ascii="Arial" w:hAnsi="Arial" w:cs="Arial"/>
          <w:u w:val="single"/>
        </w:rPr>
      </w:pPr>
      <w:bookmarkStart w:id="0" w:name="_GoBack"/>
      <w:bookmarkEnd w:id="0"/>
      <w:r>
        <w:rPr>
          <w:noProof/>
          <w:lang w:val="en-US"/>
        </w:rPr>
        <w:drawing>
          <wp:anchor distT="0" distB="0" distL="0" distR="0" simplePos="0" relativeHeight="251659264" behindDoc="1" locked="0" layoutInCell="1" allowOverlap="1" wp14:anchorId="3603EFF9" wp14:editId="501A017E">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3B0" w:rsidRPr="00BD77FC" w:rsidRDefault="009243B0" w:rsidP="009243B0">
      <w:pPr>
        <w:autoSpaceDE w:val="0"/>
        <w:autoSpaceDN w:val="0"/>
        <w:adjustRightInd w:val="0"/>
        <w:spacing w:before="100"/>
        <w:jc w:val="center"/>
        <w:rPr>
          <w:rFonts w:ascii="Arial" w:hAnsi="Arial" w:cs="Arial"/>
          <w:b/>
          <w:bCs/>
          <w:sz w:val="28"/>
          <w:szCs w:val="28"/>
          <w:u w:val="single"/>
        </w:rPr>
      </w:pPr>
    </w:p>
    <w:p w:rsidR="009243B0" w:rsidRPr="00BD77FC" w:rsidRDefault="009243B0" w:rsidP="009243B0">
      <w:pPr>
        <w:autoSpaceDE w:val="0"/>
        <w:autoSpaceDN w:val="0"/>
        <w:adjustRightInd w:val="0"/>
        <w:spacing w:before="100"/>
        <w:jc w:val="center"/>
        <w:rPr>
          <w:rFonts w:ascii="Arial" w:hAnsi="Arial" w:cs="Arial"/>
          <w:b/>
          <w:bCs/>
          <w:sz w:val="28"/>
          <w:szCs w:val="28"/>
          <w:u w:val="single"/>
        </w:rPr>
      </w:pPr>
    </w:p>
    <w:p w:rsidR="009243B0" w:rsidRPr="00A231F0" w:rsidRDefault="009243B0" w:rsidP="009243B0">
      <w:pPr>
        <w:autoSpaceDE w:val="0"/>
        <w:autoSpaceDN w:val="0"/>
        <w:adjustRightInd w:val="0"/>
        <w:spacing w:before="100" w:after="100" w:line="276" w:lineRule="auto"/>
        <w:jc w:val="center"/>
        <w:rPr>
          <w:rFonts w:ascii="Arial" w:hAnsi="Arial" w:cs="Arial"/>
          <w:u w:val="single"/>
        </w:rPr>
      </w:pPr>
      <w:r w:rsidRPr="00A231F0">
        <w:rPr>
          <w:rFonts w:ascii="Arial" w:hAnsi="Arial" w:cs="Arial"/>
          <w:b/>
          <w:bCs/>
          <w:u w:val="single"/>
        </w:rPr>
        <w:t>IN THE HIGH COURT OF SOUTH AFRICA</w:t>
      </w:r>
    </w:p>
    <w:p w:rsidR="009243B0" w:rsidRPr="00A231F0" w:rsidRDefault="009243B0" w:rsidP="009243B0">
      <w:pPr>
        <w:autoSpaceDE w:val="0"/>
        <w:autoSpaceDN w:val="0"/>
        <w:adjustRightInd w:val="0"/>
        <w:spacing w:before="100" w:line="480" w:lineRule="auto"/>
        <w:jc w:val="center"/>
        <w:rPr>
          <w:rFonts w:ascii="Arial" w:hAnsi="Arial" w:cs="Arial"/>
          <w:b/>
          <w:bCs/>
          <w:u w:val="single"/>
        </w:rPr>
      </w:pPr>
      <w:r w:rsidRPr="00A231F0">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9243B0" w:rsidTr="00625FA9">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9243B0" w:rsidRDefault="009243B0" w:rsidP="00625FA9">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rsidR="009243B0" w:rsidRDefault="009243B0" w:rsidP="00625FA9">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rsidR="009243B0" w:rsidRDefault="009243B0" w:rsidP="00625FA9">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9243B0" w:rsidRDefault="009243B0" w:rsidP="00625FA9">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rsidR="009243B0" w:rsidRDefault="009243B0" w:rsidP="00625FA9">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rsidR="009243B0" w:rsidRDefault="009243B0" w:rsidP="00625FA9">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rsidR="003D6D76" w:rsidRPr="003D6D76" w:rsidRDefault="003D6D76" w:rsidP="003D6D76">
      <w:pPr>
        <w:spacing w:after="0" w:line="276" w:lineRule="auto"/>
        <w:jc w:val="right"/>
        <w:rPr>
          <w:rFonts w:ascii="Arial" w:hAnsi="Arial" w:cs="Arial"/>
          <w:sz w:val="18"/>
          <w:szCs w:val="18"/>
        </w:rPr>
      </w:pPr>
    </w:p>
    <w:p w:rsidR="009243B0" w:rsidRPr="003D6D76" w:rsidRDefault="009243B0" w:rsidP="009243B0">
      <w:pPr>
        <w:spacing w:line="276" w:lineRule="auto"/>
        <w:jc w:val="right"/>
        <w:rPr>
          <w:rFonts w:ascii="Arial" w:hAnsi="Arial" w:cs="Arial"/>
          <w:sz w:val="24"/>
          <w:szCs w:val="24"/>
        </w:rPr>
      </w:pPr>
      <w:r w:rsidRPr="003D6D76">
        <w:rPr>
          <w:rFonts w:ascii="Arial" w:hAnsi="Arial" w:cs="Arial"/>
          <w:sz w:val="24"/>
          <w:szCs w:val="24"/>
        </w:rPr>
        <w:t xml:space="preserve">Case no: </w:t>
      </w:r>
      <w:r w:rsidRPr="003D6D76">
        <w:rPr>
          <w:rFonts w:ascii="Arial" w:hAnsi="Arial" w:cs="Arial"/>
          <w:b/>
          <w:sz w:val="24"/>
          <w:szCs w:val="24"/>
        </w:rPr>
        <w:t>A147/2022</w:t>
      </w:r>
    </w:p>
    <w:p w:rsidR="009243B0" w:rsidRPr="003D6D76" w:rsidRDefault="009243B0" w:rsidP="009243B0">
      <w:pPr>
        <w:spacing w:line="276" w:lineRule="auto"/>
        <w:rPr>
          <w:rFonts w:ascii="Arial" w:hAnsi="Arial" w:cs="Arial"/>
          <w:sz w:val="24"/>
          <w:szCs w:val="24"/>
        </w:rPr>
      </w:pPr>
      <w:r w:rsidRPr="003D6D76">
        <w:rPr>
          <w:rFonts w:ascii="Arial" w:hAnsi="Arial" w:cs="Arial"/>
          <w:sz w:val="24"/>
          <w:szCs w:val="24"/>
        </w:rPr>
        <w:t>In the matter between:</w:t>
      </w:r>
    </w:p>
    <w:p w:rsidR="00DA1133" w:rsidRPr="003D6D76" w:rsidRDefault="00DA1133" w:rsidP="009243B0">
      <w:pPr>
        <w:spacing w:line="276" w:lineRule="auto"/>
        <w:rPr>
          <w:rFonts w:ascii="Arial" w:hAnsi="Arial" w:cs="Arial"/>
          <w:sz w:val="24"/>
          <w:szCs w:val="24"/>
        </w:rPr>
      </w:pPr>
    </w:p>
    <w:p w:rsidR="00DA1133" w:rsidRPr="003D6D76" w:rsidRDefault="00DA1133" w:rsidP="00DA1133">
      <w:pPr>
        <w:pStyle w:val="Body"/>
        <w:tabs>
          <w:tab w:val="right" w:pos="9000"/>
        </w:tabs>
        <w:spacing w:after="0" w:line="360" w:lineRule="auto"/>
        <w:jc w:val="both"/>
        <w:rPr>
          <w:rFonts w:ascii="Arial" w:eastAsia="Arial" w:hAnsi="Arial" w:cs="Arial"/>
          <w:bCs/>
          <w:sz w:val="24"/>
          <w:szCs w:val="24"/>
          <w:lang w:val="fr-FR"/>
        </w:rPr>
      </w:pPr>
      <w:r w:rsidRPr="003D6D76">
        <w:rPr>
          <w:rFonts w:ascii="Arial" w:hAnsi="Arial"/>
          <w:b/>
          <w:sz w:val="24"/>
          <w:szCs w:val="24"/>
          <w:lang w:val="de-DE"/>
        </w:rPr>
        <w:t xml:space="preserve">JOHANNES JACOBUS ERASMUS N.O. </w:t>
      </w:r>
      <w:r w:rsidRPr="003D6D76">
        <w:rPr>
          <w:rFonts w:ascii="Arial" w:eastAsia="Arial" w:hAnsi="Arial" w:cs="Arial"/>
          <w:b/>
          <w:sz w:val="24"/>
          <w:szCs w:val="24"/>
          <w:lang w:val="fr-FR"/>
        </w:rPr>
        <w:t xml:space="preserve">                                                </w:t>
      </w:r>
      <w:r w:rsidRPr="003D6D76">
        <w:rPr>
          <w:rFonts w:ascii="Arial" w:eastAsia="Arial" w:hAnsi="Arial" w:cs="Arial"/>
          <w:sz w:val="24"/>
          <w:szCs w:val="24"/>
          <w:lang w:val="fr-FR"/>
        </w:rPr>
        <w:t xml:space="preserve"> First</w:t>
      </w:r>
      <w:r w:rsidRPr="003D6D76">
        <w:rPr>
          <w:rFonts w:ascii="Arial" w:eastAsia="Arial" w:hAnsi="Arial" w:cs="Arial"/>
          <w:b/>
          <w:sz w:val="24"/>
          <w:szCs w:val="24"/>
          <w:lang w:val="fr-FR"/>
        </w:rPr>
        <w:t xml:space="preserve"> </w:t>
      </w:r>
      <w:r w:rsidRPr="003D6D76">
        <w:rPr>
          <w:rFonts w:ascii="Arial" w:eastAsia="Arial" w:hAnsi="Arial" w:cs="Arial"/>
          <w:bCs/>
          <w:sz w:val="24"/>
          <w:szCs w:val="24"/>
          <w:lang w:val="en-ZA"/>
        </w:rPr>
        <w:t>Appellant</w:t>
      </w:r>
    </w:p>
    <w:p w:rsidR="00DA1133" w:rsidRPr="003D6D76" w:rsidRDefault="00DA1133" w:rsidP="00DA1133">
      <w:pPr>
        <w:pStyle w:val="Body"/>
        <w:tabs>
          <w:tab w:val="right" w:pos="9000"/>
        </w:tabs>
        <w:spacing w:after="0" w:line="360" w:lineRule="auto"/>
        <w:jc w:val="both"/>
        <w:rPr>
          <w:rFonts w:ascii="Arial" w:eastAsia="Arial" w:hAnsi="Arial" w:cs="Arial"/>
          <w:b/>
          <w:sz w:val="24"/>
          <w:szCs w:val="24"/>
          <w:lang w:val="fr-FR"/>
        </w:rPr>
      </w:pPr>
      <w:r w:rsidRPr="003D6D76">
        <w:rPr>
          <w:rFonts w:ascii="Arial" w:eastAsia="Arial" w:hAnsi="Arial" w:cs="Arial"/>
          <w:b/>
          <w:sz w:val="24"/>
          <w:szCs w:val="24"/>
          <w:lang w:val="fr-FR"/>
        </w:rPr>
        <w:t xml:space="preserve">GERHARD ALBERTUS VAN RHYN N.O.                                            </w:t>
      </w:r>
      <w:r w:rsidRPr="003D6D76">
        <w:rPr>
          <w:rFonts w:ascii="Arial" w:eastAsia="Arial" w:hAnsi="Arial" w:cs="Arial"/>
          <w:sz w:val="24"/>
          <w:szCs w:val="24"/>
          <w:lang w:val="fr-FR"/>
        </w:rPr>
        <w:t xml:space="preserve">Second </w:t>
      </w:r>
      <w:r w:rsidRPr="003D6D76">
        <w:rPr>
          <w:rFonts w:ascii="Arial" w:eastAsia="Arial" w:hAnsi="Arial" w:cs="Arial"/>
          <w:sz w:val="24"/>
          <w:szCs w:val="24"/>
          <w:lang w:val="en-ZA"/>
        </w:rPr>
        <w:t>Appellant</w:t>
      </w:r>
      <w:r w:rsidRPr="003D6D76">
        <w:rPr>
          <w:rFonts w:ascii="Arial" w:eastAsia="Arial" w:hAnsi="Arial" w:cs="Arial"/>
          <w:b/>
          <w:sz w:val="24"/>
          <w:szCs w:val="24"/>
          <w:lang w:val="fr-FR"/>
        </w:rPr>
        <w:t xml:space="preserve"> </w:t>
      </w:r>
    </w:p>
    <w:p w:rsidR="00DA1133" w:rsidRDefault="00DA1133" w:rsidP="00DA1133">
      <w:pPr>
        <w:pStyle w:val="Body"/>
        <w:tabs>
          <w:tab w:val="right" w:pos="9000"/>
        </w:tabs>
        <w:spacing w:after="0" w:line="360" w:lineRule="auto"/>
        <w:jc w:val="both"/>
        <w:rPr>
          <w:rFonts w:ascii="Arial" w:eastAsia="Arial" w:hAnsi="Arial" w:cs="Arial"/>
          <w:b/>
          <w:sz w:val="24"/>
          <w:szCs w:val="24"/>
          <w:lang w:val="fr-FR"/>
        </w:rPr>
      </w:pPr>
      <w:r>
        <w:rPr>
          <w:rFonts w:ascii="Arial" w:hAnsi="Arial"/>
          <w:b/>
          <w:sz w:val="24"/>
          <w:szCs w:val="24"/>
          <w:lang w:val="de-DE"/>
        </w:rPr>
        <w:t>JOHANNES JACOBUS ERASMUS</w:t>
      </w:r>
      <w:r>
        <w:rPr>
          <w:rFonts w:ascii="Arial" w:eastAsia="Arial" w:hAnsi="Arial" w:cs="Arial"/>
          <w:b/>
          <w:sz w:val="24"/>
          <w:szCs w:val="24"/>
          <w:lang w:val="fr-FR"/>
        </w:rPr>
        <w:t xml:space="preserve">                                                      </w:t>
      </w:r>
      <w:r>
        <w:rPr>
          <w:rFonts w:ascii="Arial" w:eastAsia="Arial" w:hAnsi="Arial" w:cs="Arial"/>
          <w:sz w:val="24"/>
          <w:szCs w:val="24"/>
          <w:lang w:val="fr-FR"/>
        </w:rPr>
        <w:t xml:space="preserve">Third </w:t>
      </w:r>
      <w:r w:rsidRPr="000A1B52">
        <w:rPr>
          <w:rFonts w:ascii="Arial" w:eastAsia="Arial" w:hAnsi="Arial" w:cs="Arial"/>
          <w:sz w:val="24"/>
          <w:szCs w:val="24"/>
          <w:lang w:val="en-ZA"/>
        </w:rPr>
        <w:t>Appellant</w:t>
      </w:r>
      <w:r w:rsidRPr="00395DEF">
        <w:rPr>
          <w:rFonts w:ascii="Arial" w:eastAsia="Arial" w:hAnsi="Arial" w:cs="Arial"/>
          <w:b/>
          <w:sz w:val="24"/>
          <w:szCs w:val="24"/>
          <w:lang w:val="fr-FR"/>
        </w:rPr>
        <w:t xml:space="preserve"> </w:t>
      </w:r>
    </w:p>
    <w:p w:rsidR="00DA1133" w:rsidRDefault="00DA1133" w:rsidP="00DA1133">
      <w:pPr>
        <w:pStyle w:val="Body"/>
        <w:tabs>
          <w:tab w:val="right" w:pos="9000"/>
        </w:tabs>
        <w:spacing w:after="0" w:line="360" w:lineRule="auto"/>
        <w:jc w:val="both"/>
        <w:rPr>
          <w:rFonts w:ascii="Arial" w:eastAsia="Arial" w:hAnsi="Arial" w:cs="Arial"/>
          <w:b/>
          <w:sz w:val="24"/>
          <w:szCs w:val="24"/>
          <w:lang w:val="fr-FR"/>
        </w:rPr>
      </w:pPr>
      <w:r>
        <w:rPr>
          <w:rFonts w:ascii="Arial" w:eastAsia="Arial" w:hAnsi="Arial" w:cs="Arial"/>
          <w:b/>
          <w:sz w:val="24"/>
          <w:szCs w:val="24"/>
          <w:lang w:val="fr-FR"/>
        </w:rPr>
        <w:t xml:space="preserve">GERHARD ALBERTUS VAN RHYN                                                     </w:t>
      </w:r>
      <w:r w:rsidRPr="00D4614B">
        <w:rPr>
          <w:rFonts w:ascii="Arial" w:eastAsia="Arial" w:hAnsi="Arial" w:cs="Arial"/>
          <w:sz w:val="24"/>
          <w:szCs w:val="24"/>
          <w:lang w:val="en-GB"/>
        </w:rPr>
        <w:t>Fourth</w:t>
      </w:r>
      <w:r>
        <w:rPr>
          <w:rFonts w:ascii="Arial" w:eastAsia="Arial" w:hAnsi="Arial" w:cs="Arial"/>
          <w:sz w:val="24"/>
          <w:szCs w:val="24"/>
          <w:lang w:val="fr-FR"/>
        </w:rPr>
        <w:t xml:space="preserve"> </w:t>
      </w:r>
      <w:r w:rsidRPr="000A1B52">
        <w:rPr>
          <w:rFonts w:ascii="Arial" w:eastAsia="Arial" w:hAnsi="Arial" w:cs="Arial"/>
          <w:sz w:val="24"/>
          <w:szCs w:val="24"/>
          <w:lang w:val="en-ZA"/>
        </w:rPr>
        <w:t>Appellant</w:t>
      </w:r>
      <w:r w:rsidRPr="00395DEF">
        <w:rPr>
          <w:rFonts w:ascii="Arial" w:eastAsia="Arial" w:hAnsi="Arial" w:cs="Arial"/>
          <w:b/>
          <w:sz w:val="24"/>
          <w:szCs w:val="24"/>
          <w:lang w:val="fr-FR"/>
        </w:rPr>
        <w:t xml:space="preserve"> </w:t>
      </w:r>
    </w:p>
    <w:p w:rsidR="00DA1133" w:rsidRPr="00BD73B3" w:rsidRDefault="00DA1133" w:rsidP="00DA1133">
      <w:pPr>
        <w:pStyle w:val="Body"/>
        <w:tabs>
          <w:tab w:val="right" w:pos="9000"/>
        </w:tabs>
        <w:spacing w:after="0" w:line="360" w:lineRule="auto"/>
        <w:jc w:val="both"/>
        <w:rPr>
          <w:rFonts w:ascii="Arial" w:eastAsia="Arial" w:hAnsi="Arial" w:cs="Arial"/>
          <w:b/>
          <w:sz w:val="24"/>
          <w:szCs w:val="24"/>
          <w:lang w:val="fr-FR"/>
        </w:rPr>
      </w:pPr>
      <w:r w:rsidRPr="00395DEF">
        <w:rPr>
          <w:rFonts w:ascii="Arial" w:eastAsia="Arial" w:hAnsi="Arial" w:cs="Arial"/>
          <w:b/>
          <w:sz w:val="24"/>
          <w:szCs w:val="24"/>
          <w:lang w:val="fr-FR"/>
        </w:rPr>
        <w:t xml:space="preserve">                                                                                     </w:t>
      </w:r>
      <w:r w:rsidRPr="00395DEF">
        <w:rPr>
          <w:rFonts w:ascii="Arial" w:eastAsia="Arial" w:hAnsi="Arial" w:cs="Arial"/>
          <w:bCs/>
          <w:sz w:val="24"/>
          <w:szCs w:val="24"/>
          <w:lang w:val="fr-FR"/>
        </w:rPr>
        <w:t xml:space="preserve"> </w:t>
      </w:r>
    </w:p>
    <w:p w:rsidR="00DA1133" w:rsidRPr="00395DEF" w:rsidRDefault="00DA1133" w:rsidP="00DA1133">
      <w:pPr>
        <w:pStyle w:val="Body"/>
        <w:tabs>
          <w:tab w:val="right" w:pos="8789"/>
          <w:tab w:val="right" w:pos="9000"/>
        </w:tabs>
        <w:spacing w:after="0" w:line="240" w:lineRule="auto"/>
        <w:jc w:val="both"/>
        <w:rPr>
          <w:rFonts w:ascii="Arial" w:hAnsi="Arial"/>
          <w:sz w:val="24"/>
          <w:szCs w:val="24"/>
        </w:rPr>
      </w:pPr>
      <w:r w:rsidRPr="00395DEF">
        <w:rPr>
          <w:rFonts w:ascii="Arial" w:hAnsi="Arial"/>
          <w:sz w:val="24"/>
          <w:szCs w:val="24"/>
        </w:rPr>
        <w:t>and</w:t>
      </w:r>
    </w:p>
    <w:p w:rsidR="00DA1133" w:rsidRPr="00395DEF" w:rsidRDefault="00DA1133" w:rsidP="00DA1133">
      <w:pPr>
        <w:pStyle w:val="Body"/>
        <w:tabs>
          <w:tab w:val="right" w:pos="8789"/>
          <w:tab w:val="right" w:pos="9000"/>
        </w:tabs>
        <w:spacing w:after="0" w:line="240" w:lineRule="auto"/>
        <w:jc w:val="both"/>
        <w:rPr>
          <w:rFonts w:ascii="Arial" w:eastAsia="Arial" w:hAnsi="Arial" w:cs="Arial"/>
          <w:sz w:val="24"/>
          <w:szCs w:val="24"/>
        </w:rPr>
      </w:pPr>
    </w:p>
    <w:p w:rsidR="00DA1133" w:rsidRPr="00395DEF" w:rsidRDefault="00DA1133" w:rsidP="00DA1133">
      <w:pPr>
        <w:pStyle w:val="Body"/>
        <w:tabs>
          <w:tab w:val="right" w:pos="8789"/>
          <w:tab w:val="right" w:pos="9000"/>
        </w:tabs>
        <w:spacing w:after="0" w:line="240" w:lineRule="auto"/>
        <w:jc w:val="both"/>
        <w:rPr>
          <w:rFonts w:ascii="Arial" w:eastAsia="Arial" w:hAnsi="Arial" w:cs="Arial"/>
          <w:sz w:val="24"/>
          <w:szCs w:val="24"/>
        </w:rPr>
      </w:pPr>
    </w:p>
    <w:p w:rsidR="00DA1133" w:rsidRPr="00395DEF" w:rsidRDefault="003D6D76" w:rsidP="00DA1133">
      <w:pPr>
        <w:pStyle w:val="Body"/>
        <w:tabs>
          <w:tab w:val="right" w:pos="9000"/>
        </w:tabs>
        <w:spacing w:after="0" w:line="360" w:lineRule="auto"/>
        <w:rPr>
          <w:rFonts w:ascii="Arial" w:hAnsi="Arial"/>
          <w:b/>
          <w:sz w:val="24"/>
          <w:szCs w:val="24"/>
          <w:lang w:val="de-DE"/>
        </w:rPr>
      </w:pPr>
      <w:r>
        <w:rPr>
          <w:rFonts w:ascii="Arial" w:hAnsi="Arial"/>
          <w:b/>
          <w:sz w:val="24"/>
          <w:szCs w:val="24"/>
          <w:lang w:val="de-DE"/>
        </w:rPr>
        <w:t>STEPHANUS JOHANNES NEL VAN RENSBURG N.O.</w:t>
      </w:r>
      <w:r w:rsidR="00DA1133">
        <w:rPr>
          <w:rFonts w:ascii="Arial" w:hAnsi="Arial"/>
          <w:bCs/>
          <w:sz w:val="24"/>
          <w:szCs w:val="24"/>
          <w:lang w:val="de-DE"/>
        </w:rPr>
        <w:tab/>
        <w:t>First</w:t>
      </w:r>
      <w:r w:rsidR="00DA1133" w:rsidRPr="00395DEF">
        <w:rPr>
          <w:rFonts w:ascii="Arial" w:hAnsi="Arial"/>
          <w:bCs/>
          <w:sz w:val="24"/>
          <w:szCs w:val="24"/>
          <w:lang w:val="de-DE"/>
        </w:rPr>
        <w:t xml:space="preserve"> Respondent</w:t>
      </w:r>
    </w:p>
    <w:p w:rsidR="00DA1133" w:rsidRPr="00395DEF" w:rsidRDefault="003D6D76" w:rsidP="00DA1133">
      <w:pPr>
        <w:pStyle w:val="Body"/>
        <w:tabs>
          <w:tab w:val="right" w:pos="9000"/>
        </w:tabs>
        <w:spacing w:after="0" w:line="360" w:lineRule="auto"/>
        <w:rPr>
          <w:rFonts w:ascii="Arial" w:hAnsi="Arial"/>
          <w:bCs/>
          <w:sz w:val="24"/>
          <w:szCs w:val="24"/>
          <w:lang w:val="de-DE"/>
        </w:rPr>
      </w:pPr>
      <w:bookmarkStart w:id="1" w:name="_Hlk94269010"/>
      <w:r>
        <w:rPr>
          <w:rFonts w:ascii="Arial" w:hAnsi="Arial"/>
          <w:b/>
          <w:sz w:val="24"/>
          <w:szCs w:val="24"/>
          <w:lang w:val="de-DE"/>
        </w:rPr>
        <w:t>MARGARETHA ALETTA NOTLEY N.O.</w:t>
      </w:r>
      <w:r w:rsidR="00DA1133" w:rsidRPr="00395DEF">
        <w:rPr>
          <w:rFonts w:ascii="Arial" w:hAnsi="Arial"/>
          <w:b/>
          <w:sz w:val="24"/>
          <w:szCs w:val="24"/>
          <w:lang w:val="de-DE"/>
        </w:rPr>
        <w:t xml:space="preserve"> </w:t>
      </w:r>
      <w:r w:rsidR="00DA1133">
        <w:rPr>
          <w:rFonts w:ascii="Arial" w:hAnsi="Arial"/>
          <w:b/>
          <w:sz w:val="24"/>
          <w:szCs w:val="24"/>
          <w:lang w:val="de-DE"/>
        </w:rPr>
        <w:tab/>
      </w:r>
      <w:r w:rsidR="00DA1133">
        <w:rPr>
          <w:rFonts w:ascii="Arial" w:hAnsi="Arial"/>
          <w:bCs/>
          <w:sz w:val="24"/>
          <w:szCs w:val="24"/>
          <w:lang w:val="de-DE"/>
        </w:rPr>
        <w:t>Second</w:t>
      </w:r>
      <w:r w:rsidR="00DA1133" w:rsidRPr="00395DEF">
        <w:rPr>
          <w:rFonts w:ascii="Arial" w:hAnsi="Arial"/>
          <w:bCs/>
          <w:sz w:val="24"/>
          <w:szCs w:val="24"/>
          <w:lang w:val="de-DE"/>
        </w:rPr>
        <w:t xml:space="preserve"> Respondent</w:t>
      </w:r>
    </w:p>
    <w:bookmarkEnd w:id="1"/>
    <w:p w:rsidR="00DA1133" w:rsidRPr="00791D00" w:rsidRDefault="003D6D76" w:rsidP="003D6D76">
      <w:pPr>
        <w:pStyle w:val="Body"/>
        <w:tabs>
          <w:tab w:val="right" w:pos="9026"/>
        </w:tabs>
        <w:spacing w:after="0" w:line="360" w:lineRule="auto"/>
        <w:jc w:val="both"/>
        <w:rPr>
          <w:rFonts w:ascii="Arial" w:hAnsi="Arial"/>
          <w:b/>
          <w:color w:val="C00000"/>
          <w:sz w:val="24"/>
          <w:szCs w:val="24"/>
          <w:lang w:val="de-DE"/>
        </w:rPr>
      </w:pPr>
      <w:r w:rsidRPr="00590976">
        <w:rPr>
          <w:rFonts w:ascii="Arial" w:hAnsi="Arial"/>
          <w:b/>
          <w:color w:val="auto"/>
          <w:sz w:val="24"/>
          <w:szCs w:val="24"/>
          <w:lang w:val="de-DE"/>
        </w:rPr>
        <w:t>ZANI</w:t>
      </w:r>
      <w:r w:rsidR="00835EC0" w:rsidRPr="00590976">
        <w:rPr>
          <w:rFonts w:ascii="Arial" w:hAnsi="Arial"/>
          <w:b/>
          <w:color w:val="auto"/>
          <w:sz w:val="24"/>
          <w:szCs w:val="24"/>
          <w:lang w:val="de-DE"/>
        </w:rPr>
        <w:t>A</w:t>
      </w:r>
      <w:r>
        <w:rPr>
          <w:rFonts w:ascii="Arial" w:hAnsi="Arial"/>
          <w:b/>
          <w:sz w:val="24"/>
          <w:szCs w:val="24"/>
          <w:lang w:val="de-DE"/>
        </w:rPr>
        <w:t xml:space="preserve"> HARTMAN N.O.</w:t>
      </w:r>
      <w:r w:rsidR="00DA1133">
        <w:rPr>
          <w:rFonts w:ascii="Arial" w:hAnsi="Arial"/>
          <w:b/>
          <w:sz w:val="24"/>
          <w:szCs w:val="24"/>
          <w:lang w:val="de-DE"/>
        </w:rPr>
        <w:t xml:space="preserve">                                                  </w:t>
      </w:r>
      <w:r>
        <w:rPr>
          <w:rFonts w:ascii="Arial" w:hAnsi="Arial"/>
          <w:b/>
          <w:sz w:val="24"/>
          <w:szCs w:val="24"/>
          <w:lang w:val="de-DE"/>
        </w:rPr>
        <w:tab/>
      </w:r>
      <w:r>
        <w:rPr>
          <w:rFonts w:ascii="Arial" w:hAnsi="Arial"/>
          <w:sz w:val="24"/>
          <w:szCs w:val="24"/>
          <w:lang w:val="de-DE"/>
        </w:rPr>
        <w:t>Third Respondent</w:t>
      </w:r>
    </w:p>
    <w:p w:rsidR="009243B0" w:rsidRPr="003D6D76" w:rsidRDefault="009243B0" w:rsidP="00DA113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sz w:val="24"/>
          <w:szCs w:val="24"/>
        </w:rPr>
      </w:pPr>
      <w:r w:rsidRPr="003D6D76">
        <w:rPr>
          <w:rFonts w:ascii="Arial" w:hAnsi="Arial" w:cs="Arial"/>
          <w:noProof/>
          <w:sz w:val="24"/>
          <w:szCs w:val="24"/>
          <w:lang w:val="en-US"/>
        </w:rPr>
        <mc:AlternateContent>
          <mc:Choice Requires="wps">
            <w:drawing>
              <wp:inline distT="0" distB="0" distL="0" distR="0" wp14:anchorId="10B8170B" wp14:editId="0158B36D">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27B8F05"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9243B0" w:rsidRPr="003D6D76" w:rsidRDefault="009243B0" w:rsidP="009243B0">
      <w:pPr>
        <w:spacing w:before="240" w:line="276" w:lineRule="auto"/>
        <w:jc w:val="both"/>
        <w:rPr>
          <w:rFonts w:ascii="Arial" w:hAnsi="Arial" w:cs="Arial"/>
          <w:sz w:val="24"/>
          <w:szCs w:val="24"/>
        </w:rPr>
      </w:pPr>
      <w:r w:rsidRPr="003D6D76">
        <w:rPr>
          <w:rFonts w:ascii="Arial" w:hAnsi="Arial" w:cs="Arial"/>
          <w:b/>
          <w:sz w:val="24"/>
          <w:szCs w:val="24"/>
          <w:u w:val="single"/>
        </w:rPr>
        <w:t>CORAM:</w:t>
      </w:r>
      <w:r w:rsidRPr="003D6D76">
        <w:rPr>
          <w:rFonts w:ascii="Arial" w:hAnsi="Arial" w:cs="Arial"/>
          <w:sz w:val="24"/>
          <w:szCs w:val="24"/>
        </w:rPr>
        <w:tab/>
      </w:r>
      <w:r w:rsidRPr="003D6D76">
        <w:rPr>
          <w:rFonts w:ascii="Arial" w:hAnsi="Arial" w:cs="Arial"/>
          <w:sz w:val="24"/>
          <w:szCs w:val="24"/>
        </w:rPr>
        <w:tab/>
      </w:r>
      <w:r w:rsidR="003D6D76">
        <w:rPr>
          <w:rFonts w:ascii="Arial" w:hAnsi="Arial" w:cs="Arial"/>
          <w:sz w:val="24"/>
          <w:szCs w:val="24"/>
        </w:rPr>
        <w:tab/>
        <w:t xml:space="preserve">MUSI, JP </w:t>
      </w:r>
      <w:r w:rsidRPr="003D6D76">
        <w:rPr>
          <w:rFonts w:ascii="Arial" w:hAnsi="Arial" w:cs="Arial"/>
          <w:i/>
          <w:sz w:val="24"/>
          <w:szCs w:val="24"/>
        </w:rPr>
        <w:t>et</w:t>
      </w:r>
      <w:r w:rsidRPr="003D6D76">
        <w:rPr>
          <w:rFonts w:ascii="Arial" w:hAnsi="Arial" w:cs="Arial"/>
          <w:sz w:val="24"/>
          <w:szCs w:val="24"/>
        </w:rPr>
        <w:t xml:space="preserve"> </w:t>
      </w:r>
      <w:r w:rsidR="003D6D76">
        <w:rPr>
          <w:rFonts w:ascii="Arial" w:hAnsi="Arial" w:cs="Arial"/>
          <w:sz w:val="24"/>
          <w:szCs w:val="24"/>
        </w:rPr>
        <w:t xml:space="preserve">OPPERMAN, J </w:t>
      </w:r>
      <w:r w:rsidR="003D6D76" w:rsidRPr="003D6D76">
        <w:rPr>
          <w:rFonts w:ascii="Arial" w:hAnsi="Arial" w:cs="Arial"/>
          <w:i/>
          <w:sz w:val="24"/>
          <w:szCs w:val="24"/>
        </w:rPr>
        <w:t>et</w:t>
      </w:r>
      <w:r w:rsidR="003D6D76">
        <w:rPr>
          <w:rFonts w:ascii="Arial" w:hAnsi="Arial" w:cs="Arial"/>
          <w:sz w:val="24"/>
          <w:szCs w:val="24"/>
        </w:rPr>
        <w:t xml:space="preserve"> DANISO, J</w:t>
      </w:r>
    </w:p>
    <w:p w:rsidR="009243B0" w:rsidRPr="003D6D76" w:rsidRDefault="009243B0" w:rsidP="009243B0">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3D6D76">
        <w:rPr>
          <w:rFonts w:ascii="Arial" w:hAnsi="Arial" w:cs="Arial"/>
          <w:noProof/>
          <w:sz w:val="24"/>
          <w:szCs w:val="24"/>
          <w:lang w:eastAsia="en-US"/>
        </w:rPr>
        <mc:AlternateContent>
          <mc:Choice Requires="wps">
            <w:drawing>
              <wp:inline distT="0" distB="0" distL="0" distR="0" wp14:anchorId="42E81971" wp14:editId="5D24CA68">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1224A7D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9243B0" w:rsidRPr="003D6D76" w:rsidRDefault="009243B0" w:rsidP="009243B0">
      <w:pPr>
        <w:spacing w:before="240" w:line="276" w:lineRule="auto"/>
        <w:jc w:val="both"/>
        <w:rPr>
          <w:rFonts w:ascii="Arial" w:hAnsi="Arial" w:cs="Arial"/>
          <w:sz w:val="24"/>
          <w:szCs w:val="24"/>
        </w:rPr>
      </w:pPr>
      <w:r w:rsidRPr="003D6D76">
        <w:rPr>
          <w:rFonts w:ascii="Arial" w:hAnsi="Arial" w:cs="Arial"/>
          <w:b/>
          <w:sz w:val="24"/>
          <w:szCs w:val="24"/>
          <w:u w:val="single"/>
        </w:rPr>
        <w:t>HEARD ON:</w:t>
      </w:r>
      <w:r w:rsidRPr="003D6D76">
        <w:rPr>
          <w:rFonts w:ascii="Arial" w:hAnsi="Arial" w:cs="Arial"/>
          <w:sz w:val="24"/>
          <w:szCs w:val="24"/>
        </w:rPr>
        <w:tab/>
      </w:r>
      <w:r w:rsidRPr="003D6D76">
        <w:rPr>
          <w:rFonts w:ascii="Arial" w:hAnsi="Arial" w:cs="Arial"/>
          <w:sz w:val="24"/>
          <w:szCs w:val="24"/>
        </w:rPr>
        <w:tab/>
      </w:r>
      <w:r w:rsidR="003D6D76">
        <w:rPr>
          <w:rFonts w:ascii="Arial" w:hAnsi="Arial" w:cs="Arial"/>
          <w:sz w:val="24"/>
          <w:szCs w:val="24"/>
        </w:rPr>
        <w:tab/>
        <w:t xml:space="preserve">11 SEPTEMBER </w:t>
      </w:r>
      <w:r w:rsidRPr="003D6D76">
        <w:rPr>
          <w:rFonts w:ascii="Arial" w:hAnsi="Arial" w:cs="Arial"/>
          <w:sz w:val="24"/>
          <w:szCs w:val="24"/>
        </w:rPr>
        <w:t>202</w:t>
      </w:r>
      <w:r w:rsidR="003D6D76">
        <w:rPr>
          <w:rFonts w:ascii="Arial" w:hAnsi="Arial" w:cs="Arial"/>
          <w:sz w:val="24"/>
          <w:szCs w:val="24"/>
        </w:rPr>
        <w:t>3</w:t>
      </w:r>
      <w:r w:rsidRPr="003D6D76">
        <w:rPr>
          <w:rFonts w:ascii="Arial" w:hAnsi="Arial" w:cs="Arial"/>
          <w:sz w:val="24"/>
          <w:szCs w:val="24"/>
        </w:rPr>
        <w:tab/>
      </w:r>
    </w:p>
    <w:p w:rsidR="009243B0" w:rsidRPr="003D6D76" w:rsidRDefault="009243B0" w:rsidP="009243B0">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3D6D76">
        <w:rPr>
          <w:rFonts w:ascii="Arial" w:hAnsi="Arial" w:cs="Arial"/>
          <w:noProof/>
          <w:sz w:val="24"/>
          <w:szCs w:val="24"/>
          <w:lang w:eastAsia="en-US"/>
        </w:rPr>
        <mc:AlternateContent>
          <mc:Choice Requires="wps">
            <w:drawing>
              <wp:inline distT="0" distB="0" distL="0" distR="0" wp14:anchorId="6775F296" wp14:editId="32E85988">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0C79AD2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9243B0" w:rsidRPr="003D6D76" w:rsidRDefault="009243B0" w:rsidP="009243B0">
      <w:pPr>
        <w:spacing w:before="240" w:line="276" w:lineRule="auto"/>
        <w:jc w:val="both"/>
        <w:rPr>
          <w:rFonts w:ascii="Arial" w:hAnsi="Arial" w:cs="Arial"/>
          <w:sz w:val="24"/>
          <w:szCs w:val="24"/>
        </w:rPr>
      </w:pPr>
      <w:r w:rsidRPr="003D6D76">
        <w:rPr>
          <w:rFonts w:ascii="Arial" w:hAnsi="Arial" w:cs="Arial"/>
          <w:b/>
          <w:sz w:val="24"/>
          <w:szCs w:val="24"/>
          <w:u w:val="single"/>
        </w:rPr>
        <w:t>DELIVERED ON:</w:t>
      </w:r>
      <w:r w:rsidRPr="003D6D76">
        <w:rPr>
          <w:rFonts w:ascii="Arial" w:hAnsi="Arial" w:cs="Arial"/>
          <w:b/>
          <w:sz w:val="24"/>
          <w:szCs w:val="24"/>
        </w:rPr>
        <w:tab/>
      </w:r>
      <w:r w:rsidRPr="003D6D76">
        <w:rPr>
          <w:rFonts w:ascii="Arial" w:hAnsi="Arial" w:cs="Arial"/>
          <w:sz w:val="24"/>
          <w:szCs w:val="24"/>
        </w:rPr>
        <w:tab/>
      </w:r>
      <w:r w:rsidR="006A395B">
        <w:rPr>
          <w:rFonts w:ascii="Arial" w:hAnsi="Arial" w:cs="Arial"/>
          <w:sz w:val="24"/>
          <w:szCs w:val="24"/>
        </w:rPr>
        <w:t>12 OCTOBER 2023</w:t>
      </w:r>
    </w:p>
    <w:p w:rsidR="009243B0" w:rsidRPr="003D6D76" w:rsidRDefault="009243B0" w:rsidP="009243B0">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3D6D76">
        <w:rPr>
          <w:rFonts w:ascii="Arial" w:hAnsi="Arial" w:cs="Arial"/>
          <w:noProof/>
          <w:sz w:val="24"/>
          <w:szCs w:val="24"/>
          <w:lang w:eastAsia="en-US"/>
        </w:rPr>
        <mc:AlternateContent>
          <mc:Choice Requires="wps">
            <w:drawing>
              <wp:inline distT="0" distB="0" distL="0" distR="0" wp14:anchorId="16BF859C" wp14:editId="4C7564EC">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5F09AEB"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9243B0" w:rsidRPr="003D6D76" w:rsidRDefault="009243B0" w:rsidP="009243B0">
      <w:pPr>
        <w:spacing w:before="240" w:line="276" w:lineRule="auto"/>
        <w:jc w:val="both"/>
        <w:rPr>
          <w:rFonts w:ascii="Arial" w:hAnsi="Arial" w:cs="Arial"/>
          <w:sz w:val="24"/>
          <w:szCs w:val="24"/>
        </w:rPr>
      </w:pPr>
      <w:r w:rsidRPr="003D6D76">
        <w:rPr>
          <w:rFonts w:ascii="Arial" w:hAnsi="Arial" w:cs="Arial"/>
          <w:b/>
          <w:sz w:val="24"/>
          <w:szCs w:val="24"/>
          <w:u w:val="single"/>
        </w:rPr>
        <w:t>JUDGMENT BY:</w:t>
      </w:r>
      <w:r w:rsidRPr="003D6D76">
        <w:rPr>
          <w:rFonts w:ascii="Arial" w:hAnsi="Arial" w:cs="Arial"/>
          <w:b/>
          <w:sz w:val="24"/>
          <w:szCs w:val="24"/>
        </w:rPr>
        <w:tab/>
      </w:r>
      <w:r w:rsidR="003D6D76">
        <w:rPr>
          <w:rFonts w:ascii="Arial" w:hAnsi="Arial" w:cs="Arial"/>
          <w:b/>
          <w:sz w:val="24"/>
          <w:szCs w:val="24"/>
        </w:rPr>
        <w:tab/>
      </w:r>
      <w:r w:rsidR="003D6D76">
        <w:rPr>
          <w:rFonts w:ascii="Arial" w:hAnsi="Arial" w:cs="Arial"/>
          <w:sz w:val="24"/>
          <w:szCs w:val="24"/>
        </w:rPr>
        <w:t>MUSI, JP</w:t>
      </w:r>
      <w:r w:rsidRPr="003D6D76">
        <w:rPr>
          <w:rFonts w:ascii="Arial" w:hAnsi="Arial" w:cs="Arial"/>
          <w:sz w:val="24"/>
          <w:szCs w:val="24"/>
        </w:rPr>
        <w:tab/>
      </w:r>
    </w:p>
    <w:p w:rsidR="009243B0" w:rsidRDefault="009243B0" w:rsidP="009243B0">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4EAD94DD" wp14:editId="7434C809">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2D442D6B"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BA60B5" w:rsidRPr="009243B0" w:rsidRDefault="00A26CF6" w:rsidP="009243B0">
      <w:pPr>
        <w:spacing w:line="360" w:lineRule="auto"/>
        <w:jc w:val="both"/>
        <w:rPr>
          <w:rFonts w:ascii="Arial" w:hAnsi="Arial" w:cs="Arial"/>
          <w:sz w:val="24"/>
          <w:szCs w:val="24"/>
          <w:lang w:val="en-ZA"/>
        </w:rPr>
      </w:pPr>
      <w:r w:rsidRPr="009243B0">
        <w:rPr>
          <w:rFonts w:ascii="Arial" w:hAnsi="Arial" w:cs="Arial"/>
          <w:sz w:val="24"/>
          <w:szCs w:val="24"/>
          <w:lang w:val="en-ZA"/>
        </w:rPr>
        <w:lastRenderedPageBreak/>
        <w:t>Judgment</w:t>
      </w:r>
    </w:p>
    <w:p w:rsidR="003D6D76"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00A26CF6" w:rsidRPr="009243B0">
        <w:rPr>
          <w:rFonts w:ascii="Arial" w:hAnsi="Arial" w:cs="Arial"/>
          <w:sz w:val="24"/>
          <w:szCs w:val="24"/>
          <w:lang w:val="en-ZA"/>
        </w:rPr>
        <w:t>This is an appeal against an order of a single Judge of this Division. The</w:t>
      </w:r>
      <w:r w:rsidR="00D45A86">
        <w:rPr>
          <w:rFonts w:ascii="Arial" w:hAnsi="Arial" w:cs="Arial"/>
          <w:sz w:val="24"/>
          <w:szCs w:val="24"/>
          <w:lang w:val="en-ZA"/>
        </w:rPr>
        <w:t xml:space="preserve"> court </w:t>
      </w:r>
      <w:r w:rsidR="00D45A86" w:rsidRPr="00101923">
        <w:rPr>
          <w:rFonts w:ascii="Arial" w:hAnsi="Arial" w:cs="Arial"/>
          <w:i/>
          <w:sz w:val="24"/>
          <w:szCs w:val="24"/>
          <w:lang w:val="en-ZA"/>
        </w:rPr>
        <w:t>a quo</w:t>
      </w:r>
      <w:r w:rsidR="00D45A86">
        <w:rPr>
          <w:rFonts w:ascii="Arial" w:hAnsi="Arial" w:cs="Arial"/>
          <w:sz w:val="24"/>
          <w:szCs w:val="24"/>
          <w:lang w:val="en-ZA"/>
        </w:rPr>
        <w:t xml:space="preserve"> dismissed the appellants’</w:t>
      </w:r>
      <w:r w:rsidR="00A26CF6" w:rsidRPr="009243B0">
        <w:rPr>
          <w:rFonts w:ascii="Arial" w:hAnsi="Arial" w:cs="Arial"/>
          <w:sz w:val="24"/>
          <w:szCs w:val="24"/>
          <w:lang w:val="en-ZA"/>
        </w:rPr>
        <w:t xml:space="preserve"> (White Linen Laundry Trust</w:t>
      </w:r>
      <w:r w:rsidR="00D45A86">
        <w:rPr>
          <w:rFonts w:ascii="Arial" w:hAnsi="Arial" w:cs="Arial"/>
          <w:sz w:val="24"/>
          <w:szCs w:val="24"/>
          <w:lang w:val="en-ZA"/>
        </w:rPr>
        <w:t xml:space="preserve"> (WLLT) and its trustees</w:t>
      </w:r>
      <w:r w:rsidR="00A26CF6" w:rsidRPr="009243B0">
        <w:rPr>
          <w:rFonts w:ascii="Arial" w:hAnsi="Arial" w:cs="Arial"/>
          <w:sz w:val="24"/>
          <w:szCs w:val="24"/>
          <w:lang w:val="en-ZA"/>
        </w:rPr>
        <w:t xml:space="preserve">) condonation and rescission of judgment applications. </w:t>
      </w:r>
      <w:r w:rsidR="00D45A86">
        <w:rPr>
          <w:rFonts w:ascii="Arial" w:hAnsi="Arial" w:cs="Arial"/>
          <w:sz w:val="24"/>
          <w:szCs w:val="24"/>
          <w:lang w:val="en-ZA"/>
        </w:rPr>
        <w:t>It subsequently dismissed their application for leave to appeal.</w:t>
      </w:r>
      <w:r w:rsidR="008D3266">
        <w:rPr>
          <w:rFonts w:ascii="Arial" w:hAnsi="Arial" w:cs="Arial"/>
          <w:sz w:val="24"/>
          <w:szCs w:val="24"/>
          <w:lang w:val="en-ZA"/>
        </w:rPr>
        <w:t xml:space="preserve"> They successfully petitioned the Supreme Court of Appeal.</w:t>
      </w:r>
      <w:r w:rsidR="00D45A86">
        <w:rPr>
          <w:rFonts w:ascii="Arial" w:hAnsi="Arial" w:cs="Arial"/>
          <w:sz w:val="24"/>
          <w:szCs w:val="24"/>
          <w:lang w:val="en-ZA"/>
        </w:rPr>
        <w:t xml:space="preserve"> </w:t>
      </w:r>
      <w:r w:rsidR="00A26CF6" w:rsidRPr="009243B0">
        <w:rPr>
          <w:rFonts w:ascii="Arial" w:hAnsi="Arial" w:cs="Arial"/>
          <w:sz w:val="24"/>
          <w:szCs w:val="24"/>
          <w:lang w:val="en-ZA"/>
        </w:rPr>
        <w:t>The appeal is with the leave of the Supreme Court of Appeal.</w:t>
      </w:r>
    </w:p>
    <w:p w:rsidR="00A26CF6" w:rsidRPr="009243B0" w:rsidRDefault="00A26CF6" w:rsidP="003D6D76">
      <w:pPr>
        <w:spacing w:after="0" w:line="360" w:lineRule="auto"/>
        <w:ind w:left="720" w:hanging="720"/>
        <w:jc w:val="both"/>
        <w:rPr>
          <w:rFonts w:ascii="Arial" w:hAnsi="Arial" w:cs="Arial"/>
          <w:sz w:val="24"/>
          <w:szCs w:val="24"/>
          <w:lang w:val="en-ZA"/>
        </w:rPr>
      </w:pPr>
      <w:r w:rsidRPr="009243B0">
        <w:rPr>
          <w:rFonts w:ascii="Arial" w:hAnsi="Arial" w:cs="Arial"/>
          <w:sz w:val="24"/>
          <w:szCs w:val="24"/>
          <w:lang w:val="en-ZA"/>
        </w:rPr>
        <w:t xml:space="preserve">  </w:t>
      </w:r>
    </w:p>
    <w:p w:rsidR="002623D5"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sidR="00A26CF6" w:rsidRPr="009243B0">
        <w:rPr>
          <w:rFonts w:ascii="Arial" w:hAnsi="Arial" w:cs="Arial"/>
          <w:sz w:val="24"/>
          <w:szCs w:val="24"/>
          <w:lang w:val="en-ZA"/>
        </w:rPr>
        <w:t>On 30 September 2020, the respondent (</w:t>
      </w:r>
      <w:proofErr w:type="spellStart"/>
      <w:r w:rsidR="00A26CF6" w:rsidRPr="009243B0">
        <w:rPr>
          <w:rFonts w:ascii="Arial" w:hAnsi="Arial" w:cs="Arial"/>
          <w:sz w:val="24"/>
          <w:szCs w:val="24"/>
          <w:lang w:val="en-ZA"/>
        </w:rPr>
        <w:t>Louriella</w:t>
      </w:r>
      <w:proofErr w:type="spellEnd"/>
      <w:r w:rsidR="00A26CF6" w:rsidRPr="009243B0">
        <w:rPr>
          <w:rFonts w:ascii="Arial" w:hAnsi="Arial" w:cs="Arial"/>
          <w:sz w:val="24"/>
          <w:szCs w:val="24"/>
          <w:lang w:val="en-ZA"/>
        </w:rPr>
        <w:t xml:space="preserve"> Trust) issued summons ag</w:t>
      </w:r>
      <w:r w:rsidR="00D45A86">
        <w:rPr>
          <w:rFonts w:ascii="Arial" w:hAnsi="Arial" w:cs="Arial"/>
          <w:sz w:val="24"/>
          <w:szCs w:val="24"/>
          <w:lang w:val="en-ZA"/>
        </w:rPr>
        <w:t xml:space="preserve">ainst the </w:t>
      </w:r>
      <w:r w:rsidR="002E13E5">
        <w:rPr>
          <w:rFonts w:ascii="Arial" w:hAnsi="Arial" w:cs="Arial"/>
          <w:sz w:val="24"/>
          <w:szCs w:val="24"/>
          <w:lang w:val="en-ZA"/>
        </w:rPr>
        <w:t>WLLT</w:t>
      </w:r>
      <w:r w:rsidR="00D45A86">
        <w:rPr>
          <w:rFonts w:ascii="Arial" w:hAnsi="Arial" w:cs="Arial"/>
          <w:sz w:val="24"/>
          <w:szCs w:val="24"/>
          <w:lang w:val="en-ZA"/>
        </w:rPr>
        <w:t xml:space="preserve"> and </w:t>
      </w:r>
      <w:r w:rsidR="00A26CF6" w:rsidRPr="009243B0">
        <w:rPr>
          <w:rFonts w:ascii="Arial" w:hAnsi="Arial" w:cs="Arial"/>
          <w:sz w:val="24"/>
          <w:szCs w:val="24"/>
          <w:lang w:val="en-ZA"/>
        </w:rPr>
        <w:t>its trustees</w:t>
      </w:r>
      <w:r w:rsidR="007C408E" w:rsidRPr="009243B0">
        <w:rPr>
          <w:rFonts w:ascii="Arial" w:hAnsi="Arial" w:cs="Arial"/>
          <w:sz w:val="24"/>
          <w:szCs w:val="24"/>
          <w:lang w:val="en-ZA"/>
        </w:rPr>
        <w:t>, in their personal capacities in terms of suretyship agreements in which they bound themselves as surety and co-pr</w:t>
      </w:r>
      <w:r w:rsidR="00E461F8">
        <w:rPr>
          <w:rFonts w:ascii="Arial" w:hAnsi="Arial" w:cs="Arial"/>
          <w:sz w:val="24"/>
          <w:szCs w:val="24"/>
          <w:lang w:val="en-ZA"/>
        </w:rPr>
        <w:t>incipal debtors of the WLLT</w:t>
      </w:r>
      <w:r w:rsidR="007C408E" w:rsidRPr="009243B0">
        <w:rPr>
          <w:rFonts w:ascii="Arial" w:hAnsi="Arial" w:cs="Arial"/>
          <w:sz w:val="24"/>
          <w:szCs w:val="24"/>
          <w:lang w:val="en-ZA"/>
        </w:rPr>
        <w:t>.</w:t>
      </w:r>
    </w:p>
    <w:p w:rsidR="003D6D76" w:rsidRPr="009243B0" w:rsidRDefault="003D6D76" w:rsidP="003D6D76">
      <w:pPr>
        <w:spacing w:after="0" w:line="360" w:lineRule="auto"/>
        <w:ind w:left="720" w:hanging="720"/>
        <w:jc w:val="both"/>
        <w:rPr>
          <w:rFonts w:ascii="Arial" w:hAnsi="Arial" w:cs="Arial"/>
          <w:sz w:val="24"/>
          <w:szCs w:val="24"/>
          <w:lang w:val="en-ZA"/>
        </w:rPr>
      </w:pPr>
    </w:p>
    <w:p w:rsidR="003D6D76"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002623D5" w:rsidRPr="009243B0">
        <w:rPr>
          <w:rFonts w:ascii="Arial" w:hAnsi="Arial" w:cs="Arial"/>
          <w:sz w:val="24"/>
          <w:szCs w:val="24"/>
          <w:lang w:val="en-ZA"/>
        </w:rPr>
        <w:t>During September 2016</w:t>
      </w:r>
      <w:r w:rsidR="00E461F8">
        <w:rPr>
          <w:rFonts w:ascii="Arial" w:hAnsi="Arial" w:cs="Arial"/>
          <w:sz w:val="24"/>
          <w:szCs w:val="24"/>
          <w:lang w:val="en-ZA"/>
        </w:rPr>
        <w:t>,</w:t>
      </w:r>
      <w:r w:rsidR="002623D5" w:rsidRPr="009243B0">
        <w:rPr>
          <w:rFonts w:ascii="Arial" w:hAnsi="Arial" w:cs="Arial"/>
          <w:sz w:val="24"/>
          <w:szCs w:val="24"/>
          <w:lang w:val="en-ZA"/>
        </w:rPr>
        <w:t xml:space="preserve"> the executor of the estate of the late Alfred Robert Do </w:t>
      </w:r>
      <w:proofErr w:type="spellStart"/>
      <w:r w:rsidR="002623D5" w:rsidRPr="009243B0">
        <w:rPr>
          <w:rFonts w:ascii="Arial" w:hAnsi="Arial" w:cs="Arial"/>
          <w:sz w:val="24"/>
          <w:szCs w:val="24"/>
          <w:lang w:val="en-ZA"/>
        </w:rPr>
        <w:t>Rego</w:t>
      </w:r>
      <w:proofErr w:type="spellEnd"/>
      <w:r w:rsidR="002623D5" w:rsidRPr="009243B0">
        <w:rPr>
          <w:rFonts w:ascii="Arial" w:hAnsi="Arial" w:cs="Arial"/>
          <w:sz w:val="24"/>
          <w:szCs w:val="24"/>
          <w:lang w:val="en-ZA"/>
        </w:rPr>
        <w:t xml:space="preserve"> sold the property known</w:t>
      </w:r>
      <w:r w:rsidR="00590976">
        <w:rPr>
          <w:rFonts w:ascii="Arial" w:hAnsi="Arial" w:cs="Arial"/>
          <w:sz w:val="24"/>
          <w:szCs w:val="24"/>
          <w:lang w:val="en-ZA"/>
        </w:rPr>
        <w:t xml:space="preserve"> as </w:t>
      </w:r>
      <w:r w:rsidR="004D0D6E" w:rsidRPr="009243B0">
        <w:rPr>
          <w:rFonts w:ascii="Arial" w:hAnsi="Arial" w:cs="Arial"/>
          <w:sz w:val="24"/>
          <w:szCs w:val="24"/>
          <w:lang w:val="en-ZA"/>
        </w:rPr>
        <w:t xml:space="preserve">Portion 16 of Erf 946 also known </w:t>
      </w:r>
      <w:r w:rsidR="002623D5" w:rsidRPr="009243B0">
        <w:rPr>
          <w:rFonts w:ascii="Arial" w:hAnsi="Arial" w:cs="Arial"/>
          <w:sz w:val="24"/>
          <w:szCs w:val="24"/>
          <w:lang w:val="en-ZA"/>
        </w:rPr>
        <w:t xml:space="preserve">as Tattersall Building 55 and 57 East Burger Street, Bloemfontein to the respondent. At that time, there was already a valid lease agreement </w:t>
      </w:r>
      <w:r w:rsidR="00E461F8">
        <w:rPr>
          <w:rFonts w:ascii="Arial" w:hAnsi="Arial" w:cs="Arial"/>
          <w:sz w:val="24"/>
          <w:szCs w:val="24"/>
          <w:lang w:val="en-ZA"/>
        </w:rPr>
        <w:t xml:space="preserve">entered into on 1 November 2015 </w:t>
      </w:r>
      <w:r w:rsidR="002623D5" w:rsidRPr="009243B0">
        <w:rPr>
          <w:rFonts w:ascii="Arial" w:hAnsi="Arial" w:cs="Arial"/>
          <w:sz w:val="24"/>
          <w:szCs w:val="24"/>
          <w:lang w:val="en-ZA"/>
        </w:rPr>
        <w:t xml:space="preserve">between Carlos </w:t>
      </w:r>
      <w:proofErr w:type="spellStart"/>
      <w:r w:rsidR="002623D5" w:rsidRPr="009243B0">
        <w:rPr>
          <w:rFonts w:ascii="Arial" w:hAnsi="Arial" w:cs="Arial"/>
          <w:sz w:val="24"/>
          <w:szCs w:val="24"/>
          <w:lang w:val="en-ZA"/>
        </w:rPr>
        <w:t>Nunes</w:t>
      </w:r>
      <w:proofErr w:type="spellEnd"/>
      <w:r w:rsidR="002623D5" w:rsidRPr="009243B0">
        <w:rPr>
          <w:rFonts w:ascii="Arial" w:hAnsi="Arial" w:cs="Arial"/>
          <w:sz w:val="24"/>
          <w:szCs w:val="24"/>
          <w:lang w:val="en-ZA"/>
        </w:rPr>
        <w:t xml:space="preserve"> CC </w:t>
      </w:r>
      <w:r w:rsidR="00E461F8">
        <w:rPr>
          <w:rFonts w:ascii="Arial" w:hAnsi="Arial" w:cs="Arial"/>
          <w:sz w:val="24"/>
          <w:szCs w:val="24"/>
          <w:lang w:val="en-ZA"/>
        </w:rPr>
        <w:t xml:space="preserve">(CC) </w:t>
      </w:r>
      <w:r w:rsidR="002623D5" w:rsidRPr="009243B0">
        <w:rPr>
          <w:rFonts w:ascii="Arial" w:hAnsi="Arial" w:cs="Arial"/>
          <w:sz w:val="24"/>
          <w:szCs w:val="24"/>
          <w:lang w:val="en-ZA"/>
        </w:rPr>
        <w:t xml:space="preserve">and Yvonne </w:t>
      </w:r>
      <w:proofErr w:type="spellStart"/>
      <w:r w:rsidR="002623D5" w:rsidRPr="009243B0">
        <w:rPr>
          <w:rFonts w:ascii="Arial" w:hAnsi="Arial" w:cs="Arial"/>
          <w:sz w:val="24"/>
          <w:szCs w:val="24"/>
          <w:lang w:val="en-ZA"/>
        </w:rPr>
        <w:t>Barendse</w:t>
      </w:r>
      <w:proofErr w:type="spellEnd"/>
      <w:r w:rsidR="00E461F8">
        <w:rPr>
          <w:rFonts w:ascii="Arial" w:hAnsi="Arial" w:cs="Arial"/>
          <w:sz w:val="24"/>
          <w:szCs w:val="24"/>
          <w:lang w:val="en-ZA"/>
        </w:rPr>
        <w:t xml:space="preserve"> (</w:t>
      </w:r>
      <w:proofErr w:type="spellStart"/>
      <w:r w:rsidR="00E461F8">
        <w:rPr>
          <w:rFonts w:ascii="Arial" w:hAnsi="Arial" w:cs="Arial"/>
          <w:sz w:val="24"/>
          <w:szCs w:val="24"/>
          <w:lang w:val="en-ZA"/>
        </w:rPr>
        <w:t>Barendse</w:t>
      </w:r>
      <w:proofErr w:type="spellEnd"/>
      <w:r w:rsidR="00E461F8">
        <w:rPr>
          <w:rFonts w:ascii="Arial" w:hAnsi="Arial" w:cs="Arial"/>
          <w:sz w:val="24"/>
          <w:szCs w:val="24"/>
          <w:lang w:val="en-ZA"/>
        </w:rPr>
        <w:t xml:space="preserve">) and the WLLT </w:t>
      </w:r>
      <w:r w:rsidR="004D0D6E" w:rsidRPr="009243B0">
        <w:rPr>
          <w:rFonts w:ascii="Arial" w:hAnsi="Arial" w:cs="Arial"/>
          <w:sz w:val="24"/>
          <w:szCs w:val="24"/>
          <w:lang w:val="en-ZA"/>
        </w:rPr>
        <w:t>in respect of the property described as Portion 16 of Erf 946 situated at 53 East Burger Street, Bloemfontein.</w:t>
      </w:r>
      <w:r w:rsidR="00983603" w:rsidRPr="009243B0">
        <w:rPr>
          <w:rStyle w:val="FootnoteReference"/>
          <w:rFonts w:ascii="Arial" w:hAnsi="Arial" w:cs="Arial"/>
          <w:sz w:val="24"/>
          <w:szCs w:val="24"/>
          <w:lang w:val="en-ZA"/>
        </w:rPr>
        <w:footnoteReference w:id="1"/>
      </w:r>
    </w:p>
    <w:p w:rsidR="004D0D6E" w:rsidRPr="009243B0" w:rsidRDefault="002623D5" w:rsidP="003D6D76">
      <w:pPr>
        <w:spacing w:after="0" w:line="360" w:lineRule="auto"/>
        <w:ind w:left="720" w:hanging="720"/>
        <w:jc w:val="both"/>
        <w:rPr>
          <w:rFonts w:ascii="Arial" w:hAnsi="Arial" w:cs="Arial"/>
          <w:sz w:val="24"/>
          <w:szCs w:val="24"/>
          <w:lang w:val="en-ZA"/>
        </w:rPr>
      </w:pPr>
      <w:r w:rsidRPr="009243B0">
        <w:rPr>
          <w:rFonts w:ascii="Arial" w:hAnsi="Arial" w:cs="Arial"/>
          <w:sz w:val="24"/>
          <w:szCs w:val="24"/>
          <w:lang w:val="en-ZA"/>
        </w:rPr>
        <w:t xml:space="preserve"> </w:t>
      </w:r>
      <w:r w:rsidR="007C408E" w:rsidRPr="009243B0">
        <w:rPr>
          <w:rFonts w:ascii="Arial" w:hAnsi="Arial" w:cs="Arial"/>
          <w:sz w:val="24"/>
          <w:szCs w:val="24"/>
          <w:lang w:val="en-ZA"/>
        </w:rPr>
        <w:t xml:space="preserve">   </w:t>
      </w:r>
      <w:r w:rsidR="00A26CF6" w:rsidRPr="009243B0">
        <w:rPr>
          <w:rFonts w:ascii="Arial" w:hAnsi="Arial" w:cs="Arial"/>
          <w:sz w:val="24"/>
          <w:szCs w:val="24"/>
          <w:lang w:val="en-ZA"/>
        </w:rPr>
        <w:t xml:space="preserve"> </w:t>
      </w:r>
    </w:p>
    <w:p w:rsidR="003D6D76"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r>
      <w:r w:rsidR="004D0D6E" w:rsidRPr="009243B0">
        <w:rPr>
          <w:rFonts w:ascii="Arial" w:hAnsi="Arial" w:cs="Arial"/>
          <w:sz w:val="24"/>
          <w:szCs w:val="24"/>
          <w:lang w:val="en-ZA"/>
        </w:rPr>
        <w:t xml:space="preserve">In terms of the </w:t>
      </w:r>
      <w:r w:rsidR="00E461F8">
        <w:rPr>
          <w:rFonts w:ascii="Arial" w:hAnsi="Arial" w:cs="Arial"/>
          <w:sz w:val="24"/>
          <w:szCs w:val="24"/>
          <w:lang w:val="en-ZA"/>
        </w:rPr>
        <w:t>lease agreement the WLLT</w:t>
      </w:r>
      <w:r w:rsidR="004D0D6E" w:rsidRPr="009243B0">
        <w:rPr>
          <w:rFonts w:ascii="Arial" w:hAnsi="Arial" w:cs="Arial"/>
          <w:sz w:val="24"/>
          <w:szCs w:val="24"/>
          <w:lang w:val="en-ZA"/>
        </w:rPr>
        <w:t xml:space="preserve"> was supposed to pay the relevant service providers for electricity (</w:t>
      </w:r>
      <w:proofErr w:type="spellStart"/>
      <w:r w:rsidR="004D0D6E" w:rsidRPr="009243B0">
        <w:rPr>
          <w:rFonts w:ascii="Arial" w:hAnsi="Arial" w:cs="Arial"/>
          <w:sz w:val="24"/>
          <w:szCs w:val="24"/>
          <w:lang w:val="en-ZA"/>
        </w:rPr>
        <w:t>Centlec</w:t>
      </w:r>
      <w:proofErr w:type="spellEnd"/>
      <w:r w:rsidR="004D0D6E" w:rsidRPr="009243B0">
        <w:rPr>
          <w:rFonts w:ascii="Arial" w:hAnsi="Arial" w:cs="Arial"/>
          <w:sz w:val="24"/>
          <w:szCs w:val="24"/>
          <w:lang w:val="en-ZA"/>
        </w:rPr>
        <w:t>) and municipal services (</w:t>
      </w:r>
      <w:proofErr w:type="spellStart"/>
      <w:r w:rsidR="004D0D6E" w:rsidRPr="009243B0">
        <w:rPr>
          <w:rFonts w:ascii="Arial" w:hAnsi="Arial" w:cs="Arial"/>
          <w:sz w:val="24"/>
          <w:szCs w:val="24"/>
          <w:lang w:val="en-ZA"/>
        </w:rPr>
        <w:t>Mangaun</w:t>
      </w:r>
      <w:r w:rsidR="00E461F8">
        <w:rPr>
          <w:rFonts w:ascii="Arial" w:hAnsi="Arial" w:cs="Arial"/>
          <w:sz w:val="24"/>
          <w:szCs w:val="24"/>
          <w:lang w:val="en-ZA"/>
        </w:rPr>
        <w:t>g</w:t>
      </w:r>
      <w:proofErr w:type="spellEnd"/>
      <w:r w:rsidR="00E461F8">
        <w:rPr>
          <w:rFonts w:ascii="Arial" w:hAnsi="Arial" w:cs="Arial"/>
          <w:sz w:val="24"/>
          <w:szCs w:val="24"/>
          <w:lang w:val="en-ZA"/>
        </w:rPr>
        <w:t xml:space="preserve"> Metropolitan Municipality).</w:t>
      </w:r>
      <w:r w:rsidR="009F002E" w:rsidRPr="009243B0">
        <w:rPr>
          <w:rFonts w:ascii="Arial" w:hAnsi="Arial" w:cs="Arial"/>
          <w:sz w:val="24"/>
          <w:szCs w:val="24"/>
          <w:lang w:val="en-ZA"/>
        </w:rPr>
        <w:t xml:space="preserve"> The CC and </w:t>
      </w:r>
      <w:proofErr w:type="spellStart"/>
      <w:r w:rsidR="009F002E" w:rsidRPr="009243B0">
        <w:rPr>
          <w:rFonts w:ascii="Arial" w:hAnsi="Arial" w:cs="Arial"/>
          <w:sz w:val="24"/>
          <w:szCs w:val="24"/>
          <w:lang w:val="en-ZA"/>
        </w:rPr>
        <w:t>Barendse</w:t>
      </w:r>
      <w:proofErr w:type="spellEnd"/>
      <w:r w:rsidR="009F002E" w:rsidRPr="009243B0">
        <w:rPr>
          <w:rFonts w:ascii="Arial" w:hAnsi="Arial" w:cs="Arial"/>
          <w:sz w:val="24"/>
          <w:szCs w:val="24"/>
          <w:lang w:val="en-ZA"/>
        </w:rPr>
        <w:t xml:space="preserve"> were supposed to pay t</w:t>
      </w:r>
      <w:r w:rsidR="00E461F8">
        <w:rPr>
          <w:rFonts w:ascii="Arial" w:hAnsi="Arial" w:cs="Arial"/>
          <w:sz w:val="24"/>
          <w:szCs w:val="24"/>
          <w:lang w:val="en-ZA"/>
        </w:rPr>
        <w:t>he property rates. The WLLT</w:t>
      </w:r>
      <w:r w:rsidR="009F002E" w:rsidRPr="009243B0">
        <w:rPr>
          <w:rFonts w:ascii="Arial" w:hAnsi="Arial" w:cs="Arial"/>
          <w:sz w:val="24"/>
          <w:szCs w:val="24"/>
          <w:lang w:val="en-ZA"/>
        </w:rPr>
        <w:t xml:space="preserve"> vacated the premises and the respondent sued it for</w:t>
      </w:r>
      <w:r w:rsidR="00983603" w:rsidRPr="009243B0">
        <w:rPr>
          <w:rFonts w:ascii="Arial" w:hAnsi="Arial" w:cs="Arial"/>
          <w:sz w:val="24"/>
          <w:szCs w:val="24"/>
          <w:lang w:val="en-ZA"/>
        </w:rPr>
        <w:t xml:space="preserve"> R</w:t>
      </w:r>
      <w:r w:rsidR="00A131AB">
        <w:rPr>
          <w:rFonts w:ascii="Arial" w:hAnsi="Arial" w:cs="Arial"/>
          <w:sz w:val="24"/>
          <w:szCs w:val="24"/>
          <w:lang w:val="en-ZA"/>
        </w:rPr>
        <w:t xml:space="preserve"> </w:t>
      </w:r>
      <w:r w:rsidR="00983603" w:rsidRPr="009243B0">
        <w:rPr>
          <w:rFonts w:ascii="Arial" w:hAnsi="Arial" w:cs="Arial"/>
          <w:sz w:val="24"/>
          <w:szCs w:val="24"/>
          <w:lang w:val="en-ZA"/>
        </w:rPr>
        <w:t>259 912.48 in respect of</w:t>
      </w:r>
      <w:r w:rsidR="009F002E" w:rsidRPr="009243B0">
        <w:rPr>
          <w:rFonts w:ascii="Arial" w:hAnsi="Arial" w:cs="Arial"/>
          <w:sz w:val="24"/>
          <w:szCs w:val="24"/>
          <w:lang w:val="en-ZA"/>
        </w:rPr>
        <w:t xml:space="preserve"> the outstanding water and electricity account</w:t>
      </w:r>
      <w:r w:rsidR="008D3266">
        <w:rPr>
          <w:rFonts w:ascii="Arial" w:hAnsi="Arial" w:cs="Arial"/>
          <w:sz w:val="24"/>
          <w:szCs w:val="24"/>
          <w:lang w:val="en-ZA"/>
        </w:rPr>
        <w:t>s</w:t>
      </w:r>
      <w:r w:rsidR="009F002E" w:rsidRPr="009243B0">
        <w:rPr>
          <w:rFonts w:ascii="Arial" w:hAnsi="Arial" w:cs="Arial"/>
          <w:sz w:val="24"/>
          <w:szCs w:val="24"/>
          <w:lang w:val="en-ZA"/>
        </w:rPr>
        <w:t xml:space="preserve"> and for R 11 299.00 with regard to an ai</w:t>
      </w:r>
      <w:r w:rsidR="00E461F8">
        <w:rPr>
          <w:rFonts w:ascii="Arial" w:hAnsi="Arial" w:cs="Arial"/>
          <w:sz w:val="24"/>
          <w:szCs w:val="24"/>
          <w:lang w:val="en-ZA"/>
        </w:rPr>
        <w:t>r conditioner that the WLLT</w:t>
      </w:r>
      <w:r w:rsidR="009F002E" w:rsidRPr="009243B0">
        <w:rPr>
          <w:rFonts w:ascii="Arial" w:hAnsi="Arial" w:cs="Arial"/>
          <w:sz w:val="24"/>
          <w:szCs w:val="24"/>
          <w:lang w:val="en-ZA"/>
        </w:rPr>
        <w:t xml:space="preserve"> allegedly removed from the premises.</w:t>
      </w:r>
      <w:r w:rsidR="00977EDC">
        <w:rPr>
          <w:rFonts w:ascii="Arial" w:hAnsi="Arial" w:cs="Arial"/>
          <w:sz w:val="24"/>
          <w:szCs w:val="24"/>
          <w:lang w:val="en-ZA"/>
        </w:rPr>
        <w:t xml:space="preserve"> </w:t>
      </w:r>
      <w:r w:rsidR="0004422F" w:rsidRPr="009243B0">
        <w:rPr>
          <w:rFonts w:ascii="Arial" w:hAnsi="Arial" w:cs="Arial"/>
          <w:sz w:val="24"/>
          <w:szCs w:val="24"/>
          <w:lang w:val="en-ZA"/>
        </w:rPr>
        <w:t xml:space="preserve">The latter </w:t>
      </w:r>
      <w:r w:rsidR="00983603" w:rsidRPr="009243B0">
        <w:rPr>
          <w:rFonts w:ascii="Arial" w:hAnsi="Arial" w:cs="Arial"/>
          <w:sz w:val="24"/>
          <w:szCs w:val="24"/>
          <w:lang w:val="en-ZA"/>
        </w:rPr>
        <w:t xml:space="preserve">amount </w:t>
      </w:r>
      <w:r w:rsidR="0004422F" w:rsidRPr="009243B0">
        <w:rPr>
          <w:rFonts w:ascii="Arial" w:hAnsi="Arial" w:cs="Arial"/>
          <w:sz w:val="24"/>
          <w:szCs w:val="24"/>
          <w:lang w:val="en-ZA"/>
        </w:rPr>
        <w:t>represents the replacement value of the air conditioner.</w:t>
      </w:r>
    </w:p>
    <w:p w:rsidR="0004422F" w:rsidRPr="009243B0" w:rsidRDefault="009F002E" w:rsidP="003D6D76">
      <w:pPr>
        <w:spacing w:after="0" w:line="360" w:lineRule="auto"/>
        <w:ind w:left="720" w:hanging="720"/>
        <w:jc w:val="both"/>
        <w:rPr>
          <w:rFonts w:ascii="Arial" w:hAnsi="Arial" w:cs="Arial"/>
          <w:sz w:val="24"/>
          <w:szCs w:val="24"/>
          <w:lang w:val="en-ZA"/>
        </w:rPr>
      </w:pPr>
      <w:r w:rsidRPr="009243B0">
        <w:rPr>
          <w:rFonts w:ascii="Arial" w:hAnsi="Arial" w:cs="Arial"/>
          <w:sz w:val="24"/>
          <w:szCs w:val="24"/>
          <w:lang w:val="en-ZA"/>
        </w:rPr>
        <w:t xml:space="preserve"> </w:t>
      </w:r>
    </w:p>
    <w:p w:rsidR="00E8042F"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r>
      <w:r w:rsidR="0004422F" w:rsidRPr="009243B0">
        <w:rPr>
          <w:rFonts w:ascii="Arial" w:hAnsi="Arial" w:cs="Arial"/>
          <w:sz w:val="24"/>
          <w:szCs w:val="24"/>
          <w:lang w:val="en-ZA"/>
        </w:rPr>
        <w:t>In its particulars of claim</w:t>
      </w:r>
      <w:r w:rsidR="00E461F8">
        <w:rPr>
          <w:rFonts w:ascii="Arial" w:hAnsi="Arial" w:cs="Arial"/>
          <w:sz w:val="24"/>
          <w:szCs w:val="24"/>
          <w:lang w:val="en-ZA"/>
        </w:rPr>
        <w:t>,</w:t>
      </w:r>
      <w:r w:rsidR="0004422F" w:rsidRPr="009243B0">
        <w:rPr>
          <w:rFonts w:ascii="Arial" w:hAnsi="Arial" w:cs="Arial"/>
          <w:sz w:val="24"/>
          <w:szCs w:val="24"/>
          <w:lang w:val="en-ZA"/>
        </w:rPr>
        <w:t xml:space="preserve"> the respondent alleged that it bought the property as a goin</w:t>
      </w:r>
      <w:r w:rsidR="00E461F8">
        <w:rPr>
          <w:rFonts w:ascii="Arial" w:hAnsi="Arial" w:cs="Arial"/>
          <w:sz w:val="24"/>
          <w:szCs w:val="24"/>
          <w:lang w:val="en-ZA"/>
        </w:rPr>
        <w:t>g concern and that the WLLT</w:t>
      </w:r>
      <w:r w:rsidR="0004422F" w:rsidRPr="009243B0">
        <w:rPr>
          <w:rFonts w:ascii="Arial" w:hAnsi="Arial" w:cs="Arial"/>
          <w:sz w:val="24"/>
          <w:szCs w:val="24"/>
          <w:lang w:val="en-ZA"/>
        </w:rPr>
        <w:t xml:space="preserve"> became its tenant on date of registration of </w:t>
      </w:r>
      <w:r w:rsidR="0004422F" w:rsidRPr="009243B0">
        <w:rPr>
          <w:rFonts w:ascii="Arial" w:hAnsi="Arial" w:cs="Arial"/>
          <w:sz w:val="24"/>
          <w:szCs w:val="24"/>
          <w:lang w:val="en-ZA"/>
        </w:rPr>
        <w:lastRenderedPageBreak/>
        <w:t>the property into its name.</w:t>
      </w:r>
      <w:r w:rsidR="00E461F8">
        <w:rPr>
          <w:rFonts w:ascii="Arial" w:hAnsi="Arial" w:cs="Arial"/>
          <w:sz w:val="24"/>
          <w:szCs w:val="24"/>
          <w:lang w:val="en-ZA"/>
        </w:rPr>
        <w:t xml:space="preserve"> It therefore sued the WLLT</w:t>
      </w:r>
      <w:r w:rsidR="00E66003" w:rsidRPr="009243B0">
        <w:rPr>
          <w:rFonts w:ascii="Arial" w:hAnsi="Arial" w:cs="Arial"/>
          <w:sz w:val="24"/>
          <w:szCs w:val="24"/>
          <w:lang w:val="en-ZA"/>
        </w:rPr>
        <w:t xml:space="preserve"> in its own name as if it entered into a lease ag</w:t>
      </w:r>
      <w:r w:rsidR="00E461F8">
        <w:rPr>
          <w:rFonts w:ascii="Arial" w:hAnsi="Arial" w:cs="Arial"/>
          <w:sz w:val="24"/>
          <w:szCs w:val="24"/>
          <w:lang w:val="en-ZA"/>
        </w:rPr>
        <w:t>reement with the WLLT</w:t>
      </w:r>
      <w:r w:rsidR="00E66003" w:rsidRPr="009243B0">
        <w:rPr>
          <w:rFonts w:ascii="Arial" w:hAnsi="Arial" w:cs="Arial"/>
          <w:sz w:val="24"/>
          <w:szCs w:val="24"/>
          <w:lang w:val="en-ZA"/>
        </w:rPr>
        <w:t>.</w:t>
      </w:r>
      <w:r w:rsidR="005230B2" w:rsidRPr="009243B0">
        <w:rPr>
          <w:rFonts w:ascii="Arial" w:hAnsi="Arial" w:cs="Arial"/>
          <w:sz w:val="24"/>
          <w:szCs w:val="24"/>
          <w:lang w:val="en-ZA"/>
        </w:rPr>
        <w:t xml:space="preserve"> It then transposed its name for that of the original lesso</w:t>
      </w:r>
      <w:r w:rsidR="00E461F8">
        <w:rPr>
          <w:rFonts w:ascii="Arial" w:hAnsi="Arial" w:cs="Arial"/>
          <w:sz w:val="24"/>
          <w:szCs w:val="24"/>
          <w:lang w:val="en-ZA"/>
        </w:rPr>
        <w:t>r and alleged that the WLLT</w:t>
      </w:r>
      <w:r w:rsidR="005230B2" w:rsidRPr="009243B0">
        <w:rPr>
          <w:rFonts w:ascii="Arial" w:hAnsi="Arial" w:cs="Arial"/>
          <w:sz w:val="24"/>
          <w:szCs w:val="24"/>
          <w:lang w:val="en-ZA"/>
        </w:rPr>
        <w:t xml:space="preserve"> undertook all the duties and obligations in the original lease towards it.</w:t>
      </w:r>
    </w:p>
    <w:p w:rsidR="003D6D76" w:rsidRPr="009243B0" w:rsidRDefault="003D6D76" w:rsidP="003D6D76">
      <w:pPr>
        <w:spacing w:after="0" w:line="360" w:lineRule="auto"/>
        <w:ind w:left="720" w:hanging="720"/>
        <w:jc w:val="both"/>
        <w:rPr>
          <w:rFonts w:ascii="Arial" w:hAnsi="Arial" w:cs="Arial"/>
          <w:sz w:val="24"/>
          <w:szCs w:val="24"/>
          <w:lang w:val="en-ZA"/>
        </w:rPr>
      </w:pPr>
    </w:p>
    <w:p w:rsidR="000933D6"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[6]</w:t>
      </w:r>
      <w:r>
        <w:rPr>
          <w:rFonts w:ascii="Arial" w:hAnsi="Arial" w:cs="Arial"/>
          <w:sz w:val="24"/>
          <w:szCs w:val="24"/>
          <w:lang w:val="en-ZA"/>
        </w:rPr>
        <w:tab/>
      </w:r>
      <w:r w:rsidR="00E8042F" w:rsidRPr="009243B0">
        <w:rPr>
          <w:rFonts w:ascii="Arial" w:hAnsi="Arial" w:cs="Arial"/>
          <w:sz w:val="24"/>
          <w:szCs w:val="24"/>
          <w:lang w:val="en-ZA"/>
        </w:rPr>
        <w:t>It is common cause that in the original lease agreement</w:t>
      </w:r>
      <w:r w:rsidR="00E461F8">
        <w:rPr>
          <w:rFonts w:ascii="Arial" w:hAnsi="Arial" w:cs="Arial"/>
          <w:sz w:val="24"/>
          <w:szCs w:val="24"/>
          <w:lang w:val="en-ZA"/>
        </w:rPr>
        <w:t>,</w:t>
      </w:r>
      <w:r w:rsidR="00E8042F" w:rsidRPr="009243B0">
        <w:rPr>
          <w:rFonts w:ascii="Arial" w:hAnsi="Arial" w:cs="Arial"/>
          <w:sz w:val="24"/>
          <w:szCs w:val="24"/>
          <w:lang w:val="en-ZA"/>
        </w:rPr>
        <w:t xml:space="preserve"> t</w:t>
      </w:r>
      <w:r w:rsidR="00E461F8">
        <w:rPr>
          <w:rFonts w:ascii="Arial" w:hAnsi="Arial" w:cs="Arial"/>
          <w:sz w:val="24"/>
          <w:szCs w:val="24"/>
          <w:lang w:val="en-ZA"/>
        </w:rPr>
        <w:t>he WLLT</w:t>
      </w:r>
      <w:r w:rsidR="00E8042F" w:rsidRPr="009243B0">
        <w:rPr>
          <w:rFonts w:ascii="Arial" w:hAnsi="Arial" w:cs="Arial"/>
          <w:sz w:val="24"/>
          <w:szCs w:val="24"/>
          <w:lang w:val="en-ZA"/>
        </w:rPr>
        <w:t xml:space="preserve"> chose 53 East Burger Street as its </w:t>
      </w:r>
      <w:proofErr w:type="spellStart"/>
      <w:r w:rsidR="00E8042F" w:rsidRPr="009243B0">
        <w:rPr>
          <w:rFonts w:ascii="Arial" w:hAnsi="Arial" w:cs="Arial"/>
          <w:i/>
          <w:sz w:val="24"/>
          <w:szCs w:val="24"/>
          <w:lang w:val="en-ZA"/>
        </w:rPr>
        <w:t>domicilium</w:t>
      </w:r>
      <w:proofErr w:type="spellEnd"/>
      <w:r w:rsidR="00E8042F" w:rsidRPr="009243B0">
        <w:rPr>
          <w:rFonts w:ascii="Arial" w:hAnsi="Arial" w:cs="Arial"/>
          <w:i/>
          <w:sz w:val="24"/>
          <w:szCs w:val="24"/>
          <w:lang w:val="en-ZA"/>
        </w:rPr>
        <w:t xml:space="preserve"> </w:t>
      </w:r>
      <w:proofErr w:type="spellStart"/>
      <w:r w:rsidR="00E8042F" w:rsidRPr="009243B0">
        <w:rPr>
          <w:rFonts w:ascii="Arial" w:hAnsi="Arial" w:cs="Arial"/>
          <w:i/>
          <w:sz w:val="24"/>
          <w:szCs w:val="24"/>
          <w:lang w:val="en-ZA"/>
        </w:rPr>
        <w:t>citandi</w:t>
      </w:r>
      <w:proofErr w:type="spellEnd"/>
      <w:r w:rsidR="00E8042F" w:rsidRPr="009243B0">
        <w:rPr>
          <w:rFonts w:ascii="Arial" w:hAnsi="Arial" w:cs="Arial"/>
          <w:i/>
          <w:sz w:val="24"/>
          <w:szCs w:val="24"/>
          <w:lang w:val="en-ZA"/>
        </w:rPr>
        <w:t xml:space="preserve"> et </w:t>
      </w:r>
      <w:proofErr w:type="spellStart"/>
      <w:r w:rsidR="00E8042F" w:rsidRPr="009243B0">
        <w:rPr>
          <w:rFonts w:ascii="Arial" w:hAnsi="Arial" w:cs="Arial"/>
          <w:i/>
          <w:sz w:val="24"/>
          <w:szCs w:val="24"/>
          <w:lang w:val="en-ZA"/>
        </w:rPr>
        <w:t>executandi</w:t>
      </w:r>
      <w:proofErr w:type="spellEnd"/>
      <w:r w:rsidR="00B51360" w:rsidRPr="009243B0">
        <w:rPr>
          <w:rFonts w:ascii="Arial" w:hAnsi="Arial" w:cs="Arial"/>
          <w:i/>
          <w:sz w:val="24"/>
          <w:szCs w:val="24"/>
          <w:lang w:val="en-ZA"/>
        </w:rPr>
        <w:t xml:space="preserve"> </w:t>
      </w:r>
      <w:r w:rsidR="00B51360" w:rsidRPr="009243B0">
        <w:rPr>
          <w:rFonts w:ascii="Arial" w:hAnsi="Arial" w:cs="Arial"/>
          <w:sz w:val="24"/>
          <w:szCs w:val="24"/>
          <w:lang w:val="en-ZA"/>
        </w:rPr>
        <w:t>(</w:t>
      </w:r>
      <w:proofErr w:type="spellStart"/>
      <w:r w:rsidR="00B51360" w:rsidRPr="009243B0">
        <w:rPr>
          <w:rFonts w:ascii="Arial" w:hAnsi="Arial" w:cs="Arial"/>
          <w:sz w:val="24"/>
          <w:szCs w:val="24"/>
          <w:lang w:val="en-ZA"/>
        </w:rPr>
        <w:t>Domicilium</w:t>
      </w:r>
      <w:proofErr w:type="spellEnd"/>
      <w:r w:rsidR="00B51360" w:rsidRPr="009243B0">
        <w:rPr>
          <w:rFonts w:ascii="Arial" w:hAnsi="Arial" w:cs="Arial"/>
          <w:sz w:val="24"/>
          <w:szCs w:val="24"/>
          <w:lang w:val="en-ZA"/>
        </w:rPr>
        <w:t>)</w:t>
      </w:r>
      <w:r w:rsidR="00E8042F" w:rsidRPr="009243B0">
        <w:rPr>
          <w:rFonts w:ascii="Arial" w:hAnsi="Arial" w:cs="Arial"/>
          <w:sz w:val="24"/>
          <w:szCs w:val="24"/>
          <w:lang w:val="en-ZA"/>
        </w:rPr>
        <w:t>.</w:t>
      </w:r>
      <w:r w:rsidR="00590976">
        <w:rPr>
          <w:rFonts w:ascii="Arial" w:hAnsi="Arial" w:cs="Arial"/>
          <w:sz w:val="24"/>
          <w:szCs w:val="24"/>
          <w:lang w:val="en-ZA"/>
        </w:rPr>
        <w:t xml:space="preserve"> </w:t>
      </w:r>
      <w:r w:rsidR="00E461F8">
        <w:rPr>
          <w:rFonts w:ascii="Arial" w:hAnsi="Arial" w:cs="Arial"/>
          <w:sz w:val="24"/>
          <w:szCs w:val="24"/>
          <w:lang w:val="en-ZA"/>
        </w:rPr>
        <w:t xml:space="preserve">The </w:t>
      </w:r>
      <w:r w:rsidR="00733722">
        <w:rPr>
          <w:rFonts w:ascii="Arial" w:hAnsi="Arial" w:cs="Arial"/>
          <w:sz w:val="24"/>
          <w:szCs w:val="24"/>
          <w:lang w:val="en-ZA"/>
        </w:rPr>
        <w:t xml:space="preserve">third and fourth respondents did not chose a </w:t>
      </w:r>
      <w:proofErr w:type="spellStart"/>
      <w:r w:rsidR="00733722">
        <w:rPr>
          <w:rFonts w:ascii="Arial" w:hAnsi="Arial" w:cs="Arial"/>
          <w:sz w:val="24"/>
          <w:szCs w:val="24"/>
          <w:lang w:val="en-ZA"/>
        </w:rPr>
        <w:t>domicilium</w:t>
      </w:r>
      <w:proofErr w:type="spellEnd"/>
      <w:r w:rsidR="00733722">
        <w:rPr>
          <w:rFonts w:ascii="Arial" w:hAnsi="Arial" w:cs="Arial"/>
          <w:sz w:val="24"/>
          <w:szCs w:val="24"/>
          <w:lang w:val="en-ZA"/>
        </w:rPr>
        <w:t xml:space="preserve">. </w:t>
      </w:r>
      <w:r w:rsidR="00E8042F" w:rsidRPr="009243B0">
        <w:rPr>
          <w:rFonts w:ascii="Arial" w:hAnsi="Arial" w:cs="Arial"/>
          <w:sz w:val="24"/>
          <w:szCs w:val="24"/>
          <w:lang w:val="en-ZA"/>
        </w:rPr>
        <w:t>It is further common cause that the combined summons was issued on 30 September 2020 and</w:t>
      </w:r>
      <w:r w:rsidR="00733722">
        <w:rPr>
          <w:rFonts w:ascii="Arial" w:hAnsi="Arial" w:cs="Arial"/>
          <w:sz w:val="24"/>
          <w:szCs w:val="24"/>
          <w:lang w:val="en-ZA"/>
        </w:rPr>
        <w:t xml:space="preserve"> that</w:t>
      </w:r>
      <w:r w:rsidR="00E8042F" w:rsidRPr="009243B0">
        <w:rPr>
          <w:rFonts w:ascii="Arial" w:hAnsi="Arial" w:cs="Arial"/>
          <w:sz w:val="24"/>
          <w:szCs w:val="24"/>
          <w:lang w:val="en-ZA"/>
        </w:rPr>
        <w:t xml:space="preserve"> the said summons and particulars of claim </w:t>
      </w:r>
      <w:r w:rsidR="00733722">
        <w:rPr>
          <w:rFonts w:ascii="Arial" w:hAnsi="Arial" w:cs="Arial"/>
          <w:sz w:val="24"/>
          <w:szCs w:val="24"/>
          <w:lang w:val="en-ZA"/>
        </w:rPr>
        <w:t xml:space="preserve">were </w:t>
      </w:r>
      <w:r w:rsidR="00E8042F" w:rsidRPr="009243B0">
        <w:rPr>
          <w:rFonts w:ascii="Arial" w:hAnsi="Arial" w:cs="Arial"/>
          <w:sz w:val="24"/>
          <w:szCs w:val="24"/>
          <w:lang w:val="en-ZA"/>
        </w:rPr>
        <w:t>served</w:t>
      </w:r>
      <w:r w:rsidR="008D3266">
        <w:rPr>
          <w:rFonts w:ascii="Arial" w:hAnsi="Arial" w:cs="Arial"/>
          <w:sz w:val="24"/>
          <w:szCs w:val="24"/>
          <w:lang w:val="en-ZA"/>
        </w:rPr>
        <w:t>, on 21 October 2020,</w:t>
      </w:r>
      <w:r w:rsidR="00E8042F" w:rsidRPr="009243B0">
        <w:rPr>
          <w:rFonts w:ascii="Arial" w:hAnsi="Arial" w:cs="Arial"/>
          <w:sz w:val="24"/>
          <w:szCs w:val="24"/>
          <w:lang w:val="en-ZA"/>
        </w:rPr>
        <w:t xml:space="preserve"> by affixing them to the main entrance a</w:t>
      </w:r>
      <w:r w:rsidR="00101923">
        <w:rPr>
          <w:rFonts w:ascii="Arial" w:hAnsi="Arial" w:cs="Arial"/>
          <w:sz w:val="24"/>
          <w:szCs w:val="24"/>
          <w:lang w:val="en-ZA"/>
        </w:rPr>
        <w:t>t 53 East Burger Street (Rule 4</w:t>
      </w:r>
      <w:r w:rsidR="00E8042F" w:rsidRPr="009243B0">
        <w:rPr>
          <w:rFonts w:ascii="Arial" w:hAnsi="Arial" w:cs="Arial"/>
          <w:sz w:val="24"/>
          <w:szCs w:val="24"/>
          <w:lang w:val="en-ZA"/>
        </w:rPr>
        <w:t>(1)(a) (iv)). The sheriff made a note</w:t>
      </w:r>
      <w:r w:rsidR="008D3266">
        <w:rPr>
          <w:rFonts w:ascii="Arial" w:hAnsi="Arial" w:cs="Arial"/>
          <w:sz w:val="24"/>
          <w:szCs w:val="24"/>
          <w:lang w:val="en-ZA"/>
        </w:rPr>
        <w:t>,</w:t>
      </w:r>
      <w:r w:rsidR="00E8042F" w:rsidRPr="009243B0">
        <w:rPr>
          <w:rFonts w:ascii="Arial" w:hAnsi="Arial" w:cs="Arial"/>
          <w:sz w:val="24"/>
          <w:szCs w:val="24"/>
          <w:lang w:val="en-ZA"/>
        </w:rPr>
        <w:t xml:space="preserve"> </w:t>
      </w:r>
      <w:r w:rsidR="008D3266">
        <w:rPr>
          <w:rFonts w:ascii="Arial" w:hAnsi="Arial" w:cs="Arial"/>
          <w:sz w:val="24"/>
          <w:szCs w:val="24"/>
          <w:lang w:val="en-ZA"/>
        </w:rPr>
        <w:t xml:space="preserve">on the return of service, </w:t>
      </w:r>
      <w:r w:rsidR="00E8042F" w:rsidRPr="009243B0">
        <w:rPr>
          <w:rFonts w:ascii="Arial" w:hAnsi="Arial" w:cs="Arial"/>
          <w:sz w:val="24"/>
          <w:szCs w:val="24"/>
          <w:lang w:val="en-ZA"/>
        </w:rPr>
        <w:t xml:space="preserve">to the effect that Bond Inx – </w:t>
      </w:r>
      <w:proofErr w:type="spellStart"/>
      <w:r w:rsidR="00E8042F" w:rsidRPr="009243B0">
        <w:rPr>
          <w:rFonts w:ascii="Arial" w:hAnsi="Arial" w:cs="Arial"/>
          <w:sz w:val="24"/>
          <w:szCs w:val="24"/>
          <w:lang w:val="en-ZA"/>
        </w:rPr>
        <w:t>Hairsalon</w:t>
      </w:r>
      <w:proofErr w:type="spellEnd"/>
      <w:r w:rsidR="00E8042F" w:rsidRPr="009243B0">
        <w:rPr>
          <w:rFonts w:ascii="Arial" w:hAnsi="Arial" w:cs="Arial"/>
          <w:sz w:val="24"/>
          <w:szCs w:val="24"/>
          <w:lang w:val="en-ZA"/>
        </w:rPr>
        <w:t xml:space="preserve"> is conducting business at the address. </w:t>
      </w:r>
      <w:r w:rsidR="000933D6" w:rsidRPr="009243B0">
        <w:rPr>
          <w:rFonts w:ascii="Arial" w:hAnsi="Arial" w:cs="Arial"/>
          <w:sz w:val="24"/>
          <w:szCs w:val="24"/>
          <w:lang w:val="en-ZA"/>
        </w:rPr>
        <w:t>Default judgment was obtained on 15 July 2021.</w:t>
      </w:r>
    </w:p>
    <w:p w:rsidR="003D6D76" w:rsidRPr="009243B0" w:rsidRDefault="003D6D76" w:rsidP="003D6D76">
      <w:pPr>
        <w:spacing w:after="0" w:line="360" w:lineRule="auto"/>
        <w:ind w:left="720" w:hanging="720"/>
        <w:jc w:val="both"/>
        <w:rPr>
          <w:rFonts w:ascii="Arial" w:hAnsi="Arial" w:cs="Arial"/>
          <w:sz w:val="24"/>
          <w:szCs w:val="24"/>
          <w:lang w:val="en-ZA"/>
        </w:rPr>
      </w:pPr>
    </w:p>
    <w:p w:rsidR="00B762E7"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[7]</w:t>
      </w:r>
      <w:r>
        <w:rPr>
          <w:rFonts w:ascii="Arial" w:hAnsi="Arial" w:cs="Arial"/>
          <w:sz w:val="24"/>
          <w:szCs w:val="24"/>
          <w:lang w:val="en-ZA"/>
        </w:rPr>
        <w:tab/>
      </w:r>
      <w:r w:rsidR="000933D6" w:rsidRPr="009243B0">
        <w:rPr>
          <w:rFonts w:ascii="Arial" w:hAnsi="Arial" w:cs="Arial"/>
          <w:sz w:val="24"/>
          <w:szCs w:val="24"/>
          <w:lang w:val="en-ZA"/>
        </w:rPr>
        <w:t>In the application for the rescissi</w:t>
      </w:r>
      <w:r w:rsidR="00733722">
        <w:rPr>
          <w:rFonts w:ascii="Arial" w:hAnsi="Arial" w:cs="Arial"/>
          <w:sz w:val="24"/>
          <w:szCs w:val="24"/>
          <w:lang w:val="en-ZA"/>
        </w:rPr>
        <w:t>on of the judgment the WLLT</w:t>
      </w:r>
      <w:r w:rsidR="000933D6" w:rsidRPr="009243B0">
        <w:rPr>
          <w:rFonts w:ascii="Arial" w:hAnsi="Arial" w:cs="Arial"/>
          <w:sz w:val="24"/>
          <w:szCs w:val="24"/>
          <w:lang w:val="en-ZA"/>
        </w:rPr>
        <w:t xml:space="preserve"> pointed out that it vacated the leased premises during June 2019, with the knowledge of the respondent.</w:t>
      </w:r>
      <w:r w:rsidR="00733722">
        <w:rPr>
          <w:rFonts w:ascii="Arial" w:hAnsi="Arial" w:cs="Arial"/>
          <w:sz w:val="24"/>
          <w:szCs w:val="24"/>
          <w:lang w:val="en-ZA"/>
        </w:rPr>
        <w:t xml:space="preserve"> On 20 March 2020, the CC and </w:t>
      </w:r>
      <w:proofErr w:type="spellStart"/>
      <w:r w:rsidR="000933D6" w:rsidRPr="009243B0">
        <w:rPr>
          <w:rFonts w:ascii="Arial" w:hAnsi="Arial" w:cs="Arial"/>
          <w:sz w:val="24"/>
          <w:szCs w:val="24"/>
          <w:lang w:val="en-ZA"/>
        </w:rPr>
        <w:t>Barendse’s</w:t>
      </w:r>
      <w:proofErr w:type="spellEnd"/>
      <w:r w:rsidR="000933D6" w:rsidRPr="009243B0">
        <w:rPr>
          <w:rFonts w:ascii="Arial" w:hAnsi="Arial" w:cs="Arial"/>
          <w:sz w:val="24"/>
          <w:szCs w:val="24"/>
          <w:lang w:val="en-ZA"/>
        </w:rPr>
        <w:t xml:space="preserve"> attorneys, who are also the respondent’s attorneys, wrote a l</w:t>
      </w:r>
      <w:r w:rsidR="00733722">
        <w:rPr>
          <w:rFonts w:ascii="Arial" w:hAnsi="Arial" w:cs="Arial"/>
          <w:sz w:val="24"/>
          <w:szCs w:val="24"/>
          <w:lang w:val="en-ZA"/>
        </w:rPr>
        <w:t>etter of demand to the WLLT</w:t>
      </w:r>
      <w:r w:rsidR="000933D6" w:rsidRPr="009243B0">
        <w:rPr>
          <w:rFonts w:ascii="Arial" w:hAnsi="Arial" w:cs="Arial"/>
          <w:sz w:val="24"/>
          <w:szCs w:val="24"/>
          <w:lang w:val="en-ZA"/>
        </w:rPr>
        <w:t xml:space="preserve"> claiming the exact amount that the respondent </w:t>
      </w:r>
      <w:r w:rsidR="00733722">
        <w:rPr>
          <w:rFonts w:ascii="Arial" w:hAnsi="Arial" w:cs="Arial"/>
          <w:sz w:val="24"/>
          <w:szCs w:val="24"/>
          <w:lang w:val="en-ZA"/>
        </w:rPr>
        <w:t>is</w:t>
      </w:r>
      <w:r w:rsidR="00983603" w:rsidRPr="009243B0">
        <w:rPr>
          <w:rFonts w:ascii="Arial" w:hAnsi="Arial" w:cs="Arial"/>
          <w:sz w:val="24"/>
          <w:szCs w:val="24"/>
          <w:lang w:val="en-ZA"/>
        </w:rPr>
        <w:t xml:space="preserve"> </w:t>
      </w:r>
      <w:r w:rsidR="00733722">
        <w:rPr>
          <w:rFonts w:ascii="Arial" w:hAnsi="Arial" w:cs="Arial"/>
          <w:sz w:val="24"/>
          <w:szCs w:val="24"/>
          <w:lang w:val="en-ZA"/>
        </w:rPr>
        <w:t>claiming from the appellants</w:t>
      </w:r>
      <w:r w:rsidR="000933D6" w:rsidRPr="009243B0">
        <w:rPr>
          <w:rFonts w:ascii="Arial" w:hAnsi="Arial" w:cs="Arial"/>
          <w:sz w:val="24"/>
          <w:szCs w:val="24"/>
          <w:lang w:val="en-ZA"/>
        </w:rPr>
        <w:t xml:space="preserve">. The letter was addressed to the </w:t>
      </w:r>
      <w:r w:rsidR="000933D6" w:rsidRPr="007D5F6E">
        <w:rPr>
          <w:rFonts w:ascii="Arial" w:hAnsi="Arial" w:cs="Arial"/>
          <w:sz w:val="24"/>
          <w:szCs w:val="24"/>
          <w:lang w:val="en-ZA"/>
        </w:rPr>
        <w:t xml:space="preserve">White Linen </w:t>
      </w:r>
      <w:r w:rsidR="00A131AB" w:rsidRPr="007D5F6E">
        <w:rPr>
          <w:rFonts w:ascii="Arial" w:hAnsi="Arial" w:cs="Arial"/>
          <w:sz w:val="24"/>
          <w:szCs w:val="24"/>
          <w:lang w:val="en-ZA"/>
        </w:rPr>
        <w:t xml:space="preserve">Laundry </w:t>
      </w:r>
      <w:r w:rsidR="000933D6" w:rsidRPr="007D5F6E">
        <w:rPr>
          <w:rFonts w:ascii="Arial" w:hAnsi="Arial" w:cs="Arial"/>
          <w:sz w:val="24"/>
          <w:szCs w:val="24"/>
          <w:lang w:val="en-ZA"/>
        </w:rPr>
        <w:t>Trust</w:t>
      </w:r>
      <w:r w:rsidR="000933D6" w:rsidRPr="009243B0">
        <w:rPr>
          <w:rFonts w:ascii="Arial" w:hAnsi="Arial" w:cs="Arial"/>
          <w:sz w:val="24"/>
          <w:szCs w:val="24"/>
          <w:lang w:val="en-ZA"/>
        </w:rPr>
        <w:t xml:space="preserve"> with address </w:t>
      </w:r>
      <w:proofErr w:type="spellStart"/>
      <w:r w:rsidR="000933D6" w:rsidRPr="009243B0">
        <w:rPr>
          <w:rFonts w:ascii="Arial" w:hAnsi="Arial" w:cs="Arial"/>
          <w:sz w:val="24"/>
          <w:szCs w:val="24"/>
          <w:lang w:val="en-ZA"/>
        </w:rPr>
        <w:t>Gruis</w:t>
      </w:r>
      <w:proofErr w:type="spellEnd"/>
      <w:r w:rsidR="000933D6" w:rsidRPr="009243B0">
        <w:rPr>
          <w:rFonts w:ascii="Arial" w:hAnsi="Arial" w:cs="Arial"/>
          <w:sz w:val="24"/>
          <w:szCs w:val="24"/>
          <w:lang w:val="en-ZA"/>
        </w:rPr>
        <w:t xml:space="preserve"> Street, Hilton Bloemfontein. In the afor</w:t>
      </w:r>
      <w:r w:rsidR="00B762E7" w:rsidRPr="009243B0">
        <w:rPr>
          <w:rFonts w:ascii="Arial" w:hAnsi="Arial" w:cs="Arial"/>
          <w:sz w:val="24"/>
          <w:szCs w:val="24"/>
          <w:lang w:val="en-ZA"/>
        </w:rPr>
        <w:t>esaid letter, reference was made to the air conditioner that was al</w:t>
      </w:r>
      <w:r w:rsidR="00733722">
        <w:rPr>
          <w:rFonts w:ascii="Arial" w:hAnsi="Arial" w:cs="Arial"/>
          <w:sz w:val="24"/>
          <w:szCs w:val="24"/>
          <w:lang w:val="en-ZA"/>
        </w:rPr>
        <w:t>legedly removed by the WLLT</w:t>
      </w:r>
      <w:r w:rsidR="00B762E7" w:rsidRPr="009243B0">
        <w:rPr>
          <w:rFonts w:ascii="Arial" w:hAnsi="Arial" w:cs="Arial"/>
          <w:sz w:val="24"/>
          <w:szCs w:val="24"/>
          <w:lang w:val="en-ZA"/>
        </w:rPr>
        <w:t>.</w:t>
      </w:r>
      <w:r w:rsidR="00733722">
        <w:rPr>
          <w:rFonts w:ascii="Arial" w:hAnsi="Arial" w:cs="Arial"/>
          <w:sz w:val="24"/>
          <w:szCs w:val="24"/>
          <w:lang w:val="en-ZA"/>
        </w:rPr>
        <w:t xml:space="preserve"> On 13 May 2020, the WLLT</w:t>
      </w:r>
      <w:r w:rsidR="008D3266">
        <w:rPr>
          <w:rFonts w:ascii="Arial" w:hAnsi="Arial" w:cs="Arial"/>
          <w:sz w:val="24"/>
          <w:szCs w:val="24"/>
          <w:lang w:val="en-ZA"/>
        </w:rPr>
        <w:t>’s</w:t>
      </w:r>
      <w:r w:rsidR="00B762E7" w:rsidRPr="009243B0">
        <w:rPr>
          <w:rFonts w:ascii="Arial" w:hAnsi="Arial" w:cs="Arial"/>
          <w:sz w:val="24"/>
          <w:szCs w:val="24"/>
          <w:lang w:val="en-ZA"/>
        </w:rPr>
        <w:t xml:space="preserve"> attorney </w:t>
      </w:r>
      <w:r w:rsidR="008D3266">
        <w:rPr>
          <w:rFonts w:ascii="Arial" w:hAnsi="Arial" w:cs="Arial"/>
          <w:sz w:val="24"/>
          <w:szCs w:val="24"/>
          <w:lang w:val="en-ZA"/>
        </w:rPr>
        <w:t xml:space="preserve">requested and </w:t>
      </w:r>
      <w:r w:rsidR="00B762E7" w:rsidRPr="009243B0">
        <w:rPr>
          <w:rFonts w:ascii="Arial" w:hAnsi="Arial" w:cs="Arial"/>
          <w:sz w:val="24"/>
          <w:szCs w:val="24"/>
          <w:lang w:val="en-ZA"/>
        </w:rPr>
        <w:t>confirmed that the summons may be served at their offices.</w:t>
      </w:r>
    </w:p>
    <w:p w:rsidR="003D6D76" w:rsidRPr="009243B0" w:rsidRDefault="003D6D76" w:rsidP="003D6D76">
      <w:pPr>
        <w:spacing w:after="0" w:line="360" w:lineRule="auto"/>
        <w:ind w:left="720" w:hanging="720"/>
        <w:jc w:val="both"/>
        <w:rPr>
          <w:rFonts w:ascii="Arial" w:hAnsi="Arial" w:cs="Arial"/>
          <w:sz w:val="24"/>
          <w:szCs w:val="24"/>
          <w:lang w:val="en-ZA"/>
        </w:rPr>
      </w:pPr>
    </w:p>
    <w:p w:rsidR="00687D46"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[8]</w:t>
      </w:r>
      <w:r>
        <w:rPr>
          <w:rFonts w:ascii="Arial" w:hAnsi="Arial" w:cs="Arial"/>
          <w:sz w:val="24"/>
          <w:szCs w:val="24"/>
          <w:lang w:val="en-ZA"/>
        </w:rPr>
        <w:tab/>
      </w:r>
      <w:r w:rsidR="00733722">
        <w:rPr>
          <w:rFonts w:ascii="Arial" w:hAnsi="Arial" w:cs="Arial"/>
          <w:sz w:val="24"/>
          <w:szCs w:val="24"/>
          <w:lang w:val="en-ZA"/>
        </w:rPr>
        <w:t>In its founding affidavit, the WLLT</w:t>
      </w:r>
      <w:r w:rsidR="00B762E7" w:rsidRPr="009243B0">
        <w:rPr>
          <w:rFonts w:ascii="Arial" w:hAnsi="Arial" w:cs="Arial"/>
          <w:sz w:val="24"/>
          <w:szCs w:val="24"/>
          <w:lang w:val="en-ZA"/>
        </w:rPr>
        <w:t xml:space="preserve"> declared that it was telephonically informed about a possible judgment against it, by a Mr Hennie Bergh</w:t>
      </w:r>
      <w:r w:rsidR="00733722">
        <w:rPr>
          <w:rFonts w:ascii="Arial" w:hAnsi="Arial" w:cs="Arial"/>
          <w:sz w:val="24"/>
          <w:szCs w:val="24"/>
          <w:lang w:val="en-ZA"/>
        </w:rPr>
        <w:t xml:space="preserve"> (Bergh)</w:t>
      </w:r>
      <w:r w:rsidR="00B762E7" w:rsidRPr="009243B0">
        <w:rPr>
          <w:rFonts w:ascii="Arial" w:hAnsi="Arial" w:cs="Arial"/>
          <w:sz w:val="24"/>
          <w:szCs w:val="24"/>
          <w:lang w:val="en-ZA"/>
        </w:rPr>
        <w:t>, on 14 November 2021</w:t>
      </w:r>
      <w:r w:rsidR="00BB1B3D" w:rsidRPr="009243B0">
        <w:rPr>
          <w:rFonts w:ascii="Arial" w:hAnsi="Arial" w:cs="Arial"/>
          <w:sz w:val="24"/>
          <w:szCs w:val="24"/>
          <w:lang w:val="en-ZA"/>
        </w:rPr>
        <w:t>. It disbelieved Bergh</w:t>
      </w:r>
      <w:r w:rsidR="00B762E7" w:rsidRPr="009243B0">
        <w:rPr>
          <w:rFonts w:ascii="Arial" w:hAnsi="Arial" w:cs="Arial"/>
          <w:sz w:val="24"/>
          <w:szCs w:val="24"/>
          <w:lang w:val="en-ZA"/>
        </w:rPr>
        <w:t xml:space="preserve"> because it had not received a summons.</w:t>
      </w:r>
      <w:r w:rsidR="000933D6" w:rsidRPr="009243B0">
        <w:rPr>
          <w:rFonts w:ascii="Arial" w:hAnsi="Arial" w:cs="Arial"/>
          <w:sz w:val="24"/>
          <w:szCs w:val="24"/>
          <w:lang w:val="en-ZA"/>
        </w:rPr>
        <w:t xml:space="preserve"> </w:t>
      </w:r>
      <w:r w:rsidR="00BB1B3D" w:rsidRPr="009243B0">
        <w:rPr>
          <w:rFonts w:ascii="Arial" w:hAnsi="Arial" w:cs="Arial"/>
          <w:sz w:val="24"/>
          <w:szCs w:val="24"/>
          <w:lang w:val="en-ZA"/>
        </w:rPr>
        <w:t>On</w:t>
      </w:r>
      <w:r w:rsidR="00733722">
        <w:rPr>
          <w:rFonts w:ascii="Arial" w:hAnsi="Arial" w:cs="Arial"/>
          <w:sz w:val="24"/>
          <w:szCs w:val="24"/>
          <w:lang w:val="en-ZA"/>
        </w:rPr>
        <w:t xml:space="preserve"> 23 November 2021, the WLLT, represented by Erasmus (the third appellant),</w:t>
      </w:r>
      <w:r w:rsidR="00BB1B3D" w:rsidRPr="009243B0">
        <w:rPr>
          <w:rFonts w:ascii="Arial" w:hAnsi="Arial" w:cs="Arial"/>
          <w:sz w:val="24"/>
          <w:szCs w:val="24"/>
          <w:lang w:val="en-ZA"/>
        </w:rPr>
        <w:t xml:space="preserve"> attended court in connec</w:t>
      </w:r>
      <w:r w:rsidR="00F45440">
        <w:rPr>
          <w:rFonts w:ascii="Arial" w:hAnsi="Arial" w:cs="Arial"/>
          <w:sz w:val="24"/>
          <w:szCs w:val="24"/>
          <w:lang w:val="en-ZA"/>
        </w:rPr>
        <w:t>tion with another matter and their</w:t>
      </w:r>
      <w:r w:rsidR="00BB1B3D" w:rsidRPr="009243B0">
        <w:rPr>
          <w:rFonts w:ascii="Arial" w:hAnsi="Arial" w:cs="Arial"/>
          <w:sz w:val="24"/>
          <w:szCs w:val="24"/>
          <w:lang w:val="en-ZA"/>
        </w:rPr>
        <w:t xml:space="preserve"> att</w:t>
      </w:r>
      <w:r w:rsidR="00733722">
        <w:rPr>
          <w:rFonts w:ascii="Arial" w:hAnsi="Arial" w:cs="Arial"/>
          <w:sz w:val="24"/>
          <w:szCs w:val="24"/>
          <w:lang w:val="en-ZA"/>
        </w:rPr>
        <w:t xml:space="preserve">orney showed him </w:t>
      </w:r>
      <w:r w:rsidR="00BB1B3D" w:rsidRPr="009243B0">
        <w:rPr>
          <w:rFonts w:ascii="Arial" w:hAnsi="Arial" w:cs="Arial"/>
          <w:sz w:val="24"/>
          <w:szCs w:val="24"/>
          <w:lang w:val="en-ZA"/>
        </w:rPr>
        <w:t>a copy of the court order. It is common cause that the respondent’s attorney sent a copy of the summons, return of service</w:t>
      </w:r>
      <w:r w:rsidR="005546EE" w:rsidRPr="009243B0">
        <w:rPr>
          <w:rFonts w:ascii="Arial" w:hAnsi="Arial" w:cs="Arial"/>
          <w:sz w:val="24"/>
          <w:szCs w:val="24"/>
          <w:lang w:val="en-ZA"/>
        </w:rPr>
        <w:t xml:space="preserve"> </w:t>
      </w:r>
      <w:r w:rsidR="00733722">
        <w:rPr>
          <w:rFonts w:ascii="Arial" w:hAnsi="Arial" w:cs="Arial"/>
          <w:sz w:val="24"/>
          <w:szCs w:val="24"/>
          <w:lang w:val="en-ZA"/>
        </w:rPr>
        <w:t>and the order to the appellants’</w:t>
      </w:r>
      <w:r w:rsidR="005546EE" w:rsidRPr="009243B0">
        <w:rPr>
          <w:rFonts w:ascii="Arial" w:hAnsi="Arial" w:cs="Arial"/>
          <w:sz w:val="24"/>
          <w:szCs w:val="24"/>
          <w:lang w:val="en-ZA"/>
        </w:rPr>
        <w:t xml:space="preserve"> attorney on </w:t>
      </w:r>
      <w:r w:rsidR="00733722">
        <w:rPr>
          <w:rFonts w:ascii="Arial" w:hAnsi="Arial" w:cs="Arial"/>
          <w:sz w:val="24"/>
          <w:szCs w:val="24"/>
          <w:lang w:val="en-ZA"/>
        </w:rPr>
        <w:t>17 November 2021. The appellant</w:t>
      </w:r>
      <w:r w:rsidR="005546EE" w:rsidRPr="009243B0">
        <w:rPr>
          <w:rFonts w:ascii="Arial" w:hAnsi="Arial" w:cs="Arial"/>
          <w:sz w:val="24"/>
          <w:szCs w:val="24"/>
          <w:lang w:val="en-ZA"/>
        </w:rPr>
        <w:t>s</w:t>
      </w:r>
      <w:r w:rsidR="00733722">
        <w:rPr>
          <w:rFonts w:ascii="Arial" w:hAnsi="Arial" w:cs="Arial"/>
          <w:sz w:val="24"/>
          <w:szCs w:val="24"/>
          <w:lang w:val="en-ZA"/>
        </w:rPr>
        <w:t>’</w:t>
      </w:r>
      <w:r w:rsidR="005546EE" w:rsidRPr="009243B0">
        <w:rPr>
          <w:rFonts w:ascii="Arial" w:hAnsi="Arial" w:cs="Arial"/>
          <w:sz w:val="24"/>
          <w:szCs w:val="24"/>
          <w:lang w:val="en-ZA"/>
        </w:rPr>
        <w:t xml:space="preserve"> attorney</w:t>
      </w:r>
      <w:r w:rsidR="00687D46" w:rsidRPr="009243B0">
        <w:rPr>
          <w:rFonts w:ascii="Arial" w:hAnsi="Arial" w:cs="Arial"/>
          <w:sz w:val="24"/>
          <w:szCs w:val="24"/>
          <w:lang w:val="en-ZA"/>
        </w:rPr>
        <w:t xml:space="preserve"> therefore </w:t>
      </w:r>
      <w:r w:rsidR="00687D46" w:rsidRPr="009243B0">
        <w:rPr>
          <w:rFonts w:ascii="Arial" w:hAnsi="Arial" w:cs="Arial"/>
          <w:sz w:val="24"/>
          <w:szCs w:val="24"/>
          <w:lang w:val="en-ZA"/>
        </w:rPr>
        <w:lastRenderedPageBreak/>
        <w:t xml:space="preserve">had knowledge </w:t>
      </w:r>
      <w:r w:rsidR="009E2809">
        <w:rPr>
          <w:rFonts w:ascii="Arial" w:hAnsi="Arial" w:cs="Arial"/>
          <w:sz w:val="24"/>
          <w:szCs w:val="24"/>
          <w:lang w:val="en-ZA"/>
        </w:rPr>
        <w:t>of the order on 17 November 2021</w:t>
      </w:r>
      <w:r w:rsidR="009E2809">
        <w:rPr>
          <w:rStyle w:val="FootnoteReference"/>
          <w:rFonts w:ascii="Arial" w:hAnsi="Arial" w:cs="Arial"/>
          <w:sz w:val="24"/>
          <w:szCs w:val="24"/>
          <w:lang w:val="en-ZA"/>
        </w:rPr>
        <w:footnoteReference w:id="2"/>
      </w:r>
      <w:r w:rsidR="00687D46" w:rsidRPr="009243B0">
        <w:rPr>
          <w:rFonts w:ascii="Arial" w:hAnsi="Arial" w:cs="Arial"/>
          <w:sz w:val="24"/>
          <w:szCs w:val="24"/>
          <w:lang w:val="en-ZA"/>
        </w:rPr>
        <w:t>. The application for rescission was launched on 20 December 2021.</w:t>
      </w:r>
    </w:p>
    <w:p w:rsidR="003D6D76" w:rsidRPr="009243B0" w:rsidRDefault="003D6D76" w:rsidP="003D6D76">
      <w:pPr>
        <w:spacing w:after="0" w:line="360" w:lineRule="auto"/>
        <w:ind w:left="720" w:hanging="720"/>
        <w:jc w:val="both"/>
        <w:rPr>
          <w:rFonts w:ascii="Arial" w:hAnsi="Arial" w:cs="Arial"/>
          <w:sz w:val="24"/>
          <w:szCs w:val="24"/>
          <w:lang w:val="en-ZA"/>
        </w:rPr>
      </w:pPr>
    </w:p>
    <w:p w:rsidR="00687D46"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[9]</w:t>
      </w:r>
      <w:r>
        <w:rPr>
          <w:rFonts w:ascii="Arial" w:hAnsi="Arial" w:cs="Arial"/>
          <w:sz w:val="24"/>
          <w:szCs w:val="24"/>
          <w:lang w:val="en-ZA"/>
        </w:rPr>
        <w:tab/>
      </w:r>
      <w:r w:rsidR="00687D46" w:rsidRPr="009243B0">
        <w:rPr>
          <w:rFonts w:ascii="Arial" w:hAnsi="Arial" w:cs="Arial"/>
          <w:sz w:val="24"/>
          <w:szCs w:val="24"/>
          <w:lang w:val="en-ZA"/>
        </w:rPr>
        <w:t xml:space="preserve">The court </w:t>
      </w:r>
      <w:r w:rsidR="00687D46" w:rsidRPr="007D5F6E">
        <w:rPr>
          <w:rFonts w:ascii="Arial" w:hAnsi="Arial" w:cs="Arial"/>
          <w:i/>
          <w:sz w:val="24"/>
          <w:szCs w:val="24"/>
          <w:lang w:val="en-ZA"/>
        </w:rPr>
        <w:t>a quo</w:t>
      </w:r>
      <w:r w:rsidR="00687D46" w:rsidRPr="009243B0">
        <w:rPr>
          <w:rFonts w:ascii="Arial" w:hAnsi="Arial" w:cs="Arial"/>
          <w:sz w:val="24"/>
          <w:szCs w:val="24"/>
          <w:lang w:val="en-ZA"/>
        </w:rPr>
        <w:t xml:space="preserve"> made the following finding:</w:t>
      </w:r>
    </w:p>
    <w:p w:rsidR="003D6D76" w:rsidRPr="009243B0" w:rsidRDefault="003D6D76" w:rsidP="003D6D76">
      <w:pPr>
        <w:spacing w:after="0" w:line="360" w:lineRule="auto"/>
        <w:ind w:left="720" w:hanging="720"/>
        <w:jc w:val="both"/>
        <w:rPr>
          <w:rFonts w:ascii="Arial" w:hAnsi="Arial" w:cs="Arial"/>
          <w:sz w:val="24"/>
          <w:szCs w:val="24"/>
          <w:lang w:val="en-ZA"/>
        </w:rPr>
      </w:pPr>
    </w:p>
    <w:p w:rsidR="00687D46" w:rsidRPr="00D35FBF" w:rsidRDefault="00D35FBF" w:rsidP="00D35FBF">
      <w:pPr>
        <w:spacing w:after="0" w:line="360" w:lineRule="auto"/>
        <w:ind w:left="1440"/>
        <w:jc w:val="both"/>
        <w:rPr>
          <w:rFonts w:ascii="Arial" w:hAnsi="Arial" w:cs="Arial"/>
          <w:sz w:val="20"/>
          <w:szCs w:val="20"/>
          <w:lang w:val="en-ZA"/>
        </w:rPr>
      </w:pPr>
      <w:r w:rsidRPr="00D35FBF">
        <w:rPr>
          <w:rFonts w:ascii="Arial" w:hAnsi="Arial" w:cs="Arial"/>
          <w:sz w:val="20"/>
          <w:szCs w:val="20"/>
          <w:lang w:val="en-ZA"/>
        </w:rPr>
        <w:t>‘</w:t>
      </w:r>
      <w:r w:rsidR="00687D46" w:rsidRPr="00D35FBF">
        <w:rPr>
          <w:rFonts w:ascii="Arial" w:hAnsi="Arial" w:cs="Arial"/>
          <w:sz w:val="20"/>
          <w:szCs w:val="20"/>
          <w:lang w:val="en-ZA"/>
        </w:rPr>
        <w:t>The Court agrees with</w:t>
      </w:r>
      <w:r w:rsidRPr="00D35FBF">
        <w:rPr>
          <w:rFonts w:ascii="Arial" w:hAnsi="Arial" w:cs="Arial"/>
          <w:sz w:val="20"/>
          <w:szCs w:val="20"/>
          <w:lang w:val="en-ZA"/>
        </w:rPr>
        <w:t xml:space="preserve"> the submission that actual knowledge of the judgment is required.  There is</w:t>
      </w:r>
      <w:r>
        <w:rPr>
          <w:rFonts w:ascii="Arial" w:hAnsi="Arial" w:cs="Arial"/>
          <w:sz w:val="20"/>
          <w:szCs w:val="20"/>
          <w:lang w:val="en-ZA"/>
        </w:rPr>
        <w:t xml:space="preserve"> </w:t>
      </w:r>
      <w:r w:rsidRPr="00D35FBF">
        <w:rPr>
          <w:rFonts w:ascii="Arial" w:hAnsi="Arial" w:cs="Arial"/>
          <w:sz w:val="20"/>
          <w:szCs w:val="20"/>
          <w:lang w:val="en-ZA"/>
        </w:rPr>
        <w:t>no evidence before Court that the Applicants’</w:t>
      </w:r>
      <w:r>
        <w:rPr>
          <w:rFonts w:ascii="Arial" w:hAnsi="Arial" w:cs="Arial"/>
          <w:sz w:val="20"/>
          <w:szCs w:val="20"/>
          <w:lang w:val="en-ZA"/>
        </w:rPr>
        <w:t xml:space="preserve"> </w:t>
      </w:r>
      <w:r w:rsidRPr="00D35FBF">
        <w:rPr>
          <w:rFonts w:ascii="Arial" w:hAnsi="Arial" w:cs="Arial"/>
          <w:sz w:val="20"/>
          <w:szCs w:val="20"/>
          <w:lang w:val="en-ZA"/>
        </w:rPr>
        <w:t>attorney obtained actual knowledge of the judgment prior to the 17</w:t>
      </w:r>
      <w:r w:rsidRPr="00D35FBF">
        <w:rPr>
          <w:rFonts w:ascii="Arial" w:hAnsi="Arial" w:cs="Arial"/>
          <w:sz w:val="20"/>
          <w:szCs w:val="20"/>
          <w:vertAlign w:val="superscript"/>
          <w:lang w:val="en-ZA"/>
        </w:rPr>
        <w:t>th</w:t>
      </w:r>
      <w:r w:rsidRPr="00D35FBF">
        <w:rPr>
          <w:rFonts w:ascii="Arial" w:hAnsi="Arial" w:cs="Arial"/>
          <w:sz w:val="20"/>
          <w:szCs w:val="20"/>
          <w:lang w:val="en-ZA"/>
        </w:rPr>
        <w:t xml:space="preserve"> of November 202</w:t>
      </w:r>
      <w:r>
        <w:rPr>
          <w:rFonts w:ascii="Arial" w:hAnsi="Arial" w:cs="Arial"/>
          <w:sz w:val="20"/>
          <w:szCs w:val="20"/>
          <w:lang w:val="en-ZA"/>
        </w:rPr>
        <w:t>1</w:t>
      </w:r>
      <w:r w:rsidRPr="00D35FBF">
        <w:rPr>
          <w:rFonts w:ascii="Arial" w:hAnsi="Arial" w:cs="Arial"/>
          <w:sz w:val="20"/>
          <w:szCs w:val="20"/>
          <w:lang w:val="en-ZA"/>
        </w:rPr>
        <w:t>, or that the Applicants did not obtain actual knowledge of the judgment on the 23</w:t>
      </w:r>
      <w:r w:rsidRPr="00D35FBF">
        <w:rPr>
          <w:rFonts w:ascii="Arial" w:hAnsi="Arial" w:cs="Arial"/>
          <w:sz w:val="20"/>
          <w:szCs w:val="20"/>
          <w:vertAlign w:val="superscript"/>
          <w:lang w:val="en-ZA"/>
        </w:rPr>
        <w:t>rd</w:t>
      </w:r>
      <w:r w:rsidRPr="00D35FBF">
        <w:rPr>
          <w:rFonts w:ascii="Arial" w:hAnsi="Arial" w:cs="Arial"/>
          <w:sz w:val="20"/>
          <w:szCs w:val="20"/>
          <w:lang w:val="en-ZA"/>
        </w:rPr>
        <w:t xml:space="preserve"> of November 2021.</w:t>
      </w:r>
      <w:r w:rsidR="00687D46" w:rsidRPr="00D35FBF">
        <w:rPr>
          <w:rFonts w:ascii="Arial" w:hAnsi="Arial" w:cs="Arial"/>
          <w:sz w:val="20"/>
          <w:szCs w:val="20"/>
          <w:lang w:val="en-ZA"/>
        </w:rPr>
        <w:t>’</w:t>
      </w:r>
    </w:p>
    <w:p w:rsidR="003D6D76" w:rsidRPr="009243B0" w:rsidRDefault="003D6D76" w:rsidP="003D6D76">
      <w:pPr>
        <w:spacing w:after="0" w:line="360" w:lineRule="auto"/>
        <w:ind w:left="720" w:hanging="720"/>
        <w:jc w:val="both"/>
        <w:rPr>
          <w:rFonts w:ascii="Arial" w:hAnsi="Arial" w:cs="Arial"/>
          <w:sz w:val="24"/>
          <w:szCs w:val="24"/>
          <w:lang w:val="en-ZA"/>
        </w:rPr>
      </w:pPr>
    </w:p>
    <w:p w:rsidR="001E1264"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[10]</w:t>
      </w:r>
      <w:r>
        <w:rPr>
          <w:rFonts w:ascii="Arial" w:hAnsi="Arial" w:cs="Arial"/>
          <w:sz w:val="24"/>
          <w:szCs w:val="24"/>
          <w:lang w:val="en-ZA"/>
        </w:rPr>
        <w:tab/>
      </w:r>
      <w:r w:rsidR="00687D46" w:rsidRPr="009243B0">
        <w:rPr>
          <w:rFonts w:ascii="Arial" w:hAnsi="Arial" w:cs="Arial"/>
          <w:sz w:val="24"/>
          <w:szCs w:val="24"/>
          <w:lang w:val="en-ZA"/>
        </w:rPr>
        <w:t xml:space="preserve">This finding is confusing because the testimony is that Erasmus was shown a copy of </w:t>
      </w:r>
      <w:r w:rsidR="00603282" w:rsidRPr="009243B0">
        <w:rPr>
          <w:rFonts w:ascii="Arial" w:hAnsi="Arial" w:cs="Arial"/>
          <w:sz w:val="24"/>
          <w:szCs w:val="24"/>
          <w:lang w:val="en-ZA"/>
        </w:rPr>
        <w:t>the order on 23 Novem</w:t>
      </w:r>
      <w:r w:rsidR="00687D46" w:rsidRPr="009243B0">
        <w:rPr>
          <w:rFonts w:ascii="Arial" w:hAnsi="Arial" w:cs="Arial"/>
          <w:sz w:val="24"/>
          <w:szCs w:val="24"/>
          <w:lang w:val="en-ZA"/>
        </w:rPr>
        <w:t>ber 2021.</w:t>
      </w:r>
      <w:r w:rsidR="00603282" w:rsidRPr="009243B0">
        <w:rPr>
          <w:rFonts w:ascii="Arial" w:hAnsi="Arial" w:cs="Arial"/>
          <w:sz w:val="24"/>
          <w:szCs w:val="24"/>
          <w:lang w:val="en-ZA"/>
        </w:rPr>
        <w:t xml:space="preserve"> If that is the date on which the order came to the appellant’s knowledge, no condonation was needed because the </w:t>
      </w:r>
      <w:r w:rsidR="001E1264" w:rsidRPr="009243B0">
        <w:rPr>
          <w:rFonts w:ascii="Arial" w:hAnsi="Arial" w:cs="Arial"/>
          <w:sz w:val="24"/>
          <w:szCs w:val="24"/>
          <w:lang w:val="en-ZA"/>
        </w:rPr>
        <w:t>application would have been brought within the prescribed time limit, 19 days.</w:t>
      </w:r>
      <w:r w:rsidR="00603282" w:rsidRPr="009243B0">
        <w:rPr>
          <w:rFonts w:ascii="Arial" w:hAnsi="Arial" w:cs="Arial"/>
          <w:sz w:val="24"/>
          <w:szCs w:val="24"/>
          <w:lang w:val="en-ZA"/>
        </w:rPr>
        <w:t xml:space="preserve"> If, however, the date on which the appellant became aware of the order was 17 November 2021 then </w:t>
      </w:r>
      <w:r w:rsidR="001E1264" w:rsidRPr="009243B0">
        <w:rPr>
          <w:rFonts w:ascii="Arial" w:hAnsi="Arial" w:cs="Arial"/>
          <w:sz w:val="24"/>
          <w:szCs w:val="24"/>
          <w:lang w:val="en-ZA"/>
        </w:rPr>
        <w:t>the rescission application was 3</w:t>
      </w:r>
      <w:r w:rsidR="00603282" w:rsidRPr="009243B0">
        <w:rPr>
          <w:rFonts w:ascii="Arial" w:hAnsi="Arial" w:cs="Arial"/>
          <w:sz w:val="24"/>
          <w:szCs w:val="24"/>
          <w:lang w:val="en-ZA"/>
        </w:rPr>
        <w:t xml:space="preserve"> days late.</w:t>
      </w:r>
    </w:p>
    <w:p w:rsidR="003D6D76" w:rsidRPr="009243B0" w:rsidRDefault="003D6D76" w:rsidP="003D6D76">
      <w:pPr>
        <w:spacing w:after="0" w:line="360" w:lineRule="auto"/>
        <w:ind w:left="720" w:hanging="720"/>
        <w:jc w:val="both"/>
        <w:rPr>
          <w:rFonts w:ascii="Arial" w:hAnsi="Arial" w:cs="Arial"/>
          <w:sz w:val="24"/>
          <w:szCs w:val="24"/>
          <w:lang w:val="en-ZA"/>
        </w:rPr>
      </w:pPr>
    </w:p>
    <w:p w:rsidR="003D6D76"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[11]</w:t>
      </w:r>
      <w:r>
        <w:rPr>
          <w:rFonts w:ascii="Arial" w:hAnsi="Arial" w:cs="Arial"/>
          <w:sz w:val="24"/>
          <w:szCs w:val="24"/>
          <w:lang w:val="en-ZA"/>
        </w:rPr>
        <w:tab/>
      </w:r>
      <w:r w:rsidR="001E1264" w:rsidRPr="009243B0">
        <w:rPr>
          <w:rFonts w:ascii="Arial" w:hAnsi="Arial" w:cs="Arial"/>
          <w:sz w:val="24"/>
          <w:szCs w:val="24"/>
          <w:lang w:val="en-ZA"/>
        </w:rPr>
        <w:t xml:space="preserve">The court </w:t>
      </w:r>
      <w:r w:rsidR="001E1264" w:rsidRPr="007D5F6E">
        <w:rPr>
          <w:rFonts w:ascii="Arial" w:hAnsi="Arial" w:cs="Arial"/>
          <w:i/>
          <w:sz w:val="24"/>
          <w:szCs w:val="24"/>
          <w:lang w:val="en-ZA"/>
        </w:rPr>
        <w:t>a quo</w:t>
      </w:r>
      <w:r w:rsidR="009E2809">
        <w:rPr>
          <w:rFonts w:ascii="Arial" w:hAnsi="Arial" w:cs="Arial"/>
          <w:sz w:val="24"/>
          <w:szCs w:val="24"/>
          <w:lang w:val="en-ZA"/>
        </w:rPr>
        <w:t xml:space="preserve"> found that the appellants’</w:t>
      </w:r>
      <w:r w:rsidR="001E1264" w:rsidRPr="009243B0">
        <w:rPr>
          <w:rFonts w:ascii="Arial" w:hAnsi="Arial" w:cs="Arial"/>
          <w:sz w:val="24"/>
          <w:szCs w:val="24"/>
          <w:lang w:val="en-ZA"/>
        </w:rPr>
        <w:t xml:space="preserve"> attorney did not proffer any explanation why he failed to contact the appellant</w:t>
      </w:r>
      <w:r w:rsidR="009E2809">
        <w:rPr>
          <w:rFonts w:ascii="Arial" w:hAnsi="Arial" w:cs="Arial"/>
          <w:sz w:val="24"/>
          <w:szCs w:val="24"/>
          <w:lang w:val="en-ZA"/>
        </w:rPr>
        <w:t>s</w:t>
      </w:r>
      <w:r w:rsidR="001E1264" w:rsidRPr="009243B0">
        <w:rPr>
          <w:rFonts w:ascii="Arial" w:hAnsi="Arial" w:cs="Arial"/>
          <w:sz w:val="24"/>
          <w:szCs w:val="24"/>
          <w:lang w:val="en-ZA"/>
        </w:rPr>
        <w:t xml:space="preserve"> telephonically or via e-mail between 17 and 23 November 2021. </w:t>
      </w:r>
      <w:r w:rsidR="00F95273" w:rsidRPr="009243B0">
        <w:rPr>
          <w:rFonts w:ascii="Arial" w:hAnsi="Arial" w:cs="Arial"/>
          <w:sz w:val="24"/>
          <w:szCs w:val="24"/>
          <w:lang w:val="en-ZA"/>
        </w:rPr>
        <w:t>In my view</w:t>
      </w:r>
      <w:r w:rsidR="009E2809">
        <w:rPr>
          <w:rFonts w:ascii="Arial" w:hAnsi="Arial" w:cs="Arial"/>
          <w:sz w:val="24"/>
          <w:szCs w:val="24"/>
          <w:lang w:val="en-ZA"/>
        </w:rPr>
        <w:t>,</w:t>
      </w:r>
      <w:r w:rsidR="00F95273" w:rsidRPr="009243B0">
        <w:rPr>
          <w:rFonts w:ascii="Arial" w:hAnsi="Arial" w:cs="Arial"/>
          <w:sz w:val="24"/>
          <w:szCs w:val="24"/>
          <w:lang w:val="en-ZA"/>
        </w:rPr>
        <w:t xml:space="preserve"> the order of the court </w:t>
      </w:r>
      <w:r w:rsidR="00F95273" w:rsidRPr="007D5F6E">
        <w:rPr>
          <w:rFonts w:ascii="Arial" w:hAnsi="Arial" w:cs="Arial"/>
          <w:i/>
          <w:sz w:val="24"/>
          <w:szCs w:val="24"/>
          <w:lang w:val="en-ZA"/>
        </w:rPr>
        <w:t>a quo</w:t>
      </w:r>
      <w:r w:rsidR="00F95273" w:rsidRPr="009243B0">
        <w:rPr>
          <w:rFonts w:ascii="Arial" w:hAnsi="Arial" w:cs="Arial"/>
          <w:sz w:val="24"/>
          <w:szCs w:val="24"/>
          <w:lang w:val="en-ZA"/>
        </w:rPr>
        <w:t xml:space="preserve"> can only mean that it found that the default</w:t>
      </w:r>
      <w:r w:rsidR="009E2809">
        <w:rPr>
          <w:rFonts w:ascii="Arial" w:hAnsi="Arial" w:cs="Arial"/>
          <w:sz w:val="24"/>
          <w:szCs w:val="24"/>
          <w:lang w:val="en-ZA"/>
        </w:rPr>
        <w:t xml:space="preserve"> judgment came to the appellants’ </w:t>
      </w:r>
      <w:r w:rsidR="00F95273" w:rsidRPr="009243B0">
        <w:rPr>
          <w:rFonts w:ascii="Arial" w:hAnsi="Arial" w:cs="Arial"/>
          <w:sz w:val="24"/>
          <w:szCs w:val="24"/>
          <w:lang w:val="en-ZA"/>
        </w:rPr>
        <w:t>knowledge on 17 November 2021. That is why the appellant had to apply for condonation.</w:t>
      </w:r>
    </w:p>
    <w:p w:rsidR="00277713" w:rsidRDefault="00277713" w:rsidP="003D6D76">
      <w:pPr>
        <w:spacing w:after="0" w:line="360" w:lineRule="auto"/>
        <w:ind w:left="720" w:hanging="720"/>
        <w:jc w:val="both"/>
        <w:rPr>
          <w:rFonts w:ascii="Arial" w:hAnsi="Arial" w:cs="Arial"/>
          <w:sz w:val="24"/>
          <w:szCs w:val="24"/>
          <w:lang w:val="en-ZA"/>
        </w:rPr>
      </w:pPr>
    </w:p>
    <w:p w:rsidR="00D76A40" w:rsidRDefault="00277713" w:rsidP="00DA46F0">
      <w:pPr>
        <w:spacing w:after="0" w:line="360" w:lineRule="auto"/>
        <w:ind w:left="720" w:hanging="720"/>
        <w:jc w:val="both"/>
        <w:rPr>
          <w:rFonts w:ascii="Arial" w:hAnsi="Arial" w:cs="Arial"/>
          <w:sz w:val="24"/>
          <w:szCs w:val="24"/>
          <w:lang w:val="en-ZA"/>
        </w:rPr>
      </w:pPr>
      <w:r>
        <w:rPr>
          <w:rFonts w:ascii="Arial" w:hAnsi="Arial" w:cs="Arial"/>
          <w:sz w:val="24"/>
          <w:szCs w:val="24"/>
          <w:lang w:val="en-ZA"/>
        </w:rPr>
        <w:t>[12]</w:t>
      </w:r>
      <w:r w:rsidR="007B5D76">
        <w:rPr>
          <w:rFonts w:ascii="Arial" w:hAnsi="Arial" w:cs="Arial"/>
          <w:sz w:val="24"/>
          <w:szCs w:val="24"/>
          <w:lang w:val="en-ZA"/>
        </w:rPr>
        <w:tab/>
      </w:r>
      <w:r w:rsidRPr="00DA46F0">
        <w:rPr>
          <w:rFonts w:ascii="Arial" w:hAnsi="Arial" w:cs="Arial"/>
          <w:sz w:val="24"/>
          <w:szCs w:val="24"/>
          <w:lang w:val="en-ZA"/>
        </w:rPr>
        <w:t>In applications for condonati</w:t>
      </w:r>
      <w:r w:rsidR="00F45440">
        <w:rPr>
          <w:rFonts w:ascii="Arial" w:hAnsi="Arial" w:cs="Arial"/>
          <w:sz w:val="24"/>
          <w:szCs w:val="24"/>
          <w:lang w:val="en-ZA"/>
        </w:rPr>
        <w:t>on, the interests of justice are</w:t>
      </w:r>
      <w:r w:rsidRPr="00DA46F0">
        <w:rPr>
          <w:rFonts w:ascii="Arial" w:hAnsi="Arial" w:cs="Arial"/>
          <w:sz w:val="24"/>
          <w:szCs w:val="24"/>
          <w:lang w:val="en-ZA"/>
        </w:rPr>
        <w:t xml:space="preserve"> paramount. In </w:t>
      </w:r>
      <w:proofErr w:type="spellStart"/>
      <w:r w:rsidRPr="00E01380">
        <w:rPr>
          <w:rFonts w:ascii="Arial" w:hAnsi="Arial" w:cs="Arial"/>
          <w:b/>
          <w:sz w:val="24"/>
          <w:szCs w:val="24"/>
          <w:lang w:val="en-ZA"/>
        </w:rPr>
        <w:t>Grootboom</w:t>
      </w:r>
      <w:proofErr w:type="spellEnd"/>
      <w:r w:rsidRPr="00E01380">
        <w:rPr>
          <w:rFonts w:ascii="Arial" w:hAnsi="Arial" w:cs="Arial"/>
          <w:b/>
          <w:sz w:val="24"/>
          <w:szCs w:val="24"/>
          <w:lang w:val="en-ZA"/>
        </w:rPr>
        <w:t xml:space="preserve"> v NPA</w:t>
      </w:r>
      <w:r w:rsidRPr="00DA46F0">
        <w:rPr>
          <w:rStyle w:val="FootnoteReference"/>
          <w:rFonts w:ascii="Arial" w:hAnsi="Arial" w:cs="Arial"/>
          <w:sz w:val="24"/>
          <w:szCs w:val="24"/>
          <w:lang w:val="en-ZA"/>
        </w:rPr>
        <w:footnoteReference w:id="3"/>
      </w:r>
      <w:r w:rsidR="00D76A40" w:rsidRPr="00DA46F0">
        <w:rPr>
          <w:rFonts w:ascii="Arial" w:hAnsi="Arial" w:cs="Arial"/>
          <w:sz w:val="24"/>
          <w:szCs w:val="24"/>
          <w:lang w:val="en-ZA"/>
        </w:rPr>
        <w:t xml:space="preserve"> it was stated that:</w:t>
      </w:r>
    </w:p>
    <w:p w:rsidR="005F7876" w:rsidRPr="00DA46F0" w:rsidRDefault="005F7876" w:rsidP="00DA46F0">
      <w:pPr>
        <w:spacing w:after="0" w:line="360" w:lineRule="auto"/>
        <w:ind w:left="720" w:hanging="720"/>
        <w:jc w:val="both"/>
        <w:rPr>
          <w:rFonts w:ascii="Arial" w:hAnsi="Arial" w:cs="Arial"/>
          <w:sz w:val="24"/>
          <w:szCs w:val="24"/>
          <w:lang w:val="en-ZA"/>
        </w:rPr>
      </w:pPr>
    </w:p>
    <w:p w:rsidR="00D76A40" w:rsidRPr="005F7876" w:rsidRDefault="00277713" w:rsidP="00E01380">
      <w:pPr>
        <w:spacing w:after="0" w:line="360" w:lineRule="auto"/>
        <w:ind w:left="1440"/>
        <w:jc w:val="both"/>
        <w:rPr>
          <w:rFonts w:ascii="Arial" w:hAnsi="Arial" w:cs="Arial"/>
          <w:sz w:val="20"/>
          <w:szCs w:val="20"/>
          <w:lang w:val="en-ZA"/>
        </w:rPr>
      </w:pPr>
      <w:r w:rsidRPr="005F7876">
        <w:rPr>
          <w:rFonts w:ascii="Arial" w:hAnsi="Arial" w:cs="Arial"/>
          <w:sz w:val="20"/>
          <w:szCs w:val="20"/>
          <w:lang w:val="en-ZA"/>
        </w:rPr>
        <w:t>‘</w:t>
      </w:r>
      <w:r w:rsidR="00D76A40" w:rsidRPr="005F7876">
        <w:rPr>
          <w:rFonts w:ascii="Arial" w:hAnsi="Arial" w:cs="Arial"/>
          <w:color w:val="242121"/>
          <w:sz w:val="20"/>
          <w:szCs w:val="20"/>
        </w:rPr>
        <w:t xml:space="preserve">However, the concept “interests of justice” is so elastic that it is not capable of precise definition. As the two cases demonstrate, it includes: the nature of the relief sought; the extent and cause of the delay; the effect of the delay on the administration of justice and other litigants; the reasonableness of the explanation for the delay; the importance </w:t>
      </w:r>
      <w:r w:rsidR="00D76A40" w:rsidRPr="005F7876">
        <w:rPr>
          <w:rFonts w:ascii="Arial" w:hAnsi="Arial" w:cs="Arial"/>
          <w:color w:val="242121"/>
          <w:sz w:val="20"/>
          <w:szCs w:val="20"/>
        </w:rPr>
        <w:lastRenderedPageBreak/>
        <w:t>of the issue to be raised in the intended appeal; and the prospects of success. It is crucial to reiterate that both </w:t>
      </w:r>
      <w:proofErr w:type="spellStart"/>
      <w:r w:rsidR="00D76A40" w:rsidRPr="005F7876">
        <w:rPr>
          <w:rFonts w:ascii="Arial" w:hAnsi="Arial" w:cs="Arial"/>
          <w:i/>
          <w:iCs/>
          <w:color w:val="242121"/>
          <w:sz w:val="20"/>
          <w:szCs w:val="20"/>
        </w:rPr>
        <w:t>Brummer</w:t>
      </w:r>
      <w:proofErr w:type="spellEnd"/>
      <w:r w:rsidR="00D76A40" w:rsidRPr="005F7876">
        <w:rPr>
          <w:rFonts w:ascii="Arial" w:hAnsi="Arial" w:cs="Arial"/>
          <w:color w:val="242121"/>
          <w:sz w:val="20"/>
          <w:szCs w:val="20"/>
        </w:rPr>
        <w:t> and </w:t>
      </w:r>
      <w:r w:rsidR="00D76A40" w:rsidRPr="005F7876">
        <w:rPr>
          <w:rFonts w:ascii="Arial" w:hAnsi="Arial" w:cs="Arial"/>
          <w:i/>
          <w:iCs/>
          <w:color w:val="242121"/>
          <w:sz w:val="20"/>
          <w:szCs w:val="20"/>
        </w:rPr>
        <w:t xml:space="preserve">Van </w:t>
      </w:r>
      <w:proofErr w:type="spellStart"/>
      <w:r w:rsidR="00D76A40" w:rsidRPr="005F7876">
        <w:rPr>
          <w:rFonts w:ascii="Arial" w:hAnsi="Arial" w:cs="Arial"/>
          <w:i/>
          <w:iCs/>
          <w:color w:val="242121"/>
          <w:sz w:val="20"/>
          <w:szCs w:val="20"/>
        </w:rPr>
        <w:t>Wyk</w:t>
      </w:r>
      <w:proofErr w:type="spellEnd"/>
      <w:r w:rsidR="00D76A40" w:rsidRPr="005F7876">
        <w:rPr>
          <w:rFonts w:ascii="Arial" w:hAnsi="Arial" w:cs="Arial"/>
          <w:color w:val="242121"/>
          <w:sz w:val="20"/>
          <w:szCs w:val="20"/>
        </w:rPr>
        <w:t> emphasise that the ultimate determination of what is in the interests of justice must reflect due regard to all the relevant factors but it is not necessarily limited to those mentioned above. The particular circumstances of each case will determine which of these factors are relevant.</w:t>
      </w:r>
    </w:p>
    <w:p w:rsidR="00D76A40" w:rsidRPr="00E01380" w:rsidRDefault="00D76A40" w:rsidP="00E01380">
      <w:pPr>
        <w:pStyle w:val="western"/>
        <w:shd w:val="clear" w:color="auto" w:fill="FFFFFF"/>
        <w:spacing w:before="0" w:beforeAutospacing="0" w:after="0" w:afterAutospacing="0" w:line="360" w:lineRule="auto"/>
        <w:ind w:left="1800" w:hanging="360"/>
        <w:jc w:val="both"/>
        <w:rPr>
          <w:rFonts w:ascii="Arial" w:hAnsi="Arial" w:cs="Arial"/>
          <w:color w:val="242121"/>
          <w:sz w:val="20"/>
          <w:szCs w:val="20"/>
        </w:rPr>
      </w:pPr>
    </w:p>
    <w:p w:rsidR="00D76A40" w:rsidRPr="00E01380" w:rsidRDefault="00F45440" w:rsidP="00F45440">
      <w:pPr>
        <w:pStyle w:val="western"/>
        <w:shd w:val="clear" w:color="auto" w:fill="FFFFFF"/>
        <w:spacing w:before="0" w:beforeAutospacing="0" w:after="0" w:afterAutospacing="0" w:line="360" w:lineRule="auto"/>
        <w:ind w:left="1418" w:hanging="1418"/>
        <w:jc w:val="both"/>
        <w:rPr>
          <w:rFonts w:ascii="Arial" w:hAnsi="Arial" w:cs="Arial"/>
          <w:color w:val="242121"/>
          <w:sz w:val="20"/>
          <w:szCs w:val="20"/>
        </w:rPr>
      </w:pPr>
      <w:bookmarkStart w:id="2" w:name="_Ref368909256"/>
      <w:bookmarkEnd w:id="2"/>
      <w:r>
        <w:rPr>
          <w:rFonts w:ascii="Arial" w:hAnsi="Arial" w:cs="Arial"/>
          <w:color w:val="242121"/>
          <w:sz w:val="20"/>
          <w:szCs w:val="20"/>
        </w:rPr>
        <w:t xml:space="preserve">                          </w:t>
      </w:r>
      <w:r w:rsidR="00D76A40" w:rsidRPr="00E01380">
        <w:rPr>
          <w:rFonts w:ascii="Arial" w:hAnsi="Arial" w:cs="Arial"/>
          <w:color w:val="242121"/>
          <w:sz w:val="20"/>
          <w:szCs w:val="20"/>
        </w:rPr>
        <w:t>It is now trite that condonation cannot be had for the mere asking. A party seeking condonation must make out a case entitling it to the court’s indulgence. It must show sufficient cause. This requires a party to give a full explanation for the non-compliance with the rules or court’s directions. Of great significance, the explanation must be reasonable enough to excuse the default.</w:t>
      </w:r>
      <w:r w:rsidR="00E01380">
        <w:rPr>
          <w:rFonts w:ascii="Arial" w:hAnsi="Arial" w:cs="Arial"/>
          <w:color w:val="242121"/>
          <w:sz w:val="20"/>
          <w:szCs w:val="20"/>
        </w:rPr>
        <w:t>’</w:t>
      </w:r>
      <w:r w:rsidR="00D76A40" w:rsidRPr="00E01380">
        <w:rPr>
          <w:rStyle w:val="FootnoteReference"/>
          <w:rFonts w:ascii="Arial" w:hAnsi="Arial" w:cs="Arial"/>
          <w:color w:val="242121"/>
          <w:sz w:val="20"/>
          <w:szCs w:val="20"/>
        </w:rPr>
        <w:footnoteReference w:id="4"/>
      </w:r>
    </w:p>
    <w:p w:rsidR="00277713" w:rsidRPr="00DA46F0" w:rsidRDefault="00277713" w:rsidP="00E01380">
      <w:pPr>
        <w:spacing w:after="0" w:line="360" w:lineRule="auto"/>
        <w:ind w:left="720" w:hanging="720"/>
        <w:jc w:val="both"/>
        <w:rPr>
          <w:rFonts w:ascii="Arial" w:hAnsi="Arial" w:cs="Arial"/>
          <w:sz w:val="24"/>
          <w:szCs w:val="24"/>
          <w:lang w:val="en-ZA"/>
        </w:rPr>
      </w:pPr>
    </w:p>
    <w:p w:rsidR="00C513C6" w:rsidRDefault="009C33A3" w:rsidP="009C33A3">
      <w:pPr>
        <w:pStyle w:val="western"/>
        <w:shd w:val="clear" w:color="auto" w:fill="FFFFFF"/>
        <w:spacing w:before="0" w:beforeAutospacing="0" w:after="0" w:afterAutospacing="0" w:line="360" w:lineRule="auto"/>
        <w:ind w:left="720" w:hanging="720"/>
        <w:jc w:val="both"/>
        <w:rPr>
          <w:rFonts w:ascii="Arial" w:hAnsi="Arial" w:cs="Arial"/>
        </w:rPr>
      </w:pPr>
      <w:r>
        <w:rPr>
          <w:rFonts w:ascii="Arial" w:hAnsi="Arial" w:cs="Arial"/>
        </w:rPr>
        <w:t>[13]</w:t>
      </w:r>
      <w:r>
        <w:rPr>
          <w:rFonts w:ascii="Arial" w:hAnsi="Arial" w:cs="Arial"/>
        </w:rPr>
        <w:tab/>
      </w:r>
      <w:r w:rsidR="00C513C6" w:rsidRPr="00DA46F0">
        <w:rPr>
          <w:rFonts w:ascii="Arial" w:hAnsi="Arial" w:cs="Arial"/>
        </w:rPr>
        <w:t xml:space="preserve">In the minority judgment the manner in which the interests of justice should be determined was set out thus: </w:t>
      </w:r>
    </w:p>
    <w:p w:rsidR="00E01380" w:rsidRPr="00DA46F0" w:rsidRDefault="00E01380" w:rsidP="00E01380">
      <w:pPr>
        <w:pStyle w:val="western"/>
        <w:shd w:val="clear" w:color="auto" w:fill="FFFFFF"/>
        <w:spacing w:before="0" w:beforeAutospacing="0" w:after="0" w:afterAutospacing="0" w:line="360" w:lineRule="auto"/>
        <w:jc w:val="both"/>
        <w:rPr>
          <w:rFonts w:ascii="Arial" w:hAnsi="Arial" w:cs="Arial"/>
        </w:rPr>
      </w:pPr>
    </w:p>
    <w:p w:rsidR="00C513C6" w:rsidRPr="00E01380" w:rsidRDefault="00C513C6" w:rsidP="00E01380">
      <w:pPr>
        <w:pStyle w:val="western"/>
        <w:shd w:val="clear" w:color="auto" w:fill="FFFFFF"/>
        <w:spacing w:before="0" w:beforeAutospacing="0" w:after="0" w:afterAutospacing="0" w:line="360" w:lineRule="auto"/>
        <w:ind w:left="1440"/>
        <w:jc w:val="both"/>
        <w:rPr>
          <w:rFonts w:ascii="Arial" w:hAnsi="Arial" w:cs="Arial"/>
          <w:color w:val="242121"/>
          <w:sz w:val="20"/>
          <w:szCs w:val="20"/>
        </w:rPr>
      </w:pPr>
      <w:r w:rsidRPr="00E01380">
        <w:rPr>
          <w:rFonts w:ascii="Arial" w:hAnsi="Arial" w:cs="Arial"/>
          <w:sz w:val="20"/>
          <w:szCs w:val="20"/>
        </w:rPr>
        <w:t>‘</w:t>
      </w:r>
      <w:r w:rsidRPr="00E01380">
        <w:rPr>
          <w:rFonts w:ascii="Arial" w:hAnsi="Arial" w:cs="Arial"/>
          <w:color w:val="242121"/>
          <w:sz w:val="20"/>
          <w:szCs w:val="20"/>
        </w:rPr>
        <w:t>The interests of justice must be determined with reference to all relevant factors. However, some of the factors may justifiably be left out of consideration in certain circumstances. For example, where the delay is unacceptably excessive and there is no explanation for the delay, there may be no need to consider the prospects of success. If the period of delay is short and there is an unsatisfactory explanation but there are reasonable prospects of success, condonation should be granted. However, despite the presence of reasonable prospects of success, condonation may be refused where the delay is excessive, the explanation is non-existent and granting condonation would prejudice the other party. As a general proposition the various factors are not individually decisive but should all be taken into account to arrive at a conclusion as to what is in the interests of justice.’</w:t>
      </w:r>
      <w:r w:rsidRPr="00E01380">
        <w:rPr>
          <w:rStyle w:val="FootnoteReference"/>
          <w:rFonts w:ascii="Arial" w:hAnsi="Arial" w:cs="Arial"/>
          <w:color w:val="242121"/>
          <w:sz w:val="20"/>
          <w:szCs w:val="20"/>
        </w:rPr>
        <w:footnoteReference w:id="5"/>
      </w:r>
    </w:p>
    <w:p w:rsidR="00C513C6" w:rsidRPr="00DA46F0" w:rsidRDefault="00C513C6" w:rsidP="00E01380">
      <w:pPr>
        <w:spacing w:after="0" w:line="360" w:lineRule="auto"/>
        <w:ind w:left="720" w:hanging="720"/>
        <w:jc w:val="both"/>
        <w:rPr>
          <w:rFonts w:ascii="Arial" w:hAnsi="Arial" w:cs="Arial"/>
          <w:sz w:val="24"/>
          <w:szCs w:val="24"/>
          <w:lang w:val="en-ZA"/>
        </w:rPr>
      </w:pPr>
    </w:p>
    <w:p w:rsidR="000A098F" w:rsidRDefault="00E01380" w:rsidP="00E01380">
      <w:pPr>
        <w:spacing w:after="0" w:line="360" w:lineRule="auto"/>
        <w:ind w:left="720" w:hanging="720"/>
        <w:jc w:val="both"/>
        <w:rPr>
          <w:rFonts w:ascii="Arial" w:hAnsi="Arial" w:cs="Arial"/>
          <w:sz w:val="24"/>
          <w:szCs w:val="24"/>
          <w:lang w:val="en-ZA"/>
        </w:rPr>
      </w:pPr>
      <w:r>
        <w:rPr>
          <w:rFonts w:ascii="Arial" w:hAnsi="Arial" w:cs="Arial"/>
          <w:sz w:val="24"/>
          <w:szCs w:val="24"/>
          <w:lang w:val="en-ZA"/>
        </w:rPr>
        <w:t>[1</w:t>
      </w:r>
      <w:r w:rsidR="009C33A3">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r>
      <w:r w:rsidR="00813564" w:rsidRPr="00DA46F0">
        <w:rPr>
          <w:rFonts w:ascii="Arial" w:hAnsi="Arial" w:cs="Arial"/>
          <w:sz w:val="24"/>
          <w:szCs w:val="24"/>
          <w:lang w:val="en-ZA"/>
        </w:rPr>
        <w:t xml:space="preserve">The appellants did not state whether the </w:t>
      </w:r>
      <w:r w:rsidR="00EA5E4E" w:rsidRPr="00DA46F0">
        <w:rPr>
          <w:rFonts w:ascii="Arial" w:hAnsi="Arial" w:cs="Arial"/>
          <w:sz w:val="24"/>
          <w:szCs w:val="24"/>
          <w:lang w:val="en-ZA"/>
        </w:rPr>
        <w:t>application for rescission was brought in terms of Uniform Rule 31</w:t>
      </w:r>
      <w:r w:rsidR="00813564" w:rsidRPr="00DA46F0">
        <w:rPr>
          <w:rFonts w:ascii="Arial" w:hAnsi="Arial" w:cs="Arial"/>
          <w:sz w:val="24"/>
          <w:szCs w:val="24"/>
          <w:lang w:val="en-ZA"/>
        </w:rPr>
        <w:t>(2)(b)</w:t>
      </w:r>
      <w:r w:rsidR="00813564" w:rsidRPr="00DA46F0">
        <w:rPr>
          <w:rStyle w:val="FootnoteReference"/>
          <w:rFonts w:ascii="Arial" w:hAnsi="Arial" w:cs="Arial"/>
          <w:sz w:val="24"/>
          <w:szCs w:val="24"/>
          <w:lang w:val="en-ZA"/>
        </w:rPr>
        <w:footnoteReference w:id="6"/>
      </w:r>
      <w:r w:rsidR="00813564" w:rsidRPr="00DA46F0">
        <w:rPr>
          <w:rFonts w:ascii="Arial" w:hAnsi="Arial" w:cs="Arial"/>
          <w:sz w:val="24"/>
          <w:szCs w:val="24"/>
          <w:lang w:val="en-ZA"/>
        </w:rPr>
        <w:t xml:space="preserve"> or</w:t>
      </w:r>
      <w:r w:rsidR="00EA5E4E" w:rsidRPr="00DA46F0">
        <w:rPr>
          <w:rFonts w:ascii="Arial" w:hAnsi="Arial" w:cs="Arial"/>
          <w:sz w:val="24"/>
          <w:szCs w:val="24"/>
          <w:lang w:val="en-ZA"/>
        </w:rPr>
        <w:t xml:space="preserve"> Rule 42(1)(a)</w:t>
      </w:r>
      <w:r w:rsidR="00813564" w:rsidRPr="00DA46F0">
        <w:rPr>
          <w:rStyle w:val="FootnoteReference"/>
          <w:rFonts w:ascii="Arial" w:hAnsi="Arial" w:cs="Arial"/>
          <w:sz w:val="24"/>
          <w:szCs w:val="24"/>
          <w:lang w:val="en-ZA"/>
        </w:rPr>
        <w:footnoteReference w:id="7"/>
      </w:r>
      <w:r w:rsidR="00EA5E4E" w:rsidRPr="00DA46F0">
        <w:rPr>
          <w:rFonts w:ascii="Arial" w:hAnsi="Arial" w:cs="Arial"/>
          <w:sz w:val="24"/>
          <w:szCs w:val="24"/>
          <w:lang w:val="en-ZA"/>
        </w:rPr>
        <w:t>. The appe</w:t>
      </w:r>
      <w:r w:rsidR="00813564" w:rsidRPr="00DA46F0">
        <w:rPr>
          <w:rFonts w:ascii="Arial" w:hAnsi="Arial" w:cs="Arial"/>
          <w:sz w:val="24"/>
          <w:szCs w:val="24"/>
          <w:lang w:val="en-ZA"/>
        </w:rPr>
        <w:t>llants</w:t>
      </w:r>
      <w:r w:rsidR="00F45440">
        <w:rPr>
          <w:rFonts w:ascii="Arial" w:hAnsi="Arial" w:cs="Arial"/>
          <w:sz w:val="24"/>
          <w:szCs w:val="24"/>
          <w:lang w:val="en-ZA"/>
        </w:rPr>
        <w:t>,</w:t>
      </w:r>
      <w:r w:rsidR="00813564" w:rsidRPr="00DA46F0">
        <w:rPr>
          <w:rFonts w:ascii="Arial" w:hAnsi="Arial" w:cs="Arial"/>
          <w:sz w:val="24"/>
          <w:szCs w:val="24"/>
          <w:lang w:val="en-ZA"/>
        </w:rPr>
        <w:t xml:space="preserve"> amongst others</w:t>
      </w:r>
      <w:r w:rsidR="00F45440">
        <w:rPr>
          <w:rFonts w:ascii="Arial" w:hAnsi="Arial" w:cs="Arial"/>
          <w:sz w:val="24"/>
          <w:szCs w:val="24"/>
          <w:lang w:val="en-ZA"/>
        </w:rPr>
        <w:t>,</w:t>
      </w:r>
      <w:r w:rsidR="00813564" w:rsidRPr="00DA46F0">
        <w:rPr>
          <w:rFonts w:ascii="Arial" w:hAnsi="Arial" w:cs="Arial"/>
          <w:sz w:val="24"/>
          <w:szCs w:val="24"/>
          <w:lang w:val="en-ZA"/>
        </w:rPr>
        <w:t xml:space="preserve"> alleged that </w:t>
      </w:r>
      <w:r w:rsidR="00EA5E4E" w:rsidRPr="00DA46F0">
        <w:rPr>
          <w:rFonts w:ascii="Arial" w:hAnsi="Arial" w:cs="Arial"/>
          <w:sz w:val="24"/>
          <w:szCs w:val="24"/>
          <w:lang w:val="en-ZA"/>
        </w:rPr>
        <w:t>the summonses w</w:t>
      </w:r>
      <w:r w:rsidR="00813564" w:rsidRPr="00DA46F0">
        <w:rPr>
          <w:rFonts w:ascii="Arial" w:hAnsi="Arial" w:cs="Arial"/>
          <w:sz w:val="24"/>
          <w:szCs w:val="24"/>
          <w:lang w:val="en-ZA"/>
        </w:rPr>
        <w:t xml:space="preserve">ere not properly served on them, because </w:t>
      </w:r>
      <w:r w:rsidR="00813564" w:rsidRPr="00DA46F0">
        <w:rPr>
          <w:rFonts w:ascii="Arial" w:hAnsi="Arial" w:cs="Arial"/>
          <w:sz w:val="24"/>
          <w:szCs w:val="24"/>
          <w:lang w:val="en-ZA"/>
        </w:rPr>
        <w:lastRenderedPageBreak/>
        <w:t xml:space="preserve">they were served at the chosen </w:t>
      </w:r>
      <w:proofErr w:type="spellStart"/>
      <w:r w:rsidR="00813564" w:rsidRPr="00DA46F0">
        <w:rPr>
          <w:rFonts w:ascii="Arial" w:hAnsi="Arial" w:cs="Arial"/>
          <w:sz w:val="24"/>
          <w:szCs w:val="24"/>
          <w:lang w:val="en-ZA"/>
        </w:rPr>
        <w:t>domicil</w:t>
      </w:r>
      <w:r>
        <w:rPr>
          <w:rFonts w:ascii="Arial" w:hAnsi="Arial" w:cs="Arial"/>
          <w:sz w:val="24"/>
          <w:szCs w:val="24"/>
          <w:lang w:val="en-ZA"/>
        </w:rPr>
        <w:t>i</w:t>
      </w:r>
      <w:r w:rsidR="00813564" w:rsidRPr="00DA46F0">
        <w:rPr>
          <w:rFonts w:ascii="Arial" w:hAnsi="Arial" w:cs="Arial"/>
          <w:sz w:val="24"/>
          <w:szCs w:val="24"/>
          <w:lang w:val="en-ZA"/>
        </w:rPr>
        <w:t>um</w:t>
      </w:r>
      <w:proofErr w:type="spellEnd"/>
      <w:r w:rsidR="00813564" w:rsidRPr="00DA46F0">
        <w:rPr>
          <w:rFonts w:ascii="Arial" w:hAnsi="Arial" w:cs="Arial"/>
          <w:sz w:val="24"/>
          <w:szCs w:val="24"/>
          <w:lang w:val="en-ZA"/>
        </w:rPr>
        <w:t xml:space="preserve"> of the WLLT, whilst the respondent knew that the WLLT had vacated the premises. The court </w:t>
      </w:r>
      <w:r w:rsidR="00813564" w:rsidRPr="00101923">
        <w:rPr>
          <w:rFonts w:ascii="Arial" w:hAnsi="Arial" w:cs="Arial"/>
          <w:i/>
          <w:sz w:val="24"/>
          <w:szCs w:val="24"/>
          <w:lang w:val="en-ZA"/>
        </w:rPr>
        <w:t>a quo</w:t>
      </w:r>
      <w:r w:rsidR="00813564" w:rsidRPr="00DA46F0">
        <w:rPr>
          <w:rFonts w:ascii="Arial" w:hAnsi="Arial" w:cs="Arial"/>
          <w:sz w:val="24"/>
          <w:szCs w:val="24"/>
          <w:lang w:val="en-ZA"/>
        </w:rPr>
        <w:t xml:space="preserve"> and the parties dealt with the application as a Rule 31(2)(b) application.</w:t>
      </w:r>
      <w:r w:rsidR="009E2809" w:rsidRPr="00DA46F0">
        <w:rPr>
          <w:rFonts w:ascii="Arial" w:hAnsi="Arial" w:cs="Arial"/>
          <w:sz w:val="24"/>
          <w:szCs w:val="24"/>
          <w:lang w:val="en-ZA"/>
        </w:rPr>
        <w:t xml:space="preserve"> We will </w:t>
      </w:r>
      <w:r w:rsidR="00F45440">
        <w:rPr>
          <w:rFonts w:ascii="Arial" w:hAnsi="Arial" w:cs="Arial"/>
          <w:sz w:val="24"/>
          <w:szCs w:val="24"/>
          <w:lang w:val="en-ZA"/>
        </w:rPr>
        <w:t>also deal with it on this</w:t>
      </w:r>
      <w:r w:rsidR="009E2809" w:rsidRPr="00DA46F0">
        <w:rPr>
          <w:rFonts w:ascii="Arial" w:hAnsi="Arial" w:cs="Arial"/>
          <w:sz w:val="24"/>
          <w:szCs w:val="24"/>
          <w:lang w:val="en-ZA"/>
        </w:rPr>
        <w:t xml:space="preserve"> basis, </w:t>
      </w:r>
      <w:r w:rsidR="000A098F" w:rsidRPr="00DA46F0">
        <w:rPr>
          <w:rFonts w:ascii="Arial" w:hAnsi="Arial" w:cs="Arial"/>
          <w:sz w:val="24"/>
          <w:szCs w:val="24"/>
          <w:lang w:val="en-ZA"/>
        </w:rPr>
        <w:t xml:space="preserve">although Rule 42(1)(a) is also applicable, because if there was no proper service on a party then the order or judgment was erroneously sought and </w:t>
      </w:r>
      <w:r w:rsidR="00F45440">
        <w:rPr>
          <w:rFonts w:ascii="Arial" w:hAnsi="Arial" w:cs="Arial"/>
          <w:sz w:val="24"/>
          <w:szCs w:val="24"/>
          <w:lang w:val="en-ZA"/>
        </w:rPr>
        <w:t xml:space="preserve">erroneously </w:t>
      </w:r>
      <w:r w:rsidR="000A098F" w:rsidRPr="00DA46F0">
        <w:rPr>
          <w:rFonts w:ascii="Arial" w:hAnsi="Arial" w:cs="Arial"/>
          <w:sz w:val="24"/>
          <w:szCs w:val="24"/>
          <w:lang w:val="en-ZA"/>
        </w:rPr>
        <w:t>obtained.</w:t>
      </w:r>
      <w:r w:rsidR="002A4379" w:rsidRPr="00DA46F0">
        <w:rPr>
          <w:rFonts w:ascii="Arial" w:hAnsi="Arial" w:cs="Arial"/>
          <w:sz w:val="24"/>
          <w:szCs w:val="24"/>
          <w:lang w:val="en-ZA"/>
        </w:rPr>
        <w:t xml:space="preserve"> </w:t>
      </w:r>
    </w:p>
    <w:p w:rsidR="00E01380" w:rsidRPr="00DA46F0" w:rsidRDefault="00E01380" w:rsidP="00E01380">
      <w:pPr>
        <w:spacing w:after="0" w:line="360" w:lineRule="auto"/>
        <w:ind w:left="720" w:hanging="720"/>
        <w:jc w:val="both"/>
        <w:rPr>
          <w:rFonts w:ascii="Arial" w:hAnsi="Arial" w:cs="Arial"/>
          <w:sz w:val="24"/>
          <w:szCs w:val="24"/>
          <w:lang w:val="en-ZA"/>
        </w:rPr>
      </w:pPr>
    </w:p>
    <w:p w:rsidR="002A4379" w:rsidRDefault="002A4379" w:rsidP="00E01380">
      <w:pPr>
        <w:spacing w:after="0" w:line="360" w:lineRule="auto"/>
        <w:ind w:left="720" w:hanging="720"/>
        <w:jc w:val="both"/>
        <w:rPr>
          <w:rFonts w:ascii="Arial" w:hAnsi="Arial" w:cs="Arial"/>
          <w:sz w:val="24"/>
          <w:szCs w:val="24"/>
          <w:lang w:val="en-ZA"/>
        </w:rPr>
      </w:pPr>
      <w:r w:rsidRPr="00DA46F0">
        <w:rPr>
          <w:rFonts w:ascii="Arial" w:hAnsi="Arial" w:cs="Arial"/>
          <w:sz w:val="24"/>
          <w:szCs w:val="24"/>
          <w:lang w:val="en-ZA"/>
        </w:rPr>
        <w:t>[1</w:t>
      </w:r>
      <w:r w:rsidR="009C33A3">
        <w:rPr>
          <w:rFonts w:ascii="Arial" w:hAnsi="Arial" w:cs="Arial"/>
          <w:sz w:val="24"/>
          <w:szCs w:val="24"/>
          <w:lang w:val="en-ZA"/>
        </w:rPr>
        <w:t>5</w:t>
      </w:r>
      <w:r w:rsidRPr="00DA46F0">
        <w:rPr>
          <w:rFonts w:ascii="Arial" w:hAnsi="Arial" w:cs="Arial"/>
          <w:sz w:val="24"/>
          <w:szCs w:val="24"/>
          <w:lang w:val="en-ZA"/>
        </w:rPr>
        <w:t xml:space="preserve">]     In </w:t>
      </w:r>
      <w:proofErr w:type="spellStart"/>
      <w:r w:rsidRPr="00E01380">
        <w:rPr>
          <w:rFonts w:ascii="Arial" w:hAnsi="Arial" w:cs="Arial"/>
          <w:b/>
          <w:sz w:val="24"/>
          <w:szCs w:val="24"/>
          <w:lang w:val="en-ZA"/>
        </w:rPr>
        <w:t>Lodhi</w:t>
      </w:r>
      <w:proofErr w:type="spellEnd"/>
      <w:r w:rsidRPr="00E01380">
        <w:rPr>
          <w:rFonts w:ascii="Arial" w:hAnsi="Arial" w:cs="Arial"/>
          <w:b/>
          <w:sz w:val="24"/>
          <w:szCs w:val="24"/>
          <w:lang w:val="en-ZA"/>
        </w:rPr>
        <w:t xml:space="preserve"> 2 Properties v </w:t>
      </w:r>
      <w:proofErr w:type="spellStart"/>
      <w:r w:rsidRPr="00E01380">
        <w:rPr>
          <w:rFonts w:ascii="Arial" w:hAnsi="Arial" w:cs="Arial"/>
          <w:b/>
          <w:sz w:val="24"/>
          <w:szCs w:val="24"/>
          <w:lang w:val="en-ZA"/>
        </w:rPr>
        <w:t>Bondev</w:t>
      </w:r>
      <w:proofErr w:type="spellEnd"/>
      <w:r w:rsidRPr="00E01380">
        <w:rPr>
          <w:rFonts w:ascii="Arial" w:hAnsi="Arial" w:cs="Arial"/>
          <w:b/>
          <w:sz w:val="24"/>
          <w:szCs w:val="24"/>
          <w:lang w:val="en-ZA"/>
        </w:rPr>
        <w:t xml:space="preserve"> Development</w:t>
      </w:r>
      <w:r w:rsidRPr="00DA46F0">
        <w:rPr>
          <w:rStyle w:val="FootnoteReference"/>
          <w:rFonts w:ascii="Arial" w:hAnsi="Arial" w:cs="Arial"/>
          <w:sz w:val="24"/>
          <w:szCs w:val="24"/>
          <w:lang w:val="en-ZA"/>
        </w:rPr>
        <w:footnoteReference w:id="8"/>
      </w:r>
      <w:r w:rsidRPr="00DA46F0">
        <w:rPr>
          <w:rFonts w:ascii="Arial" w:hAnsi="Arial" w:cs="Arial"/>
          <w:sz w:val="24"/>
          <w:szCs w:val="24"/>
          <w:lang w:val="en-ZA"/>
        </w:rPr>
        <w:t xml:space="preserve"> it was said:</w:t>
      </w:r>
    </w:p>
    <w:p w:rsidR="00E01380" w:rsidRPr="00DA46F0" w:rsidRDefault="00E01380" w:rsidP="00E01380">
      <w:pPr>
        <w:spacing w:after="0" w:line="360" w:lineRule="auto"/>
        <w:ind w:left="720" w:hanging="720"/>
        <w:jc w:val="both"/>
        <w:rPr>
          <w:rFonts w:ascii="Arial" w:hAnsi="Arial" w:cs="Arial"/>
          <w:sz w:val="24"/>
          <w:szCs w:val="24"/>
          <w:lang w:val="en-ZA"/>
        </w:rPr>
      </w:pPr>
    </w:p>
    <w:p w:rsidR="002A4379" w:rsidRPr="00E01380" w:rsidRDefault="002A4379" w:rsidP="00E01380">
      <w:pPr>
        <w:pStyle w:val="western"/>
        <w:shd w:val="clear" w:color="auto" w:fill="FFFFFF"/>
        <w:spacing w:before="0" w:beforeAutospacing="0" w:after="0" w:afterAutospacing="0" w:line="360" w:lineRule="auto"/>
        <w:ind w:left="1440"/>
        <w:jc w:val="both"/>
        <w:rPr>
          <w:rFonts w:ascii="Arial" w:hAnsi="Arial" w:cs="Arial"/>
          <w:color w:val="242121"/>
          <w:sz w:val="20"/>
          <w:szCs w:val="20"/>
          <w:lang w:val="en-GB"/>
        </w:rPr>
      </w:pPr>
      <w:r w:rsidRPr="00E01380">
        <w:rPr>
          <w:rFonts w:ascii="Arial" w:hAnsi="Arial" w:cs="Arial"/>
          <w:sz w:val="20"/>
          <w:szCs w:val="20"/>
        </w:rPr>
        <w:t>‘</w:t>
      </w:r>
      <w:r w:rsidRPr="00E01380">
        <w:rPr>
          <w:rFonts w:ascii="Arial" w:hAnsi="Arial" w:cs="Arial"/>
          <w:color w:val="242121"/>
          <w:sz w:val="20"/>
          <w:szCs w:val="20"/>
          <w:lang w:val="en-GB"/>
        </w:rPr>
        <w:t>Where notice of proceedings to a party is required and judgment is granted against such party in his absence without notice of the proceedings having been given to him such judgment is granted erroneously. That is so not only if the absence of proper notice appears from the record of the proceedings as it exists when judgment is granted but also if, contrary to what appears from such record, proper notice of the proceedings has in fact not been given. That would be the case if the sheriff’s return of service wrongly indicates that the relevant document has been served as required by the rules whereas there has for some or other reason not been service of the document. In such a case, the party in whose favour the judgment is given is not entitled to judgment because of an error in the proceedings. If, in these circumstances, judgment is granted in the absence of the party concerned the judgment is granted erroneously. See in this regard </w:t>
      </w:r>
      <w:proofErr w:type="spellStart"/>
      <w:r w:rsidRPr="00E01380">
        <w:rPr>
          <w:rFonts w:ascii="Arial" w:hAnsi="Arial" w:cs="Arial"/>
          <w:i/>
          <w:iCs/>
          <w:color w:val="242121"/>
          <w:sz w:val="20"/>
          <w:szCs w:val="20"/>
          <w:lang w:val="en-GB"/>
        </w:rPr>
        <w:t>Fraind</w:t>
      </w:r>
      <w:proofErr w:type="spellEnd"/>
      <w:r w:rsidRPr="00E01380">
        <w:rPr>
          <w:rFonts w:ascii="Arial" w:hAnsi="Arial" w:cs="Arial"/>
          <w:i/>
          <w:iCs/>
          <w:color w:val="242121"/>
          <w:sz w:val="20"/>
          <w:szCs w:val="20"/>
          <w:lang w:val="en-GB"/>
        </w:rPr>
        <w:t xml:space="preserve"> v </w:t>
      </w:r>
      <w:proofErr w:type="spellStart"/>
      <w:r w:rsidRPr="00E01380">
        <w:rPr>
          <w:rFonts w:ascii="Arial" w:hAnsi="Arial" w:cs="Arial"/>
          <w:i/>
          <w:iCs/>
          <w:color w:val="242121"/>
          <w:sz w:val="20"/>
          <w:szCs w:val="20"/>
          <w:lang w:val="en-GB"/>
        </w:rPr>
        <w:t>Nothmann</w:t>
      </w:r>
      <w:proofErr w:type="spellEnd"/>
      <w:r w:rsidRPr="00E01380">
        <w:rPr>
          <w:rFonts w:ascii="Arial" w:hAnsi="Arial" w:cs="Arial"/>
          <w:color w:val="242121"/>
          <w:sz w:val="20"/>
          <w:szCs w:val="20"/>
          <w:lang w:val="en-GB"/>
        </w:rPr>
        <w:t> </w:t>
      </w:r>
      <w:hyperlink r:id="rId9" w:tooltip="View LawCiteRecord" w:history="1">
        <w:r w:rsidRPr="00E01380">
          <w:rPr>
            <w:rStyle w:val="Hyperlink"/>
            <w:rFonts w:ascii="Arial" w:hAnsi="Arial" w:cs="Arial"/>
            <w:bCs/>
            <w:color w:val="auto"/>
            <w:sz w:val="20"/>
            <w:szCs w:val="20"/>
            <w:u w:val="none"/>
            <w:lang w:val="en-GB"/>
          </w:rPr>
          <w:t>1991 (3) SA 837</w:t>
        </w:r>
      </w:hyperlink>
      <w:r w:rsidRPr="00E01380">
        <w:rPr>
          <w:rFonts w:ascii="Arial" w:hAnsi="Arial" w:cs="Arial"/>
          <w:sz w:val="20"/>
          <w:szCs w:val="20"/>
          <w:lang w:val="en-GB"/>
        </w:rPr>
        <w:t> </w:t>
      </w:r>
      <w:r w:rsidRPr="00E01380">
        <w:rPr>
          <w:rFonts w:ascii="Arial" w:hAnsi="Arial" w:cs="Arial"/>
          <w:color w:val="242121"/>
          <w:sz w:val="20"/>
          <w:szCs w:val="20"/>
          <w:lang w:val="en-GB"/>
        </w:rPr>
        <w:t xml:space="preserve">(W) where judgment by default was granted on the strength of a return of service which indicated that the summons had </w:t>
      </w:r>
      <w:r w:rsidR="008D3266">
        <w:rPr>
          <w:rFonts w:ascii="Arial" w:hAnsi="Arial" w:cs="Arial"/>
          <w:color w:val="242121"/>
          <w:sz w:val="20"/>
          <w:szCs w:val="20"/>
          <w:lang w:val="en-GB"/>
        </w:rPr>
        <w:t>1</w:t>
      </w:r>
      <w:r w:rsidRPr="00E01380">
        <w:rPr>
          <w:rFonts w:ascii="Arial" w:hAnsi="Arial" w:cs="Arial"/>
          <w:color w:val="242121"/>
          <w:sz w:val="20"/>
          <w:szCs w:val="20"/>
          <w:lang w:val="en-GB"/>
        </w:rPr>
        <w:t>been served at the defendant’s residential address. In an application for rescission the defendant alleged that the summons had not been served on him as the address at which service had been effected had no longer been his residential address at the relevant time. The default judgment was rescinded on the basis that it had been granted erroneously.</w:t>
      </w:r>
      <w:r w:rsidRPr="00E01380">
        <w:rPr>
          <w:rFonts w:ascii="Arial" w:hAnsi="Arial" w:cs="Arial"/>
          <w:b/>
          <w:bCs/>
          <w:color w:val="242121"/>
          <w:sz w:val="20"/>
          <w:szCs w:val="20"/>
          <w:lang w:val="en-GB"/>
        </w:rPr>
        <w:t>’</w:t>
      </w:r>
      <w:r w:rsidRPr="00E01380">
        <w:rPr>
          <w:rStyle w:val="FootnoteReference"/>
          <w:rFonts w:ascii="Arial" w:hAnsi="Arial" w:cs="Arial"/>
          <w:b/>
          <w:bCs/>
          <w:color w:val="242121"/>
          <w:sz w:val="20"/>
          <w:szCs w:val="20"/>
          <w:lang w:val="en-GB"/>
        </w:rPr>
        <w:footnoteReference w:id="9"/>
      </w:r>
    </w:p>
    <w:p w:rsidR="00E01380" w:rsidRDefault="00E01380" w:rsidP="00E01380">
      <w:pPr>
        <w:spacing w:after="0" w:line="360" w:lineRule="auto"/>
        <w:ind w:left="720" w:hanging="720"/>
        <w:jc w:val="both"/>
        <w:rPr>
          <w:rFonts w:ascii="Arial" w:hAnsi="Arial" w:cs="Arial"/>
          <w:sz w:val="24"/>
          <w:szCs w:val="24"/>
          <w:lang w:val="en-ZA"/>
        </w:rPr>
      </w:pPr>
    </w:p>
    <w:p w:rsidR="002A4379" w:rsidRPr="00DA46F0" w:rsidRDefault="00E01380" w:rsidP="00E01380">
      <w:pPr>
        <w:spacing w:after="0" w:line="360" w:lineRule="auto"/>
        <w:ind w:left="720" w:hanging="720"/>
        <w:jc w:val="both"/>
        <w:rPr>
          <w:rFonts w:ascii="Arial" w:hAnsi="Arial" w:cs="Arial"/>
          <w:sz w:val="24"/>
          <w:szCs w:val="24"/>
          <w:lang w:val="en-ZA"/>
        </w:rPr>
      </w:pPr>
      <w:r>
        <w:rPr>
          <w:rFonts w:ascii="Arial" w:hAnsi="Arial" w:cs="Arial"/>
          <w:sz w:val="24"/>
          <w:szCs w:val="24"/>
          <w:lang w:val="en-ZA"/>
        </w:rPr>
        <w:t>[1</w:t>
      </w:r>
      <w:r w:rsidR="009C33A3">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2A4379" w:rsidRPr="00DA46F0">
        <w:rPr>
          <w:rFonts w:ascii="Arial" w:hAnsi="Arial" w:cs="Arial"/>
          <w:sz w:val="24"/>
          <w:szCs w:val="24"/>
          <w:lang w:val="en-ZA"/>
        </w:rPr>
        <w:t xml:space="preserve">An applicant in a Rule 42 application does not have to show sufficient cause or a </w:t>
      </w:r>
      <w:r w:rsidR="002A4379" w:rsidRPr="00316E63">
        <w:rPr>
          <w:rFonts w:ascii="Arial" w:hAnsi="Arial" w:cs="Arial"/>
          <w:i/>
          <w:sz w:val="24"/>
          <w:szCs w:val="24"/>
          <w:lang w:val="en-ZA"/>
        </w:rPr>
        <w:t>bona fide</w:t>
      </w:r>
      <w:r w:rsidR="002A4379" w:rsidRPr="00DA46F0">
        <w:rPr>
          <w:rFonts w:ascii="Arial" w:hAnsi="Arial" w:cs="Arial"/>
          <w:sz w:val="24"/>
          <w:szCs w:val="24"/>
          <w:lang w:val="en-ZA"/>
        </w:rPr>
        <w:t xml:space="preserve"> defence. In order for an applicant who approaches the Court in terms of Rule 31 </w:t>
      </w:r>
      <w:r w:rsidR="005C512B" w:rsidRPr="00DA46F0">
        <w:rPr>
          <w:rFonts w:ascii="Arial" w:hAnsi="Arial" w:cs="Arial"/>
          <w:sz w:val="24"/>
          <w:szCs w:val="24"/>
          <w:lang w:val="en-ZA"/>
        </w:rPr>
        <w:t>to succeed, such applicant must:</w:t>
      </w:r>
    </w:p>
    <w:p w:rsidR="005C512B" w:rsidRPr="00DA46F0" w:rsidRDefault="005C512B" w:rsidP="00E01380">
      <w:pPr>
        <w:pStyle w:val="ListParagraph"/>
        <w:numPr>
          <w:ilvl w:val="0"/>
          <w:numId w:val="4"/>
        </w:numPr>
        <w:spacing w:after="0" w:line="360" w:lineRule="auto"/>
        <w:ind w:left="1350" w:hanging="630"/>
        <w:jc w:val="both"/>
        <w:rPr>
          <w:rFonts w:ascii="Arial" w:hAnsi="Arial" w:cs="Arial"/>
          <w:sz w:val="24"/>
          <w:szCs w:val="24"/>
          <w:lang w:val="en-ZA"/>
        </w:rPr>
      </w:pPr>
      <w:r w:rsidRPr="00DA46F0">
        <w:rPr>
          <w:rFonts w:ascii="Arial" w:hAnsi="Arial" w:cs="Arial"/>
          <w:sz w:val="24"/>
          <w:szCs w:val="24"/>
          <w:lang w:val="en-ZA"/>
        </w:rPr>
        <w:t>give a reasonable explanation of his default;</w:t>
      </w:r>
    </w:p>
    <w:p w:rsidR="005C512B" w:rsidRPr="00DA46F0" w:rsidRDefault="005C512B" w:rsidP="00E01380">
      <w:pPr>
        <w:pStyle w:val="ListParagraph"/>
        <w:numPr>
          <w:ilvl w:val="0"/>
          <w:numId w:val="4"/>
        </w:numPr>
        <w:spacing w:after="0" w:line="360" w:lineRule="auto"/>
        <w:ind w:left="1350" w:hanging="630"/>
        <w:jc w:val="both"/>
        <w:rPr>
          <w:rFonts w:ascii="Arial" w:hAnsi="Arial" w:cs="Arial"/>
          <w:sz w:val="24"/>
          <w:szCs w:val="24"/>
          <w:lang w:val="en-ZA"/>
        </w:rPr>
      </w:pPr>
      <w:r w:rsidRPr="00DA46F0">
        <w:rPr>
          <w:rFonts w:ascii="Arial" w:hAnsi="Arial" w:cs="Arial"/>
          <w:sz w:val="24"/>
          <w:szCs w:val="24"/>
          <w:lang w:val="en-ZA"/>
        </w:rPr>
        <w:t xml:space="preserve">show that the application was made </w:t>
      </w:r>
      <w:r w:rsidRPr="00316E63">
        <w:rPr>
          <w:rFonts w:ascii="Arial" w:hAnsi="Arial" w:cs="Arial"/>
          <w:i/>
          <w:sz w:val="24"/>
          <w:szCs w:val="24"/>
          <w:lang w:val="en-ZA"/>
        </w:rPr>
        <w:t>bona fide</w:t>
      </w:r>
      <w:r w:rsidRPr="00DA46F0">
        <w:rPr>
          <w:rFonts w:ascii="Arial" w:hAnsi="Arial" w:cs="Arial"/>
          <w:sz w:val="24"/>
          <w:szCs w:val="24"/>
          <w:lang w:val="en-ZA"/>
        </w:rPr>
        <w:t xml:space="preserve"> and not made with the intention of merely delaying plaintiff’s claim;</w:t>
      </w:r>
    </w:p>
    <w:p w:rsidR="005C512B" w:rsidRPr="00DA46F0" w:rsidRDefault="005C512B" w:rsidP="00E01380">
      <w:pPr>
        <w:pStyle w:val="ListParagraph"/>
        <w:numPr>
          <w:ilvl w:val="0"/>
          <w:numId w:val="4"/>
        </w:numPr>
        <w:spacing w:after="0" w:line="360" w:lineRule="auto"/>
        <w:ind w:left="1350" w:hanging="630"/>
        <w:jc w:val="both"/>
        <w:rPr>
          <w:rFonts w:ascii="Arial" w:hAnsi="Arial" w:cs="Arial"/>
          <w:sz w:val="24"/>
          <w:szCs w:val="24"/>
          <w:lang w:val="en-ZA"/>
        </w:rPr>
      </w:pPr>
      <w:r w:rsidRPr="00DA46F0">
        <w:rPr>
          <w:rFonts w:ascii="Arial" w:hAnsi="Arial" w:cs="Arial"/>
          <w:sz w:val="24"/>
          <w:szCs w:val="24"/>
          <w:lang w:val="en-ZA"/>
        </w:rPr>
        <w:lastRenderedPageBreak/>
        <w:t xml:space="preserve">show that he has a </w:t>
      </w:r>
      <w:r w:rsidRPr="00300C18">
        <w:rPr>
          <w:rFonts w:ascii="Arial" w:hAnsi="Arial" w:cs="Arial"/>
          <w:i/>
          <w:sz w:val="24"/>
          <w:szCs w:val="24"/>
          <w:lang w:val="en-ZA"/>
        </w:rPr>
        <w:t>bona fide</w:t>
      </w:r>
      <w:r w:rsidRPr="00DA46F0">
        <w:rPr>
          <w:rFonts w:ascii="Arial" w:hAnsi="Arial" w:cs="Arial"/>
          <w:sz w:val="24"/>
          <w:szCs w:val="24"/>
          <w:lang w:val="en-ZA"/>
        </w:rPr>
        <w:t xml:space="preserve"> defence to the plaintiff’s claim. It is sufficient if he makes out a </w:t>
      </w:r>
      <w:r w:rsidRPr="00316E63">
        <w:rPr>
          <w:rFonts w:ascii="Arial" w:hAnsi="Arial" w:cs="Arial"/>
          <w:i/>
          <w:sz w:val="24"/>
          <w:szCs w:val="24"/>
          <w:lang w:val="en-ZA"/>
        </w:rPr>
        <w:t>prima facie</w:t>
      </w:r>
      <w:r w:rsidRPr="00DA46F0">
        <w:rPr>
          <w:rFonts w:ascii="Arial" w:hAnsi="Arial" w:cs="Arial"/>
          <w:sz w:val="24"/>
          <w:szCs w:val="24"/>
          <w:lang w:val="en-ZA"/>
        </w:rPr>
        <w:t xml:space="preserve"> defence in the sense of setting out averments which established at trial would entitle him to relief asked for.</w:t>
      </w:r>
      <w:r w:rsidR="00FB3703" w:rsidRPr="00DA46F0">
        <w:rPr>
          <w:rStyle w:val="FootnoteReference"/>
          <w:rFonts w:ascii="Arial" w:hAnsi="Arial" w:cs="Arial"/>
          <w:sz w:val="24"/>
          <w:szCs w:val="24"/>
          <w:lang w:val="en-ZA"/>
        </w:rPr>
        <w:footnoteReference w:id="10"/>
      </w:r>
      <w:r w:rsidR="00FB3703" w:rsidRPr="00DA46F0">
        <w:rPr>
          <w:rFonts w:ascii="Arial" w:hAnsi="Arial" w:cs="Arial"/>
          <w:sz w:val="24"/>
          <w:szCs w:val="24"/>
          <w:lang w:val="en-ZA"/>
        </w:rPr>
        <w:t xml:space="preserve"> </w:t>
      </w:r>
    </w:p>
    <w:p w:rsidR="00F95273" w:rsidRPr="00DA46F0" w:rsidRDefault="00813564" w:rsidP="00E01380">
      <w:pPr>
        <w:spacing w:after="0" w:line="360" w:lineRule="auto"/>
        <w:ind w:left="720" w:hanging="720"/>
        <w:jc w:val="both"/>
        <w:rPr>
          <w:rFonts w:ascii="Arial" w:hAnsi="Arial" w:cs="Arial"/>
          <w:sz w:val="24"/>
          <w:szCs w:val="24"/>
          <w:lang w:val="en-ZA"/>
        </w:rPr>
      </w:pPr>
      <w:r w:rsidRPr="00DA46F0">
        <w:rPr>
          <w:rFonts w:ascii="Arial" w:hAnsi="Arial" w:cs="Arial"/>
          <w:sz w:val="24"/>
          <w:szCs w:val="24"/>
          <w:lang w:val="en-ZA"/>
        </w:rPr>
        <w:t xml:space="preserve">  </w:t>
      </w:r>
    </w:p>
    <w:p w:rsidR="00D87E81"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[1</w:t>
      </w:r>
      <w:r w:rsidR="009C33A3">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F95273" w:rsidRPr="009243B0">
        <w:rPr>
          <w:rFonts w:ascii="Arial" w:hAnsi="Arial" w:cs="Arial"/>
          <w:sz w:val="24"/>
          <w:szCs w:val="24"/>
          <w:lang w:val="en-ZA"/>
        </w:rPr>
        <w:t>The rescission application was three days late, which is not an inordinately long period. Weak as the explanation is,</w:t>
      </w:r>
      <w:r w:rsidR="000A098F">
        <w:rPr>
          <w:rFonts w:ascii="Arial" w:hAnsi="Arial" w:cs="Arial"/>
          <w:sz w:val="24"/>
          <w:szCs w:val="24"/>
          <w:lang w:val="en-ZA"/>
        </w:rPr>
        <w:t xml:space="preserve"> it is clear that the appellant</w:t>
      </w:r>
      <w:r w:rsidR="00F95273" w:rsidRPr="009243B0">
        <w:rPr>
          <w:rFonts w:ascii="Arial" w:hAnsi="Arial" w:cs="Arial"/>
          <w:sz w:val="24"/>
          <w:szCs w:val="24"/>
          <w:lang w:val="en-ZA"/>
        </w:rPr>
        <w:t>s</w:t>
      </w:r>
      <w:r w:rsidR="000A098F">
        <w:rPr>
          <w:rFonts w:ascii="Arial" w:hAnsi="Arial" w:cs="Arial"/>
          <w:sz w:val="24"/>
          <w:szCs w:val="24"/>
          <w:lang w:val="en-ZA"/>
        </w:rPr>
        <w:t>’ attorney did not inform them</w:t>
      </w:r>
      <w:r w:rsidR="00F95273" w:rsidRPr="009243B0">
        <w:rPr>
          <w:rFonts w:ascii="Arial" w:hAnsi="Arial" w:cs="Arial"/>
          <w:sz w:val="24"/>
          <w:szCs w:val="24"/>
          <w:lang w:val="en-ZA"/>
        </w:rPr>
        <w:t xml:space="preserve"> of the default judgment be</w:t>
      </w:r>
      <w:r w:rsidR="003A1077" w:rsidRPr="009243B0">
        <w:rPr>
          <w:rFonts w:ascii="Arial" w:hAnsi="Arial" w:cs="Arial"/>
          <w:sz w:val="24"/>
          <w:szCs w:val="24"/>
          <w:lang w:val="en-ZA"/>
        </w:rPr>
        <w:t>tween 17 and 23 November 2021. Although t</w:t>
      </w:r>
      <w:r w:rsidR="00F95273" w:rsidRPr="009243B0">
        <w:rPr>
          <w:rFonts w:ascii="Arial" w:hAnsi="Arial" w:cs="Arial"/>
          <w:sz w:val="24"/>
          <w:szCs w:val="24"/>
          <w:lang w:val="en-ZA"/>
        </w:rPr>
        <w:t>here is a limit beyond which a litigant should not be allowed to hide behind its attorney’s dilatoriness</w:t>
      </w:r>
      <w:r w:rsidR="000A098F">
        <w:rPr>
          <w:rFonts w:ascii="Arial" w:hAnsi="Arial" w:cs="Arial"/>
          <w:sz w:val="24"/>
          <w:szCs w:val="24"/>
          <w:lang w:val="en-ZA"/>
        </w:rPr>
        <w:t xml:space="preserve"> and tardiness,</w:t>
      </w:r>
      <w:r w:rsidR="00137F11">
        <w:rPr>
          <w:rFonts w:ascii="Arial" w:hAnsi="Arial" w:cs="Arial"/>
          <w:sz w:val="24"/>
          <w:szCs w:val="24"/>
          <w:lang w:val="en-ZA"/>
        </w:rPr>
        <w:t xml:space="preserve"> the appellants’ </w:t>
      </w:r>
      <w:r w:rsidR="00137F11" w:rsidRPr="00316E63">
        <w:rPr>
          <w:rFonts w:ascii="Arial" w:hAnsi="Arial" w:cs="Arial"/>
          <w:i/>
          <w:sz w:val="24"/>
          <w:szCs w:val="24"/>
          <w:lang w:val="en-ZA"/>
        </w:rPr>
        <w:t>bona fide</w:t>
      </w:r>
      <w:r w:rsidR="00137F11">
        <w:rPr>
          <w:rFonts w:ascii="Arial" w:hAnsi="Arial" w:cs="Arial"/>
          <w:sz w:val="24"/>
          <w:szCs w:val="24"/>
          <w:lang w:val="en-ZA"/>
        </w:rPr>
        <w:t xml:space="preserve"> defence weighs heavily in their</w:t>
      </w:r>
      <w:r w:rsidR="003A1077" w:rsidRPr="009243B0">
        <w:rPr>
          <w:rFonts w:ascii="Arial" w:hAnsi="Arial" w:cs="Arial"/>
          <w:sz w:val="24"/>
          <w:szCs w:val="24"/>
          <w:lang w:val="en-ZA"/>
        </w:rPr>
        <w:t xml:space="preserve"> favour. </w:t>
      </w:r>
    </w:p>
    <w:p w:rsidR="003D6D76" w:rsidRPr="009243B0" w:rsidRDefault="003D6D76" w:rsidP="003D6D76">
      <w:pPr>
        <w:spacing w:after="0" w:line="360" w:lineRule="auto"/>
        <w:ind w:left="720" w:hanging="720"/>
        <w:jc w:val="both"/>
        <w:rPr>
          <w:rFonts w:ascii="Arial" w:hAnsi="Arial" w:cs="Arial"/>
          <w:sz w:val="24"/>
          <w:szCs w:val="24"/>
          <w:lang w:val="en-ZA"/>
        </w:rPr>
      </w:pPr>
    </w:p>
    <w:p w:rsidR="003D6D76"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[1</w:t>
      </w:r>
      <w:r w:rsidR="009C33A3">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r>
      <w:r w:rsidR="003A1077" w:rsidRPr="009243B0">
        <w:rPr>
          <w:rFonts w:ascii="Arial" w:hAnsi="Arial" w:cs="Arial"/>
          <w:sz w:val="24"/>
          <w:szCs w:val="24"/>
          <w:lang w:val="en-ZA"/>
        </w:rPr>
        <w:t>The manner in which the respondent obtained the default judgment is suggestive of an orchestrated</w:t>
      </w:r>
      <w:r w:rsidR="00590976">
        <w:rPr>
          <w:rFonts w:ascii="Arial" w:hAnsi="Arial" w:cs="Arial"/>
          <w:sz w:val="24"/>
          <w:szCs w:val="24"/>
          <w:lang w:val="en-ZA"/>
        </w:rPr>
        <w:t xml:space="preserve"> Street</w:t>
      </w:r>
      <w:r w:rsidR="003A1077" w:rsidRPr="009243B0">
        <w:rPr>
          <w:rFonts w:ascii="Arial" w:hAnsi="Arial" w:cs="Arial"/>
          <w:sz w:val="24"/>
          <w:szCs w:val="24"/>
          <w:lang w:val="en-ZA"/>
        </w:rPr>
        <w:t xml:space="preserve"> plan. The respondent caused the summons to be served at 53 </w:t>
      </w:r>
      <w:r w:rsidR="007645FD" w:rsidRPr="009243B0">
        <w:rPr>
          <w:rFonts w:ascii="Arial" w:hAnsi="Arial" w:cs="Arial"/>
          <w:sz w:val="24"/>
          <w:szCs w:val="24"/>
          <w:lang w:val="en-ZA"/>
        </w:rPr>
        <w:t xml:space="preserve">East </w:t>
      </w:r>
      <w:r w:rsidR="007645FD">
        <w:rPr>
          <w:rFonts w:ascii="Arial" w:hAnsi="Arial" w:cs="Arial"/>
          <w:sz w:val="24"/>
          <w:szCs w:val="24"/>
          <w:lang w:val="en-ZA"/>
        </w:rPr>
        <w:t xml:space="preserve">Burger </w:t>
      </w:r>
      <w:r w:rsidR="00A003E2">
        <w:rPr>
          <w:rFonts w:ascii="Arial" w:hAnsi="Arial" w:cs="Arial"/>
          <w:sz w:val="24"/>
          <w:szCs w:val="24"/>
          <w:lang w:val="en-ZA"/>
        </w:rPr>
        <w:t xml:space="preserve">Street </w:t>
      </w:r>
      <w:r w:rsidR="00F45440">
        <w:rPr>
          <w:rFonts w:ascii="Arial" w:hAnsi="Arial" w:cs="Arial"/>
          <w:sz w:val="24"/>
          <w:szCs w:val="24"/>
          <w:lang w:val="en-ZA"/>
        </w:rPr>
        <w:t>knowing</w:t>
      </w:r>
      <w:r w:rsidR="003A1077" w:rsidRPr="009243B0">
        <w:rPr>
          <w:rFonts w:ascii="Arial" w:hAnsi="Arial" w:cs="Arial"/>
          <w:sz w:val="24"/>
          <w:szCs w:val="24"/>
          <w:lang w:val="en-ZA"/>
        </w:rPr>
        <w:t xml:space="preserve"> that the appellant ceased conducting business at that address.</w:t>
      </w:r>
    </w:p>
    <w:p w:rsidR="002D207E" w:rsidRPr="009243B0" w:rsidRDefault="003A1077" w:rsidP="003D6D76">
      <w:pPr>
        <w:spacing w:after="0" w:line="360" w:lineRule="auto"/>
        <w:ind w:left="720" w:hanging="720"/>
        <w:jc w:val="both"/>
        <w:rPr>
          <w:rFonts w:ascii="Arial" w:hAnsi="Arial" w:cs="Arial"/>
          <w:sz w:val="24"/>
          <w:szCs w:val="24"/>
          <w:lang w:val="en-ZA"/>
        </w:rPr>
      </w:pPr>
      <w:r w:rsidRPr="009243B0">
        <w:rPr>
          <w:rFonts w:ascii="Arial" w:hAnsi="Arial" w:cs="Arial"/>
          <w:sz w:val="24"/>
          <w:szCs w:val="24"/>
          <w:lang w:val="en-ZA"/>
        </w:rPr>
        <w:t xml:space="preserve"> </w:t>
      </w:r>
    </w:p>
    <w:p w:rsidR="006C0BC3"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[1</w:t>
      </w:r>
      <w:r w:rsidR="009C33A3">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BB0033" w:rsidRPr="009243B0">
        <w:rPr>
          <w:rFonts w:ascii="Arial" w:hAnsi="Arial" w:cs="Arial"/>
          <w:sz w:val="24"/>
          <w:szCs w:val="24"/>
          <w:lang w:val="en-ZA"/>
        </w:rPr>
        <w:t>This is so because</w:t>
      </w:r>
      <w:r w:rsidR="00D87E81" w:rsidRPr="009243B0">
        <w:rPr>
          <w:rFonts w:ascii="Arial" w:hAnsi="Arial" w:cs="Arial"/>
          <w:sz w:val="24"/>
          <w:szCs w:val="24"/>
          <w:lang w:val="en-ZA"/>
        </w:rPr>
        <w:t xml:space="preserve">, during March 2021 the respondent’s </w:t>
      </w:r>
      <w:r w:rsidR="00BB0033" w:rsidRPr="009243B0">
        <w:rPr>
          <w:rFonts w:ascii="Arial" w:hAnsi="Arial" w:cs="Arial"/>
          <w:sz w:val="24"/>
          <w:szCs w:val="24"/>
          <w:lang w:val="en-ZA"/>
        </w:rPr>
        <w:t>attorneys</w:t>
      </w:r>
      <w:r w:rsidR="00D87E81" w:rsidRPr="009243B0">
        <w:rPr>
          <w:rFonts w:ascii="Arial" w:hAnsi="Arial" w:cs="Arial"/>
          <w:sz w:val="24"/>
          <w:szCs w:val="24"/>
          <w:lang w:val="en-ZA"/>
        </w:rPr>
        <w:t>, whilst acting for its predecessor,</w:t>
      </w:r>
      <w:r w:rsidR="00F45440">
        <w:rPr>
          <w:rFonts w:ascii="Arial" w:hAnsi="Arial" w:cs="Arial"/>
          <w:sz w:val="24"/>
          <w:szCs w:val="24"/>
          <w:lang w:val="en-ZA"/>
        </w:rPr>
        <w:t xml:space="preserve"> sent the</w:t>
      </w:r>
      <w:r w:rsidR="00BB0033" w:rsidRPr="009243B0">
        <w:rPr>
          <w:rFonts w:ascii="Arial" w:hAnsi="Arial" w:cs="Arial"/>
          <w:sz w:val="24"/>
          <w:szCs w:val="24"/>
          <w:lang w:val="en-ZA"/>
        </w:rPr>
        <w:t xml:space="preserve"> l</w:t>
      </w:r>
      <w:r w:rsidR="00F45440">
        <w:rPr>
          <w:rFonts w:ascii="Arial" w:hAnsi="Arial" w:cs="Arial"/>
          <w:sz w:val="24"/>
          <w:szCs w:val="24"/>
          <w:lang w:val="en-ZA"/>
        </w:rPr>
        <w:t>etter of demand to the WLLT</w:t>
      </w:r>
      <w:r w:rsidR="00BB0033" w:rsidRPr="009243B0">
        <w:rPr>
          <w:rFonts w:ascii="Arial" w:hAnsi="Arial" w:cs="Arial"/>
          <w:sz w:val="24"/>
          <w:szCs w:val="24"/>
          <w:lang w:val="en-ZA"/>
        </w:rPr>
        <w:t xml:space="preserve"> claiming the same amount and for the replacement of the air</w:t>
      </w:r>
      <w:r w:rsidR="00D87E81" w:rsidRPr="009243B0">
        <w:rPr>
          <w:rFonts w:ascii="Arial" w:hAnsi="Arial" w:cs="Arial"/>
          <w:sz w:val="24"/>
          <w:szCs w:val="24"/>
          <w:lang w:val="en-ZA"/>
        </w:rPr>
        <w:t xml:space="preserve"> </w:t>
      </w:r>
      <w:r w:rsidR="00BB0033" w:rsidRPr="009243B0">
        <w:rPr>
          <w:rFonts w:ascii="Arial" w:hAnsi="Arial" w:cs="Arial"/>
          <w:sz w:val="24"/>
          <w:szCs w:val="24"/>
          <w:lang w:val="en-ZA"/>
        </w:rPr>
        <w:t>conditioner.</w:t>
      </w:r>
      <w:r w:rsidR="00645F3B" w:rsidRPr="009243B0">
        <w:rPr>
          <w:rFonts w:ascii="Arial" w:hAnsi="Arial" w:cs="Arial"/>
          <w:sz w:val="24"/>
          <w:szCs w:val="24"/>
          <w:lang w:val="en-ZA"/>
        </w:rPr>
        <w:t xml:space="preserve"> </w:t>
      </w:r>
      <w:r w:rsidR="00495004" w:rsidRPr="009243B0">
        <w:rPr>
          <w:rFonts w:ascii="Arial" w:hAnsi="Arial" w:cs="Arial"/>
          <w:sz w:val="24"/>
          <w:szCs w:val="24"/>
          <w:lang w:val="en-ZA"/>
        </w:rPr>
        <w:t>At that stage, on the probabilities, the respondent’s a</w:t>
      </w:r>
      <w:r w:rsidR="00F45440">
        <w:rPr>
          <w:rFonts w:ascii="Arial" w:hAnsi="Arial" w:cs="Arial"/>
          <w:sz w:val="24"/>
          <w:szCs w:val="24"/>
          <w:lang w:val="en-ZA"/>
        </w:rPr>
        <w:t>ttorneys knew that the WLLT</w:t>
      </w:r>
      <w:r w:rsidR="00495004" w:rsidRPr="009243B0">
        <w:rPr>
          <w:rFonts w:ascii="Arial" w:hAnsi="Arial" w:cs="Arial"/>
          <w:sz w:val="24"/>
          <w:szCs w:val="24"/>
          <w:lang w:val="en-ZA"/>
        </w:rPr>
        <w:t xml:space="preserve"> is n</w:t>
      </w:r>
      <w:r w:rsidR="002D207E" w:rsidRPr="009243B0">
        <w:rPr>
          <w:rFonts w:ascii="Arial" w:hAnsi="Arial" w:cs="Arial"/>
          <w:sz w:val="24"/>
          <w:szCs w:val="24"/>
          <w:lang w:val="en-ZA"/>
        </w:rPr>
        <w:t>o longer occupying the premises, because it used a different address (</w:t>
      </w:r>
      <w:proofErr w:type="spellStart"/>
      <w:r w:rsidR="002D207E" w:rsidRPr="009243B0">
        <w:rPr>
          <w:rFonts w:ascii="Arial" w:hAnsi="Arial" w:cs="Arial"/>
          <w:sz w:val="24"/>
          <w:szCs w:val="24"/>
          <w:lang w:val="en-ZA"/>
        </w:rPr>
        <w:t>Gruis</w:t>
      </w:r>
      <w:proofErr w:type="spellEnd"/>
      <w:r w:rsidR="002D207E" w:rsidRPr="009243B0">
        <w:rPr>
          <w:rFonts w:ascii="Arial" w:hAnsi="Arial" w:cs="Arial"/>
          <w:sz w:val="24"/>
          <w:szCs w:val="24"/>
          <w:lang w:val="en-ZA"/>
        </w:rPr>
        <w:t xml:space="preserve"> Street).</w:t>
      </w:r>
      <w:r w:rsidR="006C0BC3" w:rsidRPr="009243B0">
        <w:rPr>
          <w:rFonts w:ascii="Arial" w:hAnsi="Arial" w:cs="Arial"/>
          <w:sz w:val="24"/>
          <w:szCs w:val="24"/>
          <w:lang w:val="en-ZA"/>
        </w:rPr>
        <w:t xml:space="preserve"> </w:t>
      </w:r>
      <w:r w:rsidR="003B5D08" w:rsidRPr="009243B0">
        <w:rPr>
          <w:rFonts w:ascii="Arial" w:hAnsi="Arial" w:cs="Arial"/>
          <w:sz w:val="24"/>
          <w:szCs w:val="24"/>
          <w:lang w:val="en-ZA"/>
        </w:rPr>
        <w:t>T</w:t>
      </w:r>
      <w:r w:rsidR="006C0BC3" w:rsidRPr="009243B0">
        <w:rPr>
          <w:rFonts w:ascii="Arial" w:hAnsi="Arial" w:cs="Arial"/>
          <w:sz w:val="24"/>
          <w:szCs w:val="24"/>
          <w:lang w:val="en-ZA"/>
        </w:rPr>
        <w:t xml:space="preserve">he </w:t>
      </w:r>
      <w:r w:rsidR="003B5D08" w:rsidRPr="009243B0">
        <w:rPr>
          <w:rFonts w:ascii="Arial" w:hAnsi="Arial" w:cs="Arial"/>
          <w:sz w:val="24"/>
          <w:szCs w:val="24"/>
          <w:lang w:val="en-ZA"/>
        </w:rPr>
        <w:t>appellant’s attorneys invited the respondent’s attorneys to serve the summons at their offices. Although this would have been an improper service because the summons was a process commencing proceedings and ha</w:t>
      </w:r>
      <w:r w:rsidR="006C0BC3" w:rsidRPr="009243B0">
        <w:rPr>
          <w:rFonts w:ascii="Arial" w:hAnsi="Arial" w:cs="Arial"/>
          <w:sz w:val="24"/>
          <w:szCs w:val="24"/>
          <w:lang w:val="en-ZA"/>
        </w:rPr>
        <w:t xml:space="preserve">d to be served on the appellant, the respondent could have enquired about the addresses of </w:t>
      </w:r>
      <w:r w:rsidR="00F45440">
        <w:rPr>
          <w:rFonts w:ascii="Arial" w:hAnsi="Arial" w:cs="Arial"/>
          <w:sz w:val="24"/>
          <w:szCs w:val="24"/>
          <w:lang w:val="en-ZA"/>
        </w:rPr>
        <w:t xml:space="preserve">all </w:t>
      </w:r>
      <w:r w:rsidR="006C0BC3" w:rsidRPr="009243B0">
        <w:rPr>
          <w:rFonts w:ascii="Arial" w:hAnsi="Arial" w:cs="Arial"/>
          <w:sz w:val="24"/>
          <w:szCs w:val="24"/>
          <w:lang w:val="en-ZA"/>
        </w:rPr>
        <w:t>the appellants.</w:t>
      </w:r>
    </w:p>
    <w:p w:rsidR="003D6D76" w:rsidRPr="009243B0" w:rsidRDefault="003D6D76" w:rsidP="003D6D76">
      <w:pPr>
        <w:spacing w:after="0" w:line="360" w:lineRule="auto"/>
        <w:ind w:left="720" w:hanging="720"/>
        <w:jc w:val="both"/>
        <w:rPr>
          <w:rFonts w:ascii="Arial" w:hAnsi="Arial" w:cs="Arial"/>
          <w:sz w:val="24"/>
          <w:szCs w:val="24"/>
          <w:lang w:val="en-ZA"/>
        </w:rPr>
      </w:pPr>
    </w:p>
    <w:p w:rsidR="003D6D76"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w:t>
      </w:r>
      <w:r w:rsidR="009C33A3">
        <w:rPr>
          <w:rFonts w:ascii="Arial" w:hAnsi="Arial" w:cs="Arial"/>
          <w:sz w:val="24"/>
          <w:szCs w:val="24"/>
          <w:lang w:val="en-ZA"/>
        </w:rPr>
        <w:t>20</w:t>
      </w:r>
      <w:r>
        <w:rPr>
          <w:rFonts w:ascii="Arial" w:hAnsi="Arial" w:cs="Arial"/>
          <w:sz w:val="24"/>
          <w:szCs w:val="24"/>
          <w:lang w:val="en-ZA"/>
        </w:rPr>
        <w:t>]</w:t>
      </w:r>
      <w:r>
        <w:rPr>
          <w:rFonts w:ascii="Arial" w:hAnsi="Arial" w:cs="Arial"/>
          <w:sz w:val="24"/>
          <w:szCs w:val="24"/>
          <w:lang w:val="en-ZA"/>
        </w:rPr>
        <w:tab/>
      </w:r>
      <w:r w:rsidR="00495004" w:rsidRPr="009243B0">
        <w:rPr>
          <w:rFonts w:ascii="Arial" w:hAnsi="Arial" w:cs="Arial"/>
          <w:sz w:val="24"/>
          <w:szCs w:val="24"/>
          <w:lang w:val="en-ZA"/>
        </w:rPr>
        <w:t xml:space="preserve">When the summonses were served at the premises there were already other tenants occupying the premises. The return of service clearly states that the premises is occupied by a hairdressing business. The appellant conducts a laundry business. </w:t>
      </w:r>
      <w:r w:rsidR="002D207E" w:rsidRPr="009243B0">
        <w:rPr>
          <w:rFonts w:ascii="Arial" w:hAnsi="Arial" w:cs="Arial"/>
          <w:sz w:val="24"/>
          <w:szCs w:val="24"/>
          <w:lang w:val="en-ZA"/>
        </w:rPr>
        <w:t xml:space="preserve">It is highly unlikely that the owners of the hair salon would have occupied the premises without a lease agreement or without the </w:t>
      </w:r>
      <w:r w:rsidR="002D207E" w:rsidRPr="009243B0">
        <w:rPr>
          <w:rFonts w:ascii="Arial" w:hAnsi="Arial" w:cs="Arial"/>
          <w:sz w:val="24"/>
          <w:szCs w:val="24"/>
          <w:lang w:val="en-ZA"/>
        </w:rPr>
        <w:lastRenderedPageBreak/>
        <w:t>respondent’s knowledge. If the respondent did not have access to the p</w:t>
      </w:r>
      <w:r w:rsidR="00E943DC">
        <w:rPr>
          <w:rFonts w:ascii="Arial" w:hAnsi="Arial" w:cs="Arial"/>
          <w:sz w:val="24"/>
          <w:szCs w:val="24"/>
          <w:lang w:val="en-ZA"/>
        </w:rPr>
        <w:t>remises it would not have known</w:t>
      </w:r>
      <w:r w:rsidR="002D207E" w:rsidRPr="009243B0">
        <w:rPr>
          <w:rFonts w:ascii="Arial" w:hAnsi="Arial" w:cs="Arial"/>
          <w:sz w:val="24"/>
          <w:szCs w:val="24"/>
          <w:lang w:val="en-ZA"/>
        </w:rPr>
        <w:t xml:space="preserve"> in March 2021 already</w:t>
      </w:r>
      <w:r w:rsidR="00E943DC">
        <w:rPr>
          <w:rFonts w:ascii="Arial" w:hAnsi="Arial" w:cs="Arial"/>
          <w:sz w:val="24"/>
          <w:szCs w:val="24"/>
          <w:lang w:val="en-ZA"/>
        </w:rPr>
        <w:t>,</w:t>
      </w:r>
      <w:r w:rsidR="002D207E" w:rsidRPr="009243B0">
        <w:rPr>
          <w:rFonts w:ascii="Arial" w:hAnsi="Arial" w:cs="Arial"/>
          <w:sz w:val="24"/>
          <w:szCs w:val="24"/>
          <w:lang w:val="en-ZA"/>
        </w:rPr>
        <w:t xml:space="preserve"> that the air conditioner was removed from the premises.</w:t>
      </w:r>
    </w:p>
    <w:p w:rsidR="00687D46" w:rsidRPr="009243B0" w:rsidRDefault="002D207E" w:rsidP="003D6D76">
      <w:pPr>
        <w:spacing w:after="0" w:line="360" w:lineRule="auto"/>
        <w:ind w:left="720" w:hanging="720"/>
        <w:jc w:val="both"/>
        <w:rPr>
          <w:rFonts w:ascii="Arial" w:hAnsi="Arial" w:cs="Arial"/>
          <w:sz w:val="24"/>
          <w:szCs w:val="24"/>
          <w:lang w:val="en-ZA"/>
        </w:rPr>
      </w:pPr>
      <w:r w:rsidRPr="009243B0">
        <w:rPr>
          <w:rFonts w:ascii="Arial" w:hAnsi="Arial" w:cs="Arial"/>
          <w:sz w:val="24"/>
          <w:szCs w:val="24"/>
          <w:lang w:val="en-ZA"/>
        </w:rPr>
        <w:t xml:space="preserve"> </w:t>
      </w:r>
    </w:p>
    <w:p w:rsidR="002D207E"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w:t>
      </w:r>
      <w:r w:rsidR="009C33A3">
        <w:rPr>
          <w:rFonts w:ascii="Arial" w:hAnsi="Arial" w:cs="Arial"/>
          <w:sz w:val="24"/>
          <w:szCs w:val="24"/>
          <w:lang w:val="en-ZA"/>
        </w:rPr>
        <w:t>21</w:t>
      </w:r>
      <w:r>
        <w:rPr>
          <w:rFonts w:ascii="Arial" w:hAnsi="Arial" w:cs="Arial"/>
          <w:sz w:val="24"/>
          <w:szCs w:val="24"/>
          <w:lang w:val="en-ZA"/>
        </w:rPr>
        <w:t>]</w:t>
      </w:r>
      <w:r>
        <w:rPr>
          <w:rFonts w:ascii="Arial" w:hAnsi="Arial" w:cs="Arial"/>
          <w:sz w:val="24"/>
          <w:szCs w:val="24"/>
          <w:lang w:val="en-ZA"/>
        </w:rPr>
        <w:tab/>
      </w:r>
      <w:r w:rsidR="002D207E" w:rsidRPr="009243B0">
        <w:rPr>
          <w:rFonts w:ascii="Arial" w:hAnsi="Arial" w:cs="Arial"/>
          <w:sz w:val="24"/>
          <w:szCs w:val="24"/>
          <w:lang w:val="en-ZA"/>
        </w:rPr>
        <w:t>I am convinced that the respondent’s assertion that it was unaware that the appellant had vacated the premises is improbable, hollow and untenable. A party</w:t>
      </w:r>
      <w:r w:rsidR="00B51360" w:rsidRPr="009243B0">
        <w:rPr>
          <w:rFonts w:ascii="Arial" w:hAnsi="Arial" w:cs="Arial"/>
          <w:sz w:val="24"/>
          <w:szCs w:val="24"/>
          <w:lang w:val="en-ZA"/>
        </w:rPr>
        <w:t xml:space="preserve"> should not be allowed to misuse the Rules in order to secure a judgment by default. As I will show later, the </w:t>
      </w:r>
      <w:proofErr w:type="spellStart"/>
      <w:r w:rsidR="00B51360" w:rsidRPr="009243B0">
        <w:rPr>
          <w:rFonts w:ascii="Arial" w:hAnsi="Arial" w:cs="Arial"/>
          <w:sz w:val="24"/>
          <w:szCs w:val="24"/>
          <w:lang w:val="en-ZA"/>
        </w:rPr>
        <w:t>domicil</w:t>
      </w:r>
      <w:r w:rsidR="007D5F6E">
        <w:rPr>
          <w:rFonts w:ascii="Arial" w:hAnsi="Arial" w:cs="Arial"/>
          <w:sz w:val="24"/>
          <w:szCs w:val="24"/>
          <w:lang w:val="en-ZA"/>
        </w:rPr>
        <w:t>i</w:t>
      </w:r>
      <w:r w:rsidR="00B51360" w:rsidRPr="009243B0">
        <w:rPr>
          <w:rFonts w:ascii="Arial" w:hAnsi="Arial" w:cs="Arial"/>
          <w:sz w:val="24"/>
          <w:szCs w:val="24"/>
          <w:lang w:val="en-ZA"/>
        </w:rPr>
        <w:t>um</w:t>
      </w:r>
      <w:proofErr w:type="spellEnd"/>
      <w:r w:rsidR="00B51360" w:rsidRPr="009243B0">
        <w:rPr>
          <w:rFonts w:ascii="Arial" w:hAnsi="Arial" w:cs="Arial"/>
          <w:sz w:val="24"/>
          <w:szCs w:val="24"/>
          <w:lang w:val="en-ZA"/>
        </w:rPr>
        <w:t xml:space="preserve"> chosen for the lease</w:t>
      </w:r>
      <w:r w:rsidR="00137F11">
        <w:rPr>
          <w:rFonts w:ascii="Arial" w:hAnsi="Arial" w:cs="Arial"/>
          <w:sz w:val="24"/>
          <w:szCs w:val="24"/>
          <w:lang w:val="en-ZA"/>
        </w:rPr>
        <w:t xml:space="preserve"> agreement between the WLLT</w:t>
      </w:r>
      <w:r w:rsidR="00B51360" w:rsidRPr="009243B0">
        <w:rPr>
          <w:rFonts w:ascii="Arial" w:hAnsi="Arial" w:cs="Arial"/>
          <w:sz w:val="24"/>
          <w:szCs w:val="24"/>
          <w:lang w:val="en-ZA"/>
        </w:rPr>
        <w:t xml:space="preserve"> and the respondent’s predecessors cannot </w:t>
      </w:r>
      <w:r w:rsidR="00137F11">
        <w:rPr>
          <w:rFonts w:ascii="Arial" w:hAnsi="Arial" w:cs="Arial"/>
          <w:sz w:val="24"/>
          <w:szCs w:val="24"/>
          <w:lang w:val="en-ZA"/>
        </w:rPr>
        <w:t>automatically be the WLLT</w:t>
      </w:r>
      <w:r w:rsidR="00B51360" w:rsidRPr="009243B0">
        <w:rPr>
          <w:rFonts w:ascii="Arial" w:hAnsi="Arial" w:cs="Arial"/>
          <w:sz w:val="24"/>
          <w:szCs w:val="24"/>
          <w:lang w:val="en-ZA"/>
        </w:rPr>
        <w:t xml:space="preserve"> chosen </w:t>
      </w:r>
      <w:proofErr w:type="spellStart"/>
      <w:r w:rsidR="00B51360" w:rsidRPr="009243B0">
        <w:rPr>
          <w:rFonts w:ascii="Arial" w:hAnsi="Arial" w:cs="Arial"/>
          <w:sz w:val="24"/>
          <w:szCs w:val="24"/>
          <w:lang w:val="en-ZA"/>
        </w:rPr>
        <w:t>domicilium</w:t>
      </w:r>
      <w:proofErr w:type="spellEnd"/>
      <w:r w:rsidR="00B51360" w:rsidRPr="009243B0">
        <w:rPr>
          <w:rFonts w:ascii="Arial" w:hAnsi="Arial" w:cs="Arial"/>
          <w:sz w:val="24"/>
          <w:szCs w:val="24"/>
          <w:lang w:val="en-ZA"/>
        </w:rPr>
        <w:t xml:space="preserve"> in a lease agreement, verbal or in writing, between it and the respondents.</w:t>
      </w:r>
      <w:r w:rsidR="00137F11">
        <w:rPr>
          <w:rFonts w:ascii="Arial" w:hAnsi="Arial" w:cs="Arial"/>
          <w:sz w:val="24"/>
          <w:szCs w:val="24"/>
          <w:lang w:val="en-ZA"/>
        </w:rPr>
        <w:t xml:space="preserve"> The third and fourth appellants did not </w:t>
      </w:r>
      <w:r w:rsidR="00590976" w:rsidRPr="00A003E2">
        <w:rPr>
          <w:rFonts w:ascii="Arial" w:hAnsi="Arial" w:cs="Arial"/>
          <w:bCs/>
          <w:sz w:val="24"/>
          <w:szCs w:val="24"/>
          <w:lang w:val="en-ZA"/>
        </w:rPr>
        <w:t>choose</w:t>
      </w:r>
      <w:r w:rsidR="00137F11" w:rsidRPr="00590976">
        <w:rPr>
          <w:rFonts w:ascii="Arial" w:hAnsi="Arial" w:cs="Arial"/>
          <w:bCs/>
          <w:color w:val="C00000"/>
          <w:sz w:val="24"/>
          <w:szCs w:val="24"/>
          <w:lang w:val="en-ZA"/>
        </w:rPr>
        <w:t xml:space="preserve"> </w:t>
      </w:r>
      <w:r w:rsidR="00137F11">
        <w:rPr>
          <w:rFonts w:ascii="Arial" w:hAnsi="Arial" w:cs="Arial"/>
          <w:sz w:val="24"/>
          <w:szCs w:val="24"/>
          <w:lang w:val="en-ZA"/>
        </w:rPr>
        <w:t xml:space="preserve">a </w:t>
      </w:r>
      <w:proofErr w:type="spellStart"/>
      <w:r w:rsidR="00137F11">
        <w:rPr>
          <w:rFonts w:ascii="Arial" w:hAnsi="Arial" w:cs="Arial"/>
          <w:sz w:val="24"/>
          <w:szCs w:val="24"/>
          <w:lang w:val="en-ZA"/>
        </w:rPr>
        <w:t>domicilium</w:t>
      </w:r>
      <w:proofErr w:type="spellEnd"/>
      <w:r w:rsidR="00137F11">
        <w:rPr>
          <w:rFonts w:ascii="Arial" w:hAnsi="Arial" w:cs="Arial"/>
          <w:sz w:val="24"/>
          <w:szCs w:val="24"/>
          <w:lang w:val="en-ZA"/>
        </w:rPr>
        <w:t xml:space="preserve"> but they were served at the address chosen by the WLLT.</w:t>
      </w:r>
    </w:p>
    <w:p w:rsidR="003D6D76" w:rsidRPr="009243B0" w:rsidRDefault="003D6D76" w:rsidP="003D6D76">
      <w:pPr>
        <w:spacing w:after="0" w:line="360" w:lineRule="auto"/>
        <w:ind w:left="720" w:hanging="720"/>
        <w:jc w:val="both"/>
        <w:rPr>
          <w:rFonts w:ascii="Arial" w:hAnsi="Arial" w:cs="Arial"/>
          <w:sz w:val="24"/>
          <w:szCs w:val="24"/>
          <w:lang w:val="en-ZA"/>
        </w:rPr>
      </w:pPr>
    </w:p>
    <w:p w:rsidR="00EB1A24"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w:t>
      </w:r>
      <w:r w:rsidR="009C33A3">
        <w:rPr>
          <w:rFonts w:ascii="Arial" w:hAnsi="Arial" w:cs="Arial"/>
          <w:sz w:val="24"/>
          <w:szCs w:val="24"/>
          <w:lang w:val="en-ZA"/>
        </w:rPr>
        <w:t>22</w:t>
      </w:r>
      <w:r>
        <w:rPr>
          <w:rFonts w:ascii="Arial" w:hAnsi="Arial" w:cs="Arial"/>
          <w:sz w:val="24"/>
          <w:szCs w:val="24"/>
          <w:lang w:val="en-ZA"/>
        </w:rPr>
        <w:t>]</w:t>
      </w:r>
      <w:r>
        <w:rPr>
          <w:rFonts w:ascii="Arial" w:hAnsi="Arial" w:cs="Arial"/>
          <w:sz w:val="24"/>
          <w:szCs w:val="24"/>
          <w:lang w:val="en-ZA"/>
        </w:rPr>
        <w:tab/>
      </w:r>
      <w:r w:rsidR="00B51360" w:rsidRPr="009243B0">
        <w:rPr>
          <w:rFonts w:ascii="Arial" w:hAnsi="Arial" w:cs="Arial"/>
          <w:sz w:val="24"/>
          <w:szCs w:val="24"/>
          <w:lang w:val="en-ZA"/>
        </w:rPr>
        <w:t>The original lease agreement</w:t>
      </w:r>
      <w:r w:rsidR="00EB1A24" w:rsidRPr="009243B0">
        <w:rPr>
          <w:rFonts w:ascii="Arial" w:hAnsi="Arial" w:cs="Arial"/>
          <w:sz w:val="24"/>
          <w:szCs w:val="24"/>
          <w:lang w:val="en-ZA"/>
        </w:rPr>
        <w:t xml:space="preserve"> commenced on </w:t>
      </w:r>
      <w:r w:rsidR="00D43F27" w:rsidRPr="009243B0">
        <w:rPr>
          <w:rFonts w:ascii="Arial" w:hAnsi="Arial" w:cs="Arial"/>
          <w:sz w:val="24"/>
          <w:szCs w:val="24"/>
          <w:lang w:val="en-ZA"/>
        </w:rPr>
        <w:t>1 November 2015</w:t>
      </w:r>
      <w:r w:rsidR="00EB1A24" w:rsidRPr="009243B0">
        <w:rPr>
          <w:rFonts w:ascii="Arial" w:hAnsi="Arial" w:cs="Arial"/>
          <w:sz w:val="24"/>
          <w:szCs w:val="24"/>
          <w:lang w:val="en-ZA"/>
        </w:rPr>
        <w:t xml:space="preserve"> and endured for three years</w:t>
      </w:r>
      <w:r w:rsidR="00D43F27" w:rsidRPr="009243B0">
        <w:rPr>
          <w:rFonts w:ascii="Arial" w:hAnsi="Arial" w:cs="Arial"/>
          <w:sz w:val="24"/>
          <w:szCs w:val="24"/>
          <w:lang w:val="en-ZA"/>
        </w:rPr>
        <w:t>,</w:t>
      </w:r>
      <w:r w:rsidR="00EB1A24" w:rsidRPr="009243B0">
        <w:rPr>
          <w:rFonts w:ascii="Arial" w:hAnsi="Arial" w:cs="Arial"/>
          <w:sz w:val="24"/>
          <w:szCs w:val="24"/>
          <w:lang w:val="en-ZA"/>
        </w:rPr>
        <w:t xml:space="preserve"> subject to clause 4.2 and 4.3 which provide:</w:t>
      </w:r>
    </w:p>
    <w:p w:rsidR="003D6D76" w:rsidRPr="00C4291B" w:rsidRDefault="003D6D76" w:rsidP="00C4291B">
      <w:pPr>
        <w:spacing w:after="0" w:line="360" w:lineRule="auto"/>
        <w:ind w:left="1530" w:hanging="90"/>
        <w:jc w:val="both"/>
        <w:rPr>
          <w:rFonts w:ascii="Arial" w:hAnsi="Arial" w:cs="Arial"/>
          <w:sz w:val="20"/>
          <w:szCs w:val="20"/>
          <w:lang w:val="en-ZA"/>
        </w:rPr>
      </w:pPr>
    </w:p>
    <w:p w:rsidR="00D35FBF" w:rsidRDefault="00EB1A24" w:rsidP="00C4291B">
      <w:pPr>
        <w:spacing w:after="0" w:line="360" w:lineRule="auto"/>
        <w:ind w:left="1440"/>
        <w:jc w:val="both"/>
        <w:rPr>
          <w:rFonts w:ascii="Arial" w:hAnsi="Arial" w:cs="Arial"/>
          <w:sz w:val="20"/>
          <w:szCs w:val="20"/>
          <w:lang w:val="en-ZA"/>
        </w:rPr>
      </w:pPr>
      <w:r w:rsidRPr="00C4291B">
        <w:rPr>
          <w:rFonts w:ascii="Arial" w:hAnsi="Arial" w:cs="Arial"/>
          <w:sz w:val="20"/>
          <w:szCs w:val="20"/>
          <w:lang w:val="en-ZA"/>
        </w:rPr>
        <w:t>‘Provided</w:t>
      </w:r>
      <w:r w:rsidR="00D35FBF" w:rsidRPr="00C4291B">
        <w:rPr>
          <w:rFonts w:ascii="Arial" w:hAnsi="Arial" w:cs="Arial"/>
          <w:sz w:val="20"/>
          <w:szCs w:val="20"/>
          <w:lang w:val="en-ZA"/>
        </w:rPr>
        <w:t xml:space="preserve"> the Lessee shall have faithfully carried out the terms and conditions of this lease, and provided the Lessee is in no way in default hereunder at the expiration of the Initial Period, then the Lessee shal</w:t>
      </w:r>
      <w:r w:rsidR="00C4291B" w:rsidRPr="00C4291B">
        <w:rPr>
          <w:rFonts w:ascii="Arial" w:hAnsi="Arial" w:cs="Arial"/>
          <w:sz w:val="20"/>
          <w:szCs w:val="20"/>
          <w:lang w:val="en-ZA"/>
        </w:rPr>
        <w:t>l</w:t>
      </w:r>
      <w:r w:rsidR="00D35FBF" w:rsidRPr="00C4291B">
        <w:rPr>
          <w:rFonts w:ascii="Arial" w:hAnsi="Arial" w:cs="Arial"/>
          <w:sz w:val="20"/>
          <w:szCs w:val="20"/>
          <w:lang w:val="en-ZA"/>
        </w:rPr>
        <w:t xml:space="preserve"> have the right of renewing this lease for a further period of 3 (THREE) years (“</w:t>
      </w:r>
      <w:r w:rsidR="00D35FBF" w:rsidRPr="00C4291B">
        <w:rPr>
          <w:rFonts w:ascii="Arial" w:hAnsi="Arial" w:cs="Arial"/>
          <w:b/>
          <w:sz w:val="20"/>
          <w:szCs w:val="20"/>
          <w:lang w:val="en-ZA"/>
        </w:rPr>
        <w:t>the Additional Period</w:t>
      </w:r>
      <w:r w:rsidR="00D35FBF" w:rsidRPr="00C4291B">
        <w:rPr>
          <w:rFonts w:ascii="Arial" w:hAnsi="Arial" w:cs="Arial"/>
          <w:sz w:val="20"/>
          <w:szCs w:val="20"/>
          <w:lang w:val="en-ZA"/>
        </w:rPr>
        <w:t>”)</w:t>
      </w:r>
      <w:r w:rsidRPr="00C4291B">
        <w:rPr>
          <w:rFonts w:ascii="Arial" w:hAnsi="Arial" w:cs="Arial"/>
          <w:sz w:val="20"/>
          <w:szCs w:val="20"/>
          <w:lang w:val="en-ZA"/>
        </w:rPr>
        <w:t xml:space="preserve"> </w:t>
      </w:r>
      <w:r w:rsidR="00D35FBF" w:rsidRPr="00C4291B">
        <w:rPr>
          <w:rFonts w:ascii="Arial" w:hAnsi="Arial" w:cs="Arial"/>
          <w:sz w:val="20"/>
          <w:szCs w:val="20"/>
          <w:lang w:val="en-ZA"/>
        </w:rPr>
        <w:t>upon the same terms and conditions of this Agreement.</w:t>
      </w:r>
    </w:p>
    <w:p w:rsidR="00C4291B" w:rsidRPr="00C4291B" w:rsidRDefault="00C4291B" w:rsidP="00C4291B">
      <w:pPr>
        <w:spacing w:after="0" w:line="360" w:lineRule="auto"/>
        <w:ind w:left="1440"/>
        <w:jc w:val="both"/>
        <w:rPr>
          <w:rFonts w:ascii="Arial" w:hAnsi="Arial" w:cs="Arial"/>
          <w:sz w:val="20"/>
          <w:szCs w:val="20"/>
          <w:lang w:val="en-ZA"/>
        </w:rPr>
      </w:pPr>
    </w:p>
    <w:p w:rsidR="00B51360" w:rsidRPr="00C4291B" w:rsidRDefault="00C4291B" w:rsidP="00C4291B">
      <w:pPr>
        <w:spacing w:after="0" w:line="360" w:lineRule="auto"/>
        <w:ind w:left="1440"/>
        <w:jc w:val="both"/>
        <w:rPr>
          <w:rFonts w:ascii="Arial" w:hAnsi="Arial" w:cs="Arial"/>
          <w:sz w:val="20"/>
          <w:szCs w:val="20"/>
          <w:lang w:val="en-ZA"/>
        </w:rPr>
      </w:pPr>
      <w:r w:rsidRPr="00C4291B">
        <w:rPr>
          <w:rFonts w:ascii="Arial" w:hAnsi="Arial" w:cs="Arial"/>
          <w:sz w:val="20"/>
          <w:szCs w:val="20"/>
          <w:lang w:val="en-ZA"/>
        </w:rPr>
        <w:t>If the Lessee desires to exercise the right of renewal referred to in clause 4.2, written intention to exercise the option must be given to the Lessor not less than 6 (SIX) Months before the Termination Date, failing which the right of renewal shall lapse.</w:t>
      </w:r>
      <w:r w:rsidR="00EB1A24" w:rsidRPr="00C4291B">
        <w:rPr>
          <w:rFonts w:ascii="Arial" w:hAnsi="Arial" w:cs="Arial"/>
          <w:sz w:val="20"/>
          <w:szCs w:val="20"/>
          <w:lang w:val="en-ZA"/>
        </w:rPr>
        <w:t>’</w:t>
      </w:r>
    </w:p>
    <w:p w:rsidR="003D6D76" w:rsidRPr="009243B0" w:rsidRDefault="003D6D76" w:rsidP="003D6D76">
      <w:pPr>
        <w:spacing w:after="0" w:line="360" w:lineRule="auto"/>
        <w:ind w:left="720" w:hanging="720"/>
        <w:jc w:val="both"/>
        <w:rPr>
          <w:rFonts w:ascii="Arial" w:hAnsi="Arial" w:cs="Arial"/>
          <w:sz w:val="24"/>
          <w:szCs w:val="24"/>
          <w:lang w:val="en-ZA"/>
        </w:rPr>
      </w:pPr>
    </w:p>
    <w:p w:rsidR="00A26CF6"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w:t>
      </w:r>
      <w:r w:rsidR="009C33A3">
        <w:rPr>
          <w:rFonts w:ascii="Arial" w:hAnsi="Arial" w:cs="Arial"/>
          <w:sz w:val="24"/>
          <w:szCs w:val="24"/>
          <w:lang w:val="en-ZA"/>
        </w:rPr>
        <w:t>23</w:t>
      </w:r>
      <w:r>
        <w:rPr>
          <w:rFonts w:ascii="Arial" w:hAnsi="Arial" w:cs="Arial"/>
          <w:sz w:val="24"/>
          <w:szCs w:val="24"/>
          <w:lang w:val="en-ZA"/>
        </w:rPr>
        <w:t>]</w:t>
      </w:r>
      <w:r>
        <w:rPr>
          <w:rFonts w:ascii="Arial" w:hAnsi="Arial" w:cs="Arial"/>
          <w:sz w:val="24"/>
          <w:szCs w:val="24"/>
          <w:lang w:val="en-ZA"/>
        </w:rPr>
        <w:tab/>
      </w:r>
      <w:r w:rsidR="00EB1A24" w:rsidRPr="009243B0">
        <w:rPr>
          <w:rFonts w:ascii="Arial" w:hAnsi="Arial" w:cs="Arial"/>
          <w:sz w:val="24"/>
          <w:szCs w:val="24"/>
          <w:lang w:val="en-ZA"/>
        </w:rPr>
        <w:t xml:space="preserve">It is common cause that the original lease was </w:t>
      </w:r>
      <w:r w:rsidR="00E943DC">
        <w:rPr>
          <w:rFonts w:ascii="Arial" w:hAnsi="Arial" w:cs="Arial"/>
          <w:sz w:val="24"/>
          <w:szCs w:val="24"/>
          <w:lang w:val="en-ZA"/>
        </w:rPr>
        <w:t xml:space="preserve">not renewed and the WLLT’s </w:t>
      </w:r>
      <w:r w:rsidR="00EB1A24" w:rsidRPr="009243B0">
        <w:rPr>
          <w:rFonts w:ascii="Arial" w:hAnsi="Arial" w:cs="Arial"/>
          <w:sz w:val="24"/>
          <w:szCs w:val="24"/>
          <w:lang w:val="en-ZA"/>
        </w:rPr>
        <w:t>right to renewal lapsed because it did</w:t>
      </w:r>
      <w:r w:rsidR="00D43F27" w:rsidRPr="009243B0">
        <w:rPr>
          <w:rFonts w:ascii="Arial" w:hAnsi="Arial" w:cs="Arial"/>
          <w:sz w:val="24"/>
          <w:szCs w:val="24"/>
          <w:lang w:val="en-ZA"/>
        </w:rPr>
        <w:t xml:space="preserve"> not act in accordance with clause 4.3. When the respondent took ownership of the property, it did not enter into an express written or verbal le</w:t>
      </w:r>
      <w:r w:rsidR="00E943DC">
        <w:rPr>
          <w:rFonts w:ascii="Arial" w:hAnsi="Arial" w:cs="Arial"/>
          <w:sz w:val="24"/>
          <w:szCs w:val="24"/>
          <w:lang w:val="en-ZA"/>
        </w:rPr>
        <w:t>ase agreement with the WLLT</w:t>
      </w:r>
      <w:r w:rsidR="00D43F27" w:rsidRPr="009243B0">
        <w:rPr>
          <w:rFonts w:ascii="Arial" w:hAnsi="Arial" w:cs="Arial"/>
          <w:sz w:val="24"/>
          <w:szCs w:val="24"/>
          <w:lang w:val="en-ZA"/>
        </w:rPr>
        <w:t>. The parties seemingly assumed that the original lease agreement govern their relationship.</w:t>
      </w:r>
      <w:r w:rsidR="00316E63">
        <w:rPr>
          <w:rFonts w:ascii="Arial" w:hAnsi="Arial" w:cs="Arial"/>
          <w:sz w:val="24"/>
          <w:szCs w:val="24"/>
          <w:lang w:val="en-ZA"/>
        </w:rPr>
        <w:t xml:space="preserve"> </w:t>
      </w:r>
      <w:r w:rsidR="00D43F27" w:rsidRPr="009243B0">
        <w:rPr>
          <w:rFonts w:ascii="Arial" w:hAnsi="Arial" w:cs="Arial"/>
          <w:sz w:val="24"/>
          <w:szCs w:val="24"/>
          <w:lang w:val="en-ZA"/>
        </w:rPr>
        <w:t xml:space="preserve">The respondent did not state, in its particulars of claim, how and when </w:t>
      </w:r>
      <w:r w:rsidR="003B5D08" w:rsidRPr="009243B0">
        <w:rPr>
          <w:rFonts w:ascii="Arial" w:hAnsi="Arial" w:cs="Arial"/>
          <w:sz w:val="24"/>
          <w:szCs w:val="24"/>
          <w:lang w:val="en-ZA"/>
        </w:rPr>
        <w:t>it obtained all the ri</w:t>
      </w:r>
      <w:r w:rsidR="00137F11">
        <w:rPr>
          <w:rFonts w:ascii="Arial" w:hAnsi="Arial" w:cs="Arial"/>
          <w:sz w:val="24"/>
          <w:szCs w:val="24"/>
          <w:lang w:val="en-ZA"/>
        </w:rPr>
        <w:t xml:space="preserve">ghts and duties of the CC and </w:t>
      </w:r>
      <w:proofErr w:type="spellStart"/>
      <w:r w:rsidR="003B5D08" w:rsidRPr="009243B0">
        <w:rPr>
          <w:rFonts w:ascii="Arial" w:hAnsi="Arial" w:cs="Arial"/>
          <w:sz w:val="24"/>
          <w:szCs w:val="24"/>
          <w:lang w:val="en-ZA"/>
        </w:rPr>
        <w:t>Barendse</w:t>
      </w:r>
      <w:proofErr w:type="spellEnd"/>
      <w:r w:rsidR="003B5D08" w:rsidRPr="009243B0">
        <w:rPr>
          <w:rFonts w:ascii="Arial" w:hAnsi="Arial" w:cs="Arial"/>
          <w:sz w:val="24"/>
          <w:szCs w:val="24"/>
          <w:lang w:val="en-ZA"/>
        </w:rPr>
        <w:t>.</w:t>
      </w:r>
    </w:p>
    <w:p w:rsidR="003D6D76" w:rsidRPr="009243B0" w:rsidRDefault="003D6D76" w:rsidP="003D6D76">
      <w:pPr>
        <w:spacing w:after="0" w:line="360" w:lineRule="auto"/>
        <w:ind w:left="720" w:hanging="720"/>
        <w:jc w:val="both"/>
        <w:rPr>
          <w:rFonts w:ascii="Arial" w:hAnsi="Arial" w:cs="Arial"/>
          <w:sz w:val="24"/>
          <w:szCs w:val="24"/>
          <w:lang w:val="en-ZA"/>
        </w:rPr>
      </w:pPr>
    </w:p>
    <w:p w:rsidR="003B5D08"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lastRenderedPageBreak/>
        <w:t>[</w:t>
      </w:r>
      <w:r w:rsidR="009C33A3">
        <w:rPr>
          <w:rFonts w:ascii="Arial" w:hAnsi="Arial" w:cs="Arial"/>
          <w:sz w:val="24"/>
          <w:szCs w:val="24"/>
          <w:lang w:val="en-ZA"/>
        </w:rPr>
        <w:t>24</w:t>
      </w:r>
      <w:r>
        <w:rPr>
          <w:rFonts w:ascii="Arial" w:hAnsi="Arial" w:cs="Arial"/>
          <w:sz w:val="24"/>
          <w:szCs w:val="24"/>
          <w:lang w:val="en-ZA"/>
        </w:rPr>
        <w:t>]</w:t>
      </w:r>
      <w:r>
        <w:rPr>
          <w:rFonts w:ascii="Arial" w:hAnsi="Arial" w:cs="Arial"/>
          <w:sz w:val="24"/>
          <w:szCs w:val="24"/>
          <w:lang w:val="en-ZA"/>
        </w:rPr>
        <w:tab/>
      </w:r>
      <w:r w:rsidR="006C0BC3" w:rsidRPr="009243B0">
        <w:rPr>
          <w:rFonts w:ascii="Arial" w:hAnsi="Arial" w:cs="Arial"/>
          <w:sz w:val="24"/>
          <w:szCs w:val="24"/>
          <w:lang w:val="en-ZA"/>
        </w:rPr>
        <w:t>In an attempt to fill or explain this</w:t>
      </w:r>
      <w:r w:rsidR="003B5D08" w:rsidRPr="009243B0">
        <w:rPr>
          <w:rFonts w:ascii="Arial" w:hAnsi="Arial" w:cs="Arial"/>
          <w:sz w:val="24"/>
          <w:szCs w:val="24"/>
          <w:lang w:val="en-ZA"/>
        </w:rPr>
        <w:t xml:space="preserve"> obvious vacuum, the respondent pleaded that it bought the premises as a going concern. This cannot be correct since it only bought the building in which a business was conducted by a lessee. It had no interest, whatsoever, in the business. It therefore could not have bought the premises as a going concern.</w:t>
      </w:r>
    </w:p>
    <w:p w:rsidR="003D6D76" w:rsidRPr="009243B0" w:rsidRDefault="003D6D76" w:rsidP="003D6D76">
      <w:pPr>
        <w:spacing w:after="0" w:line="360" w:lineRule="auto"/>
        <w:ind w:left="720" w:hanging="720"/>
        <w:jc w:val="both"/>
        <w:rPr>
          <w:rFonts w:ascii="Arial" w:hAnsi="Arial" w:cs="Arial"/>
          <w:sz w:val="24"/>
          <w:szCs w:val="24"/>
          <w:lang w:val="en-ZA"/>
        </w:rPr>
      </w:pPr>
    </w:p>
    <w:p w:rsidR="006C0BC3"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[2</w:t>
      </w:r>
      <w:r w:rsidR="009C33A3">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r>
      <w:r w:rsidR="006C0BC3" w:rsidRPr="009243B0">
        <w:rPr>
          <w:rFonts w:ascii="Arial" w:hAnsi="Arial" w:cs="Arial"/>
          <w:sz w:val="24"/>
          <w:szCs w:val="24"/>
          <w:lang w:val="en-ZA"/>
        </w:rPr>
        <w:t>The lease agreement was not ceded to the respondent when it purchased the property. In its founding affidavit in the application for rescission, the appellants stated that the combined summons lacks averments which are necessary to sustain an action</w:t>
      </w:r>
      <w:r w:rsidR="00137F11" w:rsidRPr="00137F11">
        <w:rPr>
          <w:rFonts w:ascii="Arial" w:hAnsi="Arial" w:cs="Arial"/>
          <w:sz w:val="24"/>
          <w:szCs w:val="24"/>
          <w:lang w:val="en-ZA"/>
        </w:rPr>
        <w:t>,</w:t>
      </w:r>
      <w:r w:rsidR="00137F11" w:rsidRPr="00137F11">
        <w:rPr>
          <w:rFonts w:ascii="Arial" w:hAnsi="Arial" w:cs="Arial"/>
          <w:i/>
          <w:sz w:val="24"/>
          <w:szCs w:val="24"/>
          <w:lang w:val="en-ZA"/>
        </w:rPr>
        <w:t xml:space="preserve"> inter alia</w:t>
      </w:r>
      <w:r w:rsidR="00137F11">
        <w:rPr>
          <w:rFonts w:ascii="Arial" w:hAnsi="Arial" w:cs="Arial"/>
          <w:sz w:val="24"/>
          <w:szCs w:val="24"/>
          <w:lang w:val="en-ZA"/>
        </w:rPr>
        <w:t xml:space="preserve">, because the </w:t>
      </w:r>
      <w:r w:rsidR="00E943DC">
        <w:rPr>
          <w:rFonts w:ascii="Arial" w:hAnsi="Arial" w:cs="Arial"/>
          <w:sz w:val="24"/>
          <w:szCs w:val="24"/>
          <w:lang w:val="en-ZA"/>
        </w:rPr>
        <w:t>respondent did not state how it ac</w:t>
      </w:r>
      <w:r w:rsidR="00137F11">
        <w:rPr>
          <w:rFonts w:ascii="Arial" w:hAnsi="Arial" w:cs="Arial"/>
          <w:sz w:val="24"/>
          <w:szCs w:val="24"/>
          <w:lang w:val="en-ZA"/>
        </w:rPr>
        <w:t>quired rights in terms of the expired lease</w:t>
      </w:r>
      <w:r w:rsidR="006C0BC3" w:rsidRPr="009243B0">
        <w:rPr>
          <w:rFonts w:ascii="Arial" w:hAnsi="Arial" w:cs="Arial"/>
          <w:sz w:val="24"/>
          <w:szCs w:val="24"/>
          <w:lang w:val="en-ZA"/>
        </w:rPr>
        <w:t>. I agree.</w:t>
      </w:r>
    </w:p>
    <w:p w:rsidR="0008363A" w:rsidRDefault="0008363A" w:rsidP="003D6D76">
      <w:pPr>
        <w:spacing w:after="0" w:line="360" w:lineRule="auto"/>
        <w:ind w:left="720" w:hanging="720"/>
        <w:jc w:val="both"/>
        <w:rPr>
          <w:rFonts w:ascii="Arial" w:hAnsi="Arial" w:cs="Arial"/>
          <w:sz w:val="24"/>
          <w:szCs w:val="24"/>
          <w:lang w:val="en-ZA"/>
        </w:rPr>
      </w:pPr>
    </w:p>
    <w:p w:rsidR="0008363A" w:rsidRDefault="0008363A"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[2</w:t>
      </w:r>
      <w:r w:rsidR="009C33A3">
        <w:rPr>
          <w:rFonts w:ascii="Arial" w:hAnsi="Arial" w:cs="Arial"/>
          <w:sz w:val="24"/>
          <w:szCs w:val="24"/>
          <w:lang w:val="en-ZA"/>
        </w:rPr>
        <w:t>6</w:t>
      </w:r>
      <w:r>
        <w:rPr>
          <w:rFonts w:ascii="Arial" w:hAnsi="Arial" w:cs="Arial"/>
          <w:sz w:val="24"/>
          <w:szCs w:val="24"/>
          <w:lang w:val="en-ZA"/>
        </w:rPr>
        <w:t>]</w:t>
      </w:r>
      <w:r w:rsidR="0056376F">
        <w:rPr>
          <w:rFonts w:ascii="Arial" w:hAnsi="Arial" w:cs="Arial"/>
          <w:sz w:val="24"/>
          <w:szCs w:val="24"/>
          <w:lang w:val="en-ZA"/>
        </w:rPr>
        <w:tab/>
      </w:r>
      <w:r>
        <w:rPr>
          <w:rFonts w:ascii="Arial" w:hAnsi="Arial" w:cs="Arial"/>
          <w:sz w:val="24"/>
          <w:szCs w:val="24"/>
          <w:lang w:val="en-ZA"/>
        </w:rPr>
        <w:t xml:space="preserve">The WLLT attached a proof of payment document which on the face of it indicates that the amount claimed by the respondent was paid to the service providers. It denied removing the air conditioner. It cannot be said that the appellants failed to show that it does not have a </w:t>
      </w:r>
      <w:r w:rsidRPr="00300C18">
        <w:rPr>
          <w:rFonts w:ascii="Arial" w:hAnsi="Arial" w:cs="Arial"/>
          <w:i/>
          <w:sz w:val="24"/>
          <w:szCs w:val="24"/>
          <w:lang w:val="en-ZA"/>
        </w:rPr>
        <w:t xml:space="preserve">bona fide </w:t>
      </w:r>
      <w:r>
        <w:rPr>
          <w:rFonts w:ascii="Arial" w:hAnsi="Arial" w:cs="Arial"/>
          <w:sz w:val="24"/>
          <w:szCs w:val="24"/>
          <w:lang w:val="en-ZA"/>
        </w:rPr>
        <w:t>defence.</w:t>
      </w:r>
      <w:r w:rsidR="00E943DC">
        <w:rPr>
          <w:rFonts w:ascii="Arial" w:hAnsi="Arial" w:cs="Arial"/>
          <w:sz w:val="24"/>
          <w:szCs w:val="24"/>
          <w:lang w:val="en-ZA"/>
        </w:rPr>
        <w:t xml:space="preserve"> Neither can it be said that the application was brought as a delaying tactic or for any other ulterior motive. It was a </w:t>
      </w:r>
      <w:r w:rsidR="00E943DC" w:rsidRPr="00300C18">
        <w:rPr>
          <w:rFonts w:ascii="Arial" w:hAnsi="Arial" w:cs="Arial"/>
          <w:i/>
          <w:sz w:val="24"/>
          <w:szCs w:val="24"/>
          <w:lang w:val="en-ZA"/>
        </w:rPr>
        <w:t xml:space="preserve">bona fide </w:t>
      </w:r>
      <w:r w:rsidR="00E943DC">
        <w:rPr>
          <w:rFonts w:ascii="Arial" w:hAnsi="Arial" w:cs="Arial"/>
          <w:sz w:val="24"/>
          <w:szCs w:val="24"/>
          <w:lang w:val="en-ZA"/>
        </w:rPr>
        <w:t>application.</w:t>
      </w:r>
    </w:p>
    <w:p w:rsidR="003D6D76" w:rsidRPr="009243B0" w:rsidRDefault="003D6D76" w:rsidP="003D6D76">
      <w:pPr>
        <w:spacing w:after="0" w:line="360" w:lineRule="auto"/>
        <w:ind w:left="720" w:hanging="720"/>
        <w:jc w:val="both"/>
        <w:rPr>
          <w:rFonts w:ascii="Arial" w:hAnsi="Arial" w:cs="Arial"/>
          <w:sz w:val="24"/>
          <w:szCs w:val="24"/>
          <w:lang w:val="en-ZA"/>
        </w:rPr>
      </w:pPr>
    </w:p>
    <w:p w:rsidR="006C0BC3"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[2</w:t>
      </w:r>
      <w:r w:rsidR="00CC04F3">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6C0BC3" w:rsidRPr="009243B0">
        <w:rPr>
          <w:rFonts w:ascii="Arial" w:hAnsi="Arial" w:cs="Arial"/>
          <w:sz w:val="24"/>
          <w:szCs w:val="24"/>
          <w:lang w:val="en-ZA"/>
        </w:rPr>
        <w:t xml:space="preserve">I am of the view that the court </w:t>
      </w:r>
      <w:r w:rsidR="006C0BC3" w:rsidRPr="00F14FED">
        <w:rPr>
          <w:rFonts w:ascii="Arial" w:hAnsi="Arial" w:cs="Arial"/>
          <w:i/>
          <w:sz w:val="24"/>
          <w:szCs w:val="24"/>
          <w:lang w:val="en-ZA"/>
        </w:rPr>
        <w:t>a quo</w:t>
      </w:r>
      <w:r w:rsidR="006C0BC3" w:rsidRPr="009243B0">
        <w:rPr>
          <w:rFonts w:ascii="Arial" w:hAnsi="Arial" w:cs="Arial"/>
          <w:sz w:val="24"/>
          <w:szCs w:val="24"/>
          <w:lang w:val="en-ZA"/>
        </w:rPr>
        <w:t xml:space="preserve"> should have granted condonation notwithstanding the appellants’ attorney’s remissness. The prospects of success and the interests of justice militate against the order of the court </w:t>
      </w:r>
      <w:r w:rsidR="006C0BC3" w:rsidRPr="00F14FED">
        <w:rPr>
          <w:rFonts w:ascii="Arial" w:hAnsi="Arial" w:cs="Arial"/>
          <w:i/>
          <w:sz w:val="24"/>
          <w:szCs w:val="24"/>
          <w:lang w:val="en-ZA"/>
        </w:rPr>
        <w:t>a quo</w:t>
      </w:r>
      <w:r w:rsidR="006C0BC3" w:rsidRPr="009243B0">
        <w:rPr>
          <w:rFonts w:ascii="Arial" w:hAnsi="Arial" w:cs="Arial"/>
          <w:sz w:val="24"/>
          <w:szCs w:val="24"/>
          <w:lang w:val="en-ZA"/>
        </w:rPr>
        <w:t>. Likewise, the application for rescission should have been granted for the reasons set out above.</w:t>
      </w:r>
    </w:p>
    <w:p w:rsidR="003D6D76" w:rsidRPr="009243B0" w:rsidRDefault="003D6D76" w:rsidP="003D6D76">
      <w:pPr>
        <w:spacing w:after="0" w:line="360" w:lineRule="auto"/>
        <w:ind w:left="720" w:hanging="720"/>
        <w:jc w:val="both"/>
        <w:rPr>
          <w:rFonts w:ascii="Arial" w:hAnsi="Arial" w:cs="Arial"/>
          <w:sz w:val="24"/>
          <w:szCs w:val="24"/>
          <w:lang w:val="en-ZA"/>
        </w:rPr>
      </w:pPr>
    </w:p>
    <w:p w:rsidR="006C0BC3" w:rsidRDefault="003D6D76" w:rsidP="003D6D76">
      <w:pPr>
        <w:spacing w:after="0" w:line="360" w:lineRule="auto"/>
        <w:ind w:left="720" w:hanging="720"/>
        <w:jc w:val="both"/>
        <w:rPr>
          <w:rFonts w:ascii="Arial" w:hAnsi="Arial" w:cs="Arial"/>
          <w:sz w:val="24"/>
          <w:szCs w:val="24"/>
          <w:lang w:val="en-ZA"/>
        </w:rPr>
      </w:pPr>
      <w:r>
        <w:rPr>
          <w:rFonts w:ascii="Arial" w:hAnsi="Arial" w:cs="Arial"/>
          <w:sz w:val="24"/>
          <w:szCs w:val="24"/>
          <w:lang w:val="en-ZA"/>
        </w:rPr>
        <w:t>[2</w:t>
      </w:r>
      <w:r w:rsidR="00CC04F3">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r>
      <w:r w:rsidR="006C0BC3" w:rsidRPr="009243B0">
        <w:rPr>
          <w:rFonts w:ascii="Arial" w:hAnsi="Arial" w:cs="Arial"/>
          <w:sz w:val="24"/>
          <w:szCs w:val="24"/>
          <w:lang w:val="en-ZA"/>
        </w:rPr>
        <w:t>I accordingly make the following order:</w:t>
      </w:r>
    </w:p>
    <w:p w:rsidR="003D6D76" w:rsidRPr="009243B0" w:rsidRDefault="003D6D76" w:rsidP="003D6D76">
      <w:pPr>
        <w:spacing w:after="0" w:line="360" w:lineRule="auto"/>
        <w:ind w:left="720" w:hanging="720"/>
        <w:jc w:val="both"/>
        <w:rPr>
          <w:rFonts w:ascii="Arial" w:hAnsi="Arial" w:cs="Arial"/>
          <w:sz w:val="24"/>
          <w:szCs w:val="24"/>
          <w:lang w:val="en-ZA"/>
        </w:rPr>
      </w:pPr>
    </w:p>
    <w:p w:rsidR="003D6D76" w:rsidRDefault="00A83257" w:rsidP="00A83257">
      <w:pPr>
        <w:spacing w:after="0" w:line="360" w:lineRule="auto"/>
        <w:ind w:left="1440" w:hanging="720"/>
        <w:jc w:val="both"/>
        <w:rPr>
          <w:rFonts w:ascii="Arial" w:hAnsi="Arial" w:cs="Arial"/>
          <w:sz w:val="24"/>
          <w:szCs w:val="24"/>
          <w:lang w:val="en-ZA"/>
        </w:rPr>
      </w:pPr>
      <w:r>
        <w:rPr>
          <w:rFonts w:ascii="Arial" w:hAnsi="Arial" w:cs="Arial"/>
          <w:sz w:val="24"/>
          <w:szCs w:val="24"/>
          <w:lang w:val="en-ZA"/>
        </w:rPr>
        <w:t>1</w:t>
      </w:r>
      <w:r w:rsidR="003D6D76">
        <w:rPr>
          <w:rFonts w:ascii="Arial" w:hAnsi="Arial" w:cs="Arial"/>
          <w:sz w:val="24"/>
          <w:szCs w:val="24"/>
          <w:lang w:val="en-ZA"/>
        </w:rPr>
        <w:t>.</w:t>
      </w:r>
      <w:r w:rsidR="003D6D76">
        <w:rPr>
          <w:rFonts w:ascii="Arial" w:hAnsi="Arial" w:cs="Arial"/>
          <w:sz w:val="24"/>
          <w:szCs w:val="24"/>
          <w:lang w:val="en-ZA"/>
        </w:rPr>
        <w:tab/>
      </w:r>
      <w:r>
        <w:rPr>
          <w:rFonts w:ascii="Arial" w:hAnsi="Arial" w:cs="Arial"/>
          <w:sz w:val="24"/>
          <w:szCs w:val="24"/>
          <w:lang w:val="en-ZA"/>
        </w:rPr>
        <w:t>The appeal is upheld with costs.</w:t>
      </w:r>
    </w:p>
    <w:p w:rsidR="0086124E" w:rsidRPr="009243B0" w:rsidRDefault="003D6D76" w:rsidP="00A83257">
      <w:pPr>
        <w:spacing w:after="0" w:line="360" w:lineRule="auto"/>
        <w:ind w:left="1440" w:hanging="720"/>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sidR="0086124E" w:rsidRPr="009243B0">
        <w:rPr>
          <w:rFonts w:ascii="Arial" w:hAnsi="Arial" w:cs="Arial"/>
          <w:sz w:val="24"/>
          <w:szCs w:val="24"/>
          <w:lang w:val="en-ZA"/>
        </w:rPr>
        <w:t xml:space="preserve">The order of the court </w:t>
      </w:r>
      <w:r w:rsidR="0086124E" w:rsidRPr="00A83257">
        <w:rPr>
          <w:rFonts w:ascii="Arial" w:hAnsi="Arial" w:cs="Arial"/>
          <w:i/>
          <w:sz w:val="24"/>
          <w:szCs w:val="24"/>
          <w:lang w:val="en-ZA"/>
        </w:rPr>
        <w:t>a quo</w:t>
      </w:r>
      <w:r w:rsidR="0086124E" w:rsidRPr="009243B0">
        <w:rPr>
          <w:rFonts w:ascii="Arial" w:hAnsi="Arial" w:cs="Arial"/>
          <w:sz w:val="24"/>
          <w:szCs w:val="24"/>
          <w:lang w:val="en-ZA"/>
        </w:rPr>
        <w:t xml:space="preserve"> is set aside and replaced with the following order:</w:t>
      </w:r>
    </w:p>
    <w:p w:rsidR="006C0BC3" w:rsidRPr="009243B0" w:rsidRDefault="00A83257" w:rsidP="00A83257">
      <w:pPr>
        <w:spacing w:after="0" w:line="360" w:lineRule="auto"/>
        <w:ind w:left="2160" w:hanging="720"/>
        <w:jc w:val="both"/>
        <w:rPr>
          <w:rFonts w:ascii="Arial" w:hAnsi="Arial" w:cs="Arial"/>
          <w:sz w:val="24"/>
          <w:szCs w:val="24"/>
          <w:lang w:val="en-ZA"/>
        </w:rPr>
      </w:pPr>
      <w:proofErr w:type="spellStart"/>
      <w:r>
        <w:rPr>
          <w:rFonts w:ascii="Arial" w:hAnsi="Arial" w:cs="Arial"/>
          <w:sz w:val="24"/>
          <w:szCs w:val="24"/>
          <w:lang w:val="en-ZA"/>
        </w:rPr>
        <w:t>i</w:t>
      </w:r>
      <w:proofErr w:type="spellEnd"/>
      <w:r w:rsidR="003D6D76">
        <w:rPr>
          <w:rFonts w:ascii="Arial" w:hAnsi="Arial" w:cs="Arial"/>
          <w:sz w:val="24"/>
          <w:szCs w:val="24"/>
          <w:lang w:val="en-ZA"/>
        </w:rPr>
        <w:t>.</w:t>
      </w:r>
      <w:r w:rsidR="003D6D76">
        <w:rPr>
          <w:rFonts w:ascii="Arial" w:hAnsi="Arial" w:cs="Arial"/>
          <w:sz w:val="24"/>
          <w:szCs w:val="24"/>
          <w:lang w:val="en-ZA"/>
        </w:rPr>
        <w:tab/>
      </w:r>
      <w:r w:rsidR="006C0BC3" w:rsidRPr="009243B0">
        <w:rPr>
          <w:rFonts w:ascii="Arial" w:hAnsi="Arial" w:cs="Arial"/>
          <w:sz w:val="24"/>
          <w:szCs w:val="24"/>
          <w:lang w:val="en-ZA"/>
        </w:rPr>
        <w:t>Condonation for the late filling of the rescission application is granted.</w:t>
      </w:r>
    </w:p>
    <w:p w:rsidR="006C0BC3" w:rsidRPr="009243B0" w:rsidRDefault="00A83257" w:rsidP="00A83257">
      <w:pPr>
        <w:spacing w:after="0" w:line="360" w:lineRule="auto"/>
        <w:ind w:left="2160" w:hanging="720"/>
        <w:jc w:val="both"/>
        <w:rPr>
          <w:rFonts w:ascii="Arial" w:hAnsi="Arial" w:cs="Arial"/>
          <w:sz w:val="24"/>
          <w:szCs w:val="24"/>
          <w:lang w:val="en-ZA"/>
        </w:rPr>
      </w:pPr>
      <w:r>
        <w:rPr>
          <w:rFonts w:ascii="Arial" w:hAnsi="Arial" w:cs="Arial"/>
          <w:sz w:val="24"/>
          <w:szCs w:val="24"/>
          <w:lang w:val="en-ZA"/>
        </w:rPr>
        <w:t>ii</w:t>
      </w:r>
      <w:r w:rsidR="003D6D76">
        <w:rPr>
          <w:rFonts w:ascii="Arial" w:hAnsi="Arial" w:cs="Arial"/>
          <w:sz w:val="24"/>
          <w:szCs w:val="24"/>
          <w:lang w:val="en-ZA"/>
        </w:rPr>
        <w:t>.</w:t>
      </w:r>
      <w:r w:rsidR="003D6D76">
        <w:rPr>
          <w:rFonts w:ascii="Arial" w:hAnsi="Arial" w:cs="Arial"/>
          <w:sz w:val="24"/>
          <w:szCs w:val="24"/>
          <w:lang w:val="en-ZA"/>
        </w:rPr>
        <w:tab/>
      </w:r>
      <w:r w:rsidR="006C0BC3" w:rsidRPr="009243B0">
        <w:rPr>
          <w:rFonts w:ascii="Arial" w:hAnsi="Arial" w:cs="Arial"/>
          <w:sz w:val="24"/>
          <w:szCs w:val="24"/>
          <w:lang w:val="en-ZA"/>
        </w:rPr>
        <w:t xml:space="preserve">The order granted </w:t>
      </w:r>
      <w:r w:rsidR="0086124E" w:rsidRPr="009243B0">
        <w:rPr>
          <w:rFonts w:ascii="Arial" w:hAnsi="Arial" w:cs="Arial"/>
          <w:sz w:val="24"/>
          <w:szCs w:val="24"/>
          <w:lang w:val="en-ZA"/>
        </w:rPr>
        <w:t>on 15 July 2021 against the appellants is hereby rescinded.</w:t>
      </w:r>
      <w:r w:rsidR="006C0BC3" w:rsidRPr="009243B0">
        <w:rPr>
          <w:rFonts w:ascii="Arial" w:hAnsi="Arial" w:cs="Arial"/>
          <w:sz w:val="24"/>
          <w:szCs w:val="24"/>
          <w:lang w:val="en-ZA"/>
        </w:rPr>
        <w:t xml:space="preserve">  </w:t>
      </w:r>
    </w:p>
    <w:p w:rsidR="0086124E" w:rsidRDefault="00A83257" w:rsidP="00A83257">
      <w:pPr>
        <w:spacing w:after="0" w:line="360" w:lineRule="auto"/>
        <w:ind w:left="2160" w:hanging="720"/>
        <w:jc w:val="both"/>
        <w:rPr>
          <w:rFonts w:ascii="Arial" w:hAnsi="Arial" w:cs="Arial"/>
          <w:sz w:val="24"/>
          <w:szCs w:val="24"/>
          <w:lang w:val="en-ZA"/>
        </w:rPr>
      </w:pPr>
      <w:r>
        <w:rPr>
          <w:rFonts w:ascii="Arial" w:hAnsi="Arial" w:cs="Arial"/>
          <w:sz w:val="24"/>
          <w:szCs w:val="24"/>
          <w:lang w:val="en-ZA"/>
        </w:rPr>
        <w:lastRenderedPageBreak/>
        <w:t>iii</w:t>
      </w:r>
      <w:r w:rsidR="003D6D76">
        <w:rPr>
          <w:rFonts w:ascii="Arial" w:hAnsi="Arial" w:cs="Arial"/>
          <w:sz w:val="24"/>
          <w:szCs w:val="24"/>
          <w:lang w:val="en-ZA"/>
        </w:rPr>
        <w:t>.</w:t>
      </w:r>
      <w:r w:rsidR="003D6D76">
        <w:rPr>
          <w:rFonts w:ascii="Arial" w:hAnsi="Arial" w:cs="Arial"/>
          <w:sz w:val="24"/>
          <w:szCs w:val="24"/>
          <w:lang w:val="en-ZA"/>
        </w:rPr>
        <w:tab/>
      </w:r>
      <w:r w:rsidR="0086124E" w:rsidRPr="009243B0">
        <w:rPr>
          <w:rFonts w:ascii="Arial" w:hAnsi="Arial" w:cs="Arial"/>
          <w:sz w:val="24"/>
          <w:szCs w:val="24"/>
          <w:lang w:val="en-ZA"/>
        </w:rPr>
        <w:t>The appellants are directed to file their plea within ten days of this order, if so advised.</w:t>
      </w:r>
    </w:p>
    <w:p w:rsidR="003D6D76" w:rsidRDefault="00A83257" w:rsidP="00A83257">
      <w:pPr>
        <w:spacing w:after="0" w:line="360" w:lineRule="auto"/>
        <w:ind w:left="2160" w:hanging="720"/>
        <w:jc w:val="both"/>
        <w:rPr>
          <w:rFonts w:ascii="Arial" w:hAnsi="Arial" w:cs="Arial"/>
          <w:sz w:val="24"/>
          <w:szCs w:val="24"/>
          <w:lang w:val="en-ZA"/>
        </w:rPr>
      </w:pPr>
      <w:r>
        <w:rPr>
          <w:rFonts w:ascii="Arial" w:hAnsi="Arial" w:cs="Arial"/>
          <w:sz w:val="24"/>
          <w:szCs w:val="24"/>
          <w:lang w:val="en-ZA"/>
        </w:rPr>
        <w:t>iv</w:t>
      </w:r>
      <w:r w:rsidR="003D6D76">
        <w:rPr>
          <w:rFonts w:ascii="Arial" w:hAnsi="Arial" w:cs="Arial"/>
          <w:sz w:val="24"/>
          <w:szCs w:val="24"/>
          <w:lang w:val="en-ZA"/>
        </w:rPr>
        <w:t>.</w:t>
      </w:r>
      <w:r w:rsidR="003D6D76">
        <w:rPr>
          <w:rFonts w:ascii="Arial" w:hAnsi="Arial" w:cs="Arial"/>
          <w:sz w:val="24"/>
          <w:szCs w:val="24"/>
          <w:lang w:val="en-ZA"/>
        </w:rPr>
        <w:tab/>
      </w:r>
      <w:r>
        <w:rPr>
          <w:rFonts w:ascii="Arial" w:hAnsi="Arial" w:cs="Arial"/>
          <w:sz w:val="24"/>
          <w:szCs w:val="24"/>
          <w:lang w:val="en-ZA"/>
        </w:rPr>
        <w:t>The costs of the application for rescission shall be costs in the cause of the action.</w:t>
      </w:r>
    </w:p>
    <w:p w:rsidR="00A83257" w:rsidRDefault="00A83257" w:rsidP="00A83257">
      <w:pPr>
        <w:spacing w:after="0" w:line="360" w:lineRule="auto"/>
        <w:ind w:left="2160" w:hanging="720"/>
        <w:jc w:val="both"/>
        <w:rPr>
          <w:rFonts w:ascii="Arial" w:hAnsi="Arial" w:cs="Arial"/>
          <w:sz w:val="24"/>
          <w:szCs w:val="24"/>
          <w:lang w:val="en-ZA"/>
        </w:rPr>
      </w:pPr>
    </w:p>
    <w:p w:rsidR="00A83257" w:rsidRDefault="00A83257" w:rsidP="00A83257">
      <w:pPr>
        <w:spacing w:after="0" w:line="360" w:lineRule="auto"/>
        <w:ind w:left="2160" w:hanging="720"/>
        <w:jc w:val="both"/>
        <w:rPr>
          <w:rFonts w:ascii="Arial" w:hAnsi="Arial" w:cs="Arial"/>
          <w:sz w:val="24"/>
          <w:szCs w:val="24"/>
          <w:lang w:val="en-ZA"/>
        </w:rPr>
      </w:pPr>
    </w:p>
    <w:p w:rsidR="00A83257" w:rsidRDefault="00A83257" w:rsidP="00A83257">
      <w:pPr>
        <w:pStyle w:val="BodyAA"/>
        <w:pBdr>
          <w:top w:val="none" w:sz="0" w:space="0" w:color="auto"/>
          <w:left w:val="none" w:sz="0" w:space="0" w:color="auto"/>
          <w:bottom w:val="none" w:sz="0" w:space="0" w:color="auto"/>
          <w:right w:val="none" w:sz="0" w:space="0" w:color="auto"/>
          <w:bar w:val="none" w:sz="0" w:color="auto"/>
        </w:pBdr>
        <w:spacing w:after="0" w:line="240" w:lineRule="auto"/>
        <w:ind w:left="709" w:hanging="709"/>
        <w:jc w:val="right"/>
        <w:rPr>
          <w:rFonts w:ascii="Arial" w:hAnsi="Arial" w:cs="Arial"/>
          <w:sz w:val="24"/>
          <w:szCs w:val="24"/>
        </w:rPr>
      </w:pPr>
    </w:p>
    <w:p w:rsidR="00A83257" w:rsidRPr="00835EC0" w:rsidRDefault="00A83257" w:rsidP="00A83257">
      <w:pPr>
        <w:pStyle w:val="BodyAA"/>
        <w:pBdr>
          <w:top w:val="none" w:sz="0" w:space="0" w:color="auto"/>
          <w:left w:val="none" w:sz="0" w:space="0" w:color="auto"/>
          <w:bottom w:val="none" w:sz="0" w:space="0" w:color="auto"/>
          <w:right w:val="none" w:sz="0" w:space="0" w:color="auto"/>
          <w:bar w:val="none" w:sz="0" w:color="auto"/>
        </w:pBdr>
        <w:spacing w:after="0" w:line="240" w:lineRule="auto"/>
        <w:ind w:left="709" w:hanging="709"/>
        <w:jc w:val="right"/>
        <w:rPr>
          <w:rFonts w:ascii="Arial" w:hAnsi="Arial" w:cs="Arial"/>
          <w:sz w:val="24"/>
          <w:szCs w:val="24"/>
          <w:lang w:val="pt-BR"/>
        </w:rPr>
      </w:pPr>
      <w:r w:rsidRPr="00835EC0">
        <w:rPr>
          <w:rFonts w:ascii="Arial" w:hAnsi="Arial"/>
          <w:sz w:val="24"/>
          <w:szCs w:val="24"/>
          <w:lang w:val="pt-BR"/>
        </w:rPr>
        <w:t>___________________</w:t>
      </w:r>
    </w:p>
    <w:p w:rsidR="00A83257" w:rsidRPr="00835EC0" w:rsidRDefault="00A83257" w:rsidP="00A83257">
      <w:pPr>
        <w:pStyle w:val="BodyAA"/>
        <w:pBdr>
          <w:top w:val="none" w:sz="0" w:space="0" w:color="auto"/>
          <w:left w:val="none" w:sz="0" w:space="0" w:color="auto"/>
          <w:bottom w:val="none" w:sz="0" w:space="0" w:color="auto"/>
          <w:right w:val="none" w:sz="0" w:space="0" w:color="auto"/>
          <w:bar w:val="none" w:sz="0" w:color="auto"/>
        </w:pBdr>
        <w:spacing w:after="0" w:line="240" w:lineRule="auto"/>
        <w:ind w:left="709" w:hanging="709"/>
        <w:jc w:val="right"/>
        <w:rPr>
          <w:rFonts w:ascii="Arial" w:hAnsi="Arial" w:cs="Arial"/>
          <w:b/>
          <w:bCs/>
          <w:sz w:val="24"/>
          <w:szCs w:val="24"/>
          <w:lang w:val="pt-BR"/>
        </w:rPr>
      </w:pPr>
      <w:r w:rsidRPr="00835EC0">
        <w:rPr>
          <w:rFonts w:ascii="Arial" w:hAnsi="Arial"/>
          <w:b/>
          <w:bCs/>
          <w:sz w:val="24"/>
          <w:szCs w:val="24"/>
          <w:lang w:val="pt-BR"/>
        </w:rPr>
        <w:t>C.J. MUSI, JP</w:t>
      </w:r>
    </w:p>
    <w:p w:rsidR="00A83257" w:rsidRPr="00835EC0" w:rsidRDefault="00A83257" w:rsidP="00A83257">
      <w:pPr>
        <w:pStyle w:val="BodyAA"/>
        <w:pBdr>
          <w:top w:val="none" w:sz="0" w:space="0" w:color="auto"/>
          <w:left w:val="none" w:sz="0" w:space="0" w:color="auto"/>
          <w:bottom w:val="none" w:sz="0" w:space="0" w:color="auto"/>
          <w:right w:val="none" w:sz="0" w:space="0" w:color="auto"/>
          <w:bar w:val="none" w:sz="0" w:color="auto"/>
        </w:pBdr>
        <w:spacing w:after="0" w:line="360" w:lineRule="auto"/>
        <w:ind w:left="709" w:hanging="709"/>
        <w:jc w:val="both"/>
        <w:rPr>
          <w:rFonts w:ascii="Arial" w:hAnsi="Arial" w:cs="Arial"/>
          <w:sz w:val="24"/>
          <w:szCs w:val="24"/>
          <w:lang w:val="pt-BR"/>
        </w:rPr>
      </w:pPr>
    </w:p>
    <w:p w:rsidR="00A83257" w:rsidRPr="00835EC0" w:rsidRDefault="00A83257" w:rsidP="00A83257">
      <w:pPr>
        <w:pStyle w:val="BodyAA"/>
        <w:pBdr>
          <w:top w:val="none" w:sz="0" w:space="0" w:color="auto"/>
          <w:left w:val="none" w:sz="0" w:space="0" w:color="auto"/>
          <w:bottom w:val="none" w:sz="0" w:space="0" w:color="auto"/>
          <w:right w:val="none" w:sz="0" w:space="0" w:color="auto"/>
          <w:bar w:val="none" w:sz="0" w:color="auto"/>
        </w:pBdr>
        <w:spacing w:after="0" w:line="360" w:lineRule="auto"/>
        <w:ind w:left="709" w:hanging="709"/>
        <w:jc w:val="both"/>
        <w:rPr>
          <w:rFonts w:ascii="Arial" w:hAnsi="Arial" w:cs="Arial"/>
          <w:sz w:val="24"/>
          <w:szCs w:val="24"/>
          <w:lang w:val="pt-BR"/>
        </w:rPr>
      </w:pPr>
    </w:p>
    <w:p w:rsidR="00A83257" w:rsidRPr="00835EC0" w:rsidRDefault="00A83257" w:rsidP="00A83257">
      <w:pPr>
        <w:pStyle w:val="Body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lang w:val="pt-BR"/>
        </w:rPr>
      </w:pPr>
      <w:r w:rsidRPr="00835EC0">
        <w:rPr>
          <w:rFonts w:ascii="Arial" w:hAnsi="Arial"/>
          <w:sz w:val="24"/>
          <w:szCs w:val="24"/>
          <w:lang w:val="pt-BR"/>
        </w:rPr>
        <w:t>I concur.</w:t>
      </w:r>
    </w:p>
    <w:p w:rsidR="00A83257" w:rsidRPr="00835EC0" w:rsidRDefault="00A83257" w:rsidP="00A83257">
      <w:pPr>
        <w:pStyle w:val="BodyAA"/>
        <w:pBdr>
          <w:top w:val="none" w:sz="0" w:space="0" w:color="auto"/>
          <w:left w:val="none" w:sz="0" w:space="0" w:color="auto"/>
          <w:bottom w:val="none" w:sz="0" w:space="0" w:color="auto"/>
          <w:right w:val="none" w:sz="0" w:space="0" w:color="auto"/>
          <w:bar w:val="none" w:sz="0" w:color="auto"/>
        </w:pBdr>
        <w:spacing w:after="0" w:line="360" w:lineRule="auto"/>
        <w:ind w:left="709" w:hanging="709"/>
        <w:jc w:val="both"/>
        <w:rPr>
          <w:rFonts w:ascii="Arial" w:hAnsi="Arial" w:cs="Arial"/>
          <w:sz w:val="24"/>
          <w:szCs w:val="24"/>
          <w:lang w:val="pt-BR"/>
        </w:rPr>
      </w:pPr>
    </w:p>
    <w:p w:rsidR="00A83257" w:rsidRDefault="00A83257" w:rsidP="00A83257">
      <w:pPr>
        <w:pStyle w:val="BodyAA"/>
        <w:pBdr>
          <w:top w:val="none" w:sz="0" w:space="0" w:color="auto"/>
          <w:left w:val="none" w:sz="0" w:space="0" w:color="auto"/>
          <w:bottom w:val="none" w:sz="0" w:space="0" w:color="auto"/>
          <w:right w:val="none" w:sz="0" w:space="0" w:color="auto"/>
          <w:bar w:val="none" w:sz="0" w:color="auto"/>
        </w:pBdr>
        <w:spacing w:after="0" w:line="240" w:lineRule="auto"/>
        <w:ind w:left="709" w:hanging="709"/>
        <w:jc w:val="right"/>
        <w:rPr>
          <w:rFonts w:ascii="Arial" w:hAnsi="Arial" w:cs="Arial"/>
          <w:sz w:val="24"/>
          <w:szCs w:val="24"/>
        </w:rPr>
      </w:pPr>
      <w:r>
        <w:rPr>
          <w:rFonts w:ascii="Arial" w:hAnsi="Arial"/>
          <w:sz w:val="24"/>
          <w:szCs w:val="24"/>
        </w:rPr>
        <w:t>___________________</w:t>
      </w:r>
    </w:p>
    <w:p w:rsidR="00A83257" w:rsidRDefault="00CE4E25" w:rsidP="00A83257">
      <w:pPr>
        <w:pStyle w:val="BodyAA"/>
        <w:pBdr>
          <w:top w:val="none" w:sz="0" w:space="0" w:color="auto"/>
          <w:left w:val="none" w:sz="0" w:space="0" w:color="auto"/>
          <w:bottom w:val="none" w:sz="0" w:space="0" w:color="auto"/>
          <w:right w:val="none" w:sz="0" w:space="0" w:color="auto"/>
          <w:bar w:val="none" w:sz="0" w:color="auto"/>
        </w:pBdr>
        <w:spacing w:after="0" w:line="240" w:lineRule="auto"/>
        <w:ind w:left="709" w:hanging="709"/>
        <w:jc w:val="right"/>
        <w:rPr>
          <w:rFonts w:ascii="Arial" w:hAnsi="Arial" w:cs="Arial"/>
          <w:b/>
          <w:bCs/>
          <w:sz w:val="24"/>
          <w:szCs w:val="24"/>
        </w:rPr>
      </w:pPr>
      <w:r>
        <w:rPr>
          <w:rFonts w:ascii="Arial" w:hAnsi="Arial"/>
          <w:b/>
          <w:bCs/>
          <w:sz w:val="24"/>
          <w:szCs w:val="24"/>
        </w:rPr>
        <w:t>M</w:t>
      </w:r>
      <w:r w:rsidR="00A83257">
        <w:rPr>
          <w:rFonts w:ascii="Arial" w:hAnsi="Arial"/>
          <w:b/>
          <w:bCs/>
          <w:sz w:val="24"/>
          <w:szCs w:val="24"/>
        </w:rPr>
        <w:t xml:space="preserve">. </w:t>
      </w:r>
      <w:r>
        <w:rPr>
          <w:rFonts w:ascii="Arial" w:hAnsi="Arial"/>
          <w:b/>
          <w:bCs/>
          <w:sz w:val="24"/>
          <w:szCs w:val="24"/>
        </w:rPr>
        <w:t>OPPERMAN</w:t>
      </w:r>
      <w:r w:rsidR="00A83257">
        <w:rPr>
          <w:rFonts w:ascii="Arial" w:hAnsi="Arial"/>
          <w:b/>
          <w:bCs/>
          <w:sz w:val="24"/>
          <w:szCs w:val="24"/>
        </w:rPr>
        <w:t>, J</w:t>
      </w:r>
    </w:p>
    <w:p w:rsidR="00A83257" w:rsidRDefault="00A83257" w:rsidP="00A83257">
      <w:pPr>
        <w:pStyle w:val="BodyAA"/>
        <w:pBdr>
          <w:top w:val="none" w:sz="0" w:space="0" w:color="auto"/>
          <w:left w:val="none" w:sz="0" w:space="0" w:color="auto"/>
          <w:bottom w:val="none" w:sz="0" w:space="0" w:color="auto"/>
          <w:right w:val="none" w:sz="0" w:space="0" w:color="auto"/>
          <w:bar w:val="none" w:sz="0" w:color="auto"/>
        </w:pBdr>
        <w:spacing w:after="0" w:line="360" w:lineRule="auto"/>
        <w:ind w:left="709" w:hanging="709"/>
        <w:jc w:val="both"/>
        <w:rPr>
          <w:rFonts w:ascii="Arial" w:hAnsi="Arial" w:cs="Arial"/>
          <w:sz w:val="24"/>
          <w:szCs w:val="24"/>
        </w:rPr>
      </w:pPr>
    </w:p>
    <w:p w:rsidR="00CE4E25" w:rsidRDefault="00CE4E25" w:rsidP="00A83257">
      <w:pPr>
        <w:pStyle w:val="BodyAA"/>
        <w:pBdr>
          <w:top w:val="none" w:sz="0" w:space="0" w:color="auto"/>
          <w:left w:val="none" w:sz="0" w:space="0" w:color="auto"/>
          <w:bottom w:val="none" w:sz="0" w:space="0" w:color="auto"/>
          <w:right w:val="none" w:sz="0" w:space="0" w:color="auto"/>
          <w:bar w:val="none" w:sz="0" w:color="auto"/>
        </w:pBdr>
        <w:spacing w:after="0" w:line="360" w:lineRule="auto"/>
        <w:ind w:left="709" w:hanging="709"/>
        <w:jc w:val="both"/>
        <w:rPr>
          <w:rFonts w:ascii="Arial" w:hAnsi="Arial" w:cs="Arial"/>
          <w:sz w:val="24"/>
          <w:szCs w:val="24"/>
        </w:rPr>
      </w:pPr>
    </w:p>
    <w:p w:rsidR="00A83257" w:rsidRDefault="00A83257" w:rsidP="00A83257">
      <w:pPr>
        <w:pStyle w:val="Body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sz w:val="24"/>
          <w:szCs w:val="24"/>
          <w:lang w:val="en-US"/>
        </w:rPr>
        <w:t>I concur.</w:t>
      </w:r>
    </w:p>
    <w:p w:rsidR="00A83257" w:rsidRDefault="00A83257" w:rsidP="00A83257">
      <w:pPr>
        <w:pStyle w:val="BodyAA"/>
        <w:pBdr>
          <w:top w:val="none" w:sz="0" w:space="0" w:color="auto"/>
          <w:left w:val="none" w:sz="0" w:space="0" w:color="auto"/>
          <w:bottom w:val="none" w:sz="0" w:space="0" w:color="auto"/>
          <w:right w:val="none" w:sz="0" w:space="0" w:color="auto"/>
          <w:bar w:val="none" w:sz="0" w:color="auto"/>
        </w:pBdr>
        <w:spacing w:after="0" w:line="360" w:lineRule="auto"/>
        <w:ind w:left="709" w:hanging="709"/>
        <w:jc w:val="both"/>
        <w:rPr>
          <w:rFonts w:ascii="Arial" w:hAnsi="Arial" w:cs="Arial"/>
          <w:sz w:val="24"/>
          <w:szCs w:val="24"/>
        </w:rPr>
      </w:pPr>
    </w:p>
    <w:p w:rsidR="00A83257" w:rsidRDefault="00A83257" w:rsidP="00A83257">
      <w:pPr>
        <w:pStyle w:val="BodyAA"/>
        <w:pBdr>
          <w:top w:val="none" w:sz="0" w:space="0" w:color="auto"/>
          <w:left w:val="none" w:sz="0" w:space="0" w:color="auto"/>
          <w:bottom w:val="none" w:sz="0" w:space="0" w:color="auto"/>
          <w:right w:val="none" w:sz="0" w:space="0" w:color="auto"/>
          <w:bar w:val="none" w:sz="0" w:color="auto"/>
        </w:pBdr>
        <w:spacing w:after="0" w:line="240" w:lineRule="auto"/>
        <w:ind w:left="709" w:hanging="709"/>
        <w:jc w:val="right"/>
        <w:rPr>
          <w:rFonts w:ascii="Arial" w:hAnsi="Arial" w:cs="Arial"/>
          <w:sz w:val="24"/>
          <w:szCs w:val="24"/>
        </w:rPr>
      </w:pPr>
      <w:r>
        <w:rPr>
          <w:rFonts w:ascii="Arial" w:hAnsi="Arial"/>
          <w:sz w:val="24"/>
          <w:szCs w:val="24"/>
        </w:rPr>
        <w:t>___________________</w:t>
      </w:r>
    </w:p>
    <w:p w:rsidR="00A83257" w:rsidRDefault="00CE4E25" w:rsidP="00A83257">
      <w:pPr>
        <w:pStyle w:val="BodyAA"/>
        <w:pBdr>
          <w:top w:val="none" w:sz="0" w:space="0" w:color="auto"/>
          <w:left w:val="none" w:sz="0" w:space="0" w:color="auto"/>
          <w:bottom w:val="none" w:sz="0" w:space="0" w:color="auto"/>
          <w:right w:val="none" w:sz="0" w:space="0" w:color="auto"/>
          <w:bar w:val="none" w:sz="0" w:color="auto"/>
        </w:pBdr>
        <w:spacing w:after="0" w:line="240" w:lineRule="auto"/>
        <w:ind w:left="709" w:hanging="709"/>
        <w:jc w:val="right"/>
        <w:rPr>
          <w:rFonts w:ascii="Arial" w:hAnsi="Arial" w:cs="Arial"/>
          <w:b/>
          <w:bCs/>
          <w:sz w:val="24"/>
          <w:szCs w:val="24"/>
        </w:rPr>
      </w:pPr>
      <w:r>
        <w:rPr>
          <w:rFonts w:ascii="Arial" w:hAnsi="Arial"/>
          <w:b/>
          <w:bCs/>
          <w:sz w:val="24"/>
          <w:szCs w:val="24"/>
        </w:rPr>
        <w:t>N</w:t>
      </w:r>
      <w:r w:rsidR="00A83257">
        <w:rPr>
          <w:rFonts w:ascii="Arial" w:hAnsi="Arial"/>
          <w:b/>
          <w:bCs/>
          <w:sz w:val="24"/>
          <w:szCs w:val="24"/>
        </w:rPr>
        <w:t>.</w:t>
      </w:r>
      <w:r w:rsidR="0069462F">
        <w:rPr>
          <w:rFonts w:ascii="Arial" w:hAnsi="Arial"/>
          <w:b/>
          <w:bCs/>
          <w:sz w:val="24"/>
          <w:szCs w:val="24"/>
        </w:rPr>
        <w:t>S.</w:t>
      </w:r>
      <w:r w:rsidR="00A83257">
        <w:rPr>
          <w:rFonts w:ascii="Arial" w:hAnsi="Arial"/>
          <w:b/>
          <w:bCs/>
          <w:sz w:val="24"/>
          <w:szCs w:val="24"/>
        </w:rPr>
        <w:t xml:space="preserve"> </w:t>
      </w:r>
      <w:r>
        <w:rPr>
          <w:rFonts w:ascii="Arial" w:hAnsi="Arial"/>
          <w:b/>
          <w:bCs/>
          <w:sz w:val="24"/>
          <w:szCs w:val="24"/>
        </w:rPr>
        <w:t>DANISO</w:t>
      </w:r>
      <w:r w:rsidR="00A83257">
        <w:rPr>
          <w:rFonts w:ascii="Arial" w:hAnsi="Arial"/>
          <w:b/>
          <w:bCs/>
          <w:sz w:val="24"/>
          <w:szCs w:val="24"/>
        </w:rPr>
        <w:t>, J</w:t>
      </w:r>
    </w:p>
    <w:p w:rsidR="00A83257" w:rsidRDefault="00A83257" w:rsidP="00A83257">
      <w:pPr>
        <w:pStyle w:val="BodyAA"/>
        <w:pBdr>
          <w:top w:val="none" w:sz="0" w:space="0" w:color="auto"/>
          <w:left w:val="none" w:sz="0" w:space="0" w:color="auto"/>
          <w:bottom w:val="none" w:sz="0" w:space="0" w:color="auto"/>
          <w:right w:val="none" w:sz="0" w:space="0" w:color="auto"/>
          <w:bar w:val="none" w:sz="0" w:color="auto"/>
        </w:pBdr>
        <w:spacing w:after="0" w:line="360" w:lineRule="auto"/>
        <w:ind w:left="709" w:hanging="709"/>
        <w:jc w:val="both"/>
        <w:rPr>
          <w:rFonts w:ascii="Arial" w:hAnsi="Arial" w:cs="Arial"/>
          <w:sz w:val="24"/>
          <w:szCs w:val="24"/>
        </w:rPr>
      </w:pPr>
    </w:p>
    <w:p w:rsidR="00A83257" w:rsidRDefault="00A83257" w:rsidP="00A83257">
      <w:pPr>
        <w:pStyle w:val="BodyAA"/>
        <w:pBdr>
          <w:top w:val="none" w:sz="0" w:space="0" w:color="auto"/>
          <w:left w:val="none" w:sz="0" w:space="0" w:color="auto"/>
          <w:bottom w:val="none" w:sz="0" w:space="0" w:color="auto"/>
          <w:right w:val="none" w:sz="0" w:space="0" w:color="auto"/>
          <w:bar w:val="none" w:sz="0" w:color="auto"/>
        </w:pBdr>
        <w:spacing w:after="0" w:line="360" w:lineRule="auto"/>
        <w:ind w:left="709" w:hanging="709"/>
        <w:jc w:val="both"/>
        <w:rPr>
          <w:rFonts w:ascii="Arial" w:hAnsi="Arial" w:cs="Arial"/>
          <w:sz w:val="24"/>
          <w:szCs w:val="24"/>
        </w:rPr>
      </w:pPr>
    </w:p>
    <w:p w:rsidR="00A83257" w:rsidRDefault="00A83257" w:rsidP="00A83257">
      <w:pPr>
        <w:pStyle w:val="BodyAA"/>
        <w:pBdr>
          <w:top w:val="none" w:sz="0" w:space="0" w:color="auto"/>
          <w:left w:val="none" w:sz="0" w:space="0" w:color="auto"/>
          <w:bottom w:val="none" w:sz="0" w:space="0" w:color="auto"/>
          <w:right w:val="none" w:sz="0" w:space="0" w:color="auto"/>
          <w:bar w:val="none" w:sz="0" w:color="auto"/>
        </w:pBdr>
        <w:spacing w:after="0" w:line="360" w:lineRule="auto"/>
        <w:ind w:left="709" w:hanging="709"/>
        <w:jc w:val="both"/>
        <w:rPr>
          <w:rFonts w:ascii="Arial" w:hAnsi="Arial" w:cs="Arial"/>
          <w:b/>
          <w:bCs/>
          <w:sz w:val="24"/>
          <w:szCs w:val="24"/>
        </w:rPr>
      </w:pPr>
      <w:r>
        <w:rPr>
          <w:rFonts w:ascii="Arial" w:hAnsi="Arial"/>
          <w:b/>
          <w:bCs/>
          <w:sz w:val="24"/>
          <w:szCs w:val="24"/>
        </w:rPr>
        <w:t>Appearances:</w:t>
      </w:r>
    </w:p>
    <w:p w:rsidR="00A83257" w:rsidRDefault="00A83257" w:rsidP="00A83257">
      <w:pPr>
        <w:pStyle w:val="BodyAA"/>
        <w:pBdr>
          <w:top w:val="none" w:sz="0" w:space="0" w:color="auto"/>
          <w:left w:val="none" w:sz="0" w:space="0" w:color="auto"/>
          <w:bottom w:val="none" w:sz="0" w:space="0" w:color="auto"/>
          <w:right w:val="none" w:sz="0" w:space="0" w:color="auto"/>
          <w:bar w:val="none" w:sz="0" w:color="auto"/>
        </w:pBdr>
        <w:spacing w:after="0" w:line="360" w:lineRule="auto"/>
        <w:ind w:left="709" w:hanging="709"/>
        <w:jc w:val="both"/>
        <w:rPr>
          <w:rFonts w:ascii="Arial" w:hAnsi="Arial" w:cs="Arial"/>
          <w:sz w:val="24"/>
          <w:szCs w:val="24"/>
        </w:rPr>
      </w:pPr>
      <w:r>
        <w:rPr>
          <w:rFonts w:ascii="Arial" w:hAnsi="Arial"/>
          <w:sz w:val="24"/>
          <w:szCs w:val="24"/>
        </w:rPr>
        <w:t xml:space="preserve">For the Appellants: </w:t>
      </w:r>
      <w:r>
        <w:rPr>
          <w:rFonts w:ascii="Arial" w:hAnsi="Arial"/>
          <w:sz w:val="24"/>
          <w:szCs w:val="24"/>
        </w:rPr>
        <w:tab/>
      </w:r>
      <w:r>
        <w:rPr>
          <w:rFonts w:ascii="Arial" w:hAnsi="Arial"/>
          <w:sz w:val="24"/>
          <w:szCs w:val="24"/>
        </w:rPr>
        <w:tab/>
      </w:r>
      <w:r w:rsidR="00C97E48">
        <w:rPr>
          <w:rFonts w:ascii="Arial" w:hAnsi="Arial"/>
          <w:sz w:val="24"/>
          <w:szCs w:val="24"/>
        </w:rPr>
        <w:t>Adv F.G. Janse van Rensburg</w:t>
      </w:r>
      <w:r>
        <w:rPr>
          <w:rFonts w:ascii="Arial" w:hAnsi="Arial"/>
          <w:sz w:val="24"/>
          <w:szCs w:val="24"/>
        </w:rPr>
        <w:t xml:space="preserve"> </w:t>
      </w:r>
    </w:p>
    <w:p w:rsidR="00A83257" w:rsidRDefault="00C97E48" w:rsidP="00A83257">
      <w:pPr>
        <w:pStyle w:val="BodyAA"/>
        <w:pBdr>
          <w:top w:val="none" w:sz="0" w:space="0" w:color="auto"/>
          <w:left w:val="none" w:sz="0" w:space="0" w:color="auto"/>
          <w:bottom w:val="none" w:sz="0" w:space="0" w:color="auto"/>
          <w:right w:val="none" w:sz="0" w:space="0" w:color="auto"/>
          <w:bar w:val="none" w:sz="0" w:color="auto"/>
        </w:pBdr>
        <w:spacing w:after="0" w:line="360" w:lineRule="auto"/>
        <w:ind w:left="2858" w:firstLine="11"/>
        <w:jc w:val="both"/>
        <w:rPr>
          <w:rFonts w:ascii="Arial" w:hAnsi="Arial" w:cs="Arial"/>
          <w:sz w:val="24"/>
          <w:szCs w:val="24"/>
        </w:rPr>
      </w:pPr>
      <w:r>
        <w:rPr>
          <w:rFonts w:ascii="Arial" w:hAnsi="Arial"/>
          <w:sz w:val="24"/>
          <w:szCs w:val="24"/>
        </w:rPr>
        <w:t xml:space="preserve">JG </w:t>
      </w:r>
      <w:proofErr w:type="spellStart"/>
      <w:r>
        <w:rPr>
          <w:rFonts w:ascii="Arial" w:hAnsi="Arial"/>
          <w:sz w:val="24"/>
          <w:szCs w:val="24"/>
        </w:rPr>
        <w:t>Kriek</w:t>
      </w:r>
      <w:proofErr w:type="spellEnd"/>
      <w:r>
        <w:rPr>
          <w:rFonts w:ascii="Arial" w:hAnsi="Arial"/>
          <w:sz w:val="24"/>
          <w:szCs w:val="24"/>
        </w:rPr>
        <w:t xml:space="preserve"> and </w:t>
      </w:r>
      <w:proofErr w:type="spellStart"/>
      <w:r>
        <w:rPr>
          <w:rFonts w:ascii="Arial" w:hAnsi="Arial"/>
          <w:sz w:val="24"/>
          <w:szCs w:val="24"/>
        </w:rPr>
        <w:t>Cloete</w:t>
      </w:r>
      <w:proofErr w:type="spellEnd"/>
    </w:p>
    <w:p w:rsidR="00A83257" w:rsidRDefault="00A83257" w:rsidP="00A83257">
      <w:pPr>
        <w:pStyle w:val="BodyAA"/>
        <w:pBdr>
          <w:top w:val="none" w:sz="0" w:space="0" w:color="auto"/>
          <w:left w:val="none" w:sz="0" w:space="0" w:color="auto"/>
          <w:bottom w:val="none" w:sz="0" w:space="0" w:color="auto"/>
          <w:right w:val="none" w:sz="0" w:space="0" w:color="auto"/>
          <w:bar w:val="none" w:sz="0" w:color="auto"/>
        </w:pBdr>
        <w:spacing w:after="0" w:line="360" w:lineRule="auto"/>
        <w:ind w:left="2847" w:firstLine="11"/>
        <w:jc w:val="both"/>
        <w:rPr>
          <w:rFonts w:ascii="Arial" w:hAnsi="Arial" w:cs="Arial"/>
          <w:sz w:val="24"/>
          <w:szCs w:val="24"/>
        </w:rPr>
      </w:pPr>
      <w:r>
        <w:rPr>
          <w:rFonts w:ascii="Arial" w:hAnsi="Arial"/>
          <w:sz w:val="24"/>
          <w:szCs w:val="24"/>
        </w:rPr>
        <w:t>Bloemfontein</w:t>
      </w:r>
    </w:p>
    <w:p w:rsidR="00A83257" w:rsidRDefault="00A83257" w:rsidP="00A83257">
      <w:pPr>
        <w:pStyle w:val="BodyA"/>
        <w:pBdr>
          <w:top w:val="none" w:sz="0" w:space="0" w:color="auto"/>
          <w:left w:val="none" w:sz="0" w:space="0" w:color="auto"/>
          <w:bottom w:val="none" w:sz="0" w:space="0" w:color="auto"/>
          <w:right w:val="none" w:sz="0" w:space="0" w:color="auto"/>
          <w:bar w:val="none" w:sz="0" w:color="auto"/>
        </w:pBdr>
        <w:spacing w:after="0"/>
        <w:rPr>
          <w:lang w:val="en-US"/>
        </w:rPr>
      </w:pPr>
    </w:p>
    <w:p w:rsidR="00A83257" w:rsidRDefault="00A83257" w:rsidP="00A83257">
      <w:pPr>
        <w:pStyle w:val="BodyA"/>
        <w:pBdr>
          <w:top w:val="none" w:sz="0" w:space="0" w:color="auto"/>
          <w:left w:val="none" w:sz="0" w:space="0" w:color="auto"/>
          <w:bottom w:val="none" w:sz="0" w:space="0" w:color="auto"/>
          <w:right w:val="none" w:sz="0" w:space="0" w:color="auto"/>
          <w:bar w:val="none" w:sz="0" w:color="auto"/>
        </w:pBdr>
        <w:spacing w:after="0"/>
        <w:rPr>
          <w:lang w:val="en-US"/>
        </w:rPr>
      </w:pPr>
    </w:p>
    <w:p w:rsidR="00A83257" w:rsidRDefault="00A83257" w:rsidP="00A83257">
      <w:pPr>
        <w:pStyle w:val="BodyAA"/>
        <w:pBdr>
          <w:top w:val="none" w:sz="0" w:space="0" w:color="auto"/>
          <w:left w:val="none" w:sz="0" w:space="0" w:color="auto"/>
          <w:bottom w:val="none" w:sz="0" w:space="0" w:color="auto"/>
          <w:right w:val="none" w:sz="0" w:space="0" w:color="auto"/>
          <w:bar w:val="none" w:sz="0" w:color="auto"/>
        </w:pBdr>
        <w:spacing w:after="0" w:line="360" w:lineRule="auto"/>
        <w:ind w:left="709" w:hanging="709"/>
        <w:jc w:val="both"/>
        <w:rPr>
          <w:rFonts w:ascii="Arial" w:hAnsi="Arial" w:cs="Arial"/>
          <w:sz w:val="24"/>
          <w:szCs w:val="24"/>
        </w:rPr>
      </w:pPr>
      <w:r>
        <w:rPr>
          <w:rFonts w:ascii="Arial" w:hAnsi="Arial"/>
          <w:sz w:val="24"/>
          <w:szCs w:val="24"/>
        </w:rPr>
        <w:t>For the Respondent</w:t>
      </w:r>
      <w:r w:rsidR="00C97E48">
        <w:rPr>
          <w:rFonts w:ascii="Arial" w:hAnsi="Arial"/>
          <w:sz w:val="24"/>
          <w:szCs w:val="24"/>
        </w:rPr>
        <w:t>s</w:t>
      </w:r>
      <w:r>
        <w:rPr>
          <w:rFonts w:ascii="Arial" w:hAnsi="Arial"/>
          <w:sz w:val="24"/>
          <w:szCs w:val="24"/>
        </w:rPr>
        <w:t>:</w:t>
      </w:r>
      <w:r>
        <w:rPr>
          <w:rFonts w:ascii="Arial" w:hAnsi="Arial"/>
          <w:sz w:val="24"/>
          <w:szCs w:val="24"/>
        </w:rPr>
        <w:tab/>
        <w:t xml:space="preserve">Adv </w:t>
      </w:r>
      <w:r w:rsidR="00C97E48">
        <w:rPr>
          <w:rFonts w:ascii="Arial" w:hAnsi="Arial"/>
          <w:sz w:val="24"/>
          <w:szCs w:val="24"/>
        </w:rPr>
        <w:t>R van der Merwe</w:t>
      </w:r>
      <w:r>
        <w:rPr>
          <w:rFonts w:ascii="Arial" w:hAnsi="Arial"/>
          <w:sz w:val="24"/>
          <w:szCs w:val="24"/>
        </w:rPr>
        <w:t xml:space="preserve"> </w:t>
      </w:r>
    </w:p>
    <w:p w:rsidR="00A83257" w:rsidRDefault="00C97E48" w:rsidP="00A83257">
      <w:pPr>
        <w:pStyle w:val="BodyAA"/>
        <w:pBdr>
          <w:top w:val="none" w:sz="0" w:space="0" w:color="auto"/>
          <w:left w:val="none" w:sz="0" w:space="0" w:color="auto"/>
          <w:bottom w:val="none" w:sz="0" w:space="0" w:color="auto"/>
          <w:right w:val="none" w:sz="0" w:space="0" w:color="auto"/>
          <w:bar w:val="none" w:sz="0" w:color="auto"/>
        </w:pBdr>
        <w:spacing w:after="0" w:line="360" w:lineRule="auto"/>
        <w:ind w:left="2847" w:firstLine="11"/>
        <w:jc w:val="both"/>
        <w:rPr>
          <w:rFonts w:ascii="Arial" w:hAnsi="Arial" w:cs="Arial"/>
          <w:sz w:val="24"/>
          <w:szCs w:val="24"/>
        </w:rPr>
      </w:pPr>
      <w:r>
        <w:rPr>
          <w:rFonts w:ascii="Arial" w:hAnsi="Arial"/>
          <w:sz w:val="24"/>
          <w:szCs w:val="24"/>
        </w:rPr>
        <w:t xml:space="preserve">Muller </w:t>
      </w:r>
      <w:proofErr w:type="spellStart"/>
      <w:r>
        <w:rPr>
          <w:rFonts w:ascii="Arial" w:hAnsi="Arial"/>
          <w:sz w:val="24"/>
          <w:szCs w:val="24"/>
        </w:rPr>
        <w:t>Gonsior</w:t>
      </w:r>
      <w:proofErr w:type="spellEnd"/>
      <w:r>
        <w:rPr>
          <w:rFonts w:ascii="Arial" w:hAnsi="Arial"/>
          <w:sz w:val="24"/>
          <w:szCs w:val="24"/>
        </w:rPr>
        <w:t xml:space="preserve"> Attorneys</w:t>
      </w:r>
    </w:p>
    <w:p w:rsidR="00A83257" w:rsidRDefault="00A83257" w:rsidP="00A83257">
      <w:pPr>
        <w:pStyle w:val="BodyAA"/>
        <w:pBdr>
          <w:top w:val="none" w:sz="0" w:space="0" w:color="auto"/>
          <w:left w:val="none" w:sz="0" w:space="0" w:color="auto"/>
          <w:bottom w:val="none" w:sz="0" w:space="0" w:color="auto"/>
          <w:right w:val="none" w:sz="0" w:space="0" w:color="auto"/>
          <w:bar w:val="none" w:sz="0" w:color="auto"/>
        </w:pBdr>
        <w:spacing w:after="0" w:line="360" w:lineRule="auto"/>
        <w:ind w:left="2836" w:firstLine="11"/>
        <w:jc w:val="both"/>
      </w:pPr>
      <w:r>
        <w:rPr>
          <w:rFonts w:ascii="Arial" w:hAnsi="Arial"/>
          <w:sz w:val="24"/>
          <w:szCs w:val="24"/>
        </w:rPr>
        <w:t>Bloemfontein</w:t>
      </w:r>
    </w:p>
    <w:p w:rsidR="00A83257" w:rsidRPr="009243B0" w:rsidRDefault="00A83257" w:rsidP="00A83257">
      <w:pPr>
        <w:spacing w:after="0" w:line="360" w:lineRule="auto"/>
        <w:ind w:left="2160" w:hanging="720"/>
        <w:jc w:val="both"/>
        <w:rPr>
          <w:rFonts w:ascii="Arial" w:hAnsi="Arial" w:cs="Arial"/>
          <w:sz w:val="24"/>
          <w:szCs w:val="24"/>
          <w:lang w:val="en-ZA"/>
        </w:rPr>
      </w:pPr>
    </w:p>
    <w:sectPr w:rsidR="00A83257" w:rsidRPr="009243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77D" w:rsidRDefault="0088177D" w:rsidP="00983603">
      <w:pPr>
        <w:spacing w:after="0" w:line="240" w:lineRule="auto"/>
      </w:pPr>
      <w:r>
        <w:separator/>
      </w:r>
    </w:p>
  </w:endnote>
  <w:endnote w:type="continuationSeparator" w:id="0">
    <w:p w:rsidR="0088177D" w:rsidRDefault="0088177D" w:rsidP="0098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77D" w:rsidRDefault="0088177D" w:rsidP="00983603">
      <w:pPr>
        <w:spacing w:after="0" w:line="240" w:lineRule="auto"/>
      </w:pPr>
      <w:r>
        <w:separator/>
      </w:r>
    </w:p>
  </w:footnote>
  <w:footnote w:type="continuationSeparator" w:id="0">
    <w:p w:rsidR="0088177D" w:rsidRDefault="0088177D" w:rsidP="00983603">
      <w:pPr>
        <w:spacing w:after="0" w:line="240" w:lineRule="auto"/>
      </w:pPr>
      <w:r>
        <w:continuationSeparator/>
      </w:r>
    </w:p>
  </w:footnote>
  <w:footnote w:id="1">
    <w:p w:rsidR="00983603" w:rsidRPr="00983603" w:rsidRDefault="00983603">
      <w:pPr>
        <w:pStyle w:val="FootnoteText"/>
        <w:rPr>
          <w:lang w:val="en-ZA"/>
        </w:rPr>
      </w:pPr>
      <w:r>
        <w:rPr>
          <w:rStyle w:val="FootnoteReference"/>
        </w:rPr>
        <w:footnoteRef/>
      </w:r>
      <w:r>
        <w:t xml:space="preserve"> </w:t>
      </w:r>
      <w:r>
        <w:rPr>
          <w:lang w:val="en-ZA"/>
        </w:rPr>
        <w:t xml:space="preserve">Although the addresses differ on the agreements, the parties were </w:t>
      </w:r>
      <w:r w:rsidRPr="00A131AB">
        <w:rPr>
          <w:i/>
          <w:lang w:val="en-ZA"/>
        </w:rPr>
        <w:t>ad idem</w:t>
      </w:r>
      <w:r>
        <w:rPr>
          <w:lang w:val="en-ZA"/>
        </w:rPr>
        <w:t xml:space="preserve"> that it is the same property.</w:t>
      </w:r>
    </w:p>
  </w:footnote>
  <w:footnote w:id="2">
    <w:p w:rsidR="009E2809" w:rsidRPr="007B5D76" w:rsidRDefault="009E2809" w:rsidP="007B5D76">
      <w:pPr>
        <w:pStyle w:val="FootnoteText"/>
      </w:pPr>
      <w:r>
        <w:rPr>
          <w:rStyle w:val="FootnoteReference"/>
        </w:rPr>
        <w:footnoteRef/>
      </w:r>
      <w:r>
        <w:t xml:space="preserve"> In terms of the Uniform Rules (Rule 1) a ‘party’ or any reference to a plaintiff or other litigant in terms, includes such party’s attorney with or without an advocate, as the context may require.</w:t>
      </w:r>
    </w:p>
  </w:footnote>
  <w:footnote w:id="3">
    <w:p w:rsidR="00D76A40" w:rsidRPr="007B5D76" w:rsidRDefault="00277713" w:rsidP="007B5D76">
      <w:pPr>
        <w:pStyle w:val="Heading2"/>
        <w:shd w:val="clear" w:color="auto" w:fill="FFFFFF"/>
        <w:spacing w:before="0" w:beforeAutospacing="0" w:after="0" w:afterAutospacing="0"/>
        <w:rPr>
          <w:rFonts w:asciiTheme="minorHAnsi" w:eastAsiaTheme="minorHAnsi" w:hAnsiTheme="minorHAnsi" w:cstheme="minorBidi"/>
          <w:b w:val="0"/>
          <w:bCs w:val="0"/>
          <w:sz w:val="20"/>
          <w:szCs w:val="20"/>
          <w:lang w:val="en-GB" w:eastAsia="en-US"/>
        </w:rPr>
      </w:pPr>
      <w:r w:rsidRPr="007B5D76">
        <w:rPr>
          <w:rStyle w:val="FootnoteReference"/>
          <w:rFonts w:asciiTheme="minorHAnsi" w:eastAsiaTheme="minorHAnsi" w:hAnsiTheme="minorHAnsi" w:cstheme="minorBidi"/>
          <w:b w:val="0"/>
          <w:bCs w:val="0"/>
          <w:sz w:val="20"/>
          <w:szCs w:val="20"/>
          <w:lang w:val="en-GB" w:eastAsia="en-US"/>
        </w:rPr>
        <w:footnoteRef/>
      </w:r>
      <w:r w:rsidRPr="007B5D76">
        <w:rPr>
          <w:rStyle w:val="FootnoteReference"/>
          <w:rFonts w:asciiTheme="minorHAnsi" w:eastAsiaTheme="minorHAnsi" w:hAnsiTheme="minorHAnsi" w:cstheme="minorBidi"/>
          <w:b w:val="0"/>
          <w:bCs w:val="0"/>
          <w:sz w:val="20"/>
          <w:szCs w:val="20"/>
          <w:lang w:val="en-GB" w:eastAsia="en-US"/>
        </w:rPr>
        <w:t xml:space="preserve"> </w:t>
      </w:r>
      <w:r w:rsidR="00D76A40" w:rsidRPr="00DA46F0">
        <w:rPr>
          <w:rFonts w:asciiTheme="minorHAnsi" w:eastAsiaTheme="minorHAnsi" w:hAnsiTheme="minorHAnsi" w:cstheme="minorBidi"/>
          <w:bCs w:val="0"/>
          <w:sz w:val="20"/>
          <w:szCs w:val="20"/>
          <w:lang w:val="en-GB" w:eastAsia="en-US"/>
        </w:rPr>
        <w:t>Grootboom v National Prosecuting Authority and Anot</w:t>
      </w:r>
      <w:r w:rsidR="005C512B" w:rsidRPr="00DA46F0">
        <w:rPr>
          <w:rFonts w:asciiTheme="minorHAnsi" w:eastAsiaTheme="minorHAnsi" w:hAnsiTheme="minorHAnsi" w:cstheme="minorBidi"/>
          <w:bCs w:val="0"/>
          <w:sz w:val="20"/>
          <w:szCs w:val="20"/>
          <w:lang w:val="en-GB" w:eastAsia="en-US"/>
        </w:rPr>
        <w:t>her</w:t>
      </w:r>
      <w:r w:rsidR="005C512B" w:rsidRPr="007B5D76">
        <w:rPr>
          <w:rFonts w:asciiTheme="minorHAnsi" w:eastAsiaTheme="minorHAnsi" w:hAnsiTheme="minorHAnsi" w:cstheme="minorBidi"/>
          <w:b w:val="0"/>
          <w:bCs w:val="0"/>
          <w:sz w:val="20"/>
          <w:szCs w:val="20"/>
          <w:lang w:val="en-GB" w:eastAsia="en-US"/>
        </w:rPr>
        <w:t xml:space="preserve"> </w:t>
      </w:r>
      <w:r w:rsidR="00D76A40" w:rsidRPr="007B5D76">
        <w:rPr>
          <w:rFonts w:asciiTheme="minorHAnsi" w:eastAsiaTheme="minorHAnsi" w:hAnsiTheme="minorHAnsi" w:cstheme="minorBidi"/>
          <w:b w:val="0"/>
          <w:bCs w:val="0"/>
          <w:sz w:val="20"/>
          <w:szCs w:val="20"/>
          <w:lang w:val="en-GB" w:eastAsia="en-US"/>
        </w:rPr>
        <w:t>2014 (2) SA 68 (CC); 2014 (1) BCLR 65 (CC)</w:t>
      </w:r>
      <w:r w:rsidR="005C512B" w:rsidRPr="007B5D76">
        <w:rPr>
          <w:rFonts w:asciiTheme="minorHAnsi" w:eastAsiaTheme="minorHAnsi" w:hAnsiTheme="minorHAnsi" w:cstheme="minorBidi"/>
          <w:b w:val="0"/>
          <w:bCs w:val="0"/>
          <w:sz w:val="20"/>
          <w:szCs w:val="20"/>
          <w:lang w:val="en-GB" w:eastAsia="en-US"/>
        </w:rPr>
        <w:t>.</w:t>
      </w:r>
    </w:p>
    <w:p w:rsidR="00277713" w:rsidRPr="00277713" w:rsidRDefault="00277713">
      <w:pPr>
        <w:pStyle w:val="FootnoteText"/>
        <w:rPr>
          <w:lang w:val="en-ZA"/>
        </w:rPr>
      </w:pPr>
    </w:p>
  </w:footnote>
  <w:footnote w:id="4">
    <w:p w:rsidR="00D76A40" w:rsidRPr="00D76A40" w:rsidRDefault="00D76A40">
      <w:pPr>
        <w:pStyle w:val="FootnoteText"/>
        <w:rPr>
          <w:lang w:val="en-ZA"/>
        </w:rPr>
      </w:pPr>
      <w:r>
        <w:rPr>
          <w:rStyle w:val="FootnoteReference"/>
        </w:rPr>
        <w:footnoteRef/>
      </w:r>
      <w:r>
        <w:t xml:space="preserve"> </w:t>
      </w:r>
      <w:r w:rsidR="00C513C6">
        <w:rPr>
          <w:lang w:val="en-ZA"/>
        </w:rPr>
        <w:t>At para 22 and 23.</w:t>
      </w:r>
    </w:p>
  </w:footnote>
  <w:footnote w:id="5">
    <w:p w:rsidR="00C513C6" w:rsidRPr="00C513C6" w:rsidRDefault="00C513C6">
      <w:pPr>
        <w:pStyle w:val="FootnoteText"/>
        <w:rPr>
          <w:lang w:val="en-ZA"/>
        </w:rPr>
      </w:pPr>
      <w:r>
        <w:rPr>
          <w:rStyle w:val="FootnoteReference"/>
        </w:rPr>
        <w:footnoteRef/>
      </w:r>
      <w:r>
        <w:t xml:space="preserve"> </w:t>
      </w:r>
      <w:r>
        <w:rPr>
          <w:lang w:val="en-ZA"/>
        </w:rPr>
        <w:t>At para 51.</w:t>
      </w:r>
    </w:p>
  </w:footnote>
  <w:footnote w:id="6">
    <w:p w:rsidR="00813564" w:rsidRPr="00B61C01" w:rsidRDefault="00813564" w:rsidP="00B61C01">
      <w:pPr>
        <w:spacing w:after="0" w:line="240" w:lineRule="auto"/>
        <w:rPr>
          <w:rFonts w:eastAsia="Times New Roman" w:cstheme="minorHAnsi"/>
          <w:color w:val="000000"/>
          <w:sz w:val="20"/>
          <w:szCs w:val="20"/>
          <w:lang w:val="en-US"/>
        </w:rPr>
      </w:pPr>
      <w:r w:rsidRPr="00B61C01">
        <w:rPr>
          <w:rStyle w:val="FootnoteReference"/>
          <w:rFonts w:cstheme="minorHAnsi"/>
          <w:sz w:val="20"/>
          <w:szCs w:val="20"/>
        </w:rPr>
        <w:footnoteRef/>
      </w:r>
      <w:r w:rsidRPr="00B61C01">
        <w:rPr>
          <w:rFonts w:cstheme="minorHAnsi"/>
          <w:sz w:val="20"/>
          <w:szCs w:val="20"/>
        </w:rPr>
        <w:t xml:space="preserve"> </w:t>
      </w:r>
      <w:r w:rsidR="00F45440">
        <w:rPr>
          <w:rFonts w:cstheme="minorHAnsi"/>
          <w:sz w:val="20"/>
          <w:szCs w:val="20"/>
        </w:rPr>
        <w:t xml:space="preserve"> Rule 31(2)(b) reads: </w:t>
      </w:r>
      <w:r w:rsidR="00B61C01" w:rsidRPr="00B61C01">
        <w:rPr>
          <w:rFonts w:cstheme="minorHAnsi"/>
          <w:sz w:val="20"/>
          <w:szCs w:val="20"/>
        </w:rPr>
        <w:t>‘</w:t>
      </w:r>
      <w:bookmarkStart w:id="3" w:name="0-0-0-45537"/>
      <w:bookmarkStart w:id="4" w:name="0-0-0-18421"/>
      <w:bookmarkEnd w:id="3"/>
      <w:bookmarkEnd w:id="4"/>
      <w:r w:rsidR="00B61C01" w:rsidRPr="00B61C01">
        <w:rPr>
          <w:rFonts w:eastAsia="Times New Roman" w:cstheme="minorHAnsi"/>
          <w:color w:val="000000"/>
          <w:sz w:val="20"/>
          <w:szCs w:val="20"/>
          <w:lang w:val="en-US"/>
        </w:rPr>
        <w:t>A defendant may within 20 days after acquiring knowledge of such judgment apply to court upon notice to the plaintiff to set aside such judgment and the court may, upon good cause shown, set aside the default judgment on such terms as it deems fit.’</w:t>
      </w:r>
    </w:p>
  </w:footnote>
  <w:footnote w:id="7">
    <w:p w:rsidR="00B61C01" w:rsidRPr="00B61C01" w:rsidRDefault="00813564" w:rsidP="00B61C01">
      <w:pPr>
        <w:spacing w:after="0" w:line="240" w:lineRule="auto"/>
        <w:rPr>
          <w:rFonts w:eastAsia="Times New Roman" w:cstheme="minorHAnsi"/>
          <w:color w:val="000000"/>
          <w:sz w:val="20"/>
          <w:szCs w:val="20"/>
          <w:lang w:val="en-US"/>
        </w:rPr>
      </w:pPr>
      <w:r w:rsidRPr="00B61C01">
        <w:rPr>
          <w:rStyle w:val="FootnoteReference"/>
          <w:rFonts w:cstheme="minorHAnsi"/>
          <w:sz w:val="20"/>
          <w:szCs w:val="20"/>
        </w:rPr>
        <w:footnoteRef/>
      </w:r>
      <w:r w:rsidRPr="00B61C01">
        <w:rPr>
          <w:rFonts w:cstheme="minorHAnsi"/>
          <w:sz w:val="20"/>
          <w:szCs w:val="20"/>
        </w:rPr>
        <w:t xml:space="preserve"> </w:t>
      </w:r>
      <w:r w:rsidR="00F45440">
        <w:rPr>
          <w:rFonts w:cstheme="minorHAnsi"/>
          <w:sz w:val="20"/>
          <w:szCs w:val="20"/>
        </w:rPr>
        <w:t xml:space="preserve">Rule 42(1)(a) provides: </w:t>
      </w:r>
      <w:r w:rsidR="00B61C01" w:rsidRPr="00B61C01">
        <w:rPr>
          <w:rFonts w:cstheme="minorHAnsi"/>
          <w:sz w:val="20"/>
          <w:szCs w:val="20"/>
        </w:rPr>
        <w:t>‘</w:t>
      </w:r>
      <w:r w:rsidR="00B61C01" w:rsidRPr="00B61C01">
        <w:rPr>
          <w:rFonts w:eastAsia="Times New Roman" w:cstheme="minorHAnsi"/>
          <w:color w:val="000000"/>
          <w:sz w:val="20"/>
          <w:szCs w:val="20"/>
          <w:lang w:val="en-US"/>
        </w:rPr>
        <w:t>The court may, in addition to any other powers it may have, </w:t>
      </w:r>
      <w:proofErr w:type="spellStart"/>
      <w:r w:rsidR="00B61C01" w:rsidRPr="00B61C01">
        <w:rPr>
          <w:rFonts w:eastAsia="Times New Roman" w:cstheme="minorHAnsi"/>
          <w:i/>
          <w:iCs/>
          <w:color w:val="000000"/>
          <w:sz w:val="20"/>
          <w:szCs w:val="20"/>
          <w:lang w:val="en-US"/>
        </w:rPr>
        <w:t>mero</w:t>
      </w:r>
      <w:proofErr w:type="spellEnd"/>
      <w:r w:rsidR="00B61C01" w:rsidRPr="00B61C01">
        <w:rPr>
          <w:rFonts w:eastAsia="Times New Roman" w:cstheme="minorHAnsi"/>
          <w:i/>
          <w:iCs/>
          <w:color w:val="000000"/>
          <w:sz w:val="20"/>
          <w:szCs w:val="20"/>
          <w:lang w:val="en-US"/>
        </w:rPr>
        <w:t xml:space="preserve"> </w:t>
      </w:r>
      <w:proofErr w:type="spellStart"/>
      <w:r w:rsidR="00B61C01" w:rsidRPr="00B61C01">
        <w:rPr>
          <w:rFonts w:eastAsia="Times New Roman" w:cstheme="minorHAnsi"/>
          <w:i/>
          <w:iCs/>
          <w:color w:val="000000"/>
          <w:sz w:val="20"/>
          <w:szCs w:val="20"/>
          <w:lang w:val="en-US"/>
        </w:rPr>
        <w:t>motu</w:t>
      </w:r>
      <w:proofErr w:type="spellEnd"/>
      <w:r w:rsidR="00B61C01" w:rsidRPr="00B61C01">
        <w:rPr>
          <w:rFonts w:eastAsia="Times New Roman" w:cstheme="minorHAnsi"/>
          <w:color w:val="000000"/>
          <w:sz w:val="20"/>
          <w:szCs w:val="20"/>
          <w:lang w:val="en-US"/>
        </w:rPr>
        <w:t> or upon the application of any party affected, rescind or vary:</w:t>
      </w:r>
    </w:p>
    <w:p w:rsidR="00813564" w:rsidRPr="00B61C01" w:rsidRDefault="00B61C01" w:rsidP="00B61C01">
      <w:pPr>
        <w:spacing w:after="0" w:line="240" w:lineRule="auto"/>
        <w:ind w:left="450"/>
        <w:rPr>
          <w:rFonts w:eastAsia="Times New Roman" w:cstheme="minorHAnsi"/>
          <w:color w:val="000000"/>
          <w:sz w:val="20"/>
          <w:szCs w:val="20"/>
          <w:lang w:val="en-US"/>
        </w:rPr>
      </w:pPr>
      <w:bookmarkStart w:id="5" w:name="0-0-0-2015"/>
      <w:bookmarkEnd w:id="5"/>
      <w:r w:rsidRPr="00B61C01">
        <w:rPr>
          <w:rFonts w:eastAsia="Times New Roman" w:cstheme="minorHAnsi"/>
          <w:i/>
          <w:iCs/>
          <w:color w:val="000000"/>
          <w:sz w:val="20"/>
          <w:szCs w:val="20"/>
          <w:lang w:val="en-US"/>
        </w:rPr>
        <w:t>(a)</w:t>
      </w:r>
      <w:r w:rsidRPr="00B61C01">
        <w:rPr>
          <w:rFonts w:eastAsia="Times New Roman" w:cstheme="minorHAnsi"/>
          <w:color w:val="000000"/>
          <w:sz w:val="20"/>
          <w:szCs w:val="20"/>
          <w:lang w:val="en-US"/>
        </w:rPr>
        <w:t> An order or judgment erroneously sought or erroneously granted in the absence of any party affected thereby;’</w:t>
      </w:r>
    </w:p>
  </w:footnote>
  <w:footnote w:id="8">
    <w:p w:rsidR="002A4379" w:rsidRPr="002A4379" w:rsidRDefault="002A4379">
      <w:pPr>
        <w:pStyle w:val="FootnoteText"/>
        <w:rPr>
          <w:lang w:val="en-ZA"/>
        </w:rPr>
      </w:pPr>
      <w:r>
        <w:rPr>
          <w:rStyle w:val="FootnoteReference"/>
        </w:rPr>
        <w:footnoteRef/>
      </w:r>
      <w:r>
        <w:t xml:space="preserve"> </w:t>
      </w:r>
      <w:r w:rsidRPr="00101923">
        <w:rPr>
          <w:b/>
          <w:lang w:val="en-ZA"/>
        </w:rPr>
        <w:t>Lodhi 2</w:t>
      </w:r>
      <w:r w:rsidR="00101923" w:rsidRPr="00101923">
        <w:rPr>
          <w:b/>
          <w:lang w:val="en-ZA"/>
        </w:rPr>
        <w:t xml:space="preserve"> </w:t>
      </w:r>
      <w:r w:rsidRPr="00101923">
        <w:rPr>
          <w:b/>
          <w:lang w:val="en-ZA"/>
        </w:rPr>
        <w:t xml:space="preserve">Properties v </w:t>
      </w:r>
      <w:proofErr w:type="spellStart"/>
      <w:r w:rsidRPr="00101923">
        <w:rPr>
          <w:b/>
          <w:lang w:val="en-ZA"/>
        </w:rPr>
        <w:t>Bondev</w:t>
      </w:r>
      <w:proofErr w:type="spellEnd"/>
      <w:r w:rsidRPr="00101923">
        <w:rPr>
          <w:b/>
          <w:lang w:val="en-ZA"/>
        </w:rPr>
        <w:t xml:space="preserve"> Development</w:t>
      </w:r>
      <w:r>
        <w:rPr>
          <w:lang w:val="en-ZA"/>
        </w:rPr>
        <w:t xml:space="preserve"> 2007 (6) </w:t>
      </w:r>
      <w:r w:rsidR="00A003E2">
        <w:rPr>
          <w:lang w:val="en-ZA"/>
        </w:rPr>
        <w:t xml:space="preserve">SA </w:t>
      </w:r>
      <w:r>
        <w:rPr>
          <w:lang w:val="en-ZA"/>
        </w:rPr>
        <w:t>87 (SCA).</w:t>
      </w:r>
    </w:p>
  </w:footnote>
  <w:footnote w:id="9">
    <w:p w:rsidR="002A4379" w:rsidRPr="002A4379" w:rsidRDefault="002A4379">
      <w:pPr>
        <w:pStyle w:val="FootnoteText"/>
        <w:rPr>
          <w:lang w:val="en-ZA"/>
        </w:rPr>
      </w:pPr>
      <w:r>
        <w:rPr>
          <w:rStyle w:val="FootnoteReference"/>
        </w:rPr>
        <w:footnoteRef/>
      </w:r>
      <w:r>
        <w:t xml:space="preserve"> </w:t>
      </w:r>
      <w:r>
        <w:rPr>
          <w:lang w:val="en-ZA"/>
        </w:rPr>
        <w:t>At para 24.</w:t>
      </w:r>
    </w:p>
  </w:footnote>
  <w:footnote w:id="10">
    <w:p w:rsidR="00FB3703" w:rsidRPr="00FB3703" w:rsidRDefault="00FB3703">
      <w:pPr>
        <w:pStyle w:val="FootnoteText"/>
        <w:rPr>
          <w:lang w:val="en-ZA"/>
        </w:rPr>
      </w:pPr>
      <w:r>
        <w:rPr>
          <w:rStyle w:val="FootnoteReference"/>
        </w:rPr>
        <w:footnoteRef/>
      </w:r>
      <w:r>
        <w:t xml:space="preserve"> </w:t>
      </w:r>
      <w:r w:rsidRPr="00101923">
        <w:rPr>
          <w:b/>
          <w:lang w:val="en-ZA"/>
        </w:rPr>
        <w:t>Brown v Chapman</w:t>
      </w:r>
      <w:r>
        <w:rPr>
          <w:lang w:val="en-ZA"/>
        </w:rPr>
        <w:t xml:space="preserve"> 1938 TPD 320 at 325; </w:t>
      </w:r>
      <w:r w:rsidRPr="00101923">
        <w:rPr>
          <w:b/>
          <w:lang w:val="en-ZA"/>
        </w:rPr>
        <w:t>Grant v Plumbers (Pty) Ltd</w:t>
      </w:r>
      <w:r>
        <w:rPr>
          <w:lang w:val="en-ZA"/>
        </w:rPr>
        <w:t xml:space="preserve"> 1949 (2) SA </w:t>
      </w:r>
      <w:r w:rsidR="0093306B">
        <w:rPr>
          <w:lang w:val="en-ZA"/>
        </w:rPr>
        <w:t xml:space="preserve">470 </w:t>
      </w:r>
      <w:r>
        <w:rPr>
          <w:lang w:val="en-ZA"/>
        </w:rPr>
        <w:t>(O) at 476 – 477.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F17D3"/>
    <w:multiLevelType w:val="multilevel"/>
    <w:tmpl w:val="7CE628E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18363F"/>
    <w:multiLevelType w:val="multilevel"/>
    <w:tmpl w:val="8EE2067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914BD1"/>
    <w:multiLevelType w:val="hybridMultilevel"/>
    <w:tmpl w:val="509CFB08"/>
    <w:lvl w:ilvl="0" w:tplc="C450CBA0">
      <w:start w:val="1"/>
      <w:numFmt w:val="lowerLetter"/>
      <w:lvlText w:val="(%1)"/>
      <w:lvlJc w:val="left"/>
      <w:pPr>
        <w:ind w:left="830" w:hanging="360"/>
      </w:pPr>
      <w:rPr>
        <w:rFonts w:hint="default"/>
      </w:rPr>
    </w:lvl>
    <w:lvl w:ilvl="1" w:tplc="1C090019" w:tentative="1">
      <w:start w:val="1"/>
      <w:numFmt w:val="lowerLetter"/>
      <w:lvlText w:val="%2."/>
      <w:lvlJc w:val="left"/>
      <w:pPr>
        <w:ind w:left="1550" w:hanging="360"/>
      </w:pPr>
    </w:lvl>
    <w:lvl w:ilvl="2" w:tplc="1C09001B" w:tentative="1">
      <w:start w:val="1"/>
      <w:numFmt w:val="lowerRoman"/>
      <w:lvlText w:val="%3."/>
      <w:lvlJc w:val="right"/>
      <w:pPr>
        <w:ind w:left="2270" w:hanging="180"/>
      </w:pPr>
    </w:lvl>
    <w:lvl w:ilvl="3" w:tplc="1C09000F" w:tentative="1">
      <w:start w:val="1"/>
      <w:numFmt w:val="decimal"/>
      <w:lvlText w:val="%4."/>
      <w:lvlJc w:val="left"/>
      <w:pPr>
        <w:ind w:left="2990" w:hanging="360"/>
      </w:pPr>
    </w:lvl>
    <w:lvl w:ilvl="4" w:tplc="1C090019" w:tentative="1">
      <w:start w:val="1"/>
      <w:numFmt w:val="lowerLetter"/>
      <w:lvlText w:val="%5."/>
      <w:lvlJc w:val="left"/>
      <w:pPr>
        <w:ind w:left="3710" w:hanging="360"/>
      </w:pPr>
    </w:lvl>
    <w:lvl w:ilvl="5" w:tplc="1C09001B" w:tentative="1">
      <w:start w:val="1"/>
      <w:numFmt w:val="lowerRoman"/>
      <w:lvlText w:val="%6."/>
      <w:lvlJc w:val="right"/>
      <w:pPr>
        <w:ind w:left="4430" w:hanging="180"/>
      </w:pPr>
    </w:lvl>
    <w:lvl w:ilvl="6" w:tplc="1C09000F" w:tentative="1">
      <w:start w:val="1"/>
      <w:numFmt w:val="decimal"/>
      <w:lvlText w:val="%7."/>
      <w:lvlJc w:val="left"/>
      <w:pPr>
        <w:ind w:left="5150" w:hanging="360"/>
      </w:pPr>
    </w:lvl>
    <w:lvl w:ilvl="7" w:tplc="1C090019" w:tentative="1">
      <w:start w:val="1"/>
      <w:numFmt w:val="lowerLetter"/>
      <w:lvlText w:val="%8."/>
      <w:lvlJc w:val="left"/>
      <w:pPr>
        <w:ind w:left="5870" w:hanging="360"/>
      </w:pPr>
    </w:lvl>
    <w:lvl w:ilvl="8" w:tplc="1C09001B" w:tentative="1">
      <w:start w:val="1"/>
      <w:numFmt w:val="lowerRoman"/>
      <w:lvlText w:val="%9."/>
      <w:lvlJc w:val="right"/>
      <w:pPr>
        <w:ind w:left="6590" w:hanging="180"/>
      </w:pPr>
    </w:lvl>
  </w:abstractNum>
  <w:abstractNum w:abstractNumId="3">
    <w:nsid w:val="6F4737F4"/>
    <w:multiLevelType w:val="multilevel"/>
    <w:tmpl w:val="B6CE70C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F6"/>
    <w:rsid w:val="00013F63"/>
    <w:rsid w:val="0004422F"/>
    <w:rsid w:val="00054943"/>
    <w:rsid w:val="0008363A"/>
    <w:rsid w:val="0008782A"/>
    <w:rsid w:val="000933D6"/>
    <w:rsid w:val="000A098F"/>
    <w:rsid w:val="00101923"/>
    <w:rsid w:val="00111710"/>
    <w:rsid w:val="00137F11"/>
    <w:rsid w:val="001E1264"/>
    <w:rsid w:val="002623D5"/>
    <w:rsid w:val="00277713"/>
    <w:rsid w:val="002A4379"/>
    <w:rsid w:val="002D1C80"/>
    <w:rsid w:val="002D207E"/>
    <w:rsid w:val="002E13E5"/>
    <w:rsid w:val="002E5E22"/>
    <w:rsid w:val="002F2DE5"/>
    <w:rsid w:val="00300C18"/>
    <w:rsid w:val="00313ABC"/>
    <w:rsid w:val="00316E63"/>
    <w:rsid w:val="00346396"/>
    <w:rsid w:val="003619BA"/>
    <w:rsid w:val="003A1077"/>
    <w:rsid w:val="003B5D08"/>
    <w:rsid w:val="003D6D76"/>
    <w:rsid w:val="00416B6F"/>
    <w:rsid w:val="004417E4"/>
    <w:rsid w:val="00442AAF"/>
    <w:rsid w:val="00447FE3"/>
    <w:rsid w:val="00461536"/>
    <w:rsid w:val="00495004"/>
    <w:rsid w:val="004C71CC"/>
    <w:rsid w:val="004D0D6E"/>
    <w:rsid w:val="005230B2"/>
    <w:rsid w:val="0054482C"/>
    <w:rsid w:val="005546EE"/>
    <w:rsid w:val="0056376F"/>
    <w:rsid w:val="0056403A"/>
    <w:rsid w:val="00573AC1"/>
    <w:rsid w:val="00590976"/>
    <w:rsid w:val="005917DF"/>
    <w:rsid w:val="005C0C30"/>
    <w:rsid w:val="005C512B"/>
    <w:rsid w:val="005F7876"/>
    <w:rsid w:val="00603282"/>
    <w:rsid w:val="00645F3B"/>
    <w:rsid w:val="00687D46"/>
    <w:rsid w:val="0069462F"/>
    <w:rsid w:val="006A395B"/>
    <w:rsid w:val="006C0BC3"/>
    <w:rsid w:val="0072141F"/>
    <w:rsid w:val="00733722"/>
    <w:rsid w:val="007645FD"/>
    <w:rsid w:val="00791D00"/>
    <w:rsid w:val="007B5D76"/>
    <w:rsid w:val="007C408E"/>
    <w:rsid w:val="007D5F6E"/>
    <w:rsid w:val="00813564"/>
    <w:rsid w:val="0082798F"/>
    <w:rsid w:val="00835EC0"/>
    <w:rsid w:val="0086124E"/>
    <w:rsid w:val="0088177D"/>
    <w:rsid w:val="008D3266"/>
    <w:rsid w:val="00902EE1"/>
    <w:rsid w:val="00917E19"/>
    <w:rsid w:val="009243B0"/>
    <w:rsid w:val="0093306B"/>
    <w:rsid w:val="00977EDC"/>
    <w:rsid w:val="00983603"/>
    <w:rsid w:val="009C33A3"/>
    <w:rsid w:val="009E2809"/>
    <w:rsid w:val="009E327B"/>
    <w:rsid w:val="009E7E6E"/>
    <w:rsid w:val="009F002E"/>
    <w:rsid w:val="00A003E2"/>
    <w:rsid w:val="00A0096D"/>
    <w:rsid w:val="00A131AB"/>
    <w:rsid w:val="00A26CF6"/>
    <w:rsid w:val="00A40EB4"/>
    <w:rsid w:val="00A83257"/>
    <w:rsid w:val="00B51360"/>
    <w:rsid w:val="00B61C01"/>
    <w:rsid w:val="00B762E7"/>
    <w:rsid w:val="00BA60B5"/>
    <w:rsid w:val="00BB0033"/>
    <w:rsid w:val="00BB1B3D"/>
    <w:rsid w:val="00C4291B"/>
    <w:rsid w:val="00C513C6"/>
    <w:rsid w:val="00C55481"/>
    <w:rsid w:val="00C97E48"/>
    <w:rsid w:val="00CC04F3"/>
    <w:rsid w:val="00CE4E25"/>
    <w:rsid w:val="00D0254D"/>
    <w:rsid w:val="00D31CE6"/>
    <w:rsid w:val="00D35FBF"/>
    <w:rsid w:val="00D43F27"/>
    <w:rsid w:val="00D45A86"/>
    <w:rsid w:val="00D4614B"/>
    <w:rsid w:val="00D71A3C"/>
    <w:rsid w:val="00D76A40"/>
    <w:rsid w:val="00D87E81"/>
    <w:rsid w:val="00DA1133"/>
    <w:rsid w:val="00DA40C6"/>
    <w:rsid w:val="00DA46F0"/>
    <w:rsid w:val="00E01380"/>
    <w:rsid w:val="00E432D6"/>
    <w:rsid w:val="00E461F8"/>
    <w:rsid w:val="00E66003"/>
    <w:rsid w:val="00E8042F"/>
    <w:rsid w:val="00E943DC"/>
    <w:rsid w:val="00EA5E4E"/>
    <w:rsid w:val="00EB0874"/>
    <w:rsid w:val="00EB1A24"/>
    <w:rsid w:val="00F06C3B"/>
    <w:rsid w:val="00F14FED"/>
    <w:rsid w:val="00F45440"/>
    <w:rsid w:val="00F46596"/>
    <w:rsid w:val="00F95273"/>
    <w:rsid w:val="00F96A2E"/>
    <w:rsid w:val="00FB37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C7ED8-6CFB-4645-9A2B-0270DCAF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D76A40"/>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36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603"/>
    <w:rPr>
      <w:sz w:val="20"/>
      <w:szCs w:val="20"/>
      <w:lang w:val="en-GB"/>
    </w:rPr>
  </w:style>
  <w:style w:type="character" w:styleId="FootnoteReference">
    <w:name w:val="footnote reference"/>
    <w:basedOn w:val="DefaultParagraphFont"/>
    <w:uiPriority w:val="99"/>
    <w:semiHidden/>
    <w:unhideWhenUsed/>
    <w:rsid w:val="00983603"/>
    <w:rPr>
      <w:vertAlign w:val="superscript"/>
    </w:rPr>
  </w:style>
  <w:style w:type="paragraph" w:styleId="BalloonText">
    <w:name w:val="Balloon Text"/>
    <w:basedOn w:val="Normal"/>
    <w:link w:val="BalloonTextChar"/>
    <w:uiPriority w:val="99"/>
    <w:semiHidden/>
    <w:unhideWhenUsed/>
    <w:rsid w:val="00917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19"/>
    <w:rPr>
      <w:rFonts w:ascii="Segoe UI" w:hAnsi="Segoe UI" w:cs="Segoe UI"/>
      <w:sz w:val="18"/>
      <w:szCs w:val="18"/>
      <w:lang w:val="en-GB"/>
    </w:rPr>
  </w:style>
  <w:style w:type="paragraph" w:customStyle="1" w:styleId="BodyAA">
    <w:name w:val="Body A A"/>
    <w:uiPriority w:val="99"/>
    <w:rsid w:val="009243B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val="en-US" w:eastAsia="en-ZA"/>
    </w:rPr>
  </w:style>
  <w:style w:type="paragraph" w:customStyle="1" w:styleId="Body">
    <w:name w:val="Body"/>
    <w:rsid w:val="00DA113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af-ZA" w:eastAsia="af-ZA"/>
    </w:rPr>
  </w:style>
  <w:style w:type="paragraph" w:customStyle="1" w:styleId="BodyA">
    <w:name w:val="Body A"/>
    <w:uiPriority w:val="99"/>
    <w:rsid w:val="00A8325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Arial Unicode MS"/>
      <w:color w:val="000000"/>
      <w:u w:color="000000"/>
      <w:shd w:val="clear" w:color="FFFFFF" w:fill="FFFFFF"/>
      <w:lang w:eastAsia="en-ZA"/>
    </w:rPr>
  </w:style>
  <w:style w:type="character" w:customStyle="1" w:styleId="Heading2Char">
    <w:name w:val="Heading 2 Char"/>
    <w:basedOn w:val="DefaultParagraphFont"/>
    <w:link w:val="Heading2"/>
    <w:uiPriority w:val="9"/>
    <w:rsid w:val="00D76A40"/>
    <w:rPr>
      <w:rFonts w:ascii="Times New Roman" w:eastAsia="Times New Roman" w:hAnsi="Times New Roman" w:cs="Times New Roman"/>
      <w:b/>
      <w:bCs/>
      <w:sz w:val="36"/>
      <w:szCs w:val="36"/>
      <w:lang w:eastAsia="en-ZA"/>
    </w:rPr>
  </w:style>
  <w:style w:type="paragraph" w:customStyle="1" w:styleId="western">
    <w:name w:val="western"/>
    <w:basedOn w:val="Normal"/>
    <w:rsid w:val="00D76A40"/>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C513C6"/>
    <w:rPr>
      <w:color w:val="0000FF"/>
      <w:u w:val="single"/>
    </w:rPr>
  </w:style>
  <w:style w:type="paragraph" w:styleId="ListParagraph">
    <w:name w:val="List Paragraph"/>
    <w:basedOn w:val="Normal"/>
    <w:uiPriority w:val="34"/>
    <w:qFormat/>
    <w:rsid w:val="005C512B"/>
    <w:pPr>
      <w:ind w:left="720"/>
      <w:contextualSpacing/>
    </w:pPr>
  </w:style>
  <w:style w:type="paragraph" w:styleId="Header">
    <w:name w:val="header"/>
    <w:basedOn w:val="Normal"/>
    <w:link w:val="HeaderChar"/>
    <w:uiPriority w:val="99"/>
    <w:unhideWhenUsed/>
    <w:rsid w:val="00A40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EB4"/>
    <w:rPr>
      <w:lang w:val="en-GB"/>
    </w:rPr>
  </w:style>
  <w:style w:type="paragraph" w:styleId="Footer">
    <w:name w:val="footer"/>
    <w:basedOn w:val="Normal"/>
    <w:link w:val="FooterChar"/>
    <w:uiPriority w:val="99"/>
    <w:unhideWhenUsed/>
    <w:rsid w:val="00A40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EB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5945">
      <w:bodyDiv w:val="1"/>
      <w:marLeft w:val="0"/>
      <w:marRight w:val="0"/>
      <w:marTop w:val="0"/>
      <w:marBottom w:val="0"/>
      <w:divBdr>
        <w:top w:val="none" w:sz="0" w:space="0" w:color="auto"/>
        <w:left w:val="none" w:sz="0" w:space="0" w:color="auto"/>
        <w:bottom w:val="none" w:sz="0" w:space="0" w:color="auto"/>
        <w:right w:val="none" w:sz="0" w:space="0" w:color="auto"/>
      </w:divBdr>
    </w:div>
    <w:div w:id="599416640">
      <w:bodyDiv w:val="1"/>
      <w:marLeft w:val="0"/>
      <w:marRight w:val="0"/>
      <w:marTop w:val="0"/>
      <w:marBottom w:val="0"/>
      <w:divBdr>
        <w:top w:val="none" w:sz="0" w:space="0" w:color="auto"/>
        <w:left w:val="none" w:sz="0" w:space="0" w:color="auto"/>
        <w:bottom w:val="none" w:sz="0" w:space="0" w:color="auto"/>
        <w:right w:val="none" w:sz="0" w:space="0" w:color="auto"/>
      </w:divBdr>
    </w:div>
    <w:div w:id="1315721194">
      <w:bodyDiv w:val="1"/>
      <w:marLeft w:val="0"/>
      <w:marRight w:val="0"/>
      <w:marTop w:val="0"/>
      <w:marBottom w:val="0"/>
      <w:divBdr>
        <w:top w:val="none" w:sz="0" w:space="0" w:color="auto"/>
        <w:left w:val="none" w:sz="0" w:space="0" w:color="auto"/>
        <w:bottom w:val="none" w:sz="0" w:space="0" w:color="auto"/>
        <w:right w:val="none" w:sz="0" w:space="0" w:color="auto"/>
      </w:divBdr>
    </w:div>
    <w:div w:id="20103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flii.org/cgi-bin/LawCite?cit=1991%20%283%29%20SA%20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29DD6-8B20-414C-AEC0-2B8F3EFE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Judge-Cagney Musi</dc:creator>
  <cp:keywords/>
  <dc:description/>
  <cp:lastModifiedBy>Mokone</cp:lastModifiedBy>
  <cp:revision>2</cp:revision>
  <cp:lastPrinted>2023-10-10T13:08:00Z</cp:lastPrinted>
  <dcterms:created xsi:type="dcterms:W3CDTF">2023-10-16T14:48:00Z</dcterms:created>
  <dcterms:modified xsi:type="dcterms:W3CDTF">2023-10-16T14:48:00Z</dcterms:modified>
</cp:coreProperties>
</file>