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F2" w:rsidRDefault="00C138F2" w:rsidP="00C138F2">
      <w:pPr>
        <w:jc w:val="center"/>
        <w:rPr>
          <w:szCs w:val="24"/>
        </w:rPr>
      </w:pPr>
      <w:bookmarkStart w:id="0" w:name="_GoBack"/>
      <w:bookmarkEnd w:id="0"/>
      <w:r>
        <w:rPr>
          <w:noProof/>
          <w:lang w:eastAsia="en-ZA"/>
        </w:rPr>
        <w:drawing>
          <wp:anchor distT="0" distB="0" distL="114300" distR="114300" simplePos="0" relativeHeight="251659264" behindDoc="1" locked="0" layoutInCell="1" allowOverlap="1" wp14:anchorId="7563AECF" wp14:editId="0C36248D">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C138F2" w:rsidRDefault="00C138F2" w:rsidP="00C138F2">
      <w:pPr>
        <w:pStyle w:val="Heading1"/>
        <w:rPr>
          <w:szCs w:val="24"/>
        </w:rPr>
      </w:pPr>
    </w:p>
    <w:p w:rsidR="00C138F2" w:rsidRDefault="00C138F2" w:rsidP="00C138F2">
      <w:pPr>
        <w:pStyle w:val="Heading1"/>
        <w:rPr>
          <w:szCs w:val="24"/>
        </w:rPr>
      </w:pPr>
    </w:p>
    <w:p w:rsidR="00C138F2" w:rsidRDefault="00C138F2" w:rsidP="00C138F2">
      <w:pPr>
        <w:pStyle w:val="Heading1"/>
        <w:rPr>
          <w:szCs w:val="24"/>
        </w:rPr>
      </w:pPr>
    </w:p>
    <w:p w:rsidR="00C138F2" w:rsidRDefault="00C138F2" w:rsidP="00C138F2">
      <w:pPr>
        <w:spacing w:line="360" w:lineRule="auto"/>
        <w:jc w:val="center"/>
        <w:rPr>
          <w:rFonts w:ascii="Arial" w:hAnsi="Arial" w:cs="Arial"/>
          <w:b/>
          <w:sz w:val="28"/>
          <w:szCs w:val="28"/>
          <w:u w:val="single"/>
        </w:rPr>
      </w:pPr>
    </w:p>
    <w:p w:rsidR="00C138F2" w:rsidRPr="00A77B78" w:rsidRDefault="00C138F2" w:rsidP="00C138F2">
      <w:pPr>
        <w:spacing w:line="360" w:lineRule="auto"/>
        <w:jc w:val="center"/>
        <w:rPr>
          <w:rFonts w:ascii="Arial" w:hAnsi="Arial" w:cs="Arial"/>
          <w:b/>
          <w:sz w:val="24"/>
          <w:szCs w:val="24"/>
          <w:u w:val="single"/>
        </w:rPr>
      </w:pPr>
      <w:r w:rsidRPr="00A77B78">
        <w:rPr>
          <w:rFonts w:ascii="Arial" w:hAnsi="Arial" w:cs="Arial"/>
          <w:b/>
          <w:sz w:val="24"/>
          <w:szCs w:val="24"/>
          <w:u w:val="single"/>
        </w:rPr>
        <w:t>IN THE HIGH COURT OF SOUTH AFRICA,</w:t>
      </w:r>
    </w:p>
    <w:p w:rsidR="00C138F2" w:rsidRPr="00A77B78" w:rsidRDefault="00C138F2" w:rsidP="00C138F2">
      <w:pPr>
        <w:spacing w:line="360" w:lineRule="auto"/>
        <w:jc w:val="center"/>
        <w:rPr>
          <w:rFonts w:ascii="Arial" w:hAnsi="Arial" w:cs="Arial"/>
          <w:b/>
          <w:sz w:val="24"/>
          <w:szCs w:val="24"/>
          <w:u w:val="single"/>
        </w:rPr>
      </w:pPr>
      <w:r w:rsidRPr="00A77B78">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C138F2" w:rsidRPr="00A77B78" w:rsidTr="00B73D8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38F2" w:rsidRPr="00A77B78" w:rsidRDefault="00C138F2" w:rsidP="00B73D84">
            <w:pPr>
              <w:spacing w:line="360" w:lineRule="auto"/>
              <w:rPr>
                <w:rFonts w:ascii="Arial" w:eastAsia="Times New Roman" w:hAnsi="Arial" w:cs="Arial"/>
                <w:b/>
                <w:sz w:val="16"/>
                <w:szCs w:val="16"/>
                <w:lang w:eastAsia="en-GB"/>
              </w:rPr>
            </w:pPr>
            <w:r w:rsidRPr="00A77B78">
              <w:rPr>
                <w:rFonts w:ascii="Arial" w:hAnsi="Arial" w:cs="Arial"/>
                <w:b/>
                <w:sz w:val="16"/>
                <w:szCs w:val="16"/>
              </w:rPr>
              <w:t>Reportable:                              NO</w:t>
            </w:r>
          </w:p>
          <w:p w:rsidR="00C138F2" w:rsidRPr="00A77B78" w:rsidRDefault="00C138F2" w:rsidP="00B73D84">
            <w:pPr>
              <w:spacing w:line="360" w:lineRule="auto"/>
              <w:rPr>
                <w:rFonts w:ascii="Arial" w:hAnsi="Arial" w:cs="Arial"/>
                <w:b/>
                <w:sz w:val="16"/>
                <w:szCs w:val="16"/>
              </w:rPr>
            </w:pPr>
            <w:r w:rsidRPr="00A77B78">
              <w:rPr>
                <w:rFonts w:ascii="Arial" w:hAnsi="Arial" w:cs="Arial"/>
                <w:b/>
                <w:sz w:val="16"/>
                <w:szCs w:val="16"/>
              </w:rPr>
              <w:t xml:space="preserve">Of </w:t>
            </w:r>
            <w:r>
              <w:rPr>
                <w:rFonts w:ascii="Arial" w:hAnsi="Arial" w:cs="Arial"/>
                <w:b/>
                <w:sz w:val="16"/>
                <w:szCs w:val="16"/>
              </w:rPr>
              <w:t xml:space="preserve">Interest to other Judges:   </w:t>
            </w:r>
            <w:r w:rsidRPr="00A77B78">
              <w:rPr>
                <w:rFonts w:ascii="Arial" w:hAnsi="Arial" w:cs="Arial"/>
                <w:b/>
                <w:sz w:val="16"/>
                <w:szCs w:val="16"/>
              </w:rPr>
              <w:t>NO</w:t>
            </w:r>
          </w:p>
          <w:p w:rsidR="00C138F2" w:rsidRPr="00A77B78" w:rsidRDefault="00C138F2" w:rsidP="00B73D84">
            <w:pPr>
              <w:spacing w:line="360" w:lineRule="auto"/>
              <w:rPr>
                <w:rFonts w:ascii="Arial" w:eastAsia="Times New Roman" w:hAnsi="Arial" w:cs="Arial"/>
                <w:b/>
                <w:sz w:val="24"/>
                <w:szCs w:val="24"/>
                <w:u w:val="single"/>
                <w:lang w:eastAsia="en-GB"/>
              </w:rPr>
            </w:pPr>
            <w:r w:rsidRPr="00A77B78">
              <w:rPr>
                <w:rFonts w:ascii="Arial" w:hAnsi="Arial" w:cs="Arial"/>
                <w:b/>
                <w:sz w:val="16"/>
                <w:szCs w:val="16"/>
              </w:rPr>
              <w:t>Circulate to Magistrates:        NO</w:t>
            </w:r>
          </w:p>
        </w:tc>
      </w:tr>
    </w:tbl>
    <w:p w:rsidR="00C138F2" w:rsidRPr="00A77B78" w:rsidRDefault="00C138F2" w:rsidP="00C138F2">
      <w:pPr>
        <w:spacing w:line="360" w:lineRule="auto"/>
        <w:jc w:val="right"/>
        <w:rPr>
          <w:rFonts w:ascii="Arial" w:hAnsi="Arial" w:cs="Arial"/>
          <w:sz w:val="24"/>
          <w:szCs w:val="24"/>
        </w:rPr>
      </w:pP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sidRPr="00A77B78">
        <w:rPr>
          <w:rFonts w:ascii="Arial" w:hAnsi="Arial" w:cs="Arial"/>
          <w:b/>
          <w:sz w:val="24"/>
          <w:szCs w:val="24"/>
        </w:rPr>
        <w:tab/>
      </w:r>
      <w:r>
        <w:rPr>
          <w:rFonts w:ascii="Arial" w:hAnsi="Arial" w:cs="Arial"/>
          <w:sz w:val="24"/>
          <w:szCs w:val="24"/>
        </w:rPr>
        <w:t xml:space="preserve">Case number: </w:t>
      </w:r>
      <w:r w:rsidRPr="00F32668">
        <w:rPr>
          <w:rFonts w:ascii="Arial" w:hAnsi="Arial" w:cs="Arial"/>
          <w:sz w:val="24"/>
          <w:szCs w:val="24"/>
        </w:rPr>
        <w:t>845/2022</w:t>
      </w:r>
    </w:p>
    <w:p w:rsidR="00C138F2" w:rsidRPr="00A77B78" w:rsidRDefault="00C138F2" w:rsidP="00C138F2">
      <w:pPr>
        <w:spacing w:after="0" w:line="360" w:lineRule="auto"/>
        <w:jc w:val="both"/>
        <w:rPr>
          <w:rFonts w:ascii="Arial" w:hAnsi="Arial" w:cs="Arial"/>
          <w:sz w:val="24"/>
          <w:szCs w:val="24"/>
        </w:rPr>
      </w:pPr>
      <w:r w:rsidRPr="00A77B78">
        <w:rPr>
          <w:rFonts w:ascii="Arial" w:hAnsi="Arial" w:cs="Arial"/>
          <w:sz w:val="24"/>
          <w:szCs w:val="24"/>
        </w:rPr>
        <w:t xml:space="preserve">In the matter between: </w:t>
      </w:r>
    </w:p>
    <w:p w:rsidR="00C138F2" w:rsidRPr="00A77B78" w:rsidRDefault="00C138F2" w:rsidP="00C138F2">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b/>
          <w:sz w:val="24"/>
          <w:szCs w:val="24"/>
          <w:u w:val="single"/>
        </w:rPr>
      </w:pPr>
    </w:p>
    <w:p w:rsidR="00C138F2" w:rsidRPr="00C138F2" w:rsidRDefault="00C138F2" w:rsidP="00C138F2">
      <w:pPr>
        <w:pStyle w:val="BodyText"/>
        <w:spacing w:line="360" w:lineRule="auto"/>
        <w:rPr>
          <w:rFonts w:ascii="Arial" w:hAnsi="Arial" w:cs="Arial"/>
          <w:szCs w:val="24"/>
        </w:rPr>
      </w:pPr>
      <w:r>
        <w:rPr>
          <w:rFonts w:ascii="Arial" w:hAnsi="Arial" w:cs="Arial"/>
          <w:b/>
          <w:szCs w:val="24"/>
        </w:rPr>
        <w:t>THABO JOHN MAKHOBA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A77B78">
        <w:rPr>
          <w:rFonts w:ascii="Arial" w:hAnsi="Arial" w:cs="Arial"/>
          <w:b/>
          <w:szCs w:val="24"/>
        </w:rPr>
        <w:tab/>
      </w:r>
      <w:r>
        <w:rPr>
          <w:rFonts w:ascii="Arial" w:hAnsi="Arial" w:cs="Arial"/>
          <w:b/>
          <w:szCs w:val="24"/>
        </w:rPr>
        <w:tab/>
      </w:r>
      <w:r w:rsidRPr="00C138F2">
        <w:rPr>
          <w:rFonts w:ascii="Arial" w:hAnsi="Arial" w:cs="Arial"/>
          <w:szCs w:val="24"/>
        </w:rPr>
        <w:t>Applicant</w:t>
      </w:r>
    </w:p>
    <w:p w:rsidR="00C138F2" w:rsidRPr="00A77B78" w:rsidRDefault="00C138F2" w:rsidP="00C138F2">
      <w:pPr>
        <w:pStyle w:val="BodyText"/>
        <w:spacing w:line="360" w:lineRule="auto"/>
        <w:rPr>
          <w:rFonts w:ascii="Arial" w:hAnsi="Arial" w:cs="Arial"/>
          <w:szCs w:val="24"/>
        </w:rPr>
      </w:pPr>
    </w:p>
    <w:p w:rsidR="00C138F2" w:rsidRPr="00A77B78" w:rsidRDefault="00C138F2" w:rsidP="00C138F2">
      <w:pPr>
        <w:pStyle w:val="BodyText"/>
        <w:spacing w:line="360" w:lineRule="auto"/>
        <w:rPr>
          <w:rFonts w:ascii="Arial" w:hAnsi="Arial" w:cs="Arial"/>
          <w:szCs w:val="24"/>
        </w:rPr>
      </w:pPr>
      <w:r w:rsidRPr="00A77B78">
        <w:rPr>
          <w:rFonts w:ascii="Arial" w:hAnsi="Arial" w:cs="Arial"/>
          <w:szCs w:val="24"/>
        </w:rPr>
        <w:t xml:space="preserve">and </w:t>
      </w:r>
    </w:p>
    <w:p w:rsidR="00C138F2" w:rsidRPr="00A77B78" w:rsidRDefault="00C138F2" w:rsidP="00C138F2">
      <w:pPr>
        <w:pStyle w:val="BodyText"/>
        <w:spacing w:line="360" w:lineRule="auto"/>
        <w:rPr>
          <w:rFonts w:ascii="Arial" w:hAnsi="Arial" w:cs="Arial"/>
          <w:szCs w:val="24"/>
        </w:rPr>
      </w:pPr>
    </w:p>
    <w:p w:rsidR="00C138F2" w:rsidRDefault="00C138F2" w:rsidP="00C138F2">
      <w:pPr>
        <w:pStyle w:val="BodyText"/>
        <w:spacing w:line="276" w:lineRule="auto"/>
        <w:rPr>
          <w:rFonts w:ascii="Arial" w:hAnsi="Arial" w:cs="Arial"/>
          <w:szCs w:val="24"/>
        </w:rPr>
      </w:pPr>
      <w:r>
        <w:rPr>
          <w:rFonts w:ascii="Arial" w:hAnsi="Arial" w:cs="Arial"/>
          <w:b/>
          <w:szCs w:val="24"/>
        </w:rPr>
        <w:t>THE STANDARD BANK OF SOUTH AFRICA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ab/>
        <w:t>Respondent</w:t>
      </w:r>
    </w:p>
    <w:p w:rsidR="00C138F2" w:rsidRDefault="00C138F2" w:rsidP="00C138F2">
      <w:pPr>
        <w:spacing w:after="0" w:line="276" w:lineRule="auto"/>
        <w:rPr>
          <w:rFonts w:ascii="Arial" w:hAnsi="Arial" w:cs="Arial"/>
          <w:sz w:val="24"/>
          <w:szCs w:val="24"/>
        </w:rPr>
      </w:pPr>
    </w:p>
    <w:p w:rsidR="00C138F2" w:rsidRPr="00A77B78" w:rsidRDefault="00C138F2" w:rsidP="00C138F2">
      <w:pPr>
        <w:spacing w:after="0" w:line="240" w:lineRule="auto"/>
        <w:contextualSpacing/>
        <w:jc w:val="both"/>
        <w:rPr>
          <w:rFonts w:ascii="Arial" w:eastAsia="Times New Roman" w:hAnsi="Arial" w:cs="Arial"/>
          <w:b/>
          <w:sz w:val="24"/>
          <w:szCs w:val="24"/>
          <w:u w:val="single"/>
          <w:lang w:val="en-GB" w:eastAsia="en-GB"/>
        </w:rPr>
      </w:pPr>
    </w:p>
    <w:p w:rsidR="00C138F2" w:rsidRPr="004B61F2" w:rsidRDefault="00C138F2" w:rsidP="00C138F2">
      <w:pPr>
        <w:pBdr>
          <w:top w:val="single" w:sz="12" w:space="1" w:color="auto"/>
          <w:bottom w:val="single" w:sz="12" w:space="1" w:color="auto"/>
        </w:pBdr>
        <w:spacing w:after="0" w:line="240" w:lineRule="auto"/>
        <w:ind w:left="2835" w:hanging="2835"/>
        <w:contextualSpacing/>
        <w:jc w:val="both"/>
        <w:rPr>
          <w:rFonts w:ascii="Arial" w:eastAsia="Times New Roman" w:hAnsi="Arial" w:cs="Arial"/>
          <w:sz w:val="24"/>
          <w:szCs w:val="24"/>
          <w:u w:val="single"/>
          <w:lang w:val="en-GB" w:eastAsia="en-GB"/>
        </w:rPr>
      </w:pPr>
    </w:p>
    <w:p w:rsidR="00C138F2" w:rsidRPr="004B61F2" w:rsidRDefault="00C138F2" w:rsidP="00C138F2">
      <w:pPr>
        <w:pBdr>
          <w:top w:val="single" w:sz="12" w:space="1" w:color="auto"/>
          <w:bottom w:val="single" w:sz="12" w:space="1" w:color="auto"/>
        </w:pBdr>
        <w:spacing w:after="0" w:line="240" w:lineRule="auto"/>
        <w:ind w:left="2835" w:hanging="2835"/>
        <w:contextualSpacing/>
        <w:jc w:val="both"/>
        <w:rPr>
          <w:rFonts w:ascii="Arial" w:eastAsia="Times New Roman" w:hAnsi="Arial" w:cs="Arial"/>
          <w:sz w:val="24"/>
          <w:szCs w:val="24"/>
          <w:lang w:val="en-GB" w:eastAsia="en-GB"/>
        </w:rPr>
      </w:pPr>
      <w:r w:rsidRPr="004B61F2">
        <w:rPr>
          <w:rFonts w:ascii="Arial" w:eastAsia="Times New Roman" w:hAnsi="Arial" w:cs="Arial"/>
          <w:sz w:val="24"/>
          <w:szCs w:val="24"/>
          <w:u w:val="single"/>
          <w:lang w:val="en-GB" w:eastAsia="en-GB"/>
        </w:rPr>
        <w:t>HEARD ON</w:t>
      </w:r>
      <w:r w:rsidRPr="004B61F2">
        <w:rPr>
          <w:rFonts w:ascii="Arial" w:eastAsia="Times New Roman" w:hAnsi="Arial" w:cs="Arial"/>
          <w:sz w:val="24"/>
          <w:szCs w:val="24"/>
          <w:lang w:val="en-GB" w:eastAsia="en-GB"/>
        </w:rPr>
        <w:t xml:space="preserve">:                </w:t>
      </w:r>
      <w:r w:rsidRPr="004B61F2">
        <w:rPr>
          <w:rFonts w:ascii="Arial" w:eastAsia="Times New Roman" w:hAnsi="Arial" w:cs="Arial"/>
          <w:sz w:val="24"/>
          <w:szCs w:val="24"/>
          <w:lang w:val="en-GB" w:eastAsia="en-GB"/>
        </w:rPr>
        <w:tab/>
        <w:t xml:space="preserve"> </w:t>
      </w:r>
      <w:r w:rsidR="00C83F10">
        <w:rPr>
          <w:rFonts w:ascii="Arial" w:eastAsia="Times New Roman" w:hAnsi="Arial" w:cs="Arial"/>
          <w:sz w:val="24"/>
          <w:szCs w:val="24"/>
          <w:lang w:val="en-GB" w:eastAsia="en-GB"/>
        </w:rPr>
        <w:t>11 August 2022 and</w:t>
      </w:r>
      <w:r w:rsidR="00967EF6">
        <w:rPr>
          <w:rFonts w:ascii="Arial" w:eastAsia="Times New Roman" w:hAnsi="Arial" w:cs="Arial"/>
          <w:sz w:val="24"/>
          <w:szCs w:val="24"/>
          <w:lang w:val="en-GB" w:eastAsia="en-GB"/>
        </w:rPr>
        <w:t xml:space="preserve"> </w:t>
      </w:r>
      <w:r w:rsidRPr="004B61F2">
        <w:rPr>
          <w:rFonts w:ascii="Arial" w:eastAsia="Times New Roman" w:hAnsi="Arial" w:cs="Arial"/>
          <w:sz w:val="24"/>
          <w:szCs w:val="24"/>
          <w:lang w:val="en-GB" w:eastAsia="en-GB"/>
        </w:rPr>
        <w:t xml:space="preserve">5 May 2023  </w:t>
      </w:r>
    </w:p>
    <w:p w:rsidR="00C138F2" w:rsidRPr="004B61F2" w:rsidRDefault="00C138F2" w:rsidP="00C138F2">
      <w:pPr>
        <w:pBdr>
          <w:top w:val="single" w:sz="12" w:space="1" w:color="auto"/>
          <w:bottom w:val="single" w:sz="12" w:space="1" w:color="auto"/>
        </w:pBdr>
        <w:spacing w:after="0" w:line="240" w:lineRule="auto"/>
        <w:ind w:left="2835" w:hanging="2835"/>
        <w:contextualSpacing/>
        <w:jc w:val="both"/>
        <w:rPr>
          <w:rFonts w:ascii="Arial" w:eastAsia="Times New Roman" w:hAnsi="Arial" w:cs="Arial"/>
          <w:sz w:val="24"/>
          <w:szCs w:val="24"/>
          <w:lang w:val="en-GB" w:eastAsia="en-GB"/>
        </w:rPr>
      </w:pP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p>
    <w:p w:rsidR="00C138F2" w:rsidRPr="004B61F2" w:rsidRDefault="00C138F2" w:rsidP="00C138F2">
      <w:pPr>
        <w:spacing w:after="0" w:line="240" w:lineRule="auto"/>
        <w:ind w:left="2835" w:hanging="2835"/>
        <w:contextualSpacing/>
        <w:jc w:val="both"/>
        <w:rPr>
          <w:rFonts w:ascii="Arial" w:eastAsia="Times New Roman" w:hAnsi="Arial" w:cs="Arial"/>
          <w:sz w:val="24"/>
          <w:szCs w:val="24"/>
          <w:lang w:val="en-GB" w:eastAsia="en-GB"/>
        </w:rPr>
      </w:pPr>
    </w:p>
    <w:p w:rsidR="00C138F2" w:rsidRPr="004B61F2" w:rsidRDefault="00C138F2" w:rsidP="00C138F2">
      <w:pPr>
        <w:spacing w:after="0" w:line="240" w:lineRule="auto"/>
        <w:contextualSpacing/>
        <w:jc w:val="both"/>
        <w:rPr>
          <w:rFonts w:ascii="Arial" w:eastAsia="Times New Roman" w:hAnsi="Arial" w:cs="Arial"/>
          <w:sz w:val="24"/>
          <w:szCs w:val="24"/>
          <w:u w:val="single"/>
          <w:lang w:val="en-GB" w:eastAsia="en-GB"/>
        </w:rPr>
      </w:pPr>
      <w:r w:rsidRPr="004B61F2">
        <w:rPr>
          <w:rFonts w:ascii="Arial" w:eastAsia="Times New Roman" w:hAnsi="Arial" w:cs="Arial"/>
          <w:sz w:val="24"/>
          <w:szCs w:val="24"/>
          <w:u w:val="single"/>
          <w:lang w:val="en-GB" w:eastAsia="en-GB"/>
        </w:rPr>
        <w:t>BEFORE:</w:t>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t>Chesiwe, J</w:t>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p>
    <w:p w:rsidR="00C138F2" w:rsidRPr="004B61F2" w:rsidRDefault="00C138F2" w:rsidP="00C138F2">
      <w:pPr>
        <w:pBdr>
          <w:bottom w:val="single" w:sz="6" w:space="1" w:color="auto"/>
        </w:pBdr>
        <w:spacing w:after="0" w:line="240" w:lineRule="auto"/>
        <w:contextualSpacing/>
        <w:jc w:val="both"/>
        <w:rPr>
          <w:rFonts w:ascii="Arial" w:eastAsia="Times New Roman" w:hAnsi="Arial" w:cs="Arial"/>
          <w:sz w:val="24"/>
          <w:szCs w:val="24"/>
          <w:lang w:val="en-GB" w:eastAsia="en-GB"/>
        </w:rPr>
      </w:pPr>
    </w:p>
    <w:p w:rsidR="00C138F2" w:rsidRPr="004B61F2" w:rsidRDefault="00C138F2" w:rsidP="00C138F2">
      <w:pPr>
        <w:spacing w:after="0" w:line="240" w:lineRule="auto"/>
        <w:contextualSpacing/>
        <w:jc w:val="both"/>
        <w:rPr>
          <w:rFonts w:ascii="Arial" w:eastAsia="Times New Roman" w:hAnsi="Arial" w:cs="Arial"/>
          <w:sz w:val="24"/>
          <w:szCs w:val="24"/>
          <w:lang w:val="en-GB" w:eastAsia="en-GB"/>
        </w:rPr>
      </w:pPr>
      <w:r w:rsidRPr="004B61F2">
        <w:rPr>
          <w:rFonts w:ascii="Arial" w:eastAsia="Times New Roman" w:hAnsi="Arial" w:cs="Arial"/>
          <w:sz w:val="24"/>
          <w:szCs w:val="24"/>
          <w:lang w:val="en-GB" w:eastAsia="en-GB"/>
        </w:rPr>
        <w:tab/>
      </w:r>
      <w:r w:rsidRPr="004B61F2">
        <w:rPr>
          <w:rFonts w:ascii="Arial" w:eastAsia="Times New Roman" w:hAnsi="Arial" w:cs="Arial"/>
          <w:sz w:val="24"/>
          <w:szCs w:val="24"/>
          <w:lang w:val="en-GB" w:eastAsia="en-GB"/>
        </w:rPr>
        <w:tab/>
      </w:r>
    </w:p>
    <w:p w:rsidR="00C138F2" w:rsidRPr="004B61F2" w:rsidRDefault="00C138F2" w:rsidP="00C138F2">
      <w:pPr>
        <w:tabs>
          <w:tab w:val="left" w:pos="2940"/>
        </w:tabs>
        <w:spacing w:after="0" w:line="240" w:lineRule="auto"/>
        <w:ind w:left="2880" w:hanging="2880"/>
        <w:contextualSpacing/>
        <w:jc w:val="both"/>
        <w:rPr>
          <w:rFonts w:ascii="Arial" w:eastAsia="Times New Roman" w:hAnsi="Arial" w:cs="Arial"/>
          <w:sz w:val="24"/>
          <w:szCs w:val="24"/>
          <w:lang w:val="en-GB" w:eastAsia="en-GB"/>
        </w:rPr>
      </w:pPr>
      <w:r w:rsidRPr="004B61F2">
        <w:rPr>
          <w:rFonts w:ascii="Arial" w:eastAsia="Times New Roman" w:hAnsi="Arial" w:cs="Arial"/>
          <w:sz w:val="24"/>
          <w:szCs w:val="24"/>
          <w:u w:val="single"/>
          <w:lang w:val="en-GB" w:eastAsia="en-GB"/>
        </w:rPr>
        <w:t>DELIVERED ON:</w:t>
      </w:r>
      <w:r w:rsidRPr="004B61F2">
        <w:rPr>
          <w:rFonts w:ascii="Arial" w:eastAsia="Times New Roman" w:hAnsi="Arial" w:cs="Arial"/>
          <w:sz w:val="24"/>
          <w:szCs w:val="24"/>
          <w:lang w:val="en-GB" w:eastAsia="en-GB"/>
        </w:rPr>
        <w:t xml:space="preserve">         </w:t>
      </w:r>
      <w:r w:rsidRPr="004B61F2">
        <w:rPr>
          <w:rFonts w:ascii="Arial" w:eastAsia="Times New Roman" w:hAnsi="Arial" w:cs="Arial"/>
          <w:sz w:val="24"/>
          <w:szCs w:val="24"/>
          <w:lang w:val="en-GB" w:eastAsia="en-GB"/>
        </w:rPr>
        <w:tab/>
        <w:t xml:space="preserve">This judgment was given electronically by circulation to the parties’ representatives by email. The date and time for hand-down is deemed to be at 13h00 on </w:t>
      </w:r>
      <w:r w:rsidR="001B3FDC">
        <w:rPr>
          <w:rFonts w:ascii="Arial" w:eastAsia="Times New Roman" w:hAnsi="Arial" w:cs="Arial"/>
          <w:sz w:val="24"/>
          <w:szCs w:val="24"/>
          <w:lang w:val="en-GB" w:eastAsia="en-GB"/>
        </w:rPr>
        <w:t>09</w:t>
      </w:r>
      <w:r w:rsidR="00C4685F">
        <w:rPr>
          <w:rFonts w:ascii="Arial" w:eastAsia="Times New Roman" w:hAnsi="Arial" w:cs="Arial"/>
          <w:sz w:val="24"/>
          <w:szCs w:val="24"/>
          <w:lang w:val="en-GB" w:eastAsia="en-GB"/>
        </w:rPr>
        <w:t xml:space="preserve"> Novem</w:t>
      </w:r>
      <w:r w:rsidR="008250BC">
        <w:rPr>
          <w:rFonts w:ascii="Arial" w:eastAsia="Times New Roman" w:hAnsi="Arial" w:cs="Arial"/>
          <w:sz w:val="24"/>
          <w:szCs w:val="24"/>
          <w:lang w:val="en-GB" w:eastAsia="en-GB"/>
        </w:rPr>
        <w:t>ber</w:t>
      </w:r>
      <w:r w:rsidRPr="004B61F2">
        <w:rPr>
          <w:rFonts w:ascii="Arial" w:eastAsia="Times New Roman" w:hAnsi="Arial" w:cs="Arial"/>
          <w:sz w:val="24"/>
          <w:szCs w:val="24"/>
          <w:lang w:val="en-GB" w:eastAsia="en-GB"/>
        </w:rPr>
        <w:t xml:space="preserve"> 2023. </w:t>
      </w:r>
    </w:p>
    <w:p w:rsidR="00C138F2" w:rsidRPr="00A77B78" w:rsidRDefault="00C138F2" w:rsidP="00C138F2">
      <w:pPr>
        <w:pBdr>
          <w:bottom w:val="single" w:sz="12" w:space="1" w:color="auto"/>
        </w:pBdr>
        <w:tabs>
          <w:tab w:val="left" w:pos="2940"/>
        </w:tabs>
        <w:spacing w:after="0" w:line="240" w:lineRule="auto"/>
        <w:contextualSpacing/>
        <w:jc w:val="both"/>
        <w:rPr>
          <w:rFonts w:ascii="Arial" w:eastAsia="Times New Roman" w:hAnsi="Arial" w:cs="Arial"/>
          <w:sz w:val="24"/>
          <w:szCs w:val="24"/>
          <w:u w:val="single"/>
          <w:lang w:val="en-GB" w:eastAsia="en-GB"/>
        </w:rPr>
      </w:pPr>
      <w:r w:rsidRPr="00A77B78">
        <w:rPr>
          <w:rFonts w:ascii="Arial" w:eastAsia="Times New Roman" w:hAnsi="Arial" w:cs="Arial"/>
          <w:sz w:val="24"/>
          <w:szCs w:val="24"/>
          <w:lang w:val="en-GB" w:eastAsia="en-GB"/>
        </w:rPr>
        <w:t xml:space="preserve"> </w:t>
      </w:r>
      <w:r w:rsidRPr="00A77B78">
        <w:rPr>
          <w:rFonts w:ascii="Arial" w:eastAsia="Times New Roman" w:hAnsi="Arial" w:cs="Arial"/>
          <w:sz w:val="24"/>
          <w:szCs w:val="24"/>
          <w:lang w:val="en-GB" w:eastAsia="en-GB"/>
        </w:rPr>
        <w:tab/>
      </w:r>
      <w:r w:rsidRPr="00A77B78">
        <w:rPr>
          <w:rFonts w:ascii="Arial" w:eastAsia="Times New Roman" w:hAnsi="Arial" w:cs="Arial"/>
          <w:sz w:val="24"/>
          <w:szCs w:val="24"/>
          <w:lang w:val="en-GB" w:eastAsia="en-GB"/>
        </w:rPr>
        <w:tab/>
      </w:r>
      <w:r w:rsidRPr="00A77B78">
        <w:rPr>
          <w:rFonts w:ascii="Arial" w:eastAsia="Times New Roman" w:hAnsi="Arial" w:cs="Arial"/>
          <w:sz w:val="24"/>
          <w:szCs w:val="24"/>
          <w:lang w:val="en-GB" w:eastAsia="en-GB"/>
        </w:rPr>
        <w:tab/>
      </w:r>
      <w:r w:rsidRPr="00A77B78">
        <w:rPr>
          <w:rFonts w:ascii="Arial" w:eastAsia="Times New Roman" w:hAnsi="Arial" w:cs="Arial"/>
          <w:sz w:val="24"/>
          <w:szCs w:val="24"/>
          <w:lang w:val="en-GB" w:eastAsia="en-GB"/>
        </w:rPr>
        <w:tab/>
      </w:r>
      <w:r w:rsidRPr="00A77B78">
        <w:rPr>
          <w:rFonts w:ascii="Arial" w:eastAsia="Times New Roman" w:hAnsi="Arial" w:cs="Arial"/>
          <w:sz w:val="24"/>
          <w:szCs w:val="24"/>
          <w:lang w:val="en-GB" w:eastAsia="en-GB"/>
        </w:rPr>
        <w:tab/>
      </w:r>
    </w:p>
    <w:p w:rsidR="00C138F2" w:rsidRPr="00A77B78" w:rsidRDefault="00C138F2" w:rsidP="00C138F2">
      <w:pPr>
        <w:spacing w:after="0" w:line="276" w:lineRule="auto"/>
        <w:rPr>
          <w:rFonts w:ascii="Arial" w:hAnsi="Arial" w:cs="Arial"/>
          <w:b/>
          <w:sz w:val="24"/>
          <w:szCs w:val="24"/>
        </w:rPr>
      </w:pPr>
      <w:r w:rsidRPr="00A77B78">
        <w:rPr>
          <w:rFonts w:ascii="Arial" w:hAnsi="Arial" w:cs="Arial"/>
          <w:sz w:val="24"/>
          <w:szCs w:val="24"/>
        </w:rPr>
        <w:tab/>
      </w:r>
      <w:r w:rsidRPr="00A77B78">
        <w:rPr>
          <w:rFonts w:ascii="Arial" w:hAnsi="Arial" w:cs="Arial"/>
          <w:b/>
          <w:sz w:val="24"/>
          <w:szCs w:val="24"/>
        </w:rPr>
        <w:tab/>
      </w:r>
      <w:r w:rsidRPr="00A77B78">
        <w:rPr>
          <w:rFonts w:ascii="Arial" w:hAnsi="Arial" w:cs="Arial"/>
          <w:b/>
          <w:sz w:val="24"/>
          <w:szCs w:val="24"/>
        </w:rPr>
        <w:tab/>
      </w:r>
    </w:p>
    <w:p w:rsidR="00C138F2" w:rsidRDefault="00C138F2" w:rsidP="005F6104">
      <w:pPr>
        <w:spacing w:line="360" w:lineRule="auto"/>
        <w:jc w:val="both"/>
        <w:rPr>
          <w:rFonts w:ascii="Arial" w:hAnsi="Arial" w:cs="Arial"/>
          <w:sz w:val="24"/>
          <w:szCs w:val="24"/>
        </w:rPr>
      </w:pPr>
    </w:p>
    <w:p w:rsidR="00450562" w:rsidRPr="00C4014D" w:rsidRDefault="00DC21F9" w:rsidP="00DC21F9">
      <w:pPr>
        <w:spacing w:after="240" w:line="360" w:lineRule="auto"/>
        <w:ind w:left="851" w:hanging="851"/>
        <w:jc w:val="both"/>
      </w:pPr>
      <w:r w:rsidRPr="00C4014D">
        <w:rPr>
          <w:rFonts w:ascii="Arial" w:hAnsi="Arial" w:cs="Arial"/>
          <w:sz w:val="24"/>
          <w:szCs w:val="24"/>
        </w:rPr>
        <w:t>[1]</w:t>
      </w:r>
      <w:r w:rsidRPr="00C4014D">
        <w:rPr>
          <w:rFonts w:ascii="Arial" w:hAnsi="Arial" w:cs="Arial"/>
          <w:sz w:val="24"/>
          <w:szCs w:val="24"/>
        </w:rPr>
        <w:tab/>
      </w:r>
      <w:r w:rsidR="00C4014D" w:rsidRPr="00DC21F9">
        <w:rPr>
          <w:rFonts w:ascii="Arial" w:hAnsi="Arial" w:cs="Arial"/>
          <w:sz w:val="24"/>
          <w:szCs w:val="24"/>
        </w:rPr>
        <w:t xml:space="preserve">The Applicant launched a notice of motion application against the Respondent for reckless lending in terms of section 80(1)(a) of the National Credit Act 34 </w:t>
      </w:r>
      <w:r w:rsidR="00C4014D" w:rsidRPr="00DC21F9">
        <w:rPr>
          <w:rFonts w:ascii="Arial" w:hAnsi="Arial" w:cs="Arial"/>
          <w:sz w:val="24"/>
          <w:szCs w:val="24"/>
        </w:rPr>
        <w:lastRenderedPageBreak/>
        <w:t>of 2005</w:t>
      </w:r>
      <w:r w:rsidR="00DA67CE" w:rsidRPr="00DC21F9">
        <w:rPr>
          <w:rFonts w:ascii="Arial" w:hAnsi="Arial" w:cs="Arial"/>
          <w:sz w:val="24"/>
          <w:szCs w:val="24"/>
        </w:rPr>
        <w:t xml:space="preserve"> (here in after the referred to as the NCA)</w:t>
      </w:r>
      <w:r w:rsidR="00C4014D" w:rsidRPr="00DC21F9">
        <w:rPr>
          <w:rFonts w:ascii="Arial" w:hAnsi="Arial" w:cs="Arial"/>
          <w:sz w:val="24"/>
          <w:szCs w:val="24"/>
        </w:rPr>
        <w:t>. The Applicant appeared in pe</w:t>
      </w:r>
      <w:r w:rsidR="004C32EB" w:rsidRPr="00DC21F9">
        <w:rPr>
          <w:rFonts w:ascii="Arial" w:hAnsi="Arial" w:cs="Arial"/>
          <w:sz w:val="24"/>
          <w:szCs w:val="24"/>
        </w:rPr>
        <w:t>rson with the Respondent opposing</w:t>
      </w:r>
      <w:r w:rsidR="00C4014D" w:rsidRPr="00DC21F9">
        <w:rPr>
          <w:rFonts w:ascii="Arial" w:hAnsi="Arial" w:cs="Arial"/>
          <w:sz w:val="24"/>
          <w:szCs w:val="24"/>
        </w:rPr>
        <w:t xml:space="preserve"> the application.</w:t>
      </w:r>
    </w:p>
    <w:p w:rsidR="00C4014D" w:rsidRPr="00C4014D" w:rsidRDefault="00DC21F9" w:rsidP="00DC21F9">
      <w:pPr>
        <w:spacing w:after="240" w:line="360" w:lineRule="auto"/>
        <w:ind w:left="851" w:hanging="851"/>
        <w:jc w:val="both"/>
      </w:pPr>
      <w:r w:rsidRPr="00C4014D">
        <w:rPr>
          <w:rFonts w:ascii="Arial" w:hAnsi="Arial" w:cs="Arial"/>
          <w:sz w:val="24"/>
          <w:szCs w:val="24"/>
        </w:rPr>
        <w:t>[2]</w:t>
      </w:r>
      <w:r w:rsidRPr="00C4014D">
        <w:rPr>
          <w:rFonts w:ascii="Arial" w:hAnsi="Arial" w:cs="Arial"/>
          <w:sz w:val="24"/>
          <w:szCs w:val="24"/>
        </w:rPr>
        <w:tab/>
      </w:r>
      <w:r w:rsidR="00C4014D" w:rsidRPr="00DC21F9">
        <w:rPr>
          <w:rFonts w:ascii="Arial" w:hAnsi="Arial" w:cs="Arial"/>
          <w:sz w:val="24"/>
          <w:szCs w:val="24"/>
        </w:rPr>
        <w:t>The Applicant seeks the following relief:</w:t>
      </w:r>
    </w:p>
    <w:p w:rsidR="00C4014D" w:rsidRPr="008250BC" w:rsidRDefault="00C4014D" w:rsidP="008250BC">
      <w:pPr>
        <w:pStyle w:val="ListParagraph"/>
        <w:spacing w:after="240" w:line="360" w:lineRule="auto"/>
        <w:ind w:left="1440"/>
        <w:contextualSpacing w:val="0"/>
        <w:jc w:val="both"/>
        <w:rPr>
          <w:i/>
        </w:rPr>
      </w:pPr>
      <w:r w:rsidRPr="008250BC">
        <w:rPr>
          <w:rFonts w:ascii="Arial" w:hAnsi="Arial" w:cs="Arial"/>
          <w:i/>
        </w:rPr>
        <w:t>“The credit agreement I entered into with the Respondent in 2012 is reckless in terms of section 80(1)(a) of the National Credit Act and unlawful ab initio in terms of section 164(1) of the National Credit Act 34 of 2005 for it was in violation of section 90(2)(a) of the same Act;</w:t>
      </w:r>
    </w:p>
    <w:p w:rsidR="00C4014D" w:rsidRPr="008250BC" w:rsidRDefault="00C4014D" w:rsidP="008250BC">
      <w:pPr>
        <w:pStyle w:val="ListParagraph"/>
        <w:spacing w:after="240" w:line="360" w:lineRule="auto"/>
        <w:ind w:left="1440"/>
        <w:contextualSpacing w:val="0"/>
        <w:jc w:val="both"/>
        <w:rPr>
          <w:i/>
        </w:rPr>
      </w:pPr>
      <w:r w:rsidRPr="008250BC">
        <w:rPr>
          <w:rFonts w:ascii="Arial" w:hAnsi="Arial" w:cs="Arial"/>
          <w:i/>
        </w:rPr>
        <w:t>In terms of section 83(2)(a) of the same Act I am discharged from my obligation;</w:t>
      </w:r>
    </w:p>
    <w:p w:rsidR="00C4014D" w:rsidRPr="008250BC" w:rsidRDefault="00941CD7" w:rsidP="008250BC">
      <w:pPr>
        <w:pStyle w:val="ListParagraph"/>
        <w:spacing w:after="240" w:line="360" w:lineRule="auto"/>
        <w:ind w:left="1440"/>
        <w:contextualSpacing w:val="0"/>
        <w:jc w:val="both"/>
        <w:rPr>
          <w:rFonts w:ascii="Arial" w:hAnsi="Arial" w:cs="Arial"/>
          <w:i/>
        </w:rPr>
      </w:pPr>
      <w:r w:rsidRPr="008250BC">
        <w:rPr>
          <w:rFonts w:ascii="Arial" w:hAnsi="Arial" w:cs="Arial"/>
          <w:i/>
        </w:rPr>
        <w:t>My wife is re</w:t>
      </w:r>
      <w:r w:rsidR="00C4014D" w:rsidRPr="008250BC">
        <w:rPr>
          <w:rFonts w:ascii="Arial" w:hAnsi="Arial" w:cs="Arial"/>
          <w:i/>
        </w:rPr>
        <w:t>imbursed R55 000,00 with interest so far paid towards its settlement.”</w:t>
      </w:r>
    </w:p>
    <w:p w:rsidR="008250BC" w:rsidRPr="008250BC" w:rsidRDefault="008250BC" w:rsidP="008250BC">
      <w:pPr>
        <w:pStyle w:val="ListParagraph"/>
        <w:spacing w:after="240" w:line="360" w:lineRule="auto"/>
        <w:ind w:left="1440"/>
        <w:contextualSpacing w:val="0"/>
        <w:jc w:val="both"/>
      </w:pPr>
    </w:p>
    <w:p w:rsidR="00C4014D" w:rsidRPr="00941CD7" w:rsidRDefault="00C4014D" w:rsidP="008250BC">
      <w:pPr>
        <w:spacing w:after="240" w:line="360" w:lineRule="auto"/>
        <w:jc w:val="both"/>
        <w:rPr>
          <w:rFonts w:ascii="Arial" w:hAnsi="Arial" w:cs="Arial"/>
          <w:b/>
          <w:sz w:val="24"/>
          <w:szCs w:val="24"/>
        </w:rPr>
      </w:pPr>
      <w:r w:rsidRPr="00941CD7">
        <w:rPr>
          <w:rFonts w:ascii="Arial" w:hAnsi="Arial" w:cs="Arial"/>
          <w:b/>
          <w:sz w:val="24"/>
          <w:szCs w:val="24"/>
        </w:rPr>
        <w:t>BACKGROUND</w:t>
      </w:r>
    </w:p>
    <w:p w:rsidR="00C4014D"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C4014D" w:rsidRPr="00DC21F9">
        <w:rPr>
          <w:rFonts w:ascii="Arial" w:hAnsi="Arial" w:cs="Arial"/>
          <w:sz w:val="24"/>
          <w:szCs w:val="24"/>
        </w:rPr>
        <w:t>This matter was set down for hearing on 11 August 2022. Both parties had filed their written heads of argument</w:t>
      </w:r>
      <w:r w:rsidR="00851399" w:rsidRPr="00DC21F9">
        <w:rPr>
          <w:rFonts w:ascii="Arial" w:hAnsi="Arial" w:cs="Arial"/>
          <w:sz w:val="24"/>
          <w:szCs w:val="24"/>
        </w:rPr>
        <w:t>. Both parties proceeded with oral arguments. Judgment was then reserved.</w:t>
      </w:r>
    </w:p>
    <w:p w:rsidR="00297239"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3532EB" w:rsidRPr="00DC21F9">
        <w:rPr>
          <w:rFonts w:ascii="Arial" w:hAnsi="Arial" w:cs="Arial"/>
          <w:sz w:val="24"/>
          <w:szCs w:val="24"/>
        </w:rPr>
        <w:t xml:space="preserve">The Applicant then proceeded to file an interlocutory application </w:t>
      </w:r>
      <w:r w:rsidR="00297239" w:rsidRPr="00DC21F9">
        <w:rPr>
          <w:rFonts w:ascii="Arial" w:hAnsi="Arial" w:cs="Arial"/>
          <w:sz w:val="24"/>
          <w:szCs w:val="24"/>
        </w:rPr>
        <w:t>on 30 August 2022, in which he sought re-opening of his case as there was</w:t>
      </w:r>
      <w:r w:rsidR="003532EB" w:rsidRPr="00DC21F9">
        <w:rPr>
          <w:rFonts w:ascii="Arial" w:hAnsi="Arial" w:cs="Arial"/>
          <w:sz w:val="24"/>
          <w:szCs w:val="24"/>
        </w:rPr>
        <w:t xml:space="preserve"> new information </w:t>
      </w:r>
      <w:r w:rsidR="00297239" w:rsidRPr="00DC21F9">
        <w:rPr>
          <w:rFonts w:ascii="Arial" w:hAnsi="Arial" w:cs="Arial"/>
          <w:sz w:val="24"/>
          <w:szCs w:val="24"/>
        </w:rPr>
        <w:t>and that this information had an</w:t>
      </w:r>
      <w:r w:rsidR="003532EB" w:rsidRPr="00DC21F9">
        <w:rPr>
          <w:rFonts w:ascii="Arial" w:hAnsi="Arial" w:cs="Arial"/>
          <w:sz w:val="24"/>
          <w:szCs w:val="24"/>
        </w:rPr>
        <w:t xml:space="preserve"> impact on the main application.</w:t>
      </w:r>
      <w:r w:rsidR="00297239" w:rsidRPr="00DC21F9">
        <w:rPr>
          <w:rFonts w:ascii="Arial" w:hAnsi="Arial" w:cs="Arial"/>
          <w:sz w:val="24"/>
          <w:szCs w:val="24"/>
        </w:rPr>
        <w:t xml:space="preserve"> The reserve date in terms of the main application was changed</w:t>
      </w:r>
      <w:r w:rsidR="00297239" w:rsidRPr="00DC21F9">
        <w:rPr>
          <w:rFonts w:ascii="Arial" w:hAnsi="Arial" w:cs="Arial"/>
          <w:color w:val="FF0000"/>
          <w:sz w:val="24"/>
          <w:szCs w:val="24"/>
        </w:rPr>
        <w:t xml:space="preserve"> </w:t>
      </w:r>
      <w:r w:rsidR="00297239" w:rsidRPr="00DC21F9">
        <w:rPr>
          <w:rFonts w:ascii="Arial" w:hAnsi="Arial" w:cs="Arial"/>
          <w:sz w:val="24"/>
          <w:szCs w:val="24"/>
        </w:rPr>
        <w:t>to allow the interlocutory application to proceed.</w:t>
      </w:r>
    </w:p>
    <w:p w:rsidR="000C3CA3"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1D3635" w:rsidRPr="00DC21F9">
        <w:rPr>
          <w:rFonts w:ascii="Arial" w:hAnsi="Arial" w:cs="Arial"/>
          <w:sz w:val="24"/>
          <w:szCs w:val="24"/>
        </w:rPr>
        <w:t>The matter was set down for 28</w:t>
      </w:r>
      <w:r w:rsidR="003532EB" w:rsidRPr="00DC21F9">
        <w:rPr>
          <w:rFonts w:ascii="Arial" w:hAnsi="Arial" w:cs="Arial"/>
          <w:sz w:val="24"/>
          <w:szCs w:val="24"/>
        </w:rPr>
        <w:t xml:space="preserve"> October 2022 for the interloc</w:t>
      </w:r>
      <w:r w:rsidR="00FC61B3" w:rsidRPr="00DC21F9">
        <w:rPr>
          <w:rFonts w:ascii="Arial" w:hAnsi="Arial" w:cs="Arial"/>
          <w:sz w:val="24"/>
          <w:szCs w:val="24"/>
        </w:rPr>
        <w:t>utory application to be heard.</w:t>
      </w:r>
      <w:r w:rsidR="001D3635" w:rsidRPr="00DC21F9">
        <w:rPr>
          <w:rFonts w:ascii="Arial" w:hAnsi="Arial" w:cs="Arial"/>
          <w:sz w:val="24"/>
          <w:szCs w:val="24"/>
        </w:rPr>
        <w:t xml:space="preserve">  On 28</w:t>
      </w:r>
      <w:r w:rsidR="000C3CA3" w:rsidRPr="00DC21F9">
        <w:rPr>
          <w:rFonts w:ascii="Arial" w:hAnsi="Arial" w:cs="Arial"/>
          <w:sz w:val="24"/>
          <w:szCs w:val="24"/>
        </w:rPr>
        <w:t xml:space="preserve"> October 2022, the Applicant requested that </w:t>
      </w:r>
      <w:r w:rsidR="00297239" w:rsidRPr="00DC21F9">
        <w:rPr>
          <w:rFonts w:ascii="Arial" w:hAnsi="Arial" w:cs="Arial"/>
          <w:sz w:val="24"/>
          <w:szCs w:val="24"/>
        </w:rPr>
        <w:t>t</w:t>
      </w:r>
      <w:r w:rsidR="000C3CA3" w:rsidRPr="00DC21F9">
        <w:rPr>
          <w:rFonts w:ascii="Arial" w:hAnsi="Arial" w:cs="Arial"/>
          <w:sz w:val="24"/>
          <w:szCs w:val="24"/>
        </w:rPr>
        <w:t>he</w:t>
      </w:r>
      <w:r w:rsidR="00297239" w:rsidRPr="00DC21F9">
        <w:rPr>
          <w:rFonts w:ascii="Arial" w:hAnsi="Arial" w:cs="Arial"/>
          <w:sz w:val="24"/>
          <w:szCs w:val="24"/>
        </w:rPr>
        <w:t xml:space="preserve"> interlocutory application be postponed to 3 March 2023 to give the Applicant the opportunity to find legal representation.  As the Applicant was in person again, the court granted the postponement.</w:t>
      </w:r>
    </w:p>
    <w:p w:rsidR="000C3CA3" w:rsidRPr="00DC21F9" w:rsidRDefault="00DC21F9" w:rsidP="00DC21F9">
      <w:pPr>
        <w:spacing w:after="240" w:line="360" w:lineRule="auto"/>
        <w:ind w:left="851" w:hanging="851"/>
        <w:jc w:val="both"/>
        <w:rPr>
          <w:rFonts w:ascii="Arial" w:hAnsi="Arial" w:cs="Arial"/>
          <w:sz w:val="24"/>
          <w:szCs w:val="24"/>
        </w:rPr>
      </w:pPr>
      <w:r w:rsidRPr="000F1868">
        <w:rPr>
          <w:rFonts w:ascii="Arial" w:hAnsi="Arial" w:cs="Arial"/>
          <w:sz w:val="24"/>
          <w:szCs w:val="24"/>
        </w:rPr>
        <w:t>[6]</w:t>
      </w:r>
      <w:r w:rsidRPr="000F1868">
        <w:rPr>
          <w:rFonts w:ascii="Arial" w:hAnsi="Arial" w:cs="Arial"/>
          <w:sz w:val="24"/>
          <w:szCs w:val="24"/>
        </w:rPr>
        <w:tab/>
      </w:r>
      <w:r w:rsidR="00FC61B3" w:rsidRPr="00DC21F9">
        <w:rPr>
          <w:rFonts w:ascii="Arial" w:hAnsi="Arial" w:cs="Arial"/>
          <w:sz w:val="24"/>
          <w:szCs w:val="24"/>
        </w:rPr>
        <w:t>I pause to mention that e</w:t>
      </w:r>
      <w:r w:rsidR="003532EB" w:rsidRPr="00DC21F9">
        <w:rPr>
          <w:rFonts w:ascii="Arial" w:hAnsi="Arial" w:cs="Arial"/>
          <w:sz w:val="24"/>
          <w:szCs w:val="24"/>
        </w:rPr>
        <w:t>ven though the Applicant was in person, his papers appeared to be well drafted by</w:t>
      </w:r>
      <w:r w:rsidR="00D94DC4" w:rsidRPr="00DC21F9">
        <w:rPr>
          <w:rFonts w:ascii="Arial" w:hAnsi="Arial" w:cs="Arial"/>
          <w:sz w:val="24"/>
          <w:szCs w:val="24"/>
        </w:rPr>
        <w:t xml:space="preserve"> a</w:t>
      </w:r>
      <w:r w:rsidR="003532EB" w:rsidRPr="00DC21F9">
        <w:rPr>
          <w:rFonts w:ascii="Arial" w:hAnsi="Arial" w:cs="Arial"/>
          <w:sz w:val="24"/>
          <w:szCs w:val="24"/>
        </w:rPr>
        <w:t xml:space="preserve"> legal person who did not place himself or herself on record.</w:t>
      </w:r>
      <w:r w:rsidR="000C3CA3" w:rsidRPr="00DC21F9">
        <w:rPr>
          <w:rFonts w:ascii="Arial" w:hAnsi="Arial" w:cs="Arial"/>
          <w:sz w:val="24"/>
          <w:szCs w:val="24"/>
        </w:rPr>
        <w:t xml:space="preserve">  </w:t>
      </w:r>
    </w:p>
    <w:p w:rsidR="00AA04DB"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0F1868" w:rsidRPr="00DC21F9">
        <w:rPr>
          <w:rFonts w:ascii="Arial" w:hAnsi="Arial" w:cs="Arial"/>
          <w:sz w:val="24"/>
          <w:szCs w:val="24"/>
        </w:rPr>
        <w:t xml:space="preserve">If and when the Applicant </w:t>
      </w:r>
      <w:r w:rsidR="00AA04DB" w:rsidRPr="00DC21F9">
        <w:rPr>
          <w:rFonts w:ascii="Arial" w:hAnsi="Arial" w:cs="Arial"/>
          <w:sz w:val="24"/>
          <w:szCs w:val="24"/>
        </w:rPr>
        <w:t>obtain</w:t>
      </w:r>
      <w:r w:rsidR="00E7572D" w:rsidRPr="00DC21F9">
        <w:rPr>
          <w:rFonts w:ascii="Arial" w:hAnsi="Arial" w:cs="Arial"/>
          <w:sz w:val="24"/>
          <w:szCs w:val="24"/>
        </w:rPr>
        <w:t>ed</w:t>
      </w:r>
      <w:r w:rsidR="00AA04DB" w:rsidRPr="00DC21F9">
        <w:rPr>
          <w:rFonts w:ascii="Arial" w:hAnsi="Arial" w:cs="Arial"/>
          <w:sz w:val="24"/>
          <w:szCs w:val="24"/>
        </w:rPr>
        <w:t xml:space="preserve"> legal aid</w:t>
      </w:r>
      <w:r w:rsidR="00116287" w:rsidRPr="00DC21F9">
        <w:rPr>
          <w:rFonts w:ascii="Arial" w:hAnsi="Arial" w:cs="Arial"/>
          <w:sz w:val="24"/>
          <w:szCs w:val="24"/>
        </w:rPr>
        <w:t xml:space="preserve"> assistance</w:t>
      </w:r>
      <w:r w:rsidR="00AA04DB" w:rsidRPr="00DC21F9">
        <w:rPr>
          <w:rFonts w:ascii="Arial" w:hAnsi="Arial" w:cs="Arial"/>
          <w:sz w:val="24"/>
          <w:szCs w:val="24"/>
        </w:rPr>
        <w:t>,</w:t>
      </w:r>
      <w:r w:rsidR="00116287" w:rsidRPr="00DC21F9">
        <w:rPr>
          <w:rFonts w:ascii="Arial" w:hAnsi="Arial" w:cs="Arial"/>
          <w:sz w:val="24"/>
          <w:szCs w:val="24"/>
        </w:rPr>
        <w:t xml:space="preserve"> the Applicant</w:t>
      </w:r>
      <w:r w:rsidR="00AA04DB" w:rsidRPr="00DC21F9">
        <w:rPr>
          <w:rFonts w:ascii="Arial" w:hAnsi="Arial" w:cs="Arial"/>
          <w:sz w:val="24"/>
          <w:szCs w:val="24"/>
        </w:rPr>
        <w:t xml:space="preserve"> was supposed to file further</w:t>
      </w:r>
      <w:r w:rsidR="00E8028D" w:rsidRPr="00DC21F9">
        <w:rPr>
          <w:rFonts w:ascii="Arial" w:hAnsi="Arial" w:cs="Arial"/>
          <w:sz w:val="24"/>
          <w:szCs w:val="24"/>
        </w:rPr>
        <w:t xml:space="preserve"> papers and heads of argument by</w:t>
      </w:r>
      <w:r w:rsidR="0042661A" w:rsidRPr="00DC21F9">
        <w:rPr>
          <w:rFonts w:ascii="Arial" w:hAnsi="Arial" w:cs="Arial"/>
          <w:sz w:val="24"/>
          <w:szCs w:val="24"/>
        </w:rPr>
        <w:t xml:space="preserve"> 13 January 2023 and the</w:t>
      </w:r>
      <w:r w:rsidR="00AA04DB" w:rsidRPr="00DC21F9">
        <w:rPr>
          <w:rFonts w:ascii="Arial" w:hAnsi="Arial" w:cs="Arial"/>
          <w:sz w:val="24"/>
          <w:szCs w:val="24"/>
        </w:rPr>
        <w:t xml:space="preserve"> Respondent </w:t>
      </w:r>
      <w:r w:rsidR="0042661A" w:rsidRPr="00DC21F9">
        <w:rPr>
          <w:rFonts w:ascii="Arial" w:hAnsi="Arial" w:cs="Arial"/>
          <w:sz w:val="24"/>
          <w:szCs w:val="24"/>
        </w:rPr>
        <w:t>was to file</w:t>
      </w:r>
      <w:r w:rsidR="00AA04DB" w:rsidRPr="00DC21F9">
        <w:rPr>
          <w:rFonts w:ascii="Arial" w:hAnsi="Arial" w:cs="Arial"/>
          <w:sz w:val="24"/>
          <w:szCs w:val="24"/>
        </w:rPr>
        <w:t xml:space="preserve"> it</w:t>
      </w:r>
      <w:r w:rsidR="0042661A" w:rsidRPr="00DC21F9">
        <w:rPr>
          <w:rFonts w:ascii="Arial" w:hAnsi="Arial" w:cs="Arial"/>
          <w:sz w:val="24"/>
          <w:szCs w:val="24"/>
        </w:rPr>
        <w:t>s heads of argument by</w:t>
      </w:r>
      <w:r w:rsidR="00AA04DB" w:rsidRPr="00DC21F9">
        <w:rPr>
          <w:rFonts w:ascii="Arial" w:hAnsi="Arial" w:cs="Arial"/>
          <w:sz w:val="24"/>
          <w:szCs w:val="24"/>
        </w:rPr>
        <w:t xml:space="preserve"> 3 February 2023 and in accordance with court practice directives.</w:t>
      </w:r>
    </w:p>
    <w:p w:rsidR="00AA04DB"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AA04DB" w:rsidRPr="00DC21F9">
        <w:rPr>
          <w:rFonts w:ascii="Arial" w:hAnsi="Arial" w:cs="Arial"/>
          <w:sz w:val="24"/>
          <w:szCs w:val="24"/>
        </w:rPr>
        <w:t>On 3 March 2023, parties per agreement, postponed</w:t>
      </w:r>
      <w:r w:rsidR="00C4685F" w:rsidRPr="00DC21F9">
        <w:rPr>
          <w:rFonts w:ascii="Arial" w:hAnsi="Arial" w:cs="Arial"/>
          <w:sz w:val="24"/>
          <w:szCs w:val="24"/>
        </w:rPr>
        <w:t xml:space="preserve"> the interlocutory application</w:t>
      </w:r>
      <w:r w:rsidR="00AA04DB" w:rsidRPr="00DC21F9">
        <w:rPr>
          <w:rFonts w:ascii="Arial" w:hAnsi="Arial" w:cs="Arial"/>
          <w:sz w:val="24"/>
          <w:szCs w:val="24"/>
        </w:rPr>
        <w:t xml:space="preserve"> to 5 May 2023 with costs in the cause.</w:t>
      </w:r>
    </w:p>
    <w:p w:rsidR="00AA04DB"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AA04DB" w:rsidRPr="00DC21F9">
        <w:rPr>
          <w:rFonts w:ascii="Arial" w:hAnsi="Arial" w:cs="Arial"/>
          <w:sz w:val="24"/>
          <w:szCs w:val="24"/>
        </w:rPr>
        <w:t>On 5 May 2023, the Applicant did not appear nor did he give any reason for his non-appearance. Adv. Long on behalf of the Respondent informed the Court that she called the Applicant about the matter being before Court</w:t>
      </w:r>
      <w:r w:rsidR="00312471" w:rsidRPr="00DC21F9">
        <w:rPr>
          <w:rFonts w:ascii="Arial" w:hAnsi="Arial" w:cs="Arial"/>
          <w:sz w:val="24"/>
          <w:szCs w:val="24"/>
        </w:rPr>
        <w:t xml:space="preserve">, </w:t>
      </w:r>
      <w:r w:rsidR="00E7572D" w:rsidRPr="00DC21F9">
        <w:rPr>
          <w:rFonts w:ascii="Arial" w:hAnsi="Arial" w:cs="Arial"/>
          <w:sz w:val="24"/>
          <w:szCs w:val="24"/>
        </w:rPr>
        <w:t>to which the Applicant informed</w:t>
      </w:r>
      <w:r w:rsidR="000F1868" w:rsidRPr="00DC21F9">
        <w:rPr>
          <w:rFonts w:ascii="Arial" w:hAnsi="Arial" w:cs="Arial"/>
          <w:sz w:val="24"/>
          <w:szCs w:val="24"/>
        </w:rPr>
        <w:t xml:space="preserve"> her </w:t>
      </w:r>
      <w:r w:rsidR="00312471" w:rsidRPr="00DC21F9">
        <w:rPr>
          <w:rFonts w:ascii="Arial" w:hAnsi="Arial" w:cs="Arial"/>
          <w:sz w:val="24"/>
          <w:szCs w:val="24"/>
        </w:rPr>
        <w:t>that he will be at court on the mentioned date.</w:t>
      </w:r>
    </w:p>
    <w:p w:rsidR="00312471"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12471" w:rsidRPr="00DC21F9">
        <w:rPr>
          <w:rFonts w:ascii="Arial" w:hAnsi="Arial" w:cs="Arial"/>
          <w:sz w:val="24"/>
          <w:szCs w:val="24"/>
        </w:rPr>
        <w:t xml:space="preserve">This matter has been on the court roll for </w:t>
      </w:r>
      <w:r w:rsidR="000F1868" w:rsidRPr="00DC21F9">
        <w:rPr>
          <w:rFonts w:ascii="Arial" w:hAnsi="Arial" w:cs="Arial"/>
          <w:sz w:val="24"/>
          <w:szCs w:val="24"/>
        </w:rPr>
        <w:t xml:space="preserve">far </w:t>
      </w:r>
      <w:r w:rsidR="00312471" w:rsidRPr="00DC21F9">
        <w:rPr>
          <w:rFonts w:ascii="Arial" w:hAnsi="Arial" w:cs="Arial"/>
          <w:sz w:val="24"/>
          <w:szCs w:val="24"/>
        </w:rPr>
        <w:t xml:space="preserve">too long and </w:t>
      </w:r>
      <w:r w:rsidR="007F298F" w:rsidRPr="00DC21F9">
        <w:rPr>
          <w:rFonts w:ascii="Arial" w:hAnsi="Arial" w:cs="Arial"/>
          <w:sz w:val="24"/>
          <w:szCs w:val="24"/>
        </w:rPr>
        <w:t xml:space="preserve">the Court can therefore not </w:t>
      </w:r>
      <w:r w:rsidR="00E24000" w:rsidRPr="00DC21F9">
        <w:rPr>
          <w:rFonts w:ascii="Arial" w:hAnsi="Arial" w:cs="Arial"/>
          <w:sz w:val="24"/>
          <w:szCs w:val="24"/>
        </w:rPr>
        <w:t>postp</w:t>
      </w:r>
      <w:r w:rsidR="007F298F" w:rsidRPr="00DC21F9">
        <w:rPr>
          <w:rFonts w:ascii="Arial" w:hAnsi="Arial" w:cs="Arial"/>
          <w:sz w:val="24"/>
          <w:szCs w:val="24"/>
        </w:rPr>
        <w:t>one</w:t>
      </w:r>
      <w:r w:rsidR="00E24000" w:rsidRPr="00DC21F9">
        <w:rPr>
          <w:rFonts w:ascii="Arial" w:hAnsi="Arial" w:cs="Arial"/>
          <w:sz w:val="24"/>
          <w:szCs w:val="24"/>
        </w:rPr>
        <w:t xml:space="preserve"> this matter any further. </w:t>
      </w:r>
      <w:r w:rsidR="007F298F" w:rsidRPr="00DC21F9">
        <w:rPr>
          <w:rFonts w:ascii="Arial" w:hAnsi="Arial" w:cs="Arial"/>
          <w:sz w:val="24"/>
          <w:szCs w:val="24"/>
        </w:rPr>
        <w:t>Consequently, as</w:t>
      </w:r>
      <w:r w:rsidR="00E24000" w:rsidRPr="00DC21F9">
        <w:rPr>
          <w:rFonts w:ascii="Arial" w:hAnsi="Arial" w:cs="Arial"/>
          <w:sz w:val="24"/>
          <w:szCs w:val="24"/>
        </w:rPr>
        <w:t xml:space="preserve"> submitted</w:t>
      </w:r>
      <w:r w:rsidR="007F298F" w:rsidRPr="00DC21F9">
        <w:rPr>
          <w:rFonts w:ascii="Arial" w:hAnsi="Arial" w:cs="Arial"/>
          <w:sz w:val="24"/>
          <w:szCs w:val="24"/>
        </w:rPr>
        <w:t xml:space="preserve"> by Adv. Long on 5 May 2023</w:t>
      </w:r>
      <w:r w:rsidR="00E24000" w:rsidRPr="00DC21F9">
        <w:rPr>
          <w:rFonts w:ascii="Arial" w:hAnsi="Arial" w:cs="Arial"/>
          <w:sz w:val="24"/>
          <w:szCs w:val="24"/>
        </w:rPr>
        <w:t xml:space="preserve"> that she stands by her written heads of argument in the main application as well a</w:t>
      </w:r>
      <w:r w:rsidR="007F298F" w:rsidRPr="00DC21F9">
        <w:rPr>
          <w:rFonts w:ascii="Arial" w:hAnsi="Arial" w:cs="Arial"/>
          <w:sz w:val="24"/>
          <w:szCs w:val="24"/>
        </w:rPr>
        <w:t>s the interlocutory application and with the non-appearance of the Applicant despite having indicated that he’d be at court on the agreed date, this matter needs to be finalized.</w:t>
      </w:r>
      <w:r w:rsidR="000F1868" w:rsidRPr="00DC21F9">
        <w:rPr>
          <w:rFonts w:ascii="Arial" w:hAnsi="Arial" w:cs="Arial"/>
          <w:sz w:val="24"/>
          <w:szCs w:val="24"/>
        </w:rPr>
        <w:t xml:space="preserve">  Court allowed A</w:t>
      </w:r>
      <w:r w:rsidR="00A9333F" w:rsidRPr="00DC21F9">
        <w:rPr>
          <w:rFonts w:ascii="Arial" w:hAnsi="Arial" w:cs="Arial"/>
          <w:sz w:val="24"/>
          <w:szCs w:val="24"/>
        </w:rPr>
        <w:t>d</w:t>
      </w:r>
      <w:r w:rsidR="000F1868" w:rsidRPr="00DC21F9">
        <w:rPr>
          <w:rFonts w:ascii="Arial" w:hAnsi="Arial" w:cs="Arial"/>
          <w:sz w:val="24"/>
          <w:szCs w:val="24"/>
        </w:rPr>
        <w:t>v</w:t>
      </w:r>
      <w:r w:rsidR="00A9333F" w:rsidRPr="00DC21F9">
        <w:rPr>
          <w:rFonts w:ascii="Arial" w:hAnsi="Arial" w:cs="Arial"/>
          <w:sz w:val="24"/>
          <w:szCs w:val="24"/>
        </w:rPr>
        <w:t xml:space="preserve">. </w:t>
      </w:r>
      <w:r w:rsidR="000F1868" w:rsidRPr="00DC21F9">
        <w:rPr>
          <w:rFonts w:ascii="Arial" w:hAnsi="Arial" w:cs="Arial"/>
          <w:sz w:val="24"/>
          <w:szCs w:val="24"/>
        </w:rPr>
        <w:t xml:space="preserve"> Long to proceed with her oral arguments.</w:t>
      </w:r>
    </w:p>
    <w:p w:rsidR="000F1868"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F1868" w:rsidRPr="00DC21F9">
        <w:rPr>
          <w:rFonts w:ascii="Arial" w:hAnsi="Arial" w:cs="Arial"/>
          <w:sz w:val="24"/>
          <w:szCs w:val="24"/>
        </w:rPr>
        <w:t xml:space="preserve">The judgment will deal with both the </w:t>
      </w:r>
      <w:r w:rsidR="00A9333F" w:rsidRPr="00DC21F9">
        <w:rPr>
          <w:rFonts w:ascii="Arial" w:hAnsi="Arial" w:cs="Arial"/>
          <w:sz w:val="24"/>
          <w:szCs w:val="24"/>
        </w:rPr>
        <w:t>Interlocutory</w:t>
      </w:r>
      <w:r w:rsidR="000F1868" w:rsidRPr="00DC21F9">
        <w:rPr>
          <w:rFonts w:ascii="Arial" w:hAnsi="Arial" w:cs="Arial"/>
          <w:sz w:val="24"/>
          <w:szCs w:val="24"/>
        </w:rPr>
        <w:t xml:space="preserve"> Ap</w:t>
      </w:r>
      <w:r w:rsidR="00A9333F" w:rsidRPr="00DC21F9">
        <w:rPr>
          <w:rFonts w:ascii="Arial" w:hAnsi="Arial" w:cs="Arial"/>
          <w:sz w:val="24"/>
          <w:szCs w:val="24"/>
        </w:rPr>
        <w:t>p</w:t>
      </w:r>
      <w:r w:rsidR="000F1868" w:rsidRPr="00DC21F9">
        <w:rPr>
          <w:rFonts w:ascii="Arial" w:hAnsi="Arial" w:cs="Arial"/>
          <w:sz w:val="24"/>
          <w:szCs w:val="24"/>
        </w:rPr>
        <w:t xml:space="preserve">lication as well as the </w:t>
      </w:r>
      <w:r w:rsidR="00A9333F" w:rsidRPr="00DC21F9">
        <w:rPr>
          <w:rFonts w:ascii="Arial" w:hAnsi="Arial" w:cs="Arial"/>
          <w:sz w:val="24"/>
          <w:szCs w:val="24"/>
        </w:rPr>
        <w:t>M</w:t>
      </w:r>
      <w:r w:rsidR="000F1868" w:rsidRPr="00DC21F9">
        <w:rPr>
          <w:rFonts w:ascii="Arial" w:hAnsi="Arial" w:cs="Arial"/>
          <w:sz w:val="24"/>
          <w:szCs w:val="24"/>
        </w:rPr>
        <w:t xml:space="preserve">ain </w:t>
      </w:r>
      <w:r w:rsidR="00A9333F" w:rsidRPr="00DC21F9">
        <w:rPr>
          <w:rFonts w:ascii="Arial" w:hAnsi="Arial" w:cs="Arial"/>
          <w:sz w:val="24"/>
          <w:szCs w:val="24"/>
        </w:rPr>
        <w:t xml:space="preserve">Application. </w:t>
      </w:r>
    </w:p>
    <w:p w:rsidR="00AA5168"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A5168" w:rsidRPr="00DC21F9">
        <w:rPr>
          <w:rFonts w:ascii="Arial" w:hAnsi="Arial" w:cs="Arial"/>
          <w:sz w:val="24"/>
          <w:szCs w:val="24"/>
        </w:rPr>
        <w:t xml:space="preserve">The Respondent filed its answering affidavit </w:t>
      </w:r>
      <w:r w:rsidR="00B73755" w:rsidRPr="00DC21F9">
        <w:rPr>
          <w:rFonts w:ascii="Arial" w:hAnsi="Arial" w:cs="Arial"/>
          <w:sz w:val="24"/>
          <w:szCs w:val="24"/>
        </w:rPr>
        <w:t xml:space="preserve">on 9 March 2022 and it was </w:t>
      </w:r>
      <w:r w:rsidR="00AA5168" w:rsidRPr="00DC21F9">
        <w:rPr>
          <w:rFonts w:ascii="Arial" w:hAnsi="Arial" w:cs="Arial"/>
          <w:sz w:val="24"/>
          <w:szCs w:val="24"/>
        </w:rPr>
        <w:t xml:space="preserve">accompanied by a condonation </w:t>
      </w:r>
      <w:r w:rsidR="00B73755" w:rsidRPr="00DC21F9">
        <w:rPr>
          <w:rFonts w:ascii="Arial" w:hAnsi="Arial" w:cs="Arial"/>
          <w:sz w:val="24"/>
          <w:szCs w:val="24"/>
        </w:rPr>
        <w:t>application. Same was granted as there was no prejudice against the Applicant.</w:t>
      </w:r>
    </w:p>
    <w:p w:rsidR="008250BC" w:rsidRDefault="008250BC" w:rsidP="008250BC">
      <w:pPr>
        <w:pStyle w:val="ListParagraph"/>
        <w:spacing w:after="240" w:line="360" w:lineRule="auto"/>
        <w:ind w:left="851"/>
        <w:contextualSpacing w:val="0"/>
        <w:jc w:val="both"/>
        <w:rPr>
          <w:rFonts w:ascii="Arial" w:hAnsi="Arial" w:cs="Arial"/>
          <w:sz w:val="24"/>
          <w:szCs w:val="24"/>
        </w:rPr>
      </w:pPr>
    </w:p>
    <w:p w:rsidR="00E24000" w:rsidRPr="00941CD7" w:rsidRDefault="00E24000" w:rsidP="008250BC">
      <w:pPr>
        <w:spacing w:after="240" w:line="360" w:lineRule="auto"/>
        <w:jc w:val="both"/>
        <w:rPr>
          <w:rFonts w:ascii="Arial" w:hAnsi="Arial" w:cs="Arial"/>
          <w:b/>
          <w:sz w:val="24"/>
          <w:szCs w:val="24"/>
        </w:rPr>
      </w:pPr>
      <w:r w:rsidRPr="00941CD7">
        <w:rPr>
          <w:rFonts w:ascii="Arial" w:hAnsi="Arial" w:cs="Arial"/>
          <w:b/>
          <w:sz w:val="24"/>
          <w:szCs w:val="24"/>
        </w:rPr>
        <w:t>INTERLOCUTORY APPLICATION</w:t>
      </w:r>
    </w:p>
    <w:p w:rsidR="00E24000"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24000" w:rsidRPr="00DC21F9">
        <w:rPr>
          <w:rFonts w:ascii="Arial" w:hAnsi="Arial" w:cs="Arial"/>
          <w:sz w:val="24"/>
          <w:szCs w:val="24"/>
        </w:rPr>
        <w:t>The Applicant in the interlocutory application sought the following relief:</w:t>
      </w:r>
    </w:p>
    <w:p w:rsidR="00E24000" w:rsidRPr="007F298F" w:rsidRDefault="00E24000" w:rsidP="008250BC">
      <w:pPr>
        <w:pStyle w:val="ListParagraph"/>
        <w:spacing w:after="240" w:line="360" w:lineRule="auto"/>
        <w:ind w:left="851"/>
        <w:contextualSpacing w:val="0"/>
        <w:jc w:val="both"/>
        <w:rPr>
          <w:rFonts w:ascii="Arial" w:hAnsi="Arial" w:cs="Arial"/>
          <w:i/>
        </w:rPr>
      </w:pPr>
      <w:r w:rsidRPr="007F298F">
        <w:rPr>
          <w:rFonts w:ascii="Arial" w:hAnsi="Arial" w:cs="Arial"/>
          <w:i/>
        </w:rPr>
        <w:t>“Leave to reopen his case;</w:t>
      </w:r>
    </w:p>
    <w:p w:rsidR="00E24000" w:rsidRPr="007F298F" w:rsidRDefault="00E24000" w:rsidP="008250BC">
      <w:pPr>
        <w:pStyle w:val="ListParagraph"/>
        <w:spacing w:after="240" w:line="360" w:lineRule="auto"/>
        <w:ind w:left="851"/>
        <w:contextualSpacing w:val="0"/>
        <w:jc w:val="both"/>
        <w:rPr>
          <w:rFonts w:ascii="Arial" w:hAnsi="Arial" w:cs="Arial"/>
          <w:i/>
        </w:rPr>
      </w:pPr>
      <w:r w:rsidRPr="007F298F">
        <w:rPr>
          <w:rFonts w:ascii="Arial" w:hAnsi="Arial" w:cs="Arial"/>
          <w:i/>
        </w:rPr>
        <w:t>Copies of the translated transcripts;</w:t>
      </w:r>
    </w:p>
    <w:p w:rsidR="00E24000" w:rsidRPr="007F298F" w:rsidRDefault="00E24000" w:rsidP="008250BC">
      <w:pPr>
        <w:pStyle w:val="ListParagraph"/>
        <w:spacing w:after="240" w:line="360" w:lineRule="auto"/>
        <w:ind w:left="851"/>
        <w:contextualSpacing w:val="0"/>
        <w:jc w:val="both"/>
        <w:rPr>
          <w:rFonts w:ascii="Arial" w:hAnsi="Arial" w:cs="Arial"/>
          <w:i/>
        </w:rPr>
      </w:pPr>
      <w:r w:rsidRPr="007F298F">
        <w:rPr>
          <w:rFonts w:ascii="Arial" w:hAnsi="Arial" w:cs="Arial"/>
          <w:i/>
        </w:rPr>
        <w:lastRenderedPageBreak/>
        <w:t>A copy of the confirmatory affidavit of Ms Mlambo wherein she confirmed that she listened to the translated transcripts.”</w:t>
      </w:r>
    </w:p>
    <w:p w:rsidR="00E24000"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F60C7" w:rsidRPr="00DC21F9">
        <w:rPr>
          <w:rFonts w:ascii="Arial" w:hAnsi="Arial" w:cs="Arial"/>
          <w:sz w:val="24"/>
          <w:szCs w:val="24"/>
        </w:rPr>
        <w:t>The Court granted the Applicant the relief sought.</w:t>
      </w:r>
    </w:p>
    <w:p w:rsidR="00332943"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32943" w:rsidRPr="00DC21F9">
        <w:rPr>
          <w:rFonts w:ascii="Arial" w:hAnsi="Arial" w:cs="Arial"/>
          <w:sz w:val="24"/>
          <w:szCs w:val="24"/>
        </w:rPr>
        <w:t>I pause to mention that the Applicant had previously filed three (3) other interlocutory applications, which were withdrawn, the current interlocutory application is the fourth.</w:t>
      </w:r>
      <w:r w:rsidR="00E377BF" w:rsidRPr="00DC21F9">
        <w:rPr>
          <w:rFonts w:ascii="Arial" w:hAnsi="Arial" w:cs="Arial"/>
          <w:sz w:val="24"/>
          <w:szCs w:val="24"/>
        </w:rPr>
        <w:t xml:space="preserve">  The different Interlocutory Applications were all under one case number with the following court stamped dates; 5 May 2022, 22 August 2022, 30 August 2022</w:t>
      </w:r>
      <w:r w:rsidR="00E7572D" w:rsidRPr="00DC21F9">
        <w:rPr>
          <w:rFonts w:ascii="Arial" w:hAnsi="Arial" w:cs="Arial"/>
          <w:sz w:val="24"/>
          <w:szCs w:val="24"/>
        </w:rPr>
        <w:t xml:space="preserve"> and</w:t>
      </w:r>
      <w:r w:rsidR="00E377BF" w:rsidRPr="00DC21F9">
        <w:rPr>
          <w:rFonts w:ascii="Arial" w:hAnsi="Arial" w:cs="Arial"/>
          <w:sz w:val="24"/>
          <w:szCs w:val="24"/>
        </w:rPr>
        <w:t xml:space="preserve"> 23 September 2022. </w:t>
      </w:r>
    </w:p>
    <w:p w:rsidR="00332943"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32943" w:rsidRPr="00DC21F9">
        <w:rPr>
          <w:rFonts w:ascii="Arial" w:hAnsi="Arial" w:cs="Arial"/>
          <w:sz w:val="24"/>
          <w:szCs w:val="24"/>
        </w:rPr>
        <w:t>The Applicant in his founding affidavit contends that the credit agreement was unlawful and that there was misrepresentation on the side of the Respondent in that the Applicant was not informed about the insurance that was applicable on the credit agreement. Furthermore, the con</w:t>
      </w:r>
      <w:r w:rsidR="00912682" w:rsidRPr="00DC21F9">
        <w:rPr>
          <w:rFonts w:ascii="Arial" w:hAnsi="Arial" w:cs="Arial"/>
          <w:sz w:val="24"/>
          <w:szCs w:val="24"/>
        </w:rPr>
        <w:t xml:space="preserve">versations between the Applicant and the Respondent’s representative </w:t>
      </w:r>
      <w:r w:rsidR="00912682" w:rsidRPr="00DC21F9">
        <w:rPr>
          <w:rFonts w:ascii="Arial" w:hAnsi="Arial" w:cs="Arial"/>
          <w:color w:val="000000" w:themeColor="text1"/>
          <w:sz w:val="24"/>
          <w:szCs w:val="24"/>
        </w:rPr>
        <w:t xml:space="preserve">was in Isizulu and Sesotho and not in English. </w:t>
      </w:r>
      <w:r w:rsidR="00912682" w:rsidRPr="00DC21F9">
        <w:rPr>
          <w:rFonts w:ascii="Arial" w:hAnsi="Arial" w:cs="Arial"/>
          <w:sz w:val="24"/>
          <w:szCs w:val="24"/>
        </w:rPr>
        <w:t>As a consequence</w:t>
      </w:r>
      <w:r w:rsidR="00A9333F" w:rsidRPr="00DC21F9">
        <w:rPr>
          <w:rFonts w:ascii="Arial" w:hAnsi="Arial" w:cs="Arial"/>
          <w:sz w:val="24"/>
          <w:szCs w:val="24"/>
        </w:rPr>
        <w:t xml:space="preserve"> of the miscommunication</w:t>
      </w:r>
      <w:r w:rsidR="00912682" w:rsidRPr="00DC21F9">
        <w:rPr>
          <w:rFonts w:ascii="Arial" w:hAnsi="Arial" w:cs="Arial"/>
          <w:sz w:val="24"/>
          <w:szCs w:val="24"/>
        </w:rPr>
        <w:t>, there was a</w:t>
      </w:r>
      <w:r w:rsidR="00912682" w:rsidRPr="00DC21F9">
        <w:rPr>
          <w:rFonts w:ascii="Arial" w:hAnsi="Arial" w:cs="Arial"/>
          <w:color w:val="FF0000"/>
          <w:sz w:val="24"/>
          <w:szCs w:val="24"/>
        </w:rPr>
        <w:t xml:space="preserve"> </w:t>
      </w:r>
      <w:r w:rsidR="00912682" w:rsidRPr="00DC21F9">
        <w:rPr>
          <w:rFonts w:ascii="Arial" w:hAnsi="Arial" w:cs="Arial"/>
          <w:sz w:val="24"/>
          <w:szCs w:val="24"/>
        </w:rPr>
        <w:t>misunderstanding</w:t>
      </w:r>
      <w:r w:rsidR="00A9333F" w:rsidRPr="00DC21F9">
        <w:rPr>
          <w:rFonts w:ascii="Arial" w:hAnsi="Arial" w:cs="Arial"/>
          <w:sz w:val="24"/>
          <w:szCs w:val="24"/>
        </w:rPr>
        <w:t xml:space="preserve"> between the Applicant and the different representatives’ of the of the Re</w:t>
      </w:r>
      <w:r w:rsidR="002B2656" w:rsidRPr="00DC21F9">
        <w:rPr>
          <w:rFonts w:ascii="Arial" w:hAnsi="Arial" w:cs="Arial"/>
          <w:sz w:val="24"/>
          <w:szCs w:val="24"/>
        </w:rPr>
        <w:t>spondent, i</w:t>
      </w:r>
      <w:r w:rsidR="00A9333F" w:rsidRPr="00DC21F9">
        <w:rPr>
          <w:rFonts w:ascii="Arial" w:hAnsi="Arial" w:cs="Arial"/>
          <w:sz w:val="24"/>
          <w:szCs w:val="24"/>
        </w:rPr>
        <w:t>ncluding the Respondent’s failure to provide the Applicant with verbatim transcripts of the conversation between the Applicant and the Respondent’s representatives.</w:t>
      </w:r>
    </w:p>
    <w:p w:rsidR="00912682"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12682" w:rsidRPr="00DC21F9">
        <w:rPr>
          <w:rFonts w:ascii="Arial" w:hAnsi="Arial" w:cs="Arial"/>
          <w:sz w:val="24"/>
          <w:szCs w:val="24"/>
        </w:rPr>
        <w:t xml:space="preserve">The Respondent contends that the Applicant has been placed in possession of all the transcripts and affidavits of </w:t>
      </w:r>
      <w:r w:rsidR="00A9333F" w:rsidRPr="00DC21F9">
        <w:rPr>
          <w:rFonts w:ascii="Arial" w:hAnsi="Arial" w:cs="Arial"/>
          <w:sz w:val="24"/>
          <w:szCs w:val="24"/>
        </w:rPr>
        <w:t xml:space="preserve">Xolisile </w:t>
      </w:r>
      <w:r w:rsidR="00912682" w:rsidRPr="00DC21F9">
        <w:rPr>
          <w:rFonts w:ascii="Arial" w:hAnsi="Arial" w:cs="Arial"/>
          <w:sz w:val="24"/>
          <w:szCs w:val="24"/>
        </w:rPr>
        <w:t>Mlambo, including the annexures to the transcripts that the Applicant has been litigating in a hap</w:t>
      </w:r>
      <w:r w:rsidR="00CD34AD" w:rsidRPr="00DC21F9">
        <w:rPr>
          <w:rFonts w:ascii="Arial" w:hAnsi="Arial" w:cs="Arial"/>
          <w:sz w:val="24"/>
          <w:szCs w:val="24"/>
        </w:rPr>
        <w:t>ha</w:t>
      </w:r>
      <w:r w:rsidR="00912682" w:rsidRPr="00DC21F9">
        <w:rPr>
          <w:rFonts w:ascii="Arial" w:hAnsi="Arial" w:cs="Arial"/>
          <w:sz w:val="24"/>
          <w:szCs w:val="24"/>
        </w:rPr>
        <w:t>zard manner and the Respondent had no option, but to respondent to the allegations raised by the Applicant.</w:t>
      </w:r>
    </w:p>
    <w:p w:rsidR="0048689E" w:rsidRPr="00DC21F9" w:rsidRDefault="00DC21F9" w:rsidP="00DC21F9">
      <w:pPr>
        <w:spacing w:after="240" w:line="360" w:lineRule="auto"/>
        <w:ind w:left="851" w:hanging="851"/>
        <w:jc w:val="both"/>
        <w:rPr>
          <w:rFonts w:ascii="Arial" w:hAnsi="Arial" w:cs="Arial"/>
          <w:b/>
          <w:sz w:val="24"/>
          <w:szCs w:val="24"/>
        </w:rPr>
      </w:pPr>
      <w:r w:rsidRPr="002B17AB">
        <w:rPr>
          <w:rFonts w:ascii="Arial" w:hAnsi="Arial" w:cs="Arial"/>
          <w:sz w:val="24"/>
          <w:szCs w:val="24"/>
        </w:rPr>
        <w:t>[18]</w:t>
      </w:r>
      <w:r w:rsidRPr="002B17AB">
        <w:rPr>
          <w:rFonts w:ascii="Arial" w:hAnsi="Arial" w:cs="Arial"/>
          <w:sz w:val="24"/>
          <w:szCs w:val="24"/>
        </w:rPr>
        <w:tab/>
      </w:r>
      <w:r w:rsidR="0048689E" w:rsidRPr="00DC21F9">
        <w:rPr>
          <w:rFonts w:ascii="Arial" w:hAnsi="Arial" w:cs="Arial"/>
          <w:sz w:val="24"/>
          <w:szCs w:val="24"/>
        </w:rPr>
        <w:t>Generally, interlocutory applications are incidental to pending proceedings. These applications are subordinate to the main ap</w:t>
      </w:r>
      <w:r w:rsidR="00311A6F" w:rsidRPr="00DC21F9">
        <w:rPr>
          <w:rFonts w:ascii="Arial" w:hAnsi="Arial" w:cs="Arial"/>
          <w:sz w:val="24"/>
          <w:szCs w:val="24"/>
        </w:rPr>
        <w:t>plication yet distinct from it.</w:t>
      </w:r>
      <w:r w:rsidR="00311A6F">
        <w:rPr>
          <w:rStyle w:val="FootnoteReference"/>
          <w:rFonts w:ascii="Arial" w:hAnsi="Arial" w:cs="Arial"/>
          <w:b/>
          <w:sz w:val="24"/>
          <w:szCs w:val="24"/>
        </w:rPr>
        <w:footnoteReference w:id="1"/>
      </w:r>
    </w:p>
    <w:p w:rsidR="0048689E"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8689E" w:rsidRPr="00DC21F9">
        <w:rPr>
          <w:rFonts w:ascii="Arial" w:hAnsi="Arial" w:cs="Arial"/>
          <w:sz w:val="24"/>
          <w:szCs w:val="24"/>
        </w:rPr>
        <w:t xml:space="preserve">In this instance, the Applicant has haphazardly </w:t>
      </w:r>
      <w:r w:rsidR="00CD34AD" w:rsidRPr="00DC21F9">
        <w:rPr>
          <w:rFonts w:ascii="Arial" w:hAnsi="Arial" w:cs="Arial"/>
          <w:sz w:val="24"/>
          <w:szCs w:val="24"/>
        </w:rPr>
        <w:t>filed interlocutory applications without following proper rules of court as the Applicant was in person. The Court was very lenient in most instances.</w:t>
      </w:r>
    </w:p>
    <w:p w:rsidR="00CD34AD"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5080D" w:rsidRPr="00DC21F9">
        <w:rPr>
          <w:rFonts w:ascii="Arial" w:hAnsi="Arial" w:cs="Arial"/>
          <w:sz w:val="24"/>
          <w:szCs w:val="24"/>
        </w:rPr>
        <w:t xml:space="preserve">The new information sought by the Applicant is not so new as alleged as all </w:t>
      </w:r>
      <w:r w:rsidR="00F3535B" w:rsidRPr="00DC21F9">
        <w:rPr>
          <w:rFonts w:ascii="Arial" w:hAnsi="Arial" w:cs="Arial"/>
          <w:sz w:val="24"/>
          <w:szCs w:val="24"/>
        </w:rPr>
        <w:t>the information was provided to him</w:t>
      </w:r>
      <w:r w:rsidR="0045080D" w:rsidRPr="00DC21F9">
        <w:rPr>
          <w:rFonts w:ascii="Arial" w:hAnsi="Arial" w:cs="Arial"/>
          <w:sz w:val="24"/>
          <w:szCs w:val="24"/>
        </w:rPr>
        <w:t xml:space="preserve"> and it is the same information as in the main application. The Respondent had to respond to the same allegations as in the main application, which will be de</w:t>
      </w:r>
      <w:r w:rsidR="00F3535B" w:rsidRPr="00DC21F9">
        <w:rPr>
          <w:rFonts w:ascii="Arial" w:hAnsi="Arial" w:cs="Arial"/>
          <w:sz w:val="24"/>
          <w:szCs w:val="24"/>
        </w:rPr>
        <w:t>alt with later</w:t>
      </w:r>
      <w:r w:rsidR="009D343C" w:rsidRPr="00DC21F9">
        <w:rPr>
          <w:rFonts w:ascii="Arial" w:hAnsi="Arial" w:cs="Arial"/>
          <w:sz w:val="24"/>
          <w:szCs w:val="24"/>
        </w:rPr>
        <w:t>.</w:t>
      </w:r>
    </w:p>
    <w:p w:rsidR="009D343C"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B6A22" w:rsidRPr="00DC21F9">
        <w:rPr>
          <w:rFonts w:ascii="Arial" w:hAnsi="Arial" w:cs="Arial"/>
          <w:sz w:val="24"/>
          <w:szCs w:val="24"/>
        </w:rPr>
        <w:t xml:space="preserve">The Court is not in a position to advise the Applicant on how to handle his litigation. The Court had </w:t>
      </w:r>
      <w:r w:rsidR="00D815F1" w:rsidRPr="00DC21F9">
        <w:rPr>
          <w:rFonts w:ascii="Arial" w:hAnsi="Arial" w:cs="Arial"/>
          <w:sz w:val="24"/>
          <w:szCs w:val="24"/>
        </w:rPr>
        <w:t>warned the Applicant on his</w:t>
      </w:r>
      <w:r w:rsidR="008B6A22" w:rsidRPr="00DC21F9">
        <w:rPr>
          <w:rFonts w:ascii="Arial" w:hAnsi="Arial" w:cs="Arial"/>
          <w:sz w:val="24"/>
          <w:szCs w:val="24"/>
        </w:rPr>
        <w:t xml:space="preserve"> appearances in person without seeking legal assistance, but with no success.</w:t>
      </w:r>
    </w:p>
    <w:p w:rsidR="008B6A22"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B6A22" w:rsidRPr="00DC21F9">
        <w:rPr>
          <w:rFonts w:ascii="Arial" w:hAnsi="Arial" w:cs="Arial"/>
          <w:sz w:val="24"/>
          <w:szCs w:val="24"/>
        </w:rPr>
        <w:t xml:space="preserve">In </w:t>
      </w:r>
      <w:r w:rsidR="008B6A22" w:rsidRPr="00DC21F9">
        <w:rPr>
          <w:rFonts w:ascii="Arial" w:hAnsi="Arial" w:cs="Arial"/>
          <w:b/>
          <w:sz w:val="24"/>
          <w:szCs w:val="24"/>
        </w:rPr>
        <w:t>Minister of Finance v Oakbay Investments (Pty) Ltd and Others</w:t>
      </w:r>
      <w:r w:rsidR="007C3F4B" w:rsidRPr="00DC21F9">
        <w:rPr>
          <w:rFonts w:ascii="Arial" w:hAnsi="Arial" w:cs="Arial"/>
          <w:b/>
          <w:sz w:val="24"/>
          <w:szCs w:val="24"/>
        </w:rPr>
        <w:t xml:space="preserve">; Oakbay Investments (Pty) Ltd v Director of the Financial Intelligence Centre </w:t>
      </w:r>
      <w:r w:rsidR="007C3F4B">
        <w:rPr>
          <w:rStyle w:val="FootnoteReference"/>
          <w:rFonts w:ascii="Arial" w:hAnsi="Arial" w:cs="Arial"/>
          <w:sz w:val="24"/>
          <w:szCs w:val="24"/>
        </w:rPr>
        <w:footnoteReference w:id="2"/>
      </w:r>
      <w:r w:rsidR="007C3F4B" w:rsidRPr="00DC21F9">
        <w:rPr>
          <w:rFonts w:ascii="Arial" w:hAnsi="Arial" w:cs="Arial"/>
          <w:b/>
          <w:sz w:val="24"/>
          <w:szCs w:val="24"/>
        </w:rPr>
        <w:t xml:space="preserve">, </w:t>
      </w:r>
      <w:r w:rsidR="008B6A22" w:rsidRPr="00DC21F9">
        <w:rPr>
          <w:rFonts w:ascii="Arial" w:hAnsi="Arial" w:cs="Arial"/>
          <w:sz w:val="24"/>
          <w:szCs w:val="24"/>
        </w:rPr>
        <w:t>the following was said:</w:t>
      </w:r>
    </w:p>
    <w:p w:rsidR="008B6A22" w:rsidRPr="002B17AB" w:rsidRDefault="007C3F4B" w:rsidP="008250BC">
      <w:pPr>
        <w:pStyle w:val="ListParagraph"/>
        <w:spacing w:after="240" w:line="360" w:lineRule="auto"/>
        <w:ind w:left="1440"/>
        <w:contextualSpacing w:val="0"/>
        <w:jc w:val="both"/>
        <w:rPr>
          <w:rFonts w:ascii="Arial" w:hAnsi="Arial" w:cs="Arial"/>
          <w:i/>
        </w:rPr>
      </w:pPr>
      <w:r>
        <w:rPr>
          <w:rFonts w:ascii="Arial" w:hAnsi="Arial" w:cs="Arial"/>
          <w:i/>
        </w:rPr>
        <w:t>“The C</w:t>
      </w:r>
      <w:r w:rsidR="008B6A22" w:rsidRPr="002B17AB">
        <w:rPr>
          <w:rFonts w:ascii="Arial" w:hAnsi="Arial" w:cs="Arial"/>
          <w:i/>
        </w:rPr>
        <w:t>ourt does not provide legal advice to the parties</w:t>
      </w:r>
      <w:r>
        <w:rPr>
          <w:rFonts w:ascii="Arial" w:hAnsi="Arial" w:cs="Arial"/>
          <w:i/>
        </w:rPr>
        <w:t>. C</w:t>
      </w:r>
      <w:r w:rsidR="008B6A22" w:rsidRPr="002B17AB">
        <w:rPr>
          <w:rFonts w:ascii="Arial" w:hAnsi="Arial" w:cs="Arial"/>
          <w:i/>
        </w:rPr>
        <w:t>ourts therefore, consider it inappropriate for any party to come to court for</w:t>
      </w:r>
      <w:r>
        <w:rPr>
          <w:rFonts w:ascii="Arial" w:hAnsi="Arial" w:cs="Arial"/>
          <w:i/>
        </w:rPr>
        <w:t xml:space="preserve"> the</w:t>
      </w:r>
      <w:r w:rsidR="008B6A22" w:rsidRPr="002B17AB">
        <w:rPr>
          <w:rFonts w:ascii="Arial" w:hAnsi="Arial" w:cs="Arial"/>
          <w:i/>
        </w:rPr>
        <w:t xml:space="preserve"> confirmation of a legal question which is common cause between the parties.”</w:t>
      </w:r>
    </w:p>
    <w:p w:rsidR="008B6A22"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B6A22" w:rsidRPr="00DC21F9">
        <w:rPr>
          <w:rFonts w:ascii="Arial" w:hAnsi="Arial" w:cs="Arial"/>
          <w:sz w:val="24"/>
          <w:szCs w:val="24"/>
        </w:rPr>
        <w:t>The Applicant having filed different interlocutory applications as well as confusing the issues between the parties</w:t>
      </w:r>
      <w:r w:rsidR="00C71C04" w:rsidRPr="00DC21F9">
        <w:rPr>
          <w:rFonts w:ascii="Arial" w:hAnsi="Arial" w:cs="Arial"/>
          <w:sz w:val="24"/>
          <w:szCs w:val="24"/>
        </w:rPr>
        <w:t>, insisted with</w:t>
      </w:r>
      <w:r w:rsidR="00D71A3F" w:rsidRPr="00DC21F9">
        <w:rPr>
          <w:rFonts w:ascii="Arial" w:hAnsi="Arial" w:cs="Arial"/>
          <w:sz w:val="24"/>
          <w:szCs w:val="24"/>
        </w:rPr>
        <w:t xml:space="preserve"> proceed</w:t>
      </w:r>
      <w:r w:rsidR="00C71C04" w:rsidRPr="00DC21F9">
        <w:rPr>
          <w:rFonts w:ascii="Arial" w:hAnsi="Arial" w:cs="Arial"/>
          <w:sz w:val="24"/>
          <w:szCs w:val="24"/>
        </w:rPr>
        <w:t>ing</w:t>
      </w:r>
      <w:r w:rsidR="00D71A3F" w:rsidRPr="00DC21F9">
        <w:rPr>
          <w:rFonts w:ascii="Arial" w:hAnsi="Arial" w:cs="Arial"/>
          <w:sz w:val="24"/>
          <w:szCs w:val="24"/>
        </w:rPr>
        <w:t xml:space="preserve"> with the litigation except only</w:t>
      </w:r>
      <w:r w:rsidR="0004574A" w:rsidRPr="00DC21F9">
        <w:rPr>
          <w:rFonts w:ascii="Arial" w:hAnsi="Arial" w:cs="Arial"/>
          <w:sz w:val="24"/>
          <w:szCs w:val="24"/>
        </w:rPr>
        <w:t xml:space="preserve"> for</w:t>
      </w:r>
      <w:r w:rsidR="00D71A3F" w:rsidRPr="00DC21F9">
        <w:rPr>
          <w:rFonts w:ascii="Arial" w:hAnsi="Arial" w:cs="Arial"/>
          <w:sz w:val="24"/>
          <w:szCs w:val="24"/>
        </w:rPr>
        <w:t xml:space="preserve"> the fourth interlocutory application </w:t>
      </w:r>
      <w:r w:rsidR="0004574A" w:rsidRPr="00DC21F9">
        <w:rPr>
          <w:rFonts w:ascii="Arial" w:hAnsi="Arial" w:cs="Arial"/>
          <w:sz w:val="24"/>
          <w:szCs w:val="24"/>
        </w:rPr>
        <w:t xml:space="preserve">in which he </w:t>
      </w:r>
      <w:r w:rsidR="00D71A3F" w:rsidRPr="00DC21F9">
        <w:rPr>
          <w:rFonts w:ascii="Arial" w:hAnsi="Arial" w:cs="Arial"/>
          <w:sz w:val="24"/>
          <w:szCs w:val="24"/>
        </w:rPr>
        <w:t>requested</w:t>
      </w:r>
      <w:r w:rsidR="0004574A" w:rsidRPr="00DC21F9">
        <w:rPr>
          <w:rFonts w:ascii="Arial" w:hAnsi="Arial" w:cs="Arial"/>
          <w:sz w:val="24"/>
          <w:szCs w:val="24"/>
        </w:rPr>
        <w:t xml:space="preserve"> to be given an opportunity to sought</w:t>
      </w:r>
      <w:r w:rsidR="00D71A3F" w:rsidRPr="00DC21F9">
        <w:rPr>
          <w:rFonts w:ascii="Arial" w:hAnsi="Arial" w:cs="Arial"/>
          <w:sz w:val="24"/>
          <w:szCs w:val="24"/>
        </w:rPr>
        <w:t xml:space="preserve"> lega</w:t>
      </w:r>
      <w:r w:rsidR="0004574A" w:rsidRPr="00DC21F9">
        <w:rPr>
          <w:rFonts w:ascii="Arial" w:hAnsi="Arial" w:cs="Arial"/>
          <w:sz w:val="24"/>
          <w:szCs w:val="24"/>
        </w:rPr>
        <w:t>l representation and an indulgence which the Court gave</w:t>
      </w:r>
      <w:r w:rsidR="00D71A3F" w:rsidRPr="00DC21F9">
        <w:rPr>
          <w:rFonts w:ascii="Arial" w:hAnsi="Arial" w:cs="Arial"/>
          <w:sz w:val="24"/>
          <w:szCs w:val="24"/>
        </w:rPr>
        <w:t>.</w:t>
      </w:r>
    </w:p>
    <w:p w:rsidR="00D71A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4574A" w:rsidRPr="00DC21F9">
        <w:rPr>
          <w:rFonts w:ascii="Arial" w:hAnsi="Arial" w:cs="Arial"/>
          <w:sz w:val="24"/>
          <w:szCs w:val="24"/>
        </w:rPr>
        <w:t xml:space="preserve">Having considered the interlocutory </w:t>
      </w:r>
      <w:r w:rsidR="00D71A3F" w:rsidRPr="00DC21F9">
        <w:rPr>
          <w:rFonts w:ascii="Arial" w:hAnsi="Arial" w:cs="Arial"/>
          <w:sz w:val="24"/>
          <w:szCs w:val="24"/>
        </w:rPr>
        <w:t>application, there is nothing new in the alleged requested information, except that it is a repetition of the main application.</w:t>
      </w:r>
    </w:p>
    <w:p w:rsidR="00D71A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71A3F" w:rsidRPr="00DC21F9">
        <w:rPr>
          <w:rFonts w:ascii="Arial" w:hAnsi="Arial" w:cs="Arial"/>
          <w:sz w:val="24"/>
          <w:szCs w:val="24"/>
        </w:rPr>
        <w:t>Therefore, the interlocutory application ought to be dismissed with costs in favour of the Respondent.</w:t>
      </w:r>
    </w:p>
    <w:p w:rsidR="008250BC" w:rsidRDefault="008250BC" w:rsidP="008250BC">
      <w:pPr>
        <w:pStyle w:val="ListParagraph"/>
        <w:spacing w:after="240" w:line="360" w:lineRule="auto"/>
        <w:ind w:left="851"/>
        <w:contextualSpacing w:val="0"/>
        <w:jc w:val="both"/>
        <w:rPr>
          <w:rFonts w:ascii="Arial" w:hAnsi="Arial" w:cs="Arial"/>
          <w:sz w:val="24"/>
          <w:szCs w:val="24"/>
        </w:rPr>
      </w:pPr>
    </w:p>
    <w:p w:rsidR="00D71A3F" w:rsidRPr="002B17AB" w:rsidRDefault="00D71A3F" w:rsidP="008250BC">
      <w:pPr>
        <w:spacing w:after="240" w:line="360" w:lineRule="auto"/>
        <w:jc w:val="both"/>
        <w:rPr>
          <w:rFonts w:ascii="Arial" w:hAnsi="Arial" w:cs="Arial"/>
          <w:b/>
          <w:sz w:val="24"/>
          <w:szCs w:val="24"/>
        </w:rPr>
      </w:pPr>
      <w:r w:rsidRPr="002B17AB">
        <w:rPr>
          <w:rFonts w:ascii="Arial" w:hAnsi="Arial" w:cs="Arial"/>
          <w:b/>
          <w:sz w:val="24"/>
          <w:szCs w:val="24"/>
        </w:rPr>
        <w:t>THE MAIN APPLICATION</w:t>
      </w:r>
    </w:p>
    <w:p w:rsidR="00D71A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71A3F" w:rsidRPr="00DC21F9">
        <w:rPr>
          <w:rFonts w:ascii="Arial" w:hAnsi="Arial" w:cs="Arial"/>
          <w:sz w:val="24"/>
          <w:szCs w:val="24"/>
        </w:rPr>
        <w:t xml:space="preserve">The Applicant’s notice of motion launched on 25 February 2022 and its founding affidavit, the Applicant alleges that the Respondent enticed him in taking credit of R29 000, 00. </w:t>
      </w:r>
      <w:r w:rsidR="00E377BF" w:rsidRPr="00DC21F9">
        <w:rPr>
          <w:rFonts w:ascii="Arial" w:hAnsi="Arial" w:cs="Arial"/>
          <w:sz w:val="24"/>
          <w:szCs w:val="24"/>
        </w:rPr>
        <w:t xml:space="preserve"> </w:t>
      </w:r>
      <w:r w:rsidR="00D71A3F" w:rsidRPr="00DC21F9">
        <w:rPr>
          <w:rFonts w:ascii="Arial" w:hAnsi="Arial" w:cs="Arial"/>
          <w:sz w:val="24"/>
          <w:szCs w:val="24"/>
        </w:rPr>
        <w:t xml:space="preserve">Applicant said the Respondent advised him that the credit account will have an insurance which will cover </w:t>
      </w:r>
      <w:r w:rsidR="0004574A" w:rsidRPr="00DC21F9">
        <w:rPr>
          <w:rFonts w:ascii="Arial" w:hAnsi="Arial" w:cs="Arial"/>
          <w:sz w:val="24"/>
          <w:szCs w:val="24"/>
        </w:rPr>
        <w:t>the debt. The Applicant took</w:t>
      </w:r>
      <w:r w:rsidR="00D71A3F" w:rsidRPr="00DC21F9">
        <w:rPr>
          <w:rFonts w:ascii="Arial" w:hAnsi="Arial" w:cs="Arial"/>
          <w:sz w:val="24"/>
          <w:szCs w:val="24"/>
        </w:rPr>
        <w:t xml:space="preserve"> up the Respondent’s offer as he was running a tuck shop which had closed down. As a result of the tuck shop having closed down, the Applicant indicates that he could therefore not pay the credit account given by the Respondent.</w:t>
      </w:r>
    </w:p>
    <w:p w:rsidR="00D71A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D71A3F" w:rsidRPr="00DC21F9">
        <w:rPr>
          <w:rFonts w:ascii="Arial" w:hAnsi="Arial" w:cs="Arial"/>
          <w:sz w:val="24"/>
          <w:szCs w:val="24"/>
        </w:rPr>
        <w:t xml:space="preserve">The Applicant then wrote a letter to the Respondent’s local branch, requesting </w:t>
      </w:r>
      <w:r w:rsidR="003B3689" w:rsidRPr="00DC21F9">
        <w:rPr>
          <w:rFonts w:ascii="Arial" w:hAnsi="Arial" w:cs="Arial"/>
          <w:sz w:val="24"/>
          <w:szCs w:val="24"/>
        </w:rPr>
        <w:t xml:space="preserve">that the insurance that was part of the offer for the </w:t>
      </w:r>
      <w:r w:rsidR="00496014" w:rsidRPr="00DC21F9">
        <w:rPr>
          <w:rFonts w:ascii="Arial" w:hAnsi="Arial" w:cs="Arial"/>
          <w:sz w:val="24"/>
          <w:szCs w:val="24"/>
        </w:rPr>
        <w:t>credit account, cover the debt</w:t>
      </w:r>
      <w:r w:rsidR="008D003C" w:rsidRPr="00DC21F9">
        <w:rPr>
          <w:rFonts w:ascii="Arial" w:hAnsi="Arial" w:cs="Arial"/>
          <w:sz w:val="24"/>
          <w:szCs w:val="24"/>
        </w:rPr>
        <w:t>.</w:t>
      </w:r>
      <w:r w:rsidR="00496014">
        <w:rPr>
          <w:rStyle w:val="FootnoteReference"/>
          <w:rFonts w:ascii="Arial" w:hAnsi="Arial" w:cs="Arial"/>
          <w:sz w:val="24"/>
          <w:szCs w:val="24"/>
        </w:rPr>
        <w:footnoteReference w:id="3"/>
      </w:r>
      <w:r w:rsidR="008D003C" w:rsidRPr="00DC21F9">
        <w:rPr>
          <w:rFonts w:ascii="Arial" w:hAnsi="Arial" w:cs="Arial"/>
          <w:sz w:val="24"/>
          <w:szCs w:val="24"/>
        </w:rPr>
        <w:t xml:space="preserve"> </w:t>
      </w:r>
      <w:r w:rsidR="00496014" w:rsidRPr="00DC21F9">
        <w:rPr>
          <w:rFonts w:ascii="Arial" w:hAnsi="Arial" w:cs="Arial"/>
          <w:sz w:val="24"/>
          <w:szCs w:val="24"/>
        </w:rPr>
        <w:t xml:space="preserve"> </w:t>
      </w:r>
      <w:r w:rsidR="003B3689" w:rsidRPr="00DC21F9">
        <w:rPr>
          <w:rFonts w:ascii="Arial" w:hAnsi="Arial" w:cs="Arial"/>
          <w:sz w:val="24"/>
          <w:szCs w:val="24"/>
        </w:rPr>
        <w:t>Applicant said he was informed by the branch manager that insurance does not cover the credit account debt.</w:t>
      </w:r>
    </w:p>
    <w:p w:rsidR="003B3689"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B3689" w:rsidRPr="00DC21F9">
        <w:rPr>
          <w:rFonts w:ascii="Arial" w:hAnsi="Arial" w:cs="Arial"/>
          <w:sz w:val="24"/>
          <w:szCs w:val="24"/>
        </w:rPr>
        <w:t>Not having been satisfied with the branch manager’s response, Applicant wrote a letter to the Banking Ombudsman</w:t>
      </w:r>
      <w:r w:rsidR="00E377BF" w:rsidRPr="00DC21F9">
        <w:rPr>
          <w:rFonts w:ascii="Arial" w:hAnsi="Arial" w:cs="Arial"/>
          <w:sz w:val="24"/>
          <w:szCs w:val="24"/>
        </w:rPr>
        <w:t>.</w:t>
      </w:r>
      <w:r w:rsidR="00CC43A5">
        <w:rPr>
          <w:rStyle w:val="FootnoteReference"/>
          <w:rFonts w:ascii="Arial" w:hAnsi="Arial" w:cs="Arial"/>
          <w:sz w:val="24"/>
          <w:szCs w:val="24"/>
        </w:rPr>
        <w:footnoteReference w:id="4"/>
      </w:r>
      <w:r w:rsidR="003B3689" w:rsidRPr="00DC21F9">
        <w:rPr>
          <w:rFonts w:ascii="Arial" w:hAnsi="Arial" w:cs="Arial"/>
          <w:sz w:val="24"/>
          <w:szCs w:val="24"/>
        </w:rPr>
        <w:t xml:space="preserve"> Applicant was not satisfied with the Banking Ombudsman’s response and he then proceeded to the National Consumer Council and later t</w:t>
      </w:r>
      <w:r w:rsidR="00496014" w:rsidRPr="00DC21F9">
        <w:rPr>
          <w:rFonts w:ascii="Arial" w:hAnsi="Arial" w:cs="Arial"/>
          <w:sz w:val="24"/>
          <w:szCs w:val="24"/>
        </w:rPr>
        <w:t>o the National Credit Regulator</w:t>
      </w:r>
      <w:r w:rsidR="00CC43A5" w:rsidRPr="00DC21F9">
        <w:rPr>
          <w:rFonts w:ascii="Arial" w:hAnsi="Arial" w:cs="Arial"/>
          <w:sz w:val="24"/>
          <w:szCs w:val="24"/>
        </w:rPr>
        <w:t xml:space="preserve"> to which responses were given</w:t>
      </w:r>
      <w:r w:rsidR="003B3689" w:rsidRPr="00DC21F9">
        <w:rPr>
          <w:rFonts w:ascii="Arial" w:hAnsi="Arial" w:cs="Arial"/>
          <w:sz w:val="24"/>
          <w:szCs w:val="24"/>
        </w:rPr>
        <w:t>.</w:t>
      </w:r>
      <w:r w:rsidR="00496014">
        <w:rPr>
          <w:rStyle w:val="FootnoteReference"/>
          <w:rFonts w:ascii="Arial" w:hAnsi="Arial" w:cs="Arial"/>
          <w:sz w:val="24"/>
          <w:szCs w:val="24"/>
        </w:rPr>
        <w:footnoteReference w:id="5"/>
      </w:r>
    </w:p>
    <w:p w:rsidR="003B3689"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B3689" w:rsidRPr="00DC21F9">
        <w:rPr>
          <w:rFonts w:ascii="Arial" w:hAnsi="Arial" w:cs="Arial"/>
          <w:sz w:val="24"/>
          <w:szCs w:val="24"/>
        </w:rPr>
        <w:t>The Applicant’s main contention is that the Respondent’s conduct was unlawful and deceiving and having been reckless with its lending.</w:t>
      </w:r>
    </w:p>
    <w:p w:rsidR="005F6104"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B3689" w:rsidRPr="00DC21F9">
        <w:rPr>
          <w:rFonts w:ascii="Arial" w:hAnsi="Arial" w:cs="Arial"/>
          <w:sz w:val="24"/>
          <w:szCs w:val="24"/>
        </w:rPr>
        <w:t>The Respondent in the answering affidavit</w:t>
      </w:r>
      <w:r w:rsidR="00E377BF" w:rsidRPr="00DC21F9">
        <w:rPr>
          <w:rFonts w:ascii="Arial" w:hAnsi="Arial" w:cs="Arial"/>
          <w:sz w:val="24"/>
          <w:szCs w:val="24"/>
        </w:rPr>
        <w:t>,</w:t>
      </w:r>
      <w:r w:rsidR="005748C5">
        <w:rPr>
          <w:rStyle w:val="FootnoteReference"/>
          <w:rFonts w:ascii="Arial" w:hAnsi="Arial" w:cs="Arial"/>
          <w:sz w:val="24"/>
          <w:szCs w:val="24"/>
        </w:rPr>
        <w:footnoteReference w:id="6"/>
      </w:r>
      <w:r w:rsidR="003B3689" w:rsidRPr="00DC21F9">
        <w:rPr>
          <w:rFonts w:ascii="Arial" w:hAnsi="Arial" w:cs="Arial"/>
          <w:sz w:val="24"/>
          <w:szCs w:val="24"/>
        </w:rPr>
        <w:t xml:space="preserve"> conten</w:t>
      </w:r>
      <w:r w:rsidR="00164B1B" w:rsidRPr="00DC21F9">
        <w:rPr>
          <w:rFonts w:ascii="Arial" w:hAnsi="Arial" w:cs="Arial"/>
          <w:sz w:val="24"/>
          <w:szCs w:val="24"/>
        </w:rPr>
        <w:t>ds that the loan/credit granted was</w:t>
      </w:r>
      <w:r w:rsidR="003B3689" w:rsidRPr="00DC21F9">
        <w:rPr>
          <w:rFonts w:ascii="Arial" w:hAnsi="Arial" w:cs="Arial"/>
          <w:sz w:val="24"/>
          <w:szCs w:val="24"/>
        </w:rPr>
        <w:t xml:space="preserve"> </w:t>
      </w:r>
      <w:r w:rsidR="00E377BF" w:rsidRPr="00DC21F9">
        <w:rPr>
          <w:rFonts w:ascii="Arial" w:hAnsi="Arial" w:cs="Arial"/>
          <w:sz w:val="24"/>
          <w:szCs w:val="24"/>
        </w:rPr>
        <w:t xml:space="preserve">not </w:t>
      </w:r>
      <w:r w:rsidR="003B3689" w:rsidRPr="00DC21F9">
        <w:rPr>
          <w:rFonts w:ascii="Arial" w:hAnsi="Arial" w:cs="Arial"/>
          <w:sz w:val="24"/>
          <w:szCs w:val="24"/>
        </w:rPr>
        <w:t>reckless nor was there misrepresentati</w:t>
      </w:r>
      <w:r w:rsidR="00164B1B" w:rsidRPr="00DC21F9">
        <w:rPr>
          <w:rFonts w:ascii="Arial" w:hAnsi="Arial" w:cs="Arial"/>
          <w:sz w:val="24"/>
          <w:szCs w:val="24"/>
        </w:rPr>
        <w:t>on on the part of the Respondent</w:t>
      </w:r>
      <w:r w:rsidR="003B3689" w:rsidRPr="00DC21F9">
        <w:rPr>
          <w:rFonts w:ascii="Arial" w:hAnsi="Arial" w:cs="Arial"/>
          <w:sz w:val="24"/>
          <w:szCs w:val="24"/>
        </w:rPr>
        <w:t xml:space="preserve">. The Applicant had applied for credit and the transaction was concluded telephonically with the Applicant having disclosed his income and was </w:t>
      </w:r>
      <w:r w:rsidR="005F6104" w:rsidRPr="00DC21F9">
        <w:rPr>
          <w:rFonts w:ascii="Arial" w:hAnsi="Arial" w:cs="Arial"/>
          <w:sz w:val="24"/>
          <w:szCs w:val="24"/>
        </w:rPr>
        <w:t xml:space="preserve">deemed </w:t>
      </w:r>
      <w:r w:rsidR="003B3689" w:rsidRPr="00DC21F9">
        <w:rPr>
          <w:rFonts w:ascii="Arial" w:hAnsi="Arial" w:cs="Arial"/>
          <w:sz w:val="24"/>
          <w:szCs w:val="24"/>
        </w:rPr>
        <w:t>able</w:t>
      </w:r>
      <w:r w:rsidR="005F6104" w:rsidRPr="00DC21F9">
        <w:rPr>
          <w:rFonts w:ascii="Arial" w:hAnsi="Arial" w:cs="Arial"/>
          <w:sz w:val="24"/>
          <w:szCs w:val="24"/>
        </w:rPr>
        <w:t xml:space="preserve"> to afford monthly repayments. Applicant disclosed his monthly income as R7 500, 00 and monthly expenses as R3 000, 00</w:t>
      </w:r>
      <w:r w:rsidR="00E377BF" w:rsidRPr="00DC21F9">
        <w:rPr>
          <w:rFonts w:ascii="Arial" w:hAnsi="Arial" w:cs="Arial"/>
          <w:sz w:val="24"/>
          <w:szCs w:val="24"/>
        </w:rPr>
        <w:t>.</w:t>
      </w:r>
      <w:r w:rsidR="00164B1B">
        <w:rPr>
          <w:rStyle w:val="FootnoteReference"/>
          <w:rFonts w:ascii="Arial" w:hAnsi="Arial" w:cs="Arial"/>
          <w:sz w:val="24"/>
          <w:szCs w:val="24"/>
        </w:rPr>
        <w:footnoteReference w:id="7"/>
      </w:r>
      <w:r w:rsidR="00E377BF" w:rsidRPr="00DC21F9">
        <w:rPr>
          <w:rFonts w:ascii="Arial" w:hAnsi="Arial" w:cs="Arial"/>
          <w:sz w:val="24"/>
          <w:szCs w:val="24"/>
        </w:rPr>
        <w:t xml:space="preserve"> </w:t>
      </w:r>
      <w:r w:rsidR="005F6104" w:rsidRPr="00DC21F9">
        <w:rPr>
          <w:rFonts w:ascii="Arial" w:hAnsi="Arial" w:cs="Arial"/>
          <w:sz w:val="24"/>
          <w:szCs w:val="24"/>
        </w:rPr>
        <w:t xml:space="preserve"> Further that when the card was delivered, the Applicant signed and acknowledged receipt of same and gave his proof of residence and identification for verification purposes.</w:t>
      </w:r>
      <w:r w:rsidR="00456D4D">
        <w:rPr>
          <w:rStyle w:val="FootnoteReference"/>
          <w:rFonts w:ascii="Arial" w:hAnsi="Arial" w:cs="Arial"/>
          <w:sz w:val="24"/>
          <w:szCs w:val="24"/>
        </w:rPr>
        <w:footnoteReference w:id="8"/>
      </w:r>
    </w:p>
    <w:p w:rsidR="00210CCB"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10CCB" w:rsidRPr="00DC21F9">
        <w:rPr>
          <w:rFonts w:ascii="Arial" w:hAnsi="Arial" w:cs="Arial"/>
          <w:sz w:val="24"/>
          <w:szCs w:val="24"/>
        </w:rPr>
        <w:t>The Respondent attached to the answering affidavit, the telephone recorded conversation between the Applicant and t</w:t>
      </w:r>
      <w:r w:rsidR="00924E5A" w:rsidRPr="00DC21F9">
        <w:rPr>
          <w:rFonts w:ascii="Arial" w:hAnsi="Arial" w:cs="Arial"/>
          <w:sz w:val="24"/>
          <w:szCs w:val="24"/>
        </w:rPr>
        <w:t>he staff member of the Respondent (Mr Richard Machaba)</w:t>
      </w:r>
      <w:r w:rsidR="00210CCB" w:rsidRPr="00DC21F9">
        <w:rPr>
          <w:rFonts w:ascii="Arial" w:hAnsi="Arial" w:cs="Arial"/>
          <w:sz w:val="24"/>
          <w:szCs w:val="24"/>
        </w:rPr>
        <w:t>. The record shows the Applicant being an active participant in the application for the credit card. This was to the extent that the Applicant asked that he pay the r</w:t>
      </w:r>
      <w:r w:rsidR="00BA2157" w:rsidRPr="00DC21F9">
        <w:rPr>
          <w:rFonts w:ascii="Arial" w:hAnsi="Arial" w:cs="Arial"/>
          <w:sz w:val="24"/>
          <w:szCs w:val="24"/>
        </w:rPr>
        <w:t>epair of the bakkie</w:t>
      </w:r>
      <w:r w:rsidR="001B0AB1" w:rsidRPr="00DC21F9">
        <w:rPr>
          <w:rFonts w:ascii="Arial" w:hAnsi="Arial" w:cs="Arial"/>
          <w:sz w:val="24"/>
          <w:szCs w:val="24"/>
        </w:rPr>
        <w:t>,</w:t>
      </w:r>
      <w:r w:rsidR="00924E5A">
        <w:rPr>
          <w:rStyle w:val="FootnoteReference"/>
          <w:rFonts w:ascii="Arial" w:hAnsi="Arial" w:cs="Arial"/>
          <w:sz w:val="24"/>
          <w:szCs w:val="24"/>
        </w:rPr>
        <w:footnoteReference w:id="9"/>
      </w:r>
      <w:r w:rsidR="00210CCB" w:rsidRPr="00DC21F9">
        <w:rPr>
          <w:rFonts w:ascii="Arial" w:hAnsi="Arial" w:cs="Arial"/>
          <w:sz w:val="24"/>
          <w:szCs w:val="24"/>
        </w:rPr>
        <w:t xml:space="preserve"> the following is noted:</w:t>
      </w:r>
    </w:p>
    <w:p w:rsidR="00210CCB" w:rsidRPr="00575913" w:rsidRDefault="00575913" w:rsidP="008250BC">
      <w:pPr>
        <w:pStyle w:val="ListParagraph"/>
        <w:spacing w:after="240" w:line="360" w:lineRule="auto"/>
        <w:ind w:left="1440"/>
        <w:contextualSpacing w:val="0"/>
        <w:jc w:val="both"/>
        <w:rPr>
          <w:rFonts w:ascii="Arial" w:hAnsi="Arial" w:cs="Arial"/>
          <w:i/>
        </w:rPr>
      </w:pPr>
      <w:r w:rsidRPr="00575913">
        <w:rPr>
          <w:rFonts w:ascii="Arial" w:hAnsi="Arial" w:cs="Arial"/>
          <w:i/>
        </w:rPr>
        <w:t>“MR MAKHOBA</w:t>
      </w:r>
      <w:r w:rsidR="00BA2157" w:rsidRPr="00575913">
        <w:rPr>
          <w:rFonts w:ascii="Arial" w:hAnsi="Arial" w:cs="Arial"/>
          <w:i/>
        </w:rPr>
        <w:t xml:space="preserve">: </w:t>
      </w:r>
      <w:r w:rsidRPr="00575913">
        <w:rPr>
          <w:rFonts w:ascii="Arial" w:hAnsi="Arial" w:cs="Arial"/>
          <w:i/>
        </w:rPr>
        <w:tab/>
      </w:r>
      <w:r w:rsidR="00BA2157" w:rsidRPr="00575913">
        <w:rPr>
          <w:rFonts w:ascii="Arial" w:hAnsi="Arial" w:cs="Arial"/>
          <w:i/>
        </w:rPr>
        <w:t xml:space="preserve">Okay, </w:t>
      </w:r>
      <w:r w:rsidR="00210CCB" w:rsidRPr="00575913">
        <w:rPr>
          <w:rFonts w:ascii="Arial" w:hAnsi="Arial" w:cs="Arial"/>
          <w:i/>
        </w:rPr>
        <w:t>tell me</w:t>
      </w:r>
      <w:r w:rsidR="00BA2157" w:rsidRPr="00575913">
        <w:rPr>
          <w:rFonts w:ascii="Arial" w:hAnsi="Arial" w:cs="Arial"/>
          <w:i/>
        </w:rPr>
        <w:t xml:space="preserve">, </w:t>
      </w:r>
      <w:r w:rsidR="00210CCB" w:rsidRPr="00575913">
        <w:rPr>
          <w:rFonts w:ascii="Arial" w:hAnsi="Arial" w:cs="Arial"/>
          <w:i/>
        </w:rPr>
        <w:t>I was thinking</w:t>
      </w:r>
      <w:r w:rsidRPr="00575913">
        <w:rPr>
          <w:rFonts w:ascii="Arial" w:hAnsi="Arial" w:cs="Arial"/>
          <w:i/>
        </w:rPr>
        <w:t>,</w:t>
      </w:r>
      <w:r w:rsidR="00210CCB" w:rsidRPr="00575913">
        <w:rPr>
          <w:rFonts w:ascii="Arial" w:hAnsi="Arial" w:cs="Arial"/>
          <w:i/>
        </w:rPr>
        <w:t xml:space="preserve"> maybe </w:t>
      </w:r>
      <w:r w:rsidRPr="00575913">
        <w:rPr>
          <w:rFonts w:ascii="Arial" w:hAnsi="Arial" w:cs="Arial"/>
          <w:i/>
        </w:rPr>
        <w:t xml:space="preserve">– so </w:t>
      </w:r>
      <w:r w:rsidR="00210CCB" w:rsidRPr="00575913">
        <w:rPr>
          <w:rFonts w:ascii="Arial" w:hAnsi="Arial" w:cs="Arial"/>
          <w:i/>
        </w:rPr>
        <w:t>I can pay 1</w:t>
      </w:r>
      <w:r w:rsidRPr="00575913">
        <w:rPr>
          <w:rFonts w:ascii="Arial" w:hAnsi="Arial" w:cs="Arial"/>
          <w:i/>
        </w:rPr>
        <w:t xml:space="preserve"> </w:t>
      </w:r>
      <w:r w:rsidR="00210CCB" w:rsidRPr="00575913">
        <w:rPr>
          <w:rFonts w:ascii="Arial" w:hAnsi="Arial" w:cs="Arial"/>
          <w:i/>
        </w:rPr>
        <w:t>200 per month.”</w:t>
      </w:r>
    </w:p>
    <w:p w:rsidR="00210CCB" w:rsidRPr="00575913" w:rsidRDefault="00575913" w:rsidP="008250BC">
      <w:pPr>
        <w:pStyle w:val="ListParagraph"/>
        <w:spacing w:after="240" w:line="360" w:lineRule="auto"/>
        <w:ind w:left="1440"/>
        <w:contextualSpacing w:val="0"/>
        <w:jc w:val="both"/>
        <w:rPr>
          <w:rFonts w:ascii="Arial" w:hAnsi="Arial" w:cs="Arial"/>
          <w:i/>
        </w:rPr>
      </w:pPr>
      <w:r w:rsidRPr="00575913">
        <w:rPr>
          <w:rFonts w:ascii="Arial" w:hAnsi="Arial" w:cs="Arial"/>
          <w:i/>
        </w:rPr>
        <w:t>MR MACHABA</w:t>
      </w:r>
      <w:r w:rsidR="00210CCB" w:rsidRPr="00575913">
        <w:rPr>
          <w:rFonts w:ascii="Arial" w:hAnsi="Arial" w:cs="Arial"/>
          <w:i/>
        </w:rPr>
        <w:t xml:space="preserve">: </w:t>
      </w:r>
      <w:r w:rsidRPr="00575913">
        <w:rPr>
          <w:rFonts w:ascii="Arial" w:hAnsi="Arial" w:cs="Arial"/>
          <w:i/>
        </w:rPr>
        <w:tab/>
      </w:r>
      <w:r w:rsidR="00210CCB" w:rsidRPr="00575913">
        <w:rPr>
          <w:rFonts w:ascii="Arial" w:hAnsi="Arial" w:cs="Arial"/>
          <w:i/>
        </w:rPr>
        <w:t>Do you want to pay 1</w:t>
      </w:r>
      <w:r w:rsidRPr="00575913">
        <w:rPr>
          <w:rFonts w:ascii="Arial" w:hAnsi="Arial" w:cs="Arial"/>
          <w:i/>
        </w:rPr>
        <w:t xml:space="preserve"> </w:t>
      </w:r>
      <w:r w:rsidR="00210CCB" w:rsidRPr="00575913">
        <w:rPr>
          <w:rFonts w:ascii="Arial" w:hAnsi="Arial" w:cs="Arial"/>
          <w:i/>
        </w:rPr>
        <w:t>200 per month?</w:t>
      </w:r>
    </w:p>
    <w:p w:rsidR="00575913" w:rsidRPr="00575913" w:rsidRDefault="001B0AB1" w:rsidP="008250BC">
      <w:pPr>
        <w:pStyle w:val="ListParagraph"/>
        <w:spacing w:after="240" w:line="360" w:lineRule="auto"/>
        <w:ind w:left="1440"/>
        <w:contextualSpacing w:val="0"/>
        <w:jc w:val="both"/>
        <w:rPr>
          <w:rFonts w:ascii="Arial" w:hAnsi="Arial" w:cs="Arial"/>
          <w:i/>
        </w:rPr>
      </w:pPr>
      <w:r>
        <w:rPr>
          <w:rFonts w:ascii="Arial" w:hAnsi="Arial" w:cs="Arial"/>
          <w:i/>
        </w:rPr>
        <w:t>M</w:t>
      </w:r>
      <w:r w:rsidR="00575913" w:rsidRPr="00575913">
        <w:rPr>
          <w:rFonts w:ascii="Arial" w:hAnsi="Arial" w:cs="Arial"/>
          <w:i/>
        </w:rPr>
        <w:t>R MAKHOBA</w:t>
      </w:r>
      <w:r w:rsidR="00210CCB" w:rsidRPr="00575913">
        <w:rPr>
          <w:rFonts w:ascii="Arial" w:hAnsi="Arial" w:cs="Arial"/>
          <w:i/>
        </w:rPr>
        <w:t>:</w:t>
      </w:r>
      <w:r w:rsidR="00575913" w:rsidRPr="00575913">
        <w:rPr>
          <w:rFonts w:ascii="Arial" w:hAnsi="Arial" w:cs="Arial"/>
          <w:i/>
        </w:rPr>
        <w:tab/>
      </w:r>
      <w:r w:rsidR="00210CCB" w:rsidRPr="00575913">
        <w:rPr>
          <w:rFonts w:ascii="Arial" w:hAnsi="Arial" w:cs="Arial"/>
          <w:i/>
        </w:rPr>
        <w:t xml:space="preserve">Ja, but now that I have a bakkie, but the problem – </w:t>
      </w:r>
    </w:p>
    <w:p w:rsidR="00575913" w:rsidRPr="00575913" w:rsidRDefault="00575913" w:rsidP="00575913">
      <w:pPr>
        <w:pStyle w:val="ListParagraph"/>
        <w:spacing w:after="240" w:line="360" w:lineRule="auto"/>
        <w:ind w:left="1440"/>
        <w:contextualSpacing w:val="0"/>
        <w:jc w:val="both"/>
        <w:rPr>
          <w:rFonts w:ascii="Arial" w:hAnsi="Arial" w:cs="Arial"/>
          <w:i/>
        </w:rPr>
      </w:pPr>
      <w:r w:rsidRPr="00575913">
        <w:rPr>
          <w:rFonts w:ascii="Arial" w:hAnsi="Arial" w:cs="Arial"/>
          <w:i/>
        </w:rPr>
        <w:t>Mr MACHABA:</w:t>
      </w:r>
      <w:r w:rsidRPr="00575913">
        <w:rPr>
          <w:rFonts w:ascii="Arial" w:hAnsi="Arial" w:cs="Arial"/>
          <w:i/>
        </w:rPr>
        <w:tab/>
        <w:t>Yes –</w:t>
      </w:r>
    </w:p>
    <w:p w:rsidR="00210CCB" w:rsidRPr="00575913" w:rsidRDefault="00210CCB" w:rsidP="00575913">
      <w:pPr>
        <w:pStyle w:val="ListParagraph"/>
        <w:spacing w:after="240" w:line="360" w:lineRule="auto"/>
        <w:ind w:left="1440"/>
        <w:contextualSpacing w:val="0"/>
        <w:jc w:val="both"/>
        <w:rPr>
          <w:rFonts w:ascii="Arial" w:hAnsi="Arial" w:cs="Arial"/>
          <w:i/>
        </w:rPr>
      </w:pPr>
      <w:r w:rsidRPr="00575913">
        <w:rPr>
          <w:rFonts w:ascii="Arial" w:hAnsi="Arial" w:cs="Arial"/>
          <w:i/>
        </w:rPr>
        <w:t>M</w:t>
      </w:r>
      <w:r w:rsidR="00575913" w:rsidRPr="00575913">
        <w:rPr>
          <w:rFonts w:ascii="Arial" w:hAnsi="Arial" w:cs="Arial"/>
          <w:i/>
        </w:rPr>
        <w:t>R MAKHOBA:</w:t>
      </w:r>
      <w:r w:rsidR="00575913" w:rsidRPr="00575913">
        <w:rPr>
          <w:rFonts w:ascii="Arial" w:hAnsi="Arial" w:cs="Arial"/>
          <w:i/>
        </w:rPr>
        <w:tab/>
      </w:r>
      <w:r w:rsidRPr="00575913">
        <w:rPr>
          <w:rFonts w:ascii="Arial" w:hAnsi="Arial" w:cs="Arial"/>
          <w:i/>
        </w:rPr>
        <w:t xml:space="preserve"> – now </w:t>
      </w:r>
      <w:r w:rsidR="00575913" w:rsidRPr="00575913">
        <w:rPr>
          <w:rFonts w:ascii="Arial" w:hAnsi="Arial" w:cs="Arial"/>
          <w:i/>
        </w:rPr>
        <w:t xml:space="preserve">is that </w:t>
      </w:r>
      <w:r w:rsidRPr="00575913">
        <w:rPr>
          <w:rFonts w:ascii="Arial" w:hAnsi="Arial" w:cs="Arial"/>
          <w:i/>
        </w:rPr>
        <w:t>the bakkie</w:t>
      </w:r>
      <w:r w:rsidR="00575913" w:rsidRPr="00575913">
        <w:rPr>
          <w:rFonts w:ascii="Arial" w:hAnsi="Arial" w:cs="Arial"/>
          <w:i/>
        </w:rPr>
        <w:t>,</w:t>
      </w:r>
      <w:r w:rsidRPr="00575913">
        <w:rPr>
          <w:rFonts w:ascii="Arial" w:hAnsi="Arial" w:cs="Arial"/>
          <w:i/>
        </w:rPr>
        <w:t xml:space="preserve"> the engine is not right on my bakkie. So</w:t>
      </w:r>
      <w:r w:rsidR="00575913" w:rsidRPr="00575913">
        <w:rPr>
          <w:rFonts w:ascii="Arial" w:hAnsi="Arial" w:cs="Arial"/>
          <w:i/>
        </w:rPr>
        <w:t>,</w:t>
      </w:r>
      <w:r w:rsidRPr="00575913">
        <w:rPr>
          <w:rFonts w:ascii="Arial" w:hAnsi="Arial" w:cs="Arial"/>
          <w:i/>
        </w:rPr>
        <w:t xml:space="preserve"> I will need the money, maybe</w:t>
      </w:r>
      <w:r w:rsidR="00575913" w:rsidRPr="00575913">
        <w:rPr>
          <w:rFonts w:ascii="Arial" w:hAnsi="Arial" w:cs="Arial"/>
          <w:i/>
        </w:rPr>
        <w:t xml:space="preserve"> – so that engine, I see that engine in the</w:t>
      </w:r>
      <w:r w:rsidRPr="00575913">
        <w:rPr>
          <w:rFonts w:ascii="Arial" w:hAnsi="Arial" w:cs="Arial"/>
          <w:i/>
        </w:rPr>
        <w:t xml:space="preserve"> website </w:t>
      </w:r>
      <w:r w:rsidR="00575913" w:rsidRPr="00575913">
        <w:rPr>
          <w:rFonts w:ascii="Arial" w:hAnsi="Arial" w:cs="Arial"/>
          <w:i/>
        </w:rPr>
        <w:t xml:space="preserve">so that the engine, that engine </w:t>
      </w:r>
      <w:r w:rsidRPr="00575913">
        <w:rPr>
          <w:rFonts w:ascii="Arial" w:hAnsi="Arial" w:cs="Arial"/>
          <w:i/>
        </w:rPr>
        <w:t>is costing 6</w:t>
      </w:r>
      <w:r w:rsidR="00575913" w:rsidRPr="00575913">
        <w:rPr>
          <w:rFonts w:ascii="Arial" w:hAnsi="Arial" w:cs="Arial"/>
          <w:i/>
        </w:rPr>
        <w:t> </w:t>
      </w:r>
      <w:r w:rsidRPr="00575913">
        <w:rPr>
          <w:rFonts w:ascii="Arial" w:hAnsi="Arial" w:cs="Arial"/>
          <w:i/>
        </w:rPr>
        <w:t>000</w:t>
      </w:r>
      <w:r w:rsidR="00575913" w:rsidRPr="00575913">
        <w:rPr>
          <w:rFonts w:ascii="Arial" w:hAnsi="Arial" w:cs="Arial"/>
          <w:i/>
        </w:rPr>
        <w:t>.</w:t>
      </w:r>
    </w:p>
    <w:p w:rsidR="00575913" w:rsidRPr="00575913" w:rsidRDefault="00575913" w:rsidP="00575913">
      <w:pPr>
        <w:pStyle w:val="ListParagraph"/>
        <w:spacing w:after="240" w:line="360" w:lineRule="auto"/>
        <w:ind w:left="1440"/>
        <w:contextualSpacing w:val="0"/>
        <w:jc w:val="both"/>
        <w:rPr>
          <w:rFonts w:ascii="Arial" w:hAnsi="Arial" w:cs="Arial"/>
          <w:i/>
        </w:rPr>
      </w:pPr>
      <w:r w:rsidRPr="00575913">
        <w:rPr>
          <w:rFonts w:ascii="Arial" w:hAnsi="Arial" w:cs="Arial"/>
          <w:i/>
        </w:rPr>
        <w:t>MR MACHABA:</w:t>
      </w:r>
      <w:r w:rsidRPr="00575913">
        <w:rPr>
          <w:rFonts w:ascii="Arial" w:hAnsi="Arial" w:cs="Arial"/>
          <w:i/>
        </w:rPr>
        <w:tab/>
        <w:t>Okay.</w:t>
      </w:r>
    </w:p>
    <w:p w:rsidR="003B3689" w:rsidRPr="00575913" w:rsidRDefault="00575913" w:rsidP="008250BC">
      <w:pPr>
        <w:pStyle w:val="ListParagraph"/>
        <w:spacing w:after="240" w:line="360" w:lineRule="auto"/>
        <w:ind w:left="1440"/>
        <w:contextualSpacing w:val="0"/>
        <w:jc w:val="both"/>
        <w:rPr>
          <w:rFonts w:ascii="Arial" w:hAnsi="Arial" w:cs="Arial"/>
          <w:i/>
        </w:rPr>
      </w:pPr>
      <w:r w:rsidRPr="00575913">
        <w:rPr>
          <w:rFonts w:ascii="Arial" w:hAnsi="Arial" w:cs="Arial"/>
          <w:i/>
        </w:rPr>
        <w:t>MR MAKHOBA</w:t>
      </w:r>
      <w:r w:rsidR="00210CCB" w:rsidRPr="00575913">
        <w:rPr>
          <w:rFonts w:ascii="Arial" w:hAnsi="Arial" w:cs="Arial"/>
          <w:i/>
        </w:rPr>
        <w:t>:</w:t>
      </w:r>
      <w:r w:rsidRPr="00575913">
        <w:rPr>
          <w:rFonts w:ascii="Arial" w:hAnsi="Arial" w:cs="Arial"/>
          <w:i/>
        </w:rPr>
        <w:tab/>
      </w:r>
      <w:r w:rsidR="00210CCB" w:rsidRPr="00575913">
        <w:rPr>
          <w:rFonts w:ascii="Arial" w:hAnsi="Arial" w:cs="Arial"/>
          <w:i/>
        </w:rPr>
        <w:t xml:space="preserve"> Now I do not know</w:t>
      </w:r>
      <w:r w:rsidRPr="00575913">
        <w:rPr>
          <w:rFonts w:ascii="Arial" w:hAnsi="Arial" w:cs="Arial"/>
          <w:i/>
        </w:rPr>
        <w:t>,</w:t>
      </w:r>
      <w:r w:rsidR="00210CCB" w:rsidRPr="00575913">
        <w:rPr>
          <w:rFonts w:ascii="Arial" w:hAnsi="Arial" w:cs="Arial"/>
          <w:i/>
        </w:rPr>
        <w:t xml:space="preserve"> if maybe I can get another money so that I can pay more than 600 a month, maybe 1</w:t>
      </w:r>
      <w:r w:rsidRPr="00575913">
        <w:rPr>
          <w:rFonts w:ascii="Arial" w:hAnsi="Arial" w:cs="Arial"/>
          <w:i/>
        </w:rPr>
        <w:t xml:space="preserve"> </w:t>
      </w:r>
      <w:r w:rsidR="00210CCB" w:rsidRPr="00575913">
        <w:rPr>
          <w:rFonts w:ascii="Arial" w:hAnsi="Arial" w:cs="Arial"/>
          <w:i/>
        </w:rPr>
        <w:t>200 a month.</w:t>
      </w:r>
      <w:r w:rsidR="003B3689" w:rsidRPr="00575913">
        <w:rPr>
          <w:rFonts w:ascii="Arial" w:hAnsi="Arial" w:cs="Arial"/>
          <w:i/>
        </w:rPr>
        <w:t xml:space="preserve"> </w:t>
      </w:r>
    </w:p>
    <w:p w:rsidR="00914175"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10CCB" w:rsidRPr="00DC21F9">
        <w:rPr>
          <w:rFonts w:ascii="Arial" w:hAnsi="Arial" w:cs="Arial"/>
          <w:sz w:val="24"/>
          <w:szCs w:val="24"/>
        </w:rPr>
        <w:t>On an unknown date on the transcribed records, at page 134, the telephone conversation between a certain Ms Nhlanhla of Standard Bank c</w:t>
      </w:r>
      <w:r w:rsidR="00575913" w:rsidRPr="00DC21F9">
        <w:rPr>
          <w:rFonts w:ascii="Arial" w:hAnsi="Arial" w:cs="Arial"/>
          <w:sz w:val="24"/>
          <w:szCs w:val="24"/>
        </w:rPr>
        <w:t xml:space="preserve">ontinues where </w:t>
      </w:r>
      <w:r w:rsidR="00914175" w:rsidRPr="00DC21F9">
        <w:rPr>
          <w:rFonts w:ascii="Arial" w:hAnsi="Arial" w:cs="Arial"/>
          <w:sz w:val="24"/>
          <w:szCs w:val="24"/>
        </w:rPr>
        <w:t>the Applicant</w:t>
      </w:r>
      <w:r w:rsidR="00575913" w:rsidRPr="00DC21F9">
        <w:rPr>
          <w:rFonts w:ascii="Arial" w:hAnsi="Arial" w:cs="Arial"/>
          <w:sz w:val="24"/>
          <w:szCs w:val="24"/>
        </w:rPr>
        <w:t xml:space="preserve"> was offered a balance </w:t>
      </w:r>
      <w:r w:rsidR="00914175" w:rsidRPr="00DC21F9">
        <w:rPr>
          <w:rFonts w:ascii="Arial" w:hAnsi="Arial" w:cs="Arial"/>
          <w:sz w:val="24"/>
          <w:szCs w:val="24"/>
        </w:rPr>
        <w:t>protection plan</w:t>
      </w:r>
      <w:r w:rsidR="00575913" w:rsidRPr="00DC21F9">
        <w:rPr>
          <w:rFonts w:ascii="Arial" w:hAnsi="Arial" w:cs="Arial"/>
          <w:sz w:val="24"/>
          <w:szCs w:val="24"/>
        </w:rPr>
        <w:t xml:space="preserve"> under his credit card</w:t>
      </w:r>
      <w:r w:rsidR="00914175" w:rsidRPr="00DC21F9">
        <w:rPr>
          <w:rFonts w:ascii="Arial" w:hAnsi="Arial" w:cs="Arial"/>
          <w:sz w:val="24"/>
          <w:szCs w:val="24"/>
        </w:rPr>
        <w:t>. It was explained to t</w:t>
      </w:r>
      <w:r w:rsidR="00575913" w:rsidRPr="00DC21F9">
        <w:rPr>
          <w:rFonts w:ascii="Arial" w:hAnsi="Arial" w:cs="Arial"/>
          <w:sz w:val="24"/>
          <w:szCs w:val="24"/>
        </w:rPr>
        <w:t xml:space="preserve">he Applicant that the balance </w:t>
      </w:r>
      <w:r w:rsidR="00914175" w:rsidRPr="00DC21F9">
        <w:rPr>
          <w:rFonts w:ascii="Arial" w:hAnsi="Arial" w:cs="Arial"/>
          <w:sz w:val="24"/>
          <w:szCs w:val="24"/>
        </w:rPr>
        <w:t>protection plan covers debt on the credit card s</w:t>
      </w:r>
      <w:r w:rsidR="00575913" w:rsidRPr="00DC21F9">
        <w:rPr>
          <w:rFonts w:ascii="Arial" w:hAnsi="Arial" w:cs="Arial"/>
          <w:sz w:val="24"/>
          <w:szCs w:val="24"/>
        </w:rPr>
        <w:t>hould a person be deceased or</w:t>
      </w:r>
      <w:r w:rsidR="00914175" w:rsidRPr="00DC21F9">
        <w:rPr>
          <w:rFonts w:ascii="Arial" w:hAnsi="Arial" w:cs="Arial"/>
          <w:sz w:val="24"/>
          <w:szCs w:val="24"/>
        </w:rPr>
        <w:t xml:space="preserve"> retr</w:t>
      </w:r>
      <w:r w:rsidR="00575913" w:rsidRPr="00DC21F9">
        <w:rPr>
          <w:rFonts w:ascii="Arial" w:hAnsi="Arial" w:cs="Arial"/>
          <w:sz w:val="24"/>
          <w:szCs w:val="24"/>
        </w:rPr>
        <w:t>enched.</w:t>
      </w:r>
      <w:r w:rsidR="00575913">
        <w:rPr>
          <w:rStyle w:val="FootnoteReference"/>
          <w:rFonts w:ascii="Arial" w:hAnsi="Arial" w:cs="Arial"/>
          <w:sz w:val="24"/>
          <w:szCs w:val="24"/>
        </w:rPr>
        <w:footnoteReference w:id="10"/>
      </w:r>
    </w:p>
    <w:p w:rsidR="003A479A"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14175" w:rsidRPr="00DC21F9">
        <w:rPr>
          <w:rFonts w:ascii="Arial" w:hAnsi="Arial" w:cs="Arial"/>
          <w:sz w:val="24"/>
          <w:szCs w:val="24"/>
        </w:rPr>
        <w:t xml:space="preserve">The Applicant’s </w:t>
      </w:r>
      <w:r w:rsidR="006723DA" w:rsidRPr="00DC21F9">
        <w:rPr>
          <w:rFonts w:ascii="Arial" w:hAnsi="Arial" w:cs="Arial"/>
          <w:sz w:val="24"/>
          <w:szCs w:val="24"/>
        </w:rPr>
        <w:t>contention is that the balance</w:t>
      </w:r>
      <w:r w:rsidR="00914175" w:rsidRPr="00DC21F9">
        <w:rPr>
          <w:rFonts w:ascii="Arial" w:hAnsi="Arial" w:cs="Arial"/>
          <w:sz w:val="24"/>
          <w:szCs w:val="24"/>
        </w:rPr>
        <w:t xml:space="preserve"> protection plan must pay or should have paid for monies owing on the credit card canno</w:t>
      </w:r>
      <w:r w:rsidR="003A479A" w:rsidRPr="00DC21F9">
        <w:rPr>
          <w:rFonts w:ascii="Arial" w:hAnsi="Arial" w:cs="Arial"/>
          <w:sz w:val="24"/>
          <w:szCs w:val="24"/>
        </w:rPr>
        <w:t>t stand as there is no</w:t>
      </w:r>
      <w:r w:rsidR="00914175" w:rsidRPr="00DC21F9">
        <w:rPr>
          <w:rFonts w:ascii="Arial" w:hAnsi="Arial" w:cs="Arial"/>
          <w:sz w:val="24"/>
          <w:szCs w:val="24"/>
        </w:rPr>
        <w:t xml:space="preserve">where </w:t>
      </w:r>
      <w:r w:rsidR="003A479A" w:rsidRPr="00DC21F9">
        <w:rPr>
          <w:rFonts w:ascii="Arial" w:hAnsi="Arial" w:cs="Arial"/>
          <w:sz w:val="24"/>
          <w:szCs w:val="24"/>
        </w:rPr>
        <w:t>on the tr</w:t>
      </w:r>
      <w:r w:rsidR="006723DA" w:rsidRPr="00DC21F9">
        <w:rPr>
          <w:rFonts w:ascii="Arial" w:hAnsi="Arial" w:cs="Arial"/>
          <w:sz w:val="24"/>
          <w:szCs w:val="24"/>
        </w:rPr>
        <w:t>anscribed telephonic records where an offer is made, stating that</w:t>
      </w:r>
      <w:r w:rsidR="003A479A" w:rsidRPr="00DC21F9">
        <w:rPr>
          <w:rFonts w:ascii="Arial" w:hAnsi="Arial" w:cs="Arial"/>
          <w:sz w:val="24"/>
          <w:szCs w:val="24"/>
        </w:rPr>
        <w:t xml:space="preserve"> </w:t>
      </w:r>
      <w:r w:rsidR="006723DA" w:rsidRPr="00DC21F9">
        <w:rPr>
          <w:rFonts w:ascii="Arial" w:hAnsi="Arial" w:cs="Arial"/>
          <w:sz w:val="24"/>
          <w:szCs w:val="24"/>
        </w:rPr>
        <w:t xml:space="preserve">the balance </w:t>
      </w:r>
      <w:r w:rsidR="003A479A" w:rsidRPr="00DC21F9">
        <w:rPr>
          <w:rFonts w:ascii="Arial" w:hAnsi="Arial" w:cs="Arial"/>
          <w:sz w:val="24"/>
          <w:szCs w:val="24"/>
        </w:rPr>
        <w:t>protection plan will pay for the Applicant’s debt nor did the Applicant provide any evidence to the contrary.</w:t>
      </w:r>
    </w:p>
    <w:p w:rsidR="003A479A" w:rsidRPr="00DC21F9" w:rsidRDefault="00DC21F9" w:rsidP="00DC21F9">
      <w:pPr>
        <w:spacing w:after="240" w:line="360" w:lineRule="auto"/>
        <w:ind w:left="851" w:hanging="851"/>
        <w:jc w:val="both"/>
        <w:rPr>
          <w:rFonts w:ascii="Arial" w:hAnsi="Arial" w:cs="Arial"/>
          <w:color w:val="000000" w:themeColor="text1"/>
          <w:sz w:val="24"/>
          <w:szCs w:val="24"/>
        </w:rPr>
      </w:pPr>
      <w:r w:rsidRPr="001B0AB1">
        <w:rPr>
          <w:rFonts w:ascii="Arial" w:hAnsi="Arial" w:cs="Arial"/>
          <w:color w:val="000000" w:themeColor="text1"/>
          <w:sz w:val="24"/>
          <w:szCs w:val="24"/>
        </w:rPr>
        <w:t>[34]</w:t>
      </w:r>
      <w:r w:rsidRPr="001B0AB1">
        <w:rPr>
          <w:rFonts w:ascii="Arial" w:hAnsi="Arial" w:cs="Arial"/>
          <w:color w:val="000000" w:themeColor="text1"/>
          <w:sz w:val="24"/>
          <w:szCs w:val="24"/>
        </w:rPr>
        <w:tab/>
      </w:r>
      <w:r w:rsidR="003A479A" w:rsidRPr="00DC21F9">
        <w:rPr>
          <w:rFonts w:ascii="Arial" w:hAnsi="Arial" w:cs="Arial"/>
          <w:sz w:val="24"/>
          <w:szCs w:val="24"/>
        </w:rPr>
        <w:t xml:space="preserve">The Applicant knowingly agreed to the credit facility, to the extent that the he went to the bank to activate the card. The Applicant even went as far as applying for a credit limit increase in </w:t>
      </w:r>
      <w:r w:rsidR="003A479A" w:rsidRPr="00DC21F9">
        <w:rPr>
          <w:rFonts w:ascii="Arial" w:hAnsi="Arial" w:cs="Arial"/>
          <w:color w:val="000000" w:themeColor="text1"/>
          <w:sz w:val="24"/>
          <w:szCs w:val="24"/>
        </w:rPr>
        <w:t>2014.</w:t>
      </w:r>
    </w:p>
    <w:p w:rsidR="00CE53C8"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723DA" w:rsidRPr="00DC21F9">
        <w:rPr>
          <w:rFonts w:ascii="Arial" w:hAnsi="Arial" w:cs="Arial"/>
          <w:sz w:val="24"/>
          <w:szCs w:val="24"/>
        </w:rPr>
        <w:t>This C</w:t>
      </w:r>
      <w:r w:rsidR="003A479A" w:rsidRPr="00DC21F9">
        <w:rPr>
          <w:rFonts w:ascii="Arial" w:hAnsi="Arial" w:cs="Arial"/>
          <w:sz w:val="24"/>
          <w:szCs w:val="24"/>
        </w:rPr>
        <w:t>ourt cannot accept the Applicant’s defence of reckless lending inc</w:t>
      </w:r>
      <w:r w:rsidR="006723DA" w:rsidRPr="00DC21F9">
        <w:rPr>
          <w:rFonts w:ascii="Arial" w:hAnsi="Arial" w:cs="Arial"/>
          <w:sz w:val="24"/>
          <w:szCs w:val="24"/>
        </w:rPr>
        <w:t>luding that the balance protection plan was</w:t>
      </w:r>
      <w:r w:rsidR="003A479A" w:rsidRPr="00DC21F9">
        <w:rPr>
          <w:rFonts w:ascii="Arial" w:hAnsi="Arial" w:cs="Arial"/>
          <w:sz w:val="24"/>
          <w:szCs w:val="24"/>
        </w:rPr>
        <w:t xml:space="preserve"> to pay for the credit debt.</w:t>
      </w:r>
      <w:r w:rsidR="00CE53C8" w:rsidRPr="00DC21F9">
        <w:rPr>
          <w:rFonts w:ascii="Arial" w:hAnsi="Arial" w:cs="Arial"/>
          <w:sz w:val="24"/>
          <w:szCs w:val="24"/>
        </w:rPr>
        <w:t xml:space="preserve"> According to the transcribed record, the Applicant was clearly explained to, on the applicabl</w:t>
      </w:r>
      <w:r w:rsidR="006723DA" w:rsidRPr="00DC21F9">
        <w:rPr>
          <w:rFonts w:ascii="Arial" w:hAnsi="Arial" w:cs="Arial"/>
          <w:sz w:val="24"/>
          <w:szCs w:val="24"/>
        </w:rPr>
        <w:t>e requirements for the payment of the balance protection plan in relation to the credit facility</w:t>
      </w:r>
      <w:r w:rsidR="00CE53C8" w:rsidRPr="00DC21F9">
        <w:rPr>
          <w:rFonts w:ascii="Arial" w:hAnsi="Arial" w:cs="Arial"/>
          <w:sz w:val="24"/>
          <w:szCs w:val="24"/>
        </w:rPr>
        <w:t>.</w:t>
      </w:r>
      <w:r w:rsidR="006723DA">
        <w:rPr>
          <w:rStyle w:val="FootnoteReference"/>
          <w:rFonts w:ascii="Arial" w:hAnsi="Arial" w:cs="Arial"/>
          <w:sz w:val="24"/>
          <w:szCs w:val="24"/>
        </w:rPr>
        <w:footnoteReference w:id="11"/>
      </w:r>
    </w:p>
    <w:p w:rsidR="00CE53C8"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E53C8" w:rsidRPr="00DC21F9">
        <w:rPr>
          <w:rFonts w:ascii="Arial" w:hAnsi="Arial" w:cs="Arial"/>
          <w:sz w:val="24"/>
          <w:szCs w:val="24"/>
        </w:rPr>
        <w:t>The Applicant’s reliance on sections 80(1)(a), 164(1) and 90(2)(a) o</w:t>
      </w:r>
      <w:r w:rsidR="00D8390E" w:rsidRPr="00DC21F9">
        <w:rPr>
          <w:rFonts w:ascii="Arial" w:hAnsi="Arial" w:cs="Arial"/>
          <w:sz w:val="24"/>
          <w:szCs w:val="24"/>
        </w:rPr>
        <w:t>f the NCA</w:t>
      </w:r>
      <w:r w:rsidR="00CE53C8" w:rsidRPr="00DC21F9">
        <w:rPr>
          <w:rFonts w:ascii="Arial" w:hAnsi="Arial" w:cs="Arial"/>
          <w:sz w:val="24"/>
          <w:szCs w:val="24"/>
        </w:rPr>
        <w:t>, has no merit as the Respondent had conducted an assessment as required in terms of section 81(2) and took reasonable steps to ensure that the Applicant understood and appreciated the risks involved. The Applicant gave the information of his finances as being in a position to afford and accepted the credit facility. The Applicant assured the Respondent that the family business which is a tuck shop, is doing well and it has been running since 1994.</w:t>
      </w:r>
      <w:r w:rsidR="00F64B67">
        <w:rPr>
          <w:rStyle w:val="FootnoteReference"/>
          <w:rFonts w:ascii="Arial" w:hAnsi="Arial" w:cs="Arial"/>
          <w:sz w:val="24"/>
          <w:szCs w:val="24"/>
        </w:rPr>
        <w:footnoteReference w:id="12"/>
      </w:r>
      <w:r w:rsidR="00F64B67" w:rsidRPr="00DC21F9">
        <w:rPr>
          <w:rFonts w:ascii="Arial" w:hAnsi="Arial" w:cs="Arial"/>
          <w:sz w:val="24"/>
          <w:szCs w:val="24"/>
        </w:rPr>
        <w:t xml:space="preserve"> </w:t>
      </w:r>
    </w:p>
    <w:p w:rsidR="00006BDA"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E53C8" w:rsidRPr="00DC21F9">
        <w:rPr>
          <w:rFonts w:ascii="Arial" w:hAnsi="Arial" w:cs="Arial"/>
          <w:sz w:val="24"/>
          <w:szCs w:val="24"/>
        </w:rPr>
        <w:t xml:space="preserve">In </w:t>
      </w:r>
      <w:r w:rsidR="00CE53C8" w:rsidRPr="00DC21F9">
        <w:rPr>
          <w:rFonts w:ascii="Arial" w:hAnsi="Arial" w:cs="Arial"/>
          <w:b/>
          <w:sz w:val="24"/>
          <w:szCs w:val="24"/>
        </w:rPr>
        <w:t>S</w:t>
      </w:r>
      <w:r w:rsidR="002C66AD" w:rsidRPr="00DC21F9">
        <w:rPr>
          <w:rFonts w:ascii="Arial" w:hAnsi="Arial" w:cs="Arial"/>
          <w:b/>
          <w:sz w:val="24"/>
          <w:szCs w:val="24"/>
        </w:rPr>
        <w:t>A Taxi Securitisation (Pty) Ltd v Mbatha</w:t>
      </w:r>
      <w:r w:rsidR="000D42C7" w:rsidRPr="00DC21F9">
        <w:rPr>
          <w:rFonts w:ascii="Arial" w:hAnsi="Arial" w:cs="Arial"/>
          <w:b/>
          <w:sz w:val="24"/>
          <w:szCs w:val="24"/>
        </w:rPr>
        <w:t xml:space="preserve"> </w:t>
      </w:r>
      <w:r w:rsidR="000D42C7">
        <w:rPr>
          <w:rStyle w:val="FootnoteReference"/>
          <w:rFonts w:ascii="Arial" w:hAnsi="Arial" w:cs="Arial"/>
          <w:b/>
          <w:sz w:val="24"/>
          <w:szCs w:val="24"/>
        </w:rPr>
        <w:footnoteReference w:id="13"/>
      </w:r>
      <w:r w:rsidR="000D42C7" w:rsidRPr="00DC21F9">
        <w:rPr>
          <w:rFonts w:ascii="Arial" w:hAnsi="Arial" w:cs="Arial"/>
          <w:sz w:val="24"/>
          <w:szCs w:val="24"/>
        </w:rPr>
        <w:t>, the C</w:t>
      </w:r>
      <w:r w:rsidR="00006BDA" w:rsidRPr="00DC21F9">
        <w:rPr>
          <w:rFonts w:ascii="Arial" w:hAnsi="Arial" w:cs="Arial"/>
          <w:sz w:val="24"/>
          <w:szCs w:val="24"/>
        </w:rPr>
        <w:t>ourt said the following:</w:t>
      </w:r>
    </w:p>
    <w:p w:rsidR="00006BDA" w:rsidRPr="008250BC" w:rsidRDefault="00006BDA" w:rsidP="008250BC">
      <w:pPr>
        <w:pStyle w:val="ListParagraph"/>
        <w:spacing w:after="240" w:line="360" w:lineRule="auto"/>
        <w:ind w:left="1440"/>
        <w:contextualSpacing w:val="0"/>
        <w:jc w:val="both"/>
        <w:rPr>
          <w:rFonts w:ascii="Arial" w:hAnsi="Arial" w:cs="Arial"/>
          <w:i/>
        </w:rPr>
      </w:pPr>
      <w:r w:rsidRPr="008250BC">
        <w:rPr>
          <w:rFonts w:ascii="Arial" w:hAnsi="Arial" w:cs="Arial"/>
          <w:i/>
        </w:rPr>
        <w:t>“</w:t>
      </w:r>
      <w:r w:rsidR="00DE004E" w:rsidRPr="00DE004E">
        <w:rPr>
          <w:rFonts w:ascii="Arial" w:hAnsi="Arial" w:cs="Arial"/>
          <w:i/>
        </w:rPr>
        <w:t>Since the enactment of the NCA, there seems to be a tendency in these Courts for defendants to make bland allegations that they are “over-indebted” or that there has been “reckless credit”.  These allegations, like any other allegations made in a defendant’s affidavit opposing summary judgment, should not be “inherently and seriously unconvincing”, should contain a reasonable amount of verificatory detail, and should not be “needlessly bald, vague or sketchy”. A bald allegation that there was “reckless credit” or there is “over-indebtedness” will not suffice</w:t>
      </w:r>
      <w:r w:rsidR="00DE004E">
        <w:rPr>
          <w:rFonts w:ascii="Arial" w:hAnsi="Arial" w:cs="Arial"/>
          <w:i/>
        </w:rPr>
        <w:t>.”</w:t>
      </w:r>
    </w:p>
    <w:p w:rsidR="00B90E4D"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06BDA" w:rsidRPr="00DC21F9">
        <w:rPr>
          <w:rFonts w:ascii="Arial" w:hAnsi="Arial" w:cs="Arial"/>
          <w:sz w:val="24"/>
          <w:szCs w:val="24"/>
        </w:rPr>
        <w:t>Even if the above case refers to</w:t>
      </w:r>
      <w:r w:rsidR="00C81005" w:rsidRPr="00DC21F9">
        <w:rPr>
          <w:rFonts w:ascii="Arial" w:hAnsi="Arial" w:cs="Arial"/>
          <w:sz w:val="24"/>
          <w:szCs w:val="24"/>
        </w:rPr>
        <w:t xml:space="preserve"> </w:t>
      </w:r>
      <w:r w:rsidR="008F7A0F" w:rsidRPr="00DC21F9">
        <w:rPr>
          <w:rFonts w:ascii="Arial" w:hAnsi="Arial" w:cs="Arial"/>
          <w:sz w:val="24"/>
          <w:szCs w:val="24"/>
        </w:rPr>
        <w:t>summary judgment proceedings</w:t>
      </w:r>
      <w:r w:rsidR="00C81005" w:rsidRPr="00DC21F9">
        <w:rPr>
          <w:rFonts w:ascii="Arial" w:hAnsi="Arial" w:cs="Arial"/>
          <w:sz w:val="24"/>
          <w:szCs w:val="24"/>
        </w:rPr>
        <w:t>,</w:t>
      </w:r>
      <w:r w:rsidR="00006BDA" w:rsidRPr="00DC21F9">
        <w:rPr>
          <w:rFonts w:ascii="Arial" w:hAnsi="Arial" w:cs="Arial"/>
          <w:sz w:val="24"/>
          <w:szCs w:val="24"/>
        </w:rPr>
        <w:t xml:space="preserve"> the principles applied in this instance are the same</w:t>
      </w:r>
      <w:r w:rsidR="003A479A" w:rsidRPr="00DC21F9">
        <w:rPr>
          <w:rFonts w:ascii="Arial" w:hAnsi="Arial" w:cs="Arial"/>
          <w:sz w:val="24"/>
          <w:szCs w:val="24"/>
        </w:rPr>
        <w:t xml:space="preserve"> </w:t>
      </w:r>
      <w:r w:rsidR="00006BDA" w:rsidRPr="00DC21F9">
        <w:rPr>
          <w:rFonts w:ascii="Arial" w:hAnsi="Arial" w:cs="Arial"/>
          <w:sz w:val="24"/>
          <w:szCs w:val="24"/>
        </w:rPr>
        <w:t xml:space="preserve">as it is based on reckless lending. </w:t>
      </w:r>
      <w:r w:rsidR="001B0AB1" w:rsidRPr="00DC21F9">
        <w:rPr>
          <w:rFonts w:ascii="Arial" w:hAnsi="Arial" w:cs="Arial"/>
          <w:sz w:val="24"/>
          <w:szCs w:val="24"/>
        </w:rPr>
        <w:t xml:space="preserve">The </w:t>
      </w:r>
      <w:r w:rsidR="008F71F7" w:rsidRPr="00DC21F9">
        <w:rPr>
          <w:rFonts w:ascii="Arial" w:hAnsi="Arial" w:cs="Arial"/>
          <w:sz w:val="24"/>
          <w:szCs w:val="24"/>
        </w:rPr>
        <w:t>Respondent conducted</w:t>
      </w:r>
      <w:r w:rsidR="001B0AB1" w:rsidRPr="00DC21F9">
        <w:rPr>
          <w:rFonts w:ascii="Arial" w:hAnsi="Arial" w:cs="Arial"/>
          <w:sz w:val="24"/>
          <w:szCs w:val="24"/>
        </w:rPr>
        <w:t xml:space="preserve"> an affordability assessment before entering into a credit agreement with the Applicant.</w:t>
      </w:r>
      <w:r w:rsidR="00B90E4D" w:rsidRPr="00DC21F9">
        <w:rPr>
          <w:rFonts w:ascii="Arial" w:hAnsi="Arial" w:cs="Arial"/>
          <w:sz w:val="24"/>
          <w:szCs w:val="24"/>
        </w:rPr>
        <w:t xml:space="preserve"> The Applicant participated in the conversation including asking </w:t>
      </w:r>
      <w:r w:rsidR="008F71F7" w:rsidRPr="00DC21F9">
        <w:rPr>
          <w:rFonts w:ascii="Arial" w:hAnsi="Arial" w:cs="Arial"/>
          <w:sz w:val="24"/>
          <w:szCs w:val="24"/>
        </w:rPr>
        <w:t>questions</w:t>
      </w:r>
      <w:r w:rsidR="00B90E4D" w:rsidRPr="00DC21F9">
        <w:rPr>
          <w:rFonts w:ascii="Arial" w:hAnsi="Arial" w:cs="Arial"/>
          <w:sz w:val="24"/>
          <w:szCs w:val="24"/>
        </w:rPr>
        <w:t xml:space="preserve">.  </w:t>
      </w:r>
      <w:r w:rsidR="001B3FDC" w:rsidRPr="00DC21F9">
        <w:rPr>
          <w:rFonts w:ascii="Arial" w:hAnsi="Arial" w:cs="Arial"/>
          <w:sz w:val="24"/>
          <w:szCs w:val="24"/>
        </w:rPr>
        <w:t xml:space="preserve">Annexure </w:t>
      </w:r>
      <w:r w:rsidR="001B3FDC" w:rsidRPr="00DC21F9">
        <w:rPr>
          <w:rFonts w:ascii="Arial" w:hAnsi="Arial" w:cs="Arial"/>
          <w:b/>
          <w:sz w:val="24"/>
          <w:szCs w:val="24"/>
        </w:rPr>
        <w:t>“NM1”</w:t>
      </w:r>
      <w:r w:rsidR="001B3FDC" w:rsidRPr="00DC21F9">
        <w:rPr>
          <w:rFonts w:ascii="Arial" w:hAnsi="Arial" w:cs="Arial"/>
          <w:sz w:val="24"/>
          <w:szCs w:val="24"/>
        </w:rPr>
        <w:t xml:space="preserve"> o</w:t>
      </w:r>
      <w:r w:rsidR="00B90E4D" w:rsidRPr="00DC21F9">
        <w:rPr>
          <w:rFonts w:ascii="Arial" w:hAnsi="Arial" w:cs="Arial"/>
          <w:sz w:val="24"/>
          <w:szCs w:val="24"/>
        </w:rPr>
        <w:t xml:space="preserve">n </w:t>
      </w:r>
      <w:r w:rsidR="008F71F7" w:rsidRPr="00DC21F9">
        <w:rPr>
          <w:rFonts w:ascii="Arial" w:hAnsi="Arial" w:cs="Arial"/>
          <w:sz w:val="24"/>
          <w:szCs w:val="24"/>
        </w:rPr>
        <w:t>p</w:t>
      </w:r>
      <w:r w:rsidR="00B90E4D" w:rsidRPr="00DC21F9">
        <w:rPr>
          <w:rFonts w:ascii="Arial" w:hAnsi="Arial" w:cs="Arial"/>
          <w:sz w:val="24"/>
          <w:szCs w:val="24"/>
        </w:rPr>
        <w:t>age 269 of the transcribed record the following is noted:</w:t>
      </w:r>
    </w:p>
    <w:p w:rsidR="00B90E4D" w:rsidRPr="001B3FDC" w:rsidRDefault="00B90E4D" w:rsidP="0005484B">
      <w:pPr>
        <w:spacing w:after="240" w:line="360" w:lineRule="auto"/>
        <w:ind w:left="720"/>
        <w:jc w:val="both"/>
        <w:rPr>
          <w:rFonts w:ascii="Arial" w:hAnsi="Arial" w:cs="Arial"/>
          <w:i/>
        </w:rPr>
      </w:pPr>
      <w:r w:rsidRPr="001B3FDC">
        <w:rPr>
          <w:rFonts w:ascii="Arial" w:hAnsi="Arial" w:cs="Arial"/>
          <w:sz w:val="24"/>
          <w:szCs w:val="24"/>
        </w:rPr>
        <w:t xml:space="preserve">                </w:t>
      </w:r>
      <w:r w:rsidRPr="001B3FDC">
        <w:rPr>
          <w:rFonts w:ascii="Arial" w:hAnsi="Arial" w:cs="Arial"/>
          <w:i/>
        </w:rPr>
        <w:t xml:space="preserve"> “Mr. Evans:  </w:t>
      </w:r>
      <w:r w:rsidR="008F71F7" w:rsidRPr="001B3FDC">
        <w:rPr>
          <w:rFonts w:ascii="Arial" w:hAnsi="Arial" w:cs="Arial"/>
          <w:i/>
        </w:rPr>
        <w:t xml:space="preserve">     </w:t>
      </w:r>
      <w:r w:rsidR="001B3FDC" w:rsidRPr="001B3FDC">
        <w:rPr>
          <w:rFonts w:ascii="Arial" w:hAnsi="Arial" w:cs="Arial"/>
          <w:i/>
        </w:rPr>
        <w:tab/>
        <w:t xml:space="preserve">  </w:t>
      </w:r>
      <w:r w:rsidRPr="001B3FDC">
        <w:rPr>
          <w:rFonts w:ascii="Arial" w:hAnsi="Arial" w:cs="Arial"/>
          <w:i/>
        </w:rPr>
        <w:t>And then do you know how the credit card work</w:t>
      </w:r>
      <w:r w:rsidR="001B3FDC" w:rsidRPr="001B3FDC">
        <w:rPr>
          <w:rFonts w:ascii="Arial" w:hAnsi="Arial" w:cs="Arial"/>
          <w:i/>
        </w:rPr>
        <w:t>, sir</w:t>
      </w:r>
      <w:r w:rsidRPr="001B3FDC">
        <w:rPr>
          <w:rFonts w:ascii="Arial" w:hAnsi="Arial" w:cs="Arial"/>
          <w:i/>
        </w:rPr>
        <w:t>?</w:t>
      </w:r>
    </w:p>
    <w:p w:rsidR="00B90E4D" w:rsidRPr="001B3FDC" w:rsidRDefault="00B90E4D" w:rsidP="0005484B">
      <w:pPr>
        <w:spacing w:after="240" w:line="360" w:lineRule="auto"/>
        <w:ind w:left="3686" w:hanging="1832"/>
        <w:jc w:val="both"/>
        <w:rPr>
          <w:rFonts w:ascii="Arial" w:hAnsi="Arial" w:cs="Arial"/>
          <w:i/>
        </w:rPr>
      </w:pPr>
      <w:r w:rsidRPr="001B3FDC">
        <w:rPr>
          <w:rFonts w:ascii="Arial" w:hAnsi="Arial" w:cs="Arial"/>
          <w:i/>
        </w:rPr>
        <w:t xml:space="preserve"> Mr. Makhoba: </w:t>
      </w:r>
      <w:r w:rsidR="0005484B" w:rsidRPr="001B3FDC">
        <w:rPr>
          <w:rFonts w:ascii="Arial" w:hAnsi="Arial" w:cs="Arial"/>
          <w:i/>
        </w:rPr>
        <w:tab/>
      </w:r>
      <w:r w:rsidRPr="001B3FDC">
        <w:rPr>
          <w:rFonts w:ascii="Arial" w:hAnsi="Arial" w:cs="Arial"/>
          <w:i/>
        </w:rPr>
        <w:t>Yes it is, but my problem sir is, I do want a credit card but my problem is I do not have this thi</w:t>
      </w:r>
      <w:r w:rsidR="001B3FDC" w:rsidRPr="001B3FDC">
        <w:rPr>
          <w:rFonts w:ascii="Arial" w:hAnsi="Arial" w:cs="Arial"/>
          <w:i/>
        </w:rPr>
        <w:t>n</w:t>
      </w:r>
      <w:r w:rsidRPr="001B3FDC">
        <w:rPr>
          <w:rFonts w:ascii="Arial" w:hAnsi="Arial" w:cs="Arial"/>
          <w:i/>
        </w:rPr>
        <w:t>g that you want of…</w:t>
      </w:r>
    </w:p>
    <w:p w:rsidR="00B90E4D" w:rsidRPr="001B3FDC" w:rsidRDefault="00B90E4D" w:rsidP="0005484B">
      <w:pPr>
        <w:spacing w:after="240" w:line="360" w:lineRule="auto"/>
        <w:ind w:left="709"/>
        <w:jc w:val="both"/>
        <w:rPr>
          <w:rFonts w:ascii="Arial" w:hAnsi="Arial" w:cs="Arial"/>
          <w:i/>
        </w:rPr>
      </w:pPr>
      <w:r w:rsidRPr="001B3FDC">
        <w:rPr>
          <w:rFonts w:ascii="Arial" w:hAnsi="Arial" w:cs="Arial"/>
          <w:i/>
        </w:rPr>
        <w:t xml:space="preserve">                 Mr. Evans</w:t>
      </w:r>
      <w:r w:rsidR="008F71F7" w:rsidRPr="001B3FDC">
        <w:rPr>
          <w:rFonts w:ascii="Arial" w:hAnsi="Arial" w:cs="Arial"/>
          <w:i/>
        </w:rPr>
        <w:t xml:space="preserve">:     </w:t>
      </w:r>
      <w:r w:rsidRPr="001B3FDC">
        <w:rPr>
          <w:rFonts w:ascii="Arial" w:hAnsi="Arial" w:cs="Arial"/>
          <w:i/>
        </w:rPr>
        <w:t xml:space="preserve"> </w:t>
      </w:r>
      <w:r w:rsidR="0005484B" w:rsidRPr="001B3FDC">
        <w:rPr>
          <w:rFonts w:ascii="Arial" w:hAnsi="Arial" w:cs="Arial"/>
          <w:i/>
        </w:rPr>
        <w:tab/>
      </w:r>
      <w:r w:rsidR="001B3FDC" w:rsidRPr="001B3FDC">
        <w:rPr>
          <w:rFonts w:ascii="Arial" w:hAnsi="Arial" w:cs="Arial"/>
          <w:i/>
        </w:rPr>
        <w:t>O</w:t>
      </w:r>
      <w:r w:rsidRPr="001B3FDC">
        <w:rPr>
          <w:rFonts w:ascii="Arial" w:hAnsi="Arial" w:cs="Arial"/>
          <w:i/>
        </w:rPr>
        <w:t>f doing what?</w:t>
      </w:r>
    </w:p>
    <w:p w:rsidR="001B0AB1" w:rsidRPr="001B3FDC" w:rsidRDefault="00B90E4D" w:rsidP="0005484B">
      <w:pPr>
        <w:spacing w:after="240" w:line="360" w:lineRule="auto"/>
        <w:ind w:left="3686" w:hanging="2977"/>
        <w:jc w:val="both"/>
        <w:rPr>
          <w:rFonts w:ascii="Arial" w:hAnsi="Arial" w:cs="Arial"/>
          <w:i/>
        </w:rPr>
      </w:pPr>
      <w:r w:rsidRPr="001B3FDC">
        <w:rPr>
          <w:rFonts w:ascii="Arial" w:hAnsi="Arial" w:cs="Arial"/>
          <w:i/>
        </w:rPr>
        <w:t xml:space="preserve">                 Mr Makhoba</w:t>
      </w:r>
      <w:r w:rsidR="008F71F7" w:rsidRPr="001B3FDC">
        <w:rPr>
          <w:rFonts w:ascii="Arial" w:hAnsi="Arial" w:cs="Arial"/>
          <w:i/>
        </w:rPr>
        <w:t xml:space="preserve">: </w:t>
      </w:r>
      <w:r w:rsidRPr="001B3FDC">
        <w:rPr>
          <w:rFonts w:ascii="Arial" w:hAnsi="Arial" w:cs="Arial"/>
          <w:i/>
        </w:rPr>
        <w:t xml:space="preserve"> </w:t>
      </w:r>
      <w:r w:rsidR="0005484B" w:rsidRPr="001B3FDC">
        <w:rPr>
          <w:rFonts w:ascii="Arial" w:hAnsi="Arial" w:cs="Arial"/>
          <w:i/>
        </w:rPr>
        <w:tab/>
      </w:r>
      <w:r w:rsidRPr="001B3FDC">
        <w:rPr>
          <w:rFonts w:ascii="Arial" w:hAnsi="Arial" w:cs="Arial"/>
          <w:i/>
        </w:rPr>
        <w:t>What I can manage is, it is</w:t>
      </w:r>
      <w:r w:rsidR="001B3FDC" w:rsidRPr="001B3FDC">
        <w:rPr>
          <w:rFonts w:ascii="Arial" w:hAnsi="Arial" w:cs="Arial"/>
          <w:i/>
        </w:rPr>
        <w:t xml:space="preserve"> like</w:t>
      </w:r>
      <w:r w:rsidRPr="001B3FDC">
        <w:rPr>
          <w:rFonts w:ascii="Arial" w:hAnsi="Arial" w:cs="Arial"/>
          <w:i/>
        </w:rPr>
        <w:t>, what I can only have is the bank statement.  I do not have…</w:t>
      </w:r>
    </w:p>
    <w:p w:rsidR="008F71F7" w:rsidRPr="001B3FDC" w:rsidRDefault="008F71F7" w:rsidP="0005484B">
      <w:pPr>
        <w:spacing w:after="240" w:line="360" w:lineRule="auto"/>
        <w:ind w:left="3600" w:hanging="1840"/>
        <w:jc w:val="both"/>
        <w:rPr>
          <w:rFonts w:ascii="Arial" w:hAnsi="Arial" w:cs="Arial"/>
          <w:i/>
        </w:rPr>
      </w:pPr>
      <w:r w:rsidRPr="001B3FDC">
        <w:rPr>
          <w:rFonts w:ascii="Arial" w:hAnsi="Arial" w:cs="Arial"/>
          <w:i/>
        </w:rPr>
        <w:t xml:space="preserve">Mr. Evans:       </w:t>
      </w:r>
      <w:r w:rsidR="0005484B" w:rsidRPr="001B3FDC">
        <w:rPr>
          <w:rFonts w:ascii="Arial" w:hAnsi="Arial" w:cs="Arial"/>
          <w:i/>
        </w:rPr>
        <w:tab/>
      </w:r>
      <w:r w:rsidRPr="001B3FDC">
        <w:rPr>
          <w:rFonts w:ascii="Arial" w:hAnsi="Arial" w:cs="Arial"/>
          <w:i/>
        </w:rPr>
        <w:t>We do not need a bank statement, you are qualifying already, Mr Makhoba.  We do not need a bank statement and we also do not need a payslip.”</w:t>
      </w:r>
      <w:r w:rsidRPr="001B3FDC">
        <w:rPr>
          <w:rFonts w:ascii="Arial" w:hAnsi="Arial" w:cs="Arial"/>
          <w:sz w:val="24"/>
          <w:szCs w:val="24"/>
        </w:rPr>
        <w:t xml:space="preserve">              </w:t>
      </w:r>
    </w:p>
    <w:p w:rsidR="008D003C"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D003C" w:rsidRPr="00DC21F9">
        <w:rPr>
          <w:rFonts w:ascii="Arial" w:hAnsi="Arial" w:cs="Arial"/>
          <w:sz w:val="24"/>
          <w:szCs w:val="24"/>
        </w:rPr>
        <w:t>During 2014, the Applicant applied for an increase</w:t>
      </w:r>
      <w:r w:rsidR="002B2656" w:rsidRPr="00DC21F9">
        <w:rPr>
          <w:rFonts w:ascii="Arial" w:hAnsi="Arial" w:cs="Arial"/>
          <w:sz w:val="24"/>
          <w:szCs w:val="24"/>
        </w:rPr>
        <w:t xml:space="preserve"> on</w:t>
      </w:r>
      <w:r w:rsidR="008D003C" w:rsidRPr="00DC21F9">
        <w:rPr>
          <w:rFonts w:ascii="Arial" w:hAnsi="Arial" w:cs="Arial"/>
          <w:sz w:val="24"/>
          <w:szCs w:val="24"/>
        </w:rPr>
        <w:t xml:space="preserve"> his credit card facility.  The application was also conducted telephonically and the Applicant proceeded to confirm his income as R6000,00 with monthly expenses of R3000</w:t>
      </w:r>
      <w:r w:rsidR="004D7BF0" w:rsidRPr="00DC21F9">
        <w:rPr>
          <w:rFonts w:ascii="Arial" w:hAnsi="Arial" w:cs="Arial"/>
          <w:sz w:val="24"/>
          <w:szCs w:val="24"/>
        </w:rPr>
        <w:t>.</w:t>
      </w:r>
      <w:r w:rsidR="002B2656">
        <w:rPr>
          <w:rStyle w:val="FootnoteReference"/>
          <w:rFonts w:ascii="Arial" w:hAnsi="Arial" w:cs="Arial"/>
          <w:sz w:val="24"/>
          <w:szCs w:val="24"/>
        </w:rPr>
        <w:footnoteReference w:id="14"/>
      </w:r>
      <w:r w:rsidR="004A5C0A" w:rsidRPr="00DC21F9">
        <w:rPr>
          <w:rFonts w:ascii="Arial" w:hAnsi="Arial" w:cs="Arial"/>
          <w:sz w:val="24"/>
          <w:szCs w:val="24"/>
        </w:rPr>
        <w:t xml:space="preserve">  Based on the information the Applicant provided, the credit limit was increased to R29 000,00.</w:t>
      </w:r>
    </w:p>
    <w:p w:rsidR="00210CCB"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A5C0A" w:rsidRPr="00DC21F9">
        <w:rPr>
          <w:rFonts w:ascii="Arial" w:hAnsi="Arial" w:cs="Arial"/>
          <w:sz w:val="24"/>
          <w:szCs w:val="24"/>
        </w:rPr>
        <w:t>Section 80 (1) of t</w:t>
      </w:r>
      <w:r w:rsidR="008F71F7" w:rsidRPr="00DC21F9">
        <w:rPr>
          <w:rFonts w:ascii="Arial" w:hAnsi="Arial" w:cs="Arial"/>
          <w:sz w:val="24"/>
          <w:szCs w:val="24"/>
        </w:rPr>
        <w:t xml:space="preserve">he NCA is clear that an agreement will be reckless if the credit provider failed to conduct an assessment, irrespective of the outcome.  In this instance the Applicant gave his income and expenses and accepted the credit card, to the extent that he went to the bank to activate the credit card. </w:t>
      </w:r>
      <w:r w:rsidR="00006BDA" w:rsidRPr="00DC21F9">
        <w:rPr>
          <w:rFonts w:ascii="Arial" w:hAnsi="Arial" w:cs="Arial"/>
          <w:sz w:val="24"/>
          <w:szCs w:val="24"/>
        </w:rPr>
        <w:t>In my view, the Applicant has failed to prove that the Respondent was reckless in granting the credit facility.</w:t>
      </w:r>
    </w:p>
    <w:p w:rsidR="006E7751" w:rsidRPr="00DC21F9" w:rsidRDefault="00DC21F9" w:rsidP="00DC21F9">
      <w:pPr>
        <w:spacing w:after="240" w:line="360" w:lineRule="auto"/>
        <w:ind w:left="851" w:hanging="851"/>
        <w:jc w:val="both"/>
        <w:rPr>
          <w:rFonts w:ascii="Arial" w:hAnsi="Arial" w:cs="Arial"/>
          <w:sz w:val="24"/>
          <w:szCs w:val="24"/>
        </w:rPr>
      </w:pPr>
      <w:r w:rsidRPr="008F71F7">
        <w:rPr>
          <w:rFonts w:ascii="Arial" w:hAnsi="Arial" w:cs="Arial"/>
          <w:sz w:val="24"/>
          <w:szCs w:val="24"/>
        </w:rPr>
        <w:t>[41]</w:t>
      </w:r>
      <w:r w:rsidRPr="008F71F7">
        <w:rPr>
          <w:rFonts w:ascii="Arial" w:hAnsi="Arial" w:cs="Arial"/>
          <w:sz w:val="24"/>
          <w:szCs w:val="24"/>
        </w:rPr>
        <w:tab/>
      </w:r>
      <w:r w:rsidR="006E7751" w:rsidRPr="00DC21F9">
        <w:rPr>
          <w:rFonts w:ascii="Arial" w:hAnsi="Arial" w:cs="Arial"/>
          <w:sz w:val="24"/>
          <w:szCs w:val="24"/>
        </w:rPr>
        <w:t>With regard to the issue of language, of which the Applicant alleged that he was spoken to in I</w:t>
      </w:r>
      <w:r w:rsidR="0005484B" w:rsidRPr="00DC21F9">
        <w:rPr>
          <w:rFonts w:ascii="Arial" w:hAnsi="Arial" w:cs="Arial"/>
          <w:sz w:val="24"/>
          <w:szCs w:val="24"/>
        </w:rPr>
        <w:t>sizulu,</w:t>
      </w:r>
      <w:r w:rsidR="006E7751" w:rsidRPr="00DC21F9">
        <w:rPr>
          <w:rFonts w:ascii="Arial" w:hAnsi="Arial" w:cs="Arial"/>
          <w:sz w:val="24"/>
          <w:szCs w:val="24"/>
        </w:rPr>
        <w:t xml:space="preserve"> </w:t>
      </w:r>
      <w:r w:rsidR="008D003C" w:rsidRPr="00DC21F9">
        <w:rPr>
          <w:rFonts w:ascii="Arial" w:hAnsi="Arial" w:cs="Arial"/>
          <w:sz w:val="24"/>
          <w:szCs w:val="24"/>
        </w:rPr>
        <w:t>Applicant</w:t>
      </w:r>
      <w:r w:rsidR="006E7751" w:rsidRPr="00DC21F9">
        <w:rPr>
          <w:rFonts w:ascii="Arial" w:hAnsi="Arial" w:cs="Arial"/>
          <w:sz w:val="24"/>
          <w:szCs w:val="24"/>
        </w:rPr>
        <w:t xml:space="preserve"> wa</w:t>
      </w:r>
      <w:r w:rsidR="008D003C" w:rsidRPr="00DC21F9">
        <w:rPr>
          <w:rFonts w:ascii="Arial" w:hAnsi="Arial" w:cs="Arial"/>
          <w:sz w:val="24"/>
          <w:szCs w:val="24"/>
        </w:rPr>
        <w:t>s</w:t>
      </w:r>
      <w:r w:rsidR="006E7751" w:rsidRPr="00DC21F9">
        <w:rPr>
          <w:rFonts w:ascii="Arial" w:hAnsi="Arial" w:cs="Arial"/>
          <w:sz w:val="24"/>
          <w:szCs w:val="24"/>
        </w:rPr>
        <w:t xml:space="preserve"> asked by My E</w:t>
      </w:r>
      <w:r w:rsidR="008D003C" w:rsidRPr="00DC21F9">
        <w:rPr>
          <w:rFonts w:ascii="Arial" w:hAnsi="Arial" w:cs="Arial"/>
          <w:sz w:val="24"/>
          <w:szCs w:val="24"/>
        </w:rPr>
        <w:t xml:space="preserve">vans if he speaks </w:t>
      </w:r>
      <w:r w:rsidR="006E7751" w:rsidRPr="00DC21F9">
        <w:rPr>
          <w:rFonts w:ascii="Arial" w:hAnsi="Arial" w:cs="Arial"/>
          <w:sz w:val="24"/>
          <w:szCs w:val="24"/>
        </w:rPr>
        <w:t xml:space="preserve">Sesotho and </w:t>
      </w:r>
      <w:r w:rsidR="008D003C" w:rsidRPr="00DC21F9">
        <w:rPr>
          <w:rFonts w:ascii="Arial" w:hAnsi="Arial" w:cs="Arial"/>
          <w:sz w:val="24"/>
          <w:szCs w:val="24"/>
        </w:rPr>
        <w:t xml:space="preserve">he </w:t>
      </w:r>
      <w:r w:rsidR="006E7751" w:rsidRPr="00DC21F9">
        <w:rPr>
          <w:rFonts w:ascii="Arial" w:hAnsi="Arial" w:cs="Arial"/>
          <w:sz w:val="24"/>
          <w:szCs w:val="24"/>
        </w:rPr>
        <w:t>affir</w:t>
      </w:r>
      <w:r w:rsidR="008D003C" w:rsidRPr="00DC21F9">
        <w:rPr>
          <w:rFonts w:ascii="Arial" w:hAnsi="Arial" w:cs="Arial"/>
          <w:sz w:val="24"/>
          <w:szCs w:val="24"/>
        </w:rPr>
        <w:t xml:space="preserve">med that </w:t>
      </w:r>
      <w:r w:rsidR="006E7751" w:rsidRPr="00DC21F9">
        <w:rPr>
          <w:rFonts w:ascii="Arial" w:hAnsi="Arial" w:cs="Arial"/>
          <w:sz w:val="24"/>
          <w:szCs w:val="24"/>
        </w:rPr>
        <w:t xml:space="preserve">and the conversation </w:t>
      </w:r>
      <w:r w:rsidR="009A486B" w:rsidRPr="00DC21F9">
        <w:rPr>
          <w:rFonts w:ascii="Arial" w:hAnsi="Arial" w:cs="Arial"/>
          <w:sz w:val="24"/>
          <w:szCs w:val="24"/>
        </w:rPr>
        <w:t xml:space="preserve">proceeded </w:t>
      </w:r>
      <w:r w:rsidR="0005484B" w:rsidRPr="009A486B">
        <w:rPr>
          <w:rStyle w:val="FootnoteReference"/>
          <w:rFonts w:ascii="Arial" w:hAnsi="Arial" w:cs="Arial"/>
          <w:color w:val="000000" w:themeColor="text1"/>
          <w:sz w:val="24"/>
          <w:szCs w:val="24"/>
        </w:rPr>
        <w:footnoteReference w:id="15"/>
      </w:r>
      <w:r w:rsidR="009A486B" w:rsidRPr="00DC21F9">
        <w:rPr>
          <w:rFonts w:ascii="Arial" w:hAnsi="Arial" w:cs="Arial"/>
          <w:color w:val="000000" w:themeColor="text1"/>
          <w:sz w:val="24"/>
          <w:szCs w:val="24"/>
        </w:rPr>
        <w:t>.</w:t>
      </w:r>
      <w:r w:rsidR="006E7751" w:rsidRPr="00DC21F9">
        <w:rPr>
          <w:rFonts w:ascii="Arial" w:hAnsi="Arial" w:cs="Arial"/>
          <w:color w:val="FF0000"/>
          <w:sz w:val="24"/>
          <w:szCs w:val="24"/>
        </w:rPr>
        <w:t xml:space="preserve">  </w:t>
      </w:r>
      <w:r w:rsidR="006E7751" w:rsidRPr="00DC21F9">
        <w:rPr>
          <w:rFonts w:ascii="Arial" w:hAnsi="Arial" w:cs="Arial"/>
          <w:sz w:val="24"/>
          <w:szCs w:val="24"/>
        </w:rPr>
        <w:t>The Applicant was well conversant in court as he was in person.  The issue of t</w:t>
      </w:r>
      <w:r w:rsidR="008D003C" w:rsidRPr="00DC21F9">
        <w:rPr>
          <w:rFonts w:ascii="Arial" w:hAnsi="Arial" w:cs="Arial"/>
          <w:sz w:val="24"/>
          <w:szCs w:val="24"/>
        </w:rPr>
        <w:t>h</w:t>
      </w:r>
      <w:r w:rsidR="006E7751" w:rsidRPr="00DC21F9">
        <w:rPr>
          <w:rFonts w:ascii="Arial" w:hAnsi="Arial" w:cs="Arial"/>
          <w:sz w:val="24"/>
          <w:szCs w:val="24"/>
        </w:rPr>
        <w:t xml:space="preserve">e </w:t>
      </w:r>
      <w:r w:rsidR="008D003C" w:rsidRPr="00DC21F9">
        <w:rPr>
          <w:rFonts w:ascii="Arial" w:hAnsi="Arial" w:cs="Arial"/>
          <w:sz w:val="24"/>
          <w:szCs w:val="24"/>
        </w:rPr>
        <w:t>language</w:t>
      </w:r>
      <w:r w:rsidR="006E7751" w:rsidRPr="00DC21F9">
        <w:rPr>
          <w:rFonts w:ascii="Arial" w:hAnsi="Arial" w:cs="Arial"/>
          <w:sz w:val="24"/>
          <w:szCs w:val="24"/>
        </w:rPr>
        <w:t xml:space="preserve"> being the consequence of the </w:t>
      </w:r>
      <w:r w:rsidR="008D003C" w:rsidRPr="00DC21F9">
        <w:rPr>
          <w:rFonts w:ascii="Arial" w:hAnsi="Arial" w:cs="Arial"/>
          <w:sz w:val="24"/>
          <w:szCs w:val="24"/>
        </w:rPr>
        <w:t>miscommunication</w:t>
      </w:r>
      <w:r w:rsidR="006E7751" w:rsidRPr="00DC21F9">
        <w:rPr>
          <w:rFonts w:ascii="Arial" w:hAnsi="Arial" w:cs="Arial"/>
          <w:sz w:val="24"/>
          <w:szCs w:val="24"/>
        </w:rPr>
        <w:t xml:space="preserve"> can therefore not stand.</w:t>
      </w:r>
    </w:p>
    <w:p w:rsidR="00C81005" w:rsidRDefault="00C81005" w:rsidP="00C81005">
      <w:pPr>
        <w:pStyle w:val="ListParagraph"/>
        <w:spacing w:after="240" w:line="360" w:lineRule="auto"/>
        <w:ind w:left="851"/>
        <w:contextualSpacing w:val="0"/>
        <w:jc w:val="both"/>
        <w:rPr>
          <w:rFonts w:ascii="Arial" w:hAnsi="Arial" w:cs="Arial"/>
          <w:sz w:val="24"/>
          <w:szCs w:val="24"/>
        </w:rPr>
      </w:pPr>
    </w:p>
    <w:p w:rsidR="008250BC" w:rsidRPr="008250BC" w:rsidRDefault="008250BC" w:rsidP="008250BC">
      <w:pPr>
        <w:spacing w:after="240" w:line="360" w:lineRule="auto"/>
        <w:jc w:val="both"/>
        <w:rPr>
          <w:rFonts w:ascii="Arial" w:hAnsi="Arial" w:cs="Arial"/>
          <w:b/>
          <w:sz w:val="24"/>
          <w:szCs w:val="24"/>
        </w:rPr>
      </w:pPr>
      <w:r w:rsidRPr="008250BC">
        <w:rPr>
          <w:rFonts w:ascii="Arial" w:hAnsi="Arial" w:cs="Arial"/>
          <w:b/>
          <w:sz w:val="24"/>
          <w:szCs w:val="24"/>
        </w:rPr>
        <w:t>PRESCRIPTION</w:t>
      </w:r>
    </w:p>
    <w:p w:rsidR="00006BDA"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06BDA" w:rsidRPr="00DC21F9">
        <w:rPr>
          <w:rFonts w:ascii="Arial" w:hAnsi="Arial" w:cs="Arial"/>
          <w:sz w:val="24"/>
          <w:szCs w:val="24"/>
        </w:rPr>
        <w:t>The Respondent raised a p</w:t>
      </w:r>
      <w:r w:rsidR="00C81005" w:rsidRPr="00DC21F9">
        <w:rPr>
          <w:rFonts w:ascii="Arial" w:hAnsi="Arial" w:cs="Arial"/>
          <w:sz w:val="24"/>
          <w:szCs w:val="24"/>
        </w:rPr>
        <w:t>o</w:t>
      </w:r>
      <w:r w:rsidR="00006BDA" w:rsidRPr="00DC21F9">
        <w:rPr>
          <w:rFonts w:ascii="Arial" w:hAnsi="Arial" w:cs="Arial"/>
          <w:sz w:val="24"/>
          <w:szCs w:val="24"/>
        </w:rPr>
        <w:t xml:space="preserve">int </w:t>
      </w:r>
      <w:r w:rsidR="00006BDA" w:rsidRPr="00DC21F9">
        <w:rPr>
          <w:rFonts w:ascii="Arial" w:hAnsi="Arial" w:cs="Arial"/>
          <w:i/>
          <w:sz w:val="24"/>
          <w:szCs w:val="24"/>
        </w:rPr>
        <w:t>in limine</w:t>
      </w:r>
      <w:r w:rsidR="00006BDA" w:rsidRPr="00DC21F9">
        <w:rPr>
          <w:rFonts w:ascii="Arial" w:hAnsi="Arial" w:cs="Arial"/>
          <w:sz w:val="24"/>
          <w:szCs w:val="24"/>
        </w:rPr>
        <w:t xml:space="preserve"> of prescription, which the Applicant denied that the matter has prescribed. The Applicant</w:t>
      </w:r>
      <w:r w:rsidR="00F64416" w:rsidRPr="00DC21F9">
        <w:rPr>
          <w:rFonts w:ascii="Arial" w:hAnsi="Arial" w:cs="Arial"/>
          <w:sz w:val="24"/>
          <w:szCs w:val="24"/>
        </w:rPr>
        <w:t xml:space="preserve"> in the founding affidavit indicate that he was deceived to agree to the contract in that </w:t>
      </w:r>
      <w:r w:rsidR="003B2FD0" w:rsidRPr="00DC21F9">
        <w:rPr>
          <w:rFonts w:ascii="Arial" w:hAnsi="Arial" w:cs="Arial"/>
          <w:sz w:val="24"/>
          <w:szCs w:val="24"/>
        </w:rPr>
        <w:t>the balance protection plan</w:t>
      </w:r>
      <w:r w:rsidR="00F64416" w:rsidRPr="00DC21F9">
        <w:rPr>
          <w:rFonts w:ascii="Arial" w:hAnsi="Arial" w:cs="Arial"/>
          <w:sz w:val="24"/>
          <w:szCs w:val="24"/>
        </w:rPr>
        <w:t xml:space="preserve"> was to cover the debt if he was unable pay. Furthermore, the Applicant contends that he had a complaint with the Banking </w:t>
      </w:r>
      <w:r w:rsidR="00262DB0" w:rsidRPr="00DC21F9">
        <w:rPr>
          <w:rFonts w:ascii="Arial" w:hAnsi="Arial" w:cs="Arial"/>
          <w:sz w:val="24"/>
          <w:szCs w:val="24"/>
        </w:rPr>
        <w:t>Ombudsman.</w:t>
      </w:r>
      <w:r w:rsidR="003B2FD0">
        <w:rPr>
          <w:rStyle w:val="FootnoteReference"/>
          <w:rFonts w:ascii="Arial" w:hAnsi="Arial" w:cs="Arial"/>
          <w:sz w:val="24"/>
          <w:szCs w:val="24"/>
        </w:rPr>
        <w:footnoteReference w:id="16"/>
      </w:r>
    </w:p>
    <w:p w:rsidR="00F64416"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64416" w:rsidRPr="00DC21F9">
        <w:rPr>
          <w:rFonts w:ascii="Arial" w:hAnsi="Arial" w:cs="Arial"/>
          <w:sz w:val="24"/>
          <w:szCs w:val="24"/>
        </w:rPr>
        <w:t>The Respondent in the answering affidavit states that the Applicant failed to bring a claim arising from the alleged misrepresentation of the credit insurance policy</w:t>
      </w:r>
      <w:r w:rsidR="00262DB0" w:rsidRPr="00DC21F9">
        <w:rPr>
          <w:rFonts w:ascii="Arial" w:hAnsi="Arial" w:cs="Arial"/>
          <w:sz w:val="24"/>
          <w:szCs w:val="24"/>
        </w:rPr>
        <w:t>/balance protection plan</w:t>
      </w:r>
      <w:r w:rsidR="00F64416" w:rsidRPr="00DC21F9">
        <w:rPr>
          <w:rFonts w:ascii="Arial" w:hAnsi="Arial" w:cs="Arial"/>
          <w:sz w:val="24"/>
          <w:szCs w:val="24"/>
        </w:rPr>
        <w:t xml:space="preserve"> on 17 November 2016 as the Applicant instituted the application only on 25 February 2022 and thus the Applicant’s claim has expired.</w:t>
      </w:r>
    </w:p>
    <w:p w:rsidR="00F64416"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F64416" w:rsidRPr="00DC21F9">
        <w:rPr>
          <w:rFonts w:ascii="Arial" w:hAnsi="Arial" w:cs="Arial"/>
          <w:sz w:val="24"/>
          <w:szCs w:val="24"/>
        </w:rPr>
        <w:t xml:space="preserve">The provisions of section 12 of the </w:t>
      </w:r>
      <w:r w:rsidR="001E23F6" w:rsidRPr="00DC21F9">
        <w:rPr>
          <w:rFonts w:ascii="Arial" w:hAnsi="Arial" w:cs="Arial"/>
          <w:b/>
          <w:sz w:val="24"/>
          <w:szCs w:val="24"/>
        </w:rPr>
        <w:t>Prescription Act</w:t>
      </w:r>
      <w:r w:rsidR="00F64416" w:rsidRPr="00DC21F9">
        <w:rPr>
          <w:rFonts w:ascii="Arial" w:hAnsi="Arial" w:cs="Arial"/>
          <w:sz w:val="24"/>
          <w:szCs w:val="24"/>
        </w:rPr>
        <w:t xml:space="preserve"> </w:t>
      </w:r>
      <w:r w:rsidR="00D3368E" w:rsidRPr="00DC21F9">
        <w:rPr>
          <w:rFonts w:ascii="Arial" w:hAnsi="Arial" w:cs="Arial"/>
          <w:sz w:val="24"/>
          <w:szCs w:val="24"/>
        </w:rPr>
        <w:t>,</w:t>
      </w:r>
      <w:r w:rsidR="001E23F6">
        <w:rPr>
          <w:rStyle w:val="FootnoteReference"/>
          <w:rFonts w:ascii="Arial" w:hAnsi="Arial" w:cs="Arial"/>
          <w:sz w:val="24"/>
          <w:szCs w:val="24"/>
        </w:rPr>
        <w:footnoteReference w:id="17"/>
      </w:r>
      <w:r w:rsidR="00D3368E" w:rsidRPr="00DC21F9">
        <w:rPr>
          <w:rFonts w:ascii="Arial" w:hAnsi="Arial" w:cs="Arial"/>
          <w:sz w:val="24"/>
          <w:szCs w:val="24"/>
        </w:rPr>
        <w:t xml:space="preserve"> </w:t>
      </w:r>
      <w:r w:rsidR="001E23F6" w:rsidRPr="00DC21F9">
        <w:rPr>
          <w:rFonts w:ascii="Arial" w:hAnsi="Arial" w:cs="Arial"/>
          <w:sz w:val="24"/>
          <w:szCs w:val="24"/>
        </w:rPr>
        <w:t xml:space="preserve"> </w:t>
      </w:r>
      <w:r w:rsidR="00F64416" w:rsidRPr="00DC21F9">
        <w:rPr>
          <w:rFonts w:ascii="Arial" w:hAnsi="Arial" w:cs="Arial"/>
          <w:sz w:val="24"/>
          <w:szCs w:val="24"/>
        </w:rPr>
        <w:t>provides as follows:</w:t>
      </w:r>
    </w:p>
    <w:p w:rsidR="00F64416" w:rsidRPr="004232B5" w:rsidRDefault="00F64416" w:rsidP="008250BC">
      <w:pPr>
        <w:pStyle w:val="ListParagraph"/>
        <w:spacing w:after="240" w:line="360" w:lineRule="auto"/>
        <w:ind w:left="1843" w:hanging="403"/>
        <w:contextualSpacing w:val="0"/>
        <w:jc w:val="both"/>
        <w:rPr>
          <w:rFonts w:ascii="Arial" w:hAnsi="Arial" w:cs="Arial"/>
          <w:i/>
        </w:rPr>
      </w:pPr>
      <w:r w:rsidRPr="004232B5">
        <w:rPr>
          <w:rFonts w:ascii="Arial" w:hAnsi="Arial" w:cs="Arial"/>
          <w:i/>
        </w:rPr>
        <w:t xml:space="preserve">(1) </w:t>
      </w:r>
      <w:r w:rsidR="008250BC" w:rsidRPr="004232B5">
        <w:rPr>
          <w:rFonts w:ascii="Arial" w:hAnsi="Arial" w:cs="Arial"/>
          <w:i/>
        </w:rPr>
        <w:tab/>
      </w:r>
      <w:r w:rsidRPr="004232B5">
        <w:rPr>
          <w:rFonts w:ascii="Arial" w:hAnsi="Arial" w:cs="Arial"/>
          <w:i/>
        </w:rPr>
        <w:t>Subject to the provisions of subsection</w:t>
      </w:r>
      <w:r w:rsidR="007E6672" w:rsidRPr="004232B5">
        <w:rPr>
          <w:rFonts w:ascii="Arial" w:hAnsi="Arial" w:cs="Arial"/>
          <w:i/>
        </w:rPr>
        <w:t>s</w:t>
      </w:r>
      <w:r w:rsidRPr="004232B5">
        <w:rPr>
          <w:rFonts w:ascii="Arial" w:hAnsi="Arial" w:cs="Arial"/>
          <w:i/>
        </w:rPr>
        <w:t xml:space="preserve"> </w:t>
      </w:r>
      <w:r w:rsidR="007E6672" w:rsidRPr="004232B5">
        <w:rPr>
          <w:rFonts w:ascii="Arial" w:hAnsi="Arial" w:cs="Arial"/>
          <w:i/>
        </w:rPr>
        <w:t>(</w:t>
      </w:r>
      <w:r w:rsidRPr="004232B5">
        <w:rPr>
          <w:rFonts w:ascii="Arial" w:hAnsi="Arial" w:cs="Arial"/>
          <w:i/>
        </w:rPr>
        <w:t>2</w:t>
      </w:r>
      <w:r w:rsidR="007E6672" w:rsidRPr="004232B5">
        <w:rPr>
          <w:rFonts w:ascii="Arial" w:hAnsi="Arial" w:cs="Arial"/>
          <w:i/>
        </w:rPr>
        <w:t>)</w:t>
      </w:r>
      <w:r w:rsidRPr="004232B5">
        <w:rPr>
          <w:rFonts w:ascii="Arial" w:hAnsi="Arial" w:cs="Arial"/>
          <w:i/>
        </w:rPr>
        <w:t xml:space="preserve">, </w:t>
      </w:r>
      <w:r w:rsidR="007E6672" w:rsidRPr="004232B5">
        <w:rPr>
          <w:rFonts w:ascii="Arial" w:hAnsi="Arial" w:cs="Arial"/>
          <w:i/>
        </w:rPr>
        <w:t>(</w:t>
      </w:r>
      <w:r w:rsidRPr="004232B5">
        <w:rPr>
          <w:rFonts w:ascii="Arial" w:hAnsi="Arial" w:cs="Arial"/>
          <w:i/>
        </w:rPr>
        <w:t>3</w:t>
      </w:r>
      <w:r w:rsidR="007E6672" w:rsidRPr="004232B5">
        <w:rPr>
          <w:rFonts w:ascii="Arial" w:hAnsi="Arial" w:cs="Arial"/>
          <w:i/>
        </w:rPr>
        <w:t>)</w:t>
      </w:r>
      <w:r w:rsidRPr="004232B5">
        <w:rPr>
          <w:rFonts w:ascii="Arial" w:hAnsi="Arial" w:cs="Arial"/>
          <w:i/>
        </w:rPr>
        <w:t xml:space="preserve"> and </w:t>
      </w:r>
      <w:r w:rsidR="007E6672" w:rsidRPr="004232B5">
        <w:rPr>
          <w:rFonts w:ascii="Arial" w:hAnsi="Arial" w:cs="Arial"/>
          <w:i/>
        </w:rPr>
        <w:t>(</w:t>
      </w:r>
      <w:r w:rsidRPr="004232B5">
        <w:rPr>
          <w:rFonts w:ascii="Arial" w:hAnsi="Arial" w:cs="Arial"/>
          <w:i/>
        </w:rPr>
        <w:t>4</w:t>
      </w:r>
      <w:r w:rsidR="007E6672" w:rsidRPr="004232B5">
        <w:rPr>
          <w:rFonts w:ascii="Arial" w:hAnsi="Arial" w:cs="Arial"/>
          <w:i/>
        </w:rPr>
        <w:t>)</w:t>
      </w:r>
      <w:r w:rsidRPr="004232B5">
        <w:rPr>
          <w:rFonts w:ascii="Arial" w:hAnsi="Arial" w:cs="Arial"/>
          <w:i/>
        </w:rPr>
        <w:t>, prescription shall commence to run as soon as the d</w:t>
      </w:r>
      <w:r w:rsidR="007E6672" w:rsidRPr="004232B5">
        <w:rPr>
          <w:rFonts w:ascii="Arial" w:hAnsi="Arial" w:cs="Arial"/>
          <w:i/>
        </w:rPr>
        <w:t>ebt is due.</w:t>
      </w:r>
    </w:p>
    <w:p w:rsidR="00F64416" w:rsidRPr="004232B5" w:rsidRDefault="00F64416" w:rsidP="008250BC">
      <w:pPr>
        <w:pStyle w:val="ListParagraph"/>
        <w:spacing w:after="240" w:line="360" w:lineRule="auto"/>
        <w:ind w:left="1843" w:hanging="403"/>
        <w:contextualSpacing w:val="0"/>
        <w:jc w:val="both"/>
        <w:rPr>
          <w:rFonts w:ascii="Arial" w:hAnsi="Arial" w:cs="Arial"/>
          <w:i/>
        </w:rPr>
      </w:pPr>
      <w:r w:rsidRPr="004232B5">
        <w:rPr>
          <w:rFonts w:ascii="Arial" w:hAnsi="Arial" w:cs="Arial"/>
          <w:i/>
        </w:rPr>
        <w:t xml:space="preserve">(2) </w:t>
      </w:r>
      <w:r w:rsidR="008250BC" w:rsidRPr="004232B5">
        <w:rPr>
          <w:rFonts w:ascii="Arial" w:hAnsi="Arial" w:cs="Arial"/>
          <w:i/>
        </w:rPr>
        <w:tab/>
      </w:r>
      <w:r w:rsidRPr="004232B5">
        <w:rPr>
          <w:rFonts w:ascii="Arial" w:hAnsi="Arial" w:cs="Arial"/>
          <w:i/>
        </w:rPr>
        <w:t>If the debtor wilfully prevents the creditor from coming to know of the existence of the debt, prescription shall not commence to run until the creditor becomes awa</w:t>
      </w:r>
      <w:r w:rsidR="007E6672" w:rsidRPr="004232B5">
        <w:rPr>
          <w:rFonts w:ascii="Arial" w:hAnsi="Arial" w:cs="Arial"/>
          <w:i/>
        </w:rPr>
        <w:t>re of the existence of the debt.</w:t>
      </w:r>
    </w:p>
    <w:p w:rsidR="00F64416" w:rsidRPr="004232B5" w:rsidRDefault="00F64416" w:rsidP="008250BC">
      <w:pPr>
        <w:pStyle w:val="ListParagraph"/>
        <w:spacing w:after="240" w:line="360" w:lineRule="auto"/>
        <w:ind w:left="1843" w:hanging="403"/>
        <w:contextualSpacing w:val="0"/>
        <w:jc w:val="both"/>
        <w:rPr>
          <w:rFonts w:ascii="Arial" w:hAnsi="Arial" w:cs="Arial"/>
          <w:i/>
        </w:rPr>
      </w:pPr>
      <w:r w:rsidRPr="004232B5">
        <w:rPr>
          <w:rFonts w:ascii="Arial" w:hAnsi="Arial" w:cs="Arial"/>
          <w:i/>
        </w:rPr>
        <w:t xml:space="preserve">(3) </w:t>
      </w:r>
      <w:r w:rsidR="008250BC" w:rsidRPr="004232B5">
        <w:rPr>
          <w:rFonts w:ascii="Arial" w:hAnsi="Arial" w:cs="Arial"/>
          <w:i/>
        </w:rPr>
        <w:tab/>
      </w:r>
      <w:r w:rsidRPr="004232B5">
        <w:rPr>
          <w:rFonts w:ascii="Arial" w:hAnsi="Arial" w:cs="Arial"/>
          <w:i/>
        </w:rPr>
        <w:t>A debt shall not be deemed to be due until the creditor has knowledge of the identity of the debtor and of the f</w:t>
      </w:r>
      <w:r w:rsidR="001E23F6" w:rsidRPr="004232B5">
        <w:rPr>
          <w:rFonts w:ascii="Arial" w:hAnsi="Arial" w:cs="Arial"/>
          <w:i/>
        </w:rPr>
        <w:t>acts from which the debt arises: P</w:t>
      </w:r>
      <w:r w:rsidRPr="004232B5">
        <w:rPr>
          <w:rFonts w:ascii="Arial" w:hAnsi="Arial" w:cs="Arial"/>
          <w:i/>
        </w:rPr>
        <w:t>rovided that a creditor shall be deemed to have such knowledge if he could have acquired it by exercising reasonable care.</w:t>
      </w:r>
    </w:p>
    <w:p w:rsidR="00F64416"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64416" w:rsidRPr="00DC21F9">
        <w:rPr>
          <w:rFonts w:ascii="Arial" w:hAnsi="Arial" w:cs="Arial"/>
          <w:sz w:val="24"/>
          <w:szCs w:val="24"/>
        </w:rPr>
        <w:t>The ordinary period of prescription of a debt such as the Applicant’s is three years from the date on whic</w:t>
      </w:r>
      <w:r w:rsidR="006C3343" w:rsidRPr="00DC21F9">
        <w:rPr>
          <w:rFonts w:ascii="Arial" w:hAnsi="Arial" w:cs="Arial"/>
          <w:sz w:val="24"/>
          <w:szCs w:val="24"/>
        </w:rPr>
        <w:t>h the debt became due.</w:t>
      </w:r>
      <w:r w:rsidR="006C3343">
        <w:rPr>
          <w:rStyle w:val="FootnoteReference"/>
          <w:rFonts w:ascii="Arial" w:hAnsi="Arial" w:cs="Arial"/>
          <w:sz w:val="24"/>
          <w:szCs w:val="24"/>
        </w:rPr>
        <w:footnoteReference w:id="18"/>
      </w:r>
    </w:p>
    <w:p w:rsidR="00544182"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44182" w:rsidRPr="00DC21F9">
        <w:rPr>
          <w:rFonts w:ascii="Arial" w:hAnsi="Arial" w:cs="Arial"/>
          <w:sz w:val="24"/>
          <w:szCs w:val="24"/>
        </w:rPr>
        <w:t>The Applicant does not disclose as to what transpired between November 2016 and August 2019. The Applicant only mentioned that the claim for the insurance</w:t>
      </w:r>
      <w:r w:rsidR="004232B5" w:rsidRPr="00DC21F9">
        <w:rPr>
          <w:rFonts w:ascii="Arial" w:hAnsi="Arial" w:cs="Arial"/>
          <w:sz w:val="24"/>
          <w:szCs w:val="24"/>
        </w:rPr>
        <w:t>/balance protection plan</w:t>
      </w:r>
      <w:r w:rsidR="00544182" w:rsidRPr="00DC21F9">
        <w:rPr>
          <w:rFonts w:ascii="Arial" w:hAnsi="Arial" w:cs="Arial"/>
          <w:sz w:val="24"/>
          <w:szCs w:val="24"/>
        </w:rPr>
        <w:t xml:space="preserve"> was denied by the bank manager and that he received the Ombudsman decision on 26 </w:t>
      </w:r>
      <w:r w:rsidR="004232B5" w:rsidRPr="00DC21F9">
        <w:rPr>
          <w:rFonts w:ascii="Arial" w:hAnsi="Arial" w:cs="Arial"/>
          <w:sz w:val="24"/>
          <w:szCs w:val="24"/>
        </w:rPr>
        <w:t>August 2019</w:t>
      </w:r>
      <w:r w:rsidR="00544182" w:rsidRPr="00DC21F9">
        <w:rPr>
          <w:rFonts w:ascii="Arial" w:hAnsi="Arial" w:cs="Arial"/>
          <w:sz w:val="24"/>
          <w:szCs w:val="24"/>
        </w:rPr>
        <w:t>.</w:t>
      </w:r>
      <w:r w:rsidR="004232B5">
        <w:rPr>
          <w:rStyle w:val="FootnoteReference"/>
          <w:rFonts w:ascii="Arial" w:hAnsi="Arial" w:cs="Arial"/>
          <w:sz w:val="24"/>
          <w:szCs w:val="24"/>
        </w:rPr>
        <w:footnoteReference w:id="19"/>
      </w:r>
      <w:r w:rsidR="00D3368E" w:rsidRPr="00DC21F9">
        <w:rPr>
          <w:rFonts w:ascii="Arial" w:hAnsi="Arial" w:cs="Arial"/>
          <w:sz w:val="24"/>
          <w:szCs w:val="24"/>
        </w:rPr>
        <w:t xml:space="preserve"> </w:t>
      </w:r>
      <w:r w:rsidR="00544182" w:rsidRPr="00DC21F9">
        <w:rPr>
          <w:rFonts w:ascii="Arial" w:hAnsi="Arial" w:cs="Arial"/>
          <w:sz w:val="24"/>
          <w:szCs w:val="24"/>
        </w:rPr>
        <w:t xml:space="preserve"> The Applicant further denied that the claim has prescribed as according to the Applicant he was deceived by the Respondent that the credit facility is</w:t>
      </w:r>
      <w:r w:rsidR="00EE6C19" w:rsidRPr="00DC21F9">
        <w:rPr>
          <w:rFonts w:ascii="Arial" w:hAnsi="Arial" w:cs="Arial"/>
          <w:sz w:val="24"/>
          <w:szCs w:val="24"/>
        </w:rPr>
        <w:t xml:space="preserve"> covered by the balance protection plan</w:t>
      </w:r>
      <w:r w:rsidR="00544182" w:rsidRPr="00DC21F9">
        <w:rPr>
          <w:rFonts w:ascii="Arial" w:hAnsi="Arial" w:cs="Arial"/>
          <w:sz w:val="24"/>
          <w:szCs w:val="24"/>
        </w:rPr>
        <w:t>.</w:t>
      </w:r>
    </w:p>
    <w:p w:rsidR="00544182" w:rsidRPr="00DC21F9" w:rsidRDefault="00DC21F9" w:rsidP="00DC21F9">
      <w:pPr>
        <w:spacing w:after="240" w:line="360" w:lineRule="auto"/>
        <w:ind w:left="851" w:hanging="851"/>
        <w:jc w:val="both"/>
        <w:rPr>
          <w:rFonts w:ascii="Arial" w:hAnsi="Arial" w:cs="Arial"/>
          <w:i/>
          <w:sz w:val="24"/>
          <w:szCs w:val="24"/>
        </w:rPr>
      </w:pPr>
      <w:r w:rsidRPr="00553BB0">
        <w:rPr>
          <w:rFonts w:ascii="Arial" w:hAnsi="Arial" w:cs="Arial"/>
          <w:sz w:val="24"/>
          <w:szCs w:val="24"/>
        </w:rPr>
        <w:t>[47]</w:t>
      </w:r>
      <w:r w:rsidRPr="00553BB0">
        <w:rPr>
          <w:rFonts w:ascii="Arial" w:hAnsi="Arial" w:cs="Arial"/>
          <w:sz w:val="24"/>
          <w:szCs w:val="24"/>
        </w:rPr>
        <w:tab/>
      </w:r>
      <w:r w:rsidR="00544182" w:rsidRPr="00DC21F9">
        <w:rPr>
          <w:rFonts w:ascii="Arial" w:hAnsi="Arial" w:cs="Arial"/>
          <w:sz w:val="24"/>
          <w:szCs w:val="24"/>
        </w:rPr>
        <w:t xml:space="preserve">When prescription is raised, there is two </w:t>
      </w:r>
      <w:r w:rsidR="008F7A0F" w:rsidRPr="00DC21F9">
        <w:rPr>
          <w:rFonts w:ascii="Arial" w:hAnsi="Arial" w:cs="Arial"/>
          <w:sz w:val="24"/>
          <w:szCs w:val="24"/>
        </w:rPr>
        <w:t>enquiries</w:t>
      </w:r>
      <w:r w:rsidR="00FC7E0F" w:rsidRPr="00DC21F9">
        <w:rPr>
          <w:rFonts w:ascii="Arial" w:hAnsi="Arial" w:cs="Arial"/>
          <w:sz w:val="24"/>
          <w:szCs w:val="24"/>
        </w:rPr>
        <w:t xml:space="preserve"> that take</w:t>
      </w:r>
      <w:r w:rsidR="007B4936" w:rsidRPr="00DC21F9">
        <w:rPr>
          <w:rFonts w:ascii="Arial" w:hAnsi="Arial" w:cs="Arial"/>
          <w:sz w:val="24"/>
          <w:szCs w:val="24"/>
        </w:rPr>
        <w:t xml:space="preserve"> place</w:t>
      </w:r>
      <w:r w:rsidR="00AA5168" w:rsidRPr="00DC21F9">
        <w:rPr>
          <w:rFonts w:ascii="Arial" w:hAnsi="Arial" w:cs="Arial"/>
          <w:sz w:val="24"/>
          <w:szCs w:val="24"/>
        </w:rPr>
        <w:t>,</w:t>
      </w:r>
      <w:r w:rsidR="007B4936" w:rsidRPr="00553BB0">
        <w:rPr>
          <w:rStyle w:val="FootnoteReference"/>
          <w:rFonts w:ascii="Arial" w:hAnsi="Arial" w:cs="Arial"/>
          <w:sz w:val="24"/>
          <w:szCs w:val="24"/>
        </w:rPr>
        <w:footnoteReference w:id="20"/>
      </w:r>
      <w:r w:rsidR="00AA5168" w:rsidRPr="00DC21F9">
        <w:rPr>
          <w:rFonts w:ascii="Arial" w:hAnsi="Arial" w:cs="Arial"/>
          <w:sz w:val="24"/>
          <w:szCs w:val="24"/>
        </w:rPr>
        <w:t xml:space="preserve"> </w:t>
      </w:r>
      <w:r w:rsidR="007B4936" w:rsidRPr="00DC21F9">
        <w:rPr>
          <w:rFonts w:ascii="Arial" w:hAnsi="Arial" w:cs="Arial"/>
          <w:sz w:val="24"/>
          <w:szCs w:val="24"/>
        </w:rPr>
        <w:t xml:space="preserve"> as set out in </w:t>
      </w:r>
      <w:r w:rsidR="007B4936" w:rsidRPr="00DC21F9">
        <w:rPr>
          <w:rFonts w:ascii="Arial" w:hAnsi="Arial" w:cs="Arial"/>
          <w:b/>
          <w:sz w:val="24"/>
          <w:szCs w:val="24"/>
        </w:rPr>
        <w:t>MEC for Health, Western Cape v M C</w:t>
      </w:r>
      <w:r w:rsidR="00AA5168" w:rsidRPr="00DC21F9">
        <w:rPr>
          <w:rFonts w:ascii="Arial" w:hAnsi="Arial" w:cs="Arial"/>
          <w:b/>
          <w:sz w:val="24"/>
          <w:szCs w:val="24"/>
        </w:rPr>
        <w:t>,</w:t>
      </w:r>
      <w:r w:rsidR="007B4936" w:rsidRPr="00553BB0">
        <w:rPr>
          <w:rStyle w:val="FootnoteReference"/>
        </w:rPr>
        <w:t xml:space="preserve"> </w:t>
      </w:r>
      <w:r w:rsidR="007B4936">
        <w:rPr>
          <w:rStyle w:val="FootnoteReference"/>
          <w:rFonts w:ascii="Arial" w:hAnsi="Arial" w:cs="Arial"/>
          <w:sz w:val="24"/>
          <w:szCs w:val="24"/>
        </w:rPr>
        <w:footnoteReference w:id="21"/>
      </w:r>
      <w:r w:rsidR="00AA5168">
        <w:rPr>
          <w:rStyle w:val="FootnoteReference"/>
        </w:rPr>
        <w:t xml:space="preserve">  </w:t>
      </w:r>
      <w:r w:rsidR="007B4936" w:rsidRPr="00DC21F9">
        <w:rPr>
          <w:rFonts w:ascii="Arial" w:hAnsi="Arial" w:cs="Arial"/>
          <w:sz w:val="24"/>
          <w:szCs w:val="24"/>
        </w:rPr>
        <w:t xml:space="preserve"> </w:t>
      </w:r>
      <w:r w:rsidR="00553BB0" w:rsidRPr="00DC21F9">
        <w:rPr>
          <w:rFonts w:ascii="Arial" w:hAnsi="Arial" w:cs="Arial"/>
          <w:sz w:val="24"/>
          <w:szCs w:val="24"/>
        </w:rPr>
        <w:t>“</w:t>
      </w:r>
      <w:r w:rsidR="00CC11A0" w:rsidRPr="00DC21F9">
        <w:rPr>
          <w:rFonts w:ascii="Arial" w:hAnsi="Arial" w:cs="Arial"/>
          <w:i/>
          <w:sz w:val="24"/>
          <w:szCs w:val="24"/>
        </w:rPr>
        <w:t>the determination of the primary facts on the one hand</w:t>
      </w:r>
      <w:r w:rsidR="007B4936" w:rsidRPr="00DC21F9">
        <w:rPr>
          <w:rFonts w:ascii="Arial" w:hAnsi="Arial" w:cs="Arial"/>
          <w:i/>
          <w:sz w:val="24"/>
          <w:szCs w:val="24"/>
        </w:rPr>
        <w:t>,</w:t>
      </w:r>
      <w:r w:rsidR="00CC11A0" w:rsidRPr="00DC21F9">
        <w:rPr>
          <w:rFonts w:ascii="Arial" w:hAnsi="Arial" w:cs="Arial"/>
          <w:i/>
          <w:sz w:val="24"/>
          <w:szCs w:val="24"/>
        </w:rPr>
        <w:t xml:space="preserve"> and on the other hand</w:t>
      </w:r>
      <w:r w:rsidR="007B4936" w:rsidRPr="00DC21F9">
        <w:rPr>
          <w:rFonts w:ascii="Arial" w:hAnsi="Arial" w:cs="Arial"/>
          <w:i/>
          <w:sz w:val="24"/>
          <w:szCs w:val="24"/>
        </w:rPr>
        <w:t>,</w:t>
      </w:r>
      <w:r w:rsidR="00CC11A0" w:rsidRPr="00DC21F9">
        <w:rPr>
          <w:rFonts w:ascii="Arial" w:hAnsi="Arial" w:cs="Arial"/>
          <w:i/>
          <w:sz w:val="24"/>
          <w:szCs w:val="24"/>
        </w:rPr>
        <w:t xml:space="preserve"> the knowledge or deemed knowledge thereof. This means that once the facts from which the debt arose (the primary facts) have been determined, the enquiry turns to the creditor’s knowledge of the primary facts.</w:t>
      </w:r>
      <w:r w:rsidR="00553BB0" w:rsidRPr="00DC21F9">
        <w:rPr>
          <w:rFonts w:ascii="Arial" w:hAnsi="Arial" w:cs="Arial"/>
          <w:i/>
          <w:sz w:val="24"/>
          <w:szCs w:val="24"/>
        </w:rPr>
        <w:t>”</w:t>
      </w:r>
      <w:r w:rsidR="007B4936" w:rsidRPr="00DC21F9">
        <w:rPr>
          <w:rFonts w:ascii="Arial" w:hAnsi="Arial" w:cs="Arial"/>
          <w:i/>
          <w:sz w:val="24"/>
          <w:szCs w:val="24"/>
        </w:rPr>
        <w:t xml:space="preserve"> </w:t>
      </w:r>
    </w:p>
    <w:p w:rsidR="00CC11A0"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C11A0" w:rsidRPr="00DC21F9">
        <w:rPr>
          <w:rFonts w:ascii="Arial" w:hAnsi="Arial" w:cs="Arial"/>
          <w:sz w:val="24"/>
          <w:szCs w:val="24"/>
        </w:rPr>
        <w:t xml:space="preserve">The Applicant’s contention is based on a defence of </w:t>
      </w:r>
      <w:r w:rsidR="00553BB0" w:rsidRPr="00DC21F9">
        <w:rPr>
          <w:rFonts w:ascii="Arial" w:hAnsi="Arial" w:cs="Arial"/>
          <w:sz w:val="24"/>
          <w:szCs w:val="24"/>
        </w:rPr>
        <w:t xml:space="preserve">perceived </w:t>
      </w:r>
      <w:r w:rsidR="00CC11A0" w:rsidRPr="00DC21F9">
        <w:rPr>
          <w:rFonts w:ascii="Arial" w:hAnsi="Arial" w:cs="Arial"/>
          <w:sz w:val="24"/>
          <w:szCs w:val="24"/>
        </w:rPr>
        <w:t>distorted facts by the Respondent. Section 72 of the Prescription Act does not deal with distorted fact or being deceived. It is clear that a prescribed debt starts to run when the debtor prevents the creditor from gaining knowledge of the existence of the debt and the creditor has knowledge of the identity of the debtor and of the facts from which the debt arises.</w:t>
      </w:r>
      <w:r w:rsidR="00553BB0">
        <w:rPr>
          <w:rStyle w:val="FootnoteReference"/>
          <w:rFonts w:ascii="Arial" w:hAnsi="Arial" w:cs="Arial"/>
          <w:sz w:val="24"/>
          <w:szCs w:val="24"/>
        </w:rPr>
        <w:footnoteReference w:id="22"/>
      </w:r>
    </w:p>
    <w:p w:rsidR="00CC11A0"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C11A0" w:rsidRPr="00DC21F9">
        <w:rPr>
          <w:rFonts w:ascii="Arial" w:hAnsi="Arial" w:cs="Arial"/>
          <w:sz w:val="24"/>
          <w:szCs w:val="24"/>
        </w:rPr>
        <w:t>The Respondent denied the Applicant’s claim</w:t>
      </w:r>
      <w:r w:rsidR="00AA5168" w:rsidRPr="00DC21F9">
        <w:rPr>
          <w:rFonts w:ascii="Arial" w:hAnsi="Arial" w:cs="Arial"/>
          <w:sz w:val="24"/>
          <w:szCs w:val="24"/>
        </w:rPr>
        <w:t xml:space="preserve"> prescription arose on </w:t>
      </w:r>
      <w:r w:rsidR="00CC11A0" w:rsidRPr="00DC21F9">
        <w:rPr>
          <w:rFonts w:ascii="Arial" w:hAnsi="Arial" w:cs="Arial"/>
          <w:sz w:val="24"/>
          <w:szCs w:val="24"/>
        </w:rPr>
        <w:t>November 2016. The Applicant received the Ombudsman’s decision in August 2019. The A</w:t>
      </w:r>
      <w:r w:rsidR="00FF6E93" w:rsidRPr="00DC21F9">
        <w:rPr>
          <w:rFonts w:ascii="Arial" w:hAnsi="Arial" w:cs="Arial"/>
          <w:sz w:val="24"/>
          <w:szCs w:val="24"/>
        </w:rPr>
        <w:t>pplicant has not placed before C</w:t>
      </w:r>
      <w:r w:rsidR="00CC11A0" w:rsidRPr="00DC21F9">
        <w:rPr>
          <w:rFonts w:ascii="Arial" w:hAnsi="Arial" w:cs="Arial"/>
          <w:sz w:val="24"/>
          <w:szCs w:val="24"/>
        </w:rPr>
        <w:t xml:space="preserve">ourt the fact as to what reasonable exercise he took to prevent or avoided prescription of his claim. The Applicant was already informed on November 2016 that the claim was not </w:t>
      </w:r>
      <w:r w:rsidR="00A06B6E" w:rsidRPr="00DC21F9">
        <w:rPr>
          <w:rFonts w:ascii="Arial" w:hAnsi="Arial" w:cs="Arial"/>
          <w:sz w:val="24"/>
          <w:szCs w:val="24"/>
        </w:rPr>
        <w:t>covered by the balance protection plan</w:t>
      </w:r>
      <w:r w:rsidR="0015753F" w:rsidRPr="00DC21F9">
        <w:rPr>
          <w:rFonts w:ascii="Arial" w:hAnsi="Arial" w:cs="Arial"/>
          <w:sz w:val="24"/>
          <w:szCs w:val="24"/>
        </w:rPr>
        <w:t xml:space="preserve"> and he chose to ignore the said information that relates to the claim against the Respondent.</w:t>
      </w:r>
    </w:p>
    <w:p w:rsidR="001575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5753F" w:rsidRPr="00DC21F9">
        <w:rPr>
          <w:rFonts w:ascii="Arial" w:hAnsi="Arial" w:cs="Arial"/>
          <w:sz w:val="24"/>
          <w:szCs w:val="24"/>
        </w:rPr>
        <w:t>In my view, the Applicant ha</w:t>
      </w:r>
      <w:r w:rsidR="00AA5168" w:rsidRPr="00DC21F9">
        <w:rPr>
          <w:rFonts w:ascii="Arial" w:hAnsi="Arial" w:cs="Arial"/>
          <w:sz w:val="24"/>
          <w:szCs w:val="24"/>
        </w:rPr>
        <w:t>d</w:t>
      </w:r>
      <w:r w:rsidR="0015753F" w:rsidRPr="00DC21F9">
        <w:rPr>
          <w:rFonts w:ascii="Arial" w:hAnsi="Arial" w:cs="Arial"/>
          <w:sz w:val="24"/>
          <w:szCs w:val="24"/>
        </w:rPr>
        <w:t xml:space="preserve"> all the facts regarding the claim. The Applicant had knowledge of the identity of the </w:t>
      </w:r>
      <w:r w:rsidR="00AA5168" w:rsidRPr="00DC21F9">
        <w:rPr>
          <w:rFonts w:ascii="Arial" w:hAnsi="Arial" w:cs="Arial"/>
          <w:sz w:val="24"/>
          <w:szCs w:val="24"/>
        </w:rPr>
        <w:t>debtor</w:t>
      </w:r>
      <w:r w:rsidR="0015753F" w:rsidRPr="00DC21F9">
        <w:rPr>
          <w:rFonts w:ascii="Arial" w:hAnsi="Arial" w:cs="Arial"/>
          <w:sz w:val="24"/>
          <w:szCs w:val="24"/>
        </w:rPr>
        <w:t xml:space="preserve">. The Applicant further had the knowledge of the debt. The Applicant may have acted in person throughout </w:t>
      </w:r>
      <w:r w:rsidR="00F83A8C" w:rsidRPr="00DC21F9">
        <w:rPr>
          <w:rFonts w:ascii="Arial" w:hAnsi="Arial" w:cs="Arial"/>
          <w:sz w:val="24"/>
          <w:szCs w:val="24"/>
        </w:rPr>
        <w:t>the drafting of his papers he filed</w:t>
      </w:r>
      <w:r w:rsidR="0015753F" w:rsidRPr="00DC21F9">
        <w:rPr>
          <w:rFonts w:ascii="Arial" w:hAnsi="Arial" w:cs="Arial"/>
          <w:sz w:val="24"/>
          <w:szCs w:val="24"/>
        </w:rPr>
        <w:t xml:space="preserve"> with the different parties regarding the claim to the extent that he had drafted the written heads of argument. This simply means the Applicant is not as ignorant as it may seem. The Applicant could therefore have avoided prescription in terms of section 10(a) of the Prescription Act.</w:t>
      </w:r>
    </w:p>
    <w:p w:rsidR="0015753F"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15753F" w:rsidRPr="00DC21F9">
        <w:rPr>
          <w:rFonts w:ascii="Arial" w:hAnsi="Arial" w:cs="Arial"/>
          <w:sz w:val="24"/>
          <w:szCs w:val="24"/>
        </w:rPr>
        <w:t xml:space="preserve">In </w:t>
      </w:r>
      <w:r w:rsidR="0015753F" w:rsidRPr="00DC21F9">
        <w:rPr>
          <w:rFonts w:ascii="Arial" w:hAnsi="Arial" w:cs="Arial"/>
          <w:b/>
          <w:sz w:val="24"/>
          <w:szCs w:val="24"/>
        </w:rPr>
        <w:t>Yellow Star Properties 1020 (Pty) Ltd v MEC Department Planning and</w:t>
      </w:r>
      <w:r w:rsidR="00986DCE" w:rsidRPr="00DC21F9">
        <w:rPr>
          <w:rFonts w:ascii="Arial" w:hAnsi="Arial" w:cs="Arial"/>
          <w:b/>
          <w:sz w:val="24"/>
          <w:szCs w:val="24"/>
        </w:rPr>
        <w:t xml:space="preserve"> Local Government Gauteng</w:t>
      </w:r>
      <w:r w:rsidR="00AA5168" w:rsidRPr="00DC21F9">
        <w:rPr>
          <w:rFonts w:ascii="Arial" w:hAnsi="Arial" w:cs="Arial"/>
          <w:b/>
          <w:sz w:val="24"/>
          <w:szCs w:val="24"/>
        </w:rPr>
        <w:t>,</w:t>
      </w:r>
      <w:r w:rsidR="00986DCE">
        <w:rPr>
          <w:rStyle w:val="FootnoteReference"/>
          <w:rFonts w:ascii="Arial" w:hAnsi="Arial" w:cs="Arial"/>
          <w:sz w:val="24"/>
          <w:szCs w:val="24"/>
        </w:rPr>
        <w:footnoteReference w:id="23"/>
      </w:r>
      <w:r w:rsidR="0015753F" w:rsidRPr="00DC21F9">
        <w:rPr>
          <w:rFonts w:ascii="Arial" w:hAnsi="Arial" w:cs="Arial"/>
          <w:sz w:val="24"/>
          <w:szCs w:val="24"/>
        </w:rPr>
        <w:t xml:space="preserve"> the court said the following:</w:t>
      </w:r>
    </w:p>
    <w:p w:rsidR="0015753F" w:rsidRPr="008250BC" w:rsidRDefault="00084B15" w:rsidP="008250BC">
      <w:pPr>
        <w:pStyle w:val="ListParagraph"/>
        <w:spacing w:after="240" w:line="360" w:lineRule="auto"/>
        <w:ind w:left="1440"/>
        <w:contextualSpacing w:val="0"/>
        <w:jc w:val="both"/>
        <w:rPr>
          <w:rFonts w:ascii="Arial" w:hAnsi="Arial" w:cs="Arial"/>
          <w:i/>
        </w:rPr>
      </w:pPr>
      <w:r>
        <w:rPr>
          <w:rFonts w:ascii="Arial" w:hAnsi="Arial" w:cs="Arial"/>
          <w:i/>
        </w:rPr>
        <w:t>“It may be that he a</w:t>
      </w:r>
      <w:r w:rsidR="0015753F" w:rsidRPr="008250BC">
        <w:rPr>
          <w:rFonts w:ascii="Arial" w:hAnsi="Arial" w:cs="Arial"/>
          <w:i/>
        </w:rPr>
        <w:t>pplicant had not appreciated the legal consequences which f</w:t>
      </w:r>
      <w:r>
        <w:rPr>
          <w:rFonts w:ascii="Arial" w:hAnsi="Arial" w:cs="Arial"/>
          <w:i/>
        </w:rPr>
        <w:t>lowed from the facts, but its failure</w:t>
      </w:r>
      <w:r w:rsidR="0015753F" w:rsidRPr="008250BC">
        <w:rPr>
          <w:rFonts w:ascii="Arial" w:hAnsi="Arial" w:cs="Arial"/>
          <w:i/>
        </w:rPr>
        <w:t xml:space="preserve"> to do so </w:t>
      </w:r>
      <w:r w:rsidR="0080726E" w:rsidRPr="008250BC">
        <w:rPr>
          <w:rFonts w:ascii="Arial" w:hAnsi="Arial" w:cs="Arial"/>
          <w:i/>
        </w:rPr>
        <w:t>does not delay the date prescription commenced to run.”</w:t>
      </w:r>
    </w:p>
    <w:p w:rsidR="0080726E"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80726E" w:rsidRPr="00DC21F9">
        <w:rPr>
          <w:rFonts w:ascii="Arial" w:hAnsi="Arial" w:cs="Arial"/>
          <w:sz w:val="24"/>
          <w:szCs w:val="24"/>
        </w:rPr>
        <w:t xml:space="preserve">In a recent judgment of the SCA, </w:t>
      </w:r>
      <w:r w:rsidR="0080726E" w:rsidRPr="00DC21F9">
        <w:rPr>
          <w:rFonts w:ascii="Arial" w:hAnsi="Arial" w:cs="Arial"/>
          <w:b/>
          <w:sz w:val="24"/>
          <w:szCs w:val="24"/>
        </w:rPr>
        <w:t>McMillan v Bate Chubb &amp; Dickson I</w:t>
      </w:r>
      <w:r w:rsidR="008C3AC7" w:rsidRPr="00DC21F9">
        <w:rPr>
          <w:rFonts w:ascii="Arial" w:hAnsi="Arial" w:cs="Arial"/>
          <w:b/>
          <w:sz w:val="24"/>
          <w:szCs w:val="24"/>
        </w:rPr>
        <w:t xml:space="preserve">ncorporated </w:t>
      </w:r>
      <w:r w:rsidR="008C3AC7" w:rsidRPr="008C3AC7">
        <w:rPr>
          <w:rStyle w:val="FootnoteReference"/>
          <w:rFonts w:ascii="Arial" w:hAnsi="Arial" w:cs="Arial"/>
          <w:sz w:val="24"/>
          <w:szCs w:val="24"/>
        </w:rPr>
        <w:footnoteReference w:id="24"/>
      </w:r>
      <w:r w:rsidR="0080726E" w:rsidRPr="00DC21F9">
        <w:rPr>
          <w:rFonts w:ascii="Arial" w:hAnsi="Arial" w:cs="Arial"/>
          <w:sz w:val="24"/>
          <w:szCs w:val="24"/>
        </w:rPr>
        <w:t>, the following was said:</w:t>
      </w:r>
    </w:p>
    <w:p w:rsidR="0080726E" w:rsidRPr="008250BC" w:rsidRDefault="0080726E" w:rsidP="008250BC">
      <w:pPr>
        <w:pStyle w:val="ListParagraph"/>
        <w:spacing w:after="240" w:line="360" w:lineRule="auto"/>
        <w:ind w:left="1440"/>
        <w:contextualSpacing w:val="0"/>
        <w:jc w:val="both"/>
        <w:rPr>
          <w:rFonts w:ascii="Arial" w:hAnsi="Arial" w:cs="Arial"/>
          <w:i/>
        </w:rPr>
      </w:pPr>
      <w:r w:rsidRPr="008250BC">
        <w:rPr>
          <w:rFonts w:ascii="Arial" w:hAnsi="Arial" w:cs="Arial"/>
          <w:i/>
        </w:rPr>
        <w:t>“The period of prescription begins to run against a creditor when the creditor has the minimum facts which are necessary to institute action.”</w:t>
      </w:r>
    </w:p>
    <w:p w:rsidR="0080726E"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80726E" w:rsidRPr="00DC21F9">
        <w:rPr>
          <w:rFonts w:ascii="Arial" w:hAnsi="Arial" w:cs="Arial"/>
          <w:sz w:val="24"/>
          <w:szCs w:val="24"/>
        </w:rPr>
        <w:t>Indeed, the Applicant did not only have the minimum facts, but he had maximum facts which he could have used to institute the action.</w:t>
      </w:r>
    </w:p>
    <w:p w:rsidR="008250BC" w:rsidRPr="00DC21F9" w:rsidRDefault="00DC21F9" w:rsidP="00DC21F9">
      <w:pPr>
        <w:spacing w:after="240" w:line="360" w:lineRule="auto"/>
        <w:ind w:left="851" w:hanging="851"/>
        <w:jc w:val="both"/>
        <w:rPr>
          <w:rFonts w:ascii="Arial" w:hAnsi="Arial" w:cs="Arial"/>
          <w:sz w:val="24"/>
          <w:szCs w:val="24"/>
        </w:rPr>
      </w:pPr>
      <w:r w:rsidRPr="00E7572D">
        <w:rPr>
          <w:rFonts w:ascii="Arial" w:hAnsi="Arial" w:cs="Arial"/>
          <w:sz w:val="24"/>
          <w:szCs w:val="24"/>
        </w:rPr>
        <w:t>[54]</w:t>
      </w:r>
      <w:r w:rsidRPr="00E7572D">
        <w:rPr>
          <w:rFonts w:ascii="Arial" w:hAnsi="Arial" w:cs="Arial"/>
          <w:sz w:val="24"/>
          <w:szCs w:val="24"/>
        </w:rPr>
        <w:tab/>
      </w:r>
      <w:r w:rsidR="0080726E" w:rsidRPr="00DC21F9">
        <w:rPr>
          <w:rFonts w:ascii="Arial" w:hAnsi="Arial" w:cs="Arial"/>
          <w:sz w:val="24"/>
          <w:szCs w:val="24"/>
        </w:rPr>
        <w:t xml:space="preserve">In my view, the Respondent’s contention that the debt has prescribed is correct and I am inclined to agree with the Respondent that </w:t>
      </w:r>
      <w:r w:rsidR="008C3AC7" w:rsidRPr="00DC21F9">
        <w:rPr>
          <w:rFonts w:ascii="Arial" w:hAnsi="Arial" w:cs="Arial"/>
          <w:sz w:val="24"/>
          <w:szCs w:val="24"/>
        </w:rPr>
        <w:t>t</w:t>
      </w:r>
      <w:r w:rsidR="0080726E" w:rsidRPr="00DC21F9">
        <w:rPr>
          <w:rFonts w:ascii="Arial" w:hAnsi="Arial" w:cs="Arial"/>
          <w:sz w:val="24"/>
          <w:szCs w:val="24"/>
        </w:rPr>
        <w:t>he plea on prescription be upheld. The Applicant has not shown any good cause for the relief sought. The application therefore ought to be dismissed.</w:t>
      </w:r>
    </w:p>
    <w:p w:rsidR="0080726E" w:rsidRPr="008250BC" w:rsidRDefault="008250BC" w:rsidP="008250BC">
      <w:pPr>
        <w:spacing w:after="240" w:line="360" w:lineRule="auto"/>
        <w:jc w:val="both"/>
        <w:rPr>
          <w:rFonts w:ascii="Arial" w:hAnsi="Arial" w:cs="Arial"/>
          <w:b/>
          <w:sz w:val="24"/>
          <w:szCs w:val="24"/>
        </w:rPr>
      </w:pPr>
      <w:r w:rsidRPr="008250BC">
        <w:rPr>
          <w:rFonts w:ascii="Arial" w:hAnsi="Arial" w:cs="Arial"/>
          <w:b/>
          <w:sz w:val="24"/>
          <w:szCs w:val="24"/>
        </w:rPr>
        <w:t>COSTS</w:t>
      </w:r>
    </w:p>
    <w:p w:rsidR="00911140" w:rsidRPr="00DC21F9" w:rsidRDefault="00DC21F9" w:rsidP="00DC21F9">
      <w:pPr>
        <w:spacing w:after="240" w:line="360" w:lineRule="auto"/>
        <w:ind w:left="851" w:hanging="851"/>
        <w:jc w:val="both"/>
        <w:rPr>
          <w:rFonts w:ascii="Arial" w:hAnsi="Arial" w:cs="Arial"/>
          <w:sz w:val="24"/>
          <w:szCs w:val="24"/>
        </w:rPr>
      </w:pPr>
      <w:r w:rsidRPr="00911140">
        <w:rPr>
          <w:rFonts w:ascii="Arial" w:hAnsi="Arial" w:cs="Arial"/>
          <w:sz w:val="24"/>
          <w:szCs w:val="24"/>
        </w:rPr>
        <w:t>[55]</w:t>
      </w:r>
      <w:r w:rsidRPr="00911140">
        <w:rPr>
          <w:rFonts w:ascii="Arial" w:hAnsi="Arial" w:cs="Arial"/>
          <w:sz w:val="24"/>
          <w:szCs w:val="24"/>
        </w:rPr>
        <w:tab/>
      </w:r>
      <w:r w:rsidR="00911140" w:rsidRPr="00DC21F9">
        <w:rPr>
          <w:rFonts w:ascii="Arial" w:hAnsi="Arial" w:cs="Arial"/>
          <w:sz w:val="24"/>
          <w:szCs w:val="24"/>
        </w:rPr>
        <w:t xml:space="preserve">It is a trite principle of our law that a court considering an order of </w:t>
      </w:r>
      <w:r w:rsidR="00176859" w:rsidRPr="00DC21F9">
        <w:rPr>
          <w:rFonts w:ascii="Arial" w:hAnsi="Arial" w:cs="Arial"/>
          <w:sz w:val="24"/>
          <w:szCs w:val="24"/>
        </w:rPr>
        <w:t>costs exercises a discretion</w:t>
      </w:r>
      <w:r w:rsidR="004D7BF0" w:rsidRPr="00DC21F9">
        <w:rPr>
          <w:rFonts w:ascii="Arial" w:hAnsi="Arial" w:cs="Arial"/>
          <w:sz w:val="24"/>
          <w:szCs w:val="24"/>
        </w:rPr>
        <w:t>.</w:t>
      </w:r>
      <w:r w:rsidR="00176859">
        <w:rPr>
          <w:rStyle w:val="FootnoteReference"/>
          <w:rFonts w:ascii="Arial" w:hAnsi="Arial" w:cs="Arial"/>
          <w:sz w:val="24"/>
          <w:szCs w:val="24"/>
        </w:rPr>
        <w:footnoteReference w:id="25"/>
      </w:r>
      <w:r w:rsidR="00BA1826" w:rsidRPr="00DC21F9">
        <w:rPr>
          <w:rFonts w:ascii="Arial" w:hAnsi="Arial" w:cs="Arial"/>
          <w:sz w:val="24"/>
          <w:szCs w:val="24"/>
        </w:rPr>
        <w:t xml:space="preserve"> </w:t>
      </w:r>
      <w:r w:rsidR="00911140" w:rsidRPr="00DC21F9">
        <w:rPr>
          <w:rFonts w:ascii="Arial" w:hAnsi="Arial" w:cs="Arial"/>
          <w:sz w:val="24"/>
          <w:szCs w:val="24"/>
        </w:rPr>
        <w:t xml:space="preserve"> The courts discretion mu</w:t>
      </w:r>
      <w:r w:rsidR="00BA1826" w:rsidRPr="00DC21F9">
        <w:rPr>
          <w:rFonts w:ascii="Arial" w:hAnsi="Arial" w:cs="Arial"/>
          <w:sz w:val="24"/>
          <w:szCs w:val="24"/>
        </w:rPr>
        <w:t xml:space="preserve">st be exercised judicially </w:t>
      </w:r>
      <w:r w:rsidR="00BA1826">
        <w:rPr>
          <w:rStyle w:val="FootnoteReference"/>
          <w:rFonts w:ascii="Arial" w:hAnsi="Arial" w:cs="Arial"/>
          <w:sz w:val="24"/>
          <w:szCs w:val="24"/>
        </w:rPr>
        <w:footnoteReference w:id="26"/>
      </w:r>
      <w:r w:rsidR="00911140" w:rsidRPr="00DC21F9">
        <w:rPr>
          <w:rFonts w:ascii="Arial" w:hAnsi="Arial" w:cs="Arial"/>
          <w:sz w:val="24"/>
          <w:szCs w:val="24"/>
        </w:rPr>
        <w:t>.  It is also a well-established law that the general rule is that the costs follow the result</w:t>
      </w:r>
      <w:r w:rsidR="00357566" w:rsidRPr="00DC21F9">
        <w:rPr>
          <w:rFonts w:ascii="Arial" w:hAnsi="Arial" w:cs="Arial"/>
          <w:sz w:val="24"/>
          <w:szCs w:val="24"/>
        </w:rPr>
        <w:t>.</w:t>
      </w:r>
    </w:p>
    <w:p w:rsidR="008250BC" w:rsidRPr="00DC21F9" w:rsidRDefault="00DC21F9" w:rsidP="00DC21F9">
      <w:pPr>
        <w:spacing w:after="240" w:line="360" w:lineRule="auto"/>
        <w:ind w:left="851" w:hanging="851"/>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67EF6" w:rsidRPr="00DC21F9">
        <w:rPr>
          <w:rFonts w:ascii="Arial" w:hAnsi="Arial" w:cs="Arial"/>
          <w:sz w:val="24"/>
          <w:szCs w:val="24"/>
        </w:rPr>
        <w:t>Counsel for th</w:t>
      </w:r>
      <w:r w:rsidR="0080726E" w:rsidRPr="00DC21F9">
        <w:rPr>
          <w:rFonts w:ascii="Arial" w:hAnsi="Arial" w:cs="Arial"/>
          <w:sz w:val="24"/>
          <w:szCs w:val="24"/>
        </w:rPr>
        <w:t xml:space="preserve">e Respondent </w:t>
      </w:r>
      <w:r w:rsidR="00967EF6" w:rsidRPr="00DC21F9">
        <w:rPr>
          <w:rFonts w:ascii="Arial" w:hAnsi="Arial" w:cs="Arial"/>
          <w:sz w:val="24"/>
          <w:szCs w:val="24"/>
        </w:rPr>
        <w:t xml:space="preserve">submitted that the Applicant be ordered to pay costs on a punitive scale due to the Applicant’s conduct during the litigation. The Applicant appeared in person throughout the litigation. </w:t>
      </w:r>
      <w:r w:rsidR="006B5C23" w:rsidRPr="00DC21F9">
        <w:rPr>
          <w:rFonts w:ascii="Arial" w:hAnsi="Arial" w:cs="Arial"/>
          <w:sz w:val="24"/>
          <w:szCs w:val="24"/>
        </w:rPr>
        <w:t xml:space="preserve">The Applicant is a man of straw. </w:t>
      </w:r>
      <w:r w:rsidR="00967EF6" w:rsidRPr="00DC21F9">
        <w:rPr>
          <w:rFonts w:ascii="Arial" w:hAnsi="Arial" w:cs="Arial"/>
          <w:sz w:val="24"/>
          <w:szCs w:val="24"/>
        </w:rPr>
        <w:t>It would not be in the interests of justice that the Applicant be punish</w:t>
      </w:r>
      <w:r w:rsidR="00357566" w:rsidRPr="00DC21F9">
        <w:rPr>
          <w:rFonts w:ascii="Arial" w:hAnsi="Arial" w:cs="Arial"/>
          <w:sz w:val="24"/>
          <w:szCs w:val="24"/>
        </w:rPr>
        <w:t>ed</w:t>
      </w:r>
      <w:r w:rsidR="00967EF6" w:rsidRPr="00DC21F9">
        <w:rPr>
          <w:rFonts w:ascii="Arial" w:hAnsi="Arial" w:cs="Arial"/>
          <w:sz w:val="24"/>
          <w:szCs w:val="24"/>
        </w:rPr>
        <w:t xml:space="preserve"> for wanting to exercise his rights to litigation, nor to be </w:t>
      </w:r>
      <w:r w:rsidR="006B5C23" w:rsidRPr="00DC21F9">
        <w:rPr>
          <w:rFonts w:ascii="Arial" w:hAnsi="Arial" w:cs="Arial"/>
          <w:sz w:val="24"/>
          <w:szCs w:val="24"/>
        </w:rPr>
        <w:t>saddled with</w:t>
      </w:r>
      <w:r w:rsidR="00967EF6" w:rsidRPr="00DC21F9">
        <w:rPr>
          <w:rFonts w:ascii="Arial" w:hAnsi="Arial" w:cs="Arial"/>
          <w:sz w:val="24"/>
          <w:szCs w:val="24"/>
        </w:rPr>
        <w:t xml:space="preserve"> a punitive costs order.  </w:t>
      </w:r>
      <w:r w:rsidR="0080726E" w:rsidRPr="00DC21F9">
        <w:rPr>
          <w:rFonts w:ascii="Arial" w:hAnsi="Arial" w:cs="Arial"/>
          <w:sz w:val="24"/>
          <w:szCs w:val="24"/>
        </w:rPr>
        <w:t xml:space="preserve">Therefore, </w:t>
      </w:r>
      <w:r w:rsidR="006B5C23" w:rsidRPr="00DC21F9">
        <w:rPr>
          <w:rFonts w:ascii="Arial" w:hAnsi="Arial" w:cs="Arial"/>
          <w:sz w:val="24"/>
          <w:szCs w:val="24"/>
        </w:rPr>
        <w:t>each party ought to pay their own costs.</w:t>
      </w:r>
    </w:p>
    <w:p w:rsidR="00E7572D" w:rsidRPr="004C32EB" w:rsidRDefault="00E7572D" w:rsidP="00E7572D">
      <w:pPr>
        <w:pStyle w:val="ListParagraph"/>
        <w:spacing w:after="240" w:line="360" w:lineRule="auto"/>
        <w:ind w:left="851"/>
        <w:contextualSpacing w:val="0"/>
        <w:jc w:val="both"/>
        <w:rPr>
          <w:rFonts w:ascii="Arial" w:hAnsi="Arial" w:cs="Arial"/>
          <w:sz w:val="24"/>
          <w:szCs w:val="24"/>
        </w:rPr>
      </w:pPr>
    </w:p>
    <w:p w:rsidR="0080726E" w:rsidRPr="008250BC" w:rsidRDefault="008250BC" w:rsidP="008250BC">
      <w:pPr>
        <w:spacing w:after="240" w:line="360" w:lineRule="auto"/>
        <w:jc w:val="both"/>
        <w:rPr>
          <w:rFonts w:ascii="Arial" w:hAnsi="Arial" w:cs="Arial"/>
          <w:b/>
          <w:sz w:val="24"/>
          <w:szCs w:val="24"/>
        </w:rPr>
      </w:pPr>
      <w:r w:rsidRPr="008250BC">
        <w:rPr>
          <w:rFonts w:ascii="Arial" w:hAnsi="Arial" w:cs="Arial"/>
          <w:b/>
          <w:sz w:val="24"/>
          <w:szCs w:val="24"/>
        </w:rPr>
        <w:t>ORDER</w:t>
      </w:r>
    </w:p>
    <w:p w:rsidR="00357566" w:rsidRPr="00DC21F9" w:rsidRDefault="00DC21F9" w:rsidP="00DC21F9">
      <w:pPr>
        <w:spacing w:after="240" w:line="360" w:lineRule="auto"/>
        <w:ind w:left="851" w:hanging="851"/>
        <w:rPr>
          <w:rFonts w:ascii="Arial" w:hAnsi="Arial" w:cs="Arial"/>
          <w:sz w:val="24"/>
          <w:szCs w:val="24"/>
        </w:rPr>
      </w:pPr>
      <w:r>
        <w:rPr>
          <w:rFonts w:ascii="Arial" w:hAnsi="Arial" w:cs="Arial"/>
          <w:sz w:val="24"/>
          <w:szCs w:val="24"/>
        </w:rPr>
        <w:t>[57]</w:t>
      </w:r>
      <w:r>
        <w:rPr>
          <w:rFonts w:ascii="Arial" w:hAnsi="Arial" w:cs="Arial"/>
          <w:sz w:val="24"/>
          <w:szCs w:val="24"/>
        </w:rPr>
        <w:tab/>
      </w:r>
      <w:r w:rsidR="00357566" w:rsidRPr="00DC21F9">
        <w:rPr>
          <w:rFonts w:ascii="Arial" w:hAnsi="Arial" w:cs="Arial"/>
          <w:sz w:val="24"/>
          <w:szCs w:val="24"/>
        </w:rPr>
        <w:t>Accordingly, it is ordered as follows:</w:t>
      </w:r>
    </w:p>
    <w:p w:rsidR="00357566" w:rsidRPr="00DC21F9" w:rsidRDefault="00DC21F9" w:rsidP="00DC21F9">
      <w:pPr>
        <w:spacing w:after="240" w:line="360" w:lineRule="auto"/>
        <w:ind w:left="1571" w:hanging="360"/>
        <w:rPr>
          <w:rFonts w:ascii="Arial" w:hAnsi="Arial" w:cs="Arial"/>
          <w:sz w:val="24"/>
          <w:szCs w:val="24"/>
        </w:rPr>
      </w:pPr>
      <w:r>
        <w:rPr>
          <w:rFonts w:ascii="Arial" w:hAnsi="Arial" w:cs="Arial"/>
          <w:sz w:val="24"/>
          <w:szCs w:val="24"/>
        </w:rPr>
        <w:t>1.</w:t>
      </w:r>
      <w:r>
        <w:rPr>
          <w:rFonts w:ascii="Arial" w:hAnsi="Arial" w:cs="Arial"/>
          <w:sz w:val="24"/>
          <w:szCs w:val="24"/>
        </w:rPr>
        <w:tab/>
      </w:r>
      <w:r w:rsidR="0080726E" w:rsidRPr="00DC21F9">
        <w:rPr>
          <w:rFonts w:ascii="Arial" w:hAnsi="Arial" w:cs="Arial"/>
          <w:sz w:val="24"/>
          <w:szCs w:val="24"/>
        </w:rPr>
        <w:t xml:space="preserve">The application is dismissed, </w:t>
      </w:r>
      <w:r w:rsidR="00911140" w:rsidRPr="00DC21F9">
        <w:rPr>
          <w:rFonts w:ascii="Arial" w:hAnsi="Arial" w:cs="Arial"/>
          <w:sz w:val="24"/>
          <w:szCs w:val="24"/>
        </w:rPr>
        <w:t>including the</w:t>
      </w:r>
      <w:r w:rsidR="0080726E" w:rsidRPr="00DC21F9">
        <w:rPr>
          <w:rFonts w:ascii="Arial" w:hAnsi="Arial" w:cs="Arial"/>
          <w:sz w:val="24"/>
          <w:szCs w:val="24"/>
        </w:rPr>
        <w:t xml:space="preserve"> interlocutory application</w:t>
      </w:r>
      <w:r w:rsidR="00357566" w:rsidRPr="00DC21F9">
        <w:rPr>
          <w:rFonts w:ascii="Arial" w:hAnsi="Arial" w:cs="Arial"/>
          <w:sz w:val="24"/>
          <w:szCs w:val="24"/>
        </w:rPr>
        <w:t>;</w:t>
      </w:r>
    </w:p>
    <w:p w:rsidR="006B5C23" w:rsidRPr="00DC21F9" w:rsidRDefault="00DC21F9" w:rsidP="00DC21F9">
      <w:pPr>
        <w:spacing w:after="240" w:line="360" w:lineRule="auto"/>
        <w:ind w:left="1571" w:hanging="360"/>
        <w:rPr>
          <w:rFonts w:ascii="Arial" w:hAnsi="Arial" w:cs="Arial"/>
          <w:sz w:val="24"/>
          <w:szCs w:val="24"/>
        </w:rPr>
      </w:pPr>
      <w:r w:rsidRPr="00357566">
        <w:rPr>
          <w:rFonts w:ascii="Arial" w:hAnsi="Arial" w:cs="Arial"/>
          <w:sz w:val="24"/>
          <w:szCs w:val="24"/>
        </w:rPr>
        <w:t>2.</w:t>
      </w:r>
      <w:r w:rsidRPr="00357566">
        <w:rPr>
          <w:rFonts w:ascii="Arial" w:hAnsi="Arial" w:cs="Arial"/>
          <w:sz w:val="24"/>
          <w:szCs w:val="24"/>
        </w:rPr>
        <w:tab/>
      </w:r>
      <w:r w:rsidR="006B5C23" w:rsidRPr="00DC21F9">
        <w:rPr>
          <w:rFonts w:ascii="Arial" w:hAnsi="Arial" w:cs="Arial"/>
          <w:sz w:val="24"/>
          <w:szCs w:val="24"/>
        </w:rPr>
        <w:t>Each party is ordered to pay their own costs</w:t>
      </w:r>
      <w:r w:rsidR="001B3FDC" w:rsidRPr="00DC21F9">
        <w:rPr>
          <w:rFonts w:ascii="Arial" w:hAnsi="Arial" w:cs="Arial"/>
          <w:sz w:val="24"/>
          <w:szCs w:val="24"/>
        </w:rPr>
        <w:t>, including costs of</w:t>
      </w:r>
      <w:r w:rsidR="004D7BF0" w:rsidRPr="00DC21F9">
        <w:rPr>
          <w:rFonts w:ascii="Arial" w:hAnsi="Arial" w:cs="Arial"/>
          <w:sz w:val="24"/>
          <w:szCs w:val="24"/>
        </w:rPr>
        <w:t xml:space="preserve"> the postponements</w:t>
      </w:r>
      <w:r w:rsidR="006B5C23" w:rsidRPr="00DC21F9">
        <w:rPr>
          <w:rFonts w:ascii="Arial" w:hAnsi="Arial" w:cs="Arial"/>
          <w:sz w:val="24"/>
          <w:szCs w:val="24"/>
        </w:rPr>
        <w:t>.</w:t>
      </w:r>
    </w:p>
    <w:p w:rsidR="007F2827" w:rsidRPr="006B5C23" w:rsidRDefault="00AA5168" w:rsidP="006B5C23">
      <w:pPr>
        <w:spacing w:after="240" w:line="360" w:lineRule="auto"/>
        <w:ind w:left="851"/>
        <w:rPr>
          <w:rFonts w:ascii="Arial" w:hAnsi="Arial" w:cs="Arial"/>
          <w:sz w:val="24"/>
          <w:szCs w:val="24"/>
        </w:rPr>
      </w:pPr>
      <w:r w:rsidRPr="006B5C23">
        <w:rPr>
          <w:rFonts w:ascii="Arial" w:hAnsi="Arial" w:cs="Arial"/>
          <w:sz w:val="24"/>
          <w:szCs w:val="24"/>
        </w:rPr>
        <w:t xml:space="preserve"> </w:t>
      </w:r>
      <w:r w:rsidR="006B5C23" w:rsidRPr="006B5C23">
        <w:rPr>
          <w:rFonts w:ascii="Arial" w:hAnsi="Arial" w:cs="Arial"/>
          <w:sz w:val="24"/>
          <w:szCs w:val="24"/>
        </w:rPr>
        <w:t xml:space="preserve"> </w:t>
      </w:r>
    </w:p>
    <w:p w:rsidR="007F2827" w:rsidRPr="007F2827" w:rsidRDefault="007F2827" w:rsidP="007F2827"/>
    <w:p w:rsidR="006A578F" w:rsidRDefault="006A578F" w:rsidP="007F2827"/>
    <w:p w:rsidR="00357566" w:rsidRDefault="00357566" w:rsidP="007F2827"/>
    <w:p w:rsidR="006A578F" w:rsidRDefault="006A578F" w:rsidP="007F2827"/>
    <w:p w:rsidR="0080726E" w:rsidRDefault="007F2827" w:rsidP="007F2827">
      <w:pPr>
        <w:ind w:left="6480"/>
        <w:jc w:val="both"/>
      </w:pPr>
      <w:r>
        <w:t>_______________________</w:t>
      </w:r>
    </w:p>
    <w:p w:rsidR="007F2827" w:rsidRPr="007F2827" w:rsidRDefault="007F2827" w:rsidP="007F2827">
      <w:pPr>
        <w:ind w:left="6480"/>
        <w:jc w:val="both"/>
        <w:rPr>
          <w:rFonts w:ascii="Arial" w:hAnsi="Arial" w:cs="Arial"/>
          <w:sz w:val="24"/>
          <w:szCs w:val="24"/>
        </w:rPr>
      </w:pPr>
      <w:r w:rsidRPr="007F2827">
        <w:rPr>
          <w:rFonts w:ascii="Arial" w:hAnsi="Arial" w:cs="Arial"/>
          <w:sz w:val="24"/>
          <w:szCs w:val="24"/>
        </w:rPr>
        <w:t>CHESIWE, J</w:t>
      </w:r>
    </w:p>
    <w:p w:rsidR="007F2827" w:rsidRPr="007F2827" w:rsidRDefault="007F2827" w:rsidP="007F2827">
      <w:pPr>
        <w:jc w:val="both"/>
        <w:rPr>
          <w:rFonts w:ascii="Arial" w:hAnsi="Arial" w:cs="Arial"/>
          <w:sz w:val="24"/>
          <w:szCs w:val="24"/>
        </w:rPr>
      </w:pPr>
    </w:p>
    <w:p w:rsidR="007F2827" w:rsidRPr="007F2827" w:rsidRDefault="007F2827" w:rsidP="007F2827">
      <w:pPr>
        <w:jc w:val="both"/>
        <w:rPr>
          <w:rFonts w:ascii="Arial" w:hAnsi="Arial" w:cs="Arial"/>
          <w:sz w:val="24"/>
          <w:szCs w:val="24"/>
        </w:rPr>
      </w:pPr>
    </w:p>
    <w:p w:rsidR="007F2827" w:rsidRPr="007F2827" w:rsidRDefault="007F2827" w:rsidP="007F2827">
      <w:pPr>
        <w:jc w:val="both"/>
        <w:rPr>
          <w:rFonts w:ascii="Arial" w:hAnsi="Arial" w:cs="Arial"/>
          <w:sz w:val="24"/>
          <w:szCs w:val="24"/>
        </w:rPr>
      </w:pPr>
      <w:r w:rsidRPr="007F2827">
        <w:rPr>
          <w:rFonts w:ascii="Arial" w:hAnsi="Arial" w:cs="Arial"/>
          <w:sz w:val="24"/>
          <w:szCs w:val="24"/>
        </w:rPr>
        <w:t>On behalf of the Applicant:</w:t>
      </w:r>
      <w:r w:rsidRPr="007F2827">
        <w:rPr>
          <w:rFonts w:ascii="Arial" w:hAnsi="Arial" w:cs="Arial"/>
          <w:sz w:val="24"/>
          <w:szCs w:val="24"/>
        </w:rPr>
        <w:tab/>
      </w:r>
      <w:r w:rsidRPr="007F2827">
        <w:rPr>
          <w:rFonts w:ascii="Arial" w:hAnsi="Arial" w:cs="Arial"/>
          <w:sz w:val="24"/>
          <w:szCs w:val="24"/>
        </w:rPr>
        <w:tab/>
      </w:r>
      <w:r>
        <w:rPr>
          <w:rFonts w:ascii="Arial" w:hAnsi="Arial" w:cs="Arial"/>
          <w:sz w:val="24"/>
          <w:szCs w:val="24"/>
        </w:rPr>
        <w:tab/>
      </w:r>
      <w:r w:rsidRPr="007F2827">
        <w:rPr>
          <w:rFonts w:ascii="Arial" w:hAnsi="Arial" w:cs="Arial"/>
          <w:sz w:val="24"/>
          <w:szCs w:val="24"/>
        </w:rPr>
        <w:t>In person</w:t>
      </w:r>
    </w:p>
    <w:p w:rsidR="007F2827" w:rsidRPr="007F2827" w:rsidRDefault="007F2827" w:rsidP="007F2827">
      <w:pPr>
        <w:jc w:val="both"/>
        <w:rPr>
          <w:rFonts w:ascii="Arial" w:hAnsi="Arial" w:cs="Arial"/>
          <w:sz w:val="24"/>
          <w:szCs w:val="24"/>
        </w:rPr>
      </w:pPr>
    </w:p>
    <w:p w:rsidR="007F2827" w:rsidRPr="007F2827" w:rsidRDefault="007F2827" w:rsidP="007F2827">
      <w:pPr>
        <w:jc w:val="both"/>
        <w:rPr>
          <w:rFonts w:ascii="Arial" w:hAnsi="Arial" w:cs="Arial"/>
          <w:sz w:val="24"/>
          <w:szCs w:val="24"/>
        </w:rPr>
      </w:pPr>
    </w:p>
    <w:p w:rsidR="007F2827" w:rsidRPr="007F2827" w:rsidRDefault="007F2827" w:rsidP="007F2827">
      <w:pPr>
        <w:jc w:val="both"/>
        <w:rPr>
          <w:rFonts w:ascii="Arial" w:hAnsi="Arial" w:cs="Arial"/>
          <w:sz w:val="24"/>
          <w:szCs w:val="24"/>
        </w:rPr>
      </w:pPr>
      <w:r w:rsidRPr="007F2827">
        <w:rPr>
          <w:rFonts w:ascii="Arial" w:hAnsi="Arial" w:cs="Arial"/>
          <w:sz w:val="24"/>
          <w:szCs w:val="24"/>
        </w:rPr>
        <w:t>On behalf of the Respondent:</w:t>
      </w:r>
      <w:r w:rsidRPr="007F2827">
        <w:rPr>
          <w:rFonts w:ascii="Arial" w:hAnsi="Arial" w:cs="Arial"/>
          <w:sz w:val="24"/>
          <w:szCs w:val="24"/>
        </w:rPr>
        <w:tab/>
      </w:r>
      <w:r w:rsidRPr="007F2827">
        <w:rPr>
          <w:rFonts w:ascii="Arial" w:hAnsi="Arial" w:cs="Arial"/>
          <w:sz w:val="24"/>
          <w:szCs w:val="24"/>
        </w:rPr>
        <w:tab/>
        <w:t xml:space="preserve">Adv. </w:t>
      </w:r>
      <w:r w:rsidR="001B3FDC">
        <w:rPr>
          <w:rFonts w:ascii="Arial" w:hAnsi="Arial" w:cs="Arial"/>
          <w:sz w:val="24"/>
          <w:szCs w:val="24"/>
        </w:rPr>
        <w:t xml:space="preserve">P </w:t>
      </w:r>
      <w:r w:rsidRPr="007F2827">
        <w:rPr>
          <w:rFonts w:ascii="Arial" w:hAnsi="Arial" w:cs="Arial"/>
          <w:sz w:val="24"/>
          <w:szCs w:val="24"/>
        </w:rPr>
        <w:t>Long</w:t>
      </w:r>
    </w:p>
    <w:p w:rsidR="007F2827" w:rsidRDefault="007F2827" w:rsidP="007F2827">
      <w:pPr>
        <w:jc w:val="both"/>
        <w:rPr>
          <w:rFonts w:ascii="Arial" w:hAnsi="Arial" w:cs="Arial"/>
          <w:sz w:val="24"/>
          <w:szCs w:val="24"/>
        </w:rPr>
      </w:pPr>
      <w:r w:rsidRPr="007F2827">
        <w:rPr>
          <w:rFonts w:ascii="Arial" w:hAnsi="Arial" w:cs="Arial"/>
          <w:sz w:val="24"/>
          <w:szCs w:val="24"/>
        </w:rPr>
        <w:t>Instructed by:</w:t>
      </w:r>
      <w:r w:rsidRPr="007F2827">
        <w:rPr>
          <w:rFonts w:ascii="Arial" w:hAnsi="Arial" w:cs="Arial"/>
          <w:sz w:val="24"/>
          <w:szCs w:val="24"/>
        </w:rPr>
        <w:tab/>
      </w:r>
      <w:r w:rsidRPr="007F2827">
        <w:rPr>
          <w:rFonts w:ascii="Arial" w:hAnsi="Arial" w:cs="Arial"/>
          <w:sz w:val="24"/>
          <w:szCs w:val="24"/>
        </w:rPr>
        <w:tab/>
      </w:r>
      <w:r w:rsidRPr="007F2827">
        <w:rPr>
          <w:rFonts w:ascii="Arial" w:hAnsi="Arial" w:cs="Arial"/>
          <w:sz w:val="24"/>
          <w:szCs w:val="24"/>
        </w:rPr>
        <w:tab/>
      </w:r>
      <w:r w:rsidRPr="007F2827">
        <w:rPr>
          <w:rFonts w:ascii="Arial" w:hAnsi="Arial" w:cs="Arial"/>
          <w:sz w:val="24"/>
          <w:szCs w:val="24"/>
        </w:rPr>
        <w:tab/>
        <w:t>McIntyre van der Post Attorneys</w:t>
      </w:r>
    </w:p>
    <w:p w:rsidR="00035049" w:rsidRPr="007F2827" w:rsidRDefault="00035049" w:rsidP="007F282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sectPr w:rsidR="00035049" w:rsidRPr="007F2827" w:rsidSect="008250BC">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29" w:rsidRDefault="00694529" w:rsidP="008250BC">
      <w:pPr>
        <w:spacing w:after="0" w:line="240" w:lineRule="auto"/>
      </w:pPr>
      <w:r>
        <w:separator/>
      </w:r>
    </w:p>
  </w:endnote>
  <w:endnote w:type="continuationSeparator" w:id="0">
    <w:p w:rsidR="00694529" w:rsidRDefault="00694529" w:rsidP="0082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29" w:rsidRDefault="00694529" w:rsidP="008250BC">
      <w:pPr>
        <w:spacing w:after="0" w:line="240" w:lineRule="auto"/>
      </w:pPr>
      <w:r>
        <w:separator/>
      </w:r>
    </w:p>
  </w:footnote>
  <w:footnote w:type="continuationSeparator" w:id="0">
    <w:p w:rsidR="00694529" w:rsidRDefault="00694529" w:rsidP="008250BC">
      <w:pPr>
        <w:spacing w:after="0" w:line="240" w:lineRule="auto"/>
      </w:pPr>
      <w:r>
        <w:continuationSeparator/>
      </w:r>
    </w:p>
  </w:footnote>
  <w:footnote w:id="1">
    <w:p w:rsidR="00311A6F" w:rsidRDefault="00311A6F">
      <w:pPr>
        <w:pStyle w:val="FootnoteText"/>
      </w:pPr>
      <w:r>
        <w:rPr>
          <w:rStyle w:val="FootnoteReference"/>
        </w:rPr>
        <w:footnoteRef/>
      </w:r>
      <w:r>
        <w:t xml:space="preserve"> </w:t>
      </w:r>
      <w:r w:rsidRPr="00311A6F">
        <w:t>(See Massey-Ferguson (South Africa) Ltd v Ermelo Motors (Pty) Ltd and Others 1973 (2) ALL SA 383 (T))</w:t>
      </w:r>
    </w:p>
  </w:footnote>
  <w:footnote w:id="2">
    <w:p w:rsidR="007C3F4B" w:rsidRDefault="007C3F4B">
      <w:pPr>
        <w:pStyle w:val="FootnoteText"/>
      </w:pPr>
      <w:r>
        <w:rPr>
          <w:rStyle w:val="FootnoteReference"/>
        </w:rPr>
        <w:footnoteRef/>
      </w:r>
      <w:r w:rsidR="0095270D">
        <w:t xml:space="preserve"> </w:t>
      </w:r>
      <w:r>
        <w:t>2017 (4) ALL SA 150 (GP)</w:t>
      </w:r>
      <w:r w:rsidRPr="007C3F4B">
        <w:t xml:space="preserve"> </w:t>
      </w:r>
      <w:r>
        <w:t xml:space="preserve"> </w:t>
      </w:r>
    </w:p>
  </w:footnote>
  <w:footnote w:id="3">
    <w:p w:rsidR="00496014" w:rsidRPr="00496014" w:rsidRDefault="00496014" w:rsidP="00496014">
      <w:pPr>
        <w:pStyle w:val="FootnoteText"/>
      </w:pPr>
      <w:r>
        <w:rPr>
          <w:rStyle w:val="FootnoteReference"/>
        </w:rPr>
        <w:footnoteRef/>
      </w:r>
      <w:r>
        <w:t xml:space="preserve"> </w:t>
      </w:r>
      <w:r w:rsidRPr="00496014">
        <w:t>(Annexure C, page 12</w:t>
      </w:r>
      <w:r w:rsidR="00CC43A5">
        <w:t xml:space="preserve"> of the Index Hearing Bundle</w:t>
      </w:r>
      <w:r w:rsidRPr="00496014">
        <w:t>)</w:t>
      </w:r>
    </w:p>
  </w:footnote>
  <w:footnote w:id="4">
    <w:p w:rsidR="00CC43A5" w:rsidRDefault="00CC43A5">
      <w:pPr>
        <w:pStyle w:val="FootnoteText"/>
      </w:pPr>
      <w:r>
        <w:rPr>
          <w:rStyle w:val="FootnoteReference"/>
        </w:rPr>
        <w:footnoteRef/>
      </w:r>
      <w:r>
        <w:t xml:space="preserve"> (Annexure D, page 13-14 of the Index Hearing Bundle)</w:t>
      </w:r>
    </w:p>
  </w:footnote>
  <w:footnote w:id="5">
    <w:p w:rsidR="00496014" w:rsidRDefault="00496014">
      <w:pPr>
        <w:pStyle w:val="FootnoteText"/>
      </w:pPr>
      <w:r>
        <w:rPr>
          <w:rStyle w:val="FootnoteReference"/>
        </w:rPr>
        <w:footnoteRef/>
      </w:r>
      <w:r>
        <w:t xml:space="preserve"> (Annexure</w:t>
      </w:r>
      <w:r w:rsidR="00CC43A5">
        <w:t>s A and</w:t>
      </w:r>
      <w:r>
        <w:t xml:space="preserve"> B</w:t>
      </w:r>
      <w:r w:rsidR="00CC43A5">
        <w:t>, page 7 to 11 of the Index Hearing Bundle</w:t>
      </w:r>
      <w:r>
        <w:t>)</w:t>
      </w:r>
    </w:p>
  </w:footnote>
  <w:footnote w:id="6">
    <w:p w:rsidR="005748C5" w:rsidRDefault="005748C5">
      <w:pPr>
        <w:pStyle w:val="FootnoteText"/>
      </w:pPr>
      <w:r>
        <w:rPr>
          <w:rStyle w:val="FootnoteReference"/>
        </w:rPr>
        <w:footnoteRef/>
      </w:r>
      <w:r>
        <w:t xml:space="preserve"> (Page 22 of the Index: Hearing Bundle at sub-paragraph 9.1)</w:t>
      </w:r>
    </w:p>
  </w:footnote>
  <w:footnote w:id="7">
    <w:p w:rsidR="00164B1B" w:rsidRDefault="00164B1B" w:rsidP="00164B1B">
      <w:pPr>
        <w:pStyle w:val="FootnoteText"/>
        <w:ind w:left="142" w:hanging="142"/>
      </w:pPr>
      <w:r>
        <w:rPr>
          <w:rStyle w:val="FootnoteReference"/>
        </w:rPr>
        <w:footnoteRef/>
      </w:r>
      <w:r>
        <w:t xml:space="preserve"> (Page 62 of the Index: Hearing Bundle, Annexure SB2 – Transcript of the Telephonic Application conducted with the Applicant)</w:t>
      </w:r>
    </w:p>
  </w:footnote>
  <w:footnote w:id="8">
    <w:p w:rsidR="00456D4D" w:rsidRDefault="00456D4D">
      <w:pPr>
        <w:pStyle w:val="FootnoteText"/>
      </w:pPr>
      <w:r>
        <w:rPr>
          <w:rStyle w:val="FootnoteReference"/>
        </w:rPr>
        <w:footnoteRef/>
      </w:r>
      <w:r>
        <w:t xml:space="preserve"> (Pages 119 to 125 of the Index: Hearing Bundle, Annexures SB5; SB6 and SB7)</w:t>
      </w:r>
    </w:p>
  </w:footnote>
  <w:footnote w:id="9">
    <w:p w:rsidR="00924E5A" w:rsidRDefault="00924E5A" w:rsidP="00924E5A">
      <w:pPr>
        <w:pStyle w:val="FootnoteText"/>
        <w:ind w:left="142" w:hanging="142"/>
      </w:pPr>
      <w:r>
        <w:rPr>
          <w:rStyle w:val="FootnoteReference"/>
        </w:rPr>
        <w:footnoteRef/>
      </w:r>
      <w:r>
        <w:t xml:space="preserve"> (P</w:t>
      </w:r>
      <w:r w:rsidRPr="00924E5A">
        <w:t>age 131</w:t>
      </w:r>
      <w:r w:rsidR="00BA2157">
        <w:t xml:space="preserve"> to 132</w:t>
      </w:r>
      <w:r>
        <w:t xml:space="preserve"> of the Index: Hearing Bundle, Annexure SB8 – Telephonic Transcript in respect of the Limit Increase)</w:t>
      </w:r>
    </w:p>
  </w:footnote>
  <w:footnote w:id="10">
    <w:p w:rsidR="00575913" w:rsidRDefault="00575913" w:rsidP="00575913">
      <w:pPr>
        <w:pStyle w:val="FootnoteText"/>
        <w:ind w:left="142" w:hanging="142"/>
      </w:pPr>
      <w:r>
        <w:rPr>
          <w:rStyle w:val="FootnoteReference"/>
        </w:rPr>
        <w:footnoteRef/>
      </w:r>
      <w:r>
        <w:t xml:space="preserve"> Page 136 of the Index: Hearing Bundle, Annexure SB9 – Telephonic Transcript in Respect of the Credit   Insurance of the Credit Card)</w:t>
      </w:r>
    </w:p>
  </w:footnote>
  <w:footnote w:id="11">
    <w:p w:rsidR="006723DA" w:rsidRDefault="006723DA" w:rsidP="006723DA">
      <w:pPr>
        <w:pStyle w:val="FootnoteText"/>
        <w:ind w:left="142" w:hanging="142"/>
      </w:pPr>
      <w:r>
        <w:rPr>
          <w:rStyle w:val="FootnoteReference"/>
        </w:rPr>
        <w:footnoteRef/>
      </w:r>
      <w:r>
        <w:t xml:space="preserve"> </w:t>
      </w:r>
      <w:r w:rsidRPr="006723DA">
        <w:t>Page</w:t>
      </w:r>
      <w:r>
        <w:t>s</w:t>
      </w:r>
      <w:r w:rsidRPr="006723DA">
        <w:t xml:space="preserve"> 136</w:t>
      </w:r>
      <w:r>
        <w:t xml:space="preserve"> to 137</w:t>
      </w:r>
      <w:r w:rsidRPr="006723DA">
        <w:t xml:space="preserve"> of the Index: Hearing Bundle, Annexure SB9 – Telephonic Transc</w:t>
      </w:r>
      <w:r>
        <w:t xml:space="preserve">ript in Respect of the Credit </w:t>
      </w:r>
      <w:r w:rsidRPr="006723DA">
        <w:t>Insurance of the Credit Card)</w:t>
      </w:r>
    </w:p>
  </w:footnote>
  <w:footnote w:id="12">
    <w:p w:rsidR="00F64B67" w:rsidRDefault="00F64B67" w:rsidP="00F64B67">
      <w:pPr>
        <w:pStyle w:val="FootnoteText"/>
        <w:ind w:left="284" w:hanging="284"/>
      </w:pPr>
      <w:r>
        <w:rPr>
          <w:rStyle w:val="FootnoteReference"/>
        </w:rPr>
        <w:footnoteRef/>
      </w:r>
      <w:r>
        <w:t xml:space="preserve">  Page 71</w:t>
      </w:r>
      <w:r w:rsidRPr="00F64B67">
        <w:t xml:space="preserve"> of the Ind</w:t>
      </w:r>
      <w:r>
        <w:t xml:space="preserve">ex: Hearing Bundle, Annexure SB2 – </w:t>
      </w:r>
      <w:r w:rsidRPr="00F64B67">
        <w:t xml:space="preserve">Transcript </w:t>
      </w:r>
      <w:r>
        <w:t>of the Telephonic Application conducted with the Applicant</w:t>
      </w:r>
      <w:r w:rsidRPr="00F64B67">
        <w:t>)</w:t>
      </w:r>
    </w:p>
  </w:footnote>
  <w:footnote w:id="13">
    <w:p w:rsidR="000D42C7" w:rsidRDefault="000D42C7" w:rsidP="000D42C7">
      <w:pPr>
        <w:pStyle w:val="FootnoteText"/>
        <w:ind w:left="142" w:hanging="142"/>
      </w:pPr>
      <w:r>
        <w:rPr>
          <w:rStyle w:val="FootnoteReference"/>
        </w:rPr>
        <w:footnoteRef/>
      </w:r>
      <w:r>
        <w:t xml:space="preserve">  </w:t>
      </w:r>
      <w:r w:rsidRPr="000D42C7">
        <w:t>SA Taxi Securitisation (Pty) Ltd v Molete; SA Taxi Securitisation (Pty) Ltd v Makhoba (51330/09, 52948/09, 53080/09) [2010] ZAGPJHC 24; 2011 (1) SA 310 (GSJ) (30 March 2010)</w:t>
      </w:r>
      <w:r>
        <w:t xml:space="preserve"> </w:t>
      </w:r>
    </w:p>
  </w:footnote>
  <w:footnote w:id="14">
    <w:p w:rsidR="002B2656" w:rsidRDefault="002B2656" w:rsidP="009A486B">
      <w:pPr>
        <w:pStyle w:val="FootnoteText"/>
        <w:ind w:left="142" w:hanging="142"/>
      </w:pPr>
      <w:r>
        <w:rPr>
          <w:rStyle w:val="FootnoteReference"/>
        </w:rPr>
        <w:footnoteRef/>
      </w:r>
      <w:r>
        <w:t xml:space="preserve"> </w:t>
      </w:r>
      <w:r w:rsidR="001B3FDC">
        <w:t>(Page 129</w:t>
      </w:r>
      <w:r w:rsidR="009A486B" w:rsidRPr="009A486B">
        <w:t xml:space="preserve"> of the Ind</w:t>
      </w:r>
      <w:r w:rsidR="001B3FDC">
        <w:t>ex: Hearing Bundle, Annexure SB8 –Telephonic Transcripts in Respect of the Limit Increase</w:t>
      </w:r>
      <w:r w:rsidR="009A486B" w:rsidRPr="009A486B">
        <w:t>)</w:t>
      </w:r>
    </w:p>
  </w:footnote>
  <w:footnote w:id="15">
    <w:p w:rsidR="0005484B" w:rsidRDefault="0005484B">
      <w:pPr>
        <w:pStyle w:val="FootnoteText"/>
      </w:pPr>
      <w:r>
        <w:rPr>
          <w:rStyle w:val="FootnoteReference"/>
        </w:rPr>
        <w:footnoteRef/>
      </w:r>
      <w:r>
        <w:t xml:space="preserve"> </w:t>
      </w:r>
      <w:r w:rsidR="00A54648">
        <w:t xml:space="preserve">(Page 60 </w:t>
      </w:r>
      <w:r w:rsidR="00A54648" w:rsidRPr="00A54648">
        <w:t>of the Ind</w:t>
      </w:r>
      <w:r w:rsidR="00A54648">
        <w:t>ex: Hearing Bundle, Annexure SB2 – Transcript of the Telephonic Application conducted with the Applicant</w:t>
      </w:r>
      <w:r w:rsidR="00A54648" w:rsidRPr="00A54648">
        <w:t>)</w:t>
      </w:r>
    </w:p>
  </w:footnote>
  <w:footnote w:id="16">
    <w:p w:rsidR="003B2FD0" w:rsidRDefault="003B2FD0">
      <w:pPr>
        <w:pStyle w:val="FootnoteText"/>
      </w:pPr>
      <w:r>
        <w:rPr>
          <w:rStyle w:val="FootnoteReference"/>
        </w:rPr>
        <w:footnoteRef/>
      </w:r>
      <w:r>
        <w:t xml:space="preserve"> </w:t>
      </w:r>
      <w:r w:rsidRPr="003B2FD0">
        <w:t>(</w:t>
      </w:r>
      <w:r>
        <w:t xml:space="preserve">See the Letter from the Ombudsman dated </w:t>
      </w:r>
      <w:r w:rsidRPr="003B2FD0">
        <w:t>26 August 2019</w:t>
      </w:r>
      <w:r>
        <w:t xml:space="preserve"> on page 13 to 14</w:t>
      </w:r>
      <w:r w:rsidRPr="003B2FD0">
        <w:t>)</w:t>
      </w:r>
    </w:p>
  </w:footnote>
  <w:footnote w:id="17">
    <w:p w:rsidR="001E23F6" w:rsidRPr="001E23F6" w:rsidRDefault="001E23F6" w:rsidP="001E23F6">
      <w:pPr>
        <w:pStyle w:val="FootnoteText"/>
      </w:pPr>
      <w:r>
        <w:rPr>
          <w:rStyle w:val="FootnoteReference"/>
        </w:rPr>
        <w:footnoteRef/>
      </w:r>
      <w:r>
        <w:t xml:space="preserve"> </w:t>
      </w:r>
      <w:r w:rsidRPr="001E23F6">
        <w:t>Act 69 of 1969</w:t>
      </w:r>
    </w:p>
  </w:footnote>
  <w:footnote w:id="18">
    <w:p w:rsidR="006C3343" w:rsidRDefault="006C3343">
      <w:pPr>
        <w:pStyle w:val="FootnoteText"/>
      </w:pPr>
      <w:r>
        <w:rPr>
          <w:rStyle w:val="FootnoteReference"/>
        </w:rPr>
        <w:footnoteRef/>
      </w:r>
      <w:r>
        <w:t xml:space="preserve"> </w:t>
      </w:r>
      <w:r w:rsidRPr="006C3343">
        <w:t>See section 10(1) read with section 11(d) of the Prescription Act</w:t>
      </w:r>
      <w:r w:rsidR="00E54017">
        <w:t xml:space="preserve"> 69 of 1969</w:t>
      </w:r>
      <w:r w:rsidRPr="006C3343">
        <w:t>.</w:t>
      </w:r>
    </w:p>
  </w:footnote>
  <w:footnote w:id="19">
    <w:p w:rsidR="004232B5" w:rsidRDefault="004232B5">
      <w:pPr>
        <w:pStyle w:val="FootnoteText"/>
      </w:pPr>
      <w:r>
        <w:rPr>
          <w:rStyle w:val="FootnoteReference"/>
        </w:rPr>
        <w:footnoteRef/>
      </w:r>
      <w:r>
        <w:t xml:space="preserve"> (Applicant’s Founding Affidavit, page 4 of the Index: Hearing Bundle) </w:t>
      </w:r>
    </w:p>
  </w:footnote>
  <w:footnote w:id="20">
    <w:p w:rsidR="007B4936" w:rsidRPr="007B4936" w:rsidRDefault="007B4936" w:rsidP="00553BB0">
      <w:pPr>
        <w:pStyle w:val="FootnoteText"/>
        <w:ind w:left="142" w:hanging="142"/>
      </w:pPr>
      <w:r>
        <w:rPr>
          <w:rStyle w:val="FootnoteReference"/>
        </w:rPr>
        <w:footnoteRef/>
      </w:r>
      <w:r w:rsidR="00553BB0">
        <w:t xml:space="preserve"> </w:t>
      </w:r>
      <w:r w:rsidRPr="007B4936">
        <w:t>Johannes G Coetzee &amp; Seun and Another v Le Roux and Another (969/2020) [2022] ZASCA 47 (8 April 2022)</w:t>
      </w:r>
      <w:r>
        <w:t xml:space="preserve"> </w:t>
      </w:r>
      <w:r w:rsidRPr="007B4936">
        <w:t>Van Heerden &amp; Brummer Inc v Bath</w:t>
      </w:r>
    </w:p>
  </w:footnote>
  <w:footnote w:id="21">
    <w:p w:rsidR="007B4936" w:rsidRDefault="007B4936">
      <w:pPr>
        <w:pStyle w:val="FootnoteText"/>
      </w:pPr>
      <w:r>
        <w:rPr>
          <w:rStyle w:val="FootnoteReference"/>
        </w:rPr>
        <w:footnoteRef/>
      </w:r>
      <w:r>
        <w:t xml:space="preserve"> </w:t>
      </w:r>
      <w:r w:rsidRPr="007B4936">
        <w:t xml:space="preserve">MEC for Health, Western Cape v </w:t>
      </w:r>
      <w:r>
        <w:t>M C [2020] ZASCA 165 (SCA) para</w:t>
      </w:r>
      <w:r w:rsidRPr="007B4936">
        <w:t xml:space="preserve"> </w:t>
      </w:r>
      <w:r>
        <w:t>[</w:t>
      </w:r>
      <w:r w:rsidRPr="007B4936">
        <w:t>6</w:t>
      </w:r>
      <w:r>
        <w:t>] –</w:t>
      </w:r>
      <w:r w:rsidR="00E7572D">
        <w:t xml:space="preserve"> </w:t>
      </w:r>
      <w:r>
        <w:t>[</w:t>
      </w:r>
      <w:r w:rsidRPr="007B4936">
        <w:t>7</w:t>
      </w:r>
      <w:r>
        <w:t>]</w:t>
      </w:r>
    </w:p>
  </w:footnote>
  <w:footnote w:id="22">
    <w:p w:rsidR="00553BB0" w:rsidRDefault="00553BB0">
      <w:pPr>
        <w:pStyle w:val="FootnoteText"/>
      </w:pPr>
      <w:r>
        <w:rPr>
          <w:rStyle w:val="FootnoteReference"/>
        </w:rPr>
        <w:footnoteRef/>
      </w:r>
      <w:r>
        <w:t xml:space="preserve"> (See </w:t>
      </w:r>
      <w:r w:rsidRPr="00553BB0">
        <w:t>Van Heerden &amp; Brummer Inc v Bath (356/2020) [2021] ZASCA 80 (11 June 2021)</w:t>
      </w:r>
      <w:r>
        <w:t>)</w:t>
      </w:r>
    </w:p>
  </w:footnote>
  <w:footnote w:id="23">
    <w:p w:rsidR="00986DCE" w:rsidRDefault="00986DCE">
      <w:pPr>
        <w:pStyle w:val="FootnoteText"/>
      </w:pPr>
      <w:r>
        <w:rPr>
          <w:rStyle w:val="FootnoteReference"/>
        </w:rPr>
        <w:footnoteRef/>
      </w:r>
      <w:r>
        <w:t xml:space="preserve"> </w:t>
      </w:r>
      <w:r w:rsidRPr="00986DCE">
        <w:t>[2009] ZASCA 25 (2009) 3 ALL 475 (SCA)</w:t>
      </w:r>
    </w:p>
  </w:footnote>
  <w:footnote w:id="24">
    <w:p w:rsidR="008C3AC7" w:rsidRDefault="008C3AC7">
      <w:pPr>
        <w:pStyle w:val="FootnoteText"/>
      </w:pPr>
      <w:r>
        <w:rPr>
          <w:rStyle w:val="FootnoteReference"/>
        </w:rPr>
        <w:footnoteRef/>
      </w:r>
      <w:r>
        <w:t xml:space="preserve"> </w:t>
      </w:r>
      <w:r w:rsidRPr="008C3AC7">
        <w:t>(299/2020) [2021] ZASCA 45 (15 April 2021)</w:t>
      </w:r>
      <w:r>
        <w:t xml:space="preserve"> at para [38]</w:t>
      </w:r>
    </w:p>
  </w:footnote>
  <w:footnote w:id="25">
    <w:p w:rsidR="00176859" w:rsidRDefault="00176859" w:rsidP="00176859">
      <w:pPr>
        <w:pStyle w:val="FootnoteText"/>
        <w:ind w:left="142" w:hanging="142"/>
      </w:pPr>
      <w:r>
        <w:rPr>
          <w:rStyle w:val="FootnoteReference"/>
        </w:rPr>
        <w:footnoteRef/>
      </w:r>
      <w:r>
        <w:t xml:space="preserve"> </w:t>
      </w:r>
      <w:r w:rsidRPr="00176859">
        <w:t>(See Ferreirer v Levin NO and Others; Vryenhoek and Others v Powell NO and Others 1996 (2) SA 621 (CC), 1996 (4) BCLR 441 [1996] ZACC 27)</w:t>
      </w:r>
    </w:p>
  </w:footnote>
  <w:footnote w:id="26">
    <w:p w:rsidR="00BA1826" w:rsidRDefault="00BA1826">
      <w:pPr>
        <w:pStyle w:val="FootnoteText"/>
      </w:pPr>
      <w:r>
        <w:rPr>
          <w:rStyle w:val="FootnoteReference"/>
        </w:rPr>
        <w:footnoteRef/>
      </w:r>
      <w:r>
        <w:t xml:space="preserve"> </w:t>
      </w:r>
      <w:r w:rsidRPr="00BA1826">
        <w:t>(see Motaung v Mukubela and Another, NNO; Motaung v Mothiba NO 1975 (1) SA 618 (O) at 631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25677"/>
      <w:docPartObj>
        <w:docPartGallery w:val="Page Numbers (Top of Page)"/>
        <w:docPartUnique/>
      </w:docPartObj>
    </w:sdtPr>
    <w:sdtEndPr>
      <w:rPr>
        <w:noProof/>
      </w:rPr>
    </w:sdtEndPr>
    <w:sdtContent>
      <w:p w:rsidR="008250BC" w:rsidRDefault="008250BC">
        <w:pPr>
          <w:pStyle w:val="Header"/>
          <w:jc w:val="right"/>
        </w:pPr>
        <w:r>
          <w:fldChar w:fldCharType="begin"/>
        </w:r>
        <w:r>
          <w:instrText xml:space="preserve"> PAGE   \* MERGEFORMAT </w:instrText>
        </w:r>
        <w:r>
          <w:fldChar w:fldCharType="separate"/>
        </w:r>
        <w:r w:rsidR="00DC21F9">
          <w:rPr>
            <w:noProof/>
          </w:rPr>
          <w:t>2</w:t>
        </w:r>
        <w:r>
          <w:rPr>
            <w:noProof/>
          </w:rPr>
          <w:fldChar w:fldCharType="end"/>
        </w:r>
      </w:p>
    </w:sdtContent>
  </w:sdt>
  <w:p w:rsidR="008250BC" w:rsidRDefault="008250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5FD"/>
    <w:multiLevelType w:val="hybridMultilevel"/>
    <w:tmpl w:val="B80408E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 w15:restartNumberingAfterBreak="0">
    <w:nsid w:val="491616BF"/>
    <w:multiLevelType w:val="hybridMultilevel"/>
    <w:tmpl w:val="A62465EE"/>
    <w:lvl w:ilvl="0" w:tplc="F8743E8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4D"/>
    <w:rsid w:val="00006BDA"/>
    <w:rsid w:val="00035049"/>
    <w:rsid w:val="0004574A"/>
    <w:rsid w:val="0005484B"/>
    <w:rsid w:val="00067BC9"/>
    <w:rsid w:val="00084B15"/>
    <w:rsid w:val="0008531F"/>
    <w:rsid w:val="000C3CA3"/>
    <w:rsid w:val="000D42C7"/>
    <w:rsid w:val="000F1868"/>
    <w:rsid w:val="00116287"/>
    <w:rsid w:val="0015753F"/>
    <w:rsid w:val="00164B1B"/>
    <w:rsid w:val="00176859"/>
    <w:rsid w:val="001B0AB1"/>
    <w:rsid w:val="001B3FDC"/>
    <w:rsid w:val="001D3635"/>
    <w:rsid w:val="001D6A3D"/>
    <w:rsid w:val="001E23F6"/>
    <w:rsid w:val="001F7A4C"/>
    <w:rsid w:val="00210CCB"/>
    <w:rsid w:val="00262DB0"/>
    <w:rsid w:val="00297239"/>
    <w:rsid w:val="0029798C"/>
    <w:rsid w:val="002B17AB"/>
    <w:rsid w:val="002B2656"/>
    <w:rsid w:val="002B4837"/>
    <w:rsid w:val="002C66AD"/>
    <w:rsid w:val="002C7910"/>
    <w:rsid w:val="00311A6F"/>
    <w:rsid w:val="00312471"/>
    <w:rsid w:val="00332943"/>
    <w:rsid w:val="003532EB"/>
    <w:rsid w:val="00357566"/>
    <w:rsid w:val="00371FB7"/>
    <w:rsid w:val="003A479A"/>
    <w:rsid w:val="003B2FD0"/>
    <w:rsid w:val="003B3689"/>
    <w:rsid w:val="004232B5"/>
    <w:rsid w:val="0042661A"/>
    <w:rsid w:val="00450562"/>
    <w:rsid w:val="0045080D"/>
    <w:rsid w:val="00456D4D"/>
    <w:rsid w:val="00472C57"/>
    <w:rsid w:val="0048689E"/>
    <w:rsid w:val="004949C5"/>
    <w:rsid w:val="00496014"/>
    <w:rsid w:val="004A5C0A"/>
    <w:rsid w:val="004B61F2"/>
    <w:rsid w:val="004C32EB"/>
    <w:rsid w:val="004D7BF0"/>
    <w:rsid w:val="004E2B79"/>
    <w:rsid w:val="004F62CE"/>
    <w:rsid w:val="00540209"/>
    <w:rsid w:val="00544182"/>
    <w:rsid w:val="00553BB0"/>
    <w:rsid w:val="00572367"/>
    <w:rsid w:val="005748C5"/>
    <w:rsid w:val="00574BD4"/>
    <w:rsid w:val="00575913"/>
    <w:rsid w:val="005D682C"/>
    <w:rsid w:val="005F6104"/>
    <w:rsid w:val="00636271"/>
    <w:rsid w:val="006723DA"/>
    <w:rsid w:val="00694529"/>
    <w:rsid w:val="006A578F"/>
    <w:rsid w:val="006B5C23"/>
    <w:rsid w:val="006C3343"/>
    <w:rsid w:val="006D2D12"/>
    <w:rsid w:val="006E7751"/>
    <w:rsid w:val="00713950"/>
    <w:rsid w:val="00781FA9"/>
    <w:rsid w:val="007B4936"/>
    <w:rsid w:val="007C3F4B"/>
    <w:rsid w:val="007C73CC"/>
    <w:rsid w:val="007E6672"/>
    <w:rsid w:val="007F2827"/>
    <w:rsid w:val="007F298F"/>
    <w:rsid w:val="0080726E"/>
    <w:rsid w:val="008250BC"/>
    <w:rsid w:val="00851399"/>
    <w:rsid w:val="008A2A2D"/>
    <w:rsid w:val="008B6A22"/>
    <w:rsid w:val="008C007D"/>
    <w:rsid w:val="008C3AC7"/>
    <w:rsid w:val="008D003C"/>
    <w:rsid w:val="008F60C7"/>
    <w:rsid w:val="008F71F7"/>
    <w:rsid w:val="008F7A0F"/>
    <w:rsid w:val="00911140"/>
    <w:rsid w:val="00912682"/>
    <w:rsid w:val="00914175"/>
    <w:rsid w:val="00924E5A"/>
    <w:rsid w:val="00925A25"/>
    <w:rsid w:val="00941CD7"/>
    <w:rsid w:val="0095270D"/>
    <w:rsid w:val="00967EF6"/>
    <w:rsid w:val="009851B3"/>
    <w:rsid w:val="00986DCE"/>
    <w:rsid w:val="009A486B"/>
    <w:rsid w:val="009D343C"/>
    <w:rsid w:val="00A06B6E"/>
    <w:rsid w:val="00A54648"/>
    <w:rsid w:val="00A6379A"/>
    <w:rsid w:val="00A7124E"/>
    <w:rsid w:val="00A9333F"/>
    <w:rsid w:val="00AA04DB"/>
    <w:rsid w:val="00AA5168"/>
    <w:rsid w:val="00B53A16"/>
    <w:rsid w:val="00B63E0E"/>
    <w:rsid w:val="00B7218C"/>
    <w:rsid w:val="00B73755"/>
    <w:rsid w:val="00B90E4D"/>
    <w:rsid w:val="00BA1826"/>
    <w:rsid w:val="00BA2157"/>
    <w:rsid w:val="00BA703C"/>
    <w:rsid w:val="00BC0960"/>
    <w:rsid w:val="00BC60E8"/>
    <w:rsid w:val="00C138F2"/>
    <w:rsid w:val="00C23745"/>
    <w:rsid w:val="00C4014D"/>
    <w:rsid w:val="00C4685F"/>
    <w:rsid w:val="00C71C04"/>
    <w:rsid w:val="00C81005"/>
    <w:rsid w:val="00C83F10"/>
    <w:rsid w:val="00CC11A0"/>
    <w:rsid w:val="00CC43A5"/>
    <w:rsid w:val="00CD34AD"/>
    <w:rsid w:val="00CE53C8"/>
    <w:rsid w:val="00D0795F"/>
    <w:rsid w:val="00D3368E"/>
    <w:rsid w:val="00D71A3F"/>
    <w:rsid w:val="00D7478C"/>
    <w:rsid w:val="00D815F1"/>
    <w:rsid w:val="00D8390E"/>
    <w:rsid w:val="00D94DC4"/>
    <w:rsid w:val="00D96B32"/>
    <w:rsid w:val="00DA67CE"/>
    <w:rsid w:val="00DB5B5F"/>
    <w:rsid w:val="00DC21F9"/>
    <w:rsid w:val="00DE004E"/>
    <w:rsid w:val="00E24000"/>
    <w:rsid w:val="00E377BF"/>
    <w:rsid w:val="00E54017"/>
    <w:rsid w:val="00E7572D"/>
    <w:rsid w:val="00E8028D"/>
    <w:rsid w:val="00EE5454"/>
    <w:rsid w:val="00EE6C19"/>
    <w:rsid w:val="00F32668"/>
    <w:rsid w:val="00F3535B"/>
    <w:rsid w:val="00F64416"/>
    <w:rsid w:val="00F64B67"/>
    <w:rsid w:val="00F83A8C"/>
    <w:rsid w:val="00FA5AC6"/>
    <w:rsid w:val="00FC61B3"/>
    <w:rsid w:val="00FC7E0F"/>
    <w:rsid w:val="00FF6E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6379-A2A3-4C53-8A34-311C257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38F2"/>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4D"/>
    <w:pPr>
      <w:ind w:left="720"/>
      <w:contextualSpacing/>
    </w:pPr>
  </w:style>
  <w:style w:type="character" w:customStyle="1" w:styleId="Heading1Char">
    <w:name w:val="Heading 1 Char"/>
    <w:basedOn w:val="DefaultParagraphFont"/>
    <w:link w:val="Heading1"/>
    <w:rsid w:val="00C138F2"/>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C1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138F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138F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2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BC"/>
  </w:style>
  <w:style w:type="paragraph" w:styleId="Footer">
    <w:name w:val="footer"/>
    <w:basedOn w:val="Normal"/>
    <w:link w:val="FooterChar"/>
    <w:uiPriority w:val="99"/>
    <w:unhideWhenUsed/>
    <w:rsid w:val="0082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BC"/>
  </w:style>
  <w:style w:type="paragraph" w:styleId="FootnoteText">
    <w:name w:val="footnote text"/>
    <w:basedOn w:val="Normal"/>
    <w:link w:val="FootnoteTextChar"/>
    <w:uiPriority w:val="99"/>
    <w:semiHidden/>
    <w:unhideWhenUsed/>
    <w:rsid w:val="00311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A6F"/>
    <w:rPr>
      <w:sz w:val="20"/>
      <w:szCs w:val="20"/>
    </w:rPr>
  </w:style>
  <w:style w:type="character" w:styleId="FootnoteReference">
    <w:name w:val="footnote reference"/>
    <w:basedOn w:val="DefaultParagraphFont"/>
    <w:uiPriority w:val="99"/>
    <w:semiHidden/>
    <w:unhideWhenUsed/>
    <w:rsid w:val="00311A6F"/>
    <w:rPr>
      <w:vertAlign w:val="superscript"/>
    </w:rPr>
  </w:style>
  <w:style w:type="paragraph" w:styleId="BalloonText">
    <w:name w:val="Balloon Text"/>
    <w:basedOn w:val="Normal"/>
    <w:link w:val="BalloonTextChar"/>
    <w:uiPriority w:val="99"/>
    <w:semiHidden/>
    <w:unhideWhenUsed/>
    <w:rsid w:val="009A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A87B-9AD0-481E-BC7D-3575AEE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Judge-Sharon  Chesiwe</dc:creator>
  <cp:keywords/>
  <dc:description/>
  <cp:lastModifiedBy>Mary Bruce</cp:lastModifiedBy>
  <cp:revision>5</cp:revision>
  <cp:lastPrinted>2023-11-08T08:18:00Z</cp:lastPrinted>
  <dcterms:created xsi:type="dcterms:W3CDTF">2023-11-06T16:38:00Z</dcterms:created>
  <dcterms:modified xsi:type="dcterms:W3CDTF">2023-11-10T16:47:00Z</dcterms:modified>
</cp:coreProperties>
</file>