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108" w:rsidRDefault="00222108" w:rsidP="00222108">
      <w:pPr>
        <w:spacing w:line="360" w:lineRule="auto"/>
        <w:jc w:val="center"/>
      </w:pPr>
      <w:r>
        <w:rPr>
          <w:noProof/>
          <w:lang w:val="en-US"/>
        </w:rPr>
        <w:drawing>
          <wp:anchor distT="0" distB="0" distL="114300" distR="114300" simplePos="0" relativeHeight="251658240" behindDoc="1" locked="0" layoutInCell="1" allowOverlap="1">
            <wp:simplePos x="0" y="0"/>
            <wp:positionH relativeFrom="margin">
              <wp:posOffset>1958453</wp:posOffset>
            </wp:positionH>
            <wp:positionV relativeFrom="paragraph">
              <wp:posOffset>-566383</wp:posOffset>
            </wp:positionV>
            <wp:extent cx="1972101" cy="1926725"/>
            <wp:effectExtent l="0" t="0" r="9525"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75817" cy="1930355"/>
                    </a:xfrm>
                    <a:prstGeom prst="rect">
                      <a:avLst/>
                    </a:prstGeom>
                    <a:noFill/>
                  </pic:spPr>
                </pic:pic>
              </a:graphicData>
            </a:graphic>
            <wp14:sizeRelH relativeFrom="page">
              <wp14:pctWidth>0</wp14:pctWidth>
            </wp14:sizeRelH>
            <wp14:sizeRelV relativeFrom="page">
              <wp14:pctHeight>0</wp14:pctHeight>
            </wp14:sizeRelV>
          </wp:anchor>
        </w:drawing>
      </w:r>
    </w:p>
    <w:p w:rsidR="00222108" w:rsidRDefault="00222108" w:rsidP="00222108">
      <w:pPr>
        <w:pStyle w:val="Heading1"/>
        <w:spacing w:line="360" w:lineRule="auto"/>
        <w:rPr>
          <w:szCs w:val="24"/>
        </w:rPr>
      </w:pPr>
    </w:p>
    <w:p w:rsidR="00222108" w:rsidRDefault="00222108" w:rsidP="00222108">
      <w:pPr>
        <w:pStyle w:val="Heading1"/>
        <w:spacing w:line="360" w:lineRule="auto"/>
        <w:rPr>
          <w:szCs w:val="24"/>
        </w:rPr>
      </w:pPr>
    </w:p>
    <w:p w:rsidR="00222108" w:rsidRDefault="00222108" w:rsidP="00222108">
      <w:pPr>
        <w:spacing w:line="360" w:lineRule="auto"/>
        <w:jc w:val="center"/>
        <w:rPr>
          <w:b/>
          <w:sz w:val="16"/>
          <w:szCs w:val="16"/>
          <w:u w:val="single"/>
        </w:rPr>
      </w:pPr>
    </w:p>
    <w:p w:rsidR="00222108" w:rsidRDefault="00222108" w:rsidP="00222108">
      <w:pPr>
        <w:spacing w:line="360" w:lineRule="auto"/>
        <w:jc w:val="center"/>
        <w:rPr>
          <w:b/>
          <w:sz w:val="28"/>
          <w:szCs w:val="28"/>
          <w:u w:val="single"/>
        </w:rPr>
      </w:pPr>
    </w:p>
    <w:p w:rsidR="00222108" w:rsidRDefault="00222108" w:rsidP="00222108">
      <w:pPr>
        <w:spacing w:line="360" w:lineRule="auto"/>
        <w:jc w:val="center"/>
        <w:rPr>
          <w:rFonts w:ascii="Arial" w:hAnsi="Arial" w:cs="Arial"/>
          <w:b/>
          <w:sz w:val="24"/>
          <w:szCs w:val="24"/>
          <w:u w:val="single"/>
        </w:rPr>
      </w:pPr>
      <w:r>
        <w:rPr>
          <w:rFonts w:ascii="Arial" w:hAnsi="Arial" w:cs="Arial"/>
          <w:b/>
          <w:sz w:val="24"/>
          <w:szCs w:val="24"/>
          <w:u w:val="single"/>
        </w:rPr>
        <w:t>IN THE HIGH COURT OF SOUTH AFRICA,</w:t>
      </w:r>
    </w:p>
    <w:p w:rsidR="0032719B" w:rsidRPr="00AA429D" w:rsidRDefault="00222108" w:rsidP="00AA429D">
      <w:pPr>
        <w:spacing w:line="360" w:lineRule="auto"/>
        <w:jc w:val="center"/>
        <w:rPr>
          <w:rFonts w:ascii="Arial" w:hAnsi="Arial" w:cs="Arial"/>
          <w:b/>
          <w:sz w:val="24"/>
          <w:szCs w:val="24"/>
          <w:u w:val="single"/>
        </w:rPr>
      </w:pPr>
      <w:r>
        <w:rPr>
          <w:rFonts w:ascii="Arial" w:hAnsi="Arial" w:cs="Arial"/>
          <w:b/>
          <w:sz w:val="24"/>
          <w:szCs w:val="24"/>
          <w:u w:val="single"/>
        </w:rPr>
        <w:t>FREE STATE DIVISION, BLOEMFONTEIN</w:t>
      </w:r>
    </w:p>
    <w:tbl>
      <w:tblPr>
        <w:tblStyle w:val="TableGrid"/>
        <w:tblW w:w="0" w:type="auto"/>
        <w:tblInd w:w="5353" w:type="dxa"/>
        <w:tblLook w:val="04A0" w:firstRow="1" w:lastRow="0" w:firstColumn="1" w:lastColumn="0" w:noHBand="0" w:noVBand="1"/>
      </w:tblPr>
      <w:tblGrid>
        <w:gridCol w:w="3119"/>
      </w:tblGrid>
      <w:tr w:rsidR="0032719B" w:rsidTr="0032719B">
        <w:trPr>
          <w:trHeight w:val="642"/>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719B" w:rsidRDefault="0032719B">
            <w:pPr>
              <w:tabs>
                <w:tab w:val="right" w:pos="2702"/>
              </w:tabs>
              <w:rPr>
                <w:rFonts w:ascii="Arial" w:eastAsia="Times New Roman" w:hAnsi="Arial" w:cs="Arial"/>
                <w:b/>
                <w:sz w:val="16"/>
                <w:szCs w:val="16"/>
                <w:lang w:eastAsia="en-GB"/>
              </w:rPr>
            </w:pPr>
            <w:r>
              <w:rPr>
                <w:rFonts w:ascii="Arial" w:hAnsi="Arial" w:cs="Arial"/>
                <w:b/>
                <w:sz w:val="16"/>
                <w:szCs w:val="16"/>
              </w:rPr>
              <w:t>Reportable:                               YES/NO</w:t>
            </w:r>
          </w:p>
          <w:p w:rsidR="0032719B" w:rsidRDefault="0032719B">
            <w:pPr>
              <w:tabs>
                <w:tab w:val="right" w:pos="2702"/>
              </w:tabs>
              <w:rPr>
                <w:rFonts w:ascii="Arial" w:hAnsi="Arial" w:cs="Arial"/>
                <w:b/>
                <w:sz w:val="16"/>
                <w:szCs w:val="16"/>
              </w:rPr>
            </w:pPr>
            <w:r>
              <w:rPr>
                <w:rFonts w:ascii="Arial" w:hAnsi="Arial" w:cs="Arial"/>
                <w:b/>
                <w:sz w:val="16"/>
                <w:szCs w:val="16"/>
              </w:rPr>
              <w:t>Of Interest to other Judges:   YES/NO</w:t>
            </w:r>
          </w:p>
          <w:p w:rsidR="0032719B" w:rsidRDefault="0032719B">
            <w:pPr>
              <w:tabs>
                <w:tab w:val="right" w:pos="2702"/>
              </w:tabs>
              <w:rPr>
                <w:rFonts w:ascii="Arial" w:eastAsia="Times New Roman" w:hAnsi="Arial" w:cs="Arial"/>
                <w:b/>
                <w:sz w:val="16"/>
                <w:szCs w:val="16"/>
                <w:u w:val="single"/>
                <w:lang w:eastAsia="en-GB"/>
              </w:rPr>
            </w:pPr>
            <w:r>
              <w:rPr>
                <w:rFonts w:ascii="Arial" w:hAnsi="Arial" w:cs="Arial"/>
                <w:b/>
                <w:sz w:val="16"/>
                <w:szCs w:val="16"/>
              </w:rPr>
              <w:t>Circulate to Magistrates:         YES/NO</w:t>
            </w:r>
          </w:p>
        </w:tc>
      </w:tr>
    </w:tbl>
    <w:p w:rsidR="00AA429D" w:rsidRDefault="00AA429D" w:rsidP="00AA429D">
      <w:pPr>
        <w:spacing w:after="0" w:line="360" w:lineRule="auto"/>
        <w:jc w:val="right"/>
        <w:rPr>
          <w:rFonts w:ascii="Arial" w:hAnsi="Arial" w:cs="Arial"/>
          <w:color w:val="00B050"/>
          <w:sz w:val="24"/>
          <w:szCs w:val="24"/>
        </w:rPr>
      </w:pPr>
    </w:p>
    <w:p w:rsidR="0032719B" w:rsidRDefault="0032719B" w:rsidP="00AA429D">
      <w:pPr>
        <w:spacing w:line="360" w:lineRule="auto"/>
        <w:jc w:val="right"/>
        <w:rPr>
          <w:rFonts w:ascii="Arial" w:eastAsia="Batang" w:hAnsi="Arial" w:cs="Arial"/>
          <w:sz w:val="24"/>
          <w:szCs w:val="24"/>
          <w:lang w:eastAsia="en-ZA"/>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357607">
        <w:rPr>
          <w:rFonts w:ascii="Arial" w:eastAsia="Batang" w:hAnsi="Arial" w:cs="Arial"/>
          <w:sz w:val="24"/>
          <w:szCs w:val="24"/>
          <w:lang w:eastAsia="en-ZA"/>
        </w:rPr>
        <w:t>Case Number: A94/2022</w:t>
      </w:r>
    </w:p>
    <w:p w:rsidR="0032719B" w:rsidRDefault="0032719B" w:rsidP="0032719B">
      <w:pPr>
        <w:spacing w:after="0" w:line="240" w:lineRule="auto"/>
        <w:rPr>
          <w:rFonts w:ascii="Arial" w:eastAsia="Batang" w:hAnsi="Arial" w:cs="Arial"/>
          <w:sz w:val="24"/>
          <w:szCs w:val="24"/>
          <w:lang w:eastAsia="en-ZA"/>
        </w:rPr>
      </w:pPr>
    </w:p>
    <w:p w:rsidR="0032719B" w:rsidRDefault="0032719B" w:rsidP="0032719B">
      <w:pPr>
        <w:spacing w:after="0" w:line="240" w:lineRule="auto"/>
        <w:rPr>
          <w:rFonts w:ascii="Arial" w:eastAsia="Batang" w:hAnsi="Arial" w:cs="Arial"/>
          <w:sz w:val="24"/>
          <w:szCs w:val="24"/>
          <w:lang w:eastAsia="en-ZA"/>
        </w:rPr>
      </w:pPr>
      <w:r>
        <w:rPr>
          <w:rFonts w:ascii="Arial" w:eastAsia="Batang" w:hAnsi="Arial" w:cs="Arial"/>
          <w:sz w:val="24"/>
          <w:szCs w:val="24"/>
          <w:lang w:eastAsia="en-ZA"/>
        </w:rPr>
        <w:t>In the matter between:</w:t>
      </w:r>
    </w:p>
    <w:p w:rsidR="0032719B" w:rsidRDefault="0032719B" w:rsidP="0032719B">
      <w:pPr>
        <w:spacing w:after="0" w:line="240" w:lineRule="auto"/>
        <w:rPr>
          <w:rFonts w:ascii="Arial" w:eastAsia="Batang" w:hAnsi="Arial" w:cs="Arial"/>
          <w:sz w:val="24"/>
          <w:szCs w:val="24"/>
          <w:lang w:eastAsia="en-ZA"/>
        </w:rPr>
      </w:pPr>
    </w:p>
    <w:p w:rsidR="0032719B" w:rsidRDefault="00222108" w:rsidP="0032719B">
      <w:pPr>
        <w:spacing w:after="0" w:line="240" w:lineRule="auto"/>
        <w:rPr>
          <w:rFonts w:ascii="Arial" w:eastAsia="Batang" w:hAnsi="Arial" w:cs="Arial"/>
          <w:sz w:val="24"/>
          <w:szCs w:val="24"/>
          <w:lang w:eastAsia="en-ZA"/>
        </w:rPr>
      </w:pPr>
      <w:r>
        <w:rPr>
          <w:rFonts w:ascii="Arial" w:eastAsia="Batang" w:hAnsi="Arial" w:cs="Arial"/>
          <w:b/>
          <w:sz w:val="24"/>
          <w:szCs w:val="24"/>
          <w:lang w:eastAsia="en-ZA"/>
        </w:rPr>
        <w:t>TSHEPO JOHN SEBATI</w:t>
      </w:r>
      <w:r w:rsidR="0032719B">
        <w:rPr>
          <w:rFonts w:ascii="Arial" w:eastAsia="Batang" w:hAnsi="Arial" w:cs="Arial"/>
          <w:b/>
          <w:sz w:val="24"/>
          <w:szCs w:val="24"/>
          <w:lang w:eastAsia="en-ZA"/>
        </w:rPr>
        <w:tab/>
      </w:r>
      <w:r w:rsidR="0032719B">
        <w:rPr>
          <w:rFonts w:ascii="Arial" w:eastAsia="Batang" w:hAnsi="Arial" w:cs="Arial"/>
          <w:b/>
          <w:sz w:val="24"/>
          <w:szCs w:val="24"/>
          <w:lang w:eastAsia="en-ZA"/>
        </w:rPr>
        <w:tab/>
      </w:r>
      <w:r w:rsidR="0032719B">
        <w:rPr>
          <w:rFonts w:ascii="Arial" w:eastAsia="Batang" w:hAnsi="Arial" w:cs="Arial"/>
          <w:b/>
          <w:sz w:val="24"/>
          <w:szCs w:val="24"/>
          <w:lang w:eastAsia="en-ZA"/>
        </w:rPr>
        <w:tab/>
      </w:r>
      <w:r w:rsidR="0032719B">
        <w:rPr>
          <w:rFonts w:ascii="Arial" w:eastAsia="Batang" w:hAnsi="Arial" w:cs="Arial"/>
          <w:sz w:val="24"/>
          <w:szCs w:val="24"/>
          <w:lang w:eastAsia="en-ZA"/>
        </w:rPr>
        <w:t xml:space="preserve">                                  </w:t>
      </w:r>
      <w:r w:rsidR="0032719B">
        <w:rPr>
          <w:rFonts w:ascii="Arial" w:eastAsia="Batang" w:hAnsi="Arial" w:cs="Arial"/>
          <w:sz w:val="24"/>
          <w:szCs w:val="24"/>
          <w:lang w:eastAsia="en-ZA"/>
        </w:rPr>
        <w:tab/>
        <w:t xml:space="preserve">       Appellant</w:t>
      </w:r>
    </w:p>
    <w:p w:rsidR="0032719B" w:rsidRDefault="0032719B" w:rsidP="0032719B">
      <w:pPr>
        <w:tabs>
          <w:tab w:val="right" w:pos="8280"/>
        </w:tabs>
        <w:spacing w:after="0" w:line="240" w:lineRule="auto"/>
        <w:jc w:val="both"/>
        <w:rPr>
          <w:rFonts w:ascii="Arial" w:eastAsia="Batang" w:hAnsi="Arial" w:cs="Arial"/>
          <w:sz w:val="24"/>
          <w:szCs w:val="24"/>
          <w:lang w:eastAsia="en-ZA"/>
        </w:rPr>
      </w:pPr>
    </w:p>
    <w:p w:rsidR="0032719B" w:rsidRDefault="0032719B" w:rsidP="0032719B">
      <w:pPr>
        <w:tabs>
          <w:tab w:val="right" w:pos="8280"/>
        </w:tabs>
        <w:spacing w:after="0" w:line="240" w:lineRule="auto"/>
        <w:jc w:val="both"/>
        <w:rPr>
          <w:rFonts w:ascii="Arial" w:eastAsia="Batang" w:hAnsi="Arial" w:cs="Arial"/>
          <w:sz w:val="24"/>
          <w:szCs w:val="24"/>
          <w:lang w:eastAsia="en-ZA"/>
        </w:rPr>
      </w:pPr>
      <w:r>
        <w:rPr>
          <w:rFonts w:ascii="Arial" w:eastAsia="Batang" w:hAnsi="Arial" w:cs="Arial"/>
          <w:sz w:val="24"/>
          <w:szCs w:val="24"/>
          <w:lang w:eastAsia="en-ZA"/>
        </w:rPr>
        <w:t>and</w:t>
      </w:r>
    </w:p>
    <w:p w:rsidR="0032719B" w:rsidRDefault="0032719B" w:rsidP="0032719B">
      <w:pPr>
        <w:tabs>
          <w:tab w:val="right" w:pos="8280"/>
        </w:tabs>
        <w:spacing w:after="0" w:line="240" w:lineRule="auto"/>
        <w:jc w:val="both"/>
        <w:rPr>
          <w:rFonts w:ascii="Arial" w:eastAsia="Batang" w:hAnsi="Arial" w:cs="Arial"/>
          <w:b/>
          <w:sz w:val="24"/>
          <w:szCs w:val="24"/>
          <w:u w:val="single"/>
          <w:lang w:eastAsia="en-ZA"/>
        </w:rPr>
      </w:pPr>
    </w:p>
    <w:p w:rsidR="0032719B" w:rsidRDefault="0032719B" w:rsidP="0032719B">
      <w:pPr>
        <w:spacing w:after="0" w:line="240" w:lineRule="auto"/>
        <w:rPr>
          <w:rFonts w:ascii="Arial" w:eastAsia="Batang" w:hAnsi="Arial" w:cs="Arial"/>
          <w:b/>
          <w:sz w:val="24"/>
          <w:szCs w:val="24"/>
          <w:lang w:eastAsia="en-ZA"/>
        </w:rPr>
      </w:pPr>
      <w:r>
        <w:rPr>
          <w:rFonts w:ascii="Arial" w:eastAsia="Batang" w:hAnsi="Arial" w:cs="Arial"/>
          <w:b/>
          <w:sz w:val="24"/>
          <w:szCs w:val="24"/>
          <w:lang w:eastAsia="en-ZA"/>
        </w:rPr>
        <w:t>THE STATE</w:t>
      </w:r>
      <w:r>
        <w:rPr>
          <w:rFonts w:ascii="Arial" w:eastAsia="Batang" w:hAnsi="Arial" w:cs="Arial"/>
          <w:b/>
          <w:sz w:val="24"/>
          <w:szCs w:val="24"/>
          <w:lang w:eastAsia="en-ZA"/>
        </w:rPr>
        <w:tab/>
      </w:r>
      <w:r>
        <w:rPr>
          <w:rFonts w:ascii="Arial" w:eastAsia="Batang" w:hAnsi="Arial" w:cs="Arial"/>
          <w:b/>
          <w:sz w:val="24"/>
          <w:szCs w:val="24"/>
          <w:lang w:eastAsia="en-ZA"/>
        </w:rPr>
        <w:tab/>
      </w:r>
      <w:r>
        <w:rPr>
          <w:rFonts w:ascii="Arial" w:eastAsia="Batang" w:hAnsi="Arial" w:cs="Arial"/>
          <w:b/>
          <w:sz w:val="24"/>
          <w:szCs w:val="24"/>
          <w:lang w:eastAsia="en-ZA"/>
        </w:rPr>
        <w:tab/>
      </w:r>
      <w:r>
        <w:rPr>
          <w:rFonts w:ascii="Arial" w:eastAsia="Batang" w:hAnsi="Arial" w:cs="Arial"/>
          <w:b/>
          <w:sz w:val="24"/>
          <w:szCs w:val="24"/>
          <w:lang w:eastAsia="en-ZA"/>
        </w:rPr>
        <w:tab/>
      </w:r>
      <w:r>
        <w:rPr>
          <w:rFonts w:ascii="Arial" w:eastAsia="Batang" w:hAnsi="Arial" w:cs="Arial"/>
          <w:b/>
          <w:sz w:val="24"/>
          <w:szCs w:val="24"/>
          <w:lang w:eastAsia="en-ZA"/>
        </w:rPr>
        <w:tab/>
      </w:r>
      <w:r>
        <w:rPr>
          <w:rFonts w:ascii="Arial" w:eastAsia="Batang" w:hAnsi="Arial" w:cs="Arial"/>
          <w:b/>
          <w:sz w:val="24"/>
          <w:szCs w:val="24"/>
          <w:lang w:eastAsia="en-ZA"/>
        </w:rPr>
        <w:tab/>
      </w:r>
      <w:r>
        <w:rPr>
          <w:rFonts w:ascii="Arial" w:eastAsia="Batang" w:hAnsi="Arial" w:cs="Arial"/>
          <w:b/>
          <w:sz w:val="24"/>
          <w:szCs w:val="24"/>
          <w:lang w:eastAsia="en-ZA"/>
        </w:rPr>
        <w:tab/>
      </w:r>
      <w:r>
        <w:rPr>
          <w:rFonts w:ascii="Arial" w:eastAsia="Batang" w:hAnsi="Arial" w:cs="Arial"/>
          <w:b/>
          <w:sz w:val="24"/>
          <w:szCs w:val="24"/>
          <w:lang w:eastAsia="en-ZA"/>
        </w:rPr>
        <w:tab/>
      </w:r>
      <w:r>
        <w:rPr>
          <w:rFonts w:ascii="Arial" w:eastAsia="Batang" w:hAnsi="Arial" w:cs="Arial"/>
          <w:b/>
          <w:sz w:val="24"/>
          <w:szCs w:val="24"/>
          <w:lang w:eastAsia="en-ZA"/>
        </w:rPr>
        <w:tab/>
        <w:t xml:space="preserve">       </w:t>
      </w:r>
      <w:r>
        <w:rPr>
          <w:rFonts w:ascii="Arial" w:eastAsia="Batang" w:hAnsi="Arial" w:cs="Arial"/>
          <w:sz w:val="24"/>
          <w:szCs w:val="24"/>
          <w:lang w:eastAsia="en-ZA"/>
        </w:rPr>
        <w:t>Respondent</w:t>
      </w:r>
    </w:p>
    <w:p w:rsidR="0032719B" w:rsidRDefault="0032719B" w:rsidP="0032719B">
      <w:pPr>
        <w:pBdr>
          <w:bottom w:val="single" w:sz="12" w:space="1" w:color="auto"/>
        </w:pBdr>
        <w:spacing w:after="0" w:line="240" w:lineRule="auto"/>
        <w:jc w:val="both"/>
        <w:rPr>
          <w:rFonts w:ascii="Arial" w:hAnsi="Arial" w:cs="Arial"/>
          <w:b/>
          <w:sz w:val="28"/>
          <w:szCs w:val="28"/>
        </w:rPr>
      </w:pPr>
      <w:r>
        <w:rPr>
          <w:rFonts w:ascii="Arial" w:hAnsi="Arial" w:cs="Arial"/>
          <w:b/>
          <w:sz w:val="28"/>
          <w:szCs w:val="28"/>
        </w:rPr>
        <w:tab/>
      </w:r>
    </w:p>
    <w:p w:rsidR="0032719B" w:rsidRDefault="0032719B" w:rsidP="0032719B">
      <w:pPr>
        <w:spacing w:after="0" w:line="240" w:lineRule="auto"/>
        <w:contextualSpacing/>
        <w:jc w:val="both"/>
        <w:rPr>
          <w:rFonts w:ascii="Arial" w:hAnsi="Arial" w:cs="Arial"/>
          <w:b/>
          <w:color w:val="00B050"/>
          <w:sz w:val="24"/>
          <w:szCs w:val="24"/>
        </w:rPr>
      </w:pPr>
    </w:p>
    <w:p w:rsidR="0032719B" w:rsidRDefault="0032719B" w:rsidP="0032719B">
      <w:pPr>
        <w:spacing w:after="0" w:line="240" w:lineRule="auto"/>
        <w:contextualSpacing/>
        <w:jc w:val="both"/>
        <w:rPr>
          <w:rFonts w:ascii="Arial" w:hAnsi="Arial" w:cs="Arial"/>
          <w:sz w:val="24"/>
          <w:szCs w:val="24"/>
          <w:u w:val="single"/>
        </w:rPr>
      </w:pPr>
      <w:r>
        <w:rPr>
          <w:rFonts w:ascii="Arial" w:hAnsi="Arial" w:cs="Arial"/>
          <w:b/>
          <w:sz w:val="24"/>
          <w:szCs w:val="24"/>
          <w:u w:val="single"/>
        </w:rPr>
        <w:t>CORAM:</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REINDERS</w:t>
      </w:r>
      <w:r w:rsidR="004569EB">
        <w:rPr>
          <w:rFonts w:ascii="Arial" w:hAnsi="Arial" w:cs="Arial"/>
          <w:sz w:val="24"/>
          <w:szCs w:val="24"/>
        </w:rPr>
        <w:t xml:space="preserve"> J</w:t>
      </w:r>
      <w:r w:rsidR="00BA7997">
        <w:rPr>
          <w:rFonts w:ascii="Arial" w:hAnsi="Arial" w:cs="Arial"/>
          <w:sz w:val="24"/>
          <w:szCs w:val="24"/>
        </w:rPr>
        <w:t xml:space="preserve"> </w:t>
      </w:r>
      <w:r>
        <w:rPr>
          <w:rFonts w:ascii="Arial" w:hAnsi="Arial" w:cs="Arial"/>
          <w:i/>
          <w:sz w:val="24"/>
          <w:szCs w:val="24"/>
        </w:rPr>
        <w:t xml:space="preserve">et </w:t>
      </w:r>
      <w:r>
        <w:rPr>
          <w:rFonts w:ascii="Arial" w:hAnsi="Arial" w:cs="Arial"/>
          <w:sz w:val="24"/>
          <w:szCs w:val="24"/>
        </w:rPr>
        <w:t xml:space="preserve">VELE </w:t>
      </w:r>
      <w:r w:rsidR="004569EB">
        <w:rPr>
          <w:rFonts w:ascii="Arial" w:hAnsi="Arial" w:cs="Arial"/>
          <w:sz w:val="24"/>
          <w:szCs w:val="24"/>
        </w:rPr>
        <w:t xml:space="preserve">AJ </w:t>
      </w:r>
      <w:r w:rsidR="004569EB">
        <w:rPr>
          <w:rFonts w:ascii="Arial" w:hAnsi="Arial" w:cs="Arial"/>
          <w:i/>
          <w:sz w:val="24"/>
          <w:szCs w:val="24"/>
        </w:rPr>
        <w:t xml:space="preserve">et </w:t>
      </w:r>
      <w:r w:rsidR="004569EB">
        <w:rPr>
          <w:rFonts w:ascii="Arial" w:hAnsi="Arial" w:cs="Arial"/>
          <w:sz w:val="24"/>
          <w:szCs w:val="24"/>
        </w:rPr>
        <w:t>THAMAE AJ</w:t>
      </w:r>
      <w:r>
        <w:rPr>
          <w:rFonts w:ascii="Arial" w:hAnsi="Arial" w:cs="Arial"/>
          <w:sz w:val="24"/>
          <w:szCs w:val="24"/>
        </w:rPr>
        <w:tab/>
        <w:t xml:space="preserve"> </w:t>
      </w:r>
    </w:p>
    <w:p w:rsidR="0032719B" w:rsidRDefault="0032719B" w:rsidP="0032719B">
      <w:pPr>
        <w:pBdr>
          <w:bottom w:val="single" w:sz="12" w:space="1" w:color="auto"/>
        </w:pBdr>
        <w:spacing w:after="0" w:line="240" w:lineRule="auto"/>
        <w:contextualSpacing/>
        <w:jc w:val="both"/>
        <w:rPr>
          <w:rFonts w:ascii="Arial" w:hAnsi="Arial" w:cs="Arial"/>
          <w:b/>
          <w:sz w:val="24"/>
          <w:szCs w:val="24"/>
        </w:rPr>
      </w:pPr>
    </w:p>
    <w:p w:rsidR="0032719B" w:rsidRDefault="0032719B" w:rsidP="0032719B">
      <w:pPr>
        <w:spacing w:after="0" w:line="240" w:lineRule="auto"/>
        <w:contextualSpacing/>
        <w:jc w:val="both"/>
        <w:rPr>
          <w:rFonts w:ascii="Arial" w:hAnsi="Arial" w:cs="Arial"/>
          <w:b/>
          <w:color w:val="00B050"/>
          <w:sz w:val="24"/>
          <w:szCs w:val="24"/>
        </w:rPr>
      </w:pPr>
    </w:p>
    <w:p w:rsidR="0032719B" w:rsidRDefault="0032719B" w:rsidP="0032719B">
      <w:pPr>
        <w:spacing w:after="0" w:line="240" w:lineRule="auto"/>
        <w:contextualSpacing/>
        <w:jc w:val="both"/>
        <w:rPr>
          <w:rFonts w:ascii="Arial" w:hAnsi="Arial" w:cs="Arial"/>
          <w:sz w:val="24"/>
          <w:szCs w:val="24"/>
          <w:u w:val="single"/>
        </w:rPr>
      </w:pPr>
      <w:r>
        <w:rPr>
          <w:rFonts w:ascii="Arial" w:hAnsi="Arial" w:cs="Arial"/>
          <w:b/>
          <w:sz w:val="24"/>
          <w:szCs w:val="24"/>
          <w:u w:val="single"/>
        </w:rPr>
        <w:t>JUDGMENT BY:</w:t>
      </w:r>
      <w:r w:rsidR="00B43694">
        <w:rPr>
          <w:rFonts w:ascii="Arial" w:hAnsi="Arial" w:cs="Arial"/>
          <w:b/>
          <w:sz w:val="24"/>
          <w:szCs w:val="24"/>
        </w:rPr>
        <w:tab/>
      </w:r>
      <w:r w:rsidR="00B43694">
        <w:rPr>
          <w:rFonts w:ascii="Arial" w:hAnsi="Arial" w:cs="Arial"/>
          <w:b/>
          <w:sz w:val="24"/>
          <w:szCs w:val="24"/>
        </w:rPr>
        <w:tab/>
      </w:r>
      <w:r w:rsidR="004569EB">
        <w:rPr>
          <w:rFonts w:ascii="Arial" w:hAnsi="Arial" w:cs="Arial"/>
          <w:sz w:val="24"/>
          <w:szCs w:val="24"/>
        </w:rPr>
        <w:t>REINDERS J</w:t>
      </w:r>
      <w:r>
        <w:rPr>
          <w:rFonts w:ascii="Arial" w:hAnsi="Arial" w:cs="Arial"/>
          <w:sz w:val="24"/>
          <w:szCs w:val="24"/>
        </w:rPr>
        <w:t xml:space="preserve"> </w:t>
      </w:r>
    </w:p>
    <w:p w:rsidR="0032719B" w:rsidRDefault="0032719B" w:rsidP="0032719B">
      <w:pPr>
        <w:pBdr>
          <w:bottom w:val="single" w:sz="12" w:space="1" w:color="auto"/>
        </w:pBdr>
        <w:spacing w:after="0" w:line="240" w:lineRule="auto"/>
        <w:contextualSpacing/>
        <w:jc w:val="both"/>
        <w:rPr>
          <w:rFonts w:ascii="Arial" w:hAnsi="Arial" w:cs="Arial"/>
          <w:b/>
          <w:sz w:val="24"/>
          <w:szCs w:val="24"/>
        </w:rPr>
      </w:pPr>
    </w:p>
    <w:p w:rsidR="0032719B" w:rsidRDefault="0032719B" w:rsidP="0032719B">
      <w:pPr>
        <w:spacing w:after="0" w:line="240" w:lineRule="auto"/>
        <w:contextualSpacing/>
        <w:jc w:val="both"/>
        <w:rPr>
          <w:rFonts w:ascii="Arial" w:hAnsi="Arial" w:cs="Arial"/>
          <w:b/>
          <w:sz w:val="24"/>
          <w:szCs w:val="24"/>
        </w:rPr>
      </w:pPr>
    </w:p>
    <w:p w:rsidR="0032719B" w:rsidRDefault="0032719B" w:rsidP="0032719B">
      <w:pPr>
        <w:tabs>
          <w:tab w:val="left" w:pos="2940"/>
        </w:tabs>
        <w:spacing w:after="0" w:line="240" w:lineRule="auto"/>
        <w:contextualSpacing/>
        <w:jc w:val="both"/>
        <w:rPr>
          <w:rFonts w:ascii="Arial" w:hAnsi="Arial" w:cs="Arial"/>
          <w:sz w:val="24"/>
          <w:szCs w:val="24"/>
          <w:u w:val="single"/>
        </w:rPr>
      </w:pPr>
      <w:r>
        <w:rPr>
          <w:rFonts w:ascii="Arial" w:hAnsi="Arial" w:cs="Arial"/>
          <w:b/>
          <w:sz w:val="24"/>
          <w:szCs w:val="24"/>
          <w:u w:val="single"/>
        </w:rPr>
        <w:t>HEARD ON:</w:t>
      </w:r>
      <w:r w:rsidR="00B43694">
        <w:rPr>
          <w:rFonts w:ascii="Arial" w:hAnsi="Arial" w:cs="Arial"/>
          <w:sz w:val="24"/>
          <w:szCs w:val="24"/>
        </w:rPr>
        <w:tab/>
      </w:r>
      <w:r w:rsidR="00FA32D9">
        <w:rPr>
          <w:rFonts w:ascii="Arial" w:hAnsi="Arial" w:cs="Arial"/>
          <w:sz w:val="24"/>
          <w:szCs w:val="24"/>
        </w:rPr>
        <w:t xml:space="preserve">11 SEPTEMBER </w:t>
      </w:r>
      <w:r>
        <w:rPr>
          <w:rFonts w:ascii="Arial" w:hAnsi="Arial" w:cs="Arial"/>
          <w:sz w:val="24"/>
          <w:szCs w:val="24"/>
        </w:rPr>
        <w:t>2023</w:t>
      </w:r>
      <w:r>
        <w:rPr>
          <w:rFonts w:ascii="Arial" w:hAnsi="Arial" w:cs="Arial"/>
          <w:b/>
          <w:sz w:val="24"/>
          <w:szCs w:val="24"/>
        </w:rPr>
        <w:tab/>
      </w:r>
    </w:p>
    <w:p w:rsidR="0032719B" w:rsidRDefault="0032719B" w:rsidP="0032719B">
      <w:pPr>
        <w:pBdr>
          <w:bottom w:val="single" w:sz="12" w:space="1" w:color="auto"/>
        </w:pBdr>
        <w:tabs>
          <w:tab w:val="left" w:pos="2940"/>
        </w:tabs>
        <w:spacing w:after="0" w:line="240" w:lineRule="auto"/>
        <w:contextualSpacing/>
        <w:jc w:val="both"/>
        <w:rPr>
          <w:rFonts w:ascii="Arial" w:hAnsi="Arial" w:cs="Arial"/>
          <w:b/>
          <w:sz w:val="24"/>
          <w:szCs w:val="24"/>
        </w:rPr>
      </w:pPr>
    </w:p>
    <w:p w:rsidR="0032719B" w:rsidRDefault="0032719B" w:rsidP="0032719B">
      <w:pPr>
        <w:pStyle w:val="ListParagraph"/>
        <w:spacing w:after="0" w:line="360" w:lineRule="auto"/>
        <w:ind w:left="0"/>
        <w:jc w:val="both"/>
        <w:rPr>
          <w:rFonts w:ascii="Arial" w:hAnsi="Arial" w:cs="Arial"/>
          <w:b/>
          <w:sz w:val="24"/>
          <w:szCs w:val="24"/>
          <w:u w:val="single"/>
        </w:rPr>
      </w:pPr>
    </w:p>
    <w:p w:rsidR="0032719B" w:rsidRDefault="0032719B" w:rsidP="00B43694">
      <w:pPr>
        <w:pStyle w:val="ListParagraph"/>
        <w:tabs>
          <w:tab w:val="left" w:pos="2835"/>
        </w:tabs>
        <w:spacing w:after="0" w:line="360" w:lineRule="auto"/>
        <w:ind w:left="0"/>
        <w:jc w:val="both"/>
        <w:rPr>
          <w:rFonts w:ascii="Arial" w:hAnsi="Arial" w:cs="Arial"/>
          <w:sz w:val="24"/>
          <w:szCs w:val="24"/>
        </w:rPr>
      </w:pPr>
      <w:r>
        <w:rPr>
          <w:rFonts w:ascii="Arial" w:hAnsi="Arial" w:cs="Arial"/>
          <w:b/>
          <w:sz w:val="24"/>
          <w:szCs w:val="24"/>
          <w:u w:val="single"/>
        </w:rPr>
        <w:t>DELIVERED ON:</w:t>
      </w:r>
      <w:r w:rsidR="00B43694">
        <w:rPr>
          <w:rFonts w:ascii="Arial" w:hAnsi="Arial" w:cs="Arial"/>
          <w:sz w:val="24"/>
          <w:szCs w:val="24"/>
        </w:rPr>
        <w:tab/>
        <w:t>20 DECEMBER</w:t>
      </w:r>
      <w:r>
        <w:rPr>
          <w:rFonts w:ascii="Arial" w:hAnsi="Arial" w:cs="Arial"/>
          <w:sz w:val="24"/>
          <w:szCs w:val="24"/>
        </w:rPr>
        <w:t xml:space="preserve"> 2023</w:t>
      </w:r>
    </w:p>
    <w:p w:rsidR="00001199" w:rsidRPr="00001199" w:rsidRDefault="00001199" w:rsidP="00001199">
      <w:pPr>
        <w:tabs>
          <w:tab w:val="left" w:pos="2835"/>
          <w:tab w:val="left" w:pos="2977"/>
        </w:tabs>
        <w:spacing w:line="254" w:lineRule="auto"/>
        <w:jc w:val="both"/>
        <w:rPr>
          <w:rFonts w:ascii="Arial" w:hAnsi="Arial" w:cs="Arial"/>
        </w:rPr>
      </w:pPr>
      <w:r w:rsidRPr="00001199">
        <w:rPr>
          <w:rFonts w:ascii="Arial" w:hAnsi="Arial" w:cs="Arial"/>
        </w:rPr>
        <w:t xml:space="preserve">This judgment was handed down in open court and subsequently circulated electronically to the parties’ representatives by email. </w:t>
      </w:r>
    </w:p>
    <w:p w:rsidR="0032719B" w:rsidRDefault="0032719B" w:rsidP="00AA429D">
      <w:pPr>
        <w:pStyle w:val="ListParagraph"/>
        <w:spacing w:after="0" w:line="240" w:lineRule="auto"/>
        <w:ind w:left="0"/>
        <w:jc w:val="both"/>
        <w:rPr>
          <w:rFonts w:ascii="Arial" w:hAnsi="Arial" w:cs="Arial"/>
          <w:color w:val="00B050"/>
          <w:sz w:val="24"/>
          <w:szCs w:val="24"/>
        </w:rPr>
      </w:pPr>
      <w:r>
        <w:rPr>
          <w:rFonts w:ascii="Arial" w:hAnsi="Arial" w:cs="Arial"/>
          <w:b/>
          <w:sz w:val="24"/>
          <w:szCs w:val="24"/>
          <w:u w:val="single"/>
        </w:rPr>
        <w:t>___________________________________________________________________</w:t>
      </w:r>
    </w:p>
    <w:p w:rsidR="0032719B" w:rsidRDefault="0032719B" w:rsidP="0032719B">
      <w:pPr>
        <w:pStyle w:val="ListParagraph"/>
        <w:spacing w:after="0" w:line="360" w:lineRule="auto"/>
        <w:ind w:left="0"/>
        <w:jc w:val="both"/>
        <w:rPr>
          <w:rFonts w:ascii="Arial" w:hAnsi="Arial" w:cs="Arial"/>
          <w:color w:val="00B050"/>
          <w:sz w:val="24"/>
          <w:szCs w:val="24"/>
        </w:rPr>
      </w:pPr>
    </w:p>
    <w:p w:rsidR="00146D02" w:rsidRDefault="004020A5" w:rsidP="004020A5">
      <w:pPr>
        <w:widowControl w:val="0"/>
        <w:autoSpaceDE w:val="0"/>
        <w:autoSpaceDN w:val="0"/>
        <w:spacing w:after="0" w:line="360" w:lineRule="auto"/>
        <w:ind w:left="720" w:hanging="720"/>
        <w:jc w:val="both"/>
        <w:rPr>
          <w:rFonts w:ascii="Arial" w:hAnsi="Arial" w:cs="Arial"/>
          <w:sz w:val="24"/>
          <w:szCs w:val="24"/>
          <w:lang w:val="en-GB"/>
        </w:rPr>
      </w:pPr>
      <w:r>
        <w:rPr>
          <w:rFonts w:ascii="Arial" w:hAnsi="Arial" w:cs="Arial"/>
          <w:sz w:val="24"/>
          <w:szCs w:val="24"/>
        </w:rPr>
        <w:t>[1]</w:t>
      </w:r>
      <w:r>
        <w:rPr>
          <w:rFonts w:ascii="Arial" w:hAnsi="Arial" w:cs="Arial"/>
          <w:sz w:val="24"/>
          <w:szCs w:val="24"/>
        </w:rPr>
        <w:tab/>
      </w:r>
      <w:r w:rsidR="00FF5A15">
        <w:rPr>
          <w:rFonts w:ascii="Arial" w:hAnsi="Arial" w:cs="Arial"/>
          <w:sz w:val="24"/>
          <w:szCs w:val="24"/>
        </w:rPr>
        <w:t xml:space="preserve">This appeal came before us with leave granted </w:t>
      </w:r>
      <w:r w:rsidR="007C7AA0">
        <w:rPr>
          <w:rFonts w:ascii="Arial" w:hAnsi="Arial" w:cs="Arial"/>
          <w:sz w:val="24"/>
          <w:szCs w:val="24"/>
        </w:rPr>
        <w:t xml:space="preserve">to the appellant </w:t>
      </w:r>
      <w:r w:rsidR="00FF5A15">
        <w:rPr>
          <w:rFonts w:ascii="Arial" w:hAnsi="Arial" w:cs="Arial"/>
          <w:sz w:val="24"/>
          <w:szCs w:val="24"/>
        </w:rPr>
        <w:t>by the Supreme Court of Appeal</w:t>
      </w:r>
      <w:r w:rsidR="00FA32D9">
        <w:rPr>
          <w:rFonts w:ascii="Arial" w:hAnsi="Arial" w:cs="Arial"/>
          <w:sz w:val="24"/>
          <w:szCs w:val="24"/>
        </w:rPr>
        <w:t xml:space="preserve">. </w:t>
      </w:r>
      <w:r w:rsidR="00FF5A15">
        <w:rPr>
          <w:rFonts w:ascii="Arial" w:hAnsi="Arial" w:cs="Arial"/>
          <w:sz w:val="24"/>
          <w:szCs w:val="24"/>
        </w:rPr>
        <w:t>On 11 September 2023 the appeal was heard by the full bench</w:t>
      </w:r>
      <w:r w:rsidR="007C7AA0">
        <w:rPr>
          <w:rFonts w:ascii="Arial" w:hAnsi="Arial" w:cs="Arial"/>
          <w:sz w:val="24"/>
          <w:szCs w:val="24"/>
        </w:rPr>
        <w:t xml:space="preserve"> of this Division</w:t>
      </w:r>
      <w:r w:rsidR="00FF5A15">
        <w:rPr>
          <w:rFonts w:ascii="Arial" w:hAnsi="Arial" w:cs="Arial"/>
          <w:sz w:val="24"/>
          <w:szCs w:val="24"/>
        </w:rPr>
        <w:t xml:space="preserve"> </w:t>
      </w:r>
      <w:r w:rsidR="007C7AA0">
        <w:rPr>
          <w:rFonts w:ascii="Arial" w:hAnsi="Arial" w:cs="Arial"/>
          <w:sz w:val="24"/>
          <w:szCs w:val="24"/>
        </w:rPr>
        <w:t>as constituted of</w:t>
      </w:r>
      <w:r w:rsidR="00FF5A15">
        <w:rPr>
          <w:rFonts w:ascii="Arial" w:hAnsi="Arial" w:cs="Arial"/>
          <w:sz w:val="24"/>
          <w:szCs w:val="24"/>
        </w:rPr>
        <w:t xml:space="preserve"> </w:t>
      </w:r>
      <w:r w:rsidR="00B72FE7">
        <w:rPr>
          <w:rFonts w:ascii="Arial" w:hAnsi="Arial" w:cs="Arial"/>
          <w:sz w:val="24"/>
          <w:szCs w:val="24"/>
          <w:lang w:val="en-GB"/>
        </w:rPr>
        <w:t xml:space="preserve">myself, </w:t>
      </w:r>
      <w:proofErr w:type="spellStart"/>
      <w:r w:rsidR="00A41154">
        <w:rPr>
          <w:rFonts w:ascii="Arial" w:hAnsi="Arial" w:cs="Arial"/>
          <w:sz w:val="24"/>
          <w:szCs w:val="24"/>
          <w:lang w:val="en-GB"/>
        </w:rPr>
        <w:t>Thamae</w:t>
      </w:r>
      <w:proofErr w:type="spellEnd"/>
      <w:r w:rsidR="00A41154">
        <w:rPr>
          <w:rFonts w:ascii="Arial" w:hAnsi="Arial" w:cs="Arial"/>
          <w:sz w:val="24"/>
          <w:szCs w:val="24"/>
          <w:lang w:val="en-GB"/>
        </w:rPr>
        <w:t xml:space="preserve"> AJ and </w:t>
      </w:r>
      <w:proofErr w:type="spellStart"/>
      <w:r w:rsidR="00A41154">
        <w:rPr>
          <w:rFonts w:ascii="Arial" w:hAnsi="Arial" w:cs="Arial"/>
          <w:sz w:val="24"/>
          <w:szCs w:val="24"/>
          <w:lang w:val="en-GB"/>
        </w:rPr>
        <w:t>Vele</w:t>
      </w:r>
      <w:proofErr w:type="spellEnd"/>
      <w:r w:rsidR="00A41154">
        <w:rPr>
          <w:rFonts w:ascii="Arial" w:hAnsi="Arial" w:cs="Arial"/>
          <w:sz w:val="24"/>
          <w:szCs w:val="24"/>
          <w:lang w:val="en-GB"/>
        </w:rPr>
        <w:t xml:space="preserve"> AJ. </w:t>
      </w:r>
      <w:r w:rsidR="00FA32D9">
        <w:rPr>
          <w:rFonts w:ascii="Arial" w:hAnsi="Arial" w:cs="Arial"/>
          <w:sz w:val="24"/>
          <w:szCs w:val="24"/>
          <w:lang w:val="en-GB"/>
        </w:rPr>
        <w:t>Shortly af</w:t>
      </w:r>
      <w:r>
        <w:rPr>
          <w:rFonts w:ascii="Arial" w:hAnsi="Arial" w:cs="Arial"/>
          <w:sz w:val="24"/>
          <w:szCs w:val="24"/>
          <w:lang w:val="en-GB"/>
        </w:rPr>
        <w:t xml:space="preserve">ter </w:t>
      </w:r>
      <w:r>
        <w:rPr>
          <w:rFonts w:ascii="Arial" w:hAnsi="Arial" w:cs="Arial"/>
          <w:sz w:val="24"/>
          <w:szCs w:val="24"/>
          <w:lang w:val="en-GB"/>
        </w:rPr>
        <w:lastRenderedPageBreak/>
        <w:t>the hearing of the appeal was c</w:t>
      </w:r>
      <w:r w:rsidR="00B72FE7">
        <w:rPr>
          <w:rFonts w:ascii="Arial" w:hAnsi="Arial" w:cs="Arial"/>
          <w:sz w:val="24"/>
          <w:szCs w:val="24"/>
          <w:lang w:val="en-GB"/>
        </w:rPr>
        <w:t>oncluded but before judgment could be</w:t>
      </w:r>
      <w:r w:rsidR="00FA32D9">
        <w:rPr>
          <w:rFonts w:ascii="Arial" w:hAnsi="Arial" w:cs="Arial"/>
          <w:sz w:val="24"/>
          <w:szCs w:val="24"/>
          <w:lang w:val="en-GB"/>
        </w:rPr>
        <w:t xml:space="preserve"> delivered, </w:t>
      </w:r>
      <w:proofErr w:type="spellStart"/>
      <w:r w:rsidR="00FA32D9">
        <w:rPr>
          <w:rFonts w:ascii="Arial" w:hAnsi="Arial" w:cs="Arial"/>
          <w:sz w:val="24"/>
          <w:szCs w:val="24"/>
          <w:lang w:val="en-GB"/>
        </w:rPr>
        <w:t>Thamae</w:t>
      </w:r>
      <w:proofErr w:type="spellEnd"/>
      <w:r w:rsidR="00FA32D9">
        <w:rPr>
          <w:rFonts w:ascii="Arial" w:hAnsi="Arial" w:cs="Arial"/>
          <w:sz w:val="24"/>
          <w:szCs w:val="24"/>
          <w:lang w:val="en-GB"/>
        </w:rPr>
        <w:t xml:space="preserve"> AJ sadly pas</w:t>
      </w:r>
      <w:r>
        <w:rPr>
          <w:rFonts w:ascii="Arial" w:hAnsi="Arial" w:cs="Arial"/>
          <w:sz w:val="24"/>
          <w:szCs w:val="24"/>
          <w:lang w:val="en-GB"/>
        </w:rPr>
        <w:t>sed away.</w:t>
      </w:r>
    </w:p>
    <w:p w:rsidR="00146D02" w:rsidRDefault="00146D02" w:rsidP="00146D02">
      <w:pPr>
        <w:widowControl w:val="0"/>
        <w:autoSpaceDE w:val="0"/>
        <w:autoSpaceDN w:val="0"/>
        <w:spacing w:after="0" w:line="360" w:lineRule="auto"/>
        <w:jc w:val="both"/>
        <w:rPr>
          <w:rFonts w:ascii="Arial" w:hAnsi="Arial" w:cs="Arial"/>
          <w:sz w:val="24"/>
          <w:szCs w:val="24"/>
          <w:lang w:val="en-GB"/>
        </w:rPr>
      </w:pPr>
    </w:p>
    <w:p w:rsidR="00146D02" w:rsidRDefault="00146D02" w:rsidP="003C58F8">
      <w:pPr>
        <w:widowControl w:val="0"/>
        <w:autoSpaceDE w:val="0"/>
        <w:autoSpaceDN w:val="0"/>
        <w:spacing w:after="0" w:line="360" w:lineRule="auto"/>
        <w:ind w:left="720" w:hanging="720"/>
        <w:jc w:val="both"/>
        <w:rPr>
          <w:rFonts w:ascii="Arial" w:hAnsi="Arial" w:cs="Arial"/>
          <w:i/>
          <w:sz w:val="24"/>
          <w:szCs w:val="24"/>
        </w:rPr>
      </w:pPr>
      <w:r>
        <w:rPr>
          <w:rFonts w:ascii="Arial" w:hAnsi="Arial" w:cs="Arial"/>
          <w:sz w:val="24"/>
          <w:szCs w:val="24"/>
          <w:lang w:val="en-GB"/>
        </w:rPr>
        <w:t>[2]</w:t>
      </w:r>
      <w:r>
        <w:rPr>
          <w:rFonts w:ascii="Arial" w:hAnsi="Arial" w:cs="Arial"/>
          <w:sz w:val="24"/>
          <w:szCs w:val="24"/>
          <w:lang w:val="en-GB"/>
        </w:rPr>
        <w:tab/>
      </w:r>
      <w:r w:rsidR="00B72FE7">
        <w:rPr>
          <w:rFonts w:ascii="Arial" w:hAnsi="Arial" w:cs="Arial"/>
          <w:sz w:val="24"/>
          <w:szCs w:val="24"/>
          <w:lang w:val="en-GB"/>
        </w:rPr>
        <w:t>T</w:t>
      </w:r>
      <w:r>
        <w:rPr>
          <w:rFonts w:ascii="Arial" w:hAnsi="Arial" w:cs="Arial"/>
          <w:sz w:val="24"/>
          <w:szCs w:val="24"/>
          <w:lang w:val="en-GB"/>
        </w:rPr>
        <w:t>he Superior Courts Act</w:t>
      </w:r>
      <w:r w:rsidR="00FD4FAA">
        <w:rPr>
          <w:rStyle w:val="FootnoteReference"/>
          <w:rFonts w:ascii="Arial" w:hAnsi="Arial" w:cs="Arial"/>
          <w:sz w:val="24"/>
          <w:szCs w:val="24"/>
          <w:lang w:val="en-GB"/>
        </w:rPr>
        <w:footnoteReference w:id="1"/>
      </w:r>
      <w:r>
        <w:rPr>
          <w:rFonts w:ascii="Arial" w:hAnsi="Arial" w:cs="Arial"/>
          <w:sz w:val="24"/>
          <w:szCs w:val="24"/>
          <w:lang w:val="en-GB"/>
        </w:rPr>
        <w:t xml:space="preserve"> </w:t>
      </w:r>
      <w:r w:rsidR="00042927">
        <w:rPr>
          <w:rFonts w:ascii="Arial" w:hAnsi="Arial" w:cs="Arial"/>
          <w:sz w:val="24"/>
          <w:szCs w:val="24"/>
          <w:lang w:val="en-GB"/>
        </w:rPr>
        <w:t xml:space="preserve">makes </w:t>
      </w:r>
      <w:r>
        <w:rPr>
          <w:rFonts w:ascii="Arial" w:hAnsi="Arial" w:cs="Arial"/>
          <w:sz w:val="24"/>
          <w:szCs w:val="24"/>
          <w:lang w:val="en-GB"/>
        </w:rPr>
        <w:t>provision for instances where a vacancy amongst the members of a court arises prior to the finalisation of a judgment.</w:t>
      </w:r>
      <w:r w:rsidR="003C58F8">
        <w:rPr>
          <w:rStyle w:val="FootnoteReference"/>
          <w:rFonts w:ascii="Arial" w:hAnsi="Arial" w:cs="Arial"/>
          <w:sz w:val="24"/>
          <w:szCs w:val="24"/>
          <w:lang w:val="en-GB"/>
        </w:rPr>
        <w:footnoteReference w:id="2"/>
      </w:r>
      <w:r>
        <w:rPr>
          <w:rFonts w:ascii="Arial" w:hAnsi="Arial" w:cs="Arial"/>
          <w:sz w:val="24"/>
          <w:szCs w:val="24"/>
          <w:lang w:val="en-GB"/>
        </w:rPr>
        <w:t xml:space="preserve"> </w:t>
      </w:r>
    </w:p>
    <w:p w:rsidR="00146D02" w:rsidRDefault="00146D02" w:rsidP="00146D02">
      <w:pPr>
        <w:widowControl w:val="0"/>
        <w:autoSpaceDE w:val="0"/>
        <w:autoSpaceDN w:val="0"/>
        <w:spacing w:after="0" w:line="360" w:lineRule="auto"/>
        <w:jc w:val="both"/>
        <w:rPr>
          <w:rFonts w:ascii="Arial" w:hAnsi="Arial" w:cs="Arial"/>
          <w:i/>
          <w:iCs/>
          <w:sz w:val="24"/>
          <w:szCs w:val="24"/>
          <w:lang w:val="en-GB"/>
        </w:rPr>
      </w:pPr>
    </w:p>
    <w:p w:rsidR="00DC5C78" w:rsidRDefault="008B4CE6" w:rsidP="00FF5A15">
      <w:pPr>
        <w:widowControl w:val="0"/>
        <w:autoSpaceDE w:val="0"/>
        <w:autoSpaceDN w:val="0"/>
        <w:spacing w:after="0" w:line="360" w:lineRule="auto"/>
        <w:ind w:left="720" w:hanging="720"/>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proofErr w:type="spellStart"/>
      <w:r w:rsidR="00042927">
        <w:rPr>
          <w:rFonts w:ascii="Arial" w:hAnsi="Arial" w:cs="Arial"/>
          <w:sz w:val="24"/>
          <w:szCs w:val="24"/>
          <w:lang w:val="en-GB"/>
        </w:rPr>
        <w:t>Vele</w:t>
      </w:r>
      <w:proofErr w:type="spellEnd"/>
      <w:r w:rsidR="00042927">
        <w:rPr>
          <w:rFonts w:ascii="Arial" w:hAnsi="Arial" w:cs="Arial"/>
          <w:sz w:val="24"/>
          <w:szCs w:val="24"/>
          <w:lang w:val="en-GB"/>
        </w:rPr>
        <w:t xml:space="preserve"> </w:t>
      </w:r>
      <w:r w:rsidR="00146D02">
        <w:rPr>
          <w:rFonts w:ascii="Arial" w:hAnsi="Arial" w:cs="Arial"/>
          <w:sz w:val="24"/>
          <w:szCs w:val="24"/>
          <w:lang w:val="en-GB"/>
        </w:rPr>
        <w:t xml:space="preserve">AJ and I remained and constituted the majority </w:t>
      </w:r>
      <w:r w:rsidR="007C7AA0">
        <w:rPr>
          <w:rFonts w:ascii="Arial" w:hAnsi="Arial" w:cs="Arial"/>
          <w:sz w:val="24"/>
          <w:szCs w:val="24"/>
          <w:lang w:val="en-GB"/>
        </w:rPr>
        <w:t>of judges</w:t>
      </w:r>
      <w:r w:rsidR="00B72FE7">
        <w:rPr>
          <w:rFonts w:ascii="Arial" w:hAnsi="Arial" w:cs="Arial"/>
          <w:sz w:val="24"/>
          <w:szCs w:val="24"/>
          <w:lang w:val="en-GB"/>
        </w:rPr>
        <w:t>. We</w:t>
      </w:r>
      <w:r w:rsidR="00146D02">
        <w:rPr>
          <w:rFonts w:ascii="Arial" w:hAnsi="Arial" w:cs="Arial"/>
          <w:sz w:val="24"/>
          <w:szCs w:val="24"/>
          <w:lang w:val="en-GB"/>
        </w:rPr>
        <w:t xml:space="preserve"> </w:t>
      </w:r>
      <w:r w:rsidR="00171105">
        <w:rPr>
          <w:rFonts w:ascii="Arial" w:hAnsi="Arial" w:cs="Arial"/>
          <w:sz w:val="24"/>
          <w:szCs w:val="24"/>
          <w:lang w:val="en-GB"/>
        </w:rPr>
        <w:t xml:space="preserve">resolved to proceed considering </w:t>
      </w:r>
      <w:r w:rsidR="00146D02">
        <w:rPr>
          <w:rFonts w:ascii="Arial" w:hAnsi="Arial" w:cs="Arial"/>
          <w:sz w:val="24"/>
          <w:szCs w:val="24"/>
          <w:lang w:val="en-GB"/>
        </w:rPr>
        <w:t>the matter and to deliver this judgment.</w:t>
      </w:r>
    </w:p>
    <w:p w:rsidR="00DC5C78" w:rsidRDefault="00DC5C78" w:rsidP="00042927">
      <w:pPr>
        <w:widowControl w:val="0"/>
        <w:autoSpaceDE w:val="0"/>
        <w:autoSpaceDN w:val="0"/>
        <w:spacing w:after="0" w:line="360" w:lineRule="auto"/>
        <w:ind w:left="720" w:hanging="720"/>
        <w:jc w:val="both"/>
        <w:rPr>
          <w:rFonts w:ascii="Arial" w:hAnsi="Arial" w:cs="Arial"/>
          <w:sz w:val="24"/>
          <w:szCs w:val="24"/>
          <w:lang w:val="en-GB"/>
        </w:rPr>
      </w:pPr>
    </w:p>
    <w:p w:rsidR="00DC5C78" w:rsidRDefault="00DC5C78" w:rsidP="00042927">
      <w:pPr>
        <w:widowControl w:val="0"/>
        <w:autoSpaceDE w:val="0"/>
        <w:autoSpaceDN w:val="0"/>
        <w:spacing w:after="0" w:line="360" w:lineRule="auto"/>
        <w:ind w:left="720" w:hanging="720"/>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 xml:space="preserve">The appellant was accused number three </w:t>
      </w:r>
      <w:r w:rsidR="00222108">
        <w:rPr>
          <w:rFonts w:ascii="Arial" w:hAnsi="Arial" w:cs="Arial"/>
          <w:sz w:val="24"/>
          <w:szCs w:val="24"/>
          <w:lang w:val="en-GB"/>
        </w:rPr>
        <w:t xml:space="preserve">(3) </w:t>
      </w:r>
      <w:r>
        <w:rPr>
          <w:rFonts w:ascii="Arial" w:hAnsi="Arial" w:cs="Arial"/>
          <w:sz w:val="24"/>
          <w:szCs w:val="24"/>
          <w:lang w:val="en-GB"/>
        </w:rPr>
        <w:t xml:space="preserve">in the Circuit Court of this Division held at </w:t>
      </w:r>
      <w:proofErr w:type="spellStart"/>
      <w:r>
        <w:rPr>
          <w:rFonts w:ascii="Arial" w:hAnsi="Arial" w:cs="Arial"/>
          <w:sz w:val="24"/>
          <w:szCs w:val="24"/>
          <w:lang w:val="en-GB"/>
        </w:rPr>
        <w:t>Bethulie</w:t>
      </w:r>
      <w:proofErr w:type="spellEnd"/>
      <w:r>
        <w:rPr>
          <w:rFonts w:ascii="Arial" w:hAnsi="Arial" w:cs="Arial"/>
          <w:sz w:val="24"/>
          <w:szCs w:val="24"/>
          <w:lang w:val="en-GB"/>
        </w:rPr>
        <w:t>. It is convenient to refer to him as in the trial court.</w:t>
      </w:r>
    </w:p>
    <w:p w:rsidR="00DC5C78" w:rsidRDefault="00DC5C78" w:rsidP="00042927">
      <w:pPr>
        <w:widowControl w:val="0"/>
        <w:autoSpaceDE w:val="0"/>
        <w:autoSpaceDN w:val="0"/>
        <w:spacing w:after="0" w:line="360" w:lineRule="auto"/>
        <w:ind w:left="720" w:hanging="720"/>
        <w:jc w:val="both"/>
        <w:rPr>
          <w:rFonts w:ascii="Arial" w:hAnsi="Arial" w:cs="Arial"/>
          <w:sz w:val="24"/>
          <w:szCs w:val="24"/>
          <w:lang w:val="en-GB"/>
        </w:rPr>
      </w:pPr>
      <w:bookmarkStart w:id="0" w:name="_GoBack"/>
      <w:bookmarkEnd w:id="0"/>
    </w:p>
    <w:p w:rsidR="00DC5C78" w:rsidRDefault="00DC5C78" w:rsidP="00042927">
      <w:pPr>
        <w:widowControl w:val="0"/>
        <w:autoSpaceDE w:val="0"/>
        <w:autoSpaceDN w:val="0"/>
        <w:spacing w:after="0" w:line="360" w:lineRule="auto"/>
        <w:ind w:left="720" w:hanging="720"/>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t>Four accused were arraigned on three charges. The first charge was murder</w:t>
      </w:r>
      <w:r w:rsidR="00085B9D">
        <w:rPr>
          <w:rFonts w:ascii="Arial" w:hAnsi="Arial" w:cs="Arial"/>
          <w:sz w:val="24"/>
          <w:szCs w:val="24"/>
          <w:lang w:val="en-GB"/>
        </w:rPr>
        <w:t xml:space="preserve"> </w:t>
      </w:r>
      <w:r w:rsidR="002050A5">
        <w:rPr>
          <w:rFonts w:ascii="Arial" w:hAnsi="Arial" w:cs="Arial"/>
          <w:sz w:val="24"/>
          <w:szCs w:val="24"/>
          <w:lang w:val="en-GB"/>
        </w:rPr>
        <w:t>read with the provisions of</w:t>
      </w:r>
      <w:r w:rsidR="00085B9D">
        <w:rPr>
          <w:rFonts w:ascii="Arial" w:hAnsi="Arial" w:cs="Arial"/>
          <w:sz w:val="24"/>
          <w:szCs w:val="24"/>
          <w:lang w:val="en-GB"/>
        </w:rPr>
        <w:t xml:space="preserve"> section 51(1) of the Criminal Law Amendment Act </w:t>
      </w:r>
      <w:r w:rsidR="00171105">
        <w:rPr>
          <w:rFonts w:ascii="Arial" w:hAnsi="Arial" w:cs="Arial"/>
          <w:sz w:val="24"/>
          <w:szCs w:val="24"/>
          <w:lang w:val="en-GB"/>
        </w:rPr>
        <w:t xml:space="preserve"> (the “CLAA”)</w:t>
      </w:r>
      <w:r w:rsidR="00085B9D">
        <w:rPr>
          <w:rStyle w:val="FootnoteReference"/>
          <w:rFonts w:ascii="Arial" w:hAnsi="Arial" w:cs="Arial"/>
          <w:sz w:val="24"/>
          <w:szCs w:val="24"/>
          <w:lang w:val="en-GB"/>
        </w:rPr>
        <w:footnoteReference w:id="3"/>
      </w:r>
      <w:r w:rsidR="00085B9D">
        <w:rPr>
          <w:rFonts w:ascii="Arial" w:hAnsi="Arial" w:cs="Arial"/>
          <w:sz w:val="24"/>
          <w:szCs w:val="24"/>
          <w:lang w:val="en-GB"/>
        </w:rPr>
        <w:t>. I</w:t>
      </w:r>
      <w:r>
        <w:rPr>
          <w:rFonts w:ascii="Arial" w:hAnsi="Arial" w:cs="Arial"/>
          <w:sz w:val="24"/>
          <w:szCs w:val="24"/>
          <w:lang w:val="en-GB"/>
        </w:rPr>
        <w:t xml:space="preserve">t was alleged that on 25 February 2019 at house number 130 in </w:t>
      </w:r>
      <w:proofErr w:type="spellStart"/>
      <w:r>
        <w:rPr>
          <w:rFonts w:ascii="Arial" w:hAnsi="Arial" w:cs="Arial"/>
          <w:sz w:val="24"/>
          <w:szCs w:val="24"/>
          <w:lang w:val="en-GB"/>
        </w:rPr>
        <w:t>Lephoi</w:t>
      </w:r>
      <w:proofErr w:type="spellEnd"/>
      <w:r>
        <w:rPr>
          <w:rFonts w:ascii="Arial" w:hAnsi="Arial" w:cs="Arial"/>
          <w:sz w:val="24"/>
          <w:szCs w:val="24"/>
          <w:lang w:val="en-GB"/>
        </w:rPr>
        <w:t xml:space="preserve"> in </w:t>
      </w:r>
      <w:proofErr w:type="spellStart"/>
      <w:r>
        <w:rPr>
          <w:rFonts w:ascii="Arial" w:hAnsi="Arial" w:cs="Arial"/>
          <w:sz w:val="24"/>
          <w:szCs w:val="24"/>
          <w:lang w:val="en-GB"/>
        </w:rPr>
        <w:t>Bethulie</w:t>
      </w:r>
      <w:proofErr w:type="spellEnd"/>
      <w:r>
        <w:rPr>
          <w:rFonts w:ascii="Arial" w:hAnsi="Arial" w:cs="Arial"/>
          <w:sz w:val="24"/>
          <w:szCs w:val="24"/>
          <w:lang w:val="en-GB"/>
        </w:rPr>
        <w:t xml:space="preserve"> the accused unlawfully and intentionally killed </w:t>
      </w:r>
      <w:proofErr w:type="spellStart"/>
      <w:r>
        <w:rPr>
          <w:rFonts w:ascii="Arial" w:hAnsi="Arial" w:cs="Arial"/>
          <w:sz w:val="24"/>
          <w:szCs w:val="24"/>
          <w:lang w:val="en-GB"/>
        </w:rPr>
        <w:t>Thembisa</w:t>
      </w:r>
      <w:proofErr w:type="spellEnd"/>
      <w:r>
        <w:rPr>
          <w:rFonts w:ascii="Arial" w:hAnsi="Arial" w:cs="Arial"/>
          <w:sz w:val="24"/>
          <w:szCs w:val="24"/>
          <w:lang w:val="en-GB"/>
        </w:rPr>
        <w:t xml:space="preserve"> Miriam </w:t>
      </w:r>
      <w:proofErr w:type="spellStart"/>
      <w:r>
        <w:rPr>
          <w:rFonts w:ascii="Arial" w:hAnsi="Arial" w:cs="Arial"/>
          <w:sz w:val="24"/>
          <w:szCs w:val="24"/>
          <w:lang w:val="en-GB"/>
        </w:rPr>
        <w:t>Majiba</w:t>
      </w:r>
      <w:proofErr w:type="spellEnd"/>
      <w:r w:rsidR="00B72FE7">
        <w:rPr>
          <w:rFonts w:ascii="Arial" w:hAnsi="Arial" w:cs="Arial"/>
          <w:sz w:val="24"/>
          <w:szCs w:val="24"/>
          <w:lang w:val="en-GB"/>
        </w:rPr>
        <w:t>,</w:t>
      </w:r>
      <w:r>
        <w:rPr>
          <w:rFonts w:ascii="Arial" w:hAnsi="Arial" w:cs="Arial"/>
          <w:sz w:val="24"/>
          <w:szCs w:val="24"/>
          <w:lang w:val="en-GB"/>
        </w:rPr>
        <w:t xml:space="preserve"> an adult female</w:t>
      </w:r>
      <w:r w:rsidR="00085B9D">
        <w:rPr>
          <w:rFonts w:ascii="Arial" w:hAnsi="Arial" w:cs="Arial"/>
          <w:sz w:val="24"/>
          <w:szCs w:val="24"/>
          <w:lang w:val="en-GB"/>
        </w:rPr>
        <w:t xml:space="preserve"> (hereafter </w:t>
      </w:r>
      <w:r w:rsidR="00B72FE7">
        <w:rPr>
          <w:rFonts w:ascii="Arial" w:hAnsi="Arial" w:cs="Arial"/>
          <w:sz w:val="24"/>
          <w:szCs w:val="24"/>
          <w:lang w:val="en-GB"/>
        </w:rPr>
        <w:t>“</w:t>
      </w:r>
      <w:r w:rsidR="00085B9D">
        <w:rPr>
          <w:rFonts w:ascii="Arial" w:hAnsi="Arial" w:cs="Arial"/>
          <w:sz w:val="24"/>
          <w:szCs w:val="24"/>
          <w:lang w:val="en-GB"/>
        </w:rPr>
        <w:t>the deceased</w:t>
      </w:r>
      <w:r w:rsidR="00B72FE7">
        <w:rPr>
          <w:rFonts w:ascii="Arial" w:hAnsi="Arial" w:cs="Arial"/>
          <w:sz w:val="24"/>
          <w:szCs w:val="24"/>
          <w:lang w:val="en-GB"/>
        </w:rPr>
        <w:t>”</w:t>
      </w:r>
      <w:r w:rsidR="00085B9D">
        <w:rPr>
          <w:rFonts w:ascii="Arial" w:hAnsi="Arial" w:cs="Arial"/>
          <w:sz w:val="24"/>
          <w:szCs w:val="24"/>
          <w:lang w:val="en-GB"/>
        </w:rPr>
        <w:t>)</w:t>
      </w:r>
      <w:r>
        <w:rPr>
          <w:rFonts w:ascii="Arial" w:hAnsi="Arial" w:cs="Arial"/>
          <w:sz w:val="24"/>
          <w:szCs w:val="24"/>
          <w:lang w:val="en-GB"/>
        </w:rPr>
        <w:t xml:space="preserve">. The second charge was robbery with aggravating circumstances </w:t>
      </w:r>
      <w:r w:rsidR="00B72FE7">
        <w:rPr>
          <w:rFonts w:ascii="Arial" w:hAnsi="Arial" w:cs="Arial"/>
          <w:sz w:val="24"/>
          <w:szCs w:val="24"/>
          <w:lang w:val="en-GB"/>
        </w:rPr>
        <w:t>(read with the provisions of</w:t>
      </w:r>
      <w:r w:rsidR="00171105">
        <w:rPr>
          <w:rFonts w:ascii="Arial" w:hAnsi="Arial" w:cs="Arial"/>
          <w:sz w:val="24"/>
          <w:szCs w:val="24"/>
          <w:lang w:val="en-GB"/>
        </w:rPr>
        <w:t xml:space="preserve"> s51(1</w:t>
      </w:r>
      <w:r w:rsidR="00B72FE7">
        <w:rPr>
          <w:rFonts w:ascii="Arial" w:hAnsi="Arial" w:cs="Arial"/>
          <w:sz w:val="24"/>
          <w:szCs w:val="24"/>
          <w:lang w:val="en-GB"/>
        </w:rPr>
        <w:t xml:space="preserve">) </w:t>
      </w:r>
      <w:r w:rsidR="00171105">
        <w:rPr>
          <w:rFonts w:ascii="Arial" w:hAnsi="Arial" w:cs="Arial"/>
          <w:sz w:val="24"/>
          <w:szCs w:val="24"/>
          <w:lang w:val="en-GB"/>
        </w:rPr>
        <w:t xml:space="preserve">of the CLAA) </w:t>
      </w:r>
      <w:r>
        <w:rPr>
          <w:rFonts w:ascii="Arial" w:hAnsi="Arial" w:cs="Arial"/>
          <w:sz w:val="24"/>
          <w:szCs w:val="24"/>
          <w:lang w:val="en-GB"/>
        </w:rPr>
        <w:t>in that the accused by means of force and violence induced the deceased’s submission and stole her cell phone from her. Count 3 was that the accused at the same time and place in counts 1 and 2 unlawfully and intentionally deprived the deceased of her freedom of movement.</w:t>
      </w:r>
    </w:p>
    <w:p w:rsidR="00DC5C78" w:rsidRDefault="00DC5C78" w:rsidP="00042927">
      <w:pPr>
        <w:widowControl w:val="0"/>
        <w:autoSpaceDE w:val="0"/>
        <w:autoSpaceDN w:val="0"/>
        <w:spacing w:after="0" w:line="360" w:lineRule="auto"/>
        <w:ind w:left="720" w:hanging="720"/>
        <w:jc w:val="both"/>
        <w:rPr>
          <w:rFonts w:ascii="Arial" w:hAnsi="Arial" w:cs="Arial"/>
          <w:sz w:val="24"/>
          <w:szCs w:val="24"/>
          <w:lang w:val="en-GB"/>
        </w:rPr>
      </w:pPr>
    </w:p>
    <w:p w:rsidR="00DC5C78" w:rsidRDefault="00DC5C78" w:rsidP="00042927">
      <w:pPr>
        <w:widowControl w:val="0"/>
        <w:autoSpaceDE w:val="0"/>
        <w:autoSpaceDN w:val="0"/>
        <w:spacing w:after="0" w:line="360" w:lineRule="auto"/>
        <w:ind w:left="720" w:hanging="720"/>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t xml:space="preserve">At </w:t>
      </w:r>
      <w:r w:rsidR="00171105">
        <w:rPr>
          <w:rFonts w:ascii="Arial" w:hAnsi="Arial" w:cs="Arial"/>
          <w:sz w:val="24"/>
          <w:szCs w:val="24"/>
          <w:lang w:val="en-GB"/>
        </w:rPr>
        <w:t xml:space="preserve">the </w:t>
      </w:r>
      <w:r>
        <w:rPr>
          <w:rFonts w:ascii="Arial" w:hAnsi="Arial" w:cs="Arial"/>
          <w:sz w:val="24"/>
          <w:szCs w:val="24"/>
          <w:lang w:val="en-GB"/>
        </w:rPr>
        <w:t xml:space="preserve">conclusion of the trial accused 1, 2 and 3 were convicted of all </w:t>
      </w:r>
      <w:r w:rsidR="00B72FE7">
        <w:rPr>
          <w:rFonts w:ascii="Arial" w:hAnsi="Arial" w:cs="Arial"/>
          <w:sz w:val="24"/>
          <w:szCs w:val="24"/>
          <w:lang w:val="en-GB"/>
        </w:rPr>
        <w:t xml:space="preserve">three counts and accused </w:t>
      </w:r>
      <w:r>
        <w:rPr>
          <w:rFonts w:ascii="Arial" w:hAnsi="Arial" w:cs="Arial"/>
          <w:sz w:val="24"/>
          <w:szCs w:val="24"/>
          <w:lang w:val="en-GB"/>
        </w:rPr>
        <w:t xml:space="preserve">4 was acquitted. The appellant was </w:t>
      </w:r>
      <w:r w:rsidR="00FA2FF2">
        <w:rPr>
          <w:rFonts w:ascii="Arial" w:hAnsi="Arial" w:cs="Arial"/>
          <w:sz w:val="24"/>
          <w:szCs w:val="24"/>
          <w:lang w:val="en-GB"/>
        </w:rPr>
        <w:t>sentenced on c</w:t>
      </w:r>
      <w:r w:rsidR="00B72FE7">
        <w:rPr>
          <w:rFonts w:ascii="Arial" w:hAnsi="Arial" w:cs="Arial"/>
          <w:sz w:val="24"/>
          <w:szCs w:val="24"/>
          <w:lang w:val="en-GB"/>
        </w:rPr>
        <w:t xml:space="preserve">ount 1 </w:t>
      </w:r>
      <w:r w:rsidR="00B72FE7">
        <w:rPr>
          <w:rFonts w:ascii="Arial" w:hAnsi="Arial" w:cs="Arial"/>
          <w:sz w:val="24"/>
          <w:szCs w:val="24"/>
          <w:lang w:val="en-GB"/>
        </w:rPr>
        <w:lastRenderedPageBreak/>
        <w:t xml:space="preserve">to life imprisonment, </w:t>
      </w:r>
      <w:r w:rsidR="00FA2FF2">
        <w:rPr>
          <w:rFonts w:ascii="Arial" w:hAnsi="Arial" w:cs="Arial"/>
          <w:sz w:val="24"/>
          <w:szCs w:val="24"/>
          <w:lang w:val="en-GB"/>
        </w:rPr>
        <w:t xml:space="preserve">on count </w:t>
      </w:r>
      <w:r w:rsidR="00171105">
        <w:rPr>
          <w:rFonts w:ascii="Arial" w:hAnsi="Arial" w:cs="Arial"/>
          <w:sz w:val="24"/>
          <w:szCs w:val="24"/>
          <w:lang w:val="en-GB"/>
        </w:rPr>
        <w:t>2 fifteen years’ imprisonm</w:t>
      </w:r>
      <w:r w:rsidR="00B72FE7">
        <w:rPr>
          <w:rFonts w:ascii="Arial" w:hAnsi="Arial" w:cs="Arial"/>
          <w:sz w:val="24"/>
          <w:szCs w:val="24"/>
          <w:lang w:val="en-GB"/>
        </w:rPr>
        <w:t xml:space="preserve">ent and on count 3 to five </w:t>
      </w:r>
      <w:r w:rsidR="00FA2FF2">
        <w:rPr>
          <w:rFonts w:ascii="Arial" w:hAnsi="Arial" w:cs="Arial"/>
          <w:sz w:val="24"/>
          <w:szCs w:val="24"/>
          <w:lang w:val="en-GB"/>
        </w:rPr>
        <w:t>years</w:t>
      </w:r>
      <w:r w:rsidR="00FA32D9">
        <w:rPr>
          <w:rFonts w:ascii="Arial" w:hAnsi="Arial" w:cs="Arial"/>
          <w:sz w:val="24"/>
          <w:szCs w:val="24"/>
          <w:lang w:val="en-GB"/>
        </w:rPr>
        <w:t>’ imprisonment. I</w:t>
      </w:r>
      <w:r w:rsidR="00FA2FF2">
        <w:rPr>
          <w:rFonts w:ascii="Arial" w:hAnsi="Arial" w:cs="Arial"/>
          <w:sz w:val="24"/>
          <w:szCs w:val="24"/>
          <w:lang w:val="en-GB"/>
        </w:rPr>
        <w:t>t was</w:t>
      </w:r>
      <w:r w:rsidR="00171105">
        <w:rPr>
          <w:rFonts w:ascii="Arial" w:hAnsi="Arial" w:cs="Arial"/>
          <w:sz w:val="24"/>
          <w:szCs w:val="24"/>
          <w:lang w:val="en-GB"/>
        </w:rPr>
        <w:t xml:space="preserve"> ordered that the sentences on c</w:t>
      </w:r>
      <w:r w:rsidR="00FA2FF2">
        <w:rPr>
          <w:rFonts w:ascii="Arial" w:hAnsi="Arial" w:cs="Arial"/>
          <w:sz w:val="24"/>
          <w:szCs w:val="24"/>
          <w:lang w:val="en-GB"/>
        </w:rPr>
        <w:t>ounts 2 and 3 were to run concurrently with the sentence in count 1.</w:t>
      </w:r>
    </w:p>
    <w:p w:rsidR="00FA2FF2" w:rsidRDefault="00FA2FF2" w:rsidP="00042927">
      <w:pPr>
        <w:widowControl w:val="0"/>
        <w:autoSpaceDE w:val="0"/>
        <w:autoSpaceDN w:val="0"/>
        <w:spacing w:after="0" w:line="360" w:lineRule="auto"/>
        <w:ind w:left="720" w:hanging="720"/>
        <w:jc w:val="both"/>
        <w:rPr>
          <w:rFonts w:ascii="Arial" w:hAnsi="Arial" w:cs="Arial"/>
          <w:sz w:val="24"/>
          <w:szCs w:val="24"/>
          <w:lang w:val="en-GB"/>
        </w:rPr>
      </w:pPr>
    </w:p>
    <w:p w:rsidR="00FA2FF2" w:rsidRDefault="003C58F8" w:rsidP="00FA2FF2">
      <w:pPr>
        <w:widowControl w:val="0"/>
        <w:autoSpaceDE w:val="0"/>
        <w:autoSpaceDN w:val="0"/>
        <w:spacing w:after="0" w:line="360" w:lineRule="auto"/>
        <w:ind w:left="720" w:hanging="720"/>
        <w:jc w:val="both"/>
        <w:rPr>
          <w:rFonts w:ascii="Arial" w:hAnsi="Arial" w:cs="Arial"/>
          <w:sz w:val="24"/>
          <w:szCs w:val="24"/>
          <w:lang w:val="en-GB"/>
        </w:rPr>
      </w:pPr>
      <w:r>
        <w:rPr>
          <w:rFonts w:ascii="Arial" w:hAnsi="Arial" w:cs="Arial"/>
          <w:sz w:val="24"/>
          <w:szCs w:val="24"/>
          <w:lang w:val="en-GB"/>
        </w:rPr>
        <w:t>[7</w:t>
      </w:r>
      <w:r w:rsidR="002050A5">
        <w:rPr>
          <w:rFonts w:ascii="Arial" w:hAnsi="Arial" w:cs="Arial"/>
          <w:sz w:val="24"/>
          <w:szCs w:val="24"/>
          <w:lang w:val="en-GB"/>
        </w:rPr>
        <w:t>]</w:t>
      </w:r>
      <w:r w:rsidR="002050A5">
        <w:rPr>
          <w:rFonts w:ascii="Arial" w:hAnsi="Arial" w:cs="Arial"/>
          <w:sz w:val="24"/>
          <w:szCs w:val="24"/>
          <w:lang w:val="en-GB"/>
        </w:rPr>
        <w:tab/>
        <w:t xml:space="preserve">Leave </w:t>
      </w:r>
      <w:r w:rsidR="00171105">
        <w:rPr>
          <w:rFonts w:ascii="Arial" w:hAnsi="Arial" w:cs="Arial"/>
          <w:sz w:val="24"/>
          <w:szCs w:val="24"/>
          <w:lang w:val="en-GB"/>
        </w:rPr>
        <w:t xml:space="preserve">as </w:t>
      </w:r>
      <w:r w:rsidR="002050A5">
        <w:rPr>
          <w:rFonts w:ascii="Arial" w:hAnsi="Arial" w:cs="Arial"/>
          <w:sz w:val="24"/>
          <w:szCs w:val="24"/>
          <w:lang w:val="en-GB"/>
        </w:rPr>
        <w:t>granted by the Supreme Court of A</w:t>
      </w:r>
      <w:r w:rsidR="00FA2FF2">
        <w:rPr>
          <w:rFonts w:ascii="Arial" w:hAnsi="Arial" w:cs="Arial"/>
          <w:sz w:val="24"/>
          <w:szCs w:val="24"/>
          <w:lang w:val="en-GB"/>
        </w:rPr>
        <w:t>ppeal to the app</w:t>
      </w:r>
      <w:r w:rsidR="002050A5">
        <w:rPr>
          <w:rFonts w:ascii="Arial" w:hAnsi="Arial" w:cs="Arial"/>
          <w:sz w:val="24"/>
          <w:szCs w:val="24"/>
          <w:lang w:val="en-GB"/>
        </w:rPr>
        <w:t>ellant on 8 July 2022</w:t>
      </w:r>
      <w:r w:rsidR="00171105">
        <w:rPr>
          <w:rFonts w:ascii="Arial" w:hAnsi="Arial" w:cs="Arial"/>
          <w:sz w:val="24"/>
          <w:szCs w:val="24"/>
          <w:lang w:val="en-GB"/>
        </w:rPr>
        <w:t>,</w:t>
      </w:r>
      <w:r w:rsidR="002050A5">
        <w:rPr>
          <w:rFonts w:ascii="Arial" w:hAnsi="Arial" w:cs="Arial"/>
          <w:sz w:val="24"/>
          <w:szCs w:val="24"/>
          <w:lang w:val="en-GB"/>
        </w:rPr>
        <w:t xml:space="preserve"> was </w:t>
      </w:r>
      <w:r w:rsidR="00FA2FF2">
        <w:rPr>
          <w:rFonts w:ascii="Arial" w:hAnsi="Arial" w:cs="Arial"/>
          <w:sz w:val="24"/>
          <w:szCs w:val="24"/>
          <w:lang w:val="en-GB"/>
        </w:rPr>
        <w:t>against both the convictions and sentences.</w:t>
      </w:r>
    </w:p>
    <w:p w:rsidR="00FA2FF2" w:rsidRDefault="00FA2FF2" w:rsidP="00FA2FF2">
      <w:pPr>
        <w:widowControl w:val="0"/>
        <w:autoSpaceDE w:val="0"/>
        <w:autoSpaceDN w:val="0"/>
        <w:spacing w:after="0" w:line="360" w:lineRule="auto"/>
        <w:ind w:left="720" w:hanging="720"/>
        <w:jc w:val="both"/>
        <w:rPr>
          <w:rFonts w:ascii="Arial" w:hAnsi="Arial" w:cs="Arial"/>
          <w:sz w:val="24"/>
          <w:szCs w:val="24"/>
          <w:lang w:val="en-GB"/>
        </w:rPr>
      </w:pPr>
    </w:p>
    <w:p w:rsidR="00996A44" w:rsidRDefault="003C58F8" w:rsidP="00FA2FF2">
      <w:pPr>
        <w:widowControl w:val="0"/>
        <w:autoSpaceDE w:val="0"/>
        <w:autoSpaceDN w:val="0"/>
        <w:spacing w:after="0" w:line="360" w:lineRule="auto"/>
        <w:ind w:left="720" w:hanging="720"/>
        <w:jc w:val="both"/>
        <w:rPr>
          <w:rFonts w:ascii="Arial" w:hAnsi="Arial" w:cs="Arial"/>
          <w:sz w:val="24"/>
          <w:szCs w:val="24"/>
          <w:lang w:val="en-GB"/>
        </w:rPr>
      </w:pPr>
      <w:r>
        <w:rPr>
          <w:rFonts w:ascii="Arial" w:hAnsi="Arial" w:cs="Arial"/>
          <w:sz w:val="24"/>
          <w:szCs w:val="24"/>
          <w:lang w:val="en-GB"/>
        </w:rPr>
        <w:t>[8</w:t>
      </w:r>
      <w:r w:rsidR="002050A5">
        <w:rPr>
          <w:rFonts w:ascii="Arial" w:hAnsi="Arial" w:cs="Arial"/>
          <w:sz w:val="24"/>
          <w:szCs w:val="24"/>
          <w:lang w:val="en-GB"/>
        </w:rPr>
        <w:t>]</w:t>
      </w:r>
      <w:r w:rsidR="002050A5">
        <w:rPr>
          <w:rFonts w:ascii="Arial" w:hAnsi="Arial" w:cs="Arial"/>
          <w:sz w:val="24"/>
          <w:szCs w:val="24"/>
          <w:lang w:val="en-GB"/>
        </w:rPr>
        <w:tab/>
        <w:t xml:space="preserve">Accused 3 was </w:t>
      </w:r>
      <w:r w:rsidR="00FA2FF2">
        <w:rPr>
          <w:rFonts w:ascii="Arial" w:hAnsi="Arial" w:cs="Arial"/>
          <w:sz w:val="24"/>
          <w:szCs w:val="24"/>
          <w:lang w:val="en-GB"/>
        </w:rPr>
        <w:t xml:space="preserve">legally represented during the trial and Mr </w:t>
      </w:r>
      <w:proofErr w:type="spellStart"/>
      <w:r w:rsidR="00FA2FF2">
        <w:rPr>
          <w:rFonts w:ascii="Arial" w:hAnsi="Arial" w:cs="Arial"/>
          <w:sz w:val="24"/>
          <w:szCs w:val="24"/>
          <w:lang w:val="en-GB"/>
        </w:rPr>
        <w:t>Pieterse</w:t>
      </w:r>
      <w:proofErr w:type="spellEnd"/>
      <w:r w:rsidR="00FA2FF2">
        <w:rPr>
          <w:rFonts w:ascii="Arial" w:hAnsi="Arial" w:cs="Arial"/>
          <w:sz w:val="24"/>
          <w:szCs w:val="24"/>
          <w:lang w:val="en-GB"/>
        </w:rPr>
        <w:t xml:space="preserve"> argued the matter before us on appeal.</w:t>
      </w:r>
      <w:r w:rsidR="00085B9D">
        <w:rPr>
          <w:rFonts w:ascii="Arial" w:hAnsi="Arial" w:cs="Arial"/>
          <w:sz w:val="24"/>
          <w:szCs w:val="24"/>
          <w:lang w:val="en-GB"/>
        </w:rPr>
        <w:t xml:space="preserve"> The state was represented by Mr </w:t>
      </w:r>
      <w:proofErr w:type="spellStart"/>
      <w:r w:rsidR="00085B9D">
        <w:rPr>
          <w:rFonts w:ascii="Arial" w:hAnsi="Arial" w:cs="Arial"/>
          <w:sz w:val="24"/>
          <w:szCs w:val="24"/>
          <w:lang w:val="en-GB"/>
        </w:rPr>
        <w:t>M</w:t>
      </w:r>
      <w:r w:rsidR="00B72FE7">
        <w:rPr>
          <w:rFonts w:ascii="Arial" w:hAnsi="Arial" w:cs="Arial"/>
          <w:sz w:val="24"/>
          <w:szCs w:val="24"/>
          <w:lang w:val="en-GB"/>
        </w:rPr>
        <w:t>pemvane</w:t>
      </w:r>
      <w:proofErr w:type="spellEnd"/>
      <w:r w:rsidR="00171105">
        <w:rPr>
          <w:rFonts w:ascii="Arial" w:hAnsi="Arial" w:cs="Arial"/>
          <w:sz w:val="24"/>
          <w:szCs w:val="24"/>
          <w:lang w:val="en-GB"/>
        </w:rPr>
        <w:t xml:space="preserve"> who also appeared for the state i</w:t>
      </w:r>
      <w:r w:rsidR="00B72FE7">
        <w:rPr>
          <w:rFonts w:ascii="Arial" w:hAnsi="Arial" w:cs="Arial"/>
          <w:sz w:val="24"/>
          <w:szCs w:val="24"/>
          <w:lang w:val="en-GB"/>
        </w:rPr>
        <w:t>n the</w:t>
      </w:r>
      <w:r w:rsidR="00171105">
        <w:rPr>
          <w:rFonts w:ascii="Arial" w:hAnsi="Arial" w:cs="Arial"/>
          <w:sz w:val="24"/>
          <w:szCs w:val="24"/>
          <w:lang w:val="en-GB"/>
        </w:rPr>
        <w:t xml:space="preserve"> hearing at the trial court. </w:t>
      </w:r>
    </w:p>
    <w:p w:rsidR="00FA2FF2" w:rsidRDefault="00FA2FF2" w:rsidP="00FA2FF2">
      <w:pPr>
        <w:widowControl w:val="0"/>
        <w:autoSpaceDE w:val="0"/>
        <w:autoSpaceDN w:val="0"/>
        <w:spacing w:after="0" w:line="360" w:lineRule="auto"/>
        <w:ind w:left="720" w:hanging="720"/>
        <w:jc w:val="both"/>
        <w:rPr>
          <w:rFonts w:ascii="Arial" w:hAnsi="Arial" w:cs="Arial"/>
          <w:sz w:val="24"/>
          <w:szCs w:val="24"/>
          <w:lang w:val="en-GB"/>
        </w:rPr>
      </w:pPr>
      <w:r>
        <w:rPr>
          <w:rFonts w:ascii="Arial" w:hAnsi="Arial" w:cs="Arial"/>
          <w:sz w:val="24"/>
          <w:szCs w:val="24"/>
          <w:lang w:val="en-GB"/>
        </w:rPr>
        <w:t xml:space="preserve"> </w:t>
      </w:r>
    </w:p>
    <w:p w:rsidR="00996A44" w:rsidRDefault="003C58F8" w:rsidP="00FA2FF2">
      <w:pPr>
        <w:widowControl w:val="0"/>
        <w:autoSpaceDE w:val="0"/>
        <w:autoSpaceDN w:val="0"/>
        <w:spacing w:after="0" w:line="360" w:lineRule="auto"/>
        <w:ind w:left="720" w:hanging="720"/>
        <w:jc w:val="both"/>
        <w:rPr>
          <w:rFonts w:ascii="Arial" w:hAnsi="Arial" w:cs="Arial"/>
          <w:sz w:val="24"/>
          <w:szCs w:val="24"/>
          <w:lang w:val="en-GB"/>
        </w:rPr>
      </w:pPr>
      <w:r>
        <w:rPr>
          <w:rFonts w:ascii="Arial" w:hAnsi="Arial" w:cs="Arial"/>
          <w:sz w:val="24"/>
          <w:szCs w:val="24"/>
          <w:lang w:val="en-GB"/>
        </w:rPr>
        <w:t>[9</w:t>
      </w:r>
      <w:r w:rsidR="00996A44">
        <w:rPr>
          <w:rFonts w:ascii="Arial" w:hAnsi="Arial" w:cs="Arial"/>
          <w:sz w:val="24"/>
          <w:szCs w:val="24"/>
          <w:lang w:val="en-GB"/>
        </w:rPr>
        <w:t>]</w:t>
      </w:r>
      <w:r w:rsidR="00996A44">
        <w:rPr>
          <w:rFonts w:ascii="Arial" w:hAnsi="Arial" w:cs="Arial"/>
          <w:sz w:val="24"/>
          <w:szCs w:val="24"/>
          <w:lang w:val="en-GB"/>
        </w:rPr>
        <w:tab/>
        <w:t xml:space="preserve">The bones of contention and arguments in respect of the convictions may be summarised to say that </w:t>
      </w:r>
      <w:r w:rsidR="002050A5">
        <w:rPr>
          <w:rFonts w:ascii="Arial" w:hAnsi="Arial" w:cs="Arial"/>
          <w:sz w:val="24"/>
          <w:szCs w:val="24"/>
          <w:lang w:val="en-GB"/>
        </w:rPr>
        <w:t xml:space="preserve">it was submitted that </w:t>
      </w:r>
      <w:r w:rsidR="00996A44">
        <w:rPr>
          <w:rFonts w:ascii="Arial" w:hAnsi="Arial" w:cs="Arial"/>
          <w:sz w:val="24"/>
          <w:szCs w:val="24"/>
          <w:lang w:val="en-GB"/>
        </w:rPr>
        <w:t xml:space="preserve">the trail court misdirected itself in accepting the evidence of </w:t>
      </w:r>
      <w:r w:rsidR="00085B9D">
        <w:rPr>
          <w:rFonts w:ascii="Arial" w:hAnsi="Arial" w:cs="Arial"/>
          <w:sz w:val="24"/>
          <w:szCs w:val="24"/>
          <w:lang w:val="en-GB"/>
        </w:rPr>
        <w:t xml:space="preserve">the state witnesses </w:t>
      </w:r>
      <w:r w:rsidR="002050A5">
        <w:rPr>
          <w:rFonts w:ascii="Arial" w:hAnsi="Arial" w:cs="Arial"/>
          <w:sz w:val="24"/>
          <w:szCs w:val="24"/>
          <w:lang w:val="en-GB"/>
        </w:rPr>
        <w:t xml:space="preserve">Messrs </w:t>
      </w:r>
      <w:proofErr w:type="spellStart"/>
      <w:r w:rsidR="002050A5">
        <w:rPr>
          <w:rFonts w:ascii="Arial" w:hAnsi="Arial" w:cs="Arial"/>
          <w:sz w:val="24"/>
          <w:szCs w:val="24"/>
          <w:lang w:val="en-GB"/>
        </w:rPr>
        <w:t>Zon</w:t>
      </w:r>
      <w:proofErr w:type="spellEnd"/>
      <w:r w:rsidR="002050A5">
        <w:rPr>
          <w:rFonts w:ascii="Arial" w:hAnsi="Arial" w:cs="Arial"/>
          <w:sz w:val="24"/>
          <w:szCs w:val="24"/>
          <w:lang w:val="en-GB"/>
        </w:rPr>
        <w:t xml:space="preserve"> and </w:t>
      </w:r>
      <w:proofErr w:type="spellStart"/>
      <w:r w:rsidR="00996A44">
        <w:rPr>
          <w:rFonts w:ascii="Arial" w:hAnsi="Arial" w:cs="Arial"/>
          <w:sz w:val="24"/>
          <w:szCs w:val="24"/>
          <w:lang w:val="en-GB"/>
        </w:rPr>
        <w:t>Dywili</w:t>
      </w:r>
      <w:proofErr w:type="spellEnd"/>
      <w:r w:rsidR="00996A44">
        <w:rPr>
          <w:rFonts w:ascii="Arial" w:hAnsi="Arial" w:cs="Arial"/>
          <w:sz w:val="24"/>
          <w:szCs w:val="24"/>
          <w:lang w:val="en-GB"/>
        </w:rPr>
        <w:t xml:space="preserve"> as credible and reliable. In respect of Mr </w:t>
      </w:r>
      <w:proofErr w:type="spellStart"/>
      <w:r w:rsidR="00996A44">
        <w:rPr>
          <w:rFonts w:ascii="Arial" w:hAnsi="Arial" w:cs="Arial"/>
          <w:sz w:val="24"/>
          <w:szCs w:val="24"/>
          <w:lang w:val="en-GB"/>
        </w:rPr>
        <w:t>Zon</w:t>
      </w:r>
      <w:proofErr w:type="spellEnd"/>
      <w:r w:rsidR="00996A44">
        <w:rPr>
          <w:rFonts w:ascii="Arial" w:hAnsi="Arial" w:cs="Arial"/>
          <w:sz w:val="24"/>
          <w:szCs w:val="24"/>
          <w:lang w:val="en-GB"/>
        </w:rPr>
        <w:t xml:space="preserve"> is was argued that he was previously a suspect and co-accused in the matter and it was contended that the trial court did not exercise proper caution in the evaluation of his evidence</w:t>
      </w:r>
      <w:r w:rsidR="00085B9D">
        <w:rPr>
          <w:rFonts w:ascii="Arial" w:hAnsi="Arial" w:cs="Arial"/>
          <w:sz w:val="24"/>
          <w:szCs w:val="24"/>
          <w:lang w:val="en-GB"/>
        </w:rPr>
        <w:t>.  I</w:t>
      </w:r>
      <w:r w:rsidR="002050A5">
        <w:rPr>
          <w:rFonts w:ascii="Arial" w:hAnsi="Arial" w:cs="Arial"/>
          <w:sz w:val="24"/>
          <w:szCs w:val="24"/>
          <w:lang w:val="en-GB"/>
        </w:rPr>
        <w:t xml:space="preserve">t was submitted that both Mr </w:t>
      </w:r>
      <w:proofErr w:type="spellStart"/>
      <w:r w:rsidR="002050A5">
        <w:rPr>
          <w:rFonts w:ascii="Arial" w:hAnsi="Arial" w:cs="Arial"/>
          <w:sz w:val="24"/>
          <w:szCs w:val="24"/>
          <w:lang w:val="en-GB"/>
        </w:rPr>
        <w:t>Zon</w:t>
      </w:r>
      <w:proofErr w:type="spellEnd"/>
      <w:r w:rsidR="002050A5">
        <w:rPr>
          <w:rFonts w:ascii="Arial" w:hAnsi="Arial" w:cs="Arial"/>
          <w:sz w:val="24"/>
          <w:szCs w:val="24"/>
          <w:lang w:val="en-GB"/>
        </w:rPr>
        <w:t xml:space="preserve"> and Mr </w:t>
      </w:r>
      <w:proofErr w:type="spellStart"/>
      <w:r w:rsidR="002050A5">
        <w:rPr>
          <w:rFonts w:ascii="Arial" w:hAnsi="Arial" w:cs="Arial"/>
          <w:sz w:val="24"/>
          <w:szCs w:val="24"/>
          <w:lang w:val="en-GB"/>
        </w:rPr>
        <w:t>D</w:t>
      </w:r>
      <w:r w:rsidR="00996A44">
        <w:rPr>
          <w:rFonts w:ascii="Arial" w:hAnsi="Arial" w:cs="Arial"/>
          <w:sz w:val="24"/>
          <w:szCs w:val="24"/>
          <w:lang w:val="en-GB"/>
        </w:rPr>
        <w:t>ywi</w:t>
      </w:r>
      <w:r w:rsidR="002050A5">
        <w:rPr>
          <w:rFonts w:ascii="Arial" w:hAnsi="Arial" w:cs="Arial"/>
          <w:sz w:val="24"/>
          <w:szCs w:val="24"/>
          <w:lang w:val="en-GB"/>
        </w:rPr>
        <w:t>l</w:t>
      </w:r>
      <w:r w:rsidR="00996A44">
        <w:rPr>
          <w:rFonts w:ascii="Arial" w:hAnsi="Arial" w:cs="Arial"/>
          <w:sz w:val="24"/>
          <w:szCs w:val="24"/>
          <w:lang w:val="en-GB"/>
        </w:rPr>
        <w:t>i’s</w:t>
      </w:r>
      <w:proofErr w:type="spellEnd"/>
      <w:r w:rsidR="00996A44">
        <w:rPr>
          <w:rFonts w:ascii="Arial" w:hAnsi="Arial" w:cs="Arial"/>
          <w:sz w:val="24"/>
          <w:szCs w:val="24"/>
          <w:lang w:val="en-GB"/>
        </w:rPr>
        <w:t xml:space="preserve"> evidence were inconsistent with the</w:t>
      </w:r>
      <w:r w:rsidR="00536349">
        <w:rPr>
          <w:rFonts w:ascii="Arial" w:hAnsi="Arial" w:cs="Arial"/>
          <w:sz w:val="24"/>
          <w:szCs w:val="24"/>
          <w:lang w:val="en-GB"/>
        </w:rPr>
        <w:t>ir</w:t>
      </w:r>
      <w:r w:rsidR="00996A44">
        <w:rPr>
          <w:rFonts w:ascii="Arial" w:hAnsi="Arial" w:cs="Arial"/>
          <w:sz w:val="24"/>
          <w:szCs w:val="24"/>
          <w:lang w:val="en-GB"/>
        </w:rPr>
        <w:t xml:space="preserve"> statements made to the South African Police Services. The </w:t>
      </w:r>
      <w:r w:rsidR="007A09C7">
        <w:rPr>
          <w:rFonts w:ascii="Arial" w:hAnsi="Arial" w:cs="Arial"/>
          <w:sz w:val="24"/>
          <w:szCs w:val="24"/>
          <w:lang w:val="en-GB"/>
        </w:rPr>
        <w:t xml:space="preserve">critique levelled at the </w:t>
      </w:r>
      <w:r w:rsidR="00996A44">
        <w:rPr>
          <w:rFonts w:ascii="Arial" w:hAnsi="Arial" w:cs="Arial"/>
          <w:sz w:val="24"/>
          <w:szCs w:val="24"/>
          <w:lang w:val="en-GB"/>
        </w:rPr>
        <w:t xml:space="preserve">trial </w:t>
      </w:r>
      <w:r w:rsidR="007A09C7">
        <w:rPr>
          <w:rFonts w:ascii="Arial" w:hAnsi="Arial" w:cs="Arial"/>
          <w:sz w:val="24"/>
          <w:szCs w:val="24"/>
          <w:lang w:val="en-GB"/>
        </w:rPr>
        <w:t xml:space="preserve">court included the submission </w:t>
      </w:r>
      <w:r w:rsidR="00996A44">
        <w:rPr>
          <w:rFonts w:ascii="Arial" w:hAnsi="Arial" w:cs="Arial"/>
          <w:sz w:val="24"/>
          <w:szCs w:val="24"/>
          <w:lang w:val="en-GB"/>
        </w:rPr>
        <w:t xml:space="preserve">that it </w:t>
      </w:r>
      <w:r w:rsidR="00623285">
        <w:rPr>
          <w:rFonts w:ascii="Arial" w:hAnsi="Arial" w:cs="Arial"/>
          <w:sz w:val="24"/>
          <w:szCs w:val="24"/>
          <w:lang w:val="en-GB"/>
        </w:rPr>
        <w:t xml:space="preserve">had </w:t>
      </w:r>
      <w:r w:rsidR="00996A44">
        <w:rPr>
          <w:rFonts w:ascii="Arial" w:hAnsi="Arial" w:cs="Arial"/>
          <w:sz w:val="24"/>
          <w:szCs w:val="24"/>
          <w:lang w:val="en-GB"/>
        </w:rPr>
        <w:t xml:space="preserve">misdirected itself in drawing the conclusion that the three accused conspired to kill the deceased. The </w:t>
      </w:r>
      <w:r w:rsidR="00871054">
        <w:rPr>
          <w:rFonts w:ascii="Arial" w:hAnsi="Arial" w:cs="Arial"/>
          <w:sz w:val="24"/>
          <w:szCs w:val="24"/>
          <w:lang w:val="en-GB"/>
        </w:rPr>
        <w:t xml:space="preserve">trial </w:t>
      </w:r>
      <w:r w:rsidR="00996A44">
        <w:rPr>
          <w:rFonts w:ascii="Arial" w:hAnsi="Arial" w:cs="Arial"/>
          <w:sz w:val="24"/>
          <w:szCs w:val="24"/>
          <w:lang w:val="en-GB"/>
        </w:rPr>
        <w:t xml:space="preserve">court was </w:t>
      </w:r>
      <w:r w:rsidR="00871054">
        <w:rPr>
          <w:rFonts w:ascii="Arial" w:hAnsi="Arial" w:cs="Arial"/>
          <w:sz w:val="24"/>
          <w:szCs w:val="24"/>
          <w:lang w:val="en-GB"/>
        </w:rPr>
        <w:t xml:space="preserve">also </w:t>
      </w:r>
      <w:r w:rsidR="00996A44">
        <w:rPr>
          <w:rFonts w:ascii="Arial" w:hAnsi="Arial" w:cs="Arial"/>
          <w:sz w:val="24"/>
          <w:szCs w:val="24"/>
          <w:lang w:val="en-GB"/>
        </w:rPr>
        <w:t xml:space="preserve">criticized for rejecting </w:t>
      </w:r>
      <w:r w:rsidR="002050A5">
        <w:rPr>
          <w:rFonts w:ascii="Arial" w:hAnsi="Arial" w:cs="Arial"/>
          <w:sz w:val="24"/>
          <w:szCs w:val="24"/>
          <w:lang w:val="en-GB"/>
        </w:rPr>
        <w:t>the version tendered by accused 3</w:t>
      </w:r>
      <w:r w:rsidR="00996A44">
        <w:rPr>
          <w:rFonts w:ascii="Arial" w:hAnsi="Arial" w:cs="Arial"/>
          <w:sz w:val="24"/>
          <w:szCs w:val="24"/>
          <w:lang w:val="en-GB"/>
        </w:rPr>
        <w:t>. On appe</w:t>
      </w:r>
      <w:r w:rsidR="00536349">
        <w:rPr>
          <w:rFonts w:ascii="Arial" w:hAnsi="Arial" w:cs="Arial"/>
          <w:sz w:val="24"/>
          <w:szCs w:val="24"/>
          <w:lang w:val="en-GB"/>
        </w:rPr>
        <w:t>al we were referred to the well-</w:t>
      </w:r>
      <w:r w:rsidR="00996A44">
        <w:rPr>
          <w:rFonts w:ascii="Arial" w:hAnsi="Arial" w:cs="Arial"/>
          <w:sz w:val="24"/>
          <w:szCs w:val="24"/>
          <w:lang w:val="en-GB"/>
        </w:rPr>
        <w:t xml:space="preserve">known dicta in </w:t>
      </w:r>
      <w:r w:rsidR="00996A44" w:rsidRPr="00171105">
        <w:rPr>
          <w:rFonts w:ascii="Arial" w:hAnsi="Arial" w:cs="Arial"/>
          <w:b/>
          <w:i/>
          <w:sz w:val="24"/>
          <w:szCs w:val="24"/>
          <w:lang w:val="en-GB"/>
        </w:rPr>
        <w:t xml:space="preserve">R v </w:t>
      </w:r>
      <w:proofErr w:type="spellStart"/>
      <w:r w:rsidR="00996A44" w:rsidRPr="00171105">
        <w:rPr>
          <w:rFonts w:ascii="Arial" w:hAnsi="Arial" w:cs="Arial"/>
          <w:b/>
          <w:i/>
          <w:sz w:val="24"/>
          <w:szCs w:val="24"/>
          <w:lang w:val="en-GB"/>
        </w:rPr>
        <w:t>Difford</w:t>
      </w:r>
      <w:proofErr w:type="spellEnd"/>
      <w:r w:rsidR="00FD4FAA">
        <w:rPr>
          <w:rStyle w:val="FootnoteReference"/>
          <w:rFonts w:ascii="Arial" w:hAnsi="Arial" w:cs="Arial"/>
          <w:sz w:val="24"/>
          <w:szCs w:val="24"/>
          <w:lang w:val="en-GB"/>
        </w:rPr>
        <w:footnoteReference w:id="4"/>
      </w:r>
      <w:r w:rsidR="00996A44">
        <w:rPr>
          <w:rFonts w:ascii="Arial" w:hAnsi="Arial" w:cs="Arial"/>
          <w:sz w:val="24"/>
          <w:szCs w:val="24"/>
          <w:lang w:val="en-GB"/>
        </w:rPr>
        <w:t xml:space="preserve"> and it was reiterated on this basis that the appellant was entitl</w:t>
      </w:r>
      <w:r w:rsidR="00171105">
        <w:rPr>
          <w:rFonts w:ascii="Arial" w:hAnsi="Arial" w:cs="Arial"/>
          <w:sz w:val="24"/>
          <w:szCs w:val="24"/>
          <w:lang w:val="en-GB"/>
        </w:rPr>
        <w:t xml:space="preserve">ed to his acquittal if there was </w:t>
      </w:r>
      <w:r w:rsidR="00996A44">
        <w:rPr>
          <w:rFonts w:ascii="Arial" w:hAnsi="Arial" w:cs="Arial"/>
          <w:sz w:val="24"/>
          <w:szCs w:val="24"/>
          <w:lang w:val="en-GB"/>
        </w:rPr>
        <w:t xml:space="preserve">any reasonability of his explanation being true. </w:t>
      </w:r>
    </w:p>
    <w:p w:rsidR="00996A44" w:rsidRDefault="00996A44" w:rsidP="00FA2FF2">
      <w:pPr>
        <w:widowControl w:val="0"/>
        <w:autoSpaceDE w:val="0"/>
        <w:autoSpaceDN w:val="0"/>
        <w:spacing w:after="0" w:line="360" w:lineRule="auto"/>
        <w:ind w:left="720" w:hanging="720"/>
        <w:jc w:val="both"/>
        <w:rPr>
          <w:rFonts w:ascii="Arial" w:hAnsi="Arial" w:cs="Arial"/>
          <w:sz w:val="24"/>
          <w:szCs w:val="24"/>
          <w:lang w:val="en-GB"/>
        </w:rPr>
      </w:pPr>
    </w:p>
    <w:p w:rsidR="00996A44" w:rsidRPr="001B4C94" w:rsidRDefault="00A41154" w:rsidP="00FA2FF2">
      <w:pPr>
        <w:widowControl w:val="0"/>
        <w:autoSpaceDE w:val="0"/>
        <w:autoSpaceDN w:val="0"/>
        <w:spacing w:after="0" w:line="360" w:lineRule="auto"/>
        <w:ind w:left="720" w:hanging="720"/>
        <w:jc w:val="both"/>
        <w:rPr>
          <w:rFonts w:ascii="Arial" w:hAnsi="Arial" w:cs="Arial"/>
          <w:sz w:val="24"/>
          <w:szCs w:val="24"/>
        </w:rPr>
      </w:pPr>
      <w:r>
        <w:rPr>
          <w:rFonts w:ascii="Arial" w:hAnsi="Arial" w:cs="Arial"/>
          <w:sz w:val="24"/>
          <w:szCs w:val="24"/>
          <w:lang w:val="en-GB"/>
        </w:rPr>
        <w:t>[10</w:t>
      </w:r>
      <w:r w:rsidR="00996A44">
        <w:rPr>
          <w:rFonts w:ascii="Arial" w:hAnsi="Arial" w:cs="Arial"/>
          <w:sz w:val="24"/>
          <w:szCs w:val="24"/>
          <w:lang w:val="en-GB"/>
        </w:rPr>
        <w:t>]</w:t>
      </w:r>
      <w:r w:rsidR="00996A44">
        <w:rPr>
          <w:rFonts w:ascii="Arial" w:hAnsi="Arial" w:cs="Arial"/>
          <w:sz w:val="24"/>
          <w:szCs w:val="24"/>
          <w:lang w:val="en-GB"/>
        </w:rPr>
        <w:tab/>
        <w:t xml:space="preserve">The highlights of the state case indicated that accused 3 and the deceased were in a </w:t>
      </w:r>
      <w:r w:rsidR="00222108">
        <w:rPr>
          <w:rFonts w:ascii="Arial" w:hAnsi="Arial" w:cs="Arial"/>
          <w:sz w:val="24"/>
          <w:szCs w:val="24"/>
          <w:lang w:val="en-GB"/>
        </w:rPr>
        <w:t xml:space="preserve">toxic </w:t>
      </w:r>
      <w:r w:rsidR="00996A44">
        <w:rPr>
          <w:rFonts w:ascii="Arial" w:hAnsi="Arial" w:cs="Arial"/>
          <w:sz w:val="24"/>
          <w:szCs w:val="24"/>
          <w:lang w:val="en-GB"/>
        </w:rPr>
        <w:t xml:space="preserve">love relationship at the time of her death. </w:t>
      </w:r>
      <w:r w:rsidR="00CD33A0">
        <w:rPr>
          <w:rFonts w:ascii="Arial" w:hAnsi="Arial" w:cs="Arial"/>
          <w:sz w:val="24"/>
          <w:szCs w:val="24"/>
          <w:lang w:val="en-GB"/>
        </w:rPr>
        <w:t>One minor child was born fr</w:t>
      </w:r>
      <w:r w:rsidR="00EE75DD">
        <w:rPr>
          <w:rFonts w:ascii="Arial" w:hAnsi="Arial" w:cs="Arial"/>
          <w:sz w:val="24"/>
          <w:szCs w:val="24"/>
          <w:lang w:val="en-GB"/>
        </w:rPr>
        <w:t>om this</w:t>
      </w:r>
      <w:r w:rsidR="00CD33A0">
        <w:rPr>
          <w:rFonts w:ascii="Arial" w:hAnsi="Arial" w:cs="Arial"/>
          <w:sz w:val="24"/>
          <w:szCs w:val="24"/>
          <w:lang w:val="en-GB"/>
        </w:rPr>
        <w:t xml:space="preserve"> union. </w:t>
      </w:r>
      <w:r w:rsidR="00EE75DD">
        <w:rPr>
          <w:rFonts w:ascii="Arial" w:hAnsi="Arial" w:cs="Arial"/>
          <w:sz w:val="24"/>
          <w:szCs w:val="24"/>
          <w:lang w:val="en-GB"/>
        </w:rPr>
        <w:t>A</w:t>
      </w:r>
      <w:r w:rsidR="00B50042">
        <w:rPr>
          <w:rFonts w:ascii="Arial" w:hAnsi="Arial" w:cs="Arial"/>
          <w:sz w:val="24"/>
          <w:szCs w:val="24"/>
          <w:lang w:val="en-GB"/>
        </w:rPr>
        <w:t>ccording to the med</w:t>
      </w:r>
      <w:r w:rsidR="003C58F8">
        <w:rPr>
          <w:rFonts w:ascii="Arial" w:hAnsi="Arial" w:cs="Arial"/>
          <w:sz w:val="24"/>
          <w:szCs w:val="24"/>
          <w:lang w:val="en-GB"/>
        </w:rPr>
        <w:t>ico legal post mortem report the deceased</w:t>
      </w:r>
      <w:r w:rsidR="00B50042">
        <w:rPr>
          <w:rFonts w:ascii="Arial" w:hAnsi="Arial" w:cs="Arial"/>
          <w:sz w:val="24"/>
          <w:szCs w:val="24"/>
          <w:lang w:val="en-GB"/>
        </w:rPr>
        <w:t xml:space="preserve"> was strangled to death.</w:t>
      </w:r>
      <w:r w:rsidR="003C58F8">
        <w:rPr>
          <w:rFonts w:ascii="Arial" w:hAnsi="Arial" w:cs="Arial"/>
          <w:sz w:val="24"/>
          <w:szCs w:val="24"/>
          <w:lang w:val="en-GB"/>
        </w:rPr>
        <w:t xml:space="preserve"> </w:t>
      </w:r>
      <w:r w:rsidR="003F31B0">
        <w:rPr>
          <w:rFonts w:ascii="Arial" w:hAnsi="Arial" w:cs="Arial"/>
          <w:sz w:val="24"/>
          <w:szCs w:val="24"/>
          <w:lang w:val="en-GB"/>
        </w:rPr>
        <w:t xml:space="preserve">Mr </w:t>
      </w:r>
      <w:proofErr w:type="spellStart"/>
      <w:r w:rsidR="003F31B0">
        <w:rPr>
          <w:rFonts w:ascii="Arial" w:hAnsi="Arial" w:cs="Arial"/>
          <w:sz w:val="24"/>
          <w:szCs w:val="24"/>
          <w:lang w:val="en-GB"/>
        </w:rPr>
        <w:t>Dywili’s</w:t>
      </w:r>
      <w:proofErr w:type="spellEnd"/>
      <w:r w:rsidR="003F31B0">
        <w:rPr>
          <w:rFonts w:ascii="Arial" w:hAnsi="Arial" w:cs="Arial"/>
          <w:sz w:val="24"/>
          <w:szCs w:val="24"/>
          <w:lang w:val="en-GB"/>
        </w:rPr>
        <w:t xml:space="preserve"> evidence </w:t>
      </w:r>
      <w:r w:rsidR="003C58F8">
        <w:rPr>
          <w:rFonts w:ascii="Arial" w:hAnsi="Arial" w:cs="Arial"/>
          <w:sz w:val="24"/>
          <w:szCs w:val="24"/>
          <w:lang w:val="en-GB"/>
        </w:rPr>
        <w:t xml:space="preserve">revealed that </w:t>
      </w:r>
      <w:r w:rsidR="003F31B0">
        <w:rPr>
          <w:rFonts w:ascii="Arial" w:hAnsi="Arial" w:cs="Arial"/>
          <w:sz w:val="24"/>
          <w:szCs w:val="24"/>
          <w:lang w:val="en-GB"/>
        </w:rPr>
        <w:t>accused 3 approached him to assist in killing the deceased.</w:t>
      </w:r>
      <w:r w:rsidR="003C58F8">
        <w:rPr>
          <w:rFonts w:ascii="Arial" w:hAnsi="Arial" w:cs="Arial"/>
          <w:sz w:val="24"/>
          <w:szCs w:val="24"/>
          <w:lang w:val="en-GB"/>
        </w:rPr>
        <w:t xml:space="preserve"> A day prior to the deceased </w:t>
      </w:r>
      <w:r w:rsidR="00102987">
        <w:rPr>
          <w:rFonts w:ascii="Arial" w:hAnsi="Arial" w:cs="Arial"/>
          <w:sz w:val="24"/>
          <w:szCs w:val="24"/>
          <w:lang w:val="en-GB"/>
        </w:rPr>
        <w:t xml:space="preserve">being </w:t>
      </w:r>
      <w:r w:rsidR="003F31B0">
        <w:rPr>
          <w:rFonts w:ascii="Arial" w:hAnsi="Arial" w:cs="Arial"/>
          <w:sz w:val="24"/>
          <w:szCs w:val="24"/>
          <w:lang w:val="en-GB"/>
        </w:rPr>
        <w:t xml:space="preserve">killed, accused 3 transported accused 1 and 2 from Bloemfontein to </w:t>
      </w:r>
      <w:proofErr w:type="spellStart"/>
      <w:r w:rsidR="003F31B0">
        <w:rPr>
          <w:rFonts w:ascii="Arial" w:hAnsi="Arial" w:cs="Arial"/>
          <w:sz w:val="24"/>
          <w:szCs w:val="24"/>
          <w:lang w:val="en-GB"/>
        </w:rPr>
        <w:lastRenderedPageBreak/>
        <w:t>Bethulie</w:t>
      </w:r>
      <w:proofErr w:type="spellEnd"/>
      <w:r w:rsidR="003F31B0">
        <w:rPr>
          <w:rFonts w:ascii="Arial" w:hAnsi="Arial" w:cs="Arial"/>
          <w:sz w:val="24"/>
          <w:szCs w:val="24"/>
          <w:lang w:val="en-GB"/>
        </w:rPr>
        <w:t xml:space="preserve">. Shortly before the death of the deceased, accused 3 was briefly at her place of residence and shortly after he had left, accused 1 and 2 entered the house. </w:t>
      </w:r>
      <w:r w:rsidR="000F3B00">
        <w:rPr>
          <w:rFonts w:ascii="Arial" w:hAnsi="Arial" w:cs="Arial"/>
          <w:sz w:val="24"/>
          <w:szCs w:val="24"/>
          <w:lang w:val="en-GB"/>
        </w:rPr>
        <w:t>Testimony revealed that accused 1 and 2 contacted accused 3 shortly after deceased was killed – informing him that they were done. Accused 1, 2 and</w:t>
      </w:r>
      <w:r w:rsidR="00B70666">
        <w:rPr>
          <w:rFonts w:ascii="Arial" w:hAnsi="Arial" w:cs="Arial"/>
          <w:sz w:val="24"/>
          <w:szCs w:val="24"/>
          <w:lang w:val="en-GB"/>
        </w:rPr>
        <w:t xml:space="preserve"> 3 re-united within a short time </w:t>
      </w:r>
      <w:r w:rsidR="007F331F">
        <w:rPr>
          <w:rFonts w:ascii="Arial" w:hAnsi="Arial" w:cs="Arial"/>
          <w:sz w:val="24"/>
          <w:szCs w:val="24"/>
          <w:lang w:val="en-GB"/>
        </w:rPr>
        <w:t xml:space="preserve">thereafter. Mr </w:t>
      </w:r>
      <w:proofErr w:type="spellStart"/>
      <w:r w:rsidR="007F331F">
        <w:rPr>
          <w:rFonts w:ascii="Arial" w:hAnsi="Arial" w:cs="Arial"/>
          <w:sz w:val="24"/>
          <w:szCs w:val="24"/>
          <w:lang w:val="en-GB"/>
        </w:rPr>
        <w:t>Zon</w:t>
      </w:r>
      <w:proofErr w:type="spellEnd"/>
      <w:r w:rsidR="007F331F">
        <w:rPr>
          <w:rFonts w:ascii="Arial" w:hAnsi="Arial" w:cs="Arial"/>
          <w:sz w:val="24"/>
          <w:szCs w:val="24"/>
          <w:lang w:val="en-GB"/>
        </w:rPr>
        <w:t xml:space="preserve"> </w:t>
      </w:r>
      <w:r w:rsidR="00A44E45">
        <w:rPr>
          <w:rFonts w:ascii="Arial" w:hAnsi="Arial" w:cs="Arial"/>
          <w:sz w:val="24"/>
          <w:szCs w:val="24"/>
          <w:lang w:val="en-GB"/>
        </w:rPr>
        <w:t xml:space="preserve">then transported </w:t>
      </w:r>
      <w:r w:rsidR="007F331F">
        <w:rPr>
          <w:rFonts w:ascii="Arial" w:hAnsi="Arial" w:cs="Arial"/>
          <w:sz w:val="24"/>
          <w:szCs w:val="24"/>
          <w:lang w:val="en-GB"/>
        </w:rPr>
        <w:t>accused 1 and 2 and accused 3 followed them in his employer’s vehicle. A cell phone was taken from deceased and later found when accused 1 and 2 were arrested.</w:t>
      </w:r>
      <w:r w:rsidR="00FC5175" w:rsidRPr="00FC5175">
        <w:rPr>
          <w:rFonts w:ascii="Times New Roman" w:hAnsi="Times New Roman" w:cs="Times New Roman"/>
          <w:sz w:val="24"/>
          <w:szCs w:val="24"/>
          <w:lang w:eastAsia="en-ZA"/>
        </w:rPr>
        <w:t xml:space="preserve"> </w:t>
      </w:r>
      <w:r w:rsidR="00FC5175" w:rsidRPr="00FC5175">
        <w:rPr>
          <w:rFonts w:ascii="Arial" w:hAnsi="Arial" w:cs="Arial"/>
          <w:sz w:val="24"/>
          <w:szCs w:val="24"/>
        </w:rPr>
        <w:t>Accused 3 did not challenge accused 4's evidence that acc</w:t>
      </w:r>
      <w:r w:rsidR="00CF691F">
        <w:rPr>
          <w:rFonts w:ascii="Arial" w:hAnsi="Arial" w:cs="Arial"/>
          <w:sz w:val="24"/>
          <w:szCs w:val="24"/>
        </w:rPr>
        <w:t xml:space="preserve">used </w:t>
      </w:r>
      <w:r w:rsidR="00001199">
        <w:rPr>
          <w:rFonts w:ascii="Arial" w:hAnsi="Arial" w:cs="Arial"/>
          <w:sz w:val="24"/>
          <w:szCs w:val="24"/>
        </w:rPr>
        <w:t>1 and 2 did not have bags</w:t>
      </w:r>
      <w:r w:rsidR="001832A3">
        <w:rPr>
          <w:rFonts w:ascii="Arial" w:hAnsi="Arial" w:cs="Arial"/>
          <w:sz w:val="24"/>
          <w:szCs w:val="24"/>
        </w:rPr>
        <w:t xml:space="preserve"> </w:t>
      </w:r>
      <w:r w:rsidR="00FC5175" w:rsidRPr="00FC5175">
        <w:rPr>
          <w:rFonts w:ascii="Arial" w:hAnsi="Arial" w:cs="Arial"/>
          <w:sz w:val="24"/>
          <w:szCs w:val="24"/>
        </w:rPr>
        <w:t>when traveling from Bloemfontein the n</w:t>
      </w:r>
      <w:r w:rsidR="001832A3">
        <w:rPr>
          <w:rFonts w:ascii="Arial" w:hAnsi="Arial" w:cs="Arial"/>
          <w:sz w:val="24"/>
          <w:szCs w:val="24"/>
        </w:rPr>
        <w:t xml:space="preserve">ight before the murder. This contradicts his evidence that accused 1 and </w:t>
      </w:r>
      <w:r w:rsidR="00FC5175" w:rsidRPr="00FC5175">
        <w:rPr>
          <w:rFonts w:ascii="Arial" w:hAnsi="Arial" w:cs="Arial"/>
          <w:sz w:val="24"/>
          <w:szCs w:val="24"/>
        </w:rPr>
        <w:t xml:space="preserve">2 were delivering </w:t>
      </w:r>
      <w:r w:rsidR="00AC241C">
        <w:rPr>
          <w:rFonts w:ascii="Arial" w:hAnsi="Arial" w:cs="Arial"/>
          <w:sz w:val="24"/>
          <w:szCs w:val="24"/>
        </w:rPr>
        <w:t>dagga that he bought from them. S</w:t>
      </w:r>
      <w:r w:rsidR="00FC5175" w:rsidRPr="00FC5175">
        <w:rPr>
          <w:rFonts w:ascii="Arial" w:hAnsi="Arial" w:cs="Arial"/>
          <w:sz w:val="24"/>
          <w:szCs w:val="24"/>
        </w:rPr>
        <w:t>urely if this was the case,</w:t>
      </w:r>
      <w:r w:rsidR="00001199">
        <w:rPr>
          <w:rFonts w:ascii="Arial" w:hAnsi="Arial" w:cs="Arial"/>
          <w:sz w:val="24"/>
          <w:szCs w:val="24"/>
        </w:rPr>
        <w:t xml:space="preserve"> they were to carry some luggage</w:t>
      </w:r>
      <w:r w:rsidR="00FC5175" w:rsidRPr="00FC5175">
        <w:rPr>
          <w:rFonts w:ascii="Arial" w:hAnsi="Arial" w:cs="Arial"/>
          <w:sz w:val="24"/>
          <w:szCs w:val="24"/>
        </w:rPr>
        <w:t>.</w:t>
      </w:r>
      <w:r w:rsidR="00001199">
        <w:rPr>
          <w:rFonts w:ascii="Arial" w:hAnsi="Arial" w:cs="Arial"/>
          <w:sz w:val="24"/>
          <w:szCs w:val="24"/>
        </w:rPr>
        <w:t xml:space="preserve"> It is highly improbable that accused 3</w:t>
      </w:r>
      <w:r w:rsidR="00FC5175" w:rsidRPr="00FC5175">
        <w:rPr>
          <w:rFonts w:ascii="Arial" w:hAnsi="Arial" w:cs="Arial"/>
          <w:sz w:val="24"/>
          <w:szCs w:val="24"/>
        </w:rPr>
        <w:t xml:space="preserve"> gave the child's cell phone for use in the dagga business as </w:t>
      </w:r>
      <w:r w:rsidR="00001199">
        <w:rPr>
          <w:rFonts w:ascii="Arial" w:hAnsi="Arial" w:cs="Arial"/>
          <w:sz w:val="24"/>
          <w:szCs w:val="24"/>
        </w:rPr>
        <w:t xml:space="preserve">the </w:t>
      </w:r>
      <w:r w:rsidR="00FC5175" w:rsidRPr="00FC5175">
        <w:rPr>
          <w:rFonts w:ascii="Arial" w:hAnsi="Arial" w:cs="Arial"/>
          <w:sz w:val="24"/>
          <w:szCs w:val="24"/>
        </w:rPr>
        <w:t>unchallenged evidence of Ms</w:t>
      </w:r>
      <w:r w:rsidR="00B43694">
        <w:rPr>
          <w:rFonts w:ascii="Arial" w:hAnsi="Arial" w:cs="Arial"/>
          <w:sz w:val="24"/>
          <w:szCs w:val="24"/>
        </w:rPr>
        <w:t xml:space="preserve"> M </w:t>
      </w:r>
      <w:proofErr w:type="spellStart"/>
      <w:r w:rsidR="00B43694">
        <w:rPr>
          <w:rFonts w:ascii="Arial" w:hAnsi="Arial" w:cs="Arial"/>
          <w:sz w:val="24"/>
          <w:szCs w:val="24"/>
        </w:rPr>
        <w:t>Mokatsi</w:t>
      </w:r>
      <w:proofErr w:type="spellEnd"/>
      <w:r w:rsidR="00B43694">
        <w:rPr>
          <w:rFonts w:ascii="Arial" w:hAnsi="Arial" w:cs="Arial"/>
          <w:sz w:val="24"/>
          <w:szCs w:val="24"/>
        </w:rPr>
        <w:t> </w:t>
      </w:r>
      <w:r w:rsidR="00FC5175" w:rsidRPr="00FC5175">
        <w:rPr>
          <w:rFonts w:ascii="Arial" w:hAnsi="Arial" w:cs="Arial"/>
          <w:sz w:val="24"/>
          <w:szCs w:val="24"/>
        </w:rPr>
        <w:t>was that phone wa</w:t>
      </w:r>
      <w:r w:rsidR="001832A3">
        <w:rPr>
          <w:rFonts w:ascii="Arial" w:hAnsi="Arial" w:cs="Arial"/>
          <w:sz w:val="24"/>
          <w:szCs w:val="24"/>
        </w:rPr>
        <w:t xml:space="preserve">s on the table when accused 1 and 2 entered the house. Accused 3’s </w:t>
      </w:r>
      <w:r w:rsidR="00FC5175" w:rsidRPr="00FC5175">
        <w:rPr>
          <w:rFonts w:ascii="Arial" w:hAnsi="Arial" w:cs="Arial"/>
          <w:sz w:val="24"/>
          <w:szCs w:val="24"/>
        </w:rPr>
        <w:t>version w</w:t>
      </w:r>
      <w:r w:rsidR="001832A3">
        <w:rPr>
          <w:rFonts w:ascii="Arial" w:hAnsi="Arial" w:cs="Arial"/>
          <w:sz w:val="24"/>
          <w:szCs w:val="24"/>
        </w:rPr>
        <w:t xml:space="preserve">as not tested with the witness </w:t>
      </w:r>
      <w:r w:rsidR="00FC5175" w:rsidRPr="00FC5175">
        <w:rPr>
          <w:rFonts w:ascii="Arial" w:hAnsi="Arial" w:cs="Arial"/>
          <w:sz w:val="24"/>
          <w:szCs w:val="24"/>
        </w:rPr>
        <w:t>to get her comment</w:t>
      </w:r>
      <w:r w:rsidR="001832A3">
        <w:rPr>
          <w:rFonts w:ascii="Arial" w:hAnsi="Arial" w:cs="Arial"/>
          <w:sz w:val="24"/>
          <w:szCs w:val="24"/>
        </w:rPr>
        <w:t xml:space="preserve"> thereon</w:t>
      </w:r>
      <w:r w:rsidR="00FC5175" w:rsidRPr="00FC5175">
        <w:rPr>
          <w:rFonts w:ascii="Arial" w:hAnsi="Arial" w:cs="Arial"/>
          <w:sz w:val="24"/>
          <w:szCs w:val="24"/>
        </w:rPr>
        <w:t>.</w:t>
      </w:r>
      <w:r w:rsidR="001B4C94">
        <w:rPr>
          <w:rFonts w:ascii="Arial" w:hAnsi="Arial" w:cs="Arial"/>
          <w:sz w:val="24"/>
          <w:szCs w:val="24"/>
        </w:rPr>
        <w:t xml:space="preserve"> </w:t>
      </w:r>
      <w:r w:rsidR="007F331F">
        <w:rPr>
          <w:rFonts w:ascii="Arial" w:hAnsi="Arial" w:cs="Arial"/>
          <w:sz w:val="24"/>
          <w:szCs w:val="24"/>
          <w:lang w:val="en-GB"/>
        </w:rPr>
        <w:t xml:space="preserve">The trial court </w:t>
      </w:r>
      <w:r w:rsidR="002261B6">
        <w:rPr>
          <w:rFonts w:ascii="Arial" w:hAnsi="Arial" w:cs="Arial"/>
          <w:sz w:val="24"/>
          <w:szCs w:val="24"/>
          <w:lang w:val="en-GB"/>
        </w:rPr>
        <w:t>extensively and with reference dealt with the di</w:t>
      </w:r>
      <w:r w:rsidR="00CD33A0">
        <w:rPr>
          <w:rFonts w:ascii="Arial" w:hAnsi="Arial" w:cs="Arial"/>
          <w:sz w:val="24"/>
          <w:szCs w:val="24"/>
          <w:lang w:val="en-GB"/>
        </w:rPr>
        <w:t xml:space="preserve">fferences between the witnesses </w:t>
      </w:r>
      <w:proofErr w:type="spellStart"/>
      <w:r w:rsidR="002261B6">
        <w:rPr>
          <w:rFonts w:ascii="Arial" w:hAnsi="Arial" w:cs="Arial"/>
          <w:sz w:val="24"/>
          <w:szCs w:val="24"/>
          <w:lang w:val="en-GB"/>
        </w:rPr>
        <w:t>Zon</w:t>
      </w:r>
      <w:proofErr w:type="spellEnd"/>
      <w:r w:rsidR="002261B6">
        <w:rPr>
          <w:rFonts w:ascii="Arial" w:hAnsi="Arial" w:cs="Arial"/>
          <w:sz w:val="24"/>
          <w:szCs w:val="24"/>
          <w:lang w:val="en-GB"/>
        </w:rPr>
        <w:t xml:space="preserve"> and </w:t>
      </w:r>
      <w:proofErr w:type="spellStart"/>
      <w:r w:rsidR="002261B6">
        <w:rPr>
          <w:rFonts w:ascii="Arial" w:hAnsi="Arial" w:cs="Arial"/>
          <w:sz w:val="24"/>
          <w:szCs w:val="24"/>
          <w:lang w:val="en-GB"/>
        </w:rPr>
        <w:t>Dywili’s</w:t>
      </w:r>
      <w:proofErr w:type="spellEnd"/>
      <w:r w:rsidR="002261B6">
        <w:rPr>
          <w:rFonts w:ascii="Arial" w:hAnsi="Arial" w:cs="Arial"/>
          <w:sz w:val="24"/>
          <w:szCs w:val="24"/>
          <w:lang w:val="en-GB"/>
        </w:rPr>
        <w:t xml:space="preserve"> oral testimony and prior statements to the police</w:t>
      </w:r>
      <w:r w:rsidR="003722E6">
        <w:rPr>
          <w:rFonts w:ascii="Arial" w:hAnsi="Arial" w:cs="Arial"/>
          <w:sz w:val="24"/>
          <w:szCs w:val="24"/>
          <w:lang w:val="en-GB"/>
        </w:rPr>
        <w:t>.</w:t>
      </w:r>
      <w:r w:rsidR="003722E6">
        <w:rPr>
          <w:rStyle w:val="FootnoteReference"/>
          <w:rFonts w:ascii="Arial" w:hAnsi="Arial" w:cs="Arial"/>
          <w:sz w:val="24"/>
          <w:szCs w:val="24"/>
          <w:lang w:val="en-GB"/>
        </w:rPr>
        <w:footnoteReference w:id="5"/>
      </w:r>
      <w:r w:rsidR="00A44E45">
        <w:rPr>
          <w:rFonts w:ascii="Arial" w:hAnsi="Arial" w:cs="Arial"/>
          <w:sz w:val="24"/>
          <w:szCs w:val="24"/>
          <w:lang w:val="en-GB"/>
        </w:rPr>
        <w:t xml:space="preserve"> </w:t>
      </w:r>
      <w:r w:rsidR="002261B6">
        <w:rPr>
          <w:rFonts w:ascii="Arial" w:hAnsi="Arial" w:cs="Arial"/>
          <w:sz w:val="24"/>
          <w:szCs w:val="24"/>
          <w:lang w:val="en-GB"/>
        </w:rPr>
        <w:t xml:space="preserve">Having considered the merits and the demerits the trial court found </w:t>
      </w:r>
      <w:r w:rsidR="00521C69">
        <w:rPr>
          <w:rFonts w:ascii="Arial" w:hAnsi="Arial" w:cs="Arial"/>
          <w:sz w:val="24"/>
          <w:szCs w:val="24"/>
          <w:lang w:val="en-GB"/>
        </w:rPr>
        <w:t xml:space="preserve">that their oral evidence did not materially differ from their </w:t>
      </w:r>
      <w:r w:rsidR="00A44E45">
        <w:rPr>
          <w:rFonts w:ascii="Arial" w:hAnsi="Arial" w:cs="Arial"/>
          <w:sz w:val="24"/>
          <w:szCs w:val="24"/>
          <w:lang w:val="en-GB"/>
        </w:rPr>
        <w:t>statements and accepted it</w:t>
      </w:r>
      <w:r w:rsidR="00CD33A0">
        <w:rPr>
          <w:rFonts w:ascii="Arial" w:hAnsi="Arial" w:cs="Arial"/>
          <w:sz w:val="24"/>
          <w:szCs w:val="24"/>
          <w:lang w:val="en-GB"/>
        </w:rPr>
        <w:t xml:space="preserve">. The </w:t>
      </w:r>
      <w:r w:rsidR="00521C69">
        <w:rPr>
          <w:rFonts w:ascii="Arial" w:hAnsi="Arial" w:cs="Arial"/>
          <w:sz w:val="24"/>
          <w:szCs w:val="24"/>
          <w:lang w:val="en-GB"/>
        </w:rPr>
        <w:t>trial court found both witnesses to be good witnesses and accepted their evidence.</w:t>
      </w:r>
    </w:p>
    <w:p w:rsidR="006D550F" w:rsidRDefault="006D550F" w:rsidP="00FA2FF2">
      <w:pPr>
        <w:widowControl w:val="0"/>
        <w:autoSpaceDE w:val="0"/>
        <w:autoSpaceDN w:val="0"/>
        <w:spacing w:after="0" w:line="360" w:lineRule="auto"/>
        <w:ind w:left="720" w:hanging="720"/>
        <w:jc w:val="both"/>
        <w:rPr>
          <w:rFonts w:ascii="Arial" w:hAnsi="Arial" w:cs="Arial"/>
          <w:sz w:val="24"/>
          <w:szCs w:val="24"/>
          <w:lang w:val="en-GB"/>
        </w:rPr>
      </w:pPr>
    </w:p>
    <w:p w:rsidR="006D550F" w:rsidRDefault="006D550F" w:rsidP="006D550F">
      <w:pPr>
        <w:widowControl w:val="0"/>
        <w:autoSpaceDE w:val="0"/>
        <w:autoSpaceDN w:val="0"/>
        <w:spacing w:after="0" w:line="360" w:lineRule="auto"/>
        <w:ind w:left="720" w:hanging="720"/>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r>
      <w:r w:rsidR="00222108">
        <w:rPr>
          <w:rFonts w:ascii="Arial" w:hAnsi="Arial" w:cs="Arial"/>
          <w:sz w:val="24"/>
          <w:szCs w:val="24"/>
          <w:lang w:val="en-GB"/>
        </w:rPr>
        <w:t xml:space="preserve">From a perusal of the record and having heard arguments from counsel, </w:t>
      </w:r>
      <w:r>
        <w:rPr>
          <w:rFonts w:ascii="Arial" w:hAnsi="Arial" w:cs="Arial"/>
          <w:sz w:val="24"/>
          <w:szCs w:val="24"/>
          <w:lang w:val="en-GB"/>
        </w:rPr>
        <w:t>I am unable to find that the trial court erred in rejecting accused 3’s version</w:t>
      </w:r>
      <w:r w:rsidR="00222108">
        <w:rPr>
          <w:rFonts w:ascii="Arial" w:hAnsi="Arial" w:cs="Arial"/>
          <w:sz w:val="24"/>
          <w:szCs w:val="24"/>
          <w:lang w:val="en-GB"/>
        </w:rPr>
        <w:t xml:space="preserve"> as it did</w:t>
      </w:r>
      <w:r>
        <w:rPr>
          <w:rFonts w:ascii="Arial" w:hAnsi="Arial" w:cs="Arial"/>
          <w:sz w:val="24"/>
          <w:szCs w:val="24"/>
          <w:lang w:val="en-GB"/>
        </w:rPr>
        <w:t>. The trial court found accused 3’s evidence to be evasive and concluded that accused 3 deliberately tendered irrelevant answers to direct questions. There is no basis for interfering with the aforementioned findings by the trial court.</w:t>
      </w:r>
    </w:p>
    <w:p w:rsidR="006D550F" w:rsidRDefault="006D550F" w:rsidP="00FA2FF2">
      <w:pPr>
        <w:widowControl w:val="0"/>
        <w:autoSpaceDE w:val="0"/>
        <w:autoSpaceDN w:val="0"/>
        <w:spacing w:after="0" w:line="360" w:lineRule="auto"/>
        <w:ind w:left="720" w:hanging="720"/>
        <w:jc w:val="both"/>
        <w:rPr>
          <w:rFonts w:ascii="Arial" w:hAnsi="Arial" w:cs="Arial"/>
          <w:sz w:val="24"/>
          <w:szCs w:val="24"/>
          <w:lang w:val="en-GB"/>
        </w:rPr>
      </w:pPr>
    </w:p>
    <w:p w:rsidR="00521C69" w:rsidRDefault="00521C69" w:rsidP="00FA2FF2">
      <w:pPr>
        <w:widowControl w:val="0"/>
        <w:autoSpaceDE w:val="0"/>
        <w:autoSpaceDN w:val="0"/>
        <w:spacing w:after="0" w:line="360" w:lineRule="auto"/>
        <w:ind w:left="720" w:hanging="720"/>
        <w:jc w:val="both"/>
        <w:rPr>
          <w:rFonts w:ascii="Arial" w:hAnsi="Arial" w:cs="Arial"/>
          <w:sz w:val="24"/>
          <w:szCs w:val="24"/>
          <w:lang w:val="en-GB"/>
        </w:rPr>
      </w:pPr>
    </w:p>
    <w:p w:rsidR="00DC5C78" w:rsidRDefault="006F2B75" w:rsidP="00A44E45">
      <w:pPr>
        <w:widowControl w:val="0"/>
        <w:autoSpaceDE w:val="0"/>
        <w:autoSpaceDN w:val="0"/>
        <w:spacing w:after="0" w:line="360" w:lineRule="auto"/>
        <w:ind w:left="720" w:hanging="720"/>
        <w:jc w:val="both"/>
        <w:rPr>
          <w:rFonts w:ascii="Arial" w:hAnsi="Arial" w:cs="Arial"/>
          <w:sz w:val="24"/>
          <w:szCs w:val="24"/>
          <w:lang w:val="en-GB"/>
        </w:rPr>
      </w:pPr>
      <w:r>
        <w:rPr>
          <w:rFonts w:ascii="Arial" w:hAnsi="Arial" w:cs="Arial"/>
          <w:sz w:val="24"/>
          <w:szCs w:val="24"/>
          <w:lang w:val="en-GB"/>
        </w:rPr>
        <w:t>[12</w:t>
      </w:r>
      <w:r w:rsidR="00085B9D">
        <w:rPr>
          <w:rFonts w:ascii="Arial" w:hAnsi="Arial" w:cs="Arial"/>
          <w:sz w:val="24"/>
          <w:szCs w:val="24"/>
          <w:lang w:val="en-GB"/>
        </w:rPr>
        <w:t>]</w:t>
      </w:r>
      <w:r w:rsidR="00085B9D">
        <w:rPr>
          <w:rFonts w:ascii="Arial" w:hAnsi="Arial" w:cs="Arial"/>
          <w:sz w:val="24"/>
          <w:szCs w:val="24"/>
          <w:lang w:val="en-GB"/>
        </w:rPr>
        <w:tab/>
        <w:t xml:space="preserve">I have not been </w:t>
      </w:r>
      <w:r w:rsidR="00521C69">
        <w:rPr>
          <w:rFonts w:ascii="Arial" w:hAnsi="Arial" w:cs="Arial"/>
          <w:sz w:val="24"/>
          <w:szCs w:val="24"/>
          <w:lang w:val="en-GB"/>
        </w:rPr>
        <w:t>convinced that</w:t>
      </w:r>
      <w:r w:rsidR="00B70666">
        <w:rPr>
          <w:rFonts w:ascii="Arial" w:hAnsi="Arial" w:cs="Arial"/>
          <w:sz w:val="24"/>
          <w:szCs w:val="24"/>
          <w:lang w:val="en-GB"/>
        </w:rPr>
        <w:t xml:space="preserve"> the trial court misdirected it</w:t>
      </w:r>
      <w:r w:rsidR="00521C69">
        <w:rPr>
          <w:rFonts w:ascii="Arial" w:hAnsi="Arial" w:cs="Arial"/>
          <w:sz w:val="24"/>
          <w:szCs w:val="24"/>
          <w:lang w:val="en-GB"/>
        </w:rPr>
        <w:t>self in respect of a</w:t>
      </w:r>
      <w:r w:rsidR="00085B9D">
        <w:rPr>
          <w:rFonts w:ascii="Arial" w:hAnsi="Arial" w:cs="Arial"/>
          <w:sz w:val="24"/>
          <w:szCs w:val="24"/>
          <w:lang w:val="en-GB"/>
        </w:rPr>
        <w:t>n</w:t>
      </w:r>
      <w:r w:rsidR="00521C69">
        <w:rPr>
          <w:rFonts w:ascii="Arial" w:hAnsi="Arial" w:cs="Arial"/>
          <w:sz w:val="24"/>
          <w:szCs w:val="24"/>
          <w:lang w:val="en-GB"/>
        </w:rPr>
        <w:t>y credibility findings nor that it misdirected itself in evaluating the evidence</w:t>
      </w:r>
      <w:r w:rsidR="00085B9D">
        <w:rPr>
          <w:rFonts w:ascii="Arial" w:hAnsi="Arial" w:cs="Arial"/>
          <w:sz w:val="24"/>
          <w:szCs w:val="24"/>
          <w:lang w:val="en-GB"/>
        </w:rPr>
        <w:t>. I</w:t>
      </w:r>
      <w:r w:rsidR="00521C69">
        <w:rPr>
          <w:rFonts w:ascii="Arial" w:hAnsi="Arial" w:cs="Arial"/>
          <w:sz w:val="24"/>
          <w:szCs w:val="24"/>
          <w:lang w:val="en-GB"/>
        </w:rPr>
        <w:t xml:space="preserve">n my view the factual findings made by the trial court are consistent with the evidence tendered before it. It is trite that in the absence of a demonstrable and or </w:t>
      </w:r>
      <w:r w:rsidR="00521C69">
        <w:rPr>
          <w:rFonts w:ascii="Arial" w:hAnsi="Arial" w:cs="Arial"/>
          <w:sz w:val="24"/>
          <w:szCs w:val="24"/>
          <w:lang w:val="en-GB"/>
        </w:rPr>
        <w:lastRenderedPageBreak/>
        <w:t>material misdirection by a trial court, it findings of fact are presumed to be correct and should be proven to be clearly wrong before a court of appeal will interfere</w:t>
      </w:r>
      <w:r w:rsidR="00085B9D">
        <w:rPr>
          <w:rFonts w:ascii="Arial" w:hAnsi="Arial" w:cs="Arial"/>
          <w:sz w:val="24"/>
          <w:szCs w:val="24"/>
          <w:lang w:val="en-GB"/>
        </w:rPr>
        <w:t>.</w:t>
      </w:r>
      <w:r w:rsidR="00085B9D">
        <w:rPr>
          <w:rStyle w:val="FootnoteReference"/>
          <w:rFonts w:ascii="Arial" w:hAnsi="Arial" w:cs="Arial"/>
          <w:sz w:val="24"/>
          <w:szCs w:val="24"/>
          <w:lang w:val="en-GB"/>
        </w:rPr>
        <w:footnoteReference w:id="6"/>
      </w:r>
      <w:r>
        <w:rPr>
          <w:rFonts w:ascii="Arial" w:hAnsi="Arial" w:cs="Arial"/>
          <w:sz w:val="24"/>
          <w:szCs w:val="24"/>
          <w:lang w:val="en-GB"/>
        </w:rPr>
        <w:t xml:space="preserve"> Despite the critique levelled against the trial court in various respects, Mr </w:t>
      </w:r>
      <w:proofErr w:type="spellStart"/>
      <w:r>
        <w:rPr>
          <w:rFonts w:ascii="Arial" w:hAnsi="Arial" w:cs="Arial"/>
          <w:sz w:val="24"/>
          <w:szCs w:val="24"/>
          <w:lang w:val="en-GB"/>
        </w:rPr>
        <w:t>Pieterse</w:t>
      </w:r>
      <w:proofErr w:type="spellEnd"/>
      <w:r>
        <w:rPr>
          <w:rFonts w:ascii="Arial" w:hAnsi="Arial" w:cs="Arial"/>
          <w:sz w:val="24"/>
          <w:szCs w:val="24"/>
          <w:lang w:val="en-GB"/>
        </w:rPr>
        <w:t xml:space="preserve"> responsibly did not insist that the trial court had not taken a holistic view of all the evidence tendered before him, considering each piece of evidence in favour and against both the appellant and the state</w:t>
      </w:r>
      <w:r w:rsidR="00D46EC1">
        <w:rPr>
          <w:rFonts w:ascii="Arial" w:hAnsi="Arial" w:cs="Arial"/>
          <w:sz w:val="24"/>
          <w:szCs w:val="24"/>
          <w:lang w:val="en-GB"/>
        </w:rPr>
        <w:t xml:space="preserve"> in reaching the conclusion </w:t>
      </w:r>
    </w:p>
    <w:p w:rsidR="00A15E9B" w:rsidRDefault="00A15E9B" w:rsidP="00042927">
      <w:pPr>
        <w:widowControl w:val="0"/>
        <w:autoSpaceDE w:val="0"/>
        <w:autoSpaceDN w:val="0"/>
        <w:spacing w:after="0" w:line="360" w:lineRule="auto"/>
        <w:ind w:left="720" w:hanging="720"/>
        <w:jc w:val="both"/>
        <w:rPr>
          <w:rFonts w:ascii="Arial" w:hAnsi="Arial" w:cs="Arial"/>
          <w:sz w:val="24"/>
          <w:szCs w:val="24"/>
          <w:lang w:val="en-GB"/>
        </w:rPr>
      </w:pPr>
    </w:p>
    <w:p w:rsidR="00F75507" w:rsidRDefault="00F75507" w:rsidP="00042927">
      <w:pPr>
        <w:widowControl w:val="0"/>
        <w:autoSpaceDE w:val="0"/>
        <w:autoSpaceDN w:val="0"/>
        <w:spacing w:after="0" w:line="360" w:lineRule="auto"/>
        <w:ind w:left="720" w:hanging="720"/>
        <w:jc w:val="both"/>
        <w:rPr>
          <w:rFonts w:ascii="Arial" w:hAnsi="Arial" w:cs="Arial"/>
          <w:sz w:val="24"/>
          <w:szCs w:val="24"/>
          <w:lang w:val="en-GB"/>
        </w:rPr>
      </w:pPr>
    </w:p>
    <w:p w:rsidR="00765A7D" w:rsidRDefault="00A41154" w:rsidP="00042927">
      <w:pPr>
        <w:widowControl w:val="0"/>
        <w:autoSpaceDE w:val="0"/>
        <w:autoSpaceDN w:val="0"/>
        <w:spacing w:after="0" w:line="360" w:lineRule="auto"/>
        <w:ind w:left="720" w:hanging="720"/>
        <w:jc w:val="both"/>
        <w:rPr>
          <w:rFonts w:ascii="Arial" w:hAnsi="Arial" w:cs="Arial"/>
          <w:sz w:val="24"/>
          <w:szCs w:val="24"/>
          <w:lang w:val="en-GB"/>
        </w:rPr>
      </w:pPr>
      <w:r>
        <w:rPr>
          <w:rFonts w:ascii="Arial" w:hAnsi="Arial" w:cs="Arial"/>
          <w:sz w:val="24"/>
          <w:szCs w:val="24"/>
          <w:lang w:val="en-GB"/>
        </w:rPr>
        <w:t>[13</w:t>
      </w:r>
      <w:r w:rsidR="00F75507">
        <w:rPr>
          <w:rFonts w:ascii="Arial" w:hAnsi="Arial" w:cs="Arial"/>
          <w:sz w:val="24"/>
          <w:szCs w:val="24"/>
          <w:lang w:val="en-GB"/>
        </w:rPr>
        <w:t>]</w:t>
      </w:r>
      <w:r w:rsidR="00F75507">
        <w:rPr>
          <w:rFonts w:ascii="Arial" w:hAnsi="Arial" w:cs="Arial"/>
          <w:sz w:val="24"/>
          <w:szCs w:val="24"/>
          <w:lang w:val="en-GB"/>
        </w:rPr>
        <w:tab/>
      </w:r>
      <w:r w:rsidR="00765A7D">
        <w:rPr>
          <w:rFonts w:ascii="Arial" w:hAnsi="Arial" w:cs="Arial"/>
          <w:sz w:val="24"/>
          <w:szCs w:val="24"/>
          <w:lang w:val="en-GB"/>
        </w:rPr>
        <w:t xml:space="preserve">Although not listed as a ground of appeal, Mr </w:t>
      </w:r>
      <w:proofErr w:type="spellStart"/>
      <w:r w:rsidR="00765A7D">
        <w:rPr>
          <w:rFonts w:ascii="Arial" w:hAnsi="Arial" w:cs="Arial"/>
          <w:sz w:val="24"/>
          <w:szCs w:val="24"/>
          <w:lang w:val="en-GB"/>
        </w:rPr>
        <w:t>Pieterse</w:t>
      </w:r>
      <w:proofErr w:type="spellEnd"/>
      <w:r w:rsidR="00765A7D">
        <w:rPr>
          <w:rFonts w:ascii="Arial" w:hAnsi="Arial" w:cs="Arial"/>
          <w:sz w:val="24"/>
          <w:szCs w:val="24"/>
          <w:lang w:val="en-GB"/>
        </w:rPr>
        <w:t xml:space="preserve"> both in his heads of argument</w:t>
      </w:r>
      <w:r w:rsidR="00765A7D">
        <w:rPr>
          <w:rStyle w:val="FootnoteReference"/>
          <w:rFonts w:ascii="Arial" w:hAnsi="Arial" w:cs="Arial"/>
          <w:sz w:val="24"/>
          <w:szCs w:val="24"/>
          <w:lang w:val="en-GB"/>
        </w:rPr>
        <w:footnoteReference w:id="7"/>
      </w:r>
      <w:r w:rsidR="00765A7D">
        <w:rPr>
          <w:rFonts w:ascii="Arial" w:hAnsi="Arial" w:cs="Arial"/>
          <w:sz w:val="24"/>
          <w:szCs w:val="24"/>
          <w:lang w:val="en-GB"/>
        </w:rPr>
        <w:t xml:space="preserve"> and in submission before us responsibly did not attempt to convince us that the appellant was not informed at the commencement of the trial of the minimum sentences applicable on counts 1 and 2 which would have caused appellant to conduct his defence differently. It is clear from the record that the trial court, before the appellant (and his co-accused) were requested to plead, not only explained the provisions of the CLAA, but also requested each accused whether they had been informed of the position by their respective legal representatives. Appellant so confirmed to the learned judge.</w:t>
      </w:r>
      <w:r w:rsidR="00765A7D">
        <w:rPr>
          <w:rStyle w:val="FootnoteReference"/>
          <w:rFonts w:ascii="Arial" w:hAnsi="Arial" w:cs="Arial"/>
          <w:sz w:val="24"/>
          <w:szCs w:val="24"/>
          <w:lang w:val="en-GB"/>
        </w:rPr>
        <w:footnoteReference w:id="8"/>
      </w:r>
      <w:r w:rsidR="00765A7D">
        <w:rPr>
          <w:rFonts w:ascii="Arial" w:hAnsi="Arial" w:cs="Arial"/>
          <w:sz w:val="24"/>
          <w:szCs w:val="24"/>
          <w:lang w:val="en-GB"/>
        </w:rPr>
        <w:t xml:space="preserve"> Accordingly there is no merit in this point of appeal taken by the appellant. The appellant also bemoaned the fact that the indictment did not indicate that the accused had acted with a common purpose in the commission of the crimes. The record reflects that the indictment, together with the summary of substantial facts attached thereto, was read into the record. There is likewise no merit in this contention.</w:t>
      </w:r>
    </w:p>
    <w:p w:rsidR="00765A7D" w:rsidRDefault="00765A7D" w:rsidP="00765A7D">
      <w:pPr>
        <w:widowControl w:val="0"/>
        <w:autoSpaceDE w:val="0"/>
        <w:autoSpaceDN w:val="0"/>
        <w:spacing w:after="0" w:line="360" w:lineRule="auto"/>
        <w:jc w:val="both"/>
        <w:rPr>
          <w:rFonts w:ascii="Arial" w:hAnsi="Arial" w:cs="Arial"/>
          <w:sz w:val="24"/>
          <w:szCs w:val="24"/>
          <w:lang w:val="en-GB"/>
        </w:rPr>
      </w:pPr>
    </w:p>
    <w:p w:rsidR="00DC5C78" w:rsidRDefault="00765A7D" w:rsidP="00042927">
      <w:pPr>
        <w:widowControl w:val="0"/>
        <w:autoSpaceDE w:val="0"/>
        <w:autoSpaceDN w:val="0"/>
        <w:spacing w:after="0" w:line="360" w:lineRule="auto"/>
        <w:ind w:left="720" w:hanging="720"/>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r>
      <w:r w:rsidR="00F75507">
        <w:rPr>
          <w:rFonts w:ascii="Arial" w:hAnsi="Arial" w:cs="Arial"/>
          <w:sz w:val="24"/>
          <w:szCs w:val="24"/>
          <w:lang w:val="en-GB"/>
        </w:rPr>
        <w:t xml:space="preserve">It follows that </w:t>
      </w:r>
      <w:r w:rsidR="005D6CA1">
        <w:rPr>
          <w:rFonts w:ascii="Arial" w:hAnsi="Arial" w:cs="Arial"/>
          <w:sz w:val="24"/>
          <w:szCs w:val="24"/>
          <w:lang w:val="en-GB"/>
        </w:rPr>
        <w:t>the trial court’s finding that the three accused plotted, planned and executed the murder does not stand to be interfered with by this court and that the appeal against the convictions stands to be dismissed.</w:t>
      </w:r>
    </w:p>
    <w:p w:rsidR="00787E9D" w:rsidRDefault="003722E6" w:rsidP="008B4CE6">
      <w:pPr>
        <w:widowControl w:val="0"/>
        <w:autoSpaceDE w:val="0"/>
        <w:autoSpaceDN w:val="0"/>
        <w:spacing w:after="0" w:line="360" w:lineRule="auto"/>
        <w:ind w:left="720" w:hanging="720"/>
        <w:jc w:val="both"/>
        <w:rPr>
          <w:rFonts w:ascii="Arial" w:hAnsi="Arial" w:cs="Arial"/>
          <w:sz w:val="24"/>
          <w:szCs w:val="24"/>
          <w:lang w:val="en-GB"/>
        </w:rPr>
      </w:pPr>
      <w:r>
        <w:rPr>
          <w:rFonts w:ascii="Arial" w:hAnsi="Arial" w:cs="Arial"/>
          <w:sz w:val="24"/>
          <w:szCs w:val="24"/>
          <w:lang w:val="en-GB"/>
        </w:rPr>
        <w:t>[1</w:t>
      </w:r>
      <w:r w:rsidR="00765A7D">
        <w:rPr>
          <w:rFonts w:ascii="Arial" w:hAnsi="Arial" w:cs="Arial"/>
          <w:sz w:val="24"/>
          <w:szCs w:val="24"/>
          <w:lang w:val="en-GB"/>
        </w:rPr>
        <w:t>5</w:t>
      </w:r>
      <w:r w:rsidR="00344A10">
        <w:rPr>
          <w:rFonts w:ascii="Arial" w:hAnsi="Arial" w:cs="Arial"/>
          <w:sz w:val="24"/>
          <w:szCs w:val="24"/>
          <w:lang w:val="en-GB"/>
        </w:rPr>
        <w:t>]</w:t>
      </w:r>
      <w:r w:rsidR="00344A10">
        <w:rPr>
          <w:rFonts w:ascii="Arial" w:hAnsi="Arial" w:cs="Arial"/>
          <w:sz w:val="24"/>
          <w:szCs w:val="24"/>
          <w:lang w:val="en-GB"/>
        </w:rPr>
        <w:tab/>
      </w:r>
      <w:r w:rsidR="002A3D08">
        <w:rPr>
          <w:rFonts w:ascii="Arial" w:hAnsi="Arial" w:cs="Arial"/>
          <w:sz w:val="24"/>
          <w:szCs w:val="24"/>
          <w:lang w:val="en-GB"/>
        </w:rPr>
        <w:t xml:space="preserve">In respect of sentencing, </w:t>
      </w:r>
      <w:r w:rsidR="00787E9D">
        <w:rPr>
          <w:rFonts w:ascii="Arial" w:hAnsi="Arial" w:cs="Arial"/>
          <w:sz w:val="24"/>
          <w:szCs w:val="24"/>
          <w:lang w:val="en-GB"/>
        </w:rPr>
        <w:t>the appellant in his notice o</w:t>
      </w:r>
      <w:r w:rsidR="00A44E45">
        <w:rPr>
          <w:rFonts w:ascii="Arial" w:hAnsi="Arial" w:cs="Arial"/>
          <w:sz w:val="24"/>
          <w:szCs w:val="24"/>
          <w:lang w:val="en-GB"/>
        </w:rPr>
        <w:t xml:space="preserve">f leave to appeal relied on the grounds that the sentence was </w:t>
      </w:r>
      <w:r w:rsidR="00D9631A">
        <w:rPr>
          <w:rFonts w:ascii="Arial" w:hAnsi="Arial" w:cs="Arial"/>
          <w:sz w:val="24"/>
          <w:szCs w:val="24"/>
          <w:lang w:val="en-GB"/>
        </w:rPr>
        <w:t>shockingly harsh and disproportionat</w:t>
      </w:r>
      <w:r w:rsidR="00A44E45">
        <w:rPr>
          <w:rFonts w:ascii="Arial" w:hAnsi="Arial" w:cs="Arial"/>
          <w:sz w:val="24"/>
          <w:szCs w:val="24"/>
          <w:lang w:val="en-GB"/>
        </w:rPr>
        <w:t>e</w:t>
      </w:r>
      <w:r>
        <w:rPr>
          <w:rFonts w:ascii="Arial" w:hAnsi="Arial" w:cs="Arial"/>
          <w:sz w:val="24"/>
          <w:szCs w:val="24"/>
          <w:lang w:val="en-GB"/>
        </w:rPr>
        <w:t>.</w:t>
      </w:r>
      <w:r w:rsidR="00787E9D">
        <w:rPr>
          <w:rStyle w:val="FootnoteReference"/>
          <w:rFonts w:ascii="Arial" w:hAnsi="Arial" w:cs="Arial"/>
          <w:sz w:val="24"/>
          <w:szCs w:val="24"/>
          <w:lang w:val="en-GB"/>
        </w:rPr>
        <w:footnoteReference w:id="9"/>
      </w:r>
      <w:r w:rsidR="00EF1B1C">
        <w:rPr>
          <w:rFonts w:ascii="Arial" w:hAnsi="Arial" w:cs="Arial"/>
          <w:sz w:val="24"/>
          <w:szCs w:val="24"/>
          <w:lang w:val="en-GB"/>
        </w:rPr>
        <w:t xml:space="preserve"> </w:t>
      </w:r>
      <w:r w:rsidR="00A44E45">
        <w:rPr>
          <w:rFonts w:ascii="Arial" w:hAnsi="Arial" w:cs="Arial"/>
          <w:sz w:val="24"/>
          <w:szCs w:val="24"/>
          <w:lang w:val="en-GB"/>
        </w:rPr>
        <w:t xml:space="preserve"> </w:t>
      </w:r>
      <w:r w:rsidR="000D6282">
        <w:rPr>
          <w:rFonts w:ascii="Arial" w:hAnsi="Arial" w:cs="Arial"/>
          <w:sz w:val="24"/>
          <w:szCs w:val="24"/>
          <w:lang w:val="en-GB"/>
        </w:rPr>
        <w:t xml:space="preserve">As </w:t>
      </w:r>
      <w:r w:rsidR="000D6282">
        <w:rPr>
          <w:rFonts w:ascii="Arial" w:hAnsi="Arial" w:cs="Arial"/>
          <w:sz w:val="24"/>
          <w:szCs w:val="24"/>
          <w:lang w:val="en-GB"/>
        </w:rPr>
        <w:lastRenderedPageBreak/>
        <w:t xml:space="preserve">counts 1 and 2 involved the consideration of whether substantial and compelling circumstances exist which would cause the trial court to deviate from the minimum mandatory sentences, the trial court duly considered and applied the tests enunciated in </w:t>
      </w:r>
      <w:r w:rsidR="000D6282" w:rsidRPr="00D9631A">
        <w:rPr>
          <w:rFonts w:ascii="Arial" w:hAnsi="Arial" w:cs="Arial"/>
          <w:b/>
          <w:i/>
          <w:sz w:val="24"/>
          <w:szCs w:val="24"/>
          <w:lang w:val="en-GB"/>
        </w:rPr>
        <w:t xml:space="preserve">S v </w:t>
      </w:r>
      <w:proofErr w:type="spellStart"/>
      <w:r w:rsidR="000D6282" w:rsidRPr="00D9631A">
        <w:rPr>
          <w:rFonts w:ascii="Arial" w:hAnsi="Arial" w:cs="Arial"/>
          <w:b/>
          <w:i/>
          <w:sz w:val="24"/>
          <w:szCs w:val="24"/>
          <w:lang w:val="en-GB"/>
        </w:rPr>
        <w:t>Malgas</w:t>
      </w:r>
      <w:proofErr w:type="spellEnd"/>
      <w:r w:rsidR="000D6282">
        <w:rPr>
          <w:rFonts w:ascii="Arial" w:hAnsi="Arial" w:cs="Arial"/>
          <w:sz w:val="24"/>
          <w:szCs w:val="24"/>
          <w:lang w:val="en-GB"/>
        </w:rPr>
        <w:t>.</w:t>
      </w:r>
      <w:r w:rsidR="00D9631A">
        <w:rPr>
          <w:rStyle w:val="FootnoteReference"/>
          <w:rFonts w:ascii="Arial" w:hAnsi="Arial" w:cs="Arial"/>
          <w:sz w:val="24"/>
          <w:szCs w:val="24"/>
          <w:lang w:val="en-GB"/>
        </w:rPr>
        <w:footnoteReference w:id="10"/>
      </w:r>
      <w:r w:rsidR="000D6282">
        <w:rPr>
          <w:rFonts w:ascii="Arial" w:hAnsi="Arial" w:cs="Arial"/>
          <w:sz w:val="24"/>
          <w:szCs w:val="24"/>
          <w:lang w:val="en-GB"/>
        </w:rPr>
        <w:t xml:space="preserve"> The personal circumstances of appellant, the gravity of the offences of which he had been convicted and </w:t>
      </w:r>
      <w:r w:rsidR="006A03A4">
        <w:rPr>
          <w:rFonts w:ascii="Arial" w:hAnsi="Arial" w:cs="Arial"/>
          <w:sz w:val="24"/>
          <w:szCs w:val="24"/>
          <w:lang w:val="en-GB"/>
        </w:rPr>
        <w:t xml:space="preserve">the interest of society were considered by the trial court. The court found that, although the appellant was a first offender, the heinousness of the murder by having the </w:t>
      </w:r>
      <w:r w:rsidR="00205F38">
        <w:rPr>
          <w:rFonts w:ascii="Arial" w:hAnsi="Arial" w:cs="Arial"/>
          <w:sz w:val="24"/>
          <w:szCs w:val="24"/>
          <w:lang w:val="en-GB"/>
        </w:rPr>
        <w:t>vulnerable 26-</w:t>
      </w:r>
      <w:r w:rsidR="006A03A4">
        <w:rPr>
          <w:rFonts w:ascii="Arial" w:hAnsi="Arial" w:cs="Arial"/>
          <w:sz w:val="24"/>
          <w:szCs w:val="24"/>
          <w:lang w:val="en-GB"/>
        </w:rPr>
        <w:t>year old deceased strangled</w:t>
      </w:r>
      <w:r w:rsidR="00205F38">
        <w:rPr>
          <w:rFonts w:ascii="Arial" w:hAnsi="Arial" w:cs="Arial"/>
          <w:sz w:val="24"/>
          <w:szCs w:val="24"/>
          <w:lang w:val="en-GB"/>
        </w:rPr>
        <w:t xml:space="preserve"> coupled with a complete lack of remorse, by far outweighed the factors in mitigation of sentence.</w:t>
      </w:r>
      <w:r w:rsidR="00B70666">
        <w:rPr>
          <w:rFonts w:ascii="Arial" w:hAnsi="Arial" w:cs="Arial"/>
          <w:sz w:val="24"/>
          <w:szCs w:val="24"/>
          <w:lang w:val="en-GB"/>
        </w:rPr>
        <w:t xml:space="preserve"> In my view the trial court did not err in concluding that the aforementioned factors did not constitute substantial and compelling circumstances which would have caused him to deviate from the minimum sentences prescribed by the legislator in respect of counts 1 and 2.</w:t>
      </w:r>
      <w:r w:rsidR="00205F38">
        <w:rPr>
          <w:rFonts w:ascii="Arial" w:hAnsi="Arial" w:cs="Arial"/>
          <w:sz w:val="24"/>
          <w:szCs w:val="24"/>
          <w:lang w:val="en-GB"/>
        </w:rPr>
        <w:t xml:space="preserve"> </w:t>
      </w:r>
    </w:p>
    <w:p w:rsidR="00787E9D" w:rsidRDefault="00787E9D" w:rsidP="00042927">
      <w:pPr>
        <w:widowControl w:val="0"/>
        <w:autoSpaceDE w:val="0"/>
        <w:autoSpaceDN w:val="0"/>
        <w:spacing w:after="0" w:line="360" w:lineRule="auto"/>
        <w:ind w:left="720" w:hanging="720"/>
        <w:jc w:val="both"/>
        <w:rPr>
          <w:rFonts w:ascii="Arial" w:hAnsi="Arial" w:cs="Arial"/>
          <w:sz w:val="24"/>
          <w:szCs w:val="24"/>
          <w:lang w:val="en-GB"/>
        </w:rPr>
      </w:pPr>
    </w:p>
    <w:p w:rsidR="00042927" w:rsidRDefault="00765A7D" w:rsidP="00B70666">
      <w:pPr>
        <w:widowControl w:val="0"/>
        <w:autoSpaceDE w:val="0"/>
        <w:autoSpaceDN w:val="0"/>
        <w:spacing w:after="0" w:line="360" w:lineRule="auto"/>
        <w:ind w:left="720" w:hanging="720"/>
        <w:jc w:val="both"/>
        <w:rPr>
          <w:rFonts w:ascii="Arial" w:hAnsi="Arial" w:cs="Arial"/>
          <w:sz w:val="24"/>
          <w:szCs w:val="24"/>
          <w:lang w:val="en-GB"/>
        </w:rPr>
      </w:pPr>
      <w:r>
        <w:rPr>
          <w:rFonts w:ascii="Arial" w:hAnsi="Arial" w:cs="Arial"/>
          <w:sz w:val="24"/>
          <w:szCs w:val="24"/>
          <w:lang w:val="en-GB"/>
        </w:rPr>
        <w:t>[16</w:t>
      </w:r>
      <w:r w:rsidR="00D9631A">
        <w:rPr>
          <w:rFonts w:ascii="Arial" w:hAnsi="Arial" w:cs="Arial"/>
          <w:sz w:val="24"/>
          <w:szCs w:val="24"/>
          <w:lang w:val="en-GB"/>
        </w:rPr>
        <w:t>]</w:t>
      </w:r>
      <w:r w:rsidR="00D9631A">
        <w:rPr>
          <w:rFonts w:ascii="Arial" w:hAnsi="Arial" w:cs="Arial"/>
          <w:sz w:val="24"/>
          <w:szCs w:val="24"/>
          <w:lang w:val="en-GB"/>
        </w:rPr>
        <w:tab/>
      </w:r>
      <w:r w:rsidR="00B70666">
        <w:rPr>
          <w:rFonts w:ascii="Arial" w:hAnsi="Arial" w:cs="Arial"/>
          <w:sz w:val="24"/>
          <w:szCs w:val="24"/>
          <w:lang w:val="en-GB"/>
        </w:rPr>
        <w:t xml:space="preserve">It follows thus that the appeal against the sentences imposed by the trial court, stands to suffer the same fate as the appeal against the conviction and stands to be dismissed. </w:t>
      </w:r>
      <w:r w:rsidR="00B70666">
        <w:rPr>
          <w:rFonts w:ascii="Arial" w:hAnsi="Arial" w:cs="Arial"/>
          <w:sz w:val="24"/>
          <w:szCs w:val="24"/>
          <w:lang w:val="en-GB"/>
        </w:rPr>
        <w:tab/>
      </w:r>
    </w:p>
    <w:p w:rsidR="00146D02" w:rsidRDefault="00146D02" w:rsidP="00146D02">
      <w:pPr>
        <w:pStyle w:val="ListParagraph"/>
        <w:spacing w:after="0" w:line="360" w:lineRule="auto"/>
        <w:ind w:left="0"/>
        <w:jc w:val="both"/>
        <w:rPr>
          <w:rFonts w:ascii="Arial" w:hAnsi="Arial" w:cs="Arial"/>
          <w:sz w:val="24"/>
          <w:szCs w:val="24"/>
          <w:lang w:val="en-GB"/>
        </w:rPr>
      </w:pPr>
    </w:p>
    <w:p w:rsidR="0032719B" w:rsidRDefault="00042927" w:rsidP="0032719B">
      <w:pPr>
        <w:spacing w:after="0" w:line="360" w:lineRule="auto"/>
        <w:ind w:left="720" w:hanging="720"/>
        <w:jc w:val="both"/>
        <w:rPr>
          <w:rFonts w:ascii="Arial" w:hAnsi="Arial" w:cs="Arial"/>
          <w:sz w:val="24"/>
          <w:szCs w:val="24"/>
        </w:rPr>
      </w:pPr>
      <w:r>
        <w:rPr>
          <w:rFonts w:ascii="Arial" w:hAnsi="Arial" w:cs="Arial"/>
          <w:sz w:val="24"/>
          <w:szCs w:val="24"/>
        </w:rPr>
        <w:t xml:space="preserve"> </w:t>
      </w:r>
      <w:r w:rsidR="00765A7D">
        <w:rPr>
          <w:rFonts w:ascii="Arial" w:hAnsi="Arial" w:cs="Arial"/>
          <w:sz w:val="24"/>
          <w:szCs w:val="24"/>
        </w:rPr>
        <w:t>[17</w:t>
      </w:r>
      <w:r w:rsidR="0032719B">
        <w:rPr>
          <w:rFonts w:ascii="Arial" w:hAnsi="Arial" w:cs="Arial"/>
          <w:sz w:val="24"/>
          <w:szCs w:val="24"/>
        </w:rPr>
        <w:t>]</w:t>
      </w:r>
      <w:r w:rsidR="0032719B">
        <w:rPr>
          <w:rFonts w:ascii="Arial" w:hAnsi="Arial" w:cs="Arial"/>
          <w:sz w:val="24"/>
          <w:szCs w:val="24"/>
        </w:rPr>
        <w:tab/>
        <w:t>Accordingly the following order is made:</w:t>
      </w:r>
    </w:p>
    <w:p w:rsidR="0032719B" w:rsidRDefault="0032719B" w:rsidP="0032719B">
      <w:pPr>
        <w:spacing w:after="0" w:line="360" w:lineRule="auto"/>
        <w:ind w:left="720" w:hanging="720"/>
        <w:jc w:val="both"/>
        <w:rPr>
          <w:rFonts w:ascii="Arial" w:hAnsi="Arial" w:cs="Arial"/>
          <w:sz w:val="24"/>
          <w:szCs w:val="24"/>
        </w:rPr>
      </w:pPr>
    </w:p>
    <w:p w:rsidR="0032719B" w:rsidRDefault="0010274B" w:rsidP="0032719B">
      <w:pPr>
        <w:spacing w:after="0" w:line="360" w:lineRule="auto"/>
        <w:ind w:left="720" w:hanging="720"/>
        <w:jc w:val="both"/>
        <w:rPr>
          <w:rFonts w:ascii="Arial" w:hAnsi="Arial" w:cs="Arial"/>
          <w:sz w:val="24"/>
          <w:szCs w:val="24"/>
        </w:rPr>
      </w:pPr>
      <w:r>
        <w:rPr>
          <w:rFonts w:ascii="Arial" w:hAnsi="Arial" w:cs="Arial"/>
          <w:sz w:val="24"/>
          <w:szCs w:val="24"/>
        </w:rPr>
        <w:tab/>
      </w:r>
      <w:r w:rsidR="005C7542">
        <w:rPr>
          <w:rFonts w:ascii="Arial" w:hAnsi="Arial" w:cs="Arial"/>
          <w:sz w:val="24"/>
          <w:szCs w:val="24"/>
        </w:rPr>
        <w:tab/>
      </w:r>
      <w:r>
        <w:rPr>
          <w:rFonts w:ascii="Arial" w:hAnsi="Arial" w:cs="Arial"/>
          <w:sz w:val="24"/>
          <w:szCs w:val="24"/>
        </w:rPr>
        <w:t>The appeal against the convictions and sentences is dismissed.</w:t>
      </w:r>
    </w:p>
    <w:p w:rsidR="0032719B" w:rsidRDefault="0032719B" w:rsidP="0032719B">
      <w:pPr>
        <w:spacing w:after="0" w:line="360" w:lineRule="auto"/>
        <w:jc w:val="both"/>
        <w:rPr>
          <w:rFonts w:ascii="Arial" w:hAnsi="Arial" w:cs="Arial"/>
          <w:sz w:val="28"/>
          <w:szCs w:val="28"/>
        </w:rPr>
      </w:pPr>
    </w:p>
    <w:p w:rsidR="00222108" w:rsidRDefault="00222108" w:rsidP="0032719B">
      <w:pPr>
        <w:pStyle w:val="ListParagraph"/>
        <w:spacing w:after="0" w:line="240" w:lineRule="auto"/>
        <w:ind w:left="6327" w:firstLine="153"/>
        <w:jc w:val="center"/>
        <w:rPr>
          <w:rFonts w:ascii="Arial" w:hAnsi="Arial" w:cs="Arial"/>
          <w:b/>
          <w:sz w:val="24"/>
          <w:szCs w:val="24"/>
        </w:rPr>
      </w:pPr>
    </w:p>
    <w:p w:rsidR="00222108" w:rsidRDefault="00222108" w:rsidP="0032719B">
      <w:pPr>
        <w:pStyle w:val="ListParagraph"/>
        <w:spacing w:after="0" w:line="240" w:lineRule="auto"/>
        <w:ind w:left="6327" w:firstLine="153"/>
        <w:jc w:val="center"/>
        <w:rPr>
          <w:rFonts w:ascii="Arial" w:hAnsi="Arial" w:cs="Arial"/>
          <w:b/>
          <w:sz w:val="24"/>
          <w:szCs w:val="24"/>
        </w:rPr>
      </w:pPr>
    </w:p>
    <w:p w:rsidR="00222108" w:rsidRDefault="00222108" w:rsidP="0032719B">
      <w:pPr>
        <w:pStyle w:val="ListParagraph"/>
        <w:spacing w:after="0" w:line="240" w:lineRule="auto"/>
        <w:ind w:left="6327" w:firstLine="153"/>
        <w:jc w:val="center"/>
        <w:rPr>
          <w:rFonts w:ascii="Arial" w:hAnsi="Arial" w:cs="Arial"/>
          <w:b/>
          <w:sz w:val="24"/>
          <w:szCs w:val="24"/>
        </w:rPr>
      </w:pPr>
    </w:p>
    <w:p w:rsidR="00222108" w:rsidRDefault="00222108" w:rsidP="0032719B">
      <w:pPr>
        <w:pStyle w:val="ListParagraph"/>
        <w:spacing w:after="0" w:line="240" w:lineRule="auto"/>
        <w:ind w:left="6327" w:firstLine="153"/>
        <w:jc w:val="center"/>
        <w:rPr>
          <w:rFonts w:ascii="Arial" w:hAnsi="Arial" w:cs="Arial"/>
          <w:b/>
          <w:sz w:val="24"/>
          <w:szCs w:val="24"/>
        </w:rPr>
      </w:pPr>
    </w:p>
    <w:p w:rsidR="00222108" w:rsidRDefault="00222108" w:rsidP="0032719B">
      <w:pPr>
        <w:pStyle w:val="ListParagraph"/>
        <w:spacing w:after="0" w:line="240" w:lineRule="auto"/>
        <w:ind w:left="6327" w:firstLine="153"/>
        <w:jc w:val="center"/>
        <w:rPr>
          <w:rFonts w:ascii="Arial" w:hAnsi="Arial" w:cs="Arial"/>
          <w:b/>
          <w:sz w:val="24"/>
          <w:szCs w:val="24"/>
        </w:rPr>
      </w:pPr>
    </w:p>
    <w:p w:rsidR="00222108" w:rsidRDefault="00222108" w:rsidP="0032719B">
      <w:pPr>
        <w:pStyle w:val="ListParagraph"/>
        <w:spacing w:after="0" w:line="240" w:lineRule="auto"/>
        <w:ind w:left="6327" w:firstLine="153"/>
        <w:jc w:val="center"/>
        <w:rPr>
          <w:rFonts w:ascii="Arial" w:hAnsi="Arial" w:cs="Arial"/>
          <w:b/>
          <w:sz w:val="24"/>
          <w:szCs w:val="24"/>
        </w:rPr>
      </w:pPr>
    </w:p>
    <w:p w:rsidR="00222108" w:rsidRDefault="00222108" w:rsidP="0032719B">
      <w:pPr>
        <w:pStyle w:val="ListParagraph"/>
        <w:spacing w:after="0" w:line="240" w:lineRule="auto"/>
        <w:ind w:left="6327" w:firstLine="153"/>
        <w:jc w:val="center"/>
        <w:rPr>
          <w:rFonts w:ascii="Arial" w:hAnsi="Arial" w:cs="Arial"/>
          <w:b/>
          <w:sz w:val="24"/>
          <w:szCs w:val="24"/>
        </w:rPr>
      </w:pPr>
    </w:p>
    <w:p w:rsidR="0032719B" w:rsidRDefault="0032719B" w:rsidP="0032719B">
      <w:pPr>
        <w:pStyle w:val="ListParagraph"/>
        <w:spacing w:after="0" w:line="240" w:lineRule="auto"/>
        <w:ind w:left="6327" w:firstLine="153"/>
        <w:jc w:val="center"/>
        <w:rPr>
          <w:rFonts w:ascii="Arial" w:hAnsi="Arial" w:cs="Arial"/>
          <w:b/>
          <w:sz w:val="24"/>
          <w:szCs w:val="24"/>
        </w:rPr>
      </w:pPr>
      <w:r>
        <w:rPr>
          <w:rFonts w:ascii="Arial" w:hAnsi="Arial" w:cs="Arial"/>
          <w:b/>
          <w:sz w:val="24"/>
          <w:szCs w:val="24"/>
        </w:rPr>
        <w:t>_________________</w:t>
      </w:r>
    </w:p>
    <w:p w:rsidR="0032719B" w:rsidRDefault="004569EB" w:rsidP="0032719B">
      <w:pPr>
        <w:pStyle w:val="ListParagraph"/>
        <w:spacing w:after="0" w:line="240" w:lineRule="auto"/>
        <w:ind w:left="6327" w:firstLine="153"/>
        <w:jc w:val="center"/>
        <w:rPr>
          <w:rFonts w:ascii="Arial" w:hAnsi="Arial" w:cs="Arial"/>
          <w:b/>
          <w:sz w:val="24"/>
          <w:szCs w:val="24"/>
        </w:rPr>
      </w:pPr>
      <w:r>
        <w:rPr>
          <w:rFonts w:ascii="Arial" w:hAnsi="Arial" w:cs="Arial"/>
          <w:b/>
          <w:sz w:val="24"/>
          <w:szCs w:val="24"/>
        </w:rPr>
        <w:t>C REINDERS, J</w:t>
      </w:r>
    </w:p>
    <w:p w:rsidR="0032719B" w:rsidRDefault="0032719B" w:rsidP="0032719B">
      <w:pPr>
        <w:spacing w:after="0" w:line="240" w:lineRule="auto"/>
        <w:jc w:val="both"/>
        <w:rPr>
          <w:rFonts w:ascii="Arial" w:hAnsi="Arial" w:cs="Arial"/>
          <w:sz w:val="24"/>
          <w:szCs w:val="24"/>
        </w:rPr>
      </w:pPr>
    </w:p>
    <w:p w:rsidR="0032719B" w:rsidRDefault="00001199" w:rsidP="00001199">
      <w:pPr>
        <w:tabs>
          <w:tab w:val="left" w:pos="7737"/>
        </w:tabs>
        <w:spacing w:after="0" w:line="240" w:lineRule="auto"/>
        <w:jc w:val="both"/>
        <w:rPr>
          <w:rFonts w:ascii="Arial" w:hAnsi="Arial" w:cs="Arial"/>
          <w:sz w:val="24"/>
          <w:szCs w:val="24"/>
        </w:rPr>
      </w:pPr>
      <w:r>
        <w:rPr>
          <w:rFonts w:ascii="Arial" w:hAnsi="Arial" w:cs="Arial"/>
          <w:sz w:val="24"/>
          <w:szCs w:val="24"/>
        </w:rPr>
        <w:tab/>
      </w:r>
    </w:p>
    <w:p w:rsidR="00001199" w:rsidRDefault="00001199" w:rsidP="00001199">
      <w:pPr>
        <w:tabs>
          <w:tab w:val="left" w:pos="7737"/>
        </w:tabs>
        <w:spacing w:after="0" w:line="240" w:lineRule="auto"/>
        <w:jc w:val="both"/>
        <w:rPr>
          <w:rFonts w:ascii="Arial" w:hAnsi="Arial" w:cs="Arial"/>
          <w:sz w:val="24"/>
          <w:szCs w:val="24"/>
        </w:rPr>
      </w:pPr>
    </w:p>
    <w:p w:rsidR="0032719B" w:rsidRDefault="0032719B" w:rsidP="0032719B">
      <w:pPr>
        <w:spacing w:after="0" w:line="240" w:lineRule="auto"/>
        <w:jc w:val="both"/>
        <w:rPr>
          <w:rFonts w:ascii="Arial" w:hAnsi="Arial" w:cs="Arial"/>
          <w:sz w:val="24"/>
          <w:szCs w:val="24"/>
        </w:rPr>
      </w:pPr>
    </w:p>
    <w:p w:rsidR="0032719B" w:rsidRDefault="0032719B" w:rsidP="0032719B">
      <w:pPr>
        <w:spacing w:after="0" w:line="240" w:lineRule="auto"/>
        <w:jc w:val="right"/>
        <w:rPr>
          <w:rFonts w:ascii="Arial" w:hAnsi="Arial" w:cs="Arial"/>
          <w:sz w:val="24"/>
          <w:szCs w:val="24"/>
        </w:rPr>
      </w:pPr>
      <w:r w:rsidRPr="00001199">
        <w:rPr>
          <w:rFonts w:ascii="Arial" w:hAnsi="Arial" w:cs="Arial"/>
          <w:sz w:val="24"/>
          <w:szCs w:val="24"/>
        </w:rPr>
        <w:t>I concur.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_______________</w:t>
      </w:r>
    </w:p>
    <w:p w:rsidR="0032719B" w:rsidRDefault="004569EB" w:rsidP="0032719B">
      <w:pPr>
        <w:spacing w:after="0" w:line="240" w:lineRule="auto"/>
        <w:ind w:left="6480" w:firstLine="720"/>
        <w:rPr>
          <w:rFonts w:ascii="Arial" w:hAnsi="Arial" w:cs="Arial"/>
          <w:b/>
          <w:sz w:val="24"/>
          <w:szCs w:val="24"/>
        </w:rPr>
      </w:pPr>
      <w:r>
        <w:rPr>
          <w:rFonts w:ascii="Arial" w:hAnsi="Arial" w:cs="Arial"/>
          <w:b/>
          <w:sz w:val="24"/>
          <w:szCs w:val="24"/>
        </w:rPr>
        <w:t>VELE</w:t>
      </w:r>
      <w:r w:rsidR="0032719B">
        <w:rPr>
          <w:rFonts w:ascii="Arial" w:hAnsi="Arial" w:cs="Arial"/>
          <w:b/>
          <w:sz w:val="24"/>
          <w:szCs w:val="24"/>
        </w:rPr>
        <w:t xml:space="preserve">, </w:t>
      </w:r>
      <w:r>
        <w:rPr>
          <w:rFonts w:ascii="Arial" w:hAnsi="Arial" w:cs="Arial"/>
          <w:b/>
          <w:sz w:val="24"/>
          <w:szCs w:val="24"/>
        </w:rPr>
        <w:t>A</w:t>
      </w:r>
      <w:r w:rsidR="0032719B">
        <w:rPr>
          <w:rFonts w:ascii="Arial" w:hAnsi="Arial" w:cs="Arial"/>
          <w:b/>
          <w:sz w:val="24"/>
          <w:szCs w:val="24"/>
        </w:rPr>
        <w:t>J</w:t>
      </w:r>
    </w:p>
    <w:p w:rsidR="0032719B" w:rsidRDefault="0032719B" w:rsidP="0032719B">
      <w:pPr>
        <w:spacing w:after="0" w:line="240" w:lineRule="auto"/>
        <w:ind w:left="567" w:hanging="567"/>
        <w:jc w:val="both"/>
        <w:rPr>
          <w:rFonts w:ascii="Arial" w:hAnsi="Arial" w:cs="Arial"/>
          <w:sz w:val="24"/>
          <w:szCs w:val="24"/>
        </w:rPr>
      </w:pPr>
    </w:p>
    <w:p w:rsidR="0032719B" w:rsidRDefault="0032719B" w:rsidP="0032719B">
      <w:pPr>
        <w:spacing w:after="0" w:line="240" w:lineRule="auto"/>
        <w:jc w:val="right"/>
        <w:rPr>
          <w:rFonts w:ascii="Arial" w:hAnsi="Arial" w:cs="Arial"/>
          <w:b/>
          <w:sz w:val="24"/>
          <w:szCs w:val="24"/>
        </w:rPr>
      </w:pPr>
    </w:p>
    <w:p w:rsidR="0032719B" w:rsidRDefault="0032719B" w:rsidP="0032719B">
      <w:pPr>
        <w:spacing w:after="0" w:line="240" w:lineRule="auto"/>
        <w:ind w:left="567" w:hanging="567"/>
        <w:jc w:val="right"/>
        <w:rPr>
          <w:rFonts w:ascii="Arial" w:hAnsi="Arial" w:cs="Arial"/>
          <w:b/>
          <w:sz w:val="24"/>
          <w:szCs w:val="24"/>
        </w:rPr>
      </w:pPr>
    </w:p>
    <w:p w:rsidR="0032719B" w:rsidRDefault="0032719B" w:rsidP="0032719B">
      <w:pPr>
        <w:spacing w:after="0" w:line="240" w:lineRule="auto"/>
        <w:ind w:left="567" w:hanging="567"/>
        <w:jc w:val="both"/>
        <w:rPr>
          <w:rFonts w:ascii="Arial" w:hAnsi="Arial" w:cs="Arial"/>
          <w:b/>
          <w:sz w:val="24"/>
          <w:szCs w:val="24"/>
        </w:rPr>
      </w:pPr>
    </w:p>
    <w:p w:rsidR="0032719B" w:rsidRDefault="0032719B" w:rsidP="0032719B">
      <w:pPr>
        <w:spacing w:after="0" w:line="360" w:lineRule="auto"/>
        <w:ind w:left="567" w:hanging="567"/>
        <w:jc w:val="both"/>
        <w:rPr>
          <w:rFonts w:ascii="Arial" w:hAnsi="Arial" w:cs="Arial"/>
          <w:sz w:val="24"/>
          <w:szCs w:val="24"/>
        </w:rPr>
      </w:pPr>
    </w:p>
    <w:p w:rsidR="0032719B" w:rsidRDefault="0032719B" w:rsidP="0032719B">
      <w:pPr>
        <w:spacing w:after="0" w:line="360" w:lineRule="auto"/>
        <w:ind w:left="567" w:hanging="567"/>
        <w:jc w:val="both"/>
        <w:rPr>
          <w:rFonts w:ascii="Arial" w:hAnsi="Arial" w:cs="Arial"/>
          <w:sz w:val="24"/>
          <w:szCs w:val="24"/>
        </w:rPr>
      </w:pPr>
    </w:p>
    <w:p w:rsidR="0032719B" w:rsidRDefault="0032719B" w:rsidP="0032719B">
      <w:pPr>
        <w:spacing w:after="0" w:line="360" w:lineRule="auto"/>
        <w:ind w:left="567" w:hanging="567"/>
        <w:jc w:val="both"/>
        <w:rPr>
          <w:rFonts w:ascii="Arial" w:hAnsi="Arial" w:cs="Arial"/>
          <w:sz w:val="24"/>
          <w:szCs w:val="24"/>
        </w:rPr>
      </w:pPr>
      <w:r>
        <w:rPr>
          <w:rFonts w:ascii="Arial" w:hAnsi="Arial" w:cs="Arial"/>
          <w:sz w:val="24"/>
          <w:szCs w:val="24"/>
        </w:rPr>
        <w:t>On behalf of the A</w:t>
      </w:r>
      <w:r w:rsidR="00042927">
        <w:rPr>
          <w:rFonts w:ascii="Arial" w:hAnsi="Arial" w:cs="Arial"/>
          <w:sz w:val="24"/>
          <w:szCs w:val="24"/>
        </w:rPr>
        <w:t>ppellant:</w:t>
      </w:r>
      <w:r w:rsidR="00042927">
        <w:rPr>
          <w:rFonts w:ascii="Arial" w:hAnsi="Arial" w:cs="Arial"/>
          <w:sz w:val="24"/>
          <w:szCs w:val="24"/>
        </w:rPr>
        <w:tab/>
      </w:r>
      <w:r w:rsidR="00042927">
        <w:rPr>
          <w:rFonts w:ascii="Arial" w:hAnsi="Arial" w:cs="Arial"/>
          <w:sz w:val="24"/>
          <w:szCs w:val="24"/>
        </w:rPr>
        <w:tab/>
      </w:r>
      <w:r w:rsidR="00042927">
        <w:rPr>
          <w:rFonts w:ascii="Arial" w:hAnsi="Arial" w:cs="Arial"/>
          <w:sz w:val="24"/>
          <w:szCs w:val="24"/>
        </w:rPr>
        <w:tab/>
      </w:r>
      <w:proofErr w:type="spellStart"/>
      <w:r w:rsidR="00042927">
        <w:rPr>
          <w:rFonts w:ascii="Arial" w:hAnsi="Arial" w:cs="Arial"/>
          <w:sz w:val="24"/>
          <w:szCs w:val="24"/>
        </w:rPr>
        <w:t>Adv</w:t>
      </w:r>
      <w:proofErr w:type="spellEnd"/>
      <w:r w:rsidR="00042927">
        <w:rPr>
          <w:rFonts w:ascii="Arial" w:hAnsi="Arial" w:cs="Arial"/>
          <w:sz w:val="24"/>
          <w:szCs w:val="24"/>
        </w:rPr>
        <w:t xml:space="preserve"> KF </w:t>
      </w:r>
      <w:proofErr w:type="spellStart"/>
      <w:r w:rsidR="00042927">
        <w:rPr>
          <w:rFonts w:ascii="Arial" w:hAnsi="Arial" w:cs="Arial"/>
          <w:sz w:val="24"/>
          <w:szCs w:val="24"/>
        </w:rPr>
        <w:t>Pieterse</w:t>
      </w:r>
      <w:proofErr w:type="spellEnd"/>
      <w:r w:rsidR="00042927">
        <w:rPr>
          <w:rFonts w:ascii="Arial" w:hAnsi="Arial" w:cs="Arial"/>
          <w:sz w:val="24"/>
          <w:szCs w:val="24"/>
        </w:rPr>
        <w:t xml:space="preserve"> </w:t>
      </w:r>
    </w:p>
    <w:p w:rsidR="0032719B" w:rsidRDefault="004569EB" w:rsidP="0032719B">
      <w:pPr>
        <w:spacing w:after="0" w:line="360" w:lineRule="auto"/>
        <w:ind w:left="567" w:hanging="567"/>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00042927">
        <w:rPr>
          <w:rFonts w:ascii="Arial" w:hAnsi="Arial" w:cs="Arial"/>
          <w:sz w:val="24"/>
          <w:szCs w:val="24"/>
        </w:rPr>
        <w:t>Peyper</w:t>
      </w:r>
      <w:proofErr w:type="spellEnd"/>
      <w:r w:rsidR="00042927">
        <w:rPr>
          <w:rFonts w:ascii="Arial" w:hAnsi="Arial" w:cs="Arial"/>
          <w:sz w:val="24"/>
          <w:szCs w:val="24"/>
        </w:rPr>
        <w:t xml:space="preserve"> &amp; Botha </w:t>
      </w:r>
      <w:r w:rsidR="0032719B">
        <w:rPr>
          <w:rFonts w:ascii="Arial" w:hAnsi="Arial" w:cs="Arial"/>
          <w:sz w:val="24"/>
          <w:szCs w:val="24"/>
        </w:rPr>
        <w:t>Attorneys</w:t>
      </w:r>
    </w:p>
    <w:p w:rsidR="0032719B" w:rsidRDefault="0032719B" w:rsidP="0032719B">
      <w:pPr>
        <w:spacing w:after="0" w:line="360" w:lineRule="auto"/>
        <w:ind w:left="567" w:hanging="567"/>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BLOEMFONTEIN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2719B" w:rsidRDefault="0032719B" w:rsidP="0032719B">
      <w:pPr>
        <w:spacing w:after="0" w:line="360" w:lineRule="auto"/>
        <w:ind w:left="567" w:hanging="567"/>
        <w:jc w:val="both"/>
        <w:rPr>
          <w:rFonts w:ascii="Arial" w:hAnsi="Arial" w:cs="Arial"/>
          <w:color w:val="00B050"/>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2719B" w:rsidRDefault="0032719B" w:rsidP="0032719B">
      <w:pPr>
        <w:spacing w:after="0" w:line="360" w:lineRule="auto"/>
        <w:jc w:val="both"/>
        <w:rPr>
          <w:rFonts w:ascii="Arial" w:hAnsi="Arial" w:cs="Arial"/>
          <w:sz w:val="24"/>
          <w:szCs w:val="24"/>
        </w:rPr>
      </w:pPr>
      <w:r>
        <w:rPr>
          <w:rFonts w:ascii="Arial" w:hAnsi="Arial" w:cs="Arial"/>
          <w:sz w:val="24"/>
          <w:szCs w:val="24"/>
        </w:rPr>
        <w:t xml:space="preserve">On behalf </w:t>
      </w:r>
      <w:r w:rsidR="00042927">
        <w:rPr>
          <w:rFonts w:ascii="Arial" w:hAnsi="Arial" w:cs="Arial"/>
          <w:sz w:val="24"/>
          <w:szCs w:val="24"/>
        </w:rPr>
        <w:t>of the Respondent:</w:t>
      </w:r>
      <w:r w:rsidR="00042927">
        <w:rPr>
          <w:rFonts w:ascii="Arial" w:hAnsi="Arial" w:cs="Arial"/>
          <w:sz w:val="24"/>
          <w:szCs w:val="24"/>
        </w:rPr>
        <w:tab/>
      </w:r>
      <w:r w:rsidR="00042927">
        <w:rPr>
          <w:rFonts w:ascii="Arial" w:hAnsi="Arial" w:cs="Arial"/>
          <w:sz w:val="24"/>
          <w:szCs w:val="24"/>
        </w:rPr>
        <w:tab/>
      </w:r>
      <w:proofErr w:type="spellStart"/>
      <w:r w:rsidR="00042927">
        <w:rPr>
          <w:rFonts w:ascii="Arial" w:hAnsi="Arial" w:cs="Arial"/>
          <w:sz w:val="24"/>
          <w:szCs w:val="24"/>
        </w:rPr>
        <w:t>Adv</w:t>
      </w:r>
      <w:proofErr w:type="spellEnd"/>
      <w:r w:rsidR="00042927">
        <w:rPr>
          <w:rFonts w:ascii="Arial" w:hAnsi="Arial" w:cs="Arial"/>
          <w:sz w:val="24"/>
          <w:szCs w:val="24"/>
        </w:rPr>
        <w:t xml:space="preserve"> LP </w:t>
      </w:r>
      <w:proofErr w:type="spellStart"/>
      <w:r w:rsidR="00042927">
        <w:rPr>
          <w:rFonts w:ascii="Arial" w:hAnsi="Arial" w:cs="Arial"/>
          <w:sz w:val="24"/>
          <w:szCs w:val="24"/>
        </w:rPr>
        <w:t>Mpemvane</w:t>
      </w:r>
      <w:proofErr w:type="spellEnd"/>
    </w:p>
    <w:p w:rsidR="0032719B" w:rsidRDefault="0032719B" w:rsidP="0032719B">
      <w:pPr>
        <w:spacing w:after="0" w:line="360" w:lineRule="auto"/>
        <w:ind w:left="567" w:hanging="567"/>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Director of Public Prosecutions</w:t>
      </w:r>
      <w:r>
        <w:rPr>
          <w:rFonts w:ascii="Arial" w:hAnsi="Arial" w:cs="Arial"/>
          <w:sz w:val="24"/>
          <w:szCs w:val="24"/>
        </w:rPr>
        <w:tab/>
      </w:r>
    </w:p>
    <w:p w:rsidR="0032719B" w:rsidRDefault="0032719B" w:rsidP="0032719B">
      <w:pPr>
        <w:spacing w:after="0" w:line="240" w:lineRule="auto"/>
        <w:ind w:left="567" w:hanging="567"/>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BLOEMFONTEIN</w:t>
      </w:r>
      <w:r>
        <w:rPr>
          <w:rFonts w:ascii="Arial" w:hAnsi="Arial" w:cs="Arial"/>
          <w:sz w:val="24"/>
          <w:szCs w:val="24"/>
        </w:rPr>
        <w:tab/>
      </w:r>
    </w:p>
    <w:p w:rsidR="0032719B" w:rsidRDefault="0032719B" w:rsidP="0032719B">
      <w:pPr>
        <w:spacing w:after="0" w:line="240" w:lineRule="auto"/>
        <w:ind w:left="567" w:hanging="567"/>
        <w:jc w:val="both"/>
        <w:rPr>
          <w:rFonts w:ascii="Arial" w:hAnsi="Arial" w:cs="Arial"/>
          <w:color w:val="00B050"/>
          <w:sz w:val="24"/>
          <w:szCs w:val="24"/>
        </w:rPr>
      </w:pPr>
    </w:p>
    <w:p w:rsidR="0032719B" w:rsidRDefault="0032719B" w:rsidP="0032719B">
      <w:pPr>
        <w:rPr>
          <w:sz w:val="24"/>
          <w:szCs w:val="24"/>
        </w:rPr>
      </w:pPr>
    </w:p>
    <w:p w:rsidR="0032719B" w:rsidRDefault="0032719B" w:rsidP="0032719B">
      <w:pPr>
        <w:rPr>
          <w:sz w:val="24"/>
          <w:szCs w:val="24"/>
        </w:rPr>
      </w:pPr>
    </w:p>
    <w:p w:rsidR="0032719B" w:rsidRDefault="0032719B" w:rsidP="0032719B">
      <w:pPr>
        <w:rPr>
          <w:rFonts w:ascii="Arial" w:hAnsi="Arial" w:cs="Arial"/>
          <w:sz w:val="24"/>
          <w:szCs w:val="24"/>
        </w:rPr>
      </w:pPr>
    </w:p>
    <w:p w:rsidR="0032719B" w:rsidRDefault="0032719B" w:rsidP="0032719B">
      <w:pPr>
        <w:rPr>
          <w:rFonts w:ascii="Arial" w:hAnsi="Arial" w:cs="Arial"/>
          <w:sz w:val="24"/>
          <w:szCs w:val="24"/>
        </w:rPr>
      </w:pPr>
    </w:p>
    <w:p w:rsidR="00A8595F" w:rsidRPr="002C0826" w:rsidRDefault="00A8595F">
      <w:pPr>
        <w:rPr>
          <w:rFonts w:ascii="Arial" w:hAnsi="Arial" w:cs="Arial"/>
          <w:sz w:val="24"/>
          <w:szCs w:val="24"/>
        </w:rPr>
      </w:pPr>
    </w:p>
    <w:sectPr w:rsidR="00A8595F" w:rsidRPr="002C0826" w:rsidSect="00C80E2B">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0E7" w:rsidRDefault="008170E7" w:rsidP="0032719B">
      <w:pPr>
        <w:spacing w:after="0" w:line="240" w:lineRule="auto"/>
      </w:pPr>
      <w:r>
        <w:separator/>
      </w:r>
    </w:p>
  </w:endnote>
  <w:endnote w:type="continuationSeparator" w:id="0">
    <w:p w:rsidR="008170E7" w:rsidRDefault="008170E7" w:rsidP="00327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0E7" w:rsidRDefault="008170E7" w:rsidP="0032719B">
      <w:pPr>
        <w:spacing w:after="0" w:line="240" w:lineRule="auto"/>
      </w:pPr>
      <w:r>
        <w:separator/>
      </w:r>
    </w:p>
  </w:footnote>
  <w:footnote w:type="continuationSeparator" w:id="0">
    <w:p w:rsidR="008170E7" w:rsidRDefault="008170E7" w:rsidP="0032719B">
      <w:pPr>
        <w:spacing w:after="0" w:line="240" w:lineRule="auto"/>
      </w:pPr>
      <w:r>
        <w:continuationSeparator/>
      </w:r>
    </w:p>
  </w:footnote>
  <w:footnote w:id="1">
    <w:p w:rsidR="00FD4FAA" w:rsidRPr="00AA429D" w:rsidRDefault="00FD4FAA">
      <w:pPr>
        <w:pStyle w:val="FootnoteText"/>
        <w:rPr>
          <w:lang w:val="en-US"/>
        </w:rPr>
      </w:pPr>
      <w:r w:rsidRPr="00AA429D">
        <w:rPr>
          <w:rStyle w:val="FootnoteReference"/>
        </w:rPr>
        <w:footnoteRef/>
      </w:r>
      <w:r w:rsidRPr="00AA429D">
        <w:t xml:space="preserve"> </w:t>
      </w:r>
      <w:r w:rsidR="003C58F8" w:rsidRPr="00AA429D">
        <w:t xml:space="preserve"> Act </w:t>
      </w:r>
      <w:r w:rsidR="003C58F8" w:rsidRPr="00AA429D">
        <w:rPr>
          <w:rFonts w:cstheme="minorHAnsi"/>
          <w:lang w:val="en-GB"/>
        </w:rPr>
        <w:t>10 of 2013.</w:t>
      </w:r>
    </w:p>
  </w:footnote>
  <w:footnote w:id="2">
    <w:p w:rsidR="003C58F8" w:rsidRPr="00AA429D" w:rsidRDefault="003C58F8" w:rsidP="00281780">
      <w:pPr>
        <w:widowControl w:val="0"/>
        <w:autoSpaceDE w:val="0"/>
        <w:autoSpaceDN w:val="0"/>
        <w:spacing w:after="0" w:line="360" w:lineRule="auto"/>
        <w:ind w:left="720" w:hanging="720"/>
        <w:jc w:val="both"/>
        <w:rPr>
          <w:rFonts w:cstheme="minorHAnsi"/>
          <w:sz w:val="20"/>
          <w:szCs w:val="20"/>
          <w:lang w:val="en-GB"/>
        </w:rPr>
      </w:pPr>
      <w:r w:rsidRPr="00AA429D">
        <w:rPr>
          <w:rStyle w:val="FootnoteReference"/>
          <w:sz w:val="20"/>
          <w:szCs w:val="20"/>
        </w:rPr>
        <w:footnoteRef/>
      </w:r>
      <w:r w:rsidRPr="00AA429D">
        <w:rPr>
          <w:sz w:val="20"/>
          <w:szCs w:val="20"/>
        </w:rPr>
        <w:t xml:space="preserve"> </w:t>
      </w:r>
      <w:r w:rsidRPr="00AA429D">
        <w:rPr>
          <w:rFonts w:cstheme="minorHAnsi"/>
          <w:sz w:val="20"/>
          <w:szCs w:val="20"/>
          <w:lang w:val="en-GB"/>
        </w:rPr>
        <w:t>S 14(5) provides:</w:t>
      </w:r>
    </w:p>
    <w:p w:rsidR="003C58F8" w:rsidRPr="00281780" w:rsidRDefault="003C58F8" w:rsidP="00281780">
      <w:pPr>
        <w:widowControl w:val="0"/>
        <w:autoSpaceDE w:val="0"/>
        <w:autoSpaceDN w:val="0"/>
        <w:spacing w:after="0" w:line="240" w:lineRule="auto"/>
        <w:ind w:left="720"/>
        <w:jc w:val="both"/>
        <w:rPr>
          <w:rFonts w:cstheme="minorHAnsi"/>
          <w:i/>
          <w:sz w:val="20"/>
          <w:szCs w:val="24"/>
          <w:lang w:val="en-US"/>
        </w:rPr>
      </w:pPr>
      <w:r w:rsidRPr="00281780">
        <w:rPr>
          <w:rFonts w:cstheme="minorHAnsi"/>
          <w:i/>
          <w:iCs/>
          <w:sz w:val="20"/>
          <w:szCs w:val="24"/>
          <w:lang w:val="en-GB"/>
        </w:rPr>
        <w:t>“</w:t>
      </w:r>
      <w:r w:rsidRPr="00281780">
        <w:rPr>
          <w:rFonts w:cstheme="minorHAnsi"/>
          <w:i/>
          <w:sz w:val="20"/>
          <w:szCs w:val="24"/>
        </w:rPr>
        <w:t>If, at any stage during the hearing of any matter by a full court, any judge of such court is absent or unable to perform his or her functions, or if a vacancy among the members of the court arises, that hearing must—</w:t>
      </w:r>
    </w:p>
    <w:p w:rsidR="003C58F8" w:rsidRPr="00030E5A" w:rsidRDefault="00030E5A" w:rsidP="00030E5A">
      <w:pPr>
        <w:widowControl w:val="0"/>
        <w:autoSpaceDE w:val="0"/>
        <w:autoSpaceDN w:val="0"/>
        <w:spacing w:after="0" w:line="240" w:lineRule="auto"/>
        <w:ind w:left="1440"/>
        <w:jc w:val="both"/>
        <w:rPr>
          <w:rFonts w:cstheme="minorHAnsi"/>
          <w:i/>
          <w:sz w:val="20"/>
          <w:szCs w:val="24"/>
        </w:rPr>
      </w:pPr>
      <w:r w:rsidRPr="00281780">
        <w:rPr>
          <w:rFonts w:cs="Times New Roman"/>
          <w:i/>
          <w:sz w:val="20"/>
          <w:szCs w:val="24"/>
        </w:rPr>
        <w:t>(a)</w:t>
      </w:r>
      <w:r w:rsidRPr="00281780">
        <w:rPr>
          <w:rFonts w:cs="Times New Roman"/>
          <w:i/>
          <w:sz w:val="20"/>
          <w:szCs w:val="24"/>
        </w:rPr>
        <w:tab/>
      </w:r>
      <w:r w:rsidR="003C58F8" w:rsidRPr="00030E5A">
        <w:rPr>
          <w:rFonts w:cstheme="minorHAnsi"/>
          <w:i/>
          <w:sz w:val="20"/>
          <w:szCs w:val="24"/>
        </w:rPr>
        <w:t>if the remaining judges constitute a majority of the judges before whom it was commenced, proceed before such remaining judges; or</w:t>
      </w:r>
    </w:p>
    <w:p w:rsidR="003C58F8" w:rsidRPr="00030E5A" w:rsidRDefault="00030E5A" w:rsidP="00030E5A">
      <w:pPr>
        <w:widowControl w:val="0"/>
        <w:autoSpaceDE w:val="0"/>
        <w:autoSpaceDN w:val="0"/>
        <w:spacing w:after="0" w:line="240" w:lineRule="auto"/>
        <w:ind w:left="1440"/>
        <w:jc w:val="both"/>
        <w:rPr>
          <w:rFonts w:cstheme="minorHAnsi"/>
          <w:i/>
          <w:sz w:val="20"/>
          <w:szCs w:val="24"/>
        </w:rPr>
      </w:pPr>
      <w:r w:rsidRPr="00281780">
        <w:rPr>
          <w:rFonts w:cs="Times New Roman"/>
          <w:i/>
          <w:sz w:val="20"/>
          <w:szCs w:val="24"/>
        </w:rPr>
        <w:t>(b)</w:t>
      </w:r>
      <w:r w:rsidRPr="00281780">
        <w:rPr>
          <w:rFonts w:cs="Times New Roman"/>
          <w:i/>
          <w:sz w:val="20"/>
          <w:szCs w:val="24"/>
        </w:rPr>
        <w:tab/>
      </w:r>
      <w:r w:rsidR="003C58F8" w:rsidRPr="00030E5A">
        <w:rPr>
          <w:rFonts w:cstheme="minorHAnsi"/>
          <w:i/>
          <w:sz w:val="20"/>
          <w:szCs w:val="24"/>
        </w:rPr>
        <w:t xml:space="preserve">…if the remaining judges do not constitute such a majority, or if only one judge remains, be commenced </w:t>
      </w:r>
      <w:r w:rsidR="003C58F8" w:rsidRPr="00030E5A">
        <w:rPr>
          <w:rStyle w:val="BodytextItalic"/>
          <w:rFonts w:asciiTheme="minorHAnsi" w:eastAsiaTheme="minorHAnsi" w:hAnsiTheme="minorHAnsi" w:cstheme="minorHAnsi"/>
          <w:i w:val="0"/>
          <w:sz w:val="20"/>
          <w:szCs w:val="24"/>
        </w:rPr>
        <w:t>de novo,</w:t>
      </w:r>
      <w:r w:rsidR="003C58F8" w:rsidRPr="00030E5A">
        <w:rPr>
          <w:rFonts w:cstheme="minorHAnsi"/>
          <w:i/>
          <w:sz w:val="20"/>
          <w:szCs w:val="24"/>
        </w:rPr>
        <w:t xml:space="preserve"> unless all the parties to the proceedings agree unconditionally in writing to accept the decision of the majority of the remaining judges or of the one remaining judge as the decision of the court.”</w:t>
      </w:r>
    </w:p>
    <w:p w:rsidR="003C58F8" w:rsidRPr="00281780" w:rsidRDefault="003C58F8">
      <w:pPr>
        <w:pStyle w:val="FootnoteText"/>
        <w:rPr>
          <w:rFonts w:cstheme="minorHAnsi"/>
          <w:sz w:val="16"/>
          <w:lang w:val="en-US"/>
        </w:rPr>
      </w:pPr>
    </w:p>
  </w:footnote>
  <w:footnote w:id="3">
    <w:p w:rsidR="00085B9D" w:rsidRPr="00085B9D" w:rsidRDefault="00085B9D">
      <w:pPr>
        <w:pStyle w:val="FootnoteText"/>
        <w:rPr>
          <w:lang w:val="en-US"/>
        </w:rPr>
      </w:pPr>
      <w:r>
        <w:rPr>
          <w:rStyle w:val="FootnoteReference"/>
        </w:rPr>
        <w:footnoteRef/>
      </w:r>
      <w:r>
        <w:t xml:space="preserve"> </w:t>
      </w:r>
      <w:r w:rsidR="001A1D00">
        <w:t>Act 105 of 1997.</w:t>
      </w:r>
    </w:p>
  </w:footnote>
  <w:footnote w:id="4">
    <w:p w:rsidR="00FD4FAA" w:rsidRPr="00AA429D" w:rsidRDefault="00FD4FAA">
      <w:pPr>
        <w:pStyle w:val="FootnoteText"/>
        <w:rPr>
          <w:lang w:val="en-US"/>
        </w:rPr>
      </w:pPr>
      <w:r w:rsidRPr="00AA429D">
        <w:rPr>
          <w:rStyle w:val="FootnoteReference"/>
        </w:rPr>
        <w:footnoteRef/>
      </w:r>
      <w:r w:rsidRPr="00AA429D">
        <w:t xml:space="preserve"> </w:t>
      </w:r>
      <w:r w:rsidR="002050A5" w:rsidRPr="00AA429D">
        <w:rPr>
          <w:rFonts w:ascii="Arial" w:hAnsi="Arial" w:cs="Arial"/>
          <w:lang w:val="en-GB"/>
        </w:rPr>
        <w:t xml:space="preserve"> </w:t>
      </w:r>
      <w:r w:rsidR="002050A5" w:rsidRPr="00AA429D">
        <w:rPr>
          <w:rFonts w:ascii="Calibri" w:hAnsi="Calibri" w:cs="Calibri"/>
          <w:lang w:val="en-GB"/>
        </w:rPr>
        <w:t>1937 (AD) 370 at 373.</w:t>
      </w:r>
    </w:p>
  </w:footnote>
  <w:footnote w:id="5">
    <w:p w:rsidR="003722E6" w:rsidRPr="00AA429D" w:rsidRDefault="003722E6">
      <w:pPr>
        <w:pStyle w:val="FootnoteText"/>
        <w:rPr>
          <w:lang w:val="en-US"/>
        </w:rPr>
      </w:pPr>
      <w:r w:rsidRPr="00AA429D">
        <w:rPr>
          <w:rStyle w:val="FootnoteReference"/>
        </w:rPr>
        <w:footnoteRef/>
      </w:r>
      <w:r w:rsidRPr="00AA429D">
        <w:t xml:space="preserve">  </w:t>
      </w:r>
      <w:r w:rsidRPr="00AA429D">
        <w:rPr>
          <w:rFonts w:cstheme="minorHAnsi"/>
          <w:lang w:val="en-GB"/>
        </w:rPr>
        <w:t xml:space="preserve">Compare: </w:t>
      </w:r>
      <w:r w:rsidRPr="00AA429D">
        <w:rPr>
          <w:rFonts w:cstheme="minorHAnsi"/>
          <w:b/>
          <w:i/>
          <w:lang w:val="en-GB"/>
        </w:rPr>
        <w:t xml:space="preserve">S v </w:t>
      </w:r>
      <w:proofErr w:type="spellStart"/>
      <w:r w:rsidRPr="00AA429D">
        <w:rPr>
          <w:rFonts w:cstheme="minorHAnsi"/>
          <w:b/>
          <w:i/>
          <w:lang w:val="en-GB"/>
        </w:rPr>
        <w:t>Mafaladiso</w:t>
      </w:r>
      <w:proofErr w:type="spellEnd"/>
      <w:r w:rsidRPr="00AA429D">
        <w:rPr>
          <w:rFonts w:cstheme="minorHAnsi"/>
          <w:b/>
          <w:i/>
          <w:lang w:val="en-GB"/>
        </w:rPr>
        <w:t xml:space="preserve"> and Another</w:t>
      </w:r>
      <w:r w:rsidRPr="00AA429D">
        <w:rPr>
          <w:rFonts w:cstheme="minorHAnsi"/>
          <w:lang w:val="en-GB"/>
        </w:rPr>
        <w:t xml:space="preserve"> 2003 (1) SACR (3)</w:t>
      </w:r>
      <w:r w:rsidRPr="00AA429D">
        <w:rPr>
          <w:rFonts w:ascii="Arial" w:hAnsi="Arial" w:cs="Arial"/>
          <w:lang w:val="en-GB"/>
        </w:rPr>
        <w:t>.</w:t>
      </w:r>
    </w:p>
  </w:footnote>
  <w:footnote w:id="6">
    <w:p w:rsidR="00085B9D" w:rsidRPr="002C1147" w:rsidRDefault="00085B9D" w:rsidP="002C1147">
      <w:pPr>
        <w:widowControl w:val="0"/>
        <w:autoSpaceDE w:val="0"/>
        <w:autoSpaceDN w:val="0"/>
        <w:spacing w:after="0" w:line="240" w:lineRule="auto"/>
        <w:ind w:left="720" w:hanging="720"/>
        <w:jc w:val="both"/>
        <w:rPr>
          <w:rFonts w:ascii="Arial" w:hAnsi="Arial" w:cs="Arial"/>
          <w:sz w:val="20"/>
          <w:szCs w:val="20"/>
          <w:lang w:val="en-GB"/>
        </w:rPr>
      </w:pPr>
      <w:r w:rsidRPr="002C1147">
        <w:rPr>
          <w:rStyle w:val="FootnoteReference"/>
          <w:sz w:val="20"/>
          <w:szCs w:val="20"/>
        </w:rPr>
        <w:footnoteRef/>
      </w:r>
      <w:r w:rsidRPr="002C1147">
        <w:rPr>
          <w:sz w:val="20"/>
          <w:szCs w:val="20"/>
        </w:rPr>
        <w:t xml:space="preserve">  </w:t>
      </w:r>
      <w:r w:rsidR="00171105" w:rsidRPr="002C1147">
        <w:rPr>
          <w:rFonts w:cstheme="minorHAnsi"/>
          <w:b/>
          <w:i/>
          <w:sz w:val="20"/>
          <w:szCs w:val="20"/>
          <w:lang w:val="en-GB"/>
        </w:rPr>
        <w:t xml:space="preserve">S v </w:t>
      </w:r>
      <w:proofErr w:type="spellStart"/>
      <w:r w:rsidR="00171105" w:rsidRPr="002C1147">
        <w:rPr>
          <w:rFonts w:cstheme="minorHAnsi"/>
          <w:b/>
          <w:i/>
          <w:sz w:val="20"/>
          <w:szCs w:val="20"/>
          <w:lang w:val="en-GB"/>
        </w:rPr>
        <w:t>Hadebe</w:t>
      </w:r>
      <w:proofErr w:type="spellEnd"/>
      <w:r w:rsidR="00171105" w:rsidRPr="002C1147">
        <w:rPr>
          <w:rFonts w:cstheme="minorHAnsi"/>
          <w:b/>
          <w:i/>
          <w:sz w:val="20"/>
          <w:szCs w:val="20"/>
          <w:lang w:val="en-GB"/>
        </w:rPr>
        <w:t xml:space="preserve"> and O</w:t>
      </w:r>
      <w:r w:rsidRPr="002C1147">
        <w:rPr>
          <w:rFonts w:cstheme="minorHAnsi"/>
          <w:b/>
          <w:i/>
          <w:sz w:val="20"/>
          <w:szCs w:val="20"/>
          <w:lang w:val="en-GB"/>
        </w:rPr>
        <w:t>thers</w:t>
      </w:r>
      <w:r w:rsidR="00171105" w:rsidRPr="002C1147">
        <w:rPr>
          <w:rFonts w:cstheme="minorHAnsi"/>
          <w:sz w:val="20"/>
          <w:szCs w:val="20"/>
          <w:lang w:val="en-GB"/>
        </w:rPr>
        <w:t xml:space="preserve"> </w:t>
      </w:r>
      <w:r w:rsidRPr="002C1147">
        <w:rPr>
          <w:rFonts w:cstheme="minorHAnsi"/>
          <w:sz w:val="20"/>
          <w:szCs w:val="20"/>
          <w:lang w:val="en-GB"/>
        </w:rPr>
        <w:t>1979 (2) at 645.</w:t>
      </w:r>
      <w:r w:rsidRPr="002C1147">
        <w:rPr>
          <w:sz w:val="20"/>
          <w:szCs w:val="20"/>
        </w:rPr>
        <w:t xml:space="preserve"> </w:t>
      </w:r>
    </w:p>
  </w:footnote>
  <w:footnote w:id="7">
    <w:p w:rsidR="00765A7D" w:rsidRPr="002C1147" w:rsidRDefault="00765A7D" w:rsidP="002C1147">
      <w:pPr>
        <w:pStyle w:val="FootnoteText"/>
        <w:rPr>
          <w:lang w:val="en-US"/>
        </w:rPr>
      </w:pPr>
      <w:r w:rsidRPr="002C1147">
        <w:rPr>
          <w:rStyle w:val="FootnoteReference"/>
        </w:rPr>
        <w:footnoteRef/>
      </w:r>
      <w:r w:rsidRPr="002C1147">
        <w:t xml:space="preserve"> </w:t>
      </w:r>
      <w:r w:rsidRPr="002C1147">
        <w:rPr>
          <w:lang w:val="en-US"/>
        </w:rPr>
        <w:t>Heads of Arguments p 4-5 paragraphs 14-17.</w:t>
      </w:r>
    </w:p>
  </w:footnote>
  <w:footnote w:id="8">
    <w:p w:rsidR="00765A7D" w:rsidRPr="002A3D08" w:rsidRDefault="00765A7D" w:rsidP="002C1147">
      <w:pPr>
        <w:pStyle w:val="FootnoteText"/>
        <w:rPr>
          <w:lang w:val="en-US"/>
        </w:rPr>
      </w:pPr>
      <w:r w:rsidRPr="002C1147">
        <w:rPr>
          <w:rStyle w:val="FootnoteReference"/>
        </w:rPr>
        <w:footnoteRef/>
      </w:r>
      <w:r w:rsidRPr="002C1147">
        <w:t xml:space="preserve"> </w:t>
      </w:r>
      <w:r w:rsidRPr="002C1147">
        <w:rPr>
          <w:lang w:val="en-US"/>
        </w:rPr>
        <w:t>Record Vol 2 p101 at lines 9-22.</w:t>
      </w:r>
    </w:p>
  </w:footnote>
  <w:footnote w:id="9">
    <w:p w:rsidR="00787E9D" w:rsidRPr="00787E9D" w:rsidRDefault="00787E9D">
      <w:pPr>
        <w:pStyle w:val="FootnoteText"/>
        <w:rPr>
          <w:lang w:val="en-US"/>
        </w:rPr>
      </w:pPr>
      <w:r>
        <w:rPr>
          <w:rStyle w:val="FootnoteReference"/>
        </w:rPr>
        <w:footnoteRef/>
      </w:r>
      <w:r>
        <w:t xml:space="preserve"> </w:t>
      </w:r>
      <w:r>
        <w:rPr>
          <w:lang w:val="en-US"/>
        </w:rPr>
        <w:t>Record Vol 1 p96 paragraphs 2.1 and 2.2</w:t>
      </w:r>
      <w:r w:rsidR="00D9631A">
        <w:rPr>
          <w:lang w:val="en-US"/>
        </w:rPr>
        <w:t>.</w:t>
      </w:r>
    </w:p>
  </w:footnote>
  <w:footnote w:id="10">
    <w:p w:rsidR="00D9631A" w:rsidRPr="00D9631A" w:rsidRDefault="00D9631A">
      <w:pPr>
        <w:pStyle w:val="FootnoteText"/>
        <w:rPr>
          <w:lang w:val="en-US"/>
        </w:rPr>
      </w:pPr>
      <w:r>
        <w:rPr>
          <w:rStyle w:val="FootnoteReference"/>
        </w:rPr>
        <w:footnoteRef/>
      </w:r>
      <w:r>
        <w:t xml:space="preserve"> 2001 (1) SACR 469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526204"/>
      <w:docPartObj>
        <w:docPartGallery w:val="Page Numbers (Top of Page)"/>
        <w:docPartUnique/>
      </w:docPartObj>
    </w:sdtPr>
    <w:sdtEndPr>
      <w:rPr>
        <w:noProof/>
      </w:rPr>
    </w:sdtEndPr>
    <w:sdtContent>
      <w:p w:rsidR="00BA7997" w:rsidRDefault="00BA7997">
        <w:pPr>
          <w:pStyle w:val="Header"/>
          <w:jc w:val="right"/>
        </w:pPr>
        <w:r>
          <w:fldChar w:fldCharType="begin"/>
        </w:r>
        <w:r>
          <w:instrText xml:space="preserve"> PAGE   \* MERGEFORMAT </w:instrText>
        </w:r>
        <w:r>
          <w:fldChar w:fldCharType="separate"/>
        </w:r>
        <w:r w:rsidR="00030E5A">
          <w:rPr>
            <w:noProof/>
          </w:rPr>
          <w:t>2</w:t>
        </w:r>
        <w:r>
          <w:rPr>
            <w:noProof/>
          </w:rPr>
          <w:fldChar w:fldCharType="end"/>
        </w:r>
      </w:p>
    </w:sdtContent>
  </w:sdt>
  <w:p w:rsidR="00BA7997" w:rsidRDefault="00BA79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27240"/>
    <w:multiLevelType w:val="hybridMultilevel"/>
    <w:tmpl w:val="120CAF1A"/>
    <w:lvl w:ilvl="0" w:tplc="89C6EE86">
      <w:start w:val="1"/>
      <w:numFmt w:val="lowerLetter"/>
      <w:lvlText w:val="(%1)"/>
      <w:lvlJc w:val="left"/>
      <w:pPr>
        <w:ind w:left="4050" w:hanging="390"/>
      </w:pPr>
      <w:rPr>
        <w:rFonts w:cs="Times New Roman"/>
      </w:rPr>
    </w:lvl>
    <w:lvl w:ilvl="1" w:tplc="04090019">
      <w:start w:val="1"/>
      <w:numFmt w:val="lowerLetter"/>
      <w:lvlText w:val="%2."/>
      <w:lvlJc w:val="left"/>
      <w:pPr>
        <w:ind w:left="4740" w:hanging="360"/>
      </w:pPr>
      <w:rPr>
        <w:rFonts w:cs="Times New Roman"/>
      </w:rPr>
    </w:lvl>
    <w:lvl w:ilvl="2" w:tplc="0409001B">
      <w:start w:val="1"/>
      <w:numFmt w:val="lowerRoman"/>
      <w:lvlText w:val="%3."/>
      <w:lvlJc w:val="right"/>
      <w:pPr>
        <w:ind w:left="5460" w:hanging="180"/>
      </w:pPr>
      <w:rPr>
        <w:rFonts w:cs="Times New Roman"/>
      </w:rPr>
    </w:lvl>
    <w:lvl w:ilvl="3" w:tplc="0409000F">
      <w:start w:val="1"/>
      <w:numFmt w:val="decimal"/>
      <w:lvlText w:val="%4."/>
      <w:lvlJc w:val="left"/>
      <w:pPr>
        <w:ind w:left="6180" w:hanging="360"/>
      </w:pPr>
      <w:rPr>
        <w:rFonts w:cs="Times New Roman"/>
      </w:rPr>
    </w:lvl>
    <w:lvl w:ilvl="4" w:tplc="04090019">
      <w:start w:val="1"/>
      <w:numFmt w:val="lowerLetter"/>
      <w:lvlText w:val="%5."/>
      <w:lvlJc w:val="left"/>
      <w:pPr>
        <w:ind w:left="6900" w:hanging="360"/>
      </w:pPr>
      <w:rPr>
        <w:rFonts w:cs="Times New Roman"/>
      </w:rPr>
    </w:lvl>
    <w:lvl w:ilvl="5" w:tplc="0409001B">
      <w:start w:val="1"/>
      <w:numFmt w:val="lowerRoman"/>
      <w:lvlText w:val="%6."/>
      <w:lvlJc w:val="right"/>
      <w:pPr>
        <w:ind w:left="7620" w:hanging="180"/>
      </w:pPr>
      <w:rPr>
        <w:rFonts w:cs="Times New Roman"/>
      </w:rPr>
    </w:lvl>
    <w:lvl w:ilvl="6" w:tplc="0409000F">
      <w:start w:val="1"/>
      <w:numFmt w:val="decimal"/>
      <w:lvlText w:val="%7."/>
      <w:lvlJc w:val="left"/>
      <w:pPr>
        <w:ind w:left="8340" w:hanging="360"/>
      </w:pPr>
      <w:rPr>
        <w:rFonts w:cs="Times New Roman"/>
      </w:rPr>
    </w:lvl>
    <w:lvl w:ilvl="7" w:tplc="04090019">
      <w:start w:val="1"/>
      <w:numFmt w:val="lowerLetter"/>
      <w:lvlText w:val="%8."/>
      <w:lvlJc w:val="left"/>
      <w:pPr>
        <w:ind w:left="9060" w:hanging="360"/>
      </w:pPr>
      <w:rPr>
        <w:rFonts w:cs="Times New Roman"/>
      </w:rPr>
    </w:lvl>
    <w:lvl w:ilvl="8" w:tplc="0409001B">
      <w:start w:val="1"/>
      <w:numFmt w:val="lowerRoman"/>
      <w:lvlText w:val="%9."/>
      <w:lvlJc w:val="right"/>
      <w:pPr>
        <w:ind w:left="97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26"/>
    <w:rsid w:val="00001199"/>
    <w:rsid w:val="00030E5A"/>
    <w:rsid w:val="00042927"/>
    <w:rsid w:val="00085B9D"/>
    <w:rsid w:val="000D6282"/>
    <w:rsid w:val="000F3B00"/>
    <w:rsid w:val="0010274B"/>
    <w:rsid w:val="00102987"/>
    <w:rsid w:val="00146D02"/>
    <w:rsid w:val="00171105"/>
    <w:rsid w:val="001832A3"/>
    <w:rsid w:val="001A1D00"/>
    <w:rsid w:val="001B4C94"/>
    <w:rsid w:val="002050A5"/>
    <w:rsid w:val="0020530B"/>
    <w:rsid w:val="00205F38"/>
    <w:rsid w:val="00216695"/>
    <w:rsid w:val="00222108"/>
    <w:rsid w:val="002261B6"/>
    <w:rsid w:val="00242C3B"/>
    <w:rsid w:val="00281780"/>
    <w:rsid w:val="002A3D08"/>
    <w:rsid w:val="002A62AE"/>
    <w:rsid w:val="002C0826"/>
    <w:rsid w:val="002C1147"/>
    <w:rsid w:val="0032719B"/>
    <w:rsid w:val="00330001"/>
    <w:rsid w:val="00344A10"/>
    <w:rsid w:val="00357607"/>
    <w:rsid w:val="003722E6"/>
    <w:rsid w:val="003C58F8"/>
    <w:rsid w:val="003F31B0"/>
    <w:rsid w:val="004020A5"/>
    <w:rsid w:val="00450D81"/>
    <w:rsid w:val="004569EB"/>
    <w:rsid w:val="00521C69"/>
    <w:rsid w:val="00536349"/>
    <w:rsid w:val="005C7542"/>
    <w:rsid w:val="005D6CA1"/>
    <w:rsid w:val="00623285"/>
    <w:rsid w:val="006A03A4"/>
    <w:rsid w:val="006B1926"/>
    <w:rsid w:val="006B316F"/>
    <w:rsid w:val="006D550F"/>
    <w:rsid w:val="006F2B75"/>
    <w:rsid w:val="00765A7D"/>
    <w:rsid w:val="00780164"/>
    <w:rsid w:val="00787E9D"/>
    <w:rsid w:val="007A09C7"/>
    <w:rsid w:val="007C7AA0"/>
    <w:rsid w:val="007F331F"/>
    <w:rsid w:val="00806918"/>
    <w:rsid w:val="008170E7"/>
    <w:rsid w:val="00871054"/>
    <w:rsid w:val="008965D2"/>
    <w:rsid w:val="008B4CE6"/>
    <w:rsid w:val="00914EE2"/>
    <w:rsid w:val="00996A44"/>
    <w:rsid w:val="009F26EB"/>
    <w:rsid w:val="00A15E9B"/>
    <w:rsid w:val="00A41154"/>
    <w:rsid w:val="00A44E45"/>
    <w:rsid w:val="00A8595F"/>
    <w:rsid w:val="00AA429D"/>
    <w:rsid w:val="00AC241C"/>
    <w:rsid w:val="00B43694"/>
    <w:rsid w:val="00B50042"/>
    <w:rsid w:val="00B70666"/>
    <w:rsid w:val="00B72FE7"/>
    <w:rsid w:val="00BA7997"/>
    <w:rsid w:val="00C76BDC"/>
    <w:rsid w:val="00C80E2B"/>
    <w:rsid w:val="00C80F15"/>
    <w:rsid w:val="00C8475E"/>
    <w:rsid w:val="00C95B32"/>
    <w:rsid w:val="00CD33A0"/>
    <w:rsid w:val="00CF3352"/>
    <w:rsid w:val="00CF691F"/>
    <w:rsid w:val="00D46EC1"/>
    <w:rsid w:val="00D9631A"/>
    <w:rsid w:val="00DB580D"/>
    <w:rsid w:val="00DC5C78"/>
    <w:rsid w:val="00EE75DD"/>
    <w:rsid w:val="00EF1B1C"/>
    <w:rsid w:val="00F75507"/>
    <w:rsid w:val="00FA18BA"/>
    <w:rsid w:val="00FA2FF2"/>
    <w:rsid w:val="00FA32D9"/>
    <w:rsid w:val="00FC5175"/>
    <w:rsid w:val="00FD4FAA"/>
    <w:rsid w:val="00FF5A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383BA-449D-4CDF-B020-710CC4D6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19B"/>
    <w:pPr>
      <w:spacing w:line="252" w:lineRule="auto"/>
    </w:pPr>
  </w:style>
  <w:style w:type="paragraph" w:styleId="Heading1">
    <w:name w:val="heading 1"/>
    <w:basedOn w:val="Normal"/>
    <w:next w:val="Normal"/>
    <w:link w:val="Heading1Char"/>
    <w:qFormat/>
    <w:rsid w:val="00222108"/>
    <w:pPr>
      <w:keepNext/>
      <w:spacing w:after="0" w:line="240" w:lineRule="auto"/>
      <w:outlineLvl w:val="0"/>
    </w:pPr>
    <w:rPr>
      <w:rFonts w:ascii="Times New Roman" w:eastAsia="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71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19B"/>
    <w:rPr>
      <w:sz w:val="20"/>
      <w:szCs w:val="20"/>
    </w:rPr>
  </w:style>
  <w:style w:type="paragraph" w:styleId="ListParagraph">
    <w:name w:val="List Paragraph"/>
    <w:basedOn w:val="Normal"/>
    <w:link w:val="ListParagraphChar"/>
    <w:uiPriority w:val="34"/>
    <w:qFormat/>
    <w:rsid w:val="0032719B"/>
    <w:pPr>
      <w:ind w:left="720"/>
      <w:contextualSpacing/>
    </w:pPr>
  </w:style>
  <w:style w:type="character" w:styleId="FootnoteReference">
    <w:name w:val="footnote reference"/>
    <w:basedOn w:val="DefaultParagraphFont"/>
    <w:uiPriority w:val="99"/>
    <w:semiHidden/>
    <w:unhideWhenUsed/>
    <w:rsid w:val="0032719B"/>
    <w:rPr>
      <w:vertAlign w:val="superscript"/>
    </w:rPr>
  </w:style>
  <w:style w:type="table" w:styleId="TableGrid">
    <w:name w:val="Table Grid"/>
    <w:basedOn w:val="TableNormal"/>
    <w:uiPriority w:val="59"/>
    <w:rsid w:val="003271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46D02"/>
  </w:style>
  <w:style w:type="character" w:customStyle="1" w:styleId="BodytextItalic">
    <w:name w:val="Body text + Italic"/>
    <w:basedOn w:val="DefaultParagraphFont"/>
    <w:rsid w:val="00146D02"/>
    <w:rPr>
      <w:rFonts w:ascii="Verdana" w:eastAsia="Times New Roman" w:hAnsi="Verdana" w:cs="Verdana" w:hint="default"/>
      <w:i/>
      <w:iCs/>
      <w:strike w:val="0"/>
      <w:dstrike w:val="0"/>
      <w:color w:val="000000"/>
      <w:spacing w:val="0"/>
      <w:w w:val="100"/>
      <w:position w:val="0"/>
      <w:sz w:val="15"/>
      <w:szCs w:val="15"/>
      <w:u w:val="none"/>
      <w:effect w:val="none"/>
      <w:shd w:val="clear" w:color="auto" w:fill="FFFFFF"/>
      <w:lang w:val="en-US" w:eastAsia="x-none"/>
    </w:rPr>
  </w:style>
  <w:style w:type="paragraph" w:styleId="Header">
    <w:name w:val="header"/>
    <w:basedOn w:val="Normal"/>
    <w:link w:val="HeaderChar"/>
    <w:uiPriority w:val="99"/>
    <w:unhideWhenUsed/>
    <w:rsid w:val="00BA7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997"/>
  </w:style>
  <w:style w:type="paragraph" w:styleId="Footer">
    <w:name w:val="footer"/>
    <w:basedOn w:val="Normal"/>
    <w:link w:val="FooterChar"/>
    <w:uiPriority w:val="99"/>
    <w:unhideWhenUsed/>
    <w:rsid w:val="00BA7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997"/>
  </w:style>
  <w:style w:type="character" w:customStyle="1" w:styleId="Heading1Char">
    <w:name w:val="Heading 1 Char"/>
    <w:basedOn w:val="DefaultParagraphFont"/>
    <w:link w:val="Heading1"/>
    <w:rsid w:val="00222108"/>
    <w:rPr>
      <w:rFonts w:ascii="Times New Roman" w:eastAsia="Times New Roman" w:hAnsi="Times New Roman" w:cs="Times New Roman"/>
      <w:sz w:val="24"/>
      <w:szCs w:val="20"/>
      <w:u w:val="single"/>
      <w:lang w:val="en-AU"/>
    </w:rPr>
  </w:style>
  <w:style w:type="paragraph" w:styleId="BalloonText">
    <w:name w:val="Balloon Text"/>
    <w:basedOn w:val="Normal"/>
    <w:link w:val="BalloonTextChar"/>
    <w:uiPriority w:val="99"/>
    <w:semiHidden/>
    <w:unhideWhenUsed/>
    <w:rsid w:val="00C80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48579">
      <w:bodyDiv w:val="1"/>
      <w:marLeft w:val="0"/>
      <w:marRight w:val="0"/>
      <w:marTop w:val="0"/>
      <w:marBottom w:val="0"/>
      <w:divBdr>
        <w:top w:val="none" w:sz="0" w:space="0" w:color="auto"/>
        <w:left w:val="none" w:sz="0" w:space="0" w:color="auto"/>
        <w:bottom w:val="none" w:sz="0" w:space="0" w:color="auto"/>
        <w:right w:val="none" w:sz="0" w:space="0" w:color="auto"/>
      </w:divBdr>
    </w:div>
    <w:div w:id="814951842">
      <w:bodyDiv w:val="1"/>
      <w:marLeft w:val="0"/>
      <w:marRight w:val="0"/>
      <w:marTop w:val="0"/>
      <w:marBottom w:val="0"/>
      <w:divBdr>
        <w:top w:val="none" w:sz="0" w:space="0" w:color="auto"/>
        <w:left w:val="none" w:sz="0" w:space="0" w:color="auto"/>
        <w:bottom w:val="none" w:sz="0" w:space="0" w:color="auto"/>
        <w:right w:val="none" w:sz="0" w:space="0" w:color="auto"/>
      </w:divBdr>
    </w:div>
    <w:div w:id="1030911732">
      <w:bodyDiv w:val="1"/>
      <w:marLeft w:val="0"/>
      <w:marRight w:val="0"/>
      <w:marTop w:val="0"/>
      <w:marBottom w:val="0"/>
      <w:divBdr>
        <w:top w:val="none" w:sz="0" w:space="0" w:color="auto"/>
        <w:left w:val="none" w:sz="0" w:space="0" w:color="auto"/>
        <w:bottom w:val="none" w:sz="0" w:space="0" w:color="auto"/>
        <w:right w:val="none" w:sz="0" w:space="0" w:color="auto"/>
      </w:divBdr>
    </w:div>
    <w:div w:id="175527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1A7C9-07D4-4363-A8F7-D8DA6CDF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Judge-Celeste Reinders</dc:creator>
  <cp:keywords/>
  <dc:description/>
  <cp:lastModifiedBy>Sathish</cp:lastModifiedBy>
  <cp:revision>3</cp:revision>
  <cp:lastPrinted>2023-12-21T08:10:00Z</cp:lastPrinted>
  <dcterms:created xsi:type="dcterms:W3CDTF">2023-12-21T12:27:00Z</dcterms:created>
  <dcterms:modified xsi:type="dcterms:W3CDTF">2023-12-23T20:27:00Z</dcterms:modified>
</cp:coreProperties>
</file>